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5.xml" ContentType="application/vnd.openxmlformats-officedocument.wordprocessingml.footer+xml"/>
  <Override PartName="/word/header5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0.xml" ContentType="application/vnd.openxmlformats-officedocument.wordprocessingml.footer+xml"/>
  <Override PartName="/word/header67.xml" ContentType="application/vnd.openxmlformats-officedocument.wordprocessingml.header+xml"/>
  <Override PartName="/word/footer2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2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25.xml" ContentType="application/vnd.openxmlformats-officedocument.wordprocessingml.footer+xml"/>
  <Override PartName="/word/header79.xml" ContentType="application/vnd.openxmlformats-officedocument.wordprocessingml.header+xml"/>
  <Override PartName="/word/footer2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F1615" w14:textId="77777777" w:rsidR="00640EFA" w:rsidRDefault="00640EFA" w:rsidP="00640EFA">
      <w:pPr>
        <w:spacing w:after="120"/>
        <w:jc w:val="right"/>
        <w:rPr>
          <w:rFonts w:ascii="Gill Sans MT" w:hAnsi="Gill Sans MT"/>
          <w:b/>
          <w:bCs/>
          <w:sz w:val="40"/>
          <w:szCs w:val="40"/>
        </w:rPr>
      </w:pPr>
      <w:bookmarkStart w:id="0" w:name="_GoBack"/>
      <w:bookmarkEnd w:id="0"/>
    </w:p>
    <w:p w14:paraId="793F15F7" w14:textId="77777777" w:rsidR="00640EFA" w:rsidRDefault="00640EFA" w:rsidP="00640EFA">
      <w:pPr>
        <w:spacing w:after="120"/>
        <w:jc w:val="right"/>
        <w:rPr>
          <w:rFonts w:ascii="Gill Sans MT" w:hAnsi="Gill Sans MT"/>
          <w:b/>
          <w:bCs/>
          <w:sz w:val="40"/>
          <w:szCs w:val="40"/>
        </w:rPr>
      </w:pPr>
    </w:p>
    <w:p w14:paraId="043AAC21" w14:textId="77777777" w:rsidR="00640EFA" w:rsidRDefault="00640EFA" w:rsidP="00640EFA">
      <w:pPr>
        <w:spacing w:after="120"/>
        <w:jc w:val="right"/>
        <w:rPr>
          <w:rFonts w:ascii="Gill Sans MT" w:hAnsi="Gill Sans MT"/>
          <w:b/>
          <w:bCs/>
          <w:sz w:val="40"/>
          <w:szCs w:val="40"/>
        </w:rPr>
      </w:pPr>
    </w:p>
    <w:p w14:paraId="59EA2A28" w14:textId="77777777" w:rsidR="00640EFA" w:rsidRDefault="00640EFA" w:rsidP="00640EFA">
      <w:pPr>
        <w:spacing w:after="120"/>
        <w:jc w:val="right"/>
        <w:rPr>
          <w:rFonts w:ascii="Gill Sans MT" w:hAnsi="Gill Sans MT"/>
          <w:b/>
          <w:bCs/>
          <w:sz w:val="40"/>
          <w:szCs w:val="40"/>
        </w:rPr>
      </w:pPr>
    </w:p>
    <w:p w14:paraId="076014E7" w14:textId="77777777" w:rsidR="00640EFA" w:rsidRDefault="00640EFA" w:rsidP="00640EFA">
      <w:pPr>
        <w:spacing w:after="120"/>
        <w:jc w:val="right"/>
        <w:rPr>
          <w:rFonts w:ascii="Gill Sans MT" w:hAnsi="Gill Sans MT"/>
          <w:b/>
          <w:bCs/>
          <w:sz w:val="40"/>
          <w:szCs w:val="40"/>
        </w:rPr>
      </w:pPr>
    </w:p>
    <w:p w14:paraId="0C0EA9A1" w14:textId="77777777" w:rsidR="00640EFA" w:rsidRDefault="00640EFA" w:rsidP="00640EFA">
      <w:pPr>
        <w:spacing w:after="120"/>
        <w:jc w:val="right"/>
        <w:rPr>
          <w:rFonts w:ascii="Gill Sans MT" w:hAnsi="Gill Sans MT"/>
          <w:b/>
          <w:bCs/>
          <w:sz w:val="40"/>
          <w:szCs w:val="40"/>
        </w:rPr>
      </w:pPr>
    </w:p>
    <w:p w14:paraId="298E3272" w14:textId="77777777" w:rsidR="00640EFA" w:rsidRDefault="00640EFA" w:rsidP="00640EFA">
      <w:pPr>
        <w:spacing w:after="120"/>
        <w:jc w:val="right"/>
        <w:rPr>
          <w:rFonts w:ascii="Gill Sans MT" w:hAnsi="Gill Sans MT"/>
          <w:b/>
          <w:bCs/>
          <w:sz w:val="40"/>
          <w:szCs w:val="40"/>
        </w:rPr>
      </w:pPr>
    </w:p>
    <w:p w14:paraId="4F3218A7" w14:textId="77777777" w:rsidR="00640EFA" w:rsidRDefault="00640EFA" w:rsidP="00640EFA">
      <w:pPr>
        <w:spacing w:after="120"/>
        <w:jc w:val="right"/>
        <w:rPr>
          <w:rFonts w:ascii="Gill Sans MT" w:hAnsi="Gill Sans MT"/>
          <w:b/>
          <w:bCs/>
          <w:sz w:val="40"/>
          <w:szCs w:val="40"/>
        </w:rPr>
      </w:pPr>
    </w:p>
    <w:p w14:paraId="4FE8A552" w14:textId="77777777" w:rsidR="00640EFA" w:rsidRDefault="00640EFA" w:rsidP="00640EFA">
      <w:pPr>
        <w:spacing w:after="120"/>
        <w:jc w:val="right"/>
        <w:rPr>
          <w:rFonts w:ascii="Gill Sans MT" w:hAnsi="Gill Sans MT"/>
          <w:b/>
          <w:bCs/>
          <w:sz w:val="40"/>
          <w:szCs w:val="40"/>
        </w:rPr>
      </w:pPr>
    </w:p>
    <w:p w14:paraId="2B1B0EC9" w14:textId="77777777" w:rsidR="00640EFA" w:rsidRDefault="00640EFA" w:rsidP="00640EFA">
      <w:pPr>
        <w:spacing w:after="120"/>
        <w:jc w:val="right"/>
        <w:rPr>
          <w:rFonts w:ascii="Gill Sans MT" w:hAnsi="Gill Sans MT"/>
          <w:b/>
          <w:bCs/>
          <w:sz w:val="40"/>
          <w:szCs w:val="40"/>
        </w:rPr>
      </w:pPr>
    </w:p>
    <w:p w14:paraId="4813003F" w14:textId="77777777" w:rsidR="00640EFA" w:rsidRDefault="00640EFA" w:rsidP="00640EFA">
      <w:pPr>
        <w:spacing w:after="120"/>
        <w:jc w:val="right"/>
        <w:rPr>
          <w:rFonts w:ascii="Gill Sans MT" w:hAnsi="Gill Sans MT"/>
          <w:b/>
          <w:bCs/>
          <w:sz w:val="40"/>
          <w:szCs w:val="40"/>
        </w:rPr>
      </w:pPr>
    </w:p>
    <w:p w14:paraId="1BFD58D1" w14:textId="77777777" w:rsidR="00640EFA" w:rsidRDefault="00640EFA" w:rsidP="00640EFA">
      <w:pPr>
        <w:spacing w:after="120"/>
        <w:jc w:val="right"/>
        <w:rPr>
          <w:rFonts w:ascii="Gill Sans MT" w:hAnsi="Gill Sans MT"/>
          <w:b/>
          <w:bCs/>
          <w:sz w:val="40"/>
          <w:szCs w:val="40"/>
        </w:rPr>
      </w:pPr>
    </w:p>
    <w:p w14:paraId="2E5B4E5C" w14:textId="77777777" w:rsidR="00640EFA" w:rsidRPr="008D691C" w:rsidRDefault="00EB78D6" w:rsidP="00640EFA">
      <w:pPr>
        <w:spacing w:after="120"/>
        <w:jc w:val="right"/>
        <w:rPr>
          <w:b/>
          <w:bCs/>
          <w:color w:val="1F497D"/>
          <w:sz w:val="50"/>
          <w:szCs w:val="50"/>
        </w:rPr>
      </w:pPr>
      <w:r>
        <w:rPr>
          <w:b/>
          <w:bCs/>
          <w:sz w:val="40"/>
          <w:szCs w:val="40"/>
        </w:rPr>
        <w:t>Australian Government Department of Health</w:t>
      </w:r>
    </w:p>
    <w:p w14:paraId="7FD9E759" w14:textId="77777777" w:rsidR="00640EFA" w:rsidRPr="008D691C" w:rsidRDefault="00EB78D6" w:rsidP="00640EFA">
      <w:pPr>
        <w:spacing w:after="120"/>
        <w:jc w:val="right"/>
        <w:rPr>
          <w:rStyle w:val="Style3"/>
          <w:sz w:val="56"/>
          <w:szCs w:val="56"/>
        </w:rPr>
      </w:pPr>
      <w:r w:rsidRPr="00EB78D6">
        <w:rPr>
          <w:rStyle w:val="Style3"/>
          <w:rFonts w:eastAsia="Times New Roman"/>
          <w:i/>
          <w:color w:val="003D79"/>
          <w:sz w:val="56"/>
          <w:szCs w:val="56"/>
        </w:rPr>
        <w:t>Evaluation of the Health Care Homes program</w:t>
      </w:r>
    </w:p>
    <w:p w14:paraId="2D294E2F" w14:textId="7EBAEAFC" w:rsidR="00ED7BF7" w:rsidRDefault="00A14474" w:rsidP="00640EFA">
      <w:pPr>
        <w:spacing w:after="120"/>
        <w:jc w:val="right"/>
        <w:rPr>
          <w:rStyle w:val="ReportTitleTitlePageChar"/>
          <w:rFonts w:ascii="Century Gothic" w:hAnsi="Century Gothic"/>
        </w:rPr>
      </w:pPr>
      <w:r w:rsidRPr="00A14474">
        <w:rPr>
          <w:rStyle w:val="ReportTitleTitlePageChar"/>
          <w:rFonts w:ascii="Century Gothic" w:hAnsi="Century Gothic"/>
        </w:rPr>
        <w:t>Interim evaluation report 2019</w:t>
      </w:r>
    </w:p>
    <w:p w14:paraId="793FDDAF" w14:textId="7EDFE6FF" w:rsidR="00640EFA" w:rsidRPr="006C0759" w:rsidRDefault="005276D6" w:rsidP="006C0759">
      <w:pPr>
        <w:spacing w:after="120"/>
        <w:jc w:val="right"/>
        <w:rPr>
          <w:b/>
          <w:bCs/>
          <w:color w:val="808080"/>
          <w:sz w:val="28"/>
          <w:szCs w:val="28"/>
        </w:rPr>
        <w:sectPr w:rsidR="00640EFA" w:rsidRPr="006C0759">
          <w:headerReference w:type="even" r:id="rId8"/>
          <w:headerReference w:type="default" r:id="rId9"/>
          <w:headerReference w:type="first" r:id="rId10"/>
          <w:pgSz w:w="11906" w:h="16838" w:code="9"/>
          <w:pgMar w:top="1440" w:right="1440" w:bottom="1440" w:left="1440" w:header="709" w:footer="709" w:gutter="0"/>
          <w:cols w:space="708"/>
          <w:titlePg/>
          <w:docGrid w:linePitch="360"/>
        </w:sectPr>
      </w:pPr>
      <w:r>
        <w:rPr>
          <w:rStyle w:val="ReportTitleTitlePageChar"/>
          <w:rFonts w:ascii="Century Gothic" w:hAnsi="Century Gothic"/>
          <w:sz w:val="28"/>
          <w:szCs w:val="28"/>
        </w:rPr>
        <w:t xml:space="preserve">Volume 1: </w:t>
      </w:r>
      <w:r w:rsidR="00924C16">
        <w:rPr>
          <w:rStyle w:val="ReportTitleTitlePageChar"/>
          <w:rFonts w:ascii="Century Gothic" w:hAnsi="Century Gothic"/>
          <w:sz w:val="28"/>
          <w:szCs w:val="28"/>
        </w:rPr>
        <w:t>Summary</w:t>
      </w:r>
      <w:r w:rsidR="00E61769">
        <w:rPr>
          <w:rStyle w:val="ReportTitleTitlePageChar"/>
          <w:rFonts w:ascii="Century Gothic" w:hAnsi="Century Gothic"/>
          <w:sz w:val="28"/>
          <w:szCs w:val="28"/>
        </w:rPr>
        <w:t xml:space="preserve"> report</w:t>
      </w:r>
    </w:p>
    <w:p w14:paraId="2C3F383D" w14:textId="77777777" w:rsidR="00A14474" w:rsidRPr="00A14474" w:rsidRDefault="00A14474" w:rsidP="00A14474">
      <w:pPr>
        <w:rPr>
          <w:rFonts w:cs="Arial"/>
          <w:bCs/>
          <w:color w:val="003D79"/>
          <w:sz w:val="36"/>
          <w:szCs w:val="36"/>
        </w:rPr>
      </w:pPr>
      <w:r w:rsidRPr="00A14474">
        <w:rPr>
          <w:rFonts w:cs="Arial"/>
          <w:bCs/>
          <w:color w:val="003D79"/>
          <w:sz w:val="36"/>
          <w:szCs w:val="36"/>
        </w:rPr>
        <w:lastRenderedPageBreak/>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2126"/>
        <w:gridCol w:w="5953"/>
      </w:tblGrid>
      <w:tr w:rsidR="00A14474" w:rsidRPr="00A14474" w14:paraId="625CB19E" w14:textId="77777777" w:rsidTr="00082B52">
        <w:trPr>
          <w:cantSplit/>
          <w:tblHeader/>
        </w:trPr>
        <w:tc>
          <w:tcPr>
            <w:tcW w:w="993" w:type="dxa"/>
            <w:shd w:val="clear" w:color="auto" w:fill="D9D9D9"/>
          </w:tcPr>
          <w:p w14:paraId="105D3B67" w14:textId="77777777" w:rsidR="00A14474" w:rsidRPr="00A14474" w:rsidRDefault="00A14474" w:rsidP="00A14474">
            <w:pPr>
              <w:keepLines/>
              <w:widowControl w:val="0"/>
              <w:spacing w:before="60" w:after="60" w:line="240" w:lineRule="auto"/>
              <w:jc w:val="both"/>
              <w:rPr>
                <w:rFonts w:eastAsia="Times New Roman"/>
                <w:b/>
                <w:sz w:val="18"/>
                <w:szCs w:val="18"/>
              </w:rPr>
            </w:pPr>
            <w:r w:rsidRPr="00A14474">
              <w:rPr>
                <w:rFonts w:eastAsia="Times New Roman"/>
                <w:b/>
                <w:sz w:val="18"/>
                <w:szCs w:val="18"/>
              </w:rPr>
              <w:t>Version</w:t>
            </w:r>
          </w:p>
        </w:tc>
        <w:tc>
          <w:tcPr>
            <w:tcW w:w="2126" w:type="dxa"/>
            <w:shd w:val="clear" w:color="auto" w:fill="D9D9D9"/>
          </w:tcPr>
          <w:p w14:paraId="63BC9D95" w14:textId="77777777" w:rsidR="00A14474" w:rsidRPr="00A14474" w:rsidRDefault="00A14474" w:rsidP="00A14474">
            <w:pPr>
              <w:keepLines/>
              <w:widowControl w:val="0"/>
              <w:spacing w:before="60" w:after="60" w:line="240" w:lineRule="auto"/>
              <w:rPr>
                <w:rFonts w:eastAsia="Times New Roman"/>
                <w:b/>
                <w:sz w:val="18"/>
                <w:szCs w:val="18"/>
              </w:rPr>
            </w:pPr>
            <w:r w:rsidRPr="00A14474">
              <w:rPr>
                <w:rFonts w:eastAsia="Times New Roman"/>
                <w:b/>
                <w:sz w:val="18"/>
                <w:szCs w:val="18"/>
              </w:rPr>
              <w:t>Date</w:t>
            </w:r>
          </w:p>
        </w:tc>
        <w:tc>
          <w:tcPr>
            <w:tcW w:w="5953" w:type="dxa"/>
            <w:shd w:val="clear" w:color="auto" w:fill="D9D9D9"/>
          </w:tcPr>
          <w:p w14:paraId="55F63BB0" w14:textId="77777777" w:rsidR="00A14474" w:rsidRPr="00A14474" w:rsidRDefault="00A14474" w:rsidP="00A14474">
            <w:pPr>
              <w:keepLines/>
              <w:widowControl w:val="0"/>
              <w:spacing w:before="60" w:after="60" w:line="240" w:lineRule="auto"/>
              <w:rPr>
                <w:rFonts w:eastAsia="Times New Roman"/>
                <w:b/>
                <w:sz w:val="18"/>
                <w:szCs w:val="18"/>
              </w:rPr>
            </w:pPr>
            <w:r w:rsidRPr="00A14474">
              <w:rPr>
                <w:rFonts w:eastAsia="Times New Roman"/>
                <w:b/>
                <w:sz w:val="18"/>
                <w:szCs w:val="18"/>
              </w:rPr>
              <w:t>Modification</w:t>
            </w:r>
          </w:p>
        </w:tc>
      </w:tr>
      <w:tr w:rsidR="00A14474" w:rsidRPr="00A14474" w14:paraId="68656FB4" w14:textId="77777777" w:rsidTr="00082B52">
        <w:trPr>
          <w:cantSplit/>
          <w:trHeight w:val="70"/>
        </w:trPr>
        <w:tc>
          <w:tcPr>
            <w:tcW w:w="993" w:type="dxa"/>
          </w:tcPr>
          <w:p w14:paraId="1916DCB5" w14:textId="77777777" w:rsidR="00A14474" w:rsidRPr="00A14474" w:rsidRDefault="00A14474" w:rsidP="00A14474">
            <w:pPr>
              <w:keepLines/>
              <w:widowControl w:val="0"/>
              <w:spacing w:before="60" w:after="60" w:line="240" w:lineRule="auto"/>
              <w:jc w:val="both"/>
              <w:rPr>
                <w:rFonts w:eastAsia="Times New Roman"/>
                <w:sz w:val="18"/>
                <w:szCs w:val="18"/>
              </w:rPr>
            </w:pPr>
            <w:r w:rsidRPr="00A14474">
              <w:rPr>
                <w:rFonts w:eastAsia="Times New Roman"/>
                <w:sz w:val="18"/>
                <w:szCs w:val="18"/>
              </w:rPr>
              <w:t>0.1</w:t>
            </w:r>
          </w:p>
        </w:tc>
        <w:tc>
          <w:tcPr>
            <w:tcW w:w="2126" w:type="dxa"/>
          </w:tcPr>
          <w:p w14:paraId="1D1DCB38" w14:textId="0B99A14A" w:rsidR="00A14474" w:rsidRPr="00A14474" w:rsidRDefault="009A7FAE" w:rsidP="00A14474">
            <w:pPr>
              <w:keepLines/>
              <w:widowControl w:val="0"/>
              <w:spacing w:before="60" w:after="60" w:line="240" w:lineRule="auto"/>
              <w:jc w:val="center"/>
              <w:rPr>
                <w:rFonts w:eastAsia="Times New Roman"/>
                <w:sz w:val="18"/>
                <w:szCs w:val="18"/>
              </w:rPr>
            </w:pPr>
            <w:r>
              <w:rPr>
                <w:rFonts w:eastAsia="Times New Roman"/>
                <w:sz w:val="18"/>
                <w:szCs w:val="18"/>
              </w:rPr>
              <w:t>7</w:t>
            </w:r>
            <w:r w:rsidR="00A14474" w:rsidRPr="00A14474">
              <w:rPr>
                <w:rFonts w:eastAsia="Times New Roman"/>
                <w:sz w:val="18"/>
                <w:szCs w:val="18"/>
              </w:rPr>
              <w:t xml:space="preserve"> October 2019</w:t>
            </w:r>
          </w:p>
        </w:tc>
        <w:tc>
          <w:tcPr>
            <w:tcW w:w="5953" w:type="dxa"/>
          </w:tcPr>
          <w:p w14:paraId="1B09F76A" w14:textId="77777777" w:rsidR="00A14474" w:rsidRPr="00A14474" w:rsidRDefault="00A14474" w:rsidP="00A14474">
            <w:pPr>
              <w:keepLines/>
              <w:widowControl w:val="0"/>
              <w:spacing w:before="60" w:after="60" w:line="240" w:lineRule="auto"/>
              <w:rPr>
                <w:rFonts w:eastAsia="Times New Roman"/>
                <w:sz w:val="18"/>
                <w:szCs w:val="18"/>
              </w:rPr>
            </w:pPr>
            <w:r w:rsidRPr="00A14474">
              <w:rPr>
                <w:rFonts w:eastAsia="Times New Roman"/>
                <w:sz w:val="18"/>
                <w:szCs w:val="18"/>
              </w:rPr>
              <w:t>Initial draft.</w:t>
            </w:r>
          </w:p>
        </w:tc>
      </w:tr>
      <w:tr w:rsidR="00A14474" w:rsidRPr="00A14474" w14:paraId="79B9BDB8" w14:textId="77777777" w:rsidTr="00082B52">
        <w:trPr>
          <w:cantSplit/>
          <w:trHeight w:val="70"/>
        </w:trPr>
        <w:tc>
          <w:tcPr>
            <w:tcW w:w="993" w:type="dxa"/>
          </w:tcPr>
          <w:p w14:paraId="167B3033" w14:textId="1EA7BBA5" w:rsidR="00A14474" w:rsidRPr="00A14474" w:rsidRDefault="00B01DB6" w:rsidP="00A14474">
            <w:pPr>
              <w:keepLines/>
              <w:widowControl w:val="0"/>
              <w:spacing w:before="60" w:after="60" w:line="240" w:lineRule="auto"/>
              <w:jc w:val="both"/>
              <w:rPr>
                <w:rFonts w:eastAsia="Times New Roman"/>
                <w:sz w:val="18"/>
                <w:szCs w:val="18"/>
              </w:rPr>
            </w:pPr>
            <w:r>
              <w:rPr>
                <w:rFonts w:eastAsia="Times New Roman"/>
                <w:sz w:val="18"/>
                <w:szCs w:val="18"/>
              </w:rPr>
              <w:t>0.2</w:t>
            </w:r>
          </w:p>
        </w:tc>
        <w:tc>
          <w:tcPr>
            <w:tcW w:w="2126" w:type="dxa"/>
          </w:tcPr>
          <w:p w14:paraId="0EF4C5E9" w14:textId="1F4DF171" w:rsidR="00A14474" w:rsidRPr="0059743A" w:rsidRDefault="0059743A" w:rsidP="00A14474">
            <w:pPr>
              <w:keepLines/>
              <w:widowControl w:val="0"/>
              <w:spacing w:before="60" w:after="60" w:line="240" w:lineRule="auto"/>
              <w:jc w:val="center"/>
              <w:rPr>
                <w:rFonts w:eastAsia="Times New Roman"/>
                <w:sz w:val="18"/>
                <w:szCs w:val="18"/>
              </w:rPr>
            </w:pPr>
            <w:r w:rsidRPr="0059743A">
              <w:rPr>
                <w:rFonts w:eastAsia="Times New Roman"/>
                <w:sz w:val="18"/>
                <w:szCs w:val="18"/>
              </w:rPr>
              <w:t>21</w:t>
            </w:r>
            <w:r w:rsidR="00B01DB6" w:rsidRPr="0059743A">
              <w:rPr>
                <w:rFonts w:eastAsia="Times New Roman"/>
                <w:sz w:val="18"/>
                <w:szCs w:val="18"/>
              </w:rPr>
              <w:t xml:space="preserve"> October 2019</w:t>
            </w:r>
          </w:p>
        </w:tc>
        <w:tc>
          <w:tcPr>
            <w:tcW w:w="5953" w:type="dxa"/>
          </w:tcPr>
          <w:p w14:paraId="5F5923A8" w14:textId="2197F791" w:rsidR="00A14474" w:rsidRPr="0059743A" w:rsidRDefault="0059743A" w:rsidP="00A14474">
            <w:pPr>
              <w:keepLines/>
              <w:widowControl w:val="0"/>
              <w:spacing w:before="60" w:after="60" w:line="240" w:lineRule="auto"/>
              <w:rPr>
                <w:rFonts w:eastAsia="Times New Roman"/>
                <w:sz w:val="18"/>
                <w:szCs w:val="18"/>
              </w:rPr>
            </w:pPr>
            <w:r w:rsidRPr="0059743A">
              <w:rPr>
                <w:rFonts w:eastAsia="Times New Roman"/>
                <w:sz w:val="18"/>
                <w:szCs w:val="18"/>
              </w:rPr>
              <w:t>Incorporate edits from the Department of Health,</w:t>
            </w:r>
          </w:p>
        </w:tc>
      </w:tr>
      <w:tr w:rsidR="00082B52" w:rsidRPr="00A14474" w14:paraId="427B5C05" w14:textId="77777777" w:rsidTr="00082B52">
        <w:trPr>
          <w:cantSplit/>
          <w:trHeight w:val="70"/>
        </w:trPr>
        <w:tc>
          <w:tcPr>
            <w:tcW w:w="993" w:type="dxa"/>
          </w:tcPr>
          <w:p w14:paraId="65B025F1" w14:textId="000D08A8" w:rsidR="00082B52" w:rsidRPr="00A14474" w:rsidRDefault="00082B52" w:rsidP="00082B52">
            <w:pPr>
              <w:keepLines/>
              <w:widowControl w:val="0"/>
              <w:spacing w:before="60" w:after="60" w:line="240" w:lineRule="auto"/>
              <w:jc w:val="both"/>
              <w:rPr>
                <w:rFonts w:eastAsia="Times New Roman"/>
                <w:sz w:val="18"/>
                <w:szCs w:val="18"/>
              </w:rPr>
            </w:pPr>
            <w:r>
              <w:rPr>
                <w:szCs w:val="18"/>
              </w:rPr>
              <w:t>0.3</w:t>
            </w:r>
          </w:p>
        </w:tc>
        <w:tc>
          <w:tcPr>
            <w:tcW w:w="2126" w:type="dxa"/>
          </w:tcPr>
          <w:p w14:paraId="31AC702F" w14:textId="5EC1EF9A" w:rsidR="00082B52" w:rsidRPr="00A14474" w:rsidRDefault="00082B52" w:rsidP="00082B52">
            <w:pPr>
              <w:keepLines/>
              <w:widowControl w:val="0"/>
              <w:spacing w:before="60" w:after="60" w:line="240" w:lineRule="auto"/>
              <w:jc w:val="center"/>
              <w:rPr>
                <w:rFonts w:eastAsia="Times New Roman"/>
                <w:sz w:val="18"/>
                <w:szCs w:val="18"/>
              </w:rPr>
            </w:pPr>
            <w:r>
              <w:rPr>
                <w:szCs w:val="18"/>
              </w:rPr>
              <w:t>13 December 2019</w:t>
            </w:r>
          </w:p>
        </w:tc>
        <w:tc>
          <w:tcPr>
            <w:tcW w:w="5953" w:type="dxa"/>
          </w:tcPr>
          <w:p w14:paraId="3F58888D" w14:textId="5111D1F1" w:rsidR="00082B52" w:rsidRPr="00A14474" w:rsidRDefault="00082B52" w:rsidP="00082B52">
            <w:pPr>
              <w:keepLines/>
              <w:widowControl w:val="0"/>
              <w:spacing w:before="60" w:after="60" w:line="240" w:lineRule="auto"/>
              <w:rPr>
                <w:rFonts w:eastAsia="Times New Roman"/>
                <w:sz w:val="18"/>
                <w:szCs w:val="18"/>
              </w:rPr>
            </w:pPr>
            <w:r>
              <w:rPr>
                <w:szCs w:val="18"/>
              </w:rPr>
              <w:t>Incorporate edits from the Evaluation Working Group.</w:t>
            </w:r>
          </w:p>
        </w:tc>
      </w:tr>
      <w:tr w:rsidR="00A14474" w:rsidRPr="00A14474" w14:paraId="06DC8A14" w14:textId="77777777" w:rsidTr="00082B52">
        <w:trPr>
          <w:cantSplit/>
          <w:trHeight w:val="70"/>
        </w:trPr>
        <w:tc>
          <w:tcPr>
            <w:tcW w:w="993" w:type="dxa"/>
          </w:tcPr>
          <w:p w14:paraId="1185FAA5" w14:textId="146A9CD5" w:rsidR="00A14474" w:rsidRPr="00A14474" w:rsidRDefault="006D3C17" w:rsidP="00A14474">
            <w:pPr>
              <w:keepLines/>
              <w:widowControl w:val="0"/>
              <w:spacing w:before="60" w:after="60" w:line="240" w:lineRule="auto"/>
              <w:jc w:val="both"/>
              <w:rPr>
                <w:rFonts w:eastAsia="Times New Roman"/>
                <w:sz w:val="18"/>
                <w:szCs w:val="18"/>
              </w:rPr>
            </w:pPr>
            <w:r>
              <w:rPr>
                <w:rFonts w:eastAsia="Times New Roman"/>
                <w:sz w:val="18"/>
                <w:szCs w:val="18"/>
              </w:rPr>
              <w:t>0.4</w:t>
            </w:r>
          </w:p>
        </w:tc>
        <w:tc>
          <w:tcPr>
            <w:tcW w:w="2126" w:type="dxa"/>
          </w:tcPr>
          <w:p w14:paraId="5BED42B6" w14:textId="1CC18335" w:rsidR="00A14474" w:rsidRPr="00A14474" w:rsidRDefault="006D3C17" w:rsidP="00A14474">
            <w:pPr>
              <w:keepLines/>
              <w:widowControl w:val="0"/>
              <w:spacing w:before="60" w:after="60" w:line="240" w:lineRule="auto"/>
              <w:jc w:val="center"/>
              <w:rPr>
                <w:rFonts w:eastAsia="Times New Roman"/>
                <w:sz w:val="18"/>
                <w:szCs w:val="18"/>
              </w:rPr>
            </w:pPr>
            <w:r>
              <w:rPr>
                <w:rFonts w:eastAsia="Times New Roman"/>
                <w:sz w:val="18"/>
                <w:szCs w:val="18"/>
              </w:rPr>
              <w:t>14 February 2020</w:t>
            </w:r>
          </w:p>
        </w:tc>
        <w:tc>
          <w:tcPr>
            <w:tcW w:w="5953" w:type="dxa"/>
          </w:tcPr>
          <w:p w14:paraId="382537DA" w14:textId="284EF32F" w:rsidR="00A14474" w:rsidRPr="00A14474" w:rsidRDefault="006D3C17" w:rsidP="00A14474">
            <w:pPr>
              <w:keepLines/>
              <w:widowControl w:val="0"/>
              <w:spacing w:before="60" w:after="60" w:line="240" w:lineRule="auto"/>
              <w:rPr>
                <w:rFonts w:eastAsia="Times New Roman"/>
                <w:sz w:val="18"/>
                <w:szCs w:val="18"/>
              </w:rPr>
            </w:pPr>
            <w:r>
              <w:rPr>
                <w:rFonts w:eastAsia="Times New Roman"/>
                <w:sz w:val="18"/>
                <w:szCs w:val="18"/>
              </w:rPr>
              <w:t>Minor edits to resolve discrepancies in data reported for different time points.</w:t>
            </w:r>
          </w:p>
        </w:tc>
      </w:tr>
      <w:tr w:rsidR="00A14474" w:rsidRPr="00A14474" w14:paraId="47AD30A4" w14:textId="77777777" w:rsidTr="00082B52">
        <w:trPr>
          <w:cantSplit/>
          <w:trHeight w:val="70"/>
        </w:trPr>
        <w:tc>
          <w:tcPr>
            <w:tcW w:w="993" w:type="dxa"/>
          </w:tcPr>
          <w:p w14:paraId="55A9D99C" w14:textId="77777777"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700E2649" w14:textId="77777777"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69DFBEF2" w14:textId="77777777" w:rsidR="00A14474" w:rsidRPr="00A14474" w:rsidRDefault="00A14474" w:rsidP="00A14474">
            <w:pPr>
              <w:keepLines/>
              <w:widowControl w:val="0"/>
              <w:spacing w:before="60" w:after="60" w:line="240" w:lineRule="auto"/>
              <w:rPr>
                <w:rFonts w:eastAsia="Times New Roman"/>
                <w:sz w:val="18"/>
                <w:szCs w:val="18"/>
              </w:rPr>
            </w:pPr>
          </w:p>
        </w:tc>
      </w:tr>
      <w:tr w:rsidR="00A14474" w:rsidRPr="00A14474" w14:paraId="32C1D9BC" w14:textId="77777777" w:rsidTr="00082B52">
        <w:trPr>
          <w:cantSplit/>
          <w:trHeight w:val="70"/>
        </w:trPr>
        <w:tc>
          <w:tcPr>
            <w:tcW w:w="993" w:type="dxa"/>
          </w:tcPr>
          <w:p w14:paraId="5A2FDE8A" w14:textId="77777777"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7979419A" w14:textId="77777777"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3BD6993F" w14:textId="77777777" w:rsidR="00A14474" w:rsidRPr="00A14474" w:rsidRDefault="00A14474" w:rsidP="00A14474">
            <w:pPr>
              <w:keepLines/>
              <w:widowControl w:val="0"/>
              <w:spacing w:before="60" w:after="60" w:line="240" w:lineRule="auto"/>
              <w:rPr>
                <w:rFonts w:eastAsia="Times New Roman"/>
                <w:sz w:val="18"/>
                <w:szCs w:val="18"/>
              </w:rPr>
            </w:pPr>
          </w:p>
        </w:tc>
      </w:tr>
      <w:tr w:rsidR="00A14474" w:rsidRPr="00A14474" w14:paraId="439C7E08" w14:textId="77777777" w:rsidTr="00082B52">
        <w:trPr>
          <w:cantSplit/>
          <w:trHeight w:val="70"/>
        </w:trPr>
        <w:tc>
          <w:tcPr>
            <w:tcW w:w="993" w:type="dxa"/>
          </w:tcPr>
          <w:p w14:paraId="51CABE96" w14:textId="77777777"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69FE70A8" w14:textId="77777777"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6134DA03" w14:textId="77777777" w:rsidR="00A14474" w:rsidRPr="00A14474" w:rsidRDefault="00A14474" w:rsidP="00A14474">
            <w:pPr>
              <w:keepLines/>
              <w:widowControl w:val="0"/>
              <w:spacing w:before="60" w:after="60" w:line="240" w:lineRule="auto"/>
              <w:rPr>
                <w:rFonts w:eastAsia="Times New Roman"/>
                <w:sz w:val="18"/>
                <w:szCs w:val="18"/>
              </w:rPr>
            </w:pPr>
          </w:p>
        </w:tc>
      </w:tr>
    </w:tbl>
    <w:p w14:paraId="659BC3AF" w14:textId="77777777" w:rsidR="00A14474" w:rsidRPr="00A14474" w:rsidRDefault="00A14474" w:rsidP="00A14474">
      <w:pPr>
        <w:spacing w:after="0" w:line="240" w:lineRule="auto"/>
        <w:jc w:val="both"/>
        <w:rPr>
          <w:rFonts w:eastAsia="MS Mincho"/>
          <w:sz w:val="18"/>
          <w:szCs w:val="20"/>
          <w:lang w:eastAsia="ja-JP"/>
        </w:rPr>
      </w:pPr>
    </w:p>
    <w:p w14:paraId="23AEF50E" w14:textId="77777777" w:rsidR="00A14474" w:rsidRPr="00A14474" w:rsidRDefault="00A14474" w:rsidP="00A14474"/>
    <w:p w14:paraId="244386F0" w14:textId="77777777" w:rsidR="005D6DB9" w:rsidRDefault="005D6DB9" w:rsidP="005D6DB9"/>
    <w:p w14:paraId="4D9C6B2C" w14:textId="77777777" w:rsidR="005D6DB9" w:rsidRDefault="005D6DB9" w:rsidP="005D6DB9"/>
    <w:p w14:paraId="04C8437D" w14:textId="77777777" w:rsidR="005D6DB9" w:rsidRDefault="005D6DB9" w:rsidP="005D6DB9"/>
    <w:p w14:paraId="11D1D759" w14:textId="77777777" w:rsidR="00B73702" w:rsidRDefault="00B73702" w:rsidP="005D6DB9"/>
    <w:p w14:paraId="506D7047" w14:textId="6F75D064" w:rsidR="005D6DB9" w:rsidRDefault="005D6DB9" w:rsidP="005D6DB9"/>
    <w:p w14:paraId="15C8729C" w14:textId="77777777" w:rsidR="00A14474" w:rsidRDefault="00A14474" w:rsidP="005D6DB9"/>
    <w:p w14:paraId="1352092F" w14:textId="77777777" w:rsidR="00A14474" w:rsidRDefault="00A14474" w:rsidP="005D6DB9"/>
    <w:p w14:paraId="11793700" w14:textId="77777777" w:rsidR="005D6DB9" w:rsidRDefault="005D6DB9" w:rsidP="005D6DB9"/>
    <w:p w14:paraId="723FC15B" w14:textId="77777777" w:rsidR="00640EFA" w:rsidRPr="00A14474" w:rsidRDefault="00640EFA" w:rsidP="00A14474">
      <w:pPr>
        <w:rPr>
          <w:rFonts w:cs="Arial"/>
          <w:bCs/>
          <w:color w:val="003D79"/>
          <w:sz w:val="36"/>
          <w:szCs w:val="36"/>
        </w:rPr>
      </w:pPr>
      <w:r w:rsidRPr="00A14474">
        <w:rPr>
          <w:rFonts w:cs="Arial"/>
          <w:bCs/>
          <w:color w:val="003D79"/>
          <w:sz w:val="36"/>
          <w:szCs w:val="36"/>
        </w:rPr>
        <w:t>Suggested citation</w:t>
      </w:r>
    </w:p>
    <w:p w14:paraId="12E9AF68" w14:textId="6ACCC6CE" w:rsidR="00640EFA" w:rsidRPr="00C815DC" w:rsidRDefault="003D1064" w:rsidP="002F1ABD">
      <w:pPr>
        <w:rPr>
          <w:rFonts w:cs="Arial"/>
          <w:szCs w:val="20"/>
        </w:rPr>
      </w:pPr>
      <w:r w:rsidRPr="003D1064">
        <w:rPr>
          <w:rFonts w:cs="Arial"/>
          <w:szCs w:val="20"/>
        </w:rPr>
        <w:t>Health Policy Analysis 201</w:t>
      </w:r>
      <w:r w:rsidR="006B3F1F">
        <w:rPr>
          <w:rFonts w:cs="Arial"/>
          <w:szCs w:val="20"/>
        </w:rPr>
        <w:t>9</w:t>
      </w:r>
      <w:r w:rsidRPr="003D1064">
        <w:rPr>
          <w:rFonts w:cs="Arial"/>
          <w:szCs w:val="20"/>
        </w:rPr>
        <w:t xml:space="preserve">. Evaluation of the Health Care Homes program – </w:t>
      </w:r>
      <w:r w:rsidR="002F1ABD" w:rsidRPr="002F1ABD">
        <w:rPr>
          <w:rFonts w:cs="Arial"/>
          <w:szCs w:val="20"/>
        </w:rPr>
        <w:t xml:space="preserve">Interim </w:t>
      </w:r>
      <w:r w:rsidR="005276D6">
        <w:rPr>
          <w:rFonts w:cs="Arial"/>
          <w:szCs w:val="20"/>
        </w:rPr>
        <w:t>evaluation r</w:t>
      </w:r>
      <w:r w:rsidR="002F1ABD" w:rsidRPr="002F1ABD">
        <w:rPr>
          <w:rFonts w:cs="Arial"/>
          <w:szCs w:val="20"/>
        </w:rPr>
        <w:t>eport</w:t>
      </w:r>
      <w:r w:rsidR="00A14474">
        <w:rPr>
          <w:rFonts w:cs="Arial"/>
          <w:szCs w:val="20"/>
        </w:rPr>
        <w:t xml:space="preserve"> 2019, </w:t>
      </w:r>
      <w:r w:rsidR="002F1ABD" w:rsidRPr="002F1ABD">
        <w:rPr>
          <w:rFonts w:cs="Arial"/>
          <w:szCs w:val="20"/>
        </w:rPr>
        <w:t>Volume 1</w:t>
      </w:r>
      <w:r w:rsidR="002F1ABD">
        <w:rPr>
          <w:rFonts w:cs="Arial"/>
          <w:szCs w:val="20"/>
        </w:rPr>
        <w:t xml:space="preserve">: </w:t>
      </w:r>
      <w:r w:rsidR="00924C16">
        <w:rPr>
          <w:rFonts w:cs="Arial"/>
          <w:szCs w:val="20"/>
        </w:rPr>
        <w:t>Summary</w:t>
      </w:r>
      <w:r w:rsidR="00B92A30">
        <w:rPr>
          <w:rFonts w:cs="Arial"/>
          <w:szCs w:val="20"/>
        </w:rPr>
        <w:t xml:space="preserve"> report</w:t>
      </w:r>
      <w:r w:rsidRPr="003D1064">
        <w:rPr>
          <w:rFonts w:cs="Arial"/>
          <w:szCs w:val="20"/>
        </w:rPr>
        <w:t>. Canberra: Department of Health</w:t>
      </w:r>
      <w:r w:rsidR="00640EFA">
        <w:rPr>
          <w:rFonts w:cs="Arial"/>
          <w:szCs w:val="20"/>
        </w:rPr>
        <w:t>.</w:t>
      </w:r>
    </w:p>
    <w:p w14:paraId="29FAD943" w14:textId="77777777" w:rsidR="00640EFA" w:rsidRPr="00A14474" w:rsidRDefault="00640EFA" w:rsidP="00A14474">
      <w:pPr>
        <w:rPr>
          <w:rFonts w:cs="Arial"/>
          <w:bCs/>
          <w:color w:val="003D79"/>
          <w:sz w:val="36"/>
          <w:szCs w:val="36"/>
        </w:rPr>
      </w:pPr>
      <w:r w:rsidRPr="00A14474">
        <w:rPr>
          <w:rFonts w:cs="Arial"/>
          <w:bCs/>
          <w:color w:val="003D79"/>
          <w:sz w:val="36"/>
          <w:szCs w:val="36"/>
        </w:rPr>
        <w:t>Disclaimer</w:t>
      </w:r>
    </w:p>
    <w:p w14:paraId="176DA6D3" w14:textId="77777777" w:rsidR="00640EFA" w:rsidRPr="00C815DC" w:rsidRDefault="00640EFA" w:rsidP="00640EFA">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00EB78D6" w:rsidRPr="00EB78D6">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64A5AB11" w14:textId="77777777" w:rsidR="00640EFA" w:rsidRPr="00A14474" w:rsidRDefault="00640EFA" w:rsidP="00640EFA">
      <w:pPr>
        <w:rPr>
          <w:szCs w:val="20"/>
        </w:rPr>
      </w:pPr>
      <w:r w:rsidRPr="00A14474">
        <w:rPr>
          <w:rFonts w:cs="Arial"/>
          <w:bCs/>
          <w:color w:val="003D79"/>
          <w:sz w:val="36"/>
          <w:szCs w:val="36"/>
        </w:rPr>
        <w:t xml:space="preserve">Health Policy Analysis Pty Ltd </w:t>
      </w:r>
    </w:p>
    <w:p w14:paraId="42A090C7" w14:textId="77777777" w:rsidR="00640EFA" w:rsidRPr="008D691C" w:rsidRDefault="00640EFA" w:rsidP="00640EFA">
      <w:pPr>
        <w:spacing w:after="120" w:line="240" w:lineRule="auto"/>
        <w:rPr>
          <w:rFonts w:cs="Arial"/>
          <w:bCs/>
          <w:color w:val="003D79"/>
        </w:rPr>
      </w:pPr>
      <w:r w:rsidRPr="008D691C">
        <w:rPr>
          <w:rFonts w:cs="Arial"/>
          <w:bCs/>
          <w:color w:val="003D79"/>
        </w:rPr>
        <w:t>Suite 101, 30 Atchison Street, St Leonards 2065</w:t>
      </w:r>
    </w:p>
    <w:p w14:paraId="24DF07D3" w14:textId="77777777" w:rsidR="00640EFA" w:rsidRPr="008D691C" w:rsidRDefault="00640EFA" w:rsidP="00640EFA">
      <w:pPr>
        <w:spacing w:after="120" w:line="240" w:lineRule="auto"/>
        <w:rPr>
          <w:rFonts w:cs="Arial"/>
          <w:bCs/>
          <w:color w:val="003D79"/>
        </w:rPr>
      </w:pPr>
      <w:r w:rsidRPr="008D691C">
        <w:rPr>
          <w:rFonts w:cs="Arial"/>
          <w:bCs/>
          <w:color w:val="003D79"/>
        </w:rPr>
        <w:t>ABN: 54 105 830 920</w:t>
      </w:r>
    </w:p>
    <w:p w14:paraId="2E0997E6" w14:textId="316D1C77" w:rsidR="00640EFA" w:rsidRPr="00A14474" w:rsidRDefault="00640EFA" w:rsidP="00A14474">
      <w:pPr>
        <w:spacing w:after="120" w:line="240" w:lineRule="auto"/>
        <w:rPr>
          <w:rFonts w:cs="Arial"/>
          <w:bCs/>
          <w:color w:val="003D79"/>
        </w:rPr>
        <w:sectPr w:rsidR="00640EFA" w:rsidRPr="00A14474" w:rsidSect="00640EFA">
          <w:headerReference w:type="even" r:id="rId11"/>
          <w:headerReference w:type="default" r:id="rId12"/>
          <w:headerReference w:type="first" r:id="rId13"/>
          <w:pgSz w:w="11906" w:h="16838"/>
          <w:pgMar w:top="1440" w:right="1440" w:bottom="1440" w:left="1440" w:header="708" w:footer="708" w:gutter="0"/>
          <w:cols w:space="708"/>
          <w:titlePg/>
          <w:docGrid w:linePitch="360"/>
        </w:sectPr>
      </w:pPr>
      <w:r w:rsidRPr="008D691C">
        <w:rPr>
          <w:rFonts w:cs="Arial"/>
          <w:bCs/>
          <w:color w:val="003D79"/>
        </w:rPr>
        <w:t>Phone: +61 2 8065 6491</w:t>
      </w:r>
    </w:p>
    <w:p w14:paraId="41151205" w14:textId="77777777" w:rsidR="00640EFA" w:rsidRPr="0059743A" w:rsidRDefault="00640EFA" w:rsidP="0059743A">
      <w:pPr>
        <w:rPr>
          <w:color w:val="003D79"/>
          <w:sz w:val="80"/>
          <w:szCs w:val="80"/>
        </w:rPr>
      </w:pPr>
      <w:r w:rsidRPr="0059743A">
        <w:rPr>
          <w:color w:val="003D79"/>
          <w:sz w:val="80"/>
          <w:szCs w:val="80"/>
        </w:rPr>
        <w:lastRenderedPageBreak/>
        <w:t>Table of contents</w:t>
      </w:r>
    </w:p>
    <w:p w14:paraId="76CDA4D2" w14:textId="3DFE64E0" w:rsidR="00FE0EFE" w:rsidRDefault="00D9739A">
      <w:pPr>
        <w:pStyle w:val="TOC1"/>
        <w:rPr>
          <w:rFonts w:asciiTheme="minorHAnsi" w:eastAsiaTheme="minorEastAsia" w:hAnsiTheme="minorHAnsi" w:cstheme="minorBidi"/>
          <w:i w:val="0"/>
          <w:noProof/>
          <w:color w:val="auto"/>
          <w:sz w:val="22"/>
          <w:lang w:val="en-AU" w:eastAsia="en-AU"/>
        </w:rPr>
      </w:pPr>
      <w:r>
        <w:rPr>
          <w:rFonts w:eastAsia="Calibri"/>
          <w:b/>
          <w:lang w:val="en-AU"/>
        </w:rPr>
        <w:fldChar w:fldCharType="begin"/>
      </w:r>
      <w:r>
        <w:rPr>
          <w:b/>
        </w:rPr>
        <w:instrText xml:space="preserve"> TOC \o "2-2" \h \z \t "Heading 1,1,Heading 1 no number,1,Heading 1 with number,1,Appendix,1" </w:instrText>
      </w:r>
      <w:r>
        <w:rPr>
          <w:rFonts w:eastAsia="Calibri"/>
          <w:b/>
          <w:lang w:val="en-AU"/>
        </w:rPr>
        <w:fldChar w:fldCharType="separate"/>
      </w:r>
      <w:hyperlink w:anchor="_Toc32585811" w:history="1">
        <w:r w:rsidR="00FE0EFE" w:rsidRPr="00E86A86">
          <w:rPr>
            <w:rStyle w:val="Hyperlink"/>
            <w:noProof/>
          </w:rPr>
          <w:t>Acronyms and initialisms</w:t>
        </w:r>
        <w:r w:rsidR="00FE0EFE">
          <w:rPr>
            <w:noProof/>
            <w:webHidden/>
          </w:rPr>
          <w:tab/>
        </w:r>
        <w:r w:rsidR="00FE0EFE">
          <w:rPr>
            <w:noProof/>
            <w:webHidden/>
          </w:rPr>
          <w:fldChar w:fldCharType="begin"/>
        </w:r>
        <w:r w:rsidR="00FE0EFE">
          <w:rPr>
            <w:noProof/>
            <w:webHidden/>
          </w:rPr>
          <w:instrText xml:space="preserve"> PAGEREF _Toc32585811 \h </w:instrText>
        </w:r>
        <w:r w:rsidR="00FE0EFE">
          <w:rPr>
            <w:noProof/>
            <w:webHidden/>
          </w:rPr>
        </w:r>
        <w:r w:rsidR="00FE0EFE">
          <w:rPr>
            <w:noProof/>
            <w:webHidden/>
          </w:rPr>
          <w:fldChar w:fldCharType="separate"/>
        </w:r>
        <w:r w:rsidR="00FE0EFE">
          <w:rPr>
            <w:noProof/>
            <w:webHidden/>
          </w:rPr>
          <w:t>2</w:t>
        </w:r>
        <w:r w:rsidR="00FE0EFE">
          <w:rPr>
            <w:noProof/>
            <w:webHidden/>
          </w:rPr>
          <w:fldChar w:fldCharType="end"/>
        </w:r>
      </w:hyperlink>
    </w:p>
    <w:p w14:paraId="4A3903E0" w14:textId="06D5E4D7" w:rsidR="00FE0EFE" w:rsidRDefault="00831110">
      <w:pPr>
        <w:pStyle w:val="TOC1"/>
        <w:rPr>
          <w:rFonts w:asciiTheme="minorHAnsi" w:eastAsiaTheme="minorEastAsia" w:hAnsiTheme="minorHAnsi" w:cstheme="minorBidi"/>
          <w:i w:val="0"/>
          <w:noProof/>
          <w:color w:val="auto"/>
          <w:sz w:val="22"/>
          <w:lang w:val="en-AU" w:eastAsia="en-AU"/>
        </w:rPr>
      </w:pPr>
      <w:hyperlink w:anchor="_Toc32585812" w:history="1">
        <w:r w:rsidR="00FE0EFE" w:rsidRPr="00E86A86">
          <w:rPr>
            <w:rStyle w:val="Hyperlink"/>
            <w:noProof/>
          </w:rPr>
          <w:t>Introduction</w:t>
        </w:r>
        <w:r w:rsidR="00FE0EFE">
          <w:rPr>
            <w:noProof/>
            <w:webHidden/>
          </w:rPr>
          <w:tab/>
        </w:r>
        <w:r w:rsidR="00FE0EFE">
          <w:rPr>
            <w:noProof/>
            <w:webHidden/>
          </w:rPr>
          <w:fldChar w:fldCharType="begin"/>
        </w:r>
        <w:r w:rsidR="00FE0EFE">
          <w:rPr>
            <w:noProof/>
            <w:webHidden/>
          </w:rPr>
          <w:instrText xml:space="preserve"> PAGEREF _Toc32585812 \h </w:instrText>
        </w:r>
        <w:r w:rsidR="00FE0EFE">
          <w:rPr>
            <w:noProof/>
            <w:webHidden/>
          </w:rPr>
        </w:r>
        <w:r w:rsidR="00FE0EFE">
          <w:rPr>
            <w:noProof/>
            <w:webHidden/>
          </w:rPr>
          <w:fldChar w:fldCharType="separate"/>
        </w:r>
        <w:r w:rsidR="00FE0EFE">
          <w:rPr>
            <w:noProof/>
            <w:webHidden/>
          </w:rPr>
          <w:t>3</w:t>
        </w:r>
        <w:r w:rsidR="00FE0EFE">
          <w:rPr>
            <w:noProof/>
            <w:webHidden/>
          </w:rPr>
          <w:fldChar w:fldCharType="end"/>
        </w:r>
      </w:hyperlink>
    </w:p>
    <w:p w14:paraId="08567E52" w14:textId="2D45FC19"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13" w:history="1">
        <w:r w:rsidR="00FE0EFE" w:rsidRPr="00E86A86">
          <w:rPr>
            <w:rStyle w:val="Hyperlink"/>
            <w:noProof/>
          </w:rPr>
          <w:t>The HCH evaluation</w:t>
        </w:r>
        <w:r w:rsidR="00FE0EFE">
          <w:rPr>
            <w:noProof/>
            <w:webHidden/>
          </w:rPr>
          <w:tab/>
        </w:r>
        <w:r w:rsidR="00FE0EFE">
          <w:rPr>
            <w:noProof/>
            <w:webHidden/>
          </w:rPr>
          <w:fldChar w:fldCharType="begin"/>
        </w:r>
        <w:r w:rsidR="00FE0EFE">
          <w:rPr>
            <w:noProof/>
            <w:webHidden/>
          </w:rPr>
          <w:instrText xml:space="preserve"> PAGEREF _Toc32585813 \h </w:instrText>
        </w:r>
        <w:r w:rsidR="00FE0EFE">
          <w:rPr>
            <w:noProof/>
            <w:webHidden/>
          </w:rPr>
        </w:r>
        <w:r w:rsidR="00FE0EFE">
          <w:rPr>
            <w:noProof/>
            <w:webHidden/>
          </w:rPr>
          <w:fldChar w:fldCharType="separate"/>
        </w:r>
        <w:r w:rsidR="00FE0EFE">
          <w:rPr>
            <w:noProof/>
            <w:webHidden/>
          </w:rPr>
          <w:t>5</w:t>
        </w:r>
        <w:r w:rsidR="00FE0EFE">
          <w:rPr>
            <w:noProof/>
            <w:webHidden/>
          </w:rPr>
          <w:fldChar w:fldCharType="end"/>
        </w:r>
      </w:hyperlink>
    </w:p>
    <w:p w14:paraId="7938D060" w14:textId="1CF8CD46"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14" w:history="1">
        <w:r w:rsidR="00FE0EFE" w:rsidRPr="00E86A86">
          <w:rPr>
            <w:rStyle w:val="Hyperlink"/>
            <w:noProof/>
          </w:rPr>
          <w:t>This report</w:t>
        </w:r>
        <w:r w:rsidR="00FE0EFE">
          <w:rPr>
            <w:noProof/>
            <w:webHidden/>
          </w:rPr>
          <w:tab/>
        </w:r>
        <w:r w:rsidR="00FE0EFE">
          <w:rPr>
            <w:noProof/>
            <w:webHidden/>
          </w:rPr>
          <w:fldChar w:fldCharType="begin"/>
        </w:r>
        <w:r w:rsidR="00FE0EFE">
          <w:rPr>
            <w:noProof/>
            <w:webHidden/>
          </w:rPr>
          <w:instrText xml:space="preserve"> PAGEREF _Toc32585814 \h </w:instrText>
        </w:r>
        <w:r w:rsidR="00FE0EFE">
          <w:rPr>
            <w:noProof/>
            <w:webHidden/>
          </w:rPr>
        </w:r>
        <w:r w:rsidR="00FE0EFE">
          <w:rPr>
            <w:noProof/>
            <w:webHidden/>
          </w:rPr>
          <w:fldChar w:fldCharType="separate"/>
        </w:r>
        <w:r w:rsidR="00FE0EFE">
          <w:rPr>
            <w:noProof/>
            <w:webHidden/>
          </w:rPr>
          <w:t>6</w:t>
        </w:r>
        <w:r w:rsidR="00FE0EFE">
          <w:rPr>
            <w:noProof/>
            <w:webHidden/>
          </w:rPr>
          <w:fldChar w:fldCharType="end"/>
        </w:r>
      </w:hyperlink>
    </w:p>
    <w:p w14:paraId="139EE2BF" w14:textId="237155F1" w:rsidR="00FE0EFE" w:rsidRDefault="00831110">
      <w:pPr>
        <w:pStyle w:val="TOC1"/>
        <w:rPr>
          <w:rFonts w:asciiTheme="minorHAnsi" w:eastAsiaTheme="minorEastAsia" w:hAnsiTheme="minorHAnsi" w:cstheme="minorBidi"/>
          <w:i w:val="0"/>
          <w:noProof/>
          <w:color w:val="auto"/>
          <w:sz w:val="22"/>
          <w:lang w:val="en-AU" w:eastAsia="en-AU"/>
        </w:rPr>
      </w:pPr>
      <w:hyperlink w:anchor="_Toc32585815" w:history="1">
        <w:r w:rsidR="00FE0EFE" w:rsidRPr="00E86A86">
          <w:rPr>
            <w:rStyle w:val="Hyperlink"/>
            <w:noProof/>
          </w:rPr>
          <w:t>Key findings</w:t>
        </w:r>
        <w:r w:rsidR="00FE0EFE">
          <w:rPr>
            <w:noProof/>
            <w:webHidden/>
          </w:rPr>
          <w:tab/>
        </w:r>
        <w:r w:rsidR="00FE0EFE">
          <w:rPr>
            <w:noProof/>
            <w:webHidden/>
          </w:rPr>
          <w:fldChar w:fldCharType="begin"/>
        </w:r>
        <w:r w:rsidR="00FE0EFE">
          <w:rPr>
            <w:noProof/>
            <w:webHidden/>
          </w:rPr>
          <w:instrText xml:space="preserve"> PAGEREF _Toc32585815 \h </w:instrText>
        </w:r>
        <w:r w:rsidR="00FE0EFE">
          <w:rPr>
            <w:noProof/>
            <w:webHidden/>
          </w:rPr>
        </w:r>
        <w:r w:rsidR="00FE0EFE">
          <w:rPr>
            <w:noProof/>
            <w:webHidden/>
          </w:rPr>
          <w:fldChar w:fldCharType="separate"/>
        </w:r>
        <w:r w:rsidR="00FE0EFE">
          <w:rPr>
            <w:noProof/>
            <w:webHidden/>
          </w:rPr>
          <w:t>7</w:t>
        </w:r>
        <w:r w:rsidR="00FE0EFE">
          <w:rPr>
            <w:noProof/>
            <w:webHidden/>
          </w:rPr>
          <w:fldChar w:fldCharType="end"/>
        </w:r>
      </w:hyperlink>
    </w:p>
    <w:p w14:paraId="516D7434" w14:textId="7D037526" w:rsidR="00FE0EFE" w:rsidRDefault="00831110">
      <w:pPr>
        <w:pStyle w:val="TOC1"/>
        <w:rPr>
          <w:rFonts w:asciiTheme="minorHAnsi" w:eastAsiaTheme="minorEastAsia" w:hAnsiTheme="minorHAnsi" w:cstheme="minorBidi"/>
          <w:i w:val="0"/>
          <w:noProof/>
          <w:color w:val="auto"/>
          <w:sz w:val="22"/>
          <w:lang w:val="en-AU" w:eastAsia="en-AU"/>
        </w:rPr>
      </w:pPr>
      <w:hyperlink w:anchor="_Toc32585816" w:history="1">
        <w:r w:rsidR="00FE0EFE" w:rsidRPr="00E86A86">
          <w:rPr>
            <w:rStyle w:val="Hyperlink"/>
            <w:noProof/>
          </w:rPr>
          <w:t>Characteristics of HCH practices</w:t>
        </w:r>
        <w:r w:rsidR="00FE0EFE">
          <w:rPr>
            <w:noProof/>
            <w:webHidden/>
          </w:rPr>
          <w:tab/>
        </w:r>
        <w:r w:rsidR="00FE0EFE">
          <w:rPr>
            <w:noProof/>
            <w:webHidden/>
          </w:rPr>
          <w:fldChar w:fldCharType="begin"/>
        </w:r>
        <w:r w:rsidR="00FE0EFE">
          <w:rPr>
            <w:noProof/>
            <w:webHidden/>
          </w:rPr>
          <w:instrText xml:space="preserve"> PAGEREF _Toc32585816 \h </w:instrText>
        </w:r>
        <w:r w:rsidR="00FE0EFE">
          <w:rPr>
            <w:noProof/>
            <w:webHidden/>
          </w:rPr>
        </w:r>
        <w:r w:rsidR="00FE0EFE">
          <w:rPr>
            <w:noProof/>
            <w:webHidden/>
          </w:rPr>
          <w:fldChar w:fldCharType="separate"/>
        </w:r>
        <w:r w:rsidR="00FE0EFE">
          <w:rPr>
            <w:noProof/>
            <w:webHidden/>
          </w:rPr>
          <w:t>9</w:t>
        </w:r>
        <w:r w:rsidR="00FE0EFE">
          <w:rPr>
            <w:noProof/>
            <w:webHidden/>
          </w:rPr>
          <w:fldChar w:fldCharType="end"/>
        </w:r>
      </w:hyperlink>
    </w:p>
    <w:p w14:paraId="6F0FDF48" w14:textId="4B547530" w:rsidR="00FE0EFE" w:rsidRDefault="00831110">
      <w:pPr>
        <w:pStyle w:val="TOC1"/>
        <w:rPr>
          <w:rFonts w:asciiTheme="minorHAnsi" w:eastAsiaTheme="minorEastAsia" w:hAnsiTheme="minorHAnsi" w:cstheme="minorBidi"/>
          <w:i w:val="0"/>
          <w:noProof/>
          <w:color w:val="auto"/>
          <w:sz w:val="22"/>
          <w:lang w:val="en-AU" w:eastAsia="en-AU"/>
        </w:rPr>
      </w:pPr>
      <w:hyperlink w:anchor="_Toc32585817" w:history="1">
        <w:r w:rsidR="00FE0EFE" w:rsidRPr="00E86A86">
          <w:rPr>
            <w:rStyle w:val="Hyperlink"/>
            <w:noProof/>
          </w:rPr>
          <w:t>Characteristics of HCH patients</w:t>
        </w:r>
        <w:r w:rsidR="00FE0EFE">
          <w:rPr>
            <w:noProof/>
            <w:webHidden/>
          </w:rPr>
          <w:tab/>
        </w:r>
        <w:r w:rsidR="00FE0EFE">
          <w:rPr>
            <w:noProof/>
            <w:webHidden/>
          </w:rPr>
          <w:fldChar w:fldCharType="begin"/>
        </w:r>
        <w:r w:rsidR="00FE0EFE">
          <w:rPr>
            <w:noProof/>
            <w:webHidden/>
          </w:rPr>
          <w:instrText xml:space="preserve"> PAGEREF _Toc32585817 \h </w:instrText>
        </w:r>
        <w:r w:rsidR="00FE0EFE">
          <w:rPr>
            <w:noProof/>
            <w:webHidden/>
          </w:rPr>
        </w:r>
        <w:r w:rsidR="00FE0EFE">
          <w:rPr>
            <w:noProof/>
            <w:webHidden/>
          </w:rPr>
          <w:fldChar w:fldCharType="separate"/>
        </w:r>
        <w:r w:rsidR="00FE0EFE">
          <w:rPr>
            <w:noProof/>
            <w:webHidden/>
          </w:rPr>
          <w:t>10</w:t>
        </w:r>
        <w:r w:rsidR="00FE0EFE">
          <w:rPr>
            <w:noProof/>
            <w:webHidden/>
          </w:rPr>
          <w:fldChar w:fldCharType="end"/>
        </w:r>
      </w:hyperlink>
    </w:p>
    <w:p w14:paraId="4EF5B8AE" w14:textId="5F6D2B7A" w:rsidR="00FE0EFE" w:rsidRDefault="00831110">
      <w:pPr>
        <w:pStyle w:val="TOC1"/>
        <w:rPr>
          <w:rFonts w:asciiTheme="minorHAnsi" w:eastAsiaTheme="minorEastAsia" w:hAnsiTheme="minorHAnsi" w:cstheme="minorBidi"/>
          <w:i w:val="0"/>
          <w:noProof/>
          <w:color w:val="auto"/>
          <w:sz w:val="22"/>
          <w:lang w:val="en-AU" w:eastAsia="en-AU"/>
        </w:rPr>
      </w:pPr>
      <w:hyperlink w:anchor="_Toc32585818" w:history="1">
        <w:r w:rsidR="00FE0EFE" w:rsidRPr="00E86A86">
          <w:rPr>
            <w:rStyle w:val="Hyperlink"/>
            <w:noProof/>
          </w:rPr>
          <w:t>Practice experience of implementation</w:t>
        </w:r>
        <w:r w:rsidR="00FE0EFE">
          <w:rPr>
            <w:noProof/>
            <w:webHidden/>
          </w:rPr>
          <w:tab/>
        </w:r>
        <w:r w:rsidR="00FE0EFE">
          <w:rPr>
            <w:noProof/>
            <w:webHidden/>
          </w:rPr>
          <w:fldChar w:fldCharType="begin"/>
        </w:r>
        <w:r w:rsidR="00FE0EFE">
          <w:rPr>
            <w:noProof/>
            <w:webHidden/>
          </w:rPr>
          <w:instrText xml:space="preserve"> PAGEREF _Toc32585818 \h </w:instrText>
        </w:r>
        <w:r w:rsidR="00FE0EFE">
          <w:rPr>
            <w:noProof/>
            <w:webHidden/>
          </w:rPr>
        </w:r>
        <w:r w:rsidR="00FE0EFE">
          <w:rPr>
            <w:noProof/>
            <w:webHidden/>
          </w:rPr>
          <w:fldChar w:fldCharType="separate"/>
        </w:r>
        <w:r w:rsidR="00FE0EFE">
          <w:rPr>
            <w:noProof/>
            <w:webHidden/>
          </w:rPr>
          <w:t>12</w:t>
        </w:r>
        <w:r w:rsidR="00FE0EFE">
          <w:rPr>
            <w:noProof/>
            <w:webHidden/>
          </w:rPr>
          <w:fldChar w:fldCharType="end"/>
        </w:r>
      </w:hyperlink>
    </w:p>
    <w:p w14:paraId="43BAB7DD" w14:textId="652C50F1"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19" w:history="1">
        <w:r w:rsidR="00FE0EFE" w:rsidRPr="00E86A86">
          <w:rPr>
            <w:rStyle w:val="Hyperlink"/>
            <w:noProof/>
          </w:rPr>
          <w:t>Setting up for HCH</w:t>
        </w:r>
        <w:r w:rsidR="00FE0EFE">
          <w:rPr>
            <w:noProof/>
            <w:webHidden/>
          </w:rPr>
          <w:tab/>
        </w:r>
        <w:r w:rsidR="00FE0EFE">
          <w:rPr>
            <w:noProof/>
            <w:webHidden/>
          </w:rPr>
          <w:fldChar w:fldCharType="begin"/>
        </w:r>
        <w:r w:rsidR="00FE0EFE">
          <w:rPr>
            <w:noProof/>
            <w:webHidden/>
          </w:rPr>
          <w:instrText xml:space="preserve"> PAGEREF _Toc32585819 \h </w:instrText>
        </w:r>
        <w:r w:rsidR="00FE0EFE">
          <w:rPr>
            <w:noProof/>
            <w:webHidden/>
          </w:rPr>
        </w:r>
        <w:r w:rsidR="00FE0EFE">
          <w:rPr>
            <w:noProof/>
            <w:webHidden/>
          </w:rPr>
          <w:fldChar w:fldCharType="separate"/>
        </w:r>
        <w:r w:rsidR="00FE0EFE">
          <w:rPr>
            <w:noProof/>
            <w:webHidden/>
          </w:rPr>
          <w:t>12</w:t>
        </w:r>
        <w:r w:rsidR="00FE0EFE">
          <w:rPr>
            <w:noProof/>
            <w:webHidden/>
          </w:rPr>
          <w:fldChar w:fldCharType="end"/>
        </w:r>
      </w:hyperlink>
    </w:p>
    <w:p w14:paraId="6D2C6C27" w14:textId="00B8ADB3"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20" w:history="1">
        <w:r w:rsidR="00FE0EFE" w:rsidRPr="00E86A86">
          <w:rPr>
            <w:rStyle w:val="Hyperlink"/>
            <w:noProof/>
          </w:rPr>
          <w:t>Enrolling patients</w:t>
        </w:r>
        <w:r w:rsidR="00FE0EFE">
          <w:rPr>
            <w:noProof/>
            <w:webHidden/>
          </w:rPr>
          <w:tab/>
        </w:r>
        <w:r w:rsidR="00FE0EFE">
          <w:rPr>
            <w:noProof/>
            <w:webHidden/>
          </w:rPr>
          <w:fldChar w:fldCharType="begin"/>
        </w:r>
        <w:r w:rsidR="00FE0EFE">
          <w:rPr>
            <w:noProof/>
            <w:webHidden/>
          </w:rPr>
          <w:instrText xml:space="preserve"> PAGEREF _Toc32585820 \h </w:instrText>
        </w:r>
        <w:r w:rsidR="00FE0EFE">
          <w:rPr>
            <w:noProof/>
            <w:webHidden/>
          </w:rPr>
        </w:r>
        <w:r w:rsidR="00FE0EFE">
          <w:rPr>
            <w:noProof/>
            <w:webHidden/>
          </w:rPr>
          <w:fldChar w:fldCharType="separate"/>
        </w:r>
        <w:r w:rsidR="00FE0EFE">
          <w:rPr>
            <w:noProof/>
            <w:webHidden/>
          </w:rPr>
          <w:t>13</w:t>
        </w:r>
        <w:r w:rsidR="00FE0EFE">
          <w:rPr>
            <w:noProof/>
            <w:webHidden/>
          </w:rPr>
          <w:fldChar w:fldCharType="end"/>
        </w:r>
      </w:hyperlink>
    </w:p>
    <w:p w14:paraId="5C3E1053" w14:textId="47D31D4E"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21" w:history="1">
        <w:r w:rsidR="00FE0EFE" w:rsidRPr="00E86A86">
          <w:rPr>
            <w:rStyle w:val="Hyperlink"/>
            <w:noProof/>
          </w:rPr>
          <w:t>Implementing the HCH model</w:t>
        </w:r>
        <w:r w:rsidR="00FE0EFE">
          <w:rPr>
            <w:noProof/>
            <w:webHidden/>
          </w:rPr>
          <w:tab/>
        </w:r>
        <w:r w:rsidR="00FE0EFE">
          <w:rPr>
            <w:noProof/>
            <w:webHidden/>
          </w:rPr>
          <w:fldChar w:fldCharType="begin"/>
        </w:r>
        <w:r w:rsidR="00FE0EFE">
          <w:rPr>
            <w:noProof/>
            <w:webHidden/>
          </w:rPr>
          <w:instrText xml:space="preserve"> PAGEREF _Toc32585821 \h </w:instrText>
        </w:r>
        <w:r w:rsidR="00FE0EFE">
          <w:rPr>
            <w:noProof/>
            <w:webHidden/>
          </w:rPr>
        </w:r>
        <w:r w:rsidR="00FE0EFE">
          <w:rPr>
            <w:noProof/>
            <w:webHidden/>
          </w:rPr>
          <w:fldChar w:fldCharType="separate"/>
        </w:r>
        <w:r w:rsidR="00FE0EFE">
          <w:rPr>
            <w:noProof/>
            <w:webHidden/>
          </w:rPr>
          <w:t>14</w:t>
        </w:r>
        <w:r w:rsidR="00FE0EFE">
          <w:rPr>
            <w:noProof/>
            <w:webHidden/>
          </w:rPr>
          <w:fldChar w:fldCharType="end"/>
        </w:r>
      </w:hyperlink>
    </w:p>
    <w:p w14:paraId="5405193E" w14:textId="16F8E511"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22" w:history="1">
        <w:r w:rsidR="00FE0EFE" w:rsidRPr="00E86A86">
          <w:rPr>
            <w:rStyle w:val="Hyperlink"/>
            <w:noProof/>
          </w:rPr>
          <w:t>Team care and delegation</w:t>
        </w:r>
        <w:r w:rsidR="00FE0EFE">
          <w:rPr>
            <w:noProof/>
            <w:webHidden/>
          </w:rPr>
          <w:tab/>
        </w:r>
        <w:r w:rsidR="00FE0EFE">
          <w:rPr>
            <w:noProof/>
            <w:webHidden/>
          </w:rPr>
          <w:fldChar w:fldCharType="begin"/>
        </w:r>
        <w:r w:rsidR="00FE0EFE">
          <w:rPr>
            <w:noProof/>
            <w:webHidden/>
          </w:rPr>
          <w:instrText xml:space="preserve"> PAGEREF _Toc32585822 \h </w:instrText>
        </w:r>
        <w:r w:rsidR="00FE0EFE">
          <w:rPr>
            <w:noProof/>
            <w:webHidden/>
          </w:rPr>
        </w:r>
        <w:r w:rsidR="00FE0EFE">
          <w:rPr>
            <w:noProof/>
            <w:webHidden/>
          </w:rPr>
          <w:fldChar w:fldCharType="separate"/>
        </w:r>
        <w:r w:rsidR="00FE0EFE">
          <w:rPr>
            <w:noProof/>
            <w:webHidden/>
          </w:rPr>
          <w:t>15</w:t>
        </w:r>
        <w:r w:rsidR="00FE0EFE">
          <w:rPr>
            <w:noProof/>
            <w:webHidden/>
          </w:rPr>
          <w:fldChar w:fldCharType="end"/>
        </w:r>
      </w:hyperlink>
    </w:p>
    <w:p w14:paraId="62A6383D" w14:textId="4434B51C" w:rsidR="00FE0EFE" w:rsidRDefault="00831110">
      <w:pPr>
        <w:pStyle w:val="TOC1"/>
        <w:rPr>
          <w:rFonts w:asciiTheme="minorHAnsi" w:eastAsiaTheme="minorEastAsia" w:hAnsiTheme="minorHAnsi" w:cstheme="minorBidi"/>
          <w:i w:val="0"/>
          <w:noProof/>
          <w:color w:val="auto"/>
          <w:sz w:val="22"/>
          <w:lang w:val="en-AU" w:eastAsia="en-AU"/>
        </w:rPr>
      </w:pPr>
      <w:hyperlink w:anchor="_Toc32585823" w:history="1">
        <w:r w:rsidR="00FE0EFE" w:rsidRPr="00E86A86">
          <w:rPr>
            <w:rStyle w:val="Hyperlink"/>
            <w:noProof/>
          </w:rPr>
          <w:t>Patient experiences</w:t>
        </w:r>
        <w:r w:rsidR="00FE0EFE">
          <w:rPr>
            <w:noProof/>
            <w:webHidden/>
          </w:rPr>
          <w:tab/>
        </w:r>
        <w:r w:rsidR="00FE0EFE">
          <w:rPr>
            <w:noProof/>
            <w:webHidden/>
          </w:rPr>
          <w:fldChar w:fldCharType="begin"/>
        </w:r>
        <w:r w:rsidR="00FE0EFE">
          <w:rPr>
            <w:noProof/>
            <w:webHidden/>
          </w:rPr>
          <w:instrText xml:space="preserve"> PAGEREF _Toc32585823 \h </w:instrText>
        </w:r>
        <w:r w:rsidR="00FE0EFE">
          <w:rPr>
            <w:noProof/>
            <w:webHidden/>
          </w:rPr>
        </w:r>
        <w:r w:rsidR="00FE0EFE">
          <w:rPr>
            <w:noProof/>
            <w:webHidden/>
          </w:rPr>
          <w:fldChar w:fldCharType="separate"/>
        </w:r>
        <w:r w:rsidR="00FE0EFE">
          <w:rPr>
            <w:noProof/>
            <w:webHidden/>
          </w:rPr>
          <w:t>17</w:t>
        </w:r>
        <w:r w:rsidR="00FE0EFE">
          <w:rPr>
            <w:noProof/>
            <w:webHidden/>
          </w:rPr>
          <w:fldChar w:fldCharType="end"/>
        </w:r>
      </w:hyperlink>
    </w:p>
    <w:p w14:paraId="1DC85866" w14:textId="7AA32BB8" w:rsidR="00FE0EFE" w:rsidRDefault="00831110">
      <w:pPr>
        <w:pStyle w:val="TOC1"/>
        <w:rPr>
          <w:rFonts w:asciiTheme="minorHAnsi" w:eastAsiaTheme="minorEastAsia" w:hAnsiTheme="minorHAnsi" w:cstheme="minorBidi"/>
          <w:i w:val="0"/>
          <w:noProof/>
          <w:color w:val="auto"/>
          <w:sz w:val="22"/>
          <w:lang w:val="en-AU" w:eastAsia="en-AU"/>
        </w:rPr>
      </w:pPr>
      <w:hyperlink w:anchor="_Toc32585824" w:history="1">
        <w:r w:rsidR="00FE0EFE" w:rsidRPr="00E86A86">
          <w:rPr>
            <w:rStyle w:val="Hyperlink"/>
            <w:noProof/>
          </w:rPr>
          <w:t>Support and training</w:t>
        </w:r>
        <w:r w:rsidR="00FE0EFE">
          <w:rPr>
            <w:noProof/>
            <w:webHidden/>
          </w:rPr>
          <w:tab/>
        </w:r>
        <w:r w:rsidR="00FE0EFE">
          <w:rPr>
            <w:noProof/>
            <w:webHidden/>
          </w:rPr>
          <w:fldChar w:fldCharType="begin"/>
        </w:r>
        <w:r w:rsidR="00FE0EFE">
          <w:rPr>
            <w:noProof/>
            <w:webHidden/>
          </w:rPr>
          <w:instrText xml:space="preserve"> PAGEREF _Toc32585824 \h </w:instrText>
        </w:r>
        <w:r w:rsidR="00FE0EFE">
          <w:rPr>
            <w:noProof/>
            <w:webHidden/>
          </w:rPr>
        </w:r>
        <w:r w:rsidR="00FE0EFE">
          <w:rPr>
            <w:noProof/>
            <w:webHidden/>
          </w:rPr>
          <w:fldChar w:fldCharType="separate"/>
        </w:r>
        <w:r w:rsidR="00FE0EFE">
          <w:rPr>
            <w:noProof/>
            <w:webHidden/>
          </w:rPr>
          <w:t>19</w:t>
        </w:r>
        <w:r w:rsidR="00FE0EFE">
          <w:rPr>
            <w:noProof/>
            <w:webHidden/>
          </w:rPr>
          <w:fldChar w:fldCharType="end"/>
        </w:r>
      </w:hyperlink>
    </w:p>
    <w:p w14:paraId="29F40B89" w14:textId="47FAFC73"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25" w:history="1">
        <w:r w:rsidR="00FE0EFE" w:rsidRPr="00E86A86">
          <w:rPr>
            <w:rStyle w:val="Hyperlink"/>
            <w:noProof/>
          </w:rPr>
          <w:t>PHN practice facilitators</w:t>
        </w:r>
        <w:r w:rsidR="00FE0EFE">
          <w:rPr>
            <w:noProof/>
            <w:webHidden/>
          </w:rPr>
          <w:tab/>
        </w:r>
        <w:r w:rsidR="00FE0EFE">
          <w:rPr>
            <w:noProof/>
            <w:webHidden/>
          </w:rPr>
          <w:fldChar w:fldCharType="begin"/>
        </w:r>
        <w:r w:rsidR="00FE0EFE">
          <w:rPr>
            <w:noProof/>
            <w:webHidden/>
          </w:rPr>
          <w:instrText xml:space="preserve"> PAGEREF _Toc32585825 \h </w:instrText>
        </w:r>
        <w:r w:rsidR="00FE0EFE">
          <w:rPr>
            <w:noProof/>
            <w:webHidden/>
          </w:rPr>
        </w:r>
        <w:r w:rsidR="00FE0EFE">
          <w:rPr>
            <w:noProof/>
            <w:webHidden/>
          </w:rPr>
          <w:fldChar w:fldCharType="separate"/>
        </w:r>
        <w:r w:rsidR="00FE0EFE">
          <w:rPr>
            <w:noProof/>
            <w:webHidden/>
          </w:rPr>
          <w:t>19</w:t>
        </w:r>
        <w:r w:rsidR="00FE0EFE">
          <w:rPr>
            <w:noProof/>
            <w:webHidden/>
          </w:rPr>
          <w:fldChar w:fldCharType="end"/>
        </w:r>
      </w:hyperlink>
    </w:p>
    <w:p w14:paraId="126B4F61" w14:textId="1CA893DB"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26" w:history="1">
        <w:r w:rsidR="00FE0EFE" w:rsidRPr="00E86A86">
          <w:rPr>
            <w:rStyle w:val="Hyperlink"/>
            <w:noProof/>
          </w:rPr>
          <w:t>Training</w:t>
        </w:r>
        <w:r w:rsidR="00FE0EFE">
          <w:rPr>
            <w:noProof/>
            <w:webHidden/>
          </w:rPr>
          <w:tab/>
        </w:r>
        <w:r w:rsidR="00FE0EFE">
          <w:rPr>
            <w:noProof/>
            <w:webHidden/>
          </w:rPr>
          <w:fldChar w:fldCharType="begin"/>
        </w:r>
        <w:r w:rsidR="00FE0EFE">
          <w:rPr>
            <w:noProof/>
            <w:webHidden/>
          </w:rPr>
          <w:instrText xml:space="preserve"> PAGEREF _Toc32585826 \h </w:instrText>
        </w:r>
        <w:r w:rsidR="00FE0EFE">
          <w:rPr>
            <w:noProof/>
            <w:webHidden/>
          </w:rPr>
        </w:r>
        <w:r w:rsidR="00FE0EFE">
          <w:rPr>
            <w:noProof/>
            <w:webHidden/>
          </w:rPr>
          <w:fldChar w:fldCharType="separate"/>
        </w:r>
        <w:r w:rsidR="00FE0EFE">
          <w:rPr>
            <w:noProof/>
            <w:webHidden/>
          </w:rPr>
          <w:t>20</w:t>
        </w:r>
        <w:r w:rsidR="00FE0EFE">
          <w:rPr>
            <w:noProof/>
            <w:webHidden/>
          </w:rPr>
          <w:fldChar w:fldCharType="end"/>
        </w:r>
      </w:hyperlink>
    </w:p>
    <w:p w14:paraId="39D0F017" w14:textId="4516DE5D" w:rsidR="00FE0EFE" w:rsidRDefault="00831110">
      <w:pPr>
        <w:pStyle w:val="TOC1"/>
        <w:rPr>
          <w:rFonts w:asciiTheme="minorHAnsi" w:eastAsiaTheme="minorEastAsia" w:hAnsiTheme="minorHAnsi" w:cstheme="minorBidi"/>
          <w:i w:val="0"/>
          <w:noProof/>
          <w:color w:val="auto"/>
          <w:sz w:val="22"/>
          <w:lang w:val="en-AU" w:eastAsia="en-AU"/>
        </w:rPr>
      </w:pPr>
      <w:hyperlink w:anchor="_Toc32585827" w:history="1">
        <w:r w:rsidR="00FE0EFE" w:rsidRPr="00E86A86">
          <w:rPr>
            <w:rStyle w:val="Hyperlink"/>
            <w:noProof/>
          </w:rPr>
          <w:t>Community Pharmacy in HCH trial</w:t>
        </w:r>
        <w:r w:rsidR="00FE0EFE">
          <w:rPr>
            <w:noProof/>
            <w:webHidden/>
          </w:rPr>
          <w:tab/>
        </w:r>
        <w:r w:rsidR="00FE0EFE">
          <w:rPr>
            <w:noProof/>
            <w:webHidden/>
          </w:rPr>
          <w:fldChar w:fldCharType="begin"/>
        </w:r>
        <w:r w:rsidR="00FE0EFE">
          <w:rPr>
            <w:noProof/>
            <w:webHidden/>
          </w:rPr>
          <w:instrText xml:space="preserve"> PAGEREF _Toc32585827 \h </w:instrText>
        </w:r>
        <w:r w:rsidR="00FE0EFE">
          <w:rPr>
            <w:noProof/>
            <w:webHidden/>
          </w:rPr>
        </w:r>
        <w:r w:rsidR="00FE0EFE">
          <w:rPr>
            <w:noProof/>
            <w:webHidden/>
          </w:rPr>
          <w:fldChar w:fldCharType="separate"/>
        </w:r>
        <w:r w:rsidR="00FE0EFE">
          <w:rPr>
            <w:noProof/>
            <w:webHidden/>
          </w:rPr>
          <w:t>22</w:t>
        </w:r>
        <w:r w:rsidR="00FE0EFE">
          <w:rPr>
            <w:noProof/>
            <w:webHidden/>
          </w:rPr>
          <w:fldChar w:fldCharType="end"/>
        </w:r>
      </w:hyperlink>
    </w:p>
    <w:p w14:paraId="1F977082" w14:textId="0CFF3549" w:rsidR="00FE0EFE" w:rsidRDefault="00831110">
      <w:pPr>
        <w:pStyle w:val="TOC1"/>
        <w:rPr>
          <w:rFonts w:asciiTheme="minorHAnsi" w:eastAsiaTheme="minorEastAsia" w:hAnsiTheme="minorHAnsi" w:cstheme="minorBidi"/>
          <w:i w:val="0"/>
          <w:noProof/>
          <w:color w:val="auto"/>
          <w:sz w:val="22"/>
          <w:lang w:val="en-AU" w:eastAsia="en-AU"/>
        </w:rPr>
      </w:pPr>
      <w:hyperlink w:anchor="_Toc32585828" w:history="1">
        <w:r w:rsidR="00FE0EFE" w:rsidRPr="00E86A86">
          <w:rPr>
            <w:rStyle w:val="Hyperlink"/>
            <w:noProof/>
          </w:rPr>
          <w:t>Other implementation issues</w:t>
        </w:r>
        <w:r w:rsidR="00FE0EFE">
          <w:rPr>
            <w:noProof/>
            <w:webHidden/>
          </w:rPr>
          <w:tab/>
        </w:r>
        <w:r w:rsidR="00FE0EFE">
          <w:rPr>
            <w:noProof/>
            <w:webHidden/>
          </w:rPr>
          <w:fldChar w:fldCharType="begin"/>
        </w:r>
        <w:r w:rsidR="00FE0EFE">
          <w:rPr>
            <w:noProof/>
            <w:webHidden/>
          </w:rPr>
          <w:instrText xml:space="preserve"> PAGEREF _Toc32585828 \h </w:instrText>
        </w:r>
        <w:r w:rsidR="00FE0EFE">
          <w:rPr>
            <w:noProof/>
            <w:webHidden/>
          </w:rPr>
        </w:r>
        <w:r w:rsidR="00FE0EFE">
          <w:rPr>
            <w:noProof/>
            <w:webHidden/>
          </w:rPr>
          <w:fldChar w:fldCharType="separate"/>
        </w:r>
        <w:r w:rsidR="00FE0EFE">
          <w:rPr>
            <w:noProof/>
            <w:webHidden/>
          </w:rPr>
          <w:t>23</w:t>
        </w:r>
        <w:r w:rsidR="00FE0EFE">
          <w:rPr>
            <w:noProof/>
            <w:webHidden/>
          </w:rPr>
          <w:fldChar w:fldCharType="end"/>
        </w:r>
      </w:hyperlink>
    </w:p>
    <w:p w14:paraId="0FC3F004" w14:textId="458509BC"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29" w:history="1">
        <w:r w:rsidR="00FE0EFE" w:rsidRPr="00E86A86">
          <w:rPr>
            <w:rStyle w:val="Hyperlink"/>
            <w:noProof/>
          </w:rPr>
          <w:t>Risk stratification</w:t>
        </w:r>
        <w:r w:rsidR="00FE0EFE">
          <w:rPr>
            <w:noProof/>
            <w:webHidden/>
          </w:rPr>
          <w:tab/>
        </w:r>
        <w:r w:rsidR="00FE0EFE">
          <w:rPr>
            <w:noProof/>
            <w:webHidden/>
          </w:rPr>
          <w:fldChar w:fldCharType="begin"/>
        </w:r>
        <w:r w:rsidR="00FE0EFE">
          <w:rPr>
            <w:noProof/>
            <w:webHidden/>
          </w:rPr>
          <w:instrText xml:space="preserve"> PAGEREF _Toc32585829 \h </w:instrText>
        </w:r>
        <w:r w:rsidR="00FE0EFE">
          <w:rPr>
            <w:noProof/>
            <w:webHidden/>
          </w:rPr>
        </w:r>
        <w:r w:rsidR="00FE0EFE">
          <w:rPr>
            <w:noProof/>
            <w:webHidden/>
          </w:rPr>
          <w:fldChar w:fldCharType="separate"/>
        </w:r>
        <w:r w:rsidR="00FE0EFE">
          <w:rPr>
            <w:noProof/>
            <w:webHidden/>
          </w:rPr>
          <w:t>23</w:t>
        </w:r>
        <w:r w:rsidR="00FE0EFE">
          <w:rPr>
            <w:noProof/>
            <w:webHidden/>
          </w:rPr>
          <w:fldChar w:fldCharType="end"/>
        </w:r>
      </w:hyperlink>
    </w:p>
    <w:p w14:paraId="6ADB7330" w14:textId="22822D70"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30" w:history="1">
        <w:r w:rsidR="00FE0EFE" w:rsidRPr="00E86A86">
          <w:rPr>
            <w:rStyle w:val="Hyperlink"/>
            <w:noProof/>
          </w:rPr>
          <w:t>Shared care planning</w:t>
        </w:r>
        <w:r w:rsidR="00FE0EFE">
          <w:rPr>
            <w:noProof/>
            <w:webHidden/>
          </w:rPr>
          <w:tab/>
        </w:r>
        <w:r w:rsidR="00FE0EFE">
          <w:rPr>
            <w:noProof/>
            <w:webHidden/>
          </w:rPr>
          <w:fldChar w:fldCharType="begin"/>
        </w:r>
        <w:r w:rsidR="00FE0EFE">
          <w:rPr>
            <w:noProof/>
            <w:webHidden/>
          </w:rPr>
          <w:instrText xml:space="preserve"> PAGEREF _Toc32585830 \h </w:instrText>
        </w:r>
        <w:r w:rsidR="00FE0EFE">
          <w:rPr>
            <w:noProof/>
            <w:webHidden/>
          </w:rPr>
        </w:r>
        <w:r w:rsidR="00FE0EFE">
          <w:rPr>
            <w:noProof/>
            <w:webHidden/>
          </w:rPr>
          <w:fldChar w:fldCharType="separate"/>
        </w:r>
        <w:r w:rsidR="00FE0EFE">
          <w:rPr>
            <w:noProof/>
            <w:webHidden/>
          </w:rPr>
          <w:t>24</w:t>
        </w:r>
        <w:r w:rsidR="00FE0EFE">
          <w:rPr>
            <w:noProof/>
            <w:webHidden/>
          </w:rPr>
          <w:fldChar w:fldCharType="end"/>
        </w:r>
      </w:hyperlink>
    </w:p>
    <w:p w14:paraId="7FDED8F1" w14:textId="41127D3F"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31" w:history="1">
        <w:r w:rsidR="00FE0EFE" w:rsidRPr="00E86A86">
          <w:rPr>
            <w:rStyle w:val="Hyperlink"/>
            <w:noProof/>
          </w:rPr>
          <w:t>The bundled payment</w:t>
        </w:r>
        <w:r w:rsidR="00FE0EFE">
          <w:rPr>
            <w:noProof/>
            <w:webHidden/>
          </w:rPr>
          <w:tab/>
        </w:r>
        <w:r w:rsidR="00FE0EFE">
          <w:rPr>
            <w:noProof/>
            <w:webHidden/>
          </w:rPr>
          <w:fldChar w:fldCharType="begin"/>
        </w:r>
        <w:r w:rsidR="00FE0EFE">
          <w:rPr>
            <w:noProof/>
            <w:webHidden/>
          </w:rPr>
          <w:instrText xml:space="preserve"> PAGEREF _Toc32585831 \h </w:instrText>
        </w:r>
        <w:r w:rsidR="00FE0EFE">
          <w:rPr>
            <w:noProof/>
            <w:webHidden/>
          </w:rPr>
        </w:r>
        <w:r w:rsidR="00FE0EFE">
          <w:rPr>
            <w:noProof/>
            <w:webHidden/>
          </w:rPr>
          <w:fldChar w:fldCharType="separate"/>
        </w:r>
        <w:r w:rsidR="00FE0EFE">
          <w:rPr>
            <w:noProof/>
            <w:webHidden/>
          </w:rPr>
          <w:t>26</w:t>
        </w:r>
        <w:r w:rsidR="00FE0EFE">
          <w:rPr>
            <w:noProof/>
            <w:webHidden/>
          </w:rPr>
          <w:fldChar w:fldCharType="end"/>
        </w:r>
      </w:hyperlink>
    </w:p>
    <w:p w14:paraId="233593F5" w14:textId="09D83D7A" w:rsidR="00FE0EFE" w:rsidRDefault="00831110">
      <w:pPr>
        <w:pStyle w:val="TOC2"/>
        <w:tabs>
          <w:tab w:val="right" w:leader="dot" w:pos="9016"/>
        </w:tabs>
        <w:rPr>
          <w:rFonts w:asciiTheme="minorHAnsi" w:eastAsiaTheme="minorEastAsia" w:hAnsiTheme="minorHAnsi" w:cstheme="minorBidi"/>
          <w:noProof/>
          <w:color w:val="auto"/>
          <w:sz w:val="22"/>
          <w:lang w:eastAsia="en-AU"/>
        </w:rPr>
      </w:pPr>
      <w:hyperlink w:anchor="_Toc32585832" w:history="1">
        <w:r w:rsidR="00FE0EFE" w:rsidRPr="00E86A86">
          <w:rPr>
            <w:rStyle w:val="Hyperlink"/>
            <w:noProof/>
          </w:rPr>
          <w:t>Other program implementation issues</w:t>
        </w:r>
        <w:r w:rsidR="00FE0EFE">
          <w:rPr>
            <w:noProof/>
            <w:webHidden/>
          </w:rPr>
          <w:tab/>
        </w:r>
        <w:r w:rsidR="00FE0EFE">
          <w:rPr>
            <w:noProof/>
            <w:webHidden/>
          </w:rPr>
          <w:fldChar w:fldCharType="begin"/>
        </w:r>
        <w:r w:rsidR="00FE0EFE">
          <w:rPr>
            <w:noProof/>
            <w:webHidden/>
          </w:rPr>
          <w:instrText xml:space="preserve"> PAGEREF _Toc32585832 \h </w:instrText>
        </w:r>
        <w:r w:rsidR="00FE0EFE">
          <w:rPr>
            <w:noProof/>
            <w:webHidden/>
          </w:rPr>
        </w:r>
        <w:r w:rsidR="00FE0EFE">
          <w:rPr>
            <w:noProof/>
            <w:webHidden/>
          </w:rPr>
          <w:fldChar w:fldCharType="separate"/>
        </w:r>
        <w:r w:rsidR="00FE0EFE">
          <w:rPr>
            <w:noProof/>
            <w:webHidden/>
          </w:rPr>
          <w:t>26</w:t>
        </w:r>
        <w:r w:rsidR="00FE0EFE">
          <w:rPr>
            <w:noProof/>
            <w:webHidden/>
          </w:rPr>
          <w:fldChar w:fldCharType="end"/>
        </w:r>
      </w:hyperlink>
    </w:p>
    <w:p w14:paraId="5979E1F6" w14:textId="0C1F7A43" w:rsidR="00FE0EFE" w:rsidRDefault="00831110">
      <w:pPr>
        <w:pStyle w:val="TOC1"/>
        <w:rPr>
          <w:rFonts w:asciiTheme="minorHAnsi" w:eastAsiaTheme="minorEastAsia" w:hAnsiTheme="minorHAnsi" w:cstheme="minorBidi"/>
          <w:i w:val="0"/>
          <w:noProof/>
          <w:color w:val="auto"/>
          <w:sz w:val="22"/>
          <w:lang w:val="en-AU" w:eastAsia="en-AU"/>
        </w:rPr>
      </w:pPr>
      <w:hyperlink w:anchor="_Toc32585833" w:history="1">
        <w:r w:rsidR="00FE0EFE" w:rsidRPr="00E86A86">
          <w:rPr>
            <w:rStyle w:val="Hyperlink"/>
            <w:noProof/>
          </w:rPr>
          <w:t>Achievements so far</w:t>
        </w:r>
        <w:r w:rsidR="00FE0EFE">
          <w:rPr>
            <w:noProof/>
            <w:webHidden/>
          </w:rPr>
          <w:tab/>
        </w:r>
        <w:r w:rsidR="00FE0EFE">
          <w:rPr>
            <w:noProof/>
            <w:webHidden/>
          </w:rPr>
          <w:fldChar w:fldCharType="begin"/>
        </w:r>
        <w:r w:rsidR="00FE0EFE">
          <w:rPr>
            <w:noProof/>
            <w:webHidden/>
          </w:rPr>
          <w:instrText xml:space="preserve"> PAGEREF _Toc32585833 \h </w:instrText>
        </w:r>
        <w:r w:rsidR="00FE0EFE">
          <w:rPr>
            <w:noProof/>
            <w:webHidden/>
          </w:rPr>
        </w:r>
        <w:r w:rsidR="00FE0EFE">
          <w:rPr>
            <w:noProof/>
            <w:webHidden/>
          </w:rPr>
          <w:fldChar w:fldCharType="separate"/>
        </w:r>
        <w:r w:rsidR="00FE0EFE">
          <w:rPr>
            <w:noProof/>
            <w:webHidden/>
          </w:rPr>
          <w:t>28</w:t>
        </w:r>
        <w:r w:rsidR="00FE0EFE">
          <w:rPr>
            <w:noProof/>
            <w:webHidden/>
          </w:rPr>
          <w:fldChar w:fldCharType="end"/>
        </w:r>
      </w:hyperlink>
    </w:p>
    <w:p w14:paraId="33DE90E8" w14:textId="43DE80AD" w:rsidR="00FE0EFE" w:rsidRDefault="00831110">
      <w:pPr>
        <w:pStyle w:val="TOC1"/>
        <w:rPr>
          <w:rFonts w:asciiTheme="minorHAnsi" w:eastAsiaTheme="minorEastAsia" w:hAnsiTheme="minorHAnsi" w:cstheme="minorBidi"/>
          <w:i w:val="0"/>
          <w:noProof/>
          <w:color w:val="auto"/>
          <w:sz w:val="22"/>
          <w:lang w:val="en-AU" w:eastAsia="en-AU"/>
        </w:rPr>
      </w:pPr>
      <w:hyperlink w:anchor="_Toc32585834" w:history="1">
        <w:r w:rsidR="00FE0EFE" w:rsidRPr="00E86A86">
          <w:rPr>
            <w:rStyle w:val="Hyperlink"/>
            <w:noProof/>
          </w:rPr>
          <w:t>Conclusion</w:t>
        </w:r>
        <w:r w:rsidR="00FE0EFE">
          <w:rPr>
            <w:noProof/>
            <w:webHidden/>
          </w:rPr>
          <w:tab/>
        </w:r>
        <w:r w:rsidR="00FE0EFE">
          <w:rPr>
            <w:noProof/>
            <w:webHidden/>
          </w:rPr>
          <w:fldChar w:fldCharType="begin"/>
        </w:r>
        <w:r w:rsidR="00FE0EFE">
          <w:rPr>
            <w:noProof/>
            <w:webHidden/>
          </w:rPr>
          <w:instrText xml:space="preserve"> PAGEREF _Toc32585834 \h </w:instrText>
        </w:r>
        <w:r w:rsidR="00FE0EFE">
          <w:rPr>
            <w:noProof/>
            <w:webHidden/>
          </w:rPr>
        </w:r>
        <w:r w:rsidR="00FE0EFE">
          <w:rPr>
            <w:noProof/>
            <w:webHidden/>
          </w:rPr>
          <w:fldChar w:fldCharType="separate"/>
        </w:r>
        <w:r w:rsidR="00FE0EFE">
          <w:rPr>
            <w:noProof/>
            <w:webHidden/>
          </w:rPr>
          <w:t>29</w:t>
        </w:r>
        <w:r w:rsidR="00FE0EFE">
          <w:rPr>
            <w:noProof/>
            <w:webHidden/>
          </w:rPr>
          <w:fldChar w:fldCharType="end"/>
        </w:r>
      </w:hyperlink>
    </w:p>
    <w:p w14:paraId="7C69D564" w14:textId="4328F50A" w:rsidR="00FE0EFE" w:rsidRDefault="00831110">
      <w:pPr>
        <w:pStyle w:val="TOC1"/>
        <w:rPr>
          <w:rFonts w:asciiTheme="minorHAnsi" w:eastAsiaTheme="minorEastAsia" w:hAnsiTheme="minorHAnsi" w:cstheme="minorBidi"/>
          <w:i w:val="0"/>
          <w:noProof/>
          <w:color w:val="auto"/>
          <w:sz w:val="22"/>
          <w:lang w:val="en-AU" w:eastAsia="en-AU"/>
        </w:rPr>
      </w:pPr>
      <w:hyperlink w:anchor="_Toc32585835" w:history="1">
        <w:r w:rsidR="00FE0EFE" w:rsidRPr="00E86A86">
          <w:rPr>
            <w:rStyle w:val="Hyperlink"/>
            <w:noProof/>
          </w:rPr>
          <w:t>References</w:t>
        </w:r>
        <w:r w:rsidR="00FE0EFE">
          <w:rPr>
            <w:noProof/>
            <w:webHidden/>
          </w:rPr>
          <w:tab/>
        </w:r>
        <w:r w:rsidR="00FE0EFE">
          <w:rPr>
            <w:noProof/>
            <w:webHidden/>
          </w:rPr>
          <w:fldChar w:fldCharType="begin"/>
        </w:r>
        <w:r w:rsidR="00FE0EFE">
          <w:rPr>
            <w:noProof/>
            <w:webHidden/>
          </w:rPr>
          <w:instrText xml:space="preserve"> PAGEREF _Toc32585835 \h </w:instrText>
        </w:r>
        <w:r w:rsidR="00FE0EFE">
          <w:rPr>
            <w:noProof/>
            <w:webHidden/>
          </w:rPr>
        </w:r>
        <w:r w:rsidR="00FE0EFE">
          <w:rPr>
            <w:noProof/>
            <w:webHidden/>
          </w:rPr>
          <w:fldChar w:fldCharType="separate"/>
        </w:r>
        <w:r w:rsidR="00FE0EFE">
          <w:rPr>
            <w:noProof/>
            <w:webHidden/>
          </w:rPr>
          <w:t>30</w:t>
        </w:r>
        <w:r w:rsidR="00FE0EFE">
          <w:rPr>
            <w:noProof/>
            <w:webHidden/>
          </w:rPr>
          <w:fldChar w:fldCharType="end"/>
        </w:r>
      </w:hyperlink>
    </w:p>
    <w:p w14:paraId="527D85BF" w14:textId="073E2993" w:rsidR="00640EFA" w:rsidRPr="00541951" w:rsidRDefault="00D9739A" w:rsidP="00640EFA">
      <w:r>
        <w:rPr>
          <w:rFonts w:eastAsia="MS Mincho"/>
          <w:b/>
          <w:color w:val="003D79"/>
          <w:lang w:val="en-US"/>
        </w:rPr>
        <w:fldChar w:fldCharType="end"/>
      </w:r>
    </w:p>
    <w:p w14:paraId="3480C92E" w14:textId="77777777" w:rsidR="00640EFA" w:rsidRPr="00C815DC" w:rsidRDefault="00640EFA" w:rsidP="00640EFA">
      <w:pPr>
        <w:sectPr w:rsidR="00640EFA" w:rsidRPr="00C815DC" w:rsidSect="009C758F">
          <w:headerReference w:type="even" r:id="rId14"/>
          <w:headerReference w:type="default" r:id="rId15"/>
          <w:headerReference w:type="first" r:id="rId16"/>
          <w:footerReference w:type="first" r:id="rId17"/>
          <w:pgSz w:w="11906" w:h="16838"/>
          <w:pgMar w:top="1440" w:right="1440" w:bottom="1440" w:left="1440" w:header="708" w:footer="708" w:gutter="0"/>
          <w:pgNumType w:start="1"/>
          <w:cols w:space="708"/>
          <w:titlePg/>
          <w:docGrid w:linePitch="360"/>
        </w:sectPr>
      </w:pPr>
    </w:p>
    <w:p w14:paraId="4BB2A68D" w14:textId="16CE162B" w:rsidR="00F94E66" w:rsidRDefault="00F94E66" w:rsidP="0059743A">
      <w:pPr>
        <w:pStyle w:val="Heading1nonumber"/>
      </w:pPr>
      <w:bookmarkStart w:id="1" w:name="_Toc32585811"/>
      <w:r>
        <w:lastRenderedPageBreak/>
        <w:t>Acronyms and initialisms</w:t>
      </w:r>
      <w:bookmarkEnd w:id="1"/>
    </w:p>
    <w:p w14:paraId="32501BE5" w14:textId="77777777" w:rsidR="00312C2A" w:rsidRDefault="00312C2A" w:rsidP="009507A9">
      <w:pPr>
        <w:spacing w:after="120"/>
        <w:ind w:left="992" w:hanging="992"/>
      </w:pPr>
      <w:r>
        <w:t xml:space="preserve">ACCHS </w:t>
      </w:r>
      <w:r>
        <w:tab/>
        <w:t>Aboriginal Community Controlled Health Service</w:t>
      </w:r>
    </w:p>
    <w:p w14:paraId="44EE1C03" w14:textId="77777777" w:rsidR="00312C2A" w:rsidRDefault="00312C2A" w:rsidP="009507A9">
      <w:pPr>
        <w:spacing w:after="120"/>
        <w:ind w:left="992" w:hanging="992"/>
      </w:pPr>
      <w:r>
        <w:t>AIHW</w:t>
      </w:r>
      <w:r>
        <w:tab/>
        <w:t>Australian Institute of Health and Welfare</w:t>
      </w:r>
    </w:p>
    <w:p w14:paraId="7DB565BE" w14:textId="77777777" w:rsidR="00454030" w:rsidRDefault="00454030" w:rsidP="009507A9">
      <w:pPr>
        <w:spacing w:after="120"/>
        <w:ind w:left="992" w:hanging="992"/>
      </w:pPr>
      <w:r>
        <w:t>EOI</w:t>
      </w:r>
      <w:r>
        <w:tab/>
        <w:t>Expression of interest</w:t>
      </w:r>
    </w:p>
    <w:p w14:paraId="330D353E" w14:textId="77777777" w:rsidR="00312C2A" w:rsidRDefault="00312C2A" w:rsidP="009507A9">
      <w:pPr>
        <w:spacing w:after="120"/>
        <w:ind w:left="992" w:hanging="992"/>
      </w:pPr>
      <w:r>
        <w:t>EWG</w:t>
      </w:r>
      <w:r>
        <w:tab/>
        <w:t>Evaluation Working Group</w:t>
      </w:r>
    </w:p>
    <w:p w14:paraId="1CC051E2" w14:textId="77777777" w:rsidR="003F0865" w:rsidRDefault="003F0865" w:rsidP="009507A9">
      <w:pPr>
        <w:spacing w:after="120"/>
        <w:ind w:left="992" w:hanging="992"/>
      </w:pPr>
      <w:r>
        <w:t>FTE</w:t>
      </w:r>
      <w:r>
        <w:tab/>
        <w:t>Full time equivalent</w:t>
      </w:r>
    </w:p>
    <w:p w14:paraId="19121416" w14:textId="77777777" w:rsidR="00312C2A" w:rsidRDefault="00312C2A" w:rsidP="009507A9">
      <w:pPr>
        <w:spacing w:after="120"/>
        <w:ind w:left="992" w:hanging="992"/>
      </w:pPr>
      <w:r w:rsidRPr="006D66DB">
        <w:t xml:space="preserve">GP </w:t>
      </w:r>
      <w:r w:rsidRPr="006D66DB">
        <w:tab/>
        <w:t>General practitioner</w:t>
      </w:r>
    </w:p>
    <w:p w14:paraId="65994052" w14:textId="4CC122DC" w:rsidR="00312C2A" w:rsidRPr="006D66DB" w:rsidRDefault="00312C2A" w:rsidP="009507A9">
      <w:pPr>
        <w:spacing w:after="120"/>
        <w:ind w:left="992" w:hanging="992"/>
      </w:pPr>
      <w:r>
        <w:t>HARP</w:t>
      </w:r>
      <w:r>
        <w:tab/>
      </w:r>
      <w:r w:rsidR="002D47E6" w:rsidRPr="002D47E6">
        <w:t>Hospital</w:t>
      </w:r>
      <w:r w:rsidR="002D47E6">
        <w:t xml:space="preserve"> Admissions Risk Program</w:t>
      </w:r>
      <w:r w:rsidR="009673C6">
        <w:t xml:space="preserve"> (tool)</w:t>
      </w:r>
    </w:p>
    <w:p w14:paraId="434569B3" w14:textId="77777777" w:rsidR="00312C2A" w:rsidRDefault="00312C2A" w:rsidP="009507A9">
      <w:pPr>
        <w:spacing w:after="120"/>
        <w:ind w:left="992" w:hanging="992"/>
      </w:pPr>
      <w:r>
        <w:t>HCH</w:t>
      </w:r>
      <w:r>
        <w:tab/>
        <w:t>Health Care Homes</w:t>
      </w:r>
    </w:p>
    <w:p w14:paraId="58F4BEAF" w14:textId="77777777" w:rsidR="00312C2A" w:rsidRDefault="00312C2A" w:rsidP="009507A9">
      <w:pPr>
        <w:spacing w:after="120"/>
        <w:ind w:left="992" w:hanging="992"/>
      </w:pPr>
      <w:r>
        <w:t>HCH-A</w:t>
      </w:r>
      <w:r>
        <w:tab/>
        <w:t>Health Care Homes Assessment (tool)</w:t>
      </w:r>
    </w:p>
    <w:p w14:paraId="4044246E" w14:textId="77777777" w:rsidR="00D75502" w:rsidRDefault="00D75502" w:rsidP="009507A9">
      <w:pPr>
        <w:spacing w:after="120"/>
        <w:ind w:left="992" w:hanging="992"/>
      </w:pPr>
      <w:r>
        <w:t>HPOS</w:t>
      </w:r>
      <w:r>
        <w:tab/>
      </w:r>
      <w:r w:rsidRPr="00D75502">
        <w:t>Health Professionals Online Services</w:t>
      </w:r>
    </w:p>
    <w:p w14:paraId="6C949107" w14:textId="36AA5D64" w:rsidR="00312C2A" w:rsidRDefault="00312C2A" w:rsidP="009507A9">
      <w:pPr>
        <w:spacing w:after="120"/>
        <w:ind w:left="992" w:hanging="992"/>
      </w:pPr>
      <w:r>
        <w:t>IAG</w:t>
      </w:r>
      <w:r>
        <w:tab/>
        <w:t>Implementation Advisory Group</w:t>
      </w:r>
    </w:p>
    <w:p w14:paraId="40CD99FF" w14:textId="3725B87E" w:rsidR="00A2217F" w:rsidRDefault="00A2217F" w:rsidP="009507A9">
      <w:pPr>
        <w:spacing w:after="120"/>
        <w:ind w:left="992" w:hanging="992"/>
      </w:pPr>
      <w:r>
        <w:t>IT</w:t>
      </w:r>
      <w:r>
        <w:tab/>
        <w:t>Information technology</w:t>
      </w:r>
    </w:p>
    <w:p w14:paraId="1A8C987B" w14:textId="77777777" w:rsidR="00312C2A" w:rsidRPr="006D66DB" w:rsidRDefault="00312C2A" w:rsidP="009507A9">
      <w:pPr>
        <w:spacing w:after="120"/>
        <w:ind w:left="992" w:hanging="992"/>
      </w:pPr>
      <w:r>
        <w:t>LHN</w:t>
      </w:r>
      <w:r>
        <w:tab/>
        <w:t>Local Hospital Network</w:t>
      </w:r>
    </w:p>
    <w:p w14:paraId="1EC25F8E" w14:textId="77777777" w:rsidR="00312C2A" w:rsidRDefault="00312C2A" w:rsidP="009507A9">
      <w:pPr>
        <w:spacing w:after="120"/>
        <w:ind w:left="992" w:hanging="992"/>
      </w:pPr>
      <w:r w:rsidRPr="006D66DB">
        <w:t>MBS</w:t>
      </w:r>
      <w:r w:rsidRPr="006D66DB">
        <w:tab/>
        <w:t>Medical Benefits Schedule</w:t>
      </w:r>
    </w:p>
    <w:p w14:paraId="21D89F42" w14:textId="77777777" w:rsidR="00312C2A" w:rsidRDefault="00312C2A" w:rsidP="009507A9">
      <w:pPr>
        <w:spacing w:after="120"/>
        <w:ind w:left="992" w:hanging="992"/>
      </w:pPr>
      <w:r>
        <w:t>MM</w:t>
      </w:r>
      <w:r w:rsidR="000D7AEA">
        <w:t>M</w:t>
      </w:r>
      <w:r>
        <w:tab/>
        <w:t>Modified Monash</w:t>
      </w:r>
      <w:r w:rsidR="000D7AEA">
        <w:t xml:space="preserve"> Model</w:t>
      </w:r>
      <w:r>
        <w:t xml:space="preserve"> (remoteness categorisation)</w:t>
      </w:r>
    </w:p>
    <w:p w14:paraId="4089BD2C" w14:textId="57F0F7AB" w:rsidR="009507A9" w:rsidRDefault="009507A9" w:rsidP="009507A9">
      <w:pPr>
        <w:spacing w:after="120"/>
        <w:ind w:left="992" w:hanging="992"/>
      </w:pPr>
      <w:r>
        <w:t>PHCAG</w:t>
      </w:r>
      <w:r>
        <w:tab/>
      </w:r>
      <w:r w:rsidRPr="009507A9">
        <w:t>Primary Health Care Advisory Group</w:t>
      </w:r>
    </w:p>
    <w:p w14:paraId="6FAA94FF" w14:textId="77777777" w:rsidR="00312C2A" w:rsidRDefault="00312C2A" w:rsidP="009507A9">
      <w:pPr>
        <w:spacing w:after="120"/>
        <w:ind w:left="992" w:hanging="992"/>
      </w:pPr>
      <w:r w:rsidRPr="006D66DB">
        <w:t>PBS</w:t>
      </w:r>
      <w:r w:rsidRPr="006D66DB">
        <w:tab/>
        <w:t>Pharmaceutical Benefits Schedule</w:t>
      </w:r>
    </w:p>
    <w:p w14:paraId="7E22FBBC" w14:textId="77777777" w:rsidR="00312C2A" w:rsidRDefault="00312C2A" w:rsidP="009507A9">
      <w:pPr>
        <w:spacing w:after="120"/>
        <w:ind w:left="992" w:hanging="992"/>
      </w:pPr>
      <w:r>
        <w:t>PHN</w:t>
      </w:r>
      <w:r>
        <w:tab/>
        <w:t>Primary Health Network</w:t>
      </w:r>
    </w:p>
    <w:p w14:paraId="1F205A4D" w14:textId="77777777" w:rsidR="00F94E66" w:rsidRDefault="00F94E66" w:rsidP="009507A9">
      <w:pPr>
        <w:spacing w:after="120"/>
        <w:ind w:left="992" w:hanging="992"/>
      </w:pPr>
      <w:r>
        <w:t>PCMH</w:t>
      </w:r>
      <w:r>
        <w:tab/>
        <w:t>Patient centred medical home</w:t>
      </w:r>
    </w:p>
    <w:p w14:paraId="37351151" w14:textId="77777777" w:rsidR="00F94E66" w:rsidRDefault="00F94E66" w:rsidP="009507A9">
      <w:pPr>
        <w:spacing w:after="120"/>
        <w:ind w:left="992" w:hanging="992"/>
      </w:pPr>
      <w:r w:rsidRPr="00AD017C">
        <w:t>PRM</w:t>
      </w:r>
      <w:r w:rsidRPr="00AD017C">
        <w:tab/>
      </w:r>
      <w:r w:rsidR="00AD017C" w:rsidRPr="00AD017C">
        <w:t>Predictive</w:t>
      </w:r>
      <w:r w:rsidRPr="00AD017C">
        <w:t xml:space="preserve"> risk model</w:t>
      </w:r>
    </w:p>
    <w:p w14:paraId="09E625FF" w14:textId="77777777" w:rsidR="00F94E66" w:rsidRPr="00F94E66" w:rsidRDefault="00F94E66" w:rsidP="009507A9">
      <w:pPr>
        <w:spacing w:after="120"/>
        <w:ind w:left="992" w:hanging="992"/>
      </w:pPr>
      <w:r>
        <w:t>RST</w:t>
      </w:r>
      <w:r>
        <w:tab/>
        <w:t>Risk stratification tool</w:t>
      </w:r>
    </w:p>
    <w:p w14:paraId="5D4C6BBF" w14:textId="77777777" w:rsidR="00F94E66" w:rsidRDefault="00F94E66" w:rsidP="00BE30A2">
      <w:pPr>
        <w:pStyle w:val="Heading1nonumber"/>
        <w:sectPr w:rsidR="00F94E66" w:rsidSect="009C758F">
          <w:headerReference w:type="even" r:id="rId18"/>
          <w:headerReference w:type="default" r:id="rId19"/>
          <w:headerReference w:type="first" r:id="rId20"/>
          <w:footerReference w:type="first" r:id="rId21"/>
          <w:pgSz w:w="11906" w:h="16838"/>
          <w:pgMar w:top="1440" w:right="1440" w:bottom="1440" w:left="1440" w:header="708" w:footer="708" w:gutter="0"/>
          <w:cols w:space="708"/>
          <w:titlePg/>
          <w:docGrid w:linePitch="360"/>
        </w:sectPr>
      </w:pPr>
    </w:p>
    <w:p w14:paraId="57CE5C7F" w14:textId="42A15AC5" w:rsidR="00BB0860" w:rsidRDefault="0027006E" w:rsidP="0059743A">
      <w:pPr>
        <w:pStyle w:val="Heading1nonumber"/>
      </w:pPr>
      <w:bookmarkStart w:id="2" w:name="_Toc32585812"/>
      <w:r>
        <w:lastRenderedPageBreak/>
        <w:t>Introduction</w:t>
      </w:r>
      <w:bookmarkEnd w:id="2"/>
    </w:p>
    <w:p w14:paraId="22BF535F" w14:textId="3543BCF7" w:rsidR="00453C50" w:rsidRPr="004215F4" w:rsidRDefault="00453C50" w:rsidP="00453C50">
      <w:pPr>
        <w:rPr>
          <w:szCs w:val="20"/>
        </w:rPr>
      </w:pPr>
      <w:r>
        <w:rPr>
          <w:szCs w:val="20"/>
        </w:rPr>
        <w:t>T</w:t>
      </w:r>
      <w:r w:rsidRPr="004215F4">
        <w:rPr>
          <w:szCs w:val="20"/>
        </w:rPr>
        <w:t>he Health Care Homes (HCH) program</w:t>
      </w:r>
      <w:r w:rsidR="009507A9">
        <w:rPr>
          <w:szCs w:val="20"/>
        </w:rPr>
        <w:t xml:space="preserve"> was established by</w:t>
      </w:r>
      <w:r>
        <w:rPr>
          <w:szCs w:val="20"/>
        </w:rPr>
        <w:t xml:space="preserve"> the Australian Government</w:t>
      </w:r>
      <w:r w:rsidR="009507A9">
        <w:rPr>
          <w:szCs w:val="20"/>
        </w:rPr>
        <w:t xml:space="preserve"> in</w:t>
      </w:r>
      <w:r>
        <w:rPr>
          <w:szCs w:val="20"/>
        </w:rPr>
        <w:t xml:space="preserve"> response to the </w:t>
      </w:r>
      <w:r w:rsidRPr="00C74506">
        <w:rPr>
          <w:szCs w:val="20"/>
        </w:rPr>
        <w:t xml:space="preserve">Primary Health Care Advisory </w:t>
      </w:r>
      <w:r>
        <w:rPr>
          <w:szCs w:val="20"/>
        </w:rPr>
        <w:t xml:space="preserve">Group’s </w:t>
      </w:r>
      <w:r w:rsidR="009507A9">
        <w:rPr>
          <w:szCs w:val="20"/>
        </w:rPr>
        <w:t>(</w:t>
      </w:r>
      <w:bookmarkStart w:id="3" w:name="_Hlk529351347"/>
      <w:r w:rsidR="009507A9">
        <w:rPr>
          <w:szCs w:val="20"/>
        </w:rPr>
        <w:t>PHCAG’s</w:t>
      </w:r>
      <w:bookmarkEnd w:id="3"/>
      <w:r w:rsidR="009507A9">
        <w:rPr>
          <w:szCs w:val="20"/>
        </w:rPr>
        <w:t xml:space="preserve">) </w:t>
      </w:r>
      <w:r>
        <w:rPr>
          <w:szCs w:val="20"/>
        </w:rPr>
        <w:t>recommendations for</w:t>
      </w:r>
      <w:r w:rsidRPr="00C74506">
        <w:rPr>
          <w:szCs w:val="20"/>
        </w:rPr>
        <w:t xml:space="preserve"> better outcomes for people with chroni</w:t>
      </w:r>
      <w:r>
        <w:rPr>
          <w:szCs w:val="20"/>
        </w:rPr>
        <w:t>c and complex health conditions (</w:t>
      </w:r>
      <w:r>
        <w:rPr>
          <w:szCs w:val="20"/>
        </w:rPr>
        <w:fldChar w:fldCharType="begin"/>
      </w:r>
      <w:r w:rsidR="00D81FA6">
        <w:rPr>
          <w:szCs w:val="20"/>
        </w:rPr>
        <w:instrText xml:space="preserve"> ADDIN EN.CITE &lt;EndNote&gt;&lt;Cite ExcludeAuth="1"&gt;&lt;Author&gt;Primary Health Care Advisory Group&lt;/Author&gt;&lt;Year&gt;2015&lt;/Year&gt;&lt;RecNum&gt;477&lt;/RecNum&gt;&lt;DisplayText&gt;2015&lt;/DisplayText&gt;&lt;record&gt;&lt;rec-number&gt;477&lt;/rec-number&gt;&lt;foreign-keys&gt;&lt;key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Cite AuthorYear="1"&gt;&lt;Author&gt;Primary Health Care Advisory Group&lt;/Author&gt;&lt;Year&gt;2015&lt;/Year&gt;&lt;RecNum&gt;477&lt;/RecNum&gt;&lt;record&gt;&lt;rec-number&gt;477&lt;/rec-number&gt;&lt;foreign-keys&gt;&lt;key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Pr>
          <w:szCs w:val="20"/>
        </w:rPr>
        <w:fldChar w:fldCharType="separate"/>
      </w:r>
      <w:r w:rsidR="00D81FA6">
        <w:rPr>
          <w:noProof/>
          <w:szCs w:val="20"/>
        </w:rPr>
        <w:t>2015</w:t>
      </w:r>
      <w:r>
        <w:rPr>
          <w:szCs w:val="20"/>
        </w:rPr>
        <w:fldChar w:fldCharType="end"/>
      </w:r>
      <w:r>
        <w:rPr>
          <w:szCs w:val="20"/>
        </w:rPr>
        <w:t xml:space="preserve">). </w:t>
      </w:r>
      <w:r w:rsidR="006C2EFC">
        <w:rPr>
          <w:szCs w:val="20"/>
        </w:rPr>
        <w:t xml:space="preserve">HCH is a variant of the patient centred medical home (PCMH), </w:t>
      </w:r>
      <w:r w:rsidR="00261046" w:rsidRPr="00261046">
        <w:rPr>
          <w:szCs w:val="20"/>
        </w:rPr>
        <w:t>focus</w:t>
      </w:r>
      <w:r w:rsidR="00261046">
        <w:rPr>
          <w:szCs w:val="20"/>
        </w:rPr>
        <w:t>ing</w:t>
      </w:r>
      <w:r w:rsidR="00261046" w:rsidRPr="00261046">
        <w:rPr>
          <w:szCs w:val="20"/>
        </w:rPr>
        <w:t xml:space="preserve"> on coordinated and comprehensive care </w:t>
      </w:r>
      <w:r w:rsidR="007A237C">
        <w:rPr>
          <w:szCs w:val="20"/>
        </w:rPr>
        <w:t xml:space="preserve">that is </w:t>
      </w:r>
      <w:r w:rsidR="00261046" w:rsidRPr="00261046">
        <w:rPr>
          <w:szCs w:val="20"/>
        </w:rPr>
        <w:t xml:space="preserve">responsive to patients’ </w:t>
      </w:r>
      <w:r w:rsidR="00BF3C7E">
        <w:rPr>
          <w:szCs w:val="20"/>
        </w:rPr>
        <w:t xml:space="preserve">needs and </w:t>
      </w:r>
      <w:r w:rsidR="00261046" w:rsidRPr="00261046">
        <w:rPr>
          <w:szCs w:val="20"/>
        </w:rPr>
        <w:t>preferences</w:t>
      </w:r>
      <w:r w:rsidR="00261046">
        <w:rPr>
          <w:szCs w:val="20"/>
        </w:rPr>
        <w:t>.</w:t>
      </w:r>
      <w:r w:rsidR="000D242B">
        <w:rPr>
          <w:szCs w:val="20"/>
        </w:rPr>
        <w:t xml:space="preserve"> </w:t>
      </w:r>
      <w:r w:rsidR="009507A9">
        <w:rPr>
          <w:szCs w:val="20"/>
        </w:rPr>
        <w:t xml:space="preserve">As per PHCAG’s principles for HCH and </w:t>
      </w:r>
      <w:r w:rsidR="003B5775">
        <w:rPr>
          <w:szCs w:val="20"/>
        </w:rPr>
        <w:t xml:space="preserve">key </w:t>
      </w:r>
      <w:r w:rsidR="009507A9">
        <w:rPr>
          <w:szCs w:val="20"/>
        </w:rPr>
        <w:t>recommendations, t</w:t>
      </w:r>
      <w:r w:rsidR="00433E75">
        <w:rPr>
          <w:szCs w:val="20"/>
        </w:rPr>
        <w:t>he program has the following features</w:t>
      </w:r>
      <w:r w:rsidR="000D242B">
        <w:rPr>
          <w:szCs w:val="20"/>
        </w:rPr>
        <w:t>:</w:t>
      </w:r>
    </w:p>
    <w:p w14:paraId="20EE382F" w14:textId="38D48C92" w:rsidR="006C2EFC" w:rsidRPr="00221288" w:rsidRDefault="00D81FA6" w:rsidP="006D3C17">
      <w:pPr>
        <w:pStyle w:val="ListParagraph"/>
        <w:numPr>
          <w:ilvl w:val="0"/>
          <w:numId w:val="2"/>
        </w:numPr>
        <w:spacing w:after="120"/>
        <w:ind w:left="714" w:hanging="357"/>
      </w:pPr>
      <w:r w:rsidRPr="00221288">
        <w:t xml:space="preserve">Voluntary </w:t>
      </w:r>
      <w:r w:rsidR="006C2EFC" w:rsidRPr="00221288">
        <w:t>enrolment of patients to a practice</w:t>
      </w:r>
      <w:r w:rsidR="00505C1A">
        <w:t xml:space="preserve"> – </w:t>
      </w:r>
      <w:r w:rsidR="006C2EFC" w:rsidRPr="00221288">
        <w:t>their health care home</w:t>
      </w:r>
      <w:r w:rsidR="00505C1A">
        <w:rPr>
          <w:szCs w:val="20"/>
        </w:rPr>
        <w:t xml:space="preserve"> </w:t>
      </w:r>
      <w:r w:rsidR="00505C1A">
        <w:t xml:space="preserve">– </w:t>
      </w:r>
      <w:r w:rsidR="00B26989" w:rsidRPr="00221288">
        <w:t>nominating a</w:t>
      </w:r>
      <w:r w:rsidR="00B30059" w:rsidRPr="00221288">
        <w:t xml:space="preserve"> </w:t>
      </w:r>
      <w:r w:rsidR="006C2EFC" w:rsidRPr="00221288">
        <w:t>GP</w:t>
      </w:r>
      <w:r w:rsidR="00197819" w:rsidRPr="00221288">
        <w:t xml:space="preserve"> </w:t>
      </w:r>
      <w:r w:rsidR="00B30059" w:rsidRPr="00221288">
        <w:t xml:space="preserve">as their preferred clinician </w:t>
      </w:r>
      <w:r w:rsidR="00197819" w:rsidRPr="00221288">
        <w:t>(</w:t>
      </w:r>
      <w:r w:rsidR="00AF3040" w:rsidRPr="00221288">
        <w:t xml:space="preserve">HCH </w:t>
      </w:r>
      <w:r w:rsidR="00B30059" w:rsidRPr="00221288">
        <w:t>p</w:t>
      </w:r>
      <w:r w:rsidR="00AF3040" w:rsidRPr="00221288">
        <w:t>rinciples 1 and 4</w:t>
      </w:r>
      <w:r w:rsidR="00197819" w:rsidRPr="00221288">
        <w:t>)</w:t>
      </w:r>
      <w:r>
        <w:t>.</w:t>
      </w:r>
    </w:p>
    <w:p w14:paraId="6DEE204A" w14:textId="435A8275" w:rsidR="00453C50" w:rsidRPr="00221288" w:rsidRDefault="00D81FA6" w:rsidP="00892788">
      <w:pPr>
        <w:pStyle w:val="ListParagraph"/>
        <w:numPr>
          <w:ilvl w:val="0"/>
          <w:numId w:val="2"/>
        </w:numPr>
        <w:spacing w:after="120"/>
        <w:ind w:left="714" w:hanging="357"/>
      </w:pPr>
      <w:r>
        <w:t>T</w:t>
      </w:r>
      <w:r w:rsidRPr="00221288">
        <w:t xml:space="preserve">ools </w:t>
      </w:r>
      <w:r w:rsidR="00453C50" w:rsidRPr="00221288">
        <w:t>to identify patient</w:t>
      </w:r>
      <w:r w:rsidR="00663D59" w:rsidRPr="00221288">
        <w:t>s</w:t>
      </w:r>
      <w:r w:rsidR="00453C50" w:rsidRPr="00221288">
        <w:t xml:space="preserve"> at risk of hospitalisation and stratify them to a complexity tier</w:t>
      </w:r>
      <w:r w:rsidR="00B30059" w:rsidRPr="00221288">
        <w:t xml:space="preserve"> (key recommendation 1)</w:t>
      </w:r>
      <w:r>
        <w:t>.</w:t>
      </w:r>
    </w:p>
    <w:p w14:paraId="6359A015" w14:textId="024B990D" w:rsidR="00453C50" w:rsidRPr="00221288" w:rsidRDefault="00D81FA6" w:rsidP="00892788">
      <w:pPr>
        <w:pStyle w:val="ListParagraph"/>
        <w:numPr>
          <w:ilvl w:val="0"/>
          <w:numId w:val="2"/>
        </w:numPr>
        <w:spacing w:after="120"/>
        <w:ind w:left="714" w:hanging="357"/>
      </w:pPr>
      <w:r w:rsidRPr="00221288">
        <w:t xml:space="preserve">A </w:t>
      </w:r>
      <w:r w:rsidR="00453C50" w:rsidRPr="00221288">
        <w:t xml:space="preserve">bundled payment for every </w:t>
      </w:r>
      <w:r w:rsidR="00433E75" w:rsidRPr="00221288">
        <w:t xml:space="preserve">enrolled patient </w:t>
      </w:r>
      <w:r w:rsidR="00453C50" w:rsidRPr="00221288">
        <w:t>based on their tier</w:t>
      </w:r>
      <w:r w:rsidR="00433E75" w:rsidRPr="00221288">
        <w:t xml:space="preserve"> (for services relating to the patient’s chronic conditions)</w:t>
      </w:r>
      <w:r w:rsidR="00453C50" w:rsidRPr="00221288">
        <w:t>, departing from the traditional Medicare fee-for-service model</w:t>
      </w:r>
      <w:r w:rsidR="00197819" w:rsidRPr="00221288">
        <w:t xml:space="preserve"> (</w:t>
      </w:r>
      <w:r w:rsidR="00AF3040" w:rsidRPr="00221288">
        <w:t>k</w:t>
      </w:r>
      <w:r w:rsidR="00197819" w:rsidRPr="00221288">
        <w:t xml:space="preserve">ey </w:t>
      </w:r>
      <w:r w:rsidR="00AF3040" w:rsidRPr="00221288">
        <w:t>r</w:t>
      </w:r>
      <w:r w:rsidR="00197819" w:rsidRPr="00221288">
        <w:t>ecommendation 9)</w:t>
      </w:r>
      <w:r>
        <w:t>.</w:t>
      </w:r>
    </w:p>
    <w:p w14:paraId="552CFD9B" w14:textId="66C2830A" w:rsidR="00AF3040" w:rsidRPr="00221288" w:rsidRDefault="00D81FA6" w:rsidP="00892788">
      <w:pPr>
        <w:pStyle w:val="ListParagraph"/>
        <w:numPr>
          <w:ilvl w:val="0"/>
          <w:numId w:val="2"/>
        </w:numPr>
        <w:spacing w:after="120"/>
        <w:ind w:left="714" w:hanging="357"/>
      </w:pPr>
      <w:r w:rsidRPr="00221288">
        <w:t xml:space="preserve">Training </w:t>
      </w:r>
      <w:r w:rsidR="00AF3040" w:rsidRPr="00221288">
        <w:t xml:space="preserve">resources to support transformation of practices towards </w:t>
      </w:r>
      <w:r w:rsidR="005644B2">
        <w:t>an HCH</w:t>
      </w:r>
      <w:r w:rsidR="00AF3040" w:rsidRPr="00221288">
        <w:t xml:space="preserve"> model (key recommendations 2 and 8)</w:t>
      </w:r>
      <w:r>
        <w:t>.</w:t>
      </w:r>
    </w:p>
    <w:p w14:paraId="3A359BE3" w14:textId="5F2D12C7" w:rsidR="00AF3040" w:rsidRPr="00221288" w:rsidRDefault="00D81FA6" w:rsidP="00892788">
      <w:pPr>
        <w:pStyle w:val="ListParagraph"/>
        <w:numPr>
          <w:ilvl w:val="0"/>
          <w:numId w:val="2"/>
        </w:numPr>
        <w:spacing w:after="120"/>
        <w:ind w:left="714" w:hanging="357"/>
        <w:rPr>
          <w:szCs w:val="20"/>
        </w:rPr>
      </w:pPr>
      <w:r w:rsidRPr="00221288">
        <w:rPr>
          <w:szCs w:val="20"/>
        </w:rPr>
        <w:t xml:space="preserve">Support </w:t>
      </w:r>
      <w:r w:rsidR="00AF3040" w:rsidRPr="00221288">
        <w:rPr>
          <w:szCs w:val="20"/>
        </w:rPr>
        <w:t>for practices to undertake transformation</w:t>
      </w:r>
      <w:r w:rsidR="00C463C4" w:rsidRPr="00221288">
        <w:rPr>
          <w:szCs w:val="20"/>
        </w:rPr>
        <w:t>,</w:t>
      </w:r>
      <w:r w:rsidR="00AF3040" w:rsidRPr="00221288">
        <w:rPr>
          <w:szCs w:val="20"/>
        </w:rPr>
        <w:t xml:space="preserve"> provided by </w:t>
      </w:r>
      <w:r w:rsidR="00B30059" w:rsidRPr="00221288">
        <w:rPr>
          <w:szCs w:val="20"/>
        </w:rPr>
        <w:t xml:space="preserve">Primary Health Network (PHN) </w:t>
      </w:r>
      <w:r w:rsidR="00AF3040" w:rsidRPr="00221288">
        <w:rPr>
          <w:szCs w:val="20"/>
        </w:rPr>
        <w:t>practice facilitators</w:t>
      </w:r>
      <w:r w:rsidR="00D64839" w:rsidRPr="00221288">
        <w:rPr>
          <w:szCs w:val="20"/>
        </w:rPr>
        <w:t xml:space="preserve"> (a component of the change management required to implement key recommendation 2</w:t>
      </w:r>
      <w:r w:rsidR="00221288">
        <w:rPr>
          <w:szCs w:val="20"/>
        </w:rPr>
        <w:t>)</w:t>
      </w:r>
      <w:r>
        <w:rPr>
          <w:szCs w:val="20"/>
        </w:rPr>
        <w:t>.</w:t>
      </w:r>
    </w:p>
    <w:p w14:paraId="005F205F" w14:textId="5F365766" w:rsidR="00453C50" w:rsidRPr="00221288" w:rsidRDefault="00D81FA6" w:rsidP="00892788">
      <w:pPr>
        <w:pStyle w:val="ListParagraph"/>
        <w:numPr>
          <w:ilvl w:val="0"/>
          <w:numId w:val="2"/>
        </w:numPr>
        <w:spacing w:after="120"/>
        <w:ind w:left="714" w:hanging="357"/>
        <w:rPr>
          <w:szCs w:val="20"/>
        </w:rPr>
      </w:pPr>
      <w:r w:rsidRPr="00221288">
        <w:t xml:space="preserve">A </w:t>
      </w:r>
      <w:r w:rsidR="00453C50" w:rsidRPr="00221288">
        <w:t xml:space="preserve">system of shared care planning that gives authorised health professionals access to an </w:t>
      </w:r>
      <w:r w:rsidR="00E444A8" w:rsidRPr="00221288">
        <w:t xml:space="preserve">up-to-date </w:t>
      </w:r>
      <w:r w:rsidR="00453C50" w:rsidRPr="00221288">
        <w:t>electronic medical record for each enrolled patient</w:t>
      </w:r>
      <w:r w:rsidR="00AF3040" w:rsidRPr="00221288">
        <w:t xml:space="preserve"> (key recommendation 4)</w:t>
      </w:r>
      <w:r>
        <w:t>.</w:t>
      </w:r>
    </w:p>
    <w:p w14:paraId="1057D9A6" w14:textId="1A02C5B2" w:rsidR="00114EB9" w:rsidRPr="00892788" w:rsidRDefault="00D81FA6" w:rsidP="000635EB">
      <w:pPr>
        <w:pStyle w:val="ListParagraph"/>
        <w:numPr>
          <w:ilvl w:val="0"/>
          <w:numId w:val="2"/>
        </w:numPr>
        <w:ind w:left="714" w:hanging="357"/>
        <w:rPr>
          <w:szCs w:val="20"/>
        </w:rPr>
      </w:pPr>
      <w:r w:rsidRPr="00221288">
        <w:t xml:space="preserve">Data </w:t>
      </w:r>
      <w:r w:rsidR="00114EB9" w:rsidRPr="00221288">
        <w:t>sharing arrangements (</w:t>
      </w:r>
      <w:r w:rsidR="00B30059" w:rsidRPr="00221288">
        <w:t xml:space="preserve">HCH principle 7 and </w:t>
      </w:r>
      <w:r w:rsidR="00114EB9" w:rsidRPr="00221288">
        <w:t xml:space="preserve">key recommendation 13) and </w:t>
      </w:r>
      <w:r w:rsidR="009507A9" w:rsidRPr="00221288">
        <w:t xml:space="preserve">an </w:t>
      </w:r>
      <w:r w:rsidR="00114EB9" w:rsidRPr="00010262">
        <w:t>evaluation of the program</w:t>
      </w:r>
      <w:r w:rsidR="00221288" w:rsidRPr="00010262">
        <w:t xml:space="preserve"> (key recommendation 15).</w:t>
      </w:r>
    </w:p>
    <w:p w14:paraId="5F3E106D" w14:textId="0A084467" w:rsidR="00892788" w:rsidRPr="00892788" w:rsidRDefault="00892788" w:rsidP="00892788">
      <w:pPr>
        <w:rPr>
          <w:szCs w:val="20"/>
        </w:rPr>
      </w:pPr>
      <w:r>
        <w:rPr>
          <w:szCs w:val="20"/>
        </w:rPr>
        <w:t xml:space="preserve">These features </w:t>
      </w:r>
      <w:r w:rsidR="00505C1A">
        <w:rPr>
          <w:szCs w:val="20"/>
        </w:rPr>
        <w:t xml:space="preserve">align with </w:t>
      </w:r>
      <w:r>
        <w:rPr>
          <w:szCs w:val="20"/>
        </w:rPr>
        <w:t xml:space="preserve">the </w:t>
      </w:r>
      <w:r w:rsidRPr="00892788">
        <w:rPr>
          <w:szCs w:val="20"/>
        </w:rPr>
        <w:t>10 building blocks of high-performing primary care (Bodenheimer, Ghorob, Willard-Grace, &amp; Grumbach, 2014)</w:t>
      </w:r>
      <w:r w:rsidR="00505C1A">
        <w:rPr>
          <w:szCs w:val="20"/>
        </w:rPr>
        <w:t>, which underpin the PCMH model</w:t>
      </w:r>
      <w:r>
        <w:rPr>
          <w:szCs w:val="20"/>
        </w:rPr>
        <w:t xml:space="preserve">. HCH is also </w:t>
      </w:r>
      <w:r w:rsidRPr="00892788">
        <w:rPr>
          <w:szCs w:val="20"/>
        </w:rPr>
        <w:t>consistent with the quadruple aims</w:t>
      </w:r>
      <w:r>
        <w:rPr>
          <w:szCs w:val="20"/>
        </w:rPr>
        <w:t>:</w:t>
      </w:r>
      <w:r w:rsidRPr="00892788">
        <w:rPr>
          <w:szCs w:val="20"/>
        </w:rPr>
        <w:t xml:space="preserve"> </w:t>
      </w:r>
      <w:r>
        <w:t xml:space="preserve">improving patient health, enhancing patient experience, reducing health care costs </w:t>
      </w:r>
      <w:r w:rsidR="00D81FA6">
        <w:t xml:space="preserve">and improving the work life of providers and staff </w:t>
      </w:r>
      <w:r>
        <w:t>(</w:t>
      </w:r>
      <w:r>
        <w:fldChar w:fldCharType="begin"/>
      </w:r>
      <w:r w:rsidR="00D81FA6">
        <w:instrText xml:space="preserve"> ADDIN EN.CITE &lt;EndNote&gt;&lt;Cite&gt;&lt;Author&gt;Berwick&lt;/Author&gt;&lt;Year&gt;2008&lt;/Year&gt;&lt;RecNum&gt;1022&lt;/RecNum&gt;&lt;DisplayText&gt;Berwick, Nolan and Whittington, 2008&lt;/DisplayText&gt;&lt;record&gt;&lt;rec-number&gt;1022&lt;/rec-number&gt;&lt;foreign-keys&gt;&lt;key app="EN" db-id="zdz9xax04zr9v0evw2nvrpw9xe9ttzvs5zsv" timestamp="1526871216"&gt;1022&lt;/key&gt;&lt;/foreign-keys&gt;&lt;ref-type name="Journal Article"&gt;17&lt;/ref-type&gt;&lt;contributors&gt;&lt;authors&gt;&lt;author&gt;Berwick, D. M.&lt;/author&gt;&lt;author&gt;Nolan, T. W.&lt;/author&gt;&lt;author&gt;Whittington, J.&lt;/author&gt;&lt;/authors&gt;&lt;/contributors&gt;&lt;auth-address&gt;Institute for Healthcare Improvement (IHI) in Cambridge, Massachusetts, USA. dberwick1@ihi.org&lt;/auth-address&gt;&lt;titles&gt;&lt;title&gt;The triple aim: care, health, and cost&lt;/title&gt;&lt;secondary-title&gt;Health Aff (Millwood)&lt;/secondary-title&gt;&lt;/titles&gt;&lt;periodical&gt;&lt;full-title&gt;Health Aff (Millwood)&lt;/full-title&gt;&lt;abbr-1&gt;Health affairs (Project Hope)&lt;/abbr-1&gt;&lt;/periodical&gt;&lt;pages&gt;759-69&lt;/pages&gt;&lt;volume&gt;27&lt;/volume&gt;&lt;number&gt;3&lt;/number&gt;&lt;keywords&gt;&lt;keyword&gt;Delivery of Health Care/standards&lt;/keyword&gt;&lt;keyword&gt;Health Care Costs&lt;/keyword&gt;&lt;keyword&gt;Health Care Reform&lt;/keyword&gt;&lt;keyword&gt;*Health Priorities&lt;/keyword&gt;&lt;keyword&gt;Humans&lt;/keyword&gt;&lt;keyword&gt;Primary Health Care/economics/legislation &amp;amp; jurisprudence&lt;/keyword&gt;&lt;keyword&gt;Quality Assurance, Health Care/*methods&lt;/keyword&gt;&lt;keyword&gt;United States&lt;/keyword&gt;&lt;/keywords&gt;&lt;dates&gt;&lt;year&gt;2008&lt;/year&gt;&lt;pub-dates&gt;&lt;date&gt;May-Jun&lt;/date&gt;&lt;/pub-dates&gt;&lt;/dates&gt;&lt;isbn&gt;1544-5208 (Electronic)&amp;#xD;0278-2715 (Linking)&lt;/isbn&gt;&lt;accession-num&gt;18474969&lt;/accession-num&gt;&lt;urls&gt;&lt;related-urls&gt;&lt;url&gt;https://www.ncbi.nlm.nih.gov/pubmed/18474969&lt;/url&gt;&lt;/related-urls&gt;&lt;/urls&gt;&lt;electronic-resource-num&gt;10.1377/hlthaff.27.3.759&lt;/electronic-resource-num&gt;&lt;/record&gt;&lt;/Cite&gt;&lt;/EndNote&gt;</w:instrText>
      </w:r>
      <w:r>
        <w:fldChar w:fldCharType="separate"/>
      </w:r>
      <w:r w:rsidR="00D81FA6">
        <w:rPr>
          <w:noProof/>
        </w:rPr>
        <w:t>Berwick, Nolan and Whittington, 2008</w:t>
      </w:r>
      <w:r>
        <w:fldChar w:fldCharType="end"/>
      </w:r>
      <w:r w:rsidR="00D81FA6">
        <w:t xml:space="preserve">; </w:t>
      </w:r>
      <w:r>
        <w:fldChar w:fldCharType="begin">
          <w:fldData xml:space="preserve">PEVuZE5vdGU+PENpdGU+PEF1dGhvcj5Cb2RlbmhlaW1lcjwvQXV0aG9yPjxZZWFyPjIwMTQ8L1ll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</w:fldData>
        </w:fldChar>
      </w:r>
      <w:r w:rsidR="00D81FA6">
        <w:instrText xml:space="preserve"> ADDIN EN.CITE </w:instrText>
      </w:r>
      <w:r w:rsidR="00D81FA6">
        <w:fldChar w:fldCharType="begin">
          <w:fldData xml:space="preserve">PEVuZE5vdGU+PENpdGU+PEF1dGhvcj5Cb2RlbmhlaW1lcjwvQXV0aG9yPjxZZWFyPjIwMTQ8L1ll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</w:fldData>
        </w:fldChar>
      </w:r>
      <w:r w:rsidR="00D81FA6">
        <w:instrText xml:space="preserve"> ADDIN EN.CITE.DATA </w:instrText>
      </w:r>
      <w:r w:rsidR="00D81FA6">
        <w:fldChar w:fldCharType="end"/>
      </w:r>
      <w:r>
        <w:fldChar w:fldCharType="separate"/>
      </w:r>
      <w:r w:rsidR="00D81FA6">
        <w:rPr>
          <w:noProof/>
        </w:rPr>
        <w:t>Bodenheimer and Sinsky, 2014</w:t>
      </w:r>
      <w:r>
        <w:fldChar w:fldCharType="end"/>
      </w:r>
      <w:r>
        <w:t>).</w:t>
      </w:r>
    </w:p>
    <w:p w14:paraId="46026547" w14:textId="7C61DE8C" w:rsidR="00116103" w:rsidRPr="00010262" w:rsidRDefault="00116103" w:rsidP="00114EB9">
      <w:pPr>
        <w:rPr>
          <w:szCs w:val="20"/>
        </w:rPr>
      </w:pPr>
      <w:r w:rsidRPr="00010262">
        <w:rPr>
          <w:szCs w:val="20"/>
        </w:rPr>
        <w:t>Practices</w:t>
      </w:r>
      <w:r w:rsidR="00A36246" w:rsidRPr="00010262">
        <w:rPr>
          <w:szCs w:val="20"/>
        </w:rPr>
        <w:t xml:space="preserve"> implementing </w:t>
      </w:r>
      <w:r w:rsidR="00892788">
        <w:rPr>
          <w:szCs w:val="20"/>
        </w:rPr>
        <w:t>HCH aim to</w:t>
      </w:r>
      <w:r w:rsidR="00A36246" w:rsidRPr="00010262">
        <w:rPr>
          <w:szCs w:val="20"/>
        </w:rPr>
        <w:t>:</w:t>
      </w:r>
    </w:p>
    <w:p w14:paraId="2924DC01" w14:textId="76833CA6" w:rsidR="00114EB9" w:rsidRPr="00010262" w:rsidRDefault="00A36246" w:rsidP="00892788">
      <w:pPr>
        <w:pStyle w:val="ListParagraph"/>
        <w:numPr>
          <w:ilvl w:val="0"/>
          <w:numId w:val="4"/>
        </w:numPr>
        <w:ind w:left="714" w:hanging="357"/>
        <w:rPr>
          <w:szCs w:val="20"/>
        </w:rPr>
      </w:pPr>
      <w:r w:rsidRPr="00892788">
        <w:rPr>
          <w:b/>
          <w:szCs w:val="20"/>
        </w:rPr>
        <w:t>Involve p</w:t>
      </w:r>
      <w:r w:rsidR="00114EB9" w:rsidRPr="00892788">
        <w:rPr>
          <w:b/>
          <w:szCs w:val="20"/>
        </w:rPr>
        <w:t>atients, families and their carers as partners</w:t>
      </w:r>
      <w:r w:rsidR="00114EB9" w:rsidRPr="00010262">
        <w:rPr>
          <w:szCs w:val="20"/>
        </w:rPr>
        <w:t xml:space="preserve"> in their care</w:t>
      </w:r>
      <w:r w:rsidR="00010262">
        <w:rPr>
          <w:szCs w:val="20"/>
        </w:rPr>
        <w:t>. P</w:t>
      </w:r>
      <w:r w:rsidR="00114EB9" w:rsidRPr="00010262">
        <w:rPr>
          <w:szCs w:val="20"/>
        </w:rPr>
        <w:t>atients are activated to maximise their knowledge, skills and confidence to manage their health, aided by technology and with the support of a health care team.</w:t>
      </w:r>
    </w:p>
    <w:p w14:paraId="66359F06" w14:textId="23BAB13B" w:rsidR="00114EB9" w:rsidRPr="00010262" w:rsidRDefault="00A36246" w:rsidP="00892788">
      <w:pPr>
        <w:pStyle w:val="ListParagraph"/>
        <w:numPr>
          <w:ilvl w:val="0"/>
          <w:numId w:val="4"/>
        </w:numPr>
        <w:ind w:left="714" w:hanging="357"/>
        <w:rPr>
          <w:szCs w:val="20"/>
        </w:rPr>
      </w:pPr>
      <w:r w:rsidRPr="00892788">
        <w:rPr>
          <w:szCs w:val="20"/>
        </w:rPr>
        <w:t>Provide</w:t>
      </w:r>
      <w:r w:rsidR="00114EB9" w:rsidRPr="00892788">
        <w:rPr>
          <w:b/>
          <w:szCs w:val="20"/>
        </w:rPr>
        <w:t xml:space="preserve"> enhanced access</w:t>
      </w:r>
      <w:r w:rsidR="00114EB9" w:rsidRPr="00010262">
        <w:rPr>
          <w:szCs w:val="20"/>
        </w:rPr>
        <w:t xml:space="preserve"> to care in-hours, which may include support by telephone, email or videoconferencing</w:t>
      </w:r>
      <w:r w:rsidR="00010262">
        <w:rPr>
          <w:szCs w:val="20"/>
        </w:rPr>
        <w:t>,</w:t>
      </w:r>
      <w:r w:rsidR="00114EB9" w:rsidRPr="00010262">
        <w:rPr>
          <w:szCs w:val="20"/>
        </w:rPr>
        <w:t xml:space="preserve"> and effective access to after-hours advice or care.</w:t>
      </w:r>
    </w:p>
    <w:p w14:paraId="626C8B02" w14:textId="7081C0B8" w:rsidR="00114EB9" w:rsidRPr="00010262" w:rsidRDefault="00A36246" w:rsidP="00892788">
      <w:pPr>
        <w:pStyle w:val="ListParagraph"/>
        <w:numPr>
          <w:ilvl w:val="0"/>
          <w:numId w:val="4"/>
        </w:numPr>
        <w:ind w:left="714" w:hanging="357"/>
        <w:rPr>
          <w:szCs w:val="20"/>
        </w:rPr>
      </w:pPr>
      <w:r w:rsidRPr="00010262">
        <w:rPr>
          <w:szCs w:val="20"/>
        </w:rPr>
        <w:t xml:space="preserve">Provide </w:t>
      </w:r>
      <w:r w:rsidRPr="00892788">
        <w:rPr>
          <w:b/>
          <w:szCs w:val="20"/>
        </w:rPr>
        <w:t>f</w:t>
      </w:r>
      <w:r w:rsidR="00B30059" w:rsidRPr="00892788">
        <w:rPr>
          <w:b/>
          <w:szCs w:val="20"/>
        </w:rPr>
        <w:t>l</w:t>
      </w:r>
      <w:r w:rsidR="00114EB9" w:rsidRPr="00892788">
        <w:rPr>
          <w:b/>
          <w:szCs w:val="20"/>
        </w:rPr>
        <w:t>e</w:t>
      </w:r>
      <w:r w:rsidR="00B30059" w:rsidRPr="00892788">
        <w:rPr>
          <w:b/>
          <w:szCs w:val="20"/>
        </w:rPr>
        <w:t>xible service delivery and team-</w:t>
      </w:r>
      <w:r w:rsidR="00114EB9" w:rsidRPr="00892788">
        <w:rPr>
          <w:b/>
          <w:szCs w:val="20"/>
        </w:rPr>
        <w:t>based care</w:t>
      </w:r>
      <w:r w:rsidR="00114EB9" w:rsidRPr="00010262">
        <w:rPr>
          <w:szCs w:val="20"/>
        </w:rPr>
        <w:t xml:space="preserve"> that supports integrated patient care across the continuum of the health system through shared information and care planning. </w:t>
      </w:r>
    </w:p>
    <w:p w14:paraId="50C83A00" w14:textId="52CBDE7A" w:rsidR="00114EB9" w:rsidRPr="00010262" w:rsidRDefault="00A36246" w:rsidP="000635EB">
      <w:pPr>
        <w:pStyle w:val="ListParagraph"/>
        <w:numPr>
          <w:ilvl w:val="0"/>
          <w:numId w:val="4"/>
        </w:numPr>
        <w:ind w:left="714" w:hanging="357"/>
        <w:contextualSpacing w:val="0"/>
        <w:rPr>
          <w:szCs w:val="20"/>
        </w:rPr>
      </w:pPr>
      <w:r w:rsidRPr="00010262">
        <w:rPr>
          <w:szCs w:val="20"/>
        </w:rPr>
        <w:t>Have a</w:t>
      </w:r>
      <w:r w:rsidR="00114EB9" w:rsidRPr="00010262">
        <w:rPr>
          <w:szCs w:val="20"/>
        </w:rPr>
        <w:t xml:space="preserve"> commitment to care which is </w:t>
      </w:r>
      <w:r w:rsidR="00114EB9" w:rsidRPr="00892788">
        <w:rPr>
          <w:b/>
          <w:szCs w:val="20"/>
        </w:rPr>
        <w:t>high quality and safe</w:t>
      </w:r>
      <w:r w:rsidR="00114EB9" w:rsidRPr="00010262">
        <w:rPr>
          <w:szCs w:val="20"/>
        </w:rPr>
        <w:t xml:space="preserve">. Care planning and clinical decisions are guided by evidence-based patient health care pathways, appropriate to the patient’s needs. </w:t>
      </w:r>
    </w:p>
    <w:p w14:paraId="097434E3" w14:textId="09EC5236" w:rsidR="00114EB9" w:rsidRPr="00114EB9" w:rsidRDefault="00114EB9" w:rsidP="00114EB9">
      <w:pPr>
        <w:rPr>
          <w:szCs w:val="20"/>
        </w:rPr>
      </w:pPr>
      <w:r w:rsidRPr="00010262">
        <w:rPr>
          <w:szCs w:val="20"/>
        </w:rPr>
        <w:t>(</w:t>
      </w:r>
      <w:r w:rsidR="00116103" w:rsidRPr="00010262">
        <w:rPr>
          <w:szCs w:val="20"/>
        </w:rPr>
        <w:fldChar w:fldCharType="begin"/>
      </w:r>
      <w:r w:rsidR="00D81FA6">
        <w:rPr>
          <w:szCs w:val="20"/>
        </w:rPr>
        <w:instrText xml:space="preserve"> ADDIN EN.CITE &lt;EndNote&gt;&lt;Cite&gt;&lt;Author&gt;Primary Health Care Advisory Group&lt;/Author&gt;&lt;Year&gt;2015&lt;/Year&gt;&lt;RecNum&gt;477&lt;/RecNum&gt;&lt;DisplayText&gt;Primary Health Care Advisory Group, 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Cite AuthorYear="1"&gt;&lt;Author&gt;Primary Health Care Advisory Group&lt;/Author&gt;&lt;Year&gt;2015&lt;/Year&gt;&lt;RecNum&gt;477&lt;/RecNum&gt;&lt;record&gt;&lt;rec-number&gt;477&lt;/rec-number&gt;&lt;foreign-keys&gt;&lt;key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sidR="00116103" w:rsidRPr="00010262">
        <w:rPr>
          <w:szCs w:val="20"/>
        </w:rPr>
        <w:fldChar w:fldCharType="separate"/>
      </w:r>
      <w:r w:rsidR="00D81FA6">
        <w:rPr>
          <w:noProof/>
          <w:szCs w:val="20"/>
        </w:rPr>
        <w:t>Primary Health Care Advisory Group, 2015</w:t>
      </w:r>
      <w:r w:rsidR="00116103" w:rsidRPr="00010262">
        <w:rPr>
          <w:szCs w:val="20"/>
        </w:rPr>
        <w:fldChar w:fldCharType="end"/>
      </w:r>
      <w:r w:rsidR="00116103" w:rsidRPr="00010262">
        <w:rPr>
          <w:szCs w:val="20"/>
        </w:rPr>
        <w:t>, p. 4</w:t>
      </w:r>
      <w:r w:rsidRPr="00010262">
        <w:rPr>
          <w:szCs w:val="20"/>
        </w:rPr>
        <w:t>)</w:t>
      </w:r>
      <w:r w:rsidR="00116103" w:rsidRPr="00010262">
        <w:rPr>
          <w:szCs w:val="20"/>
        </w:rPr>
        <w:t>.</w:t>
      </w:r>
    </w:p>
    <w:p w14:paraId="320DBAC5" w14:textId="77777777" w:rsidR="00892788" w:rsidRDefault="00892788">
      <w:pPr>
        <w:spacing w:after="160" w:line="259" w:lineRule="auto"/>
        <w:rPr>
          <w:szCs w:val="20"/>
        </w:rPr>
      </w:pPr>
      <w:r>
        <w:rPr>
          <w:szCs w:val="20"/>
        </w:rPr>
        <w:br w:type="page"/>
      </w:r>
    </w:p>
    <w:p w14:paraId="5894D0C8" w14:textId="34B7ADF7" w:rsidR="00453C50" w:rsidRDefault="005276D6" w:rsidP="00453C50">
      <w:pPr>
        <w:rPr>
          <w:szCs w:val="20"/>
        </w:rPr>
      </w:pPr>
      <w:r>
        <w:rPr>
          <w:szCs w:val="20"/>
        </w:rPr>
        <w:lastRenderedPageBreak/>
        <w:t>A trial of the</w:t>
      </w:r>
      <w:r w:rsidR="001D50C4" w:rsidRPr="004215F4">
        <w:rPr>
          <w:szCs w:val="20"/>
        </w:rPr>
        <w:t xml:space="preserve"> </w:t>
      </w:r>
      <w:r w:rsidR="001D50C4">
        <w:rPr>
          <w:szCs w:val="20"/>
        </w:rPr>
        <w:t xml:space="preserve">HCH </w:t>
      </w:r>
      <w:r w:rsidR="001D50C4" w:rsidRPr="004215F4">
        <w:rPr>
          <w:szCs w:val="20"/>
        </w:rPr>
        <w:t>program</w:t>
      </w:r>
      <w:r w:rsidR="001D50C4">
        <w:rPr>
          <w:szCs w:val="20"/>
        </w:rPr>
        <w:t xml:space="preserve"> </w:t>
      </w:r>
      <w:r>
        <w:rPr>
          <w:szCs w:val="20"/>
        </w:rPr>
        <w:t>started</w:t>
      </w:r>
      <w:r w:rsidR="00505C1A">
        <w:rPr>
          <w:szCs w:val="20"/>
        </w:rPr>
        <w:t xml:space="preserve"> amongst Australian primary care practices</w:t>
      </w:r>
      <w:r w:rsidR="001D50C4">
        <w:rPr>
          <w:szCs w:val="20"/>
        </w:rPr>
        <w:t xml:space="preserve"> in late 2017 and will continue through to </w:t>
      </w:r>
      <w:r>
        <w:rPr>
          <w:szCs w:val="20"/>
        </w:rPr>
        <w:t>mid-2021</w:t>
      </w:r>
      <w:r w:rsidR="001D50C4" w:rsidRPr="004215F4">
        <w:rPr>
          <w:szCs w:val="20"/>
        </w:rPr>
        <w:t xml:space="preserve">. </w:t>
      </w:r>
      <w:r w:rsidR="00453C50">
        <w:rPr>
          <w:szCs w:val="20"/>
        </w:rPr>
        <w:t xml:space="preserve">The Australian Government Department of Health (‘the Department’) recruited practices to the trial through an expression of interest (EOI). Practices </w:t>
      </w:r>
      <w:r w:rsidR="00433E75">
        <w:rPr>
          <w:szCs w:val="20"/>
        </w:rPr>
        <w:t>located in</w:t>
      </w:r>
      <w:r w:rsidR="00453C50">
        <w:rPr>
          <w:szCs w:val="20"/>
        </w:rPr>
        <w:t xml:space="preserve"> 10 PHNs</w:t>
      </w:r>
      <w:r w:rsidR="00505C1A">
        <w:rPr>
          <w:szCs w:val="20"/>
        </w:rPr>
        <w:t xml:space="preserve"> (out of 31 Australia-wide)</w:t>
      </w:r>
      <w:r w:rsidR="001D50C4">
        <w:rPr>
          <w:szCs w:val="20"/>
        </w:rPr>
        <w:t xml:space="preserve"> were invited to apply. The PHNs </w:t>
      </w:r>
      <w:r w:rsidR="00433E75">
        <w:rPr>
          <w:szCs w:val="20"/>
        </w:rPr>
        <w:t xml:space="preserve">were </w:t>
      </w:r>
      <w:r w:rsidR="00453C50" w:rsidRPr="00C74506">
        <w:rPr>
          <w:szCs w:val="20"/>
        </w:rPr>
        <w:t xml:space="preserve">selected to maximise geographic and </w:t>
      </w:r>
      <w:r w:rsidR="00B07717">
        <w:rPr>
          <w:szCs w:val="20"/>
        </w:rPr>
        <w:t>socio-economic</w:t>
      </w:r>
      <w:r w:rsidR="00453C50" w:rsidRPr="00C74506">
        <w:rPr>
          <w:szCs w:val="20"/>
        </w:rPr>
        <w:t xml:space="preserve"> diversity amon</w:t>
      </w:r>
      <w:r w:rsidR="001D50C4">
        <w:rPr>
          <w:szCs w:val="20"/>
        </w:rPr>
        <w:t>gst the populations represented</w:t>
      </w:r>
      <w:r w:rsidR="00453C50" w:rsidRPr="00C74506">
        <w:rPr>
          <w:szCs w:val="20"/>
        </w:rPr>
        <w:t xml:space="preserve"> and leverage chronic disease programs operating in these regions</w:t>
      </w:r>
      <w:r w:rsidR="00453C50">
        <w:rPr>
          <w:szCs w:val="20"/>
        </w:rPr>
        <w:t>.</w:t>
      </w:r>
    </w:p>
    <w:p w14:paraId="601A69C3" w14:textId="429C69A5" w:rsidR="00453C50" w:rsidRDefault="00453C50" w:rsidP="00453C50">
      <w:pPr>
        <w:rPr>
          <w:szCs w:val="20"/>
        </w:rPr>
      </w:pPr>
      <w:r>
        <w:rPr>
          <w:szCs w:val="20"/>
        </w:rPr>
        <w:t>The Department established</w:t>
      </w:r>
      <w:r w:rsidR="00423393">
        <w:rPr>
          <w:szCs w:val="20"/>
        </w:rPr>
        <w:t xml:space="preserve"> or commissioned</w:t>
      </w:r>
      <w:r>
        <w:rPr>
          <w:szCs w:val="20"/>
        </w:rPr>
        <w:t xml:space="preserve"> infrastructure for the program, including:</w:t>
      </w:r>
    </w:p>
    <w:p w14:paraId="70584743" w14:textId="1406C389" w:rsidR="001D50C4" w:rsidRDefault="00D81FA6" w:rsidP="000635EB">
      <w:pPr>
        <w:pStyle w:val="ListParagraph"/>
        <w:numPr>
          <w:ilvl w:val="0"/>
          <w:numId w:val="3"/>
        </w:numPr>
        <w:rPr>
          <w:szCs w:val="20"/>
        </w:rPr>
      </w:pPr>
      <w:r>
        <w:rPr>
          <w:szCs w:val="20"/>
        </w:rPr>
        <w:t xml:space="preserve">A </w:t>
      </w:r>
      <w:r w:rsidR="00453C50">
        <w:rPr>
          <w:szCs w:val="20"/>
        </w:rPr>
        <w:t>two-tiered governance structure to provide advice on the implementation</w:t>
      </w:r>
      <w:r w:rsidR="00453C50" w:rsidRPr="00FA382A">
        <w:rPr>
          <w:szCs w:val="20"/>
        </w:rPr>
        <w:t xml:space="preserve"> consisting of an overarching Implementation Advisory Group (IAG) and working groups</w:t>
      </w:r>
      <w:r>
        <w:rPr>
          <w:szCs w:val="20"/>
        </w:rPr>
        <w:t>.</w:t>
      </w:r>
    </w:p>
    <w:p w14:paraId="05B2C4FD" w14:textId="2A6B8463" w:rsidR="00E44848" w:rsidRDefault="00D81FA6" w:rsidP="000635EB">
      <w:pPr>
        <w:pStyle w:val="ListParagraph"/>
        <w:numPr>
          <w:ilvl w:val="0"/>
          <w:numId w:val="3"/>
        </w:numPr>
        <w:rPr>
          <w:szCs w:val="20"/>
        </w:rPr>
      </w:pPr>
      <w:r>
        <w:rPr>
          <w:szCs w:val="20"/>
        </w:rPr>
        <w:t xml:space="preserve">A </w:t>
      </w:r>
      <w:r w:rsidR="00E44848">
        <w:rPr>
          <w:szCs w:val="20"/>
        </w:rPr>
        <w:t xml:space="preserve">system for </w:t>
      </w:r>
      <w:r>
        <w:rPr>
          <w:szCs w:val="20"/>
        </w:rPr>
        <w:t xml:space="preserve">registering </w:t>
      </w:r>
      <w:r w:rsidR="00E44848">
        <w:rPr>
          <w:szCs w:val="20"/>
        </w:rPr>
        <w:t>enroll</w:t>
      </w:r>
      <w:r>
        <w:rPr>
          <w:szCs w:val="20"/>
        </w:rPr>
        <w:t>ed</w:t>
      </w:r>
      <w:r w:rsidR="00E44848">
        <w:rPr>
          <w:szCs w:val="20"/>
        </w:rPr>
        <w:t xml:space="preserve"> patients within the Department of Human Services Health Professional Online Services (HPOS) system</w:t>
      </w:r>
      <w:r>
        <w:rPr>
          <w:szCs w:val="20"/>
        </w:rPr>
        <w:t>.</w:t>
      </w:r>
    </w:p>
    <w:p w14:paraId="363BC3E6" w14:textId="5FCD02FD" w:rsidR="00453C50" w:rsidRPr="00BB4EBC" w:rsidRDefault="00D81FA6" w:rsidP="000635EB">
      <w:pPr>
        <w:pStyle w:val="ListParagraph"/>
        <w:numPr>
          <w:ilvl w:val="0"/>
          <w:numId w:val="3"/>
        </w:numPr>
        <w:rPr>
          <w:szCs w:val="20"/>
        </w:rPr>
      </w:pPr>
      <w:r>
        <w:rPr>
          <w:szCs w:val="20"/>
        </w:rPr>
        <w:t>A</w:t>
      </w:r>
      <w:r w:rsidR="00505C1A">
        <w:rPr>
          <w:szCs w:val="20"/>
        </w:rPr>
        <w:t xml:space="preserve"> two-step</w:t>
      </w:r>
      <w:r>
        <w:rPr>
          <w:szCs w:val="20"/>
        </w:rPr>
        <w:t xml:space="preserve"> </w:t>
      </w:r>
      <w:r w:rsidR="00453C50" w:rsidRPr="00BB4EBC">
        <w:rPr>
          <w:szCs w:val="20"/>
        </w:rPr>
        <w:t>risk stratification tool</w:t>
      </w:r>
      <w:r w:rsidR="008B028A">
        <w:rPr>
          <w:szCs w:val="20"/>
        </w:rPr>
        <w:t xml:space="preserve"> (RST)</w:t>
      </w:r>
      <w:r w:rsidR="00453C50" w:rsidRPr="00BB4EBC">
        <w:rPr>
          <w:szCs w:val="20"/>
        </w:rPr>
        <w:t xml:space="preserve"> to </w:t>
      </w:r>
      <w:r w:rsidR="00E44848">
        <w:rPr>
          <w:szCs w:val="20"/>
        </w:rPr>
        <w:t xml:space="preserve">identify </w:t>
      </w:r>
      <w:r w:rsidR="00453C50" w:rsidRPr="00BB4EBC">
        <w:rPr>
          <w:szCs w:val="20"/>
        </w:rPr>
        <w:t>patient</w:t>
      </w:r>
      <w:r w:rsidR="00663D59">
        <w:rPr>
          <w:szCs w:val="20"/>
        </w:rPr>
        <w:t>s</w:t>
      </w:r>
      <w:r w:rsidR="00453C50" w:rsidRPr="00BB4EBC">
        <w:rPr>
          <w:szCs w:val="20"/>
        </w:rPr>
        <w:t xml:space="preserve"> </w:t>
      </w:r>
      <w:r w:rsidR="00E44848" w:rsidRPr="00BB4EBC">
        <w:rPr>
          <w:szCs w:val="20"/>
        </w:rPr>
        <w:t>eligibl</w:t>
      </w:r>
      <w:r w:rsidR="00E44848">
        <w:rPr>
          <w:szCs w:val="20"/>
        </w:rPr>
        <w:t>e</w:t>
      </w:r>
      <w:r w:rsidR="00453C50" w:rsidRPr="00BB4EBC">
        <w:rPr>
          <w:szCs w:val="20"/>
        </w:rPr>
        <w:t xml:space="preserve"> for </w:t>
      </w:r>
      <w:r w:rsidR="00453C50">
        <w:rPr>
          <w:szCs w:val="20"/>
        </w:rPr>
        <w:t>HCH</w:t>
      </w:r>
      <w:r w:rsidR="00453C50" w:rsidRPr="00BB4EBC">
        <w:rPr>
          <w:szCs w:val="20"/>
        </w:rPr>
        <w:t xml:space="preserve"> and to </w:t>
      </w:r>
      <w:r w:rsidR="00E44848">
        <w:rPr>
          <w:szCs w:val="20"/>
        </w:rPr>
        <w:t xml:space="preserve">assign </w:t>
      </w:r>
      <w:r w:rsidR="00663D59">
        <w:rPr>
          <w:szCs w:val="20"/>
        </w:rPr>
        <w:t>them</w:t>
      </w:r>
      <w:r w:rsidR="00E44848">
        <w:rPr>
          <w:szCs w:val="20"/>
        </w:rPr>
        <w:t xml:space="preserve"> to payment tiers </w:t>
      </w:r>
      <w:r w:rsidR="00453C50">
        <w:rPr>
          <w:szCs w:val="20"/>
        </w:rPr>
        <w:t>reflecting</w:t>
      </w:r>
      <w:r w:rsidR="00453C50" w:rsidRPr="00BB4EBC">
        <w:rPr>
          <w:szCs w:val="20"/>
        </w:rPr>
        <w:t xml:space="preserve"> </w:t>
      </w:r>
      <w:r w:rsidR="00663D59">
        <w:rPr>
          <w:szCs w:val="20"/>
        </w:rPr>
        <w:t>their</w:t>
      </w:r>
      <w:r w:rsidR="00453C50" w:rsidRPr="00BB4EBC">
        <w:rPr>
          <w:szCs w:val="20"/>
        </w:rPr>
        <w:t xml:space="preserve"> disease </w:t>
      </w:r>
      <w:r w:rsidR="00453C50">
        <w:rPr>
          <w:szCs w:val="20"/>
        </w:rPr>
        <w:t xml:space="preserve">complexity and </w:t>
      </w:r>
      <w:r>
        <w:rPr>
          <w:szCs w:val="20"/>
        </w:rPr>
        <w:t xml:space="preserve">health care </w:t>
      </w:r>
      <w:r w:rsidR="00453C50">
        <w:rPr>
          <w:szCs w:val="20"/>
        </w:rPr>
        <w:t>needs</w:t>
      </w:r>
      <w:r>
        <w:rPr>
          <w:szCs w:val="20"/>
        </w:rPr>
        <w:t>.</w:t>
      </w:r>
    </w:p>
    <w:p w14:paraId="2DD72BEB" w14:textId="63EFC9A2" w:rsidR="00453C50" w:rsidRPr="00BB4EBC" w:rsidRDefault="00D81FA6" w:rsidP="000635EB">
      <w:pPr>
        <w:pStyle w:val="ListParagraph"/>
        <w:numPr>
          <w:ilvl w:val="0"/>
          <w:numId w:val="3"/>
        </w:numPr>
        <w:rPr>
          <w:szCs w:val="20"/>
        </w:rPr>
      </w:pPr>
      <w:r w:rsidRPr="00BB4EBC">
        <w:rPr>
          <w:szCs w:val="20"/>
        </w:rPr>
        <w:t xml:space="preserve">Operational </w:t>
      </w:r>
      <w:r w:rsidR="00453C50" w:rsidRPr="00BB4EBC">
        <w:rPr>
          <w:szCs w:val="20"/>
        </w:rPr>
        <w:t>g</w:t>
      </w:r>
      <w:r w:rsidR="00453C50">
        <w:rPr>
          <w:szCs w:val="20"/>
        </w:rPr>
        <w:t>uidelines for HCHs</w:t>
      </w:r>
      <w:r>
        <w:rPr>
          <w:szCs w:val="20"/>
        </w:rPr>
        <w:t>.</w:t>
      </w:r>
    </w:p>
    <w:p w14:paraId="32BC9649" w14:textId="695B0586" w:rsidR="00E44848" w:rsidRDefault="00D81FA6" w:rsidP="000635EB">
      <w:pPr>
        <w:pStyle w:val="ListParagraph"/>
        <w:numPr>
          <w:ilvl w:val="0"/>
          <w:numId w:val="3"/>
        </w:numPr>
        <w:rPr>
          <w:szCs w:val="20"/>
        </w:rPr>
      </w:pPr>
      <w:r w:rsidRPr="00753B07">
        <w:rPr>
          <w:szCs w:val="20"/>
        </w:rPr>
        <w:t xml:space="preserve">Training </w:t>
      </w:r>
      <w:r w:rsidR="00E44848">
        <w:rPr>
          <w:szCs w:val="20"/>
        </w:rPr>
        <w:t>resources</w:t>
      </w:r>
      <w:r>
        <w:rPr>
          <w:szCs w:val="20"/>
        </w:rPr>
        <w:t>.</w:t>
      </w:r>
    </w:p>
    <w:p w14:paraId="07DE460A" w14:textId="124E8543" w:rsidR="00453C50" w:rsidRPr="00753B07" w:rsidRDefault="00D81FA6" w:rsidP="000635EB">
      <w:pPr>
        <w:pStyle w:val="ListParagraph"/>
        <w:numPr>
          <w:ilvl w:val="0"/>
          <w:numId w:val="3"/>
        </w:numPr>
        <w:rPr>
          <w:szCs w:val="20"/>
        </w:rPr>
      </w:pPr>
      <w:r>
        <w:rPr>
          <w:szCs w:val="20"/>
        </w:rPr>
        <w:t>F</w:t>
      </w:r>
      <w:r w:rsidR="00453C50" w:rsidRPr="00753B07">
        <w:rPr>
          <w:szCs w:val="20"/>
        </w:rPr>
        <w:t xml:space="preserve">acilitation </w:t>
      </w:r>
      <w:r w:rsidR="00E44848">
        <w:rPr>
          <w:szCs w:val="20"/>
        </w:rPr>
        <w:t xml:space="preserve">for </w:t>
      </w:r>
      <w:r w:rsidR="004132B7">
        <w:rPr>
          <w:szCs w:val="20"/>
        </w:rPr>
        <w:t>practice</w:t>
      </w:r>
      <w:r w:rsidR="00453C50" w:rsidRPr="00753B07">
        <w:rPr>
          <w:szCs w:val="20"/>
        </w:rPr>
        <w:t>s</w:t>
      </w:r>
      <w:r w:rsidR="00E44848">
        <w:rPr>
          <w:szCs w:val="20"/>
        </w:rPr>
        <w:t xml:space="preserve"> provided </w:t>
      </w:r>
      <w:r w:rsidR="00453C50" w:rsidRPr="00753B07">
        <w:rPr>
          <w:szCs w:val="20"/>
        </w:rPr>
        <w:t>through PHNs</w:t>
      </w:r>
      <w:r>
        <w:rPr>
          <w:szCs w:val="20"/>
        </w:rPr>
        <w:t>.</w:t>
      </w:r>
    </w:p>
    <w:p w14:paraId="7531A71A" w14:textId="7A405D77" w:rsidR="00453C50" w:rsidRPr="00C74506" w:rsidRDefault="00D81FA6" w:rsidP="000635EB">
      <w:pPr>
        <w:pStyle w:val="ListParagraph"/>
        <w:numPr>
          <w:ilvl w:val="0"/>
          <w:numId w:val="3"/>
        </w:numPr>
        <w:rPr>
          <w:szCs w:val="20"/>
        </w:rPr>
      </w:pPr>
      <w:r w:rsidRPr="00BB4EBC">
        <w:rPr>
          <w:szCs w:val="20"/>
        </w:rPr>
        <w:t xml:space="preserve">Evaluation </w:t>
      </w:r>
      <w:r w:rsidR="00453C50" w:rsidRPr="00BB4EBC">
        <w:rPr>
          <w:szCs w:val="20"/>
        </w:rPr>
        <w:t xml:space="preserve">of the </w:t>
      </w:r>
      <w:r w:rsidR="00E44848">
        <w:rPr>
          <w:szCs w:val="20"/>
        </w:rPr>
        <w:t>program</w:t>
      </w:r>
      <w:r w:rsidR="00453C50" w:rsidRPr="00BB4EBC">
        <w:rPr>
          <w:szCs w:val="20"/>
        </w:rPr>
        <w:t>.</w:t>
      </w:r>
      <w:r w:rsidR="00453C50">
        <w:rPr>
          <w:szCs w:val="20"/>
        </w:rPr>
        <w:t xml:space="preserve"> </w:t>
      </w:r>
    </w:p>
    <w:p w14:paraId="0CE47680" w14:textId="14711D26" w:rsidR="008B028A" w:rsidRDefault="008B028A" w:rsidP="00453C50">
      <w:pPr>
        <w:rPr>
          <w:szCs w:val="20"/>
        </w:rPr>
      </w:pPr>
      <w:r>
        <w:rPr>
          <w:szCs w:val="20"/>
        </w:rPr>
        <w:t xml:space="preserve">The participating PHNs </w:t>
      </w:r>
      <w:r w:rsidR="0099323F">
        <w:rPr>
          <w:szCs w:val="20"/>
        </w:rPr>
        <w:t xml:space="preserve">also created </w:t>
      </w:r>
      <w:r>
        <w:rPr>
          <w:szCs w:val="20"/>
        </w:rPr>
        <w:t>infrastructure</w:t>
      </w:r>
      <w:r w:rsidR="00E444A8" w:rsidRPr="00E444A8">
        <w:rPr>
          <w:szCs w:val="20"/>
        </w:rPr>
        <w:t xml:space="preserve"> </w:t>
      </w:r>
      <w:r w:rsidR="00BF3C7E">
        <w:rPr>
          <w:szCs w:val="20"/>
        </w:rPr>
        <w:t xml:space="preserve">to support </w:t>
      </w:r>
      <w:r w:rsidR="00E444A8">
        <w:rPr>
          <w:szCs w:val="20"/>
        </w:rPr>
        <w:t>the program</w:t>
      </w:r>
      <w:r>
        <w:rPr>
          <w:szCs w:val="20"/>
        </w:rPr>
        <w:t>, including regional governance groups.</w:t>
      </w:r>
    </w:p>
    <w:p w14:paraId="5D873721" w14:textId="20E66E45" w:rsidR="000F2ED2" w:rsidRPr="00235D88" w:rsidRDefault="000F2ED2" w:rsidP="000F2ED2">
      <w:r>
        <w:t>In August 2018, u</w:t>
      </w:r>
      <w:r w:rsidRPr="00BD2228">
        <w:t xml:space="preserve">nder the Sixth Community Pharmacy Agreement, the Government dedicated funds </w:t>
      </w:r>
      <w:r>
        <w:t xml:space="preserve">for HCH patients to receive </w:t>
      </w:r>
      <w:r w:rsidRPr="00235D88">
        <w:t xml:space="preserve">additional medication management services </w:t>
      </w:r>
      <w:r>
        <w:t xml:space="preserve">from </w:t>
      </w:r>
      <w:r w:rsidRPr="00235D88">
        <w:t>community pharmac</w:t>
      </w:r>
      <w:r w:rsidR="00505C1A">
        <w:t>ists</w:t>
      </w:r>
      <w:r>
        <w:t>, including:</w:t>
      </w:r>
    </w:p>
    <w:p w14:paraId="275AD5E4" w14:textId="77777777" w:rsidR="000F2ED2" w:rsidRPr="00BD2228" w:rsidRDefault="000F2ED2" w:rsidP="000635EB">
      <w:pPr>
        <w:pStyle w:val="ListParagraph"/>
        <w:numPr>
          <w:ilvl w:val="0"/>
          <w:numId w:val="5"/>
        </w:numPr>
        <w:rPr>
          <w:szCs w:val="20"/>
        </w:rPr>
      </w:pPr>
      <w:r>
        <w:rPr>
          <w:szCs w:val="20"/>
        </w:rPr>
        <w:t>M</w:t>
      </w:r>
      <w:r w:rsidRPr="00BD2228">
        <w:rPr>
          <w:szCs w:val="20"/>
        </w:rPr>
        <w:t>edication reconciliation and assessing the patient’s medicines regimen.</w:t>
      </w:r>
    </w:p>
    <w:p w14:paraId="62CC4AB1" w14:textId="77777777" w:rsidR="000F2ED2" w:rsidRPr="00BD2228" w:rsidRDefault="000F2ED2" w:rsidP="000635EB">
      <w:pPr>
        <w:pStyle w:val="ListParagraph"/>
        <w:numPr>
          <w:ilvl w:val="0"/>
          <w:numId w:val="5"/>
        </w:numPr>
        <w:rPr>
          <w:szCs w:val="20"/>
        </w:rPr>
      </w:pPr>
      <w:r w:rsidRPr="00BD2228">
        <w:rPr>
          <w:szCs w:val="20"/>
        </w:rPr>
        <w:t>Identifying any potential medication-related issues and agreeing on medication management goals.</w:t>
      </w:r>
    </w:p>
    <w:p w14:paraId="525A5159" w14:textId="77777777" w:rsidR="000F2ED2" w:rsidRPr="00BD2228" w:rsidRDefault="000F2ED2" w:rsidP="000635EB">
      <w:pPr>
        <w:pStyle w:val="ListParagraph"/>
        <w:numPr>
          <w:ilvl w:val="0"/>
          <w:numId w:val="5"/>
        </w:numPr>
        <w:rPr>
          <w:szCs w:val="20"/>
        </w:rPr>
      </w:pPr>
      <w:r w:rsidRPr="00BD2228">
        <w:rPr>
          <w:szCs w:val="20"/>
        </w:rPr>
        <w:t>Developing a medication management plan (MMP) in collaboration with the patient and their HCH.</w:t>
      </w:r>
    </w:p>
    <w:p w14:paraId="6DEFB67F" w14:textId="77777777" w:rsidR="000F2ED2" w:rsidRDefault="000F2ED2" w:rsidP="000635EB">
      <w:pPr>
        <w:pStyle w:val="ListParagraph"/>
        <w:numPr>
          <w:ilvl w:val="0"/>
          <w:numId w:val="5"/>
        </w:numPr>
        <w:rPr>
          <w:szCs w:val="20"/>
        </w:rPr>
      </w:pPr>
      <w:r w:rsidRPr="00BD2228">
        <w:rPr>
          <w:szCs w:val="20"/>
        </w:rPr>
        <w:t>Providing regular follow-up reviews with the patient (in consultation with the referring HCH practice).</w:t>
      </w:r>
    </w:p>
    <w:p w14:paraId="203906F2" w14:textId="77777777" w:rsidR="000F2ED2" w:rsidRPr="00BD2228" w:rsidRDefault="000F2ED2" w:rsidP="000635EB">
      <w:pPr>
        <w:pStyle w:val="ListParagraph"/>
        <w:numPr>
          <w:ilvl w:val="0"/>
          <w:numId w:val="5"/>
        </w:numPr>
        <w:rPr>
          <w:szCs w:val="20"/>
        </w:rPr>
      </w:pPr>
      <w:r w:rsidRPr="00BD2228">
        <w:rPr>
          <w:szCs w:val="20"/>
        </w:rPr>
        <w:t xml:space="preserve">Providing support services for the more complex patients, </w:t>
      </w:r>
      <w:r>
        <w:rPr>
          <w:szCs w:val="20"/>
        </w:rPr>
        <w:t xml:space="preserve">such as </w:t>
      </w:r>
      <w:r w:rsidRPr="00BD2228">
        <w:rPr>
          <w:szCs w:val="20"/>
        </w:rPr>
        <w:t>dose administration aids, blood glucose monitoring, blood pressure monitoring and asthma management plan</w:t>
      </w:r>
      <w:r>
        <w:rPr>
          <w:szCs w:val="20"/>
        </w:rPr>
        <w:t>ning</w:t>
      </w:r>
      <w:r w:rsidRPr="00BD2228">
        <w:rPr>
          <w:szCs w:val="20"/>
        </w:rPr>
        <w:t>.</w:t>
      </w:r>
    </w:p>
    <w:p w14:paraId="46CC3F77" w14:textId="23A22AC3" w:rsidR="001C314E" w:rsidRDefault="00654E48" w:rsidP="000F2ED2">
      <w:pPr>
        <w:rPr>
          <w:rFonts w:cs="Arial"/>
        </w:rPr>
      </w:pPr>
      <w:r>
        <w:rPr>
          <w:rFonts w:cs="Arial"/>
        </w:rPr>
        <w:t xml:space="preserve">HCH enrolees access the program through being referred by their HCH to </w:t>
      </w:r>
      <w:r w:rsidR="000F2ED2">
        <w:rPr>
          <w:rFonts w:cs="Arial"/>
        </w:rPr>
        <w:t>a community pharmacy of their choice</w:t>
      </w:r>
      <w:r w:rsidR="000F2ED2" w:rsidRPr="008649EF">
        <w:rPr>
          <w:rFonts w:cs="Arial"/>
        </w:rPr>
        <w:t>.</w:t>
      </w:r>
      <w:r w:rsidR="000F2ED2" w:rsidRPr="001A18E8">
        <w:rPr>
          <w:rFonts w:cs="Arial"/>
        </w:rPr>
        <w:t xml:space="preserve"> </w:t>
      </w:r>
    </w:p>
    <w:p w14:paraId="1F4F48D8" w14:textId="77777777" w:rsidR="001C314E" w:rsidRDefault="001C314E">
      <w:pPr>
        <w:spacing w:after="160" w:line="259" w:lineRule="auto"/>
        <w:rPr>
          <w:rFonts w:cs="Arial"/>
        </w:rPr>
      </w:pPr>
      <w:r>
        <w:rPr>
          <w:rFonts w:cs="Arial"/>
        </w:rPr>
        <w:br w:type="page"/>
      </w:r>
    </w:p>
    <w:p w14:paraId="4BD5E960" w14:textId="1F910AC4" w:rsidR="000F2ED2" w:rsidRDefault="000F2ED2" w:rsidP="00A52EFB">
      <w:pPr>
        <w:pStyle w:val="Heading2"/>
      </w:pPr>
      <w:bookmarkStart w:id="4" w:name="_Toc32585813"/>
      <w:r>
        <w:lastRenderedPageBreak/>
        <w:t>The HCH evaluation</w:t>
      </w:r>
      <w:bookmarkEnd w:id="4"/>
    </w:p>
    <w:p w14:paraId="3A079E39" w14:textId="3B25E10C" w:rsidR="00D81FA6" w:rsidRDefault="000F2ED2" w:rsidP="001C314E">
      <w:r>
        <w:t>The Department engaged Health Policy Analysis as the lead for a consortium to evaluate the HCH trial. The consortium includes the</w:t>
      </w:r>
      <w:r w:rsidRPr="000F2ED2">
        <w:t xml:space="preserve"> Centre for Big Data Research in Health (University of New South Wales), the Centre for Health Economics Research and Evaluation (University of Technology Sydney) and </w:t>
      </w:r>
      <w:r w:rsidR="00152855">
        <w:t xml:space="preserve">other </w:t>
      </w:r>
      <w:r w:rsidRPr="000F2ED2">
        <w:t>Australian and international experts.</w:t>
      </w:r>
      <w:r w:rsidR="00505C1A">
        <w:t xml:space="preserve"> An Evaluation plan (</w:t>
      </w:r>
      <w:r w:rsidR="00505C1A">
        <w:fldChar w:fldCharType="begin"/>
      </w:r>
      <w:r w:rsidR="00505C1A">
        <w:instrText xml:space="preserve"> ADDIN EN.CITE &lt;EndNote&gt;&lt;Cite&gt;&lt;Author&gt;Health Policy Analysis&lt;/Author&gt;&lt;Year&gt;2019&lt;/Year&gt;&lt;RecNum&gt;1131&lt;/RecNum&gt;&lt;DisplayText&gt;Health Policy Analysis, 2019&lt;/DisplayText&gt;&lt;record&gt;&lt;rec-number&gt;1131&lt;/rec-number&gt;&lt;foreign-keys&gt;&lt;key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rsidR="00505C1A">
        <w:fldChar w:fldCharType="separate"/>
      </w:r>
      <w:r w:rsidR="00505C1A">
        <w:rPr>
          <w:noProof/>
        </w:rPr>
        <w:t>Health Policy Analysis, 2019</w:t>
      </w:r>
      <w:r w:rsidR="00505C1A">
        <w:fldChar w:fldCharType="end"/>
      </w:r>
      <w:r w:rsidR="00505C1A">
        <w:t>) was developed as one of the first steps in the evaluation.</w:t>
      </w:r>
    </w:p>
    <w:p w14:paraId="267F5596" w14:textId="6DF3B8DB" w:rsidR="00FD4763" w:rsidRPr="00FD4763" w:rsidRDefault="00FD4763" w:rsidP="00FD4763">
      <w:pPr>
        <w:spacing w:before="200"/>
      </w:pPr>
      <w:r>
        <w:t>T</w:t>
      </w:r>
      <w:r w:rsidRPr="00FD4763">
        <w:t>he evaluation is seeking to answer the following key questions:</w:t>
      </w:r>
    </w:p>
    <w:p w14:paraId="7E0329F0" w14:textId="77777777" w:rsidR="00FD4763" w:rsidRPr="00FD4763" w:rsidRDefault="00FD4763" w:rsidP="000635EB">
      <w:pPr>
        <w:numPr>
          <w:ilvl w:val="0"/>
          <w:numId w:val="6"/>
        </w:numPr>
        <w:contextualSpacing/>
        <w:rPr>
          <w:szCs w:val="20"/>
        </w:rPr>
      </w:pPr>
      <w:r w:rsidRPr="00FD4763">
        <w:rPr>
          <w:szCs w:val="20"/>
        </w:rPr>
        <w:t>How was the HCH model implemented and what were the barriers and enablers?</w:t>
      </w:r>
    </w:p>
    <w:p w14:paraId="5A6CE335" w14:textId="77777777" w:rsidR="00FD4763" w:rsidRPr="00FD4763" w:rsidRDefault="00FD4763" w:rsidP="000635EB">
      <w:pPr>
        <w:numPr>
          <w:ilvl w:val="0"/>
          <w:numId w:val="6"/>
        </w:numPr>
        <w:contextualSpacing/>
        <w:rPr>
          <w:szCs w:val="20"/>
        </w:rPr>
      </w:pPr>
      <w:r w:rsidRPr="00FD4763">
        <w:rPr>
          <w:szCs w:val="20"/>
        </w:rPr>
        <w:t>How does the HCH model change the way practices approach chronic disease management?</w:t>
      </w:r>
    </w:p>
    <w:p w14:paraId="1E554E62" w14:textId="77777777" w:rsidR="00FD4763" w:rsidRPr="00FD4763" w:rsidRDefault="00FD4763" w:rsidP="000635EB">
      <w:pPr>
        <w:numPr>
          <w:ilvl w:val="0"/>
          <w:numId w:val="6"/>
        </w:numPr>
        <w:contextualSpacing/>
        <w:rPr>
          <w:szCs w:val="20"/>
        </w:rPr>
      </w:pPr>
      <w:r w:rsidRPr="00FD4763">
        <w:rPr>
          <w:szCs w:val="20"/>
        </w:rPr>
        <w:t>Do patients enrolled in HCH experience better quality care?</w:t>
      </w:r>
    </w:p>
    <w:p w14:paraId="49ACCF2E" w14:textId="77777777" w:rsidR="00FD4763" w:rsidRPr="00FD4763" w:rsidRDefault="00FD4763" w:rsidP="000635EB">
      <w:pPr>
        <w:numPr>
          <w:ilvl w:val="0"/>
          <w:numId w:val="6"/>
        </w:numPr>
        <w:rPr>
          <w:szCs w:val="20"/>
        </w:rPr>
      </w:pPr>
      <w:r w:rsidRPr="00FD4763">
        <w:rPr>
          <w:szCs w:val="20"/>
        </w:rPr>
        <w:t>What are the financial effects of the HCH model on governments, providers and individuals?</w:t>
      </w:r>
    </w:p>
    <w:p w14:paraId="0594FFCA" w14:textId="77777777" w:rsidR="00FD4763" w:rsidRPr="00FD4763" w:rsidRDefault="00FD4763" w:rsidP="00FD4763">
      <w:r w:rsidRPr="00FD4763">
        <w:t>Additional key questions relating to the community pharmacy component are:</w:t>
      </w:r>
    </w:p>
    <w:p w14:paraId="2F070FF2" w14:textId="77777777" w:rsidR="007D6986" w:rsidRPr="000D3390" w:rsidRDefault="007D6986" w:rsidP="00505C1A">
      <w:pPr>
        <w:numPr>
          <w:ilvl w:val="0"/>
          <w:numId w:val="6"/>
        </w:numPr>
        <w:contextualSpacing/>
        <w:rPr>
          <w:szCs w:val="20"/>
        </w:rPr>
      </w:pPr>
      <w:r w:rsidRPr="000D3390">
        <w:rPr>
          <w:szCs w:val="20"/>
        </w:rPr>
        <w:t xml:space="preserve">Is the community pharmacy component beneficial </w:t>
      </w:r>
      <w:r>
        <w:rPr>
          <w:szCs w:val="20"/>
        </w:rPr>
        <w:t>to the</w:t>
      </w:r>
      <w:r w:rsidRPr="000D3390">
        <w:rPr>
          <w:szCs w:val="20"/>
        </w:rPr>
        <w:t xml:space="preserve"> broader HCH coordinated care model and should it be included as part of any future roll out?</w:t>
      </w:r>
    </w:p>
    <w:p w14:paraId="3CFB76E8" w14:textId="77777777" w:rsidR="007D6986" w:rsidRPr="000D3390" w:rsidRDefault="007D6986" w:rsidP="00505C1A">
      <w:pPr>
        <w:numPr>
          <w:ilvl w:val="0"/>
          <w:numId w:val="6"/>
        </w:numPr>
        <w:contextualSpacing/>
        <w:rPr>
          <w:szCs w:val="20"/>
        </w:rPr>
      </w:pPr>
      <w:r w:rsidRPr="000D3390">
        <w:rPr>
          <w:szCs w:val="20"/>
        </w:rPr>
        <w:t>Do patients who received medication management services as part of the HCH trial experience better health outcomes than patients who did not?</w:t>
      </w:r>
    </w:p>
    <w:p w14:paraId="160D7169" w14:textId="77777777" w:rsidR="007D6986" w:rsidRPr="000D3390" w:rsidRDefault="007D6986" w:rsidP="00505C1A">
      <w:pPr>
        <w:numPr>
          <w:ilvl w:val="0"/>
          <w:numId w:val="6"/>
        </w:numPr>
        <w:contextualSpacing/>
        <w:rPr>
          <w:szCs w:val="20"/>
        </w:rPr>
      </w:pPr>
      <w:r w:rsidRPr="000D3390">
        <w:rPr>
          <w:szCs w:val="20"/>
        </w:rPr>
        <w:t>What was the level of engagement between HCH practices and community pharmacy (care coordination)?</w:t>
      </w:r>
    </w:p>
    <w:p w14:paraId="379D1612" w14:textId="1CC4756E" w:rsidR="00FD4763" w:rsidRPr="00FD4763" w:rsidRDefault="007D6986" w:rsidP="00505C1A">
      <w:pPr>
        <w:numPr>
          <w:ilvl w:val="0"/>
          <w:numId w:val="6"/>
        </w:numPr>
        <w:ind w:left="714" w:hanging="357"/>
        <w:rPr>
          <w:szCs w:val="20"/>
        </w:rPr>
      </w:pPr>
      <w:r w:rsidRPr="000D3390">
        <w:rPr>
          <w:szCs w:val="20"/>
        </w:rPr>
        <w:t>Is the inclusion of a pharmacy component in HCH financially viable</w:t>
      </w:r>
      <w:r w:rsidR="00FD4763" w:rsidRPr="00FD4763">
        <w:rPr>
          <w:szCs w:val="20"/>
        </w:rPr>
        <w:t>?</w:t>
      </w:r>
    </w:p>
    <w:p w14:paraId="116B9DEF" w14:textId="226679E2" w:rsidR="000F2ED2" w:rsidRPr="000F2ED2" w:rsidRDefault="00F02FFA" w:rsidP="000F2ED2">
      <w:r>
        <w:t>These questions have many dimensions. Therefore, more detailed questions have been developed for each key question and are documented in the</w:t>
      </w:r>
      <w:r w:rsidR="0075580C">
        <w:t xml:space="preserve"> </w:t>
      </w:r>
      <w:r w:rsidR="000F2ED2">
        <w:t xml:space="preserve">Evaluation plan </w:t>
      </w:r>
      <w:bookmarkStart w:id="5" w:name="_Hlk21370984"/>
      <w:r w:rsidR="0075580C">
        <w:t>(</w:t>
      </w:r>
      <w:r w:rsidR="0075580C">
        <w:fldChar w:fldCharType="begin"/>
      </w:r>
      <w:r w:rsidR="0075580C">
        <w:instrText xml:space="preserve"> ADDIN EN.CITE &lt;EndNote&gt;&lt;Cite&gt;&lt;Author&gt;Health Policy Analysis&lt;/Author&gt;&lt;Year&gt;2019&lt;/Year&gt;&lt;RecNum&gt;1131&lt;/RecNum&gt;&lt;DisplayText&gt;Health Policy Analysis, 2019&lt;/DisplayText&gt;&lt;record&gt;&lt;rec-number&gt;1131&lt;/rec-number&gt;&lt;foreign-keys&gt;&lt;key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rsidR="0075580C">
        <w:fldChar w:fldCharType="separate"/>
      </w:r>
      <w:r w:rsidR="0075580C">
        <w:rPr>
          <w:noProof/>
        </w:rPr>
        <w:t>Health Policy Analysis, 2019</w:t>
      </w:r>
      <w:r w:rsidR="0075580C">
        <w:fldChar w:fldCharType="end"/>
      </w:r>
      <w:r w:rsidR="0075580C">
        <w:t>)</w:t>
      </w:r>
      <w:r w:rsidR="00892788">
        <w:t>.</w:t>
      </w:r>
    </w:p>
    <w:bookmarkEnd w:id="5"/>
    <w:p w14:paraId="68969E28" w14:textId="62C8E06C" w:rsidR="009648BF" w:rsidRDefault="000F2ED2" w:rsidP="000F2ED2">
      <w:pPr>
        <w:widowControl w:val="0"/>
        <w:autoSpaceDE w:val="0"/>
        <w:autoSpaceDN w:val="0"/>
        <w:adjustRightInd w:val="0"/>
        <w:ind w:right="-11"/>
      </w:pPr>
      <w:r w:rsidRPr="000F2ED2">
        <w:t>Mixed</w:t>
      </w:r>
      <w:r w:rsidR="00F02FFA">
        <w:t xml:space="preserve"> </w:t>
      </w:r>
      <w:r w:rsidRPr="000F2ED2">
        <w:t xml:space="preserve">methods are being used to evaluate the HCH trial. Qualitative data </w:t>
      </w:r>
      <w:r w:rsidR="00F02FFA">
        <w:t>are</w:t>
      </w:r>
      <w:r w:rsidRPr="000F2ED2">
        <w:t xml:space="preserve"> being </w:t>
      </w:r>
      <w:r w:rsidR="00F02FFA">
        <w:t>gat</w:t>
      </w:r>
      <w:r w:rsidR="008C2B57">
        <w:t>he</w:t>
      </w:r>
      <w:r w:rsidR="00F02FFA">
        <w:t>red</w:t>
      </w:r>
      <w:r w:rsidRPr="000F2ED2">
        <w:t xml:space="preserve"> through interviews and focus groups with patients and patients</w:t>
      </w:r>
      <w:r w:rsidR="00C62795">
        <w:t>’</w:t>
      </w:r>
      <w:r w:rsidRPr="000F2ED2">
        <w:t xml:space="preserve"> carers/ families, GPs, other primary care staff, pharmacists and other</w:t>
      </w:r>
      <w:r w:rsidR="00C62795">
        <w:t xml:space="preserve"> providers</w:t>
      </w:r>
      <w:r w:rsidRPr="000F2ED2">
        <w:t xml:space="preserve">. The interviews and focus groups are being undertaken in 20 locations across Australia. </w:t>
      </w:r>
      <w:r w:rsidR="008C2B57">
        <w:t>Q</w:t>
      </w:r>
      <w:r w:rsidRPr="000F2ED2">
        <w:t xml:space="preserve">uantitative data are also being </w:t>
      </w:r>
      <w:r w:rsidR="008C2B57">
        <w:t>gathered or sourced from existing collections to analyse</w:t>
      </w:r>
      <w:r w:rsidRPr="000F2ED2">
        <w:t xml:space="preserve"> how things </w:t>
      </w:r>
      <w:r w:rsidR="008C2B57">
        <w:t xml:space="preserve">have </w:t>
      </w:r>
      <w:r w:rsidRPr="000F2ED2">
        <w:t xml:space="preserve">changed for patients enrolled in the HCH trial and to compare </w:t>
      </w:r>
      <w:r w:rsidR="008C2B57">
        <w:t xml:space="preserve">their outcomes </w:t>
      </w:r>
      <w:r w:rsidRPr="000F2ED2">
        <w:t xml:space="preserve">with similar patients receiving care from </w:t>
      </w:r>
      <w:r w:rsidR="00505C1A">
        <w:t>non-HCH</w:t>
      </w:r>
      <w:r w:rsidR="00AD59F4">
        <w:t xml:space="preserve"> </w:t>
      </w:r>
      <w:r w:rsidRPr="000F2ED2">
        <w:t>practices.</w:t>
      </w:r>
    </w:p>
    <w:p w14:paraId="4F56876B" w14:textId="77777777" w:rsidR="009648BF" w:rsidRDefault="009648BF">
      <w:pPr>
        <w:spacing w:after="160" w:line="259" w:lineRule="auto"/>
      </w:pPr>
      <w:r>
        <w:br w:type="page"/>
      </w:r>
    </w:p>
    <w:p w14:paraId="611ED2CE" w14:textId="77777777" w:rsidR="000F2ED2" w:rsidRDefault="000F2ED2" w:rsidP="00A52EFB">
      <w:pPr>
        <w:pStyle w:val="Heading2"/>
      </w:pPr>
      <w:bookmarkStart w:id="6" w:name="_Toc32585814"/>
      <w:r>
        <w:lastRenderedPageBreak/>
        <w:t>This report</w:t>
      </w:r>
      <w:bookmarkEnd w:id="6"/>
    </w:p>
    <w:p w14:paraId="248D09D4" w14:textId="2418DE91" w:rsidR="000F2ED2" w:rsidRDefault="000F2ED2" w:rsidP="000F2ED2">
      <w:bookmarkStart w:id="7" w:name="_Hlk21373564"/>
      <w:r>
        <w:t xml:space="preserve">This document is the </w:t>
      </w:r>
      <w:r w:rsidRPr="00505C1A">
        <w:rPr>
          <w:b/>
        </w:rPr>
        <w:t>Interim evaluation report 2019, Volume 1: Summary</w:t>
      </w:r>
      <w:r w:rsidR="00B92A30" w:rsidRPr="00505C1A">
        <w:rPr>
          <w:b/>
        </w:rPr>
        <w:t xml:space="preserve"> report</w:t>
      </w:r>
      <w:r>
        <w:t xml:space="preserve">. It is one of </w:t>
      </w:r>
      <w:r w:rsidR="00CF1727">
        <w:t>four</w:t>
      </w:r>
      <w:r>
        <w:t xml:space="preserve"> volumes featuring the findings of the evaluation of the HCH trial</w:t>
      </w:r>
      <w:r w:rsidR="00A11329">
        <w:t xml:space="preserve"> </w:t>
      </w:r>
      <w:r w:rsidR="006D3C17">
        <w:t xml:space="preserve">up </w:t>
      </w:r>
      <w:r w:rsidR="00A11329">
        <w:t>to</w:t>
      </w:r>
      <w:r>
        <w:t xml:space="preserve"> </w:t>
      </w:r>
      <w:r w:rsidR="00F2350B">
        <w:t>31 August 2019</w:t>
      </w:r>
      <w:r w:rsidR="00F2350B">
        <w:rPr>
          <w:rStyle w:val="FootnoteReference"/>
        </w:rPr>
        <w:footnoteReference w:id="1"/>
      </w:r>
      <w:r>
        <w:t xml:space="preserve">. The volumes are described in </w:t>
      </w:r>
      <w:r>
        <w:fldChar w:fldCharType="begin"/>
      </w:r>
      <w:r>
        <w:instrText xml:space="preserve"> REF _Ref20732064 \h  \* MERGEFORMAT </w:instrText>
      </w:r>
      <w:r>
        <w:fldChar w:fldCharType="separate"/>
      </w:r>
      <w:r w:rsidR="00FE0EFE" w:rsidRPr="00FE0EFE">
        <w:t>Table 1</w:t>
      </w:r>
      <w:r>
        <w:fldChar w:fldCharType="end"/>
      </w:r>
      <w:bookmarkEnd w:id="7"/>
      <w:r>
        <w:t>.</w:t>
      </w:r>
    </w:p>
    <w:p w14:paraId="2C949EF9" w14:textId="6153EFA1" w:rsidR="000F2ED2" w:rsidRPr="00325529" w:rsidRDefault="000F2ED2" w:rsidP="000F2ED2">
      <w:pPr>
        <w:spacing w:after="0"/>
        <w:jc w:val="center"/>
        <w:rPr>
          <w:b/>
          <w:color w:val="000000"/>
          <w:sz w:val="18"/>
          <w:szCs w:val="18"/>
        </w:rPr>
      </w:pPr>
      <w:bookmarkStart w:id="8" w:name="_Ref20732064"/>
      <w:bookmarkStart w:id="9" w:name="_Ref20732055"/>
      <w:r w:rsidRPr="00325529">
        <w:rPr>
          <w:b/>
          <w:color w:val="000000"/>
          <w:sz w:val="18"/>
          <w:szCs w:val="18"/>
        </w:rPr>
        <w:t xml:space="preserve">Table </w:t>
      </w:r>
      <w:r w:rsidRPr="00325529">
        <w:rPr>
          <w:b/>
          <w:color w:val="000000"/>
          <w:sz w:val="18"/>
          <w:szCs w:val="18"/>
        </w:rPr>
        <w:fldChar w:fldCharType="begin"/>
      </w:r>
      <w:r w:rsidRPr="00325529">
        <w:rPr>
          <w:b/>
          <w:color w:val="000000"/>
          <w:sz w:val="18"/>
          <w:szCs w:val="18"/>
        </w:rPr>
        <w:instrText xml:space="preserve"> SEQ Table \* ARABIC </w:instrText>
      </w:r>
      <w:r w:rsidRPr="00325529">
        <w:rPr>
          <w:b/>
          <w:color w:val="000000"/>
          <w:sz w:val="18"/>
          <w:szCs w:val="18"/>
        </w:rPr>
        <w:fldChar w:fldCharType="separate"/>
      </w:r>
      <w:r w:rsidR="00FE0EFE">
        <w:rPr>
          <w:b/>
          <w:noProof/>
          <w:color w:val="000000"/>
          <w:sz w:val="18"/>
          <w:szCs w:val="18"/>
        </w:rPr>
        <w:t>1</w:t>
      </w:r>
      <w:r w:rsidRPr="00325529">
        <w:rPr>
          <w:b/>
          <w:noProof/>
          <w:color w:val="000000"/>
          <w:sz w:val="18"/>
          <w:szCs w:val="18"/>
        </w:rPr>
        <w:fldChar w:fldCharType="end"/>
      </w:r>
      <w:bookmarkEnd w:id="8"/>
      <w:r w:rsidRPr="00325529">
        <w:rPr>
          <w:b/>
          <w:color w:val="000000"/>
          <w:sz w:val="18"/>
          <w:szCs w:val="18"/>
        </w:rPr>
        <w:t xml:space="preserve"> –</w:t>
      </w:r>
      <w:r>
        <w:rPr>
          <w:b/>
          <w:color w:val="000000"/>
          <w:sz w:val="18"/>
          <w:szCs w:val="18"/>
        </w:rPr>
        <w:t xml:space="preserve"> Interim evaluation report 2019: Description of volumes</w:t>
      </w:r>
      <w:bookmarkEnd w:id="9"/>
    </w:p>
    <w:tbl>
      <w:tblPr>
        <w:tblW w:w="906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972"/>
        <w:gridCol w:w="6095"/>
      </w:tblGrid>
      <w:tr w:rsidR="000F2ED2" w:rsidRPr="00B97C60" w14:paraId="4610E208" w14:textId="77777777" w:rsidTr="006758BA">
        <w:trPr>
          <w:tblHeader/>
          <w:jc w:val="center"/>
        </w:trPr>
        <w:tc>
          <w:tcPr>
            <w:tcW w:w="2972" w:type="dxa"/>
            <w:shd w:val="clear" w:color="auto" w:fill="003D79"/>
            <w:vAlign w:val="center"/>
          </w:tcPr>
          <w:p w14:paraId="5CA37120" w14:textId="77777777" w:rsidR="000F2ED2" w:rsidRPr="00B97C60" w:rsidRDefault="000F2ED2" w:rsidP="006758BA">
            <w:pPr>
              <w:spacing w:after="0"/>
              <w:jc w:val="center"/>
              <w:rPr>
                <w:b/>
                <w:sz w:val="18"/>
                <w:szCs w:val="18"/>
              </w:rPr>
            </w:pPr>
            <w:bookmarkStart w:id="10" w:name="_Hlk22572990"/>
            <w:r w:rsidRPr="00B97C60">
              <w:rPr>
                <w:b/>
                <w:sz w:val="18"/>
                <w:szCs w:val="18"/>
              </w:rPr>
              <w:t>Volume</w:t>
            </w:r>
          </w:p>
        </w:tc>
        <w:tc>
          <w:tcPr>
            <w:tcW w:w="6095" w:type="dxa"/>
            <w:shd w:val="clear" w:color="auto" w:fill="003D79"/>
          </w:tcPr>
          <w:p w14:paraId="0537BB16" w14:textId="77777777" w:rsidR="000F2ED2" w:rsidRPr="00B97C60" w:rsidRDefault="000F2ED2" w:rsidP="006758BA">
            <w:pPr>
              <w:spacing w:after="0"/>
              <w:jc w:val="center"/>
              <w:rPr>
                <w:b/>
                <w:sz w:val="18"/>
                <w:szCs w:val="18"/>
              </w:rPr>
            </w:pPr>
            <w:r w:rsidRPr="00B97C60">
              <w:rPr>
                <w:b/>
                <w:sz w:val="18"/>
                <w:szCs w:val="18"/>
              </w:rPr>
              <w:t>Description</w:t>
            </w:r>
          </w:p>
        </w:tc>
      </w:tr>
      <w:tr w:rsidR="00B92A30" w:rsidRPr="00B97C60" w14:paraId="783BA248" w14:textId="77777777" w:rsidTr="006758BA">
        <w:trPr>
          <w:jc w:val="center"/>
        </w:trPr>
        <w:tc>
          <w:tcPr>
            <w:tcW w:w="2972" w:type="dxa"/>
          </w:tcPr>
          <w:p w14:paraId="10BC18BD" w14:textId="6DD02962" w:rsidR="00B92A30" w:rsidRPr="00B97C60" w:rsidRDefault="00B92A30" w:rsidP="00B92A30">
            <w:pPr>
              <w:spacing w:after="0"/>
              <w:rPr>
                <w:sz w:val="18"/>
                <w:szCs w:val="18"/>
              </w:rPr>
            </w:pPr>
            <w:r w:rsidRPr="00B97C60">
              <w:rPr>
                <w:sz w:val="18"/>
                <w:szCs w:val="18"/>
              </w:rPr>
              <w:t>Volume 1: Summary</w:t>
            </w:r>
            <w:r>
              <w:rPr>
                <w:sz w:val="18"/>
                <w:szCs w:val="18"/>
              </w:rPr>
              <w:t xml:space="preserve"> report</w:t>
            </w:r>
          </w:p>
        </w:tc>
        <w:tc>
          <w:tcPr>
            <w:tcW w:w="6095" w:type="dxa"/>
          </w:tcPr>
          <w:p w14:paraId="1B0DB73F" w14:textId="22B5E0DF" w:rsidR="00B92A30" w:rsidRPr="00B97C60" w:rsidRDefault="00B92A30" w:rsidP="00B92A30">
            <w:pPr>
              <w:spacing w:after="0"/>
              <w:rPr>
                <w:sz w:val="18"/>
                <w:szCs w:val="18"/>
              </w:rPr>
            </w:pPr>
            <w:r w:rsidRPr="00B97C60">
              <w:rPr>
                <w:sz w:val="18"/>
                <w:szCs w:val="18"/>
              </w:rPr>
              <w:t>Summarises the findings of the interim evaluation.</w:t>
            </w:r>
          </w:p>
        </w:tc>
      </w:tr>
      <w:tr w:rsidR="00B92A30" w:rsidRPr="00B97C60" w14:paraId="7A221831" w14:textId="77777777" w:rsidTr="006758BA">
        <w:trPr>
          <w:jc w:val="center"/>
        </w:trPr>
        <w:tc>
          <w:tcPr>
            <w:tcW w:w="2972" w:type="dxa"/>
          </w:tcPr>
          <w:p w14:paraId="22CD9F6A" w14:textId="09F5A21C" w:rsidR="00B92A30" w:rsidRPr="00B97C60" w:rsidRDefault="00B92A30" w:rsidP="00B92A30">
            <w:pPr>
              <w:spacing w:after="0"/>
              <w:rPr>
                <w:sz w:val="18"/>
                <w:szCs w:val="18"/>
              </w:rPr>
            </w:pPr>
            <w:r w:rsidRPr="00B97C60">
              <w:rPr>
                <w:sz w:val="18"/>
                <w:szCs w:val="18"/>
              </w:rPr>
              <w:t xml:space="preserve">Volume 2: </w:t>
            </w:r>
            <w:r>
              <w:rPr>
                <w:sz w:val="18"/>
                <w:szCs w:val="18"/>
              </w:rPr>
              <w:t>Main report</w:t>
            </w:r>
          </w:p>
        </w:tc>
        <w:tc>
          <w:tcPr>
            <w:tcW w:w="6095" w:type="dxa"/>
          </w:tcPr>
          <w:p w14:paraId="456977B4" w14:textId="5BB64C4F" w:rsidR="00B92A30" w:rsidRPr="00B97C60" w:rsidRDefault="00B92A30" w:rsidP="00B92A30">
            <w:pPr>
              <w:spacing w:after="0"/>
              <w:rPr>
                <w:sz w:val="18"/>
                <w:szCs w:val="18"/>
              </w:rPr>
            </w:pPr>
            <w:r>
              <w:rPr>
                <w:sz w:val="18"/>
                <w:szCs w:val="18"/>
              </w:rPr>
              <w:t>Presents the findings from the interim evaluation.</w:t>
            </w:r>
          </w:p>
        </w:tc>
      </w:tr>
      <w:tr w:rsidR="00B92A30" w:rsidRPr="00B97C60" w14:paraId="093F2598" w14:textId="77777777" w:rsidTr="006758BA">
        <w:trPr>
          <w:jc w:val="center"/>
        </w:trPr>
        <w:tc>
          <w:tcPr>
            <w:tcW w:w="2972" w:type="dxa"/>
          </w:tcPr>
          <w:p w14:paraId="09070DE9" w14:textId="7AA33623" w:rsidR="00B92A30" w:rsidRPr="00B97C60" w:rsidRDefault="00B92A30" w:rsidP="00B92A30">
            <w:pPr>
              <w:spacing w:after="0"/>
              <w:rPr>
                <w:sz w:val="18"/>
                <w:szCs w:val="18"/>
              </w:rPr>
            </w:pPr>
            <w:r w:rsidRPr="00B97C60">
              <w:rPr>
                <w:sz w:val="18"/>
                <w:szCs w:val="18"/>
              </w:rPr>
              <w:t xml:space="preserve">Volume 3: Evaluation </w:t>
            </w:r>
            <w:r>
              <w:rPr>
                <w:sz w:val="18"/>
                <w:szCs w:val="18"/>
              </w:rPr>
              <w:t>progress</w:t>
            </w:r>
          </w:p>
        </w:tc>
        <w:tc>
          <w:tcPr>
            <w:tcW w:w="6095" w:type="dxa"/>
          </w:tcPr>
          <w:p w14:paraId="6EAD4BBB" w14:textId="7FE51501" w:rsidR="00B92A30" w:rsidRPr="00B97C60" w:rsidRDefault="00B92A30" w:rsidP="00B92A30">
            <w:pPr>
              <w:spacing w:after="0"/>
              <w:rPr>
                <w:sz w:val="18"/>
                <w:szCs w:val="18"/>
              </w:rPr>
            </w:pPr>
            <w:r>
              <w:rPr>
                <w:sz w:val="18"/>
                <w:szCs w:val="18"/>
              </w:rPr>
              <w:t>D</w:t>
            </w:r>
            <w:r w:rsidRPr="00B97C60">
              <w:rPr>
                <w:sz w:val="18"/>
                <w:szCs w:val="18"/>
              </w:rPr>
              <w:t>escribe</w:t>
            </w:r>
            <w:r>
              <w:rPr>
                <w:sz w:val="18"/>
                <w:szCs w:val="18"/>
              </w:rPr>
              <w:t>s</w:t>
            </w:r>
            <w:r w:rsidRPr="00B97C60">
              <w:rPr>
                <w:sz w:val="18"/>
                <w:szCs w:val="18"/>
              </w:rPr>
              <w:t xml:space="preserve"> </w:t>
            </w:r>
            <w:r>
              <w:rPr>
                <w:sz w:val="18"/>
                <w:szCs w:val="18"/>
              </w:rPr>
              <w:t>progress for the evaluation to September 2019</w:t>
            </w:r>
            <w:r w:rsidR="00C62795">
              <w:rPr>
                <w:sz w:val="18"/>
                <w:szCs w:val="18"/>
              </w:rPr>
              <w:t>,</w:t>
            </w:r>
            <w:r>
              <w:rPr>
                <w:sz w:val="18"/>
                <w:szCs w:val="18"/>
              </w:rPr>
              <w:t xml:space="preserve"> including progress with acquiring </w:t>
            </w:r>
            <w:r w:rsidRPr="00B97C60">
              <w:rPr>
                <w:sz w:val="18"/>
                <w:szCs w:val="18"/>
              </w:rPr>
              <w:t>evaluation data and approach</w:t>
            </w:r>
            <w:r>
              <w:rPr>
                <w:sz w:val="18"/>
                <w:szCs w:val="18"/>
              </w:rPr>
              <w:t>es for analysing</w:t>
            </w:r>
            <w:r w:rsidRPr="00B97C60">
              <w:rPr>
                <w:sz w:val="18"/>
                <w:szCs w:val="18"/>
              </w:rPr>
              <w:t xml:space="preserve"> qualitative and quantitative data.</w:t>
            </w:r>
          </w:p>
        </w:tc>
      </w:tr>
      <w:tr w:rsidR="00B92A30" w:rsidRPr="00B97C60" w14:paraId="7208D473" w14:textId="77777777" w:rsidTr="006758BA">
        <w:trPr>
          <w:jc w:val="center"/>
        </w:trPr>
        <w:tc>
          <w:tcPr>
            <w:tcW w:w="2972" w:type="dxa"/>
          </w:tcPr>
          <w:p w14:paraId="3FC34755" w14:textId="38C5D805" w:rsidR="00B92A30" w:rsidRPr="00B97C60" w:rsidRDefault="00B92A30" w:rsidP="00B92A30">
            <w:pPr>
              <w:spacing w:after="0"/>
              <w:rPr>
                <w:sz w:val="18"/>
                <w:szCs w:val="18"/>
              </w:rPr>
            </w:pPr>
            <w:r w:rsidRPr="00B97C60">
              <w:rPr>
                <w:sz w:val="18"/>
                <w:szCs w:val="18"/>
              </w:rPr>
              <w:t xml:space="preserve">Volume </w:t>
            </w:r>
            <w:r>
              <w:rPr>
                <w:sz w:val="18"/>
                <w:szCs w:val="18"/>
              </w:rPr>
              <w:t>4</w:t>
            </w:r>
            <w:r w:rsidRPr="00B97C60">
              <w:rPr>
                <w:sz w:val="18"/>
                <w:szCs w:val="18"/>
              </w:rPr>
              <w:t xml:space="preserve">: </w:t>
            </w:r>
            <w:r>
              <w:rPr>
                <w:sz w:val="18"/>
                <w:szCs w:val="18"/>
              </w:rPr>
              <w:t>Evaluation data supplement</w:t>
            </w:r>
          </w:p>
        </w:tc>
        <w:tc>
          <w:tcPr>
            <w:tcW w:w="6095" w:type="dxa"/>
          </w:tcPr>
          <w:p w14:paraId="41945189" w14:textId="47549A77" w:rsidR="00B92A30" w:rsidRPr="00B97C60" w:rsidRDefault="00B01DB6" w:rsidP="00B92A30">
            <w:pPr>
              <w:spacing w:after="0"/>
              <w:rPr>
                <w:sz w:val="18"/>
                <w:szCs w:val="18"/>
              </w:rPr>
            </w:pPr>
            <w:r>
              <w:rPr>
                <w:sz w:val="18"/>
                <w:szCs w:val="18"/>
              </w:rPr>
              <w:t>Includes s</w:t>
            </w:r>
            <w:r w:rsidR="00B92A30">
              <w:rPr>
                <w:sz w:val="18"/>
                <w:szCs w:val="18"/>
              </w:rPr>
              <w:t xml:space="preserve">upplementary data to support the findings reported in </w:t>
            </w:r>
            <w:r>
              <w:rPr>
                <w:sz w:val="18"/>
                <w:szCs w:val="18"/>
              </w:rPr>
              <w:t>V</w:t>
            </w:r>
            <w:r w:rsidR="00B92A30">
              <w:rPr>
                <w:sz w:val="18"/>
                <w:szCs w:val="18"/>
              </w:rPr>
              <w:t>olume 2.</w:t>
            </w:r>
          </w:p>
        </w:tc>
      </w:tr>
    </w:tbl>
    <w:p w14:paraId="3E127444" w14:textId="77777777" w:rsidR="00E919B7" w:rsidRDefault="00E919B7" w:rsidP="00E919B7">
      <w:pPr>
        <w:spacing w:after="0"/>
      </w:pPr>
    </w:p>
    <w:p w14:paraId="0D7AB61C" w14:textId="0F341536" w:rsidR="00495F69" w:rsidRDefault="00936544" w:rsidP="00495F69">
      <w:r>
        <w:t>This</w:t>
      </w:r>
      <w:r w:rsidR="00761D7F">
        <w:t xml:space="preserve"> interim </w:t>
      </w:r>
      <w:r>
        <w:t xml:space="preserve">evaluation </w:t>
      </w:r>
      <w:r w:rsidR="00761D7F">
        <w:t xml:space="preserve">report reflects findings on </w:t>
      </w:r>
      <w:r w:rsidR="00761D7F" w:rsidRPr="00761D7F">
        <w:rPr>
          <w:b/>
        </w:rPr>
        <w:t>the establishment phase</w:t>
      </w:r>
      <w:r w:rsidR="00761D7F">
        <w:t xml:space="preserve"> of the program and the </w:t>
      </w:r>
      <w:r w:rsidR="00761D7F" w:rsidRPr="00761D7F">
        <w:rPr>
          <w:b/>
        </w:rPr>
        <w:t>early experience</w:t>
      </w:r>
      <w:r w:rsidR="008C2B57">
        <w:rPr>
          <w:b/>
        </w:rPr>
        <w:t>s</w:t>
      </w:r>
      <w:r w:rsidR="00761D7F">
        <w:t xml:space="preserve"> of practices and their staff, patients and PHNs.</w:t>
      </w:r>
      <w:r w:rsidR="00D56174">
        <w:t xml:space="preserve"> </w:t>
      </w:r>
      <w:r w:rsidR="00761D7F">
        <w:t xml:space="preserve"> </w:t>
      </w:r>
      <w:r>
        <w:t xml:space="preserve">It </w:t>
      </w:r>
      <w:r w:rsidR="00761D7F">
        <w:t>profiles the participating practices and enrolled patients, but these large</w:t>
      </w:r>
      <w:r w:rsidR="008C2B57">
        <w:t>ly</w:t>
      </w:r>
      <w:r w:rsidR="00761D7F">
        <w:t xml:space="preserve"> reflect their characteristics at the start of the program.</w:t>
      </w:r>
      <w:r w:rsidR="00D56174">
        <w:t xml:space="preserve"> Also, the experiences of practices and patients in Aboriginal Community Controlled Health Services (ACCHS) have not been documented as yet. Case studies of two </w:t>
      </w:r>
      <w:r w:rsidR="00F96618">
        <w:t>ACCHS</w:t>
      </w:r>
      <w:r w:rsidR="00D56174">
        <w:t xml:space="preserve"> in the NT </w:t>
      </w:r>
      <w:r>
        <w:t>were</w:t>
      </w:r>
      <w:r w:rsidR="00D56174">
        <w:t xml:space="preserve"> being undertaken</w:t>
      </w:r>
      <w:r>
        <w:t xml:space="preserve"> at the time that this report was being drafted</w:t>
      </w:r>
      <w:r w:rsidR="00D56174">
        <w:t xml:space="preserve">, and will be </w:t>
      </w:r>
      <w:r>
        <w:t>documented</w:t>
      </w:r>
      <w:r w:rsidR="00D56174">
        <w:t xml:space="preserve"> in the next evaluation report. </w:t>
      </w:r>
      <w:r w:rsidR="00761D7F">
        <w:t>Th</w:t>
      </w:r>
      <w:r w:rsidR="00D56174">
        <w:t>is</w:t>
      </w:r>
      <w:r>
        <w:t xml:space="preserve"> interim</w:t>
      </w:r>
      <w:r w:rsidR="00761D7F">
        <w:t xml:space="preserve"> report will be followed by a second </w:t>
      </w:r>
      <w:r w:rsidR="008C2B57">
        <w:t>i</w:t>
      </w:r>
      <w:r w:rsidR="00761D7F">
        <w:t xml:space="preserve">nterim </w:t>
      </w:r>
      <w:r w:rsidR="008C2B57">
        <w:t>r</w:t>
      </w:r>
      <w:r w:rsidR="00761D7F">
        <w:t>eport in late 2020, and a final evaluation report in late 2021. The</w:t>
      </w:r>
      <w:r w:rsidR="008C2B57">
        <w:t xml:space="preserve">se next </w:t>
      </w:r>
      <w:r w:rsidR="00761D7F">
        <w:t>reports, in particular the final report</w:t>
      </w:r>
      <w:r w:rsidR="008C2B57">
        <w:t>,</w:t>
      </w:r>
      <w:r w:rsidR="00761D7F">
        <w:t xml:space="preserve"> will provide further insights into changes that have </w:t>
      </w:r>
      <w:r w:rsidR="008C2B57">
        <w:t xml:space="preserve">happened </w:t>
      </w:r>
      <w:r w:rsidR="00761D7F">
        <w:t>within practices and patients</w:t>
      </w:r>
      <w:r w:rsidR="00BF0C67">
        <w:t>’ experiences and outcomes</w:t>
      </w:r>
      <w:r w:rsidR="00761D7F">
        <w:t>.</w:t>
      </w:r>
      <w:r w:rsidR="00495F69">
        <w:t xml:space="preserve"> </w:t>
      </w:r>
    </w:p>
    <w:p w14:paraId="328AE5E6" w14:textId="5DB1EA69" w:rsidR="00495F69" w:rsidRPr="004A59B8" w:rsidRDefault="00495F69" w:rsidP="00495F69">
      <w:r w:rsidRPr="004A59B8">
        <w:t>The quantitative and qualitative data used to prepare this report and subsequent</w:t>
      </w:r>
      <w:r>
        <w:t xml:space="preserve"> evaluation</w:t>
      </w:r>
      <w:r w:rsidRPr="004A59B8">
        <w:t xml:space="preserve"> reports are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D56174" w:rsidRPr="006B2D40" w14:paraId="140468F3" w14:textId="77777777" w:rsidTr="00D56174">
        <w:tc>
          <w:tcPr>
            <w:tcW w:w="9016" w:type="dxa"/>
            <w:shd w:val="clear" w:color="auto" w:fill="F2F2F2" w:themeFill="background1" w:themeFillShade="F2"/>
          </w:tcPr>
          <w:p w14:paraId="15A26F84" w14:textId="77777777" w:rsidR="00D56174" w:rsidRPr="006B2D40" w:rsidRDefault="00D56174" w:rsidP="00495F69">
            <w:pPr>
              <w:pStyle w:val="Boxheading"/>
              <w:rPr>
                <w:sz w:val="18"/>
                <w:szCs w:val="18"/>
              </w:rPr>
            </w:pPr>
            <w:bookmarkStart w:id="11" w:name="evalreports"/>
            <w:bookmarkEnd w:id="10"/>
            <w:r w:rsidRPr="006B2D40">
              <w:rPr>
                <w:sz w:val="18"/>
                <w:szCs w:val="18"/>
              </w:rPr>
              <w:t>Evaluation reports</w:t>
            </w:r>
          </w:p>
          <w:bookmarkEnd w:id="11"/>
          <w:p w14:paraId="139CCEF5" w14:textId="77777777" w:rsidR="00D56174" w:rsidRPr="006B2D40" w:rsidRDefault="00D56174" w:rsidP="00495F69">
            <w:pPr>
              <w:rPr>
                <w:b/>
                <w:sz w:val="18"/>
                <w:szCs w:val="18"/>
              </w:rPr>
            </w:pPr>
            <w:r w:rsidRPr="006B2D40">
              <w:rPr>
                <w:b/>
                <w:sz w:val="18"/>
                <w:szCs w:val="18"/>
              </w:rPr>
              <w:t xml:space="preserve">Interim evaluation report 2019 (this report): </w:t>
            </w:r>
          </w:p>
          <w:p w14:paraId="01BC42BB" w14:textId="77777777" w:rsidR="00D56174" w:rsidRPr="006B2D40" w:rsidRDefault="00D56174" w:rsidP="001C19F3">
            <w:pPr>
              <w:pStyle w:val="ListParagraph"/>
              <w:numPr>
                <w:ilvl w:val="0"/>
                <w:numId w:val="9"/>
              </w:numPr>
              <w:rPr>
                <w:sz w:val="18"/>
                <w:szCs w:val="18"/>
              </w:rPr>
            </w:pPr>
            <w:r w:rsidRPr="006B2D40">
              <w:rPr>
                <w:i/>
                <w:sz w:val="18"/>
                <w:szCs w:val="18"/>
              </w:rPr>
              <w:t>Patient surveys at entry of HCH (from December 2017 to March 2019):</w:t>
            </w:r>
            <w:r w:rsidRPr="006B2D40">
              <w:rPr>
                <w:sz w:val="18"/>
                <w:szCs w:val="18"/>
              </w:rPr>
              <w:t xml:space="preserve"> Patient activation, experiences of primary care and coordination of care, health conditions, health status.</w:t>
            </w:r>
          </w:p>
          <w:p w14:paraId="2E58BC7A" w14:textId="77777777" w:rsidR="00D56174" w:rsidRPr="006B2D40" w:rsidRDefault="00D56174" w:rsidP="001C19F3">
            <w:pPr>
              <w:pStyle w:val="ListParagraph"/>
              <w:numPr>
                <w:ilvl w:val="0"/>
                <w:numId w:val="9"/>
              </w:numPr>
              <w:rPr>
                <w:sz w:val="18"/>
                <w:szCs w:val="18"/>
              </w:rPr>
            </w:pPr>
            <w:r w:rsidRPr="006B2D40">
              <w:rPr>
                <w:i/>
                <w:sz w:val="18"/>
                <w:szCs w:val="18"/>
              </w:rPr>
              <w:t>Practice surveys Round 1 (March to June 2018) and Round 2 (November 2018 to March 2019):</w:t>
            </w:r>
            <w:r w:rsidRPr="006B2D40">
              <w:rPr>
                <w:sz w:val="18"/>
                <w:szCs w:val="18"/>
              </w:rPr>
              <w:t xml:space="preserve"> Characteristics of HCH practices and early experience of HCH implementation.</w:t>
            </w:r>
          </w:p>
          <w:p w14:paraId="1D43652C" w14:textId="77777777" w:rsidR="00D56174" w:rsidRPr="006B2D40" w:rsidRDefault="00D56174" w:rsidP="001C19F3">
            <w:pPr>
              <w:pStyle w:val="ListParagraph"/>
              <w:numPr>
                <w:ilvl w:val="0"/>
                <w:numId w:val="9"/>
              </w:numPr>
              <w:rPr>
                <w:sz w:val="18"/>
                <w:szCs w:val="18"/>
              </w:rPr>
            </w:pPr>
            <w:r w:rsidRPr="006B2D40">
              <w:rPr>
                <w:i/>
                <w:sz w:val="18"/>
                <w:szCs w:val="18"/>
              </w:rPr>
              <w:t>Case studies (late 2018):</w:t>
            </w:r>
            <w:r w:rsidRPr="006B2D40">
              <w:rPr>
                <w:b/>
                <w:sz w:val="18"/>
                <w:szCs w:val="18"/>
              </w:rPr>
              <w:t xml:space="preserve"> </w:t>
            </w:r>
            <w:r w:rsidRPr="006B2D40">
              <w:rPr>
                <w:sz w:val="18"/>
                <w:szCs w:val="18"/>
              </w:rPr>
              <w:t xml:space="preserve">Patient, family, carer and practice experiences in the initial period following commencement of HCH. </w:t>
            </w:r>
          </w:p>
          <w:p w14:paraId="3D8D1317" w14:textId="1A09783B" w:rsidR="00D56174" w:rsidRPr="006B2D40" w:rsidRDefault="00D56174" w:rsidP="001C19F3">
            <w:pPr>
              <w:pStyle w:val="ListParagraph"/>
              <w:numPr>
                <w:ilvl w:val="0"/>
                <w:numId w:val="9"/>
              </w:numPr>
              <w:rPr>
                <w:sz w:val="18"/>
                <w:szCs w:val="18"/>
              </w:rPr>
            </w:pPr>
            <w:r w:rsidRPr="006B2D40">
              <w:rPr>
                <w:i/>
                <w:sz w:val="18"/>
                <w:szCs w:val="18"/>
              </w:rPr>
              <w:t>Practice data extracts (up to June 2019):</w:t>
            </w:r>
            <w:r w:rsidRPr="006B2D40">
              <w:rPr>
                <w:b/>
                <w:sz w:val="18"/>
                <w:szCs w:val="18"/>
              </w:rPr>
              <w:t xml:space="preserve"> </w:t>
            </w:r>
            <w:r w:rsidRPr="006B2D40">
              <w:rPr>
                <w:sz w:val="18"/>
                <w:szCs w:val="18"/>
              </w:rPr>
              <w:t xml:space="preserve">Profile of enrolled patients from practice data, </w:t>
            </w:r>
            <w:r w:rsidR="00447AF1">
              <w:rPr>
                <w:sz w:val="18"/>
                <w:szCs w:val="18"/>
              </w:rPr>
              <w:t>b</w:t>
            </w:r>
            <w:r w:rsidRPr="006B2D40">
              <w:rPr>
                <w:sz w:val="18"/>
                <w:szCs w:val="18"/>
              </w:rPr>
              <w:t>aseline for key measures.</w:t>
            </w:r>
          </w:p>
          <w:p w14:paraId="6822257B" w14:textId="77777777" w:rsidR="00D56174" w:rsidRPr="006B2D40" w:rsidRDefault="00D56174" w:rsidP="001C19F3">
            <w:pPr>
              <w:pStyle w:val="ListParagraph"/>
              <w:numPr>
                <w:ilvl w:val="0"/>
                <w:numId w:val="9"/>
              </w:numPr>
              <w:rPr>
                <w:sz w:val="18"/>
                <w:szCs w:val="18"/>
              </w:rPr>
            </w:pPr>
            <w:r w:rsidRPr="006B2D40">
              <w:rPr>
                <w:i/>
                <w:sz w:val="18"/>
                <w:szCs w:val="18"/>
              </w:rPr>
              <w:t>Selected program data, including practice participation and patient enrolment (up to 31 August 2019).</w:t>
            </w:r>
          </w:p>
          <w:p w14:paraId="7E208E33" w14:textId="77777777" w:rsidR="00D56174" w:rsidRPr="006B2D40" w:rsidRDefault="00D56174" w:rsidP="001C19F3">
            <w:pPr>
              <w:pStyle w:val="ListParagraph"/>
              <w:numPr>
                <w:ilvl w:val="0"/>
                <w:numId w:val="9"/>
              </w:numPr>
              <w:ind w:left="714" w:hanging="357"/>
              <w:rPr>
                <w:sz w:val="18"/>
                <w:szCs w:val="18"/>
              </w:rPr>
            </w:pPr>
            <w:r w:rsidRPr="006B2D40">
              <w:rPr>
                <w:i/>
                <w:sz w:val="18"/>
                <w:szCs w:val="18"/>
              </w:rPr>
              <w:t>Key themes:</w:t>
            </w:r>
            <w:r w:rsidRPr="006B2D40">
              <w:rPr>
                <w:sz w:val="18"/>
                <w:szCs w:val="18"/>
              </w:rPr>
              <w:t xml:space="preserve"> Practices and GP perspectives on implementation in early stages of HCH. Description and analysis of HCH patient population. Baseline estimates for evaluation measures.</w:t>
            </w:r>
          </w:p>
          <w:p w14:paraId="41FC38DB" w14:textId="77777777" w:rsidR="00D56174" w:rsidRPr="006B2D40" w:rsidRDefault="00D56174" w:rsidP="00B03C3A">
            <w:pPr>
              <w:rPr>
                <w:b/>
                <w:sz w:val="18"/>
                <w:szCs w:val="18"/>
              </w:rPr>
            </w:pPr>
            <w:r w:rsidRPr="006B2D40">
              <w:rPr>
                <w:b/>
                <w:sz w:val="18"/>
                <w:szCs w:val="18"/>
              </w:rPr>
              <w:t xml:space="preserve">Interim evaluation report 2020 (late 2020): </w:t>
            </w:r>
          </w:p>
          <w:p w14:paraId="041E0CFE" w14:textId="77777777" w:rsidR="00D56174" w:rsidRPr="006B2D40" w:rsidRDefault="00D56174" w:rsidP="001C19F3">
            <w:pPr>
              <w:pStyle w:val="ListParagraph"/>
              <w:numPr>
                <w:ilvl w:val="0"/>
                <w:numId w:val="9"/>
              </w:numPr>
              <w:rPr>
                <w:sz w:val="18"/>
                <w:szCs w:val="18"/>
              </w:rPr>
            </w:pPr>
            <w:r w:rsidRPr="006B2D40">
              <w:rPr>
                <w:i/>
                <w:sz w:val="18"/>
                <w:szCs w:val="18"/>
              </w:rPr>
              <w:t>Patient surveys Round 4 (late 2019 to early 2020):</w:t>
            </w:r>
            <w:r w:rsidRPr="006B2D40">
              <w:rPr>
                <w:sz w:val="18"/>
                <w:szCs w:val="18"/>
              </w:rPr>
              <w:t xml:space="preserve"> Changes in patient activation, experiences of primary care and coordination of care, health conditions, health status.</w:t>
            </w:r>
          </w:p>
          <w:p w14:paraId="0FE5212D" w14:textId="77777777" w:rsidR="00D56174" w:rsidRPr="006B2D40" w:rsidRDefault="00D56174" w:rsidP="001C19F3">
            <w:pPr>
              <w:pStyle w:val="ListParagraph"/>
              <w:numPr>
                <w:ilvl w:val="0"/>
                <w:numId w:val="9"/>
              </w:numPr>
              <w:rPr>
                <w:sz w:val="18"/>
                <w:szCs w:val="18"/>
              </w:rPr>
            </w:pPr>
            <w:r w:rsidRPr="006B2D40">
              <w:rPr>
                <w:i/>
                <w:sz w:val="18"/>
                <w:szCs w:val="18"/>
              </w:rPr>
              <w:lastRenderedPageBreak/>
              <w:t>Practice surveys Round 4 (late 2019):</w:t>
            </w:r>
            <w:r w:rsidRPr="006B2D40">
              <w:rPr>
                <w:sz w:val="18"/>
                <w:szCs w:val="18"/>
              </w:rPr>
              <w:t xml:space="preserve"> Experience of HCH after 1-2 years.</w:t>
            </w:r>
          </w:p>
          <w:p w14:paraId="643677F6" w14:textId="70292E17" w:rsidR="00D56174" w:rsidRPr="006B2D40" w:rsidRDefault="00D56174" w:rsidP="001C19F3">
            <w:pPr>
              <w:pStyle w:val="ListParagraph"/>
              <w:numPr>
                <w:ilvl w:val="0"/>
                <w:numId w:val="9"/>
              </w:numPr>
              <w:rPr>
                <w:sz w:val="18"/>
                <w:szCs w:val="18"/>
              </w:rPr>
            </w:pPr>
            <w:r w:rsidRPr="006B2D40">
              <w:rPr>
                <w:i/>
                <w:sz w:val="18"/>
                <w:szCs w:val="18"/>
              </w:rPr>
              <w:t>Case studies (late 2019 to early 2020):</w:t>
            </w:r>
            <w:r w:rsidRPr="006B2D40">
              <w:rPr>
                <w:b/>
                <w:sz w:val="18"/>
                <w:szCs w:val="18"/>
              </w:rPr>
              <w:t xml:space="preserve"> </w:t>
            </w:r>
            <w:r w:rsidRPr="006B2D40">
              <w:rPr>
                <w:sz w:val="18"/>
                <w:szCs w:val="18"/>
              </w:rPr>
              <w:t xml:space="preserve">Patient family, carer and practice experience of HCH after 1-2 years. Will include case studies of two </w:t>
            </w:r>
            <w:r w:rsidR="00F96618" w:rsidRPr="006B2D40">
              <w:rPr>
                <w:sz w:val="18"/>
                <w:szCs w:val="18"/>
              </w:rPr>
              <w:t>ACCHS</w:t>
            </w:r>
            <w:r w:rsidRPr="006B2D40">
              <w:rPr>
                <w:sz w:val="18"/>
                <w:szCs w:val="18"/>
              </w:rPr>
              <w:t xml:space="preserve"> in the NT.</w:t>
            </w:r>
          </w:p>
          <w:p w14:paraId="18A5168D" w14:textId="77777777" w:rsidR="00D56174" w:rsidRPr="006B2D40" w:rsidRDefault="00D56174" w:rsidP="001C19F3">
            <w:pPr>
              <w:pStyle w:val="ListParagraph"/>
              <w:numPr>
                <w:ilvl w:val="0"/>
                <w:numId w:val="9"/>
              </w:numPr>
              <w:rPr>
                <w:sz w:val="18"/>
                <w:szCs w:val="18"/>
              </w:rPr>
            </w:pPr>
            <w:r w:rsidRPr="006B2D40">
              <w:rPr>
                <w:i/>
                <w:sz w:val="18"/>
                <w:szCs w:val="18"/>
              </w:rPr>
              <w:t>Practice data extracts (up to June 2020):</w:t>
            </w:r>
            <w:r w:rsidRPr="006B2D40">
              <w:rPr>
                <w:b/>
                <w:sz w:val="18"/>
                <w:szCs w:val="18"/>
              </w:rPr>
              <w:t xml:space="preserve"> </w:t>
            </w:r>
            <w:r w:rsidRPr="006B2D40">
              <w:rPr>
                <w:sz w:val="18"/>
                <w:szCs w:val="18"/>
              </w:rPr>
              <w:t>Changes in key measures after 1-2 years.</w:t>
            </w:r>
          </w:p>
          <w:p w14:paraId="105ECE35" w14:textId="77777777" w:rsidR="00D56174" w:rsidRPr="006B2D40" w:rsidRDefault="00D56174" w:rsidP="001C19F3">
            <w:pPr>
              <w:pStyle w:val="ListParagraph"/>
              <w:numPr>
                <w:ilvl w:val="0"/>
                <w:numId w:val="9"/>
              </w:numPr>
              <w:rPr>
                <w:sz w:val="18"/>
                <w:szCs w:val="18"/>
              </w:rPr>
            </w:pPr>
            <w:r w:rsidRPr="006B2D40">
              <w:rPr>
                <w:i/>
                <w:sz w:val="18"/>
                <w:szCs w:val="18"/>
              </w:rPr>
              <w:t>Initial Medical Benefits Schedule (MBS), Pharmaceutical Benefits Scheme (PBS) (up to June 2020) and hospital data (up to June 2018):</w:t>
            </w:r>
            <w:r w:rsidRPr="006B2D40">
              <w:rPr>
                <w:b/>
                <w:sz w:val="18"/>
                <w:szCs w:val="18"/>
              </w:rPr>
              <w:t xml:space="preserve"> </w:t>
            </w:r>
            <w:r w:rsidRPr="006B2D40">
              <w:rPr>
                <w:sz w:val="18"/>
                <w:szCs w:val="18"/>
              </w:rPr>
              <w:t>Patients profiles for HCH and comparator groups, trends in MBS billing prior to and after implementation of HCH.</w:t>
            </w:r>
          </w:p>
          <w:p w14:paraId="20197676" w14:textId="1F2DB83C" w:rsidR="00D56174" w:rsidRPr="006B2D40" w:rsidRDefault="00D56174" w:rsidP="001C19F3">
            <w:pPr>
              <w:pStyle w:val="ListParagraph"/>
              <w:numPr>
                <w:ilvl w:val="0"/>
                <w:numId w:val="9"/>
              </w:numPr>
              <w:ind w:left="714" w:hanging="357"/>
              <w:rPr>
                <w:sz w:val="18"/>
                <w:szCs w:val="18"/>
              </w:rPr>
            </w:pPr>
            <w:r w:rsidRPr="006B2D40">
              <w:rPr>
                <w:i/>
                <w:sz w:val="18"/>
                <w:szCs w:val="18"/>
              </w:rPr>
              <w:t>Key themes:</w:t>
            </w:r>
            <w:r w:rsidRPr="006B2D40">
              <w:rPr>
                <w:sz w:val="18"/>
                <w:szCs w:val="18"/>
              </w:rPr>
              <w:t xml:space="preserve"> Practice and GP perspectives on implementation. Patient experience of HCH.</w:t>
            </w:r>
          </w:p>
          <w:p w14:paraId="0BE250FB" w14:textId="66920C99" w:rsidR="00D56174" w:rsidRPr="006B2D40" w:rsidRDefault="00D56174" w:rsidP="00FE063C">
            <w:pPr>
              <w:tabs>
                <w:tab w:val="center" w:pos="4400"/>
              </w:tabs>
              <w:rPr>
                <w:b/>
                <w:sz w:val="18"/>
                <w:szCs w:val="18"/>
              </w:rPr>
            </w:pPr>
            <w:r w:rsidRPr="006B2D40">
              <w:rPr>
                <w:b/>
                <w:sz w:val="18"/>
                <w:szCs w:val="18"/>
              </w:rPr>
              <w:t>Final evaluation report (late 2021):</w:t>
            </w:r>
            <w:r w:rsidR="00FE063C">
              <w:rPr>
                <w:b/>
                <w:sz w:val="18"/>
                <w:szCs w:val="18"/>
              </w:rPr>
              <w:tab/>
            </w:r>
          </w:p>
          <w:p w14:paraId="044964EF" w14:textId="77777777" w:rsidR="00D56174" w:rsidRPr="006B2D40" w:rsidRDefault="00D56174" w:rsidP="001C19F3">
            <w:pPr>
              <w:pStyle w:val="ListParagraph"/>
              <w:numPr>
                <w:ilvl w:val="0"/>
                <w:numId w:val="9"/>
              </w:numPr>
              <w:rPr>
                <w:sz w:val="18"/>
                <w:szCs w:val="18"/>
              </w:rPr>
            </w:pPr>
            <w:r w:rsidRPr="006B2D40">
              <w:rPr>
                <w:i/>
                <w:sz w:val="18"/>
                <w:szCs w:val="18"/>
              </w:rPr>
              <w:t>Patient surveys Round 5 (late 2020 to early 2021):</w:t>
            </w:r>
            <w:r w:rsidRPr="006B2D40">
              <w:rPr>
                <w:sz w:val="18"/>
                <w:szCs w:val="18"/>
              </w:rPr>
              <w:t xml:space="preserve"> Changes in patient activation, experiences of primary care and coordination of care, health conditions, health status.</w:t>
            </w:r>
          </w:p>
          <w:p w14:paraId="0EB1DDB3" w14:textId="77777777" w:rsidR="00D56174" w:rsidRPr="006B2D40" w:rsidRDefault="00D56174" w:rsidP="001C19F3">
            <w:pPr>
              <w:pStyle w:val="ListParagraph"/>
              <w:numPr>
                <w:ilvl w:val="0"/>
                <w:numId w:val="9"/>
              </w:numPr>
              <w:rPr>
                <w:sz w:val="18"/>
                <w:szCs w:val="18"/>
              </w:rPr>
            </w:pPr>
            <w:r w:rsidRPr="006B2D40">
              <w:rPr>
                <w:i/>
                <w:sz w:val="18"/>
                <w:szCs w:val="18"/>
              </w:rPr>
              <w:t>Practice and practice staff surveys (late 2020):</w:t>
            </w:r>
            <w:r w:rsidRPr="006B2D40">
              <w:rPr>
                <w:sz w:val="18"/>
                <w:szCs w:val="18"/>
              </w:rPr>
              <w:t xml:space="preserve"> Experience of HCH implementation, nature of changes introduced and practice/staff assessment of their effect, changes in staff satisfaction. </w:t>
            </w:r>
          </w:p>
          <w:p w14:paraId="5892CA55" w14:textId="77777777" w:rsidR="00D56174" w:rsidRPr="006B2D40" w:rsidRDefault="00D56174" w:rsidP="001C19F3">
            <w:pPr>
              <w:pStyle w:val="ListParagraph"/>
              <w:numPr>
                <w:ilvl w:val="0"/>
                <w:numId w:val="9"/>
              </w:numPr>
              <w:rPr>
                <w:sz w:val="18"/>
                <w:szCs w:val="18"/>
              </w:rPr>
            </w:pPr>
            <w:r w:rsidRPr="006B2D40">
              <w:rPr>
                <w:i/>
                <w:sz w:val="18"/>
                <w:szCs w:val="18"/>
              </w:rPr>
              <w:t>Case studies (late 2020 to early 2021):</w:t>
            </w:r>
            <w:r w:rsidRPr="006B2D40">
              <w:rPr>
                <w:b/>
                <w:sz w:val="18"/>
                <w:szCs w:val="18"/>
              </w:rPr>
              <w:t xml:space="preserve"> </w:t>
            </w:r>
            <w:r w:rsidRPr="006B2D40">
              <w:rPr>
                <w:sz w:val="18"/>
                <w:szCs w:val="18"/>
              </w:rPr>
              <w:t xml:space="preserve">Patient family, carer and practice experiences after 2-3 years of HCH. </w:t>
            </w:r>
          </w:p>
          <w:p w14:paraId="12690276" w14:textId="77777777" w:rsidR="00D56174" w:rsidRPr="006B2D40" w:rsidRDefault="00D56174" w:rsidP="001C19F3">
            <w:pPr>
              <w:pStyle w:val="ListParagraph"/>
              <w:numPr>
                <w:ilvl w:val="0"/>
                <w:numId w:val="9"/>
              </w:numPr>
              <w:rPr>
                <w:sz w:val="18"/>
                <w:szCs w:val="18"/>
              </w:rPr>
            </w:pPr>
            <w:r w:rsidRPr="006B2D40">
              <w:rPr>
                <w:i/>
                <w:sz w:val="18"/>
                <w:szCs w:val="18"/>
              </w:rPr>
              <w:t>Practice data extracts (up to June 2020):</w:t>
            </w:r>
            <w:r w:rsidRPr="006B2D40">
              <w:rPr>
                <w:b/>
                <w:sz w:val="18"/>
                <w:szCs w:val="18"/>
              </w:rPr>
              <w:t xml:space="preserve"> </w:t>
            </w:r>
            <w:r w:rsidRPr="006B2D40">
              <w:rPr>
                <w:sz w:val="18"/>
                <w:szCs w:val="18"/>
              </w:rPr>
              <w:t>Changes in evaluation measures, including clinical processes and selected clinical outcomes.</w:t>
            </w:r>
          </w:p>
          <w:p w14:paraId="61902BB4" w14:textId="5D642952" w:rsidR="00D56174" w:rsidRPr="006B2D40" w:rsidRDefault="00D56174" w:rsidP="001C19F3">
            <w:pPr>
              <w:pStyle w:val="ListParagraph"/>
              <w:numPr>
                <w:ilvl w:val="0"/>
                <w:numId w:val="9"/>
              </w:numPr>
              <w:rPr>
                <w:sz w:val="18"/>
                <w:szCs w:val="18"/>
              </w:rPr>
            </w:pPr>
            <w:r w:rsidRPr="006B2D40">
              <w:rPr>
                <w:i/>
                <w:sz w:val="18"/>
                <w:szCs w:val="18"/>
              </w:rPr>
              <w:t>MBS, PBS (up to June 2021) and hospital data (up to June 2020):</w:t>
            </w:r>
            <w:r w:rsidRPr="006B2D40">
              <w:rPr>
                <w:b/>
                <w:sz w:val="18"/>
                <w:szCs w:val="18"/>
              </w:rPr>
              <w:t xml:space="preserve"> </w:t>
            </w:r>
            <w:r w:rsidRPr="006B2D40">
              <w:rPr>
                <w:sz w:val="18"/>
                <w:szCs w:val="18"/>
              </w:rPr>
              <w:t>Comparison of trends for HCH patients and comparator</w:t>
            </w:r>
            <w:r w:rsidR="00FE063C">
              <w:rPr>
                <w:sz w:val="18"/>
                <w:szCs w:val="18"/>
              </w:rPr>
              <w:t xml:space="preserve"> patients</w:t>
            </w:r>
            <w:r w:rsidRPr="006B2D40">
              <w:rPr>
                <w:sz w:val="18"/>
                <w:szCs w:val="18"/>
              </w:rPr>
              <w:t xml:space="preserve"> for key evaluation measures. Impact of HCH on practice revenues. Early indicators of change in hospitalisation/emergency department attendance</w:t>
            </w:r>
            <w:r w:rsidR="00FE063C">
              <w:rPr>
                <w:sz w:val="18"/>
                <w:szCs w:val="18"/>
              </w:rPr>
              <w:t>.</w:t>
            </w:r>
          </w:p>
          <w:p w14:paraId="53197E05" w14:textId="03280D63" w:rsidR="00D56174" w:rsidRPr="006B2D40" w:rsidRDefault="00D56174" w:rsidP="001C19F3">
            <w:pPr>
              <w:pStyle w:val="ListParagraph"/>
              <w:numPr>
                <w:ilvl w:val="0"/>
                <w:numId w:val="9"/>
              </w:numPr>
              <w:ind w:left="714" w:hanging="357"/>
              <w:rPr>
                <w:sz w:val="18"/>
                <w:szCs w:val="18"/>
              </w:rPr>
            </w:pPr>
            <w:r w:rsidRPr="006B2D40">
              <w:rPr>
                <w:i/>
                <w:sz w:val="18"/>
                <w:szCs w:val="18"/>
              </w:rPr>
              <w:t xml:space="preserve">Key themes: </w:t>
            </w:r>
            <w:r w:rsidRPr="006B2D40">
              <w:rPr>
                <w:sz w:val="18"/>
                <w:szCs w:val="18"/>
              </w:rPr>
              <w:t xml:space="preserve">Practice and GP perspectives on implementation. Viability of approach for practices. Changes in the HCH patient population. Changes in specified measures for HCH and comparator </w:t>
            </w:r>
            <w:r w:rsidR="00FE063C">
              <w:rPr>
                <w:sz w:val="18"/>
                <w:szCs w:val="18"/>
              </w:rPr>
              <w:t>practices and patients</w:t>
            </w:r>
            <w:r w:rsidRPr="006B2D40">
              <w:rPr>
                <w:i/>
                <w:sz w:val="18"/>
                <w:szCs w:val="18"/>
              </w:rPr>
              <w:t>.</w:t>
            </w:r>
          </w:p>
        </w:tc>
      </w:tr>
    </w:tbl>
    <w:p w14:paraId="01D69096" w14:textId="77777777" w:rsidR="00495F69" w:rsidRDefault="00495F69" w:rsidP="00936544">
      <w:pPr>
        <w:spacing w:after="0"/>
      </w:pPr>
    </w:p>
    <w:p w14:paraId="0C0B22C3" w14:textId="42DB6E78" w:rsidR="001D18D6" w:rsidRPr="008F21AD" w:rsidRDefault="005235E1" w:rsidP="0059743A">
      <w:pPr>
        <w:pStyle w:val="Heading1nonumber"/>
      </w:pPr>
      <w:bookmarkStart w:id="12" w:name="_Toc32585815"/>
      <w:bookmarkStart w:id="13" w:name="_Hlk22298632"/>
      <w:r w:rsidRPr="008F21AD">
        <w:t>Key findings</w:t>
      </w:r>
      <w:bookmarkEnd w:id="12"/>
    </w:p>
    <w:p w14:paraId="518BC415" w14:textId="5AC03AD2" w:rsidR="008F21AD" w:rsidRPr="008F21AD" w:rsidRDefault="00A25954" w:rsidP="008F21AD">
      <w:pPr>
        <w:rPr>
          <w:rFonts w:ascii="Calibri" w:eastAsiaTheme="minorHAnsi" w:hAnsi="Calibri"/>
          <w:lang w:eastAsia="en-AU"/>
        </w:rPr>
      </w:pPr>
      <w:bookmarkStart w:id="14" w:name="_Hlk527642841"/>
      <w:r>
        <w:rPr>
          <w:lang w:eastAsia="en-AU"/>
        </w:rPr>
        <w:t>As at</w:t>
      </w:r>
      <w:r w:rsidR="008F21AD" w:rsidRPr="008F21AD">
        <w:rPr>
          <w:lang w:eastAsia="en-AU"/>
        </w:rPr>
        <w:t xml:space="preserve"> 31 August 2019, 131 practices </w:t>
      </w:r>
      <w:r>
        <w:rPr>
          <w:lang w:eastAsia="en-AU"/>
        </w:rPr>
        <w:t xml:space="preserve">were </w:t>
      </w:r>
      <w:r w:rsidR="008F21AD" w:rsidRPr="008F21AD">
        <w:rPr>
          <w:lang w:eastAsia="en-AU"/>
        </w:rPr>
        <w:t>participating in HCH. This is less than the original target for the HCH program</w:t>
      </w:r>
      <w:r w:rsidR="008C2B57">
        <w:rPr>
          <w:lang w:eastAsia="en-AU"/>
        </w:rPr>
        <w:t xml:space="preserve"> –</w:t>
      </w:r>
      <w:r w:rsidR="008F21AD" w:rsidRPr="008F21AD">
        <w:rPr>
          <w:lang w:eastAsia="en-AU"/>
        </w:rPr>
        <w:t xml:space="preserve"> 200 practices. </w:t>
      </w:r>
      <w:r w:rsidR="00D00DF6">
        <w:rPr>
          <w:lang w:eastAsia="en-AU"/>
        </w:rPr>
        <w:t>A</w:t>
      </w:r>
      <w:r w:rsidR="008F21AD" w:rsidRPr="008F21AD">
        <w:rPr>
          <w:lang w:eastAsia="en-AU"/>
        </w:rPr>
        <w:t xml:space="preserve">nother 96 practices had participated in the program </w:t>
      </w:r>
      <w:r w:rsidR="00D00DF6">
        <w:rPr>
          <w:lang w:eastAsia="en-AU"/>
        </w:rPr>
        <w:t xml:space="preserve">at some time </w:t>
      </w:r>
      <w:r w:rsidR="008F21AD" w:rsidRPr="008F21AD">
        <w:rPr>
          <w:lang w:eastAsia="en-AU"/>
        </w:rPr>
        <w:t xml:space="preserve">but had withdrawn. Most practices that withdrew did not get to </w:t>
      </w:r>
      <w:r w:rsidR="009648BF">
        <w:rPr>
          <w:lang w:eastAsia="en-AU"/>
        </w:rPr>
        <w:t xml:space="preserve">the </w:t>
      </w:r>
      <w:r w:rsidR="008F21AD" w:rsidRPr="008F21AD">
        <w:rPr>
          <w:lang w:eastAsia="en-AU"/>
        </w:rPr>
        <w:t>point of enrolling patients. The reasons practices withdr</w:t>
      </w:r>
      <w:r w:rsidR="00AD59F4">
        <w:rPr>
          <w:lang w:eastAsia="en-AU"/>
        </w:rPr>
        <w:t>ew</w:t>
      </w:r>
      <w:r w:rsidR="008F21AD" w:rsidRPr="008F21AD">
        <w:rPr>
          <w:lang w:eastAsia="en-AU"/>
        </w:rPr>
        <w:t xml:space="preserve"> were mostly to do with staff turnover</w:t>
      </w:r>
      <w:r w:rsidR="00F9059B">
        <w:rPr>
          <w:lang w:eastAsia="en-AU"/>
        </w:rPr>
        <w:t>;</w:t>
      </w:r>
      <w:r w:rsidR="008F21AD" w:rsidRPr="008F21AD">
        <w:rPr>
          <w:lang w:eastAsia="en-AU"/>
        </w:rPr>
        <w:t xml:space="preserve"> lack of commitment to the </w:t>
      </w:r>
      <w:r w:rsidR="00A05A4B">
        <w:rPr>
          <w:lang w:eastAsia="en-AU"/>
        </w:rPr>
        <w:t>initiative</w:t>
      </w:r>
      <w:r w:rsidR="008F21AD" w:rsidRPr="008F21AD">
        <w:rPr>
          <w:lang w:eastAsia="en-AU"/>
        </w:rPr>
        <w:t xml:space="preserve"> </w:t>
      </w:r>
      <w:r w:rsidR="00AD59F4">
        <w:rPr>
          <w:lang w:eastAsia="en-AU"/>
        </w:rPr>
        <w:t xml:space="preserve">by </w:t>
      </w:r>
      <w:r w:rsidR="008F21AD" w:rsidRPr="008F21AD">
        <w:rPr>
          <w:lang w:eastAsia="en-AU"/>
        </w:rPr>
        <w:t>a sufficient number of GPs</w:t>
      </w:r>
      <w:r w:rsidR="00F9059B">
        <w:rPr>
          <w:lang w:eastAsia="en-AU"/>
        </w:rPr>
        <w:t xml:space="preserve"> within the practice;</w:t>
      </w:r>
      <w:r w:rsidR="008F21AD" w:rsidRPr="008F21AD">
        <w:rPr>
          <w:lang w:eastAsia="en-AU"/>
        </w:rPr>
        <w:t xml:space="preserve"> and difficulties with the practical aspects of implementing </w:t>
      </w:r>
      <w:r w:rsidR="00AD59F4">
        <w:rPr>
          <w:lang w:eastAsia="en-AU"/>
        </w:rPr>
        <w:t xml:space="preserve">HCH </w:t>
      </w:r>
      <w:r w:rsidR="008F21AD" w:rsidRPr="008F21AD">
        <w:rPr>
          <w:lang w:eastAsia="en-AU"/>
        </w:rPr>
        <w:t>encountered or perceived. In most instances, practices that withdrew support</w:t>
      </w:r>
      <w:r w:rsidR="008C2B57">
        <w:rPr>
          <w:lang w:eastAsia="en-AU"/>
        </w:rPr>
        <w:t>ed</w:t>
      </w:r>
      <w:r w:rsidR="008F21AD" w:rsidRPr="008F21AD">
        <w:rPr>
          <w:lang w:eastAsia="en-AU"/>
        </w:rPr>
        <w:t xml:space="preserve"> the HCH principles.</w:t>
      </w:r>
    </w:p>
    <w:p w14:paraId="79EE4A8B" w14:textId="1B580318" w:rsidR="008F21AD" w:rsidRPr="008F21AD" w:rsidRDefault="008F21AD" w:rsidP="008F21AD">
      <w:pPr>
        <w:rPr>
          <w:lang w:eastAsia="en-AU"/>
        </w:rPr>
      </w:pPr>
      <w:r w:rsidRPr="008F21AD">
        <w:rPr>
          <w:lang w:eastAsia="en-AU"/>
        </w:rPr>
        <w:t>Preparation</w:t>
      </w:r>
      <w:r w:rsidR="00F9059B">
        <w:rPr>
          <w:lang w:eastAsia="en-AU"/>
        </w:rPr>
        <w:t xml:space="preserve"> for HCH was complex. It</w:t>
      </w:r>
      <w:r w:rsidRPr="008F21AD">
        <w:rPr>
          <w:lang w:eastAsia="en-AU"/>
        </w:rPr>
        <w:t xml:space="preserve"> involved new technology, new administrative processes, and new ways of working</w:t>
      </w:r>
      <w:r w:rsidR="00AC268C">
        <w:rPr>
          <w:lang w:eastAsia="en-AU"/>
        </w:rPr>
        <w:t xml:space="preserve"> </w:t>
      </w:r>
      <w:r w:rsidRPr="008F21AD">
        <w:rPr>
          <w:lang w:eastAsia="en-AU"/>
        </w:rPr>
        <w:t>with patient</w:t>
      </w:r>
      <w:r w:rsidR="009648BF">
        <w:rPr>
          <w:lang w:eastAsia="en-AU"/>
        </w:rPr>
        <w:t>s</w:t>
      </w:r>
      <w:r w:rsidRPr="008F21AD">
        <w:rPr>
          <w:lang w:eastAsia="en-AU"/>
        </w:rPr>
        <w:t>, as a team internally and with other health care providers outside the practice. Practices needed to develop strategies to</w:t>
      </w:r>
      <w:r w:rsidR="00AC268C">
        <w:rPr>
          <w:lang w:eastAsia="en-AU"/>
        </w:rPr>
        <w:t xml:space="preserve"> </w:t>
      </w:r>
      <w:r w:rsidRPr="008F21AD">
        <w:rPr>
          <w:lang w:eastAsia="en-AU"/>
        </w:rPr>
        <w:t xml:space="preserve">explain the benefits of HCH </w:t>
      </w:r>
      <w:r w:rsidR="00AC268C">
        <w:rPr>
          <w:lang w:eastAsia="en-AU"/>
        </w:rPr>
        <w:t>to</w:t>
      </w:r>
      <w:r w:rsidRPr="008F21AD">
        <w:rPr>
          <w:lang w:eastAsia="en-AU"/>
        </w:rPr>
        <w:t xml:space="preserve"> patients</w:t>
      </w:r>
      <w:r w:rsidR="00AC268C">
        <w:rPr>
          <w:lang w:eastAsia="en-AU"/>
        </w:rPr>
        <w:t xml:space="preserve"> to recruit them to the program</w:t>
      </w:r>
      <w:r w:rsidRPr="008F21AD">
        <w:rPr>
          <w:lang w:eastAsia="en-AU"/>
        </w:rPr>
        <w:t xml:space="preserve">. </w:t>
      </w:r>
      <w:r w:rsidR="00AC268C">
        <w:rPr>
          <w:lang w:eastAsia="en-AU"/>
        </w:rPr>
        <w:t xml:space="preserve">They also </w:t>
      </w:r>
      <w:r w:rsidRPr="008F21AD">
        <w:rPr>
          <w:lang w:eastAsia="en-AU"/>
        </w:rPr>
        <w:t xml:space="preserve">needed to </w:t>
      </w:r>
      <w:r w:rsidR="00AC268C">
        <w:rPr>
          <w:lang w:eastAsia="en-AU"/>
        </w:rPr>
        <w:t>transform their</w:t>
      </w:r>
      <w:r w:rsidR="00AD59F4">
        <w:rPr>
          <w:lang w:eastAsia="en-AU"/>
        </w:rPr>
        <w:t xml:space="preserve"> </w:t>
      </w:r>
      <w:r w:rsidRPr="008F21AD">
        <w:rPr>
          <w:lang w:eastAsia="en-AU"/>
        </w:rPr>
        <w:t>processes</w:t>
      </w:r>
      <w:r w:rsidR="00AD59F4">
        <w:rPr>
          <w:lang w:eastAsia="en-AU"/>
        </w:rPr>
        <w:t xml:space="preserve"> </w:t>
      </w:r>
      <w:r w:rsidR="00AC268C">
        <w:rPr>
          <w:lang w:eastAsia="en-AU"/>
        </w:rPr>
        <w:t xml:space="preserve">for </w:t>
      </w:r>
      <w:r w:rsidRPr="008F21AD">
        <w:rPr>
          <w:lang w:eastAsia="en-AU"/>
        </w:rPr>
        <w:t>chronic disease management</w:t>
      </w:r>
      <w:r w:rsidR="00AC268C">
        <w:rPr>
          <w:lang w:eastAsia="en-AU"/>
        </w:rPr>
        <w:t>,</w:t>
      </w:r>
      <w:r w:rsidRPr="008F21AD">
        <w:rPr>
          <w:lang w:eastAsia="en-AU"/>
        </w:rPr>
        <w:t xml:space="preserve"> care planning and the sharing of plans</w:t>
      </w:r>
      <w:r w:rsidR="00AC268C">
        <w:rPr>
          <w:lang w:eastAsia="en-AU"/>
        </w:rPr>
        <w:t xml:space="preserve"> </w:t>
      </w:r>
      <w:r w:rsidRPr="008F21AD">
        <w:rPr>
          <w:lang w:eastAsia="en-AU"/>
        </w:rPr>
        <w:t xml:space="preserve">and </w:t>
      </w:r>
      <w:r w:rsidR="00AC268C">
        <w:rPr>
          <w:lang w:eastAsia="en-AU"/>
        </w:rPr>
        <w:t>define new</w:t>
      </w:r>
      <w:r w:rsidRPr="008F21AD">
        <w:rPr>
          <w:lang w:eastAsia="en-AU"/>
        </w:rPr>
        <w:t xml:space="preserve"> roles </w:t>
      </w:r>
      <w:r w:rsidR="00AC268C">
        <w:rPr>
          <w:lang w:eastAsia="en-AU"/>
        </w:rPr>
        <w:t>for</w:t>
      </w:r>
      <w:r w:rsidRPr="008F21AD">
        <w:rPr>
          <w:lang w:eastAsia="en-AU"/>
        </w:rPr>
        <w:t xml:space="preserve"> staff.</w:t>
      </w:r>
    </w:p>
    <w:p w14:paraId="5919F491" w14:textId="28530550" w:rsidR="008F21AD" w:rsidRPr="008F21AD" w:rsidRDefault="008F21AD" w:rsidP="008F21AD">
      <w:pPr>
        <w:rPr>
          <w:lang w:eastAsia="en-AU"/>
        </w:rPr>
      </w:pPr>
      <w:r w:rsidRPr="008F21AD">
        <w:rPr>
          <w:lang w:eastAsia="en-AU"/>
        </w:rPr>
        <w:t>The time allocated for setting up for HCH was less than five months (in the latter half of 2017). Most practices did not start enrolling patients until 2018. Even at that stage many ‘tested the water</w:t>
      </w:r>
      <w:r w:rsidR="00AC268C">
        <w:rPr>
          <w:lang w:eastAsia="en-AU"/>
        </w:rPr>
        <w:t>s</w:t>
      </w:r>
      <w:r w:rsidRPr="008F21AD">
        <w:rPr>
          <w:lang w:eastAsia="en-AU"/>
        </w:rPr>
        <w:t xml:space="preserve">’ by enrolling a small number of patients before </w:t>
      </w:r>
      <w:r w:rsidR="00AC268C">
        <w:rPr>
          <w:lang w:eastAsia="en-AU"/>
        </w:rPr>
        <w:t>making</w:t>
      </w:r>
      <w:r w:rsidRPr="008F21AD">
        <w:rPr>
          <w:lang w:eastAsia="en-AU"/>
        </w:rPr>
        <w:t xml:space="preserve"> more concerted efforts. Enrolment was slow in the first half of 2018, then increased through to the end of 2018. The rate slowed again in early 2019, with relatively steady increases through to</w:t>
      </w:r>
      <w:r w:rsidR="00F9059B">
        <w:rPr>
          <w:lang w:eastAsia="en-AU"/>
        </w:rPr>
        <w:t xml:space="preserve"> </w:t>
      </w:r>
      <w:r w:rsidRPr="008F21AD">
        <w:rPr>
          <w:lang w:eastAsia="en-AU"/>
        </w:rPr>
        <w:t>30 June 2019</w:t>
      </w:r>
      <w:r w:rsidR="00F9059B">
        <w:rPr>
          <w:lang w:eastAsia="en-AU"/>
        </w:rPr>
        <w:t>,</w:t>
      </w:r>
      <w:r w:rsidR="00F9059B" w:rsidRPr="00F9059B">
        <w:rPr>
          <w:lang w:eastAsia="en-AU"/>
        </w:rPr>
        <w:t xml:space="preserve"> </w:t>
      </w:r>
      <w:r w:rsidR="00F9059B" w:rsidRPr="008F21AD">
        <w:rPr>
          <w:lang w:eastAsia="en-AU"/>
        </w:rPr>
        <w:t>the end of the enrolment period</w:t>
      </w:r>
      <w:r w:rsidRPr="008F21AD">
        <w:rPr>
          <w:lang w:eastAsia="en-AU"/>
        </w:rPr>
        <w:t>.</w:t>
      </w:r>
      <w:r w:rsidR="00BA28B3">
        <w:rPr>
          <w:lang w:eastAsia="en-AU"/>
        </w:rPr>
        <w:t xml:space="preserve"> </w:t>
      </w:r>
      <w:r w:rsidRPr="008F21AD">
        <w:rPr>
          <w:lang w:eastAsia="en-AU"/>
        </w:rPr>
        <w:t xml:space="preserve">Some practices were delayed in starting </w:t>
      </w:r>
      <w:r w:rsidR="00F9059B">
        <w:rPr>
          <w:lang w:eastAsia="en-AU"/>
        </w:rPr>
        <w:t xml:space="preserve">to </w:t>
      </w:r>
      <w:r w:rsidRPr="008F21AD">
        <w:rPr>
          <w:lang w:eastAsia="en-AU"/>
        </w:rPr>
        <w:t>enrol</w:t>
      </w:r>
      <w:r w:rsidR="00F9059B">
        <w:rPr>
          <w:lang w:eastAsia="en-AU"/>
        </w:rPr>
        <w:t xml:space="preserve"> patients</w:t>
      </w:r>
      <w:r w:rsidRPr="008F21AD">
        <w:rPr>
          <w:lang w:eastAsia="en-AU"/>
        </w:rPr>
        <w:t xml:space="preserve"> due </w:t>
      </w:r>
      <w:r w:rsidRPr="008F21AD">
        <w:rPr>
          <w:lang w:eastAsia="en-AU"/>
        </w:rPr>
        <w:lastRenderedPageBreak/>
        <w:t xml:space="preserve">to technological challenges. For example, a satisfactory solution for risk stratification was not achieved for </w:t>
      </w:r>
      <w:r w:rsidR="00F96618">
        <w:rPr>
          <w:lang w:eastAsia="en-AU"/>
        </w:rPr>
        <w:t>ACCHS</w:t>
      </w:r>
      <w:r w:rsidRPr="008F21AD">
        <w:rPr>
          <w:lang w:eastAsia="en-AU"/>
        </w:rPr>
        <w:t xml:space="preserve"> in the NT until the second half of 2018.</w:t>
      </w:r>
    </w:p>
    <w:p w14:paraId="53C83B23" w14:textId="13FF3F52" w:rsidR="008F21AD" w:rsidRPr="008F21AD" w:rsidRDefault="008F21AD" w:rsidP="008F21AD">
      <w:pPr>
        <w:rPr>
          <w:lang w:eastAsia="en-AU"/>
        </w:rPr>
      </w:pPr>
      <w:r w:rsidRPr="008F21AD">
        <w:rPr>
          <w:lang w:eastAsia="en-AU"/>
        </w:rPr>
        <w:t xml:space="preserve">At 31 August 2019, there were 10,161 patients enrolled in HCH. This fell well short of </w:t>
      </w:r>
      <w:r w:rsidR="00AC268C">
        <w:rPr>
          <w:lang w:eastAsia="en-AU"/>
        </w:rPr>
        <w:t xml:space="preserve">the </w:t>
      </w:r>
      <w:r w:rsidRPr="008F21AD">
        <w:rPr>
          <w:lang w:eastAsia="en-AU"/>
        </w:rPr>
        <w:t xml:space="preserve">original estimate </w:t>
      </w:r>
      <w:r w:rsidR="00F9059B">
        <w:rPr>
          <w:lang w:eastAsia="en-AU"/>
        </w:rPr>
        <w:t>of</w:t>
      </w:r>
      <w:r w:rsidRPr="008F21AD">
        <w:rPr>
          <w:lang w:eastAsia="en-AU"/>
        </w:rPr>
        <w:t xml:space="preserve"> 65,000 </w:t>
      </w:r>
      <w:r w:rsidR="00F9059B">
        <w:rPr>
          <w:lang w:eastAsia="en-AU"/>
        </w:rPr>
        <w:t>enrolees</w:t>
      </w:r>
      <w:r w:rsidRPr="008F21AD">
        <w:rPr>
          <w:lang w:eastAsia="en-AU"/>
        </w:rPr>
        <w:t>. The original estimates were based on assumptions that were not borne out. The number of patients enrolled per</w:t>
      </w:r>
      <w:r w:rsidR="00AC268C">
        <w:rPr>
          <w:lang w:eastAsia="en-AU"/>
        </w:rPr>
        <w:t xml:space="preserve"> full time equivalent (</w:t>
      </w:r>
      <w:r w:rsidRPr="008F21AD">
        <w:rPr>
          <w:lang w:eastAsia="en-AU"/>
        </w:rPr>
        <w:t>FTE</w:t>
      </w:r>
      <w:r w:rsidR="00AC268C">
        <w:rPr>
          <w:lang w:eastAsia="en-AU"/>
        </w:rPr>
        <w:t>)</w:t>
      </w:r>
      <w:r w:rsidRPr="008F21AD">
        <w:rPr>
          <w:lang w:eastAsia="en-AU"/>
        </w:rPr>
        <w:t xml:space="preserve"> GP was 22 rather than the original assumption of 65, and this accounts for half of the shortfall. The number of participating practices (</w:t>
      </w:r>
      <w:r w:rsidRPr="00557798">
        <w:rPr>
          <w:lang w:eastAsia="en-AU"/>
        </w:rPr>
        <w:t>131 vs. 200</w:t>
      </w:r>
      <w:r w:rsidRPr="008F21AD">
        <w:rPr>
          <w:lang w:eastAsia="en-AU"/>
        </w:rPr>
        <w:t>) and the number of GPs within practices participating (3.5 vs. 5) each accounted for around a quarter of the shortfall.</w:t>
      </w:r>
    </w:p>
    <w:p w14:paraId="43918D19" w14:textId="0DE0A647" w:rsidR="008F21AD" w:rsidRPr="008F21AD" w:rsidRDefault="008F21AD" w:rsidP="00244D56">
      <w:pPr>
        <w:rPr>
          <w:lang w:eastAsia="en-AU"/>
        </w:rPr>
      </w:pPr>
      <w:r w:rsidRPr="008F21AD">
        <w:rPr>
          <w:lang w:eastAsia="en-AU"/>
        </w:rPr>
        <w:t xml:space="preserve">Practices and PHNs reported that the focus on enrolment in the early phase of HCH </w:t>
      </w:r>
      <w:r w:rsidR="00AC268C">
        <w:rPr>
          <w:lang w:eastAsia="en-AU"/>
        </w:rPr>
        <w:t xml:space="preserve">competed with transformation; transformation could not begin in earnest until </w:t>
      </w:r>
      <w:r w:rsidRPr="008F21AD">
        <w:rPr>
          <w:lang w:eastAsia="en-AU"/>
        </w:rPr>
        <w:t xml:space="preserve">enrolments had been completed. Practices are busy environments in which there is a limit to the level of change </w:t>
      </w:r>
      <w:r w:rsidR="00244D56">
        <w:rPr>
          <w:lang w:eastAsia="en-AU"/>
        </w:rPr>
        <w:t>they</w:t>
      </w:r>
      <w:r w:rsidRPr="008F21AD">
        <w:rPr>
          <w:lang w:eastAsia="en-AU"/>
        </w:rPr>
        <w:t xml:space="preserve"> can </w:t>
      </w:r>
      <w:r w:rsidR="00F9059B">
        <w:rPr>
          <w:lang w:eastAsia="en-AU"/>
        </w:rPr>
        <w:t>introduce</w:t>
      </w:r>
      <w:r w:rsidRPr="008F21AD">
        <w:rPr>
          <w:lang w:eastAsia="en-AU"/>
        </w:rPr>
        <w:t xml:space="preserve"> </w:t>
      </w:r>
      <w:r w:rsidR="00244D56">
        <w:rPr>
          <w:lang w:eastAsia="en-AU"/>
        </w:rPr>
        <w:t>at any</w:t>
      </w:r>
      <w:r w:rsidR="00F9059B">
        <w:rPr>
          <w:lang w:eastAsia="en-AU"/>
        </w:rPr>
        <w:t xml:space="preserve"> one</w:t>
      </w:r>
      <w:r w:rsidR="00244D56">
        <w:rPr>
          <w:lang w:eastAsia="en-AU"/>
        </w:rPr>
        <w:t xml:space="preserve"> time</w:t>
      </w:r>
      <w:r w:rsidRPr="008F21AD">
        <w:rPr>
          <w:lang w:eastAsia="en-AU"/>
        </w:rPr>
        <w:t>.</w:t>
      </w:r>
    </w:p>
    <w:p w14:paraId="41DEDAB0" w14:textId="78926708" w:rsidR="008F21AD" w:rsidRPr="008F21AD" w:rsidRDefault="008F21AD" w:rsidP="008F21AD">
      <w:pPr>
        <w:rPr>
          <w:lang w:eastAsia="en-AU"/>
        </w:rPr>
      </w:pPr>
      <w:r w:rsidRPr="008F21AD">
        <w:rPr>
          <w:lang w:eastAsia="en-AU"/>
        </w:rPr>
        <w:t xml:space="preserve">A key challenge </w:t>
      </w:r>
      <w:r w:rsidR="00244D56">
        <w:rPr>
          <w:lang w:eastAsia="en-AU"/>
        </w:rPr>
        <w:t>for</w:t>
      </w:r>
      <w:r w:rsidRPr="008F21AD">
        <w:rPr>
          <w:lang w:eastAsia="en-AU"/>
        </w:rPr>
        <w:t xml:space="preserve"> the program has been </w:t>
      </w:r>
      <w:r w:rsidR="00244D56">
        <w:rPr>
          <w:lang w:eastAsia="en-AU"/>
        </w:rPr>
        <w:t>for a</w:t>
      </w:r>
      <w:r w:rsidRPr="008F21AD">
        <w:rPr>
          <w:lang w:eastAsia="en-AU"/>
        </w:rPr>
        <w:t xml:space="preserve"> sufficient number of GPs </w:t>
      </w:r>
      <w:r w:rsidR="00244D56">
        <w:rPr>
          <w:lang w:eastAsia="en-AU"/>
        </w:rPr>
        <w:t xml:space="preserve">to be </w:t>
      </w:r>
      <w:r w:rsidRPr="008F21AD">
        <w:rPr>
          <w:lang w:eastAsia="en-AU"/>
        </w:rPr>
        <w:t xml:space="preserve">committed to </w:t>
      </w:r>
      <w:r w:rsidR="00F9059B">
        <w:rPr>
          <w:lang w:eastAsia="en-AU"/>
        </w:rPr>
        <w:t xml:space="preserve">the initiative </w:t>
      </w:r>
      <w:r w:rsidRPr="008F21AD">
        <w:rPr>
          <w:lang w:eastAsia="en-AU"/>
        </w:rPr>
        <w:t xml:space="preserve">within practices. </w:t>
      </w:r>
      <w:r w:rsidR="00244D56">
        <w:rPr>
          <w:lang w:eastAsia="en-AU"/>
        </w:rPr>
        <w:t xml:space="preserve">But </w:t>
      </w:r>
      <w:r w:rsidRPr="008F21AD">
        <w:rPr>
          <w:lang w:eastAsia="en-AU"/>
        </w:rPr>
        <w:t>GPs were</w:t>
      </w:r>
      <w:r w:rsidR="00244D56">
        <w:rPr>
          <w:lang w:eastAsia="en-AU"/>
        </w:rPr>
        <w:t xml:space="preserve"> sometimes un</w:t>
      </w:r>
      <w:r w:rsidRPr="008F21AD">
        <w:rPr>
          <w:lang w:eastAsia="en-AU"/>
        </w:rPr>
        <w:t xml:space="preserve">convinced </w:t>
      </w:r>
      <w:r w:rsidR="00244D56">
        <w:rPr>
          <w:lang w:eastAsia="en-AU"/>
        </w:rPr>
        <w:t xml:space="preserve">or </w:t>
      </w:r>
      <w:r w:rsidR="00244D56" w:rsidRPr="008F21AD">
        <w:rPr>
          <w:lang w:eastAsia="en-AU"/>
        </w:rPr>
        <w:t>cautious</w:t>
      </w:r>
      <w:r w:rsidRPr="008F21AD">
        <w:rPr>
          <w:lang w:eastAsia="en-AU"/>
        </w:rPr>
        <w:t xml:space="preserve">. </w:t>
      </w:r>
      <w:r w:rsidR="00244D56">
        <w:rPr>
          <w:lang w:eastAsia="en-AU"/>
        </w:rPr>
        <w:t>C</w:t>
      </w:r>
      <w:r w:rsidRPr="008F21AD">
        <w:rPr>
          <w:lang w:eastAsia="en-AU"/>
        </w:rPr>
        <w:t xml:space="preserve">ommitment by practice nurses and practice managers </w:t>
      </w:r>
      <w:r w:rsidR="00244D56">
        <w:rPr>
          <w:lang w:eastAsia="en-AU"/>
        </w:rPr>
        <w:t>was</w:t>
      </w:r>
      <w:r w:rsidRPr="008F21AD">
        <w:rPr>
          <w:lang w:eastAsia="en-AU"/>
        </w:rPr>
        <w:t xml:space="preserve"> also vital. Practices that </w:t>
      </w:r>
      <w:r w:rsidR="00244D56">
        <w:rPr>
          <w:lang w:eastAsia="en-AU"/>
        </w:rPr>
        <w:t xml:space="preserve">made progress </w:t>
      </w:r>
      <w:r w:rsidRPr="008F21AD">
        <w:rPr>
          <w:lang w:eastAsia="en-AU"/>
        </w:rPr>
        <w:t>are those that have a core team of GPs, practice nurses and the practice manager steering the implementation.</w:t>
      </w:r>
    </w:p>
    <w:p w14:paraId="1D786D47" w14:textId="288B0812" w:rsidR="008F21AD" w:rsidRPr="008F21AD" w:rsidRDefault="008F21AD" w:rsidP="008F21AD">
      <w:pPr>
        <w:rPr>
          <w:lang w:eastAsia="en-AU"/>
        </w:rPr>
      </w:pPr>
      <w:r w:rsidRPr="008F21AD">
        <w:rPr>
          <w:lang w:eastAsia="en-AU"/>
        </w:rPr>
        <w:t>Staff turnover and organisation</w:t>
      </w:r>
      <w:r w:rsidR="00244D56">
        <w:rPr>
          <w:lang w:eastAsia="en-AU"/>
        </w:rPr>
        <w:t>al</w:t>
      </w:r>
      <w:r w:rsidRPr="008F21AD">
        <w:rPr>
          <w:lang w:eastAsia="en-AU"/>
        </w:rPr>
        <w:t xml:space="preserve"> change </w:t>
      </w:r>
      <w:r w:rsidR="00F9059B">
        <w:rPr>
          <w:lang w:eastAsia="en-AU"/>
        </w:rPr>
        <w:t>were a</w:t>
      </w:r>
      <w:r w:rsidRPr="008F21AD">
        <w:rPr>
          <w:lang w:eastAsia="en-AU"/>
        </w:rPr>
        <w:t xml:space="preserve">lso challenges </w:t>
      </w:r>
      <w:r w:rsidR="00244D56">
        <w:rPr>
          <w:lang w:eastAsia="en-AU"/>
        </w:rPr>
        <w:t>for</w:t>
      </w:r>
      <w:r w:rsidR="00F9059B">
        <w:rPr>
          <w:lang w:eastAsia="en-AU"/>
        </w:rPr>
        <w:t xml:space="preserve"> the</w:t>
      </w:r>
      <w:r w:rsidRPr="008F21AD">
        <w:rPr>
          <w:lang w:eastAsia="en-AU"/>
        </w:rPr>
        <w:t xml:space="preserve"> implementation. As discussed, these were the reasons many practices withdrew. Looking to the future, models such as HCH need to achieve a sufficient scale in terms of staff participat</w:t>
      </w:r>
      <w:r w:rsidR="006305B6">
        <w:rPr>
          <w:lang w:eastAsia="en-AU"/>
        </w:rPr>
        <w:t>ion</w:t>
      </w:r>
      <w:r w:rsidRPr="008F21AD">
        <w:rPr>
          <w:lang w:eastAsia="en-AU"/>
        </w:rPr>
        <w:t xml:space="preserve"> and patients enrolled to </w:t>
      </w:r>
      <w:r w:rsidR="00F9059B">
        <w:rPr>
          <w:lang w:eastAsia="en-AU"/>
        </w:rPr>
        <w:t xml:space="preserve">have traction and </w:t>
      </w:r>
      <w:r w:rsidRPr="008F21AD">
        <w:rPr>
          <w:lang w:eastAsia="en-AU"/>
        </w:rPr>
        <w:t>avoid reliance on individual</w:t>
      </w:r>
      <w:r w:rsidR="006305B6">
        <w:rPr>
          <w:lang w:eastAsia="en-AU"/>
        </w:rPr>
        <w:t>s</w:t>
      </w:r>
      <w:r w:rsidRPr="008F21AD">
        <w:rPr>
          <w:lang w:eastAsia="en-AU"/>
        </w:rPr>
        <w:t xml:space="preserve"> to</w:t>
      </w:r>
      <w:r w:rsidR="006305B6">
        <w:rPr>
          <w:lang w:eastAsia="en-AU"/>
        </w:rPr>
        <w:t xml:space="preserve"> drive change</w:t>
      </w:r>
      <w:r w:rsidRPr="008F21AD">
        <w:rPr>
          <w:lang w:eastAsia="en-AU"/>
        </w:rPr>
        <w:t>.</w:t>
      </w:r>
    </w:p>
    <w:p w14:paraId="5D791E9A" w14:textId="32A9AAB3" w:rsidR="006305B6" w:rsidRDefault="008F21AD" w:rsidP="008F21AD">
      <w:pPr>
        <w:rPr>
          <w:lang w:eastAsia="en-AU"/>
        </w:rPr>
      </w:pPr>
      <w:r w:rsidRPr="008F21AD">
        <w:rPr>
          <w:lang w:eastAsia="en-AU"/>
        </w:rPr>
        <w:t>A practical issue</w:t>
      </w:r>
      <w:r w:rsidR="006305B6">
        <w:rPr>
          <w:lang w:eastAsia="en-AU"/>
        </w:rPr>
        <w:t xml:space="preserve"> that arose for practices</w:t>
      </w:r>
      <w:r w:rsidRPr="008F21AD">
        <w:rPr>
          <w:lang w:eastAsia="en-AU"/>
        </w:rPr>
        <w:t xml:space="preserve"> </w:t>
      </w:r>
      <w:r w:rsidR="006305B6">
        <w:rPr>
          <w:lang w:eastAsia="en-AU"/>
        </w:rPr>
        <w:t>in this program (and continues fo</w:t>
      </w:r>
      <w:r w:rsidR="00002C02">
        <w:rPr>
          <w:lang w:eastAsia="en-AU"/>
        </w:rPr>
        <w:t>r</w:t>
      </w:r>
      <w:r w:rsidR="006305B6">
        <w:rPr>
          <w:lang w:eastAsia="en-AU"/>
        </w:rPr>
        <w:t xml:space="preserve"> some) was </w:t>
      </w:r>
      <w:r w:rsidRPr="008F21AD">
        <w:rPr>
          <w:lang w:eastAsia="en-AU"/>
        </w:rPr>
        <w:t>how to manage the bundled payment</w:t>
      </w:r>
      <w:r w:rsidR="006305B6">
        <w:rPr>
          <w:lang w:eastAsia="en-AU"/>
        </w:rPr>
        <w:t>.</w:t>
      </w:r>
      <w:r w:rsidRPr="008F21AD">
        <w:rPr>
          <w:lang w:eastAsia="en-AU"/>
        </w:rPr>
        <w:t xml:space="preserve"> The available guidance on this issue</w:t>
      </w:r>
      <w:r w:rsidR="00F9059B">
        <w:rPr>
          <w:lang w:eastAsia="en-AU"/>
        </w:rPr>
        <w:t xml:space="preserve"> from groups commissioned by the Department of Health</w:t>
      </w:r>
      <w:r w:rsidRPr="008F21AD">
        <w:rPr>
          <w:lang w:eastAsia="en-AU"/>
        </w:rPr>
        <w:t xml:space="preserve"> was useful, but for most practices, the </w:t>
      </w:r>
      <w:r w:rsidR="00002C02">
        <w:rPr>
          <w:lang w:eastAsia="en-AU"/>
        </w:rPr>
        <w:t>systems</w:t>
      </w:r>
      <w:r w:rsidRPr="008F21AD">
        <w:rPr>
          <w:lang w:eastAsia="en-AU"/>
        </w:rPr>
        <w:t xml:space="preserve"> </w:t>
      </w:r>
      <w:r w:rsidR="00AD59F4">
        <w:rPr>
          <w:lang w:eastAsia="en-AU"/>
        </w:rPr>
        <w:t xml:space="preserve">to support </w:t>
      </w:r>
      <w:r w:rsidR="006305B6">
        <w:rPr>
          <w:lang w:eastAsia="en-AU"/>
        </w:rPr>
        <w:t xml:space="preserve">its </w:t>
      </w:r>
      <w:r w:rsidR="00AD59F4" w:rsidRPr="00002C02">
        <w:rPr>
          <w:lang w:eastAsia="en-AU"/>
        </w:rPr>
        <w:t xml:space="preserve">implementation were </w:t>
      </w:r>
      <w:r w:rsidR="00002C02">
        <w:rPr>
          <w:lang w:eastAsia="en-AU"/>
        </w:rPr>
        <w:t>insufficient</w:t>
      </w:r>
      <w:r w:rsidRPr="008F21AD">
        <w:rPr>
          <w:lang w:eastAsia="en-AU"/>
        </w:rPr>
        <w:t xml:space="preserve">. </w:t>
      </w:r>
    </w:p>
    <w:p w14:paraId="30050061" w14:textId="55CA73C4" w:rsidR="008F21AD" w:rsidRPr="008F21AD" w:rsidRDefault="008F21AD" w:rsidP="008F21AD">
      <w:pPr>
        <w:rPr>
          <w:lang w:eastAsia="en-AU"/>
        </w:rPr>
      </w:pPr>
      <w:r w:rsidRPr="008F21AD">
        <w:rPr>
          <w:lang w:eastAsia="en-AU"/>
        </w:rPr>
        <w:t>The views about the bundled payment remain mixed, with some reporting it has created opportunities for flexibility and change, and others</w:t>
      </w:r>
      <w:r w:rsidR="003E6F2E">
        <w:rPr>
          <w:lang w:eastAsia="en-AU"/>
        </w:rPr>
        <w:t xml:space="preserve"> that it is insufficient for managing patients’ chronic illnesses</w:t>
      </w:r>
      <w:r w:rsidRPr="008F21AD">
        <w:rPr>
          <w:lang w:eastAsia="en-AU"/>
        </w:rPr>
        <w:t xml:space="preserve">. </w:t>
      </w:r>
      <w:r w:rsidR="00F9059B">
        <w:rPr>
          <w:lang w:eastAsia="en-AU"/>
        </w:rPr>
        <w:t>The data to assess the economic viability of the bundled payment are not yet available, but this is one of the questions that the evaluation will address down the track.</w:t>
      </w:r>
    </w:p>
    <w:p w14:paraId="4AEC5CEF" w14:textId="52C80DFA" w:rsidR="008F21AD" w:rsidRPr="008F21AD" w:rsidRDefault="008F21AD" w:rsidP="008F21AD">
      <w:pPr>
        <w:rPr>
          <w:lang w:eastAsia="en-AU"/>
        </w:rPr>
      </w:pPr>
      <w:r w:rsidRPr="008F21AD">
        <w:rPr>
          <w:lang w:eastAsia="en-AU"/>
        </w:rPr>
        <w:t xml:space="preserve">Most patients who agreed to enrol in HCH had </w:t>
      </w:r>
      <w:r w:rsidR="00656C60">
        <w:rPr>
          <w:lang w:eastAsia="en-AU"/>
        </w:rPr>
        <w:t>long-standing</w:t>
      </w:r>
      <w:r w:rsidRPr="008F21AD">
        <w:rPr>
          <w:lang w:eastAsia="en-AU"/>
        </w:rPr>
        <w:t xml:space="preserve"> relationships with their practice. HCH patients generally rated their primary care practice highly, although there are opportunities for improvement. </w:t>
      </w:r>
    </w:p>
    <w:p w14:paraId="68B6128A" w14:textId="563437A1" w:rsidR="008F21AD" w:rsidRPr="008F21AD" w:rsidRDefault="008F21AD" w:rsidP="008F21AD">
      <w:pPr>
        <w:rPr>
          <w:lang w:eastAsia="en-AU"/>
        </w:rPr>
      </w:pPr>
      <w:r w:rsidRPr="008F21AD">
        <w:rPr>
          <w:lang w:eastAsia="en-AU"/>
        </w:rPr>
        <w:t xml:space="preserve">HCH patients are generally older than practices’ overall patient population, but around 50% </w:t>
      </w:r>
      <w:r w:rsidR="00180239">
        <w:rPr>
          <w:lang w:eastAsia="en-AU"/>
        </w:rPr>
        <w:t>are</w:t>
      </w:r>
      <w:r w:rsidRPr="008F21AD">
        <w:rPr>
          <w:lang w:eastAsia="en-AU"/>
        </w:rPr>
        <w:t xml:space="preserve"> less than 65 years old. Most report multiple chronic conditions, with close to </w:t>
      </w:r>
      <w:r w:rsidRPr="008F21AD">
        <w:t>50% reporting four or more conditions.</w:t>
      </w:r>
      <w:r w:rsidRPr="008F21AD">
        <w:rPr>
          <w:lang w:eastAsia="en-AU"/>
        </w:rPr>
        <w:t xml:space="preserve"> Across several measures, HCH patients experience health challenges </w:t>
      </w:r>
      <w:r w:rsidR="006305B6">
        <w:rPr>
          <w:lang w:eastAsia="en-AU"/>
        </w:rPr>
        <w:t>that</w:t>
      </w:r>
      <w:r w:rsidRPr="008F21AD">
        <w:rPr>
          <w:lang w:eastAsia="en-AU"/>
        </w:rPr>
        <w:t xml:space="preserve"> increase </w:t>
      </w:r>
      <w:r w:rsidR="006305B6">
        <w:rPr>
          <w:lang w:eastAsia="en-AU"/>
        </w:rPr>
        <w:t xml:space="preserve">by </w:t>
      </w:r>
      <w:r w:rsidR="003E6F2E">
        <w:rPr>
          <w:lang w:eastAsia="en-AU"/>
        </w:rPr>
        <w:t>the</w:t>
      </w:r>
      <w:r w:rsidR="009648BF">
        <w:rPr>
          <w:lang w:eastAsia="en-AU"/>
        </w:rPr>
        <w:t xml:space="preserve"> risk</w:t>
      </w:r>
      <w:r w:rsidR="006305B6">
        <w:rPr>
          <w:lang w:eastAsia="en-AU"/>
        </w:rPr>
        <w:t xml:space="preserve"> tier</w:t>
      </w:r>
      <w:r w:rsidR="003E6F2E">
        <w:rPr>
          <w:lang w:eastAsia="en-AU"/>
        </w:rPr>
        <w:t xml:space="preserve"> </w:t>
      </w:r>
      <w:r w:rsidR="00F7613C">
        <w:rPr>
          <w:lang w:eastAsia="en-AU"/>
        </w:rPr>
        <w:t>to which they have</w:t>
      </w:r>
      <w:r w:rsidR="003E6F2E">
        <w:rPr>
          <w:lang w:eastAsia="en-AU"/>
        </w:rPr>
        <w:t xml:space="preserve"> been assigned</w:t>
      </w:r>
      <w:r w:rsidRPr="008F21AD">
        <w:rPr>
          <w:lang w:eastAsia="en-AU"/>
        </w:rPr>
        <w:t xml:space="preserve">. </w:t>
      </w:r>
    </w:p>
    <w:p w14:paraId="2BF2308B" w14:textId="27E1AFBD" w:rsidR="008F21AD" w:rsidRPr="008F21AD" w:rsidRDefault="00534A26" w:rsidP="008F21AD">
      <w:pPr>
        <w:rPr>
          <w:lang w:eastAsia="en-AU"/>
        </w:rPr>
      </w:pPr>
      <w:r>
        <w:rPr>
          <w:lang w:eastAsia="en-AU"/>
        </w:rPr>
        <w:t>I</w:t>
      </w:r>
      <w:r w:rsidR="008F21AD" w:rsidRPr="008F21AD">
        <w:rPr>
          <w:lang w:eastAsia="en-AU"/>
        </w:rPr>
        <w:t xml:space="preserve">nterviews </w:t>
      </w:r>
      <w:r>
        <w:rPr>
          <w:lang w:eastAsia="en-AU"/>
        </w:rPr>
        <w:t xml:space="preserve">with HCH patients </w:t>
      </w:r>
      <w:r w:rsidR="006305B6">
        <w:rPr>
          <w:lang w:eastAsia="en-AU"/>
        </w:rPr>
        <w:t xml:space="preserve">revealed </w:t>
      </w:r>
      <w:r w:rsidR="008F21AD" w:rsidRPr="008F21AD">
        <w:rPr>
          <w:lang w:eastAsia="en-AU"/>
        </w:rPr>
        <w:t>a high level of trust in their GP</w:t>
      </w:r>
      <w:r w:rsidR="006305B6">
        <w:rPr>
          <w:lang w:eastAsia="en-AU"/>
        </w:rPr>
        <w:t>, and the GP’s recommendation featured in their decision to enrol</w:t>
      </w:r>
      <w:r w:rsidR="008F21AD" w:rsidRPr="008F21AD">
        <w:rPr>
          <w:lang w:eastAsia="en-AU"/>
        </w:rPr>
        <w:t xml:space="preserve">. But </w:t>
      </w:r>
      <w:r>
        <w:rPr>
          <w:lang w:eastAsia="en-AU"/>
        </w:rPr>
        <w:t xml:space="preserve">patients </w:t>
      </w:r>
      <w:r w:rsidR="008F21AD" w:rsidRPr="008F21AD">
        <w:rPr>
          <w:lang w:eastAsia="en-AU"/>
        </w:rPr>
        <w:t xml:space="preserve">often struggled to understand what HCH would mean for them. They </w:t>
      </w:r>
      <w:r w:rsidR="006305B6">
        <w:rPr>
          <w:lang w:eastAsia="en-AU"/>
        </w:rPr>
        <w:t>were also concerned</w:t>
      </w:r>
      <w:r w:rsidR="008F21AD" w:rsidRPr="008F21AD">
        <w:rPr>
          <w:lang w:eastAsia="en-AU"/>
        </w:rPr>
        <w:t xml:space="preserve"> </w:t>
      </w:r>
      <w:r>
        <w:rPr>
          <w:lang w:eastAsia="en-AU"/>
        </w:rPr>
        <w:t xml:space="preserve">that </w:t>
      </w:r>
      <w:r w:rsidR="008F21AD" w:rsidRPr="008F21AD">
        <w:rPr>
          <w:lang w:eastAsia="en-AU"/>
        </w:rPr>
        <w:t xml:space="preserve">access to their GP </w:t>
      </w:r>
      <w:r>
        <w:rPr>
          <w:lang w:eastAsia="en-AU"/>
        </w:rPr>
        <w:t xml:space="preserve">would </w:t>
      </w:r>
      <w:r w:rsidR="008F21AD" w:rsidRPr="008F21AD">
        <w:rPr>
          <w:lang w:eastAsia="en-AU"/>
        </w:rPr>
        <w:t>be compromised</w:t>
      </w:r>
      <w:r w:rsidR="00EA3C19">
        <w:rPr>
          <w:lang w:eastAsia="en-AU"/>
        </w:rPr>
        <w:t xml:space="preserve"> and </w:t>
      </w:r>
      <w:r w:rsidR="008F21AD" w:rsidRPr="008F21AD">
        <w:rPr>
          <w:lang w:eastAsia="en-AU"/>
        </w:rPr>
        <w:t xml:space="preserve">need time to develop trust in the broader primary care team. </w:t>
      </w:r>
      <w:r w:rsidR="00AD59F4">
        <w:rPr>
          <w:lang w:eastAsia="en-AU"/>
        </w:rPr>
        <w:t>E</w:t>
      </w:r>
      <w:r w:rsidR="008F21AD" w:rsidRPr="008F21AD">
        <w:rPr>
          <w:lang w:eastAsia="en-AU"/>
        </w:rPr>
        <w:t xml:space="preserve">arly indications </w:t>
      </w:r>
      <w:r w:rsidR="00EA3C19">
        <w:rPr>
          <w:lang w:eastAsia="en-AU"/>
        </w:rPr>
        <w:t>are that</w:t>
      </w:r>
      <w:r w:rsidR="00AD59F4">
        <w:rPr>
          <w:lang w:eastAsia="en-AU"/>
        </w:rPr>
        <w:t xml:space="preserve"> </w:t>
      </w:r>
      <w:r w:rsidR="008F21AD" w:rsidRPr="008F21AD">
        <w:rPr>
          <w:lang w:eastAsia="en-AU"/>
        </w:rPr>
        <w:t>patients appreciate changes that are occurring, for example</w:t>
      </w:r>
      <w:r w:rsidR="00EA3C19">
        <w:rPr>
          <w:lang w:eastAsia="en-AU"/>
        </w:rPr>
        <w:t xml:space="preserve">, participating in </w:t>
      </w:r>
      <w:r w:rsidR="003E6F2E">
        <w:rPr>
          <w:lang w:eastAsia="en-AU"/>
        </w:rPr>
        <w:t xml:space="preserve">lifestyle/ educational </w:t>
      </w:r>
      <w:r w:rsidR="00EA3C19">
        <w:rPr>
          <w:lang w:eastAsia="en-AU"/>
        </w:rPr>
        <w:t>groups,</w:t>
      </w:r>
      <w:r w:rsidR="008F21AD" w:rsidRPr="008F21AD">
        <w:rPr>
          <w:lang w:eastAsia="en-AU"/>
        </w:rPr>
        <w:t xml:space="preserve"> greater contact with the practice (usually through a nurse), and </w:t>
      </w:r>
      <w:r w:rsidR="00EA3C19">
        <w:rPr>
          <w:lang w:eastAsia="en-AU"/>
        </w:rPr>
        <w:t>being able to get a repeat prescr</w:t>
      </w:r>
      <w:r w:rsidR="00EA3C19" w:rsidRPr="008F21AD">
        <w:rPr>
          <w:lang w:eastAsia="en-AU"/>
        </w:rPr>
        <w:t>iption</w:t>
      </w:r>
      <w:r w:rsidR="00F7613C">
        <w:rPr>
          <w:lang w:eastAsia="en-AU"/>
        </w:rPr>
        <w:t xml:space="preserve"> or annual re-referral to </w:t>
      </w:r>
      <w:r w:rsidR="00F7613C">
        <w:rPr>
          <w:lang w:eastAsia="en-AU"/>
        </w:rPr>
        <w:lastRenderedPageBreak/>
        <w:t>see a specialist</w:t>
      </w:r>
      <w:r w:rsidR="008F21AD" w:rsidRPr="008F21AD">
        <w:rPr>
          <w:lang w:eastAsia="en-AU"/>
        </w:rPr>
        <w:t xml:space="preserve"> without seeing the GP. Practice staff reported that HCH </w:t>
      </w:r>
      <w:r w:rsidR="00EA3C19">
        <w:rPr>
          <w:lang w:eastAsia="en-AU"/>
        </w:rPr>
        <w:t xml:space="preserve">has helped them </w:t>
      </w:r>
      <w:r w:rsidR="008F21AD" w:rsidRPr="008F21AD">
        <w:rPr>
          <w:lang w:eastAsia="en-AU"/>
        </w:rPr>
        <w:t>to know their patients at a deeper level than previously</w:t>
      </w:r>
      <w:r w:rsidR="00EA3C19" w:rsidRPr="00EA3C19">
        <w:rPr>
          <w:lang w:eastAsia="en-AU"/>
        </w:rPr>
        <w:t xml:space="preserve"> </w:t>
      </w:r>
      <w:r w:rsidR="00EA3C19" w:rsidRPr="008F21AD">
        <w:rPr>
          <w:lang w:eastAsia="en-AU"/>
        </w:rPr>
        <w:t>possible</w:t>
      </w:r>
      <w:r w:rsidR="008F21AD" w:rsidRPr="008F21AD">
        <w:rPr>
          <w:lang w:eastAsia="en-AU"/>
        </w:rPr>
        <w:t>. Carers interviewed were positive about HCH, highlighting that it has improved the</w:t>
      </w:r>
      <w:r w:rsidR="00EA3C19">
        <w:rPr>
          <w:lang w:eastAsia="en-AU"/>
        </w:rPr>
        <w:t>ir</w:t>
      </w:r>
      <w:r w:rsidR="008F21AD" w:rsidRPr="008F21AD">
        <w:rPr>
          <w:lang w:eastAsia="en-AU"/>
        </w:rPr>
        <w:t xml:space="preserve"> experience with the practice and </w:t>
      </w:r>
      <w:r w:rsidR="00EA3C19">
        <w:rPr>
          <w:lang w:eastAsia="en-AU"/>
        </w:rPr>
        <w:t xml:space="preserve">has been beneficial for the </w:t>
      </w:r>
      <w:r w:rsidR="008F21AD" w:rsidRPr="008F21AD">
        <w:rPr>
          <w:lang w:eastAsia="en-AU"/>
        </w:rPr>
        <w:t xml:space="preserve">person they cared for. </w:t>
      </w:r>
    </w:p>
    <w:p w14:paraId="053D1A5E" w14:textId="20A32140" w:rsidR="008F21AD" w:rsidRPr="008F21AD" w:rsidRDefault="008F21AD" w:rsidP="008F21AD">
      <w:pPr>
        <w:rPr>
          <w:lang w:eastAsia="en-AU"/>
        </w:rPr>
      </w:pPr>
      <w:r w:rsidRPr="008F21AD">
        <w:rPr>
          <w:lang w:eastAsia="en-AU"/>
        </w:rPr>
        <w:t>A large body of literature highlights the challenges for health services adopting innovations (</w:t>
      </w:r>
      <w:r w:rsidR="00892788">
        <w:rPr>
          <w:lang w:eastAsia="en-AU"/>
        </w:rPr>
        <w:fldChar w:fldCharType="begin">
          <w:fldData xml:space="preserve">PEVuZE5vdGU+PENpdGU+PEF1dGhvcj5HcmVlbmhhbGdoPC9BdXRob3I+PFllYXI+MjAxODwvWWVh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</w:fldData>
        </w:fldChar>
      </w:r>
      <w:r w:rsidR="00D81FA6">
        <w:rPr>
          <w:lang w:eastAsia="en-AU"/>
        </w:rPr>
        <w:instrText xml:space="preserve"> ADDIN EN.CITE </w:instrText>
      </w:r>
      <w:r w:rsidR="00D81FA6">
        <w:rPr>
          <w:lang w:eastAsia="en-AU"/>
        </w:rPr>
        <w:fldChar w:fldCharType="begin">
          <w:fldData xml:space="preserve">PEVuZE5vdGU+PENpdGU+PEF1dGhvcj5HcmVlbmhhbGdoPC9BdXRob3I+PFllYXI+MjAxODwvWWVh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</w:fldData>
        </w:fldChar>
      </w:r>
      <w:r w:rsidR="00D81FA6">
        <w:rPr>
          <w:lang w:eastAsia="en-AU"/>
        </w:rPr>
        <w:instrText xml:space="preserve"> ADDIN EN.CITE.DATA </w:instrText>
      </w:r>
      <w:r w:rsidR="00D81FA6">
        <w:rPr>
          <w:lang w:eastAsia="en-AU"/>
        </w:rPr>
      </w:r>
      <w:r w:rsidR="00D81FA6">
        <w:rPr>
          <w:lang w:eastAsia="en-AU"/>
        </w:rPr>
        <w:fldChar w:fldCharType="end"/>
      </w:r>
      <w:r w:rsidR="00892788">
        <w:rPr>
          <w:lang w:eastAsia="en-AU"/>
        </w:rPr>
      </w:r>
      <w:r w:rsidR="00892788">
        <w:rPr>
          <w:lang w:eastAsia="en-AU"/>
        </w:rPr>
        <w:fldChar w:fldCharType="separate"/>
      </w:r>
      <w:r w:rsidR="00D81FA6">
        <w:rPr>
          <w:noProof/>
          <w:lang w:eastAsia="en-AU"/>
        </w:rPr>
        <w:t>Greenhalgh, 2018; Greenhalgh, Robert, Bate et al., 2006; Robert, Greenhalgh, MacFarlane et al., 2010</w:t>
      </w:r>
      <w:r w:rsidR="00892788">
        <w:rPr>
          <w:lang w:eastAsia="en-AU"/>
        </w:rPr>
        <w:fldChar w:fldCharType="end"/>
      </w:r>
      <w:r w:rsidRPr="008F21AD">
        <w:rPr>
          <w:lang w:eastAsia="en-AU"/>
        </w:rPr>
        <w:t xml:space="preserve">). The challenges derive from the interaction of the nature of the innovation, the characteristics of the adopters, the organisational context and the outer context. HCH is a multi-dimensional innovation involving changes to </w:t>
      </w:r>
      <w:r w:rsidR="00EA3C19">
        <w:rPr>
          <w:lang w:eastAsia="en-AU"/>
        </w:rPr>
        <w:t xml:space="preserve">the </w:t>
      </w:r>
      <w:r w:rsidRPr="008F21AD">
        <w:rPr>
          <w:lang w:eastAsia="en-AU"/>
        </w:rPr>
        <w:t xml:space="preserve">way primary care teams work together </w:t>
      </w:r>
      <w:r w:rsidR="00EA3C19">
        <w:rPr>
          <w:lang w:eastAsia="en-AU"/>
        </w:rPr>
        <w:t xml:space="preserve">and </w:t>
      </w:r>
      <w:r w:rsidRPr="008F21AD">
        <w:rPr>
          <w:lang w:eastAsia="en-AU"/>
        </w:rPr>
        <w:t xml:space="preserve">with their patients and other providers. It involves </w:t>
      </w:r>
      <w:r w:rsidR="00EA3C19">
        <w:rPr>
          <w:lang w:eastAsia="en-AU"/>
        </w:rPr>
        <w:t>implementing</w:t>
      </w:r>
      <w:r w:rsidRPr="008F21AD">
        <w:rPr>
          <w:lang w:eastAsia="en-AU"/>
        </w:rPr>
        <w:t xml:space="preserve"> new technolog</w:t>
      </w:r>
      <w:r w:rsidR="003E6F2E">
        <w:rPr>
          <w:lang w:eastAsia="en-AU"/>
        </w:rPr>
        <w:t>y</w:t>
      </w:r>
      <w:r w:rsidRPr="008F21AD">
        <w:rPr>
          <w:lang w:eastAsia="en-AU"/>
        </w:rPr>
        <w:t xml:space="preserve">, including risk stratification and shared care planning. </w:t>
      </w:r>
      <w:r w:rsidR="00EA3C19">
        <w:rPr>
          <w:lang w:eastAsia="en-AU"/>
        </w:rPr>
        <w:t>And i</w:t>
      </w:r>
      <w:r w:rsidRPr="008F21AD">
        <w:rPr>
          <w:lang w:eastAsia="en-AU"/>
        </w:rPr>
        <w:t>t</w:t>
      </w:r>
      <w:r w:rsidR="00EA3C19">
        <w:rPr>
          <w:lang w:eastAsia="en-AU"/>
        </w:rPr>
        <w:t xml:space="preserve"> has</w:t>
      </w:r>
      <w:r w:rsidRPr="008F21AD">
        <w:rPr>
          <w:lang w:eastAsia="en-AU"/>
        </w:rPr>
        <w:t xml:space="preserve"> introduce</w:t>
      </w:r>
      <w:r w:rsidR="00EA3C19">
        <w:rPr>
          <w:lang w:eastAsia="en-AU"/>
        </w:rPr>
        <w:t>d</w:t>
      </w:r>
      <w:r w:rsidRPr="008F21AD">
        <w:rPr>
          <w:lang w:eastAsia="en-AU"/>
        </w:rPr>
        <w:t xml:space="preserve"> a new concept to the Australian health</w:t>
      </w:r>
      <w:r w:rsidR="003E6F2E">
        <w:rPr>
          <w:lang w:eastAsia="en-AU"/>
        </w:rPr>
        <w:t xml:space="preserve"> care</w:t>
      </w:r>
      <w:r w:rsidRPr="008F21AD">
        <w:rPr>
          <w:lang w:eastAsia="en-AU"/>
        </w:rPr>
        <w:t xml:space="preserve"> system – </w:t>
      </w:r>
      <w:r w:rsidR="003E6F2E">
        <w:rPr>
          <w:lang w:eastAsia="en-AU"/>
        </w:rPr>
        <w:t xml:space="preserve">patients </w:t>
      </w:r>
      <w:r w:rsidRPr="008F21AD">
        <w:rPr>
          <w:lang w:eastAsia="en-AU"/>
        </w:rPr>
        <w:t>enrol</w:t>
      </w:r>
      <w:r w:rsidR="003E6F2E">
        <w:rPr>
          <w:lang w:eastAsia="en-AU"/>
        </w:rPr>
        <w:t>ling with a practice</w:t>
      </w:r>
      <w:r w:rsidRPr="008F21AD">
        <w:rPr>
          <w:lang w:eastAsia="en-AU"/>
        </w:rPr>
        <w:t xml:space="preserve">. </w:t>
      </w:r>
    </w:p>
    <w:p w14:paraId="0DCCF032" w14:textId="2D3F4E52" w:rsidR="008F21AD" w:rsidRDefault="008F21AD" w:rsidP="008F21AD">
      <w:pPr>
        <w:rPr>
          <w:lang w:eastAsia="en-AU"/>
        </w:rPr>
      </w:pPr>
      <w:r w:rsidRPr="008F21AD">
        <w:rPr>
          <w:lang w:eastAsia="en-AU"/>
        </w:rPr>
        <w:t>Given this complexity it is not surprising that the early experience of implementing HCH aligns with previous experiences of implementing major health programs in Australia and the experiences of other countries implementing HCH-like models (</w:t>
      </w:r>
      <w:r w:rsidR="00892788">
        <w:rPr>
          <w:lang w:eastAsia="en-AU"/>
        </w:rPr>
        <w:fldChar w:fldCharType="begin">
          <w:fldData xml:space="preserve">PEVuZE5vdGU+PENpdGU+PEF1dGhvcj5KYW5hbWlhbjwvQXV0aG9yPjxZZWFyPjIwMTQ8L1llYXI+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</w:fldData>
        </w:fldChar>
      </w:r>
      <w:r w:rsidR="00D81FA6">
        <w:rPr>
          <w:lang w:eastAsia="en-AU"/>
        </w:rPr>
        <w:instrText xml:space="preserve"> ADDIN EN.CITE </w:instrText>
      </w:r>
      <w:r w:rsidR="00D81FA6">
        <w:rPr>
          <w:lang w:eastAsia="en-AU"/>
        </w:rPr>
        <w:fldChar w:fldCharType="begin">
          <w:fldData xml:space="preserve">PEVuZE5vdGU+PENpdGU+PEF1dGhvcj5KYW5hbWlhbjwvQXV0aG9yPjxZZWFyPjIwMTQ8L1llYXI+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</w:fldData>
        </w:fldChar>
      </w:r>
      <w:r w:rsidR="00D81FA6">
        <w:rPr>
          <w:lang w:eastAsia="en-AU"/>
        </w:rPr>
        <w:instrText xml:space="preserve"> ADDIN EN.CITE.DATA </w:instrText>
      </w:r>
      <w:r w:rsidR="00D81FA6">
        <w:rPr>
          <w:lang w:eastAsia="en-AU"/>
        </w:rPr>
      </w:r>
      <w:r w:rsidR="00D81FA6">
        <w:rPr>
          <w:lang w:eastAsia="en-AU"/>
        </w:rPr>
        <w:fldChar w:fldCharType="end"/>
      </w:r>
      <w:r w:rsidR="00892788">
        <w:rPr>
          <w:lang w:eastAsia="en-AU"/>
        </w:rPr>
      </w:r>
      <w:r w:rsidR="00892788">
        <w:rPr>
          <w:lang w:eastAsia="en-AU"/>
        </w:rPr>
        <w:fldChar w:fldCharType="separate"/>
      </w:r>
      <w:r w:rsidR="00D81FA6">
        <w:rPr>
          <w:noProof/>
          <w:lang w:eastAsia="en-AU"/>
        </w:rPr>
        <w:t>Janamian, Jackson, Glasson et al., 2014</w:t>
      </w:r>
      <w:r w:rsidR="00892788">
        <w:rPr>
          <w:lang w:eastAsia="en-AU"/>
        </w:rPr>
        <w:fldChar w:fldCharType="end"/>
      </w:r>
      <w:r w:rsidRPr="008F21AD">
        <w:rPr>
          <w:lang w:eastAsia="en-AU"/>
        </w:rPr>
        <w:t>;</w:t>
      </w:r>
      <w:r w:rsidR="00892788">
        <w:rPr>
          <w:lang w:eastAsia="en-AU"/>
        </w:rPr>
        <w:t xml:space="preserve"> </w:t>
      </w:r>
      <w:r w:rsidR="00892788">
        <w:rPr>
          <w:lang w:eastAsia="en-AU"/>
        </w:rPr>
        <w:fldChar w:fldCharType="begin"/>
      </w:r>
      <w:r w:rsidR="00D81FA6">
        <w:rPr>
          <w:lang w:eastAsia="en-AU"/>
        </w:rPr>
        <w:instrText xml:space="preserve"> ADDIN EN.CITE &lt;EndNote&gt;&lt;Cite&gt;&lt;Author&gt;Pearse&lt;/Author&gt;&lt;Year&gt;2018&lt;/Year&gt;&lt;RecNum&gt;1020&lt;/RecNum&gt;&lt;DisplayText&gt;Pearse and Mazevska, 2018&lt;/DisplayText&gt;&lt;record&gt;&lt;rec-number&gt;1020&lt;/rec-number&gt;&lt;foreign-keys&gt;&lt;key app="EN" db-id="zdz9xax04zr9v0evw2nvrpw9xe9ttzvs5zsv" timestamp="1525572516"&gt;1020&lt;/key&gt;&lt;/foreign-keys&gt;&lt;ref-type name="Report"&gt;27&lt;/ref-type&gt;&lt;contributors&gt;&lt;authors&gt;&lt;author&gt;Pearse, J&lt;/author&gt;&lt;author&gt;Mazevska, D&lt;/author&gt;&lt;/authors&gt;&lt;/contributors&gt;&lt;titles&gt;&lt;title&gt;The Patient Centered Medical Home: barriers and enablers: an Evidence Check rapid review brokered by the Sax Institute for COORDINARE&lt;/title&gt;&lt;/titles&gt;&lt;dates&gt;&lt;year&gt;2018&lt;/year&gt;&lt;/dates&gt;&lt;pub-location&gt;Sydney&lt;/pub-location&gt;&lt;publisher&gt;Sax Institute&lt;/publisher&gt;&lt;urls&gt;&lt;related-urls&gt;&lt;url&gt;https://www.saxinstitute.org.au/wp-content/uploads/The-Patient-Centred-Medical-Home-barriers-and-enablers-to-implementation.pdf&lt;/url&gt;&lt;/related-urls&gt;&lt;/urls&gt;&lt;/record&gt;&lt;/Cite&gt;&lt;/EndNote&gt;</w:instrText>
      </w:r>
      <w:r w:rsidR="00892788">
        <w:rPr>
          <w:lang w:eastAsia="en-AU"/>
        </w:rPr>
        <w:fldChar w:fldCharType="separate"/>
      </w:r>
      <w:r w:rsidR="00D81FA6">
        <w:rPr>
          <w:noProof/>
          <w:lang w:eastAsia="en-AU"/>
        </w:rPr>
        <w:t>Pearse and Mazevska, 2018</w:t>
      </w:r>
      <w:r w:rsidR="00892788">
        <w:rPr>
          <w:lang w:eastAsia="en-AU"/>
        </w:rPr>
        <w:fldChar w:fldCharType="end"/>
      </w:r>
      <w:r w:rsidRPr="008F21AD">
        <w:rPr>
          <w:lang w:eastAsia="en-AU"/>
        </w:rPr>
        <w:t>).</w:t>
      </w:r>
      <w:r w:rsidR="00AD59F4">
        <w:rPr>
          <w:lang w:eastAsia="en-AU"/>
        </w:rPr>
        <w:t xml:space="preserve"> </w:t>
      </w:r>
      <w:r w:rsidRPr="008F21AD">
        <w:rPr>
          <w:lang w:eastAsia="en-AU"/>
        </w:rPr>
        <w:t xml:space="preserve">Transformation to an HCH requires changes to many processes. </w:t>
      </w:r>
      <w:r w:rsidR="002A755D">
        <w:rPr>
          <w:lang w:eastAsia="en-AU"/>
        </w:rPr>
        <w:t xml:space="preserve">For example, </w:t>
      </w:r>
      <w:r w:rsidRPr="008F21AD">
        <w:rPr>
          <w:lang w:eastAsia="en-AU"/>
        </w:rPr>
        <w:t>enrolment</w:t>
      </w:r>
      <w:r w:rsidR="002A755D">
        <w:rPr>
          <w:lang w:eastAsia="en-AU"/>
        </w:rPr>
        <w:t xml:space="preserve"> alone </w:t>
      </w:r>
      <w:r w:rsidR="007D6989">
        <w:rPr>
          <w:lang w:eastAsia="en-AU"/>
        </w:rPr>
        <w:t>involved</w:t>
      </w:r>
      <w:r w:rsidRPr="008F21AD">
        <w:rPr>
          <w:lang w:eastAsia="en-AU"/>
        </w:rPr>
        <w:t>: installing software</w:t>
      </w:r>
      <w:r w:rsidR="007D6989">
        <w:rPr>
          <w:lang w:eastAsia="en-AU"/>
        </w:rPr>
        <w:t>;</w:t>
      </w:r>
      <w:r w:rsidRPr="008F21AD">
        <w:rPr>
          <w:lang w:eastAsia="en-AU"/>
        </w:rPr>
        <w:t xml:space="preserve"> cleaning up data</w:t>
      </w:r>
      <w:r w:rsidR="007D6989">
        <w:rPr>
          <w:lang w:eastAsia="en-AU"/>
        </w:rPr>
        <w:t>;</w:t>
      </w:r>
      <w:r w:rsidRPr="008F21AD">
        <w:rPr>
          <w:lang w:eastAsia="en-AU"/>
        </w:rPr>
        <w:t xml:space="preserve"> identifying patients suitable for HCH</w:t>
      </w:r>
      <w:r w:rsidR="007D6989">
        <w:rPr>
          <w:lang w:eastAsia="en-AU"/>
        </w:rPr>
        <w:t>;</w:t>
      </w:r>
      <w:r w:rsidRPr="008F21AD">
        <w:rPr>
          <w:lang w:eastAsia="en-AU"/>
        </w:rPr>
        <w:t xml:space="preserve"> explaining what enrolment means</w:t>
      </w:r>
      <w:r w:rsidR="007D6989">
        <w:rPr>
          <w:lang w:eastAsia="en-AU"/>
        </w:rPr>
        <w:t>;</w:t>
      </w:r>
      <w:r w:rsidRPr="008F21AD">
        <w:rPr>
          <w:lang w:eastAsia="en-AU"/>
        </w:rPr>
        <w:t xml:space="preserve"> and registering patients. But even greater challenges exist in changing culture, mindsets, roles and how practice staff work together. While additional resources and support may compress the time needed for the former, the latter need time. Implementation takes time.</w:t>
      </w:r>
      <w:r w:rsidR="003F72F4">
        <w:rPr>
          <w:lang w:eastAsia="en-AU"/>
        </w:rPr>
        <w:t xml:space="preserve"> </w:t>
      </w:r>
    </w:p>
    <w:p w14:paraId="64A8EA81" w14:textId="2C46FCD2" w:rsidR="007D6989" w:rsidRDefault="007D6989" w:rsidP="003E6F2E">
      <w:pPr>
        <w:rPr>
          <w:lang w:eastAsia="en-AU"/>
        </w:rPr>
      </w:pPr>
      <w:r>
        <w:rPr>
          <w:lang w:eastAsia="en-AU"/>
        </w:rPr>
        <w:t xml:space="preserve">The Australian Government recognised this, and in </w:t>
      </w:r>
      <w:r w:rsidR="002113B7">
        <w:rPr>
          <w:lang w:eastAsia="en-AU"/>
        </w:rPr>
        <w:t>December</w:t>
      </w:r>
      <w:r>
        <w:rPr>
          <w:lang w:eastAsia="en-AU"/>
        </w:rPr>
        <w:t xml:space="preserve"> 201</w:t>
      </w:r>
      <w:r w:rsidR="006D3C17">
        <w:rPr>
          <w:lang w:eastAsia="en-AU"/>
        </w:rPr>
        <w:t>8</w:t>
      </w:r>
      <w:r>
        <w:rPr>
          <w:lang w:eastAsia="en-AU"/>
        </w:rPr>
        <w:t>, extended the time frame for both enrolling patients and for the program overall.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6005B5" w:rsidRPr="00E52C83" w14:paraId="7FC0E4CC" w14:textId="77777777" w:rsidTr="00496B80">
        <w:tc>
          <w:tcPr>
            <w:tcW w:w="5000" w:type="pct"/>
            <w:shd w:val="clear" w:color="auto" w:fill="F2F2F2" w:themeFill="background1" w:themeFillShade="F2"/>
          </w:tcPr>
          <w:p w14:paraId="7E4235E7" w14:textId="59736731" w:rsidR="006005B5" w:rsidRPr="00E52C83" w:rsidRDefault="006005B5" w:rsidP="00CE06C8">
            <w:pPr>
              <w:pStyle w:val="BodyText"/>
              <w:spacing w:after="200" w:line="276" w:lineRule="auto"/>
              <w:ind w:left="102" w:right="238"/>
              <w:jc w:val="center"/>
              <w:rPr>
                <w:b/>
                <w:spacing w:val="-1"/>
                <w:sz w:val="18"/>
                <w:szCs w:val="18"/>
              </w:rPr>
            </w:pPr>
            <w:r w:rsidRPr="00E52C83">
              <w:rPr>
                <w:b/>
                <w:spacing w:val="-1"/>
                <w:sz w:val="18"/>
                <w:szCs w:val="18"/>
              </w:rPr>
              <w:t xml:space="preserve">Lessons – </w:t>
            </w:r>
            <w:r w:rsidR="009908B4" w:rsidRPr="00E52C83">
              <w:rPr>
                <w:b/>
                <w:spacing w:val="-1"/>
                <w:sz w:val="18"/>
                <w:szCs w:val="18"/>
              </w:rPr>
              <w:t>O</w:t>
            </w:r>
            <w:r w:rsidRPr="00E52C83">
              <w:rPr>
                <w:b/>
                <w:spacing w:val="-1"/>
                <w:sz w:val="18"/>
                <w:szCs w:val="18"/>
              </w:rPr>
              <w:t>verall implementation</w:t>
            </w:r>
          </w:p>
          <w:p w14:paraId="19EEF886" w14:textId="73A1444C" w:rsidR="006005B5" w:rsidRPr="00E52C83" w:rsidRDefault="007D6989" w:rsidP="00D63ADD">
            <w:pPr>
              <w:pStyle w:val="BodyText"/>
              <w:numPr>
                <w:ilvl w:val="0"/>
                <w:numId w:val="7"/>
              </w:numPr>
              <w:tabs>
                <w:tab w:val="left" w:pos="674"/>
              </w:tabs>
              <w:spacing w:after="200" w:line="276" w:lineRule="auto"/>
              <w:rPr>
                <w:sz w:val="18"/>
                <w:szCs w:val="18"/>
              </w:rPr>
            </w:pPr>
            <w:r w:rsidRPr="00E52C83">
              <w:rPr>
                <w:spacing w:val="-1"/>
                <w:sz w:val="18"/>
                <w:szCs w:val="18"/>
              </w:rPr>
              <w:t xml:space="preserve">For </w:t>
            </w:r>
            <w:r w:rsidR="00E07D3F" w:rsidRPr="00E52C83">
              <w:rPr>
                <w:spacing w:val="-1"/>
                <w:sz w:val="18"/>
                <w:szCs w:val="18"/>
              </w:rPr>
              <w:t xml:space="preserve">complex </w:t>
            </w:r>
            <w:r w:rsidRPr="00E52C83">
              <w:rPr>
                <w:spacing w:val="-1"/>
                <w:sz w:val="18"/>
                <w:szCs w:val="18"/>
              </w:rPr>
              <w:t>programs such as HCH, a</w:t>
            </w:r>
            <w:r w:rsidR="006005B5" w:rsidRPr="00E52C83">
              <w:rPr>
                <w:spacing w:val="-1"/>
                <w:sz w:val="18"/>
                <w:szCs w:val="18"/>
              </w:rPr>
              <w:t>llow</w:t>
            </w:r>
            <w:r w:rsidR="006005B5" w:rsidRPr="00E52C83">
              <w:rPr>
                <w:spacing w:val="-9"/>
                <w:sz w:val="18"/>
                <w:szCs w:val="18"/>
              </w:rPr>
              <w:t xml:space="preserve"> </w:t>
            </w:r>
            <w:r w:rsidR="006005B5" w:rsidRPr="00E52C83">
              <w:rPr>
                <w:spacing w:val="-1"/>
                <w:sz w:val="18"/>
                <w:szCs w:val="18"/>
              </w:rPr>
              <w:t>sufficient</w:t>
            </w:r>
            <w:r w:rsidR="006005B5" w:rsidRPr="00E52C83">
              <w:rPr>
                <w:spacing w:val="-8"/>
                <w:sz w:val="18"/>
                <w:szCs w:val="18"/>
              </w:rPr>
              <w:t xml:space="preserve"> </w:t>
            </w:r>
            <w:r w:rsidR="006005B5" w:rsidRPr="00E52C83">
              <w:rPr>
                <w:sz w:val="18"/>
                <w:szCs w:val="18"/>
              </w:rPr>
              <w:t>time</w:t>
            </w:r>
            <w:r w:rsidR="006005B5" w:rsidRPr="00E52C83">
              <w:rPr>
                <w:spacing w:val="-10"/>
                <w:sz w:val="18"/>
                <w:szCs w:val="18"/>
              </w:rPr>
              <w:t xml:space="preserve"> </w:t>
            </w:r>
            <w:r w:rsidR="006005B5" w:rsidRPr="00E52C83">
              <w:rPr>
                <w:sz w:val="18"/>
                <w:szCs w:val="18"/>
              </w:rPr>
              <w:t>for</w:t>
            </w:r>
            <w:r w:rsidR="006005B5" w:rsidRPr="00E52C83">
              <w:rPr>
                <w:spacing w:val="-10"/>
                <w:sz w:val="18"/>
                <w:szCs w:val="18"/>
              </w:rPr>
              <w:t xml:space="preserve"> </w:t>
            </w:r>
            <w:r w:rsidR="006005B5" w:rsidRPr="00E52C83">
              <w:rPr>
                <w:spacing w:val="-1"/>
                <w:sz w:val="18"/>
                <w:szCs w:val="18"/>
              </w:rPr>
              <w:t>implementation.</w:t>
            </w:r>
          </w:p>
        </w:tc>
      </w:tr>
      <w:bookmarkEnd w:id="13"/>
      <w:bookmarkEnd w:id="14"/>
    </w:tbl>
    <w:p w14:paraId="4C128FA0" w14:textId="77777777" w:rsidR="00D63ADD" w:rsidRDefault="00D63ADD" w:rsidP="00D63ADD">
      <w:pPr>
        <w:spacing w:after="0"/>
      </w:pPr>
    </w:p>
    <w:p w14:paraId="0AB39BB3" w14:textId="4D082224" w:rsidR="001D18D6" w:rsidRDefault="005235E1" w:rsidP="0059743A">
      <w:pPr>
        <w:pStyle w:val="Heading1nonumber"/>
      </w:pPr>
      <w:bookmarkStart w:id="15" w:name="_Toc32585816"/>
      <w:r>
        <w:t>C</w:t>
      </w:r>
      <w:r w:rsidR="009B30D2">
        <w:t>haracteristics of HCH practices</w:t>
      </w:r>
      <w:bookmarkEnd w:id="15"/>
    </w:p>
    <w:p w14:paraId="4A6308C0" w14:textId="1F4C6415" w:rsidR="00CB2785" w:rsidRDefault="00CB2785" w:rsidP="00CB2785">
      <w:pPr>
        <w:rPr>
          <w:szCs w:val="20"/>
        </w:rPr>
      </w:pPr>
      <w:r>
        <w:rPr>
          <w:szCs w:val="20"/>
        </w:rPr>
        <w:t xml:space="preserve">Twenty-two practices formally started implementing HCH </w:t>
      </w:r>
      <w:r w:rsidR="005C5D8A">
        <w:rPr>
          <w:szCs w:val="20"/>
        </w:rPr>
        <w:t>in</w:t>
      </w:r>
      <w:r>
        <w:rPr>
          <w:szCs w:val="20"/>
        </w:rPr>
        <w:t xml:space="preserve"> October 2017, and a further 151 </w:t>
      </w:r>
      <w:r w:rsidR="005C5D8A">
        <w:rPr>
          <w:szCs w:val="20"/>
        </w:rPr>
        <w:t xml:space="preserve">in </w:t>
      </w:r>
      <w:r>
        <w:rPr>
          <w:szCs w:val="20"/>
        </w:rPr>
        <w:t>December 2017</w:t>
      </w:r>
      <w:r w:rsidRPr="004215F4">
        <w:rPr>
          <w:szCs w:val="20"/>
        </w:rPr>
        <w:t>.</w:t>
      </w:r>
      <w:r>
        <w:rPr>
          <w:szCs w:val="20"/>
        </w:rPr>
        <w:t xml:space="preserve"> Other practices subsequently</w:t>
      </w:r>
      <w:r w:rsidRPr="0038457D">
        <w:rPr>
          <w:szCs w:val="20"/>
        </w:rPr>
        <w:t xml:space="preserve"> </w:t>
      </w:r>
      <w:r>
        <w:rPr>
          <w:szCs w:val="20"/>
        </w:rPr>
        <w:t xml:space="preserve">signed up to the program, and some withdrew. </w:t>
      </w:r>
    </w:p>
    <w:p w14:paraId="02C15615" w14:textId="3205F83C" w:rsidR="00BB1B29" w:rsidRDefault="00CB2785" w:rsidP="00BB1B29">
      <w:r>
        <w:rPr>
          <w:szCs w:val="20"/>
        </w:rPr>
        <w:t>A</w:t>
      </w:r>
      <w:r w:rsidR="003E6F2E">
        <w:rPr>
          <w:szCs w:val="20"/>
        </w:rPr>
        <w:t>t</w:t>
      </w:r>
      <w:r>
        <w:rPr>
          <w:szCs w:val="20"/>
        </w:rPr>
        <w:t xml:space="preserve"> </w:t>
      </w:r>
      <w:r w:rsidR="008F21AD">
        <w:rPr>
          <w:szCs w:val="20"/>
        </w:rPr>
        <w:t>31 August</w:t>
      </w:r>
      <w:r>
        <w:rPr>
          <w:szCs w:val="20"/>
        </w:rPr>
        <w:t xml:space="preserve"> 2019, there were </w:t>
      </w:r>
      <w:r w:rsidRPr="00CB2785">
        <w:rPr>
          <w:szCs w:val="20"/>
        </w:rPr>
        <w:t>13</w:t>
      </w:r>
      <w:r w:rsidR="00BD6534">
        <w:rPr>
          <w:szCs w:val="20"/>
        </w:rPr>
        <w:t>1</w:t>
      </w:r>
      <w:r w:rsidRPr="00CB2785">
        <w:rPr>
          <w:szCs w:val="20"/>
        </w:rPr>
        <w:t xml:space="preserve"> p</w:t>
      </w:r>
      <w:r>
        <w:rPr>
          <w:szCs w:val="20"/>
        </w:rPr>
        <w:t xml:space="preserve">ractices participating. </w:t>
      </w:r>
      <w:r w:rsidR="00FD4763" w:rsidRPr="00FD4763">
        <w:t>A further 96 practices had participated in the program at some stage but withdrew (42.3%).</w:t>
      </w:r>
      <w:r w:rsidR="00BA28B3">
        <w:t xml:space="preserve"> </w:t>
      </w:r>
      <w:r w:rsidR="00BB1B29">
        <w:t xml:space="preserve">Throughout the program most practices that withdrew had not enrolled patients, although since the end of the enrolment period a small number of practices with enrolees </w:t>
      </w:r>
      <w:r w:rsidR="003E6F2E">
        <w:t>withdrew</w:t>
      </w:r>
      <w:r w:rsidR="00BB1B29">
        <w:t>.</w:t>
      </w:r>
    </w:p>
    <w:p w14:paraId="3DF61C7B" w14:textId="119942DD" w:rsidR="005E3444" w:rsidRDefault="005E3444" w:rsidP="004D2FB0">
      <w:r w:rsidRPr="004D2FB0">
        <w:t xml:space="preserve">The practices </w:t>
      </w:r>
      <w:r w:rsidR="00BB1B29">
        <w:t>rem</w:t>
      </w:r>
      <w:r w:rsidR="00933E4A">
        <w:t>ain</w:t>
      </w:r>
      <w:r w:rsidR="00BB1B29">
        <w:t xml:space="preserve">ing in HCH </w:t>
      </w:r>
      <w:r w:rsidR="00285F08" w:rsidRPr="004D2FB0">
        <w:t>are spread across practices of different size</w:t>
      </w:r>
      <w:r w:rsidR="003E6F2E">
        <w:t>s</w:t>
      </w:r>
      <w:r w:rsidR="00285F08" w:rsidRPr="004D2FB0">
        <w:t xml:space="preserve"> (</w:t>
      </w:r>
      <w:r w:rsidR="00F96C20" w:rsidRPr="004D2FB0">
        <w:t xml:space="preserve">based on </w:t>
      </w:r>
      <w:r w:rsidR="00285F08" w:rsidRPr="004D2FB0">
        <w:t xml:space="preserve">the number of </w:t>
      </w:r>
      <w:r w:rsidR="00F96C20" w:rsidRPr="004D2FB0">
        <w:t>FTE</w:t>
      </w:r>
      <w:r w:rsidR="00285F08" w:rsidRPr="004D2FB0">
        <w:t xml:space="preserve"> </w:t>
      </w:r>
      <w:r w:rsidR="00F96C20" w:rsidRPr="004D2FB0">
        <w:t>GPs</w:t>
      </w:r>
      <w:r w:rsidR="00285F08" w:rsidRPr="004D2FB0">
        <w:t>), practice ownership (independent, corporate and AC</w:t>
      </w:r>
      <w:r w:rsidR="00933E4A">
        <w:t>C</w:t>
      </w:r>
      <w:r w:rsidR="00285F08" w:rsidRPr="004D2FB0">
        <w:t>HS) and location</w:t>
      </w:r>
      <w:r w:rsidR="00933E4A">
        <w:t xml:space="preserve"> (</w:t>
      </w:r>
      <w:r w:rsidR="004D2FB0" w:rsidRPr="004D2FB0">
        <w:t>reflecting both the remoteness and socio-economic circumstances in which the practice is located</w:t>
      </w:r>
      <w:r w:rsidR="00933E4A">
        <w:t>)</w:t>
      </w:r>
      <w:r w:rsidR="004D2FB0" w:rsidRPr="004D2FB0">
        <w:t>. Lowe</w:t>
      </w:r>
      <w:r w:rsidR="001C124E">
        <w:t>st</w:t>
      </w:r>
      <w:r w:rsidR="004D2FB0" w:rsidRPr="004D2FB0">
        <w:t xml:space="preserve"> rates of withdrawal </w:t>
      </w:r>
      <w:r w:rsidR="001C124E">
        <w:t>were</w:t>
      </w:r>
      <w:r w:rsidR="004D2FB0" w:rsidRPr="004D2FB0">
        <w:t xml:space="preserve"> observed for practices that are independently owned (31.4%)</w:t>
      </w:r>
      <w:r w:rsidR="00656C60">
        <w:t>;</w:t>
      </w:r>
      <w:r w:rsidR="004D2FB0" w:rsidRPr="004D2FB0">
        <w:t xml:space="preserve"> have 5-8 FTE GPs (37.2%)</w:t>
      </w:r>
      <w:r w:rsidR="00656C60">
        <w:t>;</w:t>
      </w:r>
      <w:r w:rsidR="004D2FB0" w:rsidRPr="004D2FB0">
        <w:t xml:space="preserve"> are in </w:t>
      </w:r>
      <w:r w:rsidR="00E72DE2" w:rsidRPr="004D2FB0">
        <w:t>major cities (</w:t>
      </w:r>
      <w:bookmarkStart w:id="16" w:name="_Hlk21007145"/>
      <w:r w:rsidR="004D2FB0" w:rsidRPr="004D2FB0">
        <w:t>37.7%)</w:t>
      </w:r>
      <w:r w:rsidR="00656C60">
        <w:t>;</w:t>
      </w:r>
      <w:r w:rsidR="004D2FB0">
        <w:t xml:space="preserve"> and </w:t>
      </w:r>
      <w:r w:rsidR="00656C60">
        <w:t xml:space="preserve">in </w:t>
      </w:r>
      <w:r w:rsidR="004D2FB0">
        <w:t xml:space="preserve">locations that </w:t>
      </w:r>
      <w:r w:rsidR="004D2FB0">
        <w:lastRenderedPageBreak/>
        <w:t>have average levels of disadvantage (37.1%)</w:t>
      </w:r>
      <w:bookmarkEnd w:id="16"/>
      <w:r w:rsidR="00E72DE2" w:rsidRPr="004D2FB0">
        <w:t>.</w:t>
      </w:r>
      <w:r w:rsidR="004D2FB0">
        <w:t xml:space="preserve"> However, practices across all these dimensions remain active in the HCH program</w:t>
      </w:r>
      <w:r w:rsidR="00BB1B29">
        <w:t xml:space="preserve">. </w:t>
      </w:r>
      <w:r w:rsidR="003E6F2E">
        <w:t xml:space="preserve">Therefore, </w:t>
      </w:r>
      <w:r w:rsidR="00BB1B29">
        <w:t xml:space="preserve">HCH </w:t>
      </w:r>
      <w:r w:rsidR="003E6F2E">
        <w:t>seems</w:t>
      </w:r>
      <w:r w:rsidR="00BB1B29">
        <w:t xml:space="preserve"> </w:t>
      </w:r>
      <w:r w:rsidR="00830C56">
        <w:t xml:space="preserve">feasible for different types practices operating in </w:t>
      </w:r>
      <w:r w:rsidR="003E6F2E">
        <w:t>different</w:t>
      </w:r>
      <w:r w:rsidR="00830C56">
        <w:t xml:space="preserve"> circumstances, but the</w:t>
      </w:r>
      <w:r w:rsidR="003E6F2E">
        <w:t>se</w:t>
      </w:r>
      <w:r w:rsidR="00830C56">
        <w:t xml:space="preserve"> factors influence the nature and intensity of</w:t>
      </w:r>
      <w:r w:rsidR="003E6F2E">
        <w:t xml:space="preserve"> the</w:t>
      </w:r>
      <w:r w:rsidR="00830C56">
        <w:t xml:space="preserve"> implementation challenges</w:t>
      </w:r>
      <w:r w:rsidR="003E6F2E">
        <w:t xml:space="preserve"> that the practices face</w:t>
      </w:r>
      <w:r w:rsidR="00830C56">
        <w:t xml:space="preserve">. </w:t>
      </w:r>
    </w:p>
    <w:p w14:paraId="20DF1B35" w14:textId="71259EFE" w:rsidR="00830C56" w:rsidRDefault="004D2FB0" w:rsidP="004D2FB0">
      <w:r>
        <w:t xml:space="preserve">The practices remaining in the program have </w:t>
      </w:r>
      <w:r w:rsidR="00BB1B29">
        <w:t>an average 3.6 FTE GPs participating in HCH</w:t>
      </w:r>
      <w:r w:rsidR="00933E4A">
        <w:t xml:space="preserve">, </w:t>
      </w:r>
      <w:r w:rsidR="00BB1B29">
        <w:t xml:space="preserve">which represents around 64% of </w:t>
      </w:r>
      <w:r w:rsidR="001C124E">
        <w:t xml:space="preserve">the </w:t>
      </w:r>
      <w:r w:rsidR="00BB1B29">
        <w:t>total FTE GPs</w:t>
      </w:r>
      <w:r w:rsidR="001C124E">
        <w:t xml:space="preserve"> that were estimated to be working in the participating practices at the beginning of the trial</w:t>
      </w:r>
      <w:r w:rsidR="00E07779">
        <w:t>.</w:t>
      </w:r>
      <w:r w:rsidR="00933E4A">
        <w:rPr>
          <w:rStyle w:val="FootnoteReference"/>
        </w:rPr>
        <w:footnoteReference w:id="2"/>
      </w:r>
    </w:p>
    <w:p w14:paraId="77DF1B38" w14:textId="35EAB94E" w:rsidR="004D2FB0" w:rsidRDefault="00830C56" w:rsidP="004D2FB0">
      <w:r>
        <w:t>Based on data reported by practices,</w:t>
      </w:r>
      <w:r w:rsidR="00BA28B3">
        <w:t xml:space="preserve"> </w:t>
      </w:r>
      <w:r>
        <w:t>GPs make up around 3</w:t>
      </w:r>
      <w:r w:rsidR="003E6F2E">
        <w:t>3</w:t>
      </w:r>
      <w:r>
        <w:t>.</w:t>
      </w:r>
      <w:r w:rsidR="003E6F2E">
        <w:t>6</w:t>
      </w:r>
      <w:r>
        <w:t>% of the practice FTE staff. Other</w:t>
      </w:r>
      <w:r w:rsidR="00933E4A">
        <w:t>s</w:t>
      </w:r>
      <w:r>
        <w:t xml:space="preserve"> include other medical</w:t>
      </w:r>
      <w:r w:rsidR="00933E4A">
        <w:t xml:space="preserve"> staff</w:t>
      </w:r>
      <w:r>
        <w:t xml:space="preserve"> such a GP registrars/advanced trainee</w:t>
      </w:r>
      <w:r w:rsidR="00933E4A">
        <w:t>s</w:t>
      </w:r>
      <w:r>
        <w:t xml:space="preserve"> (</w:t>
      </w:r>
      <w:r w:rsidR="003E6F2E">
        <w:t>0.8</w:t>
      </w:r>
      <w:r>
        <w:t>%)</w:t>
      </w:r>
      <w:r w:rsidR="00933E4A">
        <w:t>;</w:t>
      </w:r>
      <w:r>
        <w:t xml:space="preserve"> nurses (18.</w:t>
      </w:r>
      <w:r w:rsidR="003E6F2E">
        <w:t>6</w:t>
      </w:r>
      <w:r>
        <w:t>%)</w:t>
      </w:r>
      <w:r w:rsidR="00933E4A">
        <w:t>;</w:t>
      </w:r>
      <w:r>
        <w:t xml:space="preserve"> allied health (1</w:t>
      </w:r>
      <w:r w:rsidR="00180239">
        <w:t>3</w:t>
      </w:r>
      <w:r>
        <w:t>.</w:t>
      </w:r>
      <w:r w:rsidR="00180239">
        <w:t>6</w:t>
      </w:r>
      <w:r>
        <w:t>%)</w:t>
      </w:r>
      <w:r w:rsidR="00933E4A">
        <w:t xml:space="preserve">; and </w:t>
      </w:r>
      <w:r>
        <w:t>practice managers, receptionist</w:t>
      </w:r>
      <w:r w:rsidR="00933E4A">
        <w:t>s and other administrative staff</w:t>
      </w:r>
      <w:r>
        <w:t xml:space="preserve"> (3</w:t>
      </w:r>
      <w:r w:rsidR="00180239">
        <w:t>3</w:t>
      </w:r>
      <w:r>
        <w:t>.</w:t>
      </w:r>
      <w:r w:rsidR="00180239">
        <w:t>5</w:t>
      </w:r>
      <w:r>
        <w:t>%).</w:t>
      </w:r>
      <w:r w:rsidR="00BA28B3">
        <w:t xml:space="preserve"> </w:t>
      </w:r>
      <w:r w:rsidR="00180239">
        <w:t>Forty-seven</w:t>
      </w:r>
      <w:r>
        <w:t xml:space="preserve"> per</w:t>
      </w:r>
      <w:r w:rsidR="00180239">
        <w:t xml:space="preserve"> </w:t>
      </w:r>
      <w:r>
        <w:t>cent of practices reported hav</w:t>
      </w:r>
      <w:r w:rsidR="00656C60">
        <w:t>ing</w:t>
      </w:r>
      <w:r>
        <w:t xml:space="preserve"> allied health staff.</w:t>
      </w:r>
      <w:r w:rsidR="00E07779">
        <w:rPr>
          <w:rStyle w:val="FootnoteReference"/>
        </w:rPr>
        <w:footnoteReference w:id="3"/>
      </w:r>
    </w:p>
    <w:p w14:paraId="63FCE5BD" w14:textId="4F56C3F2" w:rsidR="00BB1B29" w:rsidRDefault="00BB1B29" w:rsidP="004D2FB0">
      <w:r w:rsidRPr="00BB1B29">
        <w:t xml:space="preserve">The average number of </w:t>
      </w:r>
      <w:r>
        <w:t xml:space="preserve">HCH </w:t>
      </w:r>
      <w:r w:rsidRPr="00BB1B29">
        <w:t xml:space="preserve">patients </w:t>
      </w:r>
      <w:r>
        <w:t xml:space="preserve">per practice </w:t>
      </w:r>
      <w:r w:rsidRPr="00BB1B29">
        <w:t xml:space="preserve">was relatively stable in the first </w:t>
      </w:r>
      <w:r w:rsidR="006D3C17">
        <w:t>half</w:t>
      </w:r>
      <w:r w:rsidRPr="00BB1B29">
        <w:t xml:space="preserve"> of 2018 – around 20 patients per practice – but increased </w:t>
      </w:r>
      <w:r>
        <w:t xml:space="preserve">to around </w:t>
      </w:r>
      <w:r w:rsidRPr="00BB1B29">
        <w:t>78 patients per practice</w:t>
      </w:r>
      <w:r>
        <w:t xml:space="preserve"> by August 2019</w:t>
      </w:r>
      <w:r w:rsidRPr="00BB1B29">
        <w:t>.</w:t>
      </w:r>
      <w:r w:rsidR="00BA28B3">
        <w:t xml:space="preserve"> </w:t>
      </w:r>
      <w:r w:rsidR="00E07779">
        <w:t>E</w:t>
      </w:r>
      <w:r>
        <w:t>nrolments varied greatly</w:t>
      </w:r>
      <w:r w:rsidR="00656C60" w:rsidRPr="00656C60">
        <w:t xml:space="preserve"> </w:t>
      </w:r>
      <w:r w:rsidR="00656C60">
        <w:t>per practice,</w:t>
      </w:r>
      <w:r>
        <w:t xml:space="preserve"> from </w:t>
      </w:r>
      <w:r w:rsidRPr="00BB1B29">
        <w:t>1 to 469</w:t>
      </w:r>
      <w:r>
        <w:t xml:space="preserve"> patients.</w:t>
      </w:r>
    </w:p>
    <w:p w14:paraId="22105DC6" w14:textId="3DFDF729" w:rsidR="004A328B" w:rsidRDefault="004A328B" w:rsidP="004A328B">
      <w:r>
        <w:t>Practices cited the following as the main motivations for joining the program: attraction to the HCH principles or the perception that they were already operating according to these principles</w:t>
      </w:r>
      <w:r w:rsidR="00E07779">
        <w:t>;</w:t>
      </w:r>
      <w:r>
        <w:t xml:space="preserve"> seeing HCH as the future of primary care</w:t>
      </w:r>
      <w:r w:rsidR="00E07779">
        <w:t>;</w:t>
      </w:r>
      <w:r>
        <w:t xml:space="preserve"> </w:t>
      </w:r>
      <w:r w:rsidR="00E016AE">
        <w:t xml:space="preserve">limitations </w:t>
      </w:r>
      <w:r>
        <w:t>of fee-for-service funding. Those that withdrew cited the following reasons for withdrawing: staff turnover</w:t>
      </w:r>
      <w:r w:rsidR="00E07779">
        <w:t>;</w:t>
      </w:r>
      <w:r>
        <w:t xml:space="preserve"> lack of commitment or support for the model from GPs within the practice</w:t>
      </w:r>
      <w:r w:rsidR="00E07779">
        <w:t>;</w:t>
      </w:r>
      <w:r>
        <w:t xml:space="preserve"> insufficient information about the program </w:t>
      </w:r>
      <w:r w:rsidRPr="00B201AC">
        <w:t>prior to implementation resulting in a lack of clarity over expectations</w:t>
      </w:r>
      <w:r w:rsidR="00E07779">
        <w:t>;</w:t>
      </w:r>
      <w:r>
        <w:t xml:space="preserve"> issues with the risk stratification tool (RST)</w:t>
      </w:r>
      <w:r w:rsidR="00E07779">
        <w:t>;</w:t>
      </w:r>
      <w:r>
        <w:t xml:space="preserve"> the administrative workload associated with enrolling patients and implementing the program more generally</w:t>
      </w:r>
      <w:r w:rsidR="00E07779">
        <w:t>;</w:t>
      </w:r>
      <w:r>
        <w:t xml:space="preserve"> concern that they would be worse off financially under the bundled payment</w:t>
      </w:r>
      <w:r w:rsidR="00E07779">
        <w:t>;</w:t>
      </w:r>
      <w:r>
        <w:t xml:space="preserve"> that the model was incompatible with their clientele</w:t>
      </w:r>
      <w:r w:rsidR="00E07779">
        <w:t>;</w:t>
      </w:r>
      <w:r>
        <w:t xml:space="preserve"> lack of clarity around responsibility for patients under the model. </w:t>
      </w:r>
    </w:p>
    <w:p w14:paraId="121EE851" w14:textId="4005BE1A" w:rsidR="009B30D2" w:rsidRDefault="009B30D2" w:rsidP="0059743A">
      <w:pPr>
        <w:pStyle w:val="Heading1nonumber"/>
      </w:pPr>
      <w:bookmarkStart w:id="17" w:name="_Toc32585817"/>
      <w:r>
        <w:t>Characteristics of HCH patients</w:t>
      </w:r>
      <w:bookmarkEnd w:id="17"/>
    </w:p>
    <w:p w14:paraId="2568274D" w14:textId="52FFA3B4" w:rsidR="008B5E40" w:rsidRDefault="008B5E40" w:rsidP="008B5E40">
      <w:r w:rsidRPr="00BD6534">
        <w:t>As at 31 August 2019, there were 10,161 patients enrolled in the HCH program</w:t>
      </w:r>
      <w:r w:rsidR="00BD6534">
        <w:t xml:space="preserve"> amongst the 131 participating practices</w:t>
      </w:r>
      <w:r w:rsidRPr="00BD6534">
        <w:t>. Enrolment was slow during the first half of 2018, then increased</w:t>
      </w:r>
      <w:r>
        <w:t xml:space="preserve"> through to the end of 2018. The enrolment rates slowed again, with relatively steady increases </w:t>
      </w:r>
      <w:r w:rsidRPr="00A801FD">
        <w:t>through to the end of the enrolment period (30 June 2019).</w:t>
      </w:r>
      <w:r w:rsidR="00923762" w:rsidRPr="00A801FD">
        <w:t xml:space="preserve"> </w:t>
      </w:r>
      <w:r w:rsidRPr="00A801FD">
        <w:t xml:space="preserve">Most patients enrolled have been </w:t>
      </w:r>
      <w:r w:rsidR="00656C60" w:rsidRPr="00A801FD">
        <w:t>assigned to</w:t>
      </w:r>
      <w:r w:rsidRPr="00A801FD">
        <w:t xml:space="preserve"> Tier 2</w:t>
      </w:r>
      <w:r w:rsidR="00FE0EC7" w:rsidRPr="00A801FD">
        <w:t xml:space="preserve"> </w:t>
      </w:r>
      <w:r w:rsidR="00A801FD" w:rsidRPr="00A801FD">
        <w:t>(</w:t>
      </w:r>
      <w:r w:rsidR="00A801FD">
        <w:t>50</w:t>
      </w:r>
      <w:r w:rsidR="00A801FD" w:rsidRPr="00A801FD">
        <w:t>%)</w:t>
      </w:r>
      <w:r w:rsidRPr="00A801FD">
        <w:t>, followed by Tier 3 (most complex</w:t>
      </w:r>
      <w:r w:rsidR="00A801FD" w:rsidRPr="00A801FD">
        <w:t xml:space="preserve"> – 33%</w:t>
      </w:r>
      <w:r w:rsidRPr="00A801FD">
        <w:t>) and Tier 1 (least complex</w:t>
      </w:r>
      <w:r w:rsidR="00A801FD" w:rsidRPr="00A801FD">
        <w:t xml:space="preserve"> – 17%</w:t>
      </w:r>
      <w:r w:rsidRPr="00A801FD">
        <w:t>).</w:t>
      </w:r>
      <w:r w:rsidRPr="008B5E40">
        <w:t xml:space="preserve"> </w:t>
      </w:r>
    </w:p>
    <w:p w14:paraId="50ECAD08" w14:textId="18F722F3" w:rsidR="001B3D59" w:rsidRDefault="00F86BC3" w:rsidP="000F2ED2">
      <w:r>
        <w:lastRenderedPageBreak/>
        <w:t>Patients joining HCH cited various reasons for doing so: curiosity about the program</w:t>
      </w:r>
      <w:r w:rsidR="00656C60">
        <w:t>;</w:t>
      </w:r>
      <w:r>
        <w:t xml:space="preserve"> trust in</w:t>
      </w:r>
      <w:r w:rsidR="001B3D59" w:rsidRPr="001B3D59">
        <w:t xml:space="preserve"> their doctor who recommended </w:t>
      </w:r>
      <w:r>
        <w:t xml:space="preserve">it; </w:t>
      </w:r>
      <w:r w:rsidR="001B3D59" w:rsidRPr="001B3D59">
        <w:t>easier access</w:t>
      </w:r>
      <w:r w:rsidR="00656C60">
        <w:rPr>
          <w:rStyle w:val="FootnoteReference"/>
        </w:rPr>
        <w:footnoteReference w:id="4"/>
      </w:r>
      <w:r>
        <w:t>; m</w:t>
      </w:r>
      <w:r w:rsidR="008D38E8" w:rsidRPr="008D38E8">
        <w:t>ore personalised care</w:t>
      </w:r>
      <w:r w:rsidR="008D38E8">
        <w:t xml:space="preserve"> and greater involvement in their own care</w:t>
      </w:r>
      <w:r>
        <w:t xml:space="preserve"> and </w:t>
      </w:r>
      <w:r w:rsidRPr="00F86BC3">
        <w:t>self-management</w:t>
      </w:r>
      <w:r>
        <w:t>.</w:t>
      </w:r>
    </w:p>
    <w:p w14:paraId="14B8F0D6" w14:textId="31B57BF3" w:rsidR="001B3D59" w:rsidRDefault="00A44F54" w:rsidP="001B3D59">
      <w:r>
        <w:t>As at 31 August 2019</w:t>
      </w:r>
      <w:r w:rsidR="001B3D59">
        <w:t xml:space="preserve">, </w:t>
      </w:r>
      <w:r w:rsidR="001B3D59" w:rsidRPr="001B3D59">
        <w:t>1,</w:t>
      </w:r>
      <w:r>
        <w:t>217</w:t>
      </w:r>
      <w:r w:rsidR="001B3D59">
        <w:t xml:space="preserve"> patients had withdrawn from the program</w:t>
      </w:r>
      <w:r w:rsidR="00BE511E">
        <w:t xml:space="preserve"> (11% of the total enrolments)</w:t>
      </w:r>
      <w:r w:rsidR="001B3D59">
        <w:t xml:space="preserve">. </w:t>
      </w:r>
      <w:r w:rsidR="001B3D59" w:rsidRPr="001B3D59">
        <w:t xml:space="preserve">The main reasons </w:t>
      </w:r>
      <w:r>
        <w:t>were</w:t>
      </w:r>
      <w:r w:rsidR="001B3D59">
        <w:t xml:space="preserve"> that</w:t>
      </w:r>
      <w:r w:rsidR="001B3D59" w:rsidRPr="001B3D59">
        <w:t xml:space="preserve"> the</w:t>
      </w:r>
      <w:r w:rsidR="00C27905">
        <w:t xml:space="preserve"> patient had opted out (32%) or</w:t>
      </w:r>
      <w:r w:rsidR="001B3D59" w:rsidRPr="001B3D59">
        <w:t xml:space="preserve"> </w:t>
      </w:r>
      <w:r w:rsidR="00C27905">
        <w:t xml:space="preserve">the </w:t>
      </w:r>
      <w:r w:rsidR="001B3D59" w:rsidRPr="001B3D59">
        <w:t>practice had withdrawn from the program (</w:t>
      </w:r>
      <w:r w:rsidR="00C27905">
        <w:t>31</w:t>
      </w:r>
      <w:r w:rsidR="001B3D59">
        <w:t>%).</w:t>
      </w:r>
    </w:p>
    <w:p w14:paraId="2A73F9D4" w14:textId="5DD5EC4E" w:rsidR="00C01DB3" w:rsidRDefault="00C01DB3" w:rsidP="001B3D59">
      <w:r>
        <w:t xml:space="preserve">Both the patient survey and interviews with patients </w:t>
      </w:r>
      <w:r w:rsidR="00671331">
        <w:t xml:space="preserve">revealed </w:t>
      </w:r>
      <w:r w:rsidR="00656C60">
        <w:t>long-standing</w:t>
      </w:r>
      <w:r>
        <w:t xml:space="preserve"> relationships </w:t>
      </w:r>
      <w:r w:rsidR="00671331">
        <w:t xml:space="preserve">between patients and </w:t>
      </w:r>
      <w:r>
        <w:t>their GP and practice</w:t>
      </w:r>
      <w:r w:rsidR="00671331">
        <w:t xml:space="preserve">. The patient survey </w:t>
      </w:r>
      <w:r w:rsidR="002758F5">
        <w:t xml:space="preserve">found </w:t>
      </w:r>
      <w:r w:rsidR="00671331">
        <w:t xml:space="preserve">that </w:t>
      </w:r>
      <w:r>
        <w:t>two-thirds had attended the practice for more than five years</w:t>
      </w:r>
      <w:r w:rsidR="00671331">
        <w:t>, and in interviews, patients reported relationships that spanned up to 30 years.</w:t>
      </w:r>
      <w:r w:rsidR="00B776AE">
        <w:t xml:space="preserve"> </w:t>
      </w:r>
      <w:r w:rsidR="008D24D6">
        <w:t>Patients initially attended their practice due to convenience or on the recommendation of someone that they knew. They stayed due to friendly staff</w:t>
      </w:r>
      <w:r w:rsidR="00656C60">
        <w:t>;</w:t>
      </w:r>
      <w:r w:rsidR="008D24D6">
        <w:t xml:space="preserve"> services offered</w:t>
      </w:r>
      <w:r w:rsidR="00656C60">
        <w:t>;</w:t>
      </w:r>
      <w:r w:rsidR="008D24D6">
        <w:t xml:space="preserve"> proximity to specialists or pharmac</w:t>
      </w:r>
      <w:r w:rsidR="00656C60">
        <w:t>ists;</w:t>
      </w:r>
      <w:r w:rsidR="008D24D6">
        <w:t xml:space="preserve"> bulk billing</w:t>
      </w:r>
      <w:r w:rsidR="00656C60">
        <w:t>;</w:t>
      </w:r>
      <w:r w:rsidR="008D24D6">
        <w:t xml:space="preserve"> office </w:t>
      </w:r>
      <w:r w:rsidR="00BA28B3">
        <w:t>set-up</w:t>
      </w:r>
      <w:r w:rsidR="00656C60">
        <w:t>;</w:t>
      </w:r>
      <w:r w:rsidR="008D24D6">
        <w:t xml:space="preserve"> multiple GPs with a wide range of skills</w:t>
      </w:r>
      <w:r w:rsidR="00656C60">
        <w:t>;</w:t>
      </w:r>
      <w:r w:rsidR="008D24D6">
        <w:t xml:space="preserve"> openness to trying new treatment ideas</w:t>
      </w:r>
      <w:r w:rsidR="00656C60">
        <w:t>;</w:t>
      </w:r>
      <w:r w:rsidR="008D24D6">
        <w:t xml:space="preserve"> and access to nurses via the phone. </w:t>
      </w:r>
      <w:r w:rsidR="00C136E0">
        <w:t xml:space="preserve">In their GP they valued </w:t>
      </w:r>
      <w:r w:rsidR="008D24D6">
        <w:t>communication</w:t>
      </w:r>
      <w:r w:rsidR="00656C60">
        <w:t>;</w:t>
      </w:r>
      <w:r w:rsidR="008D24D6">
        <w:t xml:space="preserve"> empathy</w:t>
      </w:r>
      <w:r w:rsidR="00656C60">
        <w:t>;</w:t>
      </w:r>
      <w:r w:rsidR="008D24D6">
        <w:t xml:space="preserve"> non-judgment</w:t>
      </w:r>
      <w:r w:rsidR="00656C60">
        <w:t>;</w:t>
      </w:r>
      <w:r w:rsidR="008D24D6">
        <w:t xml:space="preserve"> generosity of time</w:t>
      </w:r>
      <w:r w:rsidR="00656C60">
        <w:t>;</w:t>
      </w:r>
      <w:r w:rsidR="008D24D6">
        <w:t xml:space="preserve"> thoroughness</w:t>
      </w:r>
      <w:r w:rsidR="00656C60">
        <w:t>;</w:t>
      </w:r>
      <w:r w:rsidR="008D24D6">
        <w:t xml:space="preserve"> continuity</w:t>
      </w:r>
      <w:r w:rsidR="00656C60">
        <w:t>;</w:t>
      </w:r>
      <w:r w:rsidR="008D24D6">
        <w:t xml:space="preserve"> and expertise.</w:t>
      </w:r>
    </w:p>
    <w:p w14:paraId="1579A773" w14:textId="0D5F6216" w:rsidR="00923762" w:rsidRDefault="00923762" w:rsidP="00923762">
      <w:pPr>
        <w:rPr>
          <w:lang w:eastAsia="en-AU"/>
        </w:rPr>
      </w:pPr>
      <w:r w:rsidRPr="00FD7588">
        <w:rPr>
          <w:lang w:eastAsia="en-AU"/>
        </w:rPr>
        <w:t xml:space="preserve">HCH patients </w:t>
      </w:r>
      <w:r w:rsidR="00180239">
        <w:rPr>
          <w:lang w:eastAsia="en-AU"/>
        </w:rPr>
        <w:t>a</w:t>
      </w:r>
      <w:r w:rsidRPr="00FD7588">
        <w:rPr>
          <w:lang w:eastAsia="en-AU"/>
        </w:rPr>
        <w:t>re older tha</w:t>
      </w:r>
      <w:r w:rsidR="00180239">
        <w:rPr>
          <w:lang w:eastAsia="en-AU"/>
        </w:rPr>
        <w:t>n</w:t>
      </w:r>
      <w:r w:rsidRPr="00FD7588">
        <w:rPr>
          <w:lang w:eastAsia="en-AU"/>
        </w:rPr>
        <w:t xml:space="preserve"> the overall patient population, but around 50% </w:t>
      </w:r>
      <w:r w:rsidR="00180239">
        <w:rPr>
          <w:lang w:eastAsia="en-AU"/>
        </w:rPr>
        <w:t>a</w:t>
      </w:r>
      <w:r w:rsidRPr="00FD7588">
        <w:rPr>
          <w:lang w:eastAsia="en-AU"/>
        </w:rPr>
        <w:t>re aged less than 65 years. Most patients report</w:t>
      </w:r>
      <w:r w:rsidR="00180239">
        <w:rPr>
          <w:lang w:eastAsia="en-AU"/>
        </w:rPr>
        <w:t>ed</w:t>
      </w:r>
      <w:r w:rsidRPr="00FD7588">
        <w:rPr>
          <w:lang w:eastAsia="en-AU"/>
        </w:rPr>
        <w:t xml:space="preserve"> multiple chronic conditions</w:t>
      </w:r>
      <w:r w:rsidR="00656C60">
        <w:rPr>
          <w:lang w:eastAsia="en-AU"/>
        </w:rPr>
        <w:t>,</w:t>
      </w:r>
      <w:r w:rsidRPr="00FD7588">
        <w:rPr>
          <w:lang w:eastAsia="en-AU"/>
        </w:rPr>
        <w:t xml:space="preserve"> with close to </w:t>
      </w:r>
      <w:r w:rsidRPr="00FD7588">
        <w:t>50% report</w:t>
      </w:r>
      <w:r>
        <w:t>ing</w:t>
      </w:r>
      <w:r w:rsidRPr="00FD7588">
        <w:t xml:space="preserve"> four or more </w:t>
      </w:r>
      <w:r>
        <w:t xml:space="preserve">chronic </w:t>
      </w:r>
      <w:r w:rsidRPr="00FD7588">
        <w:t>conditions.</w:t>
      </w:r>
      <w:r w:rsidRPr="00FD7588">
        <w:rPr>
          <w:lang w:eastAsia="en-AU"/>
        </w:rPr>
        <w:t xml:space="preserve"> Across several measures </w:t>
      </w:r>
      <w:r>
        <w:rPr>
          <w:lang w:eastAsia="en-AU"/>
        </w:rPr>
        <w:t xml:space="preserve">HCH patients experience various health challenges which increase </w:t>
      </w:r>
      <w:r w:rsidR="00656C60">
        <w:rPr>
          <w:lang w:eastAsia="en-AU"/>
        </w:rPr>
        <w:t>with</w:t>
      </w:r>
      <w:r>
        <w:rPr>
          <w:lang w:eastAsia="en-AU"/>
        </w:rPr>
        <w:t xml:space="preserve"> </w:t>
      </w:r>
      <w:r w:rsidR="00180239">
        <w:rPr>
          <w:lang w:eastAsia="en-AU"/>
        </w:rPr>
        <w:t>the</w:t>
      </w:r>
      <w:r>
        <w:rPr>
          <w:lang w:eastAsia="en-AU"/>
        </w:rPr>
        <w:t xml:space="preserve"> tier</w:t>
      </w:r>
      <w:r w:rsidR="00180239">
        <w:rPr>
          <w:lang w:eastAsia="en-AU"/>
        </w:rPr>
        <w:t xml:space="preserve"> that they are assigned to</w:t>
      </w:r>
      <w:r>
        <w:rPr>
          <w:lang w:eastAsia="en-AU"/>
        </w:rPr>
        <w:t xml:space="preserve">. </w:t>
      </w:r>
    </w:p>
    <w:p w14:paraId="36F05179" w14:textId="3EC2D321" w:rsidR="00671331" w:rsidRDefault="00671331" w:rsidP="001B3D59">
      <w:pPr>
        <w:rPr>
          <w:lang w:eastAsia="en-AU"/>
        </w:rPr>
      </w:pPr>
      <w:r>
        <w:t xml:space="preserve">Practice extracts revealed that patients had seven consultations with their GP on average over the most recent six months and 13 over the most recent 12 months. </w:t>
      </w:r>
      <w:r w:rsidR="00923762">
        <w:t>This aligned reasonably with what patients reported when surveyed.</w:t>
      </w:r>
    </w:p>
    <w:p w14:paraId="2E562180" w14:textId="6170DABE" w:rsidR="00C136E0" w:rsidRDefault="00C136E0" w:rsidP="00C136E0">
      <w:r>
        <w:rPr>
          <w:lang w:eastAsia="en-AU"/>
        </w:rPr>
        <w:t xml:space="preserve">Patients reported that </w:t>
      </w:r>
      <w:r>
        <w:t xml:space="preserve">for urgent care, they generally </w:t>
      </w:r>
      <w:r w:rsidR="00BF5AA7">
        <w:t xml:space="preserve">got </w:t>
      </w:r>
      <w:r>
        <w:t xml:space="preserve">an appointment when they needed it </w:t>
      </w:r>
      <w:r w:rsidR="00A35466">
        <w:t>(</w:t>
      </w:r>
      <w:r>
        <w:t>84% got an appointment ‘most of the time’ or ‘always’</w:t>
      </w:r>
      <w:r w:rsidR="00A35466">
        <w:t>)</w:t>
      </w:r>
      <w:r>
        <w:t>. This was also the case with appointment for routine care</w:t>
      </w:r>
      <w:r w:rsidR="00A35466">
        <w:t xml:space="preserve"> (</w:t>
      </w:r>
      <w:r>
        <w:t>85% reported being able to get an appointment when they needed it ‘most of the time’ or ‘always’)</w:t>
      </w:r>
      <w:r w:rsidR="00A35466">
        <w:t>.</w:t>
      </w:r>
      <w:r w:rsidR="004B3946">
        <w:t xml:space="preserve"> </w:t>
      </w:r>
      <w:r w:rsidR="00A35466">
        <w:t>Most go</w:t>
      </w:r>
      <w:r>
        <w:t>t an appointment</w:t>
      </w:r>
      <w:r w:rsidR="004B3946">
        <w:t xml:space="preserve"> </w:t>
      </w:r>
      <w:r w:rsidR="00923762">
        <w:t xml:space="preserve">with their personal </w:t>
      </w:r>
      <w:r w:rsidR="00A35466">
        <w:t>G</w:t>
      </w:r>
      <w:r w:rsidR="00923762">
        <w:t>P</w:t>
      </w:r>
      <w:r w:rsidR="00A35466">
        <w:t xml:space="preserve"> (84% reported being able to get an appointment with their GP ‘most of the time’ or ‘always’)</w:t>
      </w:r>
      <w:r w:rsidR="004B3946">
        <w:t>.</w:t>
      </w:r>
    </w:p>
    <w:p w14:paraId="3C4B07ED" w14:textId="1479F870" w:rsidR="00BF5AA7" w:rsidRDefault="00BF5AA7" w:rsidP="00C136E0">
      <w:r>
        <w:t xml:space="preserve">Patients reported that </w:t>
      </w:r>
      <w:r w:rsidR="00923762">
        <w:t xml:space="preserve">features of care that </w:t>
      </w:r>
      <w:r w:rsidR="00923762" w:rsidRPr="007B6DF7">
        <w:t>occurred ‘always’ or ‘most of the time’</w:t>
      </w:r>
      <w:r w:rsidR="00ED55C3">
        <w:t xml:space="preserve"> at the practice where they were enrolled</w:t>
      </w:r>
      <w:r w:rsidR="00923762">
        <w:t xml:space="preserve"> </w:t>
      </w:r>
      <w:r w:rsidR="00923762" w:rsidRPr="00ED55C3">
        <w:t>included: that the</w:t>
      </w:r>
      <w:r w:rsidR="00771D6B" w:rsidRPr="00ED55C3">
        <w:t xml:space="preserve">ir </w:t>
      </w:r>
      <w:r w:rsidRPr="00ED55C3">
        <w:t>values, beliefs and traditions were thought about when their doctor or nurse recommended treatments</w:t>
      </w:r>
      <w:r w:rsidR="00A35466" w:rsidRPr="00ED55C3">
        <w:t xml:space="preserve">; </w:t>
      </w:r>
      <w:r w:rsidRPr="00ED55C3">
        <w:t>that they were shown how what they did to care for themselves influenced their condition</w:t>
      </w:r>
      <w:r w:rsidR="00A35466" w:rsidRPr="00ED55C3">
        <w:t>;</w:t>
      </w:r>
      <w:r w:rsidRPr="00ED55C3">
        <w:t xml:space="preserve"> and that their care was well-organised.</w:t>
      </w:r>
      <w:r w:rsidR="00BA28B3" w:rsidRPr="00ED55C3">
        <w:t xml:space="preserve"> </w:t>
      </w:r>
      <w:r w:rsidR="00771D6B" w:rsidRPr="00ED55C3">
        <w:t xml:space="preserve">Features they reported were </w:t>
      </w:r>
      <w:r w:rsidRPr="00ED55C3">
        <w:t>less common</w:t>
      </w:r>
      <w:r w:rsidR="00771D6B" w:rsidRPr="00ED55C3">
        <w:t xml:space="preserve"> </w:t>
      </w:r>
      <w:r w:rsidRPr="00ED55C3">
        <w:t>were</w:t>
      </w:r>
      <w:r w:rsidR="00A35466" w:rsidRPr="00ED55C3">
        <w:t xml:space="preserve"> being</w:t>
      </w:r>
      <w:r w:rsidRPr="00ED55C3">
        <w:t xml:space="preserve"> given a written list of things that they should do to improve</w:t>
      </w:r>
      <w:r>
        <w:t xml:space="preserve"> their health</w:t>
      </w:r>
      <w:r w:rsidR="00A35466">
        <w:t>;</w:t>
      </w:r>
      <w:r>
        <w:t xml:space="preserve"> </w:t>
      </w:r>
      <w:r w:rsidR="00A35466">
        <w:t xml:space="preserve">being </w:t>
      </w:r>
      <w:r>
        <w:t>contacted after a visit to see how things were going</w:t>
      </w:r>
      <w:r w:rsidR="00A35466">
        <w:t>;</w:t>
      </w:r>
      <w:r>
        <w:t xml:space="preserve"> </w:t>
      </w:r>
      <w:r w:rsidR="00A35466">
        <w:t xml:space="preserve">being </w:t>
      </w:r>
      <w:r>
        <w:t>encouraged to attend programs in the community that could help them</w:t>
      </w:r>
      <w:r w:rsidR="00A35466">
        <w:t>;</w:t>
      </w:r>
      <w:r>
        <w:t xml:space="preserve"> or </w:t>
      </w:r>
      <w:r w:rsidR="00A35466">
        <w:t xml:space="preserve">being </w:t>
      </w:r>
      <w:r>
        <w:t>asked how their visits with other doctors were going.</w:t>
      </w:r>
    </w:p>
    <w:p w14:paraId="18F3A933" w14:textId="087D2289" w:rsidR="00923762" w:rsidRDefault="00771D6B" w:rsidP="00C136E0">
      <w:r w:rsidRPr="00771D6B">
        <w:t xml:space="preserve">Levels of patient activation were assessed using a standard instrument. </w:t>
      </w:r>
      <w:r w:rsidR="00923762" w:rsidRPr="00771D6B">
        <w:t xml:space="preserve">Across the HCH patient population, 34% of patients were allocated to </w:t>
      </w:r>
      <w:r w:rsidRPr="00771D6B">
        <w:t xml:space="preserve">the highest level of activation </w:t>
      </w:r>
      <w:r w:rsidRPr="00ED55C3">
        <w:t>(</w:t>
      </w:r>
      <w:r w:rsidR="00923762" w:rsidRPr="00ED55C3">
        <w:t>‘Maintaining behaviours and pushing further’</w:t>
      </w:r>
      <w:r w:rsidRPr="00ED55C3">
        <w:t>)</w:t>
      </w:r>
      <w:r w:rsidR="00A35466" w:rsidRPr="00ED55C3">
        <w:t xml:space="preserve">; </w:t>
      </w:r>
      <w:r w:rsidR="00923762" w:rsidRPr="00ED55C3">
        <w:t xml:space="preserve">41% to </w:t>
      </w:r>
      <w:r w:rsidRPr="00ED55C3">
        <w:t>the next highest level (</w:t>
      </w:r>
      <w:r w:rsidR="00923762" w:rsidRPr="00ED55C3">
        <w:t>‘Taking action’</w:t>
      </w:r>
      <w:r w:rsidR="00A35466" w:rsidRPr="00ED55C3">
        <w:t>);</w:t>
      </w:r>
      <w:r w:rsidR="00923762" w:rsidRPr="00ED55C3">
        <w:t xml:space="preserve"> 19% to </w:t>
      </w:r>
      <w:r w:rsidRPr="00ED55C3">
        <w:t>the third level (</w:t>
      </w:r>
      <w:r w:rsidR="00923762" w:rsidRPr="00ED55C3">
        <w:t>‘Becoming aware but still struggling’</w:t>
      </w:r>
      <w:r w:rsidRPr="00ED55C3">
        <w:t>)</w:t>
      </w:r>
      <w:r w:rsidR="00A35466" w:rsidRPr="00ED55C3">
        <w:t>;</w:t>
      </w:r>
      <w:r w:rsidR="00923762" w:rsidRPr="00ED55C3">
        <w:t xml:space="preserve"> and 6% to </w:t>
      </w:r>
      <w:r w:rsidRPr="00ED55C3">
        <w:t>the lowest level (</w:t>
      </w:r>
      <w:r w:rsidR="00923762" w:rsidRPr="00ED55C3">
        <w:t>‘Disengaged and overwhelmed’</w:t>
      </w:r>
      <w:r w:rsidRPr="00ED55C3">
        <w:t>)</w:t>
      </w:r>
      <w:r w:rsidR="00923762" w:rsidRPr="00ED55C3">
        <w:t xml:space="preserve">. Higher proportions of Tier 3 patients </w:t>
      </w:r>
      <w:r w:rsidR="00A35466" w:rsidRPr="00ED55C3">
        <w:t>were</w:t>
      </w:r>
      <w:r w:rsidR="00923762" w:rsidRPr="00ED55C3">
        <w:t xml:space="preserve"> in the ‘Disengaged and overwhelmed’ category.</w:t>
      </w:r>
      <w:r w:rsidRPr="00ED55C3">
        <w:t xml:space="preserve"> </w:t>
      </w:r>
      <w:r w:rsidR="00923762" w:rsidRPr="00ED55C3">
        <w:t>The</w:t>
      </w:r>
      <w:r w:rsidRPr="00ED55C3">
        <w:t xml:space="preserve"> responses </w:t>
      </w:r>
      <w:r w:rsidR="00923762" w:rsidRPr="00ED55C3">
        <w:t>suggest relatively high levels of</w:t>
      </w:r>
      <w:r w:rsidR="00923762" w:rsidRPr="00771D6B">
        <w:t xml:space="preserve"> </w:t>
      </w:r>
      <w:r w:rsidR="00923762" w:rsidRPr="00771D6B">
        <w:lastRenderedPageBreak/>
        <w:t xml:space="preserve">activation amongst the HCH population, although there are opportunities for increased levels to be achieved </w:t>
      </w:r>
      <w:r w:rsidR="00A35466">
        <w:t>for</w:t>
      </w:r>
      <w:r w:rsidR="00923762" w:rsidRPr="00771D6B">
        <w:t xml:space="preserve"> some patients.</w:t>
      </w:r>
    </w:p>
    <w:p w14:paraId="3276E6EA" w14:textId="779B0B5D" w:rsidR="008B5E40" w:rsidRDefault="008B5E40" w:rsidP="0059743A">
      <w:pPr>
        <w:pStyle w:val="Heading1nonumber"/>
      </w:pPr>
      <w:bookmarkStart w:id="18" w:name="_Toc32585818"/>
      <w:r>
        <w:t>Practice experience of implement</w:t>
      </w:r>
      <w:r w:rsidR="00CC6EA9">
        <w:t>ation</w:t>
      </w:r>
      <w:bookmarkEnd w:id="18"/>
    </w:p>
    <w:p w14:paraId="49665FEB" w14:textId="6D2BDC98" w:rsidR="00227AF5" w:rsidRDefault="00B97D9A" w:rsidP="0059743A">
      <w:pPr>
        <w:pStyle w:val="Heading2"/>
      </w:pPr>
      <w:bookmarkStart w:id="19" w:name="_Toc32585819"/>
      <w:r>
        <w:t>Setting up for HCH</w:t>
      </w:r>
      <w:bookmarkEnd w:id="19"/>
    </w:p>
    <w:p w14:paraId="1869D93A" w14:textId="4F0161AD" w:rsidR="000A7689" w:rsidRDefault="000A7689" w:rsidP="00B21A2B">
      <w:pPr>
        <w:rPr>
          <w:szCs w:val="20"/>
        </w:rPr>
      </w:pPr>
      <w:r w:rsidRPr="005D3994">
        <w:rPr>
          <w:szCs w:val="20"/>
        </w:rPr>
        <w:t xml:space="preserve">Practices and PHN practice facilitators felt the </w:t>
      </w:r>
      <w:r w:rsidR="00A51F97" w:rsidRPr="005D3994">
        <w:rPr>
          <w:szCs w:val="20"/>
        </w:rPr>
        <w:t>length</w:t>
      </w:r>
      <w:r w:rsidRPr="005D3994">
        <w:rPr>
          <w:szCs w:val="20"/>
        </w:rPr>
        <w:t xml:space="preserve"> initially set out for the trial </w:t>
      </w:r>
      <w:r w:rsidR="00A51F97" w:rsidRPr="005D3994">
        <w:rPr>
          <w:szCs w:val="20"/>
        </w:rPr>
        <w:t>(two years) was</w:t>
      </w:r>
      <w:r w:rsidRPr="005D3994">
        <w:rPr>
          <w:szCs w:val="20"/>
        </w:rPr>
        <w:t xml:space="preserve"> </w:t>
      </w:r>
      <w:r w:rsidR="00A51F97" w:rsidRPr="005D3994">
        <w:rPr>
          <w:szCs w:val="20"/>
        </w:rPr>
        <w:t>not long enough</w:t>
      </w:r>
      <w:r w:rsidRPr="005D3994">
        <w:rPr>
          <w:szCs w:val="20"/>
        </w:rPr>
        <w:t xml:space="preserve"> given the level of change required.</w:t>
      </w:r>
      <w:r w:rsidR="00A51F97" w:rsidRPr="005D3994">
        <w:rPr>
          <w:szCs w:val="20"/>
        </w:rPr>
        <w:t xml:space="preserve"> This was subsequently addressed, with both the time frame for the enrolment as well as the overall program</w:t>
      </w:r>
      <w:r w:rsidR="00A51F97">
        <w:rPr>
          <w:szCs w:val="20"/>
        </w:rPr>
        <w:t xml:space="preserve"> extended</w:t>
      </w:r>
      <w:r w:rsidR="00ED55C3">
        <w:rPr>
          <w:szCs w:val="20"/>
        </w:rPr>
        <w:t xml:space="preserve"> by the Australian government</w:t>
      </w:r>
      <w:r w:rsidR="00A51F97">
        <w:rPr>
          <w:szCs w:val="20"/>
        </w:rPr>
        <w:t xml:space="preserve"> (seven and 1</w:t>
      </w:r>
      <w:r w:rsidR="005D3994">
        <w:rPr>
          <w:szCs w:val="20"/>
        </w:rPr>
        <w:t>9</w:t>
      </w:r>
      <w:r w:rsidR="00A51F97">
        <w:rPr>
          <w:szCs w:val="20"/>
        </w:rPr>
        <w:t xml:space="preserve"> months respectively).</w:t>
      </w:r>
    </w:p>
    <w:p w14:paraId="739AFE09" w14:textId="28A84CD8" w:rsidR="0013796F" w:rsidRDefault="0013796F" w:rsidP="00B21A2B">
      <w:r>
        <w:t xml:space="preserve">PHN practice facilitators </w:t>
      </w:r>
      <w:r w:rsidRPr="0013796F">
        <w:t>distinguished between infrastructure</w:t>
      </w:r>
      <w:r w:rsidR="009905E0">
        <w:t xml:space="preserve"> changes</w:t>
      </w:r>
      <w:r w:rsidRPr="0013796F">
        <w:t xml:space="preserve"> and </w:t>
      </w:r>
      <w:r w:rsidR="00ED55C3">
        <w:t>conceptual</w:t>
      </w:r>
      <w:r w:rsidRPr="0013796F">
        <w:t xml:space="preserve"> changes in the way practices operate and deliver care. The former requires training and set-up of key processes</w:t>
      </w:r>
      <w:r>
        <w:t xml:space="preserve"> (such as installing software and cleaning up data) and the latter includes changes to culture, mindset and buy-in from key staff. While additional resources may have helped with changes to infrastructure, the conceptual changes could not be </w:t>
      </w:r>
      <w:r w:rsidR="005D3994">
        <w:t>achieved any faster</w:t>
      </w:r>
      <w:r>
        <w:t>.</w:t>
      </w:r>
      <w:r w:rsidR="009905E0">
        <w:t xml:space="preserve"> </w:t>
      </w:r>
      <w:r w:rsidR="001B1095">
        <w:t xml:space="preserve">Certainly, the magnitude of change required for practices to transform to HCH was large. PHN practice facilitators thought that in the early stages of HCH implementation, practices did not appreciate this, with some thinking that the </w:t>
      </w:r>
      <w:r w:rsidR="005D3994">
        <w:t>only</w:t>
      </w:r>
      <w:r w:rsidR="001B1095">
        <w:t xml:space="preserve"> change</w:t>
      </w:r>
      <w:r w:rsidR="00A35466">
        <w:t xml:space="preserve"> with HCH would be th</w:t>
      </w:r>
      <w:r w:rsidR="001B1095">
        <w:t>at they would be paid differently.</w:t>
      </w:r>
    </w:p>
    <w:p w14:paraId="798783E2" w14:textId="5B98B9B5" w:rsidR="007C4525" w:rsidRDefault="007C4525" w:rsidP="00B21A2B">
      <w:pPr>
        <w:rPr>
          <w:szCs w:val="20"/>
        </w:rPr>
      </w:pPr>
      <w:r>
        <w:rPr>
          <w:szCs w:val="20"/>
        </w:rPr>
        <w:t>Some practices stated that they found it difficult to run a busy practice while simultaneously integrating the HCH model. The pressure to adhere to the program timeframes was difficult for practices, especially for enrolling patients. Because of the additional time it took practices to establish their processes, many reported that they had little time left before the enrolment deadline.</w:t>
      </w:r>
    </w:p>
    <w:p w14:paraId="7AEBCDA7" w14:textId="3699035E" w:rsidR="007C4525" w:rsidRDefault="00154B46" w:rsidP="00B21A2B">
      <w:pPr>
        <w:rPr>
          <w:szCs w:val="20"/>
        </w:rPr>
      </w:pPr>
      <w:r>
        <w:rPr>
          <w:szCs w:val="20"/>
        </w:rPr>
        <w:t>Some practices reported high costs associated with setting up for HCH; much higher than the value of the incentive grant. The costs were associated with time for practice staff to train, cleaning data and upgrading IT.</w:t>
      </w:r>
      <w:r w:rsidR="001B1095">
        <w:rPr>
          <w:szCs w:val="20"/>
        </w:rPr>
        <w:t xml:space="preserve"> </w:t>
      </w:r>
      <w:r w:rsidR="00631522">
        <w:rPr>
          <w:szCs w:val="20"/>
        </w:rPr>
        <w:t xml:space="preserve">Some didn’t think that the investment was worthwhile given that it only covered a small component of the practice’s work, due to the small number of patients enrolled and/ or that only a fraction of the practice’s GPs were participating. </w:t>
      </w:r>
      <w:r w:rsidR="00631522">
        <w:t>For many practices</w:t>
      </w:r>
      <w:r w:rsidR="005D3994">
        <w:t xml:space="preserve">, </w:t>
      </w:r>
      <w:r w:rsidR="00631522">
        <w:t>the program involved running dual systems – one for HCH patients and one for other patients – which created tensions</w:t>
      </w:r>
      <w:r w:rsidR="00ED55C3">
        <w:t xml:space="preserve"> with the practice</w:t>
      </w:r>
      <w:r w:rsidR="00631522">
        <w:t>.</w:t>
      </w:r>
      <w:r w:rsidR="00631522">
        <w:rPr>
          <w:szCs w:val="20"/>
        </w:rPr>
        <w:t xml:space="preserve"> </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926"/>
      </w:tblGrid>
      <w:tr w:rsidR="00135A71" w:rsidRPr="00E52C83" w14:paraId="10204164" w14:textId="77777777" w:rsidTr="00556643">
        <w:tc>
          <w:tcPr>
            <w:tcW w:w="8926" w:type="dxa"/>
            <w:shd w:val="clear" w:color="auto" w:fill="F2F2F2" w:themeFill="background1" w:themeFillShade="F2"/>
          </w:tcPr>
          <w:p w14:paraId="79D213BC" w14:textId="6C5A3D0D" w:rsidR="00135A71" w:rsidRPr="00E52C83" w:rsidRDefault="00135A71" w:rsidP="007065A3">
            <w:pPr>
              <w:pStyle w:val="BodyText"/>
              <w:spacing w:after="120" w:line="276" w:lineRule="auto"/>
              <w:ind w:left="102" w:right="238"/>
              <w:jc w:val="center"/>
              <w:rPr>
                <w:b/>
                <w:spacing w:val="-1"/>
                <w:sz w:val="18"/>
                <w:szCs w:val="18"/>
              </w:rPr>
            </w:pPr>
            <w:r w:rsidRPr="00E52C83">
              <w:rPr>
                <w:b/>
                <w:spacing w:val="-1"/>
                <w:sz w:val="18"/>
                <w:szCs w:val="18"/>
              </w:rPr>
              <w:t xml:space="preserve">Lessons – </w:t>
            </w:r>
            <w:r w:rsidR="009908B4" w:rsidRPr="00E52C83">
              <w:rPr>
                <w:b/>
                <w:spacing w:val="-1"/>
                <w:sz w:val="18"/>
                <w:szCs w:val="18"/>
              </w:rPr>
              <w:t>P</w:t>
            </w:r>
            <w:r w:rsidRPr="00E52C83">
              <w:rPr>
                <w:b/>
                <w:spacing w:val="-1"/>
                <w:sz w:val="18"/>
                <w:szCs w:val="18"/>
              </w:rPr>
              <w:t xml:space="preserve">ractice </w:t>
            </w:r>
            <w:r w:rsidR="00BA28B3" w:rsidRPr="00E52C83">
              <w:rPr>
                <w:b/>
                <w:spacing w:val="-1"/>
                <w:sz w:val="18"/>
                <w:szCs w:val="18"/>
              </w:rPr>
              <w:t>set-up</w:t>
            </w:r>
          </w:p>
          <w:p w14:paraId="3CD9F1DB" w14:textId="7B3240A3" w:rsidR="00135A71" w:rsidRPr="00E52C83" w:rsidRDefault="00135A71" w:rsidP="007065A3">
            <w:pPr>
              <w:pStyle w:val="BodyText"/>
              <w:numPr>
                <w:ilvl w:val="0"/>
                <w:numId w:val="7"/>
              </w:numPr>
              <w:tabs>
                <w:tab w:val="left" w:pos="674"/>
              </w:tabs>
              <w:spacing w:after="120" w:line="276" w:lineRule="auto"/>
              <w:rPr>
                <w:sz w:val="18"/>
                <w:szCs w:val="18"/>
              </w:rPr>
            </w:pPr>
            <w:bookmarkStart w:id="20" w:name="_Hlk22305152"/>
            <w:r w:rsidRPr="00E52C83">
              <w:rPr>
                <w:spacing w:val="-1"/>
                <w:sz w:val="18"/>
                <w:szCs w:val="18"/>
              </w:rPr>
              <w:t>For programs such as HCH, allow</w:t>
            </w:r>
            <w:r w:rsidRPr="00E52C83">
              <w:rPr>
                <w:spacing w:val="-6"/>
                <w:sz w:val="18"/>
                <w:szCs w:val="18"/>
              </w:rPr>
              <w:t xml:space="preserve"> </w:t>
            </w:r>
            <w:r w:rsidRPr="00E52C83">
              <w:rPr>
                <w:sz w:val="18"/>
                <w:szCs w:val="18"/>
              </w:rPr>
              <w:t>time</w:t>
            </w:r>
            <w:r w:rsidRPr="00E52C83">
              <w:rPr>
                <w:spacing w:val="-7"/>
                <w:sz w:val="18"/>
                <w:szCs w:val="18"/>
              </w:rPr>
              <w:t xml:space="preserve"> </w:t>
            </w:r>
            <w:r w:rsidRPr="00E52C83">
              <w:rPr>
                <w:sz w:val="18"/>
                <w:szCs w:val="18"/>
              </w:rPr>
              <w:t>for</w:t>
            </w:r>
            <w:r w:rsidRPr="00E52C83">
              <w:rPr>
                <w:spacing w:val="-7"/>
                <w:sz w:val="18"/>
                <w:szCs w:val="18"/>
              </w:rPr>
              <w:t xml:space="preserve"> </w:t>
            </w:r>
            <w:r w:rsidRPr="00E52C83">
              <w:rPr>
                <w:sz w:val="18"/>
                <w:szCs w:val="18"/>
              </w:rPr>
              <w:t>practices</w:t>
            </w:r>
            <w:r w:rsidRPr="00E52C83">
              <w:rPr>
                <w:spacing w:val="-7"/>
                <w:sz w:val="18"/>
                <w:szCs w:val="18"/>
              </w:rPr>
              <w:t xml:space="preserve"> </w:t>
            </w:r>
            <w:r w:rsidRPr="00E52C83">
              <w:rPr>
                <w:spacing w:val="-1"/>
                <w:sz w:val="18"/>
                <w:szCs w:val="18"/>
              </w:rPr>
              <w:t>to</w:t>
            </w:r>
            <w:r w:rsidRPr="00E52C83">
              <w:rPr>
                <w:spacing w:val="-5"/>
                <w:sz w:val="18"/>
                <w:szCs w:val="18"/>
              </w:rPr>
              <w:t xml:space="preserve"> </w:t>
            </w:r>
            <w:r w:rsidRPr="00E52C83">
              <w:rPr>
                <w:sz w:val="18"/>
                <w:szCs w:val="18"/>
              </w:rPr>
              <w:t>prepare</w:t>
            </w:r>
            <w:r w:rsidRPr="00E52C83">
              <w:rPr>
                <w:spacing w:val="-7"/>
                <w:sz w:val="18"/>
                <w:szCs w:val="18"/>
              </w:rPr>
              <w:t xml:space="preserve"> </w:t>
            </w:r>
            <w:r w:rsidRPr="00E52C83">
              <w:rPr>
                <w:sz w:val="18"/>
                <w:szCs w:val="18"/>
              </w:rPr>
              <w:t>for</w:t>
            </w:r>
            <w:r w:rsidRPr="00E52C83">
              <w:rPr>
                <w:spacing w:val="-7"/>
                <w:sz w:val="18"/>
                <w:szCs w:val="18"/>
              </w:rPr>
              <w:t xml:space="preserve"> </w:t>
            </w:r>
            <w:r w:rsidRPr="00E52C83">
              <w:rPr>
                <w:sz w:val="18"/>
                <w:szCs w:val="18"/>
              </w:rPr>
              <w:t>practice</w:t>
            </w:r>
            <w:r w:rsidRPr="00E52C83">
              <w:rPr>
                <w:spacing w:val="-7"/>
                <w:sz w:val="18"/>
                <w:szCs w:val="18"/>
              </w:rPr>
              <w:t xml:space="preserve"> </w:t>
            </w:r>
            <w:r w:rsidRPr="00E52C83">
              <w:rPr>
                <w:spacing w:val="-1"/>
                <w:sz w:val="18"/>
                <w:szCs w:val="18"/>
              </w:rPr>
              <w:t>change</w:t>
            </w:r>
            <w:r w:rsidRPr="00E52C83">
              <w:rPr>
                <w:spacing w:val="-9"/>
                <w:sz w:val="18"/>
                <w:szCs w:val="18"/>
              </w:rPr>
              <w:t xml:space="preserve"> </w:t>
            </w:r>
            <w:r w:rsidRPr="00E52C83">
              <w:rPr>
                <w:spacing w:val="-1"/>
                <w:sz w:val="18"/>
                <w:szCs w:val="18"/>
              </w:rPr>
              <w:t>prior</w:t>
            </w:r>
            <w:r w:rsidRPr="00E52C83">
              <w:rPr>
                <w:spacing w:val="-7"/>
                <w:sz w:val="18"/>
                <w:szCs w:val="18"/>
              </w:rPr>
              <w:t xml:space="preserve"> </w:t>
            </w:r>
            <w:r w:rsidRPr="00E52C83">
              <w:rPr>
                <w:spacing w:val="1"/>
                <w:sz w:val="18"/>
                <w:szCs w:val="18"/>
              </w:rPr>
              <w:t>to</w:t>
            </w:r>
            <w:r w:rsidRPr="00E52C83">
              <w:rPr>
                <w:spacing w:val="-7"/>
                <w:sz w:val="18"/>
                <w:szCs w:val="18"/>
              </w:rPr>
              <w:t xml:space="preserve"> </w:t>
            </w:r>
            <w:r w:rsidRPr="00E52C83">
              <w:rPr>
                <w:sz w:val="18"/>
                <w:szCs w:val="18"/>
              </w:rPr>
              <w:t>enrolling</w:t>
            </w:r>
            <w:r w:rsidRPr="00E52C83">
              <w:rPr>
                <w:spacing w:val="-7"/>
                <w:sz w:val="18"/>
                <w:szCs w:val="18"/>
              </w:rPr>
              <w:t xml:space="preserve"> </w:t>
            </w:r>
            <w:r w:rsidRPr="00E52C83">
              <w:rPr>
                <w:spacing w:val="-1"/>
                <w:sz w:val="18"/>
                <w:szCs w:val="18"/>
              </w:rPr>
              <w:t>patients.</w:t>
            </w:r>
            <w:bookmarkEnd w:id="20"/>
          </w:p>
        </w:tc>
      </w:tr>
    </w:tbl>
    <w:p w14:paraId="40796335" w14:textId="77777777" w:rsidR="00135A71" w:rsidRDefault="00135A71" w:rsidP="00933F5F">
      <w:pPr>
        <w:spacing w:after="0"/>
      </w:pPr>
    </w:p>
    <w:p w14:paraId="466F8A62" w14:textId="77777777" w:rsidR="00FE0EFE" w:rsidRDefault="00FE0EFE" w:rsidP="00FE0EFE">
      <w:pPr>
        <w:rPr>
          <w:rFonts w:eastAsiaTheme="majorEastAsia" w:cstheme="majorBidi"/>
          <w:color w:val="003D79"/>
          <w:sz w:val="40"/>
          <w:szCs w:val="26"/>
        </w:rPr>
      </w:pPr>
      <w:r>
        <w:br w:type="page"/>
      </w:r>
    </w:p>
    <w:p w14:paraId="20A94D70" w14:textId="472DE323" w:rsidR="002C2EB4" w:rsidRDefault="002C2EB4" w:rsidP="0059743A">
      <w:pPr>
        <w:pStyle w:val="Heading2"/>
      </w:pPr>
      <w:bookmarkStart w:id="21" w:name="_Toc32585820"/>
      <w:r>
        <w:lastRenderedPageBreak/>
        <w:t>Enrolling patients</w:t>
      </w:r>
      <w:bookmarkEnd w:id="21"/>
    </w:p>
    <w:p w14:paraId="1A0C7CBC" w14:textId="032FF5A5" w:rsidR="002C2EB4" w:rsidRDefault="002C2EB4" w:rsidP="002C2EB4">
      <w:r>
        <w:t>Some practices opportunistically enrolled patients as they attended the practice for their appointments</w:t>
      </w:r>
      <w:r w:rsidR="00ED55C3">
        <w:t>. O</w:t>
      </w:r>
      <w:r>
        <w:t>thers were more strategic, for example, holding a forum to explain the program to patients.</w:t>
      </w:r>
    </w:p>
    <w:p w14:paraId="6C19F0DE" w14:textId="3FA6E456" w:rsidR="002C2EB4" w:rsidRDefault="002C2EB4" w:rsidP="002C2EB4">
      <w:r>
        <w:t>Practices tended to approach patients based on who clinicians thought would benefit from the model. They tended to approach patients who</w:t>
      </w:r>
      <w:r w:rsidR="00F7613C">
        <w:t>m</w:t>
      </w:r>
      <w:r>
        <w:t xml:space="preserve"> they perceived were motivated to improve their health</w:t>
      </w:r>
      <w:r w:rsidR="00E853AE">
        <w:t>;</w:t>
      </w:r>
      <w:r>
        <w:t xml:space="preserve"> whose goals aligned with the HCH model</w:t>
      </w:r>
      <w:r w:rsidR="00E853AE">
        <w:t>;</w:t>
      </w:r>
      <w:r>
        <w:t xml:space="preserve"> who had a strong relationship with the GP</w:t>
      </w:r>
      <w:r w:rsidR="00E853AE">
        <w:t>;</w:t>
      </w:r>
      <w:r>
        <w:t xml:space="preserve"> who</w:t>
      </w:r>
      <w:r w:rsidR="00F7613C">
        <w:t>m</w:t>
      </w:r>
      <w:r w:rsidR="00E853AE">
        <w:t xml:space="preserve"> they did not expect to attend more than the tier payment allowed for;</w:t>
      </w:r>
      <w:r>
        <w:t xml:space="preserve"> and who had chronic conditions being targeted by the practice in its HCH model. In some instances the patient had approached the practice to enrol.</w:t>
      </w:r>
    </w:p>
    <w:p w14:paraId="3A3A53CF" w14:textId="77777777" w:rsidR="002C2EB4" w:rsidRDefault="002C2EB4" w:rsidP="002C2EB4">
      <w:r>
        <w:t>Practices did not enrol some patients identified by the RST as being potentially eligible mainly due to financial reasons (i.e. frequent attenders) and the perception that the model would not suit the patient.</w:t>
      </w:r>
    </w:p>
    <w:p w14:paraId="6AADFA0C" w14:textId="73D132E1" w:rsidR="002C2EB4" w:rsidRDefault="002C2EB4" w:rsidP="002C2EB4">
      <w:r>
        <w:t>Practices ‘sold’ the HCH model to patients as something that would improve their access to services</w:t>
      </w:r>
      <w:r w:rsidR="00493F6E">
        <w:t>;</w:t>
      </w:r>
      <w:r>
        <w:t xml:space="preserve"> shorten waiting times</w:t>
      </w:r>
      <w:r w:rsidR="00493F6E">
        <w:t>;</w:t>
      </w:r>
      <w:r>
        <w:t xml:space="preserve"> improve monitoring of their chronic disease(s) (e.g. </w:t>
      </w:r>
      <w:r w:rsidRPr="00B21A2B">
        <w:t>including through shared care plans, routine recalls</w:t>
      </w:r>
      <w:r>
        <w:t>)</w:t>
      </w:r>
      <w:r w:rsidR="00493F6E">
        <w:t>;</w:t>
      </w:r>
      <w:r>
        <w:t xml:space="preserve"> improve coordination between the practice and external providers</w:t>
      </w:r>
      <w:r w:rsidR="00493F6E">
        <w:t>;</w:t>
      </w:r>
      <w:r>
        <w:t xml:space="preserve"> allow the patient to take control of their health</w:t>
      </w:r>
      <w:r w:rsidR="00493F6E">
        <w:t>;</w:t>
      </w:r>
      <w:r>
        <w:t xml:space="preserve"> be more convenient for getting scripts and referrals</w:t>
      </w:r>
      <w:r w:rsidR="00493F6E">
        <w:t>;</w:t>
      </w:r>
      <w:r>
        <w:t xml:space="preserve"> give them access to a nurse for routine management and health measures</w:t>
      </w:r>
      <w:r w:rsidR="00493F6E">
        <w:t>;</w:t>
      </w:r>
      <w:r>
        <w:t xml:space="preserve"> provide them with more personalised care</w:t>
      </w:r>
      <w:r w:rsidR="00493F6E">
        <w:t>; and</w:t>
      </w:r>
      <w:r>
        <w:t xml:space="preserve"> give them </w:t>
      </w:r>
      <w:r w:rsidRPr="00B21A2B">
        <w:t>access to more services (e.g. education, nurse home visits).</w:t>
      </w:r>
      <w:r w:rsidRPr="0042236B">
        <w:t xml:space="preserve"> </w:t>
      </w:r>
    </w:p>
    <w:p w14:paraId="2F5E9400" w14:textId="356DA664" w:rsidR="002C2EB4" w:rsidRDefault="002C2EB4" w:rsidP="002C2EB4">
      <w:bookmarkStart w:id="22" w:name="_Hlk20928622"/>
      <w:r>
        <w:t xml:space="preserve">A challenge for practices in enrolling patients was </w:t>
      </w:r>
      <w:bookmarkEnd w:id="22"/>
      <w:r>
        <w:t xml:space="preserve">articulating the value proposition </w:t>
      </w:r>
      <w:r w:rsidR="00ED55C3">
        <w:t>to</w:t>
      </w:r>
      <w:r>
        <w:t xml:space="preserve"> patients</w:t>
      </w:r>
      <w:r w:rsidR="00493F6E">
        <w:t>,</w:t>
      </w:r>
      <w:r>
        <w:t xml:space="preserve"> specifically for their practice. This was sometimes because the practice already thought that they were providing good quality care and/ or their approach was consistent with the HCH model, and it was hard to identify what </w:t>
      </w:r>
      <w:r w:rsidR="00ED55C3">
        <w:t xml:space="preserve">additional </w:t>
      </w:r>
      <w:r w:rsidR="00A25954">
        <w:t xml:space="preserve">benefits </w:t>
      </w:r>
      <w:r>
        <w:t xml:space="preserve">patients would </w:t>
      </w:r>
      <w:r w:rsidR="00A25954">
        <w:t>receive</w:t>
      </w:r>
      <w:r>
        <w:t xml:space="preserve"> under the new model. </w:t>
      </w:r>
      <w:r w:rsidRPr="00DF3954">
        <w:t xml:space="preserve">Practices also reported issues around </w:t>
      </w:r>
      <w:r>
        <w:t xml:space="preserve">the </w:t>
      </w:r>
      <w:r w:rsidRPr="00DF3954">
        <w:t>confidence</w:t>
      </w:r>
      <w:r>
        <w:t xml:space="preserve"> of the nurses to explain the model</w:t>
      </w:r>
      <w:r w:rsidRPr="00DF3954">
        <w:t xml:space="preserve"> and </w:t>
      </w:r>
      <w:r>
        <w:t xml:space="preserve">generally </w:t>
      </w:r>
      <w:r w:rsidRPr="00DF3954">
        <w:t>creating a clear and consistent message that outlined the goals of the program</w:t>
      </w:r>
      <w:r>
        <w:t xml:space="preserve">. (Indeed, patients reported being confused by </w:t>
      </w:r>
      <w:r w:rsidRPr="0042236B">
        <w:t>practice staff</w:t>
      </w:r>
      <w:r>
        <w:t>’s</w:t>
      </w:r>
      <w:r w:rsidRPr="0042236B">
        <w:t xml:space="preserve"> </w:t>
      </w:r>
      <w:r>
        <w:t>explanation of</w:t>
      </w:r>
      <w:r w:rsidRPr="0042236B">
        <w:t xml:space="preserve"> the program</w:t>
      </w:r>
      <w:r>
        <w:t>; they did not understand program aims or how it would work.) Practices reported that distilling the goals of the program into benefits that patients could understand and getting the GPs to talk to patients about the program were effective in recruiting patients.</w:t>
      </w:r>
    </w:p>
    <w:p w14:paraId="5A607E38" w14:textId="2407A4E7" w:rsidR="002C2EB4" w:rsidRDefault="002C2EB4" w:rsidP="002C2EB4">
      <w:r>
        <w:t xml:space="preserve">Time was a major issue for practices in enrolling patients. </w:t>
      </w:r>
      <w:r w:rsidRPr="00CB2B39">
        <w:t xml:space="preserve">Explaining the program, getting consent, </w:t>
      </w:r>
      <w:bookmarkStart w:id="23" w:name="_Hlk20932015"/>
      <w:r w:rsidRPr="00CB2B39">
        <w:t>assess</w:t>
      </w:r>
      <w:r>
        <w:t>ing the patient’s eligibility</w:t>
      </w:r>
      <w:bookmarkEnd w:id="23"/>
      <w:r w:rsidRPr="00CB2B39">
        <w:t xml:space="preserve">, creating a care plan, and registering </w:t>
      </w:r>
      <w:r w:rsidR="00493F6E">
        <w:t>patients</w:t>
      </w:r>
      <w:r w:rsidRPr="00CB2B39">
        <w:t xml:space="preserve"> on multiple platforms </w:t>
      </w:r>
      <w:r w:rsidR="009648BF">
        <w:t>were</w:t>
      </w:r>
      <w:r w:rsidRPr="00CB2B39">
        <w:t xml:space="preserve"> time-consuming</w:t>
      </w:r>
      <w:r>
        <w:t xml:space="preserve">. </w:t>
      </w:r>
      <w:r w:rsidRPr="00EE7FFC">
        <w:t xml:space="preserve">Some practices found innovative ways to streamline </w:t>
      </w:r>
      <w:r>
        <w:t>these processes</w:t>
      </w:r>
      <w:r w:rsidRPr="00EE7FFC">
        <w:t>.</w:t>
      </w:r>
    </w:p>
    <w:p w14:paraId="42D7095A" w14:textId="77777777" w:rsidR="002C2EB4" w:rsidRDefault="002C2EB4" w:rsidP="002C2EB4">
      <w:r>
        <w:t>Both practices and PHNs identified synchronising the various enrolment systems and simplifying the process as key improvements that could be made to enrolling patients for future rollouts of HCH.</w:t>
      </w:r>
    </w:p>
    <w:p w14:paraId="4E8EA7D2" w14:textId="4EE6FD03" w:rsidR="002C2EB4" w:rsidRDefault="002C2EB4" w:rsidP="002C2EB4">
      <w:r>
        <w:t xml:space="preserve">Patients’ concerns around the security and confidentiality of their personal and medical information – in particular, the requirement to have a My Health Record – was a major deterrent for agreeing to enrol. </w:t>
      </w:r>
      <w:r w:rsidR="009648BF">
        <w:t>T</w:t>
      </w:r>
      <w:r>
        <w:t xml:space="preserve">hose patients that enrolled either did not have a problem with </w:t>
      </w:r>
      <w:r w:rsidR="00493F6E">
        <w:t>My Health Record</w:t>
      </w:r>
      <w:r>
        <w:t xml:space="preserve"> or were sceptical about the security of their information but enrolled </w:t>
      </w:r>
      <w:r>
        <w:lastRenderedPageBreak/>
        <w:t xml:space="preserve">anyway. Seventy-two per cent of patients responding to the patient survey said that they had a My Health Record. Some patients were unaware of it and/ or tended not to go online. </w:t>
      </w:r>
    </w:p>
    <w:p w14:paraId="40955AC5" w14:textId="2D376681" w:rsidR="008067F0" w:rsidRPr="00ED55C3" w:rsidRDefault="002C2EB4" w:rsidP="005D7BAD">
      <w:pPr>
        <w:rPr>
          <w:szCs w:val="20"/>
        </w:rPr>
      </w:pPr>
      <w:r w:rsidRPr="00C13B87">
        <w:t>Another deterrent for patients in enrolling in the program was the perceived threat to their relationship with their GP. Practices</w:t>
      </w:r>
      <w:r>
        <w:t xml:space="preserve"> also highlighted </w:t>
      </w:r>
      <w:r w:rsidRPr="006758BA">
        <w:t xml:space="preserve">difficulties in enrolling patients from </w:t>
      </w:r>
      <w:r w:rsidRPr="00ED55C3">
        <w:t>different cultures</w:t>
      </w:r>
      <w:r w:rsidR="00493F6E" w:rsidRPr="00ED55C3">
        <w:t>,</w:t>
      </w:r>
      <w:r w:rsidRPr="00ED55C3">
        <w:t xml:space="preserve"> non-English speaking backgrounds, recent migrants, and homeless people</w:t>
      </w:r>
      <w:r w:rsidR="00493F6E" w:rsidRPr="00ED55C3">
        <w:t>,</w:t>
      </w:r>
      <w:r w:rsidRPr="00ED55C3">
        <w:t xml:space="preserve"> due to cultural expectations, language</w:t>
      </w:r>
      <w:r w:rsidR="00493F6E" w:rsidRPr="00ED55C3">
        <w:t xml:space="preserve"> barriers</w:t>
      </w:r>
      <w:r w:rsidRPr="00ED55C3">
        <w:t xml:space="preserve"> and lack of permanent accommodation.</w:t>
      </w:r>
      <w:r w:rsidR="005D7BAD" w:rsidRPr="00ED55C3">
        <w:t xml:space="preserve"> </w:t>
      </w:r>
      <w:bookmarkStart w:id="24" w:name="_Hlk26805047"/>
      <w:r w:rsidR="005D7BAD" w:rsidRPr="00ED55C3">
        <w:rPr>
          <w:szCs w:val="20"/>
        </w:rPr>
        <w:t>However</w:t>
      </w:r>
      <w:r w:rsidR="008067F0" w:rsidRPr="00ED55C3">
        <w:rPr>
          <w:szCs w:val="20"/>
        </w:rPr>
        <w:t>, sometimes these barriers were due to what practices were planning to offer as part of HCH</w:t>
      </w:r>
      <w:r w:rsidR="005D7BAD" w:rsidRPr="00ED55C3">
        <w:rPr>
          <w:szCs w:val="20"/>
        </w:rPr>
        <w:t xml:space="preserve"> (e.g. telephone consults, which would not work for people with limited English without an interpreter)</w:t>
      </w:r>
      <w:r w:rsidR="008067F0" w:rsidRPr="00ED55C3">
        <w:rPr>
          <w:szCs w:val="20"/>
        </w:rPr>
        <w:t xml:space="preserve"> rather than the model not being suited to these </w:t>
      </w:r>
      <w:r w:rsidR="000D40BE" w:rsidRPr="00ED55C3">
        <w:rPr>
          <w:szCs w:val="20"/>
        </w:rPr>
        <w:t>individuals</w:t>
      </w:r>
      <w:r w:rsidR="005D7BAD" w:rsidRPr="00ED55C3">
        <w:rPr>
          <w:szCs w:val="20"/>
        </w:rPr>
        <w:t>.</w:t>
      </w:r>
    </w:p>
    <w:bookmarkEnd w:id="24"/>
    <w:p w14:paraId="29F3A683" w14:textId="77777777" w:rsidR="002C2EB4" w:rsidRPr="00ED55C3" w:rsidRDefault="002C2EB4" w:rsidP="002C2EB4">
      <w:r w:rsidRPr="00ED55C3">
        <w:t xml:space="preserve">The methods used to recruit patients into HCH varied across practices. Many patients and carers reported that their doctor mentioned the program at one their routine visits. Nurses often explained the details. </w:t>
      </w:r>
    </w:p>
    <w:p w14:paraId="0347AE89" w14:textId="099EF397" w:rsidR="002C2EB4" w:rsidRPr="00ED55C3" w:rsidRDefault="002C2EB4" w:rsidP="002C2EB4">
      <w:r w:rsidRPr="00ED55C3">
        <w:t xml:space="preserve">To recruit multiple individuals to HCH and utilise time effectively, </w:t>
      </w:r>
      <w:r w:rsidR="009648BF">
        <w:t xml:space="preserve">as mentioned previously, </w:t>
      </w:r>
      <w:r w:rsidRPr="00ED55C3">
        <w:t>some practices organised an information forum. Patients had mixed experiences of these forums: some enjoyed it and others reported difficulties in understanding the program or hearing the speakers.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F07E92" w14:paraId="5B7C854E" w14:textId="77777777" w:rsidTr="005E72A4">
        <w:tc>
          <w:tcPr>
            <w:tcW w:w="5000" w:type="pct"/>
            <w:shd w:val="clear" w:color="auto" w:fill="F2F2F2" w:themeFill="background1" w:themeFillShade="F2"/>
          </w:tcPr>
          <w:p w14:paraId="5DEF897F" w14:textId="6C55F400" w:rsidR="00F07E92" w:rsidRPr="00E52C83" w:rsidRDefault="00F07E92" w:rsidP="007065A3">
            <w:pPr>
              <w:pStyle w:val="BodyText"/>
              <w:spacing w:after="120" w:line="276" w:lineRule="auto"/>
              <w:ind w:right="239"/>
              <w:jc w:val="center"/>
              <w:rPr>
                <w:b/>
                <w:spacing w:val="-1"/>
                <w:sz w:val="18"/>
                <w:szCs w:val="18"/>
              </w:rPr>
            </w:pPr>
            <w:r w:rsidRPr="00E52C83">
              <w:rPr>
                <w:b/>
                <w:spacing w:val="-1"/>
                <w:sz w:val="18"/>
                <w:szCs w:val="18"/>
              </w:rPr>
              <w:t xml:space="preserve">Lessons – </w:t>
            </w:r>
            <w:r w:rsidR="009908B4" w:rsidRPr="00E52C83">
              <w:rPr>
                <w:b/>
                <w:spacing w:val="-1"/>
                <w:sz w:val="18"/>
                <w:szCs w:val="18"/>
              </w:rPr>
              <w:t>P</w:t>
            </w:r>
            <w:r w:rsidRPr="00E52C83">
              <w:rPr>
                <w:b/>
                <w:spacing w:val="-1"/>
                <w:sz w:val="18"/>
                <w:szCs w:val="18"/>
              </w:rPr>
              <w:t>atient enrolment</w:t>
            </w:r>
          </w:p>
          <w:p w14:paraId="497ABFDA" w14:textId="05DBEDE3" w:rsidR="00F07E92" w:rsidRPr="00E52C83" w:rsidRDefault="00F07E92" w:rsidP="007065A3">
            <w:pPr>
              <w:pStyle w:val="BodyText"/>
              <w:numPr>
                <w:ilvl w:val="0"/>
                <w:numId w:val="7"/>
              </w:numPr>
              <w:tabs>
                <w:tab w:val="left" w:pos="674"/>
              </w:tabs>
              <w:spacing w:after="120" w:line="276" w:lineRule="auto"/>
              <w:rPr>
                <w:spacing w:val="-1"/>
                <w:sz w:val="18"/>
                <w:szCs w:val="18"/>
              </w:rPr>
            </w:pPr>
            <w:bookmarkStart w:id="25" w:name="_Hlk22305396"/>
            <w:r w:rsidRPr="00E52C83">
              <w:rPr>
                <w:spacing w:val="-1"/>
                <w:sz w:val="18"/>
                <w:szCs w:val="18"/>
              </w:rPr>
              <w:t xml:space="preserve">Exploit multiple </w:t>
            </w:r>
            <w:r w:rsidR="00135A71" w:rsidRPr="00E52C83">
              <w:rPr>
                <w:spacing w:val="-1"/>
                <w:sz w:val="18"/>
                <w:szCs w:val="18"/>
              </w:rPr>
              <w:t xml:space="preserve">avenues </w:t>
            </w:r>
            <w:r w:rsidRPr="00E52C83">
              <w:rPr>
                <w:spacing w:val="-1"/>
                <w:sz w:val="18"/>
                <w:szCs w:val="18"/>
              </w:rPr>
              <w:t>to build patient awareness of programs such as HCH</w:t>
            </w:r>
            <w:r w:rsidR="00A26EB6" w:rsidRPr="00E52C83">
              <w:rPr>
                <w:spacing w:val="-1"/>
                <w:sz w:val="18"/>
                <w:szCs w:val="18"/>
              </w:rPr>
              <w:t>, including the benefits</w:t>
            </w:r>
            <w:r w:rsidRPr="00E52C83">
              <w:rPr>
                <w:spacing w:val="-1"/>
                <w:sz w:val="18"/>
                <w:szCs w:val="18"/>
              </w:rPr>
              <w:t>.</w:t>
            </w:r>
          </w:p>
          <w:p w14:paraId="1391C5EE" w14:textId="67BED940" w:rsidR="00F07E92" w:rsidRPr="00E52C83" w:rsidRDefault="00F07E92" w:rsidP="007065A3">
            <w:pPr>
              <w:pStyle w:val="BodyText"/>
              <w:numPr>
                <w:ilvl w:val="0"/>
                <w:numId w:val="7"/>
              </w:numPr>
              <w:tabs>
                <w:tab w:val="left" w:pos="674"/>
              </w:tabs>
              <w:spacing w:after="120" w:line="276" w:lineRule="auto"/>
              <w:rPr>
                <w:spacing w:val="-1"/>
                <w:sz w:val="18"/>
                <w:szCs w:val="18"/>
              </w:rPr>
            </w:pPr>
            <w:r w:rsidRPr="00E52C83">
              <w:rPr>
                <w:spacing w:val="-1"/>
                <w:sz w:val="18"/>
                <w:szCs w:val="18"/>
              </w:rPr>
              <w:t xml:space="preserve">Provide </w:t>
            </w:r>
            <w:r w:rsidR="00135A71" w:rsidRPr="00E52C83">
              <w:rPr>
                <w:spacing w:val="-1"/>
                <w:sz w:val="18"/>
                <w:szCs w:val="18"/>
              </w:rPr>
              <w:t xml:space="preserve">additional </w:t>
            </w:r>
            <w:r w:rsidRPr="00E52C83">
              <w:rPr>
                <w:spacing w:val="-1"/>
                <w:sz w:val="18"/>
                <w:szCs w:val="18"/>
              </w:rPr>
              <w:t>practical guidance to practices</w:t>
            </w:r>
            <w:r w:rsidR="00A26EB6" w:rsidRPr="00E52C83">
              <w:rPr>
                <w:spacing w:val="-1"/>
                <w:sz w:val="18"/>
                <w:szCs w:val="18"/>
              </w:rPr>
              <w:t xml:space="preserve"> </w:t>
            </w:r>
            <w:r w:rsidRPr="00E52C83">
              <w:rPr>
                <w:spacing w:val="-1"/>
                <w:sz w:val="18"/>
                <w:szCs w:val="18"/>
              </w:rPr>
              <w:t xml:space="preserve">on how to communicate </w:t>
            </w:r>
            <w:r w:rsidR="00135A71" w:rsidRPr="00E52C83">
              <w:rPr>
                <w:spacing w:val="-1"/>
                <w:sz w:val="18"/>
                <w:szCs w:val="18"/>
              </w:rPr>
              <w:t>the benefits of programs such as HCH</w:t>
            </w:r>
            <w:r w:rsidR="00A26EB6" w:rsidRPr="00E52C83">
              <w:rPr>
                <w:spacing w:val="-1"/>
                <w:sz w:val="18"/>
                <w:szCs w:val="18"/>
              </w:rPr>
              <w:t xml:space="preserve"> succinctly to patients and their carers/ families</w:t>
            </w:r>
            <w:r w:rsidR="00135A71" w:rsidRPr="00E52C83">
              <w:rPr>
                <w:spacing w:val="-1"/>
                <w:sz w:val="18"/>
                <w:szCs w:val="18"/>
              </w:rPr>
              <w:t>.</w:t>
            </w:r>
          </w:p>
          <w:p w14:paraId="1C5F7FB3" w14:textId="77777777" w:rsidR="00A26EB6" w:rsidRPr="00E52C83" w:rsidRDefault="00135A71" w:rsidP="007065A3">
            <w:pPr>
              <w:pStyle w:val="BodyText"/>
              <w:numPr>
                <w:ilvl w:val="0"/>
                <w:numId w:val="7"/>
              </w:numPr>
              <w:tabs>
                <w:tab w:val="left" w:pos="674"/>
              </w:tabs>
              <w:spacing w:after="120" w:line="276" w:lineRule="auto"/>
              <w:rPr>
                <w:sz w:val="18"/>
                <w:szCs w:val="18"/>
              </w:rPr>
            </w:pPr>
            <w:r w:rsidRPr="00E52C83">
              <w:rPr>
                <w:spacing w:val="-1"/>
                <w:sz w:val="18"/>
                <w:szCs w:val="18"/>
              </w:rPr>
              <w:t>In future</w:t>
            </w:r>
            <w:r w:rsidR="00A26EB6" w:rsidRPr="00E52C83">
              <w:rPr>
                <w:spacing w:val="-1"/>
                <w:sz w:val="18"/>
                <w:szCs w:val="18"/>
              </w:rPr>
              <w:t xml:space="preserve">, for </w:t>
            </w:r>
            <w:r w:rsidRPr="00E52C83">
              <w:rPr>
                <w:spacing w:val="-1"/>
                <w:sz w:val="18"/>
                <w:szCs w:val="18"/>
              </w:rPr>
              <w:t>programs such as HCH, allow sufficient time to implement processes for enrolling patients</w:t>
            </w:r>
            <w:r w:rsidR="00A26EB6" w:rsidRPr="00E52C83">
              <w:rPr>
                <w:spacing w:val="-1"/>
                <w:sz w:val="18"/>
                <w:szCs w:val="18"/>
              </w:rPr>
              <w:t>.</w:t>
            </w:r>
          </w:p>
          <w:p w14:paraId="370BD1CD" w14:textId="7CC2E965" w:rsidR="00F07E92" w:rsidRPr="00E52C83" w:rsidRDefault="00A26EB6" w:rsidP="007065A3">
            <w:pPr>
              <w:pStyle w:val="BodyText"/>
              <w:numPr>
                <w:ilvl w:val="0"/>
                <w:numId w:val="7"/>
              </w:numPr>
              <w:tabs>
                <w:tab w:val="left" w:pos="674"/>
              </w:tabs>
              <w:spacing w:after="120" w:line="276" w:lineRule="auto"/>
              <w:rPr>
                <w:sz w:val="18"/>
                <w:szCs w:val="18"/>
              </w:rPr>
            </w:pPr>
            <w:r w:rsidRPr="00E52C83">
              <w:rPr>
                <w:spacing w:val="-1"/>
                <w:sz w:val="18"/>
                <w:szCs w:val="18"/>
              </w:rPr>
              <w:t>Streamline enrolment processes, whereby</w:t>
            </w:r>
            <w:r w:rsidR="00135A71" w:rsidRPr="00E52C83">
              <w:rPr>
                <w:spacing w:val="-1"/>
                <w:sz w:val="18"/>
                <w:szCs w:val="18"/>
              </w:rPr>
              <w:t xml:space="preserve"> relevant information is recorded once and used for multiple purposes</w:t>
            </w:r>
            <w:r w:rsidRPr="00E52C83">
              <w:rPr>
                <w:spacing w:val="-1"/>
                <w:sz w:val="18"/>
                <w:szCs w:val="18"/>
              </w:rPr>
              <w:t xml:space="preserve">. In the HCH program this included </w:t>
            </w:r>
            <w:r w:rsidR="00135A71" w:rsidRPr="00E52C83">
              <w:rPr>
                <w:spacing w:val="-1"/>
                <w:sz w:val="18"/>
                <w:szCs w:val="18"/>
              </w:rPr>
              <w:t>registration with the Department of Human Services, flagging enrolled patients within the clinical management software, risk stratification, shared care planning and evaluation.</w:t>
            </w:r>
            <w:bookmarkEnd w:id="25"/>
          </w:p>
        </w:tc>
      </w:tr>
    </w:tbl>
    <w:p w14:paraId="7314F3C4" w14:textId="53A0DC83" w:rsidR="00B03C3A" w:rsidRDefault="00B03C3A" w:rsidP="00505AA9">
      <w:pPr>
        <w:spacing w:after="0"/>
      </w:pPr>
    </w:p>
    <w:p w14:paraId="19CFB8AB" w14:textId="06BF470A" w:rsidR="00631522" w:rsidRDefault="00631522" w:rsidP="0059743A">
      <w:pPr>
        <w:pStyle w:val="Heading2"/>
      </w:pPr>
      <w:bookmarkStart w:id="26" w:name="_Toc32585821"/>
      <w:r>
        <w:t>Implementing the HCH model</w:t>
      </w:r>
      <w:bookmarkEnd w:id="26"/>
    </w:p>
    <w:p w14:paraId="58781ACD" w14:textId="69A44543" w:rsidR="007C4525" w:rsidRDefault="00631522" w:rsidP="00B21A2B">
      <w:pPr>
        <w:rPr>
          <w:rFonts w:eastAsia="Times New Roman"/>
          <w:iCs/>
          <w:szCs w:val="20"/>
        </w:rPr>
      </w:pPr>
      <w:r>
        <w:t xml:space="preserve">PHN practice facilitators felt that </w:t>
      </w:r>
      <w:r w:rsidR="005644B2">
        <w:t>an HCH</w:t>
      </w:r>
      <w:r>
        <w:rPr>
          <w:iCs/>
        </w:rPr>
        <w:t xml:space="preserve"> model of care</w:t>
      </w:r>
      <w:r>
        <w:t xml:space="preserve"> had not been sufficiently defined</w:t>
      </w:r>
      <w:r w:rsidR="00BB77C7">
        <w:t xml:space="preserve"> as part of the HCH program</w:t>
      </w:r>
      <w:r>
        <w:t xml:space="preserve">. It was </w:t>
      </w:r>
      <w:r w:rsidRPr="00A25954">
        <w:t>recognised this was deliberate on the</w:t>
      </w:r>
      <w:r>
        <w:t xml:space="preserve"> Department of Health’s behalf</w:t>
      </w:r>
      <w:r w:rsidR="00A25954">
        <w:t xml:space="preserve"> (to allow practices to respond to local needs and stimulate innovation)</w:t>
      </w:r>
      <w:r>
        <w:t>. However, it meant practices didn’t always know what to do</w:t>
      </w:r>
      <w:r w:rsidR="00BB77C7">
        <w:t>, and this was one of the factors that slowed patient enrolment in the first year of the program</w:t>
      </w:r>
      <w:r>
        <w:t xml:space="preserve">. Nevertheless, both practices and PHNs also thought that flexibility in the model was important. </w:t>
      </w:r>
      <w:bookmarkStart w:id="27" w:name="_Hlk21272665"/>
      <w:r>
        <w:rPr>
          <w:rFonts w:eastAsia="Times New Roman"/>
          <w:iCs/>
          <w:szCs w:val="20"/>
        </w:rPr>
        <w:t xml:space="preserve">Some </w:t>
      </w:r>
      <w:r w:rsidR="00BA28B3">
        <w:rPr>
          <w:rFonts w:eastAsia="Times New Roman"/>
          <w:iCs/>
          <w:szCs w:val="20"/>
        </w:rPr>
        <w:t>suggested</w:t>
      </w:r>
      <w:r>
        <w:rPr>
          <w:rFonts w:eastAsia="Times New Roman"/>
          <w:iCs/>
          <w:szCs w:val="20"/>
        </w:rPr>
        <w:t xml:space="preserve"> pursuing a middle ground where PHNs and governing bodies would provide </w:t>
      </w:r>
      <w:r w:rsidR="007A0893">
        <w:rPr>
          <w:rFonts w:eastAsia="Times New Roman"/>
          <w:iCs/>
          <w:szCs w:val="20"/>
        </w:rPr>
        <w:t>high-level</w:t>
      </w:r>
      <w:r w:rsidR="00BB77C7">
        <w:rPr>
          <w:rFonts w:eastAsia="Times New Roman"/>
          <w:iCs/>
          <w:szCs w:val="20"/>
        </w:rPr>
        <w:t xml:space="preserve"> parameters and</w:t>
      </w:r>
      <w:r>
        <w:rPr>
          <w:rFonts w:eastAsia="Times New Roman"/>
          <w:iCs/>
          <w:szCs w:val="20"/>
        </w:rPr>
        <w:t xml:space="preserve"> practices </w:t>
      </w:r>
      <w:r w:rsidR="00BB77C7">
        <w:rPr>
          <w:rFonts w:eastAsia="Times New Roman"/>
          <w:iCs/>
          <w:szCs w:val="20"/>
        </w:rPr>
        <w:t xml:space="preserve">would </w:t>
      </w:r>
      <w:r>
        <w:rPr>
          <w:rFonts w:eastAsia="Times New Roman"/>
          <w:iCs/>
          <w:szCs w:val="20"/>
        </w:rPr>
        <w:t xml:space="preserve">have the flexibility to implement a model that works for </w:t>
      </w:r>
      <w:r w:rsidR="00210AD4">
        <w:rPr>
          <w:rFonts w:eastAsia="Times New Roman"/>
          <w:iCs/>
          <w:szCs w:val="20"/>
        </w:rPr>
        <w:t>their</w:t>
      </w:r>
      <w:r>
        <w:rPr>
          <w:rFonts w:eastAsia="Times New Roman"/>
          <w:iCs/>
          <w:szCs w:val="20"/>
        </w:rPr>
        <w:t xml:space="preserve"> </w:t>
      </w:r>
      <w:bookmarkEnd w:id="27"/>
      <w:r w:rsidR="00210AD4">
        <w:rPr>
          <w:rFonts w:eastAsia="Times New Roman"/>
          <w:iCs/>
          <w:szCs w:val="20"/>
        </w:rPr>
        <w:t>patients</w:t>
      </w:r>
      <w:r>
        <w:rPr>
          <w:rFonts w:eastAsia="Times New Roman"/>
          <w:iCs/>
          <w:szCs w:val="20"/>
        </w:rPr>
        <w:t>.</w:t>
      </w:r>
    </w:p>
    <w:p w14:paraId="446CE48D" w14:textId="7B9C3B3F" w:rsidR="00157806" w:rsidRDefault="00157806" w:rsidP="00157806">
      <w:pPr>
        <w:rPr>
          <w:rFonts w:eastAsia="Times New Roman"/>
          <w:iCs/>
          <w:szCs w:val="20"/>
        </w:rPr>
      </w:pPr>
      <w:r>
        <w:rPr>
          <w:rFonts w:eastAsia="Times New Roman"/>
          <w:iCs/>
          <w:szCs w:val="20"/>
        </w:rPr>
        <w:t>In interviews, practices reported varying interpretations of the objectives of HCH, including: encouraging patient activation and education; individualising patient care/ more patient-centred model of care; improving continuity of care; reducing hospital admissions; improving the quality of chronic disease management and patient care through better planning and monitoring; offering better access to patients beyond traditional face-to-face consultations</w:t>
      </w:r>
      <w:r w:rsidR="00D6344E">
        <w:rPr>
          <w:rFonts w:eastAsia="Times New Roman"/>
          <w:iCs/>
          <w:szCs w:val="20"/>
        </w:rPr>
        <w:t>; a</w:t>
      </w:r>
      <w:r>
        <w:rPr>
          <w:rFonts w:eastAsia="Times New Roman"/>
          <w:iCs/>
          <w:szCs w:val="20"/>
        </w:rPr>
        <w:t>dvancing team-based care</w:t>
      </w:r>
      <w:r w:rsidR="00D6344E">
        <w:rPr>
          <w:rFonts w:eastAsia="Times New Roman"/>
          <w:iCs/>
          <w:szCs w:val="20"/>
        </w:rPr>
        <w:t>;</w:t>
      </w:r>
      <w:r w:rsidR="00D6344E" w:rsidRPr="00D6344E">
        <w:rPr>
          <w:rFonts w:eastAsia="Times New Roman"/>
          <w:iCs/>
          <w:szCs w:val="20"/>
        </w:rPr>
        <w:t xml:space="preserve"> </w:t>
      </w:r>
      <w:r w:rsidR="00D6344E">
        <w:rPr>
          <w:rFonts w:eastAsia="Times New Roman"/>
          <w:iCs/>
          <w:szCs w:val="20"/>
        </w:rPr>
        <w:t>preventative care</w:t>
      </w:r>
      <w:r w:rsidR="006C7772">
        <w:rPr>
          <w:rFonts w:eastAsia="Times New Roman"/>
          <w:iCs/>
          <w:szCs w:val="20"/>
        </w:rPr>
        <w:t>; and taking the pressure off GPs.</w:t>
      </w:r>
    </w:p>
    <w:p w14:paraId="58BB2A89" w14:textId="7F0C540F" w:rsidR="00760355" w:rsidRDefault="00157806" w:rsidP="007A0893">
      <w:pPr>
        <w:rPr>
          <w:rFonts w:eastAsia="Times New Roman"/>
          <w:iCs/>
          <w:szCs w:val="20"/>
        </w:rPr>
      </w:pPr>
      <w:r>
        <w:rPr>
          <w:rFonts w:eastAsia="Times New Roman"/>
          <w:iCs/>
          <w:szCs w:val="20"/>
        </w:rPr>
        <w:lastRenderedPageBreak/>
        <w:t xml:space="preserve">Practices were surveyed about the changes that they intended to make as </w:t>
      </w:r>
      <w:r w:rsidR="005644B2">
        <w:rPr>
          <w:rFonts w:eastAsia="Times New Roman"/>
          <w:iCs/>
          <w:szCs w:val="20"/>
        </w:rPr>
        <w:t>an HCH</w:t>
      </w:r>
      <w:r>
        <w:rPr>
          <w:rFonts w:eastAsia="Times New Roman"/>
          <w:iCs/>
          <w:szCs w:val="20"/>
        </w:rPr>
        <w:t xml:space="preserve"> in the earlier stages of implementation. </w:t>
      </w:r>
      <w:r w:rsidR="00BB77C7">
        <w:rPr>
          <w:rFonts w:eastAsia="Times New Roman"/>
          <w:iCs/>
          <w:szCs w:val="20"/>
        </w:rPr>
        <w:t>The most common were:</w:t>
      </w:r>
      <w:r w:rsidR="007A0893">
        <w:rPr>
          <w:rFonts w:eastAsia="Times New Roman"/>
          <w:iCs/>
          <w:szCs w:val="20"/>
        </w:rPr>
        <w:t xml:space="preserve"> reassigning </w:t>
      </w:r>
      <w:r w:rsidR="00BB77C7">
        <w:rPr>
          <w:rFonts w:eastAsia="Times New Roman"/>
          <w:iCs/>
          <w:szCs w:val="20"/>
        </w:rPr>
        <w:t>components of care usually undertaken by a GP to a nurse</w:t>
      </w:r>
      <w:r w:rsidR="007A0893">
        <w:rPr>
          <w:rFonts w:eastAsia="Times New Roman"/>
          <w:iCs/>
          <w:szCs w:val="20"/>
        </w:rPr>
        <w:t>; p</w:t>
      </w:r>
      <w:r w:rsidR="007A0893" w:rsidRPr="007A0893">
        <w:rPr>
          <w:rFonts w:eastAsia="Times New Roman"/>
          <w:iCs/>
          <w:szCs w:val="20"/>
        </w:rPr>
        <w:t>roactive</w:t>
      </w:r>
      <w:r w:rsidR="007A0893">
        <w:rPr>
          <w:rFonts w:eastAsia="Times New Roman"/>
          <w:iCs/>
          <w:szCs w:val="20"/>
        </w:rPr>
        <w:t>ly</w:t>
      </w:r>
      <w:r w:rsidR="007A0893" w:rsidRPr="007A0893">
        <w:rPr>
          <w:rFonts w:eastAsia="Times New Roman"/>
          <w:iCs/>
          <w:szCs w:val="20"/>
        </w:rPr>
        <w:t xml:space="preserve"> contact</w:t>
      </w:r>
      <w:r w:rsidR="007A0893">
        <w:rPr>
          <w:rFonts w:eastAsia="Times New Roman"/>
          <w:iCs/>
          <w:szCs w:val="20"/>
        </w:rPr>
        <w:t xml:space="preserve">ing </w:t>
      </w:r>
      <w:r w:rsidR="007A0893" w:rsidRPr="007A0893">
        <w:rPr>
          <w:rFonts w:eastAsia="Times New Roman"/>
          <w:iCs/>
          <w:szCs w:val="20"/>
        </w:rPr>
        <w:t xml:space="preserve">patients to </w:t>
      </w:r>
      <w:r w:rsidR="00164D01">
        <w:rPr>
          <w:rFonts w:eastAsia="Times New Roman"/>
          <w:iCs/>
          <w:szCs w:val="20"/>
        </w:rPr>
        <w:t>monitor their health</w:t>
      </w:r>
      <w:r w:rsidR="007A0893">
        <w:rPr>
          <w:rFonts w:eastAsia="Times New Roman"/>
          <w:iCs/>
          <w:szCs w:val="20"/>
        </w:rPr>
        <w:t xml:space="preserve">; </w:t>
      </w:r>
      <w:r w:rsidR="007A0893" w:rsidRPr="007A0893">
        <w:rPr>
          <w:rFonts w:eastAsia="Times New Roman"/>
          <w:iCs/>
          <w:szCs w:val="20"/>
        </w:rPr>
        <w:t>HCH patients able to telephone the practice and talk to a nurse or GP about their health concerns</w:t>
      </w:r>
      <w:r w:rsidR="007A0893">
        <w:rPr>
          <w:rFonts w:eastAsia="Times New Roman"/>
          <w:iCs/>
          <w:szCs w:val="20"/>
        </w:rPr>
        <w:t xml:space="preserve">; </w:t>
      </w:r>
      <w:r w:rsidR="00F13E3F" w:rsidRPr="00F13E3F">
        <w:rPr>
          <w:rFonts w:eastAsia="Times New Roman"/>
          <w:iCs/>
          <w:szCs w:val="20"/>
        </w:rPr>
        <w:t>HCH patients able to refill scripts without a GP consultation</w:t>
      </w:r>
      <w:r w:rsidR="00F13E3F">
        <w:rPr>
          <w:rFonts w:eastAsia="Times New Roman"/>
          <w:iCs/>
          <w:szCs w:val="20"/>
        </w:rPr>
        <w:t xml:space="preserve">; </w:t>
      </w:r>
      <w:r w:rsidR="007A0893">
        <w:rPr>
          <w:rFonts w:eastAsia="Times New Roman"/>
          <w:iCs/>
          <w:szCs w:val="20"/>
        </w:rPr>
        <w:t xml:space="preserve">improved systems for follow-up and re-call of HCH patients for preventative checks/ screens; and enhanced team care. </w:t>
      </w:r>
      <w:bookmarkStart w:id="28" w:name="_Hlk21340693"/>
      <w:r w:rsidR="00AE55F6">
        <w:rPr>
          <w:rFonts w:eastAsia="Times New Roman"/>
          <w:iCs/>
          <w:szCs w:val="20"/>
        </w:rPr>
        <w:t>P</w:t>
      </w:r>
      <w:r w:rsidR="00434AA1">
        <w:rPr>
          <w:rFonts w:eastAsia="Times New Roman"/>
          <w:iCs/>
          <w:szCs w:val="20"/>
        </w:rPr>
        <w:t>ractices</w:t>
      </w:r>
      <w:r w:rsidR="00AE55F6">
        <w:rPr>
          <w:rFonts w:eastAsia="Times New Roman"/>
          <w:iCs/>
          <w:szCs w:val="20"/>
        </w:rPr>
        <w:t xml:space="preserve"> that were interviewed</w:t>
      </w:r>
      <w:r w:rsidR="00434AA1">
        <w:rPr>
          <w:rFonts w:eastAsia="Times New Roman"/>
          <w:iCs/>
          <w:szCs w:val="20"/>
        </w:rPr>
        <w:t xml:space="preserve"> also identified similar changes.</w:t>
      </w:r>
    </w:p>
    <w:p w14:paraId="3E1577B2" w14:textId="1701C8E6" w:rsidR="00434AA1" w:rsidRDefault="00434AA1" w:rsidP="00B21A2B">
      <w:pPr>
        <w:rPr>
          <w:rFonts w:eastAsia="Times New Roman"/>
          <w:iCs/>
          <w:szCs w:val="20"/>
        </w:rPr>
      </w:pPr>
      <w:r>
        <w:rPr>
          <w:rFonts w:eastAsia="Times New Roman"/>
          <w:iCs/>
          <w:szCs w:val="20"/>
        </w:rPr>
        <w:t xml:space="preserve">Where practices had made changes, they </w:t>
      </w:r>
      <w:r w:rsidR="000A2AF5">
        <w:rPr>
          <w:rFonts w:eastAsia="Times New Roman"/>
          <w:iCs/>
          <w:szCs w:val="20"/>
        </w:rPr>
        <w:t>r</w:t>
      </w:r>
      <w:r w:rsidR="00760355">
        <w:rPr>
          <w:rFonts w:eastAsia="Times New Roman"/>
          <w:iCs/>
          <w:szCs w:val="20"/>
        </w:rPr>
        <w:t>eported</w:t>
      </w:r>
      <w:r w:rsidR="000A2AF5">
        <w:rPr>
          <w:rFonts w:eastAsia="Times New Roman"/>
          <w:iCs/>
          <w:szCs w:val="20"/>
        </w:rPr>
        <w:t xml:space="preserve"> that the</w:t>
      </w:r>
      <w:r w:rsidR="000A2AF5" w:rsidRPr="000A2AF5">
        <w:rPr>
          <w:rFonts w:eastAsia="Times New Roman"/>
          <w:iCs/>
          <w:szCs w:val="20"/>
        </w:rPr>
        <w:t xml:space="preserve"> program </w:t>
      </w:r>
      <w:r w:rsidR="00760355">
        <w:rPr>
          <w:rFonts w:eastAsia="Times New Roman"/>
          <w:iCs/>
          <w:szCs w:val="20"/>
        </w:rPr>
        <w:t>was already</w:t>
      </w:r>
      <w:r w:rsidR="000A2AF5" w:rsidRPr="000A2AF5">
        <w:rPr>
          <w:rFonts w:eastAsia="Times New Roman"/>
          <w:iCs/>
          <w:szCs w:val="20"/>
        </w:rPr>
        <w:t xml:space="preserve"> </w:t>
      </w:r>
      <w:r>
        <w:rPr>
          <w:rFonts w:eastAsia="Times New Roman"/>
          <w:iCs/>
          <w:szCs w:val="20"/>
        </w:rPr>
        <w:t xml:space="preserve">impacting positively on </w:t>
      </w:r>
      <w:r w:rsidR="000A2AF5" w:rsidRPr="000A2AF5">
        <w:rPr>
          <w:rFonts w:eastAsia="Times New Roman"/>
          <w:iCs/>
          <w:szCs w:val="20"/>
        </w:rPr>
        <w:t>their internal processes, team arrangements, and the quality of patient care</w:t>
      </w:r>
      <w:bookmarkEnd w:id="28"/>
      <w:r w:rsidR="000A2AF5">
        <w:rPr>
          <w:rFonts w:eastAsia="Times New Roman"/>
          <w:iCs/>
          <w:szCs w:val="20"/>
        </w:rPr>
        <w:t>.</w:t>
      </w:r>
      <w:r w:rsidR="00760355">
        <w:rPr>
          <w:rFonts w:eastAsia="Times New Roman"/>
          <w:iCs/>
          <w:szCs w:val="20"/>
        </w:rPr>
        <w:t xml:space="preserve"> However, </w:t>
      </w:r>
      <w:r w:rsidR="005D3994">
        <w:rPr>
          <w:rFonts w:eastAsia="Times New Roman"/>
          <w:iCs/>
          <w:szCs w:val="20"/>
        </w:rPr>
        <w:t>there were</w:t>
      </w:r>
      <w:r w:rsidR="00760355">
        <w:rPr>
          <w:rFonts w:eastAsia="Times New Roman"/>
          <w:iCs/>
          <w:szCs w:val="20"/>
        </w:rPr>
        <w:t xml:space="preserve"> practices</w:t>
      </w:r>
      <w:r w:rsidR="005D3994">
        <w:rPr>
          <w:rFonts w:eastAsia="Times New Roman"/>
          <w:iCs/>
          <w:szCs w:val="20"/>
        </w:rPr>
        <w:t xml:space="preserve"> that</w:t>
      </w:r>
      <w:r w:rsidR="00760355">
        <w:rPr>
          <w:rFonts w:eastAsia="Times New Roman"/>
          <w:iCs/>
          <w:szCs w:val="20"/>
        </w:rPr>
        <w:t xml:space="preserve"> were yet to make changes. </w:t>
      </w:r>
      <w:r w:rsidR="00396551">
        <w:rPr>
          <w:rFonts w:eastAsia="Times New Roman"/>
          <w:iCs/>
          <w:szCs w:val="20"/>
        </w:rPr>
        <w:t xml:space="preserve">One reason for this was that </w:t>
      </w:r>
      <w:bookmarkStart w:id="29" w:name="_Hlk21341699"/>
      <w:r w:rsidR="00396551">
        <w:rPr>
          <w:rFonts w:eastAsia="Times New Roman"/>
          <w:iCs/>
          <w:szCs w:val="20"/>
        </w:rPr>
        <w:t xml:space="preserve">they </w:t>
      </w:r>
      <w:bookmarkStart w:id="30" w:name="_Hlk21341879"/>
      <w:r w:rsidR="00396551">
        <w:rPr>
          <w:rFonts w:eastAsia="Times New Roman"/>
          <w:iCs/>
          <w:szCs w:val="20"/>
        </w:rPr>
        <w:t xml:space="preserve">were still planning what they </w:t>
      </w:r>
      <w:bookmarkEnd w:id="29"/>
      <w:r w:rsidR="00396551">
        <w:rPr>
          <w:rFonts w:eastAsia="Times New Roman"/>
          <w:iCs/>
          <w:szCs w:val="20"/>
        </w:rPr>
        <w:t>were going to do</w:t>
      </w:r>
      <w:bookmarkEnd w:id="30"/>
      <w:r w:rsidR="00396551">
        <w:rPr>
          <w:rFonts w:eastAsia="Times New Roman"/>
          <w:iCs/>
          <w:szCs w:val="20"/>
        </w:rPr>
        <w:t>.</w:t>
      </w:r>
      <w:r w:rsidR="008A686D">
        <w:rPr>
          <w:rFonts w:eastAsia="Times New Roman"/>
          <w:iCs/>
          <w:szCs w:val="20"/>
        </w:rPr>
        <w:t xml:space="preserve"> </w:t>
      </w:r>
      <w:r w:rsidR="008A686D" w:rsidRPr="008A686D">
        <w:rPr>
          <w:rFonts w:eastAsia="Times New Roman"/>
          <w:iCs/>
          <w:szCs w:val="20"/>
        </w:rPr>
        <w:t>Low enrolments also affected practices’ ability to make any significant changes</w:t>
      </w:r>
      <w:r>
        <w:rPr>
          <w:rFonts w:eastAsia="Times New Roman"/>
          <w:iCs/>
          <w:szCs w:val="20"/>
        </w:rPr>
        <w:t>, as did other barriers such as lack of GP-engagement and physical space</w:t>
      </w:r>
      <w:r w:rsidR="008A686D">
        <w:rPr>
          <w:rFonts w:eastAsia="Times New Roman"/>
          <w:iCs/>
          <w:szCs w:val="20"/>
        </w:rPr>
        <w:t xml:space="preserve">. </w:t>
      </w:r>
    </w:p>
    <w:p w14:paraId="6580EEA2" w14:textId="7712C472" w:rsidR="00B03C3A" w:rsidRDefault="00505AA9" w:rsidP="00505AA9">
      <w:r>
        <w:rPr>
          <w:rFonts w:eastAsia="Times New Roman"/>
          <w:iCs/>
          <w:szCs w:val="20"/>
        </w:rPr>
        <w:t>T</w:t>
      </w:r>
      <w:r w:rsidR="00434AA1">
        <w:t>here were also</w:t>
      </w:r>
      <w:r w:rsidR="00760355">
        <w:t xml:space="preserve"> </w:t>
      </w:r>
      <w:r w:rsidR="008A686D">
        <w:t>practices</w:t>
      </w:r>
      <w:r w:rsidR="00434AA1">
        <w:t xml:space="preserve"> that</w:t>
      </w:r>
      <w:r w:rsidR="008A686D">
        <w:t xml:space="preserve"> </w:t>
      </w:r>
      <w:r w:rsidR="00760355">
        <w:t>thought that</w:t>
      </w:r>
      <w:r w:rsidR="00164D01">
        <w:t xml:space="preserve"> they</w:t>
      </w:r>
      <w:r w:rsidR="005D3994">
        <w:t xml:space="preserve"> were</w:t>
      </w:r>
      <w:r w:rsidR="00164D01">
        <w:t xml:space="preserve"> already</w:t>
      </w:r>
      <w:r w:rsidR="005D3994">
        <w:t xml:space="preserve"> operating as </w:t>
      </w:r>
      <w:r w:rsidR="005644B2">
        <w:t>an HCH</w:t>
      </w:r>
      <w:r>
        <w:t xml:space="preserve">. These practices identified that </w:t>
      </w:r>
      <w:r w:rsidR="005D3994">
        <w:t>they</w:t>
      </w:r>
      <w:r w:rsidR="00164D01">
        <w:t xml:space="preserve"> had measures </w:t>
      </w:r>
      <w:r w:rsidR="00164D01" w:rsidRPr="00164D01">
        <w:t xml:space="preserve">in place for their chronic disease patients, such as care plans, access via phone, nurse-led management, team-based care and individualised treatment. Therefore, they did not intend to </w:t>
      </w:r>
      <w:r w:rsidR="00760355">
        <w:t>make any changes</w:t>
      </w:r>
      <w:r w:rsidR="00164D01">
        <w:t xml:space="preserve">. </w:t>
      </w:r>
      <w:r w:rsidR="00164D01" w:rsidRPr="00164D01">
        <w:t xml:space="preserve">PHN practice facilitators </w:t>
      </w:r>
      <w:r w:rsidR="00164D01">
        <w:t>i</w:t>
      </w:r>
      <w:r w:rsidR="00164D01" w:rsidRPr="00164D01">
        <w:t>n some cases</w:t>
      </w:r>
      <w:r w:rsidR="00164D01">
        <w:t xml:space="preserve"> </w:t>
      </w:r>
      <w:r w:rsidR="00164D01" w:rsidRPr="00164D01">
        <w:t>agreed that</w:t>
      </w:r>
      <w:r>
        <w:t xml:space="preserve"> these</w:t>
      </w:r>
      <w:r w:rsidR="00164D01" w:rsidRPr="00164D01">
        <w:t xml:space="preserve"> practice</w:t>
      </w:r>
      <w:r w:rsidR="00164D01">
        <w:t>s</w:t>
      </w:r>
      <w:r w:rsidR="00164D01" w:rsidRPr="00164D01">
        <w:t xml:space="preserve"> had indeed implemented</w:t>
      </w:r>
      <w:r w:rsidR="00BA28B3">
        <w:t xml:space="preserve"> </w:t>
      </w:r>
      <w:r w:rsidR="00164D01" w:rsidRPr="00164D01">
        <w:t>key features of the model</w:t>
      </w:r>
      <w:r w:rsidR="00164D01">
        <w:t xml:space="preserve">, </w:t>
      </w:r>
      <w:r>
        <w:t xml:space="preserve">but in others </w:t>
      </w:r>
      <w:r w:rsidR="00164D01">
        <w:t>they</w:t>
      </w:r>
      <w:r w:rsidR="00164D01" w:rsidRPr="00164D01">
        <w:t xml:space="preserve"> felt </w:t>
      </w:r>
      <w:r>
        <w:t>that the practice</w:t>
      </w:r>
      <w:r w:rsidR="00164D01" w:rsidRPr="00164D01">
        <w:t xml:space="preserve"> had a limited understanding of HCH</w:t>
      </w:r>
      <w:r w:rsidR="00164D01">
        <w:t xml:space="preserve">. </w:t>
      </w:r>
      <w:r>
        <w:t xml:space="preserve">An example that they gave was that </w:t>
      </w:r>
      <w:r w:rsidR="00164D01">
        <w:t>some</w:t>
      </w:r>
      <w:r>
        <w:t xml:space="preserve"> practices</w:t>
      </w:r>
      <w:r w:rsidR="000A2AF5">
        <w:t xml:space="preserve"> thought that meeting accreditation standards meant that they were already operating as </w:t>
      </w:r>
      <w:r w:rsidR="005644B2">
        <w:t>an HCH</w:t>
      </w:r>
      <w:r w:rsidR="000A2AF5">
        <w:t>.</w:t>
      </w:r>
    </w:p>
    <w:p w14:paraId="4DF97714" w14:textId="103F8985" w:rsidR="002A77ED" w:rsidRDefault="006E1642" w:rsidP="0059743A">
      <w:pPr>
        <w:pStyle w:val="Heading2"/>
      </w:pPr>
      <w:bookmarkStart w:id="31" w:name="_Toc32585822"/>
      <w:r>
        <w:t>Team</w:t>
      </w:r>
      <w:r w:rsidR="00AE55F6">
        <w:t xml:space="preserve"> care</w:t>
      </w:r>
      <w:r>
        <w:t xml:space="preserve"> and delegation</w:t>
      </w:r>
      <w:bookmarkEnd w:id="31"/>
    </w:p>
    <w:p w14:paraId="7788EC78" w14:textId="521E3C30" w:rsidR="006E1642" w:rsidRDefault="006E1642" w:rsidP="006E1642">
      <w:r w:rsidRPr="006E1642">
        <w:t>Several practices highlighted team-based care as the major change implemented in their practice</w:t>
      </w:r>
      <w:r>
        <w:t xml:space="preserve"> as part of HCH</w:t>
      </w:r>
      <w:r w:rsidRPr="006E1642">
        <w:t>. For many, it was bringing about positive results</w:t>
      </w:r>
      <w:r>
        <w:t xml:space="preserve">. </w:t>
      </w:r>
      <w:r w:rsidRPr="006E1642">
        <w:t>Other practices stated that they were still setting up processes to promote team-based care</w:t>
      </w:r>
      <w:r>
        <w:t>.</w:t>
      </w:r>
    </w:p>
    <w:p w14:paraId="6CF7E942" w14:textId="32F58A1F" w:rsidR="00C20681" w:rsidRDefault="00C20681" w:rsidP="006B7546">
      <w:r w:rsidRPr="00C20681">
        <w:t xml:space="preserve">The HCH model specifically focuses on broadening the roles of the primary care team, and provides the opportunity to delegate responsibilities traditionally managed by GPs to other team members. </w:t>
      </w:r>
      <w:r w:rsidR="002D37B1" w:rsidRPr="002D37B1">
        <w:t>Many practice staff interviewed felt that their GPs were already comfortable with delegating to other team members</w:t>
      </w:r>
      <w:r w:rsidR="002D37B1">
        <w:t>. T</w:t>
      </w:r>
      <w:r>
        <w:t>his had come about due to GPs’ exposure to team-based care in other countries</w:t>
      </w:r>
      <w:r w:rsidR="006B7546">
        <w:t xml:space="preserve">, or GPs recognising that they could </w:t>
      </w:r>
      <w:r w:rsidRPr="00C20681">
        <w:t xml:space="preserve">“take the pressure off” themselves </w:t>
      </w:r>
      <w:r w:rsidR="006B7546">
        <w:t>by delegating</w:t>
      </w:r>
      <w:r>
        <w:t>.</w:t>
      </w:r>
    </w:p>
    <w:p w14:paraId="5AFACA51" w14:textId="34A8A2CB" w:rsidR="006E1642" w:rsidRDefault="00C20681" w:rsidP="006E1642">
      <w:r w:rsidRPr="00C20681">
        <w:t>However, despite the recognition that delegation is important, several practices reported that shifting to a more team-based approach had been difficult. Delegation has been a major change for GPs and a barrier for some practices in implementing aspects of the HCH model. Many staff suggested that the key to successful change in this area is allowing time to foster staff relationships and develop trust</w:t>
      </w:r>
      <w:r>
        <w:t>.</w:t>
      </w:r>
      <w:r w:rsidR="002D37B1">
        <w:t xml:space="preserve"> </w:t>
      </w:r>
    </w:p>
    <w:p w14:paraId="447A15FF" w14:textId="695EE0FD" w:rsidR="002D37B1" w:rsidRPr="00923762" w:rsidRDefault="002D37B1" w:rsidP="006E1642">
      <w:r>
        <w:t>Sometimes team</w:t>
      </w:r>
      <w:r w:rsidR="00AE55F6">
        <w:t>-based care</w:t>
      </w:r>
      <w:r>
        <w:t xml:space="preserve"> was difficult due to patients’ expectations about seeing their doctor </w:t>
      </w:r>
      <w:r w:rsidR="00F4498F">
        <w:t xml:space="preserve">at </w:t>
      </w:r>
      <w:r w:rsidR="00F4498F" w:rsidRPr="00923762">
        <w:t>each appointment</w:t>
      </w:r>
      <w:r w:rsidRPr="00923762">
        <w:t>.</w:t>
      </w:r>
    </w:p>
    <w:p w14:paraId="75B21AA3" w14:textId="3AA9AA66" w:rsidR="006E1642" w:rsidRDefault="006E1642" w:rsidP="002C2EB4">
      <w:pPr>
        <w:pStyle w:val="Heading3"/>
      </w:pPr>
      <w:r>
        <w:t>New roles established</w:t>
      </w:r>
    </w:p>
    <w:p w14:paraId="3F1D5C87" w14:textId="5DDF5347" w:rsidR="006B7546" w:rsidRDefault="006B7546" w:rsidP="006B7546">
      <w:bookmarkStart w:id="32" w:name="_Hlk21360219"/>
      <w:r>
        <w:t>Some practices hired new staff and/ or established new roles responsible for HCH patients/ activities. New staff included nurses and medical practice assistants, and new roles were HCH coordinator/ nurse. These positions had responsibilities for</w:t>
      </w:r>
      <w:bookmarkEnd w:id="32"/>
      <w:r>
        <w:t xml:space="preserve">: enrolling patients; recalling </w:t>
      </w:r>
      <w:r>
        <w:lastRenderedPageBreak/>
        <w:t>and monitoring HCH patients via phone and email; tracking and handling finances; chronic disease management; running patient groups; entering data; preparing patient care plans; liaising with outside specialists and allied health professionals.</w:t>
      </w:r>
    </w:p>
    <w:p w14:paraId="51AF1B00" w14:textId="4EA7F7C0" w:rsidR="00174DB5" w:rsidRDefault="006B7546" w:rsidP="006B7546">
      <w:r>
        <w:t xml:space="preserve">Though some practices with a larger proportion of HCH patients would have liked to hire additional staff for HCH, they felt that they were restricted either financially or due to </w:t>
      </w:r>
      <w:r w:rsidR="00B16261">
        <w:t>the ability to recruit</w:t>
      </w:r>
      <w:r>
        <w:t xml:space="preserve"> staff or turnover</w:t>
      </w:r>
      <w:r w:rsidR="00505AA9">
        <w:t xml:space="preserve"> of staff</w:t>
      </w:r>
      <w:r>
        <w:t>. Some practices focused on having dedicated staff for</w:t>
      </w:r>
      <w:r w:rsidR="00BA28B3">
        <w:t xml:space="preserve"> </w:t>
      </w:r>
      <w:r>
        <w:t xml:space="preserve">HCH </w:t>
      </w:r>
      <w:r w:rsidR="00F4498F">
        <w:t>to ensure that they could keep</w:t>
      </w:r>
      <w:r>
        <w:t xml:space="preserve"> up with the workload.</w:t>
      </w:r>
    </w:p>
    <w:p w14:paraId="38345A11" w14:textId="327824DB" w:rsidR="009E3686" w:rsidRPr="0059743A" w:rsidRDefault="009E3686" w:rsidP="009E3686">
      <w:pPr>
        <w:pStyle w:val="Heading3"/>
        <w:rPr>
          <w:sz w:val="40"/>
          <w:szCs w:val="26"/>
        </w:rPr>
      </w:pPr>
      <w:r w:rsidRPr="0059743A">
        <w:rPr>
          <w:sz w:val="40"/>
          <w:szCs w:val="26"/>
        </w:rPr>
        <w:t>Managing change</w:t>
      </w:r>
    </w:p>
    <w:p w14:paraId="244A3DE6" w14:textId="776DED2E" w:rsidR="009E3686" w:rsidRDefault="009E3686" w:rsidP="006B7546">
      <w:r w:rsidRPr="009E3686">
        <w:t>PHN practice facilitators</w:t>
      </w:r>
      <w:r>
        <w:t xml:space="preserve"> and practices</w:t>
      </w:r>
      <w:r w:rsidRPr="009E3686">
        <w:t xml:space="preserve"> identified key factors that helped practices transition to </w:t>
      </w:r>
      <w:r w:rsidR="005644B2">
        <w:t>an HCH</w:t>
      </w:r>
      <w:r w:rsidRPr="009E3686">
        <w:t>: change leaders, peer-to-peer engagement</w:t>
      </w:r>
      <w:r>
        <w:t xml:space="preserve"> and</w:t>
      </w:r>
      <w:r w:rsidRPr="009E3686">
        <w:t xml:space="preserve"> sequencing change</w:t>
      </w:r>
      <w:r>
        <w:t>.</w:t>
      </w:r>
    </w:p>
    <w:p w14:paraId="625A7F32" w14:textId="70DEBECB" w:rsidR="009E3686" w:rsidRDefault="009E3686" w:rsidP="009E3686">
      <w:r>
        <w:t xml:space="preserve">Practice facilitators felt that practices should identify key people within the practice to facilitate the change </w:t>
      </w:r>
      <w:r w:rsidR="00505AA9">
        <w:t>to an HCH</w:t>
      </w:r>
      <w:r>
        <w:t xml:space="preserve">. More than one person was required – typically a GP, a nurse and a practice manager. Facilitators thought this team should be adequately prepared, for example, </w:t>
      </w:r>
      <w:r w:rsidR="00286092">
        <w:t xml:space="preserve">through </w:t>
      </w:r>
      <w:r>
        <w:t xml:space="preserve">training taken together prior to the start of the </w:t>
      </w:r>
      <w:r w:rsidR="00286092">
        <w:t>implementation and</w:t>
      </w:r>
      <w:r>
        <w:t xml:space="preserve"> having protected time to plan as a team.</w:t>
      </w:r>
    </w:p>
    <w:p w14:paraId="4500511B" w14:textId="66EDCAB4" w:rsidR="009E3686" w:rsidRDefault="009E3686" w:rsidP="006B7546">
      <w:r w:rsidRPr="009E3686">
        <w:t xml:space="preserve">A struggle in </w:t>
      </w:r>
      <w:r w:rsidR="00286092">
        <w:t xml:space="preserve">PHN </w:t>
      </w:r>
      <w:r w:rsidRPr="009E3686">
        <w:t xml:space="preserve">practice facilitators’ role was engaging GPs in the practices. Many recognised early that peer-to-peer engagement was the most effective approach for this. A strategy PHNs used was to use a GP with experience of implementing </w:t>
      </w:r>
      <w:r w:rsidR="00505AA9">
        <w:t>PCMH</w:t>
      </w:r>
      <w:r w:rsidRPr="009E3686">
        <w:t xml:space="preserve"> to talk to the local GPs about</w:t>
      </w:r>
      <w:r>
        <w:t xml:space="preserve"> the model. </w:t>
      </w:r>
      <w:r w:rsidRPr="009E3686">
        <w:t>Another strategy was GP-to-GP forums, which were often a subset of a wider community of practice established by the PHN</w:t>
      </w:r>
      <w:r>
        <w:t>.</w:t>
      </w:r>
    </w:p>
    <w:p w14:paraId="1A4322AD" w14:textId="7B3E35DB" w:rsidR="009E3686" w:rsidRDefault="009E3686" w:rsidP="006B7546">
      <w:r w:rsidRPr="009E3686">
        <w:t>Practice facilitators talked about the need to break up tasks to make change more manageable</w:t>
      </w:r>
      <w:r>
        <w:t xml:space="preserve">. </w:t>
      </w:r>
      <w:r w:rsidRPr="009E3686">
        <w:t xml:space="preserve">They also talked about tailoring their work with practices according to the stage that </w:t>
      </w:r>
      <w:r>
        <w:t>the practice was</w:t>
      </w:r>
      <w:r w:rsidRPr="009E3686">
        <w:t xml:space="preserve"> at, including managing how much information that they gave </w:t>
      </w:r>
      <w:r>
        <w:t>the practice at certain points</w:t>
      </w:r>
      <w:r w:rsidRPr="009E3686">
        <w:t>.</w:t>
      </w:r>
    </w:p>
    <w:p w14:paraId="0B10656D" w14:textId="13EE2C1F" w:rsidR="009E3686" w:rsidRDefault="009E3686" w:rsidP="009E3686">
      <w:bookmarkStart w:id="33" w:name="_Hlk21360999"/>
      <w:r>
        <w:t xml:space="preserve">Both PHN practice facilitators and practices </w:t>
      </w:r>
      <w:r w:rsidR="00D454D6">
        <w:t xml:space="preserve">also </w:t>
      </w:r>
      <w:r>
        <w:t xml:space="preserve">discussed </w:t>
      </w:r>
      <w:r w:rsidR="00D454D6">
        <w:t>other</w:t>
      </w:r>
      <w:r>
        <w:t xml:space="preserve"> aspects of practices that enhanced or thwarted their ability to effectively transition to </w:t>
      </w:r>
      <w:r w:rsidR="005644B2">
        <w:t>an HCH</w:t>
      </w:r>
      <w:bookmarkEnd w:id="33"/>
      <w:r>
        <w:t>.</w:t>
      </w:r>
      <w:r w:rsidR="00286092">
        <w:t xml:space="preserve"> </w:t>
      </w:r>
      <w:bookmarkStart w:id="34" w:name="_Hlk21360691"/>
      <w:r w:rsidR="00D454D6" w:rsidRPr="00D454D6">
        <w:t>Some practices felt that their involvement in past initiatives made it easier for them to adopt HCH</w:t>
      </w:r>
      <w:r>
        <w:t xml:space="preserve">. </w:t>
      </w:r>
      <w:r w:rsidR="00F7613C">
        <w:t xml:space="preserve">These </w:t>
      </w:r>
      <w:r>
        <w:t>included team-based care, quality improvement, and patient-centred care. They reported that these initiatives helped them slowly engage their staff and create a culture that embraced the HCH model. Engagement in these types of activities often meant that they had worked with their PHNs in the past. It also gave them additional time to prepare for this type of large-scale change</w:t>
      </w:r>
      <w:bookmarkEnd w:id="34"/>
      <w:r>
        <w:t>.</w:t>
      </w:r>
    </w:p>
    <w:p w14:paraId="656D4A03" w14:textId="45EDBFD5" w:rsidR="00D454D6" w:rsidRDefault="00D454D6" w:rsidP="009E3686">
      <w:bookmarkStart w:id="35" w:name="_Hlk21361434"/>
      <w:r w:rsidRPr="00D454D6">
        <w:t xml:space="preserve">Practices in rural and remote areas </w:t>
      </w:r>
      <w:r w:rsidR="00B16261">
        <w:t>identified</w:t>
      </w:r>
      <w:r>
        <w:t xml:space="preserve"> </w:t>
      </w:r>
      <w:r w:rsidRPr="00D454D6">
        <w:t>obstacles</w:t>
      </w:r>
      <w:r>
        <w:t xml:space="preserve"> related to their location</w:t>
      </w:r>
      <w:r w:rsidRPr="00D454D6">
        <w:t xml:space="preserve">. These included difficulty recruiting staff; problems with IT connectivity and general </w:t>
      </w:r>
      <w:r w:rsidR="00BA28B3">
        <w:t>set-up</w:t>
      </w:r>
      <w:r w:rsidRPr="00D454D6">
        <w:t>; fewer supports and medical resources for individuals; and limited access resulting in high wait</w:t>
      </w:r>
      <w:r w:rsidR="00B3033C">
        <w:t>ing</w:t>
      </w:r>
      <w:r w:rsidRPr="00D454D6">
        <w:t xml:space="preserve"> times</w:t>
      </w:r>
      <w:bookmarkEnd w:id="35"/>
      <w:r w:rsidR="00210AD4">
        <w:t xml:space="preserve"> for patients</w:t>
      </w:r>
      <w:r>
        <w:t>.</w:t>
      </w:r>
    </w:p>
    <w:p w14:paraId="0F2025CB" w14:textId="74FA5B61" w:rsidR="00FE0EFE" w:rsidRDefault="00D454D6" w:rsidP="00D454D6">
      <w:r w:rsidRPr="009E3686">
        <w:t xml:space="preserve">There were conflicting views on whether practice size </w:t>
      </w:r>
      <w:r>
        <w:t xml:space="preserve">or ownership type </w:t>
      </w:r>
      <w:r w:rsidRPr="009E3686">
        <w:t xml:space="preserve">made it easier to implement HCH. </w:t>
      </w:r>
    </w:p>
    <w:p w14:paraId="4390972B" w14:textId="77777777" w:rsidR="00FE0EFE" w:rsidRDefault="00FE0EFE">
      <w:pPr>
        <w:spacing w:after="160" w:line="259" w:lineRule="auto"/>
      </w:pPr>
      <w:r>
        <w:br w:type="page"/>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926"/>
      </w:tblGrid>
      <w:tr w:rsidR="00135A71" w:rsidRPr="00E52C83" w14:paraId="2D214341" w14:textId="77777777" w:rsidTr="00556643">
        <w:tc>
          <w:tcPr>
            <w:tcW w:w="8926" w:type="dxa"/>
            <w:shd w:val="clear" w:color="auto" w:fill="F2F2F2" w:themeFill="background1" w:themeFillShade="F2"/>
          </w:tcPr>
          <w:p w14:paraId="29303075" w14:textId="2D87C4D9" w:rsidR="00135A71" w:rsidRPr="00E52C83" w:rsidRDefault="00135A71" w:rsidP="007065A3">
            <w:pPr>
              <w:pStyle w:val="BodyText"/>
              <w:spacing w:after="120" w:line="276" w:lineRule="auto"/>
              <w:ind w:right="239"/>
              <w:jc w:val="center"/>
              <w:rPr>
                <w:b/>
                <w:spacing w:val="-1"/>
                <w:sz w:val="18"/>
                <w:szCs w:val="18"/>
              </w:rPr>
            </w:pPr>
            <w:r w:rsidRPr="00E52C83">
              <w:rPr>
                <w:b/>
                <w:spacing w:val="-1"/>
                <w:sz w:val="18"/>
                <w:szCs w:val="18"/>
              </w:rPr>
              <w:lastRenderedPageBreak/>
              <w:t xml:space="preserve">Lessons – </w:t>
            </w:r>
            <w:r w:rsidR="009908B4" w:rsidRPr="00E52C83">
              <w:rPr>
                <w:b/>
                <w:spacing w:val="-1"/>
                <w:sz w:val="18"/>
                <w:szCs w:val="18"/>
              </w:rPr>
              <w:t>C</w:t>
            </w:r>
            <w:r w:rsidR="004838C9" w:rsidRPr="00E52C83">
              <w:rPr>
                <w:b/>
                <w:spacing w:val="-1"/>
                <w:sz w:val="18"/>
                <w:szCs w:val="18"/>
              </w:rPr>
              <w:t>hanges within practices</w:t>
            </w:r>
          </w:p>
          <w:p w14:paraId="5CB95CDF" w14:textId="31985802" w:rsidR="00A26EB6" w:rsidRPr="00E52C83" w:rsidRDefault="00A26EB6" w:rsidP="007065A3">
            <w:pPr>
              <w:pStyle w:val="BodyText"/>
              <w:numPr>
                <w:ilvl w:val="0"/>
                <w:numId w:val="7"/>
              </w:numPr>
              <w:tabs>
                <w:tab w:val="left" w:pos="674"/>
              </w:tabs>
              <w:spacing w:after="120" w:line="276" w:lineRule="auto"/>
              <w:rPr>
                <w:spacing w:val="-1"/>
                <w:sz w:val="18"/>
                <w:szCs w:val="18"/>
              </w:rPr>
            </w:pPr>
            <w:bookmarkStart w:id="36" w:name="_Hlk22305502"/>
            <w:r w:rsidRPr="00E52C83">
              <w:rPr>
                <w:spacing w:val="-1"/>
                <w:sz w:val="18"/>
                <w:szCs w:val="18"/>
              </w:rPr>
              <w:t>Use peer-to-peer approaches to raise awareness of initiatives such as HCH amongst GPs.</w:t>
            </w:r>
          </w:p>
          <w:p w14:paraId="1B4F30CC" w14:textId="771201F4" w:rsidR="00135A71" w:rsidRPr="00E52C83" w:rsidRDefault="00135A71" w:rsidP="007065A3">
            <w:pPr>
              <w:pStyle w:val="BodyText"/>
              <w:numPr>
                <w:ilvl w:val="0"/>
                <w:numId w:val="7"/>
              </w:numPr>
              <w:tabs>
                <w:tab w:val="left" w:pos="674"/>
              </w:tabs>
              <w:spacing w:after="120" w:line="276" w:lineRule="auto"/>
              <w:rPr>
                <w:spacing w:val="-1"/>
                <w:sz w:val="18"/>
                <w:szCs w:val="18"/>
              </w:rPr>
            </w:pPr>
            <w:r w:rsidRPr="00E52C83">
              <w:rPr>
                <w:spacing w:val="-1"/>
                <w:sz w:val="18"/>
                <w:szCs w:val="18"/>
              </w:rPr>
              <w:t>Practices to identify key people to facilitate the change process. A team comprising a GP, a nurse and a practice manager is potentially most effective. Members of this team should</w:t>
            </w:r>
            <w:r w:rsidR="00A26EB6" w:rsidRPr="00E52C83">
              <w:rPr>
                <w:spacing w:val="-1"/>
                <w:sz w:val="18"/>
                <w:szCs w:val="18"/>
              </w:rPr>
              <w:t xml:space="preserve"> be trained and</w:t>
            </w:r>
            <w:r w:rsidRPr="00E52C83">
              <w:rPr>
                <w:spacing w:val="-1"/>
                <w:sz w:val="18"/>
                <w:szCs w:val="18"/>
              </w:rPr>
              <w:t xml:space="preserve"> have protected time to plan as a team.</w:t>
            </w:r>
          </w:p>
          <w:p w14:paraId="38BFB220" w14:textId="34ACD9A2" w:rsidR="00135A71" w:rsidRPr="00E52C83" w:rsidRDefault="00135A71" w:rsidP="007065A3">
            <w:pPr>
              <w:pStyle w:val="BodyText"/>
              <w:numPr>
                <w:ilvl w:val="0"/>
                <w:numId w:val="7"/>
              </w:numPr>
              <w:tabs>
                <w:tab w:val="left" w:pos="674"/>
              </w:tabs>
              <w:spacing w:after="120" w:line="276" w:lineRule="auto"/>
              <w:rPr>
                <w:sz w:val="18"/>
                <w:szCs w:val="18"/>
              </w:rPr>
            </w:pPr>
            <w:r w:rsidRPr="00E52C83">
              <w:rPr>
                <w:spacing w:val="-1"/>
                <w:sz w:val="18"/>
                <w:szCs w:val="18"/>
              </w:rPr>
              <w:t>Create more opportunities for peer-to-peer engagement of clinicians involved in implementation.</w:t>
            </w:r>
            <w:bookmarkEnd w:id="36"/>
          </w:p>
        </w:tc>
      </w:tr>
    </w:tbl>
    <w:p w14:paraId="1E4EB76A" w14:textId="77777777" w:rsidR="00135A71" w:rsidRDefault="00135A71" w:rsidP="00493F6E">
      <w:pPr>
        <w:spacing w:after="0"/>
      </w:pPr>
    </w:p>
    <w:p w14:paraId="4B0B64A0" w14:textId="51D8FC24" w:rsidR="00D454D6" w:rsidRPr="0059743A" w:rsidRDefault="00A374E6" w:rsidP="00A374E6">
      <w:pPr>
        <w:pStyle w:val="Heading3"/>
        <w:rPr>
          <w:sz w:val="40"/>
          <w:szCs w:val="26"/>
        </w:rPr>
      </w:pPr>
      <w:r w:rsidRPr="0059743A">
        <w:rPr>
          <w:sz w:val="40"/>
          <w:szCs w:val="26"/>
        </w:rPr>
        <w:t>Staff experience</w:t>
      </w:r>
    </w:p>
    <w:p w14:paraId="4BF411C0" w14:textId="296DDF4A" w:rsidR="00A374E6" w:rsidRDefault="00A374E6" w:rsidP="009E3686">
      <w:r w:rsidRPr="00A374E6">
        <w:t>Individual staff members interviewed for the evaluation discussed varying degree</w:t>
      </w:r>
      <w:r w:rsidR="00EE25BB">
        <w:t>s</w:t>
      </w:r>
      <w:r w:rsidRPr="00A374E6">
        <w:t xml:space="preserve"> of change in their own roles since the inception of the program. </w:t>
      </w:r>
      <w:bookmarkStart w:id="37" w:name="_Hlk21361694"/>
      <w:r w:rsidRPr="00A374E6">
        <w:t xml:space="preserve">Some </w:t>
      </w:r>
      <w:r>
        <w:t>staff members</w:t>
      </w:r>
      <w:r w:rsidRPr="00A374E6">
        <w:t xml:space="preserve"> reported that, despite an increase in administrative and clinical tasks, their role </w:t>
      </w:r>
      <w:r>
        <w:t>was</w:t>
      </w:r>
      <w:r w:rsidRPr="00A374E6">
        <w:t xml:space="preserve"> largely the same</w:t>
      </w:r>
      <w:bookmarkEnd w:id="37"/>
      <w:r>
        <w:t>.</w:t>
      </w:r>
    </w:p>
    <w:p w14:paraId="0C4DDC27" w14:textId="00EB972A" w:rsidR="00A374E6" w:rsidRDefault="00A374E6" w:rsidP="009E3686">
      <w:r w:rsidRPr="00A374E6">
        <w:t xml:space="preserve">In some instances staff members reported that their job satisfaction was initially negatively impacted </w:t>
      </w:r>
      <w:r>
        <w:t>due to the</w:t>
      </w:r>
      <w:r w:rsidRPr="00A374E6">
        <w:t xml:space="preserve"> additional tasks and administrative burden, but this has since been resolved</w:t>
      </w:r>
      <w:r>
        <w:t xml:space="preserve">. </w:t>
      </w:r>
      <w:r w:rsidRPr="00A374E6">
        <w:t>A few practices reported that their HCH-associated workload has not decreased, and their staff members are still struggling to integrate some aspects of the model within their scope of responsibilities</w:t>
      </w:r>
      <w:r>
        <w:t>.</w:t>
      </w:r>
    </w:p>
    <w:p w14:paraId="35BDD53A" w14:textId="72B5E388" w:rsidR="008F21AD" w:rsidRDefault="00A374E6" w:rsidP="00B03C3A">
      <w:pPr>
        <w:rPr>
          <w:rFonts w:eastAsiaTheme="majorEastAsia" w:cstheme="majorBidi"/>
          <w:color w:val="003D79"/>
          <w:sz w:val="60"/>
          <w:szCs w:val="32"/>
        </w:rPr>
      </w:pPr>
      <w:bookmarkStart w:id="38" w:name="_Hlk21362513"/>
      <w:r w:rsidRPr="00A374E6">
        <w:t xml:space="preserve">Despite these difficulties, practices reported largely positive changes in their roles and experience with </w:t>
      </w:r>
      <w:r w:rsidR="00BB6E84">
        <w:t>implementing</w:t>
      </w:r>
      <w:r w:rsidRPr="00A374E6">
        <w:t xml:space="preserve"> HCH</w:t>
      </w:r>
      <w:bookmarkEnd w:id="38"/>
      <w:r w:rsidRPr="00A374E6">
        <w:t>. These include increased autonomy and responsibilities for nurses, less pressure on GPs, more team coordination and staff involvement, and stronger staff-patient relationships</w:t>
      </w:r>
      <w:r>
        <w:t xml:space="preserve">. </w:t>
      </w:r>
    </w:p>
    <w:p w14:paraId="117F68F4" w14:textId="0B11678A" w:rsidR="008B5E40" w:rsidRDefault="008B5E40" w:rsidP="0059743A">
      <w:pPr>
        <w:pStyle w:val="Heading1nonumber"/>
      </w:pPr>
      <w:bookmarkStart w:id="39" w:name="_Toc32585823"/>
      <w:r>
        <w:t>Patient experiences</w:t>
      </w:r>
      <w:bookmarkEnd w:id="39"/>
    </w:p>
    <w:p w14:paraId="46FAB53A" w14:textId="4B40BFA8" w:rsidR="008B5E40" w:rsidRDefault="002F3FA2" w:rsidP="008C2D89">
      <w:r>
        <w:t xml:space="preserve">Patient interviews were conducted between September and October 2018, and provide early insights into </w:t>
      </w:r>
      <w:bookmarkStart w:id="40" w:name="_Hlk21014302"/>
      <w:r>
        <w:t xml:space="preserve">patients’ experiences </w:t>
      </w:r>
      <w:bookmarkEnd w:id="40"/>
      <w:r>
        <w:t xml:space="preserve">of HCH. At that time many practices were </w:t>
      </w:r>
      <w:r w:rsidR="00EE25BB">
        <w:t>only just starting to implement</w:t>
      </w:r>
      <w:r w:rsidR="00DB121A">
        <w:t xml:space="preserve"> HCH</w:t>
      </w:r>
      <w:r>
        <w:t xml:space="preserve"> and were focussing on patient enrolment. </w:t>
      </w:r>
      <w:r w:rsidR="00C01DB3">
        <w:t>Consequently</w:t>
      </w:r>
      <w:r>
        <w:t xml:space="preserve">, </w:t>
      </w:r>
      <w:r w:rsidRPr="002F3FA2">
        <w:t>interviewees’</w:t>
      </w:r>
      <w:r>
        <w:t xml:space="preserve"> reflections about the differences in their care under the HCH model were limited.</w:t>
      </w:r>
      <w:r w:rsidR="008C2D89">
        <w:t xml:space="preserve"> </w:t>
      </w:r>
      <w:r w:rsidR="00B740CC">
        <w:t>However</w:t>
      </w:r>
      <w:r>
        <w:t>, some practices were further along in implement</w:t>
      </w:r>
      <w:r w:rsidR="00164899">
        <w:t>ing the program</w:t>
      </w:r>
      <w:r>
        <w:t xml:space="preserve"> and </w:t>
      </w:r>
      <w:r w:rsidR="00B740CC">
        <w:t>changes</w:t>
      </w:r>
      <w:r>
        <w:t xml:space="preserve"> were apparent to patients.</w:t>
      </w:r>
      <w:r w:rsidR="008C2D89">
        <w:t xml:space="preserve"> These included: alternative means of accessing services (e.g. telephone)</w:t>
      </w:r>
      <w:r w:rsidR="00EE25BB">
        <w:t>;</w:t>
      </w:r>
      <w:r w:rsidR="008C2D89">
        <w:t xml:space="preserve"> better access more generally (e.g. priority appointments)</w:t>
      </w:r>
      <w:r w:rsidR="00EE25BB">
        <w:t>;</w:t>
      </w:r>
      <w:r w:rsidR="008C2D89">
        <w:t xml:space="preserve"> m</w:t>
      </w:r>
      <w:r w:rsidR="008C2D89" w:rsidRPr="008C2D89">
        <w:t>ore proactive management of chronic conditions</w:t>
      </w:r>
      <w:r w:rsidR="00EE25BB">
        <w:t>;</w:t>
      </w:r>
      <w:r w:rsidR="008C2D89">
        <w:t xml:space="preserve"> better coordination</w:t>
      </w:r>
      <w:r w:rsidR="00EE25BB">
        <w:t>;</w:t>
      </w:r>
      <w:r w:rsidR="008C2D89">
        <w:t xml:space="preserve"> greater involvement of patient in their own care/ emphasis on patient activation</w:t>
      </w:r>
      <w:r w:rsidR="00EE25BB">
        <w:t>;</w:t>
      </w:r>
      <w:r w:rsidR="008C2D89">
        <w:t xml:space="preserve"> more holistic approach to care and more administratively organised with care and follow up.</w:t>
      </w:r>
    </w:p>
    <w:p w14:paraId="0DF7A2D6" w14:textId="1E7D12E9" w:rsidR="00C47F0C" w:rsidRDefault="00C47F0C" w:rsidP="008C2D89">
      <w:pPr>
        <w:rPr>
          <w:rFonts w:eastAsia="Times New Roman" w:cs="Segoe UI"/>
          <w:szCs w:val="20"/>
          <w:lang w:eastAsia="en-AU"/>
        </w:rPr>
      </w:pPr>
      <w:r>
        <w:t xml:space="preserve">Where patients reported improved access since joining HCH, this was mainly </w:t>
      </w:r>
      <w:r>
        <w:rPr>
          <w:rFonts w:eastAsia="Times New Roman" w:cs="Segoe UI"/>
          <w:szCs w:val="20"/>
          <w:lang w:eastAsia="en-AU"/>
        </w:rPr>
        <w:t xml:space="preserve">through being able to contact a nurse via phone or email </w:t>
      </w:r>
      <w:r w:rsidR="00A56CA8">
        <w:rPr>
          <w:rFonts w:eastAsia="Times New Roman" w:cs="Segoe UI"/>
          <w:szCs w:val="20"/>
          <w:lang w:eastAsia="en-AU"/>
        </w:rPr>
        <w:t xml:space="preserve">with any questions or </w:t>
      </w:r>
      <w:r w:rsidR="00B740CC">
        <w:rPr>
          <w:rFonts w:eastAsia="Times New Roman" w:cs="Segoe UI"/>
          <w:szCs w:val="20"/>
          <w:lang w:eastAsia="en-AU"/>
        </w:rPr>
        <w:t xml:space="preserve">to </w:t>
      </w:r>
      <w:r w:rsidR="00A56CA8">
        <w:rPr>
          <w:rFonts w:eastAsia="Times New Roman" w:cs="Segoe UI"/>
          <w:szCs w:val="20"/>
          <w:lang w:eastAsia="en-AU"/>
        </w:rPr>
        <w:t>get</w:t>
      </w:r>
      <w:r>
        <w:rPr>
          <w:rFonts w:eastAsia="Times New Roman" w:cs="Segoe UI"/>
          <w:szCs w:val="20"/>
          <w:lang w:eastAsia="en-AU"/>
        </w:rPr>
        <w:t xml:space="preserve"> a repeat prescription. </w:t>
      </w:r>
      <w:r w:rsidR="00A56CA8">
        <w:rPr>
          <w:rFonts w:eastAsia="Times New Roman" w:cs="Segoe UI"/>
          <w:szCs w:val="20"/>
          <w:lang w:eastAsia="en-AU"/>
        </w:rPr>
        <w:t>Patients also reported follow up by the practice by phone or email</w:t>
      </w:r>
      <w:r w:rsidR="00543FE8">
        <w:rPr>
          <w:rFonts w:eastAsia="Times New Roman" w:cs="Segoe UI"/>
          <w:szCs w:val="20"/>
          <w:lang w:eastAsia="en-AU"/>
        </w:rPr>
        <w:t xml:space="preserve"> to check in or remind them about upcoming </w:t>
      </w:r>
      <w:r w:rsidR="00500E71">
        <w:rPr>
          <w:rFonts w:eastAsia="Times New Roman" w:cs="Segoe UI"/>
          <w:szCs w:val="20"/>
          <w:lang w:eastAsia="en-AU"/>
        </w:rPr>
        <w:t>appointments</w:t>
      </w:r>
      <w:r w:rsidR="00543FE8">
        <w:rPr>
          <w:rFonts w:eastAsia="Times New Roman" w:cs="Segoe UI"/>
          <w:szCs w:val="20"/>
          <w:lang w:eastAsia="en-AU"/>
        </w:rPr>
        <w:t xml:space="preserve">. </w:t>
      </w:r>
    </w:p>
    <w:p w14:paraId="0BBF1B90" w14:textId="7710A8AF" w:rsidR="00500E71" w:rsidRDefault="00500E71" w:rsidP="008C2D89">
      <w:pPr>
        <w:rPr>
          <w:rFonts w:eastAsia="Times New Roman" w:cs="Segoe UI"/>
          <w:szCs w:val="20"/>
          <w:lang w:eastAsia="en-AU"/>
        </w:rPr>
      </w:pPr>
      <w:r>
        <w:rPr>
          <w:rFonts w:eastAsia="Times New Roman" w:cs="Segoe UI"/>
          <w:szCs w:val="20"/>
          <w:lang w:eastAsia="en-AU"/>
        </w:rPr>
        <w:t xml:space="preserve">Some practices gave HCH patients priority access so that they </w:t>
      </w:r>
      <w:r w:rsidR="00E75E06">
        <w:rPr>
          <w:rFonts w:eastAsia="Times New Roman" w:cs="Segoe UI"/>
          <w:szCs w:val="20"/>
          <w:lang w:eastAsia="en-AU"/>
        </w:rPr>
        <w:t xml:space="preserve">wouldn’t </w:t>
      </w:r>
      <w:r>
        <w:rPr>
          <w:rFonts w:eastAsia="Times New Roman" w:cs="Segoe UI"/>
          <w:szCs w:val="20"/>
          <w:lang w:eastAsia="en-AU"/>
        </w:rPr>
        <w:t>have to wait when they turn up at the practice or they would get a priority appointment if something urgent came up.</w:t>
      </w:r>
      <w:r w:rsidR="004D6F9A">
        <w:rPr>
          <w:rFonts w:eastAsia="Times New Roman" w:cs="Segoe UI"/>
          <w:szCs w:val="20"/>
          <w:lang w:eastAsia="en-AU"/>
        </w:rPr>
        <w:t xml:space="preserve"> However, patients’ experience of this varied. Some noticed a difference (e.g. the receptionist would send them straight through to see a nurse when they attended the </w:t>
      </w:r>
      <w:r w:rsidR="004D6F9A">
        <w:rPr>
          <w:rFonts w:eastAsia="Times New Roman" w:cs="Segoe UI"/>
          <w:szCs w:val="20"/>
          <w:lang w:eastAsia="en-AU"/>
        </w:rPr>
        <w:lastRenderedPageBreak/>
        <w:t>practice), while others didn’t notice a different or expected that there would be a difference but reported still having to wait.</w:t>
      </w:r>
    </w:p>
    <w:p w14:paraId="7579CE41" w14:textId="23275213" w:rsidR="00EC598D" w:rsidRDefault="00C050DF" w:rsidP="008C2D89">
      <w:pPr>
        <w:rPr>
          <w:rFonts w:eastAsia="Times New Roman" w:cs="Segoe UI"/>
          <w:szCs w:val="20"/>
          <w:lang w:eastAsia="en-AU"/>
        </w:rPr>
      </w:pPr>
      <w:r>
        <w:rPr>
          <w:rFonts w:eastAsia="Times New Roman" w:cs="Segoe UI"/>
          <w:szCs w:val="20"/>
          <w:lang w:eastAsia="en-AU"/>
        </w:rPr>
        <w:t xml:space="preserve">Another feature of HCH that many practices instigated was greater involvement of nurses in patients’ care. </w:t>
      </w:r>
      <w:r w:rsidR="00EC598D" w:rsidRPr="00C050DF">
        <w:rPr>
          <w:rFonts w:eastAsia="Times New Roman" w:cs="Segoe UI"/>
          <w:szCs w:val="20"/>
          <w:lang w:eastAsia="en-AU"/>
        </w:rPr>
        <w:t xml:space="preserve">While </w:t>
      </w:r>
      <w:r w:rsidR="00080393">
        <w:rPr>
          <w:rFonts w:eastAsia="Times New Roman" w:cs="Segoe UI"/>
          <w:szCs w:val="20"/>
          <w:lang w:eastAsia="en-AU"/>
        </w:rPr>
        <w:t>many</w:t>
      </w:r>
      <w:r>
        <w:rPr>
          <w:rFonts w:eastAsia="Times New Roman" w:cs="Segoe UI"/>
          <w:szCs w:val="20"/>
          <w:lang w:eastAsia="en-AU"/>
        </w:rPr>
        <w:t xml:space="preserve"> </w:t>
      </w:r>
      <w:r w:rsidR="00EC598D" w:rsidRPr="00C050DF">
        <w:rPr>
          <w:rFonts w:eastAsia="Times New Roman" w:cs="Segoe UI"/>
          <w:szCs w:val="20"/>
          <w:lang w:eastAsia="en-AU"/>
        </w:rPr>
        <w:t xml:space="preserve">patients liked </w:t>
      </w:r>
      <w:r>
        <w:rPr>
          <w:rFonts w:eastAsia="Times New Roman" w:cs="Segoe UI"/>
          <w:szCs w:val="20"/>
          <w:lang w:eastAsia="en-AU"/>
        </w:rPr>
        <w:t>this</w:t>
      </w:r>
      <w:r w:rsidR="00EC598D" w:rsidRPr="00C050DF">
        <w:rPr>
          <w:rFonts w:eastAsia="Times New Roman" w:cs="Segoe UI"/>
          <w:szCs w:val="20"/>
          <w:lang w:eastAsia="en-AU"/>
        </w:rPr>
        <w:t xml:space="preserve"> </w:t>
      </w:r>
      <w:r w:rsidR="00080393">
        <w:rPr>
          <w:rFonts w:eastAsia="Times New Roman" w:cs="Segoe UI"/>
          <w:szCs w:val="20"/>
          <w:lang w:eastAsia="en-AU"/>
        </w:rPr>
        <w:t xml:space="preserve">as they felt that the nurse </w:t>
      </w:r>
      <w:r w:rsidR="00080393">
        <w:rPr>
          <w:lang w:eastAsia="en-AU"/>
        </w:rPr>
        <w:t>provided them with the additional support and motivation that they needed</w:t>
      </w:r>
      <w:r w:rsidR="00EC598D" w:rsidRPr="00C050DF">
        <w:rPr>
          <w:rFonts w:eastAsia="Times New Roman" w:cs="Segoe UI"/>
          <w:szCs w:val="20"/>
          <w:lang w:eastAsia="en-AU"/>
        </w:rPr>
        <w:t>,</w:t>
      </w:r>
      <w:r w:rsidRPr="00C050DF">
        <w:rPr>
          <w:rFonts w:eastAsia="Times New Roman" w:cs="Segoe UI"/>
          <w:szCs w:val="20"/>
          <w:lang w:eastAsia="en-AU"/>
        </w:rPr>
        <w:t xml:space="preserve"> others were not comfortable</w:t>
      </w:r>
      <w:r>
        <w:rPr>
          <w:rFonts w:eastAsia="Times New Roman" w:cs="Segoe UI"/>
          <w:szCs w:val="20"/>
          <w:lang w:eastAsia="en-AU"/>
        </w:rPr>
        <w:t xml:space="preserve"> with it</w:t>
      </w:r>
      <w:r w:rsidR="00B740CC">
        <w:rPr>
          <w:rFonts w:eastAsia="Times New Roman" w:cs="Segoe UI"/>
          <w:szCs w:val="20"/>
          <w:lang w:eastAsia="en-AU"/>
        </w:rPr>
        <w:t>, as they did not think that the nurses were qualified to attend to their medical needs.</w:t>
      </w:r>
    </w:p>
    <w:p w14:paraId="586F057E" w14:textId="1FC2819E" w:rsidR="007A4992" w:rsidRDefault="00B3033C" w:rsidP="008C2D89">
      <w:pPr>
        <w:rPr>
          <w:rFonts w:eastAsia="Times New Roman" w:cs="Segoe UI"/>
          <w:szCs w:val="20"/>
          <w:lang w:eastAsia="en-AU"/>
        </w:rPr>
      </w:pPr>
      <w:r>
        <w:rPr>
          <w:rFonts w:eastAsia="Times New Roman" w:cs="Segoe UI"/>
          <w:szCs w:val="20"/>
          <w:lang w:eastAsia="en-AU"/>
        </w:rPr>
        <w:t>Some</w:t>
      </w:r>
      <w:r w:rsidR="007A4992">
        <w:rPr>
          <w:rFonts w:eastAsia="Times New Roman" w:cs="Segoe UI"/>
          <w:szCs w:val="20"/>
          <w:lang w:eastAsia="en-AU"/>
        </w:rPr>
        <w:t xml:space="preserve"> practices also had allied health professionals </w:t>
      </w:r>
      <w:r>
        <w:rPr>
          <w:rFonts w:eastAsia="Times New Roman" w:cs="Segoe UI"/>
          <w:szCs w:val="20"/>
          <w:lang w:eastAsia="en-AU"/>
        </w:rPr>
        <w:t xml:space="preserve">on a full or part-time basis </w:t>
      </w:r>
      <w:r w:rsidR="007A4992">
        <w:rPr>
          <w:rFonts w:eastAsia="Times New Roman" w:cs="Segoe UI"/>
          <w:szCs w:val="20"/>
          <w:lang w:eastAsia="en-AU"/>
        </w:rPr>
        <w:t>seeing patients within the clinic. Patients also reported positive experiences with this.</w:t>
      </w:r>
    </w:p>
    <w:p w14:paraId="3D6B97E6" w14:textId="1AC0DF77" w:rsidR="00080393" w:rsidRDefault="007A4992" w:rsidP="008C2D89">
      <w:pPr>
        <w:rPr>
          <w:lang w:eastAsia="en-AU"/>
        </w:rPr>
      </w:pPr>
      <w:r>
        <w:rPr>
          <w:lang w:eastAsia="en-AU"/>
        </w:rPr>
        <w:t xml:space="preserve">Patients acknowledged practice administrative staff as part of their care team, commenting on their proactivity and helpfulness. </w:t>
      </w:r>
    </w:p>
    <w:p w14:paraId="4EBB6482" w14:textId="7F907881" w:rsidR="00FD6EB7" w:rsidRDefault="00481EE7" w:rsidP="008C2D89">
      <w:pPr>
        <w:rPr>
          <w:rFonts w:eastAsia="Times New Roman" w:cs="Segoe UI"/>
          <w:szCs w:val="20"/>
          <w:lang w:eastAsia="en-AU"/>
        </w:rPr>
      </w:pPr>
      <w:r>
        <w:rPr>
          <w:rFonts w:eastAsia="Times New Roman" w:cs="Segoe UI"/>
          <w:szCs w:val="20"/>
          <w:lang w:eastAsia="en-AU"/>
        </w:rPr>
        <w:t xml:space="preserve">Some practices focussed on encouraging </w:t>
      </w:r>
      <w:r w:rsidR="009A011D">
        <w:rPr>
          <w:rFonts w:eastAsia="Times New Roman" w:cs="Segoe UI"/>
          <w:szCs w:val="20"/>
          <w:lang w:eastAsia="en-AU"/>
        </w:rPr>
        <w:t>patients</w:t>
      </w:r>
      <w:r>
        <w:rPr>
          <w:rFonts w:eastAsia="Times New Roman" w:cs="Segoe UI"/>
          <w:szCs w:val="20"/>
          <w:lang w:eastAsia="en-AU"/>
        </w:rPr>
        <w:t xml:space="preserve"> to take control of their health as part of the changes they made as </w:t>
      </w:r>
      <w:r w:rsidR="005644B2">
        <w:rPr>
          <w:rFonts w:eastAsia="Times New Roman" w:cs="Segoe UI"/>
          <w:szCs w:val="20"/>
          <w:lang w:eastAsia="en-AU"/>
        </w:rPr>
        <w:t>an HCH</w:t>
      </w:r>
      <w:r>
        <w:rPr>
          <w:rFonts w:eastAsia="Times New Roman" w:cs="Segoe UI"/>
          <w:szCs w:val="20"/>
          <w:lang w:eastAsia="en-AU"/>
        </w:rPr>
        <w:t>.</w:t>
      </w:r>
      <w:r w:rsidR="009370DE">
        <w:rPr>
          <w:rFonts w:eastAsia="Times New Roman" w:cs="Segoe UI"/>
          <w:szCs w:val="20"/>
          <w:lang w:eastAsia="en-AU"/>
        </w:rPr>
        <w:t xml:space="preserve"> This was one of the attractions of the program for some patients, and they </w:t>
      </w:r>
      <w:r w:rsidR="00C17AFD">
        <w:rPr>
          <w:rFonts w:eastAsia="Times New Roman" w:cs="Segoe UI"/>
          <w:szCs w:val="20"/>
          <w:lang w:eastAsia="en-AU"/>
        </w:rPr>
        <w:t xml:space="preserve">reported </w:t>
      </w:r>
      <w:r w:rsidR="009370DE">
        <w:rPr>
          <w:rFonts w:eastAsia="Times New Roman" w:cs="Segoe UI"/>
          <w:szCs w:val="20"/>
          <w:lang w:eastAsia="en-AU"/>
        </w:rPr>
        <w:t xml:space="preserve">positive experiences </w:t>
      </w:r>
      <w:r w:rsidR="001B1302">
        <w:rPr>
          <w:rFonts w:eastAsia="Times New Roman" w:cs="Segoe UI"/>
          <w:szCs w:val="20"/>
          <w:lang w:eastAsia="en-AU"/>
        </w:rPr>
        <w:t>with this</w:t>
      </w:r>
      <w:r w:rsidR="009370DE">
        <w:rPr>
          <w:rFonts w:eastAsia="Times New Roman" w:cs="Segoe UI"/>
          <w:szCs w:val="20"/>
          <w:lang w:eastAsia="en-AU"/>
        </w:rPr>
        <w:t>.</w:t>
      </w:r>
      <w:r w:rsidR="00FD6EB7">
        <w:rPr>
          <w:rFonts w:eastAsia="Times New Roman" w:cs="Segoe UI"/>
          <w:szCs w:val="20"/>
          <w:lang w:eastAsia="en-AU"/>
        </w:rPr>
        <w:t xml:space="preserve"> Establishing groups on specific health issues was a strategy that some practices used to both help with activating patients as well as address</w:t>
      </w:r>
      <w:r w:rsidR="00EE25BB">
        <w:rPr>
          <w:rFonts w:eastAsia="Times New Roman" w:cs="Segoe UI"/>
          <w:szCs w:val="20"/>
          <w:lang w:eastAsia="en-AU"/>
        </w:rPr>
        <w:t>ing</w:t>
      </w:r>
      <w:r w:rsidR="00FD6EB7">
        <w:rPr>
          <w:rFonts w:eastAsia="Times New Roman" w:cs="Segoe UI"/>
          <w:szCs w:val="20"/>
          <w:lang w:eastAsia="en-AU"/>
        </w:rPr>
        <w:t xml:space="preserve"> specific health issues. Patients not only reported positive experiences with these groups health-wise, they also noticed </w:t>
      </w:r>
      <w:r w:rsidR="00B3033C">
        <w:rPr>
          <w:rFonts w:eastAsia="Times New Roman" w:cs="Segoe UI"/>
          <w:szCs w:val="20"/>
          <w:lang w:eastAsia="en-AU"/>
        </w:rPr>
        <w:t>improvements in their emotional state</w:t>
      </w:r>
      <w:r w:rsidR="00FD6EB7">
        <w:rPr>
          <w:rFonts w:eastAsia="Times New Roman" w:cs="Segoe UI"/>
          <w:szCs w:val="20"/>
          <w:lang w:eastAsia="en-AU"/>
        </w:rPr>
        <w:t xml:space="preserve"> due to the social aspect of the groups and in their quality of life.</w:t>
      </w:r>
    </w:p>
    <w:p w14:paraId="4D842755" w14:textId="5506EF2E" w:rsidR="009916E2" w:rsidRDefault="00315B26" w:rsidP="009916E2">
      <w:pPr>
        <w:textAlignment w:val="baseline"/>
        <w:rPr>
          <w:rFonts w:eastAsia="Times New Roman" w:cs="Segoe UI"/>
          <w:szCs w:val="20"/>
          <w:lang w:eastAsia="en-AU"/>
        </w:rPr>
      </w:pPr>
      <w:r>
        <w:rPr>
          <w:rFonts w:eastAsia="Times New Roman" w:cs="Segoe UI"/>
          <w:szCs w:val="20"/>
          <w:lang w:eastAsia="en-AU"/>
        </w:rPr>
        <w:t>When asked about additional services or benefits that patients would like</w:t>
      </w:r>
      <w:r w:rsidR="009916E2">
        <w:rPr>
          <w:rFonts w:eastAsia="Times New Roman" w:cs="Segoe UI"/>
          <w:szCs w:val="20"/>
          <w:lang w:eastAsia="en-AU"/>
        </w:rPr>
        <w:t xml:space="preserve"> under HCH</w:t>
      </w:r>
      <w:r>
        <w:rPr>
          <w:rFonts w:eastAsia="Times New Roman" w:cs="Segoe UI"/>
          <w:szCs w:val="20"/>
          <w:lang w:eastAsia="en-AU"/>
        </w:rPr>
        <w:t>, most were largely content with the care that they were receiving</w:t>
      </w:r>
      <w:r w:rsidR="009916E2">
        <w:rPr>
          <w:rFonts w:eastAsia="Times New Roman" w:cs="Segoe UI"/>
          <w:szCs w:val="20"/>
          <w:lang w:eastAsia="en-AU"/>
        </w:rPr>
        <w:t xml:space="preserve">. Where patients gave suggestions, they were around additional support that the practice could provide, overall integration of services and more information about </w:t>
      </w:r>
      <w:bookmarkStart w:id="41" w:name="_Hlk21189021"/>
      <w:r w:rsidR="009916E2">
        <w:rPr>
          <w:rFonts w:eastAsia="Times New Roman" w:cs="Segoe UI"/>
          <w:szCs w:val="20"/>
          <w:lang w:eastAsia="en-AU"/>
        </w:rPr>
        <w:t>what services they could access</w:t>
      </w:r>
      <w:bookmarkEnd w:id="41"/>
      <w:r w:rsidR="009916E2">
        <w:rPr>
          <w:rFonts w:eastAsia="Times New Roman" w:cs="Segoe UI"/>
          <w:szCs w:val="20"/>
          <w:lang w:eastAsia="en-AU"/>
        </w:rPr>
        <w:t>.</w:t>
      </w:r>
    </w:p>
    <w:p w14:paraId="05F311AB" w14:textId="2CBC25CB" w:rsidR="00EC598D" w:rsidRDefault="009916E2" w:rsidP="00E84065">
      <w:r>
        <w:rPr>
          <w:rFonts w:eastAsia="Times New Roman" w:cs="Segoe UI"/>
          <w:szCs w:val="20"/>
          <w:lang w:eastAsia="en-AU"/>
        </w:rPr>
        <w:t>An objective of the HCH program is to promote and improved coordination between practices and other health care providers. Most patients interviewed felt there was communication between their primary care practice and other providers.</w:t>
      </w:r>
    </w:p>
    <w:p w14:paraId="041898BA" w14:textId="4C5F9EED" w:rsidR="009916E2" w:rsidRDefault="009916E2" w:rsidP="000F2ED2">
      <w:pPr>
        <w:rPr>
          <w:rFonts w:eastAsia="Times New Roman"/>
          <w:szCs w:val="20"/>
          <w:lang w:eastAsia="en-AU"/>
        </w:rPr>
      </w:pPr>
      <w:r>
        <w:rPr>
          <w:rFonts w:eastAsia="Times New Roman"/>
          <w:szCs w:val="20"/>
          <w:lang w:eastAsia="en-AU"/>
        </w:rPr>
        <w:t xml:space="preserve">Some patients reported having medication reviews involving a community pharmacist outside of the HCH practice. Some of these reviews took place prior to the introduction of HCH. </w:t>
      </w:r>
      <w:bookmarkStart w:id="42" w:name="_Hlk21189461"/>
      <w:r>
        <w:rPr>
          <w:rFonts w:eastAsia="Times New Roman"/>
          <w:szCs w:val="20"/>
          <w:lang w:eastAsia="en-AU"/>
        </w:rPr>
        <w:t>A few patients reported that their practices had a part-time pharmacist. This was beneficial as those individuals were more likely to have received a medication review since joining the program</w:t>
      </w:r>
      <w:bookmarkEnd w:id="42"/>
      <w:r>
        <w:rPr>
          <w:rFonts w:eastAsia="Times New Roman"/>
          <w:szCs w:val="20"/>
          <w:lang w:eastAsia="en-AU"/>
        </w:rPr>
        <w:t xml:space="preserve">. Some patients were not sure if their GP had any contact with their pharmacists, </w:t>
      </w:r>
      <w:r w:rsidR="001563D0">
        <w:rPr>
          <w:rFonts w:eastAsia="Times New Roman"/>
          <w:szCs w:val="20"/>
          <w:lang w:eastAsia="en-AU"/>
        </w:rPr>
        <w:t>and</w:t>
      </w:r>
      <w:r>
        <w:rPr>
          <w:rFonts w:eastAsia="Times New Roman"/>
          <w:szCs w:val="20"/>
          <w:lang w:eastAsia="en-AU"/>
        </w:rPr>
        <w:t xml:space="preserve"> they had not had a medication review in the past.</w:t>
      </w:r>
    </w:p>
    <w:p w14:paraId="0B60B8A0" w14:textId="6731B2AE" w:rsidR="001563D0" w:rsidRDefault="00F47034" w:rsidP="000F2ED2">
      <w:pPr>
        <w:rPr>
          <w:rFonts w:eastAsia="Times New Roman" w:cs="Segoe UI"/>
          <w:szCs w:val="20"/>
          <w:lang w:eastAsia="en-AU"/>
        </w:rPr>
      </w:pPr>
      <w:r>
        <w:rPr>
          <w:rFonts w:eastAsia="Times New Roman" w:cs="Segoe UI"/>
          <w:szCs w:val="20"/>
          <w:lang w:eastAsia="en-AU"/>
        </w:rPr>
        <w:t>In interviews, carers</w:t>
      </w:r>
      <w:r w:rsidR="001B1302">
        <w:rPr>
          <w:rFonts w:eastAsia="Times New Roman" w:cs="Segoe UI"/>
          <w:szCs w:val="20"/>
          <w:lang w:eastAsia="en-AU"/>
        </w:rPr>
        <w:t xml:space="preserve"> of HCH patients</w:t>
      </w:r>
      <w:r>
        <w:rPr>
          <w:rFonts w:eastAsia="Times New Roman" w:cs="Segoe UI"/>
          <w:szCs w:val="20"/>
          <w:lang w:eastAsia="en-AU"/>
        </w:rPr>
        <w:t xml:space="preserve"> shared the struggles that they have faced in this role and lack of services and support available. </w:t>
      </w:r>
      <w:bookmarkStart w:id="43" w:name="_Hlk21190819"/>
      <w:r>
        <w:rPr>
          <w:rFonts w:eastAsia="Times New Roman" w:cs="Segoe UI"/>
          <w:szCs w:val="20"/>
          <w:lang w:eastAsia="en-AU"/>
        </w:rPr>
        <w:t>Some carers discussed the benefits of HCH, including feeling that they’re been listened to, and better coordination of care and advocacy</w:t>
      </w:r>
      <w:bookmarkEnd w:id="43"/>
      <w:r>
        <w:rPr>
          <w:rFonts w:eastAsia="Times New Roman" w:cs="Segoe UI"/>
          <w:szCs w:val="20"/>
          <w:lang w:eastAsia="en-AU"/>
        </w:rPr>
        <w:t xml:space="preserve"> for the person that they’re caring for.</w:t>
      </w:r>
    </w:p>
    <w:p w14:paraId="0D0EFE8C" w14:textId="34B6FE24" w:rsidR="00FE0EFE" w:rsidRDefault="00A23F96" w:rsidP="00A23F96">
      <w:pPr>
        <w:textAlignment w:val="baseline"/>
        <w:rPr>
          <w:rFonts w:eastAsia="Times New Roman" w:cs="Segoe UI"/>
          <w:iCs/>
          <w:szCs w:val="20"/>
          <w:lang w:eastAsia="en-AU"/>
        </w:rPr>
      </w:pPr>
      <w:bookmarkStart w:id="44" w:name="_Hlk21191050"/>
      <w:r>
        <w:rPr>
          <w:rFonts w:eastAsia="Times New Roman" w:cs="Segoe UI"/>
          <w:szCs w:val="20"/>
          <w:lang w:eastAsia="en-AU"/>
        </w:rPr>
        <w:t>Most patients interviewed recommended that other individuals join HCH</w:t>
      </w:r>
      <w:bookmarkEnd w:id="44"/>
      <w:r>
        <w:rPr>
          <w:rFonts w:eastAsia="Times New Roman" w:cs="Segoe UI"/>
          <w:szCs w:val="20"/>
          <w:lang w:eastAsia="en-AU"/>
        </w:rPr>
        <w:t xml:space="preserve"> due to better information about their condition</w:t>
      </w:r>
      <w:r w:rsidR="001B1302">
        <w:rPr>
          <w:rFonts w:eastAsia="Times New Roman" w:cs="Segoe UI"/>
          <w:szCs w:val="20"/>
          <w:lang w:eastAsia="en-AU"/>
        </w:rPr>
        <w:t xml:space="preserve"> and</w:t>
      </w:r>
      <w:r>
        <w:rPr>
          <w:rFonts w:eastAsia="Times New Roman" w:cs="Segoe UI"/>
          <w:szCs w:val="20"/>
          <w:lang w:eastAsia="en-AU"/>
        </w:rPr>
        <w:t xml:space="preserve"> more seamless care within the practice amongst other reasons. The lack of awareness of the program was raised and s</w:t>
      </w:r>
      <w:r>
        <w:rPr>
          <w:rFonts w:eastAsia="Times New Roman" w:cs="Segoe UI"/>
          <w:iCs/>
          <w:szCs w:val="20"/>
          <w:lang w:eastAsia="en-AU"/>
        </w:rPr>
        <w:t>ome patients and carers were concerned about its continuity.</w:t>
      </w:r>
    </w:p>
    <w:p w14:paraId="6B408D15" w14:textId="77777777" w:rsidR="00FE0EFE" w:rsidRDefault="00FE0EFE">
      <w:pPr>
        <w:spacing w:after="160" w:line="259" w:lineRule="auto"/>
        <w:rPr>
          <w:rFonts w:eastAsia="Times New Roman" w:cs="Segoe UI"/>
          <w:iCs/>
          <w:szCs w:val="20"/>
          <w:lang w:eastAsia="en-AU"/>
        </w:rPr>
      </w:pPr>
      <w:r>
        <w:rPr>
          <w:rFonts w:eastAsia="Times New Roman" w:cs="Segoe UI"/>
          <w:iCs/>
          <w:szCs w:val="20"/>
          <w:lang w:eastAsia="en-AU"/>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4838C9" w:rsidRPr="00E52C83" w14:paraId="3AD6D9B0" w14:textId="77777777" w:rsidTr="00D27862">
        <w:tc>
          <w:tcPr>
            <w:tcW w:w="5000" w:type="pct"/>
            <w:shd w:val="clear" w:color="auto" w:fill="F2F2F2" w:themeFill="background1" w:themeFillShade="F2"/>
          </w:tcPr>
          <w:p w14:paraId="763DAD7A" w14:textId="0835658C" w:rsidR="004838C9" w:rsidRPr="00E52C83" w:rsidRDefault="004838C9" w:rsidP="007065A3">
            <w:pPr>
              <w:pStyle w:val="BodyText"/>
              <w:spacing w:after="120" w:line="276" w:lineRule="auto"/>
              <w:ind w:right="239"/>
              <w:jc w:val="center"/>
              <w:rPr>
                <w:b/>
                <w:spacing w:val="-1"/>
                <w:sz w:val="18"/>
                <w:szCs w:val="18"/>
              </w:rPr>
            </w:pPr>
            <w:r w:rsidRPr="00E52C83">
              <w:rPr>
                <w:b/>
                <w:spacing w:val="-1"/>
                <w:sz w:val="18"/>
                <w:szCs w:val="18"/>
              </w:rPr>
              <w:lastRenderedPageBreak/>
              <w:t xml:space="preserve">Lessons – </w:t>
            </w:r>
            <w:bookmarkStart w:id="45" w:name="_Hlk22305628"/>
            <w:r w:rsidR="009908B4" w:rsidRPr="00E52C83">
              <w:rPr>
                <w:b/>
                <w:spacing w:val="-1"/>
                <w:sz w:val="18"/>
                <w:szCs w:val="18"/>
              </w:rPr>
              <w:t>P</w:t>
            </w:r>
            <w:r w:rsidRPr="00E52C83">
              <w:rPr>
                <w:b/>
                <w:spacing w:val="-1"/>
                <w:sz w:val="18"/>
                <w:szCs w:val="18"/>
              </w:rPr>
              <w:t>atient experience</w:t>
            </w:r>
          </w:p>
          <w:bookmarkEnd w:id="45"/>
          <w:p w14:paraId="214F8163" w14:textId="32F78C9D" w:rsidR="008F21AD" w:rsidRPr="00E52C83" w:rsidRDefault="00AC2E83" w:rsidP="00AC2E83">
            <w:pPr>
              <w:pStyle w:val="BodyText"/>
              <w:numPr>
                <w:ilvl w:val="0"/>
                <w:numId w:val="7"/>
              </w:numPr>
              <w:tabs>
                <w:tab w:val="left" w:pos="674"/>
              </w:tabs>
              <w:spacing w:after="120" w:line="276" w:lineRule="auto"/>
              <w:rPr>
                <w:spacing w:val="-1"/>
                <w:sz w:val="18"/>
                <w:szCs w:val="18"/>
              </w:rPr>
            </w:pPr>
            <w:r w:rsidRPr="00E52C83">
              <w:rPr>
                <w:spacing w:val="-1"/>
                <w:sz w:val="18"/>
                <w:szCs w:val="18"/>
              </w:rPr>
              <w:t xml:space="preserve">Develop </w:t>
            </w:r>
            <w:r w:rsidR="008F21AD" w:rsidRPr="00E52C83">
              <w:rPr>
                <w:spacing w:val="-1"/>
                <w:sz w:val="18"/>
                <w:szCs w:val="18"/>
              </w:rPr>
              <w:t>succinct messages that communicate the benefits</w:t>
            </w:r>
            <w:r w:rsidR="000D4A4D" w:rsidRPr="00E52C83">
              <w:rPr>
                <w:spacing w:val="-1"/>
                <w:sz w:val="18"/>
                <w:szCs w:val="18"/>
              </w:rPr>
              <w:t xml:space="preserve"> of the initiative</w:t>
            </w:r>
            <w:r w:rsidR="008F21AD" w:rsidRPr="00E52C83">
              <w:rPr>
                <w:spacing w:val="-1"/>
                <w:sz w:val="18"/>
                <w:szCs w:val="18"/>
              </w:rPr>
              <w:t xml:space="preserve"> to the patient and address their concerns</w:t>
            </w:r>
            <w:r w:rsidR="000D4A4D" w:rsidRPr="00E52C83">
              <w:rPr>
                <w:spacing w:val="-1"/>
                <w:sz w:val="18"/>
                <w:szCs w:val="18"/>
              </w:rPr>
              <w:t>.</w:t>
            </w:r>
          </w:p>
          <w:p w14:paraId="02236C5D" w14:textId="5DDA29D7" w:rsidR="00AC2E83" w:rsidRPr="00E52C83" w:rsidRDefault="008F21AD" w:rsidP="00AC2E83">
            <w:pPr>
              <w:pStyle w:val="BodyText"/>
              <w:numPr>
                <w:ilvl w:val="0"/>
                <w:numId w:val="7"/>
              </w:numPr>
              <w:tabs>
                <w:tab w:val="left" w:pos="674"/>
              </w:tabs>
              <w:spacing w:after="120" w:line="276" w:lineRule="auto"/>
              <w:rPr>
                <w:spacing w:val="-1"/>
                <w:sz w:val="18"/>
                <w:szCs w:val="18"/>
              </w:rPr>
            </w:pPr>
            <w:r w:rsidRPr="00E52C83">
              <w:rPr>
                <w:spacing w:val="-1"/>
                <w:sz w:val="18"/>
                <w:szCs w:val="18"/>
              </w:rPr>
              <w:t>Use multiple avenues to communicate the</w:t>
            </w:r>
            <w:r w:rsidR="00AC2E83" w:rsidRPr="00E52C83">
              <w:rPr>
                <w:spacing w:val="-1"/>
                <w:sz w:val="18"/>
                <w:szCs w:val="18"/>
              </w:rPr>
              <w:t>se</w:t>
            </w:r>
            <w:r w:rsidRPr="00E52C83">
              <w:rPr>
                <w:spacing w:val="-1"/>
                <w:sz w:val="18"/>
                <w:szCs w:val="18"/>
              </w:rPr>
              <w:t xml:space="preserve"> messages</w:t>
            </w:r>
            <w:r w:rsidR="00AC2E83" w:rsidRPr="00E52C83">
              <w:rPr>
                <w:spacing w:val="-1"/>
                <w:sz w:val="18"/>
                <w:szCs w:val="18"/>
              </w:rPr>
              <w:t xml:space="preserve"> to patients, their families and careers</w:t>
            </w:r>
            <w:r w:rsidRPr="00E52C83">
              <w:rPr>
                <w:spacing w:val="-1"/>
                <w:sz w:val="18"/>
                <w:szCs w:val="18"/>
              </w:rPr>
              <w:t xml:space="preserve">, </w:t>
            </w:r>
            <w:r w:rsidR="00AC2E83" w:rsidRPr="00E52C83">
              <w:rPr>
                <w:spacing w:val="-1"/>
                <w:sz w:val="18"/>
                <w:szCs w:val="18"/>
              </w:rPr>
              <w:t>and the broader community.</w:t>
            </w:r>
          </w:p>
          <w:p w14:paraId="5F5CC156" w14:textId="77777777" w:rsidR="004838C9" w:rsidRPr="00E52C83" w:rsidRDefault="00AC2E83" w:rsidP="00AC2E83">
            <w:pPr>
              <w:pStyle w:val="BodyText"/>
              <w:numPr>
                <w:ilvl w:val="0"/>
                <w:numId w:val="7"/>
              </w:numPr>
              <w:tabs>
                <w:tab w:val="left" w:pos="674"/>
              </w:tabs>
              <w:spacing w:after="120" w:line="276" w:lineRule="auto"/>
              <w:rPr>
                <w:spacing w:val="-1"/>
                <w:sz w:val="18"/>
                <w:szCs w:val="18"/>
              </w:rPr>
            </w:pPr>
            <w:r w:rsidRPr="00E52C83">
              <w:rPr>
                <w:spacing w:val="-1"/>
                <w:sz w:val="18"/>
                <w:szCs w:val="18"/>
              </w:rPr>
              <w:t>Develop the capacity of practices to engage with patients, families and carers in designing and implementing change.</w:t>
            </w:r>
          </w:p>
          <w:p w14:paraId="4A585C39" w14:textId="3C752024" w:rsidR="00AC2E83" w:rsidRPr="00E52C83" w:rsidRDefault="00AC2E83" w:rsidP="00AC2E83">
            <w:pPr>
              <w:pStyle w:val="BodyText"/>
              <w:numPr>
                <w:ilvl w:val="0"/>
                <w:numId w:val="7"/>
              </w:numPr>
              <w:tabs>
                <w:tab w:val="left" w:pos="674"/>
              </w:tabs>
              <w:spacing w:after="120" w:line="276" w:lineRule="auto"/>
              <w:rPr>
                <w:sz w:val="18"/>
                <w:szCs w:val="18"/>
              </w:rPr>
            </w:pPr>
            <w:r w:rsidRPr="00E52C83">
              <w:rPr>
                <w:spacing w:val="-1"/>
                <w:sz w:val="18"/>
                <w:szCs w:val="18"/>
              </w:rPr>
              <w:t xml:space="preserve">Patients, families and carers need time to build confidence in </w:t>
            </w:r>
            <w:r w:rsidR="000D4A4D" w:rsidRPr="00E52C83">
              <w:rPr>
                <w:spacing w:val="-1"/>
                <w:sz w:val="18"/>
                <w:szCs w:val="18"/>
              </w:rPr>
              <w:t>a wider primary care team</w:t>
            </w:r>
            <w:r w:rsidRPr="00E52C83">
              <w:rPr>
                <w:spacing w:val="-1"/>
                <w:sz w:val="18"/>
                <w:szCs w:val="18"/>
              </w:rPr>
              <w:t>.</w:t>
            </w:r>
          </w:p>
        </w:tc>
      </w:tr>
    </w:tbl>
    <w:p w14:paraId="5F6A0CC0" w14:textId="77777777" w:rsidR="004838C9" w:rsidRDefault="004838C9" w:rsidP="00D27862">
      <w:pPr>
        <w:spacing w:after="0"/>
      </w:pPr>
    </w:p>
    <w:p w14:paraId="4E8AAF66" w14:textId="2CD61686" w:rsidR="00B7475A" w:rsidRDefault="00B7475A" w:rsidP="0059743A">
      <w:pPr>
        <w:pStyle w:val="Heading1nonumber"/>
      </w:pPr>
      <w:bookmarkStart w:id="46" w:name="_Toc32585824"/>
      <w:r>
        <w:t>Support and training</w:t>
      </w:r>
      <w:bookmarkEnd w:id="46"/>
    </w:p>
    <w:p w14:paraId="53BDD74B" w14:textId="3731D61C" w:rsidR="00022EEE" w:rsidRDefault="00022EEE" w:rsidP="0059743A">
      <w:pPr>
        <w:pStyle w:val="Heading2"/>
      </w:pPr>
      <w:bookmarkStart w:id="47" w:name="_Toc32585825"/>
      <w:r>
        <w:t>PHN practice facilitator</w:t>
      </w:r>
      <w:r w:rsidR="002C2EB4">
        <w:t>s</w:t>
      </w:r>
      <w:bookmarkEnd w:id="47"/>
    </w:p>
    <w:p w14:paraId="6D8FB534" w14:textId="4B54AD27" w:rsidR="00A35B10" w:rsidRDefault="00A35B10" w:rsidP="000F2ED2">
      <w:r w:rsidRPr="00A35B10">
        <w:t xml:space="preserve">The Department </w:t>
      </w:r>
      <w:r w:rsidR="00B3033C">
        <w:t xml:space="preserve">of </w:t>
      </w:r>
      <w:r w:rsidR="00F7613C">
        <w:t>H</w:t>
      </w:r>
      <w:r w:rsidR="00B3033C">
        <w:t xml:space="preserve">ealth </w:t>
      </w:r>
      <w:r w:rsidRPr="00A35B10">
        <w:t>funded the 10 PHNs involved with the trial to support practices through the HCH implementation.</w:t>
      </w:r>
      <w:r>
        <w:t xml:space="preserve"> The initial funding was for three </w:t>
      </w:r>
      <w:r w:rsidR="00C557E5">
        <w:t>FTE</w:t>
      </w:r>
      <w:r>
        <w:t xml:space="preserve"> staff per PHN</w:t>
      </w:r>
      <w:r w:rsidR="00C557E5">
        <w:t>:</w:t>
      </w:r>
      <w:r>
        <w:t xml:space="preserve"> two FTEs </w:t>
      </w:r>
      <w:r w:rsidR="00181168">
        <w:t>to</w:t>
      </w:r>
      <w:r>
        <w:t xml:space="preserve"> support practices in transforming to HCHs and one to help with enrolling patients. The PHNs recruited individuals to these roles from a diverse range of professional backgrounds (</w:t>
      </w:r>
      <w:r w:rsidRPr="00A35B10">
        <w:t>nursing, allied health, practice management, practice development, community development, event management, marketing, IT, government</w:t>
      </w:r>
      <w:r>
        <w:t xml:space="preserve">) and organised the roles in different ways (teams with members specialising in support components such as IT, enrolment vs. a </w:t>
      </w:r>
      <w:r w:rsidRPr="00A35B10">
        <w:t>single contact</w:t>
      </w:r>
      <w:r>
        <w:t xml:space="preserve"> per practice coordinating assistance</w:t>
      </w:r>
      <w:r w:rsidR="00C557E5">
        <w:t xml:space="preserve"> from others</w:t>
      </w:r>
      <w:r>
        <w:t>).</w:t>
      </w:r>
    </w:p>
    <w:p w14:paraId="31994E17" w14:textId="75C9D4D1" w:rsidR="00267EC7" w:rsidRDefault="00267EC7" w:rsidP="000F2ED2">
      <w:r>
        <w:t xml:space="preserve">PHN practice facilitators prepared for the role through train-the trainer workshops held at the end of 2017. Beyond the workshops, facilitators also had access to ongoing coaching webinars and a national facilitator who </w:t>
      </w:r>
      <w:r w:rsidR="00AC633C">
        <w:t>could</w:t>
      </w:r>
      <w:r>
        <w:t xml:space="preserve"> answer their questions. Facilitators identified networking and sharing of information between PHNs and interactive-style learning as key enablers for their learning.</w:t>
      </w:r>
    </w:p>
    <w:p w14:paraId="1E506E53" w14:textId="456B05F2" w:rsidR="00C557E5" w:rsidRDefault="00C557E5" w:rsidP="000F2ED2">
      <w:r w:rsidRPr="00C557E5">
        <w:t>Practice facilitators saw the role as practical</w:t>
      </w:r>
      <w:r w:rsidR="00AC633C">
        <w:t xml:space="preserve"> help for practices to prepare for HCH</w:t>
      </w:r>
      <w:r w:rsidRPr="00C557E5">
        <w:t>.</w:t>
      </w:r>
      <w:r>
        <w:t xml:space="preserve"> In the early stages of the program implementation they focussed on</w:t>
      </w:r>
      <w:r w:rsidRPr="00C557E5">
        <w:t xml:space="preserve"> relationships with practices to </w:t>
      </w:r>
      <w:r w:rsidR="00AC633C">
        <w:t xml:space="preserve">build trust </w:t>
      </w:r>
      <w:r w:rsidRPr="00C557E5">
        <w:t>and improve staff engagement</w:t>
      </w:r>
      <w:r w:rsidR="00AC633C">
        <w:t xml:space="preserve"> with the model</w:t>
      </w:r>
      <w:r>
        <w:t xml:space="preserve">. They also focussed on helping practices with enrolling patients, </w:t>
      </w:r>
      <w:r w:rsidR="00E57978">
        <w:t>which</w:t>
      </w:r>
      <w:r>
        <w:t xml:space="preserve"> continued through to June 2019.</w:t>
      </w:r>
    </w:p>
    <w:p w14:paraId="3680A825" w14:textId="526BD41C" w:rsidR="00022EEE" w:rsidRDefault="00230C2D" w:rsidP="000F2ED2">
      <w:r>
        <w:t>At the beginning of the program</w:t>
      </w:r>
      <w:r w:rsidR="00022EEE">
        <w:t xml:space="preserve">, PHN practice facilitators felt that they </w:t>
      </w:r>
      <w:r w:rsidR="00022EEE" w:rsidRPr="00022EEE">
        <w:t>had little guidance or clear expectations of the role</w:t>
      </w:r>
      <w:r w:rsidR="00022EEE">
        <w:t xml:space="preserve">. They thought that the train-the-trainer workshop that was run prior to the program launch (August 2017) could have been used to better define the role. </w:t>
      </w:r>
      <w:r w:rsidR="00022EEE" w:rsidRPr="00022EEE">
        <w:t>As time went on</w:t>
      </w:r>
      <w:r w:rsidR="00022EEE">
        <w:t>, they</w:t>
      </w:r>
      <w:r w:rsidR="00022EEE" w:rsidRPr="00022EEE">
        <w:t xml:space="preserve"> developed their own understanding of the role. By the second round of interviews (about a year after the first set of practices started enrolling patients), they thought that they were in a better position to support practices</w:t>
      </w:r>
      <w:r w:rsidR="00022EEE">
        <w:t xml:space="preserve">. </w:t>
      </w:r>
      <w:r w:rsidR="00022EEE" w:rsidRPr="00022EEE">
        <w:t>One of the issues that impacted the advancement of the role was turnover of facilitators</w:t>
      </w:r>
      <w:r w:rsidR="00022EEE">
        <w:t xml:space="preserve">. </w:t>
      </w:r>
      <w:r w:rsidR="00022EEE" w:rsidRPr="00022EEE">
        <w:t xml:space="preserve">New facilitators had to re-establish relationships </w:t>
      </w:r>
      <w:r w:rsidR="00022EEE">
        <w:t xml:space="preserve">with practices </w:t>
      </w:r>
      <w:r w:rsidR="00022EEE" w:rsidRPr="00022EEE">
        <w:t>and rebuild trust</w:t>
      </w:r>
      <w:r w:rsidR="00F74BAB">
        <w:t xml:space="preserve">, </w:t>
      </w:r>
      <w:r w:rsidR="005A5826">
        <w:t>in addition to</w:t>
      </w:r>
      <w:r w:rsidR="00F74BAB">
        <w:t xml:space="preserve"> </w:t>
      </w:r>
      <w:r w:rsidR="005A5826">
        <w:t>developing their knowledge of HCH and their skills in supporting practices.</w:t>
      </w:r>
    </w:p>
    <w:p w14:paraId="3BCBE2F4" w14:textId="2A9AE0F0" w:rsidR="00E57978" w:rsidRDefault="00E57978" w:rsidP="000F2ED2">
      <w:r>
        <w:t>A major challenge that practice facilitators faced in their role was getting access to key staff in the practice, particularly GPs. Strategies that they used to get around this were being flexible with their time (e.g. offering early morning or lunchtime sessions), and e</w:t>
      </w:r>
      <w:r w:rsidRPr="00E57978">
        <w:t>stablishing expectations around the requirements and frequency of practice-PHN engagement</w:t>
      </w:r>
      <w:r>
        <w:t>.</w:t>
      </w:r>
    </w:p>
    <w:p w14:paraId="269DA303" w14:textId="6A2BA2D5" w:rsidR="00022EEE" w:rsidRDefault="00454146" w:rsidP="000F2ED2">
      <w:r>
        <w:lastRenderedPageBreak/>
        <w:t xml:space="preserve">Practice facilitators </w:t>
      </w:r>
      <w:r w:rsidR="00E57978">
        <w:t>reflected</w:t>
      </w:r>
      <w:r>
        <w:t xml:space="preserve"> that the role </w:t>
      </w:r>
      <w:r w:rsidR="006B4A61">
        <w:t xml:space="preserve">as it was designed for the trial </w:t>
      </w:r>
      <w:r>
        <w:t>was intensive, and potentially not feasible for a nation-wide rollout</w:t>
      </w:r>
      <w:r w:rsidR="00E57978">
        <w:t xml:space="preserve">. </w:t>
      </w:r>
      <w:r>
        <w:t>They</w:t>
      </w:r>
      <w:r w:rsidR="00022EEE" w:rsidRPr="00022EEE">
        <w:t xml:space="preserve"> commented that in the future, the role should evolve to be more about coaching</w:t>
      </w:r>
      <w:r w:rsidR="00267EC7">
        <w:t>; t</w:t>
      </w:r>
      <w:r w:rsidR="00022EEE" w:rsidRPr="00022EEE">
        <w:t>he ultimate goal is that practices will drive th</w:t>
      </w:r>
      <w:r w:rsidR="005E0D0E">
        <w:t>e</w:t>
      </w:r>
      <w:r w:rsidR="00022EEE" w:rsidRPr="00022EEE">
        <w:t xml:space="preserve"> change and facilitators will be able to guide them</w:t>
      </w:r>
      <w:r w:rsidR="00267EC7">
        <w:t xml:space="preserve"> through it.</w:t>
      </w:r>
      <w:r w:rsidR="00E57978">
        <w:t xml:space="preserve"> This can potentially be achieved with an increased awareness of HCH </w:t>
      </w:r>
      <w:r w:rsidR="00B3033C">
        <w:t>across</w:t>
      </w:r>
      <w:r w:rsidR="00E57978">
        <w:t xml:space="preserve"> Australia.</w:t>
      </w:r>
    </w:p>
    <w:p w14:paraId="6E0B0B1A" w14:textId="77A62654" w:rsidR="00267EC7" w:rsidRDefault="000C3444" w:rsidP="000F2ED2">
      <w:r>
        <w:t>Practices felt that their PHN practice facilitator</w:t>
      </w:r>
      <w:r w:rsidR="006B4A61">
        <w:t>s were</w:t>
      </w:r>
      <w:r w:rsidRPr="000C3444">
        <w:t xml:space="preserve"> effective in helping </w:t>
      </w:r>
      <w:r>
        <w:t>them</w:t>
      </w:r>
      <w:r w:rsidRPr="000C3444">
        <w:t xml:space="preserve"> prepare for HCH and/ or during the early stages of implementation</w:t>
      </w:r>
      <w:r>
        <w:t xml:space="preserve">. Some practices would have liked more support, particularly </w:t>
      </w:r>
      <w:r w:rsidR="006B4A61">
        <w:t>w</w:t>
      </w:r>
      <w:r w:rsidR="00502B04">
        <w:t>ith patient enrolments and sitting with them to show them how to do things</w:t>
      </w:r>
      <w:r w:rsidR="006B4A61">
        <w:t>, such as using the RST</w:t>
      </w:r>
      <w:r w:rsidR="00502B04">
        <w:t xml:space="preserve">. </w:t>
      </w:r>
      <w:r w:rsidR="00285519">
        <w:t>Other challenges in PHN support for practices were facilitator knowledge of</w:t>
      </w:r>
      <w:r w:rsidR="00285519" w:rsidRPr="00285519">
        <w:t xml:space="preserve"> program requirements</w:t>
      </w:r>
      <w:r w:rsidR="00285519">
        <w:t xml:space="preserve"> (this was mainly in the early phases of implementation), facilitator turnover, and </w:t>
      </w:r>
      <w:r w:rsidR="0095611E">
        <w:t xml:space="preserve">the </w:t>
      </w:r>
      <w:r w:rsidR="00285519">
        <w:t xml:space="preserve">different styles of </w:t>
      </w:r>
      <w:r w:rsidR="00B3033C">
        <w:t>the</w:t>
      </w:r>
      <w:r w:rsidR="00285519">
        <w:t xml:space="preserve"> facilitators</w:t>
      </w:r>
      <w:r w:rsidR="0095611E">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2C2EB4" w:rsidRPr="00E52C83" w14:paraId="160EF622" w14:textId="77777777" w:rsidTr="00D27862">
        <w:tc>
          <w:tcPr>
            <w:tcW w:w="5000" w:type="pct"/>
            <w:shd w:val="clear" w:color="auto" w:fill="F2F2F2" w:themeFill="background1" w:themeFillShade="F2"/>
          </w:tcPr>
          <w:p w14:paraId="654BBDC9" w14:textId="4345713A" w:rsidR="002C2EB4" w:rsidRPr="00E52C83" w:rsidRDefault="002C2EB4" w:rsidP="007065A3">
            <w:pPr>
              <w:pStyle w:val="BodyText"/>
              <w:spacing w:after="120" w:line="276" w:lineRule="auto"/>
              <w:ind w:right="239"/>
              <w:jc w:val="center"/>
              <w:rPr>
                <w:b/>
                <w:spacing w:val="-1"/>
                <w:sz w:val="18"/>
                <w:szCs w:val="18"/>
              </w:rPr>
            </w:pPr>
            <w:r w:rsidRPr="00E52C83">
              <w:rPr>
                <w:b/>
                <w:spacing w:val="-1"/>
                <w:sz w:val="18"/>
                <w:szCs w:val="18"/>
              </w:rPr>
              <w:t xml:space="preserve">Lessons – </w:t>
            </w:r>
            <w:r w:rsidR="009908B4" w:rsidRPr="00E52C83">
              <w:rPr>
                <w:b/>
                <w:spacing w:val="-1"/>
                <w:sz w:val="18"/>
                <w:szCs w:val="18"/>
              </w:rPr>
              <w:t>P</w:t>
            </w:r>
            <w:r w:rsidRPr="00E52C83">
              <w:rPr>
                <w:b/>
                <w:spacing w:val="-1"/>
                <w:sz w:val="18"/>
                <w:szCs w:val="18"/>
              </w:rPr>
              <w:t>ractice facilitation</w:t>
            </w:r>
          </w:p>
          <w:p w14:paraId="049ACCBB" w14:textId="190B0764" w:rsidR="002C2EB4" w:rsidRPr="00E52C83" w:rsidRDefault="002C2EB4" w:rsidP="00AC2E83">
            <w:pPr>
              <w:pStyle w:val="BodyText"/>
              <w:numPr>
                <w:ilvl w:val="0"/>
                <w:numId w:val="7"/>
              </w:numPr>
              <w:tabs>
                <w:tab w:val="left" w:pos="674"/>
              </w:tabs>
              <w:spacing w:after="120" w:line="276" w:lineRule="auto"/>
              <w:rPr>
                <w:spacing w:val="-1"/>
                <w:sz w:val="18"/>
                <w:szCs w:val="18"/>
              </w:rPr>
            </w:pPr>
            <w:bookmarkStart w:id="48" w:name="_Hlk22305865"/>
            <w:r w:rsidRPr="00E52C83">
              <w:rPr>
                <w:spacing w:val="-1"/>
                <w:sz w:val="18"/>
                <w:szCs w:val="18"/>
              </w:rPr>
              <w:t xml:space="preserve">External practice facilitation is valuable for practices to achieve the level of transformation needed to operate as </w:t>
            </w:r>
            <w:r w:rsidR="005644B2" w:rsidRPr="00E52C83">
              <w:rPr>
                <w:spacing w:val="-1"/>
                <w:sz w:val="18"/>
                <w:szCs w:val="18"/>
              </w:rPr>
              <w:t>an HCH</w:t>
            </w:r>
            <w:r w:rsidRPr="00E52C83">
              <w:rPr>
                <w:spacing w:val="-1"/>
                <w:sz w:val="18"/>
                <w:szCs w:val="18"/>
              </w:rPr>
              <w:t>.</w:t>
            </w:r>
          </w:p>
          <w:p w14:paraId="2069B8F6" w14:textId="38527E40" w:rsidR="002C2EB4" w:rsidRPr="00E52C83" w:rsidRDefault="002C2EB4" w:rsidP="00AC2E83">
            <w:pPr>
              <w:pStyle w:val="BodyText"/>
              <w:numPr>
                <w:ilvl w:val="0"/>
                <w:numId w:val="7"/>
              </w:numPr>
              <w:tabs>
                <w:tab w:val="left" w:pos="674"/>
              </w:tabs>
              <w:spacing w:after="120" w:line="276" w:lineRule="auto"/>
              <w:rPr>
                <w:spacing w:val="-1"/>
                <w:sz w:val="18"/>
                <w:szCs w:val="18"/>
              </w:rPr>
            </w:pPr>
            <w:r w:rsidRPr="00E52C83">
              <w:rPr>
                <w:spacing w:val="-1"/>
                <w:sz w:val="18"/>
                <w:szCs w:val="18"/>
              </w:rPr>
              <w:t>Rapport and trust between the practice facilitator and practice staff are foundations for practice facilitation.</w:t>
            </w:r>
          </w:p>
          <w:p w14:paraId="528010BD" w14:textId="0DB52272" w:rsidR="002C2EB4" w:rsidRPr="00E52C83" w:rsidRDefault="002C2EB4" w:rsidP="00AC2E83">
            <w:pPr>
              <w:pStyle w:val="BodyText"/>
              <w:numPr>
                <w:ilvl w:val="0"/>
                <w:numId w:val="7"/>
              </w:numPr>
              <w:tabs>
                <w:tab w:val="left" w:pos="674"/>
              </w:tabs>
              <w:spacing w:after="120" w:line="276" w:lineRule="auto"/>
              <w:rPr>
                <w:sz w:val="18"/>
                <w:szCs w:val="18"/>
              </w:rPr>
            </w:pPr>
            <w:r w:rsidRPr="00E52C83">
              <w:rPr>
                <w:spacing w:val="-1"/>
                <w:sz w:val="18"/>
                <w:szCs w:val="18"/>
              </w:rPr>
              <w:t>A key to facilitation is assessing each practice’s readiness, culture and environment, and tailoring changes to the unique needs of the practice.</w:t>
            </w:r>
            <w:bookmarkEnd w:id="48"/>
          </w:p>
        </w:tc>
      </w:tr>
    </w:tbl>
    <w:p w14:paraId="5705372A" w14:textId="471DB0D7" w:rsidR="005532B3" w:rsidRDefault="005532B3" w:rsidP="00EE25BB">
      <w:pPr>
        <w:pStyle w:val="BodyText"/>
        <w:tabs>
          <w:tab w:val="left" w:pos="674"/>
        </w:tabs>
        <w:ind w:left="102"/>
      </w:pPr>
    </w:p>
    <w:p w14:paraId="4E605B0C" w14:textId="448CF699" w:rsidR="00B7475A" w:rsidRPr="000C3444" w:rsidRDefault="002C2EB4" w:rsidP="0059743A">
      <w:pPr>
        <w:pStyle w:val="Heading2"/>
      </w:pPr>
      <w:bookmarkStart w:id="49" w:name="_Toc32585826"/>
      <w:r>
        <w:t>T</w:t>
      </w:r>
      <w:r w:rsidR="000C3444" w:rsidRPr="000C3444">
        <w:t>raining</w:t>
      </w:r>
      <w:bookmarkEnd w:id="49"/>
    </w:p>
    <w:p w14:paraId="61837D90" w14:textId="32AC608D" w:rsidR="004A0D9D" w:rsidRDefault="004A0D9D" w:rsidP="004A0D9D">
      <w:r>
        <w:t>The Department of Health commissioned a package of online modules that practices could access.</w:t>
      </w:r>
      <w:r w:rsidR="0076552B">
        <w:t xml:space="preserve"> PHNs used these for their training and also developed their own</w:t>
      </w:r>
      <w:r w:rsidR="005476BE">
        <w:t xml:space="preserve"> training</w:t>
      </w:r>
      <w:r w:rsidR="0076552B">
        <w:t>.</w:t>
      </w:r>
    </w:p>
    <w:p w14:paraId="4F6D82C5" w14:textId="754B6AFA" w:rsidR="002627CE" w:rsidRDefault="002627CE" w:rsidP="0059743A">
      <w:pPr>
        <w:pStyle w:val="Heading3"/>
      </w:pPr>
      <w:r>
        <w:t>PHN training</w:t>
      </w:r>
    </w:p>
    <w:p w14:paraId="45AE5994" w14:textId="5DD3C7DD" w:rsidR="00A04845" w:rsidRDefault="004A0D9D" w:rsidP="004A0D9D">
      <w:r>
        <w:t xml:space="preserve">PHNs offered </w:t>
      </w:r>
      <w:r w:rsidR="00A04845">
        <w:t xml:space="preserve">workshops on specific issues and on-site one-on-one or group training for practices. </w:t>
      </w:r>
      <w:r w:rsidR="00A04845" w:rsidRPr="00A04845">
        <w:t>Practices felt that this training was more useful than the online modules because it was often more interactive</w:t>
      </w:r>
      <w:r w:rsidR="002627CE">
        <w:t>;</w:t>
      </w:r>
      <w:r w:rsidR="00A04845" w:rsidRPr="00A04845">
        <w:t xml:space="preserve"> they could ask questions, voice ideas, and discuss any implementation barriers that they were facing</w:t>
      </w:r>
      <w:r w:rsidR="00A04845">
        <w:t>. However, they often struggled with time to attend these.</w:t>
      </w:r>
    </w:p>
    <w:p w14:paraId="544EBAE5" w14:textId="470DAC38" w:rsidR="002627CE" w:rsidRDefault="002627CE" w:rsidP="0059743A">
      <w:pPr>
        <w:pStyle w:val="Heading3"/>
      </w:pPr>
      <w:r>
        <w:t>Online modules</w:t>
      </w:r>
    </w:p>
    <w:p w14:paraId="144EA277" w14:textId="4453166A" w:rsidR="004A0D9D" w:rsidRDefault="002627CE" w:rsidP="002627CE">
      <w:r>
        <w:t xml:space="preserve">The Australian General Practice Accreditation Limited (AGPAL) led a consortium to develop the training materials, basing its approach on the ‘10 building blocks of high performing primary care’, the co-creating health philosophy, and the Safety Net Medical Home Initiative. Individuals completing the modules could claim continuing professional development points from </w:t>
      </w:r>
      <w:r w:rsidR="00687BA3" w:rsidRPr="00687BA3">
        <w:t>Australian Association of Practice Management</w:t>
      </w:r>
      <w:r w:rsidR="00687BA3">
        <w:t xml:space="preserve"> (</w:t>
      </w:r>
      <w:r>
        <w:t>AAPM</w:t>
      </w:r>
      <w:r w:rsidR="00687BA3">
        <w:t>)</w:t>
      </w:r>
      <w:r>
        <w:t>, the Australian College of Rural and Remote Medicine</w:t>
      </w:r>
      <w:r w:rsidR="00BA28B3">
        <w:t xml:space="preserve"> </w:t>
      </w:r>
      <w:r>
        <w:t>(ACRRM), the Australian Practice Nurse Association (APNA) and the Royal Australian College of General Practitioners (RACGP).</w:t>
      </w:r>
    </w:p>
    <w:p w14:paraId="54B04FD3" w14:textId="25BE10E9" w:rsidR="002627CE" w:rsidRDefault="002627CE" w:rsidP="002627CE">
      <w:r>
        <w:t>The online training modules did not target specific clinical groups such as GPs, nurses or allied health staff, as the developers believed that the material should be suitable for all practice staff, including non-clinical staff. However, PHN practice facilitators identified this as one of the shortcomings of the modules. Having time to complete and digest the materials due to their volume was also identified as a barrier.</w:t>
      </w:r>
    </w:p>
    <w:p w14:paraId="2E2E8E91" w14:textId="22C9B444" w:rsidR="002627CE" w:rsidRDefault="002627CE" w:rsidP="002627CE">
      <w:r>
        <w:lastRenderedPageBreak/>
        <w:t>Data from AGPAL show</w:t>
      </w:r>
      <w:r w:rsidR="005476BE">
        <w:t>ed</w:t>
      </w:r>
      <w:r>
        <w:t xml:space="preserve"> that</w:t>
      </w:r>
      <w:r w:rsidR="006A2A2F">
        <w:t xml:space="preserve"> by September 2018,</w:t>
      </w:r>
      <w:r>
        <w:t xml:space="preserve"> 1,822 people </w:t>
      </w:r>
      <w:r w:rsidR="006A2A2F">
        <w:t xml:space="preserve">had </w:t>
      </w:r>
      <w:r>
        <w:t xml:space="preserve">received a login for the online training modules. Of these, 955 </w:t>
      </w:r>
      <w:r w:rsidR="006A2A2F">
        <w:t xml:space="preserve">had </w:t>
      </w:r>
      <w:r>
        <w:t>started module 1 and 748 completed it. The number that started and completed subsequent modules steadily decreased, with 101 people starting the last module</w:t>
      </w:r>
      <w:r w:rsidR="006A2A2F">
        <w:t xml:space="preserve"> (11)</w:t>
      </w:r>
      <w:r>
        <w:t xml:space="preserve"> and 78 completing it.</w:t>
      </w:r>
    </w:p>
    <w:p w14:paraId="2AB2EB25" w14:textId="2C434DCE" w:rsidR="002627CE" w:rsidRDefault="002627CE" w:rsidP="002627CE">
      <w:r>
        <w:t>Very few GPs and nurses completed the modules: 27 GPs and 57 nurses completed the foundation modules (1 to 4), and 10 GPs and 11 nurses completed the implementation modules (5-11). Using data from the initial round of practice surveys (late 2017/ early 2018), this translated to 5% of the GPs participating in the HCH program at the time having completed the foundation modules and 9% of nurses.</w:t>
      </w:r>
    </w:p>
    <w:p w14:paraId="1E0B97D9" w14:textId="2D0CB08D" w:rsidR="002627CE" w:rsidRDefault="002627CE" w:rsidP="002627CE">
      <w:r>
        <w:t>According to the data from AGPAL, individuals who completed the modules reported improved understanding or confidence in the topic area following the completion of the module.</w:t>
      </w:r>
    </w:p>
    <w:p w14:paraId="5ADDED75" w14:textId="428FAAFD" w:rsidR="002627CE" w:rsidRDefault="002627CE" w:rsidP="002627CE">
      <w:r w:rsidRPr="002627CE">
        <w:t>Through the practice survey, practices suggested ways to improve the modules</w:t>
      </w:r>
      <w:r>
        <w:t>. The top suggestions were to shorten the modules, remove repetition, simplify</w:t>
      </w:r>
      <w:r w:rsidR="006A2A2F">
        <w:t xml:space="preserve"> </w:t>
      </w:r>
      <w:r>
        <w:t>the material and include more practical examples.</w:t>
      </w:r>
    </w:p>
    <w:p w14:paraId="6BF44F25" w14:textId="63816CD2" w:rsidR="002627CE" w:rsidRDefault="002627CE" w:rsidP="002627CE">
      <w:r>
        <w:t xml:space="preserve">AGPAL’s strategy in developing the material was for PHN practice facilitators to assess where practices were at and use segments of the online modules based on their needs. PHN practice facilitators reported that this was not easily achieved with the technology used for the online modules, as individual users couldn’t move to a new module until a previous one had been completed. It was also not </w:t>
      </w:r>
      <w:r w:rsidR="002B58FA">
        <w:t>possible</w:t>
      </w:r>
      <w:r>
        <w:t xml:space="preserve"> for PHNs to ‘cut up’ the modules to present segments to practices. </w:t>
      </w:r>
      <w:r w:rsidR="0076552B">
        <w:t>Nevertheless, both PHNs and practices found ways to summarise the material and identified other strategies to lessen the time for practice staff to get across the key concepts.</w:t>
      </w:r>
    </w:p>
    <w:p w14:paraId="05BD79DE" w14:textId="223AA98D" w:rsidR="0076552B" w:rsidRDefault="0076552B" w:rsidP="0059743A">
      <w:pPr>
        <w:pStyle w:val="Heading3"/>
      </w:pPr>
      <w:r>
        <w:t>Suggestions for training</w:t>
      </w:r>
    </w:p>
    <w:p w14:paraId="78F11D00" w14:textId="444685AD" w:rsidR="0076552B" w:rsidRDefault="0076552B" w:rsidP="002627CE">
      <w:r w:rsidRPr="0076552B">
        <w:t>Practice facilitators thought practice staff should have had the opportunity to attend training workshops with other HCHs. They commented that it would have benefitted key people in practices in the trial to have been brought together as a group</w:t>
      </w:r>
      <w:r>
        <w:t>. This peer-to-peer learning approach also surfaced in other aspects of implementing HCH</w:t>
      </w:r>
      <w:r w:rsidR="006A2A2F">
        <w:t>, for example, GPs learning from each other about the model</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F07E92" w:rsidRPr="00E52C83" w14:paraId="3834F7D8" w14:textId="77777777" w:rsidTr="00D27862">
        <w:tc>
          <w:tcPr>
            <w:tcW w:w="5000" w:type="pct"/>
            <w:shd w:val="clear" w:color="auto" w:fill="F2F2F2" w:themeFill="background1" w:themeFillShade="F2"/>
          </w:tcPr>
          <w:p w14:paraId="1D85CF22" w14:textId="3D82C453" w:rsidR="00F07E92" w:rsidRPr="00E52C83" w:rsidRDefault="00F07E92" w:rsidP="007065A3">
            <w:pPr>
              <w:pStyle w:val="BodyText"/>
              <w:spacing w:after="120" w:line="276" w:lineRule="auto"/>
              <w:ind w:right="239"/>
              <w:jc w:val="center"/>
              <w:rPr>
                <w:b/>
                <w:spacing w:val="-1"/>
                <w:sz w:val="18"/>
                <w:szCs w:val="18"/>
              </w:rPr>
            </w:pPr>
            <w:r w:rsidRPr="00E52C83">
              <w:rPr>
                <w:b/>
                <w:spacing w:val="-1"/>
                <w:sz w:val="18"/>
                <w:szCs w:val="18"/>
              </w:rPr>
              <w:t xml:space="preserve">Lessons – </w:t>
            </w:r>
            <w:r w:rsidR="009908B4" w:rsidRPr="00E52C83">
              <w:rPr>
                <w:b/>
                <w:spacing w:val="-1"/>
                <w:sz w:val="18"/>
                <w:szCs w:val="18"/>
              </w:rPr>
              <w:t>T</w:t>
            </w:r>
            <w:r w:rsidRPr="00E52C83">
              <w:rPr>
                <w:b/>
                <w:spacing w:val="-1"/>
                <w:sz w:val="18"/>
                <w:szCs w:val="18"/>
              </w:rPr>
              <w:t>raining</w:t>
            </w:r>
          </w:p>
          <w:p w14:paraId="1974FDB0" w14:textId="07D2A650" w:rsidR="00F07E92" w:rsidRPr="00E52C83" w:rsidRDefault="00F07E92" w:rsidP="00AC2E83">
            <w:pPr>
              <w:pStyle w:val="BodyText"/>
              <w:numPr>
                <w:ilvl w:val="0"/>
                <w:numId w:val="7"/>
              </w:numPr>
              <w:tabs>
                <w:tab w:val="left" w:pos="674"/>
              </w:tabs>
              <w:spacing w:after="120" w:line="276" w:lineRule="auto"/>
              <w:rPr>
                <w:sz w:val="18"/>
                <w:szCs w:val="18"/>
              </w:rPr>
            </w:pPr>
            <w:bookmarkStart w:id="50" w:name="_Hlk22305918"/>
            <w:r w:rsidRPr="00E52C83">
              <w:rPr>
                <w:spacing w:val="-1"/>
                <w:sz w:val="18"/>
                <w:szCs w:val="18"/>
              </w:rPr>
              <w:t>Shorten and sharpen training materials: identify opportunities to reduce their length, reduce repetition, make them more practical, and subset them further so that staff can focus on segments based on their level of knowledge and their role.</w:t>
            </w:r>
            <w:bookmarkEnd w:id="50"/>
          </w:p>
        </w:tc>
      </w:tr>
    </w:tbl>
    <w:p w14:paraId="47AFB8F5" w14:textId="57DF2E4A" w:rsidR="002C2EB4" w:rsidRDefault="002C2EB4" w:rsidP="00EE25BB">
      <w:pPr>
        <w:spacing w:after="0"/>
      </w:pPr>
    </w:p>
    <w:p w14:paraId="63EE7E8A" w14:textId="77777777" w:rsidR="00FE0EFE" w:rsidRDefault="00FE0EFE" w:rsidP="00FE0EFE">
      <w:pPr>
        <w:rPr>
          <w:rFonts w:eastAsiaTheme="majorEastAsia" w:cstheme="majorBidi"/>
          <w:color w:val="003D79"/>
          <w:sz w:val="60"/>
          <w:szCs w:val="32"/>
        </w:rPr>
      </w:pPr>
      <w:r>
        <w:br w:type="page"/>
      </w:r>
    </w:p>
    <w:p w14:paraId="247E4000" w14:textId="26714EF3" w:rsidR="002C2EB4" w:rsidRPr="00CC6EA9" w:rsidRDefault="002C2EB4" w:rsidP="0059743A">
      <w:pPr>
        <w:pStyle w:val="Heading1nonumber"/>
      </w:pPr>
      <w:bookmarkStart w:id="51" w:name="_Toc32585827"/>
      <w:r w:rsidRPr="00CC6EA9">
        <w:lastRenderedPageBreak/>
        <w:t>Community Pharmacy in HCH trial</w:t>
      </w:r>
      <w:bookmarkEnd w:id="51"/>
    </w:p>
    <w:p w14:paraId="1A6A1426" w14:textId="7738ADD2" w:rsidR="002C2EB4" w:rsidRPr="00A43A0C" w:rsidRDefault="002C2EB4" w:rsidP="002C2EB4">
      <w:pPr>
        <w:textAlignment w:val="baseline"/>
      </w:pPr>
      <w:r>
        <w:t xml:space="preserve">Community pharmacy was added to the HCH trial in August 2018. As part of the initiative, community pharmacists to whom patients are </w:t>
      </w:r>
      <w:r w:rsidRPr="00A43A0C">
        <w:t>referred are collecting demographic data about the patients</w:t>
      </w:r>
      <w:r w:rsidR="00A43A0C" w:rsidRPr="00A43A0C">
        <w:t xml:space="preserve">, current medications, the pharmacist’s </w:t>
      </w:r>
      <w:r w:rsidRPr="00A43A0C">
        <w:t>assessment</w:t>
      </w:r>
      <w:r w:rsidR="00A43A0C" w:rsidRPr="00A43A0C">
        <w:t>s (e.g. adherence to medication), goals of the review and details of supporting services provided</w:t>
      </w:r>
      <w:r w:rsidRPr="00A43A0C">
        <w:t xml:space="preserve">. </w:t>
      </w:r>
    </w:p>
    <w:p w14:paraId="7293A89A" w14:textId="77777777" w:rsidR="002C2EB4" w:rsidRDefault="002C2EB4" w:rsidP="002C2EB4">
      <w:pPr>
        <w:rPr>
          <w:rFonts w:eastAsia="MS Gothic" w:cs="Arial"/>
        </w:rPr>
      </w:pPr>
      <w:r w:rsidRPr="00A43A0C">
        <w:rPr>
          <w:rFonts w:cs="Arial"/>
        </w:rPr>
        <w:t xml:space="preserve">At 30 June 2019, </w:t>
      </w:r>
      <w:r w:rsidRPr="00A43A0C">
        <w:rPr>
          <w:rFonts w:eastAsia="MS Gothic" w:cs="Arial"/>
        </w:rPr>
        <w:t>468 HCH enrolees had been referred to a</w:t>
      </w:r>
      <w:r>
        <w:rPr>
          <w:rFonts w:eastAsia="MS Gothic" w:cs="Arial"/>
        </w:rPr>
        <w:t xml:space="preserve"> community pharmacist. The patients were referred from a small number of practices, with 399 (85%) referred from seven practices. Most of the patients had only had an initial review, and 141 (30%) had had a second review. </w:t>
      </w:r>
    </w:p>
    <w:p w14:paraId="25B821FE" w14:textId="77777777" w:rsidR="002C2EB4" w:rsidRDefault="002C2EB4" w:rsidP="002C2EB4">
      <w:pPr>
        <w:rPr>
          <w:rFonts w:eastAsia="MS Gothic" w:cs="Arial"/>
        </w:rPr>
      </w:pPr>
      <w:r>
        <w:rPr>
          <w:rFonts w:eastAsia="MS Gothic" w:cs="Arial"/>
        </w:rPr>
        <w:t xml:space="preserve">Of the patients who had an initial review, 9% were in Tier 1, 50% in Tier 2, and 40% in Tier 3. The characteristics of patients were similar across tiers: 58% were female, 90% were English speaking at home, and patients generally scored high on the measure of adherence to medication (MedsIndex score; 74% scored above 80). Patients in Tier 3 were slightly younger, with 53% of patients being less than 65 years old compared with 41% in Tier 1 and 35% in Tier 2. Patients in Tier 3 were more likely to have attended hospital in the past 6 months (26% compared with 11% in Tier 1 and 9% in Tier 2). </w:t>
      </w:r>
    </w:p>
    <w:p w14:paraId="23FCE577" w14:textId="5CD00366" w:rsidR="002C2EB4" w:rsidRDefault="002C2EB4" w:rsidP="002C2EB4">
      <w:pPr>
        <w:rPr>
          <w:rFonts w:eastAsia="MS Gothic" w:cs="Arial"/>
        </w:rPr>
      </w:pPr>
      <w:r>
        <w:rPr>
          <w:rFonts w:eastAsia="MS Gothic" w:cs="Arial"/>
        </w:rPr>
        <w:t xml:space="preserve">Patients were taking medicines for a wide range of conditions. </w:t>
      </w:r>
      <w:bookmarkStart w:id="52" w:name="_Hlk22561600"/>
      <w:r w:rsidR="00CE2E86" w:rsidRPr="00CE2E86">
        <w:rPr>
          <w:rFonts w:eastAsia="MS Gothic" w:cs="Arial"/>
        </w:rPr>
        <w:t>The most commonly prescribed medic</w:t>
      </w:r>
      <w:r w:rsidR="00CE2E86">
        <w:rPr>
          <w:rFonts w:eastAsia="MS Gothic" w:cs="Arial"/>
        </w:rPr>
        <w:t>ines</w:t>
      </w:r>
      <w:r w:rsidR="00CE2E86" w:rsidRPr="00CE2E86">
        <w:rPr>
          <w:rFonts w:eastAsia="MS Gothic" w:cs="Arial"/>
        </w:rPr>
        <w:t xml:space="preserve"> were antihypertensives (72% of patients) and lipid lowering drugs (54%). </w:t>
      </w:r>
      <w:r w:rsidR="00CE2E86">
        <w:rPr>
          <w:rFonts w:eastAsia="MS Gothic" w:cs="Arial"/>
        </w:rPr>
        <w:t>Medicines prescribed</w:t>
      </w:r>
      <w:r w:rsidR="00CE2E86" w:rsidRPr="00CE2E86">
        <w:rPr>
          <w:rFonts w:eastAsia="MS Gothic" w:cs="Arial"/>
        </w:rPr>
        <w:t xml:space="preserve"> for these conditions were similar across tiers. </w:t>
      </w:r>
      <w:r w:rsidR="00CE2E86">
        <w:rPr>
          <w:rFonts w:eastAsia="MS Gothic" w:cs="Arial"/>
        </w:rPr>
        <w:t>Medicines</w:t>
      </w:r>
      <w:r w:rsidR="00CE2E86" w:rsidRPr="00CE2E86">
        <w:rPr>
          <w:rFonts w:eastAsia="MS Gothic" w:cs="Arial"/>
        </w:rPr>
        <w:t xml:space="preserve"> were also commonly prescribed for</w:t>
      </w:r>
      <w:r w:rsidR="00CE2E86">
        <w:rPr>
          <w:rFonts w:eastAsia="MS Gothic" w:cs="Arial"/>
        </w:rPr>
        <w:t>:</w:t>
      </w:r>
      <w:r w:rsidR="00CE2E86" w:rsidRPr="00CE2E86">
        <w:rPr>
          <w:rFonts w:eastAsia="MS Gothic" w:cs="Arial"/>
        </w:rPr>
        <w:t xml:space="preserve"> diabetes (44%)</w:t>
      </w:r>
      <w:r w:rsidR="00CE2E86">
        <w:rPr>
          <w:rFonts w:eastAsia="MS Gothic" w:cs="Arial"/>
        </w:rPr>
        <w:t>;</w:t>
      </w:r>
      <w:r w:rsidR="00CE2E86" w:rsidRPr="00CE2E86">
        <w:rPr>
          <w:rFonts w:eastAsia="MS Gothic" w:cs="Arial"/>
        </w:rPr>
        <w:t xml:space="preserve"> heart disease (41%)</w:t>
      </w:r>
      <w:r w:rsidR="00CE2E86">
        <w:rPr>
          <w:rFonts w:eastAsia="MS Gothic" w:cs="Arial"/>
        </w:rPr>
        <w:t>;</w:t>
      </w:r>
      <w:r w:rsidR="00CE2E86" w:rsidRPr="00CE2E86">
        <w:rPr>
          <w:rFonts w:eastAsia="MS Gothic" w:cs="Arial"/>
        </w:rPr>
        <w:t xml:space="preserve"> arthritis (32%)</w:t>
      </w:r>
      <w:r w:rsidR="00CE2E86">
        <w:rPr>
          <w:rFonts w:eastAsia="MS Gothic" w:cs="Arial"/>
        </w:rPr>
        <w:t>;</w:t>
      </w:r>
      <w:r w:rsidR="00CE2E86" w:rsidRPr="00CE2E86">
        <w:rPr>
          <w:rFonts w:eastAsia="MS Gothic" w:cs="Arial"/>
        </w:rPr>
        <w:t xml:space="preserve"> respiratory conditions (32%)</w:t>
      </w:r>
      <w:r w:rsidR="00CE2E86">
        <w:rPr>
          <w:rFonts w:eastAsia="MS Gothic" w:cs="Arial"/>
        </w:rPr>
        <w:t>;</w:t>
      </w:r>
      <w:r w:rsidR="00CE2E86" w:rsidRPr="00CE2E86">
        <w:rPr>
          <w:rFonts w:eastAsia="MS Gothic" w:cs="Arial"/>
        </w:rPr>
        <w:t xml:space="preserve"> depression or anxiety (27%)</w:t>
      </w:r>
      <w:r w:rsidR="00CE2E86">
        <w:rPr>
          <w:rFonts w:eastAsia="MS Gothic" w:cs="Arial"/>
        </w:rPr>
        <w:t>;</w:t>
      </w:r>
      <w:r w:rsidR="00CE2E86" w:rsidRPr="00CE2E86">
        <w:rPr>
          <w:rFonts w:eastAsia="MS Gothic" w:cs="Arial"/>
        </w:rPr>
        <w:t xml:space="preserve"> pain (26%)</w:t>
      </w:r>
      <w:r w:rsidR="00CE2E86">
        <w:rPr>
          <w:rFonts w:eastAsia="MS Gothic" w:cs="Arial"/>
        </w:rPr>
        <w:t>;</w:t>
      </w:r>
      <w:r w:rsidR="00CE2E86" w:rsidRPr="00CE2E86">
        <w:rPr>
          <w:rFonts w:eastAsia="MS Gothic" w:cs="Arial"/>
        </w:rPr>
        <w:t xml:space="preserve"> </w:t>
      </w:r>
      <w:r w:rsidR="00CE2E86">
        <w:rPr>
          <w:rFonts w:eastAsia="MS Gothic" w:cs="Arial"/>
        </w:rPr>
        <w:t xml:space="preserve">and </w:t>
      </w:r>
      <w:r w:rsidR="00CE2E86" w:rsidRPr="00CE2E86">
        <w:rPr>
          <w:rFonts w:eastAsia="MS Gothic" w:cs="Arial"/>
        </w:rPr>
        <w:t>digestive disorders (25%). Prescriptions of medicines for depression and anxiety increased with tier, as did prescriptions for diabetes, kidney disease, respiratory disease, and the category of ‘other conditions’</w:t>
      </w:r>
      <w:bookmarkEnd w:id="52"/>
      <w:r w:rsidR="00CE2E86" w:rsidRPr="00CE2E86">
        <w:rPr>
          <w:rFonts w:eastAsia="MS Gothic" w:cs="Arial"/>
        </w:rPr>
        <w:t>.</w:t>
      </w:r>
      <w:r w:rsidR="00BA28B3">
        <w:rPr>
          <w:rFonts w:eastAsia="MS Gothic" w:cs="Arial"/>
        </w:rPr>
        <w:t xml:space="preserve"> </w:t>
      </w:r>
    </w:p>
    <w:p w14:paraId="37FBD80E" w14:textId="4E4C2676" w:rsidR="002C2EB4" w:rsidRDefault="00CE2E86" w:rsidP="002C2EB4">
      <w:pPr>
        <w:rPr>
          <w:rFonts w:eastAsia="MS Gothic" w:cs="Arial"/>
          <w:szCs w:val="20"/>
        </w:rPr>
      </w:pPr>
      <w:r w:rsidRPr="00CE2E86">
        <w:rPr>
          <w:rFonts w:eastAsia="MS Gothic" w:cs="Arial"/>
          <w:szCs w:val="20"/>
        </w:rPr>
        <w:t>The most common goals agreed to in the patients’ medication management plan were ‘Improved medication adherence’ (42%) and ‘Improved patient knowledge about their medicines leading to improved medication use and disease self-management’ (51%), but these varied substantially between tiers. Patients in tiers 1 and 2 were much more likely to have the goal of ‘improved patient knowledge’ than patients in Tier 3 (73% in Tier 1, 63% in Tier 2 and 30% in Tier 3), but patients in Tier 3 were far more likely to have the goal of ‘Improved medication adherence’ (68% in Tier 1, 32% in Tier 2 and 61% in Tier 3s). The goals of ‘Improved technique/usage of medication devices’ (15%), ‘Optimise the medication dose’ (18%), and ‘Reduced medication side effects’ (8%) were less common</w:t>
      </w:r>
      <w:r w:rsidR="002C2EB4">
        <w:rPr>
          <w:rFonts w:eastAsia="MS Gothic" w:cs="Arial"/>
          <w:szCs w:val="20"/>
        </w:rPr>
        <w:t>.</w:t>
      </w:r>
    </w:p>
    <w:p w14:paraId="539C520C" w14:textId="7D4404F7" w:rsidR="002C2EB4" w:rsidRDefault="002C2EB4" w:rsidP="002C2EB4">
      <w:pPr>
        <w:rPr>
          <w:rFonts w:eastAsia="MS Gothic" w:cs="Arial"/>
          <w:szCs w:val="20"/>
        </w:rPr>
      </w:pPr>
      <w:r>
        <w:rPr>
          <w:rFonts w:eastAsia="MS Gothic" w:cs="Arial"/>
          <w:szCs w:val="20"/>
        </w:rPr>
        <w:t>For most conditions, at least two people were identified as being responsible for the patient achieving their goals. Although GPs were less likely to be considered responsible for a goal, they were considered responsible for goals relating to optimising dose (57%) and reducing side effects (61%).</w:t>
      </w:r>
    </w:p>
    <w:p w14:paraId="780EA7A3" w14:textId="0A8396ED" w:rsidR="00A43A0C" w:rsidRDefault="00A43A0C" w:rsidP="00A43A0C">
      <w:pPr>
        <w:rPr>
          <w:rFonts w:eastAsia="MS Gothic" w:cs="Arial"/>
          <w:szCs w:val="20"/>
        </w:rPr>
      </w:pPr>
      <w:bookmarkStart w:id="53" w:name="_Hlk22561711"/>
      <w:r w:rsidRPr="00D02F63">
        <w:rPr>
          <w:rFonts w:eastAsia="MS Gothic" w:cs="Arial"/>
          <w:szCs w:val="20"/>
        </w:rPr>
        <w:t xml:space="preserve">The most common outcomes (i.e. what the pharmacist did) for the first review included: </w:t>
      </w:r>
      <w:bookmarkStart w:id="54" w:name="_Hlk21517334"/>
      <w:r w:rsidR="00D02F63" w:rsidRPr="00D02F63">
        <w:rPr>
          <w:rFonts w:eastAsia="MS Gothic" w:cs="Arial"/>
          <w:szCs w:val="20"/>
        </w:rPr>
        <w:t xml:space="preserve">the pharmacist updating </w:t>
      </w:r>
      <w:r w:rsidR="00F7613C">
        <w:rPr>
          <w:rFonts w:eastAsia="MS Gothic" w:cs="Arial"/>
          <w:szCs w:val="20"/>
        </w:rPr>
        <w:t xml:space="preserve">or </w:t>
      </w:r>
      <w:r w:rsidR="00D02F63" w:rsidRPr="00D02F63">
        <w:rPr>
          <w:rFonts w:eastAsia="MS Gothic" w:cs="Arial"/>
          <w:szCs w:val="20"/>
        </w:rPr>
        <w:t>reconcil</w:t>
      </w:r>
      <w:r w:rsidR="00F7613C">
        <w:rPr>
          <w:rFonts w:eastAsia="MS Gothic" w:cs="Arial"/>
          <w:szCs w:val="20"/>
        </w:rPr>
        <w:t>ing the</w:t>
      </w:r>
      <w:r w:rsidR="00D02F63" w:rsidRPr="00D02F63">
        <w:rPr>
          <w:rFonts w:eastAsia="MS Gothic" w:cs="Arial"/>
          <w:szCs w:val="20"/>
        </w:rPr>
        <w:t xml:space="preserve"> medication list (98%), the pharmacist providing the patient with medicine education (89%), and the pharmacist providing the patient with </w:t>
      </w:r>
      <w:r w:rsidR="00D02F63" w:rsidRPr="00D02F63">
        <w:rPr>
          <w:rFonts w:eastAsia="MS Gothic" w:cs="Arial"/>
          <w:szCs w:val="20"/>
        </w:rPr>
        <w:lastRenderedPageBreak/>
        <w:t>disease state information (75%). The same goals were also commonly reported at the second review</w:t>
      </w:r>
      <w:bookmarkEnd w:id="53"/>
      <w:r>
        <w:rPr>
          <w:rFonts w:eastAsia="MS Gothic" w:cs="Arial"/>
          <w:szCs w:val="20"/>
        </w:rPr>
        <w:t>.</w:t>
      </w:r>
      <w:bookmarkEnd w:id="54"/>
    </w:p>
    <w:p w14:paraId="2F0482B5" w14:textId="77777777" w:rsidR="002C2EB4" w:rsidRDefault="002C2EB4" w:rsidP="002C2EB4">
      <w:pPr>
        <w:rPr>
          <w:rFonts w:eastAsia="MS Gothic" w:cs="Arial"/>
          <w:szCs w:val="20"/>
        </w:rPr>
      </w:pPr>
      <w:r>
        <w:rPr>
          <w:rFonts w:eastAsia="MS Gothic" w:cs="Arial"/>
          <w:szCs w:val="20"/>
        </w:rPr>
        <w:t xml:space="preserve">Patients were offered services to assist them in achieving the goals they agreed to in the medication management plan. The most common service offered was blood pressure monitoring (31% of patients), followed by dose administration aid (25%). </w:t>
      </w:r>
    </w:p>
    <w:p w14:paraId="7811B111" w14:textId="63446391" w:rsidR="00AA4F5A" w:rsidRDefault="002C2EB4" w:rsidP="00FE0EFE">
      <w:r>
        <w:t>Recent interviews with PHNs indicate that in some PHNs relationships been GP practices and community pharmacies are being fostered through initiatives sponsored by the PHN. The next round of case studies will aim to obtain perspectives from community pharmacists and practices on the Community Pharmacy in HCH trial.</w:t>
      </w:r>
      <w:r w:rsidR="00FE0EFE">
        <w:t xml:space="preserve"> </w:t>
      </w:r>
    </w:p>
    <w:p w14:paraId="023FDA7A" w14:textId="77777777" w:rsidR="002C2EB4" w:rsidRDefault="00CC6EA9" w:rsidP="0059743A">
      <w:pPr>
        <w:pStyle w:val="Heading1nonumber"/>
      </w:pPr>
      <w:bookmarkStart w:id="55" w:name="_Toc32585828"/>
      <w:r>
        <w:t>Other implementation issues</w:t>
      </w:r>
      <w:bookmarkEnd w:id="55"/>
    </w:p>
    <w:p w14:paraId="1598159A" w14:textId="626E739E" w:rsidR="008B5E40" w:rsidRDefault="008B5E40" w:rsidP="0059743A">
      <w:pPr>
        <w:pStyle w:val="Heading2"/>
      </w:pPr>
      <w:bookmarkStart w:id="56" w:name="_Toc32585829"/>
      <w:r>
        <w:t>Risk stratification</w:t>
      </w:r>
      <w:bookmarkEnd w:id="56"/>
    </w:p>
    <w:p w14:paraId="78546D55" w14:textId="1D83CFCC" w:rsidR="0076552B" w:rsidRDefault="0076552B" w:rsidP="0076552B">
      <w:r>
        <w:t xml:space="preserve">The PHCAG recommended risk stratification to identify patients with high coordination and care team needs, to tailor services to meet their needs. The Department commissioned Precedence Health Care to develop a </w:t>
      </w:r>
      <w:r w:rsidR="00EE25BB">
        <w:t>tool</w:t>
      </w:r>
      <w:r>
        <w:t xml:space="preserve"> that would be used by practices in this process. The risk stratification process involved two steps: a predictive risk model (PRM) to identify patients at high risk of hospitalisation in the next 12 months; and an assessment of clinical factors and factors impinging on self-management using the Hospital Admissions Risk </w:t>
      </w:r>
      <w:r w:rsidR="00BF0C67">
        <w:t>Program</w:t>
      </w:r>
      <w:r>
        <w:t xml:space="preserve"> (HARP) tool, to assign patients to a complexity tier.</w:t>
      </w:r>
    </w:p>
    <w:p w14:paraId="664E7FFA" w14:textId="2FC74432" w:rsidR="0076552B" w:rsidRDefault="0076552B" w:rsidP="0076552B">
      <w:r>
        <w:t>Precedence developed and validated the PRM using hospital data from a Victorian source, linked with practice clinical data. It has been recognised that further validation will be needed following the trial. Both the PRM and HARP have been developed as tools to predict hospitalisation. Different views were expressed about the tools and their application in practice.</w:t>
      </w:r>
    </w:p>
    <w:p w14:paraId="02520B47" w14:textId="27C74CDA" w:rsidR="0076552B" w:rsidRDefault="0076552B" w:rsidP="0076552B">
      <w:r>
        <w:t xml:space="preserve">There were challenges with installing the RST in practices, either due to incompatibility with clinical management systems or practices’ IT environments. These were resolved quickly for most systems and practices but persisted in some cases. For </w:t>
      </w:r>
      <w:r w:rsidR="00F96618">
        <w:t>ACCHS</w:t>
      </w:r>
      <w:r>
        <w:t xml:space="preserve"> in the NT, it continued to be a problem into late 2018. Some of the practices that did not take up the initial offer for HCH from the Department and some of the practices that withdrew subsequently, identified problems with the compatibility of the RST, or installing it, as reasons for not continuing with HCH.</w:t>
      </w:r>
    </w:p>
    <w:p w14:paraId="100CE638" w14:textId="60427550" w:rsidR="008B5E40" w:rsidRDefault="0076552B" w:rsidP="0076552B">
      <w:r>
        <w:t>Training in the use of the software for practices and PHN practice facilitators, and in the meaning of the tiers, and application of the HARP tool for clinicians, were identified as priorities for future rollout of the program.</w:t>
      </w:r>
    </w:p>
    <w:p w14:paraId="1DDF1F7B" w14:textId="1D3B9885" w:rsidR="00A62422" w:rsidRDefault="00A62422" w:rsidP="0076552B">
      <w:r w:rsidRPr="00A62422">
        <w:t>De-identified data were provided to the evaluation team in early September 2019 for analysis.</w:t>
      </w:r>
      <w:r w:rsidR="00BA28B3">
        <w:t xml:space="preserve"> </w:t>
      </w:r>
      <w:r w:rsidRPr="00A62422">
        <w:t>The data supplied relate to items and risk scores for the two stages of the risk stratification process</w:t>
      </w:r>
      <w:r>
        <w:t>.</w:t>
      </w:r>
    </w:p>
    <w:p w14:paraId="3D6C4B4B" w14:textId="27159467" w:rsidR="00A62422" w:rsidRDefault="00A62422" w:rsidP="0076552B">
      <w:r w:rsidRPr="00A62422">
        <w:t>Most patients ha</w:t>
      </w:r>
      <w:r>
        <w:t>d</w:t>
      </w:r>
      <w:r w:rsidRPr="00A62422">
        <w:t xml:space="preserve"> a risk of 0.25 or below (25% chance) of being hospitalised in the next 12 months. There </w:t>
      </w:r>
      <w:r>
        <w:t>was</w:t>
      </w:r>
      <w:r w:rsidRPr="00A62422">
        <w:t xml:space="preserve"> overlap across the tiers, </w:t>
      </w:r>
      <w:r>
        <w:t>but</w:t>
      </w:r>
      <w:r w:rsidRPr="00A62422">
        <w:t xml:space="preserve"> patients in the higher tiers</w:t>
      </w:r>
      <w:r>
        <w:t xml:space="preserve"> were</w:t>
      </w:r>
      <w:r w:rsidRPr="00A62422">
        <w:t xml:space="preserve"> more likely to have a higher risk</w:t>
      </w:r>
      <w:r>
        <w:t xml:space="preserve">. </w:t>
      </w:r>
    </w:p>
    <w:p w14:paraId="01EB05D8" w14:textId="29278FD5" w:rsidR="00A62422" w:rsidRDefault="00A62422" w:rsidP="0076552B">
      <w:bookmarkStart w:id="57" w:name="_Hlk21366405"/>
      <w:r w:rsidRPr="00A62422">
        <w:lastRenderedPageBreak/>
        <w:t>GPs could override the score</w:t>
      </w:r>
      <w:r>
        <w:t xml:space="preserve"> returned by the PRM</w:t>
      </w:r>
      <w:r w:rsidRPr="00A62422">
        <w:t xml:space="preserve"> </w:t>
      </w:r>
      <w:bookmarkStart w:id="58" w:name="_Hlk21366326"/>
      <w:r w:rsidRPr="00A62422">
        <w:t xml:space="preserve">and invite patients to </w:t>
      </w:r>
      <w:r>
        <w:t>undertake the next stage of the assessment</w:t>
      </w:r>
      <w:bookmarkEnd w:id="58"/>
      <w:r>
        <w:t xml:space="preserve"> – the </w:t>
      </w:r>
      <w:r w:rsidRPr="00A62422">
        <w:t>HARP</w:t>
      </w:r>
      <w:bookmarkEnd w:id="57"/>
      <w:r w:rsidRPr="00A62422">
        <w:t>.</w:t>
      </w:r>
      <w:r w:rsidR="00BA28B3">
        <w:t xml:space="preserve"> </w:t>
      </w:r>
      <w:bookmarkStart w:id="59" w:name="_Hlk21366470"/>
      <w:r w:rsidRPr="00A62422">
        <w:t xml:space="preserve">Of the 12,448 patients for which data were available, 30% (3,674) </w:t>
      </w:r>
      <w:r>
        <w:t xml:space="preserve">had a HARP completed </w:t>
      </w:r>
      <w:r w:rsidRPr="00A62422">
        <w:t>because the GP overrode their PRM score</w:t>
      </w:r>
      <w:bookmarkEnd w:id="59"/>
      <w:r w:rsidRPr="00A62422">
        <w:t>. For those patients whose score was overridden, 25.4% were then allocated to Tier 1, 52.6% allocated to Tier 2, and 22.0% allocated to Tier 3.</w:t>
      </w:r>
    </w:p>
    <w:p w14:paraId="0747714C" w14:textId="0099C547" w:rsidR="00E95399" w:rsidRDefault="00E95399" w:rsidP="00E95399">
      <w:pPr>
        <w:rPr>
          <w:rFonts w:cs="Calibri (Body)"/>
          <w:color w:val="000000"/>
          <w:szCs w:val="20"/>
        </w:rPr>
      </w:pPr>
      <w:r w:rsidRPr="00E95399">
        <w:t xml:space="preserve">Patients </w:t>
      </w:r>
      <w:r w:rsidR="00687BA3">
        <w:t xml:space="preserve">had more </w:t>
      </w:r>
      <w:r w:rsidRPr="00E95399">
        <w:t>chronic conditions and more social problems with increasing tier.</w:t>
      </w:r>
      <w:r w:rsidR="00BA28B3">
        <w:t xml:space="preserve"> </w:t>
      </w:r>
      <w:r w:rsidRPr="00EF65CA">
        <w:rPr>
          <w:rFonts w:cstheme="minorHAnsi"/>
          <w:szCs w:val="20"/>
        </w:rPr>
        <w:t>The most common chronic disease group</w:t>
      </w:r>
      <w:r>
        <w:rPr>
          <w:rFonts w:cstheme="minorHAnsi"/>
          <w:szCs w:val="20"/>
        </w:rPr>
        <w:t>s</w:t>
      </w:r>
      <w:r w:rsidRPr="00EF65CA">
        <w:rPr>
          <w:rFonts w:cstheme="minorHAnsi"/>
          <w:szCs w:val="20"/>
        </w:rPr>
        <w:t xml:space="preserve"> </w:t>
      </w:r>
      <w:r>
        <w:rPr>
          <w:rFonts w:cstheme="minorHAnsi"/>
          <w:szCs w:val="20"/>
        </w:rPr>
        <w:t>were</w:t>
      </w:r>
      <w:r w:rsidRPr="00EF65CA">
        <w:rPr>
          <w:rFonts w:cstheme="minorHAnsi"/>
          <w:szCs w:val="20"/>
        </w:rPr>
        <w:t xml:space="preserve"> </w:t>
      </w:r>
      <w:r w:rsidRPr="00EF65CA">
        <w:rPr>
          <w:rFonts w:cs="Calibri (Body)"/>
          <w:color w:val="000000"/>
          <w:szCs w:val="20"/>
        </w:rPr>
        <w:t>diabetes and/or renal failure and/or liver disease</w:t>
      </w:r>
      <w:r w:rsidR="00687BA3">
        <w:rPr>
          <w:rFonts w:cs="Calibri (Body)"/>
          <w:color w:val="000000"/>
          <w:szCs w:val="20"/>
        </w:rPr>
        <w:t>;</w:t>
      </w:r>
      <w:r>
        <w:rPr>
          <w:rFonts w:cs="Calibri (Body)"/>
          <w:color w:val="000000"/>
          <w:szCs w:val="20"/>
        </w:rPr>
        <w:t xml:space="preserve"> c</w:t>
      </w:r>
      <w:r w:rsidRPr="00EF65CA">
        <w:rPr>
          <w:rFonts w:cs="Calibri (Body)"/>
          <w:color w:val="000000"/>
          <w:szCs w:val="20"/>
        </w:rPr>
        <w:t xml:space="preserve">ardiac conditions </w:t>
      </w:r>
      <w:r>
        <w:rPr>
          <w:rFonts w:cs="Calibri (Body)"/>
          <w:color w:val="000000"/>
          <w:szCs w:val="20"/>
        </w:rPr>
        <w:t>(</w:t>
      </w:r>
      <w:r w:rsidR="00687BA3">
        <w:rPr>
          <w:rFonts w:cs="Calibri (Body)"/>
          <w:color w:val="000000"/>
          <w:szCs w:val="20"/>
        </w:rPr>
        <w:t>congestive heart failure</w:t>
      </w:r>
      <w:r w:rsidRPr="00EF65CA">
        <w:rPr>
          <w:rFonts w:cs="Calibri (Body)"/>
          <w:color w:val="000000"/>
          <w:szCs w:val="20"/>
        </w:rPr>
        <w:t xml:space="preserve"> or angina</w:t>
      </w:r>
      <w:r>
        <w:rPr>
          <w:rFonts w:cs="Calibri (Body)"/>
          <w:color w:val="000000"/>
          <w:szCs w:val="20"/>
        </w:rPr>
        <w:t>)</w:t>
      </w:r>
      <w:r w:rsidR="00687BA3">
        <w:rPr>
          <w:rFonts w:cs="Calibri (Body)"/>
          <w:color w:val="000000"/>
          <w:szCs w:val="20"/>
        </w:rPr>
        <w:t>;</w:t>
      </w:r>
      <w:r w:rsidRPr="00EF65CA">
        <w:rPr>
          <w:rFonts w:cs="Calibri (Body)"/>
          <w:color w:val="000000"/>
          <w:szCs w:val="20"/>
        </w:rPr>
        <w:t xml:space="preserve"> and chronic respirator</w:t>
      </w:r>
      <w:r>
        <w:rPr>
          <w:rFonts w:cs="Calibri (Body)"/>
          <w:color w:val="000000"/>
          <w:szCs w:val="20"/>
        </w:rPr>
        <w:t>y</w:t>
      </w:r>
      <w:r w:rsidRPr="00EF65CA">
        <w:rPr>
          <w:rFonts w:cs="Calibri (Body)"/>
          <w:color w:val="000000"/>
          <w:szCs w:val="20"/>
        </w:rPr>
        <w:t xml:space="preserve"> condition</w:t>
      </w:r>
      <w:r w:rsidR="00687BA3">
        <w:rPr>
          <w:rFonts w:cs="Calibri (Body)"/>
          <w:color w:val="000000"/>
          <w:szCs w:val="20"/>
        </w:rPr>
        <w:t>s</w:t>
      </w:r>
      <w:r w:rsidRPr="00EF65CA">
        <w:rPr>
          <w:rFonts w:cs="Calibri (Body)"/>
          <w:color w:val="000000"/>
          <w:szCs w:val="20"/>
        </w:rPr>
        <w:t>.</w:t>
      </w:r>
      <w:r w:rsidR="00BA28B3">
        <w:rPr>
          <w:rFonts w:cs="Calibri (Body)"/>
          <w:color w:val="000000"/>
          <w:szCs w:val="20"/>
        </w:rPr>
        <w:t xml:space="preserve"> </w:t>
      </w:r>
      <w:r>
        <w:rPr>
          <w:rFonts w:cs="Calibri (Body)"/>
          <w:color w:val="000000"/>
          <w:szCs w:val="20"/>
        </w:rPr>
        <w:t>The steepest gradient in the prevalence across tiers was for diagnosis of complex care needs in frail aged such as dementia, falls, incontinence.</w:t>
      </w:r>
    </w:p>
    <w:p w14:paraId="5AD23192" w14:textId="379CC884" w:rsidR="00E95399" w:rsidRDefault="00E95399" w:rsidP="00E95399">
      <w:pPr>
        <w:rPr>
          <w:rFonts w:cs="Calibri (Body)"/>
          <w:color w:val="000000"/>
          <w:szCs w:val="20"/>
        </w:rPr>
      </w:pPr>
      <w:r>
        <w:rPr>
          <w:rFonts w:cs="Calibri (Body)"/>
          <w:color w:val="000000"/>
          <w:szCs w:val="20"/>
        </w:rPr>
        <w:t xml:space="preserve">Within the service access profile category, patients in Tier 3 were far more likely to have been in hospital more than once in the last 12 months, and more likely to have a reduced ability to self-care. </w:t>
      </w:r>
    </w:p>
    <w:p w14:paraId="4CC49A63" w14:textId="60862507" w:rsidR="00E95399" w:rsidRDefault="004C05E6" w:rsidP="00E95399">
      <w:pPr>
        <w:rPr>
          <w:rFonts w:cs="Calibri (Body)"/>
          <w:color w:val="000000"/>
          <w:szCs w:val="20"/>
        </w:rPr>
      </w:pPr>
      <w:bookmarkStart w:id="60" w:name="_Hlk22561237"/>
      <w:r w:rsidRPr="004C05E6">
        <w:rPr>
          <w:rFonts w:cs="Calibri (Body)"/>
          <w:color w:val="000000"/>
          <w:szCs w:val="20"/>
        </w:rPr>
        <w:t>There were high levels (&gt;50%) of all the lifestyle risk factors</w:t>
      </w:r>
      <w:r>
        <w:rPr>
          <w:rFonts w:cs="Calibri (Body)"/>
          <w:color w:val="000000"/>
          <w:szCs w:val="20"/>
        </w:rPr>
        <w:t>,</w:t>
      </w:r>
      <w:r w:rsidRPr="004C05E6">
        <w:rPr>
          <w:rFonts w:cs="Calibri (Body)"/>
          <w:color w:val="000000"/>
          <w:szCs w:val="20"/>
        </w:rPr>
        <w:t xml:space="preserve"> except smoking</w:t>
      </w:r>
      <w:r>
        <w:rPr>
          <w:rFonts w:cs="Calibri (Body)"/>
          <w:color w:val="000000"/>
          <w:szCs w:val="20"/>
        </w:rPr>
        <w:t xml:space="preserve"> (w</w:t>
      </w:r>
      <w:r w:rsidRPr="004C05E6">
        <w:rPr>
          <w:rFonts w:cs="Calibri (Body)"/>
          <w:color w:val="000000"/>
          <w:szCs w:val="20"/>
        </w:rPr>
        <w:t>hich had a prevalence of 18.0%</w:t>
      </w:r>
      <w:r>
        <w:rPr>
          <w:rFonts w:cs="Calibri (Body)"/>
          <w:color w:val="000000"/>
          <w:szCs w:val="20"/>
        </w:rPr>
        <w:t>)</w:t>
      </w:r>
      <w:bookmarkEnd w:id="60"/>
      <w:r w:rsidRPr="004C05E6">
        <w:rPr>
          <w:rFonts w:cs="Calibri (Body)"/>
          <w:color w:val="000000"/>
          <w:szCs w:val="20"/>
        </w:rPr>
        <w:t xml:space="preserve">. High blood pressure, high cholesterol and overweight/obese were more prevalent </w:t>
      </w:r>
      <w:r>
        <w:rPr>
          <w:rFonts w:cs="Calibri (Body)"/>
          <w:color w:val="000000"/>
          <w:szCs w:val="20"/>
        </w:rPr>
        <w:t xml:space="preserve">amongst </w:t>
      </w:r>
      <w:r w:rsidRPr="004C05E6">
        <w:rPr>
          <w:rFonts w:cs="Calibri (Body)"/>
          <w:color w:val="000000"/>
          <w:szCs w:val="20"/>
        </w:rPr>
        <w:t>patients in Tier 1, but patients in Tier 3 had substantially higher levels of physical inactivity and polypharmacy.</w:t>
      </w:r>
    </w:p>
    <w:p w14:paraId="19AEE641" w14:textId="25FC486A" w:rsidR="00F07E92" w:rsidRDefault="00E95399" w:rsidP="002701B2">
      <w:r>
        <w:rPr>
          <w:rFonts w:cs="Calibri (Body)"/>
          <w:color w:val="000000"/>
          <w:szCs w:val="20"/>
        </w:rPr>
        <w:t>Of the complication categories listed in the HARP tool, each was more common among patients in Tier 3.</w:t>
      </w:r>
      <w:r w:rsidR="002701B2">
        <w:t xml:space="preserve"> </w:t>
      </w:r>
    </w:p>
    <w:p w14:paraId="26C49C7B" w14:textId="77777777" w:rsidR="008B5E40" w:rsidRDefault="008B5E40" w:rsidP="0059743A">
      <w:pPr>
        <w:pStyle w:val="Heading2"/>
      </w:pPr>
      <w:bookmarkStart w:id="61" w:name="_Toc32585830"/>
      <w:r>
        <w:t>Shared care planning</w:t>
      </w:r>
      <w:bookmarkEnd w:id="61"/>
    </w:p>
    <w:p w14:paraId="05BD0D37" w14:textId="2480698C" w:rsidR="00A55737" w:rsidRDefault="00A55737" w:rsidP="00A55737">
      <w:r>
        <w:t>The Department gave practices until 30 November 2018 to implement an electronic shared</w:t>
      </w:r>
      <w:r w:rsidR="00BA28B3">
        <w:t xml:space="preserve"> </w:t>
      </w:r>
      <w:r>
        <w:t>care planning tool</w:t>
      </w:r>
      <w:r w:rsidR="004C05E6">
        <w:t xml:space="preserve"> </w:t>
      </w:r>
      <w:r w:rsidR="004C05E6" w:rsidRPr="004C05E6">
        <w:t>that met with the minimum requirements stipulated for</w:t>
      </w:r>
      <w:r w:rsidR="004C05E6">
        <w:t xml:space="preserve"> HCH</w:t>
      </w:r>
      <w:r>
        <w:t xml:space="preserve">. While some practices already had technology and processes in place to share patients’ care plans with providers outside of the practice, for many, selecting and implementing a system was a focus in the early stages of implementing HCH. Some PHNs purchased licences for a tool for their practices, while others provided guidance on tools that met the Department’s requirements (building on the list compiled by the Medical Software Industry Association). </w:t>
      </w:r>
    </w:p>
    <w:p w14:paraId="3CF3242B" w14:textId="3E1483B4" w:rsidR="00A55737" w:rsidRDefault="00A55737" w:rsidP="00A55737">
      <w:pPr>
        <w:rPr>
          <w:rFonts w:eastAsia="Times New Roman"/>
          <w:iCs/>
          <w:szCs w:val="20"/>
        </w:rPr>
      </w:pPr>
      <w:r>
        <w:t xml:space="preserve">Practices that implemented new shared care planning tools </w:t>
      </w:r>
      <w:r w:rsidRPr="00A55737">
        <w:t xml:space="preserve">reported initial </w:t>
      </w:r>
      <w:r>
        <w:t>‘</w:t>
      </w:r>
      <w:r w:rsidRPr="00A55737">
        <w:t>teething issues</w:t>
      </w:r>
      <w:r>
        <w:t>’</w:t>
      </w:r>
      <w:r w:rsidRPr="00A55737">
        <w:t>.</w:t>
      </w:r>
      <w:r>
        <w:t xml:space="preserve"> While technical issues were resolved, some practices had ongoing issues with the usability of the tools, </w:t>
      </w:r>
      <w:r>
        <w:rPr>
          <w:rFonts w:eastAsiaTheme="minorHAnsi" w:cstheme="minorBidi"/>
          <w:noProof/>
        </w:rPr>
        <w:t xml:space="preserve">describing them as </w:t>
      </w:r>
      <w:r>
        <w:rPr>
          <w:rFonts w:eastAsia="Times New Roman"/>
          <w:iCs/>
          <w:szCs w:val="20"/>
        </w:rPr>
        <w:t xml:space="preserve">“clunky” and “cumbersome.” </w:t>
      </w:r>
      <w:r w:rsidRPr="00A55737">
        <w:rPr>
          <w:rFonts w:eastAsia="Times New Roman"/>
          <w:iCs/>
          <w:szCs w:val="20"/>
        </w:rPr>
        <w:t xml:space="preserve">Key issues were the inability to personalise templates to make them more “user friendly” and autopopulate patient information from their clinical management system. </w:t>
      </w:r>
      <w:r w:rsidR="006D6B33">
        <w:rPr>
          <w:rFonts w:eastAsia="Times New Roman"/>
          <w:iCs/>
          <w:szCs w:val="20"/>
        </w:rPr>
        <w:t>Practices</w:t>
      </w:r>
      <w:r w:rsidRPr="00A55737">
        <w:rPr>
          <w:rFonts w:eastAsia="Times New Roman"/>
          <w:iCs/>
          <w:szCs w:val="20"/>
        </w:rPr>
        <w:t xml:space="preserve"> stated that it took a lot of time to create a care plan using the shared care tools compared with creating it in their clinical management systems</w:t>
      </w:r>
      <w:r w:rsidR="006D6B33">
        <w:rPr>
          <w:rFonts w:eastAsia="Times New Roman"/>
          <w:iCs/>
          <w:szCs w:val="20"/>
        </w:rPr>
        <w:t>.</w:t>
      </w:r>
    </w:p>
    <w:p w14:paraId="67E74DCB" w14:textId="66C0F75A" w:rsidR="00A55737" w:rsidRDefault="006D6B33" w:rsidP="00A55737">
      <w:r w:rsidRPr="006D6B33">
        <w:t xml:space="preserve">Some practices reported that, though the new tools had templates for common chronic diseases, such as diabetes and </w:t>
      </w:r>
      <w:r w:rsidR="008F03E8">
        <w:t>chronic obstructive pulmonary disease</w:t>
      </w:r>
      <w:r w:rsidRPr="006D6B33">
        <w:t xml:space="preserve">, the software did not have templates for </w:t>
      </w:r>
      <w:r w:rsidR="00F7613C">
        <w:t>other</w:t>
      </w:r>
      <w:r w:rsidRPr="006D6B33">
        <w:t xml:space="preserve"> illnesses or comorbidities. This made it more difficult to individualise plans and ensure that they included all relevant medical history and information</w:t>
      </w:r>
      <w:r>
        <w:t>.</w:t>
      </w:r>
    </w:p>
    <w:p w14:paraId="5E998B6D" w14:textId="42490822" w:rsidR="006D6B33" w:rsidRDefault="006D6B33" w:rsidP="00A55737">
      <w:r w:rsidRPr="006D6B33">
        <w:t xml:space="preserve">Due to these problems, some staff members argued that they should not have to incorporate another IT tool at their practice that still </w:t>
      </w:r>
      <w:r>
        <w:t xml:space="preserve">has </w:t>
      </w:r>
      <w:r w:rsidRPr="006D6B33">
        <w:t>many flaws. They felt that the deadline to select a shared care provider should have been extended</w:t>
      </w:r>
      <w:r>
        <w:t xml:space="preserve">. </w:t>
      </w:r>
      <w:r w:rsidRPr="006D6B33">
        <w:t xml:space="preserve">There were also concerns about the future costs </w:t>
      </w:r>
      <w:r w:rsidR="006A2A2F">
        <w:t xml:space="preserve">of maintaining a </w:t>
      </w:r>
      <w:r w:rsidRPr="006D6B33">
        <w:t xml:space="preserve">shared care planning tool. </w:t>
      </w:r>
    </w:p>
    <w:p w14:paraId="4261080E" w14:textId="697ED821" w:rsidR="00A55737" w:rsidRDefault="006D6B33" w:rsidP="00A55737">
      <w:r w:rsidRPr="006D6B33">
        <w:lastRenderedPageBreak/>
        <w:t xml:space="preserve">Both PHNs and practices </w:t>
      </w:r>
      <w:r>
        <w:t>were also concerned</w:t>
      </w:r>
      <w:r w:rsidRPr="006D6B33">
        <w:t xml:space="preserve"> about how regions would achieve interoperability of the different shared care planning tools used by providers in the health care neighbourhood</w:t>
      </w:r>
      <w:r w:rsidR="00A55737">
        <w:t>.</w:t>
      </w:r>
      <w:r>
        <w:t xml:space="preserve"> </w:t>
      </w:r>
      <w:r w:rsidRPr="006D6B33">
        <w:t>During the time of the</w:t>
      </w:r>
      <w:r>
        <w:t xml:space="preserve"> case study</w:t>
      </w:r>
      <w:r w:rsidRPr="006D6B33">
        <w:t xml:space="preserve"> interviews</w:t>
      </w:r>
      <w:r>
        <w:t xml:space="preserve"> (late 2018)</w:t>
      </w:r>
      <w:r w:rsidRPr="006D6B33">
        <w:t>, practices reported varying levels of coordination with external providers via shared care platforms. Some practices had trouble with outside health professionals accessing the platform or were generally unsure whether they were using the software</w:t>
      </w:r>
      <w:r>
        <w:t xml:space="preserve">. </w:t>
      </w:r>
      <w:r w:rsidRPr="006D6B33">
        <w:t>These problems have led some practices to continue to communicate with providers by phone, mail, or fax</w:t>
      </w:r>
      <w:r>
        <w:t>. However, some practices reported that after</w:t>
      </w:r>
      <w:r w:rsidRPr="006D6B33">
        <w:t xml:space="preserve"> an initial adjustment period, external providers </w:t>
      </w:r>
      <w:r>
        <w:t>were</w:t>
      </w:r>
      <w:r w:rsidRPr="006D6B33">
        <w:t xml:space="preserve"> starting to communicate with them through the </w:t>
      </w:r>
      <w:r w:rsidR="006A2A2F">
        <w:t xml:space="preserve">shared care </w:t>
      </w:r>
      <w:r w:rsidRPr="006D6B33">
        <w:t>software</w:t>
      </w:r>
      <w:r>
        <w:t>.</w:t>
      </w:r>
    </w:p>
    <w:p w14:paraId="1F7EE20C" w14:textId="3B1FB4E3" w:rsidR="00A55737" w:rsidRDefault="006D6B33" w:rsidP="00A55737">
      <w:r w:rsidRPr="006D6B33">
        <w:t>Despite some movement towards electronic communication between providers, many practices stated that the process of creating care plans for their HCH patients is largely the same as before. This includes how they create the care plan with the patient, the information that they input, and the way patients access the plan</w:t>
      </w:r>
      <w:r>
        <w:t xml:space="preserve">. </w:t>
      </w:r>
      <w:r w:rsidRPr="006D6B33">
        <w:t>Multiple practices reported providing patients with a paper-based copy of their care plan. Often this was due to consumer preference and ease</w:t>
      </w:r>
      <w:r>
        <w:t>.</w:t>
      </w:r>
    </w:p>
    <w:p w14:paraId="5DB339CD" w14:textId="1822799D" w:rsidR="00B03C3A" w:rsidRDefault="00227AF5" w:rsidP="002B58FA">
      <w:pPr>
        <w:rPr>
          <w:rFonts w:eastAsia="Times New Roman" w:cs="Segoe UI"/>
          <w:szCs w:val="20"/>
          <w:lang w:eastAsia="en-AU"/>
        </w:rPr>
      </w:pPr>
      <w:r>
        <w:t>The patient survey</w:t>
      </w:r>
      <w:r w:rsidRPr="00D1004F">
        <w:t xml:space="preserve"> asked </w:t>
      </w:r>
      <w:r>
        <w:t xml:space="preserve">about patients’ </w:t>
      </w:r>
      <w:r w:rsidRPr="00D1004F">
        <w:t>awareness of a treatment or shared care plan prior to enrolling in HCH, whether they had received a copy of the plan in the last six months and whether a copy of the plan was available on My Health Record.</w:t>
      </w:r>
      <w:r w:rsidR="00BA28B3">
        <w:t xml:space="preserve"> </w:t>
      </w:r>
      <w:r w:rsidRPr="00D1004F">
        <w:t>Around 57% of patients reported being aware of a treatment or shared care plan. Of those, 42% reported that the plan was discussed with the GP or other practice staff at most consultations, and 43</w:t>
      </w:r>
      <w:r>
        <w:t>%</w:t>
      </w:r>
      <w:r w:rsidRPr="00D1004F">
        <w:t xml:space="preserve"> reported that it was sometimes discussed.</w:t>
      </w:r>
      <w:r>
        <w:t xml:space="preserve"> Interviews with patients also revealed mixed awareness of a treatment or shared care plan. </w:t>
      </w:r>
      <w:r>
        <w:rPr>
          <w:rFonts w:eastAsia="Times New Roman" w:cs="Segoe UI"/>
          <w:szCs w:val="20"/>
          <w:lang w:val="en-GB" w:eastAsia="en-AU"/>
        </w:rPr>
        <w:t xml:space="preserve">In the interviews, </w:t>
      </w:r>
      <w:bookmarkStart w:id="62" w:name="_Hlk21174179"/>
      <w:r>
        <w:rPr>
          <w:rFonts w:eastAsia="Times New Roman" w:cs="Segoe UI"/>
          <w:szCs w:val="20"/>
          <w:lang w:val="en-GB" w:eastAsia="en-AU"/>
        </w:rPr>
        <w:t>patients that were aware that they had a care plan mentioned discussing issues such as their medical history, functional status at home, diet, activity, emotional support, hobbies and personal health goals when the plan was developed</w:t>
      </w:r>
      <w:bookmarkEnd w:id="62"/>
      <w:r>
        <w:rPr>
          <w:rFonts w:eastAsia="Times New Roman" w:cs="Segoe UI"/>
          <w:szCs w:val="20"/>
          <w:lang w:val="en-GB" w:eastAsia="en-AU"/>
        </w:rPr>
        <w:t xml:space="preserve">. </w:t>
      </w:r>
      <w:r>
        <w:rPr>
          <w:rFonts w:eastAsia="Times New Roman" w:cs="Segoe UI"/>
          <w:szCs w:val="20"/>
          <w:lang w:eastAsia="en-AU"/>
        </w:rPr>
        <w:t>The frequency of care plan reviews reported by patients ranged from yearly to every time the patient visited the practice.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2701B2" w:rsidRPr="00E52C83" w14:paraId="4B4913E9" w14:textId="77777777" w:rsidTr="00D81FA6">
        <w:tc>
          <w:tcPr>
            <w:tcW w:w="5000" w:type="pct"/>
            <w:shd w:val="clear" w:color="auto" w:fill="F2F2F2" w:themeFill="background1" w:themeFillShade="F2"/>
          </w:tcPr>
          <w:p w14:paraId="0B773776" w14:textId="344F4F3C" w:rsidR="002701B2" w:rsidRPr="00E52C83" w:rsidRDefault="002701B2" w:rsidP="00D81FA6">
            <w:pPr>
              <w:pStyle w:val="BodyText"/>
              <w:spacing w:after="120" w:line="276" w:lineRule="auto"/>
              <w:ind w:right="239"/>
              <w:jc w:val="center"/>
              <w:rPr>
                <w:b/>
                <w:spacing w:val="-1"/>
                <w:sz w:val="18"/>
                <w:szCs w:val="18"/>
              </w:rPr>
            </w:pPr>
            <w:r w:rsidRPr="00E52C83">
              <w:rPr>
                <w:b/>
                <w:spacing w:val="-1"/>
                <w:sz w:val="18"/>
                <w:szCs w:val="18"/>
              </w:rPr>
              <w:t xml:space="preserve">Lessons – </w:t>
            </w:r>
            <w:r w:rsidR="009908B4" w:rsidRPr="00E52C83">
              <w:rPr>
                <w:b/>
                <w:spacing w:val="-1"/>
                <w:sz w:val="18"/>
                <w:szCs w:val="18"/>
              </w:rPr>
              <w:t>R</w:t>
            </w:r>
            <w:r w:rsidRPr="00E52C83">
              <w:rPr>
                <w:b/>
                <w:spacing w:val="-1"/>
                <w:sz w:val="18"/>
                <w:szCs w:val="18"/>
              </w:rPr>
              <w:t>isk stratification and shared cared planning</w:t>
            </w:r>
          </w:p>
          <w:p w14:paraId="77976968" w14:textId="06BDD162" w:rsidR="002701B2" w:rsidRPr="00E52C83" w:rsidRDefault="002701B2" w:rsidP="00D32690">
            <w:pPr>
              <w:pStyle w:val="BodyText"/>
              <w:numPr>
                <w:ilvl w:val="0"/>
                <w:numId w:val="7"/>
              </w:numPr>
              <w:tabs>
                <w:tab w:val="left" w:pos="674"/>
              </w:tabs>
              <w:spacing w:after="120" w:line="276" w:lineRule="auto"/>
              <w:rPr>
                <w:spacing w:val="-1"/>
                <w:sz w:val="18"/>
                <w:szCs w:val="18"/>
              </w:rPr>
            </w:pPr>
            <w:bookmarkStart w:id="63" w:name="_Hlk22306109"/>
            <w:r w:rsidRPr="00E52C83">
              <w:rPr>
                <w:spacing w:val="-1"/>
                <w:sz w:val="18"/>
                <w:szCs w:val="18"/>
              </w:rPr>
              <w:t>Allow time for developing and implementing new information technology.</w:t>
            </w:r>
          </w:p>
          <w:p w14:paraId="06B3A153" w14:textId="5FC98387" w:rsidR="002701B2" w:rsidRPr="00E52C83" w:rsidRDefault="002701B2" w:rsidP="00D32690">
            <w:pPr>
              <w:pStyle w:val="BodyText"/>
              <w:numPr>
                <w:ilvl w:val="0"/>
                <w:numId w:val="7"/>
              </w:numPr>
              <w:tabs>
                <w:tab w:val="left" w:pos="674"/>
              </w:tabs>
              <w:spacing w:after="120" w:line="276" w:lineRule="auto"/>
              <w:rPr>
                <w:spacing w:val="-1"/>
                <w:sz w:val="18"/>
                <w:szCs w:val="18"/>
              </w:rPr>
            </w:pPr>
            <w:r w:rsidRPr="00E52C83">
              <w:rPr>
                <w:spacing w:val="-1"/>
                <w:sz w:val="18"/>
                <w:szCs w:val="18"/>
              </w:rPr>
              <w:t xml:space="preserve">Explore opportunities </w:t>
            </w:r>
            <w:r w:rsidR="000D4A4D" w:rsidRPr="00E52C83">
              <w:rPr>
                <w:spacing w:val="-1"/>
                <w:sz w:val="18"/>
                <w:szCs w:val="18"/>
              </w:rPr>
              <w:t>for</w:t>
            </w:r>
            <w:r w:rsidRPr="00E52C83">
              <w:rPr>
                <w:spacing w:val="-1"/>
                <w:sz w:val="18"/>
                <w:szCs w:val="18"/>
              </w:rPr>
              <w:t xml:space="preserve"> better integration of functionality (e.g. risk stratification and shared care planning) within practice management software.</w:t>
            </w:r>
          </w:p>
          <w:p w14:paraId="3940218C" w14:textId="6C607503" w:rsidR="002701B2" w:rsidRPr="00E52C83" w:rsidRDefault="002701B2" w:rsidP="00D32690">
            <w:pPr>
              <w:pStyle w:val="BodyText"/>
              <w:numPr>
                <w:ilvl w:val="0"/>
                <w:numId w:val="7"/>
              </w:numPr>
              <w:tabs>
                <w:tab w:val="left" w:pos="674"/>
              </w:tabs>
              <w:spacing w:after="120" w:line="276" w:lineRule="auto"/>
              <w:rPr>
                <w:spacing w:val="-1"/>
                <w:sz w:val="18"/>
                <w:szCs w:val="18"/>
              </w:rPr>
            </w:pPr>
            <w:r w:rsidRPr="00E52C83">
              <w:rPr>
                <w:spacing w:val="-1"/>
                <w:sz w:val="18"/>
                <w:szCs w:val="18"/>
              </w:rPr>
              <w:t xml:space="preserve">Invest in understanding how new technology will integrate into clinical processes and use these lessons to enhance </w:t>
            </w:r>
            <w:r w:rsidR="000D4A4D" w:rsidRPr="00E52C83">
              <w:rPr>
                <w:spacing w:val="-1"/>
                <w:sz w:val="18"/>
                <w:szCs w:val="18"/>
              </w:rPr>
              <w:t>tools</w:t>
            </w:r>
            <w:r w:rsidRPr="00E52C83">
              <w:rPr>
                <w:spacing w:val="-1"/>
                <w:sz w:val="18"/>
                <w:szCs w:val="18"/>
              </w:rPr>
              <w:t>.</w:t>
            </w:r>
          </w:p>
          <w:p w14:paraId="3440A3A0" w14:textId="4B8F2B65" w:rsidR="002701B2" w:rsidRPr="00E52C83" w:rsidRDefault="002701B2" w:rsidP="00D32690">
            <w:pPr>
              <w:pStyle w:val="BodyText"/>
              <w:numPr>
                <w:ilvl w:val="0"/>
                <w:numId w:val="7"/>
              </w:numPr>
              <w:tabs>
                <w:tab w:val="left" w:pos="674"/>
              </w:tabs>
              <w:spacing w:after="120" w:line="276" w:lineRule="auto"/>
              <w:rPr>
                <w:spacing w:val="-1"/>
                <w:sz w:val="18"/>
                <w:szCs w:val="18"/>
              </w:rPr>
            </w:pPr>
            <w:r w:rsidRPr="00E52C83">
              <w:rPr>
                <w:spacing w:val="-1"/>
                <w:sz w:val="18"/>
                <w:szCs w:val="18"/>
              </w:rPr>
              <w:t>Develop further training for clinicians in risk stratification tools</w:t>
            </w:r>
            <w:r w:rsidR="000D4A4D" w:rsidRPr="00E52C83">
              <w:rPr>
                <w:spacing w:val="-1"/>
                <w:sz w:val="18"/>
                <w:szCs w:val="18"/>
              </w:rPr>
              <w:t>,</w:t>
            </w:r>
            <w:r w:rsidRPr="00E52C83">
              <w:rPr>
                <w:spacing w:val="-1"/>
                <w:sz w:val="18"/>
                <w:szCs w:val="18"/>
              </w:rPr>
              <w:t xml:space="preserve"> including improving their understanding</w:t>
            </w:r>
            <w:r w:rsidR="000D4A4D" w:rsidRPr="00E52C83">
              <w:rPr>
                <w:spacing w:val="-1"/>
                <w:sz w:val="18"/>
                <w:szCs w:val="18"/>
              </w:rPr>
              <w:t xml:space="preserve"> of</w:t>
            </w:r>
            <w:r w:rsidRPr="00E52C83">
              <w:rPr>
                <w:spacing w:val="-1"/>
                <w:sz w:val="18"/>
                <w:szCs w:val="18"/>
              </w:rPr>
              <w:t xml:space="preserve"> </w:t>
            </w:r>
            <w:r w:rsidR="000D4A4D" w:rsidRPr="00E52C83">
              <w:rPr>
                <w:spacing w:val="-1"/>
                <w:sz w:val="18"/>
                <w:szCs w:val="18"/>
              </w:rPr>
              <w:t>how the tools work and how they should be interpreted for consistent application</w:t>
            </w:r>
            <w:r w:rsidRPr="00E52C83">
              <w:rPr>
                <w:spacing w:val="-1"/>
                <w:sz w:val="18"/>
                <w:szCs w:val="18"/>
              </w:rPr>
              <w:t>.</w:t>
            </w:r>
          </w:p>
          <w:p w14:paraId="356DA7DA" w14:textId="34BDDFD8" w:rsidR="002701B2" w:rsidRPr="00E52C83" w:rsidRDefault="002701B2" w:rsidP="00D32690">
            <w:pPr>
              <w:pStyle w:val="BodyText"/>
              <w:numPr>
                <w:ilvl w:val="0"/>
                <w:numId w:val="7"/>
              </w:numPr>
              <w:tabs>
                <w:tab w:val="left" w:pos="674"/>
              </w:tabs>
              <w:spacing w:after="120" w:line="276" w:lineRule="auto"/>
              <w:rPr>
                <w:spacing w:val="-1"/>
                <w:sz w:val="18"/>
                <w:szCs w:val="18"/>
              </w:rPr>
            </w:pPr>
            <w:r w:rsidRPr="00E52C83">
              <w:rPr>
                <w:spacing w:val="-1"/>
                <w:sz w:val="18"/>
                <w:szCs w:val="18"/>
              </w:rPr>
              <w:t xml:space="preserve">Use quantitative and qualitative findings from the HCH evaluation to improve the </w:t>
            </w:r>
            <w:bookmarkEnd w:id="63"/>
            <w:r w:rsidR="000D4A4D" w:rsidRPr="00E52C83">
              <w:rPr>
                <w:spacing w:val="-1"/>
                <w:sz w:val="18"/>
                <w:szCs w:val="18"/>
              </w:rPr>
              <w:t>current RST</w:t>
            </w:r>
            <w:r w:rsidRPr="00E52C83">
              <w:rPr>
                <w:spacing w:val="-1"/>
                <w:sz w:val="18"/>
                <w:szCs w:val="18"/>
              </w:rPr>
              <w:t>.</w:t>
            </w:r>
          </w:p>
          <w:p w14:paraId="2ED20CFD" w14:textId="0076F8D7" w:rsidR="002701B2" w:rsidRPr="00E52C83" w:rsidRDefault="002701B2" w:rsidP="00D32690">
            <w:pPr>
              <w:pStyle w:val="BodyText"/>
              <w:numPr>
                <w:ilvl w:val="0"/>
                <w:numId w:val="7"/>
              </w:numPr>
              <w:tabs>
                <w:tab w:val="left" w:pos="674"/>
              </w:tabs>
              <w:spacing w:after="120" w:line="276" w:lineRule="auto"/>
              <w:rPr>
                <w:sz w:val="18"/>
                <w:szCs w:val="18"/>
              </w:rPr>
            </w:pPr>
            <w:r w:rsidRPr="00E52C83">
              <w:rPr>
                <w:spacing w:val="-1"/>
                <w:sz w:val="18"/>
                <w:szCs w:val="18"/>
              </w:rPr>
              <w:t>In promoting shared care planning</w:t>
            </w:r>
            <w:r w:rsidR="00A67948" w:rsidRPr="00E52C83">
              <w:rPr>
                <w:spacing w:val="-1"/>
                <w:sz w:val="18"/>
                <w:szCs w:val="18"/>
              </w:rPr>
              <w:t>,</w:t>
            </w:r>
            <w:r w:rsidRPr="00E52C83">
              <w:rPr>
                <w:spacing w:val="-1"/>
                <w:sz w:val="18"/>
                <w:szCs w:val="18"/>
              </w:rPr>
              <w:t xml:space="preserve"> consider how solutions will be taken up by health care </w:t>
            </w:r>
            <w:r w:rsidR="00A67948" w:rsidRPr="00E52C83">
              <w:rPr>
                <w:spacing w:val="-1"/>
                <w:sz w:val="18"/>
                <w:szCs w:val="18"/>
              </w:rPr>
              <w:t>providers</w:t>
            </w:r>
            <w:r w:rsidRPr="00E52C83">
              <w:rPr>
                <w:spacing w:val="-1"/>
                <w:sz w:val="18"/>
                <w:szCs w:val="18"/>
              </w:rPr>
              <w:t xml:space="preserve"> </w:t>
            </w:r>
            <w:r w:rsidR="00A67948" w:rsidRPr="00E52C83">
              <w:rPr>
                <w:spacing w:val="-1"/>
                <w:sz w:val="18"/>
                <w:szCs w:val="18"/>
              </w:rPr>
              <w:t>across</w:t>
            </w:r>
            <w:r w:rsidRPr="00E52C83">
              <w:rPr>
                <w:spacing w:val="-1"/>
                <w:sz w:val="18"/>
                <w:szCs w:val="18"/>
              </w:rPr>
              <w:t xml:space="preserve"> </w:t>
            </w:r>
            <w:r w:rsidR="00A67948" w:rsidRPr="00E52C83">
              <w:rPr>
                <w:spacing w:val="-1"/>
                <w:sz w:val="18"/>
                <w:szCs w:val="18"/>
              </w:rPr>
              <w:t>a region</w:t>
            </w:r>
            <w:r w:rsidRPr="00E52C83">
              <w:rPr>
                <w:spacing w:val="-1"/>
                <w:sz w:val="18"/>
                <w:szCs w:val="18"/>
              </w:rPr>
              <w:t>.</w:t>
            </w:r>
          </w:p>
        </w:tc>
      </w:tr>
    </w:tbl>
    <w:p w14:paraId="4D8DAEDB" w14:textId="77777777" w:rsidR="002701B2" w:rsidRDefault="002701B2" w:rsidP="002701B2">
      <w:pPr>
        <w:pStyle w:val="BodyText"/>
        <w:tabs>
          <w:tab w:val="left" w:pos="674"/>
        </w:tabs>
        <w:spacing w:before="62"/>
      </w:pPr>
    </w:p>
    <w:p w14:paraId="65D288AC" w14:textId="77777777" w:rsidR="00FE0EFE" w:rsidRDefault="00FE0EFE" w:rsidP="00FE0EFE">
      <w:pPr>
        <w:rPr>
          <w:rFonts w:eastAsiaTheme="majorEastAsia" w:cstheme="majorBidi"/>
          <w:color w:val="003D79"/>
          <w:sz w:val="40"/>
          <w:szCs w:val="26"/>
        </w:rPr>
      </w:pPr>
      <w:r>
        <w:br w:type="page"/>
      </w:r>
    </w:p>
    <w:p w14:paraId="274B4EF1" w14:textId="51AC9B66" w:rsidR="009872C4" w:rsidRDefault="009872C4" w:rsidP="009872C4">
      <w:pPr>
        <w:pStyle w:val="Heading2"/>
      </w:pPr>
      <w:bookmarkStart w:id="64" w:name="_Toc32585831"/>
      <w:r>
        <w:lastRenderedPageBreak/>
        <w:t>The bundled payment</w:t>
      </w:r>
      <w:bookmarkEnd w:id="64"/>
    </w:p>
    <w:p w14:paraId="0F204CA5" w14:textId="77777777" w:rsidR="009872C4" w:rsidRDefault="009872C4" w:rsidP="009872C4">
      <w:r>
        <w:t>The bundled payment represents a new way of thinking and working for practices and clinicians. It aims to reduce the emphasis on GP-patient interactions as a basis for payment to a system that allows flexibility in how resources are used, consequently providing an opportunity to focus on outcomes – what’s achieved for the patient.</w:t>
      </w:r>
    </w:p>
    <w:p w14:paraId="6529084B" w14:textId="77777777" w:rsidR="009872C4" w:rsidRDefault="009872C4" w:rsidP="009872C4">
      <w:r>
        <w:t xml:space="preserve">However, practices cannot altogether abandon recording service transactions, as this information is necessary for them to assess the adequacy of the bundled payment across their HCH patients, and to share revenue from the bundle internally (based on who delivered what). </w:t>
      </w:r>
    </w:p>
    <w:p w14:paraId="7230017B" w14:textId="405D4138" w:rsidR="009872C4" w:rsidRDefault="009872C4" w:rsidP="009872C4">
      <w:r>
        <w:t xml:space="preserve">The Department commissioned </w:t>
      </w:r>
      <w:r w:rsidR="006D3C17">
        <w:t xml:space="preserve">the </w:t>
      </w:r>
      <w:r>
        <w:t xml:space="preserve">Australian Association of Practice Management to provide guidance on how to best capture services provided to patients without submitting claims, within the more common practice clinical management systems. Some clinicians were concerned that this type of recording would threaten the new way of thinking the model was trying to instil. </w:t>
      </w:r>
      <w:r w:rsidR="00846CEF">
        <w:t>Therefore, one of the clinicians</w:t>
      </w:r>
      <w:r>
        <w:t xml:space="preserve"> worked with </w:t>
      </w:r>
      <w:r w:rsidR="00846CEF">
        <w:t>the vendor of the</w:t>
      </w:r>
      <w:r>
        <w:t xml:space="preserve"> clinical management system </w:t>
      </w:r>
      <w:r w:rsidR="00846CEF">
        <w:t>that the practice was using</w:t>
      </w:r>
      <w:r>
        <w:t xml:space="preserve"> to generate reports </w:t>
      </w:r>
      <w:r w:rsidR="006D3C17">
        <w:t xml:space="preserve">relevant for revenue sharing as a by-product of </w:t>
      </w:r>
      <w:r>
        <w:t>clinicians’ recording of patient encounter</w:t>
      </w:r>
      <w:r w:rsidR="006D3C17">
        <w:t>s</w:t>
      </w:r>
      <w:r>
        <w:t xml:space="preserve"> rather than clinicians </w:t>
      </w:r>
      <w:r w:rsidR="006D3C17">
        <w:t>having to separately record this</w:t>
      </w:r>
      <w:r>
        <w:t xml:space="preserve"> activity.</w:t>
      </w:r>
    </w:p>
    <w:p w14:paraId="36B5BC87" w14:textId="77777777" w:rsidR="009872C4" w:rsidRDefault="009872C4" w:rsidP="009872C4">
      <w:r>
        <w:t xml:space="preserve">Both practices and PHNs reported that issues associated with the bundled payment took a long time to resolve within practices. These issues were in relation to tax, distributing the payment amongst HCH care providers, being clear on the rules for what the payment covers, and </w:t>
      </w:r>
      <w:r w:rsidRPr="00A55737">
        <w:t>convincing doctors about the advantages of bundled payment versus fee-for-service.</w:t>
      </w:r>
    </w:p>
    <w:p w14:paraId="750E4FCC" w14:textId="1137A6A2" w:rsidR="009872C4" w:rsidRDefault="009872C4" w:rsidP="009872C4">
      <w:r w:rsidRPr="00A55737">
        <w:t xml:space="preserve">How the bundled payment compared with fee-for-service financially for the practice was </w:t>
      </w:r>
      <w:r>
        <w:t>a</w:t>
      </w:r>
      <w:r w:rsidRPr="00A55737">
        <w:t xml:space="preserve"> concern for practices</w:t>
      </w:r>
      <w:r>
        <w:t xml:space="preserve"> more generally</w:t>
      </w:r>
      <w:r w:rsidRPr="00A55737">
        <w:t>. Many reported comparing the two. Some practices deliberately only enrolled a small number of patients to do this test. Nevertheless, practices were still unable to determine the financial impact given the short time period of the trial so far. They felt that they would have a better understanding of how the funding model is impacting their practices as the program continues to progress</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9872C4" w:rsidRPr="00E52C83" w14:paraId="2AFC064E" w14:textId="77777777" w:rsidTr="00D81FA6">
        <w:tc>
          <w:tcPr>
            <w:tcW w:w="5000" w:type="pct"/>
            <w:shd w:val="clear" w:color="auto" w:fill="F2F2F2" w:themeFill="background1" w:themeFillShade="F2"/>
          </w:tcPr>
          <w:p w14:paraId="55DE667B" w14:textId="3E43EB86" w:rsidR="009872C4" w:rsidRPr="00E52C83" w:rsidRDefault="009872C4" w:rsidP="00D81FA6">
            <w:pPr>
              <w:pStyle w:val="BodyText"/>
              <w:spacing w:after="120" w:line="276" w:lineRule="auto"/>
              <w:ind w:right="239"/>
              <w:jc w:val="center"/>
              <w:rPr>
                <w:b/>
                <w:spacing w:val="-1"/>
                <w:sz w:val="18"/>
                <w:szCs w:val="18"/>
              </w:rPr>
            </w:pPr>
            <w:r w:rsidRPr="00E52C83">
              <w:rPr>
                <w:b/>
                <w:spacing w:val="-1"/>
                <w:sz w:val="18"/>
                <w:szCs w:val="18"/>
              </w:rPr>
              <w:t xml:space="preserve">Lessons – </w:t>
            </w:r>
            <w:r w:rsidR="009908B4" w:rsidRPr="00E52C83">
              <w:rPr>
                <w:b/>
                <w:spacing w:val="-1"/>
                <w:sz w:val="18"/>
                <w:szCs w:val="18"/>
              </w:rPr>
              <w:t>T</w:t>
            </w:r>
            <w:r w:rsidRPr="00E52C83">
              <w:rPr>
                <w:b/>
                <w:spacing w:val="-1"/>
                <w:sz w:val="18"/>
                <w:szCs w:val="18"/>
              </w:rPr>
              <w:t>he bundled payment</w:t>
            </w:r>
          </w:p>
          <w:p w14:paraId="500E570C" w14:textId="6BE621FD" w:rsidR="009872C4" w:rsidRPr="00E52C83" w:rsidRDefault="00A67948" w:rsidP="00D32690">
            <w:pPr>
              <w:pStyle w:val="BodyText"/>
              <w:numPr>
                <w:ilvl w:val="0"/>
                <w:numId w:val="7"/>
              </w:numPr>
              <w:tabs>
                <w:tab w:val="left" w:pos="674"/>
              </w:tabs>
              <w:spacing w:after="120" w:line="276" w:lineRule="auto"/>
              <w:rPr>
                <w:spacing w:val="-1"/>
                <w:sz w:val="18"/>
                <w:szCs w:val="18"/>
              </w:rPr>
            </w:pPr>
            <w:r w:rsidRPr="00E52C83">
              <w:rPr>
                <w:spacing w:val="-1"/>
                <w:sz w:val="18"/>
                <w:szCs w:val="18"/>
              </w:rPr>
              <w:t>G</w:t>
            </w:r>
            <w:r w:rsidR="00AA0161" w:rsidRPr="00E52C83">
              <w:rPr>
                <w:spacing w:val="-1"/>
                <w:sz w:val="18"/>
                <w:szCs w:val="18"/>
              </w:rPr>
              <w:t xml:space="preserve">uidance and tools to help with </w:t>
            </w:r>
            <w:r w:rsidR="009872C4" w:rsidRPr="00E52C83">
              <w:rPr>
                <w:spacing w:val="-1"/>
                <w:sz w:val="18"/>
                <w:szCs w:val="18"/>
              </w:rPr>
              <w:t xml:space="preserve">practical </w:t>
            </w:r>
            <w:r w:rsidR="00AA0161" w:rsidRPr="00E52C83">
              <w:rPr>
                <w:spacing w:val="-1"/>
                <w:sz w:val="18"/>
                <w:szCs w:val="18"/>
              </w:rPr>
              <w:t>implementation</w:t>
            </w:r>
            <w:r w:rsidRPr="00E52C83">
              <w:rPr>
                <w:spacing w:val="-1"/>
                <w:sz w:val="18"/>
                <w:szCs w:val="18"/>
              </w:rPr>
              <w:t xml:space="preserve"> of payment reform amongst</w:t>
            </w:r>
            <w:r w:rsidR="00AA0161" w:rsidRPr="00E52C83">
              <w:rPr>
                <w:spacing w:val="-1"/>
                <w:sz w:val="18"/>
                <w:szCs w:val="18"/>
              </w:rPr>
              <w:t xml:space="preserve"> </w:t>
            </w:r>
            <w:r w:rsidR="009872C4" w:rsidRPr="00E52C83">
              <w:rPr>
                <w:spacing w:val="-1"/>
                <w:sz w:val="18"/>
                <w:szCs w:val="18"/>
              </w:rPr>
              <w:t>practices with different revenue sharing schemes for their GPs</w:t>
            </w:r>
            <w:r w:rsidR="001C314E" w:rsidRPr="00E52C83">
              <w:rPr>
                <w:spacing w:val="-1"/>
                <w:sz w:val="18"/>
                <w:szCs w:val="18"/>
              </w:rPr>
              <w:t xml:space="preserve"> are necessary</w:t>
            </w:r>
            <w:r w:rsidR="00AA0161" w:rsidRPr="00E52C83">
              <w:rPr>
                <w:spacing w:val="-1"/>
                <w:sz w:val="18"/>
                <w:szCs w:val="18"/>
              </w:rPr>
              <w:t>.</w:t>
            </w:r>
          </w:p>
          <w:p w14:paraId="520F2B46" w14:textId="35C9AE7D" w:rsidR="009872C4" w:rsidRPr="00E52C83" w:rsidRDefault="009872C4" w:rsidP="00D32690">
            <w:pPr>
              <w:pStyle w:val="BodyText"/>
              <w:numPr>
                <w:ilvl w:val="0"/>
                <w:numId w:val="7"/>
              </w:numPr>
              <w:tabs>
                <w:tab w:val="left" w:pos="674"/>
              </w:tabs>
              <w:spacing w:after="120" w:line="276" w:lineRule="auto"/>
              <w:rPr>
                <w:sz w:val="18"/>
                <w:szCs w:val="18"/>
              </w:rPr>
            </w:pPr>
            <w:r w:rsidRPr="00E52C83">
              <w:rPr>
                <w:spacing w:val="-1"/>
                <w:sz w:val="18"/>
                <w:szCs w:val="18"/>
              </w:rPr>
              <w:t xml:space="preserve">The information required to manage a bundled payment within a practice should be </w:t>
            </w:r>
            <w:r w:rsidR="00AA0161" w:rsidRPr="00E52C83">
              <w:rPr>
                <w:spacing w:val="-1"/>
                <w:sz w:val="18"/>
                <w:szCs w:val="18"/>
              </w:rPr>
              <w:t xml:space="preserve">captured </w:t>
            </w:r>
            <w:r w:rsidRPr="00E52C83">
              <w:rPr>
                <w:spacing w:val="-1"/>
                <w:sz w:val="18"/>
                <w:szCs w:val="18"/>
              </w:rPr>
              <w:t>in the practice management software.</w:t>
            </w:r>
          </w:p>
        </w:tc>
      </w:tr>
    </w:tbl>
    <w:p w14:paraId="1F004316" w14:textId="77777777" w:rsidR="009872C4" w:rsidRDefault="009872C4" w:rsidP="005532B3">
      <w:pPr>
        <w:widowControl w:val="0"/>
        <w:spacing w:after="0" w:line="240" w:lineRule="auto"/>
        <w:ind w:left="102"/>
      </w:pPr>
    </w:p>
    <w:p w14:paraId="19F5C094" w14:textId="40C247AB" w:rsidR="00DB4213" w:rsidRDefault="002C2EB4" w:rsidP="0059743A">
      <w:pPr>
        <w:pStyle w:val="Heading2"/>
      </w:pPr>
      <w:bookmarkStart w:id="65" w:name="_Toc32585832"/>
      <w:r>
        <w:t>Other p</w:t>
      </w:r>
      <w:r w:rsidR="00DB4213">
        <w:t xml:space="preserve">rogram </w:t>
      </w:r>
      <w:r w:rsidR="009C758F">
        <w:t xml:space="preserve">implementation </w:t>
      </w:r>
      <w:r w:rsidR="00DB4213">
        <w:t>issues</w:t>
      </w:r>
      <w:bookmarkEnd w:id="65"/>
    </w:p>
    <w:p w14:paraId="03E9B82C" w14:textId="77777777" w:rsidR="00DB4213" w:rsidRDefault="00DB4213" w:rsidP="00BA3051">
      <w:r>
        <w:t xml:space="preserve">The Department issued an expression of interest (EOI) for practices to participate in the HCH trial in November 2016 and announced the 200 practices that were selected in May 2017. Negotiations were then held with practices leading to a signed agreement. The Department offered a $10,000 grant to practices as an incentive to participate and help them get ready for the program. </w:t>
      </w:r>
    </w:p>
    <w:p w14:paraId="384B319F" w14:textId="4BCBE9FD" w:rsidR="00DB4213" w:rsidRDefault="00DB4213" w:rsidP="00BA3051">
      <w:r>
        <w:lastRenderedPageBreak/>
        <w:t xml:space="preserve">The Department managed the selection of practices as a grant program. PHNs were not directly involved in selection but were asked to comment on practices </w:t>
      </w:r>
      <w:r w:rsidR="00F7613C">
        <w:t xml:space="preserve">to which </w:t>
      </w:r>
      <w:r>
        <w:t>the Department was considering giving an offer. Some PHNs see their lack of closer involvement as a lost opportunity to provide information about practices’ readiness, to more effectively engage with practices prior to commencement, and to tailor the program to local needs. Others thought that if PHNs were involved, they might have selected a less representative set of practices (most likely selecting practices that they thought were ready or capable of the changes required). Having practices at all capability levels meant that the program could be properly evaluated for wider rollout. Also, through facilitating practices that weren’t quite so mature, PHNs gained insight into their own capabilities of working with these practices.</w:t>
      </w:r>
    </w:p>
    <w:p w14:paraId="37BB7F19" w14:textId="77777777" w:rsidR="00DB4213" w:rsidRDefault="00DB4213" w:rsidP="00BA3051">
      <w:r>
        <w:t>PHNs observed that many practices struggled to get HCH off the ground because in many instances, practice owners (including the head office of practices belonging to a corporate group) or practice managers had submitted the EOI but had not sufficiently discussed the submission with others in the practice, particularly GPs. Insufficient consultation within the practice resulted in some practices declining the offer to participate, and others who took up the offer to withdraw subsequently. It also meant delays to implementation due to the need for buy-in from key people in the practice.</w:t>
      </w:r>
    </w:p>
    <w:p w14:paraId="2F07AFDC" w14:textId="171BE19B" w:rsidR="00DB4213" w:rsidRDefault="00DB4213" w:rsidP="00BA3051">
      <w:r>
        <w:t xml:space="preserve">PHNs felt that there wasn’t enough information given to practices about the program when they applied, as they observed that some practices were surprised by the requirements. Others just hadn’t read the agreement closely. PHNs suggested that clearer information was required about what being </w:t>
      </w:r>
      <w:r w:rsidR="005644B2">
        <w:t>an HCH</w:t>
      </w:r>
      <w:r>
        <w:t xml:space="preserve"> entailed and that information sessions could have been provided for practices that were thinking of applying. One PHN ran information sessions itself.</w:t>
      </w:r>
    </w:p>
    <w:p w14:paraId="54F2533A" w14:textId="53990846" w:rsidR="00CC6EA9" w:rsidRDefault="00DB4213" w:rsidP="00BA3051">
      <w:r w:rsidRPr="00B7475A">
        <w:t xml:space="preserve">The launch date for HCH for some practices was October 2017, and for the remaining practices that were signed up to the program at the time, it was December 2017. </w:t>
      </w:r>
      <w:r>
        <w:t xml:space="preserve">There were a couple of issues with this. One was that there wasn’t enough time from when practices were notified of being successful in their application to participate in the program (May 2017) to when they were to start enrolling patients (October or December 2017). A second one was that the end of year start meant that practically, practices did not start enrolling patients or working on new initiatives until a few months later due to </w:t>
      </w:r>
      <w:r w:rsidRPr="009A1F31">
        <w:t xml:space="preserve">the impact of the holiday period on practice staffing and </w:t>
      </w:r>
      <w:r>
        <w:t xml:space="preserve">following that, </w:t>
      </w:r>
      <w:r w:rsidRPr="009A1F31">
        <w:t>the increase in demand practices experience at the beginning of the school year.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A52706" w:rsidRPr="00E52C83" w14:paraId="6D694657" w14:textId="77777777" w:rsidTr="00D27862">
        <w:tc>
          <w:tcPr>
            <w:tcW w:w="5000" w:type="pct"/>
            <w:shd w:val="clear" w:color="auto" w:fill="F2F2F2" w:themeFill="background1" w:themeFillShade="F2"/>
          </w:tcPr>
          <w:p w14:paraId="04A9B6CB" w14:textId="10245F9D" w:rsidR="00A52706" w:rsidRPr="00E52C83" w:rsidRDefault="00A52706" w:rsidP="007065A3">
            <w:pPr>
              <w:pStyle w:val="BodyText"/>
              <w:spacing w:after="120" w:line="276" w:lineRule="auto"/>
              <w:ind w:right="239"/>
              <w:jc w:val="center"/>
              <w:rPr>
                <w:b/>
                <w:spacing w:val="-1"/>
                <w:sz w:val="18"/>
                <w:szCs w:val="18"/>
              </w:rPr>
            </w:pPr>
            <w:r w:rsidRPr="00E52C83">
              <w:rPr>
                <w:b/>
                <w:spacing w:val="-1"/>
                <w:sz w:val="18"/>
                <w:szCs w:val="18"/>
              </w:rPr>
              <w:t xml:space="preserve">Lessons – </w:t>
            </w:r>
            <w:r w:rsidR="009908B4" w:rsidRPr="00E52C83">
              <w:rPr>
                <w:b/>
                <w:spacing w:val="-1"/>
                <w:sz w:val="18"/>
                <w:szCs w:val="18"/>
              </w:rPr>
              <w:t>P</w:t>
            </w:r>
            <w:r w:rsidRPr="00E52C83">
              <w:rPr>
                <w:b/>
                <w:spacing w:val="-1"/>
                <w:sz w:val="18"/>
                <w:szCs w:val="18"/>
              </w:rPr>
              <w:t>ractice recruitment</w:t>
            </w:r>
          </w:p>
          <w:p w14:paraId="7DD6459C" w14:textId="06FD0CC1" w:rsidR="00A52706" w:rsidRPr="00E52C83" w:rsidRDefault="00A52706" w:rsidP="00AA0161">
            <w:pPr>
              <w:pStyle w:val="BodyText"/>
              <w:numPr>
                <w:ilvl w:val="0"/>
                <w:numId w:val="7"/>
              </w:numPr>
              <w:tabs>
                <w:tab w:val="left" w:pos="674"/>
              </w:tabs>
              <w:spacing w:after="120" w:line="276" w:lineRule="auto"/>
              <w:rPr>
                <w:spacing w:val="-1"/>
                <w:sz w:val="18"/>
                <w:szCs w:val="18"/>
              </w:rPr>
            </w:pPr>
            <w:bookmarkStart w:id="66" w:name="_Hlk22305320"/>
            <w:r w:rsidRPr="00E52C83">
              <w:rPr>
                <w:spacing w:val="-1"/>
                <w:sz w:val="18"/>
                <w:szCs w:val="18"/>
              </w:rPr>
              <w:t>For programs such as HCH, allow time and invest in developing and communicating information about the program during the EOI process or equivalent.</w:t>
            </w:r>
            <w:r w:rsidR="00BA28B3" w:rsidRPr="00E52C83">
              <w:rPr>
                <w:spacing w:val="-1"/>
                <w:sz w:val="18"/>
                <w:szCs w:val="18"/>
              </w:rPr>
              <w:t xml:space="preserve"> </w:t>
            </w:r>
            <w:r w:rsidRPr="00E52C83">
              <w:rPr>
                <w:spacing w:val="-1"/>
                <w:sz w:val="18"/>
                <w:szCs w:val="18"/>
              </w:rPr>
              <w:t>This should include providing information sessions about the program for interested practices.</w:t>
            </w:r>
          </w:p>
          <w:p w14:paraId="0496DCB6" w14:textId="04516538" w:rsidR="00A52706" w:rsidRPr="00E52C83" w:rsidRDefault="00A52706" w:rsidP="00AA0161">
            <w:pPr>
              <w:pStyle w:val="BodyText"/>
              <w:numPr>
                <w:ilvl w:val="0"/>
                <w:numId w:val="7"/>
              </w:numPr>
              <w:tabs>
                <w:tab w:val="left" w:pos="674"/>
              </w:tabs>
              <w:spacing w:after="120" w:line="276" w:lineRule="auto"/>
              <w:rPr>
                <w:spacing w:val="-1"/>
                <w:sz w:val="18"/>
                <w:szCs w:val="18"/>
              </w:rPr>
            </w:pPr>
            <w:r w:rsidRPr="00E52C83">
              <w:rPr>
                <w:spacing w:val="-1"/>
                <w:sz w:val="18"/>
                <w:szCs w:val="18"/>
              </w:rPr>
              <w:t>Make greater use of PHNs in an</w:t>
            </w:r>
            <w:r w:rsidR="001C314E" w:rsidRPr="00E52C83">
              <w:rPr>
                <w:spacing w:val="-1"/>
                <w:sz w:val="18"/>
                <w:szCs w:val="18"/>
              </w:rPr>
              <w:t>y</w:t>
            </w:r>
            <w:r w:rsidRPr="00E52C83">
              <w:rPr>
                <w:spacing w:val="-1"/>
                <w:sz w:val="18"/>
                <w:szCs w:val="18"/>
              </w:rPr>
              <w:t xml:space="preserve"> assessment process</w:t>
            </w:r>
            <w:r w:rsidR="001C314E" w:rsidRPr="00E52C83">
              <w:rPr>
                <w:spacing w:val="-1"/>
                <w:sz w:val="18"/>
                <w:szCs w:val="18"/>
              </w:rPr>
              <w:t xml:space="preserve"> involving primary care practices</w:t>
            </w:r>
            <w:r w:rsidRPr="00E52C83">
              <w:rPr>
                <w:spacing w:val="-1"/>
                <w:sz w:val="18"/>
                <w:szCs w:val="18"/>
              </w:rPr>
              <w:t>.</w:t>
            </w:r>
          </w:p>
          <w:p w14:paraId="57930788" w14:textId="5E7D4ADD" w:rsidR="00A52706" w:rsidRPr="00E52C83" w:rsidRDefault="00A52706" w:rsidP="00AA0161">
            <w:pPr>
              <w:pStyle w:val="BodyText"/>
              <w:numPr>
                <w:ilvl w:val="0"/>
                <w:numId w:val="7"/>
              </w:numPr>
              <w:tabs>
                <w:tab w:val="left" w:pos="674"/>
              </w:tabs>
              <w:spacing w:after="120" w:line="276" w:lineRule="auto"/>
              <w:rPr>
                <w:spacing w:val="-1"/>
                <w:sz w:val="18"/>
                <w:szCs w:val="18"/>
              </w:rPr>
            </w:pPr>
            <w:r w:rsidRPr="00E52C83">
              <w:rPr>
                <w:spacing w:val="-1"/>
                <w:sz w:val="18"/>
                <w:szCs w:val="18"/>
              </w:rPr>
              <w:t>In assessing application</w:t>
            </w:r>
            <w:r w:rsidR="001C314E" w:rsidRPr="00E52C83">
              <w:rPr>
                <w:spacing w:val="-1"/>
                <w:sz w:val="18"/>
                <w:szCs w:val="18"/>
              </w:rPr>
              <w:t>s</w:t>
            </w:r>
            <w:r w:rsidRPr="00E52C83">
              <w:rPr>
                <w:spacing w:val="-1"/>
                <w:sz w:val="18"/>
                <w:szCs w:val="18"/>
              </w:rPr>
              <w:t>, ensure there is evidence that GPs within the practice have been adequately informed about the program and a sufficient number support</w:t>
            </w:r>
            <w:r w:rsidR="001C314E" w:rsidRPr="00E52C83">
              <w:rPr>
                <w:spacing w:val="-1"/>
                <w:sz w:val="18"/>
                <w:szCs w:val="18"/>
              </w:rPr>
              <w:t xml:space="preserve"> its</w:t>
            </w:r>
            <w:r w:rsidRPr="00E52C83">
              <w:rPr>
                <w:spacing w:val="-1"/>
                <w:sz w:val="18"/>
                <w:szCs w:val="18"/>
              </w:rPr>
              <w:t xml:space="preserve"> implementation.</w:t>
            </w:r>
          </w:p>
          <w:p w14:paraId="744B1A82" w14:textId="7A77849B" w:rsidR="00A52706" w:rsidRPr="00E52C83" w:rsidRDefault="00A52706" w:rsidP="00AA0161">
            <w:pPr>
              <w:pStyle w:val="BodyText"/>
              <w:numPr>
                <w:ilvl w:val="0"/>
                <w:numId w:val="7"/>
              </w:numPr>
              <w:tabs>
                <w:tab w:val="left" w:pos="674"/>
              </w:tabs>
              <w:spacing w:after="120" w:line="276" w:lineRule="auto"/>
              <w:rPr>
                <w:spacing w:val="-1"/>
                <w:sz w:val="18"/>
                <w:szCs w:val="18"/>
              </w:rPr>
            </w:pPr>
            <w:r w:rsidRPr="00E52C83">
              <w:rPr>
                <w:spacing w:val="-1"/>
                <w:sz w:val="18"/>
                <w:szCs w:val="18"/>
              </w:rPr>
              <w:t>In funding agreements, set out clear expectations for practices and their staff in</w:t>
            </w:r>
            <w:r w:rsidR="001C314E" w:rsidRPr="00E52C83">
              <w:rPr>
                <w:spacing w:val="-1"/>
                <w:sz w:val="18"/>
                <w:szCs w:val="18"/>
              </w:rPr>
              <w:t xml:space="preserve"> working with external facilitators</w:t>
            </w:r>
            <w:r w:rsidRPr="00E52C83">
              <w:rPr>
                <w:spacing w:val="-1"/>
                <w:sz w:val="18"/>
                <w:szCs w:val="18"/>
              </w:rPr>
              <w:t>.</w:t>
            </w:r>
          </w:p>
          <w:p w14:paraId="3E94CC2A" w14:textId="450FC25D" w:rsidR="00A52706" w:rsidRPr="00E52C83" w:rsidRDefault="00A52706" w:rsidP="00AA0161">
            <w:pPr>
              <w:pStyle w:val="BodyText"/>
              <w:numPr>
                <w:ilvl w:val="0"/>
                <w:numId w:val="7"/>
              </w:numPr>
              <w:tabs>
                <w:tab w:val="left" w:pos="674"/>
              </w:tabs>
              <w:spacing w:after="120" w:line="276" w:lineRule="auto"/>
              <w:rPr>
                <w:sz w:val="18"/>
                <w:szCs w:val="18"/>
              </w:rPr>
            </w:pPr>
            <w:r w:rsidRPr="00E52C83">
              <w:rPr>
                <w:spacing w:val="-1"/>
                <w:sz w:val="18"/>
                <w:szCs w:val="18"/>
              </w:rPr>
              <w:t xml:space="preserve">Ensure </w:t>
            </w:r>
            <w:r w:rsidR="000635EB" w:rsidRPr="00E52C83">
              <w:rPr>
                <w:spacing w:val="-1"/>
                <w:sz w:val="18"/>
                <w:szCs w:val="18"/>
              </w:rPr>
              <w:t xml:space="preserve">funding contributions meet the </w:t>
            </w:r>
            <w:r w:rsidRPr="00E52C83">
              <w:rPr>
                <w:spacing w:val="-1"/>
                <w:sz w:val="18"/>
                <w:szCs w:val="18"/>
              </w:rPr>
              <w:t>costs of participat</w:t>
            </w:r>
            <w:r w:rsidR="000635EB" w:rsidRPr="00E52C83">
              <w:rPr>
                <w:spacing w:val="-1"/>
                <w:sz w:val="18"/>
                <w:szCs w:val="18"/>
              </w:rPr>
              <w:t>ion.</w:t>
            </w:r>
            <w:r w:rsidRPr="00E52C83">
              <w:rPr>
                <w:sz w:val="18"/>
                <w:szCs w:val="18"/>
              </w:rPr>
              <w:t xml:space="preserve"> </w:t>
            </w:r>
            <w:bookmarkEnd w:id="66"/>
          </w:p>
        </w:tc>
      </w:tr>
    </w:tbl>
    <w:p w14:paraId="7ABC64B3" w14:textId="40A3B2D5" w:rsidR="00A52706" w:rsidRDefault="00A52706" w:rsidP="005532B3">
      <w:pPr>
        <w:pStyle w:val="BodyText"/>
        <w:tabs>
          <w:tab w:val="left" w:pos="674"/>
        </w:tabs>
        <w:ind w:left="102"/>
      </w:pPr>
    </w:p>
    <w:p w14:paraId="6089B338" w14:textId="77777777" w:rsidR="00CC6EA9" w:rsidRDefault="00CC6EA9" w:rsidP="0059743A">
      <w:pPr>
        <w:pStyle w:val="Heading1nonumber"/>
      </w:pPr>
      <w:bookmarkStart w:id="67" w:name="_Toc32585833"/>
      <w:r>
        <w:lastRenderedPageBreak/>
        <w:t>Achievements so far</w:t>
      </w:r>
      <w:bookmarkEnd w:id="67"/>
    </w:p>
    <w:p w14:paraId="70074CFE" w14:textId="77777777" w:rsidR="00CC6EA9" w:rsidRPr="00556643" w:rsidRDefault="00CC6EA9" w:rsidP="00556643">
      <w:r w:rsidRPr="00556643">
        <w:t>The HCH program has laid foundations for primary care reform in Australia to provide better care to people with chronic and complex conditions. These foundations include:</w:t>
      </w:r>
    </w:p>
    <w:p w14:paraId="0B0396D1" w14:textId="7DA02FE2" w:rsidR="0056228A" w:rsidRPr="0056228A" w:rsidRDefault="0056228A" w:rsidP="001C19F3">
      <w:pPr>
        <w:pStyle w:val="ListParagraph"/>
        <w:numPr>
          <w:ilvl w:val="0"/>
          <w:numId w:val="8"/>
        </w:numPr>
        <w:ind w:left="714" w:hanging="357"/>
        <w:contextualSpacing w:val="0"/>
      </w:pPr>
      <w:r>
        <w:t xml:space="preserve">Better </w:t>
      </w:r>
      <w:r w:rsidRPr="0056228A">
        <w:rPr>
          <w:b/>
        </w:rPr>
        <w:t>understanding of challenges and opportunities for reform</w:t>
      </w:r>
      <w:r>
        <w:t xml:space="preserve"> in primary health care</w:t>
      </w:r>
      <w:r w:rsidR="002B58FA">
        <w:t>.</w:t>
      </w:r>
    </w:p>
    <w:p w14:paraId="1B0596F9" w14:textId="3EA2EA4E" w:rsidR="00CC6EA9" w:rsidRDefault="00CC6EA9" w:rsidP="001C19F3">
      <w:pPr>
        <w:pStyle w:val="ListParagraph"/>
        <w:numPr>
          <w:ilvl w:val="0"/>
          <w:numId w:val="8"/>
        </w:numPr>
        <w:ind w:left="714" w:hanging="357"/>
        <w:contextualSpacing w:val="0"/>
      </w:pPr>
      <w:r w:rsidRPr="006E7937">
        <w:rPr>
          <w:b/>
        </w:rPr>
        <w:t>Policy</w:t>
      </w:r>
      <w:r w:rsidRPr="006E7937">
        <w:rPr>
          <w:b/>
          <w:spacing w:val="-9"/>
        </w:rPr>
        <w:t xml:space="preserve"> </w:t>
      </w:r>
      <w:r w:rsidRPr="006E7937">
        <w:rPr>
          <w:b/>
        </w:rPr>
        <w:t>innovation</w:t>
      </w:r>
      <w:r w:rsidRPr="006E7937">
        <w:rPr>
          <w:b/>
          <w:spacing w:val="-6"/>
        </w:rPr>
        <w:t xml:space="preserve"> </w:t>
      </w:r>
      <w:r w:rsidRPr="006E7937">
        <w:rPr>
          <w:b/>
          <w:spacing w:val="1"/>
        </w:rPr>
        <w:t>to</w:t>
      </w:r>
      <w:r w:rsidRPr="006E7937">
        <w:rPr>
          <w:b/>
          <w:spacing w:val="-7"/>
        </w:rPr>
        <w:t xml:space="preserve"> </w:t>
      </w:r>
      <w:r w:rsidRPr="006E7937">
        <w:rPr>
          <w:b/>
        </w:rPr>
        <w:t>facilitate</w:t>
      </w:r>
      <w:r w:rsidRPr="006E7937">
        <w:rPr>
          <w:b/>
          <w:spacing w:val="-7"/>
        </w:rPr>
        <w:t xml:space="preserve"> </w:t>
      </w:r>
      <w:r w:rsidRPr="006E7937">
        <w:rPr>
          <w:b/>
        </w:rPr>
        <w:t>voluntary</w:t>
      </w:r>
      <w:r w:rsidRPr="006E7937">
        <w:rPr>
          <w:b/>
          <w:spacing w:val="-8"/>
        </w:rPr>
        <w:t xml:space="preserve"> </w:t>
      </w:r>
      <w:r w:rsidRPr="006E7937">
        <w:rPr>
          <w:b/>
        </w:rPr>
        <w:t>enrolment</w:t>
      </w:r>
      <w:r w:rsidRPr="00556643">
        <w:rPr>
          <w:spacing w:val="-6"/>
        </w:rPr>
        <w:t xml:space="preserve"> </w:t>
      </w:r>
      <w:r>
        <w:t>by</w:t>
      </w:r>
      <w:r w:rsidRPr="00556643">
        <w:rPr>
          <w:spacing w:val="-8"/>
        </w:rPr>
        <w:t xml:space="preserve"> </w:t>
      </w:r>
      <w:r>
        <w:t>patients</w:t>
      </w:r>
      <w:r w:rsidRPr="00556643">
        <w:rPr>
          <w:spacing w:val="-10"/>
        </w:rPr>
        <w:t xml:space="preserve"> </w:t>
      </w:r>
      <w:r w:rsidRPr="00556643">
        <w:rPr>
          <w:spacing w:val="2"/>
        </w:rPr>
        <w:t>with</w:t>
      </w:r>
      <w:r w:rsidRPr="00556643">
        <w:rPr>
          <w:spacing w:val="-6"/>
        </w:rPr>
        <w:t xml:space="preserve"> </w:t>
      </w:r>
      <w:r>
        <w:t>a</w:t>
      </w:r>
      <w:r w:rsidRPr="00556643">
        <w:rPr>
          <w:spacing w:val="-6"/>
        </w:rPr>
        <w:t xml:space="preserve"> </w:t>
      </w:r>
      <w:r w:rsidRPr="00CC6EA9">
        <w:t>practice</w:t>
      </w:r>
      <w:r w:rsidRPr="00556643">
        <w:rPr>
          <w:spacing w:val="-8"/>
        </w:rPr>
        <w:t xml:space="preserve"> </w:t>
      </w:r>
      <w:r>
        <w:t>and</w:t>
      </w:r>
      <w:r w:rsidRPr="00556643">
        <w:rPr>
          <w:spacing w:val="-7"/>
        </w:rPr>
        <w:t xml:space="preserve"> </w:t>
      </w:r>
      <w:r>
        <w:t>a</w:t>
      </w:r>
      <w:r w:rsidRPr="00556643">
        <w:rPr>
          <w:spacing w:val="67"/>
          <w:w w:val="99"/>
        </w:rPr>
        <w:t xml:space="preserve"> </w:t>
      </w:r>
      <w:r>
        <w:t>nominated</w:t>
      </w:r>
      <w:r w:rsidRPr="00556643">
        <w:rPr>
          <w:spacing w:val="-16"/>
        </w:rPr>
        <w:t xml:space="preserve"> </w:t>
      </w:r>
      <w:r>
        <w:t>GP.</w:t>
      </w:r>
    </w:p>
    <w:p w14:paraId="407D908B" w14:textId="77777777" w:rsidR="00CC6EA9" w:rsidRDefault="00CC6EA9" w:rsidP="001C19F3">
      <w:pPr>
        <w:pStyle w:val="ListParagraph"/>
        <w:numPr>
          <w:ilvl w:val="0"/>
          <w:numId w:val="8"/>
        </w:numPr>
        <w:ind w:left="714" w:hanging="357"/>
        <w:contextualSpacing w:val="0"/>
      </w:pPr>
      <w:r>
        <w:t>A</w:t>
      </w:r>
      <w:r w:rsidRPr="00556643">
        <w:rPr>
          <w:spacing w:val="-8"/>
        </w:rPr>
        <w:t xml:space="preserve"> </w:t>
      </w:r>
      <w:r w:rsidRPr="006E7937">
        <w:rPr>
          <w:b/>
        </w:rPr>
        <w:t>bundled</w:t>
      </w:r>
      <w:r w:rsidRPr="006E7937">
        <w:rPr>
          <w:b/>
          <w:spacing w:val="-7"/>
        </w:rPr>
        <w:t xml:space="preserve"> </w:t>
      </w:r>
      <w:r w:rsidRPr="006E7937">
        <w:rPr>
          <w:b/>
        </w:rPr>
        <w:t>payment</w:t>
      </w:r>
      <w:r w:rsidRPr="00556643">
        <w:rPr>
          <w:spacing w:val="-5"/>
        </w:rPr>
        <w:t xml:space="preserve"> </w:t>
      </w:r>
      <w:r w:rsidRPr="00556643">
        <w:rPr>
          <w:spacing w:val="1"/>
        </w:rPr>
        <w:t>to</w:t>
      </w:r>
      <w:r w:rsidRPr="00556643">
        <w:rPr>
          <w:spacing w:val="-7"/>
        </w:rPr>
        <w:t xml:space="preserve"> </w:t>
      </w:r>
      <w:r w:rsidRPr="00CC6EA9">
        <w:t>facilitate</w:t>
      </w:r>
      <w:r w:rsidRPr="00556643">
        <w:rPr>
          <w:spacing w:val="-7"/>
        </w:rPr>
        <w:t xml:space="preserve"> </w:t>
      </w:r>
      <w:r>
        <w:t>flexible</w:t>
      </w:r>
      <w:r w:rsidRPr="00556643">
        <w:rPr>
          <w:spacing w:val="-6"/>
        </w:rPr>
        <w:t xml:space="preserve"> </w:t>
      </w:r>
      <w:r w:rsidRPr="00CC6EA9">
        <w:t>service</w:t>
      </w:r>
      <w:r w:rsidRPr="00556643">
        <w:rPr>
          <w:spacing w:val="-7"/>
        </w:rPr>
        <w:t xml:space="preserve"> </w:t>
      </w:r>
      <w:r w:rsidRPr="00CC6EA9">
        <w:t>delivery</w:t>
      </w:r>
      <w:r w:rsidRPr="00556643">
        <w:rPr>
          <w:spacing w:val="-8"/>
        </w:rPr>
        <w:t xml:space="preserve"> </w:t>
      </w:r>
      <w:r>
        <w:t>and</w:t>
      </w:r>
      <w:r w:rsidRPr="00556643">
        <w:rPr>
          <w:spacing w:val="-7"/>
        </w:rPr>
        <w:t xml:space="preserve"> </w:t>
      </w:r>
      <w:r w:rsidRPr="00CC6EA9">
        <w:t>innovation</w:t>
      </w:r>
      <w:r w:rsidRPr="00556643">
        <w:rPr>
          <w:spacing w:val="-6"/>
        </w:rPr>
        <w:t xml:space="preserve"> </w:t>
      </w:r>
      <w:r>
        <w:t>in</w:t>
      </w:r>
      <w:r w:rsidRPr="00556643">
        <w:rPr>
          <w:spacing w:val="-6"/>
        </w:rPr>
        <w:t xml:space="preserve"> </w:t>
      </w:r>
      <w:r>
        <w:t>the</w:t>
      </w:r>
      <w:r w:rsidRPr="00556643">
        <w:rPr>
          <w:spacing w:val="-6"/>
        </w:rPr>
        <w:t xml:space="preserve"> </w:t>
      </w:r>
      <w:r>
        <w:t>care</w:t>
      </w:r>
      <w:r w:rsidRPr="00556643">
        <w:rPr>
          <w:spacing w:val="-7"/>
        </w:rPr>
        <w:t xml:space="preserve"> </w:t>
      </w:r>
      <w:r w:rsidRPr="00CC6EA9">
        <w:t>of</w:t>
      </w:r>
      <w:r w:rsidRPr="00556643">
        <w:rPr>
          <w:spacing w:val="75"/>
          <w:w w:val="99"/>
        </w:rPr>
        <w:t xml:space="preserve"> </w:t>
      </w:r>
      <w:r>
        <w:t>patients</w:t>
      </w:r>
      <w:r w:rsidRPr="00556643">
        <w:rPr>
          <w:spacing w:val="-10"/>
        </w:rPr>
        <w:t xml:space="preserve"> </w:t>
      </w:r>
      <w:r>
        <w:t>with</w:t>
      </w:r>
      <w:r w:rsidRPr="00556643">
        <w:rPr>
          <w:spacing w:val="-8"/>
        </w:rPr>
        <w:t xml:space="preserve"> </w:t>
      </w:r>
      <w:r w:rsidRPr="00CC6EA9">
        <w:t>chronic</w:t>
      </w:r>
      <w:r w:rsidRPr="00556643">
        <w:rPr>
          <w:spacing w:val="-8"/>
        </w:rPr>
        <w:t xml:space="preserve"> </w:t>
      </w:r>
      <w:r w:rsidRPr="00CC6EA9">
        <w:t>illness.</w:t>
      </w:r>
    </w:p>
    <w:p w14:paraId="2C1F0647" w14:textId="612155B5" w:rsidR="00CC6EA9" w:rsidRDefault="00CC6EA9" w:rsidP="001C19F3">
      <w:pPr>
        <w:pStyle w:val="ListParagraph"/>
        <w:numPr>
          <w:ilvl w:val="0"/>
          <w:numId w:val="8"/>
        </w:numPr>
        <w:ind w:left="714" w:hanging="357"/>
        <w:contextualSpacing w:val="0"/>
      </w:pPr>
      <w:r w:rsidRPr="006E7937">
        <w:rPr>
          <w:b/>
        </w:rPr>
        <w:t>Recruitment</w:t>
      </w:r>
      <w:r w:rsidRPr="006E7937">
        <w:rPr>
          <w:b/>
          <w:spacing w:val="-5"/>
        </w:rPr>
        <w:t xml:space="preserve"> </w:t>
      </w:r>
      <w:r w:rsidRPr="006E7937">
        <w:rPr>
          <w:b/>
        </w:rPr>
        <w:t>of</w:t>
      </w:r>
      <w:r w:rsidRPr="006E7937">
        <w:rPr>
          <w:b/>
          <w:spacing w:val="-7"/>
        </w:rPr>
        <w:t xml:space="preserve"> </w:t>
      </w:r>
      <w:r w:rsidRPr="006E7937">
        <w:rPr>
          <w:b/>
        </w:rPr>
        <w:t>a</w:t>
      </w:r>
      <w:r w:rsidRPr="006E7937">
        <w:rPr>
          <w:b/>
          <w:spacing w:val="-5"/>
        </w:rPr>
        <w:t xml:space="preserve"> </w:t>
      </w:r>
      <w:r w:rsidRPr="006E7937">
        <w:rPr>
          <w:b/>
        </w:rPr>
        <w:t>wide</w:t>
      </w:r>
      <w:r w:rsidRPr="006E7937">
        <w:rPr>
          <w:b/>
          <w:spacing w:val="-7"/>
        </w:rPr>
        <w:t xml:space="preserve"> </w:t>
      </w:r>
      <w:r w:rsidRPr="006E7937">
        <w:rPr>
          <w:b/>
        </w:rPr>
        <w:t>variety</w:t>
      </w:r>
      <w:r w:rsidRPr="006E7937">
        <w:rPr>
          <w:b/>
          <w:spacing w:val="-7"/>
        </w:rPr>
        <w:t xml:space="preserve"> </w:t>
      </w:r>
      <w:r w:rsidRPr="006E7937">
        <w:rPr>
          <w:b/>
        </w:rPr>
        <w:t>of</w:t>
      </w:r>
      <w:r w:rsidRPr="006E7937">
        <w:rPr>
          <w:b/>
          <w:spacing w:val="-7"/>
        </w:rPr>
        <w:t xml:space="preserve"> </w:t>
      </w:r>
      <w:r w:rsidRPr="006E7937">
        <w:rPr>
          <w:b/>
        </w:rPr>
        <w:t>practices</w:t>
      </w:r>
      <w:r w:rsidRPr="00556643">
        <w:rPr>
          <w:spacing w:val="-6"/>
        </w:rPr>
        <w:t xml:space="preserve"> </w:t>
      </w:r>
      <w:r>
        <w:t>to</w:t>
      </w:r>
      <w:r w:rsidRPr="00556643">
        <w:rPr>
          <w:spacing w:val="-7"/>
        </w:rPr>
        <w:t xml:space="preserve"> </w:t>
      </w:r>
      <w:r>
        <w:t>trial</w:t>
      </w:r>
      <w:r w:rsidRPr="00556643">
        <w:rPr>
          <w:spacing w:val="-5"/>
        </w:rPr>
        <w:t xml:space="preserve"> </w:t>
      </w:r>
      <w:r>
        <w:t>the</w:t>
      </w:r>
      <w:r w:rsidRPr="00556643">
        <w:rPr>
          <w:spacing w:val="-6"/>
        </w:rPr>
        <w:t xml:space="preserve"> </w:t>
      </w:r>
      <w:r>
        <w:t>model,</w:t>
      </w:r>
      <w:r w:rsidRPr="00556643">
        <w:rPr>
          <w:spacing w:val="-8"/>
        </w:rPr>
        <w:t xml:space="preserve"> </w:t>
      </w:r>
      <w:r>
        <w:t>allowing</w:t>
      </w:r>
      <w:r w:rsidRPr="00556643">
        <w:rPr>
          <w:spacing w:val="-7"/>
        </w:rPr>
        <w:t xml:space="preserve"> </w:t>
      </w:r>
      <w:r w:rsidRPr="00CC6EA9">
        <w:t>assumptions</w:t>
      </w:r>
      <w:r w:rsidRPr="00556643">
        <w:rPr>
          <w:spacing w:val="-6"/>
        </w:rPr>
        <w:t xml:space="preserve"> </w:t>
      </w:r>
      <w:r>
        <w:t>to</w:t>
      </w:r>
      <w:r w:rsidRPr="00556643">
        <w:rPr>
          <w:spacing w:val="-7"/>
        </w:rPr>
        <w:t xml:space="preserve"> </w:t>
      </w:r>
      <w:r>
        <w:t>be</w:t>
      </w:r>
      <w:r w:rsidRPr="00556643">
        <w:rPr>
          <w:spacing w:val="42"/>
          <w:w w:val="99"/>
        </w:rPr>
        <w:t xml:space="preserve"> </w:t>
      </w:r>
      <w:r>
        <w:t>tested</w:t>
      </w:r>
      <w:r w:rsidRPr="00556643">
        <w:rPr>
          <w:spacing w:val="-11"/>
        </w:rPr>
        <w:t xml:space="preserve"> </w:t>
      </w:r>
      <w:r>
        <w:t>in</w:t>
      </w:r>
      <w:r w:rsidRPr="00556643">
        <w:rPr>
          <w:spacing w:val="-10"/>
        </w:rPr>
        <w:t xml:space="preserve"> </w:t>
      </w:r>
      <w:r>
        <w:t>different</w:t>
      </w:r>
      <w:r w:rsidRPr="00556643">
        <w:rPr>
          <w:spacing w:val="-9"/>
        </w:rPr>
        <w:t xml:space="preserve"> </w:t>
      </w:r>
      <w:r w:rsidRPr="00CC6EA9">
        <w:t>environments.</w:t>
      </w:r>
    </w:p>
    <w:p w14:paraId="3D40AD35" w14:textId="150762E6" w:rsidR="00CC6EA9" w:rsidRDefault="00CC6EA9" w:rsidP="001C19F3">
      <w:pPr>
        <w:pStyle w:val="ListParagraph"/>
        <w:numPr>
          <w:ilvl w:val="0"/>
          <w:numId w:val="8"/>
        </w:numPr>
        <w:ind w:left="714" w:hanging="357"/>
        <w:contextualSpacing w:val="0"/>
      </w:pPr>
      <w:r w:rsidRPr="00CC6EA9">
        <w:t>Creation</w:t>
      </w:r>
      <w:r w:rsidRPr="00556643">
        <w:rPr>
          <w:spacing w:val="-8"/>
        </w:rPr>
        <w:t xml:space="preserve"> </w:t>
      </w:r>
      <w:r w:rsidRPr="00CC6EA9">
        <w:t>of</w:t>
      </w:r>
      <w:r w:rsidRPr="00556643">
        <w:rPr>
          <w:spacing w:val="-9"/>
        </w:rPr>
        <w:t xml:space="preserve"> </w:t>
      </w:r>
      <w:r w:rsidRPr="006E7937">
        <w:rPr>
          <w:b/>
        </w:rPr>
        <w:t>resources</w:t>
      </w:r>
      <w:r w:rsidRPr="006E7937">
        <w:rPr>
          <w:b/>
          <w:spacing w:val="-6"/>
        </w:rPr>
        <w:t xml:space="preserve"> </w:t>
      </w:r>
      <w:r w:rsidRPr="006E7937">
        <w:rPr>
          <w:b/>
        </w:rPr>
        <w:t>including</w:t>
      </w:r>
      <w:r w:rsidRPr="006E7937">
        <w:rPr>
          <w:b/>
          <w:spacing w:val="-9"/>
        </w:rPr>
        <w:t xml:space="preserve"> </w:t>
      </w:r>
      <w:r w:rsidRPr="006E7937">
        <w:rPr>
          <w:b/>
        </w:rPr>
        <w:t>training</w:t>
      </w:r>
      <w:r w:rsidRPr="006E7937">
        <w:rPr>
          <w:b/>
          <w:spacing w:val="-9"/>
        </w:rPr>
        <w:t xml:space="preserve"> </w:t>
      </w:r>
      <w:r w:rsidRPr="006E7937">
        <w:rPr>
          <w:b/>
          <w:spacing w:val="1"/>
        </w:rPr>
        <w:t>to</w:t>
      </w:r>
      <w:r w:rsidRPr="006E7937">
        <w:rPr>
          <w:b/>
          <w:spacing w:val="-9"/>
        </w:rPr>
        <w:t xml:space="preserve"> </w:t>
      </w:r>
      <w:r w:rsidRPr="006E7937">
        <w:rPr>
          <w:b/>
        </w:rPr>
        <w:t>help</w:t>
      </w:r>
      <w:r w:rsidRPr="006E7937">
        <w:rPr>
          <w:b/>
          <w:spacing w:val="-8"/>
        </w:rPr>
        <w:t xml:space="preserve"> </w:t>
      </w:r>
      <w:r w:rsidRPr="006E7937">
        <w:rPr>
          <w:b/>
        </w:rPr>
        <w:t>practices</w:t>
      </w:r>
      <w:r w:rsidRPr="006E7937">
        <w:rPr>
          <w:b/>
          <w:spacing w:val="-12"/>
        </w:rPr>
        <w:t xml:space="preserve"> </w:t>
      </w:r>
      <w:r w:rsidRPr="006E7937">
        <w:rPr>
          <w:b/>
        </w:rPr>
        <w:t>with</w:t>
      </w:r>
      <w:r w:rsidRPr="006E7937">
        <w:rPr>
          <w:b/>
          <w:spacing w:val="-8"/>
        </w:rPr>
        <w:t xml:space="preserve"> </w:t>
      </w:r>
      <w:r w:rsidRPr="006E7937">
        <w:rPr>
          <w:b/>
        </w:rPr>
        <w:t>transformation</w:t>
      </w:r>
      <w:r w:rsidRPr="00CC6EA9">
        <w:t>.</w:t>
      </w:r>
    </w:p>
    <w:p w14:paraId="754194CE" w14:textId="77777777" w:rsidR="00CC6EA9" w:rsidRDefault="00CC6EA9" w:rsidP="001C19F3">
      <w:pPr>
        <w:pStyle w:val="ListParagraph"/>
        <w:numPr>
          <w:ilvl w:val="0"/>
          <w:numId w:val="8"/>
        </w:numPr>
        <w:ind w:left="714" w:hanging="357"/>
        <w:contextualSpacing w:val="0"/>
      </w:pPr>
      <w:r>
        <w:t>A</w:t>
      </w:r>
      <w:r w:rsidRPr="00556643">
        <w:rPr>
          <w:spacing w:val="-10"/>
        </w:rPr>
        <w:t xml:space="preserve"> </w:t>
      </w:r>
      <w:r w:rsidRPr="006E7937">
        <w:rPr>
          <w:b/>
        </w:rPr>
        <w:t>new</w:t>
      </w:r>
      <w:r w:rsidRPr="006E7937">
        <w:rPr>
          <w:b/>
          <w:spacing w:val="-6"/>
        </w:rPr>
        <w:t xml:space="preserve"> </w:t>
      </w:r>
      <w:r w:rsidRPr="006E7937">
        <w:rPr>
          <w:b/>
        </w:rPr>
        <w:t>workforce</w:t>
      </w:r>
      <w:r w:rsidRPr="006E7937">
        <w:rPr>
          <w:b/>
          <w:spacing w:val="-8"/>
        </w:rPr>
        <w:t xml:space="preserve"> </w:t>
      </w:r>
      <w:r w:rsidRPr="006E7937">
        <w:rPr>
          <w:b/>
        </w:rPr>
        <w:t>of</w:t>
      </w:r>
      <w:r w:rsidRPr="006E7937">
        <w:rPr>
          <w:b/>
          <w:spacing w:val="-7"/>
        </w:rPr>
        <w:t xml:space="preserve"> </w:t>
      </w:r>
      <w:r w:rsidRPr="006E7937">
        <w:rPr>
          <w:b/>
        </w:rPr>
        <w:t>practice</w:t>
      </w:r>
      <w:r w:rsidRPr="006E7937">
        <w:rPr>
          <w:b/>
          <w:spacing w:val="-8"/>
        </w:rPr>
        <w:t xml:space="preserve"> </w:t>
      </w:r>
      <w:r w:rsidRPr="006E7937">
        <w:rPr>
          <w:b/>
        </w:rPr>
        <w:t>facilitators</w:t>
      </w:r>
      <w:r w:rsidRPr="00556643">
        <w:rPr>
          <w:spacing w:val="-9"/>
        </w:rPr>
        <w:t xml:space="preserve"> </w:t>
      </w:r>
      <w:r>
        <w:t>to</w:t>
      </w:r>
      <w:r w:rsidRPr="00556643">
        <w:rPr>
          <w:spacing w:val="-8"/>
        </w:rPr>
        <w:t xml:space="preserve"> </w:t>
      </w:r>
      <w:r w:rsidRPr="00CC6EA9">
        <w:t>support</w:t>
      </w:r>
      <w:r w:rsidRPr="00556643">
        <w:rPr>
          <w:spacing w:val="-7"/>
        </w:rPr>
        <w:t xml:space="preserve"> </w:t>
      </w:r>
      <w:r>
        <w:t>practice</w:t>
      </w:r>
      <w:r w:rsidRPr="00556643">
        <w:rPr>
          <w:spacing w:val="-10"/>
        </w:rPr>
        <w:t xml:space="preserve"> </w:t>
      </w:r>
      <w:r w:rsidRPr="00CC6EA9">
        <w:t>transformation.</w:t>
      </w:r>
    </w:p>
    <w:p w14:paraId="6FF698C5" w14:textId="56E1E861" w:rsidR="00CC6EA9" w:rsidRDefault="00CC6EA9" w:rsidP="001C19F3">
      <w:pPr>
        <w:pStyle w:val="ListParagraph"/>
        <w:numPr>
          <w:ilvl w:val="0"/>
          <w:numId w:val="8"/>
        </w:numPr>
        <w:ind w:left="714" w:hanging="357"/>
        <w:contextualSpacing w:val="0"/>
      </w:pPr>
      <w:r w:rsidRPr="006E7937">
        <w:rPr>
          <w:b/>
        </w:rPr>
        <w:t>New</w:t>
      </w:r>
      <w:r w:rsidRPr="006E7937">
        <w:rPr>
          <w:b/>
          <w:spacing w:val="-5"/>
        </w:rPr>
        <w:t xml:space="preserve"> </w:t>
      </w:r>
      <w:r w:rsidRPr="006E7937">
        <w:rPr>
          <w:b/>
        </w:rPr>
        <w:t>software</w:t>
      </w:r>
      <w:r w:rsidRPr="006E7937">
        <w:rPr>
          <w:b/>
          <w:spacing w:val="-7"/>
        </w:rPr>
        <w:t xml:space="preserve"> </w:t>
      </w:r>
      <w:r w:rsidRPr="006E7937">
        <w:rPr>
          <w:b/>
          <w:spacing w:val="1"/>
        </w:rPr>
        <w:t>to</w:t>
      </w:r>
      <w:r w:rsidRPr="006E7937">
        <w:rPr>
          <w:b/>
          <w:spacing w:val="-7"/>
        </w:rPr>
        <w:t xml:space="preserve"> </w:t>
      </w:r>
      <w:r w:rsidRPr="006E7937">
        <w:rPr>
          <w:b/>
        </w:rPr>
        <w:t>identify</w:t>
      </w:r>
      <w:r w:rsidRPr="006E7937">
        <w:rPr>
          <w:b/>
          <w:spacing w:val="-11"/>
        </w:rPr>
        <w:t xml:space="preserve"> </w:t>
      </w:r>
      <w:r w:rsidRPr="006E7937">
        <w:rPr>
          <w:b/>
        </w:rPr>
        <w:t>high-needs</w:t>
      </w:r>
      <w:r w:rsidRPr="006E7937">
        <w:rPr>
          <w:b/>
          <w:spacing w:val="-7"/>
        </w:rPr>
        <w:t xml:space="preserve"> </w:t>
      </w:r>
      <w:r w:rsidRPr="006E7937">
        <w:rPr>
          <w:b/>
        </w:rPr>
        <w:t>patients</w:t>
      </w:r>
      <w:r w:rsidRPr="00556643">
        <w:rPr>
          <w:spacing w:val="-10"/>
        </w:rPr>
        <w:t xml:space="preserve"> </w:t>
      </w:r>
      <w:r w:rsidRPr="00CC6EA9">
        <w:t>that</w:t>
      </w:r>
      <w:r w:rsidRPr="00556643">
        <w:rPr>
          <w:spacing w:val="-7"/>
        </w:rPr>
        <w:t xml:space="preserve"> </w:t>
      </w:r>
      <w:r>
        <w:t>can</w:t>
      </w:r>
      <w:r w:rsidRPr="00556643">
        <w:rPr>
          <w:spacing w:val="-6"/>
        </w:rPr>
        <w:t xml:space="preserve"> </w:t>
      </w:r>
      <w:r>
        <w:t>benefit</w:t>
      </w:r>
      <w:r w:rsidRPr="00556643">
        <w:rPr>
          <w:spacing w:val="-6"/>
        </w:rPr>
        <w:t xml:space="preserve"> </w:t>
      </w:r>
      <w:r w:rsidRPr="00CC6EA9">
        <w:t>from</w:t>
      </w:r>
      <w:r w:rsidRPr="00556643">
        <w:rPr>
          <w:spacing w:val="-7"/>
        </w:rPr>
        <w:t xml:space="preserve"> </w:t>
      </w:r>
      <w:r>
        <w:t>the</w:t>
      </w:r>
      <w:r w:rsidRPr="00556643">
        <w:rPr>
          <w:spacing w:val="-7"/>
        </w:rPr>
        <w:t xml:space="preserve"> </w:t>
      </w:r>
      <w:r>
        <w:t>model,</w:t>
      </w:r>
      <w:r w:rsidRPr="00556643">
        <w:rPr>
          <w:spacing w:val="-9"/>
        </w:rPr>
        <w:t xml:space="preserve"> </w:t>
      </w:r>
      <w:r>
        <w:t>and</w:t>
      </w:r>
      <w:r w:rsidRPr="00556643">
        <w:rPr>
          <w:spacing w:val="46"/>
          <w:w w:val="99"/>
        </w:rPr>
        <w:t xml:space="preserve"> </w:t>
      </w:r>
      <w:r w:rsidRPr="00CC6EA9">
        <w:t>installation</w:t>
      </w:r>
      <w:r w:rsidRPr="00556643">
        <w:rPr>
          <w:spacing w:val="-7"/>
        </w:rPr>
        <w:t xml:space="preserve"> </w:t>
      </w:r>
      <w:r w:rsidRPr="00CC6EA9">
        <w:t>of</w:t>
      </w:r>
      <w:r w:rsidRPr="00556643">
        <w:rPr>
          <w:spacing w:val="-7"/>
        </w:rPr>
        <w:t xml:space="preserve"> </w:t>
      </w:r>
      <w:r>
        <w:t>the</w:t>
      </w:r>
      <w:r w:rsidRPr="00556643">
        <w:rPr>
          <w:spacing w:val="-8"/>
        </w:rPr>
        <w:t xml:space="preserve"> </w:t>
      </w:r>
      <w:r w:rsidRPr="00CC6EA9">
        <w:t>software</w:t>
      </w:r>
      <w:r w:rsidRPr="00556643">
        <w:rPr>
          <w:spacing w:val="-7"/>
        </w:rPr>
        <w:t xml:space="preserve"> </w:t>
      </w:r>
      <w:r>
        <w:t>in</w:t>
      </w:r>
      <w:r w:rsidRPr="00556643">
        <w:rPr>
          <w:spacing w:val="-7"/>
        </w:rPr>
        <w:t xml:space="preserve"> </w:t>
      </w:r>
      <w:r>
        <w:t>a</w:t>
      </w:r>
      <w:r w:rsidRPr="00556643">
        <w:rPr>
          <w:spacing w:val="-6"/>
        </w:rPr>
        <w:t xml:space="preserve"> </w:t>
      </w:r>
      <w:r>
        <w:t>wide</w:t>
      </w:r>
      <w:r w:rsidRPr="00556643">
        <w:rPr>
          <w:spacing w:val="-8"/>
        </w:rPr>
        <w:t xml:space="preserve"> </w:t>
      </w:r>
      <w:r w:rsidRPr="00CC6EA9">
        <w:t>variety</w:t>
      </w:r>
      <w:r w:rsidRPr="00556643">
        <w:rPr>
          <w:spacing w:val="-8"/>
        </w:rPr>
        <w:t xml:space="preserve"> </w:t>
      </w:r>
      <w:r w:rsidRPr="00CC6EA9">
        <w:t>of</w:t>
      </w:r>
      <w:r w:rsidRPr="00556643">
        <w:rPr>
          <w:spacing w:val="-7"/>
        </w:rPr>
        <w:t xml:space="preserve"> </w:t>
      </w:r>
      <w:r>
        <w:t>computing</w:t>
      </w:r>
      <w:r w:rsidRPr="00556643">
        <w:rPr>
          <w:spacing w:val="-8"/>
        </w:rPr>
        <w:t xml:space="preserve"> </w:t>
      </w:r>
      <w:r w:rsidRPr="00CC6EA9">
        <w:t>environments.</w:t>
      </w:r>
    </w:p>
    <w:p w14:paraId="624FBA2C" w14:textId="6B86AB86" w:rsidR="00CC6EA9" w:rsidRDefault="006E7937" w:rsidP="001C19F3">
      <w:pPr>
        <w:pStyle w:val="ListParagraph"/>
        <w:numPr>
          <w:ilvl w:val="0"/>
          <w:numId w:val="8"/>
        </w:numPr>
        <w:ind w:left="714" w:hanging="357"/>
        <w:contextualSpacing w:val="0"/>
      </w:pPr>
      <w:r w:rsidRPr="006E7937">
        <w:rPr>
          <w:b/>
        </w:rPr>
        <w:t xml:space="preserve">Increased </w:t>
      </w:r>
      <w:r w:rsidR="00CC6EA9" w:rsidRPr="006E7937">
        <w:rPr>
          <w:b/>
        </w:rPr>
        <w:t>uptake</w:t>
      </w:r>
      <w:r w:rsidR="00CC6EA9" w:rsidRPr="006E7937">
        <w:rPr>
          <w:b/>
          <w:spacing w:val="-7"/>
        </w:rPr>
        <w:t xml:space="preserve"> </w:t>
      </w:r>
      <w:r w:rsidR="00CC6EA9" w:rsidRPr="006E7937">
        <w:rPr>
          <w:b/>
        </w:rPr>
        <w:t>of</w:t>
      </w:r>
      <w:r w:rsidR="00CC6EA9" w:rsidRPr="006E7937">
        <w:rPr>
          <w:b/>
          <w:spacing w:val="-7"/>
        </w:rPr>
        <w:t xml:space="preserve"> </w:t>
      </w:r>
      <w:r w:rsidR="00CC6EA9" w:rsidRPr="006E7937">
        <w:rPr>
          <w:b/>
          <w:spacing w:val="1"/>
        </w:rPr>
        <w:t>IT</w:t>
      </w:r>
      <w:r w:rsidR="00CC6EA9" w:rsidRPr="006E7937">
        <w:rPr>
          <w:b/>
          <w:spacing w:val="-7"/>
        </w:rPr>
        <w:t xml:space="preserve"> </w:t>
      </w:r>
      <w:r w:rsidR="00CC6EA9" w:rsidRPr="006E7937">
        <w:rPr>
          <w:b/>
        </w:rPr>
        <w:t>for</w:t>
      </w:r>
      <w:r w:rsidR="00CC6EA9" w:rsidRPr="006E7937">
        <w:rPr>
          <w:b/>
          <w:spacing w:val="-7"/>
        </w:rPr>
        <w:t xml:space="preserve"> </w:t>
      </w:r>
      <w:r w:rsidR="00CC6EA9" w:rsidRPr="006E7937">
        <w:rPr>
          <w:b/>
        </w:rPr>
        <w:t>shared</w:t>
      </w:r>
      <w:r w:rsidR="00CC6EA9" w:rsidRPr="006E7937">
        <w:rPr>
          <w:b/>
          <w:spacing w:val="-7"/>
        </w:rPr>
        <w:t xml:space="preserve"> </w:t>
      </w:r>
      <w:r w:rsidR="00CC6EA9" w:rsidRPr="006E7937">
        <w:rPr>
          <w:b/>
        </w:rPr>
        <w:t>care</w:t>
      </w:r>
      <w:r w:rsidR="00CC6EA9" w:rsidRPr="006E7937">
        <w:rPr>
          <w:b/>
          <w:spacing w:val="-7"/>
        </w:rPr>
        <w:t xml:space="preserve"> </w:t>
      </w:r>
      <w:r w:rsidR="00CC6EA9" w:rsidRPr="006E7937">
        <w:rPr>
          <w:b/>
        </w:rPr>
        <w:t>planning</w:t>
      </w:r>
      <w:r w:rsidR="00CC6EA9">
        <w:t>,</w:t>
      </w:r>
      <w:r w:rsidR="00CC6EA9" w:rsidRPr="00556643">
        <w:rPr>
          <w:spacing w:val="-9"/>
        </w:rPr>
        <w:t xml:space="preserve"> </w:t>
      </w:r>
      <w:r w:rsidR="00CC6EA9" w:rsidRPr="00556643">
        <w:rPr>
          <w:spacing w:val="1"/>
        </w:rPr>
        <w:t>to</w:t>
      </w:r>
      <w:r w:rsidR="00CC6EA9" w:rsidRPr="00556643">
        <w:rPr>
          <w:spacing w:val="-7"/>
        </w:rPr>
        <w:t xml:space="preserve"> </w:t>
      </w:r>
      <w:r w:rsidR="00CC6EA9" w:rsidRPr="00CC6EA9">
        <w:t>improve</w:t>
      </w:r>
      <w:r w:rsidR="00CC6EA9" w:rsidRPr="00556643">
        <w:rPr>
          <w:spacing w:val="-7"/>
        </w:rPr>
        <w:t xml:space="preserve"> </w:t>
      </w:r>
      <w:r w:rsidR="00CC6EA9">
        <w:t>care</w:t>
      </w:r>
      <w:r w:rsidR="00CC6EA9" w:rsidRPr="00556643">
        <w:rPr>
          <w:spacing w:val="-7"/>
        </w:rPr>
        <w:t xml:space="preserve"> </w:t>
      </w:r>
      <w:r w:rsidR="00CC6EA9">
        <w:t>coordination</w:t>
      </w:r>
      <w:r w:rsidR="00CC6EA9" w:rsidRPr="00556643">
        <w:rPr>
          <w:spacing w:val="-6"/>
        </w:rPr>
        <w:t xml:space="preserve"> </w:t>
      </w:r>
      <w:r w:rsidR="00CC6EA9" w:rsidRPr="00CC6EA9">
        <w:t>across</w:t>
      </w:r>
      <w:r w:rsidR="00CC6EA9" w:rsidRPr="00556643">
        <w:rPr>
          <w:spacing w:val="41"/>
          <w:w w:val="99"/>
        </w:rPr>
        <w:t xml:space="preserve"> </w:t>
      </w:r>
      <w:r w:rsidR="00CC6EA9">
        <w:t>providers.</w:t>
      </w:r>
    </w:p>
    <w:p w14:paraId="27A60686" w14:textId="6547D5F0" w:rsidR="00CC6EA9" w:rsidRPr="00AA0161" w:rsidRDefault="00AA0161" w:rsidP="001C19F3">
      <w:pPr>
        <w:pStyle w:val="ListParagraph"/>
        <w:numPr>
          <w:ilvl w:val="0"/>
          <w:numId w:val="8"/>
        </w:numPr>
        <w:ind w:left="714" w:hanging="357"/>
        <w:contextualSpacing w:val="0"/>
      </w:pPr>
      <w:r w:rsidRPr="00AA0161">
        <w:t>Some v</w:t>
      </w:r>
      <w:r w:rsidR="00CC6EA9" w:rsidRPr="00AA0161">
        <w:t>endors</w:t>
      </w:r>
      <w:r w:rsidR="00CC6EA9" w:rsidRPr="00AA0161">
        <w:rPr>
          <w:spacing w:val="-8"/>
        </w:rPr>
        <w:t xml:space="preserve"> </w:t>
      </w:r>
      <w:r w:rsidR="00CC6EA9" w:rsidRPr="00AA0161">
        <w:t>of</w:t>
      </w:r>
      <w:r w:rsidR="00CC6EA9" w:rsidRPr="00AA0161">
        <w:rPr>
          <w:spacing w:val="-4"/>
        </w:rPr>
        <w:t xml:space="preserve"> </w:t>
      </w:r>
      <w:r w:rsidR="00CC6EA9" w:rsidRPr="00AA0161">
        <w:t>software</w:t>
      </w:r>
      <w:r w:rsidR="00CC6EA9" w:rsidRPr="00AA0161">
        <w:rPr>
          <w:spacing w:val="-7"/>
        </w:rPr>
        <w:t xml:space="preserve"> </w:t>
      </w:r>
      <w:r w:rsidR="00CC6EA9" w:rsidRPr="00AA0161">
        <w:t>systems</w:t>
      </w:r>
      <w:r w:rsidR="00CC6EA9" w:rsidRPr="00AA0161">
        <w:rPr>
          <w:spacing w:val="-6"/>
        </w:rPr>
        <w:t xml:space="preserve"> </w:t>
      </w:r>
      <w:r w:rsidR="00CC6EA9" w:rsidRPr="00AA0161">
        <w:t>used</w:t>
      </w:r>
      <w:r w:rsidR="00CC6EA9" w:rsidRPr="00AA0161">
        <w:rPr>
          <w:spacing w:val="-7"/>
        </w:rPr>
        <w:t xml:space="preserve"> </w:t>
      </w:r>
      <w:r w:rsidR="00CC6EA9" w:rsidRPr="00AA0161">
        <w:t>in</w:t>
      </w:r>
      <w:r w:rsidR="00CC6EA9" w:rsidRPr="00AA0161">
        <w:rPr>
          <w:spacing w:val="-5"/>
        </w:rPr>
        <w:t xml:space="preserve"> </w:t>
      </w:r>
      <w:r w:rsidR="00CC6EA9" w:rsidRPr="00AA0161">
        <w:t>primary</w:t>
      </w:r>
      <w:r w:rsidR="00CC6EA9" w:rsidRPr="00AA0161">
        <w:rPr>
          <w:spacing w:val="-8"/>
        </w:rPr>
        <w:t xml:space="preserve"> </w:t>
      </w:r>
      <w:r w:rsidR="00CC6EA9" w:rsidRPr="00AA0161">
        <w:t>care</w:t>
      </w:r>
      <w:r w:rsidR="00CC6EA9" w:rsidRPr="00AA0161">
        <w:rPr>
          <w:spacing w:val="-6"/>
        </w:rPr>
        <w:t xml:space="preserve"> </w:t>
      </w:r>
      <w:r w:rsidRPr="00AA0161">
        <w:rPr>
          <w:spacing w:val="-6"/>
        </w:rPr>
        <w:t xml:space="preserve">have </w:t>
      </w:r>
      <w:r w:rsidR="00CC6EA9" w:rsidRPr="00AA0161">
        <w:t>respond</w:t>
      </w:r>
      <w:r w:rsidRPr="00AA0161">
        <w:t>ed</w:t>
      </w:r>
      <w:r w:rsidR="00CC6EA9" w:rsidRPr="00AA0161">
        <w:rPr>
          <w:spacing w:val="-7"/>
        </w:rPr>
        <w:t xml:space="preserve"> </w:t>
      </w:r>
      <w:r w:rsidR="00CC6EA9" w:rsidRPr="00AA0161">
        <w:rPr>
          <w:spacing w:val="1"/>
        </w:rPr>
        <w:t>to</w:t>
      </w:r>
      <w:r w:rsidR="00CC6EA9" w:rsidRPr="00AA0161">
        <w:rPr>
          <w:spacing w:val="-6"/>
        </w:rPr>
        <w:t xml:space="preserve"> </w:t>
      </w:r>
      <w:r w:rsidR="00CC6EA9" w:rsidRPr="00AA0161">
        <w:t>the</w:t>
      </w:r>
      <w:r w:rsidR="00CC6EA9" w:rsidRPr="00AA0161">
        <w:rPr>
          <w:spacing w:val="-6"/>
        </w:rPr>
        <w:t xml:space="preserve"> </w:t>
      </w:r>
      <w:r w:rsidR="00CC6EA9" w:rsidRPr="00AA0161">
        <w:t>needs</w:t>
      </w:r>
      <w:r w:rsidR="00CC6EA9" w:rsidRPr="00AA0161">
        <w:rPr>
          <w:spacing w:val="-7"/>
        </w:rPr>
        <w:t xml:space="preserve"> </w:t>
      </w:r>
      <w:r w:rsidR="00CC6EA9" w:rsidRPr="00AA0161">
        <w:t>of</w:t>
      </w:r>
      <w:r w:rsidR="00CC6EA9" w:rsidRPr="00AA0161">
        <w:rPr>
          <w:spacing w:val="-6"/>
        </w:rPr>
        <w:t xml:space="preserve"> </w:t>
      </w:r>
      <w:r w:rsidR="00CC6EA9" w:rsidRPr="00AA0161">
        <w:t>the</w:t>
      </w:r>
      <w:r w:rsidR="00CC6EA9" w:rsidRPr="00AA0161">
        <w:rPr>
          <w:spacing w:val="34"/>
          <w:w w:val="99"/>
        </w:rPr>
        <w:t xml:space="preserve"> </w:t>
      </w:r>
      <w:r w:rsidR="00CC6EA9" w:rsidRPr="00AA0161">
        <w:t>practices</w:t>
      </w:r>
      <w:r w:rsidR="00CC6EA9" w:rsidRPr="00AA0161">
        <w:rPr>
          <w:spacing w:val="-8"/>
        </w:rPr>
        <w:t xml:space="preserve"> </w:t>
      </w:r>
      <w:r w:rsidR="00CC6EA9" w:rsidRPr="00AA0161">
        <w:t>by</w:t>
      </w:r>
      <w:r w:rsidR="00CC6EA9" w:rsidRPr="00AA0161">
        <w:rPr>
          <w:spacing w:val="-9"/>
        </w:rPr>
        <w:t xml:space="preserve"> </w:t>
      </w:r>
      <w:r w:rsidR="00CC6EA9" w:rsidRPr="00AA0161">
        <w:t>building</w:t>
      </w:r>
      <w:r w:rsidR="00CC6EA9" w:rsidRPr="00AA0161">
        <w:rPr>
          <w:spacing w:val="-7"/>
        </w:rPr>
        <w:t xml:space="preserve"> </w:t>
      </w:r>
      <w:r w:rsidR="00CC6EA9" w:rsidRPr="005644B2">
        <w:rPr>
          <w:b/>
        </w:rPr>
        <w:t>additional</w:t>
      </w:r>
      <w:r w:rsidR="00CC6EA9" w:rsidRPr="005644B2">
        <w:rPr>
          <w:b/>
          <w:spacing w:val="-7"/>
        </w:rPr>
        <w:t xml:space="preserve"> </w:t>
      </w:r>
      <w:r w:rsidR="00CC6EA9" w:rsidRPr="005644B2">
        <w:rPr>
          <w:b/>
        </w:rPr>
        <w:t>functionality</w:t>
      </w:r>
      <w:r w:rsidR="00CC6EA9" w:rsidRPr="00AA0161">
        <w:rPr>
          <w:spacing w:val="-9"/>
        </w:rPr>
        <w:t xml:space="preserve"> </w:t>
      </w:r>
      <w:r w:rsidRPr="00AA0161">
        <w:t xml:space="preserve">to </w:t>
      </w:r>
      <w:r w:rsidR="00CC6EA9" w:rsidRPr="00AA0161">
        <w:t>support</w:t>
      </w:r>
      <w:r w:rsidR="00CC6EA9" w:rsidRPr="00AA0161">
        <w:rPr>
          <w:spacing w:val="-8"/>
        </w:rPr>
        <w:t xml:space="preserve"> </w:t>
      </w:r>
      <w:r w:rsidR="00CC6EA9" w:rsidRPr="00AA0161">
        <w:t>the</w:t>
      </w:r>
      <w:r w:rsidR="00CC6EA9" w:rsidRPr="00AA0161">
        <w:rPr>
          <w:spacing w:val="-8"/>
        </w:rPr>
        <w:t xml:space="preserve"> </w:t>
      </w:r>
      <w:r w:rsidR="00CC6EA9" w:rsidRPr="00AA0161">
        <w:t>HCH</w:t>
      </w:r>
      <w:r w:rsidR="00CC6EA9" w:rsidRPr="00AA0161">
        <w:rPr>
          <w:spacing w:val="-7"/>
        </w:rPr>
        <w:t xml:space="preserve"> </w:t>
      </w:r>
      <w:r w:rsidR="00CC6EA9" w:rsidRPr="00AA0161">
        <w:t>model</w:t>
      </w:r>
      <w:r w:rsidR="00CC6EA9" w:rsidRPr="00AA0161">
        <w:rPr>
          <w:spacing w:val="-4"/>
        </w:rPr>
        <w:t xml:space="preserve"> </w:t>
      </w:r>
      <w:r w:rsidR="00CC6EA9" w:rsidRPr="00AA0161">
        <w:t>of</w:t>
      </w:r>
      <w:r w:rsidR="00CC6EA9" w:rsidRPr="00AA0161">
        <w:rPr>
          <w:spacing w:val="-7"/>
        </w:rPr>
        <w:t xml:space="preserve"> </w:t>
      </w:r>
      <w:r w:rsidR="00CC6EA9" w:rsidRPr="00AA0161">
        <w:t>care.</w:t>
      </w:r>
    </w:p>
    <w:p w14:paraId="0354389C" w14:textId="01715D1C" w:rsidR="00CC6EA9" w:rsidRDefault="00CC6EA9" w:rsidP="001C19F3">
      <w:pPr>
        <w:pStyle w:val="ListParagraph"/>
        <w:numPr>
          <w:ilvl w:val="0"/>
          <w:numId w:val="8"/>
        </w:numPr>
        <w:ind w:left="714" w:hanging="357"/>
        <w:contextualSpacing w:val="0"/>
      </w:pPr>
      <w:r w:rsidRPr="006E7937">
        <w:rPr>
          <w:b/>
        </w:rPr>
        <w:t>Strengthening</w:t>
      </w:r>
      <w:r w:rsidRPr="006E7937">
        <w:rPr>
          <w:b/>
          <w:spacing w:val="-9"/>
        </w:rPr>
        <w:t xml:space="preserve"> </w:t>
      </w:r>
      <w:r w:rsidRPr="006E7937">
        <w:rPr>
          <w:b/>
        </w:rPr>
        <w:t>infrastructure/</w:t>
      </w:r>
      <w:r w:rsidRPr="006E7937">
        <w:rPr>
          <w:b/>
          <w:spacing w:val="-7"/>
        </w:rPr>
        <w:t xml:space="preserve"> </w:t>
      </w:r>
      <w:r w:rsidRPr="006E7937">
        <w:rPr>
          <w:b/>
        </w:rPr>
        <w:t>supports</w:t>
      </w:r>
      <w:r w:rsidRPr="006E7937">
        <w:rPr>
          <w:b/>
          <w:spacing w:val="-9"/>
        </w:rPr>
        <w:t xml:space="preserve"> </w:t>
      </w:r>
      <w:r w:rsidRPr="006E7937">
        <w:rPr>
          <w:b/>
        </w:rPr>
        <w:t>provided</w:t>
      </w:r>
      <w:r w:rsidR="006E7937">
        <w:rPr>
          <w:b/>
        </w:rPr>
        <w:t xml:space="preserve"> to practices</w:t>
      </w:r>
      <w:r w:rsidRPr="00556643">
        <w:rPr>
          <w:spacing w:val="-8"/>
        </w:rPr>
        <w:t xml:space="preserve"> </w:t>
      </w:r>
      <w:r w:rsidRPr="00556643">
        <w:rPr>
          <w:spacing w:val="1"/>
        </w:rPr>
        <w:t>by</w:t>
      </w:r>
      <w:r w:rsidRPr="00556643">
        <w:rPr>
          <w:spacing w:val="-9"/>
        </w:rPr>
        <w:t xml:space="preserve"> </w:t>
      </w:r>
      <w:r>
        <w:t>PHNs</w:t>
      </w:r>
      <w:r w:rsidRPr="00556643">
        <w:rPr>
          <w:spacing w:val="-9"/>
        </w:rPr>
        <w:t xml:space="preserve"> </w:t>
      </w:r>
      <w:r>
        <w:t>and</w:t>
      </w:r>
      <w:r w:rsidRPr="00556643">
        <w:rPr>
          <w:spacing w:val="-9"/>
        </w:rPr>
        <w:t xml:space="preserve"> </w:t>
      </w:r>
      <w:r>
        <w:t>state</w:t>
      </w:r>
      <w:r w:rsidRPr="00556643">
        <w:rPr>
          <w:spacing w:val="-8"/>
        </w:rPr>
        <w:t xml:space="preserve"> </w:t>
      </w:r>
      <w:r>
        <w:t>and</w:t>
      </w:r>
      <w:r w:rsidRPr="00556643">
        <w:rPr>
          <w:spacing w:val="-9"/>
        </w:rPr>
        <w:t xml:space="preserve"> </w:t>
      </w:r>
      <w:r w:rsidRPr="00CC6EA9">
        <w:t>territory</w:t>
      </w:r>
      <w:r w:rsidRPr="00556643">
        <w:rPr>
          <w:spacing w:val="-10"/>
        </w:rPr>
        <w:t xml:space="preserve"> </w:t>
      </w:r>
      <w:r>
        <w:t>health</w:t>
      </w:r>
      <w:r w:rsidRPr="00556643">
        <w:rPr>
          <w:spacing w:val="60"/>
          <w:w w:val="99"/>
        </w:rPr>
        <w:t xml:space="preserve"> </w:t>
      </w:r>
      <w:r w:rsidRPr="00CC6EA9">
        <w:t>authorities</w:t>
      </w:r>
      <w:r w:rsidRPr="00556643">
        <w:rPr>
          <w:spacing w:val="-11"/>
        </w:rPr>
        <w:t xml:space="preserve"> </w:t>
      </w:r>
      <w:r w:rsidRPr="00CC6EA9">
        <w:t>(e.g.</w:t>
      </w:r>
      <w:r w:rsidRPr="00556643">
        <w:rPr>
          <w:spacing w:val="-11"/>
        </w:rPr>
        <w:t xml:space="preserve"> </w:t>
      </w:r>
      <w:r>
        <w:t>PHN</w:t>
      </w:r>
      <w:r w:rsidRPr="00556643">
        <w:rPr>
          <w:spacing w:val="-11"/>
        </w:rPr>
        <w:t xml:space="preserve"> </w:t>
      </w:r>
      <w:r>
        <w:t>data</w:t>
      </w:r>
      <w:r w:rsidRPr="00556643">
        <w:rPr>
          <w:spacing w:val="-10"/>
        </w:rPr>
        <w:t xml:space="preserve"> </w:t>
      </w:r>
      <w:r w:rsidRPr="00CC6EA9">
        <w:t>sharing</w:t>
      </w:r>
      <w:r w:rsidRPr="00556643">
        <w:rPr>
          <w:spacing w:val="-10"/>
        </w:rPr>
        <w:t xml:space="preserve"> </w:t>
      </w:r>
      <w:r>
        <w:t>agreements</w:t>
      </w:r>
      <w:r w:rsidRPr="00556643">
        <w:rPr>
          <w:spacing w:val="-10"/>
        </w:rPr>
        <w:t xml:space="preserve"> </w:t>
      </w:r>
      <w:r w:rsidRPr="00CC6EA9">
        <w:t>with</w:t>
      </w:r>
      <w:r w:rsidRPr="00556643">
        <w:rPr>
          <w:spacing w:val="-10"/>
        </w:rPr>
        <w:t xml:space="preserve"> </w:t>
      </w:r>
      <w:r>
        <w:t>practices,</w:t>
      </w:r>
      <w:r w:rsidRPr="00556643">
        <w:rPr>
          <w:spacing w:val="-13"/>
        </w:rPr>
        <w:t xml:space="preserve"> </w:t>
      </w:r>
      <w:r>
        <w:t>PCMH-readiness</w:t>
      </w:r>
      <w:r w:rsidRPr="00556643">
        <w:rPr>
          <w:spacing w:val="-11"/>
        </w:rPr>
        <w:t xml:space="preserve"> </w:t>
      </w:r>
      <w:r>
        <w:t>programs,</w:t>
      </w:r>
      <w:r w:rsidRPr="00556643">
        <w:rPr>
          <w:spacing w:val="84"/>
          <w:w w:val="99"/>
        </w:rPr>
        <w:t xml:space="preserve"> </w:t>
      </w:r>
      <w:r w:rsidRPr="00CC6EA9">
        <w:t>communities</w:t>
      </w:r>
      <w:r w:rsidRPr="00556643">
        <w:rPr>
          <w:spacing w:val="-8"/>
        </w:rPr>
        <w:t xml:space="preserve"> </w:t>
      </w:r>
      <w:r w:rsidRPr="00CC6EA9">
        <w:t>of</w:t>
      </w:r>
      <w:r w:rsidRPr="00556643">
        <w:rPr>
          <w:spacing w:val="-8"/>
        </w:rPr>
        <w:t xml:space="preserve"> </w:t>
      </w:r>
      <w:r>
        <w:t>practice,</w:t>
      </w:r>
      <w:r w:rsidRPr="00556643">
        <w:rPr>
          <w:spacing w:val="-7"/>
        </w:rPr>
        <w:t xml:space="preserve"> </w:t>
      </w:r>
      <w:r>
        <w:t>integrated</w:t>
      </w:r>
      <w:r w:rsidRPr="00556643">
        <w:rPr>
          <w:spacing w:val="-8"/>
        </w:rPr>
        <w:t xml:space="preserve"> </w:t>
      </w:r>
      <w:r>
        <w:t>care,</w:t>
      </w:r>
      <w:r w:rsidRPr="00556643">
        <w:rPr>
          <w:spacing w:val="-9"/>
        </w:rPr>
        <w:t xml:space="preserve"> </w:t>
      </w:r>
      <w:r>
        <w:t>and</w:t>
      </w:r>
      <w:r w:rsidRPr="00556643">
        <w:rPr>
          <w:spacing w:val="-8"/>
        </w:rPr>
        <w:t xml:space="preserve"> </w:t>
      </w:r>
      <w:r>
        <w:t>other</w:t>
      </w:r>
      <w:r w:rsidRPr="00556643">
        <w:rPr>
          <w:spacing w:val="-7"/>
        </w:rPr>
        <w:t xml:space="preserve"> </w:t>
      </w:r>
      <w:r w:rsidRPr="00CC6EA9">
        <w:t>initiatives</w:t>
      </w:r>
      <w:r w:rsidRPr="00556643">
        <w:rPr>
          <w:spacing w:val="-8"/>
        </w:rPr>
        <w:t xml:space="preserve"> </w:t>
      </w:r>
      <w:r w:rsidRPr="00CC6EA9">
        <w:t>that</w:t>
      </w:r>
      <w:r w:rsidRPr="00556643">
        <w:rPr>
          <w:spacing w:val="-6"/>
        </w:rPr>
        <w:t xml:space="preserve"> </w:t>
      </w:r>
      <w:r w:rsidRPr="00CC6EA9">
        <w:t>align</w:t>
      </w:r>
      <w:r w:rsidRPr="00556643">
        <w:rPr>
          <w:spacing w:val="-6"/>
        </w:rPr>
        <w:t xml:space="preserve"> </w:t>
      </w:r>
      <w:r>
        <w:t>with</w:t>
      </w:r>
      <w:r w:rsidRPr="00556643">
        <w:rPr>
          <w:spacing w:val="-9"/>
        </w:rPr>
        <w:t xml:space="preserve"> </w:t>
      </w:r>
      <w:r>
        <w:t>the</w:t>
      </w:r>
      <w:r w:rsidRPr="00556643">
        <w:rPr>
          <w:spacing w:val="61"/>
          <w:w w:val="99"/>
        </w:rPr>
        <w:t xml:space="preserve"> </w:t>
      </w:r>
      <w:r>
        <w:t>principles</w:t>
      </w:r>
      <w:r w:rsidRPr="00556643">
        <w:rPr>
          <w:spacing w:val="-8"/>
        </w:rPr>
        <w:t xml:space="preserve"> </w:t>
      </w:r>
      <w:r>
        <w:t>and</w:t>
      </w:r>
      <w:r w:rsidRPr="00556643">
        <w:rPr>
          <w:spacing w:val="-7"/>
        </w:rPr>
        <w:t xml:space="preserve"> </w:t>
      </w:r>
      <w:r w:rsidRPr="00CC6EA9">
        <w:t>goals</w:t>
      </w:r>
      <w:r w:rsidRPr="00556643">
        <w:rPr>
          <w:spacing w:val="-8"/>
        </w:rPr>
        <w:t xml:space="preserve"> </w:t>
      </w:r>
      <w:r w:rsidRPr="00CC6EA9">
        <w:t>of</w:t>
      </w:r>
      <w:r w:rsidRPr="00556643">
        <w:rPr>
          <w:spacing w:val="-7"/>
        </w:rPr>
        <w:t xml:space="preserve"> </w:t>
      </w:r>
      <w:r w:rsidRPr="00CC6EA9">
        <w:t>HCH).</w:t>
      </w:r>
    </w:p>
    <w:p w14:paraId="510C6E05" w14:textId="34392D4E" w:rsidR="00CC6EA9" w:rsidRPr="0075580C" w:rsidRDefault="00CC6EA9" w:rsidP="001C19F3">
      <w:pPr>
        <w:pStyle w:val="ListParagraph"/>
        <w:numPr>
          <w:ilvl w:val="0"/>
          <w:numId w:val="8"/>
        </w:numPr>
        <w:ind w:left="714" w:hanging="357"/>
        <w:contextualSpacing w:val="0"/>
      </w:pPr>
      <w:r w:rsidRPr="0075580C">
        <w:rPr>
          <w:b/>
        </w:rPr>
        <w:t>Infrastructure</w:t>
      </w:r>
      <w:r w:rsidRPr="0075580C">
        <w:rPr>
          <w:b/>
          <w:spacing w:val="-9"/>
        </w:rPr>
        <w:t xml:space="preserve"> </w:t>
      </w:r>
      <w:r w:rsidRPr="0075580C">
        <w:rPr>
          <w:b/>
        </w:rPr>
        <w:t>for</w:t>
      </w:r>
      <w:r w:rsidRPr="0075580C">
        <w:rPr>
          <w:b/>
          <w:spacing w:val="-8"/>
        </w:rPr>
        <w:t xml:space="preserve"> </w:t>
      </w:r>
      <w:r w:rsidRPr="0075580C">
        <w:rPr>
          <w:b/>
        </w:rPr>
        <w:t>evaluating</w:t>
      </w:r>
      <w:r w:rsidRPr="0075580C">
        <w:rPr>
          <w:spacing w:val="-8"/>
        </w:rPr>
        <w:t xml:space="preserve"> </w:t>
      </w:r>
      <w:r w:rsidRPr="0075580C">
        <w:t>the</w:t>
      </w:r>
      <w:r w:rsidRPr="0075580C">
        <w:rPr>
          <w:spacing w:val="-8"/>
        </w:rPr>
        <w:t xml:space="preserve"> </w:t>
      </w:r>
      <w:r w:rsidRPr="0075580C">
        <w:t>current</w:t>
      </w:r>
      <w:r w:rsidRPr="0075580C">
        <w:rPr>
          <w:spacing w:val="-6"/>
        </w:rPr>
        <w:t xml:space="preserve"> </w:t>
      </w:r>
      <w:r w:rsidRPr="0075580C">
        <w:t>trial</w:t>
      </w:r>
      <w:r w:rsidRPr="0075580C">
        <w:rPr>
          <w:spacing w:val="-9"/>
        </w:rPr>
        <w:t xml:space="preserve"> </w:t>
      </w:r>
      <w:r w:rsidR="0075580C" w:rsidRPr="0075580C">
        <w:rPr>
          <w:spacing w:val="-9"/>
        </w:rPr>
        <w:t>has been established</w:t>
      </w:r>
      <w:r w:rsidR="0075580C">
        <w:rPr>
          <w:spacing w:val="-9"/>
        </w:rPr>
        <w:t xml:space="preserve"> and is yielding qualitative and quantitative data required to understand how HCH has been implement and its effects. The infrastructure included</w:t>
      </w:r>
      <w:r w:rsidR="0075580C">
        <w:t xml:space="preserve"> </w:t>
      </w:r>
      <w:r w:rsidRPr="0075580C">
        <w:t>system</w:t>
      </w:r>
      <w:r w:rsidR="0075580C" w:rsidRPr="0075580C">
        <w:t>s</w:t>
      </w:r>
      <w:r w:rsidRPr="0075580C">
        <w:rPr>
          <w:spacing w:val="-8"/>
        </w:rPr>
        <w:t xml:space="preserve"> </w:t>
      </w:r>
      <w:r w:rsidRPr="0075580C">
        <w:t>for</w:t>
      </w:r>
      <w:r w:rsidRPr="0075580C">
        <w:rPr>
          <w:spacing w:val="-8"/>
        </w:rPr>
        <w:t xml:space="preserve"> </w:t>
      </w:r>
      <w:r w:rsidRPr="0075580C">
        <w:t>obtaining</w:t>
      </w:r>
      <w:r w:rsidRPr="0075580C">
        <w:rPr>
          <w:spacing w:val="-2"/>
        </w:rPr>
        <w:t xml:space="preserve"> </w:t>
      </w:r>
      <w:r w:rsidRPr="0075580C">
        <w:t>extracts</w:t>
      </w:r>
      <w:r w:rsidRPr="0075580C">
        <w:rPr>
          <w:spacing w:val="-8"/>
        </w:rPr>
        <w:t xml:space="preserve"> </w:t>
      </w:r>
      <w:r w:rsidRPr="0075580C">
        <w:t>from</w:t>
      </w:r>
      <w:r w:rsidRPr="0075580C">
        <w:rPr>
          <w:spacing w:val="-8"/>
        </w:rPr>
        <w:t xml:space="preserve"> </w:t>
      </w:r>
      <w:r w:rsidRPr="0075580C">
        <w:t>practice</w:t>
      </w:r>
      <w:r w:rsidRPr="0075580C">
        <w:rPr>
          <w:spacing w:val="-7"/>
        </w:rPr>
        <w:t xml:space="preserve"> </w:t>
      </w:r>
      <w:r w:rsidRPr="0075580C">
        <w:t>management</w:t>
      </w:r>
      <w:r w:rsidRPr="0075580C">
        <w:rPr>
          <w:spacing w:val="-7"/>
        </w:rPr>
        <w:t xml:space="preserve"> </w:t>
      </w:r>
      <w:r w:rsidRPr="0075580C">
        <w:t>systems,</w:t>
      </w:r>
      <w:r w:rsidRPr="0075580C">
        <w:rPr>
          <w:spacing w:val="-10"/>
        </w:rPr>
        <w:t xml:space="preserve"> </w:t>
      </w:r>
      <w:r w:rsidRPr="0075580C">
        <w:t>data</w:t>
      </w:r>
      <w:r w:rsidRPr="0075580C">
        <w:rPr>
          <w:spacing w:val="-7"/>
        </w:rPr>
        <w:t xml:space="preserve"> </w:t>
      </w:r>
      <w:r w:rsidRPr="0075580C">
        <w:t>linkage,</w:t>
      </w:r>
      <w:r w:rsidRPr="0075580C">
        <w:rPr>
          <w:spacing w:val="-10"/>
        </w:rPr>
        <w:t xml:space="preserve"> </w:t>
      </w:r>
      <w:r w:rsidRPr="0075580C">
        <w:t>and</w:t>
      </w:r>
      <w:r w:rsidRPr="0075580C">
        <w:rPr>
          <w:spacing w:val="-9"/>
        </w:rPr>
        <w:t xml:space="preserve"> </w:t>
      </w:r>
      <w:r w:rsidRPr="0075580C">
        <w:t>survey</w:t>
      </w:r>
      <w:r w:rsidRPr="0075580C">
        <w:rPr>
          <w:spacing w:val="-9"/>
        </w:rPr>
        <w:t xml:space="preserve"> </w:t>
      </w:r>
      <w:r w:rsidRPr="0075580C">
        <w:t>tools.</w:t>
      </w:r>
      <w:r w:rsidRPr="0075580C">
        <w:rPr>
          <w:spacing w:val="-8"/>
        </w:rPr>
        <w:t xml:space="preserve"> </w:t>
      </w:r>
      <w:r w:rsidRPr="0075580C">
        <w:t>The</w:t>
      </w:r>
      <w:r w:rsidRPr="0075580C">
        <w:rPr>
          <w:spacing w:val="-8"/>
        </w:rPr>
        <w:t xml:space="preserve"> </w:t>
      </w:r>
      <w:r w:rsidRPr="0075580C">
        <w:t>data</w:t>
      </w:r>
      <w:r w:rsidRPr="0075580C">
        <w:rPr>
          <w:spacing w:val="-8"/>
        </w:rPr>
        <w:t xml:space="preserve"> </w:t>
      </w:r>
      <w:r w:rsidRPr="0075580C">
        <w:t>collected</w:t>
      </w:r>
      <w:r w:rsidRPr="0075580C">
        <w:rPr>
          <w:spacing w:val="-8"/>
        </w:rPr>
        <w:t xml:space="preserve"> </w:t>
      </w:r>
      <w:r w:rsidRPr="0075580C">
        <w:t>for</w:t>
      </w:r>
      <w:r w:rsidRPr="0075580C">
        <w:rPr>
          <w:spacing w:val="-7"/>
        </w:rPr>
        <w:t xml:space="preserve"> </w:t>
      </w:r>
      <w:r w:rsidRPr="0075580C">
        <w:t>the</w:t>
      </w:r>
      <w:r w:rsidRPr="0075580C">
        <w:rPr>
          <w:spacing w:val="-6"/>
        </w:rPr>
        <w:t xml:space="preserve"> </w:t>
      </w:r>
      <w:r w:rsidRPr="0075580C">
        <w:t>evaluation</w:t>
      </w:r>
      <w:r w:rsidRPr="0075580C">
        <w:rPr>
          <w:spacing w:val="-6"/>
        </w:rPr>
        <w:t xml:space="preserve"> </w:t>
      </w:r>
      <w:r w:rsidR="0075580C" w:rsidRPr="0075580C">
        <w:rPr>
          <w:spacing w:val="-6"/>
        </w:rPr>
        <w:t xml:space="preserve">will </w:t>
      </w:r>
      <w:r w:rsidRPr="0075580C">
        <w:t>inform</w:t>
      </w:r>
      <w:r w:rsidRPr="0075580C">
        <w:rPr>
          <w:spacing w:val="-6"/>
        </w:rPr>
        <w:t xml:space="preserve"> </w:t>
      </w:r>
      <w:r w:rsidR="0075580C" w:rsidRPr="0075580C">
        <w:rPr>
          <w:spacing w:val="-6"/>
        </w:rPr>
        <w:t xml:space="preserve">work on developing an </w:t>
      </w:r>
      <w:r w:rsidRPr="0075580C">
        <w:t>ongoing</w:t>
      </w:r>
      <w:r w:rsidRPr="0075580C">
        <w:rPr>
          <w:spacing w:val="-7"/>
        </w:rPr>
        <w:t xml:space="preserve"> </w:t>
      </w:r>
      <w:r w:rsidRPr="0075580C">
        <w:t>minimum</w:t>
      </w:r>
      <w:r w:rsidRPr="0075580C">
        <w:rPr>
          <w:spacing w:val="-6"/>
        </w:rPr>
        <w:t xml:space="preserve"> </w:t>
      </w:r>
      <w:r w:rsidRPr="0075580C">
        <w:t>data</w:t>
      </w:r>
      <w:r w:rsidRPr="0075580C">
        <w:rPr>
          <w:spacing w:val="-6"/>
        </w:rPr>
        <w:t xml:space="preserve"> </w:t>
      </w:r>
      <w:r w:rsidRPr="0075580C">
        <w:t>set</w:t>
      </w:r>
      <w:r w:rsidRPr="0075580C">
        <w:rPr>
          <w:spacing w:val="-4"/>
        </w:rPr>
        <w:t xml:space="preserve"> </w:t>
      </w:r>
      <w:r w:rsidRPr="0075580C">
        <w:t>for</w:t>
      </w:r>
      <w:r w:rsidRPr="0075580C">
        <w:rPr>
          <w:spacing w:val="-7"/>
        </w:rPr>
        <w:t xml:space="preserve"> </w:t>
      </w:r>
      <w:r w:rsidRPr="0075580C">
        <w:t>primary</w:t>
      </w:r>
      <w:r w:rsidR="0075580C" w:rsidRPr="0075580C">
        <w:t xml:space="preserve"> </w:t>
      </w:r>
      <w:r w:rsidRPr="0075580C">
        <w:t>care</w:t>
      </w:r>
      <w:r w:rsidR="0075580C" w:rsidRPr="0075580C">
        <w:t xml:space="preserve"> in Australia</w:t>
      </w:r>
      <w:r w:rsidRPr="0075580C">
        <w:t>.</w:t>
      </w:r>
    </w:p>
    <w:p w14:paraId="24456E43" w14:textId="0DBB4CC5" w:rsidR="00CC6EA9" w:rsidRDefault="0075580C" w:rsidP="001C19F3">
      <w:pPr>
        <w:pStyle w:val="ListParagraph"/>
        <w:numPr>
          <w:ilvl w:val="0"/>
          <w:numId w:val="8"/>
        </w:numPr>
        <w:ind w:left="714" w:hanging="357"/>
        <w:contextualSpacing w:val="0"/>
      </w:pPr>
      <w:r w:rsidRPr="0075580C">
        <w:t xml:space="preserve">An </w:t>
      </w:r>
      <w:r w:rsidRPr="0075580C">
        <w:rPr>
          <w:b/>
        </w:rPr>
        <w:t>initial profile of HCH patients</w:t>
      </w:r>
      <w:r>
        <w:t xml:space="preserve"> </w:t>
      </w:r>
      <w:r w:rsidRPr="0075580C">
        <w:t xml:space="preserve">has been developed that provides insight into their health and health conditions, what they </w:t>
      </w:r>
      <w:r w:rsidR="006E7937" w:rsidRPr="0075580C">
        <w:t xml:space="preserve">value and where there may be room </w:t>
      </w:r>
      <w:r w:rsidR="005644B2">
        <w:t>for</w:t>
      </w:r>
      <w:r w:rsidR="006E7937" w:rsidRPr="0075580C">
        <w:t xml:space="preserve"> improvement</w:t>
      </w:r>
      <w:r w:rsidR="00CC6EA9">
        <w:t>.</w:t>
      </w:r>
    </w:p>
    <w:p w14:paraId="0C9EC971" w14:textId="77777777" w:rsidR="00FE0EFE" w:rsidRDefault="00FE0EFE" w:rsidP="00FE0EFE">
      <w:pPr>
        <w:rPr>
          <w:rFonts w:eastAsiaTheme="majorEastAsia" w:cstheme="majorBidi"/>
          <w:color w:val="003D79"/>
          <w:sz w:val="60"/>
          <w:szCs w:val="32"/>
        </w:rPr>
      </w:pPr>
      <w:r>
        <w:br w:type="page"/>
      </w:r>
    </w:p>
    <w:p w14:paraId="53E16661" w14:textId="58D2088C" w:rsidR="00E919B7" w:rsidRDefault="00E919B7" w:rsidP="00E919B7">
      <w:pPr>
        <w:pStyle w:val="Heading1nonumber"/>
      </w:pPr>
      <w:bookmarkStart w:id="68" w:name="_Toc32585834"/>
      <w:r>
        <w:lastRenderedPageBreak/>
        <w:t>Conclusion</w:t>
      </w:r>
      <w:bookmarkEnd w:id="68"/>
    </w:p>
    <w:p w14:paraId="419DC9DE" w14:textId="55DA3CDF" w:rsidR="00E919B7" w:rsidRPr="00CC6EA9" w:rsidRDefault="00E919B7" w:rsidP="005532B3">
      <w:pPr>
        <w:rPr>
          <w:lang w:eastAsia="en-AU"/>
        </w:rPr>
        <w:sectPr w:rsidR="00E919B7" w:rsidRPr="00CC6EA9" w:rsidSect="001C5D9E">
          <w:footerReference w:type="default" r:id="rId22"/>
          <w:headerReference w:type="first" r:id="rId23"/>
          <w:pgSz w:w="11906" w:h="16838"/>
          <w:pgMar w:top="1440" w:right="1440" w:bottom="1440" w:left="1440" w:header="708" w:footer="708" w:gutter="0"/>
          <w:cols w:space="708"/>
          <w:titlePg/>
          <w:docGrid w:linePitch="360"/>
        </w:sectPr>
      </w:pPr>
      <w:r w:rsidRPr="00CE06C8">
        <w:rPr>
          <w:lang w:eastAsia="en-AU"/>
        </w:rPr>
        <w:t>Overall, it has been important for Australia to trial HCH. The implementation of the program has identified many areas that need greater attention in a wider rollout. It has also shown that HCH could not have been mandated</w:t>
      </w:r>
      <w:r w:rsidR="00B03C3A">
        <w:rPr>
          <w:lang w:eastAsia="en-AU"/>
        </w:rPr>
        <w:t xml:space="preserve"> –</w:t>
      </w:r>
      <w:r w:rsidRPr="00CE06C8">
        <w:rPr>
          <w:lang w:eastAsia="en-AU"/>
        </w:rPr>
        <w:t xml:space="preserve"> not as a concept and definitely not as a </w:t>
      </w:r>
      <w:r w:rsidR="005644B2" w:rsidRPr="00CE06C8">
        <w:rPr>
          <w:lang w:eastAsia="en-AU"/>
        </w:rPr>
        <w:t>formula for</w:t>
      </w:r>
      <w:r w:rsidRPr="00CE06C8">
        <w:rPr>
          <w:lang w:eastAsia="en-AU"/>
        </w:rPr>
        <w:t xml:space="preserve"> how practices should do it; practices have needed to experience it for themselves or learn from others. So far it is acceptable and resulting in positive experiences for practices that have persevered</w:t>
      </w:r>
      <w:r w:rsidR="005644B2" w:rsidRPr="00CE06C8">
        <w:rPr>
          <w:lang w:eastAsia="en-AU"/>
        </w:rPr>
        <w:t xml:space="preserve"> </w:t>
      </w:r>
      <w:r w:rsidRPr="00CE06C8">
        <w:rPr>
          <w:lang w:eastAsia="en-AU"/>
        </w:rPr>
        <w:t>and for their patients.</w:t>
      </w:r>
    </w:p>
    <w:p w14:paraId="5D562D3A" w14:textId="77777777" w:rsidR="00AE2695" w:rsidRDefault="00AE2695" w:rsidP="0059743A">
      <w:pPr>
        <w:pStyle w:val="Heading1nonumber"/>
      </w:pPr>
      <w:bookmarkStart w:id="69" w:name="_Toc32585835"/>
      <w:r>
        <w:lastRenderedPageBreak/>
        <w:t>References</w:t>
      </w:r>
      <w:bookmarkEnd w:id="69"/>
    </w:p>
    <w:p w14:paraId="16B2B7D6" w14:textId="77777777" w:rsidR="001C19F3" w:rsidRPr="001C19F3" w:rsidRDefault="001C19F3" w:rsidP="001C19F3">
      <w:pPr>
        <w:spacing w:after="120"/>
        <w:ind w:left="284" w:hanging="284"/>
        <w:rPr>
          <w:noProof/>
          <w:lang w:val="en-US"/>
        </w:rPr>
      </w:pPr>
      <w:r w:rsidRPr="001C19F3">
        <w:rPr>
          <w:noProof/>
          <w:lang w:val="en-US"/>
        </w:rPr>
        <w:t>Berwick, D.M., Nolan, T.W., Whittington, J., 2008. The triple aim: care, health, and cost. Health Aff (Millwood) 27:759-69.</w:t>
      </w:r>
    </w:p>
    <w:p w14:paraId="61434FA7" w14:textId="77777777" w:rsidR="001C19F3" w:rsidRPr="001C19F3" w:rsidRDefault="001C19F3" w:rsidP="001C19F3">
      <w:pPr>
        <w:spacing w:after="120"/>
        <w:ind w:left="284" w:hanging="284"/>
        <w:rPr>
          <w:noProof/>
          <w:lang w:val="en-US"/>
        </w:rPr>
      </w:pPr>
      <w:r w:rsidRPr="001C19F3">
        <w:rPr>
          <w:noProof/>
          <w:lang w:val="en-US"/>
        </w:rPr>
        <w:t>Bodenheimer, T., Sinsky, C., 2014. From triple to quadruple aim: care of the patient requires care of the provider. Ann Fam Med 12:573-6.</w:t>
      </w:r>
    </w:p>
    <w:p w14:paraId="6E539B5F" w14:textId="77777777" w:rsidR="001C19F3" w:rsidRPr="001C19F3" w:rsidRDefault="001C19F3" w:rsidP="001C19F3">
      <w:pPr>
        <w:spacing w:after="120"/>
        <w:ind w:left="284" w:hanging="284"/>
        <w:rPr>
          <w:noProof/>
          <w:lang w:val="en-US"/>
        </w:rPr>
      </w:pPr>
      <w:r w:rsidRPr="001C19F3">
        <w:rPr>
          <w:noProof/>
          <w:lang w:val="en-US"/>
        </w:rPr>
        <w:t>Greenhalgh, T., 2018. How to implement evidence-based healthcare. Wiley Blakwell, Chichester.</w:t>
      </w:r>
    </w:p>
    <w:p w14:paraId="187C8652" w14:textId="77777777" w:rsidR="001C19F3" w:rsidRPr="001C19F3" w:rsidRDefault="001C19F3" w:rsidP="001C19F3">
      <w:pPr>
        <w:spacing w:after="120"/>
        <w:ind w:left="284" w:hanging="284"/>
        <w:rPr>
          <w:noProof/>
          <w:lang w:val="en-US"/>
        </w:rPr>
      </w:pPr>
      <w:r w:rsidRPr="001C19F3">
        <w:rPr>
          <w:noProof/>
          <w:lang w:val="en-US"/>
        </w:rPr>
        <w:t>Greenhalgh, T., Robert, G., Bate, P., Kyriakidou, O., Macfarlane, F., 2006. Diffussion of Innovations in Health Service Organisations: A systematic Literature Review. Blackwell, Oxford.</w:t>
      </w:r>
    </w:p>
    <w:p w14:paraId="7C39C689" w14:textId="77777777" w:rsidR="001C19F3" w:rsidRPr="001C19F3" w:rsidRDefault="001C19F3" w:rsidP="001C19F3">
      <w:pPr>
        <w:spacing w:after="120"/>
        <w:ind w:left="284" w:hanging="284"/>
        <w:rPr>
          <w:noProof/>
          <w:lang w:val="en-US"/>
        </w:rPr>
      </w:pPr>
      <w:r w:rsidRPr="001C19F3">
        <w:rPr>
          <w:noProof/>
          <w:lang w:val="en-US"/>
        </w:rPr>
        <w:t>Health Policy Analysis, 2019. Evaluation of the Health Care Homes program – Evaluation plan (Updated 2019). Department of Health, Canberra.</w:t>
      </w:r>
    </w:p>
    <w:p w14:paraId="4F82724D" w14:textId="77777777" w:rsidR="001C19F3" w:rsidRPr="001C19F3" w:rsidRDefault="001C19F3" w:rsidP="001C19F3">
      <w:pPr>
        <w:spacing w:after="120"/>
        <w:ind w:left="284" w:hanging="284"/>
        <w:rPr>
          <w:noProof/>
          <w:lang w:val="en-US"/>
        </w:rPr>
      </w:pPr>
      <w:r w:rsidRPr="001C19F3">
        <w:rPr>
          <w:noProof/>
          <w:lang w:val="en-US"/>
        </w:rPr>
        <w:t>Janamian, T., Jackson, C.L., Glasson, N., Nicholson, C., 2014. A systematic review of the challenges to implementation of the patient-centred medical home: lessons for Australia. Med J Aust 201:S69-73.</w:t>
      </w:r>
    </w:p>
    <w:p w14:paraId="5A67C99D" w14:textId="77777777" w:rsidR="001C19F3" w:rsidRPr="001C19F3" w:rsidRDefault="001C19F3" w:rsidP="001C19F3">
      <w:pPr>
        <w:spacing w:after="120"/>
        <w:ind w:left="284" w:hanging="284"/>
        <w:rPr>
          <w:noProof/>
          <w:lang w:val="en-US"/>
        </w:rPr>
      </w:pPr>
      <w:r w:rsidRPr="001C19F3">
        <w:rPr>
          <w:noProof/>
          <w:lang w:val="en-US"/>
        </w:rPr>
        <w:t>Pearse, J., Mazevska, D., 2018. The Patient Centered Medical Home: barriers and enablers: an Evidence Check rapid review brokered by the Sax Institute for COORDINARE. Sax Institute, Sydney.</w:t>
      </w:r>
    </w:p>
    <w:p w14:paraId="5AAE7D7A" w14:textId="77777777" w:rsidR="001C19F3" w:rsidRPr="001C19F3" w:rsidRDefault="001C19F3" w:rsidP="001C19F3">
      <w:pPr>
        <w:spacing w:after="120"/>
        <w:ind w:left="284" w:hanging="284"/>
        <w:rPr>
          <w:noProof/>
          <w:lang w:val="en-US"/>
        </w:rPr>
      </w:pPr>
      <w:r w:rsidRPr="001C19F3">
        <w:rPr>
          <w:noProof/>
          <w:lang w:val="en-US"/>
        </w:rPr>
        <w:t>Primary Health Care Advisory Group, 2015. Better Outcomes for People with Chronic and Complex Health Conditions: Final Report. Department of Health.</w:t>
      </w:r>
    </w:p>
    <w:p w14:paraId="73108B4E" w14:textId="3AF516EE" w:rsidR="001C19F3" w:rsidRDefault="001C19F3" w:rsidP="001C19F3">
      <w:pPr>
        <w:spacing w:after="120"/>
        <w:ind w:left="284" w:hanging="284"/>
        <w:rPr>
          <w:noProof/>
          <w:lang w:val="en-US"/>
        </w:rPr>
      </w:pPr>
      <w:r w:rsidRPr="001C19F3">
        <w:rPr>
          <w:noProof/>
          <w:lang w:val="en-US"/>
        </w:rPr>
        <w:t>Robert, G., Greenhalgh, T., MacFarlane, F., Peacock, R., 2010. Adopting and assimilating new non-pharmaceutical technologies into health care: a systematic review. J Health Serv Res Policy 15:243-50.</w:t>
      </w:r>
    </w:p>
    <w:p w14:paraId="542425ED" w14:textId="77777777" w:rsidR="001C19F3" w:rsidRDefault="001C19F3" w:rsidP="001C19F3">
      <w:pPr>
        <w:spacing w:after="120"/>
        <w:ind w:left="284" w:hanging="284"/>
        <w:rPr>
          <w:noProof/>
          <w:lang w:val="en-US"/>
        </w:rPr>
        <w:sectPr w:rsidR="001C19F3" w:rsidSect="00375ECE">
          <w:headerReference w:type="even" r:id="rId24"/>
          <w:headerReference w:type="default" r:id="rId25"/>
          <w:headerReference w:type="first" r:id="rId26"/>
          <w:footerReference w:type="first" r:id="rId27"/>
          <w:pgSz w:w="11906" w:h="16838"/>
          <w:pgMar w:top="1440" w:right="1440" w:bottom="1440" w:left="1440" w:header="708" w:footer="708" w:gutter="0"/>
          <w:cols w:space="708"/>
          <w:titlePg/>
          <w:docGrid w:linePitch="360"/>
        </w:sectPr>
      </w:pPr>
    </w:p>
    <w:p w14:paraId="08E88660" w14:textId="77777777" w:rsidR="001C19F3" w:rsidRDefault="001C19F3" w:rsidP="001C19F3">
      <w:pPr>
        <w:spacing w:after="120"/>
        <w:jc w:val="right"/>
        <w:rPr>
          <w:rFonts w:ascii="Gill Sans MT" w:hAnsi="Gill Sans MT"/>
          <w:b/>
          <w:bCs/>
          <w:sz w:val="40"/>
          <w:szCs w:val="40"/>
        </w:rPr>
      </w:pPr>
    </w:p>
    <w:p w14:paraId="5B77CD1E" w14:textId="77777777" w:rsidR="001C19F3" w:rsidRDefault="001C19F3" w:rsidP="001C19F3">
      <w:pPr>
        <w:spacing w:after="120"/>
        <w:jc w:val="right"/>
        <w:rPr>
          <w:rFonts w:ascii="Gill Sans MT" w:hAnsi="Gill Sans MT"/>
          <w:b/>
          <w:bCs/>
          <w:sz w:val="40"/>
          <w:szCs w:val="40"/>
        </w:rPr>
      </w:pPr>
    </w:p>
    <w:p w14:paraId="1E04D33D" w14:textId="77777777" w:rsidR="001C19F3" w:rsidRDefault="001C19F3" w:rsidP="001C19F3">
      <w:pPr>
        <w:spacing w:after="120"/>
        <w:jc w:val="right"/>
        <w:rPr>
          <w:rFonts w:ascii="Gill Sans MT" w:hAnsi="Gill Sans MT"/>
          <w:b/>
          <w:bCs/>
          <w:sz w:val="40"/>
          <w:szCs w:val="40"/>
        </w:rPr>
      </w:pPr>
    </w:p>
    <w:p w14:paraId="3A288EBF" w14:textId="77777777" w:rsidR="001C19F3" w:rsidRDefault="001C19F3" w:rsidP="001C19F3">
      <w:pPr>
        <w:spacing w:after="120"/>
        <w:jc w:val="right"/>
        <w:rPr>
          <w:rFonts w:ascii="Gill Sans MT" w:hAnsi="Gill Sans MT"/>
          <w:b/>
          <w:bCs/>
          <w:sz w:val="40"/>
          <w:szCs w:val="40"/>
        </w:rPr>
      </w:pPr>
    </w:p>
    <w:p w14:paraId="40F90915" w14:textId="77777777" w:rsidR="001C19F3" w:rsidRDefault="001C19F3" w:rsidP="001C19F3">
      <w:pPr>
        <w:spacing w:after="120"/>
        <w:jc w:val="right"/>
        <w:rPr>
          <w:rFonts w:ascii="Gill Sans MT" w:hAnsi="Gill Sans MT"/>
          <w:b/>
          <w:bCs/>
          <w:sz w:val="40"/>
          <w:szCs w:val="40"/>
        </w:rPr>
      </w:pPr>
    </w:p>
    <w:p w14:paraId="2CDE4059" w14:textId="77777777" w:rsidR="001C19F3" w:rsidRDefault="001C19F3" w:rsidP="001C19F3">
      <w:pPr>
        <w:spacing w:after="120"/>
        <w:jc w:val="right"/>
        <w:rPr>
          <w:rFonts w:ascii="Gill Sans MT" w:hAnsi="Gill Sans MT"/>
          <w:b/>
          <w:bCs/>
          <w:sz w:val="40"/>
          <w:szCs w:val="40"/>
        </w:rPr>
      </w:pPr>
    </w:p>
    <w:p w14:paraId="65576860" w14:textId="77777777" w:rsidR="001C19F3" w:rsidRDefault="001C19F3" w:rsidP="001C19F3">
      <w:pPr>
        <w:spacing w:after="120"/>
        <w:jc w:val="right"/>
        <w:rPr>
          <w:rFonts w:ascii="Gill Sans MT" w:hAnsi="Gill Sans MT"/>
          <w:b/>
          <w:bCs/>
          <w:sz w:val="40"/>
          <w:szCs w:val="40"/>
        </w:rPr>
      </w:pPr>
    </w:p>
    <w:p w14:paraId="654C271B" w14:textId="77777777" w:rsidR="001C19F3" w:rsidRDefault="001C19F3" w:rsidP="001C19F3">
      <w:pPr>
        <w:spacing w:after="120"/>
        <w:jc w:val="right"/>
        <w:rPr>
          <w:rFonts w:ascii="Gill Sans MT" w:hAnsi="Gill Sans MT"/>
          <w:b/>
          <w:bCs/>
          <w:sz w:val="40"/>
          <w:szCs w:val="40"/>
        </w:rPr>
      </w:pPr>
    </w:p>
    <w:p w14:paraId="358516CB" w14:textId="77777777" w:rsidR="001C19F3" w:rsidRDefault="001C19F3" w:rsidP="001C19F3">
      <w:pPr>
        <w:spacing w:after="120"/>
        <w:jc w:val="right"/>
        <w:rPr>
          <w:rFonts w:ascii="Gill Sans MT" w:hAnsi="Gill Sans MT"/>
          <w:b/>
          <w:bCs/>
          <w:sz w:val="40"/>
          <w:szCs w:val="40"/>
        </w:rPr>
      </w:pPr>
    </w:p>
    <w:p w14:paraId="4DC8375F" w14:textId="77777777" w:rsidR="001C19F3" w:rsidRDefault="001C19F3" w:rsidP="001C19F3">
      <w:pPr>
        <w:spacing w:after="120"/>
        <w:jc w:val="right"/>
        <w:rPr>
          <w:rFonts w:ascii="Gill Sans MT" w:hAnsi="Gill Sans MT"/>
          <w:b/>
          <w:bCs/>
          <w:sz w:val="40"/>
          <w:szCs w:val="40"/>
        </w:rPr>
      </w:pPr>
    </w:p>
    <w:p w14:paraId="1501183F" w14:textId="77777777" w:rsidR="001C19F3" w:rsidRDefault="001C19F3" w:rsidP="001C19F3">
      <w:pPr>
        <w:spacing w:after="120"/>
        <w:jc w:val="right"/>
        <w:rPr>
          <w:rFonts w:ascii="Gill Sans MT" w:hAnsi="Gill Sans MT"/>
          <w:b/>
          <w:bCs/>
          <w:sz w:val="40"/>
          <w:szCs w:val="40"/>
        </w:rPr>
      </w:pPr>
    </w:p>
    <w:p w14:paraId="660BEF78" w14:textId="77777777" w:rsidR="001C19F3" w:rsidRDefault="001C19F3" w:rsidP="001C19F3">
      <w:pPr>
        <w:spacing w:after="120"/>
        <w:jc w:val="right"/>
        <w:rPr>
          <w:rFonts w:ascii="Gill Sans MT" w:hAnsi="Gill Sans MT"/>
          <w:b/>
          <w:bCs/>
          <w:sz w:val="40"/>
          <w:szCs w:val="40"/>
        </w:rPr>
      </w:pPr>
    </w:p>
    <w:p w14:paraId="72EEAC7A" w14:textId="77777777" w:rsidR="001C19F3" w:rsidRPr="008D691C" w:rsidRDefault="001C19F3" w:rsidP="001C19F3">
      <w:pPr>
        <w:spacing w:after="120"/>
        <w:jc w:val="right"/>
        <w:rPr>
          <w:b/>
          <w:bCs/>
          <w:color w:val="1F497D"/>
          <w:sz w:val="50"/>
          <w:szCs w:val="50"/>
        </w:rPr>
      </w:pPr>
      <w:r>
        <w:rPr>
          <w:b/>
          <w:bCs/>
          <w:sz w:val="40"/>
          <w:szCs w:val="40"/>
        </w:rPr>
        <w:t>Australian Government Department of Health</w:t>
      </w:r>
    </w:p>
    <w:p w14:paraId="495BB503" w14:textId="77777777" w:rsidR="001C19F3" w:rsidRPr="008D691C" w:rsidRDefault="001C19F3" w:rsidP="001C19F3">
      <w:pPr>
        <w:spacing w:after="120"/>
        <w:jc w:val="right"/>
        <w:rPr>
          <w:rStyle w:val="Style3"/>
          <w:sz w:val="56"/>
          <w:szCs w:val="56"/>
        </w:rPr>
      </w:pPr>
      <w:r w:rsidRPr="00EB78D6">
        <w:rPr>
          <w:rStyle w:val="Style3"/>
          <w:rFonts w:eastAsia="Times New Roman"/>
          <w:i/>
          <w:color w:val="003D79"/>
          <w:sz w:val="56"/>
          <w:szCs w:val="56"/>
        </w:rPr>
        <w:t>Evaluation of the Health Care Homes program</w:t>
      </w:r>
    </w:p>
    <w:p w14:paraId="5E3C151F" w14:textId="77777777" w:rsidR="001C19F3" w:rsidRDefault="001C19F3" w:rsidP="001C19F3">
      <w:pPr>
        <w:spacing w:after="120"/>
        <w:jc w:val="right"/>
        <w:rPr>
          <w:rStyle w:val="ReportTitleTitlePageChar"/>
          <w:rFonts w:ascii="Century Gothic" w:hAnsi="Century Gothic"/>
        </w:rPr>
      </w:pPr>
      <w:r>
        <w:rPr>
          <w:rStyle w:val="ReportTitleTitlePageChar"/>
          <w:rFonts w:ascii="Century Gothic" w:hAnsi="Century Gothic"/>
        </w:rPr>
        <w:t>Interim evaluation report 2019</w:t>
      </w:r>
    </w:p>
    <w:p w14:paraId="420328B8" w14:textId="77777777" w:rsidR="001C19F3" w:rsidRPr="00E81E8D" w:rsidRDefault="001C19F3" w:rsidP="001C19F3">
      <w:pPr>
        <w:spacing w:after="120"/>
        <w:jc w:val="right"/>
        <w:rPr>
          <w:b/>
          <w:bCs/>
          <w:color w:val="808080"/>
          <w:sz w:val="28"/>
          <w:szCs w:val="28"/>
        </w:rPr>
        <w:sectPr w:rsidR="001C19F3" w:rsidRPr="00E81E8D">
          <w:headerReference w:type="even" r:id="rId28"/>
          <w:headerReference w:type="first" r:id="rId29"/>
          <w:pgSz w:w="11906" w:h="16838" w:code="9"/>
          <w:pgMar w:top="1440" w:right="1440" w:bottom="1440" w:left="1440" w:header="709" w:footer="709" w:gutter="0"/>
          <w:cols w:space="708"/>
          <w:titlePg/>
          <w:docGrid w:linePitch="360"/>
        </w:sectPr>
      </w:pPr>
      <w:r>
        <w:rPr>
          <w:rStyle w:val="ReportTitleTitlePageChar"/>
          <w:rFonts w:ascii="Century Gothic" w:hAnsi="Century Gothic"/>
          <w:sz w:val="28"/>
          <w:szCs w:val="28"/>
        </w:rPr>
        <w:t>Volume 2: Main report</w:t>
      </w:r>
    </w:p>
    <w:p w14:paraId="0E3DE83F" w14:textId="77777777" w:rsidR="001C19F3" w:rsidRPr="00966328" w:rsidRDefault="001C19F3" w:rsidP="001C19F3">
      <w:pPr>
        <w:rPr>
          <w:rFonts w:cs="Arial"/>
          <w:bCs/>
          <w:color w:val="003D79"/>
          <w:sz w:val="36"/>
          <w:szCs w:val="36"/>
        </w:rPr>
      </w:pPr>
      <w:r w:rsidRPr="00966328">
        <w:rPr>
          <w:rFonts w:cs="Arial"/>
          <w:bCs/>
          <w:color w:val="003D79"/>
          <w:sz w:val="36"/>
          <w:szCs w:val="36"/>
        </w:rPr>
        <w:lastRenderedPageBreak/>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1984"/>
        <w:gridCol w:w="6095"/>
      </w:tblGrid>
      <w:tr w:rsidR="001C19F3" w:rsidRPr="00025564" w14:paraId="3772B330" w14:textId="77777777" w:rsidTr="00521305">
        <w:trPr>
          <w:cantSplit/>
          <w:tblHeader/>
        </w:trPr>
        <w:tc>
          <w:tcPr>
            <w:tcW w:w="993" w:type="dxa"/>
            <w:shd w:val="clear" w:color="auto" w:fill="D9D9D9"/>
          </w:tcPr>
          <w:p w14:paraId="780384B6" w14:textId="77777777" w:rsidR="001C19F3" w:rsidRPr="00025564" w:rsidRDefault="001C19F3" w:rsidP="00521305">
            <w:pPr>
              <w:pStyle w:val="Table"/>
              <w:jc w:val="both"/>
              <w:rPr>
                <w:rFonts w:ascii="Century Gothic" w:hAnsi="Century Gothic"/>
                <w:b/>
                <w:szCs w:val="18"/>
              </w:rPr>
            </w:pPr>
            <w:r w:rsidRPr="00025564">
              <w:rPr>
                <w:rFonts w:ascii="Century Gothic" w:hAnsi="Century Gothic"/>
                <w:b/>
                <w:szCs w:val="18"/>
              </w:rPr>
              <w:t>Version</w:t>
            </w:r>
          </w:p>
        </w:tc>
        <w:tc>
          <w:tcPr>
            <w:tcW w:w="1984" w:type="dxa"/>
            <w:shd w:val="clear" w:color="auto" w:fill="D9D9D9"/>
          </w:tcPr>
          <w:p w14:paraId="3A07336D" w14:textId="77777777" w:rsidR="001C19F3" w:rsidRPr="00025564" w:rsidRDefault="001C19F3" w:rsidP="00521305">
            <w:pPr>
              <w:pStyle w:val="Table"/>
              <w:rPr>
                <w:rFonts w:ascii="Century Gothic" w:hAnsi="Century Gothic"/>
                <w:b/>
                <w:szCs w:val="18"/>
              </w:rPr>
            </w:pPr>
            <w:r w:rsidRPr="00025564">
              <w:rPr>
                <w:rFonts w:ascii="Century Gothic" w:hAnsi="Century Gothic"/>
                <w:b/>
                <w:szCs w:val="18"/>
              </w:rPr>
              <w:t>Date</w:t>
            </w:r>
          </w:p>
        </w:tc>
        <w:tc>
          <w:tcPr>
            <w:tcW w:w="6095" w:type="dxa"/>
            <w:shd w:val="clear" w:color="auto" w:fill="D9D9D9"/>
          </w:tcPr>
          <w:p w14:paraId="414CB96F" w14:textId="77777777" w:rsidR="001C19F3" w:rsidRPr="00025564" w:rsidRDefault="001C19F3" w:rsidP="00521305">
            <w:pPr>
              <w:pStyle w:val="Table"/>
              <w:rPr>
                <w:rFonts w:ascii="Century Gothic" w:hAnsi="Century Gothic"/>
                <w:b/>
                <w:szCs w:val="18"/>
              </w:rPr>
            </w:pPr>
            <w:r w:rsidRPr="00025564">
              <w:rPr>
                <w:rFonts w:ascii="Century Gothic" w:hAnsi="Century Gothic"/>
                <w:b/>
                <w:szCs w:val="18"/>
              </w:rPr>
              <w:t>Modification</w:t>
            </w:r>
          </w:p>
        </w:tc>
      </w:tr>
      <w:tr w:rsidR="001C19F3" w:rsidRPr="00025564" w14:paraId="67758EF3" w14:textId="77777777" w:rsidTr="00521305">
        <w:trPr>
          <w:cantSplit/>
          <w:trHeight w:val="70"/>
        </w:trPr>
        <w:tc>
          <w:tcPr>
            <w:tcW w:w="993" w:type="dxa"/>
          </w:tcPr>
          <w:p w14:paraId="46510670" w14:textId="77777777" w:rsidR="001C19F3" w:rsidRPr="00025564" w:rsidRDefault="001C19F3" w:rsidP="00521305">
            <w:pPr>
              <w:pStyle w:val="Table"/>
              <w:jc w:val="both"/>
              <w:rPr>
                <w:rFonts w:ascii="Century Gothic" w:hAnsi="Century Gothic"/>
                <w:szCs w:val="18"/>
              </w:rPr>
            </w:pPr>
            <w:r w:rsidRPr="00025564">
              <w:rPr>
                <w:rFonts w:ascii="Century Gothic" w:hAnsi="Century Gothic"/>
                <w:szCs w:val="18"/>
              </w:rPr>
              <w:t>0.1</w:t>
            </w:r>
          </w:p>
        </w:tc>
        <w:tc>
          <w:tcPr>
            <w:tcW w:w="1984" w:type="dxa"/>
          </w:tcPr>
          <w:p w14:paraId="2D70D3E6"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3 October 2019</w:t>
            </w:r>
          </w:p>
        </w:tc>
        <w:tc>
          <w:tcPr>
            <w:tcW w:w="6095" w:type="dxa"/>
          </w:tcPr>
          <w:p w14:paraId="5C7DF6E5" w14:textId="77777777" w:rsidR="001C19F3" w:rsidRPr="00025564" w:rsidRDefault="001C19F3" w:rsidP="00521305">
            <w:pPr>
              <w:pStyle w:val="Table"/>
              <w:rPr>
                <w:rFonts w:ascii="Century Gothic" w:hAnsi="Century Gothic"/>
                <w:szCs w:val="18"/>
              </w:rPr>
            </w:pPr>
            <w:r w:rsidRPr="00025564">
              <w:rPr>
                <w:rFonts w:ascii="Century Gothic" w:hAnsi="Century Gothic"/>
                <w:szCs w:val="18"/>
              </w:rPr>
              <w:t>Initial draft</w:t>
            </w:r>
            <w:r>
              <w:rPr>
                <w:rFonts w:ascii="Century Gothic" w:hAnsi="Century Gothic"/>
                <w:szCs w:val="18"/>
              </w:rPr>
              <w:t>.</w:t>
            </w:r>
          </w:p>
        </w:tc>
      </w:tr>
      <w:tr w:rsidR="001C19F3" w:rsidRPr="00025564" w14:paraId="520DDC61" w14:textId="77777777" w:rsidTr="00521305">
        <w:trPr>
          <w:cantSplit/>
          <w:trHeight w:val="70"/>
        </w:trPr>
        <w:tc>
          <w:tcPr>
            <w:tcW w:w="993" w:type="dxa"/>
          </w:tcPr>
          <w:p w14:paraId="23F9DF5D" w14:textId="77777777" w:rsidR="001C19F3" w:rsidRPr="00025564" w:rsidRDefault="001C19F3" w:rsidP="00521305">
            <w:pPr>
              <w:pStyle w:val="Table"/>
              <w:jc w:val="both"/>
              <w:rPr>
                <w:rFonts w:ascii="Century Gothic" w:hAnsi="Century Gothic"/>
                <w:szCs w:val="18"/>
              </w:rPr>
            </w:pPr>
            <w:r>
              <w:rPr>
                <w:rFonts w:ascii="Century Gothic" w:hAnsi="Century Gothic"/>
                <w:szCs w:val="18"/>
              </w:rPr>
              <w:t>0.2</w:t>
            </w:r>
          </w:p>
        </w:tc>
        <w:tc>
          <w:tcPr>
            <w:tcW w:w="1984" w:type="dxa"/>
          </w:tcPr>
          <w:p w14:paraId="43FAB984"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7 October 2019</w:t>
            </w:r>
          </w:p>
        </w:tc>
        <w:tc>
          <w:tcPr>
            <w:tcW w:w="6095" w:type="dxa"/>
          </w:tcPr>
          <w:p w14:paraId="04ABE8C7" w14:textId="77777777" w:rsidR="001C19F3" w:rsidRPr="00025564" w:rsidRDefault="001C19F3" w:rsidP="00521305">
            <w:pPr>
              <w:pStyle w:val="Table"/>
              <w:rPr>
                <w:rFonts w:ascii="Century Gothic" w:hAnsi="Century Gothic"/>
                <w:szCs w:val="18"/>
              </w:rPr>
            </w:pPr>
            <w:r>
              <w:rPr>
                <w:rFonts w:ascii="Century Gothic" w:hAnsi="Century Gothic"/>
                <w:szCs w:val="18"/>
              </w:rPr>
              <w:t>HPA edits.</w:t>
            </w:r>
          </w:p>
        </w:tc>
      </w:tr>
      <w:tr w:rsidR="001C19F3" w:rsidRPr="00025564" w14:paraId="4B079C7C" w14:textId="77777777" w:rsidTr="00521305">
        <w:trPr>
          <w:cantSplit/>
          <w:trHeight w:val="70"/>
        </w:trPr>
        <w:tc>
          <w:tcPr>
            <w:tcW w:w="993" w:type="dxa"/>
          </w:tcPr>
          <w:p w14:paraId="78CC5704" w14:textId="77777777" w:rsidR="001C19F3" w:rsidRPr="00025564" w:rsidRDefault="001C19F3" w:rsidP="00521305">
            <w:pPr>
              <w:pStyle w:val="Table"/>
              <w:jc w:val="both"/>
              <w:rPr>
                <w:rFonts w:ascii="Century Gothic" w:hAnsi="Century Gothic"/>
                <w:szCs w:val="18"/>
              </w:rPr>
            </w:pPr>
            <w:r>
              <w:rPr>
                <w:rFonts w:ascii="Century Gothic" w:hAnsi="Century Gothic"/>
                <w:szCs w:val="18"/>
              </w:rPr>
              <w:t>0.3</w:t>
            </w:r>
          </w:p>
        </w:tc>
        <w:tc>
          <w:tcPr>
            <w:tcW w:w="1984" w:type="dxa"/>
          </w:tcPr>
          <w:p w14:paraId="5233363A"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21 October 2019</w:t>
            </w:r>
          </w:p>
        </w:tc>
        <w:tc>
          <w:tcPr>
            <w:tcW w:w="6095" w:type="dxa"/>
          </w:tcPr>
          <w:p w14:paraId="11B43FFE" w14:textId="77777777" w:rsidR="001C19F3" w:rsidRPr="00025564" w:rsidRDefault="001C19F3" w:rsidP="00521305">
            <w:pPr>
              <w:pStyle w:val="Table"/>
              <w:rPr>
                <w:rFonts w:ascii="Century Gothic" w:hAnsi="Century Gothic"/>
                <w:szCs w:val="18"/>
              </w:rPr>
            </w:pPr>
            <w:r>
              <w:rPr>
                <w:rFonts w:ascii="Century Gothic" w:hAnsi="Century Gothic"/>
                <w:szCs w:val="18"/>
              </w:rPr>
              <w:t>Incorporate edits from the Department of Health.</w:t>
            </w:r>
          </w:p>
        </w:tc>
      </w:tr>
      <w:tr w:rsidR="001C19F3" w:rsidRPr="00025564" w14:paraId="21976FE6" w14:textId="77777777" w:rsidTr="00521305">
        <w:trPr>
          <w:cantSplit/>
          <w:trHeight w:val="70"/>
        </w:trPr>
        <w:tc>
          <w:tcPr>
            <w:tcW w:w="993" w:type="dxa"/>
          </w:tcPr>
          <w:p w14:paraId="7E0B1723" w14:textId="77777777" w:rsidR="001C19F3" w:rsidRPr="007644BE" w:rsidRDefault="001C19F3" w:rsidP="00521305">
            <w:pPr>
              <w:pStyle w:val="Table"/>
              <w:jc w:val="both"/>
              <w:rPr>
                <w:rFonts w:ascii="Century Gothic" w:hAnsi="Century Gothic"/>
                <w:szCs w:val="18"/>
              </w:rPr>
            </w:pPr>
            <w:r w:rsidRPr="007644BE">
              <w:rPr>
                <w:rFonts w:ascii="Century Gothic" w:hAnsi="Century Gothic"/>
                <w:szCs w:val="18"/>
              </w:rPr>
              <w:t>0.4</w:t>
            </w:r>
          </w:p>
        </w:tc>
        <w:tc>
          <w:tcPr>
            <w:tcW w:w="1984" w:type="dxa"/>
          </w:tcPr>
          <w:p w14:paraId="0A838E9B" w14:textId="77777777" w:rsidR="001C19F3" w:rsidRPr="007644BE" w:rsidRDefault="001C19F3" w:rsidP="00521305">
            <w:pPr>
              <w:pStyle w:val="Table"/>
              <w:jc w:val="center"/>
              <w:rPr>
                <w:rFonts w:ascii="Century Gothic" w:hAnsi="Century Gothic"/>
                <w:szCs w:val="18"/>
              </w:rPr>
            </w:pPr>
            <w:r w:rsidRPr="007644BE">
              <w:rPr>
                <w:rFonts w:ascii="Century Gothic" w:hAnsi="Century Gothic"/>
                <w:szCs w:val="18"/>
              </w:rPr>
              <w:t>13 December 2019</w:t>
            </w:r>
          </w:p>
        </w:tc>
        <w:tc>
          <w:tcPr>
            <w:tcW w:w="6095" w:type="dxa"/>
          </w:tcPr>
          <w:p w14:paraId="74029191" w14:textId="77777777" w:rsidR="001C19F3" w:rsidRPr="007644BE" w:rsidRDefault="001C19F3" w:rsidP="00521305">
            <w:pPr>
              <w:pStyle w:val="Table"/>
              <w:rPr>
                <w:rFonts w:ascii="Century Gothic" w:hAnsi="Century Gothic"/>
                <w:szCs w:val="18"/>
              </w:rPr>
            </w:pPr>
            <w:r w:rsidRPr="007644BE">
              <w:rPr>
                <w:rFonts w:ascii="Century Gothic" w:hAnsi="Century Gothic"/>
                <w:szCs w:val="18"/>
              </w:rPr>
              <w:t>Incorporate edits from the Evaluation Working Group.</w:t>
            </w:r>
          </w:p>
        </w:tc>
      </w:tr>
      <w:tr w:rsidR="001C19F3" w:rsidRPr="00025564" w14:paraId="482E495A" w14:textId="77777777" w:rsidTr="00521305">
        <w:trPr>
          <w:cantSplit/>
          <w:trHeight w:val="70"/>
        </w:trPr>
        <w:tc>
          <w:tcPr>
            <w:tcW w:w="993" w:type="dxa"/>
          </w:tcPr>
          <w:p w14:paraId="49AC86B9" w14:textId="77777777" w:rsidR="001C19F3" w:rsidRPr="00025564" w:rsidRDefault="001C19F3" w:rsidP="00521305">
            <w:pPr>
              <w:pStyle w:val="Table"/>
              <w:jc w:val="both"/>
              <w:rPr>
                <w:rFonts w:ascii="Century Gothic" w:hAnsi="Century Gothic"/>
                <w:szCs w:val="18"/>
              </w:rPr>
            </w:pPr>
            <w:r>
              <w:rPr>
                <w:rFonts w:ascii="Century Gothic" w:hAnsi="Century Gothic"/>
                <w:szCs w:val="18"/>
              </w:rPr>
              <w:t>0.5</w:t>
            </w:r>
          </w:p>
        </w:tc>
        <w:tc>
          <w:tcPr>
            <w:tcW w:w="1984" w:type="dxa"/>
          </w:tcPr>
          <w:p w14:paraId="7AB93B93"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14 February 2020</w:t>
            </w:r>
          </w:p>
        </w:tc>
        <w:tc>
          <w:tcPr>
            <w:tcW w:w="6095" w:type="dxa"/>
          </w:tcPr>
          <w:p w14:paraId="2F2F6479" w14:textId="77777777" w:rsidR="001C19F3" w:rsidRPr="00025564" w:rsidRDefault="001C19F3" w:rsidP="00521305">
            <w:pPr>
              <w:pStyle w:val="Table"/>
              <w:rPr>
                <w:rFonts w:ascii="Century Gothic" w:hAnsi="Century Gothic"/>
                <w:szCs w:val="18"/>
              </w:rPr>
            </w:pPr>
            <w:r w:rsidRPr="00BB7BB3">
              <w:rPr>
                <w:rFonts w:ascii="Century Gothic" w:hAnsi="Century Gothic"/>
                <w:szCs w:val="18"/>
              </w:rPr>
              <w:t>Minor edits to resolve discrepancies in data reported for different time points.</w:t>
            </w:r>
          </w:p>
        </w:tc>
      </w:tr>
      <w:tr w:rsidR="001C19F3" w:rsidRPr="00025564" w14:paraId="75B62E82" w14:textId="77777777" w:rsidTr="00521305">
        <w:trPr>
          <w:cantSplit/>
          <w:trHeight w:val="70"/>
        </w:trPr>
        <w:tc>
          <w:tcPr>
            <w:tcW w:w="993" w:type="dxa"/>
          </w:tcPr>
          <w:p w14:paraId="32C0E1E8" w14:textId="77777777" w:rsidR="001C19F3" w:rsidRDefault="001C19F3" w:rsidP="00521305">
            <w:pPr>
              <w:pStyle w:val="Table"/>
              <w:jc w:val="both"/>
              <w:rPr>
                <w:rFonts w:ascii="Century Gothic" w:hAnsi="Century Gothic"/>
                <w:szCs w:val="18"/>
              </w:rPr>
            </w:pPr>
          </w:p>
        </w:tc>
        <w:tc>
          <w:tcPr>
            <w:tcW w:w="1984" w:type="dxa"/>
          </w:tcPr>
          <w:p w14:paraId="2CA73D73" w14:textId="77777777" w:rsidR="001C19F3" w:rsidRDefault="001C19F3" w:rsidP="00521305">
            <w:pPr>
              <w:pStyle w:val="Table"/>
              <w:jc w:val="center"/>
              <w:rPr>
                <w:rFonts w:ascii="Century Gothic" w:hAnsi="Century Gothic"/>
                <w:szCs w:val="18"/>
              </w:rPr>
            </w:pPr>
          </w:p>
        </w:tc>
        <w:tc>
          <w:tcPr>
            <w:tcW w:w="6095" w:type="dxa"/>
          </w:tcPr>
          <w:p w14:paraId="26ED3926" w14:textId="77777777" w:rsidR="001C19F3" w:rsidRDefault="001C19F3" w:rsidP="00521305">
            <w:pPr>
              <w:pStyle w:val="Table"/>
              <w:rPr>
                <w:rFonts w:ascii="Century Gothic" w:hAnsi="Century Gothic"/>
                <w:szCs w:val="18"/>
              </w:rPr>
            </w:pPr>
          </w:p>
        </w:tc>
      </w:tr>
    </w:tbl>
    <w:p w14:paraId="69232AE8" w14:textId="77777777" w:rsidR="001C19F3" w:rsidRPr="00025564" w:rsidRDefault="001C19F3" w:rsidP="001C19F3"/>
    <w:p w14:paraId="053205E3" w14:textId="77777777" w:rsidR="001C19F3" w:rsidRDefault="001C19F3" w:rsidP="001C19F3"/>
    <w:p w14:paraId="6B1895C0" w14:textId="77777777" w:rsidR="001C19F3" w:rsidRDefault="001C19F3" w:rsidP="001C19F3"/>
    <w:p w14:paraId="2935E11C" w14:textId="77777777" w:rsidR="001C19F3" w:rsidRDefault="001C19F3" w:rsidP="001C19F3"/>
    <w:p w14:paraId="1309BA7A" w14:textId="77777777" w:rsidR="001C19F3" w:rsidRDefault="001C19F3" w:rsidP="001C19F3"/>
    <w:p w14:paraId="7743A2D9" w14:textId="77777777" w:rsidR="001C19F3" w:rsidRDefault="001C19F3" w:rsidP="001C19F3"/>
    <w:p w14:paraId="78CB5870" w14:textId="77777777" w:rsidR="001C19F3" w:rsidRDefault="001C19F3" w:rsidP="001C19F3"/>
    <w:p w14:paraId="2C0CB966" w14:textId="77777777" w:rsidR="001C19F3" w:rsidRDefault="001C19F3" w:rsidP="001C19F3"/>
    <w:p w14:paraId="7F314981" w14:textId="77777777" w:rsidR="001C19F3" w:rsidRDefault="001C19F3" w:rsidP="001C19F3"/>
    <w:p w14:paraId="20DDD6B2" w14:textId="77777777" w:rsidR="001C19F3" w:rsidRDefault="001C19F3" w:rsidP="001C19F3"/>
    <w:p w14:paraId="798235D0" w14:textId="77777777" w:rsidR="001C19F3" w:rsidRPr="00ED2AFF" w:rsidRDefault="001C19F3" w:rsidP="001C19F3">
      <w:pPr>
        <w:rPr>
          <w:rFonts w:cs="Arial"/>
          <w:bCs/>
          <w:color w:val="003D79"/>
          <w:sz w:val="36"/>
          <w:szCs w:val="36"/>
        </w:rPr>
      </w:pPr>
      <w:r w:rsidRPr="00ED2AFF">
        <w:rPr>
          <w:rFonts w:cs="Arial"/>
          <w:bCs/>
          <w:color w:val="003D79"/>
          <w:sz w:val="36"/>
          <w:szCs w:val="36"/>
        </w:rPr>
        <w:t>Suggested citation</w:t>
      </w:r>
    </w:p>
    <w:p w14:paraId="135773E3" w14:textId="77777777" w:rsidR="001C19F3" w:rsidRPr="00C815DC" w:rsidRDefault="001C19F3" w:rsidP="001C19F3">
      <w:pPr>
        <w:rPr>
          <w:rFonts w:cs="Arial"/>
          <w:szCs w:val="20"/>
        </w:rPr>
      </w:pPr>
      <w:r w:rsidRPr="003D1064">
        <w:rPr>
          <w:rFonts w:cs="Arial"/>
          <w:szCs w:val="20"/>
        </w:rPr>
        <w:t>Health Policy Analysis 201</w:t>
      </w:r>
      <w:r>
        <w:rPr>
          <w:rFonts w:cs="Arial"/>
          <w:szCs w:val="20"/>
        </w:rPr>
        <w:t>9</w:t>
      </w:r>
      <w:r w:rsidRPr="003D1064">
        <w:rPr>
          <w:rFonts w:cs="Arial"/>
          <w:szCs w:val="20"/>
        </w:rPr>
        <w:t xml:space="preserve">. Evaluation of the Health Care Homes program – </w:t>
      </w:r>
      <w:r w:rsidRPr="002F1ABD">
        <w:rPr>
          <w:rFonts w:cs="Arial"/>
          <w:szCs w:val="20"/>
        </w:rPr>
        <w:t xml:space="preserve">Interim </w:t>
      </w:r>
      <w:r>
        <w:rPr>
          <w:rFonts w:cs="Arial"/>
          <w:szCs w:val="20"/>
        </w:rPr>
        <w:t>evaluation r</w:t>
      </w:r>
      <w:r w:rsidRPr="002F1ABD">
        <w:rPr>
          <w:rFonts w:cs="Arial"/>
          <w:szCs w:val="20"/>
        </w:rPr>
        <w:t>eport</w:t>
      </w:r>
      <w:r>
        <w:rPr>
          <w:rFonts w:cs="Arial"/>
          <w:szCs w:val="20"/>
        </w:rPr>
        <w:t xml:space="preserve"> 2019,</w:t>
      </w:r>
      <w:r w:rsidRPr="002F1ABD">
        <w:rPr>
          <w:rFonts w:cs="Arial"/>
          <w:szCs w:val="20"/>
        </w:rPr>
        <w:t xml:space="preserve"> Volume </w:t>
      </w:r>
      <w:r>
        <w:rPr>
          <w:rFonts w:cs="Arial"/>
          <w:szCs w:val="20"/>
        </w:rPr>
        <w:t>2: Main</w:t>
      </w:r>
      <w:r w:rsidRPr="002F1ABD">
        <w:rPr>
          <w:rFonts w:cs="Arial"/>
          <w:szCs w:val="20"/>
        </w:rPr>
        <w:t xml:space="preserve"> report</w:t>
      </w:r>
      <w:r w:rsidRPr="003D1064">
        <w:rPr>
          <w:rFonts w:cs="Arial"/>
          <w:szCs w:val="20"/>
        </w:rPr>
        <w:t>. Canberra: Department of Health</w:t>
      </w:r>
      <w:r>
        <w:rPr>
          <w:rFonts w:cs="Arial"/>
          <w:szCs w:val="20"/>
        </w:rPr>
        <w:t>.</w:t>
      </w:r>
    </w:p>
    <w:p w14:paraId="1D0580BE" w14:textId="77777777" w:rsidR="001C19F3" w:rsidRPr="00ED2AFF" w:rsidRDefault="001C19F3" w:rsidP="001C19F3">
      <w:pPr>
        <w:rPr>
          <w:rFonts w:cs="Arial"/>
          <w:bCs/>
          <w:color w:val="003D79"/>
          <w:sz w:val="36"/>
          <w:szCs w:val="36"/>
        </w:rPr>
      </w:pPr>
      <w:r w:rsidRPr="00ED2AFF">
        <w:rPr>
          <w:rFonts w:cs="Arial"/>
          <w:bCs/>
          <w:color w:val="003D79"/>
          <w:sz w:val="36"/>
          <w:szCs w:val="36"/>
        </w:rPr>
        <w:t>Disclaimer</w:t>
      </w:r>
    </w:p>
    <w:p w14:paraId="7728B21E" w14:textId="77777777" w:rsidR="001C19F3" w:rsidRPr="00C815DC" w:rsidRDefault="001C19F3" w:rsidP="001C19F3">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Pr="00EB78D6">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6F461278" w14:textId="77777777" w:rsidR="001C19F3" w:rsidRPr="00B97C60" w:rsidRDefault="001C19F3" w:rsidP="001C19F3">
      <w:pPr>
        <w:rPr>
          <w:szCs w:val="20"/>
        </w:rPr>
      </w:pPr>
      <w:r w:rsidRPr="00B97C60">
        <w:rPr>
          <w:rFonts w:cs="Arial"/>
          <w:bCs/>
          <w:color w:val="003D79"/>
          <w:sz w:val="36"/>
          <w:szCs w:val="36"/>
        </w:rPr>
        <w:t xml:space="preserve">Health Policy Analysis Pty Ltd </w:t>
      </w:r>
    </w:p>
    <w:p w14:paraId="6E3F833F" w14:textId="77777777" w:rsidR="001C19F3" w:rsidRPr="008D691C" w:rsidRDefault="001C19F3" w:rsidP="001C19F3">
      <w:pPr>
        <w:spacing w:after="120" w:line="240" w:lineRule="auto"/>
        <w:rPr>
          <w:rFonts w:cs="Arial"/>
          <w:bCs/>
          <w:color w:val="003D79"/>
        </w:rPr>
      </w:pPr>
      <w:r w:rsidRPr="008D691C">
        <w:rPr>
          <w:rFonts w:cs="Arial"/>
          <w:bCs/>
          <w:color w:val="003D79"/>
        </w:rPr>
        <w:t>Suite 101, 30 Atchison Street, St Leonards 2065</w:t>
      </w:r>
    </w:p>
    <w:p w14:paraId="159AF942" w14:textId="77777777" w:rsidR="001C19F3" w:rsidRPr="008D691C" w:rsidRDefault="001C19F3" w:rsidP="001C19F3">
      <w:pPr>
        <w:spacing w:after="120" w:line="240" w:lineRule="auto"/>
        <w:rPr>
          <w:rFonts w:cs="Arial"/>
          <w:bCs/>
          <w:color w:val="003D79"/>
        </w:rPr>
      </w:pPr>
      <w:r w:rsidRPr="008D691C">
        <w:rPr>
          <w:rFonts w:cs="Arial"/>
          <w:bCs/>
          <w:color w:val="003D79"/>
        </w:rPr>
        <w:t>ABN: 54 105 830 920</w:t>
      </w:r>
    </w:p>
    <w:p w14:paraId="755905B5" w14:textId="77777777" w:rsidR="001C19F3" w:rsidRPr="00B97C60" w:rsidRDefault="001C19F3" w:rsidP="001C19F3">
      <w:pPr>
        <w:spacing w:after="120" w:line="240" w:lineRule="auto"/>
        <w:rPr>
          <w:rFonts w:cs="Arial"/>
          <w:bCs/>
          <w:color w:val="003D79"/>
        </w:rPr>
        <w:sectPr w:rsidR="001C19F3" w:rsidRPr="00B97C60" w:rsidSect="00640EFA">
          <w:headerReference w:type="even" r:id="rId30"/>
          <w:headerReference w:type="default" r:id="rId31"/>
          <w:headerReference w:type="first" r:id="rId32"/>
          <w:footerReference w:type="first" r:id="rId33"/>
          <w:pgSz w:w="11906" w:h="16838"/>
          <w:pgMar w:top="1440" w:right="1440" w:bottom="1440" w:left="1440" w:header="708" w:footer="708" w:gutter="0"/>
          <w:cols w:space="708"/>
          <w:titlePg/>
          <w:docGrid w:linePitch="360"/>
        </w:sectPr>
      </w:pPr>
      <w:r w:rsidRPr="008D691C">
        <w:rPr>
          <w:rFonts w:cs="Arial"/>
          <w:bCs/>
          <w:color w:val="003D79"/>
        </w:rPr>
        <w:t>Phone: +61 2 8065 6491</w:t>
      </w:r>
    </w:p>
    <w:p w14:paraId="733CDB73" w14:textId="77777777" w:rsidR="001C19F3" w:rsidRPr="00C815DC" w:rsidRDefault="001C19F3" w:rsidP="001C19F3">
      <w:pPr>
        <w:pStyle w:val="Heading1thatdoesnotgetpickedupbyTOC"/>
      </w:pPr>
      <w:r w:rsidRPr="00C815DC">
        <w:lastRenderedPageBreak/>
        <w:t>Table of contents</w:t>
      </w:r>
    </w:p>
    <w:p w14:paraId="00BBBDCC" w14:textId="77777777" w:rsidR="001C19F3" w:rsidRDefault="001C19F3" w:rsidP="001C19F3">
      <w:pPr>
        <w:pStyle w:val="TOC1"/>
        <w:rPr>
          <w:rFonts w:asciiTheme="minorHAnsi" w:eastAsiaTheme="minorEastAsia" w:hAnsiTheme="minorHAnsi" w:cstheme="minorBidi"/>
          <w:i w:val="0"/>
          <w:noProof/>
          <w:color w:val="auto"/>
          <w:sz w:val="22"/>
          <w:lang w:val="en-AU" w:eastAsia="en-AU"/>
        </w:rPr>
      </w:pPr>
      <w:r>
        <w:rPr>
          <w:b/>
        </w:rPr>
        <w:fldChar w:fldCharType="begin"/>
      </w:r>
      <w:r>
        <w:rPr>
          <w:b/>
        </w:rPr>
        <w:instrText xml:space="preserve"> TOC \o "2-2" \h \z \t "Heading 1,1,Heading 1 no number,1,Heading 1 with number,1,Appendix,1" </w:instrText>
      </w:r>
      <w:r>
        <w:rPr>
          <w:b/>
        </w:rPr>
        <w:fldChar w:fldCharType="separate"/>
      </w:r>
      <w:hyperlink w:anchor="_Toc27056536" w:history="1">
        <w:r w:rsidRPr="00F42C1E">
          <w:rPr>
            <w:rStyle w:val="Hyperlink"/>
            <w:noProof/>
          </w:rPr>
          <w:t>Acronyms and initialisms</w:t>
        </w:r>
        <w:r>
          <w:rPr>
            <w:noProof/>
            <w:webHidden/>
          </w:rPr>
          <w:tab/>
        </w:r>
        <w:r>
          <w:rPr>
            <w:noProof/>
            <w:webHidden/>
          </w:rPr>
          <w:fldChar w:fldCharType="begin"/>
        </w:r>
        <w:r>
          <w:rPr>
            <w:noProof/>
            <w:webHidden/>
          </w:rPr>
          <w:instrText xml:space="preserve"> PAGEREF _Toc27056536 \h </w:instrText>
        </w:r>
        <w:r>
          <w:rPr>
            <w:noProof/>
            <w:webHidden/>
          </w:rPr>
        </w:r>
        <w:r>
          <w:rPr>
            <w:noProof/>
            <w:webHidden/>
          </w:rPr>
          <w:fldChar w:fldCharType="separate"/>
        </w:r>
        <w:r>
          <w:rPr>
            <w:noProof/>
            <w:webHidden/>
          </w:rPr>
          <w:t>1</w:t>
        </w:r>
        <w:r>
          <w:rPr>
            <w:noProof/>
            <w:webHidden/>
          </w:rPr>
          <w:fldChar w:fldCharType="end"/>
        </w:r>
      </w:hyperlink>
    </w:p>
    <w:p w14:paraId="3D6CE7B1"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37" w:history="1">
        <w:r w:rsidR="001C19F3" w:rsidRPr="00F42C1E">
          <w:rPr>
            <w:rStyle w:val="Hyperlink"/>
            <w:noProof/>
          </w:rPr>
          <w:t>1.</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Introduction</w:t>
        </w:r>
        <w:r w:rsidR="001C19F3">
          <w:rPr>
            <w:noProof/>
            <w:webHidden/>
          </w:rPr>
          <w:tab/>
        </w:r>
        <w:r w:rsidR="001C19F3">
          <w:rPr>
            <w:noProof/>
            <w:webHidden/>
          </w:rPr>
          <w:fldChar w:fldCharType="begin"/>
        </w:r>
        <w:r w:rsidR="001C19F3">
          <w:rPr>
            <w:noProof/>
            <w:webHidden/>
          </w:rPr>
          <w:instrText xml:space="preserve"> PAGEREF _Toc27056537 \h </w:instrText>
        </w:r>
        <w:r w:rsidR="001C19F3">
          <w:rPr>
            <w:noProof/>
            <w:webHidden/>
          </w:rPr>
        </w:r>
        <w:r w:rsidR="001C19F3">
          <w:rPr>
            <w:noProof/>
            <w:webHidden/>
          </w:rPr>
          <w:fldChar w:fldCharType="separate"/>
        </w:r>
        <w:r w:rsidR="001C19F3">
          <w:rPr>
            <w:noProof/>
            <w:webHidden/>
          </w:rPr>
          <w:t>3</w:t>
        </w:r>
        <w:r w:rsidR="001C19F3">
          <w:rPr>
            <w:noProof/>
            <w:webHidden/>
          </w:rPr>
          <w:fldChar w:fldCharType="end"/>
        </w:r>
      </w:hyperlink>
    </w:p>
    <w:p w14:paraId="16014E11"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38" w:history="1">
        <w:r w:rsidR="001C19F3" w:rsidRPr="00F42C1E">
          <w:rPr>
            <w:rStyle w:val="Hyperlink"/>
            <w:noProof/>
          </w:rPr>
          <w:t>Overview of the evaluation</w:t>
        </w:r>
        <w:r w:rsidR="001C19F3">
          <w:rPr>
            <w:noProof/>
            <w:webHidden/>
          </w:rPr>
          <w:tab/>
        </w:r>
        <w:r w:rsidR="001C19F3">
          <w:rPr>
            <w:noProof/>
            <w:webHidden/>
          </w:rPr>
          <w:fldChar w:fldCharType="begin"/>
        </w:r>
        <w:r w:rsidR="001C19F3">
          <w:rPr>
            <w:noProof/>
            <w:webHidden/>
          </w:rPr>
          <w:instrText xml:space="preserve"> PAGEREF _Toc27056538 \h </w:instrText>
        </w:r>
        <w:r w:rsidR="001C19F3">
          <w:rPr>
            <w:noProof/>
            <w:webHidden/>
          </w:rPr>
        </w:r>
        <w:r w:rsidR="001C19F3">
          <w:rPr>
            <w:noProof/>
            <w:webHidden/>
          </w:rPr>
          <w:fldChar w:fldCharType="separate"/>
        </w:r>
        <w:r w:rsidR="001C19F3">
          <w:rPr>
            <w:noProof/>
            <w:webHidden/>
          </w:rPr>
          <w:t>3</w:t>
        </w:r>
        <w:r w:rsidR="001C19F3">
          <w:rPr>
            <w:noProof/>
            <w:webHidden/>
          </w:rPr>
          <w:fldChar w:fldCharType="end"/>
        </w:r>
      </w:hyperlink>
    </w:p>
    <w:p w14:paraId="4B1C9C2C"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39" w:history="1">
        <w:r w:rsidR="001C19F3" w:rsidRPr="00F42C1E">
          <w:rPr>
            <w:rStyle w:val="Hyperlink"/>
            <w:noProof/>
          </w:rPr>
          <w:t>Purpose of this report</w:t>
        </w:r>
        <w:r w:rsidR="001C19F3">
          <w:rPr>
            <w:noProof/>
            <w:webHidden/>
          </w:rPr>
          <w:tab/>
        </w:r>
        <w:r w:rsidR="001C19F3">
          <w:rPr>
            <w:noProof/>
            <w:webHidden/>
          </w:rPr>
          <w:fldChar w:fldCharType="begin"/>
        </w:r>
        <w:r w:rsidR="001C19F3">
          <w:rPr>
            <w:noProof/>
            <w:webHidden/>
          </w:rPr>
          <w:instrText xml:space="preserve"> PAGEREF _Toc27056539 \h </w:instrText>
        </w:r>
        <w:r w:rsidR="001C19F3">
          <w:rPr>
            <w:noProof/>
            <w:webHidden/>
          </w:rPr>
        </w:r>
        <w:r w:rsidR="001C19F3">
          <w:rPr>
            <w:noProof/>
            <w:webHidden/>
          </w:rPr>
          <w:fldChar w:fldCharType="separate"/>
        </w:r>
        <w:r w:rsidR="001C19F3">
          <w:rPr>
            <w:noProof/>
            <w:webHidden/>
          </w:rPr>
          <w:t>3</w:t>
        </w:r>
        <w:r w:rsidR="001C19F3">
          <w:rPr>
            <w:noProof/>
            <w:webHidden/>
          </w:rPr>
          <w:fldChar w:fldCharType="end"/>
        </w:r>
      </w:hyperlink>
    </w:p>
    <w:p w14:paraId="23A00E17"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40" w:history="1">
        <w:r w:rsidR="001C19F3" w:rsidRPr="00F42C1E">
          <w:rPr>
            <w:rStyle w:val="Hyperlink"/>
            <w:noProof/>
          </w:rPr>
          <w:t>2.</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HCH program overview</w:t>
        </w:r>
        <w:r w:rsidR="001C19F3">
          <w:rPr>
            <w:noProof/>
            <w:webHidden/>
          </w:rPr>
          <w:tab/>
        </w:r>
        <w:r w:rsidR="001C19F3">
          <w:rPr>
            <w:noProof/>
            <w:webHidden/>
          </w:rPr>
          <w:fldChar w:fldCharType="begin"/>
        </w:r>
        <w:r w:rsidR="001C19F3">
          <w:rPr>
            <w:noProof/>
            <w:webHidden/>
          </w:rPr>
          <w:instrText xml:space="preserve"> PAGEREF _Toc27056540 \h </w:instrText>
        </w:r>
        <w:r w:rsidR="001C19F3">
          <w:rPr>
            <w:noProof/>
            <w:webHidden/>
          </w:rPr>
        </w:r>
        <w:r w:rsidR="001C19F3">
          <w:rPr>
            <w:noProof/>
            <w:webHidden/>
          </w:rPr>
          <w:fldChar w:fldCharType="separate"/>
        </w:r>
        <w:r w:rsidR="001C19F3">
          <w:rPr>
            <w:noProof/>
            <w:webHidden/>
          </w:rPr>
          <w:t>6</w:t>
        </w:r>
        <w:r w:rsidR="001C19F3">
          <w:rPr>
            <w:noProof/>
            <w:webHidden/>
          </w:rPr>
          <w:fldChar w:fldCharType="end"/>
        </w:r>
      </w:hyperlink>
    </w:p>
    <w:p w14:paraId="4E49547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1" w:history="1">
        <w:r w:rsidR="001C19F3" w:rsidRPr="00F42C1E">
          <w:rPr>
            <w:rStyle w:val="Hyperlink"/>
            <w:noProof/>
          </w:rPr>
          <w:t>Primary Health Care Advisory Group</w:t>
        </w:r>
        <w:r w:rsidR="001C19F3">
          <w:rPr>
            <w:noProof/>
            <w:webHidden/>
          </w:rPr>
          <w:tab/>
        </w:r>
        <w:r w:rsidR="001C19F3">
          <w:rPr>
            <w:noProof/>
            <w:webHidden/>
          </w:rPr>
          <w:fldChar w:fldCharType="begin"/>
        </w:r>
        <w:r w:rsidR="001C19F3">
          <w:rPr>
            <w:noProof/>
            <w:webHidden/>
          </w:rPr>
          <w:instrText xml:space="preserve"> PAGEREF _Toc27056541 \h </w:instrText>
        </w:r>
        <w:r w:rsidR="001C19F3">
          <w:rPr>
            <w:noProof/>
            <w:webHidden/>
          </w:rPr>
        </w:r>
        <w:r w:rsidR="001C19F3">
          <w:rPr>
            <w:noProof/>
            <w:webHidden/>
          </w:rPr>
          <w:fldChar w:fldCharType="separate"/>
        </w:r>
        <w:r w:rsidR="001C19F3">
          <w:rPr>
            <w:noProof/>
            <w:webHidden/>
          </w:rPr>
          <w:t>6</w:t>
        </w:r>
        <w:r w:rsidR="001C19F3">
          <w:rPr>
            <w:noProof/>
            <w:webHidden/>
          </w:rPr>
          <w:fldChar w:fldCharType="end"/>
        </w:r>
      </w:hyperlink>
    </w:p>
    <w:p w14:paraId="6E3AE180"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2" w:history="1">
        <w:r w:rsidR="001C19F3" w:rsidRPr="00F42C1E">
          <w:rPr>
            <w:rStyle w:val="Hyperlink"/>
            <w:noProof/>
          </w:rPr>
          <w:t>HCH trial</w:t>
        </w:r>
        <w:r w:rsidR="001C19F3">
          <w:rPr>
            <w:noProof/>
            <w:webHidden/>
          </w:rPr>
          <w:tab/>
        </w:r>
        <w:r w:rsidR="001C19F3">
          <w:rPr>
            <w:noProof/>
            <w:webHidden/>
          </w:rPr>
          <w:fldChar w:fldCharType="begin"/>
        </w:r>
        <w:r w:rsidR="001C19F3">
          <w:rPr>
            <w:noProof/>
            <w:webHidden/>
          </w:rPr>
          <w:instrText xml:space="preserve"> PAGEREF _Toc27056542 \h </w:instrText>
        </w:r>
        <w:r w:rsidR="001C19F3">
          <w:rPr>
            <w:noProof/>
            <w:webHidden/>
          </w:rPr>
        </w:r>
        <w:r w:rsidR="001C19F3">
          <w:rPr>
            <w:noProof/>
            <w:webHidden/>
          </w:rPr>
          <w:fldChar w:fldCharType="separate"/>
        </w:r>
        <w:r w:rsidR="001C19F3">
          <w:rPr>
            <w:noProof/>
            <w:webHidden/>
          </w:rPr>
          <w:t>8</w:t>
        </w:r>
        <w:r w:rsidR="001C19F3">
          <w:rPr>
            <w:noProof/>
            <w:webHidden/>
          </w:rPr>
          <w:fldChar w:fldCharType="end"/>
        </w:r>
      </w:hyperlink>
    </w:p>
    <w:p w14:paraId="63E9DE23"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3" w:history="1">
        <w:r w:rsidR="001C19F3" w:rsidRPr="00F42C1E">
          <w:rPr>
            <w:rStyle w:val="Hyperlink"/>
            <w:noProof/>
          </w:rPr>
          <w:t>Service delivery expected of HCHs</w:t>
        </w:r>
        <w:r w:rsidR="001C19F3">
          <w:rPr>
            <w:noProof/>
            <w:webHidden/>
          </w:rPr>
          <w:tab/>
        </w:r>
        <w:r w:rsidR="001C19F3">
          <w:rPr>
            <w:noProof/>
            <w:webHidden/>
          </w:rPr>
          <w:fldChar w:fldCharType="begin"/>
        </w:r>
        <w:r w:rsidR="001C19F3">
          <w:rPr>
            <w:noProof/>
            <w:webHidden/>
          </w:rPr>
          <w:instrText xml:space="preserve"> PAGEREF _Toc27056543 \h </w:instrText>
        </w:r>
        <w:r w:rsidR="001C19F3">
          <w:rPr>
            <w:noProof/>
            <w:webHidden/>
          </w:rPr>
        </w:r>
        <w:r w:rsidR="001C19F3">
          <w:rPr>
            <w:noProof/>
            <w:webHidden/>
          </w:rPr>
          <w:fldChar w:fldCharType="separate"/>
        </w:r>
        <w:r w:rsidR="001C19F3">
          <w:rPr>
            <w:noProof/>
            <w:webHidden/>
          </w:rPr>
          <w:t>9</w:t>
        </w:r>
        <w:r w:rsidR="001C19F3">
          <w:rPr>
            <w:noProof/>
            <w:webHidden/>
          </w:rPr>
          <w:fldChar w:fldCharType="end"/>
        </w:r>
      </w:hyperlink>
    </w:p>
    <w:p w14:paraId="1DFBE19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4" w:history="1">
        <w:r w:rsidR="001C19F3" w:rsidRPr="00F42C1E">
          <w:rPr>
            <w:rStyle w:val="Hyperlink"/>
            <w:noProof/>
          </w:rPr>
          <w:t>Bilateral Agreements on Coordinated Care</w:t>
        </w:r>
        <w:r w:rsidR="001C19F3">
          <w:rPr>
            <w:noProof/>
            <w:webHidden/>
          </w:rPr>
          <w:tab/>
        </w:r>
        <w:r w:rsidR="001C19F3">
          <w:rPr>
            <w:noProof/>
            <w:webHidden/>
          </w:rPr>
          <w:fldChar w:fldCharType="begin"/>
        </w:r>
        <w:r w:rsidR="001C19F3">
          <w:rPr>
            <w:noProof/>
            <w:webHidden/>
          </w:rPr>
          <w:instrText xml:space="preserve"> PAGEREF _Toc27056544 \h </w:instrText>
        </w:r>
        <w:r w:rsidR="001C19F3">
          <w:rPr>
            <w:noProof/>
            <w:webHidden/>
          </w:rPr>
        </w:r>
        <w:r w:rsidR="001C19F3">
          <w:rPr>
            <w:noProof/>
            <w:webHidden/>
          </w:rPr>
          <w:fldChar w:fldCharType="separate"/>
        </w:r>
        <w:r w:rsidR="001C19F3">
          <w:rPr>
            <w:noProof/>
            <w:webHidden/>
          </w:rPr>
          <w:t>9</w:t>
        </w:r>
        <w:r w:rsidR="001C19F3">
          <w:rPr>
            <w:noProof/>
            <w:webHidden/>
          </w:rPr>
          <w:fldChar w:fldCharType="end"/>
        </w:r>
      </w:hyperlink>
    </w:p>
    <w:p w14:paraId="630B62B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5" w:history="1">
        <w:r w:rsidR="001C19F3" w:rsidRPr="00F42C1E">
          <w:rPr>
            <w:rStyle w:val="Hyperlink"/>
            <w:noProof/>
          </w:rPr>
          <w:t>Community pharmacy in HCH</w:t>
        </w:r>
        <w:r w:rsidR="001C19F3">
          <w:rPr>
            <w:noProof/>
            <w:webHidden/>
          </w:rPr>
          <w:tab/>
        </w:r>
        <w:r w:rsidR="001C19F3">
          <w:rPr>
            <w:noProof/>
            <w:webHidden/>
          </w:rPr>
          <w:fldChar w:fldCharType="begin"/>
        </w:r>
        <w:r w:rsidR="001C19F3">
          <w:rPr>
            <w:noProof/>
            <w:webHidden/>
          </w:rPr>
          <w:instrText xml:space="preserve"> PAGEREF _Toc27056545 \h </w:instrText>
        </w:r>
        <w:r w:rsidR="001C19F3">
          <w:rPr>
            <w:noProof/>
            <w:webHidden/>
          </w:rPr>
        </w:r>
        <w:r w:rsidR="001C19F3">
          <w:rPr>
            <w:noProof/>
            <w:webHidden/>
          </w:rPr>
          <w:fldChar w:fldCharType="separate"/>
        </w:r>
        <w:r w:rsidR="001C19F3">
          <w:rPr>
            <w:noProof/>
            <w:webHidden/>
          </w:rPr>
          <w:t>10</w:t>
        </w:r>
        <w:r w:rsidR="001C19F3">
          <w:rPr>
            <w:noProof/>
            <w:webHidden/>
          </w:rPr>
          <w:fldChar w:fldCharType="end"/>
        </w:r>
      </w:hyperlink>
    </w:p>
    <w:p w14:paraId="46D79532"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6" w:history="1">
        <w:r w:rsidR="001C19F3" w:rsidRPr="00F42C1E">
          <w:rPr>
            <w:rStyle w:val="Hyperlink"/>
            <w:noProof/>
          </w:rPr>
          <w:t>Program extension</w:t>
        </w:r>
        <w:r w:rsidR="001C19F3">
          <w:rPr>
            <w:noProof/>
            <w:webHidden/>
          </w:rPr>
          <w:tab/>
        </w:r>
        <w:r w:rsidR="001C19F3">
          <w:rPr>
            <w:noProof/>
            <w:webHidden/>
          </w:rPr>
          <w:fldChar w:fldCharType="begin"/>
        </w:r>
        <w:r w:rsidR="001C19F3">
          <w:rPr>
            <w:noProof/>
            <w:webHidden/>
          </w:rPr>
          <w:instrText xml:space="preserve"> PAGEREF _Toc27056546 \h </w:instrText>
        </w:r>
        <w:r w:rsidR="001C19F3">
          <w:rPr>
            <w:noProof/>
            <w:webHidden/>
          </w:rPr>
        </w:r>
        <w:r w:rsidR="001C19F3">
          <w:rPr>
            <w:noProof/>
            <w:webHidden/>
          </w:rPr>
          <w:fldChar w:fldCharType="separate"/>
        </w:r>
        <w:r w:rsidR="001C19F3">
          <w:rPr>
            <w:noProof/>
            <w:webHidden/>
          </w:rPr>
          <w:t>10</w:t>
        </w:r>
        <w:r w:rsidR="001C19F3">
          <w:rPr>
            <w:noProof/>
            <w:webHidden/>
          </w:rPr>
          <w:fldChar w:fldCharType="end"/>
        </w:r>
      </w:hyperlink>
    </w:p>
    <w:p w14:paraId="5783834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7" w:history="1">
        <w:r w:rsidR="001C19F3" w:rsidRPr="00F42C1E">
          <w:rPr>
            <w:rStyle w:val="Hyperlink"/>
            <w:noProof/>
          </w:rPr>
          <w:t>Program establishment and implementation</w:t>
        </w:r>
        <w:r w:rsidR="001C19F3">
          <w:rPr>
            <w:noProof/>
            <w:webHidden/>
          </w:rPr>
          <w:tab/>
        </w:r>
        <w:r w:rsidR="001C19F3">
          <w:rPr>
            <w:noProof/>
            <w:webHidden/>
          </w:rPr>
          <w:fldChar w:fldCharType="begin"/>
        </w:r>
        <w:r w:rsidR="001C19F3">
          <w:rPr>
            <w:noProof/>
            <w:webHidden/>
          </w:rPr>
          <w:instrText xml:space="preserve"> PAGEREF _Toc27056547 \h </w:instrText>
        </w:r>
        <w:r w:rsidR="001C19F3">
          <w:rPr>
            <w:noProof/>
            <w:webHidden/>
          </w:rPr>
        </w:r>
        <w:r w:rsidR="001C19F3">
          <w:rPr>
            <w:noProof/>
            <w:webHidden/>
          </w:rPr>
          <w:fldChar w:fldCharType="separate"/>
        </w:r>
        <w:r w:rsidR="001C19F3">
          <w:rPr>
            <w:noProof/>
            <w:webHidden/>
          </w:rPr>
          <w:t>10</w:t>
        </w:r>
        <w:r w:rsidR="001C19F3">
          <w:rPr>
            <w:noProof/>
            <w:webHidden/>
          </w:rPr>
          <w:fldChar w:fldCharType="end"/>
        </w:r>
      </w:hyperlink>
    </w:p>
    <w:p w14:paraId="6B4FBB51"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48" w:history="1">
        <w:r w:rsidR="001C19F3" w:rsidRPr="00F42C1E">
          <w:rPr>
            <w:rStyle w:val="Hyperlink"/>
            <w:noProof/>
          </w:rPr>
          <w:t>3.</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Overview of HCH practices</w:t>
        </w:r>
        <w:r w:rsidR="001C19F3">
          <w:rPr>
            <w:noProof/>
            <w:webHidden/>
          </w:rPr>
          <w:tab/>
        </w:r>
        <w:r w:rsidR="001C19F3">
          <w:rPr>
            <w:noProof/>
            <w:webHidden/>
          </w:rPr>
          <w:fldChar w:fldCharType="begin"/>
        </w:r>
        <w:r w:rsidR="001C19F3">
          <w:rPr>
            <w:noProof/>
            <w:webHidden/>
          </w:rPr>
          <w:instrText xml:space="preserve"> PAGEREF _Toc27056548 \h </w:instrText>
        </w:r>
        <w:r w:rsidR="001C19F3">
          <w:rPr>
            <w:noProof/>
            <w:webHidden/>
          </w:rPr>
        </w:r>
        <w:r w:rsidR="001C19F3">
          <w:rPr>
            <w:noProof/>
            <w:webHidden/>
          </w:rPr>
          <w:fldChar w:fldCharType="separate"/>
        </w:r>
        <w:r w:rsidR="001C19F3">
          <w:rPr>
            <w:noProof/>
            <w:webHidden/>
          </w:rPr>
          <w:t>15</w:t>
        </w:r>
        <w:r w:rsidR="001C19F3">
          <w:rPr>
            <w:noProof/>
            <w:webHidden/>
          </w:rPr>
          <w:fldChar w:fldCharType="end"/>
        </w:r>
      </w:hyperlink>
    </w:p>
    <w:p w14:paraId="6CD1F6AD"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49" w:history="1">
        <w:r w:rsidR="001C19F3" w:rsidRPr="00F42C1E">
          <w:rPr>
            <w:rStyle w:val="Hyperlink"/>
            <w:noProof/>
          </w:rPr>
          <w:t>Participating practices</w:t>
        </w:r>
        <w:r w:rsidR="001C19F3">
          <w:rPr>
            <w:noProof/>
            <w:webHidden/>
          </w:rPr>
          <w:tab/>
        </w:r>
        <w:r w:rsidR="001C19F3">
          <w:rPr>
            <w:noProof/>
            <w:webHidden/>
          </w:rPr>
          <w:fldChar w:fldCharType="begin"/>
        </w:r>
        <w:r w:rsidR="001C19F3">
          <w:rPr>
            <w:noProof/>
            <w:webHidden/>
          </w:rPr>
          <w:instrText xml:space="preserve"> PAGEREF _Toc27056549 \h </w:instrText>
        </w:r>
        <w:r w:rsidR="001C19F3">
          <w:rPr>
            <w:noProof/>
            <w:webHidden/>
          </w:rPr>
        </w:r>
        <w:r w:rsidR="001C19F3">
          <w:rPr>
            <w:noProof/>
            <w:webHidden/>
          </w:rPr>
          <w:fldChar w:fldCharType="separate"/>
        </w:r>
        <w:r w:rsidR="001C19F3">
          <w:rPr>
            <w:noProof/>
            <w:webHidden/>
          </w:rPr>
          <w:t>15</w:t>
        </w:r>
        <w:r w:rsidR="001C19F3">
          <w:rPr>
            <w:noProof/>
            <w:webHidden/>
          </w:rPr>
          <w:fldChar w:fldCharType="end"/>
        </w:r>
      </w:hyperlink>
    </w:p>
    <w:p w14:paraId="4DF14C8C"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0" w:history="1">
        <w:r w:rsidR="001C19F3" w:rsidRPr="00F42C1E">
          <w:rPr>
            <w:rStyle w:val="Hyperlink"/>
            <w:noProof/>
          </w:rPr>
          <w:t>Selection of HCH practices</w:t>
        </w:r>
        <w:r w:rsidR="001C19F3">
          <w:rPr>
            <w:noProof/>
            <w:webHidden/>
          </w:rPr>
          <w:tab/>
        </w:r>
        <w:r w:rsidR="001C19F3">
          <w:rPr>
            <w:noProof/>
            <w:webHidden/>
          </w:rPr>
          <w:fldChar w:fldCharType="begin"/>
        </w:r>
        <w:r w:rsidR="001C19F3">
          <w:rPr>
            <w:noProof/>
            <w:webHidden/>
          </w:rPr>
          <w:instrText xml:space="preserve"> PAGEREF _Toc27056550 \h </w:instrText>
        </w:r>
        <w:r w:rsidR="001C19F3">
          <w:rPr>
            <w:noProof/>
            <w:webHidden/>
          </w:rPr>
        </w:r>
        <w:r w:rsidR="001C19F3">
          <w:rPr>
            <w:noProof/>
            <w:webHidden/>
          </w:rPr>
          <w:fldChar w:fldCharType="separate"/>
        </w:r>
        <w:r w:rsidR="001C19F3">
          <w:rPr>
            <w:noProof/>
            <w:webHidden/>
          </w:rPr>
          <w:t>17</w:t>
        </w:r>
        <w:r w:rsidR="001C19F3">
          <w:rPr>
            <w:noProof/>
            <w:webHidden/>
          </w:rPr>
          <w:fldChar w:fldCharType="end"/>
        </w:r>
      </w:hyperlink>
    </w:p>
    <w:p w14:paraId="3D1280E2"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1" w:history="1">
        <w:r w:rsidR="001C19F3" w:rsidRPr="00F42C1E">
          <w:rPr>
            <w:rStyle w:val="Hyperlink"/>
            <w:noProof/>
          </w:rPr>
          <w:t>Reasons for practices withdrawing</w:t>
        </w:r>
        <w:r w:rsidR="001C19F3">
          <w:rPr>
            <w:noProof/>
            <w:webHidden/>
          </w:rPr>
          <w:tab/>
        </w:r>
        <w:r w:rsidR="001C19F3">
          <w:rPr>
            <w:noProof/>
            <w:webHidden/>
          </w:rPr>
          <w:fldChar w:fldCharType="begin"/>
        </w:r>
        <w:r w:rsidR="001C19F3">
          <w:rPr>
            <w:noProof/>
            <w:webHidden/>
          </w:rPr>
          <w:instrText xml:space="preserve"> PAGEREF _Toc27056551 \h </w:instrText>
        </w:r>
        <w:r w:rsidR="001C19F3">
          <w:rPr>
            <w:noProof/>
            <w:webHidden/>
          </w:rPr>
        </w:r>
        <w:r w:rsidR="001C19F3">
          <w:rPr>
            <w:noProof/>
            <w:webHidden/>
          </w:rPr>
          <w:fldChar w:fldCharType="separate"/>
        </w:r>
        <w:r w:rsidR="001C19F3">
          <w:rPr>
            <w:noProof/>
            <w:webHidden/>
          </w:rPr>
          <w:t>22</w:t>
        </w:r>
        <w:r w:rsidR="001C19F3">
          <w:rPr>
            <w:noProof/>
            <w:webHidden/>
          </w:rPr>
          <w:fldChar w:fldCharType="end"/>
        </w:r>
      </w:hyperlink>
    </w:p>
    <w:p w14:paraId="09E738C5"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2" w:history="1">
        <w:r w:rsidR="001C19F3" w:rsidRPr="00F42C1E">
          <w:rPr>
            <w:rStyle w:val="Hyperlink"/>
            <w:noProof/>
          </w:rPr>
          <w:t>Practice characteristics as baseline</w:t>
        </w:r>
        <w:r w:rsidR="001C19F3">
          <w:rPr>
            <w:noProof/>
            <w:webHidden/>
          </w:rPr>
          <w:tab/>
        </w:r>
        <w:r w:rsidR="001C19F3">
          <w:rPr>
            <w:noProof/>
            <w:webHidden/>
          </w:rPr>
          <w:fldChar w:fldCharType="begin"/>
        </w:r>
        <w:r w:rsidR="001C19F3">
          <w:rPr>
            <w:noProof/>
            <w:webHidden/>
          </w:rPr>
          <w:instrText xml:space="preserve"> PAGEREF _Toc27056552 \h </w:instrText>
        </w:r>
        <w:r w:rsidR="001C19F3">
          <w:rPr>
            <w:noProof/>
            <w:webHidden/>
          </w:rPr>
        </w:r>
        <w:r w:rsidR="001C19F3">
          <w:rPr>
            <w:noProof/>
            <w:webHidden/>
          </w:rPr>
          <w:fldChar w:fldCharType="separate"/>
        </w:r>
        <w:r w:rsidR="001C19F3">
          <w:rPr>
            <w:noProof/>
            <w:webHidden/>
          </w:rPr>
          <w:t>24</w:t>
        </w:r>
        <w:r w:rsidR="001C19F3">
          <w:rPr>
            <w:noProof/>
            <w:webHidden/>
          </w:rPr>
          <w:fldChar w:fldCharType="end"/>
        </w:r>
      </w:hyperlink>
    </w:p>
    <w:p w14:paraId="067988CE"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53" w:history="1">
        <w:r w:rsidR="001C19F3" w:rsidRPr="00F42C1E">
          <w:rPr>
            <w:rStyle w:val="Hyperlink"/>
            <w:noProof/>
          </w:rPr>
          <w:t>4.</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Patient enrolment</w:t>
        </w:r>
        <w:r w:rsidR="001C19F3">
          <w:rPr>
            <w:noProof/>
            <w:webHidden/>
          </w:rPr>
          <w:tab/>
        </w:r>
        <w:r w:rsidR="001C19F3">
          <w:rPr>
            <w:noProof/>
            <w:webHidden/>
          </w:rPr>
          <w:fldChar w:fldCharType="begin"/>
        </w:r>
        <w:r w:rsidR="001C19F3">
          <w:rPr>
            <w:noProof/>
            <w:webHidden/>
          </w:rPr>
          <w:instrText xml:space="preserve"> PAGEREF _Toc27056553 \h </w:instrText>
        </w:r>
        <w:r w:rsidR="001C19F3">
          <w:rPr>
            <w:noProof/>
            <w:webHidden/>
          </w:rPr>
        </w:r>
        <w:r w:rsidR="001C19F3">
          <w:rPr>
            <w:noProof/>
            <w:webHidden/>
          </w:rPr>
          <w:fldChar w:fldCharType="separate"/>
        </w:r>
        <w:r w:rsidR="001C19F3">
          <w:rPr>
            <w:noProof/>
            <w:webHidden/>
          </w:rPr>
          <w:t>35</w:t>
        </w:r>
        <w:r w:rsidR="001C19F3">
          <w:rPr>
            <w:noProof/>
            <w:webHidden/>
          </w:rPr>
          <w:fldChar w:fldCharType="end"/>
        </w:r>
      </w:hyperlink>
    </w:p>
    <w:p w14:paraId="7F81F2E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4" w:history="1">
        <w:r w:rsidR="001C19F3" w:rsidRPr="00F42C1E">
          <w:rPr>
            <w:rStyle w:val="Hyperlink"/>
            <w:noProof/>
          </w:rPr>
          <w:t>Patients enrolled</w:t>
        </w:r>
        <w:r w:rsidR="001C19F3">
          <w:rPr>
            <w:noProof/>
            <w:webHidden/>
          </w:rPr>
          <w:tab/>
        </w:r>
        <w:r w:rsidR="001C19F3">
          <w:rPr>
            <w:noProof/>
            <w:webHidden/>
          </w:rPr>
          <w:fldChar w:fldCharType="begin"/>
        </w:r>
        <w:r w:rsidR="001C19F3">
          <w:rPr>
            <w:noProof/>
            <w:webHidden/>
          </w:rPr>
          <w:instrText xml:space="preserve"> PAGEREF _Toc27056554 \h </w:instrText>
        </w:r>
        <w:r w:rsidR="001C19F3">
          <w:rPr>
            <w:noProof/>
            <w:webHidden/>
          </w:rPr>
        </w:r>
        <w:r w:rsidR="001C19F3">
          <w:rPr>
            <w:noProof/>
            <w:webHidden/>
          </w:rPr>
          <w:fldChar w:fldCharType="separate"/>
        </w:r>
        <w:r w:rsidR="001C19F3">
          <w:rPr>
            <w:noProof/>
            <w:webHidden/>
          </w:rPr>
          <w:t>35</w:t>
        </w:r>
        <w:r w:rsidR="001C19F3">
          <w:rPr>
            <w:noProof/>
            <w:webHidden/>
          </w:rPr>
          <w:fldChar w:fldCharType="end"/>
        </w:r>
      </w:hyperlink>
    </w:p>
    <w:p w14:paraId="37500D8A"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5" w:history="1">
        <w:r w:rsidR="001C19F3" w:rsidRPr="00F42C1E">
          <w:rPr>
            <w:rStyle w:val="Hyperlink"/>
            <w:noProof/>
          </w:rPr>
          <w:t>Reasons for patients withdrawing</w:t>
        </w:r>
        <w:r w:rsidR="001C19F3">
          <w:rPr>
            <w:noProof/>
            <w:webHidden/>
          </w:rPr>
          <w:tab/>
        </w:r>
        <w:r w:rsidR="001C19F3">
          <w:rPr>
            <w:noProof/>
            <w:webHidden/>
          </w:rPr>
          <w:fldChar w:fldCharType="begin"/>
        </w:r>
        <w:r w:rsidR="001C19F3">
          <w:rPr>
            <w:noProof/>
            <w:webHidden/>
          </w:rPr>
          <w:instrText xml:space="preserve"> PAGEREF _Toc27056555 \h </w:instrText>
        </w:r>
        <w:r w:rsidR="001C19F3">
          <w:rPr>
            <w:noProof/>
            <w:webHidden/>
          </w:rPr>
        </w:r>
        <w:r w:rsidR="001C19F3">
          <w:rPr>
            <w:noProof/>
            <w:webHidden/>
          </w:rPr>
          <w:fldChar w:fldCharType="separate"/>
        </w:r>
        <w:r w:rsidR="001C19F3">
          <w:rPr>
            <w:noProof/>
            <w:webHidden/>
          </w:rPr>
          <w:t>38</w:t>
        </w:r>
        <w:r w:rsidR="001C19F3">
          <w:rPr>
            <w:noProof/>
            <w:webHidden/>
          </w:rPr>
          <w:fldChar w:fldCharType="end"/>
        </w:r>
      </w:hyperlink>
    </w:p>
    <w:p w14:paraId="15243297"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6" w:history="1">
        <w:r w:rsidR="001C19F3" w:rsidRPr="00F42C1E">
          <w:rPr>
            <w:rStyle w:val="Hyperlink"/>
            <w:noProof/>
          </w:rPr>
          <w:t>Overview of the enrolment process</w:t>
        </w:r>
        <w:r w:rsidR="001C19F3">
          <w:rPr>
            <w:noProof/>
            <w:webHidden/>
          </w:rPr>
          <w:tab/>
        </w:r>
        <w:r w:rsidR="001C19F3">
          <w:rPr>
            <w:noProof/>
            <w:webHidden/>
          </w:rPr>
          <w:fldChar w:fldCharType="begin"/>
        </w:r>
        <w:r w:rsidR="001C19F3">
          <w:rPr>
            <w:noProof/>
            <w:webHidden/>
          </w:rPr>
          <w:instrText xml:space="preserve"> PAGEREF _Toc27056556 \h </w:instrText>
        </w:r>
        <w:r w:rsidR="001C19F3">
          <w:rPr>
            <w:noProof/>
            <w:webHidden/>
          </w:rPr>
        </w:r>
        <w:r w:rsidR="001C19F3">
          <w:rPr>
            <w:noProof/>
            <w:webHidden/>
          </w:rPr>
          <w:fldChar w:fldCharType="separate"/>
        </w:r>
        <w:r w:rsidR="001C19F3">
          <w:rPr>
            <w:noProof/>
            <w:webHidden/>
          </w:rPr>
          <w:t>38</w:t>
        </w:r>
        <w:r w:rsidR="001C19F3">
          <w:rPr>
            <w:noProof/>
            <w:webHidden/>
          </w:rPr>
          <w:fldChar w:fldCharType="end"/>
        </w:r>
      </w:hyperlink>
    </w:p>
    <w:p w14:paraId="28B57AF6"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7" w:history="1">
        <w:r w:rsidR="001C19F3" w:rsidRPr="00F42C1E">
          <w:rPr>
            <w:rStyle w:val="Hyperlink"/>
            <w:noProof/>
          </w:rPr>
          <w:t>How practices went about it</w:t>
        </w:r>
        <w:r w:rsidR="001C19F3">
          <w:rPr>
            <w:noProof/>
            <w:webHidden/>
          </w:rPr>
          <w:tab/>
        </w:r>
        <w:r w:rsidR="001C19F3">
          <w:rPr>
            <w:noProof/>
            <w:webHidden/>
          </w:rPr>
          <w:fldChar w:fldCharType="begin"/>
        </w:r>
        <w:r w:rsidR="001C19F3">
          <w:rPr>
            <w:noProof/>
            <w:webHidden/>
          </w:rPr>
          <w:instrText xml:space="preserve"> PAGEREF _Toc27056557 \h </w:instrText>
        </w:r>
        <w:r w:rsidR="001C19F3">
          <w:rPr>
            <w:noProof/>
            <w:webHidden/>
          </w:rPr>
        </w:r>
        <w:r w:rsidR="001C19F3">
          <w:rPr>
            <w:noProof/>
            <w:webHidden/>
          </w:rPr>
          <w:fldChar w:fldCharType="separate"/>
        </w:r>
        <w:r w:rsidR="001C19F3">
          <w:rPr>
            <w:noProof/>
            <w:webHidden/>
          </w:rPr>
          <w:t>39</w:t>
        </w:r>
        <w:r w:rsidR="001C19F3">
          <w:rPr>
            <w:noProof/>
            <w:webHidden/>
          </w:rPr>
          <w:fldChar w:fldCharType="end"/>
        </w:r>
      </w:hyperlink>
    </w:p>
    <w:p w14:paraId="553AFA5F"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58" w:history="1">
        <w:r w:rsidR="001C19F3" w:rsidRPr="00F42C1E">
          <w:rPr>
            <w:rStyle w:val="Hyperlink"/>
            <w:noProof/>
          </w:rPr>
          <w:t>5.</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Overview of HCH patients</w:t>
        </w:r>
        <w:r w:rsidR="001C19F3">
          <w:rPr>
            <w:noProof/>
            <w:webHidden/>
          </w:rPr>
          <w:tab/>
        </w:r>
        <w:r w:rsidR="001C19F3">
          <w:rPr>
            <w:noProof/>
            <w:webHidden/>
          </w:rPr>
          <w:fldChar w:fldCharType="begin"/>
        </w:r>
        <w:r w:rsidR="001C19F3">
          <w:rPr>
            <w:noProof/>
            <w:webHidden/>
          </w:rPr>
          <w:instrText xml:space="preserve"> PAGEREF _Toc27056558 \h </w:instrText>
        </w:r>
        <w:r w:rsidR="001C19F3">
          <w:rPr>
            <w:noProof/>
            <w:webHidden/>
          </w:rPr>
        </w:r>
        <w:r w:rsidR="001C19F3">
          <w:rPr>
            <w:noProof/>
            <w:webHidden/>
          </w:rPr>
          <w:fldChar w:fldCharType="separate"/>
        </w:r>
        <w:r w:rsidR="001C19F3">
          <w:rPr>
            <w:noProof/>
            <w:webHidden/>
          </w:rPr>
          <w:t>48</w:t>
        </w:r>
        <w:r w:rsidR="001C19F3">
          <w:rPr>
            <w:noProof/>
            <w:webHidden/>
          </w:rPr>
          <w:fldChar w:fldCharType="end"/>
        </w:r>
      </w:hyperlink>
    </w:p>
    <w:p w14:paraId="52A3E188"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59" w:history="1">
        <w:r w:rsidR="001C19F3" w:rsidRPr="00F42C1E">
          <w:rPr>
            <w:rStyle w:val="Hyperlink"/>
            <w:noProof/>
          </w:rPr>
          <w:t>Patient characteristics</w:t>
        </w:r>
        <w:r w:rsidR="001C19F3">
          <w:rPr>
            <w:noProof/>
            <w:webHidden/>
          </w:rPr>
          <w:tab/>
        </w:r>
        <w:r w:rsidR="001C19F3">
          <w:rPr>
            <w:noProof/>
            <w:webHidden/>
          </w:rPr>
          <w:fldChar w:fldCharType="begin"/>
        </w:r>
        <w:r w:rsidR="001C19F3">
          <w:rPr>
            <w:noProof/>
            <w:webHidden/>
          </w:rPr>
          <w:instrText xml:space="preserve"> PAGEREF _Toc27056559 \h </w:instrText>
        </w:r>
        <w:r w:rsidR="001C19F3">
          <w:rPr>
            <w:noProof/>
            <w:webHidden/>
          </w:rPr>
        </w:r>
        <w:r w:rsidR="001C19F3">
          <w:rPr>
            <w:noProof/>
            <w:webHidden/>
          </w:rPr>
          <w:fldChar w:fldCharType="separate"/>
        </w:r>
        <w:r w:rsidR="001C19F3">
          <w:rPr>
            <w:noProof/>
            <w:webHidden/>
          </w:rPr>
          <w:t>48</w:t>
        </w:r>
        <w:r w:rsidR="001C19F3">
          <w:rPr>
            <w:noProof/>
            <w:webHidden/>
          </w:rPr>
          <w:fldChar w:fldCharType="end"/>
        </w:r>
      </w:hyperlink>
    </w:p>
    <w:p w14:paraId="74100222"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0" w:history="1">
        <w:r w:rsidR="001C19F3" w:rsidRPr="00F42C1E">
          <w:rPr>
            <w:rStyle w:val="Hyperlink"/>
            <w:noProof/>
          </w:rPr>
          <w:t>HCH patient utilisation and access</w:t>
        </w:r>
        <w:r w:rsidR="001C19F3">
          <w:rPr>
            <w:noProof/>
            <w:webHidden/>
          </w:rPr>
          <w:tab/>
        </w:r>
        <w:r w:rsidR="001C19F3">
          <w:rPr>
            <w:noProof/>
            <w:webHidden/>
          </w:rPr>
          <w:fldChar w:fldCharType="begin"/>
        </w:r>
        <w:r w:rsidR="001C19F3">
          <w:rPr>
            <w:noProof/>
            <w:webHidden/>
          </w:rPr>
          <w:instrText xml:space="preserve"> PAGEREF _Toc27056560 \h </w:instrText>
        </w:r>
        <w:r w:rsidR="001C19F3">
          <w:rPr>
            <w:noProof/>
            <w:webHidden/>
          </w:rPr>
        </w:r>
        <w:r w:rsidR="001C19F3">
          <w:rPr>
            <w:noProof/>
            <w:webHidden/>
          </w:rPr>
          <w:fldChar w:fldCharType="separate"/>
        </w:r>
        <w:r w:rsidR="001C19F3">
          <w:rPr>
            <w:noProof/>
            <w:webHidden/>
          </w:rPr>
          <w:t>50</w:t>
        </w:r>
        <w:r w:rsidR="001C19F3">
          <w:rPr>
            <w:noProof/>
            <w:webHidden/>
          </w:rPr>
          <w:fldChar w:fldCharType="end"/>
        </w:r>
      </w:hyperlink>
    </w:p>
    <w:p w14:paraId="252EC97D"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1" w:history="1">
        <w:r w:rsidR="001C19F3" w:rsidRPr="00F42C1E">
          <w:rPr>
            <w:rStyle w:val="Hyperlink"/>
            <w:noProof/>
          </w:rPr>
          <w:t>HCH patient health status</w:t>
        </w:r>
        <w:r w:rsidR="001C19F3">
          <w:rPr>
            <w:noProof/>
            <w:webHidden/>
          </w:rPr>
          <w:tab/>
        </w:r>
        <w:r w:rsidR="001C19F3">
          <w:rPr>
            <w:noProof/>
            <w:webHidden/>
          </w:rPr>
          <w:fldChar w:fldCharType="begin"/>
        </w:r>
        <w:r w:rsidR="001C19F3">
          <w:rPr>
            <w:noProof/>
            <w:webHidden/>
          </w:rPr>
          <w:instrText xml:space="preserve"> PAGEREF _Toc27056561 \h </w:instrText>
        </w:r>
        <w:r w:rsidR="001C19F3">
          <w:rPr>
            <w:noProof/>
            <w:webHidden/>
          </w:rPr>
        </w:r>
        <w:r w:rsidR="001C19F3">
          <w:rPr>
            <w:noProof/>
            <w:webHidden/>
          </w:rPr>
          <w:fldChar w:fldCharType="separate"/>
        </w:r>
        <w:r w:rsidR="001C19F3">
          <w:rPr>
            <w:noProof/>
            <w:webHidden/>
          </w:rPr>
          <w:t>52</w:t>
        </w:r>
        <w:r w:rsidR="001C19F3">
          <w:rPr>
            <w:noProof/>
            <w:webHidden/>
          </w:rPr>
          <w:fldChar w:fldCharType="end"/>
        </w:r>
      </w:hyperlink>
    </w:p>
    <w:p w14:paraId="0EF4930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2" w:history="1">
        <w:r w:rsidR="001C19F3" w:rsidRPr="00F42C1E">
          <w:rPr>
            <w:rStyle w:val="Hyperlink"/>
            <w:noProof/>
          </w:rPr>
          <w:t>Patient activation</w:t>
        </w:r>
        <w:r w:rsidR="001C19F3">
          <w:rPr>
            <w:noProof/>
            <w:webHidden/>
          </w:rPr>
          <w:tab/>
        </w:r>
        <w:r w:rsidR="001C19F3">
          <w:rPr>
            <w:noProof/>
            <w:webHidden/>
          </w:rPr>
          <w:fldChar w:fldCharType="begin"/>
        </w:r>
        <w:r w:rsidR="001C19F3">
          <w:rPr>
            <w:noProof/>
            <w:webHidden/>
          </w:rPr>
          <w:instrText xml:space="preserve"> PAGEREF _Toc27056562 \h </w:instrText>
        </w:r>
        <w:r w:rsidR="001C19F3">
          <w:rPr>
            <w:noProof/>
            <w:webHidden/>
          </w:rPr>
        </w:r>
        <w:r w:rsidR="001C19F3">
          <w:rPr>
            <w:noProof/>
            <w:webHidden/>
          </w:rPr>
          <w:fldChar w:fldCharType="separate"/>
        </w:r>
        <w:r w:rsidR="001C19F3">
          <w:rPr>
            <w:noProof/>
            <w:webHidden/>
          </w:rPr>
          <w:t>56</w:t>
        </w:r>
        <w:r w:rsidR="001C19F3">
          <w:rPr>
            <w:noProof/>
            <w:webHidden/>
          </w:rPr>
          <w:fldChar w:fldCharType="end"/>
        </w:r>
      </w:hyperlink>
    </w:p>
    <w:p w14:paraId="57BA6756"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63" w:history="1">
        <w:r w:rsidR="001C19F3" w:rsidRPr="00F42C1E">
          <w:rPr>
            <w:rStyle w:val="Hyperlink"/>
            <w:noProof/>
          </w:rPr>
          <w:t>6.</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Support and training for practices</w:t>
        </w:r>
        <w:r w:rsidR="001C19F3">
          <w:rPr>
            <w:noProof/>
            <w:webHidden/>
          </w:rPr>
          <w:tab/>
        </w:r>
        <w:r w:rsidR="001C19F3">
          <w:rPr>
            <w:noProof/>
            <w:webHidden/>
          </w:rPr>
          <w:fldChar w:fldCharType="begin"/>
        </w:r>
        <w:r w:rsidR="001C19F3">
          <w:rPr>
            <w:noProof/>
            <w:webHidden/>
          </w:rPr>
          <w:instrText xml:space="preserve"> PAGEREF _Toc27056563 \h </w:instrText>
        </w:r>
        <w:r w:rsidR="001C19F3">
          <w:rPr>
            <w:noProof/>
            <w:webHidden/>
          </w:rPr>
        </w:r>
        <w:r w:rsidR="001C19F3">
          <w:rPr>
            <w:noProof/>
            <w:webHidden/>
          </w:rPr>
          <w:fldChar w:fldCharType="separate"/>
        </w:r>
        <w:r w:rsidR="001C19F3">
          <w:rPr>
            <w:noProof/>
            <w:webHidden/>
          </w:rPr>
          <w:t>58</w:t>
        </w:r>
        <w:r w:rsidR="001C19F3">
          <w:rPr>
            <w:noProof/>
            <w:webHidden/>
          </w:rPr>
          <w:fldChar w:fldCharType="end"/>
        </w:r>
      </w:hyperlink>
    </w:p>
    <w:p w14:paraId="251B339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4" w:history="1">
        <w:r w:rsidR="001C19F3" w:rsidRPr="00F42C1E">
          <w:rPr>
            <w:rStyle w:val="Hyperlink"/>
            <w:noProof/>
          </w:rPr>
          <w:t>PHN practice facilitation and support</w:t>
        </w:r>
        <w:r w:rsidR="001C19F3">
          <w:rPr>
            <w:noProof/>
            <w:webHidden/>
          </w:rPr>
          <w:tab/>
        </w:r>
        <w:r w:rsidR="001C19F3">
          <w:rPr>
            <w:noProof/>
            <w:webHidden/>
          </w:rPr>
          <w:fldChar w:fldCharType="begin"/>
        </w:r>
        <w:r w:rsidR="001C19F3">
          <w:rPr>
            <w:noProof/>
            <w:webHidden/>
          </w:rPr>
          <w:instrText xml:space="preserve"> PAGEREF _Toc27056564 \h </w:instrText>
        </w:r>
        <w:r w:rsidR="001C19F3">
          <w:rPr>
            <w:noProof/>
            <w:webHidden/>
          </w:rPr>
        </w:r>
        <w:r w:rsidR="001C19F3">
          <w:rPr>
            <w:noProof/>
            <w:webHidden/>
          </w:rPr>
          <w:fldChar w:fldCharType="separate"/>
        </w:r>
        <w:r w:rsidR="001C19F3">
          <w:rPr>
            <w:noProof/>
            <w:webHidden/>
          </w:rPr>
          <w:t>58</w:t>
        </w:r>
        <w:r w:rsidR="001C19F3">
          <w:rPr>
            <w:noProof/>
            <w:webHidden/>
          </w:rPr>
          <w:fldChar w:fldCharType="end"/>
        </w:r>
      </w:hyperlink>
    </w:p>
    <w:p w14:paraId="1F982B63"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5" w:history="1">
        <w:r w:rsidR="001C19F3" w:rsidRPr="00F42C1E">
          <w:rPr>
            <w:rStyle w:val="Hyperlink"/>
            <w:noProof/>
          </w:rPr>
          <w:t>Training for practices</w:t>
        </w:r>
        <w:r w:rsidR="001C19F3">
          <w:rPr>
            <w:noProof/>
            <w:webHidden/>
          </w:rPr>
          <w:tab/>
        </w:r>
        <w:r w:rsidR="001C19F3">
          <w:rPr>
            <w:noProof/>
            <w:webHidden/>
          </w:rPr>
          <w:fldChar w:fldCharType="begin"/>
        </w:r>
        <w:r w:rsidR="001C19F3">
          <w:rPr>
            <w:noProof/>
            <w:webHidden/>
          </w:rPr>
          <w:instrText xml:space="preserve"> PAGEREF _Toc27056565 \h </w:instrText>
        </w:r>
        <w:r w:rsidR="001C19F3">
          <w:rPr>
            <w:noProof/>
            <w:webHidden/>
          </w:rPr>
        </w:r>
        <w:r w:rsidR="001C19F3">
          <w:rPr>
            <w:noProof/>
            <w:webHidden/>
          </w:rPr>
          <w:fldChar w:fldCharType="separate"/>
        </w:r>
        <w:r w:rsidR="001C19F3">
          <w:rPr>
            <w:noProof/>
            <w:webHidden/>
          </w:rPr>
          <w:t>75</w:t>
        </w:r>
        <w:r w:rsidR="001C19F3">
          <w:rPr>
            <w:noProof/>
            <w:webHidden/>
          </w:rPr>
          <w:fldChar w:fldCharType="end"/>
        </w:r>
      </w:hyperlink>
    </w:p>
    <w:p w14:paraId="2BC53987"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66" w:history="1">
        <w:r w:rsidR="001C19F3" w:rsidRPr="00F42C1E">
          <w:rPr>
            <w:rStyle w:val="Hyperlink"/>
            <w:noProof/>
          </w:rPr>
          <w:t>7.</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Risk stratification</w:t>
        </w:r>
        <w:r w:rsidR="001C19F3">
          <w:rPr>
            <w:noProof/>
            <w:webHidden/>
          </w:rPr>
          <w:tab/>
        </w:r>
        <w:r w:rsidR="001C19F3">
          <w:rPr>
            <w:noProof/>
            <w:webHidden/>
          </w:rPr>
          <w:fldChar w:fldCharType="begin"/>
        </w:r>
        <w:r w:rsidR="001C19F3">
          <w:rPr>
            <w:noProof/>
            <w:webHidden/>
          </w:rPr>
          <w:instrText xml:space="preserve"> PAGEREF _Toc27056566 \h </w:instrText>
        </w:r>
        <w:r w:rsidR="001C19F3">
          <w:rPr>
            <w:noProof/>
            <w:webHidden/>
          </w:rPr>
        </w:r>
        <w:r w:rsidR="001C19F3">
          <w:rPr>
            <w:noProof/>
            <w:webHidden/>
          </w:rPr>
          <w:fldChar w:fldCharType="separate"/>
        </w:r>
        <w:r w:rsidR="001C19F3">
          <w:rPr>
            <w:noProof/>
            <w:webHidden/>
          </w:rPr>
          <w:t>83</w:t>
        </w:r>
        <w:r w:rsidR="001C19F3">
          <w:rPr>
            <w:noProof/>
            <w:webHidden/>
          </w:rPr>
          <w:fldChar w:fldCharType="end"/>
        </w:r>
      </w:hyperlink>
    </w:p>
    <w:p w14:paraId="483CAB3C"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7" w:history="1">
        <w:r w:rsidR="001C19F3" w:rsidRPr="00F42C1E">
          <w:rPr>
            <w:rStyle w:val="Hyperlink"/>
            <w:rFonts w:eastAsia="Times New Roman"/>
            <w:noProof/>
          </w:rPr>
          <w:t>Overview of risk stratification for HCH</w:t>
        </w:r>
        <w:r w:rsidR="001C19F3">
          <w:rPr>
            <w:noProof/>
            <w:webHidden/>
          </w:rPr>
          <w:tab/>
        </w:r>
        <w:r w:rsidR="001C19F3">
          <w:rPr>
            <w:noProof/>
            <w:webHidden/>
          </w:rPr>
          <w:fldChar w:fldCharType="begin"/>
        </w:r>
        <w:r w:rsidR="001C19F3">
          <w:rPr>
            <w:noProof/>
            <w:webHidden/>
          </w:rPr>
          <w:instrText xml:space="preserve"> PAGEREF _Toc27056567 \h </w:instrText>
        </w:r>
        <w:r w:rsidR="001C19F3">
          <w:rPr>
            <w:noProof/>
            <w:webHidden/>
          </w:rPr>
        </w:r>
        <w:r w:rsidR="001C19F3">
          <w:rPr>
            <w:noProof/>
            <w:webHidden/>
          </w:rPr>
          <w:fldChar w:fldCharType="separate"/>
        </w:r>
        <w:r w:rsidR="001C19F3">
          <w:rPr>
            <w:noProof/>
            <w:webHidden/>
          </w:rPr>
          <w:t>83</w:t>
        </w:r>
        <w:r w:rsidR="001C19F3">
          <w:rPr>
            <w:noProof/>
            <w:webHidden/>
          </w:rPr>
          <w:fldChar w:fldCharType="end"/>
        </w:r>
      </w:hyperlink>
    </w:p>
    <w:p w14:paraId="5A8209A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8" w:history="1">
        <w:r w:rsidR="001C19F3" w:rsidRPr="00F42C1E">
          <w:rPr>
            <w:rStyle w:val="Hyperlink"/>
            <w:rFonts w:eastAsia="Times New Roman"/>
            <w:noProof/>
          </w:rPr>
          <w:t>Initial data from the tool</w:t>
        </w:r>
        <w:r w:rsidR="001C19F3">
          <w:rPr>
            <w:noProof/>
            <w:webHidden/>
          </w:rPr>
          <w:tab/>
        </w:r>
        <w:r w:rsidR="001C19F3">
          <w:rPr>
            <w:noProof/>
            <w:webHidden/>
          </w:rPr>
          <w:fldChar w:fldCharType="begin"/>
        </w:r>
        <w:r w:rsidR="001C19F3">
          <w:rPr>
            <w:noProof/>
            <w:webHidden/>
          </w:rPr>
          <w:instrText xml:space="preserve"> PAGEREF _Toc27056568 \h </w:instrText>
        </w:r>
        <w:r w:rsidR="001C19F3">
          <w:rPr>
            <w:noProof/>
            <w:webHidden/>
          </w:rPr>
        </w:r>
        <w:r w:rsidR="001C19F3">
          <w:rPr>
            <w:noProof/>
            <w:webHidden/>
          </w:rPr>
          <w:fldChar w:fldCharType="separate"/>
        </w:r>
        <w:r w:rsidR="001C19F3">
          <w:rPr>
            <w:noProof/>
            <w:webHidden/>
          </w:rPr>
          <w:t>87</w:t>
        </w:r>
        <w:r w:rsidR="001C19F3">
          <w:rPr>
            <w:noProof/>
            <w:webHidden/>
          </w:rPr>
          <w:fldChar w:fldCharType="end"/>
        </w:r>
      </w:hyperlink>
    </w:p>
    <w:p w14:paraId="49B9BC0A"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69" w:history="1">
        <w:r w:rsidR="001C19F3" w:rsidRPr="00F42C1E">
          <w:rPr>
            <w:rStyle w:val="Hyperlink"/>
            <w:rFonts w:eastAsia="Times New Roman"/>
            <w:noProof/>
          </w:rPr>
          <w:t>User perspectives on the tool</w:t>
        </w:r>
        <w:r w:rsidR="001C19F3">
          <w:rPr>
            <w:noProof/>
            <w:webHidden/>
          </w:rPr>
          <w:tab/>
        </w:r>
        <w:r w:rsidR="001C19F3">
          <w:rPr>
            <w:noProof/>
            <w:webHidden/>
          </w:rPr>
          <w:fldChar w:fldCharType="begin"/>
        </w:r>
        <w:r w:rsidR="001C19F3">
          <w:rPr>
            <w:noProof/>
            <w:webHidden/>
          </w:rPr>
          <w:instrText xml:space="preserve"> PAGEREF _Toc27056569 \h </w:instrText>
        </w:r>
        <w:r w:rsidR="001C19F3">
          <w:rPr>
            <w:noProof/>
            <w:webHidden/>
          </w:rPr>
        </w:r>
        <w:r w:rsidR="001C19F3">
          <w:rPr>
            <w:noProof/>
            <w:webHidden/>
          </w:rPr>
          <w:fldChar w:fldCharType="separate"/>
        </w:r>
        <w:r w:rsidR="001C19F3">
          <w:rPr>
            <w:noProof/>
            <w:webHidden/>
          </w:rPr>
          <w:t>89</w:t>
        </w:r>
        <w:r w:rsidR="001C19F3">
          <w:rPr>
            <w:noProof/>
            <w:webHidden/>
          </w:rPr>
          <w:fldChar w:fldCharType="end"/>
        </w:r>
      </w:hyperlink>
    </w:p>
    <w:p w14:paraId="756F9A1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0" w:history="1">
        <w:r w:rsidR="001C19F3" w:rsidRPr="00F42C1E">
          <w:rPr>
            <w:rStyle w:val="Hyperlink"/>
            <w:rFonts w:eastAsia="Times New Roman"/>
            <w:noProof/>
          </w:rPr>
          <w:t>Other issues</w:t>
        </w:r>
        <w:r w:rsidR="001C19F3">
          <w:rPr>
            <w:noProof/>
            <w:webHidden/>
          </w:rPr>
          <w:tab/>
        </w:r>
        <w:r w:rsidR="001C19F3">
          <w:rPr>
            <w:noProof/>
            <w:webHidden/>
          </w:rPr>
          <w:fldChar w:fldCharType="begin"/>
        </w:r>
        <w:r w:rsidR="001C19F3">
          <w:rPr>
            <w:noProof/>
            <w:webHidden/>
          </w:rPr>
          <w:instrText xml:space="preserve"> PAGEREF _Toc27056570 \h </w:instrText>
        </w:r>
        <w:r w:rsidR="001C19F3">
          <w:rPr>
            <w:noProof/>
            <w:webHidden/>
          </w:rPr>
        </w:r>
        <w:r w:rsidR="001C19F3">
          <w:rPr>
            <w:noProof/>
            <w:webHidden/>
          </w:rPr>
          <w:fldChar w:fldCharType="separate"/>
        </w:r>
        <w:r w:rsidR="001C19F3">
          <w:rPr>
            <w:noProof/>
            <w:webHidden/>
          </w:rPr>
          <w:t>94</w:t>
        </w:r>
        <w:r w:rsidR="001C19F3">
          <w:rPr>
            <w:noProof/>
            <w:webHidden/>
          </w:rPr>
          <w:fldChar w:fldCharType="end"/>
        </w:r>
      </w:hyperlink>
    </w:p>
    <w:p w14:paraId="5576F849"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1" w:history="1">
        <w:r w:rsidR="001C19F3" w:rsidRPr="00F42C1E">
          <w:rPr>
            <w:rStyle w:val="Hyperlink"/>
            <w:rFonts w:eastAsia="Times New Roman"/>
            <w:noProof/>
          </w:rPr>
          <w:t>Suggestions for improving the risk stratification process</w:t>
        </w:r>
        <w:r w:rsidR="001C19F3">
          <w:rPr>
            <w:noProof/>
            <w:webHidden/>
          </w:rPr>
          <w:tab/>
        </w:r>
        <w:r w:rsidR="001C19F3">
          <w:rPr>
            <w:noProof/>
            <w:webHidden/>
          </w:rPr>
          <w:fldChar w:fldCharType="begin"/>
        </w:r>
        <w:r w:rsidR="001C19F3">
          <w:rPr>
            <w:noProof/>
            <w:webHidden/>
          </w:rPr>
          <w:instrText xml:space="preserve"> PAGEREF _Toc27056571 \h </w:instrText>
        </w:r>
        <w:r w:rsidR="001C19F3">
          <w:rPr>
            <w:noProof/>
            <w:webHidden/>
          </w:rPr>
        </w:r>
        <w:r w:rsidR="001C19F3">
          <w:rPr>
            <w:noProof/>
            <w:webHidden/>
          </w:rPr>
          <w:fldChar w:fldCharType="separate"/>
        </w:r>
        <w:r w:rsidR="001C19F3">
          <w:rPr>
            <w:noProof/>
            <w:webHidden/>
          </w:rPr>
          <w:t>96</w:t>
        </w:r>
        <w:r w:rsidR="001C19F3">
          <w:rPr>
            <w:noProof/>
            <w:webHidden/>
          </w:rPr>
          <w:fldChar w:fldCharType="end"/>
        </w:r>
      </w:hyperlink>
    </w:p>
    <w:p w14:paraId="501FEEA5"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72" w:history="1">
        <w:r w:rsidR="001C19F3" w:rsidRPr="00F42C1E">
          <w:rPr>
            <w:rStyle w:val="Hyperlink"/>
            <w:noProof/>
          </w:rPr>
          <w:t>8.</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Implementation of HCH within practices</w:t>
        </w:r>
        <w:r w:rsidR="001C19F3">
          <w:rPr>
            <w:noProof/>
            <w:webHidden/>
          </w:rPr>
          <w:tab/>
        </w:r>
        <w:r w:rsidR="001C19F3">
          <w:rPr>
            <w:noProof/>
            <w:webHidden/>
          </w:rPr>
          <w:fldChar w:fldCharType="begin"/>
        </w:r>
        <w:r w:rsidR="001C19F3">
          <w:rPr>
            <w:noProof/>
            <w:webHidden/>
          </w:rPr>
          <w:instrText xml:space="preserve"> PAGEREF _Toc27056572 \h </w:instrText>
        </w:r>
        <w:r w:rsidR="001C19F3">
          <w:rPr>
            <w:noProof/>
            <w:webHidden/>
          </w:rPr>
        </w:r>
        <w:r w:rsidR="001C19F3">
          <w:rPr>
            <w:noProof/>
            <w:webHidden/>
          </w:rPr>
          <w:fldChar w:fldCharType="separate"/>
        </w:r>
        <w:r w:rsidR="001C19F3">
          <w:rPr>
            <w:noProof/>
            <w:webHidden/>
          </w:rPr>
          <w:t>97</w:t>
        </w:r>
        <w:r w:rsidR="001C19F3">
          <w:rPr>
            <w:noProof/>
            <w:webHidden/>
          </w:rPr>
          <w:fldChar w:fldCharType="end"/>
        </w:r>
      </w:hyperlink>
    </w:p>
    <w:p w14:paraId="74131FE2"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73" w:history="1">
        <w:r w:rsidR="001C19F3" w:rsidRPr="00F42C1E">
          <w:rPr>
            <w:rStyle w:val="Hyperlink"/>
            <w:noProof/>
          </w:rPr>
          <w:t>9.</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The bundled payment</w:t>
        </w:r>
        <w:r w:rsidR="001C19F3">
          <w:rPr>
            <w:noProof/>
            <w:webHidden/>
          </w:rPr>
          <w:tab/>
        </w:r>
        <w:r w:rsidR="001C19F3">
          <w:rPr>
            <w:noProof/>
            <w:webHidden/>
          </w:rPr>
          <w:fldChar w:fldCharType="begin"/>
        </w:r>
        <w:r w:rsidR="001C19F3">
          <w:rPr>
            <w:noProof/>
            <w:webHidden/>
          </w:rPr>
          <w:instrText xml:space="preserve"> PAGEREF _Toc27056573 \h </w:instrText>
        </w:r>
        <w:r w:rsidR="001C19F3">
          <w:rPr>
            <w:noProof/>
            <w:webHidden/>
          </w:rPr>
        </w:r>
        <w:r w:rsidR="001C19F3">
          <w:rPr>
            <w:noProof/>
            <w:webHidden/>
          </w:rPr>
          <w:fldChar w:fldCharType="separate"/>
        </w:r>
        <w:r w:rsidR="001C19F3">
          <w:rPr>
            <w:noProof/>
            <w:webHidden/>
          </w:rPr>
          <w:t>125</w:t>
        </w:r>
        <w:r w:rsidR="001C19F3">
          <w:rPr>
            <w:noProof/>
            <w:webHidden/>
          </w:rPr>
          <w:fldChar w:fldCharType="end"/>
        </w:r>
      </w:hyperlink>
    </w:p>
    <w:p w14:paraId="1CBB092E"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4" w:history="1">
        <w:r w:rsidR="001C19F3" w:rsidRPr="00F42C1E">
          <w:rPr>
            <w:rStyle w:val="Hyperlink"/>
            <w:noProof/>
          </w:rPr>
          <w:t>Overview</w:t>
        </w:r>
        <w:r w:rsidR="001C19F3">
          <w:rPr>
            <w:noProof/>
            <w:webHidden/>
          </w:rPr>
          <w:tab/>
        </w:r>
        <w:r w:rsidR="001C19F3">
          <w:rPr>
            <w:noProof/>
            <w:webHidden/>
          </w:rPr>
          <w:fldChar w:fldCharType="begin"/>
        </w:r>
        <w:r w:rsidR="001C19F3">
          <w:rPr>
            <w:noProof/>
            <w:webHidden/>
          </w:rPr>
          <w:instrText xml:space="preserve"> PAGEREF _Toc27056574 \h </w:instrText>
        </w:r>
        <w:r w:rsidR="001C19F3">
          <w:rPr>
            <w:noProof/>
            <w:webHidden/>
          </w:rPr>
        </w:r>
        <w:r w:rsidR="001C19F3">
          <w:rPr>
            <w:noProof/>
            <w:webHidden/>
          </w:rPr>
          <w:fldChar w:fldCharType="separate"/>
        </w:r>
        <w:r w:rsidR="001C19F3">
          <w:rPr>
            <w:noProof/>
            <w:webHidden/>
          </w:rPr>
          <w:t>125</w:t>
        </w:r>
        <w:r w:rsidR="001C19F3">
          <w:rPr>
            <w:noProof/>
            <w:webHidden/>
          </w:rPr>
          <w:fldChar w:fldCharType="end"/>
        </w:r>
      </w:hyperlink>
    </w:p>
    <w:p w14:paraId="4E5BE8BA"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5" w:history="1">
        <w:r w:rsidR="001C19F3" w:rsidRPr="00F42C1E">
          <w:rPr>
            <w:rStyle w:val="Hyperlink"/>
            <w:noProof/>
          </w:rPr>
          <w:t>Practice and PHN perspectives on the bundled payment</w:t>
        </w:r>
        <w:r w:rsidR="001C19F3">
          <w:rPr>
            <w:noProof/>
            <w:webHidden/>
          </w:rPr>
          <w:tab/>
        </w:r>
        <w:r w:rsidR="001C19F3">
          <w:rPr>
            <w:noProof/>
            <w:webHidden/>
          </w:rPr>
          <w:fldChar w:fldCharType="begin"/>
        </w:r>
        <w:r w:rsidR="001C19F3">
          <w:rPr>
            <w:noProof/>
            <w:webHidden/>
          </w:rPr>
          <w:instrText xml:space="preserve"> PAGEREF _Toc27056575 \h </w:instrText>
        </w:r>
        <w:r w:rsidR="001C19F3">
          <w:rPr>
            <w:noProof/>
            <w:webHidden/>
          </w:rPr>
        </w:r>
        <w:r w:rsidR="001C19F3">
          <w:rPr>
            <w:noProof/>
            <w:webHidden/>
          </w:rPr>
          <w:fldChar w:fldCharType="separate"/>
        </w:r>
        <w:r w:rsidR="001C19F3">
          <w:rPr>
            <w:noProof/>
            <w:webHidden/>
          </w:rPr>
          <w:t>127</w:t>
        </w:r>
        <w:r w:rsidR="001C19F3">
          <w:rPr>
            <w:noProof/>
            <w:webHidden/>
          </w:rPr>
          <w:fldChar w:fldCharType="end"/>
        </w:r>
      </w:hyperlink>
    </w:p>
    <w:p w14:paraId="36FBF832" w14:textId="77777777" w:rsidR="001C19F3" w:rsidRDefault="00831110" w:rsidP="001C19F3">
      <w:pPr>
        <w:pStyle w:val="TOC1"/>
        <w:tabs>
          <w:tab w:val="left" w:pos="660"/>
        </w:tabs>
        <w:rPr>
          <w:rFonts w:asciiTheme="minorHAnsi" w:eastAsiaTheme="minorEastAsia" w:hAnsiTheme="minorHAnsi" w:cstheme="minorBidi"/>
          <w:i w:val="0"/>
          <w:noProof/>
          <w:color w:val="auto"/>
          <w:sz w:val="22"/>
          <w:lang w:val="en-AU" w:eastAsia="en-AU"/>
        </w:rPr>
      </w:pPr>
      <w:hyperlink w:anchor="_Toc27056576" w:history="1">
        <w:r w:rsidR="001C19F3" w:rsidRPr="00F42C1E">
          <w:rPr>
            <w:rStyle w:val="Hyperlink"/>
            <w:noProof/>
          </w:rPr>
          <w:t>10.</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Shared care planning</w:t>
        </w:r>
        <w:r w:rsidR="001C19F3">
          <w:rPr>
            <w:noProof/>
            <w:webHidden/>
          </w:rPr>
          <w:tab/>
        </w:r>
        <w:r w:rsidR="001C19F3">
          <w:rPr>
            <w:noProof/>
            <w:webHidden/>
          </w:rPr>
          <w:fldChar w:fldCharType="begin"/>
        </w:r>
        <w:r w:rsidR="001C19F3">
          <w:rPr>
            <w:noProof/>
            <w:webHidden/>
          </w:rPr>
          <w:instrText xml:space="preserve"> PAGEREF _Toc27056576 \h </w:instrText>
        </w:r>
        <w:r w:rsidR="001C19F3">
          <w:rPr>
            <w:noProof/>
            <w:webHidden/>
          </w:rPr>
        </w:r>
        <w:r w:rsidR="001C19F3">
          <w:rPr>
            <w:noProof/>
            <w:webHidden/>
          </w:rPr>
          <w:fldChar w:fldCharType="separate"/>
        </w:r>
        <w:r w:rsidR="001C19F3">
          <w:rPr>
            <w:noProof/>
            <w:webHidden/>
          </w:rPr>
          <w:t>131</w:t>
        </w:r>
        <w:r w:rsidR="001C19F3">
          <w:rPr>
            <w:noProof/>
            <w:webHidden/>
          </w:rPr>
          <w:fldChar w:fldCharType="end"/>
        </w:r>
      </w:hyperlink>
    </w:p>
    <w:p w14:paraId="7B6D5AB8"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7" w:history="1">
        <w:r w:rsidR="001C19F3" w:rsidRPr="00F42C1E">
          <w:rPr>
            <w:rStyle w:val="Hyperlink"/>
            <w:rFonts w:eastAsia="Times New Roman"/>
            <w:noProof/>
          </w:rPr>
          <w:t>How practices selected a shared care planning tool</w:t>
        </w:r>
        <w:r w:rsidR="001C19F3">
          <w:rPr>
            <w:noProof/>
            <w:webHidden/>
          </w:rPr>
          <w:tab/>
        </w:r>
        <w:r w:rsidR="001C19F3">
          <w:rPr>
            <w:noProof/>
            <w:webHidden/>
          </w:rPr>
          <w:fldChar w:fldCharType="begin"/>
        </w:r>
        <w:r w:rsidR="001C19F3">
          <w:rPr>
            <w:noProof/>
            <w:webHidden/>
          </w:rPr>
          <w:instrText xml:space="preserve"> PAGEREF _Toc27056577 \h </w:instrText>
        </w:r>
        <w:r w:rsidR="001C19F3">
          <w:rPr>
            <w:noProof/>
            <w:webHidden/>
          </w:rPr>
        </w:r>
        <w:r w:rsidR="001C19F3">
          <w:rPr>
            <w:noProof/>
            <w:webHidden/>
          </w:rPr>
          <w:fldChar w:fldCharType="separate"/>
        </w:r>
        <w:r w:rsidR="001C19F3">
          <w:rPr>
            <w:noProof/>
            <w:webHidden/>
          </w:rPr>
          <w:t>131</w:t>
        </w:r>
        <w:r w:rsidR="001C19F3">
          <w:rPr>
            <w:noProof/>
            <w:webHidden/>
          </w:rPr>
          <w:fldChar w:fldCharType="end"/>
        </w:r>
      </w:hyperlink>
    </w:p>
    <w:p w14:paraId="2D3E4CC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8" w:history="1">
        <w:r w:rsidR="001C19F3" w:rsidRPr="00F42C1E">
          <w:rPr>
            <w:rStyle w:val="Hyperlink"/>
            <w:rFonts w:eastAsia="Times New Roman"/>
            <w:noProof/>
          </w:rPr>
          <w:t>Issues with the tools</w:t>
        </w:r>
        <w:r w:rsidR="001C19F3">
          <w:rPr>
            <w:noProof/>
            <w:webHidden/>
          </w:rPr>
          <w:tab/>
        </w:r>
        <w:r w:rsidR="001C19F3">
          <w:rPr>
            <w:noProof/>
            <w:webHidden/>
          </w:rPr>
          <w:fldChar w:fldCharType="begin"/>
        </w:r>
        <w:r w:rsidR="001C19F3">
          <w:rPr>
            <w:noProof/>
            <w:webHidden/>
          </w:rPr>
          <w:instrText xml:space="preserve"> PAGEREF _Toc27056578 \h </w:instrText>
        </w:r>
        <w:r w:rsidR="001C19F3">
          <w:rPr>
            <w:noProof/>
            <w:webHidden/>
          </w:rPr>
        </w:r>
        <w:r w:rsidR="001C19F3">
          <w:rPr>
            <w:noProof/>
            <w:webHidden/>
          </w:rPr>
          <w:fldChar w:fldCharType="separate"/>
        </w:r>
        <w:r w:rsidR="001C19F3">
          <w:rPr>
            <w:noProof/>
            <w:webHidden/>
          </w:rPr>
          <w:t>132</w:t>
        </w:r>
        <w:r w:rsidR="001C19F3">
          <w:rPr>
            <w:noProof/>
            <w:webHidden/>
          </w:rPr>
          <w:fldChar w:fldCharType="end"/>
        </w:r>
      </w:hyperlink>
    </w:p>
    <w:p w14:paraId="4A13C1DC"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79" w:history="1">
        <w:r w:rsidR="001C19F3" w:rsidRPr="00F42C1E">
          <w:rPr>
            <w:rStyle w:val="Hyperlink"/>
            <w:rFonts w:eastAsia="Times New Roman"/>
            <w:noProof/>
          </w:rPr>
          <w:t>Interoperability</w:t>
        </w:r>
        <w:r w:rsidR="001C19F3">
          <w:rPr>
            <w:noProof/>
            <w:webHidden/>
          </w:rPr>
          <w:tab/>
        </w:r>
        <w:r w:rsidR="001C19F3">
          <w:rPr>
            <w:noProof/>
            <w:webHidden/>
          </w:rPr>
          <w:fldChar w:fldCharType="begin"/>
        </w:r>
        <w:r w:rsidR="001C19F3">
          <w:rPr>
            <w:noProof/>
            <w:webHidden/>
          </w:rPr>
          <w:instrText xml:space="preserve"> PAGEREF _Toc27056579 \h </w:instrText>
        </w:r>
        <w:r w:rsidR="001C19F3">
          <w:rPr>
            <w:noProof/>
            <w:webHidden/>
          </w:rPr>
        </w:r>
        <w:r w:rsidR="001C19F3">
          <w:rPr>
            <w:noProof/>
            <w:webHidden/>
          </w:rPr>
          <w:fldChar w:fldCharType="separate"/>
        </w:r>
        <w:r w:rsidR="001C19F3">
          <w:rPr>
            <w:noProof/>
            <w:webHidden/>
          </w:rPr>
          <w:t>133</w:t>
        </w:r>
        <w:r w:rsidR="001C19F3">
          <w:rPr>
            <w:noProof/>
            <w:webHidden/>
          </w:rPr>
          <w:fldChar w:fldCharType="end"/>
        </w:r>
      </w:hyperlink>
    </w:p>
    <w:p w14:paraId="7300F9C6" w14:textId="77777777" w:rsidR="001C19F3" w:rsidRDefault="00831110" w:rsidP="001C19F3">
      <w:pPr>
        <w:pStyle w:val="TOC1"/>
        <w:tabs>
          <w:tab w:val="left" w:pos="660"/>
        </w:tabs>
        <w:rPr>
          <w:rFonts w:asciiTheme="minorHAnsi" w:eastAsiaTheme="minorEastAsia" w:hAnsiTheme="minorHAnsi" w:cstheme="minorBidi"/>
          <w:i w:val="0"/>
          <w:noProof/>
          <w:color w:val="auto"/>
          <w:sz w:val="22"/>
          <w:lang w:val="en-AU" w:eastAsia="en-AU"/>
        </w:rPr>
      </w:pPr>
      <w:hyperlink w:anchor="_Toc27056580" w:history="1">
        <w:r w:rsidR="001C19F3" w:rsidRPr="00F42C1E">
          <w:rPr>
            <w:rStyle w:val="Hyperlink"/>
            <w:noProof/>
          </w:rPr>
          <w:t>11.</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Community pharmacy in HCH</w:t>
        </w:r>
        <w:r w:rsidR="001C19F3">
          <w:rPr>
            <w:noProof/>
            <w:webHidden/>
          </w:rPr>
          <w:tab/>
        </w:r>
        <w:r w:rsidR="001C19F3">
          <w:rPr>
            <w:noProof/>
            <w:webHidden/>
          </w:rPr>
          <w:fldChar w:fldCharType="begin"/>
        </w:r>
        <w:r w:rsidR="001C19F3">
          <w:rPr>
            <w:noProof/>
            <w:webHidden/>
          </w:rPr>
          <w:instrText xml:space="preserve"> PAGEREF _Toc27056580 \h </w:instrText>
        </w:r>
        <w:r w:rsidR="001C19F3">
          <w:rPr>
            <w:noProof/>
            <w:webHidden/>
          </w:rPr>
        </w:r>
        <w:r w:rsidR="001C19F3">
          <w:rPr>
            <w:noProof/>
            <w:webHidden/>
          </w:rPr>
          <w:fldChar w:fldCharType="separate"/>
        </w:r>
        <w:r w:rsidR="001C19F3">
          <w:rPr>
            <w:noProof/>
            <w:webHidden/>
          </w:rPr>
          <w:t>138</w:t>
        </w:r>
        <w:r w:rsidR="001C19F3">
          <w:rPr>
            <w:noProof/>
            <w:webHidden/>
          </w:rPr>
          <w:fldChar w:fldCharType="end"/>
        </w:r>
      </w:hyperlink>
    </w:p>
    <w:p w14:paraId="077B0D81" w14:textId="77777777" w:rsidR="001C19F3" w:rsidRDefault="00831110" w:rsidP="001C19F3">
      <w:pPr>
        <w:pStyle w:val="TOC1"/>
        <w:tabs>
          <w:tab w:val="left" w:pos="660"/>
        </w:tabs>
        <w:rPr>
          <w:rFonts w:asciiTheme="minorHAnsi" w:eastAsiaTheme="minorEastAsia" w:hAnsiTheme="minorHAnsi" w:cstheme="minorBidi"/>
          <w:i w:val="0"/>
          <w:noProof/>
          <w:color w:val="auto"/>
          <w:sz w:val="22"/>
          <w:lang w:val="en-AU" w:eastAsia="en-AU"/>
        </w:rPr>
      </w:pPr>
      <w:hyperlink w:anchor="_Toc27056581" w:history="1">
        <w:r w:rsidR="001C19F3" w:rsidRPr="00F42C1E">
          <w:rPr>
            <w:rStyle w:val="Hyperlink"/>
            <w:noProof/>
          </w:rPr>
          <w:t>12.</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Patient and carer experiences</w:t>
        </w:r>
        <w:r w:rsidR="001C19F3">
          <w:rPr>
            <w:noProof/>
            <w:webHidden/>
          </w:rPr>
          <w:tab/>
        </w:r>
        <w:r w:rsidR="001C19F3">
          <w:rPr>
            <w:noProof/>
            <w:webHidden/>
          </w:rPr>
          <w:fldChar w:fldCharType="begin"/>
        </w:r>
        <w:r w:rsidR="001C19F3">
          <w:rPr>
            <w:noProof/>
            <w:webHidden/>
          </w:rPr>
          <w:instrText xml:space="preserve"> PAGEREF _Toc27056581 \h </w:instrText>
        </w:r>
        <w:r w:rsidR="001C19F3">
          <w:rPr>
            <w:noProof/>
            <w:webHidden/>
          </w:rPr>
        </w:r>
        <w:r w:rsidR="001C19F3">
          <w:rPr>
            <w:noProof/>
            <w:webHidden/>
          </w:rPr>
          <w:fldChar w:fldCharType="separate"/>
        </w:r>
        <w:r w:rsidR="001C19F3">
          <w:rPr>
            <w:noProof/>
            <w:webHidden/>
          </w:rPr>
          <w:t>142</w:t>
        </w:r>
        <w:r w:rsidR="001C19F3">
          <w:rPr>
            <w:noProof/>
            <w:webHidden/>
          </w:rPr>
          <w:fldChar w:fldCharType="end"/>
        </w:r>
      </w:hyperlink>
    </w:p>
    <w:p w14:paraId="16C1C8FC" w14:textId="77777777" w:rsidR="001C19F3" w:rsidRDefault="00831110" w:rsidP="001C19F3">
      <w:pPr>
        <w:pStyle w:val="TOC1"/>
        <w:tabs>
          <w:tab w:val="left" w:pos="660"/>
        </w:tabs>
        <w:rPr>
          <w:rFonts w:asciiTheme="minorHAnsi" w:eastAsiaTheme="minorEastAsia" w:hAnsiTheme="minorHAnsi" w:cstheme="minorBidi"/>
          <w:i w:val="0"/>
          <w:noProof/>
          <w:color w:val="auto"/>
          <w:sz w:val="22"/>
          <w:lang w:val="en-AU" w:eastAsia="en-AU"/>
        </w:rPr>
      </w:pPr>
      <w:hyperlink w:anchor="_Toc27056582" w:history="1">
        <w:r w:rsidR="001C19F3" w:rsidRPr="00F42C1E">
          <w:rPr>
            <w:rStyle w:val="Hyperlink"/>
            <w:noProof/>
          </w:rPr>
          <w:t>13.</w:t>
        </w:r>
        <w:r w:rsidR="001C19F3">
          <w:rPr>
            <w:rFonts w:asciiTheme="minorHAnsi" w:eastAsiaTheme="minorEastAsia" w:hAnsiTheme="minorHAnsi" w:cstheme="minorBidi"/>
            <w:i w:val="0"/>
            <w:noProof/>
            <w:color w:val="auto"/>
            <w:sz w:val="22"/>
            <w:lang w:val="en-AU" w:eastAsia="en-AU"/>
          </w:rPr>
          <w:tab/>
        </w:r>
        <w:r w:rsidR="001C19F3" w:rsidRPr="00F42C1E">
          <w:rPr>
            <w:rStyle w:val="Hyperlink"/>
            <w:noProof/>
          </w:rPr>
          <w:t>Conclusion</w:t>
        </w:r>
        <w:r w:rsidR="001C19F3">
          <w:rPr>
            <w:noProof/>
            <w:webHidden/>
          </w:rPr>
          <w:tab/>
        </w:r>
        <w:r w:rsidR="001C19F3">
          <w:rPr>
            <w:noProof/>
            <w:webHidden/>
          </w:rPr>
          <w:fldChar w:fldCharType="begin"/>
        </w:r>
        <w:r w:rsidR="001C19F3">
          <w:rPr>
            <w:noProof/>
            <w:webHidden/>
          </w:rPr>
          <w:instrText xml:space="preserve"> PAGEREF _Toc27056582 \h </w:instrText>
        </w:r>
        <w:r w:rsidR="001C19F3">
          <w:rPr>
            <w:noProof/>
            <w:webHidden/>
          </w:rPr>
        </w:r>
        <w:r w:rsidR="001C19F3">
          <w:rPr>
            <w:noProof/>
            <w:webHidden/>
          </w:rPr>
          <w:fldChar w:fldCharType="separate"/>
        </w:r>
        <w:r w:rsidR="001C19F3">
          <w:rPr>
            <w:noProof/>
            <w:webHidden/>
          </w:rPr>
          <w:t>166</w:t>
        </w:r>
        <w:r w:rsidR="001C19F3">
          <w:rPr>
            <w:noProof/>
            <w:webHidden/>
          </w:rPr>
          <w:fldChar w:fldCharType="end"/>
        </w:r>
      </w:hyperlink>
    </w:p>
    <w:p w14:paraId="23482B17"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83" w:history="1">
        <w:r w:rsidR="001C19F3" w:rsidRPr="00F42C1E">
          <w:rPr>
            <w:rStyle w:val="Hyperlink"/>
            <w:rFonts w:eastAsia="Times New Roman"/>
            <w:noProof/>
            <w:lang w:eastAsia="en-AU"/>
          </w:rPr>
          <w:t>General findings</w:t>
        </w:r>
        <w:r w:rsidR="001C19F3">
          <w:rPr>
            <w:noProof/>
            <w:webHidden/>
          </w:rPr>
          <w:tab/>
        </w:r>
        <w:r w:rsidR="001C19F3">
          <w:rPr>
            <w:noProof/>
            <w:webHidden/>
          </w:rPr>
          <w:fldChar w:fldCharType="begin"/>
        </w:r>
        <w:r w:rsidR="001C19F3">
          <w:rPr>
            <w:noProof/>
            <w:webHidden/>
          </w:rPr>
          <w:instrText xml:space="preserve"> PAGEREF _Toc27056583 \h </w:instrText>
        </w:r>
        <w:r w:rsidR="001C19F3">
          <w:rPr>
            <w:noProof/>
            <w:webHidden/>
          </w:rPr>
        </w:r>
        <w:r w:rsidR="001C19F3">
          <w:rPr>
            <w:noProof/>
            <w:webHidden/>
          </w:rPr>
          <w:fldChar w:fldCharType="separate"/>
        </w:r>
        <w:r w:rsidR="001C19F3">
          <w:rPr>
            <w:noProof/>
            <w:webHidden/>
          </w:rPr>
          <w:t>166</w:t>
        </w:r>
        <w:r w:rsidR="001C19F3">
          <w:rPr>
            <w:noProof/>
            <w:webHidden/>
          </w:rPr>
          <w:fldChar w:fldCharType="end"/>
        </w:r>
      </w:hyperlink>
    </w:p>
    <w:p w14:paraId="22A9C608"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84" w:history="1">
        <w:r w:rsidR="001C19F3" w:rsidRPr="00F42C1E">
          <w:rPr>
            <w:rStyle w:val="Hyperlink"/>
            <w:rFonts w:eastAsia="Times New Roman"/>
            <w:noProof/>
            <w:lang w:eastAsia="en-AU"/>
          </w:rPr>
          <w:t>Emerging lessons</w:t>
        </w:r>
        <w:r w:rsidR="001C19F3">
          <w:rPr>
            <w:noProof/>
            <w:webHidden/>
          </w:rPr>
          <w:tab/>
        </w:r>
        <w:r w:rsidR="001C19F3">
          <w:rPr>
            <w:noProof/>
            <w:webHidden/>
          </w:rPr>
          <w:fldChar w:fldCharType="begin"/>
        </w:r>
        <w:r w:rsidR="001C19F3">
          <w:rPr>
            <w:noProof/>
            <w:webHidden/>
          </w:rPr>
          <w:instrText xml:space="preserve"> PAGEREF _Toc27056584 \h </w:instrText>
        </w:r>
        <w:r w:rsidR="001C19F3">
          <w:rPr>
            <w:noProof/>
            <w:webHidden/>
          </w:rPr>
        </w:r>
        <w:r w:rsidR="001C19F3">
          <w:rPr>
            <w:noProof/>
            <w:webHidden/>
          </w:rPr>
          <w:fldChar w:fldCharType="separate"/>
        </w:r>
        <w:r w:rsidR="001C19F3">
          <w:rPr>
            <w:noProof/>
            <w:webHidden/>
          </w:rPr>
          <w:t>168</w:t>
        </w:r>
        <w:r w:rsidR="001C19F3">
          <w:rPr>
            <w:noProof/>
            <w:webHidden/>
          </w:rPr>
          <w:fldChar w:fldCharType="end"/>
        </w:r>
      </w:hyperlink>
    </w:p>
    <w:p w14:paraId="661EEEF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85" w:history="1">
        <w:r w:rsidR="001C19F3" w:rsidRPr="00F42C1E">
          <w:rPr>
            <w:rStyle w:val="Hyperlink"/>
            <w:rFonts w:eastAsia="Times New Roman"/>
            <w:noProof/>
            <w:lang w:eastAsia="en-AU"/>
          </w:rPr>
          <w:t>Evaluation questions</w:t>
        </w:r>
        <w:r w:rsidR="001C19F3">
          <w:rPr>
            <w:noProof/>
            <w:webHidden/>
          </w:rPr>
          <w:tab/>
        </w:r>
        <w:r w:rsidR="001C19F3">
          <w:rPr>
            <w:noProof/>
            <w:webHidden/>
          </w:rPr>
          <w:fldChar w:fldCharType="begin"/>
        </w:r>
        <w:r w:rsidR="001C19F3">
          <w:rPr>
            <w:noProof/>
            <w:webHidden/>
          </w:rPr>
          <w:instrText xml:space="preserve"> PAGEREF _Toc27056585 \h </w:instrText>
        </w:r>
        <w:r w:rsidR="001C19F3">
          <w:rPr>
            <w:noProof/>
            <w:webHidden/>
          </w:rPr>
        </w:r>
        <w:r w:rsidR="001C19F3">
          <w:rPr>
            <w:noProof/>
            <w:webHidden/>
          </w:rPr>
          <w:fldChar w:fldCharType="separate"/>
        </w:r>
        <w:r w:rsidR="001C19F3">
          <w:rPr>
            <w:noProof/>
            <w:webHidden/>
          </w:rPr>
          <w:t>170</w:t>
        </w:r>
        <w:r w:rsidR="001C19F3">
          <w:rPr>
            <w:noProof/>
            <w:webHidden/>
          </w:rPr>
          <w:fldChar w:fldCharType="end"/>
        </w:r>
      </w:hyperlink>
    </w:p>
    <w:p w14:paraId="4BC2F75D"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86" w:history="1">
        <w:r w:rsidR="001C19F3" w:rsidRPr="00F42C1E">
          <w:rPr>
            <w:rStyle w:val="Hyperlink"/>
            <w:noProof/>
          </w:rPr>
          <w:t>References</w:t>
        </w:r>
        <w:r w:rsidR="001C19F3">
          <w:rPr>
            <w:noProof/>
            <w:webHidden/>
          </w:rPr>
          <w:tab/>
        </w:r>
        <w:r w:rsidR="001C19F3">
          <w:rPr>
            <w:noProof/>
            <w:webHidden/>
          </w:rPr>
          <w:fldChar w:fldCharType="begin"/>
        </w:r>
        <w:r w:rsidR="001C19F3">
          <w:rPr>
            <w:noProof/>
            <w:webHidden/>
          </w:rPr>
          <w:instrText xml:space="preserve"> PAGEREF _Toc27056586 \h </w:instrText>
        </w:r>
        <w:r w:rsidR="001C19F3">
          <w:rPr>
            <w:noProof/>
            <w:webHidden/>
          </w:rPr>
        </w:r>
        <w:r w:rsidR="001C19F3">
          <w:rPr>
            <w:noProof/>
            <w:webHidden/>
          </w:rPr>
          <w:fldChar w:fldCharType="separate"/>
        </w:r>
        <w:r w:rsidR="001C19F3">
          <w:rPr>
            <w:noProof/>
            <w:webHidden/>
          </w:rPr>
          <w:t>174</w:t>
        </w:r>
        <w:r w:rsidR="001C19F3">
          <w:rPr>
            <w:noProof/>
            <w:webHidden/>
          </w:rPr>
          <w:fldChar w:fldCharType="end"/>
        </w:r>
      </w:hyperlink>
    </w:p>
    <w:p w14:paraId="11987F02"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6587" w:history="1">
        <w:r w:rsidR="001C19F3" w:rsidRPr="00F42C1E">
          <w:rPr>
            <w:rStyle w:val="Hyperlink"/>
            <w:noProof/>
          </w:rPr>
          <w:t>Appendix 1</w:t>
        </w:r>
        <w:r w:rsidR="001C19F3">
          <w:rPr>
            <w:noProof/>
            <w:webHidden/>
          </w:rPr>
          <w:tab/>
        </w:r>
        <w:r w:rsidR="001C19F3">
          <w:rPr>
            <w:noProof/>
            <w:webHidden/>
          </w:rPr>
          <w:fldChar w:fldCharType="begin"/>
        </w:r>
        <w:r w:rsidR="001C19F3">
          <w:rPr>
            <w:noProof/>
            <w:webHidden/>
          </w:rPr>
          <w:instrText xml:space="preserve"> PAGEREF _Toc27056587 \h </w:instrText>
        </w:r>
        <w:r w:rsidR="001C19F3">
          <w:rPr>
            <w:noProof/>
            <w:webHidden/>
          </w:rPr>
        </w:r>
        <w:r w:rsidR="001C19F3">
          <w:rPr>
            <w:noProof/>
            <w:webHidden/>
          </w:rPr>
          <w:fldChar w:fldCharType="separate"/>
        </w:r>
        <w:r w:rsidR="001C19F3">
          <w:rPr>
            <w:noProof/>
            <w:webHidden/>
          </w:rPr>
          <w:t>176</w:t>
        </w:r>
        <w:r w:rsidR="001C19F3">
          <w:rPr>
            <w:noProof/>
            <w:webHidden/>
          </w:rPr>
          <w:fldChar w:fldCharType="end"/>
        </w:r>
      </w:hyperlink>
    </w:p>
    <w:p w14:paraId="224D2980"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88" w:history="1">
        <w:r w:rsidR="001C19F3" w:rsidRPr="00F42C1E">
          <w:rPr>
            <w:rStyle w:val="Hyperlink"/>
            <w:noProof/>
          </w:rPr>
          <w:t>Practice eligibility criteria</w:t>
        </w:r>
        <w:r w:rsidR="001C19F3">
          <w:rPr>
            <w:noProof/>
            <w:webHidden/>
          </w:rPr>
          <w:tab/>
        </w:r>
        <w:r w:rsidR="001C19F3">
          <w:rPr>
            <w:noProof/>
            <w:webHidden/>
          </w:rPr>
          <w:fldChar w:fldCharType="begin"/>
        </w:r>
        <w:r w:rsidR="001C19F3">
          <w:rPr>
            <w:noProof/>
            <w:webHidden/>
          </w:rPr>
          <w:instrText xml:space="preserve"> PAGEREF _Toc27056588 \h </w:instrText>
        </w:r>
        <w:r w:rsidR="001C19F3">
          <w:rPr>
            <w:noProof/>
            <w:webHidden/>
          </w:rPr>
        </w:r>
        <w:r w:rsidR="001C19F3">
          <w:rPr>
            <w:noProof/>
            <w:webHidden/>
          </w:rPr>
          <w:fldChar w:fldCharType="separate"/>
        </w:r>
        <w:r w:rsidR="001C19F3">
          <w:rPr>
            <w:noProof/>
            <w:webHidden/>
          </w:rPr>
          <w:t>176</w:t>
        </w:r>
        <w:r w:rsidR="001C19F3">
          <w:rPr>
            <w:noProof/>
            <w:webHidden/>
          </w:rPr>
          <w:fldChar w:fldCharType="end"/>
        </w:r>
      </w:hyperlink>
    </w:p>
    <w:p w14:paraId="053DC8B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89" w:history="1">
        <w:r w:rsidR="001C19F3" w:rsidRPr="00F42C1E">
          <w:rPr>
            <w:rStyle w:val="Hyperlink"/>
            <w:noProof/>
          </w:rPr>
          <w:t>Incentive grant</w:t>
        </w:r>
        <w:r w:rsidR="001C19F3">
          <w:rPr>
            <w:noProof/>
            <w:webHidden/>
          </w:rPr>
          <w:tab/>
        </w:r>
        <w:r w:rsidR="001C19F3">
          <w:rPr>
            <w:noProof/>
            <w:webHidden/>
          </w:rPr>
          <w:fldChar w:fldCharType="begin"/>
        </w:r>
        <w:r w:rsidR="001C19F3">
          <w:rPr>
            <w:noProof/>
            <w:webHidden/>
          </w:rPr>
          <w:instrText xml:space="preserve"> PAGEREF _Toc27056589 \h </w:instrText>
        </w:r>
        <w:r w:rsidR="001C19F3">
          <w:rPr>
            <w:noProof/>
            <w:webHidden/>
          </w:rPr>
        </w:r>
        <w:r w:rsidR="001C19F3">
          <w:rPr>
            <w:noProof/>
            <w:webHidden/>
          </w:rPr>
          <w:fldChar w:fldCharType="separate"/>
        </w:r>
        <w:r w:rsidR="001C19F3">
          <w:rPr>
            <w:noProof/>
            <w:webHidden/>
          </w:rPr>
          <w:t>176</w:t>
        </w:r>
        <w:r w:rsidR="001C19F3">
          <w:rPr>
            <w:noProof/>
            <w:webHidden/>
          </w:rPr>
          <w:fldChar w:fldCharType="end"/>
        </w:r>
      </w:hyperlink>
    </w:p>
    <w:p w14:paraId="2E495385"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90" w:history="1">
        <w:r w:rsidR="001C19F3" w:rsidRPr="00F42C1E">
          <w:rPr>
            <w:rStyle w:val="Hyperlink"/>
            <w:noProof/>
          </w:rPr>
          <w:t>HCH assurance and compliance</w:t>
        </w:r>
        <w:r w:rsidR="001C19F3">
          <w:rPr>
            <w:noProof/>
            <w:webHidden/>
          </w:rPr>
          <w:tab/>
        </w:r>
        <w:r w:rsidR="001C19F3">
          <w:rPr>
            <w:noProof/>
            <w:webHidden/>
          </w:rPr>
          <w:fldChar w:fldCharType="begin"/>
        </w:r>
        <w:r w:rsidR="001C19F3">
          <w:rPr>
            <w:noProof/>
            <w:webHidden/>
          </w:rPr>
          <w:instrText xml:space="preserve"> PAGEREF _Toc27056590 \h </w:instrText>
        </w:r>
        <w:r w:rsidR="001C19F3">
          <w:rPr>
            <w:noProof/>
            <w:webHidden/>
          </w:rPr>
        </w:r>
        <w:r w:rsidR="001C19F3">
          <w:rPr>
            <w:noProof/>
            <w:webHidden/>
          </w:rPr>
          <w:fldChar w:fldCharType="separate"/>
        </w:r>
        <w:r w:rsidR="001C19F3">
          <w:rPr>
            <w:noProof/>
            <w:webHidden/>
          </w:rPr>
          <w:t>177</w:t>
        </w:r>
        <w:r w:rsidR="001C19F3">
          <w:rPr>
            <w:noProof/>
            <w:webHidden/>
          </w:rPr>
          <w:fldChar w:fldCharType="end"/>
        </w:r>
      </w:hyperlink>
    </w:p>
    <w:p w14:paraId="4E15DCA6"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91" w:history="1">
        <w:r w:rsidR="001C19F3" w:rsidRPr="00F42C1E">
          <w:rPr>
            <w:rStyle w:val="Hyperlink"/>
            <w:noProof/>
          </w:rPr>
          <w:t>Practice staff and PHN practice facilitator training</w:t>
        </w:r>
        <w:r w:rsidR="001C19F3">
          <w:rPr>
            <w:noProof/>
            <w:webHidden/>
          </w:rPr>
          <w:tab/>
        </w:r>
        <w:r w:rsidR="001C19F3">
          <w:rPr>
            <w:noProof/>
            <w:webHidden/>
          </w:rPr>
          <w:fldChar w:fldCharType="begin"/>
        </w:r>
        <w:r w:rsidR="001C19F3">
          <w:rPr>
            <w:noProof/>
            <w:webHidden/>
          </w:rPr>
          <w:instrText xml:space="preserve"> PAGEREF _Toc27056591 \h </w:instrText>
        </w:r>
        <w:r w:rsidR="001C19F3">
          <w:rPr>
            <w:noProof/>
            <w:webHidden/>
          </w:rPr>
        </w:r>
        <w:r w:rsidR="001C19F3">
          <w:rPr>
            <w:noProof/>
            <w:webHidden/>
          </w:rPr>
          <w:fldChar w:fldCharType="separate"/>
        </w:r>
        <w:r w:rsidR="001C19F3">
          <w:rPr>
            <w:noProof/>
            <w:webHidden/>
          </w:rPr>
          <w:t>179</w:t>
        </w:r>
        <w:r w:rsidR="001C19F3">
          <w:rPr>
            <w:noProof/>
            <w:webHidden/>
          </w:rPr>
          <w:fldChar w:fldCharType="end"/>
        </w:r>
      </w:hyperlink>
    </w:p>
    <w:p w14:paraId="37BEA326"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6592" w:history="1">
        <w:r w:rsidR="001C19F3" w:rsidRPr="00F42C1E">
          <w:rPr>
            <w:rStyle w:val="Hyperlink"/>
            <w:noProof/>
          </w:rPr>
          <w:t>Minimum requirements for shared care planning software</w:t>
        </w:r>
        <w:r w:rsidR="001C19F3">
          <w:rPr>
            <w:noProof/>
            <w:webHidden/>
          </w:rPr>
          <w:tab/>
        </w:r>
        <w:r w:rsidR="001C19F3">
          <w:rPr>
            <w:noProof/>
            <w:webHidden/>
          </w:rPr>
          <w:fldChar w:fldCharType="begin"/>
        </w:r>
        <w:r w:rsidR="001C19F3">
          <w:rPr>
            <w:noProof/>
            <w:webHidden/>
          </w:rPr>
          <w:instrText xml:space="preserve"> PAGEREF _Toc27056592 \h </w:instrText>
        </w:r>
        <w:r w:rsidR="001C19F3">
          <w:rPr>
            <w:noProof/>
            <w:webHidden/>
          </w:rPr>
        </w:r>
        <w:r w:rsidR="001C19F3">
          <w:rPr>
            <w:noProof/>
            <w:webHidden/>
          </w:rPr>
          <w:fldChar w:fldCharType="separate"/>
        </w:r>
        <w:r w:rsidR="001C19F3">
          <w:rPr>
            <w:noProof/>
            <w:webHidden/>
          </w:rPr>
          <w:t>183</w:t>
        </w:r>
        <w:r w:rsidR="001C19F3">
          <w:rPr>
            <w:noProof/>
            <w:webHidden/>
          </w:rPr>
          <w:fldChar w:fldCharType="end"/>
        </w:r>
      </w:hyperlink>
    </w:p>
    <w:p w14:paraId="2785B04A" w14:textId="77777777" w:rsidR="001C19F3" w:rsidRPr="00541951" w:rsidRDefault="001C19F3" w:rsidP="001C19F3">
      <w:r>
        <w:rPr>
          <w:rFonts w:eastAsia="MS Mincho"/>
          <w:b/>
          <w:color w:val="003D79"/>
          <w:lang w:val="en-US"/>
        </w:rPr>
        <w:fldChar w:fldCharType="end"/>
      </w:r>
    </w:p>
    <w:p w14:paraId="4EC8C54C" w14:textId="77777777" w:rsidR="001C19F3" w:rsidRPr="00C815DC" w:rsidRDefault="001C19F3" w:rsidP="001C19F3">
      <w:pPr>
        <w:sectPr w:rsidR="001C19F3" w:rsidRPr="00C815DC">
          <w:headerReference w:type="even" r:id="rId34"/>
          <w:headerReference w:type="default" r:id="rId35"/>
          <w:footerReference w:type="default" r:id="rId36"/>
          <w:headerReference w:type="first" r:id="rId37"/>
          <w:footerReference w:type="first" r:id="rId38"/>
          <w:pgSz w:w="11906" w:h="16838"/>
          <w:pgMar w:top="1440" w:right="1440" w:bottom="1440" w:left="1440" w:header="708" w:footer="708" w:gutter="0"/>
          <w:cols w:space="708"/>
          <w:titlePg/>
          <w:docGrid w:linePitch="360"/>
        </w:sectPr>
      </w:pPr>
    </w:p>
    <w:p w14:paraId="0745DA37" w14:textId="77777777" w:rsidR="001C19F3" w:rsidRDefault="001C19F3" w:rsidP="001C19F3">
      <w:pPr>
        <w:pStyle w:val="Heading1nonumber"/>
      </w:pPr>
      <w:bookmarkStart w:id="70" w:name="_Toc27056536"/>
      <w:r>
        <w:lastRenderedPageBreak/>
        <w:t>Acronyms and initialisms</w:t>
      </w:r>
      <w:bookmarkEnd w:id="70"/>
    </w:p>
    <w:p w14:paraId="1DD12F26" w14:textId="77777777" w:rsidR="001C19F3" w:rsidRDefault="001C19F3" w:rsidP="001C19F3">
      <w:pPr>
        <w:spacing w:after="120"/>
        <w:ind w:left="1276" w:hanging="1276"/>
      </w:pPr>
      <w:bookmarkStart w:id="71" w:name="_Hlk22483517"/>
      <w:r>
        <w:t>AAPM</w:t>
      </w:r>
      <w:r>
        <w:tab/>
        <w:t>Australian Association of Practice Management</w:t>
      </w:r>
    </w:p>
    <w:p w14:paraId="7D0A7CFF" w14:textId="77777777" w:rsidR="001C19F3" w:rsidRDefault="001C19F3" w:rsidP="001C19F3">
      <w:pPr>
        <w:spacing w:after="120"/>
        <w:ind w:left="1276" w:hanging="1276"/>
      </w:pPr>
      <w:r>
        <w:t>ABS</w:t>
      </w:r>
      <w:r>
        <w:tab/>
        <w:t>Australian Bureau of Statistics</w:t>
      </w:r>
    </w:p>
    <w:p w14:paraId="166A4BAF" w14:textId="77777777" w:rsidR="001C19F3" w:rsidRDefault="001C19F3" w:rsidP="001C19F3">
      <w:pPr>
        <w:spacing w:after="120"/>
        <w:ind w:left="1276" w:hanging="1276"/>
      </w:pPr>
      <w:r>
        <w:t xml:space="preserve">ACCHS </w:t>
      </w:r>
      <w:r>
        <w:tab/>
        <w:t>Aboriginal Community Controlled Health Service</w:t>
      </w:r>
    </w:p>
    <w:p w14:paraId="06E63498" w14:textId="77777777" w:rsidR="001C19F3" w:rsidRDefault="001C19F3" w:rsidP="001C19F3">
      <w:pPr>
        <w:spacing w:after="120"/>
        <w:ind w:left="1276" w:hanging="1276"/>
      </w:pPr>
      <w:r>
        <w:t>AGPAL</w:t>
      </w:r>
      <w:r>
        <w:tab/>
      </w:r>
      <w:r w:rsidRPr="00826B60">
        <w:t>Australian General Practi</w:t>
      </w:r>
      <w:r>
        <w:t>ce Accreditation Limited</w:t>
      </w:r>
    </w:p>
    <w:p w14:paraId="487C71A7" w14:textId="77777777" w:rsidR="001C19F3" w:rsidRDefault="001C19F3" w:rsidP="001C19F3">
      <w:pPr>
        <w:spacing w:after="120"/>
        <w:ind w:left="1276" w:hanging="1276"/>
      </w:pPr>
      <w:r>
        <w:t>AIHW</w:t>
      </w:r>
      <w:r>
        <w:tab/>
        <w:t>Australian Institute of Health and Welfare</w:t>
      </w:r>
    </w:p>
    <w:p w14:paraId="6920E39D" w14:textId="77777777" w:rsidR="001C19F3" w:rsidRDefault="001C19F3" w:rsidP="001C19F3">
      <w:pPr>
        <w:spacing w:after="120"/>
        <w:ind w:left="1276" w:hanging="1276"/>
      </w:pPr>
      <w:r>
        <w:t>AMS</w:t>
      </w:r>
      <w:r>
        <w:tab/>
        <w:t>Aboriginal Medical Service</w:t>
      </w:r>
    </w:p>
    <w:p w14:paraId="2DC8F6F9" w14:textId="77777777" w:rsidR="001C19F3" w:rsidRDefault="001C19F3" w:rsidP="001C19F3">
      <w:pPr>
        <w:spacing w:after="120"/>
        <w:ind w:left="1276" w:hanging="1276"/>
      </w:pPr>
      <w:r>
        <w:t>CATI</w:t>
      </w:r>
      <w:r>
        <w:tab/>
        <w:t>Computer assisted telephone interview</w:t>
      </w:r>
    </w:p>
    <w:p w14:paraId="11B76861" w14:textId="77777777" w:rsidR="001C19F3" w:rsidRDefault="001C19F3" w:rsidP="001C19F3">
      <w:pPr>
        <w:spacing w:after="120"/>
        <w:ind w:left="1276" w:hanging="1276"/>
      </w:pPr>
      <w:r w:rsidRPr="00097AF8">
        <w:t>CBDRH</w:t>
      </w:r>
      <w:r w:rsidRPr="00097AF8">
        <w:tab/>
        <w:t>Centre for Big Data Research in Health (University of New South Wales)</w:t>
      </w:r>
    </w:p>
    <w:p w14:paraId="442C1460" w14:textId="77777777" w:rsidR="001C19F3" w:rsidRDefault="001C19F3" w:rsidP="001C19F3">
      <w:pPr>
        <w:spacing w:after="120"/>
        <w:ind w:left="1276" w:hanging="1276"/>
      </w:pPr>
      <w:r w:rsidRPr="00097AF8">
        <w:t>CHERE</w:t>
      </w:r>
      <w:r w:rsidRPr="00097AF8">
        <w:tab/>
        <w:t>Centre for Health Economics Research and Evaluation (University of Technology Sydney)</w:t>
      </w:r>
    </w:p>
    <w:p w14:paraId="6A16771F" w14:textId="77777777" w:rsidR="001C19F3" w:rsidRDefault="001C19F3" w:rsidP="001C19F3">
      <w:pPr>
        <w:spacing w:after="120"/>
        <w:ind w:left="1276" w:hanging="1276"/>
      </w:pPr>
      <w:r>
        <w:t xml:space="preserve">CSIRO </w:t>
      </w:r>
      <w:r>
        <w:tab/>
      </w:r>
      <w:r w:rsidRPr="002C55C8">
        <w:t>Commonwealth Scientific and Industrial Research Organisation</w:t>
      </w:r>
    </w:p>
    <w:p w14:paraId="7AE4CEB4" w14:textId="77777777" w:rsidR="001C19F3" w:rsidRDefault="001C19F3" w:rsidP="001C19F3">
      <w:pPr>
        <w:spacing w:after="120"/>
        <w:ind w:left="1276" w:hanging="1276"/>
      </w:pPr>
      <w:r>
        <w:t>EOI</w:t>
      </w:r>
      <w:r>
        <w:tab/>
        <w:t>Expression of interest</w:t>
      </w:r>
    </w:p>
    <w:p w14:paraId="36DAC58E" w14:textId="77777777" w:rsidR="001C19F3" w:rsidRDefault="001C19F3" w:rsidP="001C19F3">
      <w:pPr>
        <w:spacing w:after="120"/>
        <w:ind w:left="1276" w:hanging="1276"/>
      </w:pPr>
      <w:r>
        <w:t>EWG</w:t>
      </w:r>
      <w:r>
        <w:tab/>
        <w:t>Evaluation Working Group</w:t>
      </w:r>
    </w:p>
    <w:p w14:paraId="01D99D4D" w14:textId="77777777" w:rsidR="001C19F3" w:rsidRDefault="001C19F3" w:rsidP="001C19F3">
      <w:pPr>
        <w:spacing w:after="120"/>
        <w:ind w:left="1276" w:hanging="1276"/>
      </w:pPr>
      <w:r>
        <w:t>EQ-5D-5L</w:t>
      </w:r>
      <w:r>
        <w:tab/>
      </w:r>
      <w:r w:rsidRPr="009408FE">
        <w:t>5-level EQ-5D version (</w:t>
      </w:r>
      <w:r>
        <w:t>quality of life instrument)</w:t>
      </w:r>
    </w:p>
    <w:p w14:paraId="147435BE" w14:textId="77777777" w:rsidR="001C19F3" w:rsidRDefault="001C19F3" w:rsidP="001C19F3">
      <w:pPr>
        <w:spacing w:after="120"/>
        <w:ind w:left="1276" w:hanging="1276"/>
      </w:pPr>
      <w:r>
        <w:t>FTE</w:t>
      </w:r>
      <w:r>
        <w:tab/>
        <w:t>Full time equivalent</w:t>
      </w:r>
    </w:p>
    <w:p w14:paraId="493E784A" w14:textId="77777777" w:rsidR="001C19F3" w:rsidRDefault="001C19F3" w:rsidP="001C19F3">
      <w:pPr>
        <w:spacing w:after="120"/>
        <w:ind w:left="1276" w:hanging="1276"/>
      </w:pPr>
      <w:r w:rsidRPr="006D66DB">
        <w:t xml:space="preserve">GP </w:t>
      </w:r>
      <w:r w:rsidRPr="006D66DB">
        <w:tab/>
        <w:t>General practitioner</w:t>
      </w:r>
    </w:p>
    <w:p w14:paraId="7C999D8C" w14:textId="77777777" w:rsidR="001C19F3" w:rsidRPr="006D66DB" w:rsidRDefault="001C19F3" w:rsidP="001C19F3">
      <w:pPr>
        <w:spacing w:after="120"/>
        <w:ind w:left="1276" w:hanging="1276"/>
      </w:pPr>
      <w:r>
        <w:t>HARP</w:t>
      </w:r>
      <w:r>
        <w:tab/>
        <w:t>Hospital Admissions Risk Program (tool)</w:t>
      </w:r>
    </w:p>
    <w:p w14:paraId="2C3E0EEE" w14:textId="77777777" w:rsidR="001C19F3" w:rsidRDefault="001C19F3" w:rsidP="001C19F3">
      <w:pPr>
        <w:spacing w:after="120"/>
        <w:ind w:left="1276" w:hanging="1276"/>
      </w:pPr>
      <w:r>
        <w:t>HCH</w:t>
      </w:r>
      <w:r>
        <w:tab/>
        <w:t>Health Care Homes</w:t>
      </w:r>
    </w:p>
    <w:p w14:paraId="63CF78BB" w14:textId="77777777" w:rsidR="001C19F3" w:rsidRDefault="001C19F3" w:rsidP="001C19F3">
      <w:pPr>
        <w:spacing w:after="120"/>
        <w:ind w:left="1276" w:hanging="1276"/>
      </w:pPr>
      <w:r>
        <w:t>HCH-A</w:t>
      </w:r>
      <w:r>
        <w:tab/>
        <w:t>Health Care Homes Assessment (tool)</w:t>
      </w:r>
    </w:p>
    <w:p w14:paraId="29578796" w14:textId="77777777" w:rsidR="001C19F3" w:rsidRDefault="001C19F3" w:rsidP="001C19F3">
      <w:pPr>
        <w:spacing w:after="120"/>
        <w:ind w:left="1276" w:hanging="1276"/>
      </w:pPr>
      <w:r>
        <w:t>HPA</w:t>
      </w:r>
      <w:r>
        <w:tab/>
        <w:t>Health Policy Analysis</w:t>
      </w:r>
    </w:p>
    <w:p w14:paraId="1DF93D51" w14:textId="77777777" w:rsidR="001C19F3" w:rsidRDefault="001C19F3" w:rsidP="001C19F3">
      <w:pPr>
        <w:spacing w:after="120"/>
        <w:ind w:left="1276" w:hanging="1276"/>
      </w:pPr>
      <w:r>
        <w:t>HPOS</w:t>
      </w:r>
      <w:r>
        <w:tab/>
      </w:r>
      <w:r w:rsidRPr="00D75502">
        <w:t>Health Professionals Online Services</w:t>
      </w:r>
    </w:p>
    <w:p w14:paraId="7DB20C43" w14:textId="77777777" w:rsidR="001C19F3" w:rsidRDefault="001C19F3" w:rsidP="001C19F3">
      <w:pPr>
        <w:spacing w:after="120"/>
        <w:ind w:left="1276" w:hanging="1276"/>
      </w:pPr>
      <w:r>
        <w:t>HREC</w:t>
      </w:r>
      <w:r>
        <w:tab/>
        <w:t>Human Research Ethics Committee</w:t>
      </w:r>
    </w:p>
    <w:p w14:paraId="328D5D41" w14:textId="77777777" w:rsidR="001C19F3" w:rsidRDefault="001C19F3" w:rsidP="001C19F3">
      <w:pPr>
        <w:spacing w:after="120"/>
        <w:ind w:left="1276" w:hanging="1276"/>
      </w:pPr>
      <w:r>
        <w:t>IAG</w:t>
      </w:r>
      <w:r>
        <w:tab/>
        <w:t>Implementation Advisory Group</w:t>
      </w:r>
    </w:p>
    <w:p w14:paraId="743F4447" w14:textId="77777777" w:rsidR="001C19F3" w:rsidRDefault="001C19F3" w:rsidP="001C19F3">
      <w:pPr>
        <w:spacing w:after="120"/>
        <w:ind w:left="1276" w:hanging="1276"/>
      </w:pPr>
      <w:r>
        <w:t>IT</w:t>
      </w:r>
      <w:r>
        <w:tab/>
        <w:t>Information technology</w:t>
      </w:r>
    </w:p>
    <w:p w14:paraId="3A2B4471" w14:textId="77777777" w:rsidR="001C19F3" w:rsidRPr="006D66DB" w:rsidRDefault="001C19F3" w:rsidP="001C19F3">
      <w:pPr>
        <w:spacing w:after="120"/>
        <w:ind w:left="1276" w:hanging="1276"/>
      </w:pPr>
      <w:r>
        <w:t>LHN</w:t>
      </w:r>
      <w:r>
        <w:tab/>
        <w:t>Local Hospital Network</w:t>
      </w:r>
    </w:p>
    <w:p w14:paraId="28ED6537" w14:textId="77777777" w:rsidR="001C19F3" w:rsidRDefault="001C19F3" w:rsidP="001C19F3">
      <w:pPr>
        <w:spacing w:after="120"/>
        <w:ind w:left="1276" w:hanging="1276"/>
      </w:pPr>
      <w:r w:rsidRPr="006D66DB">
        <w:t>MBS</w:t>
      </w:r>
      <w:r w:rsidRPr="006D66DB">
        <w:tab/>
        <w:t>Medical Benefits Schedule</w:t>
      </w:r>
    </w:p>
    <w:p w14:paraId="3650B15E" w14:textId="77777777" w:rsidR="001C19F3" w:rsidRDefault="001C19F3" w:rsidP="001C19F3">
      <w:pPr>
        <w:spacing w:after="120"/>
        <w:ind w:left="1276" w:hanging="1276"/>
      </w:pPr>
      <w:r>
        <w:t>MMM</w:t>
      </w:r>
      <w:r>
        <w:tab/>
        <w:t>Modified Monash Model (remoteness categorisation)</w:t>
      </w:r>
    </w:p>
    <w:p w14:paraId="50B13A70" w14:textId="77777777" w:rsidR="001C19F3" w:rsidRDefault="001C19F3" w:rsidP="001C19F3">
      <w:pPr>
        <w:spacing w:after="120"/>
        <w:ind w:left="1276" w:hanging="1276"/>
      </w:pPr>
      <w:bookmarkStart w:id="72" w:name="_Hlk22485314"/>
      <w:r>
        <w:t xml:space="preserve">nKPIs </w:t>
      </w:r>
      <w:r>
        <w:tab/>
        <w:t>National Key Performance Indicators</w:t>
      </w:r>
    </w:p>
    <w:bookmarkEnd w:id="72"/>
    <w:p w14:paraId="3A1BCBFB" w14:textId="77777777" w:rsidR="001C19F3" w:rsidRDefault="001C19F3" w:rsidP="001C19F3">
      <w:pPr>
        <w:spacing w:after="120"/>
        <w:ind w:left="1276" w:hanging="1276"/>
      </w:pPr>
      <w:r>
        <w:t>NPS</w:t>
      </w:r>
      <w:r>
        <w:tab/>
        <w:t>National Prescribing Service</w:t>
      </w:r>
    </w:p>
    <w:p w14:paraId="576D283C" w14:textId="77777777" w:rsidR="001C19F3" w:rsidRDefault="001C19F3" w:rsidP="001C19F3">
      <w:pPr>
        <w:spacing w:after="120"/>
        <w:ind w:left="1276" w:hanging="1276"/>
      </w:pPr>
      <w:r>
        <w:t>PACIC</w:t>
      </w:r>
      <w:r>
        <w:tab/>
        <w:t>Patient Assessment of Chronic Illness Care (tool)</w:t>
      </w:r>
    </w:p>
    <w:p w14:paraId="11AD6DA7" w14:textId="77777777" w:rsidR="001C19F3" w:rsidRDefault="001C19F3" w:rsidP="001C19F3">
      <w:pPr>
        <w:spacing w:after="120"/>
        <w:ind w:left="1276" w:hanging="1276"/>
      </w:pPr>
      <w:r>
        <w:t>PAM</w:t>
      </w:r>
      <w:r>
        <w:tab/>
        <w:t>Patient Activation Measure (tool)</w:t>
      </w:r>
    </w:p>
    <w:p w14:paraId="455449B4" w14:textId="77777777" w:rsidR="001C19F3" w:rsidRDefault="001C19F3" w:rsidP="001C19F3">
      <w:pPr>
        <w:spacing w:after="120"/>
        <w:ind w:left="1276" w:hanging="1276"/>
      </w:pPr>
      <w:r>
        <w:t>PCMH</w:t>
      </w:r>
      <w:r>
        <w:tab/>
        <w:t>Patient centred medical home</w:t>
      </w:r>
    </w:p>
    <w:p w14:paraId="4D9C5468" w14:textId="77777777" w:rsidR="001C19F3" w:rsidRDefault="001C19F3" w:rsidP="001C19F3">
      <w:pPr>
        <w:spacing w:after="120"/>
        <w:ind w:left="1276" w:hanging="1276"/>
      </w:pPr>
      <w:r w:rsidRPr="006D66DB">
        <w:t>PBS</w:t>
      </w:r>
      <w:r w:rsidRPr="006D66DB">
        <w:tab/>
        <w:t>Pharmaceutical Benefits Schedule</w:t>
      </w:r>
    </w:p>
    <w:p w14:paraId="015F07B5" w14:textId="77777777" w:rsidR="001C19F3" w:rsidRDefault="001C19F3" w:rsidP="001C19F3">
      <w:pPr>
        <w:spacing w:after="120"/>
        <w:ind w:left="1276" w:hanging="1276"/>
      </w:pPr>
      <w:r>
        <w:lastRenderedPageBreak/>
        <w:t>PHCAG</w:t>
      </w:r>
      <w:r>
        <w:tab/>
      </w:r>
      <w:r w:rsidRPr="009507A9">
        <w:t>Primary Health Care Advisory Group</w:t>
      </w:r>
    </w:p>
    <w:p w14:paraId="35B749C6" w14:textId="77777777" w:rsidR="001C19F3" w:rsidRDefault="001C19F3" w:rsidP="001C19F3">
      <w:pPr>
        <w:spacing w:after="120"/>
        <w:ind w:left="1276" w:hanging="1276"/>
      </w:pPr>
      <w:r>
        <w:t>PHN</w:t>
      </w:r>
      <w:r>
        <w:tab/>
        <w:t>Primary Health Network</w:t>
      </w:r>
    </w:p>
    <w:p w14:paraId="53961269" w14:textId="77777777" w:rsidR="001C19F3" w:rsidRDefault="001C19F3" w:rsidP="001C19F3">
      <w:pPr>
        <w:spacing w:after="120"/>
        <w:ind w:left="1276" w:hanging="1276"/>
      </w:pPr>
      <w:bookmarkStart w:id="73" w:name="_Hlk22485296"/>
      <w:r>
        <w:t>PIP</w:t>
      </w:r>
      <w:r>
        <w:tab/>
        <w:t>Practice Incentive Program</w:t>
      </w:r>
    </w:p>
    <w:p w14:paraId="3F4D3783" w14:textId="77777777" w:rsidR="001C19F3" w:rsidRDefault="001C19F3" w:rsidP="001C19F3">
      <w:pPr>
        <w:spacing w:after="120"/>
        <w:ind w:left="1276" w:hanging="1276"/>
      </w:pPr>
      <w:r>
        <w:t>PIP QI</w:t>
      </w:r>
      <w:r>
        <w:tab/>
        <w:t>Practice Incentive Program Quality Indicators</w:t>
      </w:r>
    </w:p>
    <w:bookmarkEnd w:id="73"/>
    <w:p w14:paraId="10576F9D" w14:textId="77777777" w:rsidR="001C19F3" w:rsidRDefault="001C19F3" w:rsidP="001C19F3">
      <w:pPr>
        <w:spacing w:after="120"/>
        <w:ind w:left="1276" w:hanging="1276"/>
      </w:pPr>
      <w:r>
        <w:t>POC</w:t>
      </w:r>
      <w:r>
        <w:tab/>
      </w:r>
      <w:r w:rsidRPr="00D5456C">
        <w:t>Point of Care</w:t>
      </w:r>
    </w:p>
    <w:p w14:paraId="05619768" w14:textId="77777777" w:rsidR="001C19F3" w:rsidRDefault="001C19F3" w:rsidP="001C19F3">
      <w:pPr>
        <w:spacing w:after="120"/>
        <w:ind w:left="1276" w:hanging="1276"/>
      </w:pPr>
      <w:r>
        <w:t>POLAR</w:t>
      </w:r>
      <w:r>
        <w:tab/>
        <w:t>Population Level Analysis and Reporting</w:t>
      </w:r>
    </w:p>
    <w:p w14:paraId="0BFA1B32" w14:textId="77777777" w:rsidR="001C19F3" w:rsidRDefault="001C19F3" w:rsidP="001C19F3">
      <w:pPr>
        <w:spacing w:after="120"/>
        <w:ind w:left="1276" w:hanging="1276"/>
      </w:pPr>
      <w:r w:rsidRPr="00AD017C">
        <w:t>PRM</w:t>
      </w:r>
      <w:r w:rsidRPr="00AD017C">
        <w:tab/>
        <w:t>Predictive risk model</w:t>
      </w:r>
    </w:p>
    <w:p w14:paraId="14F1F94D" w14:textId="77777777" w:rsidR="001C19F3" w:rsidRDefault="001C19F3" w:rsidP="001C19F3">
      <w:pPr>
        <w:spacing w:after="120"/>
        <w:ind w:left="1276" w:hanging="1276"/>
      </w:pPr>
      <w:r>
        <w:t>R1</w:t>
      </w:r>
      <w:r>
        <w:tab/>
        <w:t>Round 1 of the evaluation. R2, R3, R4, R5 refer round 2-5 respectively.</w:t>
      </w:r>
    </w:p>
    <w:p w14:paraId="21F5B1ED" w14:textId="77777777" w:rsidR="001C19F3" w:rsidRDefault="001C19F3" w:rsidP="001C19F3">
      <w:pPr>
        <w:spacing w:after="120"/>
        <w:ind w:left="1276" w:hanging="1276"/>
      </w:pPr>
      <w:r>
        <w:t>RST</w:t>
      </w:r>
      <w:r>
        <w:tab/>
        <w:t>Risk stratification tool</w:t>
      </w:r>
    </w:p>
    <w:p w14:paraId="69B7985A" w14:textId="77777777" w:rsidR="001C19F3" w:rsidRDefault="001C19F3" w:rsidP="001C19F3">
      <w:pPr>
        <w:spacing w:after="120"/>
        <w:ind w:left="1276" w:hanging="1276"/>
      </w:pPr>
      <w:r>
        <w:t>SURE</w:t>
      </w:r>
      <w:r>
        <w:tab/>
        <w:t>Secure Unified Research Environment</w:t>
      </w:r>
      <w:bookmarkEnd w:id="71"/>
    </w:p>
    <w:p w14:paraId="435CAAEF" w14:textId="77777777" w:rsidR="001C19F3" w:rsidRPr="00CF7E9F" w:rsidRDefault="001C19F3" w:rsidP="001C19F3">
      <w:pPr>
        <w:sectPr w:rsidR="001C19F3" w:rsidRPr="00CF7E9F" w:rsidSect="00433CD0">
          <w:footerReference w:type="default" r:id="rId39"/>
          <w:footerReference w:type="first" r:id="rId40"/>
          <w:pgSz w:w="11906" w:h="16838"/>
          <w:pgMar w:top="1440" w:right="1440" w:bottom="1440" w:left="1440" w:header="708" w:footer="708" w:gutter="0"/>
          <w:pgNumType w:start="1"/>
          <w:cols w:space="708"/>
          <w:titlePg/>
          <w:docGrid w:linePitch="360"/>
        </w:sectPr>
      </w:pPr>
    </w:p>
    <w:p w14:paraId="55165E6D" w14:textId="77777777" w:rsidR="001C19F3" w:rsidRPr="00EE02CE" w:rsidRDefault="001C19F3" w:rsidP="001C19F3">
      <w:pPr>
        <w:pStyle w:val="Heading1withnumber"/>
        <w:ind w:left="0" w:hanging="993"/>
      </w:pPr>
      <w:bookmarkStart w:id="74" w:name="_Toc27056537"/>
      <w:r>
        <w:lastRenderedPageBreak/>
        <w:t>Introduction</w:t>
      </w:r>
      <w:bookmarkEnd w:id="74"/>
    </w:p>
    <w:p w14:paraId="56316000" w14:textId="77777777" w:rsidR="001C19F3" w:rsidRDefault="001C19F3" w:rsidP="001C19F3">
      <w:pPr>
        <w:pStyle w:val="Heading2"/>
      </w:pPr>
      <w:bookmarkStart w:id="75" w:name="_Ref22306493"/>
      <w:bookmarkStart w:id="76" w:name="_Ref22306498"/>
      <w:bookmarkStart w:id="77" w:name="_Toc27056538"/>
      <w:r>
        <w:t>Overview of the evaluation</w:t>
      </w:r>
      <w:bookmarkEnd w:id="75"/>
      <w:bookmarkEnd w:id="76"/>
      <w:bookmarkEnd w:id="77"/>
    </w:p>
    <w:p w14:paraId="3F3CC920" w14:textId="77777777" w:rsidR="001C19F3" w:rsidRDefault="001C19F3" w:rsidP="001C19F3">
      <w:r>
        <w:t>The Health Care Homes (HCH) trial started on 1 October 2017 and will end on 30 June 2021. The trial is being evaluated by a consortium led by Health Policy Analysis. The consortium includes the Centre for Big Data Research in Health (University of New South Wales), the Centre for Health Economics Research and Evaluation (University of Technology Sydney) and other Australian and international experts.</w:t>
      </w:r>
    </w:p>
    <w:p w14:paraId="19FCA466" w14:textId="77777777" w:rsidR="001C19F3" w:rsidRDefault="001C19F3" w:rsidP="001C19F3">
      <w:bookmarkStart w:id="78" w:name="_Hlk20923118"/>
      <w:bookmarkStart w:id="79" w:name="_Hlk20911920"/>
      <w:r>
        <w:t>A detailed description of the evaluation methods is in the HCH Evaluation plan (</w:t>
      </w:r>
      <w:r>
        <w:fldChar w:fldCharType="begin"/>
      </w:r>
      <w:r>
        <w:instrText xml:space="preserve"> ADDIN EN.CITE &lt;EndNote&gt;&lt;Cite&gt;&lt;Author&gt;Health Policy Analysis&lt;/Author&gt;&lt;Year&gt;2019&lt;/Year&gt;&lt;RecNum&gt;1131&lt;/RecNum&gt;&lt;DisplayText&gt;Health Policy Analysis, 2019&lt;/DisplayText&gt;&lt;record&gt;&lt;rec-number&gt;1131&lt;/rec-number&gt;&lt;foreign-keys&gt;&lt;key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fldChar w:fldCharType="separate"/>
      </w:r>
      <w:r>
        <w:rPr>
          <w:noProof/>
        </w:rPr>
        <w:t>Health Policy Analysis, 2019</w:t>
      </w:r>
      <w:r>
        <w:fldChar w:fldCharType="end"/>
      </w:r>
      <w:r>
        <w:t>).</w:t>
      </w:r>
      <w:r>
        <w:rPr>
          <w:i/>
        </w:rPr>
        <w:t xml:space="preserve"> </w:t>
      </w:r>
      <w:r w:rsidRPr="00601A84">
        <w:t>Briefly</w:t>
      </w:r>
      <w:r>
        <w:t>, the evaluation is seeking to answer the following key questions:</w:t>
      </w:r>
    </w:p>
    <w:p w14:paraId="0C3B9362" w14:textId="77777777" w:rsidR="001C19F3" w:rsidRPr="00E1478E" w:rsidRDefault="001C19F3" w:rsidP="00521305">
      <w:pPr>
        <w:pStyle w:val="ListParagraph"/>
        <w:numPr>
          <w:ilvl w:val="0"/>
          <w:numId w:val="115"/>
        </w:numPr>
        <w:rPr>
          <w:szCs w:val="20"/>
        </w:rPr>
      </w:pPr>
      <w:r w:rsidRPr="00E1478E">
        <w:rPr>
          <w:szCs w:val="20"/>
        </w:rPr>
        <w:t>How was the HCH model implemented and what were the barriers and enablers?</w:t>
      </w:r>
    </w:p>
    <w:p w14:paraId="6491BE29" w14:textId="77777777" w:rsidR="001C19F3" w:rsidRPr="00E1478E" w:rsidRDefault="001C19F3" w:rsidP="00521305">
      <w:pPr>
        <w:pStyle w:val="ListParagraph"/>
        <w:numPr>
          <w:ilvl w:val="0"/>
          <w:numId w:val="115"/>
        </w:numPr>
        <w:rPr>
          <w:szCs w:val="20"/>
        </w:rPr>
      </w:pPr>
      <w:r w:rsidRPr="00E1478E">
        <w:rPr>
          <w:szCs w:val="20"/>
        </w:rPr>
        <w:t>How does the HCH model change the way practices approach chronic disease management?</w:t>
      </w:r>
    </w:p>
    <w:p w14:paraId="46392780" w14:textId="77777777" w:rsidR="001C19F3" w:rsidRPr="00E1478E" w:rsidRDefault="001C19F3" w:rsidP="00521305">
      <w:pPr>
        <w:pStyle w:val="ListParagraph"/>
        <w:numPr>
          <w:ilvl w:val="0"/>
          <w:numId w:val="115"/>
        </w:numPr>
        <w:rPr>
          <w:szCs w:val="20"/>
        </w:rPr>
      </w:pPr>
      <w:r w:rsidRPr="00E1478E">
        <w:rPr>
          <w:szCs w:val="20"/>
        </w:rPr>
        <w:t>Do patients enrolled in HCH experience better quality care?</w:t>
      </w:r>
    </w:p>
    <w:p w14:paraId="19AD35F7" w14:textId="77777777" w:rsidR="001C19F3" w:rsidRDefault="001C19F3" w:rsidP="00521305">
      <w:pPr>
        <w:pStyle w:val="ListParagraph"/>
        <w:numPr>
          <w:ilvl w:val="0"/>
          <w:numId w:val="115"/>
        </w:numPr>
        <w:contextualSpacing w:val="0"/>
        <w:rPr>
          <w:szCs w:val="20"/>
        </w:rPr>
      </w:pPr>
      <w:r w:rsidRPr="00E1478E">
        <w:rPr>
          <w:szCs w:val="20"/>
        </w:rPr>
        <w:t>What are the financial effects of the HCH model on governments, providers and individuals?</w:t>
      </w:r>
    </w:p>
    <w:p w14:paraId="24FBFDC1" w14:textId="77777777" w:rsidR="001C19F3" w:rsidRDefault="001C19F3" w:rsidP="001C19F3">
      <w:r>
        <w:t>Additional key questions relating to the community pharmacy component are:</w:t>
      </w:r>
    </w:p>
    <w:p w14:paraId="7242915A" w14:textId="77777777" w:rsidR="001C19F3" w:rsidRPr="000D3390" w:rsidRDefault="001C19F3" w:rsidP="00521305">
      <w:pPr>
        <w:pStyle w:val="ListParagraph"/>
        <w:numPr>
          <w:ilvl w:val="0"/>
          <w:numId w:val="115"/>
        </w:numPr>
        <w:rPr>
          <w:szCs w:val="20"/>
        </w:rPr>
      </w:pPr>
      <w:r w:rsidRPr="000D3390">
        <w:rPr>
          <w:szCs w:val="20"/>
        </w:rPr>
        <w:t xml:space="preserve">Is the community pharmacy component beneficial </w:t>
      </w:r>
      <w:r>
        <w:rPr>
          <w:szCs w:val="20"/>
        </w:rPr>
        <w:t>to the</w:t>
      </w:r>
      <w:r w:rsidRPr="000D3390">
        <w:rPr>
          <w:szCs w:val="20"/>
        </w:rPr>
        <w:t xml:space="preserve"> broader HCH coordinated care model and should it be included as part of any future roll out?</w:t>
      </w:r>
    </w:p>
    <w:p w14:paraId="7ECF2B65" w14:textId="77777777" w:rsidR="001C19F3" w:rsidRPr="000D3390" w:rsidRDefault="001C19F3" w:rsidP="00521305">
      <w:pPr>
        <w:pStyle w:val="ListParagraph"/>
        <w:numPr>
          <w:ilvl w:val="0"/>
          <w:numId w:val="115"/>
        </w:numPr>
        <w:rPr>
          <w:szCs w:val="20"/>
        </w:rPr>
      </w:pPr>
      <w:r w:rsidRPr="000D3390">
        <w:rPr>
          <w:szCs w:val="20"/>
        </w:rPr>
        <w:t>Do patients who received medication management services as part of the HCH trial experience better health outcomes than patients who did not?</w:t>
      </w:r>
    </w:p>
    <w:p w14:paraId="6CC0ABB6" w14:textId="77777777" w:rsidR="001C19F3" w:rsidRPr="000D3390" w:rsidRDefault="001C19F3" w:rsidP="00521305">
      <w:pPr>
        <w:pStyle w:val="ListParagraph"/>
        <w:numPr>
          <w:ilvl w:val="0"/>
          <w:numId w:val="115"/>
        </w:numPr>
        <w:rPr>
          <w:szCs w:val="20"/>
        </w:rPr>
      </w:pPr>
      <w:r w:rsidRPr="000D3390">
        <w:rPr>
          <w:szCs w:val="20"/>
        </w:rPr>
        <w:t>What was the level of engagement between HCH practices and community pharmacy (care coordination)?</w:t>
      </w:r>
    </w:p>
    <w:p w14:paraId="36886638" w14:textId="77777777" w:rsidR="001C19F3" w:rsidRPr="000D3390" w:rsidRDefault="001C19F3" w:rsidP="00521305">
      <w:pPr>
        <w:pStyle w:val="ListParagraph"/>
        <w:numPr>
          <w:ilvl w:val="0"/>
          <w:numId w:val="115"/>
        </w:numPr>
        <w:rPr>
          <w:szCs w:val="20"/>
        </w:rPr>
      </w:pPr>
      <w:r w:rsidRPr="000D3390">
        <w:rPr>
          <w:szCs w:val="20"/>
        </w:rPr>
        <w:t>Is the inclusion of a pharmacy component in HCH financially viable?</w:t>
      </w:r>
    </w:p>
    <w:bookmarkEnd w:id="78"/>
    <w:p w14:paraId="29C64AFC" w14:textId="77777777" w:rsidR="001C19F3" w:rsidRDefault="001C19F3" w:rsidP="001C19F3">
      <w:pPr>
        <w:widowControl w:val="0"/>
        <w:autoSpaceDE w:val="0"/>
        <w:autoSpaceDN w:val="0"/>
        <w:adjustRightInd w:val="0"/>
        <w:ind w:right="-11"/>
      </w:pPr>
      <w:r>
        <w:t>The evaluation is using m</w:t>
      </w:r>
      <w:r w:rsidRPr="00547065">
        <w:t>ixed-methods</w:t>
      </w:r>
      <w:r>
        <w:t xml:space="preserve"> to address these questions.</w:t>
      </w:r>
    </w:p>
    <w:p w14:paraId="37377AD1" w14:textId="77777777" w:rsidR="001C19F3" w:rsidRDefault="001C19F3" w:rsidP="001C19F3">
      <w:pPr>
        <w:pStyle w:val="Heading2"/>
      </w:pPr>
      <w:bookmarkStart w:id="80" w:name="_Toc27056539"/>
      <w:bookmarkEnd w:id="79"/>
      <w:r>
        <w:t>Purpose of this report</w:t>
      </w:r>
      <w:bookmarkEnd w:id="80"/>
    </w:p>
    <w:p w14:paraId="666F7286" w14:textId="77777777" w:rsidR="001C19F3" w:rsidRDefault="001C19F3" w:rsidP="001C19F3">
      <w:r>
        <w:t xml:space="preserve">This document is the </w:t>
      </w:r>
      <w:r w:rsidRPr="00203D34">
        <w:rPr>
          <w:b/>
        </w:rPr>
        <w:t>Interim evaluation report 2019, Volume 2: Main report</w:t>
      </w:r>
      <w:r>
        <w:t>. It is one of four volumes featuring the findings of the evaluation of the HCH trial up to 31 August 2019</w:t>
      </w:r>
      <w:r>
        <w:rPr>
          <w:rStyle w:val="FootnoteReference"/>
        </w:rPr>
        <w:footnoteReference w:id="5"/>
      </w:r>
      <w:r>
        <w:t xml:space="preserve">. The volumes are described in </w:t>
      </w:r>
      <w:r>
        <w:fldChar w:fldCharType="begin"/>
      </w:r>
      <w:r>
        <w:instrText xml:space="preserve"> REF _Ref20732064 \h  \* MERGEFORMAT </w:instrText>
      </w:r>
      <w:r>
        <w:fldChar w:fldCharType="separate"/>
      </w:r>
      <w:r w:rsidRPr="00822044">
        <w:t>Table 1</w:t>
      </w:r>
      <w:r>
        <w:fldChar w:fldCharType="end"/>
      </w:r>
      <w:r>
        <w:t>.</w:t>
      </w:r>
    </w:p>
    <w:p w14:paraId="5C896D46" w14:textId="77777777" w:rsidR="001C19F3" w:rsidRPr="00325529" w:rsidRDefault="001C19F3" w:rsidP="001C19F3">
      <w:pPr>
        <w:spacing w:after="0"/>
        <w:jc w:val="center"/>
        <w:rPr>
          <w:b/>
          <w:color w:val="000000"/>
          <w:sz w:val="18"/>
          <w:szCs w:val="18"/>
        </w:rPr>
      </w:pPr>
      <w:r w:rsidRPr="00325529">
        <w:rPr>
          <w:b/>
          <w:color w:val="000000"/>
          <w:sz w:val="18"/>
          <w:szCs w:val="18"/>
        </w:rPr>
        <w:t xml:space="preserve">Table </w:t>
      </w:r>
      <w:r w:rsidRPr="00325529">
        <w:rPr>
          <w:b/>
          <w:color w:val="000000"/>
          <w:sz w:val="18"/>
          <w:szCs w:val="18"/>
        </w:rPr>
        <w:fldChar w:fldCharType="begin"/>
      </w:r>
      <w:r w:rsidRPr="00325529">
        <w:rPr>
          <w:b/>
          <w:color w:val="000000"/>
          <w:sz w:val="18"/>
          <w:szCs w:val="18"/>
        </w:rPr>
        <w:instrText xml:space="preserve"> SEQ Table \* ARABIC </w:instrText>
      </w:r>
      <w:r w:rsidRPr="00325529">
        <w:rPr>
          <w:b/>
          <w:color w:val="000000"/>
          <w:sz w:val="18"/>
          <w:szCs w:val="18"/>
        </w:rPr>
        <w:fldChar w:fldCharType="separate"/>
      </w:r>
      <w:r>
        <w:rPr>
          <w:b/>
          <w:noProof/>
          <w:color w:val="000000"/>
          <w:sz w:val="18"/>
          <w:szCs w:val="18"/>
        </w:rPr>
        <w:t>1</w:t>
      </w:r>
      <w:r w:rsidRPr="00325529">
        <w:rPr>
          <w:b/>
          <w:noProof/>
          <w:color w:val="000000"/>
          <w:sz w:val="18"/>
          <w:szCs w:val="18"/>
        </w:rPr>
        <w:fldChar w:fldCharType="end"/>
      </w:r>
      <w:r w:rsidRPr="00325529">
        <w:rPr>
          <w:b/>
          <w:color w:val="000000"/>
          <w:sz w:val="18"/>
          <w:szCs w:val="18"/>
        </w:rPr>
        <w:t xml:space="preserve"> –</w:t>
      </w:r>
      <w:r>
        <w:rPr>
          <w:b/>
          <w:color w:val="000000"/>
          <w:sz w:val="18"/>
          <w:szCs w:val="18"/>
        </w:rPr>
        <w:t xml:space="preserve"> Interim evaluation report 2019: Description of volumes</w:t>
      </w:r>
    </w:p>
    <w:tbl>
      <w:tblPr>
        <w:tblW w:w="906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972"/>
        <w:gridCol w:w="6095"/>
      </w:tblGrid>
      <w:tr w:rsidR="001C19F3" w:rsidRPr="00B96792" w14:paraId="3535A65D" w14:textId="77777777" w:rsidTr="00521305">
        <w:trPr>
          <w:tblHeader/>
          <w:jc w:val="center"/>
        </w:trPr>
        <w:tc>
          <w:tcPr>
            <w:tcW w:w="2972" w:type="dxa"/>
            <w:shd w:val="clear" w:color="auto" w:fill="003D79"/>
            <w:vAlign w:val="center"/>
          </w:tcPr>
          <w:p w14:paraId="1F31F42B" w14:textId="77777777" w:rsidR="001C19F3" w:rsidRPr="00B96792" w:rsidRDefault="001C19F3" w:rsidP="00521305">
            <w:pPr>
              <w:spacing w:after="0"/>
              <w:jc w:val="center"/>
              <w:rPr>
                <w:b/>
                <w:sz w:val="18"/>
                <w:szCs w:val="18"/>
              </w:rPr>
            </w:pPr>
            <w:r w:rsidRPr="00B96792">
              <w:rPr>
                <w:b/>
                <w:sz w:val="18"/>
                <w:szCs w:val="18"/>
              </w:rPr>
              <w:t>Volume</w:t>
            </w:r>
          </w:p>
        </w:tc>
        <w:tc>
          <w:tcPr>
            <w:tcW w:w="6095" w:type="dxa"/>
            <w:shd w:val="clear" w:color="auto" w:fill="003D79"/>
          </w:tcPr>
          <w:p w14:paraId="5A70D203" w14:textId="77777777" w:rsidR="001C19F3" w:rsidRPr="00B96792" w:rsidRDefault="001C19F3" w:rsidP="00521305">
            <w:pPr>
              <w:spacing w:after="0"/>
              <w:jc w:val="center"/>
              <w:rPr>
                <w:b/>
                <w:sz w:val="18"/>
                <w:szCs w:val="18"/>
              </w:rPr>
            </w:pPr>
            <w:r w:rsidRPr="00B96792">
              <w:rPr>
                <w:b/>
                <w:sz w:val="18"/>
                <w:szCs w:val="18"/>
              </w:rPr>
              <w:t>Description</w:t>
            </w:r>
          </w:p>
        </w:tc>
      </w:tr>
      <w:tr w:rsidR="001C19F3" w:rsidRPr="00B96792" w14:paraId="73B5A804" w14:textId="77777777" w:rsidTr="00521305">
        <w:trPr>
          <w:jc w:val="center"/>
        </w:trPr>
        <w:tc>
          <w:tcPr>
            <w:tcW w:w="2972" w:type="dxa"/>
          </w:tcPr>
          <w:p w14:paraId="663C1F7D" w14:textId="77777777" w:rsidR="001C19F3" w:rsidRPr="00B96792" w:rsidRDefault="001C19F3" w:rsidP="00521305">
            <w:pPr>
              <w:spacing w:after="0"/>
              <w:rPr>
                <w:sz w:val="18"/>
                <w:szCs w:val="18"/>
              </w:rPr>
            </w:pPr>
            <w:r>
              <w:rPr>
                <w:sz w:val="18"/>
                <w:szCs w:val="18"/>
              </w:rPr>
              <w:t>Volume 1: Summary report</w:t>
            </w:r>
          </w:p>
        </w:tc>
        <w:tc>
          <w:tcPr>
            <w:tcW w:w="6095" w:type="dxa"/>
          </w:tcPr>
          <w:p w14:paraId="2B90F938" w14:textId="77777777" w:rsidR="001C19F3" w:rsidRPr="00B96792" w:rsidRDefault="001C19F3" w:rsidP="00521305">
            <w:pPr>
              <w:spacing w:after="0"/>
              <w:rPr>
                <w:sz w:val="18"/>
                <w:szCs w:val="18"/>
              </w:rPr>
            </w:pPr>
            <w:r>
              <w:rPr>
                <w:sz w:val="18"/>
                <w:szCs w:val="18"/>
              </w:rPr>
              <w:t>Summarises the findings of the interim evaluation.</w:t>
            </w:r>
          </w:p>
        </w:tc>
      </w:tr>
      <w:tr w:rsidR="001C19F3" w:rsidRPr="00B96792" w14:paraId="050BA52E" w14:textId="77777777" w:rsidTr="00521305">
        <w:trPr>
          <w:jc w:val="center"/>
        </w:trPr>
        <w:tc>
          <w:tcPr>
            <w:tcW w:w="2972" w:type="dxa"/>
          </w:tcPr>
          <w:p w14:paraId="1AFB9705" w14:textId="77777777" w:rsidR="001C19F3" w:rsidRPr="00B96792" w:rsidRDefault="001C19F3" w:rsidP="00521305">
            <w:pPr>
              <w:spacing w:after="0"/>
              <w:rPr>
                <w:sz w:val="18"/>
                <w:szCs w:val="18"/>
              </w:rPr>
            </w:pPr>
            <w:r>
              <w:rPr>
                <w:sz w:val="18"/>
                <w:szCs w:val="18"/>
              </w:rPr>
              <w:t>Volume 2: Main report</w:t>
            </w:r>
          </w:p>
        </w:tc>
        <w:tc>
          <w:tcPr>
            <w:tcW w:w="6095" w:type="dxa"/>
          </w:tcPr>
          <w:p w14:paraId="40DD4E24" w14:textId="77777777" w:rsidR="001C19F3" w:rsidRPr="00B96792" w:rsidRDefault="001C19F3" w:rsidP="00521305">
            <w:pPr>
              <w:spacing w:after="0"/>
              <w:rPr>
                <w:sz w:val="18"/>
                <w:szCs w:val="18"/>
              </w:rPr>
            </w:pPr>
            <w:r>
              <w:rPr>
                <w:sz w:val="18"/>
                <w:szCs w:val="18"/>
              </w:rPr>
              <w:t>Presents the findings from the interim evaluation.</w:t>
            </w:r>
          </w:p>
        </w:tc>
      </w:tr>
      <w:tr w:rsidR="001C19F3" w:rsidRPr="00B96792" w14:paraId="091FB832" w14:textId="77777777" w:rsidTr="00521305">
        <w:trPr>
          <w:jc w:val="center"/>
        </w:trPr>
        <w:tc>
          <w:tcPr>
            <w:tcW w:w="2972" w:type="dxa"/>
          </w:tcPr>
          <w:p w14:paraId="2ACC90FB" w14:textId="77777777" w:rsidR="001C19F3" w:rsidRPr="00B96792" w:rsidRDefault="001C19F3" w:rsidP="00521305">
            <w:pPr>
              <w:spacing w:after="0"/>
              <w:rPr>
                <w:sz w:val="18"/>
                <w:szCs w:val="18"/>
              </w:rPr>
            </w:pPr>
            <w:r>
              <w:rPr>
                <w:sz w:val="18"/>
                <w:szCs w:val="18"/>
              </w:rPr>
              <w:t>Volume 3: Evaluation progress</w:t>
            </w:r>
          </w:p>
        </w:tc>
        <w:tc>
          <w:tcPr>
            <w:tcW w:w="6095" w:type="dxa"/>
          </w:tcPr>
          <w:p w14:paraId="04E2BAAA" w14:textId="77777777" w:rsidR="001C19F3" w:rsidRPr="00B96792" w:rsidRDefault="001C19F3" w:rsidP="00521305">
            <w:pPr>
              <w:spacing w:after="0"/>
              <w:rPr>
                <w:sz w:val="18"/>
                <w:szCs w:val="18"/>
              </w:rPr>
            </w:pPr>
            <w:r>
              <w:rPr>
                <w:sz w:val="18"/>
                <w:szCs w:val="18"/>
              </w:rPr>
              <w:t>Describes progress for the evaluation to September 2019, including progress with acquiring evaluation data and approaches for analysing qualitative and quantitative data.</w:t>
            </w:r>
          </w:p>
        </w:tc>
      </w:tr>
      <w:tr w:rsidR="001C19F3" w:rsidRPr="00B96792" w14:paraId="09A164B7" w14:textId="77777777" w:rsidTr="00521305">
        <w:trPr>
          <w:jc w:val="center"/>
        </w:trPr>
        <w:tc>
          <w:tcPr>
            <w:tcW w:w="2972" w:type="dxa"/>
          </w:tcPr>
          <w:p w14:paraId="20E9FEA1" w14:textId="77777777" w:rsidR="001C19F3" w:rsidRPr="00B96792" w:rsidRDefault="001C19F3" w:rsidP="00521305">
            <w:pPr>
              <w:spacing w:after="0"/>
              <w:rPr>
                <w:sz w:val="18"/>
                <w:szCs w:val="18"/>
              </w:rPr>
            </w:pPr>
            <w:r>
              <w:rPr>
                <w:sz w:val="18"/>
                <w:szCs w:val="18"/>
              </w:rPr>
              <w:t>Volume 4: Evaluation data supplement</w:t>
            </w:r>
          </w:p>
        </w:tc>
        <w:tc>
          <w:tcPr>
            <w:tcW w:w="6095" w:type="dxa"/>
          </w:tcPr>
          <w:p w14:paraId="4BDA1D43" w14:textId="77777777" w:rsidR="001C19F3" w:rsidRPr="00B96792" w:rsidRDefault="001C19F3" w:rsidP="00521305">
            <w:pPr>
              <w:spacing w:after="0"/>
              <w:rPr>
                <w:sz w:val="18"/>
                <w:szCs w:val="18"/>
              </w:rPr>
            </w:pPr>
            <w:r>
              <w:rPr>
                <w:sz w:val="18"/>
                <w:szCs w:val="18"/>
              </w:rPr>
              <w:t>Includes supplementary data to support the findings reported in Volume 2.</w:t>
            </w:r>
          </w:p>
        </w:tc>
      </w:tr>
    </w:tbl>
    <w:p w14:paraId="0FA17E00" w14:textId="77777777" w:rsidR="001C19F3" w:rsidRPr="00B96792" w:rsidRDefault="001C19F3" w:rsidP="001C19F3">
      <w:pPr>
        <w:spacing w:after="0"/>
      </w:pPr>
    </w:p>
    <w:p w14:paraId="416B7E59" w14:textId="77777777" w:rsidR="001C19F3" w:rsidRPr="00B96792" w:rsidRDefault="001C19F3" w:rsidP="001C19F3">
      <w:r w:rsidRPr="00B96792">
        <w:t xml:space="preserve">As this is an interim report, it reflects findings that are focussed on </w:t>
      </w:r>
      <w:r w:rsidRPr="00B96792">
        <w:rPr>
          <w:b/>
        </w:rPr>
        <w:t>the establishment phase</w:t>
      </w:r>
      <w:r w:rsidRPr="00B96792">
        <w:t xml:space="preserve"> of the program and the </w:t>
      </w:r>
      <w:r w:rsidRPr="00B96792">
        <w:rPr>
          <w:b/>
        </w:rPr>
        <w:t>early experiences</w:t>
      </w:r>
      <w:r w:rsidRPr="00B96792">
        <w:t xml:space="preserve"> of practices and their staff, patients and PHNs. This report profiles the participating practices and enrolled patients, but these largely reflect their characteristics at the start of the program. Also, the experiences of practices and patients in Aboriginal Community Controlled Health Services (ACCHS) have not been documented as yet. Case studies of two </w:t>
      </w:r>
      <w:r>
        <w:t>ACCHS</w:t>
      </w:r>
      <w:r w:rsidRPr="00B96792">
        <w:t xml:space="preserve"> in the NT are currently being undertaken, and will be reported in the next evaluation report. This report will be followed by a second interim evaluation report in late 2020, and a final evaluation report in late 2021. These next reports, in particular the final report, will provide further insights into changes that have happened within practices and patients’ experiences and outcomes. </w:t>
      </w:r>
    </w:p>
    <w:p w14:paraId="53DAE696" w14:textId="77777777" w:rsidR="001C19F3" w:rsidRPr="00B96792" w:rsidRDefault="001C19F3" w:rsidP="001C19F3">
      <w:r w:rsidRPr="00B96792">
        <w:t>The quantitative and qualitative data used to prepare this report and subsequent evaluation reports are listed below.</w:t>
      </w:r>
    </w:p>
    <w:p w14:paraId="0FCCE28F" w14:textId="77777777" w:rsidR="001C19F3" w:rsidRPr="004A59B8" w:rsidRDefault="001C19F3" w:rsidP="001C19F3">
      <w:pPr>
        <w:spacing w:before="200"/>
      </w:pPr>
      <w:r>
        <w:t xml:space="preserve">Another interim evaluation report will be prepared in the latter half of 2020, covering the period to 30 June 2020. The final evaluation report will cover until the end of the trial (30 June 2021). </w:t>
      </w:r>
      <w:r w:rsidRPr="004A59B8">
        <w:t>The quantitative and qualitative data used to prepare this report and subsequent</w:t>
      </w:r>
      <w:r>
        <w:t xml:space="preserve"> evaluation</w:t>
      </w:r>
      <w:r w:rsidRPr="004A59B8">
        <w:t xml:space="preserve"> reports are listed below.</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1C19F3" w:rsidRPr="002E5EA0" w14:paraId="4FD90A6E" w14:textId="77777777" w:rsidTr="00521305">
        <w:tc>
          <w:tcPr>
            <w:tcW w:w="9016" w:type="dxa"/>
            <w:shd w:val="clear" w:color="auto" w:fill="F2F2F2" w:themeFill="background1" w:themeFillShade="F2"/>
          </w:tcPr>
          <w:p w14:paraId="421C482A" w14:textId="77777777" w:rsidR="001C19F3" w:rsidRPr="002E5EA0" w:rsidRDefault="001C19F3" w:rsidP="00521305">
            <w:pPr>
              <w:pStyle w:val="Boxheading"/>
              <w:rPr>
                <w:sz w:val="18"/>
                <w:szCs w:val="18"/>
              </w:rPr>
            </w:pPr>
            <w:r w:rsidRPr="002E5EA0">
              <w:rPr>
                <w:sz w:val="18"/>
                <w:szCs w:val="18"/>
              </w:rPr>
              <w:t>Evaluation reports</w:t>
            </w:r>
          </w:p>
          <w:p w14:paraId="52094049" w14:textId="77777777" w:rsidR="001C19F3" w:rsidRPr="002E5EA0" w:rsidRDefault="001C19F3" w:rsidP="00521305">
            <w:pPr>
              <w:rPr>
                <w:b/>
                <w:sz w:val="18"/>
                <w:szCs w:val="18"/>
              </w:rPr>
            </w:pPr>
            <w:r w:rsidRPr="002E5EA0">
              <w:rPr>
                <w:b/>
                <w:sz w:val="18"/>
                <w:szCs w:val="18"/>
              </w:rPr>
              <w:t xml:space="preserve">Interim evaluation report 2019 (this report): </w:t>
            </w:r>
          </w:p>
          <w:p w14:paraId="47F3FFDE" w14:textId="77777777" w:rsidR="001C19F3" w:rsidRPr="002E5EA0" w:rsidRDefault="001C19F3" w:rsidP="001C19F3">
            <w:pPr>
              <w:pStyle w:val="ListParagraph"/>
              <w:numPr>
                <w:ilvl w:val="0"/>
                <w:numId w:val="9"/>
              </w:numPr>
              <w:rPr>
                <w:sz w:val="18"/>
                <w:szCs w:val="18"/>
              </w:rPr>
            </w:pPr>
            <w:r w:rsidRPr="002E5EA0">
              <w:rPr>
                <w:i/>
                <w:sz w:val="18"/>
                <w:szCs w:val="18"/>
              </w:rPr>
              <w:t>Patient surveys at entry of HCH (from December 2017 to March 2019):</w:t>
            </w:r>
            <w:r w:rsidRPr="002E5EA0">
              <w:rPr>
                <w:sz w:val="18"/>
                <w:szCs w:val="18"/>
              </w:rPr>
              <w:t xml:space="preserve"> Patient activation, experiences of primary care and coordination of care, health conditions, health status.</w:t>
            </w:r>
          </w:p>
          <w:p w14:paraId="76ABCF32" w14:textId="77777777" w:rsidR="001C19F3" w:rsidRPr="002E5EA0" w:rsidRDefault="001C19F3" w:rsidP="001C19F3">
            <w:pPr>
              <w:pStyle w:val="ListParagraph"/>
              <w:numPr>
                <w:ilvl w:val="0"/>
                <w:numId w:val="9"/>
              </w:numPr>
              <w:rPr>
                <w:sz w:val="18"/>
                <w:szCs w:val="18"/>
              </w:rPr>
            </w:pPr>
            <w:r w:rsidRPr="002E5EA0">
              <w:rPr>
                <w:i/>
                <w:sz w:val="18"/>
                <w:szCs w:val="18"/>
              </w:rPr>
              <w:t>Practice surveys Round 1 (March to June 2018) and Round 2 (November 2018 to March 2019):</w:t>
            </w:r>
            <w:r w:rsidRPr="002E5EA0">
              <w:rPr>
                <w:sz w:val="18"/>
                <w:szCs w:val="18"/>
              </w:rPr>
              <w:t xml:space="preserve"> Characteristics of HCH practices and early experience of HCH implementation.</w:t>
            </w:r>
          </w:p>
          <w:p w14:paraId="3838B26B" w14:textId="77777777" w:rsidR="001C19F3" w:rsidRPr="002E5EA0" w:rsidRDefault="001C19F3" w:rsidP="001C19F3">
            <w:pPr>
              <w:pStyle w:val="ListParagraph"/>
              <w:numPr>
                <w:ilvl w:val="0"/>
                <w:numId w:val="9"/>
              </w:numPr>
              <w:rPr>
                <w:sz w:val="18"/>
                <w:szCs w:val="18"/>
              </w:rPr>
            </w:pPr>
            <w:r w:rsidRPr="002E5EA0">
              <w:rPr>
                <w:i/>
                <w:sz w:val="18"/>
                <w:szCs w:val="18"/>
              </w:rPr>
              <w:t>Case studies (late 2018):</w:t>
            </w:r>
            <w:r w:rsidRPr="002E5EA0">
              <w:rPr>
                <w:b/>
                <w:sz w:val="18"/>
                <w:szCs w:val="18"/>
              </w:rPr>
              <w:t xml:space="preserve"> </w:t>
            </w:r>
            <w:r w:rsidRPr="002E5EA0">
              <w:rPr>
                <w:sz w:val="18"/>
                <w:szCs w:val="18"/>
              </w:rPr>
              <w:t xml:space="preserve">Patient, family, carer and practice experiences in the initial period following commencement of HCH. </w:t>
            </w:r>
          </w:p>
          <w:p w14:paraId="72217315" w14:textId="77777777" w:rsidR="001C19F3" w:rsidRPr="002E5EA0" w:rsidRDefault="001C19F3" w:rsidP="001C19F3">
            <w:pPr>
              <w:pStyle w:val="ListParagraph"/>
              <w:numPr>
                <w:ilvl w:val="0"/>
                <w:numId w:val="9"/>
              </w:numPr>
              <w:rPr>
                <w:sz w:val="18"/>
                <w:szCs w:val="18"/>
              </w:rPr>
            </w:pPr>
            <w:r w:rsidRPr="002E5EA0">
              <w:rPr>
                <w:i/>
                <w:sz w:val="18"/>
                <w:szCs w:val="18"/>
              </w:rPr>
              <w:t>Practice data extracts (up to June 2019):</w:t>
            </w:r>
            <w:r w:rsidRPr="002E5EA0">
              <w:rPr>
                <w:b/>
                <w:sz w:val="18"/>
                <w:szCs w:val="18"/>
              </w:rPr>
              <w:t xml:space="preserve"> </w:t>
            </w:r>
            <w:r w:rsidRPr="002E5EA0">
              <w:rPr>
                <w:sz w:val="18"/>
                <w:szCs w:val="18"/>
              </w:rPr>
              <w:t xml:space="preserve">Profile of enrolled patients from practice data, </w:t>
            </w:r>
            <w:r>
              <w:rPr>
                <w:sz w:val="18"/>
                <w:szCs w:val="18"/>
              </w:rPr>
              <w:t>b</w:t>
            </w:r>
            <w:r w:rsidRPr="002E5EA0">
              <w:rPr>
                <w:sz w:val="18"/>
                <w:szCs w:val="18"/>
              </w:rPr>
              <w:t>aseline for key measures.</w:t>
            </w:r>
          </w:p>
          <w:p w14:paraId="0848E006" w14:textId="77777777" w:rsidR="001C19F3" w:rsidRPr="002E5EA0" w:rsidRDefault="001C19F3" w:rsidP="001C19F3">
            <w:pPr>
              <w:pStyle w:val="ListParagraph"/>
              <w:numPr>
                <w:ilvl w:val="0"/>
                <w:numId w:val="9"/>
              </w:numPr>
              <w:rPr>
                <w:sz w:val="18"/>
                <w:szCs w:val="18"/>
              </w:rPr>
            </w:pPr>
            <w:r w:rsidRPr="002E5EA0">
              <w:rPr>
                <w:i/>
                <w:sz w:val="18"/>
                <w:szCs w:val="18"/>
              </w:rPr>
              <w:t>Selected program data, including practice participation and patient enrolment (up to 31 August 2019).</w:t>
            </w:r>
          </w:p>
          <w:p w14:paraId="6EC6EF2A" w14:textId="77777777" w:rsidR="001C19F3" w:rsidRPr="002E5EA0" w:rsidRDefault="001C19F3" w:rsidP="001C19F3">
            <w:pPr>
              <w:pStyle w:val="ListParagraph"/>
              <w:numPr>
                <w:ilvl w:val="0"/>
                <w:numId w:val="9"/>
              </w:numPr>
              <w:ind w:left="714" w:hanging="357"/>
              <w:rPr>
                <w:sz w:val="18"/>
                <w:szCs w:val="18"/>
              </w:rPr>
            </w:pPr>
            <w:r w:rsidRPr="002E5EA0">
              <w:rPr>
                <w:i/>
                <w:sz w:val="18"/>
                <w:szCs w:val="18"/>
              </w:rPr>
              <w:t>Key themes:</w:t>
            </w:r>
            <w:r w:rsidRPr="002E5EA0">
              <w:rPr>
                <w:sz w:val="18"/>
                <w:szCs w:val="18"/>
              </w:rPr>
              <w:t xml:space="preserve"> Practices and GP perspectives on implementation in early stages of HCH. Description and analysis of HCH patient population. Baseline estimates for evaluation measures.</w:t>
            </w:r>
          </w:p>
          <w:p w14:paraId="60D205CF" w14:textId="77777777" w:rsidR="001C19F3" w:rsidRPr="002E5EA0" w:rsidRDefault="001C19F3" w:rsidP="00521305">
            <w:pPr>
              <w:rPr>
                <w:b/>
                <w:sz w:val="18"/>
                <w:szCs w:val="18"/>
              </w:rPr>
            </w:pPr>
            <w:r w:rsidRPr="002E5EA0">
              <w:rPr>
                <w:b/>
                <w:sz w:val="18"/>
                <w:szCs w:val="18"/>
              </w:rPr>
              <w:t xml:space="preserve">Interim evaluation report 2020 (late 2020): </w:t>
            </w:r>
          </w:p>
          <w:p w14:paraId="7435B13C" w14:textId="77777777" w:rsidR="001C19F3" w:rsidRPr="002E5EA0" w:rsidRDefault="001C19F3" w:rsidP="001C19F3">
            <w:pPr>
              <w:pStyle w:val="ListParagraph"/>
              <w:numPr>
                <w:ilvl w:val="0"/>
                <w:numId w:val="9"/>
              </w:numPr>
              <w:rPr>
                <w:sz w:val="18"/>
                <w:szCs w:val="18"/>
              </w:rPr>
            </w:pPr>
            <w:r w:rsidRPr="002E5EA0">
              <w:rPr>
                <w:i/>
                <w:sz w:val="18"/>
                <w:szCs w:val="18"/>
              </w:rPr>
              <w:t>Patient surveys Round 4 (late 2019 to early 2020):</w:t>
            </w:r>
            <w:r w:rsidRPr="002E5EA0">
              <w:rPr>
                <w:sz w:val="18"/>
                <w:szCs w:val="18"/>
              </w:rPr>
              <w:t xml:space="preserve"> Changes in patient activation, experiences of primary care and coordination of care, health conditions, health status.</w:t>
            </w:r>
          </w:p>
          <w:p w14:paraId="4ADD3F3C" w14:textId="77777777" w:rsidR="001C19F3" w:rsidRPr="002E5EA0" w:rsidRDefault="001C19F3" w:rsidP="001C19F3">
            <w:pPr>
              <w:pStyle w:val="ListParagraph"/>
              <w:numPr>
                <w:ilvl w:val="0"/>
                <w:numId w:val="9"/>
              </w:numPr>
              <w:rPr>
                <w:sz w:val="18"/>
                <w:szCs w:val="18"/>
              </w:rPr>
            </w:pPr>
            <w:r w:rsidRPr="002E5EA0">
              <w:rPr>
                <w:i/>
                <w:sz w:val="18"/>
                <w:szCs w:val="18"/>
              </w:rPr>
              <w:t>Practice surveys Round 4 (late 2019):</w:t>
            </w:r>
            <w:r w:rsidRPr="002E5EA0">
              <w:rPr>
                <w:sz w:val="18"/>
                <w:szCs w:val="18"/>
              </w:rPr>
              <w:t xml:space="preserve"> Experience of HCH after 1-2 years.</w:t>
            </w:r>
          </w:p>
          <w:p w14:paraId="24CFC521" w14:textId="77777777" w:rsidR="001C19F3" w:rsidRPr="002E5EA0" w:rsidRDefault="001C19F3" w:rsidP="001C19F3">
            <w:pPr>
              <w:pStyle w:val="ListParagraph"/>
              <w:numPr>
                <w:ilvl w:val="0"/>
                <w:numId w:val="9"/>
              </w:numPr>
              <w:rPr>
                <w:sz w:val="18"/>
                <w:szCs w:val="18"/>
              </w:rPr>
            </w:pPr>
            <w:r w:rsidRPr="002E5EA0">
              <w:rPr>
                <w:i/>
                <w:sz w:val="18"/>
                <w:szCs w:val="18"/>
              </w:rPr>
              <w:t>Case studies (late 2019 to early 2020):</w:t>
            </w:r>
            <w:r w:rsidRPr="002E5EA0">
              <w:rPr>
                <w:b/>
                <w:sz w:val="18"/>
                <w:szCs w:val="18"/>
              </w:rPr>
              <w:t xml:space="preserve"> </w:t>
            </w:r>
            <w:r w:rsidRPr="002E5EA0">
              <w:rPr>
                <w:sz w:val="18"/>
                <w:szCs w:val="18"/>
              </w:rPr>
              <w:t>Patient family, carer and practice experience of HCH after 1-2 years. Will include case studies of two ACCHS in the NT.</w:t>
            </w:r>
          </w:p>
          <w:p w14:paraId="51CA3EC8" w14:textId="77777777" w:rsidR="001C19F3" w:rsidRPr="002E5EA0" w:rsidRDefault="001C19F3" w:rsidP="001C19F3">
            <w:pPr>
              <w:pStyle w:val="ListParagraph"/>
              <w:numPr>
                <w:ilvl w:val="0"/>
                <w:numId w:val="9"/>
              </w:numPr>
              <w:rPr>
                <w:sz w:val="18"/>
                <w:szCs w:val="18"/>
              </w:rPr>
            </w:pPr>
            <w:r w:rsidRPr="002E5EA0">
              <w:rPr>
                <w:i/>
                <w:sz w:val="18"/>
                <w:szCs w:val="18"/>
              </w:rPr>
              <w:t>Practice data extracts (up to June 2020):</w:t>
            </w:r>
            <w:r w:rsidRPr="002E5EA0">
              <w:rPr>
                <w:b/>
                <w:sz w:val="18"/>
                <w:szCs w:val="18"/>
              </w:rPr>
              <w:t xml:space="preserve"> </w:t>
            </w:r>
            <w:r w:rsidRPr="002E5EA0">
              <w:rPr>
                <w:sz w:val="18"/>
                <w:szCs w:val="18"/>
              </w:rPr>
              <w:t>Changes in key measures after 1-2 years.</w:t>
            </w:r>
          </w:p>
          <w:p w14:paraId="56D7568C" w14:textId="77777777" w:rsidR="001C19F3" w:rsidRPr="002E5EA0" w:rsidRDefault="001C19F3" w:rsidP="001C19F3">
            <w:pPr>
              <w:pStyle w:val="ListParagraph"/>
              <w:numPr>
                <w:ilvl w:val="0"/>
                <w:numId w:val="9"/>
              </w:numPr>
              <w:rPr>
                <w:sz w:val="18"/>
                <w:szCs w:val="18"/>
              </w:rPr>
            </w:pPr>
            <w:r w:rsidRPr="002E5EA0">
              <w:rPr>
                <w:i/>
                <w:sz w:val="18"/>
                <w:szCs w:val="18"/>
              </w:rPr>
              <w:t>Initial Medical Benefits Schedule (MBS), Pharmaceutical Benefits Scheme (PBS) (up to June 2020) and hospital data (up to June 2018):</w:t>
            </w:r>
            <w:r w:rsidRPr="002E5EA0">
              <w:rPr>
                <w:b/>
                <w:sz w:val="18"/>
                <w:szCs w:val="18"/>
              </w:rPr>
              <w:t xml:space="preserve"> </w:t>
            </w:r>
            <w:r w:rsidRPr="002E5EA0">
              <w:rPr>
                <w:sz w:val="18"/>
                <w:szCs w:val="18"/>
              </w:rPr>
              <w:t>Patients profiles for HCH and comparator groups, trends in MBS billing prior to and after implementation of HCH.</w:t>
            </w:r>
          </w:p>
          <w:p w14:paraId="1E20152C" w14:textId="77777777" w:rsidR="001C19F3" w:rsidRPr="00F80012" w:rsidRDefault="001C19F3" w:rsidP="001C19F3">
            <w:pPr>
              <w:pStyle w:val="ListParagraph"/>
              <w:numPr>
                <w:ilvl w:val="0"/>
                <w:numId w:val="9"/>
              </w:numPr>
              <w:ind w:left="714" w:hanging="357"/>
              <w:rPr>
                <w:sz w:val="18"/>
                <w:szCs w:val="18"/>
              </w:rPr>
            </w:pPr>
            <w:r w:rsidRPr="002E5EA0">
              <w:rPr>
                <w:i/>
                <w:sz w:val="18"/>
                <w:szCs w:val="18"/>
              </w:rPr>
              <w:t>Key themes:</w:t>
            </w:r>
            <w:r w:rsidRPr="002E5EA0">
              <w:rPr>
                <w:sz w:val="18"/>
                <w:szCs w:val="18"/>
              </w:rPr>
              <w:t xml:space="preserve"> Practice and GP perspectives on implementation. Patient experience of HCH.</w:t>
            </w:r>
          </w:p>
        </w:tc>
      </w:tr>
      <w:tr w:rsidR="001C19F3" w:rsidRPr="002E5EA0" w14:paraId="407469F8" w14:textId="77777777" w:rsidTr="00521305">
        <w:trPr>
          <w:cantSplit/>
        </w:trPr>
        <w:tc>
          <w:tcPr>
            <w:tcW w:w="9016" w:type="dxa"/>
            <w:shd w:val="clear" w:color="auto" w:fill="F2F2F2" w:themeFill="background1" w:themeFillShade="F2"/>
          </w:tcPr>
          <w:p w14:paraId="547208CF" w14:textId="77777777" w:rsidR="001C19F3" w:rsidRPr="002E5EA0" w:rsidRDefault="001C19F3" w:rsidP="00521305">
            <w:pPr>
              <w:rPr>
                <w:b/>
                <w:sz w:val="18"/>
                <w:szCs w:val="18"/>
              </w:rPr>
            </w:pPr>
            <w:r w:rsidRPr="002E5EA0">
              <w:rPr>
                <w:b/>
                <w:sz w:val="18"/>
                <w:szCs w:val="18"/>
              </w:rPr>
              <w:lastRenderedPageBreak/>
              <w:t>Final evaluation report (late 2021):</w:t>
            </w:r>
          </w:p>
          <w:p w14:paraId="35C8C7CA" w14:textId="77777777" w:rsidR="001C19F3" w:rsidRPr="002E5EA0" w:rsidRDefault="001C19F3" w:rsidP="001C19F3">
            <w:pPr>
              <w:pStyle w:val="ListParagraph"/>
              <w:numPr>
                <w:ilvl w:val="0"/>
                <w:numId w:val="9"/>
              </w:numPr>
              <w:rPr>
                <w:sz w:val="18"/>
                <w:szCs w:val="18"/>
              </w:rPr>
            </w:pPr>
            <w:r w:rsidRPr="002E5EA0">
              <w:rPr>
                <w:i/>
                <w:sz w:val="18"/>
                <w:szCs w:val="18"/>
              </w:rPr>
              <w:t>Patient surveys Round 5 (late 2020 to early 2021):</w:t>
            </w:r>
            <w:r w:rsidRPr="002E5EA0">
              <w:rPr>
                <w:sz w:val="18"/>
                <w:szCs w:val="18"/>
              </w:rPr>
              <w:t xml:space="preserve"> Changes in patient activation, experiences of primary care and coordination of care, health conditions, health status.</w:t>
            </w:r>
          </w:p>
          <w:p w14:paraId="72A55B02" w14:textId="77777777" w:rsidR="001C19F3" w:rsidRPr="002E5EA0" w:rsidRDefault="001C19F3" w:rsidP="001C19F3">
            <w:pPr>
              <w:pStyle w:val="ListParagraph"/>
              <w:numPr>
                <w:ilvl w:val="0"/>
                <w:numId w:val="9"/>
              </w:numPr>
              <w:rPr>
                <w:sz w:val="18"/>
                <w:szCs w:val="18"/>
              </w:rPr>
            </w:pPr>
            <w:r w:rsidRPr="002E5EA0">
              <w:rPr>
                <w:i/>
                <w:sz w:val="18"/>
                <w:szCs w:val="18"/>
              </w:rPr>
              <w:t>Practice and practice staff surveys (late 2020):</w:t>
            </w:r>
            <w:r w:rsidRPr="002E5EA0">
              <w:rPr>
                <w:sz w:val="18"/>
                <w:szCs w:val="18"/>
              </w:rPr>
              <w:t xml:space="preserve"> Experience of HCH implementation, nature of changes introduced and practice/staff assessment of their effect, changes in staff satisfaction. </w:t>
            </w:r>
          </w:p>
          <w:p w14:paraId="4CA158A2" w14:textId="77777777" w:rsidR="001C19F3" w:rsidRPr="002E5EA0" w:rsidRDefault="001C19F3" w:rsidP="001C19F3">
            <w:pPr>
              <w:pStyle w:val="ListParagraph"/>
              <w:numPr>
                <w:ilvl w:val="0"/>
                <w:numId w:val="9"/>
              </w:numPr>
              <w:rPr>
                <w:sz w:val="18"/>
                <w:szCs w:val="18"/>
              </w:rPr>
            </w:pPr>
            <w:r w:rsidRPr="002E5EA0">
              <w:rPr>
                <w:i/>
                <w:sz w:val="18"/>
                <w:szCs w:val="18"/>
              </w:rPr>
              <w:t>Case studies (late 2020 to early 2021):</w:t>
            </w:r>
            <w:r w:rsidRPr="002E5EA0">
              <w:rPr>
                <w:b/>
                <w:sz w:val="18"/>
                <w:szCs w:val="18"/>
              </w:rPr>
              <w:t xml:space="preserve"> </w:t>
            </w:r>
            <w:r w:rsidRPr="002E5EA0">
              <w:rPr>
                <w:sz w:val="18"/>
                <w:szCs w:val="18"/>
              </w:rPr>
              <w:t xml:space="preserve">Patient family, carer and practice experiences after 2-3 years of HCH. </w:t>
            </w:r>
          </w:p>
          <w:p w14:paraId="64D210E5" w14:textId="77777777" w:rsidR="001C19F3" w:rsidRPr="002E5EA0" w:rsidRDefault="001C19F3" w:rsidP="001C19F3">
            <w:pPr>
              <w:pStyle w:val="ListParagraph"/>
              <w:numPr>
                <w:ilvl w:val="0"/>
                <w:numId w:val="9"/>
              </w:numPr>
              <w:rPr>
                <w:sz w:val="18"/>
                <w:szCs w:val="18"/>
              </w:rPr>
            </w:pPr>
            <w:r w:rsidRPr="002E5EA0">
              <w:rPr>
                <w:i/>
                <w:sz w:val="18"/>
                <w:szCs w:val="18"/>
              </w:rPr>
              <w:t>Practice data extracts (up to June 2020):</w:t>
            </w:r>
            <w:r w:rsidRPr="002E5EA0">
              <w:rPr>
                <w:b/>
                <w:sz w:val="18"/>
                <w:szCs w:val="18"/>
              </w:rPr>
              <w:t xml:space="preserve"> </w:t>
            </w:r>
            <w:r w:rsidRPr="002E5EA0">
              <w:rPr>
                <w:sz w:val="18"/>
                <w:szCs w:val="18"/>
              </w:rPr>
              <w:t>Changes in evaluation measures, including clinical processes and selected clinical outcomes.</w:t>
            </w:r>
          </w:p>
          <w:p w14:paraId="69DF1D6C" w14:textId="77777777" w:rsidR="001C19F3" w:rsidRPr="002E5EA0" w:rsidRDefault="001C19F3" w:rsidP="001C19F3">
            <w:pPr>
              <w:pStyle w:val="ListParagraph"/>
              <w:numPr>
                <w:ilvl w:val="0"/>
                <w:numId w:val="9"/>
              </w:numPr>
              <w:rPr>
                <w:sz w:val="18"/>
                <w:szCs w:val="18"/>
              </w:rPr>
            </w:pPr>
            <w:r w:rsidRPr="002E5EA0">
              <w:rPr>
                <w:i/>
                <w:sz w:val="18"/>
                <w:szCs w:val="18"/>
              </w:rPr>
              <w:t>MBS, PBS (up to June 2021) and hospital data (up to June 2020):</w:t>
            </w:r>
            <w:r w:rsidRPr="002E5EA0">
              <w:rPr>
                <w:b/>
                <w:sz w:val="18"/>
                <w:szCs w:val="18"/>
              </w:rPr>
              <w:t xml:space="preserve"> </w:t>
            </w:r>
            <w:r w:rsidRPr="002E5EA0">
              <w:rPr>
                <w:sz w:val="18"/>
                <w:szCs w:val="18"/>
              </w:rPr>
              <w:t>Comparison of trends for HCH patients and comparator</w:t>
            </w:r>
            <w:r>
              <w:rPr>
                <w:sz w:val="18"/>
                <w:szCs w:val="18"/>
              </w:rPr>
              <w:t xml:space="preserve"> patient</w:t>
            </w:r>
            <w:r w:rsidRPr="002E5EA0">
              <w:rPr>
                <w:sz w:val="18"/>
                <w:szCs w:val="18"/>
              </w:rPr>
              <w:t>s for key evaluation measures. Impact of HCH on practice revenues. Early indicators of change in hospitalisation/emergency department attendance</w:t>
            </w:r>
            <w:r>
              <w:rPr>
                <w:sz w:val="18"/>
                <w:szCs w:val="18"/>
              </w:rPr>
              <w:t>.</w:t>
            </w:r>
          </w:p>
          <w:p w14:paraId="2F789838" w14:textId="77777777" w:rsidR="001C19F3" w:rsidRPr="002E5EA0" w:rsidRDefault="001C19F3" w:rsidP="001C19F3">
            <w:pPr>
              <w:pStyle w:val="ListParagraph"/>
              <w:numPr>
                <w:ilvl w:val="0"/>
                <w:numId w:val="9"/>
              </w:numPr>
              <w:rPr>
                <w:sz w:val="18"/>
                <w:szCs w:val="18"/>
              </w:rPr>
            </w:pPr>
            <w:r w:rsidRPr="002E5EA0">
              <w:rPr>
                <w:i/>
                <w:sz w:val="18"/>
                <w:szCs w:val="18"/>
              </w:rPr>
              <w:t>Key themes</w:t>
            </w:r>
            <w:r w:rsidRPr="00287B2F">
              <w:rPr>
                <w:sz w:val="18"/>
                <w:szCs w:val="18"/>
              </w:rPr>
              <w:t>: Practice and GP perspectives on implementation</w:t>
            </w:r>
            <w:r>
              <w:rPr>
                <w:sz w:val="18"/>
                <w:szCs w:val="18"/>
              </w:rPr>
              <w:t>.</w:t>
            </w:r>
            <w:r w:rsidRPr="00287B2F">
              <w:rPr>
                <w:sz w:val="18"/>
                <w:szCs w:val="18"/>
              </w:rPr>
              <w:t xml:space="preserve"> </w:t>
            </w:r>
            <w:r w:rsidRPr="00F80012">
              <w:rPr>
                <w:sz w:val="18"/>
                <w:szCs w:val="18"/>
              </w:rPr>
              <w:t xml:space="preserve">Viability of approach for practices. Changes in the HCH patient population. Changes in specified measures for HCH and comparator </w:t>
            </w:r>
            <w:r>
              <w:rPr>
                <w:sz w:val="18"/>
                <w:szCs w:val="18"/>
              </w:rPr>
              <w:t>practices and patients</w:t>
            </w:r>
            <w:r w:rsidRPr="00F80012">
              <w:rPr>
                <w:sz w:val="18"/>
                <w:szCs w:val="18"/>
              </w:rPr>
              <w:t>.</w:t>
            </w:r>
          </w:p>
        </w:tc>
      </w:tr>
    </w:tbl>
    <w:p w14:paraId="4D122FD3" w14:textId="77777777" w:rsidR="001C19F3" w:rsidRDefault="001C19F3" w:rsidP="001C19F3"/>
    <w:p w14:paraId="4DC19E99" w14:textId="77777777" w:rsidR="001C19F3" w:rsidRDefault="001C19F3" w:rsidP="001C19F3">
      <w:pPr>
        <w:rPr>
          <w:highlight w:val="yellow"/>
        </w:rPr>
        <w:sectPr w:rsidR="001C19F3" w:rsidSect="00640EFA">
          <w:headerReference w:type="even" r:id="rId41"/>
          <w:headerReference w:type="default" r:id="rId42"/>
          <w:headerReference w:type="first" r:id="rId43"/>
          <w:pgSz w:w="11906" w:h="16838"/>
          <w:pgMar w:top="1440" w:right="1440" w:bottom="1440" w:left="1440" w:header="708" w:footer="708" w:gutter="0"/>
          <w:cols w:space="708"/>
          <w:titlePg/>
          <w:docGrid w:linePitch="360"/>
        </w:sectPr>
      </w:pPr>
    </w:p>
    <w:p w14:paraId="17EE3178" w14:textId="77777777" w:rsidR="001C19F3" w:rsidRPr="006F3B01" w:rsidRDefault="001C19F3" w:rsidP="001C19F3">
      <w:pPr>
        <w:pStyle w:val="Heading1withnumber"/>
        <w:ind w:left="0" w:hanging="993"/>
      </w:pPr>
      <w:bookmarkStart w:id="82" w:name="_Toc27056540"/>
      <w:r w:rsidRPr="006F3B01">
        <w:lastRenderedPageBreak/>
        <w:t>HCH program overview</w:t>
      </w:r>
      <w:bookmarkEnd w:id="82"/>
    </w:p>
    <w:p w14:paraId="27EC92ED" w14:textId="77777777" w:rsidR="001C19F3" w:rsidRPr="00911F33" w:rsidRDefault="001C19F3" w:rsidP="001C19F3">
      <w:pPr>
        <w:pStyle w:val="Heading2"/>
      </w:pPr>
      <w:bookmarkStart w:id="83" w:name="_Toc27056541"/>
      <w:r w:rsidRPr="00911F33">
        <w:t>Primary Health Care Advisory Group</w:t>
      </w:r>
      <w:bookmarkEnd w:id="83"/>
    </w:p>
    <w:p w14:paraId="39CD48C4" w14:textId="77777777" w:rsidR="001C19F3" w:rsidRDefault="001C19F3" w:rsidP="001C19F3">
      <w:pPr>
        <w:rPr>
          <w:szCs w:val="20"/>
        </w:rPr>
      </w:pPr>
      <w:r>
        <w:rPr>
          <w:szCs w:val="20"/>
        </w:rPr>
        <w:t xml:space="preserve">In </w:t>
      </w:r>
      <w:r w:rsidRPr="0061230F">
        <w:rPr>
          <w:szCs w:val="20"/>
        </w:rPr>
        <w:fldChar w:fldCharType="begin"/>
      </w:r>
      <w:r>
        <w:rPr>
          <w:szCs w:val="20"/>
        </w:rPr>
        <w:instrText xml:space="preserve"> ADDIN EN.CITE &lt;EndNote&gt;&lt;Cite ExcludeAuth="1"&gt;&lt;Author&gt;Primary Health Care Advisory Group&lt;/Author&gt;&lt;Year&gt;2015&lt;/Year&gt;&lt;RecNum&gt;477&lt;/RecNum&gt;&lt;DisplayText&gt;PHCAG, 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sidRPr="0061230F">
        <w:rPr>
          <w:szCs w:val="20"/>
        </w:rPr>
        <w:fldChar w:fldCharType="separate"/>
      </w:r>
      <w:r>
        <w:rPr>
          <w:noProof/>
          <w:szCs w:val="20"/>
        </w:rPr>
        <w:t>PHCAG, 2015</w:t>
      </w:r>
      <w:r w:rsidRPr="0061230F">
        <w:rPr>
          <w:szCs w:val="20"/>
        </w:rPr>
        <w:fldChar w:fldCharType="end"/>
      </w:r>
      <w:r>
        <w:rPr>
          <w:szCs w:val="20"/>
        </w:rPr>
        <w:t>, the</w:t>
      </w:r>
      <w:r w:rsidRPr="00BB4EBC">
        <w:rPr>
          <w:szCs w:val="20"/>
        </w:rPr>
        <w:t xml:space="preserve"> </w:t>
      </w:r>
      <w:r w:rsidRPr="00A4009E">
        <w:rPr>
          <w:szCs w:val="20"/>
        </w:rPr>
        <w:t xml:space="preserve">Primary Health Care Advisory Group </w:t>
      </w:r>
      <w:r w:rsidRPr="00BB4EBC">
        <w:rPr>
          <w:szCs w:val="20"/>
        </w:rPr>
        <w:t xml:space="preserve">presented its </w:t>
      </w:r>
      <w:r>
        <w:rPr>
          <w:szCs w:val="20"/>
        </w:rPr>
        <w:t xml:space="preserve">recommendations </w:t>
      </w:r>
      <w:r w:rsidRPr="00BB4EBC">
        <w:rPr>
          <w:szCs w:val="20"/>
        </w:rPr>
        <w:t xml:space="preserve">to </w:t>
      </w:r>
      <w:r>
        <w:rPr>
          <w:szCs w:val="20"/>
        </w:rPr>
        <w:t xml:space="preserve">the Australian </w:t>
      </w:r>
      <w:r w:rsidRPr="00BB4EBC">
        <w:rPr>
          <w:szCs w:val="20"/>
        </w:rPr>
        <w:t xml:space="preserve">Government for </w:t>
      </w:r>
      <w:r>
        <w:rPr>
          <w:szCs w:val="20"/>
        </w:rPr>
        <w:t>the country’s primary health system, within a focus on achieving “</w:t>
      </w:r>
      <w:r w:rsidRPr="00BB4EBC">
        <w:rPr>
          <w:szCs w:val="20"/>
        </w:rPr>
        <w:t>better outcomes for people with chronic and complex health conditions</w:t>
      </w:r>
      <w:r>
        <w:rPr>
          <w:szCs w:val="20"/>
        </w:rPr>
        <w:t xml:space="preserve">”. A key </w:t>
      </w:r>
      <w:r w:rsidRPr="00BB4EBC">
        <w:rPr>
          <w:szCs w:val="20"/>
        </w:rPr>
        <w:t xml:space="preserve">recommendation </w:t>
      </w:r>
      <w:r>
        <w:rPr>
          <w:szCs w:val="20"/>
        </w:rPr>
        <w:t xml:space="preserve">of the Group </w:t>
      </w:r>
      <w:r w:rsidRPr="00BB4EBC">
        <w:rPr>
          <w:szCs w:val="20"/>
        </w:rPr>
        <w:t xml:space="preserve">was </w:t>
      </w:r>
      <w:r>
        <w:rPr>
          <w:szCs w:val="20"/>
        </w:rPr>
        <w:t>to</w:t>
      </w:r>
      <w:r w:rsidRPr="00BB4EBC">
        <w:rPr>
          <w:szCs w:val="20"/>
        </w:rPr>
        <w:t xml:space="preserve"> est</w:t>
      </w:r>
      <w:r>
        <w:rPr>
          <w:szCs w:val="20"/>
        </w:rPr>
        <w:t xml:space="preserve">ablish a new model for primary health care called ‘Health Care Homes’, with the relationships to the broader health and social care system as shown in </w:t>
      </w:r>
      <w:r>
        <w:rPr>
          <w:szCs w:val="20"/>
        </w:rPr>
        <w:fldChar w:fldCharType="begin"/>
      </w:r>
      <w:r>
        <w:rPr>
          <w:szCs w:val="20"/>
        </w:rPr>
        <w:instrText xml:space="preserve"> REF _Ref523214911 \h  \* MERGEFORMAT </w:instrText>
      </w:r>
      <w:r>
        <w:rPr>
          <w:szCs w:val="20"/>
        </w:rPr>
      </w:r>
      <w:r>
        <w:rPr>
          <w:szCs w:val="20"/>
        </w:rPr>
        <w:fldChar w:fldCharType="separate"/>
      </w:r>
      <w:r w:rsidRPr="00822044">
        <w:rPr>
          <w:szCs w:val="20"/>
        </w:rPr>
        <w:t>Figure 1</w:t>
      </w:r>
      <w:r>
        <w:rPr>
          <w:szCs w:val="20"/>
        </w:rPr>
        <w:fldChar w:fldCharType="end"/>
      </w:r>
      <w:r>
        <w:rPr>
          <w:szCs w:val="20"/>
        </w:rPr>
        <w:t>.</w:t>
      </w:r>
    </w:p>
    <w:p w14:paraId="136D69A9" w14:textId="77777777" w:rsidR="001C19F3" w:rsidRDefault="001C19F3" w:rsidP="001C19F3">
      <w:pPr>
        <w:jc w:val="center"/>
        <w:rPr>
          <w:szCs w:val="20"/>
        </w:rPr>
      </w:pPr>
      <w:r w:rsidRPr="003827FE">
        <w:rPr>
          <w:noProof/>
          <w:lang w:eastAsia="en-AU"/>
        </w:rPr>
        <w:drawing>
          <wp:inline distT="0" distB="0" distL="0" distR="0" wp14:anchorId="10DC8763" wp14:editId="7742A8E5">
            <wp:extent cx="5731510" cy="37071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707130"/>
                    </a:xfrm>
                    <a:prstGeom prst="rect">
                      <a:avLst/>
                    </a:prstGeom>
                  </pic:spPr>
                </pic:pic>
              </a:graphicData>
            </a:graphic>
          </wp:inline>
        </w:drawing>
      </w:r>
    </w:p>
    <w:tbl>
      <w:tblPr>
        <w:tblW w:w="0" w:type="auto"/>
        <w:tblLook w:val="04A0" w:firstRow="1" w:lastRow="0" w:firstColumn="1" w:lastColumn="0" w:noHBand="0" w:noVBand="1"/>
      </w:tblPr>
      <w:tblGrid>
        <w:gridCol w:w="9016"/>
      </w:tblGrid>
      <w:tr w:rsidR="001C19F3" w14:paraId="7F316EEF" w14:textId="77777777" w:rsidTr="00521305">
        <w:tc>
          <w:tcPr>
            <w:tcW w:w="9016" w:type="dxa"/>
          </w:tcPr>
          <w:p w14:paraId="677B45CB" w14:textId="77777777" w:rsidR="001C19F3" w:rsidRPr="001D6F49" w:rsidRDefault="001C19F3" w:rsidP="00521305">
            <w:pPr>
              <w:jc w:val="center"/>
              <w:rPr>
                <w:b/>
              </w:rPr>
            </w:pPr>
            <w:bookmarkStart w:id="84" w:name="_Ref523214911"/>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1</w:t>
            </w:r>
            <w:r>
              <w:rPr>
                <w:rFonts w:cs="Arial"/>
                <w:b/>
                <w:color w:val="000000" w:themeColor="text1"/>
              </w:rPr>
              <w:fldChar w:fldCharType="end"/>
            </w:r>
            <w:bookmarkEnd w:id="84"/>
            <w:r>
              <w:rPr>
                <w:b/>
              </w:rPr>
              <w:t xml:space="preserve"> – Health Care Homes as recommended by </w:t>
            </w:r>
            <w:r w:rsidRPr="00FF3859">
              <w:rPr>
                <w:b/>
                <w:szCs w:val="20"/>
              </w:rPr>
              <w:fldChar w:fldCharType="begin"/>
            </w:r>
            <w:r>
              <w:rPr>
                <w:b/>
                <w:szCs w:val="20"/>
              </w:rPr>
              <w:instrText xml:space="preserve"> ADDIN EN.CITE &lt;EndNote&gt;&lt;Cite ExcludeAuth="1"&gt;&lt;Author&gt;Primary Health Care Advisory Group&lt;/Author&gt;&lt;Year&gt;2015&lt;/Year&gt;&lt;RecNum&gt;477&lt;/RecNum&gt;&lt;DisplayText&gt;PHCAG, 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Cite AuthorYear="1"&gt;&lt;Author&gt;Primary Health Care Advisory Group&lt;/Author&gt;&lt;Year&gt;2015&lt;/Year&gt;&lt;RecNum&gt;477&lt;/RecNum&gt;&lt;record&gt;&lt;rec-number&gt;477&lt;/rec-number&gt;&lt;foreign-keys&gt;&lt;key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sidRPr="00FF3859">
              <w:rPr>
                <w:b/>
                <w:szCs w:val="20"/>
              </w:rPr>
              <w:fldChar w:fldCharType="separate"/>
            </w:r>
            <w:r>
              <w:rPr>
                <w:b/>
                <w:noProof/>
                <w:szCs w:val="20"/>
              </w:rPr>
              <w:t>PHCAG, 2015</w:t>
            </w:r>
            <w:r w:rsidRPr="00FF3859">
              <w:rPr>
                <w:b/>
                <w:szCs w:val="20"/>
              </w:rPr>
              <w:fldChar w:fldCharType="end"/>
            </w:r>
            <w:r w:rsidRPr="00FF3859">
              <w:rPr>
                <w:b/>
                <w:szCs w:val="20"/>
              </w:rPr>
              <w:t xml:space="preserve"> </w:t>
            </w:r>
          </w:p>
        </w:tc>
      </w:tr>
    </w:tbl>
    <w:p w14:paraId="2679C023" w14:textId="77777777" w:rsidR="001C19F3" w:rsidRPr="00E14E31" w:rsidRDefault="001C19F3" w:rsidP="001C19F3">
      <w:r>
        <w:t xml:space="preserve">The HCH model was based on the following principles, some of which the </w:t>
      </w:r>
      <w:r>
        <w:rPr>
          <w:szCs w:val="20"/>
        </w:rPr>
        <w:t>PHCAG</w:t>
      </w:r>
      <w:r>
        <w:t xml:space="preserve"> acknowledged currently feature in Australian primary care, and others which are embryonic</w:t>
      </w:r>
      <w:r w:rsidRPr="00E14E31">
        <w:t>:</w:t>
      </w:r>
    </w:p>
    <w:p w14:paraId="27CCB531" w14:textId="77777777" w:rsidR="001C19F3" w:rsidRDefault="001C19F3" w:rsidP="001C19F3">
      <w:pPr>
        <w:pStyle w:val="ListParagraph"/>
        <w:numPr>
          <w:ilvl w:val="0"/>
          <w:numId w:val="11"/>
        </w:numPr>
      </w:pPr>
      <w:r w:rsidRPr="00E14E31">
        <w:t>Voluntary patient enrolment</w:t>
      </w:r>
      <w:r>
        <w:t>.</w:t>
      </w:r>
    </w:p>
    <w:p w14:paraId="734FCE4C" w14:textId="77777777" w:rsidR="001C19F3" w:rsidRDefault="001C19F3" w:rsidP="001C19F3">
      <w:pPr>
        <w:pStyle w:val="ListParagraph"/>
        <w:numPr>
          <w:ilvl w:val="0"/>
          <w:numId w:val="11"/>
        </w:numPr>
      </w:pPr>
      <w:r w:rsidRPr="00E14E31">
        <w:t>Patients, families and their carers as partners in their care</w:t>
      </w:r>
      <w:r>
        <w:t>.</w:t>
      </w:r>
    </w:p>
    <w:p w14:paraId="57AA2DF9" w14:textId="77777777" w:rsidR="001C19F3" w:rsidRDefault="001C19F3" w:rsidP="001C19F3">
      <w:pPr>
        <w:pStyle w:val="ListParagraph"/>
        <w:numPr>
          <w:ilvl w:val="0"/>
          <w:numId w:val="11"/>
        </w:numPr>
      </w:pPr>
      <w:r w:rsidRPr="00E14E31">
        <w:t>Patients have enhanced access</w:t>
      </w:r>
      <w:r>
        <w:t>.</w:t>
      </w:r>
    </w:p>
    <w:p w14:paraId="36B286BE" w14:textId="77777777" w:rsidR="001C19F3" w:rsidRDefault="001C19F3" w:rsidP="001C19F3">
      <w:pPr>
        <w:pStyle w:val="ListParagraph"/>
        <w:numPr>
          <w:ilvl w:val="0"/>
          <w:numId w:val="11"/>
        </w:numPr>
      </w:pPr>
      <w:r w:rsidRPr="00E14E31">
        <w:t>Patients nominate a preferred clinician</w:t>
      </w:r>
      <w:r>
        <w:t>.</w:t>
      </w:r>
    </w:p>
    <w:p w14:paraId="79E80654" w14:textId="77777777" w:rsidR="001C19F3" w:rsidRDefault="001C19F3" w:rsidP="001C19F3">
      <w:pPr>
        <w:pStyle w:val="ListParagraph"/>
        <w:numPr>
          <w:ilvl w:val="0"/>
          <w:numId w:val="11"/>
        </w:numPr>
      </w:pPr>
      <w:r w:rsidRPr="00E14E31">
        <w:t>Flexible service delivery and care teams are enabled through shared, integrated care planning</w:t>
      </w:r>
      <w:r>
        <w:t>.</w:t>
      </w:r>
    </w:p>
    <w:p w14:paraId="5547C684" w14:textId="77777777" w:rsidR="001C19F3" w:rsidRDefault="001C19F3" w:rsidP="001C19F3">
      <w:pPr>
        <w:pStyle w:val="ListParagraph"/>
        <w:numPr>
          <w:ilvl w:val="0"/>
          <w:numId w:val="11"/>
        </w:numPr>
      </w:pPr>
      <w:r w:rsidRPr="00E14E31">
        <w:lastRenderedPageBreak/>
        <w:t xml:space="preserve">The </w:t>
      </w:r>
      <w:r>
        <w:t>HCH</w:t>
      </w:r>
      <w:r w:rsidRPr="00E14E31">
        <w:t xml:space="preserve"> is committed to care which is of high quality and is safe</w:t>
      </w:r>
      <w:r>
        <w:t>.</w:t>
      </w:r>
    </w:p>
    <w:p w14:paraId="3D97957D" w14:textId="77777777" w:rsidR="001C19F3" w:rsidRDefault="001C19F3" w:rsidP="001C19F3">
      <w:pPr>
        <w:pStyle w:val="ListParagraph"/>
        <w:numPr>
          <w:ilvl w:val="0"/>
          <w:numId w:val="11"/>
        </w:numPr>
      </w:pPr>
      <w:r w:rsidRPr="00E14E31">
        <w:t>Data collection and sharing</w:t>
      </w:r>
      <w:r>
        <w:t xml:space="preserve"> by patients and their health care teams to measure patient health outcomes and improve performance.</w:t>
      </w:r>
    </w:p>
    <w:p w14:paraId="7B4EA696" w14:textId="77777777" w:rsidR="001C19F3" w:rsidRPr="0061230F" w:rsidRDefault="001C19F3" w:rsidP="001C19F3">
      <w:r w:rsidRPr="00C76B91">
        <w:rPr>
          <w:i/>
          <w:szCs w:val="20"/>
        </w:rPr>
        <w:fldChar w:fldCharType="begin"/>
      </w:r>
      <w:r>
        <w:rPr>
          <w:i/>
          <w:szCs w:val="20"/>
        </w:rPr>
        <w:instrText xml:space="preserve"> ADDIN EN.CITE &lt;EndNote&gt;&lt;Cite&gt;&lt;Author&gt;Primary Health Care Advisory Group&lt;/Author&gt;&lt;Year&gt;2015&lt;/Year&gt;&lt;RecNum&gt;477&lt;/RecNum&gt;&lt;DisplayText&gt;Primary Health Care Advisory GroupPHCAG, 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sidRPr="00C76B91">
        <w:rPr>
          <w:i/>
          <w:szCs w:val="20"/>
        </w:rPr>
        <w:fldChar w:fldCharType="separate"/>
      </w:r>
      <w:r>
        <w:rPr>
          <w:i/>
          <w:noProof/>
          <w:szCs w:val="20"/>
        </w:rPr>
        <w:t>Primary Health Care Advisory GroupPHCAG, 2015</w:t>
      </w:r>
      <w:r w:rsidRPr="00C76B91">
        <w:rPr>
          <w:i/>
          <w:szCs w:val="20"/>
        </w:rPr>
        <w:fldChar w:fldCharType="end"/>
      </w:r>
      <w:r w:rsidRPr="00C76B91">
        <w:rPr>
          <w:i/>
          <w:szCs w:val="20"/>
        </w:rPr>
        <w:t>, p. 5</w:t>
      </w:r>
      <w:r w:rsidRPr="0061230F">
        <w:rPr>
          <w:szCs w:val="20"/>
        </w:rPr>
        <w:t>.</w:t>
      </w:r>
    </w:p>
    <w:p w14:paraId="1359C1F4" w14:textId="77777777" w:rsidR="001C19F3" w:rsidRDefault="001C19F3" w:rsidP="001C19F3">
      <w:r w:rsidRPr="00E14E31">
        <w:t xml:space="preserve">The </w:t>
      </w:r>
      <w:r>
        <w:rPr>
          <w:szCs w:val="20"/>
        </w:rPr>
        <w:t>PHCAG</w:t>
      </w:r>
      <w:r w:rsidRPr="00E14E31">
        <w:t xml:space="preserve">’s </w:t>
      </w:r>
      <w:r>
        <w:t xml:space="preserve">HCH model drew on the principles of the </w:t>
      </w:r>
      <w:r w:rsidRPr="00826FEA">
        <w:rPr>
          <w:b/>
        </w:rPr>
        <w:t>patient centred medical home</w:t>
      </w:r>
      <w:r>
        <w:t xml:space="preserve"> (PCMH), whose implementation has been widely written about in </w:t>
      </w:r>
      <w:r w:rsidRPr="00066658">
        <w:t>the United States, the United Kingdom and New Zealand</w:t>
      </w:r>
      <w:r>
        <w:t xml:space="preserve">. The model also aligns with the </w:t>
      </w:r>
      <w:r w:rsidRPr="00826FEA">
        <w:rPr>
          <w:b/>
        </w:rPr>
        <w:t>10 building blocks of high-performing primary care</w:t>
      </w:r>
      <w:r>
        <w:t xml:space="preserve"> (</w:t>
      </w:r>
      <w:r>
        <w:fldChar w:fldCharType="begin">
          <w:fldData xml:space="preserve">PEVuZE5vdGU+PENpdGU+PEF1dGhvcj5Cb2RlbmhlaW1lcjwvQXV0aG9yPjxZZWFyPjIwMTQ8L1ll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</w:fldData>
        </w:fldChar>
      </w:r>
      <w:r>
        <w:instrText xml:space="preserve"> ADDIN EN.CITE </w:instrText>
      </w:r>
      <w:r>
        <w:fldChar w:fldCharType="begin">
          <w:fldData xml:space="preserve">PEVuZE5vdGU+PENpdGU+PEF1dGhvcj5Cb2RlbmhlaW1lcjwvQXV0aG9yPjxZZWFyPjIwMTQ8L1ll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</w:fldData>
        </w:fldChar>
      </w:r>
      <w:r>
        <w:instrText xml:space="preserve"> ADDIN EN.CITE.DATA </w:instrText>
      </w:r>
      <w:r>
        <w:fldChar w:fldCharType="end"/>
      </w:r>
      <w:r>
        <w:fldChar w:fldCharType="separate"/>
      </w:r>
      <w:r>
        <w:rPr>
          <w:noProof/>
        </w:rPr>
        <w:t>Bodenheimer, Ghorob, Willard-Grace et al., 2014</w:t>
      </w:r>
      <w:r>
        <w:fldChar w:fldCharType="end"/>
      </w:r>
      <w:r>
        <w:t xml:space="preserve">), and is consistent with the </w:t>
      </w:r>
      <w:r w:rsidRPr="00826FEA">
        <w:rPr>
          <w:b/>
        </w:rPr>
        <w:t>quadruple aims</w:t>
      </w:r>
      <w:r>
        <w:t xml:space="preserve"> of health reform.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1C19F3" w:rsidRPr="002E5EA0" w14:paraId="549CB183" w14:textId="77777777" w:rsidTr="00521305">
        <w:tc>
          <w:tcPr>
            <w:tcW w:w="9016" w:type="dxa"/>
            <w:shd w:val="clear" w:color="auto" w:fill="F2F2F2" w:themeFill="background1" w:themeFillShade="F2"/>
          </w:tcPr>
          <w:p w14:paraId="7572720C" w14:textId="77777777" w:rsidR="001C19F3" w:rsidRPr="002E5EA0" w:rsidRDefault="001C19F3" w:rsidP="00521305">
            <w:pPr>
              <w:pStyle w:val="Boxheading"/>
              <w:rPr>
                <w:sz w:val="18"/>
                <w:szCs w:val="18"/>
              </w:rPr>
            </w:pPr>
            <w:bookmarkStart w:id="85" w:name="PCMH"/>
            <w:r w:rsidRPr="002E5EA0">
              <w:rPr>
                <w:sz w:val="18"/>
                <w:szCs w:val="18"/>
              </w:rPr>
              <w:t>The patient centred medical home (PCMH)</w:t>
            </w:r>
            <w:bookmarkEnd w:id="85"/>
          </w:p>
          <w:p w14:paraId="428E3058" w14:textId="77777777" w:rsidR="001C19F3" w:rsidRPr="002E5EA0" w:rsidRDefault="001C19F3" w:rsidP="00521305">
            <w:pPr>
              <w:rPr>
                <w:sz w:val="18"/>
                <w:szCs w:val="18"/>
              </w:rPr>
            </w:pPr>
            <w:r w:rsidRPr="002E5EA0">
              <w:rPr>
                <w:sz w:val="18"/>
                <w:szCs w:val="18"/>
              </w:rPr>
              <w:t>There is no one PCMH model. The concept refers to models where care is delivered or coordinated through a single health care practice and/or practitioner – the medical or health care home. PCMHs are usually based in primary care. The medical home provides comprehensive care and coordination that is responsive to patients’ preferences and actively engages patients and their carers and family in their care. Models usually have the following features:</w:t>
            </w:r>
          </w:p>
          <w:p w14:paraId="63E16EB7"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Continuity of care, achieved through linking each patient to a medical/health home – a care team led by a primary care clinician – and fostering long-term relationships between the patient and the care team.</w:t>
            </w:r>
          </w:p>
          <w:p w14:paraId="5A615F03"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Team-based approach to care to address patients’ comprehensive care needs, provide continuity of care and enhance capacity within the practice. The patient and their carer and family are members of the care team.</w:t>
            </w:r>
          </w:p>
          <w:p w14:paraId="6486CB95"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Coordination of patients’ care across other primary providers, pharmacists, specialists and hospitals.</w:t>
            </w:r>
          </w:p>
          <w:p w14:paraId="223CF6A3"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Comprehensive care encompassing preventive, acute, chronic, and end-of-life care addressing the patient’s physical, mental, and social health needs.</w:t>
            </w:r>
          </w:p>
          <w:p w14:paraId="17CE8716"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Enhanced access to care and health care information offering patients in-person, telephone, group, and telehealth options and electronic medical records.</w:t>
            </w:r>
          </w:p>
          <w:p w14:paraId="69210F7C"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Focus on patients with chronic and complex care needs.</w:t>
            </w:r>
          </w:p>
          <w:p w14:paraId="345C069A" w14:textId="77777777" w:rsidR="001C19F3" w:rsidRPr="002E5EA0" w:rsidRDefault="001C19F3" w:rsidP="001C19F3">
            <w:pPr>
              <w:pStyle w:val="ListParagraph"/>
              <w:numPr>
                <w:ilvl w:val="0"/>
                <w:numId w:val="24"/>
              </w:numPr>
              <w:spacing w:after="160" w:line="259" w:lineRule="auto"/>
              <w:rPr>
                <w:sz w:val="18"/>
                <w:szCs w:val="18"/>
              </w:rPr>
            </w:pPr>
            <w:r w:rsidRPr="002E5EA0">
              <w:rPr>
                <w:sz w:val="18"/>
                <w:szCs w:val="18"/>
              </w:rPr>
              <w:t>Commitment to quality and safety using data to improve performance.</w:t>
            </w:r>
          </w:p>
          <w:p w14:paraId="497613C4" w14:textId="77777777" w:rsidR="001C19F3" w:rsidRPr="002E5EA0" w:rsidRDefault="001C19F3" w:rsidP="00521305">
            <w:pPr>
              <w:rPr>
                <w:sz w:val="18"/>
                <w:szCs w:val="18"/>
              </w:rPr>
            </w:pPr>
            <w:r w:rsidRPr="002E5EA0">
              <w:rPr>
                <w:sz w:val="18"/>
                <w:szCs w:val="18"/>
              </w:rPr>
              <w:t>Health systems and practices have adopted the PCMH model to suit local contexts, including the policy and regulatory environment; goals and structural and operational features of practices; and the practices’ patient population.</w:t>
            </w:r>
          </w:p>
          <w:p w14:paraId="51E12D87" w14:textId="77777777" w:rsidR="001C19F3" w:rsidRPr="002E5EA0" w:rsidRDefault="001C19F3" w:rsidP="00521305">
            <w:pPr>
              <w:pStyle w:val="Boxheading"/>
              <w:rPr>
                <w:sz w:val="18"/>
                <w:szCs w:val="18"/>
              </w:rPr>
            </w:pPr>
            <w:bookmarkStart w:id="86" w:name="Tenbuildingblocks"/>
            <w:r w:rsidRPr="002E5EA0">
              <w:rPr>
                <w:sz w:val="18"/>
                <w:szCs w:val="18"/>
              </w:rPr>
              <w:t>The 10 building blocks of high performing primary care</w:t>
            </w:r>
          </w:p>
          <w:bookmarkEnd w:id="86"/>
          <w:p w14:paraId="469C8064" w14:textId="77777777" w:rsidR="001C19F3" w:rsidRPr="002E5EA0" w:rsidRDefault="001C19F3" w:rsidP="00521305">
            <w:pPr>
              <w:rPr>
                <w:sz w:val="18"/>
                <w:szCs w:val="18"/>
              </w:rPr>
            </w:pPr>
            <w:r w:rsidRPr="002E5EA0">
              <w:rPr>
                <w:sz w:val="18"/>
                <w:szCs w:val="18"/>
              </w:rPr>
              <w:t>The 10 building blocks (</w:t>
            </w:r>
            <w:r w:rsidRPr="002E5EA0">
              <w:rPr>
                <w:sz w:val="18"/>
                <w:szCs w:val="18"/>
              </w:rPr>
              <w:fldChar w:fldCharType="begin">
                <w:fldData xml:space="preserve">PEVuZE5vdGU+PENpdGU+PEF1dGhvcj5Cb2RlbmhlaW1lcjwvQXV0aG9yPjxZZWFyPjIwMTQ8L1ll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</w:fldData>
              </w:fldChar>
            </w:r>
            <w:r w:rsidRPr="002E5EA0">
              <w:rPr>
                <w:sz w:val="18"/>
                <w:szCs w:val="18"/>
              </w:rPr>
              <w:instrText xml:space="preserve"> ADDIN EN.CITE </w:instrText>
            </w:r>
            <w:r w:rsidRPr="002E5EA0">
              <w:rPr>
                <w:sz w:val="18"/>
                <w:szCs w:val="18"/>
              </w:rPr>
              <w:fldChar w:fldCharType="begin">
                <w:fldData xml:space="preserve">PEVuZE5vdGU+PENpdGU+PEF1dGhvcj5Cb2RlbmhlaW1lcjwvQXV0aG9yPjxZZWFyPjIwMTQ8L1ll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</w:fldData>
              </w:fldChar>
            </w:r>
            <w:r w:rsidRPr="002E5EA0">
              <w:rPr>
                <w:sz w:val="18"/>
                <w:szCs w:val="18"/>
              </w:rPr>
              <w:instrText xml:space="preserve"> ADDIN EN.CITE.DATA </w:instrText>
            </w:r>
            <w:r w:rsidRPr="002E5EA0">
              <w:rPr>
                <w:sz w:val="18"/>
                <w:szCs w:val="18"/>
              </w:rPr>
            </w:r>
            <w:r w:rsidRPr="002E5EA0">
              <w:rPr>
                <w:sz w:val="18"/>
                <w:szCs w:val="18"/>
              </w:rPr>
              <w:fldChar w:fldCharType="end"/>
            </w:r>
            <w:r w:rsidRPr="002E5EA0">
              <w:rPr>
                <w:sz w:val="18"/>
                <w:szCs w:val="18"/>
              </w:rPr>
            </w:r>
            <w:r w:rsidRPr="002E5EA0">
              <w:rPr>
                <w:sz w:val="18"/>
                <w:szCs w:val="18"/>
              </w:rPr>
              <w:fldChar w:fldCharType="separate"/>
            </w:r>
            <w:r w:rsidRPr="002E5EA0">
              <w:rPr>
                <w:noProof/>
                <w:sz w:val="18"/>
                <w:szCs w:val="18"/>
              </w:rPr>
              <w:t>Bodenheimer et al., 2014</w:t>
            </w:r>
            <w:r w:rsidRPr="002E5EA0">
              <w:rPr>
                <w:sz w:val="18"/>
                <w:szCs w:val="18"/>
              </w:rPr>
              <w:fldChar w:fldCharType="end"/>
            </w:r>
            <w:r w:rsidRPr="002E5EA0">
              <w:rPr>
                <w:sz w:val="18"/>
                <w:szCs w:val="18"/>
              </w:rPr>
              <w:t>) are essential elements of high-performing primary care. The authors developed the list through their extensive experience in working in primary care as practice improvement facilitators. The building blocks are closely aligned with the PCMH model of care. They are ‘building blocks’ as they include foundational components that support other attributes, with the ultimate goal being flexibility in the way that the practice delivers care to patients (supported by funding reform). The 10 building blocks are:</w:t>
            </w:r>
          </w:p>
          <w:p w14:paraId="7CF648D4" w14:textId="77777777" w:rsidR="001C19F3" w:rsidRPr="002E5EA0" w:rsidRDefault="001C19F3" w:rsidP="001C19F3">
            <w:pPr>
              <w:pStyle w:val="ListParagraph"/>
              <w:numPr>
                <w:ilvl w:val="0"/>
                <w:numId w:val="25"/>
              </w:numPr>
              <w:spacing w:after="160" w:line="259" w:lineRule="auto"/>
              <w:rPr>
                <w:sz w:val="18"/>
                <w:szCs w:val="18"/>
              </w:rPr>
            </w:pPr>
            <w:r w:rsidRPr="002E5EA0">
              <w:rPr>
                <w:sz w:val="18"/>
                <w:szCs w:val="18"/>
              </w:rPr>
              <w:t>Foundational elements: (1) engaged leadership; (2) data-driven improvement; (3) empanelment; (4) team-based care.</w:t>
            </w:r>
          </w:p>
          <w:p w14:paraId="0F54D851" w14:textId="77777777" w:rsidR="001C19F3" w:rsidRPr="002E5EA0" w:rsidRDefault="001C19F3" w:rsidP="001C19F3">
            <w:pPr>
              <w:pStyle w:val="ListParagraph"/>
              <w:numPr>
                <w:ilvl w:val="0"/>
                <w:numId w:val="25"/>
              </w:numPr>
              <w:spacing w:after="160" w:line="259" w:lineRule="auto"/>
              <w:rPr>
                <w:sz w:val="18"/>
                <w:szCs w:val="18"/>
              </w:rPr>
            </w:pPr>
            <w:r w:rsidRPr="002E5EA0">
              <w:rPr>
                <w:sz w:val="18"/>
                <w:szCs w:val="18"/>
              </w:rPr>
              <w:t>Second level elements: (5) patient-team partnership; (6) population management; (7) continuity of care.</w:t>
            </w:r>
          </w:p>
          <w:p w14:paraId="44FB5319" w14:textId="77777777" w:rsidR="001C19F3" w:rsidRPr="002E5EA0" w:rsidRDefault="001C19F3" w:rsidP="001C19F3">
            <w:pPr>
              <w:pStyle w:val="ListParagraph"/>
              <w:numPr>
                <w:ilvl w:val="0"/>
                <w:numId w:val="25"/>
              </w:numPr>
              <w:spacing w:after="160" w:line="259" w:lineRule="auto"/>
              <w:rPr>
                <w:sz w:val="18"/>
                <w:szCs w:val="18"/>
              </w:rPr>
            </w:pPr>
            <w:r w:rsidRPr="002E5EA0">
              <w:rPr>
                <w:sz w:val="18"/>
                <w:szCs w:val="18"/>
              </w:rPr>
              <w:t>Third-level elements: (8) prompt access to care; (9) comprehensiveness and care coordination.</w:t>
            </w:r>
          </w:p>
          <w:p w14:paraId="78AFBE58" w14:textId="77777777" w:rsidR="001C19F3" w:rsidRPr="002E5EA0" w:rsidRDefault="001C19F3" w:rsidP="001C19F3">
            <w:pPr>
              <w:pStyle w:val="ListParagraph"/>
              <w:numPr>
                <w:ilvl w:val="0"/>
                <w:numId w:val="25"/>
              </w:numPr>
              <w:spacing w:after="160" w:line="259" w:lineRule="auto"/>
              <w:rPr>
                <w:sz w:val="18"/>
                <w:szCs w:val="18"/>
              </w:rPr>
            </w:pPr>
            <w:r w:rsidRPr="002E5EA0">
              <w:rPr>
                <w:sz w:val="18"/>
                <w:szCs w:val="18"/>
              </w:rPr>
              <w:t>‘Crowning glory’: (10) template for the future.</w:t>
            </w:r>
          </w:p>
          <w:p w14:paraId="09263520" w14:textId="77777777" w:rsidR="001C19F3" w:rsidRPr="002E5EA0" w:rsidRDefault="001C19F3" w:rsidP="00521305">
            <w:pPr>
              <w:rPr>
                <w:sz w:val="18"/>
                <w:szCs w:val="18"/>
              </w:rPr>
            </w:pPr>
            <w:r w:rsidRPr="002E5EA0">
              <w:rPr>
                <w:sz w:val="18"/>
                <w:szCs w:val="18"/>
              </w:rPr>
              <w:lastRenderedPageBreak/>
              <w:t>The elements featured in the first three levels are mostly in control of the practice, while the last one requires system-wide funding reform.</w:t>
            </w:r>
          </w:p>
          <w:p w14:paraId="19D0C98B" w14:textId="77777777" w:rsidR="001C19F3" w:rsidRPr="002E5EA0" w:rsidRDefault="001C19F3" w:rsidP="00521305">
            <w:pPr>
              <w:pStyle w:val="Boxheading"/>
              <w:rPr>
                <w:sz w:val="18"/>
                <w:szCs w:val="18"/>
              </w:rPr>
            </w:pPr>
            <w:bookmarkStart w:id="87" w:name="Quadrupleaim"/>
            <w:r w:rsidRPr="002E5EA0">
              <w:rPr>
                <w:sz w:val="18"/>
                <w:szCs w:val="18"/>
              </w:rPr>
              <w:t>The quadruple aim</w:t>
            </w:r>
          </w:p>
          <w:bookmarkEnd w:id="87"/>
          <w:p w14:paraId="79D0A6D2" w14:textId="77777777" w:rsidR="001C19F3" w:rsidRPr="002E5EA0" w:rsidRDefault="001C19F3" w:rsidP="00521305">
            <w:pPr>
              <w:rPr>
                <w:sz w:val="18"/>
                <w:szCs w:val="18"/>
              </w:rPr>
            </w:pPr>
            <w:r w:rsidRPr="002E5EA0">
              <w:rPr>
                <w:sz w:val="18"/>
                <w:szCs w:val="18"/>
              </w:rPr>
              <w:t>The quadruple aim (</w:t>
            </w:r>
            <w:r w:rsidRPr="002E5EA0">
              <w:rPr>
                <w:sz w:val="18"/>
                <w:szCs w:val="18"/>
              </w:rPr>
              <w:fldChar w:fldCharType="begin">
                <w:fldData xml:space="preserve">PEVuZE5vdGU+PENpdGU+PEF1dGhvcj5Cb2RlbmhlaW1lcjwvQXV0aG9yPjxZZWFyPjIwMTQ8L1ll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</w:fldData>
              </w:fldChar>
            </w:r>
            <w:r w:rsidRPr="002E5EA0">
              <w:rPr>
                <w:sz w:val="18"/>
                <w:szCs w:val="18"/>
              </w:rPr>
              <w:instrText xml:space="preserve"> ADDIN EN.CITE </w:instrText>
            </w:r>
            <w:r w:rsidRPr="002E5EA0">
              <w:rPr>
                <w:sz w:val="18"/>
                <w:szCs w:val="18"/>
              </w:rPr>
              <w:fldChar w:fldCharType="begin">
                <w:fldData xml:space="preserve">PEVuZE5vdGU+PENpdGU+PEF1dGhvcj5Cb2RlbmhlaW1lcjwvQXV0aG9yPjxZZWFyPjIwMTQ8L1ll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</w:fldData>
              </w:fldChar>
            </w:r>
            <w:r w:rsidRPr="002E5EA0">
              <w:rPr>
                <w:sz w:val="18"/>
                <w:szCs w:val="18"/>
              </w:rPr>
              <w:instrText xml:space="preserve"> ADDIN EN.CITE.DATA </w:instrText>
            </w:r>
            <w:r w:rsidRPr="002E5EA0">
              <w:rPr>
                <w:sz w:val="18"/>
                <w:szCs w:val="18"/>
              </w:rPr>
            </w:r>
            <w:r w:rsidRPr="002E5EA0">
              <w:rPr>
                <w:sz w:val="18"/>
                <w:szCs w:val="18"/>
              </w:rPr>
              <w:fldChar w:fldCharType="end"/>
            </w:r>
            <w:r w:rsidRPr="002E5EA0">
              <w:rPr>
                <w:sz w:val="18"/>
                <w:szCs w:val="18"/>
              </w:rPr>
            </w:r>
            <w:r w:rsidRPr="002E5EA0">
              <w:rPr>
                <w:sz w:val="18"/>
                <w:szCs w:val="18"/>
              </w:rPr>
              <w:fldChar w:fldCharType="separate"/>
            </w:r>
            <w:r w:rsidRPr="002E5EA0">
              <w:rPr>
                <w:noProof/>
                <w:sz w:val="18"/>
                <w:szCs w:val="18"/>
              </w:rPr>
              <w:t>Bodenheimer &amp; Sinsky, 2014</w:t>
            </w:r>
            <w:r w:rsidRPr="002E5EA0">
              <w:rPr>
                <w:sz w:val="18"/>
                <w:szCs w:val="18"/>
              </w:rPr>
              <w:fldChar w:fldCharType="end"/>
            </w:r>
            <w:r w:rsidRPr="002E5EA0">
              <w:rPr>
                <w:sz w:val="18"/>
                <w:szCs w:val="18"/>
              </w:rPr>
              <w:t>) adds improving the work life of providers and staff to the triple aim (</w:t>
            </w:r>
            <w:r w:rsidRPr="002E5EA0">
              <w:rPr>
                <w:sz w:val="18"/>
                <w:szCs w:val="18"/>
              </w:rPr>
              <w:fldChar w:fldCharType="begin"/>
            </w:r>
            <w:r w:rsidRPr="002E5EA0">
              <w:rPr>
                <w:sz w:val="18"/>
                <w:szCs w:val="18"/>
              </w:rPr>
              <w:instrText xml:space="preserve"> ADDIN EN.CITE &lt;EndNote&gt;&lt;Cite&gt;&lt;Author&gt;Berwick&lt;/Author&gt;&lt;Year&gt;2008&lt;/Year&gt;&lt;RecNum&gt;1022&lt;/RecNum&gt;&lt;DisplayText&gt;Berwick, Nolan, &amp;amp; Whittington, 2008&lt;/DisplayText&gt;&lt;record&gt;&lt;rec-number&gt;1022&lt;/rec-number&gt;&lt;foreign-keys&gt;&lt;key app="EN" db-id="zdz9xax04zr9v0evw2nvrpw9xe9ttzvs5zsv" timestamp="1526871216"&gt;1022&lt;/key&gt;&lt;/foreign-keys&gt;&lt;ref-type name="Journal Article"&gt;17&lt;/ref-type&gt;&lt;contributors&gt;&lt;authors&gt;&lt;author&gt;Berwick, D. M.&lt;/author&gt;&lt;author&gt;Nolan, T. W.&lt;/author&gt;&lt;author&gt;Whittington, J.&lt;/author&gt;&lt;/authors&gt;&lt;/contributors&gt;&lt;auth-address&gt;Institute for Healthcare Improvement (IHI) in Cambridge, Massachusetts, USA. dberwick1@ihi.org&lt;/auth-address&gt;&lt;titles&gt;&lt;title&gt;The triple aim: care, health, and cost&lt;/title&gt;&lt;secondary-title&gt;Health Aff (Millwood)&lt;/secondary-title&gt;&lt;/titles&gt;&lt;periodical&gt;&lt;full-title&gt;Health Aff (Millwood)&lt;/full-title&gt;&lt;abbr-1&gt;Health affairs (Project Hope)&lt;/abbr-1&gt;&lt;/periodical&gt;&lt;pages&gt;759-69&lt;/pages&gt;&lt;volume&gt;27&lt;/volume&gt;&lt;number&gt;3&lt;/number&gt;&lt;keywords&gt;&lt;keyword&gt;Delivery of Health Care/standards&lt;/keyword&gt;&lt;keyword&gt;Health Care Costs&lt;/keyword&gt;&lt;keyword&gt;Health Care Reform&lt;/keyword&gt;&lt;keyword&gt;*Health Priorities&lt;/keyword&gt;&lt;keyword&gt;Humans&lt;/keyword&gt;&lt;keyword&gt;Primary Health Care/economics/legislation &amp;amp; jurisprudence&lt;/keyword&gt;&lt;keyword&gt;Quality Assurance, Health Care/*methods&lt;/keyword&gt;&lt;keyword&gt;United States&lt;/keyword&gt;&lt;/keywords&gt;&lt;dates&gt;&lt;year&gt;2008&lt;/year&gt;&lt;pub-dates&gt;&lt;date&gt;May-Jun&lt;/date&gt;&lt;/pub-dates&gt;&lt;/dates&gt;&lt;isbn&gt;1544-5208 (Electronic)&amp;#xD;0278-2715 (Linking)&lt;/isbn&gt;&lt;accession-num&gt;18474969&lt;/accession-num&gt;&lt;urls&gt;&lt;related-urls&gt;&lt;url&gt;https://www.ncbi.nlm.nih.gov/pubmed/18474969&lt;/url&gt;&lt;/related-urls&gt;&lt;/urls&gt;&lt;electronic-resource-num&gt;10.1377/hlthaff.27.3.759&lt;/electronic-resource-num&gt;&lt;/record&gt;&lt;/Cite&gt;&lt;/EndNote&gt;</w:instrText>
            </w:r>
            <w:r w:rsidRPr="002E5EA0">
              <w:rPr>
                <w:sz w:val="18"/>
                <w:szCs w:val="18"/>
              </w:rPr>
              <w:fldChar w:fldCharType="separate"/>
            </w:r>
            <w:r w:rsidRPr="002E5EA0">
              <w:rPr>
                <w:noProof/>
                <w:sz w:val="18"/>
                <w:szCs w:val="18"/>
              </w:rPr>
              <w:t>Berwick, Nolan, &amp; Whittington, 2008</w:t>
            </w:r>
            <w:r w:rsidRPr="002E5EA0">
              <w:rPr>
                <w:sz w:val="18"/>
                <w:szCs w:val="18"/>
              </w:rPr>
              <w:fldChar w:fldCharType="end"/>
            </w:r>
            <w:r w:rsidRPr="002E5EA0">
              <w:rPr>
                <w:sz w:val="18"/>
                <w:szCs w:val="18"/>
              </w:rPr>
              <w:t>) of improving patient health, enhancing patient experience, and reducing health care costs.</w:t>
            </w:r>
          </w:p>
        </w:tc>
      </w:tr>
    </w:tbl>
    <w:p w14:paraId="1A52C5BC" w14:textId="77777777" w:rsidR="001C19F3" w:rsidRPr="002E5EA0" w:rsidRDefault="001C19F3" w:rsidP="001C19F3">
      <w:pPr>
        <w:spacing w:after="0"/>
        <w:rPr>
          <w:sz w:val="18"/>
          <w:szCs w:val="18"/>
        </w:rPr>
      </w:pPr>
    </w:p>
    <w:p w14:paraId="74787A49" w14:textId="77777777" w:rsidR="001C19F3" w:rsidRDefault="001C19F3" w:rsidP="001C19F3">
      <w:pPr>
        <w:pStyle w:val="Heading2"/>
      </w:pPr>
      <w:bookmarkStart w:id="88" w:name="_Toc27056542"/>
      <w:r>
        <w:t>HCH trial</w:t>
      </w:r>
      <w:bookmarkEnd w:id="88"/>
    </w:p>
    <w:p w14:paraId="4CF83D2D" w14:textId="77777777" w:rsidR="001C19F3" w:rsidRDefault="001C19F3" w:rsidP="001C19F3">
      <w:pPr>
        <w:rPr>
          <w:szCs w:val="20"/>
        </w:rPr>
      </w:pPr>
      <w:r>
        <w:t>Responding to the PHCAG report, t</w:t>
      </w:r>
      <w:r w:rsidRPr="00066658">
        <w:t>he Australian Government</w:t>
      </w:r>
      <w:r>
        <w:t xml:space="preserve"> </w:t>
      </w:r>
      <w:r w:rsidRPr="001C5A1C">
        <w:t xml:space="preserve">announced </w:t>
      </w:r>
      <w:r>
        <w:t xml:space="preserve">the HCH trial in </w:t>
      </w:r>
      <w:r w:rsidRPr="001C5A1C">
        <w:t>March 2016</w:t>
      </w:r>
      <w:r>
        <w:t xml:space="preserve"> (</w:t>
      </w:r>
      <w:r>
        <w:fldChar w:fldCharType="begin"/>
      </w:r>
      <w:r>
        <w:instrText xml:space="preserve"> ADDIN EN.CITE &lt;EndNote&gt;&lt;Cite&gt;&lt;Author&gt;Australian Government Department of Health&lt;/Author&gt;&lt;Year&gt;2016&lt;/Year&gt;&lt;RecNum&gt;526&lt;/RecNum&gt;&lt;DisplayText&gt;Australian Government Department of Health, 2016c&lt;/DisplayText&gt;&lt;record&gt;&lt;rec-number&gt;526&lt;/rec-number&gt;&lt;foreign-keys&gt;&lt;key app="EN" db-id="zdz9xax04zr9v0evw2nvrpw9xe9ttzvs5zsv" timestamp="1485910843"&gt;526&lt;/key&gt;&lt;/foreign-keys&gt;&lt;ref-type name="Press Release"&gt;63&lt;/ref-type&gt;&lt;contributors&gt;&lt;authors&gt;&lt;author&gt;Australian Government Department of Health,,&lt;/author&gt;&lt;/authors&gt;&lt;/contributors&gt;&lt;titles&gt;&lt;title&gt;Health Care Homes announcement media release&lt;/title&gt;&lt;/titles&gt;&lt;dates&gt;&lt;year&gt;2016&lt;/year&gt;&lt;/dates&gt;&lt;urls&gt;&lt;related-urls&gt;&lt;url&gt;http://pandora.nla.gov.au/pan/154649/20160508-0839/www.pm.gov.au/media/2016-03-31/healthier-medicare-chronically-ill-patients.html&lt;/url&gt;&lt;/related-urls&gt;&lt;/urls&gt;&lt;/record&gt;&lt;/Cite&gt;&lt;/EndNote&gt;</w:instrText>
      </w:r>
      <w:r>
        <w:fldChar w:fldCharType="separate"/>
      </w:r>
      <w:r>
        <w:rPr>
          <w:noProof/>
        </w:rPr>
        <w:t>Australian Government Department of Health, 2016c</w:t>
      </w:r>
      <w:r>
        <w:fldChar w:fldCharType="end"/>
      </w:r>
      <w:r>
        <w:t>)</w:t>
      </w:r>
      <w:r w:rsidRPr="00066658">
        <w:t xml:space="preserve">. </w:t>
      </w:r>
      <w:r>
        <w:t xml:space="preserve">The trial </w:t>
      </w:r>
      <w:r w:rsidRPr="00304642">
        <w:t xml:space="preserve">was </w:t>
      </w:r>
      <w:r>
        <w:t xml:space="preserve">initially scheduled to begin in </w:t>
      </w:r>
      <w:r w:rsidRPr="00304642">
        <w:t>July 2017</w:t>
      </w:r>
      <w:r>
        <w:t xml:space="preserve"> and continue through to</w:t>
      </w:r>
      <w:r w:rsidRPr="00304642">
        <w:t xml:space="preserve"> June 2019</w:t>
      </w:r>
      <w:r>
        <w:t>. U</w:t>
      </w:r>
      <w:r w:rsidRPr="00304642">
        <w:t xml:space="preserve">p to 200 </w:t>
      </w:r>
      <w:r>
        <w:t>practices</w:t>
      </w:r>
      <w:r w:rsidRPr="00304642">
        <w:t xml:space="preserve"> </w:t>
      </w:r>
      <w:r w:rsidRPr="004C5801">
        <w:t>from 10 Primary Health Network (PHN) regions (of 31 Australia-wide)</w:t>
      </w:r>
      <w:r w:rsidRPr="004C5801">
        <w:rPr>
          <w:szCs w:val="20"/>
        </w:rPr>
        <w:t xml:space="preserve"> were </w:t>
      </w:r>
      <w:r>
        <w:rPr>
          <w:szCs w:val="20"/>
        </w:rPr>
        <w:t xml:space="preserve">to </w:t>
      </w:r>
      <w:r w:rsidRPr="004C5801">
        <w:rPr>
          <w:szCs w:val="20"/>
        </w:rPr>
        <w:t>participate</w:t>
      </w:r>
      <w:r>
        <w:rPr>
          <w:szCs w:val="20"/>
        </w:rPr>
        <w:t xml:space="preserve"> in the trial</w:t>
      </w:r>
      <w:r w:rsidRPr="004C5801">
        <w:rPr>
          <w:szCs w:val="20"/>
        </w:rPr>
        <w:t>.</w:t>
      </w:r>
      <w:r>
        <w:rPr>
          <w:szCs w:val="20"/>
        </w:rPr>
        <w:t xml:space="preserve"> </w:t>
      </w:r>
      <w:r w:rsidRPr="004C5801">
        <w:rPr>
          <w:szCs w:val="20"/>
        </w:rPr>
        <w:t xml:space="preserve">The 10 PHN regions were selected to maximise geographic and </w:t>
      </w:r>
      <w:r>
        <w:rPr>
          <w:szCs w:val="20"/>
        </w:rPr>
        <w:t>socio-economic</w:t>
      </w:r>
      <w:r w:rsidRPr="004C5801">
        <w:rPr>
          <w:szCs w:val="20"/>
        </w:rPr>
        <w:t xml:space="preserve"> diversity amongst the populations represented</w:t>
      </w:r>
      <w:r>
        <w:rPr>
          <w:szCs w:val="20"/>
        </w:rPr>
        <w:t xml:space="preserve">, and </w:t>
      </w:r>
      <w:r w:rsidRPr="00B73702">
        <w:rPr>
          <w:szCs w:val="20"/>
        </w:rPr>
        <w:t>leverage chronic disease programs operating in these regions</w:t>
      </w:r>
      <w:r>
        <w:rPr>
          <w:szCs w:val="20"/>
        </w:rPr>
        <w:t xml:space="preserve"> (</w:t>
      </w:r>
      <w:r>
        <w:rPr>
          <w:szCs w:val="20"/>
        </w:rPr>
        <w:fldChar w:fldCharType="begin"/>
      </w:r>
      <w:r>
        <w:rPr>
          <w:szCs w:val="20"/>
        </w:rPr>
        <w:instrText xml:space="preserve"> ADDIN EN.CITE &lt;EndNote&gt;&lt;Cite&gt;&lt;Author&gt;Australian Government Department of Health&lt;/Author&gt;&lt;Year&gt;2016&lt;/Year&gt;&lt;RecNum&gt;1067&lt;/RecNum&gt;&lt;DisplayText&gt;Australian Government Department of Health, 2016d&lt;/DisplayText&gt;&lt;record&gt;&lt;rec-number&gt;1067&lt;/rec-number&gt;&lt;foreign-keys&gt;&lt;key app="EN" db-id="zdz9xax04zr9v0evw2nvrpw9xe9ttzvs5zsv" timestamp="1536914730"&gt;1067&lt;/key&gt;&lt;/foreign-keys&gt;&lt;ref-type name="Electronic Book"&gt;44&lt;/ref-type&gt;&lt;contributors&gt;&lt;authors&gt;&lt;author&gt;Australian Government Department of Health,,&lt;/author&gt;&lt;/authors&gt;&lt;/contributors&gt;&lt;titles&gt;&lt;title&gt;Health Care Homes Grant Guidelines 4 November 2016&lt;/title&gt;&lt;/titles&gt;&lt;dates&gt;&lt;year&gt;2016&lt;/year&gt;&lt;/dates&gt;&lt;urls&gt;&lt;/urls&gt;&lt;/record&gt;&lt;/Cite&gt;&lt;/EndNote&gt;</w:instrText>
      </w:r>
      <w:r>
        <w:rPr>
          <w:szCs w:val="20"/>
        </w:rPr>
        <w:fldChar w:fldCharType="separate"/>
      </w:r>
      <w:r>
        <w:rPr>
          <w:noProof/>
          <w:szCs w:val="20"/>
        </w:rPr>
        <w:t>Australian Government Department of Health, 2016d</w:t>
      </w:r>
      <w:r>
        <w:rPr>
          <w:szCs w:val="20"/>
        </w:rPr>
        <w:fldChar w:fldCharType="end"/>
      </w:r>
      <w:r>
        <w:rPr>
          <w:szCs w:val="20"/>
        </w:rPr>
        <w:t>)</w:t>
      </w:r>
      <w:r w:rsidRPr="004C5801">
        <w:rPr>
          <w:szCs w:val="20"/>
        </w:rPr>
        <w:t>.</w:t>
      </w:r>
      <w:r>
        <w:rPr>
          <w:szCs w:val="20"/>
        </w:rPr>
        <w:t xml:space="preserve"> The 10 PHNs are:</w:t>
      </w:r>
    </w:p>
    <w:p w14:paraId="6A4FCE86" w14:textId="77777777" w:rsidR="001C19F3" w:rsidRPr="00CE577E" w:rsidRDefault="001C19F3" w:rsidP="001C19F3">
      <w:pPr>
        <w:pStyle w:val="ListParagraph"/>
        <w:numPr>
          <w:ilvl w:val="0"/>
          <w:numId w:val="13"/>
        </w:numPr>
        <w:rPr>
          <w:szCs w:val="20"/>
        </w:rPr>
      </w:pPr>
      <w:r w:rsidRPr="00CE577E">
        <w:rPr>
          <w:szCs w:val="20"/>
        </w:rPr>
        <w:t>Perth North</w:t>
      </w:r>
    </w:p>
    <w:p w14:paraId="12B2C918" w14:textId="77777777" w:rsidR="001C19F3" w:rsidRPr="00CE577E" w:rsidRDefault="001C19F3" w:rsidP="001C19F3">
      <w:pPr>
        <w:pStyle w:val="ListParagraph"/>
        <w:numPr>
          <w:ilvl w:val="0"/>
          <w:numId w:val="13"/>
        </w:numPr>
        <w:rPr>
          <w:szCs w:val="20"/>
        </w:rPr>
      </w:pPr>
      <w:r w:rsidRPr="00CE577E">
        <w:rPr>
          <w:szCs w:val="20"/>
        </w:rPr>
        <w:t>Adelaide</w:t>
      </w:r>
    </w:p>
    <w:p w14:paraId="6FD94C19" w14:textId="77777777" w:rsidR="001C19F3" w:rsidRPr="00CE577E" w:rsidRDefault="001C19F3" w:rsidP="001C19F3">
      <w:pPr>
        <w:pStyle w:val="ListParagraph"/>
        <w:numPr>
          <w:ilvl w:val="0"/>
          <w:numId w:val="13"/>
        </w:numPr>
        <w:rPr>
          <w:szCs w:val="20"/>
        </w:rPr>
      </w:pPr>
      <w:r w:rsidRPr="00CE577E">
        <w:rPr>
          <w:szCs w:val="20"/>
        </w:rPr>
        <w:t>Country South Australia</w:t>
      </w:r>
    </w:p>
    <w:p w14:paraId="7E4945A0" w14:textId="77777777" w:rsidR="001C19F3" w:rsidRPr="00CE577E" w:rsidRDefault="001C19F3" w:rsidP="001C19F3">
      <w:pPr>
        <w:pStyle w:val="ListParagraph"/>
        <w:numPr>
          <w:ilvl w:val="0"/>
          <w:numId w:val="13"/>
        </w:numPr>
        <w:rPr>
          <w:szCs w:val="20"/>
        </w:rPr>
      </w:pPr>
      <w:r w:rsidRPr="00CE577E">
        <w:rPr>
          <w:szCs w:val="20"/>
        </w:rPr>
        <w:t>South Eastern Melbourne</w:t>
      </w:r>
    </w:p>
    <w:p w14:paraId="5C0116B7" w14:textId="77777777" w:rsidR="001C19F3" w:rsidRPr="00CE577E" w:rsidRDefault="001C19F3" w:rsidP="001C19F3">
      <w:pPr>
        <w:pStyle w:val="ListParagraph"/>
        <w:numPr>
          <w:ilvl w:val="0"/>
          <w:numId w:val="13"/>
        </w:numPr>
        <w:rPr>
          <w:szCs w:val="20"/>
        </w:rPr>
      </w:pPr>
      <w:r w:rsidRPr="00CE577E">
        <w:rPr>
          <w:szCs w:val="20"/>
        </w:rPr>
        <w:t>Western Sydney</w:t>
      </w:r>
    </w:p>
    <w:p w14:paraId="30D1539B" w14:textId="77777777" w:rsidR="001C19F3" w:rsidRPr="00CE577E" w:rsidRDefault="001C19F3" w:rsidP="001C19F3">
      <w:pPr>
        <w:pStyle w:val="ListParagraph"/>
        <w:numPr>
          <w:ilvl w:val="0"/>
          <w:numId w:val="13"/>
        </w:numPr>
        <w:rPr>
          <w:szCs w:val="20"/>
        </w:rPr>
      </w:pPr>
      <w:r w:rsidRPr="00CE577E">
        <w:rPr>
          <w:szCs w:val="20"/>
        </w:rPr>
        <w:t>Nepean Blue Mountains</w:t>
      </w:r>
    </w:p>
    <w:p w14:paraId="69813514" w14:textId="77777777" w:rsidR="001C19F3" w:rsidRPr="00CE577E" w:rsidRDefault="001C19F3" w:rsidP="001C19F3">
      <w:pPr>
        <w:pStyle w:val="ListParagraph"/>
        <w:numPr>
          <w:ilvl w:val="0"/>
          <w:numId w:val="13"/>
        </w:numPr>
        <w:rPr>
          <w:szCs w:val="20"/>
        </w:rPr>
      </w:pPr>
      <w:r w:rsidRPr="00CE577E">
        <w:rPr>
          <w:szCs w:val="20"/>
        </w:rPr>
        <w:t>Hunter, New England and Central Coast</w:t>
      </w:r>
    </w:p>
    <w:p w14:paraId="1CDE1CF4" w14:textId="77777777" w:rsidR="001C19F3" w:rsidRPr="00CE577E" w:rsidRDefault="001C19F3" w:rsidP="001C19F3">
      <w:pPr>
        <w:pStyle w:val="ListParagraph"/>
        <w:numPr>
          <w:ilvl w:val="0"/>
          <w:numId w:val="13"/>
        </w:numPr>
        <w:rPr>
          <w:szCs w:val="20"/>
        </w:rPr>
      </w:pPr>
      <w:r w:rsidRPr="00CE577E">
        <w:rPr>
          <w:szCs w:val="20"/>
        </w:rPr>
        <w:t>Tasmania</w:t>
      </w:r>
    </w:p>
    <w:p w14:paraId="10098A92" w14:textId="77777777" w:rsidR="001C19F3" w:rsidRPr="00CE577E" w:rsidRDefault="001C19F3" w:rsidP="001C19F3">
      <w:pPr>
        <w:pStyle w:val="ListParagraph"/>
        <w:numPr>
          <w:ilvl w:val="0"/>
          <w:numId w:val="13"/>
        </w:numPr>
        <w:rPr>
          <w:szCs w:val="20"/>
        </w:rPr>
      </w:pPr>
      <w:r w:rsidRPr="00CE577E">
        <w:rPr>
          <w:szCs w:val="20"/>
        </w:rPr>
        <w:t>Northern Territory</w:t>
      </w:r>
    </w:p>
    <w:p w14:paraId="5915B2EB" w14:textId="77777777" w:rsidR="001C19F3" w:rsidRDefault="001C19F3" w:rsidP="001C19F3">
      <w:pPr>
        <w:pStyle w:val="ListParagraph"/>
        <w:numPr>
          <w:ilvl w:val="0"/>
          <w:numId w:val="13"/>
        </w:numPr>
        <w:rPr>
          <w:szCs w:val="20"/>
        </w:rPr>
      </w:pPr>
      <w:r w:rsidRPr="00CE577E">
        <w:rPr>
          <w:szCs w:val="20"/>
        </w:rPr>
        <w:t>Brisbane North</w:t>
      </w:r>
      <w:r>
        <w:rPr>
          <w:szCs w:val="20"/>
        </w:rPr>
        <w:t>.</w:t>
      </w:r>
    </w:p>
    <w:p w14:paraId="307DBDD5" w14:textId="77777777" w:rsidR="001C19F3" w:rsidRPr="007D3346" w:rsidRDefault="001C19F3" w:rsidP="001C19F3">
      <w:r>
        <w:rPr>
          <w:szCs w:val="20"/>
        </w:rPr>
        <w:t>As part of the</w:t>
      </w:r>
      <w:r w:rsidRPr="00BB4EBC">
        <w:rPr>
          <w:szCs w:val="20"/>
        </w:rPr>
        <w:t xml:space="preserve"> </w:t>
      </w:r>
      <w:r>
        <w:rPr>
          <w:szCs w:val="20"/>
        </w:rPr>
        <w:t>program</w:t>
      </w:r>
      <w:r w:rsidRPr="00BB4EBC">
        <w:rPr>
          <w:szCs w:val="20"/>
        </w:rPr>
        <w:t xml:space="preserve">, eligible patients with chronic and complex health conditions </w:t>
      </w:r>
      <w:r>
        <w:rPr>
          <w:szCs w:val="20"/>
        </w:rPr>
        <w:t xml:space="preserve">would be invited to enrol </w:t>
      </w:r>
      <w:r w:rsidRPr="0005127B">
        <w:rPr>
          <w:szCs w:val="20"/>
        </w:rPr>
        <w:t xml:space="preserve">with a participating practice </w:t>
      </w:r>
      <w:r>
        <w:rPr>
          <w:szCs w:val="20"/>
        </w:rPr>
        <w:t xml:space="preserve">– </w:t>
      </w:r>
      <w:r w:rsidRPr="0005127B">
        <w:rPr>
          <w:szCs w:val="20"/>
        </w:rPr>
        <w:t xml:space="preserve">their </w:t>
      </w:r>
      <w:r>
        <w:rPr>
          <w:szCs w:val="20"/>
        </w:rPr>
        <w:t>HCH</w:t>
      </w:r>
      <w:r w:rsidRPr="0005127B">
        <w:rPr>
          <w:szCs w:val="20"/>
        </w:rPr>
        <w:t>.</w:t>
      </w:r>
      <w:r>
        <w:rPr>
          <w:szCs w:val="20"/>
        </w:rPr>
        <w:t xml:space="preserve"> </w:t>
      </w:r>
      <w:r w:rsidRPr="0005127B">
        <w:rPr>
          <w:szCs w:val="20"/>
        </w:rPr>
        <w:t xml:space="preserve">The </w:t>
      </w:r>
      <w:r>
        <w:rPr>
          <w:szCs w:val="20"/>
        </w:rPr>
        <w:t>HCH</w:t>
      </w:r>
      <w:r w:rsidRPr="0005127B">
        <w:rPr>
          <w:szCs w:val="20"/>
        </w:rPr>
        <w:t xml:space="preserve"> </w:t>
      </w:r>
      <w:r>
        <w:rPr>
          <w:szCs w:val="20"/>
        </w:rPr>
        <w:t xml:space="preserve">was to </w:t>
      </w:r>
      <w:r w:rsidRPr="0005127B">
        <w:rPr>
          <w:szCs w:val="20"/>
        </w:rPr>
        <w:t xml:space="preserve">provide patients with a ‘home base’ for coordination, management, and support of their conditions. Patients would nominate a preferred </w:t>
      </w:r>
      <w:r>
        <w:rPr>
          <w:szCs w:val="20"/>
        </w:rPr>
        <w:t xml:space="preserve">GP </w:t>
      </w:r>
      <w:r w:rsidRPr="0005127B">
        <w:rPr>
          <w:szCs w:val="20"/>
        </w:rPr>
        <w:t xml:space="preserve">within the </w:t>
      </w:r>
      <w:r>
        <w:rPr>
          <w:szCs w:val="20"/>
        </w:rPr>
        <w:t>HCH. A</w:t>
      </w:r>
      <w:r w:rsidRPr="0005127B">
        <w:rPr>
          <w:szCs w:val="20"/>
        </w:rPr>
        <w:t xml:space="preserve"> tailored care plan </w:t>
      </w:r>
      <w:r>
        <w:rPr>
          <w:szCs w:val="20"/>
        </w:rPr>
        <w:t xml:space="preserve">would </w:t>
      </w:r>
      <w:r w:rsidRPr="0005127B">
        <w:rPr>
          <w:szCs w:val="20"/>
        </w:rPr>
        <w:t xml:space="preserve">be developed by the </w:t>
      </w:r>
      <w:r>
        <w:rPr>
          <w:szCs w:val="20"/>
        </w:rPr>
        <w:t>primary care team</w:t>
      </w:r>
      <w:r w:rsidRPr="0005127B">
        <w:rPr>
          <w:szCs w:val="20"/>
        </w:rPr>
        <w:t xml:space="preserve"> in partnership with the patient. </w:t>
      </w:r>
      <w:r>
        <w:t>T</w:t>
      </w:r>
      <w:r w:rsidRPr="007D3346">
        <w:t xml:space="preserve">he following elements </w:t>
      </w:r>
      <w:r>
        <w:t>were specified</w:t>
      </w:r>
      <w:r w:rsidRPr="007D3346">
        <w:t>:</w:t>
      </w:r>
    </w:p>
    <w:p w14:paraId="62E873C3" w14:textId="77777777" w:rsidR="001C19F3" w:rsidRPr="007D3346" w:rsidRDefault="001C19F3" w:rsidP="001C19F3">
      <w:pPr>
        <w:pStyle w:val="ListParagraph"/>
        <w:numPr>
          <w:ilvl w:val="0"/>
          <w:numId w:val="12"/>
        </w:numPr>
      </w:pPr>
      <w:r>
        <w:t>V</w:t>
      </w:r>
      <w:r w:rsidRPr="007D3346">
        <w:t xml:space="preserve">oluntarily </w:t>
      </w:r>
      <w:r>
        <w:t xml:space="preserve">enrolment </w:t>
      </w:r>
      <w:r w:rsidRPr="007D3346">
        <w:t>with a practice and GP.</w:t>
      </w:r>
    </w:p>
    <w:p w14:paraId="0AADE273" w14:textId="77777777" w:rsidR="001C19F3" w:rsidRPr="007D3346" w:rsidRDefault="001C19F3" w:rsidP="001C19F3">
      <w:pPr>
        <w:pStyle w:val="ListParagraph"/>
        <w:numPr>
          <w:ilvl w:val="0"/>
          <w:numId w:val="12"/>
        </w:numPr>
      </w:pPr>
      <w:r w:rsidRPr="007D3346">
        <w:t xml:space="preserve">Eligible patients </w:t>
      </w:r>
      <w:r>
        <w:t xml:space="preserve">include those </w:t>
      </w:r>
      <w:r w:rsidRPr="007D3346">
        <w:t xml:space="preserve">identified as at </w:t>
      </w:r>
      <w:r>
        <w:t xml:space="preserve">higher </w:t>
      </w:r>
      <w:r w:rsidRPr="007D3346">
        <w:t>risk of hospitalisation over the next 12 months.</w:t>
      </w:r>
    </w:p>
    <w:p w14:paraId="4BD50AC0" w14:textId="77777777" w:rsidR="001C19F3" w:rsidRPr="007D3346" w:rsidRDefault="001C19F3" w:rsidP="001C19F3">
      <w:pPr>
        <w:pStyle w:val="ListParagraph"/>
        <w:numPr>
          <w:ilvl w:val="0"/>
          <w:numId w:val="12"/>
        </w:numPr>
      </w:pPr>
      <w:r w:rsidRPr="007D3346">
        <w:t xml:space="preserve">GPs receive </w:t>
      </w:r>
      <w:r>
        <w:t xml:space="preserve">a </w:t>
      </w:r>
      <w:r w:rsidRPr="007D3346">
        <w:t>bundled payment for enrolled patients</w:t>
      </w:r>
      <w:r>
        <w:t>. The payment covers</w:t>
      </w:r>
      <w:r w:rsidRPr="007D3346">
        <w:t xml:space="preserve"> services related to their chronic conditions, departing from the traditional Medicare fee-for-service model. The level of the bundled payment is </w:t>
      </w:r>
      <w:r>
        <w:t xml:space="preserve">based on </w:t>
      </w:r>
      <w:r w:rsidRPr="007D3346">
        <w:t xml:space="preserve">the tier that the patient is </w:t>
      </w:r>
      <w:r>
        <w:t>assigned to, which in turn reflect the GP’s assessment of their risk</w:t>
      </w:r>
      <w:r w:rsidRPr="007D3346">
        <w:t xml:space="preserve"> </w:t>
      </w:r>
      <w:r>
        <w:t>of hospitalisation using a standardised tool (the Hospital Admissions Risk Program or HARP).</w:t>
      </w:r>
    </w:p>
    <w:p w14:paraId="470A51B3" w14:textId="77777777" w:rsidR="001C19F3" w:rsidRPr="007D3346" w:rsidRDefault="001C19F3" w:rsidP="001C19F3">
      <w:pPr>
        <w:pStyle w:val="ListParagraph"/>
        <w:numPr>
          <w:ilvl w:val="0"/>
          <w:numId w:val="12"/>
        </w:numPr>
      </w:pPr>
      <w:r w:rsidRPr="007D3346">
        <w:t xml:space="preserve">A care plan is developed, and a system of shared care planning is implemented, giving patients and authorised health professionals access to </w:t>
      </w:r>
      <w:r>
        <w:t>the plan</w:t>
      </w:r>
      <w:r w:rsidRPr="007D3346">
        <w:t>.</w:t>
      </w:r>
    </w:p>
    <w:p w14:paraId="71ED13B8" w14:textId="77777777" w:rsidR="001C19F3" w:rsidRDefault="001C19F3" w:rsidP="001C19F3">
      <w:r>
        <w:t>Criteria that patients need to meet to be eligible for the program are described below.</w:t>
      </w:r>
    </w:p>
    <w:tbl>
      <w:tblPr>
        <w:tblW w:w="0" w:type="auto"/>
        <w:shd w:val="clear" w:color="auto" w:fill="F2F2F2" w:themeFill="background1" w:themeFillShade="F2"/>
        <w:tblLook w:val="04A0" w:firstRow="1" w:lastRow="0" w:firstColumn="1" w:lastColumn="0" w:noHBand="0" w:noVBand="1"/>
      </w:tblPr>
      <w:tblGrid>
        <w:gridCol w:w="9016"/>
      </w:tblGrid>
      <w:tr w:rsidR="001C19F3" w14:paraId="3D9FD4D0" w14:textId="77777777" w:rsidTr="00521305">
        <w:tc>
          <w:tcPr>
            <w:tcW w:w="9016" w:type="dxa"/>
            <w:shd w:val="clear" w:color="auto" w:fill="F2F2F2" w:themeFill="background1" w:themeFillShade="F2"/>
          </w:tcPr>
          <w:p w14:paraId="2F1A75ED" w14:textId="77777777" w:rsidR="001C19F3" w:rsidRPr="002E5EA0" w:rsidRDefault="001C19F3" w:rsidP="00521305">
            <w:pPr>
              <w:pStyle w:val="Boxheading"/>
              <w:rPr>
                <w:sz w:val="18"/>
                <w:szCs w:val="18"/>
              </w:rPr>
            </w:pPr>
            <w:bookmarkStart w:id="89" w:name="eligibility"/>
            <w:r w:rsidRPr="002E5EA0">
              <w:rPr>
                <w:sz w:val="18"/>
                <w:szCs w:val="18"/>
              </w:rPr>
              <w:lastRenderedPageBreak/>
              <w:t>Patient eligibility for HCH</w:t>
            </w:r>
          </w:p>
          <w:bookmarkEnd w:id="89"/>
          <w:p w14:paraId="252AD725" w14:textId="77777777" w:rsidR="001C19F3" w:rsidRPr="002E5EA0" w:rsidRDefault="001C19F3" w:rsidP="001C19F3">
            <w:pPr>
              <w:pStyle w:val="ListParagraph"/>
              <w:numPr>
                <w:ilvl w:val="0"/>
                <w:numId w:val="14"/>
              </w:numPr>
              <w:rPr>
                <w:sz w:val="18"/>
                <w:szCs w:val="18"/>
              </w:rPr>
            </w:pPr>
            <w:r w:rsidRPr="002E5EA0">
              <w:rPr>
                <w:sz w:val="18"/>
                <w:szCs w:val="18"/>
              </w:rPr>
              <w:t>Green or blue Medicare Card holders.</w:t>
            </w:r>
          </w:p>
          <w:p w14:paraId="778C7C4E" w14:textId="77777777" w:rsidR="001C19F3" w:rsidRPr="002E5EA0" w:rsidRDefault="001C19F3" w:rsidP="001C19F3">
            <w:pPr>
              <w:pStyle w:val="ListParagraph"/>
              <w:numPr>
                <w:ilvl w:val="0"/>
                <w:numId w:val="14"/>
              </w:numPr>
              <w:rPr>
                <w:sz w:val="18"/>
                <w:szCs w:val="18"/>
              </w:rPr>
            </w:pPr>
            <w:r w:rsidRPr="002E5EA0">
              <w:rPr>
                <w:sz w:val="18"/>
                <w:szCs w:val="18"/>
              </w:rPr>
              <w:t>Not a resident of a residential aged care facility.</w:t>
            </w:r>
          </w:p>
          <w:p w14:paraId="6389C2AE" w14:textId="77777777" w:rsidR="001C19F3" w:rsidRPr="002E5EA0" w:rsidRDefault="001C19F3" w:rsidP="001C19F3">
            <w:pPr>
              <w:pStyle w:val="ListParagraph"/>
              <w:numPr>
                <w:ilvl w:val="0"/>
                <w:numId w:val="14"/>
              </w:numPr>
              <w:rPr>
                <w:sz w:val="18"/>
                <w:szCs w:val="18"/>
              </w:rPr>
            </w:pPr>
            <w:r w:rsidRPr="002E5EA0">
              <w:rPr>
                <w:sz w:val="18"/>
                <w:szCs w:val="18"/>
              </w:rPr>
              <w:t>Not enrolled in the Department of Veterans’ Affairs Coordinated Veterans’ Care Program.</w:t>
            </w:r>
          </w:p>
          <w:p w14:paraId="36FE8147" w14:textId="77777777" w:rsidR="001C19F3" w:rsidRPr="002E5EA0" w:rsidRDefault="001C19F3" w:rsidP="001C19F3">
            <w:pPr>
              <w:pStyle w:val="ListParagraph"/>
              <w:numPr>
                <w:ilvl w:val="0"/>
                <w:numId w:val="14"/>
              </w:numPr>
              <w:rPr>
                <w:sz w:val="18"/>
                <w:szCs w:val="18"/>
              </w:rPr>
            </w:pPr>
            <w:r w:rsidRPr="002E5EA0">
              <w:rPr>
                <w:sz w:val="18"/>
                <w:szCs w:val="18"/>
              </w:rPr>
              <w:t>Chronically ill with a score returned from the risk stratification tool (RST) that is above the threshold for patients considered for the program, and the subsequent HARP assessment results in the patient being assigned to one of the three risk tiers.</w:t>
            </w:r>
          </w:p>
          <w:p w14:paraId="5CB24221" w14:textId="77777777" w:rsidR="001C19F3" w:rsidRPr="002E5EA0" w:rsidRDefault="001C19F3" w:rsidP="00521305">
            <w:pPr>
              <w:spacing w:after="0"/>
              <w:rPr>
                <w:sz w:val="18"/>
                <w:szCs w:val="18"/>
              </w:rPr>
            </w:pPr>
            <w:r w:rsidRPr="002E5EA0">
              <w:rPr>
                <w:sz w:val="18"/>
                <w:szCs w:val="18"/>
              </w:rPr>
              <w:fldChar w:fldCharType="begin"/>
            </w:r>
            <w:r w:rsidRPr="002E5EA0">
              <w:rPr>
                <w:sz w:val="18"/>
                <w:szCs w:val="18"/>
              </w:rP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2E5EA0">
              <w:rPr>
                <w:sz w:val="18"/>
                <w:szCs w:val="18"/>
              </w:rPr>
              <w:fldChar w:fldCharType="separate"/>
            </w:r>
            <w:r w:rsidRPr="002E5EA0">
              <w:rPr>
                <w:noProof/>
                <w:sz w:val="18"/>
                <w:szCs w:val="18"/>
              </w:rPr>
              <w:t>Australian Government Department of Health, 2018c</w:t>
            </w:r>
            <w:r w:rsidRPr="002E5EA0">
              <w:rPr>
                <w:sz w:val="18"/>
                <w:szCs w:val="18"/>
              </w:rPr>
              <w:fldChar w:fldCharType="end"/>
            </w:r>
          </w:p>
        </w:tc>
      </w:tr>
    </w:tbl>
    <w:p w14:paraId="37B40DD3" w14:textId="77777777" w:rsidR="001C19F3" w:rsidRDefault="001C19F3" w:rsidP="001C19F3">
      <w:pPr>
        <w:spacing w:after="0"/>
      </w:pPr>
    </w:p>
    <w:p w14:paraId="11831E76" w14:textId="77777777" w:rsidR="001C19F3" w:rsidRDefault="001C19F3" w:rsidP="001C19F3">
      <w:pPr>
        <w:pStyle w:val="Heading2"/>
      </w:pPr>
      <w:bookmarkStart w:id="90" w:name="_Toc27056543"/>
      <w:r>
        <w:t>Service delivery expected of HCHs</w:t>
      </w:r>
      <w:bookmarkEnd w:id="90"/>
    </w:p>
    <w:p w14:paraId="6E34614B" w14:textId="77777777" w:rsidR="001C19F3" w:rsidRDefault="001C19F3" w:rsidP="001C19F3">
      <w:r>
        <w:t xml:space="preserve">The </w:t>
      </w:r>
      <w:r w:rsidRPr="00EE7714">
        <w:rPr>
          <w:i/>
        </w:rPr>
        <w:t>Handbook for general practices and Aboriginal Community Controlled Health Services</w:t>
      </w:r>
      <w:r>
        <w:rPr>
          <w:i/>
        </w:rPr>
        <w:t xml:space="preserve"> </w:t>
      </w:r>
      <w:r>
        <w:t>(</w:t>
      </w:r>
      <w:r>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fldChar w:fldCharType="separate"/>
      </w:r>
      <w:r>
        <w:rPr>
          <w:noProof/>
        </w:rPr>
        <w:t>Australian Government Department of Health, 2018c</w:t>
      </w:r>
      <w:r>
        <w:fldChar w:fldCharType="end"/>
      </w:r>
      <w:r>
        <w:t>) outlines the following service delivery features expected of HCHs:</w:t>
      </w:r>
    </w:p>
    <w:p w14:paraId="6A855E93" w14:textId="77777777" w:rsidR="001C19F3" w:rsidRDefault="001C19F3" w:rsidP="001C19F3">
      <w:pPr>
        <w:pStyle w:val="ListParagraph"/>
        <w:numPr>
          <w:ilvl w:val="0"/>
          <w:numId w:val="10"/>
        </w:numPr>
        <w:ind w:left="714" w:hanging="357"/>
        <w:contextualSpacing w:val="0"/>
      </w:pPr>
      <w:r w:rsidRPr="004D72A3">
        <w:rPr>
          <w:b/>
        </w:rPr>
        <w:t>Enhanced access to care</w:t>
      </w:r>
      <w:r>
        <w:t xml:space="preserve">. Aimed at supporting a patient’s confidence in self-managing their condition </w:t>
      </w:r>
      <w:r w:rsidRPr="00EE7714">
        <w:t>through in-hours telephone support, email or video-conferencing, as well as access to after-hours ca</w:t>
      </w:r>
      <w:r>
        <w:t>re where a practice already provides this for their patients.</w:t>
      </w:r>
    </w:p>
    <w:p w14:paraId="198A0FA3" w14:textId="77777777" w:rsidR="001C19F3" w:rsidRDefault="001C19F3" w:rsidP="001C19F3">
      <w:pPr>
        <w:pStyle w:val="ListParagraph"/>
        <w:numPr>
          <w:ilvl w:val="0"/>
          <w:numId w:val="10"/>
        </w:numPr>
        <w:ind w:left="714" w:hanging="357"/>
        <w:contextualSpacing w:val="0"/>
      </w:pPr>
      <w:r w:rsidRPr="004D72A3">
        <w:rPr>
          <w:b/>
        </w:rPr>
        <w:t>Data driven improvement</w:t>
      </w:r>
      <w:r>
        <w:t>. HCHs are expected to c</w:t>
      </w:r>
      <w:r w:rsidRPr="004D72A3">
        <w:t>ollect</w:t>
      </w:r>
      <w:r>
        <w:t xml:space="preserve"> and use</w:t>
      </w:r>
      <w:r w:rsidRPr="004D72A3">
        <w:t xml:space="preserve"> data for internal quality improvement processes</w:t>
      </w:r>
      <w:r>
        <w:t>.</w:t>
      </w:r>
    </w:p>
    <w:p w14:paraId="608698B6" w14:textId="77777777" w:rsidR="001C19F3" w:rsidRDefault="001C19F3" w:rsidP="001C19F3">
      <w:pPr>
        <w:pStyle w:val="ListParagraph"/>
        <w:numPr>
          <w:ilvl w:val="0"/>
          <w:numId w:val="10"/>
        </w:numPr>
        <w:ind w:left="714" w:hanging="357"/>
        <w:contextualSpacing w:val="0"/>
      </w:pPr>
      <w:r w:rsidRPr="004D72A3">
        <w:rPr>
          <w:b/>
        </w:rPr>
        <w:t>Electronic shared care plan</w:t>
      </w:r>
      <w:r>
        <w:rPr>
          <w:b/>
        </w:rPr>
        <w:t>s</w:t>
      </w:r>
      <w:r>
        <w:t>. HCHs must ensure that enrolled patients have a shared care plan and can access it. Practices that don’t have electronic plans have until 30 November 2018 to implement compliant software.</w:t>
      </w:r>
    </w:p>
    <w:p w14:paraId="269D564F" w14:textId="77777777" w:rsidR="001C19F3" w:rsidRDefault="001C19F3" w:rsidP="001C19F3">
      <w:pPr>
        <w:pStyle w:val="ListParagraph"/>
        <w:numPr>
          <w:ilvl w:val="0"/>
          <w:numId w:val="10"/>
        </w:numPr>
        <w:ind w:left="714" w:hanging="357"/>
        <w:contextualSpacing w:val="0"/>
      </w:pPr>
      <w:r>
        <w:rPr>
          <w:b/>
        </w:rPr>
        <w:t xml:space="preserve">Access to </w:t>
      </w:r>
      <w:r w:rsidRPr="004D72A3">
        <w:rPr>
          <w:b/>
        </w:rPr>
        <w:t>My Health Record</w:t>
      </w:r>
      <w:r>
        <w:t xml:space="preserve">. HCHs must be registered with the My Health Record System and their patients must have a My Health Record within a month of enrolment. </w:t>
      </w:r>
      <w:r w:rsidRPr="006C4C64">
        <w:rPr>
          <w:b/>
          <w:i/>
        </w:rPr>
        <w:t>This requirement was lifted later in 2018.</w:t>
      </w:r>
    </w:p>
    <w:p w14:paraId="7D04E684" w14:textId="77777777" w:rsidR="001C19F3" w:rsidRDefault="001C19F3" w:rsidP="001C19F3">
      <w:pPr>
        <w:pStyle w:val="ListParagraph"/>
        <w:numPr>
          <w:ilvl w:val="0"/>
          <w:numId w:val="10"/>
        </w:numPr>
        <w:ind w:left="714" w:hanging="357"/>
        <w:contextualSpacing w:val="0"/>
      </w:pPr>
      <w:r w:rsidRPr="004D72A3">
        <w:rPr>
          <w:b/>
        </w:rPr>
        <w:t>Team-based care</w:t>
      </w:r>
      <w:r>
        <w:t xml:space="preserve">. HCHs must provide </w:t>
      </w:r>
      <w:r w:rsidRPr="004D72A3">
        <w:t>care for enrolled patients using a team-based approach</w:t>
      </w:r>
      <w:r>
        <w:t>, where the patient is also part of the team. The bundled payment potentially allows for new roles to be introduced, such as nurse practitioners/ specialists or advanced practice registered nurses, Aboriginal and Torres Strait Islander health practitioners/ workers, care coordinators, medical practice assistants, allied health professionals and pharmacists.</w:t>
      </w:r>
    </w:p>
    <w:p w14:paraId="400C63A5" w14:textId="77777777" w:rsidR="001C19F3" w:rsidRDefault="001C19F3" w:rsidP="001C19F3">
      <w:pPr>
        <w:pStyle w:val="ListParagraph"/>
        <w:numPr>
          <w:ilvl w:val="0"/>
          <w:numId w:val="10"/>
        </w:numPr>
        <w:ind w:left="714" w:hanging="357"/>
        <w:contextualSpacing w:val="0"/>
      </w:pPr>
      <w:r w:rsidRPr="004D72A3">
        <w:rPr>
          <w:b/>
        </w:rPr>
        <w:t xml:space="preserve">Community </w:t>
      </w:r>
      <w:r>
        <w:rPr>
          <w:b/>
        </w:rPr>
        <w:t>p</w:t>
      </w:r>
      <w:r w:rsidRPr="004D72A3">
        <w:rPr>
          <w:b/>
        </w:rPr>
        <w:t xml:space="preserve">harmacy </w:t>
      </w:r>
      <w:r>
        <w:rPr>
          <w:b/>
        </w:rPr>
        <w:t>support</w:t>
      </w:r>
      <w:r>
        <w:t xml:space="preserve">. The Community Pharmacy in HCH Trial program was added in the August 2018 version of the Handbook (see section below) and refers to an extension of HCH aimed at providing HCH patients with access to a community pharmacist to assist them with managing their medications. </w:t>
      </w:r>
    </w:p>
    <w:p w14:paraId="36577700" w14:textId="77777777" w:rsidR="001C19F3" w:rsidRDefault="001C19F3" w:rsidP="001C19F3">
      <w:pPr>
        <w:pStyle w:val="Heading2"/>
      </w:pPr>
      <w:bookmarkStart w:id="91" w:name="_Toc27056544"/>
      <w:r w:rsidRPr="00CA39DB">
        <w:t>Bilateral Agreements on Coordinated Care</w:t>
      </w:r>
      <w:bookmarkEnd w:id="91"/>
    </w:p>
    <w:p w14:paraId="547D0E78" w14:textId="77777777" w:rsidR="001C19F3" w:rsidRPr="00325615" w:rsidRDefault="001C19F3" w:rsidP="001C19F3">
      <w:r w:rsidRPr="00325615">
        <w:t xml:space="preserve">HCH is a component of the </w:t>
      </w:r>
      <w:bookmarkStart w:id="92" w:name="_Hlk19104996"/>
      <w:r w:rsidRPr="00325615">
        <w:t xml:space="preserve">Bilateral Agreements on Coordinated Care </w:t>
      </w:r>
      <w:bookmarkEnd w:id="92"/>
      <w:r w:rsidRPr="00325615">
        <w:t xml:space="preserve">(the </w:t>
      </w:r>
      <w:r>
        <w:t>‘</w:t>
      </w:r>
      <w:r w:rsidRPr="00325615">
        <w:t>Bilateral Agreements</w:t>
      </w:r>
      <w:r>
        <w:t>’</w:t>
      </w:r>
      <w:r w:rsidRPr="00325615">
        <w:t>) between the Commonwealth and the states and territories resulting from the Heads of Agreement on public hospital funding.</w:t>
      </w:r>
      <w:r>
        <w:t xml:space="preserve"> </w:t>
      </w:r>
      <w:r w:rsidRPr="00325615">
        <w:t xml:space="preserve">The Bilateral Agreements include </w:t>
      </w:r>
      <w:r>
        <w:t xml:space="preserve">commitment to </w:t>
      </w:r>
      <w:r w:rsidRPr="00325615">
        <w:t xml:space="preserve">coordinated care activities and projects </w:t>
      </w:r>
      <w:r>
        <w:t xml:space="preserve">introduced </w:t>
      </w:r>
      <w:r w:rsidRPr="00325615">
        <w:t xml:space="preserve">by the Commonwealth, </w:t>
      </w:r>
      <w:r w:rsidRPr="00325615">
        <w:lastRenderedPageBreak/>
        <w:t>states and territories. The Agreements set</w:t>
      </w:r>
      <w:r>
        <w:t>s</w:t>
      </w:r>
      <w:r w:rsidRPr="00325615">
        <w:t xml:space="preserve"> out priority areas focussing on system-wide enablers of more effective care coordination</w:t>
      </w:r>
      <w:r>
        <w:t>, including</w:t>
      </w:r>
      <w:r w:rsidRPr="00325615">
        <w:t>:</w:t>
      </w:r>
    </w:p>
    <w:p w14:paraId="5CA0F8C5" w14:textId="77777777" w:rsidR="001C19F3" w:rsidRPr="002B5D63" w:rsidRDefault="001C19F3" w:rsidP="001C19F3">
      <w:pPr>
        <w:pStyle w:val="ListParagraph"/>
        <w:numPr>
          <w:ilvl w:val="0"/>
          <w:numId w:val="10"/>
        </w:numPr>
        <w:spacing w:after="0"/>
        <w:ind w:left="714" w:hanging="357"/>
        <w:contextualSpacing w:val="0"/>
      </w:pPr>
      <w:r w:rsidRPr="002B5D63">
        <w:t>data collection and analysis</w:t>
      </w:r>
    </w:p>
    <w:p w14:paraId="26747BFA" w14:textId="77777777" w:rsidR="001C19F3" w:rsidRPr="002B5D63" w:rsidRDefault="001C19F3" w:rsidP="001C19F3">
      <w:pPr>
        <w:pStyle w:val="ListParagraph"/>
        <w:numPr>
          <w:ilvl w:val="0"/>
          <w:numId w:val="10"/>
        </w:numPr>
        <w:spacing w:after="0"/>
        <w:ind w:left="714" w:hanging="357"/>
        <w:contextualSpacing w:val="0"/>
      </w:pPr>
      <w:r w:rsidRPr="002B5D63">
        <w:t>systems integration</w:t>
      </w:r>
    </w:p>
    <w:p w14:paraId="5DC4FA90" w14:textId="77777777" w:rsidR="001C19F3" w:rsidRPr="002B5D63" w:rsidRDefault="001C19F3" w:rsidP="001C19F3">
      <w:pPr>
        <w:pStyle w:val="ListParagraph"/>
        <w:numPr>
          <w:ilvl w:val="0"/>
          <w:numId w:val="10"/>
        </w:numPr>
        <w:ind w:left="714" w:hanging="357"/>
        <w:contextualSpacing w:val="0"/>
      </w:pPr>
      <w:r w:rsidRPr="002B5D63">
        <w:t>coordinated care approaches and reforms</w:t>
      </w:r>
    </w:p>
    <w:p w14:paraId="68CD50DC" w14:textId="77777777" w:rsidR="001C19F3" w:rsidRPr="00325615" w:rsidRDefault="001C19F3" w:rsidP="001C19F3">
      <w:r w:rsidRPr="00A4009E">
        <w:t xml:space="preserve">The Commonwealth’s key contribution to the Bilateral Agreements is </w:t>
      </w:r>
      <w:r>
        <w:t xml:space="preserve">the </w:t>
      </w:r>
      <w:r w:rsidRPr="00A4009E">
        <w:t>HCH</w:t>
      </w:r>
      <w:r>
        <w:t xml:space="preserve"> program,</w:t>
      </w:r>
      <w:r w:rsidRPr="00A4009E">
        <w:t xml:space="preserve"> which </w:t>
      </w:r>
      <w:r>
        <w:t xml:space="preserve">is </w:t>
      </w:r>
      <w:r w:rsidRPr="00A4009E">
        <w:t>part of the coordinated care priority</w:t>
      </w:r>
      <w:r w:rsidRPr="00325615">
        <w:t xml:space="preserve">. </w:t>
      </w:r>
      <w:r>
        <w:t>J</w:t>
      </w:r>
      <w:r w:rsidRPr="00325615">
        <w:t>urisdictions added initiatives relating to other discretionary areas</w:t>
      </w:r>
      <w:r>
        <w:t xml:space="preserve">. Within these </w:t>
      </w:r>
      <w:r w:rsidRPr="00325615">
        <w:t xml:space="preserve">the top </w:t>
      </w:r>
      <w:r>
        <w:t xml:space="preserve">five </w:t>
      </w:r>
      <w:r w:rsidRPr="00325615">
        <w:t xml:space="preserve">priorities </w:t>
      </w:r>
      <w:r>
        <w:t>were</w:t>
      </w:r>
      <w:r w:rsidRPr="00325615">
        <w:t xml:space="preserve">: </w:t>
      </w:r>
      <w:r>
        <w:t xml:space="preserve">a </w:t>
      </w:r>
      <w:r w:rsidRPr="00325615">
        <w:t>multidisciplinary team approach, telehealth, digital health, e</w:t>
      </w:r>
      <w:r>
        <w:t xml:space="preserve">nd of life and mental health. </w:t>
      </w:r>
    </w:p>
    <w:p w14:paraId="27A3ED00" w14:textId="77777777" w:rsidR="001C19F3" w:rsidRDefault="001C19F3" w:rsidP="001C19F3">
      <w:pPr>
        <w:pStyle w:val="Heading2"/>
      </w:pPr>
      <w:bookmarkStart w:id="93" w:name="_Toc27056545"/>
      <w:r>
        <w:t>Community pharmacy in HCH</w:t>
      </w:r>
      <w:bookmarkEnd w:id="93"/>
    </w:p>
    <w:p w14:paraId="56C7F41D" w14:textId="77777777" w:rsidR="001C19F3" w:rsidRPr="00235D88" w:rsidRDefault="001C19F3" w:rsidP="001C19F3">
      <w:r>
        <w:t>In August 2018, u</w:t>
      </w:r>
      <w:r w:rsidRPr="00BD2228">
        <w:t xml:space="preserve">nder the Sixth Community Pharmacy Agreement, the Government dedicated funds </w:t>
      </w:r>
      <w:r>
        <w:t xml:space="preserve">for HCH patients to receive </w:t>
      </w:r>
      <w:r w:rsidRPr="00235D88">
        <w:t xml:space="preserve">additional medication management services </w:t>
      </w:r>
      <w:r>
        <w:t xml:space="preserve">from </w:t>
      </w:r>
      <w:r w:rsidRPr="00235D88">
        <w:t>community pharmac</w:t>
      </w:r>
      <w:r>
        <w:t>ists, including:</w:t>
      </w:r>
    </w:p>
    <w:p w14:paraId="4FECD194" w14:textId="77777777" w:rsidR="001C19F3" w:rsidRPr="00BD2228" w:rsidRDefault="001C19F3" w:rsidP="001C19F3">
      <w:pPr>
        <w:pStyle w:val="ListParagraph"/>
        <w:numPr>
          <w:ilvl w:val="0"/>
          <w:numId w:val="73"/>
        </w:numPr>
        <w:spacing w:after="0"/>
        <w:ind w:left="714" w:hanging="357"/>
        <w:contextualSpacing w:val="0"/>
        <w:rPr>
          <w:szCs w:val="20"/>
        </w:rPr>
      </w:pPr>
      <w:r>
        <w:rPr>
          <w:szCs w:val="20"/>
        </w:rPr>
        <w:t>M</w:t>
      </w:r>
      <w:r w:rsidRPr="00BD2228">
        <w:rPr>
          <w:szCs w:val="20"/>
        </w:rPr>
        <w:t>edication reconciliation and assessing the patient’s medicines regimen.</w:t>
      </w:r>
    </w:p>
    <w:p w14:paraId="4B30FAD3" w14:textId="77777777" w:rsidR="001C19F3" w:rsidRPr="00BD2228" w:rsidRDefault="001C19F3" w:rsidP="001C19F3">
      <w:pPr>
        <w:pStyle w:val="ListParagraph"/>
        <w:numPr>
          <w:ilvl w:val="0"/>
          <w:numId w:val="73"/>
        </w:numPr>
        <w:spacing w:after="0"/>
        <w:ind w:left="714" w:hanging="357"/>
        <w:contextualSpacing w:val="0"/>
        <w:rPr>
          <w:szCs w:val="20"/>
        </w:rPr>
      </w:pPr>
      <w:r w:rsidRPr="00BD2228">
        <w:rPr>
          <w:szCs w:val="20"/>
        </w:rPr>
        <w:t>Identifying any potential medication-related issues and agreeing on medication management goals.</w:t>
      </w:r>
    </w:p>
    <w:p w14:paraId="3113453F" w14:textId="77777777" w:rsidR="001C19F3" w:rsidRPr="00BD2228" w:rsidRDefault="001C19F3" w:rsidP="001C19F3">
      <w:pPr>
        <w:pStyle w:val="ListParagraph"/>
        <w:numPr>
          <w:ilvl w:val="0"/>
          <w:numId w:val="73"/>
        </w:numPr>
        <w:spacing w:after="0"/>
        <w:ind w:left="714" w:hanging="357"/>
        <w:contextualSpacing w:val="0"/>
        <w:rPr>
          <w:szCs w:val="20"/>
        </w:rPr>
      </w:pPr>
      <w:r w:rsidRPr="00BD2228">
        <w:rPr>
          <w:szCs w:val="20"/>
        </w:rPr>
        <w:t>Developing a medication management plan (MMP) in collaboration with the patient and their HCH.</w:t>
      </w:r>
    </w:p>
    <w:p w14:paraId="4B545E7F" w14:textId="77777777" w:rsidR="001C19F3" w:rsidRDefault="001C19F3" w:rsidP="001C19F3">
      <w:pPr>
        <w:pStyle w:val="ListParagraph"/>
        <w:numPr>
          <w:ilvl w:val="0"/>
          <w:numId w:val="73"/>
        </w:numPr>
        <w:spacing w:after="0"/>
        <w:ind w:left="714" w:hanging="357"/>
        <w:contextualSpacing w:val="0"/>
        <w:rPr>
          <w:szCs w:val="20"/>
        </w:rPr>
      </w:pPr>
      <w:r w:rsidRPr="00BD2228">
        <w:rPr>
          <w:szCs w:val="20"/>
        </w:rPr>
        <w:t>Providing regular follow-up reviews with the patient (in consultation with the referring HCH practice).</w:t>
      </w:r>
    </w:p>
    <w:p w14:paraId="7EBA1B74" w14:textId="77777777" w:rsidR="001C19F3" w:rsidRDefault="001C19F3" w:rsidP="001C19F3">
      <w:pPr>
        <w:pStyle w:val="ListParagraph"/>
        <w:numPr>
          <w:ilvl w:val="0"/>
          <w:numId w:val="73"/>
        </w:numPr>
        <w:ind w:left="714" w:hanging="357"/>
        <w:rPr>
          <w:szCs w:val="20"/>
        </w:rPr>
      </w:pPr>
      <w:r w:rsidRPr="00BD2228">
        <w:rPr>
          <w:szCs w:val="20"/>
        </w:rPr>
        <w:t xml:space="preserve">Providing support services for the more complex patients, </w:t>
      </w:r>
      <w:r>
        <w:rPr>
          <w:szCs w:val="20"/>
        </w:rPr>
        <w:t xml:space="preserve">such as </w:t>
      </w:r>
      <w:r w:rsidRPr="00BD2228">
        <w:rPr>
          <w:szCs w:val="20"/>
        </w:rPr>
        <w:t>dose administration aids, blood glucose monitoring, blood pressure monitoring and asthma management plan</w:t>
      </w:r>
      <w:r>
        <w:rPr>
          <w:szCs w:val="20"/>
        </w:rPr>
        <w:t>ning</w:t>
      </w:r>
      <w:r w:rsidRPr="00BD2228">
        <w:rPr>
          <w:szCs w:val="20"/>
        </w:rPr>
        <w:t>.</w:t>
      </w:r>
    </w:p>
    <w:p w14:paraId="44BC31DE" w14:textId="77777777" w:rsidR="001C19F3" w:rsidRDefault="001C19F3" w:rsidP="001C19F3">
      <w:pPr>
        <w:rPr>
          <w:rFonts w:cs="Arial"/>
        </w:rPr>
      </w:pPr>
      <w:r w:rsidRPr="00CA39DB">
        <w:rPr>
          <w:rFonts w:cs="Arial"/>
        </w:rPr>
        <w:t xml:space="preserve">The program is accessed by referral of the patient by their HCH to a community pharmacy of their choice. The community pharmacy and the HCH care team are to work together to deliver the MMP. </w:t>
      </w:r>
    </w:p>
    <w:p w14:paraId="02D1EDE4" w14:textId="77777777" w:rsidR="001C19F3" w:rsidRDefault="001C19F3" w:rsidP="001C19F3">
      <w:pPr>
        <w:pStyle w:val="Heading2"/>
      </w:pPr>
      <w:bookmarkStart w:id="94" w:name="_Toc27056546"/>
      <w:r>
        <w:t>Program extension</w:t>
      </w:r>
      <w:bookmarkEnd w:id="94"/>
    </w:p>
    <w:p w14:paraId="4A9FE7F1" w14:textId="77777777" w:rsidR="001C19F3" w:rsidRDefault="001C19F3" w:rsidP="001C19F3">
      <w:r w:rsidRPr="00CA39DB">
        <w:t xml:space="preserve">In </w:t>
      </w:r>
      <w:r>
        <w:t>December</w:t>
      </w:r>
      <w:r w:rsidRPr="00CA39DB">
        <w:t xml:space="preserve"> 2018, the Australian Government announced an extension </w:t>
      </w:r>
      <w:r>
        <w:t>of</w:t>
      </w:r>
      <w:r w:rsidRPr="00CA39DB">
        <w:t xml:space="preserve"> </w:t>
      </w:r>
      <w:r>
        <w:t>HCH</w:t>
      </w:r>
      <w:r w:rsidRPr="00CA39DB">
        <w:t xml:space="preserve">, </w:t>
      </w:r>
      <w:r>
        <w:t xml:space="preserve">continuing </w:t>
      </w:r>
      <w:r w:rsidRPr="00CA39DB">
        <w:t>patient enrolment to 30 June 2019 and the trial to 30 June 2021.</w:t>
      </w:r>
    </w:p>
    <w:p w14:paraId="7391F785" w14:textId="77777777" w:rsidR="001C19F3" w:rsidRDefault="001C19F3" w:rsidP="001C19F3">
      <w:pPr>
        <w:pStyle w:val="Heading2"/>
      </w:pPr>
      <w:bookmarkStart w:id="95" w:name="_Toc27056547"/>
      <w:r>
        <w:t>Program establishment and implementation</w:t>
      </w:r>
      <w:bookmarkEnd w:id="95"/>
    </w:p>
    <w:p w14:paraId="41D19A89" w14:textId="77777777" w:rsidR="001C19F3" w:rsidRDefault="001C19F3" w:rsidP="001C19F3">
      <w:r>
        <w:t>This section describes the steps taken by the Department of Health and PHNs to implement the HCH program.</w:t>
      </w:r>
    </w:p>
    <w:p w14:paraId="21223EEE" w14:textId="77777777" w:rsidR="001C19F3" w:rsidRDefault="001C19F3" w:rsidP="001C19F3">
      <w:pPr>
        <w:pStyle w:val="Heading3"/>
      </w:pPr>
      <w:r>
        <w:t>Program governance</w:t>
      </w:r>
    </w:p>
    <w:p w14:paraId="39D4FD0A" w14:textId="77777777" w:rsidR="001C19F3" w:rsidRDefault="001C19F3" w:rsidP="001C19F3">
      <w:pPr>
        <w:rPr>
          <w:szCs w:val="20"/>
        </w:rPr>
      </w:pPr>
      <w:r>
        <w:t xml:space="preserve">To provide expert advice on the implementation of the program, the Department established a two-tiered governance structure consisting of an overarching </w:t>
      </w:r>
      <w:r w:rsidRPr="00A67BA6">
        <w:t xml:space="preserve">Implementation Advisory Group (IAG) </w:t>
      </w:r>
      <w:r>
        <w:t>and specialised working groups</w:t>
      </w:r>
      <w:r>
        <w:rPr>
          <w:szCs w:val="20"/>
        </w:rPr>
        <w:t>. The specialised working groups were as follows:</w:t>
      </w:r>
    </w:p>
    <w:p w14:paraId="3AFC3489" w14:textId="77777777" w:rsidR="001C19F3" w:rsidRDefault="001C19F3" w:rsidP="001C19F3">
      <w:pPr>
        <w:pStyle w:val="ListParagraph"/>
        <w:numPr>
          <w:ilvl w:val="0"/>
          <w:numId w:val="30"/>
        </w:numPr>
      </w:pPr>
      <w:r>
        <w:lastRenderedPageBreak/>
        <w:t xml:space="preserve">Payment Mechanisms Working Group </w:t>
      </w:r>
    </w:p>
    <w:p w14:paraId="787845AE" w14:textId="77777777" w:rsidR="001C19F3" w:rsidRDefault="001C19F3" w:rsidP="001C19F3">
      <w:pPr>
        <w:pStyle w:val="ListParagraph"/>
        <w:numPr>
          <w:ilvl w:val="0"/>
          <w:numId w:val="30"/>
        </w:numPr>
      </w:pPr>
      <w:r>
        <w:t xml:space="preserve">Patient Identification and Risk Stratification Working Group </w:t>
      </w:r>
    </w:p>
    <w:p w14:paraId="39162337" w14:textId="77777777" w:rsidR="001C19F3" w:rsidRDefault="001C19F3" w:rsidP="001C19F3">
      <w:pPr>
        <w:pStyle w:val="ListParagraph"/>
        <w:numPr>
          <w:ilvl w:val="0"/>
          <w:numId w:val="30"/>
        </w:numPr>
      </w:pPr>
      <w:r>
        <w:t xml:space="preserve">Guidelines, Education and Training Working Group </w:t>
      </w:r>
    </w:p>
    <w:p w14:paraId="2151CA53" w14:textId="77777777" w:rsidR="001C19F3" w:rsidRDefault="001C19F3" w:rsidP="001C19F3">
      <w:pPr>
        <w:pStyle w:val="ListParagraph"/>
        <w:numPr>
          <w:ilvl w:val="0"/>
          <w:numId w:val="30"/>
        </w:numPr>
      </w:pPr>
      <w:r>
        <w:t>Evaluation Working Group (EWG)</w:t>
      </w:r>
    </w:p>
    <w:p w14:paraId="59CBA7B8" w14:textId="77777777" w:rsidR="001C19F3" w:rsidRDefault="001C19F3" w:rsidP="001C19F3">
      <w:pPr>
        <w:pStyle w:val="ListParagraph"/>
        <w:numPr>
          <w:ilvl w:val="0"/>
          <w:numId w:val="30"/>
        </w:numPr>
      </w:pPr>
      <w:r>
        <w:t>Clinical Reference Group.</w:t>
      </w:r>
    </w:p>
    <w:p w14:paraId="74EE2850" w14:textId="77777777" w:rsidR="001C19F3" w:rsidRDefault="001C19F3" w:rsidP="001C19F3">
      <w:r>
        <w:t>These groups were initially established in 2016 and contributed to the development, design, modification and monitoring of the HCH program. Some have a continued role throughout the trial.</w:t>
      </w:r>
    </w:p>
    <w:p w14:paraId="6F8D8988" w14:textId="77777777" w:rsidR="001C19F3" w:rsidRDefault="001C19F3" w:rsidP="001C19F3">
      <w:r>
        <w:t xml:space="preserve">PHNs played an important role in implementation. The Department initially engaged with PHNs through existing advisory structures. </w:t>
      </w:r>
      <w:r w:rsidRPr="00885B71">
        <w:t>Once the program was established, the Department met regularly</w:t>
      </w:r>
      <w:r>
        <w:t xml:space="preserve"> (</w:t>
      </w:r>
      <w:r w:rsidRPr="00885B71">
        <w:t>initially monthly then quarterly</w:t>
      </w:r>
      <w:r>
        <w:t xml:space="preserve">) </w:t>
      </w:r>
      <w:r w:rsidRPr="00885B71">
        <w:t xml:space="preserve">with the CEOs </w:t>
      </w:r>
      <w:r>
        <w:t>and/</w:t>
      </w:r>
      <w:r w:rsidRPr="00885B71">
        <w:t>or their representatives</w:t>
      </w:r>
      <w:r>
        <w:t xml:space="preserve"> from the 10 PHNs</w:t>
      </w:r>
      <w:r w:rsidRPr="00885B71">
        <w:t xml:space="preserve">. </w:t>
      </w:r>
      <w:r>
        <w:t xml:space="preserve">The Department </w:t>
      </w:r>
      <w:r w:rsidRPr="00885B71">
        <w:t>also regular</w:t>
      </w:r>
      <w:r>
        <w:t>ly</w:t>
      </w:r>
      <w:r w:rsidRPr="00885B71">
        <w:t xml:space="preserve"> corresponde</w:t>
      </w:r>
      <w:r>
        <w:t>d</w:t>
      </w:r>
      <w:r w:rsidRPr="00885B71">
        <w:t xml:space="preserve"> </w:t>
      </w:r>
      <w:r>
        <w:t>with</w:t>
      </w:r>
      <w:r w:rsidRPr="00885B71">
        <w:t xml:space="preserve"> the PHN CEOs</w:t>
      </w:r>
      <w:r>
        <w:t xml:space="preserve"> (</w:t>
      </w:r>
      <w:r w:rsidRPr="00885B71">
        <w:t>initially weekly and then fortnightly</w:t>
      </w:r>
      <w:r>
        <w:t xml:space="preserve">) </w:t>
      </w:r>
      <w:r w:rsidRPr="00885B71">
        <w:t>to update them on developments and to highlight issues that practice facilitators should follow-up with HCHs</w:t>
      </w:r>
      <w:r>
        <w:t>.</w:t>
      </w:r>
    </w:p>
    <w:p w14:paraId="23E22C01" w14:textId="77777777" w:rsidR="001C19F3" w:rsidRDefault="001C19F3" w:rsidP="001C19F3">
      <w:r>
        <w:t xml:space="preserve">In the 10 PHNs in which HCH operates, regional or state based governance groups were established, which </w:t>
      </w:r>
      <w:r w:rsidRPr="0082537B">
        <w:t>include representati</w:t>
      </w:r>
      <w:r>
        <w:t xml:space="preserve">ves </w:t>
      </w:r>
      <w:r w:rsidRPr="0082537B">
        <w:t xml:space="preserve">from the </w:t>
      </w:r>
      <w:r>
        <w:t xml:space="preserve">PHN, local GPs/practices, </w:t>
      </w:r>
      <w:r w:rsidRPr="0082537B">
        <w:t>state/ territory health authorit</w:t>
      </w:r>
      <w:r>
        <w:t>ies</w:t>
      </w:r>
      <w:r w:rsidRPr="0082537B">
        <w:t xml:space="preserve">, the Commonwealth Department of Health, Local Hospital Networks and peak </w:t>
      </w:r>
      <w:r>
        <w:t xml:space="preserve">organisations representing ACCHS, consumers and </w:t>
      </w:r>
      <w:r w:rsidRPr="0082537B">
        <w:t>the Pharmacy Guild.</w:t>
      </w:r>
    </w:p>
    <w:p w14:paraId="36BEF71C" w14:textId="77777777" w:rsidR="001C19F3" w:rsidRDefault="001C19F3" w:rsidP="001C19F3">
      <w:pPr>
        <w:pStyle w:val="Heading3"/>
      </w:pPr>
      <w:r>
        <w:t>Program infrastructure</w:t>
      </w:r>
    </w:p>
    <w:p w14:paraId="571AB15B" w14:textId="77777777" w:rsidR="001C19F3" w:rsidRPr="00BB4EBC" w:rsidRDefault="001C19F3" w:rsidP="001C19F3">
      <w:pPr>
        <w:rPr>
          <w:szCs w:val="20"/>
        </w:rPr>
      </w:pPr>
      <w:r>
        <w:rPr>
          <w:szCs w:val="20"/>
        </w:rPr>
        <w:t xml:space="preserve">The Department developed or commissioned </w:t>
      </w:r>
      <w:r w:rsidRPr="00BB4EBC">
        <w:rPr>
          <w:szCs w:val="20"/>
        </w:rPr>
        <w:t>infrastructure</w:t>
      </w:r>
      <w:r>
        <w:rPr>
          <w:szCs w:val="20"/>
        </w:rPr>
        <w:t xml:space="preserve"> and support for HCH program,</w:t>
      </w:r>
      <w:r w:rsidRPr="00BB4EBC">
        <w:rPr>
          <w:szCs w:val="20"/>
        </w:rPr>
        <w:t xml:space="preserve"> including:</w:t>
      </w:r>
    </w:p>
    <w:p w14:paraId="3612D523" w14:textId="77777777" w:rsidR="001C19F3" w:rsidRPr="00A84511" w:rsidRDefault="001C19F3" w:rsidP="001C19F3">
      <w:pPr>
        <w:pStyle w:val="ListParagraph"/>
        <w:numPr>
          <w:ilvl w:val="0"/>
          <w:numId w:val="29"/>
        </w:numPr>
        <w:spacing w:after="0"/>
        <w:ind w:left="714" w:hanging="357"/>
        <w:rPr>
          <w:szCs w:val="20"/>
        </w:rPr>
      </w:pPr>
      <w:bookmarkStart w:id="96" w:name="_Hlk527565627"/>
      <w:r>
        <w:t xml:space="preserve">HCH </w:t>
      </w:r>
      <w:r w:rsidRPr="00324DA9">
        <w:t>Grant Guidelines (Australian Government Department of Health, 2016d).</w:t>
      </w:r>
    </w:p>
    <w:p w14:paraId="0B877AD5" w14:textId="77777777" w:rsidR="001C19F3" w:rsidRDefault="001C19F3" w:rsidP="001C19F3">
      <w:pPr>
        <w:pStyle w:val="ListParagraph"/>
        <w:numPr>
          <w:ilvl w:val="0"/>
          <w:numId w:val="29"/>
        </w:numPr>
        <w:spacing w:after="0"/>
        <w:ind w:left="714" w:hanging="357"/>
        <w:rPr>
          <w:szCs w:val="20"/>
        </w:rPr>
      </w:pPr>
      <w:r w:rsidRPr="00BB4EBC">
        <w:rPr>
          <w:szCs w:val="20"/>
        </w:rPr>
        <w:t>Operational g</w:t>
      </w:r>
      <w:r>
        <w:rPr>
          <w:szCs w:val="20"/>
        </w:rPr>
        <w:t>uidelines for HCHs (</w:t>
      </w:r>
      <w:r>
        <w:rPr>
          <w:szCs w:val="20"/>
        </w:rPr>
        <w:fldChar w:fldCharType="begin"/>
      </w:r>
      <w:r>
        <w:rPr>
          <w:szCs w:val="20"/>
        </w:rPr>
        <w:instrText xml:space="preserve"> ADDIN EN.CITE &lt;EndNote&gt;&lt;Cite&gt;&lt;Author&gt;Australian Government Department of Health&lt;/Author&gt;&lt;Year&gt;2019&lt;/Year&gt;&lt;RecNum&gt;1126&lt;/RecNum&gt;&lt;DisplayText&gt;Australian Government Department of Health, 2019b&lt;/DisplayText&gt;&lt;record&gt;&lt;rec-number&gt;1126&lt;/rec-number&gt;&lt;foreign-keys&gt;&lt;key app="EN" db-id="zdz9xax04zr9v0evw2nvrpw9xe9ttzvs5zsv" timestamp="1570431811"&gt;1126&lt;/key&gt;&lt;/foreign-keys&gt;&lt;ref-type name="Generic"&gt;13&lt;/ref-type&gt;&lt;contributors&gt;&lt;authors&gt;&lt;author&gt;Australian Government Department of Health,,&lt;/author&gt;&lt;/authors&gt;&lt;/contributors&gt;&lt;titles&gt;&lt;title&gt;Health Care Homes Handbook for general practices and Aboriginal Community Controlled Health Services Version 1.7 February 2019&lt;/title&gt;&lt;/titles&gt;&lt;dates&gt;&lt;year&gt;2019&lt;/year&gt;&lt;/dates&gt;&lt;urls&gt;&lt;/urls&gt;&lt;/record&gt;&lt;/Cite&gt;&lt;/EndNote&gt;</w:instrText>
      </w:r>
      <w:r>
        <w:rPr>
          <w:szCs w:val="20"/>
        </w:rPr>
        <w:fldChar w:fldCharType="separate"/>
      </w:r>
      <w:r>
        <w:rPr>
          <w:noProof/>
          <w:szCs w:val="20"/>
        </w:rPr>
        <w:t>Australian Government Department of Health, 2019b</w:t>
      </w:r>
      <w:r>
        <w:rPr>
          <w:szCs w:val="20"/>
        </w:rPr>
        <w:fldChar w:fldCharType="end"/>
      </w:r>
      <w:r>
        <w:t>).</w:t>
      </w:r>
    </w:p>
    <w:p w14:paraId="677FEC0F" w14:textId="77777777" w:rsidR="001C19F3" w:rsidRDefault="001C19F3" w:rsidP="001C19F3">
      <w:pPr>
        <w:pStyle w:val="ListParagraph"/>
        <w:numPr>
          <w:ilvl w:val="0"/>
          <w:numId w:val="29"/>
        </w:numPr>
        <w:spacing w:after="0"/>
        <w:ind w:left="714" w:hanging="357"/>
        <w:rPr>
          <w:szCs w:val="20"/>
        </w:rPr>
      </w:pPr>
      <w:r>
        <w:rPr>
          <w:szCs w:val="20"/>
        </w:rPr>
        <w:t>Patient information and handbook (</w:t>
      </w:r>
      <w:r>
        <w:rPr>
          <w:szCs w:val="20"/>
        </w:rPr>
        <w:fldChar w:fldCharType="begin"/>
      </w:r>
      <w:r>
        <w:rPr>
          <w:szCs w:val="20"/>
        </w:rPr>
        <w:instrText xml:space="preserve"> ADDIN EN.CITE &lt;EndNote&gt;&lt;Cite&gt;&lt;Author&gt;Australian Government Department of Health&lt;/Author&gt;&lt;Year&gt;2017&lt;/Year&gt;&lt;RecNum&gt;1052&lt;/RecNum&gt;&lt;DisplayText&gt;Australian Government Department of Health, 2017c&lt;/DisplayText&gt;&lt;record&gt;&lt;rec-number&gt;1052&lt;/rec-number&gt;&lt;foreign-keys&gt;&lt;key app="EN" db-id="zdz9xax04zr9v0evw2nvrpw9xe9ttzvs5zsv" timestamp="1536562091"&gt;1052&lt;/key&gt;&lt;/foreign-keys&gt;&lt;ref-type name="Electronic Book"&gt;44&lt;/ref-type&gt;&lt;contributors&gt;&lt;authors&gt;&lt;author&gt;Australian Government Department of Health,,&lt;/author&gt;&lt;/authors&gt;&lt;/contributors&gt;&lt;titles&gt;&lt;title&gt;Patient Handbook&lt;/title&gt;&lt;/titles&gt;&lt;dates&gt;&lt;year&gt;2017&lt;/year&gt;&lt;/dates&gt;&lt;urls&gt;&lt;related-urls&gt;&lt;url&gt;http://www.health.gov.au/internet/main/publishing.nsf/Content/health-care-homes-cp/$File/Revised%20HealthCareHomes%20-%20Patient%20booklet_FA_web.pdf&lt;/url&gt;&lt;/related-urls&gt;&lt;/urls&gt;&lt;/record&gt;&lt;/Cite&gt;&lt;/EndNote&gt;</w:instrText>
      </w:r>
      <w:r>
        <w:rPr>
          <w:szCs w:val="20"/>
        </w:rPr>
        <w:fldChar w:fldCharType="separate"/>
      </w:r>
      <w:r>
        <w:rPr>
          <w:noProof/>
          <w:szCs w:val="20"/>
        </w:rPr>
        <w:t>Australian Government Department of Health, 2017c</w:t>
      </w:r>
      <w:r>
        <w:rPr>
          <w:szCs w:val="20"/>
        </w:rPr>
        <w:fldChar w:fldCharType="end"/>
      </w:r>
      <w:r>
        <w:rPr>
          <w:szCs w:val="20"/>
        </w:rPr>
        <w:t>).</w:t>
      </w:r>
    </w:p>
    <w:p w14:paraId="318FDB82" w14:textId="77777777" w:rsidR="001C19F3" w:rsidRPr="00885B71" w:rsidRDefault="001C19F3" w:rsidP="001C19F3">
      <w:pPr>
        <w:pStyle w:val="ListParagraph"/>
        <w:numPr>
          <w:ilvl w:val="0"/>
          <w:numId w:val="29"/>
        </w:numPr>
        <w:rPr>
          <w:szCs w:val="20"/>
        </w:rPr>
      </w:pPr>
      <w:r>
        <w:t>R</w:t>
      </w:r>
      <w:r w:rsidRPr="00AF392F">
        <w:t>esources</w:t>
      </w:r>
      <w:r>
        <w:t xml:space="preserve"> targeted for health professionals, HCH practices, and consumers which are</w:t>
      </w:r>
      <w:r w:rsidRPr="00AF392F">
        <w:t xml:space="preserve"> available through </w:t>
      </w:r>
      <w:r>
        <w:t xml:space="preserve">the Department’s HCH </w:t>
      </w:r>
      <w:r w:rsidRPr="00AF392F">
        <w:t>website</w:t>
      </w:r>
      <w:r>
        <w:t xml:space="preserve"> (</w:t>
      </w:r>
      <w:r>
        <w:fldChar w:fldCharType="begin"/>
      </w:r>
      <w:r>
        <w:instrText xml:space="preserve"> ADDIN EN.CITE &lt;EndNote&gt;&lt;Cite&gt;&lt;Author&gt;Australian Government Department of Health&lt;/Author&gt;&lt;Year&gt;2019&lt;/Year&gt;&lt;RecNum&gt;1125&lt;/RecNum&gt;&lt;DisplayText&gt;Australian Government Department of Health, 2019a&lt;/DisplayText&gt;&lt;record&gt;&lt;rec-number&gt;1125&lt;/rec-number&gt;&lt;foreign-keys&gt;&lt;key app="EN" db-id="zdz9xax04zr9v0evw2nvrpw9xe9ttzvs5zsv" timestamp="1570431690"&gt;1125&lt;/key&gt;&lt;/foreign-keys&gt;&lt;ref-type name="Web Page"&gt;12&lt;/ref-type&gt;&lt;contributors&gt;&lt;authors&gt;&lt;author&gt;Australian Government Department of Health,,&lt;/author&gt;&lt;/authors&gt;&lt;/contributors&gt;&lt;titles&gt;&lt;title&gt;Health Care Homes—Health professionals&lt;/title&gt;&lt;/titles&gt;&lt;number&gt;7/10/2019&lt;/number&gt;&lt;dates&gt;&lt;year&gt;2019&lt;/year&gt;&lt;/dates&gt;&lt;urls&gt;&lt;related-urls&gt;&lt;url&gt;https://www1.health.gov.au/internet/main/publishing.nsf/Content/health-care-homes-professional&lt;/url&gt;&lt;/related-urls&gt;&lt;/urls&gt;&lt;/record&gt;&lt;/Cite&gt;&lt;/EndNote&gt;</w:instrText>
      </w:r>
      <w:r>
        <w:fldChar w:fldCharType="separate"/>
      </w:r>
      <w:r>
        <w:rPr>
          <w:noProof/>
        </w:rPr>
        <w:t>Australian Government Department of Health, 2019a</w:t>
      </w:r>
      <w:r>
        <w:fldChar w:fldCharType="end"/>
      </w:r>
      <w:r>
        <w:t>).</w:t>
      </w:r>
    </w:p>
    <w:p w14:paraId="76E4DED1" w14:textId="77777777" w:rsidR="001C19F3" w:rsidRDefault="001C19F3" w:rsidP="001C19F3">
      <w:pPr>
        <w:pStyle w:val="ListParagraph"/>
        <w:numPr>
          <w:ilvl w:val="0"/>
          <w:numId w:val="29"/>
        </w:numPr>
        <w:spacing w:after="0"/>
        <w:ind w:left="714" w:hanging="357"/>
        <w:rPr>
          <w:szCs w:val="20"/>
        </w:rPr>
      </w:pPr>
      <w:r>
        <w:t xml:space="preserve">Enhancements the Department of Human Service’s </w:t>
      </w:r>
      <w:r w:rsidRPr="00D75502">
        <w:t>Health Professionals Online Services</w:t>
      </w:r>
      <w:r>
        <w:t xml:space="preserve"> (</w:t>
      </w:r>
      <w:r w:rsidRPr="00D657FD">
        <w:rPr>
          <w:szCs w:val="20"/>
        </w:rPr>
        <w:t>HPOS)</w:t>
      </w:r>
      <w:r>
        <w:rPr>
          <w:szCs w:val="20"/>
        </w:rPr>
        <w:t xml:space="preserve"> system to allow patients to be enrolled in the program.</w:t>
      </w:r>
    </w:p>
    <w:p w14:paraId="4544FAE7" w14:textId="77777777" w:rsidR="001C19F3" w:rsidRDefault="001C19F3" w:rsidP="001C19F3">
      <w:pPr>
        <w:pStyle w:val="ListParagraph"/>
        <w:numPr>
          <w:ilvl w:val="0"/>
          <w:numId w:val="29"/>
        </w:numPr>
        <w:spacing w:after="0"/>
        <w:ind w:left="714" w:hanging="357"/>
        <w:rPr>
          <w:szCs w:val="20"/>
        </w:rPr>
      </w:pPr>
      <w:r>
        <w:rPr>
          <w:szCs w:val="20"/>
        </w:rPr>
        <w:t>Enhancements to Medicare payment mechanisms to pay the bundled payment.</w:t>
      </w:r>
    </w:p>
    <w:p w14:paraId="025A36E1" w14:textId="77777777" w:rsidR="001C19F3" w:rsidRPr="00BB4EBC" w:rsidRDefault="001C19F3" w:rsidP="001C19F3">
      <w:pPr>
        <w:pStyle w:val="ListParagraph"/>
        <w:numPr>
          <w:ilvl w:val="0"/>
          <w:numId w:val="29"/>
        </w:numPr>
        <w:spacing w:after="0"/>
        <w:ind w:left="714" w:hanging="357"/>
        <w:rPr>
          <w:szCs w:val="20"/>
        </w:rPr>
      </w:pPr>
      <w:r>
        <w:rPr>
          <w:szCs w:val="20"/>
        </w:rPr>
        <w:t xml:space="preserve">A RST </w:t>
      </w:r>
      <w:r w:rsidRPr="00BB4EBC">
        <w:rPr>
          <w:szCs w:val="20"/>
        </w:rPr>
        <w:t xml:space="preserve">to </w:t>
      </w:r>
      <w:r>
        <w:rPr>
          <w:szCs w:val="20"/>
        </w:rPr>
        <w:t xml:space="preserve">facilitate </w:t>
      </w:r>
      <w:r w:rsidRPr="00BB4EBC">
        <w:rPr>
          <w:szCs w:val="20"/>
        </w:rPr>
        <w:t>assess</w:t>
      </w:r>
      <w:r>
        <w:rPr>
          <w:szCs w:val="20"/>
        </w:rPr>
        <w:t xml:space="preserve">ment of </w:t>
      </w:r>
      <w:r w:rsidRPr="00BB4EBC">
        <w:rPr>
          <w:szCs w:val="20"/>
        </w:rPr>
        <w:t xml:space="preserve">patient eligibility for </w:t>
      </w:r>
      <w:r>
        <w:rPr>
          <w:szCs w:val="20"/>
        </w:rPr>
        <w:t>HCH</w:t>
      </w:r>
      <w:r w:rsidRPr="00BB4EBC">
        <w:rPr>
          <w:szCs w:val="20"/>
        </w:rPr>
        <w:t xml:space="preserve"> and to allocate </w:t>
      </w:r>
      <w:r>
        <w:rPr>
          <w:szCs w:val="20"/>
        </w:rPr>
        <w:t>patient to tiers the patient’s</w:t>
      </w:r>
      <w:r w:rsidRPr="00BB4EBC">
        <w:rPr>
          <w:szCs w:val="20"/>
        </w:rPr>
        <w:t xml:space="preserve"> disease </w:t>
      </w:r>
      <w:r>
        <w:rPr>
          <w:szCs w:val="20"/>
        </w:rPr>
        <w:t>complexity and associated needs</w:t>
      </w:r>
    </w:p>
    <w:p w14:paraId="59F809BD" w14:textId="77777777" w:rsidR="001C19F3" w:rsidRDefault="001C19F3" w:rsidP="001C19F3">
      <w:pPr>
        <w:pStyle w:val="ListParagraph"/>
        <w:numPr>
          <w:ilvl w:val="0"/>
          <w:numId w:val="29"/>
        </w:numPr>
        <w:spacing w:after="0"/>
        <w:ind w:left="714" w:hanging="357"/>
        <w:rPr>
          <w:szCs w:val="20"/>
        </w:rPr>
      </w:pPr>
      <w:bookmarkStart w:id="97" w:name="_Hlk527619437"/>
      <w:bookmarkEnd w:id="96"/>
      <w:r>
        <w:rPr>
          <w:szCs w:val="20"/>
        </w:rPr>
        <w:t xml:space="preserve">Online </w:t>
      </w:r>
      <w:r w:rsidRPr="00BB4EBC">
        <w:rPr>
          <w:szCs w:val="20"/>
        </w:rPr>
        <w:t>training</w:t>
      </w:r>
      <w:r>
        <w:rPr>
          <w:szCs w:val="20"/>
        </w:rPr>
        <w:t xml:space="preserve"> materials targeted for staff within HCHs (see Appendix 1).</w:t>
      </w:r>
    </w:p>
    <w:p w14:paraId="1B9A73C0" w14:textId="77777777" w:rsidR="001C19F3" w:rsidRDefault="001C19F3" w:rsidP="001C19F3">
      <w:pPr>
        <w:pStyle w:val="ListParagraph"/>
        <w:numPr>
          <w:ilvl w:val="0"/>
          <w:numId w:val="29"/>
        </w:numPr>
        <w:spacing w:after="0"/>
        <w:ind w:left="714" w:hanging="357"/>
        <w:rPr>
          <w:szCs w:val="20"/>
        </w:rPr>
      </w:pPr>
      <w:r>
        <w:rPr>
          <w:szCs w:val="20"/>
        </w:rPr>
        <w:t>Practice facilitation and support provided through PHNs. PHNs have provided direct support to practices and through training workshops and communities of practice.</w:t>
      </w:r>
    </w:p>
    <w:p w14:paraId="0F57604C" w14:textId="77777777" w:rsidR="001C19F3" w:rsidRPr="00BB4EBC" w:rsidRDefault="001C19F3" w:rsidP="001C19F3">
      <w:pPr>
        <w:pStyle w:val="ListParagraph"/>
        <w:numPr>
          <w:ilvl w:val="0"/>
          <w:numId w:val="29"/>
        </w:numPr>
        <w:spacing w:after="0"/>
        <w:ind w:left="714" w:hanging="357"/>
        <w:rPr>
          <w:szCs w:val="20"/>
        </w:rPr>
      </w:pPr>
      <w:r>
        <w:rPr>
          <w:szCs w:val="20"/>
        </w:rPr>
        <w:t>Training workshops and ongoing support targeted for PHN based practice facilitators</w:t>
      </w:r>
    </w:p>
    <w:bookmarkEnd w:id="97"/>
    <w:p w14:paraId="26160B65" w14:textId="77777777" w:rsidR="001C19F3" w:rsidRDefault="001C19F3" w:rsidP="001C19F3">
      <w:pPr>
        <w:pStyle w:val="ListParagraph"/>
        <w:numPr>
          <w:ilvl w:val="0"/>
          <w:numId w:val="29"/>
        </w:numPr>
        <w:spacing w:after="0"/>
        <w:ind w:left="714" w:hanging="357"/>
        <w:rPr>
          <w:szCs w:val="20"/>
        </w:rPr>
      </w:pPr>
      <w:r>
        <w:rPr>
          <w:szCs w:val="20"/>
        </w:rPr>
        <w:t>Systems for monitoring program implementation, including progress on enrolment and payments related to the program</w:t>
      </w:r>
      <w:r w:rsidRPr="00BB4EBC">
        <w:rPr>
          <w:szCs w:val="20"/>
        </w:rPr>
        <w:t>.</w:t>
      </w:r>
    </w:p>
    <w:p w14:paraId="36BFD59E" w14:textId="77777777" w:rsidR="001C19F3" w:rsidRDefault="001C19F3" w:rsidP="001C19F3">
      <w:pPr>
        <w:pStyle w:val="ListParagraph"/>
        <w:numPr>
          <w:ilvl w:val="0"/>
          <w:numId w:val="29"/>
        </w:numPr>
        <w:spacing w:after="0"/>
        <w:ind w:left="714" w:hanging="357"/>
        <w:rPr>
          <w:szCs w:val="20"/>
        </w:rPr>
      </w:pPr>
      <w:r>
        <w:rPr>
          <w:szCs w:val="20"/>
        </w:rPr>
        <w:t>An audit and compliance system (see Appendix 1).</w:t>
      </w:r>
    </w:p>
    <w:p w14:paraId="7872E384" w14:textId="77777777" w:rsidR="001C19F3" w:rsidRDefault="001C19F3" w:rsidP="001C19F3">
      <w:pPr>
        <w:pStyle w:val="ListParagraph"/>
        <w:numPr>
          <w:ilvl w:val="0"/>
          <w:numId w:val="29"/>
        </w:numPr>
        <w:ind w:left="714" w:hanging="357"/>
        <w:contextualSpacing w:val="0"/>
        <w:rPr>
          <w:szCs w:val="20"/>
        </w:rPr>
      </w:pPr>
      <w:r>
        <w:rPr>
          <w:szCs w:val="20"/>
        </w:rPr>
        <w:t xml:space="preserve">An </w:t>
      </w:r>
      <w:r w:rsidRPr="00BB4EBC">
        <w:rPr>
          <w:szCs w:val="20"/>
        </w:rPr>
        <w:t xml:space="preserve">evaluation of the </w:t>
      </w:r>
      <w:r>
        <w:rPr>
          <w:szCs w:val="20"/>
        </w:rPr>
        <w:t>program</w:t>
      </w:r>
      <w:r w:rsidRPr="00BB4EBC">
        <w:rPr>
          <w:szCs w:val="20"/>
        </w:rPr>
        <w:t>.</w:t>
      </w:r>
    </w:p>
    <w:p w14:paraId="6A8F25FA" w14:textId="77777777" w:rsidR="001C19F3" w:rsidRDefault="001C19F3" w:rsidP="001C19F3">
      <w:pPr>
        <w:pStyle w:val="Heading3"/>
      </w:pPr>
      <w:bookmarkStart w:id="98" w:name="_Ref21371889"/>
      <w:r w:rsidRPr="00D67F70">
        <w:lastRenderedPageBreak/>
        <w:t>Bundled payment</w:t>
      </w:r>
      <w:bookmarkEnd w:id="98"/>
    </w:p>
    <w:p w14:paraId="10B0DEBC" w14:textId="77777777" w:rsidR="001C19F3" w:rsidRDefault="001C19F3" w:rsidP="001C19F3">
      <w:r>
        <w:t xml:space="preserve">HCHs receive a bundled payment for services related to a patient’s chronic conditions. An annual payment rate is set but paid monthly, </w:t>
      </w:r>
      <w:r w:rsidRPr="00232ECD">
        <w:t>retrospective</w:t>
      </w:r>
      <w:r>
        <w:t xml:space="preserve">ly. It begins when the patient is enrolled in HCH, which is marked by the patient signing the HCH </w:t>
      </w:r>
      <w:r w:rsidRPr="00232ECD">
        <w:t>enrolment/consent form</w:t>
      </w:r>
      <w:r>
        <w:t xml:space="preserve"> and being registered in the HPOS system within seven days of signing the form. Enrolment ends when a patient withdraws from the program due to death or other reasons. </w:t>
      </w:r>
    </w:p>
    <w:p w14:paraId="6C5D8FE3" w14:textId="77777777" w:rsidR="001C19F3" w:rsidRDefault="001C19F3" w:rsidP="001C19F3">
      <w:r>
        <w:t>In developing the payment rates, the Department considered spending for about 130 items listed in the Medical Benefits Schedule (MBS) relating to chronic disease. It estimated that the average total MBS fees claimed by general practices for patients accessing the chronic disease items was $862 (</w:t>
      </w:r>
      <w:r>
        <w:fldChar w:fldCharType="begin"/>
      </w:r>
      <w:r>
        <w:instrText xml:space="preserve"> ADDIN EN.CITE &lt;EndNote&gt;&lt;Cite&gt;&lt;Author&gt;Australian Government Department of Health&lt;/Author&gt;&lt;Year&gt;2016&lt;/Year&gt;&lt;RecNum&gt;519&lt;/RecNum&gt;&lt;DisplayText&gt;Australian Government Department of Health, 2016b&lt;/DisplayText&gt;&lt;record&gt;&lt;rec-number&gt;519&lt;/rec-number&gt;&lt;foreign-keys&gt;&lt;key app="EN" db-id="zdz9xax04zr9v0evw2nvrpw9xe9ttzvs5zsv" timestamp="1485909718"&gt;519&lt;/key&gt;&lt;/foreign-keys&gt;&lt;ref-type name="Electronic Book"&gt;44&lt;/ref-type&gt;&lt;contributors&gt;&lt;authors&gt;&lt;author&gt;Australian Government Department of Health,,&lt;/author&gt;&lt;/authors&gt;&lt;/contributors&gt;&lt;titles&gt;&lt;title&gt;Factsheet: Stage one modelling&lt;/title&gt;&lt;/titles&gt;&lt;dates&gt;&lt;year&gt;2016&lt;/year&gt;&lt;/dates&gt;&lt;urls&gt;&lt;related-urls&gt;&lt;url&gt;http://www.health.gov.au/internet/main/publishing.nsf/Content/health-care-homes&lt;/url&gt;&lt;/related-urls&gt;&lt;/urls&gt;&lt;custom2&gt;01/02/2017&lt;/custom2&gt;&lt;/record&gt;&lt;/Cite&gt;&lt;/EndNote&gt;</w:instrText>
      </w:r>
      <w:r>
        <w:fldChar w:fldCharType="separate"/>
      </w:r>
      <w:r>
        <w:rPr>
          <w:noProof/>
        </w:rPr>
        <w:t>Australian Government Department of Health, 2016b</w:t>
      </w:r>
      <w:r>
        <w:fldChar w:fldCharType="end"/>
      </w:r>
      <w:r>
        <w:t>). Based on this information, payments rates for three tiers were set as shown in the Table below.</w:t>
      </w:r>
    </w:p>
    <w:p w14:paraId="5C65DD24" w14:textId="77777777" w:rsidR="001C19F3" w:rsidRDefault="001C19F3" w:rsidP="001C19F3">
      <w:pPr>
        <w:spacing w:before="200" w:after="0"/>
        <w:jc w:val="center"/>
        <w:rPr>
          <w:b/>
        </w:rPr>
      </w:pPr>
      <w:bookmarkStart w:id="99" w:name="_Ref21371774"/>
      <w:r w:rsidRPr="000F7578">
        <w:rPr>
          <w:b/>
        </w:rPr>
        <w:t xml:space="preserve">Table </w:t>
      </w:r>
      <w:r w:rsidRPr="000F7578">
        <w:rPr>
          <w:b/>
        </w:rPr>
        <w:fldChar w:fldCharType="begin"/>
      </w:r>
      <w:r w:rsidRPr="000F7578">
        <w:rPr>
          <w:b/>
        </w:rPr>
        <w:instrText xml:space="preserve"> SEQ Table \* ARABIC </w:instrText>
      </w:r>
      <w:r w:rsidRPr="000F7578">
        <w:rPr>
          <w:b/>
        </w:rPr>
        <w:fldChar w:fldCharType="separate"/>
      </w:r>
      <w:r>
        <w:rPr>
          <w:b/>
          <w:noProof/>
        </w:rPr>
        <w:t>2</w:t>
      </w:r>
      <w:r w:rsidRPr="000F7578">
        <w:rPr>
          <w:b/>
        </w:rPr>
        <w:fldChar w:fldCharType="end"/>
      </w:r>
      <w:bookmarkEnd w:id="99"/>
      <w:r w:rsidRPr="000F7578">
        <w:rPr>
          <w:b/>
        </w:rPr>
        <w:t xml:space="preserve"> –</w:t>
      </w:r>
      <w:r>
        <w:rPr>
          <w:b/>
        </w:rPr>
        <w:t xml:space="preserve"> </w:t>
      </w:r>
      <w:r w:rsidRPr="00670922">
        <w:rPr>
          <w:b/>
        </w:rPr>
        <w:t>HCH tier payments</w:t>
      </w:r>
    </w:p>
    <w:tbl>
      <w:tblPr>
        <w:tblW w:w="4441"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firstRow="1" w:lastRow="0" w:firstColumn="1" w:lastColumn="0" w:noHBand="0" w:noVBand="1"/>
      </w:tblPr>
      <w:tblGrid>
        <w:gridCol w:w="1845"/>
        <w:gridCol w:w="2596"/>
      </w:tblGrid>
      <w:tr w:rsidR="001C19F3" w:rsidRPr="008329E4" w14:paraId="52592C0D" w14:textId="77777777" w:rsidTr="00521305">
        <w:trPr>
          <w:jc w:val="center"/>
        </w:trPr>
        <w:tc>
          <w:tcPr>
            <w:tcW w:w="1845" w:type="dxa"/>
            <w:shd w:val="clear" w:color="auto" w:fill="003D79"/>
            <w:tcMar>
              <w:top w:w="45" w:type="dxa"/>
              <w:left w:w="60" w:type="dxa"/>
              <w:bottom w:w="45" w:type="dxa"/>
              <w:right w:w="60" w:type="dxa"/>
            </w:tcMar>
            <w:vAlign w:val="center"/>
            <w:hideMark/>
          </w:tcPr>
          <w:p w14:paraId="4AE19AA6" w14:textId="77777777" w:rsidR="001C19F3" w:rsidRPr="008329E4" w:rsidRDefault="001C19F3" w:rsidP="00521305">
            <w:pPr>
              <w:spacing w:after="0"/>
              <w:jc w:val="center"/>
              <w:rPr>
                <w:sz w:val="18"/>
                <w:szCs w:val="18"/>
              </w:rPr>
            </w:pPr>
            <w:r w:rsidRPr="008329E4">
              <w:rPr>
                <w:b/>
                <w:bCs/>
                <w:sz w:val="18"/>
                <w:szCs w:val="18"/>
                <w:lang w:val="en-GB"/>
              </w:rPr>
              <w:t xml:space="preserve">HCH </w:t>
            </w:r>
            <w:r>
              <w:rPr>
                <w:b/>
                <w:bCs/>
                <w:sz w:val="18"/>
                <w:szCs w:val="18"/>
                <w:lang w:val="en-GB"/>
              </w:rPr>
              <w:t>t</w:t>
            </w:r>
            <w:r w:rsidRPr="008329E4">
              <w:rPr>
                <w:b/>
                <w:bCs/>
                <w:sz w:val="18"/>
                <w:szCs w:val="18"/>
                <w:lang w:val="en-GB"/>
              </w:rPr>
              <w:t>ier</w:t>
            </w:r>
          </w:p>
        </w:tc>
        <w:tc>
          <w:tcPr>
            <w:tcW w:w="0" w:type="auto"/>
            <w:shd w:val="clear" w:color="auto" w:fill="003D79"/>
            <w:tcMar>
              <w:top w:w="45" w:type="dxa"/>
              <w:left w:w="60" w:type="dxa"/>
              <w:bottom w:w="45" w:type="dxa"/>
              <w:right w:w="60" w:type="dxa"/>
            </w:tcMar>
            <w:vAlign w:val="center"/>
            <w:hideMark/>
          </w:tcPr>
          <w:p w14:paraId="4BF6B3B6" w14:textId="77777777" w:rsidR="001C19F3" w:rsidRPr="00245C91" w:rsidRDefault="001C19F3" w:rsidP="00521305">
            <w:pPr>
              <w:spacing w:after="0"/>
              <w:jc w:val="center"/>
              <w:rPr>
                <w:b/>
                <w:sz w:val="18"/>
                <w:szCs w:val="18"/>
              </w:rPr>
            </w:pPr>
            <w:r w:rsidRPr="00245C91">
              <w:rPr>
                <w:b/>
                <w:sz w:val="18"/>
                <w:szCs w:val="18"/>
              </w:rPr>
              <w:t>Payment</w:t>
            </w:r>
          </w:p>
        </w:tc>
      </w:tr>
      <w:tr w:rsidR="001C19F3" w:rsidRPr="008329E4" w14:paraId="108EB42D" w14:textId="77777777" w:rsidTr="00521305">
        <w:trPr>
          <w:jc w:val="center"/>
        </w:trPr>
        <w:tc>
          <w:tcPr>
            <w:tcW w:w="1845" w:type="dxa"/>
            <w:shd w:val="clear" w:color="auto" w:fill="auto"/>
            <w:tcMar>
              <w:top w:w="45" w:type="dxa"/>
              <w:left w:w="60" w:type="dxa"/>
              <w:bottom w:w="45" w:type="dxa"/>
              <w:right w:w="60" w:type="dxa"/>
            </w:tcMar>
            <w:vAlign w:val="center"/>
          </w:tcPr>
          <w:p w14:paraId="41FBCDE2" w14:textId="77777777" w:rsidR="001C19F3" w:rsidRPr="008329E4" w:rsidRDefault="001C19F3" w:rsidP="00521305">
            <w:pPr>
              <w:spacing w:after="0"/>
              <w:jc w:val="center"/>
              <w:rPr>
                <w:sz w:val="18"/>
                <w:szCs w:val="18"/>
              </w:rPr>
            </w:pPr>
            <w:r w:rsidRPr="008329E4">
              <w:rPr>
                <w:sz w:val="18"/>
                <w:szCs w:val="18"/>
                <w:lang w:val="en-GB"/>
              </w:rPr>
              <w:t>Tier 1</w:t>
            </w:r>
          </w:p>
        </w:tc>
        <w:tc>
          <w:tcPr>
            <w:tcW w:w="0" w:type="auto"/>
            <w:shd w:val="clear" w:color="auto" w:fill="auto"/>
            <w:tcMar>
              <w:top w:w="45" w:type="dxa"/>
              <w:left w:w="60" w:type="dxa"/>
              <w:bottom w:w="45" w:type="dxa"/>
              <w:right w:w="60" w:type="dxa"/>
            </w:tcMar>
            <w:vAlign w:val="center"/>
          </w:tcPr>
          <w:p w14:paraId="741624CD" w14:textId="77777777" w:rsidR="001C19F3" w:rsidRPr="00A84511" w:rsidRDefault="001C19F3" w:rsidP="00521305">
            <w:pPr>
              <w:spacing w:after="0"/>
              <w:jc w:val="center"/>
              <w:rPr>
                <w:sz w:val="18"/>
                <w:szCs w:val="18"/>
              </w:rPr>
            </w:pPr>
            <w:r w:rsidRPr="00A84511">
              <w:rPr>
                <w:sz w:val="18"/>
                <w:szCs w:val="18"/>
              </w:rPr>
              <w:t>$591 per year</w:t>
            </w:r>
          </w:p>
        </w:tc>
      </w:tr>
      <w:tr w:rsidR="001C19F3" w:rsidRPr="008329E4" w14:paraId="50FAF0AC" w14:textId="77777777" w:rsidTr="00521305">
        <w:trPr>
          <w:jc w:val="center"/>
        </w:trPr>
        <w:tc>
          <w:tcPr>
            <w:tcW w:w="1845" w:type="dxa"/>
            <w:shd w:val="clear" w:color="auto" w:fill="auto"/>
            <w:tcMar>
              <w:top w:w="45" w:type="dxa"/>
              <w:left w:w="60" w:type="dxa"/>
              <w:bottom w:w="45" w:type="dxa"/>
              <w:right w:w="60" w:type="dxa"/>
            </w:tcMar>
            <w:vAlign w:val="center"/>
          </w:tcPr>
          <w:p w14:paraId="4DA2E4CF" w14:textId="77777777" w:rsidR="001C19F3" w:rsidRPr="008329E4" w:rsidRDefault="001C19F3" w:rsidP="00521305">
            <w:pPr>
              <w:spacing w:after="0"/>
              <w:jc w:val="center"/>
              <w:rPr>
                <w:sz w:val="18"/>
                <w:szCs w:val="18"/>
              </w:rPr>
            </w:pPr>
            <w:r w:rsidRPr="008329E4">
              <w:rPr>
                <w:sz w:val="18"/>
                <w:szCs w:val="18"/>
                <w:lang w:val="en-GB"/>
              </w:rPr>
              <w:t>Tier 2</w:t>
            </w:r>
          </w:p>
        </w:tc>
        <w:tc>
          <w:tcPr>
            <w:tcW w:w="0" w:type="auto"/>
            <w:shd w:val="clear" w:color="auto" w:fill="auto"/>
            <w:tcMar>
              <w:top w:w="45" w:type="dxa"/>
              <w:left w:w="60" w:type="dxa"/>
              <w:bottom w:w="45" w:type="dxa"/>
              <w:right w:w="60" w:type="dxa"/>
            </w:tcMar>
            <w:vAlign w:val="center"/>
          </w:tcPr>
          <w:p w14:paraId="7D30B775" w14:textId="77777777" w:rsidR="001C19F3" w:rsidRPr="00A84511" w:rsidRDefault="001C19F3" w:rsidP="00521305">
            <w:pPr>
              <w:spacing w:after="0"/>
              <w:jc w:val="center"/>
              <w:rPr>
                <w:sz w:val="18"/>
                <w:szCs w:val="18"/>
              </w:rPr>
            </w:pPr>
            <w:r w:rsidRPr="00A84511">
              <w:rPr>
                <w:sz w:val="18"/>
                <w:szCs w:val="18"/>
              </w:rPr>
              <w:t>$1,267 per year</w:t>
            </w:r>
          </w:p>
        </w:tc>
      </w:tr>
      <w:tr w:rsidR="001C19F3" w:rsidRPr="008329E4" w14:paraId="38B78C86" w14:textId="77777777" w:rsidTr="00521305">
        <w:trPr>
          <w:jc w:val="center"/>
        </w:trPr>
        <w:tc>
          <w:tcPr>
            <w:tcW w:w="1845" w:type="dxa"/>
            <w:shd w:val="clear" w:color="auto" w:fill="auto"/>
            <w:tcMar>
              <w:top w:w="45" w:type="dxa"/>
              <w:left w:w="60" w:type="dxa"/>
              <w:bottom w:w="45" w:type="dxa"/>
              <w:right w:w="60" w:type="dxa"/>
            </w:tcMar>
            <w:vAlign w:val="center"/>
          </w:tcPr>
          <w:p w14:paraId="45EFE959" w14:textId="77777777" w:rsidR="001C19F3" w:rsidRPr="008329E4" w:rsidRDefault="001C19F3" w:rsidP="00521305">
            <w:pPr>
              <w:spacing w:after="0"/>
              <w:jc w:val="center"/>
              <w:rPr>
                <w:sz w:val="18"/>
                <w:szCs w:val="18"/>
              </w:rPr>
            </w:pPr>
            <w:r w:rsidRPr="008329E4">
              <w:rPr>
                <w:sz w:val="18"/>
                <w:szCs w:val="18"/>
                <w:lang w:val="en-GB"/>
              </w:rPr>
              <w:t>Tier 3</w:t>
            </w:r>
          </w:p>
        </w:tc>
        <w:tc>
          <w:tcPr>
            <w:tcW w:w="0" w:type="auto"/>
            <w:shd w:val="clear" w:color="auto" w:fill="auto"/>
            <w:tcMar>
              <w:top w:w="45" w:type="dxa"/>
              <w:left w:w="60" w:type="dxa"/>
              <w:bottom w:w="45" w:type="dxa"/>
              <w:right w:w="60" w:type="dxa"/>
            </w:tcMar>
            <w:vAlign w:val="center"/>
          </w:tcPr>
          <w:p w14:paraId="1FD7E6A2" w14:textId="77777777" w:rsidR="001C19F3" w:rsidRPr="00A84511" w:rsidRDefault="001C19F3" w:rsidP="00521305">
            <w:pPr>
              <w:spacing w:after="0"/>
              <w:jc w:val="center"/>
              <w:rPr>
                <w:sz w:val="18"/>
                <w:szCs w:val="18"/>
              </w:rPr>
            </w:pPr>
            <w:r w:rsidRPr="00A84511">
              <w:rPr>
                <w:sz w:val="18"/>
                <w:szCs w:val="18"/>
              </w:rPr>
              <w:t>$1,795 per year</w:t>
            </w:r>
          </w:p>
        </w:tc>
      </w:tr>
    </w:tbl>
    <w:p w14:paraId="7496C8F1" w14:textId="77777777" w:rsidR="001C19F3" w:rsidRPr="00A032F3" w:rsidRDefault="001C19F3" w:rsidP="001C19F3">
      <w:pPr>
        <w:pStyle w:val="Chartortablefootnote"/>
      </w:pPr>
      <w:r w:rsidRPr="00A032F3">
        <w:t xml:space="preserve">Source: </w:t>
      </w:r>
      <w:r w:rsidRPr="00A032F3">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A032F3">
        <w:fldChar w:fldCharType="separate"/>
      </w:r>
      <w:r w:rsidRPr="00A032F3">
        <w:rPr>
          <w:noProof/>
        </w:rPr>
        <w:t>Australian Government Department of Health, 2018c</w:t>
      </w:r>
      <w:r w:rsidRPr="00A032F3">
        <w:fldChar w:fldCharType="end"/>
      </w:r>
      <w:r>
        <w:t>.</w:t>
      </w:r>
    </w:p>
    <w:p w14:paraId="57A7C4B4" w14:textId="77777777" w:rsidR="001C19F3" w:rsidRDefault="001C19F3" w:rsidP="001C19F3">
      <w:r>
        <w:t>The HCH payment relates to enrolled patients’ chronic conditions, and includes:</w:t>
      </w:r>
    </w:p>
    <w:p w14:paraId="5A3210AB" w14:textId="77777777" w:rsidR="001C19F3" w:rsidRDefault="001C19F3" w:rsidP="001C19F3">
      <w:pPr>
        <w:pStyle w:val="ListParagraph"/>
        <w:numPr>
          <w:ilvl w:val="0"/>
          <w:numId w:val="31"/>
        </w:numPr>
      </w:pPr>
      <w:r>
        <w:t>comprehensive health assessment</w:t>
      </w:r>
    </w:p>
    <w:p w14:paraId="4DB663CF" w14:textId="77777777" w:rsidR="001C19F3" w:rsidRDefault="001C19F3" w:rsidP="001C19F3">
      <w:pPr>
        <w:pStyle w:val="ListParagraph"/>
        <w:numPr>
          <w:ilvl w:val="0"/>
          <w:numId w:val="31"/>
        </w:numPr>
      </w:pPr>
      <w:r>
        <w:t>shared care plan development</w:t>
      </w:r>
    </w:p>
    <w:p w14:paraId="691FE76B" w14:textId="77777777" w:rsidR="001C19F3" w:rsidRDefault="001C19F3" w:rsidP="001C19F3">
      <w:pPr>
        <w:pStyle w:val="ListParagraph"/>
        <w:numPr>
          <w:ilvl w:val="0"/>
          <w:numId w:val="31"/>
        </w:numPr>
      </w:pPr>
      <w:r>
        <w:t>regular reviews</w:t>
      </w:r>
    </w:p>
    <w:p w14:paraId="07FDF14E" w14:textId="77777777" w:rsidR="001C19F3" w:rsidRDefault="001C19F3" w:rsidP="001C19F3">
      <w:pPr>
        <w:pStyle w:val="ListParagraph"/>
        <w:numPr>
          <w:ilvl w:val="0"/>
          <w:numId w:val="31"/>
        </w:numPr>
      </w:pPr>
      <w:r>
        <w:t>making a referral to allied health providers or specialists</w:t>
      </w:r>
    </w:p>
    <w:p w14:paraId="341EF35C" w14:textId="77777777" w:rsidR="001C19F3" w:rsidRDefault="001C19F3" w:rsidP="001C19F3">
      <w:pPr>
        <w:pStyle w:val="ListParagraph"/>
        <w:numPr>
          <w:ilvl w:val="0"/>
          <w:numId w:val="31"/>
        </w:numPr>
      </w:pPr>
      <w:r>
        <w:t>case conferencing</w:t>
      </w:r>
    </w:p>
    <w:p w14:paraId="226AE8D7" w14:textId="77777777" w:rsidR="001C19F3" w:rsidRDefault="001C19F3" w:rsidP="001C19F3">
      <w:pPr>
        <w:pStyle w:val="ListParagraph"/>
        <w:numPr>
          <w:ilvl w:val="0"/>
          <w:numId w:val="31"/>
        </w:numPr>
      </w:pPr>
      <w:r>
        <w:t>telehealth services and monitoring</w:t>
      </w:r>
    </w:p>
    <w:p w14:paraId="7A734077" w14:textId="77777777" w:rsidR="001C19F3" w:rsidRDefault="001C19F3" w:rsidP="001C19F3">
      <w:pPr>
        <w:pStyle w:val="ListParagraph"/>
        <w:numPr>
          <w:ilvl w:val="0"/>
          <w:numId w:val="31"/>
        </w:numPr>
      </w:pPr>
      <w:r>
        <w:t>standard consultations related to an enrolled patient’s chronic and complex conditions</w:t>
      </w:r>
    </w:p>
    <w:p w14:paraId="327D168F" w14:textId="77777777" w:rsidR="001C19F3" w:rsidRDefault="001C19F3" w:rsidP="001C19F3">
      <w:pPr>
        <w:pStyle w:val="ListParagraph"/>
        <w:numPr>
          <w:ilvl w:val="0"/>
          <w:numId w:val="31"/>
        </w:numPr>
      </w:pPr>
      <w:r>
        <w:t>after-hours advice and care.</w:t>
      </w:r>
    </w:p>
    <w:p w14:paraId="03D73336" w14:textId="77777777" w:rsidR="001C19F3" w:rsidRPr="00C76B91" w:rsidRDefault="001C19F3" w:rsidP="001C19F3">
      <w:pPr>
        <w:rPr>
          <w:i/>
        </w:rPr>
      </w:pPr>
      <w:r w:rsidRPr="00C76B91">
        <w:rPr>
          <w:i/>
        </w:rPr>
        <w:fldChar w:fldCharType="begin"/>
      </w:r>
      <w:r>
        <w:rPr>
          <w:i/>
        </w:rP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C76B91">
        <w:rPr>
          <w:i/>
        </w:rPr>
        <w:fldChar w:fldCharType="separate"/>
      </w:r>
      <w:r w:rsidRPr="00C76B91">
        <w:rPr>
          <w:i/>
          <w:noProof/>
        </w:rPr>
        <w:t>Australian Government Department of Health, 2018c</w:t>
      </w:r>
      <w:r w:rsidRPr="00C76B91">
        <w:rPr>
          <w:i/>
        </w:rPr>
        <w:fldChar w:fldCharType="end"/>
      </w:r>
      <w:r w:rsidRPr="00C76B91">
        <w:rPr>
          <w:i/>
        </w:rPr>
        <w:t>, p. 20</w:t>
      </w:r>
    </w:p>
    <w:p w14:paraId="71D44820" w14:textId="77777777" w:rsidR="001C19F3" w:rsidRDefault="001C19F3" w:rsidP="001C19F3">
      <w:r>
        <w:t xml:space="preserve">HCHs may still claim for consultations or clinical services not relating to patients’ chronic </w:t>
      </w:r>
      <w:r w:rsidRPr="00E25816">
        <w:t xml:space="preserve">conditions. The </w:t>
      </w:r>
      <w:r>
        <w:t xml:space="preserve">HCH </w:t>
      </w:r>
      <w:r w:rsidRPr="00E25816">
        <w:t>Clinical Reference Group created guidance on this (</w:t>
      </w:r>
      <w:r w:rsidRPr="00E25816">
        <w:fldChar w:fldCharType="begin"/>
      </w:r>
      <w:r>
        <w:instrText xml:space="preserve"> ADDIN EN.CITE &lt;EndNote&gt;&lt;Cite&gt;&lt;Author&gt;Australian Government Department of Health&lt;/Author&gt;&lt;Year&gt;2018&lt;/Year&gt;&lt;RecNum&gt;1058&lt;/RecNum&gt;&lt;DisplayText&gt;Australian Government Department of Health, 2018b&lt;/DisplayText&gt;&lt;record&gt;&lt;rec-number&gt;1058&lt;/rec-number&gt;&lt;foreign-keys&gt;&lt;key app="EN" db-id="zdz9xax04zr9v0evw2nvrpw9xe9ttzvs5zsv" timestamp="1536719165"&gt;1058&lt;/key&gt;&lt;/foreign-keys&gt;&lt;ref-type name="Unpublished Work"&gt;34&lt;/ref-type&gt;&lt;contributors&gt;&lt;authors&gt;&lt;author&gt;Australian Government Department of Health,,&lt;/author&gt;&lt;/authors&gt;&lt;/contributors&gt;&lt;titles&gt;&lt;title&gt;Health Care Homes Clinical Reference Group Q&amp;amp;As&lt;/title&gt;&lt;/titles&gt;&lt;dates&gt;&lt;year&gt;2018&lt;/year&gt;&lt;/dates&gt;&lt;urls&gt;&lt;/urls&gt;&lt;/record&gt;&lt;/Cite&gt;&lt;/EndNote&gt;</w:instrText>
      </w:r>
      <w:r w:rsidRPr="00E25816">
        <w:fldChar w:fldCharType="separate"/>
      </w:r>
      <w:r>
        <w:rPr>
          <w:noProof/>
        </w:rPr>
        <w:t>Australian Government Department of Health, 2018b</w:t>
      </w:r>
      <w:r w:rsidRPr="00E25816">
        <w:fldChar w:fldCharType="end"/>
      </w:r>
      <w:r w:rsidRPr="00E25816">
        <w:t>)</w:t>
      </w:r>
      <w:r>
        <w:t>.</w:t>
      </w:r>
    </w:p>
    <w:p w14:paraId="77DFE596" w14:textId="77777777" w:rsidR="001C19F3" w:rsidRDefault="001C19F3" w:rsidP="001C19F3">
      <w:pPr>
        <w:rPr>
          <w:rFonts w:cs="Tahoma"/>
          <w:szCs w:val="20"/>
        </w:rPr>
      </w:pPr>
      <w:r>
        <w:t xml:space="preserve">HCH </w:t>
      </w:r>
      <w:r w:rsidRPr="00FE63EA">
        <w:t xml:space="preserve">patients </w:t>
      </w:r>
      <w:r>
        <w:t xml:space="preserve">are not prohibited </w:t>
      </w:r>
      <w:r w:rsidRPr="00FE63EA">
        <w:t xml:space="preserve">from consulting other </w:t>
      </w:r>
      <w:r>
        <w:t xml:space="preserve">primary care </w:t>
      </w:r>
      <w:r w:rsidRPr="00FE63EA">
        <w:t xml:space="preserve">practices, but the patient enrolment/consent </w:t>
      </w:r>
      <w:r w:rsidRPr="00C0191F">
        <w:t xml:space="preserve">form </w:t>
      </w:r>
      <w:r>
        <w:t>contains</w:t>
      </w:r>
      <w:r w:rsidRPr="00C0191F">
        <w:t xml:space="preserve"> the statement “</w:t>
      </w:r>
      <w:r w:rsidRPr="00C0191F">
        <w:rPr>
          <w:i/>
        </w:rPr>
        <w:t>4. I agree to seek care from my Health Care Home practice on an ongoing basis</w:t>
      </w:r>
      <w:r w:rsidRPr="00C0191F">
        <w:t>” (</w:t>
      </w:r>
      <w:r w:rsidRPr="00C0191F">
        <w:fldChar w:fldCharType="begin"/>
      </w:r>
      <w:r>
        <w:instrText xml:space="preserve"> ADDIN EN.CITE &lt;EndNote&gt;&lt;Cite&gt;&lt;Author&gt;Australian Government Department of Health&lt;/Author&gt;&lt;Year&gt;2017&lt;/Year&gt;&lt;RecNum&gt;1053&lt;/RecNum&gt;&lt;DisplayText&gt;Australian Government Department of Health, 2017a&lt;/DisplayText&gt;&lt;record&gt;&lt;rec-number&gt;1053&lt;/rec-number&gt;&lt;foreign-keys&gt;&lt;key app="EN" db-id="zdz9xax04zr9v0evw2nvrpw9xe9ttzvs5zsv" timestamp="1536562972"&gt;1053&lt;/key&gt;&lt;/foreign-keys&gt;&lt;ref-type name="Electronic Book"&gt;44&lt;/ref-type&gt;&lt;contributors&gt;&lt;authors&gt;&lt;author&gt;Australian Government Department of Health,,&lt;/author&gt;&lt;/authors&gt;&lt;/contributors&gt;&lt;titles&gt;&lt;title&gt;Health Care Homes Patient Information Statement&lt;/title&gt;&lt;/titles&gt;&lt;dates&gt;&lt;year&gt;2017&lt;/year&gt;&lt;/dates&gt;&lt;urls&gt;&lt;related-urls&gt;&lt;url&gt;http://www.health.gov.au/internet/main/publishing.nsf/Content/C6EB6F07C8F62954CA2581A90009CA75/$File/English_Enrolment%20and%20consent%20form.pdf&lt;/url&gt;&lt;/related-urls&gt;&lt;/urls&gt;&lt;/record&gt;&lt;/Cite&gt;&lt;/EndNote&gt;</w:instrText>
      </w:r>
      <w:r w:rsidRPr="00C0191F">
        <w:fldChar w:fldCharType="separate"/>
      </w:r>
      <w:r>
        <w:rPr>
          <w:noProof/>
        </w:rPr>
        <w:t>Australian Government Department of Health, 2017a</w:t>
      </w:r>
      <w:r w:rsidRPr="00C0191F">
        <w:fldChar w:fldCharType="end"/>
      </w:r>
      <w:r w:rsidRPr="00C0191F">
        <w:t>).</w:t>
      </w:r>
      <w:r w:rsidRPr="00C0191F">
        <w:rPr>
          <w:rFonts w:cs="Tahoma"/>
          <w:szCs w:val="20"/>
        </w:rPr>
        <w:t xml:space="preserve"> Also, the </w:t>
      </w:r>
      <w:r>
        <w:rPr>
          <w:rFonts w:cs="Tahoma"/>
          <w:szCs w:val="20"/>
        </w:rPr>
        <w:t xml:space="preserve">HCH </w:t>
      </w:r>
      <w:r w:rsidRPr="00C0191F">
        <w:rPr>
          <w:rFonts w:cs="Tahoma"/>
          <w:szCs w:val="20"/>
        </w:rPr>
        <w:t>Funding Assurance Toolkit requires that “</w:t>
      </w:r>
      <w:r w:rsidRPr="00C0191F">
        <w:rPr>
          <w:rFonts w:cs="Tahoma"/>
          <w:i/>
          <w:szCs w:val="20"/>
        </w:rPr>
        <w:t>The practice encourages an enrolled patient to attend their HCH for all care and, in particular, care that is related to their chronic conditions. This means that visits to other practices by enrolled patients are expected to be minimal (for example, when an enrolled patient is travelling)</w:t>
      </w:r>
      <w:r>
        <w:rPr>
          <w:rFonts w:cs="Tahoma"/>
          <w:szCs w:val="20"/>
        </w:rPr>
        <w:t xml:space="preserve">” </w:t>
      </w:r>
      <w:r w:rsidRPr="00C0191F">
        <w:rPr>
          <w:rFonts w:cs="Tahoma"/>
          <w:szCs w:val="20"/>
        </w:rPr>
        <w:t>(</w:t>
      </w:r>
      <w:r w:rsidRPr="00C0191F">
        <w:rPr>
          <w:rFonts w:cs="Tahoma"/>
          <w:szCs w:val="20"/>
        </w:rPr>
        <w:fldChar w:fldCharType="begin"/>
      </w:r>
      <w:r>
        <w:rPr>
          <w:rFonts w:cs="Tahoma"/>
          <w:szCs w:val="20"/>
        </w:rPr>
        <w:instrText xml:space="preserve"> ADDIN EN.CITE &lt;EndNote&gt;&lt;Cite&gt;&lt;Author&gt;Australian Government Department of Health&lt;/Author&gt;&lt;Year&gt;2018&lt;/Year&gt;&lt;RecNum&gt;1064&lt;/RecNum&gt;&lt;DisplayText&gt;Australian Government Department of Health, 2018a&lt;/DisplayText&gt;&lt;record&gt;&lt;rec-number&gt;1064&lt;/rec-number&gt;&lt;foreign-keys&gt;&lt;key app="EN" db-id="zdz9xax04zr9v0evw2nvrpw9xe9ttzvs5zsv" timestamp="1536891525"&gt;1064&lt;/key&gt;&lt;/foreign-keys&gt;&lt;ref-type name="Report"&gt;27&lt;/ref-type&gt;&lt;contributors&gt;&lt;authors&gt;&lt;author&gt;Australian Government Department of Health,,&lt;/author&gt;&lt;/authors&gt;&lt;/contributors&gt;&lt;titles&gt;&lt;title&gt;Health Care Home Funding Assurance Toolkit March 2018&lt;/title&gt;&lt;/titles&gt;&lt;dates&gt;&lt;year&gt;2018&lt;/year&gt;&lt;/dates&gt;&lt;pub-location&gt;Canberra&lt;/pub-location&gt;&lt;urls&gt;&lt;related-urls&gt;&lt;url&gt;http://www.health.gov.au/internet/main/publishing.nsf/Content/48DD66C8A5B99B56CA2581E700778A86/$File/HealthCareHomesFunding%20assurance%20toolkit.pdf&lt;/url&gt;&lt;/related-urls&gt;&lt;/urls&gt;&lt;/record&gt;&lt;/Cite&gt;&lt;/EndNote&gt;</w:instrText>
      </w:r>
      <w:r w:rsidRPr="00C0191F">
        <w:rPr>
          <w:rFonts w:cs="Tahoma"/>
          <w:szCs w:val="20"/>
        </w:rPr>
        <w:fldChar w:fldCharType="separate"/>
      </w:r>
      <w:r>
        <w:rPr>
          <w:rFonts w:cs="Tahoma"/>
          <w:noProof/>
          <w:szCs w:val="20"/>
        </w:rPr>
        <w:t>Australian Government Department of Health, 2018a</w:t>
      </w:r>
      <w:r w:rsidRPr="00C0191F">
        <w:rPr>
          <w:rFonts w:cs="Tahoma"/>
          <w:szCs w:val="20"/>
        </w:rPr>
        <w:fldChar w:fldCharType="end"/>
      </w:r>
      <w:r w:rsidRPr="00C0191F">
        <w:rPr>
          <w:rFonts w:cs="Tahoma"/>
          <w:szCs w:val="20"/>
        </w:rPr>
        <w:t xml:space="preserve"> </w:t>
      </w:r>
      <w:r>
        <w:rPr>
          <w:rFonts w:cs="Tahoma"/>
          <w:szCs w:val="20"/>
        </w:rPr>
        <w:t>p. 8).</w:t>
      </w:r>
    </w:p>
    <w:p w14:paraId="6377B655" w14:textId="77777777" w:rsidR="001C19F3" w:rsidRDefault="001C19F3" w:rsidP="001C19F3">
      <w:r>
        <w:t xml:space="preserve">A new MBS item – item 6087 – was created </w:t>
      </w:r>
      <w:r w:rsidRPr="00C24C26">
        <w:t xml:space="preserve">to record HCH patients’ out-of-pocket expenses </w:t>
      </w:r>
      <w:r>
        <w:t xml:space="preserve">- </w:t>
      </w:r>
      <w:r w:rsidRPr="00C24C26">
        <w:t xml:space="preserve">so that they can be counted towards to the patient’s safety net. The item has a rebate value of $1.15. </w:t>
      </w:r>
      <w:bookmarkStart w:id="100" w:name="_Hlk528657679"/>
    </w:p>
    <w:bookmarkEnd w:id="100"/>
    <w:p w14:paraId="029ACB0D" w14:textId="77777777" w:rsidR="001C19F3" w:rsidRDefault="001C19F3" w:rsidP="001C19F3">
      <w:pPr>
        <w:pStyle w:val="Heading3"/>
      </w:pPr>
      <w:r>
        <w:lastRenderedPageBreak/>
        <w:t>Incentive grant</w:t>
      </w:r>
    </w:p>
    <w:p w14:paraId="076C61FB" w14:textId="77777777" w:rsidR="001C19F3" w:rsidRPr="00C52360" w:rsidRDefault="001C19F3" w:rsidP="001C19F3">
      <w:r>
        <w:t xml:space="preserve">In addition to the bundled payment, HCH practices were </w:t>
      </w:r>
      <w:r w:rsidRPr="00C52360">
        <w:t>paid a one-off $10,000 incentive grant (GST exclusive)</w:t>
      </w:r>
      <w:r>
        <w:t xml:space="preserve"> (see Appendix 1). </w:t>
      </w:r>
      <w:r w:rsidRPr="00C52360">
        <w:t xml:space="preserve">The amount was </w:t>
      </w:r>
      <w:r w:rsidRPr="00A84511">
        <w:rPr>
          <w:i/>
        </w:rPr>
        <w:t xml:space="preserve">“intended to incentivise participation and facilitate readiness for </w:t>
      </w:r>
      <w:r>
        <w:rPr>
          <w:i/>
        </w:rPr>
        <w:t>the</w:t>
      </w:r>
      <w:r w:rsidRPr="00A84511">
        <w:rPr>
          <w:i/>
        </w:rPr>
        <w:t xml:space="preserve"> program”</w:t>
      </w:r>
      <w:r w:rsidRPr="00C52360">
        <w:t xml:space="preserve"> (</w:t>
      </w:r>
      <w:r>
        <w:fldChar w:fldCharType="begin"/>
      </w:r>
      <w:r>
        <w:instrText xml:space="preserve"> ADDIN EN.CITE &lt;EndNote&gt;&lt;Cite&gt;&lt;Author&gt;Australian Government Department of Health&lt;/Author&gt;&lt;Year&gt;2016&lt;/Year&gt;&lt;RecNum&gt;1067&lt;/RecNum&gt;&lt;DisplayText&gt;Australian Government Department of Health, 2016d&lt;/DisplayText&gt;&lt;record&gt;&lt;rec-number&gt;1067&lt;/rec-number&gt;&lt;foreign-keys&gt;&lt;key app="EN" db-id="zdz9xax04zr9v0evw2nvrpw9xe9ttzvs5zsv" timestamp="1536914730"&gt;1067&lt;/key&gt;&lt;/foreign-keys&gt;&lt;ref-type name="Electronic Book"&gt;44&lt;/ref-type&gt;&lt;contributors&gt;&lt;authors&gt;&lt;author&gt;Australian Government Department of Health,,&lt;/author&gt;&lt;/authors&gt;&lt;/contributors&gt;&lt;titles&gt;&lt;title&gt;Health Care Homes Grant Guidelines 4 November 2016&lt;/title&gt;&lt;/titles&gt;&lt;dates&gt;&lt;year&gt;2016&lt;/year&gt;&lt;/dates&gt;&lt;urls&gt;&lt;/urls&gt;&lt;/record&gt;&lt;/Cite&gt;&lt;/EndNote&gt;</w:instrText>
      </w:r>
      <w:r>
        <w:fldChar w:fldCharType="separate"/>
      </w:r>
      <w:r>
        <w:rPr>
          <w:noProof/>
        </w:rPr>
        <w:t>Australian Government Department of Health, 2016d</w:t>
      </w:r>
      <w:r>
        <w:fldChar w:fldCharType="end"/>
      </w:r>
      <w:r w:rsidRPr="00C76B91">
        <w:t>, p. 3</w:t>
      </w:r>
      <w:r w:rsidRPr="00C52360">
        <w:t>)</w:t>
      </w:r>
      <w:r>
        <w:t xml:space="preserve">. The grant could </w:t>
      </w:r>
      <w:r w:rsidRPr="00C52360">
        <w:t xml:space="preserve">be used </w:t>
      </w:r>
      <w:r>
        <w:t>for preparing for and participating in the HCH program. The incentive was offered under a ‘</w:t>
      </w:r>
      <w:r w:rsidRPr="00324DA9">
        <w:t>restricted competitive grants program</w:t>
      </w:r>
      <w:r>
        <w:t xml:space="preserve">’ – a consequence of which was the need for a competitive process managed by the Department of Health, through which applicants were assessed against criteria specified in the </w:t>
      </w:r>
      <w:r w:rsidRPr="00324DA9">
        <w:t>Health Care Homes Grant Guidelines (</w:t>
      </w:r>
      <w:r>
        <w:fldChar w:fldCharType="begin"/>
      </w:r>
      <w:r>
        <w:instrText xml:space="preserve"> ADDIN EN.CITE &lt;EndNote&gt;&lt;Cite&gt;&lt;Author&gt;Australian Government Department of Health&lt;/Author&gt;&lt;Year&gt;2016&lt;/Year&gt;&lt;RecNum&gt;1067&lt;/RecNum&gt;&lt;DisplayText&gt;Australian Government Department of Health, 2016d&lt;/DisplayText&gt;&lt;record&gt;&lt;rec-number&gt;1067&lt;/rec-number&gt;&lt;foreign-keys&gt;&lt;key app="EN" db-id="zdz9xax04zr9v0evw2nvrpw9xe9ttzvs5zsv" timestamp="1536914730"&gt;1067&lt;/key&gt;&lt;/foreign-keys&gt;&lt;ref-type name="Electronic Book"&gt;44&lt;/ref-type&gt;&lt;contributors&gt;&lt;authors&gt;&lt;author&gt;Australian Government Department of Health,,&lt;/author&gt;&lt;/authors&gt;&lt;/contributors&gt;&lt;titles&gt;&lt;title&gt;Health Care Homes Grant Guidelines 4 November 2016&lt;/title&gt;&lt;/titles&gt;&lt;dates&gt;&lt;year&gt;2016&lt;/year&gt;&lt;/dates&gt;&lt;urls&gt;&lt;/urls&gt;&lt;/record&gt;&lt;/Cite&gt;&lt;/EndNote&gt;</w:instrText>
      </w:r>
      <w:r>
        <w:fldChar w:fldCharType="separate"/>
      </w:r>
      <w:r>
        <w:rPr>
          <w:noProof/>
        </w:rPr>
        <w:t>Australian Government Department of Health, 2016d</w:t>
      </w:r>
      <w:r>
        <w:fldChar w:fldCharType="end"/>
      </w:r>
      <w:r w:rsidRPr="00324DA9">
        <w:t>).</w:t>
      </w:r>
    </w:p>
    <w:p w14:paraId="63F78CC3" w14:textId="77777777" w:rsidR="001C19F3" w:rsidRDefault="001C19F3" w:rsidP="001C19F3">
      <w:pPr>
        <w:pStyle w:val="Heading3"/>
      </w:pPr>
      <w:r>
        <w:t>Practice selection</w:t>
      </w:r>
    </w:p>
    <w:p w14:paraId="2ADFF69D" w14:textId="77777777" w:rsidR="001C19F3" w:rsidRDefault="001C19F3" w:rsidP="001C19F3">
      <w:r>
        <w:t xml:space="preserve">A call for expressions of interest (EOI) for participating in HCH was issued </w:t>
      </w:r>
      <w:r w:rsidRPr="00E45D39">
        <w:t>on 4 November</w:t>
      </w:r>
      <w:r>
        <w:t xml:space="preserve"> 2016</w:t>
      </w:r>
      <w:r w:rsidRPr="00E45D39">
        <w:t xml:space="preserve"> and </w:t>
      </w:r>
      <w:r>
        <w:t>closed on 22 December 2016. The Department received 461 eligible applications (Appendix 1 lists the eligibility criteria). T</w:t>
      </w:r>
      <w:r w:rsidRPr="00324DA9">
        <w:t>he Health State Network Division, involving the state and territory offices of the Department of Health</w:t>
      </w:r>
      <w:r>
        <w:t xml:space="preserve">, initially assessed compliance. In a second stage, a Departmental </w:t>
      </w:r>
      <w:r w:rsidRPr="00324DA9">
        <w:t>Assessment Committee review</w:t>
      </w:r>
      <w:r>
        <w:t>ed</w:t>
      </w:r>
      <w:r w:rsidRPr="00324DA9">
        <w:t xml:space="preserve"> the initial compliance assessment</w:t>
      </w:r>
      <w:r>
        <w:t xml:space="preserve"> scores then considered the mix of selected practices against a </w:t>
      </w:r>
      <w:r w:rsidRPr="00324DA9">
        <w:t xml:space="preserve">sampling frame </w:t>
      </w:r>
      <w:r>
        <w:t>proposed by Health Policy Analysis. The sampling frame was used to ensure a minimum number of participating practices were selected for specified categories of ownership, size and location.</w:t>
      </w:r>
    </w:p>
    <w:p w14:paraId="6D04B129" w14:textId="77777777" w:rsidR="001C19F3" w:rsidRDefault="001C19F3" w:rsidP="001C19F3">
      <w:r>
        <w:t xml:space="preserve">Two hundred successful applicants were announced in May 2017 and formal offers made. Some practices decided not to proceed because of change of ownership, business direction, and/ or staffing. To achieve the target of 200 HCHs, the Department drew on its reserve list of 136 practices and also some of the 125 practices originally considered unsuitable. PHNs were also asked to approach other practices to apply. </w:t>
      </w:r>
    </w:p>
    <w:p w14:paraId="680D60B6" w14:textId="77777777" w:rsidR="001C19F3" w:rsidRDefault="001C19F3" w:rsidP="001C19F3">
      <w:r>
        <w:t>Following the initial announcement of practices, many PHNs met with the selected practices either individually or as a group.</w:t>
      </w:r>
      <w:r w:rsidRPr="002D5AD2">
        <w:t xml:space="preserve"> </w:t>
      </w:r>
      <w:r>
        <w:t>Some PHNs held</w:t>
      </w:r>
      <w:r w:rsidRPr="00420DAD">
        <w:t xml:space="preserve"> </w:t>
      </w:r>
      <w:r>
        <w:t>workshops/information sessions for the selected practices to provide more information about the program. Some of the successful practices were still deciding whether to go ahead at that stage. One corporate group initiated a roadshow for its practices who were given an initial offer. PHN practice facilitators joined the corporate representatives in the local forums for practices within their region.</w:t>
      </w:r>
    </w:p>
    <w:p w14:paraId="644418D5" w14:textId="77777777" w:rsidR="001C19F3" w:rsidRDefault="001C19F3" w:rsidP="001C19F3">
      <w:r>
        <w:t>Some PHNs developed additional resources to help communicate with practices during the initial recruitment phase. For example, one PHN developed an abridged (10-page) version of the Department’s practice h</w:t>
      </w:r>
      <w:r w:rsidRPr="00702C45">
        <w:t>andbook</w:t>
      </w:r>
      <w:r>
        <w:t xml:space="preserve"> as it was believed that 30 plus pages were too much for practices to digest at that point. Another PHN outlined the roles of the practice facilitators and their skill sets so that practices could know who could help and how. The PHNs used the resources they developed in the workshops with practices or took them along to visits, leaving them behind for staff to have a closer look at following the meeting.</w:t>
      </w:r>
    </w:p>
    <w:p w14:paraId="237980BE" w14:textId="77777777" w:rsidR="001C19F3" w:rsidRDefault="001C19F3" w:rsidP="001C19F3">
      <w:r>
        <w:t xml:space="preserve">The week before the 1 October 2017 start, 173 HCHs had been recruited, with 22 starting on 1 October and the remainder to start on 1 December 2017. However, practices continued to withdraw, and </w:t>
      </w:r>
      <w:bookmarkStart w:id="101" w:name="_Hlk528660655"/>
      <w:r>
        <w:t xml:space="preserve">as they did, the Department invited additional practices to join. Recruitment </w:t>
      </w:r>
      <w:bookmarkEnd w:id="101"/>
      <w:r>
        <w:t xml:space="preserve">of practices has continued since the commencement of the program </w:t>
      </w:r>
      <w:r w:rsidRPr="00F4709A">
        <w:t xml:space="preserve">through to </w:t>
      </w:r>
      <w:r>
        <w:t xml:space="preserve">mid-2019. </w:t>
      </w:r>
      <w:r w:rsidRPr="00F4709A">
        <w:t xml:space="preserve">By the end of </w:t>
      </w:r>
      <w:r>
        <w:t xml:space="preserve">August </w:t>
      </w:r>
      <w:r w:rsidRPr="00F4709A">
        <w:t xml:space="preserve">2019, 131 practices </w:t>
      </w:r>
      <w:r>
        <w:t>were participating</w:t>
      </w:r>
      <w:r w:rsidRPr="00F4709A">
        <w:t xml:space="preserve"> in the program.</w:t>
      </w:r>
    </w:p>
    <w:p w14:paraId="074CB8F1" w14:textId="77777777" w:rsidR="001C19F3" w:rsidRPr="00885B71" w:rsidRDefault="001C19F3" w:rsidP="001C19F3">
      <w:pPr>
        <w:pStyle w:val="Heading3"/>
      </w:pPr>
      <w:bookmarkStart w:id="102" w:name="_Toc17036354"/>
      <w:r>
        <w:lastRenderedPageBreak/>
        <w:t xml:space="preserve">Practice facilitation and support from </w:t>
      </w:r>
      <w:r w:rsidRPr="00885B71">
        <w:t>PHN</w:t>
      </w:r>
      <w:r>
        <w:t>s</w:t>
      </w:r>
      <w:bookmarkEnd w:id="102"/>
    </w:p>
    <w:p w14:paraId="255FA6B5" w14:textId="77777777" w:rsidR="001C19F3" w:rsidRDefault="001C19F3" w:rsidP="001C19F3">
      <w:bookmarkStart w:id="103" w:name="_Hlk20933111"/>
      <w:r>
        <w:t>The Department funded the 10 PHNs involved with the trial to support practices through the HCH implementation.</w:t>
      </w:r>
      <w:bookmarkEnd w:id="103"/>
      <w:r>
        <w:t xml:space="preserve"> The PHNs were </w:t>
      </w:r>
      <w:r w:rsidRPr="00885B71">
        <w:t xml:space="preserve">initially funded for three </w:t>
      </w:r>
      <w:r>
        <w:t xml:space="preserve">full time equivalent (FTE) positions from July 2017. Two positions were </w:t>
      </w:r>
      <w:r w:rsidRPr="00885B71">
        <w:t>to help practices with transformation</w:t>
      </w:r>
      <w:r>
        <w:t xml:space="preserve"> – the practice facilitator role. One position was to </w:t>
      </w:r>
      <w:r w:rsidRPr="00885B71">
        <w:t xml:space="preserve">help </w:t>
      </w:r>
      <w:r>
        <w:t>practices with enrolling patients</w:t>
      </w:r>
      <w:r w:rsidRPr="00885B71">
        <w:t>.</w:t>
      </w:r>
      <w:r w:rsidRPr="00BB4353">
        <w:t xml:space="preserve"> </w:t>
      </w:r>
      <w:r>
        <w:t>Funding for the roles was initially for 12 months (transformation) and 15 months (enrolment) respectively</w:t>
      </w:r>
      <w:bookmarkStart w:id="104" w:name="_Hlk20748222"/>
      <w:r>
        <w:t xml:space="preserve">, but subsequently extended through to June 2019. During 2019-20 PHNs are being funded for one FTE per 10 practices participating in HCH, with a minimum of one FTE per PHN. During 2020-21, funding will scale back to one FTE per 16 participating practices, with a minimum of one FTE per PHN. </w:t>
      </w:r>
    </w:p>
    <w:p w14:paraId="618B2739" w14:textId="77777777" w:rsidR="001C19F3" w:rsidRDefault="001C19F3" w:rsidP="001C19F3">
      <w:r>
        <w:t>In the rest of this report we refer to the funded PHN staff as ‘</w:t>
      </w:r>
      <w:r w:rsidRPr="00E40119">
        <w:t>PHN practice facilitators</w:t>
      </w:r>
      <w:r>
        <w:t>’.</w:t>
      </w:r>
    </w:p>
    <w:bookmarkEnd w:id="104"/>
    <w:p w14:paraId="326C9BC3" w14:textId="77777777" w:rsidR="001C19F3" w:rsidRDefault="001C19F3" w:rsidP="001C19F3">
      <w:r>
        <w:t xml:space="preserve">In addition to regular meetings with PHN CEOs </w:t>
      </w:r>
      <w:r w:rsidRPr="00885B71">
        <w:t>and/ or their representatives</w:t>
      </w:r>
      <w:r>
        <w:t>, t</w:t>
      </w:r>
      <w:r w:rsidRPr="00885B71">
        <w:t xml:space="preserve">he Department met with the PHN practice facilitators </w:t>
      </w:r>
      <w:r>
        <w:t xml:space="preserve">each fortnight </w:t>
      </w:r>
      <w:r w:rsidRPr="00885B71">
        <w:t>and sent weekly emails to update them on each practice’s progress in enrolling patients, installing and using the RST and undertaking evaluation requirements.</w:t>
      </w:r>
    </w:p>
    <w:p w14:paraId="0BA04A74" w14:textId="77777777" w:rsidR="001C19F3" w:rsidRDefault="001C19F3" w:rsidP="001C19F3">
      <w:r>
        <w:t xml:space="preserve">Chapter 6 describes the practice facilitation role. We also present stakeholder perspectives on this role and its effectiveness, together with reflections on what enhanced or diminished its success. </w:t>
      </w:r>
    </w:p>
    <w:p w14:paraId="1F5509FA" w14:textId="77777777" w:rsidR="001C19F3" w:rsidRDefault="001C19F3" w:rsidP="001C19F3">
      <w:r>
        <w:t xml:space="preserve">In addition to the funded HCH positions, PHNs provided other support to HCH practices. These are also described in </w:t>
      </w:r>
      <w:r w:rsidRPr="00F4709A">
        <w:t>Chapter 6.</w:t>
      </w:r>
    </w:p>
    <w:p w14:paraId="1C6C7A63" w14:textId="77777777" w:rsidR="001C19F3" w:rsidRDefault="001C19F3" w:rsidP="001C19F3">
      <w:pPr>
        <w:pStyle w:val="Heading3"/>
      </w:pPr>
      <w:r>
        <w:t>Clinical champions</w:t>
      </w:r>
    </w:p>
    <w:p w14:paraId="089FF525" w14:textId="77777777" w:rsidR="001C19F3" w:rsidRDefault="001C19F3" w:rsidP="001C19F3">
      <w:r>
        <w:t xml:space="preserve">The Department established a network of clinical champions in April 2018 to: </w:t>
      </w:r>
    </w:p>
    <w:p w14:paraId="7B8C435C" w14:textId="77777777" w:rsidR="001C19F3" w:rsidRDefault="001C19F3" w:rsidP="001C19F3">
      <w:pPr>
        <w:pStyle w:val="ListParagraph"/>
        <w:numPr>
          <w:ilvl w:val="0"/>
          <w:numId w:val="32"/>
        </w:numPr>
      </w:pPr>
      <w:r>
        <w:t>Support retention of participating practices, particularly those progressing more slowly, by providing leadership, support and advice throughout the trial.</w:t>
      </w:r>
    </w:p>
    <w:p w14:paraId="4F012618" w14:textId="77777777" w:rsidR="001C19F3" w:rsidRDefault="001C19F3" w:rsidP="001C19F3">
      <w:pPr>
        <w:pStyle w:val="ListParagraph"/>
        <w:numPr>
          <w:ilvl w:val="0"/>
          <w:numId w:val="32"/>
        </w:numPr>
      </w:pPr>
      <w:r>
        <w:t>Assist HCHs in harnessing and building the benefit of the model to patients.</w:t>
      </w:r>
    </w:p>
    <w:p w14:paraId="7A1F425A" w14:textId="77777777" w:rsidR="001C19F3" w:rsidRDefault="001C19F3" w:rsidP="001C19F3">
      <w:pPr>
        <w:pStyle w:val="ListParagraph"/>
        <w:numPr>
          <w:ilvl w:val="0"/>
          <w:numId w:val="32"/>
        </w:numPr>
      </w:pPr>
      <w:r>
        <w:t>Promote positive messaging and a collective understanding of the model in practice.</w:t>
      </w:r>
    </w:p>
    <w:p w14:paraId="1C417C85" w14:textId="77777777" w:rsidR="001C19F3" w:rsidRDefault="001C19F3" w:rsidP="001C19F3">
      <w:pPr>
        <w:pStyle w:val="ListParagraph"/>
        <w:numPr>
          <w:ilvl w:val="0"/>
          <w:numId w:val="32"/>
        </w:numPr>
      </w:pPr>
      <w:r>
        <w:t>Drive and support patient enrolment across the trial regions.</w:t>
      </w:r>
    </w:p>
    <w:p w14:paraId="1752BDAE" w14:textId="77777777" w:rsidR="001C19F3" w:rsidRDefault="001C19F3" w:rsidP="001C19F3">
      <w:r>
        <w:t xml:space="preserve">Clinical champions came from various backgrounds, including </w:t>
      </w:r>
      <w:r w:rsidRPr="000B4C8A">
        <w:t>GPs, nurses and practice managers</w:t>
      </w:r>
      <w:r>
        <w:t>.</w:t>
      </w:r>
    </w:p>
    <w:p w14:paraId="5C437B00" w14:textId="77777777" w:rsidR="001C19F3" w:rsidRDefault="001C19F3" w:rsidP="001C19F3"/>
    <w:p w14:paraId="23D29115" w14:textId="77777777" w:rsidR="001C19F3" w:rsidRDefault="001C19F3" w:rsidP="001C19F3">
      <w:pPr>
        <w:pStyle w:val="Heading1withnumber"/>
        <w:ind w:left="0" w:hanging="993"/>
        <w:sectPr w:rsidR="001C19F3" w:rsidSect="00640EFA">
          <w:headerReference w:type="first" r:id="rId45"/>
          <w:footerReference w:type="first" r:id="rId46"/>
          <w:pgSz w:w="11906" w:h="16838"/>
          <w:pgMar w:top="1440" w:right="1440" w:bottom="1440" w:left="1440" w:header="708" w:footer="708" w:gutter="0"/>
          <w:cols w:space="708"/>
          <w:titlePg/>
          <w:docGrid w:linePitch="360"/>
        </w:sectPr>
      </w:pPr>
    </w:p>
    <w:p w14:paraId="6014A38D" w14:textId="77777777" w:rsidR="001C19F3" w:rsidRDefault="001C19F3" w:rsidP="001C19F3">
      <w:pPr>
        <w:pStyle w:val="Heading1withnumber"/>
        <w:ind w:left="0" w:hanging="993"/>
      </w:pPr>
      <w:bookmarkStart w:id="105" w:name="_Toc27056548"/>
      <w:r>
        <w:lastRenderedPageBreak/>
        <w:t>Overview of HCH practices</w:t>
      </w:r>
      <w:bookmarkEnd w:id="105"/>
    </w:p>
    <w:p w14:paraId="12D338A9" w14:textId="77777777" w:rsidR="001C19F3" w:rsidRDefault="001C19F3" w:rsidP="001C19F3">
      <w:r>
        <w:t xml:space="preserve">This Chapter describes the practices participating in HCH, and their progress with enrolling patients. The descriptions are drawn from HCH program data (from the Department of Health and the Department of Human Services), </w:t>
      </w:r>
      <w:r w:rsidRPr="007911A5">
        <w:t xml:space="preserve">two </w:t>
      </w:r>
      <w:r>
        <w:t xml:space="preserve">rounds of </w:t>
      </w:r>
      <w:r w:rsidRPr="007911A5">
        <w:t>practice</w:t>
      </w:r>
      <w:r>
        <w:t xml:space="preserve"> survey </w:t>
      </w:r>
      <w:r w:rsidRPr="007911A5">
        <w:t>(</w:t>
      </w:r>
      <w:r>
        <w:t xml:space="preserve">Round 1 </w:t>
      </w:r>
      <w:r w:rsidRPr="007911A5">
        <w:t>March</w:t>
      </w:r>
      <w:r>
        <w:t xml:space="preserve"> to June</w:t>
      </w:r>
      <w:r w:rsidRPr="007911A5">
        <w:t xml:space="preserve"> 2018</w:t>
      </w:r>
      <w:r>
        <w:t>,</w:t>
      </w:r>
      <w:r w:rsidRPr="007911A5">
        <w:t xml:space="preserve"> and </w:t>
      </w:r>
      <w:r>
        <w:t xml:space="preserve">Round 2 November </w:t>
      </w:r>
      <w:r w:rsidRPr="007911A5">
        <w:t>2018</w:t>
      </w:r>
      <w:r>
        <w:t xml:space="preserve"> to March </w:t>
      </w:r>
      <w:r w:rsidRPr="007911A5">
        <w:t xml:space="preserve">2019), </w:t>
      </w:r>
      <w:r>
        <w:t xml:space="preserve">a survey of practice staff (Round 1: March to June </w:t>
      </w:r>
      <w:r w:rsidRPr="007911A5">
        <w:t>2018</w:t>
      </w:r>
      <w:r>
        <w:t>)</w:t>
      </w:r>
      <w:r w:rsidRPr="007911A5">
        <w:t xml:space="preserve"> and interviews with the PHNs. The Chapter also analyses the reasons practices withdrew from</w:t>
      </w:r>
      <w:r>
        <w:t xml:space="preserve"> the program.</w:t>
      </w:r>
    </w:p>
    <w:p w14:paraId="4C31561A" w14:textId="77777777" w:rsidR="001C19F3" w:rsidRDefault="001C19F3" w:rsidP="001C19F3">
      <w:pPr>
        <w:pStyle w:val="Heading2"/>
      </w:pPr>
      <w:bookmarkStart w:id="106" w:name="_Toc27056549"/>
      <w:bookmarkStart w:id="107" w:name="_Hlk17121842"/>
      <w:r>
        <w:t>Participating practices</w:t>
      </w:r>
      <w:bookmarkEnd w:id="106"/>
    </w:p>
    <w:p w14:paraId="1BC111D1" w14:textId="77777777" w:rsidR="001C19F3" w:rsidRDefault="001C19F3" w:rsidP="001C19F3">
      <w:bookmarkStart w:id="108" w:name="_Hlk20923213"/>
      <w:r>
        <w:t>A</w:t>
      </w:r>
      <w:r w:rsidRPr="00F4709A">
        <w:t>t 31 August 2019 there</w:t>
      </w:r>
      <w:r>
        <w:t xml:space="preserve"> were 131 practices participating in HCH. A further 96 practices had participated in the program at some stage but withdrawn (42.3%). Most practices that withdrew had not enrolled patients.</w:t>
      </w:r>
      <w:bookmarkEnd w:id="108"/>
      <w:r>
        <w:t xml:space="preserve"> In the following sections, reference has been made to ‘active’ and ‘withdrawn’ practices. </w:t>
      </w:r>
      <w:r w:rsidRPr="00633C15">
        <w:t xml:space="preserve">‘Active’ means the practice was participating in the HCH program as at </w:t>
      </w:r>
      <w:r>
        <w:t>31 August 2019.</w:t>
      </w:r>
      <w:r w:rsidRPr="00633C15">
        <w:t xml:space="preserve"> ‘Withdrawn’ means that the practice was participating at </w:t>
      </w:r>
      <w:r>
        <w:t>some</w:t>
      </w:r>
      <w:r w:rsidRPr="00633C15">
        <w:t xml:space="preserve"> stage </w:t>
      </w:r>
      <w:r>
        <w:t>between</w:t>
      </w:r>
      <w:r w:rsidRPr="00633C15">
        <w:t xml:space="preserve"> October 2017</w:t>
      </w:r>
      <w:r>
        <w:t xml:space="preserve"> and August 2019, but had withdrawn prior to</w:t>
      </w:r>
      <w:r w:rsidRPr="00633C15">
        <w:t xml:space="preserve"> </w:t>
      </w:r>
      <w:r>
        <w:t>31 August 2019</w:t>
      </w:r>
      <w:r w:rsidRPr="00633C15">
        <w:t>.</w:t>
      </w:r>
    </w:p>
    <w:p w14:paraId="58D547C1" w14:textId="77777777" w:rsidR="001C19F3" w:rsidRDefault="001C19F3" w:rsidP="001C19F3">
      <w:r>
        <w:fldChar w:fldCharType="begin"/>
      </w:r>
      <w:r>
        <w:instrText xml:space="preserve"> REF _Ref20506337 \h  \* MERGEFORMAT </w:instrText>
      </w:r>
      <w:r>
        <w:fldChar w:fldCharType="separate"/>
      </w:r>
      <w:r w:rsidRPr="00822044">
        <w:t>Table 3</w:t>
      </w:r>
      <w:r>
        <w:fldChar w:fldCharType="end"/>
      </w:r>
      <w:r>
        <w:t xml:space="preserve"> shows the number of practices by three of the four dimensions used in the selection process for the program: location, practice size (based on the number of FTE GPs) and practice type (corporately owned, independent or Aboriginal Medical Service</w:t>
      </w:r>
      <w:bookmarkStart w:id="109" w:name="_Ref528764370"/>
      <w:r>
        <w:rPr>
          <w:rStyle w:val="FootnoteReference"/>
        </w:rPr>
        <w:footnoteReference w:id="6"/>
      </w:r>
      <w:bookmarkEnd w:id="109"/>
      <w:r>
        <w:t xml:space="preserve">). The Table also includes information on the level of socio-economic disadvantage of the communities in which practice are located, using the </w:t>
      </w:r>
      <w:r w:rsidRPr="00830EA6">
        <w:t>Australian Bureau of Statistics (ABS) Index of Relative Social Disadvantage</w:t>
      </w:r>
      <w:r>
        <w:t xml:space="preserve"> (IRDS). The index has been grouped into three categories using the deciles of the IRDS.</w:t>
      </w:r>
    </w:p>
    <w:p w14:paraId="092EA63C" w14:textId="77777777" w:rsidR="001C19F3" w:rsidRDefault="001C19F3" w:rsidP="001C19F3">
      <w:r>
        <w:t>The analysis suggests that certain practices characteristics were associated with withdrawing from the program. Specifically:</w:t>
      </w:r>
    </w:p>
    <w:p w14:paraId="5DAC0D95" w14:textId="77777777" w:rsidR="001C19F3" w:rsidRDefault="001C19F3" w:rsidP="001C19F3">
      <w:pPr>
        <w:pStyle w:val="ListParagraph"/>
        <w:numPr>
          <w:ilvl w:val="0"/>
          <w:numId w:val="33"/>
        </w:numPr>
      </w:pPr>
      <w:r>
        <w:t>Independent ownership category tended to have a lower rate of withdrawal.</w:t>
      </w:r>
    </w:p>
    <w:p w14:paraId="2C91F967" w14:textId="77777777" w:rsidR="001C19F3" w:rsidRDefault="001C19F3" w:rsidP="001C19F3">
      <w:pPr>
        <w:pStyle w:val="ListParagraph"/>
        <w:numPr>
          <w:ilvl w:val="0"/>
          <w:numId w:val="33"/>
        </w:numPr>
      </w:pPr>
      <w:r>
        <w:t>Practices located in major cities (</w:t>
      </w:r>
      <w:r w:rsidRPr="00A233DF">
        <w:t>Modified Monash Model – MMM</w:t>
      </w:r>
      <w:r>
        <w:t xml:space="preserve"> </w:t>
      </w:r>
      <w:r w:rsidRPr="00A233DF">
        <w:t>– category 1</w:t>
      </w:r>
      <w:r>
        <w:t>)</w:t>
      </w:r>
      <w:bookmarkStart w:id="111" w:name="_Ref528318367"/>
      <w:r w:rsidRPr="009274B5">
        <w:rPr>
          <w:rStyle w:val="FootnoteReference"/>
        </w:rPr>
        <w:footnoteReference w:id="7"/>
      </w:r>
      <w:bookmarkEnd w:id="111"/>
      <w:r>
        <w:t xml:space="preserve"> tended to have a lower rate.</w:t>
      </w:r>
    </w:p>
    <w:p w14:paraId="7719A9F3" w14:textId="77777777" w:rsidR="001C19F3" w:rsidRDefault="001C19F3" w:rsidP="001C19F3">
      <w:pPr>
        <w:pStyle w:val="ListParagraph"/>
        <w:numPr>
          <w:ilvl w:val="0"/>
          <w:numId w:val="33"/>
        </w:numPr>
      </w:pPr>
      <w:r>
        <w:t>Medium size practices (5-8 FTE GPs) tended to have a lower rate.</w:t>
      </w:r>
      <w:bookmarkStart w:id="114" w:name="_Ref527985257"/>
    </w:p>
    <w:p w14:paraId="2E99BEB2" w14:textId="77777777" w:rsidR="001C19F3" w:rsidRDefault="001C19F3" w:rsidP="001C19F3">
      <w:r>
        <w:t xml:space="preserve">There is no clear evidence that withdrawal from the trial is strongly associated with the social circumstances of practice populations. </w:t>
      </w:r>
    </w:p>
    <w:p w14:paraId="5B359066" w14:textId="77777777" w:rsidR="001C19F3" w:rsidRDefault="001C19F3" w:rsidP="001C19F3">
      <w:r>
        <w:br w:type="page"/>
      </w:r>
    </w:p>
    <w:p w14:paraId="30F17BD0" w14:textId="77777777" w:rsidR="001C19F3" w:rsidRDefault="001C19F3" w:rsidP="001C19F3">
      <w:pPr>
        <w:spacing w:after="0"/>
        <w:jc w:val="center"/>
        <w:rPr>
          <w:b/>
        </w:rPr>
      </w:pPr>
      <w:bookmarkStart w:id="115" w:name="_Ref20506337"/>
      <w:r w:rsidRPr="00830EA6">
        <w:rPr>
          <w:b/>
        </w:rPr>
        <w:lastRenderedPageBreak/>
        <w:t xml:space="preserve">Table </w:t>
      </w:r>
      <w:r w:rsidRPr="00830EA6">
        <w:rPr>
          <w:rFonts w:cs="Arial"/>
          <w:b/>
          <w:color w:val="000000" w:themeColor="text1"/>
        </w:rPr>
        <w:fldChar w:fldCharType="begin"/>
      </w:r>
      <w:r w:rsidRPr="00830EA6">
        <w:rPr>
          <w:rFonts w:cs="Arial"/>
          <w:b/>
          <w:color w:val="000000" w:themeColor="text1"/>
        </w:rPr>
        <w:instrText xml:space="preserve"> SEQ Table \* ARABIC </w:instrText>
      </w:r>
      <w:r w:rsidRPr="00830EA6">
        <w:rPr>
          <w:rFonts w:cs="Arial"/>
          <w:b/>
          <w:color w:val="000000" w:themeColor="text1"/>
        </w:rPr>
        <w:fldChar w:fldCharType="separate"/>
      </w:r>
      <w:r>
        <w:rPr>
          <w:rFonts w:cs="Arial"/>
          <w:b/>
          <w:noProof/>
          <w:color w:val="000000" w:themeColor="text1"/>
        </w:rPr>
        <w:t>3</w:t>
      </w:r>
      <w:r w:rsidRPr="00830EA6">
        <w:rPr>
          <w:rFonts w:cs="Arial"/>
          <w:b/>
          <w:color w:val="000000" w:themeColor="text1"/>
        </w:rPr>
        <w:fldChar w:fldCharType="end"/>
      </w:r>
      <w:bookmarkEnd w:id="114"/>
      <w:bookmarkEnd w:id="115"/>
      <w:r w:rsidRPr="00830EA6">
        <w:rPr>
          <w:b/>
        </w:rPr>
        <w:t xml:space="preserve"> – Participation status of practices and number of patients enrolled by active practices, by sampling strata</w:t>
      </w:r>
      <w:r w:rsidRPr="00A233DF">
        <w:rPr>
          <w:b/>
          <w:vertAlign w:val="superscript"/>
        </w:rPr>
        <w:t>1</w:t>
      </w:r>
      <w:r w:rsidRPr="00830EA6">
        <w:rPr>
          <w:b/>
        </w:rPr>
        <w:t>, as at 31 August 2019</w:t>
      </w:r>
      <w:r>
        <w:rPr>
          <w:b/>
        </w:rPr>
        <w:t xml:space="preserve"> </w:t>
      </w:r>
    </w:p>
    <w:tbl>
      <w:tblPr>
        <w:tblW w:w="8921" w:type="dxa"/>
        <w:jc w:val="center"/>
        <w:tblLayout w:type="fixed"/>
        <w:tblLook w:val="04A0" w:firstRow="1" w:lastRow="0" w:firstColumn="1" w:lastColumn="0" w:noHBand="0" w:noVBand="1"/>
      </w:tblPr>
      <w:tblGrid>
        <w:gridCol w:w="1904"/>
        <w:gridCol w:w="1584"/>
        <w:gridCol w:w="1322"/>
        <w:gridCol w:w="1417"/>
        <w:gridCol w:w="1560"/>
        <w:gridCol w:w="1134"/>
      </w:tblGrid>
      <w:tr w:rsidR="001C19F3" w14:paraId="16915BA5" w14:textId="77777777" w:rsidTr="00521305">
        <w:trPr>
          <w:cantSplit/>
          <w:trHeight w:val="333"/>
          <w:tblHeader/>
          <w:jc w:val="center"/>
        </w:trPr>
        <w:tc>
          <w:tcPr>
            <w:tcW w:w="1904"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B279D79" w14:textId="77777777" w:rsidR="001C19F3" w:rsidRDefault="001C19F3" w:rsidP="00521305">
            <w:pPr>
              <w:spacing w:after="0"/>
              <w:jc w:val="center"/>
            </w:pPr>
            <w:r>
              <w:rPr>
                <w:rFonts w:eastAsia="Century Gothic" w:cs="Century Gothic"/>
                <w:b/>
                <w:color w:val="FFFFFF"/>
                <w:sz w:val="18"/>
                <w:szCs w:val="18"/>
              </w:rPr>
              <w:t>Practice</w:t>
            </w:r>
            <w:r>
              <w:rPr>
                <w:rFonts w:eastAsia="Century Gothic" w:cs="Century Gothic"/>
                <w:b/>
                <w:color w:val="FFFFFF"/>
                <w:sz w:val="18"/>
                <w:szCs w:val="18"/>
              </w:rPr>
              <w:br/>
              <w:t>characteristic</w:t>
            </w:r>
          </w:p>
        </w:tc>
        <w:tc>
          <w:tcPr>
            <w:tcW w:w="1584"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9D10CA9" w14:textId="77777777" w:rsidR="001C19F3" w:rsidRDefault="001C19F3" w:rsidP="00521305">
            <w:pPr>
              <w:spacing w:after="0"/>
              <w:jc w:val="center"/>
            </w:pPr>
            <w:r>
              <w:rPr>
                <w:rFonts w:eastAsia="Century Gothic" w:cs="Century Gothic"/>
                <w:b/>
                <w:color w:val="FFFFFF"/>
                <w:sz w:val="18"/>
                <w:szCs w:val="18"/>
              </w:rPr>
              <w:t>Patients</w:t>
            </w:r>
            <w:r>
              <w:rPr>
                <w:rFonts w:eastAsia="Century Gothic" w:cs="Century Gothic"/>
                <w:b/>
                <w:color w:val="FFFFFF"/>
                <w:sz w:val="18"/>
                <w:szCs w:val="18"/>
              </w:rPr>
              <w:br/>
              <w:t>in active</w:t>
            </w:r>
            <w:r>
              <w:rPr>
                <w:rFonts w:eastAsia="Century Gothic" w:cs="Century Gothic"/>
                <w:b/>
                <w:color w:val="FFFFFF"/>
                <w:sz w:val="18"/>
                <w:szCs w:val="18"/>
              </w:rPr>
              <w:br/>
              <w:t>practices</w:t>
            </w:r>
          </w:p>
        </w:tc>
        <w:tc>
          <w:tcPr>
            <w:tcW w:w="5433"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3DFAA33" w14:textId="77777777" w:rsidR="001C19F3" w:rsidRDefault="001C19F3" w:rsidP="00521305">
            <w:pPr>
              <w:spacing w:after="0"/>
              <w:jc w:val="center"/>
            </w:pPr>
            <w:r>
              <w:rPr>
                <w:rFonts w:eastAsia="Century Gothic" w:cs="Century Gothic"/>
                <w:b/>
                <w:color w:val="FFFFFF"/>
                <w:sz w:val="18"/>
                <w:szCs w:val="18"/>
              </w:rPr>
              <w:t>Practices</w:t>
            </w:r>
          </w:p>
        </w:tc>
      </w:tr>
      <w:tr w:rsidR="001C19F3" w14:paraId="7E0716F0" w14:textId="77777777" w:rsidTr="00521305">
        <w:trPr>
          <w:cantSplit/>
          <w:trHeight w:val="297"/>
          <w:tblHeader/>
          <w:jc w:val="center"/>
        </w:trPr>
        <w:tc>
          <w:tcPr>
            <w:tcW w:w="1904"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17578BE" w14:textId="77777777" w:rsidR="001C19F3" w:rsidRDefault="001C19F3" w:rsidP="00521305">
            <w:pPr>
              <w:spacing w:after="0"/>
              <w:jc w:val="center"/>
            </w:pPr>
          </w:p>
        </w:tc>
        <w:tc>
          <w:tcPr>
            <w:tcW w:w="1584"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2A60CE1" w14:textId="77777777" w:rsidR="001C19F3" w:rsidRDefault="001C19F3" w:rsidP="00521305">
            <w:pPr>
              <w:spacing w:after="0"/>
              <w:jc w:val="center"/>
            </w:pPr>
          </w:p>
        </w:tc>
        <w:tc>
          <w:tcPr>
            <w:tcW w:w="132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748F73E" w14:textId="77777777" w:rsidR="001C19F3" w:rsidRDefault="001C19F3" w:rsidP="00521305">
            <w:pPr>
              <w:spacing w:after="0"/>
              <w:jc w:val="center"/>
            </w:pPr>
            <w:r>
              <w:rPr>
                <w:rFonts w:eastAsia="Century Gothic" w:cs="Century Gothic"/>
                <w:b/>
                <w:color w:val="FFFFFF"/>
                <w:sz w:val="18"/>
                <w:szCs w:val="18"/>
              </w:rPr>
              <w:t>Active</w:t>
            </w: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541E7C0" w14:textId="77777777" w:rsidR="001C19F3" w:rsidRDefault="001C19F3" w:rsidP="00521305">
            <w:pPr>
              <w:spacing w:after="0"/>
              <w:jc w:val="center"/>
            </w:pPr>
            <w:r>
              <w:rPr>
                <w:rFonts w:eastAsia="Century Gothic" w:cs="Century Gothic"/>
                <w:b/>
                <w:color w:val="FFFFFF"/>
                <w:sz w:val="18"/>
                <w:szCs w:val="18"/>
              </w:rPr>
              <w:t>Withdrawn</w:t>
            </w:r>
          </w:p>
        </w:tc>
        <w:tc>
          <w:tcPr>
            <w:tcW w:w="15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C64B5F8" w14:textId="77777777" w:rsidR="001C19F3" w:rsidRDefault="001C19F3" w:rsidP="00521305">
            <w:pPr>
              <w:spacing w:after="0"/>
              <w:jc w:val="center"/>
            </w:pPr>
            <w:r>
              <w:rPr>
                <w:rFonts w:eastAsia="Century Gothic" w:cs="Century Gothic"/>
                <w:b/>
                <w:color w:val="FFFFFF"/>
                <w:sz w:val="18"/>
                <w:szCs w:val="18"/>
              </w:rPr>
              <w:t>Total</w:t>
            </w:r>
          </w:p>
        </w:tc>
        <w:tc>
          <w:tcPr>
            <w:tcW w:w="113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EA5E9CC" w14:textId="77777777" w:rsidR="001C19F3" w:rsidRDefault="001C19F3" w:rsidP="00521305">
            <w:pPr>
              <w:spacing w:after="0"/>
              <w:jc w:val="center"/>
            </w:pPr>
            <w:r>
              <w:rPr>
                <w:rFonts w:eastAsia="Century Gothic" w:cs="Century Gothic"/>
                <w:b/>
                <w:color w:val="FFFFFF"/>
                <w:sz w:val="18"/>
                <w:szCs w:val="18"/>
              </w:rPr>
              <w:t>Percent</w:t>
            </w:r>
            <w:r>
              <w:rPr>
                <w:rFonts w:eastAsia="Century Gothic" w:cs="Century Gothic"/>
                <w:b/>
                <w:color w:val="FFFFFF"/>
                <w:sz w:val="18"/>
                <w:szCs w:val="18"/>
              </w:rPr>
              <w:br/>
              <w:t>withdrawn</w:t>
            </w:r>
          </w:p>
        </w:tc>
      </w:tr>
      <w:tr w:rsidR="001C19F3" w14:paraId="4F92F55E"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08019A" w14:textId="77777777" w:rsidR="001C19F3" w:rsidRDefault="001C19F3" w:rsidP="00521305">
            <w:pPr>
              <w:spacing w:before="40" w:after="40"/>
              <w:ind w:left="100" w:right="102"/>
            </w:pPr>
            <w:r>
              <w:rPr>
                <w:rFonts w:eastAsia="Century Gothic" w:cs="Century Gothic"/>
                <w:b/>
                <w:color w:val="000000"/>
                <w:sz w:val="18"/>
                <w:szCs w:val="18"/>
              </w:rPr>
              <w:t>Total</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325A12" w14:textId="77777777" w:rsidR="001C19F3" w:rsidRPr="00FF55DB" w:rsidRDefault="001C19F3" w:rsidP="00521305">
            <w:pPr>
              <w:spacing w:before="40" w:after="40"/>
              <w:ind w:left="100" w:right="102"/>
              <w:jc w:val="right"/>
            </w:pPr>
            <w:r w:rsidRPr="00461204">
              <w:rPr>
                <w:rFonts w:eastAsia="Century Gothic" w:cs="Century Gothic"/>
                <w:b/>
                <w:color w:val="000000"/>
                <w:sz w:val="18"/>
                <w:szCs w:val="18"/>
              </w:rPr>
              <w:t>10,161 (100.0%)</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B63863" w14:textId="77777777" w:rsidR="001C19F3" w:rsidRPr="00FF55DB" w:rsidRDefault="001C19F3" w:rsidP="00521305">
            <w:pPr>
              <w:spacing w:before="40" w:after="40"/>
              <w:ind w:left="100" w:right="102"/>
              <w:jc w:val="right"/>
            </w:pPr>
            <w:r w:rsidRPr="00FF55DB">
              <w:rPr>
                <w:rFonts w:eastAsia="Century Gothic" w:cs="Century Gothic"/>
                <w:b/>
                <w:color w:val="000000"/>
                <w:sz w:val="18"/>
                <w:szCs w:val="18"/>
              </w:rPr>
              <w:t>131 (100.0%)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9DEB42" w14:textId="77777777" w:rsidR="001C19F3" w:rsidRDefault="001C19F3" w:rsidP="00521305">
            <w:pPr>
              <w:spacing w:before="40" w:after="40"/>
              <w:ind w:left="100" w:right="102"/>
              <w:jc w:val="right"/>
            </w:pPr>
            <w:r>
              <w:rPr>
                <w:rFonts w:eastAsia="Century Gothic" w:cs="Century Gothic"/>
                <w:b/>
                <w:color w:val="000000"/>
                <w:sz w:val="18"/>
                <w:szCs w:val="18"/>
              </w:rPr>
              <w:t>96 (100.0%)</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570CC9" w14:textId="77777777" w:rsidR="001C19F3" w:rsidRDefault="001C19F3" w:rsidP="00521305">
            <w:pPr>
              <w:spacing w:before="40" w:after="40"/>
              <w:ind w:left="100" w:right="102"/>
              <w:jc w:val="right"/>
            </w:pPr>
            <w:r>
              <w:rPr>
                <w:rFonts w:eastAsia="Century Gothic" w:cs="Century Gothic"/>
                <w:b/>
                <w:color w:val="000000"/>
                <w:sz w:val="18"/>
                <w:szCs w:val="18"/>
              </w:rPr>
              <w:t>227 (100.0%)</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922B46" w14:textId="77777777" w:rsidR="001C19F3" w:rsidRDefault="001C19F3" w:rsidP="00521305">
            <w:pPr>
              <w:spacing w:before="40" w:after="40"/>
              <w:ind w:left="100" w:right="102"/>
              <w:jc w:val="right"/>
            </w:pPr>
            <w:r>
              <w:rPr>
                <w:rFonts w:eastAsia="Century Gothic" w:cs="Century Gothic"/>
                <w:b/>
                <w:color w:val="000000"/>
                <w:sz w:val="18"/>
                <w:szCs w:val="18"/>
              </w:rPr>
              <w:t>42.3%</w:t>
            </w:r>
          </w:p>
        </w:tc>
      </w:tr>
      <w:tr w:rsidR="001C19F3" w14:paraId="3B36E35D" w14:textId="77777777" w:rsidTr="00521305">
        <w:trPr>
          <w:cantSplit/>
          <w:trHeight w:val="20"/>
          <w:jc w:val="center"/>
        </w:trPr>
        <w:tc>
          <w:tcPr>
            <w:tcW w:w="8921"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DC084A" w14:textId="77777777" w:rsidR="001C19F3" w:rsidRDefault="001C19F3" w:rsidP="00521305">
            <w:pPr>
              <w:spacing w:before="40" w:after="40"/>
              <w:ind w:left="100" w:right="102"/>
            </w:pPr>
            <w:r>
              <w:rPr>
                <w:rFonts w:eastAsia="Century Gothic" w:cs="Century Gothic"/>
                <w:b/>
                <w:color w:val="000000"/>
                <w:sz w:val="18"/>
                <w:szCs w:val="18"/>
              </w:rPr>
              <w:t>Practice size (based on FTE GPs)</w:t>
            </w:r>
          </w:p>
        </w:tc>
      </w:tr>
      <w:tr w:rsidR="001C19F3" w14:paraId="30C9778F"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BD3084" w14:textId="77777777" w:rsidR="001C19F3" w:rsidRDefault="001C19F3" w:rsidP="00521305">
            <w:pPr>
              <w:spacing w:before="40" w:after="40"/>
              <w:ind w:left="160" w:right="102"/>
            </w:pPr>
            <w:r>
              <w:rPr>
                <w:rFonts w:eastAsia="Century Gothic" w:cs="Century Gothic"/>
                <w:color w:val="000000"/>
                <w:sz w:val="18"/>
                <w:szCs w:val="18"/>
              </w:rPr>
              <w:t>Sole practitioner</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FB079A" w14:textId="77777777" w:rsidR="001C19F3" w:rsidRDefault="001C19F3" w:rsidP="00521305">
            <w:pPr>
              <w:spacing w:before="40" w:after="40"/>
              <w:ind w:left="160" w:right="102"/>
              <w:jc w:val="right"/>
            </w:pPr>
            <w:r>
              <w:rPr>
                <w:rFonts w:eastAsia="Century Gothic" w:cs="Century Gothic"/>
                <w:color w:val="000000"/>
                <w:sz w:val="18"/>
                <w:szCs w:val="18"/>
              </w:rPr>
              <w:t>694 (6.8%)</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5F7C01" w14:textId="77777777" w:rsidR="001C19F3" w:rsidRDefault="001C19F3" w:rsidP="00521305">
            <w:pPr>
              <w:spacing w:before="40" w:after="40"/>
              <w:ind w:left="160" w:right="102"/>
              <w:jc w:val="right"/>
            </w:pPr>
            <w:r>
              <w:rPr>
                <w:rFonts w:eastAsia="Century Gothic" w:cs="Century Gothic"/>
                <w:color w:val="000000"/>
                <w:sz w:val="18"/>
                <w:szCs w:val="18"/>
              </w:rPr>
              <w:t>16 (12.2%)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252322" w14:textId="77777777" w:rsidR="001C19F3" w:rsidRDefault="001C19F3" w:rsidP="00521305">
            <w:pPr>
              <w:spacing w:before="40" w:after="40"/>
              <w:ind w:left="160" w:right="102"/>
              <w:jc w:val="right"/>
            </w:pPr>
            <w:r>
              <w:rPr>
                <w:rFonts w:eastAsia="Century Gothic" w:cs="Century Gothic"/>
                <w:color w:val="000000"/>
                <w:sz w:val="18"/>
                <w:szCs w:val="18"/>
              </w:rPr>
              <w:t>12 (12.5%)</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C19110" w14:textId="77777777" w:rsidR="001C19F3" w:rsidRDefault="001C19F3" w:rsidP="00521305">
            <w:pPr>
              <w:spacing w:before="40" w:after="40"/>
              <w:ind w:left="160" w:right="102"/>
              <w:jc w:val="right"/>
            </w:pPr>
            <w:r>
              <w:rPr>
                <w:rFonts w:eastAsia="Century Gothic" w:cs="Century Gothic"/>
                <w:color w:val="000000"/>
                <w:sz w:val="18"/>
                <w:szCs w:val="18"/>
              </w:rPr>
              <w:t>28 (12.3%)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E6F81E" w14:textId="77777777" w:rsidR="001C19F3" w:rsidRDefault="001C19F3" w:rsidP="00521305">
            <w:pPr>
              <w:spacing w:before="40" w:after="40"/>
              <w:ind w:left="160" w:right="102"/>
              <w:jc w:val="right"/>
            </w:pPr>
            <w:r>
              <w:rPr>
                <w:rFonts w:eastAsia="Century Gothic" w:cs="Century Gothic"/>
                <w:color w:val="000000"/>
                <w:sz w:val="18"/>
                <w:szCs w:val="18"/>
              </w:rPr>
              <w:t>42.9%</w:t>
            </w:r>
          </w:p>
        </w:tc>
      </w:tr>
      <w:tr w:rsidR="001C19F3" w14:paraId="565337E9"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FC6890" w14:textId="77777777" w:rsidR="001C19F3" w:rsidRDefault="001C19F3" w:rsidP="00521305">
            <w:pPr>
              <w:spacing w:before="40" w:after="40"/>
              <w:ind w:left="160" w:right="102"/>
            </w:pPr>
            <w:r>
              <w:rPr>
                <w:rFonts w:eastAsia="Century Gothic" w:cs="Century Gothic"/>
                <w:color w:val="000000"/>
                <w:sz w:val="18"/>
                <w:szCs w:val="18"/>
              </w:rPr>
              <w:t>Small practice</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443E51" w14:textId="77777777" w:rsidR="001C19F3" w:rsidRDefault="001C19F3" w:rsidP="00521305">
            <w:pPr>
              <w:spacing w:before="40" w:after="40"/>
              <w:ind w:left="160" w:right="102"/>
              <w:jc w:val="right"/>
            </w:pPr>
            <w:r>
              <w:rPr>
                <w:rFonts w:eastAsia="Century Gothic" w:cs="Century Gothic"/>
                <w:color w:val="000000"/>
                <w:sz w:val="18"/>
                <w:szCs w:val="18"/>
              </w:rPr>
              <w:t>4,118 (40.5%)</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1799BF" w14:textId="77777777" w:rsidR="001C19F3" w:rsidRDefault="001C19F3" w:rsidP="00521305">
            <w:pPr>
              <w:spacing w:before="40" w:after="40"/>
              <w:ind w:left="160" w:right="102"/>
              <w:jc w:val="right"/>
            </w:pPr>
            <w:r>
              <w:rPr>
                <w:rFonts w:eastAsia="Century Gothic" w:cs="Century Gothic"/>
                <w:color w:val="000000"/>
                <w:sz w:val="18"/>
                <w:szCs w:val="18"/>
              </w:rPr>
              <w:t>64 (48.9%)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71F295" w14:textId="77777777" w:rsidR="001C19F3" w:rsidRDefault="001C19F3" w:rsidP="00521305">
            <w:pPr>
              <w:spacing w:before="40" w:after="40"/>
              <w:ind w:left="160" w:right="102"/>
              <w:jc w:val="right"/>
            </w:pPr>
            <w:r>
              <w:rPr>
                <w:rFonts w:eastAsia="Century Gothic" w:cs="Century Gothic"/>
                <w:color w:val="000000"/>
                <w:sz w:val="18"/>
                <w:szCs w:val="18"/>
              </w:rPr>
              <w:t>48 (50.0%)</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73E876" w14:textId="77777777" w:rsidR="001C19F3" w:rsidRDefault="001C19F3" w:rsidP="00521305">
            <w:pPr>
              <w:spacing w:before="40" w:after="40"/>
              <w:ind w:left="160" w:right="102"/>
              <w:jc w:val="right"/>
            </w:pPr>
            <w:r>
              <w:rPr>
                <w:rFonts w:eastAsia="Century Gothic" w:cs="Century Gothic"/>
                <w:color w:val="000000"/>
                <w:sz w:val="18"/>
                <w:szCs w:val="18"/>
              </w:rPr>
              <w:t>112 (49.3%)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A9E8C3" w14:textId="77777777" w:rsidR="001C19F3" w:rsidRDefault="001C19F3" w:rsidP="00521305">
            <w:pPr>
              <w:spacing w:before="40" w:after="40"/>
              <w:ind w:left="160" w:right="102"/>
              <w:jc w:val="right"/>
            </w:pPr>
            <w:r>
              <w:rPr>
                <w:rFonts w:eastAsia="Century Gothic" w:cs="Century Gothic"/>
                <w:color w:val="000000"/>
                <w:sz w:val="18"/>
                <w:szCs w:val="18"/>
              </w:rPr>
              <w:t>42.9%</w:t>
            </w:r>
          </w:p>
        </w:tc>
      </w:tr>
      <w:tr w:rsidR="001C19F3" w14:paraId="5058E35C"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94D2E4" w14:textId="77777777" w:rsidR="001C19F3" w:rsidRDefault="001C19F3" w:rsidP="00521305">
            <w:pPr>
              <w:spacing w:before="40" w:after="40"/>
              <w:ind w:left="160" w:right="102"/>
            </w:pPr>
            <w:r>
              <w:rPr>
                <w:rFonts w:eastAsia="Century Gothic" w:cs="Century Gothic"/>
                <w:color w:val="000000"/>
                <w:sz w:val="18"/>
                <w:szCs w:val="18"/>
              </w:rPr>
              <w:t>Medium practice</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6B4839" w14:textId="77777777" w:rsidR="001C19F3" w:rsidRDefault="001C19F3" w:rsidP="00521305">
            <w:pPr>
              <w:spacing w:before="40" w:after="40"/>
              <w:ind w:left="160" w:right="102"/>
              <w:jc w:val="right"/>
            </w:pPr>
            <w:r>
              <w:rPr>
                <w:rFonts w:eastAsia="Century Gothic" w:cs="Century Gothic"/>
                <w:color w:val="000000"/>
                <w:sz w:val="18"/>
                <w:szCs w:val="18"/>
              </w:rPr>
              <w:t>3,026 (29.8%)</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BE92EB" w14:textId="77777777" w:rsidR="001C19F3" w:rsidRDefault="001C19F3" w:rsidP="00521305">
            <w:pPr>
              <w:spacing w:before="40" w:after="40"/>
              <w:ind w:left="160" w:right="102"/>
              <w:jc w:val="right"/>
            </w:pPr>
            <w:r>
              <w:rPr>
                <w:rFonts w:eastAsia="Century Gothic" w:cs="Century Gothic"/>
                <w:color w:val="000000"/>
                <w:sz w:val="18"/>
                <w:szCs w:val="18"/>
              </w:rPr>
              <w:t>27 (20.6%)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16FD8A" w14:textId="77777777" w:rsidR="001C19F3" w:rsidRDefault="001C19F3" w:rsidP="00521305">
            <w:pPr>
              <w:spacing w:before="40" w:after="40"/>
              <w:ind w:left="160" w:right="102"/>
              <w:jc w:val="right"/>
            </w:pPr>
            <w:r>
              <w:rPr>
                <w:rFonts w:eastAsia="Century Gothic" w:cs="Century Gothic"/>
                <w:color w:val="000000"/>
                <w:sz w:val="18"/>
                <w:szCs w:val="18"/>
              </w:rPr>
              <w:t>16 (16.7%)</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096B81" w14:textId="77777777" w:rsidR="001C19F3" w:rsidRDefault="001C19F3" w:rsidP="00521305">
            <w:pPr>
              <w:spacing w:before="40" w:after="40"/>
              <w:ind w:left="160" w:right="102"/>
              <w:jc w:val="right"/>
            </w:pPr>
            <w:r>
              <w:rPr>
                <w:rFonts w:eastAsia="Century Gothic" w:cs="Century Gothic"/>
                <w:color w:val="000000"/>
                <w:sz w:val="18"/>
                <w:szCs w:val="18"/>
              </w:rPr>
              <w:t>43 (18.9%)</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6DFB93" w14:textId="77777777" w:rsidR="001C19F3" w:rsidRDefault="001C19F3" w:rsidP="00521305">
            <w:pPr>
              <w:spacing w:before="40" w:after="40"/>
              <w:ind w:left="160" w:right="102"/>
              <w:jc w:val="right"/>
            </w:pPr>
            <w:r>
              <w:rPr>
                <w:rFonts w:eastAsia="Century Gothic" w:cs="Century Gothic"/>
                <w:color w:val="000000"/>
                <w:sz w:val="18"/>
                <w:szCs w:val="18"/>
              </w:rPr>
              <w:t>37.2%</w:t>
            </w:r>
          </w:p>
        </w:tc>
      </w:tr>
      <w:tr w:rsidR="001C19F3" w14:paraId="35236B7A"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1719A9" w14:textId="77777777" w:rsidR="001C19F3" w:rsidRDefault="001C19F3" w:rsidP="00521305">
            <w:pPr>
              <w:spacing w:before="40" w:after="40"/>
              <w:ind w:left="160" w:right="102"/>
            </w:pPr>
            <w:r>
              <w:rPr>
                <w:rFonts w:eastAsia="Century Gothic" w:cs="Century Gothic"/>
                <w:color w:val="000000"/>
                <w:sz w:val="18"/>
                <w:szCs w:val="18"/>
              </w:rPr>
              <w:t>Large practice</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0660C" w14:textId="77777777" w:rsidR="001C19F3" w:rsidRDefault="001C19F3" w:rsidP="00521305">
            <w:pPr>
              <w:spacing w:before="40" w:after="40"/>
              <w:ind w:left="160" w:right="102"/>
              <w:jc w:val="right"/>
            </w:pPr>
            <w:r>
              <w:rPr>
                <w:rFonts w:eastAsia="Century Gothic" w:cs="Century Gothic"/>
                <w:color w:val="000000"/>
                <w:sz w:val="18"/>
                <w:szCs w:val="18"/>
              </w:rPr>
              <w:t>2,323 (22.9%)</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97CBBB" w14:textId="77777777" w:rsidR="001C19F3" w:rsidRDefault="001C19F3" w:rsidP="00521305">
            <w:pPr>
              <w:spacing w:before="40" w:after="40"/>
              <w:ind w:left="160" w:right="102"/>
              <w:jc w:val="right"/>
            </w:pPr>
            <w:r>
              <w:rPr>
                <w:rFonts w:eastAsia="Century Gothic" w:cs="Century Gothic"/>
                <w:color w:val="000000"/>
                <w:sz w:val="18"/>
                <w:szCs w:val="18"/>
              </w:rPr>
              <w:t>24 (18.3%)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6F71AB" w14:textId="77777777" w:rsidR="001C19F3" w:rsidRDefault="001C19F3" w:rsidP="00521305">
            <w:pPr>
              <w:spacing w:before="40" w:after="40"/>
              <w:ind w:left="160" w:right="102"/>
              <w:jc w:val="right"/>
            </w:pPr>
            <w:r>
              <w:rPr>
                <w:rFonts w:eastAsia="Century Gothic" w:cs="Century Gothic"/>
                <w:color w:val="000000"/>
                <w:sz w:val="18"/>
                <w:szCs w:val="18"/>
              </w:rPr>
              <w:t>20 (20.8%)</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687174" w14:textId="77777777" w:rsidR="001C19F3" w:rsidRDefault="001C19F3" w:rsidP="00521305">
            <w:pPr>
              <w:spacing w:before="40" w:after="40"/>
              <w:ind w:left="160" w:right="102"/>
              <w:jc w:val="right"/>
            </w:pPr>
            <w:r>
              <w:rPr>
                <w:rFonts w:eastAsia="Century Gothic" w:cs="Century Gothic"/>
                <w:color w:val="000000"/>
                <w:sz w:val="18"/>
                <w:szCs w:val="18"/>
              </w:rPr>
              <w:t>44 (19.4%)</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D56228" w14:textId="77777777" w:rsidR="001C19F3" w:rsidRDefault="001C19F3" w:rsidP="00521305">
            <w:pPr>
              <w:spacing w:before="40" w:after="40"/>
              <w:ind w:left="160" w:right="102"/>
              <w:jc w:val="right"/>
            </w:pPr>
            <w:r>
              <w:rPr>
                <w:rFonts w:eastAsia="Century Gothic" w:cs="Century Gothic"/>
                <w:color w:val="000000"/>
                <w:sz w:val="18"/>
                <w:szCs w:val="18"/>
              </w:rPr>
              <w:t>45.5%</w:t>
            </w:r>
          </w:p>
        </w:tc>
      </w:tr>
      <w:tr w:rsidR="001C19F3" w14:paraId="48AC6E86" w14:textId="77777777" w:rsidTr="00521305">
        <w:trPr>
          <w:cantSplit/>
          <w:trHeight w:val="20"/>
          <w:jc w:val="center"/>
        </w:trPr>
        <w:tc>
          <w:tcPr>
            <w:tcW w:w="8921"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DF0415" w14:textId="77777777" w:rsidR="001C19F3" w:rsidRDefault="001C19F3" w:rsidP="00521305">
            <w:pPr>
              <w:spacing w:before="40" w:after="40"/>
              <w:ind w:left="100" w:right="102"/>
            </w:pPr>
            <w:r>
              <w:rPr>
                <w:rFonts w:eastAsia="Century Gothic" w:cs="Century Gothic"/>
                <w:b/>
                <w:color w:val="000000"/>
                <w:sz w:val="18"/>
                <w:szCs w:val="18"/>
              </w:rPr>
              <w:t>Practice ownership</w:t>
            </w:r>
          </w:p>
        </w:tc>
      </w:tr>
      <w:tr w:rsidR="001C19F3" w14:paraId="0FF38338"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18DCCE" w14:textId="77777777" w:rsidR="001C19F3" w:rsidRDefault="001C19F3" w:rsidP="00521305">
            <w:pPr>
              <w:spacing w:before="40" w:after="40"/>
              <w:ind w:left="160" w:right="102"/>
            </w:pPr>
            <w:r>
              <w:rPr>
                <w:rFonts w:eastAsia="Century Gothic" w:cs="Century Gothic"/>
                <w:color w:val="000000"/>
                <w:sz w:val="18"/>
                <w:szCs w:val="18"/>
              </w:rPr>
              <w:t>AMS</w:t>
            </w:r>
            <w:r w:rsidRPr="00A233DF">
              <w:rPr>
                <w:rFonts w:eastAsia="Century Gothic" w:cs="Century Gothic"/>
                <w:color w:val="000000"/>
                <w:sz w:val="18"/>
                <w:szCs w:val="18"/>
                <w:vertAlign w:val="superscript"/>
              </w:rPr>
              <w:t>2</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DB814F" w14:textId="77777777" w:rsidR="001C19F3" w:rsidRDefault="001C19F3" w:rsidP="00521305">
            <w:pPr>
              <w:spacing w:before="40" w:after="40"/>
              <w:ind w:left="160" w:right="102"/>
              <w:jc w:val="right"/>
            </w:pPr>
            <w:r>
              <w:rPr>
                <w:rFonts w:eastAsia="Century Gothic" w:cs="Century Gothic"/>
                <w:color w:val="000000"/>
                <w:sz w:val="18"/>
                <w:szCs w:val="18"/>
              </w:rPr>
              <w:t>1,579 (15.5%)</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FC8F8F" w14:textId="77777777" w:rsidR="001C19F3" w:rsidRDefault="001C19F3" w:rsidP="00521305">
            <w:pPr>
              <w:spacing w:before="40" w:after="40"/>
              <w:ind w:left="160" w:right="102"/>
              <w:jc w:val="right"/>
            </w:pPr>
            <w:r>
              <w:rPr>
                <w:rFonts w:eastAsia="Century Gothic" w:cs="Century Gothic"/>
                <w:color w:val="000000"/>
                <w:sz w:val="18"/>
                <w:szCs w:val="18"/>
              </w:rPr>
              <w:t>17 (13.0%)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1C5551" w14:textId="77777777" w:rsidR="001C19F3" w:rsidRDefault="001C19F3" w:rsidP="00521305">
            <w:pPr>
              <w:spacing w:before="40" w:after="40"/>
              <w:ind w:left="160" w:right="102"/>
              <w:jc w:val="right"/>
            </w:pPr>
            <w:r>
              <w:rPr>
                <w:rFonts w:eastAsia="Century Gothic" w:cs="Century Gothic"/>
                <w:color w:val="000000"/>
                <w:sz w:val="18"/>
                <w:szCs w:val="18"/>
              </w:rPr>
              <w:t>15 (15.6%)</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01BB5A" w14:textId="77777777" w:rsidR="001C19F3" w:rsidRDefault="001C19F3" w:rsidP="00521305">
            <w:pPr>
              <w:spacing w:before="40" w:after="40"/>
              <w:ind w:left="160" w:right="102"/>
              <w:jc w:val="right"/>
            </w:pPr>
            <w:r>
              <w:rPr>
                <w:rFonts w:eastAsia="Century Gothic" w:cs="Century Gothic"/>
                <w:color w:val="000000"/>
                <w:sz w:val="18"/>
                <w:szCs w:val="18"/>
              </w:rPr>
              <w:t>32 (14.1%)</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7D24A4" w14:textId="77777777" w:rsidR="001C19F3" w:rsidRDefault="001C19F3" w:rsidP="00521305">
            <w:pPr>
              <w:spacing w:before="40" w:after="40"/>
              <w:ind w:left="160" w:right="102"/>
              <w:jc w:val="right"/>
            </w:pPr>
            <w:r>
              <w:rPr>
                <w:rFonts w:eastAsia="Century Gothic" w:cs="Century Gothic"/>
                <w:color w:val="000000"/>
                <w:sz w:val="18"/>
                <w:szCs w:val="18"/>
              </w:rPr>
              <w:t>46.9%</w:t>
            </w:r>
          </w:p>
        </w:tc>
      </w:tr>
      <w:tr w:rsidR="001C19F3" w14:paraId="2FD20657"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FDB471" w14:textId="77777777" w:rsidR="001C19F3" w:rsidRDefault="001C19F3" w:rsidP="00521305">
            <w:pPr>
              <w:spacing w:before="40" w:after="40"/>
              <w:ind w:left="160" w:right="102"/>
            </w:pPr>
            <w:r>
              <w:rPr>
                <w:rFonts w:eastAsia="Century Gothic" w:cs="Century Gothic"/>
                <w:color w:val="000000"/>
                <w:sz w:val="18"/>
                <w:szCs w:val="18"/>
              </w:rPr>
              <w:t>Independent</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001644" w14:textId="77777777" w:rsidR="001C19F3" w:rsidRDefault="001C19F3" w:rsidP="00521305">
            <w:pPr>
              <w:spacing w:before="40" w:after="40"/>
              <w:ind w:left="160" w:right="102"/>
              <w:jc w:val="right"/>
            </w:pPr>
            <w:r>
              <w:rPr>
                <w:rFonts w:eastAsia="Century Gothic" w:cs="Century Gothic"/>
                <w:color w:val="000000"/>
                <w:sz w:val="18"/>
                <w:szCs w:val="18"/>
              </w:rPr>
              <w:t>7,302 (71.9%)</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62DF8E" w14:textId="77777777" w:rsidR="001C19F3" w:rsidRDefault="001C19F3" w:rsidP="00521305">
            <w:pPr>
              <w:spacing w:before="40" w:after="40"/>
              <w:ind w:left="160" w:right="102"/>
              <w:jc w:val="right"/>
            </w:pPr>
            <w:r>
              <w:rPr>
                <w:rFonts w:eastAsia="Century Gothic" w:cs="Century Gothic"/>
                <w:color w:val="000000"/>
                <w:sz w:val="18"/>
                <w:szCs w:val="18"/>
              </w:rPr>
              <w:t>94 (71.8%)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2734E9" w14:textId="77777777" w:rsidR="001C19F3" w:rsidRDefault="001C19F3" w:rsidP="00521305">
            <w:pPr>
              <w:spacing w:before="40" w:after="40"/>
              <w:ind w:left="160" w:right="102"/>
              <w:jc w:val="right"/>
            </w:pPr>
            <w:r>
              <w:rPr>
                <w:rFonts w:eastAsia="Century Gothic" w:cs="Century Gothic"/>
                <w:color w:val="000000"/>
                <w:sz w:val="18"/>
                <w:szCs w:val="18"/>
              </w:rPr>
              <w:t>43 (44.8%)</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259ED1" w14:textId="77777777" w:rsidR="001C19F3" w:rsidRDefault="001C19F3" w:rsidP="00521305">
            <w:pPr>
              <w:spacing w:before="40" w:after="40"/>
              <w:ind w:left="160" w:right="102"/>
              <w:jc w:val="right"/>
            </w:pPr>
            <w:r>
              <w:rPr>
                <w:rFonts w:eastAsia="Century Gothic" w:cs="Century Gothic"/>
                <w:color w:val="000000"/>
                <w:sz w:val="18"/>
                <w:szCs w:val="18"/>
              </w:rPr>
              <w:t>137 (60.4%)</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4A9F67" w14:textId="77777777" w:rsidR="001C19F3" w:rsidRDefault="001C19F3" w:rsidP="00521305">
            <w:pPr>
              <w:spacing w:before="40" w:after="40"/>
              <w:ind w:left="160" w:right="102"/>
              <w:jc w:val="right"/>
            </w:pPr>
            <w:r>
              <w:rPr>
                <w:rFonts w:eastAsia="Century Gothic" w:cs="Century Gothic"/>
                <w:color w:val="000000"/>
                <w:sz w:val="18"/>
                <w:szCs w:val="18"/>
              </w:rPr>
              <w:t>31.4%</w:t>
            </w:r>
          </w:p>
        </w:tc>
      </w:tr>
      <w:tr w:rsidR="001C19F3" w14:paraId="21200FC5"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49FBDE" w14:textId="77777777" w:rsidR="001C19F3" w:rsidRDefault="001C19F3" w:rsidP="00521305">
            <w:pPr>
              <w:spacing w:before="40" w:after="40"/>
              <w:ind w:left="160" w:right="102"/>
            </w:pPr>
            <w:r>
              <w:rPr>
                <w:rFonts w:eastAsia="Century Gothic" w:cs="Century Gothic"/>
                <w:color w:val="000000"/>
                <w:sz w:val="18"/>
                <w:szCs w:val="18"/>
              </w:rPr>
              <w:t>Corporate</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503955" w14:textId="77777777" w:rsidR="001C19F3" w:rsidRDefault="001C19F3" w:rsidP="00521305">
            <w:pPr>
              <w:spacing w:before="40" w:after="40"/>
              <w:ind w:left="160" w:right="102"/>
              <w:jc w:val="right"/>
            </w:pPr>
            <w:r>
              <w:rPr>
                <w:rFonts w:eastAsia="Century Gothic" w:cs="Century Gothic"/>
                <w:color w:val="000000"/>
                <w:sz w:val="18"/>
                <w:szCs w:val="18"/>
              </w:rPr>
              <w:t>1,280 (12.6%)</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B448E0" w14:textId="77777777" w:rsidR="001C19F3" w:rsidRDefault="001C19F3" w:rsidP="00521305">
            <w:pPr>
              <w:spacing w:before="40" w:after="40"/>
              <w:ind w:left="160" w:right="102"/>
              <w:jc w:val="right"/>
            </w:pPr>
            <w:r>
              <w:rPr>
                <w:rFonts w:eastAsia="Century Gothic" w:cs="Century Gothic"/>
                <w:color w:val="000000"/>
                <w:sz w:val="18"/>
                <w:szCs w:val="18"/>
              </w:rPr>
              <w:t>20 (15.3%)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5C686D" w14:textId="77777777" w:rsidR="001C19F3" w:rsidRDefault="001C19F3" w:rsidP="00521305">
            <w:pPr>
              <w:spacing w:before="40" w:after="40"/>
              <w:ind w:left="160" w:right="102"/>
              <w:jc w:val="right"/>
            </w:pPr>
            <w:r>
              <w:rPr>
                <w:rFonts w:eastAsia="Century Gothic" w:cs="Century Gothic"/>
                <w:color w:val="000000"/>
                <w:sz w:val="18"/>
                <w:szCs w:val="18"/>
              </w:rPr>
              <w:t>38 (39.6%)</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1F2080" w14:textId="77777777" w:rsidR="001C19F3" w:rsidRDefault="001C19F3" w:rsidP="00521305">
            <w:pPr>
              <w:spacing w:before="40" w:after="40"/>
              <w:ind w:left="160" w:right="102"/>
              <w:jc w:val="right"/>
            </w:pPr>
            <w:r>
              <w:rPr>
                <w:rFonts w:eastAsia="Century Gothic" w:cs="Century Gothic"/>
                <w:color w:val="000000"/>
                <w:sz w:val="18"/>
                <w:szCs w:val="18"/>
              </w:rPr>
              <w:t>58 (25.6%)</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2E8E8F" w14:textId="77777777" w:rsidR="001C19F3" w:rsidRDefault="001C19F3" w:rsidP="00521305">
            <w:pPr>
              <w:spacing w:before="40" w:after="40"/>
              <w:ind w:left="160" w:right="102"/>
              <w:jc w:val="right"/>
            </w:pPr>
            <w:r>
              <w:rPr>
                <w:rFonts w:eastAsia="Century Gothic" w:cs="Century Gothic"/>
                <w:color w:val="000000"/>
                <w:sz w:val="18"/>
                <w:szCs w:val="18"/>
              </w:rPr>
              <w:t>65.5%</w:t>
            </w:r>
          </w:p>
        </w:tc>
      </w:tr>
      <w:tr w:rsidR="001C19F3" w14:paraId="1BC9774B" w14:textId="77777777" w:rsidTr="00521305">
        <w:trPr>
          <w:cantSplit/>
          <w:trHeight w:val="20"/>
          <w:jc w:val="center"/>
        </w:trPr>
        <w:tc>
          <w:tcPr>
            <w:tcW w:w="8921"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09A9F1" w14:textId="77777777" w:rsidR="001C19F3" w:rsidRDefault="001C19F3" w:rsidP="00521305">
            <w:pPr>
              <w:spacing w:before="40" w:after="40"/>
              <w:ind w:left="100" w:right="102"/>
            </w:pPr>
            <w:r>
              <w:rPr>
                <w:rFonts w:eastAsia="Century Gothic" w:cs="Century Gothic"/>
                <w:b/>
                <w:color w:val="000000"/>
                <w:sz w:val="18"/>
                <w:szCs w:val="18"/>
              </w:rPr>
              <w:t>Remoteness (MMM category)</w:t>
            </w:r>
            <w:r>
              <w:rPr>
                <w:rFonts w:eastAsia="Century Gothic" w:cs="Century Gothic"/>
                <w:b/>
                <w:color w:val="000000"/>
                <w:sz w:val="18"/>
                <w:szCs w:val="18"/>
                <w:vertAlign w:val="superscript"/>
              </w:rPr>
              <w:t>3</w:t>
            </w:r>
          </w:p>
        </w:tc>
      </w:tr>
      <w:tr w:rsidR="001C19F3" w14:paraId="3DF31D01"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F22B93" w14:textId="77777777" w:rsidR="001C19F3" w:rsidRDefault="001C19F3" w:rsidP="00521305">
            <w:pPr>
              <w:spacing w:before="40" w:after="40"/>
              <w:ind w:left="160" w:right="102"/>
            </w:pPr>
            <w:r>
              <w:rPr>
                <w:rFonts w:eastAsia="Century Gothic" w:cs="Century Gothic"/>
                <w:color w:val="000000"/>
                <w:sz w:val="18"/>
                <w:szCs w:val="18"/>
              </w:rPr>
              <w:t>MMM 1</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7E6A23" w14:textId="77777777" w:rsidR="001C19F3" w:rsidRDefault="001C19F3" w:rsidP="00521305">
            <w:pPr>
              <w:spacing w:before="40" w:after="40"/>
              <w:ind w:left="160" w:right="102"/>
              <w:jc w:val="right"/>
            </w:pPr>
            <w:r>
              <w:rPr>
                <w:rFonts w:eastAsia="Century Gothic" w:cs="Century Gothic"/>
                <w:color w:val="000000"/>
                <w:sz w:val="18"/>
                <w:szCs w:val="18"/>
              </w:rPr>
              <w:t>7,020 (69.1%)</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BAA259" w14:textId="77777777" w:rsidR="001C19F3" w:rsidRDefault="001C19F3" w:rsidP="00521305">
            <w:pPr>
              <w:spacing w:before="40" w:after="40"/>
              <w:ind w:left="160" w:right="102"/>
              <w:jc w:val="right"/>
            </w:pPr>
            <w:r>
              <w:rPr>
                <w:rFonts w:eastAsia="Century Gothic" w:cs="Century Gothic"/>
                <w:color w:val="000000"/>
                <w:sz w:val="18"/>
                <w:szCs w:val="18"/>
              </w:rPr>
              <w:t>91 (69.5%)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F2FDCF" w14:textId="77777777" w:rsidR="001C19F3" w:rsidRDefault="001C19F3" w:rsidP="00521305">
            <w:pPr>
              <w:spacing w:before="40" w:after="40"/>
              <w:ind w:left="160" w:right="102"/>
              <w:jc w:val="right"/>
            </w:pPr>
            <w:r>
              <w:rPr>
                <w:rFonts w:eastAsia="Century Gothic" w:cs="Century Gothic"/>
                <w:color w:val="000000"/>
                <w:sz w:val="18"/>
                <w:szCs w:val="18"/>
              </w:rPr>
              <w:t>55 (57.3%)</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FFC0FF" w14:textId="77777777" w:rsidR="001C19F3" w:rsidRDefault="001C19F3" w:rsidP="00521305">
            <w:pPr>
              <w:spacing w:before="40" w:after="40"/>
              <w:ind w:left="160" w:right="102"/>
              <w:jc w:val="right"/>
            </w:pPr>
            <w:r>
              <w:rPr>
                <w:rFonts w:eastAsia="Century Gothic" w:cs="Century Gothic"/>
                <w:color w:val="000000"/>
                <w:sz w:val="18"/>
                <w:szCs w:val="18"/>
              </w:rPr>
              <w:t>146 (64.3%)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9BC576" w14:textId="77777777" w:rsidR="001C19F3" w:rsidRDefault="001C19F3" w:rsidP="00521305">
            <w:pPr>
              <w:spacing w:before="40" w:after="40"/>
              <w:ind w:left="160" w:right="102"/>
              <w:jc w:val="right"/>
            </w:pPr>
            <w:r>
              <w:rPr>
                <w:rFonts w:eastAsia="Century Gothic" w:cs="Century Gothic"/>
                <w:color w:val="000000"/>
                <w:sz w:val="18"/>
                <w:szCs w:val="18"/>
              </w:rPr>
              <w:t>37.7%</w:t>
            </w:r>
          </w:p>
        </w:tc>
      </w:tr>
      <w:tr w:rsidR="001C19F3" w14:paraId="3201DCDF"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AC80BD" w14:textId="77777777" w:rsidR="001C19F3" w:rsidRDefault="001C19F3" w:rsidP="00521305">
            <w:pPr>
              <w:spacing w:before="40" w:after="40"/>
              <w:ind w:left="160" w:right="102"/>
            </w:pPr>
            <w:r>
              <w:rPr>
                <w:rFonts w:eastAsia="Century Gothic" w:cs="Century Gothic"/>
                <w:color w:val="000000"/>
                <w:sz w:val="18"/>
                <w:szCs w:val="18"/>
              </w:rPr>
              <w:t>MMM 2</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D3902E" w14:textId="77777777" w:rsidR="001C19F3" w:rsidRDefault="001C19F3" w:rsidP="00521305">
            <w:pPr>
              <w:spacing w:before="40" w:after="40"/>
              <w:ind w:left="160" w:right="102"/>
              <w:jc w:val="right"/>
            </w:pPr>
            <w:r>
              <w:rPr>
                <w:rFonts w:eastAsia="Century Gothic" w:cs="Century Gothic"/>
                <w:color w:val="000000"/>
                <w:sz w:val="18"/>
                <w:szCs w:val="18"/>
              </w:rPr>
              <w:t>523 (5.1%)</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4EED0F" w14:textId="77777777" w:rsidR="001C19F3" w:rsidRDefault="001C19F3" w:rsidP="00521305">
            <w:pPr>
              <w:spacing w:before="40" w:after="40"/>
              <w:ind w:left="160" w:right="102"/>
              <w:jc w:val="right"/>
            </w:pPr>
            <w:r>
              <w:rPr>
                <w:rFonts w:eastAsia="Century Gothic" w:cs="Century Gothic"/>
                <w:color w:val="000000"/>
                <w:sz w:val="18"/>
                <w:szCs w:val="18"/>
              </w:rPr>
              <w:t>14 (10.7%)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E922B4" w14:textId="77777777" w:rsidR="001C19F3" w:rsidRDefault="001C19F3" w:rsidP="00521305">
            <w:pPr>
              <w:spacing w:before="40" w:after="40"/>
              <w:ind w:left="160" w:right="102"/>
              <w:jc w:val="right"/>
            </w:pPr>
            <w:r>
              <w:rPr>
                <w:rFonts w:eastAsia="Century Gothic" w:cs="Century Gothic"/>
                <w:color w:val="000000"/>
                <w:sz w:val="18"/>
                <w:szCs w:val="18"/>
              </w:rPr>
              <w:t>20 (20.8%)</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E52D75" w14:textId="77777777" w:rsidR="001C19F3" w:rsidRDefault="001C19F3" w:rsidP="00521305">
            <w:pPr>
              <w:spacing w:before="40" w:after="40"/>
              <w:ind w:left="160" w:right="102"/>
              <w:jc w:val="right"/>
            </w:pPr>
            <w:r>
              <w:rPr>
                <w:rFonts w:eastAsia="Century Gothic" w:cs="Century Gothic"/>
                <w:color w:val="000000"/>
                <w:sz w:val="18"/>
                <w:szCs w:val="18"/>
              </w:rPr>
              <w:t>34 (15.0%)</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0DA1B7" w14:textId="77777777" w:rsidR="001C19F3" w:rsidRDefault="001C19F3" w:rsidP="00521305">
            <w:pPr>
              <w:spacing w:before="40" w:after="40"/>
              <w:ind w:left="160" w:right="102"/>
              <w:jc w:val="right"/>
            </w:pPr>
            <w:r>
              <w:rPr>
                <w:rFonts w:eastAsia="Century Gothic" w:cs="Century Gothic"/>
                <w:color w:val="000000"/>
                <w:sz w:val="18"/>
                <w:szCs w:val="18"/>
              </w:rPr>
              <w:t>58.8%</w:t>
            </w:r>
          </w:p>
        </w:tc>
      </w:tr>
      <w:tr w:rsidR="001C19F3" w14:paraId="463CD80F"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83265D" w14:textId="77777777" w:rsidR="001C19F3" w:rsidRDefault="001C19F3" w:rsidP="00521305">
            <w:pPr>
              <w:spacing w:before="40" w:after="40"/>
              <w:ind w:left="160" w:right="102"/>
            </w:pPr>
            <w:r>
              <w:rPr>
                <w:rFonts w:eastAsia="Century Gothic" w:cs="Century Gothic"/>
                <w:color w:val="000000"/>
                <w:sz w:val="18"/>
                <w:szCs w:val="18"/>
              </w:rPr>
              <w:t>MMM 3</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637EFA" w14:textId="77777777" w:rsidR="001C19F3" w:rsidRDefault="001C19F3" w:rsidP="00521305">
            <w:pPr>
              <w:spacing w:before="40" w:after="40"/>
              <w:ind w:left="160" w:right="102"/>
              <w:jc w:val="right"/>
            </w:pPr>
            <w:r>
              <w:rPr>
                <w:rFonts w:eastAsia="Century Gothic" w:cs="Century Gothic"/>
                <w:color w:val="000000"/>
                <w:sz w:val="18"/>
                <w:szCs w:val="18"/>
              </w:rPr>
              <w:t>435 (4.3%)</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0AF158" w14:textId="77777777" w:rsidR="001C19F3" w:rsidRDefault="001C19F3" w:rsidP="00521305">
            <w:pPr>
              <w:spacing w:before="40" w:after="40"/>
              <w:ind w:left="160" w:right="102"/>
              <w:jc w:val="right"/>
            </w:pPr>
            <w:r>
              <w:rPr>
                <w:rFonts w:eastAsia="Century Gothic" w:cs="Century Gothic"/>
                <w:color w:val="000000"/>
                <w:sz w:val="18"/>
                <w:szCs w:val="18"/>
              </w:rPr>
              <w:t>5 (3.8%)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D9A379" w14:textId="77777777" w:rsidR="001C19F3" w:rsidRDefault="001C19F3" w:rsidP="00521305">
            <w:pPr>
              <w:spacing w:before="40" w:after="40"/>
              <w:ind w:left="160" w:right="102"/>
              <w:jc w:val="right"/>
            </w:pPr>
            <w:r>
              <w:rPr>
                <w:rFonts w:eastAsia="Century Gothic" w:cs="Century Gothic"/>
                <w:color w:val="000000"/>
                <w:sz w:val="18"/>
                <w:szCs w:val="18"/>
              </w:rPr>
              <w:t>7 (7.3%)</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611F03" w14:textId="77777777" w:rsidR="001C19F3" w:rsidRDefault="001C19F3" w:rsidP="00521305">
            <w:pPr>
              <w:spacing w:before="40" w:after="40"/>
              <w:ind w:left="160" w:right="102"/>
              <w:jc w:val="right"/>
            </w:pPr>
            <w:r>
              <w:rPr>
                <w:rFonts w:eastAsia="Century Gothic" w:cs="Century Gothic"/>
                <w:color w:val="000000"/>
                <w:sz w:val="18"/>
                <w:szCs w:val="18"/>
              </w:rPr>
              <w:t>12 (5.3%)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EFAFEC" w14:textId="77777777" w:rsidR="001C19F3" w:rsidRDefault="001C19F3" w:rsidP="00521305">
            <w:pPr>
              <w:spacing w:before="40" w:after="40"/>
              <w:ind w:left="160" w:right="102"/>
              <w:jc w:val="right"/>
            </w:pPr>
            <w:r>
              <w:rPr>
                <w:rFonts w:eastAsia="Century Gothic" w:cs="Century Gothic"/>
                <w:color w:val="000000"/>
                <w:sz w:val="18"/>
                <w:szCs w:val="18"/>
              </w:rPr>
              <w:t>58.3%</w:t>
            </w:r>
          </w:p>
        </w:tc>
      </w:tr>
      <w:tr w:rsidR="001C19F3" w14:paraId="7AFB7E70"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39A3CC" w14:textId="77777777" w:rsidR="001C19F3" w:rsidRDefault="001C19F3" w:rsidP="00521305">
            <w:pPr>
              <w:spacing w:before="40" w:after="40"/>
              <w:ind w:left="160" w:right="102"/>
            </w:pPr>
            <w:r>
              <w:rPr>
                <w:rFonts w:eastAsia="Century Gothic" w:cs="Century Gothic"/>
                <w:color w:val="000000"/>
                <w:sz w:val="18"/>
                <w:szCs w:val="18"/>
              </w:rPr>
              <w:t>MMM 4 &amp; 5</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4D959C" w14:textId="77777777" w:rsidR="001C19F3" w:rsidRDefault="001C19F3" w:rsidP="00521305">
            <w:pPr>
              <w:spacing w:before="40" w:after="40"/>
              <w:ind w:left="160" w:right="102"/>
              <w:jc w:val="right"/>
            </w:pPr>
            <w:r>
              <w:rPr>
                <w:rFonts w:eastAsia="Century Gothic" w:cs="Century Gothic"/>
                <w:color w:val="000000"/>
                <w:sz w:val="18"/>
                <w:szCs w:val="18"/>
              </w:rPr>
              <w:t>1,189 (11.7%)</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716CF8" w14:textId="77777777" w:rsidR="001C19F3" w:rsidRDefault="001C19F3" w:rsidP="00521305">
            <w:pPr>
              <w:spacing w:before="40" w:after="40"/>
              <w:ind w:left="160" w:right="102"/>
              <w:jc w:val="right"/>
            </w:pPr>
            <w:r>
              <w:rPr>
                <w:rFonts w:eastAsia="Century Gothic" w:cs="Century Gothic"/>
                <w:color w:val="000000"/>
                <w:sz w:val="18"/>
                <w:szCs w:val="18"/>
              </w:rPr>
              <w:t>7 (5.3%)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6E4420" w14:textId="77777777" w:rsidR="001C19F3" w:rsidRDefault="001C19F3" w:rsidP="00521305">
            <w:pPr>
              <w:spacing w:before="40" w:after="40"/>
              <w:ind w:left="160" w:right="102"/>
              <w:jc w:val="right"/>
            </w:pPr>
            <w:r>
              <w:rPr>
                <w:rFonts w:eastAsia="Century Gothic" w:cs="Century Gothic"/>
                <w:color w:val="000000"/>
                <w:sz w:val="18"/>
                <w:szCs w:val="18"/>
              </w:rPr>
              <w:t>4 (4.2%)</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387E40" w14:textId="77777777" w:rsidR="001C19F3" w:rsidRDefault="001C19F3" w:rsidP="00521305">
            <w:pPr>
              <w:spacing w:before="40" w:after="40"/>
              <w:ind w:left="160" w:right="102"/>
              <w:jc w:val="right"/>
            </w:pPr>
            <w:r>
              <w:rPr>
                <w:rFonts w:eastAsia="Century Gothic" w:cs="Century Gothic"/>
                <w:color w:val="000000"/>
                <w:sz w:val="18"/>
                <w:szCs w:val="18"/>
              </w:rPr>
              <w:t>11 (4.8%)</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505C8D" w14:textId="77777777" w:rsidR="001C19F3" w:rsidRDefault="001C19F3" w:rsidP="00521305">
            <w:pPr>
              <w:spacing w:before="40" w:after="40"/>
              <w:ind w:left="160" w:right="102"/>
              <w:jc w:val="right"/>
            </w:pPr>
            <w:r>
              <w:rPr>
                <w:rFonts w:eastAsia="Century Gothic" w:cs="Century Gothic"/>
                <w:color w:val="000000"/>
                <w:sz w:val="18"/>
                <w:szCs w:val="18"/>
              </w:rPr>
              <w:t>36.4%</w:t>
            </w:r>
          </w:p>
        </w:tc>
      </w:tr>
      <w:tr w:rsidR="001C19F3" w14:paraId="2944D78B"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2E7A23" w14:textId="77777777" w:rsidR="001C19F3" w:rsidRDefault="001C19F3" w:rsidP="00521305">
            <w:pPr>
              <w:spacing w:before="40" w:after="40"/>
              <w:ind w:left="160" w:right="102"/>
            </w:pPr>
            <w:r>
              <w:rPr>
                <w:rFonts w:eastAsia="Century Gothic" w:cs="Century Gothic"/>
                <w:color w:val="000000"/>
                <w:sz w:val="18"/>
                <w:szCs w:val="18"/>
              </w:rPr>
              <w:t>MMM 6 &amp; 7</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10567A" w14:textId="77777777" w:rsidR="001C19F3" w:rsidRDefault="001C19F3" w:rsidP="00521305">
            <w:pPr>
              <w:spacing w:before="40" w:after="40"/>
              <w:ind w:left="160" w:right="102"/>
              <w:jc w:val="right"/>
            </w:pPr>
            <w:r>
              <w:rPr>
                <w:rFonts w:eastAsia="Century Gothic" w:cs="Century Gothic"/>
                <w:color w:val="000000"/>
                <w:sz w:val="18"/>
                <w:szCs w:val="18"/>
              </w:rPr>
              <w:t>994 (9.8%)</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D23DEA" w14:textId="77777777" w:rsidR="001C19F3" w:rsidRDefault="001C19F3" w:rsidP="00521305">
            <w:pPr>
              <w:spacing w:before="40" w:after="40"/>
              <w:ind w:left="160" w:right="102"/>
              <w:jc w:val="right"/>
            </w:pPr>
            <w:r>
              <w:rPr>
                <w:rFonts w:eastAsia="Century Gothic" w:cs="Century Gothic"/>
                <w:color w:val="000000"/>
                <w:sz w:val="18"/>
                <w:szCs w:val="18"/>
              </w:rPr>
              <w:t>14 (10.7%)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9E31AC" w14:textId="77777777" w:rsidR="001C19F3" w:rsidRDefault="001C19F3" w:rsidP="00521305">
            <w:pPr>
              <w:spacing w:before="40" w:after="40"/>
              <w:ind w:left="160" w:right="102"/>
              <w:jc w:val="right"/>
            </w:pPr>
            <w:r>
              <w:rPr>
                <w:rFonts w:eastAsia="Century Gothic" w:cs="Century Gothic"/>
                <w:color w:val="000000"/>
                <w:sz w:val="18"/>
                <w:szCs w:val="18"/>
              </w:rPr>
              <w:t>10 (10.4%)</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E44A08" w14:textId="77777777" w:rsidR="001C19F3" w:rsidRDefault="001C19F3" w:rsidP="00521305">
            <w:pPr>
              <w:spacing w:before="40" w:after="40"/>
              <w:ind w:left="160" w:right="102"/>
              <w:jc w:val="right"/>
            </w:pPr>
            <w:r>
              <w:rPr>
                <w:rFonts w:eastAsia="Century Gothic" w:cs="Century Gothic"/>
                <w:color w:val="000000"/>
                <w:sz w:val="18"/>
                <w:szCs w:val="18"/>
              </w:rPr>
              <w:t>24 (10.6%)</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F8F7BC" w14:textId="77777777" w:rsidR="001C19F3" w:rsidRDefault="001C19F3" w:rsidP="00521305">
            <w:pPr>
              <w:spacing w:before="40" w:after="40"/>
              <w:ind w:left="160" w:right="102"/>
              <w:jc w:val="right"/>
            </w:pPr>
            <w:r>
              <w:rPr>
                <w:rFonts w:eastAsia="Century Gothic" w:cs="Century Gothic"/>
                <w:color w:val="000000"/>
                <w:sz w:val="18"/>
                <w:szCs w:val="18"/>
              </w:rPr>
              <w:t>41.7%</w:t>
            </w:r>
          </w:p>
        </w:tc>
      </w:tr>
      <w:tr w:rsidR="001C19F3" w14:paraId="13C1B5AA" w14:textId="77777777" w:rsidTr="00521305">
        <w:trPr>
          <w:cantSplit/>
          <w:trHeight w:val="20"/>
          <w:jc w:val="center"/>
        </w:trPr>
        <w:tc>
          <w:tcPr>
            <w:tcW w:w="8921"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DA6B8" w14:textId="77777777" w:rsidR="001C19F3" w:rsidRDefault="001C19F3" w:rsidP="00521305">
            <w:pPr>
              <w:spacing w:before="40" w:after="40"/>
              <w:ind w:left="100" w:right="102"/>
            </w:pPr>
            <w:r>
              <w:rPr>
                <w:rFonts w:eastAsia="Century Gothic" w:cs="Century Gothic"/>
                <w:b/>
                <w:color w:val="000000"/>
                <w:sz w:val="18"/>
                <w:szCs w:val="18"/>
              </w:rPr>
              <w:t>ABS Index of Relative Social Disadvantage</w:t>
            </w:r>
          </w:p>
        </w:tc>
      </w:tr>
      <w:tr w:rsidR="001C19F3" w14:paraId="7AD63CE9"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6305EA" w14:textId="77777777" w:rsidR="001C19F3" w:rsidRDefault="001C19F3" w:rsidP="00521305">
            <w:pPr>
              <w:spacing w:before="40" w:after="40"/>
              <w:ind w:left="160" w:right="102"/>
            </w:pPr>
            <w:r>
              <w:rPr>
                <w:rFonts w:eastAsia="Century Gothic" w:cs="Century Gothic"/>
                <w:color w:val="000000"/>
                <w:sz w:val="18"/>
                <w:szCs w:val="18"/>
              </w:rPr>
              <w:t>Deciles 1-3 most disadvantaged</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E69C9A" w14:textId="77777777" w:rsidR="001C19F3" w:rsidRDefault="001C19F3" w:rsidP="00521305">
            <w:pPr>
              <w:spacing w:before="40" w:after="40"/>
              <w:ind w:left="160" w:right="102"/>
              <w:jc w:val="right"/>
            </w:pPr>
            <w:r>
              <w:rPr>
                <w:rFonts w:eastAsia="Century Gothic" w:cs="Century Gothic"/>
                <w:color w:val="000000"/>
                <w:sz w:val="18"/>
                <w:szCs w:val="18"/>
              </w:rPr>
              <w:t>4,296 (42.3%)</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129B6F" w14:textId="77777777" w:rsidR="001C19F3" w:rsidRDefault="001C19F3" w:rsidP="00521305">
            <w:pPr>
              <w:spacing w:before="40" w:after="40"/>
              <w:ind w:left="160" w:right="102"/>
              <w:jc w:val="right"/>
            </w:pPr>
            <w:r>
              <w:rPr>
                <w:rFonts w:eastAsia="Century Gothic" w:cs="Century Gothic"/>
                <w:color w:val="000000"/>
                <w:sz w:val="18"/>
                <w:szCs w:val="18"/>
              </w:rPr>
              <w:t>52 (39.7%)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E1C2DA" w14:textId="77777777" w:rsidR="001C19F3" w:rsidRDefault="001C19F3" w:rsidP="00521305">
            <w:pPr>
              <w:spacing w:before="40" w:after="40"/>
              <w:ind w:left="160" w:right="102"/>
              <w:jc w:val="right"/>
            </w:pPr>
            <w:r>
              <w:rPr>
                <w:rFonts w:eastAsia="Century Gothic" w:cs="Century Gothic"/>
                <w:color w:val="000000"/>
                <w:sz w:val="18"/>
                <w:szCs w:val="18"/>
              </w:rPr>
              <w:t>40 (41.7%)</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FCCA49" w14:textId="77777777" w:rsidR="001C19F3" w:rsidRDefault="001C19F3" w:rsidP="00521305">
            <w:pPr>
              <w:spacing w:before="40" w:after="40"/>
              <w:ind w:left="160" w:right="102"/>
              <w:jc w:val="right"/>
            </w:pPr>
            <w:r>
              <w:rPr>
                <w:rFonts w:eastAsia="Century Gothic" w:cs="Century Gothic"/>
                <w:color w:val="000000"/>
                <w:sz w:val="18"/>
                <w:szCs w:val="18"/>
              </w:rPr>
              <w:t>92 (40.5%)</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E928FD" w14:textId="77777777" w:rsidR="001C19F3" w:rsidRDefault="001C19F3" w:rsidP="00521305">
            <w:pPr>
              <w:spacing w:before="40" w:after="40"/>
              <w:ind w:left="160" w:right="102"/>
              <w:jc w:val="right"/>
            </w:pPr>
            <w:r>
              <w:rPr>
                <w:rFonts w:eastAsia="Century Gothic" w:cs="Century Gothic"/>
                <w:color w:val="000000"/>
                <w:sz w:val="18"/>
                <w:szCs w:val="18"/>
              </w:rPr>
              <w:t>43.5%</w:t>
            </w:r>
          </w:p>
        </w:tc>
      </w:tr>
      <w:tr w:rsidR="001C19F3" w14:paraId="275D85CA"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EBB008" w14:textId="77777777" w:rsidR="001C19F3" w:rsidRDefault="001C19F3" w:rsidP="00521305">
            <w:pPr>
              <w:spacing w:before="40" w:after="40"/>
              <w:ind w:left="160" w:right="102"/>
            </w:pPr>
            <w:r>
              <w:rPr>
                <w:rFonts w:eastAsia="Century Gothic" w:cs="Century Gothic"/>
                <w:color w:val="000000"/>
                <w:sz w:val="18"/>
                <w:szCs w:val="18"/>
              </w:rPr>
              <w:t>Deciles 4-7</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CCE045" w14:textId="77777777" w:rsidR="001C19F3" w:rsidRDefault="001C19F3" w:rsidP="00521305">
            <w:pPr>
              <w:spacing w:before="40" w:after="40"/>
              <w:ind w:left="160" w:right="102"/>
              <w:jc w:val="right"/>
            </w:pPr>
            <w:r>
              <w:rPr>
                <w:rFonts w:eastAsia="Century Gothic" w:cs="Century Gothic"/>
                <w:color w:val="000000"/>
                <w:sz w:val="18"/>
                <w:szCs w:val="18"/>
              </w:rPr>
              <w:t>4,701 (46.3%)</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C4AE35" w14:textId="77777777" w:rsidR="001C19F3" w:rsidRDefault="001C19F3" w:rsidP="00521305">
            <w:pPr>
              <w:spacing w:before="40" w:after="40"/>
              <w:ind w:left="160" w:right="102"/>
              <w:jc w:val="right"/>
            </w:pPr>
            <w:r>
              <w:rPr>
                <w:rFonts w:eastAsia="Century Gothic" w:cs="Century Gothic"/>
                <w:color w:val="000000"/>
                <w:sz w:val="18"/>
                <w:szCs w:val="18"/>
              </w:rPr>
              <w:t>56 (42.7%)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5BD389" w14:textId="77777777" w:rsidR="001C19F3" w:rsidRDefault="001C19F3" w:rsidP="00521305">
            <w:pPr>
              <w:spacing w:before="40" w:after="40"/>
              <w:ind w:left="160" w:right="102"/>
              <w:jc w:val="right"/>
            </w:pPr>
            <w:r>
              <w:rPr>
                <w:rFonts w:eastAsia="Century Gothic" w:cs="Century Gothic"/>
                <w:color w:val="000000"/>
                <w:sz w:val="18"/>
                <w:szCs w:val="18"/>
              </w:rPr>
              <w:t>33 (34.4%)</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CF1606" w14:textId="77777777" w:rsidR="001C19F3" w:rsidRDefault="001C19F3" w:rsidP="00521305">
            <w:pPr>
              <w:spacing w:before="40" w:after="40"/>
              <w:ind w:left="160" w:right="102"/>
              <w:jc w:val="right"/>
            </w:pPr>
            <w:r>
              <w:rPr>
                <w:rFonts w:eastAsia="Century Gothic" w:cs="Century Gothic"/>
                <w:color w:val="000000"/>
                <w:sz w:val="18"/>
                <w:szCs w:val="18"/>
              </w:rPr>
              <w:t>89 (39.2%)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8CA332" w14:textId="77777777" w:rsidR="001C19F3" w:rsidRDefault="001C19F3" w:rsidP="00521305">
            <w:pPr>
              <w:spacing w:before="40" w:after="40"/>
              <w:ind w:left="160" w:right="102"/>
              <w:jc w:val="right"/>
            </w:pPr>
            <w:r>
              <w:rPr>
                <w:rFonts w:eastAsia="Century Gothic" w:cs="Century Gothic"/>
                <w:color w:val="000000"/>
                <w:sz w:val="18"/>
                <w:szCs w:val="18"/>
              </w:rPr>
              <w:t>37.1%</w:t>
            </w:r>
          </w:p>
        </w:tc>
      </w:tr>
      <w:tr w:rsidR="001C19F3" w14:paraId="0CB621F3" w14:textId="77777777" w:rsidTr="00521305">
        <w:trPr>
          <w:cantSplit/>
          <w:trHeight w:val="20"/>
          <w:jc w:val="center"/>
        </w:trPr>
        <w:tc>
          <w:tcPr>
            <w:tcW w:w="190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E25AF1" w14:textId="77777777" w:rsidR="001C19F3" w:rsidRDefault="001C19F3" w:rsidP="00521305">
            <w:pPr>
              <w:spacing w:before="40" w:after="40"/>
              <w:ind w:left="160" w:right="102"/>
            </w:pPr>
            <w:r>
              <w:rPr>
                <w:rFonts w:eastAsia="Century Gothic" w:cs="Century Gothic"/>
                <w:color w:val="000000"/>
                <w:sz w:val="18"/>
                <w:szCs w:val="18"/>
              </w:rPr>
              <w:t>Deciles 8-10 least disadvantaged</w:t>
            </w:r>
          </w:p>
        </w:tc>
        <w:tc>
          <w:tcPr>
            <w:tcW w:w="158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C7B11C" w14:textId="77777777" w:rsidR="001C19F3" w:rsidRDefault="001C19F3" w:rsidP="00521305">
            <w:pPr>
              <w:spacing w:before="40" w:after="40"/>
              <w:ind w:left="160" w:right="102"/>
              <w:jc w:val="right"/>
            </w:pPr>
            <w:r>
              <w:rPr>
                <w:rFonts w:eastAsia="Century Gothic" w:cs="Century Gothic"/>
                <w:color w:val="000000"/>
                <w:sz w:val="18"/>
                <w:szCs w:val="18"/>
              </w:rPr>
              <w:t>1,164 (11.5%)</w:t>
            </w:r>
          </w:p>
        </w:tc>
        <w:tc>
          <w:tcPr>
            <w:tcW w:w="132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E245AF" w14:textId="77777777" w:rsidR="001C19F3" w:rsidRDefault="001C19F3" w:rsidP="00521305">
            <w:pPr>
              <w:spacing w:before="40" w:after="40"/>
              <w:ind w:left="160" w:right="102"/>
              <w:jc w:val="right"/>
            </w:pPr>
            <w:r>
              <w:rPr>
                <w:rFonts w:eastAsia="Century Gothic" w:cs="Century Gothic"/>
                <w:color w:val="000000"/>
                <w:sz w:val="18"/>
                <w:szCs w:val="18"/>
              </w:rPr>
              <w:t>23 (17.6%)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97FB21" w14:textId="77777777" w:rsidR="001C19F3" w:rsidRDefault="001C19F3" w:rsidP="00521305">
            <w:pPr>
              <w:spacing w:before="40" w:after="40"/>
              <w:ind w:left="160" w:right="102"/>
              <w:jc w:val="right"/>
            </w:pPr>
            <w:r>
              <w:rPr>
                <w:rFonts w:eastAsia="Century Gothic" w:cs="Century Gothic"/>
                <w:color w:val="000000"/>
                <w:sz w:val="18"/>
                <w:szCs w:val="18"/>
              </w:rPr>
              <w:t>23 (24.0%)</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89EF71" w14:textId="77777777" w:rsidR="001C19F3" w:rsidRDefault="001C19F3" w:rsidP="00521305">
            <w:pPr>
              <w:spacing w:before="40" w:after="40"/>
              <w:ind w:left="160" w:right="102"/>
              <w:jc w:val="right"/>
            </w:pPr>
            <w:r>
              <w:rPr>
                <w:rFonts w:eastAsia="Century Gothic" w:cs="Century Gothic"/>
                <w:color w:val="000000"/>
                <w:sz w:val="18"/>
                <w:szCs w:val="18"/>
              </w:rPr>
              <w:t>46 (20.3%)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B37C57" w14:textId="77777777" w:rsidR="001C19F3" w:rsidRDefault="001C19F3" w:rsidP="00521305">
            <w:pPr>
              <w:spacing w:before="40" w:after="40"/>
              <w:ind w:left="160" w:right="102"/>
              <w:jc w:val="right"/>
            </w:pPr>
            <w:r>
              <w:rPr>
                <w:rFonts w:eastAsia="Century Gothic" w:cs="Century Gothic"/>
                <w:color w:val="000000"/>
                <w:sz w:val="18"/>
                <w:szCs w:val="18"/>
              </w:rPr>
              <w:t>50.0%</w:t>
            </w:r>
          </w:p>
        </w:tc>
      </w:tr>
    </w:tbl>
    <w:p w14:paraId="424122FF" w14:textId="77777777" w:rsidR="001C19F3" w:rsidRPr="00C215D0" w:rsidRDefault="001C19F3" w:rsidP="001C19F3">
      <w:pPr>
        <w:pStyle w:val="Chartortablefootnote"/>
      </w:pPr>
      <w:bookmarkStart w:id="116" w:name="_Hlk26969186"/>
      <w:r>
        <w:rPr>
          <w:szCs w:val="16"/>
        </w:rPr>
        <w:t xml:space="preserve">Source: </w:t>
      </w:r>
      <w:r w:rsidRPr="008746DD">
        <w:rPr>
          <w:szCs w:val="16"/>
        </w:rPr>
        <w:t>Department of Health</w:t>
      </w:r>
      <w:r>
        <w:rPr>
          <w:szCs w:val="16"/>
        </w:rPr>
        <w:t xml:space="preserve"> database of practices and Practice s</w:t>
      </w:r>
      <w:r w:rsidRPr="001D258B">
        <w:rPr>
          <w:szCs w:val="16"/>
        </w:rPr>
        <w:t xml:space="preserve">urvey </w:t>
      </w:r>
      <w:r>
        <w:rPr>
          <w:szCs w:val="16"/>
        </w:rPr>
        <w:t>R</w:t>
      </w:r>
      <w:r w:rsidRPr="001D258B">
        <w:rPr>
          <w:szCs w:val="16"/>
        </w:rPr>
        <w:t>1</w:t>
      </w:r>
      <w:r>
        <w:rPr>
          <w:szCs w:val="16"/>
        </w:rPr>
        <w:t xml:space="preserve"> Mar-Jun 2018</w:t>
      </w:r>
      <w:r w:rsidRPr="001D258B">
        <w:rPr>
          <w:szCs w:val="16"/>
        </w:rPr>
        <w:t>.</w:t>
      </w:r>
      <w:r>
        <w:rPr>
          <w:szCs w:val="16"/>
        </w:rPr>
        <w:t xml:space="preserve"> </w:t>
      </w:r>
      <w:r w:rsidRPr="00C215D0">
        <w:t>Notes:</w:t>
      </w:r>
      <w:r w:rsidRPr="00C16A5A">
        <w:rPr>
          <w:vertAlign w:val="superscript"/>
        </w:rPr>
        <w:t xml:space="preserve"> </w:t>
      </w:r>
      <w:r>
        <w:rPr>
          <w:vertAlign w:val="superscript"/>
        </w:rPr>
        <w:t>1</w:t>
      </w:r>
      <w:r>
        <w:t>Does not include strata in dimension relating to r</w:t>
      </w:r>
      <w:r w:rsidRPr="00C16A5A">
        <w:t>ange of clinical</w:t>
      </w:r>
      <w:r>
        <w:t xml:space="preserve"> staff available at the practice; </w:t>
      </w:r>
      <w:r>
        <w:rPr>
          <w:vertAlign w:val="superscript"/>
        </w:rPr>
        <w:t>2</w:t>
      </w:r>
      <w:r w:rsidRPr="00D633D2">
        <w:t>S</w:t>
      </w:r>
      <w:r>
        <w:t xml:space="preserve">ee footnote </w:t>
      </w:r>
      <w:r>
        <w:fldChar w:fldCharType="begin"/>
      </w:r>
      <w:r>
        <w:instrText xml:space="preserve"> NOTEREF _Ref528764370 \h  \* MERGEFORMAT </w:instrText>
      </w:r>
      <w:r>
        <w:fldChar w:fldCharType="separate"/>
      </w:r>
      <w:r>
        <w:t>2</w:t>
      </w:r>
      <w:r>
        <w:fldChar w:fldCharType="end"/>
      </w:r>
      <w:r>
        <w:t xml:space="preserve">, p. </w:t>
      </w:r>
      <w:r>
        <w:fldChar w:fldCharType="begin"/>
      </w:r>
      <w:r>
        <w:instrText xml:space="preserve"> PAGEREF _Ref22393881 \h </w:instrText>
      </w:r>
      <w:r>
        <w:fldChar w:fldCharType="separate"/>
      </w:r>
      <w:r>
        <w:rPr>
          <w:noProof/>
        </w:rPr>
        <w:t>3</w:t>
      </w:r>
      <w:r>
        <w:fldChar w:fldCharType="end"/>
      </w:r>
      <w:r>
        <w:t xml:space="preserve">. In this Table, all but one AMS is an </w:t>
      </w:r>
      <w:bookmarkStart w:id="117" w:name="_Hlk22481683"/>
      <w:r>
        <w:t>ACCHS</w:t>
      </w:r>
      <w:bookmarkEnd w:id="117"/>
      <w:r>
        <w:t xml:space="preserve">; </w:t>
      </w:r>
      <w:r>
        <w:rPr>
          <w:vertAlign w:val="superscript"/>
        </w:rPr>
        <w:t>3</w:t>
      </w:r>
      <w:r w:rsidRPr="00C215D0">
        <w:t>MMM refe</w:t>
      </w:r>
      <w:r>
        <w:t xml:space="preserve">rs to the </w:t>
      </w:r>
      <w:bookmarkStart w:id="118" w:name="_Hlk22481616"/>
      <w:r>
        <w:t xml:space="preserve">Modified Monash Model </w:t>
      </w:r>
      <w:bookmarkEnd w:id="118"/>
      <w:r>
        <w:t xml:space="preserve">(see footnote </w:t>
      </w:r>
      <w:r>
        <w:fldChar w:fldCharType="begin"/>
      </w:r>
      <w:r>
        <w:instrText xml:space="preserve"> NOTEREF _Ref528318367 \h </w:instrText>
      </w:r>
      <w:r>
        <w:fldChar w:fldCharType="separate"/>
      </w:r>
      <w:r>
        <w:t>3</w:t>
      </w:r>
      <w:r>
        <w:fldChar w:fldCharType="end"/>
      </w:r>
      <w:r>
        <w:t xml:space="preserve">, p. </w:t>
      </w:r>
      <w:r>
        <w:fldChar w:fldCharType="begin"/>
      </w:r>
      <w:r>
        <w:instrText xml:space="preserve"> PAGEREF _Ref529437982 \h </w:instrText>
      </w:r>
      <w:r>
        <w:fldChar w:fldCharType="separate"/>
      </w:r>
      <w:r>
        <w:rPr>
          <w:noProof/>
        </w:rPr>
        <w:t>15</w:t>
      </w:r>
      <w:r>
        <w:fldChar w:fldCharType="end"/>
      </w:r>
      <w:r>
        <w:t>).</w:t>
      </w:r>
    </w:p>
    <w:bookmarkEnd w:id="116"/>
    <w:p w14:paraId="57E8618F" w14:textId="77777777" w:rsidR="001C19F3" w:rsidRDefault="001C19F3" w:rsidP="001C19F3">
      <w:r w:rsidRPr="009274B5">
        <w:t>One measure</w:t>
      </w:r>
      <w:r>
        <w:t xml:space="preserve"> established for the evaluation was achieving </w:t>
      </w:r>
      <w:r w:rsidRPr="009274B5">
        <w:t xml:space="preserve">a minimum number of </w:t>
      </w:r>
      <w:r>
        <w:t>practice</w:t>
      </w:r>
      <w:r w:rsidRPr="009274B5">
        <w:t xml:space="preserve">s </w:t>
      </w:r>
      <w:r>
        <w:t xml:space="preserve">– 10 – for each </w:t>
      </w:r>
      <w:r w:rsidRPr="009274B5">
        <w:t xml:space="preserve">sampling stratum (Measure 1.02.03). </w:t>
      </w:r>
      <w:r>
        <w:fldChar w:fldCharType="begin"/>
      </w:r>
      <w:r>
        <w:instrText xml:space="preserve"> REF _Ref20506337 \h  \* MERGEFORMAT </w:instrText>
      </w:r>
      <w:r>
        <w:fldChar w:fldCharType="separate"/>
      </w:r>
      <w:r w:rsidRPr="00822044">
        <w:t>Table 3</w:t>
      </w:r>
      <w:r>
        <w:fldChar w:fldCharType="end"/>
      </w:r>
      <w:r>
        <w:t xml:space="preserve"> </w:t>
      </w:r>
      <w:r w:rsidRPr="009274B5">
        <w:t xml:space="preserve">shows that </w:t>
      </w:r>
      <w:r>
        <w:t xml:space="preserve">at 31 August 2019, </w:t>
      </w:r>
      <w:r w:rsidRPr="009274B5">
        <w:t xml:space="preserve">the minimum number was achieved for all strata except </w:t>
      </w:r>
      <w:r>
        <w:t>practice</w:t>
      </w:r>
      <w:r w:rsidRPr="009274B5">
        <w:t xml:space="preserve">s located in areas classified as MMM category </w:t>
      </w:r>
      <w:r>
        <w:t>3 (five active practice</w:t>
      </w:r>
      <w:r w:rsidRPr="009274B5">
        <w:t>s</w:t>
      </w:r>
      <w:r>
        <w:t xml:space="preserve">) and areas </w:t>
      </w:r>
      <w:r w:rsidRPr="009274B5">
        <w:t>classified as MMM categor</w:t>
      </w:r>
      <w:r>
        <w:t>ies</w:t>
      </w:r>
      <w:r w:rsidRPr="009274B5">
        <w:t xml:space="preserve"> </w:t>
      </w:r>
      <w:r>
        <w:t>4 and 5 (seven active practice</w:t>
      </w:r>
      <w:r w:rsidRPr="009274B5">
        <w:t>s</w:t>
      </w:r>
      <w:r>
        <w:t>)</w:t>
      </w:r>
      <w:r w:rsidRPr="009274B5">
        <w:t>.</w:t>
      </w:r>
      <w:r>
        <w:t xml:space="preserve"> </w:t>
      </w:r>
      <w:r w:rsidRPr="009274B5">
        <w:t>Another measure i</w:t>
      </w:r>
      <w:r>
        <w:t>s</w:t>
      </w:r>
      <w:r w:rsidRPr="009274B5">
        <w:t xml:space="preserve"> a minimum number of patients enrolled </w:t>
      </w:r>
      <w:r>
        <w:t xml:space="preserve">– 100 – </w:t>
      </w:r>
      <w:r w:rsidRPr="009274B5">
        <w:t xml:space="preserve">in </w:t>
      </w:r>
      <w:r>
        <w:t>practices</w:t>
      </w:r>
      <w:r w:rsidRPr="009274B5">
        <w:t xml:space="preserve"> </w:t>
      </w:r>
      <w:r>
        <w:t xml:space="preserve">across the </w:t>
      </w:r>
      <w:r w:rsidRPr="009274B5">
        <w:t xml:space="preserve">sampling stratum (Measure 1.02.04). </w:t>
      </w:r>
      <w:bookmarkStart w:id="119" w:name="_Hlk21008083"/>
      <w:r w:rsidRPr="009274B5">
        <w:t>Th</w:t>
      </w:r>
      <w:r>
        <w:t>is target was achieved as at 31 August 2019</w:t>
      </w:r>
      <w:bookmarkEnd w:id="119"/>
      <w:r>
        <w:t>.</w:t>
      </w:r>
    </w:p>
    <w:p w14:paraId="08F38B63" w14:textId="77777777" w:rsidR="001C19F3" w:rsidRPr="009274B5" w:rsidRDefault="001C19F3" w:rsidP="001C19F3">
      <w:r>
        <w:fldChar w:fldCharType="begin"/>
      </w:r>
      <w:r>
        <w:instrText xml:space="preserve"> REF _Ref527985376 \h  \* MERGEFORMAT </w:instrText>
      </w:r>
      <w:r>
        <w:fldChar w:fldCharType="separate"/>
      </w:r>
      <w:r w:rsidRPr="00822044">
        <w:t>Figure 2</w:t>
      </w:r>
      <w:r>
        <w:fldChar w:fldCharType="end"/>
      </w:r>
      <w:r>
        <w:t xml:space="preserve"> shows the trends in the number of active practices that enrolled patients, the number of active practices that did not enrol any patients, and the number of practices that withdrew. The number of practices enrolling patients grew steadily through 2018, plateauing around November 2018. There was a further increase in around January 2019 due to several ACCHS starting to enrol patients. However, through 2019, the number of practices enrolling patients has remained relatively constant at around 130. Practices withdrew from the </w:t>
      </w:r>
      <w:r>
        <w:lastRenderedPageBreak/>
        <w:t>program at a steady rate through to July 2019. There was a jump in withdrawals in June 2019, as the enrolment period for the program ended then, and practices that hadn’t enrolled patients to that point formally withdrew. Throughout the program most practices that withdrew had not enrolled patients, although since the end of the enrolment period a small number of practices with enrolees have withdrawn.</w:t>
      </w:r>
    </w:p>
    <w:p w14:paraId="0236FFAE" w14:textId="77777777" w:rsidR="001C19F3" w:rsidRDefault="001C19F3" w:rsidP="001C19F3">
      <w:pPr>
        <w:spacing w:after="0"/>
      </w:pPr>
      <w:r w:rsidRPr="003A57EF">
        <w:rPr>
          <w:noProof/>
          <w:lang w:eastAsia="en-AU"/>
        </w:rPr>
        <w:drawing>
          <wp:inline distT="0" distB="0" distL="0" distR="0" wp14:anchorId="5356416A" wp14:editId="2F1872D3">
            <wp:extent cx="5486400" cy="5324475"/>
            <wp:effectExtent l="0" t="0" r="0" b="9525"/>
            <wp:docPr id="8" name="Picture 8" descr="S:\Consultancy Projects\Finalised projects 2017\2016-046 DoH Evaluation of Health Care Homes\13.0 Data\R_HCH\output\Figures\Interim2019\Vol2_F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nsultancy Projects\Finalised projects 2017\2016-046 DoH Evaluation of Health Care Homes\13.0 Data\R_HCH\output\Figures\Interim2019\Vol2_F0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5324475"/>
                    </a:xfrm>
                    <a:prstGeom prst="rect">
                      <a:avLst/>
                    </a:prstGeom>
                    <a:noFill/>
                    <a:ln>
                      <a:noFill/>
                    </a:ln>
                  </pic:spPr>
                </pic:pic>
              </a:graphicData>
            </a:graphic>
          </wp:inline>
        </w:drawing>
      </w:r>
    </w:p>
    <w:p w14:paraId="12FB57DB" w14:textId="77777777" w:rsidR="001C19F3" w:rsidRDefault="001C19F3" w:rsidP="001C19F3">
      <w:pPr>
        <w:spacing w:after="0"/>
        <w:jc w:val="center"/>
        <w:rPr>
          <w:b/>
        </w:rPr>
      </w:pPr>
      <w:bookmarkStart w:id="120" w:name="_Ref527985376"/>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2</w:t>
      </w:r>
      <w:r>
        <w:rPr>
          <w:rFonts w:cs="Arial"/>
          <w:b/>
          <w:color w:val="000000" w:themeColor="text1"/>
        </w:rPr>
        <w:fldChar w:fldCharType="end"/>
      </w:r>
      <w:bookmarkEnd w:id="120"/>
      <w:r>
        <w:rPr>
          <w:b/>
        </w:rPr>
        <w:t xml:space="preserve"> – Number of active practices enrolling one or more patients or no patients, and number of practices withdrawing from the program</w:t>
      </w:r>
      <w:r w:rsidRPr="00FD6F2B">
        <w:rPr>
          <w:b/>
        </w:rPr>
        <w:t>, January</w:t>
      </w:r>
      <w:r>
        <w:rPr>
          <w:b/>
        </w:rPr>
        <w:t xml:space="preserve"> 2018</w:t>
      </w:r>
      <w:r w:rsidRPr="00FD6F2B">
        <w:rPr>
          <w:b/>
        </w:rPr>
        <w:t>-</w:t>
      </w:r>
      <w:r>
        <w:rPr>
          <w:b/>
        </w:rPr>
        <w:t xml:space="preserve">August </w:t>
      </w:r>
      <w:r w:rsidRPr="00FD6F2B">
        <w:rPr>
          <w:b/>
        </w:rPr>
        <w:t>201</w:t>
      </w:r>
      <w:r>
        <w:rPr>
          <w:b/>
        </w:rPr>
        <w:t>9</w:t>
      </w:r>
    </w:p>
    <w:p w14:paraId="4F663564" w14:textId="77777777" w:rsidR="001C19F3" w:rsidRPr="00A032F3" w:rsidRDefault="001C19F3" w:rsidP="001C19F3">
      <w:pPr>
        <w:pStyle w:val="Chartortablefootnote"/>
      </w:pPr>
      <w:r w:rsidRPr="00A032F3">
        <w:t>Source: Department of Human Services weekly enrolment statistics (provided through the Department of Health).</w:t>
      </w:r>
    </w:p>
    <w:p w14:paraId="1F1B1D17" w14:textId="77777777" w:rsidR="001C19F3" w:rsidRDefault="001C19F3" w:rsidP="001C19F3">
      <w:pPr>
        <w:pStyle w:val="Heading2"/>
      </w:pPr>
      <w:bookmarkStart w:id="121" w:name="_Toc27056550"/>
      <w:bookmarkEnd w:id="107"/>
      <w:r>
        <w:t>Selection of HCH practices</w:t>
      </w:r>
      <w:bookmarkEnd w:id="121"/>
    </w:p>
    <w:p w14:paraId="6E37B413" w14:textId="77777777" w:rsidR="001C19F3" w:rsidRDefault="001C19F3" w:rsidP="001C19F3">
      <w:r>
        <w:t>As described in the previous Chapter, the Department of Health issued an EOI for practices to participate in HCH in November 2016. The 200 practices that were selected were announced in May 2017. Negotiations were then held with practices leading to a signed agreement. As described, the Department managed process as a grant program, which required compliance with regulations related to procurement. PHNs were not directly involved in the initial selection of practices but were asked to comment on practices that the Department was considering giving an offer to. Later however, the Department asked PHNs to identify additional practices to replace ones that had withdrawn.</w:t>
      </w:r>
    </w:p>
    <w:p w14:paraId="6A0429FF" w14:textId="77777777" w:rsidR="001C19F3" w:rsidRDefault="001C19F3" w:rsidP="001C19F3">
      <w:r>
        <w:lastRenderedPageBreak/>
        <w:t>PHN practice facilitators commented on the process for selecting practices and the results of the process.</w:t>
      </w:r>
    </w:p>
    <w:p w14:paraId="3CCC0776" w14:textId="77777777" w:rsidR="001C19F3" w:rsidRDefault="001C19F3" w:rsidP="001C19F3">
      <w:r>
        <w:rPr>
          <w:noProof/>
          <w:lang w:eastAsia="en-AU"/>
        </w:rPr>
        <mc:AlternateContent>
          <mc:Choice Requires="wps">
            <w:drawing>
              <wp:anchor distT="91440" distB="91440" distL="114300" distR="114300" simplePos="0" relativeHeight="251665408" behindDoc="0" locked="0" layoutInCell="1" allowOverlap="1" wp14:anchorId="57F9D108" wp14:editId="25D50B95">
                <wp:simplePos x="0" y="0"/>
                <wp:positionH relativeFrom="page">
                  <wp:posOffset>981075</wp:posOffset>
                </wp:positionH>
                <wp:positionV relativeFrom="paragraph">
                  <wp:posOffset>944245</wp:posOffset>
                </wp:positionV>
                <wp:extent cx="2190750" cy="6096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09600"/>
                        </a:xfrm>
                        <a:prstGeom prst="rect">
                          <a:avLst/>
                        </a:prstGeom>
                        <a:noFill/>
                        <a:ln w="9525">
                          <a:noFill/>
                          <a:miter lim="800000"/>
                          <a:headEnd/>
                          <a:tailEnd/>
                        </a:ln>
                      </wps:spPr>
                      <wps:txbx>
                        <w:txbxContent>
                          <w:p w14:paraId="429FEA32" w14:textId="77777777" w:rsidR="00521305" w:rsidRPr="00427E70" w:rsidRDefault="00521305" w:rsidP="001C19F3">
                            <w:pPr>
                              <w:spacing w:after="0"/>
                              <w:jc w:val="center"/>
                              <w:rPr>
                                <w:i/>
                                <w:iCs/>
                                <w:color w:val="003D79"/>
                                <w:sz w:val="18"/>
                                <w:szCs w:val="18"/>
                              </w:rPr>
                            </w:pPr>
                            <w:r w:rsidRPr="00427E70">
                              <w:rPr>
                                <w:i/>
                                <w:iCs/>
                                <w:color w:val="003D79"/>
                                <w:sz w:val="18"/>
                                <w:szCs w:val="18"/>
                              </w:rPr>
                              <w:t xml:space="preserve">“You always want to pick the ones who are going to be easy </w:t>
                            </w:r>
                            <w:r w:rsidRPr="000E051C">
                              <w:rPr>
                                <w:i/>
                                <w:iCs/>
                                <w:color w:val="003D79"/>
                                <w:sz w:val="18"/>
                                <w:szCs w:val="18"/>
                              </w:rPr>
                              <w:t>to work with</w:t>
                            </w:r>
                            <w:r w:rsidRPr="00427E70">
                              <w:rPr>
                                <w:i/>
                                <w:iCs/>
                                <w:color w:val="003D79"/>
                                <w:sz w:val="18"/>
                                <w:szCs w:val="18"/>
                              </w:rPr>
                              <w:t xml:space="preserve">” </w:t>
                            </w:r>
                            <w:r w:rsidRPr="009B75E1">
                              <w:rPr>
                                <w:iCs/>
                                <w:color w:val="003D79"/>
                                <w:sz w:val="18"/>
                                <w:szCs w:val="18"/>
                              </w:rPr>
                              <w:t>[PHN 5,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9D108" id="_x0000_t202" coordsize="21600,21600" o:spt="202" path="m,l,21600r21600,l21600,xe">
                <v:stroke joinstyle="miter"/>
                <v:path gradientshapeok="t" o:connecttype="rect"/>
              </v:shapetype>
              <v:shape id="Text Box 2" o:spid="_x0000_s1026" type="#_x0000_t202" style="position:absolute;margin-left:77.25pt;margin-top:74.35pt;width:172.5pt;height:48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" filled="f" stroked="f">
                <v:textbox>
                  <w:txbxContent>
                    <w:p w14:paraId="429FEA32" w14:textId="77777777" w:rsidR="00521305" w:rsidRPr="00427E70" w:rsidRDefault="00521305" w:rsidP="001C19F3">
                      <w:pPr>
                        <w:spacing w:after="0"/>
                        <w:jc w:val="center"/>
                        <w:rPr>
                          <w:i/>
                          <w:iCs/>
                          <w:color w:val="003D79"/>
                          <w:sz w:val="18"/>
                          <w:szCs w:val="18"/>
                        </w:rPr>
                      </w:pPr>
                      <w:r w:rsidRPr="00427E70">
                        <w:rPr>
                          <w:i/>
                          <w:iCs/>
                          <w:color w:val="003D79"/>
                          <w:sz w:val="18"/>
                          <w:szCs w:val="18"/>
                        </w:rPr>
                        <w:t xml:space="preserve">“You always want to pick the ones who are going to be easy </w:t>
                      </w:r>
                      <w:r w:rsidRPr="000E051C">
                        <w:rPr>
                          <w:i/>
                          <w:iCs/>
                          <w:color w:val="003D79"/>
                          <w:sz w:val="18"/>
                          <w:szCs w:val="18"/>
                        </w:rPr>
                        <w:t>to work with</w:t>
                      </w:r>
                      <w:r w:rsidRPr="00427E70">
                        <w:rPr>
                          <w:i/>
                          <w:iCs/>
                          <w:color w:val="003D79"/>
                          <w:sz w:val="18"/>
                          <w:szCs w:val="18"/>
                        </w:rPr>
                        <w:t xml:space="preserve">” </w:t>
                      </w:r>
                      <w:r w:rsidRPr="009B75E1">
                        <w:rPr>
                          <w:iCs/>
                          <w:color w:val="003D79"/>
                          <w:sz w:val="18"/>
                          <w:szCs w:val="18"/>
                        </w:rPr>
                        <w:t>[PHN 5, interview, R1]</w:t>
                      </w:r>
                    </w:p>
                  </w:txbxContent>
                </v:textbox>
                <w10:wrap type="square" anchorx="page"/>
              </v:shape>
            </w:pict>
          </mc:Fallback>
        </mc:AlternateContent>
      </w:r>
      <w:r>
        <w:t>Some practice facilitators were not surprised with the practices selected – “</w:t>
      </w:r>
      <w:r w:rsidRPr="00DB4134">
        <w:rPr>
          <w:i/>
        </w:rPr>
        <w:t>we could</w:t>
      </w:r>
      <w:r>
        <w:rPr>
          <w:i/>
        </w:rPr>
        <w:t>’ve</w:t>
      </w:r>
      <w:r w:rsidRPr="00DB4134">
        <w:rPr>
          <w:i/>
        </w:rPr>
        <w:t xml:space="preserve"> picked most of them who got it</w:t>
      </w:r>
      <w:r>
        <w:t>” [PHN 5, interview, R1] – while others thought that the Department had recruited some practices that the PHN “</w:t>
      </w:r>
      <w:r w:rsidRPr="001E0E65">
        <w:rPr>
          <w:i/>
        </w:rPr>
        <w:t xml:space="preserve">would no way sign up to </w:t>
      </w:r>
      <w:r>
        <w:rPr>
          <w:i/>
        </w:rPr>
        <w:t>Health Care Homes</w:t>
      </w:r>
      <w:r>
        <w:t>” [PHN 6, interview, R1]. Others thought that given the intent to rollout HCH more widely in the future, it was good to have practices at different stages of readiness to learn from these practices’ experiences. In a few instances practice facilitators were surprised that practices they thought were not ready to implement the program were making progress:</w:t>
      </w:r>
    </w:p>
    <w:p w14:paraId="7A46FBF3" w14:textId="77777777" w:rsidR="001C19F3" w:rsidRDefault="001C19F3" w:rsidP="001C19F3">
      <w:pPr>
        <w:ind w:left="567" w:right="1088"/>
      </w:pPr>
      <w:r>
        <w:t>“…</w:t>
      </w:r>
      <w:r w:rsidRPr="007E58E0">
        <w:rPr>
          <w:i/>
        </w:rPr>
        <w:t>there’s a lot of handholding and a lot of walking through it but I think they’re going to be good</w:t>
      </w:r>
      <w:r>
        <w:rPr>
          <w:i/>
        </w:rPr>
        <w:t>.</w:t>
      </w:r>
      <w:r>
        <w:t>” [PHN 5, interview, R1]</w:t>
      </w:r>
    </w:p>
    <w:p w14:paraId="103CA16D" w14:textId="77777777" w:rsidR="001C19F3" w:rsidRDefault="001C19F3" w:rsidP="001C19F3">
      <w:pPr>
        <w:pStyle w:val="CommentText"/>
      </w:pPr>
      <w:r>
        <w:t>O</w:t>
      </w:r>
      <w:r w:rsidRPr="00150935">
        <w:t xml:space="preserve">ne PHN reflected </w:t>
      </w:r>
      <w:r>
        <w:t xml:space="preserve">when the PHN was directly engaged in recruiting replacement </w:t>
      </w:r>
      <w:r w:rsidRPr="00150935">
        <w:t xml:space="preserve">practices </w:t>
      </w:r>
      <w:r>
        <w:t>it was able to better engage with the GPs, and attributed this to the relative success of these practices:</w:t>
      </w:r>
    </w:p>
    <w:p w14:paraId="010987BA" w14:textId="77777777" w:rsidR="001C19F3" w:rsidRDefault="001C19F3" w:rsidP="001C19F3">
      <w:pPr>
        <w:ind w:left="567" w:right="1088"/>
      </w:pPr>
      <w:r>
        <w:t>“</w:t>
      </w:r>
      <w:r w:rsidRPr="007E58E0">
        <w:rPr>
          <w:i/>
        </w:rPr>
        <w:t>So working it this way I think we’ve got that engagement, we’ve got that buy-in from the GPs from the beginning, not being dictated to that you’re going to be joining this program</w:t>
      </w:r>
      <w:r>
        <w:rPr>
          <w:i/>
        </w:rPr>
        <w:t>.</w:t>
      </w:r>
      <w:r w:rsidRPr="00C5039A">
        <w:t>”</w:t>
      </w:r>
      <w:r>
        <w:t xml:space="preserve"> [PHN 10, interview, R1]</w:t>
      </w:r>
    </w:p>
    <w:p w14:paraId="65A895BA" w14:textId="77777777" w:rsidR="001C19F3" w:rsidRDefault="001C19F3" w:rsidP="001C19F3">
      <w:r>
        <w:t>Effective engagement of practices and specifically buy-in from GPs were identified as crucial for successful implementation</w:t>
      </w:r>
      <w:r w:rsidRPr="00AE37CC">
        <w:t>. Practice facilitators fel</w:t>
      </w:r>
      <w:r>
        <w:t>t</w:t>
      </w:r>
      <w:r w:rsidRPr="00AE37CC">
        <w:t xml:space="preserve"> that this </w:t>
      </w:r>
      <w:r>
        <w:t xml:space="preserve">was missing </w:t>
      </w:r>
      <w:r w:rsidRPr="00AE37CC">
        <w:t xml:space="preserve">in the recruitment </w:t>
      </w:r>
      <w:r>
        <w:t>processes, leading to later problems for the program</w:t>
      </w:r>
      <w:r w:rsidRPr="00AE37CC">
        <w:t xml:space="preserve">. </w:t>
      </w:r>
    </w:p>
    <w:p w14:paraId="0F84F264" w14:textId="77777777" w:rsidR="001C19F3" w:rsidRDefault="001C19F3" w:rsidP="001C19F3">
      <w:r>
        <w:t xml:space="preserve">Although PHNs weren’t directly involved in practice recruitment, some were proactive during the EOI stage. One PHN ensured </w:t>
      </w:r>
      <w:r w:rsidRPr="00420DAD">
        <w:t xml:space="preserve">practices </w:t>
      </w:r>
      <w:r>
        <w:t xml:space="preserve">were </w:t>
      </w:r>
      <w:r w:rsidRPr="00420DAD">
        <w:t xml:space="preserve">aware that an approach to market was coming. </w:t>
      </w:r>
      <w:r>
        <w:t xml:space="preserve">It did not interfere with the process; it left it up to practices to apply. </w:t>
      </w:r>
    </w:p>
    <w:p w14:paraId="7A53A1E5" w14:textId="77777777" w:rsidR="001C19F3" w:rsidRDefault="001C19F3" w:rsidP="001C19F3">
      <w:r>
        <w:t>PHN</w:t>
      </w:r>
      <w:r w:rsidRPr="00EB31DA">
        <w:t xml:space="preserve"> </w:t>
      </w:r>
      <w:r>
        <w:t xml:space="preserve">facilitators </w:t>
      </w:r>
      <w:r w:rsidRPr="00EB31DA">
        <w:t>had</w:t>
      </w:r>
      <w:r>
        <w:t xml:space="preserve"> mixed views about their role in recruiting practices. Many believed the PHN should have been involved earlier in the selection process. Specifically, they argued they could provide information about which practices would be suitable and which were not. One practice facilitator commented:</w:t>
      </w:r>
    </w:p>
    <w:p w14:paraId="7576B78A" w14:textId="77777777" w:rsidR="001C19F3" w:rsidRDefault="001C19F3" w:rsidP="001C19F3">
      <w:pPr>
        <w:ind w:left="567" w:right="1088"/>
      </w:pPr>
      <w:r>
        <w:t>“</w:t>
      </w:r>
      <w:r>
        <w:rPr>
          <w:i/>
        </w:rPr>
        <w:t>…</w:t>
      </w:r>
      <w:r w:rsidRPr="004A499A">
        <w:rPr>
          <w:i/>
        </w:rPr>
        <w:t xml:space="preserve"> if it’s something that’s driven by the PHNs, so driven by the contact at the PHN, you can add a lot more…</w:t>
      </w:r>
      <w:r>
        <w:rPr>
          <w:i/>
        </w:rPr>
        <w:t xml:space="preserve"> </w:t>
      </w:r>
      <w:r w:rsidRPr="004A499A">
        <w:rPr>
          <w:i/>
        </w:rPr>
        <w:t>You can give a lot more context and background and you can, I guess, find their carrot. So, say, you’ve got a practice who you know would be perfect for it because they’ve just got the right set-up and everything’s good to go, you know that practice. So, you’d go, I know you’ve been thinking about doing this, this, this and this. This program will allow you do this, this, this and this. Whereas it just comes across people’s desks</w:t>
      </w:r>
      <w:r>
        <w:rPr>
          <w:i/>
        </w:rPr>
        <w:t>, i</w:t>
      </w:r>
      <w:r w:rsidRPr="004A499A">
        <w:rPr>
          <w:i/>
        </w:rPr>
        <w:t>t’s at the mercy of how they interpret it</w:t>
      </w:r>
      <w:r>
        <w:rPr>
          <w:i/>
        </w:rPr>
        <w:t>.</w:t>
      </w:r>
      <w:r w:rsidRPr="00660670">
        <w:t>”</w:t>
      </w:r>
      <w:r>
        <w:t xml:space="preserve"> [PHN 1, interview, R1]</w:t>
      </w:r>
    </w:p>
    <w:p w14:paraId="666C11F5" w14:textId="77777777" w:rsidR="001C19F3" w:rsidRDefault="001C19F3" w:rsidP="001C19F3">
      <w:r>
        <w:t xml:space="preserve">Facilitators suggested PHN involvement in selection would have resulted in more effective </w:t>
      </w:r>
      <w:r w:rsidRPr="00186222">
        <w:t>engage</w:t>
      </w:r>
      <w:r>
        <w:t>ment with practices, which they thought was crucial:</w:t>
      </w:r>
    </w:p>
    <w:p w14:paraId="5AF9C256" w14:textId="77777777" w:rsidR="001C19F3" w:rsidRDefault="001C19F3" w:rsidP="001C19F3">
      <w:pPr>
        <w:ind w:left="567" w:right="1088"/>
      </w:pPr>
      <w:r>
        <w:lastRenderedPageBreak/>
        <w:t xml:space="preserve"> “…</w:t>
      </w:r>
      <w:r w:rsidRPr="006D6FC8">
        <w:rPr>
          <w:i/>
        </w:rPr>
        <w:t>the vast majority of practices communicated to the …PHN that they would have been much happier with direct PHN involvement in this process and would have felt much more secure in dealing with people who were familiar to them and knew their region etc</w:t>
      </w:r>
      <w:r w:rsidRPr="00EE7044">
        <w:t>.</w:t>
      </w:r>
      <w:r>
        <w:t>” [PHN 3, survey, R1]</w:t>
      </w:r>
    </w:p>
    <w:p w14:paraId="3AA15162" w14:textId="77777777" w:rsidR="001C19F3" w:rsidRDefault="001C19F3" w:rsidP="001C19F3">
      <w:r>
        <w:rPr>
          <w:bCs/>
        </w:rPr>
        <w:t xml:space="preserve">Staff </w:t>
      </w:r>
      <w:r w:rsidRPr="009B6521">
        <w:rPr>
          <w:bCs/>
        </w:rPr>
        <w:t>from the Department of Health</w:t>
      </w:r>
      <w:r>
        <w:t xml:space="preserve"> involved in the practice selection indicated that they would have welcomed more involvement from PHNs. They identified extreme time pressures and the division of responsibilities across sections of the Department and state/territory offices as the main challenges of involving PHNs earlier.</w:t>
      </w:r>
    </w:p>
    <w:p w14:paraId="59BBE4E8" w14:textId="77777777" w:rsidR="001C19F3" w:rsidRDefault="001C19F3" w:rsidP="001C19F3">
      <w:pPr>
        <w:pStyle w:val="Heading3"/>
      </w:pPr>
      <w:r>
        <w:t>Practice motivations for joining HCH</w:t>
      </w:r>
    </w:p>
    <w:p w14:paraId="18497CFD" w14:textId="77777777" w:rsidR="001C19F3" w:rsidRDefault="001C19F3" w:rsidP="001C19F3">
      <w:pPr>
        <w:rPr>
          <w:rFonts w:eastAsia="Times New Roman"/>
          <w:szCs w:val="20"/>
        </w:rPr>
      </w:pPr>
      <w:r>
        <w:rPr>
          <w:noProof/>
          <w:lang w:eastAsia="en-AU"/>
        </w:rPr>
        <mc:AlternateContent>
          <mc:Choice Requires="wps">
            <w:drawing>
              <wp:anchor distT="91440" distB="91440" distL="114300" distR="114300" simplePos="0" relativeHeight="251666432" behindDoc="0" locked="0" layoutInCell="1" allowOverlap="1" wp14:anchorId="792A0747" wp14:editId="5C6618D1">
                <wp:simplePos x="0" y="0"/>
                <wp:positionH relativeFrom="page">
                  <wp:posOffset>914400</wp:posOffset>
                </wp:positionH>
                <wp:positionV relativeFrom="paragraph">
                  <wp:posOffset>161925</wp:posOffset>
                </wp:positionV>
                <wp:extent cx="1971675" cy="140398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headEnd/>
                          <a:tailEnd/>
                        </a:ln>
                      </wps:spPr>
                      <wps:txbx>
                        <w:txbxContent>
                          <w:p w14:paraId="6DD15303" w14:textId="77777777" w:rsidR="00521305" w:rsidRPr="00427E70" w:rsidRDefault="00521305" w:rsidP="001C19F3">
                            <w:pPr>
                              <w:spacing w:after="0"/>
                              <w:jc w:val="center"/>
                              <w:rPr>
                                <w:i/>
                                <w:iCs/>
                                <w:color w:val="003D79"/>
                                <w:sz w:val="18"/>
                                <w:szCs w:val="18"/>
                              </w:rPr>
                            </w:pPr>
                            <w:r w:rsidRPr="00427E70">
                              <w:rPr>
                                <w:i/>
                                <w:iCs/>
                                <w:color w:val="003D79"/>
                                <w:sz w:val="18"/>
                                <w:szCs w:val="18"/>
                              </w:rPr>
                              <w:t>“</w:t>
                            </w:r>
                            <w:r>
                              <w:rPr>
                                <w:i/>
                                <w:iCs/>
                                <w:color w:val="003D79"/>
                                <w:sz w:val="18"/>
                                <w:szCs w:val="18"/>
                              </w:rPr>
                              <w:t>T</w:t>
                            </w:r>
                            <w:r w:rsidRPr="0027072D">
                              <w:rPr>
                                <w:i/>
                                <w:iCs/>
                                <w:color w:val="003D79"/>
                                <w:sz w:val="18"/>
                                <w:szCs w:val="18"/>
                              </w:rPr>
                              <w:t>he future of general practice is changing</w:t>
                            </w:r>
                            <w:r w:rsidRPr="00641051">
                              <w:rPr>
                                <w:i/>
                                <w:iCs/>
                                <w:color w:val="003D79"/>
                                <w:sz w:val="18"/>
                                <w:szCs w:val="18"/>
                              </w:rPr>
                              <w:t xml:space="preserve">” </w:t>
                            </w:r>
                            <w:r w:rsidRPr="009B75E1">
                              <w:rPr>
                                <w:iCs/>
                                <w:color w:val="003D79"/>
                                <w:sz w:val="18"/>
                                <w:szCs w:val="18"/>
                              </w:rPr>
                              <w:t>[PHN 2, interview, 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A0747" id="_x0000_s1027" type="#_x0000_t202" style="position:absolute;margin-left:1in;margin-top:12.75pt;width:155.25pt;height:110.55pt;z-index:2516664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" filled="f" stroked="f">
                <v:textbox style="mso-fit-shape-to-text:t">
                  <w:txbxContent>
                    <w:p w14:paraId="6DD15303" w14:textId="77777777" w:rsidR="00521305" w:rsidRPr="00427E70" w:rsidRDefault="00521305" w:rsidP="001C19F3">
                      <w:pPr>
                        <w:spacing w:after="0"/>
                        <w:jc w:val="center"/>
                        <w:rPr>
                          <w:i/>
                          <w:iCs/>
                          <w:color w:val="003D79"/>
                          <w:sz w:val="18"/>
                          <w:szCs w:val="18"/>
                        </w:rPr>
                      </w:pPr>
                      <w:r w:rsidRPr="00427E70">
                        <w:rPr>
                          <w:i/>
                          <w:iCs/>
                          <w:color w:val="003D79"/>
                          <w:sz w:val="18"/>
                          <w:szCs w:val="18"/>
                        </w:rPr>
                        <w:t>“</w:t>
                      </w:r>
                      <w:r>
                        <w:rPr>
                          <w:i/>
                          <w:iCs/>
                          <w:color w:val="003D79"/>
                          <w:sz w:val="18"/>
                          <w:szCs w:val="18"/>
                        </w:rPr>
                        <w:t>T</w:t>
                      </w:r>
                      <w:r w:rsidRPr="0027072D">
                        <w:rPr>
                          <w:i/>
                          <w:iCs/>
                          <w:color w:val="003D79"/>
                          <w:sz w:val="18"/>
                          <w:szCs w:val="18"/>
                        </w:rPr>
                        <w:t>he future of general practice is changing</w:t>
                      </w:r>
                      <w:r w:rsidRPr="00641051">
                        <w:rPr>
                          <w:i/>
                          <w:iCs/>
                          <w:color w:val="003D79"/>
                          <w:sz w:val="18"/>
                          <w:szCs w:val="18"/>
                        </w:rPr>
                        <w:t xml:space="preserve">” </w:t>
                      </w:r>
                      <w:r w:rsidRPr="009B75E1">
                        <w:rPr>
                          <w:iCs/>
                          <w:color w:val="003D79"/>
                          <w:sz w:val="18"/>
                          <w:szCs w:val="18"/>
                        </w:rPr>
                        <w:t>[PHN 2, interview, R1]</w:t>
                      </w:r>
                    </w:p>
                  </w:txbxContent>
                </v:textbox>
                <w10:wrap type="square" anchorx="page"/>
              </v:shape>
            </w:pict>
          </mc:Fallback>
        </mc:AlternateContent>
      </w:r>
      <w:r>
        <w:rPr>
          <w:rFonts w:eastAsia="Times New Roman"/>
          <w:szCs w:val="20"/>
        </w:rPr>
        <w:t xml:space="preserve">Practices gave several reasons for their interest in joining HCH. Some practices felt </w:t>
      </w:r>
      <w:r>
        <w:rPr>
          <w:rFonts w:eastAsia="Times New Roman"/>
          <w:b/>
          <w:szCs w:val="20"/>
        </w:rPr>
        <w:t xml:space="preserve">HCH to be the future of primary care. </w:t>
      </w:r>
      <w:r>
        <w:rPr>
          <w:rFonts w:eastAsia="Times New Roman"/>
          <w:bCs/>
          <w:szCs w:val="20"/>
        </w:rPr>
        <w:t>T</w:t>
      </w:r>
      <w:r>
        <w:rPr>
          <w:rFonts w:eastAsia="Times New Roman"/>
          <w:szCs w:val="20"/>
        </w:rPr>
        <w:t xml:space="preserve">he introduction of multiple PCMH-type initiatives in Australia and shifts away from fee-for-service funding in other countries were factors that played into this thinking. Practices were interested in learning how to implement HCH and potentially </w:t>
      </w:r>
      <w:r w:rsidRPr="003F797A">
        <w:rPr>
          <w:rFonts w:eastAsia="Times New Roman"/>
          <w:b/>
          <w:bCs/>
          <w:szCs w:val="20"/>
        </w:rPr>
        <w:t>influencing</w:t>
      </w:r>
      <w:r>
        <w:rPr>
          <w:rFonts w:eastAsia="Times New Roman"/>
          <w:szCs w:val="20"/>
        </w:rPr>
        <w:t xml:space="preserve"> how it might look, prior to a wider rollout of this type of program:</w:t>
      </w:r>
    </w:p>
    <w:p w14:paraId="564CAE2E" w14:textId="77777777" w:rsidR="001C19F3" w:rsidRDefault="001C19F3" w:rsidP="001C19F3">
      <w:pPr>
        <w:ind w:left="284"/>
        <w:rPr>
          <w:rFonts w:eastAsiaTheme="minorHAnsi" w:cstheme="minorBidi"/>
          <w:szCs w:val="20"/>
        </w:rPr>
      </w:pPr>
      <w:r>
        <w:rPr>
          <w:rFonts w:eastAsia="Times New Roman"/>
          <w:i/>
          <w:szCs w:val="20"/>
        </w:rPr>
        <w:t xml:space="preserve">“We </w:t>
      </w:r>
      <w:r>
        <w:rPr>
          <w:rFonts w:eastAsia="Times New Roman"/>
          <w:szCs w:val="20"/>
        </w:rPr>
        <w:t xml:space="preserve">[have] </w:t>
      </w:r>
      <w:r>
        <w:rPr>
          <w:rFonts w:eastAsia="Times New Roman"/>
          <w:i/>
          <w:szCs w:val="20"/>
        </w:rPr>
        <w:t>been in the general practice medical centre industry for over 10 years now, and we felt that if this kind of change is coming, we want to be part of the group that is a good influence on some kind of change. More often than not, when change has happened with MBS items, we hear about them and then everyone whinges, we thought, maybe we’ve got a chance to influence things …We hope that it earns some money for the practice, it also earns some money for us. But perhaps, it’s the way that things are changing, and we would like to be part of this.”</w:t>
      </w:r>
      <w:r>
        <w:rPr>
          <w:rFonts w:eastAsia="Times New Roman"/>
          <w:szCs w:val="20"/>
        </w:rPr>
        <w:t xml:space="preserve"> [Joint practice manager and GP Practice 15,</w:t>
      </w:r>
      <w:r w:rsidRPr="00E61749">
        <w:rPr>
          <w:rFonts w:eastAsia="Times New Roman"/>
          <w:szCs w:val="20"/>
        </w:rPr>
        <w:t xml:space="preserve"> </w:t>
      </w:r>
      <w:r>
        <w:rPr>
          <w:rFonts w:eastAsia="Times New Roman"/>
          <w:szCs w:val="20"/>
        </w:rPr>
        <w:t>interview, R2]</w:t>
      </w:r>
    </w:p>
    <w:p w14:paraId="56C3045C" w14:textId="77777777" w:rsidR="001C19F3" w:rsidRDefault="001C19F3" w:rsidP="001C19F3">
      <w:pPr>
        <w:rPr>
          <w:szCs w:val="20"/>
        </w:rPr>
      </w:pPr>
      <w:r>
        <w:rPr>
          <w:rFonts w:eastAsia="Times New Roman"/>
          <w:szCs w:val="20"/>
        </w:rPr>
        <w:t>A GP from another practice echoed this sentiment:</w:t>
      </w:r>
    </w:p>
    <w:p w14:paraId="128B1B9C" w14:textId="77777777" w:rsidR="001C19F3" w:rsidRDefault="001C19F3" w:rsidP="001C19F3">
      <w:pPr>
        <w:ind w:left="567" w:right="1088"/>
        <w:rPr>
          <w:rFonts w:eastAsia="Times New Roman"/>
          <w:szCs w:val="20"/>
        </w:rPr>
      </w:pPr>
      <w:r>
        <w:rPr>
          <w:rFonts w:eastAsia="Times New Roman"/>
          <w:i/>
          <w:szCs w:val="20"/>
        </w:rPr>
        <w:t>“</w:t>
      </w:r>
      <w:r>
        <w:rPr>
          <w:rFonts w:cs="Arial"/>
          <w:i/>
          <w:color w:val="000000"/>
          <w:szCs w:val="20"/>
          <w:lang w:val="en-GB"/>
        </w:rPr>
        <w:t>I suppose, see firstly if it's any good and secondly I suppose have a say. Have a say in the system. If it's going to be rolled out then we're going to be at the forefront…</w:t>
      </w:r>
      <w:r>
        <w:rPr>
          <w:rFonts w:eastAsia="Times New Roman"/>
          <w:i/>
          <w:szCs w:val="20"/>
        </w:rPr>
        <w:t>”</w:t>
      </w:r>
      <w:r>
        <w:rPr>
          <w:rFonts w:eastAsia="Times New Roman"/>
          <w:szCs w:val="20"/>
        </w:rPr>
        <w:t xml:space="preserve"> [GP, Practice 1, interview, R2]</w:t>
      </w:r>
    </w:p>
    <w:p w14:paraId="7DAEEF82" w14:textId="77777777" w:rsidR="001C19F3" w:rsidRDefault="001C19F3" w:rsidP="001C19F3">
      <w:pPr>
        <w:rPr>
          <w:rFonts w:eastAsiaTheme="minorHAnsi" w:cs="Arial"/>
          <w:color w:val="000000"/>
          <w:szCs w:val="20"/>
          <w:lang w:val="en-GB"/>
        </w:rPr>
      </w:pPr>
      <w:r w:rsidRPr="003F797A">
        <w:rPr>
          <w:b/>
          <w:bCs/>
        </w:rPr>
        <w:t>Testing the model</w:t>
      </w:r>
      <w:r>
        <w:t xml:space="preserve"> and checking whether “it’s any good”</w:t>
      </w:r>
      <w:r>
        <w:rPr>
          <w:rFonts w:cs="Arial"/>
          <w:i/>
          <w:color w:val="000000"/>
          <w:szCs w:val="20"/>
          <w:lang w:val="en-GB"/>
        </w:rPr>
        <w:t xml:space="preserve"> </w:t>
      </w:r>
      <w:r>
        <w:rPr>
          <w:rFonts w:cs="Arial"/>
          <w:color w:val="000000"/>
          <w:szCs w:val="20"/>
          <w:lang w:val="en-GB"/>
        </w:rPr>
        <w:t>was another motivation mentioned by practices. A GP commented:</w:t>
      </w:r>
    </w:p>
    <w:p w14:paraId="3B274523" w14:textId="77777777" w:rsidR="001C19F3" w:rsidRDefault="001C19F3" w:rsidP="001C19F3">
      <w:pPr>
        <w:ind w:left="567" w:right="1088"/>
        <w:rPr>
          <w:rFonts w:eastAsia="Times New Roman"/>
          <w:szCs w:val="20"/>
        </w:rPr>
      </w:pPr>
      <w:r>
        <w:rPr>
          <w:i/>
        </w:rPr>
        <w:t>“I am definitely a person in life that’s swayed by evidence. I don’t have a fixed point of view… I even think, looking at the evidence for Health Care Homes, it still wasn’t strong one way or the other, especially in an Australian context, so I was more prepared to say, let’s build the evidence and see how it works and evolve my decision making along the way</w:t>
      </w:r>
      <w:r>
        <w:t xml:space="preserve">.” </w:t>
      </w:r>
      <w:r>
        <w:rPr>
          <w:rFonts w:eastAsia="Times New Roman"/>
          <w:szCs w:val="20"/>
        </w:rPr>
        <w:t>[GP, Practice 1, interview, R2]</w:t>
      </w:r>
    </w:p>
    <w:p w14:paraId="6C9433BE" w14:textId="77777777" w:rsidR="001C19F3" w:rsidRDefault="001C19F3" w:rsidP="001C19F3">
      <w:pPr>
        <w:rPr>
          <w:szCs w:val="20"/>
        </w:rPr>
      </w:pPr>
      <w:r>
        <w:rPr>
          <w:rFonts w:eastAsia="Times New Roman"/>
          <w:szCs w:val="20"/>
        </w:rPr>
        <w:t xml:space="preserve">Some practices felt that the </w:t>
      </w:r>
      <w:r>
        <w:rPr>
          <w:rFonts w:eastAsia="Times New Roman"/>
          <w:b/>
          <w:szCs w:val="20"/>
        </w:rPr>
        <w:t>HCH philosophy aligned with their values of delivering holistic care</w:t>
      </w:r>
      <w:r>
        <w:rPr>
          <w:rFonts w:eastAsia="Times New Roman"/>
          <w:szCs w:val="20"/>
        </w:rPr>
        <w:t xml:space="preserve"> and that they were already providing these types of services to their patients:</w:t>
      </w:r>
    </w:p>
    <w:p w14:paraId="0C91ECAC" w14:textId="77777777" w:rsidR="001C19F3" w:rsidRDefault="001C19F3" w:rsidP="001C19F3">
      <w:pPr>
        <w:ind w:left="567" w:right="1088"/>
        <w:rPr>
          <w:rFonts w:eastAsia="Times New Roman"/>
          <w:szCs w:val="20"/>
        </w:rPr>
      </w:pPr>
      <w:r>
        <w:rPr>
          <w:rFonts w:eastAsia="Times New Roman"/>
          <w:i/>
          <w:szCs w:val="20"/>
        </w:rPr>
        <w:t xml:space="preserve">“The philosophy behind it is individualised care based on the needs of the patient is in keeping with what our philosophy is anyway…If you’ve got an opportunity to be part of it why not be part of it? </w:t>
      </w:r>
      <w:r>
        <w:rPr>
          <w:rFonts w:eastAsia="Times New Roman"/>
          <w:szCs w:val="20"/>
        </w:rPr>
        <w:t>[Practice manager, Practice 18, interview, R2]</w:t>
      </w:r>
    </w:p>
    <w:p w14:paraId="553144A5" w14:textId="77777777" w:rsidR="001C19F3" w:rsidRDefault="001C19F3" w:rsidP="001C19F3">
      <w:pPr>
        <w:ind w:left="567" w:right="1088"/>
        <w:rPr>
          <w:rFonts w:eastAsiaTheme="minorHAnsi" w:cstheme="minorBidi"/>
          <w:szCs w:val="20"/>
        </w:rPr>
      </w:pPr>
      <w:r>
        <w:rPr>
          <w:rFonts w:eastAsia="Times New Roman"/>
          <w:i/>
          <w:szCs w:val="20"/>
        </w:rPr>
        <w:lastRenderedPageBreak/>
        <w:t xml:space="preserve">“…I suppose I practice a little bit like that anyway, so this idea of holistic care, prescribing for patients when they're not present, requesting scripts, telephone calls, home visits which I'll do on occasion as well…” </w:t>
      </w:r>
      <w:r>
        <w:rPr>
          <w:rFonts w:eastAsia="Times New Roman"/>
          <w:szCs w:val="20"/>
        </w:rPr>
        <w:t>[GP, Practice 1, interview, R2]</w:t>
      </w:r>
    </w:p>
    <w:p w14:paraId="5E2356B1" w14:textId="77777777" w:rsidR="001C19F3" w:rsidRDefault="001C19F3" w:rsidP="001C19F3">
      <w:pPr>
        <w:ind w:left="567" w:right="1088"/>
        <w:rPr>
          <w:szCs w:val="20"/>
        </w:rPr>
      </w:pPr>
      <w:r>
        <w:rPr>
          <w:rFonts w:eastAsia="Times New Roman"/>
          <w:i/>
          <w:szCs w:val="20"/>
        </w:rPr>
        <w:t xml:space="preserve"> “All of our staff, our reception, they do a lot of work just actually aiding the patients with everything that they need. Whether it be appointments. Whether it be pathology. Whether it be just …helping them get transport. They're doing a lot of work anyway that's not acknowledged.”</w:t>
      </w:r>
      <w:r>
        <w:rPr>
          <w:rFonts w:eastAsia="Times New Roman"/>
          <w:szCs w:val="20"/>
        </w:rPr>
        <w:t xml:space="preserve"> [Practice manager, Practice 10, interview, R2]</w:t>
      </w:r>
    </w:p>
    <w:p w14:paraId="0CC19B98" w14:textId="77777777" w:rsidR="001C19F3" w:rsidRDefault="001C19F3" w:rsidP="001C19F3">
      <w:pPr>
        <w:rPr>
          <w:rFonts w:eastAsia="Times New Roman"/>
          <w:szCs w:val="20"/>
        </w:rPr>
      </w:pPr>
      <w:r>
        <w:rPr>
          <w:rFonts w:eastAsia="Times New Roman"/>
          <w:szCs w:val="20"/>
        </w:rPr>
        <w:t xml:space="preserve">The ability to </w:t>
      </w:r>
      <w:r>
        <w:rPr>
          <w:rFonts w:eastAsia="Times New Roman"/>
          <w:b/>
          <w:szCs w:val="20"/>
        </w:rPr>
        <w:t>increase nurse involvement</w:t>
      </w:r>
      <w:r>
        <w:rPr>
          <w:rFonts w:eastAsia="Times New Roman"/>
          <w:szCs w:val="20"/>
        </w:rPr>
        <w:t xml:space="preserve"> was another driver for practices. They felt that using nurses to their full potential would free up doctors’ time and promote a more team-based approach in chronic disease management:</w:t>
      </w:r>
    </w:p>
    <w:p w14:paraId="7A7AE125" w14:textId="77777777" w:rsidR="001C19F3" w:rsidRDefault="001C19F3" w:rsidP="001C19F3">
      <w:pPr>
        <w:ind w:left="567" w:right="1088"/>
        <w:rPr>
          <w:rFonts w:eastAsia="Times New Roman"/>
          <w:szCs w:val="20"/>
        </w:rPr>
      </w:pPr>
      <w:r>
        <w:rPr>
          <w:rFonts w:eastAsia="Times New Roman"/>
          <w:i/>
          <w:szCs w:val="20"/>
        </w:rPr>
        <w:t xml:space="preserve">“My main reason behind my push was to get a better nurse involvement that nurses could manage patients without a doctor. </w:t>
      </w:r>
      <w:r w:rsidRPr="005D2EEB">
        <w:rPr>
          <w:rFonts w:eastAsia="Times New Roman"/>
          <w:szCs w:val="20"/>
        </w:rPr>
        <w:t>[They]</w:t>
      </w:r>
      <w:r>
        <w:rPr>
          <w:rFonts w:eastAsia="Times New Roman"/>
          <w:i/>
          <w:szCs w:val="20"/>
        </w:rPr>
        <w:t xml:space="preserve"> Would be part of a team led care rather than everything running off just a doctor’s consultation.”</w:t>
      </w:r>
      <w:r>
        <w:rPr>
          <w:rFonts w:eastAsia="Times New Roman"/>
          <w:szCs w:val="20"/>
        </w:rPr>
        <w:t xml:space="preserve"> [Nurse, Practice 13, interview, R2]</w:t>
      </w:r>
    </w:p>
    <w:p w14:paraId="571C3ADB" w14:textId="77777777" w:rsidR="001C19F3" w:rsidRDefault="001C19F3" w:rsidP="001C19F3">
      <w:pPr>
        <w:ind w:left="567" w:right="1088"/>
        <w:rPr>
          <w:rFonts w:eastAsia="Times New Roman"/>
          <w:szCs w:val="20"/>
        </w:rPr>
      </w:pPr>
      <w:r>
        <w:rPr>
          <w:rFonts w:eastAsia="Times New Roman"/>
          <w:i/>
          <w:szCs w:val="20"/>
        </w:rPr>
        <w:t>“I think what we were hoping to do was be able to provide coordinated care in a way that was less linked to bureaucracy. And by that what I meant was hopefully being able to free up the nursing staff in particular to be able to take a bit more of a free hand in coordinating care without necessarily always involving the general practitioner in every consultation.”</w:t>
      </w:r>
      <w:r>
        <w:rPr>
          <w:rFonts w:eastAsia="Times New Roman"/>
          <w:szCs w:val="20"/>
        </w:rPr>
        <w:t xml:space="preserve"> [GP, Practice 2, interview, R2]</w:t>
      </w:r>
    </w:p>
    <w:p w14:paraId="710ACB7B" w14:textId="77777777" w:rsidR="001C19F3" w:rsidRDefault="001C19F3" w:rsidP="001C19F3">
      <w:pPr>
        <w:rPr>
          <w:rFonts w:eastAsiaTheme="minorHAnsi" w:cstheme="minorBidi"/>
        </w:rPr>
      </w:pPr>
      <w:r w:rsidRPr="0062584F">
        <w:rPr>
          <w:bCs/>
        </w:rPr>
        <w:t>Having a population of patients with higher rates of chronic disease</w:t>
      </w:r>
      <w:r>
        <w:t xml:space="preserve"> and the </w:t>
      </w:r>
      <w:r>
        <w:rPr>
          <w:rFonts w:eastAsia="Times New Roman"/>
          <w:b/>
          <w:szCs w:val="20"/>
        </w:rPr>
        <w:t xml:space="preserve">emphasis of the program on patient activation and self-management </w:t>
      </w:r>
      <w:r>
        <w:t xml:space="preserve">was another motivation. They felt that HCH would benefit the practice and their patients on a large scale: </w:t>
      </w:r>
    </w:p>
    <w:p w14:paraId="462D2B6A" w14:textId="77777777" w:rsidR="001C19F3" w:rsidRDefault="001C19F3" w:rsidP="001C19F3">
      <w:pPr>
        <w:ind w:left="567" w:right="1088"/>
      </w:pPr>
      <w:r>
        <w:rPr>
          <w:i/>
        </w:rPr>
        <w:t>“I think because our patients are, have so much chronic multi-morbidity that it was suggested to us by the PHN that we might be interested in doing it.”</w:t>
      </w:r>
      <w:r>
        <w:t xml:space="preserve"> [GP, Practice 10, interview, R2]</w:t>
      </w:r>
    </w:p>
    <w:p w14:paraId="4DE7538E" w14:textId="77777777" w:rsidR="001C19F3" w:rsidRDefault="001C19F3" w:rsidP="001C19F3">
      <w:pPr>
        <w:ind w:left="567" w:right="1088"/>
        <w:rPr>
          <w:rFonts w:eastAsiaTheme="minorHAnsi" w:cstheme="minorBidi"/>
        </w:rPr>
      </w:pPr>
      <w:r>
        <w:rPr>
          <w:i/>
        </w:rPr>
        <w:t xml:space="preserve"> “I think it really is the way forward. I can see that it’s a very positive step forward… there’s more push for people to take responsibility for their own health… People come, they are sick, you fix them, off they go. Now it’s about prevention. There’s largely a much, much bigger component, prevention. And HCH is the way to encourage people to do it, especially with chronic diseases like ischemic heart disease and diabetes. It’s tailor-made for those kind of things.”</w:t>
      </w:r>
      <w:r>
        <w:t xml:space="preserve"> [GP, Practice 4, interview, R2]</w:t>
      </w:r>
    </w:p>
    <w:p w14:paraId="3E7D4474" w14:textId="77777777" w:rsidR="001C19F3" w:rsidRPr="00E213C9" w:rsidRDefault="001C19F3" w:rsidP="001C19F3">
      <w:pPr>
        <w:rPr>
          <w:rFonts w:eastAsia="Times New Roman"/>
          <w:szCs w:val="20"/>
        </w:rPr>
      </w:pPr>
      <w:r>
        <w:t xml:space="preserve">In some </w:t>
      </w:r>
      <w:r w:rsidRPr="00D75B41">
        <w:rPr>
          <w:bCs/>
        </w:rPr>
        <w:t>practice leaders had</w:t>
      </w:r>
      <w:r>
        <w:rPr>
          <w:b/>
        </w:rPr>
        <w:t xml:space="preserve"> exposure to bundled payments in other countries</w:t>
      </w:r>
      <w:r>
        <w:t xml:space="preserve"> and had positive experiences with the approach:</w:t>
      </w:r>
    </w:p>
    <w:p w14:paraId="66B7F61F" w14:textId="77777777" w:rsidR="001C19F3" w:rsidRDefault="001C19F3" w:rsidP="001C19F3">
      <w:pPr>
        <w:ind w:left="567" w:right="1088"/>
      </w:pPr>
      <w:r>
        <w:t>“[GP]</w:t>
      </w:r>
      <w:r>
        <w:rPr>
          <w:i/>
        </w:rPr>
        <w:t xml:space="preserve"> was very on board. Again, because he was in UK…He was a huge advocate of this model.</w:t>
      </w:r>
      <w:r>
        <w:t xml:space="preserve">” [Nurse, Practice 6, interview, R2] </w:t>
      </w:r>
    </w:p>
    <w:p w14:paraId="3A69F740" w14:textId="77777777" w:rsidR="001C19F3" w:rsidRDefault="001C19F3" w:rsidP="001C19F3">
      <w:pPr>
        <w:rPr>
          <w:rFonts w:eastAsia="Times New Roman"/>
          <w:szCs w:val="20"/>
        </w:rPr>
      </w:pPr>
      <w:r>
        <w:rPr>
          <w:rFonts w:eastAsia="Times New Roman"/>
          <w:szCs w:val="20"/>
        </w:rPr>
        <w:t xml:space="preserve">A common perception was that the </w:t>
      </w:r>
      <w:r>
        <w:rPr>
          <w:rFonts w:eastAsia="Times New Roman"/>
          <w:b/>
          <w:szCs w:val="20"/>
        </w:rPr>
        <w:t>current Medicare fee-for-service system restricts practices’ ability to provide various types of chronic disease management</w:t>
      </w:r>
      <w:r>
        <w:rPr>
          <w:rFonts w:eastAsia="Times New Roman"/>
          <w:szCs w:val="20"/>
        </w:rPr>
        <w:t xml:space="preserve">, such as group sessions, home visits, and telephone consults. </w:t>
      </w:r>
      <w:r>
        <w:t xml:space="preserve">Practices that believed they were already </w:t>
      </w:r>
      <w:r>
        <w:lastRenderedPageBreak/>
        <w:t>providing holistic care saw the</w:t>
      </w:r>
      <w:r w:rsidRPr="00D75B41">
        <w:rPr>
          <w:bCs/>
        </w:rPr>
        <w:t xml:space="preserve"> bundled payment as </w:t>
      </w:r>
      <w:r>
        <w:rPr>
          <w:bCs/>
        </w:rPr>
        <w:t xml:space="preserve">an opportunity to be reimbursed for </w:t>
      </w:r>
      <w:r w:rsidRPr="00D75B41">
        <w:rPr>
          <w:bCs/>
        </w:rPr>
        <w:t xml:space="preserve">services </w:t>
      </w:r>
      <w:r>
        <w:rPr>
          <w:bCs/>
        </w:rPr>
        <w:t xml:space="preserve">currently </w:t>
      </w:r>
      <w:r w:rsidRPr="00D75B41">
        <w:rPr>
          <w:bCs/>
        </w:rPr>
        <w:t xml:space="preserve">unpaid </w:t>
      </w:r>
      <w:r>
        <w:t>under the fee-for-service model.</w:t>
      </w:r>
      <w:r>
        <w:rPr>
          <w:rFonts w:eastAsia="Times New Roman"/>
          <w:szCs w:val="20"/>
        </w:rPr>
        <w:t xml:space="preserve"> This persuaded some practices to trial the program:</w:t>
      </w:r>
      <w:r w:rsidRPr="00D75B41">
        <w:t xml:space="preserve"> </w:t>
      </w:r>
    </w:p>
    <w:p w14:paraId="0E3F32FC" w14:textId="77777777" w:rsidR="001C19F3" w:rsidRDefault="001C19F3" w:rsidP="001C19F3">
      <w:pPr>
        <w:ind w:left="567" w:right="1088"/>
        <w:rPr>
          <w:rFonts w:eastAsia="Times New Roman"/>
          <w:szCs w:val="20"/>
        </w:rPr>
      </w:pPr>
      <w:r>
        <w:rPr>
          <w:rFonts w:eastAsia="Times New Roman"/>
          <w:i/>
          <w:szCs w:val="20"/>
        </w:rPr>
        <w:t xml:space="preserve">“I’m caught in that I try to spend time with people, educating them. But the longer I spend, the more I run behind…Medicare discourages us so much from trying to do appropriate health care that this was just a whole new way where we may be able to get some funding to better run this...The benefit to me of this program was to be able to run health care programs, to be to able run fitness programs, to be able to run weight-loss programs…Trying to care for people appropriately and spend time with them is an effort. And this program, to me, was going to be able to enable me to be able to do that.” </w:t>
      </w:r>
      <w:r>
        <w:rPr>
          <w:rFonts w:eastAsia="Times New Roman"/>
          <w:szCs w:val="20"/>
        </w:rPr>
        <w:t>[GP, Practice 17, interview, R2]</w:t>
      </w:r>
    </w:p>
    <w:p w14:paraId="2993B422" w14:textId="77777777" w:rsidR="001C19F3" w:rsidRDefault="001C19F3" w:rsidP="001C19F3">
      <w:pPr>
        <w:ind w:left="567" w:right="1088"/>
        <w:rPr>
          <w:rFonts w:eastAsia="Times New Roman"/>
          <w:szCs w:val="20"/>
        </w:rPr>
      </w:pPr>
      <w:r>
        <w:rPr>
          <w:rFonts w:eastAsia="Times New Roman"/>
          <w:i/>
          <w:szCs w:val="20"/>
        </w:rPr>
        <w:t>“What we were interested in doing as part of Health Care Homes was to try out a few ideas that at the moment aren't supported under Medicare. So different models of consulting that we've been wanting to try out. So, this afforded us some sort of funding to be able to try that out and the flexibility to do that.”</w:t>
      </w:r>
      <w:r>
        <w:rPr>
          <w:rFonts w:eastAsia="Times New Roman"/>
          <w:szCs w:val="20"/>
        </w:rPr>
        <w:t xml:space="preserve"> [GP, Practice 9, interview,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123CE2B5" w14:textId="77777777" w:rsidTr="00521305">
        <w:trPr>
          <w:trHeight w:val="287"/>
        </w:trPr>
        <w:tc>
          <w:tcPr>
            <w:tcW w:w="5000" w:type="pct"/>
          </w:tcPr>
          <w:p w14:paraId="227233E0" w14:textId="77777777" w:rsidR="001C19F3" w:rsidRPr="004A11F1" w:rsidRDefault="001C19F3" w:rsidP="00521305">
            <w:pPr>
              <w:spacing w:after="0"/>
              <w:rPr>
                <w:b/>
                <w:sz w:val="18"/>
                <w:szCs w:val="18"/>
              </w:rPr>
            </w:pPr>
            <w:r w:rsidRPr="004A11F1">
              <w:rPr>
                <w:b/>
                <w:sz w:val="18"/>
                <w:szCs w:val="18"/>
              </w:rPr>
              <w:t>Case study</w:t>
            </w:r>
          </w:p>
        </w:tc>
      </w:tr>
      <w:tr w:rsidR="001C19F3" w:rsidRPr="004A11F1" w14:paraId="459AB5B1" w14:textId="77777777" w:rsidTr="00521305">
        <w:tc>
          <w:tcPr>
            <w:tcW w:w="5000" w:type="pct"/>
          </w:tcPr>
          <w:p w14:paraId="44D1F46C" w14:textId="77777777" w:rsidR="001C19F3" w:rsidRPr="004A11F1" w:rsidRDefault="001C19F3" w:rsidP="00521305">
            <w:pPr>
              <w:spacing w:after="0"/>
              <w:rPr>
                <w:sz w:val="18"/>
                <w:szCs w:val="18"/>
              </w:rPr>
            </w:pPr>
            <w:r w:rsidRPr="00AF6392">
              <w:rPr>
                <w:sz w:val="18"/>
                <w:szCs w:val="18"/>
              </w:rPr>
              <w:t>A large corporate practice with over 10 GPs was interested in joining HCH to both provide feedback</w:t>
            </w:r>
            <w:r>
              <w:rPr>
                <w:sz w:val="18"/>
                <w:szCs w:val="18"/>
              </w:rPr>
              <w:t xml:space="preserve"> about the model</w:t>
            </w:r>
            <w:r w:rsidRPr="00AF6392">
              <w:rPr>
                <w:sz w:val="18"/>
                <w:szCs w:val="18"/>
              </w:rPr>
              <w:t xml:space="preserve"> and have a voice in the potentially changing</w:t>
            </w:r>
            <w:r>
              <w:rPr>
                <w:sz w:val="18"/>
                <w:szCs w:val="18"/>
              </w:rPr>
              <w:t xml:space="preserve"> the</w:t>
            </w:r>
            <w:r w:rsidRPr="00AF6392">
              <w:rPr>
                <w:sz w:val="18"/>
                <w:szCs w:val="18"/>
              </w:rPr>
              <w:t xml:space="preserve"> health care system. The practice found it difficult to engage </w:t>
            </w:r>
            <w:r>
              <w:rPr>
                <w:sz w:val="18"/>
                <w:szCs w:val="18"/>
              </w:rPr>
              <w:t>its</w:t>
            </w:r>
            <w:r w:rsidRPr="00AF6392">
              <w:rPr>
                <w:sz w:val="18"/>
                <w:szCs w:val="18"/>
              </w:rPr>
              <w:t xml:space="preserve"> doctors in the program due to the confusion around the compensation structure. Many of the doctors felt that they would not be adequately funded under HCH and that there was limited guidance around how th</w:t>
            </w:r>
            <w:r>
              <w:rPr>
                <w:sz w:val="18"/>
                <w:szCs w:val="18"/>
              </w:rPr>
              <w:t>e</w:t>
            </w:r>
            <w:r w:rsidRPr="00AF6392">
              <w:rPr>
                <w:sz w:val="18"/>
                <w:szCs w:val="18"/>
              </w:rPr>
              <w:t xml:space="preserve"> </w:t>
            </w:r>
            <w:r>
              <w:rPr>
                <w:sz w:val="18"/>
                <w:szCs w:val="18"/>
              </w:rPr>
              <w:t>bundled payment</w:t>
            </w:r>
            <w:r w:rsidRPr="00AF6392">
              <w:rPr>
                <w:sz w:val="18"/>
                <w:szCs w:val="18"/>
              </w:rPr>
              <w:t xml:space="preserve"> would be distributed within the practice. In addition, the GPs felt that they were already providing high quality chronic disease management for their patients, so they were not interested in participating. This made it very difficult for management to increase enrolments or drive change under the initiative</w:t>
            </w:r>
            <w:r w:rsidRPr="004A11F1">
              <w:rPr>
                <w:sz w:val="18"/>
                <w:szCs w:val="18"/>
              </w:rPr>
              <w:t>.</w:t>
            </w:r>
          </w:p>
        </w:tc>
      </w:tr>
    </w:tbl>
    <w:p w14:paraId="5B3914B3" w14:textId="77777777" w:rsidR="001C19F3" w:rsidRDefault="001C19F3" w:rsidP="001C19F3">
      <w:pPr>
        <w:spacing w:after="0"/>
        <w:ind w:right="1089"/>
        <w:rPr>
          <w:rFonts w:eastAsia="Times New Roman"/>
          <w:szCs w:val="20"/>
        </w:rPr>
      </w:pPr>
    </w:p>
    <w:p w14:paraId="37DC0938" w14:textId="77777777" w:rsidR="001C19F3" w:rsidRDefault="001C19F3" w:rsidP="001C19F3">
      <w:pPr>
        <w:pStyle w:val="Heading3"/>
      </w:pPr>
      <w:r>
        <w:t>Advantages and drawbacks for GPs</w:t>
      </w:r>
    </w:p>
    <w:p w14:paraId="0F5A7C4B" w14:textId="77777777" w:rsidR="001C19F3" w:rsidRDefault="001C19F3" w:rsidP="001C19F3">
      <w:r>
        <w:t>Practice staff focused on the importance of engaging GPs in the decision to participate in HCH. Many felt GP involvement was crucial to their success due to GPs’ leadership role within the practice and their ability to influence patients to enrol in HCH. Practices discussed their struggle to convince GPs to participate:</w:t>
      </w:r>
    </w:p>
    <w:p w14:paraId="1D5EFFA5" w14:textId="77777777" w:rsidR="001C19F3" w:rsidRDefault="001C19F3" w:rsidP="001C19F3">
      <w:pPr>
        <w:ind w:left="567" w:right="1088"/>
      </w:pPr>
      <w:r>
        <w:rPr>
          <w:i/>
        </w:rPr>
        <w:t>“We really need the primary GP to be on board and be happy with it. And he’s not, so it really restricts what I can do.”</w:t>
      </w:r>
      <w:r>
        <w:t xml:space="preserve"> [Nurse, Practice 14, interview, R2]</w:t>
      </w:r>
    </w:p>
    <w:p w14:paraId="608231D5" w14:textId="77777777" w:rsidR="001C19F3" w:rsidRDefault="001C19F3" w:rsidP="001C19F3">
      <w:pPr>
        <w:ind w:left="567" w:right="1088"/>
      </w:pPr>
      <w:r>
        <w:rPr>
          <w:i/>
        </w:rPr>
        <w:t>“…not many doctors have come on board so we haven't been able to really get in there and do what we wanted to do.”</w:t>
      </w:r>
      <w:r>
        <w:t xml:space="preserve"> [Practice manager, Practice 1, interview, R2]</w:t>
      </w:r>
    </w:p>
    <w:p w14:paraId="7DBEB0DC" w14:textId="77777777" w:rsidR="001C19F3" w:rsidRDefault="001C19F3" w:rsidP="001C19F3">
      <w:r>
        <w:t xml:space="preserve">To encourage involvement of GPs, practices identified </w:t>
      </w:r>
      <w:r w:rsidRPr="00E213C9">
        <w:rPr>
          <w:b/>
          <w:bCs/>
        </w:rPr>
        <w:t>possible benefits</w:t>
      </w:r>
      <w:r>
        <w:t xml:space="preserve"> of HCH that might be included in key messages about the model:</w:t>
      </w:r>
    </w:p>
    <w:p w14:paraId="1793EB20" w14:textId="77777777" w:rsidR="001C19F3" w:rsidRDefault="001C19F3" w:rsidP="001C19F3">
      <w:pPr>
        <w:pStyle w:val="ListParagraph"/>
        <w:numPr>
          <w:ilvl w:val="0"/>
          <w:numId w:val="26"/>
        </w:numPr>
        <w:rPr>
          <w:szCs w:val="20"/>
        </w:rPr>
      </w:pPr>
      <w:r>
        <w:rPr>
          <w:szCs w:val="20"/>
        </w:rPr>
        <w:t>additional time to see more patients</w:t>
      </w:r>
    </w:p>
    <w:p w14:paraId="20AFE033" w14:textId="77777777" w:rsidR="001C19F3" w:rsidRDefault="001C19F3" w:rsidP="001C19F3">
      <w:pPr>
        <w:pStyle w:val="ListParagraph"/>
        <w:numPr>
          <w:ilvl w:val="0"/>
          <w:numId w:val="26"/>
        </w:numPr>
        <w:rPr>
          <w:szCs w:val="20"/>
        </w:rPr>
      </w:pPr>
      <w:r>
        <w:rPr>
          <w:szCs w:val="20"/>
        </w:rPr>
        <w:t>streamline administrative and preliminary clinical work by allocating tasks to administrative and nursing staff</w:t>
      </w:r>
    </w:p>
    <w:p w14:paraId="1638D980" w14:textId="77777777" w:rsidR="001C19F3" w:rsidRDefault="001C19F3" w:rsidP="001C19F3">
      <w:pPr>
        <w:pStyle w:val="ListParagraph"/>
        <w:numPr>
          <w:ilvl w:val="0"/>
          <w:numId w:val="26"/>
        </w:numPr>
        <w:rPr>
          <w:szCs w:val="20"/>
        </w:rPr>
      </w:pPr>
      <w:r>
        <w:rPr>
          <w:szCs w:val="20"/>
        </w:rPr>
        <w:lastRenderedPageBreak/>
        <w:t xml:space="preserve">being remunerated for care beyond face-to-face consultations (which GPs may already be providing), which could improve patient access and work-life balance </w:t>
      </w:r>
    </w:p>
    <w:p w14:paraId="1DFCB63B" w14:textId="77777777" w:rsidR="001C19F3" w:rsidRDefault="001C19F3" w:rsidP="001C19F3">
      <w:pPr>
        <w:pStyle w:val="ListParagraph"/>
        <w:numPr>
          <w:ilvl w:val="0"/>
          <w:numId w:val="26"/>
        </w:numPr>
        <w:rPr>
          <w:szCs w:val="20"/>
        </w:rPr>
      </w:pPr>
      <w:r>
        <w:rPr>
          <w:szCs w:val="20"/>
        </w:rPr>
        <w:t>improve job satisfaction due to better quality patient care</w:t>
      </w:r>
    </w:p>
    <w:p w14:paraId="02E7A7CA" w14:textId="77777777" w:rsidR="001C19F3" w:rsidRDefault="001C19F3" w:rsidP="001C19F3">
      <w:pPr>
        <w:pStyle w:val="ListParagraph"/>
        <w:numPr>
          <w:ilvl w:val="0"/>
          <w:numId w:val="26"/>
        </w:numPr>
        <w:rPr>
          <w:szCs w:val="20"/>
        </w:rPr>
      </w:pPr>
      <w:r>
        <w:rPr>
          <w:szCs w:val="20"/>
        </w:rPr>
        <w:t>promote teamwork and continuity of care</w:t>
      </w:r>
    </w:p>
    <w:p w14:paraId="0C1CA642" w14:textId="77777777" w:rsidR="001C19F3" w:rsidRDefault="001C19F3" w:rsidP="001C19F3">
      <w:pPr>
        <w:pStyle w:val="ListParagraph"/>
        <w:numPr>
          <w:ilvl w:val="0"/>
          <w:numId w:val="26"/>
        </w:numPr>
        <w:rPr>
          <w:szCs w:val="20"/>
        </w:rPr>
      </w:pPr>
      <w:r>
        <w:rPr>
          <w:szCs w:val="20"/>
        </w:rPr>
        <w:t>provide better chronic disease management for patients.</w:t>
      </w:r>
    </w:p>
    <w:p w14:paraId="4222FC75" w14:textId="77777777" w:rsidR="001C19F3" w:rsidRDefault="001C19F3" w:rsidP="001C19F3">
      <w:r>
        <w:rPr>
          <w:rFonts w:eastAsia="Times New Roman"/>
          <w:iCs/>
          <w:szCs w:val="20"/>
        </w:rPr>
        <w:t xml:space="preserve">Despite the potential advantages of the program, practices cited several </w:t>
      </w:r>
      <w:r w:rsidRPr="00E213C9">
        <w:rPr>
          <w:rFonts w:eastAsia="Times New Roman"/>
          <w:b/>
          <w:bCs/>
          <w:iCs/>
          <w:szCs w:val="20"/>
        </w:rPr>
        <w:t>potential disadvantages</w:t>
      </w:r>
      <w:r>
        <w:rPr>
          <w:rFonts w:eastAsia="Times New Roman"/>
          <w:iCs/>
          <w:szCs w:val="20"/>
        </w:rPr>
        <w:t xml:space="preserve"> </w:t>
      </w:r>
      <w:r>
        <w:rPr>
          <w:szCs w:val="20"/>
        </w:rPr>
        <w:t>that have discouraged GPs from participating in HCH. The level of remuneration for the tiers and the bundled payment were the most prominent. A practice manager commented:</w:t>
      </w:r>
    </w:p>
    <w:p w14:paraId="533BF41A" w14:textId="77777777" w:rsidR="001C19F3" w:rsidRDefault="001C19F3" w:rsidP="001C19F3">
      <w:pPr>
        <w:ind w:left="567" w:right="1088"/>
      </w:pPr>
      <w:r>
        <w:rPr>
          <w:i/>
        </w:rPr>
        <w:t>“I think across the board the doctors were concerned that they may lose financially. That … seems to be a big issue for doctors.”</w:t>
      </w:r>
      <w:r>
        <w:t xml:space="preserve"> [Practice manager, Practice 18, interview, R2]</w:t>
      </w:r>
    </w:p>
    <w:p w14:paraId="3E1071AC" w14:textId="77777777" w:rsidR="001C19F3" w:rsidRDefault="001C19F3" w:rsidP="001C19F3">
      <w:pPr>
        <w:rPr>
          <w:szCs w:val="20"/>
        </w:rPr>
      </w:pPr>
      <w:r>
        <w:rPr>
          <w:rFonts w:eastAsia="Times New Roman"/>
          <w:iCs/>
          <w:szCs w:val="20"/>
        </w:rPr>
        <w:t>Concerns were raised particularly about the payment levels for tier 1 and 2 patients. Some also felt that the Tier 3 payment was insufficient for severely ill patients, and that there should be an additional tier with a higher level of payment.</w:t>
      </w:r>
    </w:p>
    <w:p w14:paraId="17E5A05D" w14:textId="77777777" w:rsidR="001C19F3" w:rsidRDefault="001C19F3" w:rsidP="001C19F3">
      <w:pPr>
        <w:rPr>
          <w:szCs w:val="20"/>
        </w:rPr>
      </w:pPr>
      <w:r>
        <w:rPr>
          <w:szCs w:val="20"/>
        </w:rPr>
        <w:t>Other factors that have discouraged GPs that were mentioned include:</w:t>
      </w:r>
    </w:p>
    <w:p w14:paraId="5F45D132" w14:textId="77777777" w:rsidR="001C19F3" w:rsidRDefault="001C19F3" w:rsidP="001C19F3">
      <w:pPr>
        <w:pStyle w:val="ListParagraph"/>
        <w:numPr>
          <w:ilvl w:val="0"/>
          <w:numId w:val="27"/>
        </w:numPr>
        <w:rPr>
          <w:szCs w:val="20"/>
        </w:rPr>
      </w:pPr>
      <w:r>
        <w:rPr>
          <w:szCs w:val="20"/>
        </w:rPr>
        <w:t>lack of time to incorporate the model</w:t>
      </w:r>
    </w:p>
    <w:p w14:paraId="14775AF6" w14:textId="77777777" w:rsidR="001C19F3" w:rsidRDefault="001C19F3" w:rsidP="001C19F3">
      <w:pPr>
        <w:pStyle w:val="ListParagraph"/>
        <w:numPr>
          <w:ilvl w:val="0"/>
          <w:numId w:val="27"/>
        </w:numPr>
        <w:rPr>
          <w:szCs w:val="20"/>
        </w:rPr>
      </w:pPr>
      <w:r>
        <w:rPr>
          <w:szCs w:val="20"/>
        </w:rPr>
        <w:t xml:space="preserve">not interested in trying different care models or changing the way they practice </w:t>
      </w:r>
    </w:p>
    <w:p w14:paraId="41E94325" w14:textId="77777777" w:rsidR="001C19F3" w:rsidRDefault="001C19F3" w:rsidP="001C19F3">
      <w:pPr>
        <w:pStyle w:val="ListParagraph"/>
        <w:numPr>
          <w:ilvl w:val="0"/>
          <w:numId w:val="27"/>
        </w:numPr>
        <w:rPr>
          <w:szCs w:val="20"/>
        </w:rPr>
      </w:pPr>
      <w:r>
        <w:rPr>
          <w:szCs w:val="20"/>
        </w:rPr>
        <w:t>content with the current fee-for-service model</w:t>
      </w:r>
    </w:p>
    <w:p w14:paraId="2CC1A9A0" w14:textId="77777777" w:rsidR="001C19F3" w:rsidRDefault="001C19F3" w:rsidP="001C19F3">
      <w:pPr>
        <w:pStyle w:val="ListParagraph"/>
        <w:numPr>
          <w:ilvl w:val="0"/>
          <w:numId w:val="27"/>
        </w:numPr>
        <w:rPr>
          <w:szCs w:val="20"/>
        </w:rPr>
      </w:pPr>
      <w:r>
        <w:rPr>
          <w:szCs w:val="20"/>
        </w:rPr>
        <w:t>limited information on how the bundled payment would work within the practice (see further discussion in Chapter 9)</w:t>
      </w:r>
    </w:p>
    <w:p w14:paraId="1C952808" w14:textId="77777777" w:rsidR="001C19F3" w:rsidRDefault="001C19F3" w:rsidP="001C19F3">
      <w:pPr>
        <w:pStyle w:val="ListParagraph"/>
        <w:numPr>
          <w:ilvl w:val="0"/>
          <w:numId w:val="27"/>
        </w:numPr>
        <w:rPr>
          <w:szCs w:val="20"/>
        </w:rPr>
      </w:pPr>
      <w:r>
        <w:rPr>
          <w:szCs w:val="20"/>
        </w:rPr>
        <w:t>belief that HCH funding model will cause GPs to lose money, become overworked, and lead to burnout</w:t>
      </w:r>
    </w:p>
    <w:p w14:paraId="212D8AA2" w14:textId="77777777" w:rsidR="001C19F3" w:rsidRDefault="001C19F3" w:rsidP="001C19F3">
      <w:pPr>
        <w:pStyle w:val="ListParagraph"/>
        <w:numPr>
          <w:ilvl w:val="0"/>
          <w:numId w:val="27"/>
        </w:numPr>
        <w:rPr>
          <w:szCs w:val="20"/>
        </w:rPr>
      </w:pPr>
      <w:r>
        <w:rPr>
          <w:szCs w:val="20"/>
        </w:rPr>
        <w:t xml:space="preserve">lack of clarity on how the model impacts on practices and practice staff </w:t>
      </w:r>
    </w:p>
    <w:p w14:paraId="6B2C2684" w14:textId="77777777" w:rsidR="001C19F3" w:rsidRDefault="001C19F3" w:rsidP="001C19F3">
      <w:pPr>
        <w:pStyle w:val="ListParagraph"/>
        <w:numPr>
          <w:ilvl w:val="0"/>
          <w:numId w:val="27"/>
        </w:numPr>
        <w:rPr>
          <w:szCs w:val="20"/>
        </w:rPr>
      </w:pPr>
      <w:r>
        <w:rPr>
          <w:szCs w:val="20"/>
        </w:rPr>
        <w:t>negative media attention</w:t>
      </w:r>
    </w:p>
    <w:p w14:paraId="17CE829A" w14:textId="77777777" w:rsidR="001C19F3" w:rsidRDefault="001C19F3" w:rsidP="001C19F3">
      <w:pPr>
        <w:pStyle w:val="ListParagraph"/>
        <w:numPr>
          <w:ilvl w:val="0"/>
          <w:numId w:val="27"/>
        </w:numPr>
        <w:rPr>
          <w:szCs w:val="20"/>
        </w:rPr>
      </w:pPr>
      <w:r>
        <w:rPr>
          <w:szCs w:val="20"/>
        </w:rPr>
        <w:t>difficulty letting go of control, delegating tasks to other staff members, and shifting towards more team-based care</w:t>
      </w:r>
    </w:p>
    <w:p w14:paraId="6875101B" w14:textId="77777777" w:rsidR="001C19F3" w:rsidRDefault="001C19F3" w:rsidP="001C19F3">
      <w:pPr>
        <w:pStyle w:val="ListParagraph"/>
        <w:numPr>
          <w:ilvl w:val="0"/>
          <w:numId w:val="27"/>
        </w:numPr>
        <w:rPr>
          <w:szCs w:val="20"/>
        </w:rPr>
      </w:pPr>
      <w:r>
        <w:rPr>
          <w:szCs w:val="20"/>
        </w:rPr>
        <w:t>seen as a way for the government to save money</w:t>
      </w:r>
    </w:p>
    <w:p w14:paraId="6DF7C48E" w14:textId="77777777" w:rsidR="001C19F3" w:rsidRDefault="001C19F3" w:rsidP="001C19F3">
      <w:pPr>
        <w:pStyle w:val="ListParagraph"/>
        <w:numPr>
          <w:ilvl w:val="0"/>
          <w:numId w:val="27"/>
        </w:numPr>
        <w:rPr>
          <w:szCs w:val="20"/>
        </w:rPr>
      </w:pPr>
      <w:r>
        <w:rPr>
          <w:szCs w:val="20"/>
        </w:rPr>
        <w:t xml:space="preserve">program seen as being time-limited and therefore not worth investing time and effort. </w:t>
      </w:r>
    </w:p>
    <w:p w14:paraId="553C793D" w14:textId="77777777" w:rsidR="001C19F3" w:rsidRDefault="001C19F3" w:rsidP="001C19F3">
      <w:pPr>
        <w:pStyle w:val="Heading2"/>
      </w:pPr>
      <w:bookmarkStart w:id="122" w:name="_Toc27056551"/>
      <w:r>
        <w:t>Reasons for practices withdrawing</w:t>
      </w:r>
      <w:bookmarkEnd w:id="122"/>
    </w:p>
    <w:p w14:paraId="0C040A88" w14:textId="77777777" w:rsidR="001C19F3" w:rsidRDefault="001C19F3" w:rsidP="001C19F3">
      <w:r w:rsidRPr="00B3300E">
        <w:t xml:space="preserve">By 31 August 2019, 96 practices had withdrawn from the program. Of these, 76 (84%) had not enrolled patients. Of the 20 withdrawn practice that enrolled patients, the median number patients enrolled was 8.5 and </w:t>
      </w:r>
      <w:r>
        <w:t>the average was</w:t>
      </w:r>
      <w:r w:rsidRPr="00B3300E">
        <w:t xml:space="preserve"> 17 (range 1 to 59).</w:t>
      </w:r>
      <w:r>
        <w:t xml:space="preserve"> </w:t>
      </w:r>
    </w:p>
    <w:p w14:paraId="1214B011" w14:textId="77777777" w:rsidR="001C19F3" w:rsidRDefault="001C19F3" w:rsidP="001C19F3">
      <w:r>
        <w:t xml:space="preserve">Practices that withdrew from HCH were invited to complete a survey that explored the factors contributing to their decision to withdraw. Some were interviewed instead. Overall, 30 practices were followed up through one of these means. Reasons for withdrawing were also explored with PHN practice facilitators. </w:t>
      </w:r>
    </w:p>
    <w:p w14:paraId="3EB3398B" w14:textId="77777777" w:rsidR="001C19F3" w:rsidRDefault="001C19F3" w:rsidP="001C19F3">
      <w:pPr>
        <w:spacing w:after="160" w:line="259" w:lineRule="auto"/>
      </w:pPr>
      <w:r>
        <w:br w:type="page"/>
      </w:r>
    </w:p>
    <w:p w14:paraId="7CB35A44" w14:textId="77777777" w:rsidR="001C19F3" w:rsidRDefault="001C19F3" w:rsidP="001C19F3">
      <w:r>
        <w:lastRenderedPageBreak/>
        <w:t>The practices withdrawing described their motivations to join HCH, and these were similar to those described by continuing practices (</w:t>
      </w:r>
      <w:r w:rsidRPr="008204E8">
        <w:t xml:space="preserve">see </w:t>
      </w:r>
      <w:r>
        <w:t>previous section). The motivations included:</w:t>
      </w:r>
    </w:p>
    <w:p w14:paraId="079ADB91" w14:textId="77777777" w:rsidR="001C19F3" w:rsidRDefault="001C19F3" w:rsidP="001C19F3">
      <w:pPr>
        <w:pStyle w:val="ListParagraph"/>
        <w:numPr>
          <w:ilvl w:val="0"/>
          <w:numId w:val="17"/>
        </w:numPr>
        <w:ind w:left="714" w:hanging="357"/>
        <w:contextualSpacing w:val="0"/>
      </w:pPr>
      <w:r w:rsidRPr="00CE0E09">
        <w:rPr>
          <w:b/>
        </w:rPr>
        <w:t>Attraction to HCH principles</w:t>
      </w:r>
      <w:r>
        <w:t>.</w:t>
      </w:r>
    </w:p>
    <w:p w14:paraId="5AE5FCB3" w14:textId="77777777" w:rsidR="001C19F3" w:rsidRPr="00CE0E09" w:rsidRDefault="001C19F3" w:rsidP="001C19F3">
      <w:pPr>
        <w:pStyle w:val="ListParagraph"/>
        <w:numPr>
          <w:ilvl w:val="0"/>
          <w:numId w:val="17"/>
        </w:numPr>
        <w:ind w:left="714" w:hanging="357"/>
        <w:contextualSpacing w:val="0"/>
      </w:pPr>
      <w:r w:rsidRPr="00CE0E09">
        <w:t xml:space="preserve">Belief that the </w:t>
      </w:r>
      <w:r w:rsidRPr="00CE0E09">
        <w:rPr>
          <w:b/>
        </w:rPr>
        <w:t>practice had already adopted HCH principles</w:t>
      </w:r>
      <w:r w:rsidRPr="00CE0E09">
        <w:t xml:space="preserve">, and that the new program would not be a significant departure from </w:t>
      </w:r>
      <w:r>
        <w:t xml:space="preserve">its </w:t>
      </w:r>
      <w:r w:rsidRPr="00CE0E09">
        <w:t>business</w:t>
      </w:r>
      <w:r>
        <w:t xml:space="preserve"> model</w:t>
      </w:r>
      <w:r w:rsidRPr="00CE0E09">
        <w:t>.</w:t>
      </w:r>
    </w:p>
    <w:p w14:paraId="441C539E" w14:textId="77777777" w:rsidR="001C19F3" w:rsidRPr="00CE0E09" w:rsidRDefault="001C19F3" w:rsidP="001C19F3">
      <w:pPr>
        <w:pStyle w:val="ListParagraph"/>
        <w:numPr>
          <w:ilvl w:val="0"/>
          <w:numId w:val="17"/>
        </w:numPr>
        <w:ind w:left="714" w:hanging="357"/>
        <w:contextualSpacing w:val="0"/>
      </w:pPr>
      <w:r w:rsidRPr="00CE0E09">
        <w:rPr>
          <w:b/>
        </w:rPr>
        <w:tab/>
      </w:r>
      <w:r w:rsidRPr="00CE0E09">
        <w:t xml:space="preserve">Expectation that the HCH program </w:t>
      </w:r>
      <w:r>
        <w:t xml:space="preserve">would </w:t>
      </w:r>
      <w:r>
        <w:rPr>
          <w:b/>
        </w:rPr>
        <w:t>fund</w:t>
      </w:r>
      <w:r w:rsidRPr="007139C4">
        <w:rPr>
          <w:b/>
        </w:rPr>
        <w:t xml:space="preserve"> activities </w:t>
      </w:r>
      <w:r w:rsidRPr="00C14DBA">
        <w:t>not supported</w:t>
      </w:r>
      <w:r>
        <w:t xml:space="preserve"> under fee-for-service funding.</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31CCC425" w14:textId="77777777" w:rsidTr="00521305">
        <w:trPr>
          <w:trHeight w:val="287"/>
          <w:jc w:val="right"/>
        </w:trPr>
        <w:tc>
          <w:tcPr>
            <w:tcW w:w="5000" w:type="pct"/>
          </w:tcPr>
          <w:p w14:paraId="0DC0A028" w14:textId="77777777" w:rsidR="001C19F3" w:rsidRPr="00042DAD" w:rsidRDefault="001C19F3" w:rsidP="00521305">
            <w:pPr>
              <w:spacing w:after="0"/>
              <w:rPr>
                <w:b/>
                <w:sz w:val="18"/>
                <w:szCs w:val="18"/>
              </w:rPr>
            </w:pPr>
            <w:r w:rsidRPr="00042DAD">
              <w:rPr>
                <w:b/>
                <w:sz w:val="18"/>
                <w:szCs w:val="18"/>
              </w:rPr>
              <w:t>Case study</w:t>
            </w:r>
          </w:p>
        </w:tc>
      </w:tr>
      <w:tr w:rsidR="001C19F3" w:rsidRPr="004A11F1" w14:paraId="2F4C64AC" w14:textId="77777777" w:rsidTr="00521305">
        <w:trPr>
          <w:jc w:val="right"/>
        </w:trPr>
        <w:tc>
          <w:tcPr>
            <w:tcW w:w="5000" w:type="pct"/>
          </w:tcPr>
          <w:p w14:paraId="178DA054" w14:textId="77777777" w:rsidR="001C19F3" w:rsidRPr="00042DAD" w:rsidRDefault="001C19F3" w:rsidP="00521305">
            <w:pPr>
              <w:spacing w:after="0"/>
              <w:rPr>
                <w:sz w:val="18"/>
                <w:szCs w:val="18"/>
              </w:rPr>
            </w:pPr>
            <w:r>
              <w:rPr>
                <w:sz w:val="18"/>
                <w:szCs w:val="18"/>
              </w:rPr>
              <w:t>A</w:t>
            </w:r>
            <w:r w:rsidRPr="00A7572C">
              <w:rPr>
                <w:sz w:val="18"/>
                <w:szCs w:val="18"/>
              </w:rPr>
              <w:t xml:space="preserve"> medium</w:t>
            </w:r>
            <w:r>
              <w:rPr>
                <w:sz w:val="18"/>
                <w:szCs w:val="18"/>
              </w:rPr>
              <w:t>-</w:t>
            </w:r>
            <w:r w:rsidRPr="00A7572C">
              <w:rPr>
                <w:sz w:val="18"/>
                <w:szCs w:val="18"/>
              </w:rPr>
              <w:t>size</w:t>
            </w:r>
            <w:r>
              <w:rPr>
                <w:sz w:val="18"/>
                <w:szCs w:val="18"/>
              </w:rPr>
              <w:t>d</w:t>
            </w:r>
            <w:r w:rsidRPr="00A7572C">
              <w:rPr>
                <w:sz w:val="18"/>
                <w:szCs w:val="18"/>
              </w:rPr>
              <w:t xml:space="preserve"> practice in a small town struggled with the additional workload </w:t>
            </w:r>
            <w:r>
              <w:rPr>
                <w:sz w:val="18"/>
                <w:szCs w:val="18"/>
              </w:rPr>
              <w:t>of</w:t>
            </w:r>
            <w:r w:rsidRPr="00A7572C">
              <w:rPr>
                <w:sz w:val="18"/>
                <w:szCs w:val="18"/>
              </w:rPr>
              <w:t xml:space="preserve"> implementing HCH. </w:t>
            </w:r>
            <w:r>
              <w:rPr>
                <w:sz w:val="18"/>
                <w:szCs w:val="18"/>
              </w:rPr>
              <w:t>T</w:t>
            </w:r>
            <w:r w:rsidRPr="00A7572C">
              <w:rPr>
                <w:sz w:val="18"/>
                <w:szCs w:val="18"/>
              </w:rPr>
              <w:t xml:space="preserve">he practice manager discussed difficulties </w:t>
            </w:r>
            <w:r>
              <w:rPr>
                <w:sz w:val="18"/>
                <w:szCs w:val="18"/>
              </w:rPr>
              <w:t>finding</w:t>
            </w:r>
            <w:r w:rsidRPr="00A7572C">
              <w:rPr>
                <w:sz w:val="18"/>
                <w:szCs w:val="18"/>
              </w:rPr>
              <w:t xml:space="preserve"> time to implement the shared care planning tool, change operational processes and workflows, understand the financial model, make major quality improvements, and undertake training while simultaneously running a busy practice. The practice nurse was </w:t>
            </w:r>
            <w:r>
              <w:rPr>
                <w:sz w:val="18"/>
                <w:szCs w:val="18"/>
              </w:rPr>
              <w:t>the</w:t>
            </w:r>
            <w:r w:rsidRPr="00A7572C">
              <w:rPr>
                <w:sz w:val="18"/>
                <w:szCs w:val="18"/>
              </w:rPr>
              <w:t xml:space="preserve"> main driver of the initiative and </w:t>
            </w:r>
            <w:r>
              <w:rPr>
                <w:sz w:val="18"/>
                <w:szCs w:val="18"/>
              </w:rPr>
              <w:t xml:space="preserve">was frustrated with not being able to engage all the staff in the practice </w:t>
            </w:r>
            <w:r w:rsidRPr="00A7572C">
              <w:rPr>
                <w:sz w:val="18"/>
                <w:szCs w:val="18"/>
              </w:rPr>
              <w:t xml:space="preserve">in HCH. Though the practice manager could see the potential long-term benefits of participating in the program, </w:t>
            </w:r>
            <w:r>
              <w:rPr>
                <w:sz w:val="18"/>
                <w:szCs w:val="18"/>
              </w:rPr>
              <w:t>other staff</w:t>
            </w:r>
            <w:r w:rsidRPr="00A7572C">
              <w:rPr>
                <w:sz w:val="18"/>
                <w:szCs w:val="18"/>
              </w:rPr>
              <w:t xml:space="preserve"> questioned the financial benefits of HCH</w:t>
            </w:r>
            <w:r>
              <w:rPr>
                <w:sz w:val="18"/>
                <w:szCs w:val="18"/>
              </w:rPr>
              <w:t xml:space="preserve"> given the workload. The practice </w:t>
            </w:r>
            <w:r w:rsidRPr="00A7572C">
              <w:rPr>
                <w:sz w:val="18"/>
                <w:szCs w:val="18"/>
              </w:rPr>
              <w:t>ultimately decided to withdraw from HCH</w:t>
            </w:r>
            <w:r>
              <w:rPr>
                <w:sz w:val="18"/>
                <w:szCs w:val="18"/>
              </w:rPr>
              <w:t xml:space="preserve"> for these reasons</w:t>
            </w:r>
            <w:r w:rsidRPr="00A7572C">
              <w:rPr>
                <w:sz w:val="18"/>
                <w:szCs w:val="18"/>
              </w:rPr>
              <w:t>.</w:t>
            </w:r>
          </w:p>
        </w:tc>
      </w:tr>
    </w:tbl>
    <w:p w14:paraId="20BEF021" w14:textId="77777777" w:rsidR="001C19F3" w:rsidRDefault="001C19F3" w:rsidP="001C19F3">
      <w:pPr>
        <w:spacing w:after="0"/>
      </w:pPr>
    </w:p>
    <w:p w14:paraId="580EED11" w14:textId="77777777" w:rsidR="001C19F3" w:rsidRDefault="001C19F3" w:rsidP="001C19F3">
      <w:r>
        <w:t>The following were the commonly cited reasons for withdrawing:</w:t>
      </w:r>
    </w:p>
    <w:p w14:paraId="4FA97F2A" w14:textId="77777777" w:rsidR="001C19F3" w:rsidRDefault="001C19F3" w:rsidP="001C19F3">
      <w:pPr>
        <w:pStyle w:val="ListParagraph"/>
        <w:numPr>
          <w:ilvl w:val="0"/>
          <w:numId w:val="17"/>
        </w:numPr>
        <w:ind w:left="714" w:hanging="357"/>
        <w:contextualSpacing w:val="0"/>
      </w:pPr>
      <w:r w:rsidRPr="004E76EC">
        <w:rPr>
          <w:b/>
        </w:rPr>
        <w:t>Staff turnover</w:t>
      </w:r>
      <w:r>
        <w:t>, in particular, GPs, nurses and practice managers who were championing the program leaving the practice. Staff turnover of GPs who were not directly involved with the program also impacted the capacity of practices to continue to be involved in the program. Some practices indicated that turnover of key staff meant the practice lost expertise and knowledge built up in the initial stage of implementation, and that training was too time consuming for new staff.</w:t>
      </w:r>
    </w:p>
    <w:p w14:paraId="34804DDE" w14:textId="77777777" w:rsidR="001C19F3" w:rsidRDefault="001C19F3" w:rsidP="001C19F3">
      <w:pPr>
        <w:pStyle w:val="ListParagraph"/>
        <w:numPr>
          <w:ilvl w:val="0"/>
          <w:numId w:val="17"/>
        </w:numPr>
        <w:ind w:left="714" w:hanging="357"/>
        <w:contextualSpacing w:val="0"/>
      </w:pPr>
      <w:r>
        <w:t xml:space="preserve">Some practices indicated problems arose from a </w:t>
      </w:r>
      <w:r w:rsidRPr="00134F63">
        <w:rPr>
          <w:b/>
        </w:rPr>
        <w:t>lack of commitment or support amongst GPs within the practice</w:t>
      </w:r>
      <w:r w:rsidRPr="00134F63">
        <w:t>, including GPS not participating in the program</w:t>
      </w:r>
      <w:r>
        <w:t>. In some instances, GPs in the practice did not have a good understanding of the program at the time the practice signed up to the program. In many practices only one or two GPs were participating in HCH, and other GPs were unable to agree on the merits of the model.</w:t>
      </w:r>
    </w:p>
    <w:p w14:paraId="39380ECC" w14:textId="77777777" w:rsidR="001C19F3" w:rsidRDefault="001C19F3" w:rsidP="001C19F3">
      <w:pPr>
        <w:pStyle w:val="ListParagraph"/>
        <w:numPr>
          <w:ilvl w:val="0"/>
          <w:numId w:val="17"/>
        </w:numPr>
        <w:ind w:left="714" w:hanging="357"/>
        <w:contextualSpacing w:val="0"/>
      </w:pPr>
      <w:r>
        <w:t xml:space="preserve">Several practices reported that there was </w:t>
      </w:r>
      <w:r w:rsidRPr="008F38AF">
        <w:rPr>
          <w:b/>
        </w:rPr>
        <w:t>insufficient information</w:t>
      </w:r>
      <w:r>
        <w:t xml:space="preserve"> about the program prior to implementation, resulting in a </w:t>
      </w:r>
      <w:r w:rsidRPr="008F38AF">
        <w:rPr>
          <w:b/>
        </w:rPr>
        <w:t>lack of clarity over expectations</w:t>
      </w:r>
      <w:r>
        <w:t>. PHN practice facilitators also identified an absence of clear expectations at the time practices signed up.</w:t>
      </w:r>
    </w:p>
    <w:p w14:paraId="369C7716" w14:textId="77777777" w:rsidR="001C19F3" w:rsidRDefault="001C19F3" w:rsidP="001C19F3">
      <w:pPr>
        <w:pStyle w:val="ListParagraph"/>
        <w:numPr>
          <w:ilvl w:val="0"/>
          <w:numId w:val="17"/>
        </w:numPr>
        <w:ind w:left="714" w:hanging="357"/>
        <w:contextualSpacing w:val="0"/>
      </w:pPr>
      <w:r>
        <w:t xml:space="preserve">Several practices raised </w:t>
      </w:r>
      <w:r w:rsidRPr="008F38AF">
        <w:rPr>
          <w:b/>
        </w:rPr>
        <w:t>concerns about the RST</w:t>
      </w:r>
      <w:r>
        <w:t xml:space="preserve">. This included </w:t>
      </w:r>
      <w:r w:rsidRPr="008F38AF">
        <w:rPr>
          <w:b/>
        </w:rPr>
        <w:t>problems installing the software</w:t>
      </w:r>
      <w:r>
        <w:t xml:space="preserve"> which they were not able to overcome in some practices. Some practices were also dissatisfied with the training in the use of the tool, and disappointed with the amount of information they had been able to extract from it, although these factors were not primary reasons for withdrawing. Several practices suggested that they would have remained in the program if the RST had been easier to use, if it had worked more effectively, and if the training had been better and less time-consuming. </w:t>
      </w:r>
    </w:p>
    <w:p w14:paraId="2B914BB4" w14:textId="77777777" w:rsidR="001C19F3" w:rsidRDefault="001C19F3" w:rsidP="001C19F3">
      <w:pPr>
        <w:pStyle w:val="ListParagraph"/>
        <w:numPr>
          <w:ilvl w:val="0"/>
          <w:numId w:val="17"/>
        </w:numPr>
        <w:ind w:left="714" w:hanging="357"/>
        <w:contextualSpacing w:val="0"/>
      </w:pPr>
      <w:r>
        <w:lastRenderedPageBreak/>
        <w:t xml:space="preserve">Concerns were also raised about the </w:t>
      </w:r>
      <w:r w:rsidRPr="008F38AF">
        <w:rPr>
          <w:b/>
        </w:rPr>
        <w:t>administrative burden</w:t>
      </w:r>
      <w:r>
        <w:t xml:space="preserve"> incurred with the HCH program, specifically the length of the patient enrolment form and the length of time and multiple processes required to enrol patients. Working out how to distribute the bundled payment amongst staff in the practice was also mentioned by some practices.</w:t>
      </w:r>
    </w:p>
    <w:p w14:paraId="00120186" w14:textId="77777777" w:rsidR="001C19F3" w:rsidRDefault="001C19F3" w:rsidP="001C19F3">
      <w:pPr>
        <w:pStyle w:val="ListParagraph"/>
        <w:numPr>
          <w:ilvl w:val="0"/>
          <w:numId w:val="17"/>
        </w:numPr>
        <w:ind w:left="714" w:hanging="357"/>
        <w:contextualSpacing w:val="0"/>
      </w:pPr>
      <w:r>
        <w:t xml:space="preserve">A few practices were concerned that they would be </w:t>
      </w:r>
      <w:r w:rsidRPr="008F38AF">
        <w:rPr>
          <w:b/>
        </w:rPr>
        <w:t>worse off financially</w:t>
      </w:r>
      <w:r>
        <w:t xml:space="preserve"> after shifting from fee-for-service to the HCH bundled payment model.</w:t>
      </w:r>
    </w:p>
    <w:p w14:paraId="4DD12FF2" w14:textId="77777777" w:rsidR="001C19F3" w:rsidRDefault="001C19F3" w:rsidP="001C19F3">
      <w:pPr>
        <w:pStyle w:val="ListParagraph"/>
        <w:numPr>
          <w:ilvl w:val="0"/>
          <w:numId w:val="17"/>
        </w:numPr>
        <w:ind w:left="714" w:hanging="357"/>
        <w:contextualSpacing w:val="0"/>
      </w:pPr>
      <w:r>
        <w:t>Some practices found that HCH did not work well with their ‘walk in’ model.</w:t>
      </w:r>
    </w:p>
    <w:p w14:paraId="6D292E94" w14:textId="77777777" w:rsidR="001C19F3" w:rsidRDefault="001C19F3" w:rsidP="001C19F3">
      <w:pPr>
        <w:pStyle w:val="ListParagraph"/>
        <w:numPr>
          <w:ilvl w:val="0"/>
          <w:numId w:val="17"/>
        </w:numPr>
        <w:ind w:left="714" w:hanging="357"/>
        <w:contextualSpacing w:val="0"/>
      </w:pPr>
      <w:r>
        <w:t xml:space="preserve">Some practices were concerned about who would be responsible for patients given the new roles for staff under HCH. </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1D3A7B1F" w14:textId="77777777" w:rsidTr="00521305">
        <w:trPr>
          <w:trHeight w:val="287"/>
          <w:jc w:val="right"/>
        </w:trPr>
        <w:tc>
          <w:tcPr>
            <w:tcW w:w="5000" w:type="pct"/>
          </w:tcPr>
          <w:p w14:paraId="5FECDF2C" w14:textId="77777777" w:rsidR="001C19F3" w:rsidRPr="00042DAD" w:rsidRDefault="001C19F3" w:rsidP="00521305">
            <w:pPr>
              <w:spacing w:after="0"/>
              <w:rPr>
                <w:b/>
                <w:sz w:val="18"/>
                <w:szCs w:val="18"/>
              </w:rPr>
            </w:pPr>
            <w:r w:rsidRPr="00042DAD">
              <w:rPr>
                <w:b/>
                <w:sz w:val="18"/>
                <w:szCs w:val="18"/>
              </w:rPr>
              <w:t>Case study</w:t>
            </w:r>
          </w:p>
        </w:tc>
      </w:tr>
      <w:tr w:rsidR="001C19F3" w:rsidRPr="004A11F1" w14:paraId="6881CC5B" w14:textId="77777777" w:rsidTr="00521305">
        <w:trPr>
          <w:jc w:val="right"/>
        </w:trPr>
        <w:tc>
          <w:tcPr>
            <w:tcW w:w="5000" w:type="pct"/>
          </w:tcPr>
          <w:p w14:paraId="67920975" w14:textId="77777777" w:rsidR="001C19F3" w:rsidRPr="00042DAD" w:rsidRDefault="001C19F3" w:rsidP="00521305">
            <w:pPr>
              <w:spacing w:after="0"/>
              <w:rPr>
                <w:sz w:val="18"/>
                <w:szCs w:val="18"/>
              </w:rPr>
            </w:pPr>
            <w:r>
              <w:rPr>
                <w:sz w:val="18"/>
                <w:szCs w:val="18"/>
              </w:rPr>
              <w:t>A</w:t>
            </w:r>
            <w:r w:rsidRPr="00484245">
              <w:rPr>
                <w:sz w:val="18"/>
                <w:szCs w:val="18"/>
              </w:rPr>
              <w:t xml:space="preserve"> large practice located in a city suburb employed </w:t>
            </w:r>
            <w:r>
              <w:rPr>
                <w:sz w:val="18"/>
                <w:szCs w:val="18"/>
              </w:rPr>
              <w:t>an HCH</w:t>
            </w:r>
            <w:r w:rsidRPr="00484245">
              <w:rPr>
                <w:sz w:val="18"/>
                <w:szCs w:val="18"/>
              </w:rPr>
              <w:t xml:space="preserve"> coordinator and received positive feedback from patients about the program. </w:t>
            </w:r>
            <w:r>
              <w:rPr>
                <w:sz w:val="18"/>
                <w:szCs w:val="18"/>
              </w:rPr>
              <w:t>Practice staff reported that patients</w:t>
            </w:r>
            <w:r w:rsidRPr="00484245">
              <w:rPr>
                <w:sz w:val="18"/>
                <w:szCs w:val="18"/>
              </w:rPr>
              <w:t xml:space="preserve"> enjoy</w:t>
            </w:r>
            <w:r>
              <w:rPr>
                <w:sz w:val="18"/>
                <w:szCs w:val="18"/>
              </w:rPr>
              <w:t>ed</w:t>
            </w:r>
            <w:r w:rsidRPr="00484245">
              <w:rPr>
                <w:sz w:val="18"/>
                <w:szCs w:val="18"/>
              </w:rPr>
              <w:t xml:space="preserve"> receiving regular ‘check-in’ calls from the coordinator and </w:t>
            </w:r>
            <w:r>
              <w:rPr>
                <w:sz w:val="18"/>
                <w:szCs w:val="18"/>
              </w:rPr>
              <w:t>felt</w:t>
            </w:r>
            <w:r w:rsidRPr="00484245">
              <w:rPr>
                <w:sz w:val="18"/>
                <w:szCs w:val="18"/>
              </w:rPr>
              <w:t xml:space="preserve"> comfortable calling to request scripts, </w:t>
            </w:r>
            <w:r>
              <w:rPr>
                <w:sz w:val="18"/>
                <w:szCs w:val="18"/>
              </w:rPr>
              <w:t xml:space="preserve">referrals or </w:t>
            </w:r>
            <w:r w:rsidRPr="00484245">
              <w:rPr>
                <w:sz w:val="18"/>
                <w:szCs w:val="18"/>
              </w:rPr>
              <w:t xml:space="preserve">ask </w:t>
            </w:r>
            <w:r>
              <w:rPr>
                <w:sz w:val="18"/>
                <w:szCs w:val="18"/>
              </w:rPr>
              <w:t xml:space="preserve">other </w:t>
            </w:r>
            <w:r w:rsidRPr="00484245">
              <w:rPr>
                <w:sz w:val="18"/>
                <w:szCs w:val="18"/>
              </w:rPr>
              <w:t xml:space="preserve">questions. </w:t>
            </w:r>
            <w:r>
              <w:rPr>
                <w:sz w:val="18"/>
                <w:szCs w:val="18"/>
              </w:rPr>
              <w:t>However,</w:t>
            </w:r>
            <w:r w:rsidRPr="00484245">
              <w:rPr>
                <w:sz w:val="18"/>
                <w:szCs w:val="18"/>
              </w:rPr>
              <w:t xml:space="preserve"> the practice had difficulties with staff turnover</w:t>
            </w:r>
            <w:r>
              <w:rPr>
                <w:sz w:val="18"/>
                <w:szCs w:val="18"/>
              </w:rPr>
              <w:t>,</w:t>
            </w:r>
            <w:r w:rsidRPr="00484245">
              <w:rPr>
                <w:sz w:val="18"/>
                <w:szCs w:val="18"/>
              </w:rPr>
              <w:t xml:space="preserve"> which not only affected continuity of care but </w:t>
            </w:r>
            <w:r>
              <w:rPr>
                <w:sz w:val="18"/>
                <w:szCs w:val="18"/>
              </w:rPr>
              <w:t xml:space="preserve">also meant that </w:t>
            </w:r>
            <w:r w:rsidRPr="00484245">
              <w:rPr>
                <w:sz w:val="18"/>
                <w:szCs w:val="18"/>
              </w:rPr>
              <w:t xml:space="preserve">many aspects of HCH </w:t>
            </w:r>
            <w:r>
              <w:rPr>
                <w:sz w:val="18"/>
                <w:szCs w:val="18"/>
              </w:rPr>
              <w:t>had to be put on</w:t>
            </w:r>
            <w:r w:rsidRPr="00484245">
              <w:rPr>
                <w:sz w:val="18"/>
                <w:szCs w:val="18"/>
              </w:rPr>
              <w:t xml:space="preserve"> hold. At the time of the interview, the practice had no nurses on staff, and the GPs were not able to handle the workload associated with HCH. The </w:t>
            </w:r>
            <w:r>
              <w:rPr>
                <w:sz w:val="18"/>
                <w:szCs w:val="18"/>
              </w:rPr>
              <w:t xml:space="preserve">HCH coordinator had been handling </w:t>
            </w:r>
            <w:r w:rsidRPr="00484245">
              <w:rPr>
                <w:sz w:val="18"/>
                <w:szCs w:val="18"/>
              </w:rPr>
              <w:t>patient enrolment and management</w:t>
            </w:r>
            <w:r>
              <w:rPr>
                <w:sz w:val="18"/>
                <w:szCs w:val="18"/>
              </w:rPr>
              <w:t>,</w:t>
            </w:r>
            <w:r w:rsidRPr="00484245">
              <w:rPr>
                <w:sz w:val="18"/>
                <w:szCs w:val="18"/>
              </w:rPr>
              <w:t xml:space="preserve"> which meant that her exit from the practice </w:t>
            </w:r>
            <w:r>
              <w:rPr>
                <w:sz w:val="18"/>
                <w:szCs w:val="18"/>
              </w:rPr>
              <w:t>created a large gap</w:t>
            </w:r>
            <w:r w:rsidRPr="00484245">
              <w:rPr>
                <w:sz w:val="18"/>
                <w:szCs w:val="18"/>
              </w:rPr>
              <w:t xml:space="preserve">. The practice </w:t>
            </w:r>
            <w:r>
              <w:rPr>
                <w:sz w:val="18"/>
                <w:szCs w:val="18"/>
              </w:rPr>
              <w:t>had advertised</w:t>
            </w:r>
            <w:r w:rsidRPr="00484245">
              <w:rPr>
                <w:sz w:val="18"/>
                <w:szCs w:val="18"/>
              </w:rPr>
              <w:t xml:space="preserve"> for </w:t>
            </w:r>
            <w:r>
              <w:rPr>
                <w:sz w:val="18"/>
                <w:szCs w:val="18"/>
              </w:rPr>
              <w:t>a replacement</w:t>
            </w:r>
            <w:r w:rsidRPr="00484245">
              <w:rPr>
                <w:sz w:val="18"/>
                <w:szCs w:val="18"/>
              </w:rPr>
              <w:t xml:space="preserve"> but </w:t>
            </w:r>
            <w:r>
              <w:rPr>
                <w:sz w:val="18"/>
                <w:szCs w:val="18"/>
              </w:rPr>
              <w:t>was</w:t>
            </w:r>
            <w:r w:rsidRPr="00484245">
              <w:rPr>
                <w:sz w:val="18"/>
                <w:szCs w:val="18"/>
              </w:rPr>
              <w:t xml:space="preserve"> yet to find </w:t>
            </w:r>
            <w:r>
              <w:rPr>
                <w:sz w:val="18"/>
                <w:szCs w:val="18"/>
              </w:rPr>
              <w:t>one</w:t>
            </w:r>
            <w:r w:rsidRPr="00484245">
              <w:rPr>
                <w:sz w:val="18"/>
                <w:szCs w:val="18"/>
              </w:rPr>
              <w:t>.</w:t>
            </w:r>
          </w:p>
        </w:tc>
      </w:tr>
    </w:tbl>
    <w:p w14:paraId="5689ACC1" w14:textId="77777777" w:rsidR="001C19F3" w:rsidRDefault="001C19F3" w:rsidP="001C19F3">
      <w:pPr>
        <w:spacing w:after="0"/>
      </w:pPr>
    </w:p>
    <w:p w14:paraId="7AB53EF4" w14:textId="77777777" w:rsidR="001C19F3" w:rsidRDefault="001C19F3" w:rsidP="001C19F3">
      <w:r>
        <w:t xml:space="preserve">Interviews with PHN practice facilitators revealed similar observations about the reasons practices withdrew: information technology (IT), lack of buy-in from key people in the practice prior to signing up for the program, and the inability to reach an agreement amongst GPs in a practice to participate. The facilitators also identified two other reasons: change of ownership of the practice, and the length of time between submitting the EOI and notification of the success (e.g. one practice signed up to another commitment during that period). </w:t>
      </w:r>
    </w:p>
    <w:p w14:paraId="163D047D" w14:textId="77777777" w:rsidR="001C19F3" w:rsidRDefault="001C19F3" w:rsidP="001C19F3">
      <w:r>
        <w:t xml:space="preserve">Overall, the reasons practices withdrew were mostly to do with </w:t>
      </w:r>
      <w:r w:rsidRPr="00F0416E">
        <w:rPr>
          <w:b/>
        </w:rPr>
        <w:t>staff turnover</w:t>
      </w:r>
      <w:r>
        <w:t xml:space="preserve">, </w:t>
      </w:r>
      <w:r w:rsidRPr="00F0416E">
        <w:rPr>
          <w:b/>
        </w:rPr>
        <w:t>lack of commitment to the approach across a sufficient number of GPs within the practice</w:t>
      </w:r>
      <w:r>
        <w:t xml:space="preserve">, and difficulties with the </w:t>
      </w:r>
      <w:r w:rsidRPr="00F0416E">
        <w:rPr>
          <w:b/>
        </w:rPr>
        <w:t>practical aspects of implementing the model</w:t>
      </w:r>
      <w:r>
        <w:t xml:space="preserve"> encountered or perceived. In most instances, practices that withdrew supported the HCH principles and its aspirations. </w:t>
      </w:r>
    </w:p>
    <w:p w14:paraId="3DE1EDFA" w14:textId="77777777" w:rsidR="001C19F3" w:rsidRDefault="001C19F3" w:rsidP="001C19F3">
      <w:pPr>
        <w:pStyle w:val="Heading2"/>
      </w:pPr>
      <w:bookmarkStart w:id="123" w:name="_Toc27056552"/>
      <w:bookmarkStart w:id="124" w:name="_Hlk17122137"/>
      <w:r>
        <w:t>Practice characteristics as baseline</w:t>
      </w:r>
      <w:bookmarkEnd w:id="123"/>
    </w:p>
    <w:p w14:paraId="1F735D00" w14:textId="77777777" w:rsidR="001C19F3" w:rsidRDefault="001C19F3" w:rsidP="001C19F3">
      <w:r>
        <w:t xml:space="preserve">The section focusses on characteristics of </w:t>
      </w:r>
      <w:r w:rsidRPr="007911A5">
        <w:t xml:space="preserve">practices </w:t>
      </w:r>
      <w:r>
        <w:t>at the start of the HCH program – the baseline. These results are principally derived from the practice survey and staff survey conducted in Round 1</w:t>
      </w:r>
      <w:r>
        <w:rPr>
          <w:rStyle w:val="FootnoteReference"/>
        </w:rPr>
        <w:footnoteReference w:id="8"/>
      </w:r>
      <w:r>
        <w:t xml:space="preserve">. Unless otherwise indicated, responses from practice that withdrew from the program have not been included in the analyses presented in this section. </w:t>
      </w:r>
    </w:p>
    <w:p w14:paraId="27C37FED" w14:textId="77777777" w:rsidR="001C19F3" w:rsidRDefault="001C19F3" w:rsidP="001C19F3">
      <w:pPr>
        <w:pStyle w:val="Heading3"/>
      </w:pPr>
      <w:r>
        <w:lastRenderedPageBreak/>
        <w:t>Staffing</w:t>
      </w:r>
    </w:p>
    <w:p w14:paraId="120F600C" w14:textId="77777777" w:rsidR="001C19F3" w:rsidRDefault="001C19F3" w:rsidP="001C19F3">
      <w:r w:rsidRPr="001D43F5">
        <w:t xml:space="preserve">The </w:t>
      </w:r>
      <w:r>
        <w:t xml:space="preserve">119 </w:t>
      </w:r>
      <w:r w:rsidRPr="001D43F5">
        <w:t xml:space="preserve">practices responding to the practices survey in Round 1 </w:t>
      </w:r>
      <w:r>
        <w:t xml:space="preserve">which were </w:t>
      </w:r>
      <w:r w:rsidRPr="001D43F5">
        <w:t xml:space="preserve">still </w:t>
      </w:r>
      <w:r>
        <w:t xml:space="preserve">participating in HCH </w:t>
      </w:r>
      <w:r w:rsidRPr="001D43F5">
        <w:t xml:space="preserve">at 31 August 2019 reported employing a total of </w:t>
      </w:r>
      <w:r w:rsidRPr="00811FD5">
        <w:t>2,449</w:t>
      </w:r>
      <w:r>
        <w:t xml:space="preserve"> </w:t>
      </w:r>
      <w:r w:rsidRPr="001D43F5">
        <w:t>individuals (head count)</w:t>
      </w:r>
      <w:r>
        <w:t xml:space="preserve"> and </w:t>
      </w:r>
      <w:r w:rsidRPr="00811FD5">
        <w:t>2,014</w:t>
      </w:r>
      <w:r>
        <w:t xml:space="preserve"> </w:t>
      </w:r>
      <w:r w:rsidRPr="001D43F5">
        <w:t>FTE staff</w:t>
      </w:r>
      <w:r>
        <w:t>. This is an average of 20.6 per practice for head count and 16.9 for FTE (</w:t>
      </w:r>
      <w:r>
        <w:fldChar w:fldCharType="begin"/>
      </w:r>
      <w:r>
        <w:instrText xml:space="preserve"> REF _Ref21690540 \h  \* MERGEFORMAT </w:instrText>
      </w:r>
      <w:r>
        <w:fldChar w:fldCharType="separate"/>
      </w:r>
      <w:r w:rsidRPr="00D40B1A">
        <w:t xml:space="preserve">Table </w:t>
      </w:r>
      <w:r>
        <w:rPr>
          <w:rFonts w:cs="Arial"/>
          <w:noProof/>
          <w:color w:val="000000" w:themeColor="text1"/>
        </w:rPr>
        <w:t>4</w:t>
      </w:r>
      <w:r>
        <w:fldChar w:fldCharType="end"/>
      </w:r>
      <w:r>
        <w:t>)</w:t>
      </w:r>
      <w:r w:rsidRPr="001D43F5">
        <w:t>. The difference between the FTE and head count is due to part-time employment.</w:t>
      </w:r>
      <w:r>
        <w:t xml:space="preserve"> </w:t>
      </w:r>
      <w:r w:rsidRPr="001D43F5">
        <w:t xml:space="preserve">Practices reported an average of </w:t>
      </w:r>
      <w:r>
        <w:t>5</w:t>
      </w:r>
      <w:r w:rsidRPr="001D43F5">
        <w:t>.</w:t>
      </w:r>
      <w:r>
        <w:t>7</w:t>
      </w:r>
      <w:r w:rsidRPr="001D43F5">
        <w:t xml:space="preserve"> FTE GPs per practice, </w:t>
      </w:r>
      <w:r>
        <w:t>3</w:t>
      </w:r>
      <w:r w:rsidRPr="001D43F5">
        <w:t>.</w:t>
      </w:r>
      <w:r>
        <w:t>1</w:t>
      </w:r>
      <w:r w:rsidRPr="001D43F5">
        <w:t xml:space="preserve"> FTE nurses and 5.7 FTE management/ receptionist/ administrative staff</w:t>
      </w:r>
      <w:r>
        <w:t xml:space="preserve">. </w:t>
      </w:r>
      <w:r w:rsidRPr="001D43F5">
        <w:t xml:space="preserve">Allied health staff were less common – an average of </w:t>
      </w:r>
      <w:r>
        <w:t xml:space="preserve">2.3 </w:t>
      </w:r>
      <w:r w:rsidRPr="001D43F5">
        <w:t xml:space="preserve">FTE per practice. </w:t>
      </w:r>
    </w:p>
    <w:p w14:paraId="72E461A1" w14:textId="77777777" w:rsidR="001C19F3" w:rsidRDefault="001C19F3" w:rsidP="001C19F3">
      <w:r w:rsidRPr="00E75764">
        <w:t>Vacancies, as a percentage of FTE positions, were around 6.7% for GP positions, 3.2% for nursing positions, 4.8% for allied health positions and 2.0%</w:t>
      </w:r>
      <w:r>
        <w:t xml:space="preserve"> </w:t>
      </w:r>
      <w:r w:rsidRPr="00E75764">
        <w:t>for management/ receptionist/ administration positions</w:t>
      </w:r>
      <w:r>
        <w:t>.</w:t>
      </w:r>
    </w:p>
    <w:p w14:paraId="3E826350" w14:textId="77777777" w:rsidR="001C19F3" w:rsidRDefault="001C19F3" w:rsidP="001C19F3">
      <w:r w:rsidRPr="006F338C">
        <w:t xml:space="preserve">Staffing varies substantially between practices. </w:t>
      </w:r>
      <w:r w:rsidRPr="006F338C">
        <w:fldChar w:fldCharType="begin"/>
      </w:r>
      <w:r w:rsidRPr="006F338C">
        <w:instrText xml:space="preserve"> REF _Ref21690585 \h </w:instrText>
      </w:r>
      <w:r>
        <w:instrText xml:space="preserve"> \* MERGEFORMAT </w:instrText>
      </w:r>
      <w:r w:rsidRPr="006F338C">
        <w:fldChar w:fldCharType="separate"/>
      </w:r>
      <w:r w:rsidRPr="00D40B1A">
        <w:t xml:space="preserve">Table </w:t>
      </w:r>
      <w:r>
        <w:rPr>
          <w:rFonts w:cs="Arial"/>
          <w:noProof/>
          <w:color w:val="000000" w:themeColor="text1"/>
        </w:rPr>
        <w:t>5</w:t>
      </w:r>
      <w:r w:rsidRPr="006F338C">
        <w:fldChar w:fldCharType="end"/>
      </w:r>
      <w:r w:rsidRPr="006F338C">
        <w:t xml:space="preserve"> explores some of the differences related to GPs.</w:t>
      </w:r>
      <w:r>
        <w:t xml:space="preserve"> </w:t>
      </w:r>
      <w:r w:rsidRPr="006F338C">
        <w:t>Corporate practices have a higher average number of GPs, both in terms of FTE and head count</w:t>
      </w:r>
      <w:r>
        <w:t xml:space="preserve">. </w:t>
      </w:r>
      <w:r w:rsidRPr="006F338C">
        <w:t>AMS have a lower average number of GPs.</w:t>
      </w:r>
      <w:r>
        <w:t xml:space="preserve"> </w:t>
      </w:r>
      <w:r w:rsidRPr="006F338C">
        <w:t xml:space="preserve">Practices located in major cities (MMM 1) have a higher average number of GPs compared with those located in regional and remote locations. </w:t>
      </w:r>
    </w:p>
    <w:p w14:paraId="2B28B76D" w14:textId="77777777" w:rsidR="001C19F3" w:rsidRDefault="001C19F3" w:rsidP="001C19F3">
      <w:r w:rsidRPr="006F338C">
        <w:t>Part-time arrangements tend to be more common in corporate practices. AMSs tend to have a lower number of GPs than independent practices but have similar levels of staffing to the independent practices when all staff are considered.</w:t>
      </w:r>
    </w:p>
    <w:p w14:paraId="54118F63" w14:textId="77777777" w:rsidR="001C19F3" w:rsidRPr="00D40B1A" w:rsidRDefault="001C19F3" w:rsidP="001C19F3">
      <w:pPr>
        <w:pStyle w:val="Caption1"/>
        <w:spacing w:after="0"/>
      </w:pPr>
      <w:bookmarkStart w:id="125" w:name="_Ref21690540"/>
      <w:bookmarkStart w:id="126" w:name="_Ref527561174"/>
      <w:r w:rsidRPr="00D40B1A">
        <w:t xml:space="preserve">Table </w:t>
      </w:r>
      <w:r w:rsidRPr="00D40B1A">
        <w:rPr>
          <w:rFonts w:cs="Arial"/>
          <w:color w:val="000000" w:themeColor="text1"/>
        </w:rPr>
        <w:fldChar w:fldCharType="begin"/>
      </w:r>
      <w:r w:rsidRPr="00D40B1A">
        <w:rPr>
          <w:rFonts w:cs="Arial"/>
          <w:color w:val="000000" w:themeColor="text1"/>
        </w:rPr>
        <w:instrText xml:space="preserve"> SEQ Table \* ARABIC </w:instrText>
      </w:r>
      <w:r w:rsidRPr="00D40B1A">
        <w:rPr>
          <w:rFonts w:cs="Arial"/>
          <w:color w:val="000000" w:themeColor="text1"/>
        </w:rPr>
        <w:fldChar w:fldCharType="separate"/>
      </w:r>
      <w:r>
        <w:rPr>
          <w:rFonts w:cs="Arial"/>
          <w:noProof/>
          <w:color w:val="000000" w:themeColor="text1"/>
        </w:rPr>
        <w:t>4</w:t>
      </w:r>
      <w:r w:rsidRPr="00D40B1A">
        <w:rPr>
          <w:rFonts w:cs="Arial"/>
          <w:color w:val="000000" w:themeColor="text1"/>
        </w:rPr>
        <w:fldChar w:fldCharType="end"/>
      </w:r>
      <w:bookmarkEnd w:id="125"/>
      <w:r w:rsidRPr="00D40B1A">
        <w:t xml:space="preserve"> – Staff within in each practice</w:t>
      </w:r>
    </w:p>
    <w:tbl>
      <w:tblPr>
        <w:tblW w:w="9073" w:type="dxa"/>
        <w:jc w:val="center"/>
        <w:tblLayout w:type="fixed"/>
        <w:tblLook w:val="04A0" w:firstRow="1" w:lastRow="0" w:firstColumn="1" w:lastColumn="0" w:noHBand="0" w:noVBand="1"/>
      </w:tblPr>
      <w:tblGrid>
        <w:gridCol w:w="2639"/>
        <w:gridCol w:w="1237"/>
        <w:gridCol w:w="825"/>
        <w:gridCol w:w="825"/>
        <w:gridCol w:w="825"/>
        <w:gridCol w:w="825"/>
        <w:gridCol w:w="894"/>
        <w:gridCol w:w="1003"/>
      </w:tblGrid>
      <w:tr w:rsidR="001C19F3" w14:paraId="77F4B56C" w14:textId="77777777" w:rsidTr="00521305">
        <w:trPr>
          <w:cantSplit/>
          <w:trHeight w:val="323"/>
          <w:tblHeader/>
          <w:jc w:val="center"/>
        </w:trPr>
        <w:tc>
          <w:tcPr>
            <w:tcW w:w="263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0B6AB0C" w14:textId="77777777" w:rsidR="001C19F3" w:rsidRDefault="001C19F3" w:rsidP="00521305">
            <w:pPr>
              <w:spacing w:after="0"/>
              <w:jc w:val="center"/>
              <w:rPr>
                <w:rFonts w:eastAsiaTheme="minorHAnsi"/>
              </w:rPr>
            </w:pPr>
            <w:r>
              <w:rPr>
                <w:rFonts w:eastAsia="Century Gothic" w:cs="Century Gothic"/>
                <w:b/>
                <w:color w:val="FFFFFF"/>
                <w:sz w:val="18"/>
                <w:szCs w:val="18"/>
              </w:rPr>
              <w:t>Staff type</w:t>
            </w:r>
          </w:p>
        </w:tc>
        <w:tc>
          <w:tcPr>
            <w:tcW w:w="1237"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CCBC48" w14:textId="77777777" w:rsidR="001C19F3" w:rsidRDefault="001C19F3" w:rsidP="00521305">
            <w:pPr>
              <w:spacing w:after="0"/>
              <w:jc w:val="center"/>
            </w:pPr>
            <w:r>
              <w:rPr>
                <w:rFonts w:eastAsia="Century Gothic" w:cs="Century Gothic"/>
                <w:b/>
                <w:color w:val="FFFFFF"/>
                <w:sz w:val="18"/>
                <w:szCs w:val="18"/>
              </w:rPr>
              <w:t>Practices</w:t>
            </w:r>
            <w:r>
              <w:rPr>
                <w:rFonts w:eastAsia="Century Gothic" w:cs="Century Gothic"/>
                <w:b/>
                <w:color w:val="FFFFFF"/>
                <w:sz w:val="18"/>
                <w:szCs w:val="18"/>
              </w:rPr>
              <w:br/>
              <w:t>reporting staff</w:t>
            </w:r>
            <w:r>
              <w:rPr>
                <w:rFonts w:eastAsia="Century Gothic" w:cs="Century Gothic"/>
                <w:b/>
                <w:color w:val="FFFFFF"/>
                <w:sz w:val="18"/>
                <w:szCs w:val="18"/>
              </w:rPr>
              <w:br/>
              <w:t>type n (%)</w:t>
            </w:r>
          </w:p>
        </w:tc>
        <w:tc>
          <w:tcPr>
            <w:tcW w:w="1650"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5FF696" w14:textId="77777777" w:rsidR="001C19F3" w:rsidRDefault="001C19F3" w:rsidP="00521305">
            <w:pPr>
              <w:spacing w:after="0"/>
              <w:jc w:val="center"/>
            </w:pPr>
            <w:r>
              <w:rPr>
                <w:rFonts w:eastAsia="Century Gothic" w:cs="Century Gothic"/>
                <w:b/>
                <w:color w:val="FFFFFF"/>
                <w:sz w:val="18"/>
                <w:szCs w:val="18"/>
              </w:rPr>
              <w:t>Head count</w:t>
            </w:r>
          </w:p>
        </w:tc>
        <w:tc>
          <w:tcPr>
            <w:tcW w:w="2544"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83CFEE" w14:textId="77777777" w:rsidR="001C19F3" w:rsidRDefault="001C19F3" w:rsidP="00521305">
            <w:pPr>
              <w:spacing w:after="0"/>
              <w:jc w:val="center"/>
            </w:pPr>
            <w:r>
              <w:rPr>
                <w:rFonts w:eastAsia="Century Gothic" w:cs="Century Gothic"/>
                <w:b/>
                <w:color w:val="FFFFFF"/>
                <w:sz w:val="18"/>
                <w:szCs w:val="18"/>
              </w:rPr>
              <w:t>FTE</w:t>
            </w:r>
          </w:p>
        </w:tc>
        <w:tc>
          <w:tcPr>
            <w:tcW w:w="10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ACCA577" w14:textId="77777777" w:rsidR="001C19F3" w:rsidRDefault="001C19F3" w:rsidP="00521305">
            <w:pPr>
              <w:spacing w:after="0"/>
              <w:jc w:val="center"/>
            </w:pPr>
            <w:r>
              <w:rPr>
                <w:rFonts w:eastAsia="Century Gothic" w:cs="Century Gothic"/>
                <w:b/>
                <w:color w:val="FFFFFF"/>
                <w:sz w:val="18"/>
                <w:szCs w:val="18"/>
              </w:rPr>
              <w:t>Vacancies</w:t>
            </w:r>
            <w:r>
              <w:rPr>
                <w:rFonts w:eastAsia="Century Gothic" w:cs="Century Gothic"/>
                <w:b/>
                <w:color w:val="FFFFFF"/>
                <w:sz w:val="18"/>
                <w:szCs w:val="18"/>
              </w:rPr>
              <w:br/>
              <w:t>(%)</w:t>
            </w:r>
          </w:p>
        </w:tc>
      </w:tr>
      <w:tr w:rsidR="001C19F3" w14:paraId="79489A06" w14:textId="77777777" w:rsidTr="00521305">
        <w:trPr>
          <w:cantSplit/>
          <w:tblHeader/>
          <w:jc w:val="center"/>
        </w:trPr>
        <w:tc>
          <w:tcPr>
            <w:tcW w:w="2639" w:type="dxa"/>
            <w:vMerge/>
            <w:tcBorders>
              <w:top w:val="single" w:sz="8" w:space="0" w:color="BFBFBF"/>
              <w:left w:val="single" w:sz="8" w:space="0" w:color="BFBFBF"/>
              <w:bottom w:val="single" w:sz="8" w:space="0" w:color="BFBFBF"/>
              <w:right w:val="single" w:sz="8" w:space="0" w:color="BFBFBF"/>
            </w:tcBorders>
            <w:vAlign w:val="center"/>
            <w:hideMark/>
          </w:tcPr>
          <w:p w14:paraId="01E0DF5B" w14:textId="77777777" w:rsidR="001C19F3" w:rsidRDefault="001C19F3" w:rsidP="00521305"/>
        </w:tc>
        <w:tc>
          <w:tcPr>
            <w:tcW w:w="1237" w:type="dxa"/>
            <w:vMerge/>
            <w:tcBorders>
              <w:top w:val="single" w:sz="8" w:space="0" w:color="BFBFBF"/>
              <w:left w:val="single" w:sz="8" w:space="0" w:color="BFBFBF"/>
              <w:bottom w:val="single" w:sz="8" w:space="0" w:color="BFBFBF"/>
              <w:right w:val="single" w:sz="8" w:space="0" w:color="BFBFBF"/>
            </w:tcBorders>
            <w:vAlign w:val="center"/>
            <w:hideMark/>
          </w:tcPr>
          <w:p w14:paraId="2AE567EC" w14:textId="77777777" w:rsidR="001C19F3" w:rsidRDefault="001C19F3" w:rsidP="00521305"/>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DD0959D" w14:textId="77777777" w:rsidR="001C19F3" w:rsidRDefault="001C19F3" w:rsidP="00521305">
            <w:pPr>
              <w:spacing w:after="0"/>
              <w:jc w:val="center"/>
            </w:pPr>
            <w:r>
              <w:rPr>
                <w:rFonts w:eastAsia="Century Gothic" w:cs="Century Gothic"/>
                <w:b/>
                <w:color w:val="FFFFFF"/>
                <w:sz w:val="18"/>
                <w:szCs w:val="18"/>
              </w:rPr>
              <w:t>Mean</w:t>
            </w:r>
          </w:p>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088074" w14:textId="77777777" w:rsidR="001C19F3" w:rsidRDefault="001C19F3" w:rsidP="00521305">
            <w:pPr>
              <w:spacing w:after="0"/>
              <w:jc w:val="center"/>
            </w:pPr>
            <w:r>
              <w:rPr>
                <w:rFonts w:eastAsia="Century Gothic" w:cs="Century Gothic"/>
                <w:b/>
                <w:color w:val="FFFFFF"/>
                <w:sz w:val="18"/>
                <w:szCs w:val="18"/>
              </w:rPr>
              <w:t>Total</w:t>
            </w:r>
          </w:p>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F34A282" w14:textId="77777777" w:rsidR="001C19F3" w:rsidRDefault="001C19F3" w:rsidP="00521305">
            <w:pPr>
              <w:spacing w:after="0"/>
              <w:jc w:val="center"/>
            </w:pPr>
            <w:r>
              <w:rPr>
                <w:rFonts w:eastAsia="Century Gothic" w:cs="Century Gothic"/>
                <w:b/>
                <w:color w:val="FFFFFF"/>
                <w:sz w:val="18"/>
                <w:szCs w:val="18"/>
              </w:rPr>
              <w:t>Mean</w:t>
            </w:r>
          </w:p>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14B09D3" w14:textId="77777777" w:rsidR="001C19F3" w:rsidRDefault="001C19F3" w:rsidP="00521305">
            <w:pPr>
              <w:spacing w:after="0"/>
              <w:jc w:val="center"/>
            </w:pPr>
            <w:r>
              <w:rPr>
                <w:rFonts w:eastAsia="Century Gothic" w:cs="Century Gothic"/>
                <w:b/>
                <w:color w:val="FFFFFF"/>
                <w:sz w:val="18"/>
                <w:szCs w:val="18"/>
              </w:rPr>
              <w:t>Total</w:t>
            </w:r>
          </w:p>
        </w:tc>
        <w:tc>
          <w:tcPr>
            <w:tcW w:w="89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C4D11F" w14:textId="77777777" w:rsidR="001C19F3" w:rsidRDefault="001C19F3" w:rsidP="00521305">
            <w:pPr>
              <w:spacing w:after="0"/>
              <w:jc w:val="center"/>
            </w:pPr>
            <w:r>
              <w:rPr>
                <w:rFonts w:eastAsia="Century Gothic" w:cs="Century Gothic"/>
                <w:b/>
                <w:color w:val="FFFFFF"/>
                <w:sz w:val="18"/>
                <w:szCs w:val="18"/>
              </w:rPr>
              <w:t>% of</w:t>
            </w:r>
            <w:r>
              <w:rPr>
                <w:rFonts w:eastAsia="Century Gothic" w:cs="Century Gothic"/>
                <w:b/>
                <w:color w:val="FFFFFF"/>
                <w:sz w:val="18"/>
                <w:szCs w:val="18"/>
              </w:rPr>
              <w:br/>
              <w:t>total FTE</w:t>
            </w:r>
          </w:p>
        </w:tc>
        <w:tc>
          <w:tcPr>
            <w:tcW w:w="1003" w:type="dxa"/>
            <w:vMerge/>
            <w:tcBorders>
              <w:top w:val="single" w:sz="8" w:space="0" w:color="BFBFBF"/>
              <w:left w:val="single" w:sz="8" w:space="0" w:color="BFBFBF"/>
              <w:bottom w:val="single" w:sz="8" w:space="0" w:color="BFBFBF"/>
              <w:right w:val="single" w:sz="8" w:space="0" w:color="BFBFBF"/>
            </w:tcBorders>
            <w:vAlign w:val="center"/>
            <w:hideMark/>
          </w:tcPr>
          <w:p w14:paraId="27977AA3" w14:textId="77777777" w:rsidR="001C19F3" w:rsidRDefault="001C19F3" w:rsidP="00521305"/>
        </w:tc>
      </w:tr>
      <w:tr w:rsidR="001C19F3" w14:paraId="15DC0FA5"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49DE13" w14:textId="77777777" w:rsidR="001C19F3" w:rsidRDefault="001C19F3" w:rsidP="00521305">
            <w:pPr>
              <w:spacing w:before="40" w:after="40"/>
              <w:ind w:left="100" w:right="100"/>
            </w:pPr>
            <w:r>
              <w:rPr>
                <w:rFonts w:eastAsia="Century Gothic" w:cs="Century Gothic"/>
                <w:color w:val="000000"/>
                <w:sz w:val="18"/>
                <w:szCs w:val="18"/>
              </w:rPr>
              <w:t>General practitioner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D96F85" w14:textId="77777777" w:rsidR="001C19F3" w:rsidRDefault="001C19F3" w:rsidP="00521305">
            <w:pPr>
              <w:spacing w:before="40" w:after="40"/>
              <w:ind w:left="100" w:right="100"/>
              <w:jc w:val="right"/>
            </w:pPr>
            <w:r>
              <w:rPr>
                <w:rFonts w:eastAsia="Century Gothic" w:cs="Century Gothic"/>
                <w:color w:val="000000"/>
                <w:sz w:val="18"/>
                <w:szCs w:val="18"/>
              </w:rPr>
              <w:t>119 (100%)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981B74" w14:textId="77777777" w:rsidR="001C19F3" w:rsidRDefault="001C19F3" w:rsidP="00521305">
            <w:pPr>
              <w:spacing w:before="40" w:after="40"/>
              <w:ind w:left="100" w:right="100"/>
              <w:jc w:val="right"/>
            </w:pPr>
            <w:r>
              <w:rPr>
                <w:rFonts w:eastAsia="Century Gothic" w:cs="Century Gothic"/>
                <w:color w:val="000000"/>
                <w:sz w:val="18"/>
                <w:szCs w:val="18"/>
              </w:rPr>
              <w:t xml:space="preserve"> 7.4</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21EB0" w14:textId="77777777" w:rsidR="001C19F3" w:rsidRDefault="001C19F3" w:rsidP="00521305">
            <w:pPr>
              <w:spacing w:before="40" w:after="40"/>
              <w:ind w:left="100" w:right="100"/>
              <w:jc w:val="right"/>
            </w:pPr>
            <w:r>
              <w:rPr>
                <w:rFonts w:eastAsia="Century Gothic" w:cs="Century Gothic"/>
                <w:color w:val="000000"/>
                <w:sz w:val="18"/>
                <w:szCs w:val="18"/>
              </w:rPr>
              <w:t xml:space="preserve">  885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400ED8" w14:textId="77777777" w:rsidR="001C19F3" w:rsidRDefault="001C19F3" w:rsidP="00521305">
            <w:pPr>
              <w:spacing w:before="40" w:after="40"/>
              <w:ind w:left="100" w:right="100"/>
              <w:jc w:val="right"/>
            </w:pPr>
            <w:r>
              <w:rPr>
                <w:rFonts w:eastAsia="Century Gothic" w:cs="Century Gothic"/>
                <w:color w:val="000000"/>
                <w:sz w:val="18"/>
                <w:szCs w:val="18"/>
              </w:rPr>
              <w:t xml:space="preserve"> 5.7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864430" w14:textId="77777777" w:rsidR="001C19F3" w:rsidRDefault="001C19F3" w:rsidP="00521305">
            <w:pPr>
              <w:spacing w:before="40" w:after="40"/>
              <w:ind w:left="100" w:right="100"/>
              <w:jc w:val="right"/>
            </w:pPr>
            <w:r>
              <w:rPr>
                <w:rFonts w:eastAsia="Century Gothic" w:cs="Century Gothic"/>
                <w:color w:val="000000"/>
                <w:sz w:val="18"/>
                <w:szCs w:val="18"/>
              </w:rPr>
              <w:t xml:space="preserve">  676</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F2EFD5" w14:textId="77777777" w:rsidR="001C19F3" w:rsidRDefault="001C19F3" w:rsidP="00521305">
            <w:pPr>
              <w:spacing w:before="40" w:after="40"/>
              <w:ind w:left="100" w:right="100"/>
              <w:jc w:val="right"/>
            </w:pPr>
            <w:r>
              <w:rPr>
                <w:rFonts w:eastAsia="Century Gothic" w:cs="Century Gothic"/>
                <w:color w:val="000000"/>
                <w:sz w:val="18"/>
                <w:szCs w:val="18"/>
              </w:rPr>
              <w:t>33.6%</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784BC" w14:textId="77777777" w:rsidR="001C19F3" w:rsidRDefault="001C19F3" w:rsidP="00521305">
            <w:pPr>
              <w:spacing w:before="40" w:after="40"/>
              <w:ind w:left="100" w:right="100"/>
              <w:jc w:val="right"/>
            </w:pPr>
            <w:r>
              <w:rPr>
                <w:rFonts w:eastAsia="Century Gothic" w:cs="Century Gothic"/>
                <w:color w:val="000000"/>
                <w:sz w:val="18"/>
                <w:szCs w:val="18"/>
              </w:rPr>
              <w:t>6.7%</w:t>
            </w:r>
          </w:p>
        </w:tc>
      </w:tr>
      <w:tr w:rsidR="001C19F3" w14:paraId="4F377C35"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50DD45" w14:textId="77777777" w:rsidR="001C19F3" w:rsidRDefault="001C19F3" w:rsidP="00521305">
            <w:pPr>
              <w:spacing w:before="40" w:after="40"/>
              <w:ind w:left="100" w:right="100"/>
            </w:pPr>
            <w:r>
              <w:rPr>
                <w:rFonts w:eastAsia="Century Gothic" w:cs="Century Gothic"/>
                <w:color w:val="000000"/>
                <w:sz w:val="18"/>
                <w:szCs w:val="18"/>
              </w:rPr>
              <w:t>Other medical</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457FF9" w14:textId="77777777" w:rsidR="001C19F3" w:rsidRDefault="001C19F3" w:rsidP="00521305">
            <w:pPr>
              <w:spacing w:before="40" w:after="40"/>
              <w:ind w:left="100" w:right="100"/>
              <w:jc w:val="right"/>
            </w:pPr>
            <w:r>
              <w:rPr>
                <w:rFonts w:eastAsia="Century Gothic" w:cs="Century Gothic"/>
                <w:color w:val="000000"/>
                <w:sz w:val="18"/>
                <w:szCs w:val="18"/>
              </w:rPr>
              <w:t>9 (8%)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4B607B" w14:textId="77777777" w:rsidR="001C19F3" w:rsidRDefault="001C19F3" w:rsidP="00521305">
            <w:pPr>
              <w:spacing w:before="40" w:after="40"/>
              <w:ind w:left="100" w:right="100"/>
              <w:jc w:val="right"/>
            </w:pPr>
            <w:r>
              <w:rPr>
                <w:rFonts w:eastAsia="Century Gothic" w:cs="Century Gothic"/>
                <w:color w:val="000000"/>
                <w:sz w:val="18"/>
                <w:szCs w:val="18"/>
              </w:rPr>
              <w:t xml:space="preserve"> 0.2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C10D2D" w14:textId="77777777" w:rsidR="001C19F3" w:rsidRDefault="001C19F3" w:rsidP="00521305">
            <w:pPr>
              <w:spacing w:before="40" w:after="40"/>
              <w:ind w:left="100" w:right="100"/>
              <w:jc w:val="right"/>
            </w:pPr>
            <w:r>
              <w:rPr>
                <w:rFonts w:eastAsia="Century Gothic" w:cs="Century Gothic"/>
                <w:color w:val="000000"/>
                <w:sz w:val="18"/>
                <w:szCs w:val="18"/>
              </w:rPr>
              <w:t xml:space="preserve">   20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233D8E" w14:textId="77777777" w:rsidR="001C19F3" w:rsidRDefault="001C19F3" w:rsidP="00521305">
            <w:pPr>
              <w:spacing w:before="40" w:after="40"/>
              <w:ind w:left="100" w:right="100"/>
              <w:jc w:val="right"/>
            </w:pPr>
            <w:r>
              <w:rPr>
                <w:rFonts w:eastAsia="Century Gothic" w:cs="Century Gothic"/>
                <w:color w:val="000000"/>
                <w:sz w:val="18"/>
                <w:szCs w:val="18"/>
              </w:rPr>
              <w:t xml:space="preserve"> 0.1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FD51FE" w14:textId="77777777" w:rsidR="001C19F3" w:rsidRDefault="001C19F3" w:rsidP="00521305">
            <w:pPr>
              <w:spacing w:before="40" w:after="40"/>
              <w:ind w:left="100" w:right="100"/>
              <w:jc w:val="right"/>
            </w:pPr>
            <w:r>
              <w:rPr>
                <w:rFonts w:eastAsia="Century Gothic" w:cs="Century Gothic"/>
                <w:color w:val="000000"/>
                <w:sz w:val="18"/>
                <w:szCs w:val="18"/>
              </w:rPr>
              <w:t xml:space="preserve">   16</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3F5C35" w14:textId="77777777" w:rsidR="001C19F3" w:rsidRDefault="001C19F3" w:rsidP="00521305">
            <w:pPr>
              <w:spacing w:before="40" w:after="40"/>
              <w:ind w:left="100" w:right="100"/>
              <w:jc w:val="right"/>
            </w:pPr>
            <w:r>
              <w:rPr>
                <w:rFonts w:eastAsia="Century Gothic" w:cs="Century Gothic"/>
                <w:color w:val="000000"/>
                <w:sz w:val="18"/>
                <w:szCs w:val="18"/>
              </w:rPr>
              <w:t>0.8%</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13C6A" w14:textId="77777777" w:rsidR="001C19F3" w:rsidRDefault="001C19F3" w:rsidP="00521305">
            <w:pPr>
              <w:spacing w:before="40" w:after="40"/>
              <w:ind w:left="100" w:right="100"/>
              <w:jc w:val="right"/>
            </w:pPr>
            <w:r>
              <w:rPr>
                <w:rFonts w:eastAsia="Century Gothic" w:cs="Century Gothic"/>
                <w:color w:val="000000"/>
                <w:sz w:val="18"/>
                <w:szCs w:val="18"/>
              </w:rPr>
              <w:t>5.0%</w:t>
            </w:r>
          </w:p>
        </w:tc>
      </w:tr>
      <w:tr w:rsidR="001C19F3" w14:paraId="521D578D"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A4E4F5" w14:textId="77777777" w:rsidR="001C19F3" w:rsidRDefault="001C19F3" w:rsidP="00521305">
            <w:pPr>
              <w:spacing w:before="40" w:after="40"/>
              <w:ind w:left="100" w:right="100"/>
            </w:pPr>
            <w:r>
              <w:rPr>
                <w:rFonts w:eastAsia="Century Gothic" w:cs="Century Gothic"/>
                <w:color w:val="000000"/>
                <w:sz w:val="18"/>
                <w:szCs w:val="18"/>
              </w:rPr>
              <w:t>Nurses</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F04D77" w14:textId="77777777" w:rsidR="001C19F3" w:rsidRDefault="001C19F3" w:rsidP="00521305">
            <w:pPr>
              <w:spacing w:before="40" w:after="40"/>
              <w:ind w:left="100" w:right="100"/>
              <w:jc w:val="right"/>
            </w:pPr>
            <w:r>
              <w:rPr>
                <w:rFonts w:eastAsia="Century Gothic" w:cs="Century Gothic"/>
                <w:color w:val="000000"/>
                <w:sz w:val="18"/>
                <w:szCs w:val="18"/>
              </w:rPr>
              <w:t>118 (99%)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D8AC7E" w14:textId="77777777" w:rsidR="001C19F3" w:rsidRDefault="001C19F3" w:rsidP="00521305">
            <w:pPr>
              <w:spacing w:before="40" w:after="40"/>
              <w:ind w:left="100" w:right="100"/>
              <w:jc w:val="right"/>
            </w:pPr>
            <w:r>
              <w:rPr>
                <w:rFonts w:eastAsia="Century Gothic" w:cs="Century Gothic"/>
                <w:color w:val="000000"/>
                <w:sz w:val="18"/>
                <w:szCs w:val="18"/>
              </w:rPr>
              <w:t xml:space="preserve"> 3.8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5E2496" w14:textId="77777777" w:rsidR="001C19F3" w:rsidRDefault="001C19F3" w:rsidP="00521305">
            <w:pPr>
              <w:spacing w:before="40" w:after="40"/>
              <w:ind w:left="100" w:right="100"/>
              <w:jc w:val="right"/>
            </w:pPr>
            <w:r>
              <w:rPr>
                <w:rFonts w:eastAsia="Century Gothic" w:cs="Century Gothic"/>
                <w:color w:val="000000"/>
                <w:sz w:val="18"/>
                <w:szCs w:val="18"/>
              </w:rPr>
              <w:t xml:space="preserve">  457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AE348E" w14:textId="77777777" w:rsidR="001C19F3" w:rsidRDefault="001C19F3" w:rsidP="00521305">
            <w:pPr>
              <w:spacing w:before="40" w:after="40"/>
              <w:ind w:left="100" w:right="100"/>
              <w:jc w:val="right"/>
            </w:pPr>
            <w:r>
              <w:rPr>
                <w:rFonts w:eastAsia="Century Gothic" w:cs="Century Gothic"/>
                <w:color w:val="000000"/>
                <w:sz w:val="18"/>
                <w:szCs w:val="18"/>
              </w:rPr>
              <w:t xml:space="preserve"> 3.1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230FEA" w14:textId="77777777" w:rsidR="001C19F3" w:rsidRDefault="001C19F3" w:rsidP="00521305">
            <w:pPr>
              <w:spacing w:before="40" w:after="40"/>
              <w:ind w:left="100" w:right="100"/>
              <w:jc w:val="right"/>
            </w:pPr>
            <w:r>
              <w:rPr>
                <w:rFonts w:eastAsia="Century Gothic" w:cs="Century Gothic"/>
                <w:color w:val="000000"/>
                <w:sz w:val="18"/>
                <w:szCs w:val="18"/>
              </w:rPr>
              <w:t xml:space="preserve">  374</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267D2A" w14:textId="77777777" w:rsidR="001C19F3" w:rsidRDefault="001C19F3" w:rsidP="00521305">
            <w:pPr>
              <w:spacing w:before="40" w:after="40"/>
              <w:ind w:left="100" w:right="100"/>
              <w:jc w:val="right"/>
            </w:pPr>
            <w:r>
              <w:rPr>
                <w:rFonts w:eastAsia="Century Gothic" w:cs="Century Gothic"/>
                <w:color w:val="000000"/>
                <w:sz w:val="18"/>
                <w:szCs w:val="18"/>
              </w:rPr>
              <w:t>18.6%</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9CA972" w14:textId="77777777" w:rsidR="001C19F3" w:rsidRDefault="001C19F3" w:rsidP="00521305">
            <w:pPr>
              <w:spacing w:before="40" w:after="40"/>
              <w:ind w:left="100" w:right="100"/>
              <w:jc w:val="right"/>
            </w:pPr>
            <w:r>
              <w:rPr>
                <w:rFonts w:eastAsia="Century Gothic" w:cs="Century Gothic"/>
                <w:color w:val="000000"/>
                <w:sz w:val="18"/>
                <w:szCs w:val="18"/>
              </w:rPr>
              <w:t>3.3%</w:t>
            </w:r>
          </w:p>
        </w:tc>
      </w:tr>
      <w:tr w:rsidR="001C19F3" w14:paraId="22C93556"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B48D98" w14:textId="77777777" w:rsidR="001C19F3" w:rsidRDefault="001C19F3" w:rsidP="00521305">
            <w:pPr>
              <w:spacing w:before="40" w:after="40"/>
              <w:ind w:left="100" w:right="100"/>
            </w:pPr>
            <w:r>
              <w:rPr>
                <w:rFonts w:eastAsia="Century Gothic" w:cs="Century Gothic"/>
                <w:color w:val="000000"/>
                <w:sz w:val="18"/>
                <w:szCs w:val="18"/>
              </w:rPr>
              <w:t>Allied health and other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A8E41A" w14:textId="77777777" w:rsidR="001C19F3" w:rsidRDefault="001C19F3" w:rsidP="00521305">
            <w:pPr>
              <w:spacing w:before="40" w:after="40"/>
              <w:ind w:left="100" w:right="100"/>
              <w:jc w:val="right"/>
            </w:pPr>
            <w:r>
              <w:rPr>
                <w:rFonts w:eastAsia="Century Gothic" w:cs="Century Gothic"/>
                <w:color w:val="000000"/>
                <w:sz w:val="18"/>
                <w:szCs w:val="18"/>
              </w:rPr>
              <w:t>56 (47%)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4371CA" w14:textId="77777777" w:rsidR="001C19F3" w:rsidRDefault="001C19F3" w:rsidP="00521305">
            <w:pPr>
              <w:spacing w:before="40" w:after="40"/>
              <w:ind w:left="100" w:right="100"/>
              <w:jc w:val="right"/>
            </w:pPr>
            <w:r>
              <w:rPr>
                <w:rFonts w:eastAsia="Century Gothic" w:cs="Century Gothic"/>
                <w:color w:val="000000"/>
                <w:sz w:val="18"/>
                <w:szCs w:val="18"/>
              </w:rPr>
              <w:t xml:space="preserve"> 2.3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14300" w14:textId="77777777" w:rsidR="001C19F3" w:rsidRDefault="001C19F3" w:rsidP="00521305">
            <w:pPr>
              <w:spacing w:before="40" w:after="40"/>
              <w:ind w:left="100" w:right="100"/>
              <w:jc w:val="right"/>
            </w:pPr>
            <w:r>
              <w:rPr>
                <w:rFonts w:eastAsia="Century Gothic" w:cs="Century Gothic"/>
                <w:color w:val="000000"/>
                <w:sz w:val="18"/>
                <w:szCs w:val="18"/>
              </w:rPr>
              <w:t xml:space="preserve">  275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243111" w14:textId="77777777" w:rsidR="001C19F3" w:rsidRDefault="001C19F3" w:rsidP="00521305">
            <w:pPr>
              <w:spacing w:before="40" w:after="40"/>
              <w:ind w:left="100" w:right="100"/>
              <w:jc w:val="right"/>
            </w:pPr>
            <w:r>
              <w:rPr>
                <w:rFonts w:eastAsia="Century Gothic" w:cs="Century Gothic"/>
                <w:color w:val="000000"/>
                <w:sz w:val="18"/>
                <w:szCs w:val="18"/>
              </w:rPr>
              <w:t xml:space="preserve"> 2.3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7B1964" w14:textId="77777777" w:rsidR="001C19F3" w:rsidRDefault="001C19F3" w:rsidP="00521305">
            <w:pPr>
              <w:spacing w:before="40" w:after="40"/>
              <w:ind w:left="100" w:right="100"/>
              <w:jc w:val="right"/>
            </w:pPr>
            <w:r>
              <w:rPr>
                <w:rFonts w:eastAsia="Century Gothic" w:cs="Century Gothic"/>
                <w:color w:val="000000"/>
                <w:sz w:val="18"/>
                <w:szCs w:val="18"/>
              </w:rPr>
              <w:t xml:space="preserve">  274</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9DE5C" w14:textId="77777777" w:rsidR="001C19F3" w:rsidRDefault="001C19F3" w:rsidP="00521305">
            <w:pPr>
              <w:spacing w:before="40" w:after="40"/>
              <w:ind w:left="100" w:right="100"/>
              <w:jc w:val="right"/>
            </w:pPr>
            <w:r>
              <w:rPr>
                <w:rFonts w:eastAsia="Century Gothic" w:cs="Century Gothic"/>
                <w:color w:val="000000"/>
                <w:sz w:val="18"/>
                <w:szCs w:val="18"/>
              </w:rPr>
              <w:t>13.6%</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241869" w14:textId="77777777" w:rsidR="001C19F3" w:rsidRDefault="001C19F3" w:rsidP="00521305">
            <w:pPr>
              <w:spacing w:before="40" w:after="40"/>
              <w:ind w:left="100" w:right="100"/>
              <w:jc w:val="right"/>
            </w:pPr>
            <w:r>
              <w:rPr>
                <w:rFonts w:eastAsia="Century Gothic" w:cs="Century Gothic"/>
                <w:color w:val="000000"/>
                <w:sz w:val="18"/>
                <w:szCs w:val="18"/>
              </w:rPr>
              <w:t>4.9%</w:t>
            </w:r>
          </w:p>
        </w:tc>
      </w:tr>
      <w:tr w:rsidR="001C19F3" w14:paraId="0E114051"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0FD8C5" w14:textId="77777777" w:rsidR="001C19F3" w:rsidRDefault="001C19F3" w:rsidP="00521305">
            <w:pPr>
              <w:spacing w:before="40" w:after="40"/>
              <w:ind w:left="100" w:right="100"/>
            </w:pPr>
            <w:r>
              <w:rPr>
                <w:rFonts w:eastAsia="Century Gothic" w:cs="Century Gothic"/>
                <w:color w:val="000000"/>
                <w:sz w:val="18"/>
                <w:szCs w:val="18"/>
              </w:rPr>
              <w:t xml:space="preserve">Practice manager/ receptionist/ </w:t>
            </w:r>
            <w:r>
              <w:rPr>
                <w:rFonts w:eastAsia="Century Gothic" w:cs="Century Gothic"/>
                <w:color w:val="000000"/>
                <w:sz w:val="18"/>
                <w:szCs w:val="18"/>
              </w:rPr>
              <w:br/>
              <w:t>administrative staff/ other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BBDB5" w14:textId="77777777" w:rsidR="001C19F3" w:rsidRDefault="001C19F3" w:rsidP="00521305">
            <w:pPr>
              <w:spacing w:before="40" w:after="40"/>
              <w:ind w:left="100" w:right="100"/>
              <w:jc w:val="right"/>
            </w:pPr>
            <w:r>
              <w:rPr>
                <w:rFonts w:eastAsia="Century Gothic" w:cs="Century Gothic"/>
                <w:color w:val="000000"/>
                <w:sz w:val="18"/>
                <w:szCs w:val="18"/>
              </w:rPr>
              <w:t>119 (100%)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A98ED0" w14:textId="77777777" w:rsidR="001C19F3" w:rsidRDefault="001C19F3" w:rsidP="00521305">
            <w:pPr>
              <w:spacing w:before="40" w:after="40"/>
              <w:ind w:left="100" w:right="100"/>
              <w:jc w:val="right"/>
            </w:pPr>
            <w:r>
              <w:rPr>
                <w:rFonts w:eastAsia="Century Gothic" w:cs="Century Gothic"/>
                <w:color w:val="000000"/>
                <w:sz w:val="18"/>
                <w:szCs w:val="18"/>
              </w:rPr>
              <w:t xml:space="preserve"> 6.8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D89508" w14:textId="77777777" w:rsidR="001C19F3" w:rsidRDefault="001C19F3" w:rsidP="00521305">
            <w:pPr>
              <w:spacing w:before="40" w:after="40"/>
              <w:ind w:left="100" w:right="100"/>
              <w:jc w:val="right"/>
            </w:pPr>
            <w:r>
              <w:rPr>
                <w:rFonts w:eastAsia="Century Gothic" w:cs="Century Gothic"/>
                <w:color w:val="000000"/>
                <w:sz w:val="18"/>
                <w:szCs w:val="18"/>
              </w:rPr>
              <w:t xml:space="preserve">  812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A3B15" w14:textId="77777777" w:rsidR="001C19F3" w:rsidRDefault="001C19F3" w:rsidP="00521305">
            <w:pPr>
              <w:spacing w:before="40" w:after="40"/>
              <w:ind w:left="100" w:right="100"/>
              <w:jc w:val="right"/>
            </w:pPr>
            <w:r>
              <w:rPr>
                <w:rFonts w:eastAsia="Century Gothic" w:cs="Century Gothic"/>
                <w:color w:val="000000"/>
                <w:sz w:val="18"/>
                <w:szCs w:val="18"/>
              </w:rPr>
              <w:t xml:space="preserve"> 5.7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19730A" w14:textId="77777777" w:rsidR="001C19F3" w:rsidRDefault="001C19F3" w:rsidP="00521305">
            <w:pPr>
              <w:spacing w:before="40" w:after="40"/>
              <w:ind w:left="100" w:right="100"/>
              <w:jc w:val="right"/>
            </w:pPr>
            <w:r>
              <w:rPr>
                <w:rFonts w:eastAsia="Century Gothic" w:cs="Century Gothic"/>
                <w:color w:val="000000"/>
                <w:sz w:val="18"/>
                <w:szCs w:val="18"/>
              </w:rPr>
              <w:t xml:space="preserve">  675</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5F1B61" w14:textId="77777777" w:rsidR="001C19F3" w:rsidRDefault="001C19F3" w:rsidP="00521305">
            <w:pPr>
              <w:spacing w:before="40" w:after="40"/>
              <w:ind w:left="100" w:right="100"/>
              <w:jc w:val="right"/>
            </w:pPr>
            <w:r>
              <w:rPr>
                <w:rFonts w:eastAsia="Century Gothic" w:cs="Century Gothic"/>
                <w:color w:val="000000"/>
                <w:sz w:val="18"/>
                <w:szCs w:val="18"/>
              </w:rPr>
              <w:t>33.5%</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A1C6B" w14:textId="77777777" w:rsidR="001C19F3" w:rsidRDefault="001C19F3" w:rsidP="00521305">
            <w:pPr>
              <w:spacing w:before="40" w:after="40"/>
              <w:ind w:left="100" w:right="100"/>
              <w:jc w:val="right"/>
            </w:pPr>
            <w:r>
              <w:rPr>
                <w:rFonts w:eastAsia="Century Gothic" w:cs="Century Gothic"/>
                <w:color w:val="000000"/>
                <w:sz w:val="18"/>
                <w:szCs w:val="18"/>
              </w:rPr>
              <w:t>2.1%</w:t>
            </w:r>
          </w:p>
        </w:tc>
      </w:tr>
      <w:tr w:rsidR="001C19F3" w14:paraId="30403C10"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DD1840" w14:textId="77777777" w:rsidR="001C19F3" w:rsidRPr="00811FD5" w:rsidRDefault="001C19F3" w:rsidP="00521305">
            <w:pPr>
              <w:spacing w:before="40" w:after="40"/>
              <w:ind w:left="100" w:right="100"/>
              <w:rPr>
                <w:b/>
              </w:rPr>
            </w:pPr>
            <w:r w:rsidRPr="00811FD5">
              <w:rPr>
                <w:rFonts w:eastAsia="Century Gothic" w:cs="Century Gothic"/>
                <w:b/>
                <w:color w:val="000000"/>
                <w:sz w:val="18"/>
                <w:szCs w:val="18"/>
              </w:rPr>
              <w:t>Total</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F82B43"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119 (100%)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A08548"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20.6</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25C9C3"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2,449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BA16EE"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16.9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0E812E"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2,014</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E7795"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100.0%</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BE7FF9" w14:textId="77777777" w:rsidR="001C19F3" w:rsidRPr="00811FD5" w:rsidRDefault="001C19F3" w:rsidP="00521305">
            <w:pPr>
              <w:spacing w:before="40" w:after="40"/>
              <w:ind w:left="100" w:right="100"/>
              <w:jc w:val="right"/>
              <w:rPr>
                <w:b/>
              </w:rPr>
            </w:pPr>
            <w:r w:rsidRPr="00811FD5">
              <w:rPr>
                <w:rFonts w:eastAsia="Century Gothic" w:cs="Century Gothic"/>
                <w:b/>
                <w:color w:val="000000"/>
                <w:sz w:val="18"/>
                <w:szCs w:val="18"/>
              </w:rPr>
              <w:t>4.3%</w:t>
            </w:r>
          </w:p>
        </w:tc>
      </w:tr>
    </w:tbl>
    <w:p w14:paraId="2B4D0C07" w14:textId="77777777" w:rsidR="001C19F3" w:rsidRDefault="001C19F3" w:rsidP="001C19F3">
      <w:pPr>
        <w:jc w:val="center"/>
        <w:rPr>
          <w:rFonts w:eastAsia="Century Gothic" w:cs="Century Gothic"/>
          <w:i/>
          <w:color w:val="000000"/>
          <w:sz w:val="18"/>
          <w:szCs w:val="18"/>
        </w:rPr>
      </w:pPr>
      <w:r>
        <w:rPr>
          <w:rFonts w:eastAsia="Century Gothic" w:cs="Century Gothic"/>
          <w:i/>
          <w:color w:val="000000"/>
          <w:sz w:val="18"/>
          <w:szCs w:val="18"/>
        </w:rPr>
        <w:t>Source: Practice survey R1 Part A, Mar-Jun 2018. The Table relates to active practices as at 31 August 2019.</w:t>
      </w:r>
    </w:p>
    <w:p w14:paraId="45D336B1" w14:textId="77777777" w:rsidR="001C19F3" w:rsidRDefault="001C19F3" w:rsidP="001C19F3">
      <w:r w:rsidRPr="006F338C">
        <w:t xml:space="preserve">Based on practice reports from the survey, an estimated 3. GPs per practice </w:t>
      </w:r>
      <w:r>
        <w:t>were</w:t>
      </w:r>
      <w:r w:rsidRPr="006F338C">
        <w:t xml:space="preserve"> participating in HCH (</w:t>
      </w:r>
      <w:r w:rsidRPr="006F338C">
        <w:fldChar w:fldCharType="begin"/>
      </w:r>
      <w:r w:rsidRPr="006F338C">
        <w:instrText xml:space="preserve"> REF _Ref21690585 \h </w:instrText>
      </w:r>
      <w:r>
        <w:instrText xml:space="preserve"> \* MERGEFORMAT </w:instrText>
      </w:r>
      <w:r w:rsidRPr="006F338C">
        <w:fldChar w:fldCharType="separate"/>
      </w:r>
      <w:r w:rsidRPr="00D40B1A">
        <w:t xml:space="preserve">Table </w:t>
      </w:r>
      <w:r>
        <w:rPr>
          <w:rFonts w:cs="Arial"/>
          <w:noProof/>
          <w:color w:val="000000" w:themeColor="text1"/>
        </w:rPr>
        <w:t>5</w:t>
      </w:r>
      <w:r w:rsidRPr="006F338C">
        <w:fldChar w:fldCharType="end"/>
      </w:r>
      <w:r>
        <w:t>).</w:t>
      </w:r>
      <w:r w:rsidRPr="006F338C">
        <w:t xml:space="preserve"> (The data from the Department of Human Services suggests a slightly higher average – 3.8 per practice</w:t>
      </w:r>
      <w:r>
        <w:t>.</w:t>
      </w:r>
      <w:r w:rsidRPr="006F338C">
        <w:t>)</w:t>
      </w:r>
      <w:r>
        <w:t xml:space="preserve"> </w:t>
      </w:r>
      <w:r w:rsidRPr="006F338C">
        <w:t>For the active practices this represented 64% of GPs in the practice based on the head count. The actual number of GPs participating increases by practice size, but the participation is lower in large and medium sized practices.</w:t>
      </w:r>
      <w:r>
        <w:t xml:space="preserve"> Participation</w:t>
      </w:r>
      <w:r w:rsidRPr="006F338C">
        <w:t xml:space="preserve"> is highest in AMSs (93%</w:t>
      </w:r>
      <w:r>
        <w:t>)</w:t>
      </w:r>
      <w:r w:rsidRPr="006F338C">
        <w:t xml:space="preserve">. Participation is higher in practices located in regional </w:t>
      </w:r>
      <w:r>
        <w:lastRenderedPageBreak/>
        <w:t xml:space="preserve">and </w:t>
      </w:r>
      <w:r w:rsidRPr="006F338C">
        <w:t>remote locations</w:t>
      </w:r>
      <w:r>
        <w:t xml:space="preserve"> (MMM 2/3 and 4+)</w:t>
      </w:r>
      <w:r w:rsidRPr="006F338C">
        <w:t>.</w:t>
      </w:r>
      <w:r>
        <w:t xml:space="preserve"> </w:t>
      </w:r>
      <w:r w:rsidRPr="006F338C">
        <w:fldChar w:fldCharType="begin"/>
      </w:r>
      <w:r w:rsidRPr="006F338C">
        <w:instrText xml:space="preserve"> REF _Ref21690959 \h </w:instrText>
      </w:r>
      <w:r>
        <w:instrText xml:space="preserve"> \* MERGEFORMAT </w:instrText>
      </w:r>
      <w:r w:rsidRPr="006F338C">
        <w:fldChar w:fldCharType="separate"/>
      </w:r>
      <w:r>
        <w:t xml:space="preserve">Table </w:t>
      </w:r>
      <w:r>
        <w:rPr>
          <w:noProof/>
        </w:rPr>
        <w:t>6</w:t>
      </w:r>
      <w:r w:rsidRPr="006F338C">
        <w:fldChar w:fldCharType="end"/>
      </w:r>
      <w:r w:rsidRPr="006F338C">
        <w:t xml:space="preserve"> shows the participation of GPs by their employment arrangement.</w:t>
      </w:r>
    </w:p>
    <w:p w14:paraId="52E60F73" w14:textId="77777777" w:rsidR="001C19F3" w:rsidRDefault="001C19F3" w:rsidP="001C19F3">
      <w:pPr>
        <w:pStyle w:val="Caption1"/>
        <w:spacing w:after="0"/>
      </w:pPr>
      <w:bookmarkStart w:id="127" w:name="_Ref21690585"/>
      <w:r w:rsidRPr="00D40B1A">
        <w:t xml:space="preserve">Table </w:t>
      </w:r>
      <w:r w:rsidRPr="00D40B1A">
        <w:rPr>
          <w:rFonts w:cs="Arial"/>
          <w:color w:val="000000" w:themeColor="text1"/>
        </w:rPr>
        <w:fldChar w:fldCharType="begin"/>
      </w:r>
      <w:r w:rsidRPr="00D40B1A">
        <w:rPr>
          <w:rFonts w:cs="Arial"/>
          <w:color w:val="000000" w:themeColor="text1"/>
        </w:rPr>
        <w:instrText xml:space="preserve"> SEQ Table \* ARABIC </w:instrText>
      </w:r>
      <w:r w:rsidRPr="00D40B1A">
        <w:rPr>
          <w:rFonts w:cs="Arial"/>
          <w:color w:val="000000" w:themeColor="text1"/>
        </w:rPr>
        <w:fldChar w:fldCharType="separate"/>
      </w:r>
      <w:r>
        <w:rPr>
          <w:rFonts w:cs="Arial"/>
          <w:noProof/>
          <w:color w:val="000000" w:themeColor="text1"/>
        </w:rPr>
        <w:t>5</w:t>
      </w:r>
      <w:r w:rsidRPr="00D40B1A">
        <w:rPr>
          <w:rFonts w:cs="Arial"/>
          <w:color w:val="000000" w:themeColor="text1"/>
        </w:rPr>
        <w:fldChar w:fldCharType="end"/>
      </w:r>
      <w:bookmarkEnd w:id="127"/>
      <w:r w:rsidRPr="00D40B1A">
        <w:t xml:space="preserve"> – </w:t>
      </w:r>
      <w:r>
        <w:t>GPs: Total and participating in HCH</w:t>
      </w:r>
    </w:p>
    <w:tbl>
      <w:tblPr>
        <w:tblW w:w="0" w:type="auto"/>
        <w:jc w:val="center"/>
        <w:tblLayout w:type="fixed"/>
        <w:tblLook w:val="04A0" w:firstRow="1" w:lastRow="0" w:firstColumn="1" w:lastColumn="0" w:noHBand="0" w:noVBand="1"/>
      </w:tblPr>
      <w:tblGrid>
        <w:gridCol w:w="1851"/>
        <w:gridCol w:w="1203"/>
        <w:gridCol w:w="1203"/>
        <w:gridCol w:w="1203"/>
        <w:gridCol w:w="1203"/>
        <w:gridCol w:w="1203"/>
        <w:gridCol w:w="1203"/>
      </w:tblGrid>
      <w:tr w:rsidR="001C19F3" w14:paraId="51755470" w14:textId="77777777" w:rsidTr="00521305">
        <w:trPr>
          <w:cantSplit/>
          <w:trHeight w:val="482"/>
          <w:tblHeader/>
          <w:jc w:val="center"/>
        </w:trPr>
        <w:tc>
          <w:tcPr>
            <w:tcW w:w="1851"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EB7EE0" w14:textId="77777777" w:rsidR="001C19F3" w:rsidRDefault="001C19F3" w:rsidP="00521305">
            <w:pPr>
              <w:spacing w:after="0"/>
              <w:jc w:val="center"/>
              <w:rPr>
                <w:rFonts w:eastAsiaTheme="minorHAnsi"/>
              </w:rPr>
            </w:pPr>
            <w:r>
              <w:rPr>
                <w:rFonts w:eastAsia="Century Gothic" w:cs="Century Gothic"/>
                <w:b/>
                <w:color w:val="FFFFFF"/>
                <w:sz w:val="18"/>
                <w:szCs w:val="18"/>
              </w:rPr>
              <w:t>Study strata</w:t>
            </w:r>
          </w:p>
        </w:tc>
        <w:tc>
          <w:tcPr>
            <w:tcW w:w="12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6F37E3" w14:textId="77777777" w:rsidR="001C19F3" w:rsidRDefault="001C19F3" w:rsidP="00521305">
            <w:pPr>
              <w:spacing w:after="0"/>
              <w:jc w:val="center"/>
            </w:pPr>
            <w:r>
              <w:rPr>
                <w:rFonts w:eastAsia="Century Gothic" w:cs="Century Gothic"/>
                <w:b/>
                <w:color w:val="FFFFFF"/>
                <w:sz w:val="18"/>
                <w:szCs w:val="18"/>
              </w:rPr>
              <w:t>Practices</w:t>
            </w:r>
            <w:r>
              <w:rPr>
                <w:rFonts w:eastAsia="Century Gothic" w:cs="Century Gothic"/>
                <w:b/>
                <w:color w:val="FFFFFF"/>
                <w:sz w:val="18"/>
                <w:szCs w:val="18"/>
              </w:rPr>
              <w:br/>
              <w:t>reporting</w:t>
            </w:r>
            <w:r>
              <w:rPr>
                <w:rFonts w:eastAsia="Century Gothic" w:cs="Century Gothic"/>
                <w:b/>
                <w:color w:val="FFFFFF"/>
                <w:sz w:val="18"/>
                <w:szCs w:val="18"/>
              </w:rPr>
              <w:br/>
              <w:t>GP details</w:t>
            </w:r>
            <w:r w:rsidRPr="00811FD5">
              <w:rPr>
                <w:rFonts w:eastAsia="Century Gothic" w:cs="Century Gothic"/>
                <w:b/>
                <w:color w:val="FFFFFF"/>
                <w:sz w:val="18"/>
                <w:szCs w:val="18"/>
                <w:vertAlign w:val="superscript"/>
              </w:rPr>
              <w:t>1</w:t>
            </w:r>
          </w:p>
        </w:tc>
        <w:tc>
          <w:tcPr>
            <w:tcW w:w="12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BFB124" w14:textId="77777777" w:rsidR="001C19F3" w:rsidRDefault="001C19F3" w:rsidP="00521305">
            <w:pPr>
              <w:spacing w:after="0"/>
              <w:jc w:val="center"/>
            </w:pPr>
            <w:r>
              <w:rPr>
                <w:rFonts w:eastAsia="Century Gothic" w:cs="Century Gothic"/>
                <w:b/>
                <w:color w:val="FFFFFF"/>
                <w:sz w:val="18"/>
                <w:szCs w:val="18"/>
              </w:rPr>
              <w:t>Head count</w:t>
            </w:r>
            <w:r>
              <w:rPr>
                <w:rFonts w:eastAsia="Century Gothic" w:cs="Century Gothic"/>
                <w:b/>
                <w:color w:val="FFFFFF"/>
                <w:sz w:val="18"/>
                <w:szCs w:val="18"/>
              </w:rPr>
              <w:br/>
              <w:t>(mean)</w:t>
            </w:r>
            <w:r w:rsidRPr="00811FD5">
              <w:rPr>
                <w:rFonts w:eastAsia="Century Gothic" w:cs="Century Gothic"/>
                <w:b/>
                <w:color w:val="FFFFFF"/>
                <w:sz w:val="18"/>
                <w:szCs w:val="18"/>
                <w:vertAlign w:val="superscript"/>
              </w:rPr>
              <w:t>1</w:t>
            </w:r>
          </w:p>
        </w:tc>
        <w:tc>
          <w:tcPr>
            <w:tcW w:w="12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FB9C55" w14:textId="77777777" w:rsidR="001C19F3" w:rsidRDefault="001C19F3" w:rsidP="00521305">
            <w:pPr>
              <w:spacing w:after="0"/>
              <w:jc w:val="center"/>
            </w:pPr>
            <w:r>
              <w:rPr>
                <w:rFonts w:eastAsia="Century Gothic" w:cs="Century Gothic"/>
                <w:b/>
                <w:color w:val="FFFFFF"/>
                <w:sz w:val="18"/>
                <w:szCs w:val="18"/>
              </w:rPr>
              <w:t>FTE</w:t>
            </w:r>
            <w:r>
              <w:rPr>
                <w:rFonts w:eastAsia="Century Gothic" w:cs="Century Gothic"/>
                <w:b/>
                <w:color w:val="FFFFFF"/>
                <w:sz w:val="18"/>
                <w:szCs w:val="18"/>
              </w:rPr>
              <w:br/>
              <w:t>(mean)</w:t>
            </w:r>
            <w:r w:rsidRPr="00811FD5">
              <w:rPr>
                <w:rFonts w:eastAsia="Century Gothic" w:cs="Century Gothic"/>
                <w:b/>
                <w:color w:val="FFFFFF"/>
                <w:sz w:val="18"/>
                <w:szCs w:val="18"/>
                <w:vertAlign w:val="superscript"/>
              </w:rPr>
              <w:t>1</w:t>
            </w:r>
          </w:p>
        </w:tc>
        <w:tc>
          <w:tcPr>
            <w:tcW w:w="12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7A90BB9" w14:textId="77777777" w:rsidR="001C19F3" w:rsidRDefault="001C19F3" w:rsidP="00521305">
            <w:pPr>
              <w:spacing w:after="0"/>
              <w:jc w:val="center"/>
            </w:pPr>
            <w:r>
              <w:rPr>
                <w:rFonts w:eastAsia="Century Gothic" w:cs="Century Gothic"/>
                <w:b/>
                <w:color w:val="FFFFFF"/>
                <w:sz w:val="18"/>
                <w:szCs w:val="18"/>
              </w:rPr>
              <w:t>HCH GPs (mean)</w:t>
            </w:r>
            <w:r>
              <w:rPr>
                <w:rFonts w:eastAsia="Century Gothic" w:cs="Century Gothic"/>
                <w:b/>
                <w:color w:val="FFFFFF"/>
                <w:sz w:val="18"/>
                <w:szCs w:val="18"/>
              </w:rPr>
              <w:br/>
              <w:t>reported in survey</w:t>
            </w:r>
            <w:r w:rsidRPr="00811FD5">
              <w:rPr>
                <w:rFonts w:eastAsia="Century Gothic" w:cs="Century Gothic"/>
                <w:b/>
                <w:color w:val="FFFFFF"/>
                <w:sz w:val="18"/>
                <w:szCs w:val="18"/>
                <w:vertAlign w:val="superscript"/>
              </w:rPr>
              <w:t>1</w:t>
            </w:r>
          </w:p>
        </w:tc>
        <w:tc>
          <w:tcPr>
            <w:tcW w:w="12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B337D70" w14:textId="77777777" w:rsidR="001C19F3" w:rsidRDefault="001C19F3" w:rsidP="00521305">
            <w:pPr>
              <w:spacing w:after="0"/>
              <w:jc w:val="center"/>
            </w:pPr>
            <w:r>
              <w:rPr>
                <w:rFonts w:eastAsia="Century Gothic" w:cs="Century Gothic"/>
                <w:b/>
                <w:color w:val="FFFFFF"/>
                <w:sz w:val="18"/>
                <w:szCs w:val="18"/>
              </w:rPr>
              <w:t xml:space="preserve">Per cent of </w:t>
            </w:r>
            <w:r>
              <w:rPr>
                <w:rFonts w:eastAsia="Century Gothic" w:cs="Century Gothic"/>
                <w:b/>
                <w:color w:val="FFFFFF"/>
                <w:sz w:val="18"/>
                <w:szCs w:val="18"/>
              </w:rPr>
              <w:br/>
              <w:t>head count</w:t>
            </w:r>
            <w:r w:rsidRPr="00811FD5">
              <w:rPr>
                <w:rFonts w:eastAsia="Century Gothic" w:cs="Century Gothic"/>
                <w:b/>
                <w:color w:val="FFFFFF"/>
                <w:sz w:val="18"/>
                <w:szCs w:val="18"/>
                <w:vertAlign w:val="superscript"/>
              </w:rPr>
              <w:t>1</w:t>
            </w:r>
          </w:p>
        </w:tc>
        <w:tc>
          <w:tcPr>
            <w:tcW w:w="12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602B99" w14:textId="77777777" w:rsidR="001C19F3" w:rsidRDefault="001C19F3" w:rsidP="00521305">
            <w:pPr>
              <w:spacing w:after="0"/>
              <w:jc w:val="center"/>
            </w:pPr>
            <w:r>
              <w:rPr>
                <w:rFonts w:eastAsia="Century Gothic" w:cs="Century Gothic"/>
                <w:b/>
                <w:color w:val="FFFFFF"/>
                <w:sz w:val="18"/>
                <w:szCs w:val="18"/>
              </w:rPr>
              <w:t>HCH GPs (mean)</w:t>
            </w:r>
            <w:r>
              <w:rPr>
                <w:rFonts w:eastAsia="Century Gothic" w:cs="Century Gothic"/>
                <w:b/>
                <w:color w:val="FFFFFF"/>
                <w:sz w:val="18"/>
                <w:szCs w:val="18"/>
              </w:rPr>
              <w:br/>
              <w:t xml:space="preserve"> from HPOS</w:t>
            </w:r>
            <w:r w:rsidRPr="00811FD5">
              <w:rPr>
                <w:rFonts w:eastAsia="Century Gothic" w:cs="Century Gothic"/>
                <w:b/>
                <w:color w:val="FFFFFF"/>
                <w:sz w:val="18"/>
                <w:szCs w:val="18"/>
                <w:vertAlign w:val="superscript"/>
              </w:rPr>
              <w:t>2</w:t>
            </w:r>
          </w:p>
        </w:tc>
      </w:tr>
      <w:tr w:rsidR="001C19F3" w14:paraId="0FBFDEDF" w14:textId="77777777" w:rsidTr="00521305">
        <w:trPr>
          <w:cantSplit/>
          <w:trHeight w:val="482"/>
          <w:tblHeader/>
          <w:jc w:val="center"/>
        </w:trPr>
        <w:tc>
          <w:tcPr>
            <w:tcW w:w="9069" w:type="dxa"/>
            <w:vMerge/>
            <w:tcBorders>
              <w:top w:val="single" w:sz="8" w:space="0" w:color="BFBFBF"/>
              <w:left w:val="single" w:sz="8" w:space="0" w:color="BFBFBF"/>
              <w:bottom w:val="single" w:sz="8" w:space="0" w:color="BFBFBF"/>
              <w:right w:val="single" w:sz="8" w:space="0" w:color="BFBFBF"/>
            </w:tcBorders>
            <w:vAlign w:val="center"/>
            <w:hideMark/>
          </w:tcPr>
          <w:p w14:paraId="1D352DF2" w14:textId="77777777" w:rsidR="001C19F3" w:rsidRDefault="001C19F3" w:rsidP="00521305"/>
        </w:tc>
        <w:tc>
          <w:tcPr>
            <w:tcW w:w="1203" w:type="dxa"/>
            <w:vMerge/>
            <w:tcBorders>
              <w:top w:val="single" w:sz="8" w:space="0" w:color="BFBFBF"/>
              <w:left w:val="single" w:sz="8" w:space="0" w:color="BFBFBF"/>
              <w:bottom w:val="single" w:sz="8" w:space="0" w:color="BFBFBF"/>
              <w:right w:val="single" w:sz="8" w:space="0" w:color="BFBFBF"/>
            </w:tcBorders>
            <w:vAlign w:val="center"/>
            <w:hideMark/>
          </w:tcPr>
          <w:p w14:paraId="1C306DEA" w14:textId="77777777" w:rsidR="001C19F3" w:rsidRDefault="001C19F3" w:rsidP="00521305"/>
        </w:tc>
        <w:tc>
          <w:tcPr>
            <w:tcW w:w="1203" w:type="dxa"/>
            <w:vMerge/>
            <w:tcBorders>
              <w:top w:val="single" w:sz="8" w:space="0" w:color="BFBFBF"/>
              <w:left w:val="single" w:sz="8" w:space="0" w:color="BFBFBF"/>
              <w:bottom w:val="single" w:sz="8" w:space="0" w:color="BFBFBF"/>
              <w:right w:val="single" w:sz="8" w:space="0" w:color="BFBFBF"/>
            </w:tcBorders>
            <w:vAlign w:val="center"/>
            <w:hideMark/>
          </w:tcPr>
          <w:p w14:paraId="08F56B0D" w14:textId="77777777" w:rsidR="001C19F3" w:rsidRDefault="001C19F3" w:rsidP="00521305"/>
        </w:tc>
        <w:tc>
          <w:tcPr>
            <w:tcW w:w="1203" w:type="dxa"/>
            <w:vMerge/>
            <w:tcBorders>
              <w:top w:val="single" w:sz="8" w:space="0" w:color="BFBFBF"/>
              <w:left w:val="single" w:sz="8" w:space="0" w:color="BFBFBF"/>
              <w:bottom w:val="single" w:sz="8" w:space="0" w:color="BFBFBF"/>
              <w:right w:val="single" w:sz="8" w:space="0" w:color="BFBFBF"/>
            </w:tcBorders>
            <w:vAlign w:val="center"/>
            <w:hideMark/>
          </w:tcPr>
          <w:p w14:paraId="4A18784F" w14:textId="77777777" w:rsidR="001C19F3" w:rsidRDefault="001C19F3" w:rsidP="00521305"/>
        </w:tc>
        <w:tc>
          <w:tcPr>
            <w:tcW w:w="1203" w:type="dxa"/>
            <w:vMerge/>
            <w:tcBorders>
              <w:top w:val="single" w:sz="8" w:space="0" w:color="BFBFBF"/>
              <w:left w:val="single" w:sz="8" w:space="0" w:color="BFBFBF"/>
              <w:bottom w:val="single" w:sz="8" w:space="0" w:color="BFBFBF"/>
              <w:right w:val="single" w:sz="8" w:space="0" w:color="BFBFBF"/>
            </w:tcBorders>
            <w:vAlign w:val="center"/>
            <w:hideMark/>
          </w:tcPr>
          <w:p w14:paraId="27CC5D72" w14:textId="77777777" w:rsidR="001C19F3" w:rsidRDefault="001C19F3" w:rsidP="00521305"/>
        </w:tc>
        <w:tc>
          <w:tcPr>
            <w:tcW w:w="1203" w:type="dxa"/>
            <w:vMerge/>
            <w:tcBorders>
              <w:top w:val="single" w:sz="8" w:space="0" w:color="BFBFBF"/>
              <w:left w:val="single" w:sz="8" w:space="0" w:color="BFBFBF"/>
              <w:bottom w:val="single" w:sz="8" w:space="0" w:color="BFBFBF"/>
              <w:right w:val="single" w:sz="8" w:space="0" w:color="BFBFBF"/>
            </w:tcBorders>
            <w:vAlign w:val="center"/>
            <w:hideMark/>
          </w:tcPr>
          <w:p w14:paraId="6629A3B9" w14:textId="77777777" w:rsidR="001C19F3" w:rsidRDefault="001C19F3" w:rsidP="00521305"/>
        </w:tc>
        <w:tc>
          <w:tcPr>
            <w:tcW w:w="1203" w:type="dxa"/>
            <w:vMerge/>
            <w:tcBorders>
              <w:top w:val="single" w:sz="8" w:space="0" w:color="BFBFBF"/>
              <w:left w:val="single" w:sz="8" w:space="0" w:color="BFBFBF"/>
              <w:bottom w:val="single" w:sz="8" w:space="0" w:color="BFBFBF"/>
              <w:right w:val="single" w:sz="8" w:space="0" w:color="BFBFBF"/>
            </w:tcBorders>
            <w:vAlign w:val="center"/>
            <w:hideMark/>
          </w:tcPr>
          <w:p w14:paraId="667ACAB8" w14:textId="77777777" w:rsidR="001C19F3" w:rsidRDefault="001C19F3" w:rsidP="00521305"/>
        </w:tc>
      </w:tr>
      <w:tr w:rsidR="001C19F3" w14:paraId="46484CD0"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D5C550" w14:textId="77777777" w:rsidR="001C19F3" w:rsidRDefault="001C19F3" w:rsidP="00521305">
            <w:pPr>
              <w:spacing w:before="40" w:after="40"/>
              <w:ind w:left="100" w:right="100"/>
            </w:pPr>
            <w:r>
              <w:rPr>
                <w:rFonts w:eastAsia="Century Gothic" w:cs="Century Gothic"/>
                <w:b/>
                <w:color w:val="000000"/>
                <w:sz w:val="18"/>
                <w:szCs w:val="18"/>
              </w:rPr>
              <w:t>Total</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FF5FA8" w14:textId="77777777" w:rsidR="001C19F3" w:rsidRDefault="001C19F3" w:rsidP="00521305">
            <w:pPr>
              <w:spacing w:before="40" w:after="40"/>
              <w:ind w:left="100" w:right="100"/>
              <w:jc w:val="right"/>
            </w:pPr>
            <w:r>
              <w:rPr>
                <w:rFonts w:eastAsia="Century Gothic" w:cs="Century Gothic"/>
                <w:b/>
                <w:color w:val="000000"/>
                <w:sz w:val="18"/>
                <w:szCs w:val="18"/>
              </w:rPr>
              <w:t>115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05A8D1" w14:textId="77777777" w:rsidR="001C19F3" w:rsidRDefault="001C19F3" w:rsidP="00521305">
            <w:pPr>
              <w:spacing w:before="40" w:after="40"/>
              <w:ind w:left="100" w:right="100"/>
              <w:jc w:val="right"/>
            </w:pPr>
            <w:r>
              <w:rPr>
                <w:rFonts w:eastAsia="Century Gothic" w:cs="Century Gothic"/>
                <w:b/>
                <w:color w:val="000000"/>
                <w:sz w:val="18"/>
                <w:szCs w:val="18"/>
              </w:rPr>
              <w:t xml:space="preserve"> 7.1</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2A2C45" w14:textId="77777777" w:rsidR="001C19F3" w:rsidRDefault="001C19F3" w:rsidP="00521305">
            <w:pPr>
              <w:spacing w:before="40" w:after="40"/>
              <w:ind w:left="100" w:right="100"/>
              <w:jc w:val="right"/>
            </w:pPr>
            <w:r>
              <w:rPr>
                <w:rFonts w:eastAsia="Century Gothic" w:cs="Century Gothic"/>
                <w:b/>
                <w:color w:val="000000"/>
                <w:sz w:val="18"/>
                <w:szCs w:val="18"/>
              </w:rPr>
              <w:t xml:space="preserve"> 5.1</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144CF" w14:textId="77777777" w:rsidR="001C19F3" w:rsidRDefault="001C19F3" w:rsidP="00521305">
            <w:pPr>
              <w:spacing w:before="40" w:after="40"/>
              <w:ind w:left="100" w:right="100"/>
              <w:jc w:val="right"/>
            </w:pPr>
            <w:r>
              <w:rPr>
                <w:rFonts w:eastAsia="Century Gothic" w:cs="Century Gothic"/>
                <w:b/>
                <w:color w:val="000000"/>
                <w:sz w:val="18"/>
                <w:szCs w:val="18"/>
              </w:rPr>
              <w:t>3.6</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E988B3" w14:textId="77777777" w:rsidR="001C19F3" w:rsidRDefault="001C19F3" w:rsidP="00521305">
            <w:pPr>
              <w:spacing w:before="40" w:after="40"/>
              <w:ind w:left="100" w:right="100"/>
              <w:jc w:val="right"/>
            </w:pPr>
            <w:r>
              <w:rPr>
                <w:rFonts w:eastAsia="Century Gothic" w:cs="Century Gothic"/>
                <w:b/>
                <w:color w:val="000000"/>
                <w:sz w:val="18"/>
                <w:szCs w:val="18"/>
              </w:rPr>
              <w:t>64%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2E0A28" w14:textId="77777777" w:rsidR="001C19F3" w:rsidRDefault="001C19F3" w:rsidP="00521305">
            <w:pPr>
              <w:spacing w:before="40" w:after="40"/>
              <w:ind w:left="100" w:right="100"/>
              <w:jc w:val="right"/>
            </w:pPr>
            <w:r>
              <w:rPr>
                <w:rFonts w:eastAsia="Century Gothic" w:cs="Century Gothic"/>
                <w:b/>
                <w:color w:val="000000"/>
                <w:sz w:val="18"/>
                <w:szCs w:val="18"/>
              </w:rPr>
              <w:t>3.8</w:t>
            </w:r>
          </w:p>
        </w:tc>
      </w:tr>
      <w:tr w:rsidR="001C19F3" w14:paraId="47BA46F1" w14:textId="77777777" w:rsidTr="00521305">
        <w:trPr>
          <w:cantSplit/>
          <w:jc w:val="center"/>
        </w:trPr>
        <w:tc>
          <w:tcPr>
            <w:tcW w:w="9069" w:type="dxa"/>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B7AED0" w14:textId="77777777" w:rsidR="001C19F3" w:rsidRDefault="001C19F3" w:rsidP="00521305">
            <w:pPr>
              <w:spacing w:before="40" w:after="40"/>
              <w:ind w:left="100" w:right="100"/>
            </w:pPr>
            <w:r>
              <w:rPr>
                <w:rFonts w:eastAsia="Century Gothic" w:cs="Century Gothic"/>
                <w:b/>
                <w:color w:val="000000"/>
                <w:sz w:val="18"/>
                <w:szCs w:val="18"/>
              </w:rPr>
              <w:t>Size</w:t>
            </w:r>
          </w:p>
        </w:tc>
      </w:tr>
      <w:tr w:rsidR="001C19F3" w14:paraId="5C0F8E6A"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405C2C" w14:textId="77777777" w:rsidR="001C19F3" w:rsidRDefault="001C19F3" w:rsidP="00521305">
            <w:pPr>
              <w:spacing w:before="40" w:after="40"/>
              <w:ind w:left="160" w:right="100"/>
            </w:pPr>
            <w:r>
              <w:rPr>
                <w:rFonts w:eastAsia="Century Gothic" w:cs="Century Gothic"/>
                <w:color w:val="000000"/>
                <w:sz w:val="18"/>
                <w:szCs w:val="18"/>
              </w:rPr>
              <w:t>Large</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1CEEE8" w14:textId="77777777" w:rsidR="001C19F3" w:rsidRDefault="001C19F3" w:rsidP="00521305">
            <w:pPr>
              <w:spacing w:before="40" w:after="40"/>
              <w:ind w:left="160" w:right="100"/>
              <w:jc w:val="right"/>
            </w:pPr>
            <w:r>
              <w:rPr>
                <w:rFonts w:eastAsia="Century Gothic" w:cs="Century Gothic"/>
                <w:color w:val="000000"/>
                <w:sz w:val="18"/>
                <w:szCs w:val="18"/>
              </w:rPr>
              <w:t>21</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061BD8" w14:textId="77777777" w:rsidR="001C19F3" w:rsidRDefault="001C19F3" w:rsidP="00521305">
            <w:pPr>
              <w:spacing w:before="40" w:after="40"/>
              <w:ind w:left="160" w:right="100"/>
              <w:jc w:val="right"/>
            </w:pPr>
            <w:r>
              <w:rPr>
                <w:rFonts w:eastAsia="Century Gothic" w:cs="Century Gothic"/>
                <w:color w:val="000000"/>
                <w:sz w:val="18"/>
                <w:szCs w:val="18"/>
              </w:rPr>
              <w:t>15.8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66CD9C" w14:textId="77777777" w:rsidR="001C19F3" w:rsidRDefault="001C19F3" w:rsidP="00521305">
            <w:pPr>
              <w:spacing w:before="40" w:after="40"/>
              <w:ind w:left="160" w:right="100"/>
              <w:jc w:val="right"/>
            </w:pPr>
            <w:r>
              <w:rPr>
                <w:rFonts w:eastAsia="Century Gothic" w:cs="Century Gothic"/>
                <w:color w:val="000000"/>
                <w:sz w:val="18"/>
                <w:szCs w:val="18"/>
              </w:rPr>
              <w:t>11.9</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EAD6F5" w14:textId="77777777" w:rsidR="001C19F3" w:rsidRDefault="001C19F3" w:rsidP="00521305">
            <w:pPr>
              <w:spacing w:before="40" w:after="40"/>
              <w:ind w:left="160" w:right="100"/>
              <w:jc w:val="right"/>
            </w:pPr>
            <w:r>
              <w:rPr>
                <w:rFonts w:eastAsia="Century Gothic" w:cs="Century Gothic"/>
                <w:color w:val="000000"/>
                <w:sz w:val="18"/>
                <w:szCs w:val="18"/>
              </w:rPr>
              <w:t>6.9</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45288D" w14:textId="77777777" w:rsidR="001C19F3" w:rsidRDefault="001C19F3" w:rsidP="00521305">
            <w:pPr>
              <w:spacing w:before="40" w:after="40"/>
              <w:ind w:left="160" w:right="100"/>
              <w:jc w:val="right"/>
            </w:pPr>
            <w:r>
              <w:rPr>
                <w:rFonts w:eastAsia="Century Gothic" w:cs="Century Gothic"/>
                <w:color w:val="000000"/>
                <w:sz w:val="18"/>
                <w:szCs w:val="18"/>
              </w:rPr>
              <w:t>48%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31A83B" w14:textId="77777777" w:rsidR="001C19F3" w:rsidRDefault="001C19F3" w:rsidP="00521305">
            <w:pPr>
              <w:spacing w:before="40" w:after="40"/>
              <w:ind w:left="160" w:right="100"/>
              <w:jc w:val="right"/>
            </w:pPr>
            <w:r>
              <w:rPr>
                <w:rFonts w:eastAsia="Century Gothic" w:cs="Century Gothic"/>
                <w:color w:val="000000"/>
                <w:sz w:val="18"/>
                <w:szCs w:val="18"/>
              </w:rPr>
              <w:t>7.0</w:t>
            </w:r>
          </w:p>
        </w:tc>
      </w:tr>
      <w:tr w:rsidR="001C19F3" w14:paraId="0C05E518"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D74E13" w14:textId="77777777" w:rsidR="001C19F3" w:rsidRDefault="001C19F3" w:rsidP="00521305">
            <w:pPr>
              <w:spacing w:before="40" w:after="40"/>
              <w:ind w:left="160" w:right="100"/>
            </w:pPr>
            <w:r>
              <w:rPr>
                <w:rFonts w:eastAsia="Century Gothic" w:cs="Century Gothic"/>
                <w:color w:val="000000"/>
                <w:sz w:val="18"/>
                <w:szCs w:val="18"/>
              </w:rPr>
              <w:t>Medium</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DB195F" w14:textId="77777777" w:rsidR="001C19F3" w:rsidRDefault="001C19F3" w:rsidP="00521305">
            <w:pPr>
              <w:spacing w:before="40" w:after="40"/>
              <w:ind w:left="160" w:right="100"/>
              <w:jc w:val="right"/>
            </w:pPr>
            <w:r>
              <w:rPr>
                <w:rFonts w:eastAsia="Century Gothic" w:cs="Century Gothic"/>
                <w:color w:val="000000"/>
                <w:sz w:val="18"/>
                <w:szCs w:val="18"/>
              </w:rPr>
              <w:t>24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6955FD" w14:textId="77777777" w:rsidR="001C19F3" w:rsidRDefault="001C19F3" w:rsidP="00521305">
            <w:pPr>
              <w:spacing w:before="40" w:after="40"/>
              <w:ind w:left="160" w:right="100"/>
              <w:jc w:val="right"/>
            </w:pPr>
            <w:r>
              <w:rPr>
                <w:rFonts w:eastAsia="Century Gothic" w:cs="Century Gothic"/>
                <w:color w:val="000000"/>
                <w:sz w:val="18"/>
                <w:szCs w:val="18"/>
              </w:rPr>
              <w:t xml:space="preserve"> 9.8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1483C8" w14:textId="77777777" w:rsidR="001C19F3" w:rsidRDefault="001C19F3" w:rsidP="00521305">
            <w:pPr>
              <w:spacing w:before="40" w:after="40"/>
              <w:ind w:left="160" w:right="100"/>
              <w:jc w:val="right"/>
            </w:pPr>
            <w:r>
              <w:rPr>
                <w:rFonts w:eastAsia="Century Gothic" w:cs="Century Gothic"/>
                <w:color w:val="000000"/>
                <w:sz w:val="18"/>
                <w:szCs w:val="18"/>
              </w:rPr>
              <w:t xml:space="preserve"> 6.9</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106454" w14:textId="77777777" w:rsidR="001C19F3" w:rsidRDefault="001C19F3" w:rsidP="00521305">
            <w:pPr>
              <w:spacing w:before="40" w:after="40"/>
              <w:ind w:left="160" w:right="100"/>
              <w:jc w:val="right"/>
            </w:pPr>
            <w:r>
              <w:rPr>
                <w:rFonts w:eastAsia="Century Gothic" w:cs="Century Gothic"/>
                <w:color w:val="000000"/>
                <w:sz w:val="18"/>
                <w:szCs w:val="18"/>
              </w:rPr>
              <w:t>4.2</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E5A7BB" w14:textId="77777777" w:rsidR="001C19F3" w:rsidRDefault="001C19F3" w:rsidP="00521305">
            <w:pPr>
              <w:spacing w:before="40" w:after="40"/>
              <w:ind w:left="160" w:right="100"/>
              <w:jc w:val="right"/>
            </w:pPr>
            <w:r>
              <w:rPr>
                <w:rFonts w:eastAsia="Century Gothic" w:cs="Century Gothic"/>
                <w:color w:val="000000"/>
                <w:sz w:val="18"/>
                <w:szCs w:val="18"/>
              </w:rPr>
              <w:t>46%</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609A22" w14:textId="77777777" w:rsidR="001C19F3" w:rsidRDefault="001C19F3" w:rsidP="00521305">
            <w:pPr>
              <w:spacing w:before="40" w:after="40"/>
              <w:ind w:left="160" w:right="100"/>
              <w:jc w:val="right"/>
            </w:pPr>
            <w:r>
              <w:rPr>
                <w:rFonts w:eastAsia="Century Gothic" w:cs="Century Gothic"/>
                <w:color w:val="000000"/>
                <w:sz w:val="18"/>
                <w:szCs w:val="18"/>
              </w:rPr>
              <w:t>4.7</w:t>
            </w:r>
          </w:p>
        </w:tc>
      </w:tr>
      <w:tr w:rsidR="001C19F3" w14:paraId="61CB46FF"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327BEB" w14:textId="77777777" w:rsidR="001C19F3" w:rsidRDefault="001C19F3" w:rsidP="00521305">
            <w:pPr>
              <w:spacing w:before="40" w:after="40"/>
              <w:ind w:left="160" w:right="100"/>
            </w:pPr>
            <w:r>
              <w:rPr>
                <w:rFonts w:eastAsia="Century Gothic" w:cs="Century Gothic"/>
                <w:color w:val="000000"/>
                <w:sz w:val="18"/>
                <w:szCs w:val="18"/>
              </w:rPr>
              <w:t>Small</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C8DB0A" w14:textId="77777777" w:rsidR="001C19F3" w:rsidRDefault="001C19F3" w:rsidP="00521305">
            <w:pPr>
              <w:spacing w:before="40" w:after="40"/>
              <w:ind w:left="160" w:right="100"/>
              <w:jc w:val="right"/>
            </w:pPr>
            <w:r>
              <w:rPr>
                <w:rFonts w:eastAsia="Century Gothic" w:cs="Century Gothic"/>
                <w:color w:val="000000"/>
                <w:sz w:val="18"/>
                <w:szCs w:val="18"/>
              </w:rPr>
              <w:t>55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87BAFE" w14:textId="77777777" w:rsidR="001C19F3" w:rsidRDefault="001C19F3" w:rsidP="00521305">
            <w:pPr>
              <w:spacing w:before="40" w:after="40"/>
              <w:ind w:left="160" w:right="100"/>
              <w:jc w:val="right"/>
            </w:pPr>
            <w:r>
              <w:rPr>
                <w:rFonts w:eastAsia="Century Gothic" w:cs="Century Gothic"/>
                <w:color w:val="000000"/>
                <w:sz w:val="18"/>
                <w:szCs w:val="18"/>
              </w:rPr>
              <w:t xml:space="preserve"> 4.0</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1D6A21" w14:textId="77777777" w:rsidR="001C19F3" w:rsidRDefault="001C19F3" w:rsidP="00521305">
            <w:pPr>
              <w:spacing w:before="40" w:after="40"/>
              <w:ind w:left="160" w:right="100"/>
              <w:jc w:val="right"/>
            </w:pPr>
            <w:r>
              <w:rPr>
                <w:rFonts w:eastAsia="Century Gothic" w:cs="Century Gothic"/>
                <w:color w:val="000000"/>
                <w:sz w:val="18"/>
                <w:szCs w:val="18"/>
              </w:rPr>
              <w:t xml:space="preserve"> 2.8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7D60BF" w14:textId="77777777" w:rsidR="001C19F3" w:rsidRDefault="001C19F3" w:rsidP="00521305">
            <w:pPr>
              <w:spacing w:before="40" w:after="40"/>
              <w:ind w:left="160" w:right="100"/>
              <w:jc w:val="right"/>
            </w:pPr>
            <w:r>
              <w:rPr>
                <w:rFonts w:eastAsia="Century Gothic" w:cs="Century Gothic"/>
                <w:color w:val="000000"/>
                <w:sz w:val="18"/>
                <w:szCs w:val="18"/>
              </w:rPr>
              <w:t>2.6</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F55F00" w14:textId="77777777" w:rsidR="001C19F3" w:rsidRDefault="001C19F3" w:rsidP="00521305">
            <w:pPr>
              <w:spacing w:before="40" w:after="40"/>
              <w:ind w:left="160" w:right="100"/>
              <w:jc w:val="right"/>
            </w:pPr>
            <w:r>
              <w:rPr>
                <w:rFonts w:eastAsia="Century Gothic" w:cs="Century Gothic"/>
                <w:color w:val="000000"/>
                <w:sz w:val="18"/>
                <w:szCs w:val="18"/>
              </w:rPr>
              <w:t>75%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4A2DC9" w14:textId="77777777" w:rsidR="001C19F3" w:rsidRDefault="001C19F3" w:rsidP="00521305">
            <w:pPr>
              <w:spacing w:before="40" w:after="40"/>
              <w:ind w:left="160" w:right="100"/>
              <w:jc w:val="right"/>
            </w:pPr>
            <w:r>
              <w:rPr>
                <w:rFonts w:eastAsia="Century Gothic" w:cs="Century Gothic"/>
                <w:color w:val="000000"/>
                <w:sz w:val="18"/>
                <w:szCs w:val="18"/>
              </w:rPr>
              <w:t>2.7</w:t>
            </w:r>
          </w:p>
        </w:tc>
      </w:tr>
      <w:tr w:rsidR="001C19F3" w14:paraId="4CA5167E"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F8059" w14:textId="77777777" w:rsidR="001C19F3" w:rsidRDefault="001C19F3" w:rsidP="00521305">
            <w:pPr>
              <w:spacing w:before="40" w:after="40"/>
              <w:ind w:left="160" w:right="100"/>
            </w:pPr>
            <w:r>
              <w:rPr>
                <w:rFonts w:eastAsia="Century Gothic" w:cs="Century Gothic"/>
                <w:color w:val="000000"/>
                <w:sz w:val="18"/>
                <w:szCs w:val="18"/>
              </w:rPr>
              <w:t>Sole</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9BBCC3" w14:textId="77777777" w:rsidR="001C19F3" w:rsidRDefault="001C19F3" w:rsidP="00521305">
            <w:pPr>
              <w:spacing w:before="40" w:after="40"/>
              <w:ind w:left="160" w:right="100"/>
              <w:jc w:val="right"/>
            </w:pPr>
            <w:r>
              <w:rPr>
                <w:rFonts w:eastAsia="Century Gothic" w:cs="Century Gothic"/>
                <w:color w:val="000000"/>
                <w:sz w:val="18"/>
                <w:szCs w:val="18"/>
              </w:rPr>
              <w:t>15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A543EE" w14:textId="77777777" w:rsidR="001C19F3" w:rsidRDefault="001C19F3" w:rsidP="00521305">
            <w:pPr>
              <w:spacing w:before="40" w:after="40"/>
              <w:ind w:left="160" w:right="100"/>
              <w:jc w:val="right"/>
            </w:pPr>
            <w:r>
              <w:rPr>
                <w:rFonts w:eastAsia="Century Gothic" w:cs="Century Gothic"/>
                <w:color w:val="000000"/>
                <w:sz w:val="18"/>
                <w:szCs w:val="18"/>
              </w:rPr>
              <w:t xml:space="preserve"> 2.3</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2BD90D" w14:textId="77777777" w:rsidR="001C19F3" w:rsidRDefault="001C19F3" w:rsidP="00521305">
            <w:pPr>
              <w:spacing w:before="40" w:after="40"/>
              <w:ind w:left="160" w:right="100"/>
              <w:jc w:val="right"/>
            </w:pPr>
            <w:r>
              <w:rPr>
                <w:rFonts w:eastAsia="Century Gothic" w:cs="Century Gothic"/>
                <w:color w:val="000000"/>
                <w:sz w:val="18"/>
                <w:szCs w:val="18"/>
              </w:rPr>
              <w:t xml:space="preserve"> 1.5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32AE87" w14:textId="77777777" w:rsidR="001C19F3" w:rsidRDefault="001C19F3" w:rsidP="00521305">
            <w:pPr>
              <w:spacing w:before="40" w:after="40"/>
              <w:ind w:left="160" w:right="100"/>
              <w:jc w:val="right"/>
            </w:pPr>
            <w:r>
              <w:rPr>
                <w:rFonts w:eastAsia="Century Gothic" w:cs="Century Gothic"/>
                <w:color w:val="000000"/>
                <w:sz w:val="18"/>
                <w:szCs w:val="18"/>
              </w:rPr>
              <w:t>1.5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5E2C9C" w14:textId="77777777" w:rsidR="001C19F3" w:rsidRDefault="001C19F3" w:rsidP="00521305">
            <w:pPr>
              <w:spacing w:before="40" w:after="40"/>
              <w:ind w:left="160" w:right="100"/>
              <w:jc w:val="right"/>
            </w:pPr>
            <w:r>
              <w:rPr>
                <w:rFonts w:eastAsia="Century Gothic" w:cs="Century Gothic"/>
                <w:color w:val="000000"/>
                <w:sz w:val="18"/>
                <w:szCs w:val="18"/>
              </w:rPr>
              <w:t>77%</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24605" w14:textId="77777777" w:rsidR="001C19F3" w:rsidRDefault="001C19F3" w:rsidP="00521305">
            <w:pPr>
              <w:spacing w:before="40" w:after="40"/>
              <w:ind w:left="160" w:right="100"/>
              <w:jc w:val="right"/>
            </w:pPr>
            <w:r>
              <w:rPr>
                <w:rFonts w:eastAsia="Century Gothic" w:cs="Century Gothic"/>
                <w:color w:val="000000"/>
                <w:sz w:val="18"/>
                <w:szCs w:val="18"/>
              </w:rPr>
              <w:t>1.7</w:t>
            </w:r>
          </w:p>
        </w:tc>
      </w:tr>
      <w:tr w:rsidR="001C19F3" w14:paraId="22DC7E22" w14:textId="77777777" w:rsidTr="00521305">
        <w:trPr>
          <w:cantSplit/>
          <w:jc w:val="center"/>
        </w:trPr>
        <w:tc>
          <w:tcPr>
            <w:tcW w:w="9069" w:type="dxa"/>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5CB018" w14:textId="77777777" w:rsidR="001C19F3" w:rsidRDefault="001C19F3" w:rsidP="00521305">
            <w:pPr>
              <w:spacing w:before="40" w:after="40"/>
              <w:ind w:left="100" w:right="100"/>
            </w:pPr>
            <w:r>
              <w:rPr>
                <w:rFonts w:eastAsia="Century Gothic" w:cs="Century Gothic"/>
                <w:b/>
                <w:color w:val="000000"/>
                <w:sz w:val="18"/>
                <w:szCs w:val="18"/>
              </w:rPr>
              <w:t>Ownership</w:t>
            </w:r>
          </w:p>
        </w:tc>
      </w:tr>
      <w:tr w:rsidR="001C19F3" w14:paraId="43EAF0B2"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DFAA1A" w14:textId="77777777" w:rsidR="001C19F3" w:rsidRDefault="001C19F3" w:rsidP="00521305">
            <w:pPr>
              <w:spacing w:before="40" w:after="40"/>
              <w:ind w:left="160" w:right="100"/>
            </w:pPr>
            <w:r>
              <w:rPr>
                <w:rFonts w:eastAsia="Century Gothic" w:cs="Century Gothic"/>
                <w:color w:val="000000"/>
                <w:sz w:val="18"/>
                <w:szCs w:val="18"/>
              </w:rPr>
              <w:t>AMS</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8D99C9" w14:textId="77777777" w:rsidR="001C19F3" w:rsidRDefault="001C19F3" w:rsidP="00521305">
            <w:pPr>
              <w:spacing w:before="40" w:after="40"/>
              <w:ind w:left="160" w:right="100"/>
              <w:jc w:val="right"/>
            </w:pPr>
            <w:r>
              <w:rPr>
                <w:rFonts w:eastAsia="Century Gothic" w:cs="Century Gothic"/>
                <w:color w:val="000000"/>
                <w:sz w:val="18"/>
                <w:szCs w:val="18"/>
              </w:rPr>
              <w:t>14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51950D" w14:textId="77777777" w:rsidR="001C19F3" w:rsidRDefault="001C19F3" w:rsidP="00521305">
            <w:pPr>
              <w:spacing w:before="40" w:after="40"/>
              <w:ind w:left="160" w:right="100"/>
              <w:jc w:val="right"/>
            </w:pPr>
            <w:r>
              <w:rPr>
                <w:rFonts w:eastAsia="Century Gothic" w:cs="Century Gothic"/>
                <w:color w:val="000000"/>
                <w:sz w:val="18"/>
                <w:szCs w:val="18"/>
              </w:rPr>
              <w:t xml:space="preserve"> 2.4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CFF62E" w14:textId="77777777" w:rsidR="001C19F3" w:rsidRDefault="001C19F3" w:rsidP="00521305">
            <w:pPr>
              <w:spacing w:before="40" w:after="40"/>
              <w:ind w:left="160" w:right="100"/>
              <w:jc w:val="right"/>
            </w:pPr>
            <w:r>
              <w:rPr>
                <w:rFonts w:eastAsia="Century Gothic" w:cs="Century Gothic"/>
                <w:color w:val="000000"/>
                <w:sz w:val="18"/>
                <w:szCs w:val="18"/>
              </w:rPr>
              <w:t xml:space="preserve"> 1.9</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4101D" w14:textId="77777777" w:rsidR="001C19F3" w:rsidRDefault="001C19F3" w:rsidP="00521305">
            <w:pPr>
              <w:spacing w:before="40" w:after="40"/>
              <w:ind w:left="160" w:right="100"/>
              <w:jc w:val="right"/>
            </w:pPr>
            <w:r>
              <w:rPr>
                <w:rFonts w:eastAsia="Century Gothic" w:cs="Century Gothic"/>
                <w:color w:val="000000"/>
                <w:sz w:val="18"/>
                <w:szCs w:val="18"/>
              </w:rPr>
              <w:t>2.0</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AF45E" w14:textId="77777777" w:rsidR="001C19F3" w:rsidRDefault="001C19F3" w:rsidP="00521305">
            <w:pPr>
              <w:spacing w:before="40" w:after="40"/>
              <w:ind w:left="160" w:right="100"/>
              <w:jc w:val="right"/>
            </w:pPr>
            <w:r>
              <w:rPr>
                <w:rFonts w:eastAsia="Century Gothic" w:cs="Century Gothic"/>
                <w:color w:val="000000"/>
                <w:sz w:val="18"/>
                <w:szCs w:val="18"/>
              </w:rPr>
              <w:t>93%</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D66BB" w14:textId="77777777" w:rsidR="001C19F3" w:rsidRDefault="001C19F3" w:rsidP="00521305">
            <w:pPr>
              <w:spacing w:before="40" w:after="40"/>
              <w:ind w:left="160" w:right="100"/>
              <w:jc w:val="right"/>
            </w:pPr>
            <w:r>
              <w:rPr>
                <w:rFonts w:eastAsia="Century Gothic" w:cs="Century Gothic"/>
                <w:color w:val="000000"/>
                <w:sz w:val="18"/>
                <w:szCs w:val="18"/>
              </w:rPr>
              <w:t>2.4</w:t>
            </w:r>
          </w:p>
        </w:tc>
      </w:tr>
      <w:tr w:rsidR="001C19F3" w14:paraId="3DFF0078"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20B18F" w14:textId="77777777" w:rsidR="001C19F3" w:rsidRDefault="001C19F3" w:rsidP="00521305">
            <w:pPr>
              <w:spacing w:before="40" w:after="40"/>
              <w:ind w:left="160" w:right="100"/>
            </w:pPr>
            <w:r>
              <w:rPr>
                <w:rFonts w:eastAsia="Century Gothic" w:cs="Century Gothic"/>
                <w:color w:val="000000"/>
                <w:sz w:val="18"/>
                <w:szCs w:val="18"/>
              </w:rPr>
              <w:t>Corporate</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88D12" w14:textId="77777777" w:rsidR="001C19F3" w:rsidRDefault="001C19F3" w:rsidP="00521305">
            <w:pPr>
              <w:spacing w:before="40" w:after="40"/>
              <w:ind w:left="160" w:right="100"/>
              <w:jc w:val="right"/>
            </w:pPr>
            <w:r>
              <w:rPr>
                <w:rFonts w:eastAsia="Century Gothic" w:cs="Century Gothic"/>
                <w:color w:val="000000"/>
                <w:sz w:val="18"/>
                <w:szCs w:val="18"/>
              </w:rPr>
              <w:t>17</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58C85F" w14:textId="77777777" w:rsidR="001C19F3" w:rsidRDefault="001C19F3" w:rsidP="00521305">
            <w:pPr>
              <w:spacing w:before="40" w:after="40"/>
              <w:ind w:left="160" w:right="100"/>
              <w:jc w:val="right"/>
            </w:pPr>
            <w:r>
              <w:rPr>
                <w:rFonts w:eastAsia="Century Gothic" w:cs="Century Gothic"/>
                <w:color w:val="000000"/>
                <w:sz w:val="18"/>
                <w:szCs w:val="18"/>
              </w:rPr>
              <w:t>10.8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0BE6BD" w14:textId="77777777" w:rsidR="001C19F3" w:rsidRDefault="001C19F3" w:rsidP="00521305">
            <w:pPr>
              <w:spacing w:before="40" w:after="40"/>
              <w:ind w:left="160" w:right="100"/>
              <w:jc w:val="right"/>
            </w:pPr>
            <w:r>
              <w:rPr>
                <w:rFonts w:eastAsia="Century Gothic" w:cs="Century Gothic"/>
                <w:color w:val="000000"/>
                <w:sz w:val="18"/>
                <w:szCs w:val="18"/>
              </w:rPr>
              <w:t xml:space="preserve"> 7.4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9FAED0" w14:textId="77777777" w:rsidR="001C19F3" w:rsidRDefault="001C19F3" w:rsidP="00521305">
            <w:pPr>
              <w:spacing w:before="40" w:after="40"/>
              <w:ind w:left="160" w:right="100"/>
              <w:jc w:val="right"/>
            </w:pPr>
            <w:r>
              <w:rPr>
                <w:rFonts w:eastAsia="Century Gothic" w:cs="Century Gothic"/>
                <w:color w:val="000000"/>
                <w:sz w:val="18"/>
                <w:szCs w:val="18"/>
              </w:rPr>
              <w:t>3.8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022659" w14:textId="77777777" w:rsidR="001C19F3" w:rsidRDefault="001C19F3" w:rsidP="00521305">
            <w:pPr>
              <w:spacing w:before="40" w:after="40"/>
              <w:ind w:left="160" w:right="100"/>
              <w:jc w:val="right"/>
            </w:pPr>
            <w:r>
              <w:rPr>
                <w:rFonts w:eastAsia="Century Gothic" w:cs="Century Gothic"/>
                <w:color w:val="000000"/>
                <w:sz w:val="18"/>
                <w:szCs w:val="18"/>
              </w:rPr>
              <w:t>44%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85F46E" w14:textId="77777777" w:rsidR="001C19F3" w:rsidRDefault="001C19F3" w:rsidP="00521305">
            <w:pPr>
              <w:spacing w:before="40" w:after="40"/>
              <w:ind w:left="160" w:right="100"/>
              <w:jc w:val="right"/>
            </w:pPr>
            <w:r>
              <w:rPr>
                <w:rFonts w:eastAsia="Century Gothic" w:cs="Century Gothic"/>
                <w:color w:val="000000"/>
                <w:sz w:val="18"/>
                <w:szCs w:val="18"/>
              </w:rPr>
              <w:t>4.5</w:t>
            </w:r>
          </w:p>
        </w:tc>
      </w:tr>
      <w:tr w:rsidR="001C19F3" w14:paraId="25B5EB52"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C1D3A2" w14:textId="77777777" w:rsidR="001C19F3" w:rsidRDefault="001C19F3" w:rsidP="00521305">
            <w:pPr>
              <w:spacing w:before="40" w:after="40"/>
              <w:ind w:left="160" w:right="100"/>
            </w:pPr>
            <w:r>
              <w:rPr>
                <w:rFonts w:eastAsia="Century Gothic" w:cs="Century Gothic"/>
                <w:color w:val="000000"/>
                <w:sz w:val="18"/>
                <w:szCs w:val="18"/>
              </w:rPr>
              <w:t>Independent</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E0D819" w14:textId="77777777" w:rsidR="001C19F3" w:rsidRDefault="001C19F3" w:rsidP="00521305">
            <w:pPr>
              <w:spacing w:before="40" w:after="40"/>
              <w:ind w:left="160" w:right="100"/>
              <w:jc w:val="right"/>
            </w:pPr>
            <w:r>
              <w:rPr>
                <w:rFonts w:eastAsia="Century Gothic" w:cs="Century Gothic"/>
                <w:color w:val="000000"/>
                <w:sz w:val="18"/>
                <w:szCs w:val="18"/>
              </w:rPr>
              <w:t>84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CF26CC" w14:textId="77777777" w:rsidR="001C19F3" w:rsidRDefault="001C19F3" w:rsidP="00521305">
            <w:pPr>
              <w:spacing w:before="40" w:after="40"/>
              <w:ind w:left="160" w:right="100"/>
              <w:jc w:val="right"/>
            </w:pPr>
            <w:r>
              <w:rPr>
                <w:rFonts w:eastAsia="Century Gothic" w:cs="Century Gothic"/>
                <w:color w:val="000000"/>
                <w:sz w:val="18"/>
                <w:szCs w:val="18"/>
              </w:rPr>
              <w:t xml:space="preserve"> 7.2</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1059B7" w14:textId="77777777" w:rsidR="001C19F3" w:rsidRDefault="001C19F3" w:rsidP="00521305">
            <w:pPr>
              <w:spacing w:before="40" w:after="40"/>
              <w:ind w:left="160" w:right="100"/>
              <w:jc w:val="right"/>
            </w:pPr>
            <w:r>
              <w:rPr>
                <w:rFonts w:eastAsia="Century Gothic" w:cs="Century Gothic"/>
                <w:color w:val="000000"/>
                <w:sz w:val="18"/>
                <w:szCs w:val="18"/>
              </w:rPr>
              <w:t xml:space="preserve"> 5.2</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4EBA1D" w14:textId="77777777" w:rsidR="001C19F3" w:rsidRDefault="001C19F3" w:rsidP="00521305">
            <w:pPr>
              <w:spacing w:before="40" w:after="40"/>
              <w:ind w:left="160" w:right="100"/>
              <w:jc w:val="right"/>
            </w:pPr>
            <w:r>
              <w:rPr>
                <w:rFonts w:eastAsia="Century Gothic" w:cs="Century Gothic"/>
                <w:color w:val="000000"/>
                <w:sz w:val="18"/>
                <w:szCs w:val="18"/>
              </w:rPr>
              <w:t>3.8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6D575" w14:textId="77777777" w:rsidR="001C19F3" w:rsidRDefault="001C19F3" w:rsidP="00521305">
            <w:pPr>
              <w:spacing w:before="40" w:after="40"/>
              <w:ind w:left="160" w:right="100"/>
              <w:jc w:val="right"/>
            </w:pPr>
            <w:r>
              <w:rPr>
                <w:rFonts w:eastAsia="Century Gothic" w:cs="Century Gothic"/>
                <w:color w:val="000000"/>
                <w:sz w:val="18"/>
                <w:szCs w:val="18"/>
              </w:rPr>
              <w:t>64%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77CB11" w14:textId="77777777" w:rsidR="001C19F3" w:rsidRDefault="001C19F3" w:rsidP="00521305">
            <w:pPr>
              <w:spacing w:before="40" w:after="40"/>
              <w:ind w:left="160" w:right="100"/>
              <w:jc w:val="right"/>
            </w:pPr>
            <w:r>
              <w:rPr>
                <w:rFonts w:eastAsia="Century Gothic" w:cs="Century Gothic"/>
                <w:color w:val="000000"/>
                <w:sz w:val="18"/>
                <w:szCs w:val="18"/>
              </w:rPr>
              <w:t>3.9</w:t>
            </w:r>
          </w:p>
        </w:tc>
      </w:tr>
      <w:tr w:rsidR="001C19F3" w14:paraId="6D5D1134" w14:textId="77777777" w:rsidTr="00521305">
        <w:trPr>
          <w:cantSplit/>
          <w:jc w:val="center"/>
        </w:trPr>
        <w:tc>
          <w:tcPr>
            <w:tcW w:w="9069" w:type="dxa"/>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117FB5" w14:textId="77777777" w:rsidR="001C19F3" w:rsidRDefault="001C19F3" w:rsidP="00521305">
            <w:pPr>
              <w:spacing w:before="40" w:after="40"/>
              <w:ind w:left="100" w:right="100"/>
            </w:pPr>
            <w:r>
              <w:rPr>
                <w:rFonts w:eastAsia="Century Gothic" w:cs="Century Gothic"/>
                <w:b/>
                <w:color w:val="000000"/>
                <w:sz w:val="18"/>
                <w:szCs w:val="18"/>
              </w:rPr>
              <w:t>Location - MMM</w:t>
            </w:r>
          </w:p>
        </w:tc>
      </w:tr>
      <w:tr w:rsidR="001C19F3" w14:paraId="0F25C927"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69D88D" w14:textId="77777777" w:rsidR="001C19F3" w:rsidRDefault="001C19F3" w:rsidP="00521305">
            <w:pPr>
              <w:spacing w:before="40" w:after="40"/>
              <w:ind w:left="160" w:right="100"/>
            </w:pPr>
            <w:r>
              <w:rPr>
                <w:rFonts w:eastAsia="Century Gothic" w:cs="Century Gothic"/>
                <w:color w:val="000000"/>
                <w:sz w:val="18"/>
                <w:szCs w:val="18"/>
              </w:rPr>
              <w:t>MMM 1</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A558FD" w14:textId="77777777" w:rsidR="001C19F3" w:rsidRDefault="001C19F3" w:rsidP="00521305">
            <w:pPr>
              <w:spacing w:before="40" w:after="40"/>
              <w:ind w:left="160" w:right="100"/>
              <w:jc w:val="right"/>
            </w:pPr>
            <w:r>
              <w:rPr>
                <w:rFonts w:eastAsia="Century Gothic" w:cs="Century Gothic"/>
                <w:color w:val="000000"/>
                <w:sz w:val="18"/>
                <w:szCs w:val="18"/>
              </w:rPr>
              <w:t>80</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53AB7D" w14:textId="77777777" w:rsidR="001C19F3" w:rsidRDefault="001C19F3" w:rsidP="00521305">
            <w:pPr>
              <w:spacing w:before="40" w:after="40"/>
              <w:ind w:left="160" w:right="100"/>
              <w:jc w:val="right"/>
            </w:pPr>
            <w:r>
              <w:rPr>
                <w:rFonts w:eastAsia="Century Gothic" w:cs="Century Gothic"/>
                <w:color w:val="000000"/>
                <w:sz w:val="18"/>
                <w:szCs w:val="18"/>
              </w:rPr>
              <w:t xml:space="preserve"> 8.0</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E6C27C" w14:textId="77777777" w:rsidR="001C19F3" w:rsidRDefault="001C19F3" w:rsidP="00521305">
            <w:pPr>
              <w:spacing w:before="40" w:after="40"/>
              <w:ind w:left="160" w:right="100"/>
              <w:jc w:val="right"/>
            </w:pPr>
            <w:r>
              <w:rPr>
                <w:rFonts w:eastAsia="Century Gothic" w:cs="Century Gothic"/>
                <w:color w:val="000000"/>
                <w:sz w:val="18"/>
                <w:szCs w:val="18"/>
              </w:rPr>
              <w:t xml:space="preserve"> 5.6</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BFF46E" w14:textId="77777777" w:rsidR="001C19F3" w:rsidRDefault="001C19F3" w:rsidP="00521305">
            <w:pPr>
              <w:spacing w:before="40" w:after="40"/>
              <w:ind w:left="160" w:right="100"/>
              <w:jc w:val="right"/>
            </w:pPr>
            <w:r>
              <w:rPr>
                <w:rFonts w:eastAsia="Century Gothic" w:cs="Century Gothic"/>
                <w:color w:val="000000"/>
                <w:sz w:val="18"/>
                <w:szCs w:val="18"/>
              </w:rPr>
              <w:t>3.5</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10CA4B" w14:textId="77777777" w:rsidR="001C19F3" w:rsidRDefault="001C19F3" w:rsidP="00521305">
            <w:pPr>
              <w:spacing w:before="40" w:after="40"/>
              <w:ind w:left="160" w:right="100"/>
              <w:jc w:val="right"/>
            </w:pPr>
            <w:r>
              <w:rPr>
                <w:rFonts w:eastAsia="Century Gothic" w:cs="Century Gothic"/>
                <w:color w:val="000000"/>
                <w:sz w:val="18"/>
                <w:szCs w:val="18"/>
              </w:rPr>
              <w:t>57%</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2D9124" w14:textId="77777777" w:rsidR="001C19F3" w:rsidRDefault="001C19F3" w:rsidP="00521305">
            <w:pPr>
              <w:spacing w:before="40" w:after="40"/>
              <w:ind w:left="160" w:right="100"/>
              <w:jc w:val="right"/>
            </w:pPr>
            <w:r>
              <w:rPr>
                <w:rFonts w:eastAsia="Century Gothic" w:cs="Century Gothic"/>
                <w:color w:val="000000"/>
                <w:sz w:val="18"/>
                <w:szCs w:val="18"/>
              </w:rPr>
              <w:t>3.8</w:t>
            </w:r>
          </w:p>
        </w:tc>
      </w:tr>
      <w:tr w:rsidR="001C19F3" w14:paraId="4544E906"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A2A40D" w14:textId="77777777" w:rsidR="001C19F3" w:rsidRDefault="001C19F3" w:rsidP="00521305">
            <w:pPr>
              <w:spacing w:before="40" w:after="40"/>
              <w:ind w:left="160" w:right="100"/>
            </w:pPr>
            <w:r>
              <w:rPr>
                <w:rFonts w:eastAsia="Century Gothic" w:cs="Century Gothic"/>
                <w:color w:val="000000"/>
                <w:sz w:val="18"/>
                <w:szCs w:val="18"/>
              </w:rPr>
              <w:t>MMM 2/3</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7C5A1D" w14:textId="77777777" w:rsidR="001C19F3" w:rsidRDefault="001C19F3" w:rsidP="00521305">
            <w:pPr>
              <w:spacing w:before="40" w:after="40"/>
              <w:ind w:left="160" w:right="100"/>
              <w:jc w:val="right"/>
            </w:pPr>
            <w:r>
              <w:rPr>
                <w:rFonts w:eastAsia="Century Gothic" w:cs="Century Gothic"/>
                <w:color w:val="000000"/>
                <w:sz w:val="18"/>
                <w:szCs w:val="18"/>
              </w:rPr>
              <w:t>17</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9A111B" w14:textId="77777777" w:rsidR="001C19F3" w:rsidRDefault="001C19F3" w:rsidP="00521305">
            <w:pPr>
              <w:spacing w:before="40" w:after="40"/>
              <w:ind w:left="160" w:right="100"/>
              <w:jc w:val="right"/>
            </w:pPr>
            <w:r>
              <w:rPr>
                <w:rFonts w:eastAsia="Century Gothic" w:cs="Century Gothic"/>
                <w:color w:val="000000"/>
                <w:sz w:val="18"/>
                <w:szCs w:val="18"/>
              </w:rPr>
              <w:t xml:space="preserve"> 6.3</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8F1B57" w14:textId="77777777" w:rsidR="001C19F3" w:rsidRDefault="001C19F3" w:rsidP="00521305">
            <w:pPr>
              <w:spacing w:before="40" w:after="40"/>
              <w:ind w:left="160" w:right="100"/>
              <w:jc w:val="right"/>
            </w:pPr>
            <w:r>
              <w:rPr>
                <w:rFonts w:eastAsia="Century Gothic" w:cs="Century Gothic"/>
                <w:color w:val="000000"/>
                <w:sz w:val="18"/>
                <w:szCs w:val="18"/>
              </w:rPr>
              <w:t xml:space="preserve"> 4.3</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8ACFA" w14:textId="77777777" w:rsidR="001C19F3" w:rsidRDefault="001C19F3" w:rsidP="00521305">
            <w:pPr>
              <w:spacing w:before="40" w:after="40"/>
              <w:ind w:left="160" w:right="100"/>
              <w:jc w:val="right"/>
            </w:pPr>
            <w:r>
              <w:rPr>
                <w:rFonts w:eastAsia="Century Gothic" w:cs="Century Gothic"/>
                <w:color w:val="000000"/>
                <w:sz w:val="18"/>
                <w:szCs w:val="18"/>
              </w:rPr>
              <w:t>4.2</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B0BA87" w14:textId="77777777" w:rsidR="001C19F3" w:rsidRDefault="001C19F3" w:rsidP="00521305">
            <w:pPr>
              <w:spacing w:before="40" w:after="40"/>
              <w:ind w:left="160" w:right="100"/>
              <w:jc w:val="right"/>
            </w:pPr>
            <w:r>
              <w:rPr>
                <w:rFonts w:eastAsia="Century Gothic" w:cs="Century Gothic"/>
                <w:color w:val="000000"/>
                <w:sz w:val="18"/>
                <w:szCs w:val="18"/>
              </w:rPr>
              <w:t>71%</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F0A05D" w14:textId="77777777" w:rsidR="001C19F3" w:rsidRDefault="001C19F3" w:rsidP="00521305">
            <w:pPr>
              <w:spacing w:before="40" w:after="40"/>
              <w:ind w:left="160" w:right="100"/>
              <w:jc w:val="right"/>
            </w:pPr>
            <w:r>
              <w:rPr>
                <w:rFonts w:eastAsia="Century Gothic" w:cs="Century Gothic"/>
                <w:color w:val="000000"/>
                <w:sz w:val="18"/>
                <w:szCs w:val="18"/>
              </w:rPr>
              <w:t>3.7</w:t>
            </w:r>
          </w:p>
        </w:tc>
      </w:tr>
      <w:tr w:rsidR="001C19F3" w14:paraId="419FC6A6" w14:textId="77777777" w:rsidTr="00521305">
        <w:trPr>
          <w:cantSplit/>
          <w:jc w:val="center"/>
        </w:trPr>
        <w:tc>
          <w:tcPr>
            <w:tcW w:w="18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AC71D4" w14:textId="77777777" w:rsidR="001C19F3" w:rsidRDefault="001C19F3" w:rsidP="00521305">
            <w:pPr>
              <w:spacing w:before="40" w:after="40"/>
              <w:ind w:left="160" w:right="100"/>
            </w:pPr>
            <w:r>
              <w:rPr>
                <w:rFonts w:eastAsia="Century Gothic" w:cs="Century Gothic"/>
                <w:color w:val="000000"/>
                <w:sz w:val="18"/>
                <w:szCs w:val="18"/>
              </w:rPr>
              <w:t>MMM 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97CC60" w14:textId="77777777" w:rsidR="001C19F3" w:rsidRDefault="001C19F3" w:rsidP="00521305">
            <w:pPr>
              <w:spacing w:before="40" w:after="40"/>
              <w:ind w:left="160" w:right="100"/>
              <w:jc w:val="right"/>
            </w:pPr>
            <w:r>
              <w:rPr>
                <w:rFonts w:eastAsia="Century Gothic" w:cs="Century Gothic"/>
                <w:color w:val="000000"/>
                <w:sz w:val="18"/>
                <w:szCs w:val="18"/>
              </w:rPr>
              <w:t>18</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884A2D" w14:textId="77777777" w:rsidR="001C19F3" w:rsidRDefault="001C19F3" w:rsidP="00521305">
            <w:pPr>
              <w:spacing w:before="40" w:after="40"/>
              <w:ind w:left="160" w:right="100"/>
              <w:jc w:val="right"/>
            </w:pPr>
            <w:r>
              <w:rPr>
                <w:rFonts w:eastAsia="Century Gothic" w:cs="Century Gothic"/>
                <w:color w:val="000000"/>
                <w:sz w:val="18"/>
                <w:szCs w:val="18"/>
              </w:rPr>
              <w:t xml:space="preserve"> 4.3</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928F3E" w14:textId="77777777" w:rsidR="001C19F3" w:rsidRDefault="001C19F3" w:rsidP="00521305">
            <w:pPr>
              <w:spacing w:before="40" w:after="40"/>
              <w:ind w:left="160" w:right="100"/>
              <w:jc w:val="right"/>
            </w:pPr>
            <w:r>
              <w:rPr>
                <w:rFonts w:eastAsia="Century Gothic" w:cs="Century Gothic"/>
                <w:color w:val="000000"/>
                <w:sz w:val="18"/>
                <w:szCs w:val="18"/>
              </w:rPr>
              <w:t xml:space="preserve"> 3.7</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8E10C5" w14:textId="77777777" w:rsidR="001C19F3" w:rsidRDefault="001C19F3" w:rsidP="00521305">
            <w:pPr>
              <w:spacing w:before="40" w:after="40"/>
              <w:ind w:left="160" w:right="100"/>
              <w:jc w:val="right"/>
            </w:pPr>
            <w:r>
              <w:rPr>
                <w:rFonts w:eastAsia="Century Gothic" w:cs="Century Gothic"/>
                <w:color w:val="000000"/>
                <w:sz w:val="18"/>
                <w:szCs w:val="18"/>
              </w:rPr>
              <w:t>3.4</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2627D6" w14:textId="77777777" w:rsidR="001C19F3" w:rsidRDefault="001C19F3" w:rsidP="00521305">
            <w:pPr>
              <w:spacing w:before="40" w:after="40"/>
              <w:ind w:left="160" w:right="100"/>
              <w:jc w:val="right"/>
            </w:pPr>
            <w:r>
              <w:rPr>
                <w:rFonts w:eastAsia="Century Gothic" w:cs="Century Gothic"/>
                <w:color w:val="000000"/>
                <w:sz w:val="18"/>
                <w:szCs w:val="18"/>
              </w:rPr>
              <w:t>90%</w:t>
            </w:r>
          </w:p>
        </w:tc>
        <w:tc>
          <w:tcPr>
            <w:tcW w:w="12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D32783" w14:textId="77777777" w:rsidR="001C19F3" w:rsidRDefault="001C19F3" w:rsidP="00521305">
            <w:pPr>
              <w:spacing w:before="40" w:after="40"/>
              <w:ind w:left="160" w:right="100"/>
              <w:jc w:val="right"/>
            </w:pPr>
            <w:r>
              <w:rPr>
                <w:rFonts w:eastAsia="Century Gothic" w:cs="Century Gothic"/>
                <w:color w:val="000000"/>
                <w:sz w:val="18"/>
                <w:szCs w:val="18"/>
              </w:rPr>
              <w:t>3.5</w:t>
            </w:r>
          </w:p>
        </w:tc>
      </w:tr>
    </w:tbl>
    <w:p w14:paraId="2994A419" w14:textId="77777777" w:rsidR="001C19F3" w:rsidRDefault="001C19F3" w:rsidP="001C19F3">
      <w:pPr>
        <w:jc w:val="center"/>
        <w:rPr>
          <w:rFonts w:eastAsia="Century Gothic" w:cs="Century Gothic"/>
          <w:i/>
          <w:color w:val="000000"/>
          <w:sz w:val="18"/>
          <w:szCs w:val="18"/>
        </w:rPr>
      </w:pPr>
      <w:r>
        <w:rPr>
          <w:rFonts w:eastAsia="Century Gothic" w:cs="Century Gothic"/>
          <w:i/>
          <w:color w:val="000000"/>
          <w:sz w:val="18"/>
          <w:szCs w:val="18"/>
        </w:rPr>
        <w:t>Source: The Table relates to active practices as at 31 August 2019.</w:t>
      </w:r>
      <w:r w:rsidRPr="005A23D8">
        <w:rPr>
          <w:rFonts w:eastAsia="Century Gothic" w:cs="Century Gothic"/>
          <w:i/>
          <w:color w:val="000000"/>
          <w:sz w:val="18"/>
          <w:szCs w:val="18"/>
          <w:vertAlign w:val="superscript"/>
        </w:rPr>
        <w:t xml:space="preserve"> </w:t>
      </w:r>
      <w:r w:rsidRPr="00811FD5">
        <w:rPr>
          <w:rFonts w:eastAsia="Century Gothic" w:cs="Century Gothic"/>
          <w:i/>
          <w:color w:val="000000"/>
          <w:sz w:val="18"/>
          <w:szCs w:val="18"/>
          <w:vertAlign w:val="superscript"/>
        </w:rPr>
        <w:t>1</w:t>
      </w:r>
      <w:r>
        <w:rPr>
          <w:rFonts w:eastAsia="Century Gothic" w:cs="Century Gothic"/>
          <w:i/>
          <w:color w:val="000000"/>
          <w:sz w:val="18"/>
          <w:szCs w:val="18"/>
        </w:rPr>
        <w:t xml:space="preserve">Practice survey R1 Part A, Mar-Jun 2018; </w:t>
      </w:r>
      <w:r w:rsidRPr="005A23D8">
        <w:rPr>
          <w:rFonts w:eastAsia="Century Gothic" w:cs="Century Gothic"/>
          <w:i/>
          <w:color w:val="000000"/>
          <w:sz w:val="18"/>
          <w:szCs w:val="18"/>
          <w:vertAlign w:val="superscript"/>
        </w:rPr>
        <w:t>2</w:t>
      </w:r>
      <w:r>
        <w:rPr>
          <w:rFonts w:eastAsia="Century Gothic" w:cs="Century Gothic"/>
          <w:i/>
          <w:color w:val="000000"/>
          <w:sz w:val="18"/>
          <w:szCs w:val="18"/>
        </w:rPr>
        <w:t>Health Professionals Online Services (HPOS) from the Department of Human Services.</w:t>
      </w:r>
    </w:p>
    <w:p w14:paraId="46682C19" w14:textId="77777777" w:rsidR="001C19F3" w:rsidRDefault="001C19F3" w:rsidP="001C19F3">
      <w:pPr>
        <w:pStyle w:val="Caption1"/>
        <w:spacing w:after="0"/>
        <w:ind w:left="2127" w:right="2222" w:hanging="142"/>
      </w:pPr>
      <w:bookmarkStart w:id="128" w:name="_Ref21690959"/>
      <w:r>
        <w:t xml:space="preserve">Table </w:t>
      </w:r>
      <w:r>
        <w:fldChar w:fldCharType="begin"/>
      </w:r>
      <w:r>
        <w:instrText>SEQ Table \* ARABIC</w:instrText>
      </w:r>
      <w:r>
        <w:fldChar w:fldCharType="separate"/>
      </w:r>
      <w:r>
        <w:rPr>
          <w:noProof/>
        </w:rPr>
        <w:t>6</w:t>
      </w:r>
      <w:r>
        <w:fldChar w:fldCharType="end"/>
      </w:r>
      <w:bookmarkEnd w:id="128"/>
      <w:r>
        <w:t xml:space="preserve"> – GPs participating in HCH by employment arrangement</w:t>
      </w:r>
    </w:p>
    <w:tbl>
      <w:tblPr>
        <w:tblW w:w="0" w:type="auto"/>
        <w:jc w:val="center"/>
        <w:tblLayout w:type="fixed"/>
        <w:tblLook w:val="04A0" w:firstRow="1" w:lastRow="0" w:firstColumn="1" w:lastColumn="0" w:noHBand="0" w:noVBand="1"/>
      </w:tblPr>
      <w:tblGrid>
        <w:gridCol w:w="3134"/>
        <w:gridCol w:w="1646"/>
      </w:tblGrid>
      <w:tr w:rsidR="001C19F3" w14:paraId="0B8B09FC" w14:textId="77777777" w:rsidTr="00521305">
        <w:trPr>
          <w:cantSplit/>
          <w:trHeight w:val="254"/>
          <w:tblHeader/>
          <w:jc w:val="center"/>
        </w:trPr>
        <w:tc>
          <w:tcPr>
            <w:tcW w:w="3134"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5708CD5" w14:textId="77777777" w:rsidR="001C19F3" w:rsidRPr="001D43F5" w:rsidRDefault="001C19F3" w:rsidP="00521305">
            <w:pPr>
              <w:spacing w:after="0"/>
              <w:jc w:val="center"/>
              <w:rPr>
                <w:sz w:val="18"/>
                <w:szCs w:val="18"/>
              </w:rPr>
            </w:pPr>
            <w:r w:rsidRPr="001D43F5">
              <w:rPr>
                <w:rFonts w:eastAsia="Century Gothic" w:cs="Century Gothic"/>
                <w:b/>
                <w:color w:val="FFFFFF"/>
                <w:sz w:val="18"/>
                <w:szCs w:val="18"/>
              </w:rPr>
              <w:t>GP employment</w:t>
            </w:r>
            <w:r w:rsidRPr="001D43F5">
              <w:rPr>
                <w:rFonts w:eastAsia="Century Gothic" w:cs="Century Gothic"/>
                <w:b/>
                <w:color w:val="FFFFFF"/>
                <w:sz w:val="18"/>
                <w:szCs w:val="18"/>
              </w:rPr>
              <w:br/>
              <w:t>arrangement</w:t>
            </w:r>
          </w:p>
        </w:tc>
        <w:tc>
          <w:tcPr>
            <w:tcW w:w="1646"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9D7815F" w14:textId="77777777" w:rsidR="001C19F3" w:rsidRPr="001D43F5" w:rsidRDefault="001C19F3" w:rsidP="00521305">
            <w:pPr>
              <w:spacing w:after="0"/>
              <w:jc w:val="center"/>
              <w:rPr>
                <w:sz w:val="18"/>
                <w:szCs w:val="18"/>
              </w:rPr>
            </w:pPr>
            <w:r w:rsidRPr="001D43F5">
              <w:rPr>
                <w:rFonts w:eastAsia="Century Gothic" w:cs="Century Gothic"/>
                <w:b/>
                <w:color w:val="FFFFFF"/>
                <w:sz w:val="18"/>
                <w:szCs w:val="18"/>
              </w:rPr>
              <w:t>HCH GPs</w:t>
            </w:r>
            <w:r w:rsidRPr="001D43F5">
              <w:rPr>
                <w:rFonts w:eastAsia="Century Gothic" w:cs="Century Gothic"/>
                <w:b/>
                <w:color w:val="FFFFFF"/>
                <w:sz w:val="18"/>
                <w:szCs w:val="18"/>
              </w:rPr>
              <w:br/>
              <w:t>n (%)</w:t>
            </w:r>
          </w:p>
        </w:tc>
      </w:tr>
      <w:tr w:rsidR="001C19F3" w14:paraId="4D36E9AB" w14:textId="77777777" w:rsidTr="00521305">
        <w:trPr>
          <w:cantSplit/>
          <w:trHeight w:val="254"/>
          <w:tblHeader/>
          <w:jc w:val="center"/>
        </w:trPr>
        <w:tc>
          <w:tcPr>
            <w:tcW w:w="3134"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00AAE4F" w14:textId="77777777" w:rsidR="001C19F3" w:rsidRPr="001D43F5" w:rsidRDefault="001C19F3" w:rsidP="00521305">
            <w:pPr>
              <w:spacing w:after="0"/>
              <w:jc w:val="center"/>
              <w:rPr>
                <w:sz w:val="18"/>
                <w:szCs w:val="18"/>
              </w:rPr>
            </w:pPr>
          </w:p>
        </w:tc>
        <w:tc>
          <w:tcPr>
            <w:tcW w:w="1646"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4CDFB84" w14:textId="77777777" w:rsidR="001C19F3" w:rsidRPr="001D43F5" w:rsidRDefault="001C19F3" w:rsidP="00521305">
            <w:pPr>
              <w:spacing w:after="0"/>
              <w:jc w:val="center"/>
              <w:rPr>
                <w:sz w:val="18"/>
                <w:szCs w:val="18"/>
              </w:rPr>
            </w:pPr>
          </w:p>
        </w:tc>
      </w:tr>
      <w:tr w:rsidR="001C19F3" w14:paraId="0DA6EAE3" w14:textId="77777777" w:rsidTr="00521305">
        <w:trPr>
          <w:cantSplit/>
          <w:jc w:val="center"/>
        </w:trPr>
        <w:tc>
          <w:tcPr>
            <w:tcW w:w="3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AF227B" w14:textId="77777777" w:rsidR="001C19F3" w:rsidRPr="001D43F5" w:rsidRDefault="001C19F3" w:rsidP="00521305">
            <w:pPr>
              <w:spacing w:before="20" w:after="20"/>
              <w:ind w:left="102" w:right="102"/>
              <w:rPr>
                <w:sz w:val="18"/>
                <w:szCs w:val="18"/>
              </w:rPr>
            </w:pPr>
            <w:r w:rsidRPr="001D43F5">
              <w:rPr>
                <w:rFonts w:eastAsia="Century Gothic" w:cs="Century Gothic"/>
                <w:color w:val="000000"/>
                <w:sz w:val="18"/>
                <w:szCs w:val="18"/>
              </w:rPr>
              <w:t>1: Owner/partner</w:t>
            </w:r>
          </w:p>
        </w:tc>
        <w:tc>
          <w:tcPr>
            <w:tcW w:w="164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CAAEF6" w14:textId="77777777" w:rsidR="001C19F3" w:rsidRPr="001D43F5" w:rsidRDefault="001C19F3" w:rsidP="00521305">
            <w:pPr>
              <w:spacing w:before="20" w:after="20"/>
              <w:ind w:left="102" w:right="102"/>
              <w:jc w:val="right"/>
              <w:rPr>
                <w:sz w:val="18"/>
                <w:szCs w:val="18"/>
              </w:rPr>
            </w:pPr>
            <w:r>
              <w:rPr>
                <w:rFonts w:eastAsia="Century Gothic" w:cs="Century Gothic"/>
                <w:color w:val="000000"/>
                <w:sz w:val="18"/>
                <w:szCs w:val="18"/>
              </w:rPr>
              <w:t>125 (29.8)</w:t>
            </w:r>
          </w:p>
        </w:tc>
      </w:tr>
      <w:tr w:rsidR="001C19F3" w14:paraId="1C328F5A" w14:textId="77777777" w:rsidTr="00521305">
        <w:trPr>
          <w:cantSplit/>
          <w:jc w:val="center"/>
        </w:trPr>
        <w:tc>
          <w:tcPr>
            <w:tcW w:w="3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8DBFEF" w14:textId="77777777" w:rsidR="001C19F3" w:rsidRPr="001D43F5" w:rsidRDefault="001C19F3" w:rsidP="00521305">
            <w:pPr>
              <w:spacing w:before="20" w:after="20"/>
              <w:ind w:left="102" w:right="102"/>
              <w:rPr>
                <w:sz w:val="18"/>
                <w:szCs w:val="18"/>
              </w:rPr>
            </w:pPr>
            <w:r w:rsidRPr="001D43F5">
              <w:rPr>
                <w:rFonts w:eastAsia="Century Gothic" w:cs="Century Gothic"/>
                <w:color w:val="000000"/>
                <w:sz w:val="18"/>
                <w:szCs w:val="18"/>
              </w:rPr>
              <w:t>2: Salaried</w:t>
            </w:r>
          </w:p>
        </w:tc>
        <w:tc>
          <w:tcPr>
            <w:tcW w:w="164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0919E0" w14:textId="77777777" w:rsidR="001C19F3" w:rsidRPr="001D43F5" w:rsidRDefault="001C19F3" w:rsidP="00521305">
            <w:pPr>
              <w:spacing w:before="20" w:after="20"/>
              <w:ind w:left="102" w:right="102"/>
              <w:jc w:val="right"/>
              <w:rPr>
                <w:sz w:val="18"/>
                <w:szCs w:val="18"/>
              </w:rPr>
            </w:pPr>
            <w:r>
              <w:rPr>
                <w:rFonts w:eastAsia="Century Gothic" w:cs="Century Gothic"/>
                <w:color w:val="000000"/>
                <w:sz w:val="18"/>
                <w:szCs w:val="18"/>
              </w:rPr>
              <w:t>52 (12.4)</w:t>
            </w:r>
          </w:p>
        </w:tc>
      </w:tr>
      <w:tr w:rsidR="001C19F3" w14:paraId="21276787" w14:textId="77777777" w:rsidTr="00521305">
        <w:trPr>
          <w:cantSplit/>
          <w:jc w:val="center"/>
        </w:trPr>
        <w:tc>
          <w:tcPr>
            <w:tcW w:w="3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B2359A" w14:textId="77777777" w:rsidR="001C19F3" w:rsidRPr="001D43F5" w:rsidRDefault="001C19F3" w:rsidP="00521305">
            <w:pPr>
              <w:spacing w:before="20" w:after="20"/>
              <w:ind w:left="102" w:right="102"/>
              <w:rPr>
                <w:sz w:val="18"/>
                <w:szCs w:val="18"/>
              </w:rPr>
            </w:pPr>
            <w:r w:rsidRPr="001D43F5">
              <w:rPr>
                <w:rFonts w:eastAsia="Century Gothic" w:cs="Century Gothic"/>
                <w:color w:val="000000"/>
                <w:sz w:val="18"/>
                <w:szCs w:val="18"/>
              </w:rPr>
              <w:t>3: Contract</w:t>
            </w:r>
          </w:p>
        </w:tc>
        <w:tc>
          <w:tcPr>
            <w:tcW w:w="164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BF40D9" w14:textId="77777777" w:rsidR="001C19F3" w:rsidRPr="001D43F5" w:rsidRDefault="001C19F3" w:rsidP="00521305">
            <w:pPr>
              <w:spacing w:before="20" w:after="20"/>
              <w:ind w:left="102" w:right="102"/>
              <w:jc w:val="right"/>
              <w:rPr>
                <w:sz w:val="18"/>
                <w:szCs w:val="18"/>
              </w:rPr>
            </w:pPr>
            <w:r>
              <w:rPr>
                <w:rFonts w:eastAsia="Century Gothic" w:cs="Century Gothic"/>
                <w:color w:val="000000"/>
                <w:sz w:val="18"/>
                <w:szCs w:val="18"/>
              </w:rPr>
              <w:t>235 (55.9)</w:t>
            </w:r>
          </w:p>
        </w:tc>
      </w:tr>
      <w:tr w:rsidR="001C19F3" w14:paraId="4FB99805" w14:textId="77777777" w:rsidTr="00521305">
        <w:trPr>
          <w:cantSplit/>
          <w:jc w:val="center"/>
        </w:trPr>
        <w:tc>
          <w:tcPr>
            <w:tcW w:w="3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BB5D57" w14:textId="77777777" w:rsidR="001C19F3" w:rsidRPr="001D43F5" w:rsidRDefault="001C19F3" w:rsidP="00521305">
            <w:pPr>
              <w:spacing w:before="20" w:after="20"/>
              <w:ind w:left="102" w:right="102"/>
              <w:rPr>
                <w:sz w:val="18"/>
                <w:szCs w:val="18"/>
              </w:rPr>
            </w:pPr>
            <w:r w:rsidRPr="001D43F5">
              <w:rPr>
                <w:rFonts w:eastAsia="Century Gothic" w:cs="Century Gothic"/>
                <w:color w:val="000000"/>
                <w:sz w:val="18"/>
                <w:szCs w:val="18"/>
              </w:rPr>
              <w:t>4: Other</w:t>
            </w:r>
          </w:p>
        </w:tc>
        <w:tc>
          <w:tcPr>
            <w:tcW w:w="164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F8C565" w14:textId="77777777" w:rsidR="001C19F3" w:rsidRPr="001D43F5" w:rsidRDefault="001C19F3" w:rsidP="00521305">
            <w:pPr>
              <w:spacing w:before="20" w:after="20"/>
              <w:ind w:left="102" w:right="102"/>
              <w:jc w:val="right"/>
              <w:rPr>
                <w:sz w:val="18"/>
                <w:szCs w:val="18"/>
              </w:rPr>
            </w:pPr>
            <w:r>
              <w:rPr>
                <w:rFonts w:eastAsia="Century Gothic" w:cs="Century Gothic"/>
                <w:color w:val="000000"/>
                <w:sz w:val="18"/>
                <w:szCs w:val="18"/>
              </w:rPr>
              <w:t>8 (1.9)</w:t>
            </w:r>
          </w:p>
        </w:tc>
      </w:tr>
    </w:tbl>
    <w:p w14:paraId="1E09D9FA" w14:textId="77777777" w:rsidR="001C19F3" w:rsidRDefault="001C19F3" w:rsidP="001C19F3">
      <w:pPr>
        <w:ind w:left="2127" w:right="2080"/>
        <w:jc w:val="center"/>
      </w:pPr>
      <w:r>
        <w:rPr>
          <w:rFonts w:eastAsia="Century Gothic" w:cs="Century Gothic"/>
          <w:i/>
          <w:color w:val="000000"/>
          <w:sz w:val="18"/>
          <w:szCs w:val="18"/>
        </w:rPr>
        <w:t>Source: Practice survey R1 Part A, Mar-Jun 2018. The Table relates to active practices as at 31 August 2019.</w:t>
      </w:r>
    </w:p>
    <w:bookmarkEnd w:id="126"/>
    <w:p w14:paraId="7AFBFD58" w14:textId="77777777" w:rsidR="001C19F3" w:rsidRDefault="001C19F3" w:rsidP="001C19F3">
      <w:r w:rsidRPr="00AD707C">
        <w:t xml:space="preserve">Further details of staffing in the practices is in shown in </w:t>
      </w:r>
      <w:r w:rsidRPr="00AD707C">
        <w:fldChar w:fldCharType="begin"/>
      </w:r>
      <w:r w:rsidRPr="00AD707C">
        <w:instrText xml:space="preserve"> REF _Ref21691080 \h  \* MERGEFORMAT </w:instrText>
      </w:r>
      <w:r w:rsidRPr="00AD707C">
        <w:fldChar w:fldCharType="separate"/>
      </w:r>
      <w:r>
        <w:t xml:space="preserve">Table </w:t>
      </w:r>
      <w:r>
        <w:rPr>
          <w:noProof/>
        </w:rPr>
        <w:t>7</w:t>
      </w:r>
      <w:r w:rsidRPr="00AD707C">
        <w:fldChar w:fldCharType="end"/>
      </w:r>
      <w:r w:rsidRPr="00AD707C">
        <w:t>. Around 50% of active practices reported employing GP registrars/advanced trainees and 8% reported employing  another (non-GP) medical practitioner. Most practices employed registered nurses</w:t>
      </w:r>
      <w:r>
        <w:t>,</w:t>
      </w:r>
      <w:r w:rsidRPr="00AD707C">
        <w:t xml:space="preserve"> most commonly as a practice nurse (78% of practices), but in some cases a nurse practitioner (13%) or remote area nurse (9%). Forty percent of practices reported employing an enrolled nurse. Only a few practices (6%) reported employing a medical practice assistant. Most practices employed a practice manager (92%) and reception or administrative staff (96%). Allied health staff were reported for 39% of practices. More detail on allied health staff are in </w:t>
      </w:r>
      <w:r w:rsidRPr="00AD707C">
        <w:fldChar w:fldCharType="begin"/>
      </w:r>
      <w:r w:rsidRPr="00AD707C">
        <w:instrText xml:space="preserve"> REF _Ref21691510 \h </w:instrText>
      </w:r>
      <w:r>
        <w:instrText xml:space="preserve"> \* MERGEFORMAT </w:instrText>
      </w:r>
      <w:r w:rsidRPr="00AD707C">
        <w:fldChar w:fldCharType="separate"/>
      </w:r>
      <w:r>
        <w:t xml:space="preserve">Table </w:t>
      </w:r>
      <w:r>
        <w:rPr>
          <w:noProof/>
        </w:rPr>
        <w:t>8</w:t>
      </w:r>
      <w:r w:rsidRPr="00AD707C">
        <w:fldChar w:fldCharType="end"/>
      </w:r>
      <w:r w:rsidRPr="00AD707C">
        <w:t>.</w:t>
      </w:r>
      <w:r>
        <w:t xml:space="preserve"> </w:t>
      </w:r>
    </w:p>
    <w:p w14:paraId="30331BA5" w14:textId="77777777" w:rsidR="001C19F3" w:rsidRDefault="001C19F3" w:rsidP="001C19F3">
      <w:pPr>
        <w:spacing w:after="160" w:line="259" w:lineRule="auto"/>
      </w:pPr>
      <w:r>
        <w:br w:type="page"/>
      </w:r>
    </w:p>
    <w:p w14:paraId="33B85A64" w14:textId="77777777" w:rsidR="001C19F3" w:rsidRDefault="001C19F3" w:rsidP="001C19F3">
      <w:pPr>
        <w:pStyle w:val="Caption1"/>
        <w:spacing w:after="0"/>
      </w:pPr>
      <w:bookmarkStart w:id="129" w:name="_Ref21691080"/>
      <w:r>
        <w:lastRenderedPageBreak/>
        <w:t xml:space="preserve">Table </w:t>
      </w:r>
      <w:r>
        <w:fldChar w:fldCharType="begin"/>
      </w:r>
      <w:r>
        <w:instrText>SEQ Table \* ARABIC</w:instrText>
      </w:r>
      <w:r>
        <w:fldChar w:fldCharType="separate"/>
      </w:r>
      <w:r>
        <w:rPr>
          <w:noProof/>
        </w:rPr>
        <w:t>7</w:t>
      </w:r>
      <w:r>
        <w:fldChar w:fldCharType="end"/>
      </w:r>
      <w:bookmarkEnd w:id="129"/>
      <w:r>
        <w:t xml:space="preserve"> – Staff within in each practice: details designation/discipline</w:t>
      </w:r>
    </w:p>
    <w:tbl>
      <w:tblPr>
        <w:tblW w:w="9073" w:type="dxa"/>
        <w:jc w:val="center"/>
        <w:tblLayout w:type="fixed"/>
        <w:tblLook w:val="04A0" w:firstRow="1" w:lastRow="0" w:firstColumn="1" w:lastColumn="0" w:noHBand="0" w:noVBand="1"/>
      </w:tblPr>
      <w:tblGrid>
        <w:gridCol w:w="2639"/>
        <w:gridCol w:w="1237"/>
        <w:gridCol w:w="825"/>
        <w:gridCol w:w="825"/>
        <w:gridCol w:w="825"/>
        <w:gridCol w:w="825"/>
        <w:gridCol w:w="894"/>
        <w:gridCol w:w="1003"/>
      </w:tblGrid>
      <w:tr w:rsidR="001C19F3" w14:paraId="61EB1C7A" w14:textId="77777777" w:rsidTr="00521305">
        <w:trPr>
          <w:cantSplit/>
          <w:tblHeader/>
          <w:jc w:val="center"/>
        </w:trPr>
        <w:tc>
          <w:tcPr>
            <w:tcW w:w="263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7072D0" w14:textId="77777777" w:rsidR="001C19F3" w:rsidRDefault="001C19F3" w:rsidP="00521305">
            <w:pPr>
              <w:spacing w:after="0"/>
              <w:jc w:val="center"/>
              <w:rPr>
                <w:rFonts w:eastAsiaTheme="minorHAnsi"/>
              </w:rPr>
            </w:pPr>
            <w:r>
              <w:rPr>
                <w:rFonts w:eastAsia="Century Gothic" w:cs="Century Gothic"/>
                <w:b/>
                <w:color w:val="FFFFFF"/>
                <w:sz w:val="18"/>
                <w:szCs w:val="18"/>
              </w:rPr>
              <w:t>Staff type</w:t>
            </w:r>
          </w:p>
        </w:tc>
        <w:tc>
          <w:tcPr>
            <w:tcW w:w="1237"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F17026" w14:textId="77777777" w:rsidR="001C19F3" w:rsidRDefault="001C19F3" w:rsidP="00521305">
            <w:pPr>
              <w:spacing w:after="0"/>
              <w:jc w:val="center"/>
            </w:pPr>
            <w:r>
              <w:rPr>
                <w:rFonts w:eastAsia="Century Gothic" w:cs="Century Gothic"/>
                <w:b/>
                <w:color w:val="FFFFFF"/>
                <w:sz w:val="18"/>
                <w:szCs w:val="18"/>
              </w:rPr>
              <w:t>Practices</w:t>
            </w:r>
            <w:r>
              <w:rPr>
                <w:rFonts w:eastAsia="Century Gothic" w:cs="Century Gothic"/>
                <w:b/>
                <w:color w:val="FFFFFF"/>
                <w:sz w:val="18"/>
                <w:szCs w:val="18"/>
              </w:rPr>
              <w:br/>
              <w:t>reporting staff</w:t>
            </w:r>
            <w:r>
              <w:rPr>
                <w:rFonts w:eastAsia="Century Gothic" w:cs="Century Gothic"/>
                <w:b/>
                <w:color w:val="FFFFFF"/>
                <w:sz w:val="18"/>
                <w:szCs w:val="18"/>
              </w:rPr>
              <w:br/>
              <w:t>type n (%)</w:t>
            </w:r>
          </w:p>
        </w:tc>
        <w:tc>
          <w:tcPr>
            <w:tcW w:w="1650"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F6852CC" w14:textId="77777777" w:rsidR="001C19F3" w:rsidRDefault="001C19F3" w:rsidP="00521305">
            <w:pPr>
              <w:spacing w:after="0"/>
              <w:jc w:val="center"/>
            </w:pPr>
            <w:r>
              <w:rPr>
                <w:rFonts w:eastAsia="Century Gothic" w:cs="Century Gothic"/>
                <w:b/>
                <w:color w:val="FFFFFF"/>
                <w:sz w:val="18"/>
                <w:szCs w:val="18"/>
              </w:rPr>
              <w:t>Head count</w:t>
            </w:r>
          </w:p>
        </w:tc>
        <w:tc>
          <w:tcPr>
            <w:tcW w:w="2544"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03D32A7" w14:textId="77777777" w:rsidR="001C19F3" w:rsidRDefault="001C19F3" w:rsidP="00521305">
            <w:pPr>
              <w:spacing w:after="0"/>
              <w:jc w:val="center"/>
            </w:pPr>
            <w:r>
              <w:rPr>
                <w:rFonts w:eastAsia="Century Gothic" w:cs="Century Gothic"/>
                <w:b/>
                <w:color w:val="FFFFFF"/>
                <w:sz w:val="18"/>
                <w:szCs w:val="18"/>
              </w:rPr>
              <w:t>FTE</w:t>
            </w:r>
          </w:p>
        </w:tc>
        <w:tc>
          <w:tcPr>
            <w:tcW w:w="1003"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CD02A3" w14:textId="77777777" w:rsidR="001C19F3" w:rsidRDefault="001C19F3" w:rsidP="00521305">
            <w:pPr>
              <w:spacing w:after="0"/>
              <w:jc w:val="center"/>
            </w:pPr>
            <w:r>
              <w:rPr>
                <w:rFonts w:eastAsia="Century Gothic" w:cs="Century Gothic"/>
                <w:b/>
                <w:color w:val="FFFFFF"/>
                <w:sz w:val="18"/>
                <w:szCs w:val="18"/>
              </w:rPr>
              <w:t>Vacancies</w:t>
            </w:r>
            <w:r>
              <w:rPr>
                <w:rFonts w:eastAsia="Century Gothic" w:cs="Century Gothic"/>
                <w:b/>
                <w:color w:val="FFFFFF"/>
                <w:sz w:val="18"/>
                <w:szCs w:val="18"/>
              </w:rPr>
              <w:br/>
              <w:t>(%)</w:t>
            </w:r>
          </w:p>
        </w:tc>
      </w:tr>
      <w:tr w:rsidR="001C19F3" w14:paraId="4FA30453" w14:textId="77777777" w:rsidTr="00521305">
        <w:trPr>
          <w:cantSplit/>
          <w:tblHeader/>
          <w:jc w:val="center"/>
        </w:trPr>
        <w:tc>
          <w:tcPr>
            <w:tcW w:w="2639" w:type="dxa"/>
            <w:vMerge/>
            <w:tcBorders>
              <w:top w:val="single" w:sz="8" w:space="0" w:color="BFBFBF"/>
              <w:left w:val="single" w:sz="8" w:space="0" w:color="BFBFBF"/>
              <w:bottom w:val="single" w:sz="8" w:space="0" w:color="BFBFBF"/>
              <w:right w:val="single" w:sz="8" w:space="0" w:color="BFBFBF"/>
            </w:tcBorders>
            <w:vAlign w:val="center"/>
            <w:hideMark/>
          </w:tcPr>
          <w:p w14:paraId="13B0586D" w14:textId="77777777" w:rsidR="001C19F3" w:rsidRDefault="001C19F3" w:rsidP="00521305"/>
        </w:tc>
        <w:tc>
          <w:tcPr>
            <w:tcW w:w="1237" w:type="dxa"/>
            <w:vMerge/>
            <w:tcBorders>
              <w:top w:val="single" w:sz="8" w:space="0" w:color="BFBFBF"/>
              <w:left w:val="single" w:sz="8" w:space="0" w:color="BFBFBF"/>
              <w:bottom w:val="single" w:sz="8" w:space="0" w:color="BFBFBF"/>
              <w:right w:val="single" w:sz="8" w:space="0" w:color="BFBFBF"/>
            </w:tcBorders>
            <w:vAlign w:val="center"/>
            <w:hideMark/>
          </w:tcPr>
          <w:p w14:paraId="6F3D1AD9" w14:textId="77777777" w:rsidR="001C19F3" w:rsidRDefault="001C19F3" w:rsidP="00521305"/>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63BDB17" w14:textId="77777777" w:rsidR="001C19F3" w:rsidRDefault="001C19F3" w:rsidP="00521305">
            <w:pPr>
              <w:spacing w:after="0"/>
              <w:jc w:val="center"/>
            </w:pPr>
            <w:r>
              <w:rPr>
                <w:rFonts w:eastAsia="Century Gothic" w:cs="Century Gothic"/>
                <w:b/>
                <w:color w:val="FFFFFF"/>
                <w:sz w:val="18"/>
                <w:szCs w:val="18"/>
              </w:rPr>
              <w:t>Mean</w:t>
            </w:r>
          </w:p>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50B655" w14:textId="77777777" w:rsidR="001C19F3" w:rsidRDefault="001C19F3" w:rsidP="00521305">
            <w:pPr>
              <w:spacing w:after="0"/>
              <w:jc w:val="center"/>
            </w:pPr>
            <w:r>
              <w:rPr>
                <w:rFonts w:eastAsia="Century Gothic" w:cs="Century Gothic"/>
                <w:b/>
                <w:color w:val="FFFFFF"/>
                <w:sz w:val="18"/>
                <w:szCs w:val="18"/>
              </w:rPr>
              <w:t>Total</w:t>
            </w:r>
          </w:p>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06F9E76" w14:textId="77777777" w:rsidR="001C19F3" w:rsidRDefault="001C19F3" w:rsidP="00521305">
            <w:pPr>
              <w:spacing w:after="0"/>
              <w:jc w:val="center"/>
            </w:pPr>
            <w:r>
              <w:rPr>
                <w:rFonts w:eastAsia="Century Gothic" w:cs="Century Gothic"/>
                <w:b/>
                <w:color w:val="FFFFFF"/>
                <w:sz w:val="18"/>
                <w:szCs w:val="18"/>
              </w:rPr>
              <w:t>Mean</w:t>
            </w:r>
          </w:p>
        </w:tc>
        <w:tc>
          <w:tcPr>
            <w:tcW w:w="8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51F0EED" w14:textId="77777777" w:rsidR="001C19F3" w:rsidRDefault="001C19F3" w:rsidP="00521305">
            <w:pPr>
              <w:spacing w:after="0"/>
              <w:jc w:val="center"/>
            </w:pPr>
            <w:r>
              <w:rPr>
                <w:rFonts w:eastAsia="Century Gothic" w:cs="Century Gothic"/>
                <w:b/>
                <w:color w:val="FFFFFF"/>
                <w:sz w:val="18"/>
                <w:szCs w:val="18"/>
              </w:rPr>
              <w:t>Total</w:t>
            </w:r>
          </w:p>
        </w:tc>
        <w:tc>
          <w:tcPr>
            <w:tcW w:w="89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8C6FD2" w14:textId="77777777" w:rsidR="001C19F3" w:rsidRDefault="001C19F3" w:rsidP="00521305">
            <w:pPr>
              <w:spacing w:after="0"/>
              <w:jc w:val="center"/>
            </w:pPr>
            <w:r>
              <w:rPr>
                <w:rFonts w:eastAsia="Century Gothic" w:cs="Century Gothic"/>
                <w:b/>
                <w:color w:val="FFFFFF"/>
                <w:sz w:val="18"/>
                <w:szCs w:val="18"/>
              </w:rPr>
              <w:t>% of</w:t>
            </w:r>
            <w:r>
              <w:rPr>
                <w:rFonts w:eastAsia="Century Gothic" w:cs="Century Gothic"/>
                <w:b/>
                <w:color w:val="FFFFFF"/>
                <w:sz w:val="18"/>
                <w:szCs w:val="18"/>
              </w:rPr>
              <w:br/>
              <w:t>total FTE</w:t>
            </w:r>
          </w:p>
        </w:tc>
        <w:tc>
          <w:tcPr>
            <w:tcW w:w="1003" w:type="dxa"/>
            <w:vMerge/>
            <w:tcBorders>
              <w:top w:val="single" w:sz="8" w:space="0" w:color="BFBFBF"/>
              <w:left w:val="single" w:sz="8" w:space="0" w:color="BFBFBF"/>
              <w:bottom w:val="single" w:sz="8" w:space="0" w:color="BFBFBF"/>
              <w:right w:val="single" w:sz="8" w:space="0" w:color="BFBFBF"/>
            </w:tcBorders>
            <w:vAlign w:val="center"/>
            <w:hideMark/>
          </w:tcPr>
          <w:p w14:paraId="3DAA76F9" w14:textId="77777777" w:rsidR="001C19F3" w:rsidRDefault="001C19F3" w:rsidP="00521305"/>
        </w:tc>
      </w:tr>
      <w:tr w:rsidR="001C19F3" w14:paraId="7EAADB53"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E9C423" w14:textId="77777777" w:rsidR="001C19F3" w:rsidRDefault="001C19F3" w:rsidP="00521305">
            <w:pPr>
              <w:spacing w:before="40" w:after="40"/>
              <w:ind w:left="100" w:right="100"/>
            </w:pPr>
            <w:r>
              <w:rPr>
                <w:rFonts w:eastAsia="Century Gothic" w:cs="Century Gothic"/>
                <w:color w:val="000000"/>
                <w:sz w:val="18"/>
                <w:szCs w:val="18"/>
              </w:rPr>
              <w:t>General practitioner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164058" w14:textId="77777777" w:rsidR="001C19F3" w:rsidRDefault="001C19F3" w:rsidP="00521305">
            <w:pPr>
              <w:spacing w:before="40" w:after="40"/>
              <w:ind w:left="100" w:right="100"/>
              <w:jc w:val="right"/>
            </w:pPr>
            <w:r>
              <w:rPr>
                <w:rFonts w:eastAsia="Century Gothic" w:cs="Century Gothic"/>
                <w:color w:val="000000"/>
                <w:sz w:val="18"/>
                <w:szCs w:val="18"/>
              </w:rPr>
              <w:t>119 (100%)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AF2A56" w14:textId="77777777" w:rsidR="001C19F3" w:rsidRDefault="001C19F3" w:rsidP="00521305">
            <w:pPr>
              <w:spacing w:before="40" w:after="40"/>
              <w:ind w:left="100" w:right="100"/>
              <w:jc w:val="right"/>
            </w:pPr>
            <w:r>
              <w:rPr>
                <w:rFonts w:eastAsia="Century Gothic" w:cs="Century Gothic"/>
                <w:color w:val="000000"/>
                <w:sz w:val="18"/>
                <w:szCs w:val="18"/>
              </w:rPr>
              <w:t xml:space="preserve"> 6.43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F81230" w14:textId="77777777" w:rsidR="001C19F3" w:rsidRDefault="001C19F3" w:rsidP="00521305">
            <w:pPr>
              <w:spacing w:before="40" w:after="40"/>
              <w:ind w:left="100" w:right="100"/>
              <w:jc w:val="right"/>
            </w:pPr>
            <w:r>
              <w:rPr>
                <w:rFonts w:eastAsia="Century Gothic" w:cs="Century Gothic"/>
                <w:color w:val="000000"/>
                <w:sz w:val="18"/>
                <w:szCs w:val="18"/>
              </w:rPr>
              <w:t xml:space="preserve">  765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DE9979" w14:textId="77777777" w:rsidR="001C19F3" w:rsidRDefault="001C19F3" w:rsidP="00521305">
            <w:pPr>
              <w:spacing w:before="40" w:after="40"/>
              <w:ind w:left="100" w:right="100"/>
              <w:jc w:val="right"/>
            </w:pPr>
            <w:r>
              <w:rPr>
                <w:rFonts w:eastAsia="Century Gothic" w:cs="Century Gothic"/>
                <w:color w:val="000000"/>
                <w:sz w:val="18"/>
                <w:szCs w:val="18"/>
              </w:rPr>
              <w:t xml:space="preserve"> 4.80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B28F39" w14:textId="77777777" w:rsidR="001C19F3" w:rsidRDefault="001C19F3" w:rsidP="00521305">
            <w:pPr>
              <w:spacing w:before="40" w:after="40"/>
              <w:ind w:left="100" w:right="100"/>
              <w:jc w:val="right"/>
            </w:pPr>
            <w:r>
              <w:rPr>
                <w:rFonts w:eastAsia="Century Gothic" w:cs="Century Gothic"/>
                <w:color w:val="000000"/>
                <w:sz w:val="18"/>
                <w:szCs w:val="18"/>
              </w:rPr>
              <w:t xml:space="preserve">  571</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D567F" w14:textId="77777777" w:rsidR="001C19F3" w:rsidRDefault="001C19F3" w:rsidP="00521305">
            <w:pPr>
              <w:spacing w:before="40" w:after="40"/>
              <w:ind w:left="100" w:right="100"/>
              <w:jc w:val="right"/>
            </w:pPr>
            <w:r>
              <w:rPr>
                <w:rFonts w:eastAsia="Century Gothic" w:cs="Century Gothic"/>
                <w:color w:val="000000"/>
                <w:sz w:val="18"/>
                <w:szCs w:val="18"/>
              </w:rPr>
              <w:t>28.4%</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5C2958" w14:textId="77777777" w:rsidR="001C19F3" w:rsidRDefault="001C19F3" w:rsidP="00521305">
            <w:pPr>
              <w:spacing w:before="40" w:after="40"/>
              <w:ind w:left="100" w:right="100"/>
              <w:jc w:val="right"/>
            </w:pPr>
            <w:r>
              <w:rPr>
                <w:rFonts w:eastAsia="Century Gothic" w:cs="Century Gothic"/>
                <w:color w:val="000000"/>
                <w:sz w:val="18"/>
                <w:szCs w:val="18"/>
              </w:rPr>
              <w:t>6.9%</w:t>
            </w:r>
          </w:p>
        </w:tc>
      </w:tr>
      <w:tr w:rsidR="001C19F3" w14:paraId="207D519C"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CEE7E" w14:textId="77777777" w:rsidR="001C19F3" w:rsidRDefault="001C19F3" w:rsidP="00521305">
            <w:pPr>
              <w:spacing w:before="40" w:after="40"/>
              <w:ind w:left="100" w:right="100"/>
            </w:pPr>
            <w:r>
              <w:rPr>
                <w:rFonts w:eastAsia="Century Gothic" w:cs="Century Gothic"/>
                <w:color w:val="000000"/>
                <w:sz w:val="18"/>
                <w:szCs w:val="18"/>
              </w:rPr>
              <w:t>GP registrar/advanced trainee</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4654FB" w14:textId="77777777" w:rsidR="001C19F3" w:rsidRDefault="001C19F3" w:rsidP="00521305">
            <w:pPr>
              <w:spacing w:before="40" w:after="40"/>
              <w:ind w:left="100" w:right="100"/>
              <w:jc w:val="right"/>
            </w:pPr>
            <w:r>
              <w:rPr>
                <w:rFonts w:eastAsia="Century Gothic" w:cs="Century Gothic"/>
                <w:color w:val="000000"/>
                <w:sz w:val="18"/>
                <w:szCs w:val="18"/>
              </w:rPr>
              <w:t>59 (50%)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6E8BE" w14:textId="77777777" w:rsidR="001C19F3" w:rsidRDefault="001C19F3" w:rsidP="00521305">
            <w:pPr>
              <w:spacing w:before="40" w:after="40"/>
              <w:ind w:left="100" w:right="100"/>
              <w:jc w:val="right"/>
            </w:pPr>
            <w:r>
              <w:rPr>
                <w:rFonts w:eastAsia="Century Gothic" w:cs="Century Gothic"/>
                <w:color w:val="000000"/>
                <w:sz w:val="18"/>
                <w:szCs w:val="18"/>
              </w:rPr>
              <w:t xml:space="preserve"> 1.01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8B8669" w14:textId="77777777" w:rsidR="001C19F3" w:rsidRDefault="001C19F3" w:rsidP="00521305">
            <w:pPr>
              <w:spacing w:before="40" w:after="40"/>
              <w:ind w:left="100" w:right="100"/>
              <w:jc w:val="right"/>
            </w:pPr>
            <w:r>
              <w:rPr>
                <w:rFonts w:eastAsia="Century Gothic" w:cs="Century Gothic"/>
                <w:color w:val="000000"/>
                <w:sz w:val="18"/>
                <w:szCs w:val="18"/>
              </w:rPr>
              <w:t xml:space="preserve">  120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B02543" w14:textId="77777777" w:rsidR="001C19F3" w:rsidRDefault="001C19F3" w:rsidP="00521305">
            <w:pPr>
              <w:spacing w:before="40" w:after="40"/>
              <w:ind w:left="100" w:right="100"/>
              <w:jc w:val="right"/>
            </w:pPr>
            <w:r>
              <w:rPr>
                <w:rFonts w:eastAsia="Century Gothic" w:cs="Century Gothic"/>
                <w:color w:val="000000"/>
                <w:sz w:val="18"/>
                <w:szCs w:val="18"/>
              </w:rPr>
              <w:t xml:space="preserve"> 0.88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2613F" w14:textId="77777777" w:rsidR="001C19F3" w:rsidRDefault="001C19F3" w:rsidP="00521305">
            <w:pPr>
              <w:spacing w:before="40" w:after="40"/>
              <w:ind w:left="100" w:right="100"/>
              <w:jc w:val="right"/>
            </w:pPr>
            <w:r>
              <w:rPr>
                <w:rFonts w:eastAsia="Century Gothic" w:cs="Century Gothic"/>
                <w:color w:val="000000"/>
                <w:sz w:val="18"/>
                <w:szCs w:val="18"/>
              </w:rPr>
              <w:t xml:space="preserve">  105</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A9628F" w14:textId="77777777" w:rsidR="001C19F3" w:rsidRDefault="001C19F3" w:rsidP="00521305">
            <w:pPr>
              <w:spacing w:before="40" w:after="40"/>
              <w:ind w:left="100" w:right="100"/>
              <w:jc w:val="right"/>
            </w:pPr>
            <w:r>
              <w:rPr>
                <w:rFonts w:eastAsia="Century Gothic" w:cs="Century Gothic"/>
                <w:color w:val="000000"/>
                <w:sz w:val="18"/>
                <w:szCs w:val="18"/>
              </w:rPr>
              <w:t>5.2%</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36FC63" w14:textId="77777777" w:rsidR="001C19F3" w:rsidRDefault="001C19F3" w:rsidP="00521305">
            <w:pPr>
              <w:spacing w:before="40" w:after="40"/>
              <w:ind w:left="100" w:right="100"/>
              <w:jc w:val="right"/>
            </w:pPr>
            <w:r>
              <w:rPr>
                <w:rFonts w:eastAsia="Century Gothic" w:cs="Century Gothic"/>
                <w:color w:val="000000"/>
                <w:sz w:val="18"/>
                <w:szCs w:val="18"/>
              </w:rPr>
              <w:t>5.4%</w:t>
            </w:r>
          </w:p>
        </w:tc>
      </w:tr>
      <w:tr w:rsidR="001C19F3" w14:paraId="3B239101"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B099E1" w14:textId="77777777" w:rsidR="001C19F3" w:rsidRDefault="001C19F3" w:rsidP="00521305">
            <w:pPr>
              <w:spacing w:before="40" w:after="40"/>
              <w:ind w:left="100" w:right="100"/>
            </w:pPr>
            <w:r>
              <w:rPr>
                <w:rFonts w:eastAsia="Century Gothic" w:cs="Century Gothic"/>
                <w:color w:val="000000"/>
                <w:sz w:val="18"/>
                <w:szCs w:val="18"/>
              </w:rPr>
              <w:t>Other medical practitioner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0BF5CC" w14:textId="77777777" w:rsidR="001C19F3" w:rsidRDefault="001C19F3" w:rsidP="00521305">
            <w:pPr>
              <w:spacing w:before="40" w:after="40"/>
              <w:ind w:left="100" w:right="100"/>
              <w:jc w:val="right"/>
            </w:pPr>
            <w:r>
              <w:rPr>
                <w:rFonts w:eastAsia="Century Gothic" w:cs="Century Gothic"/>
                <w:color w:val="000000"/>
                <w:sz w:val="18"/>
                <w:szCs w:val="18"/>
              </w:rPr>
              <w:t>9 (8%)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E181A3" w14:textId="77777777" w:rsidR="001C19F3" w:rsidRDefault="001C19F3" w:rsidP="00521305">
            <w:pPr>
              <w:spacing w:before="40" w:after="40"/>
              <w:ind w:left="100" w:right="100"/>
              <w:jc w:val="right"/>
            </w:pPr>
            <w:r>
              <w:rPr>
                <w:rFonts w:eastAsia="Century Gothic" w:cs="Century Gothic"/>
                <w:color w:val="000000"/>
                <w:sz w:val="18"/>
                <w:szCs w:val="18"/>
              </w:rPr>
              <w:t xml:space="preserve"> 0.17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36EB42" w14:textId="77777777" w:rsidR="001C19F3" w:rsidRDefault="001C19F3" w:rsidP="00521305">
            <w:pPr>
              <w:spacing w:before="40" w:after="40"/>
              <w:ind w:left="100" w:right="100"/>
              <w:jc w:val="right"/>
            </w:pPr>
            <w:r>
              <w:rPr>
                <w:rFonts w:eastAsia="Century Gothic" w:cs="Century Gothic"/>
                <w:color w:val="000000"/>
                <w:sz w:val="18"/>
                <w:szCs w:val="18"/>
              </w:rPr>
              <w:t xml:space="preserve">   20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EC20CA" w14:textId="77777777" w:rsidR="001C19F3" w:rsidRDefault="001C19F3" w:rsidP="00521305">
            <w:pPr>
              <w:spacing w:before="40" w:after="40"/>
              <w:ind w:left="100" w:right="100"/>
              <w:jc w:val="right"/>
            </w:pPr>
            <w:r>
              <w:rPr>
                <w:rFonts w:eastAsia="Century Gothic" w:cs="Century Gothic"/>
                <w:color w:val="000000"/>
                <w:sz w:val="18"/>
                <w:szCs w:val="18"/>
              </w:rPr>
              <w:t xml:space="preserve"> 0.13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B2BFBE" w14:textId="77777777" w:rsidR="001C19F3" w:rsidRDefault="001C19F3" w:rsidP="00521305">
            <w:pPr>
              <w:spacing w:before="40" w:after="40"/>
              <w:ind w:left="100" w:right="100"/>
              <w:jc w:val="right"/>
            </w:pPr>
            <w:r>
              <w:rPr>
                <w:rFonts w:eastAsia="Century Gothic" w:cs="Century Gothic"/>
                <w:color w:val="000000"/>
                <w:sz w:val="18"/>
                <w:szCs w:val="18"/>
              </w:rPr>
              <w:t xml:space="preserve">   16</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72DE79" w14:textId="77777777" w:rsidR="001C19F3" w:rsidRDefault="001C19F3" w:rsidP="00521305">
            <w:pPr>
              <w:spacing w:before="40" w:after="40"/>
              <w:ind w:left="100" w:right="100"/>
              <w:jc w:val="right"/>
            </w:pPr>
            <w:r>
              <w:rPr>
                <w:rFonts w:eastAsia="Century Gothic" w:cs="Century Gothic"/>
                <w:color w:val="000000"/>
                <w:sz w:val="18"/>
                <w:szCs w:val="18"/>
              </w:rPr>
              <w:t>0.8%</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CDAAF0" w14:textId="77777777" w:rsidR="001C19F3" w:rsidRDefault="001C19F3" w:rsidP="00521305">
            <w:pPr>
              <w:spacing w:before="40" w:after="40"/>
              <w:ind w:left="100" w:right="100"/>
              <w:jc w:val="right"/>
            </w:pPr>
            <w:r>
              <w:rPr>
                <w:rFonts w:eastAsia="Century Gothic" w:cs="Century Gothic"/>
                <w:color w:val="000000"/>
                <w:sz w:val="18"/>
                <w:szCs w:val="18"/>
              </w:rPr>
              <w:t>5.0%</w:t>
            </w:r>
          </w:p>
        </w:tc>
      </w:tr>
      <w:tr w:rsidR="001C19F3" w14:paraId="0B27B643"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EA8B4" w14:textId="77777777" w:rsidR="001C19F3" w:rsidRDefault="001C19F3" w:rsidP="00521305">
            <w:pPr>
              <w:spacing w:before="40" w:after="40"/>
              <w:ind w:left="100" w:right="100"/>
            </w:pPr>
            <w:r>
              <w:rPr>
                <w:rFonts w:eastAsia="Century Gothic" w:cs="Century Gothic"/>
                <w:color w:val="000000"/>
                <w:sz w:val="18"/>
                <w:szCs w:val="18"/>
              </w:rPr>
              <w:t>Nurse practitioner (RN)</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1AFD53" w14:textId="77777777" w:rsidR="001C19F3" w:rsidRDefault="001C19F3" w:rsidP="00521305">
            <w:pPr>
              <w:spacing w:before="40" w:after="40"/>
              <w:ind w:left="100" w:right="100"/>
              <w:jc w:val="right"/>
            </w:pPr>
            <w:r>
              <w:rPr>
                <w:rFonts w:eastAsia="Century Gothic" w:cs="Century Gothic"/>
                <w:color w:val="000000"/>
                <w:sz w:val="18"/>
                <w:szCs w:val="18"/>
              </w:rPr>
              <w:t>16 (13%)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51D42" w14:textId="77777777" w:rsidR="001C19F3" w:rsidRDefault="001C19F3" w:rsidP="00521305">
            <w:pPr>
              <w:spacing w:before="40" w:after="40"/>
              <w:ind w:left="100" w:right="100"/>
              <w:jc w:val="right"/>
            </w:pPr>
            <w:r>
              <w:rPr>
                <w:rFonts w:eastAsia="Century Gothic" w:cs="Century Gothic"/>
                <w:color w:val="000000"/>
                <w:sz w:val="18"/>
                <w:szCs w:val="18"/>
              </w:rPr>
              <w:t xml:space="preserve"> 0.29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F07174" w14:textId="77777777" w:rsidR="001C19F3" w:rsidRDefault="001C19F3" w:rsidP="00521305">
            <w:pPr>
              <w:spacing w:before="40" w:after="40"/>
              <w:ind w:left="100" w:right="100"/>
              <w:jc w:val="right"/>
            </w:pPr>
            <w:r>
              <w:rPr>
                <w:rFonts w:eastAsia="Century Gothic" w:cs="Century Gothic"/>
                <w:color w:val="000000"/>
                <w:sz w:val="18"/>
                <w:szCs w:val="18"/>
              </w:rPr>
              <w:t xml:space="preserve">   34</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3D2803" w14:textId="77777777" w:rsidR="001C19F3" w:rsidRDefault="001C19F3" w:rsidP="00521305">
            <w:pPr>
              <w:spacing w:before="40" w:after="40"/>
              <w:ind w:left="100" w:right="100"/>
              <w:jc w:val="right"/>
            </w:pPr>
            <w:r>
              <w:rPr>
                <w:rFonts w:eastAsia="Century Gothic" w:cs="Century Gothic"/>
                <w:color w:val="000000"/>
                <w:sz w:val="18"/>
                <w:szCs w:val="18"/>
              </w:rPr>
              <w:t xml:space="preserve"> 0.25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34CFC2" w14:textId="77777777" w:rsidR="001C19F3" w:rsidRDefault="001C19F3" w:rsidP="00521305">
            <w:pPr>
              <w:spacing w:before="40" w:after="40"/>
              <w:ind w:left="100" w:right="100"/>
              <w:jc w:val="right"/>
            </w:pPr>
            <w:r>
              <w:rPr>
                <w:rFonts w:eastAsia="Century Gothic" w:cs="Century Gothic"/>
                <w:color w:val="000000"/>
                <w:sz w:val="18"/>
                <w:szCs w:val="18"/>
              </w:rPr>
              <w:t xml:space="preserve">   30</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13290E" w14:textId="77777777" w:rsidR="001C19F3" w:rsidRDefault="001C19F3" w:rsidP="00521305">
            <w:pPr>
              <w:spacing w:before="40" w:after="40"/>
              <w:ind w:left="100" w:right="100"/>
              <w:jc w:val="right"/>
            </w:pPr>
            <w:r>
              <w:rPr>
                <w:rFonts w:eastAsia="Century Gothic" w:cs="Century Gothic"/>
                <w:color w:val="000000"/>
                <w:sz w:val="18"/>
                <w:szCs w:val="18"/>
              </w:rPr>
              <w:t>1.5%</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AE74A" w14:textId="77777777" w:rsidR="001C19F3" w:rsidRDefault="001C19F3" w:rsidP="00521305">
            <w:pPr>
              <w:spacing w:before="40" w:after="40"/>
              <w:ind w:left="100" w:right="100"/>
              <w:jc w:val="right"/>
            </w:pPr>
            <w:r>
              <w:rPr>
                <w:rFonts w:eastAsia="Century Gothic" w:cs="Century Gothic"/>
                <w:color w:val="000000"/>
                <w:sz w:val="18"/>
                <w:szCs w:val="18"/>
              </w:rPr>
              <w:t>8.7%</w:t>
            </w:r>
          </w:p>
        </w:tc>
      </w:tr>
      <w:tr w:rsidR="001C19F3" w14:paraId="350AB8C9"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87DA8C" w14:textId="77777777" w:rsidR="001C19F3" w:rsidRDefault="001C19F3" w:rsidP="00521305">
            <w:pPr>
              <w:spacing w:before="40" w:after="40"/>
              <w:ind w:left="100" w:right="100"/>
            </w:pPr>
            <w:r>
              <w:rPr>
                <w:rFonts w:eastAsia="Century Gothic" w:cs="Century Gothic"/>
                <w:color w:val="000000"/>
                <w:sz w:val="18"/>
                <w:szCs w:val="18"/>
              </w:rPr>
              <w:t>Remote area nurse (RN)</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D7D4CC" w14:textId="77777777" w:rsidR="001C19F3" w:rsidRDefault="001C19F3" w:rsidP="00521305">
            <w:pPr>
              <w:spacing w:before="40" w:after="40"/>
              <w:ind w:left="100" w:right="100"/>
              <w:jc w:val="right"/>
            </w:pPr>
            <w:r>
              <w:rPr>
                <w:rFonts w:eastAsia="Century Gothic" w:cs="Century Gothic"/>
                <w:color w:val="000000"/>
                <w:sz w:val="18"/>
                <w:szCs w:val="18"/>
              </w:rPr>
              <w:t>11 (9%)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B68D6" w14:textId="77777777" w:rsidR="001C19F3" w:rsidRDefault="001C19F3" w:rsidP="00521305">
            <w:pPr>
              <w:spacing w:before="40" w:after="40"/>
              <w:ind w:left="100" w:right="100"/>
              <w:jc w:val="right"/>
            </w:pPr>
            <w:r>
              <w:rPr>
                <w:rFonts w:eastAsia="Century Gothic" w:cs="Century Gothic"/>
                <w:color w:val="000000"/>
                <w:sz w:val="18"/>
                <w:szCs w:val="18"/>
              </w:rPr>
              <w:t xml:space="preserve"> 0.38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17B3B" w14:textId="77777777" w:rsidR="001C19F3" w:rsidRDefault="001C19F3" w:rsidP="00521305">
            <w:pPr>
              <w:spacing w:before="40" w:after="40"/>
              <w:ind w:left="100" w:right="100"/>
              <w:jc w:val="right"/>
            </w:pPr>
            <w:r>
              <w:rPr>
                <w:rFonts w:eastAsia="Century Gothic" w:cs="Century Gothic"/>
                <w:color w:val="000000"/>
                <w:sz w:val="18"/>
                <w:szCs w:val="18"/>
              </w:rPr>
              <w:t xml:space="preserve">   45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A18E0D" w14:textId="77777777" w:rsidR="001C19F3" w:rsidRDefault="001C19F3" w:rsidP="00521305">
            <w:pPr>
              <w:spacing w:before="40" w:after="40"/>
              <w:ind w:left="100" w:right="100"/>
              <w:jc w:val="right"/>
            </w:pPr>
            <w:r>
              <w:rPr>
                <w:rFonts w:eastAsia="Century Gothic" w:cs="Century Gothic"/>
                <w:color w:val="000000"/>
                <w:sz w:val="18"/>
                <w:szCs w:val="18"/>
              </w:rPr>
              <w:t xml:space="preserve"> 0.38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D3803B" w14:textId="77777777" w:rsidR="001C19F3" w:rsidRDefault="001C19F3" w:rsidP="00521305">
            <w:pPr>
              <w:spacing w:before="40" w:after="40"/>
              <w:ind w:left="100" w:right="100"/>
              <w:jc w:val="right"/>
            </w:pPr>
            <w:r>
              <w:rPr>
                <w:rFonts w:eastAsia="Century Gothic" w:cs="Century Gothic"/>
                <w:color w:val="000000"/>
                <w:sz w:val="18"/>
                <w:szCs w:val="18"/>
              </w:rPr>
              <w:t xml:space="preserve">   45</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EB4CC5" w14:textId="77777777" w:rsidR="001C19F3" w:rsidRDefault="001C19F3" w:rsidP="00521305">
            <w:pPr>
              <w:spacing w:before="40" w:after="40"/>
              <w:ind w:left="100" w:right="100"/>
              <w:jc w:val="right"/>
            </w:pPr>
            <w:r>
              <w:rPr>
                <w:rFonts w:eastAsia="Century Gothic" w:cs="Century Gothic"/>
                <w:color w:val="000000"/>
                <w:sz w:val="18"/>
                <w:szCs w:val="18"/>
              </w:rPr>
              <w:t>2.2%</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ED0CA4" w14:textId="77777777" w:rsidR="001C19F3" w:rsidRDefault="001C19F3" w:rsidP="00521305">
            <w:pPr>
              <w:spacing w:before="40" w:after="40"/>
              <w:ind w:left="100" w:right="100"/>
              <w:jc w:val="right"/>
            </w:pPr>
            <w:r>
              <w:rPr>
                <w:rFonts w:eastAsia="Century Gothic" w:cs="Century Gothic"/>
                <w:color w:val="000000"/>
                <w:sz w:val="18"/>
                <w:szCs w:val="18"/>
              </w:rPr>
              <w:t>0.0%</w:t>
            </w:r>
          </w:p>
        </w:tc>
      </w:tr>
      <w:tr w:rsidR="001C19F3" w14:paraId="79DAA379"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5FBC40" w14:textId="77777777" w:rsidR="001C19F3" w:rsidRDefault="001C19F3" w:rsidP="00521305">
            <w:pPr>
              <w:spacing w:before="40" w:after="40"/>
              <w:ind w:left="100" w:right="100"/>
            </w:pPr>
            <w:r>
              <w:rPr>
                <w:rFonts w:eastAsia="Century Gothic" w:cs="Century Gothic"/>
                <w:color w:val="000000"/>
                <w:sz w:val="18"/>
                <w:szCs w:val="18"/>
              </w:rPr>
              <w:t>Practice nurse (RN)</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5DD29" w14:textId="77777777" w:rsidR="001C19F3" w:rsidRDefault="001C19F3" w:rsidP="00521305">
            <w:pPr>
              <w:spacing w:before="40" w:after="40"/>
              <w:ind w:left="100" w:right="100"/>
              <w:jc w:val="right"/>
            </w:pPr>
            <w:r>
              <w:rPr>
                <w:rFonts w:eastAsia="Century Gothic" w:cs="Century Gothic"/>
                <w:color w:val="000000"/>
                <w:sz w:val="18"/>
                <w:szCs w:val="18"/>
              </w:rPr>
              <w:t>93 (78%)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C235BF" w14:textId="77777777" w:rsidR="001C19F3" w:rsidRDefault="001C19F3" w:rsidP="00521305">
            <w:pPr>
              <w:spacing w:before="40" w:after="40"/>
              <w:ind w:left="100" w:right="100"/>
              <w:jc w:val="right"/>
            </w:pPr>
            <w:r>
              <w:rPr>
                <w:rFonts w:eastAsia="Century Gothic" w:cs="Century Gothic"/>
                <w:color w:val="000000"/>
                <w:sz w:val="18"/>
                <w:szCs w:val="18"/>
              </w:rPr>
              <w:t xml:space="preserve"> 2.11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94E801" w14:textId="77777777" w:rsidR="001C19F3" w:rsidRDefault="001C19F3" w:rsidP="00521305">
            <w:pPr>
              <w:spacing w:before="40" w:after="40"/>
              <w:ind w:left="100" w:right="100"/>
              <w:jc w:val="right"/>
            </w:pPr>
            <w:r>
              <w:rPr>
                <w:rFonts w:eastAsia="Century Gothic" w:cs="Century Gothic"/>
                <w:color w:val="000000"/>
                <w:sz w:val="18"/>
                <w:szCs w:val="18"/>
              </w:rPr>
              <w:t xml:space="preserve">  251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9565E0" w14:textId="77777777" w:rsidR="001C19F3" w:rsidRDefault="001C19F3" w:rsidP="00521305">
            <w:pPr>
              <w:spacing w:before="40" w:after="40"/>
              <w:ind w:left="100" w:right="100"/>
              <w:jc w:val="right"/>
            </w:pPr>
            <w:r>
              <w:rPr>
                <w:rFonts w:eastAsia="Century Gothic" w:cs="Century Gothic"/>
                <w:color w:val="000000"/>
                <w:sz w:val="18"/>
                <w:szCs w:val="18"/>
              </w:rPr>
              <w:t xml:space="preserve"> 1.58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72116D" w14:textId="77777777" w:rsidR="001C19F3" w:rsidRDefault="001C19F3" w:rsidP="00521305">
            <w:pPr>
              <w:spacing w:before="40" w:after="40"/>
              <w:ind w:left="100" w:right="100"/>
              <w:jc w:val="right"/>
            </w:pPr>
            <w:r>
              <w:rPr>
                <w:rFonts w:eastAsia="Century Gothic" w:cs="Century Gothic"/>
                <w:color w:val="000000"/>
                <w:sz w:val="18"/>
                <w:szCs w:val="18"/>
              </w:rPr>
              <w:t xml:space="preserve">  188</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134E47" w14:textId="77777777" w:rsidR="001C19F3" w:rsidRDefault="001C19F3" w:rsidP="00521305">
            <w:pPr>
              <w:spacing w:before="40" w:after="40"/>
              <w:ind w:left="100" w:right="100"/>
              <w:jc w:val="right"/>
            </w:pPr>
            <w:r>
              <w:rPr>
                <w:rFonts w:eastAsia="Century Gothic" w:cs="Century Gothic"/>
                <w:color w:val="000000"/>
                <w:sz w:val="18"/>
                <w:szCs w:val="18"/>
              </w:rPr>
              <w:t>9.3%</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EBECC" w14:textId="77777777" w:rsidR="001C19F3" w:rsidRDefault="001C19F3" w:rsidP="00521305">
            <w:pPr>
              <w:spacing w:before="40" w:after="40"/>
              <w:ind w:left="100" w:right="100"/>
              <w:jc w:val="right"/>
            </w:pPr>
            <w:r>
              <w:rPr>
                <w:rFonts w:eastAsia="Century Gothic" w:cs="Century Gothic"/>
                <w:color w:val="000000"/>
                <w:sz w:val="18"/>
                <w:szCs w:val="18"/>
              </w:rPr>
              <w:t>2.8%</w:t>
            </w:r>
          </w:p>
        </w:tc>
      </w:tr>
      <w:tr w:rsidR="001C19F3" w14:paraId="39B7E380"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BE5377" w14:textId="77777777" w:rsidR="001C19F3" w:rsidRDefault="001C19F3" w:rsidP="00521305">
            <w:pPr>
              <w:spacing w:before="40" w:after="40"/>
              <w:ind w:left="100" w:right="100"/>
            </w:pPr>
            <w:r>
              <w:rPr>
                <w:rFonts w:eastAsia="Century Gothic" w:cs="Century Gothic"/>
                <w:color w:val="000000"/>
                <w:sz w:val="18"/>
                <w:szCs w:val="18"/>
              </w:rPr>
              <w:t>Assistant in Nursing</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4D578" w14:textId="77777777" w:rsidR="001C19F3" w:rsidRDefault="001C19F3" w:rsidP="00521305">
            <w:pPr>
              <w:spacing w:before="40" w:after="40"/>
              <w:ind w:left="100" w:right="100"/>
              <w:jc w:val="right"/>
            </w:pPr>
            <w:r>
              <w:rPr>
                <w:rFonts w:eastAsia="Century Gothic" w:cs="Century Gothic"/>
                <w:color w:val="000000"/>
                <w:sz w:val="18"/>
                <w:szCs w:val="18"/>
              </w:rPr>
              <w:t>8 (7%)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CE433F" w14:textId="77777777" w:rsidR="001C19F3" w:rsidRDefault="001C19F3" w:rsidP="00521305">
            <w:pPr>
              <w:spacing w:before="40" w:after="40"/>
              <w:ind w:left="100" w:right="100"/>
              <w:jc w:val="right"/>
            </w:pPr>
            <w:r>
              <w:rPr>
                <w:rFonts w:eastAsia="Century Gothic" w:cs="Century Gothic"/>
                <w:color w:val="000000"/>
                <w:sz w:val="18"/>
                <w:szCs w:val="18"/>
              </w:rPr>
              <w:t xml:space="preserve"> 0.10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69BE3" w14:textId="77777777" w:rsidR="001C19F3" w:rsidRDefault="001C19F3" w:rsidP="00521305">
            <w:pPr>
              <w:spacing w:before="40" w:after="40"/>
              <w:ind w:left="100" w:right="100"/>
              <w:jc w:val="right"/>
            </w:pPr>
            <w:r>
              <w:rPr>
                <w:rFonts w:eastAsia="Century Gothic" w:cs="Century Gothic"/>
                <w:color w:val="000000"/>
                <w:sz w:val="18"/>
                <w:szCs w:val="18"/>
              </w:rPr>
              <w:t xml:space="preserve">   12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C6F855" w14:textId="77777777" w:rsidR="001C19F3" w:rsidRDefault="001C19F3" w:rsidP="00521305">
            <w:pPr>
              <w:spacing w:before="40" w:after="40"/>
              <w:ind w:left="100" w:right="100"/>
              <w:jc w:val="right"/>
            </w:pPr>
            <w:r>
              <w:rPr>
                <w:rFonts w:eastAsia="Century Gothic" w:cs="Century Gothic"/>
                <w:color w:val="000000"/>
                <w:sz w:val="18"/>
                <w:szCs w:val="18"/>
              </w:rPr>
              <w:t xml:space="preserve"> 0.10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319671" w14:textId="77777777" w:rsidR="001C19F3" w:rsidRDefault="001C19F3" w:rsidP="00521305">
            <w:pPr>
              <w:spacing w:before="40" w:after="40"/>
              <w:ind w:left="100" w:right="100"/>
              <w:jc w:val="right"/>
            </w:pPr>
            <w:r>
              <w:rPr>
                <w:rFonts w:eastAsia="Century Gothic" w:cs="Century Gothic"/>
                <w:color w:val="000000"/>
                <w:sz w:val="18"/>
                <w:szCs w:val="18"/>
              </w:rPr>
              <w:t xml:space="preserve">   12</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65446B" w14:textId="77777777" w:rsidR="001C19F3" w:rsidRDefault="001C19F3" w:rsidP="00521305">
            <w:pPr>
              <w:spacing w:before="40" w:after="40"/>
              <w:ind w:left="100" w:right="100"/>
              <w:jc w:val="right"/>
            </w:pPr>
            <w:r>
              <w:rPr>
                <w:rFonts w:eastAsia="Century Gothic" w:cs="Century Gothic"/>
                <w:color w:val="000000"/>
                <w:sz w:val="18"/>
                <w:szCs w:val="18"/>
              </w:rPr>
              <w:t>0.6%</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E8EC4" w14:textId="77777777" w:rsidR="001C19F3" w:rsidRDefault="001C19F3" w:rsidP="00521305">
            <w:pPr>
              <w:spacing w:before="40" w:after="40"/>
              <w:ind w:left="100" w:right="100"/>
              <w:jc w:val="right"/>
            </w:pPr>
            <w:r>
              <w:rPr>
                <w:rFonts w:eastAsia="Century Gothic" w:cs="Century Gothic"/>
                <w:color w:val="000000"/>
                <w:sz w:val="18"/>
                <w:szCs w:val="18"/>
              </w:rPr>
              <w:t>8.3%</w:t>
            </w:r>
          </w:p>
        </w:tc>
      </w:tr>
      <w:tr w:rsidR="001C19F3" w14:paraId="615D7B21"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9F675C" w14:textId="77777777" w:rsidR="001C19F3" w:rsidRDefault="001C19F3" w:rsidP="00521305">
            <w:pPr>
              <w:spacing w:before="40" w:after="40"/>
              <w:ind w:left="100" w:right="100"/>
            </w:pPr>
            <w:r>
              <w:rPr>
                <w:rFonts w:eastAsia="Century Gothic" w:cs="Century Gothic"/>
                <w:color w:val="000000"/>
                <w:sz w:val="18"/>
                <w:szCs w:val="18"/>
              </w:rPr>
              <w:t>Practice nurse (EN)</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4D27AA" w14:textId="77777777" w:rsidR="001C19F3" w:rsidRDefault="001C19F3" w:rsidP="00521305">
            <w:pPr>
              <w:spacing w:before="40" w:after="40"/>
              <w:ind w:left="100" w:right="100"/>
              <w:jc w:val="right"/>
            </w:pPr>
            <w:r>
              <w:rPr>
                <w:rFonts w:eastAsia="Century Gothic" w:cs="Century Gothic"/>
                <w:color w:val="000000"/>
                <w:sz w:val="18"/>
                <w:szCs w:val="18"/>
              </w:rPr>
              <w:t>48 (40%)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F7662C" w14:textId="77777777" w:rsidR="001C19F3" w:rsidRDefault="001C19F3" w:rsidP="00521305">
            <w:pPr>
              <w:spacing w:before="40" w:after="40"/>
              <w:ind w:left="100" w:right="100"/>
              <w:jc w:val="right"/>
            </w:pPr>
            <w:r>
              <w:rPr>
                <w:rFonts w:eastAsia="Century Gothic" w:cs="Century Gothic"/>
                <w:color w:val="000000"/>
                <w:sz w:val="18"/>
                <w:szCs w:val="18"/>
              </w:rPr>
              <w:t xml:space="preserve"> 0.97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176F6A" w14:textId="77777777" w:rsidR="001C19F3" w:rsidRDefault="001C19F3" w:rsidP="00521305">
            <w:pPr>
              <w:spacing w:before="40" w:after="40"/>
              <w:ind w:left="100" w:right="100"/>
              <w:jc w:val="right"/>
            </w:pPr>
            <w:r>
              <w:rPr>
                <w:rFonts w:eastAsia="Century Gothic" w:cs="Century Gothic"/>
                <w:color w:val="000000"/>
                <w:sz w:val="18"/>
                <w:szCs w:val="18"/>
              </w:rPr>
              <w:t xml:space="preserve">  115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1A0FA7" w14:textId="77777777" w:rsidR="001C19F3" w:rsidRDefault="001C19F3" w:rsidP="00521305">
            <w:pPr>
              <w:spacing w:before="40" w:after="40"/>
              <w:ind w:left="100" w:right="100"/>
              <w:jc w:val="right"/>
            </w:pPr>
            <w:r>
              <w:rPr>
                <w:rFonts w:eastAsia="Century Gothic" w:cs="Century Gothic"/>
                <w:color w:val="000000"/>
                <w:sz w:val="18"/>
                <w:szCs w:val="18"/>
              </w:rPr>
              <w:t xml:space="preserve"> 0.83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D71A7D" w14:textId="77777777" w:rsidR="001C19F3" w:rsidRDefault="001C19F3" w:rsidP="00521305">
            <w:pPr>
              <w:spacing w:before="40" w:after="40"/>
              <w:ind w:left="100" w:right="100"/>
              <w:jc w:val="right"/>
            </w:pPr>
            <w:r>
              <w:rPr>
                <w:rFonts w:eastAsia="Century Gothic" w:cs="Century Gothic"/>
                <w:color w:val="000000"/>
                <w:sz w:val="18"/>
                <w:szCs w:val="18"/>
              </w:rPr>
              <w:t xml:space="preserve">   99</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1FF652" w14:textId="77777777" w:rsidR="001C19F3" w:rsidRDefault="001C19F3" w:rsidP="00521305">
            <w:pPr>
              <w:spacing w:before="40" w:after="40"/>
              <w:ind w:left="100" w:right="100"/>
              <w:jc w:val="right"/>
            </w:pPr>
            <w:r>
              <w:rPr>
                <w:rFonts w:eastAsia="Century Gothic" w:cs="Century Gothic"/>
                <w:color w:val="000000"/>
                <w:sz w:val="18"/>
                <w:szCs w:val="18"/>
              </w:rPr>
              <w:t>4.9%</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396828" w14:textId="77777777" w:rsidR="001C19F3" w:rsidRDefault="001C19F3" w:rsidP="00521305">
            <w:pPr>
              <w:spacing w:before="40" w:after="40"/>
              <w:ind w:left="100" w:right="100"/>
              <w:jc w:val="right"/>
            </w:pPr>
            <w:r>
              <w:rPr>
                <w:rFonts w:eastAsia="Century Gothic" w:cs="Century Gothic"/>
                <w:color w:val="000000"/>
                <w:sz w:val="18"/>
                <w:szCs w:val="18"/>
              </w:rPr>
              <w:t>3.5%</w:t>
            </w:r>
          </w:p>
        </w:tc>
      </w:tr>
      <w:tr w:rsidR="001C19F3" w14:paraId="04AB12CA"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498E75" w14:textId="77777777" w:rsidR="001C19F3" w:rsidRDefault="001C19F3" w:rsidP="00521305">
            <w:pPr>
              <w:spacing w:before="40" w:after="40"/>
              <w:ind w:left="100" w:right="100"/>
            </w:pPr>
            <w:r>
              <w:rPr>
                <w:rFonts w:eastAsia="Century Gothic" w:cs="Century Gothic"/>
                <w:color w:val="000000"/>
                <w:sz w:val="18"/>
                <w:szCs w:val="18"/>
              </w:rPr>
              <w:t>Aboriginal Health Practitioner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EB06CE" w14:textId="77777777" w:rsidR="001C19F3" w:rsidRDefault="001C19F3" w:rsidP="00521305">
            <w:pPr>
              <w:spacing w:before="40" w:after="40"/>
              <w:ind w:left="100" w:right="100"/>
              <w:jc w:val="right"/>
            </w:pPr>
            <w:r>
              <w:rPr>
                <w:rFonts w:eastAsia="Century Gothic" w:cs="Century Gothic"/>
                <w:color w:val="000000"/>
                <w:sz w:val="18"/>
                <w:szCs w:val="18"/>
              </w:rPr>
              <w:t>10 (8%)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70E0AF" w14:textId="77777777" w:rsidR="001C19F3" w:rsidRDefault="001C19F3" w:rsidP="00521305">
            <w:pPr>
              <w:spacing w:before="40" w:after="40"/>
              <w:ind w:left="100" w:right="100"/>
              <w:jc w:val="right"/>
            </w:pPr>
            <w:r>
              <w:rPr>
                <w:rFonts w:eastAsia="Century Gothic" w:cs="Century Gothic"/>
                <w:color w:val="000000"/>
                <w:sz w:val="18"/>
                <w:szCs w:val="18"/>
              </w:rPr>
              <w:t xml:space="preserve"> 0.33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6856DE" w14:textId="77777777" w:rsidR="001C19F3" w:rsidRDefault="001C19F3" w:rsidP="00521305">
            <w:pPr>
              <w:spacing w:before="40" w:after="40"/>
              <w:ind w:left="100" w:right="100"/>
              <w:jc w:val="right"/>
            </w:pPr>
            <w:r>
              <w:rPr>
                <w:rFonts w:eastAsia="Century Gothic" w:cs="Century Gothic"/>
                <w:color w:val="000000"/>
                <w:sz w:val="18"/>
                <w:szCs w:val="18"/>
              </w:rPr>
              <w:t xml:space="preserve">   40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D94C74" w14:textId="77777777" w:rsidR="001C19F3" w:rsidRDefault="001C19F3" w:rsidP="00521305">
            <w:pPr>
              <w:spacing w:before="40" w:after="40"/>
              <w:ind w:left="100" w:right="100"/>
              <w:jc w:val="right"/>
            </w:pPr>
            <w:r>
              <w:rPr>
                <w:rFonts w:eastAsia="Century Gothic" w:cs="Century Gothic"/>
                <w:color w:val="000000"/>
                <w:sz w:val="18"/>
                <w:szCs w:val="18"/>
              </w:rPr>
              <w:t xml:space="preserve"> 0.33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56D4C2" w14:textId="77777777" w:rsidR="001C19F3" w:rsidRDefault="001C19F3" w:rsidP="00521305">
            <w:pPr>
              <w:spacing w:before="40" w:after="40"/>
              <w:ind w:left="100" w:right="100"/>
              <w:jc w:val="right"/>
            </w:pPr>
            <w:r>
              <w:rPr>
                <w:rFonts w:eastAsia="Century Gothic" w:cs="Century Gothic"/>
                <w:color w:val="000000"/>
                <w:sz w:val="18"/>
                <w:szCs w:val="18"/>
              </w:rPr>
              <w:t xml:space="preserve">   39</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2CEF6A" w14:textId="77777777" w:rsidR="001C19F3" w:rsidRDefault="001C19F3" w:rsidP="00521305">
            <w:pPr>
              <w:spacing w:before="40" w:after="40"/>
              <w:ind w:left="100" w:right="100"/>
              <w:jc w:val="right"/>
            </w:pPr>
            <w:r>
              <w:rPr>
                <w:rFonts w:eastAsia="Century Gothic" w:cs="Century Gothic"/>
                <w:color w:val="000000"/>
                <w:sz w:val="18"/>
                <w:szCs w:val="18"/>
              </w:rPr>
              <w:t>1.9%</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E9A6A7" w14:textId="77777777" w:rsidR="001C19F3" w:rsidRDefault="001C19F3" w:rsidP="00521305">
            <w:pPr>
              <w:spacing w:before="40" w:after="40"/>
              <w:ind w:left="100" w:right="100"/>
              <w:jc w:val="right"/>
            </w:pPr>
            <w:r>
              <w:rPr>
                <w:rFonts w:eastAsia="Century Gothic" w:cs="Century Gothic"/>
                <w:color w:val="000000"/>
                <w:sz w:val="18"/>
                <w:szCs w:val="18"/>
              </w:rPr>
              <w:t>5.0%</w:t>
            </w:r>
          </w:p>
        </w:tc>
      </w:tr>
      <w:tr w:rsidR="001C19F3" w14:paraId="18B9B241"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FC72C0" w14:textId="77777777" w:rsidR="001C19F3" w:rsidRDefault="001C19F3" w:rsidP="00521305">
            <w:pPr>
              <w:spacing w:before="40" w:after="40"/>
              <w:ind w:left="100" w:right="100"/>
            </w:pPr>
            <w:r>
              <w:rPr>
                <w:rFonts w:eastAsia="Century Gothic" w:cs="Century Gothic"/>
                <w:color w:val="000000"/>
                <w:sz w:val="18"/>
                <w:szCs w:val="18"/>
              </w:rPr>
              <w:t>Medical practice assistant</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CAFF66" w14:textId="77777777" w:rsidR="001C19F3" w:rsidRDefault="001C19F3" w:rsidP="00521305">
            <w:pPr>
              <w:spacing w:before="40" w:after="40"/>
              <w:ind w:left="100" w:right="100"/>
              <w:jc w:val="right"/>
            </w:pPr>
            <w:r>
              <w:rPr>
                <w:rFonts w:eastAsia="Century Gothic" w:cs="Century Gothic"/>
                <w:color w:val="000000"/>
                <w:sz w:val="18"/>
                <w:szCs w:val="18"/>
              </w:rPr>
              <w:t>7 (6%)</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B4C91D" w14:textId="77777777" w:rsidR="001C19F3" w:rsidRDefault="001C19F3" w:rsidP="00521305">
            <w:pPr>
              <w:spacing w:before="40" w:after="40"/>
              <w:ind w:left="100" w:right="100"/>
              <w:jc w:val="right"/>
            </w:pPr>
            <w:r>
              <w:rPr>
                <w:rFonts w:eastAsia="Century Gothic" w:cs="Century Gothic"/>
                <w:color w:val="000000"/>
                <w:sz w:val="18"/>
                <w:szCs w:val="18"/>
              </w:rPr>
              <w:t xml:space="preserve"> 0.08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44E4D" w14:textId="77777777" w:rsidR="001C19F3" w:rsidRDefault="001C19F3" w:rsidP="00521305">
            <w:pPr>
              <w:spacing w:before="40" w:after="40"/>
              <w:ind w:left="100" w:right="100"/>
              <w:jc w:val="right"/>
            </w:pPr>
            <w:r>
              <w:rPr>
                <w:rFonts w:eastAsia="Century Gothic" w:cs="Century Gothic"/>
                <w:color w:val="000000"/>
                <w:sz w:val="18"/>
                <w:szCs w:val="18"/>
              </w:rPr>
              <w:t xml:space="preserve">    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8CC7F9" w14:textId="77777777" w:rsidR="001C19F3" w:rsidRDefault="001C19F3" w:rsidP="00521305">
            <w:pPr>
              <w:spacing w:before="40" w:after="40"/>
              <w:ind w:left="100" w:right="100"/>
              <w:jc w:val="right"/>
            </w:pPr>
            <w:r>
              <w:rPr>
                <w:rFonts w:eastAsia="Century Gothic" w:cs="Century Gothic"/>
                <w:color w:val="000000"/>
                <w:sz w:val="18"/>
                <w:szCs w:val="18"/>
              </w:rPr>
              <w:t xml:space="preserve"> 0.06</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E079CB" w14:textId="77777777" w:rsidR="001C19F3" w:rsidRDefault="001C19F3" w:rsidP="00521305">
            <w:pPr>
              <w:spacing w:before="40" w:after="40"/>
              <w:ind w:left="100" w:right="100"/>
              <w:jc w:val="right"/>
            </w:pPr>
            <w:r>
              <w:rPr>
                <w:rFonts w:eastAsia="Century Gothic" w:cs="Century Gothic"/>
                <w:color w:val="000000"/>
                <w:sz w:val="18"/>
                <w:szCs w:val="18"/>
              </w:rPr>
              <w:t xml:space="preserve">    7</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AD2E86" w14:textId="77777777" w:rsidR="001C19F3" w:rsidRDefault="001C19F3" w:rsidP="00521305">
            <w:pPr>
              <w:spacing w:before="40" w:after="40"/>
              <w:ind w:left="100" w:right="100"/>
              <w:jc w:val="right"/>
            </w:pPr>
            <w:r>
              <w:rPr>
                <w:rFonts w:eastAsia="Century Gothic" w:cs="Century Gothic"/>
                <w:color w:val="000000"/>
                <w:sz w:val="18"/>
                <w:szCs w:val="18"/>
              </w:rPr>
              <w:t>0.3%</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DE92FB" w14:textId="77777777" w:rsidR="001C19F3" w:rsidRDefault="001C19F3" w:rsidP="00521305">
            <w:pPr>
              <w:spacing w:before="40" w:after="40"/>
              <w:ind w:left="100" w:right="100"/>
              <w:jc w:val="right"/>
            </w:pPr>
            <w:r>
              <w:rPr>
                <w:rFonts w:eastAsia="Century Gothic" w:cs="Century Gothic"/>
                <w:color w:val="000000"/>
                <w:sz w:val="18"/>
                <w:szCs w:val="18"/>
              </w:rPr>
              <w:t>22.2%</w:t>
            </w:r>
          </w:p>
        </w:tc>
      </w:tr>
      <w:tr w:rsidR="001C19F3" w14:paraId="159A2140"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81FE3" w14:textId="77777777" w:rsidR="001C19F3" w:rsidRDefault="001C19F3" w:rsidP="00521305">
            <w:pPr>
              <w:spacing w:before="40" w:after="40"/>
              <w:ind w:left="100" w:right="100"/>
            </w:pPr>
            <w:r>
              <w:rPr>
                <w:rFonts w:eastAsia="Century Gothic" w:cs="Century Gothic"/>
                <w:color w:val="000000"/>
                <w:sz w:val="18"/>
                <w:szCs w:val="18"/>
              </w:rPr>
              <w:t>Allied health</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EC0AC1" w14:textId="77777777" w:rsidR="001C19F3" w:rsidRDefault="001C19F3" w:rsidP="00521305">
            <w:pPr>
              <w:spacing w:before="40" w:after="40"/>
              <w:ind w:left="100" w:right="100"/>
              <w:jc w:val="right"/>
            </w:pPr>
            <w:r>
              <w:rPr>
                <w:rFonts w:eastAsia="Century Gothic" w:cs="Century Gothic"/>
                <w:color w:val="000000"/>
                <w:sz w:val="18"/>
                <w:szCs w:val="18"/>
              </w:rPr>
              <w:t>47 (39%)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6545EF" w14:textId="77777777" w:rsidR="001C19F3" w:rsidRDefault="001C19F3" w:rsidP="00521305">
            <w:pPr>
              <w:spacing w:before="40" w:after="40"/>
              <w:ind w:left="100" w:right="100"/>
              <w:jc w:val="right"/>
            </w:pPr>
            <w:r>
              <w:rPr>
                <w:rFonts w:eastAsia="Century Gothic" w:cs="Century Gothic"/>
                <w:color w:val="000000"/>
                <w:sz w:val="18"/>
                <w:szCs w:val="18"/>
              </w:rPr>
              <w:t xml:space="preserve"> 1.88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38C807" w14:textId="77777777" w:rsidR="001C19F3" w:rsidRDefault="001C19F3" w:rsidP="00521305">
            <w:pPr>
              <w:spacing w:before="40" w:after="40"/>
              <w:ind w:left="100" w:right="100"/>
              <w:jc w:val="right"/>
            </w:pPr>
            <w:r>
              <w:rPr>
                <w:rFonts w:eastAsia="Century Gothic" w:cs="Century Gothic"/>
                <w:color w:val="000000"/>
                <w:sz w:val="18"/>
                <w:szCs w:val="18"/>
              </w:rPr>
              <w:t xml:space="preserve">  224</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5E8518" w14:textId="77777777" w:rsidR="001C19F3" w:rsidRDefault="001C19F3" w:rsidP="00521305">
            <w:pPr>
              <w:spacing w:before="40" w:after="40"/>
              <w:ind w:left="100" w:right="100"/>
              <w:jc w:val="right"/>
            </w:pPr>
            <w:r>
              <w:rPr>
                <w:rFonts w:eastAsia="Century Gothic" w:cs="Century Gothic"/>
                <w:color w:val="000000"/>
                <w:sz w:val="18"/>
                <w:szCs w:val="18"/>
              </w:rPr>
              <w:t xml:space="preserve"> 1.91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24A74E" w14:textId="77777777" w:rsidR="001C19F3" w:rsidRDefault="001C19F3" w:rsidP="00521305">
            <w:pPr>
              <w:spacing w:before="40" w:after="40"/>
              <w:ind w:left="100" w:right="100"/>
              <w:jc w:val="right"/>
            </w:pPr>
            <w:r>
              <w:rPr>
                <w:rFonts w:eastAsia="Century Gothic" w:cs="Century Gothic"/>
                <w:color w:val="000000"/>
                <w:sz w:val="18"/>
                <w:szCs w:val="18"/>
              </w:rPr>
              <w:t xml:space="preserve">  227</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36761" w14:textId="77777777" w:rsidR="001C19F3" w:rsidRDefault="001C19F3" w:rsidP="00521305">
            <w:pPr>
              <w:spacing w:before="40" w:after="40"/>
              <w:ind w:left="100" w:right="100"/>
              <w:jc w:val="right"/>
            </w:pPr>
            <w:r>
              <w:rPr>
                <w:rFonts w:eastAsia="Century Gothic" w:cs="Century Gothic"/>
                <w:color w:val="000000"/>
                <w:sz w:val="18"/>
                <w:szCs w:val="18"/>
              </w:rPr>
              <w:t>11.3%</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11D160" w14:textId="77777777" w:rsidR="001C19F3" w:rsidRDefault="001C19F3" w:rsidP="00521305">
            <w:pPr>
              <w:spacing w:before="40" w:after="40"/>
              <w:ind w:left="100" w:right="100"/>
              <w:jc w:val="right"/>
            </w:pPr>
            <w:r>
              <w:rPr>
                <w:rFonts w:eastAsia="Century Gothic" w:cs="Century Gothic"/>
                <w:color w:val="000000"/>
                <w:sz w:val="18"/>
                <w:szCs w:val="18"/>
              </w:rPr>
              <w:t>4.2%</w:t>
            </w:r>
          </w:p>
        </w:tc>
      </w:tr>
      <w:tr w:rsidR="001C19F3" w14:paraId="4241194F"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FA51C4" w14:textId="77777777" w:rsidR="001C19F3" w:rsidRDefault="001C19F3" w:rsidP="00521305">
            <w:pPr>
              <w:spacing w:before="40" w:after="40"/>
              <w:ind w:left="100" w:right="100"/>
            </w:pPr>
            <w:r>
              <w:rPr>
                <w:rFonts w:eastAsia="Century Gothic" w:cs="Century Gothic"/>
                <w:color w:val="000000"/>
                <w:sz w:val="18"/>
                <w:szCs w:val="18"/>
              </w:rPr>
              <w:t>Allied health assistant</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1FAAEA" w14:textId="77777777" w:rsidR="001C19F3" w:rsidRDefault="001C19F3" w:rsidP="00521305">
            <w:pPr>
              <w:spacing w:before="40" w:after="40"/>
              <w:ind w:left="100" w:right="100"/>
              <w:jc w:val="right"/>
            </w:pPr>
            <w:r>
              <w:rPr>
                <w:rFonts w:eastAsia="Century Gothic" w:cs="Century Gothic"/>
                <w:color w:val="000000"/>
                <w:sz w:val="18"/>
                <w:szCs w:val="18"/>
              </w:rPr>
              <w:t>2 (2%)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C9D43" w14:textId="77777777" w:rsidR="001C19F3" w:rsidRDefault="001C19F3" w:rsidP="00521305">
            <w:pPr>
              <w:spacing w:before="40" w:after="40"/>
              <w:ind w:left="100" w:right="100"/>
              <w:jc w:val="right"/>
            </w:pPr>
            <w:r>
              <w:rPr>
                <w:rFonts w:eastAsia="Century Gothic" w:cs="Century Gothic"/>
                <w:color w:val="000000"/>
                <w:sz w:val="18"/>
                <w:szCs w:val="18"/>
              </w:rPr>
              <w:t xml:space="preserve"> 0.02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59ED68" w14:textId="77777777" w:rsidR="001C19F3" w:rsidRDefault="001C19F3" w:rsidP="00521305">
            <w:pPr>
              <w:spacing w:before="40" w:after="40"/>
              <w:ind w:left="100" w:right="100"/>
              <w:jc w:val="right"/>
            </w:pPr>
            <w:r>
              <w:rPr>
                <w:rFonts w:eastAsia="Century Gothic" w:cs="Century Gothic"/>
                <w:color w:val="000000"/>
                <w:sz w:val="18"/>
                <w:szCs w:val="18"/>
              </w:rPr>
              <w:t xml:space="preserve">    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56EFE" w14:textId="77777777" w:rsidR="001C19F3" w:rsidRDefault="001C19F3" w:rsidP="00521305">
            <w:pPr>
              <w:spacing w:before="40" w:after="40"/>
              <w:ind w:left="100" w:right="100"/>
              <w:jc w:val="right"/>
            </w:pPr>
            <w:r>
              <w:rPr>
                <w:rFonts w:eastAsia="Century Gothic" w:cs="Century Gothic"/>
                <w:color w:val="000000"/>
                <w:sz w:val="18"/>
                <w:szCs w:val="18"/>
              </w:rPr>
              <w:t xml:space="preserve"> 0.01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AFF9AA" w14:textId="77777777" w:rsidR="001C19F3" w:rsidRDefault="001C19F3" w:rsidP="00521305">
            <w:pPr>
              <w:spacing w:before="40" w:after="40"/>
              <w:ind w:left="100" w:right="100"/>
              <w:jc w:val="right"/>
            </w:pPr>
            <w:r>
              <w:rPr>
                <w:rFonts w:eastAsia="Century Gothic" w:cs="Century Gothic"/>
                <w:color w:val="000000"/>
                <w:sz w:val="18"/>
                <w:szCs w:val="18"/>
              </w:rPr>
              <w:t xml:space="preserve">    1</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09BE1C" w14:textId="77777777" w:rsidR="001C19F3" w:rsidRDefault="001C19F3" w:rsidP="00521305">
            <w:pPr>
              <w:spacing w:before="40" w:after="40"/>
              <w:ind w:left="100" w:right="100"/>
              <w:jc w:val="right"/>
            </w:pPr>
            <w:r>
              <w:rPr>
                <w:rFonts w:eastAsia="Century Gothic" w:cs="Century Gothic"/>
                <w:color w:val="000000"/>
                <w:sz w:val="18"/>
                <w:szCs w:val="18"/>
              </w:rPr>
              <w:t>0.1%</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CEF95B" w14:textId="77777777" w:rsidR="001C19F3" w:rsidRDefault="001C19F3" w:rsidP="00521305">
            <w:pPr>
              <w:spacing w:before="40" w:after="40"/>
              <w:ind w:left="100" w:right="100"/>
              <w:jc w:val="right"/>
            </w:pPr>
            <w:r>
              <w:rPr>
                <w:rFonts w:eastAsia="Century Gothic" w:cs="Century Gothic"/>
                <w:color w:val="000000"/>
                <w:sz w:val="18"/>
                <w:szCs w:val="18"/>
              </w:rPr>
              <w:t>0.0%</w:t>
            </w:r>
          </w:p>
        </w:tc>
      </w:tr>
      <w:tr w:rsidR="001C19F3" w14:paraId="64D209D8"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4D246" w14:textId="77777777" w:rsidR="001C19F3" w:rsidRDefault="001C19F3" w:rsidP="00521305">
            <w:pPr>
              <w:spacing w:before="40" w:after="40"/>
              <w:ind w:left="100" w:right="100"/>
            </w:pPr>
            <w:r>
              <w:rPr>
                <w:rFonts w:eastAsia="Century Gothic" w:cs="Century Gothic"/>
                <w:color w:val="000000"/>
                <w:sz w:val="18"/>
                <w:szCs w:val="18"/>
              </w:rPr>
              <w:t>Practice manager</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B3BAD1" w14:textId="77777777" w:rsidR="001C19F3" w:rsidRDefault="001C19F3" w:rsidP="00521305">
            <w:pPr>
              <w:spacing w:before="40" w:after="40"/>
              <w:ind w:left="100" w:right="100"/>
              <w:jc w:val="right"/>
            </w:pPr>
            <w:r>
              <w:rPr>
                <w:rFonts w:eastAsia="Century Gothic" w:cs="Century Gothic"/>
                <w:color w:val="000000"/>
                <w:sz w:val="18"/>
                <w:szCs w:val="18"/>
              </w:rPr>
              <w:t>109 (92%)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12D9A4" w14:textId="77777777" w:rsidR="001C19F3" w:rsidRDefault="001C19F3" w:rsidP="00521305">
            <w:pPr>
              <w:spacing w:before="40" w:after="40"/>
              <w:ind w:left="100" w:right="100"/>
              <w:jc w:val="right"/>
            </w:pPr>
            <w:r>
              <w:rPr>
                <w:rFonts w:eastAsia="Century Gothic" w:cs="Century Gothic"/>
                <w:color w:val="000000"/>
                <w:sz w:val="18"/>
                <w:szCs w:val="18"/>
              </w:rPr>
              <w:t xml:space="preserve"> 0.97</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3429C4" w14:textId="77777777" w:rsidR="001C19F3" w:rsidRDefault="001C19F3" w:rsidP="00521305">
            <w:pPr>
              <w:spacing w:before="40" w:after="40"/>
              <w:ind w:left="100" w:right="100"/>
              <w:jc w:val="right"/>
            </w:pPr>
            <w:r>
              <w:rPr>
                <w:rFonts w:eastAsia="Century Gothic" w:cs="Century Gothic"/>
                <w:color w:val="000000"/>
                <w:sz w:val="18"/>
                <w:szCs w:val="18"/>
              </w:rPr>
              <w:t xml:space="preserve">  116</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331F16" w14:textId="77777777" w:rsidR="001C19F3" w:rsidRDefault="001C19F3" w:rsidP="00521305">
            <w:pPr>
              <w:spacing w:before="40" w:after="40"/>
              <w:ind w:left="100" w:right="100"/>
              <w:jc w:val="right"/>
            </w:pPr>
            <w:r>
              <w:rPr>
                <w:rFonts w:eastAsia="Century Gothic" w:cs="Century Gothic"/>
                <w:color w:val="000000"/>
                <w:sz w:val="18"/>
                <w:szCs w:val="18"/>
              </w:rPr>
              <w:t xml:space="preserve"> 0.91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3C9BDC" w14:textId="77777777" w:rsidR="001C19F3" w:rsidRDefault="001C19F3" w:rsidP="00521305">
            <w:pPr>
              <w:spacing w:before="40" w:after="40"/>
              <w:ind w:left="100" w:right="100"/>
              <w:jc w:val="right"/>
            </w:pPr>
            <w:r>
              <w:rPr>
                <w:rFonts w:eastAsia="Century Gothic" w:cs="Century Gothic"/>
                <w:color w:val="000000"/>
                <w:sz w:val="18"/>
                <w:szCs w:val="18"/>
              </w:rPr>
              <w:t xml:space="preserve">  108</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340CFB" w14:textId="77777777" w:rsidR="001C19F3" w:rsidRDefault="001C19F3" w:rsidP="00521305">
            <w:pPr>
              <w:spacing w:before="40" w:after="40"/>
              <w:ind w:left="100" w:right="100"/>
              <w:jc w:val="right"/>
            </w:pPr>
            <w:r>
              <w:rPr>
                <w:rFonts w:eastAsia="Century Gothic" w:cs="Century Gothic"/>
                <w:color w:val="000000"/>
                <w:sz w:val="18"/>
                <w:szCs w:val="18"/>
              </w:rPr>
              <w:t>5.4%</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E2CCA8" w14:textId="77777777" w:rsidR="001C19F3" w:rsidRDefault="001C19F3" w:rsidP="00521305">
            <w:pPr>
              <w:spacing w:before="40" w:after="40"/>
              <w:ind w:left="100" w:right="100"/>
              <w:jc w:val="right"/>
            </w:pPr>
            <w:r>
              <w:rPr>
                <w:rFonts w:eastAsia="Century Gothic" w:cs="Century Gothic"/>
                <w:color w:val="000000"/>
                <w:sz w:val="18"/>
                <w:szCs w:val="18"/>
              </w:rPr>
              <w:t>4.8%</w:t>
            </w:r>
          </w:p>
        </w:tc>
      </w:tr>
      <w:tr w:rsidR="001C19F3" w14:paraId="3283BC85"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D081E0" w14:textId="77777777" w:rsidR="001C19F3" w:rsidRDefault="001C19F3" w:rsidP="00521305">
            <w:pPr>
              <w:spacing w:before="40" w:after="40"/>
              <w:ind w:left="100" w:right="100"/>
            </w:pPr>
            <w:r>
              <w:rPr>
                <w:rFonts w:eastAsia="Century Gothic" w:cs="Century Gothic"/>
                <w:color w:val="000000"/>
                <w:sz w:val="18"/>
                <w:szCs w:val="18"/>
              </w:rPr>
              <w:t>Receptionist/ admin staff</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13697C" w14:textId="77777777" w:rsidR="001C19F3" w:rsidRDefault="001C19F3" w:rsidP="00521305">
            <w:pPr>
              <w:spacing w:before="40" w:after="40"/>
              <w:ind w:left="100" w:right="100"/>
              <w:jc w:val="right"/>
            </w:pPr>
            <w:r>
              <w:rPr>
                <w:rFonts w:eastAsia="Century Gothic" w:cs="Century Gothic"/>
                <w:color w:val="000000"/>
                <w:sz w:val="18"/>
                <w:szCs w:val="18"/>
              </w:rPr>
              <w:t>114 (96%)</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C27E3B" w14:textId="77777777" w:rsidR="001C19F3" w:rsidRDefault="001C19F3" w:rsidP="00521305">
            <w:pPr>
              <w:spacing w:before="40" w:after="40"/>
              <w:ind w:left="100" w:right="100"/>
              <w:jc w:val="right"/>
            </w:pPr>
            <w:r>
              <w:rPr>
                <w:rFonts w:eastAsia="Century Gothic" w:cs="Century Gothic"/>
                <w:color w:val="000000"/>
                <w:sz w:val="18"/>
                <w:szCs w:val="18"/>
              </w:rPr>
              <w:t xml:space="preserve"> 5.42</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718284" w14:textId="77777777" w:rsidR="001C19F3" w:rsidRDefault="001C19F3" w:rsidP="00521305">
            <w:pPr>
              <w:spacing w:before="40" w:after="40"/>
              <w:ind w:left="100" w:right="100"/>
              <w:jc w:val="right"/>
            </w:pPr>
            <w:r>
              <w:rPr>
                <w:rFonts w:eastAsia="Century Gothic" w:cs="Century Gothic"/>
                <w:color w:val="000000"/>
                <w:sz w:val="18"/>
                <w:szCs w:val="18"/>
              </w:rPr>
              <w:t xml:space="preserve">  645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A8B6B3" w14:textId="77777777" w:rsidR="001C19F3" w:rsidRDefault="001C19F3" w:rsidP="00521305">
            <w:pPr>
              <w:spacing w:before="40" w:after="40"/>
              <w:ind w:left="100" w:right="100"/>
              <w:jc w:val="right"/>
            </w:pPr>
            <w:r>
              <w:rPr>
                <w:rFonts w:eastAsia="Century Gothic" w:cs="Century Gothic"/>
                <w:color w:val="000000"/>
                <w:sz w:val="18"/>
                <w:szCs w:val="18"/>
              </w:rPr>
              <w:t xml:space="preserve"> 4.33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5EC6E" w14:textId="77777777" w:rsidR="001C19F3" w:rsidRDefault="001C19F3" w:rsidP="00521305">
            <w:pPr>
              <w:spacing w:before="40" w:after="40"/>
              <w:ind w:left="100" w:right="100"/>
              <w:jc w:val="right"/>
            </w:pPr>
            <w:r>
              <w:rPr>
                <w:rFonts w:eastAsia="Century Gothic" w:cs="Century Gothic"/>
                <w:color w:val="000000"/>
                <w:sz w:val="18"/>
                <w:szCs w:val="18"/>
              </w:rPr>
              <w:t xml:space="preserve">  515</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FC3E62" w14:textId="77777777" w:rsidR="001C19F3" w:rsidRDefault="001C19F3" w:rsidP="00521305">
            <w:pPr>
              <w:spacing w:before="40" w:after="40"/>
              <w:ind w:left="100" w:right="100"/>
              <w:jc w:val="right"/>
            </w:pPr>
            <w:r>
              <w:rPr>
                <w:rFonts w:eastAsia="Century Gothic" w:cs="Century Gothic"/>
                <w:color w:val="000000"/>
                <w:sz w:val="18"/>
                <w:szCs w:val="18"/>
              </w:rPr>
              <w:t>25.6%</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20A58" w14:textId="77777777" w:rsidR="001C19F3" w:rsidRDefault="001C19F3" w:rsidP="00521305">
            <w:pPr>
              <w:spacing w:before="40" w:after="40"/>
              <w:ind w:left="100" w:right="100"/>
              <w:jc w:val="right"/>
            </w:pPr>
            <w:r>
              <w:rPr>
                <w:rFonts w:eastAsia="Century Gothic" w:cs="Century Gothic"/>
                <w:color w:val="000000"/>
                <w:sz w:val="18"/>
                <w:szCs w:val="18"/>
              </w:rPr>
              <w:t>1.1%</w:t>
            </w:r>
          </w:p>
        </w:tc>
      </w:tr>
      <w:tr w:rsidR="001C19F3" w14:paraId="20FCE71F"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E3F92F" w14:textId="77777777" w:rsidR="001C19F3" w:rsidRDefault="001C19F3" w:rsidP="00521305">
            <w:pPr>
              <w:spacing w:before="40" w:after="40"/>
              <w:ind w:left="100" w:right="100"/>
            </w:pPr>
            <w:r>
              <w:rPr>
                <w:rFonts w:eastAsia="Century Gothic" w:cs="Century Gothic"/>
                <w:color w:val="000000"/>
                <w:sz w:val="18"/>
                <w:szCs w:val="18"/>
              </w:rPr>
              <w:t>Other staff</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DB42C2" w14:textId="77777777" w:rsidR="001C19F3" w:rsidRDefault="001C19F3" w:rsidP="00521305">
            <w:pPr>
              <w:spacing w:before="40" w:after="40"/>
              <w:ind w:left="100" w:right="100"/>
              <w:jc w:val="right"/>
            </w:pPr>
            <w:r>
              <w:rPr>
                <w:rFonts w:eastAsia="Century Gothic" w:cs="Century Gothic"/>
                <w:color w:val="000000"/>
                <w:sz w:val="18"/>
                <w:szCs w:val="18"/>
              </w:rPr>
              <w:t>18 (15%)</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9CFFA5" w14:textId="77777777" w:rsidR="001C19F3" w:rsidRDefault="001C19F3" w:rsidP="00521305">
            <w:pPr>
              <w:spacing w:before="40" w:after="40"/>
              <w:ind w:left="100" w:right="100"/>
              <w:jc w:val="right"/>
            </w:pPr>
            <w:r>
              <w:rPr>
                <w:rFonts w:eastAsia="Century Gothic" w:cs="Century Gothic"/>
                <w:color w:val="000000"/>
                <w:sz w:val="18"/>
                <w:szCs w:val="18"/>
              </w:rPr>
              <w:t xml:space="preserve"> 0.43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082E63" w14:textId="77777777" w:rsidR="001C19F3" w:rsidRDefault="001C19F3" w:rsidP="00521305">
            <w:pPr>
              <w:spacing w:before="40" w:after="40"/>
              <w:ind w:left="100" w:right="100"/>
              <w:jc w:val="right"/>
            </w:pPr>
            <w:r>
              <w:rPr>
                <w:rFonts w:eastAsia="Century Gothic" w:cs="Century Gothic"/>
                <w:color w:val="000000"/>
                <w:sz w:val="18"/>
                <w:szCs w:val="18"/>
              </w:rPr>
              <w:t xml:space="preserve">   51</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876D0" w14:textId="77777777" w:rsidR="001C19F3" w:rsidRDefault="001C19F3" w:rsidP="00521305">
            <w:pPr>
              <w:spacing w:before="40" w:after="40"/>
              <w:ind w:left="100" w:right="100"/>
              <w:jc w:val="right"/>
            </w:pPr>
            <w:r>
              <w:rPr>
                <w:rFonts w:eastAsia="Century Gothic" w:cs="Century Gothic"/>
                <w:color w:val="000000"/>
                <w:sz w:val="18"/>
                <w:szCs w:val="18"/>
              </w:rPr>
              <w:t xml:space="preserve"> 0.43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22E44D" w14:textId="77777777" w:rsidR="001C19F3" w:rsidRDefault="001C19F3" w:rsidP="00521305">
            <w:pPr>
              <w:spacing w:before="40" w:after="40"/>
              <w:ind w:left="100" w:right="100"/>
              <w:jc w:val="right"/>
            </w:pPr>
            <w:r>
              <w:rPr>
                <w:rFonts w:eastAsia="Century Gothic" w:cs="Century Gothic"/>
                <w:color w:val="000000"/>
                <w:sz w:val="18"/>
                <w:szCs w:val="18"/>
              </w:rPr>
              <w:t xml:space="preserve">   52</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D3689" w14:textId="77777777" w:rsidR="001C19F3" w:rsidRDefault="001C19F3" w:rsidP="00521305">
            <w:pPr>
              <w:spacing w:before="40" w:after="40"/>
              <w:ind w:left="100" w:right="100"/>
              <w:jc w:val="right"/>
            </w:pPr>
            <w:r>
              <w:rPr>
                <w:rFonts w:eastAsia="Century Gothic" w:cs="Century Gothic"/>
                <w:color w:val="000000"/>
                <w:sz w:val="18"/>
                <w:szCs w:val="18"/>
              </w:rPr>
              <w:t>2.6%</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21A6F" w14:textId="77777777" w:rsidR="001C19F3" w:rsidRDefault="001C19F3" w:rsidP="00521305">
            <w:pPr>
              <w:spacing w:before="40" w:after="40"/>
              <w:ind w:left="100" w:right="100"/>
              <w:jc w:val="right"/>
            </w:pPr>
            <w:r>
              <w:rPr>
                <w:rFonts w:eastAsia="Century Gothic" w:cs="Century Gothic"/>
                <w:color w:val="000000"/>
                <w:sz w:val="18"/>
                <w:szCs w:val="18"/>
              </w:rPr>
              <w:t>7.8%</w:t>
            </w:r>
          </w:p>
        </w:tc>
      </w:tr>
      <w:tr w:rsidR="001C19F3" w14:paraId="126D0050" w14:textId="77777777" w:rsidTr="00521305">
        <w:trPr>
          <w:cantSplit/>
          <w:jc w:val="center"/>
        </w:trPr>
        <w:tc>
          <w:tcPr>
            <w:tcW w:w="263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3B5F17" w14:textId="77777777" w:rsidR="001C19F3" w:rsidRPr="005F4A16" w:rsidRDefault="001C19F3" w:rsidP="00521305">
            <w:pPr>
              <w:spacing w:before="40" w:after="40"/>
              <w:ind w:left="100" w:right="100"/>
              <w:rPr>
                <w:b/>
              </w:rPr>
            </w:pPr>
            <w:r w:rsidRPr="005F4A16">
              <w:rPr>
                <w:rFonts w:eastAsia="Century Gothic" w:cs="Century Gothic"/>
                <w:b/>
                <w:color w:val="000000"/>
                <w:sz w:val="18"/>
                <w:szCs w:val="18"/>
              </w:rPr>
              <w:t>Total</w:t>
            </w:r>
          </w:p>
        </w:tc>
        <w:tc>
          <w:tcPr>
            <w:tcW w:w="123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BBAC20"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119 (100%)</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C73F5D"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20.58</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69074"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2,449</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70786D"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16.93</w:t>
            </w:r>
          </w:p>
        </w:tc>
        <w:tc>
          <w:tcPr>
            <w:tcW w:w="8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C8AF9C"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2,014</w:t>
            </w:r>
          </w:p>
        </w:tc>
        <w:tc>
          <w:tcPr>
            <w:tcW w:w="8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05CE7C"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100.0%</w:t>
            </w:r>
          </w:p>
        </w:tc>
        <w:tc>
          <w:tcPr>
            <w:tcW w:w="100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CF4A95" w14:textId="77777777" w:rsidR="001C19F3" w:rsidRPr="005F4A16" w:rsidRDefault="001C19F3" w:rsidP="00521305">
            <w:pPr>
              <w:spacing w:before="40" w:after="40"/>
              <w:ind w:left="100" w:right="100"/>
              <w:jc w:val="right"/>
              <w:rPr>
                <w:b/>
              </w:rPr>
            </w:pPr>
            <w:r w:rsidRPr="005F4A16">
              <w:rPr>
                <w:rFonts w:eastAsia="Century Gothic" w:cs="Century Gothic"/>
                <w:b/>
                <w:color w:val="000000"/>
                <w:sz w:val="18"/>
                <w:szCs w:val="18"/>
              </w:rPr>
              <w:t>4.3%</w:t>
            </w:r>
          </w:p>
        </w:tc>
      </w:tr>
    </w:tbl>
    <w:p w14:paraId="7AB1A9CB" w14:textId="77777777" w:rsidR="001C19F3" w:rsidRDefault="001C19F3" w:rsidP="001C19F3">
      <w:pPr>
        <w:jc w:val="center"/>
        <w:rPr>
          <w:rFonts w:eastAsia="Century Gothic" w:cs="Century Gothic"/>
          <w:i/>
          <w:color w:val="000000"/>
          <w:sz w:val="18"/>
          <w:szCs w:val="18"/>
        </w:rPr>
      </w:pPr>
      <w:r>
        <w:rPr>
          <w:rFonts w:eastAsia="Century Gothic" w:cs="Century Gothic"/>
          <w:i/>
          <w:color w:val="000000"/>
          <w:sz w:val="18"/>
          <w:szCs w:val="18"/>
        </w:rPr>
        <w:t>Source: Practice survey R1 Part A, Mar-Jun 2018. The Table relates to active practices as at 31 August 2019.</w:t>
      </w:r>
    </w:p>
    <w:p w14:paraId="0CCBBB73" w14:textId="77777777" w:rsidR="001C19F3" w:rsidRDefault="001C19F3" w:rsidP="001C19F3">
      <w:pPr>
        <w:pStyle w:val="Caption1"/>
        <w:spacing w:after="0"/>
      </w:pPr>
      <w:bookmarkStart w:id="130" w:name="_Ref21691510"/>
      <w:r>
        <w:t xml:space="preserve">Table </w:t>
      </w:r>
      <w:r>
        <w:fldChar w:fldCharType="begin"/>
      </w:r>
      <w:r>
        <w:instrText>SEQ Table \* ARABIC</w:instrText>
      </w:r>
      <w:r>
        <w:fldChar w:fldCharType="separate"/>
      </w:r>
      <w:r>
        <w:rPr>
          <w:noProof/>
        </w:rPr>
        <w:t>8</w:t>
      </w:r>
      <w:r>
        <w:fldChar w:fldCharType="end"/>
      </w:r>
      <w:bookmarkEnd w:id="130"/>
      <w:r>
        <w:t xml:space="preserve"> – Details of allied health staff reported by practices</w:t>
      </w:r>
    </w:p>
    <w:tbl>
      <w:tblPr>
        <w:tblW w:w="4638" w:type="pct"/>
        <w:jc w:val="center"/>
        <w:tblLook w:val="04A0" w:firstRow="1" w:lastRow="0" w:firstColumn="1" w:lastColumn="0" w:noHBand="0" w:noVBand="1"/>
      </w:tblPr>
      <w:tblGrid>
        <w:gridCol w:w="2551"/>
        <w:gridCol w:w="1709"/>
        <w:gridCol w:w="1255"/>
        <w:gridCol w:w="1255"/>
        <w:gridCol w:w="1584"/>
      </w:tblGrid>
      <w:tr w:rsidR="001C19F3" w14:paraId="055FF6EE" w14:textId="77777777" w:rsidTr="00521305">
        <w:trPr>
          <w:cantSplit/>
          <w:trHeight w:val="336"/>
          <w:tblHeader/>
          <w:jc w:val="center"/>
        </w:trPr>
        <w:tc>
          <w:tcPr>
            <w:tcW w:w="1527"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EE2D110" w14:textId="77777777" w:rsidR="001C19F3" w:rsidRDefault="001C19F3" w:rsidP="00521305">
            <w:pPr>
              <w:spacing w:after="0"/>
              <w:jc w:val="center"/>
            </w:pPr>
            <w:r>
              <w:rPr>
                <w:rFonts w:eastAsia="Century Gothic" w:cs="Century Gothic"/>
                <w:b/>
                <w:color w:val="FFFFFF"/>
                <w:sz w:val="18"/>
                <w:szCs w:val="18"/>
              </w:rPr>
              <w:t>Staff type</w:t>
            </w:r>
          </w:p>
        </w:tc>
        <w:tc>
          <w:tcPr>
            <w:tcW w:w="1023"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E7B4C0C" w14:textId="77777777" w:rsidR="001C19F3" w:rsidRDefault="001C19F3" w:rsidP="00521305">
            <w:pPr>
              <w:spacing w:after="0"/>
              <w:jc w:val="center"/>
            </w:pPr>
            <w:r>
              <w:rPr>
                <w:rFonts w:eastAsia="Century Gothic" w:cs="Century Gothic"/>
                <w:b/>
                <w:color w:val="FFFFFF"/>
                <w:sz w:val="18"/>
                <w:szCs w:val="18"/>
              </w:rPr>
              <w:t>Practices</w:t>
            </w:r>
            <w:r>
              <w:rPr>
                <w:rFonts w:eastAsia="Century Gothic" w:cs="Century Gothic"/>
                <w:b/>
                <w:color w:val="FFFFFF"/>
                <w:sz w:val="18"/>
                <w:szCs w:val="18"/>
              </w:rPr>
              <w:br/>
              <w:t>reporting staff</w:t>
            </w:r>
            <w:r>
              <w:rPr>
                <w:rFonts w:eastAsia="Century Gothic" w:cs="Century Gothic"/>
                <w:b/>
                <w:color w:val="FFFFFF"/>
                <w:sz w:val="18"/>
                <w:szCs w:val="18"/>
              </w:rPr>
              <w:br/>
              <w:t>type n (%)</w:t>
            </w:r>
          </w:p>
        </w:tc>
        <w:tc>
          <w:tcPr>
            <w:tcW w:w="2450"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B213E4E" w14:textId="77777777" w:rsidR="001C19F3" w:rsidRDefault="001C19F3" w:rsidP="00521305">
            <w:pPr>
              <w:spacing w:after="0"/>
              <w:jc w:val="center"/>
            </w:pPr>
            <w:r>
              <w:rPr>
                <w:rFonts w:eastAsia="Century Gothic" w:cs="Century Gothic"/>
                <w:b/>
                <w:color w:val="FFFFFF"/>
                <w:sz w:val="18"/>
                <w:szCs w:val="18"/>
              </w:rPr>
              <w:t>FTE</w:t>
            </w:r>
          </w:p>
        </w:tc>
      </w:tr>
      <w:tr w:rsidR="001C19F3" w14:paraId="7C693896" w14:textId="77777777" w:rsidTr="00521305">
        <w:trPr>
          <w:cantSplit/>
          <w:trHeight w:val="304"/>
          <w:tblHeader/>
          <w:jc w:val="center"/>
        </w:trPr>
        <w:tc>
          <w:tcPr>
            <w:tcW w:w="1527" w:type="pct"/>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D90AB9A" w14:textId="77777777" w:rsidR="001C19F3" w:rsidRDefault="001C19F3" w:rsidP="00521305">
            <w:pPr>
              <w:spacing w:after="0"/>
              <w:jc w:val="center"/>
            </w:pPr>
          </w:p>
        </w:tc>
        <w:tc>
          <w:tcPr>
            <w:tcW w:w="1023" w:type="pct"/>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214140D" w14:textId="77777777" w:rsidR="001C19F3" w:rsidRDefault="001C19F3" w:rsidP="00521305">
            <w:pPr>
              <w:spacing w:after="0"/>
              <w:jc w:val="center"/>
            </w:pPr>
          </w:p>
        </w:tc>
        <w:tc>
          <w:tcPr>
            <w:tcW w:w="751"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7522026" w14:textId="77777777" w:rsidR="001C19F3" w:rsidRDefault="001C19F3" w:rsidP="00521305">
            <w:pPr>
              <w:spacing w:after="0"/>
              <w:jc w:val="center"/>
            </w:pPr>
            <w:r>
              <w:rPr>
                <w:rFonts w:eastAsia="Century Gothic" w:cs="Century Gothic"/>
                <w:b/>
                <w:color w:val="FFFFFF"/>
                <w:sz w:val="18"/>
                <w:szCs w:val="18"/>
              </w:rPr>
              <w:t>Mean</w:t>
            </w:r>
            <w:r w:rsidRPr="00FC4A0A">
              <w:rPr>
                <w:rFonts w:eastAsia="Century Gothic" w:cs="Century Gothic"/>
                <w:b/>
                <w:color w:val="FFFFFF"/>
                <w:sz w:val="18"/>
                <w:szCs w:val="18"/>
                <w:vertAlign w:val="superscript"/>
              </w:rPr>
              <w:t>1</w:t>
            </w:r>
          </w:p>
        </w:tc>
        <w:tc>
          <w:tcPr>
            <w:tcW w:w="751"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4A81B16" w14:textId="77777777" w:rsidR="001C19F3" w:rsidRDefault="001C19F3" w:rsidP="00521305">
            <w:pPr>
              <w:spacing w:after="0"/>
              <w:jc w:val="center"/>
            </w:pPr>
            <w:r>
              <w:rPr>
                <w:rFonts w:eastAsia="Century Gothic" w:cs="Century Gothic"/>
                <w:b/>
                <w:color w:val="FFFFFF"/>
                <w:sz w:val="18"/>
                <w:szCs w:val="18"/>
              </w:rPr>
              <w:t>Total</w:t>
            </w:r>
          </w:p>
        </w:tc>
        <w:tc>
          <w:tcPr>
            <w:tcW w:w="94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0023E733" w14:textId="77777777" w:rsidR="001C19F3" w:rsidRDefault="001C19F3" w:rsidP="00521305">
            <w:pPr>
              <w:spacing w:after="0"/>
              <w:jc w:val="center"/>
            </w:pPr>
            <w:r>
              <w:rPr>
                <w:rFonts w:eastAsia="Century Gothic" w:cs="Century Gothic"/>
                <w:b/>
                <w:color w:val="FFFFFF"/>
                <w:sz w:val="18"/>
                <w:szCs w:val="18"/>
              </w:rPr>
              <w:t>% of total FTE</w:t>
            </w:r>
          </w:p>
        </w:tc>
      </w:tr>
      <w:tr w:rsidR="001C19F3" w14:paraId="22607C09"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ACC103" w14:textId="77777777" w:rsidR="001C19F3" w:rsidRDefault="001C19F3" w:rsidP="00521305">
            <w:pPr>
              <w:spacing w:before="40" w:after="40"/>
              <w:ind w:left="100" w:right="100"/>
            </w:pPr>
            <w:r>
              <w:rPr>
                <w:rFonts w:eastAsia="Century Gothic" w:cs="Century Gothic"/>
                <w:color w:val="000000"/>
                <w:sz w:val="18"/>
                <w:szCs w:val="18"/>
              </w:rPr>
              <w:t>Physiotherapist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757551" w14:textId="77777777" w:rsidR="001C19F3" w:rsidRDefault="001C19F3" w:rsidP="00521305">
            <w:pPr>
              <w:spacing w:before="40" w:after="40"/>
              <w:ind w:left="100" w:right="100"/>
              <w:jc w:val="right"/>
            </w:pPr>
            <w:r>
              <w:rPr>
                <w:rFonts w:eastAsia="Century Gothic" w:cs="Century Gothic"/>
                <w:color w:val="000000"/>
                <w:sz w:val="18"/>
                <w:szCs w:val="18"/>
              </w:rPr>
              <w:t>34 (50%)</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228D8C" w14:textId="77777777" w:rsidR="001C19F3" w:rsidRDefault="001C19F3" w:rsidP="00521305">
            <w:pPr>
              <w:spacing w:before="40" w:after="40"/>
              <w:ind w:left="100" w:right="100"/>
              <w:jc w:val="right"/>
            </w:pPr>
            <w:r>
              <w:rPr>
                <w:rFonts w:eastAsia="Century Gothic" w:cs="Century Gothic"/>
                <w:color w:val="000000"/>
                <w:sz w:val="18"/>
                <w:szCs w:val="18"/>
              </w:rPr>
              <w:t>0.53</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9D2DFF" w14:textId="77777777" w:rsidR="001C19F3" w:rsidRDefault="001C19F3" w:rsidP="00521305">
            <w:pPr>
              <w:spacing w:before="40" w:after="40"/>
              <w:ind w:left="100" w:right="100"/>
              <w:jc w:val="right"/>
            </w:pPr>
            <w:r>
              <w:rPr>
                <w:rFonts w:eastAsia="Century Gothic" w:cs="Century Gothic"/>
                <w:color w:val="000000"/>
                <w:sz w:val="18"/>
                <w:szCs w:val="18"/>
              </w:rPr>
              <w:t xml:space="preserve"> 36</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FA461C" w14:textId="77777777" w:rsidR="001C19F3" w:rsidRDefault="001C19F3" w:rsidP="00521305">
            <w:pPr>
              <w:spacing w:before="40" w:after="40"/>
              <w:ind w:left="100" w:right="100"/>
              <w:jc w:val="right"/>
            </w:pPr>
            <w:r>
              <w:rPr>
                <w:rFonts w:eastAsia="Century Gothic" w:cs="Century Gothic"/>
                <w:color w:val="000000"/>
                <w:sz w:val="18"/>
                <w:szCs w:val="18"/>
              </w:rPr>
              <w:t>11.8%</w:t>
            </w:r>
          </w:p>
        </w:tc>
      </w:tr>
      <w:tr w:rsidR="001C19F3" w14:paraId="2D266674"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833345" w14:textId="77777777" w:rsidR="001C19F3" w:rsidRDefault="001C19F3" w:rsidP="00521305">
            <w:pPr>
              <w:spacing w:before="40" w:after="40"/>
              <w:ind w:left="100" w:right="100"/>
            </w:pPr>
            <w:r>
              <w:rPr>
                <w:rFonts w:eastAsia="Century Gothic" w:cs="Century Gothic"/>
                <w:color w:val="000000"/>
                <w:sz w:val="18"/>
                <w:szCs w:val="18"/>
              </w:rPr>
              <w:t>Dietitian</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52BB47" w14:textId="77777777" w:rsidR="001C19F3" w:rsidRDefault="001C19F3" w:rsidP="00521305">
            <w:pPr>
              <w:spacing w:before="40" w:after="40"/>
              <w:ind w:left="100" w:right="100"/>
              <w:jc w:val="right"/>
            </w:pPr>
            <w:r>
              <w:rPr>
                <w:rFonts w:eastAsia="Century Gothic" w:cs="Century Gothic"/>
                <w:color w:val="000000"/>
                <w:sz w:val="18"/>
                <w:szCs w:val="18"/>
              </w:rPr>
              <w:t>45 (66%)</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E76B22" w14:textId="77777777" w:rsidR="001C19F3" w:rsidRDefault="001C19F3" w:rsidP="00521305">
            <w:pPr>
              <w:spacing w:before="40" w:after="40"/>
              <w:ind w:left="100" w:right="100"/>
              <w:jc w:val="right"/>
            </w:pPr>
            <w:r>
              <w:rPr>
                <w:rFonts w:eastAsia="Century Gothic" w:cs="Century Gothic"/>
                <w:color w:val="000000"/>
                <w:sz w:val="18"/>
                <w:szCs w:val="18"/>
              </w:rPr>
              <w:t>0.62</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05D71C" w14:textId="77777777" w:rsidR="001C19F3" w:rsidRDefault="001C19F3" w:rsidP="00521305">
            <w:pPr>
              <w:spacing w:before="40" w:after="40"/>
              <w:ind w:left="100" w:right="100"/>
              <w:jc w:val="right"/>
            </w:pPr>
            <w:r>
              <w:rPr>
                <w:rFonts w:eastAsia="Century Gothic" w:cs="Century Gothic"/>
                <w:color w:val="000000"/>
                <w:sz w:val="18"/>
                <w:szCs w:val="18"/>
              </w:rPr>
              <w:t xml:space="preserve"> 42</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1A2C67" w14:textId="77777777" w:rsidR="001C19F3" w:rsidRDefault="001C19F3" w:rsidP="00521305">
            <w:pPr>
              <w:spacing w:before="40" w:after="40"/>
              <w:ind w:left="100" w:right="100"/>
              <w:jc w:val="right"/>
            </w:pPr>
            <w:r>
              <w:rPr>
                <w:rFonts w:eastAsia="Century Gothic" w:cs="Century Gothic"/>
                <w:color w:val="000000"/>
                <w:sz w:val="18"/>
                <w:szCs w:val="18"/>
              </w:rPr>
              <w:t>13.8%</w:t>
            </w:r>
          </w:p>
        </w:tc>
      </w:tr>
      <w:tr w:rsidR="001C19F3" w14:paraId="3D07FB94"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352D5C" w14:textId="77777777" w:rsidR="001C19F3" w:rsidRDefault="001C19F3" w:rsidP="00521305">
            <w:pPr>
              <w:spacing w:before="40" w:after="40"/>
              <w:ind w:left="100" w:right="100"/>
            </w:pPr>
            <w:r>
              <w:rPr>
                <w:rFonts w:eastAsia="Century Gothic" w:cs="Century Gothic"/>
                <w:color w:val="000000"/>
                <w:sz w:val="18"/>
                <w:szCs w:val="18"/>
              </w:rPr>
              <w:t>Exercise Physiologist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19E542" w14:textId="77777777" w:rsidR="001C19F3" w:rsidRDefault="001C19F3" w:rsidP="00521305">
            <w:pPr>
              <w:spacing w:before="40" w:after="40"/>
              <w:ind w:left="100" w:right="100"/>
              <w:jc w:val="right"/>
            </w:pPr>
            <w:r>
              <w:rPr>
                <w:rFonts w:eastAsia="Century Gothic" w:cs="Century Gothic"/>
                <w:color w:val="000000"/>
                <w:sz w:val="18"/>
                <w:szCs w:val="18"/>
              </w:rPr>
              <w:t>19 (28%)</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7CEFB8" w14:textId="77777777" w:rsidR="001C19F3" w:rsidRDefault="001C19F3" w:rsidP="00521305">
            <w:pPr>
              <w:spacing w:before="40" w:after="40"/>
              <w:ind w:left="100" w:right="100"/>
              <w:jc w:val="right"/>
            </w:pPr>
            <w:r>
              <w:rPr>
                <w:rFonts w:eastAsia="Century Gothic" w:cs="Century Gothic"/>
                <w:color w:val="000000"/>
                <w:sz w:val="18"/>
                <w:szCs w:val="18"/>
              </w:rPr>
              <w:t>0.20</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05180B" w14:textId="77777777" w:rsidR="001C19F3" w:rsidRDefault="001C19F3" w:rsidP="00521305">
            <w:pPr>
              <w:spacing w:before="40" w:after="40"/>
              <w:ind w:left="100" w:right="100"/>
              <w:jc w:val="right"/>
            </w:pPr>
            <w:r>
              <w:rPr>
                <w:rFonts w:eastAsia="Century Gothic" w:cs="Century Gothic"/>
                <w:color w:val="000000"/>
                <w:sz w:val="18"/>
                <w:szCs w:val="18"/>
              </w:rPr>
              <w:t xml:space="preserve"> 14</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7852A9" w14:textId="77777777" w:rsidR="001C19F3" w:rsidRDefault="001C19F3" w:rsidP="00521305">
            <w:pPr>
              <w:spacing w:before="40" w:after="40"/>
              <w:ind w:left="100" w:right="100"/>
              <w:jc w:val="right"/>
            </w:pPr>
            <w:r>
              <w:rPr>
                <w:rFonts w:eastAsia="Century Gothic" w:cs="Century Gothic"/>
                <w:color w:val="000000"/>
                <w:sz w:val="18"/>
                <w:szCs w:val="18"/>
              </w:rPr>
              <w:t>4.5%</w:t>
            </w:r>
          </w:p>
        </w:tc>
      </w:tr>
      <w:tr w:rsidR="001C19F3" w14:paraId="42A6C644"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4B42F7" w14:textId="77777777" w:rsidR="001C19F3" w:rsidRDefault="001C19F3" w:rsidP="00521305">
            <w:pPr>
              <w:spacing w:before="40" w:after="40"/>
              <w:ind w:left="100" w:right="100"/>
            </w:pPr>
            <w:r>
              <w:rPr>
                <w:rFonts w:eastAsia="Century Gothic" w:cs="Century Gothic"/>
                <w:color w:val="000000"/>
                <w:sz w:val="18"/>
                <w:szCs w:val="18"/>
              </w:rPr>
              <w:t>Psychologist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54F4A4" w14:textId="77777777" w:rsidR="001C19F3" w:rsidRDefault="001C19F3" w:rsidP="00521305">
            <w:pPr>
              <w:spacing w:before="40" w:after="40"/>
              <w:ind w:left="100" w:right="100"/>
              <w:jc w:val="right"/>
            </w:pPr>
            <w:r>
              <w:rPr>
                <w:rFonts w:eastAsia="Century Gothic" w:cs="Century Gothic"/>
                <w:color w:val="000000"/>
                <w:sz w:val="18"/>
                <w:szCs w:val="18"/>
              </w:rPr>
              <w:t>48 (71%)</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3A1B9C" w14:textId="77777777" w:rsidR="001C19F3" w:rsidRDefault="001C19F3" w:rsidP="00521305">
            <w:pPr>
              <w:spacing w:before="40" w:after="40"/>
              <w:ind w:left="100" w:right="100"/>
              <w:jc w:val="right"/>
            </w:pPr>
            <w:r>
              <w:rPr>
                <w:rFonts w:eastAsia="Century Gothic" w:cs="Century Gothic"/>
                <w:color w:val="000000"/>
                <w:sz w:val="18"/>
                <w:szCs w:val="18"/>
              </w:rPr>
              <w:t>0.82</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41F5F4" w14:textId="77777777" w:rsidR="001C19F3" w:rsidRDefault="001C19F3" w:rsidP="00521305">
            <w:pPr>
              <w:spacing w:before="40" w:after="40"/>
              <w:ind w:left="100" w:right="100"/>
              <w:jc w:val="right"/>
            </w:pPr>
            <w:r>
              <w:rPr>
                <w:rFonts w:eastAsia="Century Gothic" w:cs="Century Gothic"/>
                <w:color w:val="000000"/>
                <w:sz w:val="18"/>
                <w:szCs w:val="18"/>
              </w:rPr>
              <w:t xml:space="preserve"> 55</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857A04" w14:textId="77777777" w:rsidR="001C19F3" w:rsidRDefault="001C19F3" w:rsidP="00521305">
            <w:pPr>
              <w:spacing w:before="40" w:after="40"/>
              <w:ind w:left="100" w:right="100"/>
              <w:jc w:val="right"/>
            </w:pPr>
            <w:r>
              <w:rPr>
                <w:rFonts w:eastAsia="Century Gothic" w:cs="Century Gothic"/>
                <w:color w:val="000000"/>
                <w:sz w:val="18"/>
                <w:szCs w:val="18"/>
              </w:rPr>
              <w:t>18.0%</w:t>
            </w:r>
          </w:p>
        </w:tc>
      </w:tr>
      <w:tr w:rsidR="001C19F3" w14:paraId="326DFE94"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10FE3D" w14:textId="77777777" w:rsidR="001C19F3" w:rsidRDefault="001C19F3" w:rsidP="00521305">
            <w:pPr>
              <w:spacing w:before="40" w:after="40"/>
              <w:ind w:left="100" w:right="100"/>
            </w:pPr>
            <w:r>
              <w:rPr>
                <w:rFonts w:eastAsia="Century Gothic" w:cs="Century Gothic"/>
                <w:color w:val="000000"/>
                <w:sz w:val="18"/>
                <w:szCs w:val="18"/>
              </w:rPr>
              <w:t>Social Worker</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F63458" w14:textId="77777777" w:rsidR="001C19F3" w:rsidRDefault="001C19F3" w:rsidP="00521305">
            <w:pPr>
              <w:spacing w:before="40" w:after="40"/>
              <w:ind w:left="100" w:right="100"/>
              <w:jc w:val="right"/>
            </w:pPr>
            <w:r>
              <w:rPr>
                <w:rFonts w:eastAsia="Century Gothic" w:cs="Century Gothic"/>
                <w:color w:val="000000"/>
                <w:sz w:val="18"/>
                <w:szCs w:val="18"/>
              </w:rPr>
              <w:t>7 (10%)</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42C0B4" w14:textId="77777777" w:rsidR="001C19F3" w:rsidRDefault="001C19F3" w:rsidP="00521305">
            <w:pPr>
              <w:spacing w:before="40" w:after="40"/>
              <w:ind w:left="100" w:right="100"/>
              <w:jc w:val="right"/>
            </w:pPr>
            <w:r>
              <w:rPr>
                <w:rFonts w:eastAsia="Century Gothic" w:cs="Century Gothic"/>
                <w:color w:val="000000"/>
                <w:sz w:val="18"/>
                <w:szCs w:val="18"/>
              </w:rPr>
              <w:t>0.34</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E77DB9" w14:textId="77777777" w:rsidR="001C19F3" w:rsidRDefault="001C19F3" w:rsidP="00521305">
            <w:pPr>
              <w:spacing w:before="40" w:after="40"/>
              <w:ind w:left="100" w:right="100"/>
              <w:jc w:val="right"/>
            </w:pPr>
            <w:r>
              <w:rPr>
                <w:rFonts w:eastAsia="Century Gothic" w:cs="Century Gothic"/>
                <w:color w:val="000000"/>
                <w:sz w:val="18"/>
                <w:szCs w:val="18"/>
              </w:rPr>
              <w:t xml:space="preserve"> 23</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CF1538" w14:textId="77777777" w:rsidR="001C19F3" w:rsidRDefault="001C19F3" w:rsidP="00521305">
            <w:pPr>
              <w:spacing w:before="40" w:after="40"/>
              <w:ind w:left="100" w:right="100"/>
              <w:jc w:val="right"/>
            </w:pPr>
            <w:r>
              <w:rPr>
                <w:rFonts w:eastAsia="Century Gothic" w:cs="Century Gothic"/>
                <w:color w:val="000000"/>
                <w:sz w:val="18"/>
                <w:szCs w:val="18"/>
              </w:rPr>
              <w:t>7.5%</w:t>
            </w:r>
          </w:p>
        </w:tc>
      </w:tr>
      <w:tr w:rsidR="001C19F3" w14:paraId="268BEE72"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CC498F" w14:textId="77777777" w:rsidR="001C19F3" w:rsidRDefault="001C19F3" w:rsidP="00521305">
            <w:pPr>
              <w:spacing w:before="40" w:after="40"/>
              <w:ind w:left="100" w:right="100"/>
            </w:pPr>
            <w:r>
              <w:rPr>
                <w:rFonts w:eastAsia="Century Gothic" w:cs="Century Gothic"/>
                <w:color w:val="000000"/>
                <w:sz w:val="18"/>
                <w:szCs w:val="18"/>
              </w:rPr>
              <w:t>Audiologist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2ECBF6" w14:textId="77777777" w:rsidR="001C19F3" w:rsidRDefault="001C19F3" w:rsidP="00521305">
            <w:pPr>
              <w:spacing w:before="40" w:after="40"/>
              <w:ind w:left="100" w:right="100"/>
              <w:jc w:val="right"/>
            </w:pPr>
            <w:r>
              <w:rPr>
                <w:rFonts w:eastAsia="Century Gothic" w:cs="Century Gothic"/>
                <w:color w:val="000000"/>
                <w:sz w:val="18"/>
                <w:szCs w:val="18"/>
              </w:rPr>
              <w:t>17 (25%)</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53947A" w14:textId="77777777" w:rsidR="001C19F3" w:rsidRDefault="001C19F3" w:rsidP="00521305">
            <w:pPr>
              <w:spacing w:before="40" w:after="40"/>
              <w:ind w:left="100" w:right="100"/>
              <w:jc w:val="right"/>
            </w:pPr>
            <w:r>
              <w:rPr>
                <w:rFonts w:eastAsia="Century Gothic" w:cs="Century Gothic"/>
                <w:color w:val="000000"/>
                <w:sz w:val="18"/>
                <w:szCs w:val="18"/>
              </w:rPr>
              <w:t>0.27</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73ECC1" w14:textId="77777777" w:rsidR="001C19F3" w:rsidRDefault="001C19F3" w:rsidP="00521305">
            <w:pPr>
              <w:spacing w:before="40" w:after="40"/>
              <w:ind w:left="100" w:right="100"/>
              <w:jc w:val="right"/>
            </w:pPr>
            <w:r>
              <w:rPr>
                <w:rFonts w:eastAsia="Century Gothic" w:cs="Century Gothic"/>
                <w:color w:val="000000"/>
                <w:sz w:val="18"/>
                <w:szCs w:val="18"/>
              </w:rPr>
              <w:t xml:space="preserve"> 18</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4E792F" w14:textId="77777777" w:rsidR="001C19F3" w:rsidRDefault="001C19F3" w:rsidP="00521305">
            <w:pPr>
              <w:spacing w:before="40" w:after="40"/>
              <w:ind w:left="100" w:right="100"/>
              <w:jc w:val="right"/>
            </w:pPr>
            <w:r>
              <w:rPr>
                <w:rFonts w:eastAsia="Century Gothic" w:cs="Century Gothic"/>
                <w:color w:val="000000"/>
                <w:sz w:val="18"/>
                <w:szCs w:val="18"/>
              </w:rPr>
              <w:t>6.0%</w:t>
            </w:r>
          </w:p>
        </w:tc>
      </w:tr>
      <w:tr w:rsidR="001C19F3" w14:paraId="7B53FA49"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47543E" w14:textId="77777777" w:rsidR="001C19F3" w:rsidRDefault="001C19F3" w:rsidP="00521305">
            <w:pPr>
              <w:spacing w:before="40" w:after="40"/>
              <w:ind w:left="100" w:right="100"/>
            </w:pPr>
            <w:r>
              <w:rPr>
                <w:rFonts w:eastAsia="Century Gothic" w:cs="Century Gothic"/>
                <w:color w:val="000000"/>
                <w:sz w:val="18"/>
                <w:szCs w:val="18"/>
              </w:rPr>
              <w:t>Optometrist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77BDA5" w14:textId="77777777" w:rsidR="001C19F3" w:rsidRDefault="001C19F3" w:rsidP="00521305">
            <w:pPr>
              <w:spacing w:before="40" w:after="40"/>
              <w:ind w:left="100" w:right="100"/>
              <w:jc w:val="right"/>
            </w:pPr>
            <w:r>
              <w:rPr>
                <w:rFonts w:eastAsia="Century Gothic" w:cs="Century Gothic"/>
                <w:color w:val="000000"/>
                <w:sz w:val="18"/>
                <w:szCs w:val="18"/>
              </w:rPr>
              <w:t>7 (10%)</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B324BA" w14:textId="77777777" w:rsidR="001C19F3" w:rsidRDefault="001C19F3" w:rsidP="00521305">
            <w:pPr>
              <w:spacing w:before="40" w:after="40"/>
              <w:ind w:left="100" w:right="100"/>
              <w:jc w:val="right"/>
            </w:pPr>
            <w:r>
              <w:rPr>
                <w:rFonts w:eastAsia="Century Gothic" w:cs="Century Gothic"/>
                <w:color w:val="000000"/>
                <w:sz w:val="18"/>
                <w:szCs w:val="18"/>
              </w:rPr>
              <w:t>0.09</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94DFD8" w14:textId="77777777" w:rsidR="001C19F3" w:rsidRDefault="001C19F3" w:rsidP="00521305">
            <w:pPr>
              <w:spacing w:before="40" w:after="40"/>
              <w:ind w:left="100" w:right="100"/>
              <w:jc w:val="right"/>
            </w:pPr>
            <w:r>
              <w:rPr>
                <w:rFonts w:eastAsia="Century Gothic" w:cs="Century Gothic"/>
                <w:color w:val="000000"/>
                <w:sz w:val="18"/>
                <w:szCs w:val="18"/>
              </w:rPr>
              <w:t xml:space="preserve">  6</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5C2714" w14:textId="77777777" w:rsidR="001C19F3" w:rsidRDefault="001C19F3" w:rsidP="00521305">
            <w:pPr>
              <w:spacing w:before="40" w:after="40"/>
              <w:ind w:left="100" w:right="100"/>
              <w:jc w:val="right"/>
            </w:pPr>
            <w:r>
              <w:rPr>
                <w:rFonts w:eastAsia="Century Gothic" w:cs="Century Gothic"/>
                <w:color w:val="000000"/>
                <w:sz w:val="18"/>
                <w:szCs w:val="18"/>
              </w:rPr>
              <w:t>1.9%</w:t>
            </w:r>
          </w:p>
        </w:tc>
      </w:tr>
      <w:tr w:rsidR="001C19F3" w14:paraId="2B66E205"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B5C26C" w14:textId="77777777" w:rsidR="001C19F3" w:rsidRDefault="001C19F3" w:rsidP="00521305">
            <w:pPr>
              <w:spacing w:before="40" w:after="40"/>
              <w:ind w:left="100" w:right="100"/>
            </w:pPr>
            <w:r>
              <w:rPr>
                <w:rFonts w:eastAsia="Century Gothic" w:cs="Century Gothic"/>
                <w:color w:val="000000"/>
                <w:sz w:val="18"/>
                <w:szCs w:val="18"/>
              </w:rPr>
              <w:t>Pharmacist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F08578" w14:textId="77777777" w:rsidR="001C19F3" w:rsidRDefault="001C19F3" w:rsidP="00521305">
            <w:pPr>
              <w:spacing w:before="40" w:after="40"/>
              <w:ind w:left="100" w:right="100"/>
              <w:jc w:val="right"/>
            </w:pPr>
            <w:r>
              <w:rPr>
                <w:rFonts w:eastAsia="Century Gothic" w:cs="Century Gothic"/>
                <w:color w:val="000000"/>
                <w:sz w:val="18"/>
                <w:szCs w:val="18"/>
              </w:rPr>
              <w:t>19 (28%)</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3D3D6F" w14:textId="77777777" w:rsidR="001C19F3" w:rsidRDefault="001C19F3" w:rsidP="00521305">
            <w:pPr>
              <w:spacing w:before="40" w:after="40"/>
              <w:ind w:left="100" w:right="100"/>
              <w:jc w:val="right"/>
            </w:pPr>
            <w:r>
              <w:rPr>
                <w:rFonts w:eastAsia="Century Gothic" w:cs="Century Gothic"/>
                <w:color w:val="000000"/>
                <w:sz w:val="18"/>
                <w:szCs w:val="18"/>
              </w:rPr>
              <w:t>0.16</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6ABA4B" w14:textId="77777777" w:rsidR="001C19F3" w:rsidRDefault="001C19F3" w:rsidP="00521305">
            <w:pPr>
              <w:spacing w:before="40" w:after="40"/>
              <w:ind w:left="100" w:right="100"/>
              <w:jc w:val="right"/>
            </w:pPr>
            <w:r>
              <w:rPr>
                <w:rFonts w:eastAsia="Century Gothic" w:cs="Century Gothic"/>
                <w:color w:val="000000"/>
                <w:sz w:val="18"/>
                <w:szCs w:val="18"/>
              </w:rPr>
              <w:t xml:space="preserve"> 11</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79A975" w14:textId="77777777" w:rsidR="001C19F3" w:rsidRDefault="001C19F3" w:rsidP="00521305">
            <w:pPr>
              <w:spacing w:before="40" w:after="40"/>
              <w:ind w:left="100" w:right="100"/>
              <w:jc w:val="right"/>
            </w:pPr>
            <w:r>
              <w:rPr>
                <w:rFonts w:eastAsia="Century Gothic" w:cs="Century Gothic"/>
                <w:color w:val="000000"/>
                <w:sz w:val="18"/>
                <w:szCs w:val="18"/>
              </w:rPr>
              <w:t>3.6%</w:t>
            </w:r>
          </w:p>
        </w:tc>
      </w:tr>
      <w:tr w:rsidR="001C19F3" w14:paraId="446A16C6"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F99E9A" w14:textId="77777777" w:rsidR="001C19F3" w:rsidRDefault="001C19F3" w:rsidP="00521305">
            <w:pPr>
              <w:spacing w:before="40" w:after="40"/>
              <w:ind w:left="100" w:right="100"/>
            </w:pPr>
            <w:r>
              <w:rPr>
                <w:rFonts w:eastAsia="Century Gothic" w:cs="Century Gothic"/>
                <w:color w:val="000000"/>
                <w:sz w:val="18"/>
                <w:szCs w:val="18"/>
              </w:rPr>
              <w:t>Dentist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464A0C" w14:textId="77777777" w:rsidR="001C19F3" w:rsidRDefault="001C19F3" w:rsidP="00521305">
            <w:pPr>
              <w:spacing w:before="40" w:after="40"/>
              <w:ind w:left="100" w:right="100"/>
              <w:jc w:val="right"/>
            </w:pPr>
            <w:r>
              <w:rPr>
                <w:rFonts w:eastAsia="Century Gothic" w:cs="Century Gothic"/>
                <w:color w:val="000000"/>
                <w:sz w:val="18"/>
                <w:szCs w:val="18"/>
              </w:rPr>
              <w:t>12 (18%)</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936880" w14:textId="77777777" w:rsidR="001C19F3" w:rsidRDefault="001C19F3" w:rsidP="00521305">
            <w:pPr>
              <w:spacing w:before="40" w:after="40"/>
              <w:ind w:left="100" w:right="100"/>
              <w:jc w:val="right"/>
            </w:pPr>
            <w:r>
              <w:rPr>
                <w:rFonts w:eastAsia="Century Gothic" w:cs="Century Gothic"/>
                <w:color w:val="000000"/>
                <w:sz w:val="18"/>
                <w:szCs w:val="18"/>
              </w:rPr>
              <w:t>0.16</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1CF4E7" w14:textId="77777777" w:rsidR="001C19F3" w:rsidRDefault="001C19F3" w:rsidP="00521305">
            <w:pPr>
              <w:spacing w:before="40" w:after="40"/>
              <w:ind w:left="100" w:right="100"/>
              <w:jc w:val="right"/>
            </w:pPr>
            <w:r>
              <w:rPr>
                <w:rFonts w:eastAsia="Century Gothic" w:cs="Century Gothic"/>
                <w:color w:val="000000"/>
                <w:sz w:val="18"/>
                <w:szCs w:val="18"/>
              </w:rPr>
              <w:t xml:space="preserve"> 11</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EC2C3F" w14:textId="77777777" w:rsidR="001C19F3" w:rsidRDefault="001C19F3" w:rsidP="00521305">
            <w:pPr>
              <w:spacing w:before="40" w:after="40"/>
              <w:ind w:left="100" w:right="100"/>
              <w:jc w:val="right"/>
            </w:pPr>
            <w:r>
              <w:rPr>
                <w:rFonts w:eastAsia="Century Gothic" w:cs="Century Gothic"/>
                <w:color w:val="000000"/>
                <w:sz w:val="18"/>
                <w:szCs w:val="18"/>
              </w:rPr>
              <w:t>3.5%</w:t>
            </w:r>
          </w:p>
        </w:tc>
      </w:tr>
      <w:tr w:rsidR="001C19F3" w14:paraId="766F8D6D"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F87203" w14:textId="77777777" w:rsidR="001C19F3" w:rsidRDefault="001C19F3" w:rsidP="00521305">
            <w:pPr>
              <w:spacing w:before="40" w:after="40"/>
              <w:ind w:left="100" w:right="100"/>
            </w:pPr>
            <w:r>
              <w:rPr>
                <w:rFonts w:eastAsia="Century Gothic" w:cs="Century Gothic"/>
                <w:color w:val="000000"/>
                <w:sz w:val="18"/>
                <w:szCs w:val="18"/>
              </w:rPr>
              <w:t>Other allied health</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3AACE4" w14:textId="77777777" w:rsidR="001C19F3" w:rsidRDefault="001C19F3" w:rsidP="00521305">
            <w:pPr>
              <w:spacing w:before="40" w:after="40"/>
              <w:ind w:left="100" w:right="100"/>
              <w:jc w:val="right"/>
            </w:pPr>
            <w:r>
              <w:rPr>
                <w:rFonts w:eastAsia="Century Gothic" w:cs="Century Gothic"/>
                <w:color w:val="000000"/>
                <w:sz w:val="18"/>
                <w:szCs w:val="18"/>
              </w:rPr>
              <w:t>44 (65%)</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076B76" w14:textId="77777777" w:rsidR="001C19F3" w:rsidRDefault="001C19F3" w:rsidP="00521305">
            <w:pPr>
              <w:spacing w:before="40" w:after="40"/>
              <w:ind w:left="100" w:right="100"/>
              <w:jc w:val="right"/>
            </w:pPr>
            <w:r>
              <w:rPr>
                <w:rFonts w:eastAsia="Century Gothic" w:cs="Century Gothic"/>
                <w:color w:val="000000"/>
                <w:sz w:val="18"/>
                <w:szCs w:val="18"/>
              </w:rPr>
              <w:t>1.20</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B27664" w14:textId="77777777" w:rsidR="001C19F3" w:rsidRDefault="001C19F3" w:rsidP="00521305">
            <w:pPr>
              <w:spacing w:before="40" w:after="40"/>
              <w:ind w:left="100" w:right="100"/>
              <w:jc w:val="right"/>
            </w:pPr>
            <w:r>
              <w:rPr>
                <w:rFonts w:eastAsia="Century Gothic" w:cs="Century Gothic"/>
                <w:color w:val="000000"/>
                <w:sz w:val="18"/>
                <w:szCs w:val="18"/>
              </w:rPr>
              <w:t xml:space="preserve"> 82</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4C328" w14:textId="77777777" w:rsidR="001C19F3" w:rsidRDefault="001C19F3" w:rsidP="00521305">
            <w:pPr>
              <w:spacing w:before="40" w:after="40"/>
              <w:ind w:left="100" w:right="100"/>
              <w:jc w:val="right"/>
            </w:pPr>
            <w:r>
              <w:rPr>
                <w:rFonts w:eastAsia="Century Gothic" w:cs="Century Gothic"/>
                <w:color w:val="000000"/>
                <w:sz w:val="18"/>
                <w:szCs w:val="18"/>
              </w:rPr>
              <w:t>26.5%</w:t>
            </w:r>
          </w:p>
        </w:tc>
      </w:tr>
      <w:tr w:rsidR="001C19F3" w14:paraId="067C2A14"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917BC5" w14:textId="77777777" w:rsidR="001C19F3" w:rsidRDefault="001C19F3" w:rsidP="00521305">
            <w:pPr>
              <w:spacing w:before="40" w:after="40"/>
              <w:ind w:left="100" w:right="100"/>
            </w:pPr>
            <w:r>
              <w:rPr>
                <w:rFonts w:eastAsia="Century Gothic" w:cs="Century Gothic"/>
                <w:color w:val="000000"/>
                <w:sz w:val="18"/>
                <w:szCs w:val="18"/>
              </w:rPr>
              <w:t>Allied health assistant</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460111" w14:textId="77777777" w:rsidR="001C19F3" w:rsidRDefault="001C19F3" w:rsidP="00521305">
            <w:pPr>
              <w:spacing w:before="40" w:after="40"/>
              <w:ind w:left="100" w:right="100"/>
              <w:jc w:val="right"/>
            </w:pPr>
            <w:r>
              <w:rPr>
                <w:rFonts w:eastAsia="Century Gothic" w:cs="Century Gothic"/>
                <w:color w:val="000000"/>
                <w:sz w:val="18"/>
                <w:szCs w:val="18"/>
              </w:rPr>
              <w:t>8 (12%)</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A3D47A" w14:textId="77777777" w:rsidR="001C19F3" w:rsidRDefault="001C19F3" w:rsidP="00521305">
            <w:pPr>
              <w:spacing w:before="40" w:after="40"/>
              <w:ind w:left="100" w:right="100"/>
              <w:jc w:val="right"/>
            </w:pPr>
            <w:r>
              <w:rPr>
                <w:rFonts w:eastAsia="Century Gothic" w:cs="Century Gothic"/>
                <w:color w:val="000000"/>
                <w:sz w:val="18"/>
                <w:szCs w:val="18"/>
              </w:rPr>
              <w:t>0.14</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1B03FD" w14:textId="77777777" w:rsidR="001C19F3" w:rsidRDefault="001C19F3" w:rsidP="00521305">
            <w:pPr>
              <w:spacing w:before="40" w:after="40"/>
              <w:ind w:left="100" w:right="100"/>
              <w:jc w:val="right"/>
            </w:pPr>
            <w:r>
              <w:rPr>
                <w:rFonts w:eastAsia="Century Gothic" w:cs="Century Gothic"/>
                <w:color w:val="000000"/>
                <w:sz w:val="18"/>
                <w:szCs w:val="18"/>
              </w:rPr>
              <w:t xml:space="preserve"> 10</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74FF8A" w14:textId="77777777" w:rsidR="001C19F3" w:rsidRDefault="001C19F3" w:rsidP="00521305">
            <w:pPr>
              <w:spacing w:before="40" w:after="40"/>
              <w:ind w:left="100" w:right="100"/>
              <w:jc w:val="right"/>
            </w:pPr>
            <w:r>
              <w:rPr>
                <w:rFonts w:eastAsia="Century Gothic" w:cs="Century Gothic"/>
                <w:color w:val="000000"/>
                <w:sz w:val="18"/>
                <w:szCs w:val="18"/>
              </w:rPr>
              <w:t>3.1%</w:t>
            </w:r>
          </w:p>
        </w:tc>
      </w:tr>
      <w:tr w:rsidR="001C19F3" w14:paraId="2B4188B6" w14:textId="77777777" w:rsidTr="00521305">
        <w:trPr>
          <w:cantSplit/>
          <w:trHeight w:val="283"/>
          <w:jc w:val="center"/>
        </w:trPr>
        <w:tc>
          <w:tcPr>
            <w:tcW w:w="152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66E5AE" w14:textId="77777777" w:rsidR="001C19F3" w:rsidRPr="00AD707C" w:rsidRDefault="001C19F3" w:rsidP="00521305">
            <w:pPr>
              <w:spacing w:before="40" w:after="40"/>
              <w:ind w:left="100" w:right="100"/>
              <w:rPr>
                <w:b/>
              </w:rPr>
            </w:pPr>
            <w:r w:rsidRPr="00AD707C">
              <w:rPr>
                <w:rFonts w:eastAsia="Century Gothic" w:cs="Century Gothic"/>
                <w:b/>
                <w:color w:val="000000"/>
                <w:sz w:val="18"/>
                <w:szCs w:val="18"/>
              </w:rPr>
              <w:t>Total</w:t>
            </w:r>
          </w:p>
        </w:tc>
        <w:tc>
          <w:tcPr>
            <w:tcW w:w="102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8628B0" w14:textId="77777777" w:rsidR="001C19F3" w:rsidRPr="00AD707C" w:rsidRDefault="001C19F3" w:rsidP="00521305">
            <w:pPr>
              <w:spacing w:before="40" w:after="40"/>
              <w:ind w:left="100" w:right="100"/>
              <w:jc w:val="right"/>
              <w:rPr>
                <w:b/>
              </w:rPr>
            </w:pPr>
            <w:r w:rsidRPr="00AD707C">
              <w:rPr>
                <w:rFonts w:eastAsia="Century Gothic" w:cs="Century Gothic"/>
                <w:b/>
                <w:color w:val="000000"/>
                <w:sz w:val="18"/>
                <w:szCs w:val="18"/>
              </w:rPr>
              <w:t>68 (100%)</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D3D807" w14:textId="77777777" w:rsidR="001C19F3" w:rsidRPr="00AD707C" w:rsidRDefault="001C19F3" w:rsidP="00521305">
            <w:pPr>
              <w:spacing w:before="40" w:after="40"/>
              <w:ind w:left="100" w:right="100"/>
              <w:jc w:val="right"/>
              <w:rPr>
                <w:b/>
              </w:rPr>
            </w:pPr>
            <w:r w:rsidRPr="00AD707C">
              <w:rPr>
                <w:rFonts w:eastAsia="Century Gothic" w:cs="Century Gothic"/>
                <w:b/>
                <w:color w:val="000000"/>
                <w:sz w:val="18"/>
                <w:szCs w:val="18"/>
              </w:rPr>
              <w:t>4.54</w:t>
            </w:r>
          </w:p>
        </w:tc>
        <w:tc>
          <w:tcPr>
            <w:tcW w:w="7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137A8E" w14:textId="77777777" w:rsidR="001C19F3" w:rsidRPr="00AD707C" w:rsidRDefault="001C19F3" w:rsidP="00521305">
            <w:pPr>
              <w:spacing w:before="40" w:after="40"/>
              <w:ind w:left="100" w:right="100"/>
              <w:jc w:val="right"/>
              <w:rPr>
                <w:b/>
              </w:rPr>
            </w:pPr>
            <w:r w:rsidRPr="00AD707C">
              <w:rPr>
                <w:rFonts w:eastAsia="Century Gothic" w:cs="Century Gothic"/>
                <w:b/>
                <w:color w:val="000000"/>
                <w:sz w:val="18"/>
                <w:szCs w:val="18"/>
              </w:rPr>
              <w:t>309</w:t>
            </w:r>
          </w:p>
        </w:tc>
        <w:tc>
          <w:tcPr>
            <w:tcW w:w="94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5176A6" w14:textId="77777777" w:rsidR="001C19F3" w:rsidRPr="00AD707C" w:rsidRDefault="001C19F3" w:rsidP="00521305">
            <w:pPr>
              <w:spacing w:before="40" w:after="40"/>
              <w:ind w:left="100" w:right="100"/>
              <w:jc w:val="right"/>
              <w:rPr>
                <w:b/>
              </w:rPr>
            </w:pPr>
            <w:r w:rsidRPr="00AD707C">
              <w:rPr>
                <w:rFonts w:eastAsia="Century Gothic" w:cs="Century Gothic"/>
                <w:b/>
                <w:color w:val="000000"/>
                <w:sz w:val="18"/>
                <w:szCs w:val="18"/>
              </w:rPr>
              <w:t>100.0%</w:t>
            </w:r>
          </w:p>
        </w:tc>
      </w:tr>
    </w:tbl>
    <w:p w14:paraId="0C266FC2" w14:textId="77777777" w:rsidR="001C19F3" w:rsidRDefault="001C19F3" w:rsidP="001C19F3">
      <w:pPr>
        <w:jc w:val="center"/>
      </w:pPr>
      <w:r>
        <w:rPr>
          <w:rFonts w:eastAsia="Century Gothic" w:cs="Century Gothic"/>
          <w:i/>
          <w:color w:val="000000"/>
          <w:sz w:val="18"/>
          <w:szCs w:val="18"/>
        </w:rPr>
        <w:t xml:space="preserve">Source: Practice survey R1 Part A, Mar-Jun 2018. The Table relates to active practices as at 31 August 2019. </w:t>
      </w:r>
      <w:r w:rsidRPr="00FC4A0A">
        <w:rPr>
          <w:rFonts w:eastAsia="Century Gothic" w:cs="Century Gothic"/>
          <w:i/>
          <w:color w:val="000000"/>
          <w:sz w:val="18"/>
          <w:szCs w:val="18"/>
          <w:vertAlign w:val="superscript"/>
        </w:rPr>
        <w:t>1</w:t>
      </w:r>
      <w:r>
        <w:rPr>
          <w:rFonts w:eastAsia="Century Gothic" w:cs="Century Gothic"/>
          <w:i/>
          <w:color w:val="000000"/>
          <w:sz w:val="18"/>
          <w:szCs w:val="18"/>
        </w:rPr>
        <w:t>The mean is calculated for practices reporting this staff type only.</w:t>
      </w:r>
    </w:p>
    <w:p w14:paraId="399A1D73" w14:textId="77777777" w:rsidR="001C19F3" w:rsidRPr="00A82155" w:rsidRDefault="001C19F3" w:rsidP="001C19F3">
      <w:r>
        <w:lastRenderedPageBreak/>
        <w:t xml:space="preserve">In </w:t>
      </w:r>
      <w:r w:rsidRPr="001F09C6">
        <w:t>1</w:t>
      </w:r>
      <w:r>
        <w:t xml:space="preserve">7.5% of practices, at least one GP had a formal arrangement for working with or in local hospitals (e.g. as GP Visiting </w:t>
      </w:r>
      <w:r w:rsidRPr="006204DD">
        <w:t>Medical Officer (</w:t>
      </w:r>
      <w:r>
        <w:t xml:space="preserve">See </w:t>
      </w:r>
      <w:r w:rsidRPr="006204DD">
        <w:t>Volume 4 Appendix 1).</w:t>
      </w:r>
    </w:p>
    <w:p w14:paraId="6868928D" w14:textId="77777777" w:rsidR="001C19F3" w:rsidRDefault="001C19F3" w:rsidP="001C19F3">
      <w:pPr>
        <w:pStyle w:val="Heading3"/>
      </w:pPr>
      <w:r>
        <w:t>Access</w:t>
      </w:r>
    </w:p>
    <w:p w14:paraId="0ECB19E5" w14:textId="77777777" w:rsidR="001C19F3" w:rsidRDefault="001C19F3" w:rsidP="001C19F3">
      <w:r>
        <w:t>One of the aspirations of the HCH model is to improve access for patients to services. Opening hours of practices and after-hours arrangements are one dimension of access.</w:t>
      </w:r>
    </w:p>
    <w:p w14:paraId="20AD2489" w14:textId="77777777" w:rsidR="001C19F3" w:rsidRPr="00133C2D" w:rsidRDefault="001C19F3" w:rsidP="001C19F3">
      <w:r>
        <w:fldChar w:fldCharType="begin"/>
      </w:r>
      <w:r>
        <w:instrText xml:space="preserve"> REF _Ref527622077 \h  \* MERGEFORMAT </w:instrText>
      </w:r>
      <w:r>
        <w:fldChar w:fldCharType="separate"/>
      </w:r>
      <w:r w:rsidRPr="00822044">
        <w:t>Table 9</w:t>
      </w:r>
      <w:r>
        <w:fldChar w:fldCharType="end"/>
      </w:r>
      <w:r>
        <w:t xml:space="preserve"> shows the reported average waiting time (in days) for an appointment with a GP. In 88% of practices an appointment can be arranged on the same day in an emergency, and in one day in 17% of practices. For other (non-emergency) appointments, an appointment can be arranged on the same day for 45% of practices and in around one day in 38% of practices.</w:t>
      </w:r>
    </w:p>
    <w:p w14:paraId="2D5F540B" w14:textId="77777777" w:rsidR="001C19F3" w:rsidRDefault="001C19F3" w:rsidP="001C19F3">
      <w:pPr>
        <w:spacing w:after="0"/>
        <w:jc w:val="center"/>
        <w:rPr>
          <w:rFonts w:asciiTheme="minorHAnsi" w:eastAsiaTheme="minorEastAsia" w:hAnsiTheme="minorHAnsi"/>
        </w:rPr>
      </w:pPr>
      <w:bookmarkStart w:id="131" w:name="_Ref527622077"/>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9</w:t>
      </w:r>
      <w:r w:rsidRPr="007E3ABB">
        <w:rPr>
          <w:rFonts w:cs="Arial"/>
          <w:b/>
          <w:color w:val="000000" w:themeColor="text1"/>
        </w:rPr>
        <w:fldChar w:fldCharType="end"/>
      </w:r>
      <w:bookmarkEnd w:id="131"/>
      <w:r w:rsidRPr="007E3ABB">
        <w:rPr>
          <w:b/>
        </w:rPr>
        <w:t xml:space="preserve"> – </w:t>
      </w:r>
      <w:r>
        <w:rPr>
          <w:b/>
        </w:rPr>
        <w:t>Average time (days) to wait for a GP appointment</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1134"/>
        <w:gridCol w:w="2142"/>
        <w:gridCol w:w="1260"/>
      </w:tblGrid>
      <w:tr w:rsidR="001C19F3" w14:paraId="522D5057" w14:textId="77777777" w:rsidTr="00521305">
        <w:trPr>
          <w:trHeight w:val="336"/>
          <w:tblHeader/>
          <w:jc w:val="center"/>
        </w:trPr>
        <w:tc>
          <w:tcPr>
            <w:tcW w:w="2405" w:type="dxa"/>
            <w:shd w:val="clear" w:color="auto" w:fill="003D79"/>
            <w:tcMar>
              <w:top w:w="0" w:type="dxa"/>
              <w:left w:w="0" w:type="dxa"/>
              <w:bottom w:w="0" w:type="dxa"/>
              <w:right w:w="0" w:type="dxa"/>
            </w:tcMar>
            <w:vAlign w:val="center"/>
          </w:tcPr>
          <w:p w14:paraId="3D27ED48" w14:textId="77777777" w:rsidR="001C19F3" w:rsidRPr="00133C2D" w:rsidRDefault="001C19F3" w:rsidP="00521305">
            <w:pPr>
              <w:spacing w:before="40" w:after="40"/>
              <w:jc w:val="center"/>
              <w:rPr>
                <w:rFonts w:cs="Century Gothic"/>
                <w:b/>
                <w:color w:val="FFFFFF"/>
                <w:sz w:val="18"/>
                <w:szCs w:val="18"/>
              </w:rPr>
            </w:pPr>
            <w:r w:rsidRPr="00133C2D">
              <w:rPr>
                <w:rFonts w:cs="Century Gothic"/>
                <w:b/>
                <w:color w:val="FFFFFF"/>
                <w:sz w:val="18"/>
                <w:szCs w:val="18"/>
              </w:rPr>
              <w:t>In an emergency</w:t>
            </w:r>
          </w:p>
        </w:tc>
        <w:tc>
          <w:tcPr>
            <w:tcW w:w="1134" w:type="dxa"/>
            <w:tcBorders>
              <w:right w:val="double" w:sz="4" w:space="0" w:color="BFBFBF" w:themeColor="background1" w:themeShade="BF"/>
            </w:tcBorders>
            <w:shd w:val="clear" w:color="auto" w:fill="003D79"/>
            <w:tcMar>
              <w:top w:w="0" w:type="dxa"/>
              <w:left w:w="0" w:type="dxa"/>
              <w:bottom w:w="0" w:type="dxa"/>
              <w:right w:w="0" w:type="dxa"/>
            </w:tcMar>
            <w:vAlign w:val="center"/>
          </w:tcPr>
          <w:p w14:paraId="3FC6C157" w14:textId="77777777" w:rsidR="001C19F3" w:rsidRPr="00133C2D" w:rsidRDefault="001C19F3" w:rsidP="00521305">
            <w:pPr>
              <w:spacing w:before="40" w:after="40"/>
              <w:jc w:val="center"/>
              <w:rPr>
                <w:rFonts w:cs="Century Gothic"/>
                <w:b/>
                <w:color w:val="FFFFFF"/>
                <w:sz w:val="18"/>
                <w:szCs w:val="18"/>
              </w:rPr>
            </w:pPr>
            <w:r>
              <w:rPr>
                <w:rFonts w:cs="Century Gothic"/>
                <w:b/>
                <w:color w:val="FFFFFF"/>
                <w:sz w:val="18"/>
                <w:szCs w:val="18"/>
              </w:rPr>
              <w:t>Practices n (%)</w:t>
            </w:r>
          </w:p>
        </w:tc>
        <w:tc>
          <w:tcPr>
            <w:tcW w:w="2142" w:type="dxa"/>
            <w:tcBorders>
              <w:left w:val="double" w:sz="4" w:space="0" w:color="BFBFBF" w:themeColor="background1" w:themeShade="BF"/>
            </w:tcBorders>
            <w:shd w:val="clear" w:color="auto" w:fill="003D79"/>
            <w:vAlign w:val="center"/>
          </w:tcPr>
          <w:p w14:paraId="46F40CCF" w14:textId="77777777" w:rsidR="001C19F3" w:rsidRPr="00133C2D" w:rsidRDefault="001C19F3" w:rsidP="00521305">
            <w:pPr>
              <w:spacing w:before="40" w:after="40"/>
              <w:jc w:val="center"/>
              <w:rPr>
                <w:rFonts w:cs="Century Gothic"/>
                <w:b/>
                <w:color w:val="FFFFFF"/>
                <w:sz w:val="18"/>
                <w:szCs w:val="18"/>
              </w:rPr>
            </w:pPr>
            <w:r w:rsidRPr="00133C2D">
              <w:rPr>
                <w:rFonts w:cs="Century Gothic"/>
                <w:b/>
                <w:color w:val="FFFFFF"/>
                <w:sz w:val="18"/>
                <w:szCs w:val="18"/>
              </w:rPr>
              <w:t>Other appointment</w:t>
            </w:r>
          </w:p>
        </w:tc>
        <w:tc>
          <w:tcPr>
            <w:tcW w:w="1260" w:type="dxa"/>
            <w:shd w:val="clear" w:color="auto" w:fill="003D79"/>
            <w:vAlign w:val="center"/>
          </w:tcPr>
          <w:p w14:paraId="1B9C31C0" w14:textId="77777777" w:rsidR="001C19F3" w:rsidRPr="00133C2D" w:rsidRDefault="001C19F3" w:rsidP="00521305">
            <w:pPr>
              <w:spacing w:before="40" w:after="40"/>
              <w:jc w:val="center"/>
              <w:rPr>
                <w:rFonts w:cs="Century Gothic"/>
                <w:b/>
                <w:color w:val="FFFFFF"/>
                <w:sz w:val="18"/>
                <w:szCs w:val="18"/>
              </w:rPr>
            </w:pPr>
            <w:r>
              <w:rPr>
                <w:rFonts w:cs="Century Gothic"/>
                <w:b/>
                <w:color w:val="FFFFFF"/>
                <w:sz w:val="18"/>
                <w:szCs w:val="18"/>
              </w:rPr>
              <w:t>Practices n (%)</w:t>
            </w:r>
          </w:p>
        </w:tc>
      </w:tr>
      <w:tr w:rsidR="001C19F3" w14:paraId="5434B8F0" w14:textId="77777777" w:rsidTr="00521305">
        <w:trPr>
          <w:trHeight w:val="340"/>
          <w:jc w:val="center"/>
        </w:trPr>
        <w:tc>
          <w:tcPr>
            <w:tcW w:w="2405" w:type="dxa"/>
            <w:tcMar>
              <w:top w:w="0" w:type="dxa"/>
              <w:left w:w="0" w:type="dxa"/>
              <w:bottom w:w="0" w:type="dxa"/>
              <w:right w:w="0" w:type="dxa"/>
            </w:tcMar>
            <w:vAlign w:val="center"/>
          </w:tcPr>
          <w:p w14:paraId="2F6FFF49" w14:textId="77777777" w:rsidR="001C19F3" w:rsidRPr="00133C2D" w:rsidRDefault="001C19F3" w:rsidP="00521305">
            <w:pPr>
              <w:spacing w:before="40" w:after="40"/>
              <w:ind w:left="160" w:right="40"/>
              <w:rPr>
                <w:sz w:val="18"/>
                <w:szCs w:val="18"/>
              </w:rPr>
            </w:pPr>
            <w:r w:rsidRPr="00133C2D">
              <w:rPr>
                <w:rFonts w:cs="Century Gothic"/>
                <w:color w:val="000000"/>
                <w:sz w:val="18"/>
                <w:szCs w:val="18"/>
              </w:rPr>
              <w:t>Same day</w:t>
            </w:r>
          </w:p>
        </w:tc>
        <w:tc>
          <w:tcPr>
            <w:tcW w:w="1134" w:type="dxa"/>
            <w:tcBorders>
              <w:right w:val="double" w:sz="4" w:space="0" w:color="BFBFBF" w:themeColor="background1" w:themeShade="BF"/>
            </w:tcBorders>
            <w:tcMar>
              <w:top w:w="0" w:type="dxa"/>
              <w:left w:w="0" w:type="dxa"/>
              <w:bottom w:w="0" w:type="dxa"/>
              <w:right w:w="0" w:type="dxa"/>
            </w:tcMar>
            <w:vAlign w:val="center"/>
          </w:tcPr>
          <w:p w14:paraId="76A159A6" w14:textId="77777777" w:rsidR="001C19F3" w:rsidRPr="00133C2D" w:rsidRDefault="001C19F3" w:rsidP="00521305">
            <w:pPr>
              <w:spacing w:before="40" w:after="40"/>
              <w:ind w:left="40" w:right="40"/>
              <w:jc w:val="right"/>
              <w:rPr>
                <w:sz w:val="18"/>
                <w:szCs w:val="18"/>
              </w:rPr>
            </w:pPr>
            <w:r>
              <w:rPr>
                <w:rFonts w:eastAsia="Century Gothic" w:cs="Century Gothic"/>
                <w:color w:val="000000"/>
                <w:sz w:val="18"/>
                <w:szCs w:val="18"/>
              </w:rPr>
              <w:t>107 (89.2%)</w:t>
            </w:r>
          </w:p>
        </w:tc>
        <w:tc>
          <w:tcPr>
            <w:tcW w:w="2142" w:type="dxa"/>
            <w:tcBorders>
              <w:left w:val="double" w:sz="4" w:space="0" w:color="BFBFBF" w:themeColor="background1" w:themeShade="BF"/>
            </w:tcBorders>
            <w:vAlign w:val="center"/>
          </w:tcPr>
          <w:p w14:paraId="26F9361C" w14:textId="77777777" w:rsidR="001C19F3" w:rsidRPr="00133C2D" w:rsidRDefault="001C19F3" w:rsidP="00521305">
            <w:pPr>
              <w:spacing w:before="40" w:after="40"/>
              <w:ind w:left="20" w:right="40"/>
              <w:rPr>
                <w:sz w:val="18"/>
                <w:szCs w:val="18"/>
              </w:rPr>
            </w:pPr>
            <w:r w:rsidRPr="00133C2D">
              <w:rPr>
                <w:rFonts w:cs="Century Gothic"/>
                <w:color w:val="000000"/>
                <w:sz w:val="18"/>
                <w:szCs w:val="18"/>
              </w:rPr>
              <w:t>Same day</w:t>
            </w:r>
          </w:p>
        </w:tc>
        <w:tc>
          <w:tcPr>
            <w:tcW w:w="1260" w:type="dxa"/>
            <w:vAlign w:val="center"/>
          </w:tcPr>
          <w:p w14:paraId="419D8CF0" w14:textId="77777777" w:rsidR="001C19F3" w:rsidRPr="00133C2D" w:rsidRDefault="001C19F3" w:rsidP="00521305">
            <w:pPr>
              <w:spacing w:before="40" w:after="40"/>
              <w:ind w:left="40" w:right="40"/>
              <w:jc w:val="right"/>
              <w:rPr>
                <w:sz w:val="18"/>
                <w:szCs w:val="18"/>
              </w:rPr>
            </w:pPr>
            <w:r>
              <w:rPr>
                <w:rFonts w:eastAsia="Century Gothic" w:cs="Century Gothic"/>
                <w:color w:val="000000"/>
                <w:sz w:val="18"/>
                <w:szCs w:val="18"/>
              </w:rPr>
              <w:t>52 (43.3%)</w:t>
            </w:r>
          </w:p>
        </w:tc>
      </w:tr>
      <w:tr w:rsidR="001C19F3" w14:paraId="5A76D69C" w14:textId="77777777" w:rsidTr="00521305">
        <w:trPr>
          <w:trHeight w:val="340"/>
          <w:jc w:val="center"/>
        </w:trPr>
        <w:tc>
          <w:tcPr>
            <w:tcW w:w="2405" w:type="dxa"/>
            <w:tcMar>
              <w:top w:w="0" w:type="dxa"/>
              <w:left w:w="0" w:type="dxa"/>
              <w:bottom w:w="0" w:type="dxa"/>
              <w:right w:w="0" w:type="dxa"/>
            </w:tcMar>
            <w:vAlign w:val="center"/>
          </w:tcPr>
          <w:p w14:paraId="05A7C2A8" w14:textId="77777777" w:rsidR="001C19F3" w:rsidRPr="00133C2D" w:rsidRDefault="001C19F3" w:rsidP="00521305">
            <w:pPr>
              <w:spacing w:before="40" w:after="40"/>
              <w:ind w:left="160" w:right="40"/>
              <w:rPr>
                <w:sz w:val="18"/>
                <w:szCs w:val="18"/>
              </w:rPr>
            </w:pPr>
            <w:r w:rsidRPr="00133C2D">
              <w:rPr>
                <w:rFonts w:cs="Century Gothic"/>
                <w:color w:val="000000"/>
                <w:sz w:val="18"/>
                <w:szCs w:val="18"/>
              </w:rPr>
              <w:t>Around 1 day</w:t>
            </w:r>
          </w:p>
        </w:tc>
        <w:tc>
          <w:tcPr>
            <w:tcW w:w="1134" w:type="dxa"/>
            <w:tcBorders>
              <w:right w:val="double" w:sz="4" w:space="0" w:color="BFBFBF" w:themeColor="background1" w:themeShade="BF"/>
            </w:tcBorders>
            <w:tcMar>
              <w:top w:w="0" w:type="dxa"/>
              <w:left w:w="0" w:type="dxa"/>
              <w:bottom w:w="0" w:type="dxa"/>
              <w:right w:w="0" w:type="dxa"/>
            </w:tcMar>
            <w:vAlign w:val="center"/>
          </w:tcPr>
          <w:p w14:paraId="0FE356FD" w14:textId="77777777" w:rsidR="001C19F3" w:rsidRPr="00133C2D" w:rsidRDefault="001C19F3" w:rsidP="00521305">
            <w:pPr>
              <w:spacing w:before="40" w:after="40"/>
              <w:ind w:left="40" w:right="40"/>
              <w:jc w:val="right"/>
              <w:rPr>
                <w:sz w:val="18"/>
                <w:szCs w:val="18"/>
              </w:rPr>
            </w:pPr>
            <w:r>
              <w:rPr>
                <w:rFonts w:eastAsia="Century Gothic" w:cs="Century Gothic"/>
                <w:color w:val="000000"/>
                <w:sz w:val="18"/>
                <w:szCs w:val="18"/>
              </w:rPr>
              <w:t>13 (10.8%)</w:t>
            </w:r>
          </w:p>
        </w:tc>
        <w:tc>
          <w:tcPr>
            <w:tcW w:w="2142" w:type="dxa"/>
            <w:tcBorders>
              <w:left w:val="double" w:sz="4" w:space="0" w:color="BFBFBF" w:themeColor="background1" w:themeShade="BF"/>
            </w:tcBorders>
            <w:vAlign w:val="center"/>
          </w:tcPr>
          <w:p w14:paraId="1F8CE4FB" w14:textId="77777777" w:rsidR="001C19F3" w:rsidRPr="00133C2D" w:rsidRDefault="001C19F3" w:rsidP="00521305">
            <w:pPr>
              <w:spacing w:before="40" w:after="40"/>
              <w:ind w:left="20" w:right="40"/>
              <w:rPr>
                <w:sz w:val="18"/>
                <w:szCs w:val="18"/>
              </w:rPr>
            </w:pPr>
            <w:r w:rsidRPr="00133C2D">
              <w:rPr>
                <w:rFonts w:cs="Century Gothic"/>
                <w:color w:val="000000"/>
                <w:sz w:val="18"/>
                <w:szCs w:val="18"/>
              </w:rPr>
              <w:t>Around 1 day</w:t>
            </w:r>
          </w:p>
        </w:tc>
        <w:tc>
          <w:tcPr>
            <w:tcW w:w="1260" w:type="dxa"/>
            <w:vAlign w:val="center"/>
          </w:tcPr>
          <w:p w14:paraId="7B392614" w14:textId="77777777" w:rsidR="001C19F3" w:rsidRPr="00133C2D" w:rsidRDefault="001C19F3" w:rsidP="00521305">
            <w:pPr>
              <w:spacing w:before="40" w:after="40"/>
              <w:ind w:left="40" w:right="40"/>
              <w:jc w:val="right"/>
              <w:rPr>
                <w:sz w:val="18"/>
                <w:szCs w:val="18"/>
              </w:rPr>
            </w:pPr>
            <w:r>
              <w:rPr>
                <w:rFonts w:eastAsia="Century Gothic" w:cs="Century Gothic"/>
                <w:color w:val="000000"/>
                <w:sz w:val="18"/>
                <w:szCs w:val="18"/>
              </w:rPr>
              <w:t>51 (42.5%)</w:t>
            </w:r>
          </w:p>
        </w:tc>
      </w:tr>
      <w:tr w:rsidR="001C19F3" w14:paraId="0329070F" w14:textId="77777777" w:rsidTr="00521305">
        <w:trPr>
          <w:trHeight w:val="340"/>
          <w:jc w:val="center"/>
        </w:trPr>
        <w:tc>
          <w:tcPr>
            <w:tcW w:w="2405" w:type="dxa"/>
            <w:tcMar>
              <w:top w:w="0" w:type="dxa"/>
              <w:left w:w="0" w:type="dxa"/>
              <w:bottom w:w="0" w:type="dxa"/>
              <w:right w:w="0" w:type="dxa"/>
            </w:tcMar>
            <w:vAlign w:val="center"/>
          </w:tcPr>
          <w:p w14:paraId="1C13F691" w14:textId="77777777" w:rsidR="001C19F3" w:rsidRPr="00133C2D" w:rsidRDefault="001C19F3" w:rsidP="00521305">
            <w:pPr>
              <w:spacing w:before="40" w:after="40"/>
              <w:ind w:left="160" w:right="40"/>
              <w:rPr>
                <w:sz w:val="18"/>
                <w:szCs w:val="18"/>
              </w:rPr>
            </w:pPr>
          </w:p>
        </w:tc>
        <w:tc>
          <w:tcPr>
            <w:tcW w:w="1134" w:type="dxa"/>
            <w:tcBorders>
              <w:right w:val="double" w:sz="4" w:space="0" w:color="BFBFBF" w:themeColor="background1" w:themeShade="BF"/>
            </w:tcBorders>
            <w:tcMar>
              <w:top w:w="0" w:type="dxa"/>
              <w:left w:w="0" w:type="dxa"/>
              <w:bottom w:w="0" w:type="dxa"/>
              <w:right w:w="0" w:type="dxa"/>
            </w:tcMar>
            <w:vAlign w:val="center"/>
          </w:tcPr>
          <w:p w14:paraId="44E6CEA0" w14:textId="77777777" w:rsidR="001C19F3" w:rsidRPr="00133C2D" w:rsidRDefault="001C19F3" w:rsidP="00521305">
            <w:pPr>
              <w:spacing w:before="40" w:after="40"/>
              <w:ind w:left="40" w:right="40"/>
              <w:jc w:val="right"/>
              <w:rPr>
                <w:sz w:val="18"/>
                <w:szCs w:val="18"/>
              </w:rPr>
            </w:pPr>
          </w:p>
        </w:tc>
        <w:tc>
          <w:tcPr>
            <w:tcW w:w="2142" w:type="dxa"/>
            <w:tcBorders>
              <w:left w:val="double" w:sz="4" w:space="0" w:color="BFBFBF" w:themeColor="background1" w:themeShade="BF"/>
            </w:tcBorders>
            <w:vAlign w:val="center"/>
          </w:tcPr>
          <w:p w14:paraId="6591A192" w14:textId="77777777" w:rsidR="001C19F3" w:rsidRPr="00133C2D" w:rsidRDefault="001C19F3" w:rsidP="00521305">
            <w:pPr>
              <w:spacing w:before="40" w:after="40"/>
              <w:ind w:left="20" w:right="40"/>
              <w:rPr>
                <w:sz w:val="18"/>
                <w:szCs w:val="18"/>
              </w:rPr>
            </w:pPr>
            <w:r w:rsidRPr="00133C2D">
              <w:rPr>
                <w:rFonts w:cs="Century Gothic"/>
                <w:color w:val="000000"/>
                <w:sz w:val="18"/>
                <w:szCs w:val="18"/>
              </w:rPr>
              <w:t>Around 2 days</w:t>
            </w:r>
          </w:p>
        </w:tc>
        <w:tc>
          <w:tcPr>
            <w:tcW w:w="1260" w:type="dxa"/>
            <w:vAlign w:val="center"/>
          </w:tcPr>
          <w:p w14:paraId="1EF048E4" w14:textId="77777777" w:rsidR="001C19F3" w:rsidRPr="00133C2D" w:rsidRDefault="001C19F3" w:rsidP="00521305">
            <w:pPr>
              <w:spacing w:before="40" w:after="40"/>
              <w:ind w:left="40" w:right="40"/>
              <w:jc w:val="right"/>
              <w:rPr>
                <w:sz w:val="18"/>
                <w:szCs w:val="18"/>
              </w:rPr>
            </w:pPr>
            <w:r>
              <w:rPr>
                <w:rFonts w:eastAsia="Century Gothic" w:cs="Century Gothic"/>
                <w:color w:val="000000"/>
                <w:sz w:val="18"/>
                <w:szCs w:val="18"/>
              </w:rPr>
              <w:t>6 (5.0%)</w:t>
            </w:r>
          </w:p>
        </w:tc>
      </w:tr>
      <w:tr w:rsidR="001C19F3" w14:paraId="146BACB7" w14:textId="77777777" w:rsidTr="00521305">
        <w:trPr>
          <w:trHeight w:val="340"/>
          <w:jc w:val="center"/>
        </w:trPr>
        <w:tc>
          <w:tcPr>
            <w:tcW w:w="2405" w:type="dxa"/>
            <w:tcMar>
              <w:top w:w="0" w:type="dxa"/>
              <w:left w:w="0" w:type="dxa"/>
              <w:bottom w:w="0" w:type="dxa"/>
              <w:right w:w="0" w:type="dxa"/>
            </w:tcMar>
            <w:vAlign w:val="center"/>
          </w:tcPr>
          <w:p w14:paraId="58006EB7" w14:textId="77777777" w:rsidR="001C19F3" w:rsidRPr="00133C2D" w:rsidRDefault="001C19F3" w:rsidP="00521305">
            <w:pPr>
              <w:spacing w:before="40" w:after="40"/>
              <w:ind w:left="160" w:right="40"/>
              <w:rPr>
                <w:sz w:val="18"/>
                <w:szCs w:val="18"/>
              </w:rPr>
            </w:pPr>
          </w:p>
        </w:tc>
        <w:tc>
          <w:tcPr>
            <w:tcW w:w="1134" w:type="dxa"/>
            <w:tcBorders>
              <w:right w:val="double" w:sz="4" w:space="0" w:color="BFBFBF" w:themeColor="background1" w:themeShade="BF"/>
            </w:tcBorders>
            <w:tcMar>
              <w:top w:w="0" w:type="dxa"/>
              <w:left w:w="0" w:type="dxa"/>
              <w:bottom w:w="0" w:type="dxa"/>
              <w:right w:w="0" w:type="dxa"/>
            </w:tcMar>
            <w:vAlign w:val="center"/>
          </w:tcPr>
          <w:p w14:paraId="23A43907" w14:textId="77777777" w:rsidR="001C19F3" w:rsidRPr="00133C2D" w:rsidRDefault="001C19F3" w:rsidP="00521305">
            <w:pPr>
              <w:spacing w:before="40" w:after="40"/>
              <w:ind w:left="40" w:right="40"/>
              <w:jc w:val="right"/>
              <w:rPr>
                <w:sz w:val="18"/>
                <w:szCs w:val="18"/>
              </w:rPr>
            </w:pPr>
          </w:p>
        </w:tc>
        <w:tc>
          <w:tcPr>
            <w:tcW w:w="2142" w:type="dxa"/>
            <w:tcBorders>
              <w:left w:val="double" w:sz="4" w:space="0" w:color="BFBFBF" w:themeColor="background1" w:themeShade="BF"/>
            </w:tcBorders>
            <w:vAlign w:val="center"/>
          </w:tcPr>
          <w:p w14:paraId="6E2C8427" w14:textId="77777777" w:rsidR="001C19F3" w:rsidRPr="00133C2D" w:rsidRDefault="001C19F3" w:rsidP="00521305">
            <w:pPr>
              <w:spacing w:before="40" w:after="40"/>
              <w:ind w:left="20" w:right="40"/>
              <w:rPr>
                <w:sz w:val="18"/>
                <w:szCs w:val="18"/>
              </w:rPr>
            </w:pPr>
            <w:r w:rsidRPr="00133C2D">
              <w:rPr>
                <w:rFonts w:cs="Century Gothic"/>
                <w:color w:val="000000"/>
                <w:sz w:val="18"/>
                <w:szCs w:val="18"/>
              </w:rPr>
              <w:t>Other</w:t>
            </w:r>
          </w:p>
        </w:tc>
        <w:tc>
          <w:tcPr>
            <w:tcW w:w="1260" w:type="dxa"/>
            <w:vAlign w:val="center"/>
          </w:tcPr>
          <w:p w14:paraId="3CD6B85D" w14:textId="77777777" w:rsidR="001C19F3" w:rsidRPr="00133C2D" w:rsidRDefault="001C19F3" w:rsidP="00521305">
            <w:pPr>
              <w:spacing w:before="40" w:after="40"/>
              <w:ind w:left="40" w:right="40"/>
              <w:jc w:val="right"/>
              <w:rPr>
                <w:sz w:val="18"/>
                <w:szCs w:val="18"/>
              </w:rPr>
            </w:pPr>
            <w:r>
              <w:rPr>
                <w:rFonts w:eastAsia="Century Gothic" w:cs="Century Gothic"/>
                <w:color w:val="000000"/>
                <w:sz w:val="18"/>
                <w:szCs w:val="18"/>
              </w:rPr>
              <w:t>11 (9.2%)</w:t>
            </w:r>
          </w:p>
        </w:tc>
      </w:tr>
    </w:tbl>
    <w:p w14:paraId="01CDB5A9" w14:textId="77777777" w:rsidR="001C19F3" w:rsidRPr="00CE2C86" w:rsidRDefault="001C19F3" w:rsidP="001C19F3">
      <w:pPr>
        <w:pStyle w:val="Chartortablefootnote"/>
      </w:pPr>
      <w:r w:rsidRPr="00CE2C86">
        <w:t>Source: Practice survey R1, Mar-Jun 2018. The Table relates to active practices as at 31 August 2019.</w:t>
      </w:r>
    </w:p>
    <w:p w14:paraId="4BBECB51" w14:textId="77777777" w:rsidR="001C19F3" w:rsidRDefault="001C19F3" w:rsidP="001C19F3">
      <w:r>
        <w:rPr>
          <w:rFonts w:cs="Century Gothic"/>
          <w:color w:val="000000"/>
          <w:szCs w:val="20"/>
        </w:rPr>
        <w:t xml:space="preserve">Most practices (88%) indicated that at least one GP in the practice did home visits. </w:t>
      </w:r>
      <w:r>
        <w:fldChar w:fldCharType="begin"/>
      </w:r>
      <w:r>
        <w:instrText xml:space="preserve"> REF _Ref527622940 \h  \* MERGEFORMAT </w:instrText>
      </w:r>
      <w:r>
        <w:fldChar w:fldCharType="separate"/>
      </w:r>
      <w:r w:rsidRPr="00822044">
        <w:t>Table 10</w:t>
      </w:r>
      <w:r>
        <w:fldChar w:fldCharType="end"/>
      </w:r>
      <w:r>
        <w:t xml:space="preserve"> summarises the </w:t>
      </w:r>
      <w:r w:rsidRPr="00532A42">
        <w:t>means of communication between patients and the practice</w:t>
      </w:r>
      <w:r>
        <w:t xml:space="preserve"> as reported by practices. The evaluation is also exploring whether the availability and use of alternate ways of communicating between patients and practices expanded during the HCH implementation. Certain mechanisms (e.g. the patient portal) appear to have only a low level of uptake at this point in time, while others (e.g. c</w:t>
      </w:r>
      <w:r w:rsidRPr="00EB74F6">
        <w:t>ontact</w:t>
      </w:r>
      <w:r>
        <w:t>ing</w:t>
      </w:r>
      <w:r w:rsidRPr="00EB74F6">
        <w:t xml:space="preserve"> a doctor or nurse by telephone during the practice/ service's hours of operation</w:t>
      </w:r>
      <w:r>
        <w:t xml:space="preserve">) are commonly available. </w:t>
      </w:r>
    </w:p>
    <w:p w14:paraId="718AC1BC" w14:textId="77777777" w:rsidR="001C19F3" w:rsidRDefault="001C19F3" w:rsidP="001C19F3">
      <w:pPr>
        <w:spacing w:after="0"/>
        <w:jc w:val="center"/>
        <w:rPr>
          <w:rFonts w:asciiTheme="minorHAnsi" w:eastAsiaTheme="minorEastAsia" w:hAnsiTheme="minorHAnsi"/>
        </w:rPr>
      </w:pPr>
      <w:bookmarkStart w:id="132" w:name="_Ref527622940"/>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10</w:t>
      </w:r>
      <w:r w:rsidRPr="007E3ABB">
        <w:rPr>
          <w:rFonts w:cs="Arial"/>
          <w:b/>
          <w:color w:val="000000" w:themeColor="text1"/>
        </w:rPr>
        <w:fldChar w:fldCharType="end"/>
      </w:r>
      <w:bookmarkEnd w:id="132"/>
      <w:r w:rsidRPr="007E3ABB">
        <w:rPr>
          <w:b/>
        </w:rPr>
        <w:t xml:space="preserve"> –</w:t>
      </w:r>
      <w:r>
        <w:rPr>
          <w:b/>
        </w:rPr>
        <w:t xml:space="preserve"> Availability of selected means of communication between patients and the practice</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08"/>
        <w:gridCol w:w="1208"/>
      </w:tblGrid>
      <w:tr w:rsidR="001C19F3" w14:paraId="7C3DA3FA" w14:textId="77777777" w:rsidTr="00521305">
        <w:trPr>
          <w:tblHeader/>
          <w:jc w:val="center"/>
        </w:trPr>
        <w:tc>
          <w:tcPr>
            <w:tcW w:w="4330" w:type="pct"/>
            <w:shd w:val="clear" w:color="auto" w:fill="003D79"/>
            <w:tcMar>
              <w:top w:w="0" w:type="dxa"/>
              <w:left w:w="0" w:type="dxa"/>
              <w:bottom w:w="0" w:type="dxa"/>
              <w:right w:w="0" w:type="dxa"/>
            </w:tcMar>
            <w:vAlign w:val="center"/>
          </w:tcPr>
          <w:p w14:paraId="73373BEF" w14:textId="77777777" w:rsidR="001C19F3" w:rsidRPr="005477A7" w:rsidRDefault="001C19F3" w:rsidP="00521305">
            <w:pPr>
              <w:spacing w:before="40" w:after="40"/>
              <w:jc w:val="center"/>
              <w:rPr>
                <w:sz w:val="18"/>
                <w:szCs w:val="18"/>
              </w:rPr>
            </w:pPr>
            <w:r>
              <w:rPr>
                <w:rFonts w:cs="Century Gothic"/>
                <w:b/>
                <w:color w:val="FFFFFF"/>
                <w:sz w:val="18"/>
                <w:szCs w:val="18"/>
              </w:rPr>
              <w:t>Means of communication</w:t>
            </w:r>
          </w:p>
        </w:tc>
        <w:tc>
          <w:tcPr>
            <w:tcW w:w="670" w:type="pct"/>
            <w:shd w:val="clear" w:color="auto" w:fill="003D79"/>
            <w:tcMar>
              <w:top w:w="0" w:type="dxa"/>
              <w:left w:w="0" w:type="dxa"/>
              <w:bottom w:w="0" w:type="dxa"/>
              <w:right w:w="0" w:type="dxa"/>
            </w:tcMar>
            <w:vAlign w:val="center"/>
          </w:tcPr>
          <w:p w14:paraId="29033CBB" w14:textId="77777777" w:rsidR="001C19F3" w:rsidRPr="005477A7" w:rsidRDefault="001C19F3" w:rsidP="00521305">
            <w:pPr>
              <w:spacing w:before="40" w:after="40"/>
              <w:jc w:val="center"/>
              <w:rPr>
                <w:sz w:val="18"/>
                <w:szCs w:val="18"/>
              </w:rPr>
            </w:pPr>
            <w:r>
              <w:rPr>
                <w:rFonts w:cs="Century Gothic"/>
                <w:b/>
                <w:color w:val="FFFFFF"/>
                <w:sz w:val="18"/>
                <w:szCs w:val="18"/>
              </w:rPr>
              <w:t>Practices n (%)</w:t>
            </w:r>
          </w:p>
        </w:tc>
      </w:tr>
      <w:tr w:rsidR="001C19F3" w14:paraId="76CB711E" w14:textId="77777777" w:rsidTr="00521305">
        <w:trPr>
          <w:jc w:val="center"/>
        </w:trPr>
        <w:tc>
          <w:tcPr>
            <w:tcW w:w="4330" w:type="pct"/>
            <w:tcMar>
              <w:top w:w="0" w:type="dxa"/>
              <w:left w:w="0" w:type="dxa"/>
              <w:bottom w:w="0" w:type="dxa"/>
              <w:right w:w="0" w:type="dxa"/>
            </w:tcMar>
            <w:vAlign w:val="center"/>
          </w:tcPr>
          <w:p w14:paraId="63C8AA0D"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Contact a doctor or nurse by telephone during the practice/ service's hours of operation?</w:t>
            </w:r>
          </w:p>
        </w:tc>
        <w:tc>
          <w:tcPr>
            <w:tcW w:w="670" w:type="pct"/>
            <w:tcMar>
              <w:top w:w="0" w:type="dxa"/>
              <w:left w:w="0" w:type="dxa"/>
              <w:bottom w:w="0" w:type="dxa"/>
              <w:right w:w="0" w:type="dxa"/>
            </w:tcMar>
            <w:vAlign w:val="center"/>
          </w:tcPr>
          <w:p w14:paraId="243094DC"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102 (85.0%)</w:t>
            </w:r>
          </w:p>
        </w:tc>
      </w:tr>
      <w:tr w:rsidR="001C19F3" w14:paraId="7C1E2D33" w14:textId="77777777" w:rsidTr="00521305">
        <w:trPr>
          <w:jc w:val="center"/>
        </w:trPr>
        <w:tc>
          <w:tcPr>
            <w:tcW w:w="4330" w:type="pct"/>
            <w:tcMar>
              <w:top w:w="0" w:type="dxa"/>
              <w:left w:w="0" w:type="dxa"/>
              <w:bottom w:w="0" w:type="dxa"/>
              <w:right w:w="0" w:type="dxa"/>
            </w:tcMar>
            <w:vAlign w:val="center"/>
          </w:tcPr>
          <w:p w14:paraId="75BF8AC0"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Request appointments online?</w:t>
            </w:r>
          </w:p>
        </w:tc>
        <w:tc>
          <w:tcPr>
            <w:tcW w:w="670" w:type="pct"/>
            <w:tcMar>
              <w:top w:w="0" w:type="dxa"/>
              <w:left w:w="0" w:type="dxa"/>
              <w:bottom w:w="0" w:type="dxa"/>
              <w:right w:w="0" w:type="dxa"/>
            </w:tcMar>
            <w:vAlign w:val="center"/>
          </w:tcPr>
          <w:p w14:paraId="503AD585"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85 (70.8%)</w:t>
            </w:r>
          </w:p>
        </w:tc>
      </w:tr>
      <w:tr w:rsidR="001C19F3" w14:paraId="50FC3454" w14:textId="77777777" w:rsidTr="00521305">
        <w:trPr>
          <w:jc w:val="center"/>
        </w:trPr>
        <w:tc>
          <w:tcPr>
            <w:tcW w:w="4330" w:type="pct"/>
            <w:tcMar>
              <w:top w:w="0" w:type="dxa"/>
              <w:left w:w="0" w:type="dxa"/>
              <w:bottom w:w="0" w:type="dxa"/>
              <w:right w:w="0" w:type="dxa"/>
            </w:tcMar>
            <w:vAlign w:val="center"/>
          </w:tcPr>
          <w:p w14:paraId="2CB8EE39"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Describe the problems they wish to discuss with the GP prior to the appointment?</w:t>
            </w:r>
          </w:p>
        </w:tc>
        <w:tc>
          <w:tcPr>
            <w:tcW w:w="670" w:type="pct"/>
            <w:tcMar>
              <w:top w:w="0" w:type="dxa"/>
              <w:left w:w="0" w:type="dxa"/>
              <w:bottom w:w="0" w:type="dxa"/>
              <w:right w:w="0" w:type="dxa"/>
            </w:tcMar>
            <w:vAlign w:val="center"/>
          </w:tcPr>
          <w:p w14:paraId="4D97BB60"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75 (62.5%)</w:t>
            </w:r>
          </w:p>
        </w:tc>
      </w:tr>
      <w:tr w:rsidR="001C19F3" w14:paraId="045E157F" w14:textId="77777777" w:rsidTr="00521305">
        <w:trPr>
          <w:jc w:val="center"/>
        </w:trPr>
        <w:tc>
          <w:tcPr>
            <w:tcW w:w="4330" w:type="pct"/>
            <w:tcMar>
              <w:top w:w="0" w:type="dxa"/>
              <w:left w:w="0" w:type="dxa"/>
              <w:bottom w:w="0" w:type="dxa"/>
              <w:right w:w="0" w:type="dxa"/>
            </w:tcMar>
            <w:vAlign w:val="center"/>
          </w:tcPr>
          <w:p w14:paraId="76706E47"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Send a medical question or concern via email or electronic message?</w:t>
            </w:r>
          </w:p>
        </w:tc>
        <w:tc>
          <w:tcPr>
            <w:tcW w:w="670" w:type="pct"/>
            <w:tcMar>
              <w:top w:w="0" w:type="dxa"/>
              <w:left w:w="0" w:type="dxa"/>
              <w:bottom w:w="0" w:type="dxa"/>
              <w:right w:w="0" w:type="dxa"/>
            </w:tcMar>
            <w:vAlign w:val="center"/>
          </w:tcPr>
          <w:p w14:paraId="52438BFC"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48 (40.0%)</w:t>
            </w:r>
          </w:p>
        </w:tc>
      </w:tr>
      <w:tr w:rsidR="001C19F3" w14:paraId="4C5D4EE1" w14:textId="77777777" w:rsidTr="00521305">
        <w:trPr>
          <w:jc w:val="center"/>
        </w:trPr>
        <w:tc>
          <w:tcPr>
            <w:tcW w:w="4330" w:type="pct"/>
            <w:tcMar>
              <w:top w:w="0" w:type="dxa"/>
              <w:left w:w="0" w:type="dxa"/>
              <w:bottom w:w="0" w:type="dxa"/>
              <w:right w:w="0" w:type="dxa"/>
            </w:tcMar>
            <w:vAlign w:val="center"/>
          </w:tcPr>
          <w:p w14:paraId="286B5F89"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Leave a voice message and get a return call from a doctor or nurse</w:t>
            </w:r>
          </w:p>
        </w:tc>
        <w:tc>
          <w:tcPr>
            <w:tcW w:w="670" w:type="pct"/>
            <w:tcMar>
              <w:top w:w="0" w:type="dxa"/>
              <w:left w:w="0" w:type="dxa"/>
              <w:bottom w:w="0" w:type="dxa"/>
              <w:right w:w="0" w:type="dxa"/>
            </w:tcMar>
            <w:vAlign w:val="center"/>
          </w:tcPr>
          <w:p w14:paraId="3A3CDFAA"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39 (32.5%)</w:t>
            </w:r>
          </w:p>
        </w:tc>
      </w:tr>
      <w:tr w:rsidR="001C19F3" w14:paraId="780E2FB3" w14:textId="77777777" w:rsidTr="00521305">
        <w:trPr>
          <w:jc w:val="center"/>
        </w:trPr>
        <w:tc>
          <w:tcPr>
            <w:tcW w:w="4330" w:type="pct"/>
            <w:tcMar>
              <w:top w:w="0" w:type="dxa"/>
              <w:left w:w="0" w:type="dxa"/>
              <w:bottom w:w="0" w:type="dxa"/>
              <w:right w:w="0" w:type="dxa"/>
            </w:tcMar>
            <w:vAlign w:val="center"/>
          </w:tcPr>
          <w:p w14:paraId="32A7EA93"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Review letters from specialists/ hospital discharge summarised on a patient portal?</w:t>
            </w:r>
          </w:p>
        </w:tc>
        <w:tc>
          <w:tcPr>
            <w:tcW w:w="670" w:type="pct"/>
            <w:tcMar>
              <w:top w:w="0" w:type="dxa"/>
              <w:left w:w="0" w:type="dxa"/>
              <w:bottom w:w="0" w:type="dxa"/>
              <w:right w:w="0" w:type="dxa"/>
            </w:tcMar>
            <w:vAlign w:val="center"/>
          </w:tcPr>
          <w:p w14:paraId="6EDEE543"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11 (9.2%)</w:t>
            </w:r>
          </w:p>
        </w:tc>
      </w:tr>
      <w:tr w:rsidR="001C19F3" w14:paraId="49B9C70A" w14:textId="77777777" w:rsidTr="00521305">
        <w:trPr>
          <w:jc w:val="center"/>
        </w:trPr>
        <w:tc>
          <w:tcPr>
            <w:tcW w:w="4330" w:type="pct"/>
            <w:tcMar>
              <w:top w:w="0" w:type="dxa"/>
              <w:left w:w="0" w:type="dxa"/>
              <w:bottom w:w="0" w:type="dxa"/>
              <w:right w:w="0" w:type="dxa"/>
            </w:tcMar>
            <w:vAlign w:val="center"/>
          </w:tcPr>
          <w:p w14:paraId="5348E9AD"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View test results on a patient portal?</w:t>
            </w:r>
          </w:p>
        </w:tc>
        <w:tc>
          <w:tcPr>
            <w:tcW w:w="670" w:type="pct"/>
            <w:tcMar>
              <w:top w:w="0" w:type="dxa"/>
              <w:left w:w="0" w:type="dxa"/>
              <w:bottom w:w="0" w:type="dxa"/>
              <w:right w:w="0" w:type="dxa"/>
            </w:tcMar>
            <w:vAlign w:val="center"/>
          </w:tcPr>
          <w:p w14:paraId="2F39713C"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7 (5.8%)</w:t>
            </w:r>
          </w:p>
        </w:tc>
      </w:tr>
      <w:tr w:rsidR="001C19F3" w14:paraId="01074AD8" w14:textId="77777777" w:rsidTr="00521305">
        <w:trPr>
          <w:jc w:val="center"/>
        </w:trPr>
        <w:tc>
          <w:tcPr>
            <w:tcW w:w="4330" w:type="pct"/>
            <w:tcMar>
              <w:top w:w="0" w:type="dxa"/>
              <w:left w:w="0" w:type="dxa"/>
              <w:bottom w:w="0" w:type="dxa"/>
              <w:right w:w="0" w:type="dxa"/>
            </w:tcMar>
            <w:vAlign w:val="center"/>
          </w:tcPr>
          <w:p w14:paraId="7715A5F8" w14:textId="77777777" w:rsidR="001C19F3" w:rsidRPr="005477A7" w:rsidRDefault="001C19F3" w:rsidP="00521305">
            <w:pPr>
              <w:spacing w:before="40" w:after="40"/>
              <w:ind w:left="40" w:right="40"/>
              <w:rPr>
                <w:sz w:val="18"/>
                <w:szCs w:val="18"/>
              </w:rPr>
            </w:pPr>
            <w:r>
              <w:rPr>
                <w:rFonts w:eastAsia="Century Gothic" w:cs="Century Gothic"/>
                <w:color w:val="000000"/>
                <w:sz w:val="18"/>
                <w:szCs w:val="18"/>
              </w:rPr>
              <w:t>Request refills for prescriptions online?</w:t>
            </w:r>
          </w:p>
        </w:tc>
        <w:tc>
          <w:tcPr>
            <w:tcW w:w="670" w:type="pct"/>
            <w:tcMar>
              <w:top w:w="0" w:type="dxa"/>
              <w:left w:w="0" w:type="dxa"/>
              <w:bottom w:w="0" w:type="dxa"/>
              <w:right w:w="0" w:type="dxa"/>
            </w:tcMar>
            <w:vAlign w:val="center"/>
          </w:tcPr>
          <w:p w14:paraId="148D050C" w14:textId="77777777" w:rsidR="001C19F3" w:rsidRPr="005477A7" w:rsidRDefault="001C19F3" w:rsidP="00521305">
            <w:pPr>
              <w:spacing w:before="40" w:after="40"/>
              <w:ind w:left="40" w:right="40"/>
              <w:jc w:val="right"/>
              <w:rPr>
                <w:sz w:val="18"/>
                <w:szCs w:val="18"/>
              </w:rPr>
            </w:pPr>
            <w:r>
              <w:rPr>
                <w:rFonts w:eastAsia="Century Gothic" w:cs="Century Gothic"/>
                <w:color w:val="000000"/>
                <w:sz w:val="18"/>
                <w:szCs w:val="18"/>
              </w:rPr>
              <w:t>6 (5.0%)</w:t>
            </w:r>
          </w:p>
        </w:tc>
      </w:tr>
    </w:tbl>
    <w:p w14:paraId="0FCEFDC3" w14:textId="77777777" w:rsidR="001C19F3" w:rsidRPr="00CF46D0" w:rsidRDefault="001C19F3" w:rsidP="001C19F3">
      <w:pPr>
        <w:pStyle w:val="Chartortablefootnote"/>
      </w:pPr>
      <w:r w:rsidRPr="00CF46D0">
        <w:t xml:space="preserve">Source: </w:t>
      </w:r>
      <w:r w:rsidRPr="00CE2C86">
        <w:t>Practice survey R1, Mar-Jun 2018</w:t>
      </w:r>
      <w:r w:rsidRPr="00CF46D0">
        <w:t>. The Table relates to active practices as at 31 August 2019.</w:t>
      </w:r>
    </w:p>
    <w:p w14:paraId="12E9EBA6" w14:textId="77777777" w:rsidR="001C19F3" w:rsidRDefault="001C19F3" w:rsidP="001C19F3">
      <w:pPr>
        <w:spacing w:after="160" w:line="259" w:lineRule="auto"/>
      </w:pPr>
      <w:r>
        <w:br w:type="page"/>
      </w:r>
    </w:p>
    <w:p w14:paraId="3301FB10" w14:textId="77777777" w:rsidR="001C19F3" w:rsidRDefault="001C19F3" w:rsidP="001C19F3">
      <w:r>
        <w:lastRenderedPageBreak/>
        <w:t xml:space="preserve">Practices reported on the availability of other primary care/allied health services in the local community </w:t>
      </w:r>
      <w:r w:rsidRPr="00CA0BA9">
        <w:t>(See Volume 4 Appendix 1</w:t>
      </w:r>
      <w:r>
        <w:t>). Communities in which the practices reported lower levels of availability of these services tended to be more remote, although a small number of practices in major cities identified low levels of availability for selected services.</w:t>
      </w:r>
    </w:p>
    <w:p w14:paraId="6E095609" w14:textId="77777777" w:rsidR="001C19F3" w:rsidRDefault="001C19F3" w:rsidP="001C19F3">
      <w:pPr>
        <w:pStyle w:val="Heading3"/>
      </w:pPr>
      <w:r>
        <w:t>IT and data capabilities</w:t>
      </w:r>
    </w:p>
    <w:p w14:paraId="773688D2" w14:textId="77777777" w:rsidR="001C19F3" w:rsidRDefault="001C19F3" w:rsidP="001C19F3">
      <w:bookmarkStart w:id="133" w:name="_Hlk527559448"/>
      <w:r>
        <w:t xml:space="preserve">Practices reported using seven different </w:t>
      </w:r>
      <w:r w:rsidRPr="00DD1CE0">
        <w:t xml:space="preserve">practice </w:t>
      </w:r>
      <w:r>
        <w:t>clinical management systems, with 91% of the practices using one of three systems. Practices also identified several applications used for clinical data audits and benchmarking, which drew on analysis of the data from the main clinical management system. A few practices listed the clinical management system as the system that they used for clinical data audit. Others indicated that they used/ participated in: PenCAT (with or without Topbar), Polar, NPS MedicineInsight, or a system</w:t>
      </w:r>
      <w:r w:rsidRPr="00F17938">
        <w:t xml:space="preserve"> </w:t>
      </w:r>
      <w:r>
        <w:t>developed by their corporate group. A few practices used more than one system.</w:t>
      </w:r>
    </w:p>
    <w:p w14:paraId="022BD7F4" w14:textId="77777777" w:rsidR="001C19F3" w:rsidRDefault="001C19F3" w:rsidP="001C19F3">
      <w:r>
        <w:fldChar w:fldCharType="begin"/>
      </w:r>
      <w:r>
        <w:instrText xml:space="preserve"> REF _Ref527634604 \h  \* MERGEFORMAT </w:instrText>
      </w:r>
      <w:r>
        <w:fldChar w:fldCharType="separate"/>
      </w:r>
      <w:r w:rsidRPr="00822044">
        <w:t>Table 11</w:t>
      </w:r>
      <w:r>
        <w:fldChar w:fldCharType="end"/>
      </w:r>
      <w:r>
        <w:t xml:space="preserve"> shows responses to questions about the ease with which certain information could be generated using the clinical management system and/or other software. Most practices reported that producing the specified information items was ‘easy’. </w:t>
      </w:r>
    </w:p>
    <w:p w14:paraId="67086243" w14:textId="77777777" w:rsidR="001C19F3" w:rsidRPr="004549BC" w:rsidRDefault="001C19F3" w:rsidP="001C19F3">
      <w:pPr>
        <w:spacing w:after="0"/>
        <w:jc w:val="center"/>
        <w:rPr>
          <w:rFonts w:asciiTheme="minorHAnsi" w:eastAsiaTheme="minorEastAsia" w:hAnsiTheme="minorHAnsi"/>
        </w:rPr>
      </w:pPr>
      <w:bookmarkStart w:id="134" w:name="_Ref527634604"/>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11</w:t>
      </w:r>
      <w:r w:rsidRPr="007E3ABB">
        <w:rPr>
          <w:rFonts w:cs="Arial"/>
          <w:b/>
          <w:color w:val="000000" w:themeColor="text1"/>
        </w:rPr>
        <w:fldChar w:fldCharType="end"/>
      </w:r>
      <w:bookmarkEnd w:id="134"/>
      <w:r w:rsidRPr="007E3ABB">
        <w:rPr>
          <w:b/>
        </w:rPr>
        <w:t xml:space="preserve"> – </w:t>
      </w:r>
      <w:r>
        <w:rPr>
          <w:b/>
        </w:rPr>
        <w:t xml:space="preserve">Practice reports of how easy it is </w:t>
      </w:r>
      <w:r w:rsidRPr="004549BC">
        <w:rPr>
          <w:b/>
        </w:rPr>
        <w:t xml:space="preserve">to generate selected information about patients using the practice </w:t>
      </w:r>
      <w:r>
        <w:rPr>
          <w:b/>
        </w:rPr>
        <w:t xml:space="preserve">clinical </w:t>
      </w:r>
      <w:r w:rsidRPr="004549BC">
        <w:rPr>
          <w:b/>
        </w:rPr>
        <w:t>management system and/or other software</w:t>
      </w:r>
    </w:p>
    <w:tbl>
      <w:tblPr>
        <w:tblW w:w="935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2"/>
        <w:gridCol w:w="1134"/>
        <w:gridCol w:w="1134"/>
        <w:gridCol w:w="850"/>
        <w:gridCol w:w="851"/>
      </w:tblGrid>
      <w:tr w:rsidR="001C19F3" w:rsidRPr="00364A23" w14:paraId="7FCC7EF1" w14:textId="77777777" w:rsidTr="00521305">
        <w:trPr>
          <w:trHeight w:val="326"/>
          <w:tblHeader/>
          <w:jc w:val="center"/>
        </w:trPr>
        <w:tc>
          <w:tcPr>
            <w:tcW w:w="5382" w:type="dxa"/>
            <w:vMerge w:val="restart"/>
            <w:shd w:val="clear" w:color="auto" w:fill="003D79"/>
            <w:tcMar>
              <w:top w:w="0" w:type="dxa"/>
              <w:left w:w="0" w:type="dxa"/>
              <w:bottom w:w="0" w:type="dxa"/>
              <w:right w:w="0" w:type="dxa"/>
            </w:tcMar>
            <w:vAlign w:val="center"/>
          </w:tcPr>
          <w:p w14:paraId="47AE8E24" w14:textId="77777777" w:rsidR="001C19F3" w:rsidRPr="004549BC" w:rsidRDefault="001C19F3" w:rsidP="00521305">
            <w:pPr>
              <w:spacing w:before="40" w:after="40"/>
              <w:jc w:val="center"/>
              <w:rPr>
                <w:rFonts w:cs="Century Gothic"/>
                <w:b/>
                <w:color w:val="FFFFFF"/>
                <w:sz w:val="18"/>
                <w:szCs w:val="18"/>
              </w:rPr>
            </w:pPr>
            <w:r w:rsidRPr="004549BC">
              <w:rPr>
                <w:rFonts w:cs="Century Gothic"/>
                <w:b/>
                <w:color w:val="FFFFFF"/>
                <w:sz w:val="18"/>
                <w:szCs w:val="18"/>
              </w:rPr>
              <w:t xml:space="preserve">Ease </w:t>
            </w:r>
            <w:r>
              <w:rPr>
                <w:rFonts w:cs="Century Gothic"/>
                <w:b/>
                <w:color w:val="FFFFFF"/>
                <w:sz w:val="18"/>
                <w:szCs w:val="18"/>
              </w:rPr>
              <w:t>of generating</w:t>
            </w:r>
          </w:p>
        </w:tc>
        <w:tc>
          <w:tcPr>
            <w:tcW w:w="1134" w:type="dxa"/>
            <w:shd w:val="clear" w:color="auto" w:fill="003D79"/>
            <w:tcMar>
              <w:top w:w="0" w:type="dxa"/>
              <w:left w:w="0" w:type="dxa"/>
              <w:bottom w:w="0" w:type="dxa"/>
              <w:right w:w="0" w:type="dxa"/>
            </w:tcMar>
            <w:vAlign w:val="center"/>
          </w:tcPr>
          <w:p w14:paraId="0E8FD7D8" w14:textId="77777777" w:rsidR="001C19F3" w:rsidRPr="004549BC" w:rsidRDefault="001C19F3" w:rsidP="00521305">
            <w:pPr>
              <w:spacing w:before="40" w:after="40"/>
              <w:jc w:val="center"/>
              <w:rPr>
                <w:rFonts w:cs="Century Gothic"/>
                <w:b/>
                <w:color w:val="FFFFFF"/>
                <w:sz w:val="18"/>
                <w:szCs w:val="18"/>
              </w:rPr>
            </w:pPr>
            <w:r w:rsidRPr="00364A23">
              <w:rPr>
                <w:rFonts w:cs="Century Gothic"/>
                <w:b/>
                <w:color w:val="FFFFFF"/>
                <w:sz w:val="18"/>
                <w:szCs w:val="18"/>
              </w:rPr>
              <w:t>Easy</w:t>
            </w:r>
          </w:p>
        </w:tc>
        <w:tc>
          <w:tcPr>
            <w:tcW w:w="1134" w:type="dxa"/>
            <w:shd w:val="clear" w:color="auto" w:fill="003D79"/>
            <w:tcMar>
              <w:top w:w="0" w:type="dxa"/>
              <w:left w:w="0" w:type="dxa"/>
              <w:bottom w:w="0" w:type="dxa"/>
              <w:right w:w="0" w:type="dxa"/>
            </w:tcMar>
            <w:vAlign w:val="center"/>
          </w:tcPr>
          <w:p w14:paraId="3F582800" w14:textId="77777777" w:rsidR="001C19F3" w:rsidRPr="004549BC" w:rsidRDefault="001C19F3" w:rsidP="00521305">
            <w:pPr>
              <w:spacing w:before="40" w:after="40"/>
              <w:jc w:val="center"/>
              <w:rPr>
                <w:rFonts w:cs="Century Gothic"/>
                <w:b/>
                <w:color w:val="FFFFFF"/>
                <w:sz w:val="18"/>
                <w:szCs w:val="18"/>
              </w:rPr>
            </w:pPr>
            <w:r w:rsidRPr="00364A23">
              <w:rPr>
                <w:rFonts w:cs="Century Gothic"/>
                <w:b/>
                <w:color w:val="FFFFFF"/>
                <w:sz w:val="18"/>
                <w:szCs w:val="18"/>
              </w:rPr>
              <w:t>Somewhat difficult</w:t>
            </w:r>
          </w:p>
        </w:tc>
        <w:tc>
          <w:tcPr>
            <w:tcW w:w="850" w:type="dxa"/>
            <w:shd w:val="clear" w:color="auto" w:fill="003D79"/>
            <w:tcMar>
              <w:top w:w="0" w:type="dxa"/>
              <w:left w:w="0" w:type="dxa"/>
              <w:bottom w:w="0" w:type="dxa"/>
              <w:right w:w="0" w:type="dxa"/>
            </w:tcMar>
            <w:vAlign w:val="center"/>
          </w:tcPr>
          <w:p w14:paraId="34035A1F" w14:textId="77777777" w:rsidR="001C19F3" w:rsidRPr="004549BC" w:rsidRDefault="001C19F3" w:rsidP="00521305">
            <w:pPr>
              <w:spacing w:before="40" w:after="40"/>
              <w:jc w:val="center"/>
              <w:rPr>
                <w:rFonts w:cs="Century Gothic"/>
                <w:b/>
                <w:color w:val="FFFFFF"/>
                <w:sz w:val="18"/>
                <w:szCs w:val="18"/>
              </w:rPr>
            </w:pPr>
            <w:r w:rsidRPr="00364A23">
              <w:rPr>
                <w:rFonts w:cs="Century Gothic"/>
                <w:b/>
                <w:color w:val="FFFFFF"/>
                <w:sz w:val="18"/>
                <w:szCs w:val="18"/>
              </w:rPr>
              <w:t>Difficult</w:t>
            </w:r>
          </w:p>
        </w:tc>
        <w:tc>
          <w:tcPr>
            <w:tcW w:w="851" w:type="dxa"/>
            <w:shd w:val="clear" w:color="auto" w:fill="003D79"/>
            <w:tcMar>
              <w:top w:w="0" w:type="dxa"/>
              <w:left w:w="0" w:type="dxa"/>
              <w:bottom w:w="0" w:type="dxa"/>
              <w:right w:w="0" w:type="dxa"/>
            </w:tcMar>
            <w:vAlign w:val="center"/>
          </w:tcPr>
          <w:p w14:paraId="7FA53418" w14:textId="77777777" w:rsidR="001C19F3" w:rsidRPr="004549BC" w:rsidRDefault="001C19F3" w:rsidP="00521305">
            <w:pPr>
              <w:spacing w:before="40" w:after="40"/>
              <w:jc w:val="center"/>
              <w:rPr>
                <w:rFonts w:cs="Century Gothic"/>
                <w:b/>
                <w:color w:val="FFFFFF"/>
                <w:sz w:val="18"/>
                <w:szCs w:val="18"/>
              </w:rPr>
            </w:pPr>
            <w:r w:rsidRPr="00364A23">
              <w:rPr>
                <w:rFonts w:cs="Century Gothic"/>
                <w:b/>
                <w:color w:val="FFFFFF"/>
                <w:sz w:val="18"/>
                <w:szCs w:val="18"/>
              </w:rPr>
              <w:t>Not Possible</w:t>
            </w:r>
          </w:p>
        </w:tc>
      </w:tr>
      <w:tr w:rsidR="001C19F3" w:rsidRPr="00364A23" w14:paraId="52E43556" w14:textId="77777777" w:rsidTr="00521305">
        <w:trPr>
          <w:trHeight w:val="326"/>
          <w:tblHeader/>
          <w:jc w:val="center"/>
        </w:trPr>
        <w:tc>
          <w:tcPr>
            <w:tcW w:w="5382" w:type="dxa"/>
            <w:vMerge/>
            <w:shd w:val="clear" w:color="auto" w:fill="003D79"/>
            <w:tcMar>
              <w:top w:w="0" w:type="dxa"/>
              <w:left w:w="0" w:type="dxa"/>
              <w:bottom w:w="0" w:type="dxa"/>
              <w:right w:w="0" w:type="dxa"/>
            </w:tcMar>
            <w:vAlign w:val="center"/>
          </w:tcPr>
          <w:p w14:paraId="632ED810" w14:textId="77777777" w:rsidR="001C19F3" w:rsidRPr="00364A23" w:rsidRDefault="001C19F3" w:rsidP="00521305">
            <w:pPr>
              <w:spacing w:before="40" w:after="40"/>
              <w:jc w:val="center"/>
              <w:rPr>
                <w:b/>
                <w:sz w:val="18"/>
                <w:szCs w:val="18"/>
              </w:rPr>
            </w:pPr>
          </w:p>
        </w:tc>
        <w:tc>
          <w:tcPr>
            <w:tcW w:w="3969" w:type="dxa"/>
            <w:gridSpan w:val="4"/>
            <w:shd w:val="clear" w:color="auto" w:fill="003D79"/>
            <w:tcMar>
              <w:top w:w="0" w:type="dxa"/>
              <w:left w:w="0" w:type="dxa"/>
              <w:bottom w:w="0" w:type="dxa"/>
              <w:right w:w="0" w:type="dxa"/>
            </w:tcMar>
            <w:vAlign w:val="center"/>
          </w:tcPr>
          <w:p w14:paraId="1723C90A" w14:textId="77777777" w:rsidR="001C19F3" w:rsidRPr="004549BC" w:rsidRDefault="001C19F3" w:rsidP="00521305">
            <w:pPr>
              <w:spacing w:before="40" w:after="40"/>
              <w:jc w:val="center"/>
              <w:rPr>
                <w:rFonts w:cs="Century Gothic"/>
                <w:b/>
                <w:color w:val="FFFFFF"/>
                <w:sz w:val="18"/>
                <w:szCs w:val="18"/>
              </w:rPr>
            </w:pPr>
            <w:r>
              <w:rPr>
                <w:rFonts w:cs="Century Gothic"/>
                <w:b/>
                <w:color w:val="FFFFFF"/>
                <w:sz w:val="18"/>
                <w:szCs w:val="18"/>
              </w:rPr>
              <w:t>No. of practices reporting (%)</w:t>
            </w:r>
          </w:p>
        </w:tc>
      </w:tr>
      <w:tr w:rsidR="001C19F3" w:rsidRPr="00364A23" w14:paraId="5E3F7D43" w14:textId="77777777" w:rsidTr="00521305">
        <w:trPr>
          <w:trHeight w:val="442"/>
          <w:jc w:val="center"/>
        </w:trPr>
        <w:tc>
          <w:tcPr>
            <w:tcW w:w="5382" w:type="dxa"/>
            <w:tcMar>
              <w:top w:w="0" w:type="dxa"/>
              <w:left w:w="0" w:type="dxa"/>
              <w:bottom w:w="0" w:type="dxa"/>
              <w:right w:w="0" w:type="dxa"/>
            </w:tcMar>
            <w:vAlign w:val="center"/>
          </w:tcPr>
          <w:p w14:paraId="17DF00A2" w14:textId="77777777" w:rsidR="001C19F3" w:rsidRPr="00364A23" w:rsidRDefault="001C19F3" w:rsidP="00521305">
            <w:pPr>
              <w:spacing w:before="40" w:after="40"/>
              <w:ind w:left="40" w:right="40"/>
              <w:rPr>
                <w:sz w:val="18"/>
                <w:szCs w:val="18"/>
              </w:rPr>
            </w:pPr>
            <w:r>
              <w:rPr>
                <w:rFonts w:eastAsia="Century Gothic" w:cs="Century Gothic"/>
                <w:color w:val="000000"/>
                <w:sz w:val="18"/>
                <w:szCs w:val="18"/>
              </w:rPr>
              <w:t>List of patients by diagnosis or health problems (e.g. diabetes, cancer)</w:t>
            </w:r>
          </w:p>
        </w:tc>
        <w:tc>
          <w:tcPr>
            <w:tcW w:w="1134" w:type="dxa"/>
            <w:tcMar>
              <w:top w:w="0" w:type="dxa"/>
              <w:left w:w="0" w:type="dxa"/>
              <w:bottom w:w="0" w:type="dxa"/>
              <w:right w:w="0" w:type="dxa"/>
            </w:tcMar>
            <w:vAlign w:val="center"/>
          </w:tcPr>
          <w:p w14:paraId="6127F8E7"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109 (90.8%)</w:t>
            </w:r>
          </w:p>
        </w:tc>
        <w:tc>
          <w:tcPr>
            <w:tcW w:w="1134" w:type="dxa"/>
            <w:tcMar>
              <w:top w:w="0" w:type="dxa"/>
              <w:left w:w="0" w:type="dxa"/>
              <w:bottom w:w="0" w:type="dxa"/>
              <w:right w:w="0" w:type="dxa"/>
            </w:tcMar>
            <w:vAlign w:val="center"/>
          </w:tcPr>
          <w:p w14:paraId="55849CA5"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11 (9.2%)</w:t>
            </w:r>
          </w:p>
        </w:tc>
        <w:tc>
          <w:tcPr>
            <w:tcW w:w="850" w:type="dxa"/>
            <w:tcMar>
              <w:top w:w="0" w:type="dxa"/>
              <w:left w:w="0" w:type="dxa"/>
              <w:bottom w:w="0" w:type="dxa"/>
              <w:right w:w="0" w:type="dxa"/>
            </w:tcMar>
            <w:vAlign w:val="center"/>
          </w:tcPr>
          <w:p w14:paraId="5B7A40E7" w14:textId="77777777" w:rsidR="001C19F3" w:rsidRPr="00364A23" w:rsidRDefault="001C19F3" w:rsidP="00521305">
            <w:pPr>
              <w:spacing w:before="40" w:after="40"/>
              <w:ind w:left="40" w:right="40"/>
              <w:jc w:val="right"/>
              <w:rPr>
                <w:sz w:val="18"/>
                <w:szCs w:val="18"/>
              </w:rPr>
            </w:pPr>
          </w:p>
        </w:tc>
        <w:tc>
          <w:tcPr>
            <w:tcW w:w="851" w:type="dxa"/>
            <w:tcMar>
              <w:top w:w="0" w:type="dxa"/>
              <w:left w:w="0" w:type="dxa"/>
              <w:bottom w:w="0" w:type="dxa"/>
              <w:right w:w="0" w:type="dxa"/>
            </w:tcMar>
            <w:vAlign w:val="center"/>
          </w:tcPr>
          <w:p w14:paraId="7C18CB63" w14:textId="77777777" w:rsidR="001C19F3" w:rsidRPr="00364A23" w:rsidRDefault="001C19F3" w:rsidP="00521305">
            <w:pPr>
              <w:spacing w:before="40" w:after="40"/>
              <w:ind w:left="40" w:right="40"/>
              <w:jc w:val="right"/>
              <w:rPr>
                <w:sz w:val="18"/>
                <w:szCs w:val="18"/>
              </w:rPr>
            </w:pPr>
          </w:p>
        </w:tc>
      </w:tr>
      <w:tr w:rsidR="001C19F3" w:rsidRPr="00364A23" w14:paraId="5BFD8210" w14:textId="77777777" w:rsidTr="00521305">
        <w:trPr>
          <w:trHeight w:val="442"/>
          <w:jc w:val="center"/>
        </w:trPr>
        <w:tc>
          <w:tcPr>
            <w:tcW w:w="5382" w:type="dxa"/>
            <w:tcMar>
              <w:top w:w="0" w:type="dxa"/>
              <w:left w:w="0" w:type="dxa"/>
              <w:bottom w:w="0" w:type="dxa"/>
              <w:right w:w="0" w:type="dxa"/>
            </w:tcMar>
            <w:vAlign w:val="center"/>
          </w:tcPr>
          <w:p w14:paraId="44B56D8C" w14:textId="77777777" w:rsidR="001C19F3" w:rsidRPr="00364A23" w:rsidRDefault="001C19F3" w:rsidP="00521305">
            <w:pPr>
              <w:spacing w:before="40" w:after="40"/>
              <w:ind w:left="40" w:right="40"/>
              <w:rPr>
                <w:sz w:val="18"/>
                <w:szCs w:val="18"/>
              </w:rPr>
            </w:pPr>
            <w:r>
              <w:rPr>
                <w:rFonts w:eastAsia="Century Gothic" w:cs="Century Gothic"/>
                <w:color w:val="000000"/>
                <w:sz w:val="18"/>
                <w:szCs w:val="18"/>
              </w:rPr>
              <w:t>List of patients by laboratory result (e.g. HbA1C &gt; 9.0)</w:t>
            </w:r>
          </w:p>
        </w:tc>
        <w:tc>
          <w:tcPr>
            <w:tcW w:w="1134" w:type="dxa"/>
            <w:tcMar>
              <w:top w:w="0" w:type="dxa"/>
              <w:left w:w="0" w:type="dxa"/>
              <w:bottom w:w="0" w:type="dxa"/>
              <w:right w:w="0" w:type="dxa"/>
            </w:tcMar>
            <w:vAlign w:val="center"/>
          </w:tcPr>
          <w:p w14:paraId="7F387783"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90 (75.0%)</w:t>
            </w:r>
          </w:p>
        </w:tc>
        <w:tc>
          <w:tcPr>
            <w:tcW w:w="1134" w:type="dxa"/>
            <w:tcMar>
              <w:top w:w="0" w:type="dxa"/>
              <w:left w:w="0" w:type="dxa"/>
              <w:bottom w:w="0" w:type="dxa"/>
              <w:right w:w="0" w:type="dxa"/>
            </w:tcMar>
            <w:vAlign w:val="center"/>
          </w:tcPr>
          <w:p w14:paraId="344DCCC2"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23 (19.2%)</w:t>
            </w:r>
          </w:p>
        </w:tc>
        <w:tc>
          <w:tcPr>
            <w:tcW w:w="850" w:type="dxa"/>
            <w:tcMar>
              <w:top w:w="0" w:type="dxa"/>
              <w:left w:w="0" w:type="dxa"/>
              <w:bottom w:w="0" w:type="dxa"/>
              <w:right w:w="0" w:type="dxa"/>
            </w:tcMar>
            <w:vAlign w:val="center"/>
          </w:tcPr>
          <w:p w14:paraId="27B5052C"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4 (3.3%)</w:t>
            </w:r>
          </w:p>
        </w:tc>
        <w:tc>
          <w:tcPr>
            <w:tcW w:w="851" w:type="dxa"/>
            <w:tcMar>
              <w:top w:w="0" w:type="dxa"/>
              <w:left w:w="0" w:type="dxa"/>
              <w:bottom w:w="0" w:type="dxa"/>
              <w:right w:w="0" w:type="dxa"/>
            </w:tcMar>
            <w:vAlign w:val="center"/>
          </w:tcPr>
          <w:p w14:paraId="66942287"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3 (2.5%)</w:t>
            </w:r>
          </w:p>
        </w:tc>
      </w:tr>
      <w:tr w:rsidR="001C19F3" w:rsidRPr="00364A23" w14:paraId="59D4A3DB" w14:textId="77777777" w:rsidTr="00521305">
        <w:trPr>
          <w:trHeight w:val="442"/>
          <w:jc w:val="center"/>
        </w:trPr>
        <w:tc>
          <w:tcPr>
            <w:tcW w:w="5382" w:type="dxa"/>
            <w:tcMar>
              <w:top w:w="0" w:type="dxa"/>
              <w:left w:w="0" w:type="dxa"/>
              <w:bottom w:w="0" w:type="dxa"/>
              <w:right w:w="0" w:type="dxa"/>
            </w:tcMar>
            <w:vAlign w:val="center"/>
          </w:tcPr>
          <w:p w14:paraId="277384AB" w14:textId="77777777" w:rsidR="001C19F3" w:rsidRPr="00364A23" w:rsidRDefault="001C19F3" w:rsidP="00521305">
            <w:pPr>
              <w:spacing w:before="40" w:after="40"/>
              <w:ind w:left="40" w:right="40"/>
              <w:rPr>
                <w:sz w:val="18"/>
                <w:szCs w:val="18"/>
              </w:rPr>
            </w:pPr>
            <w:r>
              <w:rPr>
                <w:rFonts w:eastAsia="Century Gothic" w:cs="Century Gothic"/>
                <w:color w:val="000000"/>
                <w:sz w:val="18"/>
                <w:szCs w:val="18"/>
              </w:rPr>
              <w:t>List of patients who are due or overdue for tests or preventive care (e.g. flu vaccine)</w:t>
            </w:r>
          </w:p>
        </w:tc>
        <w:tc>
          <w:tcPr>
            <w:tcW w:w="1134" w:type="dxa"/>
            <w:tcMar>
              <w:top w:w="0" w:type="dxa"/>
              <w:left w:w="0" w:type="dxa"/>
              <w:bottom w:w="0" w:type="dxa"/>
              <w:right w:w="0" w:type="dxa"/>
            </w:tcMar>
            <w:vAlign w:val="center"/>
          </w:tcPr>
          <w:p w14:paraId="15B55A55"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101 (84.2%)</w:t>
            </w:r>
          </w:p>
        </w:tc>
        <w:tc>
          <w:tcPr>
            <w:tcW w:w="1134" w:type="dxa"/>
            <w:tcMar>
              <w:top w:w="0" w:type="dxa"/>
              <w:left w:w="0" w:type="dxa"/>
              <w:bottom w:w="0" w:type="dxa"/>
              <w:right w:w="0" w:type="dxa"/>
            </w:tcMar>
            <w:vAlign w:val="center"/>
          </w:tcPr>
          <w:p w14:paraId="695729EC"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17 (14.2%)</w:t>
            </w:r>
          </w:p>
        </w:tc>
        <w:tc>
          <w:tcPr>
            <w:tcW w:w="850" w:type="dxa"/>
            <w:tcMar>
              <w:top w:w="0" w:type="dxa"/>
              <w:left w:w="0" w:type="dxa"/>
              <w:bottom w:w="0" w:type="dxa"/>
              <w:right w:w="0" w:type="dxa"/>
            </w:tcMar>
            <w:vAlign w:val="center"/>
          </w:tcPr>
          <w:p w14:paraId="4FF021AB"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 (0.8%)</w:t>
            </w:r>
          </w:p>
        </w:tc>
        <w:tc>
          <w:tcPr>
            <w:tcW w:w="851" w:type="dxa"/>
            <w:tcMar>
              <w:top w:w="0" w:type="dxa"/>
              <w:left w:w="0" w:type="dxa"/>
              <w:bottom w:w="0" w:type="dxa"/>
              <w:right w:w="0" w:type="dxa"/>
            </w:tcMar>
            <w:vAlign w:val="center"/>
          </w:tcPr>
          <w:p w14:paraId="4A487C48"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 (0.8%)</w:t>
            </w:r>
          </w:p>
        </w:tc>
      </w:tr>
      <w:tr w:rsidR="001C19F3" w:rsidRPr="00364A23" w14:paraId="00F0CF21" w14:textId="77777777" w:rsidTr="00521305">
        <w:trPr>
          <w:trHeight w:val="442"/>
          <w:jc w:val="center"/>
        </w:trPr>
        <w:tc>
          <w:tcPr>
            <w:tcW w:w="5382" w:type="dxa"/>
            <w:tcMar>
              <w:top w:w="0" w:type="dxa"/>
              <w:left w:w="0" w:type="dxa"/>
              <w:bottom w:w="0" w:type="dxa"/>
              <w:right w:w="0" w:type="dxa"/>
            </w:tcMar>
            <w:vAlign w:val="center"/>
          </w:tcPr>
          <w:p w14:paraId="4D9EF042" w14:textId="77777777" w:rsidR="001C19F3" w:rsidRPr="00364A23" w:rsidRDefault="001C19F3" w:rsidP="00521305">
            <w:pPr>
              <w:spacing w:before="40" w:after="40"/>
              <w:ind w:left="40" w:right="40"/>
              <w:rPr>
                <w:sz w:val="18"/>
                <w:szCs w:val="18"/>
              </w:rPr>
            </w:pPr>
            <w:r>
              <w:rPr>
                <w:rFonts w:eastAsia="Century Gothic" w:cs="Century Gothic"/>
                <w:color w:val="000000"/>
                <w:sz w:val="18"/>
                <w:szCs w:val="18"/>
              </w:rPr>
              <w:t>List of all laboratory results for an individual patient (including those ordered by other doctors).</w:t>
            </w:r>
          </w:p>
        </w:tc>
        <w:tc>
          <w:tcPr>
            <w:tcW w:w="1134" w:type="dxa"/>
            <w:tcMar>
              <w:top w:w="0" w:type="dxa"/>
              <w:left w:w="0" w:type="dxa"/>
              <w:bottom w:w="0" w:type="dxa"/>
              <w:right w:w="0" w:type="dxa"/>
            </w:tcMar>
            <w:vAlign w:val="center"/>
          </w:tcPr>
          <w:p w14:paraId="6573FCCD"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81 (67.5%)</w:t>
            </w:r>
          </w:p>
        </w:tc>
        <w:tc>
          <w:tcPr>
            <w:tcW w:w="1134" w:type="dxa"/>
            <w:tcMar>
              <w:top w:w="0" w:type="dxa"/>
              <w:left w:w="0" w:type="dxa"/>
              <w:bottom w:w="0" w:type="dxa"/>
              <w:right w:w="0" w:type="dxa"/>
            </w:tcMar>
            <w:vAlign w:val="center"/>
          </w:tcPr>
          <w:p w14:paraId="2DB622BC"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28 (23.3%)</w:t>
            </w:r>
          </w:p>
        </w:tc>
        <w:tc>
          <w:tcPr>
            <w:tcW w:w="850" w:type="dxa"/>
            <w:tcMar>
              <w:top w:w="0" w:type="dxa"/>
              <w:left w:w="0" w:type="dxa"/>
              <w:bottom w:w="0" w:type="dxa"/>
              <w:right w:w="0" w:type="dxa"/>
            </w:tcMar>
            <w:vAlign w:val="center"/>
          </w:tcPr>
          <w:p w14:paraId="3F5F4D1B"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8 (6.7%)</w:t>
            </w:r>
          </w:p>
        </w:tc>
        <w:tc>
          <w:tcPr>
            <w:tcW w:w="851" w:type="dxa"/>
            <w:tcMar>
              <w:top w:w="0" w:type="dxa"/>
              <w:left w:w="0" w:type="dxa"/>
              <w:bottom w:w="0" w:type="dxa"/>
              <w:right w:w="0" w:type="dxa"/>
            </w:tcMar>
            <w:vAlign w:val="center"/>
          </w:tcPr>
          <w:p w14:paraId="461DD13C"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3 (2.5%)</w:t>
            </w:r>
          </w:p>
        </w:tc>
      </w:tr>
      <w:tr w:rsidR="001C19F3" w:rsidRPr="00364A23" w14:paraId="796928B7" w14:textId="77777777" w:rsidTr="00521305">
        <w:trPr>
          <w:trHeight w:val="442"/>
          <w:jc w:val="center"/>
        </w:trPr>
        <w:tc>
          <w:tcPr>
            <w:tcW w:w="5382" w:type="dxa"/>
            <w:tcMar>
              <w:top w:w="0" w:type="dxa"/>
              <w:left w:w="0" w:type="dxa"/>
              <w:bottom w:w="0" w:type="dxa"/>
              <w:right w:w="0" w:type="dxa"/>
            </w:tcMar>
            <w:vAlign w:val="center"/>
          </w:tcPr>
          <w:p w14:paraId="3146E0C8" w14:textId="77777777" w:rsidR="001C19F3" w:rsidRPr="00364A23" w:rsidRDefault="001C19F3" w:rsidP="00521305">
            <w:pPr>
              <w:spacing w:before="40" w:after="40"/>
              <w:ind w:left="40" w:right="40"/>
              <w:rPr>
                <w:sz w:val="18"/>
                <w:szCs w:val="18"/>
              </w:rPr>
            </w:pPr>
            <w:r>
              <w:rPr>
                <w:rFonts w:eastAsia="Century Gothic" w:cs="Century Gothic"/>
                <w:color w:val="000000"/>
                <w:sz w:val="18"/>
                <w:szCs w:val="18"/>
              </w:rPr>
              <w:t>List of all patients taking a particular medication</w:t>
            </w:r>
          </w:p>
        </w:tc>
        <w:tc>
          <w:tcPr>
            <w:tcW w:w="1134" w:type="dxa"/>
            <w:tcMar>
              <w:top w:w="0" w:type="dxa"/>
              <w:left w:w="0" w:type="dxa"/>
              <w:bottom w:w="0" w:type="dxa"/>
              <w:right w:w="0" w:type="dxa"/>
            </w:tcMar>
            <w:vAlign w:val="center"/>
          </w:tcPr>
          <w:p w14:paraId="072A308D"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96 (80.7%)</w:t>
            </w:r>
          </w:p>
        </w:tc>
        <w:tc>
          <w:tcPr>
            <w:tcW w:w="1134" w:type="dxa"/>
            <w:tcMar>
              <w:top w:w="0" w:type="dxa"/>
              <w:left w:w="0" w:type="dxa"/>
              <w:bottom w:w="0" w:type="dxa"/>
              <w:right w:w="0" w:type="dxa"/>
            </w:tcMar>
            <w:vAlign w:val="center"/>
          </w:tcPr>
          <w:p w14:paraId="789552AB"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20 (16.8%)</w:t>
            </w:r>
          </w:p>
        </w:tc>
        <w:tc>
          <w:tcPr>
            <w:tcW w:w="850" w:type="dxa"/>
            <w:tcMar>
              <w:top w:w="0" w:type="dxa"/>
              <w:left w:w="0" w:type="dxa"/>
              <w:bottom w:w="0" w:type="dxa"/>
              <w:right w:w="0" w:type="dxa"/>
            </w:tcMar>
            <w:vAlign w:val="center"/>
          </w:tcPr>
          <w:p w14:paraId="13917095"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2 (1.7%)</w:t>
            </w:r>
          </w:p>
        </w:tc>
        <w:tc>
          <w:tcPr>
            <w:tcW w:w="851" w:type="dxa"/>
            <w:tcMar>
              <w:top w:w="0" w:type="dxa"/>
              <w:left w:w="0" w:type="dxa"/>
              <w:bottom w:w="0" w:type="dxa"/>
              <w:right w:w="0" w:type="dxa"/>
            </w:tcMar>
            <w:vAlign w:val="center"/>
          </w:tcPr>
          <w:p w14:paraId="4D98C923"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 (0.8%)</w:t>
            </w:r>
          </w:p>
        </w:tc>
      </w:tr>
      <w:tr w:rsidR="001C19F3" w:rsidRPr="00364A23" w14:paraId="1B94F980" w14:textId="77777777" w:rsidTr="00521305">
        <w:trPr>
          <w:trHeight w:val="442"/>
          <w:jc w:val="center"/>
        </w:trPr>
        <w:tc>
          <w:tcPr>
            <w:tcW w:w="5382" w:type="dxa"/>
            <w:tcMar>
              <w:top w:w="0" w:type="dxa"/>
              <w:left w:w="0" w:type="dxa"/>
              <w:bottom w:w="0" w:type="dxa"/>
              <w:right w:w="0" w:type="dxa"/>
            </w:tcMar>
            <w:vAlign w:val="center"/>
          </w:tcPr>
          <w:p w14:paraId="524BEEFD" w14:textId="77777777" w:rsidR="001C19F3" w:rsidRPr="00876902" w:rsidRDefault="001C19F3" w:rsidP="00521305">
            <w:pPr>
              <w:spacing w:before="40" w:after="40"/>
              <w:rPr>
                <w:sz w:val="18"/>
                <w:szCs w:val="18"/>
              </w:rPr>
            </w:pPr>
            <w:r>
              <w:rPr>
                <w:rFonts w:eastAsia="Century Gothic" w:cs="Century Gothic"/>
                <w:color w:val="000000"/>
                <w:sz w:val="18"/>
                <w:szCs w:val="18"/>
              </w:rPr>
              <w:t>List of all medications taken by an individual patient (including those that may have been prescribed by other doctors)</w:t>
            </w:r>
          </w:p>
        </w:tc>
        <w:tc>
          <w:tcPr>
            <w:tcW w:w="1134" w:type="dxa"/>
            <w:tcMar>
              <w:top w:w="0" w:type="dxa"/>
              <w:left w:w="0" w:type="dxa"/>
              <w:bottom w:w="0" w:type="dxa"/>
              <w:right w:w="0" w:type="dxa"/>
            </w:tcMar>
            <w:vAlign w:val="center"/>
          </w:tcPr>
          <w:p w14:paraId="461C3926"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87 (72.5%)</w:t>
            </w:r>
          </w:p>
        </w:tc>
        <w:tc>
          <w:tcPr>
            <w:tcW w:w="1134" w:type="dxa"/>
            <w:tcMar>
              <w:top w:w="0" w:type="dxa"/>
              <w:left w:w="0" w:type="dxa"/>
              <w:bottom w:w="0" w:type="dxa"/>
              <w:right w:w="0" w:type="dxa"/>
            </w:tcMar>
            <w:vAlign w:val="center"/>
          </w:tcPr>
          <w:p w14:paraId="43C94D75"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24 (20.0%)</w:t>
            </w:r>
          </w:p>
        </w:tc>
        <w:tc>
          <w:tcPr>
            <w:tcW w:w="850" w:type="dxa"/>
            <w:tcMar>
              <w:top w:w="0" w:type="dxa"/>
              <w:left w:w="0" w:type="dxa"/>
              <w:bottom w:w="0" w:type="dxa"/>
              <w:right w:w="0" w:type="dxa"/>
            </w:tcMar>
            <w:vAlign w:val="center"/>
          </w:tcPr>
          <w:p w14:paraId="1CAD5580"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8 (6.7%)</w:t>
            </w:r>
          </w:p>
        </w:tc>
        <w:tc>
          <w:tcPr>
            <w:tcW w:w="851" w:type="dxa"/>
            <w:tcMar>
              <w:top w:w="0" w:type="dxa"/>
              <w:left w:w="0" w:type="dxa"/>
              <w:bottom w:w="0" w:type="dxa"/>
              <w:right w:w="0" w:type="dxa"/>
            </w:tcMar>
            <w:vAlign w:val="center"/>
          </w:tcPr>
          <w:p w14:paraId="40B5DABA" w14:textId="77777777" w:rsidR="001C19F3" w:rsidRPr="00364A23" w:rsidRDefault="001C19F3" w:rsidP="00521305">
            <w:pPr>
              <w:spacing w:before="40" w:after="40"/>
              <w:ind w:left="40" w:right="40"/>
              <w:jc w:val="right"/>
              <w:rPr>
                <w:sz w:val="18"/>
                <w:szCs w:val="18"/>
              </w:rPr>
            </w:pPr>
            <w:r>
              <w:rPr>
                <w:rFonts w:eastAsia="Century Gothic" w:cs="Century Gothic"/>
                <w:color w:val="000000"/>
                <w:sz w:val="18"/>
                <w:szCs w:val="18"/>
              </w:rPr>
              <w:t>1 (0.8%)</w:t>
            </w:r>
          </w:p>
        </w:tc>
      </w:tr>
    </w:tbl>
    <w:p w14:paraId="3D345481" w14:textId="77777777" w:rsidR="001C19F3" w:rsidRPr="00CF46D0" w:rsidRDefault="001C19F3" w:rsidP="001C19F3">
      <w:pPr>
        <w:pStyle w:val="Chartortablefootnote"/>
      </w:pPr>
      <w:r w:rsidRPr="00CF46D0">
        <w:t xml:space="preserve">Source: </w:t>
      </w:r>
      <w:r w:rsidRPr="00CE2C86">
        <w:t>Practice survey R1, Mar-Jun 2018</w:t>
      </w:r>
      <w:r w:rsidRPr="00CF46D0">
        <w:t>. The Table relates to active practices as at 31 August 2019.</w:t>
      </w:r>
    </w:p>
    <w:p w14:paraId="1B9AAAC3" w14:textId="77777777" w:rsidR="001C19F3" w:rsidRDefault="001C19F3" w:rsidP="001C19F3">
      <w:r>
        <w:t xml:space="preserve">Practice staff were also asked about the extent to which their practice </w:t>
      </w:r>
      <w:r w:rsidRPr="00F17938">
        <w:t>use</w:t>
      </w:r>
      <w:r>
        <w:t>d</w:t>
      </w:r>
      <w:r w:rsidRPr="00F17938">
        <w:t xml:space="preserve"> electronic health records and other electronic systems </w:t>
      </w:r>
      <w:r>
        <w:t>for functions related to chronic illness management (</w:t>
      </w:r>
      <w:r>
        <w:fldChar w:fldCharType="begin"/>
      </w:r>
      <w:r>
        <w:instrText xml:space="preserve"> REF _Ref21371320 \h  \* MERGEFORMAT </w:instrText>
      </w:r>
      <w:r>
        <w:fldChar w:fldCharType="separate"/>
      </w:r>
      <w:r w:rsidRPr="00822044">
        <w:t>Figure 3</w:t>
      </w:r>
      <w:r>
        <w:fldChar w:fldCharType="end"/>
      </w:r>
      <w:r>
        <w:t xml:space="preserve">). Most staff reported that their practice always or usually uses </w:t>
      </w:r>
      <w:r w:rsidRPr="00F17938">
        <w:t>electronic health records and other electronic systems</w:t>
      </w:r>
      <w:r>
        <w:t xml:space="preserve"> for the functions listed. </w:t>
      </w:r>
      <w:bookmarkStart w:id="135" w:name="_Hlk528669194"/>
      <w:r>
        <w:t>Relative to the others, staff responses suggest that ‘</w:t>
      </w:r>
      <w:r w:rsidRPr="0038176E">
        <w:rPr>
          <w:i/>
        </w:rPr>
        <w:t>identifying patients with complex health needs</w:t>
      </w:r>
      <w:r>
        <w:rPr>
          <w:i/>
        </w:rPr>
        <w:t>’</w:t>
      </w:r>
      <w:r>
        <w:t xml:space="preserve"> (22%) and</w:t>
      </w:r>
      <w:r w:rsidRPr="00F17938">
        <w:t xml:space="preserve"> </w:t>
      </w:r>
      <w:r>
        <w:t>‘</w:t>
      </w:r>
      <w:r w:rsidRPr="00CF46D0">
        <w:rPr>
          <w:i/>
        </w:rPr>
        <w:t>monitoring</w:t>
      </w:r>
      <w:r w:rsidRPr="0038176E">
        <w:rPr>
          <w:i/>
        </w:rPr>
        <w:t xml:space="preserve"> patient outcomes</w:t>
      </w:r>
      <w:r>
        <w:rPr>
          <w:i/>
        </w:rPr>
        <w:t>’</w:t>
      </w:r>
      <w:r>
        <w:t xml:space="preserve"> (23%), are potentially areas that could be improved</w:t>
      </w:r>
      <w:bookmarkEnd w:id="135"/>
      <w:r>
        <w:t>.</w:t>
      </w:r>
    </w:p>
    <w:p w14:paraId="1795C2C6" w14:textId="77777777" w:rsidR="001C19F3" w:rsidRDefault="001C19F3" w:rsidP="001C19F3">
      <w:r>
        <w:rPr>
          <w:noProof/>
          <w:lang w:eastAsia="en-AU"/>
        </w:rPr>
        <w:lastRenderedPageBreak/>
        <w:drawing>
          <wp:inline distT="0" distB="0" distL="0" distR="0" wp14:anchorId="53D2E4AA" wp14:editId="5C9B2652">
            <wp:extent cx="5731510" cy="36849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84905"/>
                    </a:xfrm>
                    <a:prstGeom prst="rect">
                      <a:avLst/>
                    </a:prstGeom>
                  </pic:spPr>
                </pic:pic>
              </a:graphicData>
            </a:graphic>
          </wp:inline>
        </w:drawing>
      </w:r>
    </w:p>
    <w:p w14:paraId="675DE7CA" w14:textId="77777777" w:rsidR="001C19F3" w:rsidRPr="005356D1" w:rsidRDefault="001C19F3" w:rsidP="001C19F3">
      <w:pPr>
        <w:spacing w:after="0"/>
        <w:jc w:val="center"/>
        <w:rPr>
          <w:b/>
        </w:rPr>
      </w:pPr>
      <w:bookmarkStart w:id="136" w:name="_Ref21371320"/>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3</w:t>
      </w:r>
      <w:r w:rsidRPr="005356D1">
        <w:rPr>
          <w:rFonts w:cs="Arial"/>
          <w:b/>
          <w:color w:val="000000" w:themeColor="text1"/>
        </w:rPr>
        <w:fldChar w:fldCharType="end"/>
      </w:r>
      <w:bookmarkEnd w:id="136"/>
      <w:r w:rsidRPr="005356D1">
        <w:rPr>
          <w:b/>
        </w:rPr>
        <w:t xml:space="preserve"> – Staff perspectives </w:t>
      </w:r>
      <w:r>
        <w:rPr>
          <w:b/>
        </w:rPr>
        <w:t xml:space="preserve">on the use of electronic health records and other electronic systems to </w:t>
      </w:r>
      <w:r w:rsidRPr="005356D1">
        <w:rPr>
          <w:b/>
        </w:rPr>
        <w:t xml:space="preserve">identify patients with complex health needs, monitor patient outcomes, document </w:t>
      </w:r>
      <w:r>
        <w:rPr>
          <w:b/>
        </w:rPr>
        <w:t xml:space="preserve">patients’ </w:t>
      </w:r>
      <w:r w:rsidRPr="005356D1">
        <w:rPr>
          <w:b/>
        </w:rPr>
        <w:t>needs</w:t>
      </w:r>
      <w:r>
        <w:rPr>
          <w:b/>
        </w:rPr>
        <w:t xml:space="preserve">, </w:t>
      </w:r>
      <w:r w:rsidRPr="005356D1">
        <w:rPr>
          <w:b/>
        </w:rPr>
        <w:t>develop care plans</w:t>
      </w:r>
      <w:r>
        <w:rPr>
          <w:b/>
        </w:rPr>
        <w:t xml:space="preserve"> and determine clinical outcomes</w:t>
      </w:r>
    </w:p>
    <w:p w14:paraId="189223A0" w14:textId="77777777" w:rsidR="001C19F3" w:rsidRPr="00CF46D0" w:rsidRDefault="001C19F3" w:rsidP="001C19F3">
      <w:pPr>
        <w:pStyle w:val="Chartortablefootnote"/>
      </w:pPr>
      <w:r w:rsidRPr="00CF46D0">
        <w:t xml:space="preserve">Source: Practice staff survey </w:t>
      </w:r>
      <w:r>
        <w:t>R1, Mar-June 2018</w:t>
      </w:r>
      <w:r w:rsidRPr="00CF46D0">
        <w:t>. Active practices as at 31 August 2019.</w:t>
      </w:r>
    </w:p>
    <w:p w14:paraId="396D728A" w14:textId="77777777" w:rsidR="001C19F3" w:rsidRDefault="001C19F3" w:rsidP="001C19F3">
      <w:r w:rsidRPr="005356D1">
        <w:t xml:space="preserve">Practice staff were </w:t>
      </w:r>
      <w:r>
        <w:t>asked their perspective on the ease with which specific functions could be performed with the practice’s IT (</w:t>
      </w:r>
      <w:r w:rsidRPr="0064497E">
        <w:fldChar w:fldCharType="begin"/>
      </w:r>
      <w:r w:rsidRPr="0064497E">
        <w:instrText xml:space="preserve"> REF _Ref21371378 \h  \* MERGEFORMAT </w:instrText>
      </w:r>
      <w:r w:rsidRPr="0064497E">
        <w:fldChar w:fldCharType="separate"/>
      </w:r>
      <w:r w:rsidRPr="00822044">
        <w:t xml:space="preserve">Figure </w:t>
      </w:r>
      <w:r w:rsidRPr="00822044">
        <w:rPr>
          <w:rFonts w:cs="Arial"/>
          <w:noProof/>
          <w:color w:val="000000" w:themeColor="text1"/>
        </w:rPr>
        <w:t>4</w:t>
      </w:r>
      <w:r w:rsidRPr="0064497E">
        <w:fldChar w:fldCharType="end"/>
      </w:r>
      <w:r>
        <w:t>). Most staff identified ‘</w:t>
      </w:r>
      <w:r w:rsidRPr="0038176E">
        <w:rPr>
          <w:i/>
        </w:rPr>
        <w:t>ordering</w:t>
      </w:r>
      <w:r>
        <w:rPr>
          <w:i/>
        </w:rPr>
        <w:t>’</w:t>
      </w:r>
      <w:r w:rsidRPr="0038176E">
        <w:rPr>
          <w:i/>
        </w:rPr>
        <w:t xml:space="preserve"> </w:t>
      </w:r>
      <w:r w:rsidRPr="0038176E">
        <w:t>and</w:t>
      </w:r>
      <w:r w:rsidRPr="0038176E">
        <w:rPr>
          <w:i/>
        </w:rPr>
        <w:t xml:space="preserve"> </w:t>
      </w:r>
      <w:r>
        <w:rPr>
          <w:i/>
        </w:rPr>
        <w:t>‘</w:t>
      </w:r>
      <w:r w:rsidRPr="0038176E">
        <w:rPr>
          <w:i/>
        </w:rPr>
        <w:t>reviewing</w:t>
      </w:r>
      <w:r>
        <w:rPr>
          <w:i/>
        </w:rPr>
        <w:t>’</w:t>
      </w:r>
      <w:r w:rsidRPr="0038176E">
        <w:rPr>
          <w:i/>
        </w:rPr>
        <w:t xml:space="preserve"> </w:t>
      </w:r>
      <w:r w:rsidRPr="0038176E">
        <w:t>pathology results</w:t>
      </w:r>
      <w:r>
        <w:t xml:space="preserve"> (77% and 75% respectively), ‘</w:t>
      </w:r>
      <w:r w:rsidRPr="0038176E">
        <w:rPr>
          <w:i/>
        </w:rPr>
        <w:t>prescribing medications</w:t>
      </w:r>
      <w:r>
        <w:t>’ (78%), ‘</w:t>
      </w:r>
      <w:r w:rsidRPr="0038176E">
        <w:rPr>
          <w:i/>
        </w:rPr>
        <w:t>reviewing patient notes</w:t>
      </w:r>
      <w:r>
        <w:t>’ (74%) and ‘</w:t>
      </w:r>
      <w:r w:rsidRPr="0038176E">
        <w:rPr>
          <w:i/>
        </w:rPr>
        <w:t>updating patient medication lists and allergies</w:t>
      </w:r>
      <w:r>
        <w:t xml:space="preserve">’ (67%) as being </w:t>
      </w:r>
      <w:r w:rsidRPr="00031083">
        <w:rPr>
          <w:i/>
        </w:rPr>
        <w:t>very easy</w:t>
      </w:r>
      <w:r>
        <w:t xml:space="preserve"> to do. The functions that larger proportions of staff identified as being </w:t>
      </w:r>
      <w:r w:rsidRPr="00031083">
        <w:rPr>
          <w:i/>
        </w:rPr>
        <w:t xml:space="preserve">somewhat </w:t>
      </w:r>
      <w:r>
        <w:rPr>
          <w:i/>
        </w:rPr>
        <w:t>‘</w:t>
      </w:r>
      <w:r w:rsidRPr="00031083">
        <w:rPr>
          <w:i/>
        </w:rPr>
        <w:t>difficult</w:t>
      </w:r>
      <w:r>
        <w:rPr>
          <w:i/>
        </w:rPr>
        <w:t>’</w:t>
      </w:r>
      <w:r>
        <w:t xml:space="preserve"> or ‘</w:t>
      </w:r>
      <w:r w:rsidRPr="00031083">
        <w:rPr>
          <w:i/>
        </w:rPr>
        <w:t>very difficult</w:t>
      </w:r>
      <w:r>
        <w:rPr>
          <w:i/>
        </w:rPr>
        <w:t>’</w:t>
      </w:r>
      <w:r>
        <w:t xml:space="preserve"> included: ‘</w:t>
      </w:r>
      <w:r w:rsidRPr="00031083">
        <w:rPr>
          <w:i/>
        </w:rPr>
        <w:t>using their IT were communicating with other providers</w:t>
      </w:r>
      <w:r>
        <w:rPr>
          <w:i/>
        </w:rPr>
        <w:t>’</w:t>
      </w:r>
      <w:r>
        <w:t xml:space="preserve"> (30%) and ‘</w:t>
      </w:r>
      <w:r w:rsidRPr="00031083">
        <w:rPr>
          <w:i/>
        </w:rPr>
        <w:t>sending or receiving messages from patients</w:t>
      </w:r>
      <w:r>
        <w:rPr>
          <w:i/>
        </w:rPr>
        <w:t>’</w:t>
      </w:r>
      <w:r>
        <w:t xml:space="preserve"> (28%).</w:t>
      </w:r>
    </w:p>
    <w:p w14:paraId="36CFE190" w14:textId="77777777" w:rsidR="001C19F3" w:rsidRDefault="001C19F3" w:rsidP="001C19F3">
      <w:pPr>
        <w:spacing w:after="0"/>
        <w:jc w:val="center"/>
        <w:rPr>
          <w:b/>
        </w:rPr>
      </w:pPr>
      <w:bookmarkStart w:id="137" w:name="_Ref21371378"/>
      <w:r>
        <w:rPr>
          <w:noProof/>
          <w:lang w:eastAsia="en-AU"/>
        </w:rPr>
        <w:lastRenderedPageBreak/>
        <w:drawing>
          <wp:anchor distT="0" distB="0" distL="114300" distR="114300" simplePos="0" relativeHeight="251678720" behindDoc="0" locked="0" layoutInCell="1" allowOverlap="1" wp14:anchorId="471A0C74" wp14:editId="4D5C90DC">
            <wp:simplePos x="0" y="0"/>
            <wp:positionH relativeFrom="column">
              <wp:posOffset>0</wp:posOffset>
            </wp:positionH>
            <wp:positionV relativeFrom="paragraph">
              <wp:posOffset>635</wp:posOffset>
            </wp:positionV>
            <wp:extent cx="5731510" cy="5169535"/>
            <wp:effectExtent l="0" t="0" r="254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5169535"/>
                    </a:xfrm>
                    <a:prstGeom prst="rect">
                      <a:avLst/>
                    </a:prstGeom>
                  </pic:spPr>
                </pic:pic>
              </a:graphicData>
            </a:graphic>
          </wp:anchor>
        </w:drawing>
      </w:r>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4</w:t>
      </w:r>
      <w:r w:rsidRPr="005356D1">
        <w:rPr>
          <w:rFonts w:cs="Arial"/>
          <w:b/>
          <w:color w:val="000000" w:themeColor="text1"/>
        </w:rPr>
        <w:fldChar w:fldCharType="end"/>
      </w:r>
      <w:bookmarkEnd w:id="137"/>
      <w:r w:rsidRPr="005356D1">
        <w:rPr>
          <w:b/>
        </w:rPr>
        <w:t xml:space="preserve"> – Staff perspectives </w:t>
      </w:r>
      <w:r>
        <w:rPr>
          <w:b/>
        </w:rPr>
        <w:t xml:space="preserve">on ease with which selected functions can be undertaken within their practice’s existing practice clinical management systems and/ or other IT </w:t>
      </w:r>
    </w:p>
    <w:p w14:paraId="600D2B73" w14:textId="77777777" w:rsidR="001C19F3" w:rsidRPr="00CF46D0" w:rsidRDefault="001C19F3" w:rsidP="001C19F3">
      <w:pPr>
        <w:pStyle w:val="Chartortablefootnote"/>
      </w:pPr>
      <w:r w:rsidRPr="00CF46D0">
        <w:t xml:space="preserve">Source: Practice staff survey </w:t>
      </w:r>
      <w:r>
        <w:t xml:space="preserve">R1, </w:t>
      </w:r>
      <w:r w:rsidRPr="00CE2C86">
        <w:t>Mar-Jun 2018</w:t>
      </w:r>
      <w:r w:rsidRPr="00CF46D0">
        <w:t>. Active practices as at 31 August 2019.</w:t>
      </w:r>
    </w:p>
    <w:p w14:paraId="7448C852" w14:textId="77777777" w:rsidR="001C19F3" w:rsidRDefault="001C19F3" w:rsidP="001C19F3">
      <w:r>
        <w:fldChar w:fldCharType="begin"/>
      </w:r>
      <w:r>
        <w:instrText xml:space="preserve"> REF _Ref527635508 \h  \* MERGEFORMAT </w:instrText>
      </w:r>
      <w:r>
        <w:fldChar w:fldCharType="separate"/>
      </w:r>
      <w:r w:rsidRPr="00822044">
        <w:t>Table 12</w:t>
      </w:r>
      <w:r>
        <w:fldChar w:fldCharType="end"/>
      </w:r>
      <w:r>
        <w:t xml:space="preserve"> shows practice responses to questions about whether selected systems/processes were in place for preventive care or other aspects of care. Almost all practices reported a reminder system to invite patients for recommended screening. The questions in the survey didn’t cover re-call systems to assist in management of chronic illness, and it is worthwhile noting that the practice staff survey responses often identified improved re-call systems as </w:t>
      </w:r>
      <w:r w:rsidRPr="00A82155">
        <w:t xml:space="preserve">one of the thee top improvements that could be made </w:t>
      </w:r>
      <w:r>
        <w:t>towards the</w:t>
      </w:r>
      <w:r w:rsidRPr="00A82155">
        <w:t xml:space="preserve"> effectiveness of the care delivered. Most </w:t>
      </w:r>
      <w:r>
        <w:t>practices</w:t>
      </w:r>
      <w:r w:rsidRPr="00A82155">
        <w:t xml:space="preserve"> (87%) reported having checklists for preventive clinical </w:t>
      </w:r>
      <w:r>
        <w:t>activities</w:t>
      </w:r>
      <w:r w:rsidRPr="00A82155">
        <w:t>. Around</w:t>
      </w:r>
      <w:r>
        <w:t xml:space="preserve"> two-thirds reported using ‘</w:t>
      </w:r>
      <w:r w:rsidRPr="0038176E">
        <w:rPr>
          <w:i/>
        </w:rPr>
        <w:t>a tool to assist lifestyle counselling or to help modify behaviours</w:t>
      </w:r>
      <w:r>
        <w:t>’</w:t>
      </w:r>
      <w:r w:rsidRPr="00D926B3">
        <w:t xml:space="preserve"> and </w:t>
      </w:r>
      <w:r>
        <w:t>‘</w:t>
      </w:r>
      <w:r w:rsidRPr="0038176E">
        <w:rPr>
          <w:i/>
        </w:rPr>
        <w:t>a system to track laboratory tests ordered until results reach clinicians’</w:t>
      </w:r>
      <w:r>
        <w:t xml:space="preserve">. Only 20% of practices reported using ‘a standardised patient activation tool’, and even in those responses it was evident that many may have misunderstood what this is (e.g. they listed their practice clinical management system or patient experience/ satisfaction survey as patient activation tools). </w:t>
      </w:r>
    </w:p>
    <w:p w14:paraId="2739E10F" w14:textId="77777777" w:rsidR="001C19F3" w:rsidRDefault="001C19F3" w:rsidP="001C19F3">
      <w:pPr>
        <w:spacing w:after="160" w:line="259" w:lineRule="auto"/>
      </w:pPr>
      <w:r>
        <w:br w:type="page"/>
      </w:r>
    </w:p>
    <w:p w14:paraId="727BCC3F" w14:textId="77777777" w:rsidR="001C19F3" w:rsidRDefault="001C19F3" w:rsidP="001C19F3">
      <w:pPr>
        <w:spacing w:after="0"/>
        <w:jc w:val="center"/>
        <w:rPr>
          <w:b/>
        </w:rPr>
      </w:pPr>
      <w:bookmarkStart w:id="138" w:name="_Ref527635508"/>
      <w:r w:rsidRPr="007E3ABB">
        <w:rPr>
          <w:b/>
        </w:rPr>
        <w:lastRenderedPageBreak/>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12</w:t>
      </w:r>
      <w:r w:rsidRPr="007E3ABB">
        <w:rPr>
          <w:rFonts w:cs="Arial"/>
          <w:b/>
          <w:color w:val="000000" w:themeColor="text1"/>
        </w:rPr>
        <w:fldChar w:fldCharType="end"/>
      </w:r>
      <w:bookmarkEnd w:id="138"/>
      <w:r w:rsidRPr="007E3ABB">
        <w:rPr>
          <w:b/>
        </w:rPr>
        <w:t xml:space="preserve"> – </w:t>
      </w:r>
      <w:r>
        <w:rPr>
          <w:b/>
        </w:rPr>
        <w:t>Practice reports on whether selected systems/processes are in place</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31"/>
        <w:gridCol w:w="1185"/>
      </w:tblGrid>
      <w:tr w:rsidR="001C19F3" w:rsidRPr="003A4BBA" w14:paraId="2F0E3FE0" w14:textId="77777777" w:rsidTr="00521305">
        <w:trPr>
          <w:trHeight w:val="20"/>
          <w:tblHeader/>
          <w:jc w:val="center"/>
        </w:trPr>
        <w:tc>
          <w:tcPr>
            <w:tcW w:w="4343" w:type="pct"/>
            <w:shd w:val="clear" w:color="auto" w:fill="003D79"/>
            <w:tcMar>
              <w:top w:w="0" w:type="dxa"/>
              <w:left w:w="0" w:type="dxa"/>
              <w:bottom w:w="0" w:type="dxa"/>
              <w:right w:w="0" w:type="dxa"/>
            </w:tcMar>
            <w:vAlign w:val="center"/>
          </w:tcPr>
          <w:p w14:paraId="125777E3" w14:textId="77777777" w:rsidR="001C19F3" w:rsidRPr="00D926B3" w:rsidRDefault="001C19F3" w:rsidP="00521305">
            <w:pPr>
              <w:spacing w:before="40" w:after="40"/>
              <w:jc w:val="center"/>
              <w:rPr>
                <w:b/>
                <w:sz w:val="18"/>
                <w:szCs w:val="18"/>
              </w:rPr>
            </w:pPr>
            <w:r w:rsidRPr="00D926B3">
              <w:rPr>
                <w:b/>
                <w:sz w:val="18"/>
                <w:szCs w:val="18"/>
              </w:rPr>
              <w:t>System/process</w:t>
            </w:r>
          </w:p>
        </w:tc>
        <w:tc>
          <w:tcPr>
            <w:tcW w:w="657" w:type="pct"/>
            <w:shd w:val="clear" w:color="auto" w:fill="003D79"/>
            <w:tcMar>
              <w:top w:w="0" w:type="dxa"/>
              <w:left w:w="0" w:type="dxa"/>
              <w:bottom w:w="0" w:type="dxa"/>
              <w:right w:w="0" w:type="dxa"/>
            </w:tcMar>
            <w:vAlign w:val="center"/>
          </w:tcPr>
          <w:p w14:paraId="409F01A0" w14:textId="77777777" w:rsidR="001C19F3" w:rsidRPr="003A4BBA" w:rsidRDefault="001C19F3" w:rsidP="00521305">
            <w:pPr>
              <w:spacing w:before="40" w:after="40"/>
              <w:jc w:val="center"/>
              <w:rPr>
                <w:sz w:val="18"/>
                <w:szCs w:val="18"/>
              </w:rPr>
            </w:pPr>
            <w:r>
              <w:rPr>
                <w:rFonts w:cs="Century Gothic"/>
                <w:b/>
                <w:color w:val="FFFFFF"/>
                <w:sz w:val="18"/>
                <w:szCs w:val="18"/>
              </w:rPr>
              <w:t>Practices No. (%)</w:t>
            </w:r>
          </w:p>
        </w:tc>
      </w:tr>
      <w:tr w:rsidR="001C19F3" w:rsidRPr="003A4BBA" w14:paraId="579C80C6" w14:textId="77777777" w:rsidTr="00521305">
        <w:trPr>
          <w:trHeight w:val="20"/>
          <w:jc w:val="center"/>
        </w:trPr>
        <w:tc>
          <w:tcPr>
            <w:tcW w:w="4343" w:type="pct"/>
            <w:tcMar>
              <w:top w:w="0" w:type="dxa"/>
              <w:left w:w="0" w:type="dxa"/>
              <w:bottom w:w="0" w:type="dxa"/>
              <w:right w:w="0" w:type="dxa"/>
            </w:tcMar>
            <w:vAlign w:val="center"/>
          </w:tcPr>
          <w:p w14:paraId="50B54BAA" w14:textId="77777777" w:rsidR="001C19F3" w:rsidRPr="003A4BBA" w:rsidRDefault="001C19F3" w:rsidP="00521305">
            <w:pPr>
              <w:spacing w:before="40" w:after="40"/>
              <w:ind w:left="40" w:right="40"/>
              <w:rPr>
                <w:sz w:val="18"/>
                <w:szCs w:val="18"/>
              </w:rPr>
            </w:pPr>
            <w:r>
              <w:rPr>
                <w:rFonts w:eastAsia="Century Gothic" w:cs="Century Gothic"/>
                <w:color w:val="000000"/>
                <w:sz w:val="18"/>
                <w:szCs w:val="18"/>
              </w:rPr>
              <w:t>A checklist for preventive clinical practices (counselling, screening, immunisation) to carry out with patients, according to guidelines?</w:t>
            </w:r>
          </w:p>
        </w:tc>
        <w:tc>
          <w:tcPr>
            <w:tcW w:w="657" w:type="pct"/>
            <w:tcMar>
              <w:top w:w="0" w:type="dxa"/>
              <w:left w:w="0" w:type="dxa"/>
              <w:bottom w:w="0" w:type="dxa"/>
              <w:right w:w="0" w:type="dxa"/>
            </w:tcMar>
            <w:vAlign w:val="center"/>
          </w:tcPr>
          <w:p w14:paraId="5624AA0C" w14:textId="77777777" w:rsidR="001C19F3" w:rsidRPr="003A4BBA" w:rsidRDefault="001C19F3" w:rsidP="00521305">
            <w:pPr>
              <w:spacing w:before="40" w:after="40"/>
              <w:ind w:left="40" w:right="40"/>
              <w:jc w:val="right"/>
              <w:rPr>
                <w:sz w:val="18"/>
                <w:szCs w:val="18"/>
              </w:rPr>
            </w:pPr>
            <w:r>
              <w:rPr>
                <w:rFonts w:eastAsia="Century Gothic" w:cs="Century Gothic"/>
                <w:color w:val="000000"/>
                <w:sz w:val="18"/>
                <w:szCs w:val="18"/>
              </w:rPr>
              <w:t>104 (86.7%)</w:t>
            </w:r>
          </w:p>
        </w:tc>
      </w:tr>
      <w:tr w:rsidR="001C19F3" w:rsidRPr="003A4BBA" w14:paraId="3D72DF1B" w14:textId="77777777" w:rsidTr="00521305">
        <w:trPr>
          <w:trHeight w:val="20"/>
          <w:jc w:val="center"/>
        </w:trPr>
        <w:tc>
          <w:tcPr>
            <w:tcW w:w="4343" w:type="pct"/>
            <w:tcMar>
              <w:top w:w="0" w:type="dxa"/>
              <w:left w:w="0" w:type="dxa"/>
              <w:bottom w:w="0" w:type="dxa"/>
              <w:right w:w="0" w:type="dxa"/>
            </w:tcMar>
            <w:vAlign w:val="center"/>
          </w:tcPr>
          <w:p w14:paraId="2A0513C8" w14:textId="77777777" w:rsidR="001C19F3" w:rsidRPr="003A4BBA" w:rsidRDefault="001C19F3" w:rsidP="00521305">
            <w:pPr>
              <w:spacing w:before="40" w:after="40"/>
              <w:ind w:left="40" w:right="40"/>
              <w:rPr>
                <w:sz w:val="18"/>
                <w:szCs w:val="18"/>
              </w:rPr>
            </w:pPr>
            <w:r>
              <w:rPr>
                <w:rFonts w:eastAsia="Century Gothic" w:cs="Century Gothic"/>
                <w:color w:val="000000"/>
                <w:sz w:val="18"/>
                <w:szCs w:val="18"/>
              </w:rPr>
              <w:t>A reminder system to invite patients to recommend screening tests (e.g. Pap test, mammogram)?</w:t>
            </w:r>
          </w:p>
        </w:tc>
        <w:tc>
          <w:tcPr>
            <w:tcW w:w="657" w:type="pct"/>
            <w:tcMar>
              <w:top w:w="0" w:type="dxa"/>
              <w:left w:w="0" w:type="dxa"/>
              <w:bottom w:w="0" w:type="dxa"/>
              <w:right w:w="0" w:type="dxa"/>
            </w:tcMar>
            <w:vAlign w:val="center"/>
          </w:tcPr>
          <w:p w14:paraId="1FD4B00E" w14:textId="77777777" w:rsidR="001C19F3" w:rsidRPr="003A4BBA" w:rsidRDefault="001C19F3" w:rsidP="00521305">
            <w:pPr>
              <w:spacing w:before="40" w:after="40"/>
              <w:ind w:left="40" w:right="40"/>
              <w:jc w:val="right"/>
              <w:rPr>
                <w:sz w:val="18"/>
                <w:szCs w:val="18"/>
              </w:rPr>
            </w:pPr>
            <w:r>
              <w:rPr>
                <w:rFonts w:eastAsia="Century Gothic" w:cs="Century Gothic"/>
                <w:color w:val="000000"/>
                <w:sz w:val="18"/>
                <w:szCs w:val="18"/>
              </w:rPr>
              <w:t>119 (99.2%)</w:t>
            </w:r>
          </w:p>
        </w:tc>
      </w:tr>
      <w:tr w:rsidR="001C19F3" w:rsidRPr="003A4BBA" w14:paraId="47D7D80A" w14:textId="77777777" w:rsidTr="00521305">
        <w:trPr>
          <w:trHeight w:val="20"/>
          <w:jc w:val="center"/>
        </w:trPr>
        <w:tc>
          <w:tcPr>
            <w:tcW w:w="4343" w:type="pct"/>
            <w:tcMar>
              <w:top w:w="0" w:type="dxa"/>
              <w:left w:w="0" w:type="dxa"/>
              <w:bottom w:w="0" w:type="dxa"/>
              <w:right w:w="0" w:type="dxa"/>
            </w:tcMar>
            <w:vAlign w:val="center"/>
          </w:tcPr>
          <w:p w14:paraId="7AE5D65D" w14:textId="77777777" w:rsidR="001C19F3" w:rsidRPr="003A4BBA" w:rsidRDefault="001C19F3" w:rsidP="00521305">
            <w:pPr>
              <w:spacing w:before="40" w:after="40"/>
              <w:ind w:left="40" w:right="40"/>
              <w:rPr>
                <w:sz w:val="18"/>
                <w:szCs w:val="18"/>
              </w:rPr>
            </w:pPr>
            <w:r>
              <w:rPr>
                <w:rFonts w:eastAsia="Century Gothic" w:cs="Century Gothic"/>
                <w:color w:val="000000"/>
                <w:sz w:val="18"/>
                <w:szCs w:val="18"/>
              </w:rPr>
              <w:t>A system to track laboratory tests ordered until results reach clinicians?</w:t>
            </w:r>
          </w:p>
        </w:tc>
        <w:tc>
          <w:tcPr>
            <w:tcW w:w="657" w:type="pct"/>
            <w:tcMar>
              <w:top w:w="0" w:type="dxa"/>
              <w:left w:w="0" w:type="dxa"/>
              <w:bottom w:w="0" w:type="dxa"/>
              <w:right w:w="0" w:type="dxa"/>
            </w:tcMar>
            <w:vAlign w:val="center"/>
          </w:tcPr>
          <w:p w14:paraId="5E5D9988" w14:textId="77777777" w:rsidR="001C19F3" w:rsidRPr="003A4BBA" w:rsidRDefault="001C19F3" w:rsidP="00521305">
            <w:pPr>
              <w:spacing w:before="40" w:after="40"/>
              <w:ind w:left="40" w:right="40"/>
              <w:jc w:val="right"/>
              <w:rPr>
                <w:sz w:val="18"/>
                <w:szCs w:val="18"/>
              </w:rPr>
            </w:pPr>
            <w:r>
              <w:rPr>
                <w:rFonts w:eastAsia="Century Gothic" w:cs="Century Gothic"/>
                <w:color w:val="000000"/>
                <w:sz w:val="18"/>
                <w:szCs w:val="18"/>
              </w:rPr>
              <w:t>88 (73.3%)</w:t>
            </w:r>
          </w:p>
        </w:tc>
      </w:tr>
      <w:tr w:rsidR="001C19F3" w:rsidRPr="003A4BBA" w14:paraId="470319EB" w14:textId="77777777" w:rsidTr="00521305">
        <w:trPr>
          <w:trHeight w:val="20"/>
          <w:jc w:val="center"/>
        </w:trPr>
        <w:tc>
          <w:tcPr>
            <w:tcW w:w="4343" w:type="pct"/>
            <w:tcMar>
              <w:top w:w="0" w:type="dxa"/>
              <w:left w:w="0" w:type="dxa"/>
              <w:bottom w:w="0" w:type="dxa"/>
              <w:right w:w="0" w:type="dxa"/>
            </w:tcMar>
            <w:vAlign w:val="center"/>
          </w:tcPr>
          <w:p w14:paraId="3E87C51C" w14:textId="77777777" w:rsidR="001C19F3" w:rsidRPr="003A4BBA" w:rsidRDefault="001C19F3" w:rsidP="00521305">
            <w:pPr>
              <w:spacing w:before="40" w:after="40"/>
              <w:ind w:left="40" w:right="40"/>
              <w:rPr>
                <w:sz w:val="18"/>
                <w:szCs w:val="18"/>
              </w:rPr>
            </w:pPr>
            <w:r>
              <w:rPr>
                <w:rFonts w:eastAsia="Century Gothic" w:cs="Century Gothic"/>
                <w:color w:val="000000"/>
                <w:sz w:val="18"/>
                <w:szCs w:val="18"/>
              </w:rPr>
              <w:t>A tool to assist lifestyle counselling or to help modify behaviours (e.g. smoking cessation program, health education program)?</w:t>
            </w:r>
          </w:p>
        </w:tc>
        <w:tc>
          <w:tcPr>
            <w:tcW w:w="657" w:type="pct"/>
            <w:tcMar>
              <w:top w:w="0" w:type="dxa"/>
              <w:left w:w="0" w:type="dxa"/>
              <w:bottom w:w="0" w:type="dxa"/>
              <w:right w:w="0" w:type="dxa"/>
            </w:tcMar>
            <w:vAlign w:val="center"/>
          </w:tcPr>
          <w:p w14:paraId="79A195F7" w14:textId="77777777" w:rsidR="001C19F3" w:rsidRPr="003A4BBA" w:rsidRDefault="001C19F3" w:rsidP="00521305">
            <w:pPr>
              <w:spacing w:before="40" w:after="40"/>
              <w:ind w:left="40" w:right="40"/>
              <w:jc w:val="right"/>
              <w:rPr>
                <w:sz w:val="18"/>
                <w:szCs w:val="18"/>
              </w:rPr>
            </w:pPr>
            <w:r>
              <w:rPr>
                <w:rFonts w:eastAsia="Century Gothic" w:cs="Century Gothic"/>
                <w:color w:val="000000"/>
                <w:sz w:val="18"/>
                <w:szCs w:val="18"/>
              </w:rPr>
              <w:t>86 (72.3%)</w:t>
            </w:r>
          </w:p>
        </w:tc>
      </w:tr>
    </w:tbl>
    <w:p w14:paraId="5D062981" w14:textId="77777777" w:rsidR="001C19F3" w:rsidRPr="00CF46D0" w:rsidRDefault="001C19F3" w:rsidP="001C19F3">
      <w:pPr>
        <w:pStyle w:val="Chartortablefootnote"/>
      </w:pPr>
      <w:r w:rsidRPr="00CF46D0">
        <w:t xml:space="preserve">Source: Practice survey </w:t>
      </w:r>
      <w:r>
        <w:t>R1, Mar-Jun 2018</w:t>
      </w:r>
      <w:r w:rsidRPr="00CF46D0">
        <w:t>. Active practices as at 31 August 2019.</w:t>
      </w:r>
    </w:p>
    <w:p w14:paraId="50733199" w14:textId="77777777" w:rsidR="001C19F3" w:rsidRPr="00162DE6" w:rsidRDefault="001C19F3" w:rsidP="001C19F3">
      <w:r>
        <w:fldChar w:fldCharType="begin"/>
      </w:r>
      <w:r>
        <w:instrText xml:space="preserve"> REF _Ref527636011 \h  \* MERGEFORMAT </w:instrText>
      </w:r>
      <w:r>
        <w:fldChar w:fldCharType="separate"/>
      </w:r>
      <w:r w:rsidRPr="00822044">
        <w:t>Table 13</w:t>
      </w:r>
      <w:r>
        <w:fldChar w:fldCharType="end"/>
      </w:r>
      <w:r>
        <w:t xml:space="preserve"> shows the extent to which practices reported that GPs regularly receive and review data on selected aspects of their patient’s care. Fifty-eight percent of practices reported GPs regularly received data on clinical outcomes. Similar proportions reported data was received on patient </w:t>
      </w:r>
      <w:r w:rsidRPr="00162DE6">
        <w:t xml:space="preserve">satisfaction and experience with care (62%) and frequency of ordering diagnostic tests (58%). A higher proportion reported providing GPs with data on patient hospital admissions or emergency department use (77%) and prescribing practices (68%). The number of practices reporting data on patient hospital admissions or emergency department use  is surprising given that data linkage is not widespread. Therefore, this and other figures will be further investigated through interviews with practices. </w:t>
      </w:r>
    </w:p>
    <w:p w14:paraId="6E429E75" w14:textId="77777777" w:rsidR="001C19F3" w:rsidRPr="00162DE6" w:rsidRDefault="001C19F3" w:rsidP="001C19F3">
      <w:pPr>
        <w:spacing w:after="0"/>
        <w:jc w:val="center"/>
        <w:rPr>
          <w:b/>
        </w:rPr>
      </w:pPr>
      <w:bookmarkStart w:id="139" w:name="_Ref527636011"/>
      <w:r w:rsidRPr="00162DE6">
        <w:rPr>
          <w:b/>
        </w:rPr>
        <w:t xml:space="preserve">Table </w:t>
      </w:r>
      <w:r w:rsidRPr="00162DE6">
        <w:rPr>
          <w:rFonts w:cs="Arial"/>
          <w:b/>
          <w:color w:val="000000" w:themeColor="text1"/>
        </w:rPr>
        <w:fldChar w:fldCharType="begin"/>
      </w:r>
      <w:r w:rsidRPr="00162DE6">
        <w:rPr>
          <w:rFonts w:cs="Arial"/>
          <w:b/>
          <w:color w:val="000000" w:themeColor="text1"/>
        </w:rPr>
        <w:instrText xml:space="preserve"> SEQ Table \* ARABIC </w:instrText>
      </w:r>
      <w:r w:rsidRPr="00162DE6">
        <w:rPr>
          <w:rFonts w:cs="Arial"/>
          <w:b/>
          <w:color w:val="000000" w:themeColor="text1"/>
        </w:rPr>
        <w:fldChar w:fldCharType="separate"/>
      </w:r>
      <w:r>
        <w:rPr>
          <w:rFonts w:cs="Arial"/>
          <w:b/>
          <w:noProof/>
          <w:color w:val="000000" w:themeColor="text1"/>
        </w:rPr>
        <w:t>13</w:t>
      </w:r>
      <w:r w:rsidRPr="00162DE6">
        <w:rPr>
          <w:rFonts w:cs="Arial"/>
          <w:b/>
          <w:color w:val="000000" w:themeColor="text1"/>
        </w:rPr>
        <w:fldChar w:fldCharType="end"/>
      </w:r>
      <w:bookmarkEnd w:id="139"/>
      <w:r w:rsidRPr="00162DE6">
        <w:rPr>
          <w:b/>
        </w:rPr>
        <w:t xml:space="preserve"> – Practice reports on whether GPs routinely receive and review data </w:t>
      </w:r>
    </w:p>
    <w:p w14:paraId="0CC5F394" w14:textId="77777777" w:rsidR="001C19F3" w:rsidRPr="00162DE6" w:rsidRDefault="001C19F3" w:rsidP="001C19F3">
      <w:pPr>
        <w:spacing w:after="0"/>
        <w:jc w:val="center"/>
      </w:pPr>
      <w:r w:rsidRPr="00162DE6">
        <w:rPr>
          <w:b/>
        </w:rPr>
        <w:t>on selected aspects of their patients' care</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32"/>
        <w:gridCol w:w="1501"/>
      </w:tblGrid>
      <w:tr w:rsidR="001C19F3" w:rsidRPr="00162DE6" w14:paraId="4A17AA51" w14:textId="77777777" w:rsidTr="00521305">
        <w:trPr>
          <w:trHeight w:val="334"/>
          <w:tblHeader/>
          <w:jc w:val="center"/>
        </w:trPr>
        <w:tc>
          <w:tcPr>
            <w:tcW w:w="6132" w:type="dxa"/>
            <w:shd w:val="clear" w:color="auto" w:fill="003D79"/>
            <w:tcMar>
              <w:top w:w="0" w:type="dxa"/>
              <w:left w:w="0" w:type="dxa"/>
              <w:bottom w:w="0" w:type="dxa"/>
              <w:right w:w="0" w:type="dxa"/>
            </w:tcMar>
            <w:vAlign w:val="center"/>
          </w:tcPr>
          <w:p w14:paraId="211E3F06" w14:textId="77777777" w:rsidR="001C19F3" w:rsidRPr="00162DE6" w:rsidRDefault="001C19F3" w:rsidP="00521305">
            <w:pPr>
              <w:spacing w:before="40" w:after="40"/>
              <w:jc w:val="center"/>
              <w:rPr>
                <w:sz w:val="18"/>
                <w:szCs w:val="18"/>
              </w:rPr>
            </w:pPr>
            <w:r w:rsidRPr="00162DE6">
              <w:rPr>
                <w:b/>
                <w:sz w:val="18"/>
                <w:szCs w:val="18"/>
              </w:rPr>
              <w:t>Data reviewed by GPs</w:t>
            </w:r>
          </w:p>
        </w:tc>
        <w:tc>
          <w:tcPr>
            <w:tcW w:w="0" w:type="auto"/>
            <w:shd w:val="clear" w:color="auto" w:fill="003D79"/>
            <w:tcMar>
              <w:top w:w="0" w:type="dxa"/>
              <w:left w:w="0" w:type="dxa"/>
              <w:bottom w:w="0" w:type="dxa"/>
              <w:right w:w="0" w:type="dxa"/>
            </w:tcMar>
            <w:vAlign w:val="center"/>
          </w:tcPr>
          <w:p w14:paraId="20647CE2" w14:textId="77777777" w:rsidR="001C19F3" w:rsidRPr="00162DE6" w:rsidRDefault="001C19F3" w:rsidP="00521305">
            <w:pPr>
              <w:spacing w:before="40" w:after="40"/>
              <w:jc w:val="center"/>
              <w:rPr>
                <w:sz w:val="18"/>
                <w:szCs w:val="18"/>
              </w:rPr>
            </w:pPr>
            <w:r w:rsidRPr="00162DE6">
              <w:rPr>
                <w:rFonts w:cs="Century Gothic"/>
                <w:b/>
                <w:color w:val="FFFFFF"/>
                <w:sz w:val="18"/>
                <w:szCs w:val="18"/>
              </w:rPr>
              <w:t>Practices No. (%)</w:t>
            </w:r>
          </w:p>
        </w:tc>
      </w:tr>
      <w:tr w:rsidR="001C19F3" w:rsidRPr="00162DE6" w14:paraId="3D6831F6" w14:textId="77777777" w:rsidTr="00521305">
        <w:trPr>
          <w:trHeight w:val="20"/>
          <w:jc w:val="center"/>
        </w:trPr>
        <w:tc>
          <w:tcPr>
            <w:tcW w:w="6132" w:type="dxa"/>
            <w:tcMar>
              <w:top w:w="0" w:type="dxa"/>
              <w:left w:w="0" w:type="dxa"/>
              <w:bottom w:w="0" w:type="dxa"/>
              <w:right w:w="0" w:type="dxa"/>
            </w:tcMar>
            <w:vAlign w:val="center"/>
          </w:tcPr>
          <w:p w14:paraId="08EDB275" w14:textId="77777777" w:rsidR="001C19F3" w:rsidRPr="00162DE6" w:rsidRDefault="001C19F3" w:rsidP="00521305">
            <w:pPr>
              <w:spacing w:before="40" w:after="40"/>
              <w:ind w:left="40" w:right="40"/>
              <w:rPr>
                <w:sz w:val="18"/>
                <w:szCs w:val="18"/>
              </w:rPr>
            </w:pPr>
            <w:r w:rsidRPr="00162DE6">
              <w:rPr>
                <w:rFonts w:eastAsia="Century Gothic" w:cs="Century Gothic"/>
                <w:color w:val="000000"/>
                <w:sz w:val="18"/>
                <w:szCs w:val="18"/>
              </w:rPr>
              <w:t>Clinical outcomes (e.g. percentage of patients with diabetes or asthma with good control)</w:t>
            </w:r>
          </w:p>
        </w:tc>
        <w:tc>
          <w:tcPr>
            <w:tcW w:w="0" w:type="auto"/>
            <w:tcMar>
              <w:top w:w="0" w:type="dxa"/>
              <w:left w:w="0" w:type="dxa"/>
              <w:bottom w:w="0" w:type="dxa"/>
              <w:right w:w="0" w:type="dxa"/>
            </w:tcMar>
            <w:vAlign w:val="center"/>
          </w:tcPr>
          <w:p w14:paraId="21E3DB7E" w14:textId="77777777" w:rsidR="001C19F3" w:rsidRPr="00162DE6" w:rsidRDefault="001C19F3" w:rsidP="00521305">
            <w:pPr>
              <w:spacing w:before="40" w:after="40"/>
              <w:ind w:left="40" w:right="40"/>
              <w:jc w:val="right"/>
              <w:rPr>
                <w:sz w:val="18"/>
                <w:szCs w:val="18"/>
              </w:rPr>
            </w:pPr>
            <w:r w:rsidRPr="00162DE6">
              <w:rPr>
                <w:rFonts w:eastAsia="Century Gothic" w:cs="Century Gothic"/>
                <w:color w:val="000000"/>
                <w:sz w:val="18"/>
                <w:szCs w:val="18"/>
              </w:rPr>
              <w:t>74 (62.2%)</w:t>
            </w:r>
          </w:p>
        </w:tc>
      </w:tr>
      <w:tr w:rsidR="001C19F3" w:rsidRPr="00162DE6" w14:paraId="21D545F5" w14:textId="77777777" w:rsidTr="00521305">
        <w:trPr>
          <w:trHeight w:val="20"/>
          <w:jc w:val="center"/>
        </w:trPr>
        <w:tc>
          <w:tcPr>
            <w:tcW w:w="6132" w:type="dxa"/>
            <w:tcMar>
              <w:top w:w="0" w:type="dxa"/>
              <w:left w:w="0" w:type="dxa"/>
              <w:bottom w:w="0" w:type="dxa"/>
              <w:right w:w="0" w:type="dxa"/>
            </w:tcMar>
            <w:vAlign w:val="center"/>
          </w:tcPr>
          <w:p w14:paraId="61518541" w14:textId="77777777" w:rsidR="001C19F3" w:rsidRPr="00162DE6" w:rsidRDefault="001C19F3" w:rsidP="00521305">
            <w:pPr>
              <w:spacing w:before="40" w:after="40"/>
              <w:ind w:left="40" w:right="40"/>
              <w:rPr>
                <w:sz w:val="18"/>
                <w:szCs w:val="18"/>
              </w:rPr>
            </w:pPr>
            <w:r w:rsidRPr="00162DE6">
              <w:rPr>
                <w:rFonts w:eastAsia="Century Gothic" w:cs="Century Gothic"/>
                <w:color w:val="000000"/>
                <w:sz w:val="18"/>
                <w:szCs w:val="18"/>
              </w:rPr>
              <w:t>Frequency of ordering diagnostic tests</w:t>
            </w:r>
          </w:p>
        </w:tc>
        <w:tc>
          <w:tcPr>
            <w:tcW w:w="0" w:type="auto"/>
            <w:tcMar>
              <w:top w:w="0" w:type="dxa"/>
              <w:left w:w="0" w:type="dxa"/>
              <w:bottom w:w="0" w:type="dxa"/>
              <w:right w:w="0" w:type="dxa"/>
            </w:tcMar>
            <w:vAlign w:val="center"/>
          </w:tcPr>
          <w:p w14:paraId="0F71F51E" w14:textId="77777777" w:rsidR="001C19F3" w:rsidRPr="00162DE6" w:rsidRDefault="001C19F3" w:rsidP="00521305">
            <w:pPr>
              <w:spacing w:before="40" w:after="40"/>
              <w:ind w:left="40" w:right="40"/>
              <w:jc w:val="right"/>
              <w:rPr>
                <w:sz w:val="18"/>
                <w:szCs w:val="18"/>
              </w:rPr>
            </w:pPr>
            <w:r w:rsidRPr="00162DE6">
              <w:rPr>
                <w:rFonts w:eastAsia="Century Gothic" w:cs="Century Gothic"/>
                <w:color w:val="000000"/>
                <w:sz w:val="18"/>
                <w:szCs w:val="18"/>
              </w:rPr>
              <w:t>69 (57.5%)</w:t>
            </w:r>
          </w:p>
        </w:tc>
      </w:tr>
      <w:tr w:rsidR="001C19F3" w:rsidRPr="00162DE6" w14:paraId="1987EEC4" w14:textId="77777777" w:rsidTr="00521305">
        <w:trPr>
          <w:trHeight w:val="20"/>
          <w:jc w:val="center"/>
        </w:trPr>
        <w:tc>
          <w:tcPr>
            <w:tcW w:w="6132" w:type="dxa"/>
            <w:tcMar>
              <w:top w:w="0" w:type="dxa"/>
              <w:left w:w="0" w:type="dxa"/>
              <w:bottom w:w="0" w:type="dxa"/>
              <w:right w:w="0" w:type="dxa"/>
            </w:tcMar>
            <w:vAlign w:val="center"/>
          </w:tcPr>
          <w:p w14:paraId="0DE99B7A" w14:textId="77777777" w:rsidR="001C19F3" w:rsidRPr="00162DE6" w:rsidRDefault="001C19F3" w:rsidP="00521305">
            <w:pPr>
              <w:spacing w:before="40" w:after="40"/>
              <w:ind w:left="40" w:right="40"/>
              <w:rPr>
                <w:sz w:val="18"/>
                <w:szCs w:val="18"/>
              </w:rPr>
            </w:pPr>
            <w:r w:rsidRPr="00162DE6">
              <w:rPr>
                <w:rFonts w:eastAsia="Century Gothic" w:cs="Century Gothic"/>
                <w:color w:val="000000"/>
                <w:sz w:val="18"/>
                <w:szCs w:val="18"/>
              </w:rPr>
              <w:t>Patients' hospital admissions or emergency department use</w:t>
            </w:r>
          </w:p>
        </w:tc>
        <w:tc>
          <w:tcPr>
            <w:tcW w:w="0" w:type="auto"/>
            <w:tcMar>
              <w:top w:w="0" w:type="dxa"/>
              <w:left w:w="0" w:type="dxa"/>
              <w:bottom w:w="0" w:type="dxa"/>
              <w:right w:w="0" w:type="dxa"/>
            </w:tcMar>
            <w:vAlign w:val="center"/>
          </w:tcPr>
          <w:p w14:paraId="55FE5822" w14:textId="77777777" w:rsidR="001C19F3" w:rsidRPr="00162DE6" w:rsidRDefault="001C19F3" w:rsidP="00521305">
            <w:pPr>
              <w:spacing w:before="40" w:after="40"/>
              <w:ind w:left="40" w:right="40"/>
              <w:jc w:val="right"/>
              <w:rPr>
                <w:sz w:val="18"/>
                <w:szCs w:val="18"/>
              </w:rPr>
            </w:pPr>
            <w:r w:rsidRPr="00162DE6">
              <w:rPr>
                <w:rFonts w:eastAsia="Century Gothic" w:cs="Century Gothic"/>
                <w:color w:val="000000"/>
                <w:sz w:val="18"/>
                <w:szCs w:val="18"/>
              </w:rPr>
              <w:t>92 (76.7%)</w:t>
            </w:r>
          </w:p>
        </w:tc>
      </w:tr>
      <w:tr w:rsidR="001C19F3" w:rsidRPr="00162DE6" w14:paraId="205D32EE" w14:textId="77777777" w:rsidTr="00521305">
        <w:trPr>
          <w:trHeight w:val="20"/>
          <w:jc w:val="center"/>
        </w:trPr>
        <w:tc>
          <w:tcPr>
            <w:tcW w:w="6132" w:type="dxa"/>
            <w:tcMar>
              <w:top w:w="0" w:type="dxa"/>
              <w:left w:w="0" w:type="dxa"/>
              <w:bottom w:w="0" w:type="dxa"/>
              <w:right w:w="0" w:type="dxa"/>
            </w:tcMar>
            <w:vAlign w:val="center"/>
          </w:tcPr>
          <w:p w14:paraId="0EDF8396" w14:textId="77777777" w:rsidR="001C19F3" w:rsidRPr="00162DE6" w:rsidRDefault="001C19F3" w:rsidP="00521305">
            <w:pPr>
              <w:spacing w:before="40" w:after="40"/>
              <w:ind w:left="40" w:right="40"/>
              <w:rPr>
                <w:sz w:val="18"/>
                <w:szCs w:val="18"/>
              </w:rPr>
            </w:pPr>
            <w:r w:rsidRPr="00162DE6">
              <w:rPr>
                <w:rFonts w:eastAsia="Century Gothic" w:cs="Century Gothic"/>
                <w:color w:val="000000"/>
                <w:sz w:val="18"/>
                <w:szCs w:val="18"/>
              </w:rPr>
              <w:t>Prescribing practices</w:t>
            </w:r>
          </w:p>
        </w:tc>
        <w:tc>
          <w:tcPr>
            <w:tcW w:w="0" w:type="auto"/>
            <w:tcMar>
              <w:top w:w="0" w:type="dxa"/>
              <w:left w:w="0" w:type="dxa"/>
              <w:bottom w:w="0" w:type="dxa"/>
              <w:right w:w="0" w:type="dxa"/>
            </w:tcMar>
            <w:vAlign w:val="center"/>
          </w:tcPr>
          <w:p w14:paraId="2FC7D5AE" w14:textId="77777777" w:rsidR="001C19F3" w:rsidRPr="00162DE6" w:rsidRDefault="001C19F3" w:rsidP="00521305">
            <w:pPr>
              <w:spacing w:before="40" w:after="40"/>
              <w:ind w:left="40" w:right="40"/>
              <w:jc w:val="right"/>
              <w:rPr>
                <w:sz w:val="18"/>
                <w:szCs w:val="18"/>
              </w:rPr>
            </w:pPr>
            <w:r w:rsidRPr="00162DE6">
              <w:rPr>
                <w:rFonts w:eastAsia="Century Gothic" w:cs="Century Gothic"/>
                <w:color w:val="000000"/>
                <w:sz w:val="18"/>
                <w:szCs w:val="18"/>
              </w:rPr>
              <w:t>82 (68.3%)</w:t>
            </w:r>
          </w:p>
        </w:tc>
      </w:tr>
      <w:tr w:rsidR="001C19F3" w14:paraId="23C78074" w14:textId="77777777" w:rsidTr="00521305">
        <w:trPr>
          <w:trHeight w:val="20"/>
          <w:jc w:val="center"/>
        </w:trPr>
        <w:tc>
          <w:tcPr>
            <w:tcW w:w="6132" w:type="dxa"/>
            <w:tcMar>
              <w:top w:w="0" w:type="dxa"/>
              <w:left w:w="0" w:type="dxa"/>
              <w:bottom w:w="0" w:type="dxa"/>
              <w:right w:w="0" w:type="dxa"/>
            </w:tcMar>
            <w:vAlign w:val="center"/>
          </w:tcPr>
          <w:p w14:paraId="32778936" w14:textId="77777777" w:rsidR="001C19F3" w:rsidRPr="00162DE6" w:rsidRDefault="001C19F3" w:rsidP="00521305">
            <w:pPr>
              <w:spacing w:before="40" w:after="40"/>
              <w:ind w:left="40" w:right="40"/>
              <w:rPr>
                <w:sz w:val="18"/>
                <w:szCs w:val="18"/>
              </w:rPr>
            </w:pPr>
            <w:r w:rsidRPr="00162DE6">
              <w:rPr>
                <w:rFonts w:eastAsia="Century Gothic" w:cs="Century Gothic"/>
                <w:color w:val="000000"/>
                <w:sz w:val="18"/>
                <w:szCs w:val="18"/>
              </w:rPr>
              <w:t>Surveys of patient satisfaction and experiences with care</w:t>
            </w:r>
          </w:p>
        </w:tc>
        <w:tc>
          <w:tcPr>
            <w:tcW w:w="0" w:type="auto"/>
            <w:tcMar>
              <w:top w:w="0" w:type="dxa"/>
              <w:left w:w="0" w:type="dxa"/>
              <w:bottom w:w="0" w:type="dxa"/>
              <w:right w:w="0" w:type="dxa"/>
            </w:tcMar>
            <w:vAlign w:val="center"/>
          </w:tcPr>
          <w:p w14:paraId="2ED7B1AA" w14:textId="77777777" w:rsidR="001C19F3" w:rsidRPr="003A4BBA" w:rsidRDefault="001C19F3" w:rsidP="00521305">
            <w:pPr>
              <w:spacing w:before="40" w:after="40"/>
              <w:ind w:left="40" w:right="40"/>
              <w:jc w:val="right"/>
              <w:rPr>
                <w:sz w:val="18"/>
                <w:szCs w:val="18"/>
              </w:rPr>
            </w:pPr>
            <w:r w:rsidRPr="00162DE6">
              <w:rPr>
                <w:rFonts w:eastAsia="Century Gothic" w:cs="Century Gothic"/>
                <w:color w:val="000000"/>
                <w:sz w:val="18"/>
                <w:szCs w:val="18"/>
              </w:rPr>
              <w:t>74 (62.2%)</w:t>
            </w:r>
          </w:p>
        </w:tc>
      </w:tr>
    </w:tbl>
    <w:p w14:paraId="3797B6BC" w14:textId="77777777" w:rsidR="001C19F3" w:rsidRPr="00CF46D0" w:rsidRDefault="001C19F3" w:rsidP="001C19F3">
      <w:pPr>
        <w:pStyle w:val="Chartortablefootnote"/>
      </w:pPr>
      <w:r w:rsidRPr="00CF46D0">
        <w:t xml:space="preserve">Source: Practice survey </w:t>
      </w:r>
      <w:r>
        <w:t>R1, Mar-Jun 2018</w:t>
      </w:r>
      <w:r w:rsidRPr="00CF46D0">
        <w:t>. Active practices as at 31 August 2019.</w:t>
      </w:r>
    </w:p>
    <w:p w14:paraId="524A26E8" w14:textId="77777777" w:rsidR="001C19F3" w:rsidRDefault="001C19F3" w:rsidP="001C19F3">
      <w:pPr>
        <w:pStyle w:val="Heading3"/>
      </w:pPr>
      <w:r>
        <w:t>Practice self-assessment of HCH features at baseline</w:t>
      </w:r>
    </w:p>
    <w:p w14:paraId="01C37F9B" w14:textId="77777777" w:rsidR="001C19F3" w:rsidRDefault="001C19F3" w:rsidP="001C19F3">
      <w:r w:rsidRPr="00752D03">
        <w:t xml:space="preserve">The Health Care Home Assessment (HCH-A) </w:t>
      </w:r>
      <w:r>
        <w:t xml:space="preserve">tool was part of the training materials provided to practices for the HCH trial. The purpose of the tool is for practices to assess the </w:t>
      </w:r>
      <w:r w:rsidRPr="003218F3">
        <w:t>extent to which they</w:t>
      </w:r>
      <w:r>
        <w:t xml:space="preserve"> are</w:t>
      </w:r>
      <w:r w:rsidRPr="003218F3">
        <w:t xml:space="preserve"> operat</w:t>
      </w:r>
      <w:r>
        <w:t>ing</w:t>
      </w:r>
      <w:r w:rsidRPr="003218F3">
        <w:t xml:space="preserve"> as </w:t>
      </w:r>
      <w:r>
        <w:t xml:space="preserve">an HCH. At program start-up, practices could use it to identify and </w:t>
      </w:r>
      <w:r w:rsidRPr="00752D03">
        <w:t xml:space="preserve">prioritise changes that they </w:t>
      </w:r>
      <w:r>
        <w:t>would</w:t>
      </w:r>
      <w:r w:rsidRPr="00752D03">
        <w:t xml:space="preserve"> make </w:t>
      </w:r>
      <w:r>
        <w:t>as an HCH</w:t>
      </w:r>
      <w:r w:rsidRPr="00752D03">
        <w:t xml:space="preserve">. </w:t>
      </w:r>
    </w:p>
    <w:p w14:paraId="4403114F" w14:textId="77777777" w:rsidR="001C19F3" w:rsidRDefault="001C19F3" w:rsidP="001C19F3">
      <w:r w:rsidRPr="00752D03">
        <w:t>The tool</w:t>
      </w:r>
      <w:r>
        <w:t xml:space="preserve"> on which HCH-A was </w:t>
      </w:r>
      <w:r w:rsidRPr="00752D03">
        <w:t>developed in the United States (known as the Patient Centred Medical Home Assessment</w:t>
      </w:r>
      <w:r>
        <w:t xml:space="preserve"> – </w:t>
      </w:r>
      <w:r w:rsidRPr="00752D03">
        <w:t>PCMH-A). It was adapted for use in Australia by WentWest in 2015, and further adapted by AGPAL in 2017 for the HCH implementation</w:t>
      </w:r>
      <w:r>
        <w:t xml:space="preserve"> (</w:t>
      </w:r>
      <w:r>
        <w:fldChar w:fldCharType="begin"/>
      </w:r>
      <w:r>
        <w:instrText xml:space="preserve"> ADDIN EN.CITE &lt;EndNote&gt;&lt;Cite&gt;&lt;Author&gt;MacColl Center for Health Care Innovation at Group Health Research Institute&lt;/Author&gt;&lt;Year&gt;2017&lt;/Year&gt;&lt;RecNum&gt;961&lt;/RecNum&gt;&lt;DisplayText&gt;MacColl Center for Health Care Innovation at Group Health Research Institute, Qualis Health, WentWest et al., 2017&lt;/DisplayText&gt;&lt;record&gt;&lt;rec-number&gt;961&lt;/rec-number&gt;&lt;foreign-keys&gt;&lt;key app="EN" db-id="zdz9xax04zr9v0evw2nvrpw9xe9ttzvs5zsv" timestamp="1502081264"&gt;961&lt;/key&gt;&lt;/foreign-keys&gt;&lt;ref-type name="Report"&gt;27&lt;/ref-type&gt;&lt;contributors&gt;&lt;authors&gt;&lt;author&gt;MacColl Center for Health Care Innovation at Group Health Research Institute,,&lt;/author&gt;&lt;author&gt;Qualis Health,,&lt;/author&gt;&lt;author&gt;WentWest,,&lt;/author&gt;&lt;author&gt;AGPAL,,&lt;/author&gt;&lt;/authors&gt;&lt;/contributors&gt;&lt;titles&gt;&lt;title&gt;Health Care Home Assessment&lt;/title&gt;&lt;/titles&gt;&lt;dates&gt;&lt;year&gt;2017&lt;/year&gt;&lt;/dates&gt;&lt;pub-location&gt;Brisbane&lt;/pub-location&gt;&lt;urls&gt;&lt;/urls&gt;&lt;/record&gt;&lt;/Cite&gt;&lt;/EndNote&gt;</w:instrText>
      </w:r>
      <w:r>
        <w:fldChar w:fldCharType="separate"/>
      </w:r>
      <w:r>
        <w:rPr>
          <w:noProof/>
        </w:rPr>
        <w:t>MacColl Center for Health Care Innovation at Group Health Research Institute, Qualis Health, WentWest et al., 2017</w:t>
      </w:r>
      <w:r>
        <w:fldChar w:fldCharType="end"/>
      </w:r>
      <w:r>
        <w:t>).</w:t>
      </w:r>
    </w:p>
    <w:p w14:paraId="44BBDFCA" w14:textId="77777777" w:rsidR="001C19F3" w:rsidRDefault="001C19F3" w:rsidP="001C19F3">
      <w:r>
        <w:t>For the evaluation, Health Policy Analysis asked for practices’ results of their initial application of the tool (as part of the Round 1 p</w:t>
      </w:r>
      <w:r w:rsidRPr="003218F3">
        <w:t>ractice survey</w:t>
      </w:r>
      <w:r>
        <w:t xml:space="preserve">, </w:t>
      </w:r>
      <w:r w:rsidRPr="003218F3">
        <w:t>Mar</w:t>
      </w:r>
      <w:r>
        <w:t xml:space="preserve">ch to </w:t>
      </w:r>
      <w:r w:rsidRPr="003218F3">
        <w:t>Jun</w:t>
      </w:r>
      <w:r>
        <w:t>e</w:t>
      </w:r>
      <w:r w:rsidRPr="003218F3">
        <w:t xml:space="preserve"> 2018</w:t>
      </w:r>
      <w:r>
        <w:t xml:space="preserve">). The results of this are presented in Volume 4. </w:t>
      </w:r>
    </w:p>
    <w:p w14:paraId="76851BED" w14:textId="77777777" w:rsidR="001C19F3" w:rsidRPr="00D70ADC" w:rsidRDefault="001C19F3" w:rsidP="001C19F3">
      <w:r w:rsidRPr="00D70ADC">
        <w:lastRenderedPageBreak/>
        <w:t>For each question</w:t>
      </w:r>
      <w:r>
        <w:t xml:space="preserve"> in the tool</w:t>
      </w:r>
      <w:r w:rsidRPr="00D70ADC">
        <w:t>, scores are represented on a scale of 1 to 12. The</w:t>
      </w:r>
      <w:r>
        <w:t xml:space="preserve"> questions</w:t>
      </w:r>
      <w:r w:rsidRPr="00D70ADC">
        <w:t xml:space="preserve"> are grouped into eight dimensions. Scores of 1 to 3 on any item reflect absent or minimal implementation of an element of the patient centred medical home. Scores of 10 to 12 reflect that most or all the critical aspects of the element are well established in the practice.</w:t>
      </w:r>
      <w:r>
        <w:t xml:space="preserve"> </w:t>
      </w:r>
      <w:r w:rsidRPr="00D70ADC">
        <w:t xml:space="preserve">Overall, practices’ median and mean self-assessment scores </w:t>
      </w:r>
      <w:r>
        <w:t>were</w:t>
      </w:r>
      <w:r w:rsidRPr="00D70ADC">
        <w:t xml:space="preserve"> in the range of 6 to 9. These suggest that practices believe</w:t>
      </w:r>
      <w:r>
        <w:t>d</w:t>
      </w:r>
      <w:r w:rsidRPr="00D70ADC">
        <w:t xml:space="preserve"> that they have many of the elements of a patient centred medical home in place, but there are opportunities for </w:t>
      </w:r>
      <w:r>
        <w:t>improvement</w:t>
      </w:r>
      <w:r w:rsidRPr="00D70ADC">
        <w:t>.</w:t>
      </w:r>
    </w:p>
    <w:p w14:paraId="6B8D413D" w14:textId="77777777" w:rsidR="001C19F3" w:rsidRDefault="001C19F3" w:rsidP="001C19F3">
      <w:r>
        <w:t xml:space="preserve">There were methodological issues in the way that practices applied the tool and </w:t>
      </w:r>
      <w:r w:rsidRPr="00D70ADC">
        <w:t xml:space="preserve">technical issues </w:t>
      </w:r>
      <w:r>
        <w:t xml:space="preserve">that </w:t>
      </w:r>
      <w:r w:rsidRPr="00D70ADC">
        <w:t>need to be considered to ensure the scores can be appropriately used in analysis</w:t>
      </w:r>
      <w:r>
        <w:t xml:space="preserve">. This will be addressed in the final report of the evaluation. </w:t>
      </w:r>
    </w:p>
    <w:p w14:paraId="250CC1F7" w14:textId="77777777" w:rsidR="001C19F3" w:rsidRDefault="001C19F3" w:rsidP="001C19F3">
      <w:pPr>
        <w:pStyle w:val="Heading3"/>
      </w:pPr>
      <w:bookmarkStart w:id="140" w:name="_Hlk21009987"/>
      <w:r>
        <w:t>Previous participation in quality improvement, clinical audits and benchmarking initiatives</w:t>
      </w:r>
    </w:p>
    <w:bookmarkEnd w:id="133"/>
    <w:bookmarkEnd w:id="140"/>
    <w:p w14:paraId="7579DD7F" w14:textId="77777777" w:rsidR="001C19F3" w:rsidRDefault="001C19F3" w:rsidP="001C19F3">
      <w:r>
        <w:t xml:space="preserve">Practices were asked to identify which components of the </w:t>
      </w:r>
      <w:r w:rsidRPr="004E23F1">
        <w:t>Practice Incentive Program</w:t>
      </w:r>
      <w:r>
        <w:t xml:space="preserve"> (PIP) they participated in and to describe other improvement initiatives in which they had participated in the last two years. The questions also sought to identify the extent to which they worked jointly with the PHN or local hospital/Local Hospital Network (LHN) on these initiatives. Most practices reported participating in at least one component of the PIP,</w:t>
      </w:r>
      <w:r w:rsidRPr="004E23F1">
        <w:t xml:space="preserve"> </w:t>
      </w:r>
      <w:r>
        <w:t xml:space="preserve">with the most common being the </w:t>
      </w:r>
      <w:r w:rsidRPr="003A3C0C">
        <w:t xml:space="preserve">eHealth, </w:t>
      </w:r>
      <w:r>
        <w:t>D</w:t>
      </w:r>
      <w:r w:rsidRPr="003A3C0C">
        <w:t xml:space="preserve">iabetes and the </w:t>
      </w:r>
      <w:r>
        <w:t>Asthma components</w:t>
      </w:r>
      <w:r w:rsidRPr="004E23F1">
        <w:t xml:space="preserve"> (</w:t>
      </w:r>
      <w:r>
        <w:fldChar w:fldCharType="begin"/>
      </w:r>
      <w:r>
        <w:instrText xml:space="preserve"> REF _Ref21023185 \h  \* MERGEFORMAT </w:instrText>
      </w:r>
      <w:r>
        <w:fldChar w:fldCharType="separate"/>
      </w:r>
      <w:r w:rsidRPr="00822044">
        <w:t>Table 14</w:t>
      </w:r>
      <w:r>
        <w:fldChar w:fldCharType="end"/>
      </w:r>
      <w:r>
        <w:t xml:space="preserve">). Most practices </w:t>
      </w:r>
      <w:r w:rsidRPr="00B3300E">
        <w:t>(72%)</w:t>
      </w:r>
      <w:r>
        <w:t xml:space="preserve"> reported i</w:t>
      </w:r>
      <w:r w:rsidRPr="00880375">
        <w:t xml:space="preserve">nvolvement in a quality improvement, collaborative, benchmarking, or chronic and complex disease management initiative in the last </w:t>
      </w:r>
      <w:r w:rsidRPr="00297CC0">
        <w:t>two years.</w:t>
      </w:r>
      <w:r>
        <w:t xml:space="preserve"> </w:t>
      </w:r>
    </w:p>
    <w:p w14:paraId="5F3336E3" w14:textId="77777777" w:rsidR="001C19F3" w:rsidRDefault="001C19F3" w:rsidP="001C19F3">
      <w:pPr>
        <w:spacing w:after="0"/>
        <w:jc w:val="center"/>
      </w:pPr>
      <w:bookmarkStart w:id="141" w:name="_Ref21023185"/>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14</w:t>
      </w:r>
      <w:r w:rsidRPr="007E3ABB">
        <w:rPr>
          <w:rFonts w:cs="Arial"/>
          <w:b/>
          <w:color w:val="000000" w:themeColor="text1"/>
        </w:rPr>
        <w:fldChar w:fldCharType="end"/>
      </w:r>
      <w:bookmarkEnd w:id="141"/>
      <w:r w:rsidRPr="007E3ABB">
        <w:rPr>
          <w:b/>
        </w:rPr>
        <w:t xml:space="preserve"> – </w:t>
      </w:r>
      <w:r>
        <w:rPr>
          <w:b/>
        </w:rPr>
        <w:t>Practices’ participation in the Practice Incentive Program (PIP)</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59"/>
        <w:gridCol w:w="1310"/>
      </w:tblGrid>
      <w:tr w:rsidR="001C19F3" w:rsidRPr="004A4A35" w14:paraId="38C10681" w14:textId="77777777" w:rsidTr="00521305">
        <w:trPr>
          <w:trHeight w:val="294"/>
          <w:tblHeader/>
          <w:jc w:val="center"/>
        </w:trPr>
        <w:tc>
          <w:tcPr>
            <w:tcW w:w="4559" w:type="dxa"/>
            <w:vMerge w:val="restart"/>
            <w:shd w:val="clear" w:color="auto" w:fill="003D79"/>
            <w:tcMar>
              <w:top w:w="0" w:type="dxa"/>
              <w:left w:w="0" w:type="dxa"/>
              <w:bottom w:w="0" w:type="dxa"/>
              <w:right w:w="0" w:type="dxa"/>
            </w:tcMar>
            <w:vAlign w:val="center"/>
          </w:tcPr>
          <w:p w14:paraId="4ACD9614" w14:textId="77777777" w:rsidR="001C19F3" w:rsidRPr="004A4A35" w:rsidRDefault="001C19F3" w:rsidP="00521305">
            <w:pPr>
              <w:spacing w:before="40" w:after="40"/>
              <w:jc w:val="center"/>
              <w:rPr>
                <w:b/>
                <w:sz w:val="18"/>
                <w:szCs w:val="18"/>
              </w:rPr>
            </w:pPr>
            <w:r>
              <w:rPr>
                <w:b/>
                <w:sz w:val="18"/>
                <w:szCs w:val="18"/>
              </w:rPr>
              <w:t>PIP</w:t>
            </w:r>
            <w:r w:rsidRPr="004A4A35">
              <w:rPr>
                <w:b/>
                <w:sz w:val="18"/>
                <w:szCs w:val="18"/>
              </w:rPr>
              <w:t xml:space="preserve"> component</w:t>
            </w:r>
          </w:p>
        </w:tc>
        <w:tc>
          <w:tcPr>
            <w:tcW w:w="0" w:type="auto"/>
            <w:vMerge w:val="restart"/>
            <w:shd w:val="clear" w:color="auto" w:fill="003D79"/>
            <w:tcMar>
              <w:top w:w="0" w:type="dxa"/>
              <w:left w:w="0" w:type="dxa"/>
              <w:bottom w:w="0" w:type="dxa"/>
              <w:right w:w="0" w:type="dxa"/>
            </w:tcMar>
            <w:vAlign w:val="center"/>
          </w:tcPr>
          <w:p w14:paraId="4C036185" w14:textId="77777777" w:rsidR="001C19F3" w:rsidRPr="004A4A35" w:rsidRDefault="001C19F3" w:rsidP="00521305">
            <w:pPr>
              <w:spacing w:before="40" w:after="40"/>
              <w:jc w:val="center"/>
              <w:rPr>
                <w:sz w:val="18"/>
                <w:szCs w:val="18"/>
              </w:rPr>
            </w:pPr>
            <w:r>
              <w:rPr>
                <w:rFonts w:cs="Century Gothic"/>
                <w:b/>
                <w:color w:val="FFFFFF"/>
                <w:sz w:val="18"/>
                <w:szCs w:val="18"/>
              </w:rPr>
              <w:t>Practices n (%)</w:t>
            </w:r>
            <w:r w:rsidRPr="004A4A35">
              <w:rPr>
                <w:rFonts w:cs="Century Gothic"/>
                <w:b/>
                <w:color w:val="FFFFFF"/>
                <w:sz w:val="18"/>
                <w:szCs w:val="18"/>
              </w:rPr>
              <w:t xml:space="preserve"> </w:t>
            </w:r>
          </w:p>
        </w:tc>
      </w:tr>
      <w:tr w:rsidR="001C19F3" w:rsidRPr="004A4A35" w14:paraId="194F3909" w14:textId="77777777" w:rsidTr="00521305">
        <w:trPr>
          <w:trHeight w:val="334"/>
          <w:tblHeader/>
          <w:jc w:val="center"/>
        </w:trPr>
        <w:tc>
          <w:tcPr>
            <w:tcW w:w="4559" w:type="dxa"/>
            <w:vMerge/>
            <w:shd w:val="clear" w:color="auto" w:fill="003D79"/>
            <w:tcMar>
              <w:top w:w="0" w:type="dxa"/>
              <w:left w:w="0" w:type="dxa"/>
              <w:bottom w:w="0" w:type="dxa"/>
              <w:right w:w="0" w:type="dxa"/>
            </w:tcMar>
            <w:vAlign w:val="center"/>
          </w:tcPr>
          <w:p w14:paraId="60235EE0" w14:textId="77777777" w:rsidR="001C19F3" w:rsidRPr="004A4A35" w:rsidRDefault="001C19F3" w:rsidP="00521305">
            <w:pPr>
              <w:spacing w:before="40" w:after="40"/>
              <w:jc w:val="center"/>
              <w:rPr>
                <w:sz w:val="18"/>
                <w:szCs w:val="18"/>
              </w:rPr>
            </w:pPr>
          </w:p>
        </w:tc>
        <w:tc>
          <w:tcPr>
            <w:tcW w:w="0" w:type="auto"/>
            <w:vMerge/>
            <w:shd w:val="clear" w:color="auto" w:fill="003D79"/>
            <w:tcMar>
              <w:top w:w="0" w:type="dxa"/>
              <w:left w:w="0" w:type="dxa"/>
              <w:bottom w:w="0" w:type="dxa"/>
              <w:right w:w="0" w:type="dxa"/>
            </w:tcMar>
            <w:vAlign w:val="center"/>
          </w:tcPr>
          <w:p w14:paraId="47FB9350" w14:textId="77777777" w:rsidR="001C19F3" w:rsidRPr="004A4A35" w:rsidRDefault="001C19F3" w:rsidP="00521305">
            <w:pPr>
              <w:spacing w:before="40" w:after="40"/>
              <w:jc w:val="center"/>
              <w:rPr>
                <w:sz w:val="18"/>
                <w:szCs w:val="18"/>
              </w:rPr>
            </w:pPr>
          </w:p>
        </w:tc>
      </w:tr>
      <w:tr w:rsidR="001C19F3" w:rsidRPr="004A4A35" w14:paraId="401A8BEF" w14:textId="77777777" w:rsidTr="00521305">
        <w:trPr>
          <w:trHeight w:val="20"/>
          <w:jc w:val="center"/>
        </w:trPr>
        <w:tc>
          <w:tcPr>
            <w:tcW w:w="4559" w:type="dxa"/>
            <w:tcMar>
              <w:top w:w="0" w:type="dxa"/>
              <w:left w:w="0" w:type="dxa"/>
              <w:bottom w:w="0" w:type="dxa"/>
              <w:right w:w="0" w:type="dxa"/>
            </w:tcMar>
          </w:tcPr>
          <w:p w14:paraId="0F4BC100" w14:textId="77777777" w:rsidR="001C19F3" w:rsidRPr="006F119F" w:rsidRDefault="001C19F3" w:rsidP="00521305">
            <w:pPr>
              <w:spacing w:before="40" w:after="40"/>
              <w:ind w:left="40" w:right="40"/>
              <w:rPr>
                <w:sz w:val="18"/>
                <w:szCs w:val="18"/>
              </w:rPr>
            </w:pPr>
            <w:r w:rsidRPr="006F119F">
              <w:rPr>
                <w:sz w:val="18"/>
                <w:szCs w:val="18"/>
              </w:rPr>
              <w:t>Diabetes Incentive</w:t>
            </w:r>
          </w:p>
        </w:tc>
        <w:tc>
          <w:tcPr>
            <w:tcW w:w="0" w:type="auto"/>
            <w:tcMar>
              <w:top w:w="0" w:type="dxa"/>
              <w:left w:w="0" w:type="dxa"/>
              <w:bottom w:w="0" w:type="dxa"/>
              <w:right w:w="0" w:type="dxa"/>
            </w:tcMar>
          </w:tcPr>
          <w:p w14:paraId="6837CF5A" w14:textId="77777777" w:rsidR="001C19F3" w:rsidRPr="006F119F" w:rsidRDefault="001C19F3" w:rsidP="00521305">
            <w:pPr>
              <w:spacing w:before="40" w:after="40"/>
              <w:ind w:left="40" w:right="40"/>
              <w:jc w:val="right"/>
              <w:rPr>
                <w:sz w:val="18"/>
                <w:szCs w:val="18"/>
              </w:rPr>
            </w:pPr>
            <w:r w:rsidRPr="006F119F">
              <w:rPr>
                <w:sz w:val="18"/>
                <w:szCs w:val="18"/>
              </w:rPr>
              <w:t>114 (95.0%)</w:t>
            </w:r>
          </w:p>
        </w:tc>
      </w:tr>
      <w:tr w:rsidR="001C19F3" w:rsidRPr="004A4A35" w14:paraId="0399F9C5" w14:textId="77777777" w:rsidTr="00521305">
        <w:trPr>
          <w:trHeight w:val="20"/>
          <w:jc w:val="center"/>
        </w:trPr>
        <w:tc>
          <w:tcPr>
            <w:tcW w:w="4559" w:type="dxa"/>
            <w:tcMar>
              <w:top w:w="0" w:type="dxa"/>
              <w:left w:w="0" w:type="dxa"/>
              <w:bottom w:w="0" w:type="dxa"/>
              <w:right w:w="0" w:type="dxa"/>
            </w:tcMar>
          </w:tcPr>
          <w:p w14:paraId="55771A4D" w14:textId="77777777" w:rsidR="001C19F3" w:rsidRPr="006F119F" w:rsidRDefault="001C19F3" w:rsidP="00521305">
            <w:pPr>
              <w:spacing w:before="40" w:after="40"/>
              <w:ind w:left="40" w:right="40"/>
              <w:rPr>
                <w:sz w:val="18"/>
                <w:szCs w:val="18"/>
              </w:rPr>
            </w:pPr>
            <w:r w:rsidRPr="006F119F">
              <w:rPr>
                <w:sz w:val="18"/>
                <w:szCs w:val="18"/>
              </w:rPr>
              <w:t>eHealth Incentive</w:t>
            </w:r>
          </w:p>
        </w:tc>
        <w:tc>
          <w:tcPr>
            <w:tcW w:w="0" w:type="auto"/>
            <w:tcMar>
              <w:top w:w="0" w:type="dxa"/>
              <w:left w:w="0" w:type="dxa"/>
              <w:bottom w:w="0" w:type="dxa"/>
              <w:right w:w="0" w:type="dxa"/>
            </w:tcMar>
          </w:tcPr>
          <w:p w14:paraId="5538EAF1" w14:textId="77777777" w:rsidR="001C19F3" w:rsidRPr="006F119F" w:rsidRDefault="001C19F3" w:rsidP="00521305">
            <w:pPr>
              <w:spacing w:before="40" w:after="40"/>
              <w:ind w:left="40" w:right="40"/>
              <w:jc w:val="right"/>
              <w:rPr>
                <w:sz w:val="18"/>
                <w:szCs w:val="18"/>
              </w:rPr>
            </w:pPr>
            <w:r w:rsidRPr="006F119F">
              <w:rPr>
                <w:sz w:val="18"/>
                <w:szCs w:val="18"/>
              </w:rPr>
              <w:t>110 (91.7%)</w:t>
            </w:r>
          </w:p>
        </w:tc>
      </w:tr>
      <w:tr w:rsidR="001C19F3" w:rsidRPr="004A4A35" w14:paraId="00EECB92" w14:textId="77777777" w:rsidTr="00521305">
        <w:trPr>
          <w:trHeight w:val="20"/>
          <w:jc w:val="center"/>
        </w:trPr>
        <w:tc>
          <w:tcPr>
            <w:tcW w:w="4559" w:type="dxa"/>
            <w:tcMar>
              <w:top w:w="0" w:type="dxa"/>
              <w:left w:w="0" w:type="dxa"/>
              <w:bottom w:w="0" w:type="dxa"/>
              <w:right w:w="0" w:type="dxa"/>
            </w:tcMar>
          </w:tcPr>
          <w:p w14:paraId="450FA25A" w14:textId="77777777" w:rsidR="001C19F3" w:rsidRPr="006F119F" w:rsidRDefault="001C19F3" w:rsidP="00521305">
            <w:pPr>
              <w:spacing w:before="40" w:after="40"/>
              <w:ind w:left="40" w:right="40"/>
              <w:rPr>
                <w:sz w:val="18"/>
                <w:szCs w:val="18"/>
              </w:rPr>
            </w:pPr>
            <w:r w:rsidRPr="006F119F">
              <w:rPr>
                <w:sz w:val="18"/>
                <w:szCs w:val="18"/>
              </w:rPr>
              <w:t>Asthma incentive</w:t>
            </w:r>
          </w:p>
        </w:tc>
        <w:tc>
          <w:tcPr>
            <w:tcW w:w="0" w:type="auto"/>
            <w:tcMar>
              <w:top w:w="0" w:type="dxa"/>
              <w:left w:w="0" w:type="dxa"/>
              <w:bottom w:w="0" w:type="dxa"/>
              <w:right w:w="0" w:type="dxa"/>
            </w:tcMar>
          </w:tcPr>
          <w:p w14:paraId="03D441D9" w14:textId="77777777" w:rsidR="001C19F3" w:rsidRPr="006F119F" w:rsidRDefault="001C19F3" w:rsidP="00521305">
            <w:pPr>
              <w:spacing w:before="40" w:after="40"/>
              <w:ind w:left="40" w:right="40"/>
              <w:jc w:val="right"/>
              <w:rPr>
                <w:sz w:val="18"/>
                <w:szCs w:val="18"/>
              </w:rPr>
            </w:pPr>
            <w:r w:rsidRPr="006F119F">
              <w:rPr>
                <w:sz w:val="18"/>
                <w:szCs w:val="18"/>
              </w:rPr>
              <w:t>108 (90.0%)</w:t>
            </w:r>
          </w:p>
        </w:tc>
      </w:tr>
      <w:tr w:rsidR="001C19F3" w:rsidRPr="004A4A35" w14:paraId="48D96F3F" w14:textId="77777777" w:rsidTr="00521305">
        <w:trPr>
          <w:trHeight w:val="20"/>
          <w:jc w:val="center"/>
        </w:trPr>
        <w:tc>
          <w:tcPr>
            <w:tcW w:w="4559" w:type="dxa"/>
            <w:tcMar>
              <w:top w:w="0" w:type="dxa"/>
              <w:left w:w="0" w:type="dxa"/>
              <w:bottom w:w="0" w:type="dxa"/>
              <w:right w:w="0" w:type="dxa"/>
            </w:tcMar>
          </w:tcPr>
          <w:p w14:paraId="64045A2E" w14:textId="77777777" w:rsidR="001C19F3" w:rsidRPr="006F119F" w:rsidRDefault="001C19F3" w:rsidP="00521305">
            <w:pPr>
              <w:spacing w:before="40" w:after="40"/>
              <w:ind w:left="40" w:right="40"/>
              <w:rPr>
                <w:sz w:val="18"/>
                <w:szCs w:val="18"/>
              </w:rPr>
            </w:pPr>
            <w:r w:rsidRPr="006F119F">
              <w:rPr>
                <w:sz w:val="18"/>
                <w:szCs w:val="18"/>
              </w:rPr>
              <w:t>Cervical Screening Incentive</w:t>
            </w:r>
          </w:p>
        </w:tc>
        <w:tc>
          <w:tcPr>
            <w:tcW w:w="0" w:type="auto"/>
            <w:tcMar>
              <w:top w:w="0" w:type="dxa"/>
              <w:left w:w="0" w:type="dxa"/>
              <w:bottom w:w="0" w:type="dxa"/>
              <w:right w:w="0" w:type="dxa"/>
            </w:tcMar>
          </w:tcPr>
          <w:p w14:paraId="1604951E" w14:textId="77777777" w:rsidR="001C19F3" w:rsidRPr="006F119F" w:rsidRDefault="001C19F3" w:rsidP="00521305">
            <w:pPr>
              <w:spacing w:before="40" w:after="40"/>
              <w:ind w:left="40" w:right="40"/>
              <w:jc w:val="right"/>
              <w:rPr>
                <w:sz w:val="18"/>
                <w:szCs w:val="18"/>
              </w:rPr>
            </w:pPr>
            <w:r w:rsidRPr="006F119F">
              <w:rPr>
                <w:sz w:val="18"/>
                <w:szCs w:val="18"/>
              </w:rPr>
              <w:t>105 (87.5%)</w:t>
            </w:r>
          </w:p>
        </w:tc>
      </w:tr>
      <w:tr w:rsidR="001C19F3" w:rsidRPr="004A4A35" w14:paraId="0E9367E8" w14:textId="77777777" w:rsidTr="00521305">
        <w:trPr>
          <w:trHeight w:val="20"/>
          <w:jc w:val="center"/>
        </w:trPr>
        <w:tc>
          <w:tcPr>
            <w:tcW w:w="4559" w:type="dxa"/>
            <w:tcMar>
              <w:top w:w="0" w:type="dxa"/>
              <w:left w:w="0" w:type="dxa"/>
              <w:bottom w:w="0" w:type="dxa"/>
              <w:right w:w="0" w:type="dxa"/>
            </w:tcMar>
          </w:tcPr>
          <w:p w14:paraId="588DAB70" w14:textId="77777777" w:rsidR="001C19F3" w:rsidRPr="006F119F" w:rsidRDefault="001C19F3" w:rsidP="00521305">
            <w:pPr>
              <w:spacing w:before="40" w:after="40"/>
              <w:ind w:left="40" w:right="40"/>
              <w:rPr>
                <w:sz w:val="18"/>
                <w:szCs w:val="18"/>
              </w:rPr>
            </w:pPr>
            <w:r w:rsidRPr="006F119F">
              <w:rPr>
                <w:sz w:val="18"/>
                <w:szCs w:val="18"/>
              </w:rPr>
              <w:t>After Hours Initiative</w:t>
            </w:r>
          </w:p>
        </w:tc>
        <w:tc>
          <w:tcPr>
            <w:tcW w:w="0" w:type="auto"/>
            <w:tcMar>
              <w:top w:w="0" w:type="dxa"/>
              <w:left w:w="0" w:type="dxa"/>
              <w:bottom w:w="0" w:type="dxa"/>
              <w:right w:w="0" w:type="dxa"/>
            </w:tcMar>
          </w:tcPr>
          <w:p w14:paraId="4DF6C293" w14:textId="77777777" w:rsidR="001C19F3" w:rsidRPr="006F119F" w:rsidRDefault="001C19F3" w:rsidP="00521305">
            <w:pPr>
              <w:spacing w:before="40" w:after="40"/>
              <w:ind w:left="40" w:right="40"/>
              <w:jc w:val="right"/>
              <w:rPr>
                <w:sz w:val="18"/>
                <w:szCs w:val="18"/>
              </w:rPr>
            </w:pPr>
            <w:r w:rsidRPr="006F119F">
              <w:rPr>
                <w:sz w:val="18"/>
                <w:szCs w:val="18"/>
              </w:rPr>
              <w:t>86 (71.7%)</w:t>
            </w:r>
          </w:p>
        </w:tc>
      </w:tr>
      <w:tr w:rsidR="001C19F3" w:rsidRPr="004A4A35" w14:paraId="07D16615" w14:textId="77777777" w:rsidTr="00521305">
        <w:trPr>
          <w:trHeight w:val="20"/>
          <w:jc w:val="center"/>
        </w:trPr>
        <w:tc>
          <w:tcPr>
            <w:tcW w:w="4559" w:type="dxa"/>
            <w:tcMar>
              <w:top w:w="0" w:type="dxa"/>
              <w:left w:w="0" w:type="dxa"/>
              <w:bottom w:w="0" w:type="dxa"/>
              <w:right w:w="0" w:type="dxa"/>
            </w:tcMar>
          </w:tcPr>
          <w:p w14:paraId="4805F557" w14:textId="77777777" w:rsidR="001C19F3" w:rsidRPr="006F119F" w:rsidRDefault="001C19F3" w:rsidP="00521305">
            <w:pPr>
              <w:spacing w:before="40" w:after="40"/>
              <w:ind w:left="40" w:right="40"/>
              <w:rPr>
                <w:sz w:val="18"/>
                <w:szCs w:val="18"/>
              </w:rPr>
            </w:pPr>
            <w:r w:rsidRPr="006F119F">
              <w:rPr>
                <w:sz w:val="18"/>
                <w:szCs w:val="18"/>
              </w:rPr>
              <w:t>Indigenous Health Incentive</w:t>
            </w:r>
          </w:p>
        </w:tc>
        <w:tc>
          <w:tcPr>
            <w:tcW w:w="0" w:type="auto"/>
            <w:tcMar>
              <w:top w:w="0" w:type="dxa"/>
              <w:left w:w="0" w:type="dxa"/>
              <w:bottom w:w="0" w:type="dxa"/>
              <w:right w:w="0" w:type="dxa"/>
            </w:tcMar>
          </w:tcPr>
          <w:p w14:paraId="27A1DE14" w14:textId="77777777" w:rsidR="001C19F3" w:rsidRPr="006F119F" w:rsidRDefault="001C19F3" w:rsidP="00521305">
            <w:pPr>
              <w:spacing w:before="40" w:after="40"/>
              <w:ind w:left="40" w:right="40"/>
              <w:jc w:val="right"/>
              <w:rPr>
                <w:sz w:val="18"/>
                <w:szCs w:val="18"/>
              </w:rPr>
            </w:pPr>
            <w:r w:rsidRPr="006F119F">
              <w:rPr>
                <w:sz w:val="18"/>
                <w:szCs w:val="18"/>
              </w:rPr>
              <w:t>83 (69.2%)</w:t>
            </w:r>
          </w:p>
        </w:tc>
      </w:tr>
      <w:tr w:rsidR="001C19F3" w:rsidRPr="004A4A35" w14:paraId="62422B67" w14:textId="77777777" w:rsidTr="00521305">
        <w:trPr>
          <w:trHeight w:val="20"/>
          <w:jc w:val="center"/>
        </w:trPr>
        <w:tc>
          <w:tcPr>
            <w:tcW w:w="4559" w:type="dxa"/>
            <w:tcMar>
              <w:top w:w="0" w:type="dxa"/>
              <w:left w:w="0" w:type="dxa"/>
              <w:bottom w:w="0" w:type="dxa"/>
              <w:right w:w="0" w:type="dxa"/>
            </w:tcMar>
          </w:tcPr>
          <w:p w14:paraId="0745EBAE" w14:textId="77777777" w:rsidR="001C19F3" w:rsidRPr="006F119F" w:rsidRDefault="001C19F3" w:rsidP="00521305">
            <w:pPr>
              <w:spacing w:before="40" w:after="40"/>
              <w:ind w:left="40" w:right="40"/>
              <w:rPr>
                <w:sz w:val="18"/>
                <w:szCs w:val="18"/>
              </w:rPr>
            </w:pPr>
            <w:r w:rsidRPr="006F119F">
              <w:rPr>
                <w:sz w:val="18"/>
                <w:szCs w:val="18"/>
              </w:rPr>
              <w:t>Teaching Payment</w:t>
            </w:r>
          </w:p>
        </w:tc>
        <w:tc>
          <w:tcPr>
            <w:tcW w:w="0" w:type="auto"/>
            <w:tcMar>
              <w:top w:w="0" w:type="dxa"/>
              <w:left w:w="0" w:type="dxa"/>
              <w:bottom w:w="0" w:type="dxa"/>
              <w:right w:w="0" w:type="dxa"/>
            </w:tcMar>
          </w:tcPr>
          <w:p w14:paraId="206F2098" w14:textId="77777777" w:rsidR="001C19F3" w:rsidRPr="006F119F" w:rsidRDefault="001C19F3" w:rsidP="00521305">
            <w:pPr>
              <w:spacing w:before="40" w:after="40"/>
              <w:ind w:left="40" w:right="40"/>
              <w:jc w:val="right"/>
              <w:rPr>
                <w:sz w:val="18"/>
                <w:szCs w:val="18"/>
              </w:rPr>
            </w:pPr>
            <w:r w:rsidRPr="006F119F">
              <w:rPr>
                <w:sz w:val="18"/>
                <w:szCs w:val="18"/>
              </w:rPr>
              <w:t>58 (48.3%)</w:t>
            </w:r>
          </w:p>
        </w:tc>
      </w:tr>
      <w:tr w:rsidR="001C19F3" w:rsidRPr="004A4A35" w14:paraId="1E82AE4C" w14:textId="77777777" w:rsidTr="00521305">
        <w:trPr>
          <w:trHeight w:val="20"/>
          <w:jc w:val="center"/>
        </w:trPr>
        <w:tc>
          <w:tcPr>
            <w:tcW w:w="4559" w:type="dxa"/>
            <w:tcMar>
              <w:top w:w="0" w:type="dxa"/>
              <w:left w:w="0" w:type="dxa"/>
              <w:bottom w:w="0" w:type="dxa"/>
              <w:right w:w="0" w:type="dxa"/>
            </w:tcMar>
          </w:tcPr>
          <w:p w14:paraId="1F87F380" w14:textId="77777777" w:rsidR="001C19F3" w:rsidRPr="006F119F" w:rsidRDefault="001C19F3" w:rsidP="00521305">
            <w:pPr>
              <w:spacing w:before="40" w:after="40"/>
              <w:ind w:left="40" w:right="40"/>
              <w:rPr>
                <w:sz w:val="18"/>
                <w:szCs w:val="18"/>
              </w:rPr>
            </w:pPr>
            <w:r w:rsidRPr="006F119F">
              <w:rPr>
                <w:sz w:val="18"/>
                <w:szCs w:val="18"/>
              </w:rPr>
              <w:t>Quality Prescribing Incentive</w:t>
            </w:r>
          </w:p>
        </w:tc>
        <w:tc>
          <w:tcPr>
            <w:tcW w:w="0" w:type="auto"/>
            <w:tcMar>
              <w:top w:w="0" w:type="dxa"/>
              <w:left w:w="0" w:type="dxa"/>
              <w:bottom w:w="0" w:type="dxa"/>
              <w:right w:w="0" w:type="dxa"/>
            </w:tcMar>
          </w:tcPr>
          <w:p w14:paraId="3D952A40" w14:textId="77777777" w:rsidR="001C19F3" w:rsidRPr="006F119F" w:rsidRDefault="001C19F3" w:rsidP="00521305">
            <w:pPr>
              <w:spacing w:before="40" w:after="40"/>
              <w:ind w:left="40" w:right="40"/>
              <w:jc w:val="right"/>
              <w:rPr>
                <w:sz w:val="18"/>
                <w:szCs w:val="18"/>
              </w:rPr>
            </w:pPr>
            <w:r w:rsidRPr="006F119F">
              <w:rPr>
                <w:sz w:val="18"/>
                <w:szCs w:val="18"/>
              </w:rPr>
              <w:t>52 (43.3%)</w:t>
            </w:r>
          </w:p>
        </w:tc>
      </w:tr>
      <w:tr w:rsidR="001C19F3" w:rsidRPr="004A4A35" w14:paraId="6785A612" w14:textId="77777777" w:rsidTr="00521305">
        <w:trPr>
          <w:trHeight w:val="20"/>
          <w:jc w:val="center"/>
        </w:trPr>
        <w:tc>
          <w:tcPr>
            <w:tcW w:w="4559" w:type="dxa"/>
            <w:tcMar>
              <w:top w:w="0" w:type="dxa"/>
              <w:left w:w="0" w:type="dxa"/>
              <w:bottom w:w="0" w:type="dxa"/>
              <w:right w:w="0" w:type="dxa"/>
            </w:tcMar>
          </w:tcPr>
          <w:p w14:paraId="1665534F" w14:textId="77777777" w:rsidR="001C19F3" w:rsidRPr="006F119F" w:rsidRDefault="001C19F3" w:rsidP="00521305">
            <w:pPr>
              <w:spacing w:before="40" w:after="40"/>
              <w:ind w:left="40" w:right="40"/>
              <w:rPr>
                <w:sz w:val="18"/>
                <w:szCs w:val="18"/>
              </w:rPr>
            </w:pPr>
            <w:r w:rsidRPr="006F119F">
              <w:rPr>
                <w:sz w:val="18"/>
                <w:szCs w:val="18"/>
              </w:rPr>
              <w:t>General Practitioner Aged Care Access Incentive</w:t>
            </w:r>
          </w:p>
        </w:tc>
        <w:tc>
          <w:tcPr>
            <w:tcW w:w="0" w:type="auto"/>
            <w:tcMar>
              <w:top w:w="0" w:type="dxa"/>
              <w:left w:w="0" w:type="dxa"/>
              <w:bottom w:w="0" w:type="dxa"/>
              <w:right w:w="0" w:type="dxa"/>
            </w:tcMar>
          </w:tcPr>
          <w:p w14:paraId="4839ABEE" w14:textId="77777777" w:rsidR="001C19F3" w:rsidRPr="006F119F" w:rsidRDefault="001C19F3" w:rsidP="00521305">
            <w:pPr>
              <w:spacing w:before="40" w:after="40"/>
              <w:ind w:left="40" w:right="40"/>
              <w:jc w:val="right"/>
              <w:rPr>
                <w:sz w:val="18"/>
                <w:szCs w:val="18"/>
              </w:rPr>
            </w:pPr>
            <w:r w:rsidRPr="006F119F">
              <w:rPr>
                <w:sz w:val="18"/>
                <w:szCs w:val="18"/>
              </w:rPr>
              <w:t>49 (40.8%)</w:t>
            </w:r>
          </w:p>
        </w:tc>
      </w:tr>
      <w:tr w:rsidR="001C19F3" w:rsidRPr="004A4A35" w14:paraId="71DC2B9B" w14:textId="77777777" w:rsidTr="00521305">
        <w:trPr>
          <w:trHeight w:val="20"/>
          <w:jc w:val="center"/>
        </w:trPr>
        <w:tc>
          <w:tcPr>
            <w:tcW w:w="4559" w:type="dxa"/>
            <w:tcMar>
              <w:top w:w="0" w:type="dxa"/>
              <w:left w:w="0" w:type="dxa"/>
              <w:bottom w:w="0" w:type="dxa"/>
              <w:right w:w="0" w:type="dxa"/>
            </w:tcMar>
          </w:tcPr>
          <w:p w14:paraId="0D40EDDD" w14:textId="77777777" w:rsidR="001C19F3" w:rsidRPr="006F119F" w:rsidRDefault="001C19F3" w:rsidP="00521305">
            <w:pPr>
              <w:spacing w:before="40" w:after="40"/>
              <w:ind w:left="40" w:right="40"/>
              <w:rPr>
                <w:sz w:val="18"/>
                <w:szCs w:val="18"/>
              </w:rPr>
            </w:pPr>
            <w:r w:rsidRPr="006F119F">
              <w:rPr>
                <w:sz w:val="18"/>
                <w:szCs w:val="18"/>
              </w:rPr>
              <w:t>Rural Loading Incentive</w:t>
            </w:r>
          </w:p>
        </w:tc>
        <w:tc>
          <w:tcPr>
            <w:tcW w:w="0" w:type="auto"/>
            <w:tcMar>
              <w:top w:w="0" w:type="dxa"/>
              <w:left w:w="0" w:type="dxa"/>
              <w:bottom w:w="0" w:type="dxa"/>
              <w:right w:w="0" w:type="dxa"/>
            </w:tcMar>
          </w:tcPr>
          <w:p w14:paraId="0EF1EB4A" w14:textId="77777777" w:rsidR="001C19F3" w:rsidRPr="006F119F" w:rsidRDefault="001C19F3" w:rsidP="00521305">
            <w:pPr>
              <w:spacing w:before="40" w:after="40"/>
              <w:ind w:left="40" w:right="40"/>
              <w:jc w:val="right"/>
              <w:rPr>
                <w:sz w:val="18"/>
                <w:szCs w:val="18"/>
              </w:rPr>
            </w:pPr>
            <w:r w:rsidRPr="006F119F">
              <w:rPr>
                <w:sz w:val="18"/>
                <w:szCs w:val="18"/>
              </w:rPr>
              <w:t>23 (19.2%)</w:t>
            </w:r>
          </w:p>
        </w:tc>
      </w:tr>
      <w:tr w:rsidR="001C19F3" w:rsidRPr="004A4A35" w14:paraId="598F507B" w14:textId="77777777" w:rsidTr="00521305">
        <w:trPr>
          <w:trHeight w:val="20"/>
          <w:jc w:val="center"/>
        </w:trPr>
        <w:tc>
          <w:tcPr>
            <w:tcW w:w="4559" w:type="dxa"/>
            <w:tcMar>
              <w:top w:w="0" w:type="dxa"/>
              <w:left w:w="0" w:type="dxa"/>
              <w:bottom w:w="0" w:type="dxa"/>
              <w:right w:w="0" w:type="dxa"/>
            </w:tcMar>
          </w:tcPr>
          <w:p w14:paraId="2681BC37" w14:textId="77777777" w:rsidR="001C19F3" w:rsidRPr="006F119F" w:rsidRDefault="001C19F3" w:rsidP="00521305">
            <w:pPr>
              <w:spacing w:before="40" w:after="40"/>
              <w:ind w:left="40" w:right="40"/>
              <w:rPr>
                <w:sz w:val="18"/>
                <w:szCs w:val="18"/>
              </w:rPr>
            </w:pPr>
            <w:r w:rsidRPr="006F119F">
              <w:rPr>
                <w:sz w:val="18"/>
                <w:szCs w:val="18"/>
              </w:rPr>
              <w:t>Procedural General Practitioner Payment</w:t>
            </w:r>
          </w:p>
        </w:tc>
        <w:tc>
          <w:tcPr>
            <w:tcW w:w="0" w:type="auto"/>
            <w:tcMar>
              <w:top w:w="0" w:type="dxa"/>
              <w:left w:w="0" w:type="dxa"/>
              <w:bottom w:w="0" w:type="dxa"/>
              <w:right w:w="0" w:type="dxa"/>
            </w:tcMar>
          </w:tcPr>
          <w:p w14:paraId="5A1E5AD4" w14:textId="77777777" w:rsidR="001C19F3" w:rsidRPr="006F119F" w:rsidRDefault="001C19F3" w:rsidP="00521305">
            <w:pPr>
              <w:spacing w:before="40" w:after="40"/>
              <w:ind w:left="40" w:right="40"/>
              <w:jc w:val="right"/>
              <w:rPr>
                <w:sz w:val="18"/>
                <w:szCs w:val="18"/>
              </w:rPr>
            </w:pPr>
            <w:r w:rsidRPr="006F119F">
              <w:rPr>
                <w:sz w:val="18"/>
                <w:szCs w:val="18"/>
              </w:rPr>
              <w:t>16 (13.3%)</w:t>
            </w:r>
          </w:p>
        </w:tc>
      </w:tr>
    </w:tbl>
    <w:p w14:paraId="6A0F53E0" w14:textId="77777777" w:rsidR="001C19F3" w:rsidRPr="00780E3C" w:rsidRDefault="001C19F3" w:rsidP="001C19F3">
      <w:pPr>
        <w:pStyle w:val="Chartortablefootnote"/>
      </w:pPr>
      <w:r w:rsidRPr="00780E3C">
        <w:t xml:space="preserve">Source: </w:t>
      </w:r>
      <w:r w:rsidRPr="00CF46D0">
        <w:t xml:space="preserve">Practice survey </w:t>
      </w:r>
      <w:r>
        <w:t>R1, Mar-Jun 2018</w:t>
      </w:r>
      <w:r w:rsidRPr="00780E3C">
        <w:t>.</w:t>
      </w:r>
    </w:p>
    <w:p w14:paraId="6911A65E" w14:textId="77777777" w:rsidR="001C19F3" w:rsidRDefault="001C19F3" w:rsidP="001C19F3">
      <w:pPr>
        <w:pStyle w:val="Heading3"/>
      </w:pPr>
      <w:r>
        <w:t>Clinical process measures</w:t>
      </w:r>
    </w:p>
    <w:p w14:paraId="652856DD" w14:textId="77777777" w:rsidR="001C19F3" w:rsidRPr="00D96897" w:rsidRDefault="001C19F3" w:rsidP="001C19F3">
      <w:r w:rsidRPr="00D96897">
        <w:t>Practice data extracts are being provided for the evaluation from several sources: Pen CS, Population Level Analysis and Reporting (POLAR), National Prescribing Service (NPS) MedicineInsight and separate extracts from two corporate groups. For the baseline, (October 2017 to June 2019), practice extracts were received from 10</w:t>
      </w:r>
      <w:r>
        <w:t>8</w:t>
      </w:r>
      <w:r w:rsidRPr="00D96897">
        <w:t xml:space="preserve"> HCH practices (including 12 </w:t>
      </w:r>
      <w:r>
        <w:t>ACCHS</w:t>
      </w:r>
      <w:r w:rsidRPr="00D96897">
        <w:t xml:space="preserve">) </w:t>
      </w:r>
      <w:r>
        <w:t xml:space="preserve">as at 31 July 2019 </w:t>
      </w:r>
      <w:r w:rsidRPr="00D96897">
        <w:t>and 417 non-HCH (comparator) practices</w:t>
      </w:r>
      <w:r>
        <w:t xml:space="preserve"> as at 31 August 2019</w:t>
      </w:r>
      <w:r w:rsidRPr="00D96897">
        <w:t>.</w:t>
      </w:r>
    </w:p>
    <w:p w14:paraId="579939A5" w14:textId="77777777" w:rsidR="001C19F3" w:rsidRPr="00D96897" w:rsidRDefault="001C19F3" w:rsidP="001C19F3">
      <w:r w:rsidRPr="00D96897">
        <w:lastRenderedPageBreak/>
        <w:t>These extracts will be used to assess changes in measures set out for the evaluation. The measures include clinical process indicators reflecting those included in the National Key Performance Indicators (nKPIs) being</w:t>
      </w:r>
      <w:r>
        <w:t xml:space="preserve"> </w:t>
      </w:r>
      <w:r w:rsidRPr="00D96897">
        <w:t xml:space="preserve">reported regularly by </w:t>
      </w:r>
      <w:r>
        <w:t>ACCHS</w:t>
      </w:r>
      <w:r w:rsidRPr="00D96897">
        <w:t xml:space="preserve"> and have been adopted for some of the PIP Quality Improvement (</w:t>
      </w:r>
      <w:r>
        <w:t xml:space="preserve">PIP </w:t>
      </w:r>
      <w:r w:rsidRPr="00D96897">
        <w:t>QI) indicators.</w:t>
      </w:r>
      <w:r>
        <w:t xml:space="preserve"> </w:t>
      </w:r>
      <w:r w:rsidRPr="00D96897">
        <w:t>To date, we have only undertaken preliminary analysis of these indicators. Our focus has been on understanding the variations between data sources, the completeness of data and ensuring HCH patients have been properly flagged in the data.</w:t>
      </w:r>
      <w:r>
        <w:t xml:space="preserve"> </w:t>
      </w:r>
      <w:r w:rsidRPr="00D96897">
        <w:fldChar w:fldCharType="begin"/>
      </w:r>
      <w:r w:rsidRPr="00D96897">
        <w:instrText xml:space="preserve"> REF _Ref20739108 \h  \* MERGEFORMAT </w:instrText>
      </w:r>
      <w:r w:rsidRPr="00D96897">
        <w:fldChar w:fldCharType="separate"/>
      </w:r>
      <w:r w:rsidRPr="00822044">
        <w:rPr>
          <w:szCs w:val="20"/>
        </w:rPr>
        <w:t xml:space="preserve">Table </w:t>
      </w:r>
      <w:r w:rsidRPr="00822044">
        <w:rPr>
          <w:noProof/>
          <w:szCs w:val="20"/>
        </w:rPr>
        <w:t>24</w:t>
      </w:r>
      <w:r w:rsidRPr="00D96897">
        <w:fldChar w:fldCharType="end"/>
      </w:r>
      <w:r w:rsidRPr="00D96897">
        <w:t xml:space="preserve"> and </w:t>
      </w:r>
      <w:r w:rsidRPr="00D96897">
        <w:fldChar w:fldCharType="begin"/>
      </w:r>
      <w:r w:rsidRPr="00D96897">
        <w:instrText xml:space="preserve"> REF _Ref20745434 \h  \* MERGEFORMAT </w:instrText>
      </w:r>
      <w:r w:rsidRPr="00D96897">
        <w:fldChar w:fldCharType="separate"/>
      </w:r>
      <w:r w:rsidRPr="00822044">
        <w:rPr>
          <w:szCs w:val="20"/>
        </w:rPr>
        <w:t xml:space="preserve">Table </w:t>
      </w:r>
      <w:r w:rsidRPr="00822044">
        <w:rPr>
          <w:noProof/>
          <w:szCs w:val="20"/>
        </w:rPr>
        <w:t>27</w:t>
      </w:r>
      <w:r w:rsidRPr="00D96897">
        <w:fldChar w:fldCharType="end"/>
      </w:r>
      <w:r w:rsidRPr="00D96897">
        <w:t xml:space="preserve"> later in this Volume describe some of these findings.</w:t>
      </w:r>
      <w:r>
        <w:t xml:space="preserve"> </w:t>
      </w:r>
    </w:p>
    <w:p w14:paraId="2C455538" w14:textId="77777777" w:rsidR="001C19F3" w:rsidRDefault="001C19F3" w:rsidP="001C19F3">
      <w:r w:rsidRPr="00EF6540">
        <w:t>The initial analysis of clinical process indicators found that the proportions of HCH patients who had selected clinical assessments and measures recorded</w:t>
      </w:r>
      <w:r>
        <w:t xml:space="preserve"> in the last year</w:t>
      </w:r>
      <w:r w:rsidRPr="00EF6540">
        <w:t xml:space="preserve"> were: 90.</w:t>
      </w:r>
      <w:r>
        <w:t>6</w:t>
      </w:r>
      <w:r w:rsidRPr="00EF6540">
        <w:t>% for blood pressure</w:t>
      </w:r>
      <w:r>
        <w:t>;</w:t>
      </w:r>
      <w:r w:rsidRPr="00EF6540">
        <w:t xml:space="preserve"> </w:t>
      </w:r>
      <w:r>
        <w:t>85.3</w:t>
      </w:r>
      <w:r w:rsidRPr="00EF6540">
        <w:t>% for pulse</w:t>
      </w:r>
      <w:r>
        <w:t>;</w:t>
      </w:r>
      <w:r w:rsidRPr="00EF6540">
        <w:t xml:space="preserve"> 83.</w:t>
      </w:r>
      <w:r>
        <w:t>5</w:t>
      </w:r>
      <w:r w:rsidRPr="00EF6540">
        <w:t>% for kidney functioning</w:t>
      </w:r>
      <w:r>
        <w:t>;</w:t>
      </w:r>
      <w:r w:rsidRPr="00EF6540">
        <w:t xml:space="preserve"> 8</w:t>
      </w:r>
      <w:r>
        <w:t>1.</w:t>
      </w:r>
      <w:r w:rsidRPr="00EF6540">
        <w:t>0% for body weight</w:t>
      </w:r>
      <w:r>
        <w:t>;</w:t>
      </w:r>
      <w:r w:rsidRPr="00EF6540">
        <w:t xml:space="preserve"> 76.</w:t>
      </w:r>
      <w:r>
        <w:t>8</w:t>
      </w:r>
      <w:r w:rsidRPr="00EF6540">
        <w:t>% for cholesterol levels</w:t>
      </w:r>
      <w:r>
        <w:t>;</w:t>
      </w:r>
      <w:r w:rsidRPr="00EF6540">
        <w:t xml:space="preserve"> 31.</w:t>
      </w:r>
      <w:r>
        <w:t>9</w:t>
      </w:r>
      <w:r w:rsidRPr="00EF6540">
        <w:t>% for waist circumference</w:t>
      </w:r>
      <w:r>
        <w:t>;</w:t>
      </w:r>
      <w:r w:rsidRPr="00EF6540">
        <w:t xml:space="preserve"> and 6.5% for physical activity. The recording of smoking status and amount of alcohol consumption in the last year was 68.</w:t>
      </w:r>
      <w:r>
        <w:t>8</w:t>
      </w:r>
      <w:r w:rsidRPr="00EF6540">
        <w:t>% and 60.</w:t>
      </w:r>
      <w:r>
        <w:t>7</w:t>
      </w:r>
      <w:r w:rsidRPr="00EF6540">
        <w:t>% of patients respectively. In HCH patients with diabetes, 92.</w:t>
      </w:r>
      <w:r>
        <w:t>2</w:t>
      </w:r>
      <w:r w:rsidRPr="00EF6540">
        <w:t xml:space="preserve">% had a HbA1c test recorded, and in patients with asthma or COPD, </w:t>
      </w:r>
      <w:r>
        <w:t>5.7</w:t>
      </w:r>
      <w:r w:rsidRPr="00EF6540">
        <w:t>% had a spirometry test recorded in the last year.</w:t>
      </w:r>
      <w:r>
        <w:t xml:space="preserve"> T</w:t>
      </w:r>
      <w:r w:rsidRPr="00EF6540">
        <w:t>rends in these and other measures will be analysed for HCH patients</w:t>
      </w:r>
      <w:r>
        <w:t xml:space="preserve"> in future reports</w:t>
      </w:r>
      <w:r w:rsidRPr="00EF6540">
        <w:t>.</w:t>
      </w:r>
    </w:p>
    <w:p w14:paraId="7AE31CDB" w14:textId="77777777" w:rsidR="001C19F3" w:rsidRPr="004A6182" w:rsidRDefault="001C19F3" w:rsidP="001C19F3"/>
    <w:p w14:paraId="75D703C1" w14:textId="77777777" w:rsidR="001C19F3" w:rsidRDefault="001C19F3" w:rsidP="001C19F3"/>
    <w:p w14:paraId="54B7E93D" w14:textId="77777777" w:rsidR="001C19F3" w:rsidRDefault="001C19F3" w:rsidP="001C19F3"/>
    <w:p w14:paraId="2E7BB92E" w14:textId="77777777" w:rsidR="001C19F3" w:rsidRDefault="001C19F3" w:rsidP="001C19F3">
      <w:pPr>
        <w:sectPr w:rsidR="001C19F3" w:rsidSect="00640EFA">
          <w:headerReference w:type="first" r:id="rId50"/>
          <w:pgSz w:w="11906" w:h="16838"/>
          <w:pgMar w:top="1440" w:right="1440" w:bottom="1440" w:left="1440" w:header="708" w:footer="708" w:gutter="0"/>
          <w:cols w:space="708"/>
          <w:titlePg/>
          <w:docGrid w:linePitch="360"/>
        </w:sectPr>
      </w:pPr>
    </w:p>
    <w:p w14:paraId="5B7BE264" w14:textId="77777777" w:rsidR="001C19F3" w:rsidRDefault="001C19F3" w:rsidP="001C19F3">
      <w:pPr>
        <w:pStyle w:val="Heading1withnumber"/>
        <w:ind w:left="0" w:hanging="1134"/>
      </w:pPr>
      <w:bookmarkStart w:id="142" w:name="_Toc27056553"/>
      <w:bookmarkStart w:id="143" w:name="_Toc20151660"/>
      <w:r>
        <w:lastRenderedPageBreak/>
        <w:t>Patient enrolment</w:t>
      </w:r>
      <w:bookmarkEnd w:id="142"/>
    </w:p>
    <w:p w14:paraId="3AA8F783" w14:textId="77777777" w:rsidR="001C19F3" w:rsidRDefault="001C19F3" w:rsidP="001C19F3">
      <w:pPr>
        <w:pStyle w:val="Heading2"/>
      </w:pPr>
      <w:bookmarkStart w:id="144" w:name="_Toc27056554"/>
      <w:r>
        <w:t>Patients enrolled</w:t>
      </w:r>
      <w:bookmarkEnd w:id="144"/>
    </w:p>
    <w:p w14:paraId="7F2C269E" w14:textId="77777777" w:rsidR="001C19F3" w:rsidRDefault="001C19F3" w:rsidP="001C19F3">
      <w:bookmarkStart w:id="145" w:name="_Hlk17121966"/>
      <w:r w:rsidRPr="00FB143C">
        <w:t>At 31 August 2019, the 131 active practices had 10,161 patients enrolled in the HCH program.</w:t>
      </w:r>
      <w:r>
        <w:t xml:space="preserve"> </w:t>
      </w:r>
      <w:r w:rsidRPr="00FB143C">
        <w:t>Figure 5 shows the trends in numbers of patients enrolled and the average number of patients per practice. Enrolment increased slowly during the first half of 2018, then more rapidly through to the end of 2018. The enrolment rates then slowed again, with relatively steady increases through to the end of the enrolment period (30 June 2019</w:t>
      </w:r>
      <w:r>
        <w:t>).</w:t>
      </w:r>
    </w:p>
    <w:p w14:paraId="5BD266EB" w14:textId="77777777" w:rsidR="001C19F3" w:rsidRDefault="001C19F3" w:rsidP="001C19F3">
      <w:pPr>
        <w:jc w:val="center"/>
      </w:pPr>
      <w:r w:rsidRPr="003A57EF">
        <w:rPr>
          <w:noProof/>
          <w:lang w:eastAsia="en-AU"/>
        </w:rPr>
        <w:drawing>
          <wp:inline distT="0" distB="0" distL="0" distR="0" wp14:anchorId="732E3623" wp14:editId="4EDFE456">
            <wp:extent cx="5286375" cy="3686175"/>
            <wp:effectExtent l="0" t="0" r="9525" b="9525"/>
            <wp:docPr id="18" name="Picture 18" descr="S:\Consultancy Projects\Finalised projects 2017\2016-046 DoH Evaluation of Health Care Homes\13.0 Data\R_HCH\output\Figures\Interim2019\Vol2_F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nsultancy Projects\Finalised projects 2017\2016-046 DoH Evaluation of Health Care Homes\13.0 Data\R_HCH\output\Figures\Interim2019\Vol2_F00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86375" cy="3686175"/>
                    </a:xfrm>
                    <a:prstGeom prst="rect">
                      <a:avLst/>
                    </a:prstGeom>
                    <a:noFill/>
                    <a:ln>
                      <a:noFill/>
                    </a:ln>
                  </pic:spPr>
                </pic:pic>
              </a:graphicData>
            </a:graphic>
          </wp:inline>
        </w:drawing>
      </w:r>
    </w:p>
    <w:p w14:paraId="31C33863" w14:textId="77777777" w:rsidR="001C19F3" w:rsidRDefault="001C19F3" w:rsidP="001C19F3">
      <w:pPr>
        <w:spacing w:after="0"/>
        <w:jc w:val="center"/>
        <w:rPr>
          <w:b/>
        </w:rPr>
      </w:pPr>
      <w:bookmarkStart w:id="146" w:name="_Ref527986348"/>
      <w:bookmarkStart w:id="147" w:name="_Ref19784399"/>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5</w:t>
      </w:r>
      <w:r>
        <w:rPr>
          <w:rFonts w:cs="Arial"/>
          <w:b/>
          <w:color w:val="000000" w:themeColor="text1"/>
        </w:rPr>
        <w:fldChar w:fldCharType="end"/>
      </w:r>
      <w:bookmarkEnd w:id="146"/>
      <w:r>
        <w:rPr>
          <w:b/>
        </w:rPr>
        <w:t xml:space="preserve"> – Patients enrolled and enrolments per practice, </w:t>
      </w:r>
      <w:r w:rsidRPr="00FD6F2B">
        <w:rPr>
          <w:b/>
        </w:rPr>
        <w:t>January</w:t>
      </w:r>
      <w:r>
        <w:rPr>
          <w:b/>
        </w:rPr>
        <w:t xml:space="preserve"> 2018</w:t>
      </w:r>
      <w:r w:rsidRPr="00FD6F2B">
        <w:rPr>
          <w:b/>
        </w:rPr>
        <w:t>-</w:t>
      </w:r>
      <w:r>
        <w:rPr>
          <w:b/>
        </w:rPr>
        <w:t xml:space="preserve">August </w:t>
      </w:r>
      <w:r w:rsidRPr="00FD6F2B">
        <w:rPr>
          <w:b/>
        </w:rPr>
        <w:t>201</w:t>
      </w:r>
      <w:r>
        <w:rPr>
          <w:b/>
        </w:rPr>
        <w:t>9</w:t>
      </w:r>
      <w:bookmarkEnd w:id="147"/>
    </w:p>
    <w:p w14:paraId="295700D6" w14:textId="77777777" w:rsidR="001C19F3" w:rsidRDefault="001C19F3" w:rsidP="001C19F3">
      <w:pPr>
        <w:pStyle w:val="Chartortablefootnote"/>
      </w:pPr>
      <w:r w:rsidRPr="008746DD">
        <w:t>Source: Department of Human Services</w:t>
      </w:r>
      <w:r>
        <w:t xml:space="preserve"> weekly enrolment statistics (provided through the Department of Health).</w:t>
      </w:r>
    </w:p>
    <w:p w14:paraId="09C7E78A" w14:textId="77777777" w:rsidR="001C19F3" w:rsidRDefault="001C19F3" w:rsidP="001C19F3">
      <w:r w:rsidRPr="00FB143C">
        <w:t xml:space="preserve">The average number of patients enrolled within practices was relatively stable in the first part of 2018 – around 20 patients per practice – but increased rapidly to the end </w:t>
      </w:r>
      <w:r w:rsidRPr="00377DCF">
        <w:t>of 2018</w:t>
      </w:r>
      <w:r w:rsidRPr="00FB143C">
        <w:t xml:space="preserve"> to around 55 patients per practice. The average continued to increase more steadily through to the end of the enrolment period, finishing at 78 patients per practice. At 31 August 2019, the number of patients enrolled at the practice level ranged from 1 to 469, with the mean of 78 and median of 45 patients per practice. Figure 6 and Figure 7 show the distribution of the enrolments per practice. The number enrolments tended to be higher for the practices of medium size (5-8 full time equivalent GPs). Also, the number of enrolments tended to be higher for </w:t>
      </w:r>
      <w:r>
        <w:t>AMSs</w:t>
      </w:r>
      <w:r w:rsidRPr="00FB143C">
        <w:t xml:space="preserve"> and independently-owned practices. However, there was a wide distribution across all practice sizes and ownership types</w:t>
      </w:r>
      <w:r>
        <w:t>.</w:t>
      </w:r>
    </w:p>
    <w:p w14:paraId="550A4BC9" w14:textId="77777777" w:rsidR="001C19F3" w:rsidRDefault="001C19F3" w:rsidP="001C19F3">
      <w:pPr>
        <w:spacing w:after="0"/>
        <w:jc w:val="center"/>
        <w:rPr>
          <w:b/>
        </w:rPr>
      </w:pPr>
    </w:p>
    <w:p w14:paraId="070A2FC5" w14:textId="77777777" w:rsidR="001C19F3" w:rsidRDefault="001C19F3" w:rsidP="001C19F3">
      <w:pPr>
        <w:spacing w:after="0"/>
        <w:jc w:val="center"/>
        <w:rPr>
          <w:b/>
        </w:rPr>
      </w:pPr>
      <w:r w:rsidRPr="00A102E0">
        <w:rPr>
          <w:noProof/>
          <w:lang w:eastAsia="en-AU"/>
        </w:rPr>
        <w:lastRenderedPageBreak/>
        <w:drawing>
          <wp:inline distT="0" distB="0" distL="0" distR="0" wp14:anchorId="7E478863" wp14:editId="1948334E">
            <wp:extent cx="4480560" cy="2286000"/>
            <wp:effectExtent l="0" t="0" r="0" b="0"/>
            <wp:docPr id="17" name="Picture 17" descr="S:\Consultancy Projects\Finalised projects 2017\2016-046 DoH Evaluation of Health Care Homes\13.0 Data\R_HCH\output\Figures\Interim2019\Vol2_F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nsultancy Projects\Finalised projects 2017\2016-046 DoH Evaluation of Health Care Homes\13.0 Data\R_HCH\output\Figures\Interim2019\Vol2_F00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80560" cy="2286000"/>
                    </a:xfrm>
                    <a:prstGeom prst="rect">
                      <a:avLst/>
                    </a:prstGeom>
                    <a:noFill/>
                    <a:ln>
                      <a:noFill/>
                    </a:ln>
                  </pic:spPr>
                </pic:pic>
              </a:graphicData>
            </a:graphic>
          </wp:inline>
        </w:drawing>
      </w:r>
      <w:r w:rsidRPr="003A57EF">
        <w:rPr>
          <w:b/>
        </w:rPr>
        <w:t xml:space="preserve"> </w:t>
      </w:r>
    </w:p>
    <w:p w14:paraId="2CD75290" w14:textId="77777777" w:rsidR="001C19F3" w:rsidRDefault="001C19F3" w:rsidP="001C19F3">
      <w:pPr>
        <w:spacing w:after="0"/>
        <w:jc w:val="center"/>
        <w:rPr>
          <w:b/>
        </w:rPr>
      </w:pPr>
      <w:bookmarkStart w:id="148" w:name="_Ref19698206"/>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6</w:t>
      </w:r>
      <w:r>
        <w:rPr>
          <w:rFonts w:cs="Arial"/>
          <w:b/>
          <w:color w:val="000000" w:themeColor="text1"/>
        </w:rPr>
        <w:fldChar w:fldCharType="end"/>
      </w:r>
      <w:bookmarkEnd w:id="148"/>
      <w:r>
        <w:rPr>
          <w:b/>
        </w:rPr>
        <w:t xml:space="preserve"> – Distribution of patient per practice by practice size, 31 August 2019</w:t>
      </w:r>
    </w:p>
    <w:p w14:paraId="5B87286A" w14:textId="77777777" w:rsidR="001C19F3" w:rsidRDefault="001C19F3" w:rsidP="001C19F3">
      <w:pPr>
        <w:pStyle w:val="Chartortablefootnote"/>
      </w:pPr>
      <w:r w:rsidRPr="008746DD">
        <w:t>Source: Department of Human Services</w:t>
      </w:r>
      <w:r>
        <w:t xml:space="preserve"> weekly enrolment statistics (provided through the Department of Health).</w:t>
      </w:r>
    </w:p>
    <w:p w14:paraId="6B265CFF" w14:textId="77777777" w:rsidR="001C19F3" w:rsidRDefault="001C19F3" w:rsidP="001C19F3">
      <w:pPr>
        <w:pStyle w:val="Chartortablefootnote"/>
        <w:rPr>
          <w:noProof/>
        </w:rPr>
      </w:pPr>
    </w:p>
    <w:p w14:paraId="39CA9175" w14:textId="77777777" w:rsidR="001C19F3" w:rsidRDefault="001C19F3" w:rsidP="001C19F3">
      <w:pPr>
        <w:pStyle w:val="Chartortablefootnote"/>
      </w:pPr>
      <w:r w:rsidRPr="00A102E0">
        <w:rPr>
          <w:noProof/>
          <w:lang w:eastAsia="en-AU"/>
        </w:rPr>
        <w:drawing>
          <wp:inline distT="0" distB="0" distL="0" distR="0" wp14:anchorId="01E4FC33" wp14:editId="48ABE13B">
            <wp:extent cx="4495800" cy="1866900"/>
            <wp:effectExtent l="0" t="0" r="0" b="0"/>
            <wp:docPr id="5" name="Picture 5" descr="S:\Consultancy Projects\Finalised projects 2017\2016-046 DoH Evaluation of Health Care Homes\13.0 Data\R_HCH\output\Figures\Interim2019\Vol2_F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nsultancy Projects\Finalised projects 2017\2016-046 DoH Evaluation of Health Care Homes\13.0 Data\R_HCH\output\Figures\Interim2019\Vol2_F00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95800" cy="1866900"/>
                    </a:xfrm>
                    <a:prstGeom prst="rect">
                      <a:avLst/>
                    </a:prstGeom>
                    <a:noFill/>
                    <a:ln>
                      <a:noFill/>
                    </a:ln>
                  </pic:spPr>
                </pic:pic>
              </a:graphicData>
            </a:graphic>
          </wp:inline>
        </w:drawing>
      </w:r>
    </w:p>
    <w:p w14:paraId="2B3B01DC" w14:textId="77777777" w:rsidR="001C19F3" w:rsidRDefault="001C19F3" w:rsidP="001C19F3">
      <w:pPr>
        <w:spacing w:after="0"/>
        <w:jc w:val="center"/>
        <w:rPr>
          <w:b/>
        </w:rPr>
      </w:pPr>
      <w:bookmarkStart w:id="149" w:name="_Ref19698218"/>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7</w:t>
      </w:r>
      <w:r>
        <w:rPr>
          <w:rFonts w:cs="Arial"/>
          <w:b/>
          <w:color w:val="000000" w:themeColor="text1"/>
        </w:rPr>
        <w:fldChar w:fldCharType="end"/>
      </w:r>
      <w:bookmarkEnd w:id="149"/>
      <w:r>
        <w:rPr>
          <w:b/>
        </w:rPr>
        <w:t xml:space="preserve"> – Distribution of patient per practice by practice ownership, 31 August 2019</w:t>
      </w:r>
    </w:p>
    <w:p w14:paraId="11C30BEC" w14:textId="77777777" w:rsidR="001C19F3" w:rsidRDefault="001C19F3" w:rsidP="001C19F3">
      <w:pPr>
        <w:pStyle w:val="Chartortablefootnote"/>
      </w:pPr>
      <w:r w:rsidRPr="008746DD">
        <w:t>Source: Department of Human Services</w:t>
      </w:r>
      <w:r>
        <w:t xml:space="preserve"> weekly enrolment statistics (provided through the Department of Health).</w:t>
      </w:r>
    </w:p>
    <w:p w14:paraId="02AD1CA7" w14:textId="77777777" w:rsidR="001C19F3" w:rsidRDefault="001C19F3" w:rsidP="001C19F3">
      <w:r>
        <w:fldChar w:fldCharType="begin"/>
      </w:r>
      <w:r>
        <w:instrText xml:space="preserve"> REF _Ref527986476 \h  \* MERGEFORMAT </w:instrText>
      </w:r>
      <w:r>
        <w:fldChar w:fldCharType="separate"/>
      </w:r>
      <w:r w:rsidRPr="00822044">
        <w:t>Figure 8</w:t>
      </w:r>
      <w:r>
        <w:fldChar w:fldCharType="end"/>
      </w:r>
      <w:r>
        <w:t xml:space="preserve"> shows the number of enrolled patients by tier. </w:t>
      </w:r>
      <w:bookmarkStart w:id="150" w:name="_Hlk20925363"/>
      <w:r w:rsidRPr="00647D66">
        <w:t xml:space="preserve">Most patients enrolled have been assessed as </w:t>
      </w:r>
      <w:r>
        <w:t>T</w:t>
      </w:r>
      <w:r w:rsidRPr="00647D66">
        <w:t xml:space="preserve">ier 2, followed by </w:t>
      </w:r>
      <w:r>
        <w:t>T</w:t>
      </w:r>
      <w:r w:rsidRPr="00647D66">
        <w:t xml:space="preserve">ier 3 </w:t>
      </w:r>
      <w:r>
        <w:t xml:space="preserve">(most complex) </w:t>
      </w:r>
      <w:r w:rsidRPr="00647D66">
        <w:t xml:space="preserve">and </w:t>
      </w:r>
      <w:r>
        <w:t>T</w:t>
      </w:r>
      <w:r w:rsidRPr="00647D66">
        <w:t>ier 1</w:t>
      </w:r>
      <w:r>
        <w:t xml:space="preserve"> (least complex)</w:t>
      </w:r>
      <w:r w:rsidRPr="00A82155">
        <w:t>.</w:t>
      </w:r>
      <w:r>
        <w:t xml:space="preserve"> From January 2019, enrolments in Tier 1 increased only slightly, whereas enrolments for Tier 2 and Tier 3 continued to increase substantially.</w:t>
      </w:r>
    </w:p>
    <w:bookmarkEnd w:id="150"/>
    <w:p w14:paraId="4630E3D2" w14:textId="77777777" w:rsidR="001C19F3" w:rsidRPr="00671700" w:rsidRDefault="001C19F3" w:rsidP="001C19F3">
      <w:pPr>
        <w:spacing w:after="0"/>
      </w:pPr>
      <w:r w:rsidRPr="006A5A0E">
        <w:rPr>
          <w:noProof/>
          <w:lang w:eastAsia="en-AU"/>
        </w:rPr>
        <w:lastRenderedPageBreak/>
        <w:drawing>
          <wp:inline distT="0" distB="0" distL="0" distR="0" wp14:anchorId="04EC70D4" wp14:editId="7DB117B4">
            <wp:extent cx="5286375" cy="3686175"/>
            <wp:effectExtent l="0" t="0" r="9525" b="9525"/>
            <wp:docPr id="25" name="Picture 25" descr="S:\Consultancy Projects\Finalised projects 2017\2016-046 DoH Evaluation of Health Care Homes\13.0 Data\R_HCH\output\Figures\Interim2019\Vol2_F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nsultancy Projects\Finalised projects 2017\2016-046 DoH Evaluation of Health Care Homes\13.0 Data\R_HCH\output\Figures\Interim2019\Vol2_F00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6375" cy="3686175"/>
                    </a:xfrm>
                    <a:prstGeom prst="rect">
                      <a:avLst/>
                    </a:prstGeom>
                    <a:noFill/>
                    <a:ln>
                      <a:noFill/>
                    </a:ln>
                  </pic:spPr>
                </pic:pic>
              </a:graphicData>
            </a:graphic>
          </wp:inline>
        </w:drawing>
      </w:r>
    </w:p>
    <w:p w14:paraId="5CA0CF20" w14:textId="77777777" w:rsidR="001C19F3" w:rsidRDefault="001C19F3" w:rsidP="001C19F3">
      <w:pPr>
        <w:spacing w:after="0"/>
        <w:jc w:val="center"/>
        <w:rPr>
          <w:b/>
        </w:rPr>
      </w:pPr>
      <w:bookmarkStart w:id="151" w:name="_Ref527986476"/>
      <w:bookmarkStart w:id="152" w:name="_Ref19785266"/>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8</w:t>
      </w:r>
      <w:r>
        <w:rPr>
          <w:rFonts w:cs="Arial"/>
          <w:b/>
          <w:color w:val="000000" w:themeColor="text1"/>
        </w:rPr>
        <w:fldChar w:fldCharType="end"/>
      </w:r>
      <w:bookmarkEnd w:id="151"/>
      <w:r>
        <w:rPr>
          <w:b/>
        </w:rPr>
        <w:t xml:space="preserve"> – Patient enrolments by HCH tier, May 2018 – 28 August 2019</w:t>
      </w:r>
      <w:bookmarkEnd w:id="152"/>
    </w:p>
    <w:p w14:paraId="2036D552" w14:textId="77777777" w:rsidR="001C19F3" w:rsidRDefault="001C19F3" w:rsidP="001C19F3">
      <w:pPr>
        <w:pStyle w:val="Chartortablefootnote"/>
      </w:pPr>
      <w:r w:rsidRPr="008746DD">
        <w:t>Source: Department of Human Services</w:t>
      </w:r>
      <w:r>
        <w:t xml:space="preserve"> weekly enrolment statistics (provided through the Department of Health).</w:t>
      </w:r>
    </w:p>
    <w:p w14:paraId="72A26455" w14:textId="77777777" w:rsidR="001C19F3" w:rsidRDefault="001C19F3" w:rsidP="001C19F3">
      <w:r w:rsidRPr="00FB143C">
        <w:t>In original modelling for HCH, the Department of Health established an enrolment cap. The main purpose of this was to establish an upper limit on the financial impact of the program. This figure was subsequently interpreted as a target for enrolments. The modelling was based on assumptions shown in</w:t>
      </w:r>
      <w:r>
        <w:t xml:space="preserve"> </w:t>
      </w:r>
      <w:r w:rsidRPr="0039757D">
        <w:fldChar w:fldCharType="begin"/>
      </w:r>
      <w:r w:rsidRPr="0039757D">
        <w:instrText xml:space="preserve"> REF _Ref19710297 \h  \* MERGEFORMAT </w:instrText>
      </w:r>
      <w:r w:rsidRPr="0039757D">
        <w:fldChar w:fldCharType="separate"/>
      </w:r>
      <w:r w:rsidRPr="00822044">
        <w:t>Table 15</w:t>
      </w:r>
      <w:r w:rsidRPr="0039757D">
        <w:fldChar w:fldCharType="end"/>
      </w:r>
      <w:r>
        <w:t xml:space="preserve"> (</w:t>
      </w:r>
      <w:r>
        <w:fldChar w:fldCharType="begin"/>
      </w:r>
      <w:r>
        <w:instrText xml:space="preserve"> ADDIN EN.CITE &lt;EndNote&gt;&lt;Cite&gt;&lt;Author&gt;Australian Government Department of Health&lt;/Author&gt;&lt;Year&gt;2016&lt;/Year&gt;&lt;RecNum&gt;519&lt;/RecNum&gt;&lt;DisplayText&gt;Australian Government Department of Health, 2016b&lt;/DisplayText&gt;&lt;record&gt;&lt;rec-number&gt;519&lt;/rec-number&gt;&lt;foreign-keys&gt;&lt;key app="EN" db-id="zdz9xax04zr9v0evw2nvrpw9xe9ttzvs5zsv" timestamp="1485909718"&gt;519&lt;/key&gt;&lt;/foreign-keys&gt;&lt;ref-type name="Electronic Book"&gt;44&lt;/ref-type&gt;&lt;contributors&gt;&lt;authors&gt;&lt;author&gt;Australian Government Department of Health,,&lt;/author&gt;&lt;/authors&gt;&lt;/contributors&gt;&lt;titles&gt;&lt;title&gt;Factsheet: Stage one modelling&lt;/title&gt;&lt;/titles&gt;&lt;dates&gt;&lt;year&gt;2016&lt;/year&gt;&lt;/dates&gt;&lt;urls&gt;&lt;related-urls&gt;&lt;url&gt;http://www.health.gov.au/internet/main/publishing.nsf/Content/health-care-homes&lt;/url&gt;&lt;/related-urls&gt;&lt;/urls&gt;&lt;custom2&gt;01/02/2017&lt;/custom2&gt;&lt;/record&gt;&lt;/Cite&gt;&lt;/EndNote&gt;</w:instrText>
      </w:r>
      <w:r>
        <w:fldChar w:fldCharType="separate"/>
      </w:r>
      <w:r>
        <w:rPr>
          <w:noProof/>
        </w:rPr>
        <w:t>Australian Government Department of Health, 2016b</w:t>
      </w:r>
      <w:r>
        <w:fldChar w:fldCharType="end"/>
      </w:r>
      <w:r>
        <w:t>). These assumptions were revised in 2018 (</w:t>
      </w:r>
      <w:r>
        <w:fldChar w:fldCharType="begin"/>
      </w:r>
      <w:r>
        <w:instrText xml:space="preserve"> ADDIN EN.CITE &lt;EndNote&gt;&lt;Cite&gt;&lt;Author&gt;Australian Government Department of Health&lt;/Author&gt;&lt;Year&gt;2018&lt;/Year&gt;&lt;RecNum&gt;1058&lt;/RecNum&gt;&lt;DisplayText&gt;Australian Government Department of Health, 2018b&lt;/DisplayText&gt;&lt;record&gt;&lt;rec-number&gt;1058&lt;/rec-number&gt;&lt;foreign-keys&gt;&lt;key app="EN" db-id="zdz9xax04zr9v0evw2nvrpw9xe9ttzvs5zsv" timestamp="1536719165"&gt;1058&lt;/key&gt;&lt;/foreign-keys&gt;&lt;ref-type name="Unpublished Work"&gt;34&lt;/ref-type&gt;&lt;contributors&gt;&lt;authors&gt;&lt;author&gt;Australian Government Department of Health,,&lt;/author&gt;&lt;/authors&gt;&lt;/contributors&gt;&lt;titles&gt;&lt;title&gt;Health Care Homes Clinical Reference Group Q&amp;amp;As&lt;/title&gt;&lt;/titles&gt;&lt;dates&gt;&lt;year&gt;2018&lt;/year&gt;&lt;/dates&gt;&lt;urls&gt;&lt;/urls&gt;&lt;/record&gt;&lt;/Cite&gt;&lt;/EndNote&gt;</w:instrText>
      </w:r>
      <w:r>
        <w:fldChar w:fldCharType="separate"/>
      </w:r>
      <w:r>
        <w:rPr>
          <w:noProof/>
        </w:rPr>
        <w:t>Australian Government Department of Health, 2018b</w:t>
      </w:r>
      <w:r>
        <w:fldChar w:fldCharType="end"/>
      </w:r>
      <w:r>
        <w:t xml:space="preserve">). </w:t>
      </w:r>
    </w:p>
    <w:p w14:paraId="5AEFFDE6" w14:textId="77777777" w:rsidR="001C19F3" w:rsidRDefault="001C19F3" w:rsidP="001C19F3">
      <w:r w:rsidRPr="00FB143C">
        <w:t xml:space="preserve">Table 14 shows how the initial assumptions aligned with the enrolments at 31 August 2019. Final enrolments were much lower than the cap. The Table also shows the contribution of each of the assumptions to the difference between the cap and actual enrolments. </w:t>
      </w:r>
      <w:r>
        <w:t>Overall,</w:t>
      </w:r>
      <w:r w:rsidRPr="00FB143C">
        <w:t xml:space="preserve"> the assumption about the number of enrolees per GP contributed around 50% of the difference and each of the other assumptions around 25% each</w:t>
      </w:r>
      <w:r>
        <w:t>.</w:t>
      </w:r>
    </w:p>
    <w:p w14:paraId="43EC457C" w14:textId="77777777" w:rsidR="001C19F3" w:rsidRDefault="001C19F3" w:rsidP="001C19F3">
      <w:pPr>
        <w:spacing w:after="0"/>
        <w:jc w:val="center"/>
        <w:rPr>
          <w:b/>
        </w:rPr>
      </w:pPr>
      <w:bookmarkStart w:id="153" w:name="_Ref19710297"/>
      <w:r w:rsidRPr="00830EA6">
        <w:rPr>
          <w:b/>
        </w:rPr>
        <w:t xml:space="preserve">Table </w:t>
      </w:r>
      <w:r w:rsidRPr="00830EA6">
        <w:rPr>
          <w:rFonts w:cs="Arial"/>
          <w:b/>
          <w:color w:val="000000" w:themeColor="text1"/>
        </w:rPr>
        <w:fldChar w:fldCharType="begin"/>
      </w:r>
      <w:r w:rsidRPr="00830EA6">
        <w:rPr>
          <w:rFonts w:cs="Arial"/>
          <w:b/>
          <w:color w:val="000000" w:themeColor="text1"/>
        </w:rPr>
        <w:instrText xml:space="preserve"> SEQ Table \* ARABIC </w:instrText>
      </w:r>
      <w:r w:rsidRPr="00830EA6">
        <w:rPr>
          <w:rFonts w:cs="Arial"/>
          <w:b/>
          <w:color w:val="000000" w:themeColor="text1"/>
        </w:rPr>
        <w:fldChar w:fldCharType="separate"/>
      </w:r>
      <w:r>
        <w:rPr>
          <w:rFonts w:cs="Arial"/>
          <w:b/>
          <w:noProof/>
          <w:color w:val="000000" w:themeColor="text1"/>
        </w:rPr>
        <w:t>15</w:t>
      </w:r>
      <w:r w:rsidRPr="00830EA6">
        <w:rPr>
          <w:rFonts w:cs="Arial"/>
          <w:b/>
          <w:color w:val="000000" w:themeColor="text1"/>
        </w:rPr>
        <w:fldChar w:fldCharType="end"/>
      </w:r>
      <w:bookmarkEnd w:id="153"/>
      <w:r w:rsidRPr="00830EA6">
        <w:rPr>
          <w:b/>
        </w:rPr>
        <w:t xml:space="preserve"> –</w:t>
      </w:r>
      <w:r>
        <w:rPr>
          <w:b/>
        </w:rPr>
        <w:t xml:space="preserve"> Assumptions applied to set the upper limit on enrolments in the HCH, </w:t>
      </w:r>
    </w:p>
    <w:p w14:paraId="5A327339" w14:textId="77777777" w:rsidR="001C19F3" w:rsidRDefault="001C19F3" w:rsidP="001C19F3">
      <w:pPr>
        <w:spacing w:after="0"/>
        <w:jc w:val="center"/>
      </w:pPr>
      <w:r>
        <w:rPr>
          <w:b/>
        </w:rPr>
        <w:t>compared with actual enrolments as at 31 August 2019</w:t>
      </w:r>
    </w:p>
    <w:tbl>
      <w:tblPr>
        <w:tblStyle w:val="TableGrid"/>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8"/>
        <w:gridCol w:w="1563"/>
        <w:gridCol w:w="1551"/>
        <w:gridCol w:w="1717"/>
        <w:gridCol w:w="1717"/>
      </w:tblGrid>
      <w:tr w:rsidR="001C19F3" w14:paraId="4BA3AC72" w14:textId="77777777" w:rsidTr="00521305">
        <w:trPr>
          <w:jc w:val="center"/>
        </w:trPr>
        <w:tc>
          <w:tcPr>
            <w:tcW w:w="1369" w:type="pct"/>
            <w:shd w:val="clear" w:color="auto" w:fill="003D79"/>
            <w:vAlign w:val="center"/>
          </w:tcPr>
          <w:p w14:paraId="5C7B2EFE" w14:textId="77777777" w:rsidR="001C19F3" w:rsidRPr="00B9320C" w:rsidRDefault="001C19F3" w:rsidP="00521305">
            <w:pPr>
              <w:spacing w:after="0"/>
              <w:jc w:val="center"/>
              <w:rPr>
                <w:color w:val="FFFFFF" w:themeColor="background1"/>
                <w:sz w:val="18"/>
                <w:szCs w:val="18"/>
              </w:rPr>
            </w:pPr>
            <w:r w:rsidRPr="00B9320C">
              <w:rPr>
                <w:b/>
                <w:color w:val="FFFFFF" w:themeColor="background1"/>
                <w:sz w:val="18"/>
                <w:szCs w:val="18"/>
              </w:rPr>
              <w:t>Assumptions</w:t>
            </w:r>
          </w:p>
        </w:tc>
        <w:tc>
          <w:tcPr>
            <w:tcW w:w="867" w:type="pct"/>
            <w:shd w:val="clear" w:color="auto" w:fill="003D79"/>
            <w:vAlign w:val="center"/>
          </w:tcPr>
          <w:p w14:paraId="7CC6A594" w14:textId="77777777" w:rsidR="001C19F3" w:rsidRDefault="001C19F3" w:rsidP="00521305">
            <w:pPr>
              <w:spacing w:after="0"/>
              <w:jc w:val="center"/>
              <w:rPr>
                <w:b/>
                <w:color w:val="FFFFFF" w:themeColor="background1"/>
                <w:sz w:val="18"/>
                <w:szCs w:val="18"/>
              </w:rPr>
            </w:pPr>
            <w:r w:rsidRPr="00B9320C">
              <w:rPr>
                <w:b/>
                <w:color w:val="FFFFFF" w:themeColor="background1"/>
                <w:sz w:val="18"/>
                <w:szCs w:val="18"/>
              </w:rPr>
              <w:t xml:space="preserve">Original estimate </w:t>
            </w:r>
          </w:p>
          <w:p w14:paraId="6BCB20C4" w14:textId="77777777" w:rsidR="001C19F3" w:rsidRPr="00B9320C" w:rsidRDefault="001C19F3" w:rsidP="00521305">
            <w:pPr>
              <w:spacing w:after="0"/>
              <w:jc w:val="center"/>
              <w:rPr>
                <w:b/>
                <w:color w:val="FFFFFF" w:themeColor="background1"/>
                <w:sz w:val="18"/>
                <w:szCs w:val="18"/>
              </w:rPr>
            </w:pPr>
            <w:r w:rsidRPr="00B9320C">
              <w:rPr>
                <w:b/>
                <w:color w:val="FFFFFF" w:themeColor="background1"/>
                <w:sz w:val="18"/>
                <w:szCs w:val="18"/>
              </w:rPr>
              <w:t>2016</w:t>
            </w:r>
            <w:r w:rsidRPr="00C746E6">
              <w:rPr>
                <w:b/>
                <w:color w:val="FFFFFF" w:themeColor="background1"/>
                <w:sz w:val="18"/>
                <w:szCs w:val="18"/>
                <w:vertAlign w:val="superscript"/>
              </w:rPr>
              <w:t>1</w:t>
            </w:r>
          </w:p>
        </w:tc>
        <w:tc>
          <w:tcPr>
            <w:tcW w:w="860" w:type="pct"/>
            <w:shd w:val="clear" w:color="auto" w:fill="003D79"/>
            <w:vAlign w:val="center"/>
          </w:tcPr>
          <w:p w14:paraId="6AB4DEBC" w14:textId="77777777" w:rsidR="001C19F3" w:rsidRDefault="001C19F3" w:rsidP="00521305">
            <w:pPr>
              <w:spacing w:after="0"/>
              <w:jc w:val="center"/>
              <w:rPr>
                <w:b/>
                <w:color w:val="FFFFFF" w:themeColor="background1"/>
                <w:sz w:val="18"/>
                <w:szCs w:val="18"/>
              </w:rPr>
            </w:pPr>
            <w:r w:rsidRPr="00B9320C">
              <w:rPr>
                <w:b/>
                <w:color w:val="FFFFFF" w:themeColor="background1"/>
                <w:sz w:val="18"/>
                <w:szCs w:val="18"/>
              </w:rPr>
              <w:t xml:space="preserve">Revised estimate </w:t>
            </w:r>
          </w:p>
          <w:p w14:paraId="37D1C2EA" w14:textId="77777777" w:rsidR="001C19F3" w:rsidRPr="00B9320C" w:rsidRDefault="001C19F3" w:rsidP="00521305">
            <w:pPr>
              <w:spacing w:after="0"/>
              <w:jc w:val="center"/>
              <w:rPr>
                <w:b/>
                <w:color w:val="FFFFFF" w:themeColor="background1"/>
                <w:sz w:val="18"/>
                <w:szCs w:val="18"/>
              </w:rPr>
            </w:pPr>
            <w:r w:rsidRPr="00B9320C">
              <w:rPr>
                <w:b/>
                <w:color w:val="FFFFFF" w:themeColor="background1"/>
                <w:sz w:val="18"/>
                <w:szCs w:val="18"/>
              </w:rPr>
              <w:t>2018</w:t>
            </w:r>
            <w:r w:rsidRPr="00C746E6">
              <w:rPr>
                <w:b/>
                <w:color w:val="FFFFFF" w:themeColor="background1"/>
                <w:sz w:val="18"/>
                <w:szCs w:val="18"/>
                <w:vertAlign w:val="superscript"/>
              </w:rPr>
              <w:t>2</w:t>
            </w:r>
          </w:p>
        </w:tc>
        <w:tc>
          <w:tcPr>
            <w:tcW w:w="952" w:type="pct"/>
            <w:shd w:val="clear" w:color="auto" w:fill="003D79"/>
            <w:vAlign w:val="center"/>
          </w:tcPr>
          <w:p w14:paraId="052F6513" w14:textId="77777777" w:rsidR="001C19F3" w:rsidRDefault="001C19F3" w:rsidP="00521305">
            <w:pPr>
              <w:spacing w:after="0"/>
              <w:jc w:val="center"/>
              <w:rPr>
                <w:b/>
                <w:color w:val="FFFFFF" w:themeColor="background1"/>
                <w:sz w:val="18"/>
                <w:szCs w:val="18"/>
              </w:rPr>
            </w:pPr>
            <w:r>
              <w:rPr>
                <w:b/>
                <w:color w:val="FFFFFF" w:themeColor="background1"/>
                <w:sz w:val="18"/>
                <w:szCs w:val="18"/>
              </w:rPr>
              <w:t xml:space="preserve">Final </w:t>
            </w:r>
          </w:p>
          <w:p w14:paraId="06454A1F" w14:textId="77777777" w:rsidR="001C19F3" w:rsidRPr="00B9320C" w:rsidRDefault="001C19F3" w:rsidP="00521305">
            <w:pPr>
              <w:spacing w:after="0"/>
              <w:jc w:val="center"/>
              <w:rPr>
                <w:b/>
                <w:color w:val="FFFFFF" w:themeColor="background1"/>
                <w:sz w:val="18"/>
                <w:szCs w:val="18"/>
              </w:rPr>
            </w:pPr>
            <w:r>
              <w:rPr>
                <w:b/>
                <w:color w:val="FFFFFF" w:themeColor="background1"/>
                <w:sz w:val="18"/>
                <w:szCs w:val="18"/>
              </w:rPr>
              <w:t>e</w:t>
            </w:r>
            <w:r w:rsidRPr="00B9320C">
              <w:rPr>
                <w:b/>
                <w:color w:val="FFFFFF" w:themeColor="background1"/>
                <w:sz w:val="18"/>
                <w:szCs w:val="18"/>
              </w:rPr>
              <w:t>nrolments</w:t>
            </w:r>
            <w:r w:rsidRPr="00C746E6">
              <w:rPr>
                <w:b/>
                <w:color w:val="FFFFFF" w:themeColor="background1"/>
                <w:sz w:val="18"/>
                <w:szCs w:val="18"/>
                <w:vertAlign w:val="superscript"/>
              </w:rPr>
              <w:t>3</w:t>
            </w:r>
          </w:p>
        </w:tc>
        <w:tc>
          <w:tcPr>
            <w:tcW w:w="952" w:type="pct"/>
            <w:shd w:val="clear" w:color="auto" w:fill="003D79"/>
            <w:vAlign w:val="center"/>
          </w:tcPr>
          <w:p w14:paraId="2B392DED" w14:textId="77777777" w:rsidR="001C19F3" w:rsidRPr="00B9320C" w:rsidRDefault="001C19F3" w:rsidP="00521305">
            <w:pPr>
              <w:spacing w:after="0"/>
              <w:jc w:val="center"/>
              <w:rPr>
                <w:b/>
                <w:color w:val="FFFFFF" w:themeColor="background1"/>
                <w:sz w:val="18"/>
                <w:szCs w:val="18"/>
              </w:rPr>
            </w:pPr>
            <w:r w:rsidRPr="00B9320C">
              <w:rPr>
                <w:b/>
                <w:color w:val="FFFFFF" w:themeColor="background1"/>
                <w:sz w:val="18"/>
                <w:szCs w:val="18"/>
              </w:rPr>
              <w:t>Contribution to difference</w:t>
            </w:r>
          </w:p>
        </w:tc>
      </w:tr>
      <w:tr w:rsidR="001C19F3" w14:paraId="0ECCB002" w14:textId="77777777" w:rsidTr="00521305">
        <w:trPr>
          <w:jc w:val="center"/>
        </w:trPr>
        <w:tc>
          <w:tcPr>
            <w:tcW w:w="1369" w:type="pct"/>
          </w:tcPr>
          <w:p w14:paraId="611B78F7" w14:textId="77777777" w:rsidR="001C19F3" w:rsidRPr="00B9320C" w:rsidRDefault="001C19F3" w:rsidP="00521305">
            <w:pPr>
              <w:spacing w:after="0"/>
              <w:rPr>
                <w:sz w:val="18"/>
                <w:szCs w:val="18"/>
              </w:rPr>
            </w:pPr>
            <w:r w:rsidRPr="00B9320C">
              <w:rPr>
                <w:sz w:val="18"/>
                <w:szCs w:val="18"/>
              </w:rPr>
              <w:t xml:space="preserve">Practices </w:t>
            </w:r>
          </w:p>
        </w:tc>
        <w:tc>
          <w:tcPr>
            <w:tcW w:w="867" w:type="pct"/>
          </w:tcPr>
          <w:p w14:paraId="75FC769E" w14:textId="77777777" w:rsidR="001C19F3" w:rsidRPr="00B9320C" w:rsidRDefault="001C19F3" w:rsidP="00521305">
            <w:pPr>
              <w:spacing w:after="0"/>
              <w:jc w:val="center"/>
              <w:rPr>
                <w:sz w:val="18"/>
                <w:szCs w:val="18"/>
              </w:rPr>
            </w:pPr>
            <w:r w:rsidRPr="00B9320C">
              <w:rPr>
                <w:sz w:val="18"/>
                <w:szCs w:val="18"/>
              </w:rPr>
              <w:t>200</w:t>
            </w:r>
          </w:p>
        </w:tc>
        <w:tc>
          <w:tcPr>
            <w:tcW w:w="860" w:type="pct"/>
          </w:tcPr>
          <w:p w14:paraId="715F71E6" w14:textId="77777777" w:rsidR="001C19F3" w:rsidRPr="00B9320C" w:rsidRDefault="001C19F3" w:rsidP="00521305">
            <w:pPr>
              <w:spacing w:after="0"/>
              <w:jc w:val="center"/>
              <w:rPr>
                <w:sz w:val="18"/>
                <w:szCs w:val="18"/>
              </w:rPr>
            </w:pPr>
            <w:r w:rsidRPr="00B9320C">
              <w:rPr>
                <w:sz w:val="18"/>
                <w:szCs w:val="18"/>
              </w:rPr>
              <w:t>200</w:t>
            </w:r>
          </w:p>
        </w:tc>
        <w:tc>
          <w:tcPr>
            <w:tcW w:w="952" w:type="pct"/>
          </w:tcPr>
          <w:p w14:paraId="75A170F9" w14:textId="77777777" w:rsidR="001C19F3" w:rsidRPr="00B9320C" w:rsidRDefault="001C19F3" w:rsidP="00521305">
            <w:pPr>
              <w:spacing w:after="0"/>
              <w:jc w:val="center"/>
              <w:rPr>
                <w:sz w:val="18"/>
                <w:szCs w:val="18"/>
              </w:rPr>
            </w:pPr>
            <w:r w:rsidRPr="00B9320C">
              <w:rPr>
                <w:sz w:val="18"/>
                <w:szCs w:val="18"/>
              </w:rPr>
              <w:t>131</w:t>
            </w:r>
          </w:p>
        </w:tc>
        <w:tc>
          <w:tcPr>
            <w:tcW w:w="952" w:type="pct"/>
          </w:tcPr>
          <w:p w14:paraId="4D77FA5D" w14:textId="77777777" w:rsidR="001C19F3" w:rsidRPr="00B9320C" w:rsidRDefault="001C19F3" w:rsidP="00521305">
            <w:pPr>
              <w:spacing w:after="0"/>
              <w:jc w:val="center"/>
              <w:rPr>
                <w:sz w:val="18"/>
                <w:szCs w:val="18"/>
              </w:rPr>
            </w:pPr>
            <w:r w:rsidRPr="00B9320C">
              <w:rPr>
                <w:sz w:val="18"/>
                <w:szCs w:val="18"/>
              </w:rPr>
              <w:t>28%</w:t>
            </w:r>
          </w:p>
        </w:tc>
      </w:tr>
      <w:tr w:rsidR="001C19F3" w14:paraId="7C6C64E1" w14:textId="77777777" w:rsidTr="00521305">
        <w:trPr>
          <w:jc w:val="center"/>
        </w:trPr>
        <w:tc>
          <w:tcPr>
            <w:tcW w:w="1369" w:type="pct"/>
          </w:tcPr>
          <w:p w14:paraId="5D88F79E" w14:textId="77777777" w:rsidR="001C19F3" w:rsidRPr="00B9320C" w:rsidRDefault="001C19F3" w:rsidP="00521305">
            <w:pPr>
              <w:spacing w:after="0"/>
              <w:rPr>
                <w:sz w:val="18"/>
                <w:szCs w:val="18"/>
              </w:rPr>
            </w:pPr>
            <w:r w:rsidRPr="00B9320C">
              <w:rPr>
                <w:sz w:val="18"/>
                <w:szCs w:val="18"/>
              </w:rPr>
              <w:t>FTE GPs per practice</w:t>
            </w:r>
          </w:p>
        </w:tc>
        <w:tc>
          <w:tcPr>
            <w:tcW w:w="867" w:type="pct"/>
          </w:tcPr>
          <w:p w14:paraId="6A905FC2" w14:textId="77777777" w:rsidR="001C19F3" w:rsidRPr="00B9320C" w:rsidRDefault="001C19F3" w:rsidP="00521305">
            <w:pPr>
              <w:spacing w:after="0"/>
              <w:jc w:val="center"/>
              <w:rPr>
                <w:sz w:val="18"/>
                <w:szCs w:val="18"/>
              </w:rPr>
            </w:pPr>
            <w:r w:rsidRPr="00B9320C">
              <w:rPr>
                <w:sz w:val="18"/>
                <w:szCs w:val="18"/>
              </w:rPr>
              <w:t>5.0</w:t>
            </w:r>
          </w:p>
        </w:tc>
        <w:tc>
          <w:tcPr>
            <w:tcW w:w="860" w:type="pct"/>
          </w:tcPr>
          <w:p w14:paraId="3FB67CE1" w14:textId="77777777" w:rsidR="001C19F3" w:rsidRPr="00B9320C" w:rsidRDefault="001C19F3" w:rsidP="00521305">
            <w:pPr>
              <w:spacing w:after="0"/>
              <w:jc w:val="center"/>
              <w:rPr>
                <w:sz w:val="18"/>
                <w:szCs w:val="18"/>
              </w:rPr>
            </w:pPr>
            <w:r w:rsidRPr="00B9320C">
              <w:rPr>
                <w:sz w:val="18"/>
                <w:szCs w:val="18"/>
              </w:rPr>
              <w:t>5.0</w:t>
            </w:r>
          </w:p>
        </w:tc>
        <w:tc>
          <w:tcPr>
            <w:tcW w:w="952" w:type="pct"/>
          </w:tcPr>
          <w:p w14:paraId="56E190B0" w14:textId="77777777" w:rsidR="001C19F3" w:rsidRPr="00B9320C" w:rsidRDefault="001C19F3" w:rsidP="00521305">
            <w:pPr>
              <w:spacing w:after="0"/>
              <w:jc w:val="center"/>
              <w:rPr>
                <w:sz w:val="18"/>
                <w:szCs w:val="18"/>
              </w:rPr>
            </w:pPr>
            <w:r w:rsidRPr="00B9320C">
              <w:rPr>
                <w:sz w:val="18"/>
                <w:szCs w:val="18"/>
              </w:rPr>
              <w:t>3.5</w:t>
            </w:r>
          </w:p>
        </w:tc>
        <w:tc>
          <w:tcPr>
            <w:tcW w:w="952" w:type="pct"/>
          </w:tcPr>
          <w:p w14:paraId="26789EAF" w14:textId="77777777" w:rsidR="001C19F3" w:rsidRPr="00B9320C" w:rsidRDefault="001C19F3" w:rsidP="00521305">
            <w:pPr>
              <w:spacing w:after="0"/>
              <w:jc w:val="center"/>
              <w:rPr>
                <w:sz w:val="18"/>
                <w:szCs w:val="18"/>
              </w:rPr>
            </w:pPr>
            <w:r w:rsidRPr="00B9320C">
              <w:rPr>
                <w:sz w:val="18"/>
                <w:szCs w:val="18"/>
              </w:rPr>
              <w:t>24%</w:t>
            </w:r>
          </w:p>
        </w:tc>
      </w:tr>
      <w:tr w:rsidR="001C19F3" w14:paraId="44ED5947" w14:textId="77777777" w:rsidTr="00521305">
        <w:trPr>
          <w:jc w:val="center"/>
        </w:trPr>
        <w:tc>
          <w:tcPr>
            <w:tcW w:w="1369" w:type="pct"/>
          </w:tcPr>
          <w:p w14:paraId="65670C9D" w14:textId="77777777" w:rsidR="001C19F3" w:rsidRPr="00B9320C" w:rsidRDefault="001C19F3" w:rsidP="00521305">
            <w:pPr>
              <w:spacing w:after="0"/>
              <w:rPr>
                <w:sz w:val="18"/>
                <w:szCs w:val="18"/>
              </w:rPr>
            </w:pPr>
            <w:r w:rsidRPr="00B9320C">
              <w:rPr>
                <w:sz w:val="18"/>
                <w:szCs w:val="18"/>
              </w:rPr>
              <w:t>Patients per FTE GP</w:t>
            </w:r>
          </w:p>
        </w:tc>
        <w:tc>
          <w:tcPr>
            <w:tcW w:w="867" w:type="pct"/>
          </w:tcPr>
          <w:p w14:paraId="3D5BCD0F" w14:textId="77777777" w:rsidR="001C19F3" w:rsidRPr="00B9320C" w:rsidRDefault="001C19F3" w:rsidP="00521305">
            <w:pPr>
              <w:spacing w:after="0"/>
              <w:jc w:val="center"/>
              <w:rPr>
                <w:sz w:val="18"/>
                <w:szCs w:val="18"/>
              </w:rPr>
            </w:pPr>
            <w:r w:rsidRPr="00B9320C">
              <w:rPr>
                <w:sz w:val="18"/>
                <w:szCs w:val="18"/>
              </w:rPr>
              <w:t>65.0</w:t>
            </w:r>
          </w:p>
        </w:tc>
        <w:tc>
          <w:tcPr>
            <w:tcW w:w="860" w:type="pct"/>
          </w:tcPr>
          <w:p w14:paraId="05D6931E" w14:textId="77777777" w:rsidR="001C19F3" w:rsidRPr="00B9320C" w:rsidRDefault="001C19F3" w:rsidP="00521305">
            <w:pPr>
              <w:spacing w:after="0"/>
              <w:jc w:val="center"/>
              <w:rPr>
                <w:sz w:val="18"/>
                <w:szCs w:val="18"/>
              </w:rPr>
            </w:pPr>
            <w:r w:rsidRPr="00B9320C">
              <w:rPr>
                <w:sz w:val="18"/>
                <w:szCs w:val="18"/>
              </w:rPr>
              <w:t>55.0</w:t>
            </w:r>
          </w:p>
        </w:tc>
        <w:tc>
          <w:tcPr>
            <w:tcW w:w="952" w:type="pct"/>
          </w:tcPr>
          <w:p w14:paraId="13D69123" w14:textId="77777777" w:rsidR="001C19F3" w:rsidRPr="00B9320C" w:rsidRDefault="001C19F3" w:rsidP="00521305">
            <w:pPr>
              <w:spacing w:after="0"/>
              <w:jc w:val="center"/>
              <w:rPr>
                <w:sz w:val="18"/>
                <w:szCs w:val="18"/>
              </w:rPr>
            </w:pPr>
            <w:r w:rsidRPr="00B9320C">
              <w:rPr>
                <w:sz w:val="18"/>
                <w:szCs w:val="18"/>
              </w:rPr>
              <w:t>22.0</w:t>
            </w:r>
          </w:p>
        </w:tc>
        <w:tc>
          <w:tcPr>
            <w:tcW w:w="952" w:type="pct"/>
          </w:tcPr>
          <w:p w14:paraId="298A97C6" w14:textId="77777777" w:rsidR="001C19F3" w:rsidRPr="00B9320C" w:rsidRDefault="001C19F3" w:rsidP="00521305">
            <w:pPr>
              <w:spacing w:after="0"/>
              <w:jc w:val="center"/>
              <w:rPr>
                <w:sz w:val="18"/>
                <w:szCs w:val="18"/>
              </w:rPr>
            </w:pPr>
            <w:r w:rsidRPr="00B9320C">
              <w:rPr>
                <w:sz w:val="18"/>
                <w:szCs w:val="18"/>
              </w:rPr>
              <w:t>48%</w:t>
            </w:r>
          </w:p>
        </w:tc>
      </w:tr>
      <w:tr w:rsidR="001C19F3" w14:paraId="73DF7C09" w14:textId="77777777" w:rsidTr="00521305">
        <w:trPr>
          <w:jc w:val="center"/>
        </w:trPr>
        <w:tc>
          <w:tcPr>
            <w:tcW w:w="1369" w:type="pct"/>
          </w:tcPr>
          <w:p w14:paraId="6086C42B" w14:textId="77777777" w:rsidR="001C19F3" w:rsidRPr="005F4A16" w:rsidRDefault="001C19F3" w:rsidP="00521305">
            <w:pPr>
              <w:spacing w:after="0"/>
              <w:rPr>
                <w:b/>
                <w:sz w:val="18"/>
                <w:szCs w:val="18"/>
              </w:rPr>
            </w:pPr>
            <w:r w:rsidRPr="005F4A16">
              <w:rPr>
                <w:b/>
                <w:sz w:val="18"/>
                <w:szCs w:val="18"/>
              </w:rPr>
              <w:t>Total</w:t>
            </w:r>
          </w:p>
        </w:tc>
        <w:tc>
          <w:tcPr>
            <w:tcW w:w="867" w:type="pct"/>
          </w:tcPr>
          <w:p w14:paraId="2D209B7C" w14:textId="77777777" w:rsidR="001C19F3" w:rsidRPr="005F4A16" w:rsidRDefault="001C19F3" w:rsidP="00521305">
            <w:pPr>
              <w:spacing w:after="0"/>
              <w:jc w:val="center"/>
              <w:rPr>
                <w:b/>
                <w:sz w:val="18"/>
                <w:szCs w:val="18"/>
              </w:rPr>
            </w:pPr>
            <w:r w:rsidRPr="005F4A16">
              <w:rPr>
                <w:b/>
                <w:sz w:val="18"/>
                <w:szCs w:val="18"/>
              </w:rPr>
              <w:t>65,000</w:t>
            </w:r>
          </w:p>
        </w:tc>
        <w:tc>
          <w:tcPr>
            <w:tcW w:w="860" w:type="pct"/>
          </w:tcPr>
          <w:p w14:paraId="56F9B32C" w14:textId="77777777" w:rsidR="001C19F3" w:rsidRPr="005F4A16" w:rsidRDefault="001C19F3" w:rsidP="00521305">
            <w:pPr>
              <w:spacing w:after="0"/>
              <w:jc w:val="center"/>
              <w:rPr>
                <w:b/>
                <w:sz w:val="18"/>
                <w:szCs w:val="18"/>
              </w:rPr>
            </w:pPr>
            <w:r w:rsidRPr="005F4A16">
              <w:rPr>
                <w:b/>
                <w:sz w:val="18"/>
                <w:szCs w:val="18"/>
              </w:rPr>
              <w:t>55,000</w:t>
            </w:r>
          </w:p>
        </w:tc>
        <w:tc>
          <w:tcPr>
            <w:tcW w:w="952" w:type="pct"/>
          </w:tcPr>
          <w:p w14:paraId="445B71A1" w14:textId="77777777" w:rsidR="001C19F3" w:rsidRPr="005F4A16" w:rsidRDefault="001C19F3" w:rsidP="00521305">
            <w:pPr>
              <w:spacing w:after="0"/>
              <w:jc w:val="center"/>
              <w:rPr>
                <w:b/>
                <w:sz w:val="18"/>
                <w:szCs w:val="18"/>
              </w:rPr>
            </w:pPr>
            <w:r w:rsidRPr="005F4A16">
              <w:rPr>
                <w:b/>
                <w:sz w:val="18"/>
                <w:szCs w:val="18"/>
              </w:rPr>
              <w:t>10,161</w:t>
            </w:r>
          </w:p>
        </w:tc>
        <w:tc>
          <w:tcPr>
            <w:tcW w:w="952" w:type="pct"/>
          </w:tcPr>
          <w:p w14:paraId="032314BE" w14:textId="77777777" w:rsidR="001C19F3" w:rsidRPr="00B9320C" w:rsidRDefault="001C19F3" w:rsidP="00521305">
            <w:pPr>
              <w:spacing w:after="0"/>
              <w:jc w:val="center"/>
              <w:rPr>
                <w:sz w:val="18"/>
                <w:szCs w:val="18"/>
              </w:rPr>
            </w:pPr>
          </w:p>
        </w:tc>
      </w:tr>
    </w:tbl>
    <w:p w14:paraId="5FA65C42" w14:textId="77777777" w:rsidR="001C19F3" w:rsidRPr="00C82F70" w:rsidRDefault="001C19F3" w:rsidP="001C19F3">
      <w:pPr>
        <w:pStyle w:val="Chartortablefootnote"/>
      </w:pPr>
      <w:r w:rsidRPr="000E349F">
        <w:t xml:space="preserve">Sources: </w:t>
      </w:r>
      <w:r w:rsidRPr="00C746E6">
        <w:rPr>
          <w:vertAlign w:val="superscript"/>
        </w:rPr>
        <w:t>1</w:t>
      </w:r>
      <w:r>
        <w:rPr>
          <w:vertAlign w:val="superscript"/>
        </w:rPr>
        <w:t xml:space="preserve"> </w:t>
      </w:r>
      <w:r w:rsidRPr="000E349F">
        <w:fldChar w:fldCharType="begin"/>
      </w:r>
      <w:r>
        <w:instrText xml:space="preserve"> ADDIN EN.CITE &lt;EndNote&gt;&lt;Cite&gt;&lt;Author&gt;Australian Government Department of Health&lt;/Author&gt;&lt;Year&gt;2016&lt;/Year&gt;&lt;RecNum&gt;519&lt;/RecNum&gt;&lt;DisplayText&gt;Australian Government Department of Health, 2016b&lt;/DisplayText&gt;&lt;record&gt;&lt;rec-number&gt;519&lt;/rec-number&gt;&lt;foreign-keys&gt;&lt;key app="EN" db-id="zdz9xax04zr9v0evw2nvrpw9xe9ttzvs5zsv" timestamp="1485909718"&gt;519&lt;/key&gt;&lt;/foreign-keys&gt;&lt;ref-type name="Electronic Book"&gt;44&lt;/ref-type&gt;&lt;contributors&gt;&lt;authors&gt;&lt;author&gt;Australian Government Department of Health,,&lt;/author&gt;&lt;/authors&gt;&lt;/contributors&gt;&lt;titles&gt;&lt;title&gt;Factsheet: Stage one modelling&lt;/title&gt;&lt;/titles&gt;&lt;dates&gt;&lt;year&gt;2016&lt;/year&gt;&lt;/dates&gt;&lt;urls&gt;&lt;related-urls&gt;&lt;url&gt;http://www.health.gov.au/internet/main/publishing.nsf/Content/health-care-homes&lt;/url&gt;&lt;/related-urls&gt;&lt;/urls&gt;&lt;custom2&gt;01/02/2017&lt;/custom2&gt;&lt;/record&gt;&lt;/Cite&gt;&lt;/EndNote&gt;</w:instrText>
      </w:r>
      <w:r w:rsidRPr="000E349F">
        <w:fldChar w:fldCharType="separate"/>
      </w:r>
      <w:r w:rsidRPr="000E349F">
        <w:rPr>
          <w:noProof/>
        </w:rPr>
        <w:t>Australian Government Department of Health, 2016b</w:t>
      </w:r>
      <w:r w:rsidRPr="000E349F">
        <w:fldChar w:fldCharType="end"/>
      </w:r>
      <w:r w:rsidRPr="000E349F">
        <w:t xml:space="preserve">; </w:t>
      </w:r>
      <w:r w:rsidRPr="00C746E6">
        <w:rPr>
          <w:vertAlign w:val="superscript"/>
        </w:rPr>
        <w:t>2</w:t>
      </w:r>
      <w:r>
        <w:rPr>
          <w:vertAlign w:val="superscript"/>
        </w:rPr>
        <w:t xml:space="preserve"> </w:t>
      </w:r>
      <w:r w:rsidRPr="000E349F">
        <w:fldChar w:fldCharType="begin"/>
      </w:r>
      <w:r>
        <w:instrText xml:space="preserve"> ADDIN EN.CITE &lt;EndNote&gt;&lt;Cite&gt;&lt;Author&gt;Australian Government Department of Health&lt;/Author&gt;&lt;Year&gt;2018&lt;/Year&gt;&lt;RecNum&gt;1058&lt;/RecNum&gt;&lt;DisplayText&gt;Australian Government Department of Health, 2018b&lt;/DisplayText&gt;&lt;record&gt;&lt;rec-number&gt;1058&lt;/rec-number&gt;&lt;foreign-keys&gt;&lt;key app="EN" db-id="zdz9xax04zr9v0evw2nvrpw9xe9ttzvs5zsv" timestamp="1536719165"&gt;1058&lt;/key&gt;&lt;/foreign-keys&gt;&lt;ref-type name="Unpublished Work"&gt;34&lt;/ref-type&gt;&lt;contributors&gt;&lt;authors&gt;&lt;author&gt;Australian Government Department of Health,,&lt;/author&gt;&lt;/authors&gt;&lt;/contributors&gt;&lt;titles&gt;&lt;title&gt;Health Care Homes Clinical Reference Group Q&amp;amp;As&lt;/title&gt;&lt;/titles&gt;&lt;dates&gt;&lt;year&gt;2018&lt;/year&gt;&lt;/dates&gt;&lt;urls&gt;&lt;/urls&gt;&lt;/record&gt;&lt;/Cite&gt;&lt;/EndNote&gt;</w:instrText>
      </w:r>
      <w:r w:rsidRPr="000E349F">
        <w:fldChar w:fldCharType="separate"/>
      </w:r>
      <w:r>
        <w:rPr>
          <w:noProof/>
        </w:rPr>
        <w:t>Australian Government Department of Health, 2018b</w:t>
      </w:r>
      <w:r w:rsidRPr="000E349F">
        <w:fldChar w:fldCharType="end"/>
      </w:r>
      <w:r>
        <w:t xml:space="preserve">; </w:t>
      </w:r>
      <w:r w:rsidRPr="00C746E6">
        <w:rPr>
          <w:vertAlign w:val="superscript"/>
        </w:rPr>
        <w:t>3</w:t>
      </w:r>
      <w:r>
        <w:rPr>
          <w:vertAlign w:val="superscript"/>
        </w:rPr>
        <w:t xml:space="preserve"> </w:t>
      </w:r>
      <w:r w:rsidRPr="000E349F">
        <w:t>As at 31 August 2019</w:t>
      </w:r>
      <w:r>
        <w:t>.</w:t>
      </w:r>
    </w:p>
    <w:p w14:paraId="0C2E2B9E" w14:textId="77777777" w:rsidR="001C19F3" w:rsidRDefault="001C19F3" w:rsidP="001C19F3"/>
    <w:p w14:paraId="624C057E" w14:textId="77777777" w:rsidR="001C19F3" w:rsidRDefault="001C19F3" w:rsidP="001C19F3">
      <w:pPr>
        <w:pStyle w:val="Heading2"/>
      </w:pPr>
      <w:bookmarkStart w:id="154" w:name="_Toc20151665"/>
      <w:bookmarkStart w:id="155" w:name="_Toc27056555"/>
      <w:bookmarkEnd w:id="145"/>
      <w:r>
        <w:lastRenderedPageBreak/>
        <w:t>Reasons for patients withdrawing</w:t>
      </w:r>
      <w:bookmarkEnd w:id="154"/>
      <w:bookmarkEnd w:id="155"/>
    </w:p>
    <w:p w14:paraId="197B9C5A" w14:textId="77777777" w:rsidR="001C19F3" w:rsidRDefault="001C19F3" w:rsidP="001C19F3">
      <w:bookmarkStart w:id="156" w:name="_Hlk21011549"/>
      <w:r w:rsidRPr="00FB143C">
        <w:t xml:space="preserve">Table 15 details the reasons for </w:t>
      </w:r>
      <w:r>
        <w:t xml:space="preserve">patients </w:t>
      </w:r>
      <w:r w:rsidRPr="00FB143C">
        <w:t>withdrawing</w:t>
      </w:r>
      <w:r>
        <w:t xml:space="preserve"> from the program</w:t>
      </w:r>
      <w:r w:rsidRPr="00FB143C">
        <w:t>.</w:t>
      </w:r>
      <w:r>
        <w:t xml:space="preserve"> </w:t>
      </w:r>
      <w:r w:rsidRPr="00FB143C">
        <w:t xml:space="preserve">The main reasons were </w:t>
      </w:r>
      <w:r>
        <w:t xml:space="preserve">the patient had opted out (32%) or </w:t>
      </w:r>
      <w:r w:rsidRPr="00FB143C">
        <w:t>the practice had withdrawn from the program (</w:t>
      </w:r>
      <w:r>
        <w:t>31</w:t>
      </w:r>
      <w:r w:rsidRPr="00FB143C">
        <w:t>%). Most other withdrawals related to the dynamic nature of practices populations</w:t>
      </w:r>
      <w:r>
        <w:t>, including</w:t>
      </w:r>
      <w:r w:rsidRPr="00FB143C">
        <w:t>: patient no longer with the practice (1</w:t>
      </w:r>
      <w:r>
        <w:t>6</w:t>
      </w:r>
      <w:r w:rsidRPr="00FB143C">
        <w:t>%), patient has moved from the area (</w:t>
      </w:r>
      <w:r>
        <w:t>9</w:t>
      </w:r>
      <w:r w:rsidRPr="00FB143C">
        <w:t xml:space="preserve">%) </w:t>
      </w:r>
      <w:r>
        <w:t>or the</w:t>
      </w:r>
      <w:r w:rsidRPr="00FB143C">
        <w:t xml:space="preserve"> patient </w:t>
      </w:r>
      <w:r>
        <w:t>died</w:t>
      </w:r>
      <w:r w:rsidRPr="00FB143C">
        <w:t xml:space="preserve"> (</w:t>
      </w:r>
      <w:r>
        <w:t>11</w:t>
      </w:r>
      <w:r w:rsidRPr="00FB143C">
        <w:t>%)</w:t>
      </w:r>
      <w:r>
        <w:t>.</w:t>
      </w:r>
    </w:p>
    <w:p w14:paraId="3629D98D" w14:textId="77777777" w:rsidR="001C19F3" w:rsidRDefault="001C19F3" w:rsidP="001C19F3">
      <w:pPr>
        <w:spacing w:after="0"/>
        <w:jc w:val="center"/>
        <w:rPr>
          <w:b/>
        </w:rPr>
      </w:pPr>
      <w:bookmarkStart w:id="157" w:name="_Ref20757734"/>
      <w:bookmarkStart w:id="158" w:name="_Hlk20905823"/>
      <w:bookmarkEnd w:id="156"/>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16</w:t>
      </w:r>
      <w:r w:rsidRPr="007E3ABB">
        <w:rPr>
          <w:rFonts w:cs="Arial"/>
          <w:b/>
          <w:color w:val="000000" w:themeColor="text1"/>
        </w:rPr>
        <w:fldChar w:fldCharType="end"/>
      </w:r>
      <w:bookmarkEnd w:id="157"/>
      <w:r w:rsidRPr="007E3ABB">
        <w:rPr>
          <w:b/>
        </w:rPr>
        <w:t xml:space="preserve"> – </w:t>
      </w:r>
      <w:r>
        <w:rPr>
          <w:b/>
        </w:rPr>
        <w:t>Number of patients withdrawing from HCH and reasons: 31 August 2019</w:t>
      </w:r>
    </w:p>
    <w:tbl>
      <w:tblPr>
        <w:tblW w:w="343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69"/>
        <w:gridCol w:w="832"/>
        <w:gridCol w:w="1289"/>
      </w:tblGrid>
      <w:tr w:rsidR="001C19F3" w14:paraId="039F1073" w14:textId="77777777" w:rsidTr="00521305">
        <w:trPr>
          <w:tblHeader/>
          <w:jc w:val="center"/>
        </w:trPr>
        <w:tc>
          <w:tcPr>
            <w:tcW w:w="0" w:type="auto"/>
            <w:shd w:val="clear" w:color="auto" w:fill="003D79"/>
            <w:tcMar>
              <w:top w:w="0" w:type="dxa"/>
              <w:left w:w="0" w:type="dxa"/>
              <w:bottom w:w="0" w:type="dxa"/>
              <w:right w:w="0" w:type="dxa"/>
            </w:tcMar>
            <w:vAlign w:val="center"/>
          </w:tcPr>
          <w:p w14:paraId="7E8BBA2E" w14:textId="77777777" w:rsidR="001C19F3" w:rsidRPr="007F0DB7" w:rsidRDefault="001C19F3" w:rsidP="00521305">
            <w:pPr>
              <w:spacing w:before="40" w:after="40"/>
              <w:jc w:val="center"/>
              <w:rPr>
                <w:rFonts w:cs="Century Gothic"/>
                <w:b/>
                <w:color w:val="FFFFFF"/>
                <w:sz w:val="18"/>
                <w:szCs w:val="18"/>
              </w:rPr>
            </w:pPr>
            <w:r>
              <w:rPr>
                <w:rFonts w:cs="Century Gothic"/>
                <w:b/>
                <w:color w:val="FFFFFF"/>
                <w:sz w:val="18"/>
                <w:szCs w:val="18"/>
              </w:rPr>
              <w:t>Reason</w:t>
            </w:r>
          </w:p>
        </w:tc>
        <w:tc>
          <w:tcPr>
            <w:tcW w:w="0" w:type="auto"/>
            <w:shd w:val="clear" w:color="auto" w:fill="003D79"/>
            <w:tcMar>
              <w:top w:w="0" w:type="dxa"/>
              <w:left w:w="0" w:type="dxa"/>
              <w:bottom w:w="0" w:type="dxa"/>
              <w:right w:w="0" w:type="dxa"/>
            </w:tcMar>
            <w:vAlign w:val="center"/>
          </w:tcPr>
          <w:p w14:paraId="51726D3F" w14:textId="77777777" w:rsidR="001C19F3" w:rsidRPr="007F0DB7" w:rsidRDefault="001C19F3" w:rsidP="00521305">
            <w:pPr>
              <w:spacing w:before="40" w:after="40"/>
              <w:jc w:val="center"/>
              <w:rPr>
                <w:rFonts w:cs="Century Gothic"/>
                <w:b/>
                <w:color w:val="FFFFFF"/>
                <w:sz w:val="18"/>
                <w:szCs w:val="18"/>
              </w:rPr>
            </w:pPr>
            <w:r w:rsidRPr="007F0DB7">
              <w:rPr>
                <w:rFonts w:cs="Century Gothic"/>
                <w:b/>
                <w:color w:val="FFFFFF"/>
                <w:sz w:val="18"/>
                <w:szCs w:val="18"/>
              </w:rPr>
              <w:t>Total</w:t>
            </w:r>
          </w:p>
        </w:tc>
        <w:tc>
          <w:tcPr>
            <w:tcW w:w="0" w:type="auto"/>
            <w:shd w:val="clear" w:color="auto" w:fill="003D79"/>
            <w:tcMar>
              <w:top w:w="0" w:type="dxa"/>
              <w:left w:w="0" w:type="dxa"/>
              <w:bottom w:w="0" w:type="dxa"/>
              <w:right w:w="0" w:type="dxa"/>
            </w:tcMar>
            <w:vAlign w:val="center"/>
          </w:tcPr>
          <w:p w14:paraId="2DD5F184" w14:textId="77777777" w:rsidR="001C19F3" w:rsidRPr="007F0DB7" w:rsidRDefault="001C19F3" w:rsidP="00521305">
            <w:pPr>
              <w:spacing w:before="40" w:after="40"/>
              <w:jc w:val="center"/>
              <w:rPr>
                <w:rFonts w:cs="Century Gothic"/>
                <w:b/>
                <w:color w:val="FFFFFF"/>
                <w:sz w:val="18"/>
                <w:szCs w:val="18"/>
              </w:rPr>
            </w:pPr>
            <w:r>
              <w:rPr>
                <w:rFonts w:cs="Century Gothic"/>
                <w:b/>
                <w:color w:val="FFFFFF"/>
                <w:sz w:val="18"/>
                <w:szCs w:val="18"/>
              </w:rPr>
              <w:t>Percentage</w:t>
            </w:r>
          </w:p>
        </w:tc>
      </w:tr>
      <w:tr w:rsidR="001C19F3" w14:paraId="6B8876FC" w14:textId="77777777" w:rsidTr="00521305">
        <w:trPr>
          <w:jc w:val="center"/>
        </w:trPr>
        <w:tc>
          <w:tcPr>
            <w:tcW w:w="0" w:type="auto"/>
            <w:tcMar>
              <w:top w:w="0" w:type="dxa"/>
              <w:left w:w="0" w:type="dxa"/>
              <w:bottom w:w="0" w:type="dxa"/>
              <w:right w:w="0" w:type="dxa"/>
            </w:tcMar>
          </w:tcPr>
          <w:p w14:paraId="0846C7CC" w14:textId="77777777" w:rsidR="001C19F3" w:rsidRPr="005E5E3B" w:rsidRDefault="001C19F3" w:rsidP="00521305">
            <w:pPr>
              <w:spacing w:before="40" w:after="40"/>
              <w:ind w:left="160" w:right="40"/>
              <w:rPr>
                <w:rFonts w:cs="Century Gothic"/>
                <w:color w:val="000000"/>
                <w:sz w:val="18"/>
                <w:szCs w:val="18"/>
              </w:rPr>
            </w:pPr>
            <w:r w:rsidRPr="005E5E3B">
              <w:rPr>
                <w:sz w:val="18"/>
                <w:szCs w:val="18"/>
              </w:rPr>
              <w:t>Patient death recorded</w:t>
            </w:r>
          </w:p>
        </w:tc>
        <w:tc>
          <w:tcPr>
            <w:tcW w:w="0" w:type="auto"/>
            <w:tcMar>
              <w:top w:w="0" w:type="dxa"/>
              <w:left w:w="0" w:type="dxa"/>
              <w:bottom w:w="0" w:type="dxa"/>
              <w:right w:w="0" w:type="dxa"/>
            </w:tcMar>
          </w:tcPr>
          <w:p w14:paraId="1E6BA38B"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131</w:t>
            </w:r>
          </w:p>
        </w:tc>
        <w:tc>
          <w:tcPr>
            <w:tcW w:w="0" w:type="auto"/>
            <w:tcMar>
              <w:top w:w="0" w:type="dxa"/>
              <w:left w:w="0" w:type="dxa"/>
              <w:bottom w:w="0" w:type="dxa"/>
              <w:right w:w="0" w:type="dxa"/>
            </w:tcMar>
          </w:tcPr>
          <w:p w14:paraId="226DDB72"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11%</w:t>
            </w:r>
          </w:p>
        </w:tc>
      </w:tr>
      <w:tr w:rsidR="001C19F3" w14:paraId="418737BC" w14:textId="77777777" w:rsidTr="00521305">
        <w:trPr>
          <w:jc w:val="center"/>
        </w:trPr>
        <w:tc>
          <w:tcPr>
            <w:tcW w:w="0" w:type="auto"/>
            <w:tcMar>
              <w:top w:w="0" w:type="dxa"/>
              <w:left w:w="0" w:type="dxa"/>
              <w:bottom w:w="0" w:type="dxa"/>
              <w:right w:w="0" w:type="dxa"/>
            </w:tcMar>
          </w:tcPr>
          <w:p w14:paraId="6D4981D4" w14:textId="77777777" w:rsidR="001C19F3" w:rsidRPr="005E5E3B" w:rsidRDefault="001C19F3" w:rsidP="00521305">
            <w:pPr>
              <w:spacing w:before="40" w:after="40"/>
              <w:ind w:left="160" w:right="40"/>
              <w:rPr>
                <w:rFonts w:cs="Century Gothic"/>
                <w:color w:val="000000"/>
                <w:sz w:val="18"/>
                <w:szCs w:val="18"/>
              </w:rPr>
            </w:pPr>
            <w:r w:rsidRPr="005E5E3B">
              <w:rPr>
                <w:sz w:val="18"/>
                <w:szCs w:val="18"/>
              </w:rPr>
              <w:t>Patient has moved from the area</w:t>
            </w:r>
          </w:p>
        </w:tc>
        <w:tc>
          <w:tcPr>
            <w:tcW w:w="0" w:type="auto"/>
            <w:tcMar>
              <w:top w:w="0" w:type="dxa"/>
              <w:left w:w="0" w:type="dxa"/>
              <w:bottom w:w="0" w:type="dxa"/>
              <w:right w:w="0" w:type="dxa"/>
            </w:tcMar>
          </w:tcPr>
          <w:p w14:paraId="38068B97"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115</w:t>
            </w:r>
          </w:p>
        </w:tc>
        <w:tc>
          <w:tcPr>
            <w:tcW w:w="0" w:type="auto"/>
            <w:tcMar>
              <w:top w:w="0" w:type="dxa"/>
              <w:left w:w="0" w:type="dxa"/>
              <w:bottom w:w="0" w:type="dxa"/>
              <w:right w:w="0" w:type="dxa"/>
            </w:tcMar>
          </w:tcPr>
          <w:p w14:paraId="6E25F725"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9%</w:t>
            </w:r>
          </w:p>
        </w:tc>
      </w:tr>
      <w:tr w:rsidR="001C19F3" w14:paraId="054FB3B8" w14:textId="77777777" w:rsidTr="00521305">
        <w:trPr>
          <w:jc w:val="center"/>
        </w:trPr>
        <w:tc>
          <w:tcPr>
            <w:tcW w:w="0" w:type="auto"/>
            <w:tcMar>
              <w:top w:w="0" w:type="dxa"/>
              <w:left w:w="0" w:type="dxa"/>
              <w:bottom w:w="0" w:type="dxa"/>
              <w:right w:w="0" w:type="dxa"/>
            </w:tcMar>
          </w:tcPr>
          <w:p w14:paraId="7B71F359" w14:textId="77777777" w:rsidR="001C19F3" w:rsidRPr="005E5E3B" w:rsidRDefault="001C19F3" w:rsidP="00521305">
            <w:pPr>
              <w:spacing w:before="40" w:after="40"/>
              <w:ind w:left="160" w:right="40"/>
              <w:rPr>
                <w:rFonts w:cs="Century Gothic"/>
                <w:color w:val="000000"/>
                <w:sz w:val="18"/>
                <w:szCs w:val="18"/>
              </w:rPr>
            </w:pPr>
            <w:r w:rsidRPr="005E5E3B">
              <w:rPr>
                <w:sz w:val="18"/>
                <w:szCs w:val="18"/>
              </w:rPr>
              <w:t>Patient has opted out</w:t>
            </w:r>
          </w:p>
        </w:tc>
        <w:tc>
          <w:tcPr>
            <w:tcW w:w="0" w:type="auto"/>
            <w:tcMar>
              <w:top w:w="0" w:type="dxa"/>
              <w:left w:w="0" w:type="dxa"/>
              <w:bottom w:w="0" w:type="dxa"/>
              <w:right w:w="0" w:type="dxa"/>
            </w:tcMar>
          </w:tcPr>
          <w:p w14:paraId="5D91852E"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386</w:t>
            </w:r>
          </w:p>
        </w:tc>
        <w:tc>
          <w:tcPr>
            <w:tcW w:w="0" w:type="auto"/>
            <w:tcMar>
              <w:top w:w="0" w:type="dxa"/>
              <w:left w:w="0" w:type="dxa"/>
              <w:bottom w:w="0" w:type="dxa"/>
              <w:right w:w="0" w:type="dxa"/>
            </w:tcMar>
          </w:tcPr>
          <w:p w14:paraId="32AF2CA0"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32%</w:t>
            </w:r>
          </w:p>
        </w:tc>
      </w:tr>
      <w:tr w:rsidR="001C19F3" w14:paraId="72AC4E3C" w14:textId="77777777" w:rsidTr="00521305">
        <w:trPr>
          <w:jc w:val="center"/>
        </w:trPr>
        <w:tc>
          <w:tcPr>
            <w:tcW w:w="0" w:type="auto"/>
            <w:tcMar>
              <w:top w:w="0" w:type="dxa"/>
              <w:left w:w="0" w:type="dxa"/>
              <w:bottom w:w="0" w:type="dxa"/>
              <w:right w:w="0" w:type="dxa"/>
            </w:tcMar>
          </w:tcPr>
          <w:p w14:paraId="5DAE5928" w14:textId="77777777" w:rsidR="001C19F3" w:rsidRPr="005E5E3B" w:rsidRDefault="001C19F3" w:rsidP="00521305">
            <w:pPr>
              <w:spacing w:before="40" w:after="40"/>
              <w:ind w:left="160" w:right="40"/>
              <w:rPr>
                <w:rFonts w:cs="Century Gothic"/>
                <w:color w:val="000000"/>
                <w:sz w:val="18"/>
                <w:szCs w:val="18"/>
              </w:rPr>
            </w:pPr>
            <w:r w:rsidRPr="005E5E3B">
              <w:rPr>
                <w:sz w:val="18"/>
                <w:szCs w:val="18"/>
              </w:rPr>
              <w:t>Patient no longer with the practice</w:t>
            </w:r>
          </w:p>
        </w:tc>
        <w:tc>
          <w:tcPr>
            <w:tcW w:w="0" w:type="auto"/>
            <w:tcMar>
              <w:top w:w="0" w:type="dxa"/>
              <w:left w:w="0" w:type="dxa"/>
              <w:bottom w:w="0" w:type="dxa"/>
              <w:right w:w="0" w:type="dxa"/>
            </w:tcMar>
          </w:tcPr>
          <w:p w14:paraId="049F4008"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190</w:t>
            </w:r>
          </w:p>
        </w:tc>
        <w:tc>
          <w:tcPr>
            <w:tcW w:w="0" w:type="auto"/>
            <w:tcMar>
              <w:top w:w="0" w:type="dxa"/>
              <w:left w:w="0" w:type="dxa"/>
              <w:bottom w:w="0" w:type="dxa"/>
              <w:right w:w="0" w:type="dxa"/>
            </w:tcMar>
          </w:tcPr>
          <w:p w14:paraId="6C6826FB"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16%</w:t>
            </w:r>
          </w:p>
        </w:tc>
      </w:tr>
      <w:tr w:rsidR="001C19F3" w14:paraId="66A49747" w14:textId="77777777" w:rsidTr="00521305">
        <w:trPr>
          <w:jc w:val="center"/>
        </w:trPr>
        <w:tc>
          <w:tcPr>
            <w:tcW w:w="0" w:type="auto"/>
            <w:tcMar>
              <w:top w:w="0" w:type="dxa"/>
              <w:left w:w="0" w:type="dxa"/>
              <w:bottom w:w="0" w:type="dxa"/>
              <w:right w:w="0" w:type="dxa"/>
            </w:tcMar>
          </w:tcPr>
          <w:p w14:paraId="57425918" w14:textId="77777777" w:rsidR="001C19F3" w:rsidRPr="005E5E3B" w:rsidRDefault="001C19F3" w:rsidP="00521305">
            <w:pPr>
              <w:spacing w:before="40" w:after="40"/>
              <w:ind w:left="160" w:right="40"/>
              <w:rPr>
                <w:rFonts w:cs="Century Gothic"/>
                <w:color w:val="000000"/>
                <w:sz w:val="18"/>
                <w:szCs w:val="18"/>
              </w:rPr>
            </w:pPr>
            <w:r w:rsidRPr="005E5E3B">
              <w:rPr>
                <w:sz w:val="18"/>
                <w:szCs w:val="18"/>
              </w:rPr>
              <w:t>Patient not entitled to Medicare</w:t>
            </w:r>
          </w:p>
        </w:tc>
        <w:tc>
          <w:tcPr>
            <w:tcW w:w="0" w:type="auto"/>
            <w:tcMar>
              <w:top w:w="0" w:type="dxa"/>
              <w:left w:w="0" w:type="dxa"/>
              <w:bottom w:w="0" w:type="dxa"/>
              <w:right w:w="0" w:type="dxa"/>
            </w:tcMar>
          </w:tcPr>
          <w:p w14:paraId="2760CCF4"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3</w:t>
            </w:r>
          </w:p>
        </w:tc>
        <w:tc>
          <w:tcPr>
            <w:tcW w:w="0" w:type="auto"/>
            <w:tcMar>
              <w:top w:w="0" w:type="dxa"/>
              <w:left w:w="0" w:type="dxa"/>
              <w:bottom w:w="0" w:type="dxa"/>
              <w:right w:w="0" w:type="dxa"/>
            </w:tcMar>
          </w:tcPr>
          <w:p w14:paraId="47A3814F"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0%</w:t>
            </w:r>
          </w:p>
        </w:tc>
      </w:tr>
      <w:tr w:rsidR="001C19F3" w14:paraId="658BC054" w14:textId="77777777" w:rsidTr="00521305">
        <w:trPr>
          <w:jc w:val="center"/>
        </w:trPr>
        <w:tc>
          <w:tcPr>
            <w:tcW w:w="0" w:type="auto"/>
            <w:tcMar>
              <w:top w:w="0" w:type="dxa"/>
              <w:left w:w="0" w:type="dxa"/>
              <w:bottom w:w="0" w:type="dxa"/>
              <w:right w:w="0" w:type="dxa"/>
            </w:tcMar>
          </w:tcPr>
          <w:p w14:paraId="534C67FE" w14:textId="77777777" w:rsidR="001C19F3" w:rsidRPr="005E5E3B" w:rsidRDefault="001C19F3" w:rsidP="00521305">
            <w:pPr>
              <w:spacing w:before="40" w:after="40"/>
              <w:ind w:left="160" w:right="40"/>
              <w:rPr>
                <w:rFonts w:cs="Century Gothic"/>
                <w:color w:val="000000"/>
                <w:sz w:val="18"/>
                <w:szCs w:val="18"/>
              </w:rPr>
            </w:pPr>
            <w:r w:rsidRPr="005E5E3B">
              <w:rPr>
                <w:sz w:val="18"/>
                <w:szCs w:val="18"/>
              </w:rPr>
              <w:t>Practice withdrawn from HCH</w:t>
            </w:r>
          </w:p>
        </w:tc>
        <w:tc>
          <w:tcPr>
            <w:tcW w:w="0" w:type="auto"/>
            <w:tcMar>
              <w:top w:w="0" w:type="dxa"/>
              <w:left w:w="0" w:type="dxa"/>
              <w:bottom w:w="0" w:type="dxa"/>
              <w:right w:w="0" w:type="dxa"/>
            </w:tcMar>
          </w:tcPr>
          <w:p w14:paraId="353E5603"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379</w:t>
            </w:r>
          </w:p>
        </w:tc>
        <w:tc>
          <w:tcPr>
            <w:tcW w:w="0" w:type="auto"/>
            <w:tcMar>
              <w:top w:w="0" w:type="dxa"/>
              <w:left w:w="0" w:type="dxa"/>
              <w:bottom w:w="0" w:type="dxa"/>
              <w:right w:w="0" w:type="dxa"/>
            </w:tcMar>
          </w:tcPr>
          <w:p w14:paraId="337689A8" w14:textId="77777777" w:rsidR="001C19F3" w:rsidRPr="005E5E3B" w:rsidRDefault="001C19F3" w:rsidP="00521305">
            <w:pPr>
              <w:spacing w:before="40" w:after="40" w:line="240" w:lineRule="auto"/>
              <w:ind w:left="160" w:right="40"/>
              <w:jc w:val="right"/>
              <w:rPr>
                <w:rFonts w:cs="Century Gothic"/>
                <w:color w:val="000000"/>
                <w:sz w:val="18"/>
                <w:szCs w:val="18"/>
              </w:rPr>
            </w:pPr>
            <w:r w:rsidRPr="005E5E3B">
              <w:rPr>
                <w:sz w:val="18"/>
                <w:szCs w:val="18"/>
              </w:rPr>
              <w:t>31%</w:t>
            </w:r>
          </w:p>
        </w:tc>
      </w:tr>
      <w:tr w:rsidR="001C19F3" w14:paraId="1D1AE9EF" w14:textId="77777777" w:rsidTr="00521305">
        <w:trPr>
          <w:jc w:val="center"/>
        </w:trPr>
        <w:tc>
          <w:tcPr>
            <w:tcW w:w="0" w:type="auto"/>
            <w:tcMar>
              <w:top w:w="0" w:type="dxa"/>
              <w:left w:w="0" w:type="dxa"/>
              <w:bottom w:w="0" w:type="dxa"/>
              <w:right w:w="0" w:type="dxa"/>
            </w:tcMar>
          </w:tcPr>
          <w:p w14:paraId="3D5E4F9A" w14:textId="77777777" w:rsidR="001C19F3" w:rsidRPr="005E5E3B" w:rsidRDefault="001C19F3" w:rsidP="00521305">
            <w:pPr>
              <w:spacing w:before="40" w:after="40"/>
              <w:ind w:left="160" w:right="40"/>
              <w:rPr>
                <w:sz w:val="18"/>
                <w:szCs w:val="18"/>
              </w:rPr>
            </w:pPr>
            <w:r w:rsidRPr="005E5E3B">
              <w:rPr>
                <w:sz w:val="18"/>
                <w:szCs w:val="18"/>
              </w:rPr>
              <w:t>Enrolled in error</w:t>
            </w:r>
          </w:p>
        </w:tc>
        <w:tc>
          <w:tcPr>
            <w:tcW w:w="0" w:type="auto"/>
            <w:tcMar>
              <w:top w:w="0" w:type="dxa"/>
              <w:left w:w="0" w:type="dxa"/>
              <w:bottom w:w="0" w:type="dxa"/>
              <w:right w:w="0" w:type="dxa"/>
            </w:tcMar>
          </w:tcPr>
          <w:p w14:paraId="66208ECD" w14:textId="77777777" w:rsidR="001C19F3" w:rsidRPr="005E5E3B" w:rsidRDefault="001C19F3" w:rsidP="00521305">
            <w:pPr>
              <w:spacing w:before="40" w:after="40" w:line="240" w:lineRule="auto"/>
              <w:ind w:left="160" w:right="40"/>
              <w:jc w:val="right"/>
              <w:rPr>
                <w:sz w:val="18"/>
                <w:szCs w:val="18"/>
              </w:rPr>
            </w:pPr>
            <w:r w:rsidRPr="005E5E3B">
              <w:rPr>
                <w:sz w:val="18"/>
                <w:szCs w:val="18"/>
              </w:rPr>
              <w:t>10</w:t>
            </w:r>
          </w:p>
        </w:tc>
        <w:tc>
          <w:tcPr>
            <w:tcW w:w="0" w:type="auto"/>
            <w:tcMar>
              <w:top w:w="0" w:type="dxa"/>
              <w:left w:w="0" w:type="dxa"/>
              <w:bottom w:w="0" w:type="dxa"/>
              <w:right w:w="0" w:type="dxa"/>
            </w:tcMar>
          </w:tcPr>
          <w:p w14:paraId="0A132FBC" w14:textId="77777777" w:rsidR="001C19F3" w:rsidRPr="005E5E3B" w:rsidRDefault="001C19F3" w:rsidP="00521305">
            <w:pPr>
              <w:spacing w:before="40" w:after="40" w:line="240" w:lineRule="auto"/>
              <w:ind w:left="160" w:right="40"/>
              <w:jc w:val="right"/>
              <w:rPr>
                <w:sz w:val="18"/>
                <w:szCs w:val="18"/>
              </w:rPr>
            </w:pPr>
            <w:r w:rsidRPr="005E5E3B">
              <w:rPr>
                <w:sz w:val="18"/>
                <w:szCs w:val="18"/>
              </w:rPr>
              <w:t>1%</w:t>
            </w:r>
          </w:p>
        </w:tc>
      </w:tr>
      <w:tr w:rsidR="001C19F3" w14:paraId="789EE6CD" w14:textId="77777777" w:rsidTr="00521305">
        <w:trPr>
          <w:jc w:val="center"/>
        </w:trPr>
        <w:tc>
          <w:tcPr>
            <w:tcW w:w="0" w:type="auto"/>
            <w:tcMar>
              <w:top w:w="0" w:type="dxa"/>
              <w:left w:w="0" w:type="dxa"/>
              <w:bottom w:w="0" w:type="dxa"/>
              <w:right w:w="0" w:type="dxa"/>
            </w:tcMar>
          </w:tcPr>
          <w:p w14:paraId="2C8D36DD" w14:textId="77777777" w:rsidR="001C19F3" w:rsidRPr="005E5E3B" w:rsidRDefault="001C19F3" w:rsidP="00521305">
            <w:pPr>
              <w:spacing w:before="40" w:after="40"/>
              <w:ind w:left="160" w:right="40"/>
              <w:rPr>
                <w:rFonts w:cs="Century Gothic"/>
                <w:b/>
                <w:color w:val="000000"/>
                <w:sz w:val="18"/>
                <w:szCs w:val="18"/>
              </w:rPr>
            </w:pPr>
            <w:r w:rsidRPr="005E5E3B">
              <w:rPr>
                <w:sz w:val="18"/>
                <w:szCs w:val="18"/>
              </w:rPr>
              <w:t>Other</w:t>
            </w:r>
          </w:p>
        </w:tc>
        <w:tc>
          <w:tcPr>
            <w:tcW w:w="0" w:type="auto"/>
            <w:tcMar>
              <w:top w:w="0" w:type="dxa"/>
              <w:left w:w="0" w:type="dxa"/>
              <w:bottom w:w="0" w:type="dxa"/>
              <w:right w:w="0" w:type="dxa"/>
            </w:tcMar>
          </w:tcPr>
          <w:p w14:paraId="407E893D" w14:textId="77777777" w:rsidR="001C19F3" w:rsidRPr="005E5E3B" w:rsidRDefault="001C19F3" w:rsidP="00521305">
            <w:pPr>
              <w:spacing w:before="40" w:after="40"/>
              <w:ind w:left="160" w:right="40"/>
              <w:jc w:val="right"/>
              <w:rPr>
                <w:rFonts w:cs="Century Gothic"/>
                <w:b/>
                <w:color w:val="000000"/>
                <w:sz w:val="18"/>
                <w:szCs w:val="18"/>
              </w:rPr>
            </w:pPr>
            <w:r w:rsidRPr="005E5E3B">
              <w:rPr>
                <w:sz w:val="18"/>
                <w:szCs w:val="18"/>
              </w:rPr>
              <w:t>3</w:t>
            </w:r>
          </w:p>
        </w:tc>
        <w:tc>
          <w:tcPr>
            <w:tcW w:w="0" w:type="auto"/>
            <w:tcMar>
              <w:top w:w="0" w:type="dxa"/>
              <w:left w:w="0" w:type="dxa"/>
              <w:bottom w:w="0" w:type="dxa"/>
              <w:right w:w="0" w:type="dxa"/>
            </w:tcMar>
          </w:tcPr>
          <w:p w14:paraId="5163B18A" w14:textId="77777777" w:rsidR="001C19F3" w:rsidRPr="005E5E3B" w:rsidRDefault="001C19F3" w:rsidP="00521305">
            <w:pPr>
              <w:spacing w:before="40" w:after="40"/>
              <w:ind w:left="160" w:right="40"/>
              <w:jc w:val="right"/>
              <w:rPr>
                <w:rFonts w:cs="Century Gothic"/>
                <w:b/>
                <w:color w:val="000000"/>
                <w:sz w:val="18"/>
                <w:szCs w:val="18"/>
              </w:rPr>
            </w:pPr>
            <w:r w:rsidRPr="005E5E3B">
              <w:rPr>
                <w:sz w:val="18"/>
                <w:szCs w:val="18"/>
              </w:rPr>
              <w:t>0%</w:t>
            </w:r>
          </w:p>
        </w:tc>
      </w:tr>
      <w:tr w:rsidR="001C19F3" w14:paraId="1ED8ADCF" w14:textId="77777777" w:rsidTr="00521305">
        <w:trPr>
          <w:jc w:val="center"/>
        </w:trPr>
        <w:tc>
          <w:tcPr>
            <w:tcW w:w="0" w:type="auto"/>
            <w:tcMar>
              <w:top w:w="0" w:type="dxa"/>
              <w:left w:w="0" w:type="dxa"/>
              <w:bottom w:w="0" w:type="dxa"/>
              <w:right w:w="0" w:type="dxa"/>
            </w:tcMar>
          </w:tcPr>
          <w:p w14:paraId="0309475A" w14:textId="77777777" w:rsidR="001C19F3" w:rsidRPr="005F4A16" w:rsidRDefault="001C19F3" w:rsidP="00521305">
            <w:pPr>
              <w:spacing w:before="40" w:after="40"/>
              <w:ind w:left="160" w:right="40"/>
              <w:rPr>
                <w:b/>
                <w:sz w:val="18"/>
                <w:szCs w:val="18"/>
              </w:rPr>
            </w:pPr>
            <w:r w:rsidRPr="005F4A16">
              <w:rPr>
                <w:b/>
                <w:sz w:val="18"/>
                <w:szCs w:val="18"/>
              </w:rPr>
              <w:t>Total withdrawals</w:t>
            </w:r>
          </w:p>
        </w:tc>
        <w:tc>
          <w:tcPr>
            <w:tcW w:w="0" w:type="auto"/>
            <w:tcMar>
              <w:top w:w="0" w:type="dxa"/>
              <w:left w:w="0" w:type="dxa"/>
              <w:bottom w:w="0" w:type="dxa"/>
              <w:right w:w="0" w:type="dxa"/>
            </w:tcMar>
          </w:tcPr>
          <w:p w14:paraId="16030B5C" w14:textId="77777777" w:rsidR="001C19F3" w:rsidRPr="005F4A16" w:rsidRDefault="001C19F3" w:rsidP="00521305">
            <w:pPr>
              <w:spacing w:before="40" w:after="40"/>
              <w:ind w:left="160" w:right="40"/>
              <w:jc w:val="right"/>
              <w:rPr>
                <w:b/>
                <w:sz w:val="18"/>
                <w:szCs w:val="18"/>
              </w:rPr>
            </w:pPr>
            <w:r w:rsidRPr="005F4A16">
              <w:rPr>
                <w:b/>
                <w:sz w:val="18"/>
                <w:szCs w:val="18"/>
              </w:rPr>
              <w:t>1,217</w:t>
            </w:r>
          </w:p>
        </w:tc>
        <w:tc>
          <w:tcPr>
            <w:tcW w:w="0" w:type="auto"/>
            <w:tcMar>
              <w:top w:w="0" w:type="dxa"/>
              <w:left w:w="0" w:type="dxa"/>
              <w:bottom w:w="0" w:type="dxa"/>
              <w:right w:w="0" w:type="dxa"/>
            </w:tcMar>
          </w:tcPr>
          <w:p w14:paraId="0DD77CBA" w14:textId="77777777" w:rsidR="001C19F3" w:rsidRPr="005F4A16" w:rsidRDefault="001C19F3" w:rsidP="00521305">
            <w:pPr>
              <w:spacing w:before="40" w:after="40"/>
              <w:ind w:left="160" w:right="40"/>
              <w:jc w:val="right"/>
              <w:rPr>
                <w:b/>
                <w:sz w:val="18"/>
                <w:szCs w:val="18"/>
              </w:rPr>
            </w:pPr>
            <w:r w:rsidRPr="005F4A16">
              <w:rPr>
                <w:b/>
                <w:sz w:val="18"/>
                <w:szCs w:val="18"/>
              </w:rPr>
              <w:t>100%</w:t>
            </w:r>
          </w:p>
        </w:tc>
      </w:tr>
    </w:tbl>
    <w:p w14:paraId="7990A78D" w14:textId="77777777" w:rsidR="001C19F3" w:rsidRPr="00D371F0" w:rsidRDefault="001C19F3" w:rsidP="001C19F3">
      <w:pPr>
        <w:pStyle w:val="Chartortablefootnote"/>
        <w:rPr>
          <w:highlight w:val="cyan"/>
        </w:rPr>
      </w:pPr>
      <w:r w:rsidRPr="008746DD">
        <w:t xml:space="preserve">Source: Department of </w:t>
      </w:r>
      <w:r>
        <w:t>Human Services (provided through the Department of Health).</w:t>
      </w:r>
      <w:bookmarkEnd w:id="158"/>
      <w:r>
        <w:t xml:space="preserve"> </w:t>
      </w:r>
    </w:p>
    <w:p w14:paraId="3D78C5C2" w14:textId="77777777" w:rsidR="001C19F3" w:rsidRDefault="001C19F3" w:rsidP="001C19F3">
      <w:pPr>
        <w:pStyle w:val="Heading2"/>
      </w:pPr>
      <w:bookmarkStart w:id="159" w:name="_Toc27056556"/>
      <w:r>
        <w:t>Overview of the enrolment process</w:t>
      </w:r>
      <w:bookmarkEnd w:id="159"/>
    </w:p>
    <w:p w14:paraId="5D476EEE" w14:textId="77777777" w:rsidR="001C19F3" w:rsidRDefault="001C19F3" w:rsidP="001C19F3">
      <w:r>
        <w:t>A key feature of HCH is voluntary</w:t>
      </w:r>
      <w:r w:rsidRPr="0018214E">
        <w:t xml:space="preserve"> enrolment of </w:t>
      </w:r>
      <w:r>
        <w:t xml:space="preserve">patients </w:t>
      </w:r>
      <w:r w:rsidRPr="0018214E">
        <w:t xml:space="preserve">to </w:t>
      </w:r>
      <w:r>
        <w:t>a</w:t>
      </w:r>
      <w:r w:rsidRPr="0018214E">
        <w:t xml:space="preserve"> practice</w:t>
      </w:r>
      <w:r>
        <w:t xml:space="preserve"> and </w:t>
      </w:r>
      <w:r w:rsidRPr="0018214E">
        <w:t xml:space="preserve">a specific </w:t>
      </w:r>
      <w:r>
        <w:t>GP</w:t>
      </w:r>
      <w:r w:rsidRPr="0018214E">
        <w:t xml:space="preserve"> (</w:t>
      </w:r>
      <w:r w:rsidRPr="0018214E">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18214E">
        <w:fldChar w:fldCharType="separate"/>
      </w:r>
      <w:r>
        <w:rPr>
          <w:noProof/>
        </w:rPr>
        <w:t>Australian Government Department of Health, 2018c</w:t>
      </w:r>
      <w:r w:rsidRPr="0018214E">
        <w:fldChar w:fldCharType="end"/>
      </w:r>
      <w:r w:rsidRPr="0018214E">
        <w:t>).</w:t>
      </w:r>
      <w:r>
        <w:t xml:space="preserve"> Selected practices started enrolling patients on 1 October 2017, and the remainder could enrol from 1 December 2017. </w:t>
      </w:r>
      <w:r w:rsidRPr="0018214E">
        <w:t xml:space="preserve">Acknowledging that enrolling patients in HCH </w:t>
      </w:r>
      <w:r>
        <w:t xml:space="preserve">was </w:t>
      </w:r>
      <w:r w:rsidRPr="0018214E">
        <w:t xml:space="preserve">a new process for practices, </w:t>
      </w:r>
      <w:r>
        <w:t xml:space="preserve">GPs </w:t>
      </w:r>
      <w:r w:rsidRPr="0018214E">
        <w:t>and patients, the Department provided detailed guidance on this</w:t>
      </w:r>
      <w:r>
        <w:t>, shown</w:t>
      </w:r>
      <w:r w:rsidRPr="0018214E">
        <w:t xml:space="preserve"> in the box below.</w:t>
      </w:r>
    </w:p>
    <w:tbl>
      <w:tblPr>
        <w:tblW w:w="0" w:type="auto"/>
        <w:shd w:val="clear" w:color="auto" w:fill="F2F2F2" w:themeFill="background1" w:themeFillShade="F2"/>
        <w:tblLook w:val="04A0" w:firstRow="1" w:lastRow="0" w:firstColumn="1" w:lastColumn="0" w:noHBand="0" w:noVBand="1"/>
      </w:tblPr>
      <w:tblGrid>
        <w:gridCol w:w="9016"/>
      </w:tblGrid>
      <w:tr w:rsidR="001C19F3" w:rsidRPr="0018214E" w14:paraId="7EC2A43F" w14:textId="77777777" w:rsidTr="00521305">
        <w:tc>
          <w:tcPr>
            <w:tcW w:w="9016" w:type="dxa"/>
            <w:shd w:val="clear" w:color="auto" w:fill="F2F2F2" w:themeFill="background1" w:themeFillShade="F2"/>
          </w:tcPr>
          <w:p w14:paraId="187776EE" w14:textId="77777777" w:rsidR="001C19F3" w:rsidRPr="00AA1BF8" w:rsidRDefault="001C19F3" w:rsidP="00521305">
            <w:pPr>
              <w:jc w:val="center"/>
              <w:rPr>
                <w:b/>
                <w:sz w:val="18"/>
                <w:szCs w:val="18"/>
              </w:rPr>
            </w:pPr>
            <w:bookmarkStart w:id="160" w:name="Enrolment"/>
            <w:r w:rsidRPr="00AA1BF8">
              <w:rPr>
                <w:b/>
                <w:sz w:val="18"/>
                <w:szCs w:val="18"/>
              </w:rPr>
              <w:t>Patient enrolment process</w:t>
            </w:r>
          </w:p>
          <w:bookmarkEnd w:id="160"/>
          <w:p w14:paraId="3A1A5377" w14:textId="77777777" w:rsidR="001C19F3" w:rsidRPr="00AA1BF8" w:rsidRDefault="001C19F3" w:rsidP="00521305">
            <w:pPr>
              <w:rPr>
                <w:sz w:val="18"/>
                <w:szCs w:val="18"/>
              </w:rPr>
            </w:pPr>
            <w:r w:rsidRPr="00AA1BF8">
              <w:rPr>
                <w:b/>
                <w:sz w:val="18"/>
                <w:szCs w:val="18"/>
              </w:rPr>
              <w:t>Step 1: Identify potentially eligible patients (case finding)</w:t>
            </w:r>
            <w:r w:rsidRPr="00AA1BF8">
              <w:rPr>
                <w:sz w:val="18"/>
                <w:szCs w:val="18"/>
              </w:rPr>
              <w:t xml:space="preserve">. The HCH identifies potentially eligible patients via the first part of the RST (the predictive risk model or PRM). GPs may also identify patients considered to be suitable for HCH who were not flagged by the RST. </w:t>
            </w:r>
          </w:p>
          <w:p w14:paraId="1F00CF41" w14:textId="77777777" w:rsidR="001C19F3" w:rsidRPr="00AA1BF8" w:rsidRDefault="001C19F3" w:rsidP="00521305">
            <w:pPr>
              <w:rPr>
                <w:sz w:val="18"/>
                <w:szCs w:val="18"/>
              </w:rPr>
            </w:pPr>
            <w:r w:rsidRPr="00AA1BF8">
              <w:rPr>
                <w:b/>
                <w:sz w:val="18"/>
                <w:szCs w:val="18"/>
              </w:rPr>
              <w:t>Step 2: Discuss HCH with the patient</w:t>
            </w:r>
            <w:r w:rsidRPr="00AA1BF8">
              <w:rPr>
                <w:sz w:val="18"/>
                <w:szCs w:val="18"/>
              </w:rPr>
              <w:t xml:space="preserve">. The HCH checks that the patient holds a green or blue Medicare Card, that they are not a resident of a residential care facility or enrolled in the Department of Veterans’ Affairs Coordinated Veterans’ Care Program. The HCH invites the patient for a consultation. They give the patient a brochure about the program and information about out-of-pocket costs that may apply. </w:t>
            </w:r>
          </w:p>
          <w:p w14:paraId="7D1BADFA" w14:textId="77777777" w:rsidR="001C19F3" w:rsidRPr="00AA1BF8" w:rsidRDefault="001C19F3" w:rsidP="00521305">
            <w:pPr>
              <w:rPr>
                <w:sz w:val="18"/>
                <w:szCs w:val="18"/>
              </w:rPr>
            </w:pPr>
            <w:r w:rsidRPr="00AA1BF8">
              <w:rPr>
                <w:b/>
                <w:sz w:val="18"/>
                <w:szCs w:val="18"/>
              </w:rPr>
              <w:t>Step 3: Assign a risk tier</w:t>
            </w:r>
            <w:r w:rsidRPr="00AA1BF8">
              <w:rPr>
                <w:sz w:val="18"/>
                <w:szCs w:val="18"/>
              </w:rPr>
              <w:t>. The patient’s verbal consent to proceed with an assessment is obtained. A clinician completes the second stage of the RST, the HARP assessment, based on information provided by the patient during the consultation/assessment. The HARP score determines the eligibility of the patient. If eligible, the score is used to assign the patient to an HCH tier (1, 2 or 3). The RST issues a digital certificate related to the tier assignment, which is saved in the clinical management system.</w:t>
            </w:r>
          </w:p>
          <w:p w14:paraId="29EE46F5" w14:textId="77777777" w:rsidR="001C19F3" w:rsidRPr="00AA1BF8" w:rsidRDefault="001C19F3" w:rsidP="00521305">
            <w:pPr>
              <w:rPr>
                <w:sz w:val="18"/>
                <w:szCs w:val="18"/>
              </w:rPr>
            </w:pPr>
            <w:r w:rsidRPr="00AA1BF8">
              <w:rPr>
                <w:b/>
                <w:sz w:val="18"/>
                <w:szCs w:val="18"/>
              </w:rPr>
              <w:lastRenderedPageBreak/>
              <w:t>Step 4: Obtain patient’s consent to enrol in HCH</w:t>
            </w:r>
            <w:r w:rsidRPr="00AA1BF8">
              <w:rPr>
                <w:sz w:val="18"/>
                <w:szCs w:val="18"/>
              </w:rPr>
              <w:t>. The HCH answers any further questions that the patient has and gives the patient a consent/enrolment form and a resource pack with detailed information about HCH. The patient provides written consent to enrol in HCH.</w:t>
            </w:r>
          </w:p>
          <w:p w14:paraId="3524F7A7" w14:textId="77777777" w:rsidR="001C19F3" w:rsidRPr="00AA1BF8" w:rsidRDefault="001C19F3" w:rsidP="00521305">
            <w:pPr>
              <w:rPr>
                <w:sz w:val="18"/>
                <w:szCs w:val="18"/>
              </w:rPr>
            </w:pPr>
            <w:r w:rsidRPr="00AA1BF8">
              <w:rPr>
                <w:b/>
                <w:sz w:val="18"/>
                <w:szCs w:val="18"/>
              </w:rPr>
              <w:t>Step 5: Provide further information and complete any outstanding requirements</w:t>
            </w:r>
            <w:r w:rsidRPr="00AA1BF8">
              <w:rPr>
                <w:sz w:val="18"/>
                <w:szCs w:val="18"/>
              </w:rPr>
              <w:t>. The HCH gives the patient a copy of the patient handbook, and answers any further questions that they may have.</w:t>
            </w:r>
          </w:p>
          <w:p w14:paraId="663D828E" w14:textId="77777777" w:rsidR="001C19F3" w:rsidRPr="00AA1BF8" w:rsidRDefault="001C19F3" w:rsidP="00521305">
            <w:pPr>
              <w:rPr>
                <w:sz w:val="18"/>
                <w:szCs w:val="18"/>
              </w:rPr>
            </w:pPr>
            <w:r w:rsidRPr="00AA1BF8">
              <w:rPr>
                <w:b/>
                <w:sz w:val="18"/>
                <w:szCs w:val="18"/>
              </w:rPr>
              <w:t>Step 6: Register the patient</w:t>
            </w:r>
            <w:r w:rsidRPr="00AA1BF8">
              <w:rPr>
                <w:sz w:val="18"/>
                <w:szCs w:val="18"/>
              </w:rPr>
              <w:t>. This involves several components, as follows:</w:t>
            </w:r>
          </w:p>
          <w:p w14:paraId="60C666F6" w14:textId="77777777" w:rsidR="001C19F3" w:rsidRPr="00AA1BF8" w:rsidRDefault="001C19F3" w:rsidP="00521305">
            <w:pPr>
              <w:spacing w:after="120"/>
              <w:rPr>
                <w:sz w:val="18"/>
                <w:szCs w:val="18"/>
              </w:rPr>
            </w:pPr>
            <w:r w:rsidRPr="00AA1BF8">
              <w:rPr>
                <w:b/>
                <w:i/>
                <w:color w:val="595959" w:themeColor="text1" w:themeTint="A6"/>
                <w:sz w:val="18"/>
                <w:szCs w:val="18"/>
              </w:rPr>
              <w:t>Patient registration in HPOS</w:t>
            </w:r>
            <w:r w:rsidRPr="00AA1BF8">
              <w:rPr>
                <w:i/>
                <w:sz w:val="18"/>
                <w:szCs w:val="18"/>
              </w:rPr>
              <w:t xml:space="preserve">: This </w:t>
            </w:r>
            <w:r w:rsidRPr="00AA1BF8">
              <w:rPr>
                <w:sz w:val="18"/>
                <w:szCs w:val="18"/>
              </w:rPr>
              <w:t>must be completed within seven days of the patient completing the consent form.</w:t>
            </w:r>
          </w:p>
          <w:p w14:paraId="3668E25B" w14:textId="77777777" w:rsidR="001C19F3" w:rsidRPr="00AA1BF8" w:rsidRDefault="001C19F3" w:rsidP="00521305">
            <w:pPr>
              <w:spacing w:after="120"/>
              <w:rPr>
                <w:sz w:val="18"/>
                <w:szCs w:val="18"/>
              </w:rPr>
            </w:pPr>
            <w:r w:rsidRPr="00AA1BF8">
              <w:rPr>
                <w:b/>
                <w:i/>
                <w:color w:val="595959" w:themeColor="text1" w:themeTint="A6"/>
                <w:sz w:val="18"/>
                <w:szCs w:val="18"/>
              </w:rPr>
              <w:t>Practice clinical management system</w:t>
            </w:r>
            <w:r w:rsidRPr="00AA1BF8">
              <w:rPr>
                <w:i/>
                <w:color w:val="595959" w:themeColor="text1" w:themeTint="A6"/>
                <w:sz w:val="18"/>
                <w:szCs w:val="18"/>
              </w:rPr>
              <w:t xml:space="preserve">: </w:t>
            </w:r>
            <w:r w:rsidRPr="00AA1BF8">
              <w:rPr>
                <w:sz w:val="18"/>
                <w:szCs w:val="18"/>
              </w:rPr>
              <w:t xml:space="preserve">Patients should be flagged in the practice clinical management system so that they can be identified as HCH patients by clinicians in the practice that will contribute to their care. </w:t>
            </w:r>
          </w:p>
          <w:p w14:paraId="70C0819E" w14:textId="77777777" w:rsidR="001C19F3" w:rsidRPr="00AA1BF8" w:rsidRDefault="001C19F3" w:rsidP="00521305">
            <w:pPr>
              <w:spacing w:after="120"/>
              <w:rPr>
                <w:sz w:val="18"/>
                <w:szCs w:val="18"/>
              </w:rPr>
            </w:pPr>
            <w:r w:rsidRPr="00AA1BF8">
              <w:rPr>
                <w:b/>
                <w:i/>
                <w:color w:val="595959" w:themeColor="text1" w:themeTint="A6"/>
                <w:sz w:val="18"/>
                <w:szCs w:val="18"/>
              </w:rPr>
              <w:t>Clinical audit/data extraction tool</w:t>
            </w:r>
            <w:r w:rsidRPr="00AA1BF8">
              <w:rPr>
                <w:i/>
                <w:color w:val="595959" w:themeColor="text1" w:themeTint="A6"/>
                <w:sz w:val="18"/>
                <w:szCs w:val="18"/>
              </w:rPr>
              <w:t xml:space="preserve">: </w:t>
            </w:r>
            <w:r w:rsidRPr="00AA1BF8">
              <w:rPr>
                <w:sz w:val="18"/>
                <w:szCs w:val="18"/>
              </w:rPr>
              <w:t xml:space="preserve">The practice also flags HCH patients in the clinical audit/data extraction software, so that they can be identified as such in the practice extracts provided for the evaluation. </w:t>
            </w:r>
          </w:p>
          <w:p w14:paraId="24396BF5" w14:textId="77777777" w:rsidR="001C19F3" w:rsidRPr="00AA1BF8" w:rsidRDefault="001C19F3" w:rsidP="00521305">
            <w:pPr>
              <w:spacing w:after="120"/>
              <w:rPr>
                <w:sz w:val="18"/>
                <w:szCs w:val="18"/>
              </w:rPr>
            </w:pPr>
            <w:r w:rsidRPr="00AA1BF8">
              <w:rPr>
                <w:b/>
                <w:i/>
                <w:color w:val="595959" w:themeColor="text1" w:themeTint="A6"/>
                <w:sz w:val="18"/>
                <w:szCs w:val="18"/>
              </w:rPr>
              <w:t>HCH evaluation app</w:t>
            </w:r>
            <w:r w:rsidRPr="00AA1BF8">
              <w:rPr>
                <w:i/>
                <w:sz w:val="18"/>
                <w:szCs w:val="18"/>
              </w:rPr>
              <w:t xml:space="preserve">: </w:t>
            </w:r>
            <w:r w:rsidRPr="00AA1BF8">
              <w:rPr>
                <w:sz w:val="18"/>
                <w:szCs w:val="18"/>
              </w:rPr>
              <w:t>The HCH enters contact details about registered patients for the evaluation into the online evaluation app. This is for the purposes of inviting patients to participate in surveys, interviews and focus groups. These details are not required for patients enrolled by the NT ACCHS, as alternative arrangements were made for the evaluation for the NT ACCHS).</w:t>
            </w:r>
          </w:p>
          <w:p w14:paraId="49EF5CA9" w14:textId="77777777" w:rsidR="001C19F3" w:rsidRPr="0018214E" w:rsidRDefault="001C19F3" w:rsidP="00521305">
            <w:pPr>
              <w:pStyle w:val="Chartortablefootnote"/>
            </w:pPr>
            <w:r w:rsidRPr="00AA1BF8">
              <w:rPr>
                <w:sz w:val="18"/>
              </w:rPr>
              <w:t xml:space="preserve">Source: </w:t>
            </w:r>
            <w:r w:rsidRPr="00AA1BF8">
              <w:rPr>
                <w:sz w:val="18"/>
              </w:rPr>
              <w:fldChar w:fldCharType="begin"/>
            </w:r>
            <w:r w:rsidRPr="00AA1BF8">
              <w:rPr>
                <w:sz w:val="18"/>
              </w:rP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AA1BF8">
              <w:rPr>
                <w:sz w:val="18"/>
              </w:rPr>
              <w:fldChar w:fldCharType="separate"/>
            </w:r>
            <w:r w:rsidRPr="00AA1BF8">
              <w:rPr>
                <w:noProof/>
                <w:sz w:val="18"/>
              </w:rPr>
              <w:t>Australian Government Department of Health, 2018c</w:t>
            </w:r>
            <w:r w:rsidRPr="00AA1BF8">
              <w:rPr>
                <w:sz w:val="18"/>
              </w:rPr>
              <w:fldChar w:fldCharType="end"/>
            </w:r>
            <w:r w:rsidRPr="00AA1BF8">
              <w:rPr>
                <w:sz w:val="18"/>
              </w:rPr>
              <w:t>, pp-11-12</w:t>
            </w:r>
          </w:p>
        </w:tc>
      </w:tr>
    </w:tbl>
    <w:p w14:paraId="0C23F176" w14:textId="77777777" w:rsidR="001C19F3" w:rsidRPr="0018214E" w:rsidRDefault="001C19F3" w:rsidP="001C19F3">
      <w:pPr>
        <w:spacing w:after="0" w:line="240" w:lineRule="auto"/>
      </w:pPr>
    </w:p>
    <w:p w14:paraId="59F2F6FC" w14:textId="77777777" w:rsidR="001C19F3" w:rsidRDefault="001C19F3" w:rsidP="001C19F3">
      <w:pPr>
        <w:pStyle w:val="Heading2"/>
      </w:pPr>
      <w:bookmarkStart w:id="161" w:name="_Toc27056557"/>
      <w:r w:rsidRPr="0018214E">
        <w:t>How practices went about it</w:t>
      </w:r>
      <w:bookmarkEnd w:id="161"/>
    </w:p>
    <w:p w14:paraId="58FA0773" w14:textId="77777777" w:rsidR="001C19F3" w:rsidRDefault="001C19F3" w:rsidP="001C19F3">
      <w:pPr>
        <w:pStyle w:val="Heading3"/>
      </w:pPr>
      <w:r>
        <w:t>Identifying potentially eligible patients (Step 1)</w:t>
      </w:r>
    </w:p>
    <w:p w14:paraId="0AFCA1D2" w14:textId="77777777" w:rsidR="001C19F3" w:rsidRDefault="001C19F3" w:rsidP="001C19F3">
      <w:r>
        <w:t>As it was originally conceptualised</w:t>
      </w:r>
      <w:r w:rsidRPr="00FB143C">
        <w:t>, the case finding stage was intended to be a systematic process, in which the RST was central</w:t>
      </w:r>
      <w:r w:rsidRPr="00FB143C">
        <w:rPr>
          <w:rStyle w:val="FootnoteReference"/>
        </w:rPr>
        <w:footnoteReference w:id="9"/>
      </w:r>
      <w:r w:rsidRPr="00FB143C">
        <w:t>. In practice</w:t>
      </w:r>
      <w:r>
        <w:t>,</w:t>
      </w:r>
      <w:r w:rsidRPr="00FB143C">
        <w:t xml:space="preserve"> a variety of approaches emerged. These can be broadly categorised into systematic and opportunistic approaches to identifying suitable patients.</w:t>
      </w:r>
      <w:r>
        <w:t xml:space="preserve"> </w:t>
      </w:r>
    </w:p>
    <w:p w14:paraId="18D89D01" w14:textId="77777777" w:rsidR="001C19F3" w:rsidRDefault="001C19F3" w:rsidP="001C19F3">
      <w:r>
        <w:t xml:space="preserve">The </w:t>
      </w:r>
      <w:r w:rsidRPr="00102303">
        <w:t>systematic</w:t>
      </w:r>
      <w:r>
        <w:t xml:space="preserve"> approach involved using the RST or other analyses of data on the practice population to create lists of potentially suitable patients. GPs would then review these lists. The GPs could also add patients to the lists where they thought the patient would benefit from HCH. Following identification, the practice would </w:t>
      </w:r>
      <w:r>
        <w:rPr>
          <w:szCs w:val="20"/>
        </w:rPr>
        <w:t xml:space="preserve">contact the patient by letter or phone to invite them for </w:t>
      </w:r>
      <w:r>
        <w:t>a consultation about enrolment or invite the patient to a group information session (see step 2 below). (Note that GPs could also decide to exclude patients flagged by the RST that they thought were not suitable for HCH.)</w:t>
      </w:r>
    </w:p>
    <w:p w14:paraId="490BED2E" w14:textId="77777777" w:rsidR="001C19F3" w:rsidRDefault="001C19F3" w:rsidP="001C19F3">
      <w:pPr>
        <w:rPr>
          <w:szCs w:val="20"/>
        </w:rPr>
      </w:pPr>
      <w:r>
        <w:rPr>
          <w:szCs w:val="20"/>
        </w:rPr>
        <w:t>To provide structure and start with a designated group of chronic disease patients, one practice reported targeting individuals with COPD and diabetes rather than chronic illness more generally:</w:t>
      </w:r>
    </w:p>
    <w:p w14:paraId="6996D1EE" w14:textId="77777777" w:rsidR="001C19F3" w:rsidRDefault="001C19F3" w:rsidP="001C19F3">
      <w:pPr>
        <w:ind w:left="567" w:right="1088"/>
        <w:rPr>
          <w:szCs w:val="20"/>
        </w:rPr>
      </w:pPr>
      <w:r>
        <w:rPr>
          <w:i/>
          <w:szCs w:val="20"/>
        </w:rPr>
        <w:t>“…</w:t>
      </w:r>
      <w:r w:rsidRPr="006D1111">
        <w:rPr>
          <w:i/>
          <w:szCs w:val="20"/>
        </w:rPr>
        <w:t xml:space="preserve">one of our major reasons for coming into this and accepting this notion of the small teams doing it, was that we want to extend the processes. Forgetting about the funding model, we want to extend the management model out to…Other people with those diseases and to other chronic </w:t>
      </w:r>
      <w:r w:rsidRPr="006D1111">
        <w:rPr>
          <w:i/>
          <w:szCs w:val="20"/>
        </w:rPr>
        <w:lastRenderedPageBreak/>
        <w:t>diseases. So, we really wanted to try to make our team process more structured…So, out of those patients, our selection was disease-based…”</w:t>
      </w:r>
      <w:r>
        <w:rPr>
          <w:szCs w:val="20"/>
        </w:rPr>
        <w:t xml:space="preserve"> [GP, Practice 12, interview, R2]</w:t>
      </w:r>
    </w:p>
    <w:p w14:paraId="5A007798" w14:textId="77777777" w:rsidR="001C19F3" w:rsidRDefault="001C19F3" w:rsidP="001C19F3">
      <w:pPr>
        <w:rPr>
          <w:szCs w:val="20"/>
        </w:rPr>
      </w:pPr>
      <w:r>
        <w:t xml:space="preserve">The </w:t>
      </w:r>
      <w:r w:rsidRPr="00102303">
        <w:t>opportunistic</w:t>
      </w:r>
      <w:r>
        <w:t xml:space="preserve"> approach involved </w:t>
      </w:r>
      <w:r>
        <w:rPr>
          <w:szCs w:val="20"/>
        </w:rPr>
        <w:t>discussing the option of HCH with patients when they attended for routine appointments and when – at the consultation – the GP considered they may be suitable for HCH:</w:t>
      </w:r>
    </w:p>
    <w:p w14:paraId="5EF8DDC8" w14:textId="77777777" w:rsidR="001C19F3" w:rsidRDefault="001C19F3" w:rsidP="001C19F3">
      <w:pPr>
        <w:ind w:left="567" w:right="1088"/>
        <w:rPr>
          <w:rFonts w:cs="Arial"/>
          <w:szCs w:val="20"/>
          <w:lang w:val="en-GB"/>
        </w:rPr>
      </w:pPr>
      <w:r>
        <w:rPr>
          <w:szCs w:val="20"/>
        </w:rPr>
        <w:t>“</w:t>
      </w:r>
      <w:r w:rsidRPr="00796460">
        <w:rPr>
          <w:rFonts w:cs="Arial"/>
          <w:i/>
          <w:szCs w:val="20"/>
          <w:lang w:val="en-GB"/>
        </w:rPr>
        <w:t>The five we've enrolled were just opportunistic. So when they came in for a management plan the nurses decided they'd benefit from it</w:t>
      </w:r>
      <w:r>
        <w:rPr>
          <w:rFonts w:cs="Arial"/>
          <w:i/>
          <w:szCs w:val="20"/>
          <w:lang w:val="en-GB"/>
        </w:rPr>
        <w:t xml:space="preserve">.” </w:t>
      </w:r>
      <w:r w:rsidRPr="00796460">
        <w:rPr>
          <w:rFonts w:cs="Arial"/>
          <w:szCs w:val="20"/>
          <w:lang w:val="en-GB"/>
        </w:rPr>
        <w:t>[</w:t>
      </w:r>
      <w:r>
        <w:rPr>
          <w:rFonts w:cs="Arial"/>
          <w:szCs w:val="20"/>
          <w:lang w:val="en-GB"/>
        </w:rPr>
        <w:t>P</w:t>
      </w:r>
      <w:r w:rsidRPr="00796460">
        <w:rPr>
          <w:rFonts w:cs="Arial"/>
          <w:szCs w:val="20"/>
          <w:lang w:val="en-GB"/>
        </w:rPr>
        <w:t xml:space="preserve">ractice </w:t>
      </w:r>
      <w:r>
        <w:rPr>
          <w:rFonts w:cs="Arial"/>
          <w:szCs w:val="20"/>
          <w:lang w:val="en-GB"/>
        </w:rPr>
        <w:t>manager</w:t>
      </w:r>
      <w:r w:rsidRPr="00796460">
        <w:rPr>
          <w:rFonts w:cs="Arial"/>
          <w:szCs w:val="20"/>
          <w:lang w:val="en-GB"/>
        </w:rPr>
        <w:t xml:space="preserve">, Practice </w:t>
      </w:r>
      <w:r>
        <w:rPr>
          <w:rFonts w:cs="Arial"/>
          <w:szCs w:val="20"/>
          <w:lang w:val="en-GB"/>
        </w:rPr>
        <w:t>2, interview, R2]</w:t>
      </w:r>
    </w:p>
    <w:p w14:paraId="0C611A26" w14:textId="77777777" w:rsidR="001C19F3" w:rsidRDefault="001C19F3" w:rsidP="001C19F3">
      <w:pPr>
        <w:ind w:left="567" w:right="1088"/>
        <w:rPr>
          <w:rFonts w:cs="Arial"/>
          <w:szCs w:val="20"/>
          <w:lang w:val="en-GB"/>
        </w:rPr>
      </w:pPr>
      <w:r w:rsidRPr="00796460">
        <w:rPr>
          <w:i/>
          <w:szCs w:val="20"/>
        </w:rPr>
        <w:t xml:space="preserve"> “</w:t>
      </w:r>
      <w:r w:rsidRPr="00796460">
        <w:rPr>
          <w:rFonts w:cs="Arial"/>
          <w:i/>
          <w:szCs w:val="20"/>
          <w:lang w:val="en-GB"/>
        </w:rPr>
        <w:t>I think it was a lot of</w:t>
      </w:r>
      <w:r>
        <w:rPr>
          <w:rFonts w:cs="Arial"/>
          <w:i/>
          <w:szCs w:val="20"/>
          <w:lang w:val="en-GB"/>
        </w:rPr>
        <w:t>…</w:t>
      </w:r>
      <w:r w:rsidRPr="00796460">
        <w:rPr>
          <w:rFonts w:cs="Arial"/>
          <w:i/>
          <w:szCs w:val="20"/>
          <w:lang w:val="en-GB"/>
        </w:rPr>
        <w:t>catch them as they’re in there.”</w:t>
      </w:r>
      <w:r w:rsidRPr="00796460">
        <w:rPr>
          <w:rFonts w:cs="Arial"/>
          <w:szCs w:val="20"/>
          <w:lang w:val="en-GB"/>
        </w:rPr>
        <w:t xml:space="preserve"> [</w:t>
      </w:r>
      <w:r>
        <w:rPr>
          <w:rFonts w:cs="Arial"/>
          <w:szCs w:val="20"/>
          <w:lang w:val="en-GB"/>
        </w:rPr>
        <w:t>P</w:t>
      </w:r>
      <w:r w:rsidRPr="00796460">
        <w:rPr>
          <w:rFonts w:cs="Arial"/>
          <w:szCs w:val="20"/>
          <w:lang w:val="en-GB"/>
        </w:rPr>
        <w:t>ractice manager, Practice 13</w:t>
      </w:r>
      <w:r>
        <w:rPr>
          <w:rFonts w:cs="Arial"/>
          <w:szCs w:val="20"/>
          <w:lang w:val="en-GB"/>
        </w:rPr>
        <w:t>, interview, R2]</w:t>
      </w:r>
    </w:p>
    <w:p w14:paraId="0434EB24" w14:textId="77777777" w:rsidR="001C19F3" w:rsidRDefault="001C19F3" w:rsidP="001C19F3">
      <w:r>
        <w:t>Most practices used a combination of these approaches. Some practices also used methods to raise awareness of the program within patients, for example through a poster in the waiting room. Several practice facilitators and practices believed that a more organised attempt to create demand for the program within patient populations could have been helpful.</w:t>
      </w:r>
    </w:p>
    <w:p w14:paraId="7D2D748E" w14:textId="77777777" w:rsidR="001C19F3" w:rsidRDefault="001C19F3" w:rsidP="001C19F3">
      <w:pPr>
        <w:rPr>
          <w:szCs w:val="20"/>
        </w:rPr>
      </w:pPr>
      <w:r>
        <w:rPr>
          <w:szCs w:val="20"/>
        </w:rPr>
        <w:t>In addition to the formal requirements for enrolment, practices reported choosing to approach patients based on:</w:t>
      </w:r>
    </w:p>
    <w:p w14:paraId="53DD596E" w14:textId="77777777" w:rsidR="001C19F3" w:rsidRPr="003711F3" w:rsidRDefault="001C19F3" w:rsidP="001C19F3">
      <w:pPr>
        <w:pStyle w:val="ListParagraph"/>
        <w:numPr>
          <w:ilvl w:val="0"/>
          <w:numId w:val="67"/>
        </w:numPr>
        <w:rPr>
          <w:szCs w:val="20"/>
        </w:rPr>
      </w:pPr>
      <w:r>
        <w:rPr>
          <w:szCs w:val="20"/>
        </w:rPr>
        <w:t xml:space="preserve">The patient’s </w:t>
      </w:r>
      <w:r w:rsidRPr="003711F3">
        <w:rPr>
          <w:szCs w:val="20"/>
        </w:rPr>
        <w:t>motivation and desire to improve</w:t>
      </w:r>
      <w:r>
        <w:rPr>
          <w:szCs w:val="20"/>
        </w:rPr>
        <w:t xml:space="preserve"> their</w:t>
      </w:r>
      <w:r w:rsidRPr="003711F3">
        <w:rPr>
          <w:szCs w:val="20"/>
        </w:rPr>
        <w:t xml:space="preserve"> health</w:t>
      </w:r>
      <w:r>
        <w:rPr>
          <w:szCs w:val="20"/>
        </w:rPr>
        <w:t>.</w:t>
      </w:r>
    </w:p>
    <w:p w14:paraId="6DBCB5E3" w14:textId="77777777" w:rsidR="001C19F3" w:rsidRDefault="001C19F3" w:rsidP="001C19F3">
      <w:pPr>
        <w:pStyle w:val="ListParagraph"/>
        <w:numPr>
          <w:ilvl w:val="0"/>
          <w:numId w:val="67"/>
        </w:numPr>
        <w:rPr>
          <w:szCs w:val="20"/>
        </w:rPr>
      </w:pPr>
      <w:r>
        <w:rPr>
          <w:szCs w:val="20"/>
        </w:rPr>
        <w:t>The extent to which the offerings of the program</w:t>
      </w:r>
      <w:r w:rsidRPr="003711F3">
        <w:rPr>
          <w:szCs w:val="20"/>
        </w:rPr>
        <w:t xml:space="preserve"> aligned with </w:t>
      </w:r>
      <w:r>
        <w:rPr>
          <w:szCs w:val="20"/>
        </w:rPr>
        <w:t>the</w:t>
      </w:r>
      <w:r w:rsidRPr="003711F3">
        <w:rPr>
          <w:szCs w:val="20"/>
        </w:rPr>
        <w:t xml:space="preserve"> patient’s goals</w:t>
      </w:r>
      <w:r>
        <w:rPr>
          <w:szCs w:val="20"/>
        </w:rPr>
        <w:t>.</w:t>
      </w:r>
    </w:p>
    <w:p w14:paraId="7B9AB900" w14:textId="77777777" w:rsidR="001C19F3" w:rsidRPr="003711F3" w:rsidRDefault="001C19F3" w:rsidP="001C19F3">
      <w:pPr>
        <w:pStyle w:val="ListParagraph"/>
        <w:numPr>
          <w:ilvl w:val="0"/>
          <w:numId w:val="67"/>
        </w:numPr>
        <w:rPr>
          <w:szCs w:val="20"/>
        </w:rPr>
      </w:pPr>
      <w:r>
        <w:rPr>
          <w:szCs w:val="20"/>
        </w:rPr>
        <w:t xml:space="preserve">Patient’s </w:t>
      </w:r>
      <w:r w:rsidRPr="003711F3">
        <w:rPr>
          <w:szCs w:val="20"/>
        </w:rPr>
        <w:t xml:space="preserve">individual preferences </w:t>
      </w:r>
      <w:r>
        <w:rPr>
          <w:szCs w:val="20"/>
        </w:rPr>
        <w:t xml:space="preserve">(e.g. openness to seeing other staff members within the practice rather than </w:t>
      </w:r>
      <w:r w:rsidRPr="003711F3">
        <w:rPr>
          <w:szCs w:val="20"/>
        </w:rPr>
        <w:t>their doctor</w:t>
      </w:r>
      <w:r>
        <w:rPr>
          <w:szCs w:val="20"/>
        </w:rPr>
        <w:t>).</w:t>
      </w:r>
    </w:p>
    <w:p w14:paraId="79B838CC" w14:textId="77777777" w:rsidR="001C19F3" w:rsidRPr="003711F3" w:rsidRDefault="001C19F3" w:rsidP="001C19F3">
      <w:pPr>
        <w:pStyle w:val="ListParagraph"/>
        <w:numPr>
          <w:ilvl w:val="0"/>
          <w:numId w:val="67"/>
        </w:numPr>
        <w:rPr>
          <w:szCs w:val="20"/>
        </w:rPr>
      </w:pPr>
      <w:r>
        <w:rPr>
          <w:szCs w:val="20"/>
        </w:rPr>
        <w:t>S</w:t>
      </w:r>
      <w:r w:rsidRPr="003711F3">
        <w:rPr>
          <w:szCs w:val="20"/>
        </w:rPr>
        <w:t>trong GP-patient relationship</w:t>
      </w:r>
      <w:r>
        <w:rPr>
          <w:szCs w:val="20"/>
        </w:rPr>
        <w:t>.</w:t>
      </w:r>
    </w:p>
    <w:p w14:paraId="2B67D76E" w14:textId="77777777" w:rsidR="001C19F3" w:rsidRPr="003711F3" w:rsidRDefault="001C19F3" w:rsidP="001C19F3">
      <w:pPr>
        <w:pStyle w:val="ListParagraph"/>
        <w:numPr>
          <w:ilvl w:val="0"/>
          <w:numId w:val="67"/>
        </w:numPr>
        <w:rPr>
          <w:szCs w:val="20"/>
        </w:rPr>
      </w:pPr>
      <w:r>
        <w:rPr>
          <w:szCs w:val="20"/>
        </w:rPr>
        <w:t>W</w:t>
      </w:r>
      <w:r w:rsidRPr="003711F3">
        <w:rPr>
          <w:szCs w:val="20"/>
        </w:rPr>
        <w:t xml:space="preserve">hether the patient’s tier allocation made it financially viable for the practice to enrol </w:t>
      </w:r>
      <w:r>
        <w:rPr>
          <w:szCs w:val="20"/>
        </w:rPr>
        <w:t xml:space="preserve">them, which was in turn based on how often historically the patient frequented the practice and the severity of the </w:t>
      </w:r>
      <w:r w:rsidRPr="003711F3">
        <w:rPr>
          <w:szCs w:val="20"/>
        </w:rPr>
        <w:t>patient’s chronic condition(s) and general health</w:t>
      </w:r>
      <w:r>
        <w:rPr>
          <w:szCs w:val="20"/>
        </w:rPr>
        <w:t xml:space="preserve">. That is, it was </w:t>
      </w:r>
      <w:r w:rsidRPr="003711F3">
        <w:rPr>
          <w:szCs w:val="20"/>
        </w:rPr>
        <w:t>not financially advantageous for practices to enrol</w:t>
      </w:r>
      <w:r>
        <w:rPr>
          <w:szCs w:val="20"/>
        </w:rPr>
        <w:t xml:space="preserve"> highly complex patients (i.e. what one practice called</w:t>
      </w:r>
      <w:r w:rsidRPr="003711F3">
        <w:rPr>
          <w:szCs w:val="20"/>
        </w:rPr>
        <w:t xml:space="preserve"> “</w:t>
      </w:r>
      <w:r>
        <w:rPr>
          <w:szCs w:val="20"/>
        </w:rPr>
        <w:t>tier</w:t>
      </w:r>
      <w:r w:rsidRPr="003711F3">
        <w:rPr>
          <w:szCs w:val="20"/>
        </w:rPr>
        <w:t xml:space="preserve"> tens”</w:t>
      </w:r>
      <w:r>
        <w:rPr>
          <w:szCs w:val="20"/>
        </w:rPr>
        <w:t>).</w:t>
      </w:r>
    </w:p>
    <w:p w14:paraId="49C07166" w14:textId="77777777" w:rsidR="001C19F3" w:rsidRPr="003711F3" w:rsidRDefault="001C19F3" w:rsidP="001C19F3">
      <w:pPr>
        <w:pStyle w:val="ListParagraph"/>
        <w:numPr>
          <w:ilvl w:val="0"/>
          <w:numId w:val="67"/>
        </w:numPr>
        <w:rPr>
          <w:szCs w:val="20"/>
        </w:rPr>
      </w:pPr>
      <w:r>
        <w:rPr>
          <w:szCs w:val="20"/>
        </w:rPr>
        <w:t>H</w:t>
      </w:r>
      <w:r w:rsidRPr="003711F3">
        <w:rPr>
          <w:szCs w:val="20"/>
        </w:rPr>
        <w:t xml:space="preserve">aving a specific chronic condition that </w:t>
      </w:r>
      <w:r>
        <w:rPr>
          <w:szCs w:val="20"/>
        </w:rPr>
        <w:t>the practice was targeting in its HCH model.</w:t>
      </w:r>
    </w:p>
    <w:p w14:paraId="76CB391B" w14:textId="77777777" w:rsidR="001C19F3" w:rsidRPr="003711F3" w:rsidRDefault="001C19F3" w:rsidP="001C19F3">
      <w:pPr>
        <w:pStyle w:val="ListParagraph"/>
        <w:numPr>
          <w:ilvl w:val="0"/>
          <w:numId w:val="67"/>
        </w:numPr>
        <w:rPr>
          <w:szCs w:val="20"/>
        </w:rPr>
      </w:pPr>
      <w:r>
        <w:rPr>
          <w:szCs w:val="20"/>
        </w:rPr>
        <w:t>P</w:t>
      </w:r>
      <w:r w:rsidRPr="003711F3">
        <w:rPr>
          <w:szCs w:val="20"/>
        </w:rPr>
        <w:t>atient request to enrol in HCH</w:t>
      </w:r>
      <w:r>
        <w:rPr>
          <w:szCs w:val="20"/>
        </w:rPr>
        <w:t>.</w:t>
      </w:r>
    </w:p>
    <w:p w14:paraId="6D5AC5F4" w14:textId="77777777" w:rsidR="001C19F3" w:rsidRDefault="001C19F3" w:rsidP="001C19F3">
      <w:pPr>
        <w:pStyle w:val="ListParagraph"/>
        <w:numPr>
          <w:ilvl w:val="0"/>
          <w:numId w:val="67"/>
        </w:numPr>
        <w:rPr>
          <w:szCs w:val="20"/>
        </w:rPr>
      </w:pPr>
      <w:r>
        <w:rPr>
          <w:szCs w:val="20"/>
        </w:rPr>
        <w:t>Patient’s technological savviness.</w:t>
      </w:r>
    </w:p>
    <w:p w14:paraId="4E69194D" w14:textId="77777777" w:rsidR="001C19F3" w:rsidRDefault="001C19F3" w:rsidP="001C19F3">
      <w:pPr>
        <w:rPr>
          <w:szCs w:val="20"/>
        </w:rPr>
      </w:pPr>
      <w:r>
        <w:rPr>
          <w:szCs w:val="20"/>
        </w:rPr>
        <w:t>In the practice survey, practices identified why they didn’t approach some patients identified by the RST as candidates for enrolment to HCH (</w:t>
      </w:r>
      <w:r>
        <w:rPr>
          <w:szCs w:val="20"/>
        </w:rPr>
        <w:fldChar w:fldCharType="begin"/>
      </w:r>
      <w:r>
        <w:rPr>
          <w:szCs w:val="20"/>
        </w:rPr>
        <w:instrText xml:space="preserve"> REF _Ref21024199 \h </w:instrText>
      </w:r>
      <w:r>
        <w:rPr>
          <w:szCs w:val="20"/>
        </w:rPr>
      </w:r>
      <w:r>
        <w:rPr>
          <w:szCs w:val="20"/>
        </w:rPr>
        <w:fldChar w:fldCharType="separate"/>
      </w:r>
      <w:r>
        <w:t xml:space="preserve">Table </w:t>
      </w:r>
      <w:r>
        <w:rPr>
          <w:noProof/>
        </w:rPr>
        <w:t>17</w:t>
      </w:r>
      <w:r>
        <w:rPr>
          <w:szCs w:val="20"/>
        </w:rPr>
        <w:fldChar w:fldCharType="end"/>
      </w:r>
      <w:r>
        <w:rPr>
          <w:szCs w:val="20"/>
        </w:rPr>
        <w:t>).</w:t>
      </w:r>
    </w:p>
    <w:p w14:paraId="30FC7BF6" w14:textId="77777777" w:rsidR="001C19F3" w:rsidRDefault="001C19F3" w:rsidP="001C19F3">
      <w:pPr>
        <w:rPr>
          <w:szCs w:val="20"/>
        </w:rPr>
      </w:pPr>
      <w:r>
        <w:rPr>
          <w:szCs w:val="20"/>
        </w:rPr>
        <w:t>In interviews, some practices reported there felt that Tier 1 and some Tier 2 enrolments had poor financial implications for their practice. Therefore, they didn’t always follow the RST in the order or manner that it was supposed to be used:</w:t>
      </w:r>
    </w:p>
    <w:p w14:paraId="612C4FCD" w14:textId="77777777" w:rsidR="001C19F3" w:rsidRDefault="001C19F3" w:rsidP="001C19F3">
      <w:pPr>
        <w:ind w:left="567"/>
      </w:pPr>
      <w:r>
        <w:rPr>
          <w:i/>
          <w:szCs w:val="20"/>
        </w:rPr>
        <w:t xml:space="preserve"> “</w:t>
      </w:r>
      <w:r w:rsidRPr="0056741F">
        <w:rPr>
          <w:i/>
          <w:szCs w:val="20"/>
        </w:rPr>
        <w:t xml:space="preserve">It was as patients presented and if we deemed them as someone that would benefit from Health Care Homes we would run the risk stratification tool and just see where they would place on it…At the very beginning we probably were doing everything backwards in that we identified patients that would benefit from the program but then they would necessarily be reflected on that risk stratification tool as in, this patient had high-end care. Some patients missed out for that reason, if that makes sense. They may only have been a </w:t>
      </w:r>
      <w:r>
        <w:rPr>
          <w:i/>
          <w:szCs w:val="20"/>
        </w:rPr>
        <w:t>T</w:t>
      </w:r>
      <w:r w:rsidRPr="0056741F">
        <w:rPr>
          <w:i/>
          <w:szCs w:val="20"/>
        </w:rPr>
        <w:t xml:space="preserve">ier </w:t>
      </w:r>
      <w:r>
        <w:rPr>
          <w:i/>
          <w:szCs w:val="20"/>
        </w:rPr>
        <w:t>1</w:t>
      </w:r>
      <w:r w:rsidRPr="0056741F">
        <w:rPr>
          <w:i/>
          <w:szCs w:val="20"/>
        </w:rPr>
        <w:t xml:space="preserve"> or </w:t>
      </w:r>
      <w:r>
        <w:rPr>
          <w:i/>
          <w:szCs w:val="20"/>
        </w:rPr>
        <w:t>T</w:t>
      </w:r>
      <w:r w:rsidRPr="0056741F">
        <w:rPr>
          <w:i/>
          <w:szCs w:val="20"/>
        </w:rPr>
        <w:t xml:space="preserve">ier </w:t>
      </w:r>
      <w:r>
        <w:rPr>
          <w:i/>
          <w:szCs w:val="20"/>
        </w:rPr>
        <w:t>2</w:t>
      </w:r>
      <w:r w:rsidRPr="0056741F">
        <w:rPr>
          <w:i/>
          <w:szCs w:val="20"/>
        </w:rPr>
        <w:t xml:space="preserve">, but their needs were great. From the practice </w:t>
      </w:r>
      <w:r w:rsidRPr="0056741F">
        <w:rPr>
          <w:i/>
          <w:szCs w:val="20"/>
        </w:rPr>
        <w:lastRenderedPageBreak/>
        <w:t>perspective it wasn’t always feasible for us to actually enrol them. We did look at quite a few patients and balanced that and then waited, but at the end of the day it is a business too.”</w:t>
      </w:r>
      <w:r>
        <w:rPr>
          <w:szCs w:val="20"/>
        </w:rPr>
        <w:t xml:space="preserve"> [Practice nurse, Practice 13, interview, R2]</w:t>
      </w:r>
    </w:p>
    <w:p w14:paraId="7BFE5797" w14:textId="77777777" w:rsidR="001C19F3" w:rsidRDefault="001C19F3" w:rsidP="001C19F3">
      <w:pPr>
        <w:pStyle w:val="Caption1"/>
        <w:spacing w:after="0"/>
        <w:contextualSpacing/>
      </w:pPr>
      <w:bookmarkStart w:id="162" w:name="_Ref21024199"/>
      <w:bookmarkStart w:id="163" w:name="_Hlk22642078"/>
      <w:r>
        <w:t xml:space="preserve">Table </w:t>
      </w:r>
      <w:r>
        <w:fldChar w:fldCharType="begin"/>
      </w:r>
      <w:r>
        <w:instrText>SEQ Table \* ARABIC</w:instrText>
      </w:r>
      <w:r>
        <w:fldChar w:fldCharType="separate"/>
      </w:r>
      <w:r>
        <w:rPr>
          <w:noProof/>
        </w:rPr>
        <w:t>17</w:t>
      </w:r>
      <w:r>
        <w:fldChar w:fldCharType="end"/>
      </w:r>
      <w:bookmarkEnd w:id="162"/>
      <w:r>
        <w:t xml:space="preserve"> – Main factors that practice/GP decided not to approach some of the patients flagged by the risk stratification tool (including responses from withdrawn practices)</w:t>
      </w:r>
    </w:p>
    <w:tbl>
      <w:tblPr>
        <w:tblW w:w="5000" w:type="pct"/>
        <w:jc w:val="center"/>
        <w:tblLook w:val="04A0" w:firstRow="1" w:lastRow="0" w:firstColumn="1" w:lastColumn="0" w:noHBand="0" w:noVBand="1"/>
      </w:tblPr>
      <w:tblGrid>
        <w:gridCol w:w="3251"/>
        <w:gridCol w:w="1207"/>
        <w:gridCol w:w="90"/>
        <w:gridCol w:w="3381"/>
        <w:gridCol w:w="1077"/>
      </w:tblGrid>
      <w:tr w:rsidR="001C19F3" w14:paraId="7F94815A" w14:textId="77777777" w:rsidTr="00521305">
        <w:trPr>
          <w:cantSplit/>
          <w:trHeight w:val="336"/>
          <w:tblHeader/>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163"/>
          <w:p w14:paraId="6773402D" w14:textId="77777777" w:rsidR="001C19F3" w:rsidRDefault="001C19F3" w:rsidP="00521305">
            <w:pPr>
              <w:jc w:val="center"/>
            </w:pPr>
            <w:r>
              <w:rPr>
                <w:rFonts w:eastAsia="Century Gothic" w:cs="Century Gothic"/>
                <w:b/>
                <w:color w:val="FFFFFF"/>
                <w:sz w:val="18"/>
                <w:szCs w:val="18"/>
              </w:rPr>
              <w:t>Response</w:t>
            </w:r>
          </w:p>
        </w:tc>
        <w:tc>
          <w:tcPr>
            <w:tcW w:w="6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B71F628" w14:textId="77777777" w:rsidR="001C19F3" w:rsidRDefault="001C19F3" w:rsidP="00521305">
            <w:pPr>
              <w:jc w:val="center"/>
            </w:pPr>
            <w:r>
              <w:rPr>
                <w:rFonts w:eastAsia="Century Gothic" w:cs="Century Gothic"/>
                <w:b/>
                <w:color w:val="FFFFFF"/>
                <w:sz w:val="18"/>
                <w:szCs w:val="18"/>
              </w:rPr>
              <w:t>n (%)</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DFD4760" w14:textId="77777777" w:rsidR="001C19F3" w:rsidRDefault="001C19F3" w:rsidP="00521305">
            <w:pPr>
              <w:jc w:val="center"/>
            </w:pPr>
            <w:r>
              <w:rPr>
                <w:rFonts w:eastAsia="Century Gothic" w:cs="Century Gothic"/>
                <w:b/>
                <w:color w:val="FFFFFF"/>
                <w:sz w:val="18"/>
                <w:szCs w:val="18"/>
              </w:rPr>
              <w:t xml:space="preserve"> </w:t>
            </w:r>
          </w:p>
        </w:tc>
        <w:tc>
          <w:tcPr>
            <w:tcW w:w="18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8A82ED4" w14:textId="77777777" w:rsidR="001C19F3" w:rsidRDefault="001C19F3" w:rsidP="00521305">
            <w:pPr>
              <w:jc w:val="center"/>
            </w:pPr>
            <w:r>
              <w:rPr>
                <w:rFonts w:eastAsia="Century Gothic" w:cs="Century Gothic"/>
                <w:b/>
                <w:color w:val="FFFFFF"/>
                <w:sz w:val="18"/>
                <w:szCs w:val="18"/>
              </w:rPr>
              <w:t>Response</w:t>
            </w:r>
          </w:p>
        </w:tc>
        <w:tc>
          <w:tcPr>
            <w:tcW w:w="59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71945B8" w14:textId="77777777" w:rsidR="001C19F3" w:rsidRDefault="001C19F3" w:rsidP="00521305">
            <w:pPr>
              <w:jc w:val="center"/>
            </w:pPr>
            <w:r>
              <w:rPr>
                <w:rFonts w:eastAsia="Century Gothic" w:cs="Century Gothic"/>
                <w:b/>
                <w:color w:val="FFFFFF"/>
                <w:sz w:val="18"/>
                <w:szCs w:val="18"/>
              </w:rPr>
              <w:t>n (%)</w:t>
            </w:r>
          </w:p>
        </w:tc>
      </w:tr>
      <w:tr w:rsidR="001C19F3" w14:paraId="0E88D75F"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334DE8" w14:textId="77777777" w:rsidR="001C19F3" w:rsidRDefault="001C19F3" w:rsidP="00521305">
            <w:pPr>
              <w:spacing w:before="40" w:after="40"/>
              <w:ind w:left="100" w:right="100"/>
            </w:pPr>
            <w:r>
              <w:rPr>
                <w:rFonts w:eastAsia="Century Gothic" w:cs="Century Gothic"/>
                <w:color w:val="000000"/>
                <w:sz w:val="18"/>
                <w:szCs w:val="18"/>
              </w:rPr>
              <w:t>Financially not viable (frequent attendance)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40B2FE" w14:textId="77777777" w:rsidR="001C19F3" w:rsidRDefault="001C19F3" w:rsidP="00521305">
            <w:pPr>
              <w:spacing w:before="40" w:after="40"/>
              <w:ind w:left="100" w:right="100"/>
              <w:jc w:val="right"/>
            </w:pPr>
            <w:r>
              <w:rPr>
                <w:rFonts w:eastAsia="Century Gothic" w:cs="Century Gothic"/>
                <w:color w:val="000000"/>
                <w:sz w:val="18"/>
                <w:szCs w:val="18"/>
              </w:rPr>
              <w:t>32 (30.5%)</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431FA1E6"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92D67D" w14:textId="77777777" w:rsidR="001C19F3" w:rsidRDefault="001C19F3" w:rsidP="00521305">
            <w:pPr>
              <w:spacing w:before="40" w:after="40"/>
              <w:ind w:left="100" w:right="100"/>
            </w:pPr>
            <w:r>
              <w:rPr>
                <w:rFonts w:eastAsia="Century Gothic" w:cs="Century Gothic"/>
                <w:color w:val="000000"/>
                <w:sz w:val="18"/>
                <w:szCs w:val="18"/>
              </w:rPr>
              <w:t>Complex mental health patients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3B3C66" w14:textId="77777777" w:rsidR="001C19F3" w:rsidRDefault="001C19F3" w:rsidP="00521305">
            <w:pPr>
              <w:spacing w:before="40" w:after="40"/>
              <w:ind w:left="100" w:right="100"/>
              <w:jc w:val="right"/>
            </w:pPr>
            <w:r>
              <w:rPr>
                <w:rFonts w:eastAsia="Century Gothic" w:cs="Century Gothic"/>
                <w:color w:val="000000"/>
                <w:sz w:val="18"/>
                <w:szCs w:val="18"/>
              </w:rPr>
              <w:t>4 (3.8%)</w:t>
            </w:r>
          </w:p>
        </w:tc>
      </w:tr>
      <w:tr w:rsidR="001C19F3" w14:paraId="7AD1BC1B"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BB0179" w14:textId="77777777" w:rsidR="001C19F3" w:rsidRDefault="001C19F3" w:rsidP="00521305">
            <w:pPr>
              <w:spacing w:before="40" w:after="40"/>
              <w:ind w:left="100" w:right="100"/>
            </w:pPr>
            <w:r>
              <w:rPr>
                <w:rFonts w:eastAsia="Century Gothic" w:cs="Century Gothic"/>
                <w:color w:val="000000"/>
                <w:sz w:val="18"/>
                <w:szCs w:val="18"/>
              </w:rPr>
              <w:t>Patients personality not suitable / program wouldn't suit them</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344E02" w14:textId="77777777" w:rsidR="001C19F3" w:rsidRDefault="001C19F3" w:rsidP="00521305">
            <w:pPr>
              <w:spacing w:before="40" w:after="40"/>
              <w:ind w:left="100" w:right="100"/>
              <w:jc w:val="right"/>
            </w:pPr>
            <w:r>
              <w:rPr>
                <w:rFonts w:eastAsia="Century Gothic" w:cs="Century Gothic"/>
                <w:color w:val="000000"/>
                <w:sz w:val="18"/>
                <w:szCs w:val="18"/>
              </w:rPr>
              <w:t>22 (21.0%)</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30A16E68"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1550CA" w14:textId="77777777" w:rsidR="001C19F3" w:rsidRDefault="001C19F3" w:rsidP="00521305">
            <w:pPr>
              <w:spacing w:before="40" w:after="40"/>
              <w:ind w:left="100" w:right="100"/>
            </w:pPr>
            <w:r>
              <w:rPr>
                <w:rFonts w:eastAsia="Century Gothic" w:cs="Century Gothic"/>
                <w:color w:val="000000"/>
                <w:sz w:val="18"/>
                <w:szCs w:val="18"/>
              </w:rPr>
              <w:t>Patient prefers to see their GP (a doctor)</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C93A64" w14:textId="77777777" w:rsidR="001C19F3" w:rsidRDefault="001C19F3" w:rsidP="00521305">
            <w:pPr>
              <w:spacing w:before="40" w:after="40"/>
              <w:ind w:left="100" w:right="100"/>
              <w:jc w:val="right"/>
            </w:pPr>
            <w:r>
              <w:rPr>
                <w:rFonts w:eastAsia="Century Gothic" w:cs="Century Gothic"/>
                <w:color w:val="000000"/>
                <w:sz w:val="18"/>
                <w:szCs w:val="18"/>
              </w:rPr>
              <w:t>4 (3.8%)</w:t>
            </w:r>
          </w:p>
        </w:tc>
      </w:tr>
      <w:tr w:rsidR="001C19F3" w14:paraId="765714AE"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2A5756" w14:textId="77777777" w:rsidR="001C19F3" w:rsidRDefault="001C19F3" w:rsidP="00521305">
            <w:pPr>
              <w:spacing w:before="40" w:after="40"/>
              <w:ind w:left="100" w:right="100"/>
            </w:pPr>
            <w:r>
              <w:rPr>
                <w:rFonts w:eastAsia="Century Gothic" w:cs="Century Gothic"/>
                <w:color w:val="000000"/>
                <w:sz w:val="18"/>
                <w:szCs w:val="18"/>
              </w:rPr>
              <w:t>Doctors choice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655E14" w14:textId="77777777" w:rsidR="001C19F3" w:rsidRDefault="001C19F3" w:rsidP="00521305">
            <w:pPr>
              <w:spacing w:before="40" w:after="40"/>
              <w:ind w:left="100" w:right="100"/>
              <w:jc w:val="right"/>
            </w:pPr>
            <w:r>
              <w:rPr>
                <w:rFonts w:eastAsia="Century Gothic" w:cs="Century Gothic"/>
                <w:color w:val="000000"/>
                <w:sz w:val="18"/>
                <w:szCs w:val="18"/>
              </w:rPr>
              <w:t>8 (7.6%)</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05D6E4F5"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1A4D9F" w14:textId="77777777" w:rsidR="001C19F3" w:rsidRDefault="001C19F3" w:rsidP="00521305">
            <w:pPr>
              <w:spacing w:before="40" w:after="40"/>
              <w:ind w:left="100" w:right="100"/>
            </w:pPr>
            <w:r>
              <w:rPr>
                <w:rFonts w:eastAsia="Century Gothic" w:cs="Century Gothic"/>
                <w:color w:val="000000"/>
                <w:sz w:val="18"/>
                <w:szCs w:val="18"/>
              </w:rPr>
              <w:t>To restrict the number of HCH patients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20833A" w14:textId="77777777" w:rsidR="001C19F3" w:rsidRDefault="001C19F3" w:rsidP="00521305">
            <w:pPr>
              <w:spacing w:before="40" w:after="40"/>
              <w:ind w:left="100" w:right="100"/>
              <w:jc w:val="right"/>
            </w:pPr>
            <w:r>
              <w:rPr>
                <w:rFonts w:eastAsia="Century Gothic" w:cs="Century Gothic"/>
                <w:color w:val="000000"/>
                <w:sz w:val="18"/>
                <w:szCs w:val="18"/>
              </w:rPr>
              <w:t>3 (2.9%)</w:t>
            </w:r>
          </w:p>
        </w:tc>
      </w:tr>
      <w:tr w:rsidR="001C19F3" w14:paraId="77719892"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C16025" w14:textId="77777777" w:rsidR="001C19F3" w:rsidRDefault="001C19F3" w:rsidP="00521305">
            <w:pPr>
              <w:spacing w:before="40" w:after="40"/>
              <w:ind w:left="100" w:right="100"/>
            </w:pPr>
            <w:r>
              <w:rPr>
                <w:rFonts w:eastAsia="Century Gothic" w:cs="Century Gothic"/>
                <w:color w:val="000000"/>
                <w:sz w:val="18"/>
                <w:szCs w:val="18"/>
              </w:rPr>
              <w:t>Patient also attends other practices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923026" w14:textId="77777777" w:rsidR="001C19F3" w:rsidRDefault="001C19F3" w:rsidP="00521305">
            <w:pPr>
              <w:spacing w:before="40" w:after="40"/>
              <w:ind w:left="100" w:right="100"/>
              <w:jc w:val="right"/>
            </w:pPr>
            <w:r>
              <w:rPr>
                <w:rFonts w:eastAsia="Century Gothic" w:cs="Century Gothic"/>
                <w:color w:val="000000"/>
                <w:sz w:val="18"/>
                <w:szCs w:val="18"/>
              </w:rPr>
              <w:t>7 (6.7%)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14E114D"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FA753C" w14:textId="77777777" w:rsidR="001C19F3" w:rsidRDefault="001C19F3" w:rsidP="00521305">
            <w:pPr>
              <w:spacing w:before="40" w:after="40"/>
              <w:ind w:left="100" w:right="100"/>
            </w:pPr>
            <w:r>
              <w:rPr>
                <w:rFonts w:eastAsia="Century Gothic" w:cs="Century Gothic"/>
                <w:color w:val="000000"/>
                <w:sz w:val="18"/>
                <w:szCs w:val="18"/>
              </w:rPr>
              <w:t>Language barrier</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707CD3"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77C59C38"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F704DC" w14:textId="77777777" w:rsidR="001C19F3" w:rsidRDefault="001C19F3" w:rsidP="00521305">
            <w:pPr>
              <w:spacing w:before="40" w:after="40"/>
              <w:ind w:left="100" w:right="100"/>
            </w:pPr>
            <w:r>
              <w:rPr>
                <w:rFonts w:eastAsia="Century Gothic" w:cs="Century Gothic"/>
                <w:color w:val="000000"/>
                <w:sz w:val="18"/>
                <w:szCs w:val="18"/>
              </w:rPr>
              <w:t>Time constraints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825473"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58EE822A"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45C8C" w14:textId="77777777" w:rsidR="001C19F3" w:rsidRDefault="001C19F3" w:rsidP="00521305">
            <w:pPr>
              <w:spacing w:before="40" w:after="40"/>
              <w:ind w:left="100" w:right="100"/>
            </w:pPr>
            <w:r>
              <w:rPr>
                <w:rFonts w:eastAsia="Century Gothic" w:cs="Century Gothic"/>
                <w:color w:val="000000"/>
                <w:sz w:val="18"/>
                <w:szCs w:val="18"/>
              </w:rPr>
              <w:t>Patient too complex to be seen by the nurse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5F5827"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6B396ECC"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06F831" w14:textId="77777777" w:rsidR="001C19F3" w:rsidRDefault="001C19F3" w:rsidP="00521305">
            <w:pPr>
              <w:spacing w:before="40" w:after="40"/>
              <w:ind w:left="100" w:right="100"/>
            </w:pPr>
            <w:r>
              <w:rPr>
                <w:rFonts w:eastAsia="Century Gothic" w:cs="Century Gothic"/>
                <w:color w:val="000000"/>
                <w:sz w:val="18"/>
                <w:szCs w:val="18"/>
              </w:rPr>
              <w:t>Patient sees multiple GPs at the practice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6C66B6" w14:textId="77777777" w:rsidR="001C19F3" w:rsidRDefault="001C19F3" w:rsidP="00521305">
            <w:pPr>
              <w:spacing w:before="40" w:after="40"/>
              <w:ind w:left="100" w:right="100"/>
              <w:jc w:val="right"/>
            </w:pPr>
            <w:r>
              <w:rPr>
                <w:rFonts w:eastAsia="Century Gothic" w:cs="Century Gothic"/>
                <w:color w:val="000000"/>
                <w:sz w:val="18"/>
                <w:szCs w:val="18"/>
              </w:rPr>
              <w:t>5 (4.8%)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72AD3825"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FD029" w14:textId="77777777" w:rsidR="001C19F3" w:rsidRDefault="001C19F3" w:rsidP="00521305">
            <w:pPr>
              <w:spacing w:before="40" w:after="40"/>
              <w:ind w:left="100" w:right="100"/>
            </w:pPr>
            <w:r>
              <w:rPr>
                <w:rFonts w:eastAsia="Century Gothic" w:cs="Century Gothic"/>
                <w:color w:val="000000"/>
                <w:sz w:val="18"/>
                <w:szCs w:val="18"/>
              </w:rPr>
              <w:t>Patients conditions are not fully managed at this stage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F1A450"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76C5DF92"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5C6ADE" w14:textId="77777777" w:rsidR="001C19F3" w:rsidRDefault="001C19F3" w:rsidP="00521305">
            <w:pPr>
              <w:spacing w:before="40" w:after="40"/>
              <w:ind w:left="100" w:right="100"/>
            </w:pPr>
            <w:r>
              <w:rPr>
                <w:rFonts w:eastAsia="Century Gothic" w:cs="Century Gothic"/>
                <w:color w:val="000000"/>
                <w:sz w:val="18"/>
                <w:szCs w:val="18"/>
              </w:rPr>
              <w:t>Time constraints (for registering patient)</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7C89B6" w14:textId="77777777" w:rsidR="001C19F3" w:rsidRDefault="001C19F3" w:rsidP="00521305">
            <w:pPr>
              <w:spacing w:before="40" w:after="40"/>
              <w:ind w:left="100" w:right="100"/>
              <w:jc w:val="right"/>
            </w:pPr>
            <w:r>
              <w:rPr>
                <w:rFonts w:eastAsia="Century Gothic" w:cs="Century Gothic"/>
                <w:color w:val="000000"/>
                <w:sz w:val="18"/>
                <w:szCs w:val="18"/>
              </w:rPr>
              <w:t>5 (4.8%)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5BBD465"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D01941" w14:textId="77777777" w:rsidR="001C19F3" w:rsidRDefault="001C19F3" w:rsidP="00521305">
            <w:pPr>
              <w:spacing w:before="40" w:after="40"/>
              <w:ind w:left="100" w:right="100"/>
            </w:pPr>
            <w:r>
              <w:rPr>
                <w:rFonts w:eastAsia="Century Gothic" w:cs="Century Gothic"/>
                <w:color w:val="000000"/>
                <w:sz w:val="18"/>
                <w:szCs w:val="18"/>
              </w:rPr>
              <w:t>Patients don't have a chronic condition</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65C866" w14:textId="77777777" w:rsidR="001C19F3" w:rsidRDefault="001C19F3" w:rsidP="00521305">
            <w:pPr>
              <w:spacing w:before="40" w:after="40"/>
              <w:ind w:left="100" w:right="100"/>
              <w:jc w:val="right"/>
            </w:pPr>
            <w:r>
              <w:rPr>
                <w:rFonts w:eastAsia="Century Gothic" w:cs="Century Gothic"/>
                <w:color w:val="000000"/>
                <w:sz w:val="18"/>
                <w:szCs w:val="18"/>
              </w:rPr>
              <w:t>1 (1.0%)</w:t>
            </w:r>
          </w:p>
        </w:tc>
      </w:tr>
    </w:tbl>
    <w:p w14:paraId="201EE12C" w14:textId="77777777" w:rsidR="001C19F3" w:rsidRDefault="001C19F3" w:rsidP="001C19F3">
      <w:pPr>
        <w:pStyle w:val="Chartortablefootnote"/>
      </w:pPr>
      <w:r>
        <w:t>Source: Practice survey R2, Nov 2018-Mar 2019, question 5.</w:t>
      </w:r>
    </w:p>
    <w:p w14:paraId="5BB115A5" w14:textId="77777777" w:rsidR="001C19F3" w:rsidRDefault="001C19F3" w:rsidP="001C19F3">
      <w:pPr>
        <w:pStyle w:val="Heading3"/>
      </w:pPr>
      <w:r>
        <w:t>Informing patients about HCH (Step 2)</w:t>
      </w:r>
    </w:p>
    <w:p w14:paraId="339851C7" w14:textId="77777777" w:rsidR="001C19F3" w:rsidRDefault="001C19F3" w:rsidP="001C19F3">
      <w:pPr>
        <w:rPr>
          <w:szCs w:val="20"/>
        </w:rPr>
      </w:pPr>
      <w:r>
        <w:rPr>
          <w:szCs w:val="20"/>
        </w:rPr>
        <w:t xml:space="preserve">Several approaches to informing patients about the program were identified in interviews. These can also be categories into systematic and opportunistic. </w:t>
      </w:r>
    </w:p>
    <w:p w14:paraId="75861C47" w14:textId="77777777" w:rsidR="001C19F3" w:rsidRDefault="001C19F3" w:rsidP="001C19F3">
      <w:pPr>
        <w:ind w:right="1088"/>
        <w:rPr>
          <w:szCs w:val="20"/>
        </w:rPr>
      </w:pPr>
      <w:r>
        <w:rPr>
          <w:szCs w:val="20"/>
        </w:rPr>
        <w:t xml:space="preserve">The </w:t>
      </w:r>
      <w:r w:rsidRPr="00102303">
        <w:rPr>
          <w:szCs w:val="20"/>
        </w:rPr>
        <w:t>systematic</w:t>
      </w:r>
      <w:r>
        <w:rPr>
          <w:szCs w:val="20"/>
        </w:rPr>
        <w:t xml:space="preserve"> approach involved information sessions to groups of potentially eligible patients. </w:t>
      </w:r>
      <w:r w:rsidRPr="00BF4376">
        <w:rPr>
          <w:szCs w:val="20"/>
        </w:rPr>
        <w:t>Information sessions typically involved several clinical staff and</w:t>
      </w:r>
      <w:r>
        <w:rPr>
          <w:szCs w:val="20"/>
        </w:rPr>
        <w:t>,</w:t>
      </w:r>
      <w:r w:rsidRPr="00BF4376">
        <w:rPr>
          <w:szCs w:val="20"/>
        </w:rPr>
        <w:t xml:space="preserve"> in some instances</w:t>
      </w:r>
      <w:r>
        <w:rPr>
          <w:szCs w:val="20"/>
        </w:rPr>
        <w:t xml:space="preserve">, </w:t>
      </w:r>
      <w:r w:rsidRPr="00102303">
        <w:rPr>
          <w:szCs w:val="20"/>
        </w:rPr>
        <w:t>PHN practice facilitators</w:t>
      </w:r>
      <w:r>
        <w:rPr>
          <w:i/>
          <w:szCs w:val="20"/>
        </w:rPr>
        <w:t xml:space="preserve">. </w:t>
      </w:r>
      <w:r>
        <w:rPr>
          <w:szCs w:val="20"/>
        </w:rPr>
        <w:t>S</w:t>
      </w:r>
      <w:r w:rsidRPr="00BF4376">
        <w:rPr>
          <w:szCs w:val="20"/>
        </w:rPr>
        <w:t xml:space="preserve">ufficient time </w:t>
      </w:r>
      <w:r>
        <w:rPr>
          <w:szCs w:val="20"/>
        </w:rPr>
        <w:t xml:space="preserve">was needed </w:t>
      </w:r>
      <w:r w:rsidRPr="00BF4376">
        <w:rPr>
          <w:szCs w:val="20"/>
        </w:rPr>
        <w:t>for information about HCH to be provided and for patients, family and carers to ask questions.</w:t>
      </w:r>
      <w:r>
        <w:rPr>
          <w:szCs w:val="20"/>
        </w:rPr>
        <w:t xml:space="preserve"> At the sessions, patients would be asked whether they wanted to proceed to the next stage of enrolment (the HARP assessment) and a follow-up consultation arranged. These session were very successful for some practices:</w:t>
      </w:r>
    </w:p>
    <w:p w14:paraId="34F7B998" w14:textId="77777777" w:rsidR="001C19F3" w:rsidRDefault="001C19F3" w:rsidP="001C19F3">
      <w:pPr>
        <w:ind w:left="567" w:right="1088"/>
        <w:rPr>
          <w:szCs w:val="20"/>
        </w:rPr>
      </w:pPr>
      <w:r w:rsidRPr="00CE75E4">
        <w:rPr>
          <w:i/>
          <w:szCs w:val="20"/>
        </w:rPr>
        <w:t xml:space="preserve">“…we </w:t>
      </w:r>
      <w:r w:rsidRPr="00E54CB7">
        <w:rPr>
          <w:szCs w:val="20"/>
        </w:rPr>
        <w:t>[were]</w:t>
      </w:r>
      <w:r w:rsidRPr="00CE75E4">
        <w:rPr>
          <w:i/>
          <w:szCs w:val="20"/>
        </w:rPr>
        <w:t xml:space="preserve"> involved in…a big initial meeting with eligible patients, had an information night, that’s how it all started, which was very successful…... I think we prepared for about 25 places or so to be signed up on the night, and they were pretty much all signed up on the night.”</w:t>
      </w:r>
      <w:r>
        <w:rPr>
          <w:szCs w:val="20"/>
        </w:rPr>
        <w:t xml:space="preserve"> [GP, Practice 12, interview, R2]</w:t>
      </w:r>
    </w:p>
    <w:p w14:paraId="1E97C1FB" w14:textId="77777777" w:rsidR="001C19F3" w:rsidRDefault="001C19F3" w:rsidP="001C19F3">
      <w:pPr>
        <w:ind w:left="567" w:right="1088"/>
        <w:rPr>
          <w:szCs w:val="20"/>
        </w:rPr>
      </w:pPr>
      <w:r w:rsidRPr="006323CF">
        <w:rPr>
          <w:i/>
          <w:szCs w:val="20"/>
        </w:rPr>
        <w:t xml:space="preserve">“I came up with this idea about having a forum…We picked about 300 people, sent invitations out to 300 people to come in and we did it at a community area locally…We did a bit of a spiel. All the staff came. The practice closed early that day, and it was really, really good. Really good feedback. And what we had done as well, we pre-made appointments…So that day of the forum, and that was in May of this year, </w:t>
      </w:r>
      <w:r w:rsidRPr="006323CF">
        <w:rPr>
          <w:i/>
          <w:szCs w:val="20"/>
        </w:rPr>
        <w:lastRenderedPageBreak/>
        <w:t>all the</w:t>
      </w:r>
      <w:r>
        <w:rPr>
          <w:i/>
          <w:szCs w:val="20"/>
        </w:rPr>
        <w:t xml:space="preserve"> </w:t>
      </w:r>
      <w:r w:rsidRPr="006323CF">
        <w:rPr>
          <w:i/>
          <w:szCs w:val="20"/>
        </w:rPr>
        <w:t>appointments that were made on that night took us right through to August.</w:t>
      </w:r>
      <w:r>
        <w:rPr>
          <w:i/>
          <w:szCs w:val="20"/>
        </w:rPr>
        <w:t xml:space="preserve"> </w:t>
      </w:r>
      <w:r>
        <w:rPr>
          <w:szCs w:val="20"/>
        </w:rPr>
        <w:t>[Practice manager, Practice 4, interview, R2]</w:t>
      </w:r>
    </w:p>
    <w:p w14:paraId="3EF971C8" w14:textId="77777777" w:rsidR="001C19F3" w:rsidRPr="00DB2F70" w:rsidRDefault="001C19F3" w:rsidP="001C19F3">
      <w:pPr>
        <w:rPr>
          <w:szCs w:val="20"/>
        </w:rPr>
      </w:pPr>
      <w:r w:rsidRPr="00DB2F70">
        <w:rPr>
          <w:szCs w:val="20"/>
        </w:rPr>
        <w:t>Other practices found these sessions were not as successful:</w:t>
      </w:r>
    </w:p>
    <w:p w14:paraId="028ED6F5" w14:textId="77777777" w:rsidR="001C19F3" w:rsidRDefault="001C19F3" w:rsidP="001C19F3">
      <w:pPr>
        <w:ind w:left="567" w:right="1088"/>
        <w:rPr>
          <w:szCs w:val="20"/>
        </w:rPr>
      </w:pPr>
      <w:r w:rsidRPr="00877B1A">
        <w:rPr>
          <w:i/>
          <w:szCs w:val="20"/>
        </w:rPr>
        <w:t xml:space="preserve">“…we sort of organised one community forum. So sent out 350 invitations and then I had about 20 registered and </w:t>
      </w:r>
      <w:r>
        <w:rPr>
          <w:i/>
          <w:szCs w:val="20"/>
        </w:rPr>
        <w:t>10</w:t>
      </w:r>
      <w:r w:rsidRPr="00877B1A">
        <w:rPr>
          <w:i/>
          <w:szCs w:val="20"/>
        </w:rPr>
        <w:t xml:space="preserve"> turned up. And five registered</w:t>
      </w:r>
      <w:r>
        <w:rPr>
          <w:i/>
          <w:szCs w:val="20"/>
        </w:rPr>
        <w:t>…</w:t>
      </w:r>
      <w:r w:rsidRPr="00877B1A">
        <w:rPr>
          <w:i/>
          <w:szCs w:val="20"/>
        </w:rPr>
        <w:t>So</w:t>
      </w:r>
      <w:r>
        <w:rPr>
          <w:i/>
          <w:szCs w:val="20"/>
        </w:rPr>
        <w:t xml:space="preserve"> </w:t>
      </w:r>
      <w:r w:rsidRPr="00304DC2">
        <w:rPr>
          <w:szCs w:val="20"/>
        </w:rPr>
        <w:t>[receptionist]</w:t>
      </w:r>
      <w:r w:rsidRPr="00877B1A">
        <w:rPr>
          <w:i/>
          <w:szCs w:val="20"/>
        </w:rPr>
        <w:t xml:space="preserve"> goes, identifies the patient who is eligible, and she puts a note with the nurse saying this patient is eligible for Health</w:t>
      </w:r>
      <w:r>
        <w:rPr>
          <w:i/>
          <w:szCs w:val="20"/>
        </w:rPr>
        <w:t xml:space="preserve"> C</w:t>
      </w:r>
      <w:r w:rsidRPr="00877B1A">
        <w:rPr>
          <w:i/>
          <w:szCs w:val="20"/>
        </w:rPr>
        <w:t>are Homes, do you want to have a chat? And then the nurse will take them in, have a chat with them. And I think it’s sort of working better than sending out the letters or inviting them for the community forum.”</w:t>
      </w:r>
      <w:r>
        <w:rPr>
          <w:i/>
          <w:szCs w:val="20"/>
        </w:rPr>
        <w:t xml:space="preserve"> </w:t>
      </w:r>
      <w:r>
        <w:rPr>
          <w:szCs w:val="20"/>
        </w:rPr>
        <w:t>[Practice manager, Practice 9, interview, R2]</w:t>
      </w:r>
    </w:p>
    <w:p w14:paraId="3CD92B8D" w14:textId="77777777" w:rsidR="001C19F3" w:rsidRDefault="001C19F3" w:rsidP="001C19F3">
      <w:pPr>
        <w:ind w:left="567" w:right="1088"/>
        <w:rPr>
          <w:szCs w:val="20"/>
        </w:rPr>
      </w:pPr>
      <w:r w:rsidRPr="00CE75E4">
        <w:rPr>
          <w:i/>
          <w:szCs w:val="20"/>
        </w:rPr>
        <w:t>“No one really came. I think we had one or two people come so that didn't go as planned.”</w:t>
      </w:r>
      <w:r>
        <w:rPr>
          <w:szCs w:val="20"/>
        </w:rPr>
        <w:t xml:space="preserve"> [Practice manager, Practice 1, interview, R2]</w:t>
      </w:r>
    </w:p>
    <w:p w14:paraId="7268A30D" w14:textId="77777777" w:rsidR="001C19F3" w:rsidRDefault="001C19F3" w:rsidP="001C19F3">
      <w:pPr>
        <w:ind w:right="1088"/>
        <w:rPr>
          <w:szCs w:val="20"/>
        </w:rPr>
      </w:pPr>
      <w:r>
        <w:rPr>
          <w:szCs w:val="20"/>
        </w:rPr>
        <w:t xml:space="preserve">The </w:t>
      </w:r>
      <w:r w:rsidRPr="00102303">
        <w:rPr>
          <w:szCs w:val="20"/>
        </w:rPr>
        <w:t xml:space="preserve">opportunistic </w:t>
      </w:r>
      <w:r>
        <w:rPr>
          <w:szCs w:val="20"/>
        </w:rPr>
        <w:t xml:space="preserve">approach involved providing patients with information during a GP consultation. This was sometimes divided between a consultation with a GP, where an overview of HCH would be provided and a lengthier consultation with a practice nurse who would provide more detail where more detail on the program. The consultation at which information was given was often also used to get a patient’s permission to proceed with the HARP assessment. Some practices reported that several consultations were often required before a patient felt they had sufficient information to be comfortable to proceed to the next stage. </w:t>
      </w:r>
    </w:p>
    <w:tbl>
      <w:tblPr>
        <w:tblpPr w:leftFromText="180" w:rightFromText="180" w:vertAnchor="text" w:horzAnchor="margin" w:tblpY="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5A176EB0" w14:textId="77777777" w:rsidTr="00521305">
        <w:trPr>
          <w:trHeight w:val="287"/>
        </w:trPr>
        <w:tc>
          <w:tcPr>
            <w:tcW w:w="5000" w:type="pct"/>
          </w:tcPr>
          <w:p w14:paraId="334430F8" w14:textId="77777777" w:rsidR="001C19F3" w:rsidRPr="004A11F1" w:rsidRDefault="001C19F3" w:rsidP="00521305">
            <w:pPr>
              <w:spacing w:after="0"/>
              <w:rPr>
                <w:b/>
                <w:sz w:val="18"/>
                <w:szCs w:val="18"/>
              </w:rPr>
            </w:pPr>
            <w:r w:rsidRPr="004A11F1">
              <w:rPr>
                <w:b/>
                <w:sz w:val="18"/>
                <w:szCs w:val="18"/>
              </w:rPr>
              <w:t>Case study</w:t>
            </w:r>
          </w:p>
        </w:tc>
      </w:tr>
      <w:tr w:rsidR="001C19F3" w:rsidRPr="004A11F1" w14:paraId="65E6122E" w14:textId="77777777" w:rsidTr="00521305">
        <w:tc>
          <w:tcPr>
            <w:tcW w:w="5000" w:type="pct"/>
          </w:tcPr>
          <w:p w14:paraId="4FFE328C" w14:textId="77777777" w:rsidR="001C19F3" w:rsidRPr="004A11F1" w:rsidRDefault="001C19F3" w:rsidP="00521305">
            <w:pPr>
              <w:spacing w:after="0"/>
              <w:rPr>
                <w:sz w:val="18"/>
                <w:szCs w:val="18"/>
              </w:rPr>
            </w:pPr>
            <w:r>
              <w:rPr>
                <w:sz w:val="18"/>
                <w:szCs w:val="18"/>
              </w:rPr>
              <w:t>A</w:t>
            </w:r>
            <w:r w:rsidRPr="00036288">
              <w:rPr>
                <w:sz w:val="18"/>
                <w:szCs w:val="18"/>
              </w:rPr>
              <w:t xml:space="preserve"> small practice located in a large city</w:t>
            </w:r>
            <w:r>
              <w:rPr>
                <w:sz w:val="18"/>
                <w:szCs w:val="18"/>
              </w:rPr>
              <w:t xml:space="preserve"> </w:t>
            </w:r>
            <w:r w:rsidRPr="00036288">
              <w:rPr>
                <w:sz w:val="18"/>
                <w:szCs w:val="18"/>
              </w:rPr>
              <w:t>provide</w:t>
            </w:r>
            <w:r>
              <w:rPr>
                <w:sz w:val="18"/>
                <w:szCs w:val="18"/>
              </w:rPr>
              <w:t>s</w:t>
            </w:r>
            <w:r w:rsidRPr="00036288">
              <w:rPr>
                <w:sz w:val="18"/>
                <w:szCs w:val="18"/>
              </w:rPr>
              <w:t xml:space="preserve"> services for </w:t>
            </w:r>
            <w:r>
              <w:rPr>
                <w:sz w:val="18"/>
                <w:szCs w:val="18"/>
              </w:rPr>
              <w:t>a vulnerable population</w:t>
            </w:r>
            <w:r w:rsidRPr="00036288">
              <w:rPr>
                <w:sz w:val="18"/>
                <w:szCs w:val="18"/>
              </w:rPr>
              <w:t>. The practice offers a wide range of care</w:t>
            </w:r>
            <w:r>
              <w:rPr>
                <w:sz w:val="18"/>
                <w:szCs w:val="18"/>
              </w:rPr>
              <w:t>,</w:t>
            </w:r>
            <w:r w:rsidRPr="00036288">
              <w:rPr>
                <w:sz w:val="18"/>
                <w:szCs w:val="18"/>
              </w:rPr>
              <w:t xml:space="preserve"> including drop in clinics</w:t>
            </w:r>
            <w:r>
              <w:rPr>
                <w:sz w:val="18"/>
                <w:szCs w:val="18"/>
              </w:rPr>
              <w:t xml:space="preserve">, </w:t>
            </w:r>
            <w:r w:rsidRPr="00036288">
              <w:rPr>
                <w:sz w:val="18"/>
                <w:szCs w:val="18"/>
              </w:rPr>
              <w:t>after hours assistance</w:t>
            </w:r>
            <w:r>
              <w:rPr>
                <w:sz w:val="18"/>
                <w:szCs w:val="18"/>
              </w:rPr>
              <w:t xml:space="preserve"> and care coordination that includes a social aspect</w:t>
            </w:r>
            <w:r w:rsidRPr="00036288">
              <w:rPr>
                <w:sz w:val="18"/>
                <w:szCs w:val="18"/>
              </w:rPr>
              <w:t>. The team was motivated to join HCH because they felt that the model was more financially viable</w:t>
            </w:r>
            <w:r>
              <w:rPr>
                <w:sz w:val="18"/>
                <w:szCs w:val="18"/>
              </w:rPr>
              <w:t>,</w:t>
            </w:r>
            <w:r w:rsidRPr="00036288">
              <w:rPr>
                <w:sz w:val="18"/>
                <w:szCs w:val="18"/>
              </w:rPr>
              <w:t xml:space="preserve"> as the practice provides many additional services that are not funded by Medicare. The patient enrolment aspect of HCH </w:t>
            </w:r>
            <w:r>
              <w:rPr>
                <w:sz w:val="18"/>
                <w:szCs w:val="18"/>
              </w:rPr>
              <w:t>was</w:t>
            </w:r>
            <w:r w:rsidRPr="00036288">
              <w:rPr>
                <w:sz w:val="18"/>
                <w:szCs w:val="18"/>
              </w:rPr>
              <w:t xml:space="preserve"> a challenge</w:t>
            </w:r>
            <w:r>
              <w:rPr>
                <w:sz w:val="18"/>
                <w:szCs w:val="18"/>
              </w:rPr>
              <w:t>,</w:t>
            </w:r>
            <w:r w:rsidRPr="00036288">
              <w:rPr>
                <w:sz w:val="18"/>
                <w:szCs w:val="18"/>
              </w:rPr>
              <w:t xml:space="preserve"> since patients </w:t>
            </w:r>
            <w:r>
              <w:rPr>
                <w:sz w:val="18"/>
                <w:szCs w:val="18"/>
              </w:rPr>
              <w:t>don’t</w:t>
            </w:r>
            <w:r w:rsidRPr="00036288">
              <w:rPr>
                <w:sz w:val="18"/>
                <w:szCs w:val="18"/>
              </w:rPr>
              <w:t xml:space="preserve"> regularly visit the practice</w:t>
            </w:r>
            <w:r>
              <w:rPr>
                <w:sz w:val="18"/>
                <w:szCs w:val="18"/>
              </w:rPr>
              <w:t>, so had to be done opportunistically</w:t>
            </w:r>
            <w:r w:rsidRPr="00036288">
              <w:rPr>
                <w:sz w:val="18"/>
                <w:szCs w:val="18"/>
              </w:rPr>
              <w:t>. The nurses found explaining the program and its benefits</w:t>
            </w:r>
            <w:r>
              <w:rPr>
                <w:sz w:val="18"/>
                <w:szCs w:val="18"/>
              </w:rPr>
              <w:t xml:space="preserve"> to patients</w:t>
            </w:r>
            <w:r w:rsidRPr="00036288">
              <w:rPr>
                <w:sz w:val="18"/>
                <w:szCs w:val="18"/>
              </w:rPr>
              <w:t xml:space="preserve"> a challenge. Staff members described discussing HCH with patients and creating care plans as a lengthy process. </w:t>
            </w:r>
            <w:r>
              <w:rPr>
                <w:sz w:val="18"/>
                <w:szCs w:val="18"/>
              </w:rPr>
              <w:t>To</w:t>
            </w:r>
            <w:r w:rsidRPr="00036288">
              <w:rPr>
                <w:sz w:val="18"/>
                <w:szCs w:val="18"/>
              </w:rPr>
              <w:t xml:space="preserve"> combat this issue, the team decided to show patients the animated two-minute HCH video </w:t>
            </w:r>
            <w:r>
              <w:rPr>
                <w:sz w:val="18"/>
                <w:szCs w:val="18"/>
              </w:rPr>
              <w:t>developed</w:t>
            </w:r>
            <w:r w:rsidRPr="00036288">
              <w:rPr>
                <w:sz w:val="18"/>
                <w:szCs w:val="18"/>
              </w:rPr>
              <w:t xml:space="preserve"> by the Department of Health. By watching the video, both the staff and patients ha</w:t>
            </w:r>
            <w:r>
              <w:rPr>
                <w:sz w:val="18"/>
                <w:szCs w:val="18"/>
              </w:rPr>
              <w:t>d</w:t>
            </w:r>
            <w:r w:rsidRPr="00036288">
              <w:rPr>
                <w:sz w:val="18"/>
                <w:szCs w:val="18"/>
              </w:rPr>
              <w:t xml:space="preserve"> a better understanding of the program and its objectives.</w:t>
            </w:r>
          </w:p>
        </w:tc>
      </w:tr>
    </w:tbl>
    <w:p w14:paraId="46544913" w14:textId="77777777" w:rsidR="001C19F3" w:rsidRDefault="001C19F3" w:rsidP="001C19F3">
      <w:pPr>
        <w:spacing w:after="0"/>
        <w:rPr>
          <w:szCs w:val="20"/>
        </w:rPr>
      </w:pPr>
      <w:r>
        <w:rPr>
          <w:szCs w:val="20"/>
        </w:rPr>
        <w:t xml:space="preserve"> </w:t>
      </w:r>
    </w:p>
    <w:p w14:paraId="2A8439FE" w14:textId="77777777" w:rsidR="001C19F3" w:rsidRPr="00AE5990" w:rsidRDefault="001C19F3" w:rsidP="001C19F3">
      <w:pPr>
        <w:pStyle w:val="Heading3"/>
      </w:pPr>
      <w:r>
        <w:t>Messages for patients about the benefits of HCH</w:t>
      </w:r>
    </w:p>
    <w:p w14:paraId="2DB181D1" w14:textId="77777777" w:rsidR="001C19F3" w:rsidRPr="00753350" w:rsidRDefault="001C19F3" w:rsidP="001C19F3">
      <w:pPr>
        <w:rPr>
          <w:rFonts w:eastAsia="Times New Roman"/>
          <w:i/>
          <w:iCs/>
          <w:color w:val="003D79"/>
          <w:sz w:val="24"/>
        </w:rPr>
      </w:pPr>
      <w:r w:rsidRPr="00753350">
        <w:rPr>
          <w:rFonts w:eastAsia="Times New Roman"/>
          <w:iCs/>
          <w:szCs w:val="20"/>
        </w:rPr>
        <w:t>When discussing HCH with patients, practices had a wide variety of HCH ‘selling points’:</w:t>
      </w:r>
    </w:p>
    <w:p w14:paraId="0DCDFFC7"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 xml:space="preserve">increased access via phone, skype and email </w:t>
      </w:r>
    </w:p>
    <w:p w14:paraId="32DA2865"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shorter wait</w:t>
      </w:r>
      <w:r>
        <w:rPr>
          <w:rFonts w:eastAsia="Times New Roman"/>
          <w:iCs/>
          <w:szCs w:val="20"/>
        </w:rPr>
        <w:t>ing</w:t>
      </w:r>
      <w:r w:rsidRPr="00753350">
        <w:rPr>
          <w:rFonts w:eastAsia="Times New Roman"/>
          <w:iCs/>
          <w:szCs w:val="20"/>
        </w:rPr>
        <w:t xml:space="preserve"> times</w:t>
      </w:r>
    </w:p>
    <w:p w14:paraId="764C7FE2"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improved monitoring of chronic disease (</w:t>
      </w:r>
      <w:bookmarkStart w:id="164" w:name="_Hlk20928300"/>
      <w:r w:rsidRPr="00753350">
        <w:rPr>
          <w:rFonts w:eastAsia="Times New Roman"/>
          <w:iCs/>
          <w:szCs w:val="20"/>
        </w:rPr>
        <w:t>including through shared care plans, routine recalls</w:t>
      </w:r>
      <w:bookmarkEnd w:id="164"/>
      <w:r w:rsidRPr="00753350">
        <w:rPr>
          <w:rFonts w:eastAsia="Times New Roman"/>
          <w:iCs/>
          <w:szCs w:val="20"/>
        </w:rPr>
        <w:t xml:space="preserve"> to check patient condition)</w:t>
      </w:r>
    </w:p>
    <w:p w14:paraId="6FD2EF18"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improved coordination between general practice, allied health, and external specialists</w:t>
      </w:r>
    </w:p>
    <w:p w14:paraId="0A2B5E70"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focus on patient activation and</w:t>
      </w:r>
      <w:r>
        <w:rPr>
          <w:rFonts w:eastAsia="Times New Roman"/>
          <w:iCs/>
          <w:szCs w:val="20"/>
        </w:rPr>
        <w:t xml:space="preserve"> the patient</w:t>
      </w:r>
      <w:r w:rsidRPr="00753350">
        <w:rPr>
          <w:rFonts w:eastAsia="Times New Roman"/>
          <w:iCs/>
          <w:szCs w:val="20"/>
        </w:rPr>
        <w:t xml:space="preserve"> taking control of </w:t>
      </w:r>
      <w:r>
        <w:rPr>
          <w:rFonts w:eastAsia="Times New Roman"/>
          <w:iCs/>
          <w:szCs w:val="20"/>
        </w:rPr>
        <w:t xml:space="preserve">their </w:t>
      </w:r>
      <w:r w:rsidRPr="00753350">
        <w:rPr>
          <w:rFonts w:eastAsia="Times New Roman"/>
          <w:iCs/>
          <w:szCs w:val="20"/>
        </w:rPr>
        <w:t xml:space="preserve">health </w:t>
      </w:r>
    </w:p>
    <w:p w14:paraId="3CD2A5C3"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ability to request some prescriptions and referral over the phone</w:t>
      </w:r>
    </w:p>
    <w:p w14:paraId="782DF0B8" w14:textId="77777777" w:rsidR="001C19F3" w:rsidRPr="00753350" w:rsidRDefault="001C19F3" w:rsidP="001C19F3">
      <w:pPr>
        <w:pStyle w:val="ListParagraph"/>
        <w:numPr>
          <w:ilvl w:val="0"/>
          <w:numId w:val="68"/>
        </w:numPr>
        <w:rPr>
          <w:rFonts w:eastAsia="Times New Roman"/>
          <w:iCs/>
          <w:szCs w:val="20"/>
        </w:rPr>
      </w:pPr>
      <w:bookmarkStart w:id="165" w:name="_Hlk20928365"/>
      <w:r w:rsidRPr="00753350">
        <w:rPr>
          <w:rFonts w:eastAsia="Times New Roman"/>
          <w:iCs/>
          <w:szCs w:val="20"/>
        </w:rPr>
        <w:t>access to a nurse for routine management and health measurements</w:t>
      </w:r>
    </w:p>
    <w:p w14:paraId="1578BC9B" w14:textId="77777777" w:rsidR="001C19F3" w:rsidRPr="00753350" w:rsidRDefault="001C19F3" w:rsidP="001C19F3">
      <w:pPr>
        <w:pStyle w:val="ListParagraph"/>
        <w:numPr>
          <w:ilvl w:val="0"/>
          <w:numId w:val="68"/>
        </w:numPr>
        <w:rPr>
          <w:rFonts w:eastAsia="Times New Roman"/>
          <w:iCs/>
          <w:szCs w:val="20"/>
        </w:rPr>
      </w:pPr>
      <w:r w:rsidRPr="00753350">
        <w:rPr>
          <w:rFonts w:eastAsia="Times New Roman"/>
          <w:iCs/>
          <w:szCs w:val="20"/>
        </w:rPr>
        <w:t>a more personalised way to manage health issues</w:t>
      </w:r>
    </w:p>
    <w:p w14:paraId="53E8403A" w14:textId="77777777" w:rsidR="001C19F3" w:rsidRPr="00753350" w:rsidRDefault="001C19F3" w:rsidP="001C19F3">
      <w:pPr>
        <w:pStyle w:val="ListParagraph"/>
        <w:numPr>
          <w:ilvl w:val="0"/>
          <w:numId w:val="68"/>
        </w:numPr>
        <w:rPr>
          <w:rFonts w:eastAsia="Times New Roman"/>
          <w:iCs/>
          <w:szCs w:val="20"/>
        </w:rPr>
      </w:pPr>
      <w:bookmarkStart w:id="166" w:name="_Hlk20928345"/>
      <w:bookmarkEnd w:id="165"/>
      <w:r w:rsidRPr="00753350">
        <w:rPr>
          <w:rFonts w:eastAsia="Times New Roman"/>
          <w:iCs/>
          <w:szCs w:val="20"/>
        </w:rPr>
        <w:lastRenderedPageBreak/>
        <w:t>access to more services (e.g. education, home visits).</w:t>
      </w:r>
    </w:p>
    <w:bookmarkEnd w:id="166"/>
    <w:p w14:paraId="0FF4DA93" w14:textId="77777777" w:rsidR="001C19F3" w:rsidRPr="008312C6" w:rsidRDefault="001C19F3" w:rsidP="001C19F3">
      <w:pPr>
        <w:ind w:right="237"/>
      </w:pPr>
      <w:r>
        <w:rPr>
          <w:szCs w:val="20"/>
        </w:rPr>
        <w:t xml:space="preserve">Despite these selling point, practices and practice facilitators often struggled to create a coherent and convincing message for why a patient should enrol in HCH. A common issue was that practices felt that they were already </w:t>
      </w:r>
      <w:r w:rsidRPr="001252E8">
        <w:rPr>
          <w:szCs w:val="20"/>
        </w:rPr>
        <w:t>providing services</w:t>
      </w:r>
      <w:r>
        <w:rPr>
          <w:szCs w:val="20"/>
        </w:rPr>
        <w:t xml:space="preserve"> consistent with the HCH model, so that the care for the patients that they were enrolling would not change to a great extent</w:t>
      </w:r>
      <w:r w:rsidRPr="001252E8">
        <w:rPr>
          <w:szCs w:val="20"/>
        </w:rPr>
        <w:t>.</w:t>
      </w:r>
      <w:r>
        <w:rPr>
          <w:szCs w:val="20"/>
        </w:rPr>
        <w:t xml:space="preserve"> Several practices stated that access and the ability to request prescriptions over the phone was the “juicy carrot” that encouraged patients to participate.</w:t>
      </w:r>
      <w:r w:rsidRPr="001252E8">
        <w:rPr>
          <w:szCs w:val="20"/>
        </w:rPr>
        <w:t xml:space="preserve"> </w:t>
      </w:r>
      <w:r>
        <w:rPr>
          <w:szCs w:val="20"/>
        </w:rPr>
        <w:t>Otherwise, practices thought that many of the</w:t>
      </w:r>
      <w:r w:rsidRPr="001252E8">
        <w:rPr>
          <w:szCs w:val="20"/>
        </w:rPr>
        <w:t xml:space="preserve"> major changes</w:t>
      </w:r>
      <w:r>
        <w:rPr>
          <w:szCs w:val="20"/>
        </w:rPr>
        <w:t xml:space="preserve"> under HCH </w:t>
      </w:r>
      <w:r w:rsidRPr="001252E8">
        <w:rPr>
          <w:szCs w:val="20"/>
        </w:rPr>
        <w:t xml:space="preserve">were internal </w:t>
      </w:r>
      <w:r>
        <w:rPr>
          <w:szCs w:val="20"/>
        </w:rPr>
        <w:t xml:space="preserve">to the practice </w:t>
      </w:r>
      <w:r w:rsidRPr="001252E8">
        <w:rPr>
          <w:szCs w:val="20"/>
        </w:rPr>
        <w:t>and did not impact their patients</w:t>
      </w:r>
      <w:r>
        <w:rPr>
          <w:szCs w:val="20"/>
        </w:rPr>
        <w:t>:</w:t>
      </w:r>
    </w:p>
    <w:p w14:paraId="3F71E34A" w14:textId="77777777" w:rsidR="001C19F3" w:rsidRPr="008312C6" w:rsidRDefault="001C19F3" w:rsidP="001C19F3">
      <w:pPr>
        <w:ind w:left="567" w:right="1088"/>
        <w:rPr>
          <w:i/>
        </w:rPr>
      </w:pPr>
      <w:r w:rsidRPr="008312C6">
        <w:rPr>
          <w:i/>
        </w:rPr>
        <w:t xml:space="preserve">“…that can be an internal struggle as well to go, hang on I’m a GP, I’m providing good care, why am I trying to sell to my patients that they should participate in this program because they’re going to get better care.” </w:t>
      </w:r>
      <w:r w:rsidRPr="008312C6">
        <w:t>[PHN 4</w:t>
      </w:r>
      <w:r>
        <w:t>, interview, R1]</w:t>
      </w:r>
    </w:p>
    <w:p w14:paraId="0F2955F8" w14:textId="77777777" w:rsidR="001C19F3" w:rsidRDefault="001C19F3" w:rsidP="001C19F3">
      <w:pPr>
        <w:ind w:left="567" w:right="1088"/>
        <w:rPr>
          <w:szCs w:val="20"/>
        </w:rPr>
      </w:pPr>
      <w:r w:rsidRPr="005D5EC5">
        <w:rPr>
          <w:i/>
          <w:szCs w:val="20"/>
        </w:rPr>
        <w:t xml:space="preserve">“…I guess that's just it's that spiel of, what is this, why is it…? Because often I will go, there's this new </w:t>
      </w:r>
      <w:r>
        <w:rPr>
          <w:i/>
          <w:szCs w:val="20"/>
        </w:rPr>
        <w:t>program</w:t>
      </w:r>
      <w:r w:rsidRPr="005D5EC5">
        <w:rPr>
          <w:i/>
          <w:szCs w:val="20"/>
        </w:rPr>
        <w:t>, it's actually not very different to how we run things now. The big change is around how we do the billing.”</w:t>
      </w:r>
      <w:r w:rsidRPr="001252E8">
        <w:rPr>
          <w:szCs w:val="20"/>
        </w:rPr>
        <w:t xml:space="preserve"> [</w:t>
      </w:r>
      <w:r>
        <w:rPr>
          <w:szCs w:val="20"/>
        </w:rPr>
        <w:t>P</w:t>
      </w:r>
      <w:r w:rsidRPr="001252E8">
        <w:rPr>
          <w:szCs w:val="20"/>
        </w:rPr>
        <w:t>ractice nurse, Practice 10</w:t>
      </w:r>
      <w:r>
        <w:rPr>
          <w:szCs w:val="20"/>
        </w:rPr>
        <w:t>, interview, R2]</w:t>
      </w:r>
    </w:p>
    <w:p w14:paraId="3FD3B488" w14:textId="77777777" w:rsidR="001C19F3" w:rsidRDefault="001C19F3" w:rsidP="001C19F3">
      <w:pPr>
        <w:ind w:left="567" w:right="1088"/>
        <w:rPr>
          <w:szCs w:val="20"/>
        </w:rPr>
      </w:pPr>
      <w:r w:rsidRPr="005D5EC5">
        <w:rPr>
          <w:i/>
          <w:szCs w:val="20"/>
        </w:rPr>
        <w:t>“…most of the time, they’re just like, but I don’t see why I need it. I’m saying, well, you kind of don’t, but just help me out.”</w:t>
      </w:r>
      <w:r>
        <w:rPr>
          <w:szCs w:val="20"/>
        </w:rPr>
        <w:t xml:space="preserve"> [Practice nurse, Practice 1, interview, R2]</w:t>
      </w:r>
    </w:p>
    <w:p w14:paraId="37C18A0B" w14:textId="77777777" w:rsidR="001C19F3" w:rsidRDefault="001C19F3" w:rsidP="001C19F3">
      <w:pPr>
        <w:ind w:left="567" w:right="1088"/>
        <w:rPr>
          <w:szCs w:val="20"/>
        </w:rPr>
      </w:pPr>
      <w:r w:rsidRPr="00421F34">
        <w:rPr>
          <w:i/>
          <w:szCs w:val="20"/>
        </w:rPr>
        <w:t>“Some patients didn’t see what was different, because we were already providing that level of service for them anyway. Most patients then go, you’re right, we’re already doing it</w:t>
      </w:r>
      <w:r>
        <w:rPr>
          <w:i/>
          <w:szCs w:val="20"/>
        </w:rPr>
        <w:t>. B</w:t>
      </w:r>
      <w:r w:rsidRPr="00421F34">
        <w:rPr>
          <w:i/>
          <w:szCs w:val="20"/>
        </w:rPr>
        <w:t>ut now we’re going to get paid for it so sign here.”</w:t>
      </w:r>
      <w:r>
        <w:rPr>
          <w:szCs w:val="20"/>
        </w:rPr>
        <w:t xml:space="preserve"> [GP, Practice 5, interview, R2]</w:t>
      </w:r>
    </w:p>
    <w:p w14:paraId="16D98A29" w14:textId="77777777" w:rsidR="001C19F3" w:rsidRPr="009631AD" w:rsidRDefault="001C19F3" w:rsidP="001C19F3">
      <w:pPr>
        <w:ind w:right="1088"/>
        <w:rPr>
          <w:szCs w:val="20"/>
        </w:rPr>
      </w:pPr>
      <w:r>
        <w:rPr>
          <w:szCs w:val="20"/>
        </w:rPr>
        <w:t>Overall, creating a clear and consistent message that outlined the goals of the program was a challenge:</w:t>
      </w:r>
    </w:p>
    <w:p w14:paraId="32960948" w14:textId="77777777" w:rsidR="001C19F3" w:rsidRDefault="001C19F3" w:rsidP="001C19F3">
      <w:pPr>
        <w:ind w:left="567" w:right="1088"/>
        <w:rPr>
          <w:i/>
          <w:szCs w:val="20"/>
        </w:rPr>
      </w:pPr>
      <w:r>
        <w:rPr>
          <w:i/>
          <w:szCs w:val="20"/>
        </w:rPr>
        <w:t>“</w:t>
      </w:r>
      <w:r w:rsidRPr="001252E8">
        <w:rPr>
          <w:i/>
          <w:szCs w:val="20"/>
        </w:rPr>
        <w:t>I had a couple, who were not really understanding… I don’t think they really understood it. But they felt they didn’t need it…</w:t>
      </w:r>
      <w:r w:rsidRPr="001252E8">
        <w:rPr>
          <w:i/>
        </w:rPr>
        <w:t xml:space="preserve"> </w:t>
      </w:r>
      <w:r w:rsidRPr="001252E8">
        <w:rPr>
          <w:i/>
          <w:szCs w:val="20"/>
        </w:rPr>
        <w:t>People will go home and go, oh well I don’t know what that was all about but…Or I remember bits of it. And even the ones who absolutely have no problems whatsoever, they were the ones that were not remembering or not understanding. So yes, that was really eye opening for me to be able to go, even though I think they’ve understood and I’m documenting in the notes the patient has agree</w:t>
      </w:r>
      <w:r>
        <w:rPr>
          <w:i/>
          <w:szCs w:val="20"/>
        </w:rPr>
        <w:t xml:space="preserve">d.” </w:t>
      </w:r>
      <w:r>
        <w:rPr>
          <w:szCs w:val="20"/>
        </w:rPr>
        <w:t>[Practice nurse, Practice 14, interview R2]</w:t>
      </w:r>
      <w:r>
        <w:rPr>
          <w:i/>
          <w:szCs w:val="20"/>
        </w:rPr>
        <w:t xml:space="preserve"> </w:t>
      </w:r>
    </w:p>
    <w:p w14:paraId="40EEE673" w14:textId="77777777" w:rsidR="001C19F3" w:rsidRDefault="001C19F3" w:rsidP="001C19F3">
      <w:pPr>
        <w:rPr>
          <w:szCs w:val="20"/>
        </w:rPr>
      </w:pPr>
      <w:r>
        <w:rPr>
          <w:szCs w:val="20"/>
        </w:rPr>
        <w:t>For some practices delivering a simple message was the most effective way to help patients understand the advantages of the program:</w:t>
      </w:r>
    </w:p>
    <w:p w14:paraId="280B94B5" w14:textId="77777777" w:rsidR="001C19F3" w:rsidRDefault="001C19F3" w:rsidP="001C19F3">
      <w:pPr>
        <w:ind w:left="567" w:right="1088"/>
        <w:rPr>
          <w:szCs w:val="20"/>
        </w:rPr>
      </w:pPr>
      <w:r w:rsidRPr="00AB1E32">
        <w:rPr>
          <w:i/>
          <w:szCs w:val="20"/>
        </w:rPr>
        <w:t>“In enrolling patients, sometimes patients were not really clear. We had to put it very simple for them that the only purpose is that you don’t have to visit the doctor and you can pick up your scrip, and that’s the only reason. If you put it simple for the patient but it’s more than that.”</w:t>
      </w:r>
      <w:r>
        <w:rPr>
          <w:szCs w:val="20"/>
        </w:rPr>
        <w:t xml:space="preserve"> [Owner &amp; GP, Practice 3, interview, R2]</w:t>
      </w:r>
    </w:p>
    <w:p w14:paraId="5F54AFCE" w14:textId="77777777" w:rsidR="001C19F3" w:rsidRDefault="001C19F3" w:rsidP="001C19F3">
      <w:pPr>
        <w:ind w:left="567" w:right="1088"/>
        <w:rPr>
          <w:szCs w:val="20"/>
        </w:rPr>
      </w:pPr>
      <w:r w:rsidRPr="00AB1E32">
        <w:rPr>
          <w:i/>
          <w:szCs w:val="20"/>
        </w:rPr>
        <w:lastRenderedPageBreak/>
        <w:t>“I think keeping it simple, keeping the process simple of what you’re explaining to the patients…”</w:t>
      </w:r>
      <w:r>
        <w:rPr>
          <w:szCs w:val="20"/>
        </w:rPr>
        <w:t xml:space="preserve"> [Practice nurse, Practice 10, interview, R2]</w:t>
      </w:r>
    </w:p>
    <w:p w14:paraId="4EE959B0" w14:textId="77777777" w:rsidR="001C19F3" w:rsidRDefault="001C19F3" w:rsidP="001C19F3">
      <w:pPr>
        <w:ind w:right="1088"/>
        <w:rPr>
          <w:szCs w:val="20"/>
        </w:rPr>
      </w:pPr>
      <w:r w:rsidRPr="00AE5990">
        <w:rPr>
          <w:szCs w:val="20"/>
        </w:rPr>
        <w:t xml:space="preserve">The recommendation of the GP </w:t>
      </w:r>
      <w:r>
        <w:rPr>
          <w:szCs w:val="20"/>
        </w:rPr>
        <w:t xml:space="preserve">to the patient </w:t>
      </w:r>
      <w:r w:rsidRPr="00AE5990">
        <w:rPr>
          <w:szCs w:val="20"/>
        </w:rPr>
        <w:t xml:space="preserve">was often described as </w:t>
      </w:r>
      <w:r>
        <w:rPr>
          <w:szCs w:val="20"/>
        </w:rPr>
        <w:t>a key component, due to a strong GP relationship and the trust that they have cultivated with their patients, patients were more likely to enrol in HCH when their doctor had the discussion about the program with them:</w:t>
      </w:r>
    </w:p>
    <w:p w14:paraId="69228555" w14:textId="77777777" w:rsidR="001C19F3" w:rsidRDefault="001C19F3" w:rsidP="001C19F3">
      <w:pPr>
        <w:ind w:left="567" w:right="1088"/>
        <w:rPr>
          <w:szCs w:val="20"/>
        </w:rPr>
      </w:pPr>
      <w:r w:rsidRPr="00904D01">
        <w:rPr>
          <w:i/>
          <w:szCs w:val="20"/>
        </w:rPr>
        <w:t xml:space="preserve">“...because they already have a good relationship with </w:t>
      </w:r>
      <w:r w:rsidRPr="00220D26">
        <w:rPr>
          <w:iCs/>
          <w:szCs w:val="20"/>
        </w:rPr>
        <w:t>[the GP]</w:t>
      </w:r>
      <w:r w:rsidRPr="00904D01">
        <w:rPr>
          <w:i/>
          <w:szCs w:val="20"/>
        </w:rPr>
        <w:t xml:space="preserve">, a very close relationship with </w:t>
      </w:r>
      <w:r w:rsidRPr="00220D26">
        <w:rPr>
          <w:iCs/>
          <w:szCs w:val="20"/>
        </w:rPr>
        <w:t>[the GP]</w:t>
      </w:r>
      <w:r w:rsidRPr="00904D01">
        <w:rPr>
          <w:i/>
          <w:szCs w:val="20"/>
        </w:rPr>
        <w:t>. They are able to trust him and be able to go ahead with it.</w:t>
      </w:r>
      <w:r>
        <w:rPr>
          <w:i/>
          <w:szCs w:val="20"/>
        </w:rPr>
        <w:t xml:space="preserve"> </w:t>
      </w:r>
      <w:r w:rsidRPr="00904D01">
        <w:rPr>
          <w:i/>
          <w:szCs w:val="20"/>
        </w:rPr>
        <w:t>So, yes, so, a lot of them are already excited to sign up.”</w:t>
      </w:r>
      <w:r>
        <w:rPr>
          <w:szCs w:val="20"/>
        </w:rPr>
        <w:t xml:space="preserve"> [Practice manager, Practice 11, interview, R2]</w:t>
      </w:r>
    </w:p>
    <w:p w14:paraId="6C620A42" w14:textId="77777777" w:rsidR="001C19F3" w:rsidRDefault="001C19F3" w:rsidP="001C19F3">
      <w:pPr>
        <w:ind w:left="567" w:right="1088"/>
        <w:rPr>
          <w:i/>
          <w:szCs w:val="20"/>
        </w:rPr>
      </w:pPr>
      <w:r>
        <w:rPr>
          <w:i/>
          <w:szCs w:val="20"/>
        </w:rPr>
        <w:t>“</w:t>
      </w:r>
      <w:r w:rsidRPr="00DB644F">
        <w:rPr>
          <w:i/>
          <w:szCs w:val="20"/>
        </w:rPr>
        <w:t>The patients are like that, they trust their doctor</w:t>
      </w:r>
      <w:r>
        <w:rPr>
          <w:i/>
          <w:szCs w:val="20"/>
        </w:rPr>
        <w:t>…</w:t>
      </w:r>
      <w:r w:rsidRPr="00904D01">
        <w:t xml:space="preserve"> </w:t>
      </w:r>
      <w:r w:rsidRPr="00904D01">
        <w:rPr>
          <w:i/>
          <w:szCs w:val="20"/>
        </w:rPr>
        <w:t>the doctor needs to convince a patient.”</w:t>
      </w:r>
      <w:r>
        <w:rPr>
          <w:i/>
          <w:szCs w:val="20"/>
        </w:rPr>
        <w:t xml:space="preserve"> </w:t>
      </w:r>
      <w:r w:rsidRPr="00851881">
        <w:t>[Practice manager, Practice 3</w:t>
      </w:r>
      <w:r>
        <w:t>, interview, R2]</w:t>
      </w:r>
    </w:p>
    <w:p w14:paraId="083073E6" w14:textId="77777777" w:rsidR="001C19F3" w:rsidRDefault="001C19F3" w:rsidP="001C19F3">
      <w:pPr>
        <w:rPr>
          <w:szCs w:val="20"/>
        </w:rPr>
      </w:pPr>
      <w:bookmarkStart w:id="167" w:name="_Hlk20930870"/>
      <w:bookmarkStart w:id="168" w:name="_Hlk26804765"/>
      <w:r w:rsidRPr="00162DE6">
        <w:rPr>
          <w:szCs w:val="20"/>
        </w:rPr>
        <w:t xml:space="preserve">A few practices discussed difficulties in enrolling patients from different cultures, non-English speaking backgrounds, recent migrants, and homeless people. </w:t>
      </w:r>
      <w:bookmarkEnd w:id="167"/>
      <w:r w:rsidRPr="00162DE6">
        <w:rPr>
          <w:szCs w:val="20"/>
        </w:rPr>
        <w:t>While there were no doubt legitimate obstacles (such as no fixed address for homeless people or refugees), sometimes these barriers were due to what practices were planning to offer as part of HCH rather than the model not being suited to these groups:</w:t>
      </w:r>
    </w:p>
    <w:bookmarkEnd w:id="168"/>
    <w:p w14:paraId="45DB0403" w14:textId="77777777" w:rsidR="001C19F3" w:rsidRDefault="001C19F3" w:rsidP="001C19F3">
      <w:pPr>
        <w:ind w:left="567" w:right="1088"/>
        <w:rPr>
          <w:szCs w:val="20"/>
        </w:rPr>
      </w:pPr>
      <w:r>
        <w:rPr>
          <w:i/>
          <w:szCs w:val="20"/>
        </w:rPr>
        <w:t xml:space="preserve"> “</w:t>
      </w:r>
      <w:r w:rsidRPr="00DB644F">
        <w:rPr>
          <w:i/>
          <w:szCs w:val="20"/>
        </w:rPr>
        <w:t>We've got a fair few migrant families that attend here, and some of them</w:t>
      </w:r>
      <w:r>
        <w:rPr>
          <w:i/>
          <w:szCs w:val="20"/>
        </w:rPr>
        <w:t>,</w:t>
      </w:r>
      <w:r w:rsidRPr="00DB644F">
        <w:rPr>
          <w:i/>
          <w:szCs w:val="20"/>
        </w:rPr>
        <w:t xml:space="preserve"> in particular</w:t>
      </w:r>
      <w:r>
        <w:rPr>
          <w:i/>
          <w:szCs w:val="20"/>
        </w:rPr>
        <w:t>,</w:t>
      </w:r>
      <w:r w:rsidRPr="00DB644F">
        <w:rPr>
          <w:i/>
          <w:szCs w:val="20"/>
        </w:rPr>
        <w:t xml:space="preserve"> I wouldn't be offering Health Care Homes to. Because particularly, within our practice, we're gearing ourselves to offer phone consults and so on. That doesn't necessarily work out over the phone, particularly if you've got interpreters being involved. So that's been another consideration.</w:t>
      </w:r>
      <w:r>
        <w:rPr>
          <w:i/>
          <w:szCs w:val="20"/>
        </w:rPr>
        <w:t xml:space="preserve">” </w:t>
      </w:r>
      <w:r>
        <w:rPr>
          <w:szCs w:val="20"/>
        </w:rPr>
        <w:t>[GP, Practice 9, interview, R2]</w:t>
      </w:r>
    </w:p>
    <w:p w14:paraId="7E35CF89" w14:textId="77777777" w:rsidR="001C19F3" w:rsidRDefault="001C19F3" w:rsidP="001C19F3">
      <w:pPr>
        <w:rPr>
          <w:szCs w:val="20"/>
        </w:rPr>
      </w:pPr>
      <w:r>
        <w:rPr>
          <w:szCs w:val="20"/>
        </w:rPr>
        <w:t>In addition, practices stated that patients from different cultures, non-English speaking backgrounds, recent migrants, and homeless people had to be enrolled opportunistically:</w:t>
      </w:r>
    </w:p>
    <w:p w14:paraId="7167C2E9" w14:textId="77777777" w:rsidR="001C19F3" w:rsidRDefault="001C19F3" w:rsidP="001C19F3">
      <w:pPr>
        <w:ind w:left="567" w:right="1088"/>
        <w:rPr>
          <w:szCs w:val="20"/>
        </w:rPr>
      </w:pPr>
      <w:r>
        <w:rPr>
          <w:i/>
          <w:szCs w:val="20"/>
        </w:rPr>
        <w:t>“</w:t>
      </w:r>
      <w:r w:rsidRPr="00317305">
        <w:rPr>
          <w:i/>
          <w:szCs w:val="20"/>
        </w:rPr>
        <w:t>You can't do the letter thing, you can't do the let's have a morning tea and enrol people, it doesn't work. Not for our patient groups, so it's been challenging as to how we enrol people and when it's ad hoc…”</w:t>
      </w:r>
      <w:r>
        <w:rPr>
          <w:szCs w:val="20"/>
        </w:rPr>
        <w:t xml:space="preserve"> [Practice manager, Practice 10, interview, R2]</w:t>
      </w:r>
    </w:p>
    <w:p w14:paraId="34AD667F" w14:textId="77777777" w:rsidR="001C19F3" w:rsidRDefault="001C19F3" w:rsidP="001C19F3">
      <w:pPr>
        <w:rPr>
          <w:szCs w:val="20"/>
        </w:rPr>
      </w:pPr>
      <w:r>
        <w:rPr>
          <w:szCs w:val="20"/>
        </w:rPr>
        <w:t>One practice reported that the HCH patient video produced by the Department of Health was helpful:</w:t>
      </w:r>
    </w:p>
    <w:p w14:paraId="7B41E7BB" w14:textId="77777777" w:rsidR="001C19F3" w:rsidRDefault="001C19F3" w:rsidP="001C19F3">
      <w:pPr>
        <w:ind w:left="567" w:right="1088"/>
        <w:rPr>
          <w:szCs w:val="20"/>
        </w:rPr>
      </w:pPr>
      <w:r w:rsidRPr="007E3777">
        <w:rPr>
          <w:i/>
          <w:szCs w:val="20"/>
        </w:rPr>
        <w:t>“Show them that video and then they’d just, ah, we see what you’re saying. And then, normally, everything’s done by then.”</w:t>
      </w:r>
      <w:r>
        <w:rPr>
          <w:szCs w:val="20"/>
        </w:rPr>
        <w:t xml:space="preserve"> [Practice nurse, Practice 10, interview, R2]</w:t>
      </w:r>
    </w:p>
    <w:p w14:paraId="2A63E9B8" w14:textId="77777777" w:rsidR="001C19F3" w:rsidRDefault="001C19F3" w:rsidP="001C19F3">
      <w:pPr>
        <w:ind w:right="1088"/>
        <w:rPr>
          <w:szCs w:val="20"/>
        </w:rPr>
      </w:pPr>
      <w:r>
        <w:rPr>
          <w:szCs w:val="20"/>
        </w:rPr>
        <w:t>They reported that the video also helped practice staff wrap their heads around the overall goals of the program.</w:t>
      </w:r>
    </w:p>
    <w:p w14:paraId="560A0A30" w14:textId="77777777" w:rsidR="001C19F3" w:rsidRPr="00AE5990" w:rsidRDefault="001C19F3" w:rsidP="001C19F3">
      <w:pPr>
        <w:pStyle w:val="Heading3"/>
      </w:pPr>
      <w:r w:rsidRPr="00AE5990">
        <w:t>Why did patients decide not to enrol?</w:t>
      </w:r>
    </w:p>
    <w:p w14:paraId="5A35C52D" w14:textId="77777777" w:rsidR="001C19F3" w:rsidRDefault="001C19F3" w:rsidP="001C19F3">
      <w:pPr>
        <w:ind w:right="1088"/>
        <w:rPr>
          <w:szCs w:val="20"/>
        </w:rPr>
      </w:pPr>
      <w:r w:rsidRPr="00AE5990">
        <w:rPr>
          <w:szCs w:val="20"/>
        </w:rPr>
        <w:t xml:space="preserve">Not all patients agreed to proceed with enrolment in HCH. </w:t>
      </w:r>
      <w:r>
        <w:rPr>
          <w:szCs w:val="20"/>
        </w:rPr>
        <w:fldChar w:fldCharType="begin"/>
      </w:r>
      <w:r>
        <w:rPr>
          <w:szCs w:val="20"/>
        </w:rPr>
        <w:instrText xml:space="preserve"> REF _Ref21024382 \h  \* MERGEFORMAT </w:instrText>
      </w:r>
      <w:r>
        <w:rPr>
          <w:szCs w:val="20"/>
        </w:rPr>
      </w:r>
      <w:r>
        <w:rPr>
          <w:szCs w:val="20"/>
        </w:rPr>
        <w:fldChar w:fldCharType="separate"/>
      </w:r>
      <w:r w:rsidRPr="00822044">
        <w:rPr>
          <w:szCs w:val="20"/>
        </w:rPr>
        <w:t>Table 18</w:t>
      </w:r>
      <w:r>
        <w:rPr>
          <w:szCs w:val="20"/>
        </w:rPr>
        <w:fldChar w:fldCharType="end"/>
      </w:r>
      <w:r>
        <w:rPr>
          <w:szCs w:val="20"/>
        </w:rPr>
        <w:t xml:space="preserve"> shows the main reasons that patients who practices </w:t>
      </w:r>
      <w:r w:rsidRPr="00515099">
        <w:rPr>
          <w:szCs w:val="20"/>
        </w:rPr>
        <w:t>approached to enrol in HCH program opted not to</w:t>
      </w:r>
      <w:r>
        <w:rPr>
          <w:szCs w:val="20"/>
        </w:rPr>
        <w:t xml:space="preserve"> enrol.</w:t>
      </w:r>
    </w:p>
    <w:p w14:paraId="5BDA4535" w14:textId="77777777" w:rsidR="001C19F3" w:rsidRDefault="001C19F3" w:rsidP="001C19F3">
      <w:pPr>
        <w:pStyle w:val="Caption1"/>
        <w:spacing w:after="0"/>
      </w:pPr>
      <w:bookmarkStart w:id="169" w:name="_Ref21024382"/>
      <w:bookmarkStart w:id="170" w:name="_Hlk22642327"/>
      <w:r>
        <w:lastRenderedPageBreak/>
        <w:t xml:space="preserve">Table </w:t>
      </w:r>
      <w:r>
        <w:fldChar w:fldCharType="begin"/>
      </w:r>
      <w:r>
        <w:instrText>SEQ Table \* ARABIC</w:instrText>
      </w:r>
      <w:r>
        <w:fldChar w:fldCharType="separate"/>
      </w:r>
      <w:r>
        <w:rPr>
          <w:noProof/>
        </w:rPr>
        <w:t>18</w:t>
      </w:r>
      <w:r>
        <w:fldChar w:fldCharType="end"/>
      </w:r>
      <w:bookmarkEnd w:id="169"/>
      <w:r>
        <w:t xml:space="preserve"> – Main reasons why patients approached to enroll in HCH opted not to (including responses from withdrawn practices)</w:t>
      </w:r>
    </w:p>
    <w:tbl>
      <w:tblPr>
        <w:tblW w:w="5000" w:type="pct"/>
        <w:jc w:val="center"/>
        <w:tblLook w:val="04A0" w:firstRow="1" w:lastRow="0" w:firstColumn="1" w:lastColumn="0" w:noHBand="0" w:noVBand="1"/>
      </w:tblPr>
      <w:tblGrid>
        <w:gridCol w:w="3251"/>
        <w:gridCol w:w="1207"/>
        <w:gridCol w:w="90"/>
        <w:gridCol w:w="3381"/>
        <w:gridCol w:w="1077"/>
      </w:tblGrid>
      <w:tr w:rsidR="001C19F3" w14:paraId="5BD8C7B3" w14:textId="77777777" w:rsidTr="00521305">
        <w:trPr>
          <w:cantSplit/>
          <w:trHeight w:val="336"/>
          <w:tblHeader/>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170"/>
          <w:p w14:paraId="5F9DF7BD" w14:textId="77777777" w:rsidR="001C19F3" w:rsidRDefault="001C19F3" w:rsidP="00521305">
            <w:pPr>
              <w:jc w:val="center"/>
            </w:pPr>
            <w:r>
              <w:rPr>
                <w:rFonts w:eastAsia="Century Gothic" w:cs="Century Gothic"/>
                <w:b/>
                <w:color w:val="FFFFFF"/>
                <w:sz w:val="18"/>
                <w:szCs w:val="18"/>
              </w:rPr>
              <w:t>Response</w:t>
            </w:r>
          </w:p>
        </w:tc>
        <w:tc>
          <w:tcPr>
            <w:tcW w:w="6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A3606AB" w14:textId="77777777" w:rsidR="001C19F3" w:rsidRDefault="001C19F3" w:rsidP="00521305">
            <w:pPr>
              <w:jc w:val="center"/>
            </w:pPr>
            <w:r>
              <w:rPr>
                <w:rFonts w:eastAsia="Century Gothic" w:cs="Century Gothic"/>
                <w:b/>
                <w:color w:val="FFFFFF"/>
                <w:sz w:val="18"/>
                <w:szCs w:val="18"/>
              </w:rPr>
              <w:t>n (%)</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5AAB560" w14:textId="77777777" w:rsidR="001C19F3" w:rsidRDefault="001C19F3" w:rsidP="00521305">
            <w:pPr>
              <w:jc w:val="center"/>
            </w:pPr>
            <w:r>
              <w:rPr>
                <w:rFonts w:eastAsia="Century Gothic" w:cs="Century Gothic"/>
                <w:b/>
                <w:color w:val="FFFFFF"/>
                <w:sz w:val="18"/>
                <w:szCs w:val="18"/>
              </w:rPr>
              <w:t xml:space="preserve"> </w:t>
            </w:r>
          </w:p>
        </w:tc>
        <w:tc>
          <w:tcPr>
            <w:tcW w:w="18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0FCE2E4" w14:textId="77777777" w:rsidR="001C19F3" w:rsidRDefault="001C19F3" w:rsidP="00521305">
            <w:pPr>
              <w:jc w:val="center"/>
            </w:pPr>
            <w:r>
              <w:rPr>
                <w:rFonts w:eastAsia="Century Gothic" w:cs="Century Gothic"/>
                <w:b/>
                <w:color w:val="FFFFFF"/>
                <w:sz w:val="18"/>
                <w:szCs w:val="18"/>
              </w:rPr>
              <w:t>Response</w:t>
            </w:r>
          </w:p>
        </w:tc>
        <w:tc>
          <w:tcPr>
            <w:tcW w:w="59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0991574" w14:textId="77777777" w:rsidR="001C19F3" w:rsidRDefault="001C19F3" w:rsidP="00521305">
            <w:pPr>
              <w:jc w:val="center"/>
            </w:pPr>
            <w:r>
              <w:rPr>
                <w:rFonts w:eastAsia="Century Gothic" w:cs="Century Gothic"/>
                <w:b/>
                <w:color w:val="FFFFFF"/>
                <w:sz w:val="18"/>
                <w:szCs w:val="18"/>
              </w:rPr>
              <w:t>n (%)</w:t>
            </w:r>
          </w:p>
        </w:tc>
      </w:tr>
      <w:tr w:rsidR="001C19F3" w14:paraId="1EEE60E5"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71FF96" w14:textId="77777777" w:rsidR="001C19F3" w:rsidRDefault="001C19F3" w:rsidP="00521305">
            <w:pPr>
              <w:spacing w:before="40" w:after="40"/>
              <w:ind w:left="100" w:right="100"/>
            </w:pPr>
            <w:r>
              <w:rPr>
                <w:rFonts w:eastAsia="Century Gothic" w:cs="Century Gothic"/>
                <w:color w:val="000000"/>
                <w:sz w:val="18"/>
                <w:szCs w:val="18"/>
              </w:rPr>
              <w:t>Patient concerned about privacy of their data/ My Health Record</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66E3FF" w14:textId="77777777" w:rsidR="001C19F3" w:rsidRDefault="001C19F3" w:rsidP="00521305">
            <w:pPr>
              <w:spacing w:before="40" w:after="40"/>
              <w:ind w:left="100" w:right="100"/>
              <w:jc w:val="right"/>
            </w:pPr>
            <w:r>
              <w:rPr>
                <w:rFonts w:eastAsia="Century Gothic" w:cs="Century Gothic"/>
                <w:color w:val="000000"/>
                <w:sz w:val="18"/>
                <w:szCs w:val="18"/>
              </w:rPr>
              <w:t>46 (43.8%)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4C45AAEB"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BAC7D3" w14:textId="77777777" w:rsidR="001C19F3" w:rsidRDefault="001C19F3" w:rsidP="00521305">
            <w:pPr>
              <w:spacing w:before="40" w:after="40"/>
              <w:ind w:left="100" w:right="100"/>
            </w:pPr>
            <w:r>
              <w:rPr>
                <w:rFonts w:eastAsia="Century Gothic" w:cs="Century Gothic"/>
                <w:color w:val="000000"/>
                <w:sz w:val="18"/>
                <w:szCs w:val="18"/>
              </w:rPr>
              <w:t>Preferred to see a GP (rather than nurse)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90A3F2" w14:textId="77777777" w:rsidR="001C19F3" w:rsidRDefault="001C19F3" w:rsidP="00521305">
            <w:pPr>
              <w:spacing w:before="40" w:after="40"/>
              <w:ind w:left="100" w:right="100"/>
              <w:jc w:val="right"/>
            </w:pPr>
            <w:r>
              <w:rPr>
                <w:rFonts w:eastAsia="Century Gothic" w:cs="Century Gothic"/>
                <w:color w:val="000000"/>
                <w:sz w:val="18"/>
                <w:szCs w:val="18"/>
              </w:rPr>
              <w:t>10 (9.5%)</w:t>
            </w:r>
          </w:p>
        </w:tc>
      </w:tr>
      <w:tr w:rsidR="001C19F3" w14:paraId="0D5CB81E"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07ECD6" w14:textId="77777777" w:rsidR="001C19F3" w:rsidRDefault="001C19F3" w:rsidP="00521305">
            <w:pPr>
              <w:spacing w:before="40" w:after="40"/>
              <w:ind w:left="100" w:right="100"/>
            </w:pPr>
            <w:r>
              <w:rPr>
                <w:rFonts w:eastAsia="Century Gothic" w:cs="Century Gothic"/>
                <w:color w:val="000000"/>
                <w:sz w:val="18"/>
                <w:szCs w:val="18"/>
              </w:rPr>
              <w:t>Patient felt it was unnecessary/ couldn't be bothered</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1597B2" w14:textId="77777777" w:rsidR="001C19F3" w:rsidRDefault="001C19F3" w:rsidP="00521305">
            <w:pPr>
              <w:spacing w:before="40" w:after="40"/>
              <w:ind w:left="100" w:right="100"/>
              <w:jc w:val="right"/>
            </w:pPr>
            <w:r>
              <w:rPr>
                <w:rFonts w:eastAsia="Century Gothic" w:cs="Century Gothic"/>
                <w:color w:val="000000"/>
                <w:sz w:val="18"/>
                <w:szCs w:val="18"/>
              </w:rPr>
              <w:t>43 (41.0%)</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20696C38"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69710C" w14:textId="77777777" w:rsidR="001C19F3" w:rsidRDefault="001C19F3" w:rsidP="00521305">
            <w:pPr>
              <w:spacing w:before="40" w:after="40"/>
              <w:ind w:left="100" w:right="100"/>
            </w:pPr>
            <w:r>
              <w:rPr>
                <w:rFonts w:eastAsia="Century Gothic" w:cs="Century Gothic"/>
                <w:color w:val="000000"/>
                <w:sz w:val="18"/>
                <w:szCs w:val="18"/>
              </w:rPr>
              <w:t>Not interested in care planning</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227E85" w14:textId="77777777" w:rsidR="001C19F3" w:rsidRDefault="001C19F3" w:rsidP="00521305">
            <w:pPr>
              <w:spacing w:before="40" w:after="40"/>
              <w:ind w:left="100" w:right="100"/>
              <w:jc w:val="right"/>
            </w:pPr>
            <w:r>
              <w:rPr>
                <w:rFonts w:eastAsia="Century Gothic" w:cs="Century Gothic"/>
                <w:color w:val="000000"/>
                <w:sz w:val="18"/>
                <w:szCs w:val="18"/>
              </w:rPr>
              <w:t>3 (2.9%)</w:t>
            </w:r>
          </w:p>
        </w:tc>
      </w:tr>
      <w:tr w:rsidR="001C19F3" w14:paraId="6DF0038D"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101DDB" w14:textId="77777777" w:rsidR="001C19F3" w:rsidRDefault="001C19F3" w:rsidP="00521305">
            <w:pPr>
              <w:spacing w:before="40" w:after="40"/>
              <w:ind w:left="100" w:right="100"/>
            </w:pPr>
            <w:r>
              <w:rPr>
                <w:rFonts w:eastAsia="Century Gothic" w:cs="Century Gothic"/>
                <w:color w:val="000000"/>
                <w:sz w:val="18"/>
                <w:szCs w:val="18"/>
              </w:rPr>
              <w:t>Patient didn't understand model or the potential benefits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5634EC" w14:textId="77777777" w:rsidR="001C19F3" w:rsidRDefault="001C19F3" w:rsidP="00521305">
            <w:pPr>
              <w:spacing w:before="40" w:after="40"/>
              <w:ind w:left="100" w:right="100"/>
              <w:jc w:val="right"/>
            </w:pPr>
            <w:r>
              <w:rPr>
                <w:rFonts w:eastAsia="Century Gothic" w:cs="Century Gothic"/>
                <w:color w:val="000000"/>
                <w:sz w:val="18"/>
                <w:szCs w:val="18"/>
              </w:rPr>
              <w:t>32 (30.5%)</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8391DD3"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39E431" w14:textId="77777777" w:rsidR="001C19F3" w:rsidRDefault="001C19F3" w:rsidP="00521305">
            <w:pPr>
              <w:spacing w:before="40" w:after="40"/>
              <w:ind w:left="100" w:right="100"/>
            </w:pPr>
            <w:r>
              <w:rPr>
                <w:rFonts w:eastAsia="Century Gothic" w:cs="Century Gothic"/>
                <w:color w:val="000000"/>
                <w:sz w:val="18"/>
                <w:szCs w:val="18"/>
              </w:rPr>
              <w:t>Language barrier</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F42303"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3D53E116"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C533C8" w14:textId="77777777" w:rsidR="001C19F3" w:rsidRDefault="001C19F3" w:rsidP="00521305">
            <w:pPr>
              <w:spacing w:before="40" w:after="40"/>
              <w:ind w:left="100" w:right="100"/>
            </w:pPr>
            <w:r>
              <w:rPr>
                <w:rFonts w:eastAsia="Century Gothic" w:cs="Century Gothic"/>
                <w:color w:val="000000"/>
                <w:sz w:val="18"/>
                <w:szCs w:val="18"/>
              </w:rPr>
              <w:t>Patient didn't want to change / happy with current care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60475D" w14:textId="77777777" w:rsidR="001C19F3" w:rsidRDefault="001C19F3" w:rsidP="00521305">
            <w:pPr>
              <w:spacing w:before="40" w:after="40"/>
              <w:ind w:left="100" w:right="100"/>
              <w:jc w:val="right"/>
            </w:pPr>
            <w:r>
              <w:rPr>
                <w:rFonts w:eastAsia="Century Gothic" w:cs="Century Gothic"/>
                <w:color w:val="000000"/>
                <w:sz w:val="18"/>
                <w:szCs w:val="18"/>
              </w:rPr>
              <w:t>32 (30.5%)</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539E8E1B"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BE7B0D" w14:textId="77777777" w:rsidR="001C19F3" w:rsidRDefault="001C19F3" w:rsidP="00521305">
            <w:pPr>
              <w:spacing w:before="40" w:after="40"/>
              <w:ind w:left="100" w:right="100"/>
            </w:pPr>
            <w:r>
              <w:rPr>
                <w:rFonts w:eastAsia="Century Gothic" w:cs="Century Gothic"/>
                <w:color w:val="000000"/>
                <w:sz w:val="18"/>
                <w:szCs w:val="18"/>
              </w:rPr>
              <w:t>Software problem</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836204"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75F96970"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EED438" w14:textId="77777777" w:rsidR="001C19F3" w:rsidRDefault="001C19F3" w:rsidP="00521305">
            <w:pPr>
              <w:spacing w:before="40" w:after="40"/>
              <w:ind w:left="100" w:right="100"/>
            </w:pPr>
            <w:r>
              <w:rPr>
                <w:rFonts w:eastAsia="Century Gothic" w:cs="Century Gothic"/>
                <w:color w:val="000000"/>
                <w:sz w:val="18"/>
                <w:szCs w:val="18"/>
              </w:rPr>
              <w:t>Patient didn't want to be in a (government) trial</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505045" w14:textId="77777777" w:rsidR="001C19F3" w:rsidRDefault="001C19F3" w:rsidP="00521305">
            <w:pPr>
              <w:spacing w:before="40" w:after="40"/>
              <w:ind w:left="100" w:right="100"/>
              <w:jc w:val="right"/>
            </w:pPr>
            <w:r>
              <w:rPr>
                <w:rFonts w:eastAsia="Century Gothic" w:cs="Century Gothic"/>
                <w:color w:val="000000"/>
                <w:sz w:val="18"/>
                <w:szCs w:val="18"/>
              </w:rPr>
              <w:t>11 (10.5%)</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2243E70"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7BFA39" w14:textId="77777777" w:rsidR="001C19F3" w:rsidRDefault="001C19F3" w:rsidP="00521305">
            <w:pPr>
              <w:spacing w:before="40" w:after="40"/>
              <w:ind w:left="100" w:right="100"/>
            </w:pPr>
            <w:r>
              <w:rPr>
                <w:rFonts w:eastAsia="Century Gothic" w:cs="Century Gothic"/>
                <w:color w:val="000000"/>
                <w:sz w:val="18"/>
                <w:szCs w:val="18"/>
              </w:rPr>
              <w:t>Too hard to get carers on board</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3B24A4"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0FD2D31A"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4EE0ED" w14:textId="77777777" w:rsidR="001C19F3" w:rsidRDefault="001C19F3" w:rsidP="00521305">
            <w:pPr>
              <w:spacing w:before="40" w:after="40"/>
              <w:ind w:left="100" w:right="100"/>
            </w:pPr>
            <w:r>
              <w:rPr>
                <w:rFonts w:eastAsia="Century Gothic" w:cs="Century Gothic"/>
                <w:color w:val="000000"/>
                <w:sz w:val="18"/>
                <w:szCs w:val="18"/>
              </w:rPr>
              <w:t>Patient didn't want to be restricted to one practice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17CC05" w14:textId="77777777" w:rsidR="001C19F3" w:rsidRDefault="001C19F3" w:rsidP="00521305">
            <w:pPr>
              <w:spacing w:before="40" w:after="40"/>
              <w:ind w:left="100" w:right="100"/>
              <w:jc w:val="right"/>
            </w:pPr>
            <w:r>
              <w:rPr>
                <w:rFonts w:eastAsia="Century Gothic" w:cs="Century Gothic"/>
                <w:color w:val="000000"/>
                <w:sz w:val="18"/>
                <w:szCs w:val="18"/>
              </w:rPr>
              <w:t>10 (9.5%)</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20FAD9A0"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7B81B3" w14:textId="77777777" w:rsidR="001C19F3" w:rsidRDefault="001C19F3" w:rsidP="00521305">
            <w:pPr>
              <w:spacing w:before="40" w:after="40"/>
              <w:ind w:left="100" w:right="100"/>
            </w:pP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2BA12B" w14:textId="77777777" w:rsidR="001C19F3" w:rsidRDefault="001C19F3" w:rsidP="00521305">
            <w:pPr>
              <w:spacing w:before="40" w:after="40"/>
              <w:ind w:left="100" w:right="100"/>
              <w:jc w:val="right"/>
            </w:pPr>
          </w:p>
        </w:tc>
      </w:tr>
    </w:tbl>
    <w:p w14:paraId="25F9562D" w14:textId="77777777" w:rsidR="001C19F3" w:rsidRDefault="001C19F3" w:rsidP="001C19F3">
      <w:pPr>
        <w:pStyle w:val="Chartortablefootnote"/>
        <w:rPr>
          <w:szCs w:val="20"/>
        </w:rPr>
      </w:pPr>
      <w:r>
        <w:t>Source: Practice survey R2, Nov 2018-Mar 2019, question 12.</w:t>
      </w:r>
    </w:p>
    <w:p w14:paraId="696BCBFF" w14:textId="77777777" w:rsidR="001C19F3" w:rsidRDefault="001C19F3" w:rsidP="001C19F3">
      <w:pPr>
        <w:rPr>
          <w:szCs w:val="20"/>
        </w:rPr>
      </w:pPr>
      <w:r w:rsidRPr="00CA1383">
        <w:rPr>
          <w:rFonts w:ascii="Times New Roman" w:hAnsi="Times New Roman"/>
          <w:noProof/>
          <w:sz w:val="24"/>
          <w:szCs w:val="24"/>
          <w:lang w:eastAsia="en-AU"/>
        </w:rPr>
        <mc:AlternateContent>
          <mc:Choice Requires="wps">
            <w:drawing>
              <wp:anchor distT="91440" distB="91440" distL="114300" distR="114300" simplePos="0" relativeHeight="251664384" behindDoc="0" locked="0" layoutInCell="1" allowOverlap="1" wp14:anchorId="0DE7586B" wp14:editId="7F37B671">
                <wp:simplePos x="0" y="0"/>
                <wp:positionH relativeFrom="margin">
                  <wp:posOffset>0</wp:posOffset>
                </wp:positionH>
                <wp:positionV relativeFrom="paragraph">
                  <wp:posOffset>52705</wp:posOffset>
                </wp:positionV>
                <wp:extent cx="2520000" cy="427990"/>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427990"/>
                        </a:xfrm>
                        <a:prstGeom prst="rect">
                          <a:avLst/>
                        </a:prstGeom>
                        <a:noFill/>
                        <a:ln w="9525">
                          <a:noFill/>
                          <a:miter lim="800000"/>
                          <a:headEnd/>
                          <a:tailEnd/>
                        </a:ln>
                      </wps:spPr>
                      <wps:txbx>
                        <w:txbxContent>
                          <w:p w14:paraId="1DEA89CA" w14:textId="77777777" w:rsidR="00521305" w:rsidRPr="00CA1383" w:rsidRDefault="00521305" w:rsidP="001C19F3">
                            <w:pPr>
                              <w:rPr>
                                <w:i/>
                                <w:iCs/>
                                <w:color w:val="003D79"/>
                                <w:szCs w:val="20"/>
                              </w:rPr>
                            </w:pPr>
                            <w:r w:rsidRPr="00CA1383">
                              <w:rPr>
                                <w:i/>
                                <w:iCs/>
                                <w:color w:val="003D79"/>
                                <w:szCs w:val="20"/>
                              </w:rPr>
                              <w:t xml:space="preserve">“…that electronic health record was a big, big barrier for a lot of them.” </w:t>
                            </w:r>
                            <w:r w:rsidRPr="000D5E40">
                              <w:rPr>
                                <w:iCs/>
                                <w:color w:val="003D79"/>
                                <w:szCs w:val="20"/>
                              </w:rPr>
                              <w:t>[</w:t>
                            </w:r>
                            <w:r>
                              <w:rPr>
                                <w:iCs/>
                                <w:color w:val="003D79"/>
                                <w:szCs w:val="20"/>
                              </w:rPr>
                              <w:t>O</w:t>
                            </w:r>
                            <w:r w:rsidRPr="000D5E40">
                              <w:rPr>
                                <w:iCs/>
                                <w:color w:val="003D79"/>
                                <w:szCs w:val="20"/>
                              </w:rPr>
                              <w:t>wner &amp; practice manager, Practice 6</w:t>
                            </w:r>
                            <w:r>
                              <w:rPr>
                                <w:iCs/>
                                <w:color w:val="003D79"/>
                                <w:szCs w:val="20"/>
                              </w:rPr>
                              <w:t>, interview, R2</w:t>
                            </w:r>
                            <w:r w:rsidRPr="000D5E40">
                              <w:rPr>
                                <w:iCs/>
                                <w:color w:val="003D79"/>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7586B" id="_x0000_s1028" type="#_x0000_t202" style="position:absolute;margin-left:0;margin-top:4.15pt;width:198.45pt;height:33.7pt;z-index:25166438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" filled="f" stroked="f">
                <v:textbox style="mso-fit-shape-to-text:t">
                  <w:txbxContent>
                    <w:p w14:paraId="1DEA89CA" w14:textId="77777777" w:rsidR="00521305" w:rsidRPr="00CA1383" w:rsidRDefault="00521305" w:rsidP="001C19F3">
                      <w:pPr>
                        <w:rPr>
                          <w:i/>
                          <w:iCs/>
                          <w:color w:val="003D79"/>
                          <w:szCs w:val="20"/>
                        </w:rPr>
                      </w:pPr>
                      <w:r w:rsidRPr="00CA1383">
                        <w:rPr>
                          <w:i/>
                          <w:iCs/>
                          <w:color w:val="003D79"/>
                          <w:szCs w:val="20"/>
                        </w:rPr>
                        <w:t xml:space="preserve">“…that electronic health record was a big, big barrier for a lot of them.” </w:t>
                      </w:r>
                      <w:r w:rsidRPr="000D5E40">
                        <w:rPr>
                          <w:iCs/>
                          <w:color w:val="003D79"/>
                          <w:szCs w:val="20"/>
                        </w:rPr>
                        <w:t>[</w:t>
                      </w:r>
                      <w:r>
                        <w:rPr>
                          <w:iCs/>
                          <w:color w:val="003D79"/>
                          <w:szCs w:val="20"/>
                        </w:rPr>
                        <w:t>O</w:t>
                      </w:r>
                      <w:r w:rsidRPr="000D5E40">
                        <w:rPr>
                          <w:iCs/>
                          <w:color w:val="003D79"/>
                          <w:szCs w:val="20"/>
                        </w:rPr>
                        <w:t>wner &amp; practice manager, Practice 6</w:t>
                      </w:r>
                      <w:r>
                        <w:rPr>
                          <w:iCs/>
                          <w:color w:val="003D79"/>
                          <w:szCs w:val="20"/>
                        </w:rPr>
                        <w:t>, interview, R2</w:t>
                      </w:r>
                      <w:r w:rsidRPr="000D5E40">
                        <w:rPr>
                          <w:iCs/>
                          <w:color w:val="003D79"/>
                          <w:szCs w:val="20"/>
                        </w:rPr>
                        <w:t>]</w:t>
                      </w:r>
                    </w:p>
                  </w:txbxContent>
                </v:textbox>
                <w10:wrap type="square" anchorx="margin"/>
              </v:shape>
            </w:pict>
          </mc:Fallback>
        </mc:AlternateContent>
      </w:r>
      <w:r>
        <w:rPr>
          <w:szCs w:val="20"/>
        </w:rPr>
        <w:t xml:space="preserve"> Media attention around My Health Record and general fears around security and confidentiality were the main causes of patients’ apprehensions to join the program:</w:t>
      </w:r>
    </w:p>
    <w:p w14:paraId="677DD2B2" w14:textId="77777777" w:rsidR="001C19F3" w:rsidRDefault="001C19F3" w:rsidP="001C19F3">
      <w:pPr>
        <w:ind w:left="567" w:right="1088"/>
        <w:rPr>
          <w:szCs w:val="20"/>
        </w:rPr>
      </w:pPr>
      <w:r>
        <w:rPr>
          <w:i/>
          <w:szCs w:val="20"/>
        </w:rPr>
        <w:t>“</w:t>
      </w:r>
      <w:r w:rsidRPr="0004713B">
        <w:rPr>
          <w:i/>
          <w:szCs w:val="20"/>
        </w:rPr>
        <w:t>Mostly people will hesitate because of the confidentiality part.</w:t>
      </w:r>
      <w:r>
        <w:rPr>
          <w:i/>
          <w:szCs w:val="20"/>
        </w:rPr>
        <w:t xml:space="preserve"> </w:t>
      </w:r>
      <w:r w:rsidRPr="0004713B">
        <w:rPr>
          <w:i/>
          <w:szCs w:val="20"/>
        </w:rPr>
        <w:t>I have a lot of patients that I’ve been talking to a few times, that you will benefit from Health Care Homes, but they’re just worried about confidentiality…They just feel like they will be monitored by someone else, the government and stuff like that, but sometimes you just can’t push too much.”</w:t>
      </w:r>
      <w:r>
        <w:rPr>
          <w:szCs w:val="20"/>
        </w:rPr>
        <w:t xml:space="preserve"> [Practice nurse, Practice 11, interview, R2]</w:t>
      </w:r>
    </w:p>
    <w:p w14:paraId="6108E76E" w14:textId="77777777" w:rsidR="001C19F3" w:rsidRDefault="001C19F3" w:rsidP="001C19F3">
      <w:pPr>
        <w:ind w:left="567" w:right="1088"/>
        <w:rPr>
          <w:rFonts w:cs="Arial"/>
          <w:color w:val="000000"/>
          <w:szCs w:val="20"/>
        </w:rPr>
      </w:pPr>
      <w:r w:rsidRPr="0004713B">
        <w:rPr>
          <w:rFonts w:cs="Arial"/>
          <w:i/>
          <w:color w:val="000000"/>
          <w:szCs w:val="20"/>
        </w:rPr>
        <w:t>“Even explaining My Health Records…My older patients don't question this but our more IT literate stuff and especially when the My Health Record was coming up, they just question and question and question…”</w:t>
      </w:r>
      <w:r w:rsidRPr="0004713B">
        <w:rPr>
          <w:rFonts w:cs="Arial"/>
          <w:color w:val="000000"/>
          <w:szCs w:val="20"/>
        </w:rPr>
        <w:t xml:space="preserve"> [GP, Practice 17</w:t>
      </w:r>
      <w:r>
        <w:rPr>
          <w:rFonts w:cs="Arial"/>
          <w:color w:val="000000"/>
          <w:szCs w:val="20"/>
        </w:rPr>
        <w:t>, interview, R2]</w:t>
      </w:r>
    </w:p>
    <w:p w14:paraId="2DA34EF6" w14:textId="77777777" w:rsidR="001C19F3" w:rsidRDefault="001C19F3" w:rsidP="001C19F3">
      <w:pPr>
        <w:rPr>
          <w:szCs w:val="20"/>
        </w:rPr>
      </w:pPr>
      <w:r>
        <w:rPr>
          <w:szCs w:val="20"/>
        </w:rPr>
        <w:t xml:space="preserve">Another issue for patients was the expectation that they see </w:t>
      </w:r>
      <w:r w:rsidRPr="00C60FA6">
        <w:rPr>
          <w:szCs w:val="20"/>
        </w:rPr>
        <w:t xml:space="preserve">their </w:t>
      </w:r>
      <w:r>
        <w:rPr>
          <w:szCs w:val="20"/>
        </w:rPr>
        <w:t>GP every time they visited the practice. This appeared to be an issue for some cultural groups, but was not isolated to these groups:</w:t>
      </w:r>
    </w:p>
    <w:p w14:paraId="6D1911B3" w14:textId="77777777" w:rsidR="001C19F3" w:rsidRDefault="001C19F3" w:rsidP="001C19F3">
      <w:pPr>
        <w:ind w:left="567" w:right="1088"/>
        <w:rPr>
          <w:szCs w:val="20"/>
        </w:rPr>
      </w:pPr>
      <w:r>
        <w:rPr>
          <w:i/>
          <w:szCs w:val="20"/>
        </w:rPr>
        <w:t>“</w:t>
      </w:r>
      <w:r w:rsidRPr="00A63EFD">
        <w:rPr>
          <w:i/>
          <w:szCs w:val="20"/>
        </w:rPr>
        <w:t>But the ones that said no</w:t>
      </w:r>
      <w:r>
        <w:rPr>
          <w:i/>
          <w:szCs w:val="20"/>
        </w:rPr>
        <w:t xml:space="preserve"> …</w:t>
      </w:r>
      <w:r w:rsidRPr="00A63EFD">
        <w:rPr>
          <w:i/>
          <w:szCs w:val="20"/>
        </w:rPr>
        <w:t xml:space="preserve"> they fear that this program will destroy the relationship between the GP and them.</w:t>
      </w:r>
      <w:r>
        <w:rPr>
          <w:i/>
          <w:szCs w:val="20"/>
        </w:rPr>
        <w:t xml:space="preserve">” </w:t>
      </w:r>
      <w:r>
        <w:rPr>
          <w:szCs w:val="20"/>
        </w:rPr>
        <w:t>[GP, Practice 5, interview, R2]</w:t>
      </w:r>
    </w:p>
    <w:p w14:paraId="75C8F42A" w14:textId="77777777" w:rsidR="001C19F3" w:rsidRDefault="001C19F3" w:rsidP="001C19F3">
      <w:pPr>
        <w:rPr>
          <w:szCs w:val="20"/>
        </w:rPr>
      </w:pPr>
      <w:r>
        <w:rPr>
          <w:szCs w:val="20"/>
        </w:rPr>
        <w:t>It often took GPs convince their patients that it would be beneficial for them to enrol in HCH and that their relationship would not be hindered by the model</w:t>
      </w:r>
      <w:r w:rsidRPr="00C60FA6">
        <w:rPr>
          <w:szCs w:val="20"/>
        </w:rPr>
        <w:t>:</w:t>
      </w:r>
    </w:p>
    <w:p w14:paraId="394BDE14" w14:textId="77777777" w:rsidR="001C19F3" w:rsidRDefault="001C19F3" w:rsidP="001C19F3">
      <w:pPr>
        <w:ind w:left="567" w:right="1088"/>
        <w:rPr>
          <w:szCs w:val="20"/>
        </w:rPr>
      </w:pPr>
      <w:r>
        <w:rPr>
          <w:i/>
          <w:szCs w:val="20"/>
        </w:rPr>
        <w:t>“…</w:t>
      </w:r>
      <w:r w:rsidRPr="00DB644F">
        <w:rPr>
          <w:i/>
          <w:szCs w:val="20"/>
        </w:rPr>
        <w:t>the doctor needs to ensure the patient, I will always be there if you really need to see me, it’s not that I’m going to neglect you</w:t>
      </w:r>
      <w:r>
        <w:rPr>
          <w:i/>
          <w:szCs w:val="20"/>
        </w:rPr>
        <w:t xml:space="preserve">…” </w:t>
      </w:r>
      <w:r w:rsidRPr="009B75E1">
        <w:rPr>
          <w:szCs w:val="20"/>
        </w:rPr>
        <w:t>[</w:t>
      </w:r>
      <w:r>
        <w:rPr>
          <w:szCs w:val="20"/>
        </w:rPr>
        <w:t>Practice manager, Practice 3, interview,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697A97C2" w14:textId="77777777" w:rsidTr="00521305">
        <w:trPr>
          <w:trHeight w:val="287"/>
        </w:trPr>
        <w:tc>
          <w:tcPr>
            <w:tcW w:w="5000" w:type="pct"/>
          </w:tcPr>
          <w:p w14:paraId="2E93719E" w14:textId="77777777" w:rsidR="001C19F3" w:rsidRPr="004A11F1" w:rsidRDefault="001C19F3" w:rsidP="00521305">
            <w:pPr>
              <w:spacing w:after="0"/>
              <w:rPr>
                <w:b/>
                <w:sz w:val="18"/>
                <w:szCs w:val="18"/>
              </w:rPr>
            </w:pPr>
            <w:r w:rsidRPr="004A11F1">
              <w:rPr>
                <w:b/>
                <w:sz w:val="18"/>
                <w:szCs w:val="18"/>
              </w:rPr>
              <w:t>Case study</w:t>
            </w:r>
          </w:p>
        </w:tc>
      </w:tr>
      <w:tr w:rsidR="001C19F3" w:rsidRPr="004A11F1" w14:paraId="2FF46AA1" w14:textId="77777777" w:rsidTr="00521305">
        <w:tc>
          <w:tcPr>
            <w:tcW w:w="5000" w:type="pct"/>
          </w:tcPr>
          <w:p w14:paraId="1F1CD3C2" w14:textId="77777777" w:rsidR="001C19F3" w:rsidRPr="004A11F1" w:rsidRDefault="001C19F3" w:rsidP="00521305">
            <w:pPr>
              <w:spacing w:after="0"/>
              <w:rPr>
                <w:sz w:val="18"/>
                <w:szCs w:val="18"/>
              </w:rPr>
            </w:pPr>
            <w:r>
              <w:rPr>
                <w:sz w:val="18"/>
                <w:szCs w:val="18"/>
              </w:rPr>
              <w:lastRenderedPageBreak/>
              <w:t>A</w:t>
            </w:r>
            <w:r w:rsidRPr="004A11F1">
              <w:rPr>
                <w:sz w:val="18"/>
                <w:szCs w:val="18"/>
              </w:rPr>
              <w:t xml:space="preserve"> large suburban </w:t>
            </w:r>
            <w:r>
              <w:rPr>
                <w:sz w:val="18"/>
                <w:szCs w:val="18"/>
              </w:rPr>
              <w:t>practice</w:t>
            </w:r>
            <w:r w:rsidRPr="004A11F1">
              <w:rPr>
                <w:sz w:val="18"/>
                <w:szCs w:val="18"/>
              </w:rPr>
              <w:t xml:space="preserve"> just outside of a major city serves </w:t>
            </w:r>
            <w:r>
              <w:rPr>
                <w:sz w:val="18"/>
                <w:szCs w:val="18"/>
              </w:rPr>
              <w:t xml:space="preserve">people from diverse cultures. </w:t>
            </w:r>
            <w:r w:rsidRPr="004A11F1">
              <w:rPr>
                <w:sz w:val="18"/>
                <w:szCs w:val="18"/>
              </w:rPr>
              <w:t xml:space="preserve">One of the barriers that the practice faced </w:t>
            </w:r>
            <w:r>
              <w:rPr>
                <w:sz w:val="18"/>
                <w:szCs w:val="18"/>
              </w:rPr>
              <w:t xml:space="preserve">in recruiting patients was </w:t>
            </w:r>
            <w:r w:rsidRPr="004A11F1">
              <w:rPr>
                <w:sz w:val="18"/>
                <w:szCs w:val="18"/>
              </w:rPr>
              <w:t xml:space="preserve">around </w:t>
            </w:r>
            <w:r>
              <w:rPr>
                <w:sz w:val="18"/>
                <w:szCs w:val="18"/>
              </w:rPr>
              <w:t>patients’ expectations of seeing their doctor whenever they visited the practice. T</w:t>
            </w:r>
            <w:r w:rsidRPr="004A11F1">
              <w:rPr>
                <w:sz w:val="18"/>
                <w:szCs w:val="18"/>
              </w:rPr>
              <w:t xml:space="preserve">he </w:t>
            </w:r>
            <w:r>
              <w:rPr>
                <w:sz w:val="18"/>
                <w:szCs w:val="18"/>
              </w:rPr>
              <w:t>GP</w:t>
            </w:r>
            <w:r w:rsidRPr="004A11F1">
              <w:rPr>
                <w:sz w:val="18"/>
                <w:szCs w:val="18"/>
              </w:rPr>
              <w:t xml:space="preserve"> stressed </w:t>
            </w:r>
            <w:r>
              <w:rPr>
                <w:sz w:val="18"/>
                <w:szCs w:val="18"/>
              </w:rPr>
              <w:t xml:space="preserve">the need to reassure </w:t>
            </w:r>
            <w:r w:rsidRPr="004A11F1">
              <w:rPr>
                <w:sz w:val="18"/>
                <w:szCs w:val="18"/>
              </w:rPr>
              <w:t xml:space="preserve">patients that the doctor will always be available and that the GP-patient relationship will not suffer or deteriorate </w:t>
            </w:r>
            <w:r>
              <w:rPr>
                <w:sz w:val="18"/>
                <w:szCs w:val="18"/>
              </w:rPr>
              <w:t>in a team-based approach to care</w:t>
            </w:r>
            <w:r w:rsidRPr="004A11F1">
              <w:rPr>
                <w:sz w:val="18"/>
                <w:szCs w:val="18"/>
              </w:rPr>
              <w:t>.</w:t>
            </w:r>
          </w:p>
        </w:tc>
      </w:tr>
    </w:tbl>
    <w:p w14:paraId="4EAB8252" w14:textId="77777777" w:rsidR="001C19F3" w:rsidRDefault="001C19F3" w:rsidP="001C19F3">
      <w:pPr>
        <w:spacing w:after="0"/>
        <w:ind w:right="1089"/>
        <w:rPr>
          <w:szCs w:val="20"/>
        </w:rPr>
      </w:pPr>
    </w:p>
    <w:p w14:paraId="24B369D8" w14:textId="77777777" w:rsidR="001C19F3" w:rsidRDefault="001C19F3" w:rsidP="001C19F3">
      <w:pPr>
        <w:pStyle w:val="Heading3"/>
      </w:pPr>
      <w:bookmarkStart w:id="171" w:name="_Hlk20929824"/>
      <w:r>
        <w:t>Other enrolment processes (Steps 3-6)</w:t>
      </w:r>
    </w:p>
    <w:p w14:paraId="11F04615" w14:textId="77777777" w:rsidR="001C19F3" w:rsidRDefault="001C19F3" w:rsidP="001C19F3">
      <w:r>
        <w:t xml:space="preserve">Chapter 7 provides additional analysis of practices experiences with the HARP assessment and the assignment of patients to tiers. Otherwise, the additional areas in which practices provided feedback concerned the administrative processes, particularly registering patients (Step 6). The majority of active practices considered that they </w:t>
      </w:r>
      <w:r w:rsidRPr="00FC268E">
        <w:rPr>
          <w:i/>
        </w:rPr>
        <w:t>had some challenges</w:t>
      </w:r>
      <w:r>
        <w:t xml:space="preserve"> [with these processes], </w:t>
      </w:r>
      <w:r w:rsidRPr="00FC268E">
        <w:rPr>
          <w:i/>
        </w:rPr>
        <w:t>but overcame them</w:t>
      </w:r>
      <w:r>
        <w:t xml:space="preserve">, and around a quarter reported that </w:t>
      </w:r>
      <w:r w:rsidRPr="00FC268E">
        <w:rPr>
          <w:i/>
        </w:rPr>
        <w:t>the process was very smooth</w:t>
      </w:r>
      <w:r>
        <w:t xml:space="preserve">. A small proportion (14%) of active practices reported </w:t>
      </w:r>
      <w:r w:rsidRPr="00FC268E">
        <w:rPr>
          <w:i/>
        </w:rPr>
        <w:t>ongoing difficulties</w:t>
      </w:r>
      <w:r>
        <w:t xml:space="preserve">. </w:t>
      </w:r>
    </w:p>
    <w:p w14:paraId="49BD5976" w14:textId="77777777" w:rsidR="001C19F3" w:rsidRDefault="001C19F3" w:rsidP="001C19F3">
      <w:pPr>
        <w:pStyle w:val="Caption1"/>
        <w:spacing w:after="0"/>
      </w:pPr>
      <w:r>
        <w:t xml:space="preserve">Table </w:t>
      </w:r>
      <w:r>
        <w:fldChar w:fldCharType="begin"/>
      </w:r>
      <w:r>
        <w:instrText>SEQ Table \* ARABIC</w:instrText>
      </w:r>
      <w:r>
        <w:fldChar w:fldCharType="separate"/>
      </w:r>
      <w:r>
        <w:rPr>
          <w:noProof/>
        </w:rPr>
        <w:t>19</w:t>
      </w:r>
      <w:r>
        <w:fldChar w:fldCharType="end"/>
      </w:r>
      <w:r>
        <w:t xml:space="preserve"> – Rating of </w:t>
      </w:r>
      <w:r w:rsidRPr="007577A2">
        <w:t>administrative processes for enrolling patients in HCH</w:t>
      </w:r>
      <w:r>
        <w:t xml:space="preserve"> </w:t>
      </w:r>
    </w:p>
    <w:tbl>
      <w:tblPr>
        <w:tblW w:w="4807" w:type="pct"/>
        <w:jc w:val="center"/>
        <w:tblLook w:val="04A0" w:firstRow="1" w:lastRow="0" w:firstColumn="1" w:lastColumn="0" w:noHBand="0" w:noVBand="1"/>
      </w:tblPr>
      <w:tblGrid>
        <w:gridCol w:w="4605"/>
        <w:gridCol w:w="1351"/>
        <w:gridCol w:w="1351"/>
        <w:gridCol w:w="1351"/>
      </w:tblGrid>
      <w:tr w:rsidR="001C19F3" w14:paraId="1D2DD44D" w14:textId="77777777" w:rsidTr="00521305">
        <w:trPr>
          <w:cantSplit/>
          <w:trHeight w:val="336"/>
          <w:tblHeader/>
          <w:jc w:val="center"/>
        </w:trPr>
        <w:tc>
          <w:tcPr>
            <w:tcW w:w="266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1DE8CD" w14:textId="77777777" w:rsidR="001C19F3" w:rsidRDefault="001C19F3" w:rsidP="00521305">
            <w:pPr>
              <w:spacing w:after="0"/>
              <w:jc w:val="center"/>
            </w:pPr>
            <w:r w:rsidRPr="007577A2">
              <w:rPr>
                <w:rFonts w:eastAsia="Century Gothic" w:cs="Century Gothic"/>
                <w:b/>
                <w:color w:val="FFFFFF"/>
                <w:sz w:val="18"/>
                <w:szCs w:val="18"/>
              </w:rPr>
              <w:t>Rating of the administrative processes for enrolling patients in HCH</w:t>
            </w:r>
          </w:p>
        </w:tc>
        <w:tc>
          <w:tcPr>
            <w:tcW w:w="78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678A74A" w14:textId="77777777" w:rsidR="001C19F3" w:rsidRDefault="001C19F3" w:rsidP="00521305">
            <w:pPr>
              <w:spacing w:after="0"/>
              <w:jc w:val="center"/>
            </w:pPr>
            <w:r>
              <w:rPr>
                <w:rFonts w:eastAsia="Century Gothic" w:cs="Century Gothic"/>
                <w:b/>
                <w:color w:val="FFFFFF"/>
                <w:sz w:val="18"/>
                <w:szCs w:val="18"/>
              </w:rPr>
              <w:t>The process was very smooth</w:t>
            </w:r>
          </w:p>
        </w:tc>
        <w:tc>
          <w:tcPr>
            <w:tcW w:w="78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DB678CF" w14:textId="77777777" w:rsidR="001C19F3" w:rsidRDefault="001C19F3" w:rsidP="00521305">
            <w:pPr>
              <w:spacing w:after="0"/>
              <w:jc w:val="center"/>
            </w:pPr>
            <w:r>
              <w:rPr>
                <w:rFonts w:eastAsia="Century Gothic" w:cs="Century Gothic"/>
                <w:b/>
                <w:color w:val="FFFFFF"/>
                <w:sz w:val="18"/>
                <w:szCs w:val="18"/>
              </w:rPr>
              <w:t>We had some challenges, but we overcame them</w:t>
            </w:r>
          </w:p>
        </w:tc>
        <w:tc>
          <w:tcPr>
            <w:tcW w:w="78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456483" w14:textId="77777777" w:rsidR="001C19F3" w:rsidRDefault="001C19F3" w:rsidP="00521305">
            <w:pPr>
              <w:spacing w:after="0"/>
              <w:jc w:val="center"/>
            </w:pPr>
            <w:r>
              <w:rPr>
                <w:rFonts w:eastAsia="Century Gothic" w:cs="Century Gothic"/>
                <w:b/>
                <w:color w:val="FFFFFF"/>
                <w:sz w:val="18"/>
                <w:szCs w:val="18"/>
              </w:rPr>
              <w:t>We experienced ongoing difficulties</w:t>
            </w:r>
          </w:p>
        </w:tc>
      </w:tr>
      <w:tr w:rsidR="001C19F3" w14:paraId="55473B0E" w14:textId="77777777" w:rsidTr="00521305">
        <w:trPr>
          <w:cantSplit/>
          <w:trHeight w:val="442"/>
          <w:jc w:val="center"/>
        </w:trPr>
        <w:tc>
          <w:tcPr>
            <w:tcW w:w="266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36583B" w14:textId="77777777" w:rsidR="001C19F3" w:rsidRDefault="001C19F3" w:rsidP="00521305">
            <w:pPr>
              <w:spacing w:after="0"/>
              <w:ind w:left="160" w:right="100"/>
            </w:pPr>
            <w:r>
              <w:rPr>
                <w:rFonts w:eastAsia="Century Gothic" w:cs="Century Gothic"/>
                <w:color w:val="000000"/>
                <w:sz w:val="18"/>
                <w:szCs w:val="18"/>
              </w:rPr>
              <w:t>Active practices at 31 August 2019</w:t>
            </w:r>
          </w:p>
        </w:tc>
        <w:tc>
          <w:tcPr>
            <w:tcW w:w="7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E38322" w14:textId="77777777" w:rsidR="001C19F3" w:rsidRDefault="001C19F3" w:rsidP="00521305">
            <w:pPr>
              <w:spacing w:after="0"/>
              <w:ind w:left="100" w:right="100"/>
              <w:jc w:val="right"/>
            </w:pPr>
            <w:r>
              <w:rPr>
                <w:rFonts w:eastAsia="Century Gothic" w:cs="Century Gothic"/>
                <w:color w:val="000000"/>
                <w:sz w:val="18"/>
                <w:szCs w:val="18"/>
              </w:rPr>
              <w:t>21 (23.1%)</w:t>
            </w:r>
          </w:p>
        </w:tc>
        <w:tc>
          <w:tcPr>
            <w:tcW w:w="7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2A95EF" w14:textId="77777777" w:rsidR="001C19F3" w:rsidRDefault="001C19F3" w:rsidP="00521305">
            <w:pPr>
              <w:spacing w:after="0"/>
              <w:ind w:left="100" w:right="100"/>
              <w:jc w:val="right"/>
            </w:pPr>
            <w:r>
              <w:rPr>
                <w:rFonts w:eastAsia="Century Gothic" w:cs="Century Gothic"/>
                <w:color w:val="000000"/>
                <w:sz w:val="18"/>
                <w:szCs w:val="18"/>
              </w:rPr>
              <w:t>57 (62.6%)</w:t>
            </w:r>
          </w:p>
        </w:tc>
        <w:tc>
          <w:tcPr>
            <w:tcW w:w="7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C6AF7F" w14:textId="77777777" w:rsidR="001C19F3" w:rsidRDefault="001C19F3" w:rsidP="00521305">
            <w:pPr>
              <w:spacing w:after="0"/>
              <w:ind w:left="100" w:right="100"/>
              <w:jc w:val="right"/>
            </w:pPr>
            <w:r>
              <w:rPr>
                <w:rFonts w:eastAsia="Century Gothic" w:cs="Century Gothic"/>
                <w:color w:val="000000"/>
                <w:sz w:val="18"/>
                <w:szCs w:val="18"/>
              </w:rPr>
              <w:t>13 (14.3%)</w:t>
            </w:r>
          </w:p>
        </w:tc>
      </w:tr>
      <w:tr w:rsidR="001C19F3" w14:paraId="298ED1C6" w14:textId="77777777" w:rsidTr="00521305">
        <w:trPr>
          <w:cantSplit/>
          <w:trHeight w:val="442"/>
          <w:jc w:val="center"/>
        </w:trPr>
        <w:tc>
          <w:tcPr>
            <w:tcW w:w="266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17076" w14:textId="77777777" w:rsidR="001C19F3" w:rsidRDefault="001C19F3" w:rsidP="00521305">
            <w:pPr>
              <w:spacing w:after="0"/>
              <w:ind w:left="160" w:right="100"/>
            </w:pPr>
            <w:r>
              <w:rPr>
                <w:rFonts w:eastAsia="Century Gothic" w:cs="Century Gothic"/>
                <w:color w:val="000000"/>
                <w:sz w:val="18"/>
                <w:szCs w:val="18"/>
              </w:rPr>
              <w:t>Withdrawn practices</w:t>
            </w:r>
          </w:p>
        </w:tc>
        <w:tc>
          <w:tcPr>
            <w:tcW w:w="7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3439AE" w14:textId="77777777" w:rsidR="001C19F3" w:rsidRDefault="001C19F3" w:rsidP="00521305">
            <w:pPr>
              <w:spacing w:after="0"/>
              <w:ind w:left="100" w:right="100"/>
              <w:jc w:val="right"/>
            </w:pPr>
            <w:r>
              <w:rPr>
                <w:rFonts w:eastAsia="Century Gothic" w:cs="Century Gothic"/>
                <w:color w:val="000000"/>
                <w:sz w:val="18"/>
                <w:szCs w:val="18"/>
              </w:rPr>
              <w:t>2 (16.7%)</w:t>
            </w:r>
          </w:p>
        </w:tc>
        <w:tc>
          <w:tcPr>
            <w:tcW w:w="7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95A7C0" w14:textId="77777777" w:rsidR="001C19F3" w:rsidRDefault="001C19F3" w:rsidP="00521305">
            <w:pPr>
              <w:spacing w:after="0"/>
              <w:ind w:left="100" w:right="100"/>
              <w:jc w:val="right"/>
            </w:pPr>
            <w:r>
              <w:rPr>
                <w:rFonts w:eastAsia="Century Gothic" w:cs="Century Gothic"/>
                <w:color w:val="000000"/>
                <w:sz w:val="18"/>
                <w:szCs w:val="18"/>
              </w:rPr>
              <w:t>7 (58.3%)</w:t>
            </w:r>
          </w:p>
        </w:tc>
        <w:tc>
          <w:tcPr>
            <w:tcW w:w="7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511492" w14:textId="77777777" w:rsidR="001C19F3" w:rsidRDefault="001C19F3" w:rsidP="00521305">
            <w:pPr>
              <w:spacing w:after="0"/>
              <w:ind w:left="100" w:right="100"/>
              <w:jc w:val="right"/>
            </w:pPr>
            <w:r>
              <w:rPr>
                <w:rFonts w:eastAsia="Century Gothic" w:cs="Century Gothic"/>
                <w:color w:val="000000"/>
                <w:sz w:val="18"/>
                <w:szCs w:val="18"/>
              </w:rPr>
              <w:t>3 (25.0%)</w:t>
            </w:r>
          </w:p>
        </w:tc>
      </w:tr>
    </w:tbl>
    <w:p w14:paraId="671268C4" w14:textId="77777777" w:rsidR="001C19F3" w:rsidRDefault="001C19F3" w:rsidP="001C19F3">
      <w:pPr>
        <w:pStyle w:val="Chartortablefootnote"/>
        <w:rPr>
          <w:rFonts w:cstheme="minorBidi"/>
          <w:szCs w:val="20"/>
        </w:rPr>
      </w:pPr>
      <w:r>
        <w:t>Source: Practice survey R2, Nov 2018-Mar 2019, questions 2 &amp; 13.</w:t>
      </w:r>
    </w:p>
    <w:bookmarkEnd w:id="171"/>
    <w:p w14:paraId="484A0281" w14:textId="77777777" w:rsidR="001C19F3" w:rsidRDefault="001C19F3" w:rsidP="001C19F3">
      <w:r>
        <w:t xml:space="preserve">Practices suggested several ways to improve the enrolment process. The top recommendations from practices are shown in </w:t>
      </w:r>
      <w:r>
        <w:fldChar w:fldCharType="begin"/>
      </w:r>
      <w:r>
        <w:instrText xml:space="preserve"> REF _Ref21024439 \h </w:instrText>
      </w:r>
      <w:r>
        <w:fldChar w:fldCharType="separate"/>
      </w:r>
      <w:r>
        <w:t xml:space="preserve">Table </w:t>
      </w:r>
      <w:r>
        <w:rPr>
          <w:noProof/>
        </w:rPr>
        <w:t>20</w:t>
      </w:r>
      <w:r>
        <w:fldChar w:fldCharType="end"/>
      </w:r>
      <w:r>
        <w:t>. PHN practice facilitators also had similar suggestions.</w:t>
      </w:r>
    </w:p>
    <w:p w14:paraId="5A4EE22F" w14:textId="77777777" w:rsidR="001C19F3" w:rsidRDefault="001C19F3" w:rsidP="001C19F3">
      <w:pPr>
        <w:pStyle w:val="Caption1"/>
        <w:spacing w:after="0"/>
      </w:pPr>
      <w:bookmarkStart w:id="172" w:name="_Ref21024439"/>
      <w:bookmarkStart w:id="173" w:name="_Hlk22642430"/>
      <w:r>
        <w:t xml:space="preserve">Table </w:t>
      </w:r>
      <w:r>
        <w:fldChar w:fldCharType="begin"/>
      </w:r>
      <w:r>
        <w:instrText>SEQ Table \* ARABIC</w:instrText>
      </w:r>
      <w:r>
        <w:fldChar w:fldCharType="separate"/>
      </w:r>
      <w:r>
        <w:rPr>
          <w:noProof/>
        </w:rPr>
        <w:t>20</w:t>
      </w:r>
      <w:r>
        <w:fldChar w:fldCharType="end"/>
      </w:r>
      <w:bookmarkEnd w:id="172"/>
      <w:r>
        <w:t xml:space="preserve"> – Suggestions for improving the enrolment process (including responses from withdrawn practices)</w:t>
      </w:r>
    </w:p>
    <w:tbl>
      <w:tblPr>
        <w:tblW w:w="5000" w:type="pct"/>
        <w:jc w:val="center"/>
        <w:tblLook w:val="04A0" w:firstRow="1" w:lastRow="0" w:firstColumn="1" w:lastColumn="0" w:noHBand="0" w:noVBand="1"/>
      </w:tblPr>
      <w:tblGrid>
        <w:gridCol w:w="3251"/>
        <w:gridCol w:w="1207"/>
        <w:gridCol w:w="90"/>
        <w:gridCol w:w="3381"/>
        <w:gridCol w:w="1077"/>
      </w:tblGrid>
      <w:tr w:rsidR="001C19F3" w14:paraId="1C10B463" w14:textId="77777777" w:rsidTr="00521305">
        <w:trPr>
          <w:cantSplit/>
          <w:trHeight w:val="336"/>
          <w:tblHeader/>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173"/>
          <w:p w14:paraId="1F47FE51" w14:textId="77777777" w:rsidR="001C19F3" w:rsidRDefault="001C19F3" w:rsidP="00521305">
            <w:pPr>
              <w:jc w:val="center"/>
            </w:pPr>
            <w:r>
              <w:rPr>
                <w:rFonts w:eastAsia="Century Gothic" w:cs="Century Gothic"/>
                <w:b/>
                <w:color w:val="FFFFFF"/>
                <w:sz w:val="18"/>
                <w:szCs w:val="18"/>
              </w:rPr>
              <w:t>Response</w:t>
            </w:r>
          </w:p>
        </w:tc>
        <w:tc>
          <w:tcPr>
            <w:tcW w:w="6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7F429B7" w14:textId="77777777" w:rsidR="001C19F3" w:rsidRDefault="001C19F3" w:rsidP="00521305">
            <w:pPr>
              <w:jc w:val="center"/>
            </w:pPr>
            <w:r>
              <w:rPr>
                <w:rFonts w:eastAsia="Century Gothic" w:cs="Century Gothic"/>
                <w:b/>
                <w:color w:val="FFFFFF"/>
                <w:sz w:val="18"/>
                <w:szCs w:val="18"/>
              </w:rPr>
              <w:t>n (%)</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5CF12579" w14:textId="77777777" w:rsidR="001C19F3" w:rsidRDefault="001C19F3" w:rsidP="00521305">
            <w:pPr>
              <w:jc w:val="center"/>
            </w:pPr>
            <w:r>
              <w:rPr>
                <w:rFonts w:eastAsia="Century Gothic" w:cs="Century Gothic"/>
                <w:b/>
                <w:color w:val="FFFFFF"/>
                <w:sz w:val="18"/>
                <w:szCs w:val="18"/>
              </w:rPr>
              <w:t xml:space="preserve"> </w:t>
            </w:r>
          </w:p>
        </w:tc>
        <w:tc>
          <w:tcPr>
            <w:tcW w:w="18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A37848D" w14:textId="77777777" w:rsidR="001C19F3" w:rsidRDefault="001C19F3" w:rsidP="00521305">
            <w:pPr>
              <w:jc w:val="center"/>
            </w:pPr>
            <w:r>
              <w:rPr>
                <w:rFonts w:eastAsia="Century Gothic" w:cs="Century Gothic"/>
                <w:b/>
                <w:color w:val="FFFFFF"/>
                <w:sz w:val="18"/>
                <w:szCs w:val="18"/>
              </w:rPr>
              <w:t>Response</w:t>
            </w:r>
          </w:p>
        </w:tc>
        <w:tc>
          <w:tcPr>
            <w:tcW w:w="59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EE4D6C9" w14:textId="77777777" w:rsidR="001C19F3" w:rsidRDefault="001C19F3" w:rsidP="00521305">
            <w:pPr>
              <w:jc w:val="center"/>
            </w:pPr>
            <w:r>
              <w:rPr>
                <w:rFonts w:eastAsia="Century Gothic" w:cs="Century Gothic"/>
                <w:b/>
                <w:color w:val="FFFFFF"/>
                <w:sz w:val="18"/>
                <w:szCs w:val="18"/>
              </w:rPr>
              <w:t>n (%)</w:t>
            </w:r>
          </w:p>
        </w:tc>
      </w:tr>
      <w:tr w:rsidR="001C19F3" w14:paraId="70A6DEA1"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E50BDC" w14:textId="77777777" w:rsidR="001C19F3" w:rsidRDefault="001C19F3" w:rsidP="00521305">
            <w:pPr>
              <w:spacing w:before="40" w:after="40"/>
              <w:ind w:left="100" w:right="100"/>
            </w:pPr>
            <w:r>
              <w:rPr>
                <w:rFonts w:eastAsia="Century Gothic" w:cs="Century Gothic"/>
                <w:color w:val="000000"/>
                <w:sz w:val="18"/>
                <w:szCs w:val="18"/>
              </w:rPr>
              <w:t>Synchronising the various enrolling portals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04E538" w14:textId="77777777" w:rsidR="001C19F3" w:rsidRDefault="001C19F3" w:rsidP="00521305">
            <w:pPr>
              <w:spacing w:before="40" w:after="40"/>
              <w:ind w:left="100" w:right="100"/>
              <w:jc w:val="right"/>
            </w:pPr>
            <w:r>
              <w:rPr>
                <w:rFonts w:eastAsia="Century Gothic" w:cs="Century Gothic"/>
                <w:color w:val="000000"/>
                <w:sz w:val="18"/>
                <w:szCs w:val="18"/>
              </w:rPr>
              <w:t>29 (27.6%)</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0BDA5736"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505921" w14:textId="77777777" w:rsidR="001C19F3" w:rsidRDefault="001C19F3" w:rsidP="00521305">
            <w:pPr>
              <w:spacing w:before="40" w:after="40"/>
              <w:ind w:left="100" w:right="100"/>
            </w:pPr>
            <w:r>
              <w:rPr>
                <w:rFonts w:eastAsia="Century Gothic" w:cs="Century Gothic"/>
                <w:color w:val="000000"/>
                <w:sz w:val="18"/>
                <w:szCs w:val="18"/>
              </w:rPr>
              <w:t>Increase the engagement of doctors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782EC3" w14:textId="77777777" w:rsidR="001C19F3" w:rsidRDefault="001C19F3" w:rsidP="00521305">
            <w:pPr>
              <w:spacing w:before="40" w:after="40"/>
              <w:ind w:left="100" w:right="100"/>
              <w:jc w:val="right"/>
            </w:pPr>
            <w:r>
              <w:rPr>
                <w:rFonts w:eastAsia="Century Gothic" w:cs="Century Gothic"/>
                <w:color w:val="000000"/>
                <w:sz w:val="18"/>
                <w:szCs w:val="18"/>
              </w:rPr>
              <w:t>3 (2.9%)</w:t>
            </w:r>
          </w:p>
        </w:tc>
      </w:tr>
      <w:tr w:rsidR="001C19F3" w14:paraId="7EF0C5DC"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B7C6FD" w14:textId="77777777" w:rsidR="001C19F3" w:rsidRDefault="001C19F3" w:rsidP="00521305">
            <w:pPr>
              <w:spacing w:before="40" w:after="40"/>
              <w:ind w:left="100" w:right="100"/>
            </w:pPr>
            <w:r>
              <w:rPr>
                <w:rFonts w:eastAsia="Century Gothic" w:cs="Century Gothic"/>
                <w:color w:val="000000"/>
                <w:sz w:val="18"/>
                <w:szCs w:val="18"/>
              </w:rPr>
              <w:t>Simplify the enrolment process/ make it easier to find eligible patients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59C588" w14:textId="77777777" w:rsidR="001C19F3" w:rsidRDefault="001C19F3" w:rsidP="00521305">
            <w:pPr>
              <w:spacing w:before="40" w:after="40"/>
              <w:ind w:left="100" w:right="100"/>
              <w:jc w:val="right"/>
            </w:pPr>
            <w:r>
              <w:rPr>
                <w:rFonts w:eastAsia="Century Gothic" w:cs="Century Gothic"/>
                <w:color w:val="000000"/>
                <w:sz w:val="18"/>
                <w:szCs w:val="18"/>
              </w:rPr>
              <w:t>16 (15.2%)</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2BFBC248"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590FC2" w14:textId="77777777" w:rsidR="001C19F3" w:rsidRDefault="001C19F3" w:rsidP="00521305">
            <w:pPr>
              <w:spacing w:before="40" w:after="40"/>
              <w:ind w:left="100" w:right="100"/>
            </w:pPr>
            <w:r>
              <w:rPr>
                <w:rFonts w:eastAsia="Century Gothic" w:cs="Century Gothic"/>
                <w:color w:val="000000"/>
                <w:sz w:val="18"/>
                <w:szCs w:val="18"/>
              </w:rPr>
              <w:t>Payment for nurses to register patients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BE69E2"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15ADFAE5"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E3830D" w14:textId="77777777" w:rsidR="001C19F3" w:rsidRDefault="001C19F3" w:rsidP="00521305">
            <w:pPr>
              <w:spacing w:before="40" w:after="40"/>
              <w:ind w:left="100" w:right="100"/>
            </w:pPr>
            <w:r>
              <w:rPr>
                <w:rFonts w:eastAsia="Century Gothic" w:cs="Century Gothic"/>
                <w:color w:val="000000"/>
                <w:sz w:val="18"/>
                <w:szCs w:val="18"/>
              </w:rPr>
              <w:t>IT and admin process working more efficiently</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278CEC"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C5615AB"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8A3C74" w14:textId="77777777" w:rsidR="001C19F3" w:rsidRDefault="001C19F3" w:rsidP="00521305">
            <w:pPr>
              <w:spacing w:before="40" w:after="40"/>
              <w:ind w:left="100" w:right="100"/>
            </w:pPr>
            <w:r>
              <w:rPr>
                <w:rFonts w:eastAsia="Century Gothic" w:cs="Century Gothic"/>
                <w:color w:val="000000"/>
                <w:sz w:val="18"/>
                <w:szCs w:val="18"/>
              </w:rPr>
              <w:t>Counter negative publicity of My Health record</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3E0760"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7192D250"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7ED0F9" w14:textId="77777777" w:rsidR="001C19F3" w:rsidRDefault="001C19F3" w:rsidP="00521305">
            <w:pPr>
              <w:spacing w:before="40" w:after="40"/>
              <w:ind w:left="100" w:right="100"/>
            </w:pPr>
            <w:r>
              <w:rPr>
                <w:rFonts w:eastAsia="Century Gothic" w:cs="Century Gothic"/>
                <w:color w:val="000000"/>
                <w:sz w:val="18"/>
                <w:szCs w:val="18"/>
              </w:rPr>
              <w:t>Provide doctors/ other staff with more education</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23B99E"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5F94E872"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A6359A" w14:textId="77777777" w:rsidR="001C19F3" w:rsidRDefault="001C19F3" w:rsidP="00521305">
            <w:pPr>
              <w:spacing w:before="40" w:after="40"/>
              <w:ind w:left="100" w:right="100"/>
            </w:pPr>
            <w:r>
              <w:rPr>
                <w:rFonts w:eastAsia="Century Gothic" w:cs="Century Gothic"/>
                <w:color w:val="000000"/>
                <w:sz w:val="18"/>
                <w:szCs w:val="18"/>
              </w:rPr>
              <w:t>Flexibility for patients to see different providers within the practice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634D21"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0ED6B708"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9B337C" w14:textId="77777777" w:rsidR="001C19F3" w:rsidRDefault="001C19F3" w:rsidP="00521305">
            <w:pPr>
              <w:spacing w:before="40" w:after="40"/>
              <w:ind w:left="100" w:right="100"/>
            </w:pPr>
            <w:r>
              <w:rPr>
                <w:rFonts w:eastAsia="Century Gothic" w:cs="Century Gothic"/>
                <w:color w:val="000000"/>
                <w:sz w:val="18"/>
                <w:szCs w:val="18"/>
              </w:rPr>
              <w:t>Increase publicity of HCH to make patients more aware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12EF97" w14:textId="77777777" w:rsidR="001C19F3" w:rsidRDefault="001C19F3" w:rsidP="00521305">
            <w:pPr>
              <w:spacing w:before="40" w:after="40"/>
              <w:ind w:left="100" w:right="100"/>
              <w:jc w:val="right"/>
            </w:pPr>
            <w:r>
              <w:rPr>
                <w:rFonts w:eastAsia="Century Gothic" w:cs="Century Gothic"/>
                <w:color w:val="000000"/>
                <w:sz w:val="18"/>
                <w:szCs w:val="18"/>
              </w:rPr>
              <w:t>5 (4.8%)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227E6201"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827449" w14:textId="77777777" w:rsidR="001C19F3" w:rsidRDefault="001C19F3" w:rsidP="00521305">
            <w:pPr>
              <w:spacing w:before="40" w:after="40"/>
              <w:ind w:left="100" w:right="100"/>
            </w:pPr>
            <w:r>
              <w:rPr>
                <w:rFonts w:eastAsia="Century Gothic" w:cs="Century Gothic"/>
                <w:color w:val="000000"/>
                <w:sz w:val="18"/>
                <w:szCs w:val="18"/>
              </w:rPr>
              <w:t>Involvement of family members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B41000"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37BF6994"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385804" w14:textId="77777777" w:rsidR="001C19F3" w:rsidRDefault="001C19F3" w:rsidP="00521305">
            <w:pPr>
              <w:spacing w:before="40" w:after="40"/>
              <w:ind w:left="100" w:right="100"/>
            </w:pPr>
            <w:r>
              <w:rPr>
                <w:rFonts w:eastAsia="Century Gothic" w:cs="Century Gothic"/>
                <w:color w:val="000000"/>
                <w:sz w:val="18"/>
                <w:szCs w:val="18"/>
              </w:rPr>
              <w:t>Provide literature for patients and standardised approach to recruitment</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956E71" w14:textId="77777777" w:rsidR="001C19F3" w:rsidRDefault="001C19F3" w:rsidP="00521305">
            <w:pPr>
              <w:spacing w:before="40" w:after="40"/>
              <w:ind w:left="100" w:right="100"/>
              <w:jc w:val="right"/>
            </w:pPr>
            <w:r>
              <w:rPr>
                <w:rFonts w:eastAsia="Century Gothic" w:cs="Century Gothic"/>
                <w:color w:val="000000"/>
                <w:sz w:val="18"/>
                <w:szCs w:val="18"/>
              </w:rPr>
              <w:t>4 (3.8%)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29BAA87D"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DE892A" w14:textId="77777777" w:rsidR="001C19F3" w:rsidRDefault="001C19F3" w:rsidP="00521305">
            <w:pPr>
              <w:spacing w:before="40" w:after="40"/>
              <w:ind w:left="100" w:right="100"/>
            </w:pPr>
            <w:r>
              <w:rPr>
                <w:rFonts w:eastAsia="Century Gothic" w:cs="Century Gothic"/>
                <w:color w:val="000000"/>
                <w:sz w:val="18"/>
                <w:szCs w:val="18"/>
              </w:rPr>
              <w:t>MBS item number to prompt HCH registration</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411496" w14:textId="77777777" w:rsidR="001C19F3" w:rsidRDefault="001C19F3" w:rsidP="00521305">
            <w:pPr>
              <w:spacing w:before="40" w:after="40"/>
              <w:ind w:left="100" w:right="100"/>
              <w:jc w:val="right"/>
            </w:pPr>
            <w:r>
              <w:rPr>
                <w:rFonts w:eastAsia="Century Gothic" w:cs="Century Gothic"/>
                <w:color w:val="000000"/>
                <w:sz w:val="18"/>
                <w:szCs w:val="18"/>
              </w:rPr>
              <w:t>1 (1.0%)</w:t>
            </w:r>
          </w:p>
        </w:tc>
      </w:tr>
    </w:tbl>
    <w:p w14:paraId="45421740" w14:textId="77777777" w:rsidR="001C19F3" w:rsidRDefault="001C19F3" w:rsidP="001C19F3">
      <w:pPr>
        <w:pStyle w:val="Chartortablefootnote"/>
      </w:pPr>
      <w:r>
        <w:t>Source: Practice survey R2, Nov 2018-Mar 2019, question 14.</w:t>
      </w:r>
    </w:p>
    <w:p w14:paraId="1382CCD7" w14:textId="77777777" w:rsidR="001C19F3" w:rsidRDefault="001C19F3" w:rsidP="001C19F3">
      <w:pPr>
        <w:rPr>
          <w:szCs w:val="20"/>
        </w:rPr>
      </w:pPr>
      <w:r>
        <w:rPr>
          <w:szCs w:val="20"/>
        </w:rPr>
        <w:lastRenderedPageBreak/>
        <w:t xml:space="preserve">In interviews staff reported that the enrolment process – explaining the program to patients, getting consent, </w:t>
      </w:r>
      <w:r w:rsidRPr="00405828">
        <w:rPr>
          <w:szCs w:val="20"/>
        </w:rPr>
        <w:t>assessing the patient’s eligibility</w:t>
      </w:r>
      <w:r>
        <w:rPr>
          <w:szCs w:val="20"/>
        </w:rPr>
        <w:t>, creating a care plan, and registering individuals on multiple platforms – was time-consuming:</w:t>
      </w:r>
    </w:p>
    <w:p w14:paraId="1BF91EBD" w14:textId="77777777" w:rsidR="001C19F3" w:rsidRDefault="001C19F3" w:rsidP="001C19F3">
      <w:pPr>
        <w:ind w:left="567" w:right="1088"/>
        <w:rPr>
          <w:szCs w:val="20"/>
        </w:rPr>
      </w:pPr>
      <w:r w:rsidRPr="008311AF">
        <w:rPr>
          <w:i/>
          <w:szCs w:val="20"/>
        </w:rPr>
        <w:t xml:space="preserve">“I think the funding may be reasonable for the ongoing care once they’re signed up, systems are involved, and they’re enrolled, but the practice initially getting to that, and then the patient initially getting enrolled, took an admin, a nurse, a doctor, probably three to five hours per patient.” </w:t>
      </w:r>
      <w:r>
        <w:rPr>
          <w:szCs w:val="20"/>
        </w:rPr>
        <w:t>[GP, Practice 7, interview, R2]</w:t>
      </w:r>
    </w:p>
    <w:p w14:paraId="3F1CE8D7" w14:textId="77777777" w:rsidR="001C19F3" w:rsidRDefault="001C19F3" w:rsidP="001C19F3">
      <w:pPr>
        <w:ind w:left="567" w:right="1088"/>
        <w:rPr>
          <w:szCs w:val="20"/>
        </w:rPr>
      </w:pPr>
      <w:r w:rsidRPr="008311AF">
        <w:rPr>
          <w:i/>
          <w:szCs w:val="20"/>
        </w:rPr>
        <w:t>“There is a bit of pressure of time, but also to try and convince yourself something, a relatively new concept to the patient, does take a bit of time. We do expect them to ask some questions from us. Something like this needs a fair amount of explanation.”</w:t>
      </w:r>
      <w:r w:rsidRPr="008311AF">
        <w:rPr>
          <w:szCs w:val="20"/>
        </w:rPr>
        <w:t xml:space="preserve"> [</w:t>
      </w:r>
      <w:r>
        <w:rPr>
          <w:szCs w:val="20"/>
        </w:rPr>
        <w:t>P</w:t>
      </w:r>
      <w:r w:rsidRPr="008311AF">
        <w:rPr>
          <w:szCs w:val="20"/>
        </w:rPr>
        <w:t>ractice manager &amp; GP, Practice 15</w:t>
      </w:r>
      <w:r>
        <w:rPr>
          <w:szCs w:val="20"/>
        </w:rPr>
        <w:t>, interview, R2]</w:t>
      </w:r>
    </w:p>
    <w:p w14:paraId="531D5214" w14:textId="77777777" w:rsidR="001C19F3" w:rsidRDefault="001C19F3" w:rsidP="001C19F3">
      <w:pPr>
        <w:ind w:left="567" w:right="1088"/>
        <w:rPr>
          <w:szCs w:val="20"/>
        </w:rPr>
      </w:pPr>
    </w:p>
    <w:p w14:paraId="26E2982B" w14:textId="77777777" w:rsidR="001C19F3" w:rsidRPr="0018214E" w:rsidRDefault="001C19F3" w:rsidP="001C19F3">
      <w:pPr>
        <w:jc w:val="center"/>
        <w:sectPr w:rsidR="001C19F3" w:rsidRPr="0018214E" w:rsidSect="001C5D9E">
          <w:headerReference w:type="first" r:id="rId55"/>
          <w:pgSz w:w="11906" w:h="16838"/>
          <w:pgMar w:top="1440" w:right="1440" w:bottom="1440" w:left="1440" w:header="708" w:footer="708" w:gutter="0"/>
          <w:cols w:space="708"/>
          <w:titlePg/>
          <w:docGrid w:linePitch="360"/>
        </w:sectPr>
      </w:pPr>
    </w:p>
    <w:p w14:paraId="5DF4675C" w14:textId="77777777" w:rsidR="001C19F3" w:rsidRPr="006F3B01" w:rsidRDefault="001C19F3" w:rsidP="001C19F3">
      <w:pPr>
        <w:pStyle w:val="Heading1withnumber"/>
        <w:ind w:left="0" w:hanging="993"/>
      </w:pPr>
      <w:bookmarkStart w:id="174" w:name="_Toc27056558"/>
      <w:r>
        <w:lastRenderedPageBreak/>
        <w:t>Overview of HCH patients</w:t>
      </w:r>
      <w:bookmarkEnd w:id="143"/>
      <w:bookmarkEnd w:id="174"/>
    </w:p>
    <w:p w14:paraId="042E280A" w14:textId="77777777" w:rsidR="001C19F3" w:rsidRDefault="001C19F3" w:rsidP="001C19F3">
      <w:r>
        <w:t>This Chapter profiles enrolled patients at baseline, that is, around the time they were enrolled into the HCH program. Some analyses reflect characteristics of patients after enrolment. For example, the practice extract data are to 30 June 2019.</w:t>
      </w:r>
    </w:p>
    <w:p w14:paraId="79C2C585" w14:textId="77777777" w:rsidR="001C19F3" w:rsidRDefault="001C19F3" w:rsidP="001C19F3">
      <w:pPr>
        <w:pStyle w:val="Heading2"/>
      </w:pPr>
      <w:bookmarkStart w:id="175" w:name="_Toc20151661"/>
      <w:bookmarkStart w:id="176" w:name="_Toc27056559"/>
      <w:r>
        <w:t>Patient characteristics</w:t>
      </w:r>
      <w:bookmarkEnd w:id="175"/>
      <w:bookmarkEnd w:id="176"/>
    </w:p>
    <w:p w14:paraId="402080DE" w14:textId="77777777" w:rsidR="001C19F3" w:rsidRDefault="001C19F3" w:rsidP="001C19F3">
      <w:r>
        <w:fldChar w:fldCharType="begin"/>
      </w:r>
      <w:r>
        <w:instrText xml:space="preserve"> REF _Ref20752496 \h  \* MERGEFORMAT </w:instrText>
      </w:r>
      <w:r>
        <w:fldChar w:fldCharType="separate"/>
      </w:r>
      <w:r w:rsidRPr="00822044">
        <w:t>Table 21</w:t>
      </w:r>
      <w:r>
        <w:fldChar w:fldCharType="end"/>
      </w:r>
      <w:r>
        <w:t xml:space="preserve"> describes the tier, sex and age of patients enrolled in the HCH program, derived from three sources: the program enrolment data</w:t>
      </w:r>
      <w:r w:rsidRPr="00DE0DAE">
        <w:rPr>
          <w:vertAlign w:val="superscript"/>
        </w:rPr>
        <w:footnoteReference w:id="10"/>
      </w:r>
      <w:r>
        <w:t xml:space="preserve">, the patient computer assisted telephone interviews (CATI) and the practice data extracts. At 30 June 2019, there were </w:t>
      </w:r>
      <w:r w:rsidRPr="00EE35A6">
        <w:t xml:space="preserve">10,214 patients </w:t>
      </w:r>
      <w:r w:rsidRPr="00321810">
        <w:t xml:space="preserve">enrolled. </w:t>
      </w:r>
      <w:r>
        <w:t xml:space="preserve">Around </w:t>
      </w:r>
      <w:r w:rsidRPr="007F3A3C">
        <w:t>1,</w:t>
      </w:r>
      <w:r>
        <w:t xml:space="preserve">000 </w:t>
      </w:r>
      <w:r w:rsidRPr="00321810">
        <w:t xml:space="preserve">patients had withdrawn. The reasons patients withdrew </w:t>
      </w:r>
      <w:r>
        <w:t>were presented</w:t>
      </w:r>
      <w:r w:rsidRPr="00321810">
        <w:t xml:space="preserve"> </w:t>
      </w:r>
      <w:r>
        <w:t xml:space="preserve">previously (see </w:t>
      </w:r>
      <w:r>
        <w:fldChar w:fldCharType="begin"/>
      </w:r>
      <w:r>
        <w:instrText xml:space="preserve"> REF _Ref20757734 \h  \* MERGEFORMAT </w:instrText>
      </w:r>
      <w:r>
        <w:fldChar w:fldCharType="separate"/>
      </w:r>
      <w:r w:rsidRPr="00822044">
        <w:t>Table 16</w:t>
      </w:r>
      <w:r>
        <w:fldChar w:fldCharType="end"/>
      </w:r>
      <w:r>
        <w:t>)</w:t>
      </w:r>
      <w:r w:rsidRPr="00321810">
        <w:t>.</w:t>
      </w:r>
    </w:p>
    <w:p w14:paraId="39FCA0BC" w14:textId="77777777" w:rsidR="001C19F3" w:rsidRDefault="001C19F3" w:rsidP="001C19F3">
      <w:r>
        <w:t>HCH patients were most likely to be assigned to T</w:t>
      </w:r>
      <w:r w:rsidRPr="00647D66">
        <w:t xml:space="preserve">ier 2, followed by </w:t>
      </w:r>
      <w:r>
        <w:t>T</w:t>
      </w:r>
      <w:r w:rsidRPr="00647D66">
        <w:t xml:space="preserve">ier 3 </w:t>
      </w:r>
      <w:r>
        <w:t xml:space="preserve">(most complex) </w:t>
      </w:r>
      <w:r w:rsidRPr="00647D66">
        <w:t xml:space="preserve">and </w:t>
      </w:r>
      <w:r>
        <w:t>T</w:t>
      </w:r>
      <w:r w:rsidRPr="00647D66">
        <w:t>ier 1</w:t>
      </w:r>
      <w:r>
        <w:t xml:space="preserve"> (least complex) (see </w:t>
      </w:r>
      <w:r>
        <w:fldChar w:fldCharType="begin"/>
      </w:r>
      <w:r>
        <w:instrText xml:space="preserve"> REF _Ref527986476 \h  \* MERGEFORMAT </w:instrText>
      </w:r>
      <w:r>
        <w:fldChar w:fldCharType="separate"/>
      </w:r>
      <w:r w:rsidRPr="00822044">
        <w:t>Figure 8</w:t>
      </w:r>
      <w:r>
        <w:fldChar w:fldCharType="end"/>
      </w:r>
      <w:r>
        <w:t xml:space="preserve">). A slightly larger proportion of HCH patients are female (around 54%). Around, 52% are aged 65 years and over. </w:t>
      </w:r>
    </w:p>
    <w:p w14:paraId="2BAF2F34" w14:textId="77777777" w:rsidR="001C19F3" w:rsidRDefault="001C19F3" w:rsidP="001C19F3">
      <w:r>
        <w:t>Overall, 2,018 patients were surveyed (</w:t>
      </w:r>
      <w:r w:rsidRPr="00321810">
        <w:t>18% of all enrolees</w:t>
      </w:r>
      <w:r>
        <w:t>)</w:t>
      </w:r>
      <w:r w:rsidRPr="00321810">
        <w:t xml:space="preserve">. The response rate was 64.5%. Further details of non-respondents are provided in Volume 4. Compared with the overall HCH population, the patients surveyed had a slightly higher representation in tiers 1 and 2 and </w:t>
      </w:r>
      <w:r>
        <w:t xml:space="preserve">people </w:t>
      </w:r>
      <w:r w:rsidRPr="00321810">
        <w:t>aged 65 years and older. This difference mainly reflects the sampling frame used for the patient surveys</w:t>
      </w:r>
      <w:r>
        <w:t>. Patients aged under 18 years were excluded.</w:t>
      </w:r>
      <w:r>
        <w:rPr>
          <w:rStyle w:val="FootnoteReference"/>
        </w:rPr>
        <w:footnoteReference w:id="11"/>
      </w:r>
      <w:r>
        <w:t xml:space="preserve"> In addition, patients enrolled with ACCHS in the NT were not surveyed.</w:t>
      </w:r>
      <w:r>
        <w:rPr>
          <w:rStyle w:val="FootnoteReference"/>
        </w:rPr>
        <w:footnoteReference w:id="12"/>
      </w:r>
      <w:r>
        <w:t xml:space="preserve"> </w:t>
      </w:r>
    </w:p>
    <w:p w14:paraId="7AB2AEBC" w14:textId="77777777" w:rsidR="001C19F3" w:rsidRDefault="001C19F3" w:rsidP="001C19F3">
      <w:r>
        <w:fldChar w:fldCharType="begin"/>
      </w:r>
      <w:r>
        <w:instrText xml:space="preserve"> REF _Ref20752496 \h  \* MERGEFORMAT </w:instrText>
      </w:r>
      <w:r>
        <w:fldChar w:fldCharType="separate"/>
      </w:r>
      <w:r w:rsidRPr="00822044">
        <w:t>Table 21</w:t>
      </w:r>
      <w:r>
        <w:fldChar w:fldCharType="end"/>
      </w:r>
      <w:r>
        <w:t xml:space="preserve"> also shows the characteristics of HCH patients from extracts from practice clinical management systems (‘practice extracts’). The practice extracts show a similar profile to the full HCH populations across the dimensions of tier, sex and age group. There was an under-representation of corporate practices in the practice extracts available at 30 June 2019, an issue that was subsequently addressed. Data were analysed on 8,336</w:t>
      </w:r>
      <w:r w:rsidRPr="001D6238">
        <w:t xml:space="preserve"> patients flagged as HCH patients in these extracts</w:t>
      </w:r>
      <w:r>
        <w:t xml:space="preserve"> (</w:t>
      </w:r>
      <w:r w:rsidRPr="001D6238">
        <w:t>71% of all enrolees</w:t>
      </w:r>
      <w:r>
        <w:t>)</w:t>
      </w:r>
      <w:r w:rsidRPr="001D6238">
        <w:t>.</w:t>
      </w:r>
    </w:p>
    <w:p w14:paraId="33E66220" w14:textId="77777777" w:rsidR="001C19F3" w:rsidRDefault="001C19F3" w:rsidP="001C19F3">
      <w:r>
        <w:t>HCH patients are older on average than the whole practice populations (‘active patients’) (</w:t>
      </w:r>
      <w:r>
        <w:fldChar w:fldCharType="begin"/>
      </w:r>
      <w:r>
        <w:instrText xml:space="preserve"> REF _Ref20738117 \h  \* MERGEFORMAT </w:instrText>
      </w:r>
      <w:r>
        <w:fldChar w:fldCharType="separate"/>
      </w:r>
      <w:r w:rsidRPr="00822044">
        <w:t>Table 22</w:t>
      </w:r>
      <w:r>
        <w:fldChar w:fldCharType="end"/>
      </w:r>
      <w:r>
        <w:t xml:space="preserve">). </w:t>
      </w:r>
    </w:p>
    <w:p w14:paraId="284F3AF8" w14:textId="77777777" w:rsidR="001C19F3" w:rsidRDefault="001C19F3" w:rsidP="001C19F3">
      <w:r>
        <w:br w:type="page"/>
      </w:r>
    </w:p>
    <w:p w14:paraId="029611AA" w14:textId="77777777" w:rsidR="001C19F3" w:rsidRPr="00DD08EB" w:rsidRDefault="001C19F3" w:rsidP="001C19F3">
      <w:pPr>
        <w:spacing w:after="0"/>
        <w:jc w:val="center"/>
        <w:rPr>
          <w:b/>
        </w:rPr>
      </w:pPr>
      <w:bookmarkStart w:id="177" w:name="_Ref20752496"/>
      <w:r w:rsidRPr="00DD08EB">
        <w:rPr>
          <w:b/>
        </w:rPr>
        <w:lastRenderedPageBreak/>
        <w:t xml:space="preserve">Table </w:t>
      </w:r>
      <w:r w:rsidRPr="00DD08EB">
        <w:rPr>
          <w:b/>
        </w:rPr>
        <w:fldChar w:fldCharType="begin"/>
      </w:r>
      <w:r w:rsidRPr="00DD08EB">
        <w:rPr>
          <w:b/>
        </w:rPr>
        <w:instrText>SEQ Table \* ARABIC</w:instrText>
      </w:r>
      <w:r w:rsidRPr="00DD08EB">
        <w:rPr>
          <w:b/>
        </w:rPr>
        <w:fldChar w:fldCharType="separate"/>
      </w:r>
      <w:r>
        <w:rPr>
          <w:b/>
          <w:noProof/>
        </w:rPr>
        <w:t>21</w:t>
      </w:r>
      <w:r w:rsidRPr="00DD08EB">
        <w:rPr>
          <w:b/>
        </w:rPr>
        <w:fldChar w:fldCharType="end"/>
      </w:r>
      <w:bookmarkEnd w:id="177"/>
      <w:r w:rsidRPr="00DD08EB">
        <w:rPr>
          <w:b/>
        </w:rPr>
        <w:t xml:space="preserve"> – </w:t>
      </w:r>
      <w:r>
        <w:rPr>
          <w:b/>
        </w:rPr>
        <w:t>Key characteristics o</w:t>
      </w:r>
      <w:r w:rsidRPr="00DD08EB">
        <w:rPr>
          <w:b/>
        </w:rPr>
        <w:t xml:space="preserve">f </w:t>
      </w:r>
      <w:r>
        <w:rPr>
          <w:b/>
        </w:rPr>
        <w:t xml:space="preserve">HCH </w:t>
      </w:r>
      <w:r w:rsidRPr="00DD08EB">
        <w:rPr>
          <w:b/>
        </w:rPr>
        <w:t>patients</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501"/>
        <w:gridCol w:w="1501"/>
        <w:gridCol w:w="1500"/>
        <w:gridCol w:w="1502"/>
        <w:gridCol w:w="1500"/>
        <w:gridCol w:w="1502"/>
      </w:tblGrid>
      <w:tr w:rsidR="001C19F3" w14:paraId="445DC208" w14:textId="77777777" w:rsidTr="00521305">
        <w:trPr>
          <w:cantSplit/>
          <w:trHeight w:val="330"/>
          <w:tblHeader/>
          <w:jc w:val="center"/>
        </w:trPr>
        <w:tc>
          <w:tcPr>
            <w:tcW w:w="833" w:type="pct"/>
            <w:vMerge w:val="restart"/>
            <w:shd w:val="clear" w:color="auto" w:fill="003D79"/>
            <w:tcMar>
              <w:top w:w="0" w:type="dxa"/>
              <w:left w:w="0" w:type="dxa"/>
              <w:bottom w:w="0" w:type="dxa"/>
              <w:right w:w="0" w:type="dxa"/>
            </w:tcMar>
            <w:vAlign w:val="center"/>
            <w:hideMark/>
          </w:tcPr>
          <w:p w14:paraId="52306ADE" w14:textId="77777777" w:rsidR="001C19F3" w:rsidRPr="000819FA" w:rsidRDefault="001C19F3" w:rsidP="00521305">
            <w:pPr>
              <w:spacing w:after="0"/>
              <w:jc w:val="center"/>
              <w:rPr>
                <w:rFonts w:cstheme="minorHAnsi"/>
                <w:sz w:val="18"/>
                <w:szCs w:val="18"/>
              </w:rPr>
            </w:pPr>
            <w:r>
              <w:rPr>
                <w:rFonts w:cstheme="minorHAnsi"/>
                <w:b/>
                <w:color w:val="FFFFFF"/>
                <w:sz w:val="18"/>
                <w:szCs w:val="18"/>
              </w:rPr>
              <w:t>Characteristic</w:t>
            </w:r>
          </w:p>
        </w:tc>
        <w:tc>
          <w:tcPr>
            <w:tcW w:w="2500" w:type="pct"/>
            <w:gridSpan w:val="3"/>
            <w:shd w:val="clear" w:color="auto" w:fill="003D79"/>
            <w:tcMar>
              <w:top w:w="0" w:type="dxa"/>
              <w:left w:w="0" w:type="dxa"/>
              <w:bottom w:w="0" w:type="dxa"/>
              <w:right w:w="0" w:type="dxa"/>
            </w:tcMar>
            <w:vAlign w:val="center"/>
            <w:hideMark/>
          </w:tcPr>
          <w:p w14:paraId="2680A4C3" w14:textId="77777777" w:rsidR="001C19F3" w:rsidRPr="000819FA" w:rsidRDefault="001C19F3" w:rsidP="00521305">
            <w:pPr>
              <w:spacing w:after="0"/>
              <w:jc w:val="center"/>
              <w:rPr>
                <w:rFonts w:cstheme="minorHAnsi"/>
                <w:sz w:val="18"/>
                <w:szCs w:val="18"/>
              </w:rPr>
            </w:pPr>
            <w:r w:rsidRPr="000819FA">
              <w:rPr>
                <w:rFonts w:cstheme="minorHAnsi"/>
                <w:b/>
                <w:color w:val="FFFFFF"/>
                <w:sz w:val="18"/>
                <w:szCs w:val="18"/>
              </w:rPr>
              <w:t>Patient enrolments</w:t>
            </w:r>
            <w:r w:rsidRPr="00FC268E">
              <w:rPr>
                <w:rFonts w:cstheme="minorHAnsi"/>
                <w:b/>
                <w:color w:val="FFFFFF"/>
                <w:sz w:val="18"/>
                <w:szCs w:val="18"/>
                <w:vertAlign w:val="superscript"/>
              </w:rPr>
              <w:t>1</w:t>
            </w:r>
          </w:p>
        </w:tc>
        <w:tc>
          <w:tcPr>
            <w:tcW w:w="833" w:type="pct"/>
            <w:vMerge w:val="restart"/>
            <w:shd w:val="clear" w:color="auto" w:fill="003D79"/>
            <w:tcMar>
              <w:top w:w="0" w:type="dxa"/>
              <w:left w:w="0" w:type="dxa"/>
              <w:bottom w:w="0" w:type="dxa"/>
              <w:right w:w="0" w:type="dxa"/>
            </w:tcMar>
            <w:vAlign w:val="center"/>
            <w:hideMark/>
          </w:tcPr>
          <w:p w14:paraId="303D9CB7" w14:textId="77777777" w:rsidR="001C19F3" w:rsidRPr="000819FA" w:rsidRDefault="001C19F3" w:rsidP="00521305">
            <w:pPr>
              <w:spacing w:after="0"/>
              <w:jc w:val="center"/>
              <w:rPr>
                <w:rFonts w:cstheme="minorHAnsi"/>
                <w:b/>
                <w:color w:val="FFFFFF"/>
                <w:sz w:val="18"/>
                <w:szCs w:val="18"/>
              </w:rPr>
            </w:pPr>
            <w:r w:rsidRPr="000819FA">
              <w:rPr>
                <w:rFonts w:cstheme="minorHAnsi"/>
                <w:b/>
                <w:color w:val="FFFFFF"/>
                <w:sz w:val="18"/>
                <w:szCs w:val="18"/>
              </w:rPr>
              <w:t>Patient</w:t>
            </w:r>
            <w:r>
              <w:rPr>
                <w:rFonts w:cstheme="minorHAnsi"/>
                <w:b/>
                <w:color w:val="FFFFFF"/>
                <w:sz w:val="18"/>
                <w:szCs w:val="18"/>
              </w:rPr>
              <w:t xml:space="preserve"> </w:t>
            </w:r>
            <w:r w:rsidRPr="000819FA">
              <w:rPr>
                <w:rFonts w:cstheme="minorHAnsi"/>
                <w:b/>
                <w:color w:val="FFFFFF"/>
                <w:sz w:val="18"/>
                <w:szCs w:val="18"/>
              </w:rPr>
              <w:t>surveys</w:t>
            </w:r>
            <w:r w:rsidRPr="00FC268E">
              <w:rPr>
                <w:rFonts w:cstheme="minorHAnsi"/>
                <w:b/>
                <w:color w:val="FFFFFF"/>
                <w:sz w:val="18"/>
                <w:szCs w:val="18"/>
                <w:vertAlign w:val="superscript"/>
              </w:rPr>
              <w:t>2</w:t>
            </w:r>
          </w:p>
          <w:p w14:paraId="46B1E415" w14:textId="77777777" w:rsidR="001C19F3" w:rsidRPr="000819FA" w:rsidRDefault="001C19F3" w:rsidP="00521305">
            <w:pPr>
              <w:spacing w:after="0"/>
              <w:jc w:val="center"/>
              <w:rPr>
                <w:rFonts w:cstheme="minorHAnsi"/>
                <w:sz w:val="18"/>
                <w:szCs w:val="18"/>
              </w:rPr>
            </w:pPr>
            <w:r w:rsidRPr="000819FA">
              <w:rPr>
                <w:rFonts w:cstheme="minorHAnsi"/>
                <w:b/>
                <w:color w:val="FFFFFF"/>
                <w:sz w:val="18"/>
                <w:szCs w:val="18"/>
              </w:rPr>
              <w:t>n (%)</w:t>
            </w:r>
          </w:p>
        </w:tc>
        <w:tc>
          <w:tcPr>
            <w:tcW w:w="834" w:type="pct"/>
            <w:vMerge w:val="restart"/>
            <w:shd w:val="clear" w:color="auto" w:fill="003D79"/>
            <w:vAlign w:val="center"/>
          </w:tcPr>
          <w:p w14:paraId="3187DE09" w14:textId="77777777" w:rsidR="001C19F3" w:rsidRPr="000819FA" w:rsidRDefault="001C19F3" w:rsidP="00521305">
            <w:pPr>
              <w:spacing w:after="0"/>
              <w:jc w:val="center"/>
              <w:rPr>
                <w:rFonts w:cstheme="minorHAnsi"/>
                <w:b/>
                <w:color w:val="FFFFFF"/>
                <w:sz w:val="18"/>
                <w:szCs w:val="18"/>
              </w:rPr>
            </w:pPr>
            <w:r w:rsidRPr="000819FA">
              <w:rPr>
                <w:rFonts w:cstheme="minorHAnsi"/>
                <w:b/>
                <w:color w:val="FFFFFF"/>
                <w:sz w:val="18"/>
                <w:szCs w:val="18"/>
              </w:rPr>
              <w:t>Practice data extracts</w:t>
            </w:r>
            <w:r w:rsidRPr="00FC268E">
              <w:rPr>
                <w:rFonts w:cstheme="minorHAnsi"/>
                <w:b/>
                <w:color w:val="FFFFFF"/>
                <w:sz w:val="18"/>
                <w:szCs w:val="18"/>
                <w:vertAlign w:val="superscript"/>
              </w:rPr>
              <w:t>3</w:t>
            </w:r>
          </w:p>
        </w:tc>
      </w:tr>
      <w:tr w:rsidR="001C19F3" w14:paraId="26C69464" w14:textId="77777777" w:rsidTr="00521305">
        <w:trPr>
          <w:cantSplit/>
          <w:trHeight w:val="336"/>
          <w:tblHeader/>
          <w:jc w:val="center"/>
        </w:trPr>
        <w:tc>
          <w:tcPr>
            <w:tcW w:w="833" w:type="pct"/>
            <w:vMerge/>
            <w:vAlign w:val="center"/>
            <w:hideMark/>
          </w:tcPr>
          <w:p w14:paraId="5BE980AD" w14:textId="77777777" w:rsidR="001C19F3" w:rsidRPr="000819FA" w:rsidRDefault="001C19F3" w:rsidP="00521305">
            <w:pPr>
              <w:spacing w:after="0"/>
              <w:jc w:val="center"/>
              <w:rPr>
                <w:rFonts w:cstheme="minorHAnsi"/>
                <w:sz w:val="18"/>
                <w:szCs w:val="18"/>
              </w:rPr>
            </w:pPr>
          </w:p>
        </w:tc>
        <w:tc>
          <w:tcPr>
            <w:tcW w:w="833" w:type="pct"/>
            <w:shd w:val="clear" w:color="auto" w:fill="003D79"/>
            <w:tcMar>
              <w:top w:w="0" w:type="dxa"/>
              <w:left w:w="0" w:type="dxa"/>
              <w:bottom w:w="0" w:type="dxa"/>
              <w:right w:w="0" w:type="dxa"/>
            </w:tcMar>
            <w:vAlign w:val="center"/>
            <w:hideMark/>
          </w:tcPr>
          <w:p w14:paraId="27FA4989" w14:textId="77777777" w:rsidR="001C19F3" w:rsidRPr="000819FA" w:rsidRDefault="001C19F3" w:rsidP="00521305">
            <w:pPr>
              <w:spacing w:after="0"/>
              <w:jc w:val="center"/>
              <w:rPr>
                <w:rFonts w:cstheme="minorHAnsi"/>
                <w:sz w:val="18"/>
                <w:szCs w:val="18"/>
              </w:rPr>
            </w:pPr>
            <w:r w:rsidRPr="000819FA">
              <w:rPr>
                <w:rFonts w:cstheme="minorHAnsi"/>
                <w:b/>
                <w:color w:val="FFFFFF"/>
                <w:sz w:val="18"/>
                <w:szCs w:val="18"/>
              </w:rPr>
              <w:t>Active</w:t>
            </w:r>
            <w:r>
              <w:rPr>
                <w:rFonts w:cstheme="minorHAnsi"/>
                <w:b/>
                <w:color w:val="FFFFFF"/>
                <w:sz w:val="18"/>
                <w:szCs w:val="18"/>
              </w:rPr>
              <w:t xml:space="preserve"> </w:t>
            </w:r>
            <w:r w:rsidRPr="000819FA">
              <w:rPr>
                <w:rFonts w:cstheme="minorHAnsi"/>
                <w:b/>
                <w:color w:val="FFFFFF"/>
                <w:sz w:val="18"/>
                <w:szCs w:val="18"/>
              </w:rPr>
              <w:t>n (%)</w:t>
            </w:r>
          </w:p>
        </w:tc>
        <w:tc>
          <w:tcPr>
            <w:tcW w:w="833" w:type="pct"/>
            <w:shd w:val="clear" w:color="auto" w:fill="003D79"/>
            <w:tcMar>
              <w:top w:w="0" w:type="dxa"/>
              <w:left w:w="0" w:type="dxa"/>
              <w:bottom w:w="0" w:type="dxa"/>
              <w:right w:w="0" w:type="dxa"/>
            </w:tcMar>
            <w:vAlign w:val="center"/>
            <w:hideMark/>
          </w:tcPr>
          <w:p w14:paraId="47E3DAB2" w14:textId="77777777" w:rsidR="001C19F3" w:rsidRPr="000819FA" w:rsidRDefault="001C19F3" w:rsidP="00521305">
            <w:pPr>
              <w:spacing w:after="0"/>
              <w:jc w:val="center"/>
              <w:rPr>
                <w:rFonts w:cstheme="minorHAnsi"/>
                <w:sz w:val="18"/>
                <w:szCs w:val="18"/>
              </w:rPr>
            </w:pPr>
            <w:r w:rsidRPr="000819FA">
              <w:rPr>
                <w:rFonts w:cstheme="minorHAnsi"/>
                <w:b/>
                <w:color w:val="FFFFFF"/>
                <w:sz w:val="18"/>
                <w:szCs w:val="18"/>
              </w:rPr>
              <w:t>Withdrawn n (%)</w:t>
            </w:r>
          </w:p>
        </w:tc>
        <w:tc>
          <w:tcPr>
            <w:tcW w:w="834" w:type="pct"/>
            <w:shd w:val="clear" w:color="auto" w:fill="003D79"/>
            <w:tcMar>
              <w:top w:w="0" w:type="dxa"/>
              <w:left w:w="0" w:type="dxa"/>
              <w:bottom w:w="0" w:type="dxa"/>
              <w:right w:w="0" w:type="dxa"/>
            </w:tcMar>
            <w:vAlign w:val="center"/>
            <w:hideMark/>
          </w:tcPr>
          <w:p w14:paraId="0B49B4E9" w14:textId="77777777" w:rsidR="001C19F3" w:rsidRPr="000819FA" w:rsidRDefault="001C19F3" w:rsidP="00521305">
            <w:pPr>
              <w:spacing w:after="0"/>
              <w:jc w:val="center"/>
              <w:rPr>
                <w:rFonts w:cstheme="minorHAnsi"/>
                <w:sz w:val="18"/>
                <w:szCs w:val="18"/>
              </w:rPr>
            </w:pPr>
            <w:r w:rsidRPr="000819FA">
              <w:rPr>
                <w:rFonts w:cstheme="minorHAnsi"/>
                <w:b/>
                <w:color w:val="FFFFFF"/>
                <w:sz w:val="18"/>
                <w:szCs w:val="18"/>
              </w:rPr>
              <w:t>Total n (%)</w:t>
            </w:r>
          </w:p>
        </w:tc>
        <w:tc>
          <w:tcPr>
            <w:tcW w:w="833" w:type="pct"/>
            <w:vMerge/>
            <w:shd w:val="clear" w:color="auto" w:fill="003D79"/>
            <w:tcMar>
              <w:top w:w="0" w:type="dxa"/>
              <w:left w:w="0" w:type="dxa"/>
              <w:bottom w:w="0" w:type="dxa"/>
              <w:right w:w="0" w:type="dxa"/>
            </w:tcMar>
            <w:vAlign w:val="center"/>
            <w:hideMark/>
          </w:tcPr>
          <w:p w14:paraId="25AE04BF" w14:textId="77777777" w:rsidR="001C19F3" w:rsidRPr="000819FA" w:rsidRDefault="001C19F3" w:rsidP="00521305">
            <w:pPr>
              <w:spacing w:after="0"/>
              <w:jc w:val="center"/>
              <w:rPr>
                <w:rFonts w:cstheme="minorHAnsi"/>
                <w:sz w:val="18"/>
                <w:szCs w:val="18"/>
              </w:rPr>
            </w:pPr>
          </w:p>
        </w:tc>
        <w:tc>
          <w:tcPr>
            <w:tcW w:w="834" w:type="pct"/>
            <w:vMerge/>
            <w:shd w:val="clear" w:color="auto" w:fill="003D79"/>
          </w:tcPr>
          <w:p w14:paraId="1FF8CC69" w14:textId="77777777" w:rsidR="001C19F3" w:rsidRPr="000819FA" w:rsidRDefault="001C19F3" w:rsidP="00521305">
            <w:pPr>
              <w:spacing w:after="0"/>
              <w:jc w:val="center"/>
              <w:rPr>
                <w:rFonts w:cstheme="minorHAnsi"/>
                <w:b/>
                <w:color w:val="FFFFFF"/>
                <w:sz w:val="18"/>
                <w:szCs w:val="18"/>
              </w:rPr>
            </w:pPr>
          </w:p>
        </w:tc>
      </w:tr>
      <w:tr w:rsidR="001C19F3" w14:paraId="61F9BA9A" w14:textId="77777777" w:rsidTr="00521305">
        <w:trPr>
          <w:cantSplit/>
          <w:trHeight w:val="288"/>
          <w:jc w:val="center"/>
        </w:trPr>
        <w:tc>
          <w:tcPr>
            <w:tcW w:w="833" w:type="pct"/>
            <w:tcMar>
              <w:top w:w="0" w:type="dxa"/>
              <w:left w:w="0" w:type="dxa"/>
              <w:bottom w:w="0" w:type="dxa"/>
              <w:right w:w="0" w:type="dxa"/>
            </w:tcMar>
            <w:vAlign w:val="center"/>
            <w:hideMark/>
          </w:tcPr>
          <w:p w14:paraId="2B37754E" w14:textId="77777777" w:rsidR="001C19F3" w:rsidRPr="005F4A16" w:rsidRDefault="001C19F3" w:rsidP="00521305">
            <w:pPr>
              <w:spacing w:before="40" w:after="40"/>
              <w:ind w:left="160" w:right="40"/>
              <w:rPr>
                <w:rFonts w:cstheme="minorHAnsi"/>
                <w:b/>
                <w:sz w:val="18"/>
                <w:szCs w:val="18"/>
              </w:rPr>
            </w:pPr>
            <w:r w:rsidRPr="005F4A16">
              <w:rPr>
                <w:rFonts w:cstheme="minorHAnsi"/>
                <w:b/>
                <w:color w:val="000000"/>
                <w:sz w:val="18"/>
                <w:szCs w:val="18"/>
              </w:rPr>
              <w:t>Total patients</w:t>
            </w:r>
          </w:p>
        </w:tc>
        <w:tc>
          <w:tcPr>
            <w:tcW w:w="833" w:type="pct"/>
            <w:tcMar>
              <w:top w:w="0" w:type="dxa"/>
              <w:left w:w="0" w:type="dxa"/>
              <w:bottom w:w="0" w:type="dxa"/>
              <w:right w:w="0" w:type="dxa"/>
            </w:tcMar>
            <w:vAlign w:val="center"/>
            <w:hideMark/>
          </w:tcPr>
          <w:p w14:paraId="099BF4ED" w14:textId="77777777" w:rsidR="001C19F3" w:rsidRPr="005F4A16" w:rsidRDefault="001C19F3" w:rsidP="00521305">
            <w:pPr>
              <w:spacing w:before="40" w:after="40"/>
              <w:ind w:left="40" w:right="40"/>
              <w:jc w:val="center"/>
              <w:rPr>
                <w:rFonts w:cstheme="minorHAnsi"/>
                <w:b/>
                <w:sz w:val="18"/>
                <w:szCs w:val="18"/>
              </w:rPr>
            </w:pPr>
            <w:r w:rsidRPr="005F4A16">
              <w:rPr>
                <w:rFonts w:cstheme="minorHAnsi"/>
                <w:b/>
                <w:color w:val="000000"/>
                <w:sz w:val="18"/>
                <w:szCs w:val="18"/>
              </w:rPr>
              <w:t>10,214 (100.0%)</w:t>
            </w:r>
          </w:p>
        </w:tc>
        <w:tc>
          <w:tcPr>
            <w:tcW w:w="833" w:type="pct"/>
            <w:tcMar>
              <w:top w:w="0" w:type="dxa"/>
              <w:left w:w="0" w:type="dxa"/>
              <w:bottom w:w="0" w:type="dxa"/>
              <w:right w:w="0" w:type="dxa"/>
            </w:tcMar>
            <w:vAlign w:val="center"/>
            <w:hideMark/>
          </w:tcPr>
          <w:p w14:paraId="3F0FD56E" w14:textId="77777777" w:rsidR="001C19F3" w:rsidRPr="005F4A16" w:rsidRDefault="001C19F3" w:rsidP="00521305">
            <w:pPr>
              <w:spacing w:before="40" w:after="40"/>
              <w:ind w:left="40" w:right="40"/>
              <w:jc w:val="center"/>
              <w:rPr>
                <w:rFonts w:cstheme="minorHAnsi"/>
                <w:b/>
                <w:sz w:val="18"/>
                <w:szCs w:val="18"/>
              </w:rPr>
            </w:pPr>
            <w:r w:rsidRPr="005F4A16">
              <w:rPr>
                <w:rFonts w:cstheme="minorHAnsi"/>
                <w:b/>
                <w:color w:val="000000"/>
                <w:sz w:val="18"/>
                <w:szCs w:val="18"/>
              </w:rPr>
              <w:t>1,065 (100.0%)</w:t>
            </w:r>
          </w:p>
        </w:tc>
        <w:tc>
          <w:tcPr>
            <w:tcW w:w="834" w:type="pct"/>
            <w:tcMar>
              <w:top w:w="0" w:type="dxa"/>
              <w:left w:w="0" w:type="dxa"/>
              <w:bottom w:w="0" w:type="dxa"/>
              <w:right w:w="0" w:type="dxa"/>
            </w:tcMar>
            <w:vAlign w:val="center"/>
            <w:hideMark/>
          </w:tcPr>
          <w:p w14:paraId="5D7BB2AD" w14:textId="77777777" w:rsidR="001C19F3" w:rsidRPr="005F4A16" w:rsidRDefault="001C19F3" w:rsidP="00521305">
            <w:pPr>
              <w:spacing w:before="40" w:after="40"/>
              <w:ind w:left="40" w:right="40"/>
              <w:jc w:val="center"/>
              <w:rPr>
                <w:rFonts w:cstheme="minorHAnsi"/>
                <w:b/>
                <w:sz w:val="18"/>
                <w:szCs w:val="18"/>
              </w:rPr>
            </w:pPr>
            <w:r w:rsidRPr="005F4A16">
              <w:rPr>
                <w:rFonts w:cstheme="minorHAnsi"/>
                <w:b/>
                <w:color w:val="000000"/>
                <w:sz w:val="18"/>
                <w:szCs w:val="18"/>
              </w:rPr>
              <w:t>11,279 (100.0%)</w:t>
            </w:r>
          </w:p>
        </w:tc>
        <w:tc>
          <w:tcPr>
            <w:tcW w:w="833" w:type="pct"/>
            <w:tcMar>
              <w:top w:w="0" w:type="dxa"/>
              <w:left w:w="0" w:type="dxa"/>
              <w:bottom w:w="0" w:type="dxa"/>
              <w:right w:w="0" w:type="dxa"/>
            </w:tcMar>
            <w:vAlign w:val="center"/>
            <w:hideMark/>
          </w:tcPr>
          <w:p w14:paraId="6D828F41" w14:textId="77777777" w:rsidR="001C19F3" w:rsidRPr="005F4A16" w:rsidRDefault="001C19F3" w:rsidP="00521305">
            <w:pPr>
              <w:spacing w:before="40" w:after="40"/>
              <w:ind w:left="40" w:right="40"/>
              <w:jc w:val="center"/>
              <w:rPr>
                <w:rFonts w:cstheme="minorHAnsi"/>
                <w:b/>
                <w:sz w:val="18"/>
                <w:szCs w:val="18"/>
              </w:rPr>
            </w:pPr>
            <w:r w:rsidRPr="005F4A16">
              <w:rPr>
                <w:rFonts w:cstheme="minorHAnsi"/>
                <w:b/>
                <w:color w:val="000000"/>
                <w:sz w:val="18"/>
                <w:szCs w:val="18"/>
              </w:rPr>
              <w:t>2,018 (100%)</w:t>
            </w:r>
          </w:p>
        </w:tc>
        <w:tc>
          <w:tcPr>
            <w:tcW w:w="834" w:type="pct"/>
          </w:tcPr>
          <w:p w14:paraId="44BEACD8" w14:textId="77777777" w:rsidR="001C19F3" w:rsidRPr="005F4A16" w:rsidRDefault="001C19F3" w:rsidP="00521305">
            <w:pPr>
              <w:spacing w:before="40" w:after="40"/>
              <w:ind w:left="40" w:right="40"/>
              <w:jc w:val="center"/>
              <w:rPr>
                <w:rFonts w:cstheme="minorHAnsi"/>
                <w:b/>
                <w:color w:val="000000"/>
                <w:sz w:val="18"/>
                <w:szCs w:val="18"/>
              </w:rPr>
            </w:pPr>
            <w:r w:rsidRPr="003C7082">
              <w:rPr>
                <w:b/>
                <w:color w:val="000000"/>
                <w:sz w:val="18"/>
                <w:szCs w:val="18"/>
              </w:rPr>
              <w:t>8</w:t>
            </w:r>
            <w:r>
              <w:rPr>
                <w:b/>
                <w:color w:val="000000"/>
                <w:sz w:val="18"/>
                <w:szCs w:val="18"/>
              </w:rPr>
              <w:t>,</w:t>
            </w:r>
            <w:r w:rsidRPr="003C7082">
              <w:rPr>
                <w:b/>
                <w:color w:val="000000"/>
                <w:sz w:val="18"/>
                <w:szCs w:val="18"/>
              </w:rPr>
              <w:t xml:space="preserve">336 </w:t>
            </w:r>
            <w:r w:rsidRPr="005F4A16">
              <w:rPr>
                <w:b/>
                <w:color w:val="000000"/>
                <w:sz w:val="18"/>
                <w:szCs w:val="18"/>
              </w:rPr>
              <w:t>(100%)</w:t>
            </w:r>
          </w:p>
        </w:tc>
      </w:tr>
      <w:tr w:rsidR="001C19F3" w14:paraId="5E0D30B7" w14:textId="77777777" w:rsidTr="00521305">
        <w:trPr>
          <w:cantSplit/>
          <w:trHeight w:val="288"/>
          <w:jc w:val="center"/>
        </w:trPr>
        <w:tc>
          <w:tcPr>
            <w:tcW w:w="5000" w:type="pct"/>
            <w:gridSpan w:val="6"/>
            <w:shd w:val="clear" w:color="auto" w:fill="auto"/>
            <w:tcMar>
              <w:top w:w="0" w:type="dxa"/>
              <w:left w:w="0" w:type="dxa"/>
              <w:bottom w:w="0" w:type="dxa"/>
              <w:right w:w="0" w:type="dxa"/>
            </w:tcMar>
            <w:vAlign w:val="center"/>
            <w:hideMark/>
          </w:tcPr>
          <w:p w14:paraId="44788182" w14:textId="77777777" w:rsidR="001C19F3" w:rsidRPr="000819FA" w:rsidRDefault="001C19F3" w:rsidP="00521305">
            <w:pPr>
              <w:spacing w:before="40" w:after="40"/>
              <w:ind w:left="40" w:right="40"/>
              <w:jc w:val="center"/>
              <w:rPr>
                <w:rFonts w:cstheme="minorHAnsi"/>
                <w:sz w:val="18"/>
                <w:szCs w:val="18"/>
              </w:rPr>
            </w:pPr>
            <w:r w:rsidRPr="000819FA">
              <w:rPr>
                <w:rFonts w:cstheme="minorHAnsi"/>
                <w:b/>
                <w:color w:val="000000"/>
                <w:sz w:val="18"/>
                <w:szCs w:val="18"/>
              </w:rPr>
              <w:t>HCH tier</w:t>
            </w:r>
          </w:p>
        </w:tc>
      </w:tr>
      <w:tr w:rsidR="001C19F3" w14:paraId="1DDE5F30" w14:textId="77777777" w:rsidTr="00521305">
        <w:trPr>
          <w:cantSplit/>
          <w:trHeight w:val="288"/>
          <w:jc w:val="center"/>
        </w:trPr>
        <w:tc>
          <w:tcPr>
            <w:tcW w:w="833" w:type="pct"/>
            <w:tcMar>
              <w:top w:w="0" w:type="dxa"/>
              <w:left w:w="0" w:type="dxa"/>
              <w:bottom w:w="0" w:type="dxa"/>
              <w:right w:w="0" w:type="dxa"/>
            </w:tcMar>
            <w:vAlign w:val="center"/>
            <w:hideMark/>
          </w:tcPr>
          <w:p w14:paraId="3B12CA2D"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Tier 1</w:t>
            </w:r>
          </w:p>
        </w:tc>
        <w:tc>
          <w:tcPr>
            <w:tcW w:w="833" w:type="pct"/>
            <w:tcMar>
              <w:top w:w="0" w:type="dxa"/>
              <w:left w:w="0" w:type="dxa"/>
              <w:bottom w:w="0" w:type="dxa"/>
              <w:right w:w="0" w:type="dxa"/>
            </w:tcMar>
            <w:vAlign w:val="center"/>
            <w:hideMark/>
          </w:tcPr>
          <w:p w14:paraId="5AE2F730"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1,770 (17.3%)</w:t>
            </w:r>
          </w:p>
        </w:tc>
        <w:tc>
          <w:tcPr>
            <w:tcW w:w="833" w:type="pct"/>
            <w:tcMar>
              <w:top w:w="0" w:type="dxa"/>
              <w:left w:w="0" w:type="dxa"/>
              <w:bottom w:w="0" w:type="dxa"/>
              <w:right w:w="0" w:type="dxa"/>
            </w:tcMar>
            <w:vAlign w:val="center"/>
            <w:hideMark/>
          </w:tcPr>
          <w:p w14:paraId="5031DA48"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153 (14.4%)</w:t>
            </w:r>
          </w:p>
        </w:tc>
        <w:tc>
          <w:tcPr>
            <w:tcW w:w="834" w:type="pct"/>
            <w:tcMar>
              <w:top w:w="0" w:type="dxa"/>
              <w:left w:w="0" w:type="dxa"/>
              <w:bottom w:w="0" w:type="dxa"/>
              <w:right w:w="0" w:type="dxa"/>
            </w:tcMar>
            <w:vAlign w:val="center"/>
            <w:hideMark/>
          </w:tcPr>
          <w:p w14:paraId="238FE0F0"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1,923 (17.0%)</w:t>
            </w:r>
          </w:p>
        </w:tc>
        <w:tc>
          <w:tcPr>
            <w:tcW w:w="833" w:type="pct"/>
            <w:tcMar>
              <w:top w:w="0" w:type="dxa"/>
              <w:left w:w="0" w:type="dxa"/>
              <w:bottom w:w="0" w:type="dxa"/>
              <w:right w:w="0" w:type="dxa"/>
            </w:tcMar>
            <w:vAlign w:val="center"/>
            <w:hideMark/>
          </w:tcPr>
          <w:p w14:paraId="61B5166D"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442 (22.7%)</w:t>
            </w:r>
          </w:p>
        </w:tc>
        <w:tc>
          <w:tcPr>
            <w:tcW w:w="834" w:type="pct"/>
          </w:tcPr>
          <w:p w14:paraId="7B2A391F" w14:textId="77777777" w:rsidR="001C19F3" w:rsidRPr="000819FA" w:rsidRDefault="001C19F3" w:rsidP="00521305">
            <w:pPr>
              <w:spacing w:before="40" w:after="40"/>
              <w:ind w:left="40" w:right="40"/>
              <w:jc w:val="center"/>
              <w:rPr>
                <w:rFonts w:cstheme="minorHAnsi"/>
                <w:color w:val="000000"/>
                <w:sz w:val="18"/>
                <w:szCs w:val="18"/>
              </w:rPr>
            </w:pPr>
            <w:r w:rsidRPr="00D77C05">
              <w:rPr>
                <w:color w:val="000000"/>
                <w:sz w:val="18"/>
                <w:szCs w:val="18"/>
              </w:rPr>
              <w:t>1</w:t>
            </w:r>
            <w:r>
              <w:rPr>
                <w:color w:val="000000"/>
                <w:sz w:val="18"/>
                <w:szCs w:val="18"/>
              </w:rPr>
              <w:t>,</w:t>
            </w:r>
            <w:r w:rsidRPr="00D77C05">
              <w:rPr>
                <w:color w:val="000000"/>
                <w:sz w:val="18"/>
                <w:szCs w:val="18"/>
              </w:rPr>
              <w:t>480 (18.2%)</w:t>
            </w:r>
          </w:p>
        </w:tc>
      </w:tr>
      <w:tr w:rsidR="001C19F3" w14:paraId="0E6BE328" w14:textId="77777777" w:rsidTr="00521305">
        <w:trPr>
          <w:cantSplit/>
          <w:trHeight w:val="288"/>
          <w:jc w:val="center"/>
        </w:trPr>
        <w:tc>
          <w:tcPr>
            <w:tcW w:w="833" w:type="pct"/>
            <w:tcMar>
              <w:top w:w="0" w:type="dxa"/>
              <w:left w:w="0" w:type="dxa"/>
              <w:bottom w:w="0" w:type="dxa"/>
              <w:right w:w="0" w:type="dxa"/>
            </w:tcMar>
            <w:vAlign w:val="center"/>
            <w:hideMark/>
          </w:tcPr>
          <w:p w14:paraId="76F670E7"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Tier 2</w:t>
            </w:r>
          </w:p>
        </w:tc>
        <w:tc>
          <w:tcPr>
            <w:tcW w:w="833" w:type="pct"/>
            <w:tcMar>
              <w:top w:w="0" w:type="dxa"/>
              <w:left w:w="0" w:type="dxa"/>
              <w:bottom w:w="0" w:type="dxa"/>
              <w:right w:w="0" w:type="dxa"/>
            </w:tcMar>
            <w:vAlign w:val="center"/>
            <w:hideMark/>
          </w:tcPr>
          <w:p w14:paraId="67563E29"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5,049 (49.4%)</w:t>
            </w:r>
          </w:p>
        </w:tc>
        <w:tc>
          <w:tcPr>
            <w:tcW w:w="833" w:type="pct"/>
            <w:tcMar>
              <w:top w:w="0" w:type="dxa"/>
              <w:left w:w="0" w:type="dxa"/>
              <w:bottom w:w="0" w:type="dxa"/>
              <w:right w:w="0" w:type="dxa"/>
            </w:tcMar>
            <w:vAlign w:val="center"/>
            <w:hideMark/>
          </w:tcPr>
          <w:p w14:paraId="729B88A1"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470 (44.1%)</w:t>
            </w:r>
          </w:p>
        </w:tc>
        <w:tc>
          <w:tcPr>
            <w:tcW w:w="834" w:type="pct"/>
            <w:tcMar>
              <w:top w:w="0" w:type="dxa"/>
              <w:left w:w="0" w:type="dxa"/>
              <w:bottom w:w="0" w:type="dxa"/>
              <w:right w:w="0" w:type="dxa"/>
            </w:tcMar>
            <w:vAlign w:val="center"/>
            <w:hideMark/>
          </w:tcPr>
          <w:p w14:paraId="53D56B3E"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5,519 (48.9%)</w:t>
            </w:r>
          </w:p>
        </w:tc>
        <w:tc>
          <w:tcPr>
            <w:tcW w:w="833" w:type="pct"/>
            <w:tcMar>
              <w:top w:w="0" w:type="dxa"/>
              <w:left w:w="0" w:type="dxa"/>
              <w:bottom w:w="0" w:type="dxa"/>
              <w:right w:w="0" w:type="dxa"/>
            </w:tcMar>
            <w:vAlign w:val="center"/>
            <w:hideMark/>
          </w:tcPr>
          <w:p w14:paraId="3D8012F3"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1,034 (53.1%)</w:t>
            </w:r>
          </w:p>
        </w:tc>
        <w:tc>
          <w:tcPr>
            <w:tcW w:w="834" w:type="pct"/>
          </w:tcPr>
          <w:p w14:paraId="7563BD8E" w14:textId="77777777" w:rsidR="001C19F3" w:rsidRPr="000819FA" w:rsidRDefault="001C19F3" w:rsidP="00521305">
            <w:pPr>
              <w:spacing w:before="40" w:after="40"/>
              <w:ind w:left="40" w:right="40"/>
              <w:jc w:val="center"/>
              <w:rPr>
                <w:rFonts w:cstheme="minorHAnsi"/>
                <w:color w:val="000000"/>
                <w:sz w:val="18"/>
                <w:szCs w:val="18"/>
              </w:rPr>
            </w:pPr>
            <w:r w:rsidRPr="0087132B">
              <w:rPr>
                <w:color w:val="000000"/>
                <w:sz w:val="18"/>
                <w:szCs w:val="18"/>
              </w:rPr>
              <w:t>3</w:t>
            </w:r>
            <w:r>
              <w:rPr>
                <w:color w:val="000000"/>
                <w:sz w:val="18"/>
                <w:szCs w:val="18"/>
              </w:rPr>
              <w:t>,</w:t>
            </w:r>
            <w:r w:rsidRPr="0087132B">
              <w:rPr>
                <w:color w:val="000000"/>
                <w:sz w:val="18"/>
                <w:szCs w:val="18"/>
              </w:rPr>
              <w:t>970 (48.7%)</w:t>
            </w:r>
          </w:p>
        </w:tc>
      </w:tr>
      <w:tr w:rsidR="001C19F3" w14:paraId="1195E80F" w14:textId="77777777" w:rsidTr="00521305">
        <w:trPr>
          <w:cantSplit/>
          <w:trHeight w:val="288"/>
          <w:jc w:val="center"/>
        </w:trPr>
        <w:tc>
          <w:tcPr>
            <w:tcW w:w="833" w:type="pct"/>
            <w:tcMar>
              <w:top w:w="0" w:type="dxa"/>
              <w:left w:w="0" w:type="dxa"/>
              <w:bottom w:w="0" w:type="dxa"/>
              <w:right w:w="0" w:type="dxa"/>
            </w:tcMar>
            <w:vAlign w:val="center"/>
            <w:hideMark/>
          </w:tcPr>
          <w:p w14:paraId="5BF61EAA"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Tier 3</w:t>
            </w:r>
          </w:p>
        </w:tc>
        <w:tc>
          <w:tcPr>
            <w:tcW w:w="833" w:type="pct"/>
            <w:tcMar>
              <w:top w:w="0" w:type="dxa"/>
              <w:left w:w="0" w:type="dxa"/>
              <w:bottom w:w="0" w:type="dxa"/>
              <w:right w:w="0" w:type="dxa"/>
            </w:tcMar>
            <w:vAlign w:val="center"/>
            <w:hideMark/>
          </w:tcPr>
          <w:p w14:paraId="0C035540"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3,395 (33.2%)</w:t>
            </w:r>
          </w:p>
        </w:tc>
        <w:tc>
          <w:tcPr>
            <w:tcW w:w="833" w:type="pct"/>
            <w:tcMar>
              <w:top w:w="0" w:type="dxa"/>
              <w:left w:w="0" w:type="dxa"/>
              <w:bottom w:w="0" w:type="dxa"/>
              <w:right w:w="0" w:type="dxa"/>
            </w:tcMar>
            <w:vAlign w:val="center"/>
            <w:hideMark/>
          </w:tcPr>
          <w:p w14:paraId="76EA2488"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442 (41.5%)</w:t>
            </w:r>
          </w:p>
        </w:tc>
        <w:tc>
          <w:tcPr>
            <w:tcW w:w="834" w:type="pct"/>
            <w:tcMar>
              <w:top w:w="0" w:type="dxa"/>
              <w:left w:w="0" w:type="dxa"/>
              <w:bottom w:w="0" w:type="dxa"/>
              <w:right w:w="0" w:type="dxa"/>
            </w:tcMar>
            <w:vAlign w:val="center"/>
            <w:hideMark/>
          </w:tcPr>
          <w:p w14:paraId="0F885CA9"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3,837 (34.0%)</w:t>
            </w:r>
          </w:p>
        </w:tc>
        <w:tc>
          <w:tcPr>
            <w:tcW w:w="833" w:type="pct"/>
            <w:tcMar>
              <w:top w:w="0" w:type="dxa"/>
              <w:left w:w="0" w:type="dxa"/>
              <w:bottom w:w="0" w:type="dxa"/>
              <w:right w:w="0" w:type="dxa"/>
            </w:tcMar>
            <w:vAlign w:val="center"/>
            <w:hideMark/>
          </w:tcPr>
          <w:p w14:paraId="7D577E8E"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472 (24.2%)</w:t>
            </w:r>
          </w:p>
        </w:tc>
        <w:tc>
          <w:tcPr>
            <w:tcW w:w="834" w:type="pct"/>
          </w:tcPr>
          <w:p w14:paraId="209F1283" w14:textId="77777777" w:rsidR="001C19F3" w:rsidRPr="000819FA" w:rsidRDefault="001C19F3" w:rsidP="00521305">
            <w:pPr>
              <w:spacing w:before="40" w:after="40"/>
              <w:ind w:left="40" w:right="40"/>
              <w:jc w:val="center"/>
              <w:rPr>
                <w:rFonts w:cstheme="minorHAnsi"/>
                <w:color w:val="000000"/>
                <w:sz w:val="18"/>
                <w:szCs w:val="18"/>
              </w:rPr>
            </w:pPr>
            <w:r w:rsidRPr="00981FF9">
              <w:rPr>
                <w:color w:val="000000"/>
                <w:sz w:val="18"/>
                <w:szCs w:val="18"/>
              </w:rPr>
              <w:t>2</w:t>
            </w:r>
            <w:r>
              <w:rPr>
                <w:color w:val="000000"/>
                <w:sz w:val="18"/>
                <w:szCs w:val="18"/>
              </w:rPr>
              <w:t>,</w:t>
            </w:r>
            <w:r w:rsidRPr="00981FF9">
              <w:rPr>
                <w:color w:val="000000"/>
                <w:sz w:val="18"/>
                <w:szCs w:val="18"/>
              </w:rPr>
              <w:t>700 (33.1%)</w:t>
            </w:r>
          </w:p>
        </w:tc>
      </w:tr>
      <w:tr w:rsidR="001C19F3" w14:paraId="3DE0E11A" w14:textId="77777777" w:rsidTr="00521305">
        <w:trPr>
          <w:cantSplit/>
          <w:trHeight w:val="288"/>
          <w:jc w:val="center"/>
        </w:trPr>
        <w:tc>
          <w:tcPr>
            <w:tcW w:w="5000" w:type="pct"/>
            <w:gridSpan w:val="6"/>
            <w:shd w:val="clear" w:color="auto" w:fill="auto"/>
            <w:tcMar>
              <w:top w:w="0" w:type="dxa"/>
              <w:left w:w="0" w:type="dxa"/>
              <w:bottom w:w="0" w:type="dxa"/>
              <w:right w:w="0" w:type="dxa"/>
            </w:tcMar>
            <w:vAlign w:val="center"/>
            <w:hideMark/>
          </w:tcPr>
          <w:p w14:paraId="3EF45154" w14:textId="77777777" w:rsidR="001C19F3" w:rsidRPr="000819FA" w:rsidRDefault="001C19F3" w:rsidP="00521305">
            <w:pPr>
              <w:spacing w:before="40" w:after="40"/>
              <w:ind w:left="40" w:right="40"/>
              <w:jc w:val="center"/>
              <w:rPr>
                <w:rFonts w:cstheme="minorHAnsi"/>
                <w:sz w:val="18"/>
                <w:szCs w:val="18"/>
              </w:rPr>
            </w:pPr>
            <w:r w:rsidRPr="000819FA">
              <w:rPr>
                <w:rFonts w:cstheme="minorHAnsi"/>
                <w:b/>
                <w:color w:val="000000"/>
                <w:sz w:val="18"/>
                <w:szCs w:val="18"/>
              </w:rPr>
              <w:t>Sex</w:t>
            </w:r>
          </w:p>
        </w:tc>
      </w:tr>
      <w:tr w:rsidR="001C19F3" w14:paraId="41E20865" w14:textId="77777777" w:rsidTr="00521305">
        <w:trPr>
          <w:cantSplit/>
          <w:trHeight w:val="288"/>
          <w:jc w:val="center"/>
        </w:trPr>
        <w:tc>
          <w:tcPr>
            <w:tcW w:w="833" w:type="pct"/>
            <w:tcMar>
              <w:top w:w="0" w:type="dxa"/>
              <w:left w:w="0" w:type="dxa"/>
              <w:bottom w:w="0" w:type="dxa"/>
              <w:right w:w="0" w:type="dxa"/>
            </w:tcMar>
            <w:vAlign w:val="center"/>
            <w:hideMark/>
          </w:tcPr>
          <w:p w14:paraId="77287743"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Female</w:t>
            </w:r>
          </w:p>
        </w:tc>
        <w:tc>
          <w:tcPr>
            <w:tcW w:w="833" w:type="pct"/>
            <w:tcMar>
              <w:top w:w="0" w:type="dxa"/>
              <w:left w:w="0" w:type="dxa"/>
              <w:bottom w:w="0" w:type="dxa"/>
              <w:right w:w="0" w:type="dxa"/>
            </w:tcMar>
            <w:vAlign w:val="center"/>
            <w:hideMark/>
          </w:tcPr>
          <w:p w14:paraId="667436DB"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5,528 (54.1%)</w:t>
            </w:r>
          </w:p>
        </w:tc>
        <w:tc>
          <w:tcPr>
            <w:tcW w:w="833" w:type="pct"/>
            <w:tcMar>
              <w:top w:w="0" w:type="dxa"/>
              <w:left w:w="0" w:type="dxa"/>
              <w:bottom w:w="0" w:type="dxa"/>
              <w:right w:w="0" w:type="dxa"/>
            </w:tcMar>
            <w:vAlign w:val="center"/>
            <w:hideMark/>
          </w:tcPr>
          <w:p w14:paraId="13695098"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550 (51.6%)</w:t>
            </w:r>
          </w:p>
        </w:tc>
        <w:tc>
          <w:tcPr>
            <w:tcW w:w="834" w:type="pct"/>
            <w:tcMar>
              <w:top w:w="0" w:type="dxa"/>
              <w:left w:w="0" w:type="dxa"/>
              <w:bottom w:w="0" w:type="dxa"/>
              <w:right w:w="0" w:type="dxa"/>
            </w:tcMar>
            <w:vAlign w:val="center"/>
            <w:hideMark/>
          </w:tcPr>
          <w:p w14:paraId="4A459350"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6,078 (53.9%)</w:t>
            </w:r>
          </w:p>
        </w:tc>
        <w:tc>
          <w:tcPr>
            <w:tcW w:w="833" w:type="pct"/>
            <w:tcMar>
              <w:top w:w="0" w:type="dxa"/>
              <w:left w:w="0" w:type="dxa"/>
              <w:bottom w:w="0" w:type="dxa"/>
              <w:right w:w="0" w:type="dxa"/>
            </w:tcMar>
            <w:vAlign w:val="center"/>
            <w:hideMark/>
          </w:tcPr>
          <w:p w14:paraId="6A313176"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1,083 (54.4%)</w:t>
            </w:r>
          </w:p>
        </w:tc>
        <w:tc>
          <w:tcPr>
            <w:tcW w:w="834" w:type="pct"/>
          </w:tcPr>
          <w:p w14:paraId="7C436E0E" w14:textId="77777777" w:rsidR="001C19F3" w:rsidRPr="000819FA" w:rsidRDefault="001C19F3" w:rsidP="00521305">
            <w:pPr>
              <w:spacing w:before="40" w:after="40"/>
              <w:ind w:left="40" w:right="40"/>
              <w:jc w:val="center"/>
              <w:rPr>
                <w:rFonts w:cstheme="minorHAnsi"/>
                <w:color w:val="000000"/>
                <w:sz w:val="18"/>
                <w:szCs w:val="18"/>
              </w:rPr>
            </w:pPr>
            <w:r w:rsidRPr="00FB7852">
              <w:rPr>
                <w:color w:val="000000"/>
                <w:sz w:val="18"/>
                <w:szCs w:val="18"/>
              </w:rPr>
              <w:t>4</w:t>
            </w:r>
            <w:r>
              <w:rPr>
                <w:color w:val="000000"/>
                <w:sz w:val="18"/>
                <w:szCs w:val="18"/>
              </w:rPr>
              <w:t>,</w:t>
            </w:r>
            <w:r w:rsidRPr="00FB7852">
              <w:rPr>
                <w:color w:val="000000"/>
                <w:sz w:val="18"/>
                <w:szCs w:val="18"/>
              </w:rPr>
              <w:t>500</w:t>
            </w:r>
            <w:r w:rsidRPr="00FB7852" w:rsidDel="00FB7852">
              <w:rPr>
                <w:color w:val="000000"/>
                <w:sz w:val="18"/>
                <w:szCs w:val="18"/>
              </w:rPr>
              <w:t xml:space="preserve"> </w:t>
            </w:r>
            <w:r w:rsidRPr="000819FA">
              <w:rPr>
                <w:color w:val="000000"/>
                <w:sz w:val="18"/>
                <w:szCs w:val="18"/>
              </w:rPr>
              <w:t>(54.2%)</w:t>
            </w:r>
          </w:p>
        </w:tc>
      </w:tr>
      <w:tr w:rsidR="001C19F3" w14:paraId="04A8BF94" w14:textId="77777777" w:rsidTr="00521305">
        <w:trPr>
          <w:cantSplit/>
          <w:trHeight w:val="288"/>
          <w:jc w:val="center"/>
        </w:trPr>
        <w:tc>
          <w:tcPr>
            <w:tcW w:w="833" w:type="pct"/>
            <w:tcMar>
              <w:top w:w="0" w:type="dxa"/>
              <w:left w:w="0" w:type="dxa"/>
              <w:bottom w:w="0" w:type="dxa"/>
              <w:right w:w="0" w:type="dxa"/>
            </w:tcMar>
            <w:vAlign w:val="center"/>
            <w:hideMark/>
          </w:tcPr>
          <w:p w14:paraId="1768E788"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Male</w:t>
            </w:r>
          </w:p>
        </w:tc>
        <w:tc>
          <w:tcPr>
            <w:tcW w:w="833" w:type="pct"/>
            <w:tcMar>
              <w:top w:w="0" w:type="dxa"/>
              <w:left w:w="0" w:type="dxa"/>
              <w:bottom w:w="0" w:type="dxa"/>
              <w:right w:w="0" w:type="dxa"/>
            </w:tcMar>
            <w:vAlign w:val="center"/>
            <w:hideMark/>
          </w:tcPr>
          <w:p w14:paraId="2E8701E8"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4,686 (45.9%)</w:t>
            </w:r>
          </w:p>
        </w:tc>
        <w:tc>
          <w:tcPr>
            <w:tcW w:w="833" w:type="pct"/>
            <w:tcMar>
              <w:top w:w="0" w:type="dxa"/>
              <w:left w:w="0" w:type="dxa"/>
              <w:bottom w:w="0" w:type="dxa"/>
              <w:right w:w="0" w:type="dxa"/>
            </w:tcMar>
            <w:vAlign w:val="center"/>
            <w:hideMark/>
          </w:tcPr>
          <w:p w14:paraId="0C60EF49"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515 (48.4%)</w:t>
            </w:r>
          </w:p>
        </w:tc>
        <w:tc>
          <w:tcPr>
            <w:tcW w:w="834" w:type="pct"/>
            <w:tcMar>
              <w:top w:w="0" w:type="dxa"/>
              <w:left w:w="0" w:type="dxa"/>
              <w:bottom w:w="0" w:type="dxa"/>
              <w:right w:w="0" w:type="dxa"/>
            </w:tcMar>
            <w:vAlign w:val="center"/>
            <w:hideMark/>
          </w:tcPr>
          <w:p w14:paraId="7DC87A5D"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5,201 (46.1%)</w:t>
            </w:r>
          </w:p>
        </w:tc>
        <w:tc>
          <w:tcPr>
            <w:tcW w:w="833" w:type="pct"/>
            <w:tcMar>
              <w:top w:w="0" w:type="dxa"/>
              <w:left w:w="0" w:type="dxa"/>
              <w:bottom w:w="0" w:type="dxa"/>
              <w:right w:w="0" w:type="dxa"/>
            </w:tcMar>
            <w:vAlign w:val="center"/>
            <w:hideMark/>
          </w:tcPr>
          <w:p w14:paraId="0F0B407E"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908 (45.6%)</w:t>
            </w:r>
          </w:p>
        </w:tc>
        <w:tc>
          <w:tcPr>
            <w:tcW w:w="834" w:type="pct"/>
          </w:tcPr>
          <w:p w14:paraId="3DB5DB3E" w14:textId="77777777" w:rsidR="001C19F3" w:rsidRPr="000819FA" w:rsidRDefault="001C19F3" w:rsidP="00521305">
            <w:pPr>
              <w:spacing w:before="40" w:after="40"/>
              <w:ind w:left="40" w:right="40"/>
              <w:jc w:val="center"/>
              <w:rPr>
                <w:rFonts w:cstheme="minorHAnsi"/>
                <w:color w:val="000000"/>
                <w:sz w:val="18"/>
                <w:szCs w:val="18"/>
              </w:rPr>
            </w:pPr>
            <w:r>
              <w:rPr>
                <w:color w:val="000000"/>
                <w:sz w:val="18"/>
                <w:szCs w:val="18"/>
              </w:rPr>
              <w:t>3.799</w:t>
            </w:r>
            <w:r w:rsidRPr="000819FA">
              <w:rPr>
                <w:color w:val="000000"/>
                <w:sz w:val="18"/>
                <w:szCs w:val="18"/>
              </w:rPr>
              <w:t xml:space="preserve"> (45.8%)</w:t>
            </w:r>
          </w:p>
        </w:tc>
      </w:tr>
      <w:tr w:rsidR="001C19F3" w14:paraId="64ED7612" w14:textId="77777777" w:rsidTr="00521305">
        <w:trPr>
          <w:cantSplit/>
          <w:trHeight w:val="288"/>
          <w:jc w:val="center"/>
        </w:trPr>
        <w:tc>
          <w:tcPr>
            <w:tcW w:w="5000" w:type="pct"/>
            <w:gridSpan w:val="6"/>
            <w:shd w:val="clear" w:color="auto" w:fill="auto"/>
            <w:tcMar>
              <w:top w:w="0" w:type="dxa"/>
              <w:left w:w="0" w:type="dxa"/>
              <w:bottom w:w="0" w:type="dxa"/>
              <w:right w:w="0" w:type="dxa"/>
            </w:tcMar>
            <w:vAlign w:val="center"/>
            <w:hideMark/>
          </w:tcPr>
          <w:p w14:paraId="58CA5360" w14:textId="77777777" w:rsidR="001C19F3" w:rsidRPr="000819FA" w:rsidRDefault="001C19F3" w:rsidP="00521305">
            <w:pPr>
              <w:spacing w:before="40" w:after="40"/>
              <w:ind w:left="40" w:right="40"/>
              <w:jc w:val="center"/>
              <w:rPr>
                <w:rFonts w:cstheme="minorHAnsi"/>
                <w:sz w:val="18"/>
                <w:szCs w:val="18"/>
              </w:rPr>
            </w:pPr>
            <w:r w:rsidRPr="000819FA">
              <w:rPr>
                <w:rFonts w:cstheme="minorHAnsi"/>
                <w:b/>
                <w:color w:val="000000"/>
                <w:sz w:val="18"/>
                <w:szCs w:val="18"/>
              </w:rPr>
              <w:t>Age group (years)</w:t>
            </w:r>
          </w:p>
        </w:tc>
      </w:tr>
      <w:tr w:rsidR="001C19F3" w14:paraId="63AF5293" w14:textId="77777777" w:rsidTr="00521305">
        <w:trPr>
          <w:cantSplit/>
          <w:trHeight w:val="288"/>
          <w:jc w:val="center"/>
        </w:trPr>
        <w:tc>
          <w:tcPr>
            <w:tcW w:w="833" w:type="pct"/>
            <w:tcMar>
              <w:top w:w="0" w:type="dxa"/>
              <w:left w:w="0" w:type="dxa"/>
              <w:bottom w:w="0" w:type="dxa"/>
              <w:right w:w="0" w:type="dxa"/>
            </w:tcMar>
            <w:vAlign w:val="center"/>
            <w:hideMark/>
          </w:tcPr>
          <w:p w14:paraId="04D77579"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0 &lt; 18</w:t>
            </w:r>
          </w:p>
        </w:tc>
        <w:tc>
          <w:tcPr>
            <w:tcW w:w="833" w:type="pct"/>
            <w:tcMar>
              <w:top w:w="0" w:type="dxa"/>
              <w:left w:w="0" w:type="dxa"/>
              <w:bottom w:w="0" w:type="dxa"/>
              <w:right w:w="0" w:type="dxa"/>
            </w:tcMar>
            <w:vAlign w:val="center"/>
            <w:hideMark/>
          </w:tcPr>
          <w:p w14:paraId="58C249C5"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162 (1.6%)</w:t>
            </w:r>
          </w:p>
        </w:tc>
        <w:tc>
          <w:tcPr>
            <w:tcW w:w="833" w:type="pct"/>
            <w:tcMar>
              <w:top w:w="0" w:type="dxa"/>
              <w:left w:w="0" w:type="dxa"/>
              <w:bottom w:w="0" w:type="dxa"/>
              <w:right w:w="0" w:type="dxa"/>
            </w:tcMar>
            <w:vAlign w:val="center"/>
            <w:hideMark/>
          </w:tcPr>
          <w:p w14:paraId="3094E7DA"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9 (0.8%)</w:t>
            </w:r>
          </w:p>
        </w:tc>
        <w:tc>
          <w:tcPr>
            <w:tcW w:w="834" w:type="pct"/>
            <w:tcMar>
              <w:top w:w="0" w:type="dxa"/>
              <w:left w:w="0" w:type="dxa"/>
              <w:bottom w:w="0" w:type="dxa"/>
              <w:right w:w="0" w:type="dxa"/>
            </w:tcMar>
            <w:vAlign w:val="center"/>
            <w:hideMark/>
          </w:tcPr>
          <w:p w14:paraId="5B8F7581"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171 (1.5%)</w:t>
            </w:r>
          </w:p>
        </w:tc>
        <w:tc>
          <w:tcPr>
            <w:tcW w:w="833" w:type="pct"/>
            <w:tcMar>
              <w:top w:w="0" w:type="dxa"/>
              <w:left w:w="0" w:type="dxa"/>
              <w:bottom w:w="0" w:type="dxa"/>
              <w:right w:w="0" w:type="dxa"/>
            </w:tcMar>
            <w:hideMark/>
          </w:tcPr>
          <w:p w14:paraId="299BB181"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18 (0.9%)</w:t>
            </w:r>
          </w:p>
        </w:tc>
        <w:tc>
          <w:tcPr>
            <w:tcW w:w="834" w:type="pct"/>
          </w:tcPr>
          <w:p w14:paraId="54F55AF5" w14:textId="77777777" w:rsidR="001C19F3" w:rsidRPr="000819FA" w:rsidRDefault="001C19F3" w:rsidP="00521305">
            <w:pPr>
              <w:spacing w:before="40" w:after="40"/>
              <w:ind w:left="40" w:right="40"/>
              <w:jc w:val="center"/>
              <w:rPr>
                <w:rFonts w:cstheme="minorHAnsi"/>
                <w:color w:val="000000"/>
                <w:sz w:val="18"/>
                <w:szCs w:val="18"/>
              </w:rPr>
            </w:pPr>
            <w:r w:rsidRPr="000819FA">
              <w:rPr>
                <w:color w:val="000000"/>
                <w:sz w:val="18"/>
                <w:szCs w:val="18"/>
              </w:rPr>
              <w:t>148 (1.8%)</w:t>
            </w:r>
          </w:p>
        </w:tc>
      </w:tr>
      <w:tr w:rsidR="001C19F3" w14:paraId="33CD2AFA" w14:textId="77777777" w:rsidTr="00521305">
        <w:trPr>
          <w:cantSplit/>
          <w:trHeight w:val="288"/>
          <w:jc w:val="center"/>
        </w:trPr>
        <w:tc>
          <w:tcPr>
            <w:tcW w:w="833" w:type="pct"/>
            <w:tcMar>
              <w:top w:w="0" w:type="dxa"/>
              <w:left w:w="0" w:type="dxa"/>
              <w:bottom w:w="0" w:type="dxa"/>
              <w:right w:w="0" w:type="dxa"/>
            </w:tcMar>
            <w:vAlign w:val="center"/>
            <w:hideMark/>
          </w:tcPr>
          <w:p w14:paraId="57FFCEFB"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18 -24</w:t>
            </w:r>
          </w:p>
        </w:tc>
        <w:tc>
          <w:tcPr>
            <w:tcW w:w="833" w:type="pct"/>
            <w:tcMar>
              <w:top w:w="0" w:type="dxa"/>
              <w:left w:w="0" w:type="dxa"/>
              <w:bottom w:w="0" w:type="dxa"/>
              <w:right w:w="0" w:type="dxa"/>
            </w:tcMar>
            <w:vAlign w:val="center"/>
            <w:hideMark/>
          </w:tcPr>
          <w:p w14:paraId="0BB45D83"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200 (2.0%)</w:t>
            </w:r>
          </w:p>
        </w:tc>
        <w:tc>
          <w:tcPr>
            <w:tcW w:w="833" w:type="pct"/>
            <w:tcMar>
              <w:top w:w="0" w:type="dxa"/>
              <w:left w:w="0" w:type="dxa"/>
              <w:bottom w:w="0" w:type="dxa"/>
              <w:right w:w="0" w:type="dxa"/>
            </w:tcMar>
            <w:vAlign w:val="center"/>
            <w:hideMark/>
          </w:tcPr>
          <w:p w14:paraId="21741467"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13 (1.2%)</w:t>
            </w:r>
          </w:p>
        </w:tc>
        <w:tc>
          <w:tcPr>
            <w:tcW w:w="834" w:type="pct"/>
            <w:tcMar>
              <w:top w:w="0" w:type="dxa"/>
              <w:left w:w="0" w:type="dxa"/>
              <w:bottom w:w="0" w:type="dxa"/>
              <w:right w:w="0" w:type="dxa"/>
            </w:tcMar>
            <w:vAlign w:val="center"/>
            <w:hideMark/>
          </w:tcPr>
          <w:p w14:paraId="7D3F7487"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213 (1.9%)</w:t>
            </w:r>
          </w:p>
        </w:tc>
        <w:tc>
          <w:tcPr>
            <w:tcW w:w="833" w:type="pct"/>
            <w:tcMar>
              <w:top w:w="0" w:type="dxa"/>
              <w:left w:w="0" w:type="dxa"/>
              <w:bottom w:w="0" w:type="dxa"/>
              <w:right w:w="0" w:type="dxa"/>
            </w:tcMar>
            <w:hideMark/>
          </w:tcPr>
          <w:p w14:paraId="06665954"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128 (6.4%)</w:t>
            </w:r>
          </w:p>
        </w:tc>
        <w:tc>
          <w:tcPr>
            <w:tcW w:w="834" w:type="pct"/>
          </w:tcPr>
          <w:p w14:paraId="1F7DAFC7" w14:textId="77777777" w:rsidR="001C19F3" w:rsidRPr="000819FA" w:rsidRDefault="001C19F3" w:rsidP="00521305">
            <w:pPr>
              <w:spacing w:before="40" w:after="40"/>
              <w:ind w:left="40" w:right="40"/>
              <w:jc w:val="center"/>
              <w:rPr>
                <w:rFonts w:cstheme="minorHAnsi"/>
                <w:color w:val="000000"/>
                <w:sz w:val="18"/>
                <w:szCs w:val="18"/>
              </w:rPr>
            </w:pPr>
            <w:r>
              <w:rPr>
                <w:color w:val="000000"/>
                <w:sz w:val="18"/>
                <w:szCs w:val="18"/>
              </w:rPr>
              <w:t>183</w:t>
            </w:r>
            <w:r w:rsidRPr="000819FA">
              <w:rPr>
                <w:color w:val="000000"/>
                <w:sz w:val="18"/>
                <w:szCs w:val="18"/>
              </w:rPr>
              <w:t xml:space="preserve"> (2.</w:t>
            </w:r>
            <w:r>
              <w:rPr>
                <w:color w:val="000000"/>
                <w:sz w:val="18"/>
                <w:szCs w:val="18"/>
              </w:rPr>
              <w:t>2</w:t>
            </w:r>
            <w:r w:rsidRPr="000819FA">
              <w:rPr>
                <w:color w:val="000000"/>
                <w:sz w:val="18"/>
                <w:szCs w:val="18"/>
              </w:rPr>
              <w:t>%)</w:t>
            </w:r>
          </w:p>
        </w:tc>
      </w:tr>
      <w:tr w:rsidR="001C19F3" w14:paraId="17157516" w14:textId="77777777" w:rsidTr="00521305">
        <w:trPr>
          <w:cantSplit/>
          <w:trHeight w:val="288"/>
          <w:jc w:val="center"/>
        </w:trPr>
        <w:tc>
          <w:tcPr>
            <w:tcW w:w="833" w:type="pct"/>
            <w:tcMar>
              <w:top w:w="0" w:type="dxa"/>
              <w:left w:w="0" w:type="dxa"/>
              <w:bottom w:w="0" w:type="dxa"/>
              <w:right w:w="0" w:type="dxa"/>
            </w:tcMar>
            <w:vAlign w:val="center"/>
            <w:hideMark/>
          </w:tcPr>
          <w:p w14:paraId="60F68FCF"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25-44</w:t>
            </w:r>
          </w:p>
        </w:tc>
        <w:tc>
          <w:tcPr>
            <w:tcW w:w="833" w:type="pct"/>
            <w:tcMar>
              <w:top w:w="0" w:type="dxa"/>
              <w:left w:w="0" w:type="dxa"/>
              <w:bottom w:w="0" w:type="dxa"/>
              <w:right w:w="0" w:type="dxa"/>
            </w:tcMar>
            <w:vAlign w:val="center"/>
            <w:hideMark/>
          </w:tcPr>
          <w:p w14:paraId="6DF7F3FA"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1,183 (11.6%)</w:t>
            </w:r>
          </w:p>
        </w:tc>
        <w:tc>
          <w:tcPr>
            <w:tcW w:w="833" w:type="pct"/>
            <w:tcMar>
              <w:top w:w="0" w:type="dxa"/>
              <w:left w:w="0" w:type="dxa"/>
              <w:bottom w:w="0" w:type="dxa"/>
              <w:right w:w="0" w:type="dxa"/>
            </w:tcMar>
            <w:vAlign w:val="center"/>
            <w:hideMark/>
          </w:tcPr>
          <w:p w14:paraId="5C57C0B8"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65 (6.1%)</w:t>
            </w:r>
          </w:p>
        </w:tc>
        <w:tc>
          <w:tcPr>
            <w:tcW w:w="834" w:type="pct"/>
            <w:tcMar>
              <w:top w:w="0" w:type="dxa"/>
              <w:left w:w="0" w:type="dxa"/>
              <w:bottom w:w="0" w:type="dxa"/>
              <w:right w:w="0" w:type="dxa"/>
            </w:tcMar>
            <w:vAlign w:val="center"/>
            <w:hideMark/>
          </w:tcPr>
          <w:p w14:paraId="2D893946"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1,248 (11.1%)</w:t>
            </w:r>
          </w:p>
        </w:tc>
        <w:tc>
          <w:tcPr>
            <w:tcW w:w="833" w:type="pct"/>
            <w:tcMar>
              <w:top w:w="0" w:type="dxa"/>
              <w:left w:w="0" w:type="dxa"/>
              <w:bottom w:w="0" w:type="dxa"/>
              <w:right w:w="0" w:type="dxa"/>
            </w:tcMar>
            <w:hideMark/>
          </w:tcPr>
          <w:p w14:paraId="0466F186"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551 (27.4%)</w:t>
            </w:r>
          </w:p>
        </w:tc>
        <w:tc>
          <w:tcPr>
            <w:tcW w:w="834" w:type="pct"/>
          </w:tcPr>
          <w:p w14:paraId="7C4C52E7" w14:textId="77777777" w:rsidR="001C19F3" w:rsidRPr="000819FA" w:rsidRDefault="001C19F3" w:rsidP="00521305">
            <w:pPr>
              <w:spacing w:before="40" w:after="40"/>
              <w:ind w:left="40" w:right="40"/>
              <w:jc w:val="center"/>
              <w:rPr>
                <w:rFonts w:cstheme="minorHAnsi"/>
                <w:color w:val="000000"/>
                <w:sz w:val="18"/>
                <w:szCs w:val="18"/>
              </w:rPr>
            </w:pPr>
            <w:r w:rsidRPr="00B77C27">
              <w:rPr>
                <w:color w:val="000000"/>
                <w:sz w:val="18"/>
                <w:szCs w:val="18"/>
              </w:rPr>
              <w:t>1</w:t>
            </w:r>
            <w:r>
              <w:rPr>
                <w:color w:val="000000"/>
                <w:sz w:val="18"/>
                <w:szCs w:val="18"/>
              </w:rPr>
              <w:t>,</w:t>
            </w:r>
            <w:r w:rsidRPr="00B77C27">
              <w:rPr>
                <w:color w:val="000000"/>
                <w:sz w:val="18"/>
                <w:szCs w:val="18"/>
              </w:rPr>
              <w:t>013 (12.2%)</w:t>
            </w:r>
          </w:p>
        </w:tc>
      </w:tr>
      <w:tr w:rsidR="001C19F3" w14:paraId="1D5D40F6" w14:textId="77777777" w:rsidTr="00521305">
        <w:trPr>
          <w:cantSplit/>
          <w:trHeight w:val="288"/>
          <w:jc w:val="center"/>
        </w:trPr>
        <w:tc>
          <w:tcPr>
            <w:tcW w:w="833" w:type="pct"/>
            <w:tcMar>
              <w:top w:w="0" w:type="dxa"/>
              <w:left w:w="0" w:type="dxa"/>
              <w:bottom w:w="0" w:type="dxa"/>
              <w:right w:w="0" w:type="dxa"/>
            </w:tcMar>
            <w:vAlign w:val="center"/>
            <w:hideMark/>
          </w:tcPr>
          <w:p w14:paraId="2D398890"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45-64</w:t>
            </w:r>
          </w:p>
        </w:tc>
        <w:tc>
          <w:tcPr>
            <w:tcW w:w="833" w:type="pct"/>
            <w:tcMar>
              <w:top w:w="0" w:type="dxa"/>
              <w:left w:w="0" w:type="dxa"/>
              <w:bottom w:w="0" w:type="dxa"/>
              <w:right w:w="0" w:type="dxa"/>
            </w:tcMar>
            <w:vAlign w:val="center"/>
            <w:hideMark/>
          </w:tcPr>
          <w:p w14:paraId="1338BF4D"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3,342 (32.7%)</w:t>
            </w:r>
          </w:p>
        </w:tc>
        <w:tc>
          <w:tcPr>
            <w:tcW w:w="833" w:type="pct"/>
            <w:tcMar>
              <w:top w:w="0" w:type="dxa"/>
              <w:left w:w="0" w:type="dxa"/>
              <w:bottom w:w="0" w:type="dxa"/>
              <w:right w:w="0" w:type="dxa"/>
            </w:tcMar>
            <w:vAlign w:val="center"/>
            <w:hideMark/>
          </w:tcPr>
          <w:p w14:paraId="030FAF4A"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329 (30.9%)</w:t>
            </w:r>
          </w:p>
        </w:tc>
        <w:tc>
          <w:tcPr>
            <w:tcW w:w="834" w:type="pct"/>
            <w:tcMar>
              <w:top w:w="0" w:type="dxa"/>
              <w:left w:w="0" w:type="dxa"/>
              <w:bottom w:w="0" w:type="dxa"/>
              <w:right w:w="0" w:type="dxa"/>
            </w:tcMar>
            <w:vAlign w:val="center"/>
            <w:hideMark/>
          </w:tcPr>
          <w:p w14:paraId="0BC453D9"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3,671 (32.5%)</w:t>
            </w:r>
          </w:p>
        </w:tc>
        <w:tc>
          <w:tcPr>
            <w:tcW w:w="833" w:type="pct"/>
            <w:tcMar>
              <w:top w:w="0" w:type="dxa"/>
              <w:left w:w="0" w:type="dxa"/>
              <w:bottom w:w="0" w:type="dxa"/>
              <w:right w:w="0" w:type="dxa"/>
            </w:tcMar>
            <w:hideMark/>
          </w:tcPr>
          <w:p w14:paraId="05D15486"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658 (32.7%)</w:t>
            </w:r>
          </w:p>
        </w:tc>
        <w:tc>
          <w:tcPr>
            <w:tcW w:w="834" w:type="pct"/>
          </w:tcPr>
          <w:p w14:paraId="4AA454FD" w14:textId="77777777" w:rsidR="001C19F3" w:rsidRPr="000819FA" w:rsidRDefault="001C19F3" w:rsidP="00521305">
            <w:pPr>
              <w:spacing w:before="40" w:after="40"/>
              <w:ind w:left="40" w:right="40"/>
              <w:jc w:val="center"/>
              <w:rPr>
                <w:rFonts w:cstheme="minorHAnsi"/>
                <w:color w:val="000000"/>
                <w:sz w:val="18"/>
                <w:szCs w:val="18"/>
              </w:rPr>
            </w:pPr>
            <w:r w:rsidRPr="00DD003B">
              <w:rPr>
                <w:color w:val="000000"/>
                <w:sz w:val="18"/>
                <w:szCs w:val="18"/>
              </w:rPr>
              <w:t>2</w:t>
            </w:r>
            <w:r>
              <w:rPr>
                <w:color w:val="000000"/>
                <w:sz w:val="18"/>
                <w:szCs w:val="18"/>
              </w:rPr>
              <w:t>,</w:t>
            </w:r>
            <w:r w:rsidRPr="00DD003B">
              <w:rPr>
                <w:color w:val="000000"/>
                <w:sz w:val="18"/>
                <w:szCs w:val="18"/>
              </w:rPr>
              <w:t>673 (32.1%)</w:t>
            </w:r>
          </w:p>
        </w:tc>
      </w:tr>
      <w:tr w:rsidR="001C19F3" w14:paraId="20C69A4B" w14:textId="77777777" w:rsidTr="00521305">
        <w:trPr>
          <w:cantSplit/>
          <w:trHeight w:val="288"/>
          <w:jc w:val="center"/>
        </w:trPr>
        <w:tc>
          <w:tcPr>
            <w:tcW w:w="833" w:type="pct"/>
            <w:tcMar>
              <w:top w:w="0" w:type="dxa"/>
              <w:left w:w="0" w:type="dxa"/>
              <w:bottom w:w="0" w:type="dxa"/>
              <w:right w:w="0" w:type="dxa"/>
            </w:tcMar>
            <w:vAlign w:val="center"/>
            <w:hideMark/>
          </w:tcPr>
          <w:p w14:paraId="1D91E227"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65-74</w:t>
            </w:r>
          </w:p>
        </w:tc>
        <w:tc>
          <w:tcPr>
            <w:tcW w:w="833" w:type="pct"/>
            <w:tcMar>
              <w:top w:w="0" w:type="dxa"/>
              <w:left w:w="0" w:type="dxa"/>
              <w:bottom w:w="0" w:type="dxa"/>
              <w:right w:w="0" w:type="dxa"/>
            </w:tcMar>
            <w:vAlign w:val="center"/>
            <w:hideMark/>
          </w:tcPr>
          <w:p w14:paraId="009DC245"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2,589 (25.3%)</w:t>
            </w:r>
          </w:p>
        </w:tc>
        <w:tc>
          <w:tcPr>
            <w:tcW w:w="833" w:type="pct"/>
            <w:tcMar>
              <w:top w:w="0" w:type="dxa"/>
              <w:left w:w="0" w:type="dxa"/>
              <w:bottom w:w="0" w:type="dxa"/>
              <w:right w:w="0" w:type="dxa"/>
            </w:tcMar>
            <w:vAlign w:val="center"/>
            <w:hideMark/>
          </w:tcPr>
          <w:p w14:paraId="3F328B36"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279 (26.2%)</w:t>
            </w:r>
          </w:p>
        </w:tc>
        <w:tc>
          <w:tcPr>
            <w:tcW w:w="834" w:type="pct"/>
            <w:tcMar>
              <w:top w:w="0" w:type="dxa"/>
              <w:left w:w="0" w:type="dxa"/>
              <w:bottom w:w="0" w:type="dxa"/>
              <w:right w:w="0" w:type="dxa"/>
            </w:tcMar>
            <w:vAlign w:val="center"/>
            <w:hideMark/>
          </w:tcPr>
          <w:p w14:paraId="11136EAA"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2,868 (25.4%)</w:t>
            </w:r>
          </w:p>
        </w:tc>
        <w:tc>
          <w:tcPr>
            <w:tcW w:w="833" w:type="pct"/>
            <w:tcMar>
              <w:top w:w="0" w:type="dxa"/>
              <w:left w:w="0" w:type="dxa"/>
              <w:bottom w:w="0" w:type="dxa"/>
              <w:right w:w="0" w:type="dxa"/>
            </w:tcMar>
            <w:hideMark/>
          </w:tcPr>
          <w:p w14:paraId="318918BF"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513 (25.5%)</w:t>
            </w:r>
          </w:p>
        </w:tc>
        <w:tc>
          <w:tcPr>
            <w:tcW w:w="834" w:type="pct"/>
          </w:tcPr>
          <w:p w14:paraId="73871892" w14:textId="77777777" w:rsidR="001C19F3" w:rsidRPr="000819FA" w:rsidRDefault="001C19F3" w:rsidP="00521305">
            <w:pPr>
              <w:spacing w:before="40" w:after="40"/>
              <w:ind w:left="40" w:right="40"/>
              <w:jc w:val="center"/>
              <w:rPr>
                <w:rFonts w:cstheme="minorHAnsi"/>
                <w:color w:val="000000"/>
                <w:sz w:val="18"/>
                <w:szCs w:val="18"/>
              </w:rPr>
            </w:pPr>
            <w:r w:rsidRPr="00D37D8E">
              <w:rPr>
                <w:color w:val="000000"/>
                <w:sz w:val="18"/>
                <w:szCs w:val="18"/>
              </w:rPr>
              <w:t>2</w:t>
            </w:r>
            <w:r>
              <w:rPr>
                <w:color w:val="000000"/>
                <w:sz w:val="18"/>
                <w:szCs w:val="18"/>
              </w:rPr>
              <w:t>,</w:t>
            </w:r>
            <w:r w:rsidRPr="00D37D8E">
              <w:rPr>
                <w:color w:val="000000"/>
                <w:sz w:val="18"/>
                <w:szCs w:val="18"/>
              </w:rPr>
              <w:t>046 (24.5%)</w:t>
            </w:r>
          </w:p>
        </w:tc>
      </w:tr>
      <w:tr w:rsidR="001C19F3" w14:paraId="5301EA80" w14:textId="77777777" w:rsidTr="00521305">
        <w:trPr>
          <w:cantSplit/>
          <w:trHeight w:val="288"/>
          <w:jc w:val="center"/>
        </w:trPr>
        <w:tc>
          <w:tcPr>
            <w:tcW w:w="833" w:type="pct"/>
            <w:tcMar>
              <w:top w:w="0" w:type="dxa"/>
              <w:left w:w="0" w:type="dxa"/>
              <w:bottom w:w="0" w:type="dxa"/>
              <w:right w:w="0" w:type="dxa"/>
            </w:tcMar>
            <w:vAlign w:val="center"/>
            <w:hideMark/>
          </w:tcPr>
          <w:p w14:paraId="7E19EF75"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75-84</w:t>
            </w:r>
          </w:p>
        </w:tc>
        <w:tc>
          <w:tcPr>
            <w:tcW w:w="833" w:type="pct"/>
            <w:tcMar>
              <w:top w:w="0" w:type="dxa"/>
              <w:left w:w="0" w:type="dxa"/>
              <w:bottom w:w="0" w:type="dxa"/>
              <w:right w:w="0" w:type="dxa"/>
            </w:tcMar>
            <w:vAlign w:val="center"/>
            <w:hideMark/>
          </w:tcPr>
          <w:p w14:paraId="44044EE5"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2,027 (19.8%)</w:t>
            </w:r>
          </w:p>
        </w:tc>
        <w:tc>
          <w:tcPr>
            <w:tcW w:w="833" w:type="pct"/>
            <w:tcMar>
              <w:top w:w="0" w:type="dxa"/>
              <w:left w:w="0" w:type="dxa"/>
              <w:bottom w:w="0" w:type="dxa"/>
              <w:right w:w="0" w:type="dxa"/>
            </w:tcMar>
            <w:vAlign w:val="center"/>
            <w:hideMark/>
          </w:tcPr>
          <w:p w14:paraId="7453768A"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240 (22.5%)</w:t>
            </w:r>
          </w:p>
        </w:tc>
        <w:tc>
          <w:tcPr>
            <w:tcW w:w="834" w:type="pct"/>
            <w:tcMar>
              <w:top w:w="0" w:type="dxa"/>
              <w:left w:w="0" w:type="dxa"/>
              <w:bottom w:w="0" w:type="dxa"/>
              <w:right w:w="0" w:type="dxa"/>
            </w:tcMar>
            <w:vAlign w:val="center"/>
            <w:hideMark/>
          </w:tcPr>
          <w:p w14:paraId="40F773AF"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2,267 (20.1%)</w:t>
            </w:r>
          </w:p>
        </w:tc>
        <w:tc>
          <w:tcPr>
            <w:tcW w:w="833" w:type="pct"/>
            <w:tcMar>
              <w:top w:w="0" w:type="dxa"/>
              <w:left w:w="0" w:type="dxa"/>
              <w:bottom w:w="0" w:type="dxa"/>
              <w:right w:w="0" w:type="dxa"/>
            </w:tcMar>
            <w:hideMark/>
          </w:tcPr>
          <w:p w14:paraId="701DDB9C"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144 (7.2%)</w:t>
            </w:r>
          </w:p>
        </w:tc>
        <w:tc>
          <w:tcPr>
            <w:tcW w:w="834" w:type="pct"/>
          </w:tcPr>
          <w:p w14:paraId="447EE41C" w14:textId="77777777" w:rsidR="001C19F3" w:rsidRPr="000819FA" w:rsidRDefault="001C19F3" w:rsidP="00521305">
            <w:pPr>
              <w:spacing w:before="40" w:after="40"/>
              <w:ind w:left="40" w:right="40"/>
              <w:jc w:val="center"/>
              <w:rPr>
                <w:rFonts w:cstheme="minorHAnsi"/>
                <w:color w:val="000000"/>
                <w:sz w:val="18"/>
                <w:szCs w:val="18"/>
              </w:rPr>
            </w:pPr>
            <w:r w:rsidRPr="003D05D6">
              <w:rPr>
                <w:color w:val="000000"/>
                <w:sz w:val="18"/>
                <w:szCs w:val="18"/>
              </w:rPr>
              <w:t>1</w:t>
            </w:r>
            <w:r>
              <w:rPr>
                <w:color w:val="000000"/>
                <w:sz w:val="18"/>
                <w:szCs w:val="18"/>
              </w:rPr>
              <w:t>,</w:t>
            </w:r>
            <w:r w:rsidRPr="003D05D6">
              <w:rPr>
                <w:color w:val="000000"/>
                <w:sz w:val="18"/>
                <w:szCs w:val="18"/>
              </w:rPr>
              <w:t>656 (19.9%)</w:t>
            </w:r>
          </w:p>
        </w:tc>
      </w:tr>
      <w:tr w:rsidR="001C19F3" w14:paraId="48044809" w14:textId="77777777" w:rsidTr="00521305">
        <w:trPr>
          <w:cantSplit/>
          <w:trHeight w:val="288"/>
          <w:jc w:val="center"/>
        </w:trPr>
        <w:tc>
          <w:tcPr>
            <w:tcW w:w="833" w:type="pct"/>
            <w:tcMar>
              <w:top w:w="0" w:type="dxa"/>
              <w:left w:w="0" w:type="dxa"/>
              <w:bottom w:w="0" w:type="dxa"/>
              <w:right w:w="0" w:type="dxa"/>
            </w:tcMar>
            <w:vAlign w:val="center"/>
            <w:hideMark/>
          </w:tcPr>
          <w:p w14:paraId="0B8E12A9" w14:textId="77777777" w:rsidR="001C19F3" w:rsidRPr="000819FA" w:rsidRDefault="001C19F3" w:rsidP="00521305">
            <w:pPr>
              <w:spacing w:before="40" w:after="40"/>
              <w:ind w:left="160" w:right="40"/>
              <w:rPr>
                <w:rFonts w:cstheme="minorHAnsi"/>
                <w:sz w:val="18"/>
                <w:szCs w:val="18"/>
              </w:rPr>
            </w:pPr>
            <w:r w:rsidRPr="000819FA">
              <w:rPr>
                <w:rFonts w:cstheme="minorHAnsi"/>
                <w:color w:val="000000"/>
                <w:sz w:val="18"/>
                <w:szCs w:val="18"/>
              </w:rPr>
              <w:t>85+</w:t>
            </w:r>
          </w:p>
        </w:tc>
        <w:tc>
          <w:tcPr>
            <w:tcW w:w="833" w:type="pct"/>
            <w:tcMar>
              <w:top w:w="0" w:type="dxa"/>
              <w:left w:w="0" w:type="dxa"/>
              <w:bottom w:w="0" w:type="dxa"/>
              <w:right w:w="0" w:type="dxa"/>
            </w:tcMar>
            <w:vAlign w:val="center"/>
            <w:hideMark/>
          </w:tcPr>
          <w:p w14:paraId="646E8EEC"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711 (7.0%)</w:t>
            </w:r>
          </w:p>
        </w:tc>
        <w:tc>
          <w:tcPr>
            <w:tcW w:w="833" w:type="pct"/>
            <w:tcMar>
              <w:top w:w="0" w:type="dxa"/>
              <w:left w:w="0" w:type="dxa"/>
              <w:bottom w:w="0" w:type="dxa"/>
              <w:right w:w="0" w:type="dxa"/>
            </w:tcMar>
            <w:vAlign w:val="center"/>
            <w:hideMark/>
          </w:tcPr>
          <w:p w14:paraId="006DD00D"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130 (12.2%)</w:t>
            </w:r>
          </w:p>
        </w:tc>
        <w:tc>
          <w:tcPr>
            <w:tcW w:w="834" w:type="pct"/>
            <w:tcMar>
              <w:top w:w="0" w:type="dxa"/>
              <w:left w:w="0" w:type="dxa"/>
              <w:bottom w:w="0" w:type="dxa"/>
              <w:right w:w="0" w:type="dxa"/>
            </w:tcMar>
            <w:vAlign w:val="center"/>
            <w:hideMark/>
          </w:tcPr>
          <w:p w14:paraId="0FD32DCF" w14:textId="77777777" w:rsidR="001C19F3" w:rsidRPr="000819FA" w:rsidRDefault="001C19F3" w:rsidP="00521305">
            <w:pPr>
              <w:spacing w:before="40" w:after="40"/>
              <w:ind w:left="40" w:right="40"/>
              <w:jc w:val="center"/>
              <w:rPr>
                <w:rFonts w:cstheme="minorHAnsi"/>
                <w:sz w:val="18"/>
                <w:szCs w:val="18"/>
              </w:rPr>
            </w:pPr>
            <w:r w:rsidRPr="000819FA">
              <w:rPr>
                <w:rFonts w:cstheme="minorHAnsi"/>
                <w:color w:val="000000"/>
                <w:sz w:val="18"/>
                <w:szCs w:val="18"/>
              </w:rPr>
              <w:t>841 (7.5%)</w:t>
            </w:r>
          </w:p>
        </w:tc>
        <w:tc>
          <w:tcPr>
            <w:tcW w:w="833" w:type="pct"/>
            <w:tcMar>
              <w:top w:w="0" w:type="dxa"/>
              <w:left w:w="0" w:type="dxa"/>
              <w:bottom w:w="0" w:type="dxa"/>
              <w:right w:w="0" w:type="dxa"/>
            </w:tcMar>
            <w:hideMark/>
          </w:tcPr>
          <w:p w14:paraId="339122B0" w14:textId="77777777" w:rsidR="001C19F3" w:rsidRPr="000819FA" w:rsidRDefault="001C19F3" w:rsidP="00521305">
            <w:pPr>
              <w:spacing w:before="40" w:after="40"/>
              <w:ind w:left="40" w:right="40"/>
              <w:jc w:val="center"/>
              <w:rPr>
                <w:rFonts w:cstheme="minorHAnsi"/>
                <w:color w:val="000000"/>
                <w:sz w:val="18"/>
                <w:szCs w:val="18"/>
              </w:rPr>
            </w:pPr>
            <w:r w:rsidRPr="000819FA">
              <w:rPr>
                <w:rFonts w:cstheme="minorHAnsi"/>
                <w:color w:val="000000"/>
                <w:sz w:val="18"/>
                <w:szCs w:val="18"/>
              </w:rPr>
              <w:t>18 (0.9%)</w:t>
            </w:r>
          </w:p>
        </w:tc>
        <w:tc>
          <w:tcPr>
            <w:tcW w:w="834" w:type="pct"/>
          </w:tcPr>
          <w:p w14:paraId="61EC79AA" w14:textId="77777777" w:rsidR="001C19F3" w:rsidRPr="000819FA" w:rsidRDefault="001C19F3" w:rsidP="00521305">
            <w:pPr>
              <w:spacing w:before="40" w:after="40"/>
              <w:ind w:left="40" w:right="40"/>
              <w:jc w:val="center"/>
              <w:rPr>
                <w:rFonts w:cstheme="minorHAnsi"/>
                <w:color w:val="000000"/>
                <w:sz w:val="18"/>
                <w:szCs w:val="18"/>
              </w:rPr>
            </w:pPr>
            <w:r w:rsidRPr="00CF64DF">
              <w:rPr>
                <w:color w:val="000000"/>
                <w:sz w:val="18"/>
                <w:szCs w:val="18"/>
              </w:rPr>
              <w:t>617 (7.4%)</w:t>
            </w:r>
          </w:p>
        </w:tc>
      </w:tr>
    </w:tbl>
    <w:p w14:paraId="674C582F" w14:textId="77777777" w:rsidR="001C19F3" w:rsidRDefault="001C19F3" w:rsidP="001C19F3">
      <w:pPr>
        <w:pStyle w:val="Chartortablefootnote"/>
      </w:pPr>
      <w:r w:rsidRPr="000819FA">
        <w:t xml:space="preserve">Sources: </w:t>
      </w:r>
      <w:r w:rsidRPr="00FC268E">
        <w:rPr>
          <w:vertAlign w:val="superscript"/>
        </w:rPr>
        <w:t>1</w:t>
      </w:r>
      <w:r w:rsidRPr="000819FA">
        <w:t>Based on information from Department of Human Services. Data reflects enrolments at 30 June 2019</w:t>
      </w:r>
      <w:r>
        <w:t>;</w:t>
      </w:r>
      <w:r w:rsidRPr="000819FA">
        <w:t xml:space="preserve"> </w:t>
      </w:r>
      <w:bookmarkStart w:id="178" w:name="_Hlk23435515"/>
      <w:r w:rsidRPr="00FC268E">
        <w:rPr>
          <w:vertAlign w:val="superscript"/>
        </w:rPr>
        <w:t>2</w:t>
      </w:r>
      <w:r>
        <w:t>CATI surveys conducted by The Social Research Centre between December 2017 and March 2019</w:t>
      </w:r>
      <w:bookmarkEnd w:id="178"/>
      <w:r w:rsidRPr="000819FA">
        <w:t xml:space="preserve">. Age was unknown for 27 respondents, sex unknown for 6 and </w:t>
      </w:r>
      <w:r>
        <w:t>t</w:t>
      </w:r>
      <w:r w:rsidRPr="000819FA">
        <w:t>ier unknown for 70</w:t>
      </w:r>
      <w:r>
        <w:t>;</w:t>
      </w:r>
      <w:r w:rsidRPr="000819FA">
        <w:t xml:space="preserve"> </w:t>
      </w:r>
      <w:r w:rsidRPr="00FC268E">
        <w:rPr>
          <w:vertAlign w:val="superscript"/>
        </w:rPr>
        <w:t>3</w:t>
      </w:r>
      <w:r w:rsidRPr="000819FA">
        <w:t xml:space="preserve">Practice data extracts received </w:t>
      </w:r>
      <w:r>
        <w:t>up to</w:t>
      </w:r>
      <w:r w:rsidRPr="000819FA">
        <w:t xml:space="preserve"> 30 June 2019. Tier is not included in extract data for 186 patients, sex is not recorded or not stated for 37 patients.</w:t>
      </w:r>
      <w:bookmarkStart w:id="179" w:name="_Hlk20738525"/>
    </w:p>
    <w:p w14:paraId="76DFF7E2" w14:textId="77777777" w:rsidR="001C19F3" w:rsidRDefault="001C19F3" w:rsidP="001C19F3">
      <w:pPr>
        <w:pStyle w:val="Chartortablefootnote"/>
        <w:jc w:val="left"/>
      </w:pPr>
      <w:r w:rsidRPr="003E76D3">
        <w:rPr>
          <w:i w:val="0"/>
          <w:sz w:val="20"/>
          <w:szCs w:val="22"/>
        </w:rPr>
        <w:t>The patient surveys provide further insights into other characteristics of HCH patients (see Volume 4). Key points include:</w:t>
      </w:r>
    </w:p>
    <w:p w14:paraId="0935A020" w14:textId="77777777" w:rsidR="001C19F3" w:rsidRPr="00BC6FC2" w:rsidRDefault="001C19F3" w:rsidP="001C19F3">
      <w:pPr>
        <w:pStyle w:val="ListParagraph"/>
        <w:numPr>
          <w:ilvl w:val="0"/>
          <w:numId w:val="34"/>
        </w:numPr>
        <w:spacing w:after="120"/>
        <w:ind w:left="714" w:hanging="357"/>
        <w:contextualSpacing w:val="0"/>
        <w:rPr>
          <w:szCs w:val="20"/>
        </w:rPr>
      </w:pPr>
      <w:r>
        <w:rPr>
          <w:szCs w:val="20"/>
        </w:rPr>
        <w:t>For s</w:t>
      </w:r>
      <w:r w:rsidRPr="00BC6FC2">
        <w:rPr>
          <w:szCs w:val="20"/>
        </w:rPr>
        <w:t>ome patients the survey</w:t>
      </w:r>
      <w:r>
        <w:rPr>
          <w:szCs w:val="20"/>
        </w:rPr>
        <w:t xml:space="preserve"> was</w:t>
      </w:r>
      <w:r w:rsidRPr="00BC6FC2">
        <w:rPr>
          <w:szCs w:val="20"/>
        </w:rPr>
        <w:t xml:space="preserve"> completed by </w:t>
      </w:r>
      <w:r>
        <w:rPr>
          <w:szCs w:val="20"/>
        </w:rPr>
        <w:t xml:space="preserve">a </w:t>
      </w:r>
      <w:r w:rsidRPr="00BC6FC2">
        <w:rPr>
          <w:szCs w:val="20"/>
        </w:rPr>
        <w:t>proxy (5.6%)</w:t>
      </w:r>
      <w:r>
        <w:rPr>
          <w:szCs w:val="20"/>
        </w:rPr>
        <w:t>,</w:t>
      </w:r>
      <w:r w:rsidRPr="00BC6FC2">
        <w:rPr>
          <w:szCs w:val="20"/>
        </w:rPr>
        <w:t xml:space="preserve"> and </w:t>
      </w:r>
      <w:r>
        <w:rPr>
          <w:szCs w:val="20"/>
        </w:rPr>
        <w:t xml:space="preserve">for </w:t>
      </w:r>
      <w:r w:rsidRPr="00BC6FC2">
        <w:rPr>
          <w:szCs w:val="20"/>
        </w:rPr>
        <w:t>others</w:t>
      </w:r>
      <w:r>
        <w:rPr>
          <w:szCs w:val="20"/>
        </w:rPr>
        <w:t>,</w:t>
      </w:r>
      <w:r w:rsidRPr="00BC6FC2">
        <w:rPr>
          <w:szCs w:val="20"/>
        </w:rPr>
        <w:t xml:space="preserve"> </w:t>
      </w:r>
      <w:r>
        <w:rPr>
          <w:szCs w:val="20"/>
        </w:rPr>
        <w:t xml:space="preserve">a proxy </w:t>
      </w:r>
      <w:r w:rsidRPr="00BC6FC2">
        <w:rPr>
          <w:szCs w:val="20"/>
        </w:rPr>
        <w:t xml:space="preserve">needed </w:t>
      </w:r>
      <w:r>
        <w:rPr>
          <w:szCs w:val="20"/>
        </w:rPr>
        <w:t xml:space="preserve">to </w:t>
      </w:r>
      <w:r w:rsidRPr="00BC6FC2">
        <w:rPr>
          <w:szCs w:val="20"/>
        </w:rPr>
        <w:t xml:space="preserve">help </w:t>
      </w:r>
      <w:r>
        <w:rPr>
          <w:szCs w:val="20"/>
        </w:rPr>
        <w:t xml:space="preserve">them </w:t>
      </w:r>
      <w:r w:rsidRPr="00BC6FC2">
        <w:rPr>
          <w:szCs w:val="20"/>
        </w:rPr>
        <w:t>to answer some questions (3.7%).</w:t>
      </w:r>
    </w:p>
    <w:p w14:paraId="694CAB63" w14:textId="77777777" w:rsidR="001C19F3" w:rsidRDefault="001C19F3" w:rsidP="001C19F3">
      <w:pPr>
        <w:pStyle w:val="ListParagraph"/>
        <w:numPr>
          <w:ilvl w:val="0"/>
          <w:numId w:val="34"/>
        </w:numPr>
        <w:spacing w:after="120"/>
        <w:ind w:left="714" w:hanging="357"/>
        <w:contextualSpacing w:val="0"/>
      </w:pPr>
      <w:r>
        <w:t xml:space="preserve">3.3% of patients surveyed identified as </w:t>
      </w:r>
      <w:r w:rsidRPr="00AC7AC6">
        <w:t>Aboriginal or Torres Strait Islander</w:t>
      </w:r>
      <w:r>
        <w:t xml:space="preserve"> (noting the </w:t>
      </w:r>
      <w:r w:rsidRPr="00AC7AC6">
        <w:t xml:space="preserve">sample did not include patients enrolled by ACCHS in the </w:t>
      </w:r>
      <w:r>
        <w:t>NT).</w:t>
      </w:r>
    </w:p>
    <w:p w14:paraId="3D57E4E8" w14:textId="77777777" w:rsidR="001C19F3" w:rsidRDefault="001C19F3" w:rsidP="001C19F3">
      <w:pPr>
        <w:pStyle w:val="ListParagraph"/>
        <w:numPr>
          <w:ilvl w:val="0"/>
          <w:numId w:val="34"/>
        </w:numPr>
        <w:spacing w:after="120"/>
        <w:ind w:left="714" w:hanging="357"/>
        <w:contextualSpacing w:val="0"/>
      </w:pPr>
      <w:r>
        <w:t xml:space="preserve">68.3% of respondents were born in Australia, 14.4% in the United Kingdom and 17.2% in other countries. </w:t>
      </w:r>
    </w:p>
    <w:p w14:paraId="6FF5805B" w14:textId="77777777" w:rsidR="001C19F3" w:rsidRPr="00BC6FC2" w:rsidRDefault="001C19F3" w:rsidP="001C19F3">
      <w:pPr>
        <w:pStyle w:val="ListParagraph"/>
        <w:numPr>
          <w:ilvl w:val="0"/>
          <w:numId w:val="34"/>
        </w:numPr>
        <w:spacing w:after="120"/>
        <w:ind w:left="714" w:hanging="357"/>
        <w:contextualSpacing w:val="0"/>
      </w:pPr>
      <w:r>
        <w:t xml:space="preserve">Respondents were offered the opportunity to conduct the survey in several languages as an alternative to English. </w:t>
      </w:r>
      <w:r w:rsidRPr="00BC6FC2">
        <w:rPr>
          <w:szCs w:val="20"/>
        </w:rPr>
        <w:t>The vast majority (99%) of surveys were conducted in English</w:t>
      </w:r>
      <w:r>
        <w:rPr>
          <w:szCs w:val="20"/>
        </w:rPr>
        <w:t xml:space="preserve">. Eighteen </w:t>
      </w:r>
      <w:r w:rsidRPr="00BC6FC2">
        <w:rPr>
          <w:szCs w:val="20"/>
        </w:rPr>
        <w:t xml:space="preserve">were conducted in </w:t>
      </w:r>
      <w:r>
        <w:rPr>
          <w:szCs w:val="20"/>
        </w:rPr>
        <w:t>other</w:t>
      </w:r>
      <w:r w:rsidRPr="00BC6FC2">
        <w:rPr>
          <w:szCs w:val="20"/>
        </w:rPr>
        <w:t xml:space="preserve"> languages (Maltese, Tagalog, Hindi, Filipino, French, Punjabi, Croatian, Romanian and Polish). </w:t>
      </w:r>
    </w:p>
    <w:p w14:paraId="384A085D" w14:textId="77777777" w:rsidR="001C19F3" w:rsidRDefault="001C19F3" w:rsidP="001C19F3">
      <w:pPr>
        <w:pStyle w:val="ListParagraph"/>
        <w:numPr>
          <w:ilvl w:val="0"/>
          <w:numId w:val="34"/>
        </w:numPr>
        <w:ind w:left="714" w:hanging="357"/>
        <w:contextualSpacing w:val="0"/>
      </w:pPr>
      <w:r>
        <w:t xml:space="preserve">The majority of respondents (46.3%) were living in a household consisting of a couple only. A further 24.1% of respondents were living alone. There was a statistically significant difference in household composition between tiers. Specifically, a higher proportion of patients in Tier 1 and Tier 2 were living in couple only households, and a higher proportion of Tier 3 patients were in a </w:t>
      </w:r>
      <w:r w:rsidRPr="00D5153D">
        <w:t>person living alone</w:t>
      </w:r>
      <w:r>
        <w:t xml:space="preserve"> household.</w:t>
      </w:r>
      <w:bookmarkEnd w:id="179"/>
      <w:r>
        <w:t xml:space="preserve"> </w:t>
      </w:r>
    </w:p>
    <w:p w14:paraId="0B2FA171" w14:textId="77777777" w:rsidR="001C19F3" w:rsidRDefault="001C19F3" w:rsidP="001C19F3">
      <w:pPr>
        <w:spacing w:after="160" w:line="259" w:lineRule="auto"/>
        <w:rPr>
          <w:i/>
          <w:sz w:val="16"/>
          <w:szCs w:val="18"/>
        </w:rPr>
      </w:pPr>
      <w:r>
        <w:rPr>
          <w:i/>
          <w:sz w:val="16"/>
          <w:szCs w:val="18"/>
        </w:rPr>
        <w:br w:type="page"/>
      </w:r>
    </w:p>
    <w:p w14:paraId="3D5134BB" w14:textId="77777777" w:rsidR="001C19F3" w:rsidRDefault="001C19F3" w:rsidP="001C19F3">
      <w:pPr>
        <w:spacing w:after="0"/>
        <w:jc w:val="center"/>
        <w:rPr>
          <w:b/>
        </w:rPr>
      </w:pPr>
      <w:bookmarkStart w:id="180" w:name="_Ref20738117"/>
      <w:r w:rsidRPr="00DD08EB">
        <w:rPr>
          <w:b/>
        </w:rPr>
        <w:lastRenderedPageBreak/>
        <w:t xml:space="preserve">Table </w:t>
      </w:r>
      <w:r w:rsidRPr="00DD08EB">
        <w:rPr>
          <w:b/>
        </w:rPr>
        <w:fldChar w:fldCharType="begin"/>
      </w:r>
      <w:r w:rsidRPr="00DD08EB">
        <w:rPr>
          <w:b/>
        </w:rPr>
        <w:instrText>SEQ Table \* ARABIC</w:instrText>
      </w:r>
      <w:r w:rsidRPr="00DD08EB">
        <w:rPr>
          <w:b/>
        </w:rPr>
        <w:fldChar w:fldCharType="separate"/>
      </w:r>
      <w:r>
        <w:rPr>
          <w:b/>
          <w:noProof/>
        </w:rPr>
        <w:t>22</w:t>
      </w:r>
      <w:r w:rsidRPr="00DD08EB">
        <w:rPr>
          <w:b/>
        </w:rPr>
        <w:fldChar w:fldCharType="end"/>
      </w:r>
      <w:bookmarkEnd w:id="180"/>
      <w:r w:rsidRPr="00DD08EB">
        <w:rPr>
          <w:b/>
        </w:rPr>
        <w:t xml:space="preserve"> – </w:t>
      </w:r>
      <w:r>
        <w:rPr>
          <w:b/>
        </w:rPr>
        <w:t xml:space="preserve">Profile of HCH </w:t>
      </w:r>
      <w:r w:rsidRPr="00DD08EB">
        <w:rPr>
          <w:b/>
        </w:rPr>
        <w:t>patients</w:t>
      </w:r>
    </w:p>
    <w:tbl>
      <w:tblPr>
        <w:tblW w:w="5189"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692"/>
        <w:gridCol w:w="1699"/>
        <w:gridCol w:w="1985"/>
        <w:gridCol w:w="2127"/>
        <w:gridCol w:w="1843"/>
      </w:tblGrid>
      <w:tr w:rsidR="001C19F3" w:rsidRPr="004F35EC" w14:paraId="726E1F60" w14:textId="77777777" w:rsidTr="00521305">
        <w:trPr>
          <w:cantSplit/>
          <w:trHeight w:val="423"/>
          <w:tblHeader/>
          <w:jc w:val="center"/>
        </w:trPr>
        <w:tc>
          <w:tcPr>
            <w:tcW w:w="905" w:type="pct"/>
            <w:vMerge w:val="restart"/>
            <w:shd w:val="clear" w:color="auto" w:fill="003D79"/>
            <w:tcMar>
              <w:top w:w="0" w:type="dxa"/>
              <w:left w:w="0" w:type="dxa"/>
              <w:bottom w:w="0" w:type="dxa"/>
              <w:right w:w="0" w:type="dxa"/>
            </w:tcMar>
            <w:vAlign w:val="center"/>
            <w:hideMark/>
          </w:tcPr>
          <w:p w14:paraId="6F60CB1D" w14:textId="77777777" w:rsidR="001C19F3" w:rsidRPr="004F35EC" w:rsidRDefault="001C19F3" w:rsidP="00521305">
            <w:pPr>
              <w:spacing w:after="0"/>
              <w:jc w:val="center"/>
              <w:rPr>
                <w:rFonts w:cstheme="minorHAnsi"/>
                <w:sz w:val="18"/>
                <w:szCs w:val="18"/>
              </w:rPr>
            </w:pPr>
            <w:r>
              <w:rPr>
                <w:rFonts w:cstheme="minorHAnsi"/>
                <w:b/>
                <w:color w:val="FFFFFF"/>
                <w:sz w:val="18"/>
                <w:szCs w:val="18"/>
              </w:rPr>
              <w:t>Characteristic</w:t>
            </w:r>
          </w:p>
        </w:tc>
        <w:tc>
          <w:tcPr>
            <w:tcW w:w="1971" w:type="pct"/>
            <w:gridSpan w:val="2"/>
            <w:shd w:val="clear" w:color="auto" w:fill="003D79"/>
            <w:tcMar>
              <w:top w:w="0" w:type="dxa"/>
              <w:left w:w="0" w:type="dxa"/>
              <w:bottom w:w="0" w:type="dxa"/>
              <w:right w:w="0" w:type="dxa"/>
            </w:tcMar>
            <w:vAlign w:val="center"/>
            <w:hideMark/>
          </w:tcPr>
          <w:p w14:paraId="6F5D07ED" w14:textId="77777777" w:rsidR="001C19F3" w:rsidRPr="004F35EC" w:rsidRDefault="001C19F3" w:rsidP="00521305">
            <w:pPr>
              <w:spacing w:after="0"/>
              <w:jc w:val="center"/>
              <w:rPr>
                <w:rFonts w:cstheme="minorHAnsi"/>
                <w:b/>
                <w:color w:val="FFFFFF"/>
                <w:sz w:val="18"/>
                <w:szCs w:val="18"/>
              </w:rPr>
            </w:pPr>
            <w:r w:rsidRPr="004F35EC">
              <w:rPr>
                <w:rFonts w:cstheme="minorHAnsi"/>
                <w:b/>
                <w:bCs/>
                <w:color w:val="FFFFFF"/>
                <w:sz w:val="18"/>
                <w:szCs w:val="18"/>
              </w:rPr>
              <w:t>Patients flagged as HCH in practice extract data</w:t>
            </w:r>
            <w:r w:rsidRPr="001425E1">
              <w:rPr>
                <w:rFonts w:cstheme="minorHAnsi"/>
                <w:b/>
                <w:bCs/>
                <w:color w:val="FFFFFF"/>
                <w:sz w:val="18"/>
                <w:szCs w:val="18"/>
                <w:vertAlign w:val="superscript"/>
              </w:rPr>
              <w:t>1</w:t>
            </w:r>
          </w:p>
        </w:tc>
        <w:tc>
          <w:tcPr>
            <w:tcW w:w="1138" w:type="pct"/>
            <w:vMerge w:val="restart"/>
            <w:shd w:val="clear" w:color="auto" w:fill="003D79"/>
            <w:vAlign w:val="center"/>
          </w:tcPr>
          <w:p w14:paraId="5F05FA9E" w14:textId="77777777" w:rsidR="001C19F3" w:rsidRPr="004F35EC" w:rsidRDefault="001C19F3" w:rsidP="00521305">
            <w:pPr>
              <w:spacing w:after="0"/>
              <w:jc w:val="center"/>
              <w:rPr>
                <w:rFonts w:cstheme="minorHAnsi"/>
                <w:b/>
                <w:color w:val="FFFFFF"/>
                <w:sz w:val="18"/>
                <w:szCs w:val="18"/>
              </w:rPr>
            </w:pPr>
            <w:r w:rsidRPr="004F35EC">
              <w:rPr>
                <w:rFonts w:cstheme="minorHAnsi"/>
                <w:b/>
                <w:color w:val="FFFFFF"/>
                <w:sz w:val="18"/>
                <w:szCs w:val="18"/>
              </w:rPr>
              <w:t>All active patients</w:t>
            </w:r>
            <w:r>
              <w:rPr>
                <w:rFonts w:cstheme="minorHAnsi"/>
                <w:b/>
                <w:color w:val="FFFFFF"/>
                <w:sz w:val="18"/>
                <w:szCs w:val="18"/>
              </w:rPr>
              <w:t xml:space="preserve"> </w:t>
            </w:r>
            <w:r w:rsidRPr="004F35EC">
              <w:rPr>
                <w:rFonts w:cstheme="minorHAnsi"/>
                <w:b/>
                <w:color w:val="FFFFFF"/>
                <w:sz w:val="18"/>
                <w:szCs w:val="18"/>
              </w:rPr>
              <w:t>– Practices providing complete extract</w:t>
            </w:r>
            <w:r w:rsidRPr="001425E1">
              <w:rPr>
                <w:rFonts w:cstheme="minorHAnsi"/>
                <w:b/>
                <w:color w:val="FFFFFF"/>
                <w:sz w:val="18"/>
                <w:szCs w:val="18"/>
                <w:vertAlign w:val="superscript"/>
              </w:rPr>
              <w:t>2</w:t>
            </w:r>
          </w:p>
        </w:tc>
        <w:tc>
          <w:tcPr>
            <w:tcW w:w="986" w:type="pct"/>
            <w:vMerge w:val="restart"/>
            <w:shd w:val="clear" w:color="auto" w:fill="003D79"/>
            <w:vAlign w:val="center"/>
          </w:tcPr>
          <w:p w14:paraId="036C726B" w14:textId="77777777" w:rsidR="001C19F3" w:rsidRPr="004F35EC" w:rsidRDefault="001C19F3" w:rsidP="00521305">
            <w:pPr>
              <w:spacing w:after="0"/>
              <w:jc w:val="center"/>
              <w:rPr>
                <w:rFonts w:cstheme="minorHAnsi"/>
                <w:b/>
                <w:color w:val="FFFFFF"/>
                <w:sz w:val="18"/>
                <w:szCs w:val="18"/>
              </w:rPr>
            </w:pPr>
            <w:r w:rsidRPr="004F35EC">
              <w:rPr>
                <w:rFonts w:cstheme="minorHAnsi"/>
                <w:b/>
                <w:color w:val="FFFFFF"/>
                <w:sz w:val="18"/>
                <w:szCs w:val="18"/>
              </w:rPr>
              <w:t>Percent of active patient flagged as a</w:t>
            </w:r>
            <w:r>
              <w:rPr>
                <w:rFonts w:cstheme="minorHAnsi"/>
                <w:b/>
                <w:color w:val="FFFFFF"/>
                <w:sz w:val="18"/>
                <w:szCs w:val="18"/>
              </w:rPr>
              <w:t>n</w:t>
            </w:r>
            <w:r w:rsidRPr="004F35EC">
              <w:rPr>
                <w:rFonts w:cstheme="minorHAnsi"/>
                <w:b/>
                <w:color w:val="FFFFFF"/>
                <w:sz w:val="18"/>
                <w:szCs w:val="18"/>
              </w:rPr>
              <w:t xml:space="preserve"> HCH patient</w:t>
            </w:r>
          </w:p>
        </w:tc>
      </w:tr>
      <w:tr w:rsidR="001C19F3" w:rsidRPr="004F35EC" w14:paraId="00111FF2" w14:textId="77777777" w:rsidTr="00521305">
        <w:trPr>
          <w:cantSplit/>
          <w:trHeight w:val="423"/>
          <w:tblHeader/>
          <w:jc w:val="center"/>
        </w:trPr>
        <w:tc>
          <w:tcPr>
            <w:tcW w:w="905" w:type="pct"/>
            <w:vMerge/>
            <w:vAlign w:val="center"/>
            <w:hideMark/>
          </w:tcPr>
          <w:p w14:paraId="05B6A209" w14:textId="77777777" w:rsidR="001C19F3" w:rsidRPr="004F35EC" w:rsidRDefault="001C19F3" w:rsidP="00521305">
            <w:pPr>
              <w:spacing w:after="0"/>
              <w:jc w:val="center"/>
              <w:rPr>
                <w:rFonts w:cstheme="minorHAnsi"/>
                <w:sz w:val="18"/>
                <w:szCs w:val="18"/>
              </w:rPr>
            </w:pPr>
          </w:p>
        </w:tc>
        <w:tc>
          <w:tcPr>
            <w:tcW w:w="909" w:type="pct"/>
            <w:shd w:val="clear" w:color="auto" w:fill="003D79"/>
            <w:tcMar>
              <w:top w:w="0" w:type="dxa"/>
              <w:left w:w="0" w:type="dxa"/>
              <w:bottom w:w="0" w:type="dxa"/>
              <w:right w:w="0" w:type="dxa"/>
            </w:tcMar>
            <w:vAlign w:val="center"/>
            <w:hideMark/>
          </w:tcPr>
          <w:p w14:paraId="4A72E5FF" w14:textId="77777777" w:rsidR="001C19F3" w:rsidRPr="004F35EC" w:rsidRDefault="001C19F3" w:rsidP="00521305">
            <w:pPr>
              <w:spacing w:after="0"/>
              <w:jc w:val="center"/>
              <w:rPr>
                <w:rFonts w:cstheme="minorHAnsi"/>
                <w:sz w:val="18"/>
                <w:szCs w:val="18"/>
              </w:rPr>
            </w:pPr>
            <w:r w:rsidRPr="004F35EC">
              <w:rPr>
                <w:rFonts w:cstheme="minorHAnsi"/>
                <w:b/>
                <w:bCs/>
                <w:sz w:val="18"/>
                <w:szCs w:val="18"/>
              </w:rPr>
              <w:t>All practices providing extracts</w:t>
            </w:r>
          </w:p>
        </w:tc>
        <w:tc>
          <w:tcPr>
            <w:tcW w:w="1062" w:type="pct"/>
            <w:shd w:val="clear" w:color="auto" w:fill="003D79"/>
          </w:tcPr>
          <w:p w14:paraId="34EE405A" w14:textId="77777777" w:rsidR="001C19F3" w:rsidRPr="004F35EC" w:rsidRDefault="001C19F3" w:rsidP="00521305">
            <w:pPr>
              <w:spacing w:after="0"/>
              <w:jc w:val="center"/>
              <w:rPr>
                <w:rFonts w:cstheme="minorHAnsi"/>
                <w:b/>
                <w:color w:val="FFFFFF"/>
                <w:sz w:val="18"/>
                <w:szCs w:val="18"/>
              </w:rPr>
            </w:pPr>
            <w:r w:rsidRPr="004F35EC">
              <w:rPr>
                <w:rFonts w:cstheme="minorHAnsi"/>
                <w:b/>
                <w:color w:val="FFFFFF"/>
                <w:sz w:val="18"/>
                <w:szCs w:val="18"/>
              </w:rPr>
              <w:t>Practices providing complete extract</w:t>
            </w:r>
          </w:p>
        </w:tc>
        <w:tc>
          <w:tcPr>
            <w:tcW w:w="1138" w:type="pct"/>
            <w:vMerge/>
            <w:shd w:val="clear" w:color="auto" w:fill="003D79"/>
          </w:tcPr>
          <w:p w14:paraId="332798EF" w14:textId="77777777" w:rsidR="001C19F3" w:rsidRPr="004F35EC" w:rsidRDefault="001C19F3" w:rsidP="00521305">
            <w:pPr>
              <w:spacing w:after="0"/>
              <w:jc w:val="center"/>
              <w:rPr>
                <w:rFonts w:cstheme="minorHAnsi"/>
                <w:b/>
                <w:color w:val="FFFFFF"/>
                <w:sz w:val="18"/>
                <w:szCs w:val="18"/>
              </w:rPr>
            </w:pPr>
          </w:p>
        </w:tc>
        <w:tc>
          <w:tcPr>
            <w:tcW w:w="986" w:type="pct"/>
            <w:vMerge/>
            <w:shd w:val="clear" w:color="auto" w:fill="003D79"/>
          </w:tcPr>
          <w:p w14:paraId="1122D34E" w14:textId="77777777" w:rsidR="001C19F3" w:rsidRPr="004F35EC" w:rsidRDefault="001C19F3" w:rsidP="00521305">
            <w:pPr>
              <w:spacing w:after="0"/>
              <w:rPr>
                <w:rFonts w:cstheme="minorHAnsi"/>
                <w:b/>
                <w:color w:val="FFFFFF"/>
                <w:sz w:val="18"/>
                <w:szCs w:val="18"/>
              </w:rPr>
            </w:pPr>
          </w:p>
        </w:tc>
      </w:tr>
      <w:tr w:rsidR="001C19F3" w:rsidRPr="004F35EC" w14:paraId="5175A6E3" w14:textId="77777777" w:rsidTr="00521305">
        <w:trPr>
          <w:cantSplit/>
          <w:trHeight w:val="288"/>
          <w:jc w:val="center"/>
        </w:trPr>
        <w:tc>
          <w:tcPr>
            <w:tcW w:w="905" w:type="pct"/>
            <w:tcMar>
              <w:top w:w="0" w:type="dxa"/>
              <w:left w:w="0" w:type="dxa"/>
              <w:bottom w:w="0" w:type="dxa"/>
              <w:right w:w="0" w:type="dxa"/>
            </w:tcMar>
            <w:hideMark/>
          </w:tcPr>
          <w:p w14:paraId="2C033AC4" w14:textId="77777777" w:rsidR="001C19F3" w:rsidRPr="005F4A16" w:rsidRDefault="001C19F3" w:rsidP="00521305">
            <w:pPr>
              <w:spacing w:before="40" w:after="40"/>
              <w:ind w:left="160" w:right="40"/>
              <w:rPr>
                <w:rFonts w:cstheme="minorHAnsi"/>
                <w:b/>
                <w:sz w:val="18"/>
                <w:szCs w:val="18"/>
              </w:rPr>
            </w:pPr>
            <w:r w:rsidRPr="005F4A16">
              <w:rPr>
                <w:b/>
                <w:sz w:val="18"/>
                <w:szCs w:val="18"/>
              </w:rPr>
              <w:t>Total patients</w:t>
            </w:r>
          </w:p>
        </w:tc>
        <w:tc>
          <w:tcPr>
            <w:tcW w:w="909" w:type="pct"/>
            <w:tcMar>
              <w:top w:w="0" w:type="dxa"/>
              <w:left w:w="0" w:type="dxa"/>
              <w:bottom w:w="0" w:type="dxa"/>
              <w:right w:w="0" w:type="dxa"/>
            </w:tcMar>
          </w:tcPr>
          <w:p w14:paraId="12F23F5C" w14:textId="77777777" w:rsidR="001C19F3" w:rsidRPr="005F4A16" w:rsidRDefault="001C19F3" w:rsidP="00521305">
            <w:pPr>
              <w:spacing w:before="40" w:after="40"/>
              <w:ind w:left="40" w:right="40"/>
              <w:jc w:val="center"/>
              <w:rPr>
                <w:rFonts w:cstheme="minorHAnsi"/>
                <w:b/>
                <w:sz w:val="18"/>
                <w:szCs w:val="18"/>
              </w:rPr>
            </w:pPr>
            <w:r>
              <w:rPr>
                <w:b/>
                <w:sz w:val="18"/>
                <w:szCs w:val="18"/>
              </w:rPr>
              <w:t>8.336</w:t>
            </w:r>
            <w:r w:rsidRPr="005F4A16">
              <w:rPr>
                <w:b/>
                <w:sz w:val="18"/>
                <w:szCs w:val="18"/>
              </w:rPr>
              <w:t xml:space="preserve"> (100%)</w:t>
            </w:r>
          </w:p>
        </w:tc>
        <w:tc>
          <w:tcPr>
            <w:tcW w:w="1062" w:type="pct"/>
          </w:tcPr>
          <w:p w14:paraId="7275587A" w14:textId="77777777" w:rsidR="001C19F3" w:rsidRPr="005F4A16" w:rsidRDefault="001C19F3" w:rsidP="00521305">
            <w:pPr>
              <w:spacing w:before="40" w:after="40"/>
              <w:ind w:left="40" w:right="40"/>
              <w:jc w:val="center"/>
              <w:rPr>
                <w:rFonts w:cstheme="minorHAnsi"/>
                <w:b/>
                <w:color w:val="000000"/>
                <w:sz w:val="18"/>
                <w:szCs w:val="18"/>
              </w:rPr>
            </w:pPr>
            <w:r>
              <w:rPr>
                <w:b/>
                <w:sz w:val="18"/>
                <w:szCs w:val="18"/>
              </w:rPr>
              <w:t>6,977</w:t>
            </w:r>
            <w:r w:rsidRPr="005F4A16">
              <w:rPr>
                <w:b/>
                <w:sz w:val="18"/>
                <w:szCs w:val="18"/>
              </w:rPr>
              <w:t xml:space="preserve"> (100%)</w:t>
            </w:r>
          </w:p>
        </w:tc>
        <w:tc>
          <w:tcPr>
            <w:tcW w:w="1138" w:type="pct"/>
          </w:tcPr>
          <w:p w14:paraId="1AD03908" w14:textId="77777777" w:rsidR="001C19F3" w:rsidRPr="005F4A16" w:rsidRDefault="001C19F3" w:rsidP="00521305">
            <w:pPr>
              <w:spacing w:before="40" w:after="40"/>
              <w:ind w:left="40" w:right="40"/>
              <w:jc w:val="center"/>
              <w:rPr>
                <w:rFonts w:cstheme="minorHAnsi"/>
                <w:b/>
                <w:color w:val="000000"/>
                <w:sz w:val="18"/>
                <w:szCs w:val="18"/>
              </w:rPr>
            </w:pPr>
            <w:r w:rsidRPr="0073473B">
              <w:rPr>
                <w:b/>
                <w:sz w:val="18"/>
                <w:szCs w:val="18"/>
              </w:rPr>
              <w:t>584,953</w:t>
            </w:r>
            <w:r w:rsidRPr="0073473B" w:rsidDel="0073473B">
              <w:rPr>
                <w:b/>
                <w:sz w:val="18"/>
                <w:szCs w:val="18"/>
              </w:rPr>
              <w:t xml:space="preserve"> </w:t>
            </w:r>
            <w:r w:rsidRPr="005F4A16">
              <w:rPr>
                <w:b/>
                <w:sz w:val="18"/>
                <w:szCs w:val="18"/>
              </w:rPr>
              <w:t>(100%)</w:t>
            </w:r>
          </w:p>
        </w:tc>
        <w:tc>
          <w:tcPr>
            <w:tcW w:w="986" w:type="pct"/>
          </w:tcPr>
          <w:p w14:paraId="4128B35C" w14:textId="77777777" w:rsidR="001C19F3" w:rsidRPr="005F4A16" w:rsidRDefault="001C19F3" w:rsidP="00521305">
            <w:pPr>
              <w:spacing w:after="0" w:line="240" w:lineRule="auto"/>
              <w:jc w:val="center"/>
              <w:rPr>
                <w:rFonts w:eastAsia="Times New Roman"/>
                <w:b/>
                <w:color w:val="000000"/>
                <w:sz w:val="18"/>
                <w:szCs w:val="18"/>
              </w:rPr>
            </w:pPr>
            <w:r w:rsidRPr="005F4A16">
              <w:rPr>
                <w:b/>
                <w:color w:val="000000"/>
                <w:sz w:val="18"/>
                <w:szCs w:val="18"/>
              </w:rPr>
              <w:t>1.2%</w:t>
            </w:r>
          </w:p>
        </w:tc>
      </w:tr>
      <w:tr w:rsidR="001C19F3" w:rsidRPr="004F35EC" w14:paraId="1E871567" w14:textId="77777777" w:rsidTr="00521305">
        <w:trPr>
          <w:cantSplit/>
          <w:trHeight w:val="288"/>
          <w:jc w:val="center"/>
        </w:trPr>
        <w:tc>
          <w:tcPr>
            <w:tcW w:w="5000" w:type="pct"/>
            <w:gridSpan w:val="5"/>
            <w:tcMar>
              <w:top w:w="0" w:type="dxa"/>
              <w:left w:w="0" w:type="dxa"/>
              <w:bottom w:w="0" w:type="dxa"/>
              <w:right w:w="0" w:type="dxa"/>
            </w:tcMar>
          </w:tcPr>
          <w:p w14:paraId="299043D5" w14:textId="77777777" w:rsidR="001C19F3" w:rsidRPr="004F35EC" w:rsidRDefault="001C19F3" w:rsidP="00521305">
            <w:pPr>
              <w:spacing w:before="40" w:after="40"/>
              <w:ind w:left="40" w:right="40"/>
              <w:jc w:val="center"/>
              <w:rPr>
                <w:rFonts w:cstheme="minorHAnsi"/>
                <w:color w:val="000000"/>
                <w:sz w:val="18"/>
                <w:szCs w:val="18"/>
              </w:rPr>
            </w:pPr>
            <w:r w:rsidRPr="004F35EC">
              <w:rPr>
                <w:b/>
                <w:sz w:val="18"/>
                <w:szCs w:val="18"/>
              </w:rPr>
              <w:t>Sex</w:t>
            </w:r>
          </w:p>
        </w:tc>
      </w:tr>
      <w:tr w:rsidR="001C19F3" w:rsidRPr="004F35EC" w14:paraId="786337EB" w14:textId="77777777" w:rsidTr="00521305">
        <w:trPr>
          <w:cantSplit/>
          <w:trHeight w:val="288"/>
          <w:jc w:val="center"/>
        </w:trPr>
        <w:tc>
          <w:tcPr>
            <w:tcW w:w="905" w:type="pct"/>
            <w:tcMar>
              <w:top w:w="0" w:type="dxa"/>
              <w:left w:w="0" w:type="dxa"/>
              <w:bottom w:w="0" w:type="dxa"/>
              <w:right w:w="0" w:type="dxa"/>
            </w:tcMar>
          </w:tcPr>
          <w:p w14:paraId="3F4CCDC9" w14:textId="77777777" w:rsidR="001C19F3" w:rsidRPr="004F35EC" w:rsidRDefault="001C19F3" w:rsidP="00521305">
            <w:pPr>
              <w:spacing w:before="40" w:after="40"/>
              <w:ind w:left="160" w:right="40"/>
              <w:rPr>
                <w:rFonts w:cstheme="minorHAnsi"/>
                <w:color w:val="000000"/>
                <w:sz w:val="18"/>
                <w:szCs w:val="18"/>
              </w:rPr>
            </w:pPr>
            <w:r w:rsidRPr="004F35EC">
              <w:rPr>
                <w:sz w:val="18"/>
                <w:szCs w:val="18"/>
              </w:rPr>
              <w:t>Female</w:t>
            </w:r>
          </w:p>
        </w:tc>
        <w:tc>
          <w:tcPr>
            <w:tcW w:w="909" w:type="pct"/>
            <w:tcMar>
              <w:top w:w="0" w:type="dxa"/>
              <w:left w:w="0" w:type="dxa"/>
              <w:bottom w:w="0" w:type="dxa"/>
              <w:right w:w="0" w:type="dxa"/>
            </w:tcMar>
          </w:tcPr>
          <w:p w14:paraId="007F68CC" w14:textId="77777777" w:rsidR="001C19F3" w:rsidRPr="004F35EC" w:rsidRDefault="001C19F3" w:rsidP="00521305">
            <w:pPr>
              <w:spacing w:before="40" w:after="40"/>
              <w:ind w:left="40" w:right="40"/>
              <w:jc w:val="center"/>
              <w:rPr>
                <w:rFonts w:cstheme="minorHAnsi"/>
                <w:sz w:val="18"/>
                <w:szCs w:val="18"/>
              </w:rPr>
            </w:pPr>
            <w:r w:rsidRPr="004F35EC">
              <w:rPr>
                <w:sz w:val="18"/>
                <w:szCs w:val="18"/>
              </w:rPr>
              <w:t>4,</w:t>
            </w:r>
            <w:r>
              <w:rPr>
                <w:sz w:val="18"/>
                <w:szCs w:val="18"/>
              </w:rPr>
              <w:t>500</w:t>
            </w:r>
            <w:r w:rsidRPr="004F35EC">
              <w:rPr>
                <w:sz w:val="18"/>
                <w:szCs w:val="18"/>
              </w:rPr>
              <w:t xml:space="preserve"> (54.2%)</w:t>
            </w:r>
          </w:p>
        </w:tc>
        <w:tc>
          <w:tcPr>
            <w:tcW w:w="1062" w:type="pct"/>
          </w:tcPr>
          <w:p w14:paraId="32E4063E" w14:textId="77777777" w:rsidR="001C19F3" w:rsidRPr="004F35EC" w:rsidRDefault="001C19F3" w:rsidP="00521305">
            <w:pPr>
              <w:spacing w:before="40" w:after="40"/>
              <w:ind w:left="40" w:right="40"/>
              <w:jc w:val="center"/>
              <w:rPr>
                <w:rFonts w:cstheme="minorHAnsi"/>
                <w:color w:val="000000"/>
                <w:sz w:val="18"/>
                <w:szCs w:val="18"/>
              </w:rPr>
            </w:pPr>
            <w:r w:rsidRPr="004F35EC">
              <w:rPr>
                <w:sz w:val="18"/>
                <w:szCs w:val="18"/>
              </w:rPr>
              <w:t>3,</w:t>
            </w:r>
            <w:r>
              <w:rPr>
                <w:sz w:val="18"/>
                <w:szCs w:val="18"/>
              </w:rPr>
              <w:t>727</w:t>
            </w:r>
            <w:r w:rsidRPr="004F35EC">
              <w:rPr>
                <w:sz w:val="18"/>
                <w:szCs w:val="18"/>
              </w:rPr>
              <w:t xml:space="preserve"> (53.</w:t>
            </w:r>
            <w:r>
              <w:rPr>
                <w:sz w:val="18"/>
                <w:szCs w:val="18"/>
              </w:rPr>
              <w:t>7</w:t>
            </w:r>
            <w:r w:rsidRPr="004F35EC">
              <w:rPr>
                <w:sz w:val="18"/>
                <w:szCs w:val="18"/>
              </w:rPr>
              <w:t>%)</w:t>
            </w:r>
          </w:p>
        </w:tc>
        <w:tc>
          <w:tcPr>
            <w:tcW w:w="1138" w:type="pct"/>
          </w:tcPr>
          <w:p w14:paraId="70D051D6" w14:textId="77777777" w:rsidR="001C19F3" w:rsidRPr="004F35EC" w:rsidRDefault="001C19F3" w:rsidP="00521305">
            <w:pPr>
              <w:spacing w:before="40" w:after="40"/>
              <w:ind w:left="40" w:right="40"/>
              <w:jc w:val="center"/>
              <w:rPr>
                <w:rFonts w:cstheme="minorHAnsi"/>
                <w:color w:val="000000"/>
                <w:sz w:val="18"/>
                <w:szCs w:val="18"/>
              </w:rPr>
            </w:pPr>
            <w:r w:rsidRPr="00F6575B">
              <w:rPr>
                <w:sz w:val="18"/>
                <w:szCs w:val="18"/>
              </w:rPr>
              <w:t>320</w:t>
            </w:r>
            <w:r>
              <w:rPr>
                <w:sz w:val="18"/>
                <w:szCs w:val="18"/>
              </w:rPr>
              <w:t>,</w:t>
            </w:r>
            <w:r w:rsidRPr="00F6575B">
              <w:rPr>
                <w:sz w:val="18"/>
                <w:szCs w:val="18"/>
              </w:rPr>
              <w:t>993</w:t>
            </w:r>
            <w:r w:rsidRPr="00F6575B" w:rsidDel="00F6575B">
              <w:rPr>
                <w:sz w:val="18"/>
                <w:szCs w:val="18"/>
              </w:rPr>
              <w:t xml:space="preserve"> </w:t>
            </w:r>
            <w:r w:rsidRPr="004F35EC">
              <w:rPr>
                <w:sz w:val="18"/>
                <w:szCs w:val="18"/>
              </w:rPr>
              <w:t>(55.</w:t>
            </w:r>
            <w:r>
              <w:rPr>
                <w:sz w:val="18"/>
                <w:szCs w:val="18"/>
              </w:rPr>
              <w:t>2</w:t>
            </w:r>
            <w:r w:rsidRPr="004F35EC">
              <w:rPr>
                <w:sz w:val="18"/>
                <w:szCs w:val="18"/>
              </w:rPr>
              <w:t>%)</w:t>
            </w:r>
          </w:p>
        </w:tc>
        <w:tc>
          <w:tcPr>
            <w:tcW w:w="986" w:type="pct"/>
            <w:vAlign w:val="bottom"/>
          </w:tcPr>
          <w:p w14:paraId="02E077DE" w14:textId="77777777" w:rsidR="001C19F3" w:rsidRPr="004F35EC" w:rsidRDefault="001C19F3" w:rsidP="00521305">
            <w:pPr>
              <w:spacing w:before="40" w:after="40"/>
              <w:ind w:left="40" w:right="40"/>
              <w:jc w:val="center"/>
              <w:rPr>
                <w:sz w:val="18"/>
                <w:szCs w:val="18"/>
              </w:rPr>
            </w:pPr>
            <w:r w:rsidRPr="004F35EC">
              <w:rPr>
                <w:color w:val="000000"/>
                <w:sz w:val="18"/>
                <w:szCs w:val="18"/>
              </w:rPr>
              <w:t>1.2%</w:t>
            </w:r>
          </w:p>
        </w:tc>
      </w:tr>
      <w:tr w:rsidR="001C19F3" w:rsidRPr="004F35EC" w14:paraId="55602DE8" w14:textId="77777777" w:rsidTr="00521305">
        <w:trPr>
          <w:cantSplit/>
          <w:trHeight w:val="288"/>
          <w:jc w:val="center"/>
        </w:trPr>
        <w:tc>
          <w:tcPr>
            <w:tcW w:w="905" w:type="pct"/>
            <w:tcMar>
              <w:top w:w="0" w:type="dxa"/>
              <w:left w:w="0" w:type="dxa"/>
              <w:bottom w:w="0" w:type="dxa"/>
              <w:right w:w="0" w:type="dxa"/>
            </w:tcMar>
          </w:tcPr>
          <w:p w14:paraId="11651C07" w14:textId="77777777" w:rsidR="001C19F3" w:rsidRPr="004F35EC" w:rsidRDefault="001C19F3" w:rsidP="00521305">
            <w:pPr>
              <w:spacing w:before="40" w:after="40"/>
              <w:ind w:left="160" w:right="40"/>
              <w:rPr>
                <w:rFonts w:cstheme="minorHAnsi"/>
                <w:color w:val="000000"/>
                <w:sz w:val="18"/>
                <w:szCs w:val="18"/>
              </w:rPr>
            </w:pPr>
            <w:r w:rsidRPr="004F35EC">
              <w:rPr>
                <w:sz w:val="18"/>
                <w:szCs w:val="18"/>
              </w:rPr>
              <w:t>Male</w:t>
            </w:r>
          </w:p>
        </w:tc>
        <w:tc>
          <w:tcPr>
            <w:tcW w:w="909" w:type="pct"/>
            <w:tcMar>
              <w:top w:w="0" w:type="dxa"/>
              <w:left w:w="0" w:type="dxa"/>
              <w:bottom w:w="0" w:type="dxa"/>
              <w:right w:w="0" w:type="dxa"/>
            </w:tcMar>
          </w:tcPr>
          <w:p w14:paraId="6EF0E114" w14:textId="77777777" w:rsidR="001C19F3" w:rsidRPr="004F35EC" w:rsidRDefault="001C19F3" w:rsidP="00521305">
            <w:pPr>
              <w:spacing w:before="40" w:after="40"/>
              <w:ind w:left="40" w:right="40"/>
              <w:jc w:val="center"/>
              <w:rPr>
                <w:rFonts w:cstheme="minorHAnsi"/>
                <w:sz w:val="18"/>
                <w:szCs w:val="18"/>
              </w:rPr>
            </w:pPr>
            <w:r w:rsidRPr="004F35EC">
              <w:rPr>
                <w:sz w:val="18"/>
                <w:szCs w:val="18"/>
              </w:rPr>
              <w:t>3,</w:t>
            </w:r>
            <w:r>
              <w:rPr>
                <w:sz w:val="18"/>
                <w:szCs w:val="18"/>
              </w:rPr>
              <w:t>799</w:t>
            </w:r>
            <w:r w:rsidRPr="004F35EC">
              <w:rPr>
                <w:sz w:val="18"/>
                <w:szCs w:val="18"/>
              </w:rPr>
              <w:t xml:space="preserve"> (45.8%)</w:t>
            </w:r>
          </w:p>
        </w:tc>
        <w:tc>
          <w:tcPr>
            <w:tcW w:w="1062" w:type="pct"/>
          </w:tcPr>
          <w:p w14:paraId="29F7A05F" w14:textId="77777777" w:rsidR="001C19F3" w:rsidRPr="004F35EC" w:rsidRDefault="001C19F3" w:rsidP="00521305">
            <w:pPr>
              <w:spacing w:before="40" w:after="40"/>
              <w:ind w:left="40" w:right="40"/>
              <w:jc w:val="center"/>
              <w:rPr>
                <w:rFonts w:cstheme="minorHAnsi"/>
                <w:color w:val="000000"/>
                <w:sz w:val="18"/>
                <w:szCs w:val="18"/>
              </w:rPr>
            </w:pPr>
            <w:r w:rsidRPr="004F35EC">
              <w:rPr>
                <w:sz w:val="18"/>
                <w:szCs w:val="18"/>
              </w:rPr>
              <w:t>3,</w:t>
            </w:r>
            <w:r>
              <w:rPr>
                <w:sz w:val="18"/>
                <w:szCs w:val="18"/>
              </w:rPr>
              <w:t>213</w:t>
            </w:r>
            <w:r w:rsidRPr="004F35EC">
              <w:rPr>
                <w:sz w:val="18"/>
                <w:szCs w:val="18"/>
              </w:rPr>
              <w:t xml:space="preserve"> (46.</w:t>
            </w:r>
            <w:r>
              <w:rPr>
                <w:sz w:val="18"/>
                <w:szCs w:val="18"/>
              </w:rPr>
              <w:t>3</w:t>
            </w:r>
            <w:r w:rsidRPr="004F35EC">
              <w:rPr>
                <w:sz w:val="18"/>
                <w:szCs w:val="18"/>
              </w:rPr>
              <w:t>%)</w:t>
            </w:r>
          </w:p>
        </w:tc>
        <w:tc>
          <w:tcPr>
            <w:tcW w:w="1138" w:type="pct"/>
          </w:tcPr>
          <w:p w14:paraId="1BD029C4" w14:textId="77777777" w:rsidR="001C19F3" w:rsidRPr="004F35EC" w:rsidRDefault="001C19F3" w:rsidP="00521305">
            <w:pPr>
              <w:spacing w:before="40" w:after="40"/>
              <w:ind w:left="40" w:right="40"/>
              <w:jc w:val="center"/>
              <w:rPr>
                <w:rFonts w:cstheme="minorHAnsi"/>
                <w:color w:val="000000"/>
                <w:sz w:val="18"/>
                <w:szCs w:val="18"/>
              </w:rPr>
            </w:pPr>
            <w:r w:rsidRPr="00E91FAC">
              <w:rPr>
                <w:sz w:val="18"/>
                <w:szCs w:val="18"/>
              </w:rPr>
              <w:t>260</w:t>
            </w:r>
            <w:r>
              <w:rPr>
                <w:sz w:val="18"/>
                <w:szCs w:val="18"/>
              </w:rPr>
              <w:t>,</w:t>
            </w:r>
            <w:r w:rsidRPr="00E91FAC">
              <w:rPr>
                <w:sz w:val="18"/>
                <w:szCs w:val="18"/>
              </w:rPr>
              <w:t xml:space="preserve">578 </w:t>
            </w:r>
            <w:r w:rsidRPr="004F35EC">
              <w:rPr>
                <w:sz w:val="18"/>
                <w:szCs w:val="18"/>
              </w:rPr>
              <w:t>(44.</w:t>
            </w:r>
            <w:r>
              <w:rPr>
                <w:sz w:val="18"/>
                <w:szCs w:val="18"/>
              </w:rPr>
              <w:t>8</w:t>
            </w:r>
            <w:r w:rsidRPr="004F35EC">
              <w:rPr>
                <w:sz w:val="18"/>
                <w:szCs w:val="18"/>
              </w:rPr>
              <w:t>%)</w:t>
            </w:r>
          </w:p>
        </w:tc>
        <w:tc>
          <w:tcPr>
            <w:tcW w:w="986" w:type="pct"/>
            <w:vAlign w:val="bottom"/>
          </w:tcPr>
          <w:p w14:paraId="1BDF0219" w14:textId="77777777" w:rsidR="001C19F3" w:rsidRPr="004F35EC" w:rsidRDefault="001C19F3" w:rsidP="00521305">
            <w:pPr>
              <w:spacing w:before="40" w:after="40"/>
              <w:ind w:left="40" w:right="40"/>
              <w:jc w:val="center"/>
              <w:rPr>
                <w:sz w:val="18"/>
                <w:szCs w:val="18"/>
              </w:rPr>
            </w:pPr>
            <w:r w:rsidRPr="004F35EC">
              <w:rPr>
                <w:color w:val="000000"/>
                <w:sz w:val="18"/>
                <w:szCs w:val="18"/>
              </w:rPr>
              <w:t>1.</w:t>
            </w:r>
            <w:r>
              <w:rPr>
                <w:color w:val="000000"/>
                <w:sz w:val="18"/>
                <w:szCs w:val="18"/>
              </w:rPr>
              <w:t>2</w:t>
            </w:r>
            <w:r w:rsidRPr="004F35EC">
              <w:rPr>
                <w:color w:val="000000"/>
                <w:sz w:val="18"/>
                <w:szCs w:val="18"/>
              </w:rPr>
              <w:t>%</w:t>
            </w:r>
          </w:p>
        </w:tc>
      </w:tr>
      <w:tr w:rsidR="001C19F3" w:rsidRPr="004F35EC" w14:paraId="29E18E2F" w14:textId="77777777" w:rsidTr="00521305">
        <w:trPr>
          <w:cantSplit/>
          <w:trHeight w:val="288"/>
          <w:jc w:val="center"/>
        </w:trPr>
        <w:tc>
          <w:tcPr>
            <w:tcW w:w="5000" w:type="pct"/>
            <w:gridSpan w:val="5"/>
            <w:tcMar>
              <w:top w:w="0" w:type="dxa"/>
              <w:left w:w="0" w:type="dxa"/>
              <w:bottom w:w="0" w:type="dxa"/>
              <w:right w:w="0" w:type="dxa"/>
            </w:tcMar>
            <w:hideMark/>
          </w:tcPr>
          <w:p w14:paraId="65CDF94B" w14:textId="77777777" w:rsidR="001C19F3" w:rsidRPr="004F35EC" w:rsidRDefault="001C19F3" w:rsidP="00521305">
            <w:pPr>
              <w:spacing w:before="40" w:after="40"/>
              <w:ind w:left="40" w:right="40"/>
              <w:jc w:val="center"/>
              <w:rPr>
                <w:rFonts w:cstheme="minorHAnsi"/>
                <w:color w:val="000000"/>
                <w:sz w:val="18"/>
                <w:szCs w:val="18"/>
              </w:rPr>
            </w:pPr>
            <w:r w:rsidRPr="004F35EC">
              <w:rPr>
                <w:b/>
                <w:sz w:val="18"/>
                <w:szCs w:val="18"/>
              </w:rPr>
              <w:t>Age group (years)</w:t>
            </w:r>
          </w:p>
        </w:tc>
      </w:tr>
      <w:tr w:rsidR="001C19F3" w:rsidRPr="004F35EC" w14:paraId="4A5E9AB8" w14:textId="77777777" w:rsidTr="00521305">
        <w:trPr>
          <w:cantSplit/>
          <w:trHeight w:val="288"/>
          <w:jc w:val="center"/>
        </w:trPr>
        <w:tc>
          <w:tcPr>
            <w:tcW w:w="905" w:type="pct"/>
            <w:tcMar>
              <w:top w:w="0" w:type="dxa"/>
              <w:left w:w="0" w:type="dxa"/>
              <w:bottom w:w="0" w:type="dxa"/>
              <w:right w:w="0" w:type="dxa"/>
            </w:tcMar>
            <w:hideMark/>
          </w:tcPr>
          <w:p w14:paraId="4D18760B" w14:textId="77777777" w:rsidR="001C19F3" w:rsidRPr="004F35EC" w:rsidRDefault="001C19F3" w:rsidP="00521305">
            <w:pPr>
              <w:spacing w:before="40" w:after="40"/>
              <w:ind w:left="160" w:right="40"/>
              <w:rPr>
                <w:rFonts w:cstheme="minorHAnsi"/>
                <w:sz w:val="18"/>
                <w:szCs w:val="18"/>
              </w:rPr>
            </w:pPr>
            <w:r w:rsidRPr="004F35EC">
              <w:rPr>
                <w:sz w:val="18"/>
                <w:szCs w:val="18"/>
              </w:rPr>
              <w:t>0 &lt; 18</w:t>
            </w:r>
          </w:p>
        </w:tc>
        <w:tc>
          <w:tcPr>
            <w:tcW w:w="909" w:type="pct"/>
            <w:tcMar>
              <w:top w:w="0" w:type="dxa"/>
              <w:left w:w="0" w:type="dxa"/>
              <w:bottom w:w="0" w:type="dxa"/>
              <w:right w:w="0" w:type="dxa"/>
            </w:tcMar>
          </w:tcPr>
          <w:p w14:paraId="3E755D16" w14:textId="77777777" w:rsidR="001C19F3" w:rsidRPr="004F35EC" w:rsidRDefault="001C19F3" w:rsidP="00521305">
            <w:pPr>
              <w:spacing w:before="40" w:after="40"/>
              <w:ind w:left="40" w:right="40"/>
              <w:jc w:val="center"/>
              <w:rPr>
                <w:rFonts w:cstheme="minorHAnsi"/>
                <w:sz w:val="18"/>
                <w:szCs w:val="18"/>
              </w:rPr>
            </w:pPr>
            <w:r w:rsidRPr="004F35EC">
              <w:rPr>
                <w:sz w:val="18"/>
                <w:szCs w:val="18"/>
              </w:rPr>
              <w:t>148 (1.8%)</w:t>
            </w:r>
          </w:p>
        </w:tc>
        <w:tc>
          <w:tcPr>
            <w:tcW w:w="1062" w:type="pct"/>
          </w:tcPr>
          <w:p w14:paraId="3780EDB5" w14:textId="77777777" w:rsidR="001C19F3" w:rsidRPr="004F35EC" w:rsidRDefault="001C19F3" w:rsidP="00521305">
            <w:pPr>
              <w:spacing w:before="40" w:after="40"/>
              <w:ind w:left="40" w:right="40"/>
              <w:jc w:val="center"/>
              <w:rPr>
                <w:rFonts w:cstheme="minorHAnsi"/>
                <w:color w:val="000000"/>
                <w:sz w:val="18"/>
                <w:szCs w:val="18"/>
              </w:rPr>
            </w:pPr>
            <w:r w:rsidRPr="004F35EC">
              <w:rPr>
                <w:sz w:val="18"/>
                <w:szCs w:val="18"/>
              </w:rPr>
              <w:t>117 (1.</w:t>
            </w:r>
            <w:r>
              <w:rPr>
                <w:sz w:val="18"/>
                <w:szCs w:val="18"/>
              </w:rPr>
              <w:t>7</w:t>
            </w:r>
            <w:r w:rsidRPr="004F35EC">
              <w:rPr>
                <w:sz w:val="18"/>
                <w:szCs w:val="18"/>
              </w:rPr>
              <w:t>%)</w:t>
            </w:r>
          </w:p>
        </w:tc>
        <w:tc>
          <w:tcPr>
            <w:tcW w:w="1138" w:type="pct"/>
          </w:tcPr>
          <w:p w14:paraId="682C14FD" w14:textId="77777777" w:rsidR="001C19F3" w:rsidRPr="004F35EC" w:rsidRDefault="001C19F3" w:rsidP="00521305">
            <w:pPr>
              <w:spacing w:before="40" w:after="40"/>
              <w:ind w:left="40" w:right="40"/>
              <w:jc w:val="center"/>
              <w:rPr>
                <w:rFonts w:cstheme="minorHAnsi"/>
                <w:color w:val="000000"/>
                <w:sz w:val="18"/>
                <w:szCs w:val="18"/>
              </w:rPr>
            </w:pPr>
            <w:r w:rsidRPr="00726AB8">
              <w:rPr>
                <w:sz w:val="18"/>
                <w:szCs w:val="18"/>
              </w:rPr>
              <w:t>120</w:t>
            </w:r>
            <w:r>
              <w:rPr>
                <w:sz w:val="18"/>
                <w:szCs w:val="18"/>
              </w:rPr>
              <w:t>,</w:t>
            </w:r>
            <w:r w:rsidRPr="00726AB8">
              <w:rPr>
                <w:sz w:val="18"/>
                <w:szCs w:val="18"/>
              </w:rPr>
              <w:t>950</w:t>
            </w:r>
            <w:r w:rsidRPr="004F35EC">
              <w:rPr>
                <w:sz w:val="18"/>
                <w:szCs w:val="18"/>
              </w:rPr>
              <w:t xml:space="preserve"> (20.</w:t>
            </w:r>
            <w:r>
              <w:rPr>
                <w:sz w:val="18"/>
                <w:szCs w:val="18"/>
              </w:rPr>
              <w:t>7</w:t>
            </w:r>
            <w:r w:rsidRPr="004F35EC">
              <w:rPr>
                <w:sz w:val="18"/>
                <w:szCs w:val="18"/>
              </w:rPr>
              <w:t>%)</w:t>
            </w:r>
          </w:p>
        </w:tc>
        <w:tc>
          <w:tcPr>
            <w:tcW w:w="986" w:type="pct"/>
          </w:tcPr>
          <w:p w14:paraId="7E2E1EC0" w14:textId="77777777" w:rsidR="001C19F3" w:rsidRPr="004F35EC" w:rsidRDefault="001C19F3" w:rsidP="00521305">
            <w:pPr>
              <w:spacing w:before="40" w:after="40"/>
              <w:ind w:left="40" w:right="40"/>
              <w:jc w:val="center"/>
              <w:rPr>
                <w:sz w:val="18"/>
                <w:szCs w:val="18"/>
              </w:rPr>
            </w:pPr>
            <w:r w:rsidRPr="004F35EC">
              <w:rPr>
                <w:sz w:val="18"/>
                <w:szCs w:val="18"/>
              </w:rPr>
              <w:t>0.1%</w:t>
            </w:r>
          </w:p>
        </w:tc>
      </w:tr>
      <w:tr w:rsidR="001C19F3" w:rsidRPr="004F35EC" w14:paraId="544DB274" w14:textId="77777777" w:rsidTr="00521305">
        <w:trPr>
          <w:cantSplit/>
          <w:trHeight w:val="288"/>
          <w:jc w:val="center"/>
        </w:trPr>
        <w:tc>
          <w:tcPr>
            <w:tcW w:w="905" w:type="pct"/>
            <w:tcMar>
              <w:top w:w="0" w:type="dxa"/>
              <w:left w:w="0" w:type="dxa"/>
              <w:bottom w:w="0" w:type="dxa"/>
              <w:right w:w="0" w:type="dxa"/>
            </w:tcMar>
            <w:hideMark/>
          </w:tcPr>
          <w:p w14:paraId="2A625F22" w14:textId="77777777" w:rsidR="001C19F3" w:rsidRPr="004F35EC" w:rsidRDefault="001C19F3" w:rsidP="00521305">
            <w:pPr>
              <w:spacing w:before="40" w:after="40"/>
              <w:ind w:left="160" w:right="40"/>
              <w:rPr>
                <w:rFonts w:cstheme="minorHAnsi"/>
                <w:sz w:val="18"/>
                <w:szCs w:val="18"/>
              </w:rPr>
            </w:pPr>
            <w:r w:rsidRPr="004F35EC">
              <w:rPr>
                <w:sz w:val="18"/>
                <w:szCs w:val="18"/>
              </w:rPr>
              <w:t>18 -24</w:t>
            </w:r>
          </w:p>
        </w:tc>
        <w:tc>
          <w:tcPr>
            <w:tcW w:w="909" w:type="pct"/>
            <w:tcMar>
              <w:top w:w="0" w:type="dxa"/>
              <w:left w:w="0" w:type="dxa"/>
              <w:bottom w:w="0" w:type="dxa"/>
              <w:right w:w="0" w:type="dxa"/>
            </w:tcMar>
          </w:tcPr>
          <w:p w14:paraId="1AE87079" w14:textId="77777777" w:rsidR="001C19F3" w:rsidRPr="004F35EC" w:rsidRDefault="001C19F3" w:rsidP="00521305">
            <w:pPr>
              <w:spacing w:before="40" w:after="40"/>
              <w:ind w:left="40" w:right="40"/>
              <w:jc w:val="center"/>
              <w:rPr>
                <w:rFonts w:cstheme="minorHAnsi"/>
                <w:sz w:val="18"/>
                <w:szCs w:val="18"/>
              </w:rPr>
            </w:pPr>
            <w:r w:rsidRPr="004F35EC">
              <w:rPr>
                <w:sz w:val="18"/>
                <w:szCs w:val="18"/>
              </w:rPr>
              <w:t>18</w:t>
            </w:r>
            <w:r>
              <w:rPr>
                <w:sz w:val="18"/>
                <w:szCs w:val="18"/>
              </w:rPr>
              <w:t>3</w:t>
            </w:r>
            <w:r w:rsidRPr="004F35EC">
              <w:rPr>
                <w:sz w:val="18"/>
                <w:szCs w:val="18"/>
              </w:rPr>
              <w:t xml:space="preserve"> (2.</w:t>
            </w:r>
            <w:r>
              <w:rPr>
                <w:sz w:val="18"/>
                <w:szCs w:val="18"/>
              </w:rPr>
              <w:t>2</w:t>
            </w:r>
            <w:r w:rsidRPr="004F35EC">
              <w:rPr>
                <w:sz w:val="18"/>
                <w:szCs w:val="18"/>
              </w:rPr>
              <w:t>%)</w:t>
            </w:r>
          </w:p>
        </w:tc>
        <w:tc>
          <w:tcPr>
            <w:tcW w:w="1062" w:type="pct"/>
          </w:tcPr>
          <w:p w14:paraId="622F929E" w14:textId="77777777" w:rsidR="001C19F3" w:rsidRPr="004F35EC" w:rsidRDefault="001C19F3" w:rsidP="00521305">
            <w:pPr>
              <w:spacing w:before="40" w:after="40"/>
              <w:ind w:left="40" w:right="40"/>
              <w:jc w:val="center"/>
              <w:rPr>
                <w:rFonts w:cstheme="minorHAnsi"/>
                <w:color w:val="000000"/>
                <w:sz w:val="18"/>
                <w:szCs w:val="18"/>
              </w:rPr>
            </w:pPr>
            <w:r w:rsidRPr="004F35EC">
              <w:rPr>
                <w:sz w:val="18"/>
                <w:szCs w:val="18"/>
              </w:rPr>
              <w:t>11</w:t>
            </w:r>
            <w:r>
              <w:rPr>
                <w:sz w:val="18"/>
                <w:szCs w:val="18"/>
              </w:rPr>
              <w:t>3</w:t>
            </w:r>
            <w:r w:rsidRPr="004F35EC">
              <w:rPr>
                <w:sz w:val="18"/>
                <w:szCs w:val="18"/>
              </w:rPr>
              <w:t xml:space="preserve"> (1.</w:t>
            </w:r>
            <w:r>
              <w:rPr>
                <w:sz w:val="18"/>
                <w:szCs w:val="18"/>
              </w:rPr>
              <w:t>6</w:t>
            </w:r>
            <w:r w:rsidRPr="004F35EC">
              <w:rPr>
                <w:sz w:val="18"/>
                <w:szCs w:val="18"/>
              </w:rPr>
              <w:t>%)</w:t>
            </w:r>
          </w:p>
        </w:tc>
        <w:tc>
          <w:tcPr>
            <w:tcW w:w="1138" w:type="pct"/>
          </w:tcPr>
          <w:p w14:paraId="5618AE3C" w14:textId="77777777" w:rsidR="001C19F3" w:rsidRPr="004F35EC" w:rsidRDefault="001C19F3" w:rsidP="00521305">
            <w:pPr>
              <w:spacing w:before="40" w:after="40"/>
              <w:ind w:left="40" w:right="40"/>
              <w:jc w:val="center"/>
              <w:rPr>
                <w:rFonts w:cstheme="minorHAnsi"/>
                <w:color w:val="000000"/>
                <w:sz w:val="18"/>
                <w:szCs w:val="18"/>
              </w:rPr>
            </w:pPr>
            <w:r w:rsidRPr="00154857">
              <w:rPr>
                <w:sz w:val="18"/>
                <w:szCs w:val="18"/>
              </w:rPr>
              <w:t>50</w:t>
            </w:r>
            <w:r>
              <w:rPr>
                <w:sz w:val="18"/>
                <w:szCs w:val="18"/>
              </w:rPr>
              <w:t>,</w:t>
            </w:r>
            <w:r w:rsidRPr="00154857">
              <w:rPr>
                <w:sz w:val="18"/>
                <w:szCs w:val="18"/>
              </w:rPr>
              <w:t>723</w:t>
            </w:r>
            <w:r w:rsidRPr="00154857" w:rsidDel="00154857">
              <w:rPr>
                <w:sz w:val="18"/>
                <w:szCs w:val="18"/>
              </w:rPr>
              <w:t xml:space="preserve"> </w:t>
            </w:r>
            <w:r w:rsidRPr="004F35EC">
              <w:rPr>
                <w:sz w:val="18"/>
                <w:szCs w:val="18"/>
              </w:rPr>
              <w:t>(8.7%)</w:t>
            </w:r>
          </w:p>
        </w:tc>
        <w:tc>
          <w:tcPr>
            <w:tcW w:w="986" w:type="pct"/>
          </w:tcPr>
          <w:p w14:paraId="0BE110C9" w14:textId="77777777" w:rsidR="001C19F3" w:rsidRPr="004F35EC" w:rsidRDefault="001C19F3" w:rsidP="00521305">
            <w:pPr>
              <w:spacing w:before="40" w:after="40"/>
              <w:ind w:left="40" w:right="40"/>
              <w:jc w:val="center"/>
              <w:rPr>
                <w:sz w:val="18"/>
                <w:szCs w:val="18"/>
              </w:rPr>
            </w:pPr>
            <w:r w:rsidRPr="004F35EC">
              <w:rPr>
                <w:sz w:val="18"/>
                <w:szCs w:val="18"/>
              </w:rPr>
              <w:t>0.2%</w:t>
            </w:r>
          </w:p>
        </w:tc>
      </w:tr>
      <w:tr w:rsidR="001C19F3" w:rsidRPr="004F35EC" w14:paraId="03ADF78D" w14:textId="77777777" w:rsidTr="00521305">
        <w:trPr>
          <w:cantSplit/>
          <w:trHeight w:val="288"/>
          <w:jc w:val="center"/>
        </w:trPr>
        <w:tc>
          <w:tcPr>
            <w:tcW w:w="905" w:type="pct"/>
            <w:tcMar>
              <w:top w:w="0" w:type="dxa"/>
              <w:left w:w="0" w:type="dxa"/>
              <w:bottom w:w="0" w:type="dxa"/>
              <w:right w:w="0" w:type="dxa"/>
            </w:tcMar>
            <w:hideMark/>
          </w:tcPr>
          <w:p w14:paraId="43C3F843" w14:textId="77777777" w:rsidR="001C19F3" w:rsidRPr="004F35EC" w:rsidRDefault="001C19F3" w:rsidP="00521305">
            <w:pPr>
              <w:spacing w:before="40" w:after="40"/>
              <w:ind w:left="160" w:right="40"/>
              <w:rPr>
                <w:rFonts w:cstheme="minorHAnsi"/>
                <w:sz w:val="18"/>
                <w:szCs w:val="18"/>
              </w:rPr>
            </w:pPr>
            <w:r w:rsidRPr="004F35EC">
              <w:rPr>
                <w:sz w:val="18"/>
                <w:szCs w:val="18"/>
              </w:rPr>
              <w:t>25-44</w:t>
            </w:r>
          </w:p>
        </w:tc>
        <w:tc>
          <w:tcPr>
            <w:tcW w:w="909" w:type="pct"/>
            <w:tcMar>
              <w:top w:w="0" w:type="dxa"/>
              <w:left w:w="0" w:type="dxa"/>
              <w:bottom w:w="0" w:type="dxa"/>
              <w:right w:w="0" w:type="dxa"/>
            </w:tcMar>
          </w:tcPr>
          <w:p w14:paraId="5018004D" w14:textId="77777777" w:rsidR="001C19F3" w:rsidRPr="004F35EC" w:rsidRDefault="001C19F3" w:rsidP="00521305">
            <w:pPr>
              <w:spacing w:before="40" w:after="40"/>
              <w:ind w:left="40" w:right="40"/>
              <w:jc w:val="center"/>
              <w:rPr>
                <w:rFonts w:cstheme="minorHAnsi"/>
                <w:sz w:val="18"/>
                <w:szCs w:val="18"/>
              </w:rPr>
            </w:pPr>
            <w:r w:rsidRPr="004F35EC">
              <w:rPr>
                <w:sz w:val="18"/>
                <w:szCs w:val="18"/>
              </w:rPr>
              <w:t>1,0</w:t>
            </w:r>
            <w:r>
              <w:rPr>
                <w:sz w:val="18"/>
                <w:szCs w:val="18"/>
              </w:rPr>
              <w:t>13</w:t>
            </w:r>
            <w:r w:rsidRPr="004F35EC">
              <w:rPr>
                <w:sz w:val="18"/>
                <w:szCs w:val="18"/>
              </w:rPr>
              <w:t xml:space="preserve"> (12.</w:t>
            </w:r>
            <w:r>
              <w:rPr>
                <w:sz w:val="18"/>
                <w:szCs w:val="18"/>
              </w:rPr>
              <w:t>2</w:t>
            </w:r>
            <w:r w:rsidRPr="004F35EC">
              <w:rPr>
                <w:sz w:val="18"/>
                <w:szCs w:val="18"/>
              </w:rPr>
              <w:t>%)</w:t>
            </w:r>
          </w:p>
        </w:tc>
        <w:tc>
          <w:tcPr>
            <w:tcW w:w="1062" w:type="pct"/>
          </w:tcPr>
          <w:p w14:paraId="43D05B45"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631</w:t>
            </w:r>
            <w:r w:rsidRPr="004F35EC">
              <w:rPr>
                <w:sz w:val="18"/>
                <w:szCs w:val="18"/>
              </w:rPr>
              <w:t xml:space="preserve"> (9.</w:t>
            </w:r>
            <w:r>
              <w:rPr>
                <w:sz w:val="18"/>
                <w:szCs w:val="18"/>
              </w:rPr>
              <w:t>0</w:t>
            </w:r>
            <w:r w:rsidRPr="004F35EC">
              <w:rPr>
                <w:sz w:val="18"/>
                <w:szCs w:val="18"/>
              </w:rPr>
              <w:t>%)</w:t>
            </w:r>
          </w:p>
        </w:tc>
        <w:tc>
          <w:tcPr>
            <w:tcW w:w="1138" w:type="pct"/>
          </w:tcPr>
          <w:p w14:paraId="2B4A42FB" w14:textId="77777777" w:rsidR="001C19F3" w:rsidRPr="004F35EC" w:rsidRDefault="001C19F3" w:rsidP="00521305">
            <w:pPr>
              <w:spacing w:before="40" w:after="40"/>
              <w:ind w:left="40" w:right="40"/>
              <w:jc w:val="center"/>
              <w:rPr>
                <w:rFonts w:cstheme="minorHAnsi"/>
                <w:color w:val="000000"/>
                <w:sz w:val="18"/>
                <w:szCs w:val="18"/>
              </w:rPr>
            </w:pPr>
            <w:r w:rsidRPr="00CE7949">
              <w:rPr>
                <w:sz w:val="18"/>
                <w:szCs w:val="18"/>
              </w:rPr>
              <w:t>180</w:t>
            </w:r>
            <w:r>
              <w:rPr>
                <w:sz w:val="18"/>
                <w:szCs w:val="18"/>
              </w:rPr>
              <w:t>,</w:t>
            </w:r>
            <w:r w:rsidRPr="00CE7949">
              <w:rPr>
                <w:sz w:val="18"/>
                <w:szCs w:val="18"/>
              </w:rPr>
              <w:t>430</w:t>
            </w:r>
            <w:r w:rsidRPr="004F35EC">
              <w:rPr>
                <w:sz w:val="18"/>
                <w:szCs w:val="18"/>
              </w:rPr>
              <w:t xml:space="preserve"> (3</w:t>
            </w:r>
            <w:r>
              <w:rPr>
                <w:sz w:val="18"/>
                <w:szCs w:val="18"/>
              </w:rPr>
              <w:t>0.8</w:t>
            </w:r>
            <w:r w:rsidRPr="004F35EC">
              <w:rPr>
                <w:sz w:val="18"/>
                <w:szCs w:val="18"/>
              </w:rPr>
              <w:t>%)</w:t>
            </w:r>
          </w:p>
        </w:tc>
        <w:tc>
          <w:tcPr>
            <w:tcW w:w="986" w:type="pct"/>
          </w:tcPr>
          <w:p w14:paraId="5AF853A6" w14:textId="77777777" w:rsidR="001C19F3" w:rsidRPr="004F35EC" w:rsidRDefault="001C19F3" w:rsidP="00521305">
            <w:pPr>
              <w:spacing w:before="40" w:after="40"/>
              <w:ind w:left="40" w:right="40"/>
              <w:jc w:val="center"/>
              <w:rPr>
                <w:sz w:val="18"/>
                <w:szCs w:val="18"/>
              </w:rPr>
            </w:pPr>
            <w:r w:rsidRPr="004F35EC">
              <w:rPr>
                <w:sz w:val="18"/>
                <w:szCs w:val="18"/>
              </w:rPr>
              <w:t>0.4%</w:t>
            </w:r>
          </w:p>
        </w:tc>
      </w:tr>
      <w:tr w:rsidR="001C19F3" w:rsidRPr="004F35EC" w14:paraId="0431830C" w14:textId="77777777" w:rsidTr="00521305">
        <w:trPr>
          <w:cantSplit/>
          <w:trHeight w:val="288"/>
          <w:jc w:val="center"/>
        </w:trPr>
        <w:tc>
          <w:tcPr>
            <w:tcW w:w="905" w:type="pct"/>
            <w:tcMar>
              <w:top w:w="0" w:type="dxa"/>
              <w:left w:w="0" w:type="dxa"/>
              <w:bottom w:w="0" w:type="dxa"/>
              <w:right w:w="0" w:type="dxa"/>
            </w:tcMar>
            <w:hideMark/>
          </w:tcPr>
          <w:p w14:paraId="43FE9372" w14:textId="77777777" w:rsidR="001C19F3" w:rsidRPr="004F35EC" w:rsidRDefault="001C19F3" w:rsidP="00521305">
            <w:pPr>
              <w:spacing w:before="40" w:after="40"/>
              <w:ind w:left="160" w:right="40"/>
              <w:rPr>
                <w:rFonts w:cstheme="minorHAnsi"/>
                <w:sz w:val="18"/>
                <w:szCs w:val="18"/>
              </w:rPr>
            </w:pPr>
            <w:r w:rsidRPr="004F35EC">
              <w:rPr>
                <w:sz w:val="18"/>
                <w:szCs w:val="18"/>
              </w:rPr>
              <w:t>45-64</w:t>
            </w:r>
          </w:p>
        </w:tc>
        <w:tc>
          <w:tcPr>
            <w:tcW w:w="909" w:type="pct"/>
            <w:tcMar>
              <w:top w:w="0" w:type="dxa"/>
              <w:left w:w="0" w:type="dxa"/>
              <w:bottom w:w="0" w:type="dxa"/>
              <w:right w:w="0" w:type="dxa"/>
            </w:tcMar>
          </w:tcPr>
          <w:p w14:paraId="186B513C" w14:textId="77777777" w:rsidR="001C19F3" w:rsidRPr="004F35EC" w:rsidRDefault="001C19F3" w:rsidP="00521305">
            <w:pPr>
              <w:spacing w:before="40" w:after="40"/>
              <w:ind w:left="40" w:right="40"/>
              <w:jc w:val="center"/>
              <w:rPr>
                <w:rFonts w:cstheme="minorHAnsi"/>
                <w:sz w:val="18"/>
                <w:szCs w:val="18"/>
              </w:rPr>
            </w:pPr>
            <w:r w:rsidRPr="004F35EC">
              <w:rPr>
                <w:sz w:val="18"/>
                <w:szCs w:val="18"/>
              </w:rPr>
              <w:t>2,6</w:t>
            </w:r>
            <w:r>
              <w:rPr>
                <w:sz w:val="18"/>
                <w:szCs w:val="18"/>
              </w:rPr>
              <w:t>73</w:t>
            </w:r>
            <w:r w:rsidRPr="004F35EC">
              <w:rPr>
                <w:sz w:val="18"/>
                <w:szCs w:val="18"/>
              </w:rPr>
              <w:t xml:space="preserve"> (32.</w:t>
            </w:r>
            <w:r>
              <w:rPr>
                <w:sz w:val="18"/>
                <w:szCs w:val="18"/>
              </w:rPr>
              <w:t>1</w:t>
            </w:r>
            <w:r w:rsidRPr="004F35EC">
              <w:rPr>
                <w:sz w:val="18"/>
                <w:szCs w:val="18"/>
              </w:rPr>
              <w:t>%)</w:t>
            </w:r>
          </w:p>
        </w:tc>
        <w:tc>
          <w:tcPr>
            <w:tcW w:w="1062" w:type="pct"/>
          </w:tcPr>
          <w:p w14:paraId="681835F3"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2,043</w:t>
            </w:r>
            <w:r w:rsidRPr="004F35EC">
              <w:rPr>
                <w:sz w:val="18"/>
                <w:szCs w:val="18"/>
              </w:rPr>
              <w:t xml:space="preserve"> (29.</w:t>
            </w:r>
            <w:r>
              <w:rPr>
                <w:sz w:val="18"/>
                <w:szCs w:val="18"/>
              </w:rPr>
              <w:t>3</w:t>
            </w:r>
            <w:r w:rsidRPr="004F35EC">
              <w:rPr>
                <w:sz w:val="18"/>
                <w:szCs w:val="18"/>
              </w:rPr>
              <w:t>%)</w:t>
            </w:r>
          </w:p>
        </w:tc>
        <w:tc>
          <w:tcPr>
            <w:tcW w:w="1138" w:type="pct"/>
          </w:tcPr>
          <w:p w14:paraId="03DA8C3D"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142,775</w:t>
            </w:r>
            <w:r w:rsidRPr="004F35EC">
              <w:rPr>
                <w:sz w:val="18"/>
                <w:szCs w:val="18"/>
              </w:rPr>
              <w:t xml:space="preserve"> (24.</w:t>
            </w:r>
            <w:r>
              <w:rPr>
                <w:sz w:val="18"/>
                <w:szCs w:val="18"/>
              </w:rPr>
              <w:t>4</w:t>
            </w:r>
            <w:r w:rsidRPr="004F35EC">
              <w:rPr>
                <w:sz w:val="18"/>
                <w:szCs w:val="18"/>
              </w:rPr>
              <w:t>%)</w:t>
            </w:r>
          </w:p>
        </w:tc>
        <w:tc>
          <w:tcPr>
            <w:tcW w:w="986" w:type="pct"/>
          </w:tcPr>
          <w:p w14:paraId="7242B548" w14:textId="77777777" w:rsidR="001C19F3" w:rsidRPr="004F35EC" w:rsidRDefault="001C19F3" w:rsidP="00521305">
            <w:pPr>
              <w:spacing w:before="40" w:after="40"/>
              <w:ind w:left="40" w:right="40"/>
              <w:jc w:val="center"/>
              <w:rPr>
                <w:sz w:val="18"/>
                <w:szCs w:val="18"/>
              </w:rPr>
            </w:pPr>
            <w:r w:rsidRPr="004F35EC">
              <w:rPr>
                <w:sz w:val="18"/>
                <w:szCs w:val="18"/>
              </w:rPr>
              <w:t>1.</w:t>
            </w:r>
            <w:r>
              <w:rPr>
                <w:sz w:val="18"/>
                <w:szCs w:val="18"/>
              </w:rPr>
              <w:t>4</w:t>
            </w:r>
            <w:r w:rsidRPr="004F35EC">
              <w:rPr>
                <w:sz w:val="18"/>
                <w:szCs w:val="18"/>
              </w:rPr>
              <w:t>%</w:t>
            </w:r>
          </w:p>
        </w:tc>
      </w:tr>
      <w:tr w:rsidR="001C19F3" w:rsidRPr="004F35EC" w14:paraId="3549B37E" w14:textId="77777777" w:rsidTr="00521305">
        <w:trPr>
          <w:cantSplit/>
          <w:trHeight w:val="288"/>
          <w:jc w:val="center"/>
        </w:trPr>
        <w:tc>
          <w:tcPr>
            <w:tcW w:w="905" w:type="pct"/>
            <w:tcMar>
              <w:top w:w="0" w:type="dxa"/>
              <w:left w:w="0" w:type="dxa"/>
              <w:bottom w:w="0" w:type="dxa"/>
              <w:right w:w="0" w:type="dxa"/>
            </w:tcMar>
            <w:hideMark/>
          </w:tcPr>
          <w:p w14:paraId="7A7D0872" w14:textId="77777777" w:rsidR="001C19F3" w:rsidRPr="004F35EC" w:rsidRDefault="001C19F3" w:rsidP="00521305">
            <w:pPr>
              <w:spacing w:before="40" w:after="40"/>
              <w:ind w:left="160" w:right="40"/>
              <w:rPr>
                <w:rFonts w:cstheme="minorHAnsi"/>
                <w:sz w:val="18"/>
                <w:szCs w:val="18"/>
              </w:rPr>
            </w:pPr>
            <w:r w:rsidRPr="004F35EC">
              <w:rPr>
                <w:sz w:val="18"/>
                <w:szCs w:val="18"/>
              </w:rPr>
              <w:t>65-74</w:t>
            </w:r>
          </w:p>
        </w:tc>
        <w:tc>
          <w:tcPr>
            <w:tcW w:w="909" w:type="pct"/>
            <w:tcMar>
              <w:top w:w="0" w:type="dxa"/>
              <w:left w:w="0" w:type="dxa"/>
              <w:bottom w:w="0" w:type="dxa"/>
              <w:right w:w="0" w:type="dxa"/>
            </w:tcMar>
          </w:tcPr>
          <w:p w14:paraId="29B9FA3F" w14:textId="77777777" w:rsidR="001C19F3" w:rsidRPr="004F35EC" w:rsidRDefault="001C19F3" w:rsidP="00521305">
            <w:pPr>
              <w:spacing w:before="40" w:after="40"/>
              <w:ind w:left="40" w:right="40"/>
              <w:jc w:val="center"/>
              <w:rPr>
                <w:rFonts w:cstheme="minorHAnsi"/>
                <w:sz w:val="18"/>
                <w:szCs w:val="18"/>
              </w:rPr>
            </w:pPr>
            <w:r>
              <w:rPr>
                <w:sz w:val="18"/>
                <w:szCs w:val="18"/>
              </w:rPr>
              <w:t>2,046</w:t>
            </w:r>
            <w:r w:rsidRPr="004F35EC">
              <w:rPr>
                <w:sz w:val="18"/>
                <w:szCs w:val="18"/>
              </w:rPr>
              <w:t xml:space="preserve"> (24.</w:t>
            </w:r>
            <w:r>
              <w:rPr>
                <w:sz w:val="18"/>
                <w:szCs w:val="18"/>
              </w:rPr>
              <w:t>5</w:t>
            </w:r>
            <w:r w:rsidRPr="004F35EC">
              <w:rPr>
                <w:sz w:val="18"/>
                <w:szCs w:val="18"/>
              </w:rPr>
              <w:t>%)</w:t>
            </w:r>
          </w:p>
        </w:tc>
        <w:tc>
          <w:tcPr>
            <w:tcW w:w="1062" w:type="pct"/>
          </w:tcPr>
          <w:p w14:paraId="5EC20E0A"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1,876</w:t>
            </w:r>
            <w:r w:rsidRPr="004F35EC">
              <w:rPr>
                <w:sz w:val="18"/>
                <w:szCs w:val="18"/>
              </w:rPr>
              <w:t xml:space="preserve"> (26.</w:t>
            </w:r>
            <w:r>
              <w:rPr>
                <w:sz w:val="18"/>
                <w:szCs w:val="18"/>
              </w:rPr>
              <w:t>9</w:t>
            </w:r>
            <w:r w:rsidRPr="004F35EC">
              <w:rPr>
                <w:sz w:val="18"/>
                <w:szCs w:val="18"/>
              </w:rPr>
              <w:t>%)</w:t>
            </w:r>
          </w:p>
        </w:tc>
        <w:tc>
          <w:tcPr>
            <w:tcW w:w="1138" w:type="pct"/>
          </w:tcPr>
          <w:p w14:paraId="55A17697"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51,735</w:t>
            </w:r>
            <w:r w:rsidRPr="004F35EC">
              <w:rPr>
                <w:sz w:val="18"/>
                <w:szCs w:val="18"/>
              </w:rPr>
              <w:t xml:space="preserve"> (8.</w:t>
            </w:r>
            <w:r>
              <w:rPr>
                <w:sz w:val="18"/>
                <w:szCs w:val="18"/>
              </w:rPr>
              <w:t>8</w:t>
            </w:r>
            <w:r w:rsidRPr="004F35EC">
              <w:rPr>
                <w:sz w:val="18"/>
                <w:szCs w:val="18"/>
              </w:rPr>
              <w:t>%)</w:t>
            </w:r>
          </w:p>
        </w:tc>
        <w:tc>
          <w:tcPr>
            <w:tcW w:w="986" w:type="pct"/>
          </w:tcPr>
          <w:p w14:paraId="2E4F5A58" w14:textId="77777777" w:rsidR="001C19F3" w:rsidRPr="004F35EC" w:rsidRDefault="001C19F3" w:rsidP="00521305">
            <w:pPr>
              <w:spacing w:before="40" w:after="40"/>
              <w:ind w:left="40" w:right="40"/>
              <w:jc w:val="center"/>
              <w:rPr>
                <w:sz w:val="18"/>
                <w:szCs w:val="18"/>
              </w:rPr>
            </w:pPr>
            <w:r w:rsidRPr="004F35EC">
              <w:rPr>
                <w:sz w:val="18"/>
                <w:szCs w:val="18"/>
              </w:rPr>
              <w:t>3.</w:t>
            </w:r>
            <w:r>
              <w:rPr>
                <w:sz w:val="18"/>
                <w:szCs w:val="18"/>
              </w:rPr>
              <w:t>6</w:t>
            </w:r>
            <w:r w:rsidRPr="004F35EC">
              <w:rPr>
                <w:sz w:val="18"/>
                <w:szCs w:val="18"/>
              </w:rPr>
              <w:t>%</w:t>
            </w:r>
          </w:p>
        </w:tc>
      </w:tr>
      <w:tr w:rsidR="001C19F3" w:rsidRPr="004F35EC" w14:paraId="5F70A834" w14:textId="77777777" w:rsidTr="00521305">
        <w:trPr>
          <w:cantSplit/>
          <w:trHeight w:val="288"/>
          <w:jc w:val="center"/>
        </w:trPr>
        <w:tc>
          <w:tcPr>
            <w:tcW w:w="905" w:type="pct"/>
            <w:tcMar>
              <w:top w:w="0" w:type="dxa"/>
              <w:left w:w="0" w:type="dxa"/>
              <w:bottom w:w="0" w:type="dxa"/>
              <w:right w:w="0" w:type="dxa"/>
            </w:tcMar>
          </w:tcPr>
          <w:p w14:paraId="6777B439" w14:textId="77777777" w:rsidR="001C19F3" w:rsidRPr="004F35EC" w:rsidRDefault="001C19F3" w:rsidP="00521305">
            <w:pPr>
              <w:spacing w:before="40" w:after="40"/>
              <w:ind w:left="160" w:right="40"/>
              <w:rPr>
                <w:rFonts w:cstheme="minorHAnsi"/>
                <w:color w:val="000000"/>
                <w:sz w:val="18"/>
                <w:szCs w:val="18"/>
              </w:rPr>
            </w:pPr>
            <w:r w:rsidRPr="004F35EC">
              <w:rPr>
                <w:sz w:val="18"/>
                <w:szCs w:val="18"/>
              </w:rPr>
              <w:t>75-84</w:t>
            </w:r>
          </w:p>
        </w:tc>
        <w:tc>
          <w:tcPr>
            <w:tcW w:w="909" w:type="pct"/>
            <w:tcMar>
              <w:top w:w="0" w:type="dxa"/>
              <w:left w:w="0" w:type="dxa"/>
              <w:bottom w:w="0" w:type="dxa"/>
              <w:right w:w="0" w:type="dxa"/>
            </w:tcMar>
          </w:tcPr>
          <w:p w14:paraId="7649EB89" w14:textId="77777777" w:rsidR="001C19F3" w:rsidRPr="004F35EC" w:rsidRDefault="001C19F3" w:rsidP="00521305">
            <w:pPr>
              <w:spacing w:before="40" w:after="40"/>
              <w:ind w:left="40" w:right="40"/>
              <w:jc w:val="center"/>
              <w:rPr>
                <w:rFonts w:cstheme="minorHAnsi"/>
                <w:sz w:val="18"/>
                <w:szCs w:val="18"/>
              </w:rPr>
            </w:pPr>
            <w:r>
              <w:rPr>
                <w:sz w:val="18"/>
                <w:szCs w:val="18"/>
              </w:rPr>
              <w:t>1,656</w:t>
            </w:r>
            <w:r w:rsidRPr="004F35EC">
              <w:rPr>
                <w:sz w:val="18"/>
                <w:szCs w:val="18"/>
              </w:rPr>
              <w:t xml:space="preserve"> (19.</w:t>
            </w:r>
            <w:r>
              <w:rPr>
                <w:sz w:val="18"/>
                <w:szCs w:val="18"/>
              </w:rPr>
              <w:t>9</w:t>
            </w:r>
            <w:r w:rsidRPr="004F35EC">
              <w:rPr>
                <w:sz w:val="18"/>
                <w:szCs w:val="18"/>
              </w:rPr>
              <w:t>%)</w:t>
            </w:r>
          </w:p>
        </w:tc>
        <w:tc>
          <w:tcPr>
            <w:tcW w:w="1062" w:type="pct"/>
          </w:tcPr>
          <w:p w14:paraId="0CDDD824"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1,594</w:t>
            </w:r>
            <w:r w:rsidRPr="004F35EC">
              <w:rPr>
                <w:sz w:val="18"/>
                <w:szCs w:val="18"/>
              </w:rPr>
              <w:t xml:space="preserve"> (22.</w:t>
            </w:r>
            <w:r>
              <w:rPr>
                <w:sz w:val="18"/>
                <w:szCs w:val="18"/>
              </w:rPr>
              <w:t>8</w:t>
            </w:r>
            <w:r w:rsidRPr="004F35EC">
              <w:rPr>
                <w:sz w:val="18"/>
                <w:szCs w:val="18"/>
              </w:rPr>
              <w:t>%)</w:t>
            </w:r>
          </w:p>
        </w:tc>
        <w:tc>
          <w:tcPr>
            <w:tcW w:w="1138" w:type="pct"/>
          </w:tcPr>
          <w:p w14:paraId="35B989D0"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26,795</w:t>
            </w:r>
            <w:r w:rsidRPr="004F35EC">
              <w:rPr>
                <w:sz w:val="18"/>
                <w:szCs w:val="18"/>
              </w:rPr>
              <w:t xml:space="preserve"> (4.</w:t>
            </w:r>
            <w:r>
              <w:rPr>
                <w:sz w:val="18"/>
                <w:szCs w:val="18"/>
              </w:rPr>
              <w:t>6</w:t>
            </w:r>
            <w:r w:rsidRPr="004F35EC">
              <w:rPr>
                <w:sz w:val="18"/>
                <w:szCs w:val="18"/>
              </w:rPr>
              <w:t>%)</w:t>
            </w:r>
          </w:p>
        </w:tc>
        <w:tc>
          <w:tcPr>
            <w:tcW w:w="986" w:type="pct"/>
          </w:tcPr>
          <w:p w14:paraId="29E8B4E6" w14:textId="77777777" w:rsidR="001C19F3" w:rsidRPr="004F35EC" w:rsidRDefault="001C19F3" w:rsidP="00521305">
            <w:pPr>
              <w:spacing w:before="40" w:after="40"/>
              <w:ind w:left="40" w:right="40"/>
              <w:jc w:val="center"/>
              <w:rPr>
                <w:sz w:val="18"/>
                <w:szCs w:val="18"/>
              </w:rPr>
            </w:pPr>
            <w:r w:rsidRPr="004F35EC">
              <w:rPr>
                <w:sz w:val="18"/>
                <w:szCs w:val="18"/>
              </w:rPr>
              <w:t>6.</w:t>
            </w:r>
            <w:r>
              <w:rPr>
                <w:sz w:val="18"/>
                <w:szCs w:val="18"/>
              </w:rPr>
              <w:t>0</w:t>
            </w:r>
            <w:r w:rsidRPr="004F35EC">
              <w:rPr>
                <w:sz w:val="18"/>
                <w:szCs w:val="18"/>
              </w:rPr>
              <w:t>%</w:t>
            </w:r>
          </w:p>
        </w:tc>
      </w:tr>
      <w:tr w:rsidR="001C19F3" w:rsidRPr="004F35EC" w14:paraId="1DFE6E05" w14:textId="77777777" w:rsidTr="00521305">
        <w:trPr>
          <w:cantSplit/>
          <w:trHeight w:val="288"/>
          <w:jc w:val="center"/>
        </w:trPr>
        <w:tc>
          <w:tcPr>
            <w:tcW w:w="905" w:type="pct"/>
            <w:tcMar>
              <w:top w:w="0" w:type="dxa"/>
              <w:left w:w="0" w:type="dxa"/>
              <w:bottom w:w="0" w:type="dxa"/>
              <w:right w:w="0" w:type="dxa"/>
            </w:tcMar>
          </w:tcPr>
          <w:p w14:paraId="7FF1CC1F" w14:textId="77777777" w:rsidR="001C19F3" w:rsidRPr="004F35EC" w:rsidRDefault="001C19F3" w:rsidP="00521305">
            <w:pPr>
              <w:spacing w:before="40" w:after="40"/>
              <w:ind w:left="160" w:right="40"/>
              <w:rPr>
                <w:rFonts w:cstheme="minorHAnsi"/>
                <w:color w:val="000000"/>
                <w:sz w:val="18"/>
                <w:szCs w:val="18"/>
              </w:rPr>
            </w:pPr>
            <w:r w:rsidRPr="004F35EC">
              <w:rPr>
                <w:sz w:val="18"/>
                <w:szCs w:val="18"/>
              </w:rPr>
              <w:t>85+</w:t>
            </w:r>
          </w:p>
        </w:tc>
        <w:tc>
          <w:tcPr>
            <w:tcW w:w="909" w:type="pct"/>
            <w:tcMar>
              <w:top w:w="0" w:type="dxa"/>
              <w:left w:w="0" w:type="dxa"/>
              <w:bottom w:w="0" w:type="dxa"/>
              <w:right w:w="0" w:type="dxa"/>
            </w:tcMar>
          </w:tcPr>
          <w:p w14:paraId="7A30BD6A" w14:textId="77777777" w:rsidR="001C19F3" w:rsidRPr="004F35EC" w:rsidRDefault="001C19F3" w:rsidP="00521305">
            <w:pPr>
              <w:spacing w:before="40" w:after="40"/>
              <w:ind w:left="40" w:right="40"/>
              <w:jc w:val="center"/>
              <w:rPr>
                <w:rFonts w:cstheme="minorHAnsi"/>
                <w:sz w:val="18"/>
                <w:szCs w:val="18"/>
              </w:rPr>
            </w:pPr>
            <w:r>
              <w:rPr>
                <w:sz w:val="18"/>
                <w:szCs w:val="18"/>
              </w:rPr>
              <w:t>617</w:t>
            </w:r>
            <w:r w:rsidRPr="004F35EC">
              <w:rPr>
                <w:sz w:val="18"/>
                <w:szCs w:val="18"/>
              </w:rPr>
              <w:t xml:space="preserve"> (7.</w:t>
            </w:r>
            <w:r>
              <w:rPr>
                <w:sz w:val="18"/>
                <w:szCs w:val="18"/>
              </w:rPr>
              <w:t>4</w:t>
            </w:r>
            <w:r w:rsidRPr="004F35EC">
              <w:rPr>
                <w:sz w:val="18"/>
                <w:szCs w:val="18"/>
              </w:rPr>
              <w:t>%)</w:t>
            </w:r>
          </w:p>
        </w:tc>
        <w:tc>
          <w:tcPr>
            <w:tcW w:w="1062" w:type="pct"/>
          </w:tcPr>
          <w:p w14:paraId="3ADF8AF6"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603</w:t>
            </w:r>
            <w:r w:rsidRPr="004F35EC">
              <w:rPr>
                <w:sz w:val="18"/>
                <w:szCs w:val="18"/>
              </w:rPr>
              <w:t xml:space="preserve"> (8.</w:t>
            </w:r>
            <w:r>
              <w:rPr>
                <w:sz w:val="18"/>
                <w:szCs w:val="18"/>
              </w:rPr>
              <w:t>6</w:t>
            </w:r>
            <w:r w:rsidRPr="004F35EC">
              <w:rPr>
                <w:sz w:val="18"/>
                <w:szCs w:val="18"/>
              </w:rPr>
              <w:t>%)</w:t>
            </w:r>
          </w:p>
        </w:tc>
        <w:tc>
          <w:tcPr>
            <w:tcW w:w="1138" w:type="pct"/>
          </w:tcPr>
          <w:p w14:paraId="2CE2D829" w14:textId="77777777" w:rsidR="001C19F3" w:rsidRPr="004F35EC" w:rsidRDefault="001C19F3" w:rsidP="00521305">
            <w:pPr>
              <w:spacing w:before="40" w:after="40"/>
              <w:ind w:left="40" w:right="40"/>
              <w:jc w:val="center"/>
              <w:rPr>
                <w:rFonts w:cstheme="minorHAnsi"/>
                <w:color w:val="000000"/>
                <w:sz w:val="18"/>
                <w:szCs w:val="18"/>
              </w:rPr>
            </w:pPr>
            <w:r>
              <w:rPr>
                <w:sz w:val="18"/>
                <w:szCs w:val="18"/>
              </w:rPr>
              <w:t>11,540</w:t>
            </w:r>
            <w:r w:rsidRPr="004F35EC">
              <w:rPr>
                <w:sz w:val="18"/>
                <w:szCs w:val="18"/>
              </w:rPr>
              <w:t xml:space="preserve"> (</w:t>
            </w:r>
            <w:r>
              <w:rPr>
                <w:sz w:val="18"/>
                <w:szCs w:val="18"/>
              </w:rPr>
              <w:t>2.0</w:t>
            </w:r>
            <w:r w:rsidRPr="004F35EC">
              <w:rPr>
                <w:sz w:val="18"/>
                <w:szCs w:val="18"/>
              </w:rPr>
              <w:t>%)</w:t>
            </w:r>
          </w:p>
        </w:tc>
        <w:tc>
          <w:tcPr>
            <w:tcW w:w="986" w:type="pct"/>
          </w:tcPr>
          <w:p w14:paraId="158B59BD" w14:textId="77777777" w:rsidR="001C19F3" w:rsidRPr="004F35EC" w:rsidRDefault="001C19F3" w:rsidP="00521305">
            <w:pPr>
              <w:spacing w:before="40" w:after="40"/>
              <w:ind w:left="40" w:right="40"/>
              <w:jc w:val="center"/>
              <w:rPr>
                <w:sz w:val="18"/>
                <w:szCs w:val="18"/>
              </w:rPr>
            </w:pPr>
            <w:r w:rsidRPr="004F35EC">
              <w:rPr>
                <w:sz w:val="18"/>
                <w:szCs w:val="18"/>
              </w:rPr>
              <w:t>5.</w:t>
            </w:r>
            <w:r>
              <w:rPr>
                <w:sz w:val="18"/>
                <w:szCs w:val="18"/>
              </w:rPr>
              <w:t>2</w:t>
            </w:r>
            <w:r w:rsidRPr="004F35EC">
              <w:rPr>
                <w:sz w:val="18"/>
                <w:szCs w:val="18"/>
              </w:rPr>
              <w:t>%</w:t>
            </w:r>
          </w:p>
        </w:tc>
      </w:tr>
    </w:tbl>
    <w:p w14:paraId="44CF7ECC" w14:textId="77777777" w:rsidR="001C19F3" w:rsidRPr="005C549C" w:rsidRDefault="001C19F3" w:rsidP="001C19F3">
      <w:pPr>
        <w:pStyle w:val="Chartortablefootnote"/>
      </w:pPr>
      <w:r w:rsidRPr="005C549C">
        <w:t xml:space="preserve">Sources: </w:t>
      </w:r>
      <w:r w:rsidRPr="001425E1">
        <w:rPr>
          <w:vertAlign w:val="superscript"/>
        </w:rPr>
        <w:t>1</w:t>
      </w:r>
      <w:r w:rsidRPr="001425E1">
        <w:t>Based on practice data extracts received to 30 June 2019</w:t>
      </w:r>
      <w:r>
        <w:t>,</w:t>
      </w:r>
      <w:r w:rsidRPr="001425E1">
        <w:t xml:space="preserve"> sex is not recorded or not stated for 37 patients; </w:t>
      </w:r>
      <w:r w:rsidRPr="001425E1">
        <w:rPr>
          <w:vertAlign w:val="superscript"/>
        </w:rPr>
        <w:t>2</w:t>
      </w:r>
      <w:r w:rsidRPr="001425E1">
        <w:t>Based on practice data extracts provided by non-AMS practices at 30 June 2019</w:t>
      </w:r>
      <w:r>
        <w:t>,</w:t>
      </w:r>
      <w:r w:rsidRPr="001425E1">
        <w:t xml:space="preserve"> age is not recorded for 5 patients and sex is not recorded or not stated for </w:t>
      </w:r>
      <w:r>
        <w:t>3,379</w:t>
      </w:r>
      <w:r w:rsidRPr="001425E1">
        <w:t xml:space="preserve"> patients. ‘Active patient’ is defined in Pen CS data as having at least three progress notes recorded in two years. In POLAR data, it is defined as the patient having at least three different dates recorded in the extract data as an encounter, observation, pathology test, prescription or MBS billing in 21 months (from October 2017 to June 2019). Patients who died are excluded.</w:t>
      </w:r>
    </w:p>
    <w:p w14:paraId="67402ECD" w14:textId="77777777" w:rsidR="001C19F3" w:rsidRDefault="001C19F3" w:rsidP="001C19F3">
      <w:pPr>
        <w:pStyle w:val="Heading2"/>
      </w:pPr>
      <w:bookmarkStart w:id="181" w:name="_Toc20151662"/>
      <w:bookmarkStart w:id="182" w:name="_Toc27056560"/>
      <w:r>
        <w:t>HCH patient utilisation and access</w:t>
      </w:r>
      <w:bookmarkEnd w:id="181"/>
      <w:bookmarkEnd w:id="182"/>
    </w:p>
    <w:p w14:paraId="24504E62" w14:textId="77777777" w:rsidR="001C19F3" w:rsidRDefault="001C19F3" w:rsidP="001C19F3">
      <w:r>
        <w:t>Most patients (65.2%) indicated they had been attending their HCH practice for five or more years. A further 15.6% had been attending between three and five years (</w:t>
      </w:r>
      <w:r>
        <w:fldChar w:fldCharType="begin"/>
      </w:r>
      <w:r>
        <w:instrText xml:space="preserve"> REF _Ref20739049 \h  \* MERGEFORMAT </w:instrText>
      </w:r>
      <w:r>
        <w:fldChar w:fldCharType="separate"/>
      </w:r>
      <w:r w:rsidRPr="00822044">
        <w:t>Table 23</w:t>
      </w:r>
      <w:r>
        <w:fldChar w:fldCharType="end"/>
      </w:r>
      <w:r>
        <w:t>). The relationship between tier and the length of time attending was statistically significant, with a higher proportion of Tier 1 patients attending the practice for a longer period.</w:t>
      </w:r>
    </w:p>
    <w:p w14:paraId="37DBCC43" w14:textId="77777777" w:rsidR="001C19F3" w:rsidRPr="00DD08EB" w:rsidRDefault="001C19F3" w:rsidP="001C19F3">
      <w:pPr>
        <w:spacing w:after="0"/>
        <w:jc w:val="center"/>
        <w:rPr>
          <w:b/>
        </w:rPr>
      </w:pPr>
      <w:bookmarkStart w:id="183" w:name="_Ref20739049"/>
      <w:r w:rsidRPr="00DD08EB">
        <w:rPr>
          <w:b/>
        </w:rPr>
        <w:t xml:space="preserve">Table </w:t>
      </w:r>
      <w:r w:rsidRPr="00DD08EB">
        <w:rPr>
          <w:b/>
        </w:rPr>
        <w:fldChar w:fldCharType="begin"/>
      </w:r>
      <w:r w:rsidRPr="00DD08EB">
        <w:rPr>
          <w:b/>
        </w:rPr>
        <w:instrText>SEQ Table \* ARABIC</w:instrText>
      </w:r>
      <w:r w:rsidRPr="00DD08EB">
        <w:rPr>
          <w:b/>
        </w:rPr>
        <w:fldChar w:fldCharType="separate"/>
      </w:r>
      <w:r>
        <w:rPr>
          <w:b/>
          <w:noProof/>
        </w:rPr>
        <w:t>23</w:t>
      </w:r>
      <w:r w:rsidRPr="00DD08EB">
        <w:rPr>
          <w:b/>
        </w:rPr>
        <w:fldChar w:fldCharType="end"/>
      </w:r>
      <w:bookmarkEnd w:id="183"/>
      <w:r w:rsidRPr="00DD08EB">
        <w:rPr>
          <w:b/>
        </w:rPr>
        <w:t xml:space="preserve"> – </w:t>
      </w:r>
      <w:r>
        <w:rPr>
          <w:b/>
        </w:rPr>
        <w:t>Length of time patients have been attending their HCH practice</w:t>
      </w:r>
    </w:p>
    <w:tbl>
      <w:tblPr>
        <w:tblW w:w="9072" w:type="dxa"/>
        <w:jc w:val="center"/>
        <w:tblLayout w:type="fixed"/>
        <w:tblLook w:val="04A0" w:firstRow="1" w:lastRow="0" w:firstColumn="1" w:lastColumn="0" w:noHBand="0" w:noVBand="1"/>
      </w:tblPr>
      <w:tblGrid>
        <w:gridCol w:w="2476"/>
        <w:gridCol w:w="1440"/>
        <w:gridCol w:w="1440"/>
        <w:gridCol w:w="1440"/>
        <w:gridCol w:w="1440"/>
        <w:gridCol w:w="836"/>
      </w:tblGrid>
      <w:tr w:rsidR="001C19F3" w14:paraId="4F84D27D" w14:textId="77777777" w:rsidTr="00521305">
        <w:trPr>
          <w:cantSplit/>
          <w:trHeight w:val="333"/>
          <w:tblHeader/>
          <w:jc w:val="center"/>
        </w:trPr>
        <w:tc>
          <w:tcPr>
            <w:tcW w:w="2476"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37E4D5" w14:textId="77777777" w:rsidR="001C19F3" w:rsidRDefault="001C19F3" w:rsidP="00521305">
            <w:pPr>
              <w:spacing w:after="0"/>
              <w:jc w:val="center"/>
              <w:rPr>
                <w:rFonts w:asciiTheme="minorHAnsi" w:eastAsiaTheme="minorHAnsi" w:hAnsiTheme="minorHAnsi"/>
              </w:rPr>
            </w:pPr>
            <w:r w:rsidRPr="002030B7">
              <w:rPr>
                <w:rFonts w:cstheme="minorHAnsi"/>
                <w:b/>
                <w:color w:val="FFFFFF"/>
                <w:sz w:val="18"/>
                <w:szCs w:val="18"/>
              </w:rPr>
              <w:t>Characteristic</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9528597" w14:textId="77777777" w:rsidR="001C19F3" w:rsidRDefault="001C19F3" w:rsidP="00521305">
            <w:pPr>
              <w:spacing w:after="0"/>
              <w:jc w:val="center"/>
            </w:pPr>
            <w:r>
              <w:rPr>
                <w:rFonts w:eastAsia="Century Gothic" w:cs="Century Gothic"/>
                <w:b/>
                <w:color w:val="FFFFFF"/>
                <w:sz w:val="18"/>
                <w:szCs w:val="18"/>
              </w:rPr>
              <w:t>Total</w:t>
            </w:r>
          </w:p>
        </w:tc>
        <w:tc>
          <w:tcPr>
            <w:tcW w:w="5156"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DDBACE6" w14:textId="77777777" w:rsidR="001C19F3" w:rsidRDefault="001C19F3" w:rsidP="00521305">
            <w:pPr>
              <w:spacing w:after="0"/>
              <w:jc w:val="center"/>
            </w:pPr>
            <w:r>
              <w:rPr>
                <w:b/>
                <w:sz w:val="18"/>
                <w:szCs w:val="18"/>
              </w:rPr>
              <w:t>HCH risk tier</w:t>
            </w:r>
          </w:p>
        </w:tc>
      </w:tr>
      <w:tr w:rsidR="001C19F3" w14:paraId="2AE1208A" w14:textId="77777777" w:rsidTr="00521305">
        <w:trPr>
          <w:cantSplit/>
          <w:trHeight w:val="330"/>
          <w:tblHeader/>
          <w:jc w:val="center"/>
        </w:trPr>
        <w:tc>
          <w:tcPr>
            <w:tcW w:w="2476" w:type="dxa"/>
            <w:vMerge/>
            <w:tcBorders>
              <w:top w:val="single" w:sz="8" w:space="0" w:color="BFBFBF"/>
              <w:left w:val="single" w:sz="8" w:space="0" w:color="BFBFBF"/>
              <w:bottom w:val="single" w:sz="8" w:space="0" w:color="BFBFBF"/>
              <w:right w:val="single" w:sz="8" w:space="0" w:color="BFBFBF"/>
            </w:tcBorders>
            <w:vAlign w:val="center"/>
            <w:hideMark/>
          </w:tcPr>
          <w:p w14:paraId="358BE492"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2CC82B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AC0745D" w14:textId="77777777" w:rsidR="001C19F3" w:rsidRDefault="001C19F3" w:rsidP="00521305">
            <w:pPr>
              <w:spacing w:after="0"/>
              <w:jc w:val="center"/>
            </w:pPr>
            <w:r>
              <w:rPr>
                <w:rFonts w:eastAsia="Century Gothic" w:cs="Century Gothic"/>
                <w:b/>
                <w:color w:val="FFFFFF"/>
                <w:sz w:val="18"/>
                <w:szCs w:val="18"/>
              </w:rPr>
              <w:t>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43CD640" w14:textId="77777777" w:rsidR="001C19F3" w:rsidRDefault="001C19F3" w:rsidP="00521305">
            <w:pPr>
              <w:spacing w:after="0"/>
              <w:jc w:val="center"/>
            </w:pPr>
            <w:r>
              <w:rPr>
                <w:rFonts w:eastAsia="Century Gothic" w:cs="Century Gothic"/>
                <w:b/>
                <w:color w:val="FFFFFF"/>
                <w:sz w:val="18"/>
                <w:szCs w:val="18"/>
              </w:rPr>
              <w:t>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CF40D25" w14:textId="77777777" w:rsidR="001C19F3" w:rsidRDefault="001C19F3" w:rsidP="00521305">
            <w:pPr>
              <w:spacing w:after="0"/>
              <w:jc w:val="center"/>
            </w:pPr>
            <w:r>
              <w:rPr>
                <w:rFonts w:eastAsia="Century Gothic" w:cs="Century Gothic"/>
                <w:b/>
                <w:color w:val="FFFFFF"/>
                <w:sz w:val="18"/>
                <w:szCs w:val="18"/>
              </w:rPr>
              <w:t>3</w:t>
            </w:r>
          </w:p>
        </w:tc>
        <w:tc>
          <w:tcPr>
            <w:tcW w:w="83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A9319D"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7AAAD477" w14:textId="77777777" w:rsidTr="00521305">
        <w:trPr>
          <w:cantSplit/>
          <w:trHeight w:val="288"/>
          <w:jc w:val="center"/>
        </w:trPr>
        <w:tc>
          <w:tcPr>
            <w:tcW w:w="24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AA1312" w14:textId="77777777" w:rsidR="001C19F3" w:rsidRDefault="001C19F3" w:rsidP="00521305">
            <w:pPr>
              <w:spacing w:before="40" w:after="40"/>
              <w:ind w:left="160" w:right="100"/>
            </w:pPr>
            <w:r>
              <w:rPr>
                <w:rFonts w:eastAsia="Century Gothic" w:cs="Century Gothic"/>
                <w:color w:val="000000"/>
                <w:sz w:val="18"/>
                <w:szCs w:val="18"/>
              </w:rPr>
              <w:t>Less than 6 months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AA5136" w14:textId="77777777" w:rsidR="001C19F3" w:rsidRDefault="001C19F3" w:rsidP="00521305">
            <w:pPr>
              <w:spacing w:before="40" w:after="40"/>
              <w:ind w:left="100" w:right="100"/>
              <w:jc w:val="center"/>
            </w:pPr>
            <w:r>
              <w:rPr>
                <w:rFonts w:eastAsia="Century Gothic" w:cs="Century Gothic"/>
                <w:color w:val="000000"/>
                <w:sz w:val="18"/>
                <w:szCs w:val="18"/>
              </w:rPr>
              <w:t>34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FA5CE3"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A22E4" w14:textId="77777777" w:rsidR="001C19F3" w:rsidRDefault="001C19F3" w:rsidP="00521305">
            <w:pPr>
              <w:spacing w:before="40" w:after="40"/>
              <w:ind w:left="100" w:right="100"/>
              <w:jc w:val="center"/>
            </w:pPr>
            <w:r>
              <w:rPr>
                <w:rFonts w:eastAsia="Century Gothic" w:cs="Century Gothic"/>
                <w:color w:val="000000"/>
                <w:sz w:val="18"/>
                <w:szCs w:val="18"/>
              </w:rPr>
              <w:t>9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A96809" w14:textId="77777777" w:rsidR="001C19F3" w:rsidRDefault="001C19F3" w:rsidP="00521305">
            <w:pPr>
              <w:spacing w:before="40" w:after="40"/>
              <w:ind w:left="100" w:right="100"/>
              <w:jc w:val="center"/>
            </w:pPr>
            <w:r>
              <w:rPr>
                <w:rFonts w:eastAsia="Century Gothic" w:cs="Century Gothic"/>
                <w:color w:val="000000"/>
                <w:sz w:val="18"/>
                <w:szCs w:val="18"/>
              </w:rPr>
              <w:t>20 (4.3%)</w:t>
            </w:r>
          </w:p>
        </w:tc>
        <w:tc>
          <w:tcPr>
            <w:tcW w:w="83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08E7A1" w14:textId="77777777" w:rsidR="001C19F3" w:rsidRDefault="001C19F3" w:rsidP="00521305">
            <w:pPr>
              <w:spacing w:before="40" w:after="40"/>
              <w:ind w:left="100" w:right="100"/>
              <w:jc w:val="center"/>
            </w:pPr>
            <w:r>
              <w:rPr>
                <w:rFonts w:eastAsia="Century Gothic" w:cs="Century Gothic"/>
                <w:color w:val="000000"/>
                <w:sz w:val="18"/>
                <w:szCs w:val="18"/>
              </w:rPr>
              <w:t>&lt;0.001</w:t>
            </w:r>
          </w:p>
        </w:tc>
      </w:tr>
      <w:tr w:rsidR="001C19F3" w14:paraId="14593083" w14:textId="77777777" w:rsidTr="00521305">
        <w:trPr>
          <w:cantSplit/>
          <w:trHeight w:val="288"/>
          <w:jc w:val="center"/>
        </w:trPr>
        <w:tc>
          <w:tcPr>
            <w:tcW w:w="24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A5D64A" w14:textId="77777777" w:rsidR="001C19F3" w:rsidRDefault="001C19F3" w:rsidP="00521305">
            <w:pPr>
              <w:spacing w:before="40" w:after="40"/>
              <w:ind w:left="160" w:right="100"/>
            </w:pPr>
            <w:r>
              <w:rPr>
                <w:rFonts w:eastAsia="Century Gothic" w:cs="Century Gothic"/>
                <w:color w:val="000000"/>
                <w:sz w:val="18"/>
                <w:szCs w:val="18"/>
              </w:rPr>
              <w:t>6 months – 1 year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1A8E81"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D9B87D"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877424" w14:textId="77777777" w:rsidR="001C19F3" w:rsidRDefault="001C19F3" w:rsidP="00521305">
            <w:pPr>
              <w:spacing w:before="40" w:after="40"/>
              <w:ind w:left="100" w:right="100"/>
              <w:jc w:val="center"/>
            </w:pPr>
            <w:r>
              <w:rPr>
                <w:rFonts w:eastAsia="Century Gothic" w:cs="Century Gothic"/>
                <w:color w:val="000000"/>
                <w:sz w:val="18"/>
                <w:szCs w:val="18"/>
              </w:rPr>
              <w:t>19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7F7607" w14:textId="77777777" w:rsidR="001C19F3" w:rsidRDefault="001C19F3" w:rsidP="00521305">
            <w:pPr>
              <w:spacing w:before="40" w:after="40"/>
              <w:ind w:left="100" w:right="100"/>
              <w:jc w:val="center"/>
            </w:pPr>
            <w:r>
              <w:rPr>
                <w:rFonts w:eastAsia="Century Gothic" w:cs="Century Gothic"/>
                <w:color w:val="000000"/>
                <w:sz w:val="18"/>
                <w:szCs w:val="18"/>
              </w:rPr>
              <w:t>25 (5.3%)</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6EDFA210" w14:textId="77777777" w:rsidR="001C19F3" w:rsidRDefault="001C19F3" w:rsidP="00521305">
            <w:pPr>
              <w:spacing w:after="0"/>
              <w:rPr>
                <w:sz w:val="22"/>
              </w:rPr>
            </w:pPr>
          </w:p>
        </w:tc>
      </w:tr>
      <w:tr w:rsidR="001C19F3" w14:paraId="194E063A" w14:textId="77777777" w:rsidTr="00521305">
        <w:trPr>
          <w:cantSplit/>
          <w:trHeight w:val="288"/>
          <w:jc w:val="center"/>
        </w:trPr>
        <w:tc>
          <w:tcPr>
            <w:tcW w:w="24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A6BCF9" w14:textId="77777777" w:rsidR="001C19F3" w:rsidRDefault="001C19F3" w:rsidP="00521305">
            <w:pPr>
              <w:spacing w:before="40" w:after="40"/>
              <w:ind w:left="160" w:right="100"/>
            </w:pPr>
            <w:r>
              <w:rPr>
                <w:rFonts w:eastAsia="Century Gothic" w:cs="Century Gothic"/>
                <w:color w:val="000000"/>
                <w:sz w:val="18"/>
                <w:szCs w:val="18"/>
              </w:rPr>
              <w:t xml:space="preserve">1 </w:t>
            </w:r>
            <w:bookmarkStart w:id="184" w:name="_Hlk27066146"/>
            <w:r>
              <w:rPr>
                <w:rFonts w:eastAsia="Century Gothic" w:cs="Century Gothic"/>
                <w:color w:val="000000"/>
                <w:sz w:val="18"/>
                <w:szCs w:val="18"/>
              </w:rPr>
              <w:t>–</w:t>
            </w:r>
            <w:bookmarkEnd w:id="184"/>
            <w:r>
              <w:rPr>
                <w:rFonts w:eastAsia="Century Gothic" w:cs="Century Gothic"/>
                <w:color w:val="000000"/>
                <w:sz w:val="18"/>
                <w:szCs w:val="18"/>
              </w:rPr>
              <w:t xml:space="preserve"> 2 years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AC7CD0" w14:textId="77777777" w:rsidR="001C19F3" w:rsidRDefault="001C19F3" w:rsidP="00521305">
            <w:pPr>
              <w:spacing w:before="40" w:after="40"/>
              <w:ind w:left="100" w:right="100"/>
              <w:jc w:val="center"/>
            </w:pPr>
            <w:r>
              <w:rPr>
                <w:rFonts w:eastAsia="Century Gothic" w:cs="Century Gothic"/>
                <w:color w:val="000000"/>
                <w:sz w:val="18"/>
                <w:szCs w:val="18"/>
              </w:rPr>
              <w:t>297 (14.7%)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3D2807" w14:textId="77777777" w:rsidR="001C19F3" w:rsidRDefault="001C19F3" w:rsidP="00521305">
            <w:pPr>
              <w:spacing w:before="40" w:after="40"/>
              <w:ind w:left="100" w:right="100"/>
              <w:jc w:val="center"/>
            </w:pPr>
            <w:r>
              <w:rPr>
                <w:rFonts w:eastAsia="Century Gothic" w:cs="Century Gothic"/>
                <w:color w:val="000000"/>
                <w:sz w:val="18"/>
                <w:szCs w:val="18"/>
              </w:rPr>
              <w:t>59 (13.3%)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358709" w14:textId="77777777" w:rsidR="001C19F3" w:rsidRDefault="001C19F3" w:rsidP="00521305">
            <w:pPr>
              <w:spacing w:before="40" w:after="40"/>
              <w:ind w:left="100" w:right="100"/>
              <w:jc w:val="center"/>
            </w:pPr>
            <w:r>
              <w:rPr>
                <w:rFonts w:eastAsia="Century Gothic" w:cs="Century Gothic"/>
                <w:color w:val="000000"/>
                <w:sz w:val="18"/>
                <w:szCs w:val="18"/>
              </w:rPr>
              <w:t>150 (14.5%)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8A2CBA" w14:textId="77777777" w:rsidR="001C19F3" w:rsidRDefault="001C19F3" w:rsidP="00521305">
            <w:pPr>
              <w:spacing w:before="40" w:after="40"/>
              <w:ind w:left="100" w:right="100"/>
              <w:jc w:val="center"/>
            </w:pPr>
            <w:r>
              <w:rPr>
                <w:rFonts w:eastAsia="Century Gothic" w:cs="Century Gothic"/>
                <w:color w:val="000000"/>
                <w:sz w:val="18"/>
                <w:szCs w:val="18"/>
              </w:rPr>
              <w:t>82 (17.4%)</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33E2A7D9" w14:textId="77777777" w:rsidR="001C19F3" w:rsidRDefault="001C19F3" w:rsidP="00521305">
            <w:pPr>
              <w:spacing w:after="0"/>
              <w:rPr>
                <w:sz w:val="22"/>
              </w:rPr>
            </w:pPr>
          </w:p>
        </w:tc>
      </w:tr>
      <w:tr w:rsidR="001C19F3" w14:paraId="6781FA0D" w14:textId="77777777" w:rsidTr="00521305">
        <w:trPr>
          <w:cantSplit/>
          <w:trHeight w:val="288"/>
          <w:jc w:val="center"/>
        </w:trPr>
        <w:tc>
          <w:tcPr>
            <w:tcW w:w="24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51A31A" w14:textId="77777777" w:rsidR="001C19F3" w:rsidRDefault="001C19F3" w:rsidP="00521305">
            <w:pPr>
              <w:spacing w:before="40" w:after="40"/>
              <w:ind w:left="160" w:right="100"/>
            </w:pPr>
            <w:r>
              <w:rPr>
                <w:rFonts w:eastAsia="Century Gothic" w:cs="Century Gothic"/>
                <w:color w:val="000000"/>
                <w:sz w:val="18"/>
                <w:szCs w:val="18"/>
              </w:rPr>
              <w:t xml:space="preserve">3 – 4 years </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EB19F4" w14:textId="77777777" w:rsidR="001C19F3" w:rsidRDefault="001C19F3" w:rsidP="00521305">
            <w:pPr>
              <w:spacing w:before="40" w:after="40"/>
              <w:ind w:left="100" w:right="100"/>
              <w:jc w:val="center"/>
            </w:pPr>
            <w:r>
              <w:rPr>
                <w:rFonts w:eastAsia="Century Gothic" w:cs="Century Gothic"/>
                <w:color w:val="000000"/>
                <w:sz w:val="18"/>
                <w:szCs w:val="18"/>
              </w:rPr>
              <w:t>315 (15.6%)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4F62A2" w14:textId="77777777" w:rsidR="001C19F3" w:rsidRDefault="001C19F3" w:rsidP="00521305">
            <w:pPr>
              <w:spacing w:before="40" w:after="40"/>
              <w:ind w:left="100" w:right="100"/>
              <w:jc w:val="center"/>
            </w:pPr>
            <w:r>
              <w:rPr>
                <w:rFonts w:eastAsia="Century Gothic" w:cs="Century Gothic"/>
                <w:color w:val="000000"/>
                <w:sz w:val="18"/>
                <w:szCs w:val="18"/>
              </w:rPr>
              <w:t>66 (14.9%)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87B526" w14:textId="77777777" w:rsidR="001C19F3" w:rsidRDefault="001C19F3" w:rsidP="00521305">
            <w:pPr>
              <w:spacing w:before="40" w:after="40"/>
              <w:ind w:left="100" w:right="100"/>
              <w:jc w:val="center"/>
            </w:pPr>
            <w:r>
              <w:rPr>
                <w:rFonts w:eastAsia="Century Gothic" w:cs="Century Gothic"/>
                <w:color w:val="000000"/>
                <w:sz w:val="18"/>
                <w:szCs w:val="18"/>
              </w:rPr>
              <w:t>172 (16.7%)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3D338B" w14:textId="77777777" w:rsidR="001C19F3" w:rsidRDefault="001C19F3" w:rsidP="00521305">
            <w:pPr>
              <w:spacing w:before="40" w:after="40"/>
              <w:ind w:left="100" w:right="100"/>
              <w:jc w:val="center"/>
            </w:pPr>
            <w:r>
              <w:rPr>
                <w:rFonts w:eastAsia="Century Gothic" w:cs="Century Gothic"/>
                <w:color w:val="000000"/>
                <w:sz w:val="18"/>
                <w:szCs w:val="18"/>
              </w:rPr>
              <w:t>72 (15.3%)</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04EF32F1" w14:textId="77777777" w:rsidR="001C19F3" w:rsidRDefault="001C19F3" w:rsidP="00521305">
            <w:pPr>
              <w:spacing w:after="0"/>
              <w:rPr>
                <w:sz w:val="22"/>
              </w:rPr>
            </w:pPr>
          </w:p>
        </w:tc>
      </w:tr>
      <w:tr w:rsidR="001C19F3" w14:paraId="1C8E20B2" w14:textId="77777777" w:rsidTr="00521305">
        <w:trPr>
          <w:cantSplit/>
          <w:trHeight w:val="288"/>
          <w:jc w:val="center"/>
        </w:trPr>
        <w:tc>
          <w:tcPr>
            <w:tcW w:w="24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62AEE6" w14:textId="77777777" w:rsidR="001C19F3" w:rsidRDefault="001C19F3" w:rsidP="00521305">
            <w:pPr>
              <w:spacing w:before="40" w:after="40"/>
              <w:ind w:left="160" w:right="100"/>
            </w:pPr>
            <w:r>
              <w:rPr>
                <w:rFonts w:eastAsia="Century Gothic" w:cs="Century Gothic"/>
                <w:color w:val="000000"/>
                <w:sz w:val="18"/>
                <w:szCs w:val="18"/>
              </w:rPr>
              <w:t>5 years or more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DC6FCA" w14:textId="77777777" w:rsidR="001C19F3" w:rsidRDefault="001C19F3" w:rsidP="00521305">
            <w:pPr>
              <w:spacing w:before="40" w:after="40"/>
              <w:ind w:left="100" w:right="100"/>
              <w:jc w:val="center"/>
            </w:pPr>
            <w:r>
              <w:rPr>
                <w:rFonts w:eastAsia="Century Gothic" w:cs="Century Gothic"/>
                <w:color w:val="000000"/>
                <w:sz w:val="18"/>
                <w:szCs w:val="18"/>
              </w:rPr>
              <w:t>1,315 (65.2%)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B98819" w14:textId="77777777" w:rsidR="001C19F3" w:rsidRDefault="001C19F3" w:rsidP="00521305">
            <w:pPr>
              <w:spacing w:before="40" w:after="40"/>
              <w:ind w:left="100" w:right="100"/>
              <w:jc w:val="center"/>
            </w:pPr>
            <w:r>
              <w:rPr>
                <w:rFonts w:eastAsia="Century Gothic" w:cs="Century Gothic"/>
                <w:color w:val="000000"/>
                <w:sz w:val="18"/>
                <w:szCs w:val="18"/>
              </w:rPr>
              <w:t>307 (69.5%)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A72F01" w14:textId="77777777" w:rsidR="001C19F3" w:rsidRDefault="001C19F3" w:rsidP="00521305">
            <w:pPr>
              <w:spacing w:before="40" w:after="40"/>
              <w:ind w:left="100" w:right="100"/>
              <w:jc w:val="center"/>
            </w:pPr>
            <w:r>
              <w:rPr>
                <w:rFonts w:eastAsia="Century Gothic" w:cs="Century Gothic"/>
                <w:color w:val="000000"/>
                <w:sz w:val="18"/>
                <w:szCs w:val="18"/>
              </w:rPr>
              <w:t>681 (66.1%)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C30005" w14:textId="77777777" w:rsidR="001C19F3" w:rsidRDefault="001C19F3" w:rsidP="00521305">
            <w:pPr>
              <w:spacing w:before="40" w:after="40"/>
              <w:ind w:left="100" w:right="100"/>
              <w:jc w:val="center"/>
            </w:pPr>
            <w:r>
              <w:rPr>
                <w:rFonts w:eastAsia="Century Gothic" w:cs="Century Gothic"/>
                <w:color w:val="000000"/>
                <w:sz w:val="18"/>
                <w:szCs w:val="18"/>
              </w:rPr>
              <w:t>271 (57.7%)</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56E4A4AB" w14:textId="77777777" w:rsidR="001C19F3" w:rsidRDefault="001C19F3" w:rsidP="00521305">
            <w:pPr>
              <w:spacing w:after="0"/>
              <w:rPr>
                <w:sz w:val="22"/>
              </w:rPr>
            </w:pPr>
          </w:p>
        </w:tc>
      </w:tr>
      <w:tr w:rsidR="001C19F3" w14:paraId="36351B5D" w14:textId="77777777" w:rsidTr="00521305">
        <w:trPr>
          <w:cantSplit/>
          <w:trHeight w:val="288"/>
          <w:jc w:val="center"/>
        </w:trPr>
        <w:tc>
          <w:tcPr>
            <w:tcW w:w="24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907B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989B1" w14:textId="77777777" w:rsidR="001C19F3" w:rsidRDefault="001C19F3" w:rsidP="00521305">
            <w:pPr>
              <w:spacing w:before="40" w:after="40"/>
              <w:ind w:left="100" w:right="100"/>
              <w:jc w:val="center"/>
            </w:pPr>
            <w:r>
              <w:rPr>
                <w:rFonts w:eastAsia="Century Gothic" w:cs="Century Gothic"/>
                <w:color w:val="000000"/>
                <w:sz w:val="18"/>
                <w:szCs w:val="18"/>
              </w:rPr>
              <w:t>5 (0.2%)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24041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BE00C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30E05B" w14:textId="77777777" w:rsidR="001C19F3" w:rsidRDefault="001C19F3" w:rsidP="00521305">
            <w:pPr>
              <w:spacing w:before="40" w:after="40"/>
              <w:ind w:left="100" w:right="100"/>
              <w:jc w:val="center"/>
            </w:pPr>
          </w:p>
        </w:tc>
        <w:tc>
          <w:tcPr>
            <w:tcW w:w="83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1BEBE2" w14:textId="77777777" w:rsidR="001C19F3" w:rsidRDefault="001C19F3" w:rsidP="00521305">
            <w:pPr>
              <w:spacing w:before="40" w:after="40"/>
              <w:ind w:left="100" w:right="100"/>
              <w:jc w:val="center"/>
            </w:pPr>
          </w:p>
        </w:tc>
      </w:tr>
    </w:tbl>
    <w:p w14:paraId="2E678598" w14:textId="77777777" w:rsidR="001C19F3" w:rsidRPr="005C549C" w:rsidRDefault="001C19F3" w:rsidP="001C19F3">
      <w:pPr>
        <w:pStyle w:val="Chartortablefootnote"/>
      </w:pPr>
      <w:r w:rsidRPr="005C549C">
        <w:t xml:space="preserve">Source: </w:t>
      </w:r>
      <w:r>
        <w:t>CATI surveys conducted by The Social Research Centre between December 2017 and March 2019</w:t>
      </w:r>
      <w:r w:rsidRPr="005C549C">
        <w:t xml:space="preserve">. </w:t>
      </w:r>
    </w:p>
    <w:p w14:paraId="547CE4A5" w14:textId="77777777" w:rsidR="001C19F3" w:rsidRDefault="001C19F3" w:rsidP="001C19F3">
      <w:r>
        <w:t>The practice extract data provides a means of estimating the number of GP consultations. Overall, the mean number of GP consultations per HCH enrolee was 6.92 over six months and 13.41 over 12 months</w:t>
      </w:r>
      <w:r w:rsidRPr="003E3F26">
        <w:t xml:space="preserve"> </w:t>
      </w:r>
      <w:r>
        <w:t>(</w:t>
      </w:r>
      <w:r>
        <w:fldChar w:fldCharType="begin"/>
      </w:r>
      <w:r>
        <w:instrText xml:space="preserve"> REF _Ref20739108 \h  \* MERGEFORMAT </w:instrText>
      </w:r>
      <w:r>
        <w:fldChar w:fldCharType="separate"/>
      </w:r>
      <w:r w:rsidRPr="00822044">
        <w:t>Table 24</w:t>
      </w:r>
      <w:r>
        <w:fldChar w:fldCharType="end"/>
      </w:r>
      <w:r>
        <w:t>).</w:t>
      </w:r>
    </w:p>
    <w:p w14:paraId="565C7245" w14:textId="77777777" w:rsidR="001C19F3" w:rsidRDefault="001C19F3" w:rsidP="001C19F3">
      <w:r>
        <w:lastRenderedPageBreak/>
        <w:t>Through the patient survey, patients reported how often they attended the practice in the last six months (</w:t>
      </w:r>
      <w:r>
        <w:fldChar w:fldCharType="begin"/>
      </w:r>
      <w:r>
        <w:instrText xml:space="preserve"> REF _Ref20739068 \h  \* MERGEFORMAT </w:instrText>
      </w:r>
      <w:r>
        <w:fldChar w:fldCharType="separate"/>
      </w:r>
      <w:r w:rsidRPr="00822044">
        <w:t>Table 25</w:t>
      </w:r>
      <w:r>
        <w:fldChar w:fldCharType="end"/>
      </w:r>
      <w:r>
        <w:t>). Around half attended less than five times in the last six months, 30% attended between five and nine times and 28% attended 10 or more times. The practice extract data show a similar distribution, although the patient reported attendance tend to be skewed towards 10 or more attendances. Across both sources there is a clear gradient between tiers, with Tier 3 patients having GP consultation rates that are around 45% higher than Tier 1 patients over six and twelve months.</w:t>
      </w:r>
    </w:p>
    <w:p w14:paraId="3398A339" w14:textId="77777777" w:rsidR="001C19F3" w:rsidRDefault="001C19F3" w:rsidP="001C19F3">
      <w:r>
        <w:t>Patients were also asked about the frequency that they contacted the practice by telephone or email about a health issues (excluding for arranging an appointment). Around 35% of patients reported at least one interaction of this nature (s</w:t>
      </w:r>
      <w:r w:rsidRPr="00321810">
        <w:t>ee Volume 4</w:t>
      </w:r>
      <w:r>
        <w:t>).</w:t>
      </w:r>
    </w:p>
    <w:p w14:paraId="01BA999A" w14:textId="77777777" w:rsidR="001C19F3" w:rsidRDefault="001C19F3" w:rsidP="001C19F3">
      <w:pPr>
        <w:spacing w:after="0"/>
        <w:jc w:val="center"/>
        <w:rPr>
          <w:b/>
          <w:szCs w:val="20"/>
        </w:rPr>
      </w:pPr>
      <w:bookmarkStart w:id="185" w:name="_Ref20739108"/>
      <w:r>
        <w:rPr>
          <w:b/>
          <w:szCs w:val="20"/>
        </w:rPr>
        <w:t xml:space="preserve">Table </w:t>
      </w:r>
      <w:r>
        <w:fldChar w:fldCharType="begin"/>
      </w:r>
      <w:r>
        <w:rPr>
          <w:b/>
          <w:szCs w:val="20"/>
        </w:rPr>
        <w:instrText xml:space="preserve"> SEQ Table \* ARABIC </w:instrText>
      </w:r>
      <w:r>
        <w:fldChar w:fldCharType="separate"/>
      </w:r>
      <w:r>
        <w:rPr>
          <w:b/>
          <w:noProof/>
          <w:szCs w:val="20"/>
        </w:rPr>
        <w:t>24</w:t>
      </w:r>
      <w:r>
        <w:fldChar w:fldCharType="end"/>
      </w:r>
      <w:bookmarkEnd w:id="185"/>
      <w:r>
        <w:rPr>
          <w:b/>
          <w:szCs w:val="20"/>
        </w:rPr>
        <w:t xml:space="preserve"> – Number of GP consultations by HCH patients</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8"/>
        <w:gridCol w:w="1680"/>
        <w:gridCol w:w="1197"/>
        <w:gridCol w:w="1197"/>
        <w:gridCol w:w="1297"/>
      </w:tblGrid>
      <w:tr w:rsidR="001C19F3" w14:paraId="4CDF38B3" w14:textId="77777777" w:rsidTr="00521305">
        <w:trPr>
          <w:tblHeader/>
          <w:jc w:val="center"/>
        </w:trPr>
        <w:tc>
          <w:tcPr>
            <w:tcW w:w="0" w:type="auto"/>
            <w:vMerge w:val="restart"/>
            <w:shd w:val="clear" w:color="auto" w:fill="003D79"/>
            <w:vAlign w:val="center"/>
          </w:tcPr>
          <w:p w14:paraId="6EA35EE4" w14:textId="77777777" w:rsidR="001C19F3" w:rsidRDefault="001C19F3" w:rsidP="00521305">
            <w:pPr>
              <w:spacing w:after="0"/>
              <w:jc w:val="center"/>
              <w:rPr>
                <w:b/>
                <w:sz w:val="18"/>
                <w:szCs w:val="18"/>
              </w:rPr>
            </w:pPr>
            <w:r>
              <w:rPr>
                <w:b/>
                <w:sz w:val="18"/>
                <w:szCs w:val="18"/>
              </w:rPr>
              <w:t>GP consultations</w:t>
            </w:r>
          </w:p>
        </w:tc>
        <w:tc>
          <w:tcPr>
            <w:tcW w:w="0" w:type="auto"/>
            <w:vMerge w:val="restart"/>
            <w:shd w:val="clear" w:color="auto" w:fill="003D79"/>
            <w:vAlign w:val="center"/>
          </w:tcPr>
          <w:p w14:paraId="0C7C48A5" w14:textId="77777777" w:rsidR="001C19F3" w:rsidRDefault="001C19F3" w:rsidP="00521305">
            <w:pPr>
              <w:spacing w:after="0"/>
              <w:jc w:val="center"/>
              <w:rPr>
                <w:b/>
                <w:sz w:val="18"/>
                <w:szCs w:val="18"/>
              </w:rPr>
            </w:pPr>
            <w:r>
              <w:rPr>
                <w:b/>
                <w:sz w:val="18"/>
                <w:szCs w:val="18"/>
              </w:rPr>
              <w:t>All HCH patients</w:t>
            </w:r>
            <w:r w:rsidRPr="003E3F26">
              <w:rPr>
                <w:b/>
                <w:sz w:val="18"/>
                <w:szCs w:val="18"/>
                <w:vertAlign w:val="superscript"/>
              </w:rPr>
              <w:t>1</w:t>
            </w:r>
          </w:p>
        </w:tc>
        <w:tc>
          <w:tcPr>
            <w:tcW w:w="0" w:type="auto"/>
            <w:gridSpan w:val="3"/>
            <w:shd w:val="clear" w:color="auto" w:fill="003D79"/>
            <w:hideMark/>
          </w:tcPr>
          <w:p w14:paraId="16FB9712" w14:textId="77777777" w:rsidR="001C19F3" w:rsidRDefault="001C19F3" w:rsidP="00521305">
            <w:pPr>
              <w:spacing w:after="0"/>
              <w:jc w:val="center"/>
              <w:rPr>
                <w:b/>
                <w:sz w:val="18"/>
                <w:szCs w:val="18"/>
              </w:rPr>
            </w:pPr>
            <w:r>
              <w:rPr>
                <w:b/>
                <w:sz w:val="18"/>
                <w:szCs w:val="18"/>
              </w:rPr>
              <w:t>HCH risk tier</w:t>
            </w:r>
            <w:r w:rsidRPr="003E3F26">
              <w:rPr>
                <w:b/>
                <w:sz w:val="18"/>
                <w:szCs w:val="18"/>
                <w:vertAlign w:val="superscript"/>
              </w:rPr>
              <w:t>2</w:t>
            </w:r>
          </w:p>
        </w:tc>
      </w:tr>
      <w:tr w:rsidR="001C19F3" w14:paraId="2B88507E" w14:textId="77777777" w:rsidTr="00521305">
        <w:trPr>
          <w:tblHeader/>
          <w:jc w:val="center"/>
        </w:trPr>
        <w:tc>
          <w:tcPr>
            <w:tcW w:w="0" w:type="auto"/>
            <w:vMerge/>
            <w:shd w:val="clear" w:color="auto" w:fill="003D79"/>
          </w:tcPr>
          <w:p w14:paraId="2A8EF67B" w14:textId="77777777" w:rsidR="001C19F3" w:rsidRDefault="001C19F3" w:rsidP="00521305">
            <w:pPr>
              <w:spacing w:after="0"/>
              <w:rPr>
                <w:b/>
                <w:sz w:val="18"/>
                <w:szCs w:val="18"/>
              </w:rPr>
            </w:pPr>
          </w:p>
        </w:tc>
        <w:tc>
          <w:tcPr>
            <w:tcW w:w="0" w:type="auto"/>
            <w:vMerge/>
            <w:shd w:val="clear" w:color="auto" w:fill="003D79"/>
            <w:vAlign w:val="center"/>
          </w:tcPr>
          <w:p w14:paraId="4992A327" w14:textId="77777777" w:rsidR="001C19F3" w:rsidRDefault="001C19F3" w:rsidP="00521305">
            <w:pPr>
              <w:spacing w:after="0"/>
              <w:jc w:val="center"/>
              <w:rPr>
                <w:b/>
                <w:sz w:val="18"/>
                <w:szCs w:val="18"/>
              </w:rPr>
            </w:pPr>
          </w:p>
        </w:tc>
        <w:tc>
          <w:tcPr>
            <w:tcW w:w="0" w:type="auto"/>
            <w:shd w:val="clear" w:color="auto" w:fill="003D79"/>
            <w:vAlign w:val="center"/>
            <w:hideMark/>
          </w:tcPr>
          <w:p w14:paraId="1989DA2D" w14:textId="77777777" w:rsidR="001C19F3" w:rsidRDefault="001C19F3" w:rsidP="00521305">
            <w:pPr>
              <w:spacing w:after="0"/>
              <w:jc w:val="center"/>
              <w:rPr>
                <w:b/>
                <w:sz w:val="18"/>
                <w:szCs w:val="18"/>
              </w:rPr>
            </w:pPr>
            <w:r>
              <w:rPr>
                <w:rFonts w:eastAsia="Century Gothic" w:cs="Century Gothic"/>
                <w:b/>
                <w:color w:val="FFFFFF"/>
                <w:sz w:val="18"/>
                <w:szCs w:val="18"/>
              </w:rPr>
              <w:t>1</w:t>
            </w:r>
          </w:p>
        </w:tc>
        <w:tc>
          <w:tcPr>
            <w:tcW w:w="0" w:type="auto"/>
            <w:shd w:val="clear" w:color="auto" w:fill="003D79"/>
            <w:vAlign w:val="center"/>
            <w:hideMark/>
          </w:tcPr>
          <w:p w14:paraId="58839D01" w14:textId="77777777" w:rsidR="001C19F3" w:rsidRDefault="001C19F3" w:rsidP="00521305">
            <w:pPr>
              <w:spacing w:after="0"/>
              <w:jc w:val="center"/>
              <w:rPr>
                <w:b/>
                <w:sz w:val="18"/>
                <w:szCs w:val="18"/>
              </w:rPr>
            </w:pPr>
            <w:r>
              <w:rPr>
                <w:rFonts w:eastAsia="Century Gothic" w:cs="Century Gothic"/>
                <w:b/>
                <w:color w:val="FFFFFF"/>
                <w:sz w:val="18"/>
                <w:szCs w:val="18"/>
              </w:rPr>
              <w:t>2</w:t>
            </w:r>
          </w:p>
        </w:tc>
        <w:tc>
          <w:tcPr>
            <w:tcW w:w="0" w:type="auto"/>
            <w:shd w:val="clear" w:color="auto" w:fill="003D79"/>
            <w:vAlign w:val="center"/>
            <w:hideMark/>
          </w:tcPr>
          <w:p w14:paraId="4C2B1318" w14:textId="77777777" w:rsidR="001C19F3" w:rsidRDefault="001C19F3" w:rsidP="00521305">
            <w:pPr>
              <w:spacing w:after="0"/>
              <w:jc w:val="center"/>
              <w:rPr>
                <w:b/>
                <w:sz w:val="18"/>
                <w:szCs w:val="18"/>
              </w:rPr>
            </w:pPr>
            <w:r>
              <w:rPr>
                <w:rFonts w:eastAsia="Century Gothic" w:cs="Century Gothic"/>
                <w:b/>
                <w:color w:val="FFFFFF"/>
                <w:sz w:val="18"/>
                <w:szCs w:val="18"/>
              </w:rPr>
              <w:t>3</w:t>
            </w:r>
          </w:p>
        </w:tc>
      </w:tr>
      <w:tr w:rsidR="001C19F3" w14:paraId="03642486" w14:textId="77777777" w:rsidTr="00521305">
        <w:trPr>
          <w:trHeight w:val="340"/>
          <w:tblHeader/>
          <w:jc w:val="center"/>
        </w:trPr>
        <w:tc>
          <w:tcPr>
            <w:tcW w:w="0" w:type="auto"/>
            <w:vAlign w:val="center"/>
            <w:hideMark/>
          </w:tcPr>
          <w:p w14:paraId="2784C445" w14:textId="77777777" w:rsidR="001C19F3" w:rsidRPr="00D5153D" w:rsidRDefault="001C19F3" w:rsidP="00521305">
            <w:pPr>
              <w:spacing w:before="40" w:after="40"/>
              <w:jc w:val="center"/>
              <w:rPr>
                <w:sz w:val="18"/>
                <w:szCs w:val="18"/>
              </w:rPr>
            </w:pPr>
            <w:r w:rsidRPr="00D5153D">
              <w:rPr>
                <w:sz w:val="18"/>
                <w:szCs w:val="18"/>
              </w:rPr>
              <w:t>Number of HCH patients</w:t>
            </w:r>
          </w:p>
        </w:tc>
        <w:tc>
          <w:tcPr>
            <w:tcW w:w="0" w:type="auto"/>
            <w:vAlign w:val="center"/>
          </w:tcPr>
          <w:p w14:paraId="2B6A6462" w14:textId="77777777" w:rsidR="001C19F3" w:rsidRDefault="001C19F3" w:rsidP="00521305">
            <w:pPr>
              <w:spacing w:before="40" w:after="40"/>
              <w:jc w:val="center"/>
              <w:rPr>
                <w:b/>
                <w:sz w:val="18"/>
                <w:szCs w:val="18"/>
              </w:rPr>
            </w:pPr>
            <w:r>
              <w:rPr>
                <w:b/>
                <w:sz w:val="18"/>
                <w:szCs w:val="18"/>
              </w:rPr>
              <w:t>8,323</w:t>
            </w:r>
          </w:p>
        </w:tc>
        <w:tc>
          <w:tcPr>
            <w:tcW w:w="0" w:type="auto"/>
            <w:vAlign w:val="center"/>
            <w:hideMark/>
          </w:tcPr>
          <w:p w14:paraId="2B99CADC" w14:textId="77777777" w:rsidR="001C19F3" w:rsidRDefault="001C19F3" w:rsidP="00521305">
            <w:pPr>
              <w:spacing w:before="40" w:after="40"/>
              <w:jc w:val="center"/>
              <w:rPr>
                <w:b/>
                <w:sz w:val="18"/>
                <w:szCs w:val="18"/>
              </w:rPr>
            </w:pPr>
            <w:r>
              <w:rPr>
                <w:b/>
                <w:sz w:val="18"/>
                <w:szCs w:val="18"/>
              </w:rPr>
              <w:t>1,477</w:t>
            </w:r>
          </w:p>
        </w:tc>
        <w:tc>
          <w:tcPr>
            <w:tcW w:w="0" w:type="auto"/>
            <w:vAlign w:val="center"/>
            <w:hideMark/>
          </w:tcPr>
          <w:p w14:paraId="460829CC" w14:textId="77777777" w:rsidR="001C19F3" w:rsidRDefault="001C19F3" w:rsidP="00521305">
            <w:pPr>
              <w:spacing w:before="40" w:after="40"/>
              <w:jc w:val="center"/>
              <w:rPr>
                <w:b/>
                <w:sz w:val="18"/>
                <w:szCs w:val="18"/>
              </w:rPr>
            </w:pPr>
            <w:r>
              <w:rPr>
                <w:b/>
                <w:sz w:val="18"/>
                <w:szCs w:val="18"/>
              </w:rPr>
              <w:t>3,963</w:t>
            </w:r>
          </w:p>
        </w:tc>
        <w:tc>
          <w:tcPr>
            <w:tcW w:w="0" w:type="auto"/>
            <w:vAlign w:val="center"/>
            <w:hideMark/>
          </w:tcPr>
          <w:p w14:paraId="423842B6" w14:textId="77777777" w:rsidR="001C19F3" w:rsidRDefault="001C19F3" w:rsidP="00521305">
            <w:pPr>
              <w:spacing w:before="40" w:after="40"/>
              <w:jc w:val="center"/>
              <w:rPr>
                <w:b/>
                <w:sz w:val="18"/>
                <w:szCs w:val="18"/>
              </w:rPr>
            </w:pPr>
            <w:r>
              <w:rPr>
                <w:b/>
                <w:sz w:val="18"/>
                <w:szCs w:val="18"/>
              </w:rPr>
              <w:t>2,697</w:t>
            </w:r>
          </w:p>
        </w:tc>
      </w:tr>
      <w:tr w:rsidR="001C19F3" w14:paraId="4A2A21D2" w14:textId="77777777" w:rsidTr="00521305">
        <w:trPr>
          <w:jc w:val="center"/>
        </w:trPr>
        <w:tc>
          <w:tcPr>
            <w:tcW w:w="0" w:type="auto"/>
            <w:gridSpan w:val="5"/>
            <w:hideMark/>
          </w:tcPr>
          <w:p w14:paraId="33D9EB71" w14:textId="77777777" w:rsidR="001C19F3" w:rsidRDefault="001C19F3" w:rsidP="00521305">
            <w:pPr>
              <w:spacing w:before="40" w:after="40"/>
              <w:rPr>
                <w:sz w:val="18"/>
                <w:szCs w:val="18"/>
              </w:rPr>
            </w:pPr>
            <w:r>
              <w:rPr>
                <w:b/>
                <w:bCs/>
                <w:sz w:val="18"/>
                <w:szCs w:val="18"/>
              </w:rPr>
              <w:t xml:space="preserve">Mean (standard deviation) number of GP consultations </w:t>
            </w:r>
          </w:p>
        </w:tc>
      </w:tr>
      <w:tr w:rsidR="001C19F3" w14:paraId="25AFD94D" w14:textId="77777777" w:rsidTr="00521305">
        <w:trPr>
          <w:jc w:val="center"/>
        </w:trPr>
        <w:tc>
          <w:tcPr>
            <w:tcW w:w="0" w:type="auto"/>
          </w:tcPr>
          <w:p w14:paraId="4D6051FA" w14:textId="77777777" w:rsidR="001C19F3" w:rsidRPr="000C5827" w:rsidRDefault="001C19F3" w:rsidP="00521305">
            <w:pPr>
              <w:spacing w:before="40" w:after="40"/>
              <w:ind w:left="174"/>
              <w:rPr>
                <w:bCs/>
                <w:sz w:val="18"/>
                <w:szCs w:val="18"/>
              </w:rPr>
            </w:pPr>
            <w:r w:rsidRPr="000C5827">
              <w:rPr>
                <w:bCs/>
                <w:sz w:val="18"/>
                <w:szCs w:val="18"/>
              </w:rPr>
              <w:t>In the last 3 months</w:t>
            </w:r>
          </w:p>
        </w:tc>
        <w:tc>
          <w:tcPr>
            <w:tcW w:w="0" w:type="auto"/>
          </w:tcPr>
          <w:p w14:paraId="0335B1C0" w14:textId="77777777" w:rsidR="001C19F3" w:rsidRDefault="001C19F3" w:rsidP="00521305">
            <w:pPr>
              <w:spacing w:before="40" w:after="40"/>
              <w:jc w:val="right"/>
              <w:rPr>
                <w:sz w:val="18"/>
                <w:szCs w:val="18"/>
              </w:rPr>
            </w:pPr>
            <w:r w:rsidRPr="00CD68C9">
              <w:rPr>
                <w:sz w:val="18"/>
                <w:szCs w:val="18"/>
              </w:rPr>
              <w:t>3.6</w:t>
            </w:r>
            <w:r>
              <w:rPr>
                <w:sz w:val="18"/>
                <w:szCs w:val="18"/>
              </w:rPr>
              <w:t>7</w:t>
            </w:r>
            <w:r w:rsidRPr="00CD68C9">
              <w:rPr>
                <w:sz w:val="18"/>
                <w:szCs w:val="18"/>
              </w:rPr>
              <w:t xml:space="preserve"> (2.</w:t>
            </w:r>
            <w:r>
              <w:rPr>
                <w:sz w:val="18"/>
                <w:szCs w:val="18"/>
              </w:rPr>
              <w:t>91</w:t>
            </w:r>
            <w:r w:rsidRPr="00CD68C9">
              <w:rPr>
                <w:sz w:val="18"/>
                <w:szCs w:val="18"/>
              </w:rPr>
              <w:t>)</w:t>
            </w:r>
          </w:p>
        </w:tc>
        <w:tc>
          <w:tcPr>
            <w:tcW w:w="0" w:type="auto"/>
          </w:tcPr>
          <w:p w14:paraId="3DF0C2A1" w14:textId="77777777" w:rsidR="001C19F3" w:rsidRDefault="001C19F3" w:rsidP="00521305">
            <w:pPr>
              <w:spacing w:before="40" w:after="40"/>
              <w:jc w:val="right"/>
              <w:rPr>
                <w:sz w:val="18"/>
                <w:szCs w:val="18"/>
              </w:rPr>
            </w:pPr>
            <w:r>
              <w:rPr>
                <w:sz w:val="18"/>
                <w:szCs w:val="18"/>
              </w:rPr>
              <w:t>3.04 (2.25)</w:t>
            </w:r>
          </w:p>
        </w:tc>
        <w:tc>
          <w:tcPr>
            <w:tcW w:w="0" w:type="auto"/>
          </w:tcPr>
          <w:p w14:paraId="586776F3" w14:textId="77777777" w:rsidR="001C19F3" w:rsidRDefault="001C19F3" w:rsidP="00521305">
            <w:pPr>
              <w:spacing w:before="40" w:after="40"/>
              <w:jc w:val="right"/>
              <w:rPr>
                <w:sz w:val="18"/>
                <w:szCs w:val="18"/>
              </w:rPr>
            </w:pPr>
            <w:r>
              <w:rPr>
                <w:sz w:val="18"/>
                <w:szCs w:val="18"/>
              </w:rPr>
              <w:t>3.56 (2.76)</w:t>
            </w:r>
          </w:p>
        </w:tc>
        <w:tc>
          <w:tcPr>
            <w:tcW w:w="0" w:type="auto"/>
          </w:tcPr>
          <w:p w14:paraId="144B3EAB" w14:textId="77777777" w:rsidR="001C19F3" w:rsidRDefault="001C19F3" w:rsidP="00521305">
            <w:pPr>
              <w:spacing w:before="40" w:after="40"/>
              <w:jc w:val="right"/>
              <w:rPr>
                <w:sz w:val="18"/>
                <w:szCs w:val="18"/>
              </w:rPr>
            </w:pPr>
            <w:r>
              <w:rPr>
                <w:sz w:val="18"/>
                <w:szCs w:val="18"/>
              </w:rPr>
              <w:t>4.14 (3.32)</w:t>
            </w:r>
          </w:p>
        </w:tc>
      </w:tr>
      <w:tr w:rsidR="001C19F3" w14:paraId="46F87771" w14:textId="77777777" w:rsidTr="00521305">
        <w:trPr>
          <w:jc w:val="center"/>
        </w:trPr>
        <w:tc>
          <w:tcPr>
            <w:tcW w:w="0" w:type="auto"/>
          </w:tcPr>
          <w:p w14:paraId="663014C5" w14:textId="77777777" w:rsidR="001C19F3" w:rsidRPr="000C5827" w:rsidRDefault="001C19F3" w:rsidP="00521305">
            <w:pPr>
              <w:spacing w:before="40" w:after="40"/>
              <w:ind w:left="174"/>
              <w:rPr>
                <w:bCs/>
                <w:sz w:val="18"/>
                <w:szCs w:val="18"/>
              </w:rPr>
            </w:pPr>
            <w:r w:rsidRPr="000C5827">
              <w:rPr>
                <w:bCs/>
                <w:sz w:val="18"/>
                <w:szCs w:val="18"/>
              </w:rPr>
              <w:t>In the last 6 months</w:t>
            </w:r>
          </w:p>
        </w:tc>
        <w:tc>
          <w:tcPr>
            <w:tcW w:w="0" w:type="auto"/>
          </w:tcPr>
          <w:p w14:paraId="5D99B370" w14:textId="77777777" w:rsidR="001C19F3" w:rsidRDefault="001C19F3" w:rsidP="00521305">
            <w:pPr>
              <w:spacing w:before="40" w:after="40"/>
              <w:jc w:val="right"/>
              <w:rPr>
                <w:sz w:val="18"/>
                <w:szCs w:val="18"/>
              </w:rPr>
            </w:pPr>
            <w:r>
              <w:rPr>
                <w:sz w:val="18"/>
                <w:szCs w:val="18"/>
              </w:rPr>
              <w:t>6.92 (5.34)</w:t>
            </w:r>
          </w:p>
        </w:tc>
        <w:tc>
          <w:tcPr>
            <w:tcW w:w="0" w:type="auto"/>
          </w:tcPr>
          <w:p w14:paraId="6C85C2C6" w14:textId="77777777" w:rsidR="001C19F3" w:rsidRDefault="001C19F3" w:rsidP="00521305">
            <w:pPr>
              <w:spacing w:before="40" w:after="40"/>
              <w:jc w:val="right"/>
              <w:rPr>
                <w:sz w:val="18"/>
                <w:szCs w:val="18"/>
              </w:rPr>
            </w:pPr>
            <w:r>
              <w:rPr>
                <w:sz w:val="18"/>
                <w:szCs w:val="18"/>
              </w:rPr>
              <w:t>5.53 (4.13)</w:t>
            </w:r>
          </w:p>
        </w:tc>
        <w:tc>
          <w:tcPr>
            <w:tcW w:w="0" w:type="auto"/>
          </w:tcPr>
          <w:p w14:paraId="628E2621" w14:textId="77777777" w:rsidR="001C19F3" w:rsidRDefault="001C19F3" w:rsidP="00521305">
            <w:pPr>
              <w:spacing w:before="40" w:after="40"/>
              <w:jc w:val="right"/>
              <w:rPr>
                <w:sz w:val="18"/>
                <w:szCs w:val="18"/>
              </w:rPr>
            </w:pPr>
            <w:r>
              <w:rPr>
                <w:sz w:val="18"/>
                <w:szCs w:val="18"/>
              </w:rPr>
              <w:t>6.61 (4.89)</w:t>
            </w:r>
          </w:p>
        </w:tc>
        <w:tc>
          <w:tcPr>
            <w:tcW w:w="0" w:type="auto"/>
          </w:tcPr>
          <w:p w14:paraId="0259B81A" w14:textId="77777777" w:rsidR="001C19F3" w:rsidRDefault="001C19F3" w:rsidP="00521305">
            <w:pPr>
              <w:spacing w:before="40" w:after="40"/>
              <w:jc w:val="right"/>
              <w:rPr>
                <w:sz w:val="18"/>
                <w:szCs w:val="18"/>
              </w:rPr>
            </w:pPr>
            <w:r>
              <w:rPr>
                <w:sz w:val="18"/>
                <w:szCs w:val="18"/>
              </w:rPr>
              <w:t>8.06 (6.24)</w:t>
            </w:r>
          </w:p>
        </w:tc>
      </w:tr>
      <w:tr w:rsidR="001C19F3" w14:paraId="77616302" w14:textId="77777777" w:rsidTr="00521305">
        <w:trPr>
          <w:jc w:val="center"/>
        </w:trPr>
        <w:tc>
          <w:tcPr>
            <w:tcW w:w="0" w:type="auto"/>
          </w:tcPr>
          <w:p w14:paraId="450AF428" w14:textId="77777777" w:rsidR="001C19F3" w:rsidRPr="000C5827" w:rsidRDefault="001C19F3" w:rsidP="00521305">
            <w:pPr>
              <w:spacing w:before="40" w:after="40"/>
              <w:ind w:left="174"/>
              <w:rPr>
                <w:bCs/>
                <w:sz w:val="18"/>
                <w:szCs w:val="18"/>
              </w:rPr>
            </w:pPr>
            <w:r w:rsidRPr="000C5827">
              <w:rPr>
                <w:bCs/>
                <w:sz w:val="18"/>
                <w:szCs w:val="18"/>
              </w:rPr>
              <w:t>In the last 12 months</w:t>
            </w:r>
          </w:p>
        </w:tc>
        <w:tc>
          <w:tcPr>
            <w:tcW w:w="0" w:type="auto"/>
          </w:tcPr>
          <w:p w14:paraId="504585A9" w14:textId="77777777" w:rsidR="001C19F3" w:rsidRDefault="001C19F3" w:rsidP="00521305">
            <w:pPr>
              <w:spacing w:before="40" w:after="40"/>
              <w:jc w:val="right"/>
              <w:rPr>
                <w:sz w:val="18"/>
                <w:szCs w:val="18"/>
              </w:rPr>
            </w:pPr>
            <w:r>
              <w:rPr>
                <w:sz w:val="18"/>
                <w:szCs w:val="18"/>
              </w:rPr>
              <w:t>13.41 (9.71)</w:t>
            </w:r>
          </w:p>
        </w:tc>
        <w:tc>
          <w:tcPr>
            <w:tcW w:w="0" w:type="auto"/>
          </w:tcPr>
          <w:p w14:paraId="16258A26" w14:textId="77777777" w:rsidR="001C19F3" w:rsidRDefault="001C19F3" w:rsidP="00521305">
            <w:pPr>
              <w:spacing w:before="40" w:after="40"/>
              <w:jc w:val="right"/>
              <w:rPr>
                <w:sz w:val="18"/>
                <w:szCs w:val="18"/>
              </w:rPr>
            </w:pPr>
            <w:r>
              <w:rPr>
                <w:sz w:val="18"/>
                <w:szCs w:val="18"/>
              </w:rPr>
              <w:t>10.73 (7.34)</w:t>
            </w:r>
          </w:p>
        </w:tc>
        <w:tc>
          <w:tcPr>
            <w:tcW w:w="0" w:type="auto"/>
          </w:tcPr>
          <w:p w14:paraId="3931A0E8" w14:textId="77777777" w:rsidR="001C19F3" w:rsidRDefault="001C19F3" w:rsidP="00521305">
            <w:pPr>
              <w:spacing w:before="40" w:after="40"/>
              <w:jc w:val="right"/>
              <w:rPr>
                <w:sz w:val="18"/>
                <w:szCs w:val="18"/>
              </w:rPr>
            </w:pPr>
            <w:r>
              <w:rPr>
                <w:sz w:val="18"/>
                <w:szCs w:val="18"/>
              </w:rPr>
              <w:t>12.80 (8.83)</w:t>
            </w:r>
          </w:p>
        </w:tc>
        <w:tc>
          <w:tcPr>
            <w:tcW w:w="0" w:type="auto"/>
          </w:tcPr>
          <w:p w14:paraId="3FF6BA99" w14:textId="77777777" w:rsidR="001C19F3" w:rsidRDefault="001C19F3" w:rsidP="00521305">
            <w:pPr>
              <w:spacing w:before="40" w:after="40"/>
              <w:jc w:val="right"/>
              <w:rPr>
                <w:sz w:val="18"/>
                <w:szCs w:val="18"/>
              </w:rPr>
            </w:pPr>
            <w:r>
              <w:rPr>
                <w:sz w:val="18"/>
                <w:szCs w:val="18"/>
              </w:rPr>
              <w:t>15.65 (11.43)</w:t>
            </w:r>
          </w:p>
        </w:tc>
      </w:tr>
    </w:tbl>
    <w:p w14:paraId="6E20455A" w14:textId="77777777" w:rsidR="001C19F3" w:rsidRPr="005C549C" w:rsidRDefault="001C19F3" w:rsidP="001C19F3">
      <w:pPr>
        <w:pStyle w:val="Chartortablefootnote"/>
        <w:spacing w:after="0"/>
      </w:pPr>
      <w:r w:rsidRPr="005C549C">
        <w:t xml:space="preserve">Sources: Practice data extracts that had been received through </w:t>
      </w:r>
      <w:bookmarkStart w:id="186" w:name="_Hlk22481949"/>
      <w:r w:rsidRPr="005C549C">
        <w:t xml:space="preserve">Pen CS </w:t>
      </w:r>
      <w:bookmarkEnd w:id="186"/>
      <w:r w:rsidRPr="005C549C">
        <w:t>or Polar by 30 June 2019.</w:t>
      </w:r>
    </w:p>
    <w:p w14:paraId="671170D3" w14:textId="77777777" w:rsidR="001C19F3" w:rsidRPr="005C549C" w:rsidRDefault="001C19F3" w:rsidP="001C19F3">
      <w:pPr>
        <w:pStyle w:val="Chartortablefootnote"/>
      </w:pPr>
      <w:r w:rsidRPr="005C549C">
        <w:t xml:space="preserve">The number of GP consultations for patients in Pen CS practices was estimated based on derived variables that indicate the number of times any GP in the practice used the practice’s clinical information system within the defined period. For patients in POLAR practices, the number of GP consultations was calculated as the number of patient encounters with a GP provider for any encounter type (e.g. visit, surgery, telephone, non-visit) within the define period. In instances where multiple GP-provider encounter records with the same encounter type were recorded in one day, one encounter record was selected. The analysis of GP-provider encounters in POLAR data shows that majority of GP-provider encounters (94%) related to patient consultations (i.e. type of encounter as visit or surgery). </w:t>
      </w:r>
      <w:r w:rsidRPr="003E3F26">
        <w:rPr>
          <w:vertAlign w:val="superscript"/>
        </w:rPr>
        <w:t>1</w:t>
      </w:r>
      <w:r w:rsidRPr="005C549C">
        <w:t xml:space="preserve">GP consultations for all HCH patients were calculated for </w:t>
      </w:r>
      <w:r>
        <w:t>81</w:t>
      </w:r>
      <w:r w:rsidRPr="005C549C">
        <w:t xml:space="preserve"> Pen CS practices whose extract data contain the GP utilisation derived variables and patient risk tier and 4 POLAR practices whose extract data contain patient encounters. </w:t>
      </w:r>
      <w:r w:rsidRPr="003E3F26">
        <w:rPr>
          <w:vertAlign w:val="superscript"/>
        </w:rPr>
        <w:t>2</w:t>
      </w:r>
      <w:r w:rsidRPr="005C549C">
        <w:t xml:space="preserve">GP consultations for patients in each risk tier were calculated for </w:t>
      </w:r>
      <w:r>
        <w:t>81</w:t>
      </w:r>
      <w:r w:rsidRPr="005C549C">
        <w:t xml:space="preserve"> Pen CS practices whose extract data contain the GP utilisation derived variables and patient risk tier and 2 POLAR practices whose extract data contain patient encounters and risk tier.</w:t>
      </w:r>
    </w:p>
    <w:p w14:paraId="2322347B" w14:textId="77777777" w:rsidR="001C19F3" w:rsidRDefault="001C19F3" w:rsidP="001C19F3">
      <w:pPr>
        <w:spacing w:after="0"/>
        <w:jc w:val="center"/>
        <w:rPr>
          <w:b/>
        </w:rPr>
      </w:pPr>
      <w:bookmarkStart w:id="187" w:name="_Ref20739068"/>
      <w:r w:rsidRPr="00DD08EB">
        <w:rPr>
          <w:b/>
        </w:rPr>
        <w:t xml:space="preserve">Table </w:t>
      </w:r>
      <w:r w:rsidRPr="00DD08EB">
        <w:rPr>
          <w:b/>
        </w:rPr>
        <w:fldChar w:fldCharType="begin"/>
      </w:r>
      <w:r w:rsidRPr="00DD08EB">
        <w:rPr>
          <w:b/>
        </w:rPr>
        <w:instrText>SEQ Table \* ARABIC</w:instrText>
      </w:r>
      <w:r w:rsidRPr="00DD08EB">
        <w:rPr>
          <w:b/>
        </w:rPr>
        <w:fldChar w:fldCharType="separate"/>
      </w:r>
      <w:r>
        <w:rPr>
          <w:b/>
          <w:noProof/>
        </w:rPr>
        <w:t>25</w:t>
      </w:r>
      <w:r w:rsidRPr="00DD08EB">
        <w:rPr>
          <w:b/>
        </w:rPr>
        <w:fldChar w:fldCharType="end"/>
      </w:r>
      <w:bookmarkEnd w:id="187"/>
      <w:r w:rsidRPr="00DD08EB">
        <w:rPr>
          <w:b/>
        </w:rPr>
        <w:t xml:space="preserve"> – </w:t>
      </w:r>
      <w:r>
        <w:rPr>
          <w:b/>
        </w:rPr>
        <w:t>Patient reports of number of attendances in the last 6 months</w:t>
      </w:r>
    </w:p>
    <w:tbl>
      <w:tblPr>
        <w:tblW w:w="8514" w:type="dxa"/>
        <w:jc w:val="center"/>
        <w:tblLayout w:type="fixed"/>
        <w:tblLook w:val="04A0" w:firstRow="1" w:lastRow="0" w:firstColumn="1" w:lastColumn="0" w:noHBand="0" w:noVBand="1"/>
      </w:tblPr>
      <w:tblGrid>
        <w:gridCol w:w="1918"/>
        <w:gridCol w:w="1440"/>
        <w:gridCol w:w="1440"/>
        <w:gridCol w:w="1440"/>
        <w:gridCol w:w="1440"/>
        <w:gridCol w:w="836"/>
      </w:tblGrid>
      <w:tr w:rsidR="001C19F3" w14:paraId="50CB8A79" w14:textId="77777777" w:rsidTr="00521305">
        <w:trPr>
          <w:cantSplit/>
          <w:tblHeader/>
          <w:jc w:val="center"/>
        </w:trPr>
        <w:tc>
          <w:tcPr>
            <w:tcW w:w="1918"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24426C0" w14:textId="77777777" w:rsidR="001C19F3" w:rsidRDefault="001C19F3" w:rsidP="00521305">
            <w:pPr>
              <w:spacing w:after="0"/>
              <w:jc w:val="center"/>
              <w:rPr>
                <w:rFonts w:asciiTheme="minorHAnsi" w:eastAsiaTheme="minorHAnsi" w:hAnsiTheme="minorHAnsi"/>
              </w:rPr>
            </w:pPr>
            <w:r>
              <w:rPr>
                <w:rFonts w:cstheme="minorHAnsi"/>
                <w:b/>
                <w:color w:val="FFFFFF"/>
                <w:sz w:val="18"/>
                <w:szCs w:val="18"/>
              </w:rPr>
              <w:t>No. of attendances</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8F8C4F" w14:textId="77777777" w:rsidR="001C19F3" w:rsidRDefault="001C19F3" w:rsidP="00521305">
            <w:pPr>
              <w:spacing w:after="0"/>
              <w:jc w:val="center"/>
            </w:pPr>
            <w:r>
              <w:rPr>
                <w:rFonts w:eastAsia="Century Gothic" w:cs="Century Gothic"/>
                <w:b/>
                <w:color w:val="FFFFFF"/>
                <w:sz w:val="18"/>
                <w:szCs w:val="18"/>
              </w:rPr>
              <w:t>Total</w:t>
            </w:r>
          </w:p>
        </w:tc>
        <w:tc>
          <w:tcPr>
            <w:tcW w:w="5156"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D069695" w14:textId="77777777" w:rsidR="001C19F3" w:rsidRDefault="001C19F3" w:rsidP="00521305">
            <w:pPr>
              <w:spacing w:after="0"/>
              <w:jc w:val="center"/>
            </w:pPr>
            <w:r>
              <w:rPr>
                <w:b/>
                <w:sz w:val="18"/>
                <w:szCs w:val="18"/>
              </w:rPr>
              <w:t>HCH risk tier</w:t>
            </w:r>
          </w:p>
        </w:tc>
      </w:tr>
      <w:tr w:rsidR="001C19F3" w14:paraId="7857E01F" w14:textId="77777777" w:rsidTr="00521305">
        <w:trPr>
          <w:cantSplit/>
          <w:tblHeader/>
          <w:jc w:val="center"/>
        </w:trPr>
        <w:tc>
          <w:tcPr>
            <w:tcW w:w="1918" w:type="dxa"/>
            <w:vMerge/>
            <w:tcBorders>
              <w:top w:val="single" w:sz="8" w:space="0" w:color="BFBFBF"/>
              <w:left w:val="single" w:sz="8" w:space="0" w:color="BFBFBF"/>
              <w:bottom w:val="single" w:sz="8" w:space="0" w:color="BFBFBF"/>
              <w:right w:val="single" w:sz="8" w:space="0" w:color="BFBFBF"/>
            </w:tcBorders>
            <w:shd w:val="clear" w:color="auto" w:fill="003D79"/>
            <w:vAlign w:val="center"/>
            <w:hideMark/>
          </w:tcPr>
          <w:p w14:paraId="2B8C3493"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shd w:val="clear" w:color="auto" w:fill="003D79"/>
            <w:vAlign w:val="center"/>
            <w:hideMark/>
          </w:tcPr>
          <w:p w14:paraId="3CC9C57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3A94CCF" w14:textId="77777777" w:rsidR="001C19F3" w:rsidRDefault="001C19F3" w:rsidP="00521305">
            <w:pPr>
              <w:spacing w:after="0"/>
              <w:jc w:val="center"/>
            </w:pPr>
            <w:r>
              <w:rPr>
                <w:rFonts w:eastAsia="Century Gothic" w:cs="Century Gothic"/>
                <w:b/>
                <w:color w:val="FFFFFF"/>
                <w:sz w:val="18"/>
                <w:szCs w:val="18"/>
              </w:rPr>
              <w:t>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0F46E3A" w14:textId="77777777" w:rsidR="001C19F3" w:rsidRDefault="001C19F3" w:rsidP="00521305">
            <w:pPr>
              <w:spacing w:after="0"/>
              <w:jc w:val="center"/>
            </w:pPr>
            <w:r>
              <w:rPr>
                <w:rFonts w:eastAsia="Century Gothic" w:cs="Century Gothic"/>
                <w:b/>
                <w:color w:val="FFFFFF"/>
                <w:sz w:val="18"/>
                <w:szCs w:val="18"/>
              </w:rPr>
              <w:t>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35766C" w14:textId="77777777" w:rsidR="001C19F3" w:rsidRDefault="001C19F3" w:rsidP="00521305">
            <w:pPr>
              <w:spacing w:after="0"/>
              <w:jc w:val="center"/>
            </w:pPr>
            <w:r>
              <w:rPr>
                <w:rFonts w:eastAsia="Century Gothic" w:cs="Century Gothic"/>
                <w:b/>
                <w:color w:val="FFFFFF"/>
                <w:sz w:val="18"/>
                <w:szCs w:val="18"/>
              </w:rPr>
              <w:t>3</w:t>
            </w:r>
          </w:p>
        </w:tc>
        <w:tc>
          <w:tcPr>
            <w:tcW w:w="83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A0CCE6D"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657CBE4"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3DEBC3" w14:textId="77777777" w:rsidR="001C19F3" w:rsidRDefault="001C19F3" w:rsidP="00521305">
            <w:pPr>
              <w:spacing w:before="40" w:after="40"/>
              <w:ind w:left="160" w:right="100"/>
            </w:pPr>
            <w:r>
              <w:rPr>
                <w:rFonts w:eastAsia="Century Gothic" w:cs="Century Gothic"/>
                <w:color w:val="000000"/>
                <w:sz w:val="18"/>
                <w:szCs w:val="18"/>
              </w:rPr>
              <w:t>Once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A8444" w14:textId="77777777" w:rsidR="001C19F3" w:rsidRDefault="001C19F3" w:rsidP="00521305">
            <w:pPr>
              <w:spacing w:before="40" w:after="40"/>
              <w:ind w:left="100" w:right="100"/>
              <w:jc w:val="center"/>
            </w:pPr>
            <w:r>
              <w:rPr>
                <w:rFonts w:eastAsia="Century Gothic" w:cs="Century Gothic"/>
                <w:color w:val="000000"/>
                <w:sz w:val="18"/>
                <w:szCs w:val="18"/>
              </w:rPr>
              <w:t>82 (4.1%)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00D1CF" w14:textId="77777777" w:rsidR="001C19F3" w:rsidRDefault="001C19F3" w:rsidP="00521305">
            <w:pPr>
              <w:spacing w:before="40" w:after="40"/>
              <w:ind w:left="100" w:right="100"/>
              <w:jc w:val="center"/>
            </w:pPr>
            <w:r>
              <w:rPr>
                <w:rFonts w:eastAsia="Century Gothic" w:cs="Century Gothic"/>
                <w:color w:val="000000"/>
                <w:sz w:val="18"/>
                <w:szCs w:val="18"/>
              </w:rPr>
              <w:t>21 (4.8%)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DD960" w14:textId="77777777" w:rsidR="001C19F3" w:rsidRDefault="001C19F3" w:rsidP="00521305">
            <w:pPr>
              <w:spacing w:before="40" w:after="40"/>
              <w:ind w:left="100" w:right="100"/>
              <w:jc w:val="center"/>
            </w:pPr>
            <w:r>
              <w:rPr>
                <w:rFonts w:eastAsia="Century Gothic" w:cs="Century Gothic"/>
                <w:color w:val="000000"/>
                <w:sz w:val="18"/>
                <w:szCs w:val="18"/>
              </w:rPr>
              <w:t>42 (4.1%)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091649" w14:textId="77777777" w:rsidR="001C19F3" w:rsidRDefault="001C19F3" w:rsidP="00521305">
            <w:pPr>
              <w:spacing w:before="40" w:after="40"/>
              <w:ind w:left="100" w:right="100"/>
              <w:jc w:val="center"/>
            </w:pPr>
            <w:r>
              <w:rPr>
                <w:rFonts w:eastAsia="Century Gothic" w:cs="Century Gothic"/>
                <w:color w:val="000000"/>
                <w:sz w:val="18"/>
                <w:szCs w:val="18"/>
              </w:rPr>
              <w:t>16 (3.4%)</w:t>
            </w:r>
          </w:p>
        </w:tc>
        <w:tc>
          <w:tcPr>
            <w:tcW w:w="83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A8C344" w14:textId="77777777" w:rsidR="001C19F3" w:rsidRDefault="001C19F3" w:rsidP="00521305">
            <w:pPr>
              <w:spacing w:before="40" w:after="40"/>
              <w:ind w:left="100" w:right="100"/>
              <w:jc w:val="center"/>
            </w:pPr>
            <w:r>
              <w:rPr>
                <w:rFonts w:eastAsia="Century Gothic" w:cs="Century Gothic"/>
                <w:color w:val="000000"/>
                <w:sz w:val="18"/>
                <w:szCs w:val="18"/>
              </w:rPr>
              <w:t>&lt;0.001</w:t>
            </w:r>
          </w:p>
        </w:tc>
      </w:tr>
      <w:tr w:rsidR="001C19F3" w14:paraId="498D5C08"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35A88A" w14:textId="77777777" w:rsidR="001C19F3" w:rsidRDefault="001C19F3" w:rsidP="00521305">
            <w:pPr>
              <w:spacing w:before="40" w:after="40"/>
              <w:ind w:left="160" w:right="100"/>
            </w:pPr>
            <w:r>
              <w:rPr>
                <w:rFonts w:eastAsia="Century Gothic" w:cs="Century Gothic"/>
                <w:color w:val="000000"/>
                <w:sz w:val="18"/>
                <w:szCs w:val="18"/>
              </w:rPr>
              <w:t>Twice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8FB79C" w14:textId="77777777" w:rsidR="001C19F3" w:rsidRDefault="001C19F3" w:rsidP="00521305">
            <w:pPr>
              <w:spacing w:before="40" w:after="40"/>
              <w:ind w:left="100" w:right="100"/>
              <w:jc w:val="center"/>
            </w:pPr>
            <w:r>
              <w:rPr>
                <w:rFonts w:eastAsia="Century Gothic" w:cs="Century Gothic"/>
                <w:color w:val="000000"/>
                <w:sz w:val="18"/>
                <w:szCs w:val="18"/>
              </w:rPr>
              <w:t>244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83B0B7" w14:textId="77777777" w:rsidR="001C19F3" w:rsidRDefault="001C19F3" w:rsidP="00521305">
            <w:pPr>
              <w:spacing w:before="40" w:after="40"/>
              <w:ind w:left="100" w:right="100"/>
              <w:jc w:val="center"/>
            </w:pPr>
            <w:r>
              <w:rPr>
                <w:rFonts w:eastAsia="Century Gothic" w:cs="Century Gothic"/>
                <w:color w:val="000000"/>
                <w:sz w:val="18"/>
                <w:szCs w:val="18"/>
              </w:rPr>
              <w:t>82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F3C8A" w14:textId="77777777" w:rsidR="001C19F3" w:rsidRDefault="001C19F3" w:rsidP="00521305">
            <w:pPr>
              <w:spacing w:before="40" w:after="40"/>
              <w:ind w:left="100" w:right="100"/>
              <w:jc w:val="center"/>
            </w:pPr>
            <w:r>
              <w:rPr>
                <w:rFonts w:eastAsia="Century Gothic" w:cs="Century Gothic"/>
                <w:color w:val="000000"/>
                <w:sz w:val="18"/>
                <w:szCs w:val="18"/>
              </w:rPr>
              <w:t>114 (11.2%)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624EBB" w14:textId="77777777" w:rsidR="001C19F3" w:rsidRDefault="001C19F3" w:rsidP="00521305">
            <w:pPr>
              <w:spacing w:before="40" w:after="40"/>
              <w:ind w:left="100" w:right="100"/>
              <w:jc w:val="center"/>
            </w:pPr>
            <w:r>
              <w:rPr>
                <w:rFonts w:eastAsia="Century Gothic" w:cs="Century Gothic"/>
                <w:color w:val="000000"/>
                <w:sz w:val="18"/>
                <w:szCs w:val="18"/>
              </w:rPr>
              <w:t>44 (9.4%)</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3073122F" w14:textId="77777777" w:rsidR="001C19F3" w:rsidRDefault="001C19F3" w:rsidP="00521305">
            <w:pPr>
              <w:spacing w:after="0"/>
              <w:rPr>
                <w:sz w:val="22"/>
              </w:rPr>
            </w:pPr>
          </w:p>
        </w:tc>
      </w:tr>
      <w:tr w:rsidR="001C19F3" w14:paraId="135643FB"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107945" w14:textId="77777777" w:rsidR="001C19F3" w:rsidRDefault="001C19F3" w:rsidP="00521305">
            <w:pPr>
              <w:spacing w:before="40" w:after="40"/>
              <w:ind w:left="160" w:right="100"/>
            </w:pPr>
            <w:r>
              <w:rPr>
                <w:rFonts w:eastAsia="Century Gothic" w:cs="Century Gothic"/>
                <w:color w:val="000000"/>
                <w:sz w:val="18"/>
                <w:szCs w:val="18"/>
              </w:rPr>
              <w:t>3 times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092827" w14:textId="77777777" w:rsidR="001C19F3" w:rsidRDefault="001C19F3" w:rsidP="00521305">
            <w:pPr>
              <w:spacing w:before="40" w:after="40"/>
              <w:ind w:left="100" w:right="100"/>
              <w:jc w:val="center"/>
            </w:pPr>
            <w:r>
              <w:rPr>
                <w:rFonts w:eastAsia="Century Gothic" w:cs="Century Gothic"/>
                <w:color w:val="000000"/>
                <w:sz w:val="18"/>
                <w:szCs w:val="18"/>
              </w:rPr>
              <w:t>324 (16.1%)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564312" w14:textId="77777777" w:rsidR="001C19F3" w:rsidRDefault="001C19F3" w:rsidP="00521305">
            <w:pPr>
              <w:spacing w:before="40" w:after="40"/>
              <w:ind w:left="100" w:right="100"/>
              <w:jc w:val="center"/>
            </w:pPr>
            <w:r>
              <w:rPr>
                <w:rFonts w:eastAsia="Century Gothic" w:cs="Century Gothic"/>
                <w:color w:val="000000"/>
                <w:sz w:val="18"/>
                <w:szCs w:val="18"/>
              </w:rPr>
              <w:t>90 (20.7%)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5800C0" w14:textId="77777777" w:rsidR="001C19F3" w:rsidRDefault="001C19F3" w:rsidP="00521305">
            <w:pPr>
              <w:spacing w:before="40" w:after="40"/>
              <w:ind w:left="100" w:right="100"/>
              <w:jc w:val="center"/>
            </w:pPr>
            <w:r>
              <w:rPr>
                <w:rFonts w:eastAsia="Century Gothic" w:cs="Century Gothic"/>
                <w:color w:val="000000"/>
                <w:sz w:val="18"/>
                <w:szCs w:val="18"/>
              </w:rPr>
              <w:t>158 (15.5%)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219F37" w14:textId="77777777" w:rsidR="001C19F3" w:rsidRDefault="001C19F3" w:rsidP="00521305">
            <w:pPr>
              <w:spacing w:before="40" w:after="40"/>
              <w:ind w:left="100" w:right="100"/>
              <w:jc w:val="center"/>
            </w:pPr>
            <w:r>
              <w:rPr>
                <w:rFonts w:eastAsia="Century Gothic" w:cs="Century Gothic"/>
                <w:color w:val="000000"/>
                <w:sz w:val="18"/>
                <w:szCs w:val="18"/>
              </w:rPr>
              <w:t>65 (13.9%)</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33E5D62D" w14:textId="77777777" w:rsidR="001C19F3" w:rsidRDefault="001C19F3" w:rsidP="00521305">
            <w:pPr>
              <w:spacing w:after="0"/>
              <w:rPr>
                <w:sz w:val="22"/>
              </w:rPr>
            </w:pPr>
          </w:p>
        </w:tc>
      </w:tr>
      <w:tr w:rsidR="001C19F3" w14:paraId="29FE99C5"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7AC088" w14:textId="77777777" w:rsidR="001C19F3" w:rsidRDefault="001C19F3" w:rsidP="00521305">
            <w:pPr>
              <w:spacing w:before="40" w:after="40"/>
              <w:ind w:left="160" w:right="100"/>
            </w:pPr>
            <w:r>
              <w:rPr>
                <w:rFonts w:eastAsia="Century Gothic" w:cs="Century Gothic"/>
                <w:color w:val="000000"/>
                <w:sz w:val="18"/>
                <w:szCs w:val="18"/>
              </w:rPr>
              <w:t>4 times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392521" w14:textId="77777777" w:rsidR="001C19F3" w:rsidRDefault="001C19F3" w:rsidP="00521305">
            <w:pPr>
              <w:spacing w:before="40" w:after="40"/>
              <w:ind w:left="100" w:right="100"/>
              <w:jc w:val="center"/>
            </w:pPr>
            <w:r>
              <w:rPr>
                <w:rFonts w:eastAsia="Century Gothic" w:cs="Century Gothic"/>
                <w:color w:val="000000"/>
                <w:sz w:val="18"/>
                <w:szCs w:val="18"/>
              </w:rPr>
              <w:t>296 (14.7%)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52496A" w14:textId="77777777" w:rsidR="001C19F3" w:rsidRDefault="001C19F3" w:rsidP="00521305">
            <w:pPr>
              <w:spacing w:before="40" w:after="40"/>
              <w:ind w:left="100" w:right="100"/>
              <w:jc w:val="center"/>
            </w:pPr>
            <w:r>
              <w:rPr>
                <w:rFonts w:eastAsia="Century Gothic" w:cs="Century Gothic"/>
                <w:color w:val="000000"/>
                <w:sz w:val="18"/>
                <w:szCs w:val="18"/>
              </w:rPr>
              <w:t>62 (14.3%)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D74CF6" w14:textId="77777777" w:rsidR="001C19F3" w:rsidRDefault="001C19F3" w:rsidP="00521305">
            <w:pPr>
              <w:spacing w:before="40" w:after="40"/>
              <w:ind w:left="100" w:right="100"/>
              <w:jc w:val="center"/>
            </w:pPr>
            <w:r>
              <w:rPr>
                <w:rFonts w:eastAsia="Century Gothic" w:cs="Century Gothic"/>
                <w:color w:val="000000"/>
                <w:sz w:val="18"/>
                <w:szCs w:val="18"/>
              </w:rPr>
              <w:t>165 (16.2%)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050F6" w14:textId="77777777" w:rsidR="001C19F3" w:rsidRDefault="001C19F3" w:rsidP="00521305">
            <w:pPr>
              <w:spacing w:before="40" w:after="40"/>
              <w:ind w:left="100" w:right="100"/>
              <w:jc w:val="center"/>
            </w:pPr>
            <w:r>
              <w:rPr>
                <w:rFonts w:eastAsia="Century Gothic" w:cs="Century Gothic"/>
                <w:color w:val="000000"/>
                <w:sz w:val="18"/>
                <w:szCs w:val="18"/>
              </w:rPr>
              <w:t>57 (12.2%)</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6E1EADCE" w14:textId="77777777" w:rsidR="001C19F3" w:rsidRDefault="001C19F3" w:rsidP="00521305">
            <w:pPr>
              <w:spacing w:after="0"/>
              <w:rPr>
                <w:sz w:val="22"/>
              </w:rPr>
            </w:pPr>
          </w:p>
        </w:tc>
      </w:tr>
      <w:tr w:rsidR="001C19F3" w14:paraId="0BF83773"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5DDDA1" w14:textId="77777777" w:rsidR="001C19F3" w:rsidRDefault="001C19F3" w:rsidP="00521305">
            <w:pPr>
              <w:spacing w:before="40" w:after="40"/>
              <w:ind w:left="160" w:right="100"/>
            </w:pPr>
            <w:r>
              <w:rPr>
                <w:rFonts w:eastAsia="Century Gothic" w:cs="Century Gothic"/>
                <w:color w:val="000000"/>
                <w:sz w:val="18"/>
                <w:szCs w:val="18"/>
              </w:rPr>
              <w:t>5 to 9 times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0C32C4" w14:textId="77777777" w:rsidR="001C19F3" w:rsidRDefault="001C19F3" w:rsidP="00521305">
            <w:pPr>
              <w:spacing w:before="40" w:after="40"/>
              <w:ind w:left="100" w:right="100"/>
              <w:jc w:val="center"/>
            </w:pPr>
            <w:r>
              <w:rPr>
                <w:rFonts w:eastAsia="Century Gothic" w:cs="Century Gothic"/>
                <w:color w:val="000000"/>
                <w:sz w:val="18"/>
                <w:szCs w:val="18"/>
              </w:rPr>
              <w:t>596 (29.5%)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047BC6" w14:textId="77777777" w:rsidR="001C19F3" w:rsidRDefault="001C19F3" w:rsidP="00521305">
            <w:pPr>
              <w:spacing w:before="40" w:after="40"/>
              <w:ind w:left="100" w:right="100"/>
              <w:jc w:val="center"/>
            </w:pPr>
            <w:r>
              <w:rPr>
                <w:rFonts w:eastAsia="Century Gothic" w:cs="Century Gothic"/>
                <w:color w:val="000000"/>
                <w:sz w:val="18"/>
                <w:szCs w:val="18"/>
              </w:rPr>
              <w:t>112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0D03FD" w14:textId="77777777" w:rsidR="001C19F3" w:rsidRDefault="001C19F3" w:rsidP="00521305">
            <w:pPr>
              <w:spacing w:before="40" w:after="40"/>
              <w:ind w:left="100" w:right="100"/>
              <w:jc w:val="center"/>
            </w:pPr>
            <w:r>
              <w:rPr>
                <w:rFonts w:eastAsia="Century Gothic" w:cs="Century Gothic"/>
                <w:color w:val="000000"/>
                <w:sz w:val="18"/>
                <w:szCs w:val="18"/>
              </w:rPr>
              <w:t>318 (31.2%)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5EEF6E" w14:textId="77777777" w:rsidR="001C19F3" w:rsidRDefault="001C19F3" w:rsidP="00521305">
            <w:pPr>
              <w:spacing w:before="40" w:after="40"/>
              <w:ind w:left="100" w:right="100"/>
              <w:jc w:val="center"/>
            </w:pPr>
            <w:r>
              <w:rPr>
                <w:rFonts w:eastAsia="Century Gothic" w:cs="Century Gothic"/>
                <w:color w:val="000000"/>
                <w:sz w:val="18"/>
                <w:szCs w:val="18"/>
              </w:rPr>
              <w:t>146 (31.2%)</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5C1425BA" w14:textId="77777777" w:rsidR="001C19F3" w:rsidRDefault="001C19F3" w:rsidP="00521305">
            <w:pPr>
              <w:spacing w:after="0"/>
              <w:rPr>
                <w:sz w:val="22"/>
              </w:rPr>
            </w:pPr>
          </w:p>
        </w:tc>
      </w:tr>
      <w:tr w:rsidR="001C19F3" w14:paraId="748997A3"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73F950" w14:textId="77777777" w:rsidR="001C19F3" w:rsidRDefault="001C19F3" w:rsidP="00521305">
            <w:pPr>
              <w:spacing w:before="40" w:after="40"/>
              <w:ind w:left="160" w:right="100"/>
            </w:pPr>
            <w:r>
              <w:rPr>
                <w:rFonts w:eastAsia="Century Gothic" w:cs="Century Gothic"/>
                <w:color w:val="000000"/>
                <w:sz w:val="18"/>
                <w:szCs w:val="18"/>
              </w:rPr>
              <w:t>10 or more times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30574B" w14:textId="77777777" w:rsidR="001C19F3" w:rsidRDefault="001C19F3" w:rsidP="00521305">
            <w:pPr>
              <w:spacing w:before="40" w:after="40"/>
              <w:ind w:left="100" w:right="100"/>
              <w:jc w:val="center"/>
            </w:pPr>
            <w:r>
              <w:rPr>
                <w:rFonts w:eastAsia="Century Gothic" w:cs="Century Gothic"/>
                <w:color w:val="000000"/>
                <w:sz w:val="18"/>
                <w:szCs w:val="18"/>
              </w:rPr>
              <w:t>434 (21.5%)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919AEF" w14:textId="77777777" w:rsidR="001C19F3" w:rsidRDefault="001C19F3" w:rsidP="00521305">
            <w:pPr>
              <w:spacing w:before="40" w:after="40"/>
              <w:ind w:left="100" w:right="100"/>
              <w:jc w:val="center"/>
            </w:pPr>
            <w:r>
              <w:rPr>
                <w:rFonts w:eastAsia="Century Gothic" w:cs="Century Gothic"/>
                <w:color w:val="000000"/>
                <w:sz w:val="18"/>
                <w:szCs w:val="18"/>
              </w:rPr>
              <w:t>63 (14.5%)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18FA1" w14:textId="77777777" w:rsidR="001C19F3" w:rsidRDefault="001C19F3" w:rsidP="00521305">
            <w:pPr>
              <w:spacing w:before="40" w:after="40"/>
              <w:ind w:left="100" w:right="100"/>
              <w:jc w:val="center"/>
            </w:pPr>
            <w:r>
              <w:rPr>
                <w:rFonts w:eastAsia="Century Gothic" w:cs="Century Gothic"/>
                <w:color w:val="000000"/>
                <w:sz w:val="18"/>
                <w:szCs w:val="18"/>
              </w:rPr>
              <w:t>218 (21.4%)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1FCDEE" w14:textId="77777777" w:rsidR="001C19F3" w:rsidRDefault="001C19F3" w:rsidP="00521305">
            <w:pPr>
              <w:spacing w:before="40" w:after="40"/>
              <w:ind w:left="100" w:right="100"/>
              <w:jc w:val="center"/>
            </w:pPr>
            <w:r>
              <w:rPr>
                <w:rFonts w:eastAsia="Century Gothic" w:cs="Century Gothic"/>
                <w:color w:val="000000"/>
                <w:sz w:val="18"/>
                <w:szCs w:val="18"/>
              </w:rPr>
              <w:t>136 (29.1%)</w:t>
            </w:r>
          </w:p>
        </w:tc>
        <w:tc>
          <w:tcPr>
            <w:tcW w:w="836" w:type="dxa"/>
            <w:vMerge/>
            <w:tcBorders>
              <w:top w:val="single" w:sz="8" w:space="0" w:color="BFBFBF"/>
              <w:left w:val="single" w:sz="8" w:space="0" w:color="BFBFBF"/>
              <w:bottom w:val="single" w:sz="8" w:space="0" w:color="BFBFBF"/>
              <w:right w:val="single" w:sz="8" w:space="0" w:color="BFBFBF"/>
            </w:tcBorders>
            <w:vAlign w:val="center"/>
            <w:hideMark/>
          </w:tcPr>
          <w:p w14:paraId="562C1760" w14:textId="77777777" w:rsidR="001C19F3" w:rsidRDefault="001C19F3" w:rsidP="00521305">
            <w:pPr>
              <w:spacing w:after="0"/>
              <w:rPr>
                <w:sz w:val="22"/>
              </w:rPr>
            </w:pPr>
          </w:p>
        </w:tc>
      </w:tr>
      <w:tr w:rsidR="001C19F3" w14:paraId="06E1C568" w14:textId="77777777" w:rsidTr="00521305">
        <w:trPr>
          <w:cantSplit/>
          <w:trHeight w:val="288"/>
          <w:jc w:val="center"/>
        </w:trPr>
        <w:tc>
          <w:tcPr>
            <w:tcW w:w="19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8B3948"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215CBE" w14:textId="77777777" w:rsidR="001C19F3" w:rsidRDefault="001C19F3" w:rsidP="00521305">
            <w:pPr>
              <w:spacing w:before="40" w:after="40"/>
              <w:ind w:left="100" w:right="100"/>
              <w:jc w:val="center"/>
            </w:pPr>
            <w:r>
              <w:rPr>
                <w:rFonts w:eastAsia="Century Gothic" w:cs="Century Gothic"/>
                <w:color w:val="000000"/>
                <w:sz w:val="18"/>
                <w:szCs w:val="18"/>
              </w:rPr>
              <w:t>26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EFB9D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B95EA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6FDAB9" w14:textId="77777777" w:rsidR="001C19F3" w:rsidRDefault="001C19F3" w:rsidP="00521305">
            <w:pPr>
              <w:spacing w:before="40" w:after="40"/>
              <w:ind w:left="100" w:right="100"/>
              <w:jc w:val="center"/>
            </w:pPr>
          </w:p>
        </w:tc>
        <w:tc>
          <w:tcPr>
            <w:tcW w:w="83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26A056" w14:textId="77777777" w:rsidR="001C19F3" w:rsidRDefault="001C19F3" w:rsidP="00521305">
            <w:pPr>
              <w:spacing w:before="40" w:after="40"/>
              <w:ind w:left="100" w:right="100"/>
              <w:jc w:val="center"/>
            </w:pPr>
          </w:p>
        </w:tc>
      </w:tr>
    </w:tbl>
    <w:p w14:paraId="1E5EE92C" w14:textId="77777777" w:rsidR="001C19F3" w:rsidRPr="005C549C" w:rsidRDefault="001C19F3" w:rsidP="001C19F3">
      <w:pPr>
        <w:pStyle w:val="Chartortablefootnote"/>
      </w:pPr>
      <w:r w:rsidRPr="005C549C">
        <w:t xml:space="preserve">Source: </w:t>
      </w:r>
      <w:r>
        <w:t>CATI surveys conducted by The Social Research Centre between December 2017 and March 2019</w:t>
      </w:r>
      <w:r w:rsidRPr="005C549C">
        <w:t xml:space="preserve">. </w:t>
      </w:r>
    </w:p>
    <w:p w14:paraId="3A23EDEA" w14:textId="77777777" w:rsidR="001C19F3" w:rsidRDefault="001C19F3" w:rsidP="001C19F3">
      <w:pPr>
        <w:pStyle w:val="Heading2"/>
      </w:pPr>
      <w:bookmarkStart w:id="188" w:name="_Toc20151663"/>
      <w:bookmarkStart w:id="189" w:name="_Toc27056561"/>
      <w:r>
        <w:lastRenderedPageBreak/>
        <w:t>HCH patient health status</w:t>
      </w:r>
      <w:bookmarkEnd w:id="188"/>
      <w:bookmarkEnd w:id="189"/>
    </w:p>
    <w:p w14:paraId="0F6AF4F0" w14:textId="77777777" w:rsidR="001C19F3" w:rsidRDefault="001C19F3" w:rsidP="001C19F3">
      <w:r>
        <w:t xml:space="preserve">The patient survey included questions about the patient’s assessment of their overall health and dimensions of their health related quality of life using the EQ-5D-5L instrument </w:t>
      </w:r>
      <w:bookmarkStart w:id="190" w:name="_Hlk22478816"/>
      <w:r>
        <w:t>(</w:t>
      </w:r>
      <w:r w:rsidRPr="009245DB">
        <w:fldChar w:fldCharType="begin">
          <w:fldData xml:space="preserve">PEVuZE5vdGU+PENpdGU+PEF1dGhvcj5EZXZsaW48L0F1dGhvcj48WWVhcj4yMDEzPC9ZZWFyPjxS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</w:fldData>
        </w:fldChar>
      </w:r>
      <w:r>
        <w:instrText xml:space="preserve"> ADDIN EN.CITE </w:instrText>
      </w:r>
      <w:r>
        <w:fldChar w:fldCharType="begin">
          <w:fldData xml:space="preserve">PEVuZE5vdGU+PENpdGU+PEF1dGhvcj5EZXZsaW48L0F1dGhvcj48WWVhcj4yMDEzPC9ZZWFyPjxS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</w:fldData>
        </w:fldChar>
      </w:r>
      <w:r>
        <w:instrText xml:space="preserve"> ADDIN EN.CITE.DATA </w:instrText>
      </w:r>
      <w:r>
        <w:fldChar w:fldCharType="end"/>
      </w:r>
      <w:r w:rsidRPr="009245DB">
        <w:fldChar w:fldCharType="separate"/>
      </w:r>
      <w:r>
        <w:rPr>
          <w:noProof/>
        </w:rPr>
        <w:t>Devlin &amp; Krabbe, 2013; Herdman, Gudex, Lloyd et al., 2011</w:t>
      </w:r>
      <w:r w:rsidRPr="009245DB">
        <w:fldChar w:fldCharType="end"/>
      </w:r>
      <w:bookmarkEnd w:id="190"/>
      <w:r>
        <w:t>). For overall health, 37% of patients reported their health as poor or fair, with clear gradient between Tier 1 (21%) and Tier 3 (54%) (</w:t>
      </w:r>
      <w:r>
        <w:fldChar w:fldCharType="begin"/>
      </w:r>
      <w:r>
        <w:instrText xml:space="preserve"> REF _Ref20744714 \h  \* MERGEFORMAT </w:instrText>
      </w:r>
      <w:r>
        <w:fldChar w:fldCharType="separate"/>
      </w:r>
      <w:r w:rsidRPr="00822044">
        <w:t>Figure 9</w:t>
      </w:r>
      <w:r>
        <w:fldChar w:fldCharType="end"/>
      </w:r>
      <w:r>
        <w:t>). 24% of patients reported their overall mental or emotional health as poor or fair, ranging from 13% for Tier 1 to 37% for Tier 3 (</w:t>
      </w:r>
      <w:r>
        <w:fldChar w:fldCharType="begin"/>
      </w:r>
      <w:r>
        <w:instrText xml:space="preserve"> REF _Ref20744714 \h  \* MERGEFORMAT </w:instrText>
      </w:r>
      <w:r>
        <w:fldChar w:fldCharType="separate"/>
      </w:r>
      <w:r w:rsidRPr="00822044">
        <w:t>Figure 9</w:t>
      </w:r>
      <w:r>
        <w:fldChar w:fldCharType="end"/>
      </w:r>
      <w:r>
        <w:t>). Differences between tiers were statistically significant.</w:t>
      </w:r>
    </w:p>
    <w:p w14:paraId="1543673E" w14:textId="77777777" w:rsidR="001C19F3" w:rsidRDefault="001C19F3" w:rsidP="001C19F3">
      <w:pPr>
        <w:spacing w:after="0"/>
        <w:jc w:val="center"/>
        <w:rPr>
          <w:b/>
        </w:rPr>
      </w:pPr>
      <w:r>
        <w:rPr>
          <w:noProof/>
          <w:lang w:eastAsia="en-AU"/>
        </w:rPr>
        <w:drawing>
          <wp:inline distT="0" distB="0" distL="0" distR="0" wp14:anchorId="175F0863" wp14:editId="33D170D8">
            <wp:extent cx="5190476" cy="384761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0476" cy="3847619"/>
                    </a:xfrm>
                    <a:prstGeom prst="rect">
                      <a:avLst/>
                    </a:prstGeom>
                  </pic:spPr>
                </pic:pic>
              </a:graphicData>
            </a:graphic>
          </wp:inline>
        </w:drawing>
      </w:r>
    </w:p>
    <w:p w14:paraId="55DC7702" w14:textId="77777777" w:rsidR="001C19F3" w:rsidRDefault="001C19F3" w:rsidP="001C19F3">
      <w:pPr>
        <w:spacing w:after="0"/>
        <w:jc w:val="center"/>
        <w:rPr>
          <w:b/>
        </w:rPr>
      </w:pPr>
      <w:bookmarkStart w:id="191" w:name="_Ref20744714"/>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9</w:t>
      </w:r>
      <w:r w:rsidRPr="005356D1">
        <w:rPr>
          <w:rFonts w:cs="Arial"/>
          <w:b/>
          <w:color w:val="000000" w:themeColor="text1"/>
        </w:rPr>
        <w:fldChar w:fldCharType="end"/>
      </w:r>
      <w:bookmarkEnd w:id="191"/>
      <w:r w:rsidRPr="005356D1">
        <w:rPr>
          <w:b/>
        </w:rPr>
        <w:t xml:space="preserve"> – </w:t>
      </w:r>
      <w:r>
        <w:rPr>
          <w:b/>
        </w:rPr>
        <w:t>Patient reported overall health and mental or emotional health</w:t>
      </w:r>
    </w:p>
    <w:p w14:paraId="05CE7E7E" w14:textId="77777777" w:rsidR="001C19F3" w:rsidRPr="005C549C" w:rsidRDefault="001C19F3" w:rsidP="001C19F3">
      <w:pPr>
        <w:pStyle w:val="Chartortablefootnote"/>
      </w:pPr>
      <w:r w:rsidRPr="005C549C">
        <w:t xml:space="preserve">Source: </w:t>
      </w:r>
      <w:r>
        <w:t>CATI surveys conducted by The Social Research Centre between December 2017 and March 2019</w:t>
      </w:r>
      <w:r w:rsidRPr="005C549C">
        <w:t xml:space="preserve">. Differences between </w:t>
      </w:r>
      <w:r>
        <w:t>tier</w:t>
      </w:r>
      <w:r w:rsidRPr="005C549C">
        <w:t>s are statistically significant</w:t>
      </w:r>
      <w:r>
        <w:t>.</w:t>
      </w:r>
    </w:p>
    <w:p w14:paraId="5DD7576D" w14:textId="77777777" w:rsidR="001C19F3" w:rsidRDefault="001C19F3" w:rsidP="001C19F3">
      <w:r>
        <w:fldChar w:fldCharType="begin"/>
      </w:r>
      <w:r>
        <w:instrText xml:space="preserve"> REF _Ref20744775 \h  \* MERGEFORMAT </w:instrText>
      </w:r>
      <w:r>
        <w:fldChar w:fldCharType="separate"/>
      </w:r>
      <w:r w:rsidRPr="00822044">
        <w:t>Table 26</w:t>
      </w:r>
      <w:r>
        <w:fldChar w:fldCharType="end"/>
      </w:r>
      <w:r>
        <w:t xml:space="preserve"> describes how patients responded to questions about whether they had specific health conditions. Nine health conditions were pre-specified, and patients were also asked whether they had any other chronic conditions. The most commonly reported conditions included high blood pressure (61.0%), arthritis (58.0%) depression or anxiety (41.0%), diabetes (34.5%) and heart disease (32.4%). For several conditions (heart disease, stroke, depression or anxiety, arthritis and other chronic diseases), there were statistically significant differences between patient in different tiers. </w:t>
      </w:r>
    </w:p>
    <w:p w14:paraId="2941DE85" w14:textId="77777777" w:rsidR="001C19F3" w:rsidRDefault="001C19F3" w:rsidP="001C19F3">
      <w:r>
        <w:t xml:space="preserve">Close to 50% of patients reported four or more conditions, ranging from 42.1% for Tier 1, 49.6% for Tier 2 and 56.2% for Tier 3. </w:t>
      </w:r>
    </w:p>
    <w:p w14:paraId="5F0259B3" w14:textId="77777777" w:rsidR="001C19F3" w:rsidRDefault="001C19F3" w:rsidP="001C19F3">
      <w:r>
        <w:t xml:space="preserve">Data are also available from the practice extracts on the number of chronic conditions. These are summarised and compared with the patient survey results in </w:t>
      </w:r>
      <w:r>
        <w:fldChar w:fldCharType="begin"/>
      </w:r>
      <w:r>
        <w:instrText xml:space="preserve"> REF _Ref20745434 \h  \* MERGEFORMAT </w:instrText>
      </w:r>
      <w:r>
        <w:fldChar w:fldCharType="separate"/>
      </w:r>
      <w:r w:rsidRPr="00822044">
        <w:t>Table 27</w:t>
      </w:r>
      <w:r>
        <w:fldChar w:fldCharType="end"/>
      </w:r>
      <w:r>
        <w:t>. There are differences in the way conditions are described and grouped between these two sources, and both sources are potentially biased (e.g. recall bias for patient self-reports and under-</w:t>
      </w:r>
      <w:r>
        <w:lastRenderedPageBreak/>
        <w:t>recording in practice extracts). The comparison suggests patient reports result in higher proportions of patients reporting conditions and a higher number of chronic conditions overall.</w:t>
      </w:r>
    </w:p>
    <w:p w14:paraId="78380982" w14:textId="77777777" w:rsidR="001C19F3" w:rsidRDefault="001C19F3" w:rsidP="001C19F3">
      <w:pPr>
        <w:spacing w:after="0"/>
        <w:jc w:val="center"/>
        <w:rPr>
          <w:b/>
          <w:szCs w:val="20"/>
        </w:rPr>
      </w:pPr>
      <w:bookmarkStart w:id="192" w:name="_Ref20744775"/>
      <w:bookmarkStart w:id="193" w:name="_Ref20744770"/>
      <w:r>
        <w:rPr>
          <w:b/>
          <w:szCs w:val="20"/>
        </w:rPr>
        <w:t xml:space="preserve">Table </w:t>
      </w:r>
      <w:r>
        <w:fldChar w:fldCharType="begin"/>
      </w:r>
      <w:r>
        <w:rPr>
          <w:b/>
          <w:szCs w:val="20"/>
        </w:rPr>
        <w:instrText xml:space="preserve"> SEQ Table \* ARABIC </w:instrText>
      </w:r>
      <w:r>
        <w:fldChar w:fldCharType="separate"/>
      </w:r>
      <w:r>
        <w:rPr>
          <w:b/>
          <w:noProof/>
          <w:szCs w:val="20"/>
        </w:rPr>
        <w:t>26</w:t>
      </w:r>
      <w:r>
        <w:fldChar w:fldCharType="end"/>
      </w:r>
      <w:bookmarkEnd w:id="192"/>
      <w:r>
        <w:rPr>
          <w:b/>
          <w:szCs w:val="20"/>
        </w:rPr>
        <w:t xml:space="preserve"> – HCH patients: Self report health conditions</w:t>
      </w:r>
      <w:bookmarkEnd w:id="193"/>
      <w:r>
        <w:rPr>
          <w:b/>
          <w:szCs w:val="20"/>
        </w:rPr>
        <w:t xml:space="preserve"> </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1417"/>
        <w:gridCol w:w="1398"/>
        <w:gridCol w:w="1579"/>
        <w:gridCol w:w="1559"/>
        <w:gridCol w:w="1083"/>
      </w:tblGrid>
      <w:tr w:rsidR="001C19F3" w14:paraId="46375FFC" w14:textId="77777777" w:rsidTr="00521305">
        <w:trPr>
          <w:trHeight w:val="228"/>
          <w:tblHeader/>
          <w:jc w:val="center"/>
        </w:trPr>
        <w:tc>
          <w:tcPr>
            <w:tcW w:w="1980" w:type="dxa"/>
            <w:vMerge w:val="restart"/>
            <w:shd w:val="clear" w:color="auto" w:fill="003D79"/>
            <w:vAlign w:val="center"/>
          </w:tcPr>
          <w:p w14:paraId="18D1A622" w14:textId="77777777" w:rsidR="001C19F3" w:rsidRDefault="001C19F3" w:rsidP="00521305">
            <w:pPr>
              <w:spacing w:after="0"/>
              <w:jc w:val="center"/>
              <w:rPr>
                <w:b/>
                <w:sz w:val="18"/>
                <w:szCs w:val="18"/>
              </w:rPr>
            </w:pPr>
            <w:r>
              <w:rPr>
                <w:b/>
                <w:sz w:val="18"/>
                <w:szCs w:val="18"/>
              </w:rPr>
              <w:t>Conditions</w:t>
            </w:r>
          </w:p>
        </w:tc>
        <w:tc>
          <w:tcPr>
            <w:tcW w:w="1417" w:type="dxa"/>
            <w:vMerge w:val="restart"/>
            <w:shd w:val="clear" w:color="auto" w:fill="003D79"/>
            <w:vAlign w:val="center"/>
          </w:tcPr>
          <w:p w14:paraId="3DDF1B07" w14:textId="77777777" w:rsidR="001C19F3" w:rsidRDefault="001C19F3" w:rsidP="00521305">
            <w:pPr>
              <w:spacing w:after="0"/>
              <w:jc w:val="center"/>
              <w:rPr>
                <w:b/>
                <w:sz w:val="18"/>
                <w:szCs w:val="18"/>
              </w:rPr>
            </w:pPr>
            <w:r>
              <w:rPr>
                <w:b/>
                <w:sz w:val="18"/>
                <w:szCs w:val="18"/>
              </w:rPr>
              <w:t>All HCH patients</w:t>
            </w:r>
            <w:r w:rsidRPr="003E3F26">
              <w:rPr>
                <w:b/>
                <w:sz w:val="18"/>
                <w:szCs w:val="18"/>
                <w:vertAlign w:val="superscript"/>
              </w:rPr>
              <w:t>1</w:t>
            </w:r>
          </w:p>
        </w:tc>
        <w:tc>
          <w:tcPr>
            <w:tcW w:w="4536" w:type="dxa"/>
            <w:gridSpan w:val="3"/>
            <w:shd w:val="clear" w:color="auto" w:fill="003D79"/>
            <w:vAlign w:val="center"/>
            <w:hideMark/>
          </w:tcPr>
          <w:p w14:paraId="331CA99F" w14:textId="77777777" w:rsidR="001C19F3" w:rsidRDefault="001C19F3" w:rsidP="00521305">
            <w:pPr>
              <w:spacing w:after="0"/>
              <w:jc w:val="center"/>
              <w:rPr>
                <w:b/>
                <w:sz w:val="18"/>
                <w:szCs w:val="18"/>
              </w:rPr>
            </w:pPr>
            <w:r>
              <w:rPr>
                <w:b/>
                <w:sz w:val="18"/>
                <w:szCs w:val="18"/>
              </w:rPr>
              <w:t>HCH risk tier</w:t>
            </w:r>
            <w:r w:rsidRPr="003E3F26">
              <w:rPr>
                <w:b/>
                <w:sz w:val="18"/>
                <w:szCs w:val="18"/>
                <w:vertAlign w:val="superscript"/>
              </w:rPr>
              <w:t>2</w:t>
            </w:r>
          </w:p>
        </w:tc>
        <w:tc>
          <w:tcPr>
            <w:tcW w:w="1083" w:type="dxa"/>
            <w:vMerge w:val="restart"/>
            <w:shd w:val="clear" w:color="auto" w:fill="003D79"/>
            <w:vAlign w:val="center"/>
          </w:tcPr>
          <w:p w14:paraId="6DA3F693" w14:textId="77777777" w:rsidR="001C19F3" w:rsidRDefault="001C19F3" w:rsidP="00521305">
            <w:pPr>
              <w:spacing w:after="0"/>
              <w:jc w:val="center"/>
              <w:rPr>
                <w:b/>
                <w:sz w:val="18"/>
                <w:szCs w:val="18"/>
              </w:rPr>
            </w:pPr>
            <w:r>
              <w:rPr>
                <w:b/>
                <w:sz w:val="18"/>
                <w:szCs w:val="18"/>
              </w:rPr>
              <w:t>P value</w:t>
            </w:r>
          </w:p>
        </w:tc>
      </w:tr>
      <w:tr w:rsidR="001C19F3" w14:paraId="57BEAEE3" w14:textId="77777777" w:rsidTr="00521305">
        <w:trPr>
          <w:trHeight w:val="340"/>
          <w:tblHeader/>
          <w:jc w:val="center"/>
        </w:trPr>
        <w:tc>
          <w:tcPr>
            <w:tcW w:w="1980" w:type="dxa"/>
            <w:vMerge/>
            <w:shd w:val="clear" w:color="auto" w:fill="003D79"/>
          </w:tcPr>
          <w:p w14:paraId="556A26AE" w14:textId="77777777" w:rsidR="001C19F3" w:rsidRDefault="001C19F3" w:rsidP="00521305">
            <w:pPr>
              <w:rPr>
                <w:b/>
                <w:sz w:val="18"/>
                <w:szCs w:val="18"/>
              </w:rPr>
            </w:pPr>
          </w:p>
        </w:tc>
        <w:tc>
          <w:tcPr>
            <w:tcW w:w="1417" w:type="dxa"/>
            <w:vMerge/>
            <w:shd w:val="clear" w:color="auto" w:fill="003D79"/>
            <w:vAlign w:val="center"/>
          </w:tcPr>
          <w:p w14:paraId="645ABCC5" w14:textId="77777777" w:rsidR="001C19F3" w:rsidRDefault="001C19F3" w:rsidP="00521305">
            <w:pPr>
              <w:jc w:val="center"/>
              <w:rPr>
                <w:b/>
                <w:sz w:val="18"/>
                <w:szCs w:val="18"/>
              </w:rPr>
            </w:pPr>
          </w:p>
        </w:tc>
        <w:tc>
          <w:tcPr>
            <w:tcW w:w="1398" w:type="dxa"/>
            <w:shd w:val="clear" w:color="auto" w:fill="003D79"/>
            <w:vAlign w:val="center"/>
            <w:hideMark/>
          </w:tcPr>
          <w:p w14:paraId="0808D06C" w14:textId="77777777" w:rsidR="001C19F3" w:rsidRDefault="001C19F3" w:rsidP="00521305">
            <w:pPr>
              <w:spacing w:after="0"/>
              <w:jc w:val="center"/>
              <w:rPr>
                <w:b/>
                <w:sz w:val="18"/>
                <w:szCs w:val="18"/>
              </w:rPr>
            </w:pPr>
            <w:r>
              <w:rPr>
                <w:b/>
                <w:sz w:val="18"/>
                <w:szCs w:val="18"/>
              </w:rPr>
              <w:t>1</w:t>
            </w:r>
          </w:p>
        </w:tc>
        <w:tc>
          <w:tcPr>
            <w:tcW w:w="1579" w:type="dxa"/>
            <w:shd w:val="clear" w:color="auto" w:fill="003D79"/>
            <w:vAlign w:val="center"/>
            <w:hideMark/>
          </w:tcPr>
          <w:p w14:paraId="55308691" w14:textId="77777777" w:rsidR="001C19F3" w:rsidRDefault="001C19F3" w:rsidP="00521305">
            <w:pPr>
              <w:spacing w:after="0"/>
              <w:jc w:val="center"/>
              <w:rPr>
                <w:b/>
                <w:sz w:val="18"/>
                <w:szCs w:val="18"/>
              </w:rPr>
            </w:pPr>
            <w:r>
              <w:rPr>
                <w:b/>
                <w:sz w:val="18"/>
                <w:szCs w:val="18"/>
              </w:rPr>
              <w:t>2</w:t>
            </w:r>
          </w:p>
        </w:tc>
        <w:tc>
          <w:tcPr>
            <w:tcW w:w="1559" w:type="dxa"/>
            <w:shd w:val="clear" w:color="auto" w:fill="003D79"/>
            <w:vAlign w:val="center"/>
            <w:hideMark/>
          </w:tcPr>
          <w:p w14:paraId="41A73F85" w14:textId="77777777" w:rsidR="001C19F3" w:rsidRDefault="001C19F3" w:rsidP="00521305">
            <w:pPr>
              <w:spacing w:after="0"/>
              <w:jc w:val="center"/>
              <w:rPr>
                <w:b/>
                <w:sz w:val="18"/>
                <w:szCs w:val="18"/>
              </w:rPr>
            </w:pPr>
            <w:r>
              <w:rPr>
                <w:b/>
                <w:sz w:val="18"/>
                <w:szCs w:val="18"/>
              </w:rPr>
              <w:t>3</w:t>
            </w:r>
          </w:p>
        </w:tc>
        <w:tc>
          <w:tcPr>
            <w:tcW w:w="1083" w:type="dxa"/>
            <w:vMerge/>
            <w:shd w:val="clear" w:color="auto" w:fill="003D79"/>
          </w:tcPr>
          <w:p w14:paraId="483C98CC" w14:textId="77777777" w:rsidR="001C19F3" w:rsidRDefault="001C19F3" w:rsidP="00521305">
            <w:pPr>
              <w:jc w:val="center"/>
              <w:rPr>
                <w:b/>
                <w:sz w:val="18"/>
                <w:szCs w:val="18"/>
              </w:rPr>
            </w:pPr>
          </w:p>
        </w:tc>
      </w:tr>
      <w:tr w:rsidR="001C19F3" w14:paraId="6F0311B3" w14:textId="77777777" w:rsidTr="00521305">
        <w:trPr>
          <w:jc w:val="center"/>
        </w:trPr>
        <w:tc>
          <w:tcPr>
            <w:tcW w:w="9016" w:type="dxa"/>
            <w:gridSpan w:val="6"/>
            <w:hideMark/>
          </w:tcPr>
          <w:p w14:paraId="49482011" w14:textId="77777777" w:rsidR="001C19F3" w:rsidRPr="006B565C" w:rsidRDefault="001C19F3" w:rsidP="00521305">
            <w:pPr>
              <w:spacing w:before="40" w:after="40"/>
              <w:rPr>
                <w:b/>
                <w:bCs/>
                <w:sz w:val="18"/>
                <w:szCs w:val="18"/>
              </w:rPr>
            </w:pPr>
            <w:r w:rsidRPr="006B565C">
              <w:rPr>
                <w:b/>
                <w:bCs/>
                <w:sz w:val="18"/>
                <w:szCs w:val="18"/>
              </w:rPr>
              <w:t>Number of chronic conditions</w:t>
            </w:r>
            <w:r w:rsidRPr="00A57500">
              <w:rPr>
                <w:b/>
                <w:color w:val="000000" w:themeColor="text1"/>
                <w:kern w:val="24"/>
                <w:sz w:val="18"/>
                <w:szCs w:val="18"/>
                <w:vertAlign w:val="superscript"/>
              </w:rPr>
              <w:t>3</w:t>
            </w:r>
          </w:p>
        </w:tc>
      </w:tr>
      <w:tr w:rsidR="001C19F3" w14:paraId="5EFD84F5" w14:textId="77777777" w:rsidTr="00521305">
        <w:trPr>
          <w:jc w:val="center"/>
        </w:trPr>
        <w:tc>
          <w:tcPr>
            <w:tcW w:w="1980" w:type="dxa"/>
            <w:vAlign w:val="center"/>
          </w:tcPr>
          <w:p w14:paraId="63CB04F3" w14:textId="77777777" w:rsidR="001C19F3" w:rsidRPr="006B565C" w:rsidRDefault="001C19F3" w:rsidP="00521305">
            <w:pPr>
              <w:spacing w:before="40" w:after="40"/>
              <w:ind w:left="174"/>
              <w:rPr>
                <w:bCs/>
                <w:sz w:val="18"/>
                <w:szCs w:val="18"/>
              </w:rPr>
            </w:pPr>
            <w:r w:rsidRPr="006B565C">
              <w:rPr>
                <w:rFonts w:cs="Calibri (Body)"/>
                <w:color w:val="000000"/>
                <w:kern w:val="24"/>
                <w:sz w:val="18"/>
                <w:szCs w:val="18"/>
              </w:rPr>
              <w:t>None</w:t>
            </w:r>
          </w:p>
        </w:tc>
        <w:tc>
          <w:tcPr>
            <w:tcW w:w="1417" w:type="dxa"/>
            <w:vAlign w:val="center"/>
          </w:tcPr>
          <w:p w14:paraId="7E89C11B"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28 (1.4%)</w:t>
            </w:r>
          </w:p>
        </w:tc>
        <w:tc>
          <w:tcPr>
            <w:tcW w:w="1398" w:type="dxa"/>
            <w:vAlign w:val="center"/>
          </w:tcPr>
          <w:p w14:paraId="05C2190E"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11 (2.5%)</w:t>
            </w:r>
          </w:p>
        </w:tc>
        <w:tc>
          <w:tcPr>
            <w:tcW w:w="1579" w:type="dxa"/>
            <w:vAlign w:val="center"/>
          </w:tcPr>
          <w:p w14:paraId="0247E576"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9 (0.9%)</w:t>
            </w:r>
          </w:p>
        </w:tc>
        <w:tc>
          <w:tcPr>
            <w:tcW w:w="1559" w:type="dxa"/>
            <w:vAlign w:val="center"/>
          </w:tcPr>
          <w:p w14:paraId="1B3A9C43"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7 (1.5%)</w:t>
            </w:r>
          </w:p>
        </w:tc>
        <w:tc>
          <w:tcPr>
            <w:tcW w:w="1083" w:type="dxa"/>
            <w:vMerge w:val="restart"/>
            <w:vAlign w:val="center"/>
          </w:tcPr>
          <w:p w14:paraId="32897941" w14:textId="77777777" w:rsidR="001C19F3" w:rsidRPr="006B565C"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&lt;0.001</w:t>
            </w:r>
          </w:p>
        </w:tc>
      </w:tr>
      <w:tr w:rsidR="001C19F3" w14:paraId="5EF4F29C" w14:textId="77777777" w:rsidTr="00521305">
        <w:trPr>
          <w:jc w:val="center"/>
        </w:trPr>
        <w:tc>
          <w:tcPr>
            <w:tcW w:w="1980" w:type="dxa"/>
            <w:vAlign w:val="center"/>
          </w:tcPr>
          <w:p w14:paraId="3EE29CBF" w14:textId="77777777" w:rsidR="001C19F3" w:rsidRPr="006B565C" w:rsidRDefault="001C19F3" w:rsidP="00521305">
            <w:pPr>
              <w:spacing w:before="40" w:after="40"/>
              <w:ind w:left="174"/>
              <w:rPr>
                <w:bCs/>
                <w:sz w:val="18"/>
                <w:szCs w:val="18"/>
              </w:rPr>
            </w:pPr>
            <w:r w:rsidRPr="006B565C">
              <w:rPr>
                <w:rFonts w:cs="Calibri (Body)"/>
                <w:color w:val="000000"/>
                <w:kern w:val="24"/>
                <w:sz w:val="18"/>
                <w:szCs w:val="18"/>
              </w:rPr>
              <w:t>One</w:t>
            </w:r>
          </w:p>
        </w:tc>
        <w:tc>
          <w:tcPr>
            <w:tcW w:w="1417" w:type="dxa"/>
            <w:vAlign w:val="center"/>
          </w:tcPr>
          <w:p w14:paraId="16A41AE3"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173 (8.6%)</w:t>
            </w:r>
          </w:p>
        </w:tc>
        <w:tc>
          <w:tcPr>
            <w:tcW w:w="1398" w:type="dxa"/>
            <w:vAlign w:val="center"/>
          </w:tcPr>
          <w:p w14:paraId="30A84597"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60 (13.6%)</w:t>
            </w:r>
          </w:p>
        </w:tc>
        <w:tc>
          <w:tcPr>
            <w:tcW w:w="1579" w:type="dxa"/>
            <w:vAlign w:val="center"/>
          </w:tcPr>
          <w:p w14:paraId="42828480"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74 (7.2%)</w:t>
            </w:r>
          </w:p>
        </w:tc>
        <w:tc>
          <w:tcPr>
            <w:tcW w:w="1559" w:type="dxa"/>
            <w:vAlign w:val="center"/>
          </w:tcPr>
          <w:p w14:paraId="242209C1"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33 (7.0%)</w:t>
            </w:r>
          </w:p>
        </w:tc>
        <w:tc>
          <w:tcPr>
            <w:tcW w:w="1083" w:type="dxa"/>
            <w:vMerge/>
          </w:tcPr>
          <w:p w14:paraId="48DCF021" w14:textId="77777777" w:rsidR="001C19F3" w:rsidRPr="006B565C" w:rsidRDefault="001C19F3" w:rsidP="00521305">
            <w:pPr>
              <w:spacing w:before="40" w:after="40"/>
              <w:jc w:val="right"/>
              <w:rPr>
                <w:rFonts w:cs="Calibri (Body)"/>
                <w:color w:val="000000"/>
                <w:kern w:val="24"/>
                <w:sz w:val="18"/>
                <w:szCs w:val="18"/>
              </w:rPr>
            </w:pPr>
          </w:p>
        </w:tc>
      </w:tr>
      <w:tr w:rsidR="001C19F3" w14:paraId="7505AEC5" w14:textId="77777777" w:rsidTr="00521305">
        <w:trPr>
          <w:jc w:val="center"/>
        </w:trPr>
        <w:tc>
          <w:tcPr>
            <w:tcW w:w="1980" w:type="dxa"/>
            <w:vAlign w:val="center"/>
          </w:tcPr>
          <w:p w14:paraId="760C3597" w14:textId="77777777" w:rsidR="001C19F3" w:rsidRPr="006B565C" w:rsidRDefault="001C19F3" w:rsidP="00521305">
            <w:pPr>
              <w:spacing w:before="40" w:after="40"/>
              <w:ind w:left="174"/>
              <w:rPr>
                <w:bCs/>
                <w:sz w:val="18"/>
                <w:szCs w:val="18"/>
              </w:rPr>
            </w:pPr>
            <w:r w:rsidRPr="006B565C">
              <w:rPr>
                <w:rFonts w:cs="Calibri (Body)"/>
                <w:color w:val="000000"/>
                <w:kern w:val="24"/>
                <w:sz w:val="18"/>
                <w:szCs w:val="18"/>
              </w:rPr>
              <w:t>Two</w:t>
            </w:r>
          </w:p>
        </w:tc>
        <w:tc>
          <w:tcPr>
            <w:tcW w:w="1417" w:type="dxa"/>
            <w:vAlign w:val="center"/>
          </w:tcPr>
          <w:p w14:paraId="4D70E9C6"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329 (16.3%)</w:t>
            </w:r>
          </w:p>
        </w:tc>
        <w:tc>
          <w:tcPr>
            <w:tcW w:w="1398" w:type="dxa"/>
            <w:vAlign w:val="center"/>
          </w:tcPr>
          <w:p w14:paraId="7FC53DF2"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84 (19.0%)</w:t>
            </w:r>
          </w:p>
        </w:tc>
        <w:tc>
          <w:tcPr>
            <w:tcW w:w="1579" w:type="dxa"/>
            <w:vAlign w:val="center"/>
          </w:tcPr>
          <w:p w14:paraId="4CE67821"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168 (16.2%)</w:t>
            </w:r>
          </w:p>
        </w:tc>
        <w:tc>
          <w:tcPr>
            <w:tcW w:w="1559" w:type="dxa"/>
            <w:vAlign w:val="center"/>
          </w:tcPr>
          <w:p w14:paraId="409B76B6"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65 (13.8%)</w:t>
            </w:r>
          </w:p>
        </w:tc>
        <w:tc>
          <w:tcPr>
            <w:tcW w:w="1083" w:type="dxa"/>
            <w:vMerge/>
          </w:tcPr>
          <w:p w14:paraId="2725ED19" w14:textId="77777777" w:rsidR="001C19F3" w:rsidRPr="006B565C" w:rsidRDefault="001C19F3" w:rsidP="00521305">
            <w:pPr>
              <w:spacing w:before="40" w:after="40"/>
              <w:jc w:val="right"/>
              <w:rPr>
                <w:rFonts w:cs="Calibri (Body)"/>
                <w:color w:val="000000"/>
                <w:kern w:val="24"/>
                <w:sz w:val="18"/>
                <w:szCs w:val="18"/>
              </w:rPr>
            </w:pPr>
          </w:p>
        </w:tc>
      </w:tr>
      <w:tr w:rsidR="001C19F3" w14:paraId="2D5E125E" w14:textId="77777777" w:rsidTr="00521305">
        <w:trPr>
          <w:jc w:val="center"/>
        </w:trPr>
        <w:tc>
          <w:tcPr>
            <w:tcW w:w="1980" w:type="dxa"/>
            <w:vAlign w:val="center"/>
          </w:tcPr>
          <w:p w14:paraId="760EC1D6" w14:textId="77777777" w:rsidR="001C19F3" w:rsidRPr="006B565C" w:rsidRDefault="001C19F3" w:rsidP="00521305">
            <w:pPr>
              <w:spacing w:before="40" w:after="40"/>
              <w:ind w:left="174"/>
              <w:rPr>
                <w:bCs/>
                <w:sz w:val="18"/>
                <w:szCs w:val="18"/>
              </w:rPr>
            </w:pPr>
            <w:r w:rsidRPr="006B565C">
              <w:rPr>
                <w:rFonts w:cs="Calibri (Body)"/>
                <w:color w:val="000000"/>
                <w:kern w:val="24"/>
                <w:sz w:val="18"/>
                <w:szCs w:val="18"/>
              </w:rPr>
              <w:t>Three</w:t>
            </w:r>
          </w:p>
        </w:tc>
        <w:tc>
          <w:tcPr>
            <w:tcW w:w="1417" w:type="dxa"/>
            <w:vAlign w:val="center"/>
          </w:tcPr>
          <w:p w14:paraId="2F2F1BC4"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492 (24.4%)</w:t>
            </w:r>
          </w:p>
        </w:tc>
        <w:tc>
          <w:tcPr>
            <w:tcW w:w="1398" w:type="dxa"/>
            <w:vAlign w:val="center"/>
          </w:tcPr>
          <w:p w14:paraId="3D48ECC5"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101 (22.9%)</w:t>
            </w:r>
          </w:p>
        </w:tc>
        <w:tc>
          <w:tcPr>
            <w:tcW w:w="1579" w:type="dxa"/>
            <w:vAlign w:val="center"/>
          </w:tcPr>
          <w:p w14:paraId="31B00EBE"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270 (26.1%)</w:t>
            </w:r>
          </w:p>
        </w:tc>
        <w:tc>
          <w:tcPr>
            <w:tcW w:w="1559" w:type="dxa"/>
            <w:vAlign w:val="center"/>
          </w:tcPr>
          <w:p w14:paraId="4A326C4F"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102 (21.6%)</w:t>
            </w:r>
          </w:p>
        </w:tc>
        <w:tc>
          <w:tcPr>
            <w:tcW w:w="1083" w:type="dxa"/>
            <w:vMerge/>
          </w:tcPr>
          <w:p w14:paraId="0B71F203" w14:textId="77777777" w:rsidR="001C19F3" w:rsidRPr="006B565C" w:rsidRDefault="001C19F3" w:rsidP="00521305">
            <w:pPr>
              <w:spacing w:before="40" w:after="40"/>
              <w:jc w:val="right"/>
              <w:rPr>
                <w:rFonts w:cs="Calibri (Body)"/>
                <w:color w:val="000000"/>
                <w:kern w:val="24"/>
                <w:sz w:val="18"/>
                <w:szCs w:val="18"/>
              </w:rPr>
            </w:pPr>
          </w:p>
        </w:tc>
      </w:tr>
      <w:tr w:rsidR="001C19F3" w14:paraId="1302E859" w14:textId="77777777" w:rsidTr="00521305">
        <w:trPr>
          <w:jc w:val="center"/>
        </w:trPr>
        <w:tc>
          <w:tcPr>
            <w:tcW w:w="1980" w:type="dxa"/>
            <w:vAlign w:val="center"/>
          </w:tcPr>
          <w:p w14:paraId="0CF3593F" w14:textId="77777777" w:rsidR="001C19F3" w:rsidRPr="006B565C" w:rsidRDefault="001C19F3" w:rsidP="00521305">
            <w:pPr>
              <w:spacing w:before="40" w:after="40"/>
              <w:ind w:left="174"/>
              <w:rPr>
                <w:bCs/>
                <w:sz w:val="18"/>
                <w:szCs w:val="18"/>
              </w:rPr>
            </w:pPr>
            <w:r w:rsidRPr="006B565C">
              <w:rPr>
                <w:rFonts w:cs="Calibri (Body)"/>
                <w:color w:val="000000"/>
                <w:kern w:val="24"/>
                <w:sz w:val="18"/>
                <w:szCs w:val="18"/>
              </w:rPr>
              <w:t>Four</w:t>
            </w:r>
          </w:p>
        </w:tc>
        <w:tc>
          <w:tcPr>
            <w:tcW w:w="1417" w:type="dxa"/>
            <w:vAlign w:val="center"/>
          </w:tcPr>
          <w:p w14:paraId="6EB38918"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436 (21.6%)</w:t>
            </w:r>
          </w:p>
        </w:tc>
        <w:tc>
          <w:tcPr>
            <w:tcW w:w="1398" w:type="dxa"/>
            <w:vAlign w:val="center"/>
          </w:tcPr>
          <w:p w14:paraId="789F5B4C"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99 (22.4%)</w:t>
            </w:r>
          </w:p>
        </w:tc>
        <w:tc>
          <w:tcPr>
            <w:tcW w:w="1579" w:type="dxa"/>
            <w:vAlign w:val="center"/>
          </w:tcPr>
          <w:p w14:paraId="147E5CF0"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232 (22.4%)</w:t>
            </w:r>
          </w:p>
        </w:tc>
        <w:tc>
          <w:tcPr>
            <w:tcW w:w="1559" w:type="dxa"/>
            <w:vAlign w:val="center"/>
          </w:tcPr>
          <w:p w14:paraId="4EC00D12"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90 (19.1%)</w:t>
            </w:r>
          </w:p>
        </w:tc>
        <w:tc>
          <w:tcPr>
            <w:tcW w:w="1083" w:type="dxa"/>
            <w:vMerge/>
          </w:tcPr>
          <w:p w14:paraId="38C259FC" w14:textId="77777777" w:rsidR="001C19F3" w:rsidRPr="006B565C" w:rsidRDefault="001C19F3" w:rsidP="00521305">
            <w:pPr>
              <w:spacing w:before="40" w:after="40"/>
              <w:jc w:val="right"/>
              <w:rPr>
                <w:rFonts w:cs="Calibri (Body)"/>
                <w:color w:val="000000"/>
                <w:kern w:val="24"/>
                <w:sz w:val="18"/>
                <w:szCs w:val="18"/>
              </w:rPr>
            </w:pPr>
          </w:p>
        </w:tc>
      </w:tr>
      <w:tr w:rsidR="001C19F3" w14:paraId="1E334068" w14:textId="77777777" w:rsidTr="00521305">
        <w:trPr>
          <w:jc w:val="center"/>
        </w:trPr>
        <w:tc>
          <w:tcPr>
            <w:tcW w:w="1980" w:type="dxa"/>
            <w:vAlign w:val="center"/>
          </w:tcPr>
          <w:p w14:paraId="719862F7" w14:textId="77777777" w:rsidR="001C19F3" w:rsidRPr="006B565C" w:rsidRDefault="001C19F3" w:rsidP="00521305">
            <w:pPr>
              <w:spacing w:before="40" w:after="40"/>
              <w:ind w:left="174"/>
              <w:rPr>
                <w:bCs/>
                <w:sz w:val="18"/>
                <w:szCs w:val="18"/>
              </w:rPr>
            </w:pPr>
            <w:r w:rsidRPr="006B565C">
              <w:rPr>
                <w:rFonts w:cs="Calibri (Body)"/>
                <w:color w:val="000000"/>
                <w:kern w:val="24"/>
                <w:sz w:val="18"/>
                <w:szCs w:val="18"/>
              </w:rPr>
              <w:t>Five or more</w:t>
            </w:r>
          </w:p>
        </w:tc>
        <w:tc>
          <w:tcPr>
            <w:tcW w:w="1417" w:type="dxa"/>
            <w:vAlign w:val="center"/>
          </w:tcPr>
          <w:p w14:paraId="7E198641"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560 (27.8%)</w:t>
            </w:r>
          </w:p>
        </w:tc>
        <w:tc>
          <w:tcPr>
            <w:tcW w:w="1398" w:type="dxa"/>
            <w:vAlign w:val="center"/>
          </w:tcPr>
          <w:p w14:paraId="34405470"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87 (19.7%)</w:t>
            </w:r>
          </w:p>
        </w:tc>
        <w:tc>
          <w:tcPr>
            <w:tcW w:w="1579" w:type="dxa"/>
            <w:vAlign w:val="center"/>
          </w:tcPr>
          <w:p w14:paraId="22F42B06"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281 (27.2%)</w:t>
            </w:r>
          </w:p>
        </w:tc>
        <w:tc>
          <w:tcPr>
            <w:tcW w:w="1559" w:type="dxa"/>
            <w:vAlign w:val="center"/>
          </w:tcPr>
          <w:p w14:paraId="0C2352F5" w14:textId="77777777" w:rsidR="001C19F3" w:rsidRPr="006B565C" w:rsidRDefault="001C19F3" w:rsidP="00521305">
            <w:pPr>
              <w:spacing w:before="40" w:after="40"/>
              <w:jc w:val="right"/>
              <w:rPr>
                <w:sz w:val="18"/>
                <w:szCs w:val="18"/>
              </w:rPr>
            </w:pPr>
            <w:r w:rsidRPr="006B565C">
              <w:rPr>
                <w:rFonts w:cs="Calibri (Body)"/>
                <w:color w:val="000000"/>
                <w:kern w:val="24"/>
                <w:sz w:val="18"/>
                <w:szCs w:val="18"/>
              </w:rPr>
              <w:t>175 (37.1%)</w:t>
            </w:r>
          </w:p>
        </w:tc>
        <w:tc>
          <w:tcPr>
            <w:tcW w:w="1083" w:type="dxa"/>
            <w:vMerge/>
          </w:tcPr>
          <w:p w14:paraId="4232494F" w14:textId="77777777" w:rsidR="001C19F3" w:rsidRPr="006B565C" w:rsidRDefault="001C19F3" w:rsidP="00521305">
            <w:pPr>
              <w:spacing w:before="40" w:after="40"/>
              <w:jc w:val="right"/>
              <w:rPr>
                <w:rFonts w:cs="Calibri (Body)"/>
                <w:color w:val="000000"/>
                <w:kern w:val="24"/>
                <w:sz w:val="18"/>
                <w:szCs w:val="18"/>
              </w:rPr>
            </w:pPr>
          </w:p>
        </w:tc>
      </w:tr>
      <w:tr w:rsidR="001C19F3" w14:paraId="7468725E" w14:textId="77777777" w:rsidTr="00521305">
        <w:tblPrEx>
          <w:jc w:val="left"/>
        </w:tblPrEx>
        <w:tc>
          <w:tcPr>
            <w:tcW w:w="9016" w:type="dxa"/>
            <w:gridSpan w:val="6"/>
            <w:hideMark/>
          </w:tcPr>
          <w:p w14:paraId="2F3A8E0E" w14:textId="77777777" w:rsidR="001C19F3" w:rsidRDefault="001C19F3" w:rsidP="00521305">
            <w:pPr>
              <w:spacing w:before="40" w:after="40"/>
              <w:rPr>
                <w:b/>
                <w:bCs/>
                <w:sz w:val="18"/>
                <w:szCs w:val="18"/>
              </w:rPr>
            </w:pPr>
            <w:r>
              <w:rPr>
                <w:b/>
                <w:bCs/>
                <w:sz w:val="18"/>
                <w:szCs w:val="18"/>
              </w:rPr>
              <w:t>Patients reported having:</w:t>
            </w:r>
          </w:p>
        </w:tc>
      </w:tr>
      <w:tr w:rsidR="001C19F3" w14:paraId="1B3C7CE7" w14:textId="77777777" w:rsidTr="00521305">
        <w:trPr>
          <w:jc w:val="center"/>
        </w:trPr>
        <w:tc>
          <w:tcPr>
            <w:tcW w:w="1980" w:type="dxa"/>
            <w:vAlign w:val="center"/>
          </w:tcPr>
          <w:p w14:paraId="65F884B2" w14:textId="77777777" w:rsidR="001C19F3" w:rsidRPr="005B68D8" w:rsidRDefault="001C19F3" w:rsidP="00521305">
            <w:pPr>
              <w:spacing w:before="40" w:after="40"/>
              <w:ind w:left="174"/>
              <w:rPr>
                <w:bCs/>
                <w:sz w:val="18"/>
                <w:szCs w:val="18"/>
              </w:rPr>
            </w:pPr>
            <w:r w:rsidRPr="005B68D8">
              <w:rPr>
                <w:rFonts w:eastAsiaTheme="minorEastAsia" w:cstheme="minorBidi"/>
                <w:color w:val="000000" w:themeColor="text1"/>
                <w:kern w:val="24"/>
                <w:sz w:val="18"/>
                <w:szCs w:val="18"/>
              </w:rPr>
              <w:t>Heart disease</w:t>
            </w:r>
            <w:r w:rsidRPr="00A57500">
              <w:rPr>
                <w:color w:val="000000" w:themeColor="text1"/>
                <w:kern w:val="24"/>
                <w:sz w:val="18"/>
                <w:szCs w:val="18"/>
                <w:vertAlign w:val="superscript"/>
              </w:rPr>
              <w:t>3</w:t>
            </w:r>
          </w:p>
        </w:tc>
        <w:tc>
          <w:tcPr>
            <w:tcW w:w="1417" w:type="dxa"/>
            <w:vAlign w:val="center"/>
          </w:tcPr>
          <w:p w14:paraId="0A0786F2" w14:textId="77777777" w:rsidR="001C19F3" w:rsidRPr="005B68D8" w:rsidRDefault="001C19F3" w:rsidP="00521305">
            <w:pPr>
              <w:spacing w:before="40" w:after="40"/>
              <w:jc w:val="right"/>
              <w:rPr>
                <w:sz w:val="18"/>
                <w:szCs w:val="18"/>
              </w:rPr>
            </w:pPr>
            <w:r w:rsidRPr="005B68D8">
              <w:rPr>
                <w:rFonts w:cs="Calibri (Body)"/>
                <w:color w:val="000000"/>
                <w:kern w:val="24"/>
                <w:sz w:val="18"/>
                <w:szCs w:val="18"/>
              </w:rPr>
              <w:t>653 (32.4%)</w:t>
            </w:r>
          </w:p>
        </w:tc>
        <w:tc>
          <w:tcPr>
            <w:tcW w:w="1398" w:type="dxa"/>
            <w:vAlign w:val="center"/>
          </w:tcPr>
          <w:p w14:paraId="5DD0A311"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133 (30.4%)</w:t>
            </w:r>
          </w:p>
        </w:tc>
        <w:tc>
          <w:tcPr>
            <w:tcW w:w="1579" w:type="dxa"/>
            <w:vAlign w:val="center"/>
          </w:tcPr>
          <w:p w14:paraId="280CA303"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325 (32.2%)</w:t>
            </w:r>
          </w:p>
        </w:tc>
        <w:tc>
          <w:tcPr>
            <w:tcW w:w="1559" w:type="dxa"/>
            <w:vAlign w:val="center"/>
          </w:tcPr>
          <w:p w14:paraId="07D669C8"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172 (37.6%)</w:t>
            </w:r>
          </w:p>
        </w:tc>
        <w:tc>
          <w:tcPr>
            <w:tcW w:w="1083" w:type="dxa"/>
            <w:vAlign w:val="center"/>
          </w:tcPr>
          <w:p w14:paraId="47A4E044"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0.050</w:t>
            </w:r>
          </w:p>
        </w:tc>
      </w:tr>
      <w:tr w:rsidR="001C19F3" w14:paraId="2687FCB5" w14:textId="77777777" w:rsidTr="00521305">
        <w:trPr>
          <w:jc w:val="center"/>
        </w:trPr>
        <w:tc>
          <w:tcPr>
            <w:tcW w:w="1980" w:type="dxa"/>
            <w:vAlign w:val="center"/>
          </w:tcPr>
          <w:p w14:paraId="7A90687B" w14:textId="77777777" w:rsidR="001C19F3" w:rsidRPr="005B68D8" w:rsidRDefault="001C19F3" w:rsidP="00521305">
            <w:pPr>
              <w:spacing w:before="40" w:after="40"/>
              <w:ind w:left="174"/>
              <w:rPr>
                <w:bCs/>
                <w:sz w:val="18"/>
                <w:szCs w:val="18"/>
              </w:rPr>
            </w:pPr>
            <w:r w:rsidRPr="005B68D8">
              <w:rPr>
                <w:rFonts w:eastAsiaTheme="minorEastAsia" w:cstheme="minorBidi"/>
                <w:color w:val="000000" w:themeColor="text1"/>
                <w:kern w:val="24"/>
                <w:sz w:val="18"/>
                <w:szCs w:val="18"/>
              </w:rPr>
              <w:t>Stroke</w:t>
            </w:r>
            <w:r w:rsidRPr="00A57500">
              <w:rPr>
                <w:color w:val="000000" w:themeColor="text1"/>
                <w:kern w:val="24"/>
                <w:sz w:val="18"/>
                <w:szCs w:val="18"/>
                <w:vertAlign w:val="superscript"/>
              </w:rPr>
              <w:t>3</w:t>
            </w:r>
          </w:p>
        </w:tc>
        <w:tc>
          <w:tcPr>
            <w:tcW w:w="1417" w:type="dxa"/>
            <w:vAlign w:val="center"/>
          </w:tcPr>
          <w:p w14:paraId="11052A3A" w14:textId="77777777" w:rsidR="001C19F3" w:rsidRPr="005B68D8" w:rsidRDefault="001C19F3" w:rsidP="00521305">
            <w:pPr>
              <w:spacing w:before="40" w:after="40"/>
              <w:jc w:val="right"/>
              <w:rPr>
                <w:sz w:val="18"/>
                <w:szCs w:val="18"/>
              </w:rPr>
            </w:pPr>
            <w:r w:rsidRPr="005B68D8">
              <w:rPr>
                <w:rFonts w:cs="Calibri (Body)"/>
                <w:color w:val="000000"/>
                <w:kern w:val="24"/>
                <w:sz w:val="18"/>
                <w:szCs w:val="18"/>
              </w:rPr>
              <w:t>216 (10.7%)</w:t>
            </w:r>
          </w:p>
        </w:tc>
        <w:tc>
          <w:tcPr>
            <w:tcW w:w="1398" w:type="dxa"/>
            <w:vAlign w:val="center"/>
          </w:tcPr>
          <w:p w14:paraId="0E31AA25"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35 (7.9%)</w:t>
            </w:r>
          </w:p>
        </w:tc>
        <w:tc>
          <w:tcPr>
            <w:tcW w:w="1579" w:type="dxa"/>
            <w:vAlign w:val="center"/>
          </w:tcPr>
          <w:p w14:paraId="22591453"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95 (9.3%)</w:t>
            </w:r>
          </w:p>
        </w:tc>
        <w:tc>
          <w:tcPr>
            <w:tcW w:w="1559" w:type="dxa"/>
            <w:vAlign w:val="center"/>
          </w:tcPr>
          <w:p w14:paraId="4E6D878C"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76 (16.2%)</w:t>
            </w:r>
          </w:p>
        </w:tc>
        <w:tc>
          <w:tcPr>
            <w:tcW w:w="1083" w:type="dxa"/>
            <w:vAlign w:val="center"/>
          </w:tcPr>
          <w:p w14:paraId="5AF5E611"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&lt;0.001</w:t>
            </w:r>
          </w:p>
        </w:tc>
      </w:tr>
      <w:tr w:rsidR="001C19F3" w14:paraId="207EC8D1" w14:textId="77777777" w:rsidTr="00521305">
        <w:trPr>
          <w:jc w:val="center"/>
        </w:trPr>
        <w:tc>
          <w:tcPr>
            <w:tcW w:w="1980" w:type="dxa"/>
            <w:vAlign w:val="center"/>
          </w:tcPr>
          <w:p w14:paraId="49F6801F" w14:textId="77777777" w:rsidR="001C19F3" w:rsidRPr="005B68D8" w:rsidRDefault="001C19F3" w:rsidP="00521305">
            <w:pPr>
              <w:spacing w:before="40" w:after="40"/>
              <w:ind w:left="174"/>
              <w:rPr>
                <w:bCs/>
                <w:sz w:val="18"/>
                <w:szCs w:val="18"/>
              </w:rPr>
            </w:pPr>
            <w:r w:rsidRPr="005B68D8">
              <w:rPr>
                <w:rFonts w:eastAsiaTheme="minorEastAsia" w:cstheme="minorBidi"/>
                <w:color w:val="000000" w:themeColor="text1"/>
                <w:kern w:val="24"/>
                <w:sz w:val="18"/>
                <w:szCs w:val="18"/>
              </w:rPr>
              <w:t>Cancer</w:t>
            </w:r>
          </w:p>
        </w:tc>
        <w:tc>
          <w:tcPr>
            <w:tcW w:w="1417" w:type="dxa"/>
            <w:vAlign w:val="center"/>
          </w:tcPr>
          <w:p w14:paraId="109E1356"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490 (24.3%)</w:t>
            </w:r>
          </w:p>
        </w:tc>
        <w:tc>
          <w:tcPr>
            <w:tcW w:w="1398" w:type="dxa"/>
            <w:vAlign w:val="center"/>
          </w:tcPr>
          <w:p w14:paraId="1B587734"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107 (24.3%)</w:t>
            </w:r>
          </w:p>
        </w:tc>
        <w:tc>
          <w:tcPr>
            <w:tcW w:w="1579" w:type="dxa"/>
            <w:vAlign w:val="center"/>
          </w:tcPr>
          <w:p w14:paraId="2BE1B8C5"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259 (25.3%)</w:t>
            </w:r>
          </w:p>
        </w:tc>
        <w:tc>
          <w:tcPr>
            <w:tcW w:w="1559" w:type="dxa"/>
            <w:vAlign w:val="center"/>
          </w:tcPr>
          <w:p w14:paraId="0D7A1DDC"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102 (21.7%)</w:t>
            </w:r>
          </w:p>
        </w:tc>
        <w:tc>
          <w:tcPr>
            <w:tcW w:w="1083" w:type="dxa"/>
            <w:vAlign w:val="center"/>
          </w:tcPr>
          <w:p w14:paraId="20D82E8E"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0.337</w:t>
            </w:r>
          </w:p>
        </w:tc>
      </w:tr>
      <w:tr w:rsidR="001C19F3" w14:paraId="2761D2B9" w14:textId="77777777" w:rsidTr="00521305">
        <w:trPr>
          <w:jc w:val="center"/>
        </w:trPr>
        <w:tc>
          <w:tcPr>
            <w:tcW w:w="1980" w:type="dxa"/>
            <w:vAlign w:val="center"/>
            <w:hideMark/>
          </w:tcPr>
          <w:p w14:paraId="3AEABB7D" w14:textId="77777777" w:rsidR="001C19F3" w:rsidRPr="005B68D8" w:rsidRDefault="001C19F3" w:rsidP="00521305">
            <w:pPr>
              <w:spacing w:before="40" w:after="40"/>
              <w:ind w:left="174"/>
              <w:rPr>
                <w:sz w:val="18"/>
                <w:szCs w:val="18"/>
              </w:rPr>
            </w:pPr>
            <w:r w:rsidRPr="005B68D8">
              <w:rPr>
                <w:rFonts w:eastAsiaTheme="minorEastAsia" w:cstheme="minorBidi"/>
                <w:color w:val="000000" w:themeColor="text1"/>
                <w:kern w:val="24"/>
                <w:sz w:val="18"/>
                <w:szCs w:val="18"/>
              </w:rPr>
              <w:t xml:space="preserve">Osteoporosis </w:t>
            </w:r>
          </w:p>
        </w:tc>
        <w:tc>
          <w:tcPr>
            <w:tcW w:w="1417" w:type="dxa"/>
            <w:vAlign w:val="center"/>
          </w:tcPr>
          <w:p w14:paraId="5A2781C6"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495 (24.5%)</w:t>
            </w:r>
          </w:p>
        </w:tc>
        <w:tc>
          <w:tcPr>
            <w:tcW w:w="1398" w:type="dxa"/>
            <w:vAlign w:val="center"/>
            <w:hideMark/>
          </w:tcPr>
          <w:p w14:paraId="38AA8131"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98 (22.7%)</w:t>
            </w:r>
          </w:p>
        </w:tc>
        <w:tc>
          <w:tcPr>
            <w:tcW w:w="1579" w:type="dxa"/>
            <w:vAlign w:val="center"/>
            <w:hideMark/>
          </w:tcPr>
          <w:p w14:paraId="002AFCBC"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258 (25.5%)</w:t>
            </w:r>
          </w:p>
        </w:tc>
        <w:tc>
          <w:tcPr>
            <w:tcW w:w="1559" w:type="dxa"/>
            <w:vAlign w:val="center"/>
            <w:hideMark/>
          </w:tcPr>
          <w:p w14:paraId="0C2E7A2A"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125 (27.4%)</w:t>
            </w:r>
          </w:p>
        </w:tc>
        <w:tc>
          <w:tcPr>
            <w:tcW w:w="1083" w:type="dxa"/>
            <w:vAlign w:val="center"/>
          </w:tcPr>
          <w:p w14:paraId="6E1143C5"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0.272</w:t>
            </w:r>
          </w:p>
        </w:tc>
      </w:tr>
      <w:tr w:rsidR="001C19F3" w14:paraId="5D7B6722" w14:textId="77777777" w:rsidTr="00521305">
        <w:trPr>
          <w:jc w:val="center"/>
        </w:trPr>
        <w:tc>
          <w:tcPr>
            <w:tcW w:w="1980" w:type="dxa"/>
            <w:vAlign w:val="center"/>
            <w:hideMark/>
          </w:tcPr>
          <w:p w14:paraId="6EDDB8A1" w14:textId="77777777" w:rsidR="001C19F3" w:rsidRPr="005B68D8" w:rsidRDefault="001C19F3" w:rsidP="00521305">
            <w:pPr>
              <w:spacing w:before="40" w:after="40"/>
              <w:ind w:left="174"/>
              <w:rPr>
                <w:sz w:val="18"/>
                <w:szCs w:val="18"/>
              </w:rPr>
            </w:pPr>
            <w:r w:rsidRPr="005B68D8">
              <w:rPr>
                <w:rFonts w:eastAsiaTheme="minorEastAsia" w:cstheme="minorBidi"/>
                <w:color w:val="000000" w:themeColor="text1"/>
                <w:kern w:val="24"/>
                <w:sz w:val="18"/>
                <w:szCs w:val="18"/>
              </w:rPr>
              <w:t>Depression or anxiety</w:t>
            </w:r>
            <w:r w:rsidRPr="00A57500">
              <w:rPr>
                <w:color w:val="000000" w:themeColor="text1"/>
                <w:kern w:val="24"/>
                <w:sz w:val="18"/>
                <w:szCs w:val="18"/>
                <w:vertAlign w:val="superscript"/>
              </w:rPr>
              <w:t>3</w:t>
            </w:r>
          </w:p>
        </w:tc>
        <w:tc>
          <w:tcPr>
            <w:tcW w:w="1417" w:type="dxa"/>
            <w:vAlign w:val="center"/>
          </w:tcPr>
          <w:p w14:paraId="4B00E5E2"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828 (41.0%)</w:t>
            </w:r>
          </w:p>
        </w:tc>
        <w:tc>
          <w:tcPr>
            <w:tcW w:w="1398" w:type="dxa"/>
            <w:vAlign w:val="center"/>
            <w:hideMark/>
          </w:tcPr>
          <w:p w14:paraId="7C7FF06E"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135 (30.9%)</w:t>
            </w:r>
          </w:p>
        </w:tc>
        <w:tc>
          <w:tcPr>
            <w:tcW w:w="1579" w:type="dxa"/>
            <w:vAlign w:val="center"/>
            <w:hideMark/>
          </w:tcPr>
          <w:p w14:paraId="5337AA4A"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419 (40.8%)</w:t>
            </w:r>
          </w:p>
        </w:tc>
        <w:tc>
          <w:tcPr>
            <w:tcW w:w="1559" w:type="dxa"/>
            <w:vAlign w:val="center"/>
            <w:hideMark/>
          </w:tcPr>
          <w:p w14:paraId="198CBC51"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244 (52.0%)</w:t>
            </w:r>
          </w:p>
        </w:tc>
        <w:tc>
          <w:tcPr>
            <w:tcW w:w="1083" w:type="dxa"/>
            <w:vAlign w:val="center"/>
          </w:tcPr>
          <w:p w14:paraId="47212453"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&lt;0.001</w:t>
            </w:r>
          </w:p>
        </w:tc>
      </w:tr>
      <w:tr w:rsidR="001C19F3" w14:paraId="7E67B827" w14:textId="77777777" w:rsidTr="00521305">
        <w:trPr>
          <w:jc w:val="center"/>
        </w:trPr>
        <w:tc>
          <w:tcPr>
            <w:tcW w:w="1980" w:type="dxa"/>
            <w:vAlign w:val="center"/>
            <w:hideMark/>
          </w:tcPr>
          <w:p w14:paraId="62305B2A" w14:textId="77777777" w:rsidR="001C19F3" w:rsidRPr="005B68D8" w:rsidRDefault="001C19F3" w:rsidP="00521305">
            <w:pPr>
              <w:spacing w:before="40" w:after="40"/>
              <w:ind w:left="174"/>
              <w:rPr>
                <w:sz w:val="18"/>
                <w:szCs w:val="18"/>
              </w:rPr>
            </w:pPr>
            <w:r w:rsidRPr="005B68D8">
              <w:rPr>
                <w:rFonts w:eastAsiaTheme="minorEastAsia" w:cstheme="minorBidi"/>
                <w:color w:val="000000" w:themeColor="text1"/>
                <w:kern w:val="24"/>
                <w:sz w:val="18"/>
                <w:szCs w:val="18"/>
              </w:rPr>
              <w:t>Arthritis</w:t>
            </w:r>
            <w:r w:rsidRPr="00A57500">
              <w:rPr>
                <w:color w:val="000000" w:themeColor="text1"/>
                <w:kern w:val="24"/>
                <w:sz w:val="18"/>
                <w:szCs w:val="18"/>
                <w:vertAlign w:val="superscript"/>
              </w:rPr>
              <w:t>3</w:t>
            </w:r>
          </w:p>
        </w:tc>
        <w:tc>
          <w:tcPr>
            <w:tcW w:w="1417" w:type="dxa"/>
            <w:vAlign w:val="center"/>
          </w:tcPr>
          <w:p w14:paraId="742655F6"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1,170 (58.0%)</w:t>
            </w:r>
          </w:p>
        </w:tc>
        <w:tc>
          <w:tcPr>
            <w:tcW w:w="1398" w:type="dxa"/>
            <w:vAlign w:val="center"/>
            <w:hideMark/>
          </w:tcPr>
          <w:p w14:paraId="7DBCBA4C"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230 (52.6%)</w:t>
            </w:r>
          </w:p>
        </w:tc>
        <w:tc>
          <w:tcPr>
            <w:tcW w:w="1579" w:type="dxa"/>
            <w:vAlign w:val="center"/>
            <w:hideMark/>
          </w:tcPr>
          <w:p w14:paraId="4C43E03B"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620 (60.4%)</w:t>
            </w:r>
          </w:p>
        </w:tc>
        <w:tc>
          <w:tcPr>
            <w:tcW w:w="1559" w:type="dxa"/>
            <w:vAlign w:val="center"/>
            <w:hideMark/>
          </w:tcPr>
          <w:p w14:paraId="62FE238E"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281 (60.6%)</w:t>
            </w:r>
          </w:p>
        </w:tc>
        <w:tc>
          <w:tcPr>
            <w:tcW w:w="1083" w:type="dxa"/>
            <w:vAlign w:val="center"/>
          </w:tcPr>
          <w:p w14:paraId="4AA6DC8C"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0.014</w:t>
            </w:r>
          </w:p>
        </w:tc>
      </w:tr>
      <w:tr w:rsidR="001C19F3" w14:paraId="5B100F39" w14:textId="77777777" w:rsidTr="00521305">
        <w:trPr>
          <w:jc w:val="center"/>
        </w:trPr>
        <w:tc>
          <w:tcPr>
            <w:tcW w:w="1980" w:type="dxa"/>
            <w:vAlign w:val="center"/>
            <w:hideMark/>
          </w:tcPr>
          <w:p w14:paraId="6C10B371" w14:textId="77777777" w:rsidR="001C19F3" w:rsidRPr="005B68D8" w:rsidRDefault="001C19F3" w:rsidP="00521305">
            <w:pPr>
              <w:spacing w:before="40" w:after="40"/>
              <w:ind w:left="174"/>
              <w:rPr>
                <w:sz w:val="18"/>
                <w:szCs w:val="18"/>
              </w:rPr>
            </w:pPr>
            <w:r w:rsidRPr="005B68D8">
              <w:rPr>
                <w:rFonts w:eastAsiaTheme="minorEastAsia" w:cstheme="minorBidi"/>
                <w:color w:val="000000" w:themeColor="text1"/>
                <w:kern w:val="24"/>
                <w:sz w:val="18"/>
                <w:szCs w:val="18"/>
              </w:rPr>
              <w:t>Diabetes</w:t>
            </w:r>
          </w:p>
        </w:tc>
        <w:tc>
          <w:tcPr>
            <w:tcW w:w="1417" w:type="dxa"/>
            <w:vAlign w:val="center"/>
          </w:tcPr>
          <w:p w14:paraId="57C0D8E1"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703 (34.8%)</w:t>
            </w:r>
          </w:p>
        </w:tc>
        <w:tc>
          <w:tcPr>
            <w:tcW w:w="1398" w:type="dxa"/>
            <w:vAlign w:val="center"/>
            <w:hideMark/>
          </w:tcPr>
          <w:p w14:paraId="1C4D200F"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141 (32.1%)</w:t>
            </w:r>
          </w:p>
        </w:tc>
        <w:tc>
          <w:tcPr>
            <w:tcW w:w="1579" w:type="dxa"/>
            <w:vAlign w:val="center"/>
            <w:hideMark/>
          </w:tcPr>
          <w:p w14:paraId="55D39DA4"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359 (34.9%)</w:t>
            </w:r>
          </w:p>
        </w:tc>
        <w:tc>
          <w:tcPr>
            <w:tcW w:w="1559" w:type="dxa"/>
            <w:vAlign w:val="center"/>
            <w:hideMark/>
          </w:tcPr>
          <w:p w14:paraId="32536D47"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179 (38.1%)</w:t>
            </w:r>
          </w:p>
        </w:tc>
        <w:tc>
          <w:tcPr>
            <w:tcW w:w="1083" w:type="dxa"/>
            <w:vAlign w:val="center"/>
          </w:tcPr>
          <w:p w14:paraId="45940852"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0.168</w:t>
            </w:r>
          </w:p>
        </w:tc>
      </w:tr>
      <w:tr w:rsidR="001C19F3" w14:paraId="72483CEB" w14:textId="77777777" w:rsidTr="00521305">
        <w:trPr>
          <w:jc w:val="center"/>
        </w:trPr>
        <w:tc>
          <w:tcPr>
            <w:tcW w:w="1980" w:type="dxa"/>
            <w:vAlign w:val="center"/>
            <w:hideMark/>
          </w:tcPr>
          <w:p w14:paraId="1224EAF5" w14:textId="77777777" w:rsidR="001C19F3" w:rsidRPr="005B68D8" w:rsidRDefault="001C19F3" w:rsidP="00521305">
            <w:pPr>
              <w:spacing w:before="40" w:after="40"/>
              <w:ind w:left="174"/>
              <w:rPr>
                <w:sz w:val="18"/>
                <w:szCs w:val="18"/>
              </w:rPr>
            </w:pPr>
            <w:r w:rsidRPr="005B68D8">
              <w:rPr>
                <w:rFonts w:eastAsiaTheme="minorEastAsia" w:cstheme="minorBidi"/>
                <w:color w:val="000000" w:themeColor="text1"/>
                <w:kern w:val="24"/>
                <w:sz w:val="18"/>
                <w:szCs w:val="18"/>
              </w:rPr>
              <w:t>Asthma</w:t>
            </w:r>
          </w:p>
        </w:tc>
        <w:tc>
          <w:tcPr>
            <w:tcW w:w="1417" w:type="dxa"/>
            <w:vAlign w:val="center"/>
          </w:tcPr>
          <w:p w14:paraId="2D56660A"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546 (27.1%)</w:t>
            </w:r>
          </w:p>
        </w:tc>
        <w:tc>
          <w:tcPr>
            <w:tcW w:w="1398" w:type="dxa"/>
            <w:vAlign w:val="center"/>
            <w:hideMark/>
          </w:tcPr>
          <w:p w14:paraId="6695477A"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109 (24.7%)</w:t>
            </w:r>
          </w:p>
        </w:tc>
        <w:tc>
          <w:tcPr>
            <w:tcW w:w="1579" w:type="dxa"/>
            <w:vAlign w:val="center"/>
            <w:hideMark/>
          </w:tcPr>
          <w:p w14:paraId="07E3F5DB"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276 (27.0%)</w:t>
            </w:r>
          </w:p>
        </w:tc>
        <w:tc>
          <w:tcPr>
            <w:tcW w:w="1559" w:type="dxa"/>
            <w:vAlign w:val="center"/>
            <w:hideMark/>
          </w:tcPr>
          <w:p w14:paraId="4F5B8090" w14:textId="77777777" w:rsidR="001C19F3" w:rsidRPr="005B68D8" w:rsidRDefault="001C19F3" w:rsidP="00521305">
            <w:pPr>
              <w:spacing w:before="40" w:after="40"/>
              <w:jc w:val="right"/>
              <w:rPr>
                <w:sz w:val="18"/>
                <w:szCs w:val="18"/>
              </w:rPr>
            </w:pPr>
            <w:r>
              <w:rPr>
                <w:rFonts w:eastAsia="Century Gothic" w:cs="Century Gothic"/>
                <w:color w:val="000000"/>
                <w:sz w:val="18"/>
                <w:szCs w:val="18"/>
              </w:rPr>
              <w:t>143 (30.6%)</w:t>
            </w:r>
          </w:p>
        </w:tc>
        <w:tc>
          <w:tcPr>
            <w:tcW w:w="1083" w:type="dxa"/>
            <w:vAlign w:val="center"/>
          </w:tcPr>
          <w:p w14:paraId="04600263" w14:textId="77777777" w:rsidR="001C19F3" w:rsidRPr="005B68D8" w:rsidRDefault="001C19F3" w:rsidP="00521305">
            <w:pPr>
              <w:spacing w:before="40" w:after="40"/>
              <w:jc w:val="center"/>
              <w:rPr>
                <w:rFonts w:cs="Calibri (Body)"/>
                <w:color w:val="000000"/>
                <w:kern w:val="24"/>
                <w:sz w:val="18"/>
                <w:szCs w:val="18"/>
              </w:rPr>
            </w:pPr>
            <w:r>
              <w:rPr>
                <w:rFonts w:eastAsia="Century Gothic" w:cs="Century Gothic"/>
                <w:color w:val="000000"/>
                <w:sz w:val="18"/>
                <w:szCs w:val="18"/>
              </w:rPr>
              <w:t>0.135</w:t>
            </w:r>
          </w:p>
        </w:tc>
      </w:tr>
      <w:tr w:rsidR="001C19F3" w14:paraId="24DE736C" w14:textId="77777777" w:rsidTr="00521305">
        <w:trPr>
          <w:jc w:val="center"/>
        </w:trPr>
        <w:tc>
          <w:tcPr>
            <w:tcW w:w="1980" w:type="dxa"/>
            <w:vAlign w:val="center"/>
          </w:tcPr>
          <w:p w14:paraId="585602F9" w14:textId="77777777" w:rsidR="001C19F3" w:rsidRPr="005B68D8" w:rsidRDefault="001C19F3" w:rsidP="00521305">
            <w:pPr>
              <w:spacing w:before="40" w:after="40"/>
              <w:ind w:left="174"/>
              <w:rPr>
                <w:rFonts w:eastAsiaTheme="minorEastAsia" w:cstheme="minorBidi"/>
                <w:color w:val="000000" w:themeColor="text1"/>
                <w:kern w:val="24"/>
                <w:sz w:val="18"/>
                <w:szCs w:val="18"/>
              </w:rPr>
            </w:pPr>
            <w:r>
              <w:rPr>
                <w:rFonts w:eastAsiaTheme="minorEastAsia" w:cstheme="minorBidi"/>
                <w:color w:val="000000" w:themeColor="text1"/>
                <w:kern w:val="24"/>
                <w:sz w:val="18"/>
                <w:szCs w:val="18"/>
              </w:rPr>
              <w:t>High blood pressure</w:t>
            </w:r>
          </w:p>
        </w:tc>
        <w:tc>
          <w:tcPr>
            <w:tcW w:w="1417" w:type="dxa"/>
            <w:vAlign w:val="center"/>
          </w:tcPr>
          <w:p w14:paraId="76BCF12E" w14:textId="77777777" w:rsidR="001C19F3" w:rsidRPr="005B68D8" w:rsidRDefault="001C19F3" w:rsidP="00521305">
            <w:pPr>
              <w:spacing w:before="40" w:after="40"/>
              <w:jc w:val="right"/>
              <w:rPr>
                <w:rFonts w:cs="Calibri (Body)"/>
                <w:color w:val="000000"/>
                <w:kern w:val="24"/>
                <w:sz w:val="18"/>
                <w:szCs w:val="18"/>
              </w:rPr>
            </w:pPr>
            <w:r>
              <w:rPr>
                <w:rFonts w:eastAsia="Century Gothic" w:cs="Century Gothic"/>
                <w:color w:val="000000"/>
                <w:sz w:val="18"/>
                <w:szCs w:val="18"/>
              </w:rPr>
              <w:t>1,230 (61.0%)</w:t>
            </w:r>
          </w:p>
        </w:tc>
        <w:tc>
          <w:tcPr>
            <w:tcW w:w="1398" w:type="dxa"/>
            <w:vAlign w:val="center"/>
          </w:tcPr>
          <w:p w14:paraId="497D7309" w14:textId="77777777" w:rsidR="001C19F3" w:rsidRPr="005B68D8" w:rsidRDefault="001C19F3" w:rsidP="00521305">
            <w:pPr>
              <w:spacing w:before="40" w:after="40"/>
              <w:jc w:val="right"/>
              <w:rPr>
                <w:rFonts w:cs="Calibri (Body)"/>
                <w:color w:val="000000"/>
                <w:kern w:val="24"/>
                <w:sz w:val="18"/>
                <w:szCs w:val="18"/>
              </w:rPr>
            </w:pPr>
            <w:r>
              <w:rPr>
                <w:rFonts w:eastAsia="Century Gothic" w:cs="Century Gothic"/>
                <w:color w:val="000000"/>
                <w:sz w:val="18"/>
                <w:szCs w:val="18"/>
              </w:rPr>
              <w:t>252 (57.5%)</w:t>
            </w:r>
          </w:p>
        </w:tc>
        <w:tc>
          <w:tcPr>
            <w:tcW w:w="1579" w:type="dxa"/>
            <w:vAlign w:val="center"/>
          </w:tcPr>
          <w:p w14:paraId="6CB30DE3" w14:textId="77777777" w:rsidR="001C19F3" w:rsidRPr="005B68D8" w:rsidRDefault="001C19F3" w:rsidP="00521305">
            <w:pPr>
              <w:spacing w:before="40" w:after="40"/>
              <w:jc w:val="right"/>
              <w:rPr>
                <w:rFonts w:cs="Calibri (Body)"/>
                <w:color w:val="000000"/>
                <w:kern w:val="24"/>
                <w:sz w:val="18"/>
                <w:szCs w:val="18"/>
              </w:rPr>
            </w:pPr>
            <w:r>
              <w:rPr>
                <w:rFonts w:eastAsia="Century Gothic" w:cs="Century Gothic"/>
                <w:color w:val="000000"/>
                <w:sz w:val="18"/>
                <w:szCs w:val="18"/>
              </w:rPr>
              <w:t>649 (63.9%)</w:t>
            </w:r>
          </w:p>
        </w:tc>
        <w:tc>
          <w:tcPr>
            <w:tcW w:w="1559" w:type="dxa"/>
            <w:vAlign w:val="center"/>
          </w:tcPr>
          <w:p w14:paraId="2C28B3B4" w14:textId="77777777" w:rsidR="001C19F3" w:rsidRPr="005B68D8" w:rsidRDefault="001C19F3" w:rsidP="00521305">
            <w:pPr>
              <w:spacing w:before="40" w:after="40"/>
              <w:jc w:val="right"/>
              <w:rPr>
                <w:rFonts w:cs="Calibri (Body)"/>
                <w:color w:val="000000"/>
                <w:kern w:val="24"/>
                <w:sz w:val="18"/>
                <w:szCs w:val="18"/>
              </w:rPr>
            </w:pPr>
            <w:r>
              <w:rPr>
                <w:rFonts w:eastAsia="Century Gothic" w:cs="Century Gothic"/>
                <w:color w:val="000000"/>
                <w:sz w:val="18"/>
                <w:szCs w:val="18"/>
              </w:rPr>
              <w:t>287 (61.9%)</w:t>
            </w:r>
          </w:p>
        </w:tc>
        <w:tc>
          <w:tcPr>
            <w:tcW w:w="1083" w:type="dxa"/>
            <w:vAlign w:val="center"/>
          </w:tcPr>
          <w:p w14:paraId="3082CC25" w14:textId="77777777" w:rsidR="001C19F3" w:rsidRPr="00411D72" w:rsidRDefault="001C19F3" w:rsidP="00521305">
            <w:pPr>
              <w:spacing w:before="40" w:after="40"/>
              <w:jc w:val="center"/>
            </w:pPr>
            <w:r>
              <w:rPr>
                <w:rFonts w:eastAsia="Century Gothic" w:cs="Century Gothic"/>
                <w:color w:val="000000"/>
                <w:sz w:val="18"/>
                <w:szCs w:val="18"/>
              </w:rPr>
              <w:t>0.073</w:t>
            </w:r>
          </w:p>
        </w:tc>
      </w:tr>
      <w:tr w:rsidR="001C19F3" w14:paraId="544EF452" w14:textId="77777777" w:rsidTr="00521305">
        <w:trPr>
          <w:jc w:val="center"/>
        </w:trPr>
        <w:tc>
          <w:tcPr>
            <w:tcW w:w="1980" w:type="dxa"/>
            <w:vAlign w:val="center"/>
          </w:tcPr>
          <w:p w14:paraId="04FEB0C2" w14:textId="77777777" w:rsidR="001C19F3" w:rsidRDefault="001C19F3" w:rsidP="00521305">
            <w:pPr>
              <w:spacing w:before="40" w:after="40"/>
              <w:ind w:left="174"/>
              <w:rPr>
                <w:rFonts w:eastAsiaTheme="minorEastAsia" w:cstheme="minorBidi"/>
                <w:color w:val="000000" w:themeColor="text1"/>
                <w:kern w:val="24"/>
                <w:sz w:val="18"/>
                <w:szCs w:val="18"/>
              </w:rPr>
            </w:pPr>
            <w:r>
              <w:rPr>
                <w:rFonts w:eastAsiaTheme="minorEastAsia" w:cstheme="minorBidi"/>
                <w:color w:val="000000" w:themeColor="text1"/>
                <w:kern w:val="24"/>
                <w:sz w:val="18"/>
                <w:szCs w:val="18"/>
              </w:rPr>
              <w:t>Another chronic condition</w:t>
            </w:r>
            <w:r w:rsidRPr="00A57500">
              <w:rPr>
                <w:color w:val="000000" w:themeColor="text1"/>
                <w:kern w:val="24"/>
                <w:sz w:val="18"/>
                <w:szCs w:val="18"/>
                <w:vertAlign w:val="superscript"/>
              </w:rPr>
              <w:t>3</w:t>
            </w:r>
          </w:p>
        </w:tc>
        <w:tc>
          <w:tcPr>
            <w:tcW w:w="1417" w:type="dxa"/>
            <w:vAlign w:val="center"/>
          </w:tcPr>
          <w:p w14:paraId="39CFB0A2" w14:textId="77777777" w:rsidR="001C19F3" w:rsidRPr="00411D72" w:rsidRDefault="001C19F3" w:rsidP="00521305">
            <w:pPr>
              <w:spacing w:before="40" w:after="40"/>
              <w:jc w:val="right"/>
            </w:pPr>
            <w:r>
              <w:rPr>
                <w:rFonts w:eastAsia="Century Gothic" w:cs="Century Gothic"/>
                <w:color w:val="000000"/>
                <w:sz w:val="18"/>
                <w:szCs w:val="18"/>
              </w:rPr>
              <w:t>912 (45.2%)</w:t>
            </w:r>
          </w:p>
        </w:tc>
        <w:tc>
          <w:tcPr>
            <w:tcW w:w="1398" w:type="dxa"/>
            <w:vAlign w:val="center"/>
          </w:tcPr>
          <w:p w14:paraId="6FB80C7E" w14:textId="77777777" w:rsidR="001C19F3" w:rsidRPr="00411D72" w:rsidRDefault="001C19F3" w:rsidP="00521305">
            <w:pPr>
              <w:spacing w:before="40" w:after="40"/>
              <w:jc w:val="right"/>
            </w:pPr>
            <w:r>
              <w:rPr>
                <w:rFonts w:eastAsia="Century Gothic" w:cs="Century Gothic"/>
                <w:color w:val="000000"/>
                <w:sz w:val="18"/>
                <w:szCs w:val="18"/>
              </w:rPr>
              <w:t>178 (41.2%)</w:t>
            </w:r>
          </w:p>
        </w:tc>
        <w:tc>
          <w:tcPr>
            <w:tcW w:w="1579" w:type="dxa"/>
            <w:vAlign w:val="center"/>
          </w:tcPr>
          <w:p w14:paraId="02C42F38" w14:textId="77777777" w:rsidR="001C19F3" w:rsidRPr="00411D72" w:rsidRDefault="001C19F3" w:rsidP="00521305">
            <w:pPr>
              <w:spacing w:before="40" w:after="40"/>
              <w:jc w:val="right"/>
            </w:pPr>
            <w:r>
              <w:rPr>
                <w:rFonts w:eastAsia="Century Gothic" w:cs="Century Gothic"/>
                <w:color w:val="000000"/>
                <w:sz w:val="18"/>
                <w:szCs w:val="18"/>
              </w:rPr>
              <w:t>455 (45.3%)</w:t>
            </w:r>
          </w:p>
        </w:tc>
        <w:tc>
          <w:tcPr>
            <w:tcW w:w="1559" w:type="dxa"/>
            <w:vAlign w:val="center"/>
          </w:tcPr>
          <w:p w14:paraId="3B542B1F" w14:textId="77777777" w:rsidR="001C19F3" w:rsidRPr="00411D72" w:rsidRDefault="001C19F3" w:rsidP="00521305">
            <w:pPr>
              <w:spacing w:before="40" w:after="40"/>
              <w:jc w:val="right"/>
            </w:pPr>
            <w:r>
              <w:rPr>
                <w:rFonts w:eastAsia="Century Gothic" w:cs="Century Gothic"/>
                <w:color w:val="000000"/>
                <w:sz w:val="18"/>
                <w:szCs w:val="18"/>
              </w:rPr>
              <w:t>255 (55.2%)</w:t>
            </w:r>
          </w:p>
        </w:tc>
        <w:tc>
          <w:tcPr>
            <w:tcW w:w="1083" w:type="dxa"/>
            <w:vAlign w:val="center"/>
          </w:tcPr>
          <w:p w14:paraId="27070B73" w14:textId="77777777" w:rsidR="001C19F3" w:rsidRPr="0059761B" w:rsidRDefault="001C19F3" w:rsidP="00521305">
            <w:pPr>
              <w:spacing w:before="40" w:after="40"/>
              <w:jc w:val="center"/>
            </w:pPr>
            <w:r>
              <w:rPr>
                <w:rFonts w:eastAsia="Century Gothic" w:cs="Century Gothic"/>
                <w:color w:val="000000"/>
                <w:sz w:val="18"/>
                <w:szCs w:val="18"/>
              </w:rPr>
              <w:t>&lt;0.001</w:t>
            </w:r>
          </w:p>
        </w:tc>
      </w:tr>
    </w:tbl>
    <w:p w14:paraId="73FFDACF" w14:textId="77777777" w:rsidR="001C19F3" w:rsidRDefault="001C19F3" w:rsidP="001C19F3">
      <w:pPr>
        <w:pStyle w:val="Chartortablefootnote"/>
      </w:pPr>
      <w:r w:rsidRPr="00DD08EB">
        <w:t xml:space="preserve">Source: </w:t>
      </w:r>
      <w:r>
        <w:t xml:space="preserve">CATI surveys conducted by The Social Research Centre between December 2017 and March 2019. </w:t>
      </w:r>
      <w:r w:rsidRPr="003E3F26">
        <w:rPr>
          <w:vertAlign w:val="superscript"/>
        </w:rPr>
        <w:t>1</w:t>
      </w:r>
      <w:r>
        <w:t xml:space="preserve">Proportion calculated includes patients responding ‘Don’t know’; </w:t>
      </w:r>
      <w:r w:rsidRPr="003E3F26">
        <w:rPr>
          <w:vertAlign w:val="superscript"/>
        </w:rPr>
        <w:t>2</w:t>
      </w:r>
      <w:r>
        <w:t xml:space="preserve">Proportion calculated includes patients responding ‘Don’t know’; </w:t>
      </w:r>
      <w:r w:rsidRPr="00A57500">
        <w:rPr>
          <w:vertAlign w:val="superscript"/>
        </w:rPr>
        <w:t>3</w:t>
      </w:r>
      <w:r>
        <w:t>Difference between tiers is statistically significant (p value &lt; 0.05).</w:t>
      </w:r>
    </w:p>
    <w:p w14:paraId="397A1C0E" w14:textId="77777777" w:rsidR="001C19F3" w:rsidRDefault="001C19F3" w:rsidP="001C19F3">
      <w:pPr>
        <w:spacing w:after="160" w:line="259" w:lineRule="auto"/>
        <w:rPr>
          <w:i/>
          <w:sz w:val="16"/>
          <w:szCs w:val="18"/>
        </w:rPr>
      </w:pPr>
      <w:r>
        <w:br w:type="page"/>
      </w:r>
    </w:p>
    <w:p w14:paraId="1C930B72" w14:textId="77777777" w:rsidR="001C19F3" w:rsidRDefault="001C19F3" w:rsidP="001C19F3">
      <w:pPr>
        <w:spacing w:after="0"/>
        <w:jc w:val="center"/>
        <w:rPr>
          <w:b/>
          <w:szCs w:val="20"/>
        </w:rPr>
      </w:pPr>
      <w:bookmarkStart w:id="194" w:name="_Ref20745434"/>
      <w:r>
        <w:rPr>
          <w:b/>
          <w:szCs w:val="20"/>
        </w:rPr>
        <w:lastRenderedPageBreak/>
        <w:t xml:space="preserve">Table </w:t>
      </w:r>
      <w:r>
        <w:fldChar w:fldCharType="begin"/>
      </w:r>
      <w:r>
        <w:rPr>
          <w:b/>
          <w:szCs w:val="20"/>
        </w:rPr>
        <w:instrText xml:space="preserve"> SEQ Table \* ARABIC </w:instrText>
      </w:r>
      <w:r>
        <w:fldChar w:fldCharType="separate"/>
      </w:r>
      <w:r>
        <w:rPr>
          <w:b/>
          <w:noProof/>
          <w:szCs w:val="20"/>
        </w:rPr>
        <w:t>27</w:t>
      </w:r>
      <w:r>
        <w:fldChar w:fldCharType="end"/>
      </w:r>
      <w:bookmarkEnd w:id="194"/>
      <w:r>
        <w:rPr>
          <w:b/>
          <w:szCs w:val="20"/>
        </w:rPr>
        <w:t xml:space="preserve"> – Comparison of health conditions reported by patients and flagged for HCH patients within practice data extracts</w:t>
      </w:r>
    </w:p>
    <w:tbl>
      <w:tblPr>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3251"/>
        <w:gridCol w:w="2268"/>
        <w:gridCol w:w="2268"/>
      </w:tblGrid>
      <w:tr w:rsidR="001C19F3" w:rsidRPr="000F5C67" w14:paraId="76A72D3F" w14:textId="77777777" w:rsidTr="00521305">
        <w:trPr>
          <w:cantSplit/>
          <w:trHeight w:hRule="exact" w:val="340"/>
          <w:tblHeader/>
          <w:jc w:val="center"/>
        </w:trPr>
        <w:tc>
          <w:tcPr>
            <w:tcW w:w="3251" w:type="dxa"/>
            <w:shd w:val="clear" w:color="auto" w:fill="003D79"/>
            <w:vAlign w:val="center"/>
            <w:hideMark/>
          </w:tcPr>
          <w:p w14:paraId="502ADD65" w14:textId="77777777" w:rsidR="001C19F3" w:rsidRPr="00B16AD5" w:rsidRDefault="001C19F3" w:rsidP="00521305">
            <w:pPr>
              <w:spacing w:after="0" w:line="240" w:lineRule="auto"/>
              <w:jc w:val="center"/>
              <w:rPr>
                <w:b/>
                <w:sz w:val="18"/>
                <w:szCs w:val="18"/>
              </w:rPr>
            </w:pPr>
            <w:r w:rsidRPr="00B16AD5">
              <w:rPr>
                <w:b/>
                <w:sz w:val="18"/>
                <w:szCs w:val="18"/>
              </w:rPr>
              <w:t>Chronic conditions</w:t>
            </w:r>
          </w:p>
        </w:tc>
        <w:tc>
          <w:tcPr>
            <w:tcW w:w="2268" w:type="dxa"/>
            <w:shd w:val="clear" w:color="auto" w:fill="003D79"/>
            <w:vAlign w:val="center"/>
          </w:tcPr>
          <w:p w14:paraId="177C4263" w14:textId="77777777" w:rsidR="001C19F3" w:rsidRPr="00B16AD5" w:rsidRDefault="001C19F3" w:rsidP="00521305">
            <w:pPr>
              <w:spacing w:after="0" w:line="240" w:lineRule="auto"/>
              <w:jc w:val="center"/>
              <w:rPr>
                <w:b/>
                <w:sz w:val="18"/>
                <w:szCs w:val="18"/>
              </w:rPr>
            </w:pPr>
            <w:r w:rsidRPr="00B16AD5">
              <w:rPr>
                <w:b/>
                <w:sz w:val="18"/>
                <w:szCs w:val="18"/>
              </w:rPr>
              <w:t>Patient survey</w:t>
            </w:r>
          </w:p>
        </w:tc>
        <w:tc>
          <w:tcPr>
            <w:tcW w:w="2268" w:type="dxa"/>
            <w:shd w:val="clear" w:color="auto" w:fill="003D79"/>
            <w:vAlign w:val="center"/>
          </w:tcPr>
          <w:p w14:paraId="150B8983" w14:textId="77777777" w:rsidR="001C19F3" w:rsidRPr="00B16AD5" w:rsidRDefault="001C19F3" w:rsidP="00521305">
            <w:pPr>
              <w:spacing w:after="0" w:line="240" w:lineRule="auto"/>
              <w:jc w:val="center"/>
              <w:rPr>
                <w:b/>
                <w:sz w:val="18"/>
                <w:szCs w:val="18"/>
              </w:rPr>
            </w:pPr>
            <w:r w:rsidRPr="00B16AD5">
              <w:rPr>
                <w:b/>
                <w:sz w:val="18"/>
                <w:szCs w:val="18"/>
              </w:rPr>
              <w:t>Practice extracts</w:t>
            </w:r>
            <w:r w:rsidRPr="003E3F26">
              <w:rPr>
                <w:b/>
                <w:sz w:val="18"/>
                <w:szCs w:val="18"/>
                <w:vertAlign w:val="superscript"/>
              </w:rPr>
              <w:t>1</w:t>
            </w:r>
          </w:p>
        </w:tc>
      </w:tr>
      <w:tr w:rsidR="001C19F3" w:rsidRPr="000F5C67" w14:paraId="1A419FF9" w14:textId="77777777" w:rsidTr="00521305">
        <w:trPr>
          <w:cantSplit/>
          <w:trHeight w:val="288"/>
          <w:jc w:val="center"/>
        </w:trPr>
        <w:tc>
          <w:tcPr>
            <w:tcW w:w="3251" w:type="dxa"/>
            <w:vAlign w:val="bottom"/>
          </w:tcPr>
          <w:p w14:paraId="067FAEBE" w14:textId="77777777" w:rsidR="001C19F3" w:rsidRPr="00C122CF" w:rsidRDefault="001C19F3" w:rsidP="00521305">
            <w:pPr>
              <w:spacing w:before="40" w:after="40"/>
              <w:ind w:left="174"/>
              <w:rPr>
                <w:rFonts w:eastAsiaTheme="minorEastAsia" w:cstheme="minorBidi"/>
                <w:color w:val="000000" w:themeColor="text1"/>
                <w:kern w:val="24"/>
                <w:sz w:val="18"/>
                <w:szCs w:val="18"/>
              </w:rPr>
            </w:pPr>
            <w:r w:rsidRPr="00C122CF">
              <w:rPr>
                <w:rFonts w:eastAsiaTheme="minorEastAsia" w:cstheme="minorBidi"/>
                <w:b/>
                <w:color w:val="000000" w:themeColor="text1"/>
                <w:kern w:val="24"/>
                <w:sz w:val="18"/>
                <w:szCs w:val="18"/>
              </w:rPr>
              <w:t>Number of conditions</w:t>
            </w:r>
            <w:r w:rsidRPr="003E3F26">
              <w:rPr>
                <w:rFonts w:eastAsiaTheme="minorEastAsia" w:cstheme="minorBidi"/>
                <w:b/>
                <w:color w:val="000000" w:themeColor="text1"/>
                <w:kern w:val="24"/>
                <w:sz w:val="18"/>
                <w:szCs w:val="18"/>
                <w:vertAlign w:val="superscript"/>
              </w:rPr>
              <w:t>2</w:t>
            </w:r>
          </w:p>
        </w:tc>
        <w:tc>
          <w:tcPr>
            <w:tcW w:w="2268" w:type="dxa"/>
          </w:tcPr>
          <w:p w14:paraId="6B5F7561" w14:textId="77777777" w:rsidR="001C19F3" w:rsidRPr="00C122CF" w:rsidRDefault="001C19F3" w:rsidP="00521305">
            <w:pPr>
              <w:spacing w:before="40" w:after="40"/>
              <w:ind w:left="174"/>
              <w:rPr>
                <w:rFonts w:eastAsiaTheme="minorEastAsia" w:cstheme="minorBidi"/>
                <w:color w:val="000000" w:themeColor="text1"/>
                <w:kern w:val="24"/>
                <w:sz w:val="18"/>
                <w:szCs w:val="18"/>
              </w:rPr>
            </w:pPr>
          </w:p>
        </w:tc>
        <w:tc>
          <w:tcPr>
            <w:tcW w:w="2268" w:type="dxa"/>
            <w:vAlign w:val="bottom"/>
          </w:tcPr>
          <w:p w14:paraId="4826F995" w14:textId="77777777" w:rsidR="001C19F3" w:rsidRPr="000F5C67" w:rsidRDefault="001C19F3" w:rsidP="00521305">
            <w:pPr>
              <w:pStyle w:val="xmsonormal"/>
              <w:ind w:left="40" w:right="40"/>
              <w:jc w:val="center"/>
              <w:rPr>
                <w:rFonts w:asciiTheme="minorHAnsi" w:hAnsiTheme="minorHAnsi" w:cstheme="minorHAnsi"/>
                <w:color w:val="000000"/>
                <w:sz w:val="18"/>
                <w:szCs w:val="18"/>
              </w:rPr>
            </w:pPr>
            <w:r w:rsidRPr="000F5C67">
              <w:rPr>
                <w:rFonts w:asciiTheme="minorHAnsi" w:eastAsia="Times New Roman" w:hAnsiTheme="minorHAnsi" w:cstheme="minorHAnsi"/>
                <w:color w:val="000000"/>
                <w:sz w:val="18"/>
                <w:szCs w:val="18"/>
              </w:rPr>
              <w:t> </w:t>
            </w:r>
          </w:p>
        </w:tc>
      </w:tr>
      <w:tr w:rsidR="001C19F3" w:rsidRPr="000F5C67" w14:paraId="0A5A7C69" w14:textId="77777777" w:rsidTr="00521305">
        <w:trPr>
          <w:cantSplit/>
          <w:trHeight w:val="288"/>
          <w:jc w:val="center"/>
        </w:trPr>
        <w:tc>
          <w:tcPr>
            <w:tcW w:w="3251" w:type="dxa"/>
            <w:vAlign w:val="bottom"/>
          </w:tcPr>
          <w:p w14:paraId="62A2DAF0"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Pr>
                <w:rFonts w:eastAsiaTheme="minorEastAsia" w:cstheme="minorBidi"/>
                <w:color w:val="000000" w:themeColor="text1"/>
                <w:kern w:val="24"/>
                <w:sz w:val="18"/>
                <w:szCs w:val="18"/>
              </w:rPr>
              <w:t>None</w:t>
            </w:r>
          </w:p>
        </w:tc>
        <w:tc>
          <w:tcPr>
            <w:tcW w:w="2268" w:type="dxa"/>
            <w:vAlign w:val="center"/>
          </w:tcPr>
          <w:p w14:paraId="1CB60DF8"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28 (1.4%)</w:t>
            </w:r>
          </w:p>
        </w:tc>
        <w:tc>
          <w:tcPr>
            <w:tcW w:w="2268" w:type="dxa"/>
            <w:vAlign w:val="bottom"/>
          </w:tcPr>
          <w:p w14:paraId="0F42A256"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737</w:t>
            </w:r>
            <w:r>
              <w:rPr>
                <w:rFonts w:eastAsia="Times New Roman"/>
                <w:color w:val="000000"/>
                <w:sz w:val="18"/>
                <w:szCs w:val="18"/>
              </w:rPr>
              <w:t xml:space="preserve"> (8.8%)</w:t>
            </w:r>
          </w:p>
        </w:tc>
      </w:tr>
      <w:tr w:rsidR="001C19F3" w:rsidRPr="000F5C67" w14:paraId="34879A7B" w14:textId="77777777" w:rsidTr="00521305">
        <w:trPr>
          <w:cantSplit/>
          <w:trHeight w:val="288"/>
          <w:jc w:val="center"/>
        </w:trPr>
        <w:tc>
          <w:tcPr>
            <w:tcW w:w="3251" w:type="dxa"/>
            <w:vAlign w:val="bottom"/>
          </w:tcPr>
          <w:p w14:paraId="4C638057"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One condition</w:t>
            </w:r>
          </w:p>
        </w:tc>
        <w:tc>
          <w:tcPr>
            <w:tcW w:w="2268" w:type="dxa"/>
            <w:vAlign w:val="center"/>
          </w:tcPr>
          <w:p w14:paraId="203F6C4A"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173 (8.6%)</w:t>
            </w:r>
          </w:p>
        </w:tc>
        <w:tc>
          <w:tcPr>
            <w:tcW w:w="2268" w:type="dxa"/>
            <w:vAlign w:val="bottom"/>
          </w:tcPr>
          <w:p w14:paraId="3C2A0ED3"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1</w:t>
            </w:r>
            <w:r>
              <w:rPr>
                <w:rFonts w:eastAsia="Times New Roman"/>
                <w:color w:val="000000"/>
                <w:sz w:val="18"/>
                <w:szCs w:val="18"/>
              </w:rPr>
              <w:t>,</w:t>
            </w:r>
            <w:r w:rsidRPr="0061093B">
              <w:rPr>
                <w:rFonts w:eastAsia="Times New Roman"/>
                <w:color w:val="000000"/>
                <w:sz w:val="18"/>
                <w:szCs w:val="18"/>
              </w:rPr>
              <w:t>524</w:t>
            </w:r>
            <w:r>
              <w:rPr>
                <w:rFonts w:eastAsia="Times New Roman"/>
                <w:color w:val="000000"/>
                <w:sz w:val="18"/>
                <w:szCs w:val="18"/>
              </w:rPr>
              <w:t xml:space="preserve"> (18.3%)</w:t>
            </w:r>
          </w:p>
        </w:tc>
      </w:tr>
      <w:tr w:rsidR="001C19F3" w:rsidRPr="000F5C67" w14:paraId="109AF09C" w14:textId="77777777" w:rsidTr="00521305">
        <w:trPr>
          <w:cantSplit/>
          <w:trHeight w:val="288"/>
          <w:jc w:val="center"/>
        </w:trPr>
        <w:tc>
          <w:tcPr>
            <w:tcW w:w="3251" w:type="dxa"/>
            <w:vAlign w:val="bottom"/>
          </w:tcPr>
          <w:p w14:paraId="513E34C1"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2-4 conditions</w:t>
            </w:r>
          </w:p>
        </w:tc>
        <w:tc>
          <w:tcPr>
            <w:tcW w:w="2268" w:type="dxa"/>
          </w:tcPr>
          <w:p w14:paraId="5A7AA24F" w14:textId="77777777" w:rsidR="001C19F3" w:rsidRPr="00B16AD5" w:rsidRDefault="001C19F3" w:rsidP="00521305">
            <w:pPr>
              <w:spacing w:before="40" w:after="40"/>
              <w:ind w:left="174"/>
              <w:jc w:val="center"/>
              <w:rPr>
                <w:rFonts w:eastAsiaTheme="minorEastAsia" w:cstheme="minorBidi"/>
                <w:color w:val="000000" w:themeColor="text1"/>
                <w:kern w:val="24"/>
                <w:sz w:val="18"/>
                <w:szCs w:val="18"/>
              </w:rPr>
            </w:pPr>
            <w:r w:rsidRPr="00B16AD5">
              <w:rPr>
                <w:rFonts w:eastAsiaTheme="minorEastAsia" w:cstheme="minorBidi"/>
                <w:color w:val="000000" w:themeColor="text1"/>
                <w:kern w:val="24"/>
                <w:sz w:val="18"/>
                <w:szCs w:val="18"/>
              </w:rPr>
              <w:t>1,257 (62.3%)</w:t>
            </w:r>
          </w:p>
        </w:tc>
        <w:tc>
          <w:tcPr>
            <w:tcW w:w="2268" w:type="dxa"/>
            <w:vAlign w:val="bottom"/>
          </w:tcPr>
          <w:p w14:paraId="2DB19481"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4</w:t>
            </w:r>
            <w:r>
              <w:rPr>
                <w:rFonts w:eastAsia="Times New Roman"/>
                <w:color w:val="000000"/>
                <w:sz w:val="18"/>
                <w:szCs w:val="18"/>
              </w:rPr>
              <w:t>,</w:t>
            </w:r>
            <w:r w:rsidRPr="0061093B">
              <w:rPr>
                <w:rFonts w:eastAsia="Times New Roman"/>
                <w:color w:val="000000"/>
                <w:sz w:val="18"/>
                <w:szCs w:val="18"/>
              </w:rPr>
              <w:t>998</w:t>
            </w:r>
            <w:r>
              <w:rPr>
                <w:rFonts w:eastAsia="Times New Roman"/>
                <w:color w:val="000000"/>
                <w:sz w:val="18"/>
                <w:szCs w:val="18"/>
              </w:rPr>
              <w:t xml:space="preserve"> (60.0%)</w:t>
            </w:r>
          </w:p>
        </w:tc>
      </w:tr>
      <w:tr w:rsidR="001C19F3" w:rsidRPr="000F5C67" w14:paraId="5D635151" w14:textId="77777777" w:rsidTr="00521305">
        <w:trPr>
          <w:cantSplit/>
          <w:trHeight w:val="288"/>
          <w:jc w:val="center"/>
        </w:trPr>
        <w:tc>
          <w:tcPr>
            <w:tcW w:w="3251" w:type="dxa"/>
            <w:vAlign w:val="bottom"/>
          </w:tcPr>
          <w:p w14:paraId="230D38B0"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5+ conditions</w:t>
            </w:r>
          </w:p>
        </w:tc>
        <w:tc>
          <w:tcPr>
            <w:tcW w:w="2268" w:type="dxa"/>
          </w:tcPr>
          <w:p w14:paraId="4D446B43"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560 (27.8%)</w:t>
            </w:r>
          </w:p>
        </w:tc>
        <w:tc>
          <w:tcPr>
            <w:tcW w:w="2268" w:type="dxa"/>
            <w:vAlign w:val="bottom"/>
          </w:tcPr>
          <w:p w14:paraId="54D3D370"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1</w:t>
            </w:r>
            <w:r>
              <w:rPr>
                <w:rFonts w:eastAsia="Times New Roman"/>
                <w:color w:val="000000"/>
                <w:sz w:val="18"/>
                <w:szCs w:val="18"/>
              </w:rPr>
              <w:t>,</w:t>
            </w:r>
            <w:r w:rsidRPr="0061093B">
              <w:rPr>
                <w:rFonts w:eastAsia="Times New Roman"/>
                <w:color w:val="000000"/>
                <w:sz w:val="18"/>
                <w:szCs w:val="18"/>
              </w:rPr>
              <w:t>077</w:t>
            </w:r>
            <w:r>
              <w:rPr>
                <w:rFonts w:eastAsia="Times New Roman"/>
                <w:color w:val="000000"/>
                <w:sz w:val="18"/>
                <w:szCs w:val="18"/>
              </w:rPr>
              <w:t xml:space="preserve"> (12.9%)</w:t>
            </w:r>
          </w:p>
        </w:tc>
      </w:tr>
      <w:tr w:rsidR="001C19F3" w:rsidRPr="000F5C67" w14:paraId="1EB0254A" w14:textId="77777777" w:rsidTr="00521305">
        <w:trPr>
          <w:cantSplit/>
          <w:trHeight w:val="288"/>
          <w:jc w:val="center"/>
        </w:trPr>
        <w:tc>
          <w:tcPr>
            <w:tcW w:w="3251" w:type="dxa"/>
            <w:hideMark/>
          </w:tcPr>
          <w:p w14:paraId="46338444" w14:textId="77777777" w:rsidR="001C19F3" w:rsidRPr="00C122CF" w:rsidRDefault="001C19F3" w:rsidP="00521305">
            <w:pPr>
              <w:spacing w:before="40" w:after="40"/>
              <w:ind w:left="174"/>
              <w:rPr>
                <w:rFonts w:eastAsiaTheme="minorEastAsia" w:cstheme="minorBidi"/>
                <w:b/>
                <w:color w:val="000000" w:themeColor="text1"/>
                <w:kern w:val="24"/>
                <w:sz w:val="18"/>
                <w:szCs w:val="18"/>
              </w:rPr>
            </w:pPr>
            <w:r w:rsidRPr="00C122CF">
              <w:rPr>
                <w:rFonts w:eastAsiaTheme="minorEastAsia" w:cstheme="minorBidi"/>
                <w:b/>
                <w:color w:val="000000" w:themeColor="text1"/>
                <w:kern w:val="24"/>
                <w:sz w:val="18"/>
                <w:szCs w:val="18"/>
              </w:rPr>
              <w:t>Patient conditions</w:t>
            </w:r>
          </w:p>
        </w:tc>
        <w:tc>
          <w:tcPr>
            <w:tcW w:w="2268" w:type="dxa"/>
          </w:tcPr>
          <w:p w14:paraId="4165F780"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p>
        </w:tc>
        <w:tc>
          <w:tcPr>
            <w:tcW w:w="2268" w:type="dxa"/>
          </w:tcPr>
          <w:p w14:paraId="7FD4B852"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 xml:space="preserve"> </w:t>
            </w:r>
          </w:p>
        </w:tc>
      </w:tr>
      <w:tr w:rsidR="001C19F3" w:rsidRPr="000F5C67" w14:paraId="417E9581" w14:textId="77777777" w:rsidTr="00521305">
        <w:trPr>
          <w:cantSplit/>
          <w:trHeight w:val="288"/>
          <w:jc w:val="center"/>
        </w:trPr>
        <w:tc>
          <w:tcPr>
            <w:tcW w:w="3251" w:type="dxa"/>
          </w:tcPr>
          <w:p w14:paraId="66935954"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Heart disease</w:t>
            </w:r>
          </w:p>
        </w:tc>
        <w:tc>
          <w:tcPr>
            <w:tcW w:w="2268" w:type="dxa"/>
            <w:vAlign w:val="center"/>
          </w:tcPr>
          <w:p w14:paraId="3DD6D65D"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653 (32.4%)</w:t>
            </w:r>
          </w:p>
        </w:tc>
        <w:tc>
          <w:tcPr>
            <w:tcW w:w="2268" w:type="dxa"/>
          </w:tcPr>
          <w:p w14:paraId="75EA885F"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1</w:t>
            </w:r>
            <w:r>
              <w:rPr>
                <w:rFonts w:eastAsia="Times New Roman"/>
                <w:color w:val="000000"/>
                <w:sz w:val="18"/>
                <w:szCs w:val="18"/>
              </w:rPr>
              <w:t>,</w:t>
            </w:r>
            <w:r w:rsidRPr="0061093B">
              <w:rPr>
                <w:rFonts w:eastAsia="Times New Roman"/>
                <w:color w:val="000000"/>
                <w:sz w:val="18"/>
                <w:szCs w:val="18"/>
              </w:rPr>
              <w:t>989</w:t>
            </w:r>
            <w:r>
              <w:rPr>
                <w:rFonts w:eastAsia="Times New Roman"/>
                <w:color w:val="000000"/>
                <w:sz w:val="18"/>
                <w:szCs w:val="18"/>
              </w:rPr>
              <w:t xml:space="preserve"> (23.9%)</w:t>
            </w:r>
          </w:p>
        </w:tc>
      </w:tr>
      <w:tr w:rsidR="001C19F3" w:rsidRPr="000F5C67" w14:paraId="65D3A131" w14:textId="77777777" w:rsidTr="00521305">
        <w:trPr>
          <w:cantSplit/>
          <w:trHeight w:val="288"/>
          <w:jc w:val="center"/>
        </w:trPr>
        <w:tc>
          <w:tcPr>
            <w:tcW w:w="3251" w:type="dxa"/>
          </w:tcPr>
          <w:p w14:paraId="303A4C68"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Stroke</w:t>
            </w:r>
          </w:p>
        </w:tc>
        <w:tc>
          <w:tcPr>
            <w:tcW w:w="2268" w:type="dxa"/>
            <w:vAlign w:val="center"/>
          </w:tcPr>
          <w:p w14:paraId="479203C1"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216 (10.7%)</w:t>
            </w:r>
          </w:p>
        </w:tc>
        <w:tc>
          <w:tcPr>
            <w:tcW w:w="2268" w:type="dxa"/>
          </w:tcPr>
          <w:p w14:paraId="47A6D203"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Pr>
                <w:rFonts w:eastAsiaTheme="minorEastAsia" w:cstheme="minorBidi"/>
                <w:color w:val="000000" w:themeColor="text1"/>
                <w:kern w:val="24"/>
                <w:sz w:val="18"/>
                <w:szCs w:val="18"/>
              </w:rPr>
              <w:t>423 (5.2%)</w:t>
            </w:r>
            <w:r w:rsidRPr="000A7320">
              <w:rPr>
                <w:rFonts w:eastAsiaTheme="minorEastAsia" w:cstheme="minorBidi"/>
                <w:color w:val="000000" w:themeColor="text1"/>
                <w:kern w:val="24"/>
                <w:sz w:val="18"/>
                <w:szCs w:val="18"/>
                <w:vertAlign w:val="superscript"/>
              </w:rPr>
              <w:t>3</w:t>
            </w:r>
          </w:p>
        </w:tc>
      </w:tr>
      <w:tr w:rsidR="001C19F3" w:rsidRPr="000F5C67" w14:paraId="149FA190" w14:textId="77777777" w:rsidTr="00521305">
        <w:trPr>
          <w:cantSplit/>
          <w:trHeight w:val="288"/>
          <w:jc w:val="center"/>
        </w:trPr>
        <w:tc>
          <w:tcPr>
            <w:tcW w:w="3251" w:type="dxa"/>
          </w:tcPr>
          <w:p w14:paraId="02DBC86B"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Cancer</w:t>
            </w:r>
          </w:p>
        </w:tc>
        <w:tc>
          <w:tcPr>
            <w:tcW w:w="2268" w:type="dxa"/>
            <w:vAlign w:val="center"/>
          </w:tcPr>
          <w:p w14:paraId="44A46EC3"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490 (24.3%)</w:t>
            </w:r>
          </w:p>
        </w:tc>
        <w:tc>
          <w:tcPr>
            <w:tcW w:w="2268" w:type="dxa"/>
          </w:tcPr>
          <w:p w14:paraId="733A0A07"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55439B">
              <w:rPr>
                <w:rFonts w:eastAsiaTheme="minorEastAsia" w:cstheme="minorBidi"/>
                <w:color w:val="000000" w:themeColor="text1"/>
                <w:kern w:val="24"/>
                <w:sz w:val="18"/>
                <w:szCs w:val="18"/>
              </w:rPr>
              <w:t>676 (9.1%)</w:t>
            </w:r>
            <w:r w:rsidRPr="000A7320">
              <w:rPr>
                <w:rFonts w:eastAsiaTheme="minorEastAsia" w:cstheme="minorBidi"/>
                <w:color w:val="000000" w:themeColor="text1"/>
                <w:kern w:val="24"/>
                <w:sz w:val="18"/>
                <w:szCs w:val="18"/>
                <w:vertAlign w:val="superscript"/>
              </w:rPr>
              <w:t>3</w:t>
            </w:r>
          </w:p>
        </w:tc>
      </w:tr>
      <w:tr w:rsidR="001C19F3" w:rsidRPr="000F5C67" w14:paraId="4A1910E4" w14:textId="77777777" w:rsidTr="00521305">
        <w:trPr>
          <w:cantSplit/>
          <w:trHeight w:val="288"/>
          <w:jc w:val="center"/>
        </w:trPr>
        <w:tc>
          <w:tcPr>
            <w:tcW w:w="3251" w:type="dxa"/>
            <w:hideMark/>
          </w:tcPr>
          <w:p w14:paraId="4B05BDE5"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Osteoporosis</w:t>
            </w:r>
          </w:p>
        </w:tc>
        <w:tc>
          <w:tcPr>
            <w:tcW w:w="2268" w:type="dxa"/>
            <w:vAlign w:val="center"/>
          </w:tcPr>
          <w:p w14:paraId="3652D6F4"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495 (24.5%)</w:t>
            </w:r>
          </w:p>
        </w:tc>
        <w:tc>
          <w:tcPr>
            <w:tcW w:w="2268" w:type="dxa"/>
          </w:tcPr>
          <w:p w14:paraId="230D2389"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317C2E">
              <w:rPr>
                <w:rFonts w:eastAsiaTheme="minorEastAsia" w:cstheme="minorBidi"/>
                <w:color w:val="000000" w:themeColor="text1"/>
                <w:kern w:val="24"/>
                <w:sz w:val="18"/>
                <w:szCs w:val="18"/>
              </w:rPr>
              <w:t>1</w:t>
            </w:r>
            <w:r>
              <w:rPr>
                <w:rFonts w:eastAsiaTheme="minorEastAsia" w:cstheme="minorBidi"/>
                <w:color w:val="000000" w:themeColor="text1"/>
                <w:kern w:val="24"/>
                <w:sz w:val="18"/>
                <w:szCs w:val="18"/>
              </w:rPr>
              <w:t>,</w:t>
            </w:r>
            <w:r w:rsidRPr="00317C2E">
              <w:rPr>
                <w:rFonts w:eastAsiaTheme="minorEastAsia" w:cstheme="minorBidi"/>
                <w:color w:val="000000" w:themeColor="text1"/>
                <w:kern w:val="24"/>
                <w:sz w:val="18"/>
                <w:szCs w:val="18"/>
              </w:rPr>
              <w:t>249 (15.2%)</w:t>
            </w:r>
            <w:r w:rsidRPr="000A7320">
              <w:rPr>
                <w:rFonts w:eastAsiaTheme="minorEastAsia" w:cstheme="minorBidi"/>
                <w:color w:val="000000" w:themeColor="text1"/>
                <w:kern w:val="24"/>
                <w:sz w:val="18"/>
                <w:szCs w:val="18"/>
                <w:vertAlign w:val="superscript"/>
              </w:rPr>
              <w:t>3</w:t>
            </w:r>
          </w:p>
        </w:tc>
      </w:tr>
      <w:tr w:rsidR="001C19F3" w:rsidRPr="000F5C67" w14:paraId="0E81830E" w14:textId="77777777" w:rsidTr="00521305">
        <w:trPr>
          <w:cantSplit/>
          <w:trHeight w:val="288"/>
          <w:jc w:val="center"/>
        </w:trPr>
        <w:tc>
          <w:tcPr>
            <w:tcW w:w="3251" w:type="dxa"/>
            <w:hideMark/>
          </w:tcPr>
          <w:p w14:paraId="3EA9D7AA"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Osteoarthritis</w:t>
            </w:r>
          </w:p>
        </w:tc>
        <w:tc>
          <w:tcPr>
            <w:tcW w:w="2268" w:type="dxa"/>
            <w:vAlign w:val="center"/>
          </w:tcPr>
          <w:p w14:paraId="14C3709F"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828 (41.0%)</w:t>
            </w:r>
          </w:p>
        </w:tc>
        <w:tc>
          <w:tcPr>
            <w:tcW w:w="2268" w:type="dxa"/>
          </w:tcPr>
          <w:p w14:paraId="28C451C4"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D134DE">
              <w:rPr>
                <w:rFonts w:eastAsiaTheme="minorEastAsia" w:cstheme="minorBidi"/>
                <w:color w:val="000000" w:themeColor="text1"/>
                <w:kern w:val="24"/>
                <w:sz w:val="18"/>
                <w:szCs w:val="18"/>
              </w:rPr>
              <w:t>2</w:t>
            </w:r>
            <w:r>
              <w:rPr>
                <w:rFonts w:eastAsiaTheme="minorEastAsia" w:cstheme="minorBidi"/>
                <w:color w:val="000000" w:themeColor="text1"/>
                <w:kern w:val="24"/>
                <w:sz w:val="18"/>
                <w:szCs w:val="18"/>
              </w:rPr>
              <w:t>,</w:t>
            </w:r>
            <w:r w:rsidRPr="00D134DE">
              <w:rPr>
                <w:rFonts w:eastAsiaTheme="minorEastAsia" w:cstheme="minorBidi"/>
                <w:color w:val="000000" w:themeColor="text1"/>
                <w:kern w:val="24"/>
                <w:sz w:val="18"/>
                <w:szCs w:val="18"/>
              </w:rPr>
              <w:t>117 (25.5%)</w:t>
            </w:r>
            <w:r w:rsidRPr="000A7320">
              <w:rPr>
                <w:rFonts w:eastAsiaTheme="minorEastAsia" w:cstheme="minorBidi"/>
                <w:color w:val="000000" w:themeColor="text1"/>
                <w:kern w:val="24"/>
                <w:sz w:val="18"/>
                <w:szCs w:val="18"/>
                <w:vertAlign w:val="superscript"/>
              </w:rPr>
              <w:t>3</w:t>
            </w:r>
          </w:p>
        </w:tc>
      </w:tr>
      <w:tr w:rsidR="001C19F3" w:rsidRPr="000F5C67" w14:paraId="5972695B" w14:textId="77777777" w:rsidTr="00521305">
        <w:trPr>
          <w:cantSplit/>
          <w:trHeight w:val="288"/>
          <w:jc w:val="center"/>
        </w:trPr>
        <w:tc>
          <w:tcPr>
            <w:tcW w:w="3251" w:type="dxa"/>
            <w:hideMark/>
          </w:tcPr>
          <w:p w14:paraId="198D6211"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Depression or anxiety</w:t>
            </w:r>
          </w:p>
        </w:tc>
        <w:tc>
          <w:tcPr>
            <w:tcW w:w="2268" w:type="dxa"/>
            <w:vAlign w:val="center"/>
          </w:tcPr>
          <w:p w14:paraId="5FF7DF92"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1,170 (58.0%)</w:t>
            </w:r>
          </w:p>
        </w:tc>
        <w:tc>
          <w:tcPr>
            <w:tcW w:w="2268" w:type="dxa"/>
          </w:tcPr>
          <w:p w14:paraId="4348C320"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2</w:t>
            </w:r>
            <w:r>
              <w:rPr>
                <w:rFonts w:eastAsia="Times New Roman"/>
                <w:color w:val="000000"/>
                <w:sz w:val="18"/>
                <w:szCs w:val="18"/>
              </w:rPr>
              <w:t>,</w:t>
            </w:r>
            <w:r w:rsidRPr="0061093B">
              <w:rPr>
                <w:rFonts w:eastAsia="Times New Roman"/>
                <w:color w:val="000000"/>
                <w:sz w:val="18"/>
                <w:szCs w:val="18"/>
              </w:rPr>
              <w:t>253</w:t>
            </w:r>
            <w:r>
              <w:rPr>
                <w:rFonts w:eastAsia="Times New Roman"/>
                <w:color w:val="000000"/>
                <w:sz w:val="18"/>
                <w:szCs w:val="18"/>
              </w:rPr>
              <w:t xml:space="preserve"> (27.0%)</w:t>
            </w:r>
          </w:p>
        </w:tc>
      </w:tr>
      <w:tr w:rsidR="001C19F3" w:rsidRPr="000F5C67" w14:paraId="0F0945D6" w14:textId="77777777" w:rsidTr="00521305">
        <w:trPr>
          <w:cantSplit/>
          <w:trHeight w:val="288"/>
          <w:jc w:val="center"/>
        </w:trPr>
        <w:tc>
          <w:tcPr>
            <w:tcW w:w="3251" w:type="dxa"/>
            <w:hideMark/>
          </w:tcPr>
          <w:p w14:paraId="1540B3E2"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Diabetes</w:t>
            </w:r>
          </w:p>
        </w:tc>
        <w:tc>
          <w:tcPr>
            <w:tcW w:w="2268" w:type="dxa"/>
            <w:vAlign w:val="center"/>
          </w:tcPr>
          <w:p w14:paraId="6E41A730"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703 (34.8%)</w:t>
            </w:r>
          </w:p>
        </w:tc>
        <w:tc>
          <w:tcPr>
            <w:tcW w:w="2268" w:type="dxa"/>
          </w:tcPr>
          <w:p w14:paraId="67B7BE38"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1A511C">
              <w:rPr>
                <w:rFonts w:eastAsiaTheme="minorEastAsia" w:cstheme="minorBidi"/>
                <w:color w:val="000000" w:themeColor="text1"/>
                <w:kern w:val="24"/>
                <w:sz w:val="18"/>
                <w:szCs w:val="18"/>
              </w:rPr>
              <w:t>2</w:t>
            </w:r>
            <w:r>
              <w:rPr>
                <w:rFonts w:eastAsiaTheme="minorEastAsia" w:cstheme="minorBidi"/>
                <w:color w:val="000000" w:themeColor="text1"/>
                <w:kern w:val="24"/>
                <w:sz w:val="18"/>
                <w:szCs w:val="18"/>
              </w:rPr>
              <w:t>,</w:t>
            </w:r>
            <w:r w:rsidRPr="001A511C">
              <w:rPr>
                <w:rFonts w:eastAsiaTheme="minorEastAsia" w:cstheme="minorBidi"/>
                <w:color w:val="000000" w:themeColor="text1"/>
                <w:kern w:val="24"/>
                <w:sz w:val="18"/>
                <w:szCs w:val="18"/>
              </w:rPr>
              <w:t>630 (31.6%)</w:t>
            </w:r>
          </w:p>
        </w:tc>
      </w:tr>
      <w:tr w:rsidR="001C19F3" w:rsidRPr="000F5C67" w14:paraId="3889440F" w14:textId="77777777" w:rsidTr="00521305">
        <w:trPr>
          <w:cantSplit/>
          <w:trHeight w:val="288"/>
          <w:jc w:val="center"/>
        </w:trPr>
        <w:tc>
          <w:tcPr>
            <w:tcW w:w="3251" w:type="dxa"/>
            <w:hideMark/>
          </w:tcPr>
          <w:p w14:paraId="71C8CDE6"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Asthma or COPD</w:t>
            </w:r>
          </w:p>
        </w:tc>
        <w:tc>
          <w:tcPr>
            <w:tcW w:w="2268" w:type="dxa"/>
            <w:vAlign w:val="center"/>
          </w:tcPr>
          <w:p w14:paraId="3F8FE25F"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546 (27.1%)</w:t>
            </w:r>
          </w:p>
        </w:tc>
        <w:tc>
          <w:tcPr>
            <w:tcW w:w="2268" w:type="dxa"/>
          </w:tcPr>
          <w:p w14:paraId="0DEC2D0F"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E83804">
              <w:rPr>
                <w:rFonts w:eastAsiaTheme="minorEastAsia" w:cstheme="minorBidi"/>
                <w:color w:val="000000" w:themeColor="text1"/>
                <w:kern w:val="24"/>
                <w:sz w:val="18"/>
                <w:szCs w:val="18"/>
              </w:rPr>
              <w:t>2</w:t>
            </w:r>
            <w:r>
              <w:rPr>
                <w:rFonts w:eastAsiaTheme="minorEastAsia" w:cstheme="minorBidi"/>
                <w:color w:val="000000" w:themeColor="text1"/>
                <w:kern w:val="24"/>
                <w:sz w:val="18"/>
                <w:szCs w:val="18"/>
              </w:rPr>
              <w:t>,</w:t>
            </w:r>
            <w:r w:rsidRPr="00E83804">
              <w:rPr>
                <w:rFonts w:eastAsiaTheme="minorEastAsia" w:cstheme="minorBidi"/>
                <w:color w:val="000000" w:themeColor="text1"/>
                <w:kern w:val="24"/>
                <w:sz w:val="18"/>
                <w:szCs w:val="18"/>
              </w:rPr>
              <w:t>277 (27.3%)</w:t>
            </w:r>
          </w:p>
        </w:tc>
      </w:tr>
      <w:tr w:rsidR="001C19F3" w:rsidRPr="000F5C67" w14:paraId="7A1F5070" w14:textId="77777777" w:rsidTr="00521305">
        <w:trPr>
          <w:cantSplit/>
          <w:trHeight w:val="288"/>
          <w:jc w:val="center"/>
        </w:trPr>
        <w:tc>
          <w:tcPr>
            <w:tcW w:w="3251" w:type="dxa"/>
            <w:hideMark/>
          </w:tcPr>
          <w:p w14:paraId="0504C25A"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Hypertension</w:t>
            </w:r>
          </w:p>
        </w:tc>
        <w:tc>
          <w:tcPr>
            <w:tcW w:w="2268" w:type="dxa"/>
            <w:vAlign w:val="center"/>
          </w:tcPr>
          <w:p w14:paraId="22A0B470"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1,230 (61.0%)</w:t>
            </w:r>
          </w:p>
        </w:tc>
        <w:tc>
          <w:tcPr>
            <w:tcW w:w="2268" w:type="dxa"/>
          </w:tcPr>
          <w:p w14:paraId="0A36F9F1"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1093B">
              <w:rPr>
                <w:rFonts w:eastAsia="Times New Roman"/>
                <w:color w:val="000000"/>
                <w:sz w:val="18"/>
                <w:szCs w:val="18"/>
              </w:rPr>
              <w:t>4</w:t>
            </w:r>
            <w:r>
              <w:rPr>
                <w:rFonts w:eastAsia="Times New Roman"/>
                <w:color w:val="000000"/>
                <w:sz w:val="18"/>
                <w:szCs w:val="18"/>
              </w:rPr>
              <w:t>,</w:t>
            </w:r>
            <w:r w:rsidRPr="0061093B">
              <w:rPr>
                <w:rFonts w:eastAsia="Times New Roman"/>
                <w:color w:val="000000"/>
                <w:sz w:val="18"/>
                <w:szCs w:val="18"/>
              </w:rPr>
              <w:t>114</w:t>
            </w:r>
            <w:r>
              <w:rPr>
                <w:rFonts w:eastAsia="Times New Roman"/>
                <w:color w:val="000000"/>
                <w:sz w:val="18"/>
                <w:szCs w:val="18"/>
              </w:rPr>
              <w:t xml:space="preserve"> (49.4%)</w:t>
            </w:r>
          </w:p>
        </w:tc>
      </w:tr>
      <w:tr w:rsidR="001C19F3" w:rsidRPr="000F5C67" w14:paraId="5D04A598" w14:textId="77777777" w:rsidTr="00521305">
        <w:trPr>
          <w:cantSplit/>
          <w:trHeight w:val="288"/>
          <w:jc w:val="center"/>
        </w:trPr>
        <w:tc>
          <w:tcPr>
            <w:tcW w:w="3251" w:type="dxa"/>
          </w:tcPr>
          <w:p w14:paraId="1E5DDA3E" w14:textId="77777777" w:rsidR="001C19F3" w:rsidRPr="00C122CF" w:rsidRDefault="001C19F3" w:rsidP="00521305">
            <w:pPr>
              <w:spacing w:before="40" w:after="40"/>
              <w:ind w:left="269"/>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Other</w:t>
            </w:r>
          </w:p>
        </w:tc>
        <w:tc>
          <w:tcPr>
            <w:tcW w:w="2268" w:type="dxa"/>
            <w:vAlign w:val="center"/>
          </w:tcPr>
          <w:p w14:paraId="118A3240"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C122CF">
              <w:rPr>
                <w:rFonts w:eastAsiaTheme="minorEastAsia" w:cstheme="minorBidi"/>
                <w:color w:val="000000" w:themeColor="text1"/>
                <w:kern w:val="24"/>
                <w:sz w:val="18"/>
                <w:szCs w:val="18"/>
              </w:rPr>
              <w:t>912 (45.2%)</w:t>
            </w:r>
          </w:p>
        </w:tc>
        <w:tc>
          <w:tcPr>
            <w:tcW w:w="2268" w:type="dxa"/>
          </w:tcPr>
          <w:p w14:paraId="7DB67DCA" w14:textId="77777777" w:rsidR="001C19F3" w:rsidRPr="00C122CF" w:rsidRDefault="001C19F3" w:rsidP="00521305">
            <w:pPr>
              <w:spacing w:before="40" w:after="40"/>
              <w:ind w:left="174"/>
              <w:jc w:val="center"/>
              <w:rPr>
                <w:rFonts w:eastAsiaTheme="minorEastAsia" w:cstheme="minorBidi"/>
                <w:color w:val="000000" w:themeColor="text1"/>
                <w:kern w:val="24"/>
                <w:sz w:val="18"/>
                <w:szCs w:val="18"/>
              </w:rPr>
            </w:pPr>
            <w:r w:rsidRPr="00637044">
              <w:rPr>
                <w:rFonts w:eastAsiaTheme="minorEastAsia" w:cstheme="minorBidi"/>
                <w:color w:val="000000" w:themeColor="text1"/>
                <w:kern w:val="24"/>
                <w:sz w:val="18"/>
                <w:szCs w:val="18"/>
              </w:rPr>
              <w:t>4</w:t>
            </w:r>
            <w:r>
              <w:rPr>
                <w:rFonts w:eastAsiaTheme="minorEastAsia" w:cstheme="minorBidi"/>
                <w:color w:val="000000" w:themeColor="text1"/>
                <w:kern w:val="24"/>
                <w:sz w:val="18"/>
                <w:szCs w:val="18"/>
              </w:rPr>
              <w:t>,</w:t>
            </w:r>
            <w:r w:rsidRPr="00637044">
              <w:rPr>
                <w:rFonts w:eastAsiaTheme="minorEastAsia" w:cstheme="minorBidi"/>
                <w:color w:val="000000" w:themeColor="text1"/>
                <w:kern w:val="24"/>
                <w:sz w:val="18"/>
                <w:szCs w:val="18"/>
              </w:rPr>
              <w:t>063 (48.7%)</w:t>
            </w:r>
          </w:p>
        </w:tc>
      </w:tr>
    </w:tbl>
    <w:p w14:paraId="165191C3" w14:textId="77777777" w:rsidR="001C19F3" w:rsidRPr="00B16AD5" w:rsidRDefault="001C19F3" w:rsidP="001C19F3">
      <w:pPr>
        <w:pStyle w:val="Chartortablefootnote"/>
      </w:pPr>
      <w:r w:rsidRPr="00AF5DF1">
        <w:t xml:space="preserve">Sources: </w:t>
      </w:r>
      <w:r>
        <w:t>CATI surveys conducted by The Social Research Centre between December 2017 and March 2019. Pr</w:t>
      </w:r>
      <w:r w:rsidRPr="00AF5DF1">
        <w:t>actice data extracts that had been received at 30 June 2019.</w:t>
      </w:r>
      <w:r>
        <w:t xml:space="preserve"> </w:t>
      </w:r>
      <w:r w:rsidRPr="003E3F26">
        <w:rPr>
          <w:vertAlign w:val="superscript"/>
        </w:rPr>
        <w:t>1</w:t>
      </w:r>
      <w:r w:rsidRPr="00B16AD5">
        <w:t>Percentages are calculated for 8</w:t>
      </w:r>
      <w:r>
        <w:t>,336</w:t>
      </w:r>
      <w:r w:rsidRPr="00B16AD5">
        <w:t xml:space="preserve"> HCH patients, unless indicated otherwise</w:t>
      </w:r>
      <w:r>
        <w:t xml:space="preserve">; </w:t>
      </w:r>
      <w:r w:rsidRPr="003E3F26">
        <w:rPr>
          <w:vertAlign w:val="superscript"/>
        </w:rPr>
        <w:t>2</w:t>
      </w:r>
      <w:r w:rsidRPr="00B16AD5">
        <w:t xml:space="preserve">The number </w:t>
      </w:r>
      <w:r>
        <w:t>is</w:t>
      </w:r>
      <w:r w:rsidRPr="00B16AD5">
        <w:t xml:space="preserve"> </w:t>
      </w:r>
      <w:r w:rsidRPr="001425E1">
        <w:t xml:space="preserve">based on the groupings used for the patient survey. The number ranged from 0 to 10; </w:t>
      </w:r>
      <w:r w:rsidRPr="001425E1">
        <w:rPr>
          <w:vertAlign w:val="superscript"/>
        </w:rPr>
        <w:t>3</w:t>
      </w:r>
      <w:r w:rsidRPr="001425E1">
        <w:t xml:space="preserve">When derived variables relating to the condition were absent from entire Pen CS extracts, HCH patients in the practices with missing data are excluded from the calculation (i.e. the denominator was less than </w:t>
      </w:r>
      <w:r>
        <w:t>8,336</w:t>
      </w:r>
      <w:r w:rsidRPr="001425E1">
        <w:t>).</w:t>
      </w:r>
    </w:p>
    <w:p w14:paraId="52519BA3" w14:textId="77777777" w:rsidR="001C19F3" w:rsidRDefault="001C19F3" w:rsidP="001C19F3">
      <w:r>
        <w:t>The EQ-5D-5L provides a method for assessing a patient’s health related quality of life at the time of completing the tool (</w:t>
      </w:r>
      <w:r w:rsidRPr="009245DB">
        <w:fldChar w:fldCharType="begin">
          <w:fldData xml:space="preserve">PEVuZE5vdGU+PENpdGU+PEF1dGhvcj5EZXZsaW48L0F1dGhvcj48WWVhcj4yMDEzPC9ZZWFyPjxS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</w:fldData>
        </w:fldChar>
      </w:r>
      <w:r w:rsidRPr="009245DB">
        <w:instrText xml:space="preserve"> ADDIN EN.CITE </w:instrText>
      </w:r>
      <w:r w:rsidRPr="009245DB">
        <w:fldChar w:fldCharType="begin">
          <w:fldData xml:space="preserve">PEVuZE5vdGU+PENpdGU+PEF1dGhvcj5EZXZsaW48L0F1dGhvcj48WWVhcj4yMDEzPC9ZZWFyPjxS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</w:fldData>
        </w:fldChar>
      </w:r>
      <w:r w:rsidRPr="009245DB">
        <w:instrText xml:space="preserve"> ADDIN EN.CITE.DATA </w:instrText>
      </w:r>
      <w:r w:rsidRPr="009245DB">
        <w:fldChar w:fldCharType="end"/>
      </w:r>
      <w:r w:rsidRPr="009245DB">
        <w:fldChar w:fldCharType="separate"/>
      </w:r>
      <w:r w:rsidRPr="009245DB">
        <w:rPr>
          <w:noProof/>
        </w:rPr>
        <w:t>Devlin &amp; Krabbe, 2013; Herdman et al., 2011</w:t>
      </w:r>
      <w:r w:rsidRPr="009245DB">
        <w:fldChar w:fldCharType="end"/>
      </w:r>
      <w:r>
        <w:t xml:space="preserve">). Responses to these questions can be converted to a numerical scale using valuations derived from population responses described </w:t>
      </w:r>
      <w:r w:rsidRPr="00321810">
        <w:t>in Volume 4.</w:t>
      </w:r>
      <w:r>
        <w:t xml:space="preserve"> </w:t>
      </w:r>
      <w:r>
        <w:fldChar w:fldCharType="begin"/>
      </w:r>
      <w:r>
        <w:instrText xml:space="preserve"> REF _Ref20747077 \h  \* MERGEFORMAT </w:instrText>
      </w:r>
      <w:r>
        <w:fldChar w:fldCharType="separate"/>
      </w:r>
      <w:r w:rsidRPr="00822044">
        <w:t>Figure 10</w:t>
      </w:r>
      <w:r>
        <w:fldChar w:fldCharType="end"/>
      </w:r>
      <w:r>
        <w:t xml:space="preserve"> shows the patient responses by HCH tier to questions for the </w:t>
      </w:r>
      <w:bookmarkStart w:id="195" w:name="_Hlk22481989"/>
      <w:r>
        <w:t xml:space="preserve">EQ-5D-5L </w:t>
      </w:r>
      <w:bookmarkEnd w:id="195"/>
      <w:r>
        <w:t xml:space="preserve">domains. For each of these domains, there is a clear gradient across the tiers. Overall, HCH patients are reporting higher levels of problems for the domains of: </w:t>
      </w:r>
      <w:r w:rsidRPr="00761E4A">
        <w:t>pain or</w:t>
      </w:r>
      <w:r>
        <w:t xml:space="preserve"> with Tier 3 patients reporting poor health related quality of life. </w:t>
      </w:r>
      <w:r w:rsidRPr="00761E4A">
        <w:t>discomf</w:t>
      </w:r>
      <w:r>
        <w:t>ort</w:t>
      </w:r>
      <w:r w:rsidRPr="00761E4A">
        <w:t>, mobility</w:t>
      </w:r>
      <w:r>
        <w:t>,</w:t>
      </w:r>
      <w:r w:rsidRPr="00761E4A">
        <w:t xml:space="preserve"> and usual activities.</w:t>
      </w:r>
    </w:p>
    <w:p w14:paraId="1FCCA617" w14:textId="77777777" w:rsidR="001C19F3" w:rsidRDefault="001C19F3" w:rsidP="001C19F3">
      <w:r w:rsidRPr="00D744CE">
        <w:fldChar w:fldCharType="begin"/>
      </w:r>
      <w:r w:rsidRPr="00D744CE">
        <w:instrText xml:space="preserve"> REF _Ref20747347 \h  \* MERGEFORMAT </w:instrText>
      </w:r>
      <w:r w:rsidRPr="00D744CE">
        <w:fldChar w:fldCharType="separate"/>
      </w:r>
      <w:r w:rsidRPr="00822044">
        <w:t>Figure 11</w:t>
      </w:r>
      <w:r w:rsidRPr="00D744CE">
        <w:fldChar w:fldCharType="end"/>
      </w:r>
      <w:r w:rsidRPr="00D744CE">
        <w:t xml:space="preserve"> uses boxplots to show the distribution of </w:t>
      </w:r>
      <w:r>
        <w:t>EQ-5D-5L</w:t>
      </w:r>
      <w:r w:rsidRPr="00D744CE">
        <w:t xml:space="preserve"> scores. These scores can range from -0.34 to 1.00 (full health)</w:t>
      </w:r>
      <w:r>
        <w:rPr>
          <w:rStyle w:val="FootnoteReference"/>
        </w:rPr>
        <w:footnoteReference w:id="13"/>
      </w:r>
      <w:r w:rsidRPr="00D744CE">
        <w:t>. The mean for HCH patients is 0.71. For this measure there is also a clear gradient between Tier 1 (0.80) and Tier 3 (0.65).</w:t>
      </w:r>
    </w:p>
    <w:p w14:paraId="090C8D16" w14:textId="77777777" w:rsidR="001C19F3" w:rsidRDefault="001C19F3" w:rsidP="001C19F3">
      <w:r>
        <w:rPr>
          <w:noProof/>
          <w:lang w:eastAsia="en-AU"/>
        </w:rPr>
        <w:lastRenderedPageBreak/>
        <w:drawing>
          <wp:inline distT="0" distB="0" distL="0" distR="0" wp14:anchorId="04E2CEC3" wp14:editId="0C22BC7A">
            <wp:extent cx="5190476" cy="5714286"/>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90476" cy="5714286"/>
                    </a:xfrm>
                    <a:prstGeom prst="rect">
                      <a:avLst/>
                    </a:prstGeom>
                  </pic:spPr>
                </pic:pic>
              </a:graphicData>
            </a:graphic>
          </wp:inline>
        </w:drawing>
      </w:r>
    </w:p>
    <w:p w14:paraId="418D3878" w14:textId="77777777" w:rsidR="001C19F3" w:rsidRDefault="001C19F3" w:rsidP="001C19F3">
      <w:pPr>
        <w:spacing w:after="0"/>
        <w:jc w:val="center"/>
        <w:rPr>
          <w:b/>
        </w:rPr>
      </w:pPr>
      <w:bookmarkStart w:id="196" w:name="_Ref20747077"/>
      <w:bookmarkStart w:id="197" w:name="_Ref20747072"/>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10</w:t>
      </w:r>
      <w:r w:rsidRPr="005356D1">
        <w:rPr>
          <w:rFonts w:cs="Arial"/>
          <w:b/>
          <w:color w:val="000000" w:themeColor="text1"/>
        </w:rPr>
        <w:fldChar w:fldCharType="end"/>
      </w:r>
      <w:bookmarkEnd w:id="196"/>
      <w:r w:rsidRPr="005356D1">
        <w:rPr>
          <w:b/>
        </w:rPr>
        <w:t xml:space="preserve"> – </w:t>
      </w:r>
      <w:r>
        <w:rPr>
          <w:b/>
        </w:rPr>
        <w:t>Patient reported responses to questions about dimensions of their health related quality of life (EQ-5D-5L) on the day of the survey</w:t>
      </w:r>
      <w:bookmarkEnd w:id="197"/>
    </w:p>
    <w:p w14:paraId="61BC2544" w14:textId="77777777" w:rsidR="001C19F3" w:rsidRDefault="001C19F3" w:rsidP="001C19F3">
      <w:pPr>
        <w:pStyle w:val="Chartortablefootnote"/>
      </w:pPr>
      <w:r w:rsidRPr="00DD08EB">
        <w:t xml:space="preserve">Source: </w:t>
      </w:r>
      <w:r>
        <w:t>CATI surveys conducted by The Social Research Centre between December 2017 and March 2019. Differences between tiers are statistically significant.</w:t>
      </w:r>
    </w:p>
    <w:p w14:paraId="09EE7B19" w14:textId="77777777" w:rsidR="001C19F3" w:rsidRDefault="001C19F3" w:rsidP="001C19F3">
      <w:pPr>
        <w:rPr>
          <w:b/>
        </w:rPr>
      </w:pPr>
      <w:r>
        <w:rPr>
          <w:noProof/>
          <w:lang w:eastAsia="en-AU"/>
        </w:rPr>
        <w:lastRenderedPageBreak/>
        <w:drawing>
          <wp:inline distT="0" distB="0" distL="0" distR="0" wp14:anchorId="2BA53930" wp14:editId="7C8FA7FF">
            <wp:extent cx="5190476" cy="28285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90476" cy="2828571"/>
                    </a:xfrm>
                    <a:prstGeom prst="rect">
                      <a:avLst/>
                    </a:prstGeom>
                  </pic:spPr>
                </pic:pic>
              </a:graphicData>
            </a:graphic>
          </wp:inline>
        </w:drawing>
      </w:r>
    </w:p>
    <w:p w14:paraId="1CF515F2" w14:textId="77777777" w:rsidR="001C19F3" w:rsidRDefault="001C19F3" w:rsidP="001C19F3">
      <w:pPr>
        <w:spacing w:after="0"/>
        <w:jc w:val="center"/>
        <w:rPr>
          <w:b/>
        </w:rPr>
      </w:pPr>
      <w:bookmarkStart w:id="198" w:name="_Ref20747347"/>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11</w:t>
      </w:r>
      <w:r w:rsidRPr="005356D1">
        <w:rPr>
          <w:rFonts w:cs="Arial"/>
          <w:b/>
          <w:color w:val="000000" w:themeColor="text1"/>
        </w:rPr>
        <w:fldChar w:fldCharType="end"/>
      </w:r>
      <w:bookmarkEnd w:id="198"/>
      <w:r w:rsidRPr="005356D1">
        <w:rPr>
          <w:b/>
        </w:rPr>
        <w:t xml:space="preserve"> – </w:t>
      </w:r>
      <w:r>
        <w:rPr>
          <w:b/>
        </w:rPr>
        <w:t>Distribution of EQ-5D-5L score by HCH tier of patient</w:t>
      </w:r>
    </w:p>
    <w:p w14:paraId="0157B0AC" w14:textId="77777777" w:rsidR="001C19F3" w:rsidRDefault="001C19F3" w:rsidP="001C19F3">
      <w:pPr>
        <w:pStyle w:val="Chartortablefootnote"/>
      </w:pPr>
      <w:r w:rsidRPr="00DD08EB">
        <w:t xml:space="preserve">Source: </w:t>
      </w:r>
      <w:r>
        <w:t>CATI surveys conducted by The Social Research Centre between December 2017 and March 2019. Differences between tiers are statistically significant.</w:t>
      </w:r>
    </w:p>
    <w:p w14:paraId="1C215C1A" w14:textId="77777777" w:rsidR="001C19F3" w:rsidRDefault="001C19F3" w:rsidP="001C19F3">
      <w:pPr>
        <w:pStyle w:val="Heading2"/>
      </w:pPr>
      <w:bookmarkStart w:id="199" w:name="_Toc27056562"/>
      <w:r>
        <w:t>Patient activation</w:t>
      </w:r>
      <w:bookmarkEnd w:id="199"/>
      <w:r>
        <w:t xml:space="preserve"> </w:t>
      </w:r>
    </w:p>
    <w:p w14:paraId="46D70BF7" w14:textId="77777777" w:rsidR="001C19F3" w:rsidRPr="00A44F00" w:rsidRDefault="001C19F3" w:rsidP="001C19F3">
      <w:r>
        <w:t>Items from the Patient activation measure (</w:t>
      </w:r>
      <w:r w:rsidRPr="004D27C9">
        <w:t>PAM) (</w:t>
      </w:r>
      <w:r w:rsidRPr="005461DE">
        <w:fldChar w:fldCharType="begin"/>
      </w:r>
      <w:r>
        <w:instrText xml:space="preserve"> ADDIN EN.CITE &lt;EndNote&gt;&lt;Cite&gt;&lt;Author&gt;Hibbard&lt;/Author&gt;&lt;Year&gt;2005&lt;/Year&gt;&lt;RecNum&gt;664&lt;/RecNum&gt;&lt;DisplayText&gt;Hibbard, Mahoney, Stockard et al., 2005&lt;/DisplayText&gt;&lt;record&gt;&lt;rec-number&gt;664&lt;/rec-number&gt;&lt;foreign-keys&gt;&lt;key app="EN" db-id="zdz9xax04zr9v0evw2nvrpw9xe9ttzvs5zsv" timestamp="1486363634"&gt;664&lt;/key&gt;&lt;/foreign-keys&gt;&lt;ref-type name="Journal Article"&gt;17&lt;/ref-type&gt;&lt;contributors&gt;&lt;authors&gt;&lt;author&gt;Hibbard, J. H.&lt;/author&gt;&lt;author&gt;Mahoney, E. R.&lt;/author&gt;&lt;author&gt;Stockard, J.&lt;/author&gt;&lt;author&gt;Tusler, M.&lt;/author&gt;&lt;/authors&gt;&lt;/contributors&gt;&lt;auth-address&gt;Department of Planning, Publicy, &amp;amp; Management, University of Oregon, Eugene, 97403, USA.&lt;/auth-address&gt;&lt;titles&gt;&lt;title&gt;Development and testing of a short form of the patient activation measure&lt;/title&gt;&lt;secondary-title&gt;Health Serv Res&lt;/secondary-title&gt;&lt;/titles&gt;&lt;periodical&gt;&lt;full-title&gt;Health Serv Res&lt;/full-title&gt;&lt;abbr-1&gt;Health services research&lt;/abbr-1&gt;&lt;/periodical&gt;&lt;pages&gt;1918-30&lt;/pages&gt;&lt;volume&gt;40&lt;/volume&gt;&lt;number&gt;6 Pt 1&lt;/number&gt;&lt;keywords&gt;&lt;keyword&gt;Aged&lt;/keyword&gt;&lt;keyword&gt;Aged, 80 and over&lt;/keyword&gt;&lt;keyword&gt;Chronic Disease&lt;/keyword&gt;&lt;keyword&gt;Female&lt;/keyword&gt;&lt;keyword&gt;*Health Knowledge, Attitudes, Practice&lt;/keyword&gt;&lt;keyword&gt;Humans&lt;/keyword&gt;&lt;keyword&gt;Male&lt;/keyword&gt;&lt;keyword&gt;Middle Aged&lt;/keyword&gt;&lt;keyword&gt;*Patient Participation&lt;/keyword&gt;&lt;keyword&gt;*Patients&lt;/keyword&gt;&lt;keyword&gt;Self Care/*standards&lt;/keyword&gt;&lt;keyword&gt;Socioeconomic Factors&lt;/keyword&gt;&lt;keyword&gt;*Surveys and Questionnaires&lt;/keyword&gt;&lt;/keywords&gt;&lt;dates&gt;&lt;year&gt;2005&lt;/year&gt;&lt;pub-dates&gt;&lt;date&gt;Dec&lt;/date&gt;&lt;/pub-dates&gt;&lt;/dates&gt;&lt;isbn&gt;0017-9124 (Print)&amp;#xD;0017-9124 (Linking)&lt;/isbn&gt;&lt;accession-num&gt;16336556&lt;/accession-num&gt;&lt;urls&gt;&lt;related-urls&gt;&lt;url&gt;https://www.ncbi.nlm.nih.gov/pubmed/16336556&lt;/url&gt;&lt;url&gt;https://www.ncbi.nlm.nih.gov/pmc/articles/PMC1361231/pdf/hesr_438.pdf&lt;/url&gt;&lt;/related-urls&gt;&lt;/urls&gt;&lt;custom2&gt;PMC1361231&lt;/custom2&gt;&lt;electronic-resource-num&gt;10.1111/j.1475-6773.2005.00438.x&lt;/electronic-resource-num&gt;&lt;/record&gt;&lt;/Cite&gt;&lt;/EndNote&gt;</w:instrText>
      </w:r>
      <w:r w:rsidRPr="005461DE">
        <w:fldChar w:fldCharType="separate"/>
      </w:r>
      <w:r>
        <w:rPr>
          <w:noProof/>
        </w:rPr>
        <w:t>Hibbard, Mahoney, Stockard et al., 2005</w:t>
      </w:r>
      <w:r w:rsidRPr="005461DE">
        <w:fldChar w:fldCharType="end"/>
      </w:r>
      <w:r w:rsidRPr="004D27C9">
        <w:t>),</w:t>
      </w:r>
      <w:r>
        <w:t xml:space="preserve"> were included in the patient survey. Scores were allocated to four categories, as shown in </w:t>
      </w:r>
      <w:r>
        <w:fldChar w:fldCharType="begin"/>
      </w:r>
      <w:r>
        <w:instrText xml:space="preserve"> REF _Ref20747870 \h  \* MERGEFORMAT </w:instrText>
      </w:r>
      <w:r>
        <w:fldChar w:fldCharType="separate"/>
      </w:r>
      <w:r w:rsidRPr="00822044">
        <w:t>Figure 12</w:t>
      </w:r>
      <w:r>
        <w:fldChar w:fldCharType="end"/>
      </w:r>
      <w:r>
        <w:t>. Across the HCH patient population, 34% of patients were allocated to ‘</w:t>
      </w:r>
      <w:r w:rsidRPr="00B967EF">
        <w:rPr>
          <w:i/>
        </w:rPr>
        <w:t>M</w:t>
      </w:r>
      <w:r w:rsidRPr="00A44F00">
        <w:rPr>
          <w:i/>
        </w:rPr>
        <w:t>aintaining behaviours and pushing further</w:t>
      </w:r>
      <w:r>
        <w:rPr>
          <w:i/>
        </w:rPr>
        <w:t>’</w:t>
      </w:r>
      <w:r>
        <w:t xml:space="preserve"> (the highest level of activation) and 41% to ‘</w:t>
      </w:r>
      <w:r w:rsidRPr="00B967EF">
        <w:rPr>
          <w:i/>
        </w:rPr>
        <w:t>T</w:t>
      </w:r>
      <w:r w:rsidRPr="00A44F00">
        <w:rPr>
          <w:i/>
        </w:rPr>
        <w:t>aking action</w:t>
      </w:r>
      <w:r>
        <w:rPr>
          <w:i/>
        </w:rPr>
        <w:t>’</w:t>
      </w:r>
      <w:r>
        <w:t xml:space="preserve"> (the next highest level), 19% to ‘</w:t>
      </w:r>
      <w:r>
        <w:rPr>
          <w:i/>
        </w:rPr>
        <w:t>B</w:t>
      </w:r>
      <w:r w:rsidRPr="00A44F00">
        <w:rPr>
          <w:i/>
        </w:rPr>
        <w:t>ecoming aware but still struggling</w:t>
      </w:r>
      <w:r>
        <w:rPr>
          <w:i/>
        </w:rPr>
        <w:t>’</w:t>
      </w:r>
      <w:r>
        <w:t xml:space="preserve"> and 6% to ‘</w:t>
      </w:r>
      <w:r>
        <w:rPr>
          <w:i/>
        </w:rPr>
        <w:t>D</w:t>
      </w:r>
      <w:r w:rsidRPr="00A44F00">
        <w:rPr>
          <w:i/>
        </w:rPr>
        <w:t>isengaged and ove</w:t>
      </w:r>
      <w:r>
        <w:rPr>
          <w:i/>
        </w:rPr>
        <w:t>r</w:t>
      </w:r>
      <w:r w:rsidRPr="00A44F00">
        <w:rPr>
          <w:i/>
        </w:rPr>
        <w:t>w</w:t>
      </w:r>
      <w:r>
        <w:rPr>
          <w:i/>
        </w:rPr>
        <w:t>h</w:t>
      </w:r>
      <w:r w:rsidRPr="00A44F00">
        <w:rPr>
          <w:i/>
        </w:rPr>
        <w:t>elmed</w:t>
      </w:r>
      <w:r>
        <w:rPr>
          <w:i/>
        </w:rPr>
        <w:t>’</w:t>
      </w:r>
      <w:r>
        <w:t>. Higher proportions of Tier 3 patients are in the ‘</w:t>
      </w:r>
      <w:r w:rsidRPr="00B967EF">
        <w:rPr>
          <w:i/>
        </w:rPr>
        <w:t>D</w:t>
      </w:r>
      <w:r w:rsidRPr="00A44F00">
        <w:rPr>
          <w:i/>
        </w:rPr>
        <w:t>isengaged and ove</w:t>
      </w:r>
      <w:r>
        <w:rPr>
          <w:i/>
        </w:rPr>
        <w:t>r</w:t>
      </w:r>
      <w:r w:rsidRPr="00A44F00">
        <w:rPr>
          <w:i/>
        </w:rPr>
        <w:t>w</w:t>
      </w:r>
      <w:r>
        <w:rPr>
          <w:i/>
        </w:rPr>
        <w:t>h</w:t>
      </w:r>
      <w:r w:rsidRPr="00A44F00">
        <w:rPr>
          <w:i/>
        </w:rPr>
        <w:t>elmed</w:t>
      </w:r>
      <w:r>
        <w:rPr>
          <w:i/>
        </w:rPr>
        <w:t xml:space="preserve">’ </w:t>
      </w:r>
      <w:r w:rsidRPr="00A44F00">
        <w:t>category.</w:t>
      </w:r>
    </w:p>
    <w:p w14:paraId="42F2E2C0" w14:textId="77777777" w:rsidR="001C19F3" w:rsidRDefault="001C19F3" w:rsidP="001C19F3">
      <w:r>
        <w:t>These results suggest relatively high levels of activation amongst the HCH population, although there are opportunities for increased levels to be achieved for some patients. Changes in patient activation will be tracked through future patient surveys.</w:t>
      </w:r>
    </w:p>
    <w:p w14:paraId="7AF1C400" w14:textId="77777777" w:rsidR="001C19F3" w:rsidRDefault="001C19F3" w:rsidP="001C19F3">
      <w:r>
        <w:rPr>
          <w:noProof/>
          <w:lang w:eastAsia="en-AU"/>
        </w:rPr>
        <w:lastRenderedPageBreak/>
        <w:drawing>
          <wp:inline distT="0" distB="0" distL="0" distR="0" wp14:anchorId="2E2CDF5E" wp14:editId="0A81EB33">
            <wp:extent cx="5190476" cy="342857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90476" cy="3428571"/>
                    </a:xfrm>
                    <a:prstGeom prst="rect">
                      <a:avLst/>
                    </a:prstGeom>
                  </pic:spPr>
                </pic:pic>
              </a:graphicData>
            </a:graphic>
          </wp:inline>
        </w:drawing>
      </w:r>
    </w:p>
    <w:p w14:paraId="27F9358E" w14:textId="77777777" w:rsidR="001C19F3" w:rsidRDefault="001C19F3" w:rsidP="001C19F3">
      <w:pPr>
        <w:spacing w:after="0"/>
        <w:jc w:val="center"/>
        <w:rPr>
          <w:b/>
        </w:rPr>
      </w:pPr>
      <w:bookmarkStart w:id="200" w:name="_Ref20747870"/>
      <w:bookmarkStart w:id="201" w:name="_Toc20151664"/>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12</w:t>
      </w:r>
      <w:r w:rsidRPr="005356D1">
        <w:rPr>
          <w:rFonts w:cs="Arial"/>
          <w:b/>
          <w:color w:val="000000" w:themeColor="text1"/>
        </w:rPr>
        <w:fldChar w:fldCharType="end"/>
      </w:r>
      <w:bookmarkEnd w:id="200"/>
      <w:r w:rsidRPr="005356D1">
        <w:rPr>
          <w:b/>
        </w:rPr>
        <w:t xml:space="preserve"> – </w:t>
      </w:r>
      <w:r>
        <w:rPr>
          <w:b/>
        </w:rPr>
        <w:t>Patient activation level using the Patient activation measure (PAM)</w:t>
      </w:r>
    </w:p>
    <w:p w14:paraId="1E883E50" w14:textId="77777777" w:rsidR="001C19F3" w:rsidRDefault="001C19F3" w:rsidP="001C19F3">
      <w:pPr>
        <w:pStyle w:val="Chartortablefootnote"/>
      </w:pPr>
      <w:bookmarkStart w:id="202" w:name="_Hlk27044484"/>
      <w:r w:rsidRPr="00DD08EB">
        <w:t xml:space="preserve">Source: </w:t>
      </w:r>
      <w:r>
        <w:t xml:space="preserve">CATI surveys conducted by The Social Research Centre between December 2017 and March 2019. </w:t>
      </w:r>
      <w:bookmarkEnd w:id="202"/>
      <w:r w:rsidRPr="00321810">
        <w:t>Differences between tiers are not statistically significant.</w:t>
      </w:r>
    </w:p>
    <w:bookmarkEnd w:id="201"/>
    <w:p w14:paraId="6BCB3F9A" w14:textId="77777777" w:rsidR="001C19F3" w:rsidRDefault="001C19F3" w:rsidP="001C19F3">
      <w:pPr>
        <w:rPr>
          <w:rFonts w:eastAsiaTheme="majorEastAsia" w:cstheme="majorBidi"/>
          <w:color w:val="003D79"/>
          <w:sz w:val="40"/>
          <w:szCs w:val="26"/>
        </w:rPr>
      </w:pPr>
    </w:p>
    <w:p w14:paraId="6F53EE27" w14:textId="77777777" w:rsidR="001C19F3" w:rsidRPr="001D14E2" w:rsidRDefault="001C19F3" w:rsidP="001C19F3"/>
    <w:p w14:paraId="01E44E13" w14:textId="77777777" w:rsidR="001C19F3" w:rsidRDefault="001C19F3" w:rsidP="001C19F3">
      <w:pPr>
        <w:rPr>
          <w:rFonts w:eastAsia="Times New Roman"/>
          <w:iCs/>
          <w:szCs w:val="20"/>
        </w:rPr>
      </w:pPr>
    </w:p>
    <w:p w14:paraId="2E93E4C7" w14:textId="77777777" w:rsidR="001C19F3" w:rsidRPr="009E5EE9" w:rsidRDefault="001C19F3" w:rsidP="001C19F3">
      <w:pPr>
        <w:sectPr w:rsidR="001C19F3" w:rsidRPr="009E5EE9" w:rsidSect="001C5D9E">
          <w:headerReference w:type="first" r:id="rId60"/>
          <w:pgSz w:w="11906" w:h="16838"/>
          <w:pgMar w:top="1440" w:right="1440" w:bottom="1440" w:left="1440" w:header="708" w:footer="708" w:gutter="0"/>
          <w:cols w:space="708"/>
          <w:titlePg/>
          <w:docGrid w:linePitch="360"/>
        </w:sectPr>
      </w:pPr>
    </w:p>
    <w:p w14:paraId="7ABC70C5" w14:textId="77777777" w:rsidR="001C19F3" w:rsidRDefault="001C19F3" w:rsidP="001C19F3">
      <w:pPr>
        <w:pStyle w:val="Heading1withnumber"/>
        <w:ind w:left="0" w:hanging="993"/>
      </w:pPr>
      <w:bookmarkStart w:id="203" w:name="_Toc20151670"/>
      <w:bookmarkStart w:id="204" w:name="_Toc27056563"/>
      <w:r>
        <w:lastRenderedPageBreak/>
        <w:t>Support and training for practices</w:t>
      </w:r>
      <w:bookmarkEnd w:id="203"/>
      <w:bookmarkEnd w:id="204"/>
    </w:p>
    <w:p w14:paraId="2A3F3B8A" w14:textId="77777777" w:rsidR="001C19F3" w:rsidRDefault="001C19F3" w:rsidP="001C19F3">
      <w:pPr>
        <w:pStyle w:val="Heading2"/>
      </w:pPr>
      <w:bookmarkStart w:id="205" w:name="_Toc27056564"/>
      <w:r>
        <w:t>PHN practice facilitation and support</w:t>
      </w:r>
      <w:bookmarkEnd w:id="205"/>
    </w:p>
    <w:p w14:paraId="56DBEE47" w14:textId="77777777" w:rsidR="001C19F3" w:rsidRPr="00BF5131" w:rsidRDefault="001C19F3" w:rsidP="001C19F3">
      <w:pPr>
        <w:pStyle w:val="Heading3"/>
      </w:pPr>
      <w:r>
        <w:t xml:space="preserve">Initial response from PHNs </w:t>
      </w:r>
    </w:p>
    <w:p w14:paraId="4E510F21" w14:textId="77777777" w:rsidR="001C19F3" w:rsidRPr="00BF5131" w:rsidRDefault="001C19F3" w:rsidP="001C19F3">
      <w:pPr>
        <w:rPr>
          <w:rFonts w:eastAsia="Times New Roman"/>
        </w:rPr>
      </w:pPr>
      <w:bookmarkStart w:id="206" w:name="_Hlk20932841"/>
      <w:r w:rsidRPr="00BF5131">
        <w:rPr>
          <w:rFonts w:eastAsia="Times New Roman"/>
        </w:rPr>
        <w:t>Following the initial announcement of practices</w:t>
      </w:r>
      <w:r>
        <w:rPr>
          <w:rFonts w:eastAsia="Times New Roman"/>
        </w:rPr>
        <w:t xml:space="preserve"> recruited to the HCH program</w:t>
      </w:r>
      <w:r w:rsidRPr="00BF5131">
        <w:rPr>
          <w:rFonts w:eastAsia="Times New Roman"/>
        </w:rPr>
        <w:t xml:space="preserve">, PHNs proceeded to meet with the selected practices either individually or as a group. </w:t>
      </w:r>
      <w:bookmarkEnd w:id="206"/>
      <w:r w:rsidRPr="00BF5131">
        <w:rPr>
          <w:rFonts w:eastAsia="Times New Roman"/>
        </w:rPr>
        <w:t>A few PHNs held workshops for the selected practices to provide them with more information about the program. Some practices were still deciding whether to participate at that stage and some PHNs saw their role as advocating for the program. Others preferred to remain neutral, and instead focussed on providing information.</w:t>
      </w:r>
    </w:p>
    <w:p w14:paraId="16BE5010" w14:textId="77777777" w:rsidR="001C19F3" w:rsidRPr="00BF5131" w:rsidRDefault="001C19F3" w:rsidP="001C19F3">
      <w:pPr>
        <w:rPr>
          <w:rFonts w:eastAsia="Times New Roman"/>
        </w:rPr>
      </w:pPr>
      <w:r w:rsidRPr="00BF5131">
        <w:rPr>
          <w:rFonts w:eastAsia="Times New Roman"/>
        </w:rPr>
        <w:t xml:space="preserve">Some PHNs developed their own resources to help communicate with practices during the initial recruitment phase. </w:t>
      </w:r>
      <w:r>
        <w:rPr>
          <w:rFonts w:eastAsia="Times New Roman"/>
        </w:rPr>
        <w:t>O</w:t>
      </w:r>
      <w:r w:rsidRPr="00BF5131">
        <w:rPr>
          <w:rFonts w:eastAsia="Times New Roman"/>
        </w:rPr>
        <w:t xml:space="preserve">ne PHN developed an abridged (10-page) version of the practice handbook as it felt that 30 plus pages were too much for practices to digest at that point in time. Another outlined the roles of the practice facilitators and their skill sets so that practices could know who could help and how. The PHNs used the resources they developed in the workshops with practices or took them along to </w:t>
      </w:r>
      <w:r>
        <w:rPr>
          <w:rFonts w:eastAsia="Times New Roman"/>
        </w:rPr>
        <w:t xml:space="preserve">practice </w:t>
      </w:r>
      <w:r w:rsidRPr="00BF5131">
        <w:rPr>
          <w:rFonts w:eastAsia="Times New Roman"/>
        </w:rPr>
        <w:t>visits, leaving them behind for staff to have a closer look at following the meeting.</w:t>
      </w:r>
    </w:p>
    <w:p w14:paraId="1E123EF2" w14:textId="77777777" w:rsidR="001C19F3" w:rsidRPr="00BF5131" w:rsidRDefault="001C19F3" w:rsidP="001C19F3">
      <w:pPr>
        <w:rPr>
          <w:rFonts w:eastAsia="Times New Roman"/>
        </w:rPr>
      </w:pPr>
      <w:r w:rsidRPr="00BF5131">
        <w:rPr>
          <w:rFonts w:eastAsia="Times New Roman"/>
        </w:rPr>
        <w:t xml:space="preserve">One corporate practice group initiated a roadshow for its practices, and </w:t>
      </w:r>
      <w:r>
        <w:rPr>
          <w:rFonts w:eastAsia="Times New Roman"/>
        </w:rPr>
        <w:t xml:space="preserve">PHN </w:t>
      </w:r>
      <w:r w:rsidRPr="00BF5131">
        <w:rPr>
          <w:rFonts w:eastAsia="Times New Roman"/>
        </w:rPr>
        <w:t>practice facilitators accompanied the corporate representatives for practices within the</w:t>
      </w:r>
      <w:r>
        <w:rPr>
          <w:rFonts w:eastAsia="Times New Roman"/>
        </w:rPr>
        <w:t xml:space="preserve"> PHN </w:t>
      </w:r>
      <w:r w:rsidRPr="00BF5131">
        <w:rPr>
          <w:rFonts w:eastAsia="Times New Roman"/>
        </w:rPr>
        <w:t>region.</w:t>
      </w:r>
    </w:p>
    <w:p w14:paraId="3D05882E" w14:textId="77777777" w:rsidR="001C19F3" w:rsidRPr="00BF5131" w:rsidRDefault="001C19F3" w:rsidP="001C19F3">
      <w:pPr>
        <w:rPr>
          <w:rFonts w:eastAsia="Times New Roman"/>
        </w:rPr>
      </w:pPr>
      <w:r w:rsidRPr="00BF5131">
        <w:rPr>
          <w:rFonts w:eastAsia="Times New Roman"/>
        </w:rPr>
        <w:t xml:space="preserve">Practice facilitators felt that </w:t>
      </w:r>
      <w:bookmarkStart w:id="207" w:name="_Hlk20932852"/>
      <w:r w:rsidRPr="00BF5131">
        <w:rPr>
          <w:rFonts w:eastAsia="Times New Roman"/>
        </w:rPr>
        <w:t xml:space="preserve">there was </w:t>
      </w:r>
      <w:r>
        <w:rPr>
          <w:rFonts w:eastAsia="Times New Roman"/>
        </w:rPr>
        <w:t>in</w:t>
      </w:r>
      <w:r w:rsidRPr="00BF5131">
        <w:rPr>
          <w:rFonts w:eastAsia="Times New Roman"/>
        </w:rPr>
        <w:t xml:space="preserve">sufficient time to engage effectively with practices from when they signed the agreement to participate in the program (starting from about July 2017) to when HCH was launched (October or December 2017). </w:t>
      </w:r>
      <w:bookmarkEnd w:id="207"/>
      <w:r w:rsidRPr="00BF5131">
        <w:rPr>
          <w:rFonts w:eastAsia="Times New Roman"/>
        </w:rPr>
        <w:t xml:space="preserve">Also, PHNs </w:t>
      </w:r>
      <w:bookmarkStart w:id="208" w:name="_Hlk20933012"/>
      <w:r w:rsidRPr="00BF5131">
        <w:rPr>
          <w:rFonts w:eastAsia="Times New Roman"/>
        </w:rPr>
        <w:t>were</w:t>
      </w:r>
      <w:r>
        <w:rPr>
          <w:rFonts w:eastAsia="Times New Roman"/>
        </w:rPr>
        <w:t xml:space="preserve"> often</w:t>
      </w:r>
      <w:r w:rsidRPr="00BF5131">
        <w:rPr>
          <w:rFonts w:eastAsia="Times New Roman"/>
        </w:rPr>
        <w:t xml:space="preserve"> receiving information only a few weeks ahead of practices</w:t>
      </w:r>
      <w:r>
        <w:rPr>
          <w:rFonts w:eastAsia="Times New Roman"/>
        </w:rPr>
        <w:t>. T</w:t>
      </w:r>
      <w:r w:rsidRPr="00BF5131">
        <w:rPr>
          <w:rFonts w:eastAsia="Times New Roman"/>
        </w:rPr>
        <w:t xml:space="preserve">he initial train-the-trainer workshop </w:t>
      </w:r>
      <w:r>
        <w:rPr>
          <w:rFonts w:eastAsia="Times New Roman"/>
        </w:rPr>
        <w:t xml:space="preserve">– intended to </w:t>
      </w:r>
      <w:r w:rsidRPr="00BF5131">
        <w:rPr>
          <w:rFonts w:eastAsia="Times New Roman"/>
        </w:rPr>
        <w:t xml:space="preserve">prepare them for their role </w:t>
      </w:r>
      <w:r>
        <w:rPr>
          <w:rFonts w:eastAsia="Times New Roman"/>
        </w:rPr>
        <w:t xml:space="preserve">– were held in </w:t>
      </w:r>
      <w:r w:rsidRPr="00BF5131">
        <w:rPr>
          <w:rFonts w:eastAsia="Times New Roman"/>
        </w:rPr>
        <w:t xml:space="preserve">August 2017. Therefore, </w:t>
      </w:r>
      <w:r>
        <w:rPr>
          <w:rFonts w:eastAsia="Times New Roman"/>
        </w:rPr>
        <w:t xml:space="preserve">many practice facilitators </w:t>
      </w:r>
      <w:r w:rsidRPr="00BF5131">
        <w:rPr>
          <w:rFonts w:eastAsia="Times New Roman"/>
        </w:rPr>
        <w:t xml:space="preserve">felt that they weren’t adequately equipped to answer practices’ questions in the early months of the program. </w:t>
      </w:r>
      <w:bookmarkEnd w:id="208"/>
      <w:r w:rsidRPr="00BF5131">
        <w:rPr>
          <w:rFonts w:eastAsia="Times New Roman"/>
        </w:rPr>
        <w:t>To overcome this issue, some PHNs dialled in Department of Health per</w:t>
      </w:r>
      <w:r>
        <w:rPr>
          <w:rFonts w:eastAsia="Times New Roman"/>
        </w:rPr>
        <w:t>s</w:t>
      </w:r>
      <w:r w:rsidRPr="00BF5131">
        <w:rPr>
          <w:rFonts w:eastAsia="Times New Roman"/>
        </w:rPr>
        <w:t>onnel to answer practices’ questions during site visits.</w:t>
      </w:r>
    </w:p>
    <w:p w14:paraId="18462461" w14:textId="77777777" w:rsidR="001C19F3" w:rsidRPr="00BF5131" w:rsidRDefault="001C19F3" w:rsidP="001C19F3">
      <w:pPr>
        <w:rPr>
          <w:rFonts w:eastAsia="Times New Roman"/>
        </w:rPr>
      </w:pPr>
      <w:r w:rsidRPr="00BF5131">
        <w:rPr>
          <w:rFonts w:eastAsia="Times New Roman"/>
        </w:rPr>
        <w:t xml:space="preserve">Practice facilitators suggested that the Department might have arranged information sessions for practices before applications were due. The sessions could have articulated what </w:t>
      </w:r>
      <w:r>
        <w:rPr>
          <w:rFonts w:eastAsia="Times New Roman"/>
        </w:rPr>
        <w:t>an HCH</w:t>
      </w:r>
      <w:r w:rsidRPr="00BF5131">
        <w:rPr>
          <w:rFonts w:eastAsia="Times New Roman"/>
        </w:rPr>
        <w:t xml:space="preserve"> is and the transformation journey expected from practices, and could have been used to promote the program:</w:t>
      </w:r>
    </w:p>
    <w:p w14:paraId="55EE64A5" w14:textId="77777777" w:rsidR="001C19F3" w:rsidRPr="001D564A" w:rsidRDefault="001C19F3" w:rsidP="001C19F3">
      <w:pPr>
        <w:ind w:left="284" w:right="238"/>
        <w:rPr>
          <w:rFonts w:eastAsia="Times New Roman"/>
        </w:rPr>
      </w:pPr>
      <w:r w:rsidRPr="00BF5131">
        <w:rPr>
          <w:rFonts w:eastAsia="Times New Roman"/>
        </w:rPr>
        <w:t>“</w:t>
      </w:r>
      <w:r w:rsidRPr="00BF5131">
        <w:rPr>
          <w:rFonts w:eastAsia="Times New Roman"/>
          <w:i/>
        </w:rPr>
        <w:t>I think there’s a piece around that from the Department supported by some of the Health Care Homes, supported by the PHN, that could really make that much more meaningful, get that excitement happening and, you know, the opportunities that are available to practices that take part, to be able to sell that, but also to allow the practices to understand what they were getting into</w:t>
      </w:r>
      <w:r>
        <w:rPr>
          <w:rFonts w:eastAsia="Times New Roman"/>
          <w:i/>
        </w:rPr>
        <w:t>.</w:t>
      </w:r>
      <w:r w:rsidRPr="00BF5131">
        <w:rPr>
          <w:rFonts w:eastAsia="Times New Roman"/>
        </w:rPr>
        <w:t>” [PHN 2, interview</w:t>
      </w:r>
      <w:r>
        <w:rPr>
          <w:rFonts w:eastAsia="Times New Roman"/>
        </w:rPr>
        <w:t>, R1]</w:t>
      </w:r>
    </w:p>
    <w:p w14:paraId="3597EBC1" w14:textId="77777777" w:rsidR="001C19F3" w:rsidRPr="00D96861" w:rsidRDefault="001C19F3" w:rsidP="001C19F3">
      <w:pPr>
        <w:pStyle w:val="Heading3"/>
      </w:pPr>
      <w:r w:rsidRPr="009762B3">
        <w:lastRenderedPageBreak/>
        <w:t>How PHNs organised the facilitator role</w:t>
      </w:r>
      <w:r>
        <w:t xml:space="preserve"> </w:t>
      </w:r>
    </w:p>
    <w:p w14:paraId="203C0E7A" w14:textId="77777777" w:rsidR="001C19F3" w:rsidRPr="001D564A" w:rsidRDefault="001C19F3" w:rsidP="001C19F3">
      <w:pPr>
        <w:rPr>
          <w:rFonts w:eastAsia="Times New Roman"/>
        </w:rPr>
      </w:pPr>
      <w:r w:rsidRPr="001D564A">
        <w:rPr>
          <w:rFonts w:eastAsia="Times New Roman"/>
        </w:rPr>
        <w:t>Some practice facilitators work</w:t>
      </w:r>
      <w:r>
        <w:rPr>
          <w:rFonts w:eastAsia="Times New Roman"/>
        </w:rPr>
        <w:t>ed</w:t>
      </w:r>
      <w:r w:rsidRPr="001D564A">
        <w:rPr>
          <w:rFonts w:eastAsia="Times New Roman"/>
        </w:rPr>
        <w:t xml:space="preserve"> as team with practices, so that different facilitators help practices with different aspects of implementation, such as IT issues, patient enrolment, and workflow mapping. Others assigned </w:t>
      </w:r>
      <w:r>
        <w:rPr>
          <w:rFonts w:eastAsia="Times New Roman"/>
        </w:rPr>
        <w:t xml:space="preserve">individual </w:t>
      </w:r>
      <w:r w:rsidRPr="001D564A">
        <w:rPr>
          <w:rFonts w:eastAsia="Times New Roman"/>
        </w:rPr>
        <w:t>facilitators to practices, so that each practice ha</w:t>
      </w:r>
      <w:r>
        <w:rPr>
          <w:rFonts w:eastAsia="Times New Roman"/>
        </w:rPr>
        <w:t>d</w:t>
      </w:r>
      <w:r w:rsidRPr="001D564A">
        <w:rPr>
          <w:rFonts w:eastAsia="Times New Roman"/>
        </w:rPr>
        <w:t xml:space="preserve"> a </w:t>
      </w:r>
      <w:bookmarkStart w:id="209" w:name="_Hlk20933518"/>
      <w:r w:rsidRPr="001D564A">
        <w:rPr>
          <w:rFonts w:eastAsia="Times New Roman"/>
        </w:rPr>
        <w:t>single point of contact</w:t>
      </w:r>
      <w:bookmarkEnd w:id="209"/>
      <w:r w:rsidRPr="001D564A">
        <w:rPr>
          <w:rFonts w:eastAsia="Times New Roman"/>
        </w:rPr>
        <w:t>. However, both models involve</w:t>
      </w:r>
      <w:r>
        <w:rPr>
          <w:rFonts w:eastAsia="Times New Roman"/>
        </w:rPr>
        <w:t>d</w:t>
      </w:r>
      <w:r w:rsidRPr="001D564A">
        <w:rPr>
          <w:rFonts w:eastAsia="Times New Roman"/>
        </w:rPr>
        <w:t xml:space="preserve"> facilitators working as a team behind the scenes. One PHN reflected that the challenges the facilitators face</w:t>
      </w:r>
      <w:r>
        <w:rPr>
          <w:rFonts w:eastAsia="Times New Roman"/>
        </w:rPr>
        <w:t>d</w:t>
      </w:r>
      <w:r w:rsidRPr="001D564A">
        <w:rPr>
          <w:rFonts w:eastAsia="Times New Roman"/>
        </w:rPr>
        <w:t xml:space="preserve"> working as a team help</w:t>
      </w:r>
      <w:r>
        <w:rPr>
          <w:rFonts w:eastAsia="Times New Roman"/>
        </w:rPr>
        <w:t>ed</w:t>
      </w:r>
      <w:r w:rsidRPr="001D564A">
        <w:rPr>
          <w:rFonts w:eastAsia="Times New Roman"/>
        </w:rPr>
        <w:t xml:space="preserve"> them understand the challenges that practices face</w:t>
      </w:r>
      <w:r>
        <w:rPr>
          <w:rFonts w:eastAsia="Times New Roman"/>
        </w:rPr>
        <w:t>d</w:t>
      </w:r>
      <w:r w:rsidRPr="001D564A">
        <w:rPr>
          <w:rFonts w:eastAsia="Times New Roman"/>
        </w:rPr>
        <w:t xml:space="preserve"> within their teams.</w:t>
      </w:r>
    </w:p>
    <w:p w14:paraId="3B041D1C" w14:textId="77777777" w:rsidR="001C19F3" w:rsidRPr="001D564A" w:rsidRDefault="001C19F3" w:rsidP="001C19F3">
      <w:pPr>
        <w:rPr>
          <w:rFonts w:eastAsia="Times New Roman"/>
        </w:rPr>
      </w:pPr>
      <w:r>
        <w:rPr>
          <w:rFonts w:eastAsia="Times New Roman"/>
        </w:rPr>
        <w:t>In</w:t>
      </w:r>
      <w:r w:rsidRPr="001D564A">
        <w:rPr>
          <w:rFonts w:eastAsia="Times New Roman"/>
        </w:rPr>
        <w:t xml:space="preserve"> most PHNs the practice facilitator role was differentiated from the PHN’s usual primary health liaison</w:t>
      </w:r>
      <w:r>
        <w:rPr>
          <w:rFonts w:eastAsia="Times New Roman"/>
        </w:rPr>
        <w:t>. O</w:t>
      </w:r>
      <w:r w:rsidRPr="001D564A">
        <w:rPr>
          <w:rFonts w:eastAsia="Times New Roman"/>
        </w:rPr>
        <w:t>ne PHN create</w:t>
      </w:r>
      <w:r>
        <w:rPr>
          <w:rFonts w:eastAsia="Times New Roman"/>
        </w:rPr>
        <w:t>d</w:t>
      </w:r>
      <w:r w:rsidRPr="001D564A">
        <w:rPr>
          <w:rFonts w:eastAsia="Times New Roman"/>
        </w:rPr>
        <w:t xml:space="preserve"> one point of contact for each practice for HCH and other initiatives, organised geographically. The rationale was that HCH would be impacted by other initiatives that practices are involved with, and it made sense to look at these initiatives from the perspective of the practice. </w:t>
      </w:r>
    </w:p>
    <w:p w14:paraId="27DD9D41" w14:textId="77777777" w:rsidR="001C19F3" w:rsidRDefault="001C19F3" w:rsidP="001C19F3">
      <w:pPr>
        <w:rPr>
          <w:rFonts w:eastAsia="Times New Roman"/>
        </w:rPr>
      </w:pPr>
      <w:r w:rsidRPr="001D564A">
        <w:rPr>
          <w:rFonts w:eastAsia="Times New Roman"/>
        </w:rPr>
        <w:t>Practice facilitators reported that a mix of skills within the facilitation team is important. Facilitators came from a variety of backgrounds</w:t>
      </w:r>
      <w:r>
        <w:rPr>
          <w:rFonts w:eastAsia="Times New Roman"/>
        </w:rPr>
        <w:t xml:space="preserve"> – </w:t>
      </w:r>
      <w:bookmarkStart w:id="210" w:name="_Hlk20933356"/>
      <w:r w:rsidRPr="001D564A">
        <w:rPr>
          <w:rFonts w:eastAsia="Times New Roman"/>
        </w:rPr>
        <w:t>nursing, allied health, practice management, practice development, community development, event management, marketing, IT, government</w:t>
      </w:r>
      <w:bookmarkEnd w:id="210"/>
      <w:r>
        <w:rPr>
          <w:rFonts w:eastAsia="Times New Roman"/>
        </w:rPr>
        <w:t xml:space="preserve"> – </w:t>
      </w:r>
      <w:r w:rsidRPr="001D564A">
        <w:rPr>
          <w:rFonts w:eastAsia="Times New Roman"/>
        </w:rPr>
        <w:t>and the skills they brought were considered valuable for the role.</w:t>
      </w:r>
      <w:r>
        <w:rPr>
          <w:rFonts w:eastAsia="Times New Roman"/>
        </w:rPr>
        <w:t xml:space="preserve"> </w:t>
      </w:r>
    </w:p>
    <w:p w14:paraId="7BE69788" w14:textId="77777777" w:rsidR="001C19F3" w:rsidRDefault="001C19F3" w:rsidP="001C19F3">
      <w:pPr>
        <w:rPr>
          <w:rFonts w:eastAsia="Times New Roman"/>
        </w:rPr>
      </w:pPr>
      <w:r>
        <w:rPr>
          <w:rFonts w:eastAsia="Times New Roman"/>
        </w:rPr>
        <w:t>T</w:t>
      </w:r>
      <w:r w:rsidRPr="00A1633F">
        <w:rPr>
          <w:rFonts w:eastAsia="Times New Roman"/>
        </w:rPr>
        <w:t xml:space="preserve">wo PHNs </w:t>
      </w:r>
      <w:r>
        <w:rPr>
          <w:rFonts w:eastAsia="Times New Roman"/>
        </w:rPr>
        <w:t>used</w:t>
      </w:r>
      <w:r w:rsidRPr="00A1633F">
        <w:rPr>
          <w:rFonts w:eastAsia="Times New Roman"/>
        </w:rPr>
        <w:t xml:space="preserve"> clinical support staff</w:t>
      </w:r>
      <w:r>
        <w:rPr>
          <w:rFonts w:eastAsia="Times New Roman"/>
        </w:rPr>
        <w:t xml:space="preserve"> to supplement the support provided to practices by the facilitators in tasks such as shared care planning and using the HARP</w:t>
      </w:r>
      <w:r w:rsidRPr="00A1633F">
        <w:rPr>
          <w:rFonts w:eastAsia="Times New Roman"/>
        </w:rPr>
        <w:t xml:space="preserve">. </w:t>
      </w:r>
      <w:r>
        <w:rPr>
          <w:rFonts w:eastAsia="Times New Roman"/>
        </w:rPr>
        <w:t>The staff</w:t>
      </w:r>
      <w:r w:rsidRPr="00A1633F">
        <w:rPr>
          <w:rFonts w:eastAsia="Times New Roman"/>
        </w:rPr>
        <w:t xml:space="preserve"> included a GP clinical advisor and a chronic disease support nurse.</w:t>
      </w:r>
    </w:p>
    <w:p w14:paraId="58504333" w14:textId="77777777" w:rsidR="001C19F3" w:rsidRDefault="001C19F3" w:rsidP="001C19F3">
      <w:pPr>
        <w:rPr>
          <w:rFonts w:eastAsia="Times New Roman"/>
        </w:rPr>
      </w:pPr>
      <w:r w:rsidRPr="001D564A">
        <w:rPr>
          <w:rFonts w:eastAsia="Times New Roman"/>
        </w:rPr>
        <w:t xml:space="preserve">South East Melbourne PHN developed ‘Basecamp’, an online platform for practice facilitators to share information and strategies. Practice facilitators were very positive about the platform. </w:t>
      </w:r>
    </w:p>
    <w:p w14:paraId="1A2EF30A" w14:textId="77777777" w:rsidR="001C19F3" w:rsidRPr="008A6BB6" w:rsidRDefault="001C19F3" w:rsidP="001C19F3">
      <w:pPr>
        <w:pStyle w:val="Heading3"/>
      </w:pPr>
      <w:r w:rsidRPr="008A6BB6">
        <w:t>Preparation and training for the practice facilitator role</w:t>
      </w:r>
    </w:p>
    <w:p w14:paraId="162E959C" w14:textId="77777777" w:rsidR="001C19F3" w:rsidRDefault="001C19F3" w:rsidP="001C19F3">
      <w:pPr>
        <w:rPr>
          <w:rFonts w:eastAsia="Times New Roman"/>
        </w:rPr>
      </w:pPr>
      <w:r>
        <w:rPr>
          <w:rFonts w:eastAsia="Times New Roman"/>
        </w:rPr>
        <w:t>Appendix 1 outlines the training that was available to the PHN practice facilitators. The evaluation of the training for the practice facilitators is also detailed in this Appendix.</w:t>
      </w:r>
    </w:p>
    <w:p w14:paraId="142E4662" w14:textId="77777777" w:rsidR="001C19F3" w:rsidRPr="00BF5131" w:rsidRDefault="001C19F3" w:rsidP="001C19F3">
      <w:pPr>
        <w:pStyle w:val="Heading3"/>
        <w:rPr>
          <w:rFonts w:eastAsia="Times New Roman"/>
          <w:sz w:val="20"/>
        </w:rPr>
      </w:pPr>
      <w:r>
        <w:t>Practice facilitator role</w:t>
      </w:r>
      <w:r w:rsidRPr="001D564A">
        <w:rPr>
          <w:rFonts w:eastAsia="Times New Roman"/>
          <w:noProof/>
          <w:sz w:val="20"/>
          <w:lang w:eastAsia="en-AU"/>
        </w:rPr>
        <mc:AlternateContent>
          <mc:Choice Requires="wps">
            <w:drawing>
              <wp:anchor distT="91440" distB="91440" distL="114300" distR="114300" simplePos="0" relativeHeight="251661312" behindDoc="0" locked="0" layoutInCell="1" allowOverlap="1" wp14:anchorId="3528B308" wp14:editId="756919E3">
                <wp:simplePos x="0" y="0"/>
                <wp:positionH relativeFrom="page">
                  <wp:posOffset>800100</wp:posOffset>
                </wp:positionH>
                <wp:positionV relativeFrom="paragraph">
                  <wp:posOffset>372110</wp:posOffset>
                </wp:positionV>
                <wp:extent cx="2520000" cy="1403985"/>
                <wp:effectExtent l="0" t="0" r="0" b="254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403985"/>
                        </a:xfrm>
                        <a:prstGeom prst="rect">
                          <a:avLst/>
                        </a:prstGeom>
                        <a:noFill/>
                        <a:ln w="9525">
                          <a:noFill/>
                          <a:miter lim="800000"/>
                          <a:headEnd/>
                          <a:tailEnd/>
                        </a:ln>
                      </wps:spPr>
                      <wps:txbx>
                        <w:txbxContent>
                          <w:p w14:paraId="389EF32B" w14:textId="77777777" w:rsidR="00521305" w:rsidRPr="00427E70" w:rsidRDefault="00521305" w:rsidP="001C19F3">
                            <w:pPr>
                              <w:rPr>
                                <w:i/>
                                <w:iCs/>
                                <w:color w:val="003D79"/>
                                <w:sz w:val="18"/>
                                <w:szCs w:val="18"/>
                              </w:rPr>
                            </w:pPr>
                            <w:r w:rsidRPr="00427E70">
                              <w:rPr>
                                <w:i/>
                                <w:iCs/>
                                <w:color w:val="003D79"/>
                                <w:sz w:val="18"/>
                                <w:szCs w:val="18"/>
                              </w:rPr>
                              <w:t>“</w:t>
                            </w:r>
                            <w:r>
                              <w:rPr>
                                <w:i/>
                                <w:iCs/>
                                <w:color w:val="003D79"/>
                                <w:sz w:val="18"/>
                                <w:szCs w:val="18"/>
                              </w:rPr>
                              <w:t>I</w:t>
                            </w:r>
                            <w:r w:rsidRPr="0039324C">
                              <w:rPr>
                                <w:i/>
                                <w:iCs/>
                                <w:color w:val="003D79"/>
                                <w:sz w:val="18"/>
                                <w:szCs w:val="18"/>
                              </w:rPr>
                              <w:t>t’s troubleshooting before trouble actually happens</w:t>
                            </w:r>
                            <w:r w:rsidRPr="001C1E44">
                              <w:rPr>
                                <w:i/>
                                <w:iCs/>
                                <w:color w:val="003D79"/>
                                <w:sz w:val="18"/>
                                <w:szCs w:val="18"/>
                              </w:rPr>
                              <w:t xml:space="preserve">” </w:t>
                            </w:r>
                            <w:r w:rsidRPr="009B75E1">
                              <w:rPr>
                                <w:iCs/>
                                <w:color w:val="003D79"/>
                                <w:sz w:val="18"/>
                                <w:szCs w:val="18"/>
                              </w:rPr>
                              <w:t>[PHN 5, interview, 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8B308" id="Text Box 46" o:spid="_x0000_s1029" type="#_x0000_t202" style="position:absolute;margin-left:63pt;margin-top:29.3pt;width:198.45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" filled="f" stroked="f">
                <v:textbox style="mso-fit-shape-to-text:t">
                  <w:txbxContent>
                    <w:p w14:paraId="389EF32B" w14:textId="77777777" w:rsidR="00521305" w:rsidRPr="00427E70" w:rsidRDefault="00521305" w:rsidP="001C19F3">
                      <w:pPr>
                        <w:rPr>
                          <w:i/>
                          <w:iCs/>
                          <w:color w:val="003D79"/>
                          <w:sz w:val="18"/>
                          <w:szCs w:val="18"/>
                        </w:rPr>
                      </w:pPr>
                      <w:r w:rsidRPr="00427E70">
                        <w:rPr>
                          <w:i/>
                          <w:iCs/>
                          <w:color w:val="003D79"/>
                          <w:sz w:val="18"/>
                          <w:szCs w:val="18"/>
                        </w:rPr>
                        <w:t>“</w:t>
                      </w:r>
                      <w:r>
                        <w:rPr>
                          <w:i/>
                          <w:iCs/>
                          <w:color w:val="003D79"/>
                          <w:sz w:val="18"/>
                          <w:szCs w:val="18"/>
                        </w:rPr>
                        <w:t>I</w:t>
                      </w:r>
                      <w:r w:rsidRPr="0039324C">
                        <w:rPr>
                          <w:i/>
                          <w:iCs/>
                          <w:color w:val="003D79"/>
                          <w:sz w:val="18"/>
                          <w:szCs w:val="18"/>
                        </w:rPr>
                        <w:t>t’s troubleshooting before trouble actually happens</w:t>
                      </w:r>
                      <w:r w:rsidRPr="001C1E44">
                        <w:rPr>
                          <w:i/>
                          <w:iCs/>
                          <w:color w:val="003D79"/>
                          <w:sz w:val="18"/>
                          <w:szCs w:val="18"/>
                        </w:rPr>
                        <w:t xml:space="preserve">” </w:t>
                      </w:r>
                      <w:r w:rsidRPr="009B75E1">
                        <w:rPr>
                          <w:iCs/>
                          <w:color w:val="003D79"/>
                          <w:sz w:val="18"/>
                          <w:szCs w:val="18"/>
                        </w:rPr>
                        <w:t>[PHN 5, interview, R1]</w:t>
                      </w:r>
                    </w:p>
                  </w:txbxContent>
                </v:textbox>
                <w10:wrap type="square" anchorx="page"/>
              </v:shape>
            </w:pict>
          </mc:Fallback>
        </mc:AlternateContent>
      </w:r>
    </w:p>
    <w:p w14:paraId="4E4EE6BB" w14:textId="77777777" w:rsidR="001C19F3" w:rsidRDefault="001C19F3" w:rsidP="001C19F3">
      <w:pPr>
        <w:rPr>
          <w:rFonts w:eastAsia="Times New Roman"/>
        </w:rPr>
      </w:pPr>
      <w:r w:rsidRPr="001D564A">
        <w:rPr>
          <w:rFonts w:eastAsia="Times New Roman"/>
        </w:rPr>
        <w:t>Practice facilitators used the phrases “</w:t>
      </w:r>
      <w:r w:rsidRPr="001D564A">
        <w:rPr>
          <w:rFonts w:eastAsia="Times New Roman"/>
          <w:i/>
        </w:rPr>
        <w:t>assisted resource</w:t>
      </w:r>
      <w:r w:rsidRPr="001D564A">
        <w:rPr>
          <w:rFonts w:eastAsia="Times New Roman"/>
        </w:rPr>
        <w:t>” [PHN 10, interview</w:t>
      </w:r>
      <w:r>
        <w:rPr>
          <w:rFonts w:eastAsia="Times New Roman"/>
        </w:rPr>
        <w:t>, R1]</w:t>
      </w:r>
      <w:r w:rsidRPr="001D564A">
        <w:rPr>
          <w:rFonts w:eastAsia="Times New Roman"/>
        </w:rPr>
        <w:t xml:space="preserve"> and “</w:t>
      </w:r>
      <w:r w:rsidRPr="001D564A">
        <w:rPr>
          <w:rFonts w:eastAsia="Times New Roman"/>
          <w:i/>
        </w:rPr>
        <w:t>facilitative resource</w:t>
      </w:r>
      <w:r w:rsidRPr="001D564A">
        <w:rPr>
          <w:rFonts w:eastAsia="Times New Roman"/>
        </w:rPr>
        <w:t>” [PHN 3, survey</w:t>
      </w:r>
      <w:r>
        <w:rPr>
          <w:rFonts w:eastAsia="Times New Roman"/>
        </w:rPr>
        <w:t>, R1]</w:t>
      </w:r>
      <w:r w:rsidRPr="001D564A">
        <w:rPr>
          <w:rFonts w:eastAsia="Times New Roman"/>
        </w:rPr>
        <w:t xml:space="preserve"> to describe the role. </w:t>
      </w:r>
      <w:r>
        <w:rPr>
          <w:rFonts w:eastAsia="Times New Roman"/>
        </w:rPr>
        <w:t xml:space="preserve">They saw the role as a practical one: </w:t>
      </w:r>
      <w:r w:rsidRPr="001D564A">
        <w:rPr>
          <w:rFonts w:eastAsia="Times New Roman"/>
        </w:rPr>
        <w:t>“</w:t>
      </w:r>
      <w:r w:rsidRPr="001D564A">
        <w:rPr>
          <w:rFonts w:eastAsia="Times New Roman"/>
          <w:i/>
        </w:rPr>
        <w:t>We are at the coalface</w:t>
      </w:r>
      <w:r w:rsidRPr="001D564A">
        <w:rPr>
          <w:rFonts w:eastAsia="Times New Roman"/>
        </w:rPr>
        <w:t>” [PHN 9, interview</w:t>
      </w:r>
      <w:r>
        <w:rPr>
          <w:rFonts w:eastAsia="Times New Roman"/>
        </w:rPr>
        <w:t>, R1].</w:t>
      </w:r>
    </w:p>
    <w:p w14:paraId="43F67890" w14:textId="77777777" w:rsidR="001C19F3" w:rsidRDefault="001C19F3" w:rsidP="001C19F3">
      <w:pPr>
        <w:rPr>
          <w:rFonts w:eastAsia="Times New Roman"/>
        </w:rPr>
      </w:pPr>
      <w:r w:rsidRPr="001D564A">
        <w:rPr>
          <w:rFonts w:eastAsia="Times New Roman"/>
        </w:rPr>
        <w:t>One facilitator jokingly referred to the role as “</w:t>
      </w:r>
      <w:r w:rsidRPr="001D564A">
        <w:rPr>
          <w:rFonts w:eastAsia="Times New Roman"/>
          <w:i/>
        </w:rPr>
        <w:t>practice manipulator</w:t>
      </w:r>
      <w:r w:rsidRPr="001D564A">
        <w:rPr>
          <w:rFonts w:eastAsia="Times New Roman"/>
        </w:rPr>
        <w:t>” [PHN 3, interview</w:t>
      </w:r>
      <w:r>
        <w:rPr>
          <w:rFonts w:eastAsia="Times New Roman"/>
        </w:rPr>
        <w:t>, R1]</w:t>
      </w:r>
      <w:r w:rsidRPr="001D564A">
        <w:rPr>
          <w:rFonts w:eastAsia="Times New Roman"/>
        </w:rPr>
        <w:t xml:space="preserve">, highlighting </w:t>
      </w:r>
      <w:r>
        <w:rPr>
          <w:rFonts w:eastAsia="Times New Roman"/>
        </w:rPr>
        <w:t xml:space="preserve">that the </w:t>
      </w:r>
      <w:r w:rsidRPr="001D564A">
        <w:rPr>
          <w:rFonts w:eastAsia="Times New Roman"/>
        </w:rPr>
        <w:t>role</w:t>
      </w:r>
      <w:r>
        <w:rPr>
          <w:rFonts w:eastAsia="Times New Roman"/>
        </w:rPr>
        <w:t xml:space="preserve"> involved </w:t>
      </w:r>
      <w:r w:rsidRPr="001D564A">
        <w:rPr>
          <w:rFonts w:eastAsia="Times New Roman"/>
        </w:rPr>
        <w:t xml:space="preserve">being tough on deadlines but </w:t>
      </w:r>
      <w:r>
        <w:rPr>
          <w:rFonts w:eastAsia="Times New Roman"/>
        </w:rPr>
        <w:t>“</w:t>
      </w:r>
      <w:r w:rsidRPr="00321DE3">
        <w:rPr>
          <w:rFonts w:eastAsia="Times New Roman"/>
          <w:i/>
        </w:rPr>
        <w:t>soft, cuddly</w:t>
      </w:r>
      <w:r>
        <w:rPr>
          <w:rFonts w:eastAsia="Times New Roman"/>
        </w:rPr>
        <w:t>”</w:t>
      </w:r>
      <w:r w:rsidRPr="001D564A">
        <w:rPr>
          <w:rFonts w:eastAsia="Times New Roman"/>
        </w:rPr>
        <w:t xml:space="preserve"> when needed, and only providing as much information to a practice as it’s ready t</w:t>
      </w:r>
      <w:r>
        <w:rPr>
          <w:rFonts w:eastAsia="Times New Roman"/>
        </w:rPr>
        <w:t>o absorb.</w:t>
      </w:r>
    </w:p>
    <w:p w14:paraId="617C03FA" w14:textId="77777777" w:rsidR="001C19F3" w:rsidRPr="008E40E1" w:rsidRDefault="001C19F3" w:rsidP="001C19F3">
      <w:pPr>
        <w:rPr>
          <w:szCs w:val="20"/>
        </w:rPr>
      </w:pPr>
      <w:r w:rsidRPr="008E40E1">
        <w:rPr>
          <w:szCs w:val="20"/>
        </w:rPr>
        <w:t xml:space="preserve">Facilitators reflected that the initial implementation phase of HCH was heavily focused on patient enrolment. </w:t>
      </w:r>
      <w:r>
        <w:rPr>
          <w:szCs w:val="20"/>
        </w:rPr>
        <w:t>S</w:t>
      </w:r>
      <w:r w:rsidRPr="008E40E1">
        <w:rPr>
          <w:szCs w:val="20"/>
        </w:rPr>
        <w:t>etting up general operational processes took longer than anticipated for many practices</w:t>
      </w:r>
      <w:r>
        <w:rPr>
          <w:szCs w:val="20"/>
        </w:rPr>
        <w:t>,</w:t>
      </w:r>
      <w:r w:rsidRPr="008E40E1">
        <w:rPr>
          <w:szCs w:val="20"/>
        </w:rPr>
        <w:t xml:space="preserve"> which left little time for the facilitators to support practices with increasing enrolments:</w:t>
      </w:r>
    </w:p>
    <w:p w14:paraId="6DB17B96" w14:textId="77777777" w:rsidR="001C19F3" w:rsidRPr="008E40E1" w:rsidRDefault="001C19F3" w:rsidP="001C19F3">
      <w:pPr>
        <w:ind w:left="567" w:right="1088"/>
        <w:rPr>
          <w:szCs w:val="20"/>
        </w:rPr>
      </w:pPr>
      <w:r w:rsidRPr="008E40E1">
        <w:rPr>
          <w:i/>
          <w:szCs w:val="20"/>
        </w:rPr>
        <w:t>“</w:t>
      </w:r>
      <w:r w:rsidRPr="008E40E1">
        <w:rPr>
          <w:rFonts w:cs="Arial"/>
          <w:i/>
          <w:szCs w:val="20"/>
          <w:lang w:val="en-GB"/>
        </w:rPr>
        <w:t>it has been a lengthy process of getting the systems in place and convincing the staff around these changes. ”</w:t>
      </w:r>
      <w:r w:rsidRPr="008E40E1">
        <w:rPr>
          <w:rFonts w:cs="Arial"/>
          <w:szCs w:val="20"/>
          <w:lang w:val="en-GB"/>
        </w:rPr>
        <w:t xml:space="preserve"> [PHN 2, </w:t>
      </w:r>
      <w:r>
        <w:rPr>
          <w:rFonts w:cs="Arial"/>
          <w:szCs w:val="20"/>
          <w:lang w:val="en-GB"/>
        </w:rPr>
        <w:t>interview, R1]</w:t>
      </w:r>
    </w:p>
    <w:p w14:paraId="4CDF2DAA" w14:textId="77777777" w:rsidR="001C19F3" w:rsidRPr="008E40E1" w:rsidRDefault="001C19F3" w:rsidP="001C19F3">
      <w:pPr>
        <w:rPr>
          <w:i/>
          <w:szCs w:val="20"/>
        </w:rPr>
      </w:pPr>
      <w:r w:rsidRPr="008E40E1">
        <w:rPr>
          <w:szCs w:val="20"/>
        </w:rPr>
        <w:lastRenderedPageBreak/>
        <w:t>Facilitators concentrate</w:t>
      </w:r>
      <w:r>
        <w:rPr>
          <w:szCs w:val="20"/>
        </w:rPr>
        <w:t>d</w:t>
      </w:r>
      <w:r w:rsidRPr="008E40E1">
        <w:rPr>
          <w:szCs w:val="20"/>
        </w:rPr>
        <w:t xml:space="preserve"> on forming relationships with practices and their team to ensure access and improve staff engagement, which took considerable time:</w:t>
      </w:r>
    </w:p>
    <w:p w14:paraId="28E7BC7C" w14:textId="77777777" w:rsidR="001C19F3" w:rsidRPr="008E40E1" w:rsidRDefault="001C19F3" w:rsidP="001C19F3">
      <w:pPr>
        <w:ind w:left="567" w:right="1088"/>
        <w:rPr>
          <w:szCs w:val="20"/>
        </w:rPr>
      </w:pPr>
      <w:r w:rsidRPr="008E40E1">
        <w:rPr>
          <w:i/>
          <w:szCs w:val="20"/>
        </w:rPr>
        <w:t>“we honestly spent the first six, seven months of the trial just developing relationships with the practices rather than pushing buttons.”</w:t>
      </w:r>
      <w:r w:rsidRPr="008E40E1">
        <w:rPr>
          <w:szCs w:val="20"/>
        </w:rPr>
        <w:t xml:space="preserve"> [PHN 3, </w:t>
      </w:r>
      <w:r>
        <w:rPr>
          <w:szCs w:val="20"/>
        </w:rPr>
        <w:t>interview, R2]</w:t>
      </w:r>
    </w:p>
    <w:p w14:paraId="5D369FD6" w14:textId="77777777" w:rsidR="001C19F3" w:rsidRDefault="001C19F3" w:rsidP="001C19F3">
      <w:pPr>
        <w:rPr>
          <w:rFonts w:eastAsia="Times New Roman"/>
        </w:rPr>
      </w:pPr>
      <w:r>
        <w:rPr>
          <w:rFonts w:eastAsia="Times New Roman"/>
        </w:rPr>
        <w:t>Another</w:t>
      </w:r>
      <w:r w:rsidRPr="001D564A">
        <w:rPr>
          <w:rFonts w:eastAsia="Times New Roman"/>
        </w:rPr>
        <w:t xml:space="preserve"> commented </w:t>
      </w:r>
      <w:r>
        <w:rPr>
          <w:rFonts w:eastAsia="Times New Roman"/>
        </w:rPr>
        <w:t xml:space="preserve">that during enrolment stage, </w:t>
      </w:r>
      <w:r w:rsidRPr="001D564A">
        <w:rPr>
          <w:rFonts w:eastAsia="Times New Roman"/>
        </w:rPr>
        <w:t xml:space="preserve">if there </w:t>
      </w:r>
      <w:r>
        <w:rPr>
          <w:rFonts w:eastAsia="Times New Roman"/>
        </w:rPr>
        <w:t>was a</w:t>
      </w:r>
      <w:r w:rsidRPr="001D564A">
        <w:rPr>
          <w:rFonts w:eastAsia="Times New Roman"/>
        </w:rPr>
        <w:t xml:space="preserve"> gap in contact between the practice and the facilitator even for two weeks, the practice’s rate of enrolment and the enthusiasm and motivation of staff drop</w:t>
      </w:r>
      <w:r>
        <w:rPr>
          <w:rFonts w:eastAsia="Times New Roman"/>
        </w:rPr>
        <w:t>ped</w:t>
      </w:r>
      <w:r w:rsidRPr="001D564A">
        <w:rPr>
          <w:rFonts w:eastAsia="Times New Roman"/>
        </w:rPr>
        <w:t xml:space="preserve"> off. </w:t>
      </w:r>
    </w:p>
    <w:p w14:paraId="139EB6D4" w14:textId="77777777" w:rsidR="001C19F3" w:rsidRPr="001D564A" w:rsidRDefault="001C19F3" w:rsidP="001C19F3">
      <w:pPr>
        <w:rPr>
          <w:rFonts w:eastAsia="Times New Roman"/>
        </w:rPr>
      </w:pPr>
      <w:r>
        <w:rPr>
          <w:rFonts w:eastAsia="Times New Roman"/>
        </w:rPr>
        <w:t>M</w:t>
      </w:r>
      <w:r w:rsidRPr="001D564A">
        <w:rPr>
          <w:rFonts w:eastAsia="Times New Roman"/>
        </w:rPr>
        <w:t>any facilitators also talked about ‘handholding’. One facilitator commented:</w:t>
      </w:r>
    </w:p>
    <w:p w14:paraId="4AD88D93" w14:textId="77777777" w:rsidR="001C19F3" w:rsidRPr="001D564A" w:rsidRDefault="001C19F3" w:rsidP="001C19F3">
      <w:pPr>
        <w:ind w:left="284" w:right="237"/>
        <w:rPr>
          <w:rFonts w:eastAsia="Times New Roman"/>
        </w:rPr>
      </w:pPr>
      <w:r w:rsidRPr="001D564A">
        <w:rPr>
          <w:rFonts w:eastAsia="Times New Roman"/>
        </w:rPr>
        <w:t>“</w:t>
      </w:r>
      <w:r w:rsidRPr="001D564A">
        <w:rPr>
          <w:rFonts w:eastAsia="Times New Roman"/>
          <w:i/>
        </w:rPr>
        <w:t>I’ve been a bit surprised at how much handholding we’ve had to do</w:t>
      </w:r>
      <w:r>
        <w:rPr>
          <w:rFonts w:eastAsia="Times New Roman"/>
          <w:i/>
        </w:rPr>
        <w:t>…</w:t>
      </w:r>
      <w:r w:rsidRPr="001D564A">
        <w:rPr>
          <w:rFonts w:eastAsia="Times New Roman"/>
          <w:i/>
        </w:rPr>
        <w:t xml:space="preserve"> going through in minutiae with them</w:t>
      </w:r>
      <w:r>
        <w:rPr>
          <w:rFonts w:eastAsia="Times New Roman"/>
          <w:i/>
        </w:rPr>
        <w:t>…</w:t>
      </w:r>
      <w:r w:rsidRPr="001D564A">
        <w:rPr>
          <w:rFonts w:eastAsia="Times New Roman"/>
          <w:i/>
        </w:rPr>
        <w:t xml:space="preserve"> </w:t>
      </w:r>
      <w:r w:rsidRPr="00EF530E">
        <w:rPr>
          <w:rFonts w:eastAsia="Times New Roman"/>
          <w:i/>
        </w:rPr>
        <w:t>And that it’s about the mechanics of things but when you come to sort of a conceptual it’s actually even more difficult</w:t>
      </w:r>
      <w:r w:rsidRPr="00EF530E">
        <w:rPr>
          <w:rFonts w:eastAsia="Times New Roman"/>
        </w:rPr>
        <w:t>.”</w:t>
      </w:r>
      <w:r w:rsidRPr="001D564A">
        <w:rPr>
          <w:rFonts w:eastAsia="Times New Roman"/>
        </w:rPr>
        <w:t xml:space="preserve"> [PHN 5, interview</w:t>
      </w:r>
      <w:r>
        <w:rPr>
          <w:rFonts w:eastAsia="Times New Roman"/>
        </w:rPr>
        <w:t>, R1]</w:t>
      </w:r>
    </w:p>
    <w:p w14:paraId="70BC20D5" w14:textId="77777777" w:rsidR="001C19F3" w:rsidRPr="001D564A" w:rsidRDefault="001C19F3" w:rsidP="001C19F3">
      <w:pPr>
        <w:rPr>
          <w:rFonts w:eastAsia="Times New Roman"/>
        </w:rPr>
      </w:pPr>
      <w:r w:rsidRPr="001D564A">
        <w:rPr>
          <w:rFonts w:eastAsia="Times New Roman"/>
          <w:noProof/>
          <w:lang w:eastAsia="en-AU"/>
        </w:rPr>
        <mc:AlternateContent>
          <mc:Choice Requires="wps">
            <w:drawing>
              <wp:anchor distT="91440" distB="91440" distL="114300" distR="114300" simplePos="0" relativeHeight="251662336" behindDoc="0" locked="0" layoutInCell="1" allowOverlap="1" wp14:anchorId="5C130D74" wp14:editId="61F7FBDF">
                <wp:simplePos x="0" y="0"/>
                <wp:positionH relativeFrom="page">
                  <wp:posOffset>847725</wp:posOffset>
                </wp:positionH>
                <wp:positionV relativeFrom="paragraph">
                  <wp:posOffset>120650</wp:posOffset>
                </wp:positionV>
                <wp:extent cx="2520000" cy="1403985"/>
                <wp:effectExtent l="0" t="0" r="0" b="25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403985"/>
                        </a:xfrm>
                        <a:prstGeom prst="rect">
                          <a:avLst/>
                        </a:prstGeom>
                        <a:noFill/>
                        <a:ln w="9525">
                          <a:noFill/>
                          <a:miter lim="800000"/>
                          <a:headEnd/>
                          <a:tailEnd/>
                        </a:ln>
                      </wps:spPr>
                      <wps:txbx>
                        <w:txbxContent>
                          <w:p w14:paraId="68CCF22B" w14:textId="77777777" w:rsidR="00521305" w:rsidRPr="00427E70" w:rsidRDefault="00521305" w:rsidP="001C19F3">
                            <w:pPr>
                              <w:rPr>
                                <w:i/>
                                <w:iCs/>
                                <w:color w:val="003D79"/>
                                <w:sz w:val="18"/>
                                <w:szCs w:val="18"/>
                              </w:rPr>
                            </w:pPr>
                            <w:r w:rsidRPr="00427E70">
                              <w:rPr>
                                <w:i/>
                                <w:iCs/>
                                <w:color w:val="003D79"/>
                                <w:sz w:val="18"/>
                                <w:szCs w:val="18"/>
                              </w:rPr>
                              <w:t>“</w:t>
                            </w:r>
                            <w:r w:rsidRPr="00235916">
                              <w:rPr>
                                <w:i/>
                                <w:iCs/>
                                <w:color w:val="003D79"/>
                                <w:sz w:val="18"/>
                                <w:szCs w:val="18"/>
                              </w:rPr>
                              <w:t>Knowing when to step back, knowing when to step in</w:t>
                            </w:r>
                            <w:r w:rsidRPr="00641051">
                              <w:rPr>
                                <w:i/>
                                <w:iCs/>
                                <w:color w:val="003D79"/>
                                <w:sz w:val="18"/>
                                <w:szCs w:val="18"/>
                              </w:rPr>
                              <w:t xml:space="preserve">” </w:t>
                            </w:r>
                            <w:r w:rsidRPr="009B75E1">
                              <w:rPr>
                                <w:iCs/>
                                <w:color w:val="003D79"/>
                                <w:sz w:val="18"/>
                                <w:szCs w:val="18"/>
                              </w:rPr>
                              <w:t>[PHN 4, interview, 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30D74" id="Text Box 19" o:spid="_x0000_s1030" type="#_x0000_t202" style="position:absolute;margin-left:66.75pt;margin-top:9.5pt;width:198.45pt;height:110.55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" filled="f" stroked="f">
                <v:textbox style="mso-fit-shape-to-text:t">
                  <w:txbxContent>
                    <w:p w14:paraId="68CCF22B" w14:textId="77777777" w:rsidR="00521305" w:rsidRPr="00427E70" w:rsidRDefault="00521305" w:rsidP="001C19F3">
                      <w:pPr>
                        <w:rPr>
                          <w:i/>
                          <w:iCs/>
                          <w:color w:val="003D79"/>
                          <w:sz w:val="18"/>
                          <w:szCs w:val="18"/>
                        </w:rPr>
                      </w:pPr>
                      <w:r w:rsidRPr="00427E70">
                        <w:rPr>
                          <w:i/>
                          <w:iCs/>
                          <w:color w:val="003D79"/>
                          <w:sz w:val="18"/>
                          <w:szCs w:val="18"/>
                        </w:rPr>
                        <w:t>“</w:t>
                      </w:r>
                      <w:r w:rsidRPr="00235916">
                        <w:rPr>
                          <w:i/>
                          <w:iCs/>
                          <w:color w:val="003D79"/>
                          <w:sz w:val="18"/>
                          <w:szCs w:val="18"/>
                        </w:rPr>
                        <w:t>Knowing when to step back, knowing when to step in</w:t>
                      </w:r>
                      <w:r w:rsidRPr="00641051">
                        <w:rPr>
                          <w:i/>
                          <w:iCs/>
                          <w:color w:val="003D79"/>
                          <w:sz w:val="18"/>
                          <w:szCs w:val="18"/>
                        </w:rPr>
                        <w:t xml:space="preserve">” </w:t>
                      </w:r>
                      <w:r w:rsidRPr="009B75E1">
                        <w:rPr>
                          <w:iCs/>
                          <w:color w:val="003D79"/>
                          <w:sz w:val="18"/>
                          <w:szCs w:val="18"/>
                        </w:rPr>
                        <w:t>[PHN 4, interview, R1]</w:t>
                      </w:r>
                    </w:p>
                  </w:txbxContent>
                </v:textbox>
                <w10:wrap type="square" anchorx="page"/>
              </v:shape>
            </w:pict>
          </mc:Fallback>
        </mc:AlternateContent>
      </w:r>
      <w:r w:rsidRPr="001D564A">
        <w:rPr>
          <w:rFonts w:eastAsia="Times New Roman"/>
        </w:rPr>
        <w:t>Handholding often balanced “</w:t>
      </w:r>
      <w:r w:rsidRPr="001D564A">
        <w:rPr>
          <w:rFonts w:eastAsia="Times New Roman"/>
          <w:i/>
        </w:rPr>
        <w:t>cracking the whip</w:t>
      </w:r>
      <w:r w:rsidRPr="001D564A">
        <w:rPr>
          <w:rFonts w:eastAsia="Times New Roman"/>
        </w:rPr>
        <w:t>” [PHN 4, interview</w:t>
      </w:r>
      <w:r>
        <w:rPr>
          <w:rFonts w:eastAsia="Times New Roman"/>
        </w:rPr>
        <w:t>, R1]</w:t>
      </w:r>
      <w:r w:rsidRPr="001D564A">
        <w:rPr>
          <w:rFonts w:eastAsia="Times New Roman"/>
        </w:rPr>
        <w:t>, which was another technique used by the facilitators to achieve changes.</w:t>
      </w:r>
    </w:p>
    <w:p w14:paraId="7C4482D0" w14:textId="77777777" w:rsidR="001C19F3" w:rsidRDefault="001C19F3" w:rsidP="001C19F3">
      <w:pPr>
        <w:rPr>
          <w:rFonts w:eastAsia="Times New Roman"/>
        </w:rPr>
      </w:pPr>
      <w:r>
        <w:rPr>
          <w:rFonts w:eastAsia="Times New Roman"/>
        </w:rPr>
        <w:t>During the first year of the program, the facilitators</w:t>
      </w:r>
      <w:r w:rsidRPr="001D564A">
        <w:rPr>
          <w:rFonts w:eastAsia="Times New Roman"/>
        </w:rPr>
        <w:t xml:space="preserve"> were </w:t>
      </w:r>
      <w:r w:rsidRPr="00446483">
        <w:rPr>
          <w:rFonts w:eastAsia="Times New Roman"/>
        </w:rPr>
        <w:t>anxious about their roles not being funded beyond the enrolment stage (which was initially to 30 November 2018). Their</w:t>
      </w:r>
      <w:r>
        <w:rPr>
          <w:rFonts w:eastAsia="Times New Roman"/>
        </w:rPr>
        <w:t xml:space="preserve"> anxiety was both for the short term because </w:t>
      </w:r>
      <w:r w:rsidRPr="001D564A">
        <w:rPr>
          <w:rFonts w:eastAsia="Times New Roman"/>
        </w:rPr>
        <w:t>“</w:t>
      </w:r>
      <w:r w:rsidRPr="001D564A">
        <w:rPr>
          <w:rFonts w:eastAsia="Times New Roman"/>
          <w:i/>
        </w:rPr>
        <w:t>some practices are only just coming to grips with what they need to do in this program</w:t>
      </w:r>
      <w:r w:rsidRPr="001D564A">
        <w:rPr>
          <w:rFonts w:eastAsia="Times New Roman"/>
        </w:rPr>
        <w:t>” [PHN 7, interview</w:t>
      </w:r>
      <w:r>
        <w:rPr>
          <w:rFonts w:eastAsia="Times New Roman"/>
        </w:rPr>
        <w:t>, R1]</w:t>
      </w:r>
      <w:r w:rsidRPr="001D564A">
        <w:rPr>
          <w:rFonts w:eastAsia="Times New Roman"/>
        </w:rPr>
        <w:t>)</w:t>
      </w:r>
      <w:r>
        <w:rPr>
          <w:rFonts w:eastAsia="Times New Roman"/>
        </w:rPr>
        <w:t>, and it was also</w:t>
      </w:r>
      <w:r w:rsidRPr="001D564A">
        <w:rPr>
          <w:rFonts w:eastAsia="Times New Roman"/>
        </w:rPr>
        <w:t xml:space="preserve"> important </w:t>
      </w:r>
      <w:r>
        <w:rPr>
          <w:rFonts w:eastAsia="Times New Roman"/>
        </w:rPr>
        <w:t>for</w:t>
      </w:r>
      <w:r w:rsidRPr="001D564A">
        <w:rPr>
          <w:rFonts w:eastAsia="Times New Roman"/>
        </w:rPr>
        <w:t xml:space="preserve"> practices</w:t>
      </w:r>
      <w:r>
        <w:rPr>
          <w:rFonts w:eastAsia="Times New Roman"/>
        </w:rPr>
        <w:t xml:space="preserve"> to</w:t>
      </w:r>
      <w:r w:rsidRPr="001D564A">
        <w:rPr>
          <w:rFonts w:eastAsia="Times New Roman"/>
        </w:rPr>
        <w:t xml:space="preserve"> know that the PHN </w:t>
      </w:r>
      <w:r>
        <w:rPr>
          <w:rFonts w:eastAsia="Times New Roman"/>
        </w:rPr>
        <w:t>was</w:t>
      </w:r>
      <w:r w:rsidRPr="001D564A">
        <w:rPr>
          <w:rFonts w:eastAsia="Times New Roman"/>
        </w:rPr>
        <w:t xml:space="preserve"> there “</w:t>
      </w:r>
      <w:r w:rsidRPr="001D564A">
        <w:rPr>
          <w:rFonts w:eastAsia="Times New Roman"/>
          <w:i/>
        </w:rPr>
        <w:t>for the long haul</w:t>
      </w:r>
      <w:r w:rsidRPr="001D564A">
        <w:rPr>
          <w:rFonts w:eastAsia="Times New Roman"/>
        </w:rPr>
        <w:t xml:space="preserve">” [PHN 10, </w:t>
      </w:r>
      <w:r>
        <w:rPr>
          <w:rFonts w:eastAsia="Times New Roman"/>
        </w:rPr>
        <w:t>interview, R1]</w:t>
      </w:r>
      <w:r w:rsidRPr="001D564A">
        <w:rPr>
          <w:rFonts w:eastAsia="Times New Roman"/>
        </w:rPr>
        <w:t>.</w:t>
      </w:r>
    </w:p>
    <w:p w14:paraId="6B5B5414" w14:textId="77777777" w:rsidR="001C19F3" w:rsidRPr="008E40E1" w:rsidRDefault="001C19F3" w:rsidP="001C19F3">
      <w:pPr>
        <w:rPr>
          <w:szCs w:val="20"/>
        </w:rPr>
      </w:pPr>
      <w:r w:rsidRPr="008E40E1">
        <w:rPr>
          <w:szCs w:val="20"/>
        </w:rPr>
        <w:t xml:space="preserve">One facilitator mentioned that since the announcement of the extension they </w:t>
      </w:r>
      <w:r>
        <w:rPr>
          <w:szCs w:val="20"/>
        </w:rPr>
        <w:t>were</w:t>
      </w:r>
      <w:r w:rsidRPr="008E40E1">
        <w:rPr>
          <w:szCs w:val="20"/>
        </w:rPr>
        <w:t xml:space="preserve"> looking forward to circling back to the fundamental building blocks of the model, such as data quality management, GP and whole-of-practice engagement, and business optimisation. Though the </w:t>
      </w:r>
      <w:r>
        <w:rPr>
          <w:szCs w:val="20"/>
        </w:rPr>
        <w:t xml:space="preserve">amount </w:t>
      </w:r>
      <w:r w:rsidRPr="008E40E1">
        <w:rPr>
          <w:szCs w:val="20"/>
        </w:rPr>
        <w:t>of time required for preparation varie</w:t>
      </w:r>
      <w:r>
        <w:rPr>
          <w:szCs w:val="20"/>
        </w:rPr>
        <w:t>d</w:t>
      </w:r>
      <w:r w:rsidRPr="008E40E1">
        <w:rPr>
          <w:szCs w:val="20"/>
        </w:rPr>
        <w:t xml:space="preserve"> from practice to practice, some practice facilitators felt that patient enrolment and making fundamental changes to practice were in competition time-wise. Many </w:t>
      </w:r>
      <w:r>
        <w:rPr>
          <w:szCs w:val="20"/>
        </w:rPr>
        <w:t>s</w:t>
      </w:r>
      <w:r w:rsidRPr="008E40E1">
        <w:rPr>
          <w:szCs w:val="20"/>
        </w:rPr>
        <w:t>tressed that practices were given a short timeline to implement such internal large-scale changes and simultaneously register patients before the end of the enrolment period. The extension of the program in August 2018 was well-received by the PHN staff and the practices:</w:t>
      </w:r>
    </w:p>
    <w:p w14:paraId="29B58079" w14:textId="77777777" w:rsidR="001C19F3" w:rsidRPr="008E40E1" w:rsidRDefault="001C19F3" w:rsidP="001C19F3">
      <w:pPr>
        <w:ind w:left="567" w:right="1088"/>
        <w:rPr>
          <w:rFonts w:cs="Arial"/>
          <w:szCs w:val="20"/>
          <w:lang w:val="en-GB"/>
        </w:rPr>
      </w:pPr>
      <w:r w:rsidRPr="008E40E1">
        <w:rPr>
          <w:szCs w:val="20"/>
        </w:rPr>
        <w:t>“</w:t>
      </w:r>
      <w:r w:rsidRPr="008E40E1">
        <w:rPr>
          <w:rFonts w:cs="Arial"/>
          <w:i/>
          <w:szCs w:val="20"/>
          <w:lang w:val="en-GB"/>
        </w:rPr>
        <w:t>The program has been quite difficult. There's been dramatic amount of change in a short period of time and I can tell you now where practices are at. They're at change fatigue stages…</w:t>
      </w:r>
      <w:r w:rsidRPr="008E40E1">
        <w:rPr>
          <w:i/>
          <w:szCs w:val="20"/>
        </w:rPr>
        <w:t>I think the extension’s going to really give people time to implement things, which is great.</w:t>
      </w:r>
      <w:r w:rsidRPr="008E40E1">
        <w:rPr>
          <w:szCs w:val="20"/>
        </w:rPr>
        <w:t xml:space="preserve">” [PHN 5, </w:t>
      </w:r>
      <w:r>
        <w:rPr>
          <w:szCs w:val="20"/>
        </w:rPr>
        <w:t>interview, R2]</w:t>
      </w:r>
    </w:p>
    <w:p w14:paraId="330E6984" w14:textId="77777777" w:rsidR="001C19F3" w:rsidRPr="008E40E1" w:rsidRDefault="001C19F3" w:rsidP="001C19F3">
      <w:pPr>
        <w:contextualSpacing/>
        <w:rPr>
          <w:rFonts w:eastAsia="Times New Roman"/>
        </w:rPr>
      </w:pPr>
      <w:r w:rsidRPr="008E40E1">
        <w:rPr>
          <w:rFonts w:eastAsia="Times New Roman"/>
        </w:rPr>
        <w:t>Following the announcement of the extension, some facilitators stated that would continu</w:t>
      </w:r>
      <w:r>
        <w:rPr>
          <w:rFonts w:eastAsia="Times New Roman"/>
        </w:rPr>
        <w:t>e</w:t>
      </w:r>
      <w:r w:rsidRPr="008E40E1">
        <w:rPr>
          <w:rFonts w:eastAsia="Times New Roman"/>
        </w:rPr>
        <w:t xml:space="preserve"> to focus on supporting practices with increasing their enrolment numbers:</w:t>
      </w:r>
    </w:p>
    <w:p w14:paraId="4AF2B256" w14:textId="77777777" w:rsidR="001C19F3" w:rsidRPr="008E40E1" w:rsidRDefault="001C19F3" w:rsidP="001C19F3">
      <w:pPr>
        <w:contextualSpacing/>
        <w:rPr>
          <w:rFonts w:eastAsia="Times New Roman"/>
        </w:rPr>
      </w:pPr>
    </w:p>
    <w:p w14:paraId="5BB06EB9" w14:textId="77777777" w:rsidR="001C19F3" w:rsidRDefault="001C19F3" w:rsidP="001C19F3">
      <w:pPr>
        <w:ind w:left="567" w:right="1088"/>
        <w:rPr>
          <w:rFonts w:eastAsia="Times New Roman"/>
        </w:rPr>
      </w:pPr>
      <w:r w:rsidRPr="008E40E1">
        <w:rPr>
          <w:rFonts w:eastAsia="Times New Roman"/>
          <w:i/>
        </w:rPr>
        <w:t>“I think if anything the extension is a benefit just purely because it allows them to be able to now confidently recruit the remainder of patients, to really be able to test the models for themselves…”</w:t>
      </w:r>
      <w:r w:rsidRPr="008E40E1">
        <w:rPr>
          <w:rFonts w:eastAsia="Times New Roman"/>
        </w:rPr>
        <w:t xml:space="preserve"> [PHN 2, </w:t>
      </w:r>
      <w:r>
        <w:rPr>
          <w:rFonts w:eastAsia="Times New Roman"/>
        </w:rPr>
        <w:t>interview, R2]</w:t>
      </w:r>
    </w:p>
    <w:p w14:paraId="1A94951D" w14:textId="77777777" w:rsidR="001C19F3" w:rsidRPr="001D564A" w:rsidRDefault="001C19F3" w:rsidP="001C19F3">
      <w:pPr>
        <w:rPr>
          <w:rFonts w:eastAsia="Times New Roman"/>
        </w:rPr>
      </w:pPr>
      <w:r w:rsidRPr="00F92688">
        <w:rPr>
          <w:rFonts w:eastAsia="Times New Roman"/>
        </w:rPr>
        <w:lastRenderedPageBreak/>
        <w:t xml:space="preserve">In the initial stages, the role was very absorbing. </w:t>
      </w:r>
      <w:r w:rsidRPr="001D564A">
        <w:rPr>
          <w:rFonts w:eastAsia="Times New Roman"/>
          <w:noProof/>
          <w:lang w:eastAsia="en-AU"/>
        </w:rPr>
        <mc:AlternateContent>
          <mc:Choice Requires="wps">
            <w:drawing>
              <wp:anchor distT="91440" distB="91440" distL="114300" distR="114300" simplePos="0" relativeHeight="251663360" behindDoc="0" locked="0" layoutInCell="1" allowOverlap="1" wp14:anchorId="018686F6" wp14:editId="20F442E4">
                <wp:simplePos x="0" y="0"/>
                <wp:positionH relativeFrom="page">
                  <wp:posOffset>914400</wp:posOffset>
                </wp:positionH>
                <wp:positionV relativeFrom="paragraph">
                  <wp:posOffset>52705</wp:posOffset>
                </wp:positionV>
                <wp:extent cx="2520000" cy="1403985"/>
                <wp:effectExtent l="0" t="0" r="0" b="254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403985"/>
                        </a:xfrm>
                        <a:prstGeom prst="rect">
                          <a:avLst/>
                        </a:prstGeom>
                        <a:noFill/>
                        <a:ln w="9525">
                          <a:noFill/>
                          <a:miter lim="800000"/>
                          <a:headEnd/>
                          <a:tailEnd/>
                        </a:ln>
                      </wps:spPr>
                      <wps:txbx>
                        <w:txbxContent>
                          <w:p w14:paraId="75B6CBF0" w14:textId="77777777" w:rsidR="00521305" w:rsidRPr="00427E70" w:rsidRDefault="00521305" w:rsidP="001C19F3">
                            <w:pPr>
                              <w:rPr>
                                <w:i/>
                                <w:iCs/>
                                <w:color w:val="003D79"/>
                                <w:sz w:val="18"/>
                                <w:szCs w:val="18"/>
                              </w:rPr>
                            </w:pPr>
                            <w:r w:rsidRPr="00427E70">
                              <w:rPr>
                                <w:i/>
                                <w:iCs/>
                                <w:color w:val="003D79"/>
                                <w:sz w:val="18"/>
                                <w:szCs w:val="18"/>
                              </w:rPr>
                              <w:t>“</w:t>
                            </w:r>
                            <w:r w:rsidRPr="00D9516E">
                              <w:rPr>
                                <w:i/>
                                <w:iCs/>
                                <w:color w:val="003D79"/>
                                <w:sz w:val="18"/>
                                <w:szCs w:val="18"/>
                              </w:rPr>
                              <w:t xml:space="preserve">There has to be a </w:t>
                            </w:r>
                            <w:r w:rsidRPr="001C1E44">
                              <w:rPr>
                                <w:i/>
                                <w:iCs/>
                                <w:color w:val="003D79"/>
                                <w:sz w:val="18"/>
                                <w:szCs w:val="18"/>
                              </w:rPr>
                              <w:t xml:space="preserve">better way to do this” </w:t>
                            </w:r>
                            <w:r w:rsidRPr="009B75E1">
                              <w:rPr>
                                <w:iCs/>
                                <w:color w:val="003D79"/>
                                <w:sz w:val="18"/>
                                <w:szCs w:val="18"/>
                              </w:rPr>
                              <w:t>[PHN 9, interview, 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686F6" id="Text Box 22" o:spid="_x0000_s1031" type="#_x0000_t202" style="position:absolute;margin-left:1in;margin-top:4.15pt;width:198.45pt;height:110.55pt;z-index:2516633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" filled="f" stroked="f">
                <v:textbox style="mso-fit-shape-to-text:t">
                  <w:txbxContent>
                    <w:p w14:paraId="75B6CBF0" w14:textId="77777777" w:rsidR="00521305" w:rsidRPr="00427E70" w:rsidRDefault="00521305" w:rsidP="001C19F3">
                      <w:pPr>
                        <w:rPr>
                          <w:i/>
                          <w:iCs/>
                          <w:color w:val="003D79"/>
                          <w:sz w:val="18"/>
                          <w:szCs w:val="18"/>
                        </w:rPr>
                      </w:pPr>
                      <w:r w:rsidRPr="00427E70">
                        <w:rPr>
                          <w:i/>
                          <w:iCs/>
                          <w:color w:val="003D79"/>
                          <w:sz w:val="18"/>
                          <w:szCs w:val="18"/>
                        </w:rPr>
                        <w:t>“</w:t>
                      </w:r>
                      <w:r w:rsidRPr="00D9516E">
                        <w:rPr>
                          <w:i/>
                          <w:iCs/>
                          <w:color w:val="003D79"/>
                          <w:sz w:val="18"/>
                          <w:szCs w:val="18"/>
                        </w:rPr>
                        <w:t xml:space="preserve">There has to be a </w:t>
                      </w:r>
                      <w:r w:rsidRPr="001C1E44">
                        <w:rPr>
                          <w:i/>
                          <w:iCs/>
                          <w:color w:val="003D79"/>
                          <w:sz w:val="18"/>
                          <w:szCs w:val="18"/>
                        </w:rPr>
                        <w:t xml:space="preserve">better way to do this” </w:t>
                      </w:r>
                      <w:r w:rsidRPr="009B75E1">
                        <w:rPr>
                          <w:iCs/>
                          <w:color w:val="003D79"/>
                          <w:sz w:val="18"/>
                          <w:szCs w:val="18"/>
                        </w:rPr>
                        <w:t>[PHN 9, interview, R1]</w:t>
                      </w:r>
                    </w:p>
                  </w:txbxContent>
                </v:textbox>
                <w10:wrap type="square" anchorx="page"/>
              </v:shape>
            </w:pict>
          </mc:Fallback>
        </mc:AlternateContent>
      </w:r>
      <w:r w:rsidRPr="001D564A">
        <w:rPr>
          <w:rFonts w:eastAsia="Times New Roman"/>
        </w:rPr>
        <w:t xml:space="preserve">Facilitators commented that the approach taken for the </w:t>
      </w:r>
      <w:r>
        <w:rPr>
          <w:rFonts w:eastAsia="Times New Roman"/>
        </w:rPr>
        <w:t>trial will</w:t>
      </w:r>
      <w:r w:rsidRPr="001D564A">
        <w:rPr>
          <w:rFonts w:eastAsia="Times New Roman"/>
        </w:rPr>
        <w:t xml:space="preserve"> need </w:t>
      </w:r>
      <w:r>
        <w:rPr>
          <w:rFonts w:eastAsia="Times New Roman"/>
        </w:rPr>
        <w:t>to be modified</w:t>
      </w:r>
      <w:r w:rsidRPr="001D564A">
        <w:rPr>
          <w:rFonts w:eastAsia="Times New Roman"/>
        </w:rPr>
        <w:t xml:space="preserve"> for a national-wide rollout of the program. A key issue was the intensity of the practice support required just to get to </w:t>
      </w:r>
      <w:r>
        <w:rPr>
          <w:rFonts w:eastAsia="Times New Roman"/>
        </w:rPr>
        <w:t xml:space="preserve">an </w:t>
      </w:r>
      <w:r w:rsidRPr="001D564A">
        <w:rPr>
          <w:rFonts w:eastAsia="Times New Roman"/>
        </w:rPr>
        <w:t>understanding of the concept, before practice</w:t>
      </w:r>
      <w:r>
        <w:rPr>
          <w:rFonts w:eastAsia="Times New Roman"/>
        </w:rPr>
        <w:t>s</w:t>
      </w:r>
      <w:r w:rsidRPr="001D564A">
        <w:rPr>
          <w:rFonts w:eastAsia="Times New Roman"/>
        </w:rPr>
        <w:t xml:space="preserve"> embark</w:t>
      </w:r>
      <w:r>
        <w:rPr>
          <w:rFonts w:eastAsia="Times New Roman"/>
        </w:rPr>
        <w:t>ed</w:t>
      </w:r>
      <w:r w:rsidRPr="001D564A">
        <w:rPr>
          <w:rFonts w:eastAsia="Times New Roman"/>
        </w:rPr>
        <w:t xml:space="preserve"> on any changes:</w:t>
      </w:r>
    </w:p>
    <w:p w14:paraId="51292E36" w14:textId="77777777" w:rsidR="001C19F3" w:rsidRDefault="001C19F3" w:rsidP="001C19F3">
      <w:pPr>
        <w:ind w:left="567" w:right="1088"/>
        <w:rPr>
          <w:rFonts w:eastAsia="Times New Roman"/>
        </w:rPr>
      </w:pPr>
      <w:r w:rsidRPr="001D564A">
        <w:rPr>
          <w:rFonts w:eastAsia="Times New Roman"/>
        </w:rPr>
        <w:t>“</w:t>
      </w:r>
      <w:r>
        <w:rPr>
          <w:rFonts w:eastAsia="Times New Roman"/>
        </w:rPr>
        <w:t>…</w:t>
      </w:r>
      <w:r w:rsidRPr="001D564A">
        <w:rPr>
          <w:rFonts w:eastAsia="Times New Roman"/>
          <w:i/>
        </w:rPr>
        <w:t xml:space="preserve"> if </w:t>
      </w:r>
      <w:r w:rsidRPr="001D564A">
        <w:rPr>
          <w:rFonts w:eastAsia="Times New Roman"/>
        </w:rPr>
        <w:t>[HCH is]</w:t>
      </w:r>
      <w:r w:rsidRPr="001D564A">
        <w:rPr>
          <w:rFonts w:eastAsia="Times New Roman"/>
          <w:i/>
        </w:rPr>
        <w:t xml:space="preserve"> rolled out nationally, this is going to be a huge issue because it’s so labour intensive… And does the workforce have the capacity, like the PHN workforce, for example, </w:t>
      </w:r>
      <w:r>
        <w:rPr>
          <w:rFonts w:eastAsia="Times New Roman"/>
          <w:i/>
        </w:rPr>
        <w:t>…</w:t>
      </w:r>
      <w:r w:rsidRPr="001D564A">
        <w:rPr>
          <w:rFonts w:eastAsia="Times New Roman"/>
          <w:i/>
        </w:rPr>
        <w:t xml:space="preserve"> to do that?</w:t>
      </w:r>
      <w:r w:rsidRPr="001D564A">
        <w:rPr>
          <w:rFonts w:eastAsia="Times New Roman"/>
        </w:rPr>
        <w:t xml:space="preserve">” [PHN 9, </w:t>
      </w:r>
      <w:r>
        <w:rPr>
          <w:rFonts w:eastAsia="Times New Roman"/>
        </w:rPr>
        <w:t>interview, R1]</w:t>
      </w:r>
    </w:p>
    <w:p w14:paraId="33DE9BB2" w14:textId="77777777" w:rsidR="001C19F3" w:rsidRDefault="001C19F3" w:rsidP="001C19F3">
      <w:pPr>
        <w:pStyle w:val="Heading3"/>
      </w:pPr>
      <w:r w:rsidRPr="001D564A">
        <w:t xml:space="preserve">What practice facilitators </w:t>
      </w:r>
      <w:r>
        <w:t>have been doing</w:t>
      </w:r>
    </w:p>
    <w:p w14:paraId="7E07B97A" w14:textId="77777777" w:rsidR="001C19F3" w:rsidRPr="00697EF5" w:rsidRDefault="001C19F3" w:rsidP="001C19F3">
      <w:pPr>
        <w:pStyle w:val="Heading4"/>
      </w:pPr>
      <w:r>
        <w:t>Evolution of the role</w:t>
      </w:r>
    </w:p>
    <w:p w14:paraId="096377E8" w14:textId="77777777" w:rsidR="001C19F3" w:rsidRPr="008B13E5" w:rsidRDefault="001C19F3" w:rsidP="001C19F3">
      <w:pPr>
        <w:rPr>
          <w:rFonts w:eastAsia="Times New Roman"/>
        </w:rPr>
      </w:pPr>
      <w:r w:rsidRPr="008B13E5">
        <w:rPr>
          <w:szCs w:val="20"/>
        </w:rPr>
        <w:t>At the beginning of the implementation of the program, practice facilitators described the difficulty of providing support and training to practices when they were just learning about HCH themselves. They stated that they had little guidance or clear expectations of the role of practice facilitator at the beginning of the program rollout:</w:t>
      </w:r>
    </w:p>
    <w:p w14:paraId="47FBB90D" w14:textId="77777777" w:rsidR="001C19F3" w:rsidRDefault="001C19F3" w:rsidP="001C19F3">
      <w:pPr>
        <w:ind w:left="567" w:right="1088"/>
        <w:rPr>
          <w:rFonts w:eastAsia="Times New Roman"/>
        </w:rPr>
      </w:pPr>
      <w:r w:rsidRPr="001D564A">
        <w:rPr>
          <w:rFonts w:eastAsia="Times New Roman"/>
        </w:rPr>
        <w:t>“</w:t>
      </w:r>
      <w:r w:rsidRPr="001D564A">
        <w:rPr>
          <w:rFonts w:eastAsia="Times New Roman"/>
          <w:i/>
        </w:rPr>
        <w:t>Each PHN has just been left to sort of work their own way through it…there’s lots of support from the Commonwealth and AGPAL, but I don’t know that we’ve really landed on what does it mean and what does it really look like and what are the skill sets that you need to do this....</w:t>
      </w:r>
      <w:r w:rsidRPr="001D564A">
        <w:rPr>
          <w:rFonts w:eastAsia="Times New Roman"/>
        </w:rPr>
        <w:t>” [PHN 2, interview</w:t>
      </w:r>
      <w:r>
        <w:rPr>
          <w:rFonts w:eastAsia="Times New Roman"/>
        </w:rPr>
        <w:t>, R1]</w:t>
      </w:r>
      <w:r w:rsidRPr="001D564A">
        <w:rPr>
          <w:rFonts w:eastAsia="Times New Roman"/>
        </w:rPr>
        <w:t xml:space="preserve"> </w:t>
      </w:r>
    </w:p>
    <w:p w14:paraId="1EF7034A" w14:textId="77777777" w:rsidR="001C19F3" w:rsidRPr="001D564A" w:rsidRDefault="001C19F3" w:rsidP="001C19F3">
      <w:pPr>
        <w:ind w:right="237"/>
        <w:rPr>
          <w:rFonts w:eastAsia="Times New Roman"/>
        </w:rPr>
      </w:pPr>
      <w:r w:rsidRPr="001D564A">
        <w:rPr>
          <w:rFonts w:eastAsia="Times New Roman"/>
        </w:rPr>
        <w:t>The practice facilitator role was distinguished from PHNs’ role in supporting general practice under normal contractual arrangements with the Commonwealth:</w:t>
      </w:r>
    </w:p>
    <w:p w14:paraId="0545E004" w14:textId="77777777" w:rsidR="001C19F3" w:rsidRPr="001D564A" w:rsidRDefault="001C19F3" w:rsidP="001C19F3">
      <w:pPr>
        <w:ind w:left="567" w:right="1088"/>
        <w:rPr>
          <w:rFonts w:eastAsia="Times New Roman"/>
        </w:rPr>
      </w:pPr>
      <w:r w:rsidRPr="001D564A">
        <w:rPr>
          <w:rFonts w:eastAsia="Times New Roman"/>
        </w:rPr>
        <w:t>“</w:t>
      </w:r>
      <w:r w:rsidRPr="001D564A">
        <w:rPr>
          <w:rFonts w:eastAsia="Times New Roman"/>
          <w:i/>
        </w:rPr>
        <w:t>It’s really about business transformation and transforming the way that the practice delivers their models of care. And that’s quite big… That’s a very different blueprint to what our primary health liaison team would normally do</w:t>
      </w:r>
      <w:r w:rsidRPr="001D564A">
        <w:rPr>
          <w:rFonts w:eastAsia="Times New Roman"/>
        </w:rPr>
        <w:t>.” [PHN 2, interview</w:t>
      </w:r>
      <w:r>
        <w:rPr>
          <w:rFonts w:eastAsia="Times New Roman"/>
        </w:rPr>
        <w:t>, R1]</w:t>
      </w:r>
    </w:p>
    <w:p w14:paraId="64AF9A6B" w14:textId="77777777" w:rsidR="001C19F3" w:rsidRPr="001D564A" w:rsidRDefault="001C19F3" w:rsidP="001C19F3">
      <w:pPr>
        <w:rPr>
          <w:rFonts w:eastAsia="Times New Roman"/>
        </w:rPr>
      </w:pPr>
      <w:r w:rsidRPr="001D564A">
        <w:rPr>
          <w:rFonts w:eastAsia="Times New Roman"/>
        </w:rPr>
        <w:t>Another PHN suggested that the train-the-trainer workshops</w:t>
      </w:r>
      <w:r>
        <w:rPr>
          <w:rFonts w:eastAsia="Times New Roman"/>
        </w:rPr>
        <w:t xml:space="preserve"> designed to prepare the practice facilitators for their role</w:t>
      </w:r>
      <w:r w:rsidRPr="001D564A">
        <w:rPr>
          <w:rFonts w:eastAsia="Times New Roman"/>
        </w:rPr>
        <w:t xml:space="preserve"> </w:t>
      </w:r>
      <w:r>
        <w:rPr>
          <w:rFonts w:eastAsia="Times New Roman"/>
        </w:rPr>
        <w:t>could</w:t>
      </w:r>
      <w:r w:rsidRPr="001D564A">
        <w:rPr>
          <w:rFonts w:eastAsia="Times New Roman"/>
        </w:rPr>
        <w:t xml:space="preserve"> have been used to explore the differences between a PHN’s usual supporting role and the facilitation role:</w:t>
      </w:r>
    </w:p>
    <w:p w14:paraId="3FC3F814" w14:textId="77777777" w:rsidR="001C19F3" w:rsidRPr="001D564A" w:rsidRDefault="001C19F3" w:rsidP="001C19F3">
      <w:pPr>
        <w:ind w:left="567" w:right="1088"/>
        <w:rPr>
          <w:rFonts w:eastAsia="Times New Roman"/>
        </w:rPr>
      </w:pPr>
      <w:r w:rsidRPr="001D564A">
        <w:rPr>
          <w:rFonts w:eastAsia="Times New Roman"/>
        </w:rPr>
        <w:t>“</w:t>
      </w:r>
      <w:r>
        <w:rPr>
          <w:rFonts w:eastAsia="Times New Roman"/>
        </w:rPr>
        <w:t xml:space="preserve">…[the PHNs] </w:t>
      </w:r>
      <w:r w:rsidRPr="001D564A">
        <w:rPr>
          <w:rFonts w:eastAsia="Times New Roman"/>
          <w:i/>
        </w:rPr>
        <w:t>would have been supported better to actually deliver on this particular implementation if they had an opportunity to explore well how does this differ from some of the other functions and responsibilities within a PHN</w:t>
      </w:r>
      <w:r>
        <w:rPr>
          <w:rFonts w:eastAsia="Times New Roman"/>
          <w:i/>
        </w:rPr>
        <w:t>.</w:t>
      </w:r>
      <w:r w:rsidRPr="001D564A">
        <w:rPr>
          <w:rFonts w:eastAsia="Times New Roman"/>
        </w:rPr>
        <w:t xml:space="preserve">” [PHN 5, </w:t>
      </w:r>
      <w:r>
        <w:rPr>
          <w:rFonts w:eastAsia="Times New Roman"/>
        </w:rPr>
        <w:t>interview, R1]</w:t>
      </w:r>
    </w:p>
    <w:p w14:paraId="5C10DEBF" w14:textId="77777777" w:rsidR="001C19F3" w:rsidRPr="00A1633F" w:rsidRDefault="001C19F3" w:rsidP="001C19F3">
      <w:pPr>
        <w:rPr>
          <w:rFonts w:eastAsia="Times New Roman"/>
        </w:rPr>
      </w:pPr>
      <w:r w:rsidRPr="00A1633F">
        <w:rPr>
          <w:rFonts w:eastAsia="Times New Roman"/>
        </w:rPr>
        <w:t>As time went on, the practice facilitators developed their own understanding of the role. By the second round of interviews (about a year after the first set of practices started enrolling patients), they thought that they were in a better position to support practices:</w:t>
      </w:r>
    </w:p>
    <w:p w14:paraId="0E3E2A2B" w14:textId="77777777" w:rsidR="001C19F3" w:rsidRPr="00A1633F" w:rsidRDefault="001C19F3" w:rsidP="001C19F3">
      <w:pPr>
        <w:ind w:left="567" w:right="1088"/>
        <w:rPr>
          <w:rFonts w:eastAsia="Times New Roman"/>
        </w:rPr>
      </w:pPr>
      <w:r w:rsidRPr="00A1633F">
        <w:rPr>
          <w:i/>
          <w:szCs w:val="20"/>
        </w:rPr>
        <w:t xml:space="preserve">“…in the next phase, the next wave of practices, we know the good, the bad and the ugly basically. We’ll know exactly what we’re looking for, how the install is going to be because we’ve ironed everything out now.” </w:t>
      </w:r>
      <w:r w:rsidRPr="00A1633F">
        <w:rPr>
          <w:szCs w:val="20"/>
        </w:rPr>
        <w:t xml:space="preserve">[PHN 10, </w:t>
      </w:r>
      <w:r>
        <w:rPr>
          <w:szCs w:val="20"/>
        </w:rPr>
        <w:t>interview, R2]</w:t>
      </w:r>
    </w:p>
    <w:p w14:paraId="01E472DD" w14:textId="77777777" w:rsidR="001C19F3" w:rsidRPr="00A1633F" w:rsidRDefault="001C19F3" w:rsidP="001C19F3">
      <w:pPr>
        <w:rPr>
          <w:rFonts w:eastAsia="Times New Roman"/>
        </w:rPr>
      </w:pPr>
      <w:r w:rsidRPr="00A1633F">
        <w:rPr>
          <w:rFonts w:eastAsia="Times New Roman"/>
        </w:rPr>
        <w:lastRenderedPageBreak/>
        <w:t>One of the issues that impacted the advancement of the role was turnover of facilitators, which has been difficult for all parties involved in HCH:</w:t>
      </w:r>
    </w:p>
    <w:p w14:paraId="34174773" w14:textId="77777777" w:rsidR="001C19F3" w:rsidRPr="00A1633F" w:rsidRDefault="001C19F3" w:rsidP="001C19F3">
      <w:pPr>
        <w:ind w:left="567" w:right="1088"/>
        <w:rPr>
          <w:rFonts w:cs="Arial"/>
          <w:i/>
          <w:szCs w:val="20"/>
          <w:lang w:val="en-GB"/>
        </w:rPr>
      </w:pPr>
      <w:r w:rsidRPr="00A1633F">
        <w:rPr>
          <w:rFonts w:eastAsia="Times New Roman"/>
          <w:i/>
          <w:szCs w:val="20"/>
        </w:rPr>
        <w:t>“The local Primary Health Network person has changed…</w:t>
      </w:r>
      <w:r w:rsidRPr="00A1633F">
        <w:rPr>
          <w:rFonts w:cs="Arial"/>
          <w:i/>
          <w:szCs w:val="20"/>
          <w:lang w:val="en-GB"/>
        </w:rPr>
        <w:t xml:space="preserve">that seems to be bit of a feature of Primary Health Networks. There’s a lot of movement and change, people don’t seem to stay anywhere for very long.” </w:t>
      </w:r>
      <w:r w:rsidRPr="00A1633F">
        <w:rPr>
          <w:rFonts w:cs="Arial"/>
          <w:szCs w:val="20"/>
          <w:lang w:val="en-GB"/>
        </w:rPr>
        <w:t xml:space="preserve">[Practice 18, </w:t>
      </w:r>
      <w:r>
        <w:rPr>
          <w:rFonts w:cs="Arial"/>
          <w:szCs w:val="20"/>
          <w:lang w:val="en-GB"/>
        </w:rPr>
        <w:t>interview, R2]</w:t>
      </w:r>
    </w:p>
    <w:p w14:paraId="7C1CE556" w14:textId="77777777" w:rsidR="001C19F3" w:rsidRPr="00A1633F" w:rsidRDefault="001C19F3" w:rsidP="001C19F3">
      <w:pPr>
        <w:ind w:left="567" w:right="1088"/>
        <w:rPr>
          <w:rFonts w:eastAsia="Times New Roman"/>
        </w:rPr>
      </w:pPr>
      <w:r w:rsidRPr="00A1633F">
        <w:rPr>
          <w:rFonts w:eastAsia="Times New Roman"/>
          <w:i/>
        </w:rPr>
        <w:t xml:space="preserve"> “From the PHN’s side of things, one of the really key things for us is the ability to retain staff during this process where we’ve had uncertainty in funding going forward…” </w:t>
      </w:r>
      <w:r w:rsidRPr="00A1633F">
        <w:rPr>
          <w:rFonts w:eastAsia="Times New Roman"/>
        </w:rPr>
        <w:t xml:space="preserve">[PHN 10, </w:t>
      </w:r>
      <w:r>
        <w:rPr>
          <w:rFonts w:eastAsia="Times New Roman"/>
        </w:rPr>
        <w:t>interview, R2]</w:t>
      </w:r>
    </w:p>
    <w:p w14:paraId="7B970DEC" w14:textId="77777777" w:rsidR="001C19F3" w:rsidRPr="00A1633F" w:rsidRDefault="001C19F3" w:rsidP="001C19F3">
      <w:pPr>
        <w:rPr>
          <w:rFonts w:eastAsia="Times New Roman"/>
        </w:rPr>
      </w:pPr>
      <w:r w:rsidRPr="00A1633F">
        <w:rPr>
          <w:rFonts w:eastAsia="Times New Roman"/>
        </w:rPr>
        <w:t>Facilitator turnover was also apparent in the second round of PHN interviews for the evaluation, when many of the original facilitators had moved on. New facilitators had to re-establish relationships and rebuild trust:</w:t>
      </w:r>
    </w:p>
    <w:p w14:paraId="6CFE1656" w14:textId="77777777" w:rsidR="001C19F3" w:rsidRPr="00A1633F" w:rsidRDefault="001C19F3" w:rsidP="001C19F3">
      <w:pPr>
        <w:ind w:left="567" w:right="1088"/>
        <w:rPr>
          <w:rFonts w:eastAsia="Times New Roman"/>
        </w:rPr>
      </w:pPr>
      <w:r w:rsidRPr="00A1633F">
        <w:rPr>
          <w:rFonts w:eastAsia="Times New Roman"/>
          <w:i/>
        </w:rPr>
        <w:t>“…I came in to a position where the team was morphing into something different… I felt that just looking at my role I didn't have a clear understanding… I read the handbook and all of that. And how to support and facilitate but it was a lot of information to take in to just go into a practice and assist the practice</w:t>
      </w:r>
      <w:r>
        <w:rPr>
          <w:rFonts w:eastAsia="Times New Roman"/>
          <w:i/>
        </w:rPr>
        <w:t>.</w:t>
      </w:r>
      <w:r w:rsidRPr="00A1633F">
        <w:rPr>
          <w:rFonts w:eastAsia="Times New Roman"/>
          <w:i/>
        </w:rPr>
        <w:t>”</w:t>
      </w:r>
      <w:r w:rsidRPr="00A1633F">
        <w:rPr>
          <w:rFonts w:eastAsia="Times New Roman"/>
        </w:rPr>
        <w:t xml:space="preserve"> [PHN 5, </w:t>
      </w:r>
      <w:r>
        <w:rPr>
          <w:rFonts w:eastAsia="Times New Roman"/>
        </w:rPr>
        <w:t>interview, R2]</w:t>
      </w:r>
    </w:p>
    <w:p w14:paraId="6AABC7F7" w14:textId="77777777" w:rsidR="001C19F3" w:rsidRDefault="001C19F3" w:rsidP="001C19F3">
      <w:pPr>
        <w:rPr>
          <w:rFonts w:eastAsia="Times New Roman"/>
        </w:rPr>
      </w:pPr>
      <w:r w:rsidRPr="001D564A">
        <w:rPr>
          <w:rFonts w:eastAsia="Times New Roman"/>
        </w:rPr>
        <w:t>Coaching was mentioned by the practice facilitators as the preferred approach to supporting practices</w:t>
      </w:r>
      <w:r>
        <w:rPr>
          <w:rFonts w:eastAsia="Times New Roman"/>
        </w:rPr>
        <w:t>:</w:t>
      </w:r>
    </w:p>
    <w:p w14:paraId="5B235021" w14:textId="77777777" w:rsidR="001C19F3" w:rsidRPr="008E40E1" w:rsidRDefault="001C19F3" w:rsidP="001C19F3">
      <w:pPr>
        <w:ind w:left="567" w:right="1088"/>
        <w:rPr>
          <w:rFonts w:eastAsia="Times New Roman"/>
        </w:rPr>
      </w:pPr>
      <w:r w:rsidRPr="008E40E1">
        <w:rPr>
          <w:rFonts w:eastAsia="Times New Roman"/>
          <w:i/>
        </w:rPr>
        <w:t>“For me it’s becoming really familiar with the modules and then going to a practice and going okay if this is where they need help I can draw this bit from the module to help them understand…If we’re familiar with the content and we can go we can use this tool…That’s where our coaching comes in</w:t>
      </w:r>
      <w:r>
        <w:rPr>
          <w:rFonts w:eastAsia="Times New Roman"/>
          <w:i/>
        </w:rPr>
        <w:t>.</w:t>
      </w:r>
      <w:r w:rsidRPr="008E40E1">
        <w:rPr>
          <w:rFonts w:eastAsia="Times New Roman"/>
          <w:i/>
        </w:rPr>
        <w:t xml:space="preserve">” </w:t>
      </w:r>
      <w:r w:rsidRPr="008E40E1">
        <w:rPr>
          <w:rFonts w:eastAsia="Times New Roman"/>
        </w:rPr>
        <w:t xml:space="preserve">[PHN 8, </w:t>
      </w:r>
      <w:r>
        <w:rPr>
          <w:rFonts w:eastAsia="Times New Roman"/>
        </w:rPr>
        <w:t>interview, R1]</w:t>
      </w:r>
    </w:p>
    <w:p w14:paraId="74C5F66D" w14:textId="77777777" w:rsidR="001C19F3" w:rsidRPr="00F92688" w:rsidRDefault="001C19F3" w:rsidP="001C19F3">
      <w:pPr>
        <w:rPr>
          <w:rFonts w:eastAsia="Times New Roman"/>
        </w:rPr>
      </w:pPr>
      <w:r w:rsidRPr="00F92688">
        <w:rPr>
          <w:rFonts w:eastAsia="Times New Roman"/>
        </w:rPr>
        <w:t>Practice facilitators commented that in the future, the role should evolve to be more about coaching. Though practices are at varying stages of their HCH journey, the ultimate goal is that practices will have the desire to drive this change and facilitators will be able to guide them along the way until they are no longer needed:</w:t>
      </w:r>
    </w:p>
    <w:p w14:paraId="698B97C6" w14:textId="77777777" w:rsidR="001C19F3" w:rsidRDefault="001C19F3" w:rsidP="001C19F3">
      <w:pPr>
        <w:ind w:left="567" w:right="1088"/>
        <w:rPr>
          <w:rFonts w:eastAsia="Times New Roman"/>
        </w:rPr>
      </w:pPr>
      <w:r w:rsidRPr="00F92688">
        <w:rPr>
          <w:rFonts w:eastAsia="Times New Roman"/>
          <w:i/>
        </w:rPr>
        <w:t>“…the expectation is that they’re going to manage their own change internally and basically work us out of a job, which is what we want to happen, with the movement away from selling and telling to practice transformation enabling and coaching and support and giving them the tools to basically do change management in health. And that’s certainly where we see the role of the facilitators moving forward.”</w:t>
      </w:r>
      <w:r w:rsidRPr="00F92688">
        <w:rPr>
          <w:rFonts w:eastAsia="Times New Roman"/>
        </w:rPr>
        <w:t xml:space="preserve"> [PHN 2, </w:t>
      </w:r>
      <w:r>
        <w:rPr>
          <w:rFonts w:eastAsia="Times New Roman"/>
        </w:rPr>
        <w:t>interview, R2]</w:t>
      </w:r>
    </w:p>
    <w:p w14:paraId="2B4A8197" w14:textId="77777777" w:rsidR="001C19F3" w:rsidRDefault="001C19F3" w:rsidP="001C19F3">
      <w:pPr>
        <w:pStyle w:val="Heading4"/>
        <w:rPr>
          <w:rFonts w:eastAsia="Times New Roman"/>
        </w:rPr>
      </w:pPr>
      <w:r>
        <w:rPr>
          <w:rFonts w:eastAsia="Times New Roman"/>
        </w:rPr>
        <w:t>Type of support provided</w:t>
      </w:r>
    </w:p>
    <w:p w14:paraId="645A3E97" w14:textId="77777777" w:rsidR="001C19F3" w:rsidRDefault="001C19F3" w:rsidP="001C19F3">
      <w:pPr>
        <w:rPr>
          <w:rFonts w:eastAsia="Times New Roman"/>
        </w:rPr>
      </w:pPr>
      <w:r w:rsidRPr="001D564A">
        <w:rPr>
          <w:rFonts w:eastAsia="Times New Roman"/>
        </w:rPr>
        <w:t>Practice facilitators reported helping practices with the practical aspects of participating in HCH (such as using the RST, registering patients with HPOS, getting logins for practice staff for the evaluation portal), with the conceptual aspects of the model (such as working together as a team), and motivating them to continue with the program when they face</w:t>
      </w:r>
      <w:r>
        <w:rPr>
          <w:rFonts w:eastAsia="Times New Roman"/>
        </w:rPr>
        <w:t>d</w:t>
      </w:r>
      <w:r w:rsidRPr="001D564A">
        <w:rPr>
          <w:rFonts w:eastAsia="Times New Roman"/>
        </w:rPr>
        <w:t xml:space="preserve"> challenges (“</w:t>
      </w:r>
      <w:r w:rsidRPr="001D564A">
        <w:rPr>
          <w:rFonts w:eastAsia="Times New Roman"/>
          <w:i/>
        </w:rPr>
        <w:t>If they do throw their hands up in the air, we are there to calm them down and show them a way through</w:t>
      </w:r>
      <w:r w:rsidRPr="001D564A">
        <w:rPr>
          <w:rFonts w:eastAsia="Times New Roman"/>
        </w:rPr>
        <w:t>” [PHN 6, interview</w:t>
      </w:r>
      <w:r>
        <w:rPr>
          <w:rFonts w:eastAsia="Times New Roman"/>
        </w:rPr>
        <w:t>, R1</w:t>
      </w:r>
      <w:r w:rsidRPr="001D564A">
        <w:rPr>
          <w:rFonts w:eastAsia="Times New Roman"/>
        </w:rPr>
        <w:t>]).</w:t>
      </w:r>
      <w:r>
        <w:rPr>
          <w:rFonts w:eastAsia="Times New Roman"/>
        </w:rPr>
        <w:t xml:space="preserve"> </w:t>
      </w:r>
      <w:r>
        <w:rPr>
          <w:rFonts w:eastAsia="Times New Roman"/>
        </w:rPr>
        <w:fldChar w:fldCharType="begin"/>
      </w:r>
      <w:r>
        <w:rPr>
          <w:rFonts w:eastAsia="Times New Roman"/>
        </w:rPr>
        <w:instrText xml:space="preserve"> REF _Ref20758273 \h </w:instrText>
      </w:r>
      <w:r>
        <w:rPr>
          <w:rFonts w:eastAsia="Times New Roman"/>
        </w:rPr>
      </w:r>
      <w:r>
        <w:rPr>
          <w:rFonts w:eastAsia="Times New Roman"/>
        </w:rPr>
        <w:fldChar w:fldCharType="separate"/>
      </w:r>
      <w:r>
        <w:t xml:space="preserve">Table </w:t>
      </w:r>
      <w:r>
        <w:rPr>
          <w:noProof/>
        </w:rPr>
        <w:t>28</w:t>
      </w:r>
      <w:r>
        <w:rPr>
          <w:rFonts w:eastAsia="Times New Roman"/>
        </w:rPr>
        <w:fldChar w:fldCharType="end"/>
      </w:r>
      <w:r>
        <w:rPr>
          <w:rFonts w:eastAsia="Times New Roman"/>
        </w:rPr>
        <w:t xml:space="preserve"> sets out examples from the Round 1 survey of PHNs of the support provided by practice facilitators.</w:t>
      </w:r>
      <w:r>
        <w:rPr>
          <w:rFonts w:eastAsia="Times New Roman"/>
        </w:rPr>
        <w:br w:type="page"/>
      </w:r>
    </w:p>
    <w:p w14:paraId="752024A8" w14:textId="77777777" w:rsidR="001C19F3" w:rsidRDefault="001C19F3" w:rsidP="001C19F3">
      <w:pPr>
        <w:pStyle w:val="Caption"/>
      </w:pPr>
      <w:bookmarkStart w:id="211" w:name="_Ref20758273"/>
      <w:r>
        <w:lastRenderedPageBreak/>
        <w:t xml:space="preserve">Table </w:t>
      </w:r>
      <w:r w:rsidR="00831110">
        <w:fldChar w:fldCharType="begin"/>
      </w:r>
      <w:r w:rsidR="00831110">
        <w:instrText xml:space="preserve"> SEQ Table \* ARABIC </w:instrText>
      </w:r>
      <w:r w:rsidR="00831110">
        <w:fldChar w:fldCharType="separate"/>
      </w:r>
      <w:r>
        <w:rPr>
          <w:noProof/>
        </w:rPr>
        <w:t>28</w:t>
      </w:r>
      <w:r w:rsidR="00831110">
        <w:rPr>
          <w:noProof/>
        </w:rPr>
        <w:fldChar w:fldCharType="end"/>
      </w:r>
      <w:bookmarkEnd w:id="211"/>
      <w:r>
        <w:t xml:space="preserve"> – Examples of support provided by PHN practice facilitators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08"/>
        <w:gridCol w:w="4508"/>
      </w:tblGrid>
      <w:tr w:rsidR="001C19F3" w14:paraId="3A2A7039" w14:textId="77777777" w:rsidTr="00521305">
        <w:trPr>
          <w:tblHeader/>
        </w:trPr>
        <w:tc>
          <w:tcPr>
            <w:tcW w:w="4508" w:type="dxa"/>
            <w:shd w:val="clear" w:color="auto" w:fill="1F4E79" w:themeFill="accent1" w:themeFillShade="80"/>
          </w:tcPr>
          <w:p w14:paraId="6D2B4042" w14:textId="77777777" w:rsidR="001C19F3" w:rsidRPr="00B64FD4" w:rsidRDefault="001C19F3" w:rsidP="00521305">
            <w:pPr>
              <w:rPr>
                <w:b/>
                <w:color w:val="FFFFFF" w:themeColor="background1"/>
                <w:sz w:val="18"/>
                <w:szCs w:val="18"/>
              </w:rPr>
            </w:pPr>
            <w:r w:rsidRPr="00B64FD4">
              <w:rPr>
                <w:b/>
                <w:color w:val="FFFFFF" w:themeColor="background1"/>
                <w:sz w:val="18"/>
                <w:szCs w:val="18"/>
              </w:rPr>
              <w:t>Practical support</w:t>
            </w:r>
          </w:p>
        </w:tc>
        <w:tc>
          <w:tcPr>
            <w:tcW w:w="4508" w:type="dxa"/>
            <w:shd w:val="clear" w:color="auto" w:fill="1F4E79" w:themeFill="accent1" w:themeFillShade="80"/>
          </w:tcPr>
          <w:p w14:paraId="2F4D0E4D" w14:textId="77777777" w:rsidR="001C19F3" w:rsidRPr="00B64FD4" w:rsidRDefault="001C19F3" w:rsidP="00521305">
            <w:pPr>
              <w:rPr>
                <w:b/>
                <w:color w:val="FFFFFF" w:themeColor="background1"/>
                <w:sz w:val="18"/>
                <w:szCs w:val="18"/>
              </w:rPr>
            </w:pPr>
            <w:r w:rsidRPr="00B64FD4">
              <w:rPr>
                <w:b/>
                <w:color w:val="FFFFFF" w:themeColor="background1"/>
                <w:sz w:val="18"/>
                <w:szCs w:val="18"/>
              </w:rPr>
              <w:t>Organisational and motivational support</w:t>
            </w:r>
          </w:p>
        </w:tc>
      </w:tr>
      <w:tr w:rsidR="001C19F3" w14:paraId="1257DB21" w14:textId="77777777" w:rsidTr="00521305">
        <w:tc>
          <w:tcPr>
            <w:tcW w:w="4508" w:type="dxa"/>
          </w:tcPr>
          <w:p w14:paraId="092002CB"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Helping practices implement information technology (IT) infrastructure and education and processes around the use of the IT (includes HPOS, the Health Policy Analysis evaluation portal, Topbar, Precedence Connector Training, HCH-A tool, shared care planning software).</w:t>
            </w:r>
          </w:p>
          <w:p w14:paraId="2C17CF2F"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Working with practices on administrative tasks.</w:t>
            </w:r>
          </w:p>
          <w:p w14:paraId="287402B6"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Maintaining a repository of information about HCH that the practices can access. Repositories were usually online portals that the PHNs had created to organise the material about the program.</w:t>
            </w:r>
          </w:p>
          <w:p w14:paraId="0598C248"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 xml:space="preserve">Maintaining a website for the program. </w:t>
            </w:r>
            <w:r>
              <w:rPr>
                <w:rFonts w:eastAsia="Times New Roman"/>
                <w:sz w:val="18"/>
                <w:szCs w:val="18"/>
              </w:rPr>
              <w:t>T</w:t>
            </w:r>
            <w:r w:rsidRPr="008C108C">
              <w:rPr>
                <w:rFonts w:eastAsia="Times New Roman"/>
                <w:sz w:val="18"/>
                <w:szCs w:val="18"/>
              </w:rPr>
              <w:t>he websites served to communicate information about the program, such as key dates and information about shared care planning tools.</w:t>
            </w:r>
          </w:p>
          <w:p w14:paraId="5062068B"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Facilitating other processes, such as completion of the HCH-A tool</w:t>
            </w:r>
          </w:p>
          <w:p w14:paraId="5BA1D9C9"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Assisting practices with patient registration, including patient education (e.g. development of case studies of how patients benefited from programs similar to the HCH model).</w:t>
            </w:r>
          </w:p>
          <w:p w14:paraId="6B2CE54F"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Helping practices clean up their data to effectively apply the RST.</w:t>
            </w:r>
          </w:p>
          <w:p w14:paraId="3465FA1E"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Helping practices around control and delegation of tasks to facilitate improvement in workflow.</w:t>
            </w:r>
          </w:p>
          <w:p w14:paraId="47391276" w14:textId="77777777" w:rsidR="001C19F3" w:rsidRPr="00A46722" w:rsidRDefault="001C19F3" w:rsidP="001C19F3">
            <w:pPr>
              <w:numPr>
                <w:ilvl w:val="0"/>
                <w:numId w:val="15"/>
              </w:numPr>
              <w:ind w:left="360"/>
              <w:contextualSpacing/>
              <w:rPr>
                <w:rFonts w:eastAsia="Times New Roman"/>
                <w:sz w:val="18"/>
                <w:szCs w:val="18"/>
              </w:rPr>
            </w:pPr>
            <w:r w:rsidRPr="00A46722">
              <w:rPr>
                <w:rFonts w:eastAsia="Times New Roman"/>
                <w:sz w:val="18"/>
                <w:szCs w:val="18"/>
              </w:rPr>
              <w:t>Role playing around patient enrolment</w:t>
            </w:r>
            <w:r>
              <w:rPr>
                <w:rFonts w:eastAsia="Times New Roman"/>
                <w:sz w:val="18"/>
                <w:szCs w:val="18"/>
              </w:rPr>
              <w:t>.</w:t>
            </w:r>
          </w:p>
          <w:p w14:paraId="7386103B"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Utilising clinical support staff from PHNs to train practice staff on the RST and patient enrolment processes.</w:t>
            </w:r>
          </w:p>
          <w:p w14:paraId="79299FB1" w14:textId="77777777" w:rsidR="001C19F3" w:rsidRPr="008C108C" w:rsidRDefault="001C19F3" w:rsidP="00521305">
            <w:pPr>
              <w:ind w:left="360"/>
              <w:contextualSpacing/>
              <w:rPr>
                <w:rFonts w:eastAsia="Times New Roman"/>
                <w:sz w:val="18"/>
                <w:szCs w:val="18"/>
              </w:rPr>
            </w:pPr>
          </w:p>
        </w:tc>
        <w:tc>
          <w:tcPr>
            <w:tcW w:w="4508" w:type="dxa"/>
          </w:tcPr>
          <w:p w14:paraId="4CE037AB"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Acting as intermediary between the practices and the Department of Health.</w:t>
            </w:r>
          </w:p>
          <w:p w14:paraId="50C48A64"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Identifying clinical champions.</w:t>
            </w:r>
          </w:p>
          <w:p w14:paraId="1EFDEE0E"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 xml:space="preserve">Providing education </w:t>
            </w:r>
            <w:r>
              <w:rPr>
                <w:rFonts w:eastAsia="Times New Roman"/>
                <w:sz w:val="18"/>
                <w:szCs w:val="18"/>
              </w:rPr>
              <w:t xml:space="preserve">and training </w:t>
            </w:r>
            <w:r w:rsidRPr="008C108C">
              <w:rPr>
                <w:rFonts w:eastAsia="Times New Roman"/>
                <w:sz w:val="18"/>
                <w:szCs w:val="18"/>
              </w:rPr>
              <w:t>about the program</w:t>
            </w:r>
            <w:r>
              <w:rPr>
                <w:rFonts w:eastAsia="Times New Roman"/>
                <w:sz w:val="18"/>
                <w:szCs w:val="18"/>
              </w:rPr>
              <w:t xml:space="preserve"> either </w:t>
            </w:r>
            <w:r w:rsidRPr="008C108C">
              <w:rPr>
                <w:rFonts w:eastAsia="Times New Roman"/>
                <w:sz w:val="18"/>
                <w:szCs w:val="18"/>
              </w:rPr>
              <w:t>through running workshops on different aspects of HCH or providing information in other forms (e.g. newsletter).</w:t>
            </w:r>
          </w:p>
          <w:p w14:paraId="0EA24CC1"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 xml:space="preserve">Establishing and supporting communities of practice. </w:t>
            </w:r>
          </w:p>
          <w:p w14:paraId="03674E66"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Assessing practices’ readiness and developing action plans based on their level of readiness.</w:t>
            </w:r>
          </w:p>
          <w:p w14:paraId="2D376111"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Assisting practices with their workflow by mapping out processes and identifying gaps or potential improvements to those processes.</w:t>
            </w:r>
          </w:p>
          <w:p w14:paraId="4093A3FD" w14:textId="77777777" w:rsidR="001C19F3" w:rsidRDefault="001C19F3" w:rsidP="001C19F3">
            <w:pPr>
              <w:numPr>
                <w:ilvl w:val="0"/>
                <w:numId w:val="15"/>
              </w:numPr>
              <w:ind w:left="360"/>
              <w:contextualSpacing/>
              <w:rPr>
                <w:rFonts w:eastAsia="Times New Roman"/>
                <w:sz w:val="18"/>
                <w:szCs w:val="18"/>
              </w:rPr>
            </w:pPr>
            <w:r w:rsidRPr="008C108C">
              <w:rPr>
                <w:rFonts w:eastAsia="Times New Roman"/>
                <w:sz w:val="18"/>
                <w:szCs w:val="18"/>
              </w:rPr>
              <w:t xml:space="preserve">Creating tools to help practices. For example, checklists of what needs to happen and when, such as for patient registration. </w:t>
            </w:r>
          </w:p>
          <w:p w14:paraId="7B070071" w14:textId="77777777" w:rsidR="001C19F3" w:rsidRPr="008C108C" w:rsidRDefault="001C19F3" w:rsidP="001C19F3">
            <w:pPr>
              <w:numPr>
                <w:ilvl w:val="0"/>
                <w:numId w:val="15"/>
              </w:numPr>
              <w:ind w:left="360"/>
              <w:contextualSpacing/>
              <w:rPr>
                <w:rFonts w:eastAsia="Times New Roman"/>
                <w:sz w:val="18"/>
                <w:szCs w:val="18"/>
              </w:rPr>
            </w:pPr>
            <w:r>
              <w:rPr>
                <w:rFonts w:eastAsia="Times New Roman"/>
                <w:sz w:val="18"/>
                <w:szCs w:val="18"/>
              </w:rPr>
              <w:t>Sharing information and approaches from elsewhere</w:t>
            </w:r>
          </w:p>
          <w:p w14:paraId="56A8DF98"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Facilitating team huddles and encouraging communication among practice teams</w:t>
            </w:r>
          </w:p>
          <w:p w14:paraId="27969D77"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Creating friendly competition among regional HCH practices by sharing weekly patient enrolment numbers and general updates.</w:t>
            </w:r>
          </w:p>
          <w:p w14:paraId="5823B080"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Hosting shared care planning workshops.</w:t>
            </w:r>
          </w:p>
          <w:p w14:paraId="6C370945"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Organising patient engagement sessions for practices to have delegated time to enrol patients and learn how to effectively describe the program and its benefits.</w:t>
            </w:r>
          </w:p>
          <w:p w14:paraId="166B960D" w14:textId="77777777" w:rsidR="001C19F3" w:rsidRPr="008C108C" w:rsidRDefault="001C19F3" w:rsidP="001C19F3">
            <w:pPr>
              <w:numPr>
                <w:ilvl w:val="0"/>
                <w:numId w:val="15"/>
              </w:numPr>
              <w:ind w:left="360"/>
              <w:contextualSpacing/>
              <w:rPr>
                <w:rFonts w:eastAsia="Times New Roman"/>
                <w:sz w:val="18"/>
                <w:szCs w:val="18"/>
              </w:rPr>
            </w:pPr>
            <w:r w:rsidRPr="008C108C">
              <w:rPr>
                <w:rFonts w:eastAsia="Times New Roman"/>
                <w:sz w:val="18"/>
                <w:szCs w:val="18"/>
              </w:rPr>
              <w:t>Providing dashboards of aggregate data to motivate practices and give feedback on quality improvement.</w:t>
            </w:r>
          </w:p>
          <w:p w14:paraId="38683F79" w14:textId="77777777" w:rsidR="001C19F3" w:rsidRPr="00CB605D" w:rsidRDefault="001C19F3" w:rsidP="001C19F3">
            <w:pPr>
              <w:numPr>
                <w:ilvl w:val="0"/>
                <w:numId w:val="15"/>
              </w:numPr>
              <w:ind w:left="360"/>
              <w:contextualSpacing/>
              <w:rPr>
                <w:rFonts w:eastAsia="Times New Roman"/>
                <w:sz w:val="18"/>
                <w:szCs w:val="18"/>
              </w:rPr>
            </w:pPr>
            <w:r w:rsidRPr="00B265C1">
              <w:rPr>
                <w:rFonts w:eastAsia="Times New Roman"/>
                <w:sz w:val="18"/>
                <w:szCs w:val="18"/>
              </w:rPr>
              <w:t>Discussing key performance indicators (KPIs) set by the PHN.</w:t>
            </w:r>
          </w:p>
        </w:tc>
      </w:tr>
    </w:tbl>
    <w:p w14:paraId="4F7E301E" w14:textId="77777777" w:rsidR="001C19F3" w:rsidRDefault="001C19F3" w:rsidP="001C19F3">
      <w:pPr>
        <w:spacing w:after="0"/>
        <w:rPr>
          <w:rFonts w:eastAsia="Times New Roman"/>
        </w:rPr>
      </w:pPr>
      <w:r>
        <w:rPr>
          <w:rFonts w:eastAsia="Times New Roman"/>
        </w:rPr>
        <w:t xml:space="preserve"> </w:t>
      </w:r>
    </w:p>
    <w:p w14:paraId="3708D267" w14:textId="77777777" w:rsidR="001C19F3" w:rsidRPr="001D564A" w:rsidRDefault="001C19F3" w:rsidP="001C19F3">
      <w:pPr>
        <w:rPr>
          <w:rFonts w:eastAsia="Times New Roman"/>
        </w:rPr>
      </w:pPr>
      <w:r w:rsidRPr="001D564A">
        <w:rPr>
          <w:rFonts w:eastAsia="Times New Roman"/>
        </w:rPr>
        <w:t>Practice facilitators created tools out of necessity (“</w:t>
      </w:r>
      <w:r w:rsidRPr="001D564A">
        <w:rPr>
          <w:rFonts w:eastAsia="Times New Roman"/>
          <w:i/>
        </w:rPr>
        <w:t xml:space="preserve">to give </w:t>
      </w:r>
      <w:r w:rsidRPr="001D564A">
        <w:rPr>
          <w:rFonts w:eastAsia="Times New Roman"/>
        </w:rPr>
        <w:t>[practices]</w:t>
      </w:r>
      <w:r w:rsidRPr="001D564A">
        <w:rPr>
          <w:rFonts w:eastAsia="Times New Roman"/>
          <w:i/>
        </w:rPr>
        <w:t xml:space="preserve"> something that was tangible of what the process was</w:t>
      </w:r>
      <w:r w:rsidRPr="001D564A">
        <w:rPr>
          <w:rFonts w:eastAsia="Times New Roman"/>
        </w:rPr>
        <w:t>” [PHN 7, interview</w:t>
      </w:r>
      <w:r>
        <w:rPr>
          <w:rFonts w:eastAsia="Times New Roman"/>
        </w:rPr>
        <w:t>, R1]</w:t>
      </w:r>
      <w:r w:rsidRPr="001D564A">
        <w:rPr>
          <w:rFonts w:eastAsia="Times New Roman"/>
        </w:rPr>
        <w:t xml:space="preserve"> but felt that there was duplication amongst the PHNs in some of these tools. They suggested some key tools may have been developed nationally (e.g. coordinated by the Department of Health or a lead PHN and drawing on a network of experts), and subsequently adapted by PHNs for local use.</w:t>
      </w:r>
    </w:p>
    <w:p w14:paraId="687C9BA6" w14:textId="77777777" w:rsidR="001C19F3" w:rsidRPr="004A66A1" w:rsidRDefault="001C19F3" w:rsidP="001C19F3">
      <w:pPr>
        <w:pStyle w:val="Heading3"/>
      </w:pPr>
      <w:r w:rsidRPr="004A66A1">
        <w:t>Variation in practice support</w:t>
      </w:r>
    </w:p>
    <w:p w14:paraId="0F6C0E2B" w14:textId="77777777" w:rsidR="001C19F3" w:rsidRDefault="001C19F3" w:rsidP="001C19F3">
      <w:pPr>
        <w:contextualSpacing/>
        <w:rPr>
          <w:rFonts w:eastAsia="Times New Roman"/>
        </w:rPr>
      </w:pPr>
      <w:r w:rsidRPr="001D564A">
        <w:rPr>
          <w:rFonts w:eastAsia="Times New Roman"/>
        </w:rPr>
        <w:t xml:space="preserve">Practice facilitators thought that solo and small practices needed less support than medium and large practices. No differences were identified according to whether practices were </w:t>
      </w:r>
      <w:r w:rsidRPr="00A1633F">
        <w:rPr>
          <w:rFonts w:eastAsia="Times New Roman"/>
        </w:rPr>
        <w:t>independent versus corporately owned; some thought that corporate practices needed less support than independent practices and others thought that they needed more.</w:t>
      </w:r>
    </w:p>
    <w:p w14:paraId="3F683973" w14:textId="77777777" w:rsidR="001C19F3" w:rsidRDefault="001C19F3" w:rsidP="001C19F3">
      <w:pPr>
        <w:contextualSpacing/>
        <w:rPr>
          <w:rFonts w:eastAsia="Times New Roman"/>
        </w:rPr>
      </w:pPr>
    </w:p>
    <w:p w14:paraId="1C70C29A" w14:textId="77777777" w:rsidR="001C19F3" w:rsidRPr="00A1633F" w:rsidRDefault="001C19F3" w:rsidP="001C19F3">
      <w:pPr>
        <w:rPr>
          <w:rFonts w:eastAsia="Times New Roman"/>
        </w:rPr>
      </w:pPr>
      <w:r w:rsidRPr="00A1633F">
        <w:rPr>
          <w:rFonts w:eastAsia="Times New Roman"/>
        </w:rPr>
        <w:t xml:space="preserve">Though corporate practices may have their own resources, facilitators </w:t>
      </w:r>
      <w:r>
        <w:rPr>
          <w:rFonts w:eastAsia="Times New Roman"/>
        </w:rPr>
        <w:t xml:space="preserve">found </w:t>
      </w:r>
      <w:r w:rsidRPr="00A1633F">
        <w:rPr>
          <w:rFonts w:eastAsia="Times New Roman"/>
        </w:rPr>
        <w:t xml:space="preserve">staff access and buy-in issues </w:t>
      </w:r>
      <w:r>
        <w:rPr>
          <w:rFonts w:eastAsia="Times New Roman"/>
        </w:rPr>
        <w:t xml:space="preserve">were barriers to </w:t>
      </w:r>
      <w:r w:rsidRPr="00A1633F">
        <w:rPr>
          <w:rFonts w:eastAsia="Times New Roman"/>
        </w:rPr>
        <w:t>implement</w:t>
      </w:r>
      <w:r>
        <w:rPr>
          <w:rFonts w:eastAsia="Times New Roman"/>
        </w:rPr>
        <w:t>ing</w:t>
      </w:r>
      <w:r w:rsidRPr="00A1633F">
        <w:rPr>
          <w:rFonts w:eastAsia="Times New Roman"/>
        </w:rPr>
        <w:t xml:space="preserve"> the HCH model. These issues have arisen from the management structure of corporate practices which</w:t>
      </w:r>
      <w:r>
        <w:rPr>
          <w:rFonts w:eastAsia="Times New Roman"/>
        </w:rPr>
        <w:t xml:space="preserve"> often require </w:t>
      </w:r>
      <w:r w:rsidRPr="00A1633F">
        <w:rPr>
          <w:rFonts w:eastAsia="Times New Roman"/>
        </w:rPr>
        <w:t xml:space="preserve">decisions and all communication </w:t>
      </w:r>
      <w:r>
        <w:rPr>
          <w:rFonts w:eastAsia="Times New Roman"/>
        </w:rPr>
        <w:t xml:space="preserve">to </w:t>
      </w:r>
      <w:r w:rsidRPr="00A1633F">
        <w:rPr>
          <w:rFonts w:eastAsia="Times New Roman"/>
        </w:rPr>
        <w:t xml:space="preserve">go through regional managers or the head office. In addition, </w:t>
      </w:r>
      <w:r>
        <w:rPr>
          <w:rFonts w:eastAsia="Times New Roman"/>
        </w:rPr>
        <w:t>some</w:t>
      </w:r>
      <w:r w:rsidRPr="00A1633F">
        <w:rPr>
          <w:rFonts w:eastAsia="Times New Roman"/>
        </w:rPr>
        <w:t xml:space="preserve"> corporates made the executive decision to join HCH without getting </w:t>
      </w:r>
      <w:r>
        <w:rPr>
          <w:rFonts w:eastAsia="Times New Roman"/>
        </w:rPr>
        <w:t xml:space="preserve">prior </w:t>
      </w:r>
      <w:r w:rsidRPr="00A1633F">
        <w:rPr>
          <w:rFonts w:eastAsia="Times New Roman"/>
        </w:rPr>
        <w:t>buy-in from many of the doctors or practice teams:</w:t>
      </w:r>
    </w:p>
    <w:p w14:paraId="2CE64EE9" w14:textId="77777777" w:rsidR="001C19F3" w:rsidRPr="00A1633F" w:rsidRDefault="001C19F3" w:rsidP="001C19F3">
      <w:pPr>
        <w:ind w:left="567" w:right="1088"/>
        <w:rPr>
          <w:rFonts w:eastAsia="Times New Roman"/>
        </w:rPr>
      </w:pPr>
      <w:r w:rsidRPr="00A1633F">
        <w:rPr>
          <w:rFonts w:eastAsia="Times New Roman"/>
          <w:i/>
        </w:rPr>
        <w:t>“</w:t>
      </w:r>
      <w:r>
        <w:rPr>
          <w:rFonts w:eastAsia="Times New Roman"/>
          <w:i/>
        </w:rPr>
        <w:t>…</w:t>
      </w:r>
      <w:r w:rsidRPr="00A1633F">
        <w:rPr>
          <w:rFonts w:eastAsia="Times New Roman"/>
          <w:i/>
        </w:rPr>
        <w:t xml:space="preserve">they really wouldn't allow the PHN to provide very much support…The other major challenge was that the requirements for the </w:t>
      </w:r>
      <w:r w:rsidRPr="00A1633F">
        <w:rPr>
          <w:rFonts w:eastAsia="Times New Roman"/>
        </w:rPr>
        <w:t>[corporate practice]</w:t>
      </w:r>
      <w:r w:rsidRPr="00A1633F">
        <w:rPr>
          <w:rFonts w:eastAsia="Times New Roman"/>
          <w:i/>
        </w:rPr>
        <w:t xml:space="preserve"> was that everything be done through their regional managers. Which then meant that the local people on the ground who were struggling didn't have the opportunity to get the support that they really needed to be able to implement the change that was required.” </w:t>
      </w:r>
      <w:r w:rsidRPr="00A1633F">
        <w:rPr>
          <w:rFonts w:eastAsia="Times New Roman"/>
        </w:rPr>
        <w:t xml:space="preserve">[PHN 5, </w:t>
      </w:r>
      <w:r>
        <w:rPr>
          <w:rFonts w:eastAsia="Times New Roman"/>
        </w:rPr>
        <w:t>interview, R1]</w:t>
      </w:r>
    </w:p>
    <w:p w14:paraId="1A6E06A1" w14:textId="77777777" w:rsidR="001C19F3" w:rsidRPr="00A1633F" w:rsidRDefault="001C19F3" w:rsidP="001C19F3">
      <w:pPr>
        <w:rPr>
          <w:rFonts w:eastAsia="Times New Roman"/>
        </w:rPr>
      </w:pPr>
      <w:r w:rsidRPr="00A1633F">
        <w:rPr>
          <w:rFonts w:eastAsia="Times New Roman"/>
        </w:rPr>
        <w:t>Some facilitators reported that remote and rural practices needed additional support due to a myriad of factors</w:t>
      </w:r>
      <w:r>
        <w:rPr>
          <w:rFonts w:eastAsia="Times New Roman"/>
        </w:rPr>
        <w:t>, including</w:t>
      </w:r>
      <w:r w:rsidRPr="00A1633F">
        <w:rPr>
          <w:rFonts w:eastAsia="Times New Roman"/>
        </w:rPr>
        <w:t xml:space="preserve"> issues with remote internet access and difficulty with staff turnover and recruitment in both PHNs and general practices</w:t>
      </w:r>
      <w:r>
        <w:rPr>
          <w:rFonts w:eastAsia="Times New Roman"/>
        </w:rPr>
        <w:t>. F</w:t>
      </w:r>
      <w:r w:rsidRPr="00A1633F">
        <w:rPr>
          <w:rFonts w:eastAsia="Times New Roman"/>
        </w:rPr>
        <w:t xml:space="preserve">acilitators’ </w:t>
      </w:r>
      <w:r>
        <w:rPr>
          <w:rFonts w:eastAsia="Times New Roman"/>
        </w:rPr>
        <w:t xml:space="preserve">were often unable to </w:t>
      </w:r>
      <w:r w:rsidRPr="00A1633F">
        <w:rPr>
          <w:rFonts w:eastAsia="Times New Roman"/>
        </w:rPr>
        <w:t xml:space="preserve">provide ongoing support and visit these practices frequently due to </w:t>
      </w:r>
      <w:r>
        <w:rPr>
          <w:rFonts w:eastAsia="Times New Roman"/>
        </w:rPr>
        <w:t xml:space="preserve">the </w:t>
      </w:r>
      <w:r w:rsidRPr="00A1633F">
        <w:rPr>
          <w:rFonts w:eastAsia="Times New Roman"/>
        </w:rPr>
        <w:t xml:space="preserve">amount of </w:t>
      </w:r>
      <w:r>
        <w:rPr>
          <w:rFonts w:eastAsia="Times New Roman"/>
        </w:rPr>
        <w:t xml:space="preserve">travel </w:t>
      </w:r>
      <w:r w:rsidRPr="00A1633F">
        <w:rPr>
          <w:rFonts w:eastAsia="Times New Roman"/>
        </w:rPr>
        <w:t>time:</w:t>
      </w:r>
    </w:p>
    <w:p w14:paraId="0A011AFE" w14:textId="77777777" w:rsidR="001C19F3" w:rsidRPr="00A1633F" w:rsidRDefault="001C19F3" w:rsidP="001C19F3">
      <w:pPr>
        <w:ind w:left="567" w:right="1088"/>
        <w:rPr>
          <w:rFonts w:eastAsia="Times New Roman"/>
        </w:rPr>
      </w:pPr>
      <w:r w:rsidRPr="00A1633F">
        <w:rPr>
          <w:rFonts w:eastAsia="Times New Roman"/>
          <w:i/>
        </w:rPr>
        <w:t>“A lot of those are really remote communities, we’re talking driving five, six, seven hours to get to these communities…we</w:t>
      </w:r>
      <w:r>
        <w:rPr>
          <w:rFonts w:eastAsia="Times New Roman"/>
          <w:i/>
        </w:rPr>
        <w:t>’</w:t>
      </w:r>
      <w:r w:rsidRPr="00A1633F">
        <w:rPr>
          <w:rFonts w:eastAsia="Times New Roman"/>
          <w:i/>
        </w:rPr>
        <w:t>re on satellite internet and that costs a fortune and every time PRODA</w:t>
      </w:r>
      <w:r>
        <w:rPr>
          <w:rStyle w:val="FootnoteReference"/>
          <w:rFonts w:eastAsia="Times New Roman"/>
        </w:rPr>
        <w:footnoteReference w:id="14"/>
      </w:r>
      <w:r>
        <w:rPr>
          <w:rFonts w:eastAsia="Times New Roman"/>
        </w:rPr>
        <w:t xml:space="preserve"> </w:t>
      </w:r>
      <w:r w:rsidRPr="00A1633F">
        <w:rPr>
          <w:rFonts w:eastAsia="Times New Roman"/>
          <w:i/>
        </w:rPr>
        <w:t>drops out or HPOS drops out or the HARP tool was dropping out it was causing more issues than it was actually worth trying to get them enrolled.”</w:t>
      </w:r>
      <w:r w:rsidRPr="00A1633F">
        <w:rPr>
          <w:rFonts w:eastAsia="Times New Roman"/>
        </w:rPr>
        <w:t xml:space="preserve"> [PHN 8, </w:t>
      </w:r>
      <w:r>
        <w:rPr>
          <w:rFonts w:eastAsia="Times New Roman"/>
        </w:rPr>
        <w:t>interview, R2]</w:t>
      </w:r>
    </w:p>
    <w:p w14:paraId="67754735" w14:textId="77777777" w:rsidR="001C19F3" w:rsidRPr="00A1633F" w:rsidRDefault="001C19F3" w:rsidP="001C19F3">
      <w:pPr>
        <w:rPr>
          <w:rFonts w:eastAsia="Times New Roman"/>
        </w:rPr>
      </w:pPr>
      <w:r w:rsidRPr="00A1633F">
        <w:rPr>
          <w:rFonts w:eastAsia="Times New Roman"/>
        </w:rPr>
        <w:t>Another facilitator commented:</w:t>
      </w:r>
    </w:p>
    <w:p w14:paraId="19399A4B" w14:textId="77777777" w:rsidR="001C19F3" w:rsidRDefault="001C19F3" w:rsidP="001C19F3">
      <w:pPr>
        <w:ind w:left="567" w:right="1088"/>
        <w:rPr>
          <w:rFonts w:eastAsia="Times New Roman"/>
        </w:rPr>
      </w:pPr>
      <w:r w:rsidRPr="00A1633F">
        <w:rPr>
          <w:rFonts w:eastAsia="Times New Roman"/>
          <w:i/>
        </w:rPr>
        <w:t xml:space="preserve">“We have got a shortage of GPs in our </w:t>
      </w:r>
      <w:r w:rsidRPr="00A1633F">
        <w:rPr>
          <w:rFonts w:eastAsia="Times New Roman"/>
        </w:rPr>
        <w:t>[region]</w:t>
      </w:r>
      <w:r w:rsidRPr="00A1633F">
        <w:rPr>
          <w:rFonts w:eastAsia="Times New Roman"/>
          <w:i/>
        </w:rPr>
        <w:t xml:space="preserve"> practices…</w:t>
      </w:r>
      <w:r w:rsidRPr="00A1633F">
        <w:t xml:space="preserve"> </w:t>
      </w:r>
      <w:r w:rsidRPr="00A1633F">
        <w:rPr>
          <w:rFonts w:eastAsia="Times New Roman"/>
          <w:i/>
        </w:rPr>
        <w:t xml:space="preserve">the resources are just really stretched in most of our practices.” </w:t>
      </w:r>
      <w:r w:rsidRPr="00A1633F">
        <w:rPr>
          <w:rFonts w:eastAsia="Times New Roman"/>
        </w:rPr>
        <w:t xml:space="preserve">[PHN 5, </w:t>
      </w:r>
      <w:r>
        <w:rPr>
          <w:rFonts w:eastAsia="Times New Roman"/>
        </w:rPr>
        <w:t>interview, R2]</w:t>
      </w:r>
    </w:p>
    <w:p w14:paraId="51E0E126" w14:textId="77777777" w:rsidR="001C19F3" w:rsidRPr="001D564A" w:rsidRDefault="001C19F3" w:rsidP="001C19F3">
      <w:pPr>
        <w:rPr>
          <w:rFonts w:eastAsia="Times New Roman"/>
        </w:rPr>
      </w:pPr>
      <w:r w:rsidRPr="001D564A">
        <w:rPr>
          <w:rFonts w:eastAsia="Times New Roman"/>
        </w:rPr>
        <w:t xml:space="preserve">Other </w:t>
      </w:r>
      <w:r>
        <w:rPr>
          <w:rFonts w:eastAsia="Times New Roman"/>
        </w:rPr>
        <w:t>characteristics of practices that</w:t>
      </w:r>
      <w:r w:rsidRPr="001D564A">
        <w:rPr>
          <w:rFonts w:eastAsia="Times New Roman"/>
        </w:rPr>
        <w:t xml:space="preserve"> practice facilitators</w:t>
      </w:r>
      <w:r>
        <w:rPr>
          <w:rFonts w:eastAsia="Times New Roman"/>
        </w:rPr>
        <w:t xml:space="preserve"> thought meant that they needed </w:t>
      </w:r>
      <w:r w:rsidRPr="001D564A">
        <w:rPr>
          <w:rFonts w:eastAsia="Times New Roman"/>
        </w:rPr>
        <w:t>a greater level of support were:</w:t>
      </w:r>
    </w:p>
    <w:p w14:paraId="3B2A4798" w14:textId="77777777" w:rsidR="001C19F3" w:rsidRPr="00A1633F" w:rsidRDefault="001C19F3" w:rsidP="001C19F3">
      <w:pPr>
        <w:numPr>
          <w:ilvl w:val="0"/>
          <w:numId w:val="18"/>
        </w:numPr>
        <w:contextualSpacing/>
        <w:rPr>
          <w:rFonts w:eastAsia="Times New Roman"/>
        </w:rPr>
      </w:pPr>
      <w:r w:rsidRPr="00A1633F">
        <w:rPr>
          <w:rFonts w:eastAsia="Times New Roman"/>
        </w:rPr>
        <w:t>Multicultural patient demographic with language barriers</w:t>
      </w:r>
      <w:r>
        <w:rPr>
          <w:rFonts w:eastAsia="Times New Roman"/>
        </w:rPr>
        <w:t>.</w:t>
      </w:r>
    </w:p>
    <w:p w14:paraId="6009756C" w14:textId="77777777" w:rsidR="001C19F3" w:rsidRPr="001D564A" w:rsidRDefault="001C19F3" w:rsidP="001C19F3">
      <w:pPr>
        <w:numPr>
          <w:ilvl w:val="0"/>
          <w:numId w:val="18"/>
        </w:numPr>
        <w:contextualSpacing/>
        <w:rPr>
          <w:rFonts w:eastAsia="Times New Roman"/>
        </w:rPr>
      </w:pPr>
      <w:r w:rsidRPr="00A1633F">
        <w:rPr>
          <w:rFonts w:eastAsia="Times New Roman"/>
        </w:rPr>
        <w:t xml:space="preserve">Current model of care inconsistent with HCH (e.g. no prior implementation of nurse led clinics, clinicians not </w:t>
      </w:r>
      <w:r w:rsidRPr="001D564A">
        <w:rPr>
          <w:rFonts w:eastAsia="Times New Roman"/>
        </w:rPr>
        <w:t>working to top of professional scope, GPs not being aware of nurses’ skillsets or unwilling to delegate tasks to nurses).</w:t>
      </w:r>
    </w:p>
    <w:p w14:paraId="65EA9CF4" w14:textId="77777777" w:rsidR="001C19F3" w:rsidRPr="001D564A" w:rsidRDefault="001C19F3" w:rsidP="001C19F3">
      <w:pPr>
        <w:numPr>
          <w:ilvl w:val="0"/>
          <w:numId w:val="18"/>
        </w:numPr>
        <w:contextualSpacing/>
        <w:rPr>
          <w:rFonts w:eastAsia="Times New Roman"/>
        </w:rPr>
      </w:pPr>
      <w:r w:rsidRPr="001D564A">
        <w:rPr>
          <w:rFonts w:eastAsia="Times New Roman"/>
        </w:rPr>
        <w:t>Lack of systems and processes</w:t>
      </w:r>
      <w:r>
        <w:rPr>
          <w:rFonts w:eastAsia="Times New Roman"/>
        </w:rPr>
        <w:t>.</w:t>
      </w:r>
    </w:p>
    <w:p w14:paraId="74942BFB" w14:textId="77777777" w:rsidR="001C19F3" w:rsidRPr="00A1633F" w:rsidRDefault="001C19F3" w:rsidP="001C19F3">
      <w:pPr>
        <w:numPr>
          <w:ilvl w:val="0"/>
          <w:numId w:val="18"/>
        </w:numPr>
        <w:contextualSpacing/>
        <w:rPr>
          <w:rFonts w:eastAsia="Times New Roman"/>
        </w:rPr>
      </w:pPr>
      <w:r w:rsidRPr="00A1633F">
        <w:rPr>
          <w:rFonts w:eastAsia="Times New Roman"/>
        </w:rPr>
        <w:t>Staff turnover, especially of key roles such as practice manager and practice nurse</w:t>
      </w:r>
      <w:r>
        <w:rPr>
          <w:rFonts w:eastAsia="Times New Roman"/>
        </w:rPr>
        <w:t>.</w:t>
      </w:r>
    </w:p>
    <w:p w14:paraId="7368393C" w14:textId="77777777" w:rsidR="001C19F3" w:rsidRPr="00A1633F" w:rsidRDefault="001C19F3" w:rsidP="001C19F3">
      <w:pPr>
        <w:numPr>
          <w:ilvl w:val="0"/>
          <w:numId w:val="18"/>
        </w:numPr>
        <w:ind w:left="714" w:hanging="357"/>
        <w:rPr>
          <w:rFonts w:eastAsia="Times New Roman"/>
        </w:rPr>
      </w:pPr>
      <w:r w:rsidRPr="00A1633F">
        <w:rPr>
          <w:rFonts w:eastAsia="Times New Roman"/>
        </w:rPr>
        <w:t>Leaders or GPs only working on a part-time basis</w:t>
      </w:r>
      <w:r>
        <w:rPr>
          <w:rFonts w:eastAsia="Times New Roman"/>
        </w:rPr>
        <w:t>.</w:t>
      </w:r>
    </w:p>
    <w:p w14:paraId="0068B926" w14:textId="77777777" w:rsidR="001C19F3" w:rsidRPr="00CB197C" w:rsidRDefault="001C19F3" w:rsidP="001C19F3">
      <w:pPr>
        <w:rPr>
          <w:rFonts w:eastAsia="Times New Roman"/>
        </w:rPr>
      </w:pPr>
      <w:r w:rsidRPr="00CB197C">
        <w:rPr>
          <w:rFonts w:eastAsia="Times New Roman"/>
        </w:rPr>
        <w:t>As the program has progressed, many facilitators reported focusing the HCH model and training materials on specific practice goals and identifying areas where the practices would need more support. This approach has been crucial for many facilitators in effectively working with practices on implementing HCH. It has allowed the facilitators to align the</w:t>
      </w:r>
      <w:r>
        <w:rPr>
          <w:rFonts w:eastAsia="Times New Roman"/>
        </w:rPr>
        <w:t xml:space="preserve"> </w:t>
      </w:r>
      <w:r w:rsidRPr="00CB197C">
        <w:rPr>
          <w:rFonts w:eastAsia="Times New Roman"/>
        </w:rPr>
        <w:t>model with individual practice values and objectives:</w:t>
      </w:r>
    </w:p>
    <w:p w14:paraId="4C938E24" w14:textId="77777777" w:rsidR="001C19F3" w:rsidRPr="00CB197C" w:rsidRDefault="001C19F3" w:rsidP="001C19F3">
      <w:pPr>
        <w:ind w:left="567" w:right="1088"/>
        <w:rPr>
          <w:rFonts w:cs="Arial"/>
          <w:szCs w:val="20"/>
          <w:lang w:val="en-GB"/>
        </w:rPr>
      </w:pPr>
      <w:r w:rsidRPr="00CB197C">
        <w:rPr>
          <w:rFonts w:cs="Arial"/>
          <w:i/>
          <w:szCs w:val="20"/>
          <w:lang w:val="en-GB"/>
        </w:rPr>
        <w:lastRenderedPageBreak/>
        <w:t>“We sort of simplified</w:t>
      </w:r>
      <w:r>
        <w:rPr>
          <w:rFonts w:cs="Arial"/>
          <w:i/>
          <w:szCs w:val="20"/>
          <w:lang w:val="en-GB"/>
        </w:rPr>
        <w:t>…</w:t>
      </w:r>
      <w:r w:rsidRPr="00CB197C">
        <w:rPr>
          <w:rFonts w:cs="Arial"/>
          <w:i/>
          <w:szCs w:val="20"/>
          <w:lang w:val="en-GB"/>
        </w:rPr>
        <w:t xml:space="preserve"> where we could</w:t>
      </w:r>
      <w:r>
        <w:rPr>
          <w:rFonts w:cs="Arial"/>
          <w:i/>
          <w:szCs w:val="20"/>
          <w:lang w:val="en-GB"/>
        </w:rPr>
        <w:t>…</w:t>
      </w:r>
      <w:r w:rsidRPr="00CB197C">
        <w:rPr>
          <w:rFonts w:cs="Arial"/>
          <w:i/>
          <w:szCs w:val="20"/>
          <w:lang w:val="en-GB"/>
        </w:rPr>
        <w:t>with practices, and really went through…this is a simple model of care, how would this individualise it for a practice, how does this work</w:t>
      </w:r>
      <w:r>
        <w:rPr>
          <w:rFonts w:cs="Arial"/>
          <w:i/>
          <w:szCs w:val="20"/>
          <w:lang w:val="en-GB"/>
        </w:rPr>
        <w:t>.</w:t>
      </w:r>
      <w:r w:rsidRPr="00CB197C">
        <w:rPr>
          <w:rFonts w:cs="Arial"/>
          <w:i/>
          <w:szCs w:val="20"/>
          <w:lang w:val="en-GB"/>
        </w:rPr>
        <w:t xml:space="preserve">” </w:t>
      </w:r>
      <w:r w:rsidRPr="00CB197C">
        <w:rPr>
          <w:rFonts w:cs="Arial"/>
          <w:szCs w:val="20"/>
          <w:lang w:val="en-GB"/>
        </w:rPr>
        <w:t>[PHN 4, interview</w:t>
      </w:r>
      <w:r>
        <w:rPr>
          <w:rFonts w:cs="Arial"/>
          <w:szCs w:val="20"/>
          <w:lang w:val="en-GB"/>
        </w:rPr>
        <w:t>, R2]</w:t>
      </w:r>
    </w:p>
    <w:p w14:paraId="53C0E2C8" w14:textId="77777777" w:rsidR="001C19F3" w:rsidRPr="00CB197C" w:rsidRDefault="001C19F3" w:rsidP="001C19F3">
      <w:pPr>
        <w:rPr>
          <w:szCs w:val="20"/>
        </w:rPr>
      </w:pPr>
      <w:r w:rsidRPr="00CB197C">
        <w:rPr>
          <w:szCs w:val="20"/>
        </w:rPr>
        <w:t>Facilitators discussed their approaches to providing support according to individual practice readiness and training needs. Some of these undertakings include:</w:t>
      </w:r>
    </w:p>
    <w:p w14:paraId="29C8E381" w14:textId="77777777" w:rsidR="001C19F3" w:rsidRPr="00CB197C" w:rsidRDefault="001C19F3" w:rsidP="001C19F3">
      <w:pPr>
        <w:pStyle w:val="ListParagraph"/>
        <w:numPr>
          <w:ilvl w:val="0"/>
          <w:numId w:val="40"/>
        </w:numPr>
        <w:spacing w:after="0"/>
        <w:rPr>
          <w:szCs w:val="20"/>
        </w:rPr>
      </w:pPr>
      <w:r w:rsidRPr="00CB197C">
        <w:rPr>
          <w:szCs w:val="20"/>
        </w:rPr>
        <w:t>Classifying their practices into different informal categories (transactional, business optimisation, and transformative practices)</w:t>
      </w:r>
    </w:p>
    <w:p w14:paraId="1ACCA555" w14:textId="77777777" w:rsidR="001C19F3" w:rsidRPr="00CB197C" w:rsidRDefault="001C19F3" w:rsidP="001C19F3">
      <w:pPr>
        <w:pStyle w:val="ListParagraph"/>
        <w:numPr>
          <w:ilvl w:val="0"/>
          <w:numId w:val="40"/>
        </w:numPr>
        <w:spacing w:after="0"/>
        <w:rPr>
          <w:szCs w:val="20"/>
        </w:rPr>
      </w:pPr>
      <w:r w:rsidRPr="00CB197C">
        <w:rPr>
          <w:szCs w:val="20"/>
        </w:rPr>
        <w:t>Going over specific practice goals and discussing potential enablers and barriers to HCH implementation</w:t>
      </w:r>
    </w:p>
    <w:p w14:paraId="37EF5CB6" w14:textId="77777777" w:rsidR="001C19F3" w:rsidRPr="00CB197C" w:rsidRDefault="001C19F3" w:rsidP="001C19F3">
      <w:pPr>
        <w:pStyle w:val="ListParagraph"/>
        <w:numPr>
          <w:ilvl w:val="0"/>
          <w:numId w:val="40"/>
        </w:numPr>
        <w:ind w:left="714" w:hanging="357"/>
        <w:contextualSpacing w:val="0"/>
        <w:rPr>
          <w:szCs w:val="20"/>
        </w:rPr>
      </w:pPr>
      <w:r w:rsidRPr="00CB197C">
        <w:rPr>
          <w:szCs w:val="20"/>
        </w:rPr>
        <w:t xml:space="preserve">Creating a checklist for practices to allow them to see </w:t>
      </w:r>
      <w:r w:rsidRPr="00CB197C">
        <w:rPr>
          <w:i/>
          <w:szCs w:val="20"/>
        </w:rPr>
        <w:t>“…where they’re at. And where some of their gaps were and what they were hoping to do with Health Care Homes”</w:t>
      </w:r>
      <w:r w:rsidRPr="00CB197C">
        <w:rPr>
          <w:szCs w:val="20"/>
        </w:rPr>
        <w:t xml:space="preserve"> [PHN 9, interview</w:t>
      </w:r>
      <w:r>
        <w:rPr>
          <w:szCs w:val="20"/>
        </w:rPr>
        <w:t>, R1]</w:t>
      </w:r>
      <w:r w:rsidRPr="00CB197C">
        <w:rPr>
          <w:szCs w:val="20"/>
        </w:rPr>
        <w:t xml:space="preserve">. </w:t>
      </w:r>
    </w:p>
    <w:p w14:paraId="74C479BF" w14:textId="77777777" w:rsidR="001C19F3" w:rsidRPr="00CB197C" w:rsidRDefault="001C19F3" w:rsidP="001C19F3">
      <w:pPr>
        <w:rPr>
          <w:szCs w:val="20"/>
        </w:rPr>
      </w:pPr>
      <w:r w:rsidRPr="00CB197C">
        <w:rPr>
          <w:szCs w:val="20"/>
        </w:rPr>
        <w:t>In regard to classifying practices, one facilitator reported:</w:t>
      </w:r>
    </w:p>
    <w:p w14:paraId="307F871A" w14:textId="77777777" w:rsidR="001C19F3" w:rsidRPr="00CB197C" w:rsidRDefault="001C19F3" w:rsidP="001C19F3">
      <w:pPr>
        <w:ind w:left="567" w:right="1088"/>
        <w:rPr>
          <w:rFonts w:eastAsia="Times New Roman"/>
          <w:i/>
        </w:rPr>
      </w:pPr>
      <w:r w:rsidRPr="00CB197C">
        <w:rPr>
          <w:rFonts w:eastAsia="Times New Roman"/>
          <w:i/>
        </w:rPr>
        <w:t xml:space="preserve">“…Essentially we look at the practice’s focus, we look at their current capacity and capability, we look at their workforce…So it’s do they have the capacity and capability to take on the number of programs, initiatives we have, and then as they sort of move along that continuum, they then move into that real sort of business and clinical optimisation phase, and then we transition them through that business and clinical optimisation up to our transformational practices…” </w:t>
      </w:r>
      <w:r w:rsidRPr="00CB197C">
        <w:rPr>
          <w:rFonts w:eastAsia="Times New Roman"/>
        </w:rPr>
        <w:t>[PHN 4, interview</w:t>
      </w:r>
      <w:r>
        <w:rPr>
          <w:rFonts w:eastAsia="Times New Roman"/>
        </w:rPr>
        <w:t>, R1]</w:t>
      </w:r>
    </w:p>
    <w:p w14:paraId="276ECDE2" w14:textId="77777777" w:rsidR="001C19F3" w:rsidRPr="00CB197C" w:rsidRDefault="001C19F3" w:rsidP="001C19F3">
      <w:pPr>
        <w:rPr>
          <w:rFonts w:eastAsia="Times New Roman"/>
        </w:rPr>
      </w:pPr>
      <w:r w:rsidRPr="00CB197C">
        <w:rPr>
          <w:rFonts w:eastAsia="Times New Roman"/>
        </w:rPr>
        <w:t>The facilitator continued to say that, though the PHN level of support is the same with these three types of practices, it is delivered differently. Transactional practices may focus more on structural training and inputting general processes, business optimi</w:t>
      </w:r>
      <w:r>
        <w:rPr>
          <w:rFonts w:eastAsia="Times New Roman"/>
        </w:rPr>
        <w:t>s</w:t>
      </w:r>
      <w:r w:rsidRPr="00CB197C">
        <w:rPr>
          <w:rFonts w:eastAsia="Times New Roman"/>
        </w:rPr>
        <w:t>ation practices generally have developed a formal quality improvement plan and work on those types of initiatives, and transformational practices will engage the whole team and review their operations and processes regularly:</w:t>
      </w:r>
    </w:p>
    <w:p w14:paraId="60DD1DFB" w14:textId="77777777" w:rsidR="001C19F3" w:rsidRPr="00CB197C" w:rsidRDefault="001C19F3" w:rsidP="001C19F3">
      <w:pPr>
        <w:ind w:left="567" w:right="1088"/>
        <w:rPr>
          <w:rFonts w:eastAsia="Times New Roman"/>
        </w:rPr>
      </w:pPr>
      <w:r w:rsidRPr="00CB197C">
        <w:rPr>
          <w:rFonts w:eastAsia="Times New Roman"/>
          <w:i/>
        </w:rPr>
        <w:t>“…The transactional practices, you go in and you do what they ask you to do, and then that’s about the end of it and they are happy. With the transformational, there is opportunity to have conversations around reviewing practices and processes, and actually getting to work with other members of the team, and not just the GP.”</w:t>
      </w:r>
      <w:r w:rsidRPr="00CB197C">
        <w:rPr>
          <w:rFonts w:eastAsia="Times New Roman"/>
        </w:rPr>
        <w:t xml:space="preserve"> [PHN 4, interview</w:t>
      </w:r>
      <w:r>
        <w:rPr>
          <w:rFonts w:eastAsia="Times New Roman"/>
        </w:rPr>
        <w:t>, R1]</w:t>
      </w:r>
    </w:p>
    <w:p w14:paraId="1DD41FF2" w14:textId="77777777" w:rsidR="001C19F3" w:rsidRPr="00CB197C" w:rsidRDefault="001C19F3" w:rsidP="001C19F3">
      <w:pPr>
        <w:rPr>
          <w:rFonts w:eastAsia="Times New Roman"/>
        </w:rPr>
      </w:pPr>
      <w:r w:rsidRPr="00CB197C">
        <w:rPr>
          <w:rFonts w:eastAsia="Times New Roman"/>
        </w:rPr>
        <w:t>Another facilitator stressed that some practices that may be classified as more transactional-type practices do not have their general processes</w:t>
      </w:r>
      <w:r>
        <w:rPr>
          <w:rFonts w:eastAsia="Times New Roman"/>
        </w:rPr>
        <w:t xml:space="preserve"> in place</w:t>
      </w:r>
      <w:r w:rsidRPr="00CB197C">
        <w:rPr>
          <w:rFonts w:eastAsia="Times New Roman"/>
        </w:rPr>
        <w:t>, such as billing, reminders, and recall</w:t>
      </w:r>
      <w:r>
        <w:rPr>
          <w:rFonts w:eastAsia="Times New Roman"/>
        </w:rPr>
        <w:t xml:space="preserve"> </w:t>
      </w:r>
      <w:r w:rsidRPr="00CB197C">
        <w:rPr>
          <w:rFonts w:eastAsia="Times New Roman"/>
        </w:rPr>
        <w:t>which has affected everything from their ability to effectively implement the model to their patient enrolment numbers:</w:t>
      </w:r>
    </w:p>
    <w:p w14:paraId="6DDA40C2" w14:textId="77777777" w:rsidR="001C19F3" w:rsidRPr="00CB197C" w:rsidRDefault="001C19F3" w:rsidP="001C19F3">
      <w:pPr>
        <w:ind w:left="567" w:right="1088"/>
        <w:rPr>
          <w:rFonts w:eastAsia="Times New Roman"/>
        </w:rPr>
      </w:pPr>
      <w:r w:rsidRPr="00CB197C">
        <w:rPr>
          <w:rFonts w:eastAsia="Times New Roman"/>
          <w:i/>
        </w:rPr>
        <w:t xml:space="preserve"> “I've still got some, three practices, that have not enrolled one patient …they're all busy working in their practices not </w:t>
      </w:r>
      <w:r w:rsidRPr="006F01B3">
        <w:rPr>
          <w:rFonts w:eastAsia="Times New Roman"/>
          <w:bCs/>
          <w:i/>
        </w:rPr>
        <w:t>on</w:t>
      </w:r>
      <w:r w:rsidRPr="00CB197C">
        <w:rPr>
          <w:rFonts w:eastAsia="Times New Roman"/>
          <w:i/>
        </w:rPr>
        <w:t xml:space="preserve"> their practices.”</w:t>
      </w:r>
      <w:r w:rsidRPr="00CB197C">
        <w:rPr>
          <w:rFonts w:eastAsia="Times New Roman"/>
        </w:rPr>
        <w:t xml:space="preserve"> [PHN 6, interview</w:t>
      </w:r>
      <w:r>
        <w:rPr>
          <w:rFonts w:eastAsia="Times New Roman"/>
        </w:rPr>
        <w:t>, R1]</w:t>
      </w:r>
    </w:p>
    <w:p w14:paraId="68F33501" w14:textId="77777777" w:rsidR="001C19F3" w:rsidRPr="00A1633F" w:rsidRDefault="001C19F3" w:rsidP="001C19F3">
      <w:pPr>
        <w:ind w:right="238"/>
        <w:rPr>
          <w:rFonts w:eastAsia="Times New Roman"/>
          <w:szCs w:val="20"/>
        </w:rPr>
      </w:pPr>
      <w:r w:rsidRPr="00CB197C">
        <w:rPr>
          <w:rFonts w:eastAsia="Times New Roman"/>
          <w:szCs w:val="20"/>
        </w:rPr>
        <w:t xml:space="preserve">This has affected the type of </w:t>
      </w:r>
      <w:r>
        <w:rPr>
          <w:rFonts w:eastAsia="Times New Roman"/>
          <w:szCs w:val="20"/>
        </w:rPr>
        <w:t>set-up</w:t>
      </w:r>
      <w:r w:rsidRPr="00CB197C">
        <w:rPr>
          <w:rFonts w:eastAsia="Times New Roman"/>
          <w:szCs w:val="20"/>
        </w:rPr>
        <w:t xml:space="preserve"> and operational support </w:t>
      </w:r>
      <w:r>
        <w:rPr>
          <w:rFonts w:eastAsia="Times New Roman"/>
          <w:szCs w:val="20"/>
        </w:rPr>
        <w:t>provided by the PHNs</w:t>
      </w:r>
      <w:r w:rsidRPr="00CB197C">
        <w:rPr>
          <w:rFonts w:eastAsia="Times New Roman"/>
          <w:szCs w:val="20"/>
        </w:rPr>
        <w:t>.</w:t>
      </w:r>
    </w:p>
    <w:p w14:paraId="5545622B" w14:textId="77777777" w:rsidR="001C19F3" w:rsidRDefault="001C19F3" w:rsidP="001C19F3">
      <w:pPr>
        <w:spacing w:after="160" w:line="259" w:lineRule="auto"/>
        <w:rPr>
          <w:rFonts w:eastAsia="Times New Roman"/>
        </w:rPr>
      </w:pPr>
      <w:r>
        <w:rPr>
          <w:rFonts w:eastAsia="Times New Roman"/>
        </w:rPr>
        <w:br w:type="page"/>
      </w:r>
    </w:p>
    <w:p w14:paraId="61D400A8" w14:textId="77777777" w:rsidR="001C19F3" w:rsidRDefault="001C19F3" w:rsidP="001C19F3">
      <w:pPr>
        <w:rPr>
          <w:rFonts w:eastAsia="Times New Roman"/>
        </w:rPr>
      </w:pPr>
      <w:r>
        <w:rPr>
          <w:rFonts w:eastAsia="Times New Roman"/>
        </w:rPr>
        <w:lastRenderedPageBreak/>
        <w:t>Practice facilitators identified organisational factors that contributed to greater support:</w:t>
      </w:r>
    </w:p>
    <w:p w14:paraId="1D2A2299" w14:textId="77777777" w:rsidR="001C19F3" w:rsidRPr="001D564A" w:rsidRDefault="001C19F3" w:rsidP="001C19F3">
      <w:pPr>
        <w:numPr>
          <w:ilvl w:val="0"/>
          <w:numId w:val="18"/>
        </w:numPr>
        <w:contextualSpacing/>
        <w:rPr>
          <w:rFonts w:eastAsia="Times New Roman"/>
        </w:rPr>
      </w:pPr>
      <w:r w:rsidRPr="001D564A">
        <w:rPr>
          <w:rFonts w:eastAsia="Times New Roman"/>
        </w:rPr>
        <w:t>non-visible leadership</w:t>
      </w:r>
    </w:p>
    <w:p w14:paraId="747DFAD5" w14:textId="77777777" w:rsidR="001C19F3" w:rsidRPr="001D564A" w:rsidRDefault="001C19F3" w:rsidP="001C19F3">
      <w:pPr>
        <w:numPr>
          <w:ilvl w:val="0"/>
          <w:numId w:val="18"/>
        </w:numPr>
        <w:contextualSpacing/>
        <w:rPr>
          <w:rFonts w:eastAsia="Times New Roman"/>
        </w:rPr>
      </w:pPr>
      <w:r w:rsidRPr="001D564A">
        <w:rPr>
          <w:rFonts w:eastAsia="Times New Roman"/>
        </w:rPr>
        <w:t>lack of buy-in for the model from all practice staff</w:t>
      </w:r>
    </w:p>
    <w:p w14:paraId="200CA083" w14:textId="77777777" w:rsidR="001C19F3" w:rsidRPr="00A1633F" w:rsidRDefault="001C19F3" w:rsidP="001C19F3">
      <w:pPr>
        <w:numPr>
          <w:ilvl w:val="0"/>
          <w:numId w:val="18"/>
        </w:numPr>
        <w:contextualSpacing/>
        <w:rPr>
          <w:rFonts w:eastAsia="Times New Roman"/>
        </w:rPr>
      </w:pPr>
      <w:r w:rsidRPr="00A1633F">
        <w:rPr>
          <w:rFonts w:eastAsia="Times New Roman"/>
        </w:rPr>
        <w:t>non-availability of practices’ change agent</w:t>
      </w:r>
    </w:p>
    <w:p w14:paraId="1F76810E" w14:textId="77777777" w:rsidR="001C19F3" w:rsidRPr="00A1633F" w:rsidRDefault="001C19F3" w:rsidP="001C19F3">
      <w:pPr>
        <w:numPr>
          <w:ilvl w:val="0"/>
          <w:numId w:val="18"/>
        </w:numPr>
        <w:contextualSpacing/>
        <w:rPr>
          <w:rFonts w:eastAsia="Times New Roman"/>
        </w:rPr>
      </w:pPr>
      <w:r w:rsidRPr="00A1633F">
        <w:rPr>
          <w:rFonts w:eastAsia="Times New Roman"/>
        </w:rPr>
        <w:t>low level of knowledge of the HCH model of care amongst practice staff</w:t>
      </w:r>
    </w:p>
    <w:p w14:paraId="2041CA28" w14:textId="77777777" w:rsidR="001C19F3" w:rsidRPr="00A1633F" w:rsidRDefault="001C19F3" w:rsidP="001C19F3">
      <w:pPr>
        <w:numPr>
          <w:ilvl w:val="0"/>
          <w:numId w:val="18"/>
        </w:numPr>
        <w:contextualSpacing/>
        <w:rPr>
          <w:rFonts w:eastAsia="Times New Roman"/>
        </w:rPr>
      </w:pPr>
      <w:r w:rsidRPr="00A1633F">
        <w:rPr>
          <w:rFonts w:eastAsia="Times New Roman"/>
        </w:rPr>
        <w:t>limited communication amongst practice staff</w:t>
      </w:r>
    </w:p>
    <w:p w14:paraId="16F532BB" w14:textId="77777777" w:rsidR="001C19F3" w:rsidRPr="001D564A" w:rsidRDefault="001C19F3" w:rsidP="001C19F3">
      <w:pPr>
        <w:numPr>
          <w:ilvl w:val="0"/>
          <w:numId w:val="18"/>
        </w:numPr>
        <w:contextualSpacing/>
        <w:rPr>
          <w:rFonts w:eastAsia="Times New Roman"/>
        </w:rPr>
      </w:pPr>
      <w:r>
        <w:rPr>
          <w:rFonts w:eastAsia="Times New Roman"/>
        </w:rPr>
        <w:t xml:space="preserve">a </w:t>
      </w:r>
      <w:r w:rsidRPr="001D564A">
        <w:rPr>
          <w:rFonts w:eastAsia="Times New Roman"/>
        </w:rPr>
        <w:t>transactional vs. transformational focus</w:t>
      </w:r>
    </w:p>
    <w:p w14:paraId="57A7ED60" w14:textId="77777777" w:rsidR="001C19F3" w:rsidRPr="001D564A" w:rsidRDefault="001C19F3" w:rsidP="001C19F3">
      <w:pPr>
        <w:numPr>
          <w:ilvl w:val="0"/>
          <w:numId w:val="18"/>
        </w:numPr>
        <w:contextualSpacing/>
        <w:rPr>
          <w:rFonts w:eastAsia="Times New Roman"/>
        </w:rPr>
      </w:pPr>
      <w:r w:rsidRPr="001D564A">
        <w:rPr>
          <w:rFonts w:eastAsia="Times New Roman"/>
        </w:rPr>
        <w:t>reluctance to share data with PHN</w:t>
      </w:r>
    </w:p>
    <w:p w14:paraId="604A539D" w14:textId="77777777" w:rsidR="001C19F3" w:rsidRPr="001D564A" w:rsidRDefault="001C19F3" w:rsidP="001C19F3">
      <w:pPr>
        <w:numPr>
          <w:ilvl w:val="0"/>
          <w:numId w:val="18"/>
        </w:numPr>
        <w:contextualSpacing/>
        <w:rPr>
          <w:rFonts w:eastAsia="Times New Roman"/>
        </w:rPr>
      </w:pPr>
      <w:r w:rsidRPr="001D564A">
        <w:rPr>
          <w:rFonts w:eastAsia="Times New Roman"/>
        </w:rPr>
        <w:t>poorly defined staffing roles (e.g. absence of position descriptions)</w:t>
      </w:r>
    </w:p>
    <w:p w14:paraId="1E76A2C7" w14:textId="77777777" w:rsidR="001C19F3" w:rsidRPr="00A1633F" w:rsidRDefault="001C19F3" w:rsidP="001C19F3">
      <w:pPr>
        <w:numPr>
          <w:ilvl w:val="0"/>
          <w:numId w:val="18"/>
        </w:numPr>
        <w:contextualSpacing/>
        <w:rPr>
          <w:rFonts w:eastAsia="Times New Roman"/>
        </w:rPr>
      </w:pPr>
      <w:r w:rsidRPr="00A1633F">
        <w:rPr>
          <w:rFonts w:eastAsia="Times New Roman"/>
        </w:rPr>
        <w:t>poor time management</w:t>
      </w:r>
    </w:p>
    <w:p w14:paraId="484F5F9E" w14:textId="77777777" w:rsidR="001C19F3" w:rsidRPr="001D564A" w:rsidRDefault="001C19F3" w:rsidP="001C19F3">
      <w:pPr>
        <w:numPr>
          <w:ilvl w:val="0"/>
          <w:numId w:val="18"/>
        </w:numPr>
        <w:contextualSpacing/>
        <w:rPr>
          <w:rFonts w:eastAsia="Times New Roman"/>
        </w:rPr>
      </w:pPr>
      <w:r w:rsidRPr="00A1633F">
        <w:rPr>
          <w:rFonts w:eastAsia="Times New Roman"/>
        </w:rPr>
        <w:t xml:space="preserve">low level of willingness </w:t>
      </w:r>
      <w:r w:rsidRPr="001D564A">
        <w:rPr>
          <w:rFonts w:eastAsia="Times New Roman"/>
        </w:rPr>
        <w:t>to invest time to make changes</w:t>
      </w:r>
    </w:p>
    <w:p w14:paraId="28141A80" w14:textId="77777777" w:rsidR="001C19F3" w:rsidRDefault="001C19F3" w:rsidP="001C19F3">
      <w:pPr>
        <w:numPr>
          <w:ilvl w:val="0"/>
          <w:numId w:val="18"/>
        </w:numPr>
        <w:contextualSpacing/>
        <w:rPr>
          <w:rFonts w:eastAsia="Times New Roman"/>
        </w:rPr>
      </w:pPr>
      <w:r w:rsidRPr="001D564A">
        <w:rPr>
          <w:rFonts w:eastAsia="Times New Roman"/>
        </w:rPr>
        <w:t>practices coming on board late</w:t>
      </w:r>
      <w:r>
        <w:rPr>
          <w:rFonts w:eastAsia="Times New Roman"/>
        </w:rPr>
        <w:t xml:space="preserve"> – </w:t>
      </w:r>
      <w:r w:rsidRPr="001D564A">
        <w:rPr>
          <w:rFonts w:eastAsia="Times New Roman"/>
        </w:rPr>
        <w:t>into 2018</w:t>
      </w:r>
      <w:r>
        <w:rPr>
          <w:rFonts w:eastAsia="Times New Roman"/>
        </w:rPr>
        <w:t xml:space="preserve"> – </w:t>
      </w:r>
      <w:r w:rsidRPr="001D564A">
        <w:rPr>
          <w:rFonts w:eastAsia="Times New Roman"/>
        </w:rPr>
        <w:t>due to limited time available to engage them and get them up to speed</w:t>
      </w:r>
    </w:p>
    <w:p w14:paraId="26495BC5" w14:textId="77777777" w:rsidR="001C19F3" w:rsidRPr="001D564A" w:rsidRDefault="001C19F3" w:rsidP="001C19F3">
      <w:pPr>
        <w:numPr>
          <w:ilvl w:val="0"/>
          <w:numId w:val="18"/>
        </w:numPr>
        <w:contextualSpacing/>
        <w:rPr>
          <w:rFonts w:eastAsia="Times New Roman"/>
        </w:rPr>
      </w:pPr>
      <w:r>
        <w:rPr>
          <w:rFonts w:eastAsia="Times New Roman"/>
        </w:rPr>
        <w:t>o</w:t>
      </w:r>
      <w:r w:rsidRPr="001D564A">
        <w:rPr>
          <w:rFonts w:eastAsia="Times New Roman"/>
        </w:rPr>
        <w:t>ther competing priorities (e.g. accreditation, practice refurbishment)</w:t>
      </w:r>
      <w:r>
        <w:rPr>
          <w:rFonts w:eastAsia="Times New Roman"/>
        </w:rPr>
        <w:t>.</w:t>
      </w:r>
    </w:p>
    <w:p w14:paraId="6752620A" w14:textId="77777777" w:rsidR="001C19F3" w:rsidRDefault="001C19F3" w:rsidP="001C19F3">
      <w:pPr>
        <w:pStyle w:val="Heading3"/>
      </w:pPr>
      <w:r w:rsidRPr="00553C74">
        <w:t>How practice facilitators engaged with practices</w:t>
      </w:r>
    </w:p>
    <w:p w14:paraId="5E8812CA" w14:textId="77777777" w:rsidR="001C19F3" w:rsidRDefault="001C19F3" w:rsidP="001C19F3">
      <w:pPr>
        <w:pStyle w:val="Heading4"/>
        <w:rPr>
          <w:rFonts w:eastAsia="Times New Roman"/>
        </w:rPr>
      </w:pPr>
      <w:r>
        <w:rPr>
          <w:rFonts w:eastAsia="Times New Roman"/>
        </w:rPr>
        <w:t>Establishing a rapport and trust with practices</w:t>
      </w:r>
    </w:p>
    <w:p w14:paraId="2545C493" w14:textId="77777777" w:rsidR="001C19F3" w:rsidRPr="008E40E1" w:rsidRDefault="001C19F3" w:rsidP="001C19F3">
      <w:pPr>
        <w:contextualSpacing/>
        <w:rPr>
          <w:rFonts w:eastAsia="Times New Roman"/>
        </w:rPr>
      </w:pPr>
      <w:r>
        <w:rPr>
          <w:rFonts w:eastAsia="Times New Roman"/>
        </w:rPr>
        <w:t xml:space="preserve">The PHN survey identified establishing trust and strong relationships between practice facilitators and practice staff as one of the most common factors contributing to the effectiveness of the facilitation role. </w:t>
      </w:r>
      <w:r w:rsidRPr="008E40E1">
        <w:rPr>
          <w:rFonts w:eastAsia="Times New Roman"/>
        </w:rPr>
        <w:t>Practice facilitators discussed the importance of getting to know the key people in a practice to effectively engage with them:</w:t>
      </w:r>
    </w:p>
    <w:p w14:paraId="0092F22E" w14:textId="77777777" w:rsidR="001C19F3" w:rsidRPr="008E40E1" w:rsidRDefault="001C19F3" w:rsidP="001C19F3">
      <w:pPr>
        <w:contextualSpacing/>
        <w:rPr>
          <w:rFonts w:eastAsia="Times New Roman"/>
        </w:rPr>
      </w:pPr>
    </w:p>
    <w:p w14:paraId="206179B9" w14:textId="77777777" w:rsidR="001C19F3" w:rsidRPr="008E40E1" w:rsidRDefault="001C19F3" w:rsidP="001C19F3">
      <w:pPr>
        <w:ind w:left="567" w:right="1088"/>
        <w:rPr>
          <w:rFonts w:eastAsia="Times New Roman"/>
        </w:rPr>
      </w:pPr>
      <w:r w:rsidRPr="008E40E1">
        <w:rPr>
          <w:rFonts w:eastAsia="Times New Roman"/>
          <w:i/>
        </w:rPr>
        <w:t xml:space="preserve">“So, when you engage those leaders you're engaged as change agents. And they are the ones who are making those changes. It requires a lot of nurturing, a lot of time…if we didn't have those relationships, if we didn't have those interactions, we didn't have that trust, the amount of change that we're asking to do, I think most people would just be: Too hard, sorry.” </w:t>
      </w:r>
      <w:r w:rsidRPr="008E40E1">
        <w:rPr>
          <w:rFonts w:eastAsia="Times New Roman"/>
        </w:rPr>
        <w:t xml:space="preserve">[PHN 5, </w:t>
      </w:r>
      <w:r>
        <w:rPr>
          <w:rFonts w:eastAsia="Times New Roman"/>
        </w:rPr>
        <w:t>interview, R1]</w:t>
      </w:r>
    </w:p>
    <w:p w14:paraId="56876BB9" w14:textId="77777777" w:rsidR="001C19F3" w:rsidRPr="008E40E1" w:rsidRDefault="001C19F3" w:rsidP="001C19F3">
      <w:pPr>
        <w:contextualSpacing/>
        <w:rPr>
          <w:rFonts w:eastAsia="Times New Roman"/>
        </w:rPr>
      </w:pPr>
      <w:r w:rsidRPr="008E40E1">
        <w:rPr>
          <w:rFonts w:eastAsia="Times New Roman"/>
          <w:noProof/>
          <w:lang w:eastAsia="en-AU"/>
        </w:rPr>
        <mc:AlternateContent>
          <mc:Choice Requires="wps">
            <w:drawing>
              <wp:anchor distT="91440" distB="91440" distL="114300" distR="114300" simplePos="0" relativeHeight="251659264" behindDoc="0" locked="0" layoutInCell="1" allowOverlap="1" wp14:anchorId="55B6EF28" wp14:editId="6601BE10">
                <wp:simplePos x="0" y="0"/>
                <wp:positionH relativeFrom="margin">
                  <wp:posOffset>19050</wp:posOffset>
                </wp:positionH>
                <wp:positionV relativeFrom="paragraph">
                  <wp:posOffset>165100</wp:posOffset>
                </wp:positionV>
                <wp:extent cx="1971675" cy="140398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headEnd/>
                          <a:tailEnd/>
                        </a:ln>
                      </wps:spPr>
                      <wps:txbx>
                        <w:txbxContent>
                          <w:p w14:paraId="163BC8C5" w14:textId="77777777" w:rsidR="00521305" w:rsidRPr="009B75E1" w:rsidRDefault="00521305" w:rsidP="001C19F3">
                            <w:pPr>
                              <w:ind w:right="237"/>
                              <w:rPr>
                                <w:rFonts w:eastAsia="Times New Roman"/>
                                <w:color w:val="003D79"/>
                                <w:sz w:val="18"/>
                                <w:szCs w:val="18"/>
                              </w:rPr>
                            </w:pPr>
                            <w:r w:rsidRPr="008E40E1">
                              <w:rPr>
                                <w:rFonts w:eastAsia="Times New Roman"/>
                                <w:i/>
                                <w:color w:val="003D79"/>
                                <w:sz w:val="18"/>
                                <w:szCs w:val="18"/>
                              </w:rPr>
                              <w:t xml:space="preserve">“You can't do much if they won't let you in the door” </w:t>
                            </w:r>
                            <w:r w:rsidRPr="009B75E1">
                              <w:rPr>
                                <w:iCs/>
                                <w:color w:val="003D79"/>
                                <w:sz w:val="18"/>
                                <w:szCs w:val="18"/>
                              </w:rPr>
                              <w:t>[PHN 9, interview, 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6EF28" id="Text Box 44" o:spid="_x0000_s1032" type="#_x0000_t202" style="position:absolute;margin-left:1.5pt;margin-top:13pt;width:155.25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" filled="f" stroked="f">
                <v:textbox style="mso-fit-shape-to-text:t">
                  <w:txbxContent>
                    <w:p w14:paraId="163BC8C5" w14:textId="77777777" w:rsidR="00521305" w:rsidRPr="009B75E1" w:rsidRDefault="00521305" w:rsidP="001C19F3">
                      <w:pPr>
                        <w:ind w:right="237"/>
                        <w:rPr>
                          <w:rFonts w:eastAsia="Times New Roman"/>
                          <w:color w:val="003D79"/>
                          <w:sz w:val="18"/>
                          <w:szCs w:val="18"/>
                        </w:rPr>
                      </w:pPr>
                      <w:r w:rsidRPr="008E40E1">
                        <w:rPr>
                          <w:rFonts w:eastAsia="Times New Roman"/>
                          <w:i/>
                          <w:color w:val="003D79"/>
                          <w:sz w:val="18"/>
                          <w:szCs w:val="18"/>
                        </w:rPr>
                        <w:t xml:space="preserve">“You can't do much if they won't let you in the door” </w:t>
                      </w:r>
                      <w:r w:rsidRPr="009B75E1">
                        <w:rPr>
                          <w:iCs/>
                          <w:color w:val="003D79"/>
                          <w:sz w:val="18"/>
                          <w:szCs w:val="18"/>
                        </w:rPr>
                        <w:t>[PHN 9, interview, R1]</w:t>
                      </w:r>
                    </w:p>
                  </w:txbxContent>
                </v:textbox>
                <w10:wrap type="square" anchorx="margin"/>
              </v:shape>
            </w:pict>
          </mc:Fallback>
        </mc:AlternateContent>
      </w:r>
      <w:r w:rsidRPr="008E40E1">
        <w:rPr>
          <w:rFonts w:eastAsia="Times New Roman"/>
        </w:rPr>
        <w:t>One facilitator stated that setting hard deadlines was imperative to sending a clear, consistent message to practices. Though there were changes in some HCH deadlines, the facilitator said that to avoid confusion and push practices to achieve their goals they did not let the</w:t>
      </w:r>
      <w:r>
        <w:rPr>
          <w:rFonts w:eastAsia="Times New Roman"/>
        </w:rPr>
        <w:t xml:space="preserve"> practices</w:t>
      </w:r>
      <w:r w:rsidRPr="008E40E1">
        <w:rPr>
          <w:rFonts w:eastAsia="Times New Roman"/>
        </w:rPr>
        <w:t xml:space="preserve"> know about these shifting deadlines:</w:t>
      </w:r>
    </w:p>
    <w:p w14:paraId="243C826B" w14:textId="77777777" w:rsidR="001C19F3" w:rsidRPr="008E40E1" w:rsidRDefault="001C19F3" w:rsidP="001C19F3">
      <w:pPr>
        <w:contextualSpacing/>
        <w:rPr>
          <w:rFonts w:eastAsia="Times New Roman"/>
        </w:rPr>
      </w:pPr>
    </w:p>
    <w:p w14:paraId="40641BBD" w14:textId="77777777" w:rsidR="001C19F3" w:rsidRPr="008E40E1" w:rsidRDefault="001C19F3" w:rsidP="001C19F3">
      <w:pPr>
        <w:ind w:left="567" w:right="1088"/>
        <w:rPr>
          <w:rFonts w:eastAsia="Times New Roman"/>
        </w:rPr>
      </w:pPr>
      <w:r w:rsidRPr="008E40E1">
        <w:rPr>
          <w:rFonts w:eastAsia="Times New Roman"/>
          <w:i/>
        </w:rPr>
        <w:t xml:space="preserve">“We would go out to the practices with hard deadlines. You will have this done by this date and then we just worked </w:t>
      </w:r>
      <w:r>
        <w:rPr>
          <w:rFonts w:eastAsia="Times New Roman"/>
          <w:i/>
        </w:rPr>
        <w:t>…</w:t>
      </w:r>
      <w:r w:rsidRPr="008E40E1">
        <w:rPr>
          <w:rFonts w:eastAsia="Times New Roman"/>
          <w:i/>
        </w:rPr>
        <w:t xml:space="preserve"> to make sure that our practices were ready. And sometimes we’d get within a few weeks of that deadline and the </w:t>
      </w:r>
      <w:r>
        <w:rPr>
          <w:rFonts w:eastAsia="Times New Roman"/>
          <w:i/>
        </w:rPr>
        <w:t>C</w:t>
      </w:r>
      <w:r w:rsidRPr="008E40E1">
        <w:rPr>
          <w:rFonts w:eastAsia="Times New Roman"/>
          <w:i/>
        </w:rPr>
        <w:t xml:space="preserve">ommonwealth </w:t>
      </w:r>
      <w:r>
        <w:rPr>
          <w:rFonts w:eastAsia="Times New Roman"/>
          <w:i/>
        </w:rPr>
        <w:t xml:space="preserve">would </w:t>
      </w:r>
      <w:r w:rsidRPr="008E40E1">
        <w:rPr>
          <w:rFonts w:eastAsia="Times New Roman"/>
          <w:i/>
        </w:rPr>
        <w:t>say we’re going to extend it for another three months. We just never even went there. We just said get it done by this date and they did</w:t>
      </w:r>
      <w:r>
        <w:rPr>
          <w:rFonts w:eastAsia="Times New Roman"/>
          <w:i/>
        </w:rPr>
        <w:t>.</w:t>
      </w:r>
      <w:r w:rsidRPr="008E40E1">
        <w:rPr>
          <w:rFonts w:eastAsia="Times New Roman"/>
          <w:i/>
        </w:rPr>
        <w:t xml:space="preserve">” </w:t>
      </w:r>
      <w:r w:rsidRPr="008E40E1">
        <w:rPr>
          <w:rFonts w:eastAsia="Times New Roman"/>
        </w:rPr>
        <w:t xml:space="preserve">[PHN 3, </w:t>
      </w:r>
      <w:r>
        <w:rPr>
          <w:rFonts w:eastAsia="Times New Roman"/>
        </w:rPr>
        <w:t>interview, R1]</w:t>
      </w:r>
    </w:p>
    <w:p w14:paraId="5B88E578" w14:textId="77777777" w:rsidR="001C19F3" w:rsidRPr="001D564A" w:rsidRDefault="001C19F3" w:rsidP="001C19F3">
      <w:pPr>
        <w:ind w:right="237"/>
        <w:rPr>
          <w:rFonts w:eastAsia="Times New Roman"/>
        </w:rPr>
      </w:pPr>
      <w:r w:rsidRPr="001D564A">
        <w:rPr>
          <w:rFonts w:eastAsia="Times New Roman"/>
        </w:rPr>
        <w:t>One PHN created a staff establishment document outlining the roles and skill sets of the practice facilitators so that practices could call on them to help with the different problems that they encountered.</w:t>
      </w:r>
    </w:p>
    <w:p w14:paraId="2DD81532" w14:textId="77777777" w:rsidR="001C19F3" w:rsidRPr="001D564A" w:rsidRDefault="001C19F3" w:rsidP="001C19F3">
      <w:pPr>
        <w:rPr>
          <w:rFonts w:eastAsia="Times New Roman"/>
        </w:rPr>
      </w:pPr>
      <w:r w:rsidRPr="00553C74">
        <w:rPr>
          <w:rFonts w:eastAsia="Times New Roman"/>
        </w:rPr>
        <w:lastRenderedPageBreak/>
        <w:t>Advocating for the HCH approach was a strategy reported for engaging practices.</w:t>
      </w:r>
      <w:r w:rsidRPr="001D564A">
        <w:rPr>
          <w:rFonts w:eastAsia="Times New Roman"/>
        </w:rPr>
        <w:t xml:space="preserve"> Even though practices signed up to participate, in some instances they </w:t>
      </w:r>
      <w:r>
        <w:rPr>
          <w:rFonts w:eastAsia="Times New Roman"/>
        </w:rPr>
        <w:t>weren’t yet</w:t>
      </w:r>
      <w:r w:rsidRPr="001D564A">
        <w:rPr>
          <w:rFonts w:eastAsia="Times New Roman"/>
        </w:rPr>
        <w:t xml:space="preserve"> convinced about the model. One PHN used the fact that </w:t>
      </w:r>
      <w:r>
        <w:rPr>
          <w:rFonts w:eastAsia="Times New Roman"/>
        </w:rPr>
        <w:t>its</w:t>
      </w:r>
      <w:r w:rsidRPr="001D564A">
        <w:rPr>
          <w:rFonts w:eastAsia="Times New Roman"/>
        </w:rPr>
        <w:t xml:space="preserve"> practice</w:t>
      </w:r>
      <w:r>
        <w:rPr>
          <w:rFonts w:eastAsia="Times New Roman"/>
        </w:rPr>
        <w:t xml:space="preserve">s were </w:t>
      </w:r>
      <w:r w:rsidRPr="001D564A">
        <w:rPr>
          <w:rFonts w:eastAsia="Times New Roman"/>
        </w:rPr>
        <w:t xml:space="preserve">selected as </w:t>
      </w:r>
      <w:r>
        <w:rPr>
          <w:rFonts w:eastAsia="Times New Roman"/>
        </w:rPr>
        <w:t>an HCH</w:t>
      </w:r>
      <w:r w:rsidRPr="001D564A">
        <w:rPr>
          <w:rFonts w:eastAsia="Times New Roman"/>
        </w:rPr>
        <w:t xml:space="preserve"> to motivate them to follow through with changes:</w:t>
      </w:r>
    </w:p>
    <w:p w14:paraId="55B1E885" w14:textId="77777777" w:rsidR="001C19F3" w:rsidRPr="001D564A" w:rsidRDefault="001C19F3" w:rsidP="001C19F3">
      <w:pPr>
        <w:ind w:left="567" w:right="1088"/>
        <w:rPr>
          <w:rFonts w:eastAsia="Times New Roman"/>
        </w:rPr>
      </w:pPr>
      <w:r w:rsidRPr="001D564A">
        <w:rPr>
          <w:rFonts w:eastAsia="Times New Roman"/>
        </w:rPr>
        <w:t>“</w:t>
      </w:r>
      <w:r w:rsidRPr="001D564A">
        <w:rPr>
          <w:rFonts w:eastAsia="Times New Roman"/>
          <w:i/>
        </w:rPr>
        <w:t>Oh, you got into Health Care Homes because</w:t>
      </w:r>
      <w:r>
        <w:rPr>
          <w:rFonts w:eastAsia="Times New Roman"/>
          <w:i/>
        </w:rPr>
        <w:t>…</w:t>
      </w:r>
      <w:r w:rsidRPr="001D564A">
        <w:rPr>
          <w:rFonts w:eastAsia="Times New Roman"/>
          <w:i/>
        </w:rPr>
        <w:t xml:space="preserve"> you were obviously one of the better practices that applied. And</w:t>
      </w:r>
      <w:r>
        <w:rPr>
          <w:rFonts w:eastAsia="Times New Roman"/>
          <w:i/>
        </w:rPr>
        <w:t>…</w:t>
      </w:r>
      <w:r w:rsidRPr="001D564A">
        <w:rPr>
          <w:rFonts w:eastAsia="Times New Roman"/>
          <w:i/>
        </w:rPr>
        <w:t xml:space="preserve"> stable and able to</w:t>
      </w:r>
      <w:r>
        <w:rPr>
          <w:rFonts w:eastAsia="Times New Roman"/>
          <w:i/>
        </w:rPr>
        <w:t>…</w:t>
      </w:r>
      <w:r w:rsidRPr="001D564A">
        <w:rPr>
          <w:rFonts w:eastAsia="Times New Roman"/>
          <w:i/>
        </w:rPr>
        <w:t xml:space="preserve"> make change management quite quickly, or apply it quite quickly</w:t>
      </w:r>
      <w:r>
        <w:rPr>
          <w:rFonts w:eastAsia="Times New Roman"/>
          <w:i/>
        </w:rPr>
        <w:t>.</w:t>
      </w:r>
      <w:r w:rsidRPr="001D564A">
        <w:rPr>
          <w:rFonts w:eastAsia="Times New Roman"/>
        </w:rPr>
        <w:t xml:space="preserve">” [PHN 8, </w:t>
      </w:r>
      <w:r>
        <w:rPr>
          <w:rFonts w:eastAsia="Times New Roman"/>
        </w:rPr>
        <w:t>interview, R1]</w:t>
      </w:r>
    </w:p>
    <w:p w14:paraId="2532097D" w14:textId="77777777" w:rsidR="001C19F3" w:rsidRDefault="001C19F3" w:rsidP="001C19F3">
      <w:pPr>
        <w:rPr>
          <w:rFonts w:eastAsia="Times New Roman"/>
        </w:rPr>
      </w:pPr>
      <w:r w:rsidRPr="001D564A">
        <w:rPr>
          <w:rFonts w:eastAsia="Times New Roman"/>
        </w:rPr>
        <w:t>Facilitators also highlighted the benefits of the program to GPs from a personal perspective, because the training materials did not address “</w:t>
      </w:r>
      <w:r w:rsidRPr="001D564A">
        <w:rPr>
          <w:rFonts w:eastAsia="Times New Roman"/>
          <w:i/>
        </w:rPr>
        <w:t>What’s in it for me?</w:t>
      </w:r>
      <w:r w:rsidRPr="001D564A">
        <w:rPr>
          <w:rFonts w:eastAsia="Times New Roman"/>
        </w:rPr>
        <w:t xml:space="preserve">” [PHN 4, </w:t>
      </w:r>
      <w:r>
        <w:rPr>
          <w:rFonts w:eastAsia="Times New Roman"/>
        </w:rPr>
        <w:t>interview, R1]</w:t>
      </w:r>
    </w:p>
    <w:p w14:paraId="0BA2CBB7" w14:textId="77777777" w:rsidR="001C19F3" w:rsidRPr="001D564A" w:rsidRDefault="001C19F3" w:rsidP="001C19F3">
      <w:pPr>
        <w:rPr>
          <w:rFonts w:eastAsia="Times New Roman"/>
        </w:rPr>
      </w:pPr>
      <w:r w:rsidRPr="001D564A">
        <w:rPr>
          <w:rFonts w:eastAsia="Times New Roman"/>
        </w:rPr>
        <w:t>Practice facilitators talked about moving past relationships that were based on transactional/ ‘tick-box’ interactions (focussing on compliance) to ones that were transformational to achieve and sustain changes in the practices:</w:t>
      </w:r>
    </w:p>
    <w:p w14:paraId="7F6DF402" w14:textId="77777777" w:rsidR="001C19F3" w:rsidRPr="001D564A" w:rsidRDefault="001C19F3" w:rsidP="001C19F3">
      <w:pPr>
        <w:ind w:left="567" w:right="1088"/>
        <w:rPr>
          <w:rFonts w:eastAsia="Times New Roman"/>
        </w:rPr>
      </w:pPr>
      <w:r w:rsidRPr="001D564A">
        <w:rPr>
          <w:rFonts w:eastAsia="Times New Roman"/>
          <w:i/>
        </w:rPr>
        <w:t>“…we also built some really nice relationships with them too because they got really comfortable that this wasn’t just us handing it to them going, look, there it is. You signed up for it. Well, we’re in this with you and just sort of keep repeating that…</w:t>
      </w:r>
      <w:r w:rsidRPr="001D564A">
        <w:rPr>
          <w:rFonts w:eastAsia="Times New Roman"/>
        </w:rPr>
        <w:t>” [PHN 3, interview</w:t>
      </w:r>
      <w:r>
        <w:rPr>
          <w:rFonts w:eastAsia="Times New Roman"/>
        </w:rPr>
        <w:t>, R1]</w:t>
      </w:r>
    </w:p>
    <w:p w14:paraId="3836EA56" w14:textId="77777777" w:rsidR="001C19F3" w:rsidRPr="00590830" w:rsidRDefault="001C19F3" w:rsidP="001C19F3">
      <w:pPr>
        <w:rPr>
          <w:rFonts w:eastAsia="Times New Roman"/>
        </w:rPr>
      </w:pPr>
      <w:r w:rsidRPr="001D564A">
        <w:rPr>
          <w:rFonts w:eastAsia="Times New Roman"/>
        </w:rPr>
        <w:t>Rapport building and trust were two of the ways in which the facilitators achieved transformational relationships. They were fostered by facilitators having empathy (appreciating the challenges for the practice), choosing words wisely (“</w:t>
      </w:r>
      <w:r w:rsidRPr="001D564A">
        <w:rPr>
          <w:rFonts w:eastAsia="Times New Roman"/>
          <w:i/>
        </w:rPr>
        <w:t>you can’t insult them. You have to be mindful of the way you speak to them. You cannot infer they are not delivering good care</w:t>
      </w:r>
      <w:r w:rsidRPr="001D564A">
        <w:rPr>
          <w:rFonts w:eastAsia="Times New Roman"/>
        </w:rPr>
        <w:t>.” [PHN 9, interview</w:t>
      </w:r>
      <w:r>
        <w:rPr>
          <w:rFonts w:eastAsia="Times New Roman"/>
        </w:rPr>
        <w:t>, R1]</w:t>
      </w:r>
      <w:r w:rsidRPr="001D564A">
        <w:rPr>
          <w:rFonts w:eastAsia="Times New Roman"/>
        </w:rPr>
        <w:t>), and choosing the right moments to address issues (“</w:t>
      </w:r>
      <w:r w:rsidRPr="001D564A">
        <w:rPr>
          <w:rFonts w:eastAsia="Times New Roman"/>
          <w:i/>
        </w:rPr>
        <w:t>If you push them beyond where they’re ready to be pushed, … you lose them</w:t>
      </w:r>
      <w:r w:rsidRPr="001D564A">
        <w:rPr>
          <w:rFonts w:eastAsia="Times New Roman"/>
        </w:rPr>
        <w:t>“ [PHN 5, interview</w:t>
      </w:r>
      <w:r>
        <w:rPr>
          <w:rFonts w:eastAsia="Times New Roman"/>
        </w:rPr>
        <w:t>, R1]</w:t>
      </w:r>
      <w:r w:rsidRPr="001D564A">
        <w:rPr>
          <w:rFonts w:eastAsia="Times New Roman"/>
        </w:rPr>
        <w:t>).</w:t>
      </w:r>
      <w:r>
        <w:rPr>
          <w:rFonts w:eastAsia="Times New Roman"/>
        </w:rPr>
        <w:t xml:space="preserve"> </w:t>
      </w:r>
      <w:r w:rsidRPr="00590830">
        <w:rPr>
          <w:rFonts w:eastAsia="Times New Roman"/>
        </w:rPr>
        <w:t>Facilitators stated that this type of relationship a</w:t>
      </w:r>
      <w:r>
        <w:rPr>
          <w:rFonts w:eastAsia="Times New Roman"/>
        </w:rPr>
        <w:t>nd</w:t>
      </w:r>
      <w:r w:rsidRPr="00590830">
        <w:rPr>
          <w:rFonts w:eastAsia="Times New Roman"/>
        </w:rPr>
        <w:t xml:space="preserve"> trust building is crucial to the change process (</w:t>
      </w:r>
      <w:r w:rsidRPr="00590830">
        <w:rPr>
          <w:rFonts w:eastAsia="Times New Roman"/>
          <w:i/>
        </w:rPr>
        <w:t xml:space="preserve">“…there's a lot of trust and relationship building that needs to happen before you go in and say: Hey, you need to do this and you need to do that.” </w:t>
      </w:r>
      <w:r w:rsidRPr="00590830">
        <w:rPr>
          <w:rFonts w:eastAsia="Times New Roman"/>
        </w:rPr>
        <w:t xml:space="preserve">[PHN 5, </w:t>
      </w:r>
      <w:r>
        <w:rPr>
          <w:rFonts w:eastAsia="Times New Roman"/>
        </w:rPr>
        <w:t>interview, R1]</w:t>
      </w:r>
      <w:r w:rsidRPr="00590830">
        <w:rPr>
          <w:rFonts w:eastAsia="Times New Roman"/>
        </w:rPr>
        <w:t>).</w:t>
      </w:r>
    </w:p>
    <w:p w14:paraId="2DC8B797" w14:textId="77777777" w:rsidR="001C19F3" w:rsidRPr="001D564A" w:rsidRDefault="001C19F3" w:rsidP="001C19F3">
      <w:pPr>
        <w:rPr>
          <w:rFonts w:eastAsia="Times New Roman"/>
        </w:rPr>
      </w:pPr>
      <w:r w:rsidRPr="001D564A">
        <w:rPr>
          <w:rFonts w:eastAsia="Times New Roman"/>
          <w:noProof/>
          <w:lang w:eastAsia="en-AU"/>
        </w:rPr>
        <mc:AlternateContent>
          <mc:Choice Requires="wps">
            <w:drawing>
              <wp:anchor distT="91440" distB="91440" distL="114300" distR="114300" simplePos="0" relativeHeight="251660288" behindDoc="0" locked="0" layoutInCell="1" allowOverlap="1" wp14:anchorId="6BE55CF4" wp14:editId="592BE11E">
                <wp:simplePos x="0" y="0"/>
                <wp:positionH relativeFrom="page">
                  <wp:posOffset>1019175</wp:posOffset>
                </wp:positionH>
                <wp:positionV relativeFrom="paragraph">
                  <wp:posOffset>90805</wp:posOffset>
                </wp:positionV>
                <wp:extent cx="1704975" cy="140398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noFill/>
                        <a:ln w="9525">
                          <a:noFill/>
                          <a:miter lim="800000"/>
                          <a:headEnd/>
                          <a:tailEnd/>
                        </a:ln>
                      </wps:spPr>
                      <wps:txbx>
                        <w:txbxContent>
                          <w:p w14:paraId="0F30CC21" w14:textId="77777777" w:rsidR="00521305" w:rsidRPr="009B75E1" w:rsidRDefault="00521305" w:rsidP="001C19F3">
                            <w:pPr>
                              <w:rPr>
                                <w:iCs/>
                                <w:color w:val="003D79"/>
                                <w:sz w:val="18"/>
                                <w:szCs w:val="18"/>
                              </w:rPr>
                            </w:pPr>
                            <w:r w:rsidRPr="00427E70">
                              <w:rPr>
                                <w:i/>
                                <w:iCs/>
                                <w:color w:val="003D79"/>
                                <w:sz w:val="18"/>
                                <w:szCs w:val="18"/>
                              </w:rPr>
                              <w:t>“</w:t>
                            </w:r>
                            <w:r w:rsidRPr="00F24881">
                              <w:rPr>
                                <w:i/>
                                <w:iCs/>
                                <w:color w:val="003D79"/>
                                <w:sz w:val="18"/>
                                <w:szCs w:val="18"/>
                              </w:rPr>
                              <w:t>Two steps forward and two back</w:t>
                            </w:r>
                            <w:r w:rsidRPr="00641051">
                              <w:rPr>
                                <w:i/>
                                <w:iCs/>
                                <w:color w:val="003D79"/>
                                <w:sz w:val="18"/>
                                <w:szCs w:val="18"/>
                              </w:rPr>
                              <w:t xml:space="preserve">” </w:t>
                            </w:r>
                            <w:r w:rsidRPr="009B75E1">
                              <w:rPr>
                                <w:iCs/>
                                <w:color w:val="003D79"/>
                                <w:sz w:val="18"/>
                                <w:szCs w:val="18"/>
                              </w:rPr>
                              <w:t>[PHN 4, interview, 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55CF4" id="Text Box 20" o:spid="_x0000_s1033" type="#_x0000_t202" style="position:absolute;margin-left:80.25pt;margin-top:7.15pt;width:134.25pt;height:110.55pt;z-index:2516602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" filled="f" stroked="f">
                <v:textbox style="mso-fit-shape-to-text:t">
                  <w:txbxContent>
                    <w:p w14:paraId="0F30CC21" w14:textId="77777777" w:rsidR="00521305" w:rsidRPr="009B75E1" w:rsidRDefault="00521305" w:rsidP="001C19F3">
                      <w:pPr>
                        <w:rPr>
                          <w:iCs/>
                          <w:color w:val="003D79"/>
                          <w:sz w:val="18"/>
                          <w:szCs w:val="18"/>
                        </w:rPr>
                      </w:pPr>
                      <w:r w:rsidRPr="00427E70">
                        <w:rPr>
                          <w:i/>
                          <w:iCs/>
                          <w:color w:val="003D79"/>
                          <w:sz w:val="18"/>
                          <w:szCs w:val="18"/>
                        </w:rPr>
                        <w:t>“</w:t>
                      </w:r>
                      <w:r w:rsidRPr="00F24881">
                        <w:rPr>
                          <w:i/>
                          <w:iCs/>
                          <w:color w:val="003D79"/>
                          <w:sz w:val="18"/>
                          <w:szCs w:val="18"/>
                        </w:rPr>
                        <w:t>Two steps forward and two back</w:t>
                      </w:r>
                      <w:r w:rsidRPr="00641051">
                        <w:rPr>
                          <w:i/>
                          <w:iCs/>
                          <w:color w:val="003D79"/>
                          <w:sz w:val="18"/>
                          <w:szCs w:val="18"/>
                        </w:rPr>
                        <w:t xml:space="preserve">” </w:t>
                      </w:r>
                      <w:r w:rsidRPr="009B75E1">
                        <w:rPr>
                          <w:iCs/>
                          <w:color w:val="003D79"/>
                          <w:sz w:val="18"/>
                          <w:szCs w:val="18"/>
                        </w:rPr>
                        <w:t>[PHN 4, interview, R1]</w:t>
                      </w:r>
                    </w:p>
                  </w:txbxContent>
                </v:textbox>
                <w10:wrap type="square" anchorx="page"/>
              </v:shape>
            </w:pict>
          </mc:Fallback>
        </mc:AlternateContent>
      </w:r>
      <w:r w:rsidRPr="001D564A">
        <w:rPr>
          <w:rFonts w:eastAsia="Times New Roman"/>
        </w:rPr>
        <w:t>Trust was lost when a facilitator would say to a practice that something was easy to use but it end</w:t>
      </w:r>
      <w:r>
        <w:rPr>
          <w:rFonts w:eastAsia="Times New Roman"/>
        </w:rPr>
        <w:t>ed</w:t>
      </w:r>
      <w:r w:rsidRPr="001D564A">
        <w:rPr>
          <w:rFonts w:eastAsia="Times New Roman"/>
        </w:rPr>
        <w:t xml:space="preserve"> up being hard</w:t>
      </w:r>
      <w:r>
        <w:rPr>
          <w:rFonts w:eastAsia="Times New Roman"/>
        </w:rPr>
        <w:t>.</w:t>
      </w:r>
    </w:p>
    <w:p w14:paraId="0837E73D" w14:textId="77777777" w:rsidR="001C19F3" w:rsidRPr="001D564A" w:rsidRDefault="001C19F3" w:rsidP="001C19F3">
      <w:pPr>
        <w:rPr>
          <w:rFonts w:eastAsia="Times New Roman"/>
        </w:rPr>
      </w:pPr>
      <w:r w:rsidRPr="001D564A">
        <w:rPr>
          <w:rFonts w:eastAsia="Times New Roman"/>
        </w:rPr>
        <w:t>Facilitators acknowledged that rapport building and trust take time:</w:t>
      </w:r>
    </w:p>
    <w:p w14:paraId="63AEB84B" w14:textId="77777777" w:rsidR="001C19F3" w:rsidRDefault="001C19F3" w:rsidP="001C19F3">
      <w:pPr>
        <w:ind w:left="567" w:right="1088"/>
        <w:rPr>
          <w:rFonts w:eastAsia="Times New Roman"/>
        </w:rPr>
      </w:pPr>
      <w:r w:rsidRPr="001D564A">
        <w:rPr>
          <w:rFonts w:eastAsia="Times New Roman"/>
        </w:rPr>
        <w:t>“…</w:t>
      </w:r>
      <w:r w:rsidRPr="001D564A">
        <w:rPr>
          <w:rFonts w:eastAsia="Times New Roman"/>
          <w:i/>
        </w:rPr>
        <w:t>this entire exercise has been built on relationships, lots of cups of coffee and really gentle phone calls. And people just getting used to your face and getting to the point where they were happy to accept your phone calls and that you weren’t going to be a burden to them. That you might be actually of some use or value</w:t>
      </w:r>
      <w:r w:rsidRPr="001D564A">
        <w:rPr>
          <w:rFonts w:eastAsia="Times New Roman"/>
        </w:rPr>
        <w:t>.” [PHN 3, interview</w:t>
      </w:r>
      <w:r>
        <w:rPr>
          <w:rFonts w:eastAsia="Times New Roman"/>
        </w:rPr>
        <w:t>, R1]</w:t>
      </w:r>
    </w:p>
    <w:p w14:paraId="40E10ABC" w14:textId="77777777" w:rsidR="001C19F3" w:rsidRPr="008E40E1" w:rsidRDefault="001C19F3" w:rsidP="001C19F3">
      <w:pPr>
        <w:ind w:right="237"/>
        <w:rPr>
          <w:rFonts w:eastAsia="Times New Roman"/>
        </w:rPr>
      </w:pPr>
      <w:r w:rsidRPr="008E40E1">
        <w:rPr>
          <w:rFonts w:eastAsia="Times New Roman"/>
        </w:rPr>
        <w:t>One facilitator reported:</w:t>
      </w:r>
    </w:p>
    <w:p w14:paraId="1465A0F2" w14:textId="77777777" w:rsidR="001C19F3" w:rsidRPr="008E40E1" w:rsidRDefault="001C19F3" w:rsidP="001C19F3">
      <w:pPr>
        <w:ind w:left="567" w:right="1088"/>
        <w:rPr>
          <w:rFonts w:cs="Arial"/>
          <w:szCs w:val="20"/>
          <w:lang w:val="en-GB"/>
        </w:rPr>
      </w:pPr>
      <w:r w:rsidRPr="008E40E1">
        <w:rPr>
          <w:rFonts w:cs="Arial"/>
          <w:i/>
          <w:szCs w:val="20"/>
          <w:lang w:val="en-GB"/>
        </w:rPr>
        <w:t>“So when we go out to those practices we're spending over two hours at a practice at a time trying to engage and build those relationships</w:t>
      </w:r>
      <w:r>
        <w:rPr>
          <w:rFonts w:cs="Arial"/>
          <w:i/>
          <w:szCs w:val="20"/>
          <w:lang w:val="en-GB"/>
        </w:rPr>
        <w:t>.</w:t>
      </w:r>
      <w:r w:rsidRPr="008E40E1">
        <w:rPr>
          <w:rFonts w:cs="Arial"/>
          <w:i/>
          <w:szCs w:val="20"/>
          <w:lang w:val="en-GB"/>
        </w:rPr>
        <w:t xml:space="preserve">” </w:t>
      </w:r>
      <w:r w:rsidRPr="008E40E1">
        <w:rPr>
          <w:rFonts w:cs="Arial"/>
          <w:szCs w:val="20"/>
          <w:lang w:val="en-GB"/>
        </w:rPr>
        <w:t xml:space="preserve">[PHN 5, </w:t>
      </w:r>
      <w:r>
        <w:rPr>
          <w:rFonts w:cs="Arial"/>
          <w:szCs w:val="20"/>
          <w:lang w:val="en-GB"/>
        </w:rPr>
        <w:t>interview, R2]</w:t>
      </w:r>
    </w:p>
    <w:p w14:paraId="19DC24CE" w14:textId="77777777" w:rsidR="001C19F3" w:rsidRDefault="001C19F3" w:rsidP="001C19F3">
      <w:pPr>
        <w:rPr>
          <w:rFonts w:eastAsia="Times New Roman"/>
        </w:rPr>
      </w:pPr>
      <w:r w:rsidRPr="008E40E1">
        <w:rPr>
          <w:rFonts w:eastAsia="Times New Roman"/>
        </w:rPr>
        <w:lastRenderedPageBreak/>
        <w:t>Some facilitators were able to achieve trust earlier due to prior relationships with the practices (got “</w:t>
      </w:r>
      <w:r w:rsidRPr="008E40E1">
        <w:rPr>
          <w:rFonts w:eastAsia="Times New Roman"/>
          <w:i/>
        </w:rPr>
        <w:t>in the back door</w:t>
      </w:r>
      <w:r w:rsidRPr="008E40E1">
        <w:rPr>
          <w:rFonts w:eastAsia="Times New Roman"/>
        </w:rPr>
        <w:t xml:space="preserve">” [PHN 8, </w:t>
      </w:r>
      <w:r>
        <w:rPr>
          <w:rFonts w:eastAsia="Times New Roman"/>
        </w:rPr>
        <w:t>interview, R1]</w:t>
      </w:r>
      <w:r w:rsidRPr="008E40E1">
        <w:rPr>
          <w:rFonts w:eastAsia="Times New Roman"/>
        </w:rPr>
        <w:t>). One facilitator claimed that training the doctors in HPOS “</w:t>
      </w:r>
      <w:r w:rsidRPr="008E40E1">
        <w:rPr>
          <w:rFonts w:eastAsia="Times New Roman"/>
          <w:i/>
        </w:rPr>
        <w:t>got me the relationships</w:t>
      </w:r>
      <w:r w:rsidRPr="008E40E1">
        <w:rPr>
          <w:rFonts w:eastAsia="Times New Roman"/>
        </w:rPr>
        <w:t xml:space="preserve">” [PHN 8, </w:t>
      </w:r>
      <w:r>
        <w:rPr>
          <w:rFonts w:eastAsia="Times New Roman"/>
        </w:rPr>
        <w:t>interview, R1]</w:t>
      </w:r>
      <w:r w:rsidRPr="008E40E1">
        <w:rPr>
          <w:rFonts w:eastAsia="Times New Roman"/>
        </w:rPr>
        <w:t>.</w:t>
      </w:r>
    </w:p>
    <w:p w14:paraId="2D7CB1DA" w14:textId="77777777" w:rsidR="001C19F3" w:rsidRPr="00D96861" w:rsidRDefault="001C19F3" w:rsidP="001C19F3">
      <w:pPr>
        <w:pStyle w:val="Heading4"/>
      </w:pPr>
      <w:r>
        <w:t>Practical aspects of working with practices</w:t>
      </w:r>
    </w:p>
    <w:p w14:paraId="23BFC8D2" w14:textId="77777777" w:rsidR="001C19F3" w:rsidRDefault="001C19F3" w:rsidP="001C19F3">
      <w:pPr>
        <w:rPr>
          <w:rFonts w:eastAsia="Times New Roman"/>
        </w:rPr>
      </w:pPr>
      <w:r>
        <w:rPr>
          <w:rFonts w:eastAsia="Times New Roman"/>
        </w:rPr>
        <w:t>During the enrolment phase of HCH, p</w:t>
      </w:r>
      <w:r w:rsidRPr="001D564A">
        <w:rPr>
          <w:rFonts w:eastAsia="Times New Roman"/>
        </w:rPr>
        <w:t>ractice facilitators reported regular contact with practices (daily during critical points), but generally reported formally meeting with practices at two-, three- and four-week intervals. Practice facilitators also reported practices asking them to hold off for a period due to other priorities, followed by bursts of activity when the facilitator was in the practice for a few days back-to-back.</w:t>
      </w:r>
      <w:r w:rsidRPr="00B265C1">
        <w:rPr>
          <w:rFonts w:eastAsia="Times New Roman"/>
        </w:rPr>
        <w:t xml:space="preserve"> </w:t>
      </w:r>
    </w:p>
    <w:p w14:paraId="0F87E4DA" w14:textId="77777777" w:rsidR="001C19F3" w:rsidRDefault="001C19F3" w:rsidP="001C19F3">
      <w:pPr>
        <w:rPr>
          <w:rFonts w:eastAsia="Times New Roman"/>
        </w:rPr>
      </w:pPr>
      <w:r w:rsidRPr="001D564A">
        <w:rPr>
          <w:rFonts w:eastAsia="Times New Roman"/>
        </w:rPr>
        <w:t>Facilitators mostly had access to a practice manager or practice nurse when in the practice.</w:t>
      </w:r>
      <w:r>
        <w:rPr>
          <w:rFonts w:eastAsia="Times New Roman"/>
          <w:color w:val="FF0000"/>
        </w:rPr>
        <w:t xml:space="preserve"> </w:t>
      </w:r>
      <w:r w:rsidRPr="001D564A">
        <w:rPr>
          <w:rFonts w:eastAsia="Times New Roman"/>
        </w:rPr>
        <w:t>Meetings were sometimes one-on-one with individuals, and sometimes jointly with members of the leadership team.</w:t>
      </w:r>
      <w:r>
        <w:rPr>
          <w:rFonts w:eastAsia="Times New Roman"/>
        </w:rPr>
        <w:t xml:space="preserve"> Facilitators have found that many practices only have one or two individual drivers of the project which has been a barrier in regard to engaging the whole of practice in HCH:</w:t>
      </w:r>
    </w:p>
    <w:p w14:paraId="6B633A63" w14:textId="77777777" w:rsidR="001C19F3" w:rsidRPr="00A1633F" w:rsidRDefault="001C19F3" w:rsidP="001C19F3">
      <w:pPr>
        <w:ind w:left="567" w:right="1088"/>
        <w:rPr>
          <w:rFonts w:eastAsia="Times New Roman"/>
        </w:rPr>
      </w:pPr>
      <w:r w:rsidRPr="00A1633F">
        <w:rPr>
          <w:rFonts w:eastAsia="Times New Roman"/>
          <w:i/>
        </w:rPr>
        <w:t xml:space="preserve">“Because what we found a lot is it’s the owner GP, or one GP, or even like a manager who’s really driving it, but it’s really hard to drive it if people aren’t engaged and don’t want to do it.” </w:t>
      </w:r>
      <w:r w:rsidRPr="00A1633F">
        <w:rPr>
          <w:rFonts w:eastAsia="Times New Roman"/>
        </w:rPr>
        <w:t xml:space="preserve">[PHN 9, </w:t>
      </w:r>
      <w:r>
        <w:rPr>
          <w:rFonts w:eastAsia="Times New Roman"/>
        </w:rPr>
        <w:t>interview, R1]</w:t>
      </w:r>
    </w:p>
    <w:p w14:paraId="58C3D4D6" w14:textId="77777777" w:rsidR="001C19F3" w:rsidRPr="00A1633F" w:rsidRDefault="001C19F3" w:rsidP="001C19F3">
      <w:pPr>
        <w:ind w:right="238"/>
        <w:rPr>
          <w:rFonts w:eastAsia="Times New Roman"/>
          <w:szCs w:val="20"/>
        </w:rPr>
      </w:pPr>
      <w:r w:rsidRPr="00A1633F">
        <w:rPr>
          <w:rFonts w:eastAsia="Times New Roman"/>
          <w:szCs w:val="20"/>
        </w:rPr>
        <w:t xml:space="preserve">Many facilitators discussed the importance of engaging not just with the practice owner, but the nurses, GPs, and the administrative team to ensure that the model runs smoothly and effectively within a practice. This </w:t>
      </w:r>
      <w:r>
        <w:rPr>
          <w:rFonts w:eastAsia="Times New Roman"/>
          <w:szCs w:val="20"/>
        </w:rPr>
        <w:t xml:space="preserve">approach </w:t>
      </w:r>
      <w:r w:rsidRPr="00A1633F">
        <w:rPr>
          <w:rFonts w:eastAsia="Times New Roman"/>
          <w:szCs w:val="20"/>
        </w:rPr>
        <w:t xml:space="preserve">has developed as practices have progressed to enrolling patients in the program. </w:t>
      </w:r>
    </w:p>
    <w:p w14:paraId="6BC8ECBB" w14:textId="77777777" w:rsidR="001C19F3" w:rsidRPr="00A1633F" w:rsidRDefault="001C19F3" w:rsidP="001C19F3">
      <w:pPr>
        <w:ind w:left="567" w:right="1088"/>
        <w:rPr>
          <w:rFonts w:eastAsia="Times New Roman"/>
          <w:szCs w:val="20"/>
        </w:rPr>
      </w:pPr>
      <w:r w:rsidRPr="00A1633F">
        <w:rPr>
          <w:rFonts w:eastAsia="Times New Roman"/>
          <w:i/>
          <w:szCs w:val="20"/>
        </w:rPr>
        <w:t>“I guess one of the best things we did, was assisted registration</w:t>
      </w:r>
      <w:r>
        <w:rPr>
          <w:rFonts w:eastAsia="Times New Roman"/>
          <w:i/>
          <w:szCs w:val="20"/>
        </w:rPr>
        <w:t>…</w:t>
      </w:r>
      <w:r w:rsidRPr="00A1633F">
        <w:rPr>
          <w:rFonts w:eastAsia="Times New Roman"/>
          <w:i/>
          <w:szCs w:val="20"/>
        </w:rPr>
        <w:t xml:space="preserve"> So, you'd have myself, as the practice nurse component, and one of the other girls from the admin component. That worked out really, really well, because we could get across the whole of the practice</w:t>
      </w:r>
      <w:r>
        <w:rPr>
          <w:rFonts w:eastAsia="Times New Roman"/>
          <w:i/>
          <w:szCs w:val="20"/>
        </w:rPr>
        <w:t>.</w:t>
      </w:r>
      <w:r w:rsidRPr="00A1633F">
        <w:rPr>
          <w:rFonts w:eastAsia="Times New Roman"/>
          <w:i/>
          <w:szCs w:val="20"/>
        </w:rPr>
        <w:t xml:space="preserve">” </w:t>
      </w:r>
      <w:r w:rsidRPr="00A1633F">
        <w:rPr>
          <w:rFonts w:eastAsia="Times New Roman"/>
          <w:szCs w:val="20"/>
        </w:rPr>
        <w:t xml:space="preserve">[PHN 6, </w:t>
      </w:r>
      <w:r>
        <w:rPr>
          <w:rFonts w:eastAsia="Times New Roman"/>
          <w:szCs w:val="20"/>
        </w:rPr>
        <w:t>interview, R2]</w:t>
      </w:r>
    </w:p>
    <w:p w14:paraId="162EBDB8" w14:textId="77777777" w:rsidR="001C19F3" w:rsidRPr="00A1633F" w:rsidRDefault="001C19F3" w:rsidP="001C19F3">
      <w:pPr>
        <w:rPr>
          <w:rFonts w:eastAsia="Times New Roman"/>
        </w:rPr>
      </w:pPr>
      <w:r w:rsidRPr="00A1633F">
        <w:rPr>
          <w:rFonts w:eastAsia="Times New Roman"/>
        </w:rPr>
        <w:t>In particular, facilitators reported challenges in getting access to GPs. This was mostly due to how busy GPs are, but it was commented that this could also indicate a low level of engagement on the part of GPs</w:t>
      </w:r>
      <w:r>
        <w:rPr>
          <w:rFonts w:eastAsia="Times New Roman"/>
        </w:rPr>
        <w:t xml:space="preserve">. </w:t>
      </w:r>
      <w:r w:rsidRPr="00A1633F">
        <w:rPr>
          <w:rFonts w:eastAsia="Times New Roman"/>
        </w:rPr>
        <w:t xml:space="preserve">PHNs reported that where practices had only one or two GPs </w:t>
      </w:r>
      <w:r>
        <w:rPr>
          <w:rFonts w:eastAsia="Times New Roman"/>
        </w:rPr>
        <w:t xml:space="preserve">within a practice </w:t>
      </w:r>
      <w:r w:rsidRPr="00A1633F">
        <w:rPr>
          <w:rFonts w:eastAsia="Times New Roman"/>
        </w:rPr>
        <w:t>participating in HCH, it was difficult for them to instil major practice-wide changes:</w:t>
      </w:r>
    </w:p>
    <w:p w14:paraId="1A30F205" w14:textId="77777777" w:rsidR="001C19F3" w:rsidRPr="00A1633F" w:rsidRDefault="001C19F3" w:rsidP="001C19F3">
      <w:pPr>
        <w:ind w:left="567" w:right="1088"/>
        <w:rPr>
          <w:rFonts w:eastAsia="Times New Roman"/>
        </w:rPr>
      </w:pPr>
      <w:r w:rsidRPr="00A1633F">
        <w:rPr>
          <w:rFonts w:eastAsia="Times New Roman"/>
          <w:i/>
        </w:rPr>
        <w:t>“…if you've only got one or two GPs who are Healthcare Home GPs then you're basically rallying staff in a sense for one GP and that's a massive challenge.”</w:t>
      </w:r>
      <w:r w:rsidRPr="00A1633F">
        <w:rPr>
          <w:rFonts w:eastAsia="Times New Roman"/>
        </w:rPr>
        <w:t xml:space="preserve"> [PHN 5, </w:t>
      </w:r>
      <w:r>
        <w:rPr>
          <w:rFonts w:eastAsia="Times New Roman"/>
        </w:rPr>
        <w:t>interview, R2]</w:t>
      </w:r>
    </w:p>
    <w:p w14:paraId="62C169CE" w14:textId="77777777" w:rsidR="001C19F3" w:rsidRPr="001D564A" w:rsidRDefault="001C19F3" w:rsidP="001C19F3">
      <w:pPr>
        <w:rPr>
          <w:rFonts w:eastAsia="Times New Roman"/>
        </w:rPr>
      </w:pPr>
      <w:r w:rsidRPr="001D564A">
        <w:rPr>
          <w:rFonts w:eastAsia="Times New Roman"/>
        </w:rPr>
        <w:t>Where GPs were hard to access, facilitators offered lunchtime or after-hours meetings, and used telephone and email instead of face-to-face meetings. Communication with GPs was crucial, as in many practices they were the decision makers. Not having access to them meant that:</w:t>
      </w:r>
    </w:p>
    <w:p w14:paraId="3104E252" w14:textId="77777777" w:rsidR="001C19F3" w:rsidRPr="001D564A" w:rsidRDefault="001C19F3" w:rsidP="001C19F3">
      <w:pPr>
        <w:ind w:left="567" w:right="1088"/>
        <w:rPr>
          <w:rFonts w:eastAsia="Times New Roman"/>
        </w:rPr>
      </w:pPr>
      <w:r>
        <w:rPr>
          <w:rFonts w:eastAsia="Times New Roman"/>
        </w:rPr>
        <w:t>“</w:t>
      </w:r>
      <w:r w:rsidRPr="001D564A">
        <w:rPr>
          <w:rFonts w:eastAsia="Times New Roman"/>
        </w:rPr>
        <w:t>…</w:t>
      </w:r>
      <w:r w:rsidRPr="001D564A">
        <w:rPr>
          <w:rFonts w:eastAsia="Times New Roman"/>
          <w:i/>
        </w:rPr>
        <w:t>no one has the authority to do anything, which is a real nuisance. It’s hard to get anything actually done</w:t>
      </w:r>
      <w:r>
        <w:rPr>
          <w:rFonts w:eastAsia="Times New Roman"/>
          <w:i/>
        </w:rPr>
        <w:t>.”</w:t>
      </w:r>
      <w:r w:rsidRPr="001D564A">
        <w:rPr>
          <w:rFonts w:eastAsia="Times New Roman"/>
        </w:rPr>
        <w:t xml:space="preserve"> [PHN 5, interview</w:t>
      </w:r>
      <w:r>
        <w:rPr>
          <w:rFonts w:eastAsia="Times New Roman"/>
        </w:rPr>
        <w:t>, R1]</w:t>
      </w:r>
    </w:p>
    <w:p w14:paraId="236B3F81" w14:textId="77777777" w:rsidR="001C19F3" w:rsidRPr="00A1633F" w:rsidRDefault="001C19F3" w:rsidP="001C19F3">
      <w:pPr>
        <w:ind w:right="238"/>
        <w:rPr>
          <w:rFonts w:eastAsia="Times New Roman"/>
          <w:szCs w:val="20"/>
        </w:rPr>
      </w:pPr>
      <w:r w:rsidRPr="00A1633F">
        <w:rPr>
          <w:rFonts w:eastAsia="Times New Roman"/>
          <w:szCs w:val="20"/>
        </w:rPr>
        <w:t>Facilitators reported issues with engaging with some practices:</w:t>
      </w:r>
    </w:p>
    <w:p w14:paraId="646FF7ED" w14:textId="77777777" w:rsidR="001C19F3" w:rsidRPr="00D65F7A" w:rsidRDefault="001C19F3" w:rsidP="001C19F3">
      <w:pPr>
        <w:ind w:left="567" w:right="1088"/>
        <w:rPr>
          <w:rFonts w:cs="Arial"/>
          <w:szCs w:val="20"/>
          <w:lang w:val="en-GB"/>
        </w:rPr>
      </w:pPr>
      <w:r w:rsidRPr="00D65F7A">
        <w:rPr>
          <w:rFonts w:cs="Arial"/>
          <w:i/>
          <w:szCs w:val="20"/>
          <w:lang w:val="en-GB"/>
        </w:rPr>
        <w:lastRenderedPageBreak/>
        <w:t>“I haven't been able to support and assist practices or team members that are involved in Health Care Homes as much as I could have. And sometimes I’m pleasantly tolerated like a pharmaceutical rep</w:t>
      </w:r>
      <w:r w:rsidRPr="00A1633F">
        <w:rPr>
          <w:rFonts w:cs="Arial"/>
          <w:i/>
          <w:szCs w:val="20"/>
          <w:lang w:val="en-GB"/>
        </w:rPr>
        <w:t>.</w:t>
      </w:r>
      <w:r w:rsidRPr="00D65F7A">
        <w:rPr>
          <w:rFonts w:cs="Arial"/>
          <w:i/>
          <w:szCs w:val="20"/>
          <w:lang w:val="en-GB"/>
        </w:rPr>
        <w:t xml:space="preserve">” </w:t>
      </w:r>
      <w:r w:rsidRPr="00D65F7A">
        <w:rPr>
          <w:rFonts w:cs="Arial"/>
          <w:szCs w:val="20"/>
          <w:lang w:val="en-GB"/>
        </w:rPr>
        <w:t xml:space="preserve">[PHN 7, </w:t>
      </w:r>
      <w:r>
        <w:rPr>
          <w:rFonts w:cs="Arial"/>
          <w:szCs w:val="20"/>
          <w:lang w:val="en-GB"/>
        </w:rPr>
        <w:t>interview, R2]</w:t>
      </w:r>
    </w:p>
    <w:p w14:paraId="3687248D" w14:textId="77777777" w:rsidR="001C19F3" w:rsidRPr="00D65F7A" w:rsidRDefault="001C19F3" w:rsidP="001C19F3">
      <w:pPr>
        <w:rPr>
          <w:rFonts w:eastAsia="Times New Roman"/>
        </w:rPr>
      </w:pPr>
      <w:r w:rsidRPr="00D65F7A">
        <w:rPr>
          <w:rFonts w:eastAsia="Times New Roman"/>
        </w:rPr>
        <w:t>Sometimes</w:t>
      </w:r>
      <w:r>
        <w:rPr>
          <w:rFonts w:eastAsia="Times New Roman"/>
        </w:rPr>
        <w:t xml:space="preserve"> practices’ reluctance to engage</w:t>
      </w:r>
      <w:r w:rsidRPr="00D65F7A">
        <w:rPr>
          <w:rFonts w:eastAsia="Times New Roman"/>
        </w:rPr>
        <w:t xml:space="preserve"> reflected commercial concerns:</w:t>
      </w:r>
    </w:p>
    <w:p w14:paraId="79920CD0" w14:textId="77777777" w:rsidR="001C19F3" w:rsidRPr="00D65F7A" w:rsidRDefault="001C19F3" w:rsidP="001C19F3">
      <w:pPr>
        <w:ind w:left="567" w:right="1088"/>
        <w:rPr>
          <w:rFonts w:eastAsia="Times New Roman"/>
        </w:rPr>
      </w:pPr>
      <w:r w:rsidRPr="00D65F7A">
        <w:rPr>
          <w:rFonts w:eastAsia="Times New Roman"/>
        </w:rPr>
        <w:t>“</w:t>
      </w:r>
      <w:r w:rsidRPr="00D65F7A">
        <w:rPr>
          <w:rFonts w:eastAsia="Times New Roman"/>
          <w:i/>
        </w:rPr>
        <w:t>I’ve got one practice who has issues around sharing what they’re doing because they feel like that’s then going to help another practice.</w:t>
      </w:r>
      <w:r w:rsidRPr="00D65F7A">
        <w:rPr>
          <w:rFonts w:eastAsia="Times New Roman"/>
        </w:rPr>
        <w:t>” [PHN 1, interview</w:t>
      </w:r>
      <w:r>
        <w:rPr>
          <w:rFonts w:eastAsia="Times New Roman"/>
        </w:rPr>
        <w:t>, R1]</w:t>
      </w:r>
    </w:p>
    <w:p w14:paraId="73026E5C" w14:textId="77777777" w:rsidR="001C19F3" w:rsidRPr="00D65F7A" w:rsidRDefault="001C19F3" w:rsidP="001C19F3">
      <w:pPr>
        <w:rPr>
          <w:rFonts w:cs="Arial"/>
          <w:szCs w:val="20"/>
          <w:lang w:val="en-GB"/>
        </w:rPr>
      </w:pPr>
      <w:r w:rsidRPr="00D65F7A">
        <w:rPr>
          <w:rFonts w:cs="Arial"/>
          <w:szCs w:val="20"/>
          <w:lang w:val="en-GB"/>
        </w:rPr>
        <w:t xml:space="preserve">Other facilitators commented on problems with engagement as a result of </w:t>
      </w:r>
      <w:r>
        <w:rPr>
          <w:rFonts w:cs="Arial"/>
          <w:szCs w:val="20"/>
          <w:lang w:val="en-GB"/>
        </w:rPr>
        <w:t xml:space="preserve">internal </w:t>
      </w:r>
      <w:r w:rsidRPr="00D65F7A">
        <w:rPr>
          <w:rFonts w:cs="Arial"/>
          <w:szCs w:val="20"/>
          <w:lang w:val="en-GB"/>
        </w:rPr>
        <w:t>business</w:t>
      </w:r>
      <w:r>
        <w:rPr>
          <w:rFonts w:cs="Arial"/>
          <w:szCs w:val="20"/>
          <w:lang w:val="en-GB"/>
        </w:rPr>
        <w:t xml:space="preserve"> </w:t>
      </w:r>
      <w:r w:rsidRPr="00D65F7A">
        <w:rPr>
          <w:rFonts w:cs="Arial"/>
          <w:szCs w:val="20"/>
          <w:lang w:val="en-GB"/>
        </w:rPr>
        <w:t>practice</w:t>
      </w:r>
      <w:r>
        <w:rPr>
          <w:rFonts w:cs="Arial"/>
          <w:szCs w:val="20"/>
          <w:lang w:val="en-GB"/>
        </w:rPr>
        <w:t>s and</w:t>
      </w:r>
      <w:r w:rsidRPr="00D65F7A">
        <w:rPr>
          <w:rFonts w:cs="Arial"/>
          <w:szCs w:val="20"/>
          <w:lang w:val="en-GB"/>
        </w:rPr>
        <w:t xml:space="preserve"> management </w:t>
      </w:r>
      <w:r>
        <w:rPr>
          <w:rFonts w:cs="Arial"/>
          <w:szCs w:val="20"/>
          <w:lang w:val="en-GB"/>
        </w:rPr>
        <w:t>lines</w:t>
      </w:r>
      <w:r w:rsidRPr="00D65F7A">
        <w:rPr>
          <w:rFonts w:cs="Arial"/>
          <w:szCs w:val="20"/>
          <w:lang w:val="en-GB"/>
        </w:rPr>
        <w:t>:</w:t>
      </w:r>
    </w:p>
    <w:p w14:paraId="3F50C7B8" w14:textId="77777777" w:rsidR="001C19F3" w:rsidRPr="00D65F7A" w:rsidRDefault="001C19F3" w:rsidP="001C19F3">
      <w:pPr>
        <w:ind w:left="567" w:right="1088"/>
        <w:rPr>
          <w:rFonts w:cs="Arial"/>
          <w:szCs w:val="20"/>
          <w:lang w:val="en-GB"/>
        </w:rPr>
      </w:pPr>
      <w:r>
        <w:rPr>
          <w:rFonts w:cs="Arial"/>
          <w:i/>
          <w:szCs w:val="20"/>
          <w:lang w:val="en-GB"/>
        </w:rPr>
        <w:t>“</w:t>
      </w:r>
      <w:r w:rsidRPr="00D65F7A">
        <w:rPr>
          <w:rFonts w:cs="Arial"/>
          <w:i/>
          <w:szCs w:val="20"/>
          <w:lang w:val="en-GB"/>
        </w:rPr>
        <w:t>Well it’s been tricky with the corporate practices…they can’t seem to make a decision as such of who can come in and who can’t, they all kind of have to go via head office. And they’ve got their own plan…and their own resources on what they’re going to do with the tria</w:t>
      </w:r>
      <w:r w:rsidRPr="00D65F7A">
        <w:rPr>
          <w:rFonts w:cs="Arial"/>
          <w:szCs w:val="20"/>
          <w:lang w:val="en-GB"/>
        </w:rPr>
        <w:t>l</w:t>
      </w:r>
      <w:r>
        <w:rPr>
          <w:rFonts w:cs="Arial"/>
          <w:szCs w:val="20"/>
          <w:lang w:val="en-GB"/>
        </w:rPr>
        <w:t>.</w:t>
      </w:r>
      <w:r w:rsidRPr="00D65F7A">
        <w:rPr>
          <w:rFonts w:cs="Arial"/>
          <w:szCs w:val="20"/>
          <w:lang w:val="en-GB"/>
        </w:rPr>
        <w:t xml:space="preserve">” [PHN 9, </w:t>
      </w:r>
      <w:r>
        <w:rPr>
          <w:rFonts w:cs="Arial"/>
          <w:szCs w:val="20"/>
          <w:lang w:val="en-GB"/>
        </w:rPr>
        <w:t>interview, R1]</w:t>
      </w:r>
    </w:p>
    <w:p w14:paraId="190AA0E8" w14:textId="77777777" w:rsidR="001C19F3" w:rsidRPr="00A1633F" w:rsidRDefault="001C19F3" w:rsidP="001C19F3">
      <w:pPr>
        <w:ind w:right="238"/>
        <w:rPr>
          <w:rFonts w:eastAsia="Times New Roman"/>
          <w:szCs w:val="20"/>
        </w:rPr>
      </w:pPr>
      <w:bookmarkStart w:id="212" w:name="_Hlk20992899"/>
      <w:r w:rsidRPr="00A1633F">
        <w:rPr>
          <w:rFonts w:eastAsia="Times New Roman"/>
          <w:szCs w:val="20"/>
        </w:rPr>
        <w:t>Establishing expectations around the requirements and frequency of practice-PHN engagement made it easier for some facilitators to get access</w:t>
      </w:r>
      <w:bookmarkEnd w:id="212"/>
      <w:r w:rsidRPr="00A1633F">
        <w:rPr>
          <w:rFonts w:eastAsia="Times New Roman"/>
          <w:szCs w:val="20"/>
        </w:rPr>
        <w:t xml:space="preserve"> to practices:</w:t>
      </w:r>
    </w:p>
    <w:p w14:paraId="47CBAD90" w14:textId="77777777" w:rsidR="001C19F3" w:rsidRPr="00D65F7A" w:rsidRDefault="001C19F3" w:rsidP="001C19F3">
      <w:pPr>
        <w:ind w:left="567" w:right="1088"/>
        <w:rPr>
          <w:rFonts w:eastAsia="Times New Roman"/>
        </w:rPr>
      </w:pPr>
      <w:r w:rsidRPr="00D65F7A">
        <w:rPr>
          <w:rFonts w:eastAsia="Times New Roman"/>
        </w:rPr>
        <w:t>“</w:t>
      </w:r>
      <w:r w:rsidRPr="00D65F7A">
        <w:rPr>
          <w:rFonts w:eastAsia="Times New Roman"/>
          <w:i/>
        </w:rPr>
        <w:t>We reached a point where we laid out some very clear communication lines and ground rules and explained the benefit of having us involved</w:t>
      </w:r>
      <w:r w:rsidRPr="00D65F7A">
        <w:rPr>
          <w:rFonts w:eastAsia="Times New Roman"/>
        </w:rPr>
        <w:t>.” [PHN 3, interview</w:t>
      </w:r>
      <w:r>
        <w:rPr>
          <w:rFonts w:eastAsia="Times New Roman"/>
        </w:rPr>
        <w:t>, R1]</w:t>
      </w:r>
    </w:p>
    <w:p w14:paraId="6BCE3983" w14:textId="77777777" w:rsidR="001C19F3" w:rsidRPr="00A1633F" w:rsidRDefault="001C19F3" w:rsidP="001C19F3">
      <w:pPr>
        <w:ind w:right="238"/>
        <w:rPr>
          <w:rFonts w:eastAsia="Times New Roman"/>
          <w:szCs w:val="20"/>
        </w:rPr>
      </w:pPr>
      <w:r w:rsidRPr="00A1633F">
        <w:rPr>
          <w:rFonts w:eastAsia="Times New Roman"/>
          <w:szCs w:val="20"/>
        </w:rPr>
        <w:t>One facilitator highlighted this positive change since setting certain ground rules around engagement:</w:t>
      </w:r>
    </w:p>
    <w:p w14:paraId="61814C60" w14:textId="77777777" w:rsidR="001C19F3" w:rsidRPr="00D65F7A" w:rsidRDefault="001C19F3" w:rsidP="001C19F3">
      <w:pPr>
        <w:ind w:left="567" w:right="1088"/>
        <w:rPr>
          <w:rFonts w:cs="Arial"/>
          <w:szCs w:val="20"/>
          <w:lang w:val="en-GB"/>
        </w:rPr>
      </w:pPr>
      <w:r w:rsidRPr="00D65F7A">
        <w:rPr>
          <w:rFonts w:cs="Arial"/>
          <w:i/>
          <w:szCs w:val="20"/>
          <w:lang w:val="en-GB"/>
        </w:rPr>
        <w:t xml:space="preserve">“…We did set expectations as well and I think that was a really key thing </w:t>
      </w:r>
      <w:r>
        <w:rPr>
          <w:rFonts w:cs="Arial"/>
          <w:i/>
          <w:szCs w:val="20"/>
          <w:lang w:val="en-GB"/>
        </w:rPr>
        <w:t>…</w:t>
      </w:r>
      <w:r w:rsidRPr="00D65F7A">
        <w:rPr>
          <w:rFonts w:cs="Arial"/>
          <w:i/>
          <w:szCs w:val="20"/>
          <w:lang w:val="en-GB"/>
        </w:rPr>
        <w:t>that is what our expectations are from you and this is what we’re going to provide you as a PHN…when we went out there we could also make sure that everyone in the practice knew what was going on, what was involved and that we had the whole of the team’s buy-in and that the expectations were definitely se</w:t>
      </w:r>
      <w:r w:rsidRPr="00A1633F">
        <w:rPr>
          <w:rFonts w:cs="Arial"/>
          <w:i/>
          <w:szCs w:val="20"/>
          <w:lang w:val="en-GB"/>
        </w:rPr>
        <w:t>t..</w:t>
      </w:r>
      <w:r w:rsidRPr="00D65F7A">
        <w:rPr>
          <w:rFonts w:cs="Arial"/>
          <w:i/>
          <w:szCs w:val="20"/>
          <w:lang w:val="en-GB"/>
        </w:rPr>
        <w:t xml:space="preserve">” </w:t>
      </w:r>
      <w:r w:rsidRPr="00D65F7A">
        <w:rPr>
          <w:rFonts w:cs="Arial"/>
          <w:szCs w:val="20"/>
          <w:lang w:val="en-GB"/>
        </w:rPr>
        <w:t xml:space="preserve">[PHN 1, </w:t>
      </w:r>
      <w:r>
        <w:rPr>
          <w:rFonts w:cs="Arial"/>
          <w:szCs w:val="20"/>
          <w:lang w:val="en-GB"/>
        </w:rPr>
        <w:t>interview, R2]</w:t>
      </w:r>
    </w:p>
    <w:p w14:paraId="385BED65" w14:textId="77777777" w:rsidR="001C19F3" w:rsidRPr="00D65F7A" w:rsidRDefault="001C19F3" w:rsidP="001C19F3">
      <w:pPr>
        <w:rPr>
          <w:rFonts w:cs="Arial"/>
          <w:szCs w:val="20"/>
          <w:lang w:val="en-GB"/>
        </w:rPr>
      </w:pPr>
      <w:r w:rsidRPr="00D65F7A">
        <w:rPr>
          <w:rFonts w:cs="Arial"/>
          <w:szCs w:val="20"/>
          <w:lang w:val="en-GB"/>
        </w:rPr>
        <w:t xml:space="preserve">PHNs felt that it was necessary for them to set </w:t>
      </w:r>
      <w:r w:rsidRPr="00A1633F">
        <w:rPr>
          <w:rFonts w:cs="Arial"/>
          <w:szCs w:val="20"/>
          <w:lang w:val="en-GB"/>
        </w:rPr>
        <w:t>ground rules</w:t>
      </w:r>
      <w:r w:rsidRPr="00D65F7A">
        <w:rPr>
          <w:rFonts w:cs="Arial"/>
          <w:szCs w:val="20"/>
          <w:lang w:val="en-GB"/>
        </w:rPr>
        <w:t xml:space="preserve"> </w:t>
      </w:r>
      <w:r>
        <w:rPr>
          <w:rFonts w:cs="Arial"/>
          <w:szCs w:val="20"/>
          <w:lang w:val="en-GB"/>
        </w:rPr>
        <w:t xml:space="preserve">for the practices </w:t>
      </w:r>
      <w:r w:rsidRPr="00D65F7A">
        <w:rPr>
          <w:rFonts w:cs="Arial"/>
          <w:szCs w:val="20"/>
          <w:lang w:val="en-GB"/>
        </w:rPr>
        <w:t>because they were not involved in the initial recruitment</w:t>
      </w:r>
      <w:r>
        <w:rPr>
          <w:rFonts w:cs="Arial"/>
          <w:szCs w:val="20"/>
          <w:lang w:val="en-GB"/>
        </w:rPr>
        <w:t xml:space="preserve">. They </w:t>
      </w:r>
      <w:r w:rsidRPr="00A1633F">
        <w:rPr>
          <w:rFonts w:cs="Arial"/>
          <w:szCs w:val="20"/>
          <w:lang w:val="en-GB"/>
        </w:rPr>
        <w:t xml:space="preserve">thought </w:t>
      </w:r>
      <w:r>
        <w:rPr>
          <w:rFonts w:cs="Arial"/>
          <w:szCs w:val="20"/>
          <w:lang w:val="en-GB"/>
        </w:rPr>
        <w:t xml:space="preserve">this had a </w:t>
      </w:r>
      <w:r w:rsidRPr="00D65F7A">
        <w:rPr>
          <w:rFonts w:cs="Arial"/>
          <w:szCs w:val="20"/>
          <w:lang w:val="en-GB"/>
        </w:rPr>
        <w:t>negative impact</w:t>
      </w:r>
      <w:r>
        <w:rPr>
          <w:rFonts w:cs="Arial"/>
          <w:szCs w:val="20"/>
          <w:lang w:val="en-GB"/>
        </w:rPr>
        <w:t xml:space="preserve"> on</w:t>
      </w:r>
      <w:r w:rsidRPr="00D65F7A">
        <w:rPr>
          <w:rFonts w:cs="Arial"/>
          <w:szCs w:val="20"/>
          <w:lang w:val="en-GB"/>
        </w:rPr>
        <w:t xml:space="preserve"> their overall access and relationship with </w:t>
      </w:r>
      <w:r>
        <w:rPr>
          <w:rFonts w:cs="Arial"/>
          <w:szCs w:val="20"/>
          <w:lang w:val="en-GB"/>
        </w:rPr>
        <w:t>the practices</w:t>
      </w:r>
      <w:r w:rsidRPr="00A1633F">
        <w:rPr>
          <w:rFonts w:cs="Arial"/>
          <w:szCs w:val="20"/>
          <w:lang w:val="en-GB"/>
        </w:rPr>
        <w:t xml:space="preserve">. </w:t>
      </w:r>
      <w:r>
        <w:rPr>
          <w:rFonts w:cs="Arial"/>
          <w:szCs w:val="20"/>
          <w:lang w:val="en-GB"/>
        </w:rPr>
        <w:t>T</w:t>
      </w:r>
      <w:r w:rsidRPr="00D65F7A">
        <w:rPr>
          <w:rFonts w:cs="Arial"/>
          <w:szCs w:val="20"/>
          <w:lang w:val="en-GB"/>
        </w:rPr>
        <w:t xml:space="preserve">he initial lack of requirements around how often practices should be in contact with facilitators </w:t>
      </w:r>
      <w:r>
        <w:rPr>
          <w:rFonts w:cs="Arial"/>
          <w:szCs w:val="20"/>
          <w:lang w:val="en-GB"/>
        </w:rPr>
        <w:t xml:space="preserve">was cited </w:t>
      </w:r>
      <w:r w:rsidRPr="00D65F7A">
        <w:rPr>
          <w:rFonts w:cs="Arial"/>
          <w:szCs w:val="20"/>
          <w:lang w:val="en-GB"/>
        </w:rPr>
        <w:t>as a major barrier:</w:t>
      </w:r>
    </w:p>
    <w:p w14:paraId="39AF1276" w14:textId="77777777" w:rsidR="001C19F3" w:rsidRPr="00D65F7A" w:rsidRDefault="001C19F3" w:rsidP="001C19F3">
      <w:pPr>
        <w:ind w:left="567" w:right="1088"/>
        <w:rPr>
          <w:rFonts w:cs="Arial"/>
          <w:szCs w:val="20"/>
          <w:lang w:val="en-GB"/>
        </w:rPr>
      </w:pPr>
      <w:r w:rsidRPr="00D65F7A">
        <w:rPr>
          <w:rFonts w:cs="Arial"/>
          <w:i/>
          <w:szCs w:val="20"/>
          <w:lang w:val="en-GB"/>
        </w:rPr>
        <w:t>“…I know that in the contract it says something with engaging with the PHNs, but it doesn’t specify how often you have to engage with the PHN, or who in the practice has to engage with the PHN or anything like that…There’s quite a lot of practices, they know that...they don’t actually have to do anything and no one’s going to keep them accountable</w:t>
      </w:r>
      <w:r>
        <w:rPr>
          <w:rFonts w:cs="Arial"/>
          <w:i/>
          <w:szCs w:val="20"/>
          <w:lang w:val="en-GB"/>
        </w:rPr>
        <w:t>.</w:t>
      </w:r>
      <w:r w:rsidRPr="00D65F7A">
        <w:rPr>
          <w:rFonts w:cs="Arial"/>
          <w:i/>
          <w:szCs w:val="20"/>
          <w:lang w:val="en-GB"/>
        </w:rPr>
        <w:t>”</w:t>
      </w:r>
      <w:r w:rsidRPr="00D65F7A">
        <w:rPr>
          <w:rFonts w:cs="Arial"/>
          <w:szCs w:val="20"/>
          <w:lang w:val="en-GB"/>
        </w:rPr>
        <w:t xml:space="preserve"> [PHN 9, </w:t>
      </w:r>
      <w:r>
        <w:rPr>
          <w:rFonts w:cs="Arial"/>
          <w:szCs w:val="20"/>
          <w:lang w:val="en-GB"/>
        </w:rPr>
        <w:t>interview, R1]</w:t>
      </w:r>
    </w:p>
    <w:p w14:paraId="0C63F962" w14:textId="77777777" w:rsidR="001C19F3" w:rsidRPr="00D65F7A" w:rsidRDefault="001C19F3" w:rsidP="001C19F3">
      <w:pPr>
        <w:ind w:left="567" w:right="1088"/>
        <w:rPr>
          <w:rFonts w:eastAsia="Times New Roman"/>
        </w:rPr>
      </w:pPr>
      <w:r w:rsidRPr="00D65F7A">
        <w:rPr>
          <w:rFonts w:eastAsia="Times New Roman"/>
        </w:rPr>
        <w:t>“</w:t>
      </w:r>
      <w:r w:rsidRPr="00D65F7A">
        <w:rPr>
          <w:rFonts w:eastAsia="Times New Roman"/>
          <w:i/>
        </w:rPr>
        <w:t xml:space="preserve">If we were onboard from the very, very beginning, where we could help with the practice recruitment and we could do these presentations, if we had known enough about it, it would be a very different… It would be very </w:t>
      </w:r>
      <w:r w:rsidRPr="00D65F7A">
        <w:rPr>
          <w:rFonts w:eastAsia="Times New Roman"/>
          <w:i/>
        </w:rPr>
        <w:lastRenderedPageBreak/>
        <w:t>different, I would imagine because we would have the time and we would be able to really nut out some of the very ground level, the four building blocks down the bottom. We’d be able to get those sorted</w:t>
      </w:r>
      <w:r>
        <w:rPr>
          <w:rFonts w:eastAsia="Times New Roman"/>
          <w:i/>
        </w:rPr>
        <w:t>.</w:t>
      </w:r>
      <w:r w:rsidRPr="00D65F7A">
        <w:rPr>
          <w:rFonts w:eastAsia="Times New Roman"/>
        </w:rPr>
        <w:t>” [PHN 1, interview</w:t>
      </w:r>
      <w:r>
        <w:rPr>
          <w:rFonts w:eastAsia="Times New Roman"/>
        </w:rPr>
        <w:t>, R1]</w:t>
      </w:r>
    </w:p>
    <w:p w14:paraId="7262E723" w14:textId="77777777" w:rsidR="001C19F3" w:rsidRPr="00A1633F" w:rsidRDefault="001C19F3" w:rsidP="001C19F3">
      <w:pPr>
        <w:ind w:right="238"/>
        <w:rPr>
          <w:rFonts w:eastAsia="Times New Roman"/>
          <w:szCs w:val="20"/>
        </w:rPr>
      </w:pPr>
      <w:r w:rsidRPr="00A1633F">
        <w:rPr>
          <w:rFonts w:eastAsia="Times New Roman"/>
          <w:szCs w:val="20"/>
        </w:rPr>
        <w:t>Although some PHNs thought that they couldn’t change what happened with the initial set of practices recruited to the program, they took the opportunity to change this with practice</w:t>
      </w:r>
      <w:r>
        <w:rPr>
          <w:rFonts w:eastAsia="Times New Roman"/>
          <w:szCs w:val="20"/>
        </w:rPr>
        <w:t>s</w:t>
      </w:r>
      <w:r w:rsidRPr="00A1633F">
        <w:rPr>
          <w:rFonts w:eastAsia="Times New Roman"/>
          <w:szCs w:val="20"/>
        </w:rPr>
        <w:t xml:space="preserve"> recruited later:</w:t>
      </w:r>
    </w:p>
    <w:p w14:paraId="574A0EF1" w14:textId="77777777" w:rsidR="001C19F3" w:rsidRPr="00A7342F" w:rsidRDefault="001C19F3" w:rsidP="001C19F3">
      <w:pPr>
        <w:ind w:left="567" w:right="1088"/>
        <w:rPr>
          <w:rFonts w:cs="Arial"/>
          <w:szCs w:val="20"/>
          <w:lang w:val="en-GB"/>
        </w:rPr>
      </w:pPr>
      <w:r w:rsidRPr="00D65F7A">
        <w:rPr>
          <w:rFonts w:cs="Arial"/>
          <w:i/>
          <w:szCs w:val="20"/>
          <w:lang w:val="en-GB"/>
        </w:rPr>
        <w:t>“Because we had a solid understanding of the model, we could go in and we also made sure that we had buy-in from GPs and</w:t>
      </w:r>
      <w:r>
        <w:rPr>
          <w:rFonts w:cs="Arial"/>
          <w:i/>
          <w:szCs w:val="20"/>
          <w:lang w:val="en-GB"/>
        </w:rPr>
        <w:t>…</w:t>
      </w:r>
      <w:r w:rsidRPr="00D65F7A">
        <w:rPr>
          <w:rFonts w:cs="Arial"/>
          <w:i/>
          <w:szCs w:val="20"/>
          <w:lang w:val="en-GB"/>
        </w:rPr>
        <w:t>practice owners...So that we weren’t putting ourselves in a similar situation that</w:t>
      </w:r>
      <w:r>
        <w:rPr>
          <w:rFonts w:cs="Arial"/>
          <w:i/>
          <w:szCs w:val="20"/>
          <w:lang w:val="en-GB"/>
        </w:rPr>
        <w:t>…</w:t>
      </w:r>
      <w:r w:rsidRPr="00D65F7A">
        <w:rPr>
          <w:rFonts w:cs="Arial"/>
          <w:i/>
          <w:szCs w:val="20"/>
          <w:lang w:val="en-GB"/>
        </w:rPr>
        <w:t>nobody in the practice had buy-in or knowledge that they were signed up</w:t>
      </w:r>
      <w:r>
        <w:rPr>
          <w:rFonts w:cs="Arial"/>
          <w:i/>
          <w:szCs w:val="20"/>
          <w:lang w:val="en-GB"/>
        </w:rPr>
        <w:t>.</w:t>
      </w:r>
      <w:r w:rsidRPr="00D65F7A">
        <w:rPr>
          <w:rFonts w:cs="Arial"/>
          <w:i/>
          <w:szCs w:val="20"/>
          <w:lang w:val="en-GB"/>
        </w:rPr>
        <w:t xml:space="preserve">” </w:t>
      </w:r>
      <w:r w:rsidRPr="00D65F7A">
        <w:rPr>
          <w:rFonts w:cs="Arial"/>
          <w:szCs w:val="20"/>
          <w:lang w:val="en-GB"/>
        </w:rPr>
        <w:t xml:space="preserve">[PHN 1, </w:t>
      </w:r>
      <w:r>
        <w:rPr>
          <w:rFonts w:cs="Arial"/>
          <w:szCs w:val="20"/>
          <w:lang w:val="en-GB"/>
        </w:rPr>
        <w:t>interview, R2]</w:t>
      </w:r>
    </w:p>
    <w:p w14:paraId="4F2C1CAD" w14:textId="77777777" w:rsidR="001C19F3" w:rsidRDefault="001C19F3" w:rsidP="001C19F3">
      <w:pPr>
        <w:pStyle w:val="Heading3"/>
        <w:rPr>
          <w:rFonts w:eastAsia="Times New Roman"/>
        </w:rPr>
      </w:pPr>
      <w:r>
        <w:rPr>
          <w:rFonts w:eastAsia="Times New Roman"/>
        </w:rPr>
        <w:t>Practices’ experiences of PHN support</w:t>
      </w:r>
    </w:p>
    <w:p w14:paraId="6A54EC9D" w14:textId="77777777" w:rsidR="001C19F3" w:rsidRPr="004A66A1" w:rsidRDefault="001C19F3" w:rsidP="001C19F3">
      <w:pPr>
        <w:rPr>
          <w:rFonts w:eastAsia="Times New Roman"/>
          <w:iCs/>
          <w:szCs w:val="20"/>
        </w:rPr>
      </w:pPr>
      <w:r w:rsidRPr="004A66A1">
        <w:rPr>
          <w:rFonts w:eastAsia="Times New Roman"/>
          <w:iCs/>
          <w:szCs w:val="20"/>
        </w:rPr>
        <w:t>Many of the practices interviewed had positive feedback around the support that they have received from their PHNs and practice facilitators:</w:t>
      </w:r>
    </w:p>
    <w:p w14:paraId="57064615" w14:textId="77777777" w:rsidR="001C19F3" w:rsidRPr="004A66A1" w:rsidRDefault="001C19F3" w:rsidP="001C19F3">
      <w:pPr>
        <w:ind w:left="567" w:right="1088"/>
        <w:rPr>
          <w:rFonts w:eastAsia="Times New Roman"/>
          <w:iCs/>
          <w:szCs w:val="20"/>
        </w:rPr>
      </w:pPr>
      <w:r w:rsidRPr="004A66A1">
        <w:rPr>
          <w:rFonts w:eastAsia="Times New Roman"/>
          <w:i/>
          <w:iCs/>
          <w:szCs w:val="20"/>
        </w:rPr>
        <w:t>“I think they've been really good, yes, really good, helpful</w:t>
      </w:r>
      <w:r w:rsidRPr="004A66A1">
        <w:rPr>
          <w:rFonts w:eastAsia="Times New Roman"/>
          <w:iCs/>
          <w:szCs w:val="20"/>
        </w:rPr>
        <w:t>.” [HCH coordinator, Practice 16</w:t>
      </w:r>
      <w:r>
        <w:rPr>
          <w:rFonts w:eastAsia="Times New Roman"/>
          <w:iCs/>
          <w:szCs w:val="20"/>
        </w:rPr>
        <w:t>, interview, R2]</w:t>
      </w:r>
    </w:p>
    <w:p w14:paraId="26BB87EB" w14:textId="77777777" w:rsidR="001C19F3" w:rsidRPr="004A66A1" w:rsidRDefault="001C19F3" w:rsidP="001C19F3">
      <w:pPr>
        <w:ind w:left="567" w:right="1088"/>
        <w:rPr>
          <w:rFonts w:eastAsia="Times New Roman"/>
          <w:iCs/>
          <w:szCs w:val="20"/>
        </w:rPr>
      </w:pPr>
      <w:r w:rsidRPr="004A66A1">
        <w:rPr>
          <w:rFonts w:eastAsia="Times New Roman"/>
          <w:i/>
          <w:iCs/>
          <w:szCs w:val="20"/>
        </w:rPr>
        <w:t>“The PHN was always ready to help with advice and problem shooting</w:t>
      </w:r>
      <w:r>
        <w:rPr>
          <w:rFonts w:eastAsia="Times New Roman"/>
          <w:i/>
          <w:iCs/>
          <w:szCs w:val="20"/>
        </w:rPr>
        <w:t>.</w:t>
      </w:r>
      <w:r w:rsidRPr="004A66A1">
        <w:rPr>
          <w:rFonts w:eastAsia="Times New Roman"/>
          <w:iCs/>
          <w:szCs w:val="20"/>
        </w:rPr>
        <w:t>” [Practice nurse, Practice 3</w:t>
      </w:r>
      <w:r>
        <w:rPr>
          <w:rFonts w:eastAsia="Times New Roman"/>
          <w:iCs/>
          <w:szCs w:val="20"/>
        </w:rPr>
        <w:t>, interview, R2]</w:t>
      </w:r>
    </w:p>
    <w:p w14:paraId="035A189E" w14:textId="77777777" w:rsidR="001C19F3" w:rsidRPr="004A66A1" w:rsidRDefault="001C19F3" w:rsidP="001C19F3">
      <w:pPr>
        <w:ind w:left="567" w:right="1088"/>
        <w:rPr>
          <w:rFonts w:eastAsia="Times New Roman"/>
          <w:iCs/>
          <w:szCs w:val="20"/>
        </w:rPr>
      </w:pPr>
      <w:r w:rsidRPr="004A66A1">
        <w:rPr>
          <w:rFonts w:eastAsia="Times New Roman"/>
          <w:i/>
          <w:iCs/>
          <w:szCs w:val="20"/>
        </w:rPr>
        <w:t>“But yes, the PHNs have been really good, without their support we wouldn’t have got as far as we did.”</w:t>
      </w:r>
      <w:r w:rsidRPr="004A66A1">
        <w:rPr>
          <w:rFonts w:eastAsia="Times New Roman"/>
          <w:iCs/>
          <w:szCs w:val="20"/>
        </w:rPr>
        <w:t xml:space="preserve"> [Practice manager, Practice 1</w:t>
      </w:r>
      <w:r>
        <w:rPr>
          <w:rFonts w:eastAsia="Times New Roman"/>
          <w:iCs/>
          <w:szCs w:val="20"/>
        </w:rPr>
        <w:t>, interview, R2]</w:t>
      </w:r>
    </w:p>
    <w:p w14:paraId="326F1B7F" w14:textId="77777777" w:rsidR="001C19F3" w:rsidRDefault="001C19F3" w:rsidP="001C19F3">
      <w:pPr>
        <w:rPr>
          <w:rFonts w:eastAsia="Times New Roman"/>
          <w:iCs/>
          <w:szCs w:val="20"/>
        </w:rPr>
      </w:pPr>
      <w:r w:rsidRPr="004A66A1">
        <w:rPr>
          <w:rFonts w:eastAsia="Times New Roman"/>
          <w:iCs/>
          <w:szCs w:val="20"/>
        </w:rPr>
        <w:t xml:space="preserve">This assessment was also reflected in the survey of practices, where </w:t>
      </w:r>
      <w:bookmarkStart w:id="213" w:name="_Hlk20993134"/>
      <w:r w:rsidRPr="004A66A1">
        <w:rPr>
          <w:rFonts w:eastAsia="Times New Roman"/>
          <w:iCs/>
          <w:szCs w:val="20"/>
        </w:rPr>
        <w:t xml:space="preserve">81% of practices said that the PHN practice facilitator was moderately effective or very effective in helping the practice prepare for HCH and/ or during the early stages of implementation </w:t>
      </w:r>
      <w:bookmarkEnd w:id="213"/>
      <w:r w:rsidRPr="004A66A1">
        <w:rPr>
          <w:rFonts w:eastAsia="Times New Roman"/>
          <w:iCs/>
          <w:szCs w:val="20"/>
        </w:rPr>
        <w:t>(</w:t>
      </w:r>
      <w:r>
        <w:rPr>
          <w:rFonts w:eastAsia="Times New Roman"/>
          <w:iCs/>
          <w:szCs w:val="20"/>
        </w:rPr>
        <w:fldChar w:fldCharType="begin"/>
      </w:r>
      <w:r>
        <w:rPr>
          <w:rFonts w:eastAsia="Times New Roman"/>
          <w:iCs/>
          <w:szCs w:val="20"/>
        </w:rPr>
        <w:instrText xml:space="preserve"> REF _Ref21025228 \h </w:instrText>
      </w:r>
      <w:r>
        <w:rPr>
          <w:rFonts w:eastAsia="Times New Roman"/>
          <w:iCs/>
          <w:szCs w:val="20"/>
        </w:rPr>
      </w:r>
      <w:r>
        <w:rPr>
          <w:rFonts w:eastAsia="Times New Roman"/>
          <w:iCs/>
          <w:szCs w:val="20"/>
        </w:rPr>
        <w:fldChar w:fldCharType="separate"/>
      </w:r>
      <w:r>
        <w:t xml:space="preserve">Table </w:t>
      </w:r>
      <w:r>
        <w:rPr>
          <w:noProof/>
        </w:rPr>
        <w:t>29</w:t>
      </w:r>
      <w:r>
        <w:rPr>
          <w:rFonts w:eastAsia="Times New Roman"/>
          <w:iCs/>
          <w:szCs w:val="20"/>
        </w:rPr>
        <w:fldChar w:fldCharType="end"/>
      </w:r>
      <w:r>
        <w:rPr>
          <w:rFonts w:eastAsia="Times New Roman"/>
          <w:iCs/>
          <w:szCs w:val="20"/>
        </w:rPr>
        <w:t>)</w:t>
      </w:r>
      <w:r w:rsidRPr="004A66A1">
        <w:rPr>
          <w:rFonts w:eastAsia="Times New Roman"/>
          <w:iCs/>
          <w:szCs w:val="20"/>
        </w:rPr>
        <w:t>.</w:t>
      </w:r>
    </w:p>
    <w:p w14:paraId="6B7EB685" w14:textId="77777777" w:rsidR="001C19F3" w:rsidRDefault="001C19F3" w:rsidP="001C19F3">
      <w:pPr>
        <w:pStyle w:val="Caption1"/>
        <w:spacing w:after="0"/>
      </w:pPr>
      <w:bookmarkStart w:id="214" w:name="_Ref21025228"/>
      <w:bookmarkStart w:id="215" w:name="_Hlk22642571"/>
      <w:r>
        <w:t xml:space="preserve">Table </w:t>
      </w:r>
      <w:r>
        <w:fldChar w:fldCharType="begin"/>
      </w:r>
      <w:r>
        <w:instrText>SEQ Table \* ARABIC</w:instrText>
      </w:r>
      <w:r>
        <w:fldChar w:fldCharType="separate"/>
      </w:r>
      <w:r>
        <w:rPr>
          <w:noProof/>
        </w:rPr>
        <w:t>29</w:t>
      </w:r>
      <w:r>
        <w:fldChar w:fldCharType="end"/>
      </w:r>
      <w:bookmarkEnd w:id="214"/>
      <w:r>
        <w:t xml:space="preserve"> – Rating of the effectiveness of PHN support and training</w:t>
      </w:r>
    </w:p>
    <w:tbl>
      <w:tblPr>
        <w:tblW w:w="5000" w:type="pct"/>
        <w:jc w:val="center"/>
        <w:tblLook w:val="04A0" w:firstRow="1" w:lastRow="0" w:firstColumn="1" w:lastColumn="0" w:noHBand="0" w:noVBand="1"/>
      </w:tblPr>
      <w:tblGrid>
        <w:gridCol w:w="4093"/>
        <w:gridCol w:w="1229"/>
        <w:gridCol w:w="1228"/>
        <w:gridCol w:w="1228"/>
        <w:gridCol w:w="1228"/>
      </w:tblGrid>
      <w:tr w:rsidR="001C19F3" w14:paraId="5C310C08" w14:textId="77777777" w:rsidTr="00521305">
        <w:trPr>
          <w:cantSplit/>
          <w:trHeight w:val="333"/>
          <w:tblHeader/>
          <w:jc w:val="center"/>
        </w:trPr>
        <w:tc>
          <w:tcPr>
            <w:tcW w:w="227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215"/>
          <w:p w14:paraId="772CEEEB" w14:textId="77777777" w:rsidR="001C19F3" w:rsidRDefault="001C19F3" w:rsidP="00521305">
            <w:pPr>
              <w:jc w:val="center"/>
            </w:pPr>
            <w:r>
              <w:rPr>
                <w:rFonts w:eastAsia="Century Gothic" w:cs="Century Gothic"/>
                <w:b/>
                <w:color w:val="FFFFFF"/>
                <w:sz w:val="18"/>
                <w:szCs w:val="18"/>
              </w:rPr>
              <w:t>Response</w:t>
            </w:r>
          </w:p>
        </w:tc>
        <w:tc>
          <w:tcPr>
            <w:tcW w:w="68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1D6AF13" w14:textId="77777777" w:rsidR="001C19F3" w:rsidRDefault="001C19F3" w:rsidP="00521305">
            <w:pPr>
              <w:jc w:val="center"/>
            </w:pPr>
            <w:r>
              <w:rPr>
                <w:rFonts w:eastAsia="Century Gothic" w:cs="Century Gothic"/>
                <w:b/>
                <w:color w:val="FFFFFF"/>
                <w:sz w:val="18"/>
                <w:szCs w:val="18"/>
              </w:rPr>
              <w:t>Very effective</w:t>
            </w:r>
          </w:p>
        </w:tc>
        <w:tc>
          <w:tcPr>
            <w:tcW w:w="68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4072F8F" w14:textId="77777777" w:rsidR="001C19F3" w:rsidRDefault="001C19F3" w:rsidP="00521305">
            <w:pPr>
              <w:jc w:val="center"/>
            </w:pPr>
            <w:r>
              <w:rPr>
                <w:rFonts w:eastAsia="Century Gothic" w:cs="Century Gothic"/>
                <w:b/>
                <w:color w:val="FFFFFF"/>
                <w:sz w:val="18"/>
                <w:szCs w:val="18"/>
              </w:rPr>
              <w:t>Moderately effective</w:t>
            </w:r>
          </w:p>
        </w:tc>
        <w:tc>
          <w:tcPr>
            <w:tcW w:w="68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2B881FA" w14:textId="77777777" w:rsidR="001C19F3" w:rsidRDefault="001C19F3" w:rsidP="00521305">
            <w:pPr>
              <w:jc w:val="center"/>
            </w:pPr>
            <w:r>
              <w:rPr>
                <w:rFonts w:eastAsia="Century Gothic" w:cs="Century Gothic"/>
                <w:b/>
                <w:color w:val="FFFFFF"/>
                <w:sz w:val="18"/>
                <w:szCs w:val="18"/>
              </w:rPr>
              <w:t>A little effective</w:t>
            </w:r>
          </w:p>
        </w:tc>
        <w:tc>
          <w:tcPr>
            <w:tcW w:w="68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0B5F2592" w14:textId="77777777" w:rsidR="001C19F3" w:rsidRDefault="001C19F3" w:rsidP="00521305">
            <w:pPr>
              <w:jc w:val="center"/>
            </w:pPr>
            <w:r>
              <w:rPr>
                <w:rFonts w:eastAsia="Century Gothic" w:cs="Century Gothic"/>
                <w:b/>
                <w:color w:val="FFFFFF"/>
                <w:sz w:val="18"/>
                <w:szCs w:val="18"/>
              </w:rPr>
              <w:t>Not effective</w:t>
            </w:r>
          </w:p>
        </w:tc>
      </w:tr>
      <w:tr w:rsidR="001C19F3" w14:paraId="62B91F92" w14:textId="77777777" w:rsidTr="00521305">
        <w:trPr>
          <w:cantSplit/>
          <w:trHeight w:val="442"/>
          <w:jc w:val="center"/>
        </w:trPr>
        <w:tc>
          <w:tcPr>
            <w:tcW w:w="227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A77F5F" w14:textId="77777777" w:rsidR="001C19F3" w:rsidRDefault="001C19F3" w:rsidP="00521305">
            <w:pPr>
              <w:spacing w:before="40" w:after="40"/>
              <w:ind w:left="100" w:right="100"/>
            </w:pPr>
            <w:r>
              <w:rPr>
                <w:rFonts w:eastAsia="Century Gothic" w:cs="Century Gothic"/>
                <w:color w:val="000000"/>
                <w:sz w:val="18"/>
                <w:szCs w:val="18"/>
              </w:rPr>
              <w:t>Rating of the effectiveness of support provided by the PHN practice facilitator</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CE5201" w14:textId="77777777" w:rsidR="001C19F3" w:rsidRDefault="001C19F3" w:rsidP="00521305">
            <w:pPr>
              <w:spacing w:before="40" w:after="40"/>
              <w:ind w:left="100" w:right="100"/>
              <w:jc w:val="right"/>
            </w:pPr>
            <w:r>
              <w:rPr>
                <w:rFonts w:eastAsia="Century Gothic" w:cs="Century Gothic"/>
                <w:color w:val="000000"/>
                <w:sz w:val="18"/>
                <w:szCs w:val="18"/>
              </w:rPr>
              <w:t>49 (57.0%)</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2CB8D2" w14:textId="77777777" w:rsidR="001C19F3" w:rsidRDefault="001C19F3" w:rsidP="00521305">
            <w:pPr>
              <w:spacing w:before="40" w:after="40"/>
              <w:ind w:left="100" w:right="100"/>
              <w:jc w:val="right"/>
            </w:pPr>
            <w:r>
              <w:rPr>
                <w:rFonts w:eastAsia="Century Gothic" w:cs="Century Gothic"/>
                <w:color w:val="000000"/>
                <w:sz w:val="18"/>
                <w:szCs w:val="18"/>
              </w:rPr>
              <w:t>27 (31.4%)</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BB1C91" w14:textId="77777777" w:rsidR="001C19F3" w:rsidRDefault="001C19F3" w:rsidP="00521305">
            <w:pPr>
              <w:spacing w:before="40" w:after="40"/>
              <w:ind w:left="100" w:right="100"/>
              <w:jc w:val="right"/>
            </w:pPr>
            <w:r>
              <w:rPr>
                <w:rFonts w:eastAsia="Century Gothic" w:cs="Century Gothic"/>
                <w:color w:val="000000"/>
                <w:sz w:val="18"/>
                <w:szCs w:val="18"/>
              </w:rPr>
              <w:t>9 (10.5%)</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43BD12" w14:textId="77777777" w:rsidR="001C19F3" w:rsidRDefault="001C19F3" w:rsidP="00521305">
            <w:pPr>
              <w:spacing w:before="40" w:after="40"/>
              <w:ind w:left="100" w:right="100"/>
              <w:jc w:val="right"/>
            </w:pPr>
            <w:r>
              <w:rPr>
                <w:rFonts w:eastAsia="Century Gothic" w:cs="Century Gothic"/>
                <w:color w:val="000000"/>
                <w:sz w:val="18"/>
                <w:szCs w:val="18"/>
              </w:rPr>
              <w:t>1 (1.2%)</w:t>
            </w:r>
          </w:p>
        </w:tc>
      </w:tr>
      <w:tr w:rsidR="001C19F3" w14:paraId="5EF5AC11" w14:textId="77777777" w:rsidTr="00521305">
        <w:trPr>
          <w:cantSplit/>
          <w:trHeight w:val="442"/>
          <w:jc w:val="center"/>
        </w:trPr>
        <w:tc>
          <w:tcPr>
            <w:tcW w:w="227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FD218B" w14:textId="77777777" w:rsidR="001C19F3" w:rsidRDefault="001C19F3" w:rsidP="00521305">
            <w:pPr>
              <w:spacing w:before="40" w:after="40"/>
              <w:ind w:left="100" w:right="100"/>
            </w:pPr>
            <w:r>
              <w:rPr>
                <w:rFonts w:eastAsia="Century Gothic" w:cs="Century Gothic"/>
                <w:color w:val="000000"/>
                <w:sz w:val="18"/>
                <w:szCs w:val="18"/>
              </w:rPr>
              <w:t>Rating of the effectiveness of training provided by the PHN</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FCB4D9" w14:textId="77777777" w:rsidR="001C19F3" w:rsidRDefault="001C19F3" w:rsidP="00521305">
            <w:pPr>
              <w:spacing w:before="40" w:after="40"/>
              <w:ind w:left="100" w:right="100"/>
              <w:jc w:val="right"/>
            </w:pPr>
            <w:r>
              <w:rPr>
                <w:rFonts w:eastAsia="Century Gothic" w:cs="Century Gothic"/>
                <w:color w:val="000000"/>
                <w:sz w:val="18"/>
                <w:szCs w:val="18"/>
              </w:rPr>
              <w:t>22 (33.8%)</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B2E3A4" w14:textId="77777777" w:rsidR="001C19F3" w:rsidRDefault="001C19F3" w:rsidP="00521305">
            <w:pPr>
              <w:spacing w:before="40" w:after="40"/>
              <w:ind w:left="100" w:right="100"/>
              <w:jc w:val="right"/>
            </w:pPr>
            <w:r>
              <w:rPr>
                <w:rFonts w:eastAsia="Century Gothic" w:cs="Century Gothic"/>
                <w:color w:val="000000"/>
                <w:sz w:val="18"/>
                <w:szCs w:val="18"/>
              </w:rPr>
              <w:t>33 (50.8%)</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D3D954" w14:textId="77777777" w:rsidR="001C19F3" w:rsidRDefault="001C19F3" w:rsidP="00521305">
            <w:pPr>
              <w:spacing w:before="40" w:after="40"/>
              <w:ind w:left="100" w:right="100"/>
              <w:jc w:val="right"/>
            </w:pPr>
            <w:r>
              <w:rPr>
                <w:rFonts w:eastAsia="Century Gothic" w:cs="Century Gothic"/>
                <w:color w:val="000000"/>
                <w:sz w:val="18"/>
                <w:szCs w:val="18"/>
              </w:rPr>
              <w:t>7 (10.8%)</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4541AF" w14:textId="77777777" w:rsidR="001C19F3" w:rsidRDefault="001C19F3" w:rsidP="00521305">
            <w:pPr>
              <w:spacing w:before="40" w:after="40"/>
              <w:ind w:left="100" w:right="100"/>
              <w:jc w:val="right"/>
            </w:pPr>
            <w:r>
              <w:rPr>
                <w:rFonts w:eastAsia="Century Gothic" w:cs="Century Gothic"/>
                <w:color w:val="000000"/>
                <w:sz w:val="18"/>
                <w:szCs w:val="18"/>
              </w:rPr>
              <w:t>3 (4.6%)</w:t>
            </w:r>
          </w:p>
        </w:tc>
      </w:tr>
      <w:tr w:rsidR="001C19F3" w14:paraId="2A12AD6C" w14:textId="77777777" w:rsidTr="00521305">
        <w:trPr>
          <w:cantSplit/>
          <w:trHeight w:val="442"/>
          <w:jc w:val="center"/>
        </w:trPr>
        <w:tc>
          <w:tcPr>
            <w:tcW w:w="227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D6EBAF" w14:textId="77777777" w:rsidR="001C19F3" w:rsidRDefault="001C19F3" w:rsidP="00521305">
            <w:pPr>
              <w:spacing w:before="40" w:after="40"/>
              <w:ind w:left="100" w:right="100"/>
            </w:pPr>
            <w:r>
              <w:rPr>
                <w:rFonts w:eastAsia="Century Gothic" w:cs="Century Gothic"/>
                <w:color w:val="000000"/>
                <w:sz w:val="18"/>
                <w:szCs w:val="18"/>
              </w:rPr>
              <w:t>Rating of effectiveness of the training and support provided to the practice by all sources</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1C5470" w14:textId="77777777" w:rsidR="001C19F3" w:rsidRDefault="001C19F3" w:rsidP="00521305">
            <w:pPr>
              <w:spacing w:before="40" w:after="40"/>
              <w:ind w:left="100" w:right="100"/>
              <w:jc w:val="right"/>
            </w:pPr>
            <w:r>
              <w:rPr>
                <w:rFonts w:eastAsia="Century Gothic" w:cs="Century Gothic"/>
                <w:color w:val="000000"/>
                <w:sz w:val="18"/>
                <w:szCs w:val="18"/>
              </w:rPr>
              <w:t>19 (22.4%)</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E051E9" w14:textId="77777777" w:rsidR="001C19F3" w:rsidRDefault="001C19F3" w:rsidP="00521305">
            <w:pPr>
              <w:spacing w:before="40" w:after="40"/>
              <w:ind w:left="100" w:right="100"/>
              <w:jc w:val="right"/>
            </w:pPr>
            <w:r>
              <w:rPr>
                <w:rFonts w:eastAsia="Century Gothic" w:cs="Century Gothic"/>
                <w:color w:val="000000"/>
                <w:sz w:val="18"/>
                <w:szCs w:val="18"/>
              </w:rPr>
              <w:t>48 (56.5%)</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B32FFC" w14:textId="77777777" w:rsidR="001C19F3" w:rsidRDefault="001C19F3" w:rsidP="00521305">
            <w:pPr>
              <w:spacing w:before="40" w:after="40"/>
              <w:ind w:left="100" w:right="100"/>
              <w:jc w:val="right"/>
            </w:pPr>
            <w:r>
              <w:rPr>
                <w:rFonts w:eastAsia="Century Gothic" w:cs="Century Gothic"/>
                <w:color w:val="000000"/>
                <w:sz w:val="18"/>
                <w:szCs w:val="18"/>
              </w:rPr>
              <w:t>12 (14.1%)</w:t>
            </w:r>
          </w:p>
        </w:tc>
        <w:tc>
          <w:tcPr>
            <w:tcW w:w="6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44B64F" w14:textId="77777777" w:rsidR="001C19F3" w:rsidRDefault="001C19F3" w:rsidP="00521305">
            <w:pPr>
              <w:spacing w:before="40" w:after="40"/>
              <w:ind w:left="100" w:right="100"/>
              <w:jc w:val="right"/>
            </w:pPr>
            <w:r>
              <w:rPr>
                <w:rFonts w:eastAsia="Century Gothic" w:cs="Century Gothic"/>
                <w:color w:val="000000"/>
                <w:sz w:val="18"/>
                <w:szCs w:val="18"/>
              </w:rPr>
              <w:t>6 (7.1%)</w:t>
            </w:r>
          </w:p>
        </w:tc>
      </w:tr>
    </w:tbl>
    <w:p w14:paraId="2993CEF8" w14:textId="77777777" w:rsidR="001C19F3" w:rsidRDefault="001C19F3" w:rsidP="001C19F3">
      <w:pPr>
        <w:pStyle w:val="Chartortablefootnote"/>
      </w:pPr>
      <w:r>
        <w:t>Source: Practice survey R2, Nov 2018-Mar 2019, questions 27, 28 &amp; 30.</w:t>
      </w:r>
    </w:p>
    <w:p w14:paraId="2677C58E" w14:textId="77777777" w:rsidR="001C19F3" w:rsidRPr="004A66A1" w:rsidRDefault="001C19F3" w:rsidP="001C19F3">
      <w:pPr>
        <w:rPr>
          <w:rFonts w:eastAsia="Times New Roman"/>
          <w:iCs/>
          <w:szCs w:val="20"/>
        </w:rPr>
      </w:pPr>
      <w:r>
        <w:rPr>
          <w:rFonts w:eastAsia="Times New Roman"/>
          <w:iCs/>
          <w:szCs w:val="20"/>
        </w:rPr>
        <w:t>Practices</w:t>
      </w:r>
      <w:r w:rsidRPr="004A66A1">
        <w:rPr>
          <w:rFonts w:eastAsia="Times New Roman"/>
          <w:iCs/>
          <w:szCs w:val="20"/>
        </w:rPr>
        <w:t xml:space="preserve"> reported that their facilitators assisted them with a variety of tasks</w:t>
      </w:r>
      <w:r>
        <w:rPr>
          <w:rFonts w:eastAsia="Times New Roman"/>
          <w:iCs/>
          <w:szCs w:val="20"/>
        </w:rPr>
        <w:t>, including</w:t>
      </w:r>
      <w:r w:rsidRPr="004A66A1">
        <w:rPr>
          <w:rFonts w:eastAsia="Times New Roman"/>
          <w:iCs/>
          <w:szCs w:val="20"/>
        </w:rPr>
        <w:t>:</w:t>
      </w:r>
    </w:p>
    <w:p w14:paraId="5BE29AAC" w14:textId="77777777" w:rsidR="001C19F3" w:rsidRPr="009935BA" w:rsidRDefault="001C19F3" w:rsidP="001C19F3">
      <w:pPr>
        <w:numPr>
          <w:ilvl w:val="0"/>
          <w:numId w:val="41"/>
        </w:numPr>
        <w:contextualSpacing/>
        <w:rPr>
          <w:rFonts w:eastAsia="Times New Roman"/>
          <w:iCs/>
          <w:szCs w:val="20"/>
        </w:rPr>
      </w:pPr>
      <w:r w:rsidRPr="004A66A1">
        <w:rPr>
          <w:rFonts w:eastAsia="Times New Roman"/>
          <w:iCs/>
          <w:szCs w:val="20"/>
        </w:rPr>
        <w:t>cleaning</w:t>
      </w:r>
      <w:r>
        <w:rPr>
          <w:rFonts w:eastAsia="Times New Roman"/>
          <w:iCs/>
          <w:szCs w:val="20"/>
        </w:rPr>
        <w:t xml:space="preserve"> and analysing </w:t>
      </w:r>
      <w:r w:rsidRPr="004A66A1">
        <w:rPr>
          <w:rFonts w:eastAsia="Times New Roman"/>
          <w:iCs/>
          <w:szCs w:val="20"/>
        </w:rPr>
        <w:t>data</w:t>
      </w:r>
      <w:r>
        <w:rPr>
          <w:rFonts w:eastAsia="Times New Roman"/>
          <w:iCs/>
          <w:szCs w:val="20"/>
        </w:rPr>
        <w:t xml:space="preserve"> </w:t>
      </w:r>
      <w:r w:rsidRPr="009935BA">
        <w:rPr>
          <w:rFonts w:eastAsia="Times New Roman"/>
          <w:iCs/>
          <w:szCs w:val="20"/>
        </w:rPr>
        <w:t>(including profiling patient demographics)</w:t>
      </w:r>
    </w:p>
    <w:p w14:paraId="1F549A45"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promoting quality improvement initiatives, such as patient recall</w:t>
      </w:r>
    </w:p>
    <w:p w14:paraId="0BAEFE1F"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 xml:space="preserve">answering practice queries </w:t>
      </w:r>
      <w:r>
        <w:rPr>
          <w:rFonts w:eastAsia="Times New Roman"/>
          <w:iCs/>
          <w:szCs w:val="20"/>
        </w:rPr>
        <w:t xml:space="preserve">relating to </w:t>
      </w:r>
      <w:r w:rsidRPr="004A66A1">
        <w:rPr>
          <w:rFonts w:eastAsia="Times New Roman"/>
          <w:iCs/>
          <w:szCs w:val="20"/>
        </w:rPr>
        <w:t>HCH implementation and operations</w:t>
      </w:r>
    </w:p>
    <w:p w14:paraId="53578F74"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lastRenderedPageBreak/>
        <w:t>meeting with practices regularly to track progress and discuss emerging and ongoing issues with program implementation</w:t>
      </w:r>
    </w:p>
    <w:p w14:paraId="612724B6"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educating individuals on how to use HCH IT tools and register patients in HPOS, HPA evaluation app, etc. and troubleshooting issues</w:t>
      </w:r>
    </w:p>
    <w:p w14:paraId="35B85693"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organizing patient enrolment forums to bolster enrolment numbers</w:t>
      </w:r>
    </w:p>
    <w:p w14:paraId="7BDE13ED"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teaching staff how to enrol patients</w:t>
      </w:r>
    </w:p>
    <w:p w14:paraId="11AF52BA"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training staff members on how to create care plans</w:t>
      </w:r>
    </w:p>
    <w:p w14:paraId="0E056524"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helping practices ‘sell the program’ to their patients (often helping them to identify key messages about the initiative that align with individual practice values and goals)</w:t>
      </w:r>
    </w:p>
    <w:p w14:paraId="0005D911"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setting up the RST and educating staff members on how to use the tool</w:t>
      </w:r>
    </w:p>
    <w:p w14:paraId="7B65237C" w14:textId="77777777" w:rsidR="001C19F3" w:rsidRPr="004A66A1" w:rsidRDefault="001C19F3" w:rsidP="001C19F3">
      <w:pPr>
        <w:numPr>
          <w:ilvl w:val="0"/>
          <w:numId w:val="41"/>
        </w:numPr>
        <w:contextualSpacing/>
        <w:rPr>
          <w:rFonts w:eastAsia="Times New Roman"/>
          <w:iCs/>
          <w:szCs w:val="20"/>
        </w:rPr>
      </w:pPr>
      <w:r w:rsidRPr="004A66A1">
        <w:rPr>
          <w:rFonts w:eastAsia="Times New Roman"/>
          <w:iCs/>
          <w:szCs w:val="20"/>
        </w:rPr>
        <w:t xml:space="preserve">create billing item codes and managing the bundled payment </w:t>
      </w:r>
    </w:p>
    <w:p w14:paraId="720F42BB" w14:textId="77777777" w:rsidR="001C19F3" w:rsidRPr="004A66A1" w:rsidRDefault="001C19F3" w:rsidP="001C19F3">
      <w:pPr>
        <w:numPr>
          <w:ilvl w:val="0"/>
          <w:numId w:val="41"/>
        </w:numPr>
        <w:ind w:left="714" w:hanging="357"/>
        <w:rPr>
          <w:rFonts w:eastAsia="Times New Roman"/>
          <w:iCs/>
          <w:szCs w:val="20"/>
        </w:rPr>
      </w:pPr>
      <w:r w:rsidRPr="004A66A1">
        <w:rPr>
          <w:rFonts w:eastAsia="Times New Roman"/>
          <w:iCs/>
          <w:szCs w:val="20"/>
        </w:rPr>
        <w:t>providing ad hoc support and guidance.</w:t>
      </w:r>
    </w:p>
    <w:p w14:paraId="4E800348" w14:textId="77777777" w:rsidR="001C19F3" w:rsidRPr="004A66A1" w:rsidRDefault="001C19F3" w:rsidP="001C19F3">
      <w:pPr>
        <w:rPr>
          <w:rFonts w:eastAsia="Times New Roman"/>
          <w:iCs/>
          <w:szCs w:val="20"/>
        </w:rPr>
      </w:pPr>
      <w:r w:rsidRPr="00BA3BFB">
        <w:rPr>
          <w:rFonts w:eastAsia="Times New Roman"/>
          <w:iCs/>
          <w:szCs w:val="20"/>
        </w:rPr>
        <w:t xml:space="preserve">Despite generally positive feedback </w:t>
      </w:r>
      <w:r>
        <w:rPr>
          <w:rFonts w:eastAsia="Times New Roman"/>
          <w:iCs/>
          <w:szCs w:val="20"/>
        </w:rPr>
        <w:t>about</w:t>
      </w:r>
      <w:r w:rsidRPr="00BA3BFB">
        <w:rPr>
          <w:rFonts w:eastAsia="Times New Roman"/>
          <w:iCs/>
          <w:szCs w:val="20"/>
        </w:rPr>
        <w:t xml:space="preserve"> PHN support, some </w:t>
      </w:r>
      <w:r>
        <w:rPr>
          <w:rFonts w:eastAsia="Times New Roman"/>
          <w:iCs/>
          <w:szCs w:val="20"/>
        </w:rPr>
        <w:t>practices</w:t>
      </w:r>
      <w:r w:rsidRPr="00BA3BFB">
        <w:rPr>
          <w:rFonts w:eastAsia="Times New Roman"/>
          <w:iCs/>
          <w:szCs w:val="20"/>
        </w:rPr>
        <w:t xml:space="preserve"> </w:t>
      </w:r>
      <w:r>
        <w:rPr>
          <w:rFonts w:eastAsia="Times New Roman"/>
          <w:iCs/>
          <w:szCs w:val="20"/>
        </w:rPr>
        <w:t>would have liked more support, particularly more</w:t>
      </w:r>
      <w:r w:rsidRPr="00BA3BFB">
        <w:rPr>
          <w:rFonts w:eastAsia="Times New Roman"/>
          <w:iCs/>
          <w:szCs w:val="20"/>
        </w:rPr>
        <w:t xml:space="preserve"> </w:t>
      </w:r>
      <w:r>
        <w:rPr>
          <w:rFonts w:eastAsia="Times New Roman"/>
          <w:iCs/>
          <w:szCs w:val="20"/>
        </w:rPr>
        <w:t>practical support</w:t>
      </w:r>
      <w:r w:rsidRPr="00BA3BFB">
        <w:rPr>
          <w:rFonts w:eastAsia="Times New Roman"/>
          <w:iCs/>
          <w:szCs w:val="20"/>
        </w:rPr>
        <w:t>:</w:t>
      </w:r>
    </w:p>
    <w:p w14:paraId="200ACB08" w14:textId="77777777" w:rsidR="001C19F3" w:rsidRPr="004A66A1" w:rsidRDefault="001C19F3" w:rsidP="001C19F3">
      <w:pPr>
        <w:ind w:left="567" w:right="1088"/>
        <w:rPr>
          <w:rFonts w:eastAsiaTheme="minorHAnsi" w:cs="Arial"/>
          <w:szCs w:val="20"/>
          <w:lang w:val="en-GB"/>
        </w:rPr>
      </w:pPr>
      <w:r w:rsidRPr="004A66A1">
        <w:rPr>
          <w:rFonts w:cs="Arial"/>
          <w:i/>
          <w:szCs w:val="20"/>
          <w:lang w:val="en-GB"/>
        </w:rPr>
        <w:t>“We really just needed some practical admin-like support. Doing an audit to make sure we were complying with all of it. To explain to patients what Health Care Homes enrolment was because it was just so time-consuming to enrol some people into HPOS</w:t>
      </w:r>
      <w:r>
        <w:rPr>
          <w:rFonts w:cs="Arial"/>
          <w:i/>
          <w:szCs w:val="20"/>
          <w:lang w:val="en-GB"/>
        </w:rPr>
        <w:t>.</w:t>
      </w:r>
      <w:r w:rsidRPr="004A66A1">
        <w:rPr>
          <w:rFonts w:cs="Arial"/>
          <w:i/>
          <w:szCs w:val="20"/>
          <w:lang w:val="en-GB"/>
        </w:rPr>
        <w:t>..”</w:t>
      </w:r>
      <w:r w:rsidRPr="004A66A1">
        <w:rPr>
          <w:rFonts w:cs="Arial"/>
          <w:szCs w:val="20"/>
          <w:lang w:val="en-GB"/>
        </w:rPr>
        <w:t xml:space="preserve"> [GP, Practice 7</w:t>
      </w:r>
      <w:r>
        <w:rPr>
          <w:rFonts w:cs="Arial"/>
          <w:szCs w:val="20"/>
          <w:lang w:val="en-GB"/>
        </w:rPr>
        <w:t>, interview, R2]</w:t>
      </w:r>
    </w:p>
    <w:p w14:paraId="591BBEA2" w14:textId="77777777" w:rsidR="001C19F3" w:rsidRPr="004A66A1" w:rsidRDefault="001C19F3" w:rsidP="001C19F3">
      <w:pPr>
        <w:ind w:left="567" w:right="1088"/>
        <w:rPr>
          <w:rFonts w:cs="Arial"/>
          <w:szCs w:val="20"/>
          <w:lang w:val="en-GB"/>
        </w:rPr>
      </w:pPr>
      <w:r w:rsidRPr="004A66A1">
        <w:rPr>
          <w:rFonts w:cs="Arial"/>
          <w:i/>
          <w:szCs w:val="20"/>
          <w:lang w:val="en-GB"/>
        </w:rPr>
        <w:t>“I think they really needed someone out there with the PHN to actually put that activity into place and</w:t>
      </w:r>
      <w:r>
        <w:rPr>
          <w:rFonts w:cs="Arial"/>
          <w:i/>
          <w:szCs w:val="20"/>
          <w:lang w:val="en-GB"/>
        </w:rPr>
        <w:t>…</w:t>
      </w:r>
      <w:r w:rsidRPr="004A66A1">
        <w:rPr>
          <w:rFonts w:cs="Arial"/>
          <w:i/>
          <w:szCs w:val="20"/>
          <w:lang w:val="en-GB"/>
        </w:rPr>
        <w:t xml:space="preserve"> really hands on. But that was read this manual, now you’ve got to do it</w:t>
      </w:r>
      <w:r w:rsidRPr="004A66A1">
        <w:rPr>
          <w:rFonts w:cs="Arial"/>
          <w:szCs w:val="20"/>
          <w:lang w:val="en-GB"/>
        </w:rPr>
        <w:t>.” [Practice manager, Practice 1</w:t>
      </w:r>
      <w:r>
        <w:rPr>
          <w:rFonts w:cs="Arial"/>
          <w:szCs w:val="20"/>
          <w:lang w:val="en-GB"/>
        </w:rPr>
        <w:t>, interview, R2]</w:t>
      </w:r>
    </w:p>
    <w:p w14:paraId="186D26B1" w14:textId="77777777" w:rsidR="001C19F3" w:rsidRPr="004A66A1" w:rsidRDefault="001C19F3" w:rsidP="001C19F3">
      <w:pPr>
        <w:ind w:left="567" w:right="1088"/>
        <w:rPr>
          <w:rFonts w:cs="Arial"/>
          <w:szCs w:val="20"/>
          <w:lang w:val="en-GB"/>
        </w:rPr>
      </w:pPr>
      <w:r w:rsidRPr="004A66A1">
        <w:rPr>
          <w:rFonts w:cs="Arial"/>
          <w:i/>
          <w:szCs w:val="20"/>
          <w:lang w:val="en-GB"/>
        </w:rPr>
        <w:t>“…like if I had someone sitting with me showing me instead of me working it out myself, that would have been better. So I think you'd need some trained people to go in and actually sit with people and do the practical thing with the patient right there.”</w:t>
      </w:r>
      <w:r w:rsidRPr="004A66A1">
        <w:rPr>
          <w:rFonts w:cs="Arial"/>
          <w:szCs w:val="20"/>
          <w:lang w:val="en-GB"/>
        </w:rPr>
        <w:t xml:space="preserve"> [Practice nurse, Practice 4</w:t>
      </w:r>
      <w:r>
        <w:rPr>
          <w:rFonts w:cs="Arial"/>
          <w:szCs w:val="20"/>
          <w:lang w:val="en-GB"/>
        </w:rPr>
        <w:t>, interview, R2]</w:t>
      </w:r>
    </w:p>
    <w:p w14:paraId="2E7225F9" w14:textId="77777777" w:rsidR="001C19F3" w:rsidRDefault="001C19F3" w:rsidP="001C19F3">
      <w:pPr>
        <w:rPr>
          <w:rFonts w:eastAsia="Times New Roman"/>
          <w:iCs/>
          <w:szCs w:val="20"/>
        </w:rPr>
      </w:pPr>
      <w:r w:rsidRPr="004A66A1">
        <w:rPr>
          <w:rFonts w:eastAsia="Times New Roman"/>
          <w:iCs/>
          <w:szCs w:val="20"/>
        </w:rPr>
        <w:t>As reported</w:t>
      </w:r>
      <w:r>
        <w:rPr>
          <w:rFonts w:eastAsia="Times New Roman"/>
          <w:iCs/>
          <w:szCs w:val="20"/>
        </w:rPr>
        <w:t xml:space="preserve"> earlier</w:t>
      </w:r>
      <w:r w:rsidRPr="004A66A1">
        <w:rPr>
          <w:rFonts w:eastAsia="Times New Roman"/>
          <w:iCs/>
          <w:szCs w:val="20"/>
        </w:rPr>
        <w:t>, staff turnover was another predominant issue affecting PHN training and support</w:t>
      </w:r>
      <w:r>
        <w:rPr>
          <w:rFonts w:eastAsia="Times New Roman"/>
          <w:iCs/>
          <w:szCs w:val="20"/>
        </w:rPr>
        <w:t>:</w:t>
      </w:r>
    </w:p>
    <w:p w14:paraId="6C279AD8" w14:textId="77777777" w:rsidR="001C19F3" w:rsidRDefault="001C19F3" w:rsidP="001C19F3">
      <w:pPr>
        <w:ind w:left="567" w:right="1088"/>
        <w:rPr>
          <w:rFonts w:eastAsia="Times New Roman"/>
          <w:iCs/>
          <w:szCs w:val="20"/>
        </w:rPr>
      </w:pPr>
      <w:r w:rsidRPr="004A66A1">
        <w:rPr>
          <w:rFonts w:eastAsia="Times New Roman"/>
          <w:i/>
          <w:iCs/>
          <w:szCs w:val="20"/>
        </w:rPr>
        <w:t>“No they've just swapped. Just recently…I can’t think of her name…”</w:t>
      </w:r>
      <w:r w:rsidRPr="004A66A1">
        <w:rPr>
          <w:rFonts w:eastAsia="Times New Roman"/>
          <w:iCs/>
          <w:szCs w:val="20"/>
        </w:rPr>
        <w:t xml:space="preserve"> [</w:t>
      </w:r>
      <w:r>
        <w:rPr>
          <w:rFonts w:eastAsia="Times New Roman"/>
          <w:iCs/>
          <w:szCs w:val="20"/>
        </w:rPr>
        <w:t>P</w:t>
      </w:r>
      <w:r w:rsidRPr="004A66A1">
        <w:rPr>
          <w:rFonts w:eastAsia="Times New Roman"/>
          <w:iCs/>
          <w:szCs w:val="20"/>
        </w:rPr>
        <w:t>ractice nurse, Practice 6</w:t>
      </w:r>
      <w:r>
        <w:rPr>
          <w:rFonts w:eastAsia="Times New Roman"/>
          <w:iCs/>
          <w:szCs w:val="20"/>
        </w:rPr>
        <w:t>, interview, R2]</w:t>
      </w:r>
    </w:p>
    <w:p w14:paraId="466C450F" w14:textId="77777777" w:rsidR="001C19F3" w:rsidRPr="004A66A1" w:rsidRDefault="001C19F3" w:rsidP="001C19F3">
      <w:pPr>
        <w:rPr>
          <w:rFonts w:eastAsia="Times New Roman"/>
          <w:iCs/>
          <w:szCs w:val="20"/>
        </w:rPr>
      </w:pPr>
      <w:r w:rsidRPr="004A66A1">
        <w:rPr>
          <w:rFonts w:eastAsia="Times New Roman"/>
          <w:iCs/>
          <w:szCs w:val="20"/>
        </w:rPr>
        <w:t>New facilitators not only had to establish a relationship with practices, but they were less knowledgeable about the program</w:t>
      </w:r>
      <w:r>
        <w:rPr>
          <w:rFonts w:eastAsia="Times New Roman"/>
          <w:iCs/>
          <w:szCs w:val="20"/>
        </w:rPr>
        <w:t>, which</w:t>
      </w:r>
      <w:r w:rsidRPr="004A66A1">
        <w:rPr>
          <w:rFonts w:eastAsia="Times New Roman"/>
          <w:iCs/>
          <w:szCs w:val="20"/>
        </w:rPr>
        <w:t xml:space="preserve"> diminished the value of their support:</w:t>
      </w:r>
    </w:p>
    <w:p w14:paraId="42A21C34" w14:textId="77777777" w:rsidR="001C19F3" w:rsidRPr="004A66A1" w:rsidRDefault="001C19F3" w:rsidP="001C19F3">
      <w:pPr>
        <w:ind w:left="567" w:right="1088"/>
        <w:rPr>
          <w:rFonts w:eastAsia="Times New Roman"/>
          <w:iCs/>
          <w:szCs w:val="20"/>
        </w:rPr>
      </w:pPr>
      <w:r w:rsidRPr="004A66A1">
        <w:rPr>
          <w:rFonts w:eastAsia="Times New Roman"/>
          <w:i/>
          <w:iCs/>
          <w:szCs w:val="20"/>
        </w:rPr>
        <w:t>“Yes, it’s changed a few times for us…</w:t>
      </w:r>
      <w:r w:rsidRPr="004A66A1">
        <w:rPr>
          <w:i/>
        </w:rPr>
        <w:t xml:space="preserve"> </w:t>
      </w:r>
      <w:r w:rsidRPr="004A66A1">
        <w:rPr>
          <w:rFonts w:eastAsia="Times New Roman"/>
          <w:i/>
          <w:iCs/>
          <w:szCs w:val="20"/>
        </w:rPr>
        <w:t xml:space="preserve">So, yes, we have had a bit of a switch up. I don’t know if it was just because it’s a new thing for them as well. They didn’t seem to be able to answer quite a lot of our questions.” </w:t>
      </w:r>
      <w:r w:rsidRPr="004A66A1">
        <w:rPr>
          <w:rFonts w:eastAsia="Times New Roman"/>
          <w:iCs/>
          <w:szCs w:val="20"/>
        </w:rPr>
        <w:t>[Practice manager, Practice 6</w:t>
      </w:r>
      <w:r>
        <w:rPr>
          <w:rFonts w:eastAsia="Times New Roman"/>
          <w:iCs/>
          <w:szCs w:val="20"/>
        </w:rPr>
        <w:t>, interview, R2]</w:t>
      </w:r>
    </w:p>
    <w:p w14:paraId="6020C2DE" w14:textId="77777777" w:rsidR="001C19F3" w:rsidRPr="004A66A1" w:rsidRDefault="001C19F3" w:rsidP="001C19F3">
      <w:pPr>
        <w:rPr>
          <w:rFonts w:eastAsia="Times New Roman"/>
          <w:iCs/>
          <w:szCs w:val="20"/>
        </w:rPr>
      </w:pPr>
      <w:r w:rsidRPr="004A66A1">
        <w:rPr>
          <w:rFonts w:eastAsia="Times New Roman"/>
          <w:iCs/>
          <w:szCs w:val="20"/>
        </w:rPr>
        <w:t xml:space="preserve">There was frustration amongst some practices and PHNs about the </w:t>
      </w:r>
      <w:bookmarkStart w:id="216" w:name="_Hlk20993672"/>
      <w:r w:rsidRPr="004A66A1">
        <w:rPr>
          <w:rFonts w:eastAsia="Times New Roman"/>
          <w:iCs/>
          <w:szCs w:val="20"/>
        </w:rPr>
        <w:t>lack of information that facilitators received around general program requirements</w:t>
      </w:r>
      <w:bookmarkEnd w:id="216"/>
      <w:r w:rsidRPr="004A66A1">
        <w:rPr>
          <w:rFonts w:eastAsia="Times New Roman"/>
          <w:iCs/>
          <w:szCs w:val="20"/>
        </w:rPr>
        <w:t xml:space="preserve">. Because facilitators largely received program training and information at the same time as practices, this made it much more difficult for them to guide and teach </w:t>
      </w:r>
      <w:r>
        <w:rPr>
          <w:rFonts w:eastAsia="Times New Roman"/>
          <w:iCs/>
          <w:szCs w:val="20"/>
        </w:rPr>
        <w:t>practice</w:t>
      </w:r>
      <w:r w:rsidRPr="004A66A1">
        <w:rPr>
          <w:rFonts w:eastAsia="Times New Roman"/>
          <w:iCs/>
          <w:szCs w:val="20"/>
        </w:rPr>
        <w:t>s how to implement HCH. This meant that they did not receive the answers to vital questions when they needed them:</w:t>
      </w:r>
    </w:p>
    <w:p w14:paraId="63E09F87" w14:textId="77777777" w:rsidR="001C19F3" w:rsidRPr="004A66A1" w:rsidRDefault="001C19F3" w:rsidP="001C19F3">
      <w:pPr>
        <w:ind w:left="567" w:right="1088"/>
        <w:rPr>
          <w:rFonts w:eastAsia="Times New Roman"/>
          <w:i/>
          <w:iCs/>
          <w:szCs w:val="20"/>
        </w:rPr>
      </w:pPr>
      <w:r w:rsidRPr="004A66A1">
        <w:rPr>
          <w:rFonts w:eastAsia="Times New Roman"/>
          <w:i/>
          <w:iCs/>
          <w:szCs w:val="20"/>
        </w:rPr>
        <w:lastRenderedPageBreak/>
        <w:t>“She’s been really helpful. She’s come down and she’s spent lots of time down here…</w:t>
      </w:r>
      <w:r w:rsidRPr="004A66A1">
        <w:rPr>
          <w:i/>
          <w:szCs w:val="20"/>
        </w:rPr>
        <w:t xml:space="preserve">She has also been incredibly frustrated, especially when we’d been trying to get things and find information out.” </w:t>
      </w:r>
      <w:r w:rsidRPr="00524856">
        <w:rPr>
          <w:szCs w:val="20"/>
        </w:rPr>
        <w:t>[GP, Practice 17, interview</w:t>
      </w:r>
      <w:r>
        <w:rPr>
          <w:szCs w:val="20"/>
        </w:rPr>
        <w:t>, R2]</w:t>
      </w:r>
    </w:p>
    <w:p w14:paraId="3B54F8ED" w14:textId="77777777" w:rsidR="001C19F3" w:rsidRPr="004A66A1" w:rsidRDefault="001C19F3" w:rsidP="001C19F3">
      <w:pPr>
        <w:rPr>
          <w:rFonts w:eastAsiaTheme="minorHAnsi" w:cstheme="minorBidi"/>
          <w:szCs w:val="20"/>
        </w:rPr>
      </w:pPr>
      <w:r w:rsidRPr="004A66A1">
        <w:rPr>
          <w:szCs w:val="20"/>
        </w:rPr>
        <w:t>One practice commented that the differing training style of their facilitators has impacted the level of support and information that they have received:</w:t>
      </w:r>
    </w:p>
    <w:p w14:paraId="45DE71BE" w14:textId="77777777" w:rsidR="001C19F3" w:rsidRPr="004A66A1" w:rsidRDefault="001C19F3" w:rsidP="001C19F3">
      <w:pPr>
        <w:ind w:left="284"/>
        <w:rPr>
          <w:szCs w:val="20"/>
        </w:rPr>
      </w:pPr>
      <w:r w:rsidRPr="004A66A1">
        <w:rPr>
          <w:i/>
          <w:szCs w:val="20"/>
        </w:rPr>
        <w:t>“To start with, depending on who was coming to offer their support depended on what sort of support we got. One particular lady was more into how your recipes work</w:t>
      </w:r>
      <w:r>
        <w:rPr>
          <w:i/>
          <w:szCs w:val="20"/>
        </w:rPr>
        <w:t>..</w:t>
      </w:r>
      <w:r w:rsidRPr="004A66A1">
        <w:rPr>
          <w:i/>
          <w:szCs w:val="20"/>
        </w:rPr>
        <w:t>. The other support person was very much into the practical work…One had worked previously as a practice nurse and one hasn’t…But obviously they had a wide area as well and so there was a lot of information that didn’t get passed through or was like, oh yes, I’ll come and talk to you about that</w:t>
      </w:r>
      <w:r>
        <w:rPr>
          <w:i/>
          <w:szCs w:val="20"/>
        </w:rPr>
        <w:t>…</w:t>
      </w:r>
      <w:r w:rsidRPr="004A66A1">
        <w:rPr>
          <w:i/>
          <w:szCs w:val="20"/>
        </w:rPr>
        <w:t xml:space="preserve"> One in particular was the online care planning. It wasn’t until his last month that was even shown how to use that.”</w:t>
      </w:r>
      <w:r w:rsidRPr="004A66A1">
        <w:rPr>
          <w:szCs w:val="20"/>
        </w:rPr>
        <w:t xml:space="preserve"> [</w:t>
      </w:r>
      <w:r>
        <w:rPr>
          <w:szCs w:val="20"/>
        </w:rPr>
        <w:t>P</w:t>
      </w:r>
      <w:r w:rsidRPr="004A66A1">
        <w:rPr>
          <w:szCs w:val="20"/>
        </w:rPr>
        <w:t>ractice nurse, Practice 14</w:t>
      </w:r>
      <w:r>
        <w:rPr>
          <w:szCs w:val="20"/>
        </w:rPr>
        <w:t>, interview, R2]</w:t>
      </w:r>
    </w:p>
    <w:p w14:paraId="01BE511B" w14:textId="77777777" w:rsidR="001C19F3" w:rsidRPr="004A66A1" w:rsidRDefault="001C19F3" w:rsidP="001C19F3">
      <w:pPr>
        <w:rPr>
          <w:szCs w:val="20"/>
        </w:rPr>
      </w:pPr>
      <w:r w:rsidRPr="004A66A1">
        <w:rPr>
          <w:szCs w:val="20"/>
        </w:rPr>
        <w:t>Though PHNs cited setting expectations with practices as a vital method to both holding practices accountable and motivating staff, setting lofty expectations around achieving specific enrolment numbers with practices who had a limited number of GPs engaged and were interested in testing the model appeared to discourage them from participating in HCH:</w:t>
      </w:r>
    </w:p>
    <w:p w14:paraId="7D3A2C6E" w14:textId="77777777" w:rsidR="001C19F3" w:rsidRPr="004A66A1" w:rsidRDefault="001C19F3" w:rsidP="001C19F3">
      <w:pPr>
        <w:ind w:left="567" w:right="1088"/>
        <w:rPr>
          <w:szCs w:val="20"/>
        </w:rPr>
      </w:pPr>
      <w:r w:rsidRPr="004A66A1">
        <w:rPr>
          <w:i/>
          <w:szCs w:val="20"/>
        </w:rPr>
        <w:t xml:space="preserve">“So they </w:t>
      </w:r>
      <w:r w:rsidRPr="00524856">
        <w:rPr>
          <w:szCs w:val="20"/>
        </w:rPr>
        <w:t>[the GPs]</w:t>
      </w:r>
      <w:r w:rsidRPr="004A66A1">
        <w:rPr>
          <w:i/>
          <w:szCs w:val="20"/>
        </w:rPr>
        <w:t xml:space="preserve"> were keen to start. It was more the quota of patients that was expected</w:t>
      </w:r>
      <w:r>
        <w:rPr>
          <w:i/>
          <w:szCs w:val="20"/>
        </w:rPr>
        <w:t>, which</w:t>
      </w:r>
      <w:r w:rsidRPr="004A66A1">
        <w:rPr>
          <w:i/>
          <w:szCs w:val="20"/>
        </w:rPr>
        <w:t xml:space="preserve"> was a little daunting. So, the doctors were happy to dip their toe in but they weren't happy when they were pushed to make agreements to take on 50 patients each. They just weren't happy to decide to do that before they had even seen one in the system…Initially, </w:t>
      </w:r>
      <w:r w:rsidRPr="00524856">
        <w:rPr>
          <w:szCs w:val="20"/>
        </w:rPr>
        <w:t>[the]</w:t>
      </w:r>
      <w:r w:rsidRPr="004A66A1">
        <w:rPr>
          <w:i/>
          <w:szCs w:val="20"/>
        </w:rPr>
        <w:t xml:space="preserve"> PHN said that was fine and then they were pushing and saying no, it needs to be 50, it needs to be by this stage, and then that's when the doctors said, look, it's just all too hard. That's not to say we weren't keen to try it, but I think having 50 patients per doctor was a little bit too much to ask when it's a trial.”</w:t>
      </w:r>
      <w:r w:rsidRPr="004A66A1">
        <w:rPr>
          <w:szCs w:val="20"/>
        </w:rPr>
        <w:t xml:space="preserve"> [</w:t>
      </w:r>
      <w:r>
        <w:rPr>
          <w:szCs w:val="20"/>
        </w:rPr>
        <w:t>P</w:t>
      </w:r>
      <w:r w:rsidRPr="004A66A1">
        <w:rPr>
          <w:szCs w:val="20"/>
        </w:rPr>
        <w:t>ractice manager, Practice 8</w:t>
      </w:r>
      <w:r>
        <w:rPr>
          <w:szCs w:val="20"/>
        </w:rPr>
        <w:t>, interview, R2]</w:t>
      </w:r>
    </w:p>
    <w:p w14:paraId="3BC77DF0" w14:textId="77777777" w:rsidR="001C19F3" w:rsidRPr="004A66A1" w:rsidRDefault="001C19F3" w:rsidP="001C19F3">
      <w:pPr>
        <w:rPr>
          <w:szCs w:val="20"/>
        </w:rPr>
      </w:pPr>
      <w:r w:rsidRPr="004A66A1">
        <w:rPr>
          <w:szCs w:val="20"/>
        </w:rPr>
        <w:t>Practices suggested additional guidance in the form of PHN support, a formal training program, or case studies from practices who have successfully implemented this type of model. Because many practices interviewed were the first ones to try the HCH model, it was clear that, despite predominantly positive reviews around the PHN training and support, there were some teething issues associated with the program rollout:</w:t>
      </w:r>
    </w:p>
    <w:p w14:paraId="6F37220C" w14:textId="77777777" w:rsidR="001C19F3" w:rsidRPr="004A66A1" w:rsidRDefault="001C19F3" w:rsidP="001C19F3">
      <w:pPr>
        <w:ind w:left="567" w:right="1088"/>
        <w:rPr>
          <w:szCs w:val="20"/>
        </w:rPr>
      </w:pPr>
      <w:r w:rsidRPr="004A66A1">
        <w:rPr>
          <w:i/>
          <w:szCs w:val="20"/>
        </w:rPr>
        <w:t>“</w:t>
      </w:r>
      <w:r>
        <w:rPr>
          <w:i/>
          <w:szCs w:val="20"/>
        </w:rPr>
        <w:t>…</w:t>
      </w:r>
      <w:r w:rsidRPr="004A66A1">
        <w:rPr>
          <w:i/>
          <w:szCs w:val="20"/>
        </w:rPr>
        <w:t>having some kind of guide would have been a little bit better. Or</w:t>
      </w:r>
      <w:r>
        <w:rPr>
          <w:i/>
          <w:szCs w:val="20"/>
        </w:rPr>
        <w:t>…</w:t>
      </w:r>
      <w:r w:rsidRPr="004A66A1">
        <w:rPr>
          <w:i/>
          <w:szCs w:val="20"/>
        </w:rPr>
        <w:t xml:space="preserve"> case studies about practices that have been doing it well.” </w:t>
      </w:r>
      <w:r w:rsidRPr="004A66A1">
        <w:rPr>
          <w:szCs w:val="20"/>
        </w:rPr>
        <w:t>[</w:t>
      </w:r>
      <w:r>
        <w:rPr>
          <w:szCs w:val="20"/>
        </w:rPr>
        <w:t>P</w:t>
      </w:r>
      <w:r w:rsidRPr="004A66A1">
        <w:rPr>
          <w:szCs w:val="20"/>
        </w:rPr>
        <w:t>ractice manager &amp; GP, Practice 15</w:t>
      </w:r>
      <w:r>
        <w:rPr>
          <w:szCs w:val="20"/>
        </w:rPr>
        <w:t>, interview, R2]</w:t>
      </w:r>
    </w:p>
    <w:p w14:paraId="3122199A" w14:textId="77777777" w:rsidR="001C19F3" w:rsidRPr="004A66A1" w:rsidRDefault="001C19F3" w:rsidP="001C19F3">
      <w:pPr>
        <w:ind w:left="567" w:right="1088"/>
        <w:rPr>
          <w:rFonts w:cs="Arial"/>
          <w:color w:val="000000"/>
          <w:szCs w:val="20"/>
          <w:lang w:val="en-GB"/>
        </w:rPr>
      </w:pPr>
      <w:r w:rsidRPr="004A66A1">
        <w:rPr>
          <w:rFonts w:cs="Arial"/>
          <w:i/>
          <w:color w:val="000000"/>
          <w:szCs w:val="20"/>
          <w:lang w:val="en-GB"/>
        </w:rPr>
        <w:t>“So for wave 2, I would say some sort of formal training program would be useful, which</w:t>
      </w:r>
      <w:r>
        <w:rPr>
          <w:rFonts w:cs="Arial"/>
          <w:i/>
          <w:color w:val="000000"/>
          <w:szCs w:val="20"/>
          <w:lang w:val="en-GB"/>
        </w:rPr>
        <w:t xml:space="preserve"> </w:t>
      </w:r>
      <w:r w:rsidRPr="004A66A1">
        <w:rPr>
          <w:rFonts w:cs="Arial"/>
          <w:i/>
          <w:color w:val="000000"/>
          <w:szCs w:val="20"/>
          <w:lang w:val="en-GB"/>
        </w:rPr>
        <w:t>is what we didn't have.”</w:t>
      </w:r>
      <w:r w:rsidRPr="004A66A1">
        <w:rPr>
          <w:rFonts w:cs="Arial"/>
          <w:color w:val="000000"/>
          <w:szCs w:val="20"/>
          <w:lang w:val="en-GB"/>
        </w:rPr>
        <w:t xml:space="preserve"> [GP, Practice 9</w:t>
      </w:r>
      <w:r>
        <w:rPr>
          <w:rFonts w:cs="Arial"/>
          <w:color w:val="000000"/>
          <w:szCs w:val="20"/>
          <w:lang w:val="en-GB"/>
        </w:rPr>
        <w:t>, interview, R2]</w:t>
      </w:r>
    </w:p>
    <w:p w14:paraId="043CEA83" w14:textId="77777777" w:rsidR="001C19F3" w:rsidRDefault="001C19F3" w:rsidP="001C19F3">
      <w:pPr>
        <w:rPr>
          <w:rFonts w:cs="Arial"/>
          <w:color w:val="000000"/>
          <w:szCs w:val="20"/>
          <w:lang w:val="en-GB"/>
        </w:rPr>
      </w:pPr>
      <w:r>
        <w:rPr>
          <w:rFonts w:cs="Arial"/>
          <w:color w:val="000000"/>
          <w:szCs w:val="20"/>
          <w:lang w:val="en-GB"/>
        </w:rPr>
        <w:t>P</w:t>
      </w:r>
      <w:r w:rsidRPr="004A66A1">
        <w:rPr>
          <w:rFonts w:cs="Arial"/>
          <w:color w:val="000000"/>
          <w:szCs w:val="20"/>
          <w:lang w:val="en-GB"/>
        </w:rPr>
        <w:t>ractices recommend</w:t>
      </w:r>
      <w:r>
        <w:rPr>
          <w:rFonts w:cs="Arial"/>
          <w:color w:val="000000"/>
          <w:szCs w:val="20"/>
          <w:lang w:val="en-GB"/>
        </w:rPr>
        <w:t>ed</w:t>
      </w:r>
      <w:r w:rsidRPr="004A66A1">
        <w:rPr>
          <w:rFonts w:cs="Arial"/>
          <w:color w:val="000000"/>
          <w:szCs w:val="20"/>
          <w:lang w:val="en-GB"/>
        </w:rPr>
        <w:t xml:space="preserve"> </w:t>
      </w:r>
      <w:r>
        <w:rPr>
          <w:rFonts w:cs="Arial"/>
          <w:color w:val="000000"/>
          <w:szCs w:val="20"/>
          <w:lang w:val="en-GB"/>
        </w:rPr>
        <w:t xml:space="preserve">ways </w:t>
      </w:r>
      <w:r w:rsidRPr="004A66A1">
        <w:rPr>
          <w:rFonts w:cs="Arial"/>
          <w:color w:val="000000"/>
          <w:szCs w:val="20"/>
          <w:lang w:val="en-GB"/>
        </w:rPr>
        <w:t>to enhance the support and training from PHN practice facilitators</w:t>
      </w:r>
      <w:r>
        <w:rPr>
          <w:rFonts w:cs="Arial"/>
          <w:color w:val="000000"/>
          <w:szCs w:val="20"/>
          <w:lang w:val="en-GB"/>
        </w:rPr>
        <w:t xml:space="preserve"> through the Round 2 survey</w:t>
      </w:r>
      <w:r w:rsidRPr="004A66A1">
        <w:rPr>
          <w:rFonts w:cs="Arial"/>
          <w:color w:val="000000"/>
          <w:szCs w:val="20"/>
          <w:lang w:val="en-GB"/>
        </w:rPr>
        <w:t>.</w:t>
      </w:r>
      <w:r>
        <w:rPr>
          <w:rFonts w:cs="Arial"/>
          <w:color w:val="000000"/>
          <w:szCs w:val="20"/>
          <w:lang w:val="en-GB"/>
        </w:rPr>
        <w:t xml:space="preserve"> These are shown in </w:t>
      </w:r>
      <w:r>
        <w:rPr>
          <w:rFonts w:cs="Arial"/>
          <w:color w:val="000000"/>
          <w:szCs w:val="20"/>
          <w:lang w:val="en-GB"/>
        </w:rPr>
        <w:fldChar w:fldCharType="begin"/>
      </w:r>
      <w:r>
        <w:rPr>
          <w:rFonts w:cs="Arial"/>
          <w:color w:val="000000"/>
          <w:szCs w:val="20"/>
          <w:lang w:val="en-GB"/>
        </w:rPr>
        <w:instrText xml:space="preserve"> REF _Ref20758273 \h </w:instrText>
      </w:r>
      <w:r>
        <w:rPr>
          <w:rFonts w:cs="Arial"/>
          <w:color w:val="000000"/>
          <w:szCs w:val="20"/>
          <w:lang w:val="en-GB"/>
        </w:rPr>
      </w:r>
      <w:r>
        <w:rPr>
          <w:rFonts w:cs="Arial"/>
          <w:color w:val="000000"/>
          <w:szCs w:val="20"/>
          <w:lang w:val="en-GB"/>
        </w:rPr>
        <w:fldChar w:fldCharType="separate"/>
      </w:r>
      <w:r>
        <w:t xml:space="preserve">Table </w:t>
      </w:r>
      <w:r>
        <w:rPr>
          <w:noProof/>
        </w:rPr>
        <w:t>28</w:t>
      </w:r>
      <w:r>
        <w:rPr>
          <w:rFonts w:cs="Arial"/>
          <w:color w:val="000000"/>
          <w:szCs w:val="20"/>
          <w:lang w:val="en-GB"/>
        </w:rPr>
        <w:fldChar w:fldCharType="end"/>
      </w:r>
      <w:r>
        <w:rPr>
          <w:rFonts w:cs="Arial"/>
          <w:color w:val="000000"/>
          <w:szCs w:val="20"/>
          <w:lang w:val="en-GB"/>
        </w:rPr>
        <w:t>.</w:t>
      </w:r>
    </w:p>
    <w:p w14:paraId="2FFD5498" w14:textId="77777777" w:rsidR="001C19F3" w:rsidRDefault="001C19F3" w:rsidP="001C19F3">
      <w:pPr>
        <w:rPr>
          <w:rFonts w:cs="Arial"/>
          <w:color w:val="000000"/>
          <w:szCs w:val="20"/>
          <w:lang w:val="en-GB"/>
        </w:rPr>
      </w:pPr>
      <w:r>
        <w:rPr>
          <w:rFonts w:cs="Arial"/>
          <w:color w:val="000000"/>
          <w:szCs w:val="20"/>
          <w:lang w:val="en-GB"/>
        </w:rPr>
        <w:br w:type="page"/>
      </w:r>
    </w:p>
    <w:p w14:paraId="24A31D1E" w14:textId="77777777" w:rsidR="001C19F3" w:rsidRDefault="001C19F3" w:rsidP="001C19F3">
      <w:pPr>
        <w:pStyle w:val="Caption1"/>
        <w:spacing w:after="0"/>
      </w:pPr>
      <w:bookmarkStart w:id="217" w:name="_Hlk22642615"/>
      <w:r>
        <w:lastRenderedPageBreak/>
        <w:t xml:space="preserve">Table </w:t>
      </w:r>
      <w:r>
        <w:fldChar w:fldCharType="begin"/>
      </w:r>
      <w:r>
        <w:instrText>SEQ Table \* ARABIC</w:instrText>
      </w:r>
      <w:r>
        <w:fldChar w:fldCharType="separate"/>
      </w:r>
      <w:r>
        <w:rPr>
          <w:noProof/>
        </w:rPr>
        <w:t>30</w:t>
      </w:r>
      <w:r>
        <w:fldChar w:fldCharType="end"/>
      </w:r>
      <w:r>
        <w:t xml:space="preserve"> – Top ways in which the support provided by the PHN practice facilitator could be improved (including responses from withdrawn practices)</w:t>
      </w:r>
    </w:p>
    <w:tbl>
      <w:tblPr>
        <w:tblW w:w="5000" w:type="pct"/>
        <w:jc w:val="center"/>
        <w:tblLook w:val="04A0" w:firstRow="1" w:lastRow="0" w:firstColumn="1" w:lastColumn="0" w:noHBand="0" w:noVBand="1"/>
      </w:tblPr>
      <w:tblGrid>
        <w:gridCol w:w="3251"/>
        <w:gridCol w:w="1207"/>
        <w:gridCol w:w="90"/>
        <w:gridCol w:w="3381"/>
        <w:gridCol w:w="1077"/>
      </w:tblGrid>
      <w:tr w:rsidR="001C19F3" w14:paraId="0C114658" w14:textId="77777777" w:rsidTr="00521305">
        <w:trPr>
          <w:cantSplit/>
          <w:trHeight w:val="336"/>
          <w:tblHeader/>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217"/>
          <w:p w14:paraId="20A0CFD5" w14:textId="77777777" w:rsidR="001C19F3" w:rsidRDefault="001C19F3" w:rsidP="00521305">
            <w:pPr>
              <w:jc w:val="center"/>
            </w:pPr>
            <w:r>
              <w:rPr>
                <w:rFonts w:eastAsia="Century Gothic" w:cs="Century Gothic"/>
                <w:b/>
                <w:color w:val="FFFFFF"/>
                <w:sz w:val="18"/>
                <w:szCs w:val="18"/>
              </w:rPr>
              <w:t>Response</w:t>
            </w:r>
          </w:p>
        </w:tc>
        <w:tc>
          <w:tcPr>
            <w:tcW w:w="6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451E03D" w14:textId="77777777" w:rsidR="001C19F3" w:rsidRDefault="001C19F3" w:rsidP="00521305">
            <w:pPr>
              <w:jc w:val="center"/>
            </w:pPr>
            <w:r>
              <w:rPr>
                <w:rFonts w:eastAsia="Century Gothic" w:cs="Century Gothic"/>
                <w:b/>
                <w:color w:val="FFFFFF"/>
                <w:sz w:val="18"/>
                <w:szCs w:val="18"/>
              </w:rPr>
              <w:t>n (%)</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4147766" w14:textId="77777777" w:rsidR="001C19F3" w:rsidRDefault="001C19F3" w:rsidP="00521305">
            <w:pPr>
              <w:jc w:val="center"/>
            </w:pPr>
            <w:r>
              <w:rPr>
                <w:rFonts w:eastAsia="Century Gothic" w:cs="Century Gothic"/>
                <w:b/>
                <w:color w:val="FFFFFF"/>
                <w:sz w:val="18"/>
                <w:szCs w:val="18"/>
              </w:rPr>
              <w:t xml:space="preserve"> </w:t>
            </w:r>
          </w:p>
        </w:tc>
        <w:tc>
          <w:tcPr>
            <w:tcW w:w="18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00356BD6" w14:textId="77777777" w:rsidR="001C19F3" w:rsidRDefault="001C19F3" w:rsidP="00521305">
            <w:pPr>
              <w:jc w:val="center"/>
            </w:pPr>
            <w:r>
              <w:rPr>
                <w:rFonts w:eastAsia="Century Gothic" w:cs="Century Gothic"/>
                <w:b/>
                <w:color w:val="FFFFFF"/>
                <w:sz w:val="18"/>
                <w:szCs w:val="18"/>
              </w:rPr>
              <w:t>Response</w:t>
            </w:r>
          </w:p>
        </w:tc>
        <w:tc>
          <w:tcPr>
            <w:tcW w:w="59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C7693D0" w14:textId="77777777" w:rsidR="001C19F3" w:rsidRDefault="001C19F3" w:rsidP="00521305">
            <w:pPr>
              <w:jc w:val="center"/>
            </w:pPr>
            <w:r>
              <w:rPr>
                <w:rFonts w:eastAsia="Century Gothic" w:cs="Century Gothic"/>
                <w:b/>
                <w:color w:val="FFFFFF"/>
                <w:sz w:val="18"/>
                <w:szCs w:val="18"/>
              </w:rPr>
              <w:t>n (%)</w:t>
            </w:r>
          </w:p>
        </w:tc>
      </w:tr>
      <w:tr w:rsidR="001C19F3" w14:paraId="76A22DE0"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C44D2D" w14:textId="77777777" w:rsidR="001C19F3" w:rsidRDefault="001C19F3" w:rsidP="00521305">
            <w:pPr>
              <w:spacing w:before="40" w:after="40"/>
              <w:ind w:left="100" w:right="100"/>
            </w:pPr>
            <w:r>
              <w:rPr>
                <w:rFonts w:eastAsia="Century Gothic" w:cs="Century Gothic"/>
                <w:color w:val="000000"/>
                <w:sz w:val="18"/>
                <w:szCs w:val="18"/>
              </w:rPr>
              <w:t>Additional support and training around IT software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D17B75" w14:textId="77777777" w:rsidR="001C19F3" w:rsidRDefault="001C19F3" w:rsidP="00521305">
            <w:pPr>
              <w:spacing w:before="40" w:after="40"/>
              <w:ind w:left="100" w:right="100"/>
              <w:jc w:val="right"/>
            </w:pPr>
            <w:r>
              <w:rPr>
                <w:rFonts w:eastAsia="Century Gothic" w:cs="Century Gothic"/>
                <w:color w:val="000000"/>
                <w:sz w:val="18"/>
                <w:szCs w:val="18"/>
              </w:rPr>
              <w:t>17 (16.2%)</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057A159E"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9C0745" w14:textId="77777777" w:rsidR="001C19F3" w:rsidRDefault="001C19F3" w:rsidP="00521305">
            <w:pPr>
              <w:spacing w:before="40" w:after="40"/>
              <w:ind w:left="100" w:right="100"/>
            </w:pPr>
            <w:r>
              <w:rPr>
                <w:rFonts w:eastAsia="Century Gothic" w:cs="Century Gothic"/>
                <w:color w:val="000000"/>
                <w:sz w:val="18"/>
                <w:szCs w:val="18"/>
              </w:rPr>
              <w:t>More simplified and concise explanation of terminology and the program</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CFB6BB" w14:textId="77777777" w:rsidR="001C19F3" w:rsidRDefault="001C19F3" w:rsidP="00521305">
            <w:pPr>
              <w:spacing w:before="40" w:after="40"/>
              <w:ind w:left="100" w:right="100"/>
              <w:jc w:val="right"/>
            </w:pPr>
            <w:r>
              <w:rPr>
                <w:rFonts w:eastAsia="Century Gothic" w:cs="Century Gothic"/>
                <w:color w:val="000000"/>
                <w:sz w:val="18"/>
                <w:szCs w:val="18"/>
              </w:rPr>
              <w:t>4 (3.8%)</w:t>
            </w:r>
          </w:p>
        </w:tc>
      </w:tr>
      <w:tr w:rsidR="001C19F3" w14:paraId="78C4AE04"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C6D3A6" w14:textId="77777777" w:rsidR="001C19F3" w:rsidRDefault="001C19F3" w:rsidP="00521305">
            <w:pPr>
              <w:spacing w:before="40" w:after="40"/>
              <w:ind w:left="100" w:right="100"/>
            </w:pPr>
            <w:r>
              <w:rPr>
                <w:rFonts w:eastAsia="Century Gothic" w:cs="Century Gothic"/>
                <w:color w:val="000000"/>
                <w:sz w:val="18"/>
                <w:szCs w:val="18"/>
              </w:rPr>
              <w:t>Increased flexibility and/or accessibility</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B26916" w14:textId="77777777" w:rsidR="001C19F3" w:rsidRDefault="001C19F3" w:rsidP="00521305">
            <w:pPr>
              <w:spacing w:before="40" w:after="40"/>
              <w:ind w:left="100" w:right="100"/>
              <w:jc w:val="right"/>
            </w:pPr>
            <w:r>
              <w:rPr>
                <w:rFonts w:eastAsia="Century Gothic" w:cs="Century Gothic"/>
                <w:color w:val="000000"/>
                <w:sz w:val="18"/>
                <w:szCs w:val="18"/>
              </w:rPr>
              <w:t>12 (11.4%)</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5B764C67"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5DFC55" w14:textId="77777777" w:rsidR="001C19F3" w:rsidRDefault="001C19F3" w:rsidP="00521305">
            <w:pPr>
              <w:spacing w:before="40" w:after="40"/>
              <w:ind w:left="100" w:right="100"/>
            </w:pPr>
            <w:r>
              <w:rPr>
                <w:rFonts w:eastAsia="Century Gothic" w:cs="Century Gothic"/>
                <w:color w:val="000000"/>
                <w:sz w:val="18"/>
                <w:szCs w:val="18"/>
              </w:rPr>
              <w:t>More transparency around government changes and program updates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A63ED2" w14:textId="77777777" w:rsidR="001C19F3" w:rsidRDefault="001C19F3" w:rsidP="00521305">
            <w:pPr>
              <w:spacing w:before="40" w:after="40"/>
              <w:ind w:left="100" w:right="100"/>
              <w:jc w:val="right"/>
            </w:pPr>
            <w:r>
              <w:rPr>
                <w:rFonts w:eastAsia="Century Gothic" w:cs="Century Gothic"/>
                <w:color w:val="000000"/>
                <w:sz w:val="18"/>
                <w:szCs w:val="18"/>
              </w:rPr>
              <w:t>4 (3.8%)</w:t>
            </w:r>
          </w:p>
        </w:tc>
      </w:tr>
      <w:tr w:rsidR="001C19F3" w14:paraId="4840FC89"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54C458" w14:textId="77777777" w:rsidR="001C19F3" w:rsidRDefault="001C19F3" w:rsidP="00521305">
            <w:pPr>
              <w:spacing w:before="40" w:after="40"/>
              <w:ind w:left="100" w:right="100"/>
            </w:pPr>
            <w:r>
              <w:rPr>
                <w:rFonts w:eastAsia="Century Gothic" w:cs="Century Gothic"/>
                <w:color w:val="000000"/>
                <w:sz w:val="18"/>
                <w:szCs w:val="18"/>
              </w:rPr>
              <w:t>Decrease PHN Facilitator turnover for consistency</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FD253B" w14:textId="77777777" w:rsidR="001C19F3" w:rsidRDefault="001C19F3" w:rsidP="00521305">
            <w:pPr>
              <w:spacing w:before="40" w:after="40"/>
              <w:ind w:left="100" w:right="100"/>
              <w:jc w:val="right"/>
            </w:pPr>
            <w:r>
              <w:rPr>
                <w:rFonts w:eastAsia="Century Gothic" w:cs="Century Gothic"/>
                <w:color w:val="000000"/>
                <w:sz w:val="18"/>
                <w:szCs w:val="18"/>
              </w:rPr>
              <w:t>11 (10.5%)</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C8A2A4A"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853B44" w14:textId="77777777" w:rsidR="001C19F3" w:rsidRDefault="001C19F3" w:rsidP="00521305">
            <w:pPr>
              <w:spacing w:before="40" w:after="40"/>
              <w:ind w:left="100" w:right="100"/>
            </w:pPr>
            <w:r>
              <w:rPr>
                <w:rFonts w:eastAsia="Century Gothic" w:cs="Century Gothic"/>
                <w:color w:val="000000"/>
                <w:sz w:val="18"/>
                <w:szCs w:val="18"/>
              </w:rPr>
              <w:t>Increased training for GPs and focus on GP engagement</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3F6637" w14:textId="77777777" w:rsidR="001C19F3" w:rsidRDefault="001C19F3" w:rsidP="00521305">
            <w:pPr>
              <w:spacing w:before="40" w:after="40"/>
              <w:ind w:left="100" w:right="100"/>
              <w:jc w:val="right"/>
            </w:pPr>
            <w:r>
              <w:rPr>
                <w:rFonts w:eastAsia="Century Gothic" w:cs="Century Gothic"/>
                <w:color w:val="000000"/>
                <w:sz w:val="18"/>
                <w:szCs w:val="18"/>
              </w:rPr>
              <w:t>3 (2.9%)</w:t>
            </w:r>
          </w:p>
        </w:tc>
      </w:tr>
      <w:tr w:rsidR="001C19F3" w14:paraId="722A2FA7"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24E239" w14:textId="77777777" w:rsidR="001C19F3" w:rsidRDefault="001C19F3" w:rsidP="00521305">
            <w:pPr>
              <w:spacing w:before="40" w:after="40"/>
              <w:ind w:left="100" w:right="100"/>
            </w:pPr>
            <w:r>
              <w:rPr>
                <w:rFonts w:eastAsia="Century Gothic" w:cs="Century Gothic"/>
                <w:color w:val="000000"/>
                <w:sz w:val="18"/>
                <w:szCs w:val="18"/>
              </w:rPr>
              <w:t>More in-person visits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075F01" w14:textId="77777777" w:rsidR="001C19F3" w:rsidRDefault="001C19F3" w:rsidP="00521305">
            <w:pPr>
              <w:spacing w:before="40" w:after="40"/>
              <w:ind w:left="100" w:right="100"/>
              <w:jc w:val="right"/>
            </w:pPr>
            <w:r>
              <w:rPr>
                <w:rFonts w:eastAsia="Century Gothic" w:cs="Century Gothic"/>
                <w:color w:val="000000"/>
                <w:sz w:val="18"/>
                <w:szCs w:val="18"/>
              </w:rPr>
              <w:t>8 (7.6%)</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0FD468FB"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CC2F36" w14:textId="77777777" w:rsidR="001C19F3" w:rsidRDefault="001C19F3" w:rsidP="00521305">
            <w:pPr>
              <w:spacing w:before="40" w:after="40"/>
              <w:ind w:left="100" w:right="100"/>
            </w:pPr>
            <w:r>
              <w:rPr>
                <w:rFonts w:eastAsia="Century Gothic" w:cs="Century Gothic"/>
                <w:color w:val="000000"/>
                <w:sz w:val="18"/>
                <w:szCs w:val="18"/>
              </w:rPr>
              <w:t>More handout and/or practice data sheets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3C1624" w14:textId="77777777" w:rsidR="001C19F3" w:rsidRDefault="001C19F3" w:rsidP="00521305">
            <w:pPr>
              <w:spacing w:before="40" w:after="40"/>
              <w:ind w:left="100" w:right="100"/>
              <w:jc w:val="right"/>
            </w:pPr>
            <w:r>
              <w:rPr>
                <w:rFonts w:eastAsia="Century Gothic" w:cs="Century Gothic"/>
                <w:color w:val="000000"/>
                <w:sz w:val="18"/>
                <w:szCs w:val="18"/>
              </w:rPr>
              <w:t>3 (2.9%)</w:t>
            </w:r>
          </w:p>
        </w:tc>
      </w:tr>
      <w:tr w:rsidR="001C19F3" w14:paraId="7AD0FE39"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730BEF" w14:textId="77777777" w:rsidR="001C19F3" w:rsidRDefault="001C19F3" w:rsidP="00521305">
            <w:pPr>
              <w:spacing w:before="40" w:after="40"/>
              <w:ind w:left="100" w:right="100"/>
            </w:pPr>
            <w:r>
              <w:rPr>
                <w:rFonts w:eastAsia="Century Gothic" w:cs="Century Gothic"/>
                <w:color w:val="000000"/>
                <w:sz w:val="18"/>
                <w:szCs w:val="18"/>
              </w:rPr>
              <w:t>Support around processes for workflows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9DA9CF" w14:textId="77777777" w:rsidR="001C19F3" w:rsidRDefault="001C19F3" w:rsidP="00521305">
            <w:pPr>
              <w:spacing w:before="40" w:after="40"/>
              <w:ind w:left="100" w:right="100"/>
              <w:jc w:val="right"/>
            </w:pPr>
            <w:r>
              <w:rPr>
                <w:rFonts w:eastAsia="Century Gothic" w:cs="Century Gothic"/>
                <w:color w:val="000000"/>
                <w:sz w:val="18"/>
                <w:szCs w:val="18"/>
              </w:rPr>
              <w:t>8 (7.6%)</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0288702D"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441922" w14:textId="77777777" w:rsidR="001C19F3" w:rsidRDefault="001C19F3" w:rsidP="00521305">
            <w:pPr>
              <w:spacing w:before="40" w:after="40"/>
              <w:ind w:left="100" w:right="100"/>
            </w:pPr>
            <w:r>
              <w:rPr>
                <w:rFonts w:eastAsia="Century Gothic" w:cs="Century Gothic"/>
                <w:color w:val="000000"/>
                <w:sz w:val="18"/>
                <w:szCs w:val="18"/>
              </w:rPr>
              <w:t>Additional information around success methods and case studies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84FC55"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2234385D"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B5DD7F" w14:textId="77777777" w:rsidR="001C19F3" w:rsidRDefault="001C19F3" w:rsidP="00521305">
            <w:pPr>
              <w:spacing w:before="40" w:after="40"/>
              <w:ind w:left="100" w:right="100"/>
            </w:pPr>
            <w:r>
              <w:rPr>
                <w:rFonts w:eastAsia="Century Gothic" w:cs="Century Gothic"/>
                <w:color w:val="000000"/>
                <w:sz w:val="18"/>
                <w:szCs w:val="18"/>
              </w:rPr>
              <w:t>More leadership/direction</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FF36AA"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6E0F652"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56641B" w14:textId="77777777" w:rsidR="001C19F3" w:rsidRDefault="001C19F3" w:rsidP="00521305">
            <w:pPr>
              <w:spacing w:before="40" w:after="40"/>
              <w:ind w:left="100" w:right="100"/>
            </w:pPr>
            <w:r>
              <w:rPr>
                <w:rFonts w:eastAsia="Century Gothic" w:cs="Century Gothic"/>
                <w:color w:val="000000"/>
                <w:sz w:val="18"/>
                <w:szCs w:val="18"/>
              </w:rPr>
              <w:t>Additional training/support with care planning</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4B421D"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61D1767B"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631BDB" w14:textId="77777777" w:rsidR="001C19F3" w:rsidRDefault="001C19F3" w:rsidP="00521305">
            <w:pPr>
              <w:spacing w:before="40" w:after="40"/>
              <w:ind w:left="100" w:right="100"/>
            </w:pPr>
            <w:r>
              <w:rPr>
                <w:rFonts w:eastAsia="Century Gothic" w:cs="Century Gothic"/>
                <w:color w:val="000000"/>
                <w:sz w:val="18"/>
                <w:szCs w:val="18"/>
              </w:rPr>
              <w:t>More training in general</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3072C2"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6AF39EA"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4DC41C" w14:textId="77777777" w:rsidR="001C19F3" w:rsidRDefault="001C19F3" w:rsidP="00521305">
            <w:pPr>
              <w:spacing w:before="40" w:after="40"/>
              <w:ind w:left="100" w:right="100"/>
            </w:pPr>
            <w:r>
              <w:rPr>
                <w:rFonts w:eastAsia="Century Gothic" w:cs="Century Gothic"/>
                <w:color w:val="000000"/>
                <w:sz w:val="18"/>
                <w:szCs w:val="18"/>
              </w:rPr>
              <w:t>Facilitate meetings with other HCH practices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695AEA"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47F85A81"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BB44B8" w14:textId="77777777" w:rsidR="001C19F3" w:rsidRDefault="001C19F3" w:rsidP="00521305">
            <w:pPr>
              <w:spacing w:before="40" w:after="40"/>
              <w:ind w:left="100" w:right="100"/>
            </w:pPr>
            <w:r>
              <w:rPr>
                <w:rFonts w:eastAsia="Century Gothic" w:cs="Century Gothic"/>
                <w:color w:val="000000"/>
                <w:sz w:val="18"/>
                <w:szCs w:val="18"/>
              </w:rPr>
              <w:t>Additional training/support around patient recruitment and/or enrolment</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48203C" w14:textId="77777777" w:rsidR="001C19F3" w:rsidRDefault="001C19F3" w:rsidP="00521305">
            <w:pPr>
              <w:spacing w:before="40" w:after="40"/>
              <w:ind w:left="100" w:right="100"/>
              <w:jc w:val="right"/>
            </w:pPr>
            <w:r>
              <w:rPr>
                <w:rFonts w:eastAsia="Century Gothic" w:cs="Century Gothic"/>
                <w:color w:val="000000"/>
                <w:sz w:val="18"/>
                <w:szCs w:val="18"/>
              </w:rPr>
              <w:t>5 (4.8%)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5C096C05"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81EDEE" w14:textId="77777777" w:rsidR="001C19F3" w:rsidRDefault="001C19F3" w:rsidP="00521305">
            <w:pPr>
              <w:spacing w:before="40" w:after="40"/>
              <w:ind w:left="100" w:right="100"/>
            </w:pPr>
            <w:r>
              <w:rPr>
                <w:rFonts w:eastAsia="Century Gothic" w:cs="Century Gothic"/>
                <w:color w:val="000000"/>
                <w:sz w:val="18"/>
                <w:szCs w:val="18"/>
              </w:rPr>
              <w:t>More specialized training focused on specific practice needs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91B5CD" w14:textId="77777777" w:rsidR="001C19F3" w:rsidRDefault="001C19F3" w:rsidP="00521305">
            <w:pPr>
              <w:spacing w:before="40" w:after="40"/>
              <w:ind w:left="100" w:right="100"/>
              <w:jc w:val="right"/>
            </w:pPr>
            <w:r>
              <w:rPr>
                <w:rFonts w:eastAsia="Century Gothic" w:cs="Century Gothic"/>
                <w:color w:val="000000"/>
                <w:sz w:val="18"/>
                <w:szCs w:val="18"/>
              </w:rPr>
              <w:t>2 (1.9%)</w:t>
            </w:r>
          </w:p>
        </w:tc>
      </w:tr>
    </w:tbl>
    <w:p w14:paraId="1DB4E952" w14:textId="77777777" w:rsidR="001C19F3" w:rsidRDefault="001C19F3" w:rsidP="001C19F3">
      <w:pPr>
        <w:pStyle w:val="Chartortablefootnote"/>
      </w:pPr>
      <w:r>
        <w:t>Source: Practice survey R2, Nov 2018-Mar 2019, question 27.</w:t>
      </w:r>
    </w:p>
    <w:p w14:paraId="4067BC31" w14:textId="77777777" w:rsidR="001C19F3" w:rsidRDefault="001C19F3" w:rsidP="001C19F3">
      <w:pPr>
        <w:pStyle w:val="Heading3"/>
      </w:pPr>
      <w:r w:rsidRPr="001F1EF8">
        <w:t>Factors contributing to effective facilitation, training and support</w:t>
      </w:r>
    </w:p>
    <w:p w14:paraId="66AB6FA0" w14:textId="77777777" w:rsidR="001C19F3" w:rsidRDefault="001C19F3" w:rsidP="001C19F3">
      <w:r>
        <w:t xml:space="preserve">The PHN survey identified a range of factors that were enablers and barriers to effective </w:t>
      </w:r>
      <w:r w:rsidRPr="00AA5F01">
        <w:t>facilitation, training and support provided to practices</w:t>
      </w:r>
      <w:r>
        <w:t xml:space="preserve">. Many of these issues have been touched on in the previous sections. </w:t>
      </w:r>
      <w:r>
        <w:fldChar w:fldCharType="begin"/>
      </w:r>
      <w:r>
        <w:instrText xml:space="preserve"> REF _Ref20758243 \h </w:instrText>
      </w:r>
      <w:r>
        <w:fldChar w:fldCharType="separate"/>
      </w:r>
      <w:r>
        <w:t xml:space="preserve">Table </w:t>
      </w:r>
      <w:r>
        <w:rPr>
          <w:noProof/>
        </w:rPr>
        <w:t>31</w:t>
      </w:r>
      <w:r>
        <w:fldChar w:fldCharType="end"/>
      </w:r>
      <w:r>
        <w:t xml:space="preserve"> describes those most commonly identified.</w:t>
      </w:r>
    </w:p>
    <w:p w14:paraId="59E6466F" w14:textId="77777777" w:rsidR="001C19F3" w:rsidRDefault="001C19F3" w:rsidP="001C19F3">
      <w:pPr>
        <w:pStyle w:val="Caption1"/>
        <w:spacing w:after="0"/>
      </w:pPr>
      <w:bookmarkStart w:id="218" w:name="_Ref20758243"/>
      <w:r>
        <w:t xml:space="preserve">Table </w:t>
      </w:r>
      <w:r>
        <w:fldChar w:fldCharType="begin"/>
      </w:r>
      <w:r>
        <w:instrText xml:space="preserve"> SEQ Table \* ARABIC </w:instrText>
      </w:r>
      <w:r>
        <w:fldChar w:fldCharType="separate"/>
      </w:r>
      <w:r>
        <w:rPr>
          <w:noProof/>
        </w:rPr>
        <w:t>31</w:t>
      </w:r>
      <w:r>
        <w:fldChar w:fldCharType="end"/>
      </w:r>
      <w:bookmarkEnd w:id="218"/>
      <w:r>
        <w:t xml:space="preserve"> – Factors contributing or impeding the effectiveness of facilitation, </w:t>
      </w:r>
    </w:p>
    <w:p w14:paraId="7228ED15" w14:textId="77777777" w:rsidR="001C19F3" w:rsidRDefault="001C19F3" w:rsidP="001C19F3">
      <w:pPr>
        <w:pStyle w:val="Caption1"/>
        <w:spacing w:after="0"/>
      </w:pPr>
      <w:r>
        <w:t>training and support to practices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562"/>
        <w:gridCol w:w="4227"/>
        <w:gridCol w:w="4227"/>
      </w:tblGrid>
      <w:tr w:rsidR="001C19F3" w:rsidRPr="00A76BD3" w14:paraId="012BB634" w14:textId="77777777" w:rsidTr="00521305">
        <w:trPr>
          <w:tblHeader/>
        </w:trPr>
        <w:tc>
          <w:tcPr>
            <w:tcW w:w="2656" w:type="pct"/>
            <w:gridSpan w:val="2"/>
            <w:shd w:val="clear" w:color="auto" w:fill="003D79"/>
          </w:tcPr>
          <w:p w14:paraId="271C39E3" w14:textId="77777777" w:rsidR="001C19F3" w:rsidRPr="00A76BD3" w:rsidRDefault="001C19F3" w:rsidP="00521305">
            <w:pPr>
              <w:jc w:val="center"/>
              <w:rPr>
                <w:b/>
                <w:bCs/>
                <w:sz w:val="18"/>
                <w:szCs w:val="18"/>
              </w:rPr>
            </w:pPr>
            <w:r w:rsidRPr="00A76BD3">
              <w:rPr>
                <w:b/>
                <w:bCs/>
                <w:sz w:val="18"/>
                <w:szCs w:val="18"/>
              </w:rPr>
              <w:t>Factor contributing to effectiveness</w:t>
            </w:r>
          </w:p>
        </w:tc>
        <w:tc>
          <w:tcPr>
            <w:tcW w:w="2344" w:type="pct"/>
            <w:shd w:val="clear" w:color="auto" w:fill="003D79"/>
          </w:tcPr>
          <w:p w14:paraId="00E58BAA" w14:textId="77777777" w:rsidR="001C19F3" w:rsidRPr="00A76BD3" w:rsidRDefault="001C19F3" w:rsidP="00521305">
            <w:pPr>
              <w:jc w:val="center"/>
              <w:rPr>
                <w:b/>
                <w:bCs/>
                <w:sz w:val="18"/>
                <w:szCs w:val="18"/>
              </w:rPr>
            </w:pPr>
            <w:r w:rsidRPr="00A76BD3">
              <w:rPr>
                <w:b/>
                <w:bCs/>
                <w:sz w:val="18"/>
                <w:szCs w:val="18"/>
              </w:rPr>
              <w:t>Factors impeding effectiveness</w:t>
            </w:r>
          </w:p>
        </w:tc>
      </w:tr>
      <w:tr w:rsidR="001C19F3" w:rsidRPr="00A76BD3" w14:paraId="76A022F0" w14:textId="77777777" w:rsidTr="00521305">
        <w:tc>
          <w:tcPr>
            <w:tcW w:w="5000" w:type="pct"/>
            <w:gridSpan w:val="3"/>
          </w:tcPr>
          <w:p w14:paraId="04F99A46" w14:textId="77777777" w:rsidR="001C19F3" w:rsidRPr="00CF5AB3" w:rsidRDefault="001C19F3" w:rsidP="00521305">
            <w:pPr>
              <w:spacing w:after="120"/>
              <w:contextualSpacing/>
              <w:rPr>
                <w:rFonts w:eastAsia="Times New Roman"/>
                <w:b/>
                <w:sz w:val="18"/>
                <w:szCs w:val="18"/>
              </w:rPr>
            </w:pPr>
            <w:r w:rsidRPr="00CF5AB3">
              <w:rPr>
                <w:b/>
                <w:sz w:val="18"/>
                <w:szCs w:val="18"/>
              </w:rPr>
              <w:t>Training</w:t>
            </w:r>
          </w:p>
        </w:tc>
      </w:tr>
      <w:tr w:rsidR="001C19F3" w:rsidRPr="00A76BD3" w14:paraId="37D26A2A" w14:textId="77777777" w:rsidTr="00521305">
        <w:tc>
          <w:tcPr>
            <w:tcW w:w="312" w:type="pct"/>
          </w:tcPr>
          <w:p w14:paraId="786948E4" w14:textId="77777777" w:rsidR="001C19F3" w:rsidRPr="00A76BD3" w:rsidRDefault="001C19F3" w:rsidP="00521305">
            <w:pPr>
              <w:spacing w:after="120"/>
              <w:rPr>
                <w:sz w:val="18"/>
                <w:szCs w:val="18"/>
              </w:rPr>
            </w:pPr>
          </w:p>
        </w:tc>
        <w:tc>
          <w:tcPr>
            <w:tcW w:w="2344" w:type="pct"/>
          </w:tcPr>
          <w:p w14:paraId="7A1E55BA" w14:textId="77777777" w:rsidR="001C19F3" w:rsidRPr="001A4BA5" w:rsidRDefault="001C19F3" w:rsidP="001C19F3">
            <w:pPr>
              <w:numPr>
                <w:ilvl w:val="0"/>
                <w:numId w:val="19"/>
              </w:numPr>
              <w:spacing w:after="120"/>
              <w:ind w:left="317" w:hanging="283"/>
              <w:contextualSpacing/>
              <w:rPr>
                <w:rFonts w:eastAsia="Times New Roman"/>
                <w:sz w:val="18"/>
                <w:szCs w:val="18"/>
              </w:rPr>
            </w:pPr>
            <w:r>
              <w:rPr>
                <w:rFonts w:eastAsia="Times New Roman"/>
                <w:sz w:val="18"/>
                <w:szCs w:val="18"/>
              </w:rPr>
              <w:t>T</w:t>
            </w:r>
            <w:r w:rsidRPr="00AA5F01">
              <w:rPr>
                <w:rFonts w:eastAsia="Times New Roman"/>
                <w:sz w:val="18"/>
                <w:szCs w:val="18"/>
              </w:rPr>
              <w:t>he training provided to practice facilitators and their skill sets</w:t>
            </w:r>
            <w:r>
              <w:rPr>
                <w:rFonts w:eastAsia="Times New Roman"/>
                <w:sz w:val="18"/>
                <w:szCs w:val="18"/>
              </w:rPr>
              <w:t>.</w:t>
            </w:r>
          </w:p>
        </w:tc>
        <w:tc>
          <w:tcPr>
            <w:tcW w:w="2344" w:type="pct"/>
          </w:tcPr>
          <w:p w14:paraId="78CBA6FF" w14:textId="77777777" w:rsidR="001C19F3" w:rsidRPr="001A4BA5" w:rsidRDefault="001C19F3" w:rsidP="001C19F3">
            <w:pPr>
              <w:numPr>
                <w:ilvl w:val="0"/>
                <w:numId w:val="19"/>
              </w:numPr>
              <w:spacing w:after="120"/>
              <w:ind w:left="317" w:hanging="283"/>
              <w:contextualSpacing/>
              <w:rPr>
                <w:rFonts w:eastAsia="Times New Roman"/>
                <w:sz w:val="18"/>
                <w:szCs w:val="18"/>
              </w:rPr>
            </w:pPr>
            <w:r>
              <w:rPr>
                <w:rFonts w:eastAsia="Times New Roman"/>
                <w:sz w:val="18"/>
                <w:szCs w:val="18"/>
              </w:rPr>
              <w:t>L</w:t>
            </w:r>
            <w:r w:rsidRPr="001A4BA5">
              <w:rPr>
                <w:rFonts w:eastAsia="Times New Roman"/>
                <w:sz w:val="18"/>
                <w:szCs w:val="18"/>
              </w:rPr>
              <w:t>ack of knowledge about HCH</w:t>
            </w:r>
            <w:r>
              <w:rPr>
                <w:rFonts w:eastAsia="Times New Roman"/>
                <w:sz w:val="18"/>
                <w:szCs w:val="18"/>
              </w:rPr>
              <w:t>.</w:t>
            </w:r>
          </w:p>
        </w:tc>
      </w:tr>
      <w:tr w:rsidR="001C19F3" w:rsidRPr="00A76BD3" w14:paraId="0BB2337B" w14:textId="77777777" w:rsidTr="00521305">
        <w:tc>
          <w:tcPr>
            <w:tcW w:w="5000" w:type="pct"/>
            <w:gridSpan w:val="3"/>
          </w:tcPr>
          <w:p w14:paraId="1E3FABE5" w14:textId="77777777" w:rsidR="001C19F3" w:rsidRPr="00CF5AB3" w:rsidRDefault="001C19F3" w:rsidP="00521305">
            <w:pPr>
              <w:spacing w:after="120"/>
              <w:contextualSpacing/>
              <w:rPr>
                <w:rFonts w:eastAsia="Times New Roman"/>
                <w:b/>
                <w:sz w:val="18"/>
                <w:szCs w:val="18"/>
              </w:rPr>
            </w:pPr>
            <w:r w:rsidRPr="00CF5AB3">
              <w:rPr>
                <w:b/>
                <w:sz w:val="18"/>
                <w:szCs w:val="18"/>
              </w:rPr>
              <w:t>Cultural and organisational factors</w:t>
            </w:r>
          </w:p>
        </w:tc>
      </w:tr>
      <w:tr w:rsidR="001C19F3" w:rsidRPr="00A76BD3" w14:paraId="578A9596" w14:textId="77777777" w:rsidTr="00521305">
        <w:tc>
          <w:tcPr>
            <w:tcW w:w="312" w:type="pct"/>
          </w:tcPr>
          <w:p w14:paraId="4E6DAD81" w14:textId="77777777" w:rsidR="001C19F3" w:rsidRPr="00A76BD3" w:rsidRDefault="001C19F3" w:rsidP="00521305">
            <w:pPr>
              <w:spacing w:after="120"/>
              <w:rPr>
                <w:sz w:val="18"/>
                <w:szCs w:val="18"/>
              </w:rPr>
            </w:pPr>
          </w:p>
        </w:tc>
        <w:tc>
          <w:tcPr>
            <w:tcW w:w="2344" w:type="pct"/>
          </w:tcPr>
          <w:p w14:paraId="60A61410" w14:textId="77777777" w:rsidR="001C19F3" w:rsidRPr="00A76BD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Engagement/ buy-in from practice staff</w:t>
            </w:r>
            <w:r>
              <w:rPr>
                <w:rFonts w:eastAsia="Times New Roman"/>
                <w:sz w:val="18"/>
                <w:szCs w:val="18"/>
              </w:rPr>
              <w:t>.</w:t>
            </w:r>
          </w:p>
          <w:p w14:paraId="5E5CA0B9" w14:textId="77777777" w:rsidR="001C19F3" w:rsidRPr="00A76BD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A patient centred culture based on a whole-team approach</w:t>
            </w:r>
            <w:r>
              <w:rPr>
                <w:rFonts w:eastAsia="Times New Roman"/>
                <w:sz w:val="18"/>
                <w:szCs w:val="18"/>
              </w:rPr>
              <w:t>.</w:t>
            </w:r>
          </w:p>
          <w:p w14:paraId="228EBD2A" w14:textId="77777777" w:rsidR="001C19F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 xml:space="preserve">Participation in previous initiatives </w:t>
            </w:r>
          </w:p>
          <w:p w14:paraId="58FBB392" w14:textId="77777777" w:rsidR="001C19F3" w:rsidRPr="00A76BD3" w:rsidRDefault="001C19F3" w:rsidP="001C19F3">
            <w:pPr>
              <w:numPr>
                <w:ilvl w:val="0"/>
                <w:numId w:val="19"/>
              </w:numPr>
              <w:spacing w:after="120"/>
              <w:ind w:left="317" w:hanging="283"/>
              <w:contextualSpacing/>
              <w:rPr>
                <w:rFonts w:eastAsia="Times New Roman"/>
                <w:sz w:val="18"/>
                <w:szCs w:val="18"/>
              </w:rPr>
            </w:pPr>
            <w:r>
              <w:rPr>
                <w:rFonts w:eastAsia="Times New Roman"/>
                <w:sz w:val="18"/>
                <w:szCs w:val="18"/>
              </w:rPr>
              <w:t>E</w:t>
            </w:r>
            <w:r w:rsidRPr="00A76BD3">
              <w:rPr>
                <w:rFonts w:eastAsia="Times New Roman"/>
                <w:sz w:val="18"/>
                <w:szCs w:val="18"/>
              </w:rPr>
              <w:t>xposure to programs that require change management</w:t>
            </w:r>
            <w:r>
              <w:rPr>
                <w:rFonts w:eastAsia="Times New Roman"/>
                <w:sz w:val="18"/>
                <w:szCs w:val="18"/>
              </w:rPr>
              <w:t>.</w:t>
            </w:r>
          </w:p>
          <w:p w14:paraId="4B24D489" w14:textId="77777777" w:rsidR="001C19F3" w:rsidRPr="00A76BD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Practice leadership</w:t>
            </w:r>
            <w:r>
              <w:rPr>
                <w:rFonts w:eastAsia="Times New Roman"/>
                <w:sz w:val="18"/>
                <w:szCs w:val="18"/>
              </w:rPr>
              <w:t>.</w:t>
            </w:r>
          </w:p>
          <w:p w14:paraId="5EFA6635" w14:textId="77777777" w:rsidR="001C19F3" w:rsidRPr="00A76BD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Practice motivation</w:t>
            </w:r>
            <w:r>
              <w:rPr>
                <w:rFonts w:eastAsia="Times New Roman"/>
                <w:sz w:val="18"/>
                <w:szCs w:val="18"/>
              </w:rPr>
              <w:t>.</w:t>
            </w:r>
          </w:p>
          <w:p w14:paraId="472FE24F" w14:textId="77777777" w:rsidR="001C19F3" w:rsidRPr="00D86AEE" w:rsidRDefault="001C19F3" w:rsidP="001C19F3">
            <w:pPr>
              <w:numPr>
                <w:ilvl w:val="0"/>
                <w:numId w:val="19"/>
              </w:numPr>
              <w:spacing w:after="120"/>
              <w:ind w:left="318" w:hanging="284"/>
              <w:rPr>
                <w:rFonts w:eastAsia="Times New Roman"/>
                <w:sz w:val="18"/>
                <w:szCs w:val="18"/>
              </w:rPr>
            </w:pPr>
            <w:r w:rsidRPr="00A76BD3">
              <w:rPr>
                <w:rFonts w:eastAsia="Times New Roman"/>
                <w:sz w:val="18"/>
                <w:szCs w:val="18"/>
              </w:rPr>
              <w:t xml:space="preserve">Practice capacity </w:t>
            </w:r>
            <w:r>
              <w:rPr>
                <w:rFonts w:eastAsia="Times New Roman"/>
                <w:sz w:val="18"/>
                <w:szCs w:val="18"/>
              </w:rPr>
              <w:t xml:space="preserve">- </w:t>
            </w:r>
            <w:r w:rsidRPr="00A76BD3">
              <w:rPr>
                <w:rFonts w:eastAsia="Times New Roman"/>
                <w:sz w:val="18"/>
                <w:szCs w:val="18"/>
              </w:rPr>
              <w:t>ability to adapt and implement a new process and ability to have protected time for preparation</w:t>
            </w:r>
            <w:r>
              <w:rPr>
                <w:rFonts w:eastAsia="Times New Roman"/>
                <w:sz w:val="18"/>
                <w:szCs w:val="18"/>
              </w:rPr>
              <w:t>.</w:t>
            </w:r>
          </w:p>
        </w:tc>
        <w:tc>
          <w:tcPr>
            <w:tcW w:w="2344" w:type="pct"/>
          </w:tcPr>
          <w:p w14:paraId="1309CF7D"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Lack of practice readiness</w:t>
            </w:r>
            <w:r>
              <w:rPr>
                <w:rFonts w:eastAsia="Times New Roman"/>
                <w:sz w:val="18"/>
                <w:szCs w:val="18"/>
              </w:rPr>
              <w:t xml:space="preserve"> </w:t>
            </w:r>
          </w:p>
          <w:p w14:paraId="7A699944"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The practice failing to appreciate the magnitude of change</w:t>
            </w:r>
          </w:p>
          <w:p w14:paraId="4029C202"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Staff turnover</w:t>
            </w:r>
            <w:r>
              <w:rPr>
                <w:rFonts w:eastAsia="Times New Roman"/>
                <w:sz w:val="18"/>
                <w:szCs w:val="18"/>
              </w:rPr>
              <w:t>.</w:t>
            </w:r>
          </w:p>
          <w:p w14:paraId="1D04ADC1"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Conflicting information about HCH at commencement of trial</w:t>
            </w:r>
            <w:r>
              <w:rPr>
                <w:rFonts w:eastAsia="Times New Roman"/>
                <w:sz w:val="18"/>
                <w:szCs w:val="18"/>
              </w:rPr>
              <w:t>.</w:t>
            </w:r>
          </w:p>
        </w:tc>
      </w:tr>
    </w:tbl>
    <w:p w14:paraId="7A99787A" w14:textId="77777777" w:rsidR="001C19F3" w:rsidRDefault="001C19F3" w:rsidP="001C19F3">
      <w:r>
        <w:br w:type="page"/>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562"/>
        <w:gridCol w:w="4227"/>
        <w:gridCol w:w="4227"/>
      </w:tblGrid>
      <w:tr w:rsidR="001C19F3" w:rsidRPr="00A76BD3" w14:paraId="5A6B16DA" w14:textId="77777777" w:rsidTr="00521305">
        <w:trPr>
          <w:tblHeader/>
        </w:trPr>
        <w:tc>
          <w:tcPr>
            <w:tcW w:w="2656" w:type="pct"/>
            <w:gridSpan w:val="2"/>
            <w:shd w:val="clear" w:color="auto" w:fill="003D79"/>
          </w:tcPr>
          <w:p w14:paraId="6CAFCA1E" w14:textId="77777777" w:rsidR="001C19F3" w:rsidRPr="00A76BD3" w:rsidRDefault="001C19F3" w:rsidP="00521305">
            <w:pPr>
              <w:jc w:val="center"/>
              <w:rPr>
                <w:b/>
                <w:bCs/>
                <w:sz w:val="18"/>
                <w:szCs w:val="18"/>
              </w:rPr>
            </w:pPr>
            <w:r w:rsidRPr="00A76BD3">
              <w:rPr>
                <w:b/>
                <w:bCs/>
                <w:sz w:val="18"/>
                <w:szCs w:val="18"/>
              </w:rPr>
              <w:lastRenderedPageBreak/>
              <w:t>Factor contributing to effectiveness</w:t>
            </w:r>
          </w:p>
        </w:tc>
        <w:tc>
          <w:tcPr>
            <w:tcW w:w="2344" w:type="pct"/>
            <w:shd w:val="clear" w:color="auto" w:fill="003D79"/>
          </w:tcPr>
          <w:p w14:paraId="2EE9CD05" w14:textId="77777777" w:rsidR="001C19F3" w:rsidRPr="00A76BD3" w:rsidRDefault="001C19F3" w:rsidP="00521305">
            <w:pPr>
              <w:jc w:val="center"/>
              <w:rPr>
                <w:b/>
                <w:bCs/>
                <w:sz w:val="18"/>
                <w:szCs w:val="18"/>
              </w:rPr>
            </w:pPr>
            <w:r w:rsidRPr="00A76BD3">
              <w:rPr>
                <w:b/>
                <w:bCs/>
                <w:sz w:val="18"/>
                <w:szCs w:val="18"/>
              </w:rPr>
              <w:t>Factors impeding effectiveness</w:t>
            </w:r>
          </w:p>
        </w:tc>
      </w:tr>
      <w:tr w:rsidR="001C19F3" w:rsidRPr="00A76BD3" w14:paraId="336B64A9" w14:textId="77777777" w:rsidTr="00521305">
        <w:tc>
          <w:tcPr>
            <w:tcW w:w="5000" w:type="pct"/>
            <w:gridSpan w:val="3"/>
          </w:tcPr>
          <w:p w14:paraId="59588176" w14:textId="77777777" w:rsidR="001C19F3" w:rsidRPr="00CF5AB3" w:rsidRDefault="001C19F3" w:rsidP="00521305">
            <w:pPr>
              <w:spacing w:after="120"/>
              <w:contextualSpacing/>
              <w:rPr>
                <w:rFonts w:eastAsia="Times New Roman"/>
                <w:b/>
                <w:sz w:val="18"/>
                <w:szCs w:val="18"/>
              </w:rPr>
            </w:pPr>
            <w:r w:rsidRPr="00CF5AB3">
              <w:rPr>
                <w:b/>
                <w:sz w:val="18"/>
                <w:szCs w:val="18"/>
              </w:rPr>
              <w:t>Practical issues</w:t>
            </w:r>
          </w:p>
        </w:tc>
      </w:tr>
      <w:tr w:rsidR="001C19F3" w:rsidRPr="00A76BD3" w14:paraId="1F635989" w14:textId="77777777" w:rsidTr="00521305">
        <w:tc>
          <w:tcPr>
            <w:tcW w:w="312" w:type="pct"/>
          </w:tcPr>
          <w:p w14:paraId="3A01643D" w14:textId="77777777" w:rsidR="001C19F3" w:rsidRPr="00A76BD3" w:rsidRDefault="001C19F3" w:rsidP="00521305">
            <w:pPr>
              <w:spacing w:after="120"/>
              <w:rPr>
                <w:sz w:val="18"/>
                <w:szCs w:val="18"/>
              </w:rPr>
            </w:pPr>
          </w:p>
        </w:tc>
        <w:tc>
          <w:tcPr>
            <w:tcW w:w="2344" w:type="pct"/>
          </w:tcPr>
          <w:p w14:paraId="626F3E84" w14:textId="77777777" w:rsidR="001C19F3" w:rsidRPr="00A76BD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Practice readiness (also cultural/organisational issue)</w:t>
            </w:r>
            <w:r>
              <w:rPr>
                <w:rFonts w:eastAsia="Times New Roman"/>
                <w:sz w:val="18"/>
                <w:szCs w:val="18"/>
              </w:rPr>
              <w:t>.</w:t>
            </w:r>
          </w:p>
          <w:p w14:paraId="60BE3D4B" w14:textId="77777777" w:rsidR="001C19F3" w:rsidRPr="00A76BD3"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Support from organisations providing HCH infrastructure (e.g. RST vendor, evaluators)</w:t>
            </w:r>
            <w:r>
              <w:rPr>
                <w:rFonts w:eastAsia="Times New Roman"/>
                <w:sz w:val="18"/>
                <w:szCs w:val="18"/>
              </w:rPr>
              <w:t>.</w:t>
            </w:r>
          </w:p>
          <w:p w14:paraId="7D42634C"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A76BD3">
              <w:rPr>
                <w:rFonts w:eastAsia="Times New Roman"/>
                <w:sz w:val="18"/>
                <w:szCs w:val="18"/>
              </w:rPr>
              <w:t>Availability of tools (e.g. practice readiness assessment, action plan)</w:t>
            </w:r>
            <w:r>
              <w:rPr>
                <w:rFonts w:eastAsia="Times New Roman"/>
                <w:sz w:val="18"/>
                <w:szCs w:val="18"/>
              </w:rPr>
              <w:t>.</w:t>
            </w:r>
          </w:p>
        </w:tc>
        <w:tc>
          <w:tcPr>
            <w:tcW w:w="2344" w:type="pct"/>
          </w:tcPr>
          <w:p w14:paraId="76E860E1" w14:textId="77777777" w:rsidR="001C19F3"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 xml:space="preserve">Unrealistic time frames for practices to complete </w:t>
            </w:r>
            <w:r>
              <w:rPr>
                <w:rFonts w:eastAsia="Times New Roman"/>
                <w:sz w:val="18"/>
                <w:szCs w:val="18"/>
              </w:rPr>
              <w:t xml:space="preserve">training, managing </w:t>
            </w:r>
            <w:r w:rsidRPr="001A4BA5">
              <w:rPr>
                <w:rFonts w:eastAsia="Times New Roman"/>
                <w:sz w:val="18"/>
                <w:szCs w:val="18"/>
              </w:rPr>
              <w:t xml:space="preserve">change within practice </w:t>
            </w:r>
          </w:p>
          <w:p w14:paraId="4BD984C2" w14:textId="77777777" w:rsidR="001C19F3" w:rsidRPr="001A4BA5" w:rsidRDefault="001C19F3" w:rsidP="001C19F3">
            <w:pPr>
              <w:numPr>
                <w:ilvl w:val="0"/>
                <w:numId w:val="19"/>
              </w:numPr>
              <w:spacing w:after="120"/>
              <w:ind w:left="317" w:hanging="283"/>
              <w:contextualSpacing/>
              <w:rPr>
                <w:rFonts w:eastAsia="Times New Roman"/>
                <w:sz w:val="18"/>
                <w:szCs w:val="18"/>
              </w:rPr>
            </w:pPr>
            <w:r>
              <w:rPr>
                <w:rFonts w:eastAsia="Times New Roman"/>
                <w:sz w:val="18"/>
                <w:szCs w:val="18"/>
              </w:rPr>
              <w:t>P</w:t>
            </w:r>
            <w:r w:rsidRPr="001A4BA5">
              <w:rPr>
                <w:rFonts w:eastAsia="Times New Roman"/>
                <w:sz w:val="18"/>
                <w:szCs w:val="18"/>
              </w:rPr>
              <w:t xml:space="preserve">atient enrolment </w:t>
            </w:r>
            <w:r>
              <w:rPr>
                <w:rFonts w:eastAsia="Times New Roman"/>
                <w:sz w:val="18"/>
                <w:szCs w:val="18"/>
              </w:rPr>
              <w:t>commencing in December.</w:t>
            </w:r>
          </w:p>
          <w:p w14:paraId="72C6EB67" w14:textId="77777777" w:rsidR="001C19F3"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Delay in availability of training resources</w:t>
            </w:r>
            <w:r>
              <w:rPr>
                <w:rFonts w:eastAsia="Times New Roman"/>
                <w:sz w:val="18"/>
                <w:szCs w:val="18"/>
              </w:rPr>
              <w:t>.</w:t>
            </w:r>
          </w:p>
          <w:p w14:paraId="5441C1F5"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Inadequate practical support resources for PHN facilitators during preparation/</w:t>
            </w:r>
            <w:r>
              <w:rPr>
                <w:rFonts w:eastAsia="Times New Roman"/>
                <w:sz w:val="18"/>
                <w:szCs w:val="18"/>
              </w:rPr>
              <w:t>set-up</w:t>
            </w:r>
            <w:r w:rsidRPr="001A4BA5">
              <w:rPr>
                <w:rFonts w:eastAsia="Times New Roman"/>
                <w:sz w:val="18"/>
                <w:szCs w:val="18"/>
              </w:rPr>
              <w:t xml:space="preserve"> phase</w:t>
            </w:r>
            <w:r>
              <w:rPr>
                <w:rFonts w:eastAsia="Times New Roman"/>
                <w:sz w:val="18"/>
                <w:szCs w:val="18"/>
              </w:rPr>
              <w:t>.</w:t>
            </w:r>
          </w:p>
          <w:p w14:paraId="79BAB170"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Poor infrastructure (e.g. different systems not aligning, IT systems not working)</w:t>
            </w:r>
            <w:r>
              <w:rPr>
                <w:rFonts w:eastAsia="Times New Roman"/>
                <w:sz w:val="18"/>
                <w:szCs w:val="18"/>
              </w:rPr>
              <w:t>.</w:t>
            </w:r>
          </w:p>
          <w:p w14:paraId="0A3602F0"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Lack of resources (funding, staffing)</w:t>
            </w:r>
            <w:r>
              <w:rPr>
                <w:rFonts w:eastAsia="Times New Roman"/>
                <w:sz w:val="18"/>
                <w:szCs w:val="18"/>
              </w:rPr>
              <w:t>.</w:t>
            </w:r>
          </w:p>
          <w:p w14:paraId="551B5E5E" w14:textId="77777777" w:rsidR="001C19F3" w:rsidRPr="001A4BA5" w:rsidRDefault="001C19F3" w:rsidP="001C19F3">
            <w:pPr>
              <w:numPr>
                <w:ilvl w:val="0"/>
                <w:numId w:val="19"/>
              </w:numPr>
              <w:spacing w:after="120"/>
              <w:ind w:left="317" w:hanging="283"/>
              <w:contextualSpacing/>
              <w:rPr>
                <w:rFonts w:eastAsia="Times New Roman"/>
                <w:sz w:val="18"/>
                <w:szCs w:val="18"/>
              </w:rPr>
            </w:pPr>
            <w:r w:rsidRPr="001A4BA5">
              <w:rPr>
                <w:rFonts w:eastAsia="Times New Roman"/>
                <w:sz w:val="18"/>
                <w:szCs w:val="18"/>
              </w:rPr>
              <w:t>Practices running dual systems – for HCH patients and others</w:t>
            </w:r>
          </w:p>
          <w:p w14:paraId="16002A4C" w14:textId="77777777" w:rsidR="001C19F3" w:rsidRPr="001A4BA5" w:rsidRDefault="001C19F3" w:rsidP="001C19F3">
            <w:pPr>
              <w:numPr>
                <w:ilvl w:val="0"/>
                <w:numId w:val="19"/>
              </w:numPr>
              <w:spacing w:after="120"/>
              <w:ind w:left="317" w:hanging="283"/>
              <w:rPr>
                <w:rFonts w:eastAsia="Times New Roman"/>
                <w:sz w:val="18"/>
                <w:szCs w:val="18"/>
              </w:rPr>
            </w:pPr>
            <w:r w:rsidRPr="001A4BA5">
              <w:rPr>
                <w:rFonts w:eastAsia="Times New Roman"/>
                <w:sz w:val="18"/>
                <w:szCs w:val="18"/>
              </w:rPr>
              <w:t>Limited accountability of practices around reaching program goals</w:t>
            </w:r>
            <w:r>
              <w:rPr>
                <w:rFonts w:eastAsia="Times New Roman"/>
                <w:sz w:val="18"/>
                <w:szCs w:val="18"/>
              </w:rPr>
              <w:t>/</w:t>
            </w:r>
            <w:r w:rsidRPr="001A4BA5">
              <w:rPr>
                <w:rFonts w:eastAsia="Times New Roman"/>
                <w:sz w:val="18"/>
                <w:szCs w:val="18"/>
              </w:rPr>
              <w:t>KPIs</w:t>
            </w:r>
            <w:r>
              <w:rPr>
                <w:rFonts w:eastAsia="Times New Roman"/>
                <w:sz w:val="18"/>
                <w:szCs w:val="18"/>
              </w:rPr>
              <w:t>.</w:t>
            </w:r>
          </w:p>
        </w:tc>
      </w:tr>
      <w:tr w:rsidR="001C19F3" w:rsidRPr="00A76BD3" w14:paraId="4EAB387E" w14:textId="77777777" w:rsidTr="00521305">
        <w:tc>
          <w:tcPr>
            <w:tcW w:w="5000" w:type="pct"/>
            <w:gridSpan w:val="3"/>
          </w:tcPr>
          <w:p w14:paraId="416EB1E3" w14:textId="77777777" w:rsidR="001C19F3" w:rsidRPr="00CF5AB3" w:rsidRDefault="001C19F3" w:rsidP="00521305">
            <w:pPr>
              <w:spacing w:after="120"/>
              <w:contextualSpacing/>
              <w:rPr>
                <w:rFonts w:eastAsia="Times New Roman"/>
                <w:b/>
                <w:sz w:val="18"/>
                <w:szCs w:val="18"/>
              </w:rPr>
            </w:pPr>
            <w:r w:rsidRPr="00CF5AB3">
              <w:rPr>
                <w:b/>
                <w:sz w:val="18"/>
                <w:szCs w:val="18"/>
              </w:rPr>
              <w:t>Relationships/ communication</w:t>
            </w:r>
          </w:p>
        </w:tc>
      </w:tr>
      <w:tr w:rsidR="001C19F3" w:rsidRPr="00A76BD3" w14:paraId="155F5D70" w14:textId="77777777" w:rsidTr="00521305">
        <w:tc>
          <w:tcPr>
            <w:tcW w:w="312" w:type="pct"/>
          </w:tcPr>
          <w:p w14:paraId="19A30A40" w14:textId="77777777" w:rsidR="001C19F3" w:rsidRPr="00A76BD3" w:rsidRDefault="001C19F3" w:rsidP="00521305">
            <w:pPr>
              <w:spacing w:after="120"/>
              <w:rPr>
                <w:sz w:val="18"/>
                <w:szCs w:val="18"/>
              </w:rPr>
            </w:pPr>
          </w:p>
        </w:tc>
        <w:tc>
          <w:tcPr>
            <w:tcW w:w="2344" w:type="pct"/>
          </w:tcPr>
          <w:p w14:paraId="1ECCEFE0" w14:textId="77777777" w:rsidR="001C19F3" w:rsidRPr="00AA5F01" w:rsidRDefault="001C19F3" w:rsidP="001C19F3">
            <w:pPr>
              <w:numPr>
                <w:ilvl w:val="0"/>
                <w:numId w:val="20"/>
              </w:numPr>
              <w:spacing w:after="120"/>
              <w:ind w:left="360"/>
              <w:contextualSpacing/>
              <w:rPr>
                <w:rFonts w:eastAsia="Times New Roman"/>
                <w:sz w:val="18"/>
                <w:szCs w:val="18"/>
              </w:rPr>
            </w:pPr>
            <w:r w:rsidRPr="00AA5F01">
              <w:rPr>
                <w:rFonts w:eastAsia="Times New Roman"/>
                <w:sz w:val="18"/>
                <w:szCs w:val="18"/>
              </w:rPr>
              <w:t>Trust and strong relationships between practice facilitators and practice staff</w:t>
            </w:r>
            <w:r>
              <w:rPr>
                <w:rFonts w:eastAsia="Times New Roman"/>
                <w:sz w:val="18"/>
                <w:szCs w:val="18"/>
              </w:rPr>
              <w:t>.</w:t>
            </w:r>
          </w:p>
          <w:p w14:paraId="371B27D0" w14:textId="77777777" w:rsidR="001C19F3" w:rsidRPr="00A76BD3" w:rsidRDefault="001C19F3" w:rsidP="001C19F3">
            <w:pPr>
              <w:numPr>
                <w:ilvl w:val="0"/>
                <w:numId w:val="20"/>
              </w:numPr>
              <w:spacing w:after="120"/>
              <w:ind w:left="360"/>
              <w:contextualSpacing/>
              <w:rPr>
                <w:rFonts w:eastAsia="Times New Roman"/>
                <w:sz w:val="18"/>
                <w:szCs w:val="18"/>
              </w:rPr>
            </w:pPr>
            <w:r w:rsidRPr="00A76BD3">
              <w:rPr>
                <w:rFonts w:eastAsia="Times New Roman"/>
                <w:sz w:val="18"/>
                <w:szCs w:val="18"/>
              </w:rPr>
              <w:t>Practice willingness to engage with the PHN and value their support</w:t>
            </w:r>
            <w:r>
              <w:rPr>
                <w:rFonts w:eastAsia="Times New Roman"/>
                <w:sz w:val="18"/>
                <w:szCs w:val="18"/>
              </w:rPr>
              <w:t>.</w:t>
            </w:r>
          </w:p>
          <w:p w14:paraId="27D31C53" w14:textId="77777777" w:rsidR="001C19F3" w:rsidRPr="00A76BD3" w:rsidRDefault="001C19F3" w:rsidP="001C19F3">
            <w:pPr>
              <w:numPr>
                <w:ilvl w:val="0"/>
                <w:numId w:val="20"/>
              </w:numPr>
              <w:spacing w:after="120"/>
              <w:ind w:left="360"/>
              <w:contextualSpacing/>
              <w:rPr>
                <w:rFonts w:eastAsia="Times New Roman"/>
                <w:sz w:val="18"/>
                <w:szCs w:val="18"/>
              </w:rPr>
            </w:pPr>
            <w:r w:rsidRPr="00A76BD3">
              <w:rPr>
                <w:rFonts w:eastAsia="Times New Roman"/>
                <w:sz w:val="18"/>
                <w:szCs w:val="18"/>
              </w:rPr>
              <w:t>Practice facilitators’ planning how they will approach the rollout with practices (e.g. communication of team structure, timetable of training activities aligned with online training)</w:t>
            </w:r>
            <w:r>
              <w:rPr>
                <w:rFonts w:eastAsia="Times New Roman"/>
                <w:sz w:val="18"/>
                <w:szCs w:val="18"/>
              </w:rPr>
              <w:t>.</w:t>
            </w:r>
          </w:p>
          <w:p w14:paraId="68F253BF" w14:textId="77777777" w:rsidR="001C19F3" w:rsidRPr="001A4BA5" w:rsidRDefault="001C19F3" w:rsidP="001C19F3">
            <w:pPr>
              <w:numPr>
                <w:ilvl w:val="0"/>
                <w:numId w:val="20"/>
              </w:numPr>
              <w:spacing w:after="120"/>
              <w:ind w:left="357" w:hanging="357"/>
              <w:rPr>
                <w:rFonts w:eastAsia="Times New Roman"/>
                <w:sz w:val="18"/>
                <w:szCs w:val="18"/>
              </w:rPr>
            </w:pPr>
            <w:r w:rsidRPr="00A76BD3">
              <w:rPr>
                <w:rFonts w:eastAsia="Times New Roman"/>
                <w:sz w:val="18"/>
                <w:szCs w:val="18"/>
              </w:rPr>
              <w:t>Collaboration with other PHNs</w:t>
            </w:r>
            <w:r>
              <w:rPr>
                <w:rFonts w:eastAsia="Times New Roman"/>
                <w:sz w:val="18"/>
                <w:szCs w:val="18"/>
              </w:rPr>
              <w:t>.</w:t>
            </w:r>
          </w:p>
        </w:tc>
        <w:tc>
          <w:tcPr>
            <w:tcW w:w="2344" w:type="pct"/>
          </w:tcPr>
          <w:p w14:paraId="3383BE0C" w14:textId="77777777" w:rsidR="001C19F3" w:rsidRPr="001A4BA5" w:rsidRDefault="001C19F3" w:rsidP="001C19F3">
            <w:pPr>
              <w:numPr>
                <w:ilvl w:val="0"/>
                <w:numId w:val="19"/>
              </w:numPr>
              <w:spacing w:after="120"/>
              <w:ind w:left="357" w:hanging="357"/>
              <w:contextualSpacing/>
              <w:rPr>
                <w:rFonts w:eastAsia="Times New Roman"/>
                <w:sz w:val="18"/>
                <w:szCs w:val="18"/>
              </w:rPr>
            </w:pPr>
            <w:r w:rsidRPr="001A4BA5">
              <w:rPr>
                <w:rFonts w:eastAsia="Times New Roman"/>
                <w:sz w:val="18"/>
                <w:szCs w:val="18"/>
              </w:rPr>
              <w:t xml:space="preserve">Lack of engagement </w:t>
            </w:r>
            <w:r>
              <w:rPr>
                <w:rFonts w:eastAsia="Times New Roman"/>
                <w:sz w:val="18"/>
                <w:szCs w:val="18"/>
              </w:rPr>
              <w:t>through whole practice</w:t>
            </w:r>
            <w:r w:rsidRPr="001A4BA5">
              <w:rPr>
                <w:rFonts w:eastAsia="Times New Roman"/>
                <w:sz w:val="18"/>
                <w:szCs w:val="18"/>
              </w:rPr>
              <w:t>, e.g. only one GP engaged and not others</w:t>
            </w:r>
            <w:r>
              <w:rPr>
                <w:rFonts w:eastAsia="Times New Roman"/>
                <w:sz w:val="18"/>
                <w:szCs w:val="18"/>
              </w:rPr>
              <w:t>.</w:t>
            </w:r>
          </w:p>
          <w:p w14:paraId="601EAF45" w14:textId="77777777" w:rsidR="001C19F3" w:rsidRPr="001A4BA5" w:rsidRDefault="001C19F3" w:rsidP="001C19F3">
            <w:pPr>
              <w:numPr>
                <w:ilvl w:val="0"/>
                <w:numId w:val="19"/>
              </w:numPr>
              <w:spacing w:after="120"/>
              <w:ind w:left="357" w:hanging="357"/>
              <w:contextualSpacing/>
              <w:rPr>
                <w:rFonts w:eastAsia="Times New Roman"/>
                <w:sz w:val="18"/>
                <w:szCs w:val="18"/>
              </w:rPr>
            </w:pPr>
            <w:r w:rsidRPr="001A4BA5">
              <w:rPr>
                <w:rFonts w:eastAsia="Times New Roman"/>
                <w:sz w:val="18"/>
                <w:szCs w:val="18"/>
              </w:rPr>
              <w:t>Facilitato</w:t>
            </w:r>
            <w:r>
              <w:rPr>
                <w:rFonts w:eastAsia="Times New Roman"/>
                <w:sz w:val="18"/>
                <w:szCs w:val="18"/>
              </w:rPr>
              <w:t>r</w:t>
            </w:r>
            <w:r w:rsidRPr="001A4BA5">
              <w:rPr>
                <w:rFonts w:eastAsia="Times New Roman"/>
                <w:sz w:val="18"/>
                <w:szCs w:val="18"/>
              </w:rPr>
              <w:t xml:space="preserve"> lack of access to key personnel within the practice</w:t>
            </w:r>
          </w:p>
          <w:p w14:paraId="1436CCE6" w14:textId="77777777" w:rsidR="001C19F3" w:rsidRPr="001A4BA5" w:rsidRDefault="001C19F3" w:rsidP="001C19F3">
            <w:pPr>
              <w:numPr>
                <w:ilvl w:val="0"/>
                <w:numId w:val="19"/>
              </w:numPr>
              <w:spacing w:after="120"/>
              <w:ind w:left="360"/>
              <w:contextualSpacing/>
              <w:rPr>
                <w:rFonts w:eastAsia="Times New Roman"/>
                <w:sz w:val="18"/>
                <w:szCs w:val="18"/>
              </w:rPr>
            </w:pPr>
            <w:r w:rsidRPr="001A4BA5">
              <w:rPr>
                <w:rFonts w:eastAsia="Times New Roman"/>
                <w:sz w:val="18"/>
                <w:szCs w:val="18"/>
              </w:rPr>
              <w:t>Lack of a process for disseminating information within the practice</w:t>
            </w:r>
            <w:r>
              <w:rPr>
                <w:rFonts w:eastAsia="Times New Roman"/>
                <w:sz w:val="18"/>
                <w:szCs w:val="18"/>
              </w:rPr>
              <w:t>.</w:t>
            </w:r>
          </w:p>
        </w:tc>
      </w:tr>
      <w:tr w:rsidR="001C19F3" w:rsidRPr="00A76BD3" w14:paraId="6849E776" w14:textId="77777777" w:rsidTr="00521305">
        <w:tc>
          <w:tcPr>
            <w:tcW w:w="5000" w:type="pct"/>
            <w:gridSpan w:val="3"/>
          </w:tcPr>
          <w:p w14:paraId="069048EA" w14:textId="77777777" w:rsidR="001C19F3" w:rsidRPr="00A76BD3" w:rsidRDefault="001C19F3" w:rsidP="00521305">
            <w:pPr>
              <w:spacing w:after="120"/>
              <w:contextualSpacing/>
              <w:rPr>
                <w:sz w:val="18"/>
                <w:szCs w:val="18"/>
              </w:rPr>
            </w:pPr>
            <w:r w:rsidRPr="00CF5AB3">
              <w:rPr>
                <w:b/>
                <w:sz w:val="18"/>
                <w:szCs w:val="18"/>
              </w:rPr>
              <w:t>Other</w:t>
            </w:r>
          </w:p>
        </w:tc>
      </w:tr>
      <w:tr w:rsidR="001C19F3" w:rsidRPr="00A76BD3" w14:paraId="5642202C" w14:textId="77777777" w:rsidTr="00521305">
        <w:tc>
          <w:tcPr>
            <w:tcW w:w="312" w:type="pct"/>
          </w:tcPr>
          <w:p w14:paraId="76418B61" w14:textId="77777777" w:rsidR="001C19F3" w:rsidRPr="00A76BD3" w:rsidRDefault="001C19F3" w:rsidP="00521305">
            <w:pPr>
              <w:spacing w:after="120"/>
              <w:rPr>
                <w:sz w:val="18"/>
                <w:szCs w:val="18"/>
              </w:rPr>
            </w:pPr>
          </w:p>
        </w:tc>
        <w:tc>
          <w:tcPr>
            <w:tcW w:w="2344" w:type="pct"/>
          </w:tcPr>
          <w:p w14:paraId="4B8D0F8F" w14:textId="77777777" w:rsidR="001C19F3" w:rsidRDefault="001C19F3" w:rsidP="001C19F3">
            <w:pPr>
              <w:numPr>
                <w:ilvl w:val="0"/>
                <w:numId w:val="20"/>
              </w:numPr>
              <w:spacing w:after="120"/>
              <w:ind w:left="360"/>
              <w:contextualSpacing/>
              <w:rPr>
                <w:rFonts w:eastAsia="Times New Roman"/>
                <w:sz w:val="18"/>
                <w:szCs w:val="18"/>
              </w:rPr>
            </w:pPr>
            <w:r>
              <w:rPr>
                <w:rFonts w:eastAsia="Times New Roman"/>
                <w:sz w:val="18"/>
                <w:szCs w:val="18"/>
              </w:rPr>
              <w:t>T</w:t>
            </w:r>
            <w:r w:rsidRPr="00AA5F01">
              <w:rPr>
                <w:rFonts w:eastAsia="Times New Roman"/>
                <w:sz w:val="18"/>
                <w:szCs w:val="18"/>
              </w:rPr>
              <w:t xml:space="preserve">ailoring facilitation to practices' level of readiness. </w:t>
            </w:r>
          </w:p>
          <w:p w14:paraId="7D9ABC95" w14:textId="77777777" w:rsidR="001C19F3" w:rsidRPr="001A4BA5" w:rsidRDefault="001C19F3" w:rsidP="001C19F3">
            <w:pPr>
              <w:numPr>
                <w:ilvl w:val="0"/>
                <w:numId w:val="20"/>
              </w:numPr>
              <w:spacing w:after="120"/>
              <w:ind w:left="360"/>
              <w:contextualSpacing/>
              <w:rPr>
                <w:rFonts w:eastAsia="Times New Roman"/>
                <w:sz w:val="18"/>
                <w:szCs w:val="18"/>
              </w:rPr>
            </w:pPr>
            <w:r w:rsidRPr="00A76BD3">
              <w:rPr>
                <w:rFonts w:eastAsia="Times New Roman"/>
                <w:sz w:val="18"/>
                <w:szCs w:val="18"/>
              </w:rPr>
              <w:t>Confidence in the financial model</w:t>
            </w:r>
            <w:r>
              <w:rPr>
                <w:rFonts w:eastAsia="Times New Roman"/>
                <w:sz w:val="18"/>
                <w:szCs w:val="18"/>
              </w:rPr>
              <w:t>.</w:t>
            </w:r>
          </w:p>
        </w:tc>
        <w:tc>
          <w:tcPr>
            <w:tcW w:w="2344" w:type="pct"/>
          </w:tcPr>
          <w:p w14:paraId="3441A5F4" w14:textId="77777777" w:rsidR="001C19F3" w:rsidRDefault="001C19F3" w:rsidP="001C19F3">
            <w:pPr>
              <w:numPr>
                <w:ilvl w:val="0"/>
                <w:numId w:val="20"/>
              </w:numPr>
              <w:spacing w:after="120"/>
              <w:ind w:left="360"/>
              <w:contextualSpacing/>
              <w:rPr>
                <w:rFonts w:eastAsia="Times New Roman"/>
                <w:sz w:val="18"/>
                <w:szCs w:val="18"/>
              </w:rPr>
            </w:pPr>
            <w:r w:rsidRPr="001A4BA5">
              <w:rPr>
                <w:rFonts w:eastAsia="Times New Roman"/>
                <w:sz w:val="18"/>
                <w:szCs w:val="18"/>
              </w:rPr>
              <w:t>Competing priorities within the practice (HCH competing with business as usual and other programs/ initiatives)</w:t>
            </w:r>
            <w:r>
              <w:rPr>
                <w:rFonts w:eastAsia="Times New Roman"/>
                <w:sz w:val="18"/>
                <w:szCs w:val="18"/>
              </w:rPr>
              <w:t>.</w:t>
            </w:r>
          </w:p>
          <w:p w14:paraId="55884500" w14:textId="77777777" w:rsidR="001C19F3" w:rsidRPr="001A4BA5" w:rsidRDefault="001C19F3" w:rsidP="001C19F3">
            <w:pPr>
              <w:numPr>
                <w:ilvl w:val="0"/>
                <w:numId w:val="20"/>
              </w:numPr>
              <w:spacing w:after="120"/>
              <w:ind w:left="360"/>
              <w:contextualSpacing/>
              <w:rPr>
                <w:rFonts w:eastAsia="Times New Roman"/>
                <w:sz w:val="18"/>
                <w:szCs w:val="18"/>
              </w:rPr>
            </w:pPr>
            <w:r w:rsidRPr="001A4BA5">
              <w:rPr>
                <w:rFonts w:eastAsia="Times New Roman"/>
                <w:sz w:val="18"/>
                <w:szCs w:val="18"/>
              </w:rPr>
              <w:t>The HCH program representing too many changes at the same time</w:t>
            </w:r>
          </w:p>
          <w:p w14:paraId="67CBF627" w14:textId="77777777" w:rsidR="001C19F3" w:rsidRPr="001A4BA5" w:rsidRDefault="001C19F3" w:rsidP="001C19F3">
            <w:pPr>
              <w:numPr>
                <w:ilvl w:val="0"/>
                <w:numId w:val="20"/>
              </w:numPr>
              <w:spacing w:after="120"/>
              <w:ind w:left="360"/>
              <w:contextualSpacing/>
              <w:rPr>
                <w:rFonts w:eastAsia="Times New Roman"/>
                <w:sz w:val="18"/>
                <w:szCs w:val="18"/>
              </w:rPr>
            </w:pPr>
            <w:r w:rsidRPr="001A4BA5">
              <w:rPr>
                <w:rFonts w:eastAsia="Times New Roman"/>
                <w:sz w:val="18"/>
                <w:szCs w:val="18"/>
              </w:rPr>
              <w:t>Lack of protected time within the practice</w:t>
            </w:r>
            <w:r>
              <w:rPr>
                <w:rFonts w:eastAsia="Times New Roman"/>
                <w:sz w:val="18"/>
                <w:szCs w:val="18"/>
              </w:rPr>
              <w:t>.</w:t>
            </w:r>
          </w:p>
          <w:p w14:paraId="16AF1840" w14:textId="77777777" w:rsidR="001C19F3" w:rsidRPr="001A4BA5" w:rsidRDefault="001C19F3" w:rsidP="001C19F3">
            <w:pPr>
              <w:numPr>
                <w:ilvl w:val="0"/>
                <w:numId w:val="20"/>
              </w:numPr>
              <w:spacing w:after="120"/>
              <w:ind w:left="357" w:hanging="357"/>
              <w:rPr>
                <w:rFonts w:eastAsia="Times New Roman"/>
                <w:sz w:val="18"/>
                <w:szCs w:val="18"/>
              </w:rPr>
            </w:pPr>
            <w:r w:rsidRPr="001A4BA5">
              <w:rPr>
                <w:rFonts w:eastAsia="Times New Roman"/>
                <w:sz w:val="18"/>
                <w:szCs w:val="18"/>
              </w:rPr>
              <w:t>Negative media coverage of HCH.</w:t>
            </w:r>
          </w:p>
        </w:tc>
      </w:tr>
    </w:tbl>
    <w:p w14:paraId="41D9186B" w14:textId="77777777" w:rsidR="001C19F3" w:rsidRPr="001B56A0" w:rsidRDefault="001C19F3" w:rsidP="001C19F3">
      <w:pPr>
        <w:spacing w:before="200"/>
        <w:rPr>
          <w:rFonts w:eastAsia="Times New Roman"/>
        </w:rPr>
      </w:pPr>
      <w:r w:rsidRPr="001B56A0">
        <w:rPr>
          <w:rFonts w:eastAsia="Times New Roman"/>
        </w:rPr>
        <w:t xml:space="preserve">In the PHN survey, practice facilitators were also asked what changes they would make to their </w:t>
      </w:r>
      <w:r w:rsidRPr="001B56A0">
        <w:rPr>
          <w:rFonts w:eastAsia="Times New Roman"/>
          <w:bCs/>
        </w:rPr>
        <w:t>strategies to support implementation</w:t>
      </w:r>
      <w:r w:rsidRPr="001B56A0">
        <w:rPr>
          <w:rFonts w:eastAsia="Times New Roman"/>
        </w:rPr>
        <w:t xml:space="preserve"> if the HCH program was extended. While some thought that the PHN’s current approach was effective, the most common changes that they identified were:</w:t>
      </w:r>
    </w:p>
    <w:p w14:paraId="408A91F2" w14:textId="77777777" w:rsidR="001C19F3" w:rsidRDefault="001C19F3" w:rsidP="001C19F3">
      <w:pPr>
        <w:pStyle w:val="ListParagraph"/>
        <w:numPr>
          <w:ilvl w:val="0"/>
          <w:numId w:val="21"/>
        </w:numPr>
        <w:ind w:left="993" w:hanging="284"/>
        <w:contextualSpacing w:val="0"/>
        <w:rPr>
          <w:rFonts w:eastAsia="Times New Roman"/>
        </w:rPr>
      </w:pPr>
      <w:r w:rsidRPr="001B56A0">
        <w:rPr>
          <w:rFonts w:eastAsia="Times New Roman"/>
        </w:rPr>
        <w:t>Better planning – More</w:t>
      </w:r>
      <w:r w:rsidRPr="00617D06">
        <w:rPr>
          <w:rFonts w:eastAsia="Times New Roman"/>
        </w:rPr>
        <w:t xml:space="preserve"> in-depth focus on change methodology and planning</w:t>
      </w:r>
      <w:r>
        <w:rPr>
          <w:rFonts w:eastAsia="Times New Roman"/>
        </w:rPr>
        <w:t>,</w:t>
      </w:r>
      <w:r w:rsidRPr="00617D06">
        <w:rPr>
          <w:rFonts w:eastAsia="Times New Roman"/>
        </w:rPr>
        <w:t xml:space="preserve"> including an understanding of practices’ populations; </w:t>
      </w:r>
      <w:r>
        <w:rPr>
          <w:rFonts w:eastAsia="Times New Roman"/>
        </w:rPr>
        <w:t>p</w:t>
      </w:r>
      <w:r w:rsidRPr="00617D06">
        <w:rPr>
          <w:rFonts w:eastAsia="Times New Roman"/>
        </w:rPr>
        <w:t xml:space="preserve">roject management and practice scoping (i.e. identifying a practice’s needs early); </w:t>
      </w:r>
      <w:r>
        <w:rPr>
          <w:rFonts w:eastAsia="Times New Roman"/>
        </w:rPr>
        <w:t>s</w:t>
      </w:r>
      <w:r w:rsidRPr="00617D06">
        <w:rPr>
          <w:rFonts w:eastAsia="Times New Roman"/>
        </w:rPr>
        <w:t>etting goals and obligations for practices prior to implementation;</w:t>
      </w:r>
      <w:r>
        <w:rPr>
          <w:rFonts w:eastAsia="Times New Roman"/>
        </w:rPr>
        <w:t xml:space="preserve"> and</w:t>
      </w:r>
      <w:r w:rsidRPr="00617D06">
        <w:rPr>
          <w:rFonts w:eastAsia="Times New Roman"/>
        </w:rPr>
        <w:t xml:space="preserve"> </w:t>
      </w:r>
      <w:r>
        <w:rPr>
          <w:rFonts w:eastAsia="Times New Roman"/>
        </w:rPr>
        <w:t>s</w:t>
      </w:r>
      <w:r w:rsidRPr="00617D06">
        <w:rPr>
          <w:rFonts w:eastAsia="Times New Roman"/>
        </w:rPr>
        <w:t>tructured, planned and regular practice interactions mapped out prior to go live.</w:t>
      </w:r>
    </w:p>
    <w:p w14:paraId="1F0DB8EC" w14:textId="77777777" w:rsidR="001C19F3" w:rsidRPr="001B56A0" w:rsidRDefault="001C19F3" w:rsidP="001C19F3">
      <w:pPr>
        <w:pStyle w:val="ListParagraph"/>
        <w:numPr>
          <w:ilvl w:val="0"/>
          <w:numId w:val="21"/>
        </w:numPr>
        <w:ind w:left="993" w:hanging="284"/>
        <w:contextualSpacing w:val="0"/>
        <w:rPr>
          <w:rFonts w:eastAsia="Times New Roman"/>
        </w:rPr>
      </w:pPr>
      <w:r w:rsidRPr="001B56A0">
        <w:rPr>
          <w:rFonts w:eastAsia="Times New Roman"/>
        </w:rPr>
        <w:lastRenderedPageBreak/>
        <w:t>Time – dedicated time to establish and set-up the program and to allow the HCH team to be trained before enrolling patients.</w:t>
      </w:r>
    </w:p>
    <w:p w14:paraId="6C7BFE90" w14:textId="77777777" w:rsidR="001C19F3" w:rsidRPr="001B56A0" w:rsidRDefault="001C19F3" w:rsidP="001C19F3">
      <w:pPr>
        <w:pStyle w:val="ListParagraph"/>
        <w:numPr>
          <w:ilvl w:val="0"/>
          <w:numId w:val="21"/>
        </w:numPr>
        <w:ind w:left="993" w:hanging="284"/>
        <w:rPr>
          <w:rFonts w:eastAsia="Times New Roman"/>
        </w:rPr>
      </w:pPr>
      <w:r w:rsidRPr="001B56A0">
        <w:rPr>
          <w:rFonts w:eastAsia="Times New Roman"/>
        </w:rPr>
        <w:t>Additional resources – for example, to enable face-to-face training for geographically dispersed practices and to fund locum cover to enable staff to receive training.</w:t>
      </w:r>
    </w:p>
    <w:p w14:paraId="6BE1C96E" w14:textId="77777777" w:rsidR="001C19F3" w:rsidRPr="001D564A" w:rsidRDefault="001C19F3" w:rsidP="001C19F3">
      <w:pPr>
        <w:rPr>
          <w:rFonts w:eastAsia="Times New Roman"/>
        </w:rPr>
      </w:pPr>
      <w:r w:rsidRPr="001B56A0">
        <w:rPr>
          <w:rFonts w:eastAsia="Times New Roman"/>
        </w:rPr>
        <w:t xml:space="preserve">Facilitators also suggested changes to the program or </w:t>
      </w:r>
      <w:r w:rsidRPr="001B56A0">
        <w:rPr>
          <w:rFonts w:eastAsia="Times New Roman"/>
          <w:bCs/>
        </w:rPr>
        <w:t>system-wide changes</w:t>
      </w:r>
      <w:r w:rsidRPr="001B56A0">
        <w:rPr>
          <w:rFonts w:eastAsia="Times New Roman"/>
        </w:rPr>
        <w:t>, including</w:t>
      </w:r>
      <w:r w:rsidRPr="001D564A">
        <w:rPr>
          <w:rFonts w:eastAsia="Times New Roman"/>
        </w:rPr>
        <w:t>:</w:t>
      </w:r>
    </w:p>
    <w:p w14:paraId="4FF96930" w14:textId="77777777" w:rsidR="001C19F3" w:rsidRPr="001D564A" w:rsidRDefault="001C19F3" w:rsidP="001C19F3">
      <w:pPr>
        <w:numPr>
          <w:ilvl w:val="0"/>
          <w:numId w:val="22"/>
        </w:numPr>
        <w:contextualSpacing/>
        <w:rPr>
          <w:rFonts w:eastAsia="Times New Roman"/>
        </w:rPr>
      </w:pPr>
      <w:r w:rsidRPr="001D564A">
        <w:rPr>
          <w:rFonts w:eastAsia="Times New Roman"/>
        </w:rPr>
        <w:t>opportunities for practices to work collaboratively across the primary health care sector to develop and test models of care</w:t>
      </w:r>
    </w:p>
    <w:p w14:paraId="2E452364" w14:textId="77777777" w:rsidR="001C19F3" w:rsidRPr="001D564A" w:rsidRDefault="001C19F3" w:rsidP="001C19F3">
      <w:pPr>
        <w:numPr>
          <w:ilvl w:val="0"/>
          <w:numId w:val="22"/>
        </w:numPr>
        <w:contextualSpacing/>
        <w:rPr>
          <w:rFonts w:eastAsia="Times New Roman"/>
        </w:rPr>
      </w:pPr>
      <w:r w:rsidRPr="001D564A">
        <w:rPr>
          <w:rFonts w:eastAsia="Times New Roman"/>
        </w:rPr>
        <w:t>inclusion of a consumer champions in the transformation process</w:t>
      </w:r>
    </w:p>
    <w:p w14:paraId="2D6B7BB6" w14:textId="77777777" w:rsidR="001C19F3" w:rsidRPr="001D564A" w:rsidRDefault="001C19F3" w:rsidP="001C19F3">
      <w:pPr>
        <w:numPr>
          <w:ilvl w:val="0"/>
          <w:numId w:val="22"/>
        </w:numPr>
        <w:contextualSpacing/>
        <w:rPr>
          <w:rFonts w:eastAsia="Times New Roman"/>
        </w:rPr>
      </w:pPr>
      <w:r w:rsidRPr="001D564A">
        <w:rPr>
          <w:rFonts w:eastAsia="Times New Roman"/>
        </w:rPr>
        <w:t>a focus on the building blocks rather than on patient enrolments</w:t>
      </w:r>
    </w:p>
    <w:p w14:paraId="0F75BA6E" w14:textId="77777777" w:rsidR="001C19F3" w:rsidRPr="001D564A" w:rsidRDefault="001C19F3" w:rsidP="001C19F3">
      <w:pPr>
        <w:numPr>
          <w:ilvl w:val="0"/>
          <w:numId w:val="22"/>
        </w:numPr>
        <w:contextualSpacing/>
        <w:rPr>
          <w:rFonts w:eastAsia="Times New Roman"/>
        </w:rPr>
      </w:pPr>
      <w:r w:rsidRPr="001D564A">
        <w:rPr>
          <w:rFonts w:eastAsia="Times New Roman"/>
        </w:rPr>
        <w:t>agreements detailing the commitment required from practices</w:t>
      </w:r>
    </w:p>
    <w:p w14:paraId="327DC21D" w14:textId="77777777" w:rsidR="001C19F3" w:rsidRPr="001D564A" w:rsidRDefault="001C19F3" w:rsidP="001C19F3">
      <w:pPr>
        <w:numPr>
          <w:ilvl w:val="0"/>
          <w:numId w:val="22"/>
        </w:numPr>
        <w:contextualSpacing/>
        <w:rPr>
          <w:rFonts w:eastAsia="Times New Roman"/>
        </w:rPr>
      </w:pPr>
      <w:r w:rsidRPr="001D564A">
        <w:rPr>
          <w:rFonts w:eastAsia="Times New Roman"/>
        </w:rPr>
        <w:t>assessing for engaged leadership prior to selection for involvement</w:t>
      </w:r>
    </w:p>
    <w:p w14:paraId="1D8C9633" w14:textId="77777777" w:rsidR="001C19F3" w:rsidRPr="001D564A" w:rsidRDefault="001C19F3" w:rsidP="001C19F3">
      <w:pPr>
        <w:numPr>
          <w:ilvl w:val="0"/>
          <w:numId w:val="22"/>
        </w:numPr>
        <w:contextualSpacing/>
        <w:rPr>
          <w:rFonts w:eastAsia="Times New Roman"/>
        </w:rPr>
      </w:pPr>
      <w:r w:rsidRPr="001D564A">
        <w:rPr>
          <w:rFonts w:eastAsia="Times New Roman"/>
        </w:rPr>
        <w:t>nomination by the PHN of potential HCH sites</w:t>
      </w:r>
    </w:p>
    <w:p w14:paraId="356AD6D4" w14:textId="77777777" w:rsidR="001C19F3" w:rsidRPr="001D564A" w:rsidRDefault="001C19F3" w:rsidP="001C19F3">
      <w:pPr>
        <w:numPr>
          <w:ilvl w:val="0"/>
          <w:numId w:val="22"/>
        </w:numPr>
        <w:contextualSpacing/>
        <w:rPr>
          <w:rFonts w:eastAsia="Times New Roman"/>
        </w:rPr>
      </w:pPr>
      <w:r w:rsidRPr="001D564A">
        <w:rPr>
          <w:rFonts w:eastAsia="Times New Roman"/>
        </w:rPr>
        <w:t>a revised funding model through collaboration between PHNs and practices</w:t>
      </w:r>
    </w:p>
    <w:p w14:paraId="5EC0549C" w14:textId="77777777" w:rsidR="001C19F3" w:rsidRPr="001D564A" w:rsidRDefault="001C19F3" w:rsidP="001C19F3">
      <w:pPr>
        <w:numPr>
          <w:ilvl w:val="0"/>
          <w:numId w:val="22"/>
        </w:numPr>
        <w:contextualSpacing/>
        <w:rPr>
          <w:rFonts w:eastAsia="Times New Roman"/>
        </w:rPr>
      </w:pPr>
      <w:r w:rsidRPr="001D564A">
        <w:rPr>
          <w:rFonts w:eastAsia="Times New Roman"/>
        </w:rPr>
        <w:t>nurse-led training for nurses</w:t>
      </w:r>
    </w:p>
    <w:p w14:paraId="137ADD76" w14:textId="77777777" w:rsidR="001C19F3" w:rsidRPr="001D564A" w:rsidRDefault="001C19F3" w:rsidP="001C19F3">
      <w:pPr>
        <w:numPr>
          <w:ilvl w:val="0"/>
          <w:numId w:val="22"/>
        </w:numPr>
        <w:contextualSpacing/>
        <w:rPr>
          <w:rFonts w:eastAsia="Times New Roman"/>
        </w:rPr>
      </w:pPr>
      <w:r w:rsidRPr="001D564A">
        <w:rPr>
          <w:rFonts w:eastAsia="Times New Roman"/>
        </w:rPr>
        <w:t>sustainability processes focused on business and information systems to support the change</w:t>
      </w:r>
    </w:p>
    <w:p w14:paraId="6B8EA3D9" w14:textId="77777777" w:rsidR="001C19F3" w:rsidRPr="001D564A" w:rsidRDefault="001C19F3" w:rsidP="001C19F3">
      <w:pPr>
        <w:numPr>
          <w:ilvl w:val="0"/>
          <w:numId w:val="22"/>
        </w:numPr>
        <w:contextualSpacing/>
        <w:rPr>
          <w:rFonts w:eastAsia="Times New Roman"/>
        </w:rPr>
      </w:pPr>
      <w:r w:rsidRPr="001D564A">
        <w:rPr>
          <w:rFonts w:eastAsia="Times New Roman"/>
        </w:rPr>
        <w:t>a more systematic approach to GP and patient participation</w:t>
      </w:r>
    </w:p>
    <w:p w14:paraId="5A30AD92" w14:textId="77777777" w:rsidR="001C19F3" w:rsidRPr="00852915" w:rsidRDefault="001C19F3" w:rsidP="001C19F3">
      <w:pPr>
        <w:numPr>
          <w:ilvl w:val="0"/>
          <w:numId w:val="22"/>
        </w:numPr>
        <w:ind w:left="714" w:hanging="357"/>
        <w:rPr>
          <w:rFonts w:eastAsia="Times New Roman"/>
        </w:rPr>
      </w:pPr>
      <w:r w:rsidRPr="001D564A">
        <w:rPr>
          <w:rFonts w:eastAsia="Times New Roman"/>
        </w:rPr>
        <w:t>thorough and consistent information on the requirements of the implementation.</w:t>
      </w:r>
    </w:p>
    <w:p w14:paraId="187FB00E" w14:textId="77777777" w:rsidR="001C19F3" w:rsidRDefault="001C19F3" w:rsidP="001C19F3">
      <w:pPr>
        <w:pStyle w:val="Heading2"/>
      </w:pPr>
      <w:bookmarkStart w:id="219" w:name="_Toc27056565"/>
      <w:r>
        <w:t xml:space="preserve">Training </w:t>
      </w:r>
      <w:r w:rsidRPr="00305D31">
        <w:t>for practices</w:t>
      </w:r>
      <w:bookmarkEnd w:id="219"/>
    </w:p>
    <w:p w14:paraId="7591BFC8" w14:textId="77777777" w:rsidR="001C19F3" w:rsidRPr="001D564A" w:rsidRDefault="001C19F3" w:rsidP="001C19F3">
      <w:pPr>
        <w:pStyle w:val="Heading3"/>
      </w:pPr>
      <w:r w:rsidRPr="001D564A">
        <w:t>PHN training initiatives</w:t>
      </w:r>
    </w:p>
    <w:p w14:paraId="73774C6C" w14:textId="77777777" w:rsidR="001C19F3" w:rsidRPr="001D564A" w:rsidRDefault="001C19F3" w:rsidP="001C19F3">
      <w:pPr>
        <w:rPr>
          <w:rFonts w:eastAsia="Times New Roman"/>
        </w:rPr>
      </w:pPr>
      <w:r w:rsidRPr="001D564A">
        <w:rPr>
          <w:rFonts w:eastAsia="Times New Roman"/>
        </w:rPr>
        <w:t>PHNs implemented a variety of training initiatives for practices:</w:t>
      </w:r>
    </w:p>
    <w:p w14:paraId="42BBB34F" w14:textId="77777777" w:rsidR="001C19F3" w:rsidRDefault="001C19F3" w:rsidP="001C19F3">
      <w:pPr>
        <w:numPr>
          <w:ilvl w:val="0"/>
          <w:numId w:val="16"/>
        </w:numPr>
        <w:contextualSpacing/>
        <w:rPr>
          <w:rFonts w:eastAsia="Times New Roman"/>
        </w:rPr>
      </w:pPr>
      <w:r w:rsidRPr="001D564A">
        <w:rPr>
          <w:rFonts w:eastAsia="Times New Roman"/>
        </w:rPr>
        <w:t>Workshops supplementing the HCH training online modules and on other topics of interest to the practices such as patient self-management and optimisation around the use of the bundled payment. A few brought in external guest speakers, for example, GPs from practices in other regions with experience of implementing HCH-like models</w:t>
      </w:r>
      <w:r>
        <w:rPr>
          <w:rFonts w:eastAsia="Times New Roman"/>
        </w:rPr>
        <w:t xml:space="preserve"> from both a clinical and financial perspective</w:t>
      </w:r>
      <w:r w:rsidRPr="008D5702">
        <w:rPr>
          <w:rFonts w:eastAsia="Times New Roman"/>
        </w:rPr>
        <w:t>.</w:t>
      </w:r>
    </w:p>
    <w:p w14:paraId="35DAC314" w14:textId="77777777" w:rsidR="001C19F3" w:rsidRPr="00BA3BFB" w:rsidRDefault="001C19F3" w:rsidP="001C19F3">
      <w:pPr>
        <w:numPr>
          <w:ilvl w:val="0"/>
          <w:numId w:val="16"/>
        </w:numPr>
        <w:contextualSpacing/>
        <w:rPr>
          <w:rFonts w:eastAsia="Times New Roman"/>
        </w:rPr>
      </w:pPr>
      <w:r>
        <w:rPr>
          <w:rFonts w:eastAsia="Times New Roman"/>
        </w:rPr>
        <w:t xml:space="preserve">Training specifically around the funding model and implementing the bundled </w:t>
      </w:r>
      <w:r w:rsidRPr="00BA3BFB">
        <w:rPr>
          <w:rFonts w:eastAsia="Times New Roman"/>
        </w:rPr>
        <w:t>payment structure.</w:t>
      </w:r>
    </w:p>
    <w:p w14:paraId="247AA6E4" w14:textId="77777777" w:rsidR="001C19F3" w:rsidRPr="00BA3BFB" w:rsidRDefault="001C19F3" w:rsidP="001C19F3">
      <w:pPr>
        <w:numPr>
          <w:ilvl w:val="0"/>
          <w:numId w:val="16"/>
        </w:numPr>
        <w:contextualSpacing/>
        <w:rPr>
          <w:rFonts w:eastAsia="Times New Roman"/>
        </w:rPr>
      </w:pPr>
      <w:r w:rsidRPr="00BA3BFB">
        <w:rPr>
          <w:rFonts w:eastAsia="Times New Roman"/>
        </w:rPr>
        <w:t xml:space="preserve">A comprehensive education curriculum to teach practices the building blocks of the patient centred medical home. </w:t>
      </w:r>
    </w:p>
    <w:p w14:paraId="10613D64" w14:textId="77777777" w:rsidR="001C19F3" w:rsidRPr="00BA3BFB" w:rsidRDefault="001C19F3" w:rsidP="001C19F3">
      <w:pPr>
        <w:numPr>
          <w:ilvl w:val="0"/>
          <w:numId w:val="16"/>
        </w:numPr>
        <w:contextualSpacing/>
        <w:rPr>
          <w:rFonts w:eastAsia="Times New Roman"/>
        </w:rPr>
      </w:pPr>
      <w:r w:rsidRPr="00BA3BFB">
        <w:rPr>
          <w:rFonts w:eastAsia="Times New Roman"/>
        </w:rPr>
        <w:t>Training around enrolling patients. This includes hosting patient forums, assisted registration support, clinical training around use of the HARP tool, and helping practices tailor their own individual message around the benefits of HCH to their patients.</w:t>
      </w:r>
    </w:p>
    <w:p w14:paraId="7D7CE085" w14:textId="77777777" w:rsidR="001C19F3" w:rsidRPr="00BA3BFB" w:rsidRDefault="001C19F3" w:rsidP="001C19F3">
      <w:pPr>
        <w:numPr>
          <w:ilvl w:val="0"/>
          <w:numId w:val="16"/>
        </w:numPr>
        <w:contextualSpacing/>
        <w:rPr>
          <w:rFonts w:eastAsia="Times New Roman"/>
        </w:rPr>
      </w:pPr>
      <w:r w:rsidRPr="00BA3BFB">
        <w:rPr>
          <w:rFonts w:eastAsia="Times New Roman"/>
        </w:rPr>
        <w:t>IT training.</w:t>
      </w:r>
    </w:p>
    <w:p w14:paraId="3ABE3B30" w14:textId="77777777" w:rsidR="001C19F3" w:rsidRPr="00BA3BFB" w:rsidRDefault="001C19F3" w:rsidP="001C19F3">
      <w:pPr>
        <w:numPr>
          <w:ilvl w:val="0"/>
          <w:numId w:val="16"/>
        </w:numPr>
        <w:contextualSpacing/>
        <w:rPr>
          <w:rFonts w:eastAsia="Times New Roman"/>
        </w:rPr>
      </w:pPr>
      <w:r w:rsidRPr="00BA3BFB">
        <w:rPr>
          <w:rFonts w:eastAsia="Times New Roman"/>
        </w:rPr>
        <w:t>Community of practice workshops and online fora for practices to communicate.</w:t>
      </w:r>
    </w:p>
    <w:p w14:paraId="2EF1776E" w14:textId="77777777" w:rsidR="001C19F3" w:rsidRPr="00BA3BFB" w:rsidRDefault="001C19F3" w:rsidP="001C19F3">
      <w:pPr>
        <w:numPr>
          <w:ilvl w:val="0"/>
          <w:numId w:val="16"/>
        </w:numPr>
        <w:contextualSpacing/>
        <w:rPr>
          <w:rFonts w:eastAsia="Times New Roman"/>
        </w:rPr>
      </w:pPr>
      <w:r w:rsidRPr="00BA3BFB">
        <w:rPr>
          <w:rFonts w:eastAsia="Times New Roman"/>
        </w:rPr>
        <w:t>Webinars/ teleconferences on specific topics, such as shared care planning and group appointments.</w:t>
      </w:r>
    </w:p>
    <w:p w14:paraId="007F8C62" w14:textId="77777777" w:rsidR="001C19F3" w:rsidRDefault="001C19F3" w:rsidP="001C19F3">
      <w:pPr>
        <w:numPr>
          <w:ilvl w:val="0"/>
          <w:numId w:val="16"/>
        </w:numPr>
        <w:ind w:left="714" w:hanging="357"/>
        <w:rPr>
          <w:rFonts w:eastAsia="Times New Roman"/>
        </w:rPr>
      </w:pPr>
      <w:r w:rsidRPr="001D564A">
        <w:rPr>
          <w:rFonts w:eastAsia="Times New Roman"/>
        </w:rPr>
        <w:t>Funding key people in practices to attend other relevant conferences/ training, for example, the AAPM conference.</w:t>
      </w:r>
    </w:p>
    <w:p w14:paraId="383941C7" w14:textId="77777777" w:rsidR="001C19F3" w:rsidRPr="00FB143C" w:rsidRDefault="001C19F3" w:rsidP="001C19F3">
      <w:pPr>
        <w:rPr>
          <w:rFonts w:eastAsia="Times New Roman"/>
          <w:iCs/>
          <w:szCs w:val="20"/>
        </w:rPr>
      </w:pPr>
      <w:r w:rsidRPr="00FB143C">
        <w:rPr>
          <w:rFonts w:eastAsia="Times New Roman"/>
          <w:iCs/>
          <w:szCs w:val="20"/>
        </w:rPr>
        <w:lastRenderedPageBreak/>
        <w:t xml:space="preserve">Practices felt that this training was more useful than the online modules because it was often more interactive; they could ask questions, voice ideas, and discuss any implementation barriers that they were facing. </w:t>
      </w:r>
    </w:p>
    <w:p w14:paraId="079D2F49" w14:textId="77777777" w:rsidR="001C19F3" w:rsidRPr="004A66A1" w:rsidRDefault="001C19F3" w:rsidP="001C19F3">
      <w:pPr>
        <w:rPr>
          <w:rFonts w:eastAsia="Times New Roman"/>
          <w:iCs/>
          <w:szCs w:val="20"/>
        </w:rPr>
      </w:pPr>
      <w:r w:rsidRPr="00FB143C">
        <w:rPr>
          <w:rFonts w:eastAsia="Times New Roman"/>
          <w:iCs/>
          <w:szCs w:val="20"/>
        </w:rPr>
        <w:t>Some practices were frustrated with the amount of time they had to devote to attending these types of events. Some staff members were unable to take time out of their day or attend many of the PHN initiatives due to other commitments:</w:t>
      </w:r>
    </w:p>
    <w:p w14:paraId="342BC71B" w14:textId="77777777" w:rsidR="001C19F3" w:rsidRPr="004A66A1" w:rsidRDefault="001C19F3" w:rsidP="001C19F3">
      <w:pPr>
        <w:ind w:left="567" w:right="1088"/>
        <w:rPr>
          <w:rFonts w:eastAsia="Times New Roman"/>
          <w:iCs/>
          <w:szCs w:val="20"/>
        </w:rPr>
      </w:pPr>
      <w:r w:rsidRPr="004A66A1">
        <w:rPr>
          <w:rFonts w:eastAsia="Times New Roman"/>
          <w:i/>
          <w:iCs/>
          <w:szCs w:val="20"/>
        </w:rPr>
        <w:t>“we generate the income here seeing patients, so it’s hard to get time off. We do a lot of stuff with our PHN outside of hours. There’s not much that we actually get to go</w:t>
      </w:r>
      <w:r>
        <w:rPr>
          <w:rFonts w:eastAsia="Times New Roman"/>
          <w:i/>
          <w:iCs/>
          <w:szCs w:val="20"/>
        </w:rPr>
        <w:t xml:space="preserve"> </w:t>
      </w:r>
      <w:r w:rsidRPr="009B75E1">
        <w:rPr>
          <w:rFonts w:eastAsia="Times New Roman"/>
          <w:iCs/>
          <w:szCs w:val="20"/>
        </w:rPr>
        <w:t>[to]</w:t>
      </w:r>
      <w:r w:rsidRPr="004A66A1">
        <w:rPr>
          <w:rFonts w:eastAsia="Times New Roman"/>
          <w:i/>
          <w:iCs/>
          <w:szCs w:val="20"/>
        </w:rPr>
        <w:t xml:space="preserve"> in work hours.” </w:t>
      </w:r>
      <w:r w:rsidRPr="004A66A1">
        <w:rPr>
          <w:rFonts w:eastAsia="Times New Roman"/>
          <w:iCs/>
          <w:szCs w:val="20"/>
        </w:rPr>
        <w:t>[</w:t>
      </w:r>
      <w:r>
        <w:rPr>
          <w:rFonts w:eastAsia="Times New Roman"/>
          <w:iCs/>
          <w:szCs w:val="20"/>
        </w:rPr>
        <w:t>P</w:t>
      </w:r>
      <w:r w:rsidRPr="004A66A1">
        <w:rPr>
          <w:rFonts w:eastAsia="Times New Roman"/>
          <w:iCs/>
          <w:szCs w:val="20"/>
        </w:rPr>
        <w:t>ractice nurse, Practice 5</w:t>
      </w:r>
      <w:r>
        <w:rPr>
          <w:rFonts w:eastAsia="Times New Roman"/>
          <w:iCs/>
          <w:szCs w:val="20"/>
        </w:rPr>
        <w:t>, interview, R2]</w:t>
      </w:r>
    </w:p>
    <w:p w14:paraId="0E822A82" w14:textId="77777777" w:rsidR="001C19F3" w:rsidRDefault="001C19F3" w:rsidP="001C19F3">
      <w:pPr>
        <w:rPr>
          <w:szCs w:val="20"/>
        </w:rPr>
      </w:pPr>
      <w:r>
        <w:rPr>
          <w:szCs w:val="20"/>
        </w:rPr>
        <w:t>P</w:t>
      </w:r>
      <w:r w:rsidRPr="004A66A1">
        <w:rPr>
          <w:szCs w:val="20"/>
        </w:rPr>
        <w:t xml:space="preserve">ractices </w:t>
      </w:r>
      <w:r>
        <w:rPr>
          <w:szCs w:val="20"/>
        </w:rPr>
        <w:t>suggested a few ways that</w:t>
      </w:r>
      <w:r w:rsidRPr="004A66A1">
        <w:rPr>
          <w:szCs w:val="20"/>
        </w:rPr>
        <w:t xml:space="preserve"> that </w:t>
      </w:r>
      <w:r>
        <w:rPr>
          <w:szCs w:val="20"/>
        </w:rPr>
        <w:t xml:space="preserve">their </w:t>
      </w:r>
      <w:r w:rsidRPr="004A66A1">
        <w:rPr>
          <w:szCs w:val="20"/>
        </w:rPr>
        <w:t>PHN could improve the overall training and HCH implementation process</w:t>
      </w:r>
      <w:r>
        <w:rPr>
          <w:szCs w:val="20"/>
        </w:rPr>
        <w:t xml:space="preserve">. These are shown in </w:t>
      </w:r>
      <w:r>
        <w:rPr>
          <w:szCs w:val="20"/>
        </w:rPr>
        <w:fldChar w:fldCharType="begin"/>
      </w:r>
      <w:r>
        <w:rPr>
          <w:szCs w:val="20"/>
        </w:rPr>
        <w:instrText xml:space="preserve"> REF _Ref21025480 \h </w:instrText>
      </w:r>
      <w:r>
        <w:rPr>
          <w:szCs w:val="20"/>
        </w:rPr>
      </w:r>
      <w:r>
        <w:rPr>
          <w:szCs w:val="20"/>
        </w:rPr>
        <w:fldChar w:fldCharType="separate"/>
      </w:r>
      <w:r>
        <w:t xml:space="preserve">Table </w:t>
      </w:r>
      <w:r>
        <w:rPr>
          <w:noProof/>
        </w:rPr>
        <w:t>32</w:t>
      </w:r>
      <w:r>
        <w:rPr>
          <w:szCs w:val="20"/>
        </w:rPr>
        <w:fldChar w:fldCharType="end"/>
      </w:r>
      <w:r>
        <w:rPr>
          <w:szCs w:val="20"/>
        </w:rPr>
        <w:t>.</w:t>
      </w:r>
    </w:p>
    <w:p w14:paraId="32A56C95" w14:textId="77777777" w:rsidR="001C19F3" w:rsidRDefault="001C19F3" w:rsidP="001C19F3">
      <w:pPr>
        <w:pStyle w:val="Caption1"/>
        <w:spacing w:after="0"/>
      </w:pPr>
      <w:bookmarkStart w:id="220" w:name="_Ref21025480"/>
      <w:bookmarkStart w:id="221" w:name="_Hlk22642651"/>
      <w:r>
        <w:t xml:space="preserve">Table </w:t>
      </w:r>
      <w:r>
        <w:fldChar w:fldCharType="begin"/>
      </w:r>
      <w:r>
        <w:instrText>SEQ Table \* ARABIC</w:instrText>
      </w:r>
      <w:r>
        <w:fldChar w:fldCharType="separate"/>
      </w:r>
      <w:r>
        <w:rPr>
          <w:noProof/>
        </w:rPr>
        <w:t>32</w:t>
      </w:r>
      <w:r>
        <w:fldChar w:fldCharType="end"/>
      </w:r>
      <w:bookmarkEnd w:id="220"/>
      <w:r>
        <w:t xml:space="preserve"> – Top ways in which training provided by the PHN could be improved</w:t>
      </w:r>
    </w:p>
    <w:tbl>
      <w:tblPr>
        <w:tblW w:w="5000" w:type="pct"/>
        <w:jc w:val="center"/>
        <w:tblLook w:val="04A0" w:firstRow="1" w:lastRow="0" w:firstColumn="1" w:lastColumn="0" w:noHBand="0" w:noVBand="1"/>
      </w:tblPr>
      <w:tblGrid>
        <w:gridCol w:w="3677"/>
        <w:gridCol w:w="1113"/>
        <w:gridCol w:w="27"/>
        <w:gridCol w:w="3112"/>
        <w:gridCol w:w="1077"/>
      </w:tblGrid>
      <w:tr w:rsidR="001C19F3" w14:paraId="159C0168" w14:textId="77777777" w:rsidTr="00521305">
        <w:trPr>
          <w:cantSplit/>
          <w:tblHeader/>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221"/>
          <w:p w14:paraId="0F43622E" w14:textId="77777777" w:rsidR="001C19F3" w:rsidRDefault="001C19F3" w:rsidP="00521305">
            <w:pPr>
              <w:spacing w:after="0"/>
              <w:jc w:val="center"/>
            </w:pPr>
            <w:r>
              <w:rPr>
                <w:rFonts w:eastAsia="Century Gothic" w:cs="Century Gothic"/>
                <w:b/>
                <w:color w:val="FFFFFF"/>
                <w:sz w:val="18"/>
                <w:szCs w:val="18"/>
              </w:rPr>
              <w:t>Response</w:t>
            </w:r>
          </w:p>
        </w:tc>
        <w:tc>
          <w:tcPr>
            <w:tcW w:w="61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71A2E38" w14:textId="77777777" w:rsidR="001C19F3" w:rsidRDefault="001C19F3" w:rsidP="00521305">
            <w:pPr>
              <w:spacing w:after="0"/>
              <w:jc w:val="center"/>
            </w:pPr>
            <w:r>
              <w:rPr>
                <w:rFonts w:eastAsia="Century Gothic" w:cs="Century Gothic"/>
                <w:b/>
                <w:color w:val="FFFFFF"/>
                <w:sz w:val="18"/>
                <w:szCs w:val="18"/>
              </w:rPr>
              <w:t>n (%)</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326BD3F7" w14:textId="77777777" w:rsidR="001C19F3" w:rsidRDefault="001C19F3" w:rsidP="00521305">
            <w:pPr>
              <w:spacing w:after="0"/>
              <w:jc w:val="center"/>
            </w:pPr>
            <w:r>
              <w:rPr>
                <w:rFonts w:eastAsia="Century Gothic" w:cs="Century Gothic"/>
                <w:b/>
                <w:color w:val="FFFFFF"/>
                <w:sz w:val="18"/>
                <w:szCs w:val="18"/>
              </w:rPr>
              <w:t xml:space="preserve"> </w:t>
            </w:r>
          </w:p>
        </w:tc>
        <w:tc>
          <w:tcPr>
            <w:tcW w:w="172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DAF785B" w14:textId="77777777" w:rsidR="001C19F3" w:rsidRDefault="001C19F3" w:rsidP="00521305">
            <w:pPr>
              <w:spacing w:after="0"/>
              <w:jc w:val="center"/>
            </w:pPr>
            <w:r>
              <w:rPr>
                <w:rFonts w:eastAsia="Century Gothic" w:cs="Century Gothic"/>
                <w:b/>
                <w:color w:val="FFFFFF"/>
                <w:sz w:val="18"/>
                <w:szCs w:val="18"/>
              </w:rPr>
              <w:t>Response</w:t>
            </w:r>
          </w:p>
        </w:tc>
        <w:tc>
          <w:tcPr>
            <w:tcW w:w="59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FA91BCA" w14:textId="77777777" w:rsidR="001C19F3" w:rsidRDefault="001C19F3" w:rsidP="00521305">
            <w:pPr>
              <w:spacing w:after="0"/>
              <w:jc w:val="center"/>
            </w:pPr>
            <w:r>
              <w:rPr>
                <w:rFonts w:eastAsia="Century Gothic" w:cs="Century Gothic"/>
                <w:b/>
                <w:color w:val="FFFFFF"/>
                <w:sz w:val="18"/>
                <w:szCs w:val="18"/>
              </w:rPr>
              <w:t>n (%)</w:t>
            </w:r>
          </w:p>
        </w:tc>
      </w:tr>
      <w:tr w:rsidR="001C19F3" w14:paraId="065F0643"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EEB159" w14:textId="77777777" w:rsidR="001C19F3" w:rsidRDefault="001C19F3" w:rsidP="00521305">
            <w:pPr>
              <w:spacing w:before="40" w:after="40"/>
              <w:ind w:left="100" w:right="100"/>
            </w:pPr>
            <w:r>
              <w:rPr>
                <w:rFonts w:eastAsia="Century Gothic" w:cs="Century Gothic"/>
                <w:color w:val="000000"/>
                <w:sz w:val="18"/>
                <w:szCs w:val="18"/>
              </w:rPr>
              <w:t>Additional onsite face-to-face training/meetings</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167083" w14:textId="77777777" w:rsidR="001C19F3" w:rsidRDefault="001C19F3" w:rsidP="00521305">
            <w:pPr>
              <w:spacing w:before="40" w:after="40"/>
              <w:ind w:left="100" w:right="100"/>
              <w:jc w:val="right"/>
            </w:pPr>
            <w:r>
              <w:rPr>
                <w:rFonts w:eastAsia="Century Gothic" w:cs="Century Gothic"/>
                <w:color w:val="000000"/>
                <w:sz w:val="18"/>
                <w:szCs w:val="18"/>
              </w:rPr>
              <w:t>8 (8.7%)</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53E70883"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3E68E6" w14:textId="77777777" w:rsidR="001C19F3" w:rsidRDefault="001C19F3" w:rsidP="00521305">
            <w:pPr>
              <w:spacing w:before="40" w:after="40"/>
              <w:ind w:left="100" w:right="100"/>
            </w:pPr>
            <w:r>
              <w:rPr>
                <w:rFonts w:eastAsia="Century Gothic" w:cs="Century Gothic"/>
                <w:color w:val="000000"/>
                <w:sz w:val="18"/>
                <w:szCs w:val="18"/>
              </w:rPr>
              <w:t>Participating practices share knowledge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4B1B31" w14:textId="77777777" w:rsidR="001C19F3" w:rsidRDefault="001C19F3" w:rsidP="00521305">
            <w:pPr>
              <w:spacing w:before="40" w:after="40"/>
              <w:ind w:left="100" w:right="100"/>
              <w:jc w:val="right"/>
            </w:pPr>
            <w:r>
              <w:rPr>
                <w:rFonts w:eastAsia="Century Gothic" w:cs="Century Gothic"/>
                <w:color w:val="000000"/>
                <w:sz w:val="18"/>
                <w:szCs w:val="18"/>
              </w:rPr>
              <w:t>3 (3.3%)</w:t>
            </w:r>
          </w:p>
        </w:tc>
      </w:tr>
      <w:tr w:rsidR="001C19F3" w14:paraId="7E2E0DBC"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7FFB8E" w14:textId="77777777" w:rsidR="001C19F3" w:rsidRDefault="001C19F3" w:rsidP="00521305">
            <w:pPr>
              <w:spacing w:before="40" w:after="40"/>
              <w:ind w:left="100" w:right="100"/>
            </w:pPr>
            <w:r>
              <w:rPr>
                <w:rFonts w:eastAsia="Century Gothic" w:cs="Century Gothic"/>
                <w:color w:val="000000"/>
                <w:sz w:val="18"/>
                <w:szCs w:val="18"/>
              </w:rPr>
              <w:t>More general and earlier PHN support</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E22770" w14:textId="77777777" w:rsidR="001C19F3" w:rsidRDefault="001C19F3" w:rsidP="00521305">
            <w:pPr>
              <w:spacing w:before="40" w:after="40"/>
              <w:ind w:left="100" w:right="100"/>
              <w:jc w:val="right"/>
            </w:pPr>
            <w:r>
              <w:rPr>
                <w:rFonts w:eastAsia="Century Gothic" w:cs="Century Gothic"/>
                <w:color w:val="000000"/>
                <w:sz w:val="18"/>
                <w:szCs w:val="18"/>
              </w:rPr>
              <w:t>8 (8.7%)</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5D0FDE02"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C4E957" w14:textId="77777777" w:rsidR="001C19F3" w:rsidRDefault="001C19F3" w:rsidP="00521305">
            <w:pPr>
              <w:spacing w:before="40" w:after="40"/>
              <w:ind w:left="100" w:right="100"/>
            </w:pPr>
            <w:r>
              <w:rPr>
                <w:rFonts w:eastAsia="Century Gothic" w:cs="Century Gothic"/>
                <w:color w:val="000000"/>
                <w:sz w:val="18"/>
                <w:szCs w:val="18"/>
              </w:rPr>
              <w:t>Hands on experience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3876B0" w14:textId="77777777" w:rsidR="001C19F3" w:rsidRDefault="001C19F3" w:rsidP="00521305">
            <w:pPr>
              <w:spacing w:before="40" w:after="40"/>
              <w:ind w:left="100" w:right="100"/>
              <w:jc w:val="right"/>
            </w:pPr>
            <w:r>
              <w:rPr>
                <w:rFonts w:eastAsia="Century Gothic" w:cs="Century Gothic"/>
                <w:color w:val="000000"/>
                <w:sz w:val="18"/>
                <w:szCs w:val="18"/>
              </w:rPr>
              <w:t>2 (2.2%)</w:t>
            </w:r>
          </w:p>
        </w:tc>
      </w:tr>
      <w:tr w:rsidR="001C19F3" w14:paraId="732B8CFB"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D1D04B" w14:textId="77777777" w:rsidR="001C19F3" w:rsidRDefault="001C19F3" w:rsidP="00521305">
            <w:pPr>
              <w:spacing w:before="40" w:after="40"/>
              <w:ind w:left="100" w:right="100"/>
            </w:pPr>
            <w:r>
              <w:rPr>
                <w:rFonts w:eastAsia="Century Gothic" w:cs="Century Gothic"/>
                <w:color w:val="000000"/>
                <w:sz w:val="18"/>
                <w:szCs w:val="18"/>
              </w:rPr>
              <w:t>Additional online training sessions</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30B5C5" w14:textId="77777777" w:rsidR="001C19F3" w:rsidRDefault="001C19F3" w:rsidP="00521305">
            <w:pPr>
              <w:spacing w:before="40" w:after="40"/>
              <w:ind w:left="100" w:right="100"/>
              <w:jc w:val="right"/>
            </w:pPr>
            <w:r>
              <w:rPr>
                <w:rFonts w:eastAsia="Century Gothic" w:cs="Century Gothic"/>
                <w:color w:val="000000"/>
                <w:sz w:val="18"/>
                <w:szCs w:val="18"/>
              </w:rPr>
              <w:t>7 (7.6%)</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02BA2F52"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B60DB8" w14:textId="77777777" w:rsidR="001C19F3" w:rsidRDefault="001C19F3" w:rsidP="00521305">
            <w:pPr>
              <w:spacing w:before="40" w:after="40"/>
              <w:ind w:left="100" w:right="100"/>
            </w:pPr>
            <w:r>
              <w:rPr>
                <w:rFonts w:eastAsia="Century Gothic" w:cs="Century Gothic"/>
                <w:color w:val="000000"/>
                <w:sz w:val="18"/>
                <w:szCs w:val="18"/>
              </w:rPr>
              <w:t>More training around patient recruitment</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3916C6" w14:textId="77777777" w:rsidR="001C19F3" w:rsidRDefault="001C19F3" w:rsidP="00521305">
            <w:pPr>
              <w:spacing w:before="40" w:after="40"/>
              <w:ind w:left="100" w:right="100"/>
              <w:jc w:val="right"/>
            </w:pPr>
            <w:r>
              <w:rPr>
                <w:rFonts w:eastAsia="Century Gothic" w:cs="Century Gothic"/>
                <w:color w:val="000000"/>
                <w:sz w:val="18"/>
                <w:szCs w:val="18"/>
              </w:rPr>
              <w:t>2 (2.2%)</w:t>
            </w:r>
          </w:p>
        </w:tc>
      </w:tr>
      <w:tr w:rsidR="001C19F3" w14:paraId="611537DA"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CC7E54" w14:textId="77777777" w:rsidR="001C19F3" w:rsidRDefault="001C19F3" w:rsidP="00521305">
            <w:pPr>
              <w:spacing w:before="40" w:after="40"/>
              <w:ind w:left="100" w:right="100"/>
            </w:pPr>
            <w:r>
              <w:rPr>
                <w:rFonts w:eastAsia="Century Gothic" w:cs="Century Gothic"/>
                <w:color w:val="000000"/>
                <w:sz w:val="18"/>
                <w:szCs w:val="18"/>
              </w:rPr>
              <w:t>Additional in-person training sessions</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17542E" w14:textId="77777777" w:rsidR="001C19F3" w:rsidRDefault="001C19F3" w:rsidP="00521305">
            <w:pPr>
              <w:spacing w:before="40" w:after="40"/>
              <w:ind w:left="100" w:right="100"/>
              <w:jc w:val="right"/>
            </w:pPr>
            <w:r>
              <w:rPr>
                <w:rFonts w:eastAsia="Century Gothic" w:cs="Century Gothic"/>
                <w:color w:val="000000"/>
                <w:sz w:val="18"/>
                <w:szCs w:val="18"/>
              </w:rPr>
              <w:t>6 (6.5%)</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02051F43"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8D09CF" w14:textId="77777777" w:rsidR="001C19F3" w:rsidRDefault="001C19F3" w:rsidP="00521305">
            <w:pPr>
              <w:spacing w:before="40" w:after="40"/>
              <w:ind w:left="100" w:right="100"/>
            </w:pPr>
            <w:r>
              <w:rPr>
                <w:rFonts w:eastAsia="Century Gothic" w:cs="Century Gothic"/>
                <w:color w:val="000000"/>
                <w:sz w:val="18"/>
                <w:szCs w:val="18"/>
              </w:rPr>
              <w:t>Additional feedback to the Department of Health</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BE1414"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157FC707"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0C9851" w14:textId="77777777" w:rsidR="001C19F3" w:rsidRDefault="001C19F3" w:rsidP="00521305">
            <w:pPr>
              <w:spacing w:before="40" w:after="40"/>
              <w:ind w:left="100" w:right="100"/>
            </w:pPr>
            <w:r>
              <w:rPr>
                <w:rFonts w:eastAsia="Century Gothic" w:cs="Century Gothic"/>
                <w:color w:val="000000"/>
                <w:sz w:val="18"/>
                <w:szCs w:val="18"/>
              </w:rPr>
              <w:t>Training should be more relevant</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3C010B" w14:textId="77777777" w:rsidR="001C19F3" w:rsidRDefault="001C19F3" w:rsidP="00521305">
            <w:pPr>
              <w:spacing w:before="40" w:after="40"/>
              <w:ind w:left="100" w:right="100"/>
              <w:jc w:val="right"/>
            </w:pPr>
            <w:r>
              <w:rPr>
                <w:rFonts w:eastAsia="Century Gothic" w:cs="Century Gothic"/>
                <w:color w:val="000000"/>
                <w:sz w:val="18"/>
                <w:szCs w:val="18"/>
              </w:rPr>
              <w:t>6 (6.5%)</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1500BD85"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734579" w14:textId="77777777" w:rsidR="001C19F3" w:rsidRDefault="001C19F3" w:rsidP="00521305">
            <w:pPr>
              <w:spacing w:before="40" w:after="40"/>
              <w:ind w:left="100" w:right="100"/>
            </w:pPr>
            <w:r>
              <w:rPr>
                <w:rFonts w:eastAsia="Century Gothic" w:cs="Century Gothic"/>
                <w:color w:val="000000"/>
                <w:sz w:val="18"/>
                <w:szCs w:val="18"/>
              </w:rPr>
              <w:t>Additional incentives to attend sessions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3D0899"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29775A86"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030B2B" w14:textId="77777777" w:rsidR="001C19F3" w:rsidRDefault="001C19F3" w:rsidP="00521305">
            <w:pPr>
              <w:spacing w:before="40" w:after="40"/>
              <w:ind w:left="100" w:right="100"/>
            </w:pPr>
            <w:r>
              <w:rPr>
                <w:rFonts w:eastAsia="Century Gothic" w:cs="Century Gothic"/>
                <w:color w:val="000000"/>
                <w:sz w:val="18"/>
                <w:szCs w:val="18"/>
              </w:rPr>
              <w:t>More practical training</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D0503B" w14:textId="77777777" w:rsidR="001C19F3" w:rsidRDefault="001C19F3" w:rsidP="00521305">
            <w:pPr>
              <w:spacing w:before="40" w:after="40"/>
              <w:ind w:left="100" w:right="100"/>
              <w:jc w:val="right"/>
            </w:pPr>
            <w:r>
              <w:rPr>
                <w:rFonts w:eastAsia="Century Gothic" w:cs="Century Gothic"/>
                <w:color w:val="000000"/>
                <w:sz w:val="18"/>
                <w:szCs w:val="18"/>
              </w:rPr>
              <w:t>5 (5.4%)</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37A2B895"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8FFB1A" w14:textId="77777777" w:rsidR="001C19F3" w:rsidRDefault="001C19F3" w:rsidP="00521305">
            <w:pPr>
              <w:spacing w:before="40" w:after="40"/>
              <w:ind w:left="100" w:right="100"/>
            </w:pPr>
            <w:r>
              <w:rPr>
                <w:rFonts w:eastAsia="Century Gothic" w:cs="Century Gothic"/>
                <w:color w:val="000000"/>
                <w:sz w:val="18"/>
                <w:szCs w:val="18"/>
              </w:rPr>
              <w:t>Additional information on patient issues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A0FF85"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0F565CDE"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D88BE9" w14:textId="77777777" w:rsidR="001C19F3" w:rsidRDefault="001C19F3" w:rsidP="00521305">
            <w:pPr>
              <w:spacing w:before="40" w:after="40"/>
              <w:ind w:left="100" w:right="100"/>
            </w:pPr>
            <w:r>
              <w:rPr>
                <w:rFonts w:eastAsia="Century Gothic" w:cs="Century Gothic"/>
                <w:color w:val="000000"/>
                <w:sz w:val="18"/>
                <w:szCs w:val="18"/>
              </w:rPr>
              <w:t>Training should be tailored to the practice</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7C638E" w14:textId="77777777" w:rsidR="001C19F3" w:rsidRDefault="001C19F3" w:rsidP="00521305">
            <w:pPr>
              <w:spacing w:before="40" w:after="40"/>
              <w:ind w:left="100" w:right="100"/>
              <w:jc w:val="right"/>
            </w:pPr>
            <w:r>
              <w:rPr>
                <w:rFonts w:eastAsia="Century Gothic" w:cs="Century Gothic"/>
                <w:color w:val="000000"/>
                <w:sz w:val="18"/>
                <w:szCs w:val="18"/>
              </w:rPr>
              <w:t>5 (5.4%)</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4704065E"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751E71" w14:textId="77777777" w:rsidR="001C19F3" w:rsidRDefault="001C19F3" w:rsidP="00521305">
            <w:pPr>
              <w:spacing w:before="40" w:after="40"/>
              <w:ind w:left="100" w:right="100"/>
            </w:pPr>
            <w:r>
              <w:rPr>
                <w:rFonts w:eastAsia="Century Gothic" w:cs="Century Gothic"/>
                <w:color w:val="000000"/>
                <w:sz w:val="18"/>
                <w:szCs w:val="18"/>
              </w:rPr>
              <w:t>Greater flexibility in times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1D83CF"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596611C4"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356642" w14:textId="77777777" w:rsidR="001C19F3" w:rsidRDefault="001C19F3" w:rsidP="00521305">
            <w:pPr>
              <w:spacing w:before="40" w:after="40"/>
              <w:ind w:left="100" w:right="100"/>
            </w:pPr>
            <w:r>
              <w:rPr>
                <w:rFonts w:eastAsia="Century Gothic" w:cs="Century Gothic"/>
                <w:color w:val="000000"/>
                <w:sz w:val="18"/>
                <w:szCs w:val="18"/>
              </w:rPr>
              <w:t>Additional training around software</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A0DD9D" w14:textId="77777777" w:rsidR="001C19F3" w:rsidRDefault="001C19F3" w:rsidP="00521305">
            <w:pPr>
              <w:spacing w:before="40" w:after="40"/>
              <w:ind w:left="100" w:right="100"/>
              <w:jc w:val="right"/>
            </w:pPr>
            <w:r>
              <w:rPr>
                <w:rFonts w:eastAsia="Century Gothic" w:cs="Century Gothic"/>
                <w:color w:val="000000"/>
                <w:sz w:val="18"/>
                <w:szCs w:val="18"/>
              </w:rPr>
              <w:t>4 (4.3%)</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3C6293FF"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D46DD0" w14:textId="77777777" w:rsidR="001C19F3" w:rsidRDefault="001C19F3" w:rsidP="00521305">
            <w:pPr>
              <w:spacing w:before="40" w:after="40"/>
              <w:ind w:left="100" w:right="100"/>
            </w:pPr>
            <w:r>
              <w:rPr>
                <w:rFonts w:eastAsia="Century Gothic" w:cs="Century Gothic"/>
                <w:color w:val="000000"/>
                <w:sz w:val="18"/>
                <w:szCs w:val="18"/>
              </w:rPr>
              <w:t>More information on program updates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8585AC"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5B59761F"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C476D4" w14:textId="77777777" w:rsidR="001C19F3" w:rsidRDefault="001C19F3" w:rsidP="00521305">
            <w:pPr>
              <w:spacing w:before="40" w:after="40"/>
              <w:ind w:left="100" w:right="100"/>
            </w:pPr>
            <w:r>
              <w:rPr>
                <w:rFonts w:eastAsia="Century Gothic" w:cs="Century Gothic"/>
                <w:color w:val="000000"/>
                <w:sz w:val="18"/>
                <w:szCs w:val="18"/>
              </w:rPr>
              <w:t>More succinct training</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0F68B2" w14:textId="77777777" w:rsidR="001C19F3" w:rsidRDefault="001C19F3" w:rsidP="00521305">
            <w:pPr>
              <w:spacing w:before="40" w:after="40"/>
              <w:ind w:left="100" w:right="100"/>
              <w:jc w:val="right"/>
            </w:pPr>
            <w:r>
              <w:rPr>
                <w:rFonts w:eastAsia="Century Gothic" w:cs="Century Gothic"/>
                <w:color w:val="000000"/>
                <w:sz w:val="18"/>
                <w:szCs w:val="18"/>
              </w:rPr>
              <w:t>4 (4.3%)</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19307206"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92FF4F" w14:textId="77777777" w:rsidR="001C19F3" w:rsidRDefault="001C19F3" w:rsidP="00521305">
            <w:pPr>
              <w:spacing w:before="40" w:after="40"/>
              <w:ind w:left="100" w:right="100"/>
            </w:pPr>
            <w:r>
              <w:rPr>
                <w:rFonts w:eastAsia="Century Gothic" w:cs="Century Gothic"/>
                <w:color w:val="000000"/>
                <w:sz w:val="18"/>
                <w:szCs w:val="18"/>
              </w:rPr>
              <w:t>Smaller group meetings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595D35"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1FF1C0CF" w14:textId="77777777" w:rsidTr="00521305">
        <w:trPr>
          <w:cantSplit/>
          <w:jc w:val="center"/>
        </w:trPr>
        <w:tc>
          <w:tcPr>
            <w:tcW w:w="204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156220" w14:textId="77777777" w:rsidR="001C19F3" w:rsidRDefault="001C19F3" w:rsidP="00521305">
            <w:pPr>
              <w:spacing w:before="40" w:after="40"/>
              <w:ind w:left="100" w:right="100"/>
            </w:pPr>
            <w:r>
              <w:rPr>
                <w:rFonts w:eastAsia="Century Gothic" w:cs="Century Gothic"/>
                <w:color w:val="000000"/>
                <w:sz w:val="18"/>
                <w:szCs w:val="18"/>
              </w:rPr>
              <w:t>More training for GPs</w:t>
            </w:r>
          </w:p>
        </w:tc>
        <w:tc>
          <w:tcPr>
            <w:tcW w:w="61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621773" w14:textId="77777777" w:rsidR="001C19F3" w:rsidRDefault="001C19F3" w:rsidP="00521305">
            <w:pPr>
              <w:spacing w:before="40" w:after="40"/>
              <w:ind w:left="100" w:right="100"/>
              <w:jc w:val="right"/>
            </w:pPr>
            <w:r>
              <w:rPr>
                <w:rFonts w:eastAsia="Century Gothic" w:cs="Century Gothic"/>
                <w:color w:val="000000"/>
                <w:sz w:val="18"/>
                <w:szCs w:val="18"/>
              </w:rPr>
              <w:t>4 (4.3%)</w:t>
            </w:r>
          </w:p>
        </w:tc>
        <w:tc>
          <w:tcPr>
            <w:tcW w:w="0" w:type="auto"/>
            <w:tcBorders>
              <w:left w:val="single" w:sz="8" w:space="0" w:color="BFBFBF"/>
              <w:right w:val="single" w:sz="8" w:space="0" w:color="BFBFBF"/>
            </w:tcBorders>
            <w:shd w:val="clear" w:color="auto" w:fill="auto"/>
            <w:tcMar>
              <w:top w:w="0" w:type="dxa"/>
              <w:left w:w="0" w:type="dxa"/>
              <w:bottom w:w="0" w:type="dxa"/>
              <w:right w:w="0" w:type="dxa"/>
            </w:tcMar>
            <w:vAlign w:val="center"/>
          </w:tcPr>
          <w:p w14:paraId="232A8EF7" w14:textId="77777777" w:rsidR="001C19F3" w:rsidRDefault="001C19F3" w:rsidP="00521305">
            <w:pPr>
              <w:spacing w:before="40" w:after="40"/>
              <w:ind w:left="100" w:right="100"/>
              <w:jc w:val="right"/>
            </w:pPr>
          </w:p>
        </w:tc>
        <w:tc>
          <w:tcPr>
            <w:tcW w:w="172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BB5AB2" w14:textId="77777777" w:rsidR="001C19F3" w:rsidRDefault="001C19F3" w:rsidP="00521305">
            <w:pPr>
              <w:spacing w:before="40" w:after="40"/>
              <w:ind w:left="100" w:right="100"/>
            </w:pP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9324A5" w14:textId="77777777" w:rsidR="001C19F3" w:rsidRDefault="001C19F3" w:rsidP="00521305">
            <w:pPr>
              <w:spacing w:before="40" w:after="40"/>
              <w:ind w:left="100" w:right="100"/>
              <w:jc w:val="right"/>
            </w:pPr>
          </w:p>
        </w:tc>
      </w:tr>
    </w:tbl>
    <w:p w14:paraId="187E8A23" w14:textId="77777777" w:rsidR="001C19F3" w:rsidRDefault="001C19F3" w:rsidP="001C19F3">
      <w:pPr>
        <w:pStyle w:val="Chartortablefootnote"/>
      </w:pPr>
      <w:r>
        <w:t>Source: Practice survey R2, Nov 2018-Mar 2019, question 29.</w:t>
      </w:r>
    </w:p>
    <w:p w14:paraId="49861863" w14:textId="77777777" w:rsidR="001C19F3" w:rsidRDefault="001C19F3" w:rsidP="001C19F3">
      <w:pPr>
        <w:pStyle w:val="Heading3"/>
      </w:pPr>
      <w:r>
        <w:t>Online modules</w:t>
      </w:r>
    </w:p>
    <w:p w14:paraId="3862663B" w14:textId="77777777" w:rsidR="001C19F3" w:rsidRDefault="001C19F3" w:rsidP="001C19F3">
      <w:r>
        <w:t>The online training modules developed by AGPAL (see Appendix 1) required users to register and provide basic details of their role and discipline. These data allow analysis of the use of the modules, including completion rates. Also, users responded to evaluations of each of the modules as they completed them.</w:t>
      </w:r>
    </w:p>
    <w:p w14:paraId="31F8BE3A" w14:textId="77777777" w:rsidR="001C19F3" w:rsidRDefault="001C19F3" w:rsidP="001C19F3">
      <w:r>
        <w:t xml:space="preserve">Data provided by AGPAL showed that at the beginning of </w:t>
      </w:r>
      <w:r w:rsidRPr="00AE37CC">
        <w:t>September 2018, 1,822 people</w:t>
      </w:r>
      <w:r>
        <w:t xml:space="preserve"> had received a login for the online training modules. The Table below shows the number of users that then started each module, and of these, those that completed the module.</w:t>
      </w:r>
    </w:p>
    <w:p w14:paraId="2EA673EA" w14:textId="77777777" w:rsidR="001C19F3" w:rsidRDefault="001C19F3" w:rsidP="001C19F3">
      <w:r>
        <w:br w:type="page"/>
      </w:r>
    </w:p>
    <w:p w14:paraId="42B99E5E" w14:textId="77777777" w:rsidR="001C19F3" w:rsidRPr="007E3ABB" w:rsidRDefault="001C19F3" w:rsidP="001C19F3">
      <w:pPr>
        <w:spacing w:before="200" w:after="0"/>
        <w:jc w:val="center"/>
        <w:rPr>
          <w:b/>
        </w:rPr>
      </w:pPr>
      <w:bookmarkStart w:id="222" w:name="_Hlk22642728"/>
      <w:r w:rsidRPr="007E3ABB">
        <w:rPr>
          <w:b/>
        </w:rPr>
        <w:lastRenderedPageBreak/>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33</w:t>
      </w:r>
      <w:r w:rsidRPr="007E3ABB">
        <w:rPr>
          <w:rFonts w:cs="Arial"/>
          <w:b/>
          <w:color w:val="000000" w:themeColor="text1"/>
        </w:rPr>
        <w:fldChar w:fldCharType="end"/>
      </w:r>
      <w:r w:rsidRPr="007E3ABB">
        <w:rPr>
          <w:b/>
        </w:rPr>
        <w:t xml:space="preserve"> – </w:t>
      </w:r>
      <w:r>
        <w:rPr>
          <w:b/>
        </w:rPr>
        <w:t>Users commenced and completed HCH online training modules</w:t>
      </w:r>
      <w:bookmarkEnd w:id="222"/>
      <w:r>
        <w:rPr>
          <w:b/>
        </w:rPr>
        <w:t>*</w:t>
      </w:r>
    </w:p>
    <w:tbl>
      <w:tblPr>
        <w:tblW w:w="5000" w:type="pct"/>
        <w:jc w:val="center"/>
        <w:tblLayout w:type="fixed"/>
        <w:tblCellMar>
          <w:left w:w="0" w:type="dxa"/>
          <w:right w:w="0" w:type="dxa"/>
        </w:tblCellMar>
        <w:tblLook w:val="04A0" w:firstRow="1" w:lastRow="0" w:firstColumn="1" w:lastColumn="0" w:noHBand="0" w:noVBand="1"/>
      </w:tblPr>
      <w:tblGrid>
        <w:gridCol w:w="984"/>
        <w:gridCol w:w="4818"/>
        <w:gridCol w:w="1068"/>
        <w:gridCol w:w="1068"/>
        <w:gridCol w:w="1068"/>
      </w:tblGrid>
      <w:tr w:rsidR="001C19F3" w:rsidRPr="002A434A" w14:paraId="1F18C81F" w14:textId="77777777" w:rsidTr="00521305">
        <w:trPr>
          <w:trHeight w:val="283"/>
          <w:tblHeader/>
          <w:jc w:val="center"/>
        </w:trPr>
        <w:tc>
          <w:tcPr>
            <w:tcW w:w="3221" w:type="pct"/>
            <w:gridSpan w:val="2"/>
            <w:vMerge w:val="restart"/>
            <w:tcBorders>
              <w:top w:val="single" w:sz="8" w:space="0" w:color="BFBFBF"/>
              <w:left w:val="single" w:sz="8" w:space="0" w:color="BFBFBF"/>
              <w:right w:val="single" w:sz="8" w:space="0" w:color="BFBFBF"/>
            </w:tcBorders>
            <w:shd w:val="clear" w:color="auto" w:fill="003D79"/>
            <w:vAlign w:val="center"/>
          </w:tcPr>
          <w:p w14:paraId="65FD4520" w14:textId="77777777" w:rsidR="001C19F3" w:rsidRPr="002A434A" w:rsidRDefault="001C19F3" w:rsidP="00521305">
            <w:pPr>
              <w:spacing w:after="0"/>
              <w:ind w:left="127"/>
              <w:rPr>
                <w:b/>
                <w:bCs/>
                <w:color w:val="FFFFFF"/>
                <w:sz w:val="18"/>
                <w:szCs w:val="18"/>
                <w:lang w:eastAsia="en-AU"/>
              </w:rPr>
            </w:pPr>
            <w:r w:rsidRPr="002A434A">
              <w:rPr>
                <w:b/>
                <w:bCs/>
                <w:color w:val="FFFFFF"/>
                <w:sz w:val="18"/>
                <w:szCs w:val="18"/>
                <w:lang w:eastAsia="en-AU"/>
              </w:rPr>
              <w:t>Module</w:t>
            </w:r>
          </w:p>
        </w:tc>
        <w:tc>
          <w:tcPr>
            <w:tcW w:w="1779" w:type="pct"/>
            <w:gridSpan w:val="3"/>
            <w:tcBorders>
              <w:top w:val="single" w:sz="8" w:space="0" w:color="BFBFBF"/>
              <w:left w:val="nil"/>
              <w:bottom w:val="single" w:sz="8" w:space="0" w:color="BFBFBF"/>
              <w:right w:val="single" w:sz="8" w:space="0" w:color="BFBFBF"/>
            </w:tcBorders>
            <w:shd w:val="clear" w:color="auto" w:fill="003D79"/>
            <w:noWrap/>
            <w:tcMar>
              <w:top w:w="0" w:type="dxa"/>
              <w:left w:w="108" w:type="dxa"/>
              <w:bottom w:w="0" w:type="dxa"/>
              <w:right w:w="108" w:type="dxa"/>
            </w:tcMar>
          </w:tcPr>
          <w:p w14:paraId="4051D9AE" w14:textId="77777777" w:rsidR="001C19F3" w:rsidRPr="002A434A" w:rsidRDefault="001C19F3" w:rsidP="00521305">
            <w:pPr>
              <w:spacing w:after="0"/>
              <w:jc w:val="center"/>
              <w:rPr>
                <w:b/>
                <w:bCs/>
                <w:color w:val="FFFFFF"/>
                <w:sz w:val="18"/>
                <w:szCs w:val="18"/>
                <w:lang w:eastAsia="en-AU"/>
              </w:rPr>
            </w:pPr>
            <w:r>
              <w:rPr>
                <w:b/>
                <w:bCs/>
                <w:color w:val="FFFFFF"/>
                <w:sz w:val="18"/>
                <w:szCs w:val="18"/>
                <w:lang w:eastAsia="en-AU"/>
              </w:rPr>
              <w:t>Number of users</w:t>
            </w:r>
          </w:p>
        </w:tc>
      </w:tr>
      <w:tr w:rsidR="001C19F3" w:rsidRPr="002A434A" w14:paraId="6FFD3254" w14:textId="77777777" w:rsidTr="00521305">
        <w:trPr>
          <w:trHeight w:val="60"/>
          <w:tblHeader/>
          <w:jc w:val="center"/>
        </w:trPr>
        <w:tc>
          <w:tcPr>
            <w:tcW w:w="3221" w:type="pct"/>
            <w:gridSpan w:val="2"/>
            <w:vMerge/>
            <w:tcBorders>
              <w:left w:val="single" w:sz="8" w:space="0" w:color="BFBFBF"/>
              <w:right w:val="single" w:sz="8" w:space="0" w:color="BFBFBF"/>
            </w:tcBorders>
            <w:shd w:val="clear" w:color="auto" w:fill="003D79"/>
            <w:vAlign w:val="center"/>
          </w:tcPr>
          <w:p w14:paraId="14C213EC" w14:textId="77777777" w:rsidR="001C19F3" w:rsidRPr="002A434A" w:rsidRDefault="001C19F3" w:rsidP="00521305">
            <w:pPr>
              <w:spacing w:after="0"/>
              <w:ind w:left="127"/>
              <w:rPr>
                <w:b/>
                <w:bCs/>
                <w:color w:val="FFFFFF"/>
                <w:sz w:val="18"/>
                <w:szCs w:val="18"/>
                <w:lang w:eastAsia="en-AU"/>
              </w:rPr>
            </w:pPr>
          </w:p>
        </w:tc>
        <w:tc>
          <w:tcPr>
            <w:tcW w:w="593" w:type="pct"/>
            <w:tcBorders>
              <w:top w:val="single" w:sz="8" w:space="0" w:color="BFBFBF"/>
              <w:left w:val="nil"/>
              <w:bottom w:val="single" w:sz="8" w:space="0" w:color="BFBFBF"/>
              <w:right w:val="single" w:sz="8" w:space="0" w:color="BFBFBF"/>
            </w:tcBorders>
            <w:shd w:val="clear" w:color="auto" w:fill="003D79"/>
            <w:noWrap/>
            <w:tcMar>
              <w:top w:w="0" w:type="dxa"/>
              <w:left w:w="108" w:type="dxa"/>
              <w:bottom w:w="0" w:type="dxa"/>
              <w:right w:w="108" w:type="dxa"/>
            </w:tcMar>
          </w:tcPr>
          <w:p w14:paraId="74830339" w14:textId="77777777" w:rsidR="001C19F3" w:rsidRPr="002A434A" w:rsidRDefault="001C19F3" w:rsidP="00521305">
            <w:pPr>
              <w:spacing w:after="0"/>
              <w:jc w:val="center"/>
              <w:rPr>
                <w:b/>
                <w:bCs/>
                <w:color w:val="FFFFFF"/>
                <w:sz w:val="18"/>
                <w:szCs w:val="18"/>
                <w:lang w:eastAsia="en-AU"/>
              </w:rPr>
            </w:pPr>
            <w:r>
              <w:rPr>
                <w:b/>
                <w:bCs/>
                <w:color w:val="FFFFFF"/>
                <w:sz w:val="18"/>
                <w:szCs w:val="18"/>
                <w:lang w:eastAsia="en-AU"/>
              </w:rPr>
              <w:t>Started</w:t>
            </w:r>
          </w:p>
        </w:tc>
        <w:tc>
          <w:tcPr>
            <w:tcW w:w="593" w:type="pct"/>
            <w:tcBorders>
              <w:left w:val="nil"/>
              <w:bottom w:val="single" w:sz="8" w:space="0" w:color="BFBFBF"/>
              <w:right w:val="single" w:sz="8" w:space="0" w:color="BFBFBF"/>
            </w:tcBorders>
            <w:shd w:val="clear" w:color="auto" w:fill="003D79"/>
          </w:tcPr>
          <w:p w14:paraId="611F8E47" w14:textId="77777777" w:rsidR="001C19F3" w:rsidRPr="002A434A" w:rsidRDefault="001C19F3" w:rsidP="00521305">
            <w:pPr>
              <w:spacing w:after="0"/>
              <w:jc w:val="center"/>
              <w:rPr>
                <w:b/>
                <w:bCs/>
                <w:color w:val="FFFFFF"/>
                <w:sz w:val="18"/>
                <w:szCs w:val="18"/>
                <w:lang w:eastAsia="en-AU"/>
              </w:rPr>
            </w:pPr>
            <w:r>
              <w:rPr>
                <w:b/>
                <w:bCs/>
                <w:color w:val="FFFFFF"/>
                <w:sz w:val="18"/>
                <w:szCs w:val="18"/>
                <w:lang w:eastAsia="en-AU"/>
              </w:rPr>
              <w:t>Completed</w:t>
            </w:r>
          </w:p>
        </w:tc>
        <w:tc>
          <w:tcPr>
            <w:tcW w:w="593" w:type="pct"/>
            <w:tcBorders>
              <w:left w:val="nil"/>
              <w:bottom w:val="single" w:sz="8" w:space="0" w:color="BFBFBF"/>
              <w:right w:val="single" w:sz="8" w:space="0" w:color="BFBFBF"/>
            </w:tcBorders>
            <w:shd w:val="clear" w:color="auto" w:fill="003D79"/>
          </w:tcPr>
          <w:p w14:paraId="12A21B47" w14:textId="77777777" w:rsidR="001C19F3" w:rsidRPr="002A434A" w:rsidRDefault="001C19F3" w:rsidP="00521305">
            <w:pPr>
              <w:spacing w:after="0"/>
              <w:jc w:val="center"/>
              <w:rPr>
                <w:b/>
                <w:bCs/>
                <w:color w:val="FFFFFF"/>
                <w:sz w:val="18"/>
                <w:szCs w:val="18"/>
                <w:lang w:eastAsia="en-AU"/>
              </w:rPr>
            </w:pPr>
            <w:r>
              <w:rPr>
                <w:b/>
                <w:bCs/>
                <w:color w:val="FFFFFF"/>
                <w:sz w:val="18"/>
                <w:szCs w:val="18"/>
                <w:lang w:eastAsia="en-AU"/>
              </w:rPr>
              <w:t>Per cent completed</w:t>
            </w:r>
          </w:p>
        </w:tc>
      </w:tr>
      <w:tr w:rsidR="001C19F3" w:rsidRPr="002A434A" w14:paraId="172A8539" w14:textId="77777777" w:rsidTr="00521305">
        <w:trPr>
          <w:trHeight w:val="283"/>
          <w:jc w:val="center"/>
        </w:trPr>
        <w:tc>
          <w:tcPr>
            <w:tcW w:w="546" w:type="pct"/>
            <w:tcBorders>
              <w:top w:val="nil"/>
              <w:left w:val="single" w:sz="8" w:space="0" w:color="BFBFBF"/>
              <w:bottom w:val="single" w:sz="8" w:space="0" w:color="BFBFBF"/>
            </w:tcBorders>
            <w:vAlign w:val="center"/>
          </w:tcPr>
          <w:p w14:paraId="5F80C1EA" w14:textId="77777777" w:rsidR="001C19F3" w:rsidRPr="00265264" w:rsidRDefault="001C19F3" w:rsidP="00521305">
            <w:pPr>
              <w:autoSpaceDE w:val="0"/>
              <w:autoSpaceDN w:val="0"/>
              <w:adjustRightInd w:val="0"/>
              <w:spacing w:after="0" w:line="240" w:lineRule="auto"/>
              <w:ind w:left="39"/>
              <w:rPr>
                <w:rFonts w:eastAsiaTheme="minorHAnsi" w:cs="Calibri"/>
                <w:color w:val="000000"/>
                <w:sz w:val="18"/>
                <w:szCs w:val="18"/>
              </w:rPr>
            </w:pPr>
            <w:r w:rsidRPr="002A434A">
              <w:rPr>
                <w:rFonts w:eastAsiaTheme="minorHAnsi" w:cs="Calibri"/>
                <w:color w:val="000000"/>
                <w:sz w:val="18"/>
                <w:szCs w:val="18"/>
              </w:rPr>
              <w:t>Module 1</w:t>
            </w:r>
          </w:p>
        </w:tc>
        <w:tc>
          <w:tcPr>
            <w:tcW w:w="2675" w:type="pct"/>
            <w:tcBorders>
              <w:top w:val="nil"/>
              <w:bottom w:val="single" w:sz="8" w:space="0" w:color="BFBFBF"/>
              <w:right w:val="single" w:sz="8" w:space="0" w:color="BFBFBF"/>
            </w:tcBorders>
            <w:noWrap/>
            <w:tcMar>
              <w:top w:w="0" w:type="dxa"/>
              <w:left w:w="108" w:type="dxa"/>
              <w:bottom w:w="0" w:type="dxa"/>
              <w:right w:w="108" w:type="dxa"/>
            </w:tcMar>
            <w:vAlign w:val="center"/>
          </w:tcPr>
          <w:p w14:paraId="699C2285"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Introduction to </w:t>
            </w:r>
            <w:r w:rsidRPr="002A434A">
              <w:rPr>
                <w:rFonts w:eastAsiaTheme="minorHAnsi" w:cs="Calibri"/>
                <w:color w:val="000000"/>
                <w:sz w:val="18"/>
                <w:szCs w:val="18"/>
              </w:rPr>
              <w:t>HCH</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25E53377"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955</w:t>
            </w:r>
          </w:p>
        </w:tc>
        <w:tc>
          <w:tcPr>
            <w:tcW w:w="593" w:type="pct"/>
            <w:tcBorders>
              <w:top w:val="nil"/>
              <w:left w:val="nil"/>
              <w:bottom w:val="single" w:sz="8" w:space="0" w:color="BFBFBF"/>
              <w:right w:val="single" w:sz="8" w:space="0" w:color="BFBFBF"/>
            </w:tcBorders>
            <w:vAlign w:val="center"/>
          </w:tcPr>
          <w:p w14:paraId="64F42C54"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748</w:t>
            </w:r>
          </w:p>
        </w:tc>
        <w:tc>
          <w:tcPr>
            <w:tcW w:w="593" w:type="pct"/>
            <w:tcBorders>
              <w:top w:val="nil"/>
              <w:left w:val="nil"/>
              <w:bottom w:val="single" w:sz="8" w:space="0" w:color="BFBFBF"/>
              <w:right w:val="single" w:sz="8" w:space="0" w:color="BFBFBF"/>
            </w:tcBorders>
            <w:vAlign w:val="center"/>
          </w:tcPr>
          <w:p w14:paraId="06557307"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78%</w:t>
            </w:r>
          </w:p>
        </w:tc>
      </w:tr>
      <w:tr w:rsidR="001C19F3" w:rsidRPr="002A434A" w14:paraId="14554408"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55459F97" w14:textId="77777777" w:rsidR="001C19F3" w:rsidRPr="00265264" w:rsidRDefault="001C19F3" w:rsidP="00521305">
            <w:pPr>
              <w:autoSpaceDE w:val="0"/>
              <w:autoSpaceDN w:val="0"/>
              <w:adjustRightInd w:val="0"/>
              <w:spacing w:after="0" w:line="240" w:lineRule="auto"/>
              <w:ind w:left="39"/>
              <w:rPr>
                <w:rFonts w:eastAsiaTheme="minorHAnsi" w:cs="Calibri"/>
                <w:color w:val="000000"/>
                <w:sz w:val="18"/>
                <w:szCs w:val="18"/>
              </w:rPr>
            </w:pPr>
            <w:r w:rsidRPr="00265264">
              <w:rPr>
                <w:rFonts w:eastAsiaTheme="minorHAnsi" w:cs="Calibri"/>
                <w:color w:val="000000"/>
                <w:sz w:val="18"/>
                <w:szCs w:val="18"/>
              </w:rPr>
              <w:t xml:space="preserve">Module 2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6B08536C"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Engaged leadership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397541D5"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621</w:t>
            </w:r>
          </w:p>
        </w:tc>
        <w:tc>
          <w:tcPr>
            <w:tcW w:w="593" w:type="pct"/>
            <w:tcBorders>
              <w:top w:val="nil"/>
              <w:left w:val="nil"/>
              <w:bottom w:val="single" w:sz="8" w:space="0" w:color="BFBFBF"/>
              <w:right w:val="single" w:sz="8" w:space="0" w:color="BFBFBF"/>
            </w:tcBorders>
            <w:vAlign w:val="center"/>
          </w:tcPr>
          <w:p w14:paraId="626B5BEC"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470</w:t>
            </w:r>
          </w:p>
        </w:tc>
        <w:tc>
          <w:tcPr>
            <w:tcW w:w="593" w:type="pct"/>
            <w:tcBorders>
              <w:top w:val="nil"/>
              <w:left w:val="nil"/>
              <w:bottom w:val="single" w:sz="8" w:space="0" w:color="BFBFBF"/>
              <w:right w:val="single" w:sz="8" w:space="0" w:color="BFBFBF"/>
            </w:tcBorders>
            <w:vAlign w:val="center"/>
          </w:tcPr>
          <w:p w14:paraId="4BB25AE1"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76%</w:t>
            </w:r>
          </w:p>
        </w:tc>
      </w:tr>
      <w:tr w:rsidR="001C19F3" w:rsidRPr="002A434A" w14:paraId="5D6F62A0"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261F95AA" w14:textId="77777777" w:rsidR="001C19F3" w:rsidRPr="00265264" w:rsidRDefault="001C19F3" w:rsidP="00521305">
            <w:pPr>
              <w:autoSpaceDE w:val="0"/>
              <w:autoSpaceDN w:val="0"/>
              <w:adjustRightInd w:val="0"/>
              <w:spacing w:after="0" w:line="240" w:lineRule="auto"/>
              <w:ind w:left="39"/>
              <w:rPr>
                <w:rFonts w:eastAsiaTheme="minorHAnsi" w:cs="Calibri"/>
                <w:color w:val="000000"/>
                <w:sz w:val="18"/>
                <w:szCs w:val="18"/>
              </w:rPr>
            </w:pPr>
            <w:r w:rsidRPr="00265264">
              <w:rPr>
                <w:rFonts w:eastAsiaTheme="minorHAnsi" w:cs="Calibri"/>
                <w:color w:val="000000"/>
                <w:sz w:val="18"/>
                <w:szCs w:val="18"/>
              </w:rPr>
              <w:t xml:space="preserve">Module 3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24BD5B6C"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Patient enrolment and payment processes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0F690EB6"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520</w:t>
            </w:r>
          </w:p>
        </w:tc>
        <w:tc>
          <w:tcPr>
            <w:tcW w:w="593" w:type="pct"/>
            <w:tcBorders>
              <w:top w:val="nil"/>
              <w:left w:val="nil"/>
              <w:bottom w:val="single" w:sz="8" w:space="0" w:color="BFBFBF"/>
              <w:right w:val="single" w:sz="8" w:space="0" w:color="BFBFBF"/>
            </w:tcBorders>
            <w:vAlign w:val="center"/>
          </w:tcPr>
          <w:p w14:paraId="4C6612BD"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447</w:t>
            </w:r>
          </w:p>
        </w:tc>
        <w:tc>
          <w:tcPr>
            <w:tcW w:w="593" w:type="pct"/>
            <w:tcBorders>
              <w:top w:val="nil"/>
              <w:left w:val="nil"/>
              <w:bottom w:val="single" w:sz="8" w:space="0" w:color="BFBFBF"/>
              <w:right w:val="single" w:sz="8" w:space="0" w:color="BFBFBF"/>
            </w:tcBorders>
            <w:vAlign w:val="center"/>
          </w:tcPr>
          <w:p w14:paraId="02E9C677"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86%</w:t>
            </w:r>
          </w:p>
        </w:tc>
      </w:tr>
      <w:tr w:rsidR="001C19F3" w:rsidRPr="002A434A" w14:paraId="5D5ACCCF"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15277217" w14:textId="77777777" w:rsidR="001C19F3" w:rsidRPr="00265264" w:rsidRDefault="001C19F3" w:rsidP="00521305">
            <w:pPr>
              <w:autoSpaceDE w:val="0"/>
              <w:autoSpaceDN w:val="0"/>
              <w:adjustRightInd w:val="0"/>
              <w:spacing w:after="0" w:line="240" w:lineRule="auto"/>
              <w:ind w:left="39"/>
              <w:rPr>
                <w:rFonts w:eastAsiaTheme="minorHAnsi" w:cs="Calibri"/>
                <w:color w:val="000000"/>
                <w:sz w:val="18"/>
                <w:szCs w:val="18"/>
              </w:rPr>
            </w:pPr>
            <w:r w:rsidRPr="00265264">
              <w:rPr>
                <w:rFonts w:eastAsiaTheme="minorHAnsi" w:cs="Calibri"/>
                <w:color w:val="000000"/>
                <w:sz w:val="18"/>
                <w:szCs w:val="18"/>
              </w:rPr>
              <w:t xml:space="preserve">Module 4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25509E4B"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Data driven improvement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20D57718"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412</w:t>
            </w:r>
          </w:p>
        </w:tc>
        <w:tc>
          <w:tcPr>
            <w:tcW w:w="593" w:type="pct"/>
            <w:tcBorders>
              <w:top w:val="nil"/>
              <w:left w:val="nil"/>
              <w:bottom w:val="single" w:sz="8" w:space="0" w:color="BFBFBF"/>
              <w:right w:val="single" w:sz="8" w:space="0" w:color="BFBFBF"/>
            </w:tcBorders>
            <w:vAlign w:val="center"/>
          </w:tcPr>
          <w:p w14:paraId="38469103"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348</w:t>
            </w:r>
          </w:p>
        </w:tc>
        <w:tc>
          <w:tcPr>
            <w:tcW w:w="593" w:type="pct"/>
            <w:tcBorders>
              <w:top w:val="nil"/>
              <w:left w:val="nil"/>
              <w:bottom w:val="single" w:sz="8" w:space="0" w:color="BFBFBF"/>
              <w:right w:val="single" w:sz="8" w:space="0" w:color="BFBFBF"/>
            </w:tcBorders>
            <w:vAlign w:val="center"/>
          </w:tcPr>
          <w:p w14:paraId="0635E9E6"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84%</w:t>
            </w:r>
          </w:p>
        </w:tc>
      </w:tr>
      <w:tr w:rsidR="001C19F3" w:rsidRPr="002A434A" w14:paraId="60FC32CA"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7F6FFA23"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5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05DC01DC"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Team-based care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6440132F"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374</w:t>
            </w:r>
          </w:p>
        </w:tc>
        <w:tc>
          <w:tcPr>
            <w:tcW w:w="593" w:type="pct"/>
            <w:tcBorders>
              <w:top w:val="nil"/>
              <w:left w:val="nil"/>
              <w:bottom w:val="single" w:sz="8" w:space="0" w:color="BFBFBF"/>
              <w:right w:val="single" w:sz="8" w:space="0" w:color="BFBFBF"/>
            </w:tcBorders>
            <w:vAlign w:val="center"/>
          </w:tcPr>
          <w:p w14:paraId="092CF01B"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321</w:t>
            </w:r>
          </w:p>
        </w:tc>
        <w:tc>
          <w:tcPr>
            <w:tcW w:w="593" w:type="pct"/>
            <w:tcBorders>
              <w:top w:val="nil"/>
              <w:left w:val="nil"/>
              <w:bottom w:val="single" w:sz="8" w:space="0" w:color="BFBFBF"/>
              <w:right w:val="single" w:sz="8" w:space="0" w:color="BFBFBF"/>
            </w:tcBorders>
            <w:vAlign w:val="center"/>
          </w:tcPr>
          <w:p w14:paraId="1C040338"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86%</w:t>
            </w:r>
          </w:p>
        </w:tc>
      </w:tr>
      <w:tr w:rsidR="001C19F3" w:rsidRPr="002A434A" w14:paraId="30E402F1"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4635591B"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6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07A845F7"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Developing and implementing the Shared Care Plan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5D90D072"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312</w:t>
            </w:r>
          </w:p>
        </w:tc>
        <w:tc>
          <w:tcPr>
            <w:tcW w:w="593" w:type="pct"/>
            <w:tcBorders>
              <w:top w:val="nil"/>
              <w:left w:val="nil"/>
              <w:bottom w:val="single" w:sz="8" w:space="0" w:color="BFBFBF"/>
              <w:right w:val="single" w:sz="8" w:space="0" w:color="BFBFBF"/>
            </w:tcBorders>
            <w:vAlign w:val="center"/>
          </w:tcPr>
          <w:p w14:paraId="17999CB4"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273</w:t>
            </w:r>
          </w:p>
        </w:tc>
        <w:tc>
          <w:tcPr>
            <w:tcW w:w="593" w:type="pct"/>
            <w:tcBorders>
              <w:top w:val="nil"/>
              <w:left w:val="nil"/>
              <w:bottom w:val="single" w:sz="8" w:space="0" w:color="BFBFBF"/>
              <w:right w:val="single" w:sz="8" w:space="0" w:color="BFBFBF"/>
            </w:tcBorders>
            <w:vAlign w:val="center"/>
          </w:tcPr>
          <w:p w14:paraId="7B1D5F75"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88%</w:t>
            </w:r>
          </w:p>
        </w:tc>
      </w:tr>
      <w:tr w:rsidR="001C19F3" w:rsidRPr="002A434A" w14:paraId="4B3E3A6C"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36519FB5"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7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7468B985"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Patient-team partnership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70A20A31"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270</w:t>
            </w:r>
          </w:p>
        </w:tc>
        <w:tc>
          <w:tcPr>
            <w:tcW w:w="593" w:type="pct"/>
            <w:tcBorders>
              <w:top w:val="nil"/>
              <w:left w:val="nil"/>
              <w:bottom w:val="single" w:sz="8" w:space="0" w:color="BFBFBF"/>
              <w:right w:val="single" w:sz="8" w:space="0" w:color="BFBFBF"/>
            </w:tcBorders>
            <w:vAlign w:val="center"/>
          </w:tcPr>
          <w:p w14:paraId="136DE2C7"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228</w:t>
            </w:r>
          </w:p>
        </w:tc>
        <w:tc>
          <w:tcPr>
            <w:tcW w:w="593" w:type="pct"/>
            <w:tcBorders>
              <w:top w:val="nil"/>
              <w:left w:val="nil"/>
              <w:bottom w:val="single" w:sz="8" w:space="0" w:color="BFBFBF"/>
              <w:right w:val="single" w:sz="8" w:space="0" w:color="BFBFBF"/>
            </w:tcBorders>
            <w:vAlign w:val="center"/>
          </w:tcPr>
          <w:p w14:paraId="79A1B233"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84%</w:t>
            </w:r>
          </w:p>
        </w:tc>
      </w:tr>
      <w:tr w:rsidR="001C19F3" w:rsidRPr="002A434A" w14:paraId="45103EA6"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2D5430A7"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8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11DB5455"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Comprehensive and co-ordinated care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263EF64E"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235</w:t>
            </w:r>
          </w:p>
        </w:tc>
        <w:tc>
          <w:tcPr>
            <w:tcW w:w="593" w:type="pct"/>
            <w:tcBorders>
              <w:top w:val="nil"/>
              <w:left w:val="nil"/>
              <w:bottom w:val="single" w:sz="8" w:space="0" w:color="BFBFBF"/>
              <w:right w:val="single" w:sz="8" w:space="0" w:color="BFBFBF"/>
            </w:tcBorders>
            <w:vAlign w:val="center"/>
          </w:tcPr>
          <w:p w14:paraId="587BD55E"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198</w:t>
            </w:r>
          </w:p>
        </w:tc>
        <w:tc>
          <w:tcPr>
            <w:tcW w:w="593" w:type="pct"/>
            <w:tcBorders>
              <w:top w:val="nil"/>
              <w:left w:val="nil"/>
              <w:bottom w:val="single" w:sz="8" w:space="0" w:color="BFBFBF"/>
              <w:right w:val="single" w:sz="8" w:space="0" w:color="BFBFBF"/>
            </w:tcBorders>
            <w:vAlign w:val="center"/>
          </w:tcPr>
          <w:p w14:paraId="21B5587C"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84%</w:t>
            </w:r>
          </w:p>
        </w:tc>
      </w:tr>
      <w:tr w:rsidR="001C19F3" w:rsidRPr="002A434A" w14:paraId="676D7178"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1B404996"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9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0C53CCD2"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Prompt access to care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05E55927"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213</w:t>
            </w:r>
          </w:p>
        </w:tc>
        <w:tc>
          <w:tcPr>
            <w:tcW w:w="593" w:type="pct"/>
            <w:tcBorders>
              <w:top w:val="nil"/>
              <w:left w:val="nil"/>
              <w:bottom w:val="single" w:sz="8" w:space="0" w:color="BFBFBF"/>
              <w:right w:val="single" w:sz="8" w:space="0" w:color="BFBFBF"/>
            </w:tcBorders>
            <w:vAlign w:val="center"/>
          </w:tcPr>
          <w:p w14:paraId="4A99DDDF"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189</w:t>
            </w:r>
          </w:p>
        </w:tc>
        <w:tc>
          <w:tcPr>
            <w:tcW w:w="593" w:type="pct"/>
            <w:tcBorders>
              <w:top w:val="nil"/>
              <w:left w:val="nil"/>
              <w:bottom w:val="single" w:sz="8" w:space="0" w:color="BFBFBF"/>
              <w:right w:val="single" w:sz="8" w:space="0" w:color="BFBFBF"/>
            </w:tcBorders>
            <w:vAlign w:val="center"/>
          </w:tcPr>
          <w:p w14:paraId="0BE19067"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89%</w:t>
            </w:r>
          </w:p>
        </w:tc>
      </w:tr>
      <w:tr w:rsidR="001C19F3" w:rsidRPr="002A434A" w14:paraId="43E4AE14"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6CA6EF51"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10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5B37F7C0"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Population management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0D286E60"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194</w:t>
            </w:r>
          </w:p>
        </w:tc>
        <w:tc>
          <w:tcPr>
            <w:tcW w:w="593" w:type="pct"/>
            <w:tcBorders>
              <w:top w:val="nil"/>
              <w:left w:val="nil"/>
              <w:bottom w:val="single" w:sz="8" w:space="0" w:color="BFBFBF"/>
              <w:right w:val="single" w:sz="8" w:space="0" w:color="BFBFBF"/>
            </w:tcBorders>
            <w:vAlign w:val="center"/>
          </w:tcPr>
          <w:p w14:paraId="631F0262"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161</w:t>
            </w:r>
          </w:p>
        </w:tc>
        <w:tc>
          <w:tcPr>
            <w:tcW w:w="593" w:type="pct"/>
            <w:tcBorders>
              <w:top w:val="nil"/>
              <w:left w:val="nil"/>
              <w:bottom w:val="single" w:sz="8" w:space="0" w:color="BFBFBF"/>
              <w:right w:val="single" w:sz="8" w:space="0" w:color="BFBFBF"/>
            </w:tcBorders>
            <w:vAlign w:val="center"/>
          </w:tcPr>
          <w:p w14:paraId="37AB5B91"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83%</w:t>
            </w:r>
          </w:p>
        </w:tc>
      </w:tr>
      <w:tr w:rsidR="001C19F3" w:rsidRPr="002A434A" w14:paraId="000415EB" w14:textId="77777777" w:rsidTr="00521305">
        <w:trPr>
          <w:trHeight w:val="283"/>
          <w:jc w:val="center"/>
        </w:trPr>
        <w:tc>
          <w:tcPr>
            <w:tcW w:w="546" w:type="pct"/>
            <w:tcBorders>
              <w:top w:val="single" w:sz="8" w:space="0" w:color="BFBFBF"/>
              <w:left w:val="single" w:sz="8" w:space="0" w:color="BFBFBF"/>
              <w:bottom w:val="single" w:sz="8" w:space="0" w:color="BFBFBF"/>
            </w:tcBorders>
            <w:vAlign w:val="center"/>
          </w:tcPr>
          <w:p w14:paraId="36F71E64" w14:textId="77777777" w:rsidR="001C19F3" w:rsidRPr="00265264" w:rsidRDefault="001C19F3" w:rsidP="00521305">
            <w:pPr>
              <w:autoSpaceDE w:val="0"/>
              <w:autoSpaceDN w:val="0"/>
              <w:adjustRightInd w:val="0"/>
              <w:spacing w:after="0" w:line="240" w:lineRule="auto"/>
              <w:ind w:left="39" w:right="6"/>
              <w:rPr>
                <w:rFonts w:eastAsiaTheme="minorHAnsi" w:cs="Calibri"/>
                <w:color w:val="000000"/>
                <w:sz w:val="18"/>
                <w:szCs w:val="18"/>
              </w:rPr>
            </w:pPr>
            <w:r w:rsidRPr="00265264">
              <w:rPr>
                <w:rFonts w:eastAsiaTheme="minorHAnsi" w:cs="Calibri"/>
                <w:color w:val="000000"/>
                <w:sz w:val="18"/>
                <w:szCs w:val="18"/>
              </w:rPr>
              <w:t xml:space="preserve">Module 11 </w:t>
            </w:r>
          </w:p>
        </w:tc>
        <w:tc>
          <w:tcPr>
            <w:tcW w:w="2675" w:type="pct"/>
            <w:tcBorders>
              <w:top w:val="single" w:sz="8" w:space="0" w:color="BFBFBF"/>
              <w:bottom w:val="single" w:sz="8" w:space="0" w:color="BFBFBF"/>
              <w:right w:val="single" w:sz="8" w:space="0" w:color="BFBFBF"/>
            </w:tcBorders>
            <w:noWrap/>
            <w:tcMar>
              <w:top w:w="0" w:type="dxa"/>
              <w:left w:w="108" w:type="dxa"/>
              <w:bottom w:w="0" w:type="dxa"/>
              <w:right w:w="108" w:type="dxa"/>
            </w:tcMar>
            <w:vAlign w:val="center"/>
          </w:tcPr>
          <w:p w14:paraId="4155B619" w14:textId="77777777" w:rsidR="001C19F3" w:rsidRPr="00265264" w:rsidRDefault="001C19F3" w:rsidP="00521305">
            <w:pPr>
              <w:autoSpaceDE w:val="0"/>
              <w:autoSpaceDN w:val="0"/>
              <w:adjustRightInd w:val="0"/>
              <w:spacing w:after="0" w:line="240" w:lineRule="auto"/>
              <w:rPr>
                <w:rFonts w:eastAsiaTheme="minorHAnsi" w:cs="Calibri"/>
                <w:color w:val="000000"/>
                <w:sz w:val="18"/>
                <w:szCs w:val="18"/>
              </w:rPr>
            </w:pPr>
            <w:r w:rsidRPr="00265264">
              <w:rPr>
                <w:rFonts w:eastAsiaTheme="minorHAnsi" w:cs="Calibri"/>
                <w:color w:val="000000"/>
                <w:sz w:val="18"/>
                <w:szCs w:val="18"/>
              </w:rPr>
              <w:t xml:space="preserve">Quality primary care into the future </w:t>
            </w:r>
          </w:p>
        </w:tc>
        <w:tc>
          <w:tcPr>
            <w:tcW w:w="593" w:type="pct"/>
            <w:tcBorders>
              <w:top w:val="nil"/>
              <w:left w:val="nil"/>
              <w:bottom w:val="single" w:sz="8" w:space="0" w:color="BFBFBF"/>
              <w:right w:val="single" w:sz="8" w:space="0" w:color="BFBFBF"/>
            </w:tcBorders>
            <w:noWrap/>
            <w:tcMar>
              <w:top w:w="0" w:type="dxa"/>
              <w:left w:w="108" w:type="dxa"/>
              <w:bottom w:w="0" w:type="dxa"/>
              <w:right w:w="108" w:type="dxa"/>
            </w:tcMar>
            <w:vAlign w:val="center"/>
          </w:tcPr>
          <w:p w14:paraId="1037B9C6" w14:textId="77777777" w:rsidR="001C19F3" w:rsidRPr="00265264" w:rsidRDefault="001C19F3" w:rsidP="00521305">
            <w:pPr>
              <w:autoSpaceDE w:val="0"/>
              <w:autoSpaceDN w:val="0"/>
              <w:adjustRightInd w:val="0"/>
              <w:spacing w:after="0" w:line="240" w:lineRule="auto"/>
              <w:jc w:val="right"/>
              <w:rPr>
                <w:rFonts w:eastAsiaTheme="minorHAnsi" w:cs="Calibri"/>
                <w:color w:val="000000"/>
                <w:sz w:val="18"/>
                <w:szCs w:val="18"/>
              </w:rPr>
            </w:pPr>
            <w:r w:rsidRPr="00265264">
              <w:rPr>
                <w:rFonts w:eastAsiaTheme="minorHAnsi" w:cs="Calibri"/>
                <w:color w:val="000000"/>
                <w:sz w:val="18"/>
                <w:szCs w:val="18"/>
              </w:rPr>
              <w:t>101</w:t>
            </w:r>
          </w:p>
        </w:tc>
        <w:tc>
          <w:tcPr>
            <w:tcW w:w="593" w:type="pct"/>
            <w:tcBorders>
              <w:top w:val="nil"/>
              <w:left w:val="nil"/>
              <w:bottom w:val="single" w:sz="8" w:space="0" w:color="BFBFBF"/>
              <w:right w:val="single" w:sz="8" w:space="0" w:color="BFBFBF"/>
            </w:tcBorders>
            <w:vAlign w:val="center"/>
          </w:tcPr>
          <w:p w14:paraId="44DE887E" w14:textId="77777777" w:rsidR="001C19F3" w:rsidRPr="00265264"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65264">
              <w:rPr>
                <w:rFonts w:eastAsiaTheme="minorHAnsi" w:cs="Calibri"/>
                <w:color w:val="000000"/>
                <w:sz w:val="18"/>
                <w:szCs w:val="18"/>
              </w:rPr>
              <w:t>78</w:t>
            </w:r>
          </w:p>
        </w:tc>
        <w:tc>
          <w:tcPr>
            <w:tcW w:w="593" w:type="pct"/>
            <w:tcBorders>
              <w:top w:val="nil"/>
              <w:left w:val="nil"/>
              <w:bottom w:val="single" w:sz="8" w:space="0" w:color="BFBFBF"/>
              <w:right w:val="single" w:sz="8" w:space="0" w:color="BFBFBF"/>
            </w:tcBorders>
            <w:vAlign w:val="center"/>
          </w:tcPr>
          <w:p w14:paraId="28272005" w14:textId="77777777" w:rsidR="001C19F3" w:rsidRPr="002A434A" w:rsidRDefault="001C19F3" w:rsidP="00521305">
            <w:pPr>
              <w:autoSpaceDE w:val="0"/>
              <w:autoSpaceDN w:val="0"/>
              <w:adjustRightInd w:val="0"/>
              <w:spacing w:after="0" w:line="240" w:lineRule="auto"/>
              <w:ind w:right="81"/>
              <w:jc w:val="right"/>
              <w:rPr>
                <w:rFonts w:eastAsiaTheme="minorHAnsi" w:cs="Calibri"/>
                <w:color w:val="000000"/>
                <w:sz w:val="18"/>
                <w:szCs w:val="18"/>
              </w:rPr>
            </w:pPr>
            <w:r w:rsidRPr="002A434A">
              <w:rPr>
                <w:rFonts w:eastAsiaTheme="minorHAnsi" w:cs="Calibri"/>
                <w:color w:val="000000"/>
                <w:sz w:val="18"/>
                <w:szCs w:val="18"/>
              </w:rPr>
              <w:t>77%</w:t>
            </w:r>
          </w:p>
        </w:tc>
      </w:tr>
    </w:tbl>
    <w:p w14:paraId="37C99164" w14:textId="77777777" w:rsidR="001C19F3" w:rsidRPr="001B56A0" w:rsidRDefault="001C19F3" w:rsidP="001C19F3">
      <w:pPr>
        <w:pStyle w:val="Chartortablefootnote"/>
      </w:pPr>
      <w:r w:rsidRPr="001B56A0">
        <w:t>Source: AGPAL, September 2018, Notes: * As at 6 September 2018.</w:t>
      </w:r>
    </w:p>
    <w:p w14:paraId="4ADB8BEF" w14:textId="77777777" w:rsidR="001C19F3" w:rsidRDefault="001C19F3" w:rsidP="001C19F3">
      <w:r>
        <w:t xml:space="preserve">Twenty-seven </w:t>
      </w:r>
      <w:r w:rsidRPr="00E84795">
        <w:t xml:space="preserve">GPs and 57 nurses completed the foundation modules (1 to 4), and 10 GPs and 11 </w:t>
      </w:r>
      <w:r w:rsidRPr="00AE37CC">
        <w:t xml:space="preserve">nurses completed the implementation modules (5-11). </w:t>
      </w:r>
      <w:r>
        <w:t>Based on the staffing numbers received through the Round 1 practice survey, the numbers completing the foundation modules represent</w:t>
      </w:r>
      <w:r w:rsidRPr="00AE37CC">
        <w:t xml:space="preserve"> approximately 5% of the GPs participating in HCH and 9% of nurses</w:t>
      </w:r>
      <w:r w:rsidRPr="00E84795">
        <w:t xml:space="preserve">. </w:t>
      </w:r>
    </w:p>
    <w:p w14:paraId="63943906" w14:textId="77777777" w:rsidR="001C19F3" w:rsidRDefault="001C19F3" w:rsidP="001C19F3">
      <w:r>
        <w:t xml:space="preserve">The </w:t>
      </w:r>
      <w:r w:rsidRPr="00E84795">
        <w:t>AGPAL</w:t>
      </w:r>
      <w:r>
        <w:t xml:space="preserve"> data indicates </w:t>
      </w:r>
      <w:r w:rsidRPr="00E84795">
        <w:t xml:space="preserve">that individuals </w:t>
      </w:r>
      <w:r>
        <w:t xml:space="preserve">who </w:t>
      </w:r>
      <w:r w:rsidRPr="00E84795">
        <w:t>completed the modules reported improved understanding or confidence in the topic are</w:t>
      </w:r>
      <w:r>
        <w:t>a</w:t>
      </w:r>
      <w:r w:rsidRPr="00E84795">
        <w:t xml:space="preserve"> following the completion of the module.</w:t>
      </w:r>
    </w:p>
    <w:p w14:paraId="485C75EB" w14:textId="77777777" w:rsidR="001C19F3" w:rsidRDefault="001C19F3" w:rsidP="001C19F3">
      <w:r>
        <w:t xml:space="preserve">Through the practice survey, practices rated the effectiveness of the online modules. This is shown in </w:t>
      </w:r>
      <w:r>
        <w:fldChar w:fldCharType="begin"/>
      </w:r>
      <w:r>
        <w:instrText xml:space="preserve"> REF _Ref21026112 \h </w:instrText>
      </w:r>
      <w:r>
        <w:fldChar w:fldCharType="separate"/>
      </w:r>
      <w:r>
        <w:t xml:space="preserve">Table </w:t>
      </w:r>
      <w:r>
        <w:rPr>
          <w:noProof/>
        </w:rPr>
        <w:t>34</w:t>
      </w:r>
      <w:r>
        <w:fldChar w:fldCharType="end"/>
      </w:r>
      <w:r>
        <w:t>.</w:t>
      </w:r>
    </w:p>
    <w:p w14:paraId="1E2490F0" w14:textId="77777777" w:rsidR="001C19F3" w:rsidRDefault="001C19F3" w:rsidP="001C19F3">
      <w:pPr>
        <w:pStyle w:val="Caption1"/>
        <w:spacing w:after="0" w:line="276" w:lineRule="auto"/>
      </w:pPr>
      <w:bookmarkStart w:id="223" w:name="_Ref21026112"/>
      <w:bookmarkStart w:id="224" w:name="_Hlk22642742"/>
      <w:r>
        <w:t xml:space="preserve">Table </w:t>
      </w:r>
      <w:r>
        <w:fldChar w:fldCharType="begin"/>
      </w:r>
      <w:r>
        <w:instrText>SEQ Table \* ARABIC</w:instrText>
      </w:r>
      <w:r>
        <w:fldChar w:fldCharType="separate"/>
      </w:r>
      <w:r>
        <w:rPr>
          <w:noProof/>
        </w:rPr>
        <w:t>34</w:t>
      </w:r>
      <w:r>
        <w:fldChar w:fldCharType="end"/>
      </w:r>
      <w:bookmarkEnd w:id="223"/>
      <w:r>
        <w:t xml:space="preserve"> – Rating of the effectiveness of the HCH online training modules</w:t>
      </w:r>
    </w:p>
    <w:tbl>
      <w:tblPr>
        <w:tblW w:w="5000" w:type="pct"/>
        <w:jc w:val="center"/>
        <w:tblLook w:val="04A0" w:firstRow="1" w:lastRow="0" w:firstColumn="1" w:lastColumn="0" w:noHBand="0" w:noVBand="1"/>
      </w:tblPr>
      <w:tblGrid>
        <w:gridCol w:w="3818"/>
        <w:gridCol w:w="1297"/>
        <w:gridCol w:w="1297"/>
        <w:gridCol w:w="1297"/>
        <w:gridCol w:w="1297"/>
      </w:tblGrid>
      <w:tr w:rsidR="001C19F3" w14:paraId="25DE6CF8" w14:textId="77777777" w:rsidTr="00521305">
        <w:trPr>
          <w:cantSplit/>
          <w:tblHeader/>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224"/>
          <w:p w14:paraId="7BD9157C" w14:textId="77777777" w:rsidR="001C19F3" w:rsidRDefault="001C19F3" w:rsidP="00521305">
            <w:pPr>
              <w:spacing w:after="0"/>
              <w:jc w:val="center"/>
            </w:pPr>
            <w:r>
              <w:rPr>
                <w:rFonts w:eastAsia="Century Gothic" w:cs="Century Gothic"/>
                <w:b/>
                <w:color w:val="FFFFFF"/>
                <w:sz w:val="18"/>
                <w:szCs w:val="18"/>
              </w:rPr>
              <w:t>Module</w:t>
            </w:r>
          </w:p>
        </w:tc>
        <w:tc>
          <w:tcPr>
            <w:tcW w:w="72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21A2F21" w14:textId="77777777" w:rsidR="001C19F3" w:rsidRDefault="001C19F3" w:rsidP="00521305">
            <w:pPr>
              <w:spacing w:after="0"/>
              <w:jc w:val="center"/>
            </w:pPr>
            <w:r>
              <w:rPr>
                <w:rFonts w:eastAsia="Century Gothic" w:cs="Century Gothic"/>
                <w:b/>
                <w:color w:val="FFFFFF"/>
                <w:sz w:val="18"/>
                <w:szCs w:val="18"/>
              </w:rPr>
              <w:t>Very effective</w:t>
            </w:r>
          </w:p>
        </w:tc>
        <w:tc>
          <w:tcPr>
            <w:tcW w:w="72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18EF335" w14:textId="77777777" w:rsidR="001C19F3" w:rsidRDefault="001C19F3" w:rsidP="00521305">
            <w:pPr>
              <w:spacing w:after="0"/>
              <w:jc w:val="center"/>
            </w:pPr>
            <w:r>
              <w:rPr>
                <w:rFonts w:eastAsia="Century Gothic" w:cs="Century Gothic"/>
                <w:b/>
                <w:color w:val="FFFFFF"/>
                <w:sz w:val="18"/>
                <w:szCs w:val="18"/>
              </w:rPr>
              <w:t>Moderately effective</w:t>
            </w:r>
          </w:p>
        </w:tc>
        <w:tc>
          <w:tcPr>
            <w:tcW w:w="72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4151982" w14:textId="77777777" w:rsidR="001C19F3" w:rsidRDefault="001C19F3" w:rsidP="00521305">
            <w:pPr>
              <w:spacing w:after="0"/>
              <w:jc w:val="center"/>
            </w:pPr>
            <w:r>
              <w:rPr>
                <w:rFonts w:eastAsia="Century Gothic" w:cs="Century Gothic"/>
                <w:b/>
                <w:color w:val="FFFFFF"/>
                <w:sz w:val="18"/>
                <w:szCs w:val="18"/>
              </w:rPr>
              <w:t>A little effective</w:t>
            </w:r>
          </w:p>
        </w:tc>
        <w:tc>
          <w:tcPr>
            <w:tcW w:w="72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8808796" w14:textId="77777777" w:rsidR="001C19F3" w:rsidRDefault="001C19F3" w:rsidP="00521305">
            <w:pPr>
              <w:spacing w:after="0"/>
              <w:jc w:val="center"/>
            </w:pPr>
            <w:r>
              <w:rPr>
                <w:rFonts w:eastAsia="Century Gothic" w:cs="Century Gothic"/>
                <w:b/>
                <w:color w:val="FFFFFF"/>
                <w:sz w:val="18"/>
                <w:szCs w:val="18"/>
              </w:rPr>
              <w:t>Ineffective</w:t>
            </w:r>
          </w:p>
        </w:tc>
      </w:tr>
      <w:tr w:rsidR="001C19F3" w14:paraId="2C75D771"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073A03"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1: Overview of the HCH model</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496FB6" w14:textId="77777777" w:rsidR="001C19F3" w:rsidRDefault="001C19F3" w:rsidP="00521305">
            <w:pPr>
              <w:spacing w:before="40" w:after="40"/>
              <w:ind w:left="100" w:right="100"/>
              <w:jc w:val="right"/>
            </w:pPr>
            <w:r>
              <w:rPr>
                <w:rFonts w:eastAsia="Century Gothic" w:cs="Century Gothic"/>
                <w:color w:val="000000"/>
                <w:sz w:val="18"/>
                <w:szCs w:val="18"/>
              </w:rPr>
              <w:t>12 (15.6%)</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4F852A" w14:textId="77777777" w:rsidR="001C19F3" w:rsidRDefault="001C19F3" w:rsidP="00521305">
            <w:pPr>
              <w:spacing w:before="40" w:after="40"/>
              <w:ind w:left="100" w:right="100"/>
              <w:jc w:val="right"/>
            </w:pPr>
            <w:r>
              <w:rPr>
                <w:rFonts w:eastAsia="Century Gothic" w:cs="Century Gothic"/>
                <w:color w:val="000000"/>
                <w:sz w:val="18"/>
                <w:szCs w:val="18"/>
              </w:rPr>
              <w:t>34 (44.2%)</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B47366" w14:textId="77777777" w:rsidR="001C19F3" w:rsidRDefault="001C19F3" w:rsidP="00521305">
            <w:pPr>
              <w:spacing w:before="40" w:after="40"/>
              <w:ind w:left="100" w:right="100"/>
              <w:jc w:val="right"/>
            </w:pPr>
            <w:r>
              <w:rPr>
                <w:rFonts w:eastAsia="Century Gothic" w:cs="Century Gothic"/>
                <w:color w:val="000000"/>
                <w:sz w:val="18"/>
                <w:szCs w:val="18"/>
              </w:rPr>
              <w:t>23 (29.9%)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BBF36A" w14:textId="77777777" w:rsidR="001C19F3" w:rsidRDefault="001C19F3" w:rsidP="00521305">
            <w:pPr>
              <w:spacing w:before="40" w:after="40"/>
              <w:ind w:left="100" w:right="100"/>
              <w:jc w:val="right"/>
            </w:pPr>
            <w:r>
              <w:rPr>
                <w:rFonts w:eastAsia="Century Gothic" w:cs="Century Gothic"/>
                <w:color w:val="000000"/>
                <w:sz w:val="18"/>
                <w:szCs w:val="18"/>
              </w:rPr>
              <w:t>8 (10.4%)</w:t>
            </w:r>
          </w:p>
        </w:tc>
      </w:tr>
      <w:tr w:rsidR="001C19F3" w14:paraId="51CED16D"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D6CACA"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2: Engaged leadership</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2E7ED3" w14:textId="77777777" w:rsidR="001C19F3" w:rsidRDefault="001C19F3" w:rsidP="00521305">
            <w:pPr>
              <w:spacing w:before="40" w:after="40"/>
              <w:ind w:left="100" w:right="100"/>
              <w:jc w:val="right"/>
            </w:pPr>
            <w:r>
              <w:rPr>
                <w:rFonts w:eastAsia="Century Gothic" w:cs="Century Gothic"/>
                <w:color w:val="000000"/>
                <w:sz w:val="18"/>
                <w:szCs w:val="18"/>
              </w:rPr>
              <w:t>11 (14.9%)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C43D84" w14:textId="77777777" w:rsidR="001C19F3" w:rsidRDefault="001C19F3" w:rsidP="00521305">
            <w:pPr>
              <w:spacing w:before="40" w:after="40"/>
              <w:ind w:left="100" w:right="100"/>
              <w:jc w:val="right"/>
            </w:pPr>
            <w:r>
              <w:rPr>
                <w:rFonts w:eastAsia="Century Gothic" w:cs="Century Gothic"/>
                <w:color w:val="000000"/>
                <w:sz w:val="18"/>
                <w:szCs w:val="18"/>
              </w:rPr>
              <w:t>32 (43.2%)</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78DB21" w14:textId="77777777" w:rsidR="001C19F3" w:rsidRDefault="001C19F3" w:rsidP="00521305">
            <w:pPr>
              <w:spacing w:before="40" w:after="40"/>
              <w:ind w:left="100" w:right="100"/>
              <w:jc w:val="right"/>
            </w:pPr>
            <w:r>
              <w:rPr>
                <w:rFonts w:eastAsia="Century Gothic" w:cs="Century Gothic"/>
                <w:color w:val="000000"/>
                <w:sz w:val="18"/>
                <w:szCs w:val="18"/>
              </w:rPr>
              <w:t>20 (27.0%)</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7B4339" w14:textId="77777777" w:rsidR="001C19F3" w:rsidRDefault="001C19F3" w:rsidP="00521305">
            <w:pPr>
              <w:spacing w:before="40" w:after="40"/>
              <w:ind w:left="100" w:right="100"/>
              <w:jc w:val="right"/>
            </w:pPr>
            <w:r>
              <w:rPr>
                <w:rFonts w:eastAsia="Century Gothic" w:cs="Century Gothic"/>
                <w:color w:val="000000"/>
                <w:sz w:val="18"/>
                <w:szCs w:val="18"/>
              </w:rPr>
              <w:t>11 (14.9%)</w:t>
            </w:r>
          </w:p>
        </w:tc>
      </w:tr>
      <w:tr w:rsidR="001C19F3" w14:paraId="04CC462C"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4515C6"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3: Patient enrolment (incl. risk stratification) and payment processes</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60F1DF" w14:textId="77777777" w:rsidR="001C19F3" w:rsidRDefault="001C19F3" w:rsidP="00521305">
            <w:pPr>
              <w:spacing w:before="40" w:after="40"/>
              <w:ind w:left="100" w:right="100"/>
              <w:jc w:val="right"/>
            </w:pPr>
            <w:r>
              <w:rPr>
                <w:rFonts w:eastAsia="Century Gothic" w:cs="Century Gothic"/>
                <w:color w:val="000000"/>
                <w:sz w:val="18"/>
                <w:szCs w:val="18"/>
              </w:rPr>
              <w:t>14 (18.9%)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2BC08B" w14:textId="77777777" w:rsidR="001C19F3" w:rsidRDefault="001C19F3" w:rsidP="00521305">
            <w:pPr>
              <w:spacing w:before="40" w:after="40"/>
              <w:ind w:left="100" w:right="100"/>
              <w:jc w:val="right"/>
            </w:pPr>
            <w:r>
              <w:rPr>
                <w:rFonts w:eastAsia="Century Gothic" w:cs="Century Gothic"/>
                <w:color w:val="000000"/>
                <w:sz w:val="18"/>
                <w:szCs w:val="18"/>
              </w:rPr>
              <w:t>31 (41.9%)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8667BD" w14:textId="77777777" w:rsidR="001C19F3" w:rsidRDefault="001C19F3" w:rsidP="00521305">
            <w:pPr>
              <w:spacing w:before="40" w:after="40"/>
              <w:ind w:left="100" w:right="100"/>
              <w:jc w:val="right"/>
            </w:pPr>
            <w:r>
              <w:rPr>
                <w:rFonts w:eastAsia="Century Gothic" w:cs="Century Gothic"/>
                <w:color w:val="000000"/>
                <w:sz w:val="18"/>
                <w:szCs w:val="18"/>
              </w:rPr>
              <w:t>18 (24.3%)</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46B64C" w14:textId="77777777" w:rsidR="001C19F3" w:rsidRDefault="001C19F3" w:rsidP="00521305">
            <w:pPr>
              <w:spacing w:before="40" w:after="40"/>
              <w:ind w:left="100" w:right="100"/>
              <w:jc w:val="right"/>
            </w:pPr>
            <w:r>
              <w:rPr>
                <w:rFonts w:eastAsia="Century Gothic" w:cs="Century Gothic"/>
                <w:color w:val="000000"/>
                <w:sz w:val="18"/>
                <w:szCs w:val="18"/>
              </w:rPr>
              <w:t>11 (14.9%)</w:t>
            </w:r>
          </w:p>
        </w:tc>
      </w:tr>
      <w:tr w:rsidR="001C19F3" w14:paraId="49CF3A9C"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ACC12E"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4: Data-driven improvement</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7BC839" w14:textId="77777777" w:rsidR="001C19F3" w:rsidRDefault="001C19F3" w:rsidP="00521305">
            <w:pPr>
              <w:spacing w:before="40" w:after="40"/>
              <w:ind w:left="100" w:right="100"/>
              <w:jc w:val="right"/>
            </w:pPr>
            <w:r>
              <w:rPr>
                <w:rFonts w:eastAsia="Century Gothic" w:cs="Century Gothic"/>
                <w:color w:val="000000"/>
                <w:sz w:val="18"/>
                <w:szCs w:val="18"/>
              </w:rPr>
              <w:t>14 (19.4%)</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BCE343" w14:textId="77777777" w:rsidR="001C19F3" w:rsidRDefault="001C19F3" w:rsidP="00521305">
            <w:pPr>
              <w:spacing w:before="40" w:after="40"/>
              <w:ind w:left="100" w:right="100"/>
              <w:jc w:val="right"/>
            </w:pPr>
            <w:r>
              <w:rPr>
                <w:rFonts w:eastAsia="Century Gothic" w:cs="Century Gothic"/>
                <w:color w:val="000000"/>
                <w:sz w:val="18"/>
                <w:szCs w:val="18"/>
              </w:rPr>
              <w:t>28 (38.9%)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674FCA" w14:textId="77777777" w:rsidR="001C19F3" w:rsidRDefault="001C19F3" w:rsidP="00521305">
            <w:pPr>
              <w:spacing w:before="40" w:after="40"/>
              <w:ind w:left="100" w:right="100"/>
              <w:jc w:val="right"/>
            </w:pPr>
            <w:r>
              <w:rPr>
                <w:rFonts w:eastAsia="Century Gothic" w:cs="Century Gothic"/>
                <w:color w:val="000000"/>
                <w:sz w:val="18"/>
                <w:szCs w:val="18"/>
              </w:rPr>
              <w:t>21 (29.2%)</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6CD90A" w14:textId="77777777" w:rsidR="001C19F3" w:rsidRDefault="001C19F3" w:rsidP="00521305">
            <w:pPr>
              <w:spacing w:before="40" w:after="40"/>
              <w:ind w:left="100" w:right="100"/>
              <w:jc w:val="right"/>
            </w:pPr>
            <w:r>
              <w:rPr>
                <w:rFonts w:eastAsia="Century Gothic" w:cs="Century Gothic"/>
                <w:color w:val="000000"/>
                <w:sz w:val="18"/>
                <w:szCs w:val="18"/>
              </w:rPr>
              <w:t>9 (12.5%)</w:t>
            </w:r>
          </w:p>
        </w:tc>
      </w:tr>
      <w:tr w:rsidR="001C19F3" w14:paraId="7335BDFD"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0854C1"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5: Team-based care</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A8410A" w14:textId="77777777" w:rsidR="001C19F3" w:rsidRDefault="001C19F3" w:rsidP="00521305">
            <w:pPr>
              <w:spacing w:before="40" w:after="40"/>
              <w:ind w:left="100" w:right="100"/>
              <w:jc w:val="right"/>
            </w:pPr>
            <w:r>
              <w:rPr>
                <w:rFonts w:eastAsia="Century Gothic" w:cs="Century Gothic"/>
                <w:color w:val="000000"/>
                <w:sz w:val="18"/>
                <w:szCs w:val="18"/>
              </w:rPr>
              <w:t>15 (21.1%)</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D3D6B4" w14:textId="77777777" w:rsidR="001C19F3" w:rsidRDefault="001C19F3" w:rsidP="00521305">
            <w:pPr>
              <w:spacing w:before="40" w:after="40"/>
              <w:ind w:left="100" w:right="100"/>
              <w:jc w:val="right"/>
            </w:pPr>
            <w:r>
              <w:rPr>
                <w:rFonts w:eastAsia="Century Gothic" w:cs="Century Gothic"/>
                <w:color w:val="000000"/>
                <w:sz w:val="18"/>
                <w:szCs w:val="18"/>
              </w:rPr>
              <w:t>29 (40.8%)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E08876" w14:textId="77777777" w:rsidR="001C19F3" w:rsidRDefault="001C19F3" w:rsidP="00521305">
            <w:pPr>
              <w:spacing w:before="40" w:after="40"/>
              <w:ind w:left="100" w:right="100"/>
              <w:jc w:val="right"/>
            </w:pPr>
            <w:r>
              <w:rPr>
                <w:rFonts w:eastAsia="Century Gothic" w:cs="Century Gothic"/>
                <w:color w:val="000000"/>
                <w:sz w:val="18"/>
                <w:szCs w:val="18"/>
              </w:rPr>
              <w:t>19 (26.8%)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E0053C" w14:textId="77777777" w:rsidR="001C19F3" w:rsidRDefault="001C19F3" w:rsidP="00521305">
            <w:pPr>
              <w:spacing w:before="40" w:after="40"/>
              <w:ind w:left="100" w:right="100"/>
              <w:jc w:val="right"/>
            </w:pPr>
            <w:r>
              <w:rPr>
                <w:rFonts w:eastAsia="Century Gothic" w:cs="Century Gothic"/>
                <w:color w:val="000000"/>
                <w:sz w:val="18"/>
                <w:szCs w:val="18"/>
              </w:rPr>
              <w:t>8 (11.3%)</w:t>
            </w:r>
          </w:p>
        </w:tc>
      </w:tr>
      <w:tr w:rsidR="001C19F3" w14:paraId="15CB03C2"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C68207"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6: Developing and implementing the shared care plan</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772EC5" w14:textId="77777777" w:rsidR="001C19F3" w:rsidRDefault="001C19F3" w:rsidP="00521305">
            <w:pPr>
              <w:spacing w:before="40" w:after="40"/>
              <w:ind w:left="100" w:right="100"/>
              <w:jc w:val="right"/>
            </w:pPr>
            <w:r>
              <w:rPr>
                <w:rFonts w:eastAsia="Century Gothic" w:cs="Century Gothic"/>
                <w:color w:val="000000"/>
                <w:sz w:val="18"/>
                <w:szCs w:val="18"/>
              </w:rPr>
              <w:t>12 (17.9%)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4A0884" w14:textId="77777777" w:rsidR="001C19F3" w:rsidRDefault="001C19F3" w:rsidP="00521305">
            <w:pPr>
              <w:spacing w:before="40" w:after="40"/>
              <w:ind w:left="100" w:right="100"/>
              <w:jc w:val="right"/>
            </w:pPr>
            <w:r>
              <w:rPr>
                <w:rFonts w:eastAsia="Century Gothic" w:cs="Century Gothic"/>
                <w:color w:val="000000"/>
                <w:sz w:val="18"/>
                <w:szCs w:val="18"/>
              </w:rPr>
              <w:t>28 (41.8%)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359EB3" w14:textId="77777777" w:rsidR="001C19F3" w:rsidRDefault="001C19F3" w:rsidP="00521305">
            <w:pPr>
              <w:spacing w:before="40" w:after="40"/>
              <w:ind w:left="100" w:right="100"/>
              <w:jc w:val="right"/>
            </w:pPr>
            <w:r>
              <w:rPr>
                <w:rFonts w:eastAsia="Century Gothic" w:cs="Century Gothic"/>
                <w:color w:val="000000"/>
                <w:sz w:val="18"/>
                <w:szCs w:val="18"/>
              </w:rPr>
              <w:t>16 (23.9%)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15FE55" w14:textId="77777777" w:rsidR="001C19F3" w:rsidRDefault="001C19F3" w:rsidP="00521305">
            <w:pPr>
              <w:spacing w:before="40" w:after="40"/>
              <w:ind w:left="100" w:right="100"/>
              <w:jc w:val="right"/>
            </w:pPr>
            <w:r>
              <w:rPr>
                <w:rFonts w:eastAsia="Century Gothic" w:cs="Century Gothic"/>
                <w:color w:val="000000"/>
                <w:sz w:val="18"/>
                <w:szCs w:val="18"/>
              </w:rPr>
              <w:t>11 (16.4%)</w:t>
            </w:r>
          </w:p>
        </w:tc>
      </w:tr>
      <w:tr w:rsidR="001C19F3" w14:paraId="68CB3226"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5BED23"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7: Patient-team partnership</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A53260" w14:textId="77777777" w:rsidR="001C19F3" w:rsidRDefault="001C19F3" w:rsidP="00521305">
            <w:pPr>
              <w:spacing w:before="40" w:after="40"/>
              <w:ind w:left="100" w:right="100"/>
              <w:jc w:val="right"/>
            </w:pPr>
            <w:r>
              <w:rPr>
                <w:rFonts w:eastAsia="Century Gothic" w:cs="Century Gothic"/>
                <w:color w:val="000000"/>
                <w:sz w:val="18"/>
                <w:szCs w:val="18"/>
              </w:rPr>
              <w:t>12 (17.9%)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8A84D7" w14:textId="77777777" w:rsidR="001C19F3" w:rsidRDefault="001C19F3" w:rsidP="00521305">
            <w:pPr>
              <w:spacing w:before="40" w:after="40"/>
              <w:ind w:left="100" w:right="100"/>
              <w:jc w:val="right"/>
            </w:pPr>
            <w:r>
              <w:rPr>
                <w:rFonts w:eastAsia="Century Gothic" w:cs="Century Gothic"/>
                <w:color w:val="000000"/>
                <w:sz w:val="18"/>
                <w:szCs w:val="18"/>
              </w:rPr>
              <w:t>24 (35.8%)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16D82A" w14:textId="77777777" w:rsidR="001C19F3" w:rsidRDefault="001C19F3" w:rsidP="00521305">
            <w:pPr>
              <w:spacing w:before="40" w:after="40"/>
              <w:ind w:left="100" w:right="100"/>
              <w:jc w:val="right"/>
            </w:pPr>
            <w:r>
              <w:rPr>
                <w:rFonts w:eastAsia="Century Gothic" w:cs="Century Gothic"/>
                <w:color w:val="000000"/>
                <w:sz w:val="18"/>
                <w:szCs w:val="18"/>
              </w:rPr>
              <w:t>22 (32.8%)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6F959C" w14:textId="77777777" w:rsidR="001C19F3" w:rsidRDefault="001C19F3" w:rsidP="00521305">
            <w:pPr>
              <w:spacing w:before="40" w:after="40"/>
              <w:ind w:left="100" w:right="100"/>
              <w:jc w:val="right"/>
            </w:pPr>
            <w:r>
              <w:rPr>
                <w:rFonts w:eastAsia="Century Gothic" w:cs="Century Gothic"/>
                <w:color w:val="000000"/>
                <w:sz w:val="18"/>
                <w:szCs w:val="18"/>
              </w:rPr>
              <w:t>9 (13.4%)</w:t>
            </w:r>
          </w:p>
        </w:tc>
      </w:tr>
      <w:tr w:rsidR="001C19F3" w14:paraId="2C5A12C8"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4FC9A6"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8: Comprehensiveness and care coordination</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F7CA15" w14:textId="77777777" w:rsidR="001C19F3" w:rsidRDefault="001C19F3" w:rsidP="00521305">
            <w:pPr>
              <w:spacing w:before="40" w:after="40"/>
              <w:ind w:left="100" w:right="100"/>
              <w:jc w:val="right"/>
            </w:pPr>
            <w:r>
              <w:rPr>
                <w:rFonts w:eastAsia="Century Gothic" w:cs="Century Gothic"/>
                <w:color w:val="000000"/>
                <w:sz w:val="18"/>
                <w:szCs w:val="18"/>
              </w:rPr>
              <w:t>10 (15.4%)</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106D3C" w14:textId="77777777" w:rsidR="001C19F3" w:rsidRDefault="001C19F3" w:rsidP="00521305">
            <w:pPr>
              <w:spacing w:before="40" w:after="40"/>
              <w:ind w:left="100" w:right="100"/>
              <w:jc w:val="right"/>
            </w:pPr>
            <w:r>
              <w:rPr>
                <w:rFonts w:eastAsia="Century Gothic" w:cs="Century Gothic"/>
                <w:color w:val="000000"/>
                <w:sz w:val="18"/>
                <w:szCs w:val="18"/>
              </w:rPr>
              <w:t>25 (38.5%)</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3B55F6" w14:textId="77777777" w:rsidR="001C19F3" w:rsidRDefault="001C19F3" w:rsidP="00521305">
            <w:pPr>
              <w:spacing w:before="40" w:after="40"/>
              <w:ind w:left="100" w:right="100"/>
              <w:jc w:val="right"/>
            </w:pPr>
            <w:r>
              <w:rPr>
                <w:rFonts w:eastAsia="Century Gothic" w:cs="Century Gothic"/>
                <w:color w:val="000000"/>
                <w:sz w:val="18"/>
                <w:szCs w:val="18"/>
              </w:rPr>
              <w:t>19 (29.2%)</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5D9CEE" w14:textId="77777777" w:rsidR="001C19F3" w:rsidRDefault="001C19F3" w:rsidP="00521305">
            <w:pPr>
              <w:spacing w:before="40" w:after="40"/>
              <w:ind w:left="100" w:right="100"/>
              <w:jc w:val="right"/>
            </w:pPr>
            <w:r>
              <w:rPr>
                <w:rFonts w:eastAsia="Century Gothic" w:cs="Century Gothic"/>
                <w:color w:val="000000"/>
                <w:sz w:val="18"/>
                <w:szCs w:val="18"/>
              </w:rPr>
              <w:t>11 (16.9%)</w:t>
            </w:r>
          </w:p>
        </w:tc>
      </w:tr>
      <w:tr w:rsidR="001C19F3" w14:paraId="4DF1A9E9"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8F3E9A"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9: Prompt access to care</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61596A" w14:textId="77777777" w:rsidR="001C19F3" w:rsidRDefault="001C19F3" w:rsidP="00521305">
            <w:pPr>
              <w:spacing w:before="40" w:after="40"/>
              <w:ind w:left="100" w:right="100"/>
              <w:jc w:val="right"/>
            </w:pPr>
            <w:r>
              <w:rPr>
                <w:rFonts w:eastAsia="Century Gothic" w:cs="Century Gothic"/>
                <w:color w:val="000000"/>
                <w:sz w:val="18"/>
                <w:szCs w:val="18"/>
              </w:rPr>
              <w:t>12 (18.5%)</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AFE538" w14:textId="77777777" w:rsidR="001C19F3" w:rsidRDefault="001C19F3" w:rsidP="00521305">
            <w:pPr>
              <w:spacing w:before="40" w:after="40"/>
              <w:ind w:left="100" w:right="100"/>
              <w:jc w:val="right"/>
            </w:pPr>
            <w:r>
              <w:rPr>
                <w:rFonts w:eastAsia="Century Gothic" w:cs="Century Gothic"/>
                <w:color w:val="000000"/>
                <w:sz w:val="18"/>
                <w:szCs w:val="18"/>
              </w:rPr>
              <w:t>24 (36.9%)</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F9412D" w14:textId="77777777" w:rsidR="001C19F3" w:rsidRDefault="001C19F3" w:rsidP="00521305">
            <w:pPr>
              <w:spacing w:before="40" w:after="40"/>
              <w:ind w:left="100" w:right="100"/>
              <w:jc w:val="right"/>
            </w:pPr>
            <w:r>
              <w:rPr>
                <w:rFonts w:eastAsia="Century Gothic" w:cs="Century Gothic"/>
                <w:color w:val="000000"/>
                <w:sz w:val="18"/>
                <w:szCs w:val="18"/>
              </w:rPr>
              <w:t>20 (30.8%)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463F28" w14:textId="77777777" w:rsidR="001C19F3" w:rsidRDefault="001C19F3" w:rsidP="00521305">
            <w:pPr>
              <w:spacing w:before="40" w:after="40"/>
              <w:ind w:left="100" w:right="100"/>
              <w:jc w:val="right"/>
            </w:pPr>
            <w:r>
              <w:rPr>
                <w:rFonts w:eastAsia="Century Gothic" w:cs="Century Gothic"/>
                <w:color w:val="000000"/>
                <w:sz w:val="18"/>
                <w:szCs w:val="18"/>
              </w:rPr>
              <w:t>9 (13.8%)</w:t>
            </w:r>
          </w:p>
        </w:tc>
      </w:tr>
      <w:tr w:rsidR="001C19F3" w14:paraId="3723A089"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103B51"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10: Population management</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C06CF0" w14:textId="77777777" w:rsidR="001C19F3" w:rsidRDefault="001C19F3" w:rsidP="00521305">
            <w:pPr>
              <w:spacing w:before="40" w:after="40"/>
              <w:ind w:left="100" w:right="100"/>
              <w:jc w:val="right"/>
            </w:pPr>
            <w:r>
              <w:rPr>
                <w:rFonts w:eastAsia="Century Gothic" w:cs="Century Gothic"/>
                <w:color w:val="000000"/>
                <w:sz w:val="18"/>
                <w:szCs w:val="18"/>
              </w:rPr>
              <w:t>9 (13.8%)</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201D37" w14:textId="77777777" w:rsidR="001C19F3" w:rsidRDefault="001C19F3" w:rsidP="00521305">
            <w:pPr>
              <w:spacing w:before="40" w:after="40"/>
              <w:ind w:left="100" w:right="100"/>
              <w:jc w:val="right"/>
            </w:pPr>
            <w:r>
              <w:rPr>
                <w:rFonts w:eastAsia="Century Gothic" w:cs="Century Gothic"/>
                <w:color w:val="000000"/>
                <w:sz w:val="18"/>
                <w:szCs w:val="18"/>
              </w:rPr>
              <w:t>27 (41.5%)</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0D7B49" w14:textId="77777777" w:rsidR="001C19F3" w:rsidRDefault="001C19F3" w:rsidP="00521305">
            <w:pPr>
              <w:spacing w:before="40" w:after="40"/>
              <w:ind w:left="100" w:right="100"/>
              <w:jc w:val="right"/>
            </w:pPr>
            <w:r>
              <w:rPr>
                <w:rFonts w:eastAsia="Century Gothic" w:cs="Century Gothic"/>
                <w:color w:val="000000"/>
                <w:sz w:val="18"/>
                <w:szCs w:val="18"/>
              </w:rPr>
              <w:t>18 (27.7%)</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3F4AC1" w14:textId="77777777" w:rsidR="001C19F3" w:rsidRDefault="001C19F3" w:rsidP="00521305">
            <w:pPr>
              <w:spacing w:before="40" w:after="40"/>
              <w:ind w:left="100" w:right="100"/>
              <w:jc w:val="right"/>
            </w:pPr>
            <w:r>
              <w:rPr>
                <w:rFonts w:eastAsia="Century Gothic" w:cs="Century Gothic"/>
                <w:color w:val="000000"/>
                <w:sz w:val="18"/>
                <w:szCs w:val="18"/>
              </w:rPr>
              <w:t>11 (16.9%)</w:t>
            </w:r>
          </w:p>
        </w:tc>
      </w:tr>
      <w:tr w:rsidR="001C19F3" w14:paraId="1835F0C2" w14:textId="77777777" w:rsidTr="00521305">
        <w:trPr>
          <w:cantSplit/>
          <w:jc w:val="center"/>
        </w:trPr>
        <w:tc>
          <w:tcPr>
            <w:tcW w:w="21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D287C0" w14:textId="77777777" w:rsidR="001C19F3" w:rsidRPr="00B674BD" w:rsidRDefault="001C19F3" w:rsidP="00521305">
            <w:pPr>
              <w:spacing w:before="40" w:after="40"/>
              <w:ind w:left="160" w:right="100"/>
            </w:pPr>
            <w:r w:rsidRPr="00B674BD">
              <w:rPr>
                <w:rFonts w:eastAsia="Century Gothic" w:cs="Century Gothic"/>
                <w:color w:val="000000"/>
                <w:sz w:val="18"/>
                <w:szCs w:val="18"/>
              </w:rPr>
              <w:t>Module 11: Quality primary care and the future</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AEC4BD" w14:textId="77777777" w:rsidR="001C19F3" w:rsidRDefault="001C19F3" w:rsidP="00521305">
            <w:pPr>
              <w:spacing w:before="40" w:after="40"/>
              <w:ind w:left="100" w:right="100"/>
              <w:jc w:val="right"/>
            </w:pPr>
            <w:r>
              <w:rPr>
                <w:rFonts w:eastAsia="Century Gothic" w:cs="Century Gothic"/>
                <w:color w:val="000000"/>
                <w:sz w:val="18"/>
                <w:szCs w:val="18"/>
              </w:rPr>
              <w:t>11 (17.5%)</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BE6765" w14:textId="77777777" w:rsidR="001C19F3" w:rsidRDefault="001C19F3" w:rsidP="00521305">
            <w:pPr>
              <w:spacing w:before="40" w:after="40"/>
              <w:ind w:left="100" w:right="100"/>
              <w:jc w:val="right"/>
            </w:pPr>
            <w:r>
              <w:rPr>
                <w:rFonts w:eastAsia="Century Gothic" w:cs="Century Gothic"/>
                <w:color w:val="000000"/>
                <w:sz w:val="18"/>
                <w:szCs w:val="18"/>
              </w:rPr>
              <w:t>26 (41.3%)</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915447" w14:textId="77777777" w:rsidR="001C19F3" w:rsidRDefault="001C19F3" w:rsidP="00521305">
            <w:pPr>
              <w:spacing w:before="40" w:after="40"/>
              <w:ind w:left="100" w:right="100"/>
              <w:jc w:val="right"/>
            </w:pPr>
            <w:r>
              <w:rPr>
                <w:rFonts w:eastAsia="Century Gothic" w:cs="Century Gothic"/>
                <w:color w:val="000000"/>
                <w:sz w:val="18"/>
                <w:szCs w:val="18"/>
              </w:rPr>
              <w:t>16 (25.4%)</w:t>
            </w:r>
          </w:p>
        </w:tc>
        <w:tc>
          <w:tcPr>
            <w:tcW w:w="7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5ADF50" w14:textId="77777777" w:rsidR="001C19F3" w:rsidRDefault="001C19F3" w:rsidP="00521305">
            <w:pPr>
              <w:spacing w:before="40" w:after="40"/>
              <w:ind w:left="100" w:right="100"/>
              <w:jc w:val="right"/>
            </w:pPr>
            <w:r>
              <w:rPr>
                <w:rFonts w:eastAsia="Century Gothic" w:cs="Century Gothic"/>
                <w:color w:val="000000"/>
                <w:sz w:val="18"/>
                <w:szCs w:val="18"/>
              </w:rPr>
              <w:t>10 (15.9%)</w:t>
            </w:r>
          </w:p>
        </w:tc>
      </w:tr>
    </w:tbl>
    <w:p w14:paraId="6861FD25" w14:textId="77777777" w:rsidR="001C19F3" w:rsidRDefault="001C19F3" w:rsidP="001C19F3">
      <w:pPr>
        <w:pStyle w:val="Chartortablefootnote"/>
      </w:pPr>
      <w:r>
        <w:t>Source: Practice survey R2, Nov 2018-Mar 2019, question 25. Active practices only</w:t>
      </w:r>
    </w:p>
    <w:p w14:paraId="123956E6" w14:textId="77777777" w:rsidR="001C19F3" w:rsidRDefault="001C19F3" w:rsidP="001C19F3">
      <w:pPr>
        <w:rPr>
          <w:rFonts w:eastAsia="Times New Roman"/>
          <w:iCs/>
          <w:szCs w:val="20"/>
        </w:rPr>
      </w:pPr>
      <w:r>
        <w:rPr>
          <w:rFonts w:eastAsia="Times New Roman"/>
          <w:iCs/>
          <w:szCs w:val="20"/>
        </w:rPr>
        <w:lastRenderedPageBreak/>
        <w:t xml:space="preserve">Through the practice survey, practices </w:t>
      </w:r>
      <w:r w:rsidRPr="00720D30">
        <w:rPr>
          <w:rFonts w:eastAsia="Times New Roman"/>
          <w:iCs/>
          <w:szCs w:val="20"/>
        </w:rPr>
        <w:t>sugges</w:t>
      </w:r>
      <w:r>
        <w:rPr>
          <w:rFonts w:eastAsia="Times New Roman"/>
          <w:iCs/>
          <w:szCs w:val="20"/>
        </w:rPr>
        <w:t xml:space="preserve">ted </w:t>
      </w:r>
      <w:r w:rsidRPr="00720D30">
        <w:rPr>
          <w:rFonts w:eastAsia="Times New Roman"/>
          <w:iCs/>
          <w:szCs w:val="20"/>
        </w:rPr>
        <w:t>ways to improve the modules</w:t>
      </w:r>
      <w:r>
        <w:rPr>
          <w:rFonts w:eastAsia="Times New Roman"/>
          <w:iCs/>
          <w:szCs w:val="20"/>
        </w:rPr>
        <w:t xml:space="preserve">. </w:t>
      </w:r>
      <w:r>
        <w:rPr>
          <w:rFonts w:eastAsia="Times New Roman"/>
          <w:iCs/>
          <w:szCs w:val="20"/>
        </w:rPr>
        <w:fldChar w:fldCharType="begin"/>
      </w:r>
      <w:r>
        <w:rPr>
          <w:rFonts w:eastAsia="Times New Roman"/>
          <w:iCs/>
          <w:szCs w:val="20"/>
        </w:rPr>
        <w:instrText xml:space="preserve"> REF _Ref21025667 \h </w:instrText>
      </w:r>
      <w:r>
        <w:rPr>
          <w:rFonts w:eastAsia="Times New Roman"/>
          <w:iCs/>
          <w:szCs w:val="20"/>
        </w:rPr>
      </w:r>
      <w:r>
        <w:rPr>
          <w:rFonts w:eastAsia="Times New Roman"/>
          <w:iCs/>
          <w:szCs w:val="20"/>
        </w:rPr>
        <w:fldChar w:fldCharType="separate"/>
      </w:r>
      <w:r>
        <w:t xml:space="preserve">Table </w:t>
      </w:r>
      <w:r>
        <w:rPr>
          <w:noProof/>
        </w:rPr>
        <w:t>35</w:t>
      </w:r>
      <w:r>
        <w:rPr>
          <w:rFonts w:eastAsia="Times New Roman"/>
          <w:iCs/>
          <w:szCs w:val="20"/>
        </w:rPr>
        <w:fldChar w:fldCharType="end"/>
      </w:r>
      <w:r>
        <w:rPr>
          <w:rFonts w:eastAsia="Times New Roman"/>
          <w:iCs/>
          <w:szCs w:val="20"/>
        </w:rPr>
        <w:t xml:space="preserve"> shows these. </w:t>
      </w:r>
    </w:p>
    <w:p w14:paraId="3CC782F5" w14:textId="77777777" w:rsidR="001C19F3" w:rsidRDefault="001C19F3" w:rsidP="001C19F3">
      <w:pPr>
        <w:pStyle w:val="Caption1"/>
        <w:spacing w:after="0"/>
      </w:pPr>
      <w:bookmarkStart w:id="225" w:name="_Ref21025667"/>
      <w:bookmarkStart w:id="226" w:name="_Hlk22642806"/>
      <w:r>
        <w:t xml:space="preserve">Table </w:t>
      </w:r>
      <w:r>
        <w:fldChar w:fldCharType="begin"/>
      </w:r>
      <w:r>
        <w:instrText>SEQ Table \* ARABIC</w:instrText>
      </w:r>
      <w:r>
        <w:fldChar w:fldCharType="separate"/>
      </w:r>
      <w:r>
        <w:rPr>
          <w:noProof/>
        </w:rPr>
        <w:t>35</w:t>
      </w:r>
      <w:r>
        <w:fldChar w:fldCharType="end"/>
      </w:r>
      <w:bookmarkEnd w:id="225"/>
      <w:r>
        <w:t xml:space="preserve"> – Top ways in which the online training modules could be improved (including responses from withdrawn practices)</w:t>
      </w:r>
    </w:p>
    <w:tbl>
      <w:tblPr>
        <w:tblW w:w="5000" w:type="pct"/>
        <w:jc w:val="center"/>
        <w:tblLook w:val="04A0" w:firstRow="1" w:lastRow="0" w:firstColumn="1" w:lastColumn="0" w:noHBand="0" w:noVBand="1"/>
      </w:tblPr>
      <w:tblGrid>
        <w:gridCol w:w="3251"/>
        <w:gridCol w:w="1207"/>
        <w:gridCol w:w="90"/>
        <w:gridCol w:w="3381"/>
        <w:gridCol w:w="1077"/>
      </w:tblGrid>
      <w:tr w:rsidR="001C19F3" w14:paraId="6BD67F77" w14:textId="77777777" w:rsidTr="00521305">
        <w:trPr>
          <w:cantSplit/>
          <w:trHeight w:val="336"/>
          <w:tblHeader/>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226"/>
          <w:p w14:paraId="4CF7BCD5" w14:textId="77777777" w:rsidR="001C19F3" w:rsidRDefault="001C19F3" w:rsidP="00521305">
            <w:pPr>
              <w:spacing w:after="0"/>
              <w:jc w:val="center"/>
            </w:pPr>
            <w:r>
              <w:rPr>
                <w:rFonts w:eastAsia="Century Gothic" w:cs="Century Gothic"/>
                <w:b/>
                <w:color w:val="FFFFFF"/>
                <w:sz w:val="18"/>
                <w:szCs w:val="18"/>
              </w:rPr>
              <w:t>Response</w:t>
            </w:r>
          </w:p>
        </w:tc>
        <w:tc>
          <w:tcPr>
            <w:tcW w:w="6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7140A53" w14:textId="77777777" w:rsidR="001C19F3" w:rsidRDefault="001C19F3" w:rsidP="00521305">
            <w:pPr>
              <w:spacing w:after="0"/>
              <w:jc w:val="center"/>
            </w:pPr>
            <w:r>
              <w:rPr>
                <w:rFonts w:eastAsia="Century Gothic" w:cs="Century Gothic"/>
                <w:b/>
                <w:color w:val="FFFFFF"/>
                <w:sz w:val="18"/>
                <w:szCs w:val="18"/>
              </w:rPr>
              <w:t>n (%)</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36DCEEEA" w14:textId="77777777" w:rsidR="001C19F3" w:rsidRDefault="001C19F3" w:rsidP="00521305">
            <w:pPr>
              <w:spacing w:after="0"/>
              <w:jc w:val="center"/>
            </w:pPr>
            <w:r>
              <w:rPr>
                <w:rFonts w:eastAsia="Century Gothic" w:cs="Century Gothic"/>
                <w:b/>
                <w:color w:val="FFFFFF"/>
                <w:sz w:val="18"/>
                <w:szCs w:val="18"/>
              </w:rPr>
              <w:t xml:space="preserve"> </w:t>
            </w:r>
          </w:p>
        </w:tc>
        <w:tc>
          <w:tcPr>
            <w:tcW w:w="18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4C65BE7" w14:textId="77777777" w:rsidR="001C19F3" w:rsidRDefault="001C19F3" w:rsidP="00521305">
            <w:pPr>
              <w:spacing w:after="0"/>
              <w:jc w:val="center"/>
            </w:pPr>
            <w:r>
              <w:rPr>
                <w:rFonts w:eastAsia="Century Gothic" w:cs="Century Gothic"/>
                <w:b/>
                <w:color w:val="FFFFFF"/>
                <w:sz w:val="18"/>
                <w:szCs w:val="18"/>
              </w:rPr>
              <w:t>Response</w:t>
            </w:r>
          </w:p>
        </w:tc>
        <w:tc>
          <w:tcPr>
            <w:tcW w:w="598"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8C07F0A" w14:textId="77777777" w:rsidR="001C19F3" w:rsidRDefault="001C19F3" w:rsidP="00521305">
            <w:pPr>
              <w:spacing w:after="0"/>
              <w:jc w:val="center"/>
            </w:pPr>
            <w:r>
              <w:rPr>
                <w:rFonts w:eastAsia="Century Gothic" w:cs="Century Gothic"/>
                <w:b/>
                <w:color w:val="FFFFFF"/>
                <w:sz w:val="18"/>
                <w:szCs w:val="18"/>
              </w:rPr>
              <w:t>n (%)</w:t>
            </w:r>
          </w:p>
        </w:tc>
      </w:tr>
      <w:tr w:rsidR="001C19F3" w14:paraId="584434FA"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E4FA75" w14:textId="77777777" w:rsidR="001C19F3" w:rsidRDefault="001C19F3" w:rsidP="00521305">
            <w:pPr>
              <w:spacing w:before="40" w:after="40"/>
              <w:ind w:left="100" w:right="100"/>
            </w:pPr>
            <w:r>
              <w:rPr>
                <w:rFonts w:eastAsia="Century Gothic" w:cs="Century Gothic"/>
                <w:color w:val="000000"/>
                <w:sz w:val="18"/>
                <w:szCs w:val="18"/>
              </w:rPr>
              <w:t>Shorter in length</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6928A7" w14:textId="77777777" w:rsidR="001C19F3" w:rsidRDefault="001C19F3" w:rsidP="00521305">
            <w:pPr>
              <w:spacing w:before="40" w:after="40"/>
              <w:ind w:left="100" w:right="100"/>
              <w:jc w:val="right"/>
            </w:pPr>
            <w:r>
              <w:rPr>
                <w:rFonts w:eastAsia="Century Gothic" w:cs="Century Gothic"/>
                <w:color w:val="000000"/>
                <w:sz w:val="18"/>
                <w:szCs w:val="18"/>
              </w:rPr>
              <w:t>54 (51.4%)</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4A4979D1"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D31705" w14:textId="77777777" w:rsidR="001C19F3" w:rsidRDefault="001C19F3" w:rsidP="00521305">
            <w:pPr>
              <w:spacing w:before="40" w:after="40"/>
              <w:ind w:left="100" w:right="100"/>
            </w:pPr>
            <w:r>
              <w:rPr>
                <w:rFonts w:eastAsia="Century Gothic" w:cs="Century Gothic"/>
                <w:color w:val="000000"/>
                <w:sz w:val="18"/>
                <w:szCs w:val="18"/>
              </w:rPr>
              <w:t>Training videos/additional visualisations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2721B0" w14:textId="77777777" w:rsidR="001C19F3" w:rsidRDefault="001C19F3" w:rsidP="00521305">
            <w:pPr>
              <w:spacing w:before="40" w:after="40"/>
              <w:ind w:left="100" w:right="100"/>
              <w:jc w:val="right"/>
            </w:pPr>
            <w:r>
              <w:rPr>
                <w:rFonts w:eastAsia="Century Gothic" w:cs="Century Gothic"/>
                <w:color w:val="000000"/>
                <w:sz w:val="18"/>
                <w:szCs w:val="18"/>
              </w:rPr>
              <w:t>4 (3.8%)</w:t>
            </w:r>
          </w:p>
        </w:tc>
      </w:tr>
      <w:tr w:rsidR="001C19F3" w14:paraId="366F0DF9"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B14511" w14:textId="77777777" w:rsidR="001C19F3" w:rsidRDefault="001C19F3" w:rsidP="00521305">
            <w:pPr>
              <w:spacing w:before="40" w:after="40"/>
              <w:ind w:left="100" w:right="100"/>
            </w:pPr>
            <w:r>
              <w:rPr>
                <w:rFonts w:eastAsia="Century Gothic" w:cs="Century Gothic"/>
                <w:color w:val="000000"/>
                <w:sz w:val="18"/>
                <w:szCs w:val="18"/>
              </w:rPr>
              <w:t>Less repetition</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B38CBE" w14:textId="77777777" w:rsidR="001C19F3" w:rsidRDefault="001C19F3" w:rsidP="00521305">
            <w:pPr>
              <w:spacing w:before="40" w:after="40"/>
              <w:ind w:left="100" w:right="100"/>
              <w:jc w:val="right"/>
            </w:pPr>
            <w:r>
              <w:rPr>
                <w:rFonts w:eastAsia="Century Gothic" w:cs="Century Gothic"/>
                <w:color w:val="000000"/>
                <w:sz w:val="18"/>
                <w:szCs w:val="18"/>
              </w:rPr>
              <w:t>19 (18.1%)</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052B40A0"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5AE74E" w14:textId="77777777" w:rsidR="001C19F3" w:rsidRDefault="001C19F3" w:rsidP="00521305">
            <w:pPr>
              <w:spacing w:before="40" w:after="40"/>
              <w:ind w:left="100" w:right="100"/>
            </w:pPr>
            <w:r>
              <w:rPr>
                <w:rFonts w:eastAsia="Century Gothic" w:cs="Century Gothic"/>
                <w:color w:val="000000"/>
                <w:sz w:val="18"/>
                <w:szCs w:val="18"/>
              </w:rPr>
              <w:t>Additional focus on GP engagement</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68897C"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68C2BB42"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77DE93" w14:textId="77777777" w:rsidR="001C19F3" w:rsidRDefault="001C19F3" w:rsidP="00521305">
            <w:pPr>
              <w:spacing w:before="40" w:after="40"/>
              <w:ind w:left="100" w:right="100"/>
            </w:pPr>
            <w:r>
              <w:rPr>
                <w:rFonts w:eastAsia="Century Gothic" w:cs="Century Gothic"/>
                <w:color w:val="000000"/>
                <w:sz w:val="18"/>
                <w:szCs w:val="18"/>
              </w:rPr>
              <w:t>More simplified/concise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A2946D" w14:textId="77777777" w:rsidR="001C19F3" w:rsidRDefault="001C19F3" w:rsidP="00521305">
            <w:pPr>
              <w:spacing w:before="40" w:after="40"/>
              <w:ind w:left="100" w:right="100"/>
              <w:jc w:val="right"/>
            </w:pPr>
            <w:r>
              <w:rPr>
                <w:rFonts w:eastAsia="Century Gothic" w:cs="Century Gothic"/>
                <w:color w:val="000000"/>
                <w:sz w:val="18"/>
                <w:szCs w:val="18"/>
              </w:rPr>
              <w:t>13 (12.4%)</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2A251070"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F44F4F" w14:textId="77777777" w:rsidR="001C19F3" w:rsidRDefault="001C19F3" w:rsidP="00521305">
            <w:pPr>
              <w:spacing w:before="40" w:after="40"/>
              <w:ind w:left="100" w:right="100"/>
            </w:pPr>
            <w:r>
              <w:rPr>
                <w:rFonts w:eastAsia="Century Gothic" w:cs="Century Gothic"/>
                <w:color w:val="000000"/>
                <w:sz w:val="18"/>
                <w:szCs w:val="18"/>
              </w:rPr>
              <w:t>Additional team involvement</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937380"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61C9CE58"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96B0F1" w14:textId="77777777" w:rsidR="001C19F3" w:rsidRDefault="001C19F3" w:rsidP="00521305">
            <w:pPr>
              <w:spacing w:before="40" w:after="40"/>
              <w:ind w:left="100" w:right="100"/>
            </w:pPr>
            <w:r>
              <w:rPr>
                <w:rFonts w:eastAsia="Century Gothic" w:cs="Century Gothic"/>
                <w:color w:val="000000"/>
                <w:sz w:val="18"/>
                <w:szCs w:val="18"/>
              </w:rPr>
              <w:t>Additional practical examples/case studies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0EB87C" w14:textId="77777777" w:rsidR="001C19F3" w:rsidRDefault="001C19F3" w:rsidP="00521305">
            <w:pPr>
              <w:spacing w:before="40" w:after="40"/>
              <w:ind w:left="100" w:right="100"/>
              <w:jc w:val="right"/>
            </w:pPr>
            <w:r>
              <w:rPr>
                <w:rFonts w:eastAsia="Century Gothic" w:cs="Century Gothic"/>
                <w:color w:val="000000"/>
                <w:sz w:val="18"/>
                <w:szCs w:val="18"/>
              </w:rPr>
              <w:t>12 (11.4%)</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8C849F6"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CA1ED5" w14:textId="77777777" w:rsidR="001C19F3" w:rsidRDefault="001C19F3" w:rsidP="00521305">
            <w:pPr>
              <w:spacing w:before="40" w:after="40"/>
              <w:ind w:left="100" w:right="100"/>
            </w:pPr>
            <w:r>
              <w:rPr>
                <w:rFonts w:eastAsia="Century Gothic" w:cs="Century Gothic"/>
                <w:color w:val="000000"/>
                <w:sz w:val="18"/>
                <w:szCs w:val="18"/>
              </w:rPr>
              <w:t>Better questions to test knowledge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0DC1A0"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31347903"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FE0127" w14:textId="77777777" w:rsidR="001C19F3" w:rsidRDefault="001C19F3" w:rsidP="00521305">
            <w:pPr>
              <w:spacing w:before="40" w:after="40"/>
              <w:ind w:left="100" w:right="100"/>
            </w:pPr>
            <w:r>
              <w:rPr>
                <w:rFonts w:eastAsia="Century Gothic" w:cs="Century Gothic"/>
                <w:color w:val="000000"/>
                <w:sz w:val="18"/>
                <w:szCs w:val="18"/>
              </w:rPr>
              <w:t>More engaging material</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7F0052" w14:textId="77777777" w:rsidR="001C19F3" w:rsidRDefault="001C19F3" w:rsidP="00521305">
            <w:pPr>
              <w:spacing w:before="40" w:after="40"/>
              <w:ind w:left="100" w:right="100"/>
              <w:jc w:val="right"/>
            </w:pPr>
            <w:r>
              <w:rPr>
                <w:rFonts w:eastAsia="Century Gothic" w:cs="Century Gothic"/>
                <w:color w:val="000000"/>
                <w:sz w:val="18"/>
                <w:szCs w:val="18"/>
              </w:rPr>
              <w:t>9 (8.6%)</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3F3C2ABF"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40BCE1" w14:textId="77777777" w:rsidR="001C19F3" w:rsidRDefault="001C19F3" w:rsidP="00521305">
            <w:pPr>
              <w:spacing w:before="40" w:after="40"/>
              <w:ind w:left="100" w:right="100"/>
            </w:pPr>
            <w:r>
              <w:rPr>
                <w:rFonts w:eastAsia="Century Gothic" w:cs="Century Gothic"/>
                <w:color w:val="000000"/>
                <w:sz w:val="18"/>
                <w:szCs w:val="18"/>
              </w:rPr>
              <w:t>Fewer activities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9AAEE7"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77EEEA63"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132F30" w14:textId="77777777" w:rsidR="001C19F3" w:rsidRDefault="001C19F3" w:rsidP="00521305">
            <w:pPr>
              <w:spacing w:before="40" w:after="40"/>
              <w:ind w:left="100" w:right="100"/>
            </w:pPr>
            <w:r>
              <w:rPr>
                <w:rFonts w:eastAsia="Century Gothic" w:cs="Century Gothic"/>
                <w:color w:val="000000"/>
                <w:sz w:val="18"/>
                <w:szCs w:val="18"/>
              </w:rPr>
              <w:t>More user friendly and accessible</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061D7E"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61A62CDC"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13D5B4" w14:textId="77777777" w:rsidR="001C19F3" w:rsidRDefault="001C19F3" w:rsidP="00521305">
            <w:pPr>
              <w:spacing w:before="40" w:after="40"/>
              <w:ind w:left="100" w:right="100"/>
            </w:pPr>
            <w:r>
              <w:rPr>
                <w:rFonts w:eastAsia="Century Gothic" w:cs="Century Gothic"/>
                <w:color w:val="000000"/>
                <w:sz w:val="18"/>
                <w:szCs w:val="18"/>
              </w:rPr>
              <w:t>Language easier to understand</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FA35CD"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5A64F4E8"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A2CDFB" w14:textId="77777777" w:rsidR="001C19F3" w:rsidRDefault="001C19F3" w:rsidP="00521305">
            <w:pPr>
              <w:spacing w:before="40" w:after="40"/>
              <w:ind w:left="100" w:right="100"/>
            </w:pPr>
            <w:r>
              <w:rPr>
                <w:rFonts w:eastAsia="Century Gothic" w:cs="Century Gothic"/>
                <w:color w:val="000000"/>
                <w:sz w:val="18"/>
                <w:szCs w:val="18"/>
              </w:rPr>
              <w:t>Additional time to complete training</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C4CCF5" w14:textId="77777777" w:rsidR="001C19F3" w:rsidRDefault="001C19F3" w:rsidP="00521305">
            <w:pPr>
              <w:spacing w:before="40" w:after="40"/>
              <w:ind w:left="100" w:right="100"/>
              <w:jc w:val="right"/>
            </w:pPr>
            <w:r>
              <w:rPr>
                <w:rFonts w:eastAsia="Century Gothic" w:cs="Century Gothic"/>
                <w:color w:val="000000"/>
                <w:sz w:val="18"/>
                <w:szCs w:val="18"/>
              </w:rPr>
              <w:t>5 (4.8%)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13F7A461"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69DAC2" w14:textId="77777777" w:rsidR="001C19F3" w:rsidRDefault="001C19F3" w:rsidP="00521305">
            <w:pPr>
              <w:spacing w:before="40" w:after="40"/>
              <w:ind w:left="100" w:right="100"/>
            </w:pPr>
            <w:r>
              <w:rPr>
                <w:rFonts w:eastAsia="Century Gothic" w:cs="Century Gothic"/>
                <w:color w:val="000000"/>
                <w:sz w:val="18"/>
                <w:szCs w:val="18"/>
              </w:rPr>
              <w:t>Better leadership to drive change</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F9FCD2"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533D08A0"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144258" w14:textId="77777777" w:rsidR="001C19F3" w:rsidRDefault="001C19F3" w:rsidP="00521305">
            <w:pPr>
              <w:spacing w:before="40" w:after="40"/>
              <w:ind w:left="100" w:right="100"/>
            </w:pPr>
            <w:r>
              <w:rPr>
                <w:rFonts w:eastAsia="Century Gothic" w:cs="Century Gothic"/>
                <w:color w:val="000000"/>
                <w:sz w:val="18"/>
                <w:szCs w:val="18"/>
              </w:rPr>
              <w:t>In person training/workshop</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42108C" w14:textId="77777777" w:rsidR="001C19F3" w:rsidRDefault="001C19F3" w:rsidP="00521305">
            <w:pPr>
              <w:spacing w:before="40" w:after="40"/>
              <w:ind w:left="100" w:right="100"/>
              <w:jc w:val="right"/>
            </w:pPr>
            <w:r>
              <w:rPr>
                <w:rFonts w:eastAsia="Century Gothic" w:cs="Century Gothic"/>
                <w:color w:val="000000"/>
                <w:sz w:val="18"/>
                <w:szCs w:val="18"/>
              </w:rPr>
              <w:t>5 (4.8%)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738197F5"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AF8EAF" w14:textId="77777777" w:rsidR="001C19F3" w:rsidRDefault="001C19F3" w:rsidP="00521305">
            <w:pPr>
              <w:spacing w:before="40" w:after="40"/>
              <w:ind w:left="100" w:right="100"/>
            </w:pPr>
            <w:r>
              <w:rPr>
                <w:rFonts w:eastAsia="Century Gothic" w:cs="Century Gothic"/>
                <w:color w:val="000000"/>
                <w:sz w:val="18"/>
                <w:szCs w:val="18"/>
              </w:rPr>
              <w:t>Increased financial incentives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01B301"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33313F43" w14:textId="77777777" w:rsidTr="00521305">
        <w:trPr>
          <w:cantSplit/>
          <w:trHeight w:val="442"/>
          <w:jc w:val="center"/>
        </w:trPr>
        <w:tc>
          <w:tcPr>
            <w:tcW w:w="180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80C51A" w14:textId="77777777" w:rsidR="001C19F3" w:rsidRDefault="001C19F3" w:rsidP="00521305">
            <w:pPr>
              <w:spacing w:before="40" w:after="40"/>
              <w:ind w:left="100" w:right="100"/>
            </w:pPr>
            <w:r>
              <w:rPr>
                <w:rFonts w:eastAsia="Century Gothic" w:cs="Century Gothic"/>
                <w:color w:val="000000"/>
                <w:sz w:val="18"/>
                <w:szCs w:val="18"/>
              </w:rPr>
              <w:t>Role specific modules</w:t>
            </w:r>
          </w:p>
        </w:tc>
        <w:tc>
          <w:tcPr>
            <w:tcW w:w="6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1674A0" w14:textId="77777777" w:rsidR="001C19F3" w:rsidRDefault="001C19F3" w:rsidP="00521305">
            <w:pPr>
              <w:spacing w:before="40" w:after="40"/>
              <w:ind w:left="100" w:right="100"/>
              <w:jc w:val="right"/>
            </w:pPr>
            <w:r>
              <w:rPr>
                <w:rFonts w:eastAsia="Century Gothic" w:cs="Century Gothic"/>
                <w:color w:val="000000"/>
                <w:sz w:val="18"/>
                <w:szCs w:val="18"/>
              </w:rPr>
              <w:t>4 (3.8%)</w:t>
            </w:r>
          </w:p>
        </w:tc>
        <w:tc>
          <w:tcPr>
            <w:tcW w:w="50" w:type="pct"/>
            <w:tcBorders>
              <w:left w:val="single" w:sz="8" w:space="0" w:color="BFBFBF"/>
              <w:right w:val="single" w:sz="8" w:space="0" w:color="BFBFBF"/>
            </w:tcBorders>
            <w:shd w:val="clear" w:color="auto" w:fill="auto"/>
            <w:tcMar>
              <w:top w:w="0" w:type="dxa"/>
              <w:left w:w="0" w:type="dxa"/>
              <w:bottom w:w="0" w:type="dxa"/>
              <w:right w:w="0" w:type="dxa"/>
            </w:tcMar>
            <w:vAlign w:val="center"/>
          </w:tcPr>
          <w:p w14:paraId="4284F378" w14:textId="77777777" w:rsidR="001C19F3" w:rsidRDefault="001C19F3" w:rsidP="00521305">
            <w:pPr>
              <w:spacing w:before="40" w:after="40"/>
              <w:ind w:left="100" w:right="100"/>
              <w:jc w:val="right"/>
            </w:pPr>
          </w:p>
        </w:tc>
        <w:tc>
          <w:tcPr>
            <w:tcW w:w="18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7D182A" w14:textId="77777777" w:rsidR="001C19F3" w:rsidRDefault="001C19F3" w:rsidP="00521305">
            <w:pPr>
              <w:spacing w:before="40" w:after="40"/>
              <w:ind w:left="100" w:right="100"/>
            </w:pPr>
            <w:r>
              <w:rPr>
                <w:rFonts w:eastAsia="Century Gothic" w:cs="Century Gothic"/>
                <w:color w:val="000000"/>
                <w:sz w:val="18"/>
                <w:szCs w:val="18"/>
              </w:rPr>
              <w:t>More print options</w:t>
            </w:r>
          </w:p>
        </w:tc>
        <w:tc>
          <w:tcPr>
            <w:tcW w:w="598"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14C75E" w14:textId="77777777" w:rsidR="001C19F3" w:rsidRDefault="001C19F3" w:rsidP="00521305">
            <w:pPr>
              <w:spacing w:before="40" w:after="40"/>
              <w:ind w:left="100" w:right="100"/>
              <w:jc w:val="right"/>
            </w:pPr>
            <w:r>
              <w:rPr>
                <w:rFonts w:eastAsia="Century Gothic" w:cs="Century Gothic"/>
                <w:color w:val="000000"/>
                <w:sz w:val="18"/>
                <w:szCs w:val="18"/>
              </w:rPr>
              <w:t>1 (1.0%)</w:t>
            </w:r>
          </w:p>
        </w:tc>
      </w:tr>
    </w:tbl>
    <w:p w14:paraId="0354B1AE" w14:textId="77777777" w:rsidR="001C19F3" w:rsidRDefault="001C19F3" w:rsidP="001C19F3">
      <w:pPr>
        <w:pStyle w:val="Chartortablefootnote"/>
      </w:pPr>
      <w:r>
        <w:t>Source: Practice survey R2, Nov 2018-Mar 2019, question 26.</w:t>
      </w:r>
    </w:p>
    <w:p w14:paraId="6331067F" w14:textId="77777777" w:rsidR="001C19F3" w:rsidRPr="00720D30" w:rsidRDefault="001C19F3" w:rsidP="001C19F3">
      <w:pPr>
        <w:rPr>
          <w:rFonts w:eastAsia="Times New Roman"/>
          <w:iCs/>
          <w:szCs w:val="20"/>
        </w:rPr>
      </w:pPr>
      <w:r w:rsidRPr="00720D30">
        <w:rPr>
          <w:rFonts w:eastAsia="Times New Roman"/>
          <w:iCs/>
          <w:szCs w:val="20"/>
        </w:rPr>
        <w:t xml:space="preserve">When asked to describe the modules, many practices stated that they were “tedious” and “overwhelming.” These complaints largely stemmed from the amount of time that it took staff members to complete the training. </w:t>
      </w:r>
      <w:r>
        <w:rPr>
          <w:rFonts w:eastAsia="Times New Roman"/>
          <w:iCs/>
          <w:szCs w:val="20"/>
        </w:rPr>
        <w:t xml:space="preserve">One of the issues that contributed to the length of the modules was </w:t>
      </w:r>
      <w:r w:rsidRPr="00720D30">
        <w:rPr>
          <w:rFonts w:eastAsia="Times New Roman"/>
          <w:iCs/>
          <w:szCs w:val="20"/>
        </w:rPr>
        <w:t>repetition</w:t>
      </w:r>
      <w:r>
        <w:rPr>
          <w:rFonts w:eastAsia="Times New Roman"/>
          <w:iCs/>
          <w:szCs w:val="20"/>
        </w:rPr>
        <w:t>:</w:t>
      </w:r>
      <w:r w:rsidRPr="00720D30">
        <w:rPr>
          <w:rFonts w:eastAsia="Times New Roman"/>
          <w:iCs/>
          <w:szCs w:val="20"/>
        </w:rPr>
        <w:t xml:space="preserve"> </w:t>
      </w:r>
    </w:p>
    <w:p w14:paraId="6AD32F5F" w14:textId="77777777" w:rsidR="001C19F3" w:rsidRDefault="001C19F3" w:rsidP="001C19F3">
      <w:pPr>
        <w:ind w:left="567" w:right="1088"/>
        <w:rPr>
          <w:rFonts w:eastAsia="Times New Roman"/>
          <w:iCs/>
          <w:szCs w:val="20"/>
        </w:rPr>
      </w:pPr>
      <w:r w:rsidRPr="00720D30">
        <w:rPr>
          <w:rFonts w:eastAsia="Times New Roman"/>
          <w:i/>
          <w:iCs/>
          <w:szCs w:val="20"/>
        </w:rPr>
        <w:t>“… I think it was probably longer than it needed to be and maybe be a little bit more direct and speed it up a bit so it wasn't so convoluted. It was probably just a bit more information than was needed to actually deliver the message.”</w:t>
      </w:r>
      <w:r w:rsidRPr="00720D30">
        <w:rPr>
          <w:rFonts w:eastAsia="Times New Roman"/>
          <w:iCs/>
          <w:szCs w:val="20"/>
        </w:rPr>
        <w:t xml:space="preserve"> [</w:t>
      </w:r>
      <w:r>
        <w:rPr>
          <w:rFonts w:eastAsia="Times New Roman"/>
          <w:iCs/>
          <w:szCs w:val="20"/>
        </w:rPr>
        <w:t>P</w:t>
      </w:r>
      <w:r w:rsidRPr="00720D30">
        <w:rPr>
          <w:rFonts w:eastAsia="Times New Roman"/>
          <w:iCs/>
          <w:szCs w:val="20"/>
        </w:rPr>
        <w:t>ractice manager, Practice 10</w:t>
      </w:r>
      <w:r>
        <w:rPr>
          <w:rFonts w:eastAsia="Times New Roman"/>
          <w:iCs/>
          <w:szCs w:val="20"/>
        </w:rPr>
        <w:t>, interview, R2]</w:t>
      </w:r>
    </w:p>
    <w:p w14:paraId="42CD3C4F" w14:textId="77777777" w:rsidR="001C19F3" w:rsidRPr="00720D30" w:rsidRDefault="001C19F3" w:rsidP="001C19F3">
      <w:pPr>
        <w:ind w:left="284"/>
        <w:rPr>
          <w:rFonts w:cs="Arial"/>
          <w:color w:val="000000"/>
          <w:szCs w:val="20"/>
          <w:lang w:val="en-GB"/>
        </w:rPr>
      </w:pPr>
      <w:r w:rsidRPr="00720D30">
        <w:rPr>
          <w:rFonts w:cs="Arial"/>
          <w:i/>
          <w:color w:val="000000"/>
          <w:szCs w:val="20"/>
          <w:lang w:val="en-GB"/>
        </w:rPr>
        <w:t>“They took a really, really long time… Yes, it took a lot of time even for me to not do those extra activities. It still took me so long just to read it all and go through them.”</w:t>
      </w:r>
      <w:r w:rsidRPr="00720D30">
        <w:rPr>
          <w:rFonts w:cs="Arial"/>
          <w:color w:val="000000"/>
          <w:szCs w:val="20"/>
          <w:lang w:val="en-GB"/>
        </w:rPr>
        <w:t xml:space="preserve"> [</w:t>
      </w:r>
      <w:r>
        <w:rPr>
          <w:rFonts w:cs="Arial"/>
          <w:color w:val="000000"/>
          <w:szCs w:val="20"/>
          <w:lang w:val="en-GB"/>
        </w:rPr>
        <w:t>P</w:t>
      </w:r>
      <w:r w:rsidRPr="00720D30">
        <w:rPr>
          <w:rFonts w:cs="Arial"/>
          <w:color w:val="000000"/>
          <w:szCs w:val="20"/>
          <w:lang w:val="en-GB"/>
        </w:rPr>
        <w:t>ractice manager, Practice 2</w:t>
      </w:r>
      <w:r>
        <w:rPr>
          <w:rFonts w:cs="Arial"/>
          <w:color w:val="000000"/>
          <w:szCs w:val="20"/>
          <w:lang w:val="en-GB"/>
        </w:rPr>
        <w:t>, interview, R2]</w:t>
      </w:r>
    </w:p>
    <w:p w14:paraId="568F72A6" w14:textId="77777777" w:rsidR="001C19F3" w:rsidRDefault="001C19F3" w:rsidP="001C19F3">
      <w:pPr>
        <w:ind w:right="237"/>
        <w:rPr>
          <w:rFonts w:eastAsia="Times New Roman"/>
          <w:iCs/>
          <w:szCs w:val="20"/>
        </w:rPr>
      </w:pPr>
      <w:r>
        <w:rPr>
          <w:rFonts w:eastAsia="Times New Roman"/>
          <w:iCs/>
          <w:szCs w:val="20"/>
        </w:rPr>
        <w:t>PHN practice facilitators also expressed similar concerns about the length of the modules:</w:t>
      </w:r>
    </w:p>
    <w:p w14:paraId="582E1CE0" w14:textId="77777777" w:rsidR="001C19F3" w:rsidRPr="00292F1B" w:rsidRDefault="001C19F3" w:rsidP="001C19F3">
      <w:pPr>
        <w:ind w:left="567" w:right="1088"/>
      </w:pPr>
      <w:r w:rsidRPr="00292F1B">
        <w:rPr>
          <w:i/>
        </w:rPr>
        <w:t>“…the unanimous feedback, not just from PHNs but from the GPs and their team, is the amount of time it takes to do those modules. And they’re having to do it on top of everything else … If you’re going to do those modules properly, it’s not just a couple of hours that it takes to do the module, but you really need to be doing the activities and looking at all the resources that go with it.”</w:t>
      </w:r>
      <w:r w:rsidRPr="00292F1B">
        <w:t xml:space="preserve"> [PHN 2, </w:t>
      </w:r>
      <w:r>
        <w:t>interview, R1]</w:t>
      </w:r>
    </w:p>
    <w:p w14:paraId="7C169DA8" w14:textId="77777777" w:rsidR="001C19F3" w:rsidRDefault="001C19F3" w:rsidP="001C19F3">
      <w:pPr>
        <w:ind w:left="567" w:right="1088"/>
      </w:pPr>
      <w:r w:rsidRPr="00292F1B">
        <w:rPr>
          <w:i/>
        </w:rPr>
        <w:t>“And the other issue to do with the modules and the training</w:t>
      </w:r>
      <w:r>
        <w:rPr>
          <w:i/>
        </w:rPr>
        <w:t>…</w:t>
      </w:r>
      <w:r w:rsidRPr="00292F1B">
        <w:rPr>
          <w:i/>
        </w:rPr>
        <w:t xml:space="preserve"> The model was…we would get trained by AGPAL to train people in how to do the modules and we would run the activities as facilitators with the practices. </w:t>
      </w:r>
      <w:r w:rsidRPr="00292F1B">
        <w:rPr>
          <w:i/>
        </w:rPr>
        <w:lastRenderedPageBreak/>
        <w:t>The practices have almost kicked us out the door in that respect because they don’t want to… They just feel they haven’t got the time to devote to …the number of activities that need to be done for each module. Because if you actually book the activities into the timeframes, you’re not just talking about say one or two hours to do the theory. But you’re also talking about several hours of all practice staff</w:t>
      </w:r>
      <w:r>
        <w:rPr>
          <w:i/>
        </w:rPr>
        <w:t>…</w:t>
      </w:r>
      <w:r w:rsidRPr="00292F1B">
        <w:rPr>
          <w:i/>
        </w:rPr>
        <w:t xml:space="preserve"> to actually engage in the activities.”</w:t>
      </w:r>
      <w:r w:rsidRPr="00292F1B">
        <w:t xml:space="preserve"> [PHN 3, </w:t>
      </w:r>
      <w:r>
        <w:t>interview, R1]</w:t>
      </w:r>
    </w:p>
    <w:p w14:paraId="0AAB1F89" w14:textId="77777777" w:rsidR="001C19F3" w:rsidRDefault="001C19F3" w:rsidP="001C19F3">
      <w:r w:rsidRPr="00292F1B">
        <w:t>Shortening and sharpening the content of the online modules was the most common suggested improvement by PHNs through the survey. Removal of duplication/ repetition was suggested as one approach to achieve this. Several facilitators also suggested that the modules be subset into components that are no longer than 8-10 minutes.</w:t>
      </w:r>
    </w:p>
    <w:p w14:paraId="61E574A7" w14:textId="77777777" w:rsidR="001C19F3" w:rsidRPr="00555514" w:rsidRDefault="001C19F3" w:rsidP="001C19F3">
      <w:r w:rsidRPr="00555514">
        <w:t xml:space="preserve">It was mentioned that online training is not ideal for rural and remote Australia. PDFs of the modules are available, but these need to be accessed online, and can only be downloaded once the module has been completed. </w:t>
      </w:r>
    </w:p>
    <w:p w14:paraId="3AB9191D" w14:textId="77777777" w:rsidR="001C19F3" w:rsidRPr="00555514" w:rsidRDefault="001C19F3" w:rsidP="001C19F3">
      <w:r w:rsidRPr="00555514">
        <w:t>The fact that learners could not move to a new module until they had completed the previous one or were not able to get to a specific section in a module without scrolling through the content was a problem. It was suggested that the modules be structured so that you can pull out relevant information when needed. For example:</w:t>
      </w:r>
    </w:p>
    <w:p w14:paraId="6A053D55" w14:textId="77777777" w:rsidR="001C19F3" w:rsidRPr="00E54CB7" w:rsidRDefault="001C19F3" w:rsidP="001C19F3">
      <w:pPr>
        <w:ind w:left="567" w:right="1088"/>
        <w:rPr>
          <w:i/>
        </w:rPr>
      </w:pPr>
      <w:r w:rsidRPr="00555514">
        <w:rPr>
          <w:i/>
        </w:rPr>
        <w:t xml:space="preserve">“Say the practice is at this level and they are starting to …engage their leaders. What are some activities from the modules? What are some resources from the modules that would be relevant for that? …the module that is relevant for wherever they’re at will be a bit more accessible and they will pull out what they need, and they might go back to it to get more information. </w:t>
      </w:r>
      <w:r>
        <w:rPr>
          <w:i/>
        </w:rPr>
        <w:t>…</w:t>
      </w:r>
      <w:r w:rsidRPr="00555514">
        <w:rPr>
          <w:i/>
        </w:rPr>
        <w:t>Just because</w:t>
      </w:r>
      <w:r w:rsidRPr="00555514">
        <w:t xml:space="preserve"> [of]</w:t>
      </w:r>
      <w:r w:rsidRPr="00555514">
        <w:rPr>
          <w:i/>
        </w:rPr>
        <w:t xml:space="preserve"> the accessibility of them, you’re just constantly clicking, clicking, clicking.” </w:t>
      </w:r>
      <w:r w:rsidRPr="009B75E1">
        <w:t>[PHN 1, interview, R1]</w:t>
      </w:r>
    </w:p>
    <w:p w14:paraId="660ED0E0" w14:textId="77777777" w:rsidR="001C19F3" w:rsidRPr="00555514" w:rsidRDefault="001C19F3" w:rsidP="001C19F3">
      <w:pPr>
        <w:ind w:left="567" w:right="1088"/>
      </w:pPr>
      <w:r w:rsidRPr="00555514">
        <w:rPr>
          <w:i/>
        </w:rPr>
        <w:t>“Conceptualise the training as a resource to dip into rather than to 'work through', and reorganise the material around ‘I want to know how to....'”</w:t>
      </w:r>
      <w:r w:rsidRPr="00555514">
        <w:t xml:space="preserve"> [PHN 8, survey</w:t>
      </w:r>
      <w:r>
        <w:t>, R1]</w:t>
      </w:r>
    </w:p>
    <w:p w14:paraId="617009E6" w14:textId="77777777" w:rsidR="001C19F3" w:rsidRPr="00720D30" w:rsidRDefault="001C19F3" w:rsidP="001C19F3">
      <w:pPr>
        <w:rPr>
          <w:rFonts w:eastAsia="Times New Roman"/>
          <w:iCs/>
          <w:szCs w:val="20"/>
        </w:rPr>
      </w:pPr>
      <w:r w:rsidRPr="00720D30">
        <w:rPr>
          <w:rFonts w:eastAsia="Times New Roman"/>
          <w:iCs/>
          <w:szCs w:val="20"/>
        </w:rPr>
        <w:t xml:space="preserve">To ensure that staff members completed the modules or at least retained the important information from the training, some practices </w:t>
      </w:r>
      <w:r>
        <w:rPr>
          <w:rFonts w:eastAsia="Times New Roman"/>
          <w:iCs/>
          <w:szCs w:val="20"/>
        </w:rPr>
        <w:t>summarised the</w:t>
      </w:r>
      <w:r w:rsidRPr="00720D30">
        <w:rPr>
          <w:rFonts w:eastAsia="Times New Roman"/>
          <w:iCs/>
          <w:szCs w:val="20"/>
        </w:rPr>
        <w:t xml:space="preserve"> modules. </w:t>
      </w:r>
      <w:r>
        <w:rPr>
          <w:rFonts w:eastAsia="Times New Roman"/>
          <w:iCs/>
          <w:szCs w:val="20"/>
        </w:rPr>
        <w:t xml:space="preserve">Examples of this included </w:t>
      </w:r>
      <w:r w:rsidRPr="00720D30">
        <w:rPr>
          <w:rFonts w:eastAsia="Times New Roman"/>
          <w:iCs/>
          <w:szCs w:val="20"/>
        </w:rPr>
        <w:t>creating and distributing concise paper versions of the training, PowerPoint presentations, or meeting</w:t>
      </w:r>
      <w:r>
        <w:rPr>
          <w:rFonts w:eastAsia="Times New Roman"/>
          <w:iCs/>
          <w:szCs w:val="20"/>
        </w:rPr>
        <w:t>s</w:t>
      </w:r>
      <w:r w:rsidRPr="00720D30">
        <w:rPr>
          <w:rFonts w:eastAsia="Times New Roman"/>
          <w:iCs/>
          <w:szCs w:val="20"/>
        </w:rPr>
        <w:t xml:space="preserve"> to relay important information from the training:</w:t>
      </w:r>
    </w:p>
    <w:p w14:paraId="2238A54E" w14:textId="77777777" w:rsidR="001C19F3" w:rsidRPr="00720D30" w:rsidRDefault="001C19F3" w:rsidP="001C19F3">
      <w:pPr>
        <w:ind w:left="567" w:right="1088"/>
        <w:rPr>
          <w:rFonts w:eastAsia="Times New Roman"/>
          <w:iCs/>
          <w:szCs w:val="20"/>
        </w:rPr>
      </w:pPr>
      <w:r w:rsidRPr="00720D30">
        <w:rPr>
          <w:rFonts w:cs="Arial"/>
          <w:i/>
          <w:color w:val="000000"/>
          <w:szCs w:val="20"/>
          <w:lang w:val="en-GB"/>
        </w:rPr>
        <w:t>“I was lucky because our corporate office actually scaled down all of the training packages also into a slideshow, like PowerPoint presentations as well, so they collated all the information for me.”</w:t>
      </w:r>
      <w:r w:rsidRPr="00720D30">
        <w:rPr>
          <w:rFonts w:cs="Arial"/>
          <w:color w:val="000000"/>
          <w:szCs w:val="20"/>
          <w:lang w:val="en-GB"/>
        </w:rPr>
        <w:t xml:space="preserve"> [</w:t>
      </w:r>
      <w:r>
        <w:rPr>
          <w:rFonts w:cs="Arial"/>
          <w:color w:val="000000"/>
          <w:szCs w:val="20"/>
          <w:lang w:val="en-GB"/>
        </w:rPr>
        <w:t>P</w:t>
      </w:r>
      <w:r w:rsidRPr="00720D30">
        <w:rPr>
          <w:rFonts w:cs="Arial"/>
          <w:color w:val="000000"/>
          <w:szCs w:val="20"/>
          <w:lang w:val="en-GB"/>
        </w:rPr>
        <w:t>ractice manager, Practice 8</w:t>
      </w:r>
      <w:r>
        <w:rPr>
          <w:rFonts w:cs="Arial"/>
          <w:color w:val="000000"/>
          <w:szCs w:val="20"/>
          <w:lang w:val="en-GB"/>
        </w:rPr>
        <w:t>, interview, R2]</w:t>
      </w:r>
    </w:p>
    <w:p w14:paraId="722A78A0" w14:textId="77777777" w:rsidR="001C19F3" w:rsidRPr="00720D30" w:rsidRDefault="001C19F3" w:rsidP="001C19F3">
      <w:pPr>
        <w:ind w:left="567" w:right="1088"/>
        <w:rPr>
          <w:rFonts w:eastAsia="Times New Roman"/>
          <w:iCs/>
          <w:szCs w:val="20"/>
        </w:rPr>
      </w:pPr>
      <w:r w:rsidRPr="00720D30">
        <w:rPr>
          <w:rFonts w:eastAsia="Times New Roman"/>
          <w:i/>
          <w:iCs/>
          <w:szCs w:val="20"/>
        </w:rPr>
        <w:t>“As I went through the modules, I summarised them into a simple little PowerPoint presentation, which I then showed to other people. I mean, the concepts are simple</w:t>
      </w:r>
      <w:r>
        <w:rPr>
          <w:rFonts w:eastAsia="Times New Roman"/>
          <w:i/>
          <w:iCs/>
          <w:szCs w:val="20"/>
        </w:rPr>
        <w:t>.</w:t>
      </w:r>
      <w:r w:rsidRPr="00720D30">
        <w:rPr>
          <w:rFonts w:eastAsia="Times New Roman"/>
          <w:iCs/>
          <w:szCs w:val="20"/>
        </w:rPr>
        <w:t>” [GP, Practice 12</w:t>
      </w:r>
      <w:r>
        <w:rPr>
          <w:rFonts w:eastAsia="Times New Roman"/>
          <w:iCs/>
          <w:szCs w:val="20"/>
        </w:rPr>
        <w:t>, interview, R2]</w:t>
      </w:r>
    </w:p>
    <w:p w14:paraId="6262836A" w14:textId="77777777" w:rsidR="001C19F3" w:rsidRPr="00720D30" w:rsidRDefault="001C19F3" w:rsidP="001C19F3">
      <w:pPr>
        <w:rPr>
          <w:rFonts w:eastAsia="Times New Roman"/>
          <w:iCs/>
          <w:szCs w:val="20"/>
        </w:rPr>
      </w:pPr>
      <w:r>
        <w:rPr>
          <w:rFonts w:eastAsia="Times New Roman"/>
          <w:iCs/>
          <w:szCs w:val="20"/>
        </w:rPr>
        <w:t>O</w:t>
      </w:r>
      <w:r w:rsidRPr="00720D30">
        <w:rPr>
          <w:rFonts w:eastAsia="Times New Roman"/>
          <w:iCs/>
          <w:szCs w:val="20"/>
        </w:rPr>
        <w:t>ne practice asked each member of the team to complete one module and present the key points at their tri</w:t>
      </w:r>
      <w:r>
        <w:rPr>
          <w:rFonts w:eastAsia="Times New Roman"/>
          <w:iCs/>
          <w:szCs w:val="20"/>
        </w:rPr>
        <w:t>-</w:t>
      </w:r>
      <w:r w:rsidRPr="00720D30">
        <w:rPr>
          <w:rFonts w:eastAsia="Times New Roman"/>
          <w:iCs/>
          <w:szCs w:val="20"/>
        </w:rPr>
        <w:t xml:space="preserve">weekly </w:t>
      </w:r>
      <w:r>
        <w:rPr>
          <w:rFonts w:eastAsia="Times New Roman"/>
          <w:iCs/>
          <w:szCs w:val="20"/>
        </w:rPr>
        <w:t xml:space="preserve">staff </w:t>
      </w:r>
      <w:r w:rsidRPr="00720D30">
        <w:rPr>
          <w:rFonts w:eastAsia="Times New Roman"/>
          <w:iCs/>
          <w:szCs w:val="20"/>
        </w:rPr>
        <w:t>meeting</w:t>
      </w:r>
      <w:r>
        <w:rPr>
          <w:rFonts w:eastAsia="Times New Roman"/>
          <w:iCs/>
          <w:szCs w:val="20"/>
        </w:rPr>
        <w:t>s</w:t>
      </w:r>
      <w:r w:rsidRPr="00720D30">
        <w:rPr>
          <w:rFonts w:eastAsia="Times New Roman"/>
          <w:iCs/>
          <w:szCs w:val="20"/>
        </w:rPr>
        <w:t xml:space="preserve">. </w:t>
      </w:r>
      <w:r>
        <w:rPr>
          <w:rFonts w:eastAsia="Times New Roman"/>
          <w:iCs/>
          <w:szCs w:val="20"/>
        </w:rPr>
        <w:t>Apart from contributing to the team-based approach</w:t>
      </w:r>
      <w:r w:rsidRPr="00A1633F">
        <w:rPr>
          <w:rFonts w:eastAsia="Times New Roman"/>
          <w:iCs/>
          <w:szCs w:val="20"/>
        </w:rPr>
        <w:t xml:space="preserve"> </w:t>
      </w:r>
      <w:r>
        <w:rPr>
          <w:rFonts w:eastAsia="Times New Roman"/>
          <w:iCs/>
          <w:szCs w:val="20"/>
        </w:rPr>
        <w:t xml:space="preserve">through </w:t>
      </w:r>
      <w:r w:rsidRPr="00720D30">
        <w:rPr>
          <w:rFonts w:eastAsia="Times New Roman"/>
          <w:iCs/>
          <w:szCs w:val="20"/>
        </w:rPr>
        <w:t>discuss</w:t>
      </w:r>
      <w:r>
        <w:rPr>
          <w:rFonts w:eastAsia="Times New Roman"/>
          <w:iCs/>
          <w:szCs w:val="20"/>
        </w:rPr>
        <w:t>ing</w:t>
      </w:r>
      <w:r w:rsidRPr="00720D30">
        <w:rPr>
          <w:rFonts w:eastAsia="Times New Roman"/>
          <w:iCs/>
          <w:szCs w:val="20"/>
        </w:rPr>
        <w:t xml:space="preserve"> important aspects of the modules amongst each other</w:t>
      </w:r>
      <w:r>
        <w:rPr>
          <w:rFonts w:eastAsia="Times New Roman"/>
          <w:iCs/>
          <w:szCs w:val="20"/>
        </w:rPr>
        <w:t>, this</w:t>
      </w:r>
      <w:r w:rsidRPr="00720D30">
        <w:rPr>
          <w:rFonts w:eastAsia="Times New Roman"/>
          <w:iCs/>
          <w:szCs w:val="20"/>
        </w:rPr>
        <w:t xml:space="preserve"> ensured that each person completed some of the training:</w:t>
      </w:r>
    </w:p>
    <w:p w14:paraId="78586BEC" w14:textId="77777777" w:rsidR="001C19F3" w:rsidRPr="00720D30" w:rsidRDefault="001C19F3" w:rsidP="001C19F3">
      <w:pPr>
        <w:ind w:left="567" w:right="1088"/>
        <w:rPr>
          <w:rFonts w:cs="Arial"/>
          <w:szCs w:val="20"/>
          <w:lang w:val="en-GB"/>
        </w:rPr>
      </w:pPr>
      <w:r w:rsidRPr="00720D30">
        <w:rPr>
          <w:rFonts w:cs="Arial"/>
          <w:i/>
          <w:szCs w:val="20"/>
          <w:lang w:val="en-GB"/>
        </w:rPr>
        <w:lastRenderedPageBreak/>
        <w:t xml:space="preserve">“There was a set of modules that needed to be done for a </w:t>
      </w:r>
      <w:r w:rsidRPr="00A1633F">
        <w:rPr>
          <w:rFonts w:cs="Arial"/>
          <w:szCs w:val="20"/>
          <w:lang w:val="en-GB"/>
        </w:rPr>
        <w:t>[previous regional]</w:t>
      </w:r>
      <w:r w:rsidRPr="00720D30">
        <w:rPr>
          <w:rFonts w:cs="Arial"/>
          <w:i/>
          <w:szCs w:val="20"/>
          <w:lang w:val="en-GB"/>
        </w:rPr>
        <w:t xml:space="preserve"> program</w:t>
      </w:r>
      <w:r>
        <w:rPr>
          <w:rFonts w:cs="Arial"/>
          <w:i/>
          <w:szCs w:val="20"/>
          <w:lang w:val="en-GB"/>
        </w:rPr>
        <w:t>..</w:t>
      </w:r>
      <w:r w:rsidRPr="00720D30">
        <w:rPr>
          <w:rFonts w:cs="Arial"/>
          <w:i/>
          <w:szCs w:val="20"/>
          <w:lang w:val="en-GB"/>
        </w:rPr>
        <w:t xml:space="preserve">. And that took each nurse I think about five to seven hours to get through. So we decided we're not doing that again. Which is why we divided to conquer. But those team meetings had been pivotal in getting that going.” </w:t>
      </w:r>
      <w:r w:rsidRPr="00720D30">
        <w:rPr>
          <w:rFonts w:cs="Arial"/>
          <w:szCs w:val="20"/>
          <w:lang w:val="en-GB"/>
        </w:rPr>
        <w:t>[GP, Practice 9</w:t>
      </w:r>
      <w:r>
        <w:rPr>
          <w:rFonts w:cs="Arial"/>
          <w:szCs w:val="20"/>
          <w:lang w:val="en-GB"/>
        </w:rPr>
        <w:t>, interview, R2]</w:t>
      </w:r>
    </w:p>
    <w:p w14:paraId="73312495" w14:textId="77777777" w:rsidR="001C19F3" w:rsidRPr="00555514" w:rsidRDefault="001C19F3" w:rsidP="001C19F3">
      <w:r w:rsidRPr="00555514">
        <w:t xml:space="preserve">In several instances PHN facilitators reworked the material from the modules, tailoring it to reflect the needs of the practices they were working with. </w:t>
      </w:r>
    </w:p>
    <w:p w14:paraId="3F555F0A" w14:textId="77777777" w:rsidR="001C19F3" w:rsidRPr="00555514" w:rsidRDefault="001C19F3" w:rsidP="001C19F3">
      <w:r w:rsidRPr="00555514">
        <w:t>Timing of when the modules were released was raised as an issue:</w:t>
      </w:r>
    </w:p>
    <w:p w14:paraId="492BE6A9" w14:textId="77777777" w:rsidR="001C19F3" w:rsidRPr="00555514" w:rsidRDefault="001C19F3" w:rsidP="001C19F3">
      <w:pPr>
        <w:ind w:left="567" w:right="1088"/>
        <w:rPr>
          <w:i/>
        </w:rPr>
      </w:pPr>
      <w:r w:rsidRPr="00555514">
        <w:t>“</w:t>
      </w:r>
      <w:r w:rsidRPr="00555514">
        <w:rPr>
          <w:i/>
        </w:rPr>
        <w:t>The modules were also provided only a month before implementation which caused unnecessary anxiety and contributed to inertia and inaction</w:t>
      </w:r>
      <w:r w:rsidRPr="00555514">
        <w:t>.” [PHN 9, survey</w:t>
      </w:r>
      <w:r>
        <w:t>, R1</w:t>
      </w:r>
      <w:r w:rsidRPr="00555514">
        <w:t>]</w:t>
      </w:r>
    </w:p>
    <w:p w14:paraId="343CCE0B" w14:textId="77777777" w:rsidR="001C19F3" w:rsidRPr="00555514" w:rsidRDefault="001C19F3" w:rsidP="001C19F3">
      <w:r w:rsidRPr="00555514">
        <w:t>It was also felt the modules were pitched at ‘entry-level’, and did not acknowledge experienced learners:</w:t>
      </w:r>
    </w:p>
    <w:p w14:paraId="1BB93E03" w14:textId="77777777" w:rsidR="001C19F3" w:rsidRPr="00555514" w:rsidRDefault="001C19F3" w:rsidP="001C19F3">
      <w:pPr>
        <w:ind w:left="567" w:right="1088"/>
      </w:pPr>
      <w:r w:rsidRPr="00555514">
        <w:rPr>
          <w:i/>
        </w:rPr>
        <w:t xml:space="preserve">“The positive commentary has come though when people have said, I didn’t know anything at all about this Health Care Homes thing before and now I’ve done some of the modules I think I understand it better. So that’s been an up-side, but we get very few of those.” </w:t>
      </w:r>
      <w:r w:rsidRPr="00555514">
        <w:t>[PHN 3, interview</w:t>
      </w:r>
      <w:r>
        <w:t>, R1]</w:t>
      </w:r>
    </w:p>
    <w:p w14:paraId="2C8CAD8B" w14:textId="77777777" w:rsidR="001C19F3" w:rsidRPr="00555514" w:rsidRDefault="001C19F3" w:rsidP="001C19F3">
      <w:pPr>
        <w:ind w:left="567" w:right="1088"/>
      </w:pPr>
      <w:r w:rsidRPr="00555514">
        <w:rPr>
          <w:i/>
        </w:rPr>
        <w:t xml:space="preserve">“They were a little bit patronising for some of the GPs. </w:t>
      </w:r>
      <w:r w:rsidRPr="00555514">
        <w:t>[One GP had</w:t>
      </w:r>
      <w:r>
        <w:t>, R1]</w:t>
      </w:r>
      <w:r w:rsidRPr="00555514">
        <w:rPr>
          <w:i/>
        </w:rPr>
        <w:t xml:space="preserve"> talked about just sitting there and going next, next, next because it didn’t add anything of value to what he thought.”</w:t>
      </w:r>
      <w:r w:rsidRPr="00555514">
        <w:t xml:space="preserve"> [PHN 7, interview</w:t>
      </w:r>
      <w:r>
        <w:t>, R1</w:t>
      </w:r>
      <w:r w:rsidRPr="00555514">
        <w:t>]</w:t>
      </w:r>
    </w:p>
    <w:p w14:paraId="2BEA66AB" w14:textId="77777777" w:rsidR="001C19F3" w:rsidRPr="00555514" w:rsidRDefault="001C19F3" w:rsidP="001C19F3">
      <w:pPr>
        <w:ind w:left="567" w:right="1088"/>
      </w:pPr>
      <w:r w:rsidRPr="00555514">
        <w:rPr>
          <w:i/>
        </w:rPr>
        <w:t>“Training modules weren’t targeted enough and could have been broken up into different levels acquainting to general practice roles.”</w:t>
      </w:r>
      <w:r w:rsidRPr="00555514">
        <w:t xml:space="preserve"> [PHN 9, </w:t>
      </w:r>
      <w:r>
        <w:t>s</w:t>
      </w:r>
      <w:r w:rsidRPr="00555514">
        <w:t>urvey</w:t>
      </w:r>
      <w:r>
        <w:t>, R1</w:t>
      </w:r>
      <w:r w:rsidRPr="00555514">
        <w:t>]</w:t>
      </w:r>
    </w:p>
    <w:p w14:paraId="5A71784C" w14:textId="77777777" w:rsidR="001C19F3" w:rsidRDefault="001C19F3" w:rsidP="001C19F3">
      <w:pPr>
        <w:rPr>
          <w:rFonts w:eastAsia="Times New Roman"/>
          <w:iCs/>
          <w:szCs w:val="20"/>
        </w:rPr>
      </w:pPr>
      <w:r w:rsidRPr="00720D30">
        <w:rPr>
          <w:rFonts w:eastAsia="Times New Roman"/>
          <w:iCs/>
          <w:szCs w:val="20"/>
        </w:rPr>
        <w:t>Several practices suggested creating modules tailored for specific individuals within a practice such as nurses, GPs, practice managers, and receptionists. Individualising the modules based on individuals’ roles and responsibilities would not only ensure that the training would be more concise, but would also allow staff members to obtain information that is most relevant to their positions</w:t>
      </w:r>
      <w:r>
        <w:rPr>
          <w:rFonts w:eastAsia="Times New Roman"/>
          <w:iCs/>
          <w:szCs w:val="20"/>
        </w:rPr>
        <w:t>:</w:t>
      </w:r>
    </w:p>
    <w:p w14:paraId="4E20F511" w14:textId="77777777" w:rsidR="001C19F3" w:rsidRPr="00720D30" w:rsidRDefault="001C19F3" w:rsidP="001C19F3">
      <w:pPr>
        <w:ind w:left="567" w:right="1088"/>
        <w:rPr>
          <w:rFonts w:cs="Arial"/>
          <w:color w:val="000000"/>
          <w:szCs w:val="20"/>
          <w:lang w:val="en-GB"/>
        </w:rPr>
      </w:pPr>
      <w:r w:rsidRPr="00720D30">
        <w:rPr>
          <w:rFonts w:cs="Arial"/>
          <w:i/>
          <w:color w:val="000000"/>
          <w:szCs w:val="20"/>
          <w:lang w:val="en-GB"/>
        </w:rPr>
        <w:t xml:space="preserve"> “I think they could probably isolate it </w:t>
      </w:r>
      <w:r>
        <w:rPr>
          <w:rFonts w:cs="Arial"/>
          <w:i/>
          <w:color w:val="000000"/>
          <w:szCs w:val="20"/>
          <w:lang w:val="en-GB"/>
        </w:rPr>
        <w:t>…</w:t>
      </w:r>
      <w:r w:rsidRPr="00720D30">
        <w:rPr>
          <w:rFonts w:cs="Arial"/>
          <w:i/>
          <w:color w:val="000000"/>
          <w:szCs w:val="20"/>
          <w:lang w:val="en-GB"/>
        </w:rPr>
        <w:t xml:space="preserve"> this is for admin, this is for nursing, this is for doctors.”</w:t>
      </w:r>
      <w:r w:rsidRPr="00720D30">
        <w:rPr>
          <w:rFonts w:cs="Arial"/>
          <w:color w:val="000000"/>
          <w:szCs w:val="20"/>
          <w:lang w:val="en-GB"/>
        </w:rPr>
        <w:t xml:space="preserve"> [</w:t>
      </w:r>
      <w:r>
        <w:rPr>
          <w:rFonts w:cs="Arial"/>
          <w:color w:val="000000"/>
          <w:szCs w:val="20"/>
          <w:lang w:val="en-GB"/>
        </w:rPr>
        <w:t>P</w:t>
      </w:r>
      <w:r w:rsidRPr="00720D30">
        <w:rPr>
          <w:rFonts w:cs="Arial"/>
          <w:color w:val="000000"/>
          <w:szCs w:val="20"/>
          <w:lang w:val="en-GB"/>
        </w:rPr>
        <w:t>ractice manager, Practice 2</w:t>
      </w:r>
      <w:r>
        <w:rPr>
          <w:rFonts w:cs="Arial"/>
          <w:color w:val="000000"/>
          <w:szCs w:val="20"/>
          <w:lang w:val="en-GB"/>
        </w:rPr>
        <w:t>, interview, R2]</w:t>
      </w:r>
    </w:p>
    <w:p w14:paraId="616677DF" w14:textId="77777777" w:rsidR="001C19F3" w:rsidRPr="00720D30" w:rsidRDefault="001C19F3" w:rsidP="001C19F3">
      <w:pPr>
        <w:ind w:left="567" w:right="1088"/>
        <w:rPr>
          <w:rFonts w:cs="Arial"/>
          <w:color w:val="000000"/>
          <w:kern w:val="2"/>
          <w:szCs w:val="20"/>
          <w:lang w:val="en-GB"/>
        </w:rPr>
      </w:pPr>
      <w:r w:rsidRPr="00720D30">
        <w:rPr>
          <w:rFonts w:cs="Arial"/>
          <w:i/>
          <w:color w:val="000000"/>
          <w:kern w:val="2"/>
          <w:szCs w:val="20"/>
          <w:lang w:val="en-GB"/>
        </w:rPr>
        <w:t>“They might be broken down to what a receptionist, what a nurse, and what a doctor might actually need to do. Because some of them, there was no guidance over that…”</w:t>
      </w:r>
      <w:r w:rsidRPr="00720D30">
        <w:rPr>
          <w:rFonts w:cs="Arial"/>
          <w:color w:val="000000"/>
          <w:kern w:val="2"/>
          <w:szCs w:val="20"/>
          <w:lang w:val="en-GB"/>
        </w:rPr>
        <w:t xml:space="preserve"> [GP, Practice 7</w:t>
      </w:r>
      <w:r>
        <w:rPr>
          <w:rFonts w:cs="Arial"/>
          <w:color w:val="000000"/>
          <w:kern w:val="2"/>
          <w:szCs w:val="20"/>
          <w:lang w:val="en-GB"/>
        </w:rPr>
        <w:t>, interview, R2]</w:t>
      </w:r>
    </w:p>
    <w:p w14:paraId="33119907" w14:textId="77777777" w:rsidR="001C19F3" w:rsidRPr="00720D30" w:rsidRDefault="001C19F3" w:rsidP="001C19F3">
      <w:pPr>
        <w:ind w:left="567" w:right="1088"/>
        <w:rPr>
          <w:rFonts w:cs="Arial"/>
          <w:color w:val="000000"/>
          <w:szCs w:val="20"/>
          <w:lang w:val="en-GB"/>
        </w:rPr>
      </w:pPr>
      <w:r w:rsidRPr="00720D30">
        <w:rPr>
          <w:rFonts w:cs="Arial"/>
          <w:i/>
          <w:color w:val="000000"/>
          <w:szCs w:val="20"/>
          <w:lang w:val="en-GB"/>
        </w:rPr>
        <w:t>“I feel like it wasn’t really well aimed at who you were in the practice, so it’s like you’re getting all this information…I don’t need to know 30 minutes of how to provide patients needed care.”</w:t>
      </w:r>
      <w:r w:rsidRPr="00720D30">
        <w:rPr>
          <w:rFonts w:cs="Arial"/>
          <w:color w:val="000000"/>
          <w:szCs w:val="20"/>
          <w:lang w:val="en-GB"/>
        </w:rPr>
        <w:t xml:space="preserve"> [</w:t>
      </w:r>
      <w:r>
        <w:rPr>
          <w:rFonts w:cs="Arial"/>
          <w:color w:val="000000"/>
          <w:szCs w:val="20"/>
          <w:lang w:val="en-GB"/>
        </w:rPr>
        <w:t>P</w:t>
      </w:r>
      <w:r w:rsidRPr="00720D30">
        <w:rPr>
          <w:rFonts w:cs="Arial"/>
          <w:color w:val="000000"/>
          <w:szCs w:val="20"/>
          <w:lang w:val="en-GB"/>
        </w:rPr>
        <w:t>ractice nurse, Practice 10</w:t>
      </w:r>
      <w:r>
        <w:rPr>
          <w:rFonts w:cs="Arial"/>
          <w:color w:val="000000"/>
          <w:szCs w:val="20"/>
          <w:lang w:val="en-GB"/>
        </w:rPr>
        <w:t>, interview, R2]</w:t>
      </w:r>
    </w:p>
    <w:p w14:paraId="4528746A" w14:textId="77777777" w:rsidR="001C19F3" w:rsidRPr="00720D30" w:rsidRDefault="001C19F3" w:rsidP="001C19F3">
      <w:pPr>
        <w:rPr>
          <w:rFonts w:cs="Arial"/>
          <w:color w:val="000000"/>
          <w:kern w:val="2"/>
          <w:szCs w:val="20"/>
          <w:lang w:val="en-GB"/>
        </w:rPr>
      </w:pPr>
      <w:r w:rsidRPr="00555514">
        <w:t xml:space="preserve">It was also suggested the modules should be more practical and solution-based rather than presenting theory. </w:t>
      </w:r>
      <w:r>
        <w:t xml:space="preserve">Some </w:t>
      </w:r>
      <w:r w:rsidRPr="00720D30">
        <w:rPr>
          <w:rFonts w:cs="Arial"/>
          <w:color w:val="000000"/>
          <w:kern w:val="2"/>
          <w:szCs w:val="20"/>
          <w:lang w:val="en-GB"/>
        </w:rPr>
        <w:t xml:space="preserve">recommended a more </w:t>
      </w:r>
      <w:r>
        <w:rPr>
          <w:rFonts w:cs="Arial"/>
          <w:color w:val="000000"/>
          <w:kern w:val="2"/>
          <w:szCs w:val="20"/>
          <w:lang w:val="en-GB"/>
        </w:rPr>
        <w:t>‘</w:t>
      </w:r>
      <w:r w:rsidRPr="007A0CB0">
        <w:rPr>
          <w:rFonts w:cs="Arial"/>
          <w:i/>
          <w:color w:val="000000"/>
          <w:kern w:val="2"/>
          <w:szCs w:val="20"/>
          <w:lang w:val="en-GB"/>
        </w:rPr>
        <w:t>hands-on</w:t>
      </w:r>
      <w:r>
        <w:rPr>
          <w:rFonts w:cs="Arial"/>
          <w:color w:val="000000"/>
          <w:kern w:val="2"/>
          <w:szCs w:val="20"/>
          <w:lang w:val="en-GB"/>
        </w:rPr>
        <w:t>’</w:t>
      </w:r>
      <w:r w:rsidRPr="00720D30">
        <w:rPr>
          <w:rFonts w:cs="Arial"/>
          <w:color w:val="000000"/>
          <w:kern w:val="2"/>
          <w:szCs w:val="20"/>
          <w:lang w:val="en-GB"/>
        </w:rPr>
        <w:t xml:space="preserve"> approach to training in the form of presentations, face-to-face meetings, and information presented in a group setting. Some </w:t>
      </w:r>
      <w:r w:rsidRPr="00720D30">
        <w:rPr>
          <w:rFonts w:cs="Arial"/>
          <w:color w:val="000000"/>
          <w:kern w:val="2"/>
          <w:szCs w:val="20"/>
          <w:lang w:val="en-GB"/>
        </w:rPr>
        <w:lastRenderedPageBreak/>
        <w:t>clinicians and nurses reported that they retain more information and learn more effectively in an interactive setting:</w:t>
      </w:r>
    </w:p>
    <w:p w14:paraId="3C06DC4D" w14:textId="77777777" w:rsidR="001C19F3" w:rsidRPr="00720D30" w:rsidRDefault="001C19F3" w:rsidP="001C19F3">
      <w:pPr>
        <w:ind w:left="567" w:right="1088"/>
        <w:rPr>
          <w:rFonts w:cs="Arial"/>
          <w:color w:val="000000"/>
          <w:szCs w:val="20"/>
          <w:lang w:val="en-GB"/>
        </w:rPr>
      </w:pPr>
      <w:r w:rsidRPr="00720D30">
        <w:rPr>
          <w:rFonts w:cs="Arial"/>
          <w:i/>
          <w:color w:val="000000"/>
          <w:szCs w:val="20"/>
          <w:lang w:val="en-GB"/>
        </w:rPr>
        <w:t xml:space="preserve">“It’s not really the way that I learn. A lot of nurses learn hands on, not from reading. It’s a lot harder. The modules that I have done, I went to an AGPAL </w:t>
      </w:r>
      <w:r w:rsidRPr="009B75E1">
        <w:rPr>
          <w:rFonts w:cs="Arial"/>
          <w:color w:val="000000"/>
          <w:szCs w:val="20"/>
          <w:lang w:val="en-GB"/>
        </w:rPr>
        <w:t>[workshop]</w:t>
      </w:r>
      <w:r w:rsidRPr="00720D30">
        <w:rPr>
          <w:rFonts w:cs="Arial"/>
          <w:i/>
          <w:color w:val="000000"/>
          <w:szCs w:val="20"/>
          <w:lang w:val="en-GB"/>
        </w:rPr>
        <w:t xml:space="preserve"> and I got more benefit from the AGPAL day than I did the module.”</w:t>
      </w:r>
      <w:r w:rsidRPr="00720D30">
        <w:rPr>
          <w:rFonts w:cs="Arial"/>
          <w:color w:val="000000"/>
          <w:szCs w:val="20"/>
          <w:lang w:val="en-GB"/>
        </w:rPr>
        <w:t xml:space="preserve"> [</w:t>
      </w:r>
      <w:r>
        <w:rPr>
          <w:rFonts w:cs="Arial"/>
          <w:color w:val="000000"/>
          <w:szCs w:val="20"/>
          <w:lang w:val="en-GB"/>
        </w:rPr>
        <w:t>P</w:t>
      </w:r>
      <w:r w:rsidRPr="00720D30">
        <w:rPr>
          <w:rFonts w:cs="Arial"/>
          <w:color w:val="000000"/>
          <w:szCs w:val="20"/>
          <w:lang w:val="en-GB"/>
        </w:rPr>
        <w:t>ractice nurse, Practice 5</w:t>
      </w:r>
      <w:r>
        <w:rPr>
          <w:rFonts w:cs="Arial"/>
          <w:color w:val="000000"/>
          <w:szCs w:val="20"/>
          <w:lang w:val="en-GB"/>
        </w:rPr>
        <w:t>, interview, R2]</w:t>
      </w:r>
    </w:p>
    <w:p w14:paraId="6E3E4EFC" w14:textId="77777777" w:rsidR="001C19F3" w:rsidRPr="00720D30" w:rsidRDefault="001C19F3" w:rsidP="001C19F3">
      <w:pPr>
        <w:ind w:left="567" w:right="1088"/>
        <w:rPr>
          <w:rFonts w:cs="Arial"/>
          <w:color w:val="000000"/>
          <w:szCs w:val="20"/>
          <w:lang w:val="en-GB"/>
        </w:rPr>
      </w:pPr>
      <w:r w:rsidRPr="00720D30">
        <w:rPr>
          <w:rFonts w:cs="Arial"/>
          <w:i/>
          <w:color w:val="000000"/>
          <w:szCs w:val="20"/>
          <w:lang w:val="en-GB"/>
        </w:rPr>
        <w:t xml:space="preserve">"I think the information was there....I would probably think presentation wise would be probably easier for people in a group setting"...a day of training might have been better." </w:t>
      </w:r>
      <w:r w:rsidRPr="00720D30">
        <w:rPr>
          <w:rFonts w:cs="Arial"/>
          <w:color w:val="000000"/>
          <w:szCs w:val="20"/>
          <w:lang w:val="en-GB"/>
        </w:rPr>
        <w:t>[practice manager, Practice 4</w:t>
      </w:r>
      <w:r>
        <w:rPr>
          <w:rFonts w:cs="Arial"/>
          <w:color w:val="000000"/>
          <w:szCs w:val="20"/>
          <w:lang w:val="en-GB"/>
        </w:rPr>
        <w:t>, interview, R2]</w:t>
      </w:r>
    </w:p>
    <w:p w14:paraId="676911A8" w14:textId="77777777" w:rsidR="001C19F3" w:rsidRPr="00720D30" w:rsidRDefault="001C19F3" w:rsidP="001C19F3">
      <w:pPr>
        <w:ind w:left="567" w:right="1088"/>
        <w:rPr>
          <w:rFonts w:cs="Arial"/>
          <w:szCs w:val="20"/>
          <w:lang w:val="en-GB"/>
        </w:rPr>
      </w:pPr>
      <w:r w:rsidRPr="00720D30">
        <w:rPr>
          <w:rFonts w:cs="Arial"/>
          <w:i/>
          <w:szCs w:val="20"/>
          <w:lang w:val="en-GB"/>
        </w:rPr>
        <w:t xml:space="preserve">“A lot of people like me for instance, I learn better </w:t>
      </w:r>
      <w:r>
        <w:rPr>
          <w:rFonts w:cs="Arial"/>
          <w:i/>
          <w:szCs w:val="20"/>
          <w:lang w:val="en-GB"/>
        </w:rPr>
        <w:t>face-to-face</w:t>
      </w:r>
      <w:r w:rsidRPr="00720D30">
        <w:rPr>
          <w:rFonts w:cs="Arial"/>
          <w:i/>
          <w:szCs w:val="20"/>
          <w:lang w:val="en-GB"/>
        </w:rPr>
        <w:t>…”</w:t>
      </w:r>
      <w:r w:rsidRPr="00720D30">
        <w:rPr>
          <w:rFonts w:cs="Arial"/>
          <w:szCs w:val="20"/>
          <w:lang w:val="en-GB"/>
        </w:rPr>
        <w:t xml:space="preserve"> [practice nurse, Practice 15</w:t>
      </w:r>
      <w:r>
        <w:rPr>
          <w:rFonts w:cs="Arial"/>
          <w:szCs w:val="20"/>
          <w:lang w:val="en-GB"/>
        </w:rPr>
        <w:t>, interview, R2]</w:t>
      </w:r>
    </w:p>
    <w:p w14:paraId="44D73A77" w14:textId="77777777" w:rsidR="001C19F3" w:rsidRPr="00720D30" w:rsidRDefault="001C19F3" w:rsidP="001C19F3">
      <w:pPr>
        <w:rPr>
          <w:rFonts w:eastAsia="Times New Roman"/>
          <w:iCs/>
          <w:szCs w:val="20"/>
        </w:rPr>
      </w:pPr>
      <w:r w:rsidRPr="00720D30">
        <w:rPr>
          <w:rFonts w:eastAsia="Times New Roman"/>
          <w:iCs/>
          <w:szCs w:val="20"/>
        </w:rPr>
        <w:t xml:space="preserve">Staff members in administrative roles </w:t>
      </w:r>
      <w:r>
        <w:rPr>
          <w:rFonts w:eastAsia="Times New Roman"/>
          <w:iCs/>
          <w:szCs w:val="20"/>
        </w:rPr>
        <w:t>were</w:t>
      </w:r>
      <w:r w:rsidRPr="00720D30">
        <w:rPr>
          <w:rFonts w:eastAsia="Times New Roman"/>
          <w:iCs/>
          <w:szCs w:val="20"/>
        </w:rPr>
        <w:t xml:space="preserve"> more positive </w:t>
      </w:r>
      <w:r>
        <w:rPr>
          <w:rFonts w:eastAsia="Times New Roman"/>
          <w:iCs/>
          <w:szCs w:val="20"/>
        </w:rPr>
        <w:t>about</w:t>
      </w:r>
      <w:r w:rsidRPr="00720D30">
        <w:rPr>
          <w:rFonts w:eastAsia="Times New Roman"/>
          <w:iCs/>
          <w:szCs w:val="20"/>
        </w:rPr>
        <w:t xml:space="preserve"> the modules as </w:t>
      </w:r>
      <w:r>
        <w:rPr>
          <w:rFonts w:eastAsia="Times New Roman"/>
          <w:iCs/>
          <w:szCs w:val="20"/>
        </w:rPr>
        <w:t>they</w:t>
      </w:r>
      <w:r w:rsidRPr="00720D30">
        <w:rPr>
          <w:rFonts w:eastAsia="Times New Roman"/>
          <w:iCs/>
          <w:szCs w:val="20"/>
        </w:rPr>
        <w:t xml:space="preserve"> provided them context and helped them understand their role in the program</w:t>
      </w:r>
      <w:r>
        <w:rPr>
          <w:rFonts w:eastAsia="Times New Roman"/>
          <w:iCs/>
          <w:szCs w:val="20"/>
        </w:rPr>
        <w:t>:</w:t>
      </w:r>
    </w:p>
    <w:p w14:paraId="0FEAB84E" w14:textId="77777777" w:rsidR="001C19F3" w:rsidRPr="00720D30" w:rsidRDefault="001C19F3" w:rsidP="001C19F3">
      <w:pPr>
        <w:ind w:left="284"/>
        <w:rPr>
          <w:rFonts w:eastAsia="Times New Roman"/>
          <w:iCs/>
          <w:szCs w:val="20"/>
        </w:rPr>
      </w:pPr>
      <w:r w:rsidRPr="00720D30">
        <w:rPr>
          <w:rFonts w:eastAsia="Times New Roman"/>
          <w:iCs/>
          <w:szCs w:val="20"/>
        </w:rPr>
        <w:t>“</w:t>
      </w:r>
      <w:r w:rsidRPr="00720D30">
        <w:rPr>
          <w:rFonts w:eastAsia="Times New Roman"/>
          <w:i/>
          <w:iCs/>
          <w:szCs w:val="20"/>
        </w:rPr>
        <w:t>I think I found it very useful as well as the other admin staff because when you work in the admin area you don’t know much about, you know, why are you doing this.</w:t>
      </w:r>
      <w:r>
        <w:rPr>
          <w:rFonts w:eastAsia="Times New Roman"/>
          <w:i/>
          <w:iCs/>
          <w:szCs w:val="20"/>
        </w:rPr>
        <w:t xml:space="preserve"> </w:t>
      </w:r>
      <w:r w:rsidRPr="00720D30">
        <w:rPr>
          <w:rFonts w:eastAsia="Times New Roman"/>
          <w:i/>
          <w:iCs/>
          <w:szCs w:val="20"/>
        </w:rPr>
        <w:t xml:space="preserve">And…the whole end result, what’s the outcome…that really helped me understand my place in the workplace.” </w:t>
      </w:r>
      <w:r w:rsidRPr="00720D30">
        <w:rPr>
          <w:rFonts w:eastAsia="Times New Roman"/>
          <w:iCs/>
          <w:szCs w:val="20"/>
        </w:rPr>
        <w:t>[</w:t>
      </w:r>
      <w:r>
        <w:rPr>
          <w:rFonts w:eastAsia="Times New Roman"/>
          <w:iCs/>
          <w:szCs w:val="20"/>
        </w:rPr>
        <w:t>P</w:t>
      </w:r>
      <w:r w:rsidRPr="00720D30">
        <w:rPr>
          <w:rFonts w:eastAsia="Times New Roman"/>
          <w:iCs/>
          <w:szCs w:val="20"/>
        </w:rPr>
        <w:t>ractice manager &amp; receptionist, Practice 11</w:t>
      </w:r>
      <w:r>
        <w:rPr>
          <w:rFonts w:eastAsia="Times New Roman"/>
          <w:iCs/>
          <w:szCs w:val="20"/>
        </w:rPr>
        <w:t>, interview, R2]</w:t>
      </w:r>
    </w:p>
    <w:p w14:paraId="3AAD5058" w14:textId="77777777" w:rsidR="001C19F3" w:rsidRPr="00555514" w:rsidRDefault="001C19F3" w:rsidP="001C19F3">
      <w:r>
        <w:t xml:space="preserve">In their responses to a survey, </w:t>
      </w:r>
      <w:r w:rsidRPr="00555514">
        <w:t>PHNs</w:t>
      </w:r>
      <w:r>
        <w:t xml:space="preserve"> suggested additional improvements to the online training</w:t>
      </w:r>
      <w:r w:rsidRPr="00555514">
        <w:t>:</w:t>
      </w:r>
    </w:p>
    <w:p w14:paraId="25F008CD" w14:textId="77777777" w:rsidR="001C19F3" w:rsidRPr="00555514" w:rsidRDefault="001C19F3" w:rsidP="001C19F3">
      <w:pPr>
        <w:pStyle w:val="ListParagraph"/>
        <w:numPr>
          <w:ilvl w:val="0"/>
          <w:numId w:val="42"/>
        </w:numPr>
      </w:pPr>
      <w:r w:rsidRPr="00555514">
        <w:t>identify the essential and desirable features of the model</w:t>
      </w:r>
    </w:p>
    <w:p w14:paraId="048E693B" w14:textId="77777777" w:rsidR="001C19F3" w:rsidRPr="00555514" w:rsidRDefault="001C19F3" w:rsidP="001C19F3">
      <w:pPr>
        <w:pStyle w:val="ListParagraph"/>
        <w:numPr>
          <w:ilvl w:val="0"/>
          <w:numId w:val="42"/>
        </w:numPr>
      </w:pPr>
      <w:r w:rsidRPr="00555514">
        <w:t>more instruction on the “</w:t>
      </w:r>
      <w:r w:rsidRPr="00555514">
        <w:rPr>
          <w:i/>
        </w:rPr>
        <w:t>global concepts beyond the model</w:t>
      </w:r>
      <w:r w:rsidRPr="00555514">
        <w:t>” [PHN 9, survey</w:t>
      </w:r>
      <w:r>
        <w:t>, R1</w:t>
      </w:r>
      <w:r w:rsidRPr="00555514">
        <w:t>]</w:t>
      </w:r>
    </w:p>
    <w:p w14:paraId="6667BE38" w14:textId="77777777" w:rsidR="001C19F3" w:rsidRPr="00555514" w:rsidRDefault="001C19F3" w:rsidP="001C19F3">
      <w:pPr>
        <w:pStyle w:val="ListParagraph"/>
        <w:numPr>
          <w:ilvl w:val="0"/>
          <w:numId w:val="42"/>
        </w:numPr>
      </w:pPr>
      <w:r w:rsidRPr="00555514">
        <w:t>consider where practices are at currently (i.e. the modules should be “</w:t>
      </w:r>
      <w:r w:rsidRPr="00555514">
        <w:rPr>
          <w:i/>
        </w:rPr>
        <w:t>better targeted to the reality of where general practice is at not where they should be</w:t>
      </w:r>
      <w:r w:rsidRPr="00555514">
        <w:t>” [PHN 9, survey</w:t>
      </w:r>
      <w:r>
        <w:t>, R1</w:t>
      </w:r>
      <w:r w:rsidRPr="00555514">
        <w:t>])</w:t>
      </w:r>
    </w:p>
    <w:p w14:paraId="34F9569E" w14:textId="77777777" w:rsidR="001C19F3" w:rsidRPr="00555514" w:rsidRDefault="001C19F3" w:rsidP="001C19F3">
      <w:pPr>
        <w:pStyle w:val="ListParagraph"/>
        <w:numPr>
          <w:ilvl w:val="0"/>
          <w:numId w:val="42"/>
        </w:numPr>
      </w:pPr>
      <w:r w:rsidRPr="00555514">
        <w:t>include activities to reinforce learning at the end of each module (in addition to practical activities)</w:t>
      </w:r>
    </w:p>
    <w:p w14:paraId="5C7CB0EE" w14:textId="77777777" w:rsidR="001C19F3" w:rsidRPr="00555514" w:rsidRDefault="001C19F3" w:rsidP="001C19F3">
      <w:pPr>
        <w:pStyle w:val="ListParagraph"/>
        <w:numPr>
          <w:ilvl w:val="0"/>
          <w:numId w:val="42"/>
        </w:numPr>
      </w:pPr>
      <w:r w:rsidRPr="00555514">
        <w:t>increase video content</w:t>
      </w:r>
    </w:p>
    <w:p w14:paraId="369C89E1" w14:textId="77777777" w:rsidR="001C19F3" w:rsidRPr="00555514" w:rsidRDefault="001C19F3" w:rsidP="001C19F3">
      <w:pPr>
        <w:pStyle w:val="ListParagraph"/>
        <w:numPr>
          <w:ilvl w:val="0"/>
          <w:numId w:val="42"/>
        </w:numPr>
      </w:pPr>
      <w:r w:rsidRPr="00555514">
        <w:t>provide more concise and relevant practice examples.</w:t>
      </w:r>
    </w:p>
    <w:p w14:paraId="2E625A66" w14:textId="77777777" w:rsidR="001C19F3" w:rsidRPr="001D564A" w:rsidRDefault="001C19F3" w:rsidP="001C19F3">
      <w:pPr>
        <w:pStyle w:val="Heading3"/>
      </w:pPr>
      <w:r>
        <w:t>Practice t</w:t>
      </w:r>
      <w:r w:rsidRPr="001D564A">
        <w:t>raining initiatives</w:t>
      </w:r>
    </w:p>
    <w:p w14:paraId="0E32D6D8" w14:textId="77777777" w:rsidR="001C19F3" w:rsidRPr="00C35CB1" w:rsidRDefault="001C19F3" w:rsidP="001C19F3">
      <w:pPr>
        <w:rPr>
          <w:rFonts w:eastAsia="Times New Roman"/>
          <w:iCs/>
          <w:szCs w:val="20"/>
        </w:rPr>
      </w:pPr>
      <w:r w:rsidRPr="00C35CB1">
        <w:rPr>
          <w:rFonts w:eastAsia="Times New Roman"/>
          <w:iCs/>
          <w:szCs w:val="20"/>
        </w:rPr>
        <w:t xml:space="preserve">In addition to the </w:t>
      </w:r>
      <w:r>
        <w:rPr>
          <w:rFonts w:eastAsia="Times New Roman"/>
          <w:iCs/>
          <w:szCs w:val="20"/>
        </w:rPr>
        <w:t>online</w:t>
      </w:r>
      <w:r w:rsidRPr="00C35CB1">
        <w:rPr>
          <w:rFonts w:eastAsia="Times New Roman"/>
          <w:iCs/>
          <w:szCs w:val="20"/>
        </w:rPr>
        <w:t xml:space="preserve"> modules and PHN training activities, practices reported participating in </w:t>
      </w:r>
      <w:r>
        <w:rPr>
          <w:rFonts w:eastAsia="Times New Roman"/>
          <w:iCs/>
          <w:szCs w:val="20"/>
        </w:rPr>
        <w:t xml:space="preserve">other </w:t>
      </w:r>
      <w:r w:rsidRPr="00C35CB1">
        <w:rPr>
          <w:rFonts w:eastAsia="Times New Roman"/>
          <w:iCs/>
          <w:szCs w:val="20"/>
        </w:rPr>
        <w:t>training initiatives</w:t>
      </w:r>
      <w:r>
        <w:rPr>
          <w:rFonts w:eastAsia="Times New Roman"/>
          <w:iCs/>
          <w:szCs w:val="20"/>
        </w:rPr>
        <w:t xml:space="preserve">. These </w:t>
      </w:r>
      <w:r w:rsidRPr="00C35CB1">
        <w:rPr>
          <w:rFonts w:eastAsia="Times New Roman"/>
          <w:iCs/>
          <w:szCs w:val="20"/>
        </w:rPr>
        <w:t>include</w:t>
      </w:r>
      <w:r>
        <w:rPr>
          <w:rFonts w:eastAsia="Times New Roman"/>
          <w:iCs/>
          <w:szCs w:val="20"/>
        </w:rPr>
        <w:t>d</w:t>
      </w:r>
      <w:r w:rsidRPr="00C35CB1">
        <w:rPr>
          <w:rFonts w:eastAsia="Times New Roman"/>
          <w:iCs/>
          <w:szCs w:val="20"/>
        </w:rPr>
        <w:t>:</w:t>
      </w:r>
    </w:p>
    <w:p w14:paraId="4F68E380" w14:textId="77777777" w:rsidR="001C19F3" w:rsidRPr="00C35CB1" w:rsidRDefault="001C19F3" w:rsidP="001C19F3">
      <w:pPr>
        <w:numPr>
          <w:ilvl w:val="0"/>
          <w:numId w:val="43"/>
        </w:numPr>
        <w:contextualSpacing/>
        <w:rPr>
          <w:rFonts w:eastAsia="Times New Roman"/>
          <w:iCs/>
          <w:szCs w:val="20"/>
        </w:rPr>
      </w:pPr>
      <w:r w:rsidRPr="00C35CB1">
        <w:rPr>
          <w:rFonts w:eastAsia="Times New Roman"/>
          <w:iCs/>
          <w:szCs w:val="20"/>
        </w:rPr>
        <w:t>participating in the AGPAL conference</w:t>
      </w:r>
    </w:p>
    <w:p w14:paraId="05EC86D6" w14:textId="77777777" w:rsidR="001C19F3" w:rsidRPr="00C35CB1" w:rsidRDefault="001C19F3" w:rsidP="001C19F3">
      <w:pPr>
        <w:numPr>
          <w:ilvl w:val="0"/>
          <w:numId w:val="43"/>
        </w:numPr>
        <w:contextualSpacing/>
        <w:rPr>
          <w:rFonts w:eastAsia="Times New Roman"/>
          <w:iCs/>
          <w:szCs w:val="20"/>
        </w:rPr>
      </w:pPr>
      <w:r w:rsidRPr="00C35CB1">
        <w:rPr>
          <w:rFonts w:eastAsia="Times New Roman"/>
          <w:iCs/>
          <w:szCs w:val="20"/>
        </w:rPr>
        <w:t>attending master class practice management programs</w:t>
      </w:r>
    </w:p>
    <w:p w14:paraId="5DFD7158" w14:textId="77777777" w:rsidR="001C19F3" w:rsidRPr="00C35CB1" w:rsidRDefault="001C19F3" w:rsidP="001C19F3">
      <w:pPr>
        <w:numPr>
          <w:ilvl w:val="0"/>
          <w:numId w:val="43"/>
        </w:numPr>
        <w:contextualSpacing/>
        <w:rPr>
          <w:rFonts w:eastAsia="Times New Roman"/>
          <w:iCs/>
          <w:szCs w:val="20"/>
        </w:rPr>
      </w:pPr>
      <w:r w:rsidRPr="00C35CB1">
        <w:rPr>
          <w:rFonts w:eastAsia="Times New Roman"/>
          <w:iCs/>
          <w:szCs w:val="20"/>
        </w:rPr>
        <w:t xml:space="preserve">internal training reverse role play exercise; management observing and teaching GPs how to enrol patients </w:t>
      </w:r>
    </w:p>
    <w:p w14:paraId="5EF2203F" w14:textId="77777777" w:rsidR="001C19F3" w:rsidRPr="00C35CB1" w:rsidRDefault="001C19F3" w:rsidP="001C19F3">
      <w:pPr>
        <w:numPr>
          <w:ilvl w:val="0"/>
          <w:numId w:val="43"/>
        </w:numPr>
        <w:contextualSpacing/>
        <w:rPr>
          <w:rFonts w:eastAsia="Times New Roman"/>
          <w:iCs/>
          <w:szCs w:val="20"/>
        </w:rPr>
      </w:pPr>
      <w:r w:rsidRPr="00C35CB1">
        <w:rPr>
          <w:rFonts w:eastAsia="Times New Roman"/>
          <w:iCs/>
          <w:szCs w:val="20"/>
        </w:rPr>
        <w:t>staff upskilling through professional education days</w:t>
      </w:r>
    </w:p>
    <w:p w14:paraId="09CC0494" w14:textId="77777777" w:rsidR="001C19F3" w:rsidRPr="00C35CB1" w:rsidRDefault="001C19F3" w:rsidP="001C19F3">
      <w:pPr>
        <w:numPr>
          <w:ilvl w:val="0"/>
          <w:numId w:val="43"/>
        </w:numPr>
        <w:contextualSpacing/>
        <w:rPr>
          <w:rFonts w:eastAsia="Times New Roman"/>
          <w:iCs/>
          <w:szCs w:val="20"/>
        </w:rPr>
      </w:pPr>
      <w:r w:rsidRPr="00C35CB1">
        <w:rPr>
          <w:rFonts w:eastAsia="Times New Roman"/>
          <w:iCs/>
          <w:szCs w:val="20"/>
        </w:rPr>
        <w:t>inviting speakers to discuss ways to improve practice operations and overall efficiency</w:t>
      </w:r>
    </w:p>
    <w:p w14:paraId="72D8669F" w14:textId="77777777" w:rsidR="001C19F3" w:rsidRPr="00BA3BFB" w:rsidRDefault="001C19F3" w:rsidP="001C19F3">
      <w:pPr>
        <w:numPr>
          <w:ilvl w:val="0"/>
          <w:numId w:val="43"/>
        </w:numPr>
        <w:ind w:left="714" w:hanging="357"/>
        <w:rPr>
          <w:rFonts w:eastAsia="Times New Roman"/>
          <w:iCs/>
          <w:szCs w:val="20"/>
        </w:rPr>
      </w:pPr>
      <w:r w:rsidRPr="00C35CB1">
        <w:rPr>
          <w:rFonts w:eastAsia="Times New Roman"/>
          <w:iCs/>
          <w:szCs w:val="20"/>
        </w:rPr>
        <w:t>attending a study site tour in New Zealand</w:t>
      </w:r>
      <w:r>
        <w:rPr>
          <w:rFonts w:eastAsia="Times New Roman"/>
          <w:iCs/>
          <w:szCs w:val="20"/>
        </w:rPr>
        <w:t xml:space="preserve"> to see the patient centred medical home in action.</w:t>
      </w:r>
    </w:p>
    <w:p w14:paraId="72E5DF30" w14:textId="77777777" w:rsidR="001C19F3" w:rsidRDefault="001C19F3" w:rsidP="001C19F3">
      <w:pPr>
        <w:pStyle w:val="Heading3"/>
      </w:pPr>
      <w:r>
        <w:lastRenderedPageBreak/>
        <w:t>Suggestions for directly involving practices in the training</w:t>
      </w:r>
    </w:p>
    <w:p w14:paraId="77B03756" w14:textId="77777777" w:rsidR="001C19F3" w:rsidRDefault="001C19F3" w:rsidP="001C19F3">
      <w:bookmarkStart w:id="227" w:name="_Hlk21365631"/>
      <w:r w:rsidRPr="00260D73">
        <w:t>Practice facilitators thought practice staff should have had the opportunity to attend training workshops with other HCHs. They commented that it would have benefi</w:t>
      </w:r>
      <w:r>
        <w:t xml:space="preserve">tted </w:t>
      </w:r>
      <w:r w:rsidRPr="00260D73">
        <w:t>key people in practices in the trial to have been brought together as a group</w:t>
      </w:r>
      <w:bookmarkEnd w:id="227"/>
      <w:r>
        <w:t>:</w:t>
      </w:r>
    </w:p>
    <w:p w14:paraId="3E47C4AB" w14:textId="77777777" w:rsidR="001C19F3" w:rsidRDefault="001C19F3" w:rsidP="001C19F3">
      <w:pPr>
        <w:ind w:left="567" w:right="1088"/>
      </w:pPr>
      <w:r w:rsidRPr="0025320B">
        <w:rPr>
          <w:i/>
        </w:rPr>
        <w:t>“The GPs in a sense, other than our community of practice and our interactions with them on a one-on-one basis, they’re not coming together as a group to talk about their lessons learned and what are they struggling with.</w:t>
      </w:r>
      <w:r>
        <w:rPr>
          <w:i/>
        </w:rPr>
        <w:t xml:space="preserve"> </w:t>
      </w:r>
      <w:r w:rsidRPr="0025320B">
        <w:rPr>
          <w:i/>
        </w:rPr>
        <w:t>That sharing of ideas more generally in the context of what the Commonwealth intended with the model. Although the GPs are doing this best that they can under the circumstances … the Commonwealth haven’t run any sort of sessions for GPs and practice principals about this. And there should be something in that going forward if this is rolled out more broadly. “</w:t>
      </w:r>
      <w:r>
        <w:t xml:space="preserve"> [PHN 2, interview, R1]</w:t>
      </w:r>
    </w:p>
    <w:p w14:paraId="6250B9A6" w14:textId="77777777" w:rsidR="001C19F3" w:rsidRDefault="001C19F3" w:rsidP="001C19F3">
      <w:pPr>
        <w:ind w:left="567" w:right="1088"/>
      </w:pPr>
      <w:r w:rsidRPr="00224F14">
        <w:rPr>
          <w:i/>
        </w:rPr>
        <w:t>“I think if they’</w:t>
      </w:r>
      <w:r>
        <w:rPr>
          <w:i/>
        </w:rPr>
        <w:t>d</w:t>
      </w:r>
      <w:r w:rsidRPr="00224F14">
        <w:rPr>
          <w:i/>
        </w:rPr>
        <w:t xml:space="preserve"> gone with the workshop approach of having state run or even a national one where they felt really special and they could really get outside views and see what was happening around other states and internationally. Some of my practices are fairly small, they’re almost rural, Even the ones that </w:t>
      </w:r>
      <w:r>
        <w:rPr>
          <w:i/>
        </w:rPr>
        <w:t xml:space="preserve">are </w:t>
      </w:r>
      <w:r w:rsidRPr="00224F14">
        <w:rPr>
          <w:i/>
        </w:rPr>
        <w:t xml:space="preserve">metropolitan they’re very insular because they’re just working flat out from dusk to dawn. </w:t>
      </w:r>
      <w:r>
        <w:rPr>
          <w:i/>
        </w:rPr>
        <w:t>…T</w:t>
      </w:r>
      <w:r w:rsidRPr="00224F14">
        <w:rPr>
          <w:i/>
        </w:rPr>
        <w:t xml:space="preserve">hey actually need to be removed </w:t>
      </w:r>
      <w:r>
        <w:rPr>
          <w:i/>
        </w:rPr>
        <w:t>…</w:t>
      </w:r>
      <w:r w:rsidRPr="00224F14">
        <w:rPr>
          <w:i/>
        </w:rPr>
        <w:t xml:space="preserve">from their environment </w:t>
      </w:r>
      <w:r>
        <w:rPr>
          <w:i/>
        </w:rPr>
        <w:t>…</w:t>
      </w:r>
      <w:r w:rsidRPr="00224F14">
        <w:rPr>
          <w:i/>
        </w:rPr>
        <w:t xml:space="preserve">and that ability to actually concentrate on the issue at hand or the education at hand. </w:t>
      </w:r>
      <w:r>
        <w:rPr>
          <w:i/>
        </w:rPr>
        <w:t>…I</w:t>
      </w:r>
      <w:r w:rsidRPr="00224F14">
        <w:rPr>
          <w:i/>
        </w:rPr>
        <w:t xml:space="preserve">t would have been a bit of a </w:t>
      </w:r>
      <w:r w:rsidRPr="00524856">
        <w:t>[cost]</w:t>
      </w:r>
      <w:r>
        <w:rPr>
          <w:i/>
        </w:rPr>
        <w:t xml:space="preserve"> …</w:t>
      </w:r>
      <w:r w:rsidRPr="00224F14">
        <w:rPr>
          <w:i/>
        </w:rPr>
        <w:t>that would have reaped benefits</w:t>
      </w:r>
      <w:r>
        <w:rPr>
          <w:i/>
        </w:rPr>
        <w:t>..</w:t>
      </w:r>
      <w:r w:rsidRPr="00224F14">
        <w:rPr>
          <w:i/>
        </w:rPr>
        <w:t>.”</w:t>
      </w:r>
      <w:r>
        <w:rPr>
          <w:i/>
        </w:rPr>
        <w:t xml:space="preserve"> </w:t>
      </w:r>
      <w:r>
        <w:t>[PHN 7, interview, R1]</w:t>
      </w:r>
    </w:p>
    <w:p w14:paraId="4DEEF3DD" w14:textId="77777777" w:rsidR="001C19F3" w:rsidRDefault="001C19F3" w:rsidP="001C19F3">
      <w:pPr>
        <w:ind w:right="237"/>
      </w:pPr>
      <w:r>
        <w:t xml:space="preserve">Another facilitator commented that this approach had been used for the </w:t>
      </w:r>
      <w:r w:rsidRPr="0025320B">
        <w:t>Australian Primary Care Collaborative Program</w:t>
      </w:r>
      <w:r>
        <w:t>:</w:t>
      </w:r>
    </w:p>
    <w:p w14:paraId="630E47F7" w14:textId="77777777" w:rsidR="001C19F3" w:rsidRDefault="001C19F3" w:rsidP="001C19F3">
      <w:pPr>
        <w:ind w:left="567" w:right="1088"/>
      </w:pPr>
      <w:r w:rsidRPr="007D1707">
        <w:rPr>
          <w:i/>
        </w:rPr>
        <w:t>“</w:t>
      </w:r>
      <w:r w:rsidRPr="00224F14">
        <w:rPr>
          <w:i/>
        </w:rPr>
        <w:t>It was bringing in the actual practices who were actually going to be part of what we were trying to change...And it was excellent. And those practices learn at each session. And went back and from that session you'd still have the facilitators helping them on the ground, but they'd be already absorbed all the information that was needed in order to get to the next. … It was excellent</w:t>
      </w:r>
      <w:r w:rsidRPr="007D1707">
        <w:rPr>
          <w:i/>
        </w:rPr>
        <w:t xml:space="preserve">.” </w:t>
      </w:r>
      <w:r w:rsidRPr="007D1707">
        <w:t>[PHN 8</w:t>
      </w:r>
      <w:r>
        <w:t>, interview, R1]</w:t>
      </w:r>
    </w:p>
    <w:p w14:paraId="35EBB10A" w14:textId="77777777" w:rsidR="001C19F3" w:rsidRDefault="001C19F3" w:rsidP="001C19F3">
      <w:pPr>
        <w:ind w:right="237"/>
      </w:pPr>
      <w:r>
        <w:t>Responses to the PHN survey suggested face-to-face or webinar/ teleconference delivery of the training materials directly to practices as an alternative to the online modules. They also suggested a ‘</w:t>
      </w:r>
      <w:r w:rsidRPr="000D2934">
        <w:t>buddy system</w:t>
      </w:r>
      <w:r>
        <w:t>’</w:t>
      </w:r>
      <w:r w:rsidRPr="000D2934">
        <w:t xml:space="preserve"> </w:t>
      </w:r>
      <w:r>
        <w:t>between less and more advanced practices as a means of mentoring the less advanced practices</w:t>
      </w:r>
      <w:r w:rsidRPr="000D2934">
        <w:t>.</w:t>
      </w:r>
      <w:r>
        <w:t xml:space="preserve"> They thought that these strategies would be a more effective training approach and offer networking for practices.</w:t>
      </w:r>
    </w:p>
    <w:bookmarkEnd w:id="124"/>
    <w:p w14:paraId="2DF38C19" w14:textId="77777777" w:rsidR="001C19F3" w:rsidRDefault="001C19F3" w:rsidP="001C19F3">
      <w:r>
        <w:t xml:space="preserve"> </w:t>
      </w:r>
    </w:p>
    <w:p w14:paraId="73526F26" w14:textId="77777777" w:rsidR="001C19F3" w:rsidRDefault="001C19F3" w:rsidP="001C19F3">
      <w:pPr>
        <w:sectPr w:rsidR="001C19F3" w:rsidSect="001C5D9E">
          <w:footerReference w:type="default" r:id="rId61"/>
          <w:headerReference w:type="first" r:id="rId62"/>
          <w:footerReference w:type="first" r:id="rId63"/>
          <w:pgSz w:w="11906" w:h="16838"/>
          <w:pgMar w:top="1440" w:right="1440" w:bottom="1440" w:left="1440" w:header="708" w:footer="708" w:gutter="0"/>
          <w:cols w:space="708"/>
          <w:titlePg/>
          <w:docGrid w:linePitch="360"/>
        </w:sectPr>
      </w:pPr>
    </w:p>
    <w:p w14:paraId="3C7EFD5D" w14:textId="77777777" w:rsidR="001C19F3" w:rsidRDefault="001C19F3" w:rsidP="001C19F3">
      <w:pPr>
        <w:pStyle w:val="Heading1withnumber"/>
        <w:ind w:left="0" w:hanging="993"/>
      </w:pPr>
      <w:bookmarkStart w:id="228" w:name="_Toc20151675"/>
      <w:bookmarkStart w:id="229" w:name="_Toc27056566"/>
      <w:r>
        <w:lastRenderedPageBreak/>
        <w:t>Risk stratification</w:t>
      </w:r>
      <w:bookmarkEnd w:id="228"/>
      <w:bookmarkEnd w:id="229"/>
    </w:p>
    <w:p w14:paraId="6ECABCA9" w14:textId="77777777" w:rsidR="001C19F3" w:rsidRDefault="001C19F3" w:rsidP="001C19F3">
      <w:r>
        <w:t xml:space="preserve">The PHCAG recommended risk stratification to identify patients with high care and coordination needs. </w:t>
      </w:r>
      <w:r w:rsidRPr="00AB30AF">
        <w:t xml:space="preserve">The Department commissioned a </w:t>
      </w:r>
      <w:r>
        <w:t>risk stratification tool (RST)</w:t>
      </w:r>
      <w:r w:rsidRPr="00AB30AF">
        <w:t xml:space="preserve"> </w:t>
      </w:r>
      <w:r>
        <w:t>to</w:t>
      </w:r>
      <w:r w:rsidRPr="00AB30AF">
        <w:t xml:space="preserve"> </w:t>
      </w:r>
      <w:r>
        <w:t>be used for this</w:t>
      </w:r>
      <w:r w:rsidRPr="00AB30AF">
        <w:t>.</w:t>
      </w:r>
      <w:r>
        <w:t xml:space="preserve"> The process involved two steps: a</w:t>
      </w:r>
      <w:r w:rsidRPr="001A26EE">
        <w:t xml:space="preserve"> predictive risk model (PRM)</w:t>
      </w:r>
      <w:r>
        <w:t xml:space="preserve"> to identify patients at high risk of hospitalisation in the next 12 months; and an assessment of clinical factors and factors impinging on self-management using the Hospital Admissions Risk Program</w:t>
      </w:r>
      <w:r w:rsidRPr="001A26EE">
        <w:t xml:space="preserve"> (HARP)</w:t>
      </w:r>
      <w:r>
        <w:t xml:space="preserve"> </w:t>
      </w:r>
      <w:r w:rsidRPr="001A26EE">
        <w:t>tool</w:t>
      </w:r>
      <w:r>
        <w:t xml:space="preserve"> (</w:t>
      </w:r>
      <w:r>
        <w:fldChar w:fldCharType="begin"/>
      </w:r>
      <w:r>
        <w:instrText xml:space="preserve"> ADDIN EN.CITE &lt;EndNote&gt;&lt;Cite&gt;&lt;Author&gt;HARP&lt;/Author&gt;&lt;Year&gt;2009&lt;/Year&gt;&lt;RecNum&gt;1051&lt;/RecNum&gt;&lt;DisplayText&gt;HARP, 2009&lt;/DisplayText&gt;&lt;record&gt;&lt;rec-number&gt;1051&lt;/rec-number&gt;&lt;foreign-keys&gt;&lt;key app="EN" db-id="zdz9xax04zr9v0evw2nvrpw9xe9ttzvs5zsv" timestamp="1536537172"&gt;1051&lt;/key&gt;&lt;/foreign-keys&gt;&lt;ref-type name="Web Page"&gt;12&lt;/ref-type&gt;&lt;contributors&gt;&lt;authors&gt;&lt;author&gt;HARP&lt;/author&gt;&lt;/authors&gt;&lt;/contributors&gt;&lt;titles&gt;&lt;title&gt;Summary: HARP risk calculator&lt;/title&gt;&lt;/titles&gt;&lt;volume&gt;2018&lt;/volume&gt;&lt;number&gt;10 September&lt;/number&gt;&lt;dates&gt;&lt;year&gt;2009&lt;/year&gt;&lt;/dates&gt;&lt;urls&gt;&lt;related-urls&gt;&lt;url&gt;https://adma.org.au/download/western-harp-risk-calculator/&lt;/url&gt;&lt;/related-urls&gt;&lt;/urls&gt;&lt;/record&gt;&lt;/Cite&gt;&lt;/EndNote&gt;</w:instrText>
      </w:r>
      <w:r>
        <w:fldChar w:fldCharType="separate"/>
      </w:r>
      <w:r>
        <w:rPr>
          <w:noProof/>
        </w:rPr>
        <w:t>HARP, 2009</w:t>
      </w:r>
      <w:r>
        <w:fldChar w:fldCharType="end"/>
      </w:r>
      <w:r>
        <w:t>)</w:t>
      </w:r>
      <w:r w:rsidRPr="001A26EE">
        <w:t xml:space="preserve"> </w:t>
      </w:r>
      <w:r>
        <w:t xml:space="preserve">to assign patients to a complexity tier. </w:t>
      </w:r>
    </w:p>
    <w:p w14:paraId="72B4A477" w14:textId="77777777" w:rsidR="001C19F3" w:rsidRPr="002C55C8" w:rsidRDefault="001C19F3" w:rsidP="001C19F3">
      <w:pPr>
        <w:pStyle w:val="Heading2"/>
        <w:rPr>
          <w:rFonts w:eastAsia="Times New Roman"/>
        </w:rPr>
      </w:pPr>
      <w:bookmarkStart w:id="230" w:name="_Toc27056567"/>
      <w:r w:rsidRPr="002C55C8">
        <w:rPr>
          <w:rFonts w:eastAsia="Times New Roman"/>
        </w:rPr>
        <w:t>Overview of risk stratification for HCH</w:t>
      </w:r>
      <w:bookmarkEnd w:id="230"/>
    </w:p>
    <w:p w14:paraId="171659DA" w14:textId="77777777" w:rsidR="001C19F3" w:rsidRPr="002C55C8" w:rsidRDefault="001C19F3" w:rsidP="001C19F3">
      <w:r w:rsidRPr="002C55C8">
        <w:t xml:space="preserve">HCH focusses on patients with chronic and complex needs. Three tiers of complexity were identified, described </w:t>
      </w:r>
      <w:r>
        <w:fldChar w:fldCharType="begin"/>
      </w:r>
      <w:r>
        <w:instrText xml:space="preserve"> REF _Ref20817888 \h  \* MERGEFORMAT </w:instrText>
      </w:r>
      <w:r>
        <w:fldChar w:fldCharType="separate"/>
      </w:r>
      <w:r w:rsidRPr="00822044">
        <w:t>Table 36</w:t>
      </w:r>
      <w:r>
        <w:fldChar w:fldCharType="end"/>
      </w:r>
      <w:r>
        <w:t xml:space="preserve"> </w:t>
      </w:r>
      <w:r w:rsidRPr="002C55C8">
        <w:t>below.</w:t>
      </w:r>
    </w:p>
    <w:p w14:paraId="4F81B3F8" w14:textId="77777777" w:rsidR="001C19F3" w:rsidRPr="002C55C8" w:rsidRDefault="001C19F3" w:rsidP="001C19F3">
      <w:pPr>
        <w:spacing w:after="0"/>
        <w:jc w:val="center"/>
        <w:rPr>
          <w:b/>
          <w:color w:val="000000"/>
          <w:sz w:val="18"/>
          <w:szCs w:val="18"/>
        </w:rPr>
      </w:pPr>
      <w:bookmarkStart w:id="231" w:name="_Ref20817888"/>
      <w:r w:rsidRPr="002C55C8">
        <w:rPr>
          <w:b/>
          <w:color w:val="000000"/>
          <w:sz w:val="18"/>
          <w:szCs w:val="18"/>
        </w:rPr>
        <w:t xml:space="preserve">Table </w:t>
      </w:r>
      <w:r w:rsidRPr="002C55C8">
        <w:rPr>
          <w:b/>
          <w:color w:val="000000"/>
          <w:sz w:val="18"/>
          <w:szCs w:val="18"/>
        </w:rPr>
        <w:fldChar w:fldCharType="begin"/>
      </w:r>
      <w:r w:rsidRPr="002C55C8">
        <w:rPr>
          <w:b/>
          <w:color w:val="000000"/>
          <w:sz w:val="18"/>
          <w:szCs w:val="18"/>
        </w:rPr>
        <w:instrText xml:space="preserve"> SEQ Table \* ARABIC </w:instrText>
      </w:r>
      <w:r w:rsidRPr="002C55C8">
        <w:rPr>
          <w:b/>
          <w:color w:val="000000"/>
          <w:sz w:val="18"/>
          <w:szCs w:val="18"/>
        </w:rPr>
        <w:fldChar w:fldCharType="separate"/>
      </w:r>
      <w:r>
        <w:rPr>
          <w:b/>
          <w:noProof/>
          <w:color w:val="000000"/>
          <w:sz w:val="18"/>
          <w:szCs w:val="18"/>
        </w:rPr>
        <w:t>36</w:t>
      </w:r>
      <w:r w:rsidRPr="002C55C8">
        <w:rPr>
          <w:b/>
          <w:noProof/>
          <w:color w:val="000000"/>
          <w:sz w:val="18"/>
          <w:szCs w:val="18"/>
        </w:rPr>
        <w:fldChar w:fldCharType="end"/>
      </w:r>
      <w:bookmarkEnd w:id="231"/>
      <w:r w:rsidRPr="002C55C8">
        <w:rPr>
          <w:b/>
          <w:color w:val="000000"/>
          <w:sz w:val="18"/>
          <w:szCs w:val="18"/>
        </w:rPr>
        <w:t xml:space="preserve"> – </w:t>
      </w:r>
      <w:r w:rsidRPr="002C55C8">
        <w:rPr>
          <w:b/>
        </w:rPr>
        <w:t>Tier characteristics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5"/>
        <w:gridCol w:w="3005"/>
        <w:gridCol w:w="3006"/>
      </w:tblGrid>
      <w:tr w:rsidR="001C19F3" w:rsidRPr="002C55C8" w14:paraId="3E858F99" w14:textId="77777777" w:rsidTr="00521305">
        <w:tc>
          <w:tcPr>
            <w:tcW w:w="3005" w:type="dxa"/>
            <w:tcBorders>
              <w:bottom w:val="single" w:sz="4" w:space="0" w:color="BFBFBF" w:themeColor="background1" w:themeShade="BF"/>
            </w:tcBorders>
            <w:shd w:val="clear" w:color="auto" w:fill="003D79"/>
          </w:tcPr>
          <w:p w14:paraId="3DE21EA4" w14:textId="77777777" w:rsidR="001C19F3" w:rsidRPr="002C55C8" w:rsidRDefault="001C19F3" w:rsidP="00521305">
            <w:pPr>
              <w:contextualSpacing/>
              <w:jc w:val="center"/>
              <w:rPr>
                <w:b/>
                <w:sz w:val="18"/>
                <w:szCs w:val="18"/>
              </w:rPr>
            </w:pPr>
            <w:r w:rsidRPr="002C55C8">
              <w:rPr>
                <w:b/>
                <w:sz w:val="18"/>
                <w:szCs w:val="18"/>
              </w:rPr>
              <w:t>Tier 3 Highly complex, multiple morbidity</w:t>
            </w:r>
          </w:p>
        </w:tc>
        <w:tc>
          <w:tcPr>
            <w:tcW w:w="3005" w:type="dxa"/>
            <w:tcBorders>
              <w:bottom w:val="single" w:sz="4" w:space="0" w:color="BFBFBF" w:themeColor="background1" w:themeShade="BF"/>
            </w:tcBorders>
            <w:shd w:val="clear" w:color="auto" w:fill="003D79"/>
          </w:tcPr>
          <w:p w14:paraId="26BE427C" w14:textId="77777777" w:rsidR="001C19F3" w:rsidRPr="002C55C8" w:rsidRDefault="001C19F3" w:rsidP="00521305">
            <w:pPr>
              <w:contextualSpacing/>
              <w:jc w:val="center"/>
              <w:rPr>
                <w:b/>
                <w:sz w:val="18"/>
                <w:szCs w:val="18"/>
              </w:rPr>
            </w:pPr>
            <w:r w:rsidRPr="002C55C8">
              <w:rPr>
                <w:b/>
                <w:sz w:val="18"/>
                <w:szCs w:val="18"/>
              </w:rPr>
              <w:t>Tier 2 Increasing complexity, multiple morbidity</w:t>
            </w:r>
          </w:p>
        </w:tc>
        <w:tc>
          <w:tcPr>
            <w:tcW w:w="3006" w:type="dxa"/>
            <w:tcBorders>
              <w:bottom w:val="single" w:sz="4" w:space="0" w:color="BFBFBF" w:themeColor="background1" w:themeShade="BF"/>
            </w:tcBorders>
            <w:shd w:val="clear" w:color="auto" w:fill="003D79"/>
          </w:tcPr>
          <w:p w14:paraId="6C095EC5" w14:textId="77777777" w:rsidR="001C19F3" w:rsidRPr="002C55C8" w:rsidRDefault="001C19F3" w:rsidP="00521305">
            <w:pPr>
              <w:contextualSpacing/>
              <w:jc w:val="center"/>
              <w:rPr>
                <w:b/>
                <w:sz w:val="18"/>
                <w:szCs w:val="18"/>
              </w:rPr>
            </w:pPr>
            <w:r w:rsidRPr="002C55C8">
              <w:rPr>
                <w:b/>
                <w:sz w:val="18"/>
                <w:szCs w:val="18"/>
              </w:rPr>
              <w:t>Tier 1 Multiple morbidity, low complexity</w:t>
            </w:r>
          </w:p>
        </w:tc>
      </w:tr>
      <w:tr w:rsidR="001C19F3" w:rsidRPr="002C55C8" w14:paraId="527F7278" w14:textId="77777777" w:rsidTr="00521305">
        <w:tc>
          <w:tcPr>
            <w:tcW w:w="3005" w:type="dxa"/>
            <w:shd w:val="clear" w:color="auto" w:fill="auto"/>
          </w:tcPr>
          <w:p w14:paraId="24E2A6F1" w14:textId="77777777" w:rsidR="001C19F3" w:rsidRPr="002C55C8" w:rsidRDefault="001C19F3" w:rsidP="001C19F3">
            <w:pPr>
              <w:numPr>
                <w:ilvl w:val="0"/>
                <w:numId w:val="49"/>
              </w:numPr>
              <w:spacing w:after="60"/>
              <w:ind w:left="198" w:hanging="198"/>
              <w:rPr>
                <w:sz w:val="18"/>
                <w:szCs w:val="18"/>
              </w:rPr>
            </w:pPr>
            <w:r w:rsidRPr="002C55C8">
              <w:rPr>
                <w:sz w:val="18"/>
                <w:szCs w:val="18"/>
              </w:rPr>
              <w:t>Make up approximately 1%* of the population.</w:t>
            </w:r>
          </w:p>
          <w:p w14:paraId="262B3488" w14:textId="77777777" w:rsidR="001C19F3" w:rsidRPr="002C55C8" w:rsidRDefault="001C19F3" w:rsidP="001C19F3">
            <w:pPr>
              <w:numPr>
                <w:ilvl w:val="0"/>
                <w:numId w:val="49"/>
              </w:numPr>
              <w:spacing w:after="60"/>
              <w:ind w:left="198" w:hanging="198"/>
              <w:rPr>
                <w:sz w:val="18"/>
                <w:szCs w:val="18"/>
              </w:rPr>
            </w:pPr>
            <w:r w:rsidRPr="002C55C8">
              <w:rPr>
                <w:sz w:val="18"/>
                <w:szCs w:val="18"/>
              </w:rPr>
              <w:t>Many require ongoing clinical care within an acute setting (e.g. severe and treatment resistant mental illness).</w:t>
            </w:r>
          </w:p>
          <w:p w14:paraId="628B1C19" w14:textId="77777777" w:rsidR="001C19F3" w:rsidRPr="002C55C8" w:rsidRDefault="001C19F3" w:rsidP="001C19F3">
            <w:pPr>
              <w:numPr>
                <w:ilvl w:val="0"/>
                <w:numId w:val="49"/>
              </w:numPr>
              <w:spacing w:after="60"/>
              <w:ind w:left="198" w:hanging="198"/>
              <w:rPr>
                <w:sz w:val="18"/>
                <w:szCs w:val="18"/>
              </w:rPr>
            </w:pPr>
            <w:r w:rsidRPr="002C55C8">
              <w:rPr>
                <w:sz w:val="18"/>
                <w:szCs w:val="18"/>
              </w:rPr>
              <w:t>Require a high level of clinical coordinated care.</w:t>
            </w:r>
          </w:p>
          <w:p w14:paraId="0DC1CAFE" w14:textId="77777777" w:rsidR="001C19F3" w:rsidRPr="002C55C8" w:rsidRDefault="001C19F3" w:rsidP="001C19F3">
            <w:pPr>
              <w:numPr>
                <w:ilvl w:val="0"/>
                <w:numId w:val="49"/>
              </w:numPr>
              <w:spacing w:after="60"/>
              <w:ind w:left="198" w:hanging="198"/>
              <w:rPr>
                <w:sz w:val="18"/>
                <w:szCs w:val="18"/>
              </w:rPr>
            </w:pPr>
            <w:r w:rsidRPr="002C55C8">
              <w:rPr>
                <w:sz w:val="18"/>
                <w:szCs w:val="18"/>
              </w:rPr>
              <w:t>Some could be supported through better access to palliative care.</w:t>
            </w:r>
          </w:p>
        </w:tc>
        <w:tc>
          <w:tcPr>
            <w:tcW w:w="3005" w:type="dxa"/>
            <w:shd w:val="clear" w:color="auto" w:fill="auto"/>
          </w:tcPr>
          <w:p w14:paraId="5E9538EE" w14:textId="77777777" w:rsidR="001C19F3" w:rsidRPr="002C55C8" w:rsidRDefault="001C19F3" w:rsidP="001C19F3">
            <w:pPr>
              <w:numPr>
                <w:ilvl w:val="0"/>
                <w:numId w:val="49"/>
              </w:numPr>
              <w:spacing w:after="60"/>
              <w:ind w:left="198" w:hanging="198"/>
              <w:rPr>
                <w:sz w:val="18"/>
                <w:szCs w:val="18"/>
              </w:rPr>
            </w:pPr>
            <w:r w:rsidRPr="002C55C8">
              <w:rPr>
                <w:sz w:val="18"/>
                <w:szCs w:val="18"/>
              </w:rPr>
              <w:t>Make up approximately 9%* of the population.</w:t>
            </w:r>
          </w:p>
          <w:p w14:paraId="1DB5E751" w14:textId="77777777" w:rsidR="001C19F3" w:rsidRPr="002C55C8" w:rsidRDefault="001C19F3" w:rsidP="001C19F3">
            <w:pPr>
              <w:numPr>
                <w:ilvl w:val="0"/>
                <w:numId w:val="49"/>
              </w:numPr>
              <w:spacing w:after="60"/>
              <w:ind w:left="198" w:hanging="198"/>
              <w:rPr>
                <w:sz w:val="18"/>
                <w:szCs w:val="18"/>
              </w:rPr>
            </w:pPr>
            <w:r w:rsidRPr="002C55C8">
              <w:rPr>
                <w:sz w:val="18"/>
                <w:szCs w:val="18"/>
              </w:rPr>
              <w:t>Most should be managed in the primary health care setting.</w:t>
            </w:r>
          </w:p>
          <w:p w14:paraId="6677D4A2" w14:textId="77777777" w:rsidR="001C19F3" w:rsidRPr="002C55C8" w:rsidRDefault="001C19F3" w:rsidP="001C19F3">
            <w:pPr>
              <w:numPr>
                <w:ilvl w:val="0"/>
                <w:numId w:val="49"/>
              </w:numPr>
              <w:spacing w:after="60"/>
              <w:ind w:left="198" w:hanging="198"/>
              <w:rPr>
                <w:sz w:val="18"/>
                <w:szCs w:val="18"/>
              </w:rPr>
            </w:pPr>
            <w:r w:rsidRPr="002C55C8">
              <w:rPr>
                <w:sz w:val="18"/>
                <w:szCs w:val="18"/>
              </w:rPr>
              <w:t>Have an increased risk of potentially avoidable ED presentations and hospitalisations as their conditions worsen or if not well supported.</w:t>
            </w:r>
          </w:p>
          <w:p w14:paraId="1E252C43" w14:textId="77777777" w:rsidR="001C19F3" w:rsidRPr="002C55C8" w:rsidRDefault="001C19F3" w:rsidP="001C19F3">
            <w:pPr>
              <w:numPr>
                <w:ilvl w:val="0"/>
                <w:numId w:val="49"/>
              </w:numPr>
              <w:spacing w:after="60"/>
              <w:ind w:left="198" w:hanging="198"/>
              <w:rPr>
                <w:sz w:val="18"/>
                <w:szCs w:val="18"/>
              </w:rPr>
            </w:pPr>
            <w:r w:rsidRPr="002C55C8">
              <w:rPr>
                <w:sz w:val="18"/>
                <w:szCs w:val="18"/>
              </w:rPr>
              <w:t>Require clinical coordination and non-clinical coordination.</w:t>
            </w:r>
          </w:p>
          <w:p w14:paraId="131FBEEA" w14:textId="77777777" w:rsidR="001C19F3" w:rsidRPr="002C55C8" w:rsidRDefault="001C19F3" w:rsidP="001C19F3">
            <w:pPr>
              <w:numPr>
                <w:ilvl w:val="0"/>
                <w:numId w:val="49"/>
              </w:numPr>
              <w:spacing w:after="60"/>
              <w:ind w:left="198" w:hanging="198"/>
              <w:rPr>
                <w:sz w:val="18"/>
                <w:szCs w:val="18"/>
              </w:rPr>
            </w:pPr>
            <w:r w:rsidRPr="002C55C8">
              <w:rPr>
                <w:sz w:val="18"/>
                <w:szCs w:val="18"/>
              </w:rPr>
              <w:t>Will benefit from self-management support.</w:t>
            </w:r>
          </w:p>
        </w:tc>
        <w:tc>
          <w:tcPr>
            <w:tcW w:w="3006" w:type="dxa"/>
            <w:shd w:val="clear" w:color="auto" w:fill="auto"/>
          </w:tcPr>
          <w:p w14:paraId="43EBCFCE" w14:textId="77777777" w:rsidR="001C19F3" w:rsidRPr="002C55C8" w:rsidRDefault="001C19F3" w:rsidP="001C19F3">
            <w:pPr>
              <w:numPr>
                <w:ilvl w:val="0"/>
                <w:numId w:val="49"/>
              </w:numPr>
              <w:spacing w:after="60"/>
              <w:ind w:left="198" w:hanging="198"/>
              <w:rPr>
                <w:sz w:val="18"/>
                <w:szCs w:val="18"/>
              </w:rPr>
            </w:pPr>
            <w:r w:rsidRPr="002C55C8">
              <w:rPr>
                <w:sz w:val="18"/>
                <w:szCs w:val="18"/>
              </w:rPr>
              <w:t>Make up approximately 10%* of the population.</w:t>
            </w:r>
          </w:p>
          <w:p w14:paraId="488FDF89" w14:textId="77777777" w:rsidR="001C19F3" w:rsidRPr="002C55C8" w:rsidRDefault="001C19F3" w:rsidP="001C19F3">
            <w:pPr>
              <w:numPr>
                <w:ilvl w:val="0"/>
                <w:numId w:val="49"/>
              </w:numPr>
              <w:spacing w:after="60"/>
              <w:ind w:left="198" w:hanging="198"/>
              <w:rPr>
                <w:sz w:val="18"/>
                <w:szCs w:val="18"/>
              </w:rPr>
            </w:pPr>
            <w:r w:rsidRPr="002C55C8">
              <w:rPr>
                <w:sz w:val="18"/>
                <w:szCs w:val="18"/>
              </w:rPr>
              <w:t>Are largely high functioning but would gain significant long-term benefits from improved engagement and structured primary health care support.</w:t>
            </w:r>
          </w:p>
        </w:tc>
      </w:tr>
    </w:tbl>
    <w:p w14:paraId="7E574E6A" w14:textId="77777777" w:rsidR="001C19F3" w:rsidRPr="002C55C8" w:rsidRDefault="001C19F3" w:rsidP="001C19F3">
      <w:pPr>
        <w:pStyle w:val="Chartortablefootnote"/>
      </w:pPr>
      <w:r w:rsidRPr="002C55C8">
        <w:t xml:space="preserve">Source: </w:t>
      </w:r>
      <w:r w:rsidRPr="002C55C8">
        <w:fldChar w:fldCharType="begin"/>
      </w:r>
      <w:r>
        <w:instrText xml:space="preserve"> ADDIN EN.CITE &lt;EndNote&gt;&lt;Cite&gt;&lt;Author&gt;Australian Government Department of Health&lt;/Author&gt;&lt;Year&gt;2016&lt;/Year&gt;&lt;RecNum&gt;520&lt;/RecNum&gt;&lt;DisplayText&gt;Australian Government Department of Health, 2016a&lt;/DisplayText&gt;&lt;record&gt;&lt;rec-number&gt;520&lt;/rec-number&gt;&lt;foreign-keys&gt;&lt;key app="EN" db-id="zdz9xax04zr9v0evw2nvrpw9xe9ttzvs5zsv" timestamp="1485909813"&gt;520&lt;/key&gt;&lt;/foreign-keys&gt;&lt;ref-type name="Electronic Book"&gt;44&lt;/ref-type&gt;&lt;contributors&gt;&lt;authors&gt;&lt;author&gt;Australian Government Department of Health,,&lt;/author&gt;&lt;/authors&gt;&lt;/contributors&gt;&lt;titles&gt;&lt;title&gt;Factsheet: Patient eligibility&lt;/title&gt;&lt;/titles&gt;&lt;dates&gt;&lt;year&gt;2016&lt;/year&gt;&lt;/dates&gt;&lt;urls&gt;&lt;related-urls&gt;&lt;url&gt;http://www.health.gov.au/internet/main/publishing.nsf/Content/health-care-homes&lt;/url&gt;&lt;/related-urls&gt;&lt;/urls&gt;&lt;/record&gt;&lt;/Cite&gt;&lt;/EndNote&gt;</w:instrText>
      </w:r>
      <w:r w:rsidRPr="002C55C8">
        <w:fldChar w:fldCharType="separate"/>
      </w:r>
      <w:r w:rsidRPr="002C55C8">
        <w:rPr>
          <w:noProof/>
        </w:rPr>
        <w:t>Australian Government Department of Health, 2016a</w:t>
      </w:r>
      <w:r w:rsidRPr="002C55C8">
        <w:fldChar w:fldCharType="end"/>
      </w:r>
      <w:r w:rsidRPr="002C55C8">
        <w:t>. Notes: * Estimates based on analysis of available population, hospitalisation and Medicare data.</w:t>
      </w:r>
    </w:p>
    <w:p w14:paraId="76683D21" w14:textId="77777777" w:rsidR="001C19F3" w:rsidRPr="002C55C8" w:rsidRDefault="001C19F3" w:rsidP="001C19F3">
      <w:r w:rsidRPr="002C55C8">
        <w:t xml:space="preserve">The Department estimated that of the population participating in </w:t>
      </w:r>
      <w:r>
        <w:t>the HCH trial</w:t>
      </w:r>
      <w:r w:rsidRPr="002C55C8">
        <w:t>, approximately 9.5% would be tier 3, 45% tier 2, and 46% tier 1 (</w:t>
      </w:r>
      <w:r w:rsidRPr="002C55C8">
        <w:fldChar w:fldCharType="begin"/>
      </w:r>
      <w:r>
        <w:instrText xml:space="preserve"> ADDIN EN.CITE &lt;EndNote&gt;&lt;Cite&gt;&lt;Author&gt;Australian Government Department of Health&lt;/Author&gt;&lt;Year&gt;2016&lt;/Year&gt;&lt;RecNum&gt;519&lt;/RecNum&gt;&lt;DisplayText&gt;Australian Government Department of Health, 2016b&lt;/DisplayText&gt;&lt;record&gt;&lt;rec-number&gt;519&lt;/rec-number&gt;&lt;foreign-keys&gt;&lt;key app="EN" db-id="zdz9xax04zr9v0evw2nvrpw9xe9ttzvs5zsv" timestamp="1485909718"&gt;519&lt;/key&gt;&lt;/foreign-keys&gt;&lt;ref-type name="Electronic Book"&gt;44&lt;/ref-type&gt;&lt;contributors&gt;&lt;authors&gt;&lt;author&gt;Australian Government Department of Health,,&lt;/author&gt;&lt;/authors&gt;&lt;/contributors&gt;&lt;titles&gt;&lt;title&gt;Factsheet: Stage one modelling&lt;/title&gt;&lt;/titles&gt;&lt;dates&gt;&lt;year&gt;2016&lt;/year&gt;&lt;/dates&gt;&lt;urls&gt;&lt;related-urls&gt;&lt;url&gt;http://www.health.gov.au/internet/main/publishing.nsf/Content/health-care-homes&lt;/url&gt;&lt;/related-urls&gt;&lt;/urls&gt;&lt;custom2&gt;01/02/2017&lt;/custom2&gt;&lt;/record&gt;&lt;/Cite&gt;&lt;/EndNote&gt;</w:instrText>
      </w:r>
      <w:r w:rsidRPr="002C55C8">
        <w:fldChar w:fldCharType="separate"/>
      </w:r>
      <w:r w:rsidRPr="002C55C8">
        <w:rPr>
          <w:noProof/>
        </w:rPr>
        <w:t>Australian Government Department of Health, 2016b</w:t>
      </w:r>
      <w:r w:rsidRPr="002C55C8">
        <w:fldChar w:fldCharType="end"/>
      </w:r>
      <w:r w:rsidRPr="002C55C8">
        <w:t>).</w:t>
      </w:r>
    </w:p>
    <w:p w14:paraId="17FE0850" w14:textId="77777777" w:rsidR="001C19F3" w:rsidRPr="002C55C8" w:rsidRDefault="001C19F3" w:rsidP="001C19F3">
      <w:r w:rsidRPr="002C55C8">
        <w:t>The Department planned a two-step process for identifying patients suitable for HCH:</w:t>
      </w:r>
    </w:p>
    <w:p w14:paraId="07919924" w14:textId="77777777" w:rsidR="001C19F3" w:rsidRPr="002C55C8" w:rsidRDefault="001C19F3" w:rsidP="001C19F3">
      <w:pPr>
        <w:numPr>
          <w:ilvl w:val="0"/>
          <w:numId w:val="50"/>
        </w:numPr>
        <w:ind w:left="709" w:hanging="349"/>
        <w:contextualSpacing/>
      </w:pPr>
      <w:r w:rsidRPr="002C55C8">
        <w:t>Practice level: identify potentially eligible patient cohort.</w:t>
      </w:r>
    </w:p>
    <w:p w14:paraId="77ACB6C4" w14:textId="77777777" w:rsidR="001C19F3" w:rsidRPr="002C55C8" w:rsidRDefault="001C19F3" w:rsidP="001C19F3">
      <w:pPr>
        <w:numPr>
          <w:ilvl w:val="0"/>
          <w:numId w:val="50"/>
        </w:numPr>
        <w:ind w:left="709" w:hanging="352"/>
      </w:pPr>
      <w:r w:rsidRPr="002C55C8">
        <w:t>Patient level: in consultation with the patient, and relevant family members and carers where appropriate, assess the patient’s individual needs and risk factors, confirming their eligibility and stratifying their care needs to one of three complexity tiers according to their level of risk.</w:t>
      </w:r>
    </w:p>
    <w:p w14:paraId="37EC825A" w14:textId="77777777" w:rsidR="001C19F3" w:rsidRPr="002C55C8" w:rsidRDefault="001C19F3" w:rsidP="001C19F3">
      <w:r w:rsidRPr="002C55C8">
        <w:t>(</w:t>
      </w:r>
      <w:r w:rsidRPr="002C55C8">
        <w:fldChar w:fldCharType="begin"/>
      </w:r>
      <w:r>
        <w:instrText xml:space="preserve"> ADDIN EN.CITE &lt;EndNote&gt;&lt;Cite&gt;&lt;Author&gt;Australian Government Department of Health&lt;/Author&gt;&lt;Year&gt;2016&lt;/Year&gt;&lt;RecNum&gt;520&lt;/RecNum&gt;&lt;DisplayText&gt;Australian Government Department of Health, 2016a&lt;/DisplayText&gt;&lt;record&gt;&lt;rec-number&gt;520&lt;/rec-number&gt;&lt;foreign-keys&gt;&lt;key app="EN" db-id="zdz9xax04zr9v0evw2nvrpw9xe9ttzvs5zsv" timestamp="1485909813"&gt;520&lt;/key&gt;&lt;/foreign-keys&gt;&lt;ref-type name="Electronic Book"&gt;44&lt;/ref-type&gt;&lt;contributors&gt;&lt;authors&gt;&lt;author&gt;Australian Government Department of Health,,&lt;/author&gt;&lt;/authors&gt;&lt;/contributors&gt;&lt;titles&gt;&lt;title&gt;Factsheet: Patient eligibility&lt;/title&gt;&lt;/titles&gt;&lt;dates&gt;&lt;year&gt;2016&lt;/year&gt;&lt;/dates&gt;&lt;urls&gt;&lt;related-urls&gt;&lt;url&gt;http://www.health.gov.au/internet/main/publishing.nsf/Content/health-care-homes&lt;/url&gt;&lt;/related-urls&gt;&lt;/urls&gt;&lt;/record&gt;&lt;/Cite&gt;&lt;/EndNote&gt;</w:instrText>
      </w:r>
      <w:r w:rsidRPr="002C55C8">
        <w:fldChar w:fldCharType="separate"/>
      </w:r>
      <w:r w:rsidRPr="002C55C8">
        <w:rPr>
          <w:noProof/>
        </w:rPr>
        <w:t>Australian Government Department of Health, 2016a</w:t>
      </w:r>
      <w:r w:rsidRPr="002C55C8">
        <w:fldChar w:fldCharType="end"/>
      </w:r>
      <w:r w:rsidRPr="002C55C8">
        <w:t>).</w:t>
      </w:r>
    </w:p>
    <w:p w14:paraId="075187FF" w14:textId="77777777" w:rsidR="001C19F3" w:rsidRPr="002C55C8" w:rsidRDefault="001C19F3" w:rsidP="001C19F3">
      <w:r>
        <w:lastRenderedPageBreak/>
        <w:t>Following a systematic review of available tools (</w:t>
      </w:r>
      <w:r>
        <w:fldChar w:fldCharType="begin"/>
      </w:r>
      <w:r>
        <w:instrText xml:space="preserve"> ADDIN EN.CITE &lt;EndNote&gt;&lt;Cite&gt;&lt;Author&gt;Oliver-Baxter&lt;/Author&gt;&lt;Year&gt;2015&lt;/Year&gt;&lt;RecNum&gt;1050&lt;/RecNum&gt;&lt;DisplayText&gt;Oliver-Baxter, Bywood, &amp;amp; Erny-Albrecht, 2015&lt;/DisplayText&gt;&lt;record&gt;&lt;rec-number&gt;1050&lt;/rec-number&gt;&lt;foreign-keys&gt;&lt;key app="EN" db-id="zdz9xax04zr9v0evw2nvrpw9xe9ttzvs5zsv" timestamp="1536536930"&gt;1050&lt;/key&gt;&lt;/foreign-keys&gt;&lt;ref-type name="Report"&gt;27&lt;/ref-type&gt;&lt;contributors&gt;&lt;authors&gt;&lt;author&gt;Oliver-Baxter, J.&lt;/author&gt;&lt;author&gt;Bywood, P.&lt;/author&gt;&lt;author&gt;Erny-Albrecht, K.&lt;/author&gt;&lt;/authors&gt;&lt;/contributors&gt;&lt;titles&gt;&lt;title&gt;Predictive risk models to identify people with chronic conditions at risk of hospitalisation&lt;/title&gt;&lt;secondary-title&gt;PHCRIS Policy Issue Review&lt;/secondary-title&gt;&lt;/titles&gt;&lt;dates&gt;&lt;year&gt;2015&lt;/year&gt;&lt;/dates&gt;&lt;pub-location&gt;Adelaide&lt;/pub-location&gt;&lt;publisher&gt;Primary Health Care Research &amp;amp; Information Service&lt;/publisher&gt;&lt;urls&gt;&lt;related-urls&gt;&lt;url&gt;https://dspace.flinders.edu.au/xmlui/bitstream/handle/2328/36226/PIR_Predictive%20risk%20model.pdf?sequence=1&amp;amp;isAllowed=y&lt;/url&gt;&lt;/related-urls&gt;&lt;/urls&gt;&lt;/record&gt;&lt;/Cite&gt;&lt;/EndNote&gt;</w:instrText>
      </w:r>
      <w:r>
        <w:fldChar w:fldCharType="separate"/>
      </w:r>
      <w:r>
        <w:rPr>
          <w:noProof/>
        </w:rPr>
        <w:t>Oliver-Baxter, Bywood, &amp; Erny-Albrecht, 2015</w:t>
      </w:r>
      <w:r>
        <w:fldChar w:fldCharType="end"/>
      </w:r>
      <w:r>
        <w:t>) t</w:t>
      </w:r>
      <w:r w:rsidRPr="002C55C8">
        <w:t xml:space="preserve">he Department commissioned </w:t>
      </w:r>
      <w:r>
        <w:t xml:space="preserve">the development of a </w:t>
      </w:r>
      <w:r w:rsidRPr="002C55C8">
        <w:t>RST that would assist HCHs in the above process. Precedence Health Care provided the RST, subcontracting the Commonwealth Scientific and Industrial Research Organisation (CSIRO) to develop a predictive risk model (PRM) used by the tool. The steps for HCHs identifying and assigning a patient to a risk tier are in the box below.</w:t>
      </w:r>
    </w:p>
    <w:tbl>
      <w:tblPr>
        <w:tblW w:w="0" w:type="auto"/>
        <w:tblLook w:val="04A0" w:firstRow="1" w:lastRow="0" w:firstColumn="1" w:lastColumn="0" w:noHBand="0" w:noVBand="1"/>
      </w:tblPr>
      <w:tblGrid>
        <w:gridCol w:w="9016"/>
      </w:tblGrid>
      <w:tr w:rsidR="001C19F3" w:rsidRPr="002C55C8" w14:paraId="3D8D9BFC" w14:textId="77777777" w:rsidTr="00521305">
        <w:tc>
          <w:tcPr>
            <w:tcW w:w="9016" w:type="dxa"/>
            <w:tcBorders>
              <w:top w:val="nil"/>
              <w:left w:val="nil"/>
              <w:bottom w:val="nil"/>
              <w:right w:val="nil"/>
            </w:tcBorders>
            <w:shd w:val="clear" w:color="auto" w:fill="F2F2F2" w:themeFill="background1" w:themeFillShade="F2"/>
          </w:tcPr>
          <w:p w14:paraId="5DDAF82F" w14:textId="77777777" w:rsidR="001C19F3" w:rsidRPr="00836B65" w:rsidRDefault="001C19F3" w:rsidP="00521305">
            <w:pPr>
              <w:jc w:val="center"/>
              <w:rPr>
                <w:b/>
                <w:sz w:val="18"/>
                <w:szCs w:val="18"/>
              </w:rPr>
            </w:pPr>
            <w:bookmarkStart w:id="232" w:name="tiersteps"/>
            <w:r w:rsidRPr="00836B65">
              <w:rPr>
                <w:b/>
                <w:sz w:val="18"/>
                <w:szCs w:val="18"/>
              </w:rPr>
              <w:t>Steps for identifying and assigning a patient to a risk tier</w:t>
            </w:r>
            <w:bookmarkEnd w:id="232"/>
          </w:p>
          <w:p w14:paraId="347005E8" w14:textId="77777777" w:rsidR="001C19F3" w:rsidRPr="00836B65" w:rsidRDefault="001C19F3" w:rsidP="001C19F3">
            <w:pPr>
              <w:numPr>
                <w:ilvl w:val="0"/>
                <w:numId w:val="51"/>
              </w:numPr>
              <w:ind w:left="323" w:hanging="323"/>
              <w:rPr>
                <w:sz w:val="18"/>
                <w:szCs w:val="18"/>
              </w:rPr>
            </w:pPr>
            <w:r w:rsidRPr="00836B65">
              <w:rPr>
                <w:sz w:val="18"/>
                <w:szCs w:val="18"/>
              </w:rPr>
              <w:t>The HCH downloads the Precedence Connector, which works with its clinical management system.</w:t>
            </w:r>
          </w:p>
          <w:p w14:paraId="489F5F29" w14:textId="77777777" w:rsidR="001C19F3" w:rsidRPr="00836B65" w:rsidRDefault="001C19F3" w:rsidP="001C19F3">
            <w:pPr>
              <w:numPr>
                <w:ilvl w:val="0"/>
                <w:numId w:val="51"/>
              </w:numPr>
              <w:ind w:left="323" w:hanging="323"/>
              <w:rPr>
                <w:sz w:val="18"/>
                <w:szCs w:val="18"/>
              </w:rPr>
            </w:pPr>
            <w:r w:rsidRPr="00836B65">
              <w:rPr>
                <w:sz w:val="18"/>
                <w:szCs w:val="18"/>
              </w:rPr>
              <w:t xml:space="preserve">The Precedence Connector filters data locally and uploads de-identified patient data to its </w:t>
            </w:r>
            <w:bookmarkStart w:id="233" w:name="_Hlk22482141"/>
            <w:r w:rsidRPr="00836B65">
              <w:rPr>
                <w:sz w:val="18"/>
                <w:szCs w:val="18"/>
              </w:rPr>
              <w:t>cdmNet</w:t>
            </w:r>
            <w:bookmarkEnd w:id="233"/>
            <w:r w:rsidRPr="00836B65">
              <w:rPr>
                <w:sz w:val="18"/>
                <w:szCs w:val="18"/>
              </w:rPr>
              <w:t xml:space="preserve"> Platform.</w:t>
            </w:r>
          </w:p>
          <w:p w14:paraId="2512857B" w14:textId="77777777" w:rsidR="001C19F3" w:rsidRPr="00836B65" w:rsidRDefault="001C19F3" w:rsidP="001C19F3">
            <w:pPr>
              <w:numPr>
                <w:ilvl w:val="0"/>
                <w:numId w:val="51"/>
              </w:numPr>
              <w:ind w:left="323" w:hanging="323"/>
              <w:rPr>
                <w:sz w:val="18"/>
                <w:szCs w:val="18"/>
              </w:rPr>
            </w:pPr>
            <w:r w:rsidRPr="00836B65">
              <w:rPr>
                <w:sz w:val="18"/>
                <w:szCs w:val="18"/>
              </w:rPr>
              <w:t>The PRM algorithm is run across the data within the cdmNet Platform to create a list of patients that are potentially eligible for HCH,</w:t>
            </w:r>
          </w:p>
          <w:p w14:paraId="52979480" w14:textId="77777777" w:rsidR="001C19F3" w:rsidRPr="00836B65" w:rsidRDefault="001C19F3" w:rsidP="001C19F3">
            <w:pPr>
              <w:numPr>
                <w:ilvl w:val="0"/>
                <w:numId w:val="51"/>
              </w:numPr>
              <w:ind w:left="323" w:hanging="323"/>
              <w:rPr>
                <w:sz w:val="18"/>
                <w:szCs w:val="18"/>
              </w:rPr>
            </w:pPr>
            <w:r w:rsidRPr="00836B65">
              <w:rPr>
                <w:sz w:val="18"/>
                <w:szCs w:val="18"/>
              </w:rPr>
              <w:t>The data are passed back to the HCH, where the Precedence Connector saves the list of patients as a comma-separated values (CSV) file to the HCH’s desktop computer.</w:t>
            </w:r>
          </w:p>
          <w:p w14:paraId="1C28E405" w14:textId="77777777" w:rsidR="001C19F3" w:rsidRPr="00836B65" w:rsidRDefault="001C19F3" w:rsidP="001C19F3">
            <w:pPr>
              <w:numPr>
                <w:ilvl w:val="0"/>
                <w:numId w:val="51"/>
              </w:numPr>
              <w:ind w:left="323" w:hanging="323"/>
              <w:rPr>
                <w:sz w:val="18"/>
                <w:szCs w:val="18"/>
              </w:rPr>
            </w:pPr>
            <w:r w:rsidRPr="00836B65">
              <w:rPr>
                <w:sz w:val="18"/>
                <w:szCs w:val="18"/>
              </w:rPr>
              <w:t>The file is available for the HCH to review. In addition, when a clinician next opens the record of a patient deemed potentially eligible (e.g. during a consultation) the Connector displays an alert.</w:t>
            </w:r>
          </w:p>
          <w:p w14:paraId="67C04E69" w14:textId="77777777" w:rsidR="001C19F3" w:rsidRPr="00836B65" w:rsidRDefault="001C19F3" w:rsidP="001C19F3">
            <w:pPr>
              <w:numPr>
                <w:ilvl w:val="0"/>
                <w:numId w:val="51"/>
              </w:numPr>
              <w:ind w:left="323" w:hanging="323"/>
              <w:rPr>
                <w:sz w:val="18"/>
                <w:szCs w:val="18"/>
              </w:rPr>
            </w:pPr>
            <w:r w:rsidRPr="00836B65">
              <w:rPr>
                <w:sz w:val="18"/>
                <w:szCs w:val="18"/>
              </w:rPr>
              <w:t>With the patient present (and with their verbal permission), the clinician undertakes the Hospital Admissions Risk Program (HARP) assessment (</w:t>
            </w:r>
            <w:r w:rsidRPr="00836B65">
              <w:rPr>
                <w:sz w:val="18"/>
                <w:szCs w:val="18"/>
              </w:rPr>
              <w:fldChar w:fldCharType="begin"/>
            </w:r>
            <w:r w:rsidRPr="00836B65">
              <w:rPr>
                <w:sz w:val="18"/>
                <w:szCs w:val="18"/>
              </w:rPr>
              <w:instrText xml:space="preserve"> ADDIN EN.CITE &lt;EndNote&gt;&lt;Cite&gt;&lt;Author&gt;HARP&lt;/Author&gt;&lt;Year&gt;2009&lt;/Year&gt;&lt;RecNum&gt;1051&lt;/RecNum&gt;&lt;DisplayText&gt;HARP, 2009&lt;/DisplayText&gt;&lt;record&gt;&lt;rec-number&gt;1051&lt;/rec-number&gt;&lt;foreign-keys&gt;&lt;key app="EN" db-id="zdz9xax04zr9v0evw2nvrpw9xe9ttzvs5zsv" timestamp="1536537172"&gt;1051&lt;/key&gt;&lt;/foreign-keys&gt;&lt;ref-type name="Web Page"&gt;12&lt;/ref-type&gt;&lt;contributors&gt;&lt;authors&gt;&lt;author&gt;HARP&lt;/author&gt;&lt;/authors&gt;&lt;/contributors&gt;&lt;titles&gt;&lt;title&gt;Summary: HARP risk calculator&lt;/title&gt;&lt;/titles&gt;&lt;volume&gt;2018&lt;/volume&gt;&lt;number&gt;10 September&lt;/number&gt;&lt;dates&gt;&lt;year&gt;2009&lt;/year&gt;&lt;/dates&gt;&lt;urls&gt;&lt;related-urls&gt;&lt;url&gt;https://adma.org.au/download/western-harp-risk-calculator/&lt;/url&gt;&lt;/related-urls&gt;&lt;/urls&gt;&lt;/record&gt;&lt;/Cite&gt;&lt;/EndNote&gt;</w:instrText>
            </w:r>
            <w:r w:rsidRPr="00836B65">
              <w:rPr>
                <w:sz w:val="18"/>
                <w:szCs w:val="18"/>
              </w:rPr>
              <w:fldChar w:fldCharType="separate"/>
            </w:r>
            <w:r w:rsidRPr="00836B65">
              <w:rPr>
                <w:noProof/>
                <w:sz w:val="18"/>
                <w:szCs w:val="18"/>
              </w:rPr>
              <w:t>HARP, 2009</w:t>
            </w:r>
            <w:r w:rsidRPr="00836B65">
              <w:rPr>
                <w:sz w:val="18"/>
                <w:szCs w:val="18"/>
              </w:rPr>
              <w:fldChar w:fldCharType="end"/>
            </w:r>
            <w:r w:rsidRPr="00836B65">
              <w:rPr>
                <w:sz w:val="18"/>
                <w:szCs w:val="18"/>
              </w:rPr>
              <w:t>). This occurs within the cdmNet environment. cdmNet pre-populates the HARP form with information from the HCH’s clinical management system.</w:t>
            </w:r>
          </w:p>
          <w:p w14:paraId="578CEDA2" w14:textId="77777777" w:rsidR="001C19F3" w:rsidRPr="00836B65" w:rsidRDefault="001C19F3" w:rsidP="001C19F3">
            <w:pPr>
              <w:numPr>
                <w:ilvl w:val="0"/>
                <w:numId w:val="51"/>
              </w:numPr>
              <w:ind w:left="323" w:hanging="323"/>
              <w:rPr>
                <w:sz w:val="18"/>
                <w:szCs w:val="18"/>
              </w:rPr>
            </w:pPr>
            <w:r w:rsidRPr="00836B65">
              <w:rPr>
                <w:sz w:val="18"/>
                <w:szCs w:val="18"/>
              </w:rPr>
              <w:t xml:space="preserve">On completion of the HARP assessment, cdmNet generates an HCH certificate for the patient. The HCH certificate includes an HCH risk tier, based on the HARP score (see </w:t>
            </w:r>
            <w:r w:rsidRPr="00836B65">
              <w:rPr>
                <w:sz w:val="18"/>
                <w:szCs w:val="18"/>
              </w:rPr>
              <w:fldChar w:fldCharType="begin"/>
            </w:r>
            <w:r w:rsidRPr="00836B65">
              <w:rPr>
                <w:sz w:val="18"/>
                <w:szCs w:val="18"/>
              </w:rPr>
              <w:instrText xml:space="preserve"> REF _Ref527998546 \h  \* MERGEFORMAT </w:instrText>
            </w:r>
            <w:r w:rsidRPr="00836B65">
              <w:rPr>
                <w:sz w:val="18"/>
                <w:szCs w:val="18"/>
              </w:rPr>
            </w:r>
            <w:r w:rsidRPr="00836B65">
              <w:rPr>
                <w:sz w:val="18"/>
                <w:szCs w:val="18"/>
              </w:rPr>
              <w:fldChar w:fldCharType="separate"/>
            </w:r>
            <w:r w:rsidRPr="00822044">
              <w:rPr>
                <w:sz w:val="18"/>
                <w:szCs w:val="18"/>
              </w:rPr>
              <w:t>Table 38</w:t>
            </w:r>
            <w:r w:rsidRPr="00836B65">
              <w:rPr>
                <w:sz w:val="18"/>
                <w:szCs w:val="18"/>
              </w:rPr>
              <w:fldChar w:fldCharType="end"/>
            </w:r>
            <w:r w:rsidRPr="00836B65">
              <w:rPr>
                <w:sz w:val="18"/>
                <w:szCs w:val="18"/>
              </w:rPr>
              <w:t>).</w:t>
            </w:r>
          </w:p>
          <w:p w14:paraId="5485315F" w14:textId="77777777" w:rsidR="001C19F3" w:rsidRPr="00836B65" w:rsidRDefault="001C19F3" w:rsidP="001C19F3">
            <w:pPr>
              <w:numPr>
                <w:ilvl w:val="0"/>
                <w:numId w:val="51"/>
              </w:numPr>
              <w:ind w:left="323" w:hanging="323"/>
              <w:rPr>
                <w:sz w:val="18"/>
                <w:szCs w:val="18"/>
              </w:rPr>
            </w:pPr>
            <w:r w:rsidRPr="00836B65">
              <w:rPr>
                <w:sz w:val="18"/>
                <w:szCs w:val="18"/>
              </w:rPr>
              <w:t>The Connector downloads the completed certificate to the HCH’s clinical management system.</w:t>
            </w:r>
          </w:p>
          <w:p w14:paraId="14C3FB55" w14:textId="77777777" w:rsidR="001C19F3" w:rsidRPr="002C55C8" w:rsidRDefault="001C19F3" w:rsidP="00521305">
            <w:r w:rsidRPr="00836B65">
              <w:rPr>
                <w:sz w:val="18"/>
                <w:szCs w:val="18"/>
              </w:rPr>
              <w:fldChar w:fldCharType="begin"/>
            </w:r>
            <w:r w:rsidRPr="00836B65">
              <w:rPr>
                <w:sz w:val="18"/>
                <w:szCs w:val="18"/>
              </w:rPr>
              <w:instrText xml:space="preserve"> ADDIN EN.CITE &lt;EndNote&gt;&lt;Cite&gt;&lt;Author&gt;Precedence Health Care&lt;/Author&gt;&lt;Year&gt;2017&lt;/Year&gt;&lt;RecNum&gt;1035&lt;/RecNum&gt;&lt;DisplayText&gt;Precedence Health Care, 2017&lt;/DisplayText&gt;&lt;record&gt;&lt;rec-number&gt;1035&lt;/rec-number&gt;&lt;foreign-keys&gt;&lt;key app="EN" db-id="zdz9xax04zr9v0evw2nvrpw9xe9ttzvs5zsv" timestamp="1536310474"&gt;1035&lt;/key&gt;&lt;/foreign-keys&gt;&lt;ref-type name="Unpublished Work"&gt;34&lt;/ref-type&gt;&lt;contributors&gt;&lt;authors&gt;&lt;author&gt;Precedence Health Care,,&lt;/author&gt;&lt;/authors&gt;&lt;/contributors&gt;&lt;titles&gt;&lt;title&gt;Health Care Home Risk Stratification Tool Training&lt;/title&gt;&lt;/titles&gt;&lt;dates&gt;&lt;year&gt;2017&lt;/year&gt;&lt;/dates&gt;&lt;urls&gt;&lt;/urls&gt;&lt;/record&gt;&lt;/Cite&gt;&lt;/EndNote&gt;</w:instrText>
            </w:r>
            <w:r w:rsidRPr="00836B65">
              <w:rPr>
                <w:sz w:val="18"/>
                <w:szCs w:val="18"/>
              </w:rPr>
              <w:fldChar w:fldCharType="separate"/>
            </w:r>
            <w:r w:rsidRPr="00836B65">
              <w:rPr>
                <w:noProof/>
                <w:sz w:val="18"/>
                <w:szCs w:val="18"/>
              </w:rPr>
              <w:t>Precedence Health Care, 2017</w:t>
            </w:r>
            <w:r w:rsidRPr="00836B65">
              <w:rPr>
                <w:sz w:val="18"/>
                <w:szCs w:val="18"/>
              </w:rPr>
              <w:fldChar w:fldCharType="end"/>
            </w:r>
          </w:p>
        </w:tc>
      </w:tr>
    </w:tbl>
    <w:p w14:paraId="7CA5DD8C" w14:textId="77777777" w:rsidR="001C19F3" w:rsidRPr="002C55C8" w:rsidRDefault="001C19F3" w:rsidP="001C19F3">
      <w:pPr>
        <w:spacing w:after="0"/>
      </w:pPr>
    </w:p>
    <w:p w14:paraId="02313D3F" w14:textId="77777777" w:rsidR="001C19F3" w:rsidRPr="002C55C8" w:rsidRDefault="001C19F3" w:rsidP="001C19F3">
      <w:r w:rsidRPr="002C55C8">
        <w:t>The PRM used by the RST was purpose-built for HCH. Existing tools were considered but were decided against due to licensing costs or availability of data. Although the Patient Identification and Risk Stratification Working Group initially recommended using QAdmissions (</w:t>
      </w:r>
      <w:r w:rsidRPr="002C55C8">
        <w:fldChar w:fldCharType="begin"/>
      </w:r>
      <w:r w:rsidRPr="002C55C8">
        <w:instrText xml:space="preserve"> ADDIN EN.CITE &lt;EndNote&gt;&lt;Cite&gt;&lt;Author&gt;Hippisley-Cox&lt;/Author&gt;&lt;Year&gt;2013&lt;/Year&gt;&lt;RecNum&gt;1043&lt;/RecNum&gt;&lt;DisplayText&gt;Hippisley-Cox &amp;amp; Coupland, 2013&lt;/DisplayText&gt;&lt;record&gt;&lt;rec-number&gt;1043&lt;/rec-number&gt;&lt;foreign-keys&gt;&lt;key app="EN" db-id="zdz9xax04zr9v0evw2nvrpw9xe9ttzvs5zsv" timestamp="1536380903"&gt;1043&lt;/key&gt;&lt;/foreign-keys&gt;&lt;ref-type name="Journal Article"&gt;17&lt;/ref-type&gt;&lt;contributors&gt;&lt;authors&gt;&lt;author&gt;Hippisley-Cox, J.&lt;/author&gt;&lt;author&gt;Coupland, C.&lt;/author&gt;&lt;/authors&gt;&lt;/contributors&gt;&lt;auth-address&gt;Division of Primary Care, University of Nottingham, Nottingham, UK.&lt;/auth-address&gt;&lt;titles&gt;&lt;title&gt;Predicting risk of emergency admission to hospital using primary care data: derivation and validation of QAdmissions score&lt;/title&gt;&lt;secondary-title&gt;BMJ Open&lt;/secondary-title&gt;&lt;/titles&gt;&lt;periodical&gt;&lt;full-title&gt;BMJ Open&lt;/full-title&gt;&lt;/periodical&gt;&lt;pages&gt;e003482&lt;/pages&gt;&lt;volume&gt;3&lt;/volume&gt;&lt;number&gt;8&lt;/number&gt;&lt;keywords&gt;&lt;keyword&gt;Epidemiology&lt;/keyword&gt;&lt;keyword&gt;Preventive medicine&lt;/keyword&gt;&lt;keyword&gt;Primary care&lt;/keyword&gt;&lt;/keywords&gt;&lt;dates&gt;&lt;year&gt;2013&lt;/year&gt;&lt;pub-dates&gt;&lt;date&gt;Aug 19&lt;/date&gt;&lt;/pub-dates&gt;&lt;/dates&gt;&lt;isbn&gt;2044-6055 (Electronic)&amp;#xD;2044-6055 (Linking)&lt;/isbn&gt;&lt;accession-num&gt;23959760&lt;/accession-num&gt;&lt;urls&gt;&lt;related-urls&gt;&lt;url&gt;https://www.ncbi.nlm.nih.gov/pubmed/23959760&lt;/url&gt;&lt;url&gt;https://www.ncbi.nlm.nih.gov/pmc/articles/PMC3753502/pdf/bmjopen-2013-003482.pdf&lt;/url&gt;&lt;/related-urls&gt;&lt;/urls&gt;&lt;custom2&gt;PMC3753502&lt;/custom2&gt;&lt;electronic-resource-num&gt;10.1136/bmjopen-2013-003482&lt;/electronic-resource-num&gt;&lt;/record&gt;&lt;/Cite&gt;&lt;/EndNote&gt;</w:instrText>
      </w:r>
      <w:r w:rsidRPr="002C55C8">
        <w:fldChar w:fldCharType="separate"/>
      </w:r>
      <w:r w:rsidRPr="002C55C8">
        <w:rPr>
          <w:noProof/>
        </w:rPr>
        <w:t>Hippisley-Cox &amp; Coupland, 2013</w:t>
      </w:r>
      <w:r w:rsidRPr="002C55C8">
        <w:fldChar w:fldCharType="end"/>
      </w:r>
      <w:r w:rsidRPr="002C55C8">
        <w:t>) it was eventually found not to be feasible due to lack of data available in practice clinical management systems. The purpose-build PRM uses more than 50 variables and interactions, including:</w:t>
      </w:r>
    </w:p>
    <w:p w14:paraId="36075741" w14:textId="77777777" w:rsidR="001C19F3" w:rsidRPr="002C55C8" w:rsidRDefault="001C19F3" w:rsidP="001C19F3">
      <w:pPr>
        <w:numPr>
          <w:ilvl w:val="0"/>
          <w:numId w:val="53"/>
        </w:numPr>
        <w:contextualSpacing/>
      </w:pPr>
      <w:r w:rsidRPr="002C55C8">
        <w:t>demographics (e.g. postcode, age, gender, indigenous status) as well as Socio-Economic Indexes for Areas (SEIFA)</w:t>
      </w:r>
      <w:r w:rsidRPr="002C55C8">
        <w:rPr>
          <w:vertAlign w:val="superscript"/>
        </w:rPr>
        <w:footnoteReference w:id="15"/>
      </w:r>
    </w:p>
    <w:p w14:paraId="52AB2963" w14:textId="77777777" w:rsidR="001C19F3" w:rsidRPr="002C55C8" w:rsidRDefault="001C19F3" w:rsidP="001C19F3">
      <w:pPr>
        <w:numPr>
          <w:ilvl w:val="0"/>
          <w:numId w:val="53"/>
        </w:numPr>
        <w:contextualSpacing/>
      </w:pPr>
      <w:r w:rsidRPr="002C55C8">
        <w:t>physiologic information (e.g. blood pressure, body mass index)</w:t>
      </w:r>
    </w:p>
    <w:p w14:paraId="0B5FA478" w14:textId="77777777" w:rsidR="001C19F3" w:rsidRPr="002C55C8" w:rsidRDefault="001C19F3" w:rsidP="001C19F3">
      <w:pPr>
        <w:numPr>
          <w:ilvl w:val="0"/>
          <w:numId w:val="53"/>
        </w:numPr>
        <w:contextualSpacing/>
      </w:pPr>
      <w:r w:rsidRPr="002C55C8">
        <w:t>medications</w:t>
      </w:r>
    </w:p>
    <w:p w14:paraId="6F35397A" w14:textId="77777777" w:rsidR="001C19F3" w:rsidRPr="002C55C8" w:rsidRDefault="001C19F3" w:rsidP="001C19F3">
      <w:pPr>
        <w:numPr>
          <w:ilvl w:val="0"/>
          <w:numId w:val="53"/>
        </w:numPr>
        <w:contextualSpacing/>
      </w:pPr>
      <w:r w:rsidRPr="002C55C8">
        <w:t>chronic conditions</w:t>
      </w:r>
    </w:p>
    <w:p w14:paraId="67EAEBC3" w14:textId="77777777" w:rsidR="001C19F3" w:rsidRPr="002C55C8" w:rsidRDefault="001C19F3" w:rsidP="001C19F3">
      <w:pPr>
        <w:numPr>
          <w:ilvl w:val="0"/>
          <w:numId w:val="53"/>
        </w:numPr>
        <w:contextualSpacing/>
      </w:pPr>
      <w:r w:rsidRPr="002C55C8">
        <w:t>pathology categories according to abnormal levels in test results</w:t>
      </w:r>
    </w:p>
    <w:p w14:paraId="3A638E27" w14:textId="77777777" w:rsidR="001C19F3" w:rsidRPr="002C55C8" w:rsidRDefault="001C19F3" w:rsidP="001C19F3">
      <w:pPr>
        <w:numPr>
          <w:ilvl w:val="0"/>
          <w:numId w:val="53"/>
        </w:numPr>
        <w:ind w:left="714" w:hanging="357"/>
      </w:pPr>
      <w:r w:rsidRPr="002C55C8">
        <w:lastRenderedPageBreak/>
        <w:t>lifestyle (e.g. alcohol and tobacco use).</w:t>
      </w:r>
    </w:p>
    <w:p w14:paraId="185140BE" w14:textId="77777777" w:rsidR="001C19F3" w:rsidRPr="002C55C8" w:rsidRDefault="001C19F3" w:rsidP="001C19F3">
      <w:r w:rsidRPr="002C55C8">
        <w:t>The Table below lists the chronic conditions contributing to the PRM.</w:t>
      </w:r>
    </w:p>
    <w:p w14:paraId="002D72F2" w14:textId="77777777" w:rsidR="001C19F3" w:rsidRPr="002C55C8" w:rsidRDefault="001C19F3" w:rsidP="001C19F3">
      <w:pPr>
        <w:spacing w:before="200" w:after="0"/>
        <w:jc w:val="center"/>
        <w:rPr>
          <w:b/>
        </w:rPr>
      </w:pPr>
      <w:r w:rsidRPr="002C55C8">
        <w:rPr>
          <w:b/>
        </w:rPr>
        <w:t xml:space="preserve">Table </w:t>
      </w:r>
      <w:r w:rsidRPr="002C55C8">
        <w:rPr>
          <w:b/>
        </w:rPr>
        <w:fldChar w:fldCharType="begin"/>
      </w:r>
      <w:r w:rsidRPr="002C55C8">
        <w:rPr>
          <w:b/>
        </w:rPr>
        <w:instrText xml:space="preserve"> SEQ Table \* ARABIC </w:instrText>
      </w:r>
      <w:r w:rsidRPr="002C55C8">
        <w:rPr>
          <w:b/>
        </w:rPr>
        <w:fldChar w:fldCharType="separate"/>
      </w:r>
      <w:r>
        <w:rPr>
          <w:b/>
          <w:noProof/>
        </w:rPr>
        <w:t>37</w:t>
      </w:r>
      <w:r w:rsidRPr="002C55C8">
        <w:rPr>
          <w:b/>
        </w:rPr>
        <w:fldChar w:fldCharType="end"/>
      </w:r>
      <w:r w:rsidRPr="002C55C8">
        <w:rPr>
          <w:b/>
        </w:rPr>
        <w:t xml:space="preserve"> – Diseases contributing to the predictive risk model (PRM)</w:t>
      </w:r>
    </w:p>
    <w:tbl>
      <w:tblPr>
        <w:tblStyle w:val="TableGrid2"/>
        <w:tblW w:w="406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0"/>
        <w:gridCol w:w="4625"/>
      </w:tblGrid>
      <w:tr w:rsidR="001C19F3" w:rsidRPr="002C55C8" w14:paraId="5CF759EC" w14:textId="77777777" w:rsidTr="00521305">
        <w:trPr>
          <w:tblHeader/>
          <w:jc w:val="center"/>
        </w:trPr>
        <w:tc>
          <w:tcPr>
            <w:tcW w:w="1843" w:type="pct"/>
            <w:shd w:val="clear" w:color="auto" w:fill="003D79"/>
          </w:tcPr>
          <w:p w14:paraId="6A9F710C" w14:textId="77777777" w:rsidR="001C19F3" w:rsidRPr="002C55C8" w:rsidRDefault="001C19F3" w:rsidP="00521305">
            <w:pPr>
              <w:spacing w:after="0"/>
              <w:contextualSpacing/>
              <w:rPr>
                <w:b/>
                <w:sz w:val="18"/>
                <w:szCs w:val="18"/>
              </w:rPr>
            </w:pPr>
            <w:r w:rsidRPr="002C55C8">
              <w:rPr>
                <w:b/>
                <w:sz w:val="18"/>
                <w:szCs w:val="18"/>
              </w:rPr>
              <w:t>Condition group</w:t>
            </w:r>
          </w:p>
        </w:tc>
        <w:tc>
          <w:tcPr>
            <w:tcW w:w="3157" w:type="pct"/>
            <w:shd w:val="clear" w:color="auto" w:fill="003D79"/>
          </w:tcPr>
          <w:p w14:paraId="01C0CFFA" w14:textId="77777777" w:rsidR="001C19F3" w:rsidRPr="002C55C8" w:rsidRDefault="001C19F3" w:rsidP="00521305">
            <w:pPr>
              <w:spacing w:after="0"/>
              <w:contextualSpacing/>
              <w:rPr>
                <w:b/>
                <w:sz w:val="18"/>
                <w:szCs w:val="18"/>
              </w:rPr>
            </w:pPr>
            <w:r w:rsidRPr="002C55C8">
              <w:rPr>
                <w:b/>
                <w:sz w:val="18"/>
                <w:szCs w:val="18"/>
              </w:rPr>
              <w:t>Conditions</w:t>
            </w:r>
          </w:p>
        </w:tc>
      </w:tr>
      <w:tr w:rsidR="001C19F3" w:rsidRPr="002C55C8" w14:paraId="107C2E94" w14:textId="77777777" w:rsidTr="00521305">
        <w:trPr>
          <w:jc w:val="center"/>
        </w:trPr>
        <w:tc>
          <w:tcPr>
            <w:tcW w:w="1843" w:type="pct"/>
            <w:shd w:val="clear" w:color="auto" w:fill="auto"/>
          </w:tcPr>
          <w:p w14:paraId="1841A41B" w14:textId="77777777" w:rsidR="001C19F3" w:rsidRPr="002C55C8" w:rsidRDefault="001C19F3" w:rsidP="00521305">
            <w:pPr>
              <w:spacing w:after="0"/>
              <w:rPr>
                <w:sz w:val="18"/>
                <w:szCs w:val="18"/>
              </w:rPr>
            </w:pPr>
            <w:r w:rsidRPr="002C55C8">
              <w:rPr>
                <w:sz w:val="18"/>
                <w:szCs w:val="18"/>
              </w:rPr>
              <w:t>Respiratory</w:t>
            </w:r>
          </w:p>
        </w:tc>
        <w:tc>
          <w:tcPr>
            <w:tcW w:w="3157" w:type="pct"/>
            <w:shd w:val="clear" w:color="auto" w:fill="auto"/>
          </w:tcPr>
          <w:p w14:paraId="29416378" w14:textId="77777777" w:rsidR="001C19F3" w:rsidRPr="002C55C8" w:rsidRDefault="001C19F3" w:rsidP="001C19F3">
            <w:pPr>
              <w:numPr>
                <w:ilvl w:val="0"/>
                <w:numId w:val="49"/>
              </w:numPr>
              <w:spacing w:after="0"/>
              <w:ind w:left="201" w:hanging="201"/>
              <w:rPr>
                <w:sz w:val="18"/>
                <w:szCs w:val="18"/>
              </w:rPr>
            </w:pPr>
            <w:r w:rsidRPr="002C55C8">
              <w:rPr>
                <w:sz w:val="18"/>
                <w:szCs w:val="18"/>
              </w:rPr>
              <w:t>Asthma</w:t>
            </w:r>
          </w:p>
          <w:p w14:paraId="4C91CD42" w14:textId="77777777" w:rsidR="001C19F3" w:rsidRPr="002C55C8" w:rsidRDefault="001C19F3" w:rsidP="001C19F3">
            <w:pPr>
              <w:numPr>
                <w:ilvl w:val="0"/>
                <w:numId w:val="49"/>
              </w:numPr>
              <w:spacing w:after="0"/>
              <w:ind w:left="201" w:hanging="201"/>
              <w:rPr>
                <w:sz w:val="18"/>
                <w:szCs w:val="18"/>
              </w:rPr>
            </w:pPr>
            <w:bookmarkStart w:id="234" w:name="_Hlk22482193"/>
            <w:r w:rsidRPr="002C55C8">
              <w:rPr>
                <w:sz w:val="18"/>
                <w:szCs w:val="18"/>
              </w:rPr>
              <w:t>Chronic obstructive pulmonary disease (COPD)</w:t>
            </w:r>
            <w:bookmarkEnd w:id="234"/>
          </w:p>
        </w:tc>
      </w:tr>
      <w:tr w:rsidR="001C19F3" w:rsidRPr="002C55C8" w14:paraId="42E61F61" w14:textId="77777777" w:rsidTr="00521305">
        <w:trPr>
          <w:jc w:val="center"/>
        </w:trPr>
        <w:tc>
          <w:tcPr>
            <w:tcW w:w="1843" w:type="pct"/>
            <w:shd w:val="clear" w:color="auto" w:fill="auto"/>
          </w:tcPr>
          <w:p w14:paraId="07138FD4" w14:textId="77777777" w:rsidR="001C19F3" w:rsidRPr="002C55C8" w:rsidRDefault="001C19F3" w:rsidP="00521305">
            <w:pPr>
              <w:spacing w:after="0"/>
              <w:rPr>
                <w:sz w:val="18"/>
                <w:szCs w:val="18"/>
              </w:rPr>
            </w:pPr>
            <w:r w:rsidRPr="002C55C8">
              <w:rPr>
                <w:sz w:val="18"/>
                <w:szCs w:val="18"/>
              </w:rPr>
              <w:t>Atrial fibrillation</w:t>
            </w:r>
          </w:p>
        </w:tc>
        <w:tc>
          <w:tcPr>
            <w:tcW w:w="3157" w:type="pct"/>
            <w:shd w:val="clear" w:color="auto" w:fill="auto"/>
          </w:tcPr>
          <w:p w14:paraId="14816400" w14:textId="77777777" w:rsidR="001C19F3" w:rsidRPr="002C55C8" w:rsidRDefault="001C19F3" w:rsidP="001C19F3">
            <w:pPr>
              <w:numPr>
                <w:ilvl w:val="0"/>
                <w:numId w:val="49"/>
              </w:numPr>
              <w:spacing w:after="0"/>
              <w:ind w:left="201" w:hanging="201"/>
              <w:rPr>
                <w:sz w:val="18"/>
                <w:szCs w:val="18"/>
              </w:rPr>
            </w:pPr>
            <w:r w:rsidRPr="002C55C8">
              <w:rPr>
                <w:sz w:val="18"/>
                <w:szCs w:val="18"/>
              </w:rPr>
              <w:t>Atrial fibrillation</w:t>
            </w:r>
          </w:p>
        </w:tc>
      </w:tr>
      <w:tr w:rsidR="001C19F3" w:rsidRPr="002C55C8" w14:paraId="22A5EAE3" w14:textId="77777777" w:rsidTr="00521305">
        <w:trPr>
          <w:jc w:val="center"/>
        </w:trPr>
        <w:tc>
          <w:tcPr>
            <w:tcW w:w="1843" w:type="pct"/>
            <w:shd w:val="clear" w:color="auto" w:fill="auto"/>
          </w:tcPr>
          <w:p w14:paraId="114E9BBE" w14:textId="77777777" w:rsidR="001C19F3" w:rsidRPr="002C55C8" w:rsidRDefault="001C19F3" w:rsidP="00521305">
            <w:pPr>
              <w:spacing w:after="0"/>
              <w:rPr>
                <w:sz w:val="18"/>
                <w:szCs w:val="18"/>
              </w:rPr>
            </w:pPr>
            <w:r w:rsidRPr="002C55C8">
              <w:rPr>
                <w:sz w:val="18"/>
                <w:szCs w:val="18"/>
              </w:rPr>
              <w:t>Cardiovascular</w:t>
            </w:r>
          </w:p>
        </w:tc>
        <w:tc>
          <w:tcPr>
            <w:tcW w:w="3157" w:type="pct"/>
            <w:shd w:val="clear" w:color="auto" w:fill="auto"/>
          </w:tcPr>
          <w:p w14:paraId="0FB970CA" w14:textId="77777777" w:rsidR="001C19F3" w:rsidRPr="002C55C8" w:rsidRDefault="001C19F3" w:rsidP="001C19F3">
            <w:pPr>
              <w:numPr>
                <w:ilvl w:val="0"/>
                <w:numId w:val="49"/>
              </w:numPr>
              <w:spacing w:after="0"/>
              <w:ind w:left="201" w:hanging="201"/>
              <w:rPr>
                <w:sz w:val="18"/>
                <w:szCs w:val="18"/>
              </w:rPr>
            </w:pPr>
            <w:bookmarkStart w:id="235" w:name="_Hlk22482208"/>
            <w:r w:rsidRPr="002C55C8">
              <w:rPr>
                <w:sz w:val="18"/>
                <w:szCs w:val="18"/>
              </w:rPr>
              <w:t>Coronary heart disease (CHD)</w:t>
            </w:r>
          </w:p>
          <w:bookmarkEnd w:id="235"/>
          <w:p w14:paraId="5828A1AA" w14:textId="77777777" w:rsidR="001C19F3" w:rsidRPr="002C55C8" w:rsidRDefault="001C19F3" w:rsidP="001C19F3">
            <w:pPr>
              <w:numPr>
                <w:ilvl w:val="0"/>
                <w:numId w:val="49"/>
              </w:numPr>
              <w:spacing w:after="0"/>
              <w:ind w:left="201" w:hanging="201"/>
              <w:rPr>
                <w:sz w:val="18"/>
                <w:szCs w:val="18"/>
              </w:rPr>
            </w:pPr>
            <w:r w:rsidRPr="002C55C8">
              <w:rPr>
                <w:sz w:val="18"/>
                <w:szCs w:val="18"/>
              </w:rPr>
              <w:t>Stroke</w:t>
            </w:r>
          </w:p>
          <w:p w14:paraId="29CEDE03" w14:textId="77777777" w:rsidR="001C19F3" w:rsidRPr="002C55C8" w:rsidRDefault="001C19F3" w:rsidP="001C19F3">
            <w:pPr>
              <w:numPr>
                <w:ilvl w:val="0"/>
                <w:numId w:val="49"/>
              </w:numPr>
              <w:spacing w:after="0"/>
              <w:ind w:left="201" w:hanging="201"/>
              <w:rPr>
                <w:sz w:val="18"/>
                <w:szCs w:val="18"/>
              </w:rPr>
            </w:pPr>
            <w:bookmarkStart w:id="236" w:name="_Hlk22482260"/>
            <w:r w:rsidRPr="002C55C8">
              <w:rPr>
                <w:sz w:val="18"/>
                <w:szCs w:val="18"/>
              </w:rPr>
              <w:t>Transient ischaemic attack (TIA)</w:t>
            </w:r>
          </w:p>
          <w:p w14:paraId="0027D81C" w14:textId="77777777" w:rsidR="001C19F3" w:rsidRPr="002C55C8" w:rsidRDefault="001C19F3" w:rsidP="001C19F3">
            <w:pPr>
              <w:numPr>
                <w:ilvl w:val="0"/>
                <w:numId w:val="49"/>
              </w:numPr>
              <w:spacing w:after="0"/>
              <w:ind w:left="201" w:hanging="201"/>
              <w:rPr>
                <w:sz w:val="18"/>
                <w:szCs w:val="18"/>
              </w:rPr>
            </w:pPr>
            <w:bookmarkStart w:id="237" w:name="_Hlk22482228"/>
            <w:bookmarkEnd w:id="236"/>
            <w:r w:rsidRPr="002C55C8">
              <w:rPr>
                <w:sz w:val="18"/>
                <w:szCs w:val="18"/>
              </w:rPr>
              <w:t>Congestive heart failure (CHF)</w:t>
            </w:r>
          </w:p>
          <w:p w14:paraId="139A546F" w14:textId="77777777" w:rsidR="001C19F3" w:rsidRPr="002C55C8" w:rsidRDefault="001C19F3" w:rsidP="001C19F3">
            <w:pPr>
              <w:numPr>
                <w:ilvl w:val="0"/>
                <w:numId w:val="49"/>
              </w:numPr>
              <w:spacing w:after="0"/>
              <w:ind w:left="201" w:hanging="201"/>
              <w:rPr>
                <w:sz w:val="18"/>
                <w:szCs w:val="18"/>
              </w:rPr>
            </w:pPr>
            <w:bookmarkStart w:id="238" w:name="_Hlk22482248"/>
            <w:bookmarkEnd w:id="237"/>
            <w:r w:rsidRPr="002C55C8">
              <w:rPr>
                <w:sz w:val="18"/>
                <w:szCs w:val="18"/>
              </w:rPr>
              <w:t>Rheumatic heart disease (RHD)</w:t>
            </w:r>
            <w:bookmarkEnd w:id="238"/>
          </w:p>
        </w:tc>
      </w:tr>
      <w:tr w:rsidR="001C19F3" w:rsidRPr="002C55C8" w14:paraId="3EBF9B56" w14:textId="77777777" w:rsidTr="00521305">
        <w:trPr>
          <w:jc w:val="center"/>
        </w:trPr>
        <w:tc>
          <w:tcPr>
            <w:tcW w:w="1843" w:type="pct"/>
            <w:shd w:val="clear" w:color="auto" w:fill="auto"/>
          </w:tcPr>
          <w:p w14:paraId="5230D006" w14:textId="77777777" w:rsidR="001C19F3" w:rsidRPr="002C55C8" w:rsidRDefault="001C19F3" w:rsidP="00521305">
            <w:pPr>
              <w:spacing w:after="0"/>
              <w:rPr>
                <w:sz w:val="18"/>
                <w:szCs w:val="18"/>
              </w:rPr>
            </w:pPr>
            <w:r w:rsidRPr="002C55C8">
              <w:rPr>
                <w:sz w:val="18"/>
                <w:szCs w:val="18"/>
              </w:rPr>
              <w:t>Osteoarthritis</w:t>
            </w:r>
          </w:p>
        </w:tc>
        <w:tc>
          <w:tcPr>
            <w:tcW w:w="3157" w:type="pct"/>
            <w:shd w:val="clear" w:color="auto" w:fill="auto"/>
          </w:tcPr>
          <w:p w14:paraId="35A96620" w14:textId="77777777" w:rsidR="001C19F3" w:rsidRPr="002C55C8" w:rsidRDefault="001C19F3" w:rsidP="001C19F3">
            <w:pPr>
              <w:numPr>
                <w:ilvl w:val="0"/>
                <w:numId w:val="49"/>
              </w:numPr>
              <w:spacing w:after="0"/>
              <w:ind w:left="201" w:hanging="201"/>
              <w:rPr>
                <w:sz w:val="18"/>
                <w:szCs w:val="18"/>
              </w:rPr>
            </w:pPr>
            <w:r w:rsidRPr="002C55C8">
              <w:rPr>
                <w:sz w:val="18"/>
                <w:szCs w:val="18"/>
              </w:rPr>
              <w:t>Osteoarthritis</w:t>
            </w:r>
          </w:p>
        </w:tc>
      </w:tr>
      <w:tr w:rsidR="001C19F3" w:rsidRPr="002C55C8" w14:paraId="2D38D3A3" w14:textId="77777777" w:rsidTr="00521305">
        <w:trPr>
          <w:jc w:val="center"/>
        </w:trPr>
        <w:tc>
          <w:tcPr>
            <w:tcW w:w="1843" w:type="pct"/>
            <w:shd w:val="clear" w:color="auto" w:fill="auto"/>
          </w:tcPr>
          <w:p w14:paraId="57B7178B" w14:textId="77777777" w:rsidR="001C19F3" w:rsidRPr="002C55C8" w:rsidRDefault="001C19F3" w:rsidP="00521305">
            <w:pPr>
              <w:spacing w:after="0"/>
              <w:rPr>
                <w:sz w:val="18"/>
                <w:szCs w:val="18"/>
              </w:rPr>
            </w:pPr>
            <w:r w:rsidRPr="002C55C8">
              <w:rPr>
                <w:sz w:val="18"/>
                <w:szCs w:val="18"/>
              </w:rPr>
              <w:t>Osteoporosis</w:t>
            </w:r>
          </w:p>
        </w:tc>
        <w:tc>
          <w:tcPr>
            <w:tcW w:w="3157" w:type="pct"/>
            <w:shd w:val="clear" w:color="auto" w:fill="auto"/>
          </w:tcPr>
          <w:p w14:paraId="260F1F84" w14:textId="77777777" w:rsidR="001C19F3" w:rsidRPr="002C55C8" w:rsidRDefault="001C19F3" w:rsidP="001C19F3">
            <w:pPr>
              <w:numPr>
                <w:ilvl w:val="0"/>
                <w:numId w:val="49"/>
              </w:numPr>
              <w:spacing w:after="0"/>
              <w:ind w:left="201" w:hanging="201"/>
              <w:rPr>
                <w:sz w:val="18"/>
                <w:szCs w:val="18"/>
              </w:rPr>
            </w:pPr>
            <w:r w:rsidRPr="002C55C8">
              <w:rPr>
                <w:sz w:val="18"/>
                <w:szCs w:val="18"/>
              </w:rPr>
              <w:t>Osteoporosis</w:t>
            </w:r>
          </w:p>
        </w:tc>
      </w:tr>
      <w:tr w:rsidR="001C19F3" w:rsidRPr="002C55C8" w14:paraId="4F158D22" w14:textId="77777777" w:rsidTr="00521305">
        <w:trPr>
          <w:jc w:val="center"/>
        </w:trPr>
        <w:tc>
          <w:tcPr>
            <w:tcW w:w="1843" w:type="pct"/>
            <w:shd w:val="clear" w:color="auto" w:fill="auto"/>
          </w:tcPr>
          <w:p w14:paraId="781BCF08" w14:textId="77777777" w:rsidR="001C19F3" w:rsidRPr="002C55C8" w:rsidRDefault="001C19F3" w:rsidP="00521305">
            <w:pPr>
              <w:spacing w:after="0"/>
              <w:rPr>
                <w:sz w:val="18"/>
                <w:szCs w:val="18"/>
              </w:rPr>
            </w:pPr>
            <w:r w:rsidRPr="002C55C8">
              <w:rPr>
                <w:sz w:val="18"/>
                <w:szCs w:val="18"/>
              </w:rPr>
              <w:t>Rheumatoid arthritis</w:t>
            </w:r>
          </w:p>
        </w:tc>
        <w:tc>
          <w:tcPr>
            <w:tcW w:w="3157" w:type="pct"/>
            <w:shd w:val="clear" w:color="auto" w:fill="auto"/>
          </w:tcPr>
          <w:p w14:paraId="5DE2564C" w14:textId="77777777" w:rsidR="001C19F3" w:rsidRPr="002C55C8" w:rsidRDefault="001C19F3" w:rsidP="001C19F3">
            <w:pPr>
              <w:numPr>
                <w:ilvl w:val="0"/>
                <w:numId w:val="49"/>
              </w:numPr>
              <w:spacing w:after="0"/>
              <w:ind w:left="201" w:hanging="201"/>
              <w:rPr>
                <w:sz w:val="18"/>
                <w:szCs w:val="18"/>
              </w:rPr>
            </w:pPr>
            <w:r w:rsidRPr="002C55C8">
              <w:rPr>
                <w:sz w:val="18"/>
                <w:szCs w:val="18"/>
              </w:rPr>
              <w:t>Rheumatoid arthritis</w:t>
            </w:r>
          </w:p>
        </w:tc>
      </w:tr>
      <w:tr w:rsidR="001C19F3" w:rsidRPr="002C55C8" w14:paraId="1855480A" w14:textId="77777777" w:rsidTr="00521305">
        <w:trPr>
          <w:jc w:val="center"/>
        </w:trPr>
        <w:tc>
          <w:tcPr>
            <w:tcW w:w="1843" w:type="pct"/>
            <w:shd w:val="clear" w:color="auto" w:fill="auto"/>
          </w:tcPr>
          <w:p w14:paraId="08D41DEF" w14:textId="77777777" w:rsidR="001C19F3" w:rsidRPr="002C55C8" w:rsidRDefault="001C19F3" w:rsidP="00521305">
            <w:pPr>
              <w:spacing w:after="0"/>
              <w:rPr>
                <w:sz w:val="18"/>
                <w:szCs w:val="18"/>
              </w:rPr>
            </w:pPr>
            <w:r w:rsidRPr="002C55C8">
              <w:rPr>
                <w:sz w:val="18"/>
                <w:szCs w:val="18"/>
              </w:rPr>
              <w:t>Mental health</w:t>
            </w:r>
          </w:p>
        </w:tc>
        <w:tc>
          <w:tcPr>
            <w:tcW w:w="3157" w:type="pct"/>
            <w:shd w:val="clear" w:color="auto" w:fill="auto"/>
          </w:tcPr>
          <w:p w14:paraId="4C8CFF5D" w14:textId="77777777" w:rsidR="001C19F3" w:rsidRPr="002C55C8" w:rsidRDefault="001C19F3" w:rsidP="001C19F3">
            <w:pPr>
              <w:numPr>
                <w:ilvl w:val="0"/>
                <w:numId w:val="49"/>
              </w:numPr>
              <w:spacing w:after="0"/>
              <w:ind w:left="201" w:hanging="201"/>
              <w:rPr>
                <w:sz w:val="18"/>
                <w:szCs w:val="18"/>
              </w:rPr>
            </w:pPr>
            <w:r w:rsidRPr="002C55C8">
              <w:rPr>
                <w:sz w:val="18"/>
                <w:szCs w:val="18"/>
              </w:rPr>
              <w:t>Depression</w:t>
            </w:r>
          </w:p>
          <w:p w14:paraId="582D6CB3" w14:textId="77777777" w:rsidR="001C19F3" w:rsidRPr="002C55C8" w:rsidRDefault="001C19F3" w:rsidP="001C19F3">
            <w:pPr>
              <w:numPr>
                <w:ilvl w:val="0"/>
                <w:numId w:val="49"/>
              </w:numPr>
              <w:spacing w:after="0"/>
              <w:ind w:left="201" w:hanging="201"/>
              <w:rPr>
                <w:sz w:val="18"/>
                <w:szCs w:val="18"/>
              </w:rPr>
            </w:pPr>
            <w:r w:rsidRPr="002C55C8">
              <w:rPr>
                <w:sz w:val="18"/>
                <w:szCs w:val="18"/>
              </w:rPr>
              <w:t>Anxiety</w:t>
            </w:r>
          </w:p>
          <w:p w14:paraId="61AFE7AA" w14:textId="77777777" w:rsidR="001C19F3" w:rsidRPr="002C55C8" w:rsidRDefault="001C19F3" w:rsidP="001C19F3">
            <w:pPr>
              <w:numPr>
                <w:ilvl w:val="0"/>
                <w:numId w:val="49"/>
              </w:numPr>
              <w:spacing w:after="0"/>
              <w:ind w:left="201" w:hanging="201"/>
              <w:rPr>
                <w:sz w:val="18"/>
                <w:szCs w:val="18"/>
              </w:rPr>
            </w:pPr>
            <w:r w:rsidRPr="002C55C8">
              <w:rPr>
                <w:sz w:val="18"/>
                <w:szCs w:val="18"/>
              </w:rPr>
              <w:t>Bipolar</w:t>
            </w:r>
          </w:p>
          <w:p w14:paraId="34576064" w14:textId="77777777" w:rsidR="001C19F3" w:rsidRPr="002C55C8" w:rsidRDefault="001C19F3" w:rsidP="001C19F3">
            <w:pPr>
              <w:numPr>
                <w:ilvl w:val="0"/>
                <w:numId w:val="49"/>
              </w:numPr>
              <w:spacing w:after="0"/>
              <w:ind w:left="201" w:hanging="201"/>
              <w:rPr>
                <w:sz w:val="18"/>
                <w:szCs w:val="18"/>
              </w:rPr>
            </w:pPr>
            <w:r w:rsidRPr="002C55C8">
              <w:rPr>
                <w:sz w:val="18"/>
                <w:szCs w:val="18"/>
              </w:rPr>
              <w:t>Schizophrenia</w:t>
            </w:r>
          </w:p>
          <w:p w14:paraId="1719AAEE" w14:textId="77777777" w:rsidR="001C19F3" w:rsidRPr="002C55C8" w:rsidRDefault="001C19F3" w:rsidP="001C19F3">
            <w:pPr>
              <w:numPr>
                <w:ilvl w:val="0"/>
                <w:numId w:val="49"/>
              </w:numPr>
              <w:spacing w:after="0"/>
              <w:ind w:left="201" w:hanging="201"/>
              <w:rPr>
                <w:sz w:val="18"/>
                <w:szCs w:val="18"/>
              </w:rPr>
            </w:pPr>
            <w:r w:rsidRPr="002C55C8">
              <w:rPr>
                <w:sz w:val="18"/>
                <w:szCs w:val="18"/>
              </w:rPr>
              <w:t>Dementia</w:t>
            </w:r>
          </w:p>
          <w:p w14:paraId="4EBF34B1" w14:textId="77777777" w:rsidR="001C19F3" w:rsidRPr="002C55C8" w:rsidRDefault="001C19F3" w:rsidP="001C19F3">
            <w:pPr>
              <w:numPr>
                <w:ilvl w:val="0"/>
                <w:numId w:val="49"/>
              </w:numPr>
              <w:spacing w:after="0"/>
              <w:ind w:left="201" w:hanging="201"/>
              <w:rPr>
                <w:sz w:val="18"/>
                <w:szCs w:val="18"/>
              </w:rPr>
            </w:pPr>
            <w:r w:rsidRPr="002C55C8">
              <w:rPr>
                <w:sz w:val="18"/>
                <w:szCs w:val="18"/>
              </w:rPr>
              <w:t>Learning difficulties</w:t>
            </w:r>
          </w:p>
        </w:tc>
      </w:tr>
      <w:tr w:rsidR="001C19F3" w:rsidRPr="002C55C8" w14:paraId="723FFAD8" w14:textId="77777777" w:rsidTr="00521305">
        <w:trPr>
          <w:jc w:val="center"/>
        </w:trPr>
        <w:tc>
          <w:tcPr>
            <w:tcW w:w="1843" w:type="pct"/>
            <w:shd w:val="clear" w:color="auto" w:fill="auto"/>
          </w:tcPr>
          <w:p w14:paraId="1AB96407" w14:textId="77777777" w:rsidR="001C19F3" w:rsidRPr="002C55C8" w:rsidRDefault="001C19F3" w:rsidP="00521305">
            <w:pPr>
              <w:spacing w:after="0"/>
              <w:rPr>
                <w:sz w:val="18"/>
                <w:szCs w:val="18"/>
              </w:rPr>
            </w:pPr>
            <w:r w:rsidRPr="002C55C8">
              <w:rPr>
                <w:sz w:val="18"/>
                <w:szCs w:val="18"/>
              </w:rPr>
              <w:t>Cancer</w:t>
            </w:r>
          </w:p>
        </w:tc>
        <w:tc>
          <w:tcPr>
            <w:tcW w:w="3157" w:type="pct"/>
            <w:shd w:val="clear" w:color="auto" w:fill="auto"/>
          </w:tcPr>
          <w:p w14:paraId="553F2374" w14:textId="77777777" w:rsidR="001C19F3" w:rsidRPr="002C55C8" w:rsidRDefault="001C19F3" w:rsidP="001C19F3">
            <w:pPr>
              <w:numPr>
                <w:ilvl w:val="0"/>
                <w:numId w:val="49"/>
              </w:numPr>
              <w:spacing w:after="0"/>
              <w:ind w:left="201" w:hanging="201"/>
              <w:rPr>
                <w:sz w:val="18"/>
                <w:szCs w:val="18"/>
              </w:rPr>
            </w:pPr>
            <w:r w:rsidRPr="002C55C8">
              <w:rPr>
                <w:sz w:val="18"/>
                <w:szCs w:val="18"/>
              </w:rPr>
              <w:t>Cancer</w:t>
            </w:r>
          </w:p>
        </w:tc>
      </w:tr>
      <w:tr w:rsidR="001C19F3" w:rsidRPr="002C55C8" w14:paraId="7FDC8C12" w14:textId="77777777" w:rsidTr="00521305">
        <w:trPr>
          <w:jc w:val="center"/>
        </w:trPr>
        <w:tc>
          <w:tcPr>
            <w:tcW w:w="1843" w:type="pct"/>
            <w:shd w:val="clear" w:color="auto" w:fill="auto"/>
          </w:tcPr>
          <w:p w14:paraId="1B872B47" w14:textId="77777777" w:rsidR="001C19F3" w:rsidRPr="002C55C8" w:rsidRDefault="001C19F3" w:rsidP="00521305">
            <w:pPr>
              <w:spacing w:after="0"/>
              <w:rPr>
                <w:sz w:val="18"/>
                <w:szCs w:val="18"/>
              </w:rPr>
            </w:pPr>
            <w:r w:rsidRPr="002C55C8">
              <w:rPr>
                <w:sz w:val="18"/>
                <w:szCs w:val="18"/>
              </w:rPr>
              <w:t>Digestive</w:t>
            </w:r>
          </w:p>
        </w:tc>
        <w:tc>
          <w:tcPr>
            <w:tcW w:w="3157" w:type="pct"/>
            <w:shd w:val="clear" w:color="auto" w:fill="auto"/>
          </w:tcPr>
          <w:p w14:paraId="2B94118B" w14:textId="77777777" w:rsidR="001C19F3" w:rsidRPr="002C55C8" w:rsidRDefault="001C19F3" w:rsidP="001C19F3">
            <w:pPr>
              <w:numPr>
                <w:ilvl w:val="0"/>
                <w:numId w:val="49"/>
              </w:numPr>
              <w:spacing w:after="0"/>
              <w:ind w:left="201" w:hanging="201"/>
              <w:rPr>
                <w:sz w:val="18"/>
                <w:szCs w:val="18"/>
              </w:rPr>
            </w:pPr>
            <w:r w:rsidRPr="002C55C8">
              <w:rPr>
                <w:sz w:val="18"/>
                <w:szCs w:val="18"/>
              </w:rPr>
              <w:t>Crohn’s disease</w:t>
            </w:r>
          </w:p>
          <w:p w14:paraId="6A71D7A9" w14:textId="77777777" w:rsidR="001C19F3" w:rsidRPr="002C55C8" w:rsidRDefault="001C19F3" w:rsidP="001C19F3">
            <w:pPr>
              <w:numPr>
                <w:ilvl w:val="0"/>
                <w:numId w:val="49"/>
              </w:numPr>
              <w:spacing w:after="0"/>
              <w:ind w:left="201" w:hanging="201"/>
              <w:rPr>
                <w:sz w:val="18"/>
                <w:szCs w:val="18"/>
              </w:rPr>
            </w:pPr>
            <w:r w:rsidRPr="002C55C8">
              <w:rPr>
                <w:sz w:val="18"/>
                <w:szCs w:val="18"/>
              </w:rPr>
              <w:t>Ulcerative colitis</w:t>
            </w:r>
          </w:p>
          <w:p w14:paraId="2C6B6A41" w14:textId="77777777" w:rsidR="001C19F3" w:rsidRPr="002C55C8" w:rsidRDefault="001C19F3" w:rsidP="001C19F3">
            <w:pPr>
              <w:numPr>
                <w:ilvl w:val="0"/>
                <w:numId w:val="49"/>
              </w:numPr>
              <w:spacing w:after="0"/>
              <w:ind w:left="201" w:hanging="201"/>
              <w:rPr>
                <w:sz w:val="18"/>
                <w:szCs w:val="18"/>
              </w:rPr>
            </w:pPr>
            <w:r w:rsidRPr="002C55C8">
              <w:rPr>
                <w:sz w:val="18"/>
                <w:szCs w:val="18"/>
              </w:rPr>
              <w:t>Coeliac disease</w:t>
            </w:r>
          </w:p>
          <w:p w14:paraId="2FD7FCC2" w14:textId="77777777" w:rsidR="001C19F3" w:rsidRPr="002C55C8" w:rsidRDefault="001C19F3" w:rsidP="001C19F3">
            <w:pPr>
              <w:numPr>
                <w:ilvl w:val="0"/>
                <w:numId w:val="49"/>
              </w:numPr>
              <w:spacing w:after="0"/>
              <w:ind w:left="201" w:hanging="201"/>
              <w:rPr>
                <w:sz w:val="18"/>
                <w:szCs w:val="18"/>
              </w:rPr>
            </w:pPr>
            <w:r w:rsidRPr="002C55C8">
              <w:rPr>
                <w:sz w:val="18"/>
                <w:szCs w:val="18"/>
              </w:rPr>
              <w:t>Steatorrhea</w:t>
            </w:r>
          </w:p>
          <w:p w14:paraId="0C085A59" w14:textId="77777777" w:rsidR="001C19F3" w:rsidRPr="002C55C8" w:rsidRDefault="001C19F3" w:rsidP="001C19F3">
            <w:pPr>
              <w:numPr>
                <w:ilvl w:val="0"/>
                <w:numId w:val="49"/>
              </w:numPr>
              <w:spacing w:after="0"/>
              <w:ind w:left="201" w:hanging="201"/>
              <w:rPr>
                <w:sz w:val="18"/>
                <w:szCs w:val="18"/>
              </w:rPr>
            </w:pPr>
            <w:r w:rsidRPr="002C55C8">
              <w:rPr>
                <w:sz w:val="18"/>
                <w:szCs w:val="18"/>
              </w:rPr>
              <w:t>Malabsorption syndrome</w:t>
            </w:r>
          </w:p>
          <w:p w14:paraId="377EC0D4" w14:textId="77777777" w:rsidR="001C19F3" w:rsidRPr="002C55C8" w:rsidRDefault="001C19F3" w:rsidP="001C19F3">
            <w:pPr>
              <w:numPr>
                <w:ilvl w:val="0"/>
                <w:numId w:val="49"/>
              </w:numPr>
              <w:spacing w:after="0"/>
              <w:ind w:left="201" w:hanging="201"/>
              <w:rPr>
                <w:sz w:val="18"/>
                <w:szCs w:val="18"/>
              </w:rPr>
            </w:pPr>
            <w:r w:rsidRPr="002C55C8">
              <w:rPr>
                <w:sz w:val="18"/>
                <w:szCs w:val="18"/>
              </w:rPr>
              <w:t>Chronic liver disease</w:t>
            </w:r>
          </w:p>
          <w:p w14:paraId="14B85D36" w14:textId="77777777" w:rsidR="001C19F3" w:rsidRPr="002C55C8" w:rsidRDefault="001C19F3" w:rsidP="001C19F3">
            <w:pPr>
              <w:numPr>
                <w:ilvl w:val="0"/>
                <w:numId w:val="49"/>
              </w:numPr>
              <w:spacing w:after="0"/>
              <w:ind w:left="201" w:hanging="201"/>
              <w:rPr>
                <w:sz w:val="18"/>
                <w:szCs w:val="18"/>
              </w:rPr>
            </w:pPr>
            <w:r w:rsidRPr="002C55C8">
              <w:rPr>
                <w:sz w:val="18"/>
                <w:szCs w:val="18"/>
              </w:rPr>
              <w:t>Pancreatitis</w:t>
            </w:r>
          </w:p>
        </w:tc>
      </w:tr>
      <w:tr w:rsidR="001C19F3" w:rsidRPr="002C55C8" w14:paraId="78143A3E" w14:textId="77777777" w:rsidTr="00521305">
        <w:trPr>
          <w:jc w:val="center"/>
        </w:trPr>
        <w:tc>
          <w:tcPr>
            <w:tcW w:w="1843" w:type="pct"/>
            <w:shd w:val="clear" w:color="auto" w:fill="auto"/>
          </w:tcPr>
          <w:p w14:paraId="4AF69C3A" w14:textId="77777777" w:rsidR="001C19F3" w:rsidRPr="002C55C8" w:rsidRDefault="001C19F3" w:rsidP="00521305">
            <w:pPr>
              <w:spacing w:after="0"/>
              <w:rPr>
                <w:sz w:val="18"/>
                <w:szCs w:val="18"/>
              </w:rPr>
            </w:pPr>
            <w:r w:rsidRPr="002C55C8">
              <w:rPr>
                <w:sz w:val="18"/>
                <w:szCs w:val="18"/>
              </w:rPr>
              <w:t>Hypertension</w:t>
            </w:r>
          </w:p>
        </w:tc>
        <w:tc>
          <w:tcPr>
            <w:tcW w:w="3157" w:type="pct"/>
            <w:shd w:val="clear" w:color="auto" w:fill="auto"/>
          </w:tcPr>
          <w:p w14:paraId="71D4497D" w14:textId="77777777" w:rsidR="001C19F3" w:rsidRPr="002C55C8" w:rsidRDefault="001C19F3" w:rsidP="001C19F3">
            <w:pPr>
              <w:numPr>
                <w:ilvl w:val="0"/>
                <w:numId w:val="49"/>
              </w:numPr>
              <w:spacing w:after="0"/>
              <w:ind w:left="201" w:hanging="201"/>
              <w:rPr>
                <w:sz w:val="18"/>
                <w:szCs w:val="18"/>
              </w:rPr>
            </w:pPr>
            <w:r w:rsidRPr="002C55C8">
              <w:rPr>
                <w:sz w:val="18"/>
                <w:szCs w:val="18"/>
              </w:rPr>
              <w:t>Hypertension</w:t>
            </w:r>
          </w:p>
        </w:tc>
      </w:tr>
      <w:tr w:rsidR="001C19F3" w:rsidRPr="002C55C8" w14:paraId="35DEDA3F" w14:textId="77777777" w:rsidTr="00521305">
        <w:trPr>
          <w:jc w:val="center"/>
        </w:trPr>
        <w:tc>
          <w:tcPr>
            <w:tcW w:w="1843" w:type="pct"/>
            <w:shd w:val="clear" w:color="auto" w:fill="auto"/>
          </w:tcPr>
          <w:p w14:paraId="3B0B43DA" w14:textId="77777777" w:rsidR="001C19F3" w:rsidRPr="002C55C8" w:rsidRDefault="001C19F3" w:rsidP="00521305">
            <w:pPr>
              <w:spacing w:after="0"/>
              <w:rPr>
                <w:sz w:val="18"/>
                <w:szCs w:val="18"/>
              </w:rPr>
            </w:pPr>
            <w:r w:rsidRPr="002C55C8">
              <w:rPr>
                <w:sz w:val="18"/>
                <w:szCs w:val="18"/>
              </w:rPr>
              <w:t>Blood fats</w:t>
            </w:r>
          </w:p>
        </w:tc>
        <w:tc>
          <w:tcPr>
            <w:tcW w:w="3157" w:type="pct"/>
            <w:shd w:val="clear" w:color="auto" w:fill="auto"/>
          </w:tcPr>
          <w:p w14:paraId="3A36C841" w14:textId="77777777" w:rsidR="001C19F3" w:rsidRPr="002C55C8" w:rsidRDefault="001C19F3" w:rsidP="001C19F3">
            <w:pPr>
              <w:numPr>
                <w:ilvl w:val="0"/>
                <w:numId w:val="49"/>
              </w:numPr>
              <w:spacing w:after="0"/>
              <w:ind w:left="201" w:hanging="201"/>
              <w:rPr>
                <w:sz w:val="18"/>
                <w:szCs w:val="18"/>
              </w:rPr>
            </w:pPr>
            <w:r w:rsidRPr="002C55C8">
              <w:rPr>
                <w:sz w:val="18"/>
                <w:szCs w:val="18"/>
              </w:rPr>
              <w:t>Hyperlipidaemia</w:t>
            </w:r>
          </w:p>
          <w:p w14:paraId="62AD3915" w14:textId="77777777" w:rsidR="001C19F3" w:rsidRPr="002C55C8" w:rsidRDefault="001C19F3" w:rsidP="001C19F3">
            <w:pPr>
              <w:numPr>
                <w:ilvl w:val="0"/>
                <w:numId w:val="49"/>
              </w:numPr>
              <w:spacing w:after="0"/>
              <w:ind w:left="201" w:hanging="201"/>
              <w:rPr>
                <w:sz w:val="18"/>
                <w:szCs w:val="18"/>
              </w:rPr>
            </w:pPr>
            <w:r w:rsidRPr="002C55C8">
              <w:rPr>
                <w:sz w:val="18"/>
                <w:szCs w:val="18"/>
              </w:rPr>
              <w:t>Hypercholesterolaemia</w:t>
            </w:r>
          </w:p>
          <w:p w14:paraId="2A73C1CF" w14:textId="77777777" w:rsidR="001C19F3" w:rsidRPr="002C55C8" w:rsidRDefault="001C19F3" w:rsidP="001C19F3">
            <w:pPr>
              <w:numPr>
                <w:ilvl w:val="0"/>
                <w:numId w:val="49"/>
              </w:numPr>
              <w:spacing w:after="0"/>
              <w:ind w:left="201" w:hanging="201"/>
              <w:rPr>
                <w:sz w:val="18"/>
                <w:szCs w:val="18"/>
              </w:rPr>
            </w:pPr>
            <w:r w:rsidRPr="002C55C8">
              <w:rPr>
                <w:sz w:val="18"/>
                <w:szCs w:val="18"/>
              </w:rPr>
              <w:t>Hypertriglyceridemia</w:t>
            </w:r>
          </w:p>
        </w:tc>
      </w:tr>
      <w:tr w:rsidR="001C19F3" w:rsidRPr="002C55C8" w14:paraId="7D3CAC58" w14:textId="77777777" w:rsidTr="00521305">
        <w:trPr>
          <w:jc w:val="center"/>
        </w:trPr>
        <w:tc>
          <w:tcPr>
            <w:tcW w:w="1843" w:type="pct"/>
            <w:shd w:val="clear" w:color="auto" w:fill="auto"/>
          </w:tcPr>
          <w:p w14:paraId="416777A1" w14:textId="77777777" w:rsidR="001C19F3" w:rsidRPr="002C55C8" w:rsidRDefault="001C19F3" w:rsidP="00521305">
            <w:pPr>
              <w:spacing w:after="0"/>
              <w:rPr>
                <w:sz w:val="18"/>
                <w:szCs w:val="18"/>
              </w:rPr>
            </w:pPr>
            <w:r w:rsidRPr="002C55C8">
              <w:rPr>
                <w:sz w:val="18"/>
                <w:szCs w:val="18"/>
              </w:rPr>
              <w:t>Chronic kidney</w:t>
            </w:r>
          </w:p>
        </w:tc>
        <w:tc>
          <w:tcPr>
            <w:tcW w:w="3157" w:type="pct"/>
            <w:shd w:val="clear" w:color="auto" w:fill="auto"/>
          </w:tcPr>
          <w:p w14:paraId="39654609" w14:textId="77777777" w:rsidR="001C19F3" w:rsidRPr="002C55C8" w:rsidRDefault="001C19F3" w:rsidP="001C19F3">
            <w:pPr>
              <w:numPr>
                <w:ilvl w:val="0"/>
                <w:numId w:val="49"/>
              </w:numPr>
              <w:spacing w:after="0"/>
              <w:ind w:left="201" w:hanging="201"/>
              <w:rPr>
                <w:sz w:val="18"/>
                <w:szCs w:val="18"/>
              </w:rPr>
            </w:pPr>
            <w:bookmarkStart w:id="239" w:name="_Hlk22482279"/>
            <w:r w:rsidRPr="002C55C8">
              <w:rPr>
                <w:sz w:val="18"/>
                <w:szCs w:val="18"/>
              </w:rPr>
              <w:t>Chronic kidney disease</w:t>
            </w:r>
            <w:r>
              <w:rPr>
                <w:sz w:val="18"/>
                <w:szCs w:val="18"/>
              </w:rPr>
              <w:t xml:space="preserve"> (CKD)</w:t>
            </w:r>
            <w:bookmarkEnd w:id="239"/>
          </w:p>
        </w:tc>
      </w:tr>
      <w:tr w:rsidR="001C19F3" w:rsidRPr="002C55C8" w14:paraId="2F053F90" w14:textId="77777777" w:rsidTr="00521305">
        <w:trPr>
          <w:jc w:val="center"/>
        </w:trPr>
        <w:tc>
          <w:tcPr>
            <w:tcW w:w="1843" w:type="pct"/>
            <w:shd w:val="clear" w:color="auto" w:fill="auto"/>
          </w:tcPr>
          <w:p w14:paraId="1BACAD73" w14:textId="77777777" w:rsidR="001C19F3" w:rsidRPr="002C55C8" w:rsidRDefault="001C19F3" w:rsidP="00521305">
            <w:pPr>
              <w:spacing w:after="0"/>
              <w:rPr>
                <w:sz w:val="18"/>
                <w:szCs w:val="18"/>
              </w:rPr>
            </w:pPr>
            <w:r w:rsidRPr="002C55C8">
              <w:rPr>
                <w:sz w:val="18"/>
                <w:szCs w:val="18"/>
              </w:rPr>
              <w:t>Diabetes type I</w:t>
            </w:r>
          </w:p>
        </w:tc>
        <w:tc>
          <w:tcPr>
            <w:tcW w:w="3157" w:type="pct"/>
            <w:shd w:val="clear" w:color="auto" w:fill="auto"/>
          </w:tcPr>
          <w:p w14:paraId="4A86C375" w14:textId="77777777" w:rsidR="001C19F3" w:rsidRPr="002C55C8" w:rsidRDefault="001C19F3" w:rsidP="001C19F3">
            <w:pPr>
              <w:numPr>
                <w:ilvl w:val="0"/>
                <w:numId w:val="49"/>
              </w:numPr>
              <w:spacing w:after="0"/>
              <w:ind w:left="201" w:hanging="201"/>
              <w:rPr>
                <w:sz w:val="18"/>
                <w:szCs w:val="18"/>
              </w:rPr>
            </w:pPr>
            <w:r w:rsidRPr="002C55C8">
              <w:rPr>
                <w:sz w:val="18"/>
                <w:szCs w:val="18"/>
              </w:rPr>
              <w:t>Diabetes type I</w:t>
            </w:r>
          </w:p>
        </w:tc>
      </w:tr>
      <w:tr w:rsidR="001C19F3" w:rsidRPr="002C55C8" w14:paraId="4B5A1B26" w14:textId="77777777" w:rsidTr="00521305">
        <w:trPr>
          <w:jc w:val="center"/>
        </w:trPr>
        <w:tc>
          <w:tcPr>
            <w:tcW w:w="1843" w:type="pct"/>
            <w:shd w:val="clear" w:color="auto" w:fill="auto"/>
          </w:tcPr>
          <w:p w14:paraId="77644BE7" w14:textId="77777777" w:rsidR="001C19F3" w:rsidRPr="002C55C8" w:rsidRDefault="001C19F3" w:rsidP="00521305">
            <w:pPr>
              <w:spacing w:after="0"/>
              <w:rPr>
                <w:sz w:val="18"/>
                <w:szCs w:val="18"/>
              </w:rPr>
            </w:pPr>
            <w:r w:rsidRPr="002C55C8">
              <w:rPr>
                <w:sz w:val="18"/>
                <w:szCs w:val="18"/>
              </w:rPr>
              <w:t>Diabetes type 2</w:t>
            </w:r>
          </w:p>
        </w:tc>
        <w:tc>
          <w:tcPr>
            <w:tcW w:w="3157" w:type="pct"/>
            <w:shd w:val="clear" w:color="auto" w:fill="auto"/>
          </w:tcPr>
          <w:p w14:paraId="5DC0DFE4" w14:textId="77777777" w:rsidR="001C19F3" w:rsidRPr="002C55C8" w:rsidRDefault="001C19F3" w:rsidP="001C19F3">
            <w:pPr>
              <w:numPr>
                <w:ilvl w:val="0"/>
                <w:numId w:val="49"/>
              </w:numPr>
              <w:spacing w:after="0"/>
              <w:ind w:left="201" w:hanging="201"/>
              <w:rPr>
                <w:sz w:val="18"/>
                <w:szCs w:val="18"/>
              </w:rPr>
            </w:pPr>
            <w:r w:rsidRPr="002C55C8">
              <w:rPr>
                <w:sz w:val="18"/>
                <w:szCs w:val="18"/>
              </w:rPr>
              <w:t>Diabetes type 2</w:t>
            </w:r>
          </w:p>
        </w:tc>
      </w:tr>
      <w:tr w:rsidR="001C19F3" w:rsidRPr="002C55C8" w14:paraId="545F6EA9" w14:textId="77777777" w:rsidTr="00521305">
        <w:trPr>
          <w:jc w:val="center"/>
        </w:trPr>
        <w:tc>
          <w:tcPr>
            <w:tcW w:w="1843" w:type="pct"/>
            <w:shd w:val="clear" w:color="auto" w:fill="auto"/>
          </w:tcPr>
          <w:p w14:paraId="5AD05B2B" w14:textId="77777777" w:rsidR="001C19F3" w:rsidRPr="002C55C8" w:rsidRDefault="001C19F3" w:rsidP="00521305">
            <w:pPr>
              <w:spacing w:after="0"/>
              <w:rPr>
                <w:sz w:val="18"/>
                <w:szCs w:val="18"/>
              </w:rPr>
            </w:pPr>
            <w:r w:rsidRPr="002C55C8">
              <w:rPr>
                <w:sz w:val="18"/>
                <w:szCs w:val="18"/>
              </w:rPr>
              <w:t>Venous thromboembolism</w:t>
            </w:r>
          </w:p>
        </w:tc>
        <w:tc>
          <w:tcPr>
            <w:tcW w:w="3157" w:type="pct"/>
            <w:shd w:val="clear" w:color="auto" w:fill="auto"/>
          </w:tcPr>
          <w:p w14:paraId="06465CB6" w14:textId="77777777" w:rsidR="001C19F3" w:rsidRPr="002C55C8" w:rsidRDefault="001C19F3" w:rsidP="001C19F3">
            <w:pPr>
              <w:numPr>
                <w:ilvl w:val="0"/>
                <w:numId w:val="49"/>
              </w:numPr>
              <w:spacing w:after="0"/>
              <w:ind w:left="201" w:hanging="201"/>
              <w:rPr>
                <w:sz w:val="18"/>
                <w:szCs w:val="18"/>
              </w:rPr>
            </w:pPr>
            <w:r w:rsidRPr="002C55C8">
              <w:rPr>
                <w:sz w:val="18"/>
                <w:szCs w:val="18"/>
              </w:rPr>
              <w:t>Venous thromboembolism</w:t>
            </w:r>
          </w:p>
        </w:tc>
      </w:tr>
      <w:tr w:rsidR="001C19F3" w:rsidRPr="002C55C8" w14:paraId="4521F32E" w14:textId="77777777" w:rsidTr="00521305">
        <w:trPr>
          <w:trHeight w:val="391"/>
          <w:jc w:val="center"/>
        </w:trPr>
        <w:tc>
          <w:tcPr>
            <w:tcW w:w="1843" w:type="pct"/>
            <w:shd w:val="clear" w:color="auto" w:fill="auto"/>
          </w:tcPr>
          <w:p w14:paraId="6C251A3D" w14:textId="77777777" w:rsidR="001C19F3" w:rsidRPr="002C55C8" w:rsidRDefault="001C19F3" w:rsidP="00521305">
            <w:pPr>
              <w:spacing w:after="0"/>
              <w:rPr>
                <w:sz w:val="18"/>
                <w:szCs w:val="18"/>
              </w:rPr>
            </w:pPr>
            <w:r w:rsidRPr="002C55C8">
              <w:rPr>
                <w:sz w:val="18"/>
                <w:szCs w:val="18"/>
              </w:rPr>
              <w:t>Other</w:t>
            </w:r>
          </w:p>
        </w:tc>
        <w:tc>
          <w:tcPr>
            <w:tcW w:w="3157" w:type="pct"/>
            <w:shd w:val="clear" w:color="auto" w:fill="auto"/>
          </w:tcPr>
          <w:p w14:paraId="666C95FC" w14:textId="77777777" w:rsidR="001C19F3" w:rsidRPr="002C55C8" w:rsidRDefault="001C19F3" w:rsidP="001C19F3">
            <w:pPr>
              <w:numPr>
                <w:ilvl w:val="0"/>
                <w:numId w:val="49"/>
              </w:numPr>
              <w:spacing w:after="0"/>
              <w:ind w:left="201" w:hanging="201"/>
              <w:rPr>
                <w:sz w:val="18"/>
                <w:szCs w:val="18"/>
              </w:rPr>
            </w:pPr>
            <w:r w:rsidRPr="002C55C8">
              <w:rPr>
                <w:sz w:val="18"/>
                <w:szCs w:val="18"/>
              </w:rPr>
              <w:t>Falls</w:t>
            </w:r>
          </w:p>
          <w:p w14:paraId="6EC2E040" w14:textId="77777777" w:rsidR="001C19F3" w:rsidRPr="002C55C8" w:rsidRDefault="001C19F3" w:rsidP="001C19F3">
            <w:pPr>
              <w:numPr>
                <w:ilvl w:val="0"/>
                <w:numId w:val="49"/>
              </w:numPr>
              <w:spacing w:after="0"/>
              <w:ind w:left="201" w:hanging="201"/>
              <w:rPr>
                <w:sz w:val="18"/>
                <w:szCs w:val="18"/>
              </w:rPr>
            </w:pPr>
            <w:r w:rsidRPr="002C55C8">
              <w:rPr>
                <w:sz w:val="18"/>
                <w:szCs w:val="18"/>
              </w:rPr>
              <w:t>Epilepsy</w:t>
            </w:r>
          </w:p>
        </w:tc>
      </w:tr>
    </w:tbl>
    <w:p w14:paraId="427B1656" w14:textId="77777777" w:rsidR="001C19F3" w:rsidRPr="002C55C8" w:rsidRDefault="001C19F3" w:rsidP="001C19F3">
      <w:pPr>
        <w:pStyle w:val="Chartortablefootnote"/>
      </w:pPr>
      <w:r w:rsidRPr="002C55C8">
        <w:t xml:space="preserve">Source: </w:t>
      </w:r>
      <w:r w:rsidRPr="002C55C8">
        <w:fldChar w:fldCharType="begin"/>
      </w:r>
      <w:r w:rsidRPr="002C55C8">
        <w:instrText xml:space="preserve"> ADDIN EN.CITE &lt;EndNote&gt;&lt;Cite&gt;&lt;Author&gt;Precedence Health Care&lt;/Author&gt;&lt;Year&gt;2017&lt;/Year&gt;&lt;RecNum&gt;1035&lt;/RecNum&gt;&lt;DisplayText&gt;Precedence Health Care, 2017&lt;/DisplayText&gt;&lt;record&gt;&lt;rec-number&gt;1035&lt;/rec-number&gt;&lt;foreign-keys&gt;&lt;key app="EN" db-id="zdz9xax04zr9v0evw2nvrpw9xe9ttzvs5zsv" timestamp="1536310474"&gt;1035&lt;/key&gt;&lt;/foreign-keys&gt;&lt;ref-type name="Unpublished Work"&gt;34&lt;/ref-type&gt;&lt;contributors&gt;&lt;authors&gt;&lt;author&gt;Precedence Health Care,,&lt;/author&gt;&lt;/authors&gt;&lt;/contributors&gt;&lt;titles&gt;&lt;title&gt;Health Care Home Risk Stratification Tool Training&lt;/title&gt;&lt;/titles&gt;&lt;dates&gt;&lt;year&gt;2017&lt;/year&gt;&lt;/dates&gt;&lt;urls&gt;&lt;/urls&gt;&lt;/record&gt;&lt;/Cite&gt;&lt;/EndNote&gt;</w:instrText>
      </w:r>
      <w:r w:rsidRPr="002C55C8">
        <w:fldChar w:fldCharType="separate"/>
      </w:r>
      <w:r w:rsidRPr="002C55C8">
        <w:rPr>
          <w:noProof/>
        </w:rPr>
        <w:t>Precedence Health Care, 2017</w:t>
      </w:r>
      <w:r w:rsidRPr="002C55C8">
        <w:fldChar w:fldCharType="end"/>
      </w:r>
      <w:r>
        <w:t>.</w:t>
      </w:r>
    </w:p>
    <w:p w14:paraId="0714A6EE" w14:textId="77777777" w:rsidR="001C19F3" w:rsidRPr="002C55C8" w:rsidRDefault="001C19F3" w:rsidP="001C19F3">
      <w:r w:rsidRPr="002C55C8">
        <w:t xml:space="preserve">The </w:t>
      </w:r>
      <w:r w:rsidRPr="002C55C8">
        <w:rPr>
          <w:i/>
        </w:rPr>
        <w:t xml:space="preserve">Handbook for practices and </w:t>
      </w:r>
      <w:r>
        <w:rPr>
          <w:i/>
        </w:rPr>
        <w:t>ACCHS</w:t>
      </w:r>
      <w:r w:rsidRPr="002C55C8">
        <w:t xml:space="preserve"> (</w:t>
      </w:r>
      <w:r w:rsidRPr="002C55C8">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2C55C8">
        <w:fldChar w:fldCharType="separate"/>
      </w:r>
      <w:r>
        <w:rPr>
          <w:noProof/>
        </w:rPr>
        <w:t>Australian Government Department of Health, 2018c</w:t>
      </w:r>
      <w:r w:rsidRPr="002C55C8">
        <w:fldChar w:fldCharType="end"/>
      </w:r>
      <w:r w:rsidRPr="002C55C8">
        <w:t>) instructs HCHs to: minimise free-text when drop-down menus are appropriate; ensure that diagnoses, medications and measurements are recorded; and ensure that discharge summaries and letters are completed.</w:t>
      </w:r>
    </w:p>
    <w:p w14:paraId="3E54A917" w14:textId="77777777" w:rsidR="001C19F3" w:rsidRPr="002C55C8" w:rsidRDefault="001C19F3" w:rsidP="001C19F3">
      <w:r w:rsidRPr="002C55C8">
        <w:t>The score returned by the PRM is the probability of the patient being hospitalised within the next 12 months. Patients with a score greater than 9.7% are considered eligible and flagged for a HARP assessment. The threshold of 9.7% was set by the Patient Identification and Risk Stratification Working Group as the value where the top 40% of patients in a practice at risk of hospitalisation in the next 12 months would be included.</w:t>
      </w:r>
    </w:p>
    <w:p w14:paraId="50E7ACC6" w14:textId="77777777" w:rsidR="001C19F3" w:rsidRPr="002C55C8" w:rsidRDefault="001C19F3" w:rsidP="001C19F3">
      <w:r w:rsidRPr="002C55C8">
        <w:lastRenderedPageBreak/>
        <w:t xml:space="preserve">The </w:t>
      </w:r>
      <w:r>
        <w:t>Hospital Admissions Risk Program</w:t>
      </w:r>
      <w:r w:rsidRPr="002C55C8">
        <w:t xml:space="preserve"> (HARP) tool (</w:t>
      </w:r>
      <w:r w:rsidRPr="002C55C8">
        <w:fldChar w:fldCharType="begin"/>
      </w:r>
      <w:r>
        <w:instrText xml:space="preserve"> ADDIN EN.CITE &lt;EndNote&gt;&lt;Cite&gt;&lt;Author&gt;HARP&lt;/Author&gt;&lt;Year&gt;2009&lt;/Year&gt;&lt;RecNum&gt;1051&lt;/RecNum&gt;&lt;DisplayText&gt;HARP, 2009&lt;/DisplayText&gt;&lt;record&gt;&lt;rec-number&gt;1051&lt;/rec-number&gt;&lt;foreign-keys&gt;&lt;key app="EN" db-id="zdz9xax04zr9v0evw2nvrpw9xe9ttzvs5zsv" timestamp="1536537172"&gt;1051&lt;/key&gt;&lt;/foreign-keys&gt;&lt;ref-type name="Web Page"&gt;12&lt;/ref-type&gt;&lt;contributors&gt;&lt;authors&gt;&lt;author&gt;HARP&lt;/author&gt;&lt;/authors&gt;&lt;/contributors&gt;&lt;titles&gt;&lt;title&gt;Summary: HARP risk calculator&lt;/title&gt;&lt;/titles&gt;&lt;volume&gt;2018&lt;/volume&gt;&lt;number&gt;10 September&lt;/number&gt;&lt;dates&gt;&lt;year&gt;2009&lt;/year&gt;&lt;/dates&gt;&lt;urls&gt;&lt;related-urls&gt;&lt;url&gt;https://adma.org.au/download/western-harp-risk-calculator/&lt;/url&gt;&lt;/related-urls&gt;&lt;/urls&gt;&lt;/record&gt;&lt;/Cite&gt;&lt;/EndNote&gt;</w:instrText>
      </w:r>
      <w:r w:rsidRPr="002C55C8">
        <w:fldChar w:fldCharType="separate"/>
      </w:r>
      <w:r w:rsidRPr="002C55C8">
        <w:rPr>
          <w:noProof/>
        </w:rPr>
        <w:t>HARP, 2009</w:t>
      </w:r>
      <w:r w:rsidRPr="002C55C8">
        <w:fldChar w:fldCharType="end"/>
      </w:r>
      <w:r w:rsidRPr="002C55C8">
        <w:t xml:space="preserve">) was one of a range of tools considered by the Department of Health’s Patient Identification and Risk Stratification Working Group for the patient level assessment. The fact that this is an Australian tool used widely for chronic disease management in Australia (in Victoria over a long period of time, and more recently in NSW), was one of the deciding factors for its selection. </w:t>
      </w:r>
    </w:p>
    <w:p w14:paraId="62DC0477" w14:textId="77777777" w:rsidR="001C19F3" w:rsidRPr="002C55C8" w:rsidRDefault="001C19F3" w:rsidP="001C19F3">
      <w:pPr>
        <w:contextualSpacing/>
      </w:pPr>
      <w:r w:rsidRPr="002C55C8">
        <w:t>The HARP assessment covers:</w:t>
      </w:r>
    </w:p>
    <w:p w14:paraId="2DA42F95" w14:textId="77777777" w:rsidR="001C19F3" w:rsidRPr="002C55C8" w:rsidRDefault="001C19F3" w:rsidP="001C19F3">
      <w:pPr>
        <w:numPr>
          <w:ilvl w:val="0"/>
          <w:numId w:val="56"/>
        </w:numPr>
        <w:spacing w:after="0"/>
        <w:contextualSpacing/>
      </w:pPr>
      <w:r w:rsidRPr="002C55C8">
        <w:t>Clinical factors:</w:t>
      </w:r>
    </w:p>
    <w:p w14:paraId="0EC2459E" w14:textId="77777777" w:rsidR="001C19F3" w:rsidRPr="002C55C8" w:rsidRDefault="001C19F3" w:rsidP="001C19F3">
      <w:pPr>
        <w:numPr>
          <w:ilvl w:val="0"/>
          <w:numId w:val="55"/>
        </w:numPr>
        <w:ind w:left="993" w:hanging="284"/>
        <w:contextualSpacing/>
      </w:pPr>
      <w:r w:rsidRPr="002C55C8">
        <w:t>presenting clinical symptoms</w:t>
      </w:r>
    </w:p>
    <w:p w14:paraId="4DF573BF" w14:textId="77777777" w:rsidR="001C19F3" w:rsidRPr="002C55C8" w:rsidRDefault="001C19F3" w:rsidP="001C19F3">
      <w:pPr>
        <w:numPr>
          <w:ilvl w:val="0"/>
          <w:numId w:val="55"/>
        </w:numPr>
        <w:ind w:left="993" w:hanging="284"/>
        <w:contextualSpacing/>
      </w:pPr>
      <w:r w:rsidRPr="002C55C8">
        <w:t>service access profile</w:t>
      </w:r>
    </w:p>
    <w:p w14:paraId="5C664CD0" w14:textId="77777777" w:rsidR="001C19F3" w:rsidRPr="002C55C8" w:rsidRDefault="001C19F3" w:rsidP="001C19F3">
      <w:pPr>
        <w:numPr>
          <w:ilvl w:val="0"/>
          <w:numId w:val="55"/>
        </w:numPr>
        <w:ind w:left="993" w:hanging="284"/>
        <w:contextualSpacing/>
      </w:pPr>
      <w:r w:rsidRPr="002C55C8">
        <w:t>risk factors</w:t>
      </w:r>
    </w:p>
    <w:p w14:paraId="5B9DAD04" w14:textId="77777777" w:rsidR="001C19F3" w:rsidRPr="002C55C8" w:rsidRDefault="001C19F3" w:rsidP="001C19F3">
      <w:pPr>
        <w:numPr>
          <w:ilvl w:val="0"/>
          <w:numId w:val="55"/>
        </w:numPr>
        <w:ind w:left="993" w:hanging="284"/>
      </w:pPr>
      <w:r w:rsidRPr="002C55C8">
        <w:t>complications.</w:t>
      </w:r>
    </w:p>
    <w:p w14:paraId="4B034A0B" w14:textId="77777777" w:rsidR="001C19F3" w:rsidRPr="002C55C8" w:rsidRDefault="001C19F3" w:rsidP="001C19F3">
      <w:pPr>
        <w:numPr>
          <w:ilvl w:val="0"/>
          <w:numId w:val="56"/>
        </w:numPr>
        <w:spacing w:after="0"/>
        <w:contextualSpacing/>
      </w:pPr>
      <w:r w:rsidRPr="002C55C8">
        <w:t>Factors impinging on self management:</w:t>
      </w:r>
    </w:p>
    <w:p w14:paraId="583C6ECC" w14:textId="77777777" w:rsidR="001C19F3" w:rsidRPr="002C55C8" w:rsidRDefault="001C19F3" w:rsidP="001C19F3">
      <w:pPr>
        <w:numPr>
          <w:ilvl w:val="0"/>
          <w:numId w:val="55"/>
        </w:numPr>
        <w:ind w:left="993" w:hanging="284"/>
        <w:contextualSpacing/>
      </w:pPr>
      <w:r w:rsidRPr="002C55C8">
        <w:t>psychosocial issues</w:t>
      </w:r>
    </w:p>
    <w:p w14:paraId="21736A0B" w14:textId="77777777" w:rsidR="001C19F3" w:rsidRPr="002C55C8" w:rsidRDefault="001C19F3" w:rsidP="001C19F3">
      <w:pPr>
        <w:numPr>
          <w:ilvl w:val="0"/>
          <w:numId w:val="55"/>
        </w:numPr>
        <w:ind w:left="993" w:hanging="284"/>
      </w:pPr>
      <w:r w:rsidRPr="002C55C8">
        <w:t>self management impact.</w:t>
      </w:r>
    </w:p>
    <w:p w14:paraId="63B7EAFB" w14:textId="77777777" w:rsidR="001C19F3" w:rsidRPr="002C55C8" w:rsidRDefault="001C19F3" w:rsidP="001C19F3">
      <w:r w:rsidRPr="002C55C8">
        <w:t>The tool is reproduced at Appendix 2. The thresholds for the three tiers based on the overall HARP score are shown in the Table below.</w:t>
      </w:r>
    </w:p>
    <w:p w14:paraId="21BE87DC" w14:textId="77777777" w:rsidR="001C19F3" w:rsidRPr="002C55C8" w:rsidRDefault="001C19F3" w:rsidP="001C19F3">
      <w:pPr>
        <w:spacing w:before="200" w:after="0"/>
        <w:jc w:val="center"/>
        <w:rPr>
          <w:b/>
        </w:rPr>
      </w:pPr>
      <w:bookmarkStart w:id="240" w:name="_Ref527998546"/>
      <w:r w:rsidRPr="002C55C8">
        <w:rPr>
          <w:b/>
        </w:rPr>
        <w:t xml:space="preserve">Table </w:t>
      </w:r>
      <w:r w:rsidRPr="002C55C8">
        <w:rPr>
          <w:b/>
        </w:rPr>
        <w:fldChar w:fldCharType="begin"/>
      </w:r>
      <w:r w:rsidRPr="002C55C8">
        <w:rPr>
          <w:b/>
        </w:rPr>
        <w:instrText xml:space="preserve"> SEQ Table \* ARABIC </w:instrText>
      </w:r>
      <w:r w:rsidRPr="002C55C8">
        <w:rPr>
          <w:b/>
        </w:rPr>
        <w:fldChar w:fldCharType="separate"/>
      </w:r>
      <w:r>
        <w:rPr>
          <w:b/>
          <w:noProof/>
        </w:rPr>
        <w:t>38</w:t>
      </w:r>
      <w:r w:rsidRPr="002C55C8">
        <w:rPr>
          <w:b/>
        </w:rPr>
        <w:fldChar w:fldCharType="end"/>
      </w:r>
      <w:bookmarkEnd w:id="240"/>
      <w:r w:rsidRPr="002C55C8">
        <w:rPr>
          <w:b/>
        </w:rPr>
        <w:t xml:space="preserve"> – Tier thresholds based on the </w:t>
      </w:r>
    </w:p>
    <w:p w14:paraId="256ED33F" w14:textId="77777777" w:rsidR="001C19F3" w:rsidRPr="002C55C8" w:rsidRDefault="001C19F3" w:rsidP="001C19F3">
      <w:pPr>
        <w:spacing w:after="0"/>
        <w:jc w:val="center"/>
        <w:rPr>
          <w:b/>
        </w:rPr>
      </w:pPr>
      <w:r w:rsidRPr="002C55C8">
        <w:rPr>
          <w:b/>
        </w:rPr>
        <w:t>Hospital Admissions Risk Program (HARP) assessment</w:t>
      </w:r>
    </w:p>
    <w:tbl>
      <w:tblPr>
        <w:tblW w:w="4668"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firstRow="1" w:lastRow="0" w:firstColumn="1" w:lastColumn="0" w:noHBand="0" w:noVBand="1"/>
      </w:tblPr>
      <w:tblGrid>
        <w:gridCol w:w="1781"/>
        <w:gridCol w:w="2887"/>
      </w:tblGrid>
      <w:tr w:rsidR="001C19F3" w:rsidRPr="002C55C8" w14:paraId="23AD19A9" w14:textId="77777777" w:rsidTr="00521305">
        <w:trPr>
          <w:jc w:val="center"/>
        </w:trPr>
        <w:tc>
          <w:tcPr>
            <w:tcW w:w="1781" w:type="dxa"/>
            <w:shd w:val="clear" w:color="auto" w:fill="003D79"/>
            <w:tcMar>
              <w:top w:w="45" w:type="dxa"/>
              <w:left w:w="60" w:type="dxa"/>
              <w:bottom w:w="45" w:type="dxa"/>
              <w:right w:w="60" w:type="dxa"/>
            </w:tcMar>
            <w:vAlign w:val="center"/>
            <w:hideMark/>
          </w:tcPr>
          <w:p w14:paraId="27AAE6F0" w14:textId="77777777" w:rsidR="001C19F3" w:rsidRPr="002C55C8" w:rsidRDefault="001C19F3" w:rsidP="00521305">
            <w:pPr>
              <w:spacing w:after="0"/>
              <w:jc w:val="center"/>
              <w:rPr>
                <w:sz w:val="18"/>
                <w:szCs w:val="18"/>
              </w:rPr>
            </w:pPr>
            <w:r w:rsidRPr="002C55C8">
              <w:rPr>
                <w:b/>
                <w:bCs/>
                <w:sz w:val="18"/>
                <w:szCs w:val="18"/>
                <w:lang w:val="en-GB"/>
              </w:rPr>
              <w:t>HARP score range</w:t>
            </w:r>
          </w:p>
        </w:tc>
        <w:tc>
          <w:tcPr>
            <w:tcW w:w="2887" w:type="dxa"/>
            <w:shd w:val="clear" w:color="auto" w:fill="003D79"/>
            <w:tcMar>
              <w:top w:w="45" w:type="dxa"/>
              <w:left w:w="60" w:type="dxa"/>
              <w:bottom w:w="45" w:type="dxa"/>
              <w:right w:w="60" w:type="dxa"/>
            </w:tcMar>
            <w:vAlign w:val="center"/>
            <w:hideMark/>
          </w:tcPr>
          <w:p w14:paraId="626A50DD" w14:textId="77777777" w:rsidR="001C19F3" w:rsidRPr="002C55C8" w:rsidRDefault="001C19F3" w:rsidP="00521305">
            <w:pPr>
              <w:spacing w:after="0"/>
              <w:jc w:val="center"/>
              <w:rPr>
                <w:sz w:val="18"/>
                <w:szCs w:val="18"/>
              </w:rPr>
            </w:pPr>
            <w:r w:rsidRPr="002C55C8">
              <w:rPr>
                <w:b/>
                <w:bCs/>
                <w:sz w:val="18"/>
                <w:szCs w:val="18"/>
                <w:lang w:val="en-GB"/>
              </w:rPr>
              <w:t>HCH tier</w:t>
            </w:r>
          </w:p>
        </w:tc>
      </w:tr>
      <w:tr w:rsidR="001C19F3" w:rsidRPr="002C55C8" w14:paraId="6D08B3AC" w14:textId="77777777" w:rsidTr="00521305">
        <w:trPr>
          <w:jc w:val="center"/>
        </w:trPr>
        <w:tc>
          <w:tcPr>
            <w:tcW w:w="1781" w:type="dxa"/>
            <w:shd w:val="clear" w:color="auto" w:fill="auto"/>
            <w:tcMar>
              <w:top w:w="45" w:type="dxa"/>
              <w:left w:w="60" w:type="dxa"/>
              <w:bottom w:w="45" w:type="dxa"/>
              <w:right w:w="60" w:type="dxa"/>
            </w:tcMar>
            <w:vAlign w:val="center"/>
            <w:hideMark/>
          </w:tcPr>
          <w:p w14:paraId="42BE2709" w14:textId="77777777" w:rsidR="001C19F3" w:rsidRPr="002C55C8" w:rsidRDefault="001C19F3" w:rsidP="00521305">
            <w:pPr>
              <w:spacing w:after="0"/>
              <w:jc w:val="center"/>
              <w:rPr>
                <w:sz w:val="18"/>
                <w:szCs w:val="18"/>
              </w:rPr>
            </w:pPr>
            <w:r w:rsidRPr="002C55C8">
              <w:rPr>
                <w:sz w:val="18"/>
                <w:szCs w:val="18"/>
                <w:lang w:val="en-GB"/>
              </w:rPr>
              <w:t>0-4</w:t>
            </w:r>
          </w:p>
        </w:tc>
        <w:tc>
          <w:tcPr>
            <w:tcW w:w="2887" w:type="dxa"/>
            <w:shd w:val="clear" w:color="auto" w:fill="auto"/>
            <w:tcMar>
              <w:top w:w="45" w:type="dxa"/>
              <w:left w:w="60" w:type="dxa"/>
              <w:bottom w:w="45" w:type="dxa"/>
              <w:right w:w="60" w:type="dxa"/>
            </w:tcMar>
            <w:vAlign w:val="center"/>
            <w:hideMark/>
          </w:tcPr>
          <w:p w14:paraId="13EC586B" w14:textId="77777777" w:rsidR="001C19F3" w:rsidRPr="002C55C8" w:rsidRDefault="001C19F3" w:rsidP="00521305">
            <w:pPr>
              <w:spacing w:after="0"/>
              <w:jc w:val="center"/>
              <w:rPr>
                <w:sz w:val="18"/>
                <w:szCs w:val="18"/>
              </w:rPr>
            </w:pPr>
            <w:r w:rsidRPr="002C55C8">
              <w:rPr>
                <w:sz w:val="18"/>
                <w:szCs w:val="18"/>
                <w:lang w:val="en-GB"/>
              </w:rPr>
              <w:t>Not eligible:</w:t>
            </w:r>
            <w:r>
              <w:rPr>
                <w:sz w:val="18"/>
                <w:szCs w:val="18"/>
                <w:lang w:val="en-GB"/>
              </w:rPr>
              <w:t xml:space="preserve"> </w:t>
            </w:r>
            <w:r w:rsidRPr="002C55C8">
              <w:rPr>
                <w:sz w:val="18"/>
                <w:szCs w:val="18"/>
                <w:lang w:val="en-GB"/>
              </w:rPr>
              <w:t>below threshold</w:t>
            </w:r>
          </w:p>
        </w:tc>
      </w:tr>
      <w:tr w:rsidR="001C19F3" w:rsidRPr="002C55C8" w14:paraId="77ED5762" w14:textId="77777777" w:rsidTr="00521305">
        <w:trPr>
          <w:jc w:val="center"/>
        </w:trPr>
        <w:tc>
          <w:tcPr>
            <w:tcW w:w="1781" w:type="dxa"/>
            <w:shd w:val="clear" w:color="auto" w:fill="auto"/>
            <w:tcMar>
              <w:top w:w="45" w:type="dxa"/>
              <w:left w:w="60" w:type="dxa"/>
              <w:bottom w:w="45" w:type="dxa"/>
              <w:right w:w="60" w:type="dxa"/>
            </w:tcMar>
            <w:vAlign w:val="center"/>
            <w:hideMark/>
          </w:tcPr>
          <w:p w14:paraId="01E1AD2C" w14:textId="77777777" w:rsidR="001C19F3" w:rsidRPr="002C55C8" w:rsidRDefault="001C19F3" w:rsidP="00521305">
            <w:pPr>
              <w:spacing w:after="0"/>
              <w:jc w:val="center"/>
              <w:rPr>
                <w:sz w:val="18"/>
                <w:szCs w:val="18"/>
              </w:rPr>
            </w:pPr>
            <w:r w:rsidRPr="002C55C8">
              <w:rPr>
                <w:sz w:val="18"/>
                <w:szCs w:val="18"/>
                <w:lang w:val="en-GB"/>
              </w:rPr>
              <w:t>5-12</w:t>
            </w:r>
          </w:p>
        </w:tc>
        <w:tc>
          <w:tcPr>
            <w:tcW w:w="2887" w:type="dxa"/>
            <w:shd w:val="clear" w:color="auto" w:fill="auto"/>
            <w:tcMar>
              <w:top w:w="45" w:type="dxa"/>
              <w:left w:w="60" w:type="dxa"/>
              <w:bottom w:w="45" w:type="dxa"/>
              <w:right w:w="60" w:type="dxa"/>
            </w:tcMar>
            <w:vAlign w:val="center"/>
            <w:hideMark/>
          </w:tcPr>
          <w:p w14:paraId="49BD22D0" w14:textId="77777777" w:rsidR="001C19F3" w:rsidRPr="002C55C8" w:rsidRDefault="001C19F3" w:rsidP="00521305">
            <w:pPr>
              <w:spacing w:after="0"/>
              <w:jc w:val="center"/>
              <w:rPr>
                <w:sz w:val="18"/>
                <w:szCs w:val="18"/>
              </w:rPr>
            </w:pPr>
            <w:r w:rsidRPr="002C55C8">
              <w:rPr>
                <w:sz w:val="18"/>
                <w:szCs w:val="18"/>
                <w:lang w:val="en-GB"/>
              </w:rPr>
              <w:t>Tier 1</w:t>
            </w:r>
          </w:p>
        </w:tc>
      </w:tr>
      <w:tr w:rsidR="001C19F3" w:rsidRPr="002C55C8" w14:paraId="73CEC717" w14:textId="77777777" w:rsidTr="00521305">
        <w:trPr>
          <w:jc w:val="center"/>
        </w:trPr>
        <w:tc>
          <w:tcPr>
            <w:tcW w:w="1781" w:type="dxa"/>
            <w:shd w:val="clear" w:color="auto" w:fill="auto"/>
            <w:tcMar>
              <w:top w:w="45" w:type="dxa"/>
              <w:left w:w="60" w:type="dxa"/>
              <w:bottom w:w="45" w:type="dxa"/>
              <w:right w:w="60" w:type="dxa"/>
            </w:tcMar>
            <w:vAlign w:val="center"/>
            <w:hideMark/>
          </w:tcPr>
          <w:p w14:paraId="673E48EE" w14:textId="77777777" w:rsidR="001C19F3" w:rsidRPr="002C55C8" w:rsidRDefault="001C19F3" w:rsidP="00521305">
            <w:pPr>
              <w:spacing w:after="0"/>
              <w:jc w:val="center"/>
              <w:rPr>
                <w:sz w:val="18"/>
                <w:szCs w:val="18"/>
              </w:rPr>
            </w:pPr>
            <w:r w:rsidRPr="002C55C8">
              <w:rPr>
                <w:sz w:val="18"/>
                <w:szCs w:val="18"/>
                <w:lang w:val="en-GB"/>
              </w:rPr>
              <w:t>13-23</w:t>
            </w:r>
          </w:p>
        </w:tc>
        <w:tc>
          <w:tcPr>
            <w:tcW w:w="2887" w:type="dxa"/>
            <w:shd w:val="clear" w:color="auto" w:fill="auto"/>
            <w:tcMar>
              <w:top w:w="45" w:type="dxa"/>
              <w:left w:w="60" w:type="dxa"/>
              <w:bottom w:w="45" w:type="dxa"/>
              <w:right w:w="60" w:type="dxa"/>
            </w:tcMar>
            <w:vAlign w:val="center"/>
            <w:hideMark/>
          </w:tcPr>
          <w:p w14:paraId="5B80B5E4" w14:textId="77777777" w:rsidR="001C19F3" w:rsidRPr="002C55C8" w:rsidRDefault="001C19F3" w:rsidP="00521305">
            <w:pPr>
              <w:spacing w:after="0"/>
              <w:jc w:val="center"/>
              <w:rPr>
                <w:sz w:val="18"/>
                <w:szCs w:val="18"/>
              </w:rPr>
            </w:pPr>
            <w:r w:rsidRPr="002C55C8">
              <w:rPr>
                <w:sz w:val="18"/>
                <w:szCs w:val="18"/>
                <w:lang w:val="en-GB"/>
              </w:rPr>
              <w:t>Tier 2</w:t>
            </w:r>
          </w:p>
        </w:tc>
      </w:tr>
      <w:tr w:rsidR="001C19F3" w:rsidRPr="002C55C8" w14:paraId="524283AA" w14:textId="77777777" w:rsidTr="00521305">
        <w:trPr>
          <w:jc w:val="center"/>
        </w:trPr>
        <w:tc>
          <w:tcPr>
            <w:tcW w:w="1781" w:type="dxa"/>
            <w:shd w:val="clear" w:color="auto" w:fill="auto"/>
            <w:tcMar>
              <w:top w:w="45" w:type="dxa"/>
              <w:left w:w="60" w:type="dxa"/>
              <w:bottom w:w="45" w:type="dxa"/>
              <w:right w:w="60" w:type="dxa"/>
            </w:tcMar>
            <w:vAlign w:val="center"/>
            <w:hideMark/>
          </w:tcPr>
          <w:p w14:paraId="5EB8A056" w14:textId="77777777" w:rsidR="001C19F3" w:rsidRPr="002C55C8" w:rsidRDefault="001C19F3" w:rsidP="00521305">
            <w:pPr>
              <w:spacing w:after="0"/>
              <w:jc w:val="center"/>
              <w:rPr>
                <w:sz w:val="18"/>
                <w:szCs w:val="18"/>
              </w:rPr>
            </w:pPr>
            <w:r w:rsidRPr="002C55C8">
              <w:rPr>
                <w:sz w:val="18"/>
                <w:szCs w:val="18"/>
                <w:lang w:val="en-GB"/>
              </w:rPr>
              <w:t>24+</w:t>
            </w:r>
          </w:p>
        </w:tc>
        <w:tc>
          <w:tcPr>
            <w:tcW w:w="2887" w:type="dxa"/>
            <w:shd w:val="clear" w:color="auto" w:fill="auto"/>
            <w:tcMar>
              <w:top w:w="45" w:type="dxa"/>
              <w:left w:w="60" w:type="dxa"/>
              <w:bottom w:w="45" w:type="dxa"/>
              <w:right w:w="60" w:type="dxa"/>
            </w:tcMar>
            <w:vAlign w:val="center"/>
            <w:hideMark/>
          </w:tcPr>
          <w:p w14:paraId="6BEBDB21" w14:textId="77777777" w:rsidR="001C19F3" w:rsidRPr="002C55C8" w:rsidRDefault="001C19F3" w:rsidP="00521305">
            <w:pPr>
              <w:spacing w:after="0"/>
              <w:jc w:val="center"/>
              <w:rPr>
                <w:sz w:val="18"/>
                <w:szCs w:val="18"/>
              </w:rPr>
            </w:pPr>
            <w:r w:rsidRPr="002C55C8">
              <w:rPr>
                <w:sz w:val="18"/>
                <w:szCs w:val="18"/>
                <w:lang w:val="en-GB"/>
              </w:rPr>
              <w:t>Tier 3</w:t>
            </w:r>
          </w:p>
        </w:tc>
      </w:tr>
    </w:tbl>
    <w:p w14:paraId="5CC1E234" w14:textId="77777777" w:rsidR="001C19F3" w:rsidRPr="002C55C8" w:rsidRDefault="001C19F3" w:rsidP="001C19F3">
      <w:pPr>
        <w:pStyle w:val="Chartortablefootnote"/>
      </w:pPr>
      <w:r w:rsidRPr="002C55C8">
        <w:t> Source: Department of Health interview</w:t>
      </w:r>
      <w:r>
        <w:t>.</w:t>
      </w:r>
    </w:p>
    <w:p w14:paraId="150FCFBE" w14:textId="77777777" w:rsidR="001C19F3" w:rsidRPr="002C55C8" w:rsidRDefault="001C19F3" w:rsidP="001C19F3">
      <w:r w:rsidRPr="002C55C8">
        <w:t>The certificate generated by the RST is valid for 12 months. GPs can review the risk tier level when the certificate expires by repeating the risk stratification process. A GP can also review a patient’s risk tier if there is a significant change in the patient’s chronic condition within the 12 months. The HPOS bi-annual patient confirmation process requires the HCH to confirm the accuracy of each patient’s enrolment details every six months, including the risk tier assigned by the RST (</w:t>
      </w:r>
      <w:r w:rsidRPr="002C55C8">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2C55C8">
        <w:fldChar w:fldCharType="separate"/>
      </w:r>
      <w:r>
        <w:rPr>
          <w:noProof/>
        </w:rPr>
        <w:t>Australian Government Department of Health, 2018c</w:t>
      </w:r>
      <w:r w:rsidRPr="002C55C8">
        <w:fldChar w:fldCharType="end"/>
      </w:r>
      <w:r w:rsidRPr="002C55C8">
        <w:t>).</w:t>
      </w:r>
    </w:p>
    <w:p w14:paraId="1AA16040" w14:textId="77777777" w:rsidR="001C19F3" w:rsidRPr="002C55C8" w:rsidRDefault="001C19F3" w:rsidP="001C19F3">
      <w:r w:rsidRPr="002C55C8">
        <w:t>A feature of the RST is an override mechanism. If a GP encounters a patient who in his/ her clinical opinion is at risk but is not identified as such by the tool, the GP can initiate a HARP assessment. They do this by selecting ‘Start HCH Assessment’ from the Precedence Connector menu (</w:t>
      </w:r>
      <w:r w:rsidRPr="002C55C8">
        <w:fldChar w:fldCharType="begin"/>
      </w:r>
      <w:r w:rsidRPr="002C55C8">
        <w:instrText xml:space="preserve"> ADDIN EN.CITE &lt;EndNote&gt;&lt;Cite&gt;&lt;Author&gt;Precedence Health Care&lt;/Author&gt;&lt;Year&gt;2017&lt;/Year&gt;&lt;RecNum&gt;1035&lt;/RecNum&gt;&lt;DisplayText&gt;Precedence Health Care, 2017&lt;/DisplayText&gt;&lt;record&gt;&lt;rec-number&gt;1035&lt;/rec-number&gt;&lt;foreign-keys&gt;&lt;key app="EN" db-id="zdz9xax04zr9v0evw2nvrpw9xe9ttzvs5zsv" timestamp="1536310474"&gt;1035&lt;/key&gt;&lt;/foreign-keys&gt;&lt;ref-type name="Unpublished Work"&gt;34&lt;/ref-type&gt;&lt;contributors&gt;&lt;authors&gt;&lt;author&gt;Precedence Health Care,,&lt;/author&gt;&lt;/authors&gt;&lt;/contributors&gt;&lt;titles&gt;&lt;title&gt;Health Care Home Risk Stratification Tool Training&lt;/title&gt;&lt;/titles&gt;&lt;dates&gt;&lt;year&gt;2017&lt;/year&gt;&lt;/dates&gt;&lt;urls&gt;&lt;/urls&gt;&lt;/record&gt;&lt;/Cite&gt;&lt;/EndNote&gt;</w:instrText>
      </w:r>
      <w:r w:rsidRPr="002C55C8">
        <w:fldChar w:fldCharType="separate"/>
      </w:r>
      <w:r w:rsidRPr="002C55C8">
        <w:rPr>
          <w:noProof/>
        </w:rPr>
        <w:t>Precedence Health Care, 2017</w:t>
      </w:r>
      <w:r w:rsidRPr="002C55C8">
        <w:fldChar w:fldCharType="end"/>
      </w:r>
      <w:r w:rsidRPr="002C55C8">
        <w:t>). In this screen the clinician needs to provide a reason that the patient meets the clinical level of risk for inclusion in HCH. This must be specific, and not due to errors or omission in the HCH’s clinical management system (if the latter, the errors and omissions must be addressed and the tool re-run).</w:t>
      </w:r>
    </w:p>
    <w:p w14:paraId="3BF641E1" w14:textId="77777777" w:rsidR="001C19F3" w:rsidRPr="002C55C8" w:rsidRDefault="001C19F3" w:rsidP="001C19F3">
      <w:r w:rsidRPr="002C55C8">
        <w:t>Of the information passed onto cdmNet, Precedence saves the following variables to help improve the tool:</w:t>
      </w:r>
    </w:p>
    <w:p w14:paraId="714A2B47" w14:textId="77777777" w:rsidR="001C19F3" w:rsidRPr="002C55C8" w:rsidRDefault="001C19F3" w:rsidP="001C19F3">
      <w:pPr>
        <w:numPr>
          <w:ilvl w:val="0"/>
          <w:numId w:val="52"/>
        </w:numPr>
        <w:contextualSpacing/>
      </w:pPr>
      <w:r w:rsidRPr="002C55C8">
        <w:t>certificate number</w:t>
      </w:r>
    </w:p>
    <w:p w14:paraId="456B3B21" w14:textId="77777777" w:rsidR="001C19F3" w:rsidRPr="002C55C8" w:rsidRDefault="001C19F3" w:rsidP="001C19F3">
      <w:pPr>
        <w:numPr>
          <w:ilvl w:val="0"/>
          <w:numId w:val="52"/>
        </w:numPr>
        <w:contextualSpacing/>
      </w:pPr>
      <w:r w:rsidRPr="002C55C8">
        <w:t>creation date</w:t>
      </w:r>
    </w:p>
    <w:p w14:paraId="3DC8300A" w14:textId="77777777" w:rsidR="001C19F3" w:rsidRPr="002C55C8" w:rsidRDefault="001C19F3" w:rsidP="001C19F3">
      <w:pPr>
        <w:numPr>
          <w:ilvl w:val="0"/>
          <w:numId w:val="52"/>
        </w:numPr>
        <w:contextualSpacing/>
      </w:pPr>
      <w:r w:rsidRPr="002C55C8">
        <w:t>expiry date</w:t>
      </w:r>
    </w:p>
    <w:p w14:paraId="43E7BB4F" w14:textId="77777777" w:rsidR="001C19F3" w:rsidRPr="002C55C8" w:rsidRDefault="001C19F3" w:rsidP="001C19F3">
      <w:pPr>
        <w:numPr>
          <w:ilvl w:val="0"/>
          <w:numId w:val="52"/>
        </w:numPr>
        <w:contextualSpacing/>
      </w:pPr>
      <w:r w:rsidRPr="002C55C8">
        <w:lastRenderedPageBreak/>
        <w:t>patient hash (anonymous ID)</w:t>
      </w:r>
    </w:p>
    <w:p w14:paraId="2C09B113" w14:textId="77777777" w:rsidR="001C19F3" w:rsidRPr="002C55C8" w:rsidRDefault="001C19F3" w:rsidP="001C19F3">
      <w:pPr>
        <w:numPr>
          <w:ilvl w:val="0"/>
          <w:numId w:val="52"/>
        </w:numPr>
        <w:contextualSpacing/>
      </w:pPr>
      <w:r w:rsidRPr="002C55C8">
        <w:t>organisation ID (practice ID)</w:t>
      </w:r>
    </w:p>
    <w:p w14:paraId="0ADAE48C" w14:textId="77777777" w:rsidR="001C19F3" w:rsidRPr="002C55C8" w:rsidRDefault="001C19F3" w:rsidP="001C19F3">
      <w:pPr>
        <w:numPr>
          <w:ilvl w:val="0"/>
          <w:numId w:val="52"/>
        </w:numPr>
        <w:contextualSpacing/>
      </w:pPr>
      <w:r w:rsidRPr="002C55C8">
        <w:t>creator ID (unique ID of clinician logged into the system undertaking the HARP assessment)</w:t>
      </w:r>
    </w:p>
    <w:p w14:paraId="0A7E7CA5" w14:textId="77777777" w:rsidR="001C19F3" w:rsidRPr="002C55C8" w:rsidRDefault="001C19F3" w:rsidP="001C19F3">
      <w:pPr>
        <w:numPr>
          <w:ilvl w:val="0"/>
          <w:numId w:val="52"/>
        </w:numPr>
        <w:contextualSpacing/>
      </w:pPr>
      <w:r w:rsidRPr="002C55C8">
        <w:t>risk stratification score (score generated by PRM)</w:t>
      </w:r>
    </w:p>
    <w:p w14:paraId="318078BE" w14:textId="77777777" w:rsidR="001C19F3" w:rsidRPr="002C55C8" w:rsidRDefault="001C19F3" w:rsidP="001C19F3">
      <w:pPr>
        <w:numPr>
          <w:ilvl w:val="0"/>
          <w:numId w:val="52"/>
        </w:numPr>
        <w:contextualSpacing/>
      </w:pPr>
      <w:r w:rsidRPr="002C55C8">
        <w:t>HARP score</w:t>
      </w:r>
    </w:p>
    <w:p w14:paraId="28A4F0B5" w14:textId="77777777" w:rsidR="001C19F3" w:rsidRPr="002C55C8" w:rsidRDefault="001C19F3" w:rsidP="001C19F3">
      <w:pPr>
        <w:numPr>
          <w:ilvl w:val="0"/>
          <w:numId w:val="52"/>
        </w:numPr>
        <w:contextualSpacing/>
      </w:pPr>
      <w:r w:rsidRPr="002C55C8">
        <w:t>HCH risk tier</w:t>
      </w:r>
    </w:p>
    <w:p w14:paraId="5AB327DE" w14:textId="77777777" w:rsidR="001C19F3" w:rsidRPr="002C55C8" w:rsidRDefault="001C19F3" w:rsidP="001C19F3">
      <w:pPr>
        <w:numPr>
          <w:ilvl w:val="0"/>
          <w:numId w:val="52"/>
        </w:numPr>
        <w:ind w:left="714" w:hanging="357"/>
      </w:pPr>
      <w:r w:rsidRPr="002C55C8">
        <w:t>reason (if not determined 'at risk' by the PRM and the override function is used by the clinician).</w:t>
      </w:r>
    </w:p>
    <w:p w14:paraId="260D60DE" w14:textId="77777777" w:rsidR="001C19F3" w:rsidRPr="002C55C8" w:rsidRDefault="001C19F3" w:rsidP="001C19F3">
      <w:r w:rsidRPr="002C55C8">
        <w:t xml:space="preserve">Prior to the tool being implemented, CSIRO needed to validate the PRM. Since one of the key things that the PRM predicts is admission to hospital, this could only be done using linked primary care and hospital data. The initial validation was done with hospitalisation data from a private health insurer. However, this was not representative of the appropriate cohort because of the relatively lower average age of the people insured with the particular insurer and lower prevalence of chronic disease amongst the group compared with the general population. Subsequently data was obtained from the state of Victoria. </w:t>
      </w:r>
    </w:p>
    <w:p w14:paraId="6A49E9BB" w14:textId="77777777" w:rsidR="001C19F3" w:rsidRPr="002C55C8" w:rsidRDefault="001C19F3" w:rsidP="001C19F3">
      <w:r w:rsidRPr="002C55C8">
        <w:t>The PRM was not validated by 1 October 2017 when the first wave of practices began as HCHs. Instead, the Department instructed HCHs to use an interim</w:t>
      </w:r>
      <w:r>
        <w:t xml:space="preserve"> –</w:t>
      </w:r>
      <w:r w:rsidRPr="002C55C8">
        <w:t>‘threshold’</w:t>
      </w:r>
      <w:r>
        <w:t xml:space="preserve"> – </w:t>
      </w:r>
      <w:r w:rsidRPr="002C55C8">
        <w:t>approach to identify potentially eligible patients (step 1 in the two-step process described above). Patients deemed suitable for enrolment were 45 years or older (or 35 years or older if Aboriginal and/ or Torres Strait Islander) with two or more chronic diseases. The second step would be the same as planned</w:t>
      </w:r>
      <w:r>
        <w:t xml:space="preserve"> – </w:t>
      </w:r>
      <w:r w:rsidRPr="002C55C8">
        <w:t>using the HARP assessment. This interim approach was only used for a small number of the initial enrolments</w:t>
      </w:r>
      <w:r>
        <w:t xml:space="preserve"> – </w:t>
      </w:r>
      <w:r w:rsidRPr="002C55C8">
        <w:t>approximately 70</w:t>
      </w:r>
      <w:r>
        <w:t xml:space="preserve"> – </w:t>
      </w:r>
      <w:r w:rsidRPr="002C55C8">
        <w:t>as the validated tool was available from 4 December 2017.</w:t>
      </w:r>
    </w:p>
    <w:p w14:paraId="309896E8" w14:textId="77777777" w:rsidR="001C19F3" w:rsidRDefault="001C19F3" w:rsidP="001C19F3">
      <w:r w:rsidRPr="002C55C8">
        <w:t xml:space="preserve">In August 2018 the Department re-instigated the threshold approach for some </w:t>
      </w:r>
      <w:r>
        <w:t>ACCHS</w:t>
      </w:r>
      <w:r w:rsidRPr="002C55C8">
        <w:t xml:space="preserve"> in the NT. This was due to the reluctance of the services to implement the tool following the problems experienced by some services due to the interaction of the RST with other practice IT systems. </w:t>
      </w:r>
    </w:p>
    <w:p w14:paraId="68E2124D" w14:textId="77777777" w:rsidR="001C19F3" w:rsidRPr="002C55C8" w:rsidRDefault="001C19F3" w:rsidP="001C19F3">
      <w:r>
        <w:t>Details of the RST were published earlier this year (</w:t>
      </w:r>
      <w:r>
        <w:fldChar w:fldCharType="begin"/>
      </w:r>
      <w:r>
        <w:instrText xml:space="preserve"> ADDIN EN.CITE &lt;EndNote&gt;&lt;Cite&gt;&lt;Author&gt;Khanna&lt;/Author&gt;&lt;Year&gt;2019&lt;/Year&gt;&lt;RecNum&gt;1124&lt;/RecNum&gt;&lt;DisplayText&gt;Khanna, Rolls, Boyle et al., 2019&lt;/DisplayText&gt;&lt;record&gt;&lt;rec-number&gt;1124&lt;/rec-number&gt;&lt;foreign-keys&gt;&lt;key app="EN" db-id="zdz9xax04zr9v0evw2nvrpw9xe9ttzvs5zsv" timestamp="1570081645"&gt;1124&lt;/key&gt;&lt;/foreign-keys&gt;&lt;ref-type name="Journal Article"&gt;17&lt;/ref-type&gt;&lt;contributors&gt;&lt;authors&gt;&lt;author&gt;Khanna, S.&lt;/author&gt;&lt;author&gt;Rolls, D. A.&lt;/author&gt;&lt;author&gt;Boyle, J.&lt;/author&gt;&lt;author&gt;Xie, Y.&lt;/author&gt;&lt;author&gt;Jayasena, R.&lt;/author&gt;&lt;author&gt;Hibbert, M.&lt;/author&gt;&lt;author&gt;Georgeff, M.&lt;/author&gt;&lt;/authors&gt;&lt;/contributors&gt;&lt;auth-address&gt;CSIRO Australian e-Health Research Centre, Brisbane, QLD 4029, Australia. Sankalp.Khanna@csiro.au.&amp;#xD;CSIRO Australian e-Health Research Centre, Melbourne, VIC 3052, Australia.&amp;#xD;CSIRO Australian e-Health Research Centre, Brisbane, QLD 4029, Australia.&amp;#xD;CSIRO Australian e-Health Research Centre, Sydney, NSW 2122, Australia.&amp;#xD;Precedence Health Care, Melbourne, VIC 3000, Australia.&lt;/auth-address&gt;&lt;titles&gt;&lt;title&gt;A risk stratification tool for hospitalisation in Australia using primary care data&lt;/title&gt;&lt;secondary-title&gt;Sci Rep&lt;/secondary-title&gt;&lt;/titles&gt;&lt;periodical&gt;&lt;full-title&gt;Sci Rep&lt;/full-title&gt;&lt;/periodical&gt;&lt;pages&gt;5011&lt;/pages&gt;&lt;volume&gt;9&lt;/volume&gt;&lt;number&gt;1&lt;/number&gt;&lt;dates&gt;&lt;year&gt;2019&lt;/year&gt;&lt;pub-dates&gt;&lt;date&gt;Mar 21&lt;/date&gt;&lt;/pub-dates&gt;&lt;/dates&gt;&lt;isbn&gt;2045-2322 (Electronic)&amp;#xD;2045-2322 (Linking)&lt;/isbn&gt;&lt;accession-num&gt;30899054&lt;/accession-num&gt;&lt;urls&gt;&lt;related-urls&gt;&lt;url&gt;https://www.ncbi.nlm.nih.gov/pubmed/30899054&lt;/url&gt;&lt;/related-urls&gt;&lt;/urls&gt;&lt;custom2&gt;PMC6428894&lt;/custom2&gt;&lt;electronic-resource-num&gt;10.1038/s41598-019-41383-y&lt;/electronic-resource-num&gt;&lt;/record&gt;&lt;/Cite&gt;&lt;/EndNote&gt;</w:instrText>
      </w:r>
      <w:r>
        <w:fldChar w:fldCharType="separate"/>
      </w:r>
      <w:r>
        <w:rPr>
          <w:noProof/>
        </w:rPr>
        <w:t>Khanna, Rolls, Boyle et al., 2019</w:t>
      </w:r>
      <w:r>
        <w:fldChar w:fldCharType="end"/>
      </w:r>
      <w:r>
        <w:t>).</w:t>
      </w:r>
    </w:p>
    <w:p w14:paraId="43E513E0" w14:textId="77777777" w:rsidR="001C19F3" w:rsidRDefault="001C19F3" w:rsidP="001C19F3">
      <w:pPr>
        <w:pStyle w:val="Heading2"/>
        <w:rPr>
          <w:rFonts w:eastAsia="Times New Roman"/>
        </w:rPr>
      </w:pPr>
      <w:bookmarkStart w:id="241" w:name="_Toc27056568"/>
      <w:r>
        <w:rPr>
          <w:rFonts w:eastAsia="Times New Roman"/>
        </w:rPr>
        <w:t>Initial data from the tool</w:t>
      </w:r>
      <w:bookmarkEnd w:id="241"/>
    </w:p>
    <w:p w14:paraId="46385489" w14:textId="77777777" w:rsidR="001C19F3" w:rsidRDefault="001C19F3" w:rsidP="001C19F3">
      <w:pPr>
        <w:rPr>
          <w:rFonts w:cstheme="minorHAnsi"/>
          <w:szCs w:val="20"/>
        </w:rPr>
      </w:pPr>
      <w:r>
        <w:t>D</w:t>
      </w:r>
      <w:r w:rsidRPr="00547922">
        <w:t xml:space="preserve">e-identified data </w:t>
      </w:r>
      <w:r>
        <w:t xml:space="preserve">were </w:t>
      </w:r>
      <w:r w:rsidRPr="00547922">
        <w:t>provided to the evaluation team in early September 2019 for analysis for the evaluation.</w:t>
      </w:r>
      <w:r>
        <w:t xml:space="preserve"> </w:t>
      </w:r>
      <w:r w:rsidRPr="00547922">
        <w:t xml:space="preserve">The data supplied relate to items and risk scores for the two stages of the risk stratification process the predictive risk model (PRM) and the Western HARP Risk Calculator (the HARP) </w:t>
      </w:r>
      <w:bookmarkStart w:id="242" w:name="_Hlk26968776"/>
      <w:r w:rsidRPr="00547922">
        <w:t>(</w:t>
      </w:r>
      <w:r>
        <w:fldChar w:fldCharType="begin"/>
      </w:r>
      <w:r>
        <w:instrText xml:space="preserve"> ADDIN EN.CITE &lt;EndNote&gt;&lt;Cite&gt;&lt;Author&gt;HARP&lt;/Author&gt;&lt;Year&gt;2009&lt;/Year&gt;&lt;RecNum&gt;1051&lt;/RecNum&gt;&lt;DisplayText&gt;HARP, 2009&lt;/DisplayText&gt;&lt;record&gt;&lt;rec-number&gt;1051&lt;/rec-number&gt;&lt;foreign-keys&gt;&lt;key app="EN" db-id="zdz9xax04zr9v0evw2nvrpw9xe9ttzvs5zsv" timestamp="1536537172"&gt;1051&lt;/key&gt;&lt;/foreign-keys&gt;&lt;ref-type name="Web Page"&gt;12&lt;/ref-type&gt;&lt;contributors&gt;&lt;authors&gt;&lt;author&gt;HARP&lt;/author&gt;&lt;/authors&gt;&lt;/contributors&gt;&lt;titles&gt;&lt;title&gt;Summary: HARP risk calculator&lt;/title&gt;&lt;/titles&gt;&lt;volume&gt;2018&lt;/volume&gt;&lt;number&gt;10 September&lt;/number&gt;&lt;dates&gt;&lt;year&gt;2009&lt;/year&gt;&lt;/dates&gt;&lt;urls&gt;&lt;related-urls&gt;&lt;url&gt;https://adma.org.au/download/western-harp-risk-calculator/&lt;/url&gt;&lt;/related-urls&gt;&lt;/urls&gt;&lt;/record&gt;&lt;/Cite&gt;&lt;/EndNote&gt;</w:instrText>
      </w:r>
      <w:r>
        <w:fldChar w:fldCharType="separate"/>
      </w:r>
      <w:r>
        <w:rPr>
          <w:noProof/>
        </w:rPr>
        <w:t>HARP, 2009</w:t>
      </w:r>
      <w:r>
        <w:fldChar w:fldCharType="end"/>
      </w:r>
      <w:r w:rsidRPr="00547922">
        <w:t>)</w:t>
      </w:r>
      <w:bookmarkEnd w:id="242"/>
      <w:r w:rsidRPr="00547922">
        <w:t xml:space="preserve">. These reflect the two stages of the process involved in determining eligibility for HCH and the HCH </w:t>
      </w:r>
      <w:r>
        <w:t>t</w:t>
      </w:r>
      <w:r w:rsidRPr="00547922">
        <w:t>ier.</w:t>
      </w:r>
      <w:r>
        <w:t xml:space="preserve"> </w:t>
      </w:r>
      <w:r>
        <w:rPr>
          <w:rFonts w:cstheme="minorHAnsi"/>
          <w:szCs w:val="20"/>
        </w:rPr>
        <w:t xml:space="preserve">More </w:t>
      </w:r>
      <w:r w:rsidRPr="00EF65CA">
        <w:rPr>
          <w:rFonts w:cstheme="minorHAnsi"/>
          <w:szCs w:val="20"/>
        </w:rPr>
        <w:t>detailed</w:t>
      </w:r>
      <w:r>
        <w:rPr>
          <w:rFonts w:cstheme="minorHAnsi"/>
          <w:szCs w:val="20"/>
        </w:rPr>
        <w:t xml:space="preserve"> analyses are presented in Volume 4 (Chapter 7 and Appendix 5).</w:t>
      </w:r>
    </w:p>
    <w:p w14:paraId="7A0FF5A4" w14:textId="77777777" w:rsidR="001C19F3" w:rsidRPr="00822044" w:rsidRDefault="001C19F3" w:rsidP="001C19F3">
      <w:r w:rsidRPr="00D157CC">
        <w:rPr>
          <w:rFonts w:cstheme="minorHAnsi"/>
          <w:szCs w:val="20"/>
        </w:rPr>
        <w:t>The overall mean for PRM scores was 0.183 (an 18% probability of hospital admission in the next year) and median 0.137</w:t>
      </w:r>
      <w:r>
        <w:rPr>
          <w:rFonts w:cstheme="minorHAnsi"/>
          <w:szCs w:val="20"/>
        </w:rPr>
        <w:t xml:space="preserve"> (a 14% probability)</w:t>
      </w:r>
      <w:r w:rsidRPr="00D157CC">
        <w:rPr>
          <w:rFonts w:cstheme="minorHAnsi"/>
          <w:szCs w:val="20"/>
        </w:rPr>
        <w:t xml:space="preserve">. The mean ranges from 0.146 for Tier 1, 0.168 for Tier 2 and 0.225 for Tier 3. </w:t>
      </w:r>
      <w:r w:rsidRPr="00D157CC">
        <w:fldChar w:fldCharType="begin"/>
      </w:r>
      <w:r w:rsidRPr="00D157CC">
        <w:instrText xml:space="preserve"> REF _Ref21007966 \h  \* MERGEFORMAT </w:instrText>
      </w:r>
      <w:r w:rsidRPr="00D157CC">
        <w:fldChar w:fldCharType="separate"/>
      </w:r>
    </w:p>
    <w:p w14:paraId="514F87AB" w14:textId="77777777" w:rsidR="001C19F3" w:rsidRPr="00476E9E" w:rsidRDefault="001C19F3" w:rsidP="001C19F3">
      <w:r w:rsidRPr="00822044">
        <w:t xml:space="preserve">Figure </w:t>
      </w:r>
      <w:r w:rsidRPr="00822044">
        <w:rPr>
          <w:noProof/>
          <w:szCs w:val="20"/>
        </w:rPr>
        <w:t>13</w:t>
      </w:r>
      <w:r w:rsidRPr="00D157CC">
        <w:fldChar w:fldCharType="end"/>
      </w:r>
      <w:r w:rsidRPr="008E0E3C">
        <w:t xml:space="preserve"> shows density plots for the PRM scores for HCH patients</w:t>
      </w:r>
      <w:r>
        <w:t>.</w:t>
      </w:r>
      <w:r w:rsidRPr="008E0E3C">
        <w:t xml:space="preserve"> Most patients have a risk of 0.25 or below (25% chance) of being hospitalised in the next 12 months. </w:t>
      </w:r>
      <w:r w:rsidRPr="00FB143C">
        <w:t xml:space="preserve">There was overlap across the tiers, but patients </w:t>
      </w:r>
      <w:r>
        <w:t>that were assigned to a higher tier in the second step of the risk process</w:t>
      </w:r>
      <w:r w:rsidRPr="00FB143C">
        <w:t xml:space="preserve"> were more likely to have a higher risk</w:t>
      </w:r>
      <w:r>
        <w:t xml:space="preserve"> of hospitalisation</w:t>
      </w:r>
      <w:r w:rsidRPr="008E0E3C">
        <w:t>.</w:t>
      </w:r>
      <w:bookmarkStart w:id="243" w:name="_Ref20931557"/>
    </w:p>
    <w:bookmarkEnd w:id="243"/>
    <w:p w14:paraId="731484F5" w14:textId="77777777" w:rsidR="001C19F3" w:rsidRDefault="001C19F3" w:rsidP="001C19F3">
      <w:pPr>
        <w:spacing w:after="0"/>
        <w:jc w:val="center"/>
        <w:rPr>
          <w:b/>
          <w:szCs w:val="20"/>
        </w:rPr>
      </w:pPr>
      <w:r w:rsidRPr="00B35200">
        <w:rPr>
          <w:rFonts w:cstheme="minorHAnsi"/>
          <w:noProof/>
          <w:szCs w:val="20"/>
          <w:lang w:eastAsia="en-AU"/>
        </w:rPr>
        <w:lastRenderedPageBreak/>
        <w:drawing>
          <wp:inline distT="0" distB="0" distL="0" distR="0" wp14:anchorId="03682C12" wp14:editId="4E6F5ECB">
            <wp:extent cx="4752975" cy="3429000"/>
            <wp:effectExtent l="0" t="0" r="9525" b="0"/>
            <wp:docPr id="11" name="Picture 11" descr="S:\Consultancy Projects\Finalised projects 2017\2016-046 DoH Evaluation of Health Care Homes\13.0 Data\R_HCH\output\Figures\Interim2019\RST_PRMscore_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nsultancy Projects\Finalised projects 2017\2016-046 DoH Evaluation of Health Care Homes\13.0 Data\R_HCH\output\Figures\Interim2019\RST_PRMscore_density.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52975" cy="3429000"/>
                    </a:xfrm>
                    <a:prstGeom prst="rect">
                      <a:avLst/>
                    </a:prstGeom>
                    <a:noFill/>
                    <a:ln>
                      <a:noFill/>
                    </a:ln>
                  </pic:spPr>
                </pic:pic>
              </a:graphicData>
            </a:graphic>
          </wp:inline>
        </w:drawing>
      </w:r>
      <w:bookmarkStart w:id="244" w:name="_Ref21007966"/>
    </w:p>
    <w:p w14:paraId="753DA309" w14:textId="77777777" w:rsidR="001C19F3" w:rsidRDefault="001C19F3" w:rsidP="001C19F3">
      <w:pPr>
        <w:spacing w:after="0"/>
        <w:jc w:val="center"/>
        <w:rPr>
          <w:b/>
          <w:szCs w:val="20"/>
        </w:rPr>
      </w:pPr>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Pr>
          <w:b/>
          <w:noProof/>
          <w:szCs w:val="20"/>
        </w:rPr>
        <w:t>13</w:t>
      </w:r>
      <w:r>
        <w:rPr>
          <w:b/>
          <w:szCs w:val="20"/>
        </w:rPr>
        <w:fldChar w:fldCharType="end"/>
      </w:r>
      <w:bookmarkEnd w:id="244"/>
      <w:r w:rsidRPr="00E76010">
        <w:rPr>
          <w:b/>
          <w:szCs w:val="20"/>
        </w:rPr>
        <w:t xml:space="preserve"> – </w:t>
      </w:r>
      <w:r w:rsidRPr="00476E9E">
        <w:rPr>
          <w:b/>
          <w:szCs w:val="20"/>
        </w:rPr>
        <w:t xml:space="preserve">Distribution of </w:t>
      </w:r>
      <w:r>
        <w:rPr>
          <w:b/>
          <w:szCs w:val="20"/>
        </w:rPr>
        <w:t xml:space="preserve">PRM </w:t>
      </w:r>
      <w:r w:rsidRPr="00476E9E">
        <w:rPr>
          <w:b/>
          <w:szCs w:val="20"/>
        </w:rPr>
        <w:t>risk scores by HCH tier</w:t>
      </w:r>
    </w:p>
    <w:p w14:paraId="58A4902C" w14:textId="77777777" w:rsidR="001C19F3" w:rsidRPr="00476E9E" w:rsidRDefault="001C19F3" w:rsidP="001C19F3">
      <w:pPr>
        <w:pStyle w:val="Chartortablefootnote"/>
      </w:pPr>
      <w:bookmarkStart w:id="245" w:name="_Hlk27041801"/>
      <w:r>
        <w:t xml:space="preserve">Source: </w:t>
      </w:r>
      <w:bookmarkStart w:id="246" w:name="_Hlk27054172"/>
      <w:r w:rsidRPr="00A05815">
        <w:t xml:space="preserve">Risk stratification data </w:t>
      </w:r>
      <w:r>
        <w:t xml:space="preserve">provided by Precedence Health Care, </w:t>
      </w:r>
      <w:r w:rsidRPr="00A05815">
        <w:t>to June 2019</w:t>
      </w:r>
      <w:bookmarkEnd w:id="246"/>
      <w:r>
        <w:t>.</w:t>
      </w:r>
    </w:p>
    <w:bookmarkEnd w:id="245"/>
    <w:p w14:paraId="3C3BC439" w14:textId="77777777" w:rsidR="001C19F3" w:rsidRDefault="001C19F3" w:rsidP="001C19F3">
      <w:pPr>
        <w:rPr>
          <w:rFonts w:cs="Calibri (Body)"/>
          <w:color w:val="000000"/>
          <w:szCs w:val="20"/>
        </w:rPr>
      </w:pPr>
      <w:r>
        <w:t xml:space="preserve">As indicated above, the factors influencing patient selection are not fully available in the practice management system alone, so </w:t>
      </w:r>
      <w:bookmarkStart w:id="247" w:name="_Hlk21366256"/>
      <w:r w:rsidRPr="005F742D">
        <w:t>GPs could override the score returned by the PRM and invite patients to undertake the next stage of the assessment – the HARP</w:t>
      </w:r>
      <w:r>
        <w:rPr>
          <w:rFonts w:cs="Calibri (Body)"/>
          <w:color w:val="000000"/>
          <w:szCs w:val="20"/>
        </w:rPr>
        <w:t xml:space="preserve">. </w:t>
      </w:r>
      <w:r w:rsidRPr="005F742D">
        <w:rPr>
          <w:rFonts w:cs="Calibri (Body)"/>
          <w:color w:val="000000"/>
          <w:szCs w:val="20"/>
        </w:rPr>
        <w:t>Of the 12,448 patients for which data were available, 30% (3,674) had a HARP completed because the GP overrode their PRM score</w:t>
      </w:r>
      <w:r>
        <w:rPr>
          <w:rFonts w:cs="Calibri (Body)"/>
          <w:color w:val="000000"/>
          <w:szCs w:val="20"/>
        </w:rPr>
        <w:t xml:space="preserve">. For those patients whose score was overridden, 25.4% were then allocated to Tier 1, 52.6% allocated to Tier 2, and 22.0% allocated to Tier 3. </w:t>
      </w:r>
    </w:p>
    <w:p w14:paraId="5BE3892F" w14:textId="77777777" w:rsidR="001C19F3" w:rsidRDefault="001C19F3" w:rsidP="001C19F3">
      <w:pPr>
        <w:rPr>
          <w:rFonts w:cs="Calibri (Body)"/>
          <w:color w:val="000000"/>
          <w:szCs w:val="20"/>
        </w:rPr>
      </w:pPr>
      <w:bookmarkStart w:id="248" w:name="_Hlk21366500"/>
      <w:bookmarkEnd w:id="247"/>
      <w:r w:rsidRPr="00EF65CA">
        <w:rPr>
          <w:rFonts w:cstheme="minorHAnsi"/>
          <w:szCs w:val="20"/>
        </w:rPr>
        <w:t xml:space="preserve">Patients </w:t>
      </w:r>
      <w:r>
        <w:rPr>
          <w:rFonts w:cstheme="minorHAnsi"/>
          <w:szCs w:val="20"/>
        </w:rPr>
        <w:t xml:space="preserve">were </w:t>
      </w:r>
      <w:r w:rsidRPr="00EF65CA">
        <w:rPr>
          <w:rFonts w:cstheme="minorHAnsi"/>
          <w:szCs w:val="20"/>
        </w:rPr>
        <w:t>more</w:t>
      </w:r>
      <w:r>
        <w:rPr>
          <w:rFonts w:cstheme="minorHAnsi"/>
          <w:szCs w:val="20"/>
        </w:rPr>
        <w:t xml:space="preserve"> likely to have</w:t>
      </w:r>
      <w:r w:rsidRPr="00EF65CA">
        <w:rPr>
          <w:rFonts w:cstheme="minorHAnsi"/>
          <w:szCs w:val="20"/>
        </w:rPr>
        <w:t xml:space="preserve"> chronic conditions and more social problems with increasing tier.</w:t>
      </w:r>
      <w:r>
        <w:rPr>
          <w:rFonts w:cstheme="minorHAnsi"/>
          <w:szCs w:val="20"/>
        </w:rPr>
        <w:t xml:space="preserve"> </w:t>
      </w:r>
      <w:bookmarkEnd w:id="248"/>
      <w:r w:rsidRPr="00EF65CA">
        <w:rPr>
          <w:rFonts w:cstheme="minorHAnsi"/>
          <w:szCs w:val="20"/>
        </w:rPr>
        <w:t>The most common chronic disease group</w:t>
      </w:r>
      <w:r>
        <w:rPr>
          <w:rFonts w:cstheme="minorHAnsi"/>
          <w:szCs w:val="20"/>
        </w:rPr>
        <w:t xml:space="preserve">s were </w:t>
      </w:r>
      <w:r w:rsidRPr="00EF65CA">
        <w:rPr>
          <w:rFonts w:cs="Calibri (Body)"/>
          <w:color w:val="000000"/>
          <w:szCs w:val="20"/>
        </w:rPr>
        <w:t>diabetes and/or renal failure and/or liver disease</w:t>
      </w:r>
      <w:r>
        <w:rPr>
          <w:rFonts w:cs="Calibri (Body)"/>
          <w:color w:val="000000"/>
          <w:szCs w:val="20"/>
        </w:rPr>
        <w:t xml:space="preserve"> (</w:t>
      </w:r>
      <w:r w:rsidRPr="00EF65CA">
        <w:rPr>
          <w:rFonts w:cs="Calibri (Body)"/>
          <w:color w:val="000000"/>
          <w:szCs w:val="20"/>
        </w:rPr>
        <w:t>with a prevalence of 43.1%</w:t>
      </w:r>
      <w:r>
        <w:rPr>
          <w:rFonts w:cs="Calibri (Body)"/>
          <w:color w:val="000000"/>
          <w:szCs w:val="20"/>
        </w:rPr>
        <w:t>), c</w:t>
      </w:r>
      <w:r w:rsidRPr="00EF65CA">
        <w:rPr>
          <w:rFonts w:cs="Calibri (Body)"/>
          <w:color w:val="000000"/>
          <w:szCs w:val="20"/>
        </w:rPr>
        <w:t xml:space="preserve">ardiac conditions </w:t>
      </w:r>
      <w:r>
        <w:rPr>
          <w:rFonts w:cs="Calibri (Body)"/>
          <w:color w:val="000000"/>
          <w:szCs w:val="20"/>
        </w:rPr>
        <w:t>(</w:t>
      </w:r>
      <w:r w:rsidRPr="00EF65CA">
        <w:rPr>
          <w:rFonts w:cs="Calibri (Body)"/>
          <w:color w:val="000000"/>
          <w:szCs w:val="20"/>
        </w:rPr>
        <w:t>CHF or angina</w:t>
      </w:r>
      <w:r>
        <w:rPr>
          <w:rFonts w:cs="Calibri (Body)"/>
          <w:color w:val="000000"/>
          <w:szCs w:val="20"/>
        </w:rPr>
        <w:t>)</w:t>
      </w:r>
      <w:r w:rsidRPr="00EF65CA">
        <w:rPr>
          <w:rFonts w:cs="Calibri (Body)"/>
          <w:color w:val="000000"/>
          <w:szCs w:val="20"/>
        </w:rPr>
        <w:t xml:space="preserve"> </w:t>
      </w:r>
      <w:r>
        <w:rPr>
          <w:rFonts w:cs="Calibri (Body)"/>
          <w:color w:val="000000"/>
          <w:szCs w:val="20"/>
        </w:rPr>
        <w:t>(</w:t>
      </w:r>
      <w:r w:rsidRPr="00EF65CA">
        <w:rPr>
          <w:rFonts w:cs="Calibri (Body)"/>
          <w:color w:val="000000"/>
          <w:szCs w:val="20"/>
        </w:rPr>
        <w:t>33.2%</w:t>
      </w:r>
      <w:r>
        <w:rPr>
          <w:rFonts w:cs="Calibri (Body)"/>
          <w:color w:val="000000"/>
          <w:szCs w:val="20"/>
        </w:rPr>
        <w:t>)</w:t>
      </w:r>
      <w:r w:rsidRPr="00EF65CA">
        <w:rPr>
          <w:rFonts w:cs="Calibri (Body)"/>
          <w:color w:val="000000"/>
          <w:szCs w:val="20"/>
        </w:rPr>
        <w:t xml:space="preserve"> and chronic respirator</w:t>
      </w:r>
      <w:r>
        <w:rPr>
          <w:rFonts w:cs="Calibri (Body)"/>
          <w:color w:val="000000"/>
          <w:szCs w:val="20"/>
        </w:rPr>
        <w:t>y</w:t>
      </w:r>
      <w:r w:rsidRPr="00EF65CA">
        <w:rPr>
          <w:rFonts w:cs="Calibri (Body)"/>
          <w:color w:val="000000"/>
          <w:szCs w:val="20"/>
        </w:rPr>
        <w:t xml:space="preserve"> condition</w:t>
      </w:r>
      <w:r>
        <w:rPr>
          <w:rFonts w:cs="Calibri (Body)"/>
          <w:color w:val="000000"/>
          <w:szCs w:val="20"/>
        </w:rPr>
        <w:t xml:space="preserve"> (</w:t>
      </w:r>
      <w:r w:rsidRPr="00EF65CA">
        <w:rPr>
          <w:rFonts w:cs="Calibri (Body)"/>
          <w:color w:val="000000"/>
          <w:szCs w:val="20"/>
        </w:rPr>
        <w:t>33.7%</w:t>
      </w:r>
      <w:r>
        <w:rPr>
          <w:rFonts w:cs="Calibri (Body)"/>
          <w:color w:val="000000"/>
          <w:szCs w:val="20"/>
        </w:rPr>
        <w:t>)</w:t>
      </w:r>
      <w:r w:rsidRPr="00EF65CA">
        <w:rPr>
          <w:rFonts w:cs="Calibri (Body)"/>
          <w:color w:val="000000"/>
          <w:szCs w:val="20"/>
        </w:rPr>
        <w:t>.</w:t>
      </w:r>
      <w:r>
        <w:rPr>
          <w:rFonts w:cs="Calibri (Body)"/>
          <w:color w:val="000000"/>
          <w:szCs w:val="20"/>
        </w:rPr>
        <w:t xml:space="preserve"> The steepest gradient in the prevalence across tiers was for diagnosis of complex care needs in frail aged, such as dementia, falls and incontinence (with a prevalence of 4.7% in Tier 1, 11.6% in Tier 2, and 34.5% in Tier 3).</w:t>
      </w:r>
    </w:p>
    <w:p w14:paraId="4312BF0B" w14:textId="77777777" w:rsidR="001C19F3" w:rsidRDefault="001C19F3" w:rsidP="001C19F3">
      <w:pPr>
        <w:rPr>
          <w:rFonts w:cs="Calibri (Body)"/>
          <w:color w:val="000000"/>
          <w:szCs w:val="20"/>
        </w:rPr>
      </w:pPr>
      <w:r>
        <w:rPr>
          <w:rFonts w:cs="Calibri (Body)"/>
          <w:color w:val="000000"/>
          <w:szCs w:val="20"/>
        </w:rPr>
        <w:t xml:space="preserve">Within the service access profile category, patients in Tier 3 were far more likely to have been in hospital more than once in the last 12 months (41.3% in Tier 3, 18.5% in Tier 2, 7.4% in Tier 1) and more likely to have a reduced ability to self-care (62.5% in Tier 3, 12.8% in Tier 2, 1.5% in Tier 1). </w:t>
      </w:r>
    </w:p>
    <w:p w14:paraId="4137E336" w14:textId="77777777" w:rsidR="001C19F3" w:rsidRDefault="001C19F3" w:rsidP="001C19F3">
      <w:pPr>
        <w:rPr>
          <w:rFonts w:cs="Calibri (Body)"/>
          <w:color w:val="000000"/>
          <w:szCs w:val="20"/>
        </w:rPr>
      </w:pPr>
      <w:r w:rsidRPr="008533F3">
        <w:rPr>
          <w:rFonts w:cs="Calibri (Body)"/>
          <w:color w:val="000000"/>
          <w:szCs w:val="20"/>
        </w:rPr>
        <w:t>There were high levels (&gt;50%) of all the lifestyle risk factors, except smoking (which had a prevalence of 18.0%)</w:t>
      </w:r>
      <w:r>
        <w:rPr>
          <w:rFonts w:cs="Calibri (Body)"/>
          <w:color w:val="000000"/>
          <w:szCs w:val="20"/>
        </w:rPr>
        <w:t xml:space="preserve">. High blood pressure, high cholesterol and overweight/obese were more prevalent amongst </w:t>
      </w:r>
      <w:r w:rsidRPr="006E0240">
        <w:rPr>
          <w:rFonts w:cs="Calibri (Body)"/>
          <w:color w:val="000000"/>
          <w:szCs w:val="20"/>
        </w:rPr>
        <w:t>patients in Tier 1</w:t>
      </w:r>
      <w:r>
        <w:rPr>
          <w:rFonts w:cs="Calibri (Body)"/>
          <w:color w:val="000000"/>
          <w:szCs w:val="20"/>
        </w:rPr>
        <w:t>,</w:t>
      </w:r>
      <w:r w:rsidRPr="006E0240">
        <w:rPr>
          <w:rFonts w:cs="Calibri (Body)"/>
          <w:color w:val="000000"/>
          <w:szCs w:val="20"/>
        </w:rPr>
        <w:t xml:space="preserve"> but patients</w:t>
      </w:r>
      <w:r>
        <w:rPr>
          <w:rFonts w:cs="Calibri (Body)"/>
          <w:color w:val="000000"/>
          <w:szCs w:val="20"/>
        </w:rPr>
        <w:t xml:space="preserve"> in Tier 3 had substantially higher levels of physical inactivity (73.8% in Tier 3, 53.3% in Tier 2, 29.8% in Tier 1) and polypharmacy (79.5% in Tier 3, 63.3% in Tier 2, 46.6% in Tier 1).</w:t>
      </w:r>
    </w:p>
    <w:p w14:paraId="18145CC5" w14:textId="77777777" w:rsidR="001C19F3" w:rsidRDefault="001C19F3" w:rsidP="001C19F3">
      <w:pPr>
        <w:rPr>
          <w:rFonts w:cs="Calibri (Body)"/>
          <w:color w:val="000000"/>
          <w:szCs w:val="20"/>
        </w:rPr>
      </w:pPr>
      <w:r>
        <w:rPr>
          <w:rFonts w:cs="Calibri (Body)"/>
          <w:color w:val="000000"/>
          <w:szCs w:val="20"/>
        </w:rPr>
        <w:t xml:space="preserve">There are eight complications, and each is allocated a score of one if the patient has it. The prevalence of the complications are 17.8% for carer stress issues, 16.5% for change in drug regime, 43.6% for chronic pain, 10.8% for cognitive impairment, 10.9% for compromised skin integrity, 13.5% for triggers for asthma, 10.0% for no carer available, and 37.4% of use of </w:t>
      </w:r>
      <w:r>
        <w:rPr>
          <w:rFonts w:cs="Calibri (Body)"/>
          <w:color w:val="000000"/>
          <w:szCs w:val="20"/>
        </w:rPr>
        <w:lastRenderedPageBreak/>
        <w:t xml:space="preserve">services previously. Each of the eight complications were more common amongst Tier 3 patients. </w:t>
      </w:r>
    </w:p>
    <w:p w14:paraId="6037B659" w14:textId="77777777" w:rsidR="001C19F3" w:rsidRDefault="001C19F3" w:rsidP="001C19F3">
      <w:pPr>
        <w:rPr>
          <w:rFonts w:cstheme="minorHAnsi"/>
          <w:szCs w:val="20"/>
        </w:rPr>
      </w:pPr>
      <w:r>
        <w:rPr>
          <w:rFonts w:cstheme="minorHAnsi"/>
          <w:szCs w:val="20"/>
        </w:rPr>
        <w:t>Appendix 5 in Volume 4 provides detailed data on the above points.</w:t>
      </w:r>
    </w:p>
    <w:p w14:paraId="545B6ACB" w14:textId="77777777" w:rsidR="001C19F3" w:rsidRDefault="001C19F3" w:rsidP="001C19F3">
      <w:pPr>
        <w:pStyle w:val="Heading2"/>
        <w:rPr>
          <w:rFonts w:eastAsia="Times New Roman"/>
        </w:rPr>
      </w:pPr>
      <w:bookmarkStart w:id="249" w:name="_Toc27056569"/>
      <w:r>
        <w:rPr>
          <w:rFonts w:eastAsia="Times New Roman"/>
        </w:rPr>
        <w:t>User perspectives on the tool</w:t>
      </w:r>
      <w:bookmarkEnd w:id="249"/>
    </w:p>
    <w:p w14:paraId="521CCE41" w14:textId="77777777" w:rsidR="001C19F3" w:rsidRPr="00831094" w:rsidRDefault="001C19F3" w:rsidP="001C19F3">
      <w:pPr>
        <w:pStyle w:val="Heading3"/>
        <w:rPr>
          <w:rFonts w:eastAsia="Times New Roman"/>
        </w:rPr>
      </w:pPr>
      <w:r w:rsidRPr="00831094">
        <w:rPr>
          <w:rFonts w:eastAsia="Times New Roman"/>
        </w:rPr>
        <w:t xml:space="preserve">Predictive risk </w:t>
      </w:r>
      <w:r>
        <w:rPr>
          <w:rFonts w:eastAsia="Times New Roman"/>
        </w:rPr>
        <w:t>model (PRM)</w:t>
      </w:r>
    </w:p>
    <w:p w14:paraId="36216BA8" w14:textId="77777777" w:rsidR="001C19F3" w:rsidRDefault="001C19F3" w:rsidP="001C19F3">
      <w:r>
        <w:t xml:space="preserve">In the practice survey, practices were asked for their perspective on various aspects of the RST, associated processes and their suggestions for improvements. </w:t>
      </w:r>
      <w:r>
        <w:fldChar w:fldCharType="begin"/>
      </w:r>
      <w:r>
        <w:instrText xml:space="preserve"> REF _Ref21014810 \h  \* MERGEFORMAT </w:instrText>
      </w:r>
      <w:r>
        <w:fldChar w:fldCharType="separate"/>
      </w:r>
      <w:r>
        <w:t xml:space="preserve">Table </w:t>
      </w:r>
      <w:r>
        <w:rPr>
          <w:noProof/>
        </w:rPr>
        <w:t>39</w:t>
      </w:r>
      <w:r>
        <w:fldChar w:fldCharType="end"/>
      </w:r>
      <w:r>
        <w:t xml:space="preserve"> to </w:t>
      </w:r>
      <w:r>
        <w:fldChar w:fldCharType="begin"/>
      </w:r>
      <w:r>
        <w:instrText xml:space="preserve"> REF _Ref21014816 \h  \* MERGEFORMAT </w:instrText>
      </w:r>
      <w:r>
        <w:fldChar w:fldCharType="separate"/>
      </w:r>
      <w:r>
        <w:t xml:space="preserve">Table </w:t>
      </w:r>
      <w:r>
        <w:rPr>
          <w:noProof/>
        </w:rPr>
        <w:t>44</w:t>
      </w:r>
      <w:r>
        <w:fldChar w:fldCharType="end"/>
      </w:r>
      <w:r>
        <w:t xml:space="preserve"> summarise these responses. </w:t>
      </w:r>
    </w:p>
    <w:p w14:paraId="3B2BCFEB" w14:textId="77777777" w:rsidR="001C19F3" w:rsidRDefault="001C19F3" w:rsidP="001C19F3">
      <w:r>
        <w:t xml:space="preserve">Most active practices (67%) experienced some challenges with the risk stratification software and processes, but that these were overcome. A few practices (18.7%) reported “the process was very smooth” and others that “there were ongoing difficulties” (14.3%). </w:t>
      </w:r>
    </w:p>
    <w:p w14:paraId="1AD43394" w14:textId="77777777" w:rsidR="001C19F3" w:rsidRDefault="001C19F3" w:rsidP="001C19F3">
      <w:r>
        <w:t>Most active practices (69.6%) reported that the PRM worked “very well” or “moderately well” in identifying patients suitable for enrolment in HCH. Practices that subsequently withdrew were more likely to rate this as “average” or “poor” (54.6%). More than half of the p</w:t>
      </w:r>
      <w:r w:rsidRPr="00E1177F">
        <w:t>ractices</w:t>
      </w:r>
      <w:r>
        <w:t xml:space="preserve"> </w:t>
      </w:r>
      <w:r w:rsidRPr="00E1177F">
        <w:t>(57.6%) indicated that GPs used the override function for some patients.</w:t>
      </w:r>
    </w:p>
    <w:p w14:paraId="59CB7A00" w14:textId="77777777" w:rsidR="001C19F3" w:rsidRDefault="001C19F3" w:rsidP="001C19F3">
      <w:pPr>
        <w:pStyle w:val="Caption1"/>
        <w:spacing w:after="0"/>
      </w:pPr>
      <w:bookmarkStart w:id="250" w:name="_Ref21014810"/>
      <w:bookmarkStart w:id="251" w:name="_Ref21014806"/>
      <w:bookmarkStart w:id="252" w:name="_Hlk22642914"/>
      <w:r>
        <w:t xml:space="preserve">Table </w:t>
      </w:r>
      <w:r>
        <w:fldChar w:fldCharType="begin"/>
      </w:r>
      <w:r>
        <w:instrText>SEQ Table \* ARABIC</w:instrText>
      </w:r>
      <w:r>
        <w:fldChar w:fldCharType="separate"/>
      </w:r>
      <w:r>
        <w:rPr>
          <w:noProof/>
        </w:rPr>
        <w:t>39</w:t>
      </w:r>
      <w:r>
        <w:fldChar w:fldCharType="end"/>
      </w:r>
      <w:bookmarkEnd w:id="250"/>
      <w:r>
        <w:t xml:space="preserve"> – Practice rating of the risk stratification software and</w:t>
      </w:r>
      <w:bookmarkEnd w:id="251"/>
      <w:r>
        <w:t xml:space="preserve"> associated processes</w:t>
      </w:r>
    </w:p>
    <w:tbl>
      <w:tblPr>
        <w:tblW w:w="5000" w:type="pct"/>
        <w:jc w:val="center"/>
        <w:tblLook w:val="04A0" w:firstRow="1" w:lastRow="0" w:firstColumn="1" w:lastColumn="0" w:noHBand="0" w:noVBand="1"/>
      </w:tblPr>
      <w:tblGrid>
        <w:gridCol w:w="1727"/>
        <w:gridCol w:w="1544"/>
        <w:gridCol w:w="2401"/>
        <w:gridCol w:w="1967"/>
        <w:gridCol w:w="1367"/>
      </w:tblGrid>
      <w:tr w:rsidR="001C19F3" w14:paraId="3E671B50" w14:textId="77777777" w:rsidTr="00521305">
        <w:trPr>
          <w:cantSplit/>
          <w:trHeight w:val="336"/>
          <w:tblHeader/>
          <w:jc w:val="center"/>
        </w:trPr>
        <w:tc>
          <w:tcPr>
            <w:tcW w:w="959"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52"/>
          <w:p w14:paraId="6E14258B" w14:textId="77777777" w:rsidR="001C19F3" w:rsidRDefault="001C19F3" w:rsidP="00521305">
            <w:pPr>
              <w:spacing w:after="0"/>
              <w:jc w:val="center"/>
            </w:pPr>
            <w:r>
              <w:rPr>
                <w:rFonts w:eastAsia="Century Gothic" w:cs="Century Gothic"/>
                <w:b/>
                <w:color w:val="FFFFFF"/>
                <w:sz w:val="18"/>
                <w:szCs w:val="18"/>
              </w:rPr>
              <w:t>Response by practice status</w:t>
            </w:r>
          </w:p>
        </w:tc>
        <w:tc>
          <w:tcPr>
            <w:tcW w:w="85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F133A5" w14:textId="77777777" w:rsidR="001C19F3" w:rsidRDefault="001C19F3" w:rsidP="00521305">
            <w:pPr>
              <w:spacing w:after="0"/>
              <w:jc w:val="center"/>
            </w:pPr>
            <w:r>
              <w:rPr>
                <w:rFonts w:eastAsia="Century Gothic" w:cs="Century Gothic"/>
                <w:b/>
                <w:color w:val="FFFFFF"/>
                <w:sz w:val="18"/>
                <w:szCs w:val="18"/>
              </w:rPr>
              <w:t>The process was very smooth</w:t>
            </w:r>
          </w:p>
        </w:tc>
        <w:tc>
          <w:tcPr>
            <w:tcW w:w="1333"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156F504" w14:textId="77777777" w:rsidR="001C19F3" w:rsidRDefault="001C19F3" w:rsidP="00521305">
            <w:pPr>
              <w:spacing w:after="0"/>
              <w:jc w:val="center"/>
            </w:pPr>
            <w:r>
              <w:rPr>
                <w:rFonts w:eastAsia="Century Gothic" w:cs="Century Gothic"/>
                <w:b/>
                <w:color w:val="FFFFFF"/>
                <w:sz w:val="18"/>
                <w:szCs w:val="18"/>
              </w:rPr>
              <w:t>We had some challenges, but we overcame them</w:t>
            </w:r>
          </w:p>
        </w:tc>
        <w:tc>
          <w:tcPr>
            <w:tcW w:w="109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0027D82" w14:textId="77777777" w:rsidR="001C19F3" w:rsidRDefault="001C19F3" w:rsidP="00521305">
            <w:pPr>
              <w:spacing w:after="0"/>
              <w:jc w:val="center"/>
            </w:pPr>
            <w:r>
              <w:rPr>
                <w:rFonts w:eastAsia="Century Gothic" w:cs="Century Gothic"/>
                <w:b/>
                <w:color w:val="FFFFFF"/>
                <w:sz w:val="18"/>
                <w:szCs w:val="18"/>
              </w:rPr>
              <w:t>We experienced ongoing difficulties</w:t>
            </w:r>
          </w:p>
        </w:tc>
        <w:tc>
          <w:tcPr>
            <w:tcW w:w="759"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A95C302"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196A98BA" w14:textId="77777777" w:rsidTr="00521305">
        <w:trPr>
          <w:cantSplit/>
          <w:trHeight w:val="442"/>
          <w:jc w:val="center"/>
        </w:trPr>
        <w:tc>
          <w:tcPr>
            <w:tcW w:w="95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8FA202" w14:textId="77777777" w:rsidR="001C19F3" w:rsidRDefault="001C19F3" w:rsidP="00521305">
            <w:pPr>
              <w:spacing w:before="40" w:after="40"/>
              <w:ind w:left="160" w:right="100"/>
            </w:pPr>
            <w:r>
              <w:rPr>
                <w:rFonts w:eastAsia="Century Gothic" w:cs="Century Gothic"/>
                <w:color w:val="000000"/>
                <w:sz w:val="18"/>
                <w:szCs w:val="18"/>
              </w:rPr>
              <w:t>Active</w:t>
            </w:r>
          </w:p>
        </w:tc>
        <w:tc>
          <w:tcPr>
            <w:tcW w:w="85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46E750" w14:textId="77777777" w:rsidR="001C19F3" w:rsidRDefault="001C19F3" w:rsidP="00521305">
            <w:pPr>
              <w:spacing w:before="40" w:after="40"/>
              <w:ind w:left="100" w:right="100"/>
              <w:jc w:val="right"/>
            </w:pPr>
            <w:r>
              <w:rPr>
                <w:rFonts w:eastAsia="Century Gothic" w:cs="Century Gothic"/>
                <w:color w:val="000000"/>
                <w:sz w:val="18"/>
                <w:szCs w:val="18"/>
              </w:rPr>
              <w:t>17 (18.7%)</w:t>
            </w:r>
          </w:p>
        </w:tc>
        <w:tc>
          <w:tcPr>
            <w:tcW w:w="133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24D7EE" w14:textId="77777777" w:rsidR="001C19F3" w:rsidRDefault="001C19F3" w:rsidP="00521305">
            <w:pPr>
              <w:spacing w:before="40" w:after="40"/>
              <w:ind w:left="100" w:right="100"/>
              <w:jc w:val="right"/>
            </w:pPr>
            <w:r>
              <w:rPr>
                <w:rFonts w:eastAsia="Century Gothic" w:cs="Century Gothic"/>
                <w:color w:val="000000"/>
                <w:sz w:val="18"/>
                <w:szCs w:val="18"/>
              </w:rPr>
              <w:t>61 (67.0%)</w:t>
            </w:r>
          </w:p>
        </w:tc>
        <w:tc>
          <w:tcPr>
            <w:tcW w:w="109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7CA691" w14:textId="77777777" w:rsidR="001C19F3" w:rsidRDefault="001C19F3" w:rsidP="00521305">
            <w:pPr>
              <w:spacing w:before="40" w:after="40"/>
              <w:ind w:left="100" w:right="100"/>
              <w:jc w:val="right"/>
            </w:pPr>
            <w:r>
              <w:rPr>
                <w:rFonts w:eastAsia="Century Gothic" w:cs="Century Gothic"/>
                <w:color w:val="000000"/>
                <w:sz w:val="18"/>
                <w:szCs w:val="18"/>
              </w:rPr>
              <w:t>13 (14.3%)</w:t>
            </w:r>
          </w:p>
        </w:tc>
        <w:tc>
          <w:tcPr>
            <w:tcW w:w="75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0EF21A" w14:textId="77777777" w:rsidR="001C19F3" w:rsidRDefault="001C19F3" w:rsidP="00521305">
            <w:pPr>
              <w:spacing w:before="40" w:after="40"/>
              <w:ind w:left="100" w:right="100"/>
              <w:jc w:val="right"/>
            </w:pPr>
            <w:r>
              <w:rPr>
                <w:rFonts w:eastAsia="Century Gothic" w:cs="Century Gothic"/>
                <w:color w:val="000000"/>
                <w:sz w:val="18"/>
                <w:szCs w:val="18"/>
              </w:rPr>
              <w:t>1</w:t>
            </w:r>
          </w:p>
        </w:tc>
      </w:tr>
      <w:tr w:rsidR="001C19F3" w14:paraId="2ECBFE3E" w14:textId="77777777" w:rsidTr="00521305">
        <w:trPr>
          <w:cantSplit/>
          <w:trHeight w:val="442"/>
          <w:jc w:val="center"/>
        </w:trPr>
        <w:tc>
          <w:tcPr>
            <w:tcW w:w="95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71E3C6" w14:textId="77777777" w:rsidR="001C19F3" w:rsidRDefault="001C19F3" w:rsidP="00521305">
            <w:pPr>
              <w:spacing w:before="40" w:after="40"/>
              <w:ind w:left="160" w:right="100"/>
            </w:pPr>
            <w:r>
              <w:rPr>
                <w:rFonts w:eastAsia="Century Gothic" w:cs="Century Gothic"/>
                <w:color w:val="000000"/>
                <w:sz w:val="18"/>
                <w:szCs w:val="18"/>
              </w:rPr>
              <w:t>Withdrawn</w:t>
            </w:r>
          </w:p>
        </w:tc>
        <w:tc>
          <w:tcPr>
            <w:tcW w:w="85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3BF25B" w14:textId="77777777" w:rsidR="001C19F3" w:rsidRDefault="001C19F3" w:rsidP="00521305">
            <w:pPr>
              <w:spacing w:before="40" w:after="40"/>
              <w:ind w:left="100" w:right="100"/>
              <w:jc w:val="right"/>
            </w:pPr>
            <w:r>
              <w:rPr>
                <w:rFonts w:eastAsia="Century Gothic" w:cs="Century Gothic"/>
                <w:color w:val="000000"/>
                <w:sz w:val="18"/>
                <w:szCs w:val="18"/>
              </w:rPr>
              <w:t>5 (38.5%)</w:t>
            </w:r>
          </w:p>
        </w:tc>
        <w:tc>
          <w:tcPr>
            <w:tcW w:w="133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CD5537" w14:textId="77777777" w:rsidR="001C19F3" w:rsidRDefault="001C19F3" w:rsidP="00521305">
            <w:pPr>
              <w:spacing w:before="40" w:after="40"/>
              <w:ind w:left="100" w:right="100"/>
              <w:jc w:val="right"/>
            </w:pPr>
            <w:r>
              <w:rPr>
                <w:rFonts w:eastAsia="Century Gothic" w:cs="Century Gothic"/>
                <w:color w:val="000000"/>
                <w:sz w:val="18"/>
                <w:szCs w:val="18"/>
              </w:rPr>
              <w:t>4 (30.8%)</w:t>
            </w:r>
          </w:p>
        </w:tc>
        <w:tc>
          <w:tcPr>
            <w:tcW w:w="109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4AF5C0" w14:textId="77777777" w:rsidR="001C19F3" w:rsidRDefault="001C19F3" w:rsidP="00521305">
            <w:pPr>
              <w:spacing w:before="40" w:after="40"/>
              <w:ind w:left="100" w:right="100"/>
              <w:jc w:val="right"/>
            </w:pPr>
            <w:r>
              <w:rPr>
                <w:rFonts w:eastAsia="Century Gothic" w:cs="Century Gothic"/>
                <w:color w:val="000000"/>
                <w:sz w:val="18"/>
                <w:szCs w:val="18"/>
              </w:rPr>
              <w:t>4 (30.8%)</w:t>
            </w:r>
          </w:p>
        </w:tc>
        <w:tc>
          <w:tcPr>
            <w:tcW w:w="75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C28743" w14:textId="77777777" w:rsidR="001C19F3" w:rsidRDefault="001C19F3" w:rsidP="00521305">
            <w:pPr>
              <w:spacing w:before="40" w:after="40"/>
              <w:ind w:left="100" w:right="100"/>
              <w:jc w:val="right"/>
            </w:pPr>
          </w:p>
        </w:tc>
      </w:tr>
    </w:tbl>
    <w:p w14:paraId="62E54F63" w14:textId="77777777" w:rsidR="001C19F3" w:rsidRDefault="001C19F3" w:rsidP="001C19F3">
      <w:pPr>
        <w:pStyle w:val="Chartortablefootnote"/>
        <w:rPr>
          <w:rFonts w:eastAsia="Century Gothic" w:cs="Century Gothic"/>
          <w:i w:val="0"/>
          <w:color w:val="000000"/>
          <w:sz w:val="18"/>
        </w:rPr>
      </w:pPr>
      <w:r>
        <w:t>Source: Practice survey R2, Nov 2018-Mar 2019, questions 2 &amp; 13.</w:t>
      </w:r>
    </w:p>
    <w:p w14:paraId="12237204" w14:textId="77777777" w:rsidR="001C19F3" w:rsidRDefault="001C19F3" w:rsidP="001C19F3">
      <w:pPr>
        <w:pStyle w:val="Caption1"/>
        <w:spacing w:after="0"/>
      </w:pPr>
      <w:bookmarkStart w:id="253" w:name="_Hlk22642944"/>
      <w:r>
        <w:t xml:space="preserve">Table </w:t>
      </w:r>
      <w:r>
        <w:fldChar w:fldCharType="begin"/>
      </w:r>
      <w:r>
        <w:instrText>SEQ Table \* ARABIC</w:instrText>
      </w:r>
      <w:r>
        <w:fldChar w:fldCharType="separate"/>
      </w:r>
      <w:r>
        <w:rPr>
          <w:noProof/>
        </w:rPr>
        <w:t>40</w:t>
      </w:r>
      <w:r>
        <w:fldChar w:fldCharType="end"/>
      </w:r>
      <w:r>
        <w:t xml:space="preserve"> – Assessment of how well the risk stratification tool (predictive risk model) identified patients suitable for enrollment in HCH </w:t>
      </w:r>
    </w:p>
    <w:tbl>
      <w:tblPr>
        <w:tblW w:w="0" w:type="auto"/>
        <w:jc w:val="center"/>
        <w:tblLook w:val="04A0" w:firstRow="1" w:lastRow="0" w:firstColumn="1" w:lastColumn="0" w:noHBand="0" w:noVBand="1"/>
      </w:tblPr>
      <w:tblGrid>
        <w:gridCol w:w="1738"/>
        <w:gridCol w:w="1325"/>
        <w:gridCol w:w="1325"/>
        <w:gridCol w:w="1326"/>
        <w:gridCol w:w="1325"/>
        <w:gridCol w:w="1326"/>
      </w:tblGrid>
      <w:tr w:rsidR="001C19F3" w14:paraId="3D385AD4" w14:textId="77777777" w:rsidTr="00521305">
        <w:trPr>
          <w:cantSplit/>
          <w:trHeight w:val="333"/>
          <w:tblHeader/>
          <w:jc w:val="center"/>
        </w:trPr>
        <w:tc>
          <w:tcPr>
            <w:tcW w:w="173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53"/>
          <w:p w14:paraId="74D9D040" w14:textId="77777777" w:rsidR="001C19F3" w:rsidRDefault="001C19F3" w:rsidP="00521305">
            <w:pPr>
              <w:spacing w:after="0"/>
              <w:jc w:val="center"/>
              <w:rPr>
                <w:rFonts w:eastAsia="Century Gothic" w:cs="Century Gothic"/>
                <w:b/>
                <w:color w:val="FFFFFF"/>
                <w:sz w:val="18"/>
                <w:szCs w:val="18"/>
              </w:rPr>
            </w:pPr>
            <w:r>
              <w:rPr>
                <w:rFonts w:eastAsia="Century Gothic" w:cs="Century Gothic"/>
                <w:b/>
                <w:color w:val="FFFFFF"/>
                <w:sz w:val="18"/>
                <w:szCs w:val="18"/>
              </w:rPr>
              <w:t xml:space="preserve">Response by </w:t>
            </w:r>
          </w:p>
          <w:p w14:paraId="63172E6B" w14:textId="77777777" w:rsidR="001C19F3" w:rsidRDefault="001C19F3" w:rsidP="00521305">
            <w:pPr>
              <w:spacing w:after="0"/>
              <w:jc w:val="center"/>
            </w:pPr>
            <w:r>
              <w:rPr>
                <w:rFonts w:eastAsia="Century Gothic" w:cs="Century Gothic"/>
                <w:b/>
                <w:color w:val="FFFFFF"/>
                <w:sz w:val="18"/>
                <w:szCs w:val="18"/>
              </w:rPr>
              <w:t>practice status</w:t>
            </w:r>
          </w:p>
        </w:tc>
        <w:tc>
          <w:tcPr>
            <w:tcW w:w="13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5CB2CA" w14:textId="77777777" w:rsidR="001C19F3" w:rsidRDefault="001C19F3" w:rsidP="00521305">
            <w:pPr>
              <w:spacing w:after="0"/>
              <w:jc w:val="center"/>
            </w:pPr>
            <w:r>
              <w:rPr>
                <w:rFonts w:eastAsia="Century Gothic" w:cs="Century Gothic"/>
                <w:b/>
                <w:color w:val="FFFFFF"/>
                <w:sz w:val="18"/>
                <w:szCs w:val="18"/>
              </w:rPr>
              <w:t>Very well</w:t>
            </w:r>
          </w:p>
        </w:tc>
        <w:tc>
          <w:tcPr>
            <w:tcW w:w="13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E43A2C8" w14:textId="77777777" w:rsidR="001C19F3" w:rsidRDefault="001C19F3" w:rsidP="00521305">
            <w:pPr>
              <w:spacing w:after="0"/>
              <w:jc w:val="center"/>
            </w:pPr>
            <w:r>
              <w:rPr>
                <w:rFonts w:eastAsia="Century Gothic" w:cs="Century Gothic"/>
                <w:b/>
                <w:color w:val="FFFFFF"/>
                <w:sz w:val="18"/>
                <w:szCs w:val="18"/>
              </w:rPr>
              <w:t>Moderately well</w:t>
            </w:r>
          </w:p>
        </w:tc>
        <w:tc>
          <w:tcPr>
            <w:tcW w:w="132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C8C3BA" w14:textId="77777777" w:rsidR="001C19F3" w:rsidRDefault="001C19F3" w:rsidP="00521305">
            <w:pPr>
              <w:spacing w:after="0"/>
              <w:jc w:val="center"/>
            </w:pPr>
            <w:r>
              <w:rPr>
                <w:rFonts w:eastAsia="Century Gothic" w:cs="Century Gothic"/>
                <w:b/>
                <w:color w:val="FFFFFF"/>
                <w:sz w:val="18"/>
                <w:szCs w:val="18"/>
              </w:rPr>
              <w:t>Average</w:t>
            </w:r>
          </w:p>
        </w:tc>
        <w:tc>
          <w:tcPr>
            <w:tcW w:w="132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096DCB" w14:textId="77777777" w:rsidR="001C19F3" w:rsidRDefault="001C19F3" w:rsidP="00521305">
            <w:pPr>
              <w:spacing w:after="0"/>
              <w:jc w:val="center"/>
            </w:pPr>
            <w:r>
              <w:rPr>
                <w:rFonts w:eastAsia="Century Gothic" w:cs="Century Gothic"/>
                <w:b/>
                <w:color w:val="FFFFFF"/>
                <w:sz w:val="18"/>
                <w:szCs w:val="18"/>
              </w:rPr>
              <w:t>Poor</w:t>
            </w:r>
          </w:p>
        </w:tc>
        <w:tc>
          <w:tcPr>
            <w:tcW w:w="132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C5D991"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36202C4E" w14:textId="77777777" w:rsidTr="00521305">
        <w:trPr>
          <w:cantSplit/>
          <w:trHeight w:val="442"/>
          <w:jc w:val="center"/>
        </w:trPr>
        <w:tc>
          <w:tcPr>
            <w:tcW w:w="173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0157F9" w14:textId="77777777" w:rsidR="001C19F3" w:rsidRDefault="001C19F3" w:rsidP="00521305">
            <w:pPr>
              <w:spacing w:before="40" w:after="40"/>
              <w:ind w:left="100" w:right="100"/>
            </w:pPr>
            <w:r>
              <w:rPr>
                <w:rFonts w:eastAsia="Century Gothic" w:cs="Century Gothic"/>
                <w:color w:val="000000"/>
                <w:sz w:val="18"/>
                <w:szCs w:val="18"/>
              </w:rPr>
              <w:t>Active</w:t>
            </w:r>
          </w:p>
        </w:tc>
        <w:tc>
          <w:tcPr>
            <w:tcW w:w="13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98C6F1" w14:textId="77777777" w:rsidR="001C19F3" w:rsidRDefault="001C19F3" w:rsidP="00521305">
            <w:pPr>
              <w:spacing w:before="40" w:after="40"/>
              <w:ind w:left="100" w:right="100"/>
              <w:jc w:val="right"/>
            </w:pPr>
            <w:r>
              <w:rPr>
                <w:rFonts w:eastAsia="Century Gothic" w:cs="Century Gothic"/>
                <w:color w:val="000000"/>
                <w:sz w:val="18"/>
                <w:szCs w:val="18"/>
              </w:rPr>
              <w:t>19 (21.3%)</w:t>
            </w:r>
          </w:p>
        </w:tc>
        <w:tc>
          <w:tcPr>
            <w:tcW w:w="13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150370" w14:textId="77777777" w:rsidR="001C19F3" w:rsidRDefault="001C19F3" w:rsidP="00521305">
            <w:pPr>
              <w:spacing w:before="40" w:after="40"/>
              <w:ind w:left="100" w:right="100"/>
              <w:jc w:val="right"/>
            </w:pPr>
            <w:r>
              <w:rPr>
                <w:rFonts w:eastAsia="Century Gothic" w:cs="Century Gothic"/>
                <w:color w:val="000000"/>
                <w:sz w:val="18"/>
                <w:szCs w:val="18"/>
              </w:rPr>
              <w:t>43 (48.3%)</w:t>
            </w:r>
          </w:p>
        </w:tc>
        <w:tc>
          <w:tcPr>
            <w:tcW w:w="13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31AB25" w14:textId="77777777" w:rsidR="001C19F3" w:rsidRDefault="001C19F3" w:rsidP="00521305">
            <w:pPr>
              <w:spacing w:before="40" w:after="40"/>
              <w:ind w:left="100" w:right="100"/>
              <w:jc w:val="right"/>
            </w:pPr>
            <w:r>
              <w:rPr>
                <w:rFonts w:eastAsia="Century Gothic" w:cs="Century Gothic"/>
                <w:color w:val="000000"/>
                <w:sz w:val="18"/>
                <w:szCs w:val="18"/>
              </w:rPr>
              <w:t>18 (20.2%)</w:t>
            </w:r>
          </w:p>
        </w:tc>
        <w:tc>
          <w:tcPr>
            <w:tcW w:w="13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7F5A8C" w14:textId="77777777" w:rsidR="001C19F3" w:rsidRDefault="001C19F3" w:rsidP="00521305">
            <w:pPr>
              <w:spacing w:before="40" w:after="40"/>
              <w:ind w:left="100" w:right="100"/>
              <w:jc w:val="right"/>
            </w:pPr>
            <w:r>
              <w:rPr>
                <w:rFonts w:eastAsia="Century Gothic" w:cs="Century Gothic"/>
                <w:color w:val="000000"/>
                <w:sz w:val="18"/>
                <w:szCs w:val="18"/>
              </w:rPr>
              <w:t>9 (10.1%)</w:t>
            </w:r>
          </w:p>
        </w:tc>
        <w:tc>
          <w:tcPr>
            <w:tcW w:w="13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C177DD" w14:textId="77777777" w:rsidR="001C19F3" w:rsidRDefault="001C19F3" w:rsidP="00521305">
            <w:pPr>
              <w:spacing w:before="40" w:after="40"/>
              <w:ind w:left="100" w:right="100"/>
              <w:jc w:val="right"/>
            </w:pPr>
            <w:r>
              <w:rPr>
                <w:rFonts w:eastAsia="Century Gothic" w:cs="Century Gothic"/>
                <w:color w:val="000000"/>
                <w:sz w:val="18"/>
                <w:szCs w:val="18"/>
              </w:rPr>
              <w:t>3</w:t>
            </w:r>
          </w:p>
        </w:tc>
      </w:tr>
      <w:tr w:rsidR="001C19F3" w14:paraId="3BC8C707" w14:textId="77777777" w:rsidTr="00521305">
        <w:trPr>
          <w:cantSplit/>
          <w:trHeight w:val="442"/>
          <w:jc w:val="center"/>
        </w:trPr>
        <w:tc>
          <w:tcPr>
            <w:tcW w:w="173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509012" w14:textId="77777777" w:rsidR="001C19F3" w:rsidRDefault="001C19F3" w:rsidP="00521305">
            <w:pPr>
              <w:spacing w:before="40" w:after="40"/>
              <w:ind w:left="100" w:right="100"/>
            </w:pPr>
            <w:r>
              <w:rPr>
                <w:rFonts w:eastAsia="Century Gothic" w:cs="Century Gothic"/>
                <w:color w:val="000000"/>
                <w:sz w:val="18"/>
                <w:szCs w:val="18"/>
              </w:rPr>
              <w:t>Withdrawn</w:t>
            </w:r>
          </w:p>
        </w:tc>
        <w:tc>
          <w:tcPr>
            <w:tcW w:w="13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B3ACF3" w14:textId="77777777" w:rsidR="001C19F3" w:rsidRDefault="001C19F3" w:rsidP="00521305">
            <w:pPr>
              <w:spacing w:before="40" w:after="40"/>
              <w:ind w:left="100" w:right="100"/>
              <w:jc w:val="right"/>
            </w:pPr>
            <w:r>
              <w:rPr>
                <w:rFonts w:eastAsia="Century Gothic" w:cs="Century Gothic"/>
                <w:color w:val="000000"/>
                <w:sz w:val="18"/>
                <w:szCs w:val="18"/>
              </w:rPr>
              <w:t>1 (9.1%)</w:t>
            </w:r>
          </w:p>
        </w:tc>
        <w:tc>
          <w:tcPr>
            <w:tcW w:w="13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FEB8C7" w14:textId="77777777" w:rsidR="001C19F3" w:rsidRDefault="001C19F3" w:rsidP="00521305">
            <w:pPr>
              <w:spacing w:before="40" w:after="40"/>
              <w:ind w:left="100" w:right="100"/>
              <w:jc w:val="right"/>
            </w:pPr>
            <w:r>
              <w:rPr>
                <w:rFonts w:eastAsia="Century Gothic" w:cs="Century Gothic"/>
                <w:color w:val="000000"/>
                <w:sz w:val="18"/>
                <w:szCs w:val="18"/>
              </w:rPr>
              <w:t>4 (36.4%)</w:t>
            </w:r>
          </w:p>
        </w:tc>
        <w:tc>
          <w:tcPr>
            <w:tcW w:w="13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035D3E" w14:textId="77777777" w:rsidR="001C19F3" w:rsidRDefault="001C19F3" w:rsidP="00521305">
            <w:pPr>
              <w:spacing w:before="40" w:after="40"/>
              <w:ind w:left="100" w:right="100"/>
              <w:jc w:val="right"/>
            </w:pPr>
            <w:r>
              <w:rPr>
                <w:rFonts w:eastAsia="Century Gothic" w:cs="Century Gothic"/>
                <w:color w:val="000000"/>
                <w:sz w:val="18"/>
                <w:szCs w:val="18"/>
              </w:rPr>
              <w:t>5 (45.5%)</w:t>
            </w:r>
          </w:p>
        </w:tc>
        <w:tc>
          <w:tcPr>
            <w:tcW w:w="132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1D0125" w14:textId="77777777" w:rsidR="001C19F3" w:rsidRDefault="001C19F3" w:rsidP="00521305">
            <w:pPr>
              <w:spacing w:before="40" w:after="40"/>
              <w:ind w:left="100" w:right="100"/>
              <w:jc w:val="right"/>
            </w:pPr>
            <w:r>
              <w:rPr>
                <w:rFonts w:eastAsia="Century Gothic" w:cs="Century Gothic"/>
                <w:color w:val="000000"/>
                <w:sz w:val="18"/>
                <w:szCs w:val="18"/>
              </w:rPr>
              <w:t>1 (9.1%)</w:t>
            </w:r>
          </w:p>
        </w:tc>
        <w:tc>
          <w:tcPr>
            <w:tcW w:w="13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C1B850" w14:textId="77777777" w:rsidR="001C19F3" w:rsidRDefault="001C19F3" w:rsidP="00521305">
            <w:pPr>
              <w:spacing w:before="40" w:after="40"/>
              <w:ind w:left="100" w:right="100"/>
              <w:jc w:val="right"/>
            </w:pPr>
            <w:r>
              <w:rPr>
                <w:rFonts w:eastAsia="Century Gothic" w:cs="Century Gothic"/>
                <w:color w:val="000000"/>
                <w:sz w:val="18"/>
                <w:szCs w:val="18"/>
              </w:rPr>
              <w:t>2</w:t>
            </w:r>
          </w:p>
        </w:tc>
      </w:tr>
    </w:tbl>
    <w:p w14:paraId="20883C06" w14:textId="77777777" w:rsidR="001C19F3" w:rsidRDefault="001C19F3" w:rsidP="001C19F3">
      <w:pPr>
        <w:pStyle w:val="Chartortablefootnote"/>
        <w:rPr>
          <w:rFonts w:cstheme="minorBidi"/>
          <w:szCs w:val="20"/>
        </w:rPr>
      </w:pPr>
      <w:r>
        <w:t>Source: Practice survey R2, Nov 2018-Mar 2019, question 3.</w:t>
      </w:r>
    </w:p>
    <w:p w14:paraId="25737BE9" w14:textId="77777777" w:rsidR="001C19F3" w:rsidRDefault="001C19F3" w:rsidP="001C19F3">
      <w:pPr>
        <w:rPr>
          <w:szCs w:val="20"/>
        </w:rPr>
      </w:pPr>
      <w:r>
        <w:rPr>
          <w:szCs w:val="20"/>
        </w:rPr>
        <w:t>The interviews provided an opportunity to explore these issues in more detail. Though some practices felt that the PRM did a sufficient job selecting the correct patients for HCH, others reported that it did not identify all patients that they felt were appropriate for the program:</w:t>
      </w:r>
    </w:p>
    <w:p w14:paraId="5A65694B" w14:textId="77777777" w:rsidR="001C19F3" w:rsidRDefault="001C19F3" w:rsidP="001C19F3">
      <w:pPr>
        <w:ind w:left="567" w:right="1088"/>
        <w:rPr>
          <w:szCs w:val="20"/>
        </w:rPr>
      </w:pPr>
      <w:r>
        <w:rPr>
          <w:i/>
          <w:szCs w:val="20"/>
        </w:rPr>
        <w:t xml:space="preserve">“I was just a bit surprised when there were some people that weren’t included. I certainly had no issue with those people that they wanted to include.” </w:t>
      </w:r>
      <w:r w:rsidRPr="002C55C8">
        <w:rPr>
          <w:szCs w:val="20"/>
        </w:rPr>
        <w:t>[GP, Practice 2</w:t>
      </w:r>
      <w:r>
        <w:rPr>
          <w:szCs w:val="20"/>
        </w:rPr>
        <w:t>, interview, R2]</w:t>
      </w:r>
    </w:p>
    <w:p w14:paraId="7F853F4E" w14:textId="77777777" w:rsidR="001C19F3" w:rsidRDefault="001C19F3" w:rsidP="001C19F3">
      <w:pPr>
        <w:rPr>
          <w:rFonts w:eastAsiaTheme="minorHAnsi"/>
          <w:szCs w:val="20"/>
        </w:rPr>
      </w:pPr>
      <w:r>
        <w:rPr>
          <w:szCs w:val="20"/>
        </w:rPr>
        <w:t>Some practices stated that they have had to override the PRM in a few instances because the tool didn’t identify patients that they thought should have been included. This led some practices to question whether predicting hospitalisation was an appropriate measure of risk for chronic disease management in the primary care setting:</w:t>
      </w:r>
    </w:p>
    <w:p w14:paraId="35DA841B" w14:textId="77777777" w:rsidR="001C19F3" w:rsidRDefault="001C19F3" w:rsidP="001C19F3">
      <w:pPr>
        <w:ind w:left="567" w:right="1088"/>
        <w:rPr>
          <w:szCs w:val="20"/>
        </w:rPr>
      </w:pPr>
      <w:r>
        <w:rPr>
          <w:i/>
          <w:szCs w:val="20"/>
        </w:rPr>
        <w:lastRenderedPageBreak/>
        <w:t>“The system just isn’t flagging certain people, and I don’t know why, because they are absolutely candidates for it. It’s not pulling out all of them. Most, but it is missing people.”</w:t>
      </w:r>
      <w:r>
        <w:rPr>
          <w:szCs w:val="20"/>
        </w:rPr>
        <w:t xml:space="preserve"> [Practice nurse, Practice 1, interview, R2]</w:t>
      </w:r>
    </w:p>
    <w:p w14:paraId="1B0AC186" w14:textId="77777777" w:rsidR="001C19F3" w:rsidRDefault="001C19F3" w:rsidP="001C19F3">
      <w:pPr>
        <w:ind w:left="567" w:right="1088"/>
        <w:rPr>
          <w:rFonts w:cstheme="minorBidi"/>
          <w:szCs w:val="20"/>
        </w:rPr>
      </w:pPr>
      <w:r>
        <w:rPr>
          <w:i/>
          <w:szCs w:val="20"/>
        </w:rPr>
        <w:t>“One patient has chronic pain, chronic infection in her bones, disability, financial difficulties, socially isolated, depression, mental health issues, 12 medications--a perfect patient to enrol. The PRM didn’t pick her up plus she wasn’t even eligible according to the PRM. I had to override it and put it all in, and she is a T3. The difference between tiering and a half score was 35 and her risk of hospitalisation came up as 7%. And yet, she has been in hospital three times in the last 12 months. The thing is wrong, it’s just wrong…</w:t>
      </w:r>
      <w:r>
        <w:rPr>
          <w:rFonts w:cs="Arial"/>
          <w:i/>
          <w:szCs w:val="20"/>
          <w:lang w:val="en-GB"/>
        </w:rPr>
        <w:t xml:space="preserve">It’s very diagnosis based, I think is one of the things. It has to be in the data and just pick up some of the other things. Taken specifically from haematological malignancy, misses it completely, even though they may be sick as a dog…Gastrointestinal malignancy or gastrointestinal disease, that’s disabling for them. Misses it. Renal it picks up, diabetes it picks up, heart disease it picks up. Mental health it does. Asthma maybe. But chronic lung disease not due to asthma, misses it. It’s diagnosis based…” </w:t>
      </w:r>
      <w:r w:rsidRPr="004F5319">
        <w:rPr>
          <w:szCs w:val="20"/>
        </w:rPr>
        <w:t>[</w:t>
      </w:r>
      <w:r>
        <w:rPr>
          <w:szCs w:val="20"/>
        </w:rPr>
        <w:t>GP, Practice 5, interview, R2]</w:t>
      </w:r>
    </w:p>
    <w:p w14:paraId="06AEF0A0" w14:textId="77777777" w:rsidR="001C19F3" w:rsidRDefault="001C19F3" w:rsidP="001C19F3">
      <w:pPr>
        <w:rPr>
          <w:szCs w:val="20"/>
        </w:rPr>
      </w:pPr>
      <w:r>
        <w:rPr>
          <w:szCs w:val="20"/>
        </w:rPr>
        <w:t xml:space="preserve">As stated above, some practices felt that the PRM did not consider all chronic illnesses and medical history when selecting patients, which has led to these issues. At one practice, this appeared to be the case even with patients who had common chronic conditions, such as COPD and diabetes. Other practices stated that the tool selected ineligible patients (e.g. clients of the Department of Veterans’ Affairs). The inclusion of these types of patients made it more difficult for clinicians to filter the suggested patients returned by the tool. One practice, who has a culturally diverse patient population, stated that while the tool was useful they felt that some of the patients were not appropriate for the program due to language barriers or their preference to always see their doctor. A practice nurse stated that the PRM did not identify which doctor treated each patient; therefore, it made it a more time-consuming process to do this matching. </w:t>
      </w:r>
    </w:p>
    <w:p w14:paraId="0051CD6C" w14:textId="77777777" w:rsidR="001C19F3" w:rsidRPr="00530BBF" w:rsidRDefault="001C19F3" w:rsidP="001C19F3">
      <w:pPr>
        <w:rPr>
          <w:i/>
        </w:rPr>
      </w:pPr>
      <w:r>
        <w:t>PHN practice facilitators also stated</w:t>
      </w:r>
      <w:r w:rsidRPr="000C5918">
        <w:t xml:space="preserve"> </w:t>
      </w:r>
      <w:r>
        <w:t>problems with the</w:t>
      </w:r>
      <w:r w:rsidRPr="000C5918">
        <w:t xml:space="preserve"> PRM</w:t>
      </w:r>
      <w:r>
        <w:t xml:space="preserve">. For example, they thought that it </w:t>
      </w:r>
      <w:r w:rsidRPr="000C5918">
        <w:t>is potentially too narrow</w:t>
      </w:r>
      <w:r>
        <w:t xml:space="preserve"> in that it doesn’t pick up patients with specific health issues such as HIV.</w:t>
      </w:r>
    </w:p>
    <w:p w14:paraId="5D424A8D" w14:textId="77777777" w:rsidR="001C19F3" w:rsidRDefault="001C19F3" w:rsidP="001C19F3">
      <w:pPr>
        <w:pStyle w:val="Heading3"/>
        <w:rPr>
          <w:rFonts w:eastAsia="Times New Roman"/>
        </w:rPr>
      </w:pPr>
      <w:r>
        <w:rPr>
          <w:rFonts w:eastAsia="Times New Roman"/>
        </w:rPr>
        <w:t>Hospital Admissions Risk Program</w:t>
      </w:r>
      <w:r w:rsidRPr="006F374E">
        <w:rPr>
          <w:rFonts w:eastAsia="Times New Roman"/>
        </w:rPr>
        <w:t xml:space="preserve"> </w:t>
      </w:r>
      <w:r>
        <w:rPr>
          <w:rFonts w:eastAsia="Times New Roman"/>
        </w:rPr>
        <w:t>(HARP) assessment tool</w:t>
      </w:r>
    </w:p>
    <w:p w14:paraId="5332E468" w14:textId="77777777" w:rsidR="001C19F3" w:rsidRDefault="001C19F3" w:rsidP="001C19F3">
      <w:r>
        <w:rPr>
          <w:szCs w:val="20"/>
        </w:rPr>
        <w:t xml:space="preserve">The second component of the RST, the HARP assessment, was used by practices to stratify patients into one of the three designated tiers. The practice survey for Round 2 revealed that for </w:t>
      </w:r>
      <w:r>
        <w:t>around 41% of practices, the HARP assessment was undertaken by a nurse. In around 30% of practices it was undertaken by a GP and in 16% by a GP and nurse together (</w:t>
      </w:r>
      <w:r>
        <w:fldChar w:fldCharType="begin"/>
      </w:r>
      <w:r>
        <w:instrText xml:space="preserve"> REF _Ref21015393 \h  \* MERGEFORMAT </w:instrText>
      </w:r>
      <w:r>
        <w:fldChar w:fldCharType="separate"/>
      </w:r>
      <w:r>
        <w:t>Table 41</w:t>
      </w:r>
      <w:r>
        <w:fldChar w:fldCharType="end"/>
      </w:r>
      <w:r>
        <w:t xml:space="preserve">). The vast majority of practices (87%) reported that patients mostly ended up “in the right tier”, Reasons practices believed this this didn’t occur are shown in </w:t>
      </w:r>
      <w:r>
        <w:fldChar w:fldCharType="begin"/>
      </w:r>
      <w:r>
        <w:instrText xml:space="preserve"> REF _Ref21015499 \h  \* MERGEFORMAT </w:instrText>
      </w:r>
      <w:r>
        <w:fldChar w:fldCharType="separate"/>
      </w:r>
      <w:r>
        <w:t>Table 42</w:t>
      </w:r>
      <w:r>
        <w:fldChar w:fldCharType="end"/>
      </w:r>
      <w:r>
        <w:t xml:space="preserve">. Most practices (55%) report the HARP tool was “very useful” or “useful” </w:t>
      </w:r>
      <w:r w:rsidRPr="00831094">
        <w:t>for assessing the care needs of patients</w:t>
      </w:r>
      <w:r>
        <w:t>, but quite a few (45%) considered the tool of limited or no use (</w:t>
      </w:r>
      <w:r>
        <w:fldChar w:fldCharType="begin"/>
      </w:r>
      <w:r>
        <w:instrText xml:space="preserve"> REF _Ref21015751 \h </w:instrText>
      </w:r>
      <w:r>
        <w:fldChar w:fldCharType="separate"/>
      </w:r>
      <w:r>
        <w:t xml:space="preserve">Table </w:t>
      </w:r>
      <w:r>
        <w:rPr>
          <w:noProof/>
        </w:rPr>
        <w:t>43</w:t>
      </w:r>
      <w:r>
        <w:fldChar w:fldCharType="end"/>
      </w:r>
      <w:r>
        <w:t>). Practices offered a range of suggestions on how the HARP assessment could be improved (</w:t>
      </w:r>
      <w:r>
        <w:fldChar w:fldCharType="begin"/>
      </w:r>
      <w:r>
        <w:instrText xml:space="preserve"> REF _Ref21014816 \h </w:instrText>
      </w:r>
      <w:r>
        <w:fldChar w:fldCharType="separate"/>
      </w:r>
      <w:r>
        <w:t xml:space="preserve">Table </w:t>
      </w:r>
      <w:r>
        <w:rPr>
          <w:noProof/>
        </w:rPr>
        <w:t>44</w:t>
      </w:r>
      <w:r>
        <w:fldChar w:fldCharType="end"/>
      </w:r>
      <w:r>
        <w:t>).</w:t>
      </w:r>
    </w:p>
    <w:p w14:paraId="62714232" w14:textId="77777777" w:rsidR="001C19F3" w:rsidRDefault="001C19F3" w:rsidP="001C19F3">
      <w:pPr>
        <w:pStyle w:val="Caption1"/>
        <w:spacing w:after="0"/>
      </w:pPr>
      <w:bookmarkStart w:id="254" w:name="_Ref21015393"/>
      <w:bookmarkStart w:id="255" w:name="_Ref21015388"/>
      <w:bookmarkStart w:id="256" w:name="_Hlk22645294"/>
      <w:r>
        <w:t xml:space="preserve">Table </w:t>
      </w:r>
      <w:r>
        <w:fldChar w:fldCharType="begin"/>
      </w:r>
      <w:r>
        <w:instrText>SEQ Table \* ARABIC</w:instrText>
      </w:r>
      <w:r>
        <w:fldChar w:fldCharType="separate"/>
      </w:r>
      <w:r>
        <w:rPr>
          <w:noProof/>
        </w:rPr>
        <w:t>41</w:t>
      </w:r>
      <w:r>
        <w:fldChar w:fldCharType="end"/>
      </w:r>
      <w:bookmarkEnd w:id="254"/>
      <w:r>
        <w:t xml:space="preserve"> – Staff who mainly did the HARP assessments</w:t>
      </w:r>
      <w:bookmarkEnd w:id="255"/>
    </w:p>
    <w:tbl>
      <w:tblPr>
        <w:tblW w:w="0" w:type="auto"/>
        <w:jc w:val="center"/>
        <w:tblLayout w:type="fixed"/>
        <w:tblLook w:val="04A0" w:firstRow="1" w:lastRow="0" w:firstColumn="1" w:lastColumn="0" w:noHBand="0" w:noVBand="1"/>
      </w:tblPr>
      <w:tblGrid>
        <w:gridCol w:w="3626"/>
        <w:gridCol w:w="1229"/>
      </w:tblGrid>
      <w:tr w:rsidR="001C19F3" w14:paraId="309AD1DB" w14:textId="77777777" w:rsidTr="00521305">
        <w:trPr>
          <w:cantSplit/>
          <w:trHeight w:val="482"/>
          <w:tblHeader/>
          <w:jc w:val="center"/>
        </w:trPr>
        <w:tc>
          <w:tcPr>
            <w:tcW w:w="3626"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56"/>
          <w:p w14:paraId="2E055EE4" w14:textId="77777777" w:rsidR="001C19F3" w:rsidRDefault="001C19F3" w:rsidP="00521305">
            <w:pPr>
              <w:spacing w:after="0"/>
              <w:jc w:val="center"/>
              <w:rPr>
                <w:rFonts w:eastAsiaTheme="minorHAnsi"/>
              </w:rPr>
            </w:pPr>
            <w:r>
              <w:rPr>
                <w:rFonts w:eastAsia="Century Gothic" w:cs="Century Gothic"/>
                <w:b/>
                <w:color w:val="FFFFFF"/>
                <w:sz w:val="18"/>
                <w:szCs w:val="18"/>
              </w:rPr>
              <w:lastRenderedPageBreak/>
              <w:t>Staff</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F162BCB" w14:textId="77777777" w:rsidR="001C19F3" w:rsidRDefault="001C19F3" w:rsidP="00521305">
            <w:pPr>
              <w:spacing w:after="0"/>
              <w:jc w:val="center"/>
            </w:pPr>
            <w:r>
              <w:rPr>
                <w:rFonts w:eastAsia="Century Gothic" w:cs="Century Gothic"/>
                <w:b/>
                <w:color w:val="FFFFFF"/>
                <w:sz w:val="18"/>
                <w:szCs w:val="18"/>
              </w:rPr>
              <w:t>Total</w:t>
            </w:r>
          </w:p>
        </w:tc>
      </w:tr>
      <w:tr w:rsidR="001C19F3" w14:paraId="02E48FD8" w14:textId="77777777" w:rsidTr="00521305">
        <w:trPr>
          <w:cantSplit/>
          <w:trHeight w:val="482"/>
          <w:tblHeader/>
          <w:jc w:val="center"/>
        </w:trPr>
        <w:tc>
          <w:tcPr>
            <w:tcW w:w="3626" w:type="dxa"/>
            <w:vMerge/>
            <w:tcBorders>
              <w:top w:val="single" w:sz="8" w:space="0" w:color="BFBFBF"/>
              <w:left w:val="single" w:sz="8" w:space="0" w:color="BFBFBF"/>
              <w:bottom w:val="single" w:sz="8" w:space="0" w:color="BFBFBF"/>
              <w:right w:val="single" w:sz="8" w:space="0" w:color="BFBFBF"/>
            </w:tcBorders>
            <w:vAlign w:val="center"/>
            <w:hideMark/>
          </w:tcPr>
          <w:p w14:paraId="3E71807F" w14:textId="77777777" w:rsidR="001C19F3" w:rsidRDefault="001C19F3" w:rsidP="00521305"/>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235B5BFC" w14:textId="77777777" w:rsidR="001C19F3" w:rsidRDefault="001C19F3" w:rsidP="00521305"/>
        </w:tc>
      </w:tr>
      <w:tr w:rsidR="001C19F3" w14:paraId="5C57AB48"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6EF4EA" w14:textId="77777777" w:rsidR="001C19F3" w:rsidRPr="00E1177F" w:rsidRDefault="001C19F3" w:rsidP="00521305">
            <w:pPr>
              <w:spacing w:before="40" w:after="40"/>
              <w:ind w:left="100" w:right="100"/>
            </w:pPr>
            <w:r w:rsidRPr="00E1177F">
              <w:rPr>
                <w:rFonts w:eastAsia="Century Gothic" w:cs="Century Gothic"/>
                <w:color w:val="000000"/>
                <w:sz w:val="18"/>
                <w:szCs w:val="18"/>
              </w:rPr>
              <w:t>GP</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B66543"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27 (29.3%)</w:t>
            </w:r>
          </w:p>
        </w:tc>
      </w:tr>
      <w:tr w:rsidR="001C19F3" w14:paraId="7A498150"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2D13C" w14:textId="77777777" w:rsidR="001C19F3" w:rsidRPr="00E1177F" w:rsidRDefault="001C19F3" w:rsidP="00521305">
            <w:pPr>
              <w:spacing w:before="40" w:after="40"/>
              <w:ind w:left="100" w:right="100"/>
            </w:pPr>
            <w:r w:rsidRPr="00E1177F">
              <w:rPr>
                <w:rFonts w:eastAsia="Century Gothic" w:cs="Century Gothic"/>
                <w:color w:val="000000"/>
                <w:sz w:val="18"/>
                <w:szCs w:val="18"/>
              </w:rPr>
              <w:t>Nurse practitioner/remote area nurse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1A9BD"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2 (2.2%)</w:t>
            </w:r>
          </w:p>
        </w:tc>
      </w:tr>
      <w:tr w:rsidR="001C19F3" w14:paraId="576B271E"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F2C91B" w14:textId="77777777" w:rsidR="001C19F3" w:rsidRPr="00E1177F" w:rsidRDefault="001C19F3" w:rsidP="00521305">
            <w:pPr>
              <w:spacing w:before="40" w:after="40"/>
              <w:ind w:left="100" w:right="100"/>
            </w:pPr>
            <w:r w:rsidRPr="00E1177F">
              <w:rPr>
                <w:rFonts w:eastAsia="Century Gothic" w:cs="Century Gothic"/>
                <w:color w:val="000000"/>
                <w:sz w:val="18"/>
                <w:szCs w:val="18"/>
              </w:rPr>
              <w:t>Practice nurse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9F224"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36 (39.1%)</w:t>
            </w:r>
          </w:p>
        </w:tc>
      </w:tr>
      <w:tr w:rsidR="001C19F3" w14:paraId="31C61B53"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C89426" w14:textId="77777777" w:rsidR="001C19F3" w:rsidRPr="00E1177F" w:rsidRDefault="001C19F3" w:rsidP="00521305">
            <w:pPr>
              <w:spacing w:before="40" w:after="40"/>
              <w:ind w:left="160" w:right="100"/>
            </w:pPr>
            <w:r w:rsidRPr="00E1177F">
              <w:rPr>
                <w:rFonts w:eastAsia="Century Gothic" w:cs="Century Gothic"/>
                <w:color w:val="000000"/>
                <w:sz w:val="18"/>
                <w:szCs w:val="18"/>
              </w:rPr>
              <w:t xml:space="preserve">GP and </w:t>
            </w:r>
            <w:r>
              <w:rPr>
                <w:rFonts w:eastAsia="Century Gothic" w:cs="Century Gothic"/>
                <w:color w:val="000000"/>
                <w:sz w:val="18"/>
                <w:szCs w:val="18"/>
              </w:rPr>
              <w:t>practice nurse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83F02"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15 (16.3%)</w:t>
            </w:r>
          </w:p>
        </w:tc>
      </w:tr>
      <w:tr w:rsidR="001C19F3" w14:paraId="42ADF37D"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1312B3" w14:textId="77777777" w:rsidR="001C19F3" w:rsidRPr="00E1177F" w:rsidRDefault="001C19F3" w:rsidP="00521305">
            <w:pPr>
              <w:spacing w:before="40" w:after="40"/>
              <w:ind w:left="160" w:right="100"/>
            </w:pPr>
            <w:r w:rsidRPr="00E1177F">
              <w:rPr>
                <w:rFonts w:eastAsia="Century Gothic" w:cs="Century Gothic"/>
                <w:color w:val="000000"/>
                <w:sz w:val="18"/>
                <w:szCs w:val="18"/>
              </w:rPr>
              <w:t>GP and clinical manager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124CF"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1 (1.1%)</w:t>
            </w:r>
          </w:p>
        </w:tc>
      </w:tr>
      <w:tr w:rsidR="001C19F3" w14:paraId="667AAC03"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62D788" w14:textId="77777777" w:rsidR="001C19F3" w:rsidRPr="00E1177F" w:rsidRDefault="001C19F3" w:rsidP="00521305">
            <w:pPr>
              <w:spacing w:before="40" w:after="40"/>
              <w:ind w:left="160" w:right="100"/>
            </w:pPr>
            <w:r w:rsidRPr="00E1177F">
              <w:rPr>
                <w:rFonts w:eastAsia="Century Gothic" w:cs="Century Gothic"/>
                <w:color w:val="000000"/>
                <w:sz w:val="18"/>
                <w:szCs w:val="18"/>
              </w:rPr>
              <w:t>P</w:t>
            </w:r>
            <w:r>
              <w:rPr>
                <w:rFonts w:eastAsia="Century Gothic" w:cs="Century Gothic"/>
                <w:color w:val="000000"/>
                <w:sz w:val="18"/>
                <w:szCs w:val="18"/>
              </w:rPr>
              <w:t>ractice nurse</w:t>
            </w:r>
            <w:r w:rsidRPr="00E1177F">
              <w:rPr>
                <w:rFonts w:eastAsia="Century Gothic" w:cs="Century Gothic"/>
                <w:color w:val="000000"/>
                <w:sz w:val="18"/>
                <w:szCs w:val="18"/>
              </w:rPr>
              <w:t xml:space="preserve"> and admin</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F33D12"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1 (1.1%)</w:t>
            </w:r>
          </w:p>
        </w:tc>
      </w:tr>
      <w:tr w:rsidR="001C19F3" w14:paraId="22F66527" w14:textId="77777777" w:rsidTr="00521305">
        <w:trPr>
          <w:cantSplit/>
          <w:trHeight w:val="113"/>
          <w:jc w:val="center"/>
        </w:trPr>
        <w:tc>
          <w:tcPr>
            <w:tcW w:w="36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25CC14" w14:textId="77777777" w:rsidR="001C19F3" w:rsidRPr="00E1177F" w:rsidRDefault="001C19F3" w:rsidP="00521305">
            <w:pPr>
              <w:spacing w:before="40" w:after="40"/>
              <w:ind w:left="100" w:right="100"/>
            </w:pPr>
            <w:r w:rsidRPr="00E1177F">
              <w:rPr>
                <w:rFonts w:eastAsia="Century Gothic" w:cs="Century Gothic"/>
                <w:color w:val="000000"/>
                <w:sz w:val="18"/>
                <w:szCs w:val="18"/>
              </w:rPr>
              <w:t>Other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12DEB3" w14:textId="77777777" w:rsidR="001C19F3" w:rsidRPr="00E1177F" w:rsidRDefault="001C19F3" w:rsidP="00521305">
            <w:pPr>
              <w:spacing w:before="40" w:after="40"/>
              <w:ind w:left="100" w:right="100"/>
              <w:jc w:val="right"/>
            </w:pPr>
            <w:r w:rsidRPr="00E1177F">
              <w:rPr>
                <w:rFonts w:eastAsia="Century Gothic" w:cs="Century Gothic"/>
                <w:color w:val="000000"/>
                <w:sz w:val="18"/>
                <w:szCs w:val="18"/>
              </w:rPr>
              <w:t>3 (3.3%)</w:t>
            </w:r>
          </w:p>
        </w:tc>
      </w:tr>
    </w:tbl>
    <w:p w14:paraId="619340C3" w14:textId="77777777" w:rsidR="001C19F3" w:rsidRPr="00DD521B" w:rsidRDefault="001C19F3" w:rsidP="001C19F3">
      <w:pPr>
        <w:pStyle w:val="Chartortablefootnote"/>
        <w:rPr>
          <w:rFonts w:eastAsia="Century Gothic" w:cs="Century Gothic"/>
          <w:i w:val="0"/>
          <w:color w:val="000000"/>
          <w:sz w:val="18"/>
        </w:rPr>
      </w:pPr>
      <w:r>
        <w:t>Source: Practice survey R2, Nov 2018-Mar 2019.</w:t>
      </w:r>
    </w:p>
    <w:p w14:paraId="69287080" w14:textId="77777777" w:rsidR="001C19F3" w:rsidRDefault="001C19F3" w:rsidP="001C19F3">
      <w:pPr>
        <w:pStyle w:val="Caption1"/>
        <w:spacing w:after="0"/>
      </w:pPr>
      <w:bookmarkStart w:id="257" w:name="_Ref21015499"/>
      <w:bookmarkStart w:id="258" w:name="_Hlk22645312"/>
      <w:r>
        <w:t xml:space="preserve">Table </w:t>
      </w:r>
      <w:r>
        <w:fldChar w:fldCharType="begin"/>
      </w:r>
      <w:r>
        <w:instrText>SEQ Table \* ARABIC</w:instrText>
      </w:r>
      <w:r>
        <w:fldChar w:fldCharType="separate"/>
      </w:r>
      <w:r>
        <w:rPr>
          <w:noProof/>
        </w:rPr>
        <w:t>42</w:t>
      </w:r>
      <w:r>
        <w:fldChar w:fldCharType="end"/>
      </w:r>
      <w:bookmarkEnd w:id="257"/>
      <w:r>
        <w:t xml:space="preserve"> – Assessment of whether patients mostly ended up in the right HCH tier</w:t>
      </w:r>
    </w:p>
    <w:tbl>
      <w:tblPr>
        <w:tblW w:w="5000" w:type="pct"/>
        <w:jc w:val="center"/>
        <w:tblLook w:val="04A0" w:firstRow="1" w:lastRow="0" w:firstColumn="1" w:lastColumn="0" w:noHBand="0" w:noVBand="1"/>
      </w:tblPr>
      <w:tblGrid>
        <w:gridCol w:w="7241"/>
        <w:gridCol w:w="1765"/>
      </w:tblGrid>
      <w:tr w:rsidR="001C19F3" w14:paraId="529D79B3" w14:textId="77777777" w:rsidTr="00521305">
        <w:trPr>
          <w:cantSplit/>
          <w:trHeight w:val="482"/>
          <w:tblHeader/>
          <w:jc w:val="center"/>
        </w:trPr>
        <w:tc>
          <w:tcPr>
            <w:tcW w:w="4020"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58"/>
          <w:p w14:paraId="4F70BB69" w14:textId="77777777" w:rsidR="001C19F3" w:rsidRDefault="001C19F3" w:rsidP="00521305">
            <w:pPr>
              <w:spacing w:after="0"/>
              <w:jc w:val="center"/>
              <w:rPr>
                <w:rFonts w:eastAsiaTheme="minorHAnsi"/>
              </w:rPr>
            </w:pPr>
            <w:r>
              <w:rPr>
                <w:rFonts w:eastAsia="Century Gothic" w:cs="Century Gothic"/>
                <w:b/>
                <w:color w:val="FFFFFF"/>
                <w:sz w:val="18"/>
                <w:szCs w:val="18"/>
              </w:rPr>
              <w:t>Response</w:t>
            </w:r>
          </w:p>
        </w:tc>
        <w:tc>
          <w:tcPr>
            <w:tcW w:w="980"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D28DFA" w14:textId="77777777" w:rsidR="001C19F3" w:rsidRDefault="001C19F3" w:rsidP="00521305">
            <w:pPr>
              <w:spacing w:after="0"/>
              <w:jc w:val="center"/>
            </w:pPr>
            <w:r>
              <w:rPr>
                <w:rFonts w:eastAsia="Century Gothic" w:cs="Century Gothic"/>
                <w:b/>
                <w:color w:val="FFFFFF"/>
                <w:sz w:val="18"/>
                <w:szCs w:val="18"/>
              </w:rPr>
              <w:t>Total</w:t>
            </w:r>
          </w:p>
        </w:tc>
      </w:tr>
      <w:tr w:rsidR="001C19F3" w14:paraId="2A9938B7" w14:textId="77777777" w:rsidTr="00521305">
        <w:trPr>
          <w:cantSplit/>
          <w:trHeight w:val="482"/>
          <w:tblHeader/>
          <w:jc w:val="center"/>
        </w:trPr>
        <w:tc>
          <w:tcPr>
            <w:tcW w:w="4020" w:type="pct"/>
            <w:vMerge/>
            <w:tcBorders>
              <w:top w:val="single" w:sz="8" w:space="0" w:color="BFBFBF"/>
              <w:left w:val="single" w:sz="8" w:space="0" w:color="BFBFBF"/>
              <w:bottom w:val="single" w:sz="8" w:space="0" w:color="BFBFBF"/>
              <w:right w:val="single" w:sz="8" w:space="0" w:color="BFBFBF"/>
            </w:tcBorders>
            <w:vAlign w:val="center"/>
            <w:hideMark/>
          </w:tcPr>
          <w:p w14:paraId="7E52A59C" w14:textId="77777777" w:rsidR="001C19F3" w:rsidRDefault="001C19F3" w:rsidP="00521305"/>
        </w:tc>
        <w:tc>
          <w:tcPr>
            <w:tcW w:w="980" w:type="pct"/>
            <w:vMerge/>
            <w:tcBorders>
              <w:top w:val="single" w:sz="8" w:space="0" w:color="BFBFBF"/>
              <w:left w:val="single" w:sz="8" w:space="0" w:color="BFBFBF"/>
              <w:bottom w:val="single" w:sz="8" w:space="0" w:color="BFBFBF"/>
              <w:right w:val="single" w:sz="8" w:space="0" w:color="BFBFBF"/>
            </w:tcBorders>
            <w:vAlign w:val="center"/>
            <w:hideMark/>
          </w:tcPr>
          <w:p w14:paraId="43A84CDB" w14:textId="77777777" w:rsidR="001C19F3" w:rsidRDefault="001C19F3" w:rsidP="00521305"/>
        </w:tc>
      </w:tr>
      <w:tr w:rsidR="001C19F3" w14:paraId="0597E8DB"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217F13" w14:textId="77777777" w:rsidR="001C19F3" w:rsidRDefault="001C19F3" w:rsidP="00521305">
            <w:pPr>
              <w:spacing w:before="40" w:after="40"/>
              <w:ind w:left="100" w:right="100"/>
            </w:pPr>
            <w:r>
              <w:rPr>
                <w:rFonts w:eastAsia="Century Gothic" w:cs="Century Gothic"/>
                <w:b/>
                <w:color w:val="000000"/>
                <w:sz w:val="18"/>
                <w:szCs w:val="18"/>
              </w:rPr>
              <w:t>Yes</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14D764" w14:textId="77777777" w:rsidR="001C19F3" w:rsidRDefault="001C19F3" w:rsidP="00521305">
            <w:pPr>
              <w:spacing w:before="40" w:after="40"/>
              <w:ind w:left="100" w:right="100"/>
              <w:jc w:val="right"/>
            </w:pPr>
            <w:r>
              <w:rPr>
                <w:rFonts w:eastAsia="Century Gothic" w:cs="Century Gothic"/>
                <w:b/>
                <w:color w:val="000000"/>
                <w:sz w:val="18"/>
                <w:szCs w:val="18"/>
              </w:rPr>
              <w:t>80 (87.0%)</w:t>
            </w:r>
          </w:p>
        </w:tc>
      </w:tr>
      <w:tr w:rsidR="001C19F3" w14:paraId="02E8C2F0"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CCBEA6" w14:textId="77777777" w:rsidR="001C19F3" w:rsidRDefault="001C19F3" w:rsidP="00521305">
            <w:pPr>
              <w:spacing w:before="40" w:after="40"/>
              <w:ind w:left="100" w:right="100"/>
            </w:pPr>
            <w:r>
              <w:rPr>
                <w:rFonts w:eastAsia="Century Gothic" w:cs="Century Gothic"/>
                <w:b/>
                <w:color w:val="000000"/>
                <w:sz w:val="18"/>
                <w:szCs w:val="18"/>
              </w:rPr>
              <w:t xml:space="preserve">No </w:t>
            </w:r>
            <w:r>
              <w:rPr>
                <w:szCs w:val="20"/>
              </w:rPr>
              <w:t>–</w:t>
            </w:r>
            <w:r>
              <w:rPr>
                <w:rFonts w:eastAsia="Century Gothic" w:cs="Century Gothic"/>
                <w:b/>
                <w:color w:val="000000"/>
                <w:sz w:val="18"/>
                <w:szCs w:val="18"/>
              </w:rPr>
              <w:t xml:space="preserve"> reason for not being right:</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BABCC5" w14:textId="77777777" w:rsidR="001C19F3" w:rsidRDefault="001C19F3" w:rsidP="00521305">
            <w:pPr>
              <w:spacing w:before="40" w:after="40"/>
              <w:ind w:left="100" w:right="100"/>
              <w:jc w:val="right"/>
            </w:pPr>
            <w:r>
              <w:rPr>
                <w:rFonts w:eastAsia="Century Gothic" w:cs="Century Gothic"/>
                <w:b/>
                <w:color w:val="000000"/>
                <w:sz w:val="18"/>
                <w:szCs w:val="18"/>
              </w:rPr>
              <w:t>10 (10.9%)</w:t>
            </w:r>
          </w:p>
        </w:tc>
      </w:tr>
      <w:tr w:rsidR="001C19F3" w14:paraId="5CF44B4D"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8B1DD8" w14:textId="77777777" w:rsidR="001C19F3" w:rsidRDefault="001C19F3" w:rsidP="00521305">
            <w:pPr>
              <w:spacing w:before="40" w:after="40"/>
              <w:ind w:left="160" w:right="100"/>
            </w:pPr>
            <w:r>
              <w:rPr>
                <w:rFonts w:eastAsia="Century Gothic" w:cs="Century Gothic"/>
                <w:color w:val="000000"/>
                <w:sz w:val="18"/>
                <w:szCs w:val="18"/>
              </w:rPr>
              <w:t>HARP tool doesn't identify comorbidities that impact on patient care</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04CB34" w14:textId="77777777" w:rsidR="001C19F3" w:rsidRDefault="001C19F3" w:rsidP="00521305">
            <w:pPr>
              <w:spacing w:before="40" w:after="40"/>
              <w:ind w:left="100" w:right="100"/>
              <w:jc w:val="right"/>
            </w:pPr>
            <w:r>
              <w:rPr>
                <w:rFonts w:eastAsia="Century Gothic" w:cs="Century Gothic"/>
                <w:color w:val="000000"/>
                <w:sz w:val="18"/>
                <w:szCs w:val="18"/>
              </w:rPr>
              <w:t>2 (2.2%)</w:t>
            </w:r>
          </w:p>
        </w:tc>
      </w:tr>
      <w:tr w:rsidR="001C19F3" w14:paraId="58D02426"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9B8C5" w14:textId="77777777" w:rsidR="001C19F3" w:rsidRDefault="001C19F3" w:rsidP="00521305">
            <w:pPr>
              <w:spacing w:before="40" w:after="40"/>
              <w:ind w:left="160" w:right="100"/>
            </w:pPr>
            <w:r>
              <w:rPr>
                <w:rFonts w:eastAsia="Century Gothic" w:cs="Century Gothic"/>
                <w:color w:val="000000"/>
                <w:sz w:val="18"/>
                <w:szCs w:val="18"/>
              </w:rPr>
              <w:t>Missing information in patients' notes</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321157"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68730327"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07B513" w14:textId="77777777" w:rsidR="001C19F3" w:rsidRDefault="001C19F3" w:rsidP="00521305">
            <w:pPr>
              <w:spacing w:before="40" w:after="40"/>
              <w:ind w:left="160" w:right="100"/>
            </w:pPr>
            <w:r>
              <w:rPr>
                <w:rFonts w:eastAsia="Century Gothic" w:cs="Century Gothic"/>
                <w:color w:val="000000"/>
                <w:sz w:val="18"/>
                <w:szCs w:val="18"/>
              </w:rPr>
              <w:t>Risk tier based on risk of hospitalisation does always reflect clinical need</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BA699F"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295315E5"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CDBE4" w14:textId="77777777" w:rsidR="001C19F3" w:rsidRDefault="001C19F3" w:rsidP="00521305">
            <w:pPr>
              <w:spacing w:before="40" w:after="40"/>
              <w:ind w:left="160" w:right="100"/>
            </w:pPr>
            <w:r>
              <w:rPr>
                <w:rFonts w:eastAsia="Century Gothic" w:cs="Century Gothic"/>
                <w:color w:val="000000"/>
                <w:sz w:val="18"/>
                <w:szCs w:val="18"/>
              </w:rPr>
              <w:t>RST didn't always identify morbidities in the database</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9C82CE"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2115605B"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7BABBC" w14:textId="77777777" w:rsidR="001C19F3" w:rsidRDefault="001C19F3" w:rsidP="00521305">
            <w:pPr>
              <w:spacing w:before="40" w:after="40"/>
              <w:ind w:left="160" w:right="100"/>
            </w:pPr>
            <w:r>
              <w:rPr>
                <w:rFonts w:eastAsia="Century Gothic" w:cs="Century Gothic"/>
                <w:color w:val="000000"/>
                <w:sz w:val="18"/>
                <w:szCs w:val="18"/>
              </w:rPr>
              <w:t>Smoking was scored too highly by the HARP tool</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783851"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055F63F1" w14:textId="77777777" w:rsidTr="00521305">
        <w:trPr>
          <w:cantSplit/>
          <w:jc w:val="center"/>
        </w:trPr>
        <w:tc>
          <w:tcPr>
            <w:tcW w:w="402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1E503C" w14:textId="77777777" w:rsidR="001C19F3" w:rsidRDefault="001C19F3" w:rsidP="00521305">
            <w:pPr>
              <w:spacing w:before="40" w:after="40"/>
              <w:ind w:left="100" w:right="100"/>
            </w:pPr>
            <w:r>
              <w:rPr>
                <w:rFonts w:eastAsia="Century Gothic" w:cs="Century Gothic"/>
                <w:b/>
                <w:color w:val="000000"/>
                <w:sz w:val="18"/>
                <w:szCs w:val="18"/>
              </w:rPr>
              <w:t>Don't know/ no response</w:t>
            </w:r>
          </w:p>
        </w:tc>
        <w:tc>
          <w:tcPr>
            <w:tcW w:w="9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F8EB15" w14:textId="77777777" w:rsidR="001C19F3" w:rsidRDefault="001C19F3" w:rsidP="00521305">
            <w:pPr>
              <w:spacing w:before="40" w:after="40"/>
              <w:ind w:left="100" w:right="100"/>
              <w:jc w:val="right"/>
            </w:pPr>
            <w:r>
              <w:rPr>
                <w:rFonts w:eastAsia="Century Gothic" w:cs="Century Gothic"/>
                <w:b/>
                <w:color w:val="000000"/>
                <w:sz w:val="18"/>
                <w:szCs w:val="18"/>
              </w:rPr>
              <w:t>2 (2.2%)</w:t>
            </w:r>
          </w:p>
        </w:tc>
      </w:tr>
    </w:tbl>
    <w:p w14:paraId="3789C9D3" w14:textId="77777777" w:rsidR="001C19F3" w:rsidRPr="00DD521B" w:rsidRDefault="001C19F3" w:rsidP="001C19F3">
      <w:pPr>
        <w:pStyle w:val="Chartortablefootnote"/>
        <w:rPr>
          <w:rFonts w:eastAsia="Century Gothic" w:cs="Century Gothic"/>
          <w:i w:val="0"/>
          <w:color w:val="000000"/>
          <w:sz w:val="18"/>
        </w:rPr>
      </w:pPr>
      <w:r>
        <w:t>Source: Practice survey R2, Nov 2018-Mar 2019.</w:t>
      </w:r>
    </w:p>
    <w:p w14:paraId="3C10831D" w14:textId="77777777" w:rsidR="001C19F3" w:rsidRDefault="001C19F3" w:rsidP="001C19F3">
      <w:pPr>
        <w:pStyle w:val="Caption1"/>
        <w:spacing w:after="0"/>
      </w:pPr>
      <w:bookmarkStart w:id="259" w:name="_Ref21015751"/>
      <w:bookmarkStart w:id="260" w:name="_Hlk22645327"/>
      <w:r>
        <w:t xml:space="preserve">Table </w:t>
      </w:r>
      <w:r>
        <w:fldChar w:fldCharType="begin"/>
      </w:r>
      <w:r>
        <w:instrText>SEQ Table \* ARABIC</w:instrText>
      </w:r>
      <w:r>
        <w:fldChar w:fldCharType="separate"/>
      </w:r>
      <w:r>
        <w:rPr>
          <w:noProof/>
        </w:rPr>
        <w:t>43</w:t>
      </w:r>
      <w:r>
        <w:fldChar w:fldCharType="end"/>
      </w:r>
      <w:bookmarkEnd w:id="259"/>
      <w:r>
        <w:t xml:space="preserve"> – Usefulness of the HARP tool</w:t>
      </w:r>
    </w:p>
    <w:tbl>
      <w:tblPr>
        <w:tblW w:w="5000" w:type="pct"/>
        <w:jc w:val="center"/>
        <w:tblLook w:val="04A0" w:firstRow="1" w:lastRow="0" w:firstColumn="1" w:lastColumn="0" w:noHBand="0" w:noVBand="1"/>
      </w:tblPr>
      <w:tblGrid>
        <w:gridCol w:w="3376"/>
        <w:gridCol w:w="1126"/>
        <w:gridCol w:w="1128"/>
        <w:gridCol w:w="1128"/>
        <w:gridCol w:w="1128"/>
        <w:gridCol w:w="1120"/>
      </w:tblGrid>
      <w:tr w:rsidR="001C19F3" w14:paraId="489EE3D8" w14:textId="77777777" w:rsidTr="00521305">
        <w:trPr>
          <w:cantSplit/>
          <w:trHeight w:val="57"/>
          <w:tblHeader/>
          <w:jc w:val="center"/>
        </w:trPr>
        <w:tc>
          <w:tcPr>
            <w:tcW w:w="187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60"/>
          <w:p w14:paraId="6082B2BF" w14:textId="77777777" w:rsidR="001C19F3" w:rsidRDefault="001C19F3" w:rsidP="00521305">
            <w:pPr>
              <w:spacing w:after="0"/>
              <w:jc w:val="center"/>
            </w:pPr>
            <w:r>
              <w:rPr>
                <w:rFonts w:eastAsia="Century Gothic" w:cs="Century Gothic"/>
                <w:b/>
                <w:color w:val="FFFFFF"/>
                <w:sz w:val="18"/>
                <w:szCs w:val="18"/>
              </w:rPr>
              <w:t>Response</w:t>
            </w:r>
          </w:p>
        </w:tc>
        <w:tc>
          <w:tcPr>
            <w:tcW w:w="62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10209B" w14:textId="77777777" w:rsidR="001C19F3" w:rsidRDefault="001C19F3" w:rsidP="00521305">
            <w:pPr>
              <w:spacing w:after="0"/>
              <w:jc w:val="center"/>
            </w:pPr>
            <w:r>
              <w:rPr>
                <w:rFonts w:eastAsia="Century Gothic" w:cs="Century Gothic"/>
                <w:b/>
                <w:color w:val="FFFFFF"/>
                <w:sz w:val="18"/>
                <w:szCs w:val="18"/>
              </w:rPr>
              <w:t>Very useful</w:t>
            </w:r>
          </w:p>
        </w:tc>
        <w:tc>
          <w:tcPr>
            <w:tcW w:w="62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BF9E45" w14:textId="77777777" w:rsidR="001C19F3" w:rsidRDefault="001C19F3" w:rsidP="00521305">
            <w:pPr>
              <w:spacing w:after="0"/>
              <w:jc w:val="center"/>
            </w:pPr>
            <w:r>
              <w:rPr>
                <w:rFonts w:eastAsia="Century Gothic" w:cs="Century Gothic"/>
                <w:b/>
                <w:color w:val="FFFFFF"/>
                <w:sz w:val="18"/>
                <w:szCs w:val="18"/>
              </w:rPr>
              <w:t>Moderately useful</w:t>
            </w:r>
          </w:p>
        </w:tc>
        <w:tc>
          <w:tcPr>
            <w:tcW w:w="62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C278D3D" w14:textId="77777777" w:rsidR="001C19F3" w:rsidRDefault="001C19F3" w:rsidP="00521305">
            <w:pPr>
              <w:spacing w:after="0"/>
              <w:jc w:val="center"/>
            </w:pPr>
            <w:r>
              <w:rPr>
                <w:rFonts w:eastAsia="Century Gothic" w:cs="Century Gothic"/>
                <w:b/>
                <w:color w:val="FFFFFF"/>
                <w:sz w:val="18"/>
                <w:szCs w:val="18"/>
              </w:rPr>
              <w:t>Limited usefulness</w:t>
            </w:r>
          </w:p>
        </w:tc>
        <w:tc>
          <w:tcPr>
            <w:tcW w:w="62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46244A4" w14:textId="77777777" w:rsidR="001C19F3" w:rsidRDefault="001C19F3" w:rsidP="00521305">
            <w:pPr>
              <w:spacing w:after="0"/>
              <w:jc w:val="center"/>
            </w:pPr>
            <w:r>
              <w:rPr>
                <w:rFonts w:eastAsia="Century Gothic" w:cs="Century Gothic"/>
                <w:b/>
                <w:color w:val="FFFFFF"/>
                <w:sz w:val="18"/>
                <w:szCs w:val="18"/>
              </w:rPr>
              <w:t>Not useful</w:t>
            </w:r>
          </w:p>
        </w:tc>
        <w:tc>
          <w:tcPr>
            <w:tcW w:w="62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8EFF536"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265B7400" w14:textId="77777777" w:rsidTr="00521305">
        <w:trPr>
          <w:cantSplit/>
          <w:trHeight w:val="442"/>
          <w:jc w:val="center"/>
        </w:trPr>
        <w:tc>
          <w:tcPr>
            <w:tcW w:w="187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97BD66" w14:textId="77777777" w:rsidR="001C19F3" w:rsidRDefault="001C19F3" w:rsidP="00521305">
            <w:pPr>
              <w:spacing w:before="40" w:after="40"/>
              <w:ind w:left="100" w:right="100"/>
            </w:pPr>
            <w:r>
              <w:rPr>
                <w:rFonts w:eastAsia="Century Gothic" w:cs="Century Gothic"/>
                <w:color w:val="000000"/>
                <w:sz w:val="18"/>
                <w:szCs w:val="18"/>
              </w:rPr>
              <w:t>Usefulness of the HARP tool for assessing the care needs of patients</w:t>
            </w:r>
          </w:p>
        </w:tc>
        <w:tc>
          <w:tcPr>
            <w:tcW w:w="62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49A30E" w14:textId="77777777" w:rsidR="001C19F3" w:rsidRDefault="001C19F3" w:rsidP="00521305">
            <w:pPr>
              <w:spacing w:before="40" w:after="40"/>
              <w:ind w:left="100" w:right="100"/>
              <w:jc w:val="right"/>
            </w:pPr>
            <w:r>
              <w:rPr>
                <w:rFonts w:eastAsia="Century Gothic" w:cs="Century Gothic"/>
                <w:color w:val="000000"/>
                <w:sz w:val="18"/>
                <w:szCs w:val="18"/>
              </w:rPr>
              <w:t>13 (14.6%)</w:t>
            </w:r>
          </w:p>
        </w:tc>
        <w:tc>
          <w:tcPr>
            <w:tcW w:w="62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014859" w14:textId="77777777" w:rsidR="001C19F3" w:rsidRDefault="001C19F3" w:rsidP="00521305">
            <w:pPr>
              <w:spacing w:before="40" w:after="40"/>
              <w:ind w:left="100" w:right="100"/>
              <w:jc w:val="right"/>
            </w:pPr>
            <w:r>
              <w:rPr>
                <w:rFonts w:eastAsia="Century Gothic" w:cs="Century Gothic"/>
                <w:color w:val="000000"/>
                <w:sz w:val="18"/>
                <w:szCs w:val="18"/>
              </w:rPr>
              <w:t>36 (40.4%)</w:t>
            </w:r>
          </w:p>
        </w:tc>
        <w:tc>
          <w:tcPr>
            <w:tcW w:w="62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414643" w14:textId="77777777" w:rsidR="001C19F3" w:rsidRDefault="001C19F3" w:rsidP="00521305">
            <w:pPr>
              <w:spacing w:before="40" w:after="40"/>
              <w:ind w:left="100" w:right="100"/>
              <w:jc w:val="right"/>
            </w:pPr>
            <w:r>
              <w:rPr>
                <w:rFonts w:eastAsia="Century Gothic" w:cs="Century Gothic"/>
                <w:color w:val="000000"/>
                <w:sz w:val="18"/>
                <w:szCs w:val="18"/>
              </w:rPr>
              <w:t>30 (33.7%)</w:t>
            </w:r>
          </w:p>
        </w:tc>
        <w:tc>
          <w:tcPr>
            <w:tcW w:w="62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316091" w14:textId="77777777" w:rsidR="001C19F3" w:rsidRDefault="001C19F3" w:rsidP="00521305">
            <w:pPr>
              <w:spacing w:before="40" w:after="40"/>
              <w:ind w:left="100" w:right="100"/>
              <w:jc w:val="right"/>
            </w:pPr>
            <w:r>
              <w:rPr>
                <w:rFonts w:eastAsia="Century Gothic" w:cs="Century Gothic"/>
                <w:color w:val="000000"/>
                <w:sz w:val="18"/>
                <w:szCs w:val="18"/>
              </w:rPr>
              <w:t>10 (11.2%)</w:t>
            </w:r>
          </w:p>
        </w:tc>
        <w:tc>
          <w:tcPr>
            <w:tcW w:w="6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52678D" w14:textId="77777777" w:rsidR="001C19F3" w:rsidRDefault="001C19F3" w:rsidP="00521305">
            <w:pPr>
              <w:spacing w:before="40" w:after="40"/>
              <w:ind w:left="100" w:right="100"/>
              <w:jc w:val="right"/>
            </w:pPr>
            <w:r>
              <w:rPr>
                <w:rFonts w:eastAsia="Century Gothic" w:cs="Century Gothic"/>
                <w:color w:val="000000"/>
                <w:sz w:val="18"/>
                <w:szCs w:val="18"/>
              </w:rPr>
              <w:t>3</w:t>
            </w:r>
          </w:p>
        </w:tc>
      </w:tr>
    </w:tbl>
    <w:p w14:paraId="1D7DED6F" w14:textId="77777777" w:rsidR="001C19F3" w:rsidRDefault="001C19F3" w:rsidP="001C19F3">
      <w:pPr>
        <w:pStyle w:val="Chartortablefootnote"/>
      </w:pPr>
      <w:r>
        <w:t>Source: Practice survey R2, Nov 2018-Mar 2019.</w:t>
      </w:r>
    </w:p>
    <w:p w14:paraId="030A6F1B" w14:textId="77777777" w:rsidR="001C19F3" w:rsidRDefault="001C19F3" w:rsidP="001C19F3">
      <w:pPr>
        <w:spacing w:after="160" w:line="259" w:lineRule="auto"/>
        <w:rPr>
          <w:i/>
          <w:sz w:val="16"/>
          <w:szCs w:val="18"/>
        </w:rPr>
      </w:pPr>
      <w:r>
        <w:br w:type="page"/>
      </w:r>
    </w:p>
    <w:p w14:paraId="4254FFA1" w14:textId="77777777" w:rsidR="001C19F3" w:rsidRDefault="001C19F3" w:rsidP="001C19F3">
      <w:pPr>
        <w:pStyle w:val="Caption1"/>
        <w:spacing w:after="0"/>
      </w:pPr>
      <w:bookmarkStart w:id="261" w:name="_Ref21014816"/>
      <w:bookmarkStart w:id="262" w:name="_Hlk22645348"/>
      <w:r>
        <w:lastRenderedPageBreak/>
        <w:t xml:space="preserve">Table </w:t>
      </w:r>
      <w:r>
        <w:fldChar w:fldCharType="begin"/>
      </w:r>
      <w:r>
        <w:instrText>SEQ Table \* ARABIC</w:instrText>
      </w:r>
      <w:r>
        <w:fldChar w:fldCharType="separate"/>
      </w:r>
      <w:r>
        <w:rPr>
          <w:noProof/>
        </w:rPr>
        <w:t>44</w:t>
      </w:r>
      <w:r>
        <w:fldChar w:fldCharType="end"/>
      </w:r>
      <w:bookmarkEnd w:id="261"/>
      <w:r>
        <w:t xml:space="preserve"> – Suggestions for improving the assignment of patients to tiers (including responses from withdrawn practices)</w:t>
      </w:r>
    </w:p>
    <w:tbl>
      <w:tblPr>
        <w:tblW w:w="5163" w:type="pct"/>
        <w:jc w:val="center"/>
        <w:tblLook w:val="04A0" w:firstRow="1" w:lastRow="0" w:firstColumn="1" w:lastColumn="0" w:noHBand="0" w:noVBand="1"/>
      </w:tblPr>
      <w:tblGrid>
        <w:gridCol w:w="3534"/>
        <w:gridCol w:w="1218"/>
        <w:gridCol w:w="231"/>
        <w:gridCol w:w="3417"/>
        <w:gridCol w:w="900"/>
      </w:tblGrid>
      <w:tr w:rsidR="001C19F3" w14:paraId="2C9D8133" w14:textId="77777777" w:rsidTr="00521305">
        <w:trPr>
          <w:cantSplit/>
          <w:trHeight w:val="336"/>
          <w:tblHeader/>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62"/>
          <w:p w14:paraId="51DF8C65" w14:textId="77777777" w:rsidR="001C19F3" w:rsidRDefault="001C19F3" w:rsidP="00521305">
            <w:pPr>
              <w:jc w:val="center"/>
            </w:pPr>
            <w:r>
              <w:rPr>
                <w:rFonts w:eastAsia="Century Gothic" w:cs="Century Gothic"/>
                <w:b/>
                <w:color w:val="FFFFFF"/>
                <w:sz w:val="18"/>
                <w:szCs w:val="18"/>
              </w:rPr>
              <w:t>Response</w:t>
            </w:r>
          </w:p>
        </w:tc>
        <w:tc>
          <w:tcPr>
            <w:tcW w:w="65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19E56C" w14:textId="77777777" w:rsidR="001C19F3" w:rsidRDefault="001C19F3" w:rsidP="00521305">
            <w:pPr>
              <w:jc w:val="center"/>
            </w:pPr>
            <w:r>
              <w:rPr>
                <w:rFonts w:eastAsia="Century Gothic" w:cs="Century Gothic"/>
                <w:b/>
                <w:color w:val="FFFFFF"/>
                <w:sz w:val="18"/>
                <w:szCs w:val="18"/>
              </w:rPr>
              <w:t>n (%)</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hideMark/>
          </w:tcPr>
          <w:p w14:paraId="648314D5" w14:textId="77777777" w:rsidR="001C19F3" w:rsidRDefault="001C19F3" w:rsidP="00521305">
            <w:pPr>
              <w:jc w:val="center"/>
            </w:pPr>
            <w:r>
              <w:rPr>
                <w:rFonts w:eastAsia="Century Gothic" w:cs="Century Gothic"/>
                <w:b/>
                <w:color w:val="FFFFFF"/>
                <w:sz w:val="18"/>
                <w:szCs w:val="18"/>
              </w:rPr>
              <w:t xml:space="preserve"> </w:t>
            </w:r>
          </w:p>
        </w:tc>
        <w:tc>
          <w:tcPr>
            <w:tcW w:w="183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3C31CDA" w14:textId="77777777" w:rsidR="001C19F3" w:rsidRDefault="001C19F3" w:rsidP="00521305">
            <w:pPr>
              <w:jc w:val="center"/>
            </w:pPr>
            <w:r>
              <w:rPr>
                <w:rFonts w:eastAsia="Century Gothic" w:cs="Century Gothic"/>
                <w:b/>
                <w:color w:val="FFFFFF"/>
                <w:sz w:val="18"/>
                <w:szCs w:val="18"/>
              </w:rPr>
              <w:t>Response</w:t>
            </w:r>
          </w:p>
        </w:tc>
        <w:tc>
          <w:tcPr>
            <w:tcW w:w="48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F369922" w14:textId="77777777" w:rsidR="001C19F3" w:rsidRDefault="001C19F3" w:rsidP="00521305">
            <w:pPr>
              <w:jc w:val="center"/>
            </w:pPr>
            <w:r>
              <w:rPr>
                <w:rFonts w:eastAsia="Century Gothic" w:cs="Century Gothic"/>
                <w:b/>
                <w:color w:val="FFFFFF"/>
                <w:sz w:val="18"/>
                <w:szCs w:val="18"/>
              </w:rPr>
              <w:t>n (%)</w:t>
            </w:r>
          </w:p>
        </w:tc>
      </w:tr>
      <w:tr w:rsidR="001C19F3" w14:paraId="5708DF9E"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723ED2" w14:textId="77777777" w:rsidR="001C19F3" w:rsidRDefault="001C19F3" w:rsidP="00521305">
            <w:pPr>
              <w:spacing w:before="40" w:after="40"/>
              <w:ind w:left="100" w:right="100"/>
            </w:pPr>
            <w:r>
              <w:rPr>
                <w:rFonts w:eastAsia="Century Gothic" w:cs="Century Gothic"/>
                <w:color w:val="000000"/>
                <w:sz w:val="18"/>
                <w:szCs w:val="18"/>
              </w:rPr>
              <w:t>Increase the weight for multiple morbidities</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E0C819" w14:textId="77777777" w:rsidR="001C19F3" w:rsidRDefault="001C19F3" w:rsidP="00521305">
            <w:pPr>
              <w:spacing w:before="40" w:after="40"/>
              <w:ind w:left="100" w:right="100"/>
              <w:jc w:val="right"/>
            </w:pPr>
            <w:r>
              <w:rPr>
                <w:rFonts w:eastAsia="Century Gothic" w:cs="Century Gothic"/>
                <w:color w:val="000000"/>
                <w:sz w:val="18"/>
                <w:szCs w:val="18"/>
              </w:rPr>
              <w:t>11 (10.5%)</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78691755"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B1172E" w14:textId="77777777" w:rsidR="001C19F3" w:rsidRDefault="001C19F3" w:rsidP="00521305">
            <w:pPr>
              <w:spacing w:before="40" w:after="40"/>
              <w:ind w:left="100" w:right="100"/>
            </w:pPr>
            <w:r>
              <w:rPr>
                <w:rFonts w:eastAsia="Century Gothic" w:cs="Century Gothic"/>
                <w:color w:val="000000"/>
                <w:sz w:val="18"/>
                <w:szCs w:val="18"/>
              </w:rPr>
              <w:t>Include a measure of cancer</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D330EE"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07D62902"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77A358" w14:textId="77777777" w:rsidR="001C19F3" w:rsidRDefault="001C19F3" w:rsidP="00521305">
            <w:pPr>
              <w:spacing w:before="40" w:after="40"/>
              <w:ind w:left="100" w:right="100"/>
            </w:pPr>
            <w:r>
              <w:rPr>
                <w:rFonts w:eastAsia="Century Gothic" w:cs="Century Gothic"/>
                <w:color w:val="000000"/>
                <w:sz w:val="18"/>
                <w:szCs w:val="18"/>
              </w:rPr>
              <w:t>Remove age restriction regarding complex patients</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20C82" w14:textId="77777777" w:rsidR="001C19F3" w:rsidRDefault="001C19F3" w:rsidP="00521305">
            <w:pPr>
              <w:spacing w:before="40" w:after="40"/>
              <w:ind w:left="100" w:right="100"/>
              <w:jc w:val="right"/>
            </w:pPr>
            <w:r>
              <w:rPr>
                <w:rFonts w:eastAsia="Century Gothic" w:cs="Century Gothic"/>
                <w:color w:val="000000"/>
                <w:sz w:val="18"/>
                <w:szCs w:val="18"/>
              </w:rPr>
              <w:t>8 (7.6%)</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7166B123"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A68AB9" w14:textId="77777777" w:rsidR="001C19F3" w:rsidRDefault="001C19F3" w:rsidP="00521305">
            <w:pPr>
              <w:spacing w:before="40" w:after="40"/>
              <w:ind w:left="100" w:right="100"/>
            </w:pPr>
            <w:r>
              <w:rPr>
                <w:rFonts w:eastAsia="Century Gothic" w:cs="Century Gothic"/>
                <w:color w:val="000000"/>
                <w:sz w:val="18"/>
                <w:szCs w:val="18"/>
              </w:rPr>
              <w:t>Include morbid obesity</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248A31"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26CB5B61"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FF5D6" w14:textId="77777777" w:rsidR="001C19F3" w:rsidRDefault="001C19F3" w:rsidP="00521305">
            <w:pPr>
              <w:spacing w:before="40" w:after="40"/>
              <w:ind w:left="100" w:right="100"/>
            </w:pPr>
            <w:r>
              <w:rPr>
                <w:rFonts w:eastAsia="Century Gothic" w:cs="Century Gothic"/>
                <w:color w:val="000000"/>
                <w:sz w:val="18"/>
                <w:szCs w:val="18"/>
              </w:rPr>
              <w:t>Simpler and clearer wording (for patient/ nursing team)</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B6F0DA" w14:textId="77777777" w:rsidR="001C19F3" w:rsidRDefault="001C19F3" w:rsidP="00521305">
            <w:pPr>
              <w:spacing w:before="40" w:after="40"/>
              <w:ind w:left="100" w:right="100"/>
              <w:jc w:val="right"/>
            </w:pPr>
            <w:r>
              <w:rPr>
                <w:rFonts w:eastAsia="Century Gothic" w:cs="Century Gothic"/>
                <w:color w:val="000000"/>
                <w:sz w:val="18"/>
                <w:szCs w:val="18"/>
              </w:rPr>
              <w:t>8 (7.6%)</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3A42BA6E"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F6E2A2" w14:textId="77777777" w:rsidR="001C19F3" w:rsidRDefault="001C19F3" w:rsidP="00521305">
            <w:pPr>
              <w:spacing w:before="40" w:after="40"/>
              <w:ind w:left="100" w:right="100"/>
            </w:pPr>
            <w:r>
              <w:rPr>
                <w:rFonts w:eastAsia="Century Gothic" w:cs="Century Gothic"/>
                <w:color w:val="000000"/>
                <w:sz w:val="18"/>
                <w:szCs w:val="18"/>
              </w:rPr>
              <w:t>Take into account the severity of disease</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611E12" w14:textId="77777777" w:rsidR="001C19F3" w:rsidRDefault="001C19F3" w:rsidP="00521305">
            <w:pPr>
              <w:spacing w:before="40" w:after="40"/>
              <w:ind w:left="100" w:right="100"/>
              <w:jc w:val="right"/>
            </w:pPr>
            <w:r>
              <w:rPr>
                <w:rFonts w:eastAsia="Century Gothic" w:cs="Century Gothic"/>
                <w:color w:val="000000"/>
                <w:sz w:val="18"/>
                <w:szCs w:val="18"/>
              </w:rPr>
              <w:t>2 (1.9%)</w:t>
            </w:r>
          </w:p>
        </w:tc>
      </w:tr>
      <w:tr w:rsidR="001C19F3" w14:paraId="4F68FE31"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7D4C9D" w14:textId="77777777" w:rsidR="001C19F3" w:rsidRDefault="001C19F3" w:rsidP="00521305">
            <w:pPr>
              <w:spacing w:before="40" w:after="40"/>
              <w:ind w:left="100" w:right="100"/>
            </w:pPr>
            <w:r>
              <w:rPr>
                <w:rFonts w:eastAsia="Century Gothic" w:cs="Century Gothic"/>
                <w:color w:val="000000"/>
                <w:sz w:val="18"/>
                <w:szCs w:val="18"/>
              </w:rPr>
              <w:t>Include complex medical conditions</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F0FB99" w14:textId="77777777" w:rsidR="001C19F3" w:rsidRDefault="001C19F3" w:rsidP="00521305">
            <w:pPr>
              <w:spacing w:before="40" w:after="40"/>
              <w:ind w:left="100" w:right="100"/>
              <w:jc w:val="right"/>
            </w:pPr>
            <w:r>
              <w:rPr>
                <w:rFonts w:eastAsia="Century Gothic" w:cs="Century Gothic"/>
                <w:color w:val="000000"/>
                <w:sz w:val="18"/>
                <w:szCs w:val="18"/>
              </w:rPr>
              <w:t>7 (6.7%)</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66F1113E"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F70AF" w14:textId="77777777" w:rsidR="001C19F3" w:rsidRDefault="001C19F3" w:rsidP="00521305">
            <w:pPr>
              <w:spacing w:before="40" w:after="40"/>
              <w:ind w:left="100" w:right="100"/>
            </w:pPr>
            <w:r>
              <w:rPr>
                <w:rFonts w:eastAsia="Century Gothic" w:cs="Century Gothic"/>
                <w:color w:val="000000"/>
                <w:sz w:val="18"/>
                <w:szCs w:val="18"/>
              </w:rPr>
              <w:t>Distance to specialist care</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02B866"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357A7F47"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C6F2D" w14:textId="77777777" w:rsidR="001C19F3" w:rsidRDefault="001C19F3" w:rsidP="00521305">
            <w:pPr>
              <w:spacing w:before="40" w:after="40"/>
              <w:ind w:left="100" w:right="100"/>
            </w:pPr>
            <w:r>
              <w:rPr>
                <w:rFonts w:eastAsia="Century Gothic" w:cs="Century Gothic"/>
                <w:color w:val="000000"/>
                <w:sz w:val="18"/>
                <w:szCs w:val="18"/>
              </w:rPr>
              <w:t>Include frequency of GP visits</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71CEDD" w14:textId="77777777" w:rsidR="001C19F3" w:rsidRDefault="001C19F3" w:rsidP="00521305">
            <w:pPr>
              <w:spacing w:before="40" w:after="40"/>
              <w:ind w:left="100" w:right="100"/>
              <w:jc w:val="right"/>
            </w:pPr>
            <w:r>
              <w:rPr>
                <w:rFonts w:eastAsia="Century Gothic" w:cs="Century Gothic"/>
                <w:color w:val="000000"/>
                <w:sz w:val="18"/>
                <w:szCs w:val="18"/>
              </w:rPr>
              <w:t>7 (6.7%)</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7F19D2FE"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C04AE5" w14:textId="77777777" w:rsidR="001C19F3" w:rsidRDefault="001C19F3" w:rsidP="00521305">
            <w:pPr>
              <w:spacing w:before="40" w:after="40"/>
              <w:ind w:left="100" w:right="100"/>
            </w:pPr>
            <w:r>
              <w:rPr>
                <w:rFonts w:eastAsia="Century Gothic" w:cs="Century Gothic"/>
                <w:color w:val="000000"/>
                <w:sz w:val="18"/>
                <w:szCs w:val="18"/>
              </w:rPr>
              <w:t>Include Aboriginal trauma</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05E6F8"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09599221"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718FB3" w14:textId="77777777" w:rsidR="001C19F3" w:rsidRDefault="001C19F3" w:rsidP="00521305">
            <w:pPr>
              <w:spacing w:before="40" w:after="40"/>
              <w:ind w:left="100" w:right="100"/>
            </w:pPr>
            <w:r>
              <w:rPr>
                <w:rFonts w:eastAsia="Century Gothic" w:cs="Century Gothic"/>
                <w:color w:val="000000"/>
                <w:sz w:val="18"/>
                <w:szCs w:val="18"/>
              </w:rPr>
              <w:t>Include a measure of health literacy</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A295C1" w14:textId="77777777" w:rsidR="001C19F3" w:rsidRDefault="001C19F3" w:rsidP="00521305">
            <w:pPr>
              <w:spacing w:before="40" w:after="40"/>
              <w:ind w:left="100" w:right="100"/>
              <w:jc w:val="right"/>
            </w:pPr>
            <w:r>
              <w:rPr>
                <w:rFonts w:eastAsia="Century Gothic" w:cs="Century Gothic"/>
                <w:color w:val="000000"/>
                <w:sz w:val="18"/>
                <w:szCs w:val="18"/>
              </w:rPr>
              <w:t>6 (5.7%)</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6A57CAC7"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0B20F0" w14:textId="77777777" w:rsidR="001C19F3" w:rsidRDefault="001C19F3" w:rsidP="00521305">
            <w:pPr>
              <w:spacing w:before="40" w:after="40"/>
              <w:ind w:left="100" w:right="100"/>
            </w:pPr>
            <w:r>
              <w:rPr>
                <w:rFonts w:eastAsia="Century Gothic" w:cs="Century Gothic"/>
                <w:color w:val="000000"/>
                <w:sz w:val="18"/>
                <w:szCs w:val="18"/>
              </w:rPr>
              <w:t>Include mobility assessment</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B7F90"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071910F5"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47B528" w14:textId="77777777" w:rsidR="001C19F3" w:rsidRDefault="001C19F3" w:rsidP="00521305">
            <w:pPr>
              <w:spacing w:before="40" w:after="40"/>
              <w:ind w:left="100" w:right="100"/>
            </w:pPr>
            <w:r>
              <w:rPr>
                <w:rFonts w:eastAsia="Century Gothic" w:cs="Century Gothic"/>
                <w:color w:val="000000"/>
                <w:sz w:val="18"/>
                <w:szCs w:val="18"/>
              </w:rPr>
              <w:t>Increase assessment/ weight of mental health</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FDB012" w14:textId="77777777" w:rsidR="001C19F3" w:rsidRDefault="001C19F3" w:rsidP="00521305">
            <w:pPr>
              <w:spacing w:before="40" w:after="40"/>
              <w:ind w:left="100" w:right="100"/>
              <w:jc w:val="right"/>
            </w:pPr>
            <w:r>
              <w:rPr>
                <w:rFonts w:eastAsia="Century Gothic" w:cs="Century Gothic"/>
                <w:color w:val="000000"/>
                <w:sz w:val="18"/>
                <w:szCs w:val="18"/>
              </w:rPr>
              <w:t>4 (3.8%)</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20589C00"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5706A" w14:textId="77777777" w:rsidR="001C19F3" w:rsidRDefault="001C19F3" w:rsidP="00521305">
            <w:pPr>
              <w:spacing w:before="40" w:after="40"/>
              <w:ind w:left="100" w:right="100"/>
            </w:pPr>
            <w:r>
              <w:rPr>
                <w:rFonts w:eastAsia="Century Gothic" w:cs="Century Gothic"/>
                <w:color w:val="000000"/>
                <w:sz w:val="18"/>
                <w:szCs w:val="18"/>
              </w:rPr>
              <w:t>Include the activities of daily living (ADLs)</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963FC5"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6BC6A7DC"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AC4DCD" w14:textId="77777777" w:rsidR="001C19F3" w:rsidRDefault="001C19F3" w:rsidP="00521305">
            <w:pPr>
              <w:spacing w:before="40" w:after="40"/>
              <w:ind w:left="100" w:right="100"/>
            </w:pPr>
            <w:r>
              <w:rPr>
                <w:rFonts w:eastAsia="Century Gothic" w:cs="Century Gothic"/>
                <w:color w:val="000000"/>
                <w:sz w:val="18"/>
                <w:szCs w:val="18"/>
              </w:rPr>
              <w:t>Impact of financial characteristic needs refining</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319501" w14:textId="77777777" w:rsidR="001C19F3" w:rsidRDefault="001C19F3" w:rsidP="00521305">
            <w:pPr>
              <w:spacing w:before="40" w:after="40"/>
              <w:ind w:left="100" w:right="100"/>
              <w:jc w:val="right"/>
            </w:pPr>
            <w:r>
              <w:rPr>
                <w:rFonts w:eastAsia="Century Gothic" w:cs="Century Gothic"/>
                <w:color w:val="000000"/>
                <w:sz w:val="18"/>
                <w:szCs w:val="18"/>
              </w:rPr>
              <w:t>3 (2.9%)</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012E3104"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1B1E46" w14:textId="77777777" w:rsidR="001C19F3" w:rsidRDefault="001C19F3" w:rsidP="00521305">
            <w:pPr>
              <w:spacing w:before="40" w:after="40"/>
              <w:ind w:left="100" w:right="100"/>
            </w:pPr>
            <w:r>
              <w:rPr>
                <w:rFonts w:eastAsia="Century Gothic" w:cs="Century Gothic"/>
                <w:color w:val="000000"/>
                <w:sz w:val="18"/>
                <w:szCs w:val="18"/>
              </w:rPr>
              <w:t>Increase the weight for disabilities</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6549A1"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31C8A261"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22A539" w14:textId="77777777" w:rsidR="001C19F3" w:rsidRDefault="001C19F3" w:rsidP="00521305">
            <w:pPr>
              <w:spacing w:before="40" w:after="40"/>
              <w:ind w:left="100" w:right="100"/>
            </w:pPr>
            <w:r>
              <w:rPr>
                <w:rFonts w:eastAsia="Century Gothic" w:cs="Century Gothic"/>
                <w:color w:val="000000"/>
                <w:sz w:val="18"/>
                <w:szCs w:val="18"/>
              </w:rPr>
              <w:t>Include a measure of compliance</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2950C1" w14:textId="77777777" w:rsidR="001C19F3" w:rsidRDefault="001C19F3" w:rsidP="00521305">
            <w:pPr>
              <w:spacing w:before="40" w:after="40"/>
              <w:ind w:left="100" w:right="100"/>
              <w:jc w:val="right"/>
            </w:pPr>
            <w:r>
              <w:rPr>
                <w:rFonts w:eastAsia="Century Gothic" w:cs="Century Gothic"/>
                <w:color w:val="000000"/>
                <w:sz w:val="18"/>
                <w:szCs w:val="18"/>
              </w:rPr>
              <w:t>3 (2.9%)</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5F0BB5CE"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A9ACB" w14:textId="77777777" w:rsidR="001C19F3" w:rsidRDefault="001C19F3" w:rsidP="00521305">
            <w:pPr>
              <w:spacing w:before="40" w:after="40"/>
              <w:ind w:left="100" w:right="100"/>
            </w:pPr>
            <w:r>
              <w:rPr>
                <w:rFonts w:eastAsia="Century Gothic" w:cs="Century Gothic"/>
                <w:color w:val="000000"/>
                <w:sz w:val="18"/>
                <w:szCs w:val="18"/>
              </w:rPr>
              <w:t>Questions on readiness to change seem inappropriate</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213A5B"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06615512"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0A3D99" w14:textId="77777777" w:rsidR="001C19F3" w:rsidRDefault="001C19F3" w:rsidP="00521305">
            <w:pPr>
              <w:spacing w:before="40" w:after="40"/>
              <w:ind w:left="100" w:right="100"/>
            </w:pPr>
            <w:r>
              <w:rPr>
                <w:rFonts w:eastAsia="Century Gothic" w:cs="Century Gothic"/>
                <w:color w:val="000000"/>
                <w:sz w:val="18"/>
                <w:szCs w:val="18"/>
              </w:rPr>
              <w:t>Include more risk factors</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EA1909" w14:textId="77777777" w:rsidR="001C19F3" w:rsidRDefault="001C19F3" w:rsidP="00521305">
            <w:pPr>
              <w:spacing w:before="40" w:after="40"/>
              <w:ind w:left="100" w:right="100"/>
              <w:jc w:val="right"/>
            </w:pPr>
            <w:r>
              <w:rPr>
                <w:rFonts w:eastAsia="Century Gothic" w:cs="Century Gothic"/>
                <w:color w:val="000000"/>
                <w:sz w:val="18"/>
                <w:szCs w:val="18"/>
              </w:rPr>
              <w:t>3 (2.9%)</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67CF2AE2"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AD1E49" w14:textId="77777777" w:rsidR="001C19F3" w:rsidRDefault="001C19F3" w:rsidP="00521305">
            <w:pPr>
              <w:spacing w:before="40" w:after="40"/>
              <w:ind w:left="100" w:right="100"/>
            </w:pPr>
            <w:r>
              <w:rPr>
                <w:rFonts w:eastAsia="Century Gothic" w:cs="Century Gothic"/>
                <w:color w:val="000000"/>
                <w:sz w:val="18"/>
                <w:szCs w:val="18"/>
              </w:rPr>
              <w:t>Service access profile should include access to services at home</w:t>
            </w: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6F8580"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3A8568AE" w14:textId="77777777" w:rsidTr="00521305">
        <w:trPr>
          <w:cantSplit/>
          <w:trHeight w:val="442"/>
          <w:jc w:val="center"/>
        </w:trPr>
        <w:tc>
          <w:tcPr>
            <w:tcW w:w="19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0957A6" w14:textId="77777777" w:rsidR="001C19F3" w:rsidRDefault="001C19F3" w:rsidP="00521305">
            <w:pPr>
              <w:spacing w:before="40" w:after="40"/>
              <w:ind w:left="100" w:right="100"/>
            </w:pPr>
            <w:r>
              <w:rPr>
                <w:rFonts w:eastAsia="Century Gothic" w:cs="Century Gothic"/>
                <w:color w:val="000000"/>
                <w:sz w:val="18"/>
                <w:szCs w:val="18"/>
              </w:rPr>
              <w:t>Social issues</w:t>
            </w:r>
          </w:p>
        </w:tc>
        <w:tc>
          <w:tcPr>
            <w:tcW w:w="65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74596B" w14:textId="77777777" w:rsidR="001C19F3" w:rsidRDefault="001C19F3" w:rsidP="00521305">
            <w:pPr>
              <w:spacing w:before="40" w:after="40"/>
              <w:ind w:left="100" w:right="100"/>
              <w:jc w:val="right"/>
            </w:pPr>
            <w:r>
              <w:rPr>
                <w:rFonts w:eastAsia="Century Gothic" w:cs="Century Gothic"/>
                <w:color w:val="000000"/>
                <w:sz w:val="18"/>
                <w:szCs w:val="18"/>
              </w:rPr>
              <w:t>3 (2.9%)</w:t>
            </w:r>
          </w:p>
        </w:tc>
        <w:tc>
          <w:tcPr>
            <w:tcW w:w="124" w:type="pct"/>
            <w:tcBorders>
              <w:left w:val="single" w:sz="8" w:space="0" w:color="BFBFBF"/>
              <w:right w:val="single" w:sz="8" w:space="0" w:color="BFBFBF"/>
            </w:tcBorders>
            <w:shd w:val="clear" w:color="auto" w:fill="FFFFFF" w:themeFill="background1"/>
            <w:tcMar>
              <w:top w:w="0" w:type="dxa"/>
              <w:left w:w="0" w:type="dxa"/>
              <w:bottom w:w="0" w:type="dxa"/>
              <w:right w:w="0" w:type="dxa"/>
            </w:tcMar>
            <w:vAlign w:val="center"/>
          </w:tcPr>
          <w:p w14:paraId="7E9716BD" w14:textId="77777777" w:rsidR="001C19F3" w:rsidRDefault="001C19F3" w:rsidP="00521305">
            <w:pPr>
              <w:spacing w:before="40" w:after="40"/>
              <w:ind w:left="100" w:right="100"/>
              <w:jc w:val="right"/>
            </w:pPr>
          </w:p>
        </w:tc>
        <w:tc>
          <w:tcPr>
            <w:tcW w:w="183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504BB2" w14:textId="77777777" w:rsidR="001C19F3" w:rsidRDefault="001C19F3" w:rsidP="00521305">
            <w:pPr>
              <w:spacing w:before="40" w:after="40"/>
              <w:ind w:left="100" w:right="100"/>
            </w:pPr>
          </w:p>
        </w:tc>
        <w:tc>
          <w:tcPr>
            <w:tcW w:w="48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74A907" w14:textId="77777777" w:rsidR="001C19F3" w:rsidRDefault="001C19F3" w:rsidP="00521305">
            <w:pPr>
              <w:spacing w:before="40" w:after="40"/>
              <w:ind w:left="100" w:right="100"/>
              <w:jc w:val="right"/>
            </w:pPr>
          </w:p>
        </w:tc>
      </w:tr>
    </w:tbl>
    <w:p w14:paraId="2B0DADDC" w14:textId="77777777" w:rsidR="001C19F3" w:rsidRDefault="001C19F3" w:rsidP="001C19F3">
      <w:pPr>
        <w:pStyle w:val="Chartortablefootnote"/>
        <w:rPr>
          <w:rFonts w:cstheme="minorBidi"/>
          <w:szCs w:val="20"/>
        </w:rPr>
      </w:pPr>
      <w:r>
        <w:t>Source: Practice survey R2, Nov 2018-Mar 2019, question 9.</w:t>
      </w:r>
    </w:p>
    <w:p w14:paraId="46D391CF" w14:textId="77777777" w:rsidR="001C19F3" w:rsidRDefault="001C19F3" w:rsidP="001C19F3">
      <w:pPr>
        <w:rPr>
          <w:rFonts w:eastAsiaTheme="minorHAnsi"/>
          <w:szCs w:val="20"/>
        </w:rPr>
      </w:pPr>
      <w:r>
        <w:rPr>
          <w:szCs w:val="20"/>
        </w:rPr>
        <w:t xml:space="preserve">Throughout the practice interviews, several themes around the HARP tool emerged. Many practices felt that the assessment result did not accurately reflect the severity of patients’ conditions, which meant that they felt that the allocated bundled payment amount was not enough to care for certain patients: </w:t>
      </w:r>
    </w:p>
    <w:p w14:paraId="3D8D9794" w14:textId="77777777" w:rsidR="001C19F3" w:rsidRDefault="001C19F3" w:rsidP="001C19F3">
      <w:pPr>
        <w:ind w:left="567" w:right="1088"/>
        <w:rPr>
          <w:szCs w:val="20"/>
        </w:rPr>
      </w:pPr>
      <w:r>
        <w:rPr>
          <w:i/>
          <w:szCs w:val="20"/>
        </w:rPr>
        <w:t>“So, for example, I had a gentleman who was at home with his wife, on the farm, with no services at all, looking after himself, with severe cardio-vascular disease, mixed valvular and ischemic heart disease, who was in-and-out of hospital, marginally controlled, and came out as a one, and yet I was seeing him weekly, and twice weekly sometimes.”</w:t>
      </w:r>
      <w:r>
        <w:rPr>
          <w:szCs w:val="20"/>
        </w:rPr>
        <w:t xml:space="preserve"> [GP, Practice 4, interview, R2]</w:t>
      </w:r>
    </w:p>
    <w:p w14:paraId="7BFCD963" w14:textId="77777777" w:rsidR="001C19F3" w:rsidRDefault="001C19F3" w:rsidP="001C19F3">
      <w:pPr>
        <w:ind w:left="567" w:right="1088"/>
        <w:rPr>
          <w:szCs w:val="20"/>
        </w:rPr>
      </w:pPr>
      <w:r>
        <w:rPr>
          <w:i/>
          <w:szCs w:val="20"/>
        </w:rPr>
        <w:t xml:space="preserve">“The tiers were confusing too. I know </w:t>
      </w:r>
      <w:r w:rsidRPr="00DD521B">
        <w:rPr>
          <w:szCs w:val="20"/>
        </w:rPr>
        <w:t xml:space="preserve">[GP] </w:t>
      </w:r>
      <w:r>
        <w:rPr>
          <w:i/>
          <w:szCs w:val="20"/>
        </w:rPr>
        <w:t>and I had a lot of conversations about it. The tiers I don’t think are reflective...We were very worried that the allocation of percentages in each tier weren’t maybe reflective of every area. We have a very low socio-economic here, and elderly population as well. So just with that low socio-economics, there's a lot more chronic disease, a lot more instability.”</w:t>
      </w:r>
      <w:r>
        <w:rPr>
          <w:szCs w:val="20"/>
        </w:rPr>
        <w:t xml:space="preserve"> [Practice nurse, Practice 6, interview, R2]</w:t>
      </w:r>
    </w:p>
    <w:p w14:paraId="2E2C95E4" w14:textId="77777777" w:rsidR="001C19F3" w:rsidRDefault="001C19F3" w:rsidP="001C19F3">
      <w:pPr>
        <w:ind w:left="567" w:right="1088"/>
        <w:rPr>
          <w:szCs w:val="20"/>
        </w:rPr>
      </w:pPr>
      <w:r>
        <w:rPr>
          <w:i/>
          <w:szCs w:val="20"/>
        </w:rPr>
        <w:t>“…Poorly weighted towards comorbidities. Very poorly weighted. I added a 10 I got one on tier three. And there’s a couple of those other patients that I don’t think we would be remunerated appropriately if we would continue if they’re on a tier one or two.”</w:t>
      </w:r>
      <w:r>
        <w:rPr>
          <w:szCs w:val="20"/>
        </w:rPr>
        <w:t xml:space="preserve"> [Practice nurse, Practice 7, interview, R2]</w:t>
      </w:r>
    </w:p>
    <w:p w14:paraId="7F7F0718" w14:textId="77777777" w:rsidR="001C19F3" w:rsidRDefault="001C19F3" w:rsidP="001C19F3">
      <w:pPr>
        <w:ind w:left="567" w:right="1088"/>
        <w:rPr>
          <w:szCs w:val="20"/>
        </w:rPr>
      </w:pPr>
      <w:r>
        <w:rPr>
          <w:i/>
          <w:szCs w:val="20"/>
        </w:rPr>
        <w:lastRenderedPageBreak/>
        <w:t>“The other thing I have with risk stratification, when it brings up, you know, a different condition, it doesn’t really cover everything, and then we have to make a thing that maybe they just fit in a lower tier. Otherwise, they are really very complex. But I just think they can’t find the diagnosis or whatever, and that’s why they’re getting to a lower tier, otherwise they are really needing complex management.”</w:t>
      </w:r>
      <w:r>
        <w:rPr>
          <w:szCs w:val="20"/>
        </w:rPr>
        <w:t xml:space="preserve"> [GP, Practice 16, interview, R2]</w:t>
      </w:r>
    </w:p>
    <w:p w14:paraId="4740178F" w14:textId="77777777" w:rsidR="001C19F3" w:rsidRDefault="001C19F3" w:rsidP="001C19F3">
      <w:pPr>
        <w:rPr>
          <w:szCs w:val="20"/>
        </w:rPr>
      </w:pPr>
      <w:r>
        <w:rPr>
          <w:szCs w:val="20"/>
        </w:rPr>
        <w:t xml:space="preserve">Practices commented that the HARP tool poorly assessed patient comorbidities and did not list or weight certain chronic conditions, including cancer, chronic pain, and drug &amp; alcohol addiction. While practices felt that the assessment tool weighted social aspects, such as isolation and quality of life, and mental health issues quite well, they felt that there should be more emphasis on patients’ medical conditions, the time it takes for individuals to manage their conditions (taking off work for doctors’ appointments), comorbidities, and physical needs. </w:t>
      </w:r>
    </w:p>
    <w:p w14:paraId="00D49BE6" w14:textId="77777777" w:rsidR="001C19F3" w:rsidRDefault="001C19F3" w:rsidP="001C19F3">
      <w:pPr>
        <w:rPr>
          <w:szCs w:val="20"/>
        </w:rPr>
      </w:pPr>
      <w:r>
        <w:rPr>
          <w:szCs w:val="20"/>
        </w:rPr>
        <w:t>Both practices and PHNs used the words “vague,” and “subjective” to describe the HARP assessment questions, which they thought may have contributed to issues around interpretation and variability of patients’ tier allocations. Some practices had different clinicians complete the HARP assessment for the same patients and found that their scores varied widely. They felt that the broad interpretation of the HARP questions was apparent amongst both practice staff and patients. Individuals stated that patients tend to underestimate the burden of their conditions, which may lead to lower tier placements. Practices suggested providing additional guidance by indicating who should be completing the HARP assessment with the patient, the context of the questions, how it should be completed, and the way in which staff members should interpret both the questions and answer options.</w:t>
      </w:r>
    </w:p>
    <w:p w14:paraId="776D7CF3" w14:textId="77777777" w:rsidR="001C19F3" w:rsidRDefault="001C19F3" w:rsidP="001C19F3">
      <w:pPr>
        <w:rPr>
          <w:szCs w:val="20"/>
        </w:rPr>
      </w:pPr>
      <w:r>
        <w:rPr>
          <w:szCs w:val="20"/>
        </w:rPr>
        <w:t>A few practices were concerned about the validity of the HARP tool and the ability to manipulate the results because they stated that they could determine patients’ tiers by answering only one or two select questions in a certain way:</w:t>
      </w:r>
    </w:p>
    <w:p w14:paraId="3E5F7189" w14:textId="77777777" w:rsidR="001C19F3" w:rsidRDefault="001C19F3" w:rsidP="001C19F3">
      <w:pPr>
        <w:ind w:left="567" w:right="1088"/>
        <w:rPr>
          <w:szCs w:val="20"/>
        </w:rPr>
      </w:pPr>
      <w:r>
        <w:rPr>
          <w:i/>
          <w:szCs w:val="20"/>
        </w:rPr>
        <w:t>“…If you look at it, you can score everybody as a high impact, okay they might have five chronic illnesses and their ability to manage these is obviously not good because they’re still requiring lots of input from the GP. Yes, is that a high impact? And if you say, yes it’s a high impact that immediately puts them into tier three. Straightaway, without any other scores. Because that gives them 15 points.”</w:t>
      </w:r>
      <w:r>
        <w:rPr>
          <w:szCs w:val="20"/>
        </w:rPr>
        <w:t xml:space="preserve"> [Practice nurse, Practice 13, interview, R2]</w:t>
      </w:r>
    </w:p>
    <w:p w14:paraId="6E937281" w14:textId="77777777" w:rsidR="001C19F3" w:rsidRDefault="001C19F3" w:rsidP="001C19F3">
      <w:pPr>
        <w:rPr>
          <w:szCs w:val="20"/>
        </w:rPr>
      </w:pPr>
      <w:r>
        <w:rPr>
          <w:szCs w:val="20"/>
        </w:rPr>
        <w:t>One practice struggled with the personal nature of the HARP assessment questions. It was especially difficult for nurses to conduct the assessment with patients as they did not have the relationship that GPs have with some patients:</w:t>
      </w:r>
    </w:p>
    <w:p w14:paraId="299CA19F" w14:textId="77777777" w:rsidR="001C19F3" w:rsidRDefault="001C19F3" w:rsidP="001C19F3">
      <w:pPr>
        <w:ind w:left="567" w:right="1088"/>
        <w:rPr>
          <w:szCs w:val="20"/>
        </w:rPr>
      </w:pPr>
      <w:r>
        <w:rPr>
          <w:i/>
          <w:szCs w:val="20"/>
        </w:rPr>
        <w:t xml:space="preserve">“I found that they don't like the HARP…some of them </w:t>
      </w:r>
      <w:r w:rsidRPr="00220D26">
        <w:rPr>
          <w:iCs/>
          <w:szCs w:val="20"/>
        </w:rPr>
        <w:t>[the doctors</w:t>
      </w:r>
      <w:r>
        <w:rPr>
          <w:iCs/>
          <w:szCs w:val="20"/>
        </w:rPr>
        <w:t xml:space="preserve">] </w:t>
      </w:r>
      <w:r>
        <w:rPr>
          <w:i/>
          <w:szCs w:val="20"/>
        </w:rPr>
        <w:t>don’t even have time, now trying to put it on to us nurses, but we don’t really know a lot of the patients, so it’s really hard. And some of the questions, like one of the questions about finances and things like that. One of the patients got really…what are you asking me that for? That’s got really nothing to do with you, so I did find that one a bit tricky as well.”</w:t>
      </w:r>
      <w:r>
        <w:rPr>
          <w:szCs w:val="20"/>
        </w:rPr>
        <w:t xml:space="preserve"> [Practice nurse, Practice 1, interview, R2]</w:t>
      </w:r>
    </w:p>
    <w:p w14:paraId="78F113D2" w14:textId="77777777" w:rsidR="001C19F3" w:rsidRPr="00D13339" w:rsidRDefault="001C19F3" w:rsidP="001C19F3">
      <w:r w:rsidRPr="00D13339">
        <w:lastRenderedPageBreak/>
        <w:t xml:space="preserve">PHNs also raised issues with </w:t>
      </w:r>
      <w:r>
        <w:t xml:space="preserve">the </w:t>
      </w:r>
      <w:r w:rsidRPr="00D13339">
        <w:t>scoring approach for specific dimensions. One concern was that all chronic diseases are scored equally. Another is the emphasis on social factors. A consequence is that children are assessed as being more complex because they have a carer:</w:t>
      </w:r>
    </w:p>
    <w:p w14:paraId="53924EEE" w14:textId="77777777" w:rsidR="001C19F3" w:rsidRPr="00530BBF" w:rsidRDefault="001C19F3" w:rsidP="001C19F3">
      <w:pPr>
        <w:ind w:left="567" w:right="1088"/>
        <w:rPr>
          <w:i/>
        </w:rPr>
      </w:pPr>
      <w:r w:rsidRPr="00D13339">
        <w:rPr>
          <w:i/>
        </w:rPr>
        <w:t xml:space="preserve"> “I think the HARP model is really for 45+ so it really doesn’t take into consideration some of the particular aspects of sort of under…if you’re under 18 and …need someone to drive them to their appointments. They do need a guardian therefore it’s not taking that age factor into consideration. And if this model is not to exclude any age groups then the HARP system needs to take that into consideration.” </w:t>
      </w:r>
      <w:r w:rsidRPr="00D13339">
        <w:t>[PHN 7, interview</w:t>
      </w:r>
      <w:r>
        <w:t>, R1]</w:t>
      </w:r>
    </w:p>
    <w:p w14:paraId="2EEAF32D" w14:textId="77777777" w:rsidR="001C19F3" w:rsidRDefault="001C19F3" w:rsidP="001C19F3">
      <w:r>
        <w:t>PHNs also offered some suggestions to improve the implementation of the HARP:</w:t>
      </w:r>
    </w:p>
    <w:p w14:paraId="067FE2B6" w14:textId="77777777" w:rsidR="001C19F3" w:rsidRDefault="001C19F3" w:rsidP="001C19F3">
      <w:pPr>
        <w:pStyle w:val="ListParagraph"/>
        <w:numPr>
          <w:ilvl w:val="0"/>
          <w:numId w:val="61"/>
        </w:numPr>
      </w:pPr>
      <w:r>
        <w:t>“</w:t>
      </w:r>
      <w:r w:rsidRPr="0083377B">
        <w:rPr>
          <w:i/>
        </w:rPr>
        <w:t>Improved clarification around wording and interpretation of HARP questions</w:t>
      </w:r>
      <w:r>
        <w:t>”. [PHN 6, survey, R1]</w:t>
      </w:r>
    </w:p>
    <w:p w14:paraId="73292007" w14:textId="77777777" w:rsidR="001C19F3" w:rsidRDefault="001C19F3" w:rsidP="001C19F3">
      <w:pPr>
        <w:pStyle w:val="ListParagraph"/>
        <w:numPr>
          <w:ilvl w:val="0"/>
          <w:numId w:val="61"/>
        </w:numPr>
      </w:pPr>
      <w:r>
        <w:t>“</w:t>
      </w:r>
      <w:r w:rsidRPr="0083377B">
        <w:rPr>
          <w:i/>
        </w:rPr>
        <w:t>Clearer, more concise guidelines and interpretations on the HARP assessment tool</w:t>
      </w:r>
      <w:r>
        <w:t>”. [PHN 2, survey, R1]</w:t>
      </w:r>
    </w:p>
    <w:p w14:paraId="0BBEAA6D" w14:textId="77777777" w:rsidR="001C19F3" w:rsidRDefault="001C19F3" w:rsidP="001C19F3">
      <w:pPr>
        <w:pStyle w:val="ListParagraph"/>
        <w:numPr>
          <w:ilvl w:val="0"/>
          <w:numId w:val="61"/>
        </w:numPr>
      </w:pPr>
      <w:r>
        <w:t>“</w:t>
      </w:r>
      <w:r w:rsidRPr="0083377B">
        <w:rPr>
          <w:i/>
        </w:rPr>
        <w:t>Explanatory guide around interpretation of the HARP</w:t>
      </w:r>
      <w:r>
        <w:t>”. [PHN 7, survey, R1]</w:t>
      </w:r>
    </w:p>
    <w:p w14:paraId="2C9CD112" w14:textId="77777777" w:rsidR="001C19F3" w:rsidRDefault="001C19F3" w:rsidP="001C19F3">
      <w:pPr>
        <w:rPr>
          <w:szCs w:val="20"/>
        </w:rPr>
      </w:pPr>
      <w:r>
        <w:rPr>
          <w:szCs w:val="20"/>
        </w:rPr>
        <w:t>Some practices stated that the level of funding allocated to the tiers was a major factor in their decision to enrol specific patients in HCH; they could not justify enrolling some patients in HCH despite the potential benefits:</w:t>
      </w:r>
    </w:p>
    <w:p w14:paraId="170D5F3B" w14:textId="77777777" w:rsidR="001C19F3" w:rsidRDefault="001C19F3" w:rsidP="001C19F3">
      <w:pPr>
        <w:ind w:left="567" w:right="1088"/>
        <w:rPr>
          <w:szCs w:val="20"/>
        </w:rPr>
      </w:pPr>
      <w:r>
        <w:rPr>
          <w:i/>
          <w:szCs w:val="20"/>
        </w:rPr>
        <w:t>“At the very beginning we probably were doing everything backwards in that we identified patients that would benefit from the program but then they would necessarily be reflected on that risk stratification tool as in, this patient had high-end care. Some patients missed out for that reason, if that makes sense. They may only have been a tier one or tier two, but their needs were great. From the practice perspective it wasn’t always feasible for us to actually enrol them. We did look at quite a few patients and balanced that and then waited, but at the end of the day it is a business too.”</w:t>
      </w:r>
      <w:r>
        <w:rPr>
          <w:szCs w:val="20"/>
        </w:rPr>
        <w:t xml:space="preserve"> [Practice nurse, Practice 13, interview, R2]</w:t>
      </w:r>
    </w:p>
    <w:p w14:paraId="770B1D0B" w14:textId="77777777" w:rsidR="001C19F3" w:rsidRDefault="001C19F3" w:rsidP="001C19F3">
      <w:pPr>
        <w:pStyle w:val="Heading2"/>
        <w:rPr>
          <w:rFonts w:eastAsia="Times New Roman"/>
        </w:rPr>
      </w:pPr>
      <w:bookmarkStart w:id="263" w:name="_Toc27056570"/>
      <w:r>
        <w:rPr>
          <w:rFonts w:eastAsia="Times New Roman"/>
        </w:rPr>
        <w:t>Other issues</w:t>
      </w:r>
      <w:bookmarkEnd w:id="263"/>
    </w:p>
    <w:p w14:paraId="00661B32" w14:textId="77777777" w:rsidR="001C19F3" w:rsidRDefault="001C19F3" w:rsidP="001C19F3">
      <w:pPr>
        <w:pStyle w:val="Heading3"/>
        <w:rPr>
          <w:rFonts w:eastAsia="Times New Roman"/>
        </w:rPr>
      </w:pPr>
      <w:r>
        <w:rPr>
          <w:rFonts w:eastAsia="Times New Roman"/>
        </w:rPr>
        <w:t>Software implementation</w:t>
      </w:r>
    </w:p>
    <w:p w14:paraId="682E0BBA" w14:textId="77777777" w:rsidR="001C19F3" w:rsidRDefault="001C19F3" w:rsidP="001C19F3">
      <w:r>
        <w:t xml:space="preserve">A challenge with the RST was the compatibility of the tool with practice clinical management systems. Initially the tool was compatible with </w:t>
      </w:r>
      <w:r w:rsidRPr="008F7CDE">
        <w:t>Best Practice</w:t>
      </w:r>
      <w:r>
        <w:t xml:space="preserve"> and</w:t>
      </w:r>
      <w:r w:rsidRPr="008F7CDE">
        <w:t xml:space="preserve"> Medical Director</w:t>
      </w:r>
      <w:r>
        <w:t xml:space="preserve"> and later </w:t>
      </w:r>
      <w:r w:rsidRPr="007003BF">
        <w:t>ZedMed, Monet and MedTech32</w:t>
      </w:r>
      <w:r>
        <w:t>. Incompatibility with practice clinical management systems was the reason that nine of the initial 200 practices selected to participate in HCH did not take up the offer.</w:t>
      </w:r>
    </w:p>
    <w:p w14:paraId="4984D21C" w14:textId="77777777" w:rsidR="001C19F3" w:rsidRDefault="001C19F3" w:rsidP="001C19F3">
      <w:r>
        <w:t xml:space="preserve">A related hurdle was installation of the system within practices, sometimes reflecting the IT environment and/ or skills of practice staff. </w:t>
      </w:r>
    </w:p>
    <w:p w14:paraId="077D67D9" w14:textId="77777777" w:rsidR="001C19F3" w:rsidRPr="008760C3" w:rsidRDefault="001C19F3" w:rsidP="001C19F3">
      <w:pPr>
        <w:ind w:left="567" w:right="1088"/>
        <w:rPr>
          <w:szCs w:val="20"/>
        </w:rPr>
      </w:pPr>
      <w:r w:rsidRPr="008760C3">
        <w:rPr>
          <w:i/>
          <w:szCs w:val="20"/>
        </w:rPr>
        <w:t>“Every time we went to register someone, it didn’t work. And then, as a clinician you know, if something doesn’t work now, you’ve got other things to do, that for me is the least of your worries.”</w:t>
      </w:r>
      <w:r w:rsidRPr="008760C3">
        <w:rPr>
          <w:szCs w:val="20"/>
        </w:rPr>
        <w:t xml:space="preserve"> [GP, Practice 15, interview</w:t>
      </w:r>
      <w:r>
        <w:rPr>
          <w:szCs w:val="20"/>
        </w:rPr>
        <w:t>, R2]</w:t>
      </w:r>
    </w:p>
    <w:p w14:paraId="7105A3FB" w14:textId="77777777" w:rsidR="001C19F3" w:rsidRDefault="001C19F3" w:rsidP="001C19F3"/>
    <w:p w14:paraId="0070BE36" w14:textId="77777777" w:rsidR="001C19F3" w:rsidRDefault="001C19F3" w:rsidP="001C19F3">
      <w:r>
        <w:t xml:space="preserve">Both Precedence Health Care and practice facilitators supported practices with this. </w:t>
      </w:r>
    </w:p>
    <w:p w14:paraId="003DD1FF" w14:textId="77777777" w:rsidR="001C19F3" w:rsidRDefault="001C19F3" w:rsidP="001C19F3">
      <w:r w:rsidRPr="004A43EB">
        <w:t xml:space="preserve">Compatibility issues with Communicare continued into </w:t>
      </w:r>
      <w:r>
        <w:t>2019 and was impacted by a concurrent update to Communicare to flag HCH patients in the system and produce the extracts required for the evaluation. These technical and practical issues contributed to delays in the NT ACCHS implementing the program. To avoid further delays resulting from the RST, the Department of Health instructed the ACCHS to bypass the PRM and instead use the threshold approach for identifying potentially eligible patients, followed by the HARP tool built into Communicare.</w:t>
      </w:r>
    </w:p>
    <w:p w14:paraId="5EADD5D7" w14:textId="77777777" w:rsidR="001C19F3" w:rsidRDefault="001C19F3" w:rsidP="001C19F3">
      <w:r>
        <w:t>In the PHN survey, it was suggested m</w:t>
      </w:r>
      <w:r w:rsidRPr="004B23B3">
        <w:t xml:space="preserve">ore time </w:t>
      </w:r>
      <w:r>
        <w:t xml:space="preserve">was required </w:t>
      </w:r>
      <w:r w:rsidRPr="004B23B3">
        <w:t xml:space="preserve">for testing prior to </w:t>
      </w:r>
      <w:r>
        <w:t xml:space="preserve">RST </w:t>
      </w:r>
      <w:r w:rsidRPr="004B23B3">
        <w:t>implementation</w:t>
      </w:r>
      <w:r>
        <w:t>. Enhancements to the tool suggest included:</w:t>
      </w:r>
    </w:p>
    <w:p w14:paraId="4DF172E8" w14:textId="77777777" w:rsidR="001C19F3" w:rsidRPr="0083377B" w:rsidRDefault="001C19F3" w:rsidP="001C19F3">
      <w:pPr>
        <w:pStyle w:val="ListParagraph"/>
        <w:numPr>
          <w:ilvl w:val="0"/>
          <w:numId w:val="23"/>
        </w:numPr>
      </w:pPr>
      <w:r>
        <w:t>D</w:t>
      </w:r>
      <w:r w:rsidRPr="0083377B">
        <w:t>isplay</w:t>
      </w:r>
      <w:r>
        <w:t>ing</w:t>
      </w:r>
      <w:r w:rsidRPr="0083377B">
        <w:t xml:space="preserve"> the most at</w:t>
      </w:r>
      <w:r>
        <w:t>-</w:t>
      </w:r>
      <w:r w:rsidRPr="0083377B">
        <w:t>risk patients at the top of the list (including patients not yet enrolled)</w:t>
      </w:r>
      <w:r>
        <w:t>.</w:t>
      </w:r>
    </w:p>
    <w:p w14:paraId="42D1FB88" w14:textId="77777777" w:rsidR="001C19F3" w:rsidRDefault="001C19F3" w:rsidP="001C19F3">
      <w:pPr>
        <w:pStyle w:val="ListParagraph"/>
        <w:numPr>
          <w:ilvl w:val="0"/>
          <w:numId w:val="23"/>
        </w:numPr>
      </w:pPr>
      <w:r>
        <w:t>Building in an a</w:t>
      </w:r>
      <w:r w:rsidRPr="0083377B">
        <w:t xml:space="preserve">bility to filter </w:t>
      </w:r>
      <w:r>
        <w:t xml:space="preserve">for eligibility by selected </w:t>
      </w:r>
      <w:r w:rsidRPr="0083377B">
        <w:t>criteria (e.g. chronic condition, last hospitalisation, regular GP etc.).</w:t>
      </w:r>
    </w:p>
    <w:p w14:paraId="0CAB74AA" w14:textId="77777777" w:rsidR="001C19F3" w:rsidRDefault="001C19F3" w:rsidP="001C19F3">
      <w:pPr>
        <w:pStyle w:val="ListParagraph"/>
        <w:numPr>
          <w:ilvl w:val="0"/>
          <w:numId w:val="23"/>
        </w:numPr>
      </w:pPr>
      <w:r>
        <w:t>Integrating with HPOS and other HCH enrolment processes.</w:t>
      </w:r>
    </w:p>
    <w:p w14:paraId="28A75296" w14:textId="77777777" w:rsidR="001C19F3" w:rsidRPr="00BA7D0D" w:rsidRDefault="001C19F3" w:rsidP="001C19F3">
      <w:pPr>
        <w:pStyle w:val="Heading3"/>
        <w:rPr>
          <w:rFonts w:eastAsia="Times New Roman"/>
        </w:rPr>
      </w:pPr>
      <w:r w:rsidRPr="00BA7D0D">
        <w:rPr>
          <w:rFonts w:eastAsia="Times New Roman"/>
        </w:rPr>
        <w:t>Training</w:t>
      </w:r>
    </w:p>
    <w:p w14:paraId="3617FA24" w14:textId="77777777" w:rsidR="001C19F3" w:rsidRPr="00D333A1" w:rsidRDefault="001C19F3" w:rsidP="001C19F3">
      <w:r>
        <w:t>E</w:t>
      </w:r>
      <w:r w:rsidRPr="00D333A1">
        <w:t xml:space="preserve">ducation about the RST </w:t>
      </w:r>
      <w:r>
        <w:t>was</w:t>
      </w:r>
      <w:r w:rsidRPr="00D333A1">
        <w:t xml:space="preserve"> available through the training webinars and online training</w:t>
      </w:r>
      <w:r>
        <w:t xml:space="preserve">. However, PHN </w:t>
      </w:r>
      <w:r w:rsidRPr="00D333A1">
        <w:t xml:space="preserve">practice facilitators commented that some practices </w:t>
      </w:r>
      <w:r>
        <w:t xml:space="preserve">still took time to become aware </w:t>
      </w:r>
      <w:r w:rsidRPr="00D333A1">
        <w:t>of exactly how the RST worked. For example, one practice did not know about the CSV file of potentially eligible patients that the RST Connector saves to the practice’s desktop computer. Staff in the practice only identified potential patients when a pop-up appeared for a patient when the patient attended the practice for an appointment. This slowed the practice’s rate of enrolment. Practice facilitators suggested that they (the facilitators) required more training in the tool to help the practices with these types of issues.</w:t>
      </w:r>
    </w:p>
    <w:p w14:paraId="50E41304" w14:textId="77777777" w:rsidR="001C19F3" w:rsidRDefault="001C19F3" w:rsidP="001C19F3">
      <w:r>
        <w:t>The need for t</w:t>
      </w:r>
      <w:r w:rsidRPr="00D333A1">
        <w:t xml:space="preserve">raining for GPs on how patients are assigned to tiers using the </w:t>
      </w:r>
      <w:r>
        <w:t xml:space="preserve">HARP </w:t>
      </w:r>
      <w:r w:rsidRPr="00D333A1">
        <w:t xml:space="preserve">tool was identified </w:t>
      </w:r>
      <w:r>
        <w:t xml:space="preserve">by </w:t>
      </w:r>
      <w:r w:rsidRPr="00D333A1">
        <w:t>practice facilitators and the PHN survey. One PHN conducted a workshop with GPs and it emerged there were differences amongst GPs in how they interpret</w:t>
      </w:r>
      <w:r>
        <w:t>ed</w:t>
      </w:r>
      <w:r w:rsidRPr="00D333A1">
        <w:t xml:space="preserve"> questions in </w:t>
      </w:r>
      <w:r>
        <w:t xml:space="preserve">the </w:t>
      </w:r>
      <w:r w:rsidRPr="00D333A1">
        <w:t>HARP. Some were “</w:t>
      </w:r>
      <w:r w:rsidRPr="00BA7D0D">
        <w:rPr>
          <w:i/>
        </w:rPr>
        <w:t>erring on the side of caution by not wanting to over stratify</w:t>
      </w:r>
      <w:r w:rsidRPr="00D333A1">
        <w:t>.” [PHN 2, interview</w:t>
      </w:r>
      <w:r>
        <w:t>, R1]</w:t>
      </w:r>
      <w:r w:rsidRPr="00D333A1">
        <w:t>. Through the survey, PHNs suggested training tailored to clinicians in the HARP and the RST more broadly for the next stage of the HCH program implementation (e.g. “[The]</w:t>
      </w:r>
      <w:r w:rsidRPr="00BA7D0D">
        <w:rPr>
          <w:i/>
        </w:rPr>
        <w:t xml:space="preserve"> RST is new to General Practice—consider developing a training tool for clinicians</w:t>
      </w:r>
      <w:r w:rsidRPr="00D333A1">
        <w:t>” [PHN 4, survey</w:t>
      </w:r>
      <w:r>
        <w:t>, R1</w:t>
      </w:r>
      <w:r w:rsidRPr="00D333A1">
        <w:t>]).</w:t>
      </w:r>
    </w:p>
    <w:p w14:paraId="58BA556C" w14:textId="77777777" w:rsidR="001C19F3" w:rsidRPr="00BA7D0D" w:rsidRDefault="001C19F3" w:rsidP="001C19F3">
      <w:pPr>
        <w:pStyle w:val="Heading3"/>
        <w:rPr>
          <w:rFonts w:eastAsia="Times New Roman"/>
        </w:rPr>
      </w:pPr>
      <w:r w:rsidRPr="00BA7D0D">
        <w:rPr>
          <w:rFonts w:eastAsia="Times New Roman"/>
        </w:rPr>
        <w:t>Security</w:t>
      </w:r>
    </w:p>
    <w:p w14:paraId="7F6BE952" w14:textId="77777777" w:rsidR="001C19F3" w:rsidRPr="00D333A1" w:rsidRDefault="001C19F3" w:rsidP="001C19F3">
      <w:r w:rsidRPr="00D333A1">
        <w:t>An initial challenge facing the RST was that data from practice clinical management systems would be transferred to ‘the cloud’ (online data storage). Practices were concerned about the security and confidentiality of the data. Precedence overcame this by ensuring that the data would only be stored within Australia and finding a satisfactory means of ‘hashing’ (de-identifying) patients’ identifying information, so that no patient could be identified through data uploaded to the cloud.</w:t>
      </w:r>
    </w:p>
    <w:p w14:paraId="69E2EDDD" w14:textId="77777777" w:rsidR="001C19F3" w:rsidRPr="002C55C8" w:rsidRDefault="001C19F3" w:rsidP="001C19F3">
      <w:pPr>
        <w:pStyle w:val="Heading2"/>
        <w:rPr>
          <w:rFonts w:eastAsia="Times New Roman"/>
        </w:rPr>
      </w:pPr>
      <w:bookmarkStart w:id="264" w:name="_Toc27056571"/>
      <w:r>
        <w:rPr>
          <w:rFonts w:eastAsia="Times New Roman"/>
        </w:rPr>
        <w:lastRenderedPageBreak/>
        <w:t xml:space="preserve">Suggestions for </w:t>
      </w:r>
      <w:r w:rsidRPr="002C55C8">
        <w:rPr>
          <w:rFonts w:eastAsia="Times New Roman"/>
        </w:rPr>
        <w:t>improv</w:t>
      </w:r>
      <w:r>
        <w:rPr>
          <w:rFonts w:eastAsia="Times New Roman"/>
        </w:rPr>
        <w:t>ing</w:t>
      </w:r>
      <w:r w:rsidRPr="002C55C8">
        <w:rPr>
          <w:rFonts w:eastAsia="Times New Roman"/>
        </w:rPr>
        <w:t xml:space="preserve"> the </w:t>
      </w:r>
      <w:r>
        <w:rPr>
          <w:rFonts w:eastAsia="Times New Roman"/>
        </w:rPr>
        <w:t>risk stratification process</w:t>
      </w:r>
      <w:bookmarkEnd w:id="264"/>
    </w:p>
    <w:p w14:paraId="41CC39E3" w14:textId="77777777" w:rsidR="001C19F3" w:rsidRDefault="001C19F3" w:rsidP="001C19F3">
      <w:r>
        <w:t xml:space="preserve">When asked how to improve the RST and associated IT software, surveyed practices made a few suggestions (see </w:t>
      </w:r>
      <w:r>
        <w:fldChar w:fldCharType="begin"/>
      </w:r>
      <w:r>
        <w:instrText xml:space="preserve"> REF _Ref21016720 \h </w:instrText>
      </w:r>
      <w:r>
        <w:fldChar w:fldCharType="separate"/>
      </w:r>
      <w:r>
        <w:t xml:space="preserve">Table </w:t>
      </w:r>
      <w:r>
        <w:rPr>
          <w:noProof/>
        </w:rPr>
        <w:t>45</w:t>
      </w:r>
      <w:r>
        <w:fldChar w:fldCharType="end"/>
      </w:r>
      <w:r>
        <w:t>)</w:t>
      </w:r>
    </w:p>
    <w:p w14:paraId="52D583F1" w14:textId="77777777" w:rsidR="001C19F3" w:rsidRDefault="001C19F3" w:rsidP="001C19F3">
      <w:pPr>
        <w:pStyle w:val="Caption1"/>
        <w:spacing w:after="0"/>
      </w:pPr>
      <w:bookmarkStart w:id="265" w:name="_Ref21016720"/>
      <w:bookmarkStart w:id="266" w:name="_Hlk22645484"/>
      <w:r>
        <w:t xml:space="preserve">Table </w:t>
      </w:r>
      <w:r>
        <w:fldChar w:fldCharType="begin"/>
      </w:r>
      <w:r>
        <w:instrText>SEQ Table \* ARABIC</w:instrText>
      </w:r>
      <w:r>
        <w:fldChar w:fldCharType="separate"/>
      </w:r>
      <w:r>
        <w:rPr>
          <w:noProof/>
        </w:rPr>
        <w:t>45</w:t>
      </w:r>
      <w:r>
        <w:fldChar w:fldCharType="end"/>
      </w:r>
      <w:bookmarkEnd w:id="265"/>
      <w:r>
        <w:t xml:space="preserve"> – Other ways in which the risk stratification software and associated processes could be improved (including responses from withdrawn practices)</w:t>
      </w:r>
    </w:p>
    <w:tbl>
      <w:tblPr>
        <w:tblW w:w="9204" w:type="dxa"/>
        <w:jc w:val="center"/>
        <w:tblLook w:val="04A0" w:firstRow="1" w:lastRow="0" w:firstColumn="1" w:lastColumn="0" w:noHBand="0" w:noVBand="1"/>
      </w:tblPr>
      <w:tblGrid>
        <w:gridCol w:w="3365"/>
        <w:gridCol w:w="1161"/>
        <w:gridCol w:w="284"/>
        <w:gridCol w:w="3354"/>
        <w:gridCol w:w="1040"/>
      </w:tblGrid>
      <w:tr w:rsidR="001C19F3" w14:paraId="6A45EB32" w14:textId="77777777" w:rsidTr="00521305">
        <w:trPr>
          <w:cantSplit/>
          <w:trHeight w:val="336"/>
          <w:tblHeade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hideMark/>
          </w:tcPr>
          <w:bookmarkEnd w:id="266"/>
          <w:p w14:paraId="6433A385" w14:textId="77777777" w:rsidR="001C19F3" w:rsidRDefault="001C19F3" w:rsidP="00521305">
            <w:pPr>
              <w:jc w:val="center"/>
            </w:pPr>
            <w:r>
              <w:rPr>
                <w:rFonts w:eastAsia="Century Gothic" w:cs="Century Gothic"/>
                <w:b/>
                <w:color w:val="FFFFFF"/>
                <w:sz w:val="18"/>
                <w:szCs w:val="18"/>
              </w:rPr>
              <w:t>Response</w:t>
            </w:r>
          </w:p>
        </w:tc>
        <w:tc>
          <w:tcPr>
            <w:tcW w:w="11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hideMark/>
          </w:tcPr>
          <w:p w14:paraId="2C14FF88" w14:textId="77777777" w:rsidR="001C19F3" w:rsidRDefault="001C19F3" w:rsidP="00521305">
            <w:pPr>
              <w:jc w:val="center"/>
            </w:pPr>
            <w:r>
              <w:rPr>
                <w:rFonts w:eastAsia="Century Gothic" w:cs="Century Gothic"/>
                <w:b/>
                <w:color w:val="FFFFFF"/>
                <w:sz w:val="18"/>
                <w:szCs w:val="18"/>
              </w:rPr>
              <w:t>n (%)</w:t>
            </w:r>
          </w:p>
        </w:tc>
        <w:tc>
          <w:tcPr>
            <w:tcW w:w="284" w:type="dxa"/>
            <w:tcBorders>
              <w:left w:val="single" w:sz="8" w:space="0" w:color="BFBFBF" w:themeColor="background1" w:themeShade="BF"/>
              <w:right w:val="single" w:sz="8" w:space="0" w:color="BFBFBF" w:themeColor="background1" w:themeShade="BF"/>
            </w:tcBorders>
            <w:shd w:val="clear" w:color="auto" w:fill="auto"/>
            <w:tcMar>
              <w:top w:w="0" w:type="dxa"/>
              <w:left w:w="0" w:type="dxa"/>
              <w:bottom w:w="0" w:type="dxa"/>
              <w:right w:w="0" w:type="dxa"/>
            </w:tcMar>
            <w:vAlign w:val="center"/>
            <w:hideMark/>
          </w:tcPr>
          <w:p w14:paraId="3C9BD28F" w14:textId="77777777" w:rsidR="001C19F3" w:rsidRDefault="001C19F3" w:rsidP="00521305">
            <w:pPr>
              <w:jc w:val="center"/>
            </w:pPr>
            <w:r>
              <w:rPr>
                <w:rFonts w:eastAsia="Century Gothic" w:cs="Century Gothic"/>
                <w:b/>
                <w:color w:val="FFFFFF"/>
                <w:sz w:val="18"/>
                <w:szCs w:val="18"/>
              </w:rPr>
              <w:t xml:space="preserve"> </w:t>
            </w:r>
          </w:p>
        </w:tc>
        <w:tc>
          <w:tcPr>
            <w:tcW w:w="33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hideMark/>
          </w:tcPr>
          <w:p w14:paraId="40E97CBC" w14:textId="77777777" w:rsidR="001C19F3" w:rsidRDefault="001C19F3" w:rsidP="00521305">
            <w:pPr>
              <w:jc w:val="center"/>
            </w:pPr>
            <w:r>
              <w:rPr>
                <w:rFonts w:eastAsia="Century Gothic" w:cs="Century Gothic"/>
                <w:b/>
                <w:color w:val="FFFFFF"/>
                <w:sz w:val="18"/>
                <w:szCs w:val="18"/>
              </w:rPr>
              <w:t>Response</w:t>
            </w:r>
          </w:p>
        </w:tc>
        <w:tc>
          <w:tcPr>
            <w:tcW w:w="1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hideMark/>
          </w:tcPr>
          <w:p w14:paraId="58630865" w14:textId="77777777" w:rsidR="001C19F3" w:rsidRDefault="001C19F3" w:rsidP="00521305">
            <w:pPr>
              <w:jc w:val="center"/>
            </w:pPr>
            <w:r>
              <w:rPr>
                <w:rFonts w:eastAsia="Century Gothic" w:cs="Century Gothic"/>
                <w:b/>
                <w:color w:val="FFFFFF"/>
                <w:sz w:val="18"/>
                <w:szCs w:val="18"/>
              </w:rPr>
              <w:t>n (%)</w:t>
            </w:r>
          </w:p>
        </w:tc>
      </w:tr>
      <w:tr w:rsidR="001C19F3" w14:paraId="3B33A746" w14:textId="77777777" w:rsidTr="00521305">
        <w:trPr>
          <w:cantSplit/>
          <w:trHeight w:val="442"/>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175CDB92" w14:textId="77777777" w:rsidR="001C19F3" w:rsidRDefault="001C19F3" w:rsidP="00521305">
            <w:pPr>
              <w:spacing w:before="40" w:after="40"/>
              <w:ind w:left="100" w:right="100"/>
            </w:pPr>
            <w:r>
              <w:rPr>
                <w:rFonts w:eastAsia="Century Gothic" w:cs="Century Gothic"/>
                <w:color w:val="000000"/>
                <w:sz w:val="18"/>
                <w:szCs w:val="18"/>
              </w:rPr>
              <w:t>Integrate the tool with practice software</w:t>
            </w:r>
          </w:p>
        </w:tc>
        <w:tc>
          <w:tcPr>
            <w:tcW w:w="11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606033EC" w14:textId="77777777" w:rsidR="001C19F3" w:rsidRDefault="001C19F3" w:rsidP="00521305">
            <w:pPr>
              <w:spacing w:before="40" w:after="40"/>
              <w:ind w:left="100" w:right="100"/>
              <w:jc w:val="right"/>
            </w:pPr>
            <w:r>
              <w:rPr>
                <w:rFonts w:eastAsia="Century Gothic" w:cs="Century Gothic"/>
                <w:color w:val="000000"/>
                <w:sz w:val="18"/>
                <w:szCs w:val="18"/>
              </w:rPr>
              <w:t>12 (11.4%)</w:t>
            </w:r>
          </w:p>
        </w:tc>
        <w:tc>
          <w:tcPr>
            <w:tcW w:w="284" w:type="dxa"/>
            <w:tcBorders>
              <w:left w:val="single" w:sz="8" w:space="0" w:color="BFBFBF" w:themeColor="background1" w:themeShade="BF"/>
              <w:right w:val="single" w:sz="8" w:space="0" w:color="BFBFBF" w:themeColor="background1" w:themeShade="BF"/>
            </w:tcBorders>
            <w:shd w:val="clear" w:color="auto" w:fill="auto"/>
            <w:tcMar>
              <w:top w:w="0" w:type="dxa"/>
              <w:left w:w="0" w:type="dxa"/>
              <w:bottom w:w="0" w:type="dxa"/>
              <w:right w:w="0" w:type="dxa"/>
            </w:tcMar>
            <w:vAlign w:val="center"/>
          </w:tcPr>
          <w:p w14:paraId="65B4D44D" w14:textId="77777777" w:rsidR="001C19F3" w:rsidRDefault="001C19F3" w:rsidP="00521305">
            <w:pPr>
              <w:spacing w:before="40" w:after="40"/>
              <w:ind w:left="100" w:right="100"/>
              <w:jc w:val="right"/>
            </w:pPr>
          </w:p>
        </w:tc>
        <w:tc>
          <w:tcPr>
            <w:tcW w:w="33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65417991" w14:textId="77777777" w:rsidR="001C19F3" w:rsidRDefault="001C19F3" w:rsidP="00521305">
            <w:pPr>
              <w:spacing w:before="40" w:after="40"/>
              <w:ind w:left="100" w:right="100"/>
            </w:pPr>
            <w:r>
              <w:rPr>
                <w:rFonts w:eastAsia="Century Gothic" w:cs="Century Gothic"/>
                <w:color w:val="000000"/>
                <w:sz w:val="18"/>
                <w:szCs w:val="18"/>
              </w:rPr>
              <w:t>Allow reports to be uploaded to practice software</w:t>
            </w:r>
          </w:p>
        </w:tc>
        <w:tc>
          <w:tcPr>
            <w:tcW w:w="1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1BE1A996"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21154C53" w14:textId="77777777" w:rsidTr="00521305">
        <w:trPr>
          <w:cantSplit/>
          <w:trHeight w:val="442"/>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47A502B8" w14:textId="77777777" w:rsidR="001C19F3" w:rsidRDefault="001C19F3" w:rsidP="00521305">
            <w:pPr>
              <w:spacing w:before="40" w:after="40"/>
              <w:ind w:left="100" w:right="100"/>
            </w:pPr>
            <w:r>
              <w:rPr>
                <w:rFonts w:eastAsia="Century Gothic" w:cs="Century Gothic"/>
                <w:color w:val="000000"/>
                <w:sz w:val="18"/>
                <w:szCs w:val="18"/>
              </w:rPr>
              <w:t>Provide clearer guidelines on using the HARP tool</w:t>
            </w:r>
          </w:p>
        </w:tc>
        <w:tc>
          <w:tcPr>
            <w:tcW w:w="11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206621F7" w14:textId="77777777" w:rsidR="001C19F3" w:rsidRDefault="001C19F3" w:rsidP="00521305">
            <w:pPr>
              <w:spacing w:before="40" w:after="40"/>
              <w:ind w:left="100" w:right="100"/>
              <w:jc w:val="right"/>
            </w:pPr>
            <w:r>
              <w:rPr>
                <w:rFonts w:eastAsia="Century Gothic" w:cs="Century Gothic"/>
                <w:color w:val="000000"/>
                <w:sz w:val="18"/>
                <w:szCs w:val="18"/>
              </w:rPr>
              <w:t>4 (3.8%)</w:t>
            </w:r>
          </w:p>
        </w:tc>
        <w:tc>
          <w:tcPr>
            <w:tcW w:w="284" w:type="dxa"/>
            <w:tcBorders>
              <w:left w:val="single" w:sz="8" w:space="0" w:color="BFBFBF" w:themeColor="background1" w:themeShade="BF"/>
              <w:right w:val="single" w:sz="8" w:space="0" w:color="BFBFBF" w:themeColor="background1" w:themeShade="BF"/>
            </w:tcBorders>
            <w:shd w:val="clear" w:color="auto" w:fill="auto"/>
            <w:tcMar>
              <w:top w:w="0" w:type="dxa"/>
              <w:left w:w="0" w:type="dxa"/>
              <w:bottom w:w="0" w:type="dxa"/>
              <w:right w:w="0" w:type="dxa"/>
            </w:tcMar>
            <w:vAlign w:val="center"/>
          </w:tcPr>
          <w:p w14:paraId="0931C166" w14:textId="77777777" w:rsidR="001C19F3" w:rsidRDefault="001C19F3" w:rsidP="00521305">
            <w:pPr>
              <w:spacing w:before="40" w:after="40"/>
              <w:ind w:left="100" w:right="100"/>
              <w:jc w:val="right"/>
            </w:pPr>
          </w:p>
        </w:tc>
        <w:tc>
          <w:tcPr>
            <w:tcW w:w="33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54D5102A" w14:textId="77777777" w:rsidR="001C19F3" w:rsidRDefault="001C19F3" w:rsidP="00521305">
            <w:pPr>
              <w:spacing w:before="40" w:after="40"/>
              <w:ind w:left="100" w:right="100"/>
            </w:pPr>
            <w:r>
              <w:rPr>
                <w:rFonts w:eastAsia="Century Gothic" w:cs="Century Gothic"/>
                <w:color w:val="000000"/>
                <w:sz w:val="18"/>
                <w:szCs w:val="18"/>
              </w:rPr>
              <w:t>Increase the number of tiers</w:t>
            </w:r>
          </w:p>
        </w:tc>
        <w:tc>
          <w:tcPr>
            <w:tcW w:w="1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0CD9F83F" w14:textId="77777777" w:rsidR="001C19F3" w:rsidRDefault="001C19F3" w:rsidP="00521305">
            <w:pPr>
              <w:spacing w:before="40" w:after="40"/>
              <w:ind w:left="100" w:right="100"/>
              <w:jc w:val="right"/>
            </w:pPr>
            <w:r>
              <w:rPr>
                <w:rFonts w:eastAsia="Century Gothic" w:cs="Century Gothic"/>
                <w:color w:val="000000"/>
                <w:sz w:val="18"/>
                <w:szCs w:val="18"/>
              </w:rPr>
              <w:t>1 (1.0%)</w:t>
            </w:r>
          </w:p>
        </w:tc>
      </w:tr>
      <w:tr w:rsidR="001C19F3" w14:paraId="08865E3B" w14:textId="77777777" w:rsidTr="00521305">
        <w:trPr>
          <w:cantSplit/>
          <w:trHeight w:val="442"/>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491DD1E9" w14:textId="77777777" w:rsidR="001C19F3" w:rsidRDefault="001C19F3" w:rsidP="00521305">
            <w:pPr>
              <w:spacing w:before="40" w:after="40"/>
              <w:ind w:left="100" w:right="100"/>
            </w:pPr>
            <w:r>
              <w:rPr>
                <w:rFonts w:eastAsia="Century Gothic" w:cs="Century Gothic"/>
                <w:color w:val="000000"/>
                <w:sz w:val="18"/>
                <w:szCs w:val="18"/>
              </w:rPr>
              <w:t>Notify practices when updating the tool</w:t>
            </w:r>
          </w:p>
        </w:tc>
        <w:tc>
          <w:tcPr>
            <w:tcW w:w="11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180AB59B" w14:textId="77777777" w:rsidR="001C19F3" w:rsidRDefault="001C19F3" w:rsidP="00521305">
            <w:pPr>
              <w:spacing w:before="40" w:after="40"/>
              <w:ind w:left="100" w:right="100"/>
              <w:jc w:val="right"/>
            </w:pPr>
            <w:r>
              <w:rPr>
                <w:rFonts w:eastAsia="Century Gothic" w:cs="Century Gothic"/>
                <w:color w:val="000000"/>
                <w:sz w:val="18"/>
                <w:szCs w:val="18"/>
              </w:rPr>
              <w:t>2 (1.9%)</w:t>
            </w:r>
          </w:p>
        </w:tc>
        <w:tc>
          <w:tcPr>
            <w:tcW w:w="284" w:type="dxa"/>
            <w:tcBorders>
              <w:left w:val="single" w:sz="8" w:space="0" w:color="BFBFBF" w:themeColor="background1" w:themeShade="BF"/>
              <w:right w:val="single" w:sz="8" w:space="0" w:color="BFBFBF" w:themeColor="background1" w:themeShade="BF"/>
            </w:tcBorders>
            <w:shd w:val="clear" w:color="auto" w:fill="auto"/>
            <w:tcMar>
              <w:top w:w="0" w:type="dxa"/>
              <w:left w:w="0" w:type="dxa"/>
              <w:bottom w:w="0" w:type="dxa"/>
              <w:right w:w="0" w:type="dxa"/>
            </w:tcMar>
            <w:vAlign w:val="center"/>
          </w:tcPr>
          <w:p w14:paraId="6DE5CC9A" w14:textId="77777777" w:rsidR="001C19F3" w:rsidRDefault="001C19F3" w:rsidP="00521305">
            <w:pPr>
              <w:spacing w:before="40" w:after="40"/>
              <w:ind w:left="100" w:right="100"/>
              <w:jc w:val="right"/>
            </w:pPr>
          </w:p>
        </w:tc>
        <w:tc>
          <w:tcPr>
            <w:tcW w:w="33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23E73339" w14:textId="77777777" w:rsidR="001C19F3" w:rsidRDefault="001C19F3" w:rsidP="00521305">
            <w:pPr>
              <w:spacing w:before="40" w:after="40"/>
              <w:ind w:left="100" w:right="100"/>
            </w:pPr>
            <w:r>
              <w:rPr>
                <w:rFonts w:eastAsia="Century Gothic" w:cs="Century Gothic"/>
                <w:color w:val="000000"/>
                <w:sz w:val="18"/>
                <w:szCs w:val="18"/>
              </w:rPr>
              <w:t>Severity to be included in the calculation (sliding scale)</w:t>
            </w:r>
          </w:p>
        </w:tc>
        <w:tc>
          <w:tcPr>
            <w:tcW w:w="1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cMar>
              <w:top w:w="0" w:type="dxa"/>
              <w:left w:w="0" w:type="dxa"/>
              <w:bottom w:w="0" w:type="dxa"/>
              <w:right w:w="0" w:type="dxa"/>
            </w:tcMar>
            <w:vAlign w:val="center"/>
            <w:hideMark/>
          </w:tcPr>
          <w:p w14:paraId="77A4CE2C" w14:textId="77777777" w:rsidR="001C19F3" w:rsidRDefault="001C19F3" w:rsidP="00521305">
            <w:pPr>
              <w:spacing w:before="40" w:after="40"/>
              <w:ind w:left="100" w:right="100"/>
              <w:jc w:val="right"/>
            </w:pPr>
            <w:r>
              <w:rPr>
                <w:rFonts w:eastAsia="Century Gothic" w:cs="Century Gothic"/>
                <w:color w:val="000000"/>
                <w:sz w:val="18"/>
                <w:szCs w:val="18"/>
              </w:rPr>
              <w:t>1 (1.0%)</w:t>
            </w:r>
          </w:p>
        </w:tc>
      </w:tr>
    </w:tbl>
    <w:p w14:paraId="25D9B4CF" w14:textId="77777777" w:rsidR="001C19F3" w:rsidRDefault="001C19F3" w:rsidP="001C19F3">
      <w:pPr>
        <w:pStyle w:val="Chartortablefootnote"/>
        <w:rPr>
          <w:rFonts w:cstheme="minorBidi"/>
          <w:szCs w:val="20"/>
        </w:rPr>
      </w:pPr>
      <w:r>
        <w:t>Source: Practice survey R2, Nov 2018-Mar 2019, question 10.</w:t>
      </w:r>
    </w:p>
    <w:p w14:paraId="2BFA2598" w14:textId="77777777" w:rsidR="001C19F3" w:rsidRDefault="001C19F3" w:rsidP="001C19F3">
      <w:r>
        <w:t>In the initial survey for the evaluation, PHNs also identified improvements to the validity of the RST as the equal most important change (along with time for testing of the software prior to implementation) that could be made to the</w:t>
      </w:r>
      <w:r w:rsidRPr="002767D7">
        <w:t xml:space="preserve"> </w:t>
      </w:r>
      <w:r>
        <w:t>RST in</w:t>
      </w:r>
      <w:r w:rsidRPr="002767D7">
        <w:t xml:space="preserve"> the next stage of</w:t>
      </w:r>
      <w:r>
        <w:t xml:space="preserve"> the HCH program implementation. PHNs suggested that the next version of the tool should be guided by findings from this trial on predictive performance.</w:t>
      </w:r>
    </w:p>
    <w:p w14:paraId="3680FB21" w14:textId="77777777" w:rsidR="001C19F3" w:rsidRDefault="001C19F3" w:rsidP="001C19F3">
      <w:r>
        <w:t>One issue impacting the application of the RST and consequently the validity of its results is the completeness and accuracy of practice data. PHN practice facilitators thought that these data were sub-optimal in some practices. They suggested that clean data should be a criterion for selecting practices to participate in HCH.</w:t>
      </w:r>
    </w:p>
    <w:p w14:paraId="0D2F02B3" w14:textId="77777777" w:rsidR="001C19F3" w:rsidRPr="005338F1" w:rsidRDefault="001C19F3" w:rsidP="001C19F3">
      <w:pPr>
        <w:sectPr w:rsidR="001C19F3" w:rsidRPr="005338F1" w:rsidSect="001C5D9E">
          <w:headerReference w:type="first" r:id="rId65"/>
          <w:pgSz w:w="11906" w:h="16838"/>
          <w:pgMar w:top="1440" w:right="1440" w:bottom="1440" w:left="1440" w:header="708" w:footer="708" w:gutter="0"/>
          <w:cols w:space="708"/>
          <w:titlePg/>
          <w:docGrid w:linePitch="360"/>
        </w:sectPr>
      </w:pPr>
    </w:p>
    <w:p w14:paraId="5F873B1B" w14:textId="77777777" w:rsidR="001C19F3" w:rsidRDefault="001C19F3" w:rsidP="001C19F3">
      <w:pPr>
        <w:pStyle w:val="Heading1withnumber"/>
        <w:ind w:left="0" w:hanging="1134"/>
      </w:pPr>
      <w:bookmarkStart w:id="267" w:name="_Toc27056572"/>
      <w:r>
        <w:lastRenderedPageBreak/>
        <w:t>Implementation of HCH within practices</w:t>
      </w:r>
      <w:bookmarkEnd w:id="267"/>
    </w:p>
    <w:p w14:paraId="61F36FD8" w14:textId="77777777" w:rsidR="001C19F3" w:rsidRPr="008760C3" w:rsidRDefault="001C19F3" w:rsidP="001C19F3">
      <w:pPr>
        <w:rPr>
          <w:rFonts w:eastAsiaTheme="minorHAnsi"/>
          <w:szCs w:val="20"/>
        </w:rPr>
      </w:pPr>
      <w:r w:rsidRPr="008760C3">
        <w:rPr>
          <w:szCs w:val="20"/>
        </w:rPr>
        <w:t xml:space="preserve">This Chapter focuses on practice experiences of joining the HCH trial, getting </w:t>
      </w:r>
      <w:r>
        <w:rPr>
          <w:szCs w:val="20"/>
        </w:rPr>
        <w:t xml:space="preserve">set-up </w:t>
      </w:r>
      <w:r w:rsidRPr="008760C3">
        <w:rPr>
          <w:szCs w:val="20"/>
        </w:rPr>
        <w:t xml:space="preserve">and </w:t>
      </w:r>
      <w:r>
        <w:rPr>
          <w:szCs w:val="20"/>
        </w:rPr>
        <w:t>making changes</w:t>
      </w:r>
      <w:r w:rsidRPr="008E0E3C">
        <w:rPr>
          <w:szCs w:val="20"/>
        </w:rPr>
        <w:t>. The descriptions are drawn from interviews with staff from 18 case study practices and the PHN</w:t>
      </w:r>
      <w:r>
        <w:rPr>
          <w:szCs w:val="20"/>
        </w:rPr>
        <w:t xml:space="preserve"> </w:t>
      </w:r>
      <w:r w:rsidRPr="008E0E3C">
        <w:rPr>
          <w:szCs w:val="20"/>
        </w:rPr>
        <w:t xml:space="preserve">practice facilitators </w:t>
      </w:r>
      <w:r>
        <w:rPr>
          <w:szCs w:val="20"/>
        </w:rPr>
        <w:t>as well as</w:t>
      </w:r>
      <w:r w:rsidRPr="008E0E3C">
        <w:rPr>
          <w:szCs w:val="20"/>
        </w:rPr>
        <w:t xml:space="preserve"> surveys of practices and </w:t>
      </w:r>
      <w:r>
        <w:rPr>
          <w:szCs w:val="20"/>
        </w:rPr>
        <w:t>their</w:t>
      </w:r>
      <w:r w:rsidRPr="008E0E3C">
        <w:rPr>
          <w:szCs w:val="20"/>
        </w:rPr>
        <w:t xml:space="preserve"> staff</w:t>
      </w:r>
      <w:bookmarkStart w:id="268" w:name="_Hlk6241183"/>
      <w:r w:rsidRPr="008E0E3C">
        <w:rPr>
          <w:szCs w:val="20"/>
        </w:rPr>
        <w:t>.</w:t>
      </w:r>
      <w:r w:rsidRPr="008760C3">
        <w:rPr>
          <w:szCs w:val="20"/>
        </w:rPr>
        <w:t xml:space="preserve"> </w:t>
      </w:r>
    </w:p>
    <w:p w14:paraId="5316A708" w14:textId="77777777" w:rsidR="001C19F3" w:rsidRPr="008760C3" w:rsidRDefault="001C19F3" w:rsidP="001C19F3">
      <w:pPr>
        <w:keepNext/>
        <w:keepLines/>
        <w:spacing w:line="240" w:lineRule="auto"/>
        <w:outlineLvl w:val="1"/>
        <w:rPr>
          <w:rFonts w:eastAsiaTheme="majorEastAsia" w:cstheme="majorBidi"/>
          <w:color w:val="003D79"/>
          <w:sz w:val="40"/>
          <w:szCs w:val="26"/>
        </w:rPr>
      </w:pPr>
      <w:bookmarkStart w:id="269" w:name="_Toc20925697"/>
      <w:bookmarkEnd w:id="268"/>
      <w:r w:rsidRPr="008760C3">
        <w:rPr>
          <w:rFonts w:eastAsiaTheme="majorEastAsia" w:cstheme="majorBidi"/>
          <w:color w:val="003D79"/>
          <w:sz w:val="40"/>
          <w:szCs w:val="26"/>
        </w:rPr>
        <w:t>Setting up for HCH</w:t>
      </w:r>
      <w:bookmarkEnd w:id="269"/>
    </w:p>
    <w:p w14:paraId="2712B786" w14:textId="77777777" w:rsidR="001C19F3" w:rsidRPr="008760C3" w:rsidRDefault="001C19F3" w:rsidP="001C19F3">
      <w:bookmarkStart w:id="270" w:name="_Hlk6998789"/>
      <w:r w:rsidRPr="008760C3">
        <w:t xml:space="preserve">Practices that had been successful in their applications for HCH were announced in May 2017. At that time the Government also announced the intention </w:t>
      </w:r>
      <w:r>
        <w:t xml:space="preserve">that practices would start enrolling patients </w:t>
      </w:r>
      <w:r w:rsidRPr="008760C3">
        <w:t>from October 2017 for selected HCH practices</w:t>
      </w:r>
      <w:r>
        <w:t xml:space="preserve"> </w:t>
      </w:r>
      <w:r w:rsidRPr="008760C3">
        <w:t xml:space="preserve">and from December 2017 for others. </w:t>
      </w:r>
      <w:r>
        <w:t>V</w:t>
      </w:r>
      <w:r w:rsidRPr="008760C3">
        <w:t xml:space="preserve">arious activities had to occur </w:t>
      </w:r>
      <w:r>
        <w:t>had to occur w</w:t>
      </w:r>
      <w:r w:rsidRPr="008760C3">
        <w:t>ithin the six</w:t>
      </w:r>
      <w:r>
        <w:t>-</w:t>
      </w:r>
      <w:r w:rsidRPr="008760C3">
        <w:t>month window:</w:t>
      </w:r>
    </w:p>
    <w:p w14:paraId="14174C73" w14:textId="77777777" w:rsidR="001C19F3" w:rsidRPr="008760C3" w:rsidRDefault="001C19F3" w:rsidP="001C19F3">
      <w:pPr>
        <w:numPr>
          <w:ilvl w:val="0"/>
          <w:numId w:val="70"/>
        </w:numPr>
        <w:spacing w:after="120"/>
        <w:ind w:left="714" w:hanging="357"/>
        <w:contextualSpacing/>
      </w:pPr>
      <w:r w:rsidRPr="008760C3">
        <w:t>Some details of the program itself had to be finalised</w:t>
      </w:r>
      <w:r>
        <w:t>.</w:t>
      </w:r>
    </w:p>
    <w:p w14:paraId="5CDC972A" w14:textId="77777777" w:rsidR="001C19F3" w:rsidRPr="008760C3" w:rsidRDefault="001C19F3" w:rsidP="001C19F3">
      <w:pPr>
        <w:numPr>
          <w:ilvl w:val="0"/>
          <w:numId w:val="70"/>
        </w:numPr>
        <w:spacing w:after="120"/>
        <w:ind w:left="714" w:hanging="357"/>
        <w:contextualSpacing/>
      </w:pPr>
      <w:r>
        <w:t>T</w:t>
      </w:r>
      <w:r w:rsidRPr="008760C3">
        <w:t>he program infrastructure</w:t>
      </w:r>
      <w:r w:rsidRPr="00DF6886">
        <w:t xml:space="preserve"> </w:t>
      </w:r>
      <w:r w:rsidRPr="008760C3">
        <w:t>had to be finalised: risk stratification software, training modules and evaluation</w:t>
      </w:r>
      <w:r>
        <w:t>.</w:t>
      </w:r>
    </w:p>
    <w:p w14:paraId="15A019BA" w14:textId="77777777" w:rsidR="001C19F3" w:rsidRPr="008760C3" w:rsidRDefault="001C19F3" w:rsidP="001C19F3">
      <w:pPr>
        <w:numPr>
          <w:ilvl w:val="0"/>
          <w:numId w:val="70"/>
        </w:numPr>
        <w:spacing w:after="120"/>
        <w:ind w:left="714" w:hanging="357"/>
        <w:contextualSpacing/>
      </w:pPr>
      <w:r w:rsidRPr="008760C3">
        <w:t xml:space="preserve">Agreements with successful practices had to be signed, including </w:t>
      </w:r>
      <w:r>
        <w:t xml:space="preserve">with replacement </w:t>
      </w:r>
      <w:r w:rsidRPr="008760C3">
        <w:t>practices where those initially announced decided not to proceed.</w:t>
      </w:r>
    </w:p>
    <w:p w14:paraId="3A07A486" w14:textId="77777777" w:rsidR="001C19F3" w:rsidRPr="008760C3" w:rsidRDefault="001C19F3" w:rsidP="001C19F3">
      <w:pPr>
        <w:numPr>
          <w:ilvl w:val="0"/>
          <w:numId w:val="70"/>
        </w:numPr>
        <w:spacing w:after="120"/>
        <w:ind w:left="714" w:hanging="357"/>
        <w:contextualSpacing/>
      </w:pPr>
      <w:r w:rsidRPr="008760C3">
        <w:t>PHN practice facilitators had to be appointed and</w:t>
      </w:r>
      <w:r>
        <w:t xml:space="preserve"> </w:t>
      </w:r>
      <w:r w:rsidRPr="008760C3">
        <w:t>train</w:t>
      </w:r>
      <w:r>
        <w:t>ed.</w:t>
      </w:r>
    </w:p>
    <w:p w14:paraId="523F8C1C" w14:textId="77777777" w:rsidR="001C19F3" w:rsidRPr="008760C3" w:rsidRDefault="001C19F3" w:rsidP="001C19F3">
      <w:pPr>
        <w:numPr>
          <w:ilvl w:val="0"/>
          <w:numId w:val="70"/>
        </w:numPr>
        <w:spacing w:after="120"/>
        <w:ind w:left="714" w:hanging="357"/>
        <w:contextualSpacing/>
      </w:pPr>
      <w:r w:rsidRPr="008760C3">
        <w:t>PHN practice facilitators had to commence their engagement with practices, support practices in setting up program infrastructure and train</w:t>
      </w:r>
      <w:r>
        <w:t xml:space="preserve"> </w:t>
      </w:r>
      <w:r w:rsidRPr="008760C3">
        <w:t>practice staff.</w:t>
      </w:r>
    </w:p>
    <w:p w14:paraId="6AEEE96F" w14:textId="77777777" w:rsidR="001C19F3" w:rsidRPr="008760C3" w:rsidRDefault="001C19F3" w:rsidP="001C19F3">
      <w:pPr>
        <w:numPr>
          <w:ilvl w:val="0"/>
          <w:numId w:val="70"/>
        </w:numPr>
        <w:ind w:left="714" w:hanging="357"/>
      </w:pPr>
      <w:r w:rsidRPr="008760C3">
        <w:t>Practices had to respond to the initial evaluation surveys of the evaluation.</w:t>
      </w:r>
    </w:p>
    <w:p w14:paraId="6A7E2A4D" w14:textId="77777777" w:rsidR="001C19F3" w:rsidRPr="008760C3" w:rsidRDefault="001C19F3" w:rsidP="001C19F3">
      <w:r w:rsidRPr="008760C3">
        <w:t xml:space="preserve">Practices and PHN practice facilitators identified </w:t>
      </w:r>
      <w:r>
        <w:t>many</w:t>
      </w:r>
      <w:r w:rsidRPr="008760C3">
        <w:t xml:space="preserve"> challenges that </w:t>
      </w:r>
      <w:r>
        <w:t>they faced</w:t>
      </w:r>
      <w:r w:rsidRPr="008760C3">
        <w:t xml:space="preserve"> in this initial </w:t>
      </w:r>
      <w:r>
        <w:t>set-up</w:t>
      </w:r>
      <w:r w:rsidRPr="008760C3">
        <w:t xml:space="preserve"> period.</w:t>
      </w:r>
      <w:r>
        <w:t xml:space="preserve"> </w:t>
      </w:r>
      <w:r w:rsidRPr="008760C3">
        <w:t>The</w:t>
      </w:r>
      <w:r>
        <w:t>se are outlined below.</w:t>
      </w:r>
    </w:p>
    <w:p w14:paraId="0529CA3B"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Time for preparation</w:t>
      </w:r>
    </w:p>
    <w:p w14:paraId="2F3FEF62" w14:textId="77777777" w:rsidR="001C19F3" w:rsidRPr="008760C3" w:rsidRDefault="001C19F3" w:rsidP="001C19F3">
      <w:pPr>
        <w:rPr>
          <w:rFonts w:eastAsiaTheme="minorHAnsi"/>
          <w:szCs w:val="20"/>
        </w:rPr>
      </w:pPr>
      <w:bookmarkStart w:id="271" w:name="_Hlk21267770"/>
      <w:r w:rsidRPr="008760C3">
        <w:rPr>
          <w:szCs w:val="20"/>
        </w:rPr>
        <w:t xml:space="preserve">Practices and PHN practice facilitators felt the timeframes </w:t>
      </w:r>
      <w:r>
        <w:rPr>
          <w:szCs w:val="20"/>
        </w:rPr>
        <w:t xml:space="preserve">initially </w:t>
      </w:r>
      <w:r w:rsidRPr="008760C3">
        <w:rPr>
          <w:szCs w:val="20"/>
        </w:rPr>
        <w:t>set out for the trial were insufficient, particularly given the level of change required</w:t>
      </w:r>
      <w:bookmarkEnd w:id="271"/>
      <w:r>
        <w:rPr>
          <w:szCs w:val="20"/>
        </w:rPr>
        <w:t>:</w:t>
      </w:r>
    </w:p>
    <w:p w14:paraId="42CF540C" w14:textId="77777777" w:rsidR="001C19F3" w:rsidRPr="008760C3" w:rsidRDefault="001C19F3" w:rsidP="001C19F3">
      <w:pPr>
        <w:ind w:left="567" w:right="1088"/>
        <w:rPr>
          <w:szCs w:val="20"/>
        </w:rPr>
      </w:pPr>
      <w:r w:rsidRPr="008760C3">
        <w:rPr>
          <w:szCs w:val="20"/>
        </w:rPr>
        <w:t>“</w:t>
      </w:r>
      <w:r w:rsidRPr="008760C3">
        <w:rPr>
          <w:i/>
          <w:szCs w:val="20"/>
        </w:rPr>
        <w:t>One of the absolute problems of this program is that it’s not long enough.</w:t>
      </w:r>
      <w:r w:rsidRPr="008760C3">
        <w:rPr>
          <w:szCs w:val="20"/>
        </w:rPr>
        <w:t>” [Practice manager and GP, Practice 5, interview</w:t>
      </w:r>
      <w:r>
        <w:rPr>
          <w:szCs w:val="20"/>
        </w:rPr>
        <w:t>, R2]</w:t>
      </w:r>
    </w:p>
    <w:p w14:paraId="26D83B35" w14:textId="77777777" w:rsidR="001C19F3" w:rsidRPr="008760C3" w:rsidRDefault="001C19F3" w:rsidP="001C19F3">
      <w:pPr>
        <w:rPr>
          <w:szCs w:val="20"/>
        </w:rPr>
      </w:pPr>
      <w:bookmarkStart w:id="272" w:name="_Hlk21267813"/>
      <w:r>
        <w:rPr>
          <w:szCs w:val="20"/>
        </w:rPr>
        <w:t>They</w:t>
      </w:r>
      <w:r w:rsidRPr="008760C3">
        <w:rPr>
          <w:szCs w:val="20"/>
        </w:rPr>
        <w:t xml:space="preserve"> felt that lead time was imperative to successfully implement this type of change and figure out how to operate the model at an individual practice level</w:t>
      </w:r>
      <w:bookmarkEnd w:id="272"/>
      <w:r w:rsidRPr="008760C3">
        <w:rPr>
          <w:szCs w:val="20"/>
        </w:rPr>
        <w:t>:</w:t>
      </w:r>
    </w:p>
    <w:p w14:paraId="50643AD7" w14:textId="77777777" w:rsidR="001C19F3" w:rsidRPr="008760C3" w:rsidRDefault="001C19F3" w:rsidP="001C19F3">
      <w:pPr>
        <w:ind w:left="567" w:right="1088"/>
        <w:rPr>
          <w:szCs w:val="20"/>
        </w:rPr>
      </w:pPr>
      <w:r w:rsidRPr="008760C3">
        <w:rPr>
          <w:i/>
          <w:szCs w:val="20"/>
        </w:rPr>
        <w:t xml:space="preserve"> “So, we had a lead time, and you’ve got to have that long lead time. And I don’t think practices have that long lead time, and that’s the issue that you’ve got to be given time for this change to occur. It’s a fundamental change.”</w:t>
      </w:r>
      <w:r w:rsidRPr="008760C3">
        <w:rPr>
          <w:szCs w:val="20"/>
        </w:rPr>
        <w:t xml:space="preserve"> [Practice owner, Practice 9, interview</w:t>
      </w:r>
      <w:r>
        <w:rPr>
          <w:szCs w:val="20"/>
        </w:rPr>
        <w:t>, R2]</w:t>
      </w:r>
    </w:p>
    <w:p w14:paraId="30323B19" w14:textId="77777777" w:rsidR="001C19F3" w:rsidRPr="008760C3" w:rsidRDefault="001C19F3" w:rsidP="001C19F3">
      <w:pPr>
        <w:ind w:left="567" w:right="1088"/>
        <w:rPr>
          <w:szCs w:val="20"/>
        </w:rPr>
      </w:pPr>
      <w:r w:rsidRPr="008760C3">
        <w:rPr>
          <w:i/>
          <w:szCs w:val="20"/>
        </w:rPr>
        <w:t xml:space="preserve"> “We’re starting to enrol a lot more patients now, that’s what I can tell you. It just got off to a slow start here but we are starting to get on top of it. Then we’ve got more GPs engaging with it, just in the last two weeks. So it just </w:t>
      </w:r>
      <w:r w:rsidRPr="008760C3">
        <w:rPr>
          <w:i/>
          <w:szCs w:val="20"/>
        </w:rPr>
        <w:lastRenderedPageBreak/>
        <w:t>takes time, I think, it’s just a really time-consuming thing to make change.”</w:t>
      </w:r>
      <w:r w:rsidRPr="008760C3">
        <w:rPr>
          <w:szCs w:val="20"/>
        </w:rPr>
        <w:t xml:space="preserve"> [Clinical pharmacist, Practice 11, interview</w:t>
      </w:r>
      <w:r>
        <w:rPr>
          <w:szCs w:val="20"/>
        </w:rPr>
        <w:t>, R2]</w:t>
      </w:r>
    </w:p>
    <w:p w14:paraId="121204A1" w14:textId="77777777" w:rsidR="001C19F3" w:rsidRPr="008760C3" w:rsidRDefault="001C19F3" w:rsidP="001C19F3">
      <w:pPr>
        <w:ind w:left="567" w:right="1088"/>
        <w:rPr>
          <w:szCs w:val="20"/>
        </w:rPr>
      </w:pPr>
      <w:r w:rsidRPr="008760C3">
        <w:rPr>
          <w:i/>
          <w:szCs w:val="20"/>
        </w:rPr>
        <w:t xml:space="preserve"> “Look I think really just make sure that you've got everything </w:t>
      </w:r>
      <w:r>
        <w:rPr>
          <w:i/>
          <w:szCs w:val="20"/>
        </w:rPr>
        <w:t>set-up</w:t>
      </w:r>
      <w:r w:rsidRPr="008760C3">
        <w:rPr>
          <w:i/>
          <w:szCs w:val="20"/>
        </w:rPr>
        <w:t xml:space="preserve"> in place, that you've got your systems in place and then you've probably worked out what your policies are going to be and your procedures around how it's going to look…it would have been nice to maybe have a bit more of it planned and go exactly this is how it needs to look.” </w:t>
      </w:r>
      <w:r w:rsidRPr="008760C3">
        <w:rPr>
          <w:szCs w:val="20"/>
        </w:rPr>
        <w:t>[GP, Practice 10, interview</w:t>
      </w:r>
      <w:r>
        <w:rPr>
          <w:szCs w:val="20"/>
        </w:rPr>
        <w:t>,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66CFCDFB" w14:textId="77777777" w:rsidTr="00521305">
        <w:trPr>
          <w:trHeight w:val="287"/>
        </w:trPr>
        <w:tc>
          <w:tcPr>
            <w:tcW w:w="5000" w:type="pct"/>
          </w:tcPr>
          <w:p w14:paraId="58484018"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1217B623" w14:textId="77777777" w:rsidTr="00521305">
        <w:tc>
          <w:tcPr>
            <w:tcW w:w="5000" w:type="pct"/>
          </w:tcPr>
          <w:p w14:paraId="4D1DFA4A" w14:textId="77777777" w:rsidR="001C19F3" w:rsidRPr="008760C3" w:rsidRDefault="001C19F3" w:rsidP="00521305">
            <w:pPr>
              <w:spacing w:after="0"/>
              <w:rPr>
                <w:sz w:val="18"/>
                <w:szCs w:val="18"/>
              </w:rPr>
            </w:pPr>
            <w:r w:rsidRPr="008760C3">
              <w:rPr>
                <w:sz w:val="18"/>
                <w:szCs w:val="18"/>
              </w:rPr>
              <w:t>In a small practice located in a suburb of a large city</w:t>
            </w:r>
            <w:r>
              <w:rPr>
                <w:sz w:val="18"/>
                <w:szCs w:val="18"/>
              </w:rPr>
              <w:t>, t</w:t>
            </w:r>
            <w:r w:rsidRPr="008760C3">
              <w:rPr>
                <w:sz w:val="18"/>
                <w:szCs w:val="18"/>
              </w:rPr>
              <w:t xml:space="preserve">he lead GP focused on exchanging information between patients and the practice to more effectively monitor </w:t>
            </w:r>
            <w:r>
              <w:rPr>
                <w:sz w:val="18"/>
                <w:szCs w:val="18"/>
              </w:rPr>
              <w:t>patients’ chronic diseases</w:t>
            </w:r>
            <w:r w:rsidRPr="008760C3">
              <w:rPr>
                <w:sz w:val="18"/>
                <w:szCs w:val="18"/>
              </w:rPr>
              <w:t>. He created an app where patients c</w:t>
            </w:r>
            <w:r>
              <w:rPr>
                <w:sz w:val="18"/>
                <w:szCs w:val="18"/>
              </w:rPr>
              <w:t xml:space="preserve">ould </w:t>
            </w:r>
            <w:r w:rsidRPr="008760C3">
              <w:rPr>
                <w:sz w:val="18"/>
                <w:szCs w:val="18"/>
              </w:rPr>
              <w:t xml:space="preserve">record their blood pressure, weight, height, and other </w:t>
            </w:r>
            <w:r>
              <w:rPr>
                <w:sz w:val="18"/>
                <w:szCs w:val="18"/>
              </w:rPr>
              <w:t xml:space="preserve">health </w:t>
            </w:r>
            <w:r w:rsidRPr="008760C3">
              <w:rPr>
                <w:sz w:val="18"/>
                <w:szCs w:val="18"/>
              </w:rPr>
              <w:t xml:space="preserve">metrics. The practice also </w:t>
            </w:r>
            <w:r>
              <w:rPr>
                <w:sz w:val="18"/>
                <w:szCs w:val="18"/>
              </w:rPr>
              <w:t>has</w:t>
            </w:r>
            <w:r w:rsidRPr="008760C3">
              <w:rPr>
                <w:sz w:val="18"/>
                <w:szCs w:val="18"/>
              </w:rPr>
              <w:t xml:space="preserve"> a clinical pharmacist who </w:t>
            </w:r>
            <w:r>
              <w:rPr>
                <w:sz w:val="18"/>
                <w:szCs w:val="18"/>
              </w:rPr>
              <w:t>was</w:t>
            </w:r>
            <w:r w:rsidRPr="008760C3">
              <w:rPr>
                <w:sz w:val="18"/>
                <w:szCs w:val="18"/>
              </w:rPr>
              <w:t xml:space="preserve"> a key driver in the HCH implementation. The clinical pharmacist </w:t>
            </w:r>
            <w:r>
              <w:rPr>
                <w:sz w:val="18"/>
                <w:szCs w:val="18"/>
              </w:rPr>
              <w:t xml:space="preserve">impressed that it takes time </w:t>
            </w:r>
            <w:r w:rsidRPr="008760C3">
              <w:rPr>
                <w:sz w:val="18"/>
                <w:szCs w:val="18"/>
              </w:rPr>
              <w:t xml:space="preserve">to </w:t>
            </w:r>
            <w:r>
              <w:rPr>
                <w:sz w:val="18"/>
                <w:szCs w:val="18"/>
              </w:rPr>
              <w:t>change the culture within the</w:t>
            </w:r>
            <w:r w:rsidRPr="008760C3">
              <w:rPr>
                <w:sz w:val="18"/>
                <w:szCs w:val="18"/>
              </w:rPr>
              <w:t xml:space="preserve"> practice</w:t>
            </w:r>
            <w:r>
              <w:rPr>
                <w:sz w:val="18"/>
                <w:szCs w:val="18"/>
              </w:rPr>
              <w:t>, particularly</w:t>
            </w:r>
            <w:r w:rsidRPr="008760C3">
              <w:rPr>
                <w:sz w:val="18"/>
                <w:szCs w:val="18"/>
              </w:rPr>
              <w:t xml:space="preserve"> to engage the </w:t>
            </w:r>
            <w:r>
              <w:rPr>
                <w:sz w:val="18"/>
                <w:szCs w:val="18"/>
              </w:rPr>
              <w:t>GPs given that the model means changes to the way that they practice</w:t>
            </w:r>
            <w:r w:rsidRPr="008760C3">
              <w:rPr>
                <w:sz w:val="18"/>
                <w:szCs w:val="18"/>
              </w:rPr>
              <w:t>. At the time of the interview, the GPs were beginning to enrol patients and get more interested in the HCH model of care.</w:t>
            </w:r>
          </w:p>
        </w:tc>
      </w:tr>
    </w:tbl>
    <w:p w14:paraId="32B31A9B" w14:textId="77777777" w:rsidR="001C19F3" w:rsidRPr="008760C3" w:rsidRDefault="001C19F3" w:rsidP="001C19F3">
      <w:pPr>
        <w:spacing w:after="0"/>
      </w:pPr>
    </w:p>
    <w:p w14:paraId="1C108780" w14:textId="77777777" w:rsidR="001C19F3" w:rsidRDefault="001C19F3" w:rsidP="001C19F3">
      <w:r>
        <w:t xml:space="preserve">PHN practice facilitators distinguished between infrastructure changes and more fundamental changes in the way practices operate and deliver care. The former requires training and set-up of key processes </w:t>
      </w:r>
      <w:r w:rsidRPr="008760C3">
        <w:t xml:space="preserve">(such as installing software, cleaning up data, setting up HPOS) and the latter includes the changes to culture, mindset and buy-in from key staff. </w:t>
      </w:r>
      <w:r>
        <w:t>While additional resources may have helped with changes to infrastructure, the conceptual changes could not be compressed into a shorter period.</w:t>
      </w:r>
    </w:p>
    <w:p w14:paraId="412AEF26" w14:textId="77777777" w:rsidR="001C19F3" w:rsidRPr="008760C3" w:rsidRDefault="001C19F3" w:rsidP="001C19F3">
      <w:r w:rsidRPr="008760C3">
        <w:t>Facilitators drew on their experiences in being involved in similar initiatives to HCH, such as PCMH readiness and the Australian Primary Care Collaborative Program. They reflected the changes in those initiatives took time:</w:t>
      </w:r>
    </w:p>
    <w:p w14:paraId="272560BE" w14:textId="77777777" w:rsidR="001C19F3" w:rsidRPr="008760C3" w:rsidRDefault="001C19F3" w:rsidP="001C19F3">
      <w:pPr>
        <w:ind w:left="567" w:right="1088"/>
      </w:pPr>
      <w:r w:rsidRPr="008760C3">
        <w:t>“</w:t>
      </w:r>
      <w:r w:rsidRPr="008760C3">
        <w:rPr>
          <w:i/>
        </w:rPr>
        <w:t xml:space="preserve">…they were allowed to really go through that change management process and put processes </w:t>
      </w:r>
      <w:r w:rsidRPr="008760C3">
        <w:t xml:space="preserve">[in place] </w:t>
      </w:r>
      <w:r w:rsidRPr="008760C3">
        <w:rPr>
          <w:i/>
        </w:rPr>
        <w:t>and let it happen organically</w:t>
      </w:r>
      <w:r w:rsidRPr="008760C3">
        <w:t>” [PHN 1, interview</w:t>
      </w:r>
      <w:r>
        <w:t>, R1]</w:t>
      </w:r>
    </w:p>
    <w:p w14:paraId="5FFD2DFE" w14:textId="77777777" w:rsidR="001C19F3" w:rsidRPr="008760C3" w:rsidRDefault="001C19F3" w:rsidP="001C19F3">
      <w:pPr>
        <w:rPr>
          <w:szCs w:val="20"/>
        </w:rPr>
      </w:pPr>
      <w:r w:rsidRPr="008760C3">
        <w:rPr>
          <w:szCs w:val="20"/>
        </w:rPr>
        <w:t xml:space="preserve">Several practices stated that short timeframes also </w:t>
      </w:r>
      <w:r>
        <w:rPr>
          <w:szCs w:val="20"/>
        </w:rPr>
        <w:t xml:space="preserve">meant that they didn’t have enough time to train; </w:t>
      </w:r>
      <w:r w:rsidRPr="008760C3">
        <w:rPr>
          <w:szCs w:val="20"/>
        </w:rPr>
        <w:t xml:space="preserve">they didn’t have time to </w:t>
      </w:r>
      <w:r>
        <w:rPr>
          <w:szCs w:val="20"/>
        </w:rPr>
        <w:t>do</w:t>
      </w:r>
      <w:r w:rsidRPr="008760C3">
        <w:rPr>
          <w:szCs w:val="20"/>
        </w:rPr>
        <w:t xml:space="preserve"> the</w:t>
      </w:r>
      <w:r>
        <w:rPr>
          <w:szCs w:val="20"/>
        </w:rPr>
        <w:t xml:space="preserve"> online</w:t>
      </w:r>
      <w:r w:rsidRPr="008760C3">
        <w:rPr>
          <w:szCs w:val="20"/>
        </w:rPr>
        <w:t xml:space="preserve"> modules or attend events hosted by the PHN</w:t>
      </w:r>
      <w:r>
        <w:rPr>
          <w:szCs w:val="20"/>
        </w:rPr>
        <w:t>. T</w:t>
      </w:r>
      <w:r w:rsidRPr="008760C3">
        <w:rPr>
          <w:szCs w:val="20"/>
        </w:rPr>
        <w:t>herefore, they either had not completed the modules or had to go through the training in their own time. One GP described the expectations of practices around program training as “</w:t>
      </w:r>
      <w:r w:rsidRPr="008760C3">
        <w:rPr>
          <w:i/>
          <w:szCs w:val="20"/>
        </w:rPr>
        <w:t xml:space="preserve">insane, </w:t>
      </w:r>
      <w:r w:rsidRPr="008760C3">
        <w:rPr>
          <w:i/>
        </w:rPr>
        <w:t>overloaded</w:t>
      </w:r>
      <w:r w:rsidRPr="008760C3">
        <w:rPr>
          <w:i/>
          <w:szCs w:val="20"/>
        </w:rPr>
        <w:t>,</w:t>
      </w:r>
      <w:r w:rsidRPr="008760C3">
        <w:rPr>
          <w:i/>
        </w:rPr>
        <w:t xml:space="preserve"> overbearing</w:t>
      </w:r>
      <w:r w:rsidRPr="008760C3">
        <w:rPr>
          <w:szCs w:val="20"/>
        </w:rPr>
        <w:t xml:space="preserve">.” </w:t>
      </w:r>
    </w:p>
    <w:p w14:paraId="0EDA425E" w14:textId="77777777" w:rsidR="001C19F3" w:rsidRPr="008760C3" w:rsidRDefault="001C19F3" w:rsidP="001C19F3">
      <w:pPr>
        <w:rPr>
          <w:szCs w:val="20"/>
        </w:rPr>
      </w:pPr>
      <w:r w:rsidRPr="008760C3">
        <w:rPr>
          <w:szCs w:val="20"/>
        </w:rPr>
        <w:t xml:space="preserve">Practices and PHNs strongly suggested increasing the lead time and allowing practices to </w:t>
      </w:r>
      <w:r>
        <w:rPr>
          <w:szCs w:val="20"/>
        </w:rPr>
        <w:t>set-up</w:t>
      </w:r>
      <w:r w:rsidRPr="008760C3">
        <w:rPr>
          <w:szCs w:val="20"/>
        </w:rPr>
        <w:t xml:space="preserve"> the model prior to enrolling patients. Individuals suggested everything from simply extending program timelines to incorporating a practice readiness program into the HCH training:</w:t>
      </w:r>
    </w:p>
    <w:p w14:paraId="6630C280" w14:textId="77777777" w:rsidR="001C19F3" w:rsidRPr="008760C3" w:rsidRDefault="001C19F3" w:rsidP="001C19F3">
      <w:pPr>
        <w:ind w:left="567" w:right="1088"/>
        <w:rPr>
          <w:szCs w:val="20"/>
        </w:rPr>
      </w:pPr>
      <w:r w:rsidRPr="008760C3">
        <w:rPr>
          <w:i/>
          <w:szCs w:val="20"/>
        </w:rPr>
        <w:t>“I think they've made an error with their timeframes … I think that the timeframes, unquestionably, need to be blown out. Specifically, I think the enrolment timeframe needs to go much longer.”</w:t>
      </w:r>
      <w:r w:rsidRPr="008760C3">
        <w:rPr>
          <w:szCs w:val="20"/>
        </w:rPr>
        <w:t xml:space="preserve"> [GP, Practice 12, interview</w:t>
      </w:r>
      <w:r>
        <w:rPr>
          <w:szCs w:val="20"/>
        </w:rPr>
        <w:t>, R2]</w:t>
      </w:r>
    </w:p>
    <w:p w14:paraId="77A284BC" w14:textId="77777777" w:rsidR="001C19F3" w:rsidRPr="008760C3" w:rsidRDefault="001C19F3" w:rsidP="001C19F3">
      <w:pPr>
        <w:ind w:left="567" w:right="1088"/>
        <w:rPr>
          <w:i/>
          <w:szCs w:val="20"/>
        </w:rPr>
      </w:pPr>
      <w:r w:rsidRPr="008760C3">
        <w:rPr>
          <w:i/>
          <w:szCs w:val="20"/>
        </w:rPr>
        <w:lastRenderedPageBreak/>
        <w:t xml:space="preserve">“It’s gained momentum. It probably needed this year, and probably needed a second year actually, to gain momentum before the trial actually started.” </w:t>
      </w:r>
      <w:r w:rsidRPr="008760C3">
        <w:t>[</w:t>
      </w:r>
      <w:r w:rsidRPr="008760C3">
        <w:rPr>
          <w:szCs w:val="20"/>
        </w:rPr>
        <w:t>Owner and</w:t>
      </w:r>
      <w:r w:rsidRPr="008760C3">
        <w:t xml:space="preserve"> practice manager,</w:t>
      </w:r>
      <w:r w:rsidRPr="008760C3">
        <w:rPr>
          <w:szCs w:val="20"/>
        </w:rPr>
        <w:t xml:space="preserve"> </w:t>
      </w:r>
      <w:r w:rsidRPr="008760C3">
        <w:t>Practice 6,</w:t>
      </w:r>
      <w:r w:rsidRPr="008760C3">
        <w:rPr>
          <w:szCs w:val="20"/>
        </w:rPr>
        <w:t xml:space="preserve"> interview</w:t>
      </w:r>
      <w:r>
        <w:t>, R2]</w:t>
      </w:r>
    </w:p>
    <w:p w14:paraId="30CB1124" w14:textId="77777777" w:rsidR="001C19F3" w:rsidRPr="008760C3" w:rsidRDefault="001C19F3" w:rsidP="001C19F3">
      <w:pPr>
        <w:ind w:left="567" w:right="1088"/>
      </w:pPr>
      <w:r w:rsidRPr="008760C3">
        <w:rPr>
          <w:i/>
          <w:szCs w:val="20"/>
        </w:rPr>
        <w:t xml:space="preserve">“…If I was redesigning the program, I would say, give one year of investment into leadership, data, cleaning your data, some workflow issues and teamwork, before you are allowed to enrol a patient.” </w:t>
      </w:r>
      <w:r w:rsidRPr="008760C3">
        <w:t xml:space="preserve">[GP </w:t>
      </w:r>
      <w:r w:rsidRPr="008760C3">
        <w:rPr>
          <w:szCs w:val="20"/>
        </w:rPr>
        <w:t>and</w:t>
      </w:r>
      <w:r w:rsidRPr="008760C3">
        <w:t xml:space="preserve"> practice manager, Practice 5, interview</w:t>
      </w:r>
      <w:r>
        <w:t>, R2]</w:t>
      </w:r>
    </w:p>
    <w:p w14:paraId="795D5AD5"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Timing of enrolment commencement</w:t>
      </w:r>
    </w:p>
    <w:p w14:paraId="0D728588" w14:textId="77777777" w:rsidR="001C19F3" w:rsidRPr="008760C3" w:rsidRDefault="001C19F3" w:rsidP="001C19F3">
      <w:r w:rsidRPr="008760C3">
        <w:t xml:space="preserve">PHN practice facilitators thought the December start date was a problem for enrolments as key staff take leave during the December-January period. Also, February and March are busy times for practices due to the beginning of the school year. Often practice facilitators couldn’t start working with practices until February, and some not until March. </w:t>
      </w:r>
    </w:p>
    <w:p w14:paraId="7D797876"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Buy-in from key staff</w:t>
      </w:r>
    </w:p>
    <w:p w14:paraId="380F40B4" w14:textId="77777777" w:rsidR="001C19F3" w:rsidRPr="008760C3" w:rsidRDefault="001C19F3" w:rsidP="001C19F3">
      <w:r w:rsidRPr="008760C3">
        <w:rPr>
          <w:noProof/>
          <w:lang w:eastAsia="en-AU"/>
        </w:rPr>
        <mc:AlternateContent>
          <mc:Choice Requires="wps">
            <w:drawing>
              <wp:anchor distT="91440" distB="91440" distL="114300" distR="114300" simplePos="0" relativeHeight="251674624" behindDoc="0" locked="0" layoutInCell="1" allowOverlap="1" wp14:anchorId="21946AB0" wp14:editId="55CDACB7">
                <wp:simplePos x="0" y="0"/>
                <wp:positionH relativeFrom="page">
                  <wp:posOffset>819150</wp:posOffset>
                </wp:positionH>
                <wp:positionV relativeFrom="paragraph">
                  <wp:posOffset>135255</wp:posOffset>
                </wp:positionV>
                <wp:extent cx="1647825" cy="485775"/>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85775"/>
                        </a:xfrm>
                        <a:prstGeom prst="rect">
                          <a:avLst/>
                        </a:prstGeom>
                        <a:noFill/>
                        <a:ln w="9525">
                          <a:noFill/>
                          <a:miter lim="800000"/>
                          <a:headEnd/>
                          <a:tailEnd/>
                        </a:ln>
                      </wps:spPr>
                      <wps:txbx>
                        <w:txbxContent>
                          <w:p w14:paraId="35554676" w14:textId="77777777" w:rsidR="00521305" w:rsidRDefault="00521305" w:rsidP="001C19F3">
                            <w:pPr>
                              <w:spacing w:after="0"/>
                              <w:jc w:val="center"/>
                              <w:rPr>
                                <w:i/>
                                <w:iCs/>
                                <w:color w:val="003D79"/>
                                <w:sz w:val="18"/>
                                <w:szCs w:val="18"/>
                              </w:rPr>
                            </w:pPr>
                            <w:r>
                              <w:rPr>
                                <w:i/>
                                <w:iCs/>
                                <w:color w:val="003D79"/>
                                <w:sz w:val="18"/>
                                <w:szCs w:val="18"/>
                              </w:rPr>
                              <w:t xml:space="preserve">“Buy-in before they sign” </w:t>
                            </w:r>
                            <w:r w:rsidRPr="009B75E1">
                              <w:rPr>
                                <w:iCs/>
                                <w:color w:val="003D79"/>
                                <w:sz w:val="18"/>
                                <w:szCs w:val="18"/>
                              </w:rPr>
                              <w:t>[PHN 1,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46AB0" id="Text Box 79" o:spid="_x0000_s1034" type="#_x0000_t202" style="position:absolute;margin-left:64.5pt;margin-top:10.65pt;width:129.75pt;height:38.25pt;z-index:2516746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" filled="f" stroked="f">
                <v:textbox>
                  <w:txbxContent>
                    <w:p w14:paraId="35554676" w14:textId="77777777" w:rsidR="00521305" w:rsidRDefault="00521305" w:rsidP="001C19F3">
                      <w:pPr>
                        <w:spacing w:after="0"/>
                        <w:jc w:val="center"/>
                        <w:rPr>
                          <w:i/>
                          <w:iCs/>
                          <w:color w:val="003D79"/>
                          <w:sz w:val="18"/>
                          <w:szCs w:val="18"/>
                        </w:rPr>
                      </w:pPr>
                      <w:r>
                        <w:rPr>
                          <w:i/>
                          <w:iCs/>
                          <w:color w:val="003D79"/>
                          <w:sz w:val="18"/>
                          <w:szCs w:val="18"/>
                        </w:rPr>
                        <w:t xml:space="preserve">“Buy-in before they sign” </w:t>
                      </w:r>
                      <w:r w:rsidRPr="009B75E1">
                        <w:rPr>
                          <w:iCs/>
                          <w:color w:val="003D79"/>
                          <w:sz w:val="18"/>
                          <w:szCs w:val="18"/>
                        </w:rPr>
                        <w:t>[PHN 1, interview, R1]</w:t>
                      </w:r>
                    </w:p>
                  </w:txbxContent>
                </v:textbox>
                <w10:wrap type="square" anchorx="page"/>
              </v:shape>
            </w:pict>
          </mc:Fallback>
        </mc:AlternateContent>
      </w:r>
      <w:r w:rsidRPr="008760C3">
        <w:t xml:space="preserve">PHN practice facilitators </w:t>
      </w:r>
      <w:r>
        <w:t>observed that</w:t>
      </w:r>
      <w:r w:rsidRPr="008760C3">
        <w:t xml:space="preserve"> practices struggled getting HCH off the ground because they hadn’t achieved buy-in from key staff in the practice prior to applying to become </w:t>
      </w:r>
      <w:r>
        <w:t>an HCH</w:t>
      </w:r>
      <w:r w:rsidRPr="008760C3">
        <w:t>. One practice facilitator observed:</w:t>
      </w:r>
    </w:p>
    <w:p w14:paraId="3C31FA5B" w14:textId="77777777" w:rsidR="001C19F3" w:rsidRPr="008760C3" w:rsidRDefault="001C19F3" w:rsidP="001C19F3">
      <w:pPr>
        <w:ind w:left="567" w:right="1088"/>
      </w:pPr>
      <w:r w:rsidRPr="008760C3">
        <w:t>“…</w:t>
      </w:r>
      <w:r w:rsidRPr="008760C3">
        <w:rPr>
          <w:i/>
        </w:rPr>
        <w:t>a significant omission at the beginning of the process was that when practices had to submit an expression of interest, there was no requirement on them to demonstrate that there had been adequate consultation within the practice about the EOI process and what it would mean for the practice.</w:t>
      </w:r>
      <w:r w:rsidRPr="008760C3">
        <w:t>” [PHN 5, interview</w:t>
      </w:r>
      <w:r>
        <w:t>, R1]</w:t>
      </w:r>
      <w:r w:rsidRPr="008760C3">
        <w:t xml:space="preserve"> </w:t>
      </w:r>
    </w:p>
    <w:p w14:paraId="645E3B0A" w14:textId="77777777" w:rsidR="001C19F3" w:rsidRPr="008760C3" w:rsidRDefault="001C19F3" w:rsidP="001C19F3">
      <w:bookmarkStart w:id="273" w:name="_Hlk21270293"/>
      <w:r w:rsidRPr="008760C3">
        <w:t xml:space="preserve">In some cases, practice owners, the head office of corporately owned practices or practice managers had submitted the application </w:t>
      </w:r>
      <w:r>
        <w:t xml:space="preserve">to participate in HCH </w:t>
      </w:r>
      <w:r w:rsidRPr="008760C3">
        <w:t>but had not adequately discussed the submission with the GPs. Inadequate consultation within the practice resulted in some declining the offer to participate, and others who took up the offer only to withdraw subsequently or to take longer to start implementing due to needing to get buy-in from key people in the practice</w:t>
      </w:r>
      <w:bookmarkEnd w:id="273"/>
      <w:r w:rsidRPr="008760C3">
        <w:t xml:space="preserve">. One facilitator </w:t>
      </w:r>
      <w:r>
        <w:t>commented</w:t>
      </w:r>
      <w:r w:rsidRPr="008760C3">
        <w:t>:</w:t>
      </w:r>
    </w:p>
    <w:p w14:paraId="0E0BE180" w14:textId="77777777" w:rsidR="001C19F3" w:rsidRPr="008760C3" w:rsidRDefault="001C19F3" w:rsidP="001C19F3">
      <w:pPr>
        <w:ind w:left="567" w:right="1088"/>
      </w:pPr>
      <w:r w:rsidRPr="008760C3">
        <w:t xml:space="preserve">“… </w:t>
      </w:r>
      <w:r w:rsidRPr="008760C3">
        <w:rPr>
          <w:i/>
        </w:rPr>
        <w:t>when I went out to do a practice presentation on Health Care Homes, I realised, very quickly, that this is the first the doctors were hearing about it. Even though they’d signed a contract and received a $10,000 grant… I had no idea, when I went in, that that’s what the situation was. I just assumed that they knew they were on the trial and they wanted more information</w:t>
      </w:r>
      <w:r w:rsidRPr="008760C3">
        <w:t>.“ [PHN 1, interview</w:t>
      </w:r>
      <w:r>
        <w:t>, R1]</w:t>
      </w:r>
    </w:p>
    <w:p w14:paraId="78D6B06E" w14:textId="77777777" w:rsidR="001C19F3" w:rsidRPr="008760C3" w:rsidRDefault="001C19F3" w:rsidP="001C19F3">
      <w:r w:rsidRPr="008760C3">
        <w:t>Another consequence was that fewer GPs within practices were willing to participate that originally indicated in responses to the EOI:</w:t>
      </w:r>
    </w:p>
    <w:p w14:paraId="5F3B705C" w14:textId="77777777" w:rsidR="001C19F3" w:rsidRPr="008760C3" w:rsidRDefault="001C19F3" w:rsidP="001C19F3">
      <w:pPr>
        <w:ind w:left="567" w:right="1088"/>
      </w:pPr>
      <w:r w:rsidRPr="008760C3">
        <w:t>“</w:t>
      </w:r>
      <w:r w:rsidRPr="008760C3">
        <w:rPr>
          <w:i/>
        </w:rPr>
        <w:t>So when they signed up, all GPs were put forward, but … now that has significantly reduced.</w:t>
      </w:r>
      <w:r w:rsidRPr="008760C3">
        <w:t>” [PHN 2, interview</w:t>
      </w:r>
      <w:r>
        <w:t>, R1]</w:t>
      </w:r>
    </w:p>
    <w:p w14:paraId="065251C4" w14:textId="77777777" w:rsidR="001C19F3" w:rsidRPr="008760C3" w:rsidRDefault="001C19F3" w:rsidP="001C19F3">
      <w:r w:rsidRPr="008760C3">
        <w:t>One facilitator described what it was like working with practices who had little buy-in from key people in advance of the implementation:</w:t>
      </w:r>
    </w:p>
    <w:p w14:paraId="1F17859A" w14:textId="77777777" w:rsidR="001C19F3" w:rsidRPr="008760C3" w:rsidRDefault="001C19F3" w:rsidP="001C19F3">
      <w:pPr>
        <w:ind w:left="567" w:right="1088"/>
      </w:pPr>
      <w:r w:rsidRPr="008760C3">
        <w:lastRenderedPageBreak/>
        <w:t>“…</w:t>
      </w:r>
      <w:r w:rsidRPr="008760C3">
        <w:rPr>
          <w:i/>
        </w:rPr>
        <w:t>with any change management process if you don’t bring people on board from the outset and they have ownership of it it’s like pulling teeth and that’s what it’s been like.</w:t>
      </w:r>
      <w:r w:rsidRPr="008760C3">
        <w:t>” [PHN 5, interview</w:t>
      </w:r>
      <w:r>
        <w:t>, R1]</w:t>
      </w:r>
    </w:p>
    <w:p w14:paraId="646D1DAA" w14:textId="77777777" w:rsidR="001C19F3" w:rsidRPr="008760C3" w:rsidRDefault="001C19F3" w:rsidP="001C19F3">
      <w:bookmarkStart w:id="274" w:name="_Hlk21270399"/>
      <w:r w:rsidRPr="008760C3">
        <w:t>Practice facilitators suggested that the HCH application process should require practices to confirm they had agreement from key practice staff</w:t>
      </w:r>
      <w:bookmarkEnd w:id="274"/>
      <w:r w:rsidRPr="008760C3">
        <w:t>:</w:t>
      </w:r>
    </w:p>
    <w:p w14:paraId="4917EFDA" w14:textId="77777777" w:rsidR="001C19F3" w:rsidRPr="008760C3" w:rsidRDefault="001C19F3" w:rsidP="001C19F3">
      <w:pPr>
        <w:ind w:left="567" w:right="1088"/>
      </w:pPr>
      <w:r w:rsidRPr="008760C3">
        <w:t>“…</w:t>
      </w:r>
      <w:r w:rsidRPr="008760C3">
        <w:rPr>
          <w:i/>
        </w:rPr>
        <w:t>it does come back mostly to really needing to do that engagement quite strongly with the GPs first. Tell them what it’s all about and how it will impact them… makes them feel they get that story told first</w:t>
      </w:r>
      <w:r>
        <w:rPr>
          <w:i/>
        </w:rPr>
        <w:t>.</w:t>
      </w:r>
      <w:r w:rsidRPr="008760C3">
        <w:t>” [PHN 10, interview</w:t>
      </w:r>
      <w:r>
        <w:t>, R1]</w:t>
      </w:r>
    </w:p>
    <w:p w14:paraId="36596A05" w14:textId="77777777" w:rsidR="001C19F3" w:rsidRPr="008760C3" w:rsidRDefault="001C19F3" w:rsidP="001C19F3">
      <w:r w:rsidRPr="008760C3">
        <w:t>Another suggestion was that the agreements to participate in HCH should have been with individual GPs rather than with the practice:</w:t>
      </w:r>
    </w:p>
    <w:p w14:paraId="1F4503E8" w14:textId="77777777" w:rsidR="001C19F3" w:rsidRPr="008760C3" w:rsidRDefault="001C19F3" w:rsidP="001C19F3">
      <w:pPr>
        <w:ind w:left="567" w:right="1088"/>
      </w:pPr>
      <w:r w:rsidRPr="008760C3">
        <w:t>“</w:t>
      </w:r>
      <w:r w:rsidRPr="008760C3">
        <w:rPr>
          <w:i/>
        </w:rPr>
        <w:t>I would consider having individual GP contracts because I do feel they feel slightly removed and slightly removed from responsibility.</w:t>
      </w:r>
      <w:r w:rsidRPr="008760C3">
        <w:t>” [PHN 7, interview</w:t>
      </w:r>
      <w:r>
        <w:t>, R1]</w:t>
      </w:r>
    </w:p>
    <w:p w14:paraId="35B396B3"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Information about HCH</w:t>
      </w:r>
    </w:p>
    <w:p w14:paraId="45A92C71" w14:textId="77777777" w:rsidR="001C19F3" w:rsidRPr="008760C3" w:rsidRDefault="001C19F3" w:rsidP="001C19F3">
      <w:r w:rsidRPr="008760C3">
        <w:rPr>
          <w:noProof/>
          <w:lang w:eastAsia="en-AU"/>
        </w:rPr>
        <mc:AlternateContent>
          <mc:Choice Requires="wps">
            <w:drawing>
              <wp:anchor distT="91440" distB="91440" distL="114300" distR="114300" simplePos="0" relativeHeight="251675648" behindDoc="0" locked="0" layoutInCell="1" allowOverlap="1" wp14:anchorId="4E67CCF5" wp14:editId="7F2EC318">
                <wp:simplePos x="0" y="0"/>
                <wp:positionH relativeFrom="page">
                  <wp:posOffset>971550</wp:posOffset>
                </wp:positionH>
                <wp:positionV relativeFrom="paragraph">
                  <wp:posOffset>85725</wp:posOffset>
                </wp:positionV>
                <wp:extent cx="1628775" cy="44767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47675"/>
                        </a:xfrm>
                        <a:prstGeom prst="rect">
                          <a:avLst/>
                        </a:prstGeom>
                        <a:noFill/>
                        <a:ln w="9525">
                          <a:noFill/>
                          <a:miter lim="800000"/>
                          <a:headEnd/>
                          <a:tailEnd/>
                        </a:ln>
                      </wps:spPr>
                      <wps:txbx>
                        <w:txbxContent>
                          <w:p w14:paraId="0B8475C4" w14:textId="77777777" w:rsidR="00521305" w:rsidRDefault="00521305" w:rsidP="001C19F3">
                            <w:pPr>
                              <w:spacing w:after="0"/>
                              <w:jc w:val="center"/>
                              <w:rPr>
                                <w:i/>
                                <w:iCs/>
                                <w:color w:val="003D79"/>
                                <w:sz w:val="18"/>
                                <w:szCs w:val="18"/>
                              </w:rPr>
                            </w:pPr>
                            <w:r>
                              <w:rPr>
                                <w:i/>
                                <w:iCs/>
                                <w:color w:val="003D79"/>
                                <w:sz w:val="18"/>
                                <w:szCs w:val="18"/>
                              </w:rPr>
                              <w:t xml:space="preserve">“No, it’s in your contract” </w:t>
                            </w:r>
                            <w:r w:rsidRPr="009B75E1">
                              <w:rPr>
                                <w:iCs/>
                                <w:color w:val="003D79"/>
                                <w:sz w:val="18"/>
                                <w:szCs w:val="18"/>
                              </w:rPr>
                              <w:t>[PHN 5,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7CCF5" id="Text Box 78" o:spid="_x0000_s1035" type="#_x0000_t202" style="position:absolute;margin-left:76.5pt;margin-top:6.75pt;width:128.25pt;height:35.25pt;z-index:2516756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" filled="f" stroked="f">
                <v:textbox>
                  <w:txbxContent>
                    <w:p w14:paraId="0B8475C4" w14:textId="77777777" w:rsidR="00521305" w:rsidRDefault="00521305" w:rsidP="001C19F3">
                      <w:pPr>
                        <w:spacing w:after="0"/>
                        <w:jc w:val="center"/>
                        <w:rPr>
                          <w:i/>
                          <w:iCs/>
                          <w:color w:val="003D79"/>
                          <w:sz w:val="18"/>
                          <w:szCs w:val="18"/>
                        </w:rPr>
                      </w:pPr>
                      <w:r>
                        <w:rPr>
                          <w:i/>
                          <w:iCs/>
                          <w:color w:val="003D79"/>
                          <w:sz w:val="18"/>
                          <w:szCs w:val="18"/>
                        </w:rPr>
                        <w:t xml:space="preserve">“No, it’s in your contract” </w:t>
                      </w:r>
                      <w:r w:rsidRPr="009B75E1">
                        <w:rPr>
                          <w:iCs/>
                          <w:color w:val="003D79"/>
                          <w:sz w:val="18"/>
                          <w:szCs w:val="18"/>
                        </w:rPr>
                        <w:t>[PHN 5, interview, R1]</w:t>
                      </w:r>
                    </w:p>
                  </w:txbxContent>
                </v:textbox>
                <w10:wrap type="square" anchorx="page"/>
              </v:shape>
            </w:pict>
          </mc:Fallback>
        </mc:AlternateContent>
      </w:r>
      <w:r w:rsidRPr="008760C3">
        <w:t>Practice facilitators reported that many practices were surprised at some of the requirements for HCH. The requirements had not been fully articulated when they applied:</w:t>
      </w:r>
    </w:p>
    <w:p w14:paraId="061AB59C" w14:textId="77777777" w:rsidR="001C19F3" w:rsidRPr="008760C3" w:rsidRDefault="001C19F3" w:rsidP="001C19F3">
      <w:pPr>
        <w:ind w:left="567" w:right="1088"/>
      </w:pPr>
      <w:r w:rsidRPr="008760C3">
        <w:t>“…</w:t>
      </w:r>
      <w:r w:rsidRPr="008760C3">
        <w:rPr>
          <w:i/>
        </w:rPr>
        <w:t>the initial information was very basic, and they didn’t realise how much this would involve.</w:t>
      </w:r>
      <w:r w:rsidRPr="008760C3">
        <w:t>” [PHN 10, interview</w:t>
      </w:r>
      <w:r>
        <w:t>, R1]</w:t>
      </w:r>
    </w:p>
    <w:p w14:paraId="49B5CAE2" w14:textId="77777777" w:rsidR="001C19F3" w:rsidRPr="008760C3" w:rsidRDefault="001C19F3" w:rsidP="001C19F3">
      <w:pPr>
        <w:ind w:left="567" w:right="1088"/>
      </w:pPr>
      <w:r w:rsidRPr="008760C3">
        <w:t>“O</w:t>
      </w:r>
      <w:r w:rsidRPr="008760C3">
        <w:rPr>
          <w:i/>
        </w:rPr>
        <w:t>riginal contracts didn’t relate to transformation of care. The applications didn’t indicate in enough detail what was required.</w:t>
      </w:r>
      <w:r w:rsidRPr="008760C3">
        <w:t>” [PHN 9, survey</w:t>
      </w:r>
      <w:r>
        <w:t>, R1</w:t>
      </w:r>
      <w:r w:rsidRPr="008760C3">
        <w:t>]</w:t>
      </w:r>
    </w:p>
    <w:p w14:paraId="5E351631" w14:textId="77777777" w:rsidR="001C19F3" w:rsidRPr="008760C3" w:rsidRDefault="001C19F3" w:rsidP="001C19F3">
      <w:r w:rsidRPr="008760C3">
        <w:t>Some operational details of the program had not yet been worked out when the EOI was issued and there were still details to be finalised when the first wave of agreements was signed. For example, how practices would work with the RST, or the need to enter patient contact information into a separate database for the evaluation. The Department of Health acknowledged this:</w:t>
      </w:r>
    </w:p>
    <w:p w14:paraId="35A14AB1" w14:textId="77777777" w:rsidR="001C19F3" w:rsidRPr="008760C3" w:rsidRDefault="001C19F3" w:rsidP="001C19F3">
      <w:pPr>
        <w:ind w:left="567" w:right="1088"/>
        <w:rPr>
          <w:i/>
        </w:rPr>
      </w:pPr>
      <w:r w:rsidRPr="008760C3">
        <w:rPr>
          <w:i/>
        </w:rPr>
        <w:t xml:space="preserve">“… one of the challenges for us was timing. So, obviously, we went out at a time when we didn’t have all the information … there were elements of the program that were still, being defined when we went out.” </w:t>
      </w:r>
      <w:r w:rsidRPr="008760C3">
        <w:t>[Department of Health]</w:t>
      </w:r>
    </w:p>
    <w:p w14:paraId="07BB2991" w14:textId="77777777" w:rsidR="001C19F3" w:rsidRPr="008760C3" w:rsidRDefault="001C19F3" w:rsidP="001C19F3">
      <w:r w:rsidRPr="008760C3">
        <w:t>Practice facilitators acknowledged the complexity of the program and that not everything could be laid out upfront:</w:t>
      </w:r>
    </w:p>
    <w:p w14:paraId="32365B2C" w14:textId="77777777" w:rsidR="001C19F3" w:rsidRPr="008760C3" w:rsidRDefault="001C19F3" w:rsidP="001C19F3">
      <w:pPr>
        <w:ind w:left="567" w:right="1088"/>
        <w:rPr>
          <w:i/>
        </w:rPr>
      </w:pPr>
      <w:r w:rsidRPr="008760C3">
        <w:rPr>
          <w:i/>
        </w:rPr>
        <w:t xml:space="preserve">“…people didn't know what they were signing up for, because the program actually wasn’t clear at that stage. And </w:t>
      </w:r>
      <w:r w:rsidRPr="008760C3">
        <w:t>[the Department of Health]</w:t>
      </w:r>
      <w:r w:rsidRPr="008760C3">
        <w:rPr>
          <w:i/>
        </w:rPr>
        <w:t xml:space="preserve"> may, have made up things as they go along. Which, you know, fair enough. It's very complicated.” </w:t>
      </w:r>
      <w:r w:rsidRPr="008760C3">
        <w:t>[PHN 8, interview</w:t>
      </w:r>
      <w:r>
        <w:t>, R1]</w:t>
      </w:r>
    </w:p>
    <w:p w14:paraId="6A546300" w14:textId="77777777" w:rsidR="001C19F3" w:rsidRPr="008760C3" w:rsidRDefault="001C19F3" w:rsidP="001C19F3">
      <w:r w:rsidRPr="008760C3">
        <w:rPr>
          <w:noProof/>
        </w:rPr>
        <w:t>Another reason</w:t>
      </w:r>
      <w:r w:rsidRPr="008760C3">
        <w:t xml:space="preserve"> that practices were surprised about the requirements of participating was that they hadn’t carefully read the agreement before signing it. For example, some practices were under the impression that the PHN or the Department would pay for the shared care </w:t>
      </w:r>
      <w:r w:rsidRPr="008760C3">
        <w:lastRenderedPageBreak/>
        <w:t>planning software that they were required to implement.</w:t>
      </w:r>
      <w:r>
        <w:t xml:space="preserve"> </w:t>
      </w:r>
      <w:r w:rsidRPr="008760C3">
        <w:t>Mixed levels of understanding program requirements made the practice facilitation task challenging:</w:t>
      </w:r>
    </w:p>
    <w:p w14:paraId="4266E3CC" w14:textId="77777777" w:rsidR="001C19F3" w:rsidRPr="008760C3" w:rsidRDefault="001C19F3" w:rsidP="001C19F3">
      <w:pPr>
        <w:ind w:left="567" w:right="1088"/>
      </w:pPr>
      <w:r w:rsidRPr="008760C3">
        <w:rPr>
          <w:i/>
        </w:rPr>
        <w:t>“…understanding what the practices already knew, was difficult for us. We knew that they’d signed the contract, we knew that they had volunteered to be involved. We didn’t understand though… that the contract that they signed was a two-page document. … It wasn’t really involved, as far as the requirements of the program or what the best case scenario requirements of the program were. And it referenced… It only became clear later on that it did actually say there on a one-liner that they must adhere to the Health Care Homes Handbook. And then there’s all of a sudden this 40-page document that none of them ever read</w:t>
      </w:r>
      <w:r w:rsidRPr="008760C3">
        <w:t>.” [PHN 3, interview</w:t>
      </w:r>
      <w:r>
        <w:t>, R1]</w:t>
      </w:r>
    </w:p>
    <w:p w14:paraId="003DD910" w14:textId="77777777" w:rsidR="001C19F3" w:rsidRPr="008760C3" w:rsidRDefault="001C19F3" w:rsidP="001C19F3">
      <w:r w:rsidRPr="008760C3">
        <w:t>Reading the practice handbook may not have conveyed all the information about what the program entailed:</w:t>
      </w:r>
    </w:p>
    <w:p w14:paraId="5FBCE705" w14:textId="77777777" w:rsidR="001C19F3" w:rsidRPr="008760C3" w:rsidRDefault="001C19F3" w:rsidP="001C19F3">
      <w:pPr>
        <w:ind w:left="567" w:right="1088"/>
      </w:pPr>
      <w:r w:rsidRPr="008760C3">
        <w:t>“</w:t>
      </w:r>
      <w:r w:rsidRPr="008760C3">
        <w:rPr>
          <w:i/>
        </w:rPr>
        <w:t>…the handbook</w:t>
      </w:r>
      <w:r w:rsidRPr="008760C3">
        <w:t xml:space="preserve"> </w:t>
      </w:r>
      <w:r w:rsidRPr="008760C3">
        <w:rPr>
          <w:i/>
        </w:rPr>
        <w:t xml:space="preserve">was not sufficient to give </w:t>
      </w:r>
      <w:r w:rsidRPr="008760C3">
        <w:t>[practices]</w:t>
      </w:r>
      <w:r w:rsidRPr="008760C3">
        <w:rPr>
          <w:i/>
        </w:rPr>
        <w:t xml:space="preserve"> a real idea about the amount of resources both in times and personnel that would be required</w:t>
      </w:r>
      <w:r w:rsidRPr="008760C3">
        <w:t>”. [PHN 7, interview</w:t>
      </w:r>
      <w:r>
        <w:t>, R1]</w:t>
      </w:r>
    </w:p>
    <w:p w14:paraId="6CF78B19" w14:textId="77777777" w:rsidR="001C19F3" w:rsidRPr="008E0E3C" w:rsidRDefault="001C19F3" w:rsidP="001C19F3">
      <w:r w:rsidRPr="008E0E3C">
        <w:t xml:space="preserve">Practice facilitators suggested that in </w:t>
      </w:r>
      <w:r>
        <w:t>the future</w:t>
      </w:r>
      <w:r w:rsidRPr="008E0E3C">
        <w:t>, the Department should provide information sessions for practices at the EOI stage:</w:t>
      </w:r>
    </w:p>
    <w:p w14:paraId="6FA035F7" w14:textId="77777777" w:rsidR="001C19F3" w:rsidRPr="008760C3" w:rsidRDefault="001C19F3" w:rsidP="001C19F3">
      <w:pPr>
        <w:ind w:left="567" w:right="1088"/>
      </w:pPr>
      <w:r w:rsidRPr="008E0E3C">
        <w:t>“</w:t>
      </w:r>
      <w:r w:rsidRPr="008E0E3C">
        <w:rPr>
          <w:i/>
        </w:rPr>
        <w:t>So that I’m getting the right people applying for the future trials.</w:t>
      </w:r>
      <w:r w:rsidRPr="008E0E3C">
        <w:t>” [PHN 10, interview</w:t>
      </w:r>
      <w:r>
        <w:t>, R1]</w:t>
      </w:r>
    </w:p>
    <w:p w14:paraId="7043368B" w14:textId="77777777" w:rsidR="001C19F3" w:rsidRPr="008760C3" w:rsidRDefault="001C19F3" w:rsidP="001C19F3">
      <w:pPr>
        <w:rPr>
          <w:szCs w:val="20"/>
        </w:rPr>
      </w:pPr>
      <w:r w:rsidRPr="008760C3">
        <w:rPr>
          <w:szCs w:val="20"/>
        </w:rPr>
        <w:t xml:space="preserve">Some practices believed they didn’t have enough information about what to do initially, and this delayed their implementation: </w:t>
      </w:r>
    </w:p>
    <w:p w14:paraId="5D906F66" w14:textId="77777777" w:rsidR="001C19F3" w:rsidRPr="008760C3" w:rsidRDefault="001C19F3" w:rsidP="001C19F3">
      <w:pPr>
        <w:ind w:left="567" w:right="1088"/>
        <w:rPr>
          <w:i/>
          <w:szCs w:val="20"/>
        </w:rPr>
      </w:pPr>
      <w:r w:rsidRPr="008760C3">
        <w:rPr>
          <w:i/>
          <w:szCs w:val="20"/>
        </w:rPr>
        <w:t xml:space="preserve">“It was very confusing, and even our </w:t>
      </w:r>
      <w:r w:rsidRPr="008760C3">
        <w:rPr>
          <w:szCs w:val="20"/>
        </w:rPr>
        <w:t xml:space="preserve">[PHN] </w:t>
      </w:r>
      <w:r w:rsidRPr="008760C3">
        <w:rPr>
          <w:i/>
          <w:szCs w:val="20"/>
        </w:rPr>
        <w:t xml:space="preserve">liaison wasn't sure. We were feeding back questions, and then she wasn't sure herself...And through no fault of her own too. Just, the information wasn’t out there. It wasn't tried and tested…Maybe just really clear planning before the trial started would have been better.” </w:t>
      </w:r>
      <w:r w:rsidRPr="008760C3">
        <w:t>[</w:t>
      </w:r>
      <w:r w:rsidRPr="008760C3">
        <w:rPr>
          <w:szCs w:val="20"/>
        </w:rPr>
        <w:t>Nurse</w:t>
      </w:r>
      <w:r w:rsidRPr="008760C3">
        <w:t>, Practice 6, interview</w:t>
      </w:r>
      <w:r>
        <w:t>, R2]</w:t>
      </w:r>
    </w:p>
    <w:p w14:paraId="090E9478" w14:textId="77777777" w:rsidR="001C19F3" w:rsidRPr="008760C3" w:rsidRDefault="001C19F3" w:rsidP="001C19F3">
      <w:pPr>
        <w:ind w:left="567" w:right="1088"/>
        <w:rPr>
          <w:i/>
          <w:szCs w:val="20"/>
        </w:rPr>
      </w:pPr>
      <w:r w:rsidRPr="008760C3">
        <w:rPr>
          <w:i/>
          <w:szCs w:val="20"/>
        </w:rPr>
        <w:t xml:space="preserve">“It was like the business model came really late in the process. We didn’t even know what we were signing up to initially. It’s like, here’s an open-ended fuzzy, warm contract, and it’s not until we were in the trenches that we knew what we signed up for because they didn’t know what they were doing…” </w:t>
      </w:r>
      <w:r w:rsidRPr="008760C3">
        <w:t>[GP, Practice 7, interview</w:t>
      </w:r>
      <w:r>
        <w:t>, R2]</w:t>
      </w:r>
    </w:p>
    <w:p w14:paraId="0F626F1A" w14:textId="77777777" w:rsidR="001C19F3" w:rsidRPr="008760C3" w:rsidRDefault="001C19F3" w:rsidP="001C19F3">
      <w:pPr>
        <w:rPr>
          <w:szCs w:val="20"/>
        </w:rPr>
      </w:pPr>
      <w:r w:rsidRPr="008760C3">
        <w:rPr>
          <w:szCs w:val="20"/>
        </w:rPr>
        <w:t xml:space="preserve">The PHN practice facilitators had also identified this </w:t>
      </w:r>
      <w:r>
        <w:rPr>
          <w:szCs w:val="20"/>
        </w:rPr>
        <w:t>in earlier interviews</w:t>
      </w:r>
      <w:r w:rsidRPr="008760C3">
        <w:rPr>
          <w:szCs w:val="20"/>
        </w:rPr>
        <w:t>:</w:t>
      </w:r>
    </w:p>
    <w:p w14:paraId="4E4CF211" w14:textId="77777777" w:rsidR="001C19F3" w:rsidRPr="008760C3" w:rsidRDefault="001C19F3" w:rsidP="001C19F3">
      <w:pPr>
        <w:ind w:left="567" w:right="1088"/>
      </w:pPr>
      <w:r w:rsidRPr="008760C3">
        <w:rPr>
          <w:i/>
        </w:rPr>
        <w:t>“…from what I’m hearing from these practices, some members of staff still don’t quite know what they’re supposed to do and what this means to them. And that’s quite a big barrier to get over I think to get change implemented.”</w:t>
      </w:r>
      <w:r w:rsidRPr="008760C3">
        <w:t xml:space="preserve"> [PHN 7, interview</w:t>
      </w:r>
      <w:r>
        <w:t>, R1]</w:t>
      </w:r>
    </w:p>
    <w:p w14:paraId="78EF43CC"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Competing priorities</w:t>
      </w:r>
    </w:p>
    <w:p w14:paraId="0E08F035" w14:textId="77777777" w:rsidR="001C19F3" w:rsidRPr="008760C3" w:rsidRDefault="001C19F3" w:rsidP="001C19F3">
      <w:pPr>
        <w:rPr>
          <w:szCs w:val="20"/>
        </w:rPr>
      </w:pPr>
      <w:bookmarkStart w:id="275" w:name="_Hlk21270474"/>
      <w:r w:rsidRPr="008760C3">
        <w:rPr>
          <w:szCs w:val="20"/>
        </w:rPr>
        <w:t>Some practices stated that they found it difficult to run a busy practice while simultaneously integrating the HCH model</w:t>
      </w:r>
      <w:bookmarkEnd w:id="275"/>
      <w:r w:rsidRPr="008760C3">
        <w:rPr>
          <w:szCs w:val="20"/>
        </w:rPr>
        <w:t>:</w:t>
      </w:r>
    </w:p>
    <w:p w14:paraId="07F3E7EA" w14:textId="77777777" w:rsidR="001C19F3" w:rsidRPr="008760C3" w:rsidRDefault="001C19F3" w:rsidP="001C19F3">
      <w:pPr>
        <w:ind w:left="567" w:right="1088"/>
        <w:rPr>
          <w:szCs w:val="20"/>
        </w:rPr>
      </w:pPr>
      <w:r w:rsidRPr="008760C3">
        <w:rPr>
          <w:i/>
          <w:szCs w:val="20"/>
        </w:rPr>
        <w:lastRenderedPageBreak/>
        <w:t xml:space="preserve"> “We’ve spent a lot of time trying to understand the process of Health Care Homes, it’s only sort of just coming up and running now…Probably being such a busy practice, trying to find the space to fit Health Care Homes, the learning, the implementation…” </w:t>
      </w:r>
      <w:r w:rsidRPr="008760C3">
        <w:rPr>
          <w:szCs w:val="20"/>
        </w:rPr>
        <w:t>[Practice manager, Practice 14, interview</w:t>
      </w:r>
      <w:r>
        <w:rPr>
          <w:szCs w:val="20"/>
        </w:rPr>
        <w:t>, R2]</w:t>
      </w:r>
    </w:p>
    <w:p w14:paraId="3314BA80" w14:textId="77777777" w:rsidR="001C19F3" w:rsidRPr="008760C3" w:rsidRDefault="001C19F3" w:rsidP="001C19F3">
      <w:pPr>
        <w:ind w:right="237"/>
      </w:pPr>
      <w:r w:rsidRPr="008760C3">
        <w:t>PHNs had also recognised this:</w:t>
      </w:r>
    </w:p>
    <w:p w14:paraId="3D4386B5" w14:textId="77777777" w:rsidR="001C19F3" w:rsidRPr="008760C3" w:rsidRDefault="001C19F3" w:rsidP="001C19F3">
      <w:pPr>
        <w:ind w:left="567" w:right="1088"/>
      </w:pPr>
      <w:r w:rsidRPr="008760C3">
        <w:rPr>
          <w:i/>
        </w:rPr>
        <w:t xml:space="preserve"> “…they’ve been overwhelmed with so many other day-to-day practice issues that Health Care Homes in some of my practices has just taken a back seat. And therefore, it’s been really stressful for them and frustrating I think for staff and for me in some cases.” </w:t>
      </w:r>
      <w:r w:rsidRPr="008760C3">
        <w:t>[PHN 7, interview</w:t>
      </w:r>
      <w:r>
        <w:t>, R1]</w:t>
      </w:r>
    </w:p>
    <w:p w14:paraId="6293AF29" w14:textId="77777777" w:rsidR="001C19F3" w:rsidRPr="008760C3" w:rsidRDefault="001C19F3" w:rsidP="001C19F3">
      <w:pPr>
        <w:rPr>
          <w:szCs w:val="20"/>
        </w:rPr>
      </w:pPr>
      <w:bookmarkStart w:id="276" w:name="_Hlk21270496"/>
      <w:r w:rsidRPr="008760C3">
        <w:rPr>
          <w:szCs w:val="20"/>
        </w:rPr>
        <w:t>The pressure to adhere to the program timeframes was difficult for practices, especially for enrolling patients. Because of the additional time it took practices to establish their processes,</w:t>
      </w:r>
      <w:r>
        <w:rPr>
          <w:szCs w:val="20"/>
        </w:rPr>
        <w:t xml:space="preserve"> practices</w:t>
      </w:r>
      <w:r w:rsidRPr="008760C3">
        <w:rPr>
          <w:szCs w:val="20"/>
        </w:rPr>
        <w:t xml:space="preserve"> reported that they had little time left before the fast approaching enrolment deadline</w:t>
      </w:r>
      <w:bookmarkEnd w:id="276"/>
      <w:r>
        <w:rPr>
          <w:szCs w:val="20"/>
        </w:rPr>
        <w:t>. One facilitator commented:</w:t>
      </w:r>
    </w:p>
    <w:tbl>
      <w:tblPr>
        <w:tblpPr w:leftFromText="180" w:rightFromText="180" w:vertAnchor="text" w:horzAnchor="margin" w:tblpY="96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42AE222D" w14:textId="77777777" w:rsidTr="00521305">
        <w:trPr>
          <w:trHeight w:val="287"/>
        </w:trPr>
        <w:tc>
          <w:tcPr>
            <w:tcW w:w="5000" w:type="pct"/>
          </w:tcPr>
          <w:p w14:paraId="56B396D4"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1FC34210" w14:textId="77777777" w:rsidTr="00521305">
        <w:tc>
          <w:tcPr>
            <w:tcW w:w="5000" w:type="pct"/>
          </w:tcPr>
          <w:p w14:paraId="2D61E60D" w14:textId="77777777" w:rsidR="001C19F3" w:rsidRPr="008760C3" w:rsidRDefault="001C19F3" w:rsidP="00521305">
            <w:pPr>
              <w:spacing w:after="0"/>
              <w:rPr>
                <w:sz w:val="18"/>
                <w:szCs w:val="18"/>
              </w:rPr>
            </w:pPr>
            <w:r w:rsidRPr="008760C3">
              <w:rPr>
                <w:sz w:val="18"/>
                <w:szCs w:val="18"/>
              </w:rPr>
              <w:t>The GP of a solo practice located in a small, rural town was motivated to join HCH due to experience with other quality improvement initiatives and the team-based approach to managing patients with chronic disease. The practice</w:t>
            </w:r>
            <w:r>
              <w:rPr>
                <w:sz w:val="18"/>
                <w:szCs w:val="18"/>
              </w:rPr>
              <w:t xml:space="preserve"> was </w:t>
            </w:r>
            <w:r w:rsidRPr="008760C3">
              <w:rPr>
                <w:sz w:val="18"/>
                <w:szCs w:val="18"/>
              </w:rPr>
              <w:t>slow to progress with the model and enrol patients. This was due to both staffing changes and difficulties with IT. Implementing the RST was difficult for the practice. The GP identified its rural location as one of the factors contributing to the IT issues.</w:t>
            </w:r>
          </w:p>
        </w:tc>
      </w:tr>
    </w:tbl>
    <w:p w14:paraId="20CA2247" w14:textId="77777777" w:rsidR="001C19F3" w:rsidRPr="008760C3" w:rsidRDefault="001C19F3" w:rsidP="001C19F3">
      <w:pPr>
        <w:ind w:left="567" w:right="1089"/>
        <w:rPr>
          <w:szCs w:val="20"/>
        </w:rPr>
      </w:pPr>
      <w:r w:rsidRPr="008760C3">
        <w:rPr>
          <w:i/>
          <w:szCs w:val="20"/>
        </w:rPr>
        <w:t xml:space="preserve"> “The program has been quite difficult. There's been dramatic amount of change in a short period of time and I can tell you now where practices are at. They're at change fatigue stages…”</w:t>
      </w:r>
      <w:r w:rsidRPr="008760C3">
        <w:rPr>
          <w:szCs w:val="20"/>
        </w:rPr>
        <w:t xml:space="preserve"> [PHN 5, </w:t>
      </w:r>
      <w:r>
        <w:rPr>
          <w:szCs w:val="20"/>
        </w:rPr>
        <w:t>i</w:t>
      </w:r>
      <w:r w:rsidRPr="008760C3">
        <w:rPr>
          <w:szCs w:val="20"/>
        </w:rPr>
        <w:t>nterview</w:t>
      </w:r>
      <w:r>
        <w:rPr>
          <w:szCs w:val="20"/>
        </w:rPr>
        <w:t>, R2]</w:t>
      </w:r>
    </w:p>
    <w:p w14:paraId="0591B5B2" w14:textId="77777777" w:rsidR="001C19F3" w:rsidRPr="008760C3" w:rsidRDefault="001C19F3" w:rsidP="001C19F3">
      <w:pPr>
        <w:spacing w:after="0"/>
      </w:pPr>
      <w:bookmarkStart w:id="277" w:name="_Hlk20412774"/>
    </w:p>
    <w:p w14:paraId="41F40E1C"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Magnitude of change</w:t>
      </w:r>
    </w:p>
    <w:p w14:paraId="4ACE1499" w14:textId="77777777" w:rsidR="001C19F3" w:rsidRPr="008760C3" w:rsidRDefault="001C19F3" w:rsidP="001C19F3">
      <w:r w:rsidRPr="008760C3">
        <w:rPr>
          <w:noProof/>
          <w:lang w:eastAsia="en-AU"/>
        </w:rPr>
        <mc:AlternateContent>
          <mc:Choice Requires="wps">
            <w:drawing>
              <wp:anchor distT="91440" distB="91440" distL="114300" distR="114300" simplePos="0" relativeHeight="251667456" behindDoc="0" locked="0" layoutInCell="1" allowOverlap="1" wp14:anchorId="3FFF65BB" wp14:editId="43EE9412">
                <wp:simplePos x="0" y="0"/>
                <wp:positionH relativeFrom="page">
                  <wp:posOffset>981075</wp:posOffset>
                </wp:positionH>
                <wp:positionV relativeFrom="paragraph">
                  <wp:posOffset>140335</wp:posOffset>
                </wp:positionV>
                <wp:extent cx="1466850" cy="590550"/>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90550"/>
                        </a:xfrm>
                        <a:prstGeom prst="rect">
                          <a:avLst/>
                        </a:prstGeom>
                        <a:noFill/>
                        <a:ln w="9525">
                          <a:noFill/>
                          <a:miter lim="800000"/>
                          <a:headEnd/>
                          <a:tailEnd/>
                        </a:ln>
                      </wps:spPr>
                      <wps:txbx>
                        <w:txbxContent>
                          <w:p w14:paraId="59EF1B33" w14:textId="77777777" w:rsidR="00521305" w:rsidRDefault="00521305" w:rsidP="001C19F3">
                            <w:pPr>
                              <w:spacing w:after="0"/>
                              <w:jc w:val="center"/>
                              <w:rPr>
                                <w:i/>
                                <w:iCs/>
                                <w:color w:val="003D79"/>
                                <w:sz w:val="18"/>
                                <w:szCs w:val="18"/>
                              </w:rPr>
                            </w:pPr>
                            <w:r>
                              <w:rPr>
                                <w:i/>
                                <w:iCs/>
                                <w:color w:val="003D79"/>
                                <w:sz w:val="18"/>
                                <w:szCs w:val="18"/>
                              </w:rPr>
                              <w:t xml:space="preserve">“They don’t know what they don’t know” </w:t>
                            </w:r>
                            <w:r w:rsidRPr="009B75E1">
                              <w:rPr>
                                <w:iCs/>
                                <w:color w:val="003D79"/>
                                <w:sz w:val="18"/>
                                <w:szCs w:val="18"/>
                              </w:rPr>
                              <w:t>[PHN 10,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F65BB" id="Text Box 77" o:spid="_x0000_s1036" type="#_x0000_t202" style="position:absolute;margin-left:77.25pt;margin-top:11.05pt;width:115.5pt;height:46.5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" filled="f" stroked="f">
                <v:textbox>
                  <w:txbxContent>
                    <w:p w14:paraId="59EF1B33" w14:textId="77777777" w:rsidR="00521305" w:rsidRDefault="00521305" w:rsidP="001C19F3">
                      <w:pPr>
                        <w:spacing w:after="0"/>
                        <w:jc w:val="center"/>
                        <w:rPr>
                          <w:i/>
                          <w:iCs/>
                          <w:color w:val="003D79"/>
                          <w:sz w:val="18"/>
                          <w:szCs w:val="18"/>
                        </w:rPr>
                      </w:pPr>
                      <w:r>
                        <w:rPr>
                          <w:i/>
                          <w:iCs/>
                          <w:color w:val="003D79"/>
                          <w:sz w:val="18"/>
                          <w:szCs w:val="18"/>
                        </w:rPr>
                        <w:t xml:space="preserve">“They don’t know what they don’t know” </w:t>
                      </w:r>
                      <w:r w:rsidRPr="009B75E1">
                        <w:rPr>
                          <w:iCs/>
                          <w:color w:val="003D79"/>
                          <w:sz w:val="18"/>
                          <w:szCs w:val="18"/>
                        </w:rPr>
                        <w:t>[PHN 10, interview, R1]</w:t>
                      </w:r>
                    </w:p>
                  </w:txbxContent>
                </v:textbox>
                <w10:wrap type="square" anchorx="page"/>
              </v:shape>
            </w:pict>
          </mc:Fallback>
        </mc:AlternateContent>
      </w:r>
      <w:r w:rsidRPr="008760C3">
        <w:t xml:space="preserve">PHN practice facilitators described the change required by practices to transform to </w:t>
      </w:r>
      <w:r>
        <w:t>an HCH</w:t>
      </w:r>
      <w:r w:rsidRPr="008760C3">
        <w:t xml:space="preserve"> as “</w:t>
      </w:r>
      <w:r w:rsidRPr="008760C3">
        <w:rPr>
          <w:i/>
        </w:rPr>
        <w:t>a significant paradigm shift</w:t>
      </w:r>
      <w:r w:rsidRPr="008760C3">
        <w:t>” [PHN 2, interview</w:t>
      </w:r>
      <w:r>
        <w:t>, R1]</w:t>
      </w:r>
      <w:r w:rsidRPr="008760C3">
        <w:t>, a “</w:t>
      </w:r>
      <w:r w:rsidRPr="008760C3">
        <w:rPr>
          <w:i/>
        </w:rPr>
        <w:t>whole mindset change</w:t>
      </w:r>
      <w:r w:rsidRPr="008760C3">
        <w:t>” [PHN 9, interview</w:t>
      </w:r>
      <w:r>
        <w:t>, R1]</w:t>
      </w:r>
      <w:r w:rsidRPr="008760C3">
        <w:t>, “</w:t>
      </w:r>
      <w:r w:rsidRPr="008760C3">
        <w:rPr>
          <w:i/>
        </w:rPr>
        <w:t>cultural change at several levels</w:t>
      </w:r>
      <w:r w:rsidRPr="008760C3">
        <w:t>” [PHN 1, interview</w:t>
      </w:r>
      <w:r>
        <w:t>, R1]</w:t>
      </w:r>
      <w:r w:rsidRPr="008760C3">
        <w:t>, an “</w:t>
      </w:r>
      <w:r w:rsidRPr="008760C3">
        <w:rPr>
          <w:i/>
        </w:rPr>
        <w:t>eye opener</w:t>
      </w:r>
      <w:r w:rsidRPr="008760C3">
        <w:t>” [PHN 2, interview</w:t>
      </w:r>
      <w:r>
        <w:t>, R1]</w:t>
      </w:r>
      <w:r w:rsidRPr="008760C3">
        <w:t xml:space="preserve"> and a “</w:t>
      </w:r>
      <w:r w:rsidRPr="008760C3">
        <w:rPr>
          <w:i/>
        </w:rPr>
        <w:t>massive transformational change</w:t>
      </w:r>
      <w:r w:rsidRPr="008760C3">
        <w:t>” [PHN 1, interview</w:t>
      </w:r>
      <w:r>
        <w:t>, R1]</w:t>
      </w:r>
      <w:r w:rsidRPr="008760C3">
        <w:t>. One facilitator reflected:</w:t>
      </w:r>
    </w:p>
    <w:p w14:paraId="5EF915E9" w14:textId="77777777" w:rsidR="001C19F3" w:rsidRPr="008760C3" w:rsidRDefault="001C19F3" w:rsidP="001C19F3">
      <w:pPr>
        <w:ind w:left="567" w:right="1088"/>
        <w:rPr>
          <w:i/>
        </w:rPr>
      </w:pPr>
      <w:r w:rsidRPr="008760C3">
        <w:rPr>
          <w:i/>
        </w:rPr>
        <w:t xml:space="preserve">“I don’t think there’s been a significant change like this in the twenty years that I’ve been involved </w:t>
      </w:r>
      <w:r w:rsidRPr="008760C3">
        <w:t>[in general practice</w:t>
      </w:r>
      <w:r>
        <w:t>]</w:t>
      </w:r>
      <w:r w:rsidRPr="008760C3">
        <w:t>.</w:t>
      </w:r>
      <w:r w:rsidRPr="008760C3">
        <w:rPr>
          <w:i/>
        </w:rPr>
        <w:t xml:space="preserve">” </w:t>
      </w:r>
      <w:r w:rsidRPr="008760C3">
        <w:t>[PHN 7, interview</w:t>
      </w:r>
      <w:r>
        <w:t>, R1]</w:t>
      </w:r>
    </w:p>
    <w:p w14:paraId="14CA6DCE" w14:textId="77777777" w:rsidR="001C19F3" w:rsidRPr="008760C3" w:rsidRDefault="001C19F3" w:rsidP="001C19F3">
      <w:r w:rsidRPr="008760C3">
        <w:t>The impact on all parties was recognised:</w:t>
      </w:r>
    </w:p>
    <w:p w14:paraId="34E3295D" w14:textId="77777777" w:rsidR="001C19F3" w:rsidRPr="008760C3" w:rsidRDefault="001C19F3" w:rsidP="001C19F3">
      <w:pPr>
        <w:ind w:left="567" w:right="1088"/>
        <w:rPr>
          <w:i/>
        </w:rPr>
      </w:pPr>
      <w:r w:rsidRPr="008760C3">
        <w:rPr>
          <w:i/>
        </w:rPr>
        <w:t xml:space="preserve">“… it’s not just the practice. We’ve got to start looking at changing the way </w:t>
      </w:r>
      <w:r w:rsidRPr="008760C3">
        <w:t>[patients]</w:t>
      </w:r>
      <w:r w:rsidRPr="008760C3">
        <w:rPr>
          <w:i/>
        </w:rPr>
        <w:t xml:space="preserve"> think. It’s the patients as well but it’s also back in PHN land, it’s changing the way PHNs think about practice support as well.” </w:t>
      </w:r>
      <w:r w:rsidRPr="008760C3">
        <w:t>[PHN 1, interview</w:t>
      </w:r>
      <w:r>
        <w:t>, R1]</w:t>
      </w:r>
    </w:p>
    <w:p w14:paraId="09B6B11A" w14:textId="77777777" w:rsidR="001C19F3" w:rsidRPr="008760C3" w:rsidRDefault="001C19F3" w:rsidP="001C19F3">
      <w:r w:rsidRPr="008760C3">
        <w:t>Practice facilitators commented that in the early stages of HCH, some practices did not appreciate the extent of change required. For example:</w:t>
      </w:r>
    </w:p>
    <w:p w14:paraId="40B4DD88" w14:textId="77777777" w:rsidR="001C19F3" w:rsidRPr="008760C3" w:rsidRDefault="001C19F3" w:rsidP="001C19F3">
      <w:pPr>
        <w:ind w:left="567" w:right="1088"/>
        <w:rPr>
          <w:i/>
        </w:rPr>
      </w:pPr>
      <w:r w:rsidRPr="008760C3">
        <w:rPr>
          <w:i/>
        </w:rPr>
        <w:t xml:space="preserve">“…we went in there a lot of times and said, right, okay, so this is about Health Care Homes and it’s practice transformation and their jaws sort of </w:t>
      </w:r>
      <w:r w:rsidRPr="008760C3">
        <w:rPr>
          <w:i/>
        </w:rPr>
        <w:lastRenderedPageBreak/>
        <w:t xml:space="preserve">started to remove themselves slowly from their face because that’s not what they had considered. They thought this was just, oh, we’ll be pretty much the same but it will be paid differently.” </w:t>
      </w:r>
      <w:r w:rsidRPr="008760C3">
        <w:t>[PHN 3, interview</w:t>
      </w:r>
      <w:r>
        <w:t>, R1]</w:t>
      </w:r>
    </w:p>
    <w:p w14:paraId="75A36EE3" w14:textId="77777777" w:rsidR="001C19F3" w:rsidRPr="008760C3" w:rsidRDefault="001C19F3" w:rsidP="001C19F3">
      <w:r w:rsidRPr="008760C3">
        <w:t xml:space="preserve">The misconception that the total sum of the change required </w:t>
      </w:r>
      <w:r>
        <w:t xml:space="preserve">being paid differently </w:t>
      </w:r>
      <w:r w:rsidRPr="008760C3">
        <w:t>was</w:t>
      </w:r>
      <w:r>
        <w:t xml:space="preserve"> </w:t>
      </w:r>
      <w:r w:rsidRPr="008760C3">
        <w:t>reiterated</w:t>
      </w:r>
      <w:r>
        <w:t>:</w:t>
      </w:r>
    </w:p>
    <w:p w14:paraId="19E1FB6B" w14:textId="77777777" w:rsidR="001C19F3" w:rsidRPr="008760C3" w:rsidRDefault="001C19F3" w:rsidP="001C19F3">
      <w:pPr>
        <w:ind w:left="567" w:right="1088"/>
      </w:pPr>
      <w:r w:rsidRPr="008760C3">
        <w:rPr>
          <w:i/>
        </w:rPr>
        <w:t>“</w:t>
      </w:r>
      <w:r w:rsidRPr="008760C3">
        <w:t xml:space="preserve">[The bundled payment] </w:t>
      </w:r>
      <w:r w:rsidRPr="008760C3">
        <w:rPr>
          <w:i/>
        </w:rPr>
        <w:t xml:space="preserve">was such a compelling motivator that some of the other microlevel changes that are assumed in this model didn't really seem to get a look in some of the thinking. And because the funding issue was the big issue, I think in some ways Health Care Homes has seemed to be a back-in thing. Like, it's all about financing. And it's not about frontline practice.” </w:t>
      </w:r>
      <w:r w:rsidRPr="008760C3">
        <w:t>[PHN 8, interview</w:t>
      </w:r>
      <w:r>
        <w:t>, R1]</w:t>
      </w:r>
    </w:p>
    <w:bookmarkEnd w:id="270"/>
    <w:bookmarkEnd w:id="277"/>
    <w:p w14:paraId="0D770294" w14:textId="77777777" w:rsidR="001C19F3" w:rsidRPr="008760C3" w:rsidRDefault="001C19F3" w:rsidP="001C19F3">
      <w:pPr>
        <w:keepNext/>
        <w:keepLines/>
        <w:spacing w:after="0"/>
        <w:outlineLvl w:val="3"/>
        <w:rPr>
          <w:rFonts w:eastAsiaTheme="majorEastAsia" w:cstheme="majorBidi"/>
          <w:i/>
          <w:iCs/>
          <w:color w:val="003D79"/>
          <w:sz w:val="24"/>
        </w:rPr>
      </w:pPr>
      <w:r>
        <w:rPr>
          <w:rFonts w:eastAsiaTheme="majorEastAsia" w:cstheme="majorBidi"/>
          <w:i/>
          <w:iCs/>
          <w:color w:val="003D79"/>
          <w:sz w:val="24"/>
        </w:rPr>
        <w:t>Set-up</w:t>
      </w:r>
      <w:r w:rsidRPr="008760C3">
        <w:rPr>
          <w:rFonts w:eastAsiaTheme="majorEastAsia" w:cstheme="majorBidi"/>
          <w:i/>
          <w:iCs/>
          <w:color w:val="003D79"/>
          <w:sz w:val="24"/>
        </w:rPr>
        <w:t xml:space="preserve"> costs</w:t>
      </w:r>
    </w:p>
    <w:p w14:paraId="29AA9EEA" w14:textId="77777777" w:rsidR="001C19F3" w:rsidRPr="008760C3" w:rsidRDefault="001C19F3" w:rsidP="001C19F3">
      <w:pPr>
        <w:rPr>
          <w:szCs w:val="20"/>
        </w:rPr>
      </w:pPr>
      <w:r w:rsidRPr="008760C3">
        <w:rPr>
          <w:szCs w:val="20"/>
        </w:rPr>
        <w:t xml:space="preserve">Some practices </w:t>
      </w:r>
      <w:r>
        <w:rPr>
          <w:szCs w:val="20"/>
        </w:rPr>
        <w:t>described</w:t>
      </w:r>
      <w:r w:rsidRPr="008760C3">
        <w:rPr>
          <w:szCs w:val="20"/>
        </w:rPr>
        <w:t xml:space="preserve"> the high cost of setting up </w:t>
      </w:r>
      <w:r>
        <w:rPr>
          <w:szCs w:val="20"/>
        </w:rPr>
        <w:t>for HCH</w:t>
      </w:r>
      <w:r w:rsidRPr="008760C3">
        <w:rPr>
          <w:szCs w:val="20"/>
        </w:rPr>
        <w:t>.</w:t>
      </w:r>
      <w:r>
        <w:rPr>
          <w:szCs w:val="20"/>
        </w:rPr>
        <w:t xml:space="preserve"> </w:t>
      </w:r>
      <w:r w:rsidRPr="008760C3">
        <w:rPr>
          <w:szCs w:val="20"/>
        </w:rPr>
        <w:t xml:space="preserve">Costs mainly related to IT </w:t>
      </w:r>
      <w:r>
        <w:rPr>
          <w:szCs w:val="20"/>
        </w:rPr>
        <w:t>set-up</w:t>
      </w:r>
      <w:r w:rsidRPr="008760C3">
        <w:rPr>
          <w:szCs w:val="20"/>
        </w:rPr>
        <w:t xml:space="preserve"> and loss of time and productivity associated with training and patient enrolment. Several practices believed the $10,000 grant was insufficient to cover these costs and the amount of time it has taken to understand and implement the model:</w:t>
      </w:r>
    </w:p>
    <w:p w14:paraId="119F44DD" w14:textId="77777777" w:rsidR="001C19F3" w:rsidRPr="008760C3" w:rsidRDefault="001C19F3" w:rsidP="001C19F3">
      <w:pPr>
        <w:ind w:left="567" w:right="1088"/>
        <w:rPr>
          <w:szCs w:val="20"/>
        </w:rPr>
      </w:pPr>
      <w:r w:rsidRPr="008760C3">
        <w:rPr>
          <w:rFonts w:cs="Arial"/>
          <w:i/>
          <w:szCs w:val="20"/>
          <w:lang w:val="en-GB"/>
        </w:rPr>
        <w:t xml:space="preserve">“…the rest is about us being slow because of uncertainty around the payments and where we going to end up in trouble if we suddenly registered a whole heap of people. </w:t>
      </w:r>
      <w:r w:rsidRPr="008760C3">
        <w:rPr>
          <w:i/>
          <w:lang w:val="en-GB"/>
        </w:rPr>
        <w:t>And just educate staff, the amount of money that we give you to actually implement the thing is nowhere near what it costs</w:t>
      </w:r>
      <w:r w:rsidRPr="008760C3">
        <w:rPr>
          <w:i/>
          <w:szCs w:val="20"/>
        </w:rPr>
        <w:t xml:space="preserve">.” </w:t>
      </w:r>
      <w:r w:rsidRPr="008760C3">
        <w:rPr>
          <w:szCs w:val="20"/>
        </w:rPr>
        <w:t>[GP, Practice 10, interview</w:t>
      </w:r>
      <w:r>
        <w:rPr>
          <w:szCs w:val="20"/>
        </w:rPr>
        <w:t>, R2]</w:t>
      </w:r>
    </w:p>
    <w:p w14:paraId="26217B33" w14:textId="77777777" w:rsidR="001C19F3" w:rsidRPr="008760C3" w:rsidRDefault="001C19F3" w:rsidP="001C19F3">
      <w:pPr>
        <w:rPr>
          <w:szCs w:val="20"/>
        </w:rPr>
      </w:pPr>
      <w:r>
        <w:rPr>
          <w:szCs w:val="20"/>
        </w:rPr>
        <w:t>Other</w:t>
      </w:r>
      <w:r w:rsidRPr="008760C3">
        <w:rPr>
          <w:szCs w:val="20"/>
        </w:rPr>
        <w:t xml:space="preserve"> practices also believed the opportunity costs associated with their program participation were not taken into consideration when the grant amount was determined:</w:t>
      </w:r>
    </w:p>
    <w:p w14:paraId="6D800DBF" w14:textId="77777777" w:rsidR="001C19F3" w:rsidRPr="008760C3" w:rsidRDefault="001C19F3" w:rsidP="001C19F3">
      <w:pPr>
        <w:ind w:left="567" w:right="1088"/>
        <w:rPr>
          <w:rFonts w:cs="Arial"/>
          <w:szCs w:val="20"/>
          <w:lang w:val="en-GB"/>
        </w:rPr>
      </w:pPr>
      <w:r w:rsidRPr="008760C3">
        <w:rPr>
          <w:rFonts w:cs="Arial"/>
          <w:i/>
          <w:szCs w:val="20"/>
          <w:lang w:val="en-GB"/>
        </w:rPr>
        <w:t xml:space="preserve">“And when you sit down and look at the amount of money that we were paid upfront, the $10,000 upfront, to be able to get the </w:t>
      </w:r>
      <w:r>
        <w:rPr>
          <w:rFonts w:cs="Arial"/>
          <w:i/>
          <w:szCs w:val="20"/>
          <w:lang w:val="en-GB"/>
        </w:rPr>
        <w:t>program</w:t>
      </w:r>
      <w:r w:rsidRPr="008760C3">
        <w:rPr>
          <w:rFonts w:cs="Arial"/>
          <w:i/>
          <w:szCs w:val="20"/>
          <w:lang w:val="en-GB"/>
        </w:rPr>
        <w:t xml:space="preserve"> running in the practice, we’ve spent that probably many times over. Each time we do a module… we were getting them done with two of our nurses that we were going to do the </w:t>
      </w:r>
      <w:r>
        <w:rPr>
          <w:rFonts w:cs="Arial"/>
          <w:i/>
          <w:szCs w:val="20"/>
          <w:lang w:val="en-GB"/>
        </w:rPr>
        <w:t>program</w:t>
      </w:r>
      <w:r w:rsidRPr="008760C3">
        <w:rPr>
          <w:rFonts w:cs="Arial"/>
          <w:i/>
          <w:szCs w:val="20"/>
          <w:lang w:val="en-GB"/>
        </w:rPr>
        <w:t xml:space="preserve"> with. There’s $300 an hour in salaries…And they want us to do all the modules. The money just doesn’t even pay for our staff time to be able to do the modules, let alone anything else we do within the practice.”</w:t>
      </w:r>
      <w:r w:rsidRPr="008760C3">
        <w:rPr>
          <w:rFonts w:cs="Arial"/>
          <w:szCs w:val="20"/>
          <w:lang w:val="en-GB"/>
        </w:rPr>
        <w:t xml:space="preserve"> [GP, Practice 17, interview</w:t>
      </w:r>
      <w:r>
        <w:rPr>
          <w:rFonts w:cs="Arial"/>
          <w:szCs w:val="20"/>
          <w:lang w:val="en-GB"/>
        </w:rPr>
        <w:t>, R2]</w:t>
      </w:r>
    </w:p>
    <w:p w14:paraId="649C3765" w14:textId="77777777" w:rsidR="001C19F3" w:rsidRPr="008760C3" w:rsidRDefault="001C19F3" w:rsidP="001C19F3">
      <w:pPr>
        <w:rPr>
          <w:rFonts w:cstheme="minorBidi"/>
          <w:szCs w:val="20"/>
        </w:rPr>
      </w:pPr>
      <w:r w:rsidRPr="008760C3">
        <w:rPr>
          <w:szCs w:val="20"/>
        </w:rPr>
        <w:t>Another GP stated:</w:t>
      </w:r>
    </w:p>
    <w:p w14:paraId="580603D1" w14:textId="77777777" w:rsidR="001C19F3" w:rsidRPr="008760C3" w:rsidRDefault="001C19F3" w:rsidP="001C19F3">
      <w:pPr>
        <w:ind w:left="567" w:right="1088"/>
        <w:rPr>
          <w:szCs w:val="20"/>
        </w:rPr>
      </w:pPr>
      <w:r w:rsidRPr="008760C3">
        <w:rPr>
          <w:i/>
          <w:szCs w:val="20"/>
        </w:rPr>
        <w:t>“…the $10,000 assignment payment sort of just got chewed up massively... To say, look, to get this software into your organisation and have it run, it might be $150,000 for the first year, but then we’ll have a maintenance cost of $50,000 ongoing… So I think they massively underfunded the practice getting ready for the initial implementation.”</w:t>
      </w:r>
      <w:r w:rsidRPr="008760C3">
        <w:rPr>
          <w:szCs w:val="20"/>
        </w:rPr>
        <w:t xml:space="preserve"> [GP, Practice 7, interview</w:t>
      </w:r>
      <w:r>
        <w:rPr>
          <w:szCs w:val="20"/>
        </w:rPr>
        <w:t>, R2]</w:t>
      </w:r>
    </w:p>
    <w:p w14:paraId="79CD58DE"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 xml:space="preserve">Information technology (IT) </w:t>
      </w:r>
    </w:p>
    <w:p w14:paraId="55D724B9" w14:textId="77777777" w:rsidR="001C19F3" w:rsidRPr="008760C3" w:rsidRDefault="001C19F3" w:rsidP="001C19F3">
      <w:pPr>
        <w:rPr>
          <w:rFonts w:eastAsiaTheme="minorHAnsi"/>
          <w:szCs w:val="20"/>
        </w:rPr>
      </w:pPr>
      <w:r w:rsidRPr="008760C3">
        <w:rPr>
          <w:rFonts w:eastAsiaTheme="minorHAnsi"/>
          <w:noProof/>
          <w:lang w:eastAsia="en-AU"/>
        </w:rPr>
        <mc:AlternateContent>
          <mc:Choice Requires="wps">
            <w:drawing>
              <wp:anchor distT="91440" distB="91440" distL="114300" distR="114300" simplePos="0" relativeHeight="251676672" behindDoc="0" locked="0" layoutInCell="1" allowOverlap="1" wp14:anchorId="32B347EA" wp14:editId="22DA9987">
                <wp:simplePos x="0" y="0"/>
                <wp:positionH relativeFrom="page">
                  <wp:posOffset>914400</wp:posOffset>
                </wp:positionH>
                <wp:positionV relativeFrom="paragraph">
                  <wp:posOffset>276860</wp:posOffset>
                </wp:positionV>
                <wp:extent cx="2266950" cy="552450"/>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52450"/>
                        </a:xfrm>
                        <a:prstGeom prst="rect">
                          <a:avLst/>
                        </a:prstGeom>
                        <a:noFill/>
                        <a:ln w="9525">
                          <a:noFill/>
                          <a:miter lim="800000"/>
                          <a:headEnd/>
                          <a:tailEnd/>
                        </a:ln>
                      </wps:spPr>
                      <wps:txbx>
                        <w:txbxContent>
                          <w:p w14:paraId="45AF5807" w14:textId="77777777" w:rsidR="00521305" w:rsidRDefault="00521305" w:rsidP="001C19F3">
                            <w:pPr>
                              <w:spacing w:after="0"/>
                              <w:jc w:val="center"/>
                              <w:rPr>
                                <w:i/>
                                <w:iCs/>
                                <w:color w:val="003D79"/>
                                <w:sz w:val="18"/>
                                <w:szCs w:val="18"/>
                              </w:rPr>
                            </w:pPr>
                            <w:r>
                              <w:rPr>
                                <w:i/>
                                <w:iCs/>
                                <w:color w:val="003D79"/>
                                <w:sz w:val="18"/>
                                <w:szCs w:val="18"/>
                              </w:rPr>
                              <w:t xml:space="preserve">“At the beginning the biggest issue was IT, getting the IT up and running” </w:t>
                            </w:r>
                            <w:r w:rsidRPr="009B75E1">
                              <w:rPr>
                                <w:iCs/>
                                <w:color w:val="003D79"/>
                                <w:sz w:val="18"/>
                                <w:szCs w:val="18"/>
                              </w:rPr>
                              <w:t>[GP, Practice 4, interview, 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47EA" id="Text Box 68" o:spid="_x0000_s1037" type="#_x0000_t202" style="position:absolute;margin-left:1in;margin-top:21.8pt;width:178.5pt;height:43.5pt;z-index:2516766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" filled="f" stroked="f">
                <v:textbox>
                  <w:txbxContent>
                    <w:p w14:paraId="45AF5807" w14:textId="77777777" w:rsidR="00521305" w:rsidRDefault="00521305" w:rsidP="001C19F3">
                      <w:pPr>
                        <w:spacing w:after="0"/>
                        <w:jc w:val="center"/>
                        <w:rPr>
                          <w:i/>
                          <w:iCs/>
                          <w:color w:val="003D79"/>
                          <w:sz w:val="18"/>
                          <w:szCs w:val="18"/>
                        </w:rPr>
                      </w:pPr>
                      <w:r>
                        <w:rPr>
                          <w:i/>
                          <w:iCs/>
                          <w:color w:val="003D79"/>
                          <w:sz w:val="18"/>
                          <w:szCs w:val="18"/>
                        </w:rPr>
                        <w:t xml:space="preserve">“At the beginning the biggest issue was IT, getting the IT up and running” </w:t>
                      </w:r>
                      <w:r w:rsidRPr="009B75E1">
                        <w:rPr>
                          <w:iCs/>
                          <w:color w:val="003D79"/>
                          <w:sz w:val="18"/>
                          <w:szCs w:val="18"/>
                        </w:rPr>
                        <w:t>[GP, Practice 4, interview, R2]</w:t>
                      </w:r>
                    </w:p>
                  </w:txbxContent>
                </v:textbox>
                <w10:wrap type="square" anchorx="page"/>
              </v:shape>
            </w:pict>
          </mc:Fallback>
        </mc:AlternateContent>
      </w:r>
      <w:r w:rsidRPr="008760C3">
        <w:rPr>
          <w:szCs w:val="20"/>
        </w:rPr>
        <w:t xml:space="preserve">Practices were required to </w:t>
      </w:r>
      <w:r>
        <w:rPr>
          <w:szCs w:val="20"/>
        </w:rPr>
        <w:t>set-up</w:t>
      </w:r>
      <w:r w:rsidRPr="008760C3">
        <w:rPr>
          <w:szCs w:val="20"/>
        </w:rPr>
        <w:t xml:space="preserve"> and use different technologies to implement HCH, which they reported having problems with. They mainly mentioned the Department of Human Service’s Health Professional Online Services (HPOS) system and </w:t>
      </w:r>
      <w:r w:rsidRPr="008760C3">
        <w:rPr>
          <w:szCs w:val="20"/>
        </w:rPr>
        <w:lastRenderedPageBreak/>
        <w:t>the RST in the context of IT issues.</w:t>
      </w:r>
      <w:r>
        <w:rPr>
          <w:szCs w:val="20"/>
        </w:rPr>
        <w:t xml:space="preserve"> (Issues with installing and operating the RST are described in the previous Chapter.)</w:t>
      </w:r>
    </w:p>
    <w:p w14:paraId="39A8B296" w14:textId="77777777" w:rsidR="001C19F3" w:rsidRPr="008760C3" w:rsidRDefault="001C19F3" w:rsidP="001C19F3">
      <w:pPr>
        <w:rPr>
          <w:szCs w:val="20"/>
        </w:rPr>
      </w:pPr>
      <w:r w:rsidRPr="008760C3">
        <w:rPr>
          <w:szCs w:val="20"/>
        </w:rPr>
        <w:t>Practice managers and administrators reported using HPOS to register HCH patients as “</w:t>
      </w:r>
      <w:r w:rsidRPr="008760C3">
        <w:rPr>
          <w:i/>
        </w:rPr>
        <w:t>straightforward</w:t>
      </w:r>
      <w:r w:rsidRPr="008760C3">
        <w:rPr>
          <w:szCs w:val="20"/>
        </w:rPr>
        <w:t>” and “</w:t>
      </w:r>
      <w:r w:rsidRPr="008760C3">
        <w:rPr>
          <w:i/>
        </w:rPr>
        <w:t>easy</w:t>
      </w:r>
      <w:r w:rsidRPr="008760C3">
        <w:rPr>
          <w:szCs w:val="20"/>
        </w:rPr>
        <w:t>.” However. practices located in rural and remote areas reported problems with connectivity and logging into HPOS:</w:t>
      </w:r>
    </w:p>
    <w:p w14:paraId="17D7F51E" w14:textId="77777777" w:rsidR="001C19F3" w:rsidRPr="008760C3" w:rsidRDefault="001C19F3" w:rsidP="001C19F3">
      <w:pPr>
        <w:ind w:left="567" w:right="1088"/>
        <w:rPr>
          <w:szCs w:val="20"/>
        </w:rPr>
      </w:pPr>
      <w:r w:rsidRPr="008760C3">
        <w:rPr>
          <w:i/>
          <w:szCs w:val="20"/>
        </w:rPr>
        <w:t>“We have lots of internet problems so me trying to lodge onto, log onto HPOS to do this… Sometimes I can logon and it takes me five seconds to logon to HPOS, sometimes it takes six or seven attempts.”</w:t>
      </w:r>
      <w:r w:rsidRPr="008760C3">
        <w:rPr>
          <w:szCs w:val="20"/>
        </w:rPr>
        <w:t xml:space="preserve"> [GP, Practice 17, interview</w:t>
      </w:r>
      <w:r>
        <w:rPr>
          <w:szCs w:val="20"/>
        </w:rPr>
        <w:t>, R2]</w:t>
      </w:r>
    </w:p>
    <w:p w14:paraId="52E34475" w14:textId="77777777" w:rsidR="001C19F3" w:rsidRPr="008760C3" w:rsidRDefault="001C19F3" w:rsidP="001C19F3">
      <w:pPr>
        <w:rPr>
          <w:szCs w:val="20"/>
        </w:rPr>
      </w:pPr>
      <w:r w:rsidRPr="008760C3">
        <w:rPr>
          <w:szCs w:val="20"/>
        </w:rPr>
        <w:t xml:space="preserve">One practice encountered a situation with a dual enrolment of a patient in HCH, which wasn’t picked up at the time of enrolling the patient in HPOS. It was only when the practice didn’t get paid for the patient that they discovered that the patient was enrolled as </w:t>
      </w:r>
      <w:r>
        <w:rPr>
          <w:szCs w:val="20"/>
        </w:rPr>
        <w:t>an HCH</w:t>
      </w:r>
      <w:r w:rsidRPr="008760C3">
        <w:rPr>
          <w:szCs w:val="20"/>
        </w:rPr>
        <w:t xml:space="preserve"> patient at another practice. To prevent duplicate enrolments in the future, the practice suggested a function in HPOS to check patient eligibility.</w:t>
      </w:r>
    </w:p>
    <w:p w14:paraId="73C61E0F" w14:textId="77777777" w:rsidR="001C19F3" w:rsidRPr="008760C3" w:rsidRDefault="001C19F3" w:rsidP="001C19F3">
      <w:pPr>
        <w:rPr>
          <w:szCs w:val="20"/>
        </w:rPr>
      </w:pPr>
      <w:r w:rsidRPr="008760C3">
        <w:rPr>
          <w:szCs w:val="20"/>
        </w:rPr>
        <w:t>However, for most practices these issues were eventually resolved:</w:t>
      </w:r>
    </w:p>
    <w:p w14:paraId="127C1253" w14:textId="77777777" w:rsidR="001C19F3" w:rsidRPr="008760C3" w:rsidRDefault="001C19F3" w:rsidP="001C19F3">
      <w:pPr>
        <w:ind w:left="562" w:right="1094"/>
        <w:rPr>
          <w:szCs w:val="20"/>
        </w:rPr>
      </w:pPr>
      <w:r w:rsidRPr="008760C3">
        <w:rPr>
          <w:i/>
          <w:szCs w:val="20"/>
        </w:rPr>
        <w:t xml:space="preserve"> “In the beginning we had lot of hiccups when we first started last year in November…There were lots of hiccups. Lots of hiccups...but now it’s all fine. I haven't had any hiccups with going through the tool and things and doing all of that because I download everything, and I store it. And then, I import it into the patient’s file so it’s there in their notes.”</w:t>
      </w:r>
      <w:r w:rsidRPr="008760C3">
        <w:rPr>
          <w:szCs w:val="20"/>
        </w:rPr>
        <w:t xml:space="preserve"> [Practice nurse, Practice 3, interview</w:t>
      </w:r>
      <w:r>
        <w:rPr>
          <w:szCs w:val="20"/>
        </w:rPr>
        <w:t>, R2]</w:t>
      </w:r>
      <w:r w:rsidRPr="008760C3">
        <w:rPr>
          <w:szCs w:val="20"/>
        </w:rPr>
        <w:t xml:space="preserve"> </w:t>
      </w:r>
    </w:p>
    <w:p w14:paraId="3CD7AAC8" w14:textId="77777777" w:rsidR="001C19F3" w:rsidRPr="008760C3" w:rsidRDefault="001C19F3" w:rsidP="001C19F3">
      <w:pPr>
        <w:rPr>
          <w:szCs w:val="20"/>
        </w:rPr>
      </w:pPr>
      <w:r w:rsidRPr="008760C3">
        <w:rPr>
          <w:szCs w:val="20"/>
        </w:rPr>
        <w:t>Practices sometimes mentioned large costs associated with upgrading their IT system to integrate and operate the various tools:</w:t>
      </w:r>
    </w:p>
    <w:p w14:paraId="38BF9013" w14:textId="77777777" w:rsidR="001C19F3" w:rsidRPr="008760C3" w:rsidRDefault="001C19F3" w:rsidP="001C19F3">
      <w:pPr>
        <w:ind w:left="567" w:right="1088"/>
        <w:rPr>
          <w:szCs w:val="20"/>
        </w:rPr>
      </w:pPr>
      <w:r w:rsidRPr="008760C3">
        <w:rPr>
          <w:i/>
          <w:szCs w:val="20"/>
        </w:rPr>
        <w:t>“So, we actually had to do a massive upgrade in our practice …equipment, servers and everything else to actually be able to implement all the programs that run…</w:t>
      </w:r>
      <w:r w:rsidRPr="008760C3">
        <w:rPr>
          <w:i/>
        </w:rPr>
        <w:t xml:space="preserve"> </w:t>
      </w:r>
      <w:r w:rsidRPr="008760C3">
        <w:rPr>
          <w:i/>
          <w:szCs w:val="20"/>
        </w:rPr>
        <w:t>So it's actually been a very costly thing for us.”</w:t>
      </w:r>
      <w:r w:rsidRPr="008760C3">
        <w:rPr>
          <w:szCs w:val="20"/>
        </w:rPr>
        <w:t xml:space="preserve"> [Practice manager, Practice 4, interview</w:t>
      </w:r>
      <w:r>
        <w:rPr>
          <w:szCs w:val="20"/>
        </w:rPr>
        <w:t>, R2]</w:t>
      </w:r>
    </w:p>
    <w:p w14:paraId="28070571" w14:textId="77777777" w:rsidR="001C19F3" w:rsidRPr="008760C3" w:rsidRDefault="001C19F3" w:rsidP="001C19F3">
      <w:pPr>
        <w:rPr>
          <w:szCs w:val="20"/>
        </w:rPr>
      </w:pPr>
      <w:r w:rsidRPr="008760C3">
        <w:rPr>
          <w:szCs w:val="20"/>
        </w:rPr>
        <w:t>Despite practices ironing out many of these issues and successfully installing the IT tools, some implementation problems took a great deal of time and effort to resolve and in some instances are ongoing for rural and remote practices:</w:t>
      </w:r>
    </w:p>
    <w:p w14:paraId="3068800A" w14:textId="77777777" w:rsidR="001C19F3" w:rsidRPr="008760C3" w:rsidRDefault="001C19F3" w:rsidP="001C19F3">
      <w:pPr>
        <w:ind w:left="567" w:right="1088"/>
        <w:rPr>
          <w:szCs w:val="20"/>
        </w:rPr>
      </w:pPr>
      <w:r w:rsidRPr="008760C3">
        <w:rPr>
          <w:i/>
          <w:szCs w:val="20"/>
        </w:rPr>
        <w:t xml:space="preserve">“I think the software problems has been one of our biggest problems and that took a lot of time to resolve. Not just the RST but everything. We’re in a small town, quite isolated. Our IT’s run remotely.” </w:t>
      </w:r>
      <w:r w:rsidRPr="008760C3">
        <w:rPr>
          <w:szCs w:val="20"/>
        </w:rPr>
        <w:t>[GP, Practice 2, interview</w:t>
      </w:r>
      <w:r>
        <w:rPr>
          <w:szCs w:val="20"/>
        </w:rPr>
        <w:t>, R2]</w:t>
      </w:r>
    </w:p>
    <w:p w14:paraId="3404DE1E" w14:textId="77777777" w:rsidR="001C19F3" w:rsidRPr="008760C3" w:rsidRDefault="001C19F3" w:rsidP="001C19F3">
      <w:pPr>
        <w:ind w:left="567" w:right="1088"/>
        <w:rPr>
          <w:szCs w:val="20"/>
        </w:rPr>
      </w:pPr>
      <w:r w:rsidRPr="008760C3">
        <w:rPr>
          <w:i/>
          <w:szCs w:val="20"/>
        </w:rPr>
        <w:t xml:space="preserve">“We went to </w:t>
      </w:r>
      <w:r w:rsidRPr="008760C3">
        <w:rPr>
          <w:szCs w:val="20"/>
        </w:rPr>
        <w:t>[the PHN</w:t>
      </w:r>
      <w:r w:rsidRPr="008760C3">
        <w:t>]</w:t>
      </w:r>
      <w:r w:rsidRPr="008760C3">
        <w:rPr>
          <w:i/>
          <w:szCs w:val="20"/>
        </w:rPr>
        <w:t xml:space="preserve"> and our facilitators saying, can you help us with these IT costs because we’ve had our third breakdown, and each time it’s that you’ve got to come in and install a bit of software and restart it…”</w:t>
      </w:r>
      <w:r w:rsidRPr="008760C3">
        <w:rPr>
          <w:szCs w:val="20"/>
        </w:rPr>
        <w:t xml:space="preserve"> [GP, Practice 7, interview</w:t>
      </w:r>
      <w:r>
        <w:rPr>
          <w:szCs w:val="20"/>
        </w:rPr>
        <w:t>, R2]</w:t>
      </w:r>
    </w:p>
    <w:p w14:paraId="39CA009D" w14:textId="77777777" w:rsidR="001C19F3" w:rsidRPr="008760C3" w:rsidRDefault="001C19F3" w:rsidP="001C19F3">
      <w:r w:rsidRPr="008760C3">
        <w:rPr>
          <w:szCs w:val="20"/>
        </w:rPr>
        <w:t xml:space="preserve">Practices suggested that to improve the IT </w:t>
      </w:r>
      <w:r>
        <w:rPr>
          <w:szCs w:val="20"/>
        </w:rPr>
        <w:t>set-up</w:t>
      </w:r>
      <w:r w:rsidRPr="008760C3">
        <w:rPr>
          <w:szCs w:val="20"/>
        </w:rPr>
        <w:t xml:space="preserve"> and daily operations a simplified system would be best:</w:t>
      </w:r>
    </w:p>
    <w:p w14:paraId="1586471A" w14:textId="77777777" w:rsidR="001C19F3" w:rsidRPr="008760C3" w:rsidRDefault="001C19F3" w:rsidP="001C19F3">
      <w:pPr>
        <w:ind w:left="567" w:right="1088"/>
        <w:rPr>
          <w:i/>
          <w:szCs w:val="20"/>
        </w:rPr>
      </w:pPr>
      <w:r w:rsidRPr="008760C3">
        <w:rPr>
          <w:szCs w:val="20"/>
        </w:rPr>
        <w:lastRenderedPageBreak/>
        <w:t>“</w:t>
      </w:r>
      <w:r w:rsidRPr="008760C3">
        <w:rPr>
          <w:i/>
          <w:szCs w:val="20"/>
        </w:rPr>
        <w:t xml:space="preserve">Maybe a streamlined approach to it rather than logging on three separate things...” </w:t>
      </w:r>
      <w:r w:rsidRPr="008760C3">
        <w:rPr>
          <w:szCs w:val="20"/>
        </w:rPr>
        <w:t>[Practice manager, Practice 12, interview</w:t>
      </w:r>
      <w:r>
        <w:rPr>
          <w:szCs w:val="20"/>
        </w:rPr>
        <w:t>, R2]</w:t>
      </w:r>
      <w:r w:rsidRPr="008760C3">
        <w:rPr>
          <w:i/>
          <w:szCs w:val="20"/>
        </w:rPr>
        <w:t xml:space="preserve"> </w:t>
      </w:r>
    </w:p>
    <w:p w14:paraId="5B626F89" w14:textId="77777777" w:rsidR="001C19F3" w:rsidRPr="008760C3" w:rsidRDefault="001C19F3" w:rsidP="001C19F3">
      <w:pPr>
        <w:rPr>
          <w:i/>
          <w:szCs w:val="20"/>
        </w:rPr>
      </w:pPr>
      <w:r w:rsidRPr="008760C3">
        <w:rPr>
          <w:szCs w:val="20"/>
        </w:rPr>
        <w:t>Others hoped for more integrated systems:</w:t>
      </w:r>
    </w:p>
    <w:p w14:paraId="6A5DB25C" w14:textId="77777777" w:rsidR="001C19F3" w:rsidRPr="008760C3" w:rsidRDefault="001C19F3" w:rsidP="001C19F3">
      <w:pPr>
        <w:ind w:left="284"/>
        <w:rPr>
          <w:szCs w:val="20"/>
        </w:rPr>
      </w:pPr>
      <w:r w:rsidRPr="008760C3">
        <w:rPr>
          <w:i/>
          <w:szCs w:val="20"/>
        </w:rPr>
        <w:t>We’ve got</w:t>
      </w:r>
      <w:r w:rsidRPr="008760C3">
        <w:t xml:space="preserve"> </w:t>
      </w:r>
      <w:r w:rsidRPr="008760C3">
        <w:rPr>
          <w:szCs w:val="20"/>
        </w:rPr>
        <w:t>[various</w:t>
      </w:r>
      <w:r w:rsidRPr="008760C3">
        <w:t xml:space="preserve"> software</w:t>
      </w:r>
      <w:r w:rsidRPr="008760C3">
        <w:rPr>
          <w:szCs w:val="20"/>
        </w:rPr>
        <w:t>]</w:t>
      </w:r>
      <w:r w:rsidRPr="008760C3">
        <w:rPr>
          <w:i/>
          <w:szCs w:val="20"/>
        </w:rPr>
        <w:t xml:space="preserve">. But if it was truly integrated, I wouldn’t have to open another software other than … my clinical software. I wouldn’t have to have four different logins, even if they’re saved, or different people. I’d be able to do it all from the one software that would talk to other people.” </w:t>
      </w:r>
      <w:r w:rsidRPr="008760C3">
        <w:rPr>
          <w:szCs w:val="20"/>
        </w:rPr>
        <w:t>[GP, Practice 7, interview</w:t>
      </w:r>
      <w:r>
        <w:rPr>
          <w:szCs w:val="20"/>
        </w:rPr>
        <w:t>, R2]</w:t>
      </w:r>
    </w:p>
    <w:p w14:paraId="27905A3A" w14:textId="77777777" w:rsidR="001C19F3" w:rsidRPr="008760C3" w:rsidRDefault="001C19F3" w:rsidP="001C19F3">
      <w:pPr>
        <w:keepNext/>
        <w:keepLines/>
        <w:spacing w:after="0"/>
        <w:outlineLvl w:val="3"/>
        <w:rPr>
          <w:rFonts w:eastAsiaTheme="majorEastAsia" w:cstheme="majorBidi"/>
          <w:i/>
          <w:iCs/>
          <w:color w:val="003D79"/>
          <w:sz w:val="24"/>
        </w:rPr>
      </w:pPr>
      <w:r w:rsidRPr="006E0240">
        <w:rPr>
          <w:rFonts w:eastAsiaTheme="majorEastAsia" w:cstheme="majorBidi"/>
          <w:i/>
          <w:iCs/>
          <w:color w:val="003D79"/>
          <w:sz w:val="24"/>
        </w:rPr>
        <w:t>Clinical data</w:t>
      </w:r>
    </w:p>
    <w:p w14:paraId="67E21EA3" w14:textId="77777777" w:rsidR="001C19F3" w:rsidRPr="008760C3" w:rsidRDefault="001C19F3" w:rsidP="001C19F3">
      <w:pPr>
        <w:rPr>
          <w:szCs w:val="20"/>
        </w:rPr>
      </w:pPr>
      <w:r w:rsidRPr="008760C3">
        <w:rPr>
          <w:szCs w:val="20"/>
        </w:rPr>
        <w:t>Practices reported various processes</w:t>
      </w:r>
      <w:r>
        <w:rPr>
          <w:szCs w:val="20"/>
        </w:rPr>
        <w:t xml:space="preserve"> around data</w:t>
      </w:r>
      <w:r w:rsidRPr="008760C3">
        <w:rPr>
          <w:szCs w:val="20"/>
        </w:rPr>
        <w:t xml:space="preserve"> to prepare for and operate HCH, including:</w:t>
      </w:r>
    </w:p>
    <w:p w14:paraId="68BE3C90" w14:textId="77777777" w:rsidR="001C19F3" w:rsidRPr="008760C3" w:rsidRDefault="001C19F3" w:rsidP="001C19F3">
      <w:pPr>
        <w:numPr>
          <w:ilvl w:val="0"/>
          <w:numId w:val="46"/>
        </w:numPr>
        <w:spacing w:after="0"/>
        <w:rPr>
          <w:szCs w:val="20"/>
        </w:rPr>
      </w:pPr>
      <w:r w:rsidRPr="008760C3">
        <w:rPr>
          <w:szCs w:val="20"/>
        </w:rPr>
        <w:t xml:space="preserve">going through patient files to ensure that all information is uploaded </w:t>
      </w:r>
    </w:p>
    <w:p w14:paraId="652648FC" w14:textId="77777777" w:rsidR="001C19F3" w:rsidRPr="008760C3" w:rsidRDefault="001C19F3" w:rsidP="001C19F3">
      <w:pPr>
        <w:numPr>
          <w:ilvl w:val="0"/>
          <w:numId w:val="46"/>
        </w:numPr>
        <w:spacing w:after="0"/>
        <w:rPr>
          <w:szCs w:val="20"/>
        </w:rPr>
      </w:pPr>
      <w:r w:rsidRPr="008760C3">
        <w:rPr>
          <w:szCs w:val="20"/>
        </w:rPr>
        <w:t xml:space="preserve">inputting and formatting relevant medical history for coding purposes </w:t>
      </w:r>
    </w:p>
    <w:p w14:paraId="08CAE23D" w14:textId="77777777" w:rsidR="001C19F3" w:rsidRPr="008760C3" w:rsidRDefault="001C19F3" w:rsidP="001C19F3">
      <w:pPr>
        <w:numPr>
          <w:ilvl w:val="0"/>
          <w:numId w:val="46"/>
        </w:numPr>
        <w:spacing w:after="0"/>
        <w:rPr>
          <w:szCs w:val="20"/>
        </w:rPr>
      </w:pPr>
      <w:r w:rsidRPr="008760C3">
        <w:rPr>
          <w:szCs w:val="20"/>
        </w:rPr>
        <w:t>updating incomplete medical files and ensuring all information is up-to-date regarding history, diagnoses, screening, health checks, etc.</w:t>
      </w:r>
    </w:p>
    <w:p w14:paraId="6A55E6D8" w14:textId="77777777" w:rsidR="001C19F3" w:rsidRPr="008760C3" w:rsidRDefault="001C19F3" w:rsidP="001C19F3">
      <w:pPr>
        <w:numPr>
          <w:ilvl w:val="0"/>
          <w:numId w:val="46"/>
        </w:numPr>
        <w:spacing w:after="0"/>
        <w:rPr>
          <w:szCs w:val="20"/>
        </w:rPr>
      </w:pPr>
      <w:r w:rsidRPr="008760C3">
        <w:rPr>
          <w:szCs w:val="20"/>
        </w:rPr>
        <w:t xml:space="preserve">recording demographic, billing, and team care arrangements </w:t>
      </w:r>
    </w:p>
    <w:p w14:paraId="7C85DE82" w14:textId="77777777" w:rsidR="001C19F3" w:rsidRPr="008760C3" w:rsidRDefault="001C19F3" w:rsidP="001C19F3">
      <w:pPr>
        <w:numPr>
          <w:ilvl w:val="0"/>
          <w:numId w:val="46"/>
        </w:numPr>
        <w:rPr>
          <w:szCs w:val="20"/>
        </w:rPr>
      </w:pPr>
      <w:r w:rsidRPr="008760C3">
        <w:rPr>
          <w:szCs w:val="20"/>
        </w:rPr>
        <w:t>monitoring data entry processes (i.e. ensuring individuals do not stray from the standard of coding patient history or write free-form notes).</w:t>
      </w:r>
    </w:p>
    <w:p w14:paraId="36B60C9A" w14:textId="77777777" w:rsidR="001C19F3" w:rsidRPr="008760C3" w:rsidRDefault="001C19F3" w:rsidP="001C19F3">
      <w:pPr>
        <w:rPr>
          <w:szCs w:val="20"/>
        </w:rPr>
      </w:pPr>
      <w:r w:rsidRPr="008760C3">
        <w:rPr>
          <w:szCs w:val="20"/>
        </w:rPr>
        <w:t>These types of improvements in data have allowed practices to more effectively monitor their patient data and track their metrics. Though the program is in the early stages, some practices reported that they are interested in observing long-term changes in health outcomes and analysing patient trends using their data.</w:t>
      </w:r>
    </w:p>
    <w:p w14:paraId="010E2EAA" w14:textId="77777777" w:rsidR="001C19F3" w:rsidRPr="008760C3" w:rsidRDefault="001C19F3" w:rsidP="001C19F3">
      <w:pPr>
        <w:keepNext/>
        <w:keepLines/>
        <w:spacing w:after="0"/>
        <w:outlineLvl w:val="3"/>
        <w:rPr>
          <w:rFonts w:eastAsiaTheme="majorEastAsia" w:cstheme="majorBidi"/>
          <w:i/>
          <w:iCs/>
          <w:color w:val="003D79"/>
          <w:sz w:val="24"/>
        </w:rPr>
      </w:pPr>
      <w:r w:rsidRPr="008760C3">
        <w:rPr>
          <w:rFonts w:eastAsiaTheme="majorEastAsia" w:cstheme="majorBidi"/>
          <w:i/>
          <w:iCs/>
          <w:color w:val="003D79"/>
          <w:sz w:val="24"/>
        </w:rPr>
        <w:t>Scale</w:t>
      </w:r>
    </w:p>
    <w:p w14:paraId="1820E483" w14:textId="77777777" w:rsidR="001C19F3" w:rsidRPr="008760C3" w:rsidRDefault="001C19F3" w:rsidP="001C19F3">
      <w:pPr>
        <w:rPr>
          <w:rFonts w:eastAsiaTheme="minorHAnsi"/>
          <w:szCs w:val="20"/>
        </w:rPr>
      </w:pPr>
      <w:r w:rsidRPr="008760C3">
        <w:rPr>
          <w:rFonts w:eastAsiaTheme="minorHAnsi"/>
          <w:noProof/>
          <w:highlight w:val="yellow"/>
          <w:lang w:eastAsia="en-AU"/>
        </w:rPr>
        <mc:AlternateContent>
          <mc:Choice Requires="wps">
            <w:drawing>
              <wp:anchor distT="91440" distB="91440" distL="114300" distR="114300" simplePos="0" relativeHeight="251668480" behindDoc="0" locked="0" layoutInCell="1" allowOverlap="1" wp14:anchorId="37408864" wp14:editId="41BD2E95">
                <wp:simplePos x="0" y="0"/>
                <wp:positionH relativeFrom="page">
                  <wp:posOffset>781050</wp:posOffset>
                </wp:positionH>
                <wp:positionV relativeFrom="paragraph">
                  <wp:posOffset>73025</wp:posOffset>
                </wp:positionV>
                <wp:extent cx="1724025" cy="60007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0075"/>
                        </a:xfrm>
                        <a:prstGeom prst="rect">
                          <a:avLst/>
                        </a:prstGeom>
                        <a:noFill/>
                        <a:ln w="9525">
                          <a:noFill/>
                          <a:miter lim="800000"/>
                          <a:headEnd/>
                          <a:tailEnd/>
                        </a:ln>
                      </wps:spPr>
                      <wps:txbx>
                        <w:txbxContent>
                          <w:p w14:paraId="501E7C39" w14:textId="77777777" w:rsidR="00521305" w:rsidRDefault="00521305" w:rsidP="001C19F3">
                            <w:pPr>
                              <w:spacing w:after="0"/>
                              <w:jc w:val="center"/>
                              <w:rPr>
                                <w:i/>
                                <w:iCs/>
                                <w:color w:val="003D79"/>
                                <w:sz w:val="18"/>
                                <w:szCs w:val="18"/>
                              </w:rPr>
                            </w:pPr>
                            <w:r>
                              <w:rPr>
                                <w:i/>
                                <w:iCs/>
                                <w:color w:val="003D79"/>
                                <w:sz w:val="18"/>
                                <w:szCs w:val="18"/>
                              </w:rPr>
                              <w:t xml:space="preserve">“This is a lot of work for such a small group of patients” </w:t>
                            </w:r>
                            <w:r w:rsidRPr="009B75E1">
                              <w:rPr>
                                <w:iCs/>
                                <w:color w:val="003D79"/>
                                <w:sz w:val="18"/>
                                <w:szCs w:val="18"/>
                              </w:rPr>
                              <w:t>[PHN 2, interview</w:t>
                            </w:r>
                            <w:r>
                              <w:rPr>
                                <w:iCs/>
                                <w:color w:val="003D79"/>
                                <w:sz w:val="18"/>
                                <w:szCs w:val="18"/>
                              </w:rPr>
                              <w:t>, R1</w:t>
                            </w:r>
                            <w:r w:rsidRPr="009B75E1">
                              <w:rPr>
                                <w:iCs/>
                                <w:color w:val="003D7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8864" id="Text Box 74" o:spid="_x0000_s1038" type="#_x0000_t202" style="position:absolute;margin-left:61.5pt;margin-top:5.75pt;width:135.75pt;height:47.2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" filled="f" stroked="f">
                <v:textbox>
                  <w:txbxContent>
                    <w:p w14:paraId="501E7C39" w14:textId="77777777" w:rsidR="00521305" w:rsidRDefault="00521305" w:rsidP="001C19F3">
                      <w:pPr>
                        <w:spacing w:after="0"/>
                        <w:jc w:val="center"/>
                        <w:rPr>
                          <w:i/>
                          <w:iCs/>
                          <w:color w:val="003D79"/>
                          <w:sz w:val="18"/>
                          <w:szCs w:val="18"/>
                        </w:rPr>
                      </w:pPr>
                      <w:r>
                        <w:rPr>
                          <w:i/>
                          <w:iCs/>
                          <w:color w:val="003D79"/>
                          <w:sz w:val="18"/>
                          <w:szCs w:val="18"/>
                        </w:rPr>
                        <w:t xml:space="preserve">“This is a lot of work for such a small group of patients” </w:t>
                      </w:r>
                      <w:r w:rsidRPr="009B75E1">
                        <w:rPr>
                          <w:iCs/>
                          <w:color w:val="003D79"/>
                          <w:sz w:val="18"/>
                          <w:szCs w:val="18"/>
                        </w:rPr>
                        <w:t>[PHN 2, interview</w:t>
                      </w:r>
                      <w:r>
                        <w:rPr>
                          <w:iCs/>
                          <w:color w:val="003D79"/>
                          <w:sz w:val="18"/>
                          <w:szCs w:val="18"/>
                        </w:rPr>
                        <w:t>, R1</w:t>
                      </w:r>
                      <w:r w:rsidRPr="009B75E1">
                        <w:rPr>
                          <w:iCs/>
                          <w:color w:val="003D79"/>
                          <w:sz w:val="18"/>
                          <w:szCs w:val="18"/>
                        </w:rPr>
                        <w:t>]</w:t>
                      </w:r>
                    </w:p>
                  </w:txbxContent>
                </v:textbox>
                <w10:wrap type="square" anchorx="page"/>
              </v:shape>
            </w:pict>
          </mc:Fallback>
        </mc:AlternateContent>
      </w:r>
      <w:r w:rsidRPr="008760C3">
        <w:rPr>
          <w:szCs w:val="20"/>
        </w:rPr>
        <w:t xml:space="preserve">For some practices, the program only involved a few of their </w:t>
      </w:r>
      <w:r>
        <w:rPr>
          <w:szCs w:val="20"/>
        </w:rPr>
        <w:t xml:space="preserve">GPs </w:t>
      </w:r>
      <w:r w:rsidRPr="008760C3">
        <w:rPr>
          <w:szCs w:val="20"/>
        </w:rPr>
        <w:t>and patients, and was therefore hard to justify the investment of time and other resources:</w:t>
      </w:r>
    </w:p>
    <w:p w14:paraId="40EB2446" w14:textId="77777777" w:rsidR="001C19F3" w:rsidRPr="008760C3" w:rsidRDefault="001C19F3" w:rsidP="001C19F3">
      <w:pPr>
        <w:ind w:left="567" w:right="1088"/>
        <w:rPr>
          <w:szCs w:val="20"/>
        </w:rPr>
      </w:pPr>
      <w:r w:rsidRPr="008760C3">
        <w:rPr>
          <w:i/>
          <w:szCs w:val="20"/>
        </w:rPr>
        <w:t>“… I just think those processes have all just been put into the wrong size, shape, and time …And the staff are brilliant as far as wanting to participate in this stuff. But it’s 35 people out of those numbers I told you… it’s a tiny, tiny piece of what we do.”</w:t>
      </w:r>
      <w:r w:rsidRPr="008760C3">
        <w:rPr>
          <w:szCs w:val="20"/>
        </w:rPr>
        <w:t xml:space="preserve"> [GP, Practice 12, interview</w:t>
      </w:r>
      <w:r>
        <w:rPr>
          <w:szCs w:val="20"/>
        </w:rPr>
        <w:t>, R2]</w:t>
      </w:r>
    </w:p>
    <w:p w14:paraId="17DB56A1" w14:textId="77777777" w:rsidR="001C19F3" w:rsidRPr="008760C3" w:rsidRDefault="001C19F3" w:rsidP="001C19F3">
      <w:pPr>
        <w:ind w:left="567" w:right="1088"/>
      </w:pPr>
      <w:r w:rsidRPr="008760C3">
        <w:rPr>
          <w:i/>
        </w:rPr>
        <w:t xml:space="preserve"> “And it’s the minority of patients of Health Care Homes, yet they’re probably taking up the majority the initial work.” </w:t>
      </w:r>
      <w:r w:rsidRPr="008760C3">
        <w:t>[PHN 2, interview</w:t>
      </w:r>
      <w:r>
        <w:t>, R1]</w:t>
      </w:r>
    </w:p>
    <w:p w14:paraId="54971B54" w14:textId="77777777" w:rsidR="001C19F3" w:rsidRPr="008760C3" w:rsidRDefault="001C19F3" w:rsidP="001C19F3">
      <w:pPr>
        <w:ind w:right="237"/>
      </w:pPr>
      <w:bookmarkStart w:id="278" w:name="_Hlk21271872"/>
      <w:r w:rsidRPr="008760C3">
        <w:t xml:space="preserve">For many practices was that the program </w:t>
      </w:r>
      <w:r w:rsidRPr="00E70545">
        <w:t>involved running dual systems –</w:t>
      </w:r>
      <w:r w:rsidRPr="008760C3">
        <w:t xml:space="preserve"> one for HCH patients and one for other patients – which created some tensions</w:t>
      </w:r>
      <w:bookmarkEnd w:id="278"/>
      <w:r w:rsidRPr="008760C3">
        <w:t>:</w:t>
      </w:r>
    </w:p>
    <w:p w14:paraId="4400523D" w14:textId="77777777" w:rsidR="001C19F3" w:rsidRPr="008760C3" w:rsidRDefault="001C19F3" w:rsidP="001C19F3">
      <w:pPr>
        <w:ind w:left="567" w:right="1088"/>
        <w:rPr>
          <w:i/>
        </w:rPr>
      </w:pPr>
      <w:r w:rsidRPr="008760C3">
        <w:rPr>
          <w:i/>
        </w:rPr>
        <w:t xml:space="preserve">“…they’re running two systems. For a small group of patients, we’re asking them to have this massive transformational change and the rest, the majority is business as usual and that’s also a tension between the two.” </w:t>
      </w:r>
      <w:r w:rsidRPr="008760C3">
        <w:t>[PHN 1, interview</w:t>
      </w:r>
      <w:r>
        <w:t>, R1]</w:t>
      </w:r>
    </w:p>
    <w:p w14:paraId="5B5FB724" w14:textId="77777777" w:rsidR="001C19F3" w:rsidRPr="008760C3" w:rsidRDefault="001C19F3" w:rsidP="001C19F3">
      <w:pPr>
        <w:ind w:left="567" w:right="1088"/>
      </w:pPr>
      <w:r w:rsidRPr="008760C3">
        <w:rPr>
          <w:i/>
        </w:rPr>
        <w:t xml:space="preserve">“…the practice managers have got to negotiate two different types of business models, two different types of service models, keep everybody happy, try and sort out how they’re going to use their nurses in an effective </w:t>
      </w:r>
      <w:r w:rsidRPr="008760C3">
        <w:rPr>
          <w:i/>
        </w:rPr>
        <w:lastRenderedPageBreak/>
        <w:t xml:space="preserve">way...for some of my practice managers, it’s been extremely stressful.” </w:t>
      </w:r>
      <w:r w:rsidRPr="008760C3">
        <w:t>[PHN 7, interview</w:t>
      </w:r>
      <w:r>
        <w:t>, R1]</w:t>
      </w:r>
    </w:p>
    <w:p w14:paraId="0201B6C6" w14:textId="77777777" w:rsidR="001C19F3" w:rsidRPr="008760C3" w:rsidRDefault="001C19F3" w:rsidP="001C19F3">
      <w:pPr>
        <w:keepNext/>
        <w:keepLines/>
        <w:spacing w:line="240" w:lineRule="auto"/>
        <w:outlineLvl w:val="1"/>
        <w:rPr>
          <w:rFonts w:eastAsia="Times New Roman" w:cstheme="majorBidi"/>
          <w:color w:val="003D79"/>
          <w:sz w:val="40"/>
          <w:szCs w:val="20"/>
        </w:rPr>
      </w:pPr>
      <w:bookmarkStart w:id="279" w:name="_Toc20925698"/>
      <w:bookmarkStart w:id="280" w:name="_Hlk8051667"/>
      <w:r w:rsidRPr="008760C3">
        <w:rPr>
          <w:rFonts w:eastAsia="Times New Roman" w:cstheme="majorBidi"/>
          <w:color w:val="003D79"/>
          <w:sz w:val="40"/>
          <w:szCs w:val="26"/>
        </w:rPr>
        <w:t xml:space="preserve">Implementing </w:t>
      </w:r>
      <w:r>
        <w:rPr>
          <w:rFonts w:eastAsia="Times New Roman" w:cstheme="majorBidi"/>
          <w:color w:val="003D79"/>
          <w:sz w:val="40"/>
          <w:szCs w:val="26"/>
        </w:rPr>
        <w:t xml:space="preserve">the </w:t>
      </w:r>
      <w:r w:rsidRPr="008760C3">
        <w:rPr>
          <w:rFonts w:eastAsia="Times New Roman" w:cstheme="majorBidi"/>
          <w:color w:val="003D79"/>
          <w:sz w:val="40"/>
          <w:szCs w:val="26"/>
        </w:rPr>
        <w:t>HCH model</w:t>
      </w:r>
      <w:bookmarkEnd w:id="279"/>
    </w:p>
    <w:p w14:paraId="16CD837A" w14:textId="77777777" w:rsidR="001C19F3" w:rsidRPr="008760C3" w:rsidRDefault="001C19F3" w:rsidP="001C19F3">
      <w:pPr>
        <w:rPr>
          <w:rFonts w:eastAsiaTheme="minorHAnsi"/>
        </w:rPr>
      </w:pPr>
      <w:r w:rsidRPr="008760C3">
        <w:rPr>
          <w:rFonts w:eastAsiaTheme="minorHAnsi"/>
          <w:noProof/>
          <w:lang w:eastAsia="en-AU"/>
        </w:rPr>
        <mc:AlternateContent>
          <mc:Choice Requires="wps">
            <w:drawing>
              <wp:anchor distT="91440" distB="91440" distL="114300" distR="114300" simplePos="0" relativeHeight="251673600" behindDoc="0" locked="0" layoutInCell="1" allowOverlap="1" wp14:anchorId="11B0E432" wp14:editId="4A2F1261">
                <wp:simplePos x="0" y="0"/>
                <wp:positionH relativeFrom="page">
                  <wp:posOffset>914400</wp:posOffset>
                </wp:positionH>
                <wp:positionV relativeFrom="paragraph">
                  <wp:posOffset>70485</wp:posOffset>
                </wp:positionV>
                <wp:extent cx="1685925" cy="56197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61975"/>
                        </a:xfrm>
                        <a:prstGeom prst="rect">
                          <a:avLst/>
                        </a:prstGeom>
                        <a:noFill/>
                        <a:ln w="9525">
                          <a:noFill/>
                          <a:miter lim="800000"/>
                          <a:headEnd/>
                          <a:tailEnd/>
                        </a:ln>
                      </wps:spPr>
                      <wps:txbx>
                        <w:txbxContent>
                          <w:p w14:paraId="0E7962AB" w14:textId="77777777" w:rsidR="00521305" w:rsidRDefault="00521305" w:rsidP="001C19F3">
                            <w:pPr>
                              <w:spacing w:after="0"/>
                              <w:jc w:val="center"/>
                              <w:rPr>
                                <w:i/>
                                <w:iCs/>
                                <w:color w:val="003D79"/>
                                <w:sz w:val="18"/>
                                <w:szCs w:val="18"/>
                              </w:rPr>
                            </w:pPr>
                            <w:r>
                              <w:rPr>
                                <w:i/>
                                <w:iCs/>
                                <w:color w:val="003D79"/>
                                <w:sz w:val="18"/>
                                <w:szCs w:val="18"/>
                              </w:rPr>
                              <w:t xml:space="preserve">“It’s not a one-size-fits-all” </w:t>
                            </w:r>
                            <w:r w:rsidRPr="009B75E1">
                              <w:rPr>
                                <w:iCs/>
                                <w:color w:val="003D79"/>
                                <w:sz w:val="18"/>
                                <w:szCs w:val="18"/>
                              </w:rPr>
                              <w:t>[PHN 4,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0E432" id="Text Box 73" o:spid="_x0000_s1039" type="#_x0000_t202" style="position:absolute;margin-left:1in;margin-top:5.55pt;width:132.75pt;height:44.25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" filled="f" stroked="f">
                <v:textbox>
                  <w:txbxContent>
                    <w:p w14:paraId="0E7962AB" w14:textId="77777777" w:rsidR="00521305" w:rsidRDefault="00521305" w:rsidP="001C19F3">
                      <w:pPr>
                        <w:spacing w:after="0"/>
                        <w:jc w:val="center"/>
                        <w:rPr>
                          <w:i/>
                          <w:iCs/>
                          <w:color w:val="003D79"/>
                          <w:sz w:val="18"/>
                          <w:szCs w:val="18"/>
                        </w:rPr>
                      </w:pPr>
                      <w:r>
                        <w:rPr>
                          <w:i/>
                          <w:iCs/>
                          <w:color w:val="003D79"/>
                          <w:sz w:val="18"/>
                          <w:szCs w:val="18"/>
                        </w:rPr>
                        <w:t xml:space="preserve">“It’s not a one-size-fits-all” </w:t>
                      </w:r>
                      <w:r w:rsidRPr="009B75E1">
                        <w:rPr>
                          <w:iCs/>
                          <w:color w:val="003D79"/>
                          <w:sz w:val="18"/>
                          <w:szCs w:val="18"/>
                        </w:rPr>
                        <w:t>[PHN 4, interview, R1]</w:t>
                      </w:r>
                    </w:p>
                  </w:txbxContent>
                </v:textbox>
                <w10:wrap type="square" anchorx="page"/>
              </v:shape>
            </w:pict>
          </mc:Fallback>
        </mc:AlternateContent>
      </w:r>
      <w:bookmarkStart w:id="281" w:name="_Hlk21271934"/>
      <w:r w:rsidRPr="008760C3">
        <w:t xml:space="preserve">PHN practice facilitators felt that </w:t>
      </w:r>
      <w:r>
        <w:t>an HCH</w:t>
      </w:r>
      <w:r w:rsidRPr="00E70545">
        <w:rPr>
          <w:iCs/>
        </w:rPr>
        <w:t xml:space="preserve"> model of care</w:t>
      </w:r>
      <w:r w:rsidRPr="008760C3">
        <w:t xml:space="preserve"> had not been sufficiently defined</w:t>
      </w:r>
      <w:r>
        <w:t xml:space="preserve"> as part of the HCH program</w:t>
      </w:r>
      <w:r w:rsidRPr="008760C3">
        <w:t>. It was recognised this was deliberate on the Department of Health’s behalf. However, it meant practices didn’t always know what to do</w:t>
      </w:r>
      <w:bookmarkEnd w:id="281"/>
      <w:r w:rsidRPr="008760C3">
        <w:t>:</w:t>
      </w:r>
    </w:p>
    <w:p w14:paraId="6539A5FA" w14:textId="77777777" w:rsidR="001C19F3" w:rsidRPr="008760C3" w:rsidRDefault="001C19F3" w:rsidP="001C19F3">
      <w:pPr>
        <w:ind w:left="567" w:right="1088"/>
      </w:pPr>
      <w:r w:rsidRPr="008760C3">
        <w:rPr>
          <w:i/>
        </w:rPr>
        <w:t xml:space="preserve">“…the Department wanted </w:t>
      </w:r>
      <w:r w:rsidRPr="008760C3">
        <w:t>[practices]</w:t>
      </w:r>
      <w:r w:rsidRPr="008760C3">
        <w:rPr>
          <w:i/>
        </w:rPr>
        <w:t xml:space="preserve"> to be innovative so</w:t>
      </w:r>
      <w:r>
        <w:rPr>
          <w:i/>
        </w:rPr>
        <w:t xml:space="preserve"> </w:t>
      </w:r>
      <w:r w:rsidRPr="008760C3">
        <w:t>[was]</w:t>
      </w:r>
      <w:r w:rsidRPr="008760C3">
        <w:rPr>
          <w:i/>
        </w:rPr>
        <w:t xml:space="preserve"> less instructive … But I think that’s a real Catch 22 because …a lot of them have floundered with what it would look like because it’s not very directive.” </w:t>
      </w:r>
      <w:r w:rsidRPr="008760C3">
        <w:t>[PHN 7, interview</w:t>
      </w:r>
      <w:r>
        <w:t>, R1]</w:t>
      </w:r>
    </w:p>
    <w:p w14:paraId="6FA163AD" w14:textId="77777777" w:rsidR="001C19F3" w:rsidRPr="008760C3" w:rsidRDefault="001C19F3" w:rsidP="001C19F3">
      <w:pPr>
        <w:ind w:left="567" w:right="1088"/>
        <w:rPr>
          <w:rFonts w:eastAsia="Times New Roman"/>
          <w:iCs/>
          <w:szCs w:val="20"/>
        </w:rPr>
      </w:pPr>
      <w:r w:rsidRPr="008760C3">
        <w:rPr>
          <w:rFonts w:eastAsia="Times New Roman"/>
          <w:i/>
          <w:iCs/>
          <w:szCs w:val="20"/>
        </w:rPr>
        <w:t>“…it’s very unclear about how we implement it. So, there's nothing wrong with the philosophy, but it’s the execution.”</w:t>
      </w:r>
      <w:r w:rsidRPr="008760C3">
        <w:rPr>
          <w:rFonts w:eastAsia="Times New Roman"/>
          <w:iCs/>
          <w:szCs w:val="20"/>
        </w:rPr>
        <w:t xml:space="preserve"> [GP, Practice 12, interview</w:t>
      </w:r>
      <w:r>
        <w:rPr>
          <w:rFonts w:eastAsia="Times New Roman"/>
          <w:iCs/>
          <w:szCs w:val="20"/>
        </w:rPr>
        <w:t>,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63E1A9ED" w14:textId="77777777" w:rsidTr="00521305">
        <w:trPr>
          <w:trHeight w:val="287"/>
        </w:trPr>
        <w:tc>
          <w:tcPr>
            <w:tcW w:w="5000" w:type="pct"/>
          </w:tcPr>
          <w:p w14:paraId="1D79C75B"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4743DA32" w14:textId="77777777" w:rsidTr="00521305">
        <w:tc>
          <w:tcPr>
            <w:tcW w:w="5000" w:type="pct"/>
          </w:tcPr>
          <w:p w14:paraId="6340C7F4" w14:textId="77777777" w:rsidR="001C19F3" w:rsidRPr="008760C3" w:rsidRDefault="001C19F3" w:rsidP="00521305">
            <w:pPr>
              <w:spacing w:after="0"/>
              <w:rPr>
                <w:sz w:val="18"/>
                <w:szCs w:val="18"/>
              </w:rPr>
            </w:pPr>
            <w:r w:rsidRPr="008760C3">
              <w:rPr>
                <w:sz w:val="18"/>
                <w:szCs w:val="18"/>
              </w:rPr>
              <w:t xml:space="preserve">A large practice with over 15 GPs reported experiencing some initial issues implementing a shared care planning tool, and the staff feel that the program has brought on some additional administrative work. However, the owner stated that the GPs and nurses are happier operating under the HCH model. By delegating some tasks to the nurses, the GPs have more time to tailor their patients’ care, and the nurses are enjoying being more involved in care management and education. </w:t>
            </w:r>
          </w:p>
        </w:tc>
      </w:tr>
    </w:tbl>
    <w:p w14:paraId="111681FD" w14:textId="77777777" w:rsidR="001C19F3" w:rsidRPr="008760C3" w:rsidRDefault="001C19F3" w:rsidP="001C19F3">
      <w:pPr>
        <w:spacing w:after="0"/>
        <w:ind w:right="238"/>
      </w:pPr>
    </w:p>
    <w:p w14:paraId="278587E0" w14:textId="77777777" w:rsidR="001C19F3" w:rsidRPr="008760C3" w:rsidRDefault="001C19F3" w:rsidP="001C19F3">
      <w:pPr>
        <w:ind w:right="237"/>
        <w:rPr>
          <w:rFonts w:eastAsiaTheme="minorHAnsi" w:cstheme="minorBidi"/>
        </w:rPr>
      </w:pPr>
      <w:bookmarkStart w:id="282" w:name="_Hlk21271991"/>
      <w:r w:rsidRPr="008760C3">
        <w:t>Nevertheless, both practices and PHNs also thought that flexibility in the model was important</w:t>
      </w:r>
      <w:bookmarkEnd w:id="282"/>
      <w:r w:rsidRPr="008760C3">
        <w:t>:</w:t>
      </w:r>
    </w:p>
    <w:p w14:paraId="48BA625C" w14:textId="77777777" w:rsidR="001C19F3" w:rsidRPr="008760C3" w:rsidRDefault="001C19F3" w:rsidP="001C19F3">
      <w:pPr>
        <w:ind w:left="567" w:right="1088"/>
        <w:rPr>
          <w:rFonts w:eastAsia="Times New Roman"/>
          <w:i/>
          <w:iCs/>
          <w:szCs w:val="20"/>
        </w:rPr>
      </w:pPr>
      <w:r w:rsidRPr="008760C3">
        <w:rPr>
          <w:rFonts w:eastAsia="Times New Roman"/>
          <w:i/>
          <w:iCs/>
          <w:szCs w:val="20"/>
        </w:rPr>
        <w:t xml:space="preserve">“Practices that have been doing it well. The ones that I did hear about, I thought, this isn’t going to work at my practice…Full on use of Allied Health and everything, but his practice has three GPs. You work very differently at a three GP surgery to a seven GP </w:t>
      </w:r>
      <w:r w:rsidRPr="009B75E1">
        <w:rPr>
          <w:rFonts w:eastAsia="Times New Roman"/>
          <w:iCs/>
          <w:szCs w:val="20"/>
        </w:rPr>
        <w:t>[practice]</w:t>
      </w:r>
      <w:r w:rsidRPr="008760C3">
        <w:rPr>
          <w:rFonts w:eastAsia="Times New Roman"/>
          <w:i/>
          <w:iCs/>
          <w:szCs w:val="20"/>
        </w:rPr>
        <w:t xml:space="preserve">…As I said, all of our clinicians have different special interests…Whilst it was interesting, it made me realise that that’s not how it’s going to work with our practice. A lot of the stuff that I read, and gone, this is great, I thought, I wonder how it’s going to be two years later.” </w:t>
      </w:r>
      <w:r w:rsidRPr="009B34EC">
        <w:rPr>
          <w:rFonts w:eastAsia="Times New Roman"/>
          <w:iCs/>
          <w:szCs w:val="20"/>
        </w:rPr>
        <w:t>[GP, Practice 15, interview, R2]</w:t>
      </w:r>
    </w:p>
    <w:p w14:paraId="315C2FED" w14:textId="77777777" w:rsidR="001C19F3" w:rsidRPr="008760C3" w:rsidRDefault="001C19F3" w:rsidP="001C19F3">
      <w:pPr>
        <w:ind w:left="567" w:right="1088"/>
        <w:rPr>
          <w:rFonts w:eastAsia="Times New Roman"/>
          <w:iCs/>
          <w:szCs w:val="20"/>
        </w:rPr>
      </w:pPr>
      <w:r w:rsidRPr="008760C3">
        <w:rPr>
          <w:rFonts w:eastAsia="Times New Roman"/>
          <w:i/>
          <w:iCs/>
          <w:szCs w:val="20"/>
        </w:rPr>
        <w:t>“…I think the other factor is it also depends on the individual…I think it depends on who’s running the show and how they want to do it.”</w:t>
      </w:r>
      <w:r w:rsidRPr="008760C3">
        <w:rPr>
          <w:rFonts w:eastAsia="Times New Roman"/>
          <w:iCs/>
          <w:szCs w:val="20"/>
        </w:rPr>
        <w:t xml:space="preserve"> [Clinical pharmacist, Practice 11, interview</w:t>
      </w:r>
      <w:r>
        <w:rPr>
          <w:rFonts w:eastAsia="Times New Roman"/>
          <w:iCs/>
          <w:szCs w:val="20"/>
        </w:rPr>
        <w:t>, R2]</w:t>
      </w:r>
    </w:p>
    <w:p w14:paraId="38A75C08" w14:textId="77777777" w:rsidR="001C19F3" w:rsidRPr="008760C3" w:rsidRDefault="001C19F3" w:rsidP="001C19F3">
      <w:pPr>
        <w:ind w:left="567" w:right="1088"/>
        <w:rPr>
          <w:rFonts w:eastAsiaTheme="minorHAnsi" w:cstheme="minorBidi"/>
          <w:i/>
        </w:rPr>
      </w:pPr>
      <w:r w:rsidRPr="008760C3">
        <w:rPr>
          <w:i/>
        </w:rPr>
        <w:t xml:space="preserve">“…so that they know how they provide care to those Health Care Home patients that’s different from any other practice.” </w:t>
      </w:r>
      <w:r w:rsidRPr="008760C3">
        <w:t>[PHN 4, interview</w:t>
      </w:r>
      <w:r>
        <w:t>, R1]</w:t>
      </w:r>
    </w:p>
    <w:p w14:paraId="07827CF2" w14:textId="77777777" w:rsidR="001C19F3" w:rsidRPr="008760C3" w:rsidRDefault="001C19F3" w:rsidP="001C19F3">
      <w:pPr>
        <w:rPr>
          <w:rFonts w:eastAsia="Times New Roman"/>
          <w:iCs/>
          <w:szCs w:val="20"/>
        </w:rPr>
      </w:pPr>
      <w:r>
        <w:rPr>
          <w:rFonts w:eastAsia="Times New Roman"/>
          <w:iCs/>
          <w:szCs w:val="20"/>
        </w:rPr>
        <w:t>Some practices were interested in pursuing a middle ground where PHNs and governing bodies would provide some high level parameters and practices would have the flexibility to implement a model that works for their individual practice. Sharing between practices was a big part of this:</w:t>
      </w:r>
    </w:p>
    <w:p w14:paraId="340001D1" w14:textId="77777777" w:rsidR="001C19F3" w:rsidRPr="008760C3" w:rsidRDefault="001C19F3" w:rsidP="001C19F3">
      <w:pPr>
        <w:ind w:left="567" w:right="1088"/>
        <w:rPr>
          <w:rFonts w:eastAsia="Times New Roman"/>
          <w:iCs/>
          <w:szCs w:val="20"/>
        </w:rPr>
      </w:pPr>
      <w:r w:rsidRPr="008760C3">
        <w:rPr>
          <w:rFonts w:eastAsia="Times New Roman"/>
          <w:i/>
          <w:iCs/>
          <w:szCs w:val="20"/>
        </w:rPr>
        <w:lastRenderedPageBreak/>
        <w:t>“I feel like we've got some Play Doh and you can make something of it. Everyone's making different things, and you kind of look over to see what everyone's up to, are they using it in different innovative ways. So, there's that uncertainty which could be removed from wave 2. But still allowing enough flexibility as such that they can try out the ideas, and things that they have wanted to do.”</w:t>
      </w:r>
      <w:r w:rsidRPr="008760C3">
        <w:rPr>
          <w:rFonts w:eastAsia="Times New Roman"/>
          <w:iCs/>
          <w:szCs w:val="20"/>
        </w:rPr>
        <w:t xml:space="preserve"> [GP, Practice 9, interview</w:t>
      </w:r>
      <w:r>
        <w:rPr>
          <w:rFonts w:eastAsia="Times New Roman"/>
          <w:iCs/>
          <w:szCs w:val="20"/>
        </w:rPr>
        <w:t>, R2]</w:t>
      </w:r>
    </w:p>
    <w:p w14:paraId="7F5287B6" w14:textId="77777777" w:rsidR="001C19F3" w:rsidRDefault="001C19F3" w:rsidP="001C19F3">
      <w:pPr>
        <w:ind w:left="567" w:right="1088"/>
        <w:rPr>
          <w:rFonts w:eastAsia="Times New Roman"/>
          <w:iCs/>
          <w:szCs w:val="20"/>
        </w:rPr>
      </w:pPr>
      <w:r w:rsidRPr="008760C3">
        <w:rPr>
          <w:rFonts w:eastAsia="Times New Roman"/>
          <w:iCs/>
          <w:szCs w:val="20"/>
        </w:rPr>
        <w:t>“</w:t>
      </w:r>
      <w:r w:rsidRPr="008760C3">
        <w:rPr>
          <w:rFonts w:eastAsia="Times New Roman"/>
          <w:i/>
          <w:iCs/>
          <w:szCs w:val="20"/>
        </w:rPr>
        <w:t>if you're going to give advice to practices…Probably don’t reinvent the wheel…Just get it from other practices…steal shamelessly, share generously..</w:t>
      </w:r>
      <w:r w:rsidRPr="008760C3">
        <w:rPr>
          <w:rFonts w:eastAsia="Times New Roman"/>
          <w:iCs/>
          <w:szCs w:val="20"/>
        </w:rPr>
        <w:t>.” [Practice owner, Practice 9, interview</w:t>
      </w:r>
      <w:r>
        <w:rPr>
          <w:rFonts w:eastAsia="Times New Roman"/>
          <w:iCs/>
          <w:szCs w:val="20"/>
        </w:rPr>
        <w:t>, R2]</w:t>
      </w:r>
    </w:p>
    <w:p w14:paraId="1C2D5AB0" w14:textId="77777777" w:rsidR="001C19F3" w:rsidRPr="008760C3" w:rsidRDefault="001C19F3" w:rsidP="001C19F3">
      <w:pPr>
        <w:rPr>
          <w:rFonts w:asciiTheme="minorHAnsi" w:eastAsia="Times New Roman" w:hAnsiTheme="minorHAnsi"/>
          <w:iCs/>
          <w:szCs w:val="20"/>
        </w:rPr>
      </w:pPr>
      <w:bookmarkStart w:id="283" w:name="_Hlk21275986"/>
      <w:r w:rsidRPr="008760C3">
        <w:rPr>
          <w:rFonts w:eastAsia="Times New Roman"/>
          <w:iCs/>
          <w:szCs w:val="20"/>
        </w:rPr>
        <w:t>In interviews, practices reported varying interpretations of the</w:t>
      </w:r>
      <w:r>
        <w:rPr>
          <w:rFonts w:eastAsia="Times New Roman"/>
          <w:iCs/>
          <w:szCs w:val="20"/>
        </w:rPr>
        <w:t xml:space="preserve"> </w:t>
      </w:r>
      <w:r w:rsidRPr="008760C3">
        <w:rPr>
          <w:rFonts w:eastAsia="Times New Roman"/>
          <w:iCs/>
          <w:szCs w:val="20"/>
        </w:rPr>
        <w:t>objectives of HCH</w:t>
      </w:r>
      <w:r>
        <w:rPr>
          <w:rFonts w:eastAsia="Times New Roman"/>
          <w:iCs/>
          <w:szCs w:val="20"/>
        </w:rPr>
        <w:t xml:space="preserve">. </w:t>
      </w:r>
      <w:r w:rsidRPr="008760C3">
        <w:rPr>
          <w:rFonts w:eastAsia="Times New Roman"/>
          <w:iCs/>
          <w:szCs w:val="20"/>
        </w:rPr>
        <w:t>Perspectives of the program often aligned the</w:t>
      </w:r>
      <w:r>
        <w:rPr>
          <w:rFonts w:eastAsia="Times New Roman"/>
          <w:iCs/>
          <w:szCs w:val="20"/>
        </w:rPr>
        <w:t xml:space="preserve"> </w:t>
      </w:r>
      <w:r w:rsidRPr="008760C3">
        <w:rPr>
          <w:rFonts w:eastAsia="Times New Roman"/>
          <w:iCs/>
          <w:szCs w:val="20"/>
        </w:rPr>
        <w:t>practice</w:t>
      </w:r>
      <w:r>
        <w:rPr>
          <w:rFonts w:eastAsia="Times New Roman"/>
          <w:iCs/>
          <w:szCs w:val="20"/>
        </w:rPr>
        <w:t>’</w:t>
      </w:r>
      <w:r w:rsidRPr="008760C3">
        <w:rPr>
          <w:rFonts w:eastAsia="Times New Roman"/>
          <w:iCs/>
          <w:szCs w:val="20"/>
        </w:rPr>
        <w:t>s mission. Practices predominantly mentioned the following objectives:</w:t>
      </w:r>
    </w:p>
    <w:p w14:paraId="12FCD84C" w14:textId="77777777" w:rsidR="001C19F3" w:rsidRPr="008760C3" w:rsidRDefault="001C19F3" w:rsidP="001C19F3">
      <w:pPr>
        <w:numPr>
          <w:ilvl w:val="0"/>
          <w:numId w:val="44"/>
        </w:numPr>
        <w:contextualSpacing/>
        <w:rPr>
          <w:rFonts w:eastAsia="Times New Roman"/>
          <w:iCs/>
          <w:szCs w:val="20"/>
        </w:rPr>
      </w:pPr>
      <w:r>
        <w:rPr>
          <w:rFonts w:eastAsia="Times New Roman"/>
          <w:iCs/>
          <w:szCs w:val="20"/>
        </w:rPr>
        <w:t>E</w:t>
      </w:r>
      <w:r w:rsidRPr="008760C3">
        <w:rPr>
          <w:rFonts w:eastAsia="Times New Roman"/>
          <w:iCs/>
          <w:szCs w:val="20"/>
        </w:rPr>
        <w:t>ncouraging patient activation and education (</w:t>
      </w:r>
      <w:r w:rsidRPr="008760C3">
        <w:rPr>
          <w:rFonts w:eastAsia="Times New Roman"/>
          <w:i/>
          <w:iCs/>
          <w:szCs w:val="20"/>
        </w:rPr>
        <w:t xml:space="preserve">“it’s patient education…that’s really the biggest thing in all of this, it’s patient education.” </w:t>
      </w:r>
      <w:r w:rsidRPr="008760C3">
        <w:rPr>
          <w:rFonts w:eastAsia="Times New Roman"/>
          <w:iCs/>
          <w:szCs w:val="20"/>
        </w:rPr>
        <w:t>[Practice manager, Practice 4, interview</w:t>
      </w:r>
      <w:r>
        <w:rPr>
          <w:rFonts w:eastAsia="Times New Roman"/>
          <w:iCs/>
          <w:szCs w:val="20"/>
        </w:rPr>
        <w:t>, R2]</w:t>
      </w:r>
      <w:r w:rsidRPr="008760C3">
        <w:rPr>
          <w:rFonts w:eastAsia="Times New Roman"/>
          <w:iCs/>
          <w:szCs w:val="20"/>
        </w:rPr>
        <w:t>)</w:t>
      </w:r>
      <w:r>
        <w:rPr>
          <w:rFonts w:eastAsia="Times New Roman"/>
          <w:iCs/>
          <w:szCs w:val="20"/>
        </w:rPr>
        <w:t>.</w:t>
      </w:r>
    </w:p>
    <w:p w14:paraId="0902A498"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Individualising patient care/ more patient-centred model of care</w:t>
      </w:r>
      <w:r>
        <w:rPr>
          <w:rFonts w:eastAsia="Times New Roman"/>
          <w:iCs/>
          <w:szCs w:val="20"/>
        </w:rPr>
        <w:t>.</w:t>
      </w:r>
    </w:p>
    <w:p w14:paraId="45710B8C"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Improving continuity of care</w:t>
      </w:r>
      <w:r>
        <w:rPr>
          <w:rFonts w:eastAsia="Times New Roman"/>
          <w:iCs/>
          <w:szCs w:val="20"/>
        </w:rPr>
        <w:t>.</w:t>
      </w:r>
    </w:p>
    <w:p w14:paraId="1CD4D9C5"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Reducing hospital admissions</w:t>
      </w:r>
      <w:r>
        <w:rPr>
          <w:rFonts w:eastAsia="Times New Roman"/>
          <w:iCs/>
          <w:szCs w:val="20"/>
        </w:rPr>
        <w:t>.</w:t>
      </w:r>
    </w:p>
    <w:p w14:paraId="2CB3213A"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Improving the quality of chronic disease management and patient care through better planning and monitoring</w:t>
      </w:r>
      <w:r>
        <w:rPr>
          <w:rFonts w:eastAsia="Times New Roman"/>
          <w:iCs/>
          <w:szCs w:val="20"/>
        </w:rPr>
        <w:t>.</w:t>
      </w:r>
    </w:p>
    <w:p w14:paraId="6F0E6C8F"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Offering better access to patients beyond traditional face-to-face consultations</w:t>
      </w:r>
      <w:r>
        <w:rPr>
          <w:rFonts w:eastAsia="Times New Roman"/>
          <w:iCs/>
          <w:szCs w:val="20"/>
        </w:rPr>
        <w:t>.</w:t>
      </w:r>
    </w:p>
    <w:p w14:paraId="17679686"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Advancing team-based care and teamwork in primary care</w:t>
      </w:r>
      <w:r>
        <w:rPr>
          <w:rFonts w:eastAsia="Times New Roman"/>
          <w:iCs/>
          <w:szCs w:val="20"/>
        </w:rPr>
        <w:t>.</w:t>
      </w:r>
    </w:p>
    <w:p w14:paraId="7C064DCB" w14:textId="77777777" w:rsidR="001C19F3" w:rsidRPr="008760C3" w:rsidRDefault="001C19F3" w:rsidP="001C19F3">
      <w:pPr>
        <w:numPr>
          <w:ilvl w:val="0"/>
          <w:numId w:val="44"/>
        </w:numPr>
        <w:contextualSpacing/>
        <w:rPr>
          <w:rFonts w:eastAsia="Times New Roman"/>
          <w:iCs/>
          <w:szCs w:val="20"/>
        </w:rPr>
      </w:pPr>
      <w:r w:rsidRPr="008760C3">
        <w:rPr>
          <w:rFonts w:eastAsia="Times New Roman"/>
          <w:iCs/>
          <w:szCs w:val="20"/>
        </w:rPr>
        <w:t>Taking the pressure off GPs</w:t>
      </w:r>
      <w:r>
        <w:rPr>
          <w:rFonts w:eastAsia="Times New Roman"/>
          <w:iCs/>
          <w:szCs w:val="20"/>
        </w:rPr>
        <w:t>.</w:t>
      </w:r>
    </w:p>
    <w:p w14:paraId="18E37104" w14:textId="77777777" w:rsidR="001C19F3" w:rsidRPr="008760C3" w:rsidRDefault="001C19F3" w:rsidP="001C19F3">
      <w:pPr>
        <w:numPr>
          <w:ilvl w:val="0"/>
          <w:numId w:val="44"/>
        </w:numPr>
        <w:rPr>
          <w:rFonts w:eastAsia="Times New Roman"/>
          <w:iCs/>
          <w:szCs w:val="20"/>
        </w:rPr>
      </w:pPr>
      <w:r w:rsidRPr="008760C3">
        <w:rPr>
          <w:rFonts w:eastAsia="Times New Roman"/>
          <w:iCs/>
          <w:szCs w:val="20"/>
        </w:rPr>
        <w:t>Preventative care.</w:t>
      </w:r>
    </w:p>
    <w:bookmarkEnd w:id="283"/>
    <w:p w14:paraId="68735B20" w14:textId="77777777" w:rsidR="001C19F3" w:rsidRPr="008760C3" w:rsidRDefault="001C19F3" w:rsidP="001C19F3">
      <w:pPr>
        <w:keepNext/>
        <w:keepLines/>
        <w:spacing w:line="240" w:lineRule="auto"/>
        <w:outlineLvl w:val="2"/>
        <w:rPr>
          <w:rFonts w:eastAsia="Times New Roman" w:cstheme="majorBidi"/>
          <w:color w:val="003D79"/>
          <w:sz w:val="28"/>
          <w:szCs w:val="24"/>
        </w:rPr>
      </w:pPr>
      <w:r w:rsidRPr="008760C3">
        <w:rPr>
          <w:rFonts w:eastAsia="Times New Roman" w:cstheme="majorBidi"/>
          <w:color w:val="003D79"/>
          <w:sz w:val="28"/>
          <w:szCs w:val="24"/>
        </w:rPr>
        <w:t>What changes have HCH practices made?</w:t>
      </w:r>
    </w:p>
    <w:p w14:paraId="2C7BCF11" w14:textId="77777777" w:rsidR="001C19F3" w:rsidRPr="008760C3" w:rsidRDefault="001C19F3" w:rsidP="001C19F3">
      <w:pPr>
        <w:rPr>
          <w:rFonts w:eastAsia="Times New Roman"/>
          <w:iCs/>
          <w:szCs w:val="20"/>
        </w:rPr>
      </w:pPr>
      <w:r w:rsidRPr="006C4A8C">
        <w:rPr>
          <w:rFonts w:eastAsia="Times New Roman"/>
          <w:iCs/>
          <w:szCs w:val="20"/>
        </w:rPr>
        <w:t xml:space="preserve">Through the Round 2 practice surveys (late 2018/early 2019), HCH practices were asked whether they were implementing or planned to implement </w:t>
      </w:r>
      <w:r>
        <w:rPr>
          <w:rFonts w:eastAsia="Times New Roman"/>
          <w:iCs/>
          <w:szCs w:val="20"/>
        </w:rPr>
        <w:t xml:space="preserve">various changes commonly associated with PCMH models. </w:t>
      </w:r>
      <w:r w:rsidRPr="008760C3">
        <w:rPr>
          <w:rFonts w:eastAsia="Times New Roman"/>
          <w:iCs/>
          <w:szCs w:val="20"/>
        </w:rPr>
        <w:t xml:space="preserve">Practices were also asked whether the change was already a feature of the practice prior to HCH. The responses to these questions are shown in </w:t>
      </w:r>
      <w:r w:rsidRPr="008760C3">
        <w:rPr>
          <w:rFonts w:eastAsia="Times New Roman"/>
          <w:iCs/>
          <w:szCs w:val="20"/>
        </w:rPr>
        <w:fldChar w:fldCharType="begin"/>
      </w:r>
      <w:r w:rsidRPr="008760C3">
        <w:rPr>
          <w:rFonts w:eastAsia="Times New Roman"/>
          <w:iCs/>
          <w:szCs w:val="20"/>
        </w:rPr>
        <w:instrText xml:space="preserve"> REF _Ref20922944 \h </w:instrText>
      </w:r>
      <w:r>
        <w:rPr>
          <w:rFonts w:eastAsia="Times New Roman"/>
          <w:iCs/>
          <w:szCs w:val="20"/>
        </w:rPr>
        <w:instrText xml:space="preserve"> \* MERGEFORMAT </w:instrText>
      </w:r>
      <w:r w:rsidRPr="008760C3">
        <w:rPr>
          <w:rFonts w:eastAsia="Times New Roman"/>
          <w:iCs/>
          <w:szCs w:val="20"/>
        </w:rPr>
      </w:r>
      <w:r w:rsidRPr="008760C3">
        <w:rPr>
          <w:rFonts w:eastAsia="Times New Roman"/>
          <w:iCs/>
          <w:szCs w:val="20"/>
        </w:rPr>
        <w:fldChar w:fldCharType="separate"/>
      </w:r>
      <w:r w:rsidRPr="00822044">
        <w:rPr>
          <w:rFonts w:eastAsia="Times New Roman"/>
          <w:iCs/>
          <w:szCs w:val="20"/>
        </w:rPr>
        <w:t>Table 46</w:t>
      </w:r>
      <w:r w:rsidRPr="008760C3">
        <w:rPr>
          <w:rFonts w:eastAsia="Times New Roman"/>
          <w:iCs/>
          <w:szCs w:val="20"/>
        </w:rPr>
        <w:fldChar w:fldCharType="end"/>
      </w:r>
      <w:r w:rsidRPr="008760C3">
        <w:rPr>
          <w:rFonts w:eastAsia="Times New Roman"/>
          <w:iCs/>
          <w:szCs w:val="20"/>
        </w:rPr>
        <w:t xml:space="preserve">. </w:t>
      </w:r>
      <w:bookmarkStart w:id="284" w:name="_Hlk21272167"/>
      <w:r>
        <w:rPr>
          <w:rFonts w:eastAsia="Times New Roman"/>
          <w:iCs/>
          <w:szCs w:val="20"/>
        </w:rPr>
        <w:t>T</w:t>
      </w:r>
      <w:r w:rsidRPr="008760C3">
        <w:rPr>
          <w:rFonts w:eastAsia="Times New Roman"/>
          <w:iCs/>
          <w:szCs w:val="20"/>
        </w:rPr>
        <w:t>he most common changes practices intended to make were:</w:t>
      </w:r>
    </w:p>
    <w:p w14:paraId="24C37CFE" w14:textId="77777777" w:rsidR="001C19F3" w:rsidRDefault="001C19F3" w:rsidP="001C19F3">
      <w:pPr>
        <w:numPr>
          <w:ilvl w:val="0"/>
          <w:numId w:val="71"/>
        </w:numPr>
        <w:contextualSpacing/>
        <w:rPr>
          <w:rFonts w:eastAsia="Times New Roman"/>
          <w:iCs/>
          <w:szCs w:val="20"/>
        </w:rPr>
      </w:pPr>
      <w:r w:rsidRPr="008760C3">
        <w:rPr>
          <w:rFonts w:eastAsia="Times New Roman"/>
          <w:iCs/>
          <w:szCs w:val="20"/>
        </w:rPr>
        <w:t>Reassigning components of care usually undertaken by a GP to a nurse (e.g. patients routinely see a nurse prior to seeing the GP when they attend the practice)</w:t>
      </w:r>
      <w:r>
        <w:rPr>
          <w:rFonts w:eastAsia="Times New Roman"/>
          <w:iCs/>
          <w:szCs w:val="20"/>
        </w:rPr>
        <w:t>.</w:t>
      </w:r>
    </w:p>
    <w:p w14:paraId="7A9EF07D" w14:textId="77777777" w:rsidR="001C19F3" w:rsidRDefault="001C19F3" w:rsidP="001C19F3">
      <w:pPr>
        <w:numPr>
          <w:ilvl w:val="0"/>
          <w:numId w:val="71"/>
        </w:numPr>
        <w:contextualSpacing/>
        <w:rPr>
          <w:rFonts w:eastAsia="Times New Roman"/>
          <w:iCs/>
          <w:szCs w:val="20"/>
        </w:rPr>
      </w:pPr>
      <w:r w:rsidRPr="008760C3">
        <w:rPr>
          <w:rFonts w:eastAsia="Times New Roman"/>
          <w:iCs/>
          <w:szCs w:val="20"/>
        </w:rPr>
        <w:t>Proactive</w:t>
      </w:r>
      <w:r>
        <w:rPr>
          <w:rFonts w:eastAsia="Times New Roman"/>
          <w:iCs/>
          <w:szCs w:val="20"/>
        </w:rPr>
        <w:t>ly</w:t>
      </w:r>
      <w:r w:rsidRPr="008760C3">
        <w:rPr>
          <w:rFonts w:eastAsia="Times New Roman"/>
          <w:iCs/>
          <w:szCs w:val="20"/>
        </w:rPr>
        <w:t xml:space="preserve"> contact</w:t>
      </w:r>
      <w:r>
        <w:rPr>
          <w:rFonts w:eastAsia="Times New Roman"/>
          <w:iCs/>
          <w:szCs w:val="20"/>
        </w:rPr>
        <w:t>ing</w:t>
      </w:r>
      <w:r w:rsidRPr="008760C3">
        <w:rPr>
          <w:rFonts w:eastAsia="Times New Roman"/>
          <w:iCs/>
          <w:szCs w:val="20"/>
        </w:rPr>
        <w:t xml:space="preserve"> patients to </w:t>
      </w:r>
      <w:r>
        <w:rPr>
          <w:rFonts w:eastAsia="Times New Roman"/>
          <w:iCs/>
          <w:szCs w:val="20"/>
        </w:rPr>
        <w:t>monitor their health.</w:t>
      </w:r>
    </w:p>
    <w:p w14:paraId="3E7CF1E8" w14:textId="77777777" w:rsidR="001C19F3" w:rsidRDefault="001C19F3" w:rsidP="001C19F3">
      <w:pPr>
        <w:numPr>
          <w:ilvl w:val="0"/>
          <w:numId w:val="71"/>
        </w:numPr>
        <w:contextualSpacing/>
        <w:rPr>
          <w:rFonts w:eastAsia="Times New Roman"/>
          <w:iCs/>
          <w:szCs w:val="20"/>
        </w:rPr>
      </w:pPr>
      <w:r w:rsidRPr="008760C3">
        <w:rPr>
          <w:rFonts w:eastAsia="Times New Roman"/>
          <w:iCs/>
          <w:szCs w:val="20"/>
        </w:rPr>
        <w:t>HCH patients able to telephone the practice and talk to a nurse or GP about their health concerns</w:t>
      </w:r>
      <w:r>
        <w:rPr>
          <w:rFonts w:eastAsia="Times New Roman"/>
          <w:iCs/>
          <w:szCs w:val="20"/>
        </w:rPr>
        <w:t>.</w:t>
      </w:r>
    </w:p>
    <w:p w14:paraId="5A592CEB" w14:textId="77777777" w:rsidR="001C19F3" w:rsidRPr="008760C3" w:rsidRDefault="001C19F3" w:rsidP="001C19F3">
      <w:pPr>
        <w:numPr>
          <w:ilvl w:val="0"/>
          <w:numId w:val="71"/>
        </w:numPr>
        <w:contextualSpacing/>
        <w:rPr>
          <w:rFonts w:eastAsia="Times New Roman"/>
          <w:iCs/>
          <w:szCs w:val="20"/>
        </w:rPr>
      </w:pPr>
      <w:r w:rsidRPr="008760C3">
        <w:rPr>
          <w:rFonts w:eastAsia="Times New Roman"/>
          <w:iCs/>
          <w:szCs w:val="20"/>
        </w:rPr>
        <w:t>HCH patients able to refill scripts without a GP consultation.</w:t>
      </w:r>
    </w:p>
    <w:p w14:paraId="2A1D12D5" w14:textId="77777777" w:rsidR="001C19F3" w:rsidRDefault="001C19F3" w:rsidP="001C19F3">
      <w:pPr>
        <w:numPr>
          <w:ilvl w:val="0"/>
          <w:numId w:val="71"/>
        </w:numPr>
        <w:contextualSpacing/>
        <w:rPr>
          <w:rFonts w:eastAsia="Times New Roman"/>
          <w:iCs/>
          <w:szCs w:val="20"/>
        </w:rPr>
      </w:pPr>
      <w:r w:rsidRPr="008760C3">
        <w:rPr>
          <w:rFonts w:eastAsia="Times New Roman"/>
          <w:iCs/>
          <w:szCs w:val="20"/>
        </w:rPr>
        <w:t>Improved systems for follow-up and re-call of HCH patients (e.g. for review or prevent</w:t>
      </w:r>
      <w:r>
        <w:rPr>
          <w:rFonts w:eastAsia="Times New Roman"/>
          <w:iCs/>
          <w:szCs w:val="20"/>
        </w:rPr>
        <w:t>ion</w:t>
      </w:r>
      <w:r w:rsidRPr="008760C3">
        <w:rPr>
          <w:rFonts w:eastAsia="Times New Roman"/>
          <w:iCs/>
          <w:szCs w:val="20"/>
        </w:rPr>
        <w:t>)</w:t>
      </w:r>
      <w:r>
        <w:rPr>
          <w:rFonts w:eastAsia="Times New Roman"/>
          <w:iCs/>
          <w:szCs w:val="20"/>
        </w:rPr>
        <w:t>.</w:t>
      </w:r>
    </w:p>
    <w:p w14:paraId="38683897" w14:textId="77777777" w:rsidR="001C19F3" w:rsidRDefault="001C19F3" w:rsidP="001C19F3">
      <w:pPr>
        <w:numPr>
          <w:ilvl w:val="0"/>
          <w:numId w:val="71"/>
        </w:numPr>
        <w:rPr>
          <w:rFonts w:eastAsia="Times New Roman"/>
          <w:iCs/>
          <w:szCs w:val="20"/>
        </w:rPr>
      </w:pPr>
      <w:r w:rsidRPr="008760C3">
        <w:rPr>
          <w:rFonts w:eastAsia="Times New Roman"/>
          <w:iCs/>
          <w:szCs w:val="20"/>
        </w:rPr>
        <w:t>Regular meetings of HCH practice team (e.g. GPs, nurse, admin staff) to review HCH patients and their care needs</w:t>
      </w:r>
      <w:r>
        <w:rPr>
          <w:rFonts w:eastAsia="Times New Roman"/>
          <w:iCs/>
          <w:szCs w:val="20"/>
        </w:rPr>
        <w:t>.</w:t>
      </w:r>
    </w:p>
    <w:p w14:paraId="114FD013" w14:textId="77777777" w:rsidR="001C19F3" w:rsidRDefault="001C19F3" w:rsidP="001C19F3">
      <w:pPr>
        <w:spacing w:after="160" w:line="259" w:lineRule="auto"/>
        <w:rPr>
          <w:rFonts w:eastAsia="Times New Roman"/>
          <w:iCs/>
          <w:szCs w:val="20"/>
        </w:rPr>
      </w:pPr>
      <w:r>
        <w:rPr>
          <w:rFonts w:eastAsia="Times New Roman"/>
          <w:iCs/>
          <w:szCs w:val="20"/>
        </w:rPr>
        <w:br w:type="page"/>
      </w:r>
    </w:p>
    <w:p w14:paraId="3DEE2CDD" w14:textId="77777777" w:rsidR="001C19F3" w:rsidRPr="008760C3" w:rsidRDefault="001C19F3" w:rsidP="001C19F3">
      <w:pPr>
        <w:spacing w:after="0" w:line="240" w:lineRule="auto"/>
        <w:jc w:val="center"/>
        <w:rPr>
          <w:rFonts w:eastAsiaTheme="minorEastAsia" w:cstheme="minorBidi"/>
          <w:b/>
          <w:szCs w:val="24"/>
          <w:lang w:val="en-US"/>
        </w:rPr>
      </w:pPr>
      <w:bookmarkStart w:id="285" w:name="_Ref20922944"/>
      <w:bookmarkStart w:id="286" w:name="_Ref20922939"/>
      <w:bookmarkStart w:id="287" w:name="_Hlk22645588"/>
      <w:bookmarkEnd w:id="284"/>
      <w:r w:rsidRPr="008760C3">
        <w:rPr>
          <w:rFonts w:eastAsiaTheme="minorEastAsia" w:cstheme="minorBidi"/>
          <w:b/>
          <w:szCs w:val="24"/>
          <w:lang w:val="en-US"/>
        </w:rPr>
        <w:lastRenderedPageBreak/>
        <w:t xml:space="preserve">Table </w:t>
      </w:r>
      <w:r w:rsidRPr="008760C3">
        <w:rPr>
          <w:rFonts w:eastAsiaTheme="minorEastAsia" w:cstheme="minorBidi"/>
          <w:b/>
          <w:szCs w:val="24"/>
          <w:lang w:val="en-US"/>
        </w:rPr>
        <w:fldChar w:fldCharType="begin"/>
      </w:r>
      <w:r w:rsidRPr="008760C3">
        <w:rPr>
          <w:rFonts w:eastAsiaTheme="minorEastAsia" w:cstheme="minorBidi"/>
          <w:b/>
          <w:szCs w:val="24"/>
          <w:lang w:val="en-US"/>
        </w:rPr>
        <w:instrText>SEQ Table \* ARABIC</w:instrText>
      </w:r>
      <w:r w:rsidRPr="008760C3">
        <w:rPr>
          <w:rFonts w:eastAsiaTheme="minorEastAsia" w:cstheme="minorBidi"/>
          <w:b/>
          <w:szCs w:val="24"/>
          <w:lang w:val="en-US"/>
        </w:rPr>
        <w:fldChar w:fldCharType="separate"/>
      </w:r>
      <w:r>
        <w:rPr>
          <w:rFonts w:eastAsiaTheme="minorEastAsia" w:cstheme="minorBidi"/>
          <w:b/>
          <w:noProof/>
          <w:szCs w:val="24"/>
          <w:lang w:val="en-US"/>
        </w:rPr>
        <w:t>46</w:t>
      </w:r>
      <w:r w:rsidRPr="008760C3">
        <w:rPr>
          <w:rFonts w:eastAsiaTheme="minorEastAsia" w:cstheme="minorBidi"/>
          <w:b/>
          <w:szCs w:val="24"/>
          <w:lang w:val="en-US"/>
        </w:rPr>
        <w:fldChar w:fldCharType="end"/>
      </w:r>
      <w:bookmarkEnd w:id="285"/>
      <w:r w:rsidRPr="008760C3">
        <w:rPr>
          <w:rFonts w:eastAsiaTheme="minorEastAsia" w:cstheme="minorBidi"/>
          <w:b/>
          <w:szCs w:val="24"/>
          <w:lang w:val="en-US"/>
        </w:rPr>
        <w:t xml:space="preserve"> – Changes that are a focus during the HCH implementation</w:t>
      </w:r>
      <w:bookmarkEnd w:id="286"/>
    </w:p>
    <w:tbl>
      <w:tblPr>
        <w:tblW w:w="9375" w:type="dxa"/>
        <w:jc w:val="center"/>
        <w:tblLayout w:type="fixed"/>
        <w:tblLook w:val="04A0" w:firstRow="1" w:lastRow="0" w:firstColumn="1" w:lastColumn="0" w:noHBand="0" w:noVBand="1"/>
      </w:tblPr>
      <w:tblGrid>
        <w:gridCol w:w="4262"/>
        <w:gridCol w:w="1134"/>
        <w:gridCol w:w="1276"/>
        <w:gridCol w:w="1418"/>
        <w:gridCol w:w="1285"/>
      </w:tblGrid>
      <w:tr w:rsidR="001C19F3" w:rsidRPr="008760C3" w14:paraId="20B9601E" w14:textId="77777777" w:rsidTr="00521305">
        <w:trPr>
          <w:cantSplit/>
          <w:trHeight w:val="113"/>
          <w:tblHeader/>
          <w:jc w:val="center"/>
        </w:trPr>
        <w:tc>
          <w:tcPr>
            <w:tcW w:w="4262"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bookmarkEnd w:id="287"/>
          <w:p w14:paraId="753BEA75" w14:textId="77777777" w:rsidR="001C19F3" w:rsidRPr="008760C3" w:rsidRDefault="001C19F3" w:rsidP="00521305">
            <w:pPr>
              <w:spacing w:after="0"/>
              <w:jc w:val="center"/>
              <w:rPr>
                <w:rFonts w:eastAsia="Century Gothic" w:cs="Century Gothic"/>
                <w:b/>
                <w:color w:val="FFFFFF"/>
                <w:sz w:val="18"/>
                <w:szCs w:val="18"/>
              </w:rPr>
            </w:pPr>
            <w:r w:rsidRPr="008760C3">
              <w:rPr>
                <w:rFonts w:eastAsia="Century Gothic" w:cs="Century Gothic"/>
                <w:b/>
                <w:color w:val="FFFFFF"/>
                <w:sz w:val="18"/>
                <w:szCs w:val="18"/>
              </w:rPr>
              <w:t xml:space="preserve">Potential change during </w:t>
            </w:r>
          </w:p>
          <w:p w14:paraId="169E71FC" w14:textId="77777777" w:rsidR="001C19F3" w:rsidRPr="008760C3" w:rsidRDefault="001C19F3" w:rsidP="00521305">
            <w:pPr>
              <w:spacing w:after="0"/>
              <w:jc w:val="center"/>
            </w:pPr>
            <w:r w:rsidRPr="008760C3">
              <w:rPr>
                <w:rFonts w:eastAsia="Century Gothic" w:cs="Century Gothic"/>
                <w:b/>
                <w:color w:val="FFFFFF"/>
                <w:sz w:val="18"/>
                <w:szCs w:val="18"/>
              </w:rPr>
              <w:t>HCH implementation</w:t>
            </w:r>
          </w:p>
        </w:tc>
        <w:tc>
          <w:tcPr>
            <w:tcW w:w="1134"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7877E2D" w14:textId="77777777" w:rsidR="001C19F3" w:rsidRPr="008760C3" w:rsidRDefault="001C19F3" w:rsidP="00521305">
            <w:pPr>
              <w:spacing w:after="0"/>
              <w:jc w:val="center"/>
            </w:pPr>
            <w:r w:rsidRPr="008760C3">
              <w:rPr>
                <w:rFonts w:eastAsia="Century Gothic" w:cs="Century Gothic"/>
                <w:b/>
                <w:color w:val="FFFFFF"/>
                <w:sz w:val="18"/>
                <w:szCs w:val="18"/>
              </w:rPr>
              <w:t>Feature of practice prior to HCH</w:t>
            </w:r>
          </w:p>
        </w:tc>
        <w:tc>
          <w:tcPr>
            <w:tcW w:w="3979"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40075F1" w14:textId="77777777" w:rsidR="001C19F3" w:rsidRPr="008760C3" w:rsidRDefault="001C19F3" w:rsidP="00521305">
            <w:pPr>
              <w:spacing w:after="0"/>
              <w:jc w:val="center"/>
            </w:pPr>
            <w:r w:rsidRPr="008760C3">
              <w:rPr>
                <w:rFonts w:eastAsia="Century Gothic" w:cs="Century Gothic"/>
                <w:b/>
                <w:color w:val="FFFFFF"/>
                <w:sz w:val="18"/>
                <w:szCs w:val="18"/>
              </w:rPr>
              <w:t>Will this be a change you are planning to make?</w:t>
            </w:r>
          </w:p>
        </w:tc>
      </w:tr>
      <w:tr w:rsidR="001C19F3" w:rsidRPr="008760C3" w14:paraId="43E2D467" w14:textId="77777777" w:rsidTr="00521305">
        <w:trPr>
          <w:cantSplit/>
          <w:trHeight w:val="113"/>
          <w:tblHeader/>
          <w:jc w:val="center"/>
        </w:trPr>
        <w:tc>
          <w:tcPr>
            <w:tcW w:w="4262" w:type="dxa"/>
            <w:vMerge/>
            <w:tcBorders>
              <w:top w:val="single" w:sz="8" w:space="0" w:color="BFBFBF"/>
              <w:left w:val="single" w:sz="8" w:space="0" w:color="BFBFBF"/>
              <w:bottom w:val="single" w:sz="8" w:space="0" w:color="BFBFBF"/>
              <w:right w:val="single" w:sz="8" w:space="0" w:color="BFBFBF"/>
            </w:tcBorders>
            <w:vAlign w:val="center"/>
            <w:hideMark/>
          </w:tcPr>
          <w:p w14:paraId="02A90FE8" w14:textId="77777777" w:rsidR="001C19F3" w:rsidRPr="008760C3" w:rsidRDefault="001C19F3" w:rsidP="00521305">
            <w:pPr>
              <w:spacing w:after="0"/>
            </w:pPr>
          </w:p>
        </w:tc>
        <w:tc>
          <w:tcPr>
            <w:tcW w:w="1134" w:type="dxa"/>
            <w:vMerge/>
            <w:tcBorders>
              <w:top w:val="single" w:sz="8" w:space="0" w:color="BFBFBF"/>
              <w:left w:val="single" w:sz="8" w:space="0" w:color="BFBFBF"/>
              <w:bottom w:val="single" w:sz="8" w:space="0" w:color="BFBFBF"/>
              <w:right w:val="single" w:sz="8" w:space="0" w:color="BFBFBF"/>
            </w:tcBorders>
            <w:vAlign w:val="center"/>
            <w:hideMark/>
          </w:tcPr>
          <w:p w14:paraId="2AD3E2D1" w14:textId="77777777" w:rsidR="001C19F3" w:rsidRPr="008760C3" w:rsidRDefault="001C19F3" w:rsidP="00521305">
            <w:pPr>
              <w:spacing w:after="0"/>
            </w:pPr>
          </w:p>
        </w:tc>
        <w:tc>
          <w:tcPr>
            <w:tcW w:w="127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DB133DD" w14:textId="77777777" w:rsidR="001C19F3" w:rsidRPr="008760C3" w:rsidRDefault="001C19F3" w:rsidP="00521305">
            <w:pPr>
              <w:spacing w:after="0"/>
              <w:jc w:val="center"/>
            </w:pPr>
            <w:r w:rsidRPr="008760C3">
              <w:rPr>
                <w:rFonts w:eastAsia="Century Gothic" w:cs="Century Gothic"/>
                <w:b/>
                <w:color w:val="FFFFFF"/>
                <w:sz w:val="18"/>
                <w:szCs w:val="18"/>
              </w:rPr>
              <w:t>Implementing change now</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1F57CA" w14:textId="77777777" w:rsidR="001C19F3" w:rsidRPr="008760C3" w:rsidRDefault="001C19F3" w:rsidP="00521305">
            <w:pPr>
              <w:spacing w:after="0"/>
              <w:jc w:val="center"/>
            </w:pPr>
            <w:r w:rsidRPr="008760C3">
              <w:rPr>
                <w:rFonts w:eastAsia="Century Gothic" w:cs="Century Gothic"/>
                <w:b/>
                <w:color w:val="FFFFFF"/>
                <w:sz w:val="18"/>
                <w:szCs w:val="18"/>
              </w:rPr>
              <w:t>Plan to implement by the end of 2019</w:t>
            </w:r>
          </w:p>
        </w:tc>
        <w:tc>
          <w:tcPr>
            <w:tcW w:w="128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777A431" w14:textId="77777777" w:rsidR="001C19F3" w:rsidRPr="008760C3" w:rsidRDefault="001C19F3" w:rsidP="00521305">
            <w:pPr>
              <w:spacing w:after="0"/>
              <w:jc w:val="center"/>
            </w:pPr>
            <w:r w:rsidRPr="008760C3">
              <w:rPr>
                <w:rFonts w:eastAsia="Century Gothic" w:cs="Century Gothic"/>
                <w:b/>
                <w:color w:val="FFFFFF"/>
                <w:sz w:val="18"/>
                <w:szCs w:val="18"/>
              </w:rPr>
              <w:t xml:space="preserve">Not a focus during HCH </w:t>
            </w:r>
          </w:p>
        </w:tc>
      </w:tr>
      <w:tr w:rsidR="001C19F3" w:rsidRPr="008760C3" w14:paraId="2957D3D6"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B3CC5" w14:textId="77777777" w:rsidR="001C19F3" w:rsidRPr="008760C3" w:rsidRDefault="001C19F3" w:rsidP="00521305">
            <w:pPr>
              <w:spacing w:before="40" w:after="40"/>
              <w:ind w:left="100" w:right="100"/>
            </w:pPr>
            <w:r w:rsidRPr="008760C3">
              <w:rPr>
                <w:rFonts w:eastAsia="Century Gothic" w:cs="Century Gothic"/>
                <w:color w:val="000000"/>
                <w:sz w:val="18"/>
                <w:szCs w:val="18"/>
              </w:rPr>
              <w:t>Improving the completeness and quality of the data in the practice clinical management system</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574B1A"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71 (77.2%)</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E8EFE5"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43 (46.7%)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482106"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8 (8.7%)</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27AE55"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 (4.3%)</w:t>
            </w:r>
          </w:p>
        </w:tc>
      </w:tr>
      <w:tr w:rsidR="001C19F3" w:rsidRPr="008760C3" w14:paraId="3406D4E4"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6943B" w14:textId="77777777" w:rsidR="001C19F3" w:rsidRPr="008760C3" w:rsidRDefault="001C19F3" w:rsidP="00521305">
            <w:pPr>
              <w:spacing w:before="40" w:after="40"/>
              <w:ind w:left="100" w:right="100"/>
            </w:pPr>
            <w:r w:rsidRPr="008760C3">
              <w:rPr>
                <w:rFonts w:eastAsia="Century Gothic" w:cs="Century Gothic"/>
                <w:color w:val="000000"/>
                <w:sz w:val="18"/>
                <w:szCs w:val="18"/>
              </w:rPr>
              <w:t>Reassigning components of care usually undertaken by a GP to a nurse (e.g. patients routinely see a nurse prior to seeing the GP when they attend the practice)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16CF4"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56 (60.9%)</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CDBE75"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46 (50.0%)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1064F8"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11 (12.0%)</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FE6F76"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8 (8.7%)</w:t>
            </w:r>
          </w:p>
        </w:tc>
      </w:tr>
      <w:tr w:rsidR="001C19F3" w:rsidRPr="008760C3" w14:paraId="75637B0C"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21EC33" w14:textId="77777777" w:rsidR="001C19F3" w:rsidRPr="008760C3" w:rsidRDefault="001C19F3" w:rsidP="00521305">
            <w:pPr>
              <w:spacing w:before="40" w:after="40"/>
              <w:ind w:left="100" w:right="100"/>
            </w:pPr>
            <w:r w:rsidRPr="008760C3">
              <w:rPr>
                <w:rFonts w:eastAsia="Century Gothic" w:cs="Century Gothic"/>
                <w:color w:val="000000"/>
                <w:sz w:val="18"/>
                <w:szCs w:val="18"/>
              </w:rPr>
              <w:t>Reassigning components of care usually undertaken by a GP or nurse to a medical assistant (e.g. clinical measurements and assessments)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6F0AF1"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26 (28.3%)</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036BB0"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26 (28.3%)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46F1E4"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14 (15.2%)</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BA8A97"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30 (32.6%)</w:t>
            </w:r>
          </w:p>
        </w:tc>
      </w:tr>
      <w:tr w:rsidR="001C19F3" w:rsidRPr="008760C3" w14:paraId="7993C7CB"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748468" w14:textId="77777777" w:rsidR="001C19F3" w:rsidRPr="008760C3" w:rsidRDefault="001C19F3" w:rsidP="00521305">
            <w:pPr>
              <w:spacing w:before="40" w:after="40"/>
              <w:ind w:left="100" w:right="100"/>
            </w:pPr>
            <w:r w:rsidRPr="008760C3">
              <w:rPr>
                <w:rFonts w:eastAsia="Century Gothic" w:cs="Century Gothic"/>
                <w:color w:val="000000"/>
                <w:sz w:val="18"/>
                <w:szCs w:val="18"/>
              </w:rPr>
              <w:t>Regular meetings of HCH practice team (e.g. GPs, nurse, admin staff) to review HCH patients and their care needs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845CE"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27 (29.3%)</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A8FE8"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47 (51.1%)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1F873A"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24 (26.1%)</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93B501"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8 (8.7%)</w:t>
            </w:r>
          </w:p>
        </w:tc>
      </w:tr>
      <w:tr w:rsidR="001C19F3" w:rsidRPr="008760C3" w14:paraId="62F521F9"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64AE42" w14:textId="77777777" w:rsidR="001C19F3" w:rsidRPr="008760C3" w:rsidRDefault="001C19F3" w:rsidP="00521305">
            <w:pPr>
              <w:spacing w:before="40" w:after="40"/>
              <w:ind w:left="100" w:right="100"/>
            </w:pPr>
            <w:r w:rsidRPr="008760C3">
              <w:rPr>
                <w:rFonts w:eastAsia="Century Gothic" w:cs="Century Gothic"/>
                <w:color w:val="000000"/>
                <w:sz w:val="18"/>
                <w:szCs w:val="18"/>
              </w:rPr>
              <w:t>Introducing new roles within the practice (e.g. medical practice assistance, care coordinator, community care worker)</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DE906"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23 (25.0%)</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617D38"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28 (30.4%)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0DB8DE"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18 (19.6%)</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79E939"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26 (28.3%)</w:t>
            </w:r>
          </w:p>
        </w:tc>
      </w:tr>
      <w:tr w:rsidR="001C19F3" w:rsidRPr="008760C3" w14:paraId="32F7B979"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25275E" w14:textId="77777777" w:rsidR="001C19F3" w:rsidRPr="008760C3" w:rsidRDefault="001C19F3" w:rsidP="00521305">
            <w:pPr>
              <w:spacing w:before="40" w:after="40"/>
              <w:ind w:left="100" w:right="100"/>
            </w:pPr>
            <w:r w:rsidRPr="008760C3">
              <w:rPr>
                <w:rFonts w:eastAsia="Century Gothic" w:cs="Century Gothic"/>
                <w:color w:val="000000"/>
                <w:sz w:val="18"/>
                <w:szCs w:val="18"/>
              </w:rPr>
              <w:t>Improved systems for follow-up and re-call of HCH patients (e.g. for review or preventive services)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644027"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55 (59.8%)</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FDED8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47 (51.1%)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8D9029"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14 (15.2%)</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E03902"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 (3.3%)</w:t>
            </w:r>
          </w:p>
        </w:tc>
      </w:tr>
      <w:tr w:rsidR="001C19F3" w:rsidRPr="008760C3" w14:paraId="53272D05"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933630" w14:textId="77777777" w:rsidR="001C19F3" w:rsidRPr="008760C3" w:rsidRDefault="001C19F3" w:rsidP="00521305">
            <w:pPr>
              <w:spacing w:before="40" w:after="40"/>
              <w:ind w:left="100" w:right="100"/>
            </w:pPr>
            <w:r w:rsidRPr="008760C3">
              <w:rPr>
                <w:rFonts w:eastAsia="Century Gothic" w:cs="Century Gothic"/>
                <w:color w:val="000000"/>
                <w:sz w:val="18"/>
                <w:szCs w:val="18"/>
              </w:rPr>
              <w:t>Proactive contact with patients to check how they are going (e.g. by telephone)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92CA77"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39 (42.4%)</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6E412C"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54 (58.7%)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C71E4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14 (15.2%)</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E0ABAE"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 (4.3%)</w:t>
            </w:r>
          </w:p>
        </w:tc>
      </w:tr>
      <w:tr w:rsidR="001C19F3" w:rsidRPr="008760C3" w14:paraId="04C94BB8"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F6F31B" w14:textId="77777777" w:rsidR="001C19F3" w:rsidRPr="008760C3" w:rsidRDefault="001C19F3" w:rsidP="00521305">
            <w:pPr>
              <w:spacing w:before="40" w:after="40"/>
              <w:ind w:left="100" w:right="100"/>
            </w:pPr>
            <w:r w:rsidRPr="008760C3">
              <w:rPr>
                <w:rFonts w:eastAsia="Century Gothic" w:cs="Century Gothic"/>
                <w:color w:val="000000"/>
                <w:sz w:val="18"/>
                <w:szCs w:val="18"/>
              </w:rPr>
              <w:t>Dedicated clinics for HCH patients with specific chronic illnesses (e.g. diabetes, osteoarthritis)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D927ED"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16 (17.4%)</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DD961F"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20 (21.7%)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D51A19"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26 (28.3%)</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570E37"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31 (33.7%)</w:t>
            </w:r>
          </w:p>
        </w:tc>
      </w:tr>
      <w:tr w:rsidR="001C19F3" w:rsidRPr="008760C3" w14:paraId="24F12532"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6A8F83" w14:textId="77777777" w:rsidR="001C19F3" w:rsidRPr="008760C3" w:rsidRDefault="001C19F3" w:rsidP="00521305">
            <w:pPr>
              <w:spacing w:before="40" w:after="40"/>
              <w:ind w:left="100" w:right="100"/>
            </w:pPr>
            <w:r w:rsidRPr="008760C3">
              <w:rPr>
                <w:rFonts w:eastAsia="Century Gothic" w:cs="Century Gothic"/>
                <w:color w:val="000000"/>
                <w:sz w:val="18"/>
                <w:szCs w:val="18"/>
              </w:rPr>
              <w:t>Group consultations involving two or more patients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105ADF"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8 (8.7%)</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7B056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7 (7.6%)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8A81C8"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30 (32.6%)</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A18ED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43 (46.7%)</w:t>
            </w:r>
          </w:p>
        </w:tc>
      </w:tr>
      <w:tr w:rsidR="001C19F3" w:rsidRPr="008760C3" w14:paraId="4029416D"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2CC242" w14:textId="77777777" w:rsidR="001C19F3" w:rsidRPr="008760C3" w:rsidRDefault="001C19F3" w:rsidP="00521305">
            <w:pPr>
              <w:spacing w:before="40" w:after="40"/>
              <w:ind w:left="100" w:right="100"/>
            </w:pPr>
            <w:r w:rsidRPr="008760C3">
              <w:rPr>
                <w:rFonts w:eastAsia="Century Gothic" w:cs="Century Gothic"/>
                <w:color w:val="000000"/>
                <w:sz w:val="18"/>
                <w:szCs w:val="18"/>
              </w:rPr>
              <w:t>Joint consultations for a patient involving a GP, nurse and allied health (e.g. pharmacist)</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2548AD"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25 (27.2%)</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61E180"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18 (19.6%)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14BE5E"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29 (31.5%)</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D8184F"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29 (31.5%)</w:t>
            </w:r>
          </w:p>
        </w:tc>
      </w:tr>
      <w:tr w:rsidR="001C19F3" w:rsidRPr="008760C3" w14:paraId="64308D18"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BFCB51" w14:textId="77777777" w:rsidR="001C19F3" w:rsidRPr="008760C3" w:rsidRDefault="001C19F3" w:rsidP="00521305">
            <w:pPr>
              <w:spacing w:before="40" w:after="40"/>
              <w:ind w:left="100" w:right="100"/>
            </w:pPr>
            <w:r w:rsidRPr="008760C3">
              <w:rPr>
                <w:rFonts w:eastAsia="Century Gothic" w:cs="Century Gothic"/>
                <w:color w:val="000000"/>
                <w:sz w:val="18"/>
                <w:szCs w:val="18"/>
              </w:rPr>
              <w:t>HCH patients able to telephone the practice and talk to a nurse or GP about their health concerns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7984D"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48 (52.2%)</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CA8C7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59 (64.1%)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7B06BE"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5 (5.4%)</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BEA79A"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 (3.3%)</w:t>
            </w:r>
          </w:p>
        </w:tc>
      </w:tr>
      <w:tr w:rsidR="001C19F3" w:rsidRPr="008760C3" w14:paraId="7C7D2BC7"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A1BCDE" w14:textId="77777777" w:rsidR="001C19F3" w:rsidRPr="008760C3" w:rsidRDefault="001C19F3" w:rsidP="00521305">
            <w:pPr>
              <w:spacing w:before="40" w:after="40"/>
              <w:ind w:left="100" w:right="100"/>
            </w:pPr>
            <w:r w:rsidRPr="008760C3">
              <w:rPr>
                <w:rFonts w:eastAsia="Century Gothic" w:cs="Century Gothic"/>
                <w:color w:val="000000"/>
                <w:sz w:val="18"/>
                <w:szCs w:val="18"/>
              </w:rPr>
              <w:t>HCH patients able to communicate by email or secure messaging with the GP or nurse about their health concerns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D760C0"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22 (23.9%)</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A75FE6"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42 (45.7%)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6AC3B"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15 (16.3%)</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DA3DAF"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22 (23.9%)</w:t>
            </w:r>
          </w:p>
        </w:tc>
      </w:tr>
      <w:tr w:rsidR="001C19F3" w:rsidRPr="008760C3" w14:paraId="34378350"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055CE3" w14:textId="77777777" w:rsidR="001C19F3" w:rsidRPr="008760C3" w:rsidRDefault="001C19F3" w:rsidP="00521305">
            <w:pPr>
              <w:spacing w:before="40" w:after="40"/>
              <w:ind w:left="100" w:right="100"/>
            </w:pPr>
            <w:r w:rsidRPr="008760C3">
              <w:rPr>
                <w:rFonts w:eastAsia="Century Gothic" w:cs="Century Gothic"/>
                <w:color w:val="000000"/>
                <w:sz w:val="18"/>
                <w:szCs w:val="18"/>
              </w:rPr>
              <w:t>Introducing a patient portal through which clinical information is shared with HCH patients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96A60"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13 (14.1%)</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02ACA9"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13 (14.1%)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A6835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25 (27.2%)</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08B5E9"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38 (41.3%)</w:t>
            </w:r>
          </w:p>
        </w:tc>
      </w:tr>
      <w:tr w:rsidR="001C19F3" w:rsidRPr="008760C3" w14:paraId="19C60CE1" w14:textId="77777777" w:rsidTr="00521305">
        <w:trPr>
          <w:cantSplit/>
          <w:trHeight w:val="442"/>
          <w:jc w:val="center"/>
        </w:trPr>
        <w:tc>
          <w:tcPr>
            <w:tcW w:w="426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B55B78" w14:textId="77777777" w:rsidR="001C19F3" w:rsidRPr="008760C3" w:rsidRDefault="001C19F3" w:rsidP="00521305">
            <w:pPr>
              <w:spacing w:before="40" w:after="40"/>
              <w:ind w:left="100" w:right="100"/>
            </w:pPr>
            <w:r w:rsidRPr="008760C3">
              <w:rPr>
                <w:rFonts w:eastAsia="Century Gothic" w:cs="Century Gothic"/>
                <w:color w:val="000000"/>
                <w:sz w:val="18"/>
                <w:szCs w:val="18"/>
              </w:rPr>
              <w:t>HCH patients able to refill scripts without a GP consultation</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2E867"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35 (38.0%)</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1AA125"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56 (60.9%)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A4C73B"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9 (9.8%)</w:t>
            </w:r>
          </w:p>
        </w:tc>
        <w:tc>
          <w:tcPr>
            <w:tcW w:w="12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C0483" w14:textId="77777777" w:rsidR="001C19F3" w:rsidRPr="008760C3" w:rsidRDefault="001C19F3" w:rsidP="00521305">
            <w:pPr>
              <w:spacing w:before="40" w:after="40"/>
              <w:ind w:left="100" w:right="100"/>
              <w:jc w:val="right"/>
            </w:pPr>
            <w:r w:rsidRPr="008760C3">
              <w:rPr>
                <w:rFonts w:eastAsia="Century Gothic" w:cs="Century Gothic"/>
                <w:color w:val="000000"/>
                <w:sz w:val="18"/>
                <w:szCs w:val="18"/>
              </w:rPr>
              <w:t>10 (10.9%)</w:t>
            </w:r>
          </w:p>
        </w:tc>
      </w:tr>
    </w:tbl>
    <w:p w14:paraId="5DE8CDCE" w14:textId="77777777" w:rsidR="001C19F3" w:rsidRPr="008760C3" w:rsidRDefault="001C19F3" w:rsidP="001C19F3">
      <w:pPr>
        <w:pStyle w:val="Chartortablefootnote"/>
      </w:pPr>
      <w:r w:rsidRPr="008760C3">
        <w:t xml:space="preserve">Source: </w:t>
      </w:r>
      <w:r>
        <w:t>Practice survey</w:t>
      </w:r>
      <w:r w:rsidRPr="008760C3">
        <w:t xml:space="preserve"> </w:t>
      </w:r>
      <w:r>
        <w:t>R2</w:t>
      </w:r>
      <w:r w:rsidRPr="008760C3">
        <w:t xml:space="preserve">, </w:t>
      </w:r>
      <w:r>
        <w:t>Nov</w:t>
      </w:r>
      <w:r w:rsidRPr="008760C3">
        <w:t xml:space="preserve"> 2018-</w:t>
      </w:r>
      <w:r>
        <w:t>Mar</w:t>
      </w:r>
      <w:r w:rsidRPr="008760C3">
        <w:t xml:space="preserve"> 2019, </w:t>
      </w:r>
      <w:r>
        <w:t>q</w:t>
      </w:r>
      <w:r w:rsidRPr="008760C3">
        <w:t>uestion 22</w:t>
      </w:r>
      <w:r>
        <w:t xml:space="preserve">. </w:t>
      </w:r>
      <w:r w:rsidRPr="00CF46D0">
        <w:t>Active practices as at 31 August 2019.</w:t>
      </w:r>
    </w:p>
    <w:p w14:paraId="472C4F46" w14:textId="77777777" w:rsidR="001C19F3" w:rsidRPr="008760C3" w:rsidRDefault="001C19F3" w:rsidP="001C19F3">
      <w:pPr>
        <w:rPr>
          <w:rFonts w:eastAsia="Times New Roman"/>
          <w:iCs/>
          <w:szCs w:val="20"/>
        </w:rPr>
      </w:pPr>
      <w:r>
        <w:rPr>
          <w:rFonts w:eastAsia="Times New Roman"/>
          <w:iCs/>
          <w:szCs w:val="20"/>
        </w:rPr>
        <w:lastRenderedPageBreak/>
        <w:t>P</w:t>
      </w:r>
      <w:r w:rsidRPr="008760C3">
        <w:rPr>
          <w:rFonts w:eastAsia="Times New Roman"/>
          <w:iCs/>
          <w:szCs w:val="20"/>
        </w:rPr>
        <w:t>ractices were also asked whether the “processes for providing care to patients with chronic illnesses changed following HCH implementation”</w:t>
      </w:r>
      <w:r>
        <w:rPr>
          <w:rFonts w:eastAsia="Times New Roman"/>
          <w:iCs/>
          <w:szCs w:val="20"/>
        </w:rPr>
        <w:t>. More than half (</w:t>
      </w:r>
      <w:r w:rsidRPr="008760C3">
        <w:rPr>
          <w:rFonts w:eastAsia="Times New Roman"/>
          <w:iCs/>
          <w:szCs w:val="20"/>
        </w:rPr>
        <w:t>54.3%</w:t>
      </w:r>
      <w:r>
        <w:rPr>
          <w:rFonts w:eastAsia="Times New Roman"/>
          <w:iCs/>
          <w:szCs w:val="20"/>
        </w:rPr>
        <w:t>)</w:t>
      </w:r>
      <w:r w:rsidRPr="008760C3">
        <w:rPr>
          <w:rFonts w:eastAsia="Times New Roman"/>
          <w:iCs/>
          <w:szCs w:val="20"/>
        </w:rPr>
        <w:t xml:space="preserve"> of practices indicated that they </w:t>
      </w:r>
      <w:r>
        <w:rPr>
          <w:rFonts w:eastAsia="Times New Roman"/>
          <w:iCs/>
          <w:szCs w:val="20"/>
        </w:rPr>
        <w:t>were</w:t>
      </w:r>
      <w:r w:rsidRPr="008760C3">
        <w:rPr>
          <w:rFonts w:eastAsia="Times New Roman"/>
          <w:iCs/>
          <w:szCs w:val="20"/>
        </w:rPr>
        <w:t>.</w:t>
      </w:r>
      <w:r>
        <w:rPr>
          <w:rFonts w:eastAsia="Times New Roman"/>
          <w:iCs/>
          <w:szCs w:val="20"/>
        </w:rPr>
        <w:t xml:space="preserve"> </w:t>
      </w:r>
      <w:r w:rsidRPr="008760C3">
        <w:rPr>
          <w:rFonts w:eastAsia="Times New Roman"/>
          <w:iCs/>
          <w:szCs w:val="20"/>
        </w:rPr>
        <w:t>When asked</w:t>
      </w:r>
      <w:r>
        <w:rPr>
          <w:rFonts w:eastAsia="Times New Roman"/>
          <w:iCs/>
          <w:szCs w:val="20"/>
        </w:rPr>
        <w:t xml:space="preserve"> </w:t>
      </w:r>
      <w:r w:rsidRPr="008760C3">
        <w:rPr>
          <w:rFonts w:eastAsia="Times New Roman"/>
          <w:iCs/>
          <w:szCs w:val="20"/>
        </w:rPr>
        <w:t xml:space="preserve">to describe these, </w:t>
      </w:r>
      <w:r>
        <w:rPr>
          <w:rFonts w:eastAsia="Times New Roman"/>
          <w:iCs/>
          <w:szCs w:val="20"/>
        </w:rPr>
        <w:t>they</w:t>
      </w:r>
      <w:r w:rsidRPr="008760C3">
        <w:rPr>
          <w:rFonts w:eastAsia="Times New Roman"/>
          <w:iCs/>
          <w:szCs w:val="20"/>
        </w:rPr>
        <w:t xml:space="preserve"> mostly overlapped with those </w:t>
      </w:r>
      <w:r>
        <w:rPr>
          <w:rFonts w:eastAsia="Times New Roman"/>
          <w:iCs/>
          <w:szCs w:val="20"/>
        </w:rPr>
        <w:t>listed</w:t>
      </w:r>
      <w:r w:rsidRPr="008760C3">
        <w:rPr>
          <w:rFonts w:eastAsia="Times New Roman"/>
          <w:iCs/>
          <w:szCs w:val="20"/>
        </w:rPr>
        <w:t xml:space="preserve"> in </w:t>
      </w:r>
      <w:r w:rsidRPr="008760C3">
        <w:rPr>
          <w:rFonts w:eastAsia="Times New Roman"/>
          <w:iCs/>
          <w:szCs w:val="20"/>
        </w:rPr>
        <w:fldChar w:fldCharType="begin"/>
      </w:r>
      <w:r w:rsidRPr="008760C3">
        <w:rPr>
          <w:rFonts w:eastAsia="Times New Roman"/>
          <w:iCs/>
          <w:szCs w:val="20"/>
        </w:rPr>
        <w:instrText xml:space="preserve"> REF _Ref20922944 \h </w:instrText>
      </w:r>
      <w:r>
        <w:rPr>
          <w:rFonts w:eastAsia="Times New Roman"/>
          <w:iCs/>
          <w:szCs w:val="20"/>
        </w:rPr>
        <w:instrText xml:space="preserve"> \* MERGEFORMAT </w:instrText>
      </w:r>
      <w:r w:rsidRPr="008760C3">
        <w:rPr>
          <w:rFonts w:eastAsia="Times New Roman"/>
          <w:iCs/>
          <w:szCs w:val="20"/>
        </w:rPr>
      </w:r>
      <w:r w:rsidRPr="008760C3">
        <w:rPr>
          <w:rFonts w:eastAsia="Times New Roman"/>
          <w:iCs/>
          <w:szCs w:val="20"/>
        </w:rPr>
        <w:fldChar w:fldCharType="separate"/>
      </w:r>
      <w:r w:rsidRPr="00822044">
        <w:rPr>
          <w:rFonts w:eastAsia="Times New Roman"/>
          <w:iCs/>
          <w:szCs w:val="20"/>
        </w:rPr>
        <w:t>Table 46</w:t>
      </w:r>
      <w:r w:rsidRPr="008760C3">
        <w:rPr>
          <w:rFonts w:eastAsia="Times New Roman"/>
          <w:iCs/>
          <w:szCs w:val="20"/>
        </w:rPr>
        <w:fldChar w:fldCharType="end"/>
      </w:r>
      <w:r>
        <w:rPr>
          <w:rFonts w:eastAsia="Times New Roman"/>
          <w:iCs/>
          <w:szCs w:val="20"/>
        </w:rPr>
        <w:t xml:space="preserve">. </w:t>
      </w:r>
      <w:r w:rsidRPr="008760C3">
        <w:rPr>
          <w:rFonts w:eastAsia="Times New Roman"/>
          <w:iCs/>
          <w:szCs w:val="20"/>
        </w:rPr>
        <w:t>The most common were:</w:t>
      </w:r>
    </w:p>
    <w:p w14:paraId="09E9F870" w14:textId="77777777" w:rsidR="001C19F3" w:rsidRPr="008760C3" w:rsidRDefault="001C19F3" w:rsidP="001C19F3">
      <w:pPr>
        <w:numPr>
          <w:ilvl w:val="0"/>
          <w:numId w:val="71"/>
        </w:numPr>
        <w:contextualSpacing/>
        <w:rPr>
          <w:rFonts w:eastAsia="Times New Roman"/>
          <w:iCs/>
          <w:szCs w:val="20"/>
        </w:rPr>
      </w:pPr>
      <w:r w:rsidRPr="008760C3">
        <w:rPr>
          <w:rFonts w:eastAsia="Times New Roman"/>
          <w:iCs/>
          <w:szCs w:val="20"/>
        </w:rPr>
        <w:t>Nurses have more responsibility: patients can see the nurse for routine health checks, care planning, education, goal</w:t>
      </w:r>
      <w:r>
        <w:rPr>
          <w:rFonts w:eastAsia="Times New Roman"/>
          <w:iCs/>
          <w:szCs w:val="20"/>
        </w:rPr>
        <w:t>s</w:t>
      </w:r>
      <w:r w:rsidRPr="008760C3">
        <w:rPr>
          <w:rFonts w:eastAsia="Times New Roman"/>
          <w:iCs/>
          <w:szCs w:val="20"/>
        </w:rPr>
        <w:t>, and care monitoring</w:t>
      </w:r>
      <w:r>
        <w:rPr>
          <w:rFonts w:eastAsia="Times New Roman"/>
          <w:iCs/>
          <w:szCs w:val="20"/>
        </w:rPr>
        <w:t>.</w:t>
      </w:r>
    </w:p>
    <w:p w14:paraId="6FECA984" w14:textId="77777777" w:rsidR="001C19F3" w:rsidRPr="008760C3" w:rsidRDefault="001C19F3" w:rsidP="001C19F3">
      <w:pPr>
        <w:numPr>
          <w:ilvl w:val="0"/>
          <w:numId w:val="71"/>
        </w:numPr>
        <w:contextualSpacing/>
        <w:rPr>
          <w:rFonts w:eastAsia="Times New Roman"/>
          <w:iCs/>
          <w:szCs w:val="20"/>
        </w:rPr>
      </w:pPr>
      <w:r w:rsidRPr="008760C3">
        <w:rPr>
          <w:rFonts w:eastAsia="Times New Roman"/>
          <w:iCs/>
          <w:szCs w:val="20"/>
        </w:rPr>
        <w:t xml:space="preserve">Nurses </w:t>
      </w:r>
      <w:r>
        <w:rPr>
          <w:rFonts w:eastAsia="Times New Roman"/>
          <w:iCs/>
          <w:szCs w:val="20"/>
        </w:rPr>
        <w:t>following patients up to monitor their chronic conditions.</w:t>
      </w:r>
    </w:p>
    <w:p w14:paraId="65301C12" w14:textId="77777777" w:rsidR="001C19F3" w:rsidRPr="008760C3" w:rsidRDefault="001C19F3" w:rsidP="001C19F3">
      <w:pPr>
        <w:numPr>
          <w:ilvl w:val="0"/>
          <w:numId w:val="71"/>
        </w:numPr>
        <w:contextualSpacing/>
        <w:rPr>
          <w:rFonts w:eastAsia="Times New Roman"/>
          <w:iCs/>
          <w:szCs w:val="20"/>
        </w:rPr>
      </w:pPr>
      <w:r>
        <w:rPr>
          <w:rFonts w:eastAsia="Times New Roman"/>
          <w:iCs/>
          <w:szCs w:val="20"/>
        </w:rPr>
        <w:t>Access</w:t>
      </w:r>
      <w:r w:rsidRPr="008760C3">
        <w:rPr>
          <w:rFonts w:eastAsia="Times New Roman"/>
          <w:iCs/>
          <w:szCs w:val="20"/>
        </w:rPr>
        <w:t xml:space="preserve"> </w:t>
      </w:r>
      <w:r>
        <w:rPr>
          <w:rFonts w:eastAsia="Times New Roman"/>
          <w:iCs/>
          <w:szCs w:val="20"/>
        </w:rPr>
        <w:t xml:space="preserve">to the nurse (and in some instances the GP) </w:t>
      </w:r>
      <w:r w:rsidRPr="008760C3">
        <w:rPr>
          <w:rFonts w:eastAsia="Times New Roman"/>
          <w:iCs/>
          <w:szCs w:val="20"/>
        </w:rPr>
        <w:t xml:space="preserve">through phone </w:t>
      </w:r>
      <w:r>
        <w:rPr>
          <w:rFonts w:eastAsia="Times New Roman"/>
          <w:iCs/>
          <w:szCs w:val="20"/>
        </w:rPr>
        <w:t>or</w:t>
      </w:r>
      <w:r w:rsidRPr="008760C3">
        <w:rPr>
          <w:rFonts w:eastAsia="Times New Roman"/>
          <w:iCs/>
          <w:szCs w:val="20"/>
        </w:rPr>
        <w:t xml:space="preserve"> email</w:t>
      </w:r>
      <w:r>
        <w:rPr>
          <w:rFonts w:eastAsia="Times New Roman"/>
          <w:iCs/>
          <w:szCs w:val="20"/>
        </w:rPr>
        <w:t>.</w:t>
      </w:r>
    </w:p>
    <w:p w14:paraId="01B1C6C5" w14:textId="77777777" w:rsidR="001C19F3" w:rsidRPr="008760C3" w:rsidRDefault="001C19F3" w:rsidP="001C19F3">
      <w:pPr>
        <w:numPr>
          <w:ilvl w:val="0"/>
          <w:numId w:val="71"/>
        </w:numPr>
        <w:contextualSpacing/>
        <w:rPr>
          <w:rFonts w:eastAsia="Times New Roman"/>
          <w:iCs/>
          <w:szCs w:val="20"/>
        </w:rPr>
      </w:pPr>
      <w:r>
        <w:rPr>
          <w:rFonts w:eastAsia="Times New Roman"/>
          <w:iCs/>
          <w:szCs w:val="20"/>
        </w:rPr>
        <w:t>I</w:t>
      </w:r>
      <w:r w:rsidRPr="008760C3">
        <w:rPr>
          <w:rFonts w:eastAsia="Times New Roman"/>
          <w:iCs/>
          <w:szCs w:val="20"/>
        </w:rPr>
        <w:t>mproved external and/or internal team care</w:t>
      </w:r>
      <w:r>
        <w:rPr>
          <w:rFonts w:eastAsia="Times New Roman"/>
          <w:iCs/>
          <w:szCs w:val="20"/>
        </w:rPr>
        <w:t>.</w:t>
      </w:r>
    </w:p>
    <w:p w14:paraId="1C231A15" w14:textId="77777777" w:rsidR="001C19F3" w:rsidRDefault="001C19F3" w:rsidP="001C19F3">
      <w:pPr>
        <w:numPr>
          <w:ilvl w:val="0"/>
          <w:numId w:val="71"/>
        </w:numPr>
        <w:ind w:left="714" w:hanging="357"/>
        <w:rPr>
          <w:rFonts w:eastAsia="Times New Roman"/>
          <w:iCs/>
          <w:szCs w:val="20"/>
        </w:rPr>
      </w:pPr>
      <w:r>
        <w:rPr>
          <w:rFonts w:eastAsia="Times New Roman"/>
          <w:iCs/>
          <w:szCs w:val="20"/>
        </w:rPr>
        <w:t>P</w:t>
      </w:r>
      <w:r w:rsidRPr="008760C3">
        <w:rPr>
          <w:rFonts w:eastAsia="Times New Roman"/>
          <w:iCs/>
          <w:szCs w:val="20"/>
        </w:rPr>
        <w:t>atients can request prescription refills and/or referrals without seeing the GP</w:t>
      </w:r>
      <w:r>
        <w:rPr>
          <w:rFonts w:eastAsia="Times New Roman"/>
          <w:iCs/>
          <w:szCs w:val="20"/>
        </w:rPr>
        <w:t>.</w:t>
      </w:r>
      <w:bookmarkStart w:id="288" w:name="_Hlk21339602"/>
    </w:p>
    <w:bookmarkEnd w:id="288"/>
    <w:p w14:paraId="09AC590C" w14:textId="77777777" w:rsidR="001C19F3" w:rsidRDefault="001C19F3" w:rsidP="001C19F3">
      <w:pPr>
        <w:rPr>
          <w:rFonts w:eastAsia="Times New Roman"/>
          <w:iCs/>
          <w:szCs w:val="20"/>
        </w:rPr>
      </w:pPr>
      <w:r w:rsidRPr="008760C3">
        <w:rPr>
          <w:noProof/>
          <w:lang w:eastAsia="en-AU"/>
        </w:rPr>
        <mc:AlternateContent>
          <mc:Choice Requires="wps">
            <w:drawing>
              <wp:anchor distT="91440" distB="91440" distL="114300" distR="114300" simplePos="0" relativeHeight="251669504" behindDoc="0" locked="0" layoutInCell="1" allowOverlap="1" wp14:anchorId="0AE0E045" wp14:editId="7008600D">
                <wp:simplePos x="0" y="0"/>
                <wp:positionH relativeFrom="margin">
                  <wp:posOffset>0</wp:posOffset>
                </wp:positionH>
                <wp:positionV relativeFrom="paragraph">
                  <wp:posOffset>254635</wp:posOffset>
                </wp:positionV>
                <wp:extent cx="2520000" cy="561975"/>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561975"/>
                        </a:xfrm>
                        <a:prstGeom prst="rect">
                          <a:avLst/>
                        </a:prstGeom>
                        <a:noFill/>
                        <a:ln w="9525">
                          <a:noFill/>
                          <a:miter lim="800000"/>
                          <a:headEnd/>
                          <a:tailEnd/>
                        </a:ln>
                      </wps:spPr>
                      <wps:txbx>
                        <w:txbxContent>
                          <w:p w14:paraId="43EF76E3" w14:textId="77777777" w:rsidR="00521305" w:rsidRPr="004C4782" w:rsidRDefault="00521305" w:rsidP="001C19F3">
                            <w:pPr>
                              <w:rPr>
                                <w:iCs/>
                                <w:color w:val="003D79"/>
                                <w:sz w:val="18"/>
                                <w:szCs w:val="18"/>
                              </w:rPr>
                            </w:pPr>
                            <w:r w:rsidRPr="004C4782">
                              <w:rPr>
                                <w:i/>
                                <w:iCs/>
                                <w:color w:val="003D79"/>
                                <w:sz w:val="18"/>
                                <w:szCs w:val="18"/>
                              </w:rPr>
                              <w:t xml:space="preserve"> “It’s more planned care, whereas at the moment in Medicare, it’s reactive care.” </w:t>
                            </w:r>
                            <w:r w:rsidRPr="004C4782">
                              <w:rPr>
                                <w:iCs/>
                                <w:color w:val="003D79"/>
                                <w:sz w:val="18"/>
                                <w:szCs w:val="18"/>
                              </w:rPr>
                              <w:t>[Practice manager, Practice 5</w:t>
                            </w:r>
                            <w:r>
                              <w:rPr>
                                <w:iCs/>
                                <w:color w:val="003D79"/>
                                <w:sz w:val="18"/>
                                <w:szCs w:val="18"/>
                              </w:rPr>
                              <w:t>, R2</w:t>
                            </w:r>
                            <w:r w:rsidRPr="004C4782">
                              <w:rPr>
                                <w:iCs/>
                                <w:color w:val="003D7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0E045" id="Text Box 72" o:spid="_x0000_s1040" type="#_x0000_t202" style="position:absolute;margin-left:0;margin-top:20.05pt;width:198.45pt;height:44.25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" filled="f" stroked="f">
                <v:textbox>
                  <w:txbxContent>
                    <w:p w14:paraId="43EF76E3" w14:textId="77777777" w:rsidR="00521305" w:rsidRPr="004C4782" w:rsidRDefault="00521305" w:rsidP="001C19F3">
                      <w:pPr>
                        <w:rPr>
                          <w:iCs/>
                          <w:color w:val="003D79"/>
                          <w:sz w:val="18"/>
                          <w:szCs w:val="18"/>
                        </w:rPr>
                      </w:pPr>
                      <w:r w:rsidRPr="004C4782">
                        <w:rPr>
                          <w:i/>
                          <w:iCs/>
                          <w:color w:val="003D79"/>
                          <w:sz w:val="18"/>
                          <w:szCs w:val="18"/>
                        </w:rPr>
                        <w:t xml:space="preserve"> “It’s more planned care, whereas at the moment in Medicare, it’s reactive care.” </w:t>
                      </w:r>
                      <w:r w:rsidRPr="004C4782">
                        <w:rPr>
                          <w:iCs/>
                          <w:color w:val="003D79"/>
                          <w:sz w:val="18"/>
                          <w:szCs w:val="18"/>
                        </w:rPr>
                        <w:t>[Practice manager, Practice 5</w:t>
                      </w:r>
                      <w:r>
                        <w:rPr>
                          <w:iCs/>
                          <w:color w:val="003D79"/>
                          <w:sz w:val="18"/>
                          <w:szCs w:val="18"/>
                        </w:rPr>
                        <w:t>, R2</w:t>
                      </w:r>
                      <w:r w:rsidRPr="004C4782">
                        <w:rPr>
                          <w:iCs/>
                          <w:color w:val="003D79"/>
                          <w:sz w:val="18"/>
                          <w:szCs w:val="18"/>
                        </w:rPr>
                        <w:t>]</w:t>
                      </w:r>
                    </w:p>
                  </w:txbxContent>
                </v:textbox>
                <w10:wrap type="square" anchorx="margin"/>
              </v:shape>
            </w:pict>
          </mc:Fallback>
        </mc:AlternateContent>
      </w:r>
      <w:r>
        <w:rPr>
          <w:noProof/>
        </w:rPr>
        <w:t>When the</w:t>
      </w:r>
      <w:r>
        <w:rPr>
          <w:rFonts w:eastAsia="Times New Roman"/>
          <w:iCs/>
          <w:szCs w:val="20"/>
        </w:rPr>
        <w:t xml:space="preserve"> </w:t>
      </w:r>
      <w:r w:rsidRPr="008760C3">
        <w:rPr>
          <w:rFonts w:eastAsia="Times New Roman"/>
          <w:iCs/>
          <w:szCs w:val="20"/>
        </w:rPr>
        <w:t xml:space="preserve">interviews were conducted (one year from when </w:t>
      </w:r>
      <w:r>
        <w:rPr>
          <w:rFonts w:eastAsia="Times New Roman"/>
          <w:iCs/>
          <w:szCs w:val="20"/>
        </w:rPr>
        <w:t>practices could start enrolling patients</w:t>
      </w:r>
      <w:r w:rsidRPr="008760C3">
        <w:rPr>
          <w:rFonts w:eastAsia="Times New Roman"/>
          <w:iCs/>
          <w:szCs w:val="20"/>
        </w:rPr>
        <w:t>)</w:t>
      </w:r>
      <w:r>
        <w:rPr>
          <w:rFonts w:eastAsia="Times New Roman"/>
          <w:iCs/>
          <w:szCs w:val="20"/>
        </w:rPr>
        <w:t>,</w:t>
      </w:r>
      <w:r w:rsidRPr="008760C3">
        <w:rPr>
          <w:rFonts w:eastAsia="Times New Roman"/>
          <w:iCs/>
          <w:szCs w:val="20"/>
        </w:rPr>
        <w:t xml:space="preserve"> practices were at varying stages of implementing </w:t>
      </w:r>
      <w:r>
        <w:rPr>
          <w:rFonts w:eastAsia="Times New Roman"/>
          <w:iCs/>
          <w:szCs w:val="20"/>
        </w:rPr>
        <w:t>HCH</w:t>
      </w:r>
      <w:r w:rsidRPr="008760C3">
        <w:rPr>
          <w:rFonts w:eastAsia="Times New Roman"/>
          <w:iCs/>
          <w:szCs w:val="20"/>
        </w:rPr>
        <w:t xml:space="preserve">. Some had </w:t>
      </w:r>
      <w:r>
        <w:rPr>
          <w:rFonts w:eastAsia="Times New Roman"/>
          <w:iCs/>
          <w:szCs w:val="20"/>
        </w:rPr>
        <w:t>set-up</w:t>
      </w:r>
      <w:r w:rsidRPr="008760C3">
        <w:rPr>
          <w:rFonts w:eastAsia="Times New Roman"/>
          <w:iCs/>
          <w:szCs w:val="20"/>
        </w:rPr>
        <w:t xml:space="preserve"> processes that would impact how they manage their patients with chronic disease in the future, but had not yet </w:t>
      </w:r>
      <w:r>
        <w:rPr>
          <w:rFonts w:eastAsia="Times New Roman"/>
          <w:iCs/>
          <w:szCs w:val="20"/>
        </w:rPr>
        <w:t>made changes that would be visible to patients</w:t>
      </w:r>
      <w:r w:rsidRPr="008760C3">
        <w:rPr>
          <w:rFonts w:eastAsia="Times New Roman"/>
          <w:iCs/>
          <w:szCs w:val="20"/>
        </w:rPr>
        <w:t>. Others enrolled only a few patients to test the model, and yet others had made large changes affecting patients and staff.</w:t>
      </w:r>
    </w:p>
    <w:p w14:paraId="33E0DB6E" w14:textId="77777777" w:rsidR="001C19F3" w:rsidRPr="008760C3" w:rsidRDefault="001C19F3" w:rsidP="001C19F3">
      <w:pPr>
        <w:rPr>
          <w:rFonts w:eastAsia="Times New Roman"/>
          <w:szCs w:val="20"/>
        </w:rPr>
      </w:pPr>
      <w:r>
        <w:rPr>
          <w:rFonts w:eastAsia="Times New Roman"/>
          <w:szCs w:val="20"/>
        </w:rPr>
        <w:t xml:space="preserve">Those that had made changes </w:t>
      </w:r>
      <w:r w:rsidRPr="008760C3">
        <w:rPr>
          <w:rFonts w:eastAsia="Times New Roman"/>
          <w:szCs w:val="20"/>
        </w:rPr>
        <w:t xml:space="preserve">reported the following additional services for </w:t>
      </w:r>
      <w:r>
        <w:rPr>
          <w:rFonts w:eastAsia="Times New Roman"/>
          <w:szCs w:val="20"/>
        </w:rPr>
        <w:t>enrolees</w:t>
      </w:r>
      <w:r w:rsidRPr="008760C3">
        <w:rPr>
          <w:rFonts w:eastAsia="Times New Roman"/>
          <w:szCs w:val="20"/>
        </w:rPr>
        <w:t>:</w:t>
      </w:r>
    </w:p>
    <w:p w14:paraId="544EDC08" w14:textId="77777777" w:rsidR="001C19F3" w:rsidRPr="008760C3" w:rsidRDefault="001C19F3" w:rsidP="001C19F3">
      <w:pPr>
        <w:numPr>
          <w:ilvl w:val="0"/>
          <w:numId w:val="45"/>
        </w:numPr>
        <w:ind w:left="714" w:hanging="357"/>
        <w:contextualSpacing/>
        <w:rPr>
          <w:rFonts w:eastAsia="Times New Roman"/>
          <w:szCs w:val="20"/>
        </w:rPr>
      </w:pPr>
      <w:r w:rsidRPr="008760C3">
        <w:rPr>
          <w:rFonts w:eastAsia="Times New Roman"/>
          <w:szCs w:val="20"/>
        </w:rPr>
        <w:t xml:space="preserve">home visits by </w:t>
      </w:r>
      <w:r>
        <w:rPr>
          <w:rFonts w:eastAsia="Times New Roman"/>
          <w:szCs w:val="20"/>
        </w:rPr>
        <w:t>nurses</w:t>
      </w:r>
    </w:p>
    <w:p w14:paraId="705C0D46" w14:textId="77777777" w:rsidR="001C19F3" w:rsidRPr="008760C3" w:rsidRDefault="001C19F3" w:rsidP="001C19F3">
      <w:pPr>
        <w:numPr>
          <w:ilvl w:val="0"/>
          <w:numId w:val="45"/>
        </w:numPr>
        <w:ind w:left="714" w:hanging="357"/>
        <w:contextualSpacing/>
        <w:rPr>
          <w:rFonts w:eastAsia="Times New Roman"/>
          <w:szCs w:val="20"/>
        </w:rPr>
      </w:pPr>
      <w:r w:rsidRPr="008760C3">
        <w:rPr>
          <w:rFonts w:eastAsia="Times New Roman"/>
          <w:szCs w:val="20"/>
        </w:rPr>
        <w:t xml:space="preserve">education and </w:t>
      </w:r>
      <w:r>
        <w:rPr>
          <w:rFonts w:eastAsia="Times New Roman"/>
          <w:szCs w:val="20"/>
        </w:rPr>
        <w:t>lifestyle</w:t>
      </w:r>
      <w:r w:rsidRPr="008760C3">
        <w:rPr>
          <w:rFonts w:eastAsia="Times New Roman"/>
          <w:szCs w:val="20"/>
        </w:rPr>
        <w:t xml:space="preserve"> groups (e.g. walking group, diabetics group, diet</w:t>
      </w:r>
      <w:r>
        <w:rPr>
          <w:rFonts w:eastAsia="Times New Roman"/>
          <w:szCs w:val="20"/>
        </w:rPr>
        <w:t>etics</w:t>
      </w:r>
      <w:r w:rsidRPr="008760C3">
        <w:rPr>
          <w:rFonts w:eastAsia="Times New Roman"/>
          <w:szCs w:val="20"/>
        </w:rPr>
        <w:t xml:space="preserve"> group)</w:t>
      </w:r>
    </w:p>
    <w:p w14:paraId="167625A0" w14:textId="77777777" w:rsidR="001C19F3" w:rsidRPr="008760C3" w:rsidRDefault="001C19F3" w:rsidP="001C19F3">
      <w:pPr>
        <w:numPr>
          <w:ilvl w:val="0"/>
          <w:numId w:val="45"/>
        </w:numPr>
        <w:ind w:left="714" w:hanging="357"/>
        <w:contextualSpacing/>
        <w:rPr>
          <w:rFonts w:eastAsia="Times New Roman"/>
          <w:szCs w:val="20"/>
        </w:rPr>
      </w:pPr>
      <w:r w:rsidRPr="008760C3">
        <w:rPr>
          <w:rFonts w:eastAsia="Times New Roman"/>
          <w:szCs w:val="20"/>
        </w:rPr>
        <w:t>recalls</w:t>
      </w:r>
      <w:r>
        <w:rPr>
          <w:rFonts w:eastAsia="Times New Roman"/>
          <w:szCs w:val="20"/>
        </w:rPr>
        <w:t xml:space="preserve"> for preventative care</w:t>
      </w:r>
    </w:p>
    <w:p w14:paraId="4D8E33E1" w14:textId="77777777" w:rsidR="001C19F3" w:rsidRPr="008760C3" w:rsidRDefault="001C19F3" w:rsidP="001C19F3">
      <w:pPr>
        <w:numPr>
          <w:ilvl w:val="0"/>
          <w:numId w:val="45"/>
        </w:numPr>
        <w:ind w:left="714" w:hanging="357"/>
        <w:contextualSpacing/>
        <w:rPr>
          <w:rFonts w:eastAsia="Times New Roman"/>
          <w:szCs w:val="20"/>
        </w:rPr>
      </w:pPr>
      <w:r w:rsidRPr="008760C3">
        <w:rPr>
          <w:rFonts w:eastAsia="Times New Roman"/>
          <w:szCs w:val="20"/>
        </w:rPr>
        <w:t>skype and/or telephone consultations</w:t>
      </w:r>
    </w:p>
    <w:p w14:paraId="636926E3" w14:textId="77777777" w:rsidR="001C19F3" w:rsidRPr="001D3217" w:rsidRDefault="001C19F3" w:rsidP="001C19F3">
      <w:pPr>
        <w:numPr>
          <w:ilvl w:val="0"/>
          <w:numId w:val="45"/>
        </w:numPr>
        <w:ind w:left="714" w:hanging="357"/>
        <w:contextualSpacing/>
        <w:rPr>
          <w:rFonts w:eastAsia="Times New Roman"/>
          <w:szCs w:val="20"/>
        </w:rPr>
      </w:pPr>
      <w:r w:rsidRPr="001D3217">
        <w:rPr>
          <w:rFonts w:eastAsia="Times New Roman"/>
          <w:szCs w:val="20"/>
        </w:rPr>
        <w:t xml:space="preserve">remote monitoring, including through computer apps for patients to </w:t>
      </w:r>
      <w:r>
        <w:rPr>
          <w:rFonts w:eastAsia="Times New Roman"/>
          <w:szCs w:val="20"/>
        </w:rPr>
        <w:t xml:space="preserve">enter </w:t>
      </w:r>
      <w:r w:rsidRPr="001D3217">
        <w:rPr>
          <w:rFonts w:eastAsia="Times New Roman"/>
          <w:szCs w:val="20"/>
        </w:rPr>
        <w:t>key physiological measures</w:t>
      </w:r>
    </w:p>
    <w:p w14:paraId="5405BEBC" w14:textId="77777777" w:rsidR="001C19F3" w:rsidRPr="008760C3" w:rsidRDefault="001C19F3" w:rsidP="001C19F3">
      <w:pPr>
        <w:numPr>
          <w:ilvl w:val="0"/>
          <w:numId w:val="45"/>
        </w:numPr>
        <w:ind w:left="714" w:hanging="357"/>
        <w:contextualSpacing/>
        <w:rPr>
          <w:rFonts w:eastAsia="Times New Roman"/>
          <w:szCs w:val="20"/>
        </w:rPr>
      </w:pPr>
      <w:r w:rsidRPr="008760C3">
        <w:rPr>
          <w:rFonts w:eastAsia="Times New Roman"/>
          <w:szCs w:val="20"/>
        </w:rPr>
        <w:t>over the phone repeat prescription requests</w:t>
      </w:r>
    </w:p>
    <w:p w14:paraId="7B731E31" w14:textId="77777777" w:rsidR="001C19F3" w:rsidRPr="008760C3" w:rsidRDefault="001C19F3" w:rsidP="001C19F3">
      <w:pPr>
        <w:numPr>
          <w:ilvl w:val="0"/>
          <w:numId w:val="45"/>
        </w:numPr>
        <w:ind w:left="714" w:hanging="357"/>
        <w:contextualSpacing/>
        <w:rPr>
          <w:rFonts w:eastAsia="Times New Roman"/>
          <w:szCs w:val="20"/>
        </w:rPr>
      </w:pPr>
      <w:r>
        <w:rPr>
          <w:rFonts w:eastAsia="Times New Roman"/>
          <w:szCs w:val="20"/>
        </w:rPr>
        <w:t>priority access (</w:t>
      </w:r>
      <w:r w:rsidRPr="008760C3">
        <w:rPr>
          <w:rFonts w:eastAsia="Times New Roman"/>
          <w:szCs w:val="20"/>
        </w:rPr>
        <w:t>HCH membership cards and designated phone line and email</w:t>
      </w:r>
      <w:r>
        <w:rPr>
          <w:rFonts w:eastAsia="Times New Roman"/>
          <w:szCs w:val="20"/>
        </w:rPr>
        <w:t>)</w:t>
      </w:r>
    </w:p>
    <w:p w14:paraId="0A5A2D39" w14:textId="77777777" w:rsidR="001C19F3" w:rsidRPr="008760C3" w:rsidRDefault="001C19F3" w:rsidP="001C19F3">
      <w:pPr>
        <w:numPr>
          <w:ilvl w:val="0"/>
          <w:numId w:val="45"/>
        </w:numPr>
        <w:ind w:left="714" w:hanging="357"/>
        <w:contextualSpacing/>
        <w:rPr>
          <w:rFonts w:eastAsia="Times New Roman"/>
          <w:szCs w:val="20"/>
        </w:rPr>
      </w:pPr>
      <w:r w:rsidRPr="008760C3">
        <w:rPr>
          <w:rFonts w:eastAsia="Times New Roman"/>
          <w:szCs w:val="20"/>
        </w:rPr>
        <w:t>consults and/or medication reviews with practice pharmacists</w:t>
      </w:r>
    </w:p>
    <w:p w14:paraId="40859B14" w14:textId="77777777" w:rsidR="001C19F3" w:rsidRPr="00EE1DF2" w:rsidRDefault="001C19F3" w:rsidP="001C19F3">
      <w:pPr>
        <w:numPr>
          <w:ilvl w:val="0"/>
          <w:numId w:val="45"/>
        </w:numPr>
        <w:ind w:left="714" w:hanging="357"/>
        <w:rPr>
          <w:rFonts w:eastAsia="Times New Roman"/>
          <w:iCs/>
          <w:szCs w:val="20"/>
        </w:rPr>
      </w:pPr>
      <w:r w:rsidRPr="00EE1DF2">
        <w:rPr>
          <w:rFonts w:eastAsia="Times New Roman"/>
          <w:szCs w:val="20"/>
        </w:rPr>
        <w:t>enhanced team-based approach to care (e.g. delegation of clinical care tasks by GPs to nurses, introduction of new roles within the practice such as HCH coordinator or nurse, medical practice assistant).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3CB47617" w14:textId="77777777" w:rsidTr="00521305">
        <w:trPr>
          <w:trHeight w:val="287"/>
        </w:trPr>
        <w:tc>
          <w:tcPr>
            <w:tcW w:w="5000" w:type="pct"/>
          </w:tcPr>
          <w:p w14:paraId="609B3105"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4B446442" w14:textId="77777777" w:rsidTr="00521305">
        <w:tc>
          <w:tcPr>
            <w:tcW w:w="5000" w:type="pct"/>
          </w:tcPr>
          <w:p w14:paraId="7223320F" w14:textId="77777777" w:rsidR="001C19F3" w:rsidRPr="008760C3" w:rsidRDefault="001C19F3" w:rsidP="00521305">
            <w:pPr>
              <w:spacing w:after="0"/>
              <w:rPr>
                <w:sz w:val="18"/>
                <w:szCs w:val="18"/>
              </w:rPr>
            </w:pPr>
            <w:r w:rsidRPr="008760C3">
              <w:rPr>
                <w:sz w:val="18"/>
                <w:szCs w:val="18"/>
              </w:rPr>
              <w:t xml:space="preserve">Staff of a medium-sized practice located in a rural township reported that one of the most positive aspects of implementing HCH was that it allowed nurses to do home visits without the doctor. This improved patient care and expanded the scope of the nurse’s role. Prior to implementing HCH, the GPs did not have the time to routinely </w:t>
            </w:r>
            <w:r>
              <w:rPr>
                <w:sz w:val="18"/>
                <w:szCs w:val="18"/>
              </w:rPr>
              <w:t>do</w:t>
            </w:r>
            <w:r w:rsidRPr="008760C3">
              <w:rPr>
                <w:sz w:val="18"/>
                <w:szCs w:val="18"/>
              </w:rPr>
              <w:t xml:space="preserve"> home visits. With HCH the nurses were able to regularly visit patients with mobility and other issues that made it difficult for them to visit the practice.</w:t>
            </w:r>
            <w:r>
              <w:rPr>
                <w:sz w:val="18"/>
                <w:szCs w:val="18"/>
              </w:rPr>
              <w:t xml:space="preserve"> S</w:t>
            </w:r>
            <w:r w:rsidRPr="008760C3">
              <w:rPr>
                <w:sz w:val="18"/>
                <w:szCs w:val="18"/>
              </w:rPr>
              <w:t xml:space="preserve">ubsequently however the practice </w:t>
            </w:r>
            <w:r>
              <w:rPr>
                <w:sz w:val="18"/>
                <w:szCs w:val="18"/>
              </w:rPr>
              <w:t>withdrew</w:t>
            </w:r>
            <w:r w:rsidRPr="008760C3">
              <w:rPr>
                <w:sz w:val="18"/>
                <w:szCs w:val="18"/>
              </w:rPr>
              <w:t xml:space="preserve"> from the program.</w:t>
            </w:r>
          </w:p>
        </w:tc>
      </w:tr>
    </w:tbl>
    <w:p w14:paraId="19C706BB" w14:textId="77777777" w:rsidR="001C19F3" w:rsidRDefault="001C19F3" w:rsidP="001C19F3">
      <w:pPr>
        <w:spacing w:after="0"/>
        <w:rPr>
          <w:rFonts w:eastAsia="Times New Roman"/>
          <w:iCs/>
          <w:szCs w:val="20"/>
        </w:rPr>
      </w:pPr>
    </w:p>
    <w:p w14:paraId="0359E3BE" w14:textId="77777777" w:rsidR="001C19F3" w:rsidRDefault="001C19F3" w:rsidP="001C19F3">
      <w:pPr>
        <w:spacing w:after="160" w:line="259" w:lineRule="auto"/>
        <w:rPr>
          <w:rFonts w:eastAsia="Times New Roman"/>
          <w:iCs/>
          <w:szCs w:val="20"/>
        </w:rPr>
      </w:pPr>
      <w:r>
        <w:rPr>
          <w:rFonts w:eastAsia="Times New Roman"/>
          <w:iCs/>
          <w:szCs w:val="20"/>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70207EAC" w14:textId="77777777" w:rsidTr="00521305">
        <w:trPr>
          <w:trHeight w:val="287"/>
        </w:trPr>
        <w:tc>
          <w:tcPr>
            <w:tcW w:w="5000" w:type="pct"/>
          </w:tcPr>
          <w:p w14:paraId="2A829F28" w14:textId="77777777" w:rsidR="001C19F3" w:rsidRPr="008760C3" w:rsidRDefault="001C19F3" w:rsidP="00521305">
            <w:pPr>
              <w:spacing w:after="0"/>
              <w:rPr>
                <w:b/>
                <w:sz w:val="18"/>
                <w:szCs w:val="18"/>
              </w:rPr>
            </w:pPr>
            <w:r w:rsidRPr="008760C3">
              <w:rPr>
                <w:b/>
                <w:sz w:val="18"/>
                <w:szCs w:val="18"/>
              </w:rPr>
              <w:lastRenderedPageBreak/>
              <w:t>Case study</w:t>
            </w:r>
          </w:p>
        </w:tc>
      </w:tr>
      <w:tr w:rsidR="001C19F3" w:rsidRPr="008760C3" w14:paraId="3DAC416A" w14:textId="77777777" w:rsidTr="00521305">
        <w:tc>
          <w:tcPr>
            <w:tcW w:w="5000" w:type="pct"/>
          </w:tcPr>
          <w:p w14:paraId="29A86EB8" w14:textId="77777777" w:rsidR="001C19F3" w:rsidRPr="008760C3" w:rsidRDefault="001C19F3" w:rsidP="00521305">
            <w:pPr>
              <w:spacing w:after="0"/>
              <w:rPr>
                <w:sz w:val="18"/>
                <w:szCs w:val="18"/>
              </w:rPr>
            </w:pPr>
            <w:r w:rsidRPr="008760C3">
              <w:rPr>
                <w:sz w:val="18"/>
                <w:szCs w:val="18"/>
              </w:rPr>
              <w:t xml:space="preserve">A practice with four doctors and three nurses located in a small city reported already providing many of the chronic disease management services that HCH promoted prior to implementing the model. The practice joined HCH as the team felt that the program would enable </w:t>
            </w:r>
            <w:r>
              <w:rPr>
                <w:sz w:val="18"/>
                <w:szCs w:val="18"/>
              </w:rPr>
              <w:t>it</w:t>
            </w:r>
            <w:r w:rsidRPr="008760C3">
              <w:rPr>
                <w:sz w:val="18"/>
                <w:szCs w:val="18"/>
              </w:rPr>
              <w:t xml:space="preserve"> to continue operating in this manner. Staff described some issues understanding and operating the bundled payment and engaging allied health professionals, specifically using the shared care planning platform. Beyond these drawbacks, staff members discussed the success that they have had with introducing patient group sessions. The clinic offers a walking, dietician, and psychology group. The staff reported that the patients enjoy these sessions, and they will continue to monitor patient outcomes as these activities continue. </w:t>
            </w:r>
          </w:p>
        </w:tc>
      </w:tr>
    </w:tbl>
    <w:p w14:paraId="14565EAB" w14:textId="77777777" w:rsidR="001C19F3" w:rsidRPr="008760C3" w:rsidRDefault="001C19F3" w:rsidP="001C19F3">
      <w:pPr>
        <w:spacing w:after="0"/>
        <w:rPr>
          <w:rFonts w:eastAsia="Times New Roman"/>
          <w:iCs/>
          <w:szCs w:val="20"/>
        </w:rPr>
      </w:pPr>
    </w:p>
    <w:p w14:paraId="507A93D2" w14:textId="77777777" w:rsidR="001C19F3" w:rsidRPr="00BD55E2" w:rsidRDefault="001C19F3" w:rsidP="001C19F3">
      <w:pPr>
        <w:rPr>
          <w:rFonts w:eastAsia="Times New Roman"/>
          <w:iCs/>
          <w:szCs w:val="20"/>
        </w:rPr>
      </w:pPr>
      <w:r>
        <w:rPr>
          <w:rFonts w:eastAsia="Times New Roman"/>
          <w:szCs w:val="20"/>
        </w:rPr>
        <w:t>Some practices identified changes they wanted to make, but had not yet implemented them</w:t>
      </w:r>
      <w:r w:rsidRPr="00BD55E2">
        <w:rPr>
          <w:rFonts w:eastAsia="Times New Roman"/>
          <w:iCs/>
          <w:szCs w:val="20"/>
        </w:rPr>
        <w:t>:</w:t>
      </w:r>
    </w:p>
    <w:p w14:paraId="0985C6FE" w14:textId="77777777" w:rsidR="001C19F3" w:rsidRPr="008760C3" w:rsidRDefault="001C19F3" w:rsidP="001C19F3">
      <w:pPr>
        <w:ind w:left="567" w:right="1088"/>
        <w:rPr>
          <w:rFonts w:eastAsia="Times New Roman"/>
          <w:iCs/>
          <w:szCs w:val="20"/>
        </w:rPr>
      </w:pPr>
      <w:r w:rsidRPr="00BD55E2">
        <w:rPr>
          <w:rFonts w:eastAsia="Times New Roman"/>
          <w:i/>
          <w:iCs/>
          <w:szCs w:val="20"/>
        </w:rPr>
        <w:t xml:space="preserve"> “Well, I like the opportunity to perhaps</w:t>
      </w:r>
      <w:r w:rsidRPr="008760C3">
        <w:rPr>
          <w:rFonts w:eastAsia="Times New Roman"/>
          <w:i/>
          <w:iCs/>
          <w:szCs w:val="20"/>
        </w:rPr>
        <w:t xml:space="preserve"> implement education sessions down the track, one-on-one coaching and as I said, the access they’re going to have to adopt as when they need it.”</w:t>
      </w:r>
      <w:r w:rsidRPr="008760C3">
        <w:rPr>
          <w:rFonts w:eastAsia="Times New Roman"/>
          <w:iCs/>
          <w:szCs w:val="20"/>
        </w:rPr>
        <w:t xml:space="preserve"> [Practice nurse, Practice 15, interview</w:t>
      </w:r>
      <w:r>
        <w:rPr>
          <w:rFonts w:eastAsia="Times New Roman"/>
          <w:iCs/>
          <w:szCs w:val="20"/>
        </w:rPr>
        <w:t>, R2]</w:t>
      </w:r>
    </w:p>
    <w:p w14:paraId="6C2FC0BC" w14:textId="77777777" w:rsidR="001C19F3" w:rsidRPr="008760C3" w:rsidRDefault="001C19F3" w:rsidP="001C19F3">
      <w:pPr>
        <w:ind w:left="567" w:right="1088"/>
        <w:rPr>
          <w:rFonts w:eastAsia="Times New Roman"/>
          <w:iCs/>
          <w:szCs w:val="20"/>
        </w:rPr>
      </w:pPr>
      <w:r w:rsidRPr="008760C3">
        <w:rPr>
          <w:rFonts w:eastAsia="Times New Roman"/>
          <w:i/>
          <w:iCs/>
          <w:szCs w:val="20"/>
        </w:rPr>
        <w:t>“At the moment it's phone consults for our practice, but we're hoping to open that up to Skype and that sort of thing…”</w:t>
      </w:r>
      <w:r w:rsidRPr="008760C3">
        <w:rPr>
          <w:rFonts w:eastAsia="Times New Roman"/>
          <w:iCs/>
          <w:szCs w:val="20"/>
        </w:rPr>
        <w:t xml:space="preserve"> [GP, Practice 9, interview</w:t>
      </w:r>
      <w:r>
        <w:rPr>
          <w:rFonts w:eastAsia="Times New Roman"/>
          <w:iCs/>
          <w:szCs w:val="20"/>
        </w:rPr>
        <w:t>, R2]</w:t>
      </w:r>
    </w:p>
    <w:p w14:paraId="7F01CA8E" w14:textId="77777777" w:rsidR="001C19F3" w:rsidRDefault="001C19F3" w:rsidP="001C19F3">
      <w:pPr>
        <w:ind w:left="567" w:right="1088"/>
        <w:rPr>
          <w:rFonts w:eastAsia="Times New Roman"/>
          <w:iCs/>
          <w:szCs w:val="20"/>
        </w:rPr>
      </w:pPr>
      <w:r w:rsidRPr="008760C3">
        <w:rPr>
          <w:rFonts w:eastAsia="Times New Roman"/>
          <w:i/>
          <w:iCs/>
          <w:szCs w:val="20"/>
        </w:rPr>
        <w:t xml:space="preserve">“…the other one is also trying to move beyond the practice team to the next couple of layers of the team. For example, our allied health people, communication with the hospital, and perhaps some of the specialists.” </w:t>
      </w:r>
      <w:r w:rsidRPr="008760C3">
        <w:rPr>
          <w:rFonts w:eastAsia="Times New Roman"/>
          <w:iCs/>
          <w:szCs w:val="20"/>
        </w:rPr>
        <w:t>[GP, Practice 12, interview</w:t>
      </w:r>
      <w:r>
        <w:rPr>
          <w:rFonts w:eastAsia="Times New Roman"/>
          <w:iCs/>
          <w:szCs w:val="20"/>
        </w:rPr>
        <w:t>, R2]</w:t>
      </w:r>
    </w:p>
    <w:p w14:paraId="02C496E9" w14:textId="77777777" w:rsidR="001C19F3" w:rsidRPr="008760C3" w:rsidRDefault="001C19F3" w:rsidP="001C19F3">
      <w:pPr>
        <w:rPr>
          <w:rFonts w:eastAsia="Times New Roman"/>
          <w:szCs w:val="20"/>
        </w:rPr>
      </w:pPr>
      <w:r>
        <w:rPr>
          <w:rFonts w:eastAsia="Times New Roman"/>
          <w:szCs w:val="20"/>
        </w:rPr>
        <w:t>P</w:t>
      </w:r>
      <w:r w:rsidRPr="00A3296E">
        <w:rPr>
          <w:rFonts w:eastAsia="Times New Roman"/>
          <w:szCs w:val="20"/>
        </w:rPr>
        <w:t>ractices</w:t>
      </w:r>
      <w:r>
        <w:rPr>
          <w:rFonts w:eastAsia="Times New Roman"/>
          <w:szCs w:val="20"/>
        </w:rPr>
        <w:t xml:space="preserve"> that had made changes</w:t>
      </w:r>
      <w:r w:rsidRPr="00A3296E">
        <w:rPr>
          <w:rFonts w:eastAsia="Times New Roman"/>
          <w:szCs w:val="20"/>
        </w:rPr>
        <w:t xml:space="preserve"> reported that </w:t>
      </w:r>
      <w:r>
        <w:rPr>
          <w:rFonts w:eastAsia="Times New Roman"/>
          <w:szCs w:val="20"/>
        </w:rPr>
        <w:t>HCH</w:t>
      </w:r>
      <w:r w:rsidRPr="00A3296E">
        <w:rPr>
          <w:rFonts w:eastAsia="Times New Roman"/>
          <w:szCs w:val="20"/>
        </w:rPr>
        <w:t xml:space="preserve"> was positively </w:t>
      </w:r>
      <w:r>
        <w:rPr>
          <w:rFonts w:eastAsia="Times New Roman"/>
          <w:szCs w:val="20"/>
        </w:rPr>
        <w:t>impacting</w:t>
      </w:r>
      <w:r w:rsidRPr="00A3296E">
        <w:rPr>
          <w:rFonts w:eastAsia="Times New Roman"/>
          <w:szCs w:val="20"/>
        </w:rPr>
        <w:t xml:space="preserve"> their internal processes, team arrangements, and the quality of patient care</w:t>
      </w:r>
      <w:r w:rsidRPr="008760C3">
        <w:rPr>
          <w:rFonts w:eastAsia="Times New Roman"/>
          <w:szCs w:val="20"/>
        </w:rPr>
        <w:t>:</w:t>
      </w:r>
    </w:p>
    <w:p w14:paraId="4ADE1CB8"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 “I think it’s very individualised, I think that’s a really nice part of it, because </w:t>
      </w:r>
      <w:r w:rsidRPr="008760C3">
        <w:rPr>
          <w:rFonts w:eastAsia="Times New Roman"/>
          <w:iCs/>
          <w:szCs w:val="20"/>
        </w:rPr>
        <w:t>[the patients]</w:t>
      </w:r>
      <w:r w:rsidRPr="008760C3">
        <w:rPr>
          <w:rFonts w:eastAsia="Times New Roman"/>
          <w:i/>
          <w:iCs/>
          <w:szCs w:val="20"/>
        </w:rPr>
        <w:t xml:space="preserve"> feel pretty special.”</w:t>
      </w:r>
      <w:r w:rsidRPr="008760C3">
        <w:rPr>
          <w:rFonts w:eastAsia="Times New Roman"/>
          <w:iCs/>
          <w:szCs w:val="20"/>
        </w:rPr>
        <w:t xml:space="preserve"> [Practice nurse, Practice 4, interview</w:t>
      </w:r>
      <w:r>
        <w:rPr>
          <w:rFonts w:eastAsia="Times New Roman"/>
          <w:iCs/>
          <w:szCs w:val="20"/>
        </w:rPr>
        <w:t>, R2]</w:t>
      </w:r>
    </w:p>
    <w:p w14:paraId="4600A1E7"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 </w:t>
      </w:r>
      <w:r w:rsidRPr="00BE5254">
        <w:rPr>
          <w:rFonts w:eastAsia="Times New Roman"/>
          <w:i/>
          <w:iCs/>
          <w:szCs w:val="20"/>
        </w:rPr>
        <w:t xml:space="preserve">“…it’s about leadership and distributing leadership within the practice. Now staff are more able to make decisions and get empowered to change something. It’s not us changing something, it’s them changing something.” </w:t>
      </w:r>
      <w:r w:rsidRPr="00BE5254">
        <w:rPr>
          <w:rFonts w:eastAsia="Times New Roman"/>
          <w:iCs/>
          <w:szCs w:val="20"/>
        </w:rPr>
        <w:t>[GP, Practice 5, interview</w:t>
      </w:r>
      <w:r>
        <w:rPr>
          <w:rFonts w:eastAsia="Times New Roman"/>
          <w:iCs/>
          <w:szCs w:val="20"/>
        </w:rPr>
        <w:t>, R2]</w:t>
      </w:r>
    </w:p>
    <w:p w14:paraId="214FEA58" w14:textId="77777777" w:rsidR="001C19F3" w:rsidRPr="008760C3" w:rsidRDefault="001C19F3" w:rsidP="001C19F3">
      <w:pPr>
        <w:ind w:left="567" w:right="1088"/>
        <w:rPr>
          <w:rFonts w:eastAsia="Times New Roman"/>
          <w:iCs/>
          <w:szCs w:val="20"/>
        </w:rPr>
      </w:pPr>
      <w:r w:rsidRPr="008760C3">
        <w:rPr>
          <w:rFonts w:eastAsia="Times New Roman"/>
          <w:i/>
          <w:iCs/>
          <w:szCs w:val="20"/>
        </w:rPr>
        <w:t>“I think I'm giving more support, basically…there's more of that planning ahead for scripts… or if they need anything while that doctor is away, we try and plan for that outage. And we're informing the patient that that doctor will be away, is there anything we can help you with? We try and get them thinking ahead and taking a bit of ownership of their health care…We try and encourage the patient to ring if they have a problem.”</w:t>
      </w:r>
      <w:r w:rsidRPr="008760C3">
        <w:rPr>
          <w:rFonts w:eastAsia="Times New Roman"/>
          <w:iCs/>
          <w:szCs w:val="20"/>
        </w:rPr>
        <w:t xml:space="preserve"> [Practice nurse, Practice 6, interview</w:t>
      </w:r>
      <w:r>
        <w:rPr>
          <w:rFonts w:eastAsia="Times New Roman"/>
          <w:iCs/>
          <w:szCs w:val="20"/>
        </w:rPr>
        <w:t>, R2]</w:t>
      </w:r>
    </w:p>
    <w:p w14:paraId="11DDFA21"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 “…I often find for the patients with Health Care Homes, you feel more able to say, please ring us if you have got a question or you’re worried about something or that’s what we’re here for as part of this </w:t>
      </w:r>
      <w:r>
        <w:rPr>
          <w:rFonts w:eastAsia="Times New Roman"/>
          <w:i/>
          <w:iCs/>
          <w:szCs w:val="20"/>
        </w:rPr>
        <w:t>program</w:t>
      </w:r>
      <w:r w:rsidRPr="008760C3">
        <w:rPr>
          <w:rFonts w:eastAsia="Times New Roman"/>
          <w:i/>
          <w:iCs/>
          <w:szCs w:val="20"/>
        </w:rPr>
        <w:t xml:space="preserve">, which I mainly do sort of say to our other patients as well but it’s not often as well </w:t>
      </w:r>
      <w:r w:rsidRPr="008760C3">
        <w:rPr>
          <w:rFonts w:eastAsia="Times New Roman"/>
          <w:i/>
          <w:iCs/>
          <w:szCs w:val="20"/>
        </w:rPr>
        <w:lastRenderedPageBreak/>
        <w:t xml:space="preserve">managed because they’re not under that umbrella.” </w:t>
      </w:r>
      <w:r w:rsidRPr="008760C3">
        <w:rPr>
          <w:rFonts w:eastAsia="Times New Roman"/>
          <w:iCs/>
          <w:szCs w:val="20"/>
        </w:rPr>
        <w:t>[Practice nurse, Practice 10, interview</w:t>
      </w:r>
      <w:r>
        <w:rPr>
          <w:rFonts w:eastAsia="Times New Roman"/>
          <w:iCs/>
          <w:szCs w:val="20"/>
        </w:rPr>
        <w:t>, R2]</w:t>
      </w:r>
    </w:p>
    <w:p w14:paraId="0BD17465"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feel like patients get more team members involved in their care, which is a good thing. Because most of the patients before, they only saw the doctor, now they get chances to see me, to see our other allied health.” </w:t>
      </w:r>
      <w:r w:rsidRPr="008760C3">
        <w:rPr>
          <w:rFonts w:eastAsia="Times New Roman"/>
          <w:iCs/>
          <w:szCs w:val="20"/>
        </w:rPr>
        <w:t>[Clinical pharmacist, Practice 11, interview</w:t>
      </w:r>
      <w:r>
        <w:rPr>
          <w:rFonts w:eastAsia="Times New Roman"/>
          <w:iCs/>
          <w:szCs w:val="20"/>
        </w:rPr>
        <w:t>, R2]</w:t>
      </w:r>
    </w:p>
    <w:p w14:paraId="7D6B0734" w14:textId="77777777" w:rsidR="001C19F3" w:rsidRPr="008760C3" w:rsidRDefault="001C19F3" w:rsidP="001C19F3">
      <w:pPr>
        <w:ind w:left="567" w:right="1088"/>
        <w:rPr>
          <w:rFonts w:eastAsia="Times New Roman"/>
          <w:iCs/>
          <w:szCs w:val="20"/>
        </w:rPr>
      </w:pPr>
      <w:r w:rsidRPr="008760C3">
        <w:rPr>
          <w:rFonts w:eastAsia="Times New Roman"/>
          <w:i/>
          <w:iCs/>
          <w:szCs w:val="20"/>
        </w:rPr>
        <w:t>“I think the coordination of care with the nurses and the practice staff and all that, I think that’s something that is better on the Health Care Homes.”</w:t>
      </w:r>
      <w:r w:rsidRPr="008760C3">
        <w:rPr>
          <w:rFonts w:eastAsia="Times New Roman"/>
          <w:iCs/>
          <w:szCs w:val="20"/>
        </w:rPr>
        <w:t xml:space="preserve"> [Registrar, Practice 12, interview</w:t>
      </w:r>
      <w:r>
        <w:rPr>
          <w:rFonts w:eastAsia="Times New Roman"/>
          <w:iCs/>
          <w:szCs w:val="20"/>
        </w:rPr>
        <w:t>, R2]</w:t>
      </w:r>
    </w:p>
    <w:p w14:paraId="0E003ECB" w14:textId="77777777" w:rsidR="001C19F3" w:rsidRPr="008760C3" w:rsidRDefault="001C19F3" w:rsidP="001C19F3">
      <w:pPr>
        <w:ind w:left="567" w:right="1088"/>
        <w:rPr>
          <w:rFonts w:eastAsia="Times New Roman"/>
          <w:iCs/>
          <w:szCs w:val="20"/>
        </w:rPr>
      </w:pPr>
      <w:r w:rsidRPr="008760C3">
        <w:rPr>
          <w:rFonts w:eastAsia="Times New Roman"/>
          <w:i/>
          <w:iCs/>
          <w:szCs w:val="20"/>
        </w:rPr>
        <w:t>“All our patients that are registered on Health Care Homes have much bigger nurse involvement even if it’s just a telephone call, they have much better follow up and much better management. Home visits I suppose has been the biggest positive out of Health Care Homes.</w:t>
      </w:r>
      <w:r w:rsidRPr="008760C3">
        <w:rPr>
          <w:rFonts w:eastAsia="Times New Roman"/>
          <w:iCs/>
          <w:szCs w:val="20"/>
        </w:rPr>
        <w:t>” [Practice nurse, Practice 13, interview</w:t>
      </w:r>
      <w:r>
        <w:rPr>
          <w:rFonts w:eastAsia="Times New Roman"/>
          <w:iCs/>
          <w:szCs w:val="20"/>
        </w:rPr>
        <w:t>, R2]</w:t>
      </w:r>
    </w:p>
    <w:p w14:paraId="3A75B09D" w14:textId="77777777" w:rsidR="001C19F3" w:rsidRPr="008760C3" w:rsidRDefault="001C19F3" w:rsidP="001C19F3">
      <w:pPr>
        <w:ind w:left="567" w:right="1088"/>
        <w:rPr>
          <w:rFonts w:eastAsia="Times New Roman"/>
          <w:iCs/>
          <w:szCs w:val="20"/>
        </w:rPr>
      </w:pPr>
      <w:r w:rsidRPr="008760C3">
        <w:rPr>
          <w:rFonts w:eastAsia="Times New Roman"/>
          <w:i/>
          <w:iCs/>
          <w:szCs w:val="20"/>
        </w:rPr>
        <w:t>“If the patients are enrolled in Healthcare Homes, they won't say, as far as, slip through the cracks I think, because we’ve got the Healthcare coordinator…We know who’s on the list and we follow them up, so to speak. So, they're called every month…so we know what’s happening with them.”</w:t>
      </w:r>
      <w:r w:rsidRPr="008760C3">
        <w:rPr>
          <w:rFonts w:eastAsia="Times New Roman"/>
          <w:iCs/>
          <w:szCs w:val="20"/>
        </w:rPr>
        <w:t xml:space="preserve"> [Practice manager, Practice 16, interview</w:t>
      </w:r>
      <w:r>
        <w:rPr>
          <w:rFonts w:eastAsia="Times New Roman"/>
          <w:iCs/>
          <w:szCs w:val="20"/>
        </w:rPr>
        <w:t>, R2]</w:t>
      </w:r>
    </w:p>
    <w:p w14:paraId="500539B8"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“Having that group session, I think it’s taken the focus off them as an individual and they’ve learnt more from each other. Now that they’ve had the experience and they’ve found it’s a positive one they want to keep coming.” </w:t>
      </w:r>
      <w:r w:rsidRPr="008760C3">
        <w:rPr>
          <w:rFonts w:eastAsia="Times New Roman"/>
          <w:iCs/>
          <w:szCs w:val="20"/>
        </w:rPr>
        <w:t>[Practice manager, Practice 18, interview</w:t>
      </w:r>
      <w:r>
        <w:rPr>
          <w:rFonts w:eastAsia="Times New Roman"/>
          <w:iCs/>
          <w:szCs w:val="20"/>
        </w:rPr>
        <w:t>, R2]</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32D89C89" w14:textId="77777777" w:rsidTr="00521305">
        <w:trPr>
          <w:trHeight w:val="287"/>
          <w:jc w:val="right"/>
        </w:trPr>
        <w:tc>
          <w:tcPr>
            <w:tcW w:w="5000" w:type="pct"/>
          </w:tcPr>
          <w:p w14:paraId="73843B01"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2411808E" w14:textId="77777777" w:rsidTr="00521305">
        <w:trPr>
          <w:jc w:val="right"/>
        </w:trPr>
        <w:tc>
          <w:tcPr>
            <w:tcW w:w="5000" w:type="pct"/>
          </w:tcPr>
          <w:p w14:paraId="3AFA0152" w14:textId="77777777" w:rsidR="001C19F3" w:rsidRPr="008760C3" w:rsidRDefault="001C19F3" w:rsidP="00521305">
            <w:pPr>
              <w:spacing w:after="0"/>
              <w:rPr>
                <w:sz w:val="18"/>
                <w:szCs w:val="18"/>
              </w:rPr>
            </w:pPr>
            <w:r w:rsidRPr="008760C3">
              <w:rPr>
                <w:sz w:val="18"/>
                <w:szCs w:val="18"/>
              </w:rPr>
              <w:t xml:space="preserve">A large rural practice that enrolled over 150 patients was initially negative about the potential of the model to take pressure off the GPs. However, a year into implementation, the practice reported seeing improvements. Patients were now speaking more with the nurses, and the alternative modes of delivery (e.g. using the phone for requests for prescriptions and referrals or other questions) were creating more time for the doctors. The nurses were also happy about broadening their scope of practice, and there was a feeling that patient care was more individualised under the HCH. The practice was still confused around the payment model and still wanted guidance on implementing the model, but overall, the practice’s view of the program changed from negative to positive. </w:t>
            </w:r>
          </w:p>
        </w:tc>
      </w:tr>
    </w:tbl>
    <w:p w14:paraId="4E7D924A" w14:textId="77777777" w:rsidR="001C19F3" w:rsidRDefault="001C19F3" w:rsidP="001C19F3">
      <w:pPr>
        <w:spacing w:after="0"/>
        <w:rPr>
          <w:rFonts w:eastAsia="Times New Roman"/>
          <w:iCs/>
          <w:szCs w:val="20"/>
        </w:rPr>
      </w:pPr>
    </w:p>
    <w:p w14:paraId="4261FE65" w14:textId="77777777" w:rsidR="001C19F3" w:rsidRPr="008760C3" w:rsidRDefault="001C19F3" w:rsidP="001C19F3">
      <w:pPr>
        <w:rPr>
          <w:rFonts w:eastAsia="Times New Roman"/>
          <w:iCs/>
          <w:szCs w:val="20"/>
        </w:rPr>
      </w:pPr>
      <w:r>
        <w:rPr>
          <w:rFonts w:eastAsia="Times New Roman"/>
          <w:iCs/>
          <w:szCs w:val="20"/>
        </w:rPr>
        <w:t xml:space="preserve">While some practices were making changes, others </w:t>
      </w:r>
      <w:r w:rsidRPr="008760C3">
        <w:rPr>
          <w:rFonts w:eastAsia="Times New Roman"/>
          <w:iCs/>
          <w:szCs w:val="20"/>
        </w:rPr>
        <w:t xml:space="preserve">stated that they already had measures </w:t>
      </w:r>
      <w:bookmarkStart w:id="289" w:name="_Hlk21339764"/>
      <w:r w:rsidRPr="008760C3">
        <w:rPr>
          <w:rFonts w:eastAsia="Times New Roman"/>
          <w:iCs/>
          <w:szCs w:val="20"/>
        </w:rPr>
        <w:t>in place for their chronic disease patients</w:t>
      </w:r>
      <w:r>
        <w:rPr>
          <w:rFonts w:eastAsia="Times New Roman"/>
          <w:iCs/>
          <w:szCs w:val="20"/>
        </w:rPr>
        <w:t xml:space="preserve">, </w:t>
      </w:r>
      <w:r w:rsidRPr="008760C3">
        <w:rPr>
          <w:rFonts w:eastAsia="Times New Roman"/>
          <w:iCs/>
          <w:szCs w:val="20"/>
        </w:rPr>
        <w:t>such as care plans, access via phone, nurse-led management, team-based care and individualised treatment – similar to the responses to the survey (</w:t>
      </w:r>
      <w:r w:rsidRPr="008760C3">
        <w:rPr>
          <w:rFonts w:eastAsia="Times New Roman"/>
          <w:iCs/>
          <w:szCs w:val="20"/>
        </w:rPr>
        <w:fldChar w:fldCharType="begin"/>
      </w:r>
      <w:r w:rsidRPr="008760C3">
        <w:rPr>
          <w:rFonts w:eastAsia="Times New Roman"/>
          <w:iCs/>
          <w:szCs w:val="20"/>
        </w:rPr>
        <w:instrText xml:space="preserve"> REF _Ref20922944 \h </w:instrText>
      </w:r>
      <w:r>
        <w:rPr>
          <w:rFonts w:eastAsia="Times New Roman"/>
          <w:iCs/>
          <w:szCs w:val="20"/>
        </w:rPr>
        <w:instrText xml:space="preserve"> \* MERGEFORMAT </w:instrText>
      </w:r>
      <w:r w:rsidRPr="008760C3">
        <w:rPr>
          <w:rFonts w:eastAsia="Times New Roman"/>
          <w:iCs/>
          <w:szCs w:val="20"/>
        </w:rPr>
      </w:r>
      <w:r w:rsidRPr="008760C3">
        <w:rPr>
          <w:rFonts w:eastAsia="Times New Roman"/>
          <w:iCs/>
          <w:szCs w:val="20"/>
        </w:rPr>
        <w:fldChar w:fldCharType="separate"/>
      </w:r>
      <w:r w:rsidRPr="00822044">
        <w:rPr>
          <w:rFonts w:eastAsia="Times New Roman"/>
          <w:iCs/>
          <w:szCs w:val="20"/>
        </w:rPr>
        <w:t>Table 46</w:t>
      </w:r>
      <w:r w:rsidRPr="008760C3">
        <w:rPr>
          <w:rFonts w:eastAsia="Times New Roman"/>
          <w:iCs/>
          <w:szCs w:val="20"/>
        </w:rPr>
        <w:fldChar w:fldCharType="end"/>
      </w:r>
      <w:r w:rsidRPr="008760C3">
        <w:rPr>
          <w:rFonts w:eastAsia="Times New Roman"/>
          <w:iCs/>
          <w:szCs w:val="20"/>
        </w:rPr>
        <w:t>). Therefore, they did not intend to change the way that they practiced</w:t>
      </w:r>
      <w:bookmarkEnd w:id="289"/>
      <w:r w:rsidRPr="008760C3">
        <w:rPr>
          <w:rFonts w:eastAsia="Times New Roman"/>
          <w:iCs/>
          <w:szCs w:val="20"/>
        </w:rPr>
        <w:t>:</w:t>
      </w:r>
    </w:p>
    <w:p w14:paraId="4469368B" w14:textId="77777777" w:rsidR="001C19F3" w:rsidRPr="008760C3" w:rsidRDefault="001C19F3" w:rsidP="001C19F3">
      <w:pPr>
        <w:ind w:left="567" w:right="1088"/>
        <w:rPr>
          <w:rFonts w:eastAsia="Times New Roman"/>
          <w:i/>
          <w:iCs/>
          <w:szCs w:val="20"/>
        </w:rPr>
      </w:pPr>
      <w:r w:rsidRPr="008760C3">
        <w:rPr>
          <w:rFonts w:eastAsia="Times New Roman"/>
          <w:i/>
          <w:iCs/>
          <w:szCs w:val="20"/>
        </w:rPr>
        <w:t>“We spent a lot of time supporting our patients in extra ways, on the phone and so forth anyway. It’s not that different that’s just because of the way we did it anyway….I think they found some benefit, but a lot of patients probably haven’t noticed any difference because we’re doing the stuff already.”</w:t>
      </w:r>
      <w:r w:rsidRPr="008760C3">
        <w:rPr>
          <w:rFonts w:eastAsia="Times New Roman"/>
          <w:iCs/>
          <w:szCs w:val="20"/>
        </w:rPr>
        <w:t xml:space="preserve"> [Practice manager, Practice 18, interview</w:t>
      </w:r>
      <w:r>
        <w:rPr>
          <w:rFonts w:eastAsia="Times New Roman"/>
          <w:iCs/>
          <w:szCs w:val="20"/>
        </w:rPr>
        <w:t>, R2]</w:t>
      </w:r>
    </w:p>
    <w:bookmarkStart w:id="290" w:name="_Hlk21339857"/>
    <w:p w14:paraId="135E41C6" w14:textId="77777777" w:rsidR="001C19F3" w:rsidRPr="008760C3" w:rsidRDefault="001C19F3" w:rsidP="001C19F3">
      <w:pPr>
        <w:ind w:right="1088"/>
        <w:rPr>
          <w:rFonts w:eastAsia="Times New Roman"/>
          <w:szCs w:val="20"/>
        </w:rPr>
      </w:pPr>
      <w:r w:rsidRPr="008760C3">
        <w:rPr>
          <w:rFonts w:eastAsiaTheme="minorHAnsi" w:cstheme="minorBidi"/>
          <w:noProof/>
          <w:lang w:eastAsia="en-AU"/>
        </w:rPr>
        <w:lastRenderedPageBreak/>
        <mc:AlternateContent>
          <mc:Choice Requires="wps">
            <w:drawing>
              <wp:anchor distT="91440" distB="91440" distL="114300" distR="114300" simplePos="0" relativeHeight="251677696" behindDoc="0" locked="0" layoutInCell="1" allowOverlap="1" wp14:anchorId="0C59BA47" wp14:editId="694BEA77">
                <wp:simplePos x="0" y="0"/>
                <wp:positionH relativeFrom="margin">
                  <wp:posOffset>0</wp:posOffset>
                </wp:positionH>
                <wp:positionV relativeFrom="paragraph">
                  <wp:posOffset>46990</wp:posOffset>
                </wp:positionV>
                <wp:extent cx="2066925" cy="647700"/>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47700"/>
                        </a:xfrm>
                        <a:prstGeom prst="rect">
                          <a:avLst/>
                        </a:prstGeom>
                        <a:noFill/>
                        <a:ln w="9525">
                          <a:noFill/>
                          <a:miter lim="800000"/>
                          <a:headEnd/>
                          <a:tailEnd/>
                        </a:ln>
                      </wps:spPr>
                      <wps:txbx>
                        <w:txbxContent>
                          <w:p w14:paraId="1CC73BE8" w14:textId="77777777" w:rsidR="00521305" w:rsidRPr="003D0B02" w:rsidRDefault="00521305" w:rsidP="001C19F3">
                            <w:pPr>
                              <w:rPr>
                                <w:i/>
                                <w:iCs/>
                                <w:color w:val="003D79"/>
                                <w:sz w:val="18"/>
                                <w:szCs w:val="18"/>
                              </w:rPr>
                            </w:pPr>
                            <w:r>
                              <w:rPr>
                                <w:iCs/>
                                <w:color w:val="003D79"/>
                                <w:szCs w:val="20"/>
                              </w:rPr>
                              <w:t>“</w:t>
                            </w:r>
                            <w:r w:rsidRPr="003D0B02">
                              <w:rPr>
                                <w:i/>
                                <w:iCs/>
                                <w:color w:val="003D79"/>
                                <w:sz w:val="18"/>
                                <w:szCs w:val="18"/>
                              </w:rPr>
                              <w:t>It's actually more that it enables us to do what we were doing</w:t>
                            </w:r>
                            <w:r w:rsidRPr="003D0B02">
                              <w:rPr>
                                <w:iCs/>
                                <w:color w:val="003D79"/>
                                <w:sz w:val="18"/>
                                <w:szCs w:val="18"/>
                              </w:rPr>
                              <w:t>.” [GP, Practice 11</w:t>
                            </w:r>
                            <w:r>
                              <w:rPr>
                                <w:iCs/>
                                <w:color w:val="003D79"/>
                                <w:sz w:val="18"/>
                                <w:szCs w:val="18"/>
                              </w:rPr>
                              <w:t>, interview, R2</w:t>
                            </w:r>
                            <w:r w:rsidRPr="003D0B02">
                              <w:rPr>
                                <w:iCs/>
                                <w:color w:val="003D7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9BA47" id="Text Box 70" o:spid="_x0000_s1041" type="#_x0000_t202" style="position:absolute;margin-left:0;margin-top:3.7pt;width:162.75pt;height:51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" filled="f" stroked="f">
                <v:textbox>
                  <w:txbxContent>
                    <w:p w14:paraId="1CC73BE8" w14:textId="77777777" w:rsidR="00521305" w:rsidRPr="003D0B02" w:rsidRDefault="00521305" w:rsidP="001C19F3">
                      <w:pPr>
                        <w:rPr>
                          <w:i/>
                          <w:iCs/>
                          <w:color w:val="003D79"/>
                          <w:sz w:val="18"/>
                          <w:szCs w:val="18"/>
                        </w:rPr>
                      </w:pPr>
                      <w:r>
                        <w:rPr>
                          <w:iCs/>
                          <w:color w:val="003D79"/>
                          <w:szCs w:val="20"/>
                        </w:rPr>
                        <w:t>“</w:t>
                      </w:r>
                      <w:r w:rsidRPr="003D0B02">
                        <w:rPr>
                          <w:i/>
                          <w:iCs/>
                          <w:color w:val="003D79"/>
                          <w:sz w:val="18"/>
                          <w:szCs w:val="18"/>
                        </w:rPr>
                        <w:t>It's actually more that it enables us to do what we were doing</w:t>
                      </w:r>
                      <w:r w:rsidRPr="003D0B02">
                        <w:rPr>
                          <w:iCs/>
                          <w:color w:val="003D79"/>
                          <w:sz w:val="18"/>
                          <w:szCs w:val="18"/>
                        </w:rPr>
                        <w:t>.” [GP, Practice 11</w:t>
                      </w:r>
                      <w:r>
                        <w:rPr>
                          <w:iCs/>
                          <w:color w:val="003D79"/>
                          <w:sz w:val="18"/>
                          <w:szCs w:val="18"/>
                        </w:rPr>
                        <w:t>, interview, R2</w:t>
                      </w:r>
                      <w:r w:rsidRPr="003D0B02">
                        <w:rPr>
                          <w:iCs/>
                          <w:color w:val="003D79"/>
                          <w:sz w:val="18"/>
                          <w:szCs w:val="18"/>
                        </w:rPr>
                        <w:t>]</w:t>
                      </w:r>
                    </w:p>
                  </w:txbxContent>
                </v:textbox>
                <w10:wrap type="square" anchorx="margin"/>
              </v:shape>
            </w:pict>
          </mc:Fallback>
        </mc:AlternateContent>
      </w:r>
      <w:r>
        <w:rPr>
          <w:rFonts w:eastAsia="Times New Roman"/>
          <w:iCs/>
          <w:szCs w:val="20"/>
        </w:rPr>
        <w:t>In some instances</w:t>
      </w:r>
      <w:r w:rsidRPr="008760C3">
        <w:rPr>
          <w:rFonts w:eastAsia="Times New Roman"/>
          <w:iCs/>
          <w:szCs w:val="20"/>
        </w:rPr>
        <w:t xml:space="preserve"> practices commented that the HCH model was providing financial support for the quality of care they were already delivering</w:t>
      </w:r>
      <w:r>
        <w:rPr>
          <w:rFonts w:eastAsia="Times New Roman"/>
          <w:iCs/>
          <w:szCs w:val="20"/>
        </w:rPr>
        <w:t>:</w:t>
      </w:r>
    </w:p>
    <w:p w14:paraId="220E0327" w14:textId="77777777" w:rsidR="001C19F3" w:rsidRPr="008760C3" w:rsidRDefault="001C19F3" w:rsidP="001C19F3">
      <w:pPr>
        <w:ind w:left="567" w:right="1088"/>
        <w:rPr>
          <w:rFonts w:eastAsia="Times New Roman"/>
          <w:szCs w:val="20"/>
        </w:rPr>
      </w:pPr>
      <w:r w:rsidRPr="008760C3">
        <w:rPr>
          <w:rFonts w:eastAsia="Times New Roman"/>
          <w:i/>
          <w:iCs/>
          <w:szCs w:val="20"/>
        </w:rPr>
        <w:t>“…so it’s just managing the chronic disease management better I think…</w:t>
      </w:r>
      <w:r w:rsidRPr="008760C3">
        <w:rPr>
          <w:rFonts w:eastAsia="Times New Roman"/>
          <w:i/>
          <w:szCs w:val="20"/>
        </w:rPr>
        <w:t>.that’s what we do. That isn’t new for us. We’ve been doing that mostly. The only difference is, now it’s formalised, and now the pay structure relates to it, but that whole community involvement thing has been happening here since I ever came, because of the nature of the practice.”</w:t>
      </w:r>
      <w:r w:rsidRPr="008760C3">
        <w:rPr>
          <w:rFonts w:eastAsia="Times New Roman"/>
          <w:szCs w:val="20"/>
        </w:rPr>
        <w:t xml:space="preserve"> [Practice nurse, Practice 4, interview</w:t>
      </w:r>
      <w:r>
        <w:rPr>
          <w:rFonts w:eastAsia="Times New Roman"/>
          <w:szCs w:val="20"/>
        </w:rPr>
        <w:t>, R2]</w:t>
      </w:r>
    </w:p>
    <w:p w14:paraId="0E9BA7D1" w14:textId="77777777" w:rsidR="001C19F3" w:rsidRPr="008760C3" w:rsidRDefault="001C19F3" w:rsidP="001C19F3">
      <w:pPr>
        <w:ind w:left="567" w:right="1088"/>
        <w:rPr>
          <w:rFonts w:eastAsia="Times New Roman"/>
          <w:szCs w:val="20"/>
        </w:rPr>
      </w:pPr>
      <w:r w:rsidRPr="008760C3">
        <w:rPr>
          <w:rFonts w:eastAsia="Times New Roman"/>
          <w:i/>
          <w:szCs w:val="20"/>
        </w:rPr>
        <w:t>“…it hasn't really changed a real lot as far as that's concerned and patients still feel it’s very similar because they still come in, have a care plan, they still get their Allied health visits. They still get asked to come in for review. They still get their blood tests done and all that sort of thing, which is already...Was happening before in the background as well, so it hasn't changed the normal approach to general chronic disease management, in that respect. It’s changed how the doctors get paid for it, obviously…”</w:t>
      </w:r>
      <w:r w:rsidRPr="008760C3">
        <w:rPr>
          <w:rFonts w:eastAsia="Times New Roman"/>
          <w:szCs w:val="20"/>
        </w:rPr>
        <w:t xml:space="preserve"> [Practice manager, Practice 16, interview</w:t>
      </w:r>
      <w:r>
        <w:rPr>
          <w:rFonts w:eastAsia="Times New Roman"/>
          <w:szCs w:val="20"/>
        </w:rPr>
        <w:t>, R2]</w:t>
      </w:r>
    </w:p>
    <w:p w14:paraId="0481BCB2" w14:textId="77777777" w:rsidR="001C19F3" w:rsidRPr="008760C3" w:rsidRDefault="001C19F3" w:rsidP="001C19F3">
      <w:pPr>
        <w:rPr>
          <w:rFonts w:eastAsiaTheme="minorHAnsi" w:cstheme="minorBidi"/>
        </w:rPr>
      </w:pPr>
      <w:r w:rsidRPr="008760C3">
        <w:t xml:space="preserve">PHN practice facilitators </w:t>
      </w:r>
      <w:r>
        <w:t xml:space="preserve">also </w:t>
      </w:r>
      <w:r w:rsidRPr="008760C3">
        <w:t xml:space="preserve">commented that some practices already thought that they were operating as </w:t>
      </w:r>
      <w:r>
        <w:t>an HCH</w:t>
      </w:r>
      <w:r w:rsidRPr="008760C3">
        <w:t xml:space="preserve">. In some cases, facilitators agreed that the practice had indeed implemented many of the key features of the model. However, facilitators </w:t>
      </w:r>
      <w:r>
        <w:t>also felt that</w:t>
      </w:r>
      <w:r w:rsidRPr="008760C3">
        <w:t xml:space="preserve"> </w:t>
      </w:r>
      <w:r>
        <w:t xml:space="preserve">some </w:t>
      </w:r>
      <w:r w:rsidRPr="008760C3">
        <w:t>practices had a limited understanding of HCH</w:t>
      </w:r>
      <w:bookmarkEnd w:id="290"/>
      <w:r w:rsidRPr="008760C3">
        <w:t>. One facilitator commented on an interaction with a practice that had scored itself highly on the HCH-A tool:</w:t>
      </w:r>
    </w:p>
    <w:p w14:paraId="00309BE2" w14:textId="77777777" w:rsidR="001C19F3" w:rsidRPr="008760C3" w:rsidRDefault="001C19F3" w:rsidP="001C19F3">
      <w:pPr>
        <w:ind w:left="567" w:right="1088"/>
      </w:pPr>
      <w:r w:rsidRPr="008760C3">
        <w:rPr>
          <w:i/>
        </w:rPr>
        <w:t xml:space="preserve"> “… they already have a mindset, well my nurses are already managing chronic disease </w:t>
      </w:r>
      <w:r w:rsidRPr="008760C3">
        <w:t>[but]</w:t>
      </w:r>
      <w:r w:rsidRPr="008760C3">
        <w:rPr>
          <w:i/>
        </w:rPr>
        <w:t xml:space="preserve"> they’re just faxing off the TCAs </w:t>
      </w:r>
      <w:r w:rsidRPr="008760C3">
        <w:t>[team care arrangements]</w:t>
      </w:r>
      <w:r w:rsidRPr="008760C3">
        <w:rPr>
          <w:i/>
        </w:rPr>
        <w:t xml:space="preserve"> and waiting for the letter of engagement to come back. Where’s the health coaching…they have an idea that they’re already doing these things, but actually when you get to the nitty gritty, they are not.</w:t>
      </w:r>
      <w:r>
        <w:rPr>
          <w:i/>
        </w:rPr>
        <w:t xml:space="preserve"> </w:t>
      </w:r>
      <w:r w:rsidRPr="008760C3">
        <w:rPr>
          <w:i/>
        </w:rPr>
        <w:t>… they don’t know what they don’t know. Because they don’t know what they don’t know, they don’t know what they need to know. They already think they are providing the best care they can. They don’t realise there is any other way of providing care.”</w:t>
      </w:r>
      <w:r w:rsidRPr="008760C3">
        <w:t xml:space="preserve"> [PHN 9, interview</w:t>
      </w:r>
      <w:r>
        <w:t>, R1]</w:t>
      </w:r>
    </w:p>
    <w:p w14:paraId="63D8EED0" w14:textId="77777777" w:rsidR="001C19F3" w:rsidRPr="008760C3" w:rsidRDefault="001C19F3" w:rsidP="001C19F3">
      <w:r w:rsidRPr="008760C3">
        <w:rPr>
          <w:noProof/>
          <w:lang w:eastAsia="en-AU"/>
        </w:rPr>
        <mc:AlternateContent>
          <mc:Choice Requires="wps">
            <w:drawing>
              <wp:anchor distT="91440" distB="91440" distL="114300" distR="114300" simplePos="0" relativeHeight="251670528" behindDoc="0" locked="0" layoutInCell="1" allowOverlap="1" wp14:anchorId="206ECBAC" wp14:editId="5588434D">
                <wp:simplePos x="0" y="0"/>
                <wp:positionH relativeFrom="page">
                  <wp:posOffset>4838700</wp:posOffset>
                </wp:positionH>
                <wp:positionV relativeFrom="paragraph">
                  <wp:posOffset>99695</wp:posOffset>
                </wp:positionV>
                <wp:extent cx="1685925" cy="44767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47675"/>
                        </a:xfrm>
                        <a:prstGeom prst="rect">
                          <a:avLst/>
                        </a:prstGeom>
                        <a:noFill/>
                        <a:ln w="9525">
                          <a:noFill/>
                          <a:miter lim="800000"/>
                          <a:headEnd/>
                          <a:tailEnd/>
                        </a:ln>
                      </wps:spPr>
                      <wps:txbx>
                        <w:txbxContent>
                          <w:p w14:paraId="3AC3B583" w14:textId="77777777" w:rsidR="00521305" w:rsidRDefault="00521305" w:rsidP="001C19F3">
                            <w:pPr>
                              <w:spacing w:after="0"/>
                              <w:jc w:val="center"/>
                              <w:rPr>
                                <w:i/>
                                <w:iCs/>
                                <w:color w:val="003D79"/>
                                <w:sz w:val="18"/>
                                <w:szCs w:val="18"/>
                              </w:rPr>
                            </w:pPr>
                            <w:r>
                              <w:rPr>
                                <w:i/>
                                <w:iCs/>
                                <w:color w:val="003D79"/>
                                <w:sz w:val="18"/>
                                <w:szCs w:val="18"/>
                              </w:rPr>
                              <w:t xml:space="preserve">“We’re perfect, perfect” </w:t>
                            </w:r>
                            <w:r w:rsidRPr="009B75E1">
                              <w:rPr>
                                <w:iCs/>
                                <w:color w:val="003D79"/>
                                <w:sz w:val="18"/>
                                <w:szCs w:val="18"/>
                              </w:rPr>
                              <w:t>[PHN 5,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CBAC" id="Text Box 71" o:spid="_x0000_s1042" type="#_x0000_t202" style="position:absolute;margin-left:381pt;margin-top:7.85pt;width:132.75pt;height:35.25pt;z-index:2516705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" filled="f" stroked="f">
                <v:textbox>
                  <w:txbxContent>
                    <w:p w14:paraId="3AC3B583" w14:textId="77777777" w:rsidR="00521305" w:rsidRDefault="00521305" w:rsidP="001C19F3">
                      <w:pPr>
                        <w:spacing w:after="0"/>
                        <w:jc w:val="center"/>
                        <w:rPr>
                          <w:i/>
                          <w:iCs/>
                          <w:color w:val="003D79"/>
                          <w:sz w:val="18"/>
                          <w:szCs w:val="18"/>
                        </w:rPr>
                      </w:pPr>
                      <w:r>
                        <w:rPr>
                          <w:i/>
                          <w:iCs/>
                          <w:color w:val="003D79"/>
                          <w:sz w:val="18"/>
                          <w:szCs w:val="18"/>
                        </w:rPr>
                        <w:t xml:space="preserve">“We’re perfect, perfect” </w:t>
                      </w:r>
                      <w:r w:rsidRPr="009B75E1">
                        <w:rPr>
                          <w:iCs/>
                          <w:color w:val="003D79"/>
                          <w:sz w:val="18"/>
                          <w:szCs w:val="18"/>
                        </w:rPr>
                        <w:t>[PHN 5, interview, R1]</w:t>
                      </w:r>
                    </w:p>
                  </w:txbxContent>
                </v:textbox>
                <w10:wrap type="square" anchorx="page"/>
              </v:shape>
            </w:pict>
          </mc:Fallback>
        </mc:AlternateContent>
      </w:r>
      <w:r w:rsidRPr="008760C3">
        <w:rPr>
          <w:noProof/>
        </w:rPr>
        <w:t>PHN practice faciliators also thought that sometimes</w:t>
      </w:r>
      <w:r w:rsidRPr="008760C3">
        <w:t xml:space="preserve"> practices couldn’t distinguish the HCH model from quality service delivery as articulated in standards against which they are accredited:</w:t>
      </w:r>
    </w:p>
    <w:p w14:paraId="144E86DF" w14:textId="77777777" w:rsidR="001C19F3" w:rsidRPr="008760C3" w:rsidRDefault="001C19F3" w:rsidP="001C19F3">
      <w:pPr>
        <w:ind w:left="567" w:right="1088"/>
      </w:pPr>
      <w:r w:rsidRPr="008760C3">
        <w:t>“…</w:t>
      </w:r>
      <w:r w:rsidRPr="00E816CC">
        <w:rPr>
          <w:i/>
        </w:rPr>
        <w:t>they were just saying</w:t>
      </w:r>
      <w:r w:rsidRPr="008760C3">
        <w:t xml:space="preserve"> ‘W</w:t>
      </w:r>
      <w:r w:rsidRPr="008760C3">
        <w:rPr>
          <w:i/>
        </w:rPr>
        <w:t>e’ve got accreditation and they didn’t have anything to say to us about how much we could improve’</w:t>
      </w:r>
      <w:r w:rsidRPr="008760C3">
        <w:t>...” [PHN 5, interview</w:t>
      </w:r>
      <w:r>
        <w:t>, R1]</w:t>
      </w:r>
      <w:r w:rsidRPr="008760C3">
        <w:t xml:space="preserve"> </w:t>
      </w:r>
    </w:p>
    <w:p w14:paraId="2398CAB1" w14:textId="77777777" w:rsidR="001C19F3" w:rsidRDefault="001C19F3" w:rsidP="001C19F3">
      <w:pPr>
        <w:rPr>
          <w:rFonts w:eastAsia="Times New Roman"/>
          <w:iCs/>
          <w:szCs w:val="20"/>
        </w:rPr>
      </w:pPr>
      <w:bookmarkStart w:id="291" w:name="_Hlk21340185"/>
      <w:r>
        <w:rPr>
          <w:rFonts w:eastAsia="Times New Roman"/>
          <w:iCs/>
          <w:szCs w:val="20"/>
        </w:rPr>
        <w:t xml:space="preserve">Some practices had not made any changes as they </w:t>
      </w:r>
      <w:r w:rsidRPr="00B74143">
        <w:rPr>
          <w:rFonts w:eastAsia="Times New Roman"/>
          <w:iCs/>
          <w:szCs w:val="20"/>
        </w:rPr>
        <w:t xml:space="preserve">were in the early stages of implementing the model, </w:t>
      </w:r>
      <w:r>
        <w:rPr>
          <w:rFonts w:eastAsia="Times New Roman"/>
          <w:iCs/>
          <w:szCs w:val="20"/>
        </w:rPr>
        <w:t>and</w:t>
      </w:r>
      <w:r w:rsidRPr="00B74143">
        <w:rPr>
          <w:rFonts w:eastAsia="Times New Roman"/>
          <w:iCs/>
          <w:szCs w:val="20"/>
        </w:rPr>
        <w:t xml:space="preserve"> were still planning what they </w:t>
      </w:r>
      <w:r>
        <w:rPr>
          <w:rFonts w:eastAsia="Times New Roman"/>
          <w:iCs/>
          <w:szCs w:val="20"/>
        </w:rPr>
        <w:t>would</w:t>
      </w:r>
      <w:r w:rsidRPr="00B74143">
        <w:rPr>
          <w:rFonts w:eastAsia="Times New Roman"/>
          <w:iCs/>
          <w:szCs w:val="20"/>
        </w:rPr>
        <w:t xml:space="preserve"> do</w:t>
      </w:r>
      <w:r>
        <w:rPr>
          <w:rFonts w:eastAsia="Times New Roman"/>
          <w:iCs/>
          <w:szCs w:val="20"/>
        </w:rPr>
        <w:t>:</w:t>
      </w:r>
    </w:p>
    <w:p w14:paraId="37A4AC30" w14:textId="77777777" w:rsidR="001C19F3" w:rsidRDefault="001C19F3" w:rsidP="001C19F3">
      <w:pPr>
        <w:ind w:left="567" w:right="1088"/>
        <w:rPr>
          <w:rFonts w:eastAsia="Times New Roman"/>
          <w:iCs/>
          <w:szCs w:val="20"/>
        </w:rPr>
      </w:pPr>
      <w:r w:rsidRPr="008760C3">
        <w:rPr>
          <w:rFonts w:eastAsia="Times New Roman"/>
          <w:i/>
          <w:iCs/>
          <w:szCs w:val="20"/>
        </w:rPr>
        <w:t xml:space="preserve"> “At the moment, we haven’t made any major changes, but…</w:t>
      </w:r>
      <w:r w:rsidRPr="008760C3">
        <w:t xml:space="preserve"> </w:t>
      </w:r>
      <w:r w:rsidRPr="008760C3">
        <w:rPr>
          <w:rFonts w:eastAsia="Times New Roman"/>
          <w:i/>
          <w:iCs/>
          <w:szCs w:val="20"/>
        </w:rPr>
        <w:t xml:space="preserve">in the last couple of weeks where we’ve formalised how we wanted to go ahead and </w:t>
      </w:r>
      <w:r w:rsidRPr="008760C3">
        <w:rPr>
          <w:rFonts w:eastAsia="Times New Roman"/>
          <w:i/>
          <w:iCs/>
          <w:szCs w:val="20"/>
        </w:rPr>
        <w:lastRenderedPageBreak/>
        <w:t xml:space="preserve">move ahead in that direction.” </w:t>
      </w:r>
      <w:r w:rsidRPr="008760C3">
        <w:rPr>
          <w:rFonts w:eastAsia="Times New Roman"/>
          <w:iCs/>
          <w:szCs w:val="20"/>
        </w:rPr>
        <w:t>[Practice manager &amp; GP, Practice 15, interview</w:t>
      </w:r>
      <w:r>
        <w:rPr>
          <w:rFonts w:eastAsia="Times New Roman"/>
          <w:iCs/>
          <w:szCs w:val="20"/>
        </w:rPr>
        <w:t>, R2]</w:t>
      </w:r>
    </w:p>
    <w:p w14:paraId="436E76A4" w14:textId="77777777" w:rsidR="001C19F3" w:rsidRDefault="001C19F3" w:rsidP="001C19F3">
      <w:pPr>
        <w:ind w:left="567" w:right="1088"/>
        <w:rPr>
          <w:rFonts w:eastAsia="Times New Roman"/>
          <w:iCs/>
          <w:szCs w:val="20"/>
        </w:rPr>
      </w:pPr>
      <w:r w:rsidRPr="008760C3">
        <w:rPr>
          <w:rFonts w:eastAsia="Times New Roman"/>
          <w:i/>
          <w:iCs/>
          <w:szCs w:val="20"/>
        </w:rPr>
        <w:t xml:space="preserve">“…a lot's got to be implemented to tick all those Health Care Homes boxes. So that, I think </w:t>
      </w:r>
      <w:r>
        <w:rPr>
          <w:rFonts w:eastAsia="Times New Roman"/>
          <w:iCs/>
          <w:szCs w:val="20"/>
        </w:rPr>
        <w:t>[patients]</w:t>
      </w:r>
      <w:r w:rsidRPr="008760C3">
        <w:rPr>
          <w:rFonts w:eastAsia="Times New Roman"/>
          <w:i/>
          <w:iCs/>
          <w:szCs w:val="20"/>
        </w:rPr>
        <w:t xml:space="preserve"> are missing out on that part of Health Care Homes and probably haven't really noticed any difference, because we haven't got that </w:t>
      </w:r>
      <w:r>
        <w:rPr>
          <w:rFonts w:eastAsia="Times New Roman"/>
          <w:i/>
          <w:iCs/>
          <w:szCs w:val="20"/>
        </w:rPr>
        <w:t>set-up</w:t>
      </w:r>
      <w:r w:rsidRPr="008760C3">
        <w:rPr>
          <w:rFonts w:eastAsia="Times New Roman"/>
          <w:i/>
          <w:iCs/>
          <w:szCs w:val="20"/>
        </w:rPr>
        <w:t xml:space="preserve"> yet</w:t>
      </w:r>
      <w:r w:rsidRPr="008760C3">
        <w:rPr>
          <w:rFonts w:eastAsia="Times New Roman"/>
          <w:iCs/>
          <w:szCs w:val="20"/>
        </w:rPr>
        <w:t>.” [Practice nurse, Practice 10, interview</w:t>
      </w:r>
      <w:r>
        <w:rPr>
          <w:rFonts w:eastAsia="Times New Roman"/>
          <w:iCs/>
          <w:szCs w:val="20"/>
        </w:rPr>
        <w:t>, R2]</w:t>
      </w:r>
    </w:p>
    <w:p w14:paraId="7FCA5D2C" w14:textId="77777777" w:rsidR="001C19F3" w:rsidRPr="008760C3" w:rsidRDefault="001C19F3" w:rsidP="001C19F3">
      <w:pPr>
        <w:rPr>
          <w:rFonts w:eastAsia="Times New Roman"/>
          <w:iCs/>
          <w:szCs w:val="20"/>
        </w:rPr>
      </w:pPr>
      <w:bookmarkStart w:id="292" w:name="_Hlk21341948"/>
      <w:r>
        <w:rPr>
          <w:rFonts w:eastAsia="Times New Roman"/>
          <w:iCs/>
          <w:szCs w:val="20"/>
        </w:rPr>
        <w:t>L</w:t>
      </w:r>
      <w:r w:rsidRPr="008760C3">
        <w:rPr>
          <w:rFonts w:eastAsia="Times New Roman"/>
          <w:iCs/>
          <w:szCs w:val="20"/>
        </w:rPr>
        <w:t>ow enrolments</w:t>
      </w:r>
      <w:bookmarkEnd w:id="291"/>
      <w:r>
        <w:rPr>
          <w:rFonts w:eastAsia="Times New Roman"/>
          <w:iCs/>
          <w:szCs w:val="20"/>
        </w:rPr>
        <w:t xml:space="preserve"> also affected some practices’ ability to make any significant changes</w:t>
      </w:r>
      <w:bookmarkEnd w:id="292"/>
      <w:r w:rsidRPr="008760C3">
        <w:rPr>
          <w:rFonts w:eastAsia="Times New Roman"/>
          <w:iCs/>
          <w:szCs w:val="20"/>
        </w:rPr>
        <w:t>:</w:t>
      </w:r>
    </w:p>
    <w:p w14:paraId="11655AE5"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can’t say that I see a lot of difference in what we’re doing. I don’t see that the patients are getting a lot of different care with the two different models so far. </w:t>
      </w:r>
      <w:bookmarkStart w:id="293" w:name="_Hlk8917513"/>
      <w:r w:rsidRPr="008760C3">
        <w:rPr>
          <w:rFonts w:cs="Arial"/>
          <w:i/>
          <w:szCs w:val="20"/>
          <w:lang w:val="en-GB"/>
        </w:rPr>
        <w:t>We’ve only got a handful of people on it.</w:t>
      </w:r>
      <w:bookmarkEnd w:id="293"/>
      <w:r w:rsidRPr="008760C3">
        <w:rPr>
          <w:rFonts w:eastAsia="Times New Roman"/>
          <w:i/>
          <w:iCs/>
          <w:szCs w:val="20"/>
        </w:rPr>
        <w:t xml:space="preserve">” </w:t>
      </w:r>
      <w:r w:rsidRPr="008760C3">
        <w:rPr>
          <w:rFonts w:eastAsia="Times New Roman"/>
          <w:iCs/>
          <w:szCs w:val="20"/>
        </w:rPr>
        <w:t>[Practice nurse, Practice 7, interview</w:t>
      </w:r>
      <w:r>
        <w:rPr>
          <w:rFonts w:eastAsia="Times New Roman"/>
          <w:iCs/>
          <w:szCs w:val="20"/>
        </w:rPr>
        <w:t>, R2]</w:t>
      </w:r>
    </w:p>
    <w:p w14:paraId="785CCB0B" w14:textId="77777777" w:rsidR="001C19F3" w:rsidRDefault="001C19F3" w:rsidP="001C19F3">
      <w:pPr>
        <w:ind w:left="567" w:right="1088"/>
        <w:rPr>
          <w:rFonts w:eastAsia="Times New Roman"/>
          <w:iCs/>
          <w:szCs w:val="20"/>
        </w:rPr>
      </w:pPr>
      <w:r w:rsidRPr="008760C3">
        <w:rPr>
          <w:rFonts w:eastAsia="Times New Roman"/>
          <w:i/>
          <w:iCs/>
          <w:szCs w:val="20"/>
        </w:rPr>
        <w:t>“The impact</w:t>
      </w:r>
      <w:r>
        <w:rPr>
          <w:rFonts w:eastAsia="Times New Roman"/>
          <w:i/>
          <w:iCs/>
          <w:szCs w:val="20"/>
        </w:rPr>
        <w:t>?</w:t>
      </w:r>
      <w:r w:rsidRPr="008760C3">
        <w:rPr>
          <w:rFonts w:eastAsia="Times New Roman"/>
          <w:i/>
          <w:iCs/>
          <w:szCs w:val="20"/>
        </w:rPr>
        <w:t xml:space="preserve"> </w:t>
      </w:r>
      <w:r>
        <w:rPr>
          <w:rFonts w:eastAsia="Times New Roman"/>
          <w:i/>
          <w:iCs/>
          <w:szCs w:val="20"/>
        </w:rPr>
        <w:t>T</w:t>
      </w:r>
      <w:r w:rsidRPr="008760C3">
        <w:rPr>
          <w:rFonts w:eastAsia="Times New Roman"/>
          <w:i/>
          <w:iCs/>
          <w:szCs w:val="20"/>
        </w:rPr>
        <w:t>here are not enough patients to even tell you whether there will be an impact or not.”</w:t>
      </w:r>
      <w:r w:rsidRPr="008760C3">
        <w:rPr>
          <w:rFonts w:eastAsia="Times New Roman"/>
          <w:iCs/>
          <w:szCs w:val="20"/>
        </w:rPr>
        <w:t xml:space="preserve"> [Practice manager, Practice 1, interview</w:t>
      </w:r>
      <w:r>
        <w:rPr>
          <w:rFonts w:eastAsia="Times New Roman"/>
          <w:iCs/>
          <w:szCs w:val="20"/>
        </w:rPr>
        <w:t>, R2]</w:t>
      </w:r>
      <w:r w:rsidRPr="008760C3">
        <w:rPr>
          <w:rFonts w:eastAsia="Times New Roman"/>
          <w:iCs/>
          <w:szCs w:val="20"/>
        </w:rPr>
        <w:t xml:space="preserve"> </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14E1BA8C" w14:textId="77777777" w:rsidTr="00521305">
        <w:trPr>
          <w:trHeight w:val="287"/>
          <w:jc w:val="right"/>
        </w:trPr>
        <w:tc>
          <w:tcPr>
            <w:tcW w:w="5000" w:type="pct"/>
          </w:tcPr>
          <w:p w14:paraId="1AE66C9E"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4BD5E573" w14:textId="77777777" w:rsidTr="00521305">
        <w:trPr>
          <w:jc w:val="right"/>
        </w:trPr>
        <w:tc>
          <w:tcPr>
            <w:tcW w:w="5000" w:type="pct"/>
          </w:tcPr>
          <w:p w14:paraId="32BE5BD6" w14:textId="77777777" w:rsidR="001C19F3" w:rsidRPr="008760C3" w:rsidRDefault="001C19F3" w:rsidP="00521305">
            <w:pPr>
              <w:spacing w:after="0"/>
              <w:rPr>
                <w:sz w:val="18"/>
                <w:szCs w:val="18"/>
              </w:rPr>
            </w:pPr>
            <w:r w:rsidRPr="008760C3">
              <w:rPr>
                <w:sz w:val="18"/>
                <w:szCs w:val="18"/>
              </w:rPr>
              <w:t xml:space="preserve">At the time of the interview, a medium-sized practice located outside of a metropolitan area was just beginning to enrol patients and had eight patients enrolled. Although at the beginning of its HCH journey, practice staff had a lot of ideas about what the practice could potentially offer to patients to help them better manage their chronic diseases. One of the nurses hoped to introduce coaching, education sessions, and regular check-in calls. The practice manager and GP also mentioned implementing regular monitoring calls and creating priority access for HCH patients. </w:t>
            </w:r>
          </w:p>
        </w:tc>
      </w:tr>
    </w:tbl>
    <w:p w14:paraId="67D05C45" w14:textId="77777777" w:rsidR="001C19F3" w:rsidRPr="008760C3" w:rsidRDefault="001C19F3" w:rsidP="001C19F3">
      <w:pPr>
        <w:spacing w:after="0"/>
        <w:rPr>
          <w:rFonts w:eastAsia="Times New Roman"/>
          <w:iCs/>
          <w:szCs w:val="20"/>
        </w:rPr>
      </w:pPr>
    </w:p>
    <w:p w14:paraId="3F70A7B2" w14:textId="77777777" w:rsidR="001C19F3" w:rsidRPr="008760C3" w:rsidRDefault="001C19F3" w:rsidP="001C19F3">
      <w:pPr>
        <w:rPr>
          <w:rFonts w:eastAsia="Times New Roman"/>
          <w:iCs/>
          <w:szCs w:val="20"/>
        </w:rPr>
      </w:pPr>
      <w:r>
        <w:rPr>
          <w:rFonts w:eastAsia="Times New Roman"/>
          <w:iCs/>
          <w:szCs w:val="20"/>
        </w:rPr>
        <w:t>P</w:t>
      </w:r>
      <w:r w:rsidRPr="008760C3">
        <w:rPr>
          <w:rFonts w:eastAsia="Times New Roman"/>
          <w:iCs/>
          <w:szCs w:val="20"/>
        </w:rPr>
        <w:t xml:space="preserve">ractices </w:t>
      </w:r>
      <w:r>
        <w:rPr>
          <w:rFonts w:eastAsia="Times New Roman"/>
          <w:iCs/>
          <w:szCs w:val="20"/>
        </w:rPr>
        <w:t xml:space="preserve">also mentioned </w:t>
      </w:r>
      <w:r w:rsidRPr="008760C3">
        <w:rPr>
          <w:rFonts w:eastAsia="Times New Roman"/>
          <w:iCs/>
          <w:szCs w:val="20"/>
        </w:rPr>
        <w:t xml:space="preserve">barriers that prevented them from </w:t>
      </w:r>
      <w:r>
        <w:rPr>
          <w:rFonts w:eastAsia="Times New Roman"/>
          <w:iCs/>
          <w:szCs w:val="20"/>
        </w:rPr>
        <w:t>making</w:t>
      </w:r>
      <w:r w:rsidRPr="008760C3">
        <w:rPr>
          <w:rFonts w:eastAsia="Times New Roman"/>
          <w:iCs/>
          <w:szCs w:val="20"/>
        </w:rPr>
        <w:t xml:space="preserve"> changes</w:t>
      </w:r>
      <w:r>
        <w:rPr>
          <w:rFonts w:eastAsia="Times New Roman"/>
          <w:iCs/>
          <w:szCs w:val="20"/>
        </w:rPr>
        <w:t xml:space="preserve"> or delayed their progress</w:t>
      </w:r>
      <w:r w:rsidRPr="008760C3">
        <w:rPr>
          <w:rFonts w:eastAsia="Times New Roman"/>
          <w:iCs/>
          <w:szCs w:val="20"/>
        </w:rPr>
        <w:t>:</w:t>
      </w:r>
    </w:p>
    <w:p w14:paraId="5FDE2F54"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 “I’ve seen a slight change where the GP has been engaged…But to get that doctor engaged is not happening everywhere…”</w:t>
      </w:r>
      <w:r w:rsidRPr="008760C3">
        <w:rPr>
          <w:rFonts w:eastAsia="Times New Roman"/>
          <w:iCs/>
          <w:szCs w:val="20"/>
        </w:rPr>
        <w:t xml:space="preserve"> [Practice manager, Practice 1, interview</w:t>
      </w:r>
      <w:r>
        <w:rPr>
          <w:rFonts w:eastAsia="Times New Roman"/>
          <w:iCs/>
          <w:szCs w:val="20"/>
        </w:rPr>
        <w:t>, R2]</w:t>
      </w:r>
    </w:p>
    <w:p w14:paraId="69CA9749" w14:textId="77777777" w:rsidR="001C19F3" w:rsidRPr="008760C3" w:rsidRDefault="001C19F3" w:rsidP="001C19F3">
      <w:pPr>
        <w:ind w:left="567" w:right="1088"/>
        <w:rPr>
          <w:rFonts w:eastAsia="Times New Roman"/>
          <w:iCs/>
          <w:szCs w:val="20"/>
        </w:rPr>
      </w:pPr>
      <w:r w:rsidRPr="008760C3">
        <w:rPr>
          <w:rFonts w:eastAsia="Times New Roman"/>
          <w:i/>
          <w:iCs/>
          <w:szCs w:val="20"/>
        </w:rPr>
        <w:t>“I think, in a utopic world, that’d be great. We just don’t have enough space and people and funding to actually utilise those parts of the model of Health Care Homes.”</w:t>
      </w:r>
      <w:r w:rsidRPr="008760C3">
        <w:rPr>
          <w:rFonts w:eastAsia="Times New Roman"/>
          <w:iCs/>
          <w:szCs w:val="20"/>
        </w:rPr>
        <w:t xml:space="preserve"> [Practice nurse, Practice 7, interview</w:t>
      </w:r>
      <w:r>
        <w:rPr>
          <w:rFonts w:eastAsia="Times New Roman"/>
          <w:iCs/>
          <w:szCs w:val="20"/>
        </w:rPr>
        <w:t>, R2]</w:t>
      </w:r>
    </w:p>
    <w:p w14:paraId="1C1AA955" w14:textId="77777777" w:rsidR="001C19F3" w:rsidRPr="008760C3" w:rsidRDefault="001C19F3" w:rsidP="001C19F3">
      <w:pPr>
        <w:keepNext/>
        <w:keepLines/>
        <w:spacing w:line="240" w:lineRule="auto"/>
        <w:outlineLvl w:val="1"/>
        <w:rPr>
          <w:rFonts w:eastAsiaTheme="majorEastAsia" w:cstheme="majorBidi"/>
          <w:color w:val="003D79"/>
          <w:sz w:val="40"/>
          <w:szCs w:val="26"/>
        </w:rPr>
      </w:pPr>
      <w:bookmarkStart w:id="294" w:name="_Toc20925699"/>
      <w:bookmarkEnd w:id="280"/>
      <w:r w:rsidRPr="008760C3">
        <w:rPr>
          <w:rFonts w:eastAsiaTheme="majorEastAsia" w:cstheme="majorBidi"/>
          <w:color w:val="003D79"/>
          <w:sz w:val="40"/>
          <w:szCs w:val="26"/>
        </w:rPr>
        <w:t>Selected components of the HCH model</w:t>
      </w:r>
      <w:bookmarkEnd w:id="294"/>
    </w:p>
    <w:p w14:paraId="45DEE53D" w14:textId="77777777" w:rsidR="001C19F3" w:rsidRPr="008760C3" w:rsidRDefault="001C19F3" w:rsidP="001C19F3">
      <w:pPr>
        <w:keepNext/>
        <w:keepLines/>
        <w:spacing w:line="240" w:lineRule="auto"/>
        <w:outlineLvl w:val="2"/>
        <w:rPr>
          <w:rFonts w:eastAsia="Times New Roman" w:cstheme="majorBidi"/>
          <w:color w:val="003D79"/>
          <w:sz w:val="28"/>
          <w:szCs w:val="24"/>
        </w:rPr>
      </w:pPr>
      <w:r w:rsidRPr="008760C3">
        <w:rPr>
          <w:rFonts w:eastAsia="Times New Roman" w:cstheme="majorBidi"/>
          <w:color w:val="003D79"/>
          <w:sz w:val="28"/>
          <w:szCs w:val="24"/>
        </w:rPr>
        <w:t>Teamwork and delegation</w:t>
      </w:r>
    </w:p>
    <w:p w14:paraId="130D3A51" w14:textId="77777777" w:rsidR="001C19F3" w:rsidRPr="008760C3" w:rsidRDefault="001C19F3" w:rsidP="001C19F3">
      <w:pPr>
        <w:rPr>
          <w:rFonts w:eastAsia="Times New Roman"/>
          <w:i/>
          <w:iCs/>
          <w:color w:val="003D79"/>
          <w:sz w:val="24"/>
        </w:rPr>
      </w:pPr>
      <w:bookmarkStart w:id="295" w:name="_Hlk21357462"/>
      <w:r w:rsidRPr="008760C3">
        <w:rPr>
          <w:rFonts w:eastAsia="Times New Roman"/>
          <w:iCs/>
          <w:szCs w:val="20"/>
        </w:rPr>
        <w:t>Several practices highlighted team-based care as the major change implemented in their practice</w:t>
      </w:r>
      <w:r>
        <w:rPr>
          <w:rFonts w:eastAsia="Times New Roman"/>
          <w:iCs/>
          <w:szCs w:val="20"/>
        </w:rPr>
        <w:t xml:space="preserve"> as part of HCH</w:t>
      </w:r>
      <w:r w:rsidRPr="008760C3">
        <w:rPr>
          <w:rFonts w:eastAsia="Times New Roman"/>
          <w:iCs/>
          <w:szCs w:val="20"/>
        </w:rPr>
        <w:t>. For many, it was bringing about positive results</w:t>
      </w:r>
      <w:bookmarkEnd w:id="295"/>
      <w:r w:rsidRPr="008760C3">
        <w:rPr>
          <w:rFonts w:eastAsia="Times New Roman"/>
          <w:iCs/>
          <w:szCs w:val="20"/>
        </w:rPr>
        <w:t>:</w:t>
      </w:r>
    </w:p>
    <w:p w14:paraId="7D82F124"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 “…if </w:t>
      </w:r>
      <w:r w:rsidRPr="008760C3">
        <w:rPr>
          <w:rFonts w:eastAsia="Times New Roman"/>
          <w:iCs/>
          <w:szCs w:val="20"/>
        </w:rPr>
        <w:t>[patients]</w:t>
      </w:r>
      <w:r w:rsidRPr="008760C3">
        <w:rPr>
          <w:rFonts w:eastAsia="Times New Roman"/>
          <w:i/>
          <w:iCs/>
          <w:szCs w:val="20"/>
        </w:rPr>
        <w:t xml:space="preserve"> ring now, if they want to talk to someone in the treatment room, it’s whoever’s on duty out in the treatment room. If they want to talk to admin, it’s whoever is on admin. So, it’s more of a team thing and they think that’s really special.”</w:t>
      </w:r>
      <w:r w:rsidRPr="008760C3">
        <w:rPr>
          <w:rFonts w:eastAsia="Times New Roman"/>
          <w:iCs/>
          <w:szCs w:val="20"/>
        </w:rPr>
        <w:t xml:space="preserve"> [Practice manager, Practice 4, interview</w:t>
      </w:r>
      <w:r>
        <w:rPr>
          <w:rFonts w:eastAsia="Times New Roman"/>
          <w:iCs/>
          <w:szCs w:val="20"/>
        </w:rPr>
        <w:t>, R2]</w:t>
      </w:r>
    </w:p>
    <w:p w14:paraId="2369E95E" w14:textId="77777777" w:rsidR="001C19F3" w:rsidRPr="008760C3" w:rsidRDefault="001C19F3" w:rsidP="001C19F3">
      <w:pPr>
        <w:ind w:left="567" w:right="1088"/>
        <w:rPr>
          <w:rFonts w:eastAsia="Times New Roman"/>
          <w:iCs/>
          <w:szCs w:val="20"/>
        </w:rPr>
      </w:pPr>
      <w:r w:rsidRPr="008760C3">
        <w:rPr>
          <w:rFonts w:eastAsia="Times New Roman"/>
          <w:i/>
          <w:szCs w:val="20"/>
        </w:rPr>
        <w:t xml:space="preserve">“…there's a weekly meeting where we talk about certain patients who are part of the Health Care Homes scheme…usually one doctor will present a patient to the other doctors and other members of the team and we can </w:t>
      </w:r>
      <w:r w:rsidRPr="008760C3">
        <w:rPr>
          <w:rFonts w:eastAsia="Times New Roman"/>
          <w:i/>
          <w:szCs w:val="20"/>
        </w:rPr>
        <w:lastRenderedPageBreak/>
        <w:t>talk about the patient, and I might make contributions there to the diagnosis or management</w:t>
      </w:r>
      <w:r w:rsidRPr="008760C3">
        <w:rPr>
          <w:rFonts w:eastAsia="Times New Roman"/>
          <w:i/>
          <w:iCs/>
          <w:szCs w:val="20"/>
        </w:rPr>
        <w:t>…I think the coordination of care with the nurses and the practice staff and all that, I think that’s something that is better on the Health Care Homes.”</w:t>
      </w:r>
      <w:r w:rsidRPr="008760C3">
        <w:rPr>
          <w:rFonts w:eastAsia="Times New Roman"/>
          <w:iCs/>
          <w:szCs w:val="20"/>
        </w:rPr>
        <w:t xml:space="preserve"> [Registrar, Practice 12, interview</w:t>
      </w:r>
      <w:r>
        <w:rPr>
          <w:rFonts w:eastAsia="Times New Roman"/>
          <w:iCs/>
          <w:szCs w:val="20"/>
        </w:rPr>
        <w:t>, R2]</w:t>
      </w:r>
    </w:p>
    <w:p w14:paraId="312A7538"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“It’s not just up to the GP to be responsible for the care of the patients, it’s up to a team….We’ve always got a dietician and the pharmacist, we’re involving the whole team across the care.” </w:t>
      </w:r>
      <w:r w:rsidRPr="008760C3">
        <w:rPr>
          <w:rFonts w:eastAsia="Times New Roman"/>
          <w:iCs/>
          <w:szCs w:val="20"/>
        </w:rPr>
        <w:t>[Practice manager, Practice 5, interview</w:t>
      </w:r>
      <w:r>
        <w:rPr>
          <w:rFonts w:eastAsia="Times New Roman"/>
          <w:iCs/>
          <w:szCs w:val="20"/>
        </w:rPr>
        <w:t>, R2]</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5565EEE0" w14:textId="77777777" w:rsidTr="00521305">
        <w:trPr>
          <w:trHeight w:val="287"/>
          <w:jc w:val="right"/>
        </w:trPr>
        <w:tc>
          <w:tcPr>
            <w:tcW w:w="5000" w:type="pct"/>
          </w:tcPr>
          <w:p w14:paraId="44DFB66B"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41C507CB" w14:textId="77777777" w:rsidTr="00521305">
        <w:trPr>
          <w:jc w:val="right"/>
        </w:trPr>
        <w:tc>
          <w:tcPr>
            <w:tcW w:w="5000" w:type="pct"/>
          </w:tcPr>
          <w:p w14:paraId="4289F692" w14:textId="77777777" w:rsidR="001C19F3" w:rsidRPr="008760C3" w:rsidRDefault="001C19F3" w:rsidP="00521305">
            <w:pPr>
              <w:spacing w:after="0"/>
              <w:rPr>
                <w:sz w:val="18"/>
                <w:szCs w:val="18"/>
              </w:rPr>
            </w:pPr>
            <w:r w:rsidRPr="008760C3">
              <w:rPr>
                <w:sz w:val="18"/>
                <w:szCs w:val="18"/>
              </w:rPr>
              <w:t>The staff of a large practice located in a small city outside of a major metropolitan area discussed how the HCH program has enhanced some aspects of coordination of care and chronic disease management. The practice created two teams to manage HCH patients made up of one GP, a registrar and a nurse. The teams have</w:t>
            </w:r>
            <w:r>
              <w:rPr>
                <w:sz w:val="18"/>
                <w:szCs w:val="18"/>
              </w:rPr>
              <w:t xml:space="preserve"> </w:t>
            </w:r>
            <w:r w:rsidRPr="008760C3">
              <w:rPr>
                <w:sz w:val="18"/>
                <w:szCs w:val="18"/>
              </w:rPr>
              <w:t>weekly meetings where they discuss one or two HCH patients and contribute ideas towards their treatment and overall management. These weekly meetings have made the staff more proactive about managing their chronic disease patients and have helped them with general oversight and planning.</w:t>
            </w:r>
          </w:p>
        </w:tc>
      </w:tr>
    </w:tbl>
    <w:p w14:paraId="3EC8DEE6" w14:textId="77777777" w:rsidR="001C19F3" w:rsidRPr="008760C3" w:rsidRDefault="001C19F3" w:rsidP="001C19F3">
      <w:pPr>
        <w:spacing w:after="0"/>
        <w:rPr>
          <w:rFonts w:eastAsia="Times New Roman"/>
          <w:iCs/>
          <w:szCs w:val="20"/>
        </w:rPr>
      </w:pPr>
    </w:p>
    <w:p w14:paraId="3B1BE377" w14:textId="77777777" w:rsidR="001C19F3" w:rsidRPr="008760C3" w:rsidRDefault="001C19F3" w:rsidP="001C19F3">
      <w:pPr>
        <w:rPr>
          <w:rFonts w:eastAsia="Times New Roman"/>
          <w:iCs/>
          <w:szCs w:val="20"/>
        </w:rPr>
      </w:pPr>
      <w:bookmarkStart w:id="296" w:name="_Hlk21357570"/>
      <w:r w:rsidRPr="008760C3">
        <w:rPr>
          <w:rFonts w:eastAsia="Times New Roman"/>
          <w:iCs/>
          <w:szCs w:val="20"/>
        </w:rPr>
        <w:t>Other</w:t>
      </w:r>
      <w:r>
        <w:rPr>
          <w:rFonts w:eastAsia="Times New Roman"/>
          <w:iCs/>
          <w:szCs w:val="20"/>
        </w:rPr>
        <w:t xml:space="preserve"> practices</w:t>
      </w:r>
      <w:r w:rsidRPr="008760C3">
        <w:rPr>
          <w:rFonts w:eastAsia="Times New Roman"/>
          <w:iCs/>
          <w:szCs w:val="20"/>
        </w:rPr>
        <w:t xml:space="preserve"> were still setting up processes to promote team-based care</w:t>
      </w:r>
      <w:bookmarkEnd w:id="296"/>
      <w:r w:rsidRPr="008760C3">
        <w:rPr>
          <w:rFonts w:eastAsia="Times New Roman"/>
          <w:iCs/>
          <w:szCs w:val="20"/>
        </w:rPr>
        <w:t>:</w:t>
      </w:r>
    </w:p>
    <w:p w14:paraId="37F211C4" w14:textId="77777777" w:rsidR="001C19F3" w:rsidRPr="008760C3" w:rsidRDefault="001C19F3" w:rsidP="001C19F3">
      <w:pPr>
        <w:ind w:left="567" w:right="1088"/>
        <w:rPr>
          <w:rFonts w:eastAsia="Times New Roman"/>
          <w:iCs/>
          <w:szCs w:val="20"/>
        </w:rPr>
      </w:pPr>
      <w:r w:rsidRPr="008760C3">
        <w:rPr>
          <w:rFonts w:eastAsia="Times New Roman"/>
          <w:i/>
          <w:iCs/>
          <w:szCs w:val="20"/>
        </w:rPr>
        <w:t>“No, we don’t really meet up or have a meeting.”</w:t>
      </w:r>
      <w:r w:rsidRPr="008760C3">
        <w:rPr>
          <w:rFonts w:eastAsia="Times New Roman"/>
          <w:iCs/>
          <w:szCs w:val="20"/>
        </w:rPr>
        <w:t xml:space="preserve"> [Practice nurse, Practice 3, interview</w:t>
      </w:r>
      <w:r>
        <w:rPr>
          <w:rFonts w:eastAsia="Times New Roman"/>
          <w:iCs/>
          <w:szCs w:val="20"/>
        </w:rPr>
        <w:t>, R2]</w:t>
      </w:r>
    </w:p>
    <w:p w14:paraId="5CA05542" w14:textId="77777777" w:rsidR="001C19F3" w:rsidRPr="008760C3" w:rsidRDefault="001C19F3" w:rsidP="001C19F3">
      <w:pPr>
        <w:ind w:left="567" w:right="1088"/>
        <w:rPr>
          <w:rFonts w:eastAsia="Times New Roman"/>
          <w:iCs/>
          <w:szCs w:val="20"/>
        </w:rPr>
      </w:pPr>
      <w:r w:rsidRPr="008760C3">
        <w:rPr>
          <w:rFonts w:eastAsia="Times New Roman"/>
          <w:i/>
          <w:iCs/>
          <w:szCs w:val="20"/>
        </w:rPr>
        <w:t>“I wish we had a team meeting. Again, there are things we need to do that will change how we do things but we’re not doing them yet. And that would be like, yes, that team meeting.”</w:t>
      </w:r>
      <w:r w:rsidRPr="008760C3">
        <w:rPr>
          <w:rFonts w:eastAsia="Times New Roman"/>
          <w:iCs/>
          <w:szCs w:val="20"/>
        </w:rPr>
        <w:t xml:space="preserve"> [Practice nurse, Practice 10, interview</w:t>
      </w:r>
      <w:r>
        <w:rPr>
          <w:rFonts w:eastAsia="Times New Roman"/>
          <w:iCs/>
          <w:szCs w:val="20"/>
        </w:rPr>
        <w:t>, R2]</w:t>
      </w:r>
    </w:p>
    <w:p w14:paraId="0DF3A2A4" w14:textId="77777777" w:rsidR="001C19F3" w:rsidRPr="008760C3" w:rsidRDefault="001C19F3" w:rsidP="001C19F3">
      <w:pPr>
        <w:rPr>
          <w:rFonts w:eastAsia="Times New Roman"/>
          <w:iCs/>
          <w:szCs w:val="20"/>
        </w:rPr>
      </w:pPr>
      <w:bookmarkStart w:id="297" w:name="_Hlk21358212"/>
      <w:bookmarkStart w:id="298" w:name="_Hlk21357592"/>
      <w:r w:rsidRPr="008760C3">
        <w:rPr>
          <w:rFonts w:eastAsia="Times New Roman"/>
          <w:iCs/>
          <w:szCs w:val="20"/>
        </w:rPr>
        <w:t>The HCH model focuses on broadening the roles of the primary care team, and provides opportunit</w:t>
      </w:r>
      <w:r>
        <w:rPr>
          <w:rFonts w:eastAsia="Times New Roman"/>
          <w:iCs/>
          <w:szCs w:val="20"/>
        </w:rPr>
        <w:t>ies</w:t>
      </w:r>
      <w:r w:rsidRPr="008760C3">
        <w:rPr>
          <w:rFonts w:eastAsia="Times New Roman"/>
          <w:iCs/>
          <w:szCs w:val="20"/>
        </w:rPr>
        <w:t xml:space="preserve"> to delegate responsibilities traditionally managed by GPs to other </w:t>
      </w:r>
      <w:r>
        <w:rPr>
          <w:rFonts w:eastAsia="Times New Roman"/>
          <w:iCs/>
          <w:szCs w:val="20"/>
        </w:rPr>
        <w:t>team</w:t>
      </w:r>
      <w:r w:rsidRPr="008760C3">
        <w:rPr>
          <w:rFonts w:eastAsia="Times New Roman"/>
          <w:iCs/>
          <w:szCs w:val="20"/>
        </w:rPr>
        <w:t xml:space="preserve"> members.</w:t>
      </w:r>
      <w:r>
        <w:rPr>
          <w:rFonts w:eastAsia="Times New Roman"/>
          <w:iCs/>
          <w:szCs w:val="20"/>
        </w:rPr>
        <w:t xml:space="preserve"> </w:t>
      </w:r>
      <w:bookmarkStart w:id="299" w:name="_Hlk21359570"/>
      <w:r>
        <w:rPr>
          <w:rFonts w:eastAsia="Times New Roman"/>
          <w:iCs/>
          <w:szCs w:val="20"/>
        </w:rPr>
        <w:t>M</w:t>
      </w:r>
      <w:r w:rsidRPr="008760C3">
        <w:rPr>
          <w:rFonts w:eastAsia="Times New Roman"/>
          <w:iCs/>
          <w:szCs w:val="20"/>
        </w:rPr>
        <w:t>any practice staff felt that their</w:t>
      </w:r>
      <w:r>
        <w:rPr>
          <w:rFonts w:eastAsia="Times New Roman"/>
          <w:iCs/>
          <w:szCs w:val="20"/>
        </w:rPr>
        <w:t xml:space="preserve"> GPs were already comfortable with delegating to other team members</w:t>
      </w:r>
      <w:bookmarkEnd w:id="299"/>
      <w:r>
        <w:rPr>
          <w:rFonts w:eastAsia="Times New Roman"/>
          <w:iCs/>
          <w:szCs w:val="20"/>
        </w:rPr>
        <w:t>:</w:t>
      </w:r>
      <w:bookmarkEnd w:id="297"/>
    </w:p>
    <w:p w14:paraId="56B32300" w14:textId="77777777" w:rsidR="001C19F3" w:rsidRPr="008760C3" w:rsidRDefault="001C19F3" w:rsidP="001C19F3">
      <w:pPr>
        <w:ind w:left="567" w:right="1088"/>
        <w:rPr>
          <w:rFonts w:eastAsia="Times New Roman"/>
          <w:i/>
          <w:iCs/>
          <w:szCs w:val="20"/>
        </w:rPr>
      </w:pPr>
      <w:bookmarkStart w:id="300" w:name="_Hlk21358223"/>
      <w:bookmarkEnd w:id="298"/>
      <w:r w:rsidRPr="008760C3">
        <w:rPr>
          <w:rFonts w:eastAsia="Times New Roman"/>
          <w:i/>
          <w:iCs/>
          <w:szCs w:val="20"/>
        </w:rPr>
        <w:t xml:space="preserve">“So, a </w:t>
      </w:r>
      <w:r w:rsidRPr="008760C3">
        <w:rPr>
          <w:rFonts w:eastAsia="Times New Roman"/>
          <w:iCs/>
          <w:szCs w:val="20"/>
        </w:rPr>
        <w:t>[GP]</w:t>
      </w:r>
      <w:r w:rsidRPr="008760C3">
        <w:rPr>
          <w:rFonts w:eastAsia="Times New Roman"/>
          <w:i/>
          <w:iCs/>
          <w:szCs w:val="20"/>
        </w:rPr>
        <w:t xml:space="preserve"> that is a partner here I thought would really struggle with the whole program, because his patients are so needy, he's just run with it, he's doing a great job. And he's the one that's probably pushing work towards the nurses more than anyone. And I would not have expected that, it's so totally out of the blue. So</w:t>
      </w:r>
      <w:r>
        <w:rPr>
          <w:rFonts w:eastAsia="Times New Roman"/>
          <w:i/>
          <w:iCs/>
          <w:szCs w:val="20"/>
        </w:rPr>
        <w:t>,</w:t>
      </w:r>
      <w:r w:rsidRPr="008760C3">
        <w:rPr>
          <w:rFonts w:eastAsia="Times New Roman"/>
          <w:i/>
          <w:iCs/>
          <w:szCs w:val="20"/>
        </w:rPr>
        <w:t xml:space="preserve"> I can see change coming from the GPs so if they're not holding all that information now…they're actually letting go. So, I see that as a really positive thing.” </w:t>
      </w:r>
      <w:r w:rsidRPr="008760C3">
        <w:rPr>
          <w:rFonts w:eastAsia="Times New Roman"/>
          <w:iCs/>
          <w:szCs w:val="20"/>
        </w:rPr>
        <w:t>[Practice manager, Practice 4, interview</w:t>
      </w:r>
      <w:r>
        <w:rPr>
          <w:rFonts w:eastAsia="Times New Roman"/>
          <w:iCs/>
          <w:szCs w:val="20"/>
        </w:rPr>
        <w:t>, R2]</w:t>
      </w:r>
      <w:r w:rsidRPr="008760C3">
        <w:rPr>
          <w:rFonts w:eastAsia="Times New Roman"/>
          <w:i/>
          <w:iCs/>
          <w:szCs w:val="20"/>
        </w:rPr>
        <w:t xml:space="preserve"> </w:t>
      </w:r>
    </w:p>
    <w:p w14:paraId="3152A466"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think it’s been positive in that it’s made GPs realise that they can benefit from having a team-based approach to their care. Something that’s been positive for me is that clinical pharmacists are in a very non-traditional role in general practice.” </w:t>
      </w:r>
      <w:r w:rsidRPr="008760C3">
        <w:rPr>
          <w:rFonts w:eastAsia="Times New Roman"/>
          <w:iCs/>
          <w:szCs w:val="20"/>
        </w:rPr>
        <w:t>[Clinical pharmacist, Practice 11, interview</w:t>
      </w:r>
      <w:r>
        <w:rPr>
          <w:rFonts w:eastAsia="Times New Roman"/>
          <w:iCs/>
          <w:szCs w:val="20"/>
        </w:rPr>
        <w:t>, R2]</w:t>
      </w:r>
    </w:p>
    <w:p w14:paraId="4A799806" w14:textId="77777777" w:rsidR="001C19F3" w:rsidRPr="008760C3" w:rsidRDefault="001C19F3" w:rsidP="001C19F3">
      <w:pPr>
        <w:rPr>
          <w:rFonts w:eastAsia="Times New Roman"/>
          <w:iCs/>
          <w:szCs w:val="20"/>
        </w:rPr>
      </w:pPr>
      <w:r w:rsidRPr="008760C3">
        <w:rPr>
          <w:rFonts w:eastAsia="Times New Roman"/>
          <w:iCs/>
          <w:szCs w:val="20"/>
        </w:rPr>
        <w:t>These findings largely correspond with responses from practice staff survey (</w:t>
      </w:r>
      <w:r w:rsidRPr="008760C3">
        <w:rPr>
          <w:rFonts w:eastAsia="Times New Roman"/>
          <w:iCs/>
          <w:szCs w:val="20"/>
        </w:rPr>
        <w:fldChar w:fldCharType="begin"/>
      </w:r>
      <w:r w:rsidRPr="008760C3">
        <w:rPr>
          <w:rFonts w:eastAsia="Times New Roman"/>
          <w:iCs/>
          <w:szCs w:val="20"/>
        </w:rPr>
        <w:instrText xml:space="preserve"> REF _Ref20496373 \h </w:instrText>
      </w:r>
      <w:r>
        <w:rPr>
          <w:rFonts w:eastAsia="Times New Roman"/>
          <w:iCs/>
          <w:szCs w:val="20"/>
        </w:rPr>
        <w:instrText xml:space="preserve"> \* MERGEFORMAT </w:instrText>
      </w:r>
      <w:r w:rsidRPr="008760C3">
        <w:rPr>
          <w:rFonts w:eastAsia="Times New Roman"/>
          <w:iCs/>
          <w:szCs w:val="20"/>
        </w:rPr>
      </w:r>
      <w:r w:rsidRPr="008760C3">
        <w:rPr>
          <w:rFonts w:eastAsia="Times New Roman"/>
          <w:iCs/>
          <w:szCs w:val="20"/>
        </w:rPr>
        <w:fldChar w:fldCharType="separate"/>
      </w:r>
      <w:r w:rsidRPr="00822044">
        <w:rPr>
          <w:rFonts w:eastAsia="Times New Roman"/>
          <w:iCs/>
          <w:szCs w:val="20"/>
        </w:rPr>
        <w:t>Figure 14</w:t>
      </w:r>
      <w:r w:rsidRPr="008760C3">
        <w:rPr>
          <w:rFonts w:eastAsia="Times New Roman"/>
          <w:iCs/>
          <w:szCs w:val="20"/>
        </w:rPr>
        <w:fldChar w:fldCharType="end"/>
      </w:r>
      <w:r w:rsidRPr="008760C3">
        <w:rPr>
          <w:rFonts w:eastAsia="Times New Roman"/>
          <w:iCs/>
          <w:szCs w:val="20"/>
        </w:rPr>
        <w:t>).</w:t>
      </w:r>
    </w:p>
    <w:p w14:paraId="35C9F625" w14:textId="77777777" w:rsidR="001C19F3" w:rsidRPr="008760C3" w:rsidRDefault="001C19F3" w:rsidP="001C19F3">
      <w:pPr>
        <w:spacing w:after="0"/>
        <w:jc w:val="center"/>
        <w:rPr>
          <w:sz w:val="18"/>
          <w:szCs w:val="18"/>
        </w:rPr>
      </w:pPr>
      <w:r w:rsidRPr="008760C3">
        <w:rPr>
          <w:noProof/>
          <w:sz w:val="18"/>
          <w:szCs w:val="18"/>
          <w:lang w:eastAsia="en-AU"/>
        </w:rPr>
        <w:lastRenderedPageBreak/>
        <w:drawing>
          <wp:inline distT="0" distB="0" distL="0" distR="0" wp14:anchorId="678AB531" wp14:editId="4F55F8EF">
            <wp:extent cx="5486400" cy="3657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FF4CCB9" w14:textId="77777777" w:rsidR="001C19F3" w:rsidRPr="008760C3" w:rsidRDefault="001C19F3" w:rsidP="001C19F3">
      <w:pPr>
        <w:spacing w:after="0"/>
        <w:jc w:val="center"/>
        <w:rPr>
          <w:rFonts w:eastAsiaTheme="minorEastAsia" w:cstheme="minorBidi"/>
          <w:b/>
          <w:sz w:val="18"/>
          <w:szCs w:val="18"/>
          <w:lang w:val="en-US"/>
        </w:rPr>
      </w:pPr>
      <w:bookmarkStart w:id="301" w:name="_Ref20496373"/>
      <w:r w:rsidRPr="008760C3">
        <w:rPr>
          <w:rFonts w:eastAsiaTheme="minorEastAsia" w:cstheme="minorBidi"/>
          <w:b/>
          <w:sz w:val="18"/>
          <w:szCs w:val="18"/>
          <w:lang w:val="en-US"/>
        </w:rPr>
        <w:t xml:space="preserve">Figure </w:t>
      </w:r>
      <w:r w:rsidRPr="008760C3">
        <w:rPr>
          <w:rFonts w:eastAsiaTheme="minorEastAsia" w:cstheme="minorBidi"/>
          <w:b/>
          <w:szCs w:val="24"/>
          <w:lang w:val="en-US"/>
        </w:rPr>
        <w:fldChar w:fldCharType="begin"/>
      </w:r>
      <w:r w:rsidRPr="008760C3">
        <w:rPr>
          <w:rFonts w:eastAsiaTheme="minorEastAsia" w:cstheme="minorBidi"/>
          <w:b/>
          <w:sz w:val="18"/>
          <w:szCs w:val="18"/>
          <w:lang w:val="en-US"/>
        </w:rPr>
        <w:instrText>SEQ Figure \* ARABIC</w:instrText>
      </w:r>
      <w:r w:rsidRPr="008760C3">
        <w:rPr>
          <w:rFonts w:eastAsiaTheme="minorEastAsia" w:cstheme="minorBidi"/>
          <w:b/>
          <w:szCs w:val="24"/>
          <w:lang w:val="en-US"/>
        </w:rPr>
        <w:fldChar w:fldCharType="separate"/>
      </w:r>
      <w:r>
        <w:rPr>
          <w:rFonts w:eastAsiaTheme="minorEastAsia" w:cstheme="minorBidi"/>
          <w:b/>
          <w:noProof/>
          <w:sz w:val="18"/>
          <w:szCs w:val="18"/>
          <w:lang w:val="en-US"/>
        </w:rPr>
        <w:t>14</w:t>
      </w:r>
      <w:r w:rsidRPr="008760C3">
        <w:rPr>
          <w:rFonts w:eastAsiaTheme="minorEastAsia" w:cstheme="minorBidi"/>
          <w:b/>
          <w:szCs w:val="24"/>
          <w:lang w:val="en-US"/>
        </w:rPr>
        <w:fldChar w:fldCharType="end"/>
      </w:r>
      <w:bookmarkEnd w:id="301"/>
      <w:r w:rsidRPr="008760C3">
        <w:rPr>
          <w:rFonts w:eastAsiaTheme="minorEastAsia" w:cstheme="minorBidi"/>
          <w:b/>
          <w:sz w:val="18"/>
          <w:szCs w:val="18"/>
          <w:lang w:val="en-US"/>
        </w:rPr>
        <w:t xml:space="preserve"> – </w:t>
      </w:r>
      <w:r w:rsidRPr="00EA3E0D">
        <w:rPr>
          <w:rFonts w:eastAsiaTheme="minorEastAsia" w:cstheme="minorBidi"/>
          <w:b/>
          <w:sz w:val="18"/>
          <w:szCs w:val="18"/>
          <w:lang w:val="en-US"/>
        </w:rPr>
        <w:t>Agreement with statements about the primary care team</w:t>
      </w:r>
    </w:p>
    <w:p w14:paraId="0D5EA289" w14:textId="77777777" w:rsidR="001C19F3" w:rsidRDefault="001C19F3" w:rsidP="001C19F3">
      <w:pPr>
        <w:jc w:val="center"/>
        <w:rPr>
          <w:i/>
          <w:sz w:val="16"/>
          <w:szCs w:val="18"/>
        </w:rPr>
      </w:pPr>
      <w:r w:rsidRPr="008760C3">
        <w:rPr>
          <w:i/>
          <w:sz w:val="16"/>
          <w:szCs w:val="18"/>
        </w:rPr>
        <w:t xml:space="preserve">Source: Practice </w:t>
      </w:r>
      <w:r>
        <w:rPr>
          <w:i/>
          <w:sz w:val="16"/>
          <w:szCs w:val="18"/>
        </w:rPr>
        <w:t>s</w:t>
      </w:r>
      <w:r w:rsidRPr="008760C3">
        <w:rPr>
          <w:i/>
          <w:sz w:val="16"/>
          <w:szCs w:val="18"/>
        </w:rPr>
        <w:t xml:space="preserve">taff </w:t>
      </w:r>
      <w:r>
        <w:rPr>
          <w:i/>
          <w:sz w:val="16"/>
          <w:szCs w:val="18"/>
        </w:rPr>
        <w:t>s</w:t>
      </w:r>
      <w:r w:rsidRPr="008760C3">
        <w:rPr>
          <w:i/>
          <w:sz w:val="16"/>
          <w:szCs w:val="18"/>
        </w:rPr>
        <w:t>urvey</w:t>
      </w:r>
      <w:r>
        <w:rPr>
          <w:i/>
          <w:sz w:val="16"/>
          <w:szCs w:val="18"/>
        </w:rPr>
        <w:t xml:space="preserve"> R1, </w:t>
      </w:r>
      <w:r w:rsidRPr="0082124A">
        <w:rPr>
          <w:i/>
          <w:sz w:val="16"/>
          <w:szCs w:val="18"/>
        </w:rPr>
        <w:t>Mar-Jun</w:t>
      </w:r>
      <w:r>
        <w:rPr>
          <w:i/>
          <w:sz w:val="16"/>
          <w:szCs w:val="18"/>
        </w:rPr>
        <w:t xml:space="preserve"> </w:t>
      </w:r>
      <w:r w:rsidRPr="0082124A">
        <w:rPr>
          <w:i/>
          <w:sz w:val="16"/>
          <w:szCs w:val="18"/>
        </w:rPr>
        <w:t>2018</w:t>
      </w:r>
    </w:p>
    <w:p w14:paraId="028E26A2" w14:textId="77777777" w:rsidR="001C19F3" w:rsidRDefault="001C19F3" w:rsidP="001C19F3">
      <w:pPr>
        <w:rPr>
          <w:rFonts w:eastAsia="Times New Roman"/>
          <w:iCs/>
          <w:szCs w:val="20"/>
        </w:rPr>
      </w:pPr>
      <w:r>
        <w:rPr>
          <w:rFonts w:eastAsia="Times New Roman"/>
          <w:iCs/>
          <w:szCs w:val="20"/>
        </w:rPr>
        <w:t>In some instances GPs’ comfort in delegating was due to prior experience:</w:t>
      </w:r>
    </w:p>
    <w:p w14:paraId="226CC58F"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was very fortunate in that our GPs are overseas trained, they’ve all come with that same view of what the nurse’s role should be. How they can grow the nurses’ role and how it benefits them. It’s not just about us, it benefits them, because it frees up their time. I suppose I was very fortunate in that sense.” </w:t>
      </w:r>
      <w:r w:rsidRPr="008760C3">
        <w:rPr>
          <w:rFonts w:eastAsia="Times New Roman"/>
          <w:iCs/>
          <w:szCs w:val="20"/>
        </w:rPr>
        <w:t>[Practice nurse, Practice 13, interview</w:t>
      </w:r>
      <w:r>
        <w:rPr>
          <w:rFonts w:eastAsia="Times New Roman"/>
          <w:iCs/>
          <w:szCs w:val="20"/>
        </w:rPr>
        <w:t>, R2]</w:t>
      </w:r>
    </w:p>
    <w:p w14:paraId="41E3B4FA" w14:textId="77777777" w:rsidR="001C19F3" w:rsidRPr="008760C3" w:rsidRDefault="001C19F3" w:rsidP="001C19F3">
      <w:pPr>
        <w:rPr>
          <w:rFonts w:eastAsia="Times New Roman"/>
          <w:iCs/>
          <w:szCs w:val="20"/>
        </w:rPr>
      </w:pPr>
      <w:r>
        <w:rPr>
          <w:rFonts w:eastAsia="Times New Roman"/>
          <w:iCs/>
          <w:szCs w:val="20"/>
        </w:rPr>
        <w:t xml:space="preserve">Other GPs had made it a </w:t>
      </w:r>
      <w:r w:rsidRPr="008760C3">
        <w:rPr>
          <w:rFonts w:eastAsia="Times New Roman"/>
          <w:iCs/>
          <w:szCs w:val="20"/>
        </w:rPr>
        <w:t>goal to</w:t>
      </w:r>
      <w:r>
        <w:rPr>
          <w:rFonts w:eastAsia="Times New Roman"/>
          <w:iCs/>
          <w:szCs w:val="20"/>
        </w:rPr>
        <w:t xml:space="preserve"> delegate to</w:t>
      </w:r>
      <w:r w:rsidRPr="008760C3">
        <w:rPr>
          <w:rFonts w:eastAsia="Times New Roman"/>
          <w:iCs/>
          <w:szCs w:val="20"/>
        </w:rPr>
        <w:t xml:space="preserve"> </w:t>
      </w:r>
      <w:r>
        <w:rPr>
          <w:rFonts w:eastAsia="Times New Roman"/>
          <w:iCs/>
          <w:szCs w:val="20"/>
        </w:rPr>
        <w:t>“</w:t>
      </w:r>
      <w:r w:rsidRPr="008760C3">
        <w:rPr>
          <w:rFonts w:eastAsia="Times New Roman"/>
          <w:iCs/>
          <w:szCs w:val="20"/>
        </w:rPr>
        <w:t>take the pressure off</w:t>
      </w:r>
      <w:r>
        <w:rPr>
          <w:rFonts w:eastAsia="Times New Roman"/>
          <w:iCs/>
          <w:szCs w:val="20"/>
        </w:rPr>
        <w:t>”</w:t>
      </w:r>
      <w:r w:rsidRPr="008760C3">
        <w:rPr>
          <w:rFonts w:eastAsia="Times New Roman"/>
          <w:iCs/>
          <w:szCs w:val="20"/>
        </w:rPr>
        <w:t xml:space="preserve"> themselves</w:t>
      </w:r>
      <w:bookmarkEnd w:id="300"/>
      <w:r w:rsidRPr="008760C3">
        <w:rPr>
          <w:rFonts w:eastAsia="Times New Roman"/>
          <w:iCs/>
          <w:szCs w:val="20"/>
        </w:rPr>
        <w:t>:</w:t>
      </w:r>
    </w:p>
    <w:p w14:paraId="57A2A3E0" w14:textId="77777777" w:rsidR="001C19F3" w:rsidRPr="008760C3" w:rsidRDefault="001C19F3" w:rsidP="001C19F3">
      <w:pPr>
        <w:ind w:left="567" w:right="1088"/>
        <w:rPr>
          <w:rFonts w:eastAsia="Times New Roman"/>
          <w:iCs/>
          <w:szCs w:val="20"/>
        </w:rPr>
      </w:pPr>
      <w:r w:rsidRPr="008760C3">
        <w:rPr>
          <w:rFonts w:eastAsia="Times New Roman"/>
          <w:i/>
          <w:iCs/>
          <w:szCs w:val="20"/>
        </w:rPr>
        <w:t>“The other thing that I'm hoping will improve as time goes on is that I can delegate a few more of the jobs that I'm doing off to the nurses to do. That hasn't quite eventuated at the moment, because everyone's still trying to get the hang of how this is all meant to work…we’re not there yet.”</w:t>
      </w:r>
      <w:r w:rsidRPr="008760C3">
        <w:rPr>
          <w:rFonts w:eastAsia="Times New Roman"/>
          <w:iCs/>
          <w:szCs w:val="20"/>
        </w:rPr>
        <w:t xml:space="preserve"> [GP, Practice 6, interview</w:t>
      </w:r>
      <w:r>
        <w:rPr>
          <w:rFonts w:eastAsia="Times New Roman"/>
          <w:iCs/>
          <w:szCs w:val="20"/>
        </w:rPr>
        <w:t>, R2]</w:t>
      </w:r>
    </w:p>
    <w:p w14:paraId="1575A60A" w14:textId="77777777" w:rsidR="001C19F3" w:rsidRDefault="001C19F3" w:rsidP="001C19F3">
      <w:pPr>
        <w:rPr>
          <w:rFonts w:eastAsia="Times New Roman"/>
          <w:iCs/>
          <w:szCs w:val="20"/>
        </w:rPr>
      </w:pPr>
      <w:bookmarkStart w:id="302" w:name="_Hlk21358278"/>
      <w:r>
        <w:rPr>
          <w:rFonts w:eastAsia="Times New Roman"/>
          <w:iCs/>
          <w:szCs w:val="20"/>
        </w:rPr>
        <w:t>However, d</w:t>
      </w:r>
      <w:r w:rsidRPr="008760C3">
        <w:rPr>
          <w:rFonts w:eastAsia="Times New Roman"/>
          <w:iCs/>
          <w:szCs w:val="20"/>
        </w:rPr>
        <w:t xml:space="preserve">espite </w:t>
      </w:r>
      <w:r>
        <w:rPr>
          <w:rFonts w:eastAsia="Times New Roman"/>
          <w:iCs/>
          <w:szCs w:val="20"/>
        </w:rPr>
        <w:t>the recognition that delegation is important</w:t>
      </w:r>
      <w:r w:rsidRPr="008760C3">
        <w:rPr>
          <w:rFonts w:eastAsia="Times New Roman"/>
          <w:iCs/>
          <w:szCs w:val="20"/>
        </w:rPr>
        <w:t xml:space="preserve">, several practices reported that shifting to a more team-based approach had been difficult. </w:t>
      </w:r>
      <w:r>
        <w:rPr>
          <w:rFonts w:eastAsia="Times New Roman"/>
          <w:iCs/>
          <w:szCs w:val="20"/>
        </w:rPr>
        <w:t>Delegation has</w:t>
      </w:r>
      <w:r w:rsidRPr="008760C3">
        <w:rPr>
          <w:rFonts w:eastAsia="Times New Roman"/>
          <w:iCs/>
          <w:szCs w:val="20"/>
        </w:rPr>
        <w:t xml:space="preserve"> been a major change for GPs and a barrier for some practices in implementing aspects of the HCH model</w:t>
      </w:r>
      <w:bookmarkEnd w:id="302"/>
      <w:r w:rsidRPr="008760C3">
        <w:rPr>
          <w:rFonts w:eastAsia="Times New Roman"/>
          <w:iCs/>
          <w:szCs w:val="20"/>
        </w:rPr>
        <w:t>:</w:t>
      </w:r>
    </w:p>
    <w:p w14:paraId="5D6F830E" w14:textId="77777777" w:rsidR="001C19F3" w:rsidRDefault="001C19F3" w:rsidP="001C19F3">
      <w:pPr>
        <w:ind w:left="567" w:right="1088"/>
        <w:rPr>
          <w:rFonts w:eastAsia="Times New Roman"/>
          <w:iCs/>
          <w:szCs w:val="20"/>
        </w:rPr>
      </w:pPr>
      <w:r w:rsidRPr="008760C3">
        <w:rPr>
          <w:rFonts w:eastAsia="Times New Roman"/>
          <w:i/>
          <w:iCs/>
          <w:szCs w:val="20"/>
        </w:rPr>
        <w:t>“The GPs here like doing most of the stuff themselves. They like seeing their patients.”</w:t>
      </w:r>
      <w:r w:rsidRPr="008760C3">
        <w:rPr>
          <w:rFonts w:eastAsia="Times New Roman"/>
          <w:iCs/>
          <w:szCs w:val="20"/>
        </w:rPr>
        <w:t xml:space="preserve"> [Practice nurse, Practice 1, interview</w:t>
      </w:r>
      <w:r>
        <w:rPr>
          <w:rFonts w:eastAsia="Times New Roman"/>
          <w:iCs/>
          <w:szCs w:val="20"/>
        </w:rPr>
        <w:t>, R2]</w:t>
      </w:r>
    </w:p>
    <w:p w14:paraId="1A039D7C"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feel that the </w:t>
      </w:r>
      <w:r w:rsidRPr="008760C3">
        <w:rPr>
          <w:rFonts w:eastAsia="Times New Roman"/>
          <w:iCs/>
          <w:szCs w:val="20"/>
        </w:rPr>
        <w:t>[pharmacist]</w:t>
      </w:r>
      <w:r w:rsidRPr="008760C3">
        <w:rPr>
          <w:rFonts w:eastAsia="Times New Roman"/>
          <w:i/>
          <w:iCs/>
          <w:szCs w:val="20"/>
        </w:rPr>
        <w:t xml:space="preserve"> is under-utilised and it's just a matter of the doctors still letting go. You know I've talked about trust before. That trust is really important. It's important for the patient to be able to trust that doctor. And then also for that doctor to trust other team members, that they can </w:t>
      </w:r>
      <w:r w:rsidRPr="008760C3">
        <w:rPr>
          <w:rFonts w:eastAsia="Times New Roman"/>
          <w:i/>
          <w:iCs/>
          <w:szCs w:val="20"/>
        </w:rPr>
        <w:lastRenderedPageBreak/>
        <w:t>do as good a job as them, if not better...it's just those doctors still letting go and that is hard for a lot of doctors to do.”</w:t>
      </w:r>
      <w:r w:rsidRPr="008760C3">
        <w:rPr>
          <w:rFonts w:eastAsia="Times New Roman"/>
          <w:iCs/>
          <w:szCs w:val="20"/>
        </w:rPr>
        <w:t xml:space="preserve"> [Practice manager, practice 5, interview</w:t>
      </w:r>
      <w:r>
        <w:rPr>
          <w:rFonts w:eastAsia="Times New Roman"/>
          <w:iCs/>
          <w:szCs w:val="20"/>
        </w:rPr>
        <w:t>, R2]</w:t>
      </w:r>
    </w:p>
    <w:p w14:paraId="17BD5905" w14:textId="77777777" w:rsidR="001C19F3" w:rsidRPr="008760C3" w:rsidRDefault="001C19F3" w:rsidP="001C19F3">
      <w:pPr>
        <w:ind w:left="567" w:right="1088"/>
        <w:rPr>
          <w:i/>
          <w:sz w:val="16"/>
          <w:szCs w:val="18"/>
        </w:rPr>
      </w:pPr>
      <w:r w:rsidRPr="008760C3">
        <w:rPr>
          <w:rFonts w:eastAsia="Times New Roman"/>
          <w:i/>
          <w:iCs/>
          <w:szCs w:val="20"/>
        </w:rPr>
        <w:t>“They are still of the opinion that the care of that patient will be taken away from them, and they're worried about the liability side of that. If the nurses are doing to our scope limit. I think they’re very worried that we would overstep those marks or miss something, and then they would be liable…</w:t>
      </w:r>
      <w:r w:rsidRPr="008760C3">
        <w:rPr>
          <w:i/>
        </w:rPr>
        <w:t xml:space="preserve"> </w:t>
      </w:r>
      <w:r w:rsidRPr="008760C3">
        <w:rPr>
          <w:rFonts w:eastAsia="Times New Roman"/>
          <w:i/>
          <w:iCs/>
          <w:szCs w:val="20"/>
        </w:rPr>
        <w:t>It's down to a trust thing, and I guess they have a lot to lose if something did happen…In this day and age, they're all just a little bit jumpy about liability</w:t>
      </w:r>
      <w:r w:rsidRPr="008760C3">
        <w:rPr>
          <w:rFonts w:eastAsia="Times New Roman"/>
          <w:iCs/>
          <w:szCs w:val="20"/>
        </w:rPr>
        <w:t>.” [Practice nurse, Practice 6, interview</w:t>
      </w:r>
      <w:r>
        <w:rPr>
          <w:rFonts w:eastAsia="Times New Roman"/>
          <w:iCs/>
          <w:szCs w:val="20"/>
        </w:rPr>
        <w:t>, R2]</w:t>
      </w:r>
    </w:p>
    <w:p w14:paraId="560CC66B" w14:textId="77777777" w:rsidR="001C19F3" w:rsidRPr="008760C3" w:rsidRDefault="001C19F3" w:rsidP="001C19F3">
      <w:pPr>
        <w:ind w:right="1088"/>
        <w:rPr>
          <w:rFonts w:eastAsia="Times New Roman"/>
          <w:iCs/>
          <w:szCs w:val="20"/>
        </w:rPr>
      </w:pPr>
      <w:r>
        <w:rPr>
          <w:rFonts w:eastAsia="Times New Roman"/>
          <w:iCs/>
          <w:szCs w:val="20"/>
        </w:rPr>
        <w:t>As implied in the last two quotes above, m</w:t>
      </w:r>
      <w:r w:rsidRPr="008760C3">
        <w:rPr>
          <w:rFonts w:eastAsia="Times New Roman"/>
          <w:iCs/>
          <w:szCs w:val="20"/>
        </w:rPr>
        <w:t>any staff suggested that the key to successfu</w:t>
      </w:r>
      <w:r>
        <w:rPr>
          <w:rFonts w:eastAsia="Times New Roman"/>
          <w:iCs/>
          <w:szCs w:val="20"/>
        </w:rPr>
        <w:t>l</w:t>
      </w:r>
      <w:r w:rsidRPr="008760C3">
        <w:rPr>
          <w:rFonts w:eastAsia="Times New Roman"/>
          <w:iCs/>
          <w:szCs w:val="20"/>
        </w:rPr>
        <w:t xml:space="preserve"> change in this area is allowing time </w:t>
      </w:r>
      <w:r>
        <w:rPr>
          <w:rFonts w:eastAsia="Times New Roman"/>
          <w:iCs/>
          <w:szCs w:val="20"/>
        </w:rPr>
        <w:t xml:space="preserve">for doctors to </w:t>
      </w:r>
      <w:r w:rsidRPr="008760C3">
        <w:rPr>
          <w:rFonts w:eastAsia="Times New Roman"/>
          <w:iCs/>
          <w:szCs w:val="20"/>
        </w:rPr>
        <w:t>develop trust</w:t>
      </w:r>
      <w:r>
        <w:rPr>
          <w:rFonts w:eastAsia="Times New Roman"/>
          <w:iCs/>
          <w:szCs w:val="20"/>
        </w:rPr>
        <w:t>.</w:t>
      </w:r>
    </w:p>
    <w:p w14:paraId="4324DA27" w14:textId="77777777" w:rsidR="001C19F3" w:rsidRPr="008760C3" w:rsidRDefault="001C19F3" w:rsidP="001C19F3">
      <w:pPr>
        <w:rPr>
          <w:rFonts w:eastAsia="Times New Roman"/>
          <w:iCs/>
          <w:szCs w:val="20"/>
        </w:rPr>
      </w:pPr>
      <w:r w:rsidRPr="008760C3">
        <w:rPr>
          <w:rFonts w:eastAsia="Times New Roman"/>
          <w:iCs/>
          <w:szCs w:val="20"/>
        </w:rPr>
        <w:t>Staff members discussed other reasons why delegation has been difficult to achieve in their practices:</w:t>
      </w:r>
    </w:p>
    <w:p w14:paraId="77D1D77E" w14:textId="77777777" w:rsidR="001C19F3" w:rsidRPr="008760C3" w:rsidRDefault="001C19F3" w:rsidP="001C19F3">
      <w:pPr>
        <w:ind w:left="567" w:right="1088"/>
        <w:rPr>
          <w:rFonts w:eastAsia="Times New Roman"/>
          <w:iCs/>
          <w:szCs w:val="20"/>
        </w:rPr>
      </w:pPr>
      <w:r w:rsidRPr="008760C3">
        <w:rPr>
          <w:rFonts w:eastAsia="Times New Roman"/>
          <w:i/>
          <w:iCs/>
          <w:szCs w:val="20"/>
        </w:rPr>
        <w:t>“Even here…our patients don’t like to see nurses so much because they have a relationship with the doctor. Some of them I have seen for more than ten years, so they like to come for a consult even for a minor thing.”</w:t>
      </w:r>
      <w:r w:rsidRPr="008760C3">
        <w:rPr>
          <w:rFonts w:eastAsia="Times New Roman"/>
          <w:iCs/>
          <w:szCs w:val="20"/>
        </w:rPr>
        <w:t xml:space="preserve"> [GP, Practice 3, interview</w:t>
      </w:r>
      <w:r>
        <w:rPr>
          <w:rFonts w:eastAsia="Times New Roman"/>
          <w:iCs/>
          <w:szCs w:val="20"/>
        </w:rPr>
        <w:t>, R2]</w:t>
      </w:r>
    </w:p>
    <w:p w14:paraId="4844E7FF" w14:textId="77777777" w:rsidR="001C19F3" w:rsidRPr="008760C3" w:rsidRDefault="001C19F3" w:rsidP="001C19F3">
      <w:pPr>
        <w:keepNext/>
        <w:keepLines/>
        <w:spacing w:line="240" w:lineRule="auto"/>
        <w:outlineLvl w:val="2"/>
        <w:rPr>
          <w:rFonts w:eastAsia="Times New Roman" w:cstheme="majorBidi"/>
          <w:color w:val="003D79"/>
          <w:sz w:val="28"/>
          <w:szCs w:val="24"/>
        </w:rPr>
      </w:pPr>
      <w:bookmarkStart w:id="303" w:name="_Ref527984943"/>
      <w:r w:rsidRPr="008760C3">
        <w:rPr>
          <w:rFonts w:eastAsia="Times New Roman" w:cstheme="majorBidi"/>
          <w:color w:val="003D79"/>
          <w:sz w:val="28"/>
          <w:szCs w:val="24"/>
        </w:rPr>
        <w:t>New roles established under HCH</w:t>
      </w:r>
    </w:p>
    <w:p w14:paraId="1684F8C8" w14:textId="77777777" w:rsidR="001C19F3" w:rsidRPr="008760C3" w:rsidRDefault="001C19F3" w:rsidP="001C19F3">
      <w:pPr>
        <w:rPr>
          <w:rFonts w:eastAsia="Times New Roman"/>
          <w:iCs/>
          <w:szCs w:val="20"/>
        </w:rPr>
      </w:pPr>
      <w:bookmarkStart w:id="304" w:name="_Hlk21359972"/>
      <w:r w:rsidRPr="00B1765C">
        <w:rPr>
          <w:rFonts w:eastAsia="Times New Roman"/>
          <w:iCs/>
          <w:szCs w:val="20"/>
        </w:rPr>
        <w:t>Some practices hired new staff and/ or established new roles responsible for HCH patients/ activities. New staff included nurses and medical practice assistants, and new roles were HCH coordinator/ nurse. These positions had responsibilities for</w:t>
      </w:r>
      <w:r w:rsidRPr="008760C3">
        <w:rPr>
          <w:rFonts w:eastAsia="Times New Roman"/>
          <w:iCs/>
          <w:szCs w:val="20"/>
        </w:rPr>
        <w:t>:</w:t>
      </w:r>
    </w:p>
    <w:p w14:paraId="0648CDA7" w14:textId="77777777" w:rsidR="001C19F3" w:rsidRPr="008760C3" w:rsidRDefault="001C19F3" w:rsidP="001C19F3">
      <w:pPr>
        <w:numPr>
          <w:ilvl w:val="0"/>
          <w:numId w:val="48"/>
        </w:numPr>
        <w:contextualSpacing/>
        <w:rPr>
          <w:rFonts w:eastAsia="Times New Roman"/>
          <w:iCs/>
          <w:szCs w:val="20"/>
        </w:rPr>
      </w:pPr>
      <w:r>
        <w:rPr>
          <w:rFonts w:eastAsia="Times New Roman"/>
          <w:iCs/>
          <w:szCs w:val="20"/>
        </w:rPr>
        <w:t xml:space="preserve">enrolling </w:t>
      </w:r>
      <w:r w:rsidRPr="008760C3">
        <w:rPr>
          <w:rFonts w:eastAsia="Times New Roman"/>
          <w:iCs/>
          <w:szCs w:val="20"/>
        </w:rPr>
        <w:t>patient</w:t>
      </w:r>
      <w:r>
        <w:rPr>
          <w:rFonts w:eastAsia="Times New Roman"/>
          <w:iCs/>
          <w:szCs w:val="20"/>
        </w:rPr>
        <w:t>s</w:t>
      </w:r>
    </w:p>
    <w:p w14:paraId="32062D9A" w14:textId="77777777" w:rsidR="001C19F3" w:rsidRPr="008760C3" w:rsidRDefault="001C19F3" w:rsidP="001C19F3">
      <w:pPr>
        <w:numPr>
          <w:ilvl w:val="0"/>
          <w:numId w:val="48"/>
        </w:numPr>
        <w:contextualSpacing/>
        <w:rPr>
          <w:rFonts w:eastAsia="Times New Roman"/>
          <w:iCs/>
          <w:szCs w:val="20"/>
        </w:rPr>
      </w:pPr>
      <w:r w:rsidRPr="008760C3">
        <w:rPr>
          <w:rFonts w:eastAsia="Times New Roman"/>
          <w:iCs/>
          <w:szCs w:val="20"/>
        </w:rPr>
        <w:t>recall</w:t>
      </w:r>
      <w:r>
        <w:rPr>
          <w:rFonts w:eastAsia="Times New Roman"/>
          <w:iCs/>
          <w:szCs w:val="20"/>
        </w:rPr>
        <w:t>ing</w:t>
      </w:r>
      <w:r w:rsidRPr="008760C3">
        <w:rPr>
          <w:rFonts w:eastAsia="Times New Roman"/>
          <w:iCs/>
          <w:szCs w:val="20"/>
        </w:rPr>
        <w:t xml:space="preserve"> and monitoring HCH patients via phone and email</w:t>
      </w:r>
    </w:p>
    <w:p w14:paraId="32102DAF" w14:textId="77777777" w:rsidR="001C19F3" w:rsidRPr="008760C3" w:rsidRDefault="001C19F3" w:rsidP="001C19F3">
      <w:pPr>
        <w:numPr>
          <w:ilvl w:val="0"/>
          <w:numId w:val="48"/>
        </w:numPr>
        <w:contextualSpacing/>
        <w:rPr>
          <w:rFonts w:eastAsia="Times New Roman"/>
          <w:iCs/>
          <w:szCs w:val="20"/>
        </w:rPr>
      </w:pPr>
      <w:r w:rsidRPr="008760C3">
        <w:rPr>
          <w:rFonts w:eastAsia="Times New Roman"/>
          <w:iCs/>
          <w:szCs w:val="20"/>
        </w:rPr>
        <w:t xml:space="preserve">tracking and handling finances </w:t>
      </w:r>
    </w:p>
    <w:p w14:paraId="31B56A04" w14:textId="77777777" w:rsidR="001C19F3" w:rsidRPr="008760C3" w:rsidRDefault="001C19F3" w:rsidP="001C19F3">
      <w:pPr>
        <w:numPr>
          <w:ilvl w:val="0"/>
          <w:numId w:val="48"/>
        </w:numPr>
        <w:contextualSpacing/>
        <w:rPr>
          <w:rFonts w:eastAsia="Times New Roman"/>
          <w:iCs/>
          <w:szCs w:val="20"/>
        </w:rPr>
      </w:pPr>
      <w:r w:rsidRPr="008760C3">
        <w:rPr>
          <w:rFonts w:eastAsia="Times New Roman"/>
          <w:iCs/>
          <w:szCs w:val="20"/>
        </w:rPr>
        <w:t>chronic disease management</w:t>
      </w:r>
    </w:p>
    <w:p w14:paraId="17B0F452" w14:textId="77777777" w:rsidR="001C19F3" w:rsidRPr="008760C3" w:rsidRDefault="001C19F3" w:rsidP="001C19F3">
      <w:pPr>
        <w:numPr>
          <w:ilvl w:val="0"/>
          <w:numId w:val="48"/>
        </w:numPr>
        <w:contextualSpacing/>
        <w:rPr>
          <w:rFonts w:eastAsia="Times New Roman"/>
          <w:iCs/>
          <w:szCs w:val="20"/>
        </w:rPr>
      </w:pPr>
      <w:r w:rsidRPr="008760C3">
        <w:rPr>
          <w:rFonts w:eastAsia="Times New Roman"/>
          <w:iCs/>
          <w:szCs w:val="20"/>
        </w:rPr>
        <w:t>running patient groups</w:t>
      </w:r>
    </w:p>
    <w:p w14:paraId="7A99B199" w14:textId="77777777" w:rsidR="001C19F3" w:rsidRPr="008760C3" w:rsidRDefault="001C19F3" w:rsidP="001C19F3">
      <w:pPr>
        <w:numPr>
          <w:ilvl w:val="0"/>
          <w:numId w:val="48"/>
        </w:numPr>
        <w:contextualSpacing/>
        <w:rPr>
          <w:rFonts w:eastAsia="Times New Roman"/>
          <w:iCs/>
          <w:szCs w:val="20"/>
        </w:rPr>
      </w:pPr>
      <w:r>
        <w:rPr>
          <w:rFonts w:eastAsia="Times New Roman"/>
          <w:iCs/>
          <w:szCs w:val="20"/>
        </w:rPr>
        <w:t>entering data</w:t>
      </w:r>
    </w:p>
    <w:p w14:paraId="753F232E" w14:textId="77777777" w:rsidR="001C19F3" w:rsidRPr="008760C3" w:rsidRDefault="001C19F3" w:rsidP="001C19F3">
      <w:pPr>
        <w:numPr>
          <w:ilvl w:val="0"/>
          <w:numId w:val="48"/>
        </w:numPr>
        <w:contextualSpacing/>
        <w:rPr>
          <w:rFonts w:eastAsia="Times New Roman"/>
          <w:iCs/>
          <w:szCs w:val="20"/>
        </w:rPr>
      </w:pPr>
      <w:r>
        <w:rPr>
          <w:rFonts w:eastAsia="Times New Roman"/>
          <w:iCs/>
          <w:szCs w:val="20"/>
        </w:rPr>
        <w:t xml:space="preserve">preparing </w:t>
      </w:r>
      <w:r w:rsidRPr="008760C3">
        <w:rPr>
          <w:rFonts w:eastAsia="Times New Roman"/>
          <w:iCs/>
          <w:szCs w:val="20"/>
        </w:rPr>
        <w:t>patient care plans</w:t>
      </w:r>
    </w:p>
    <w:p w14:paraId="12358B6F" w14:textId="77777777" w:rsidR="001C19F3" w:rsidRPr="008760C3" w:rsidRDefault="001C19F3" w:rsidP="001C19F3">
      <w:pPr>
        <w:numPr>
          <w:ilvl w:val="0"/>
          <w:numId w:val="48"/>
        </w:numPr>
        <w:ind w:left="714" w:hanging="357"/>
        <w:rPr>
          <w:rFonts w:eastAsia="Times New Roman"/>
          <w:iCs/>
          <w:szCs w:val="20"/>
        </w:rPr>
      </w:pPr>
      <w:r w:rsidRPr="008760C3">
        <w:rPr>
          <w:rFonts w:eastAsia="Times New Roman"/>
          <w:iCs/>
          <w:szCs w:val="20"/>
        </w:rPr>
        <w:t>liaising with outside specialists and allied health professionals.</w:t>
      </w:r>
    </w:p>
    <w:p w14:paraId="2B32CE35" w14:textId="77777777" w:rsidR="001C19F3" w:rsidRPr="008760C3" w:rsidRDefault="001C19F3" w:rsidP="001C19F3">
      <w:pPr>
        <w:rPr>
          <w:rFonts w:eastAsia="Times New Roman"/>
          <w:iCs/>
          <w:szCs w:val="20"/>
        </w:rPr>
      </w:pPr>
      <w:r w:rsidRPr="008760C3">
        <w:rPr>
          <w:rFonts w:eastAsia="Times New Roman"/>
          <w:iCs/>
          <w:szCs w:val="20"/>
        </w:rPr>
        <w:t>Though some practices with a larger proportion of HCH patients would have liked to hire additional staff for HCH, they felt that they were restricted either financially or due to</w:t>
      </w:r>
      <w:r>
        <w:rPr>
          <w:rFonts w:eastAsia="Times New Roman"/>
          <w:iCs/>
          <w:szCs w:val="20"/>
        </w:rPr>
        <w:t xml:space="preserve"> issues with recruiting staff or </w:t>
      </w:r>
      <w:r w:rsidRPr="008760C3">
        <w:rPr>
          <w:rFonts w:eastAsia="Times New Roman"/>
          <w:iCs/>
          <w:szCs w:val="20"/>
        </w:rPr>
        <w:t>turnover. Some practices focused on the importance of having dedicated staff to focus on operating HCH while keeping up with the regular patient workload:</w:t>
      </w:r>
    </w:p>
    <w:bookmarkEnd w:id="304"/>
    <w:p w14:paraId="571D9986" w14:textId="77777777" w:rsidR="001C19F3" w:rsidRPr="008760C3" w:rsidRDefault="001C19F3" w:rsidP="001C19F3">
      <w:pPr>
        <w:ind w:left="567" w:right="1088"/>
        <w:rPr>
          <w:rFonts w:eastAsia="Times New Roman"/>
          <w:iCs/>
          <w:szCs w:val="20"/>
        </w:rPr>
      </w:pPr>
      <w:r w:rsidRPr="008760C3">
        <w:rPr>
          <w:rFonts w:eastAsia="Times New Roman"/>
          <w:iCs/>
          <w:szCs w:val="20"/>
        </w:rPr>
        <w:t>“</w:t>
      </w:r>
      <w:r w:rsidRPr="008760C3">
        <w:rPr>
          <w:rFonts w:eastAsia="Times New Roman"/>
          <w:i/>
          <w:iCs/>
          <w:szCs w:val="20"/>
        </w:rPr>
        <w:t xml:space="preserve">I think you almost need that dedicated Health Care Homes’ nurse who’s not actually trying to do everything else in the practice nurse role.” </w:t>
      </w:r>
      <w:r w:rsidRPr="008760C3">
        <w:rPr>
          <w:rFonts w:eastAsia="Times New Roman"/>
          <w:iCs/>
          <w:szCs w:val="20"/>
        </w:rPr>
        <w:t>[Practice nurse, Practice 10, interview</w:t>
      </w:r>
      <w:r>
        <w:rPr>
          <w:rFonts w:eastAsia="Times New Roman"/>
          <w:iCs/>
          <w:szCs w:val="20"/>
        </w:rPr>
        <w:t>, R2]</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4326F9C3" w14:textId="77777777" w:rsidTr="00521305">
        <w:trPr>
          <w:trHeight w:val="287"/>
          <w:jc w:val="right"/>
        </w:trPr>
        <w:tc>
          <w:tcPr>
            <w:tcW w:w="5000" w:type="pct"/>
          </w:tcPr>
          <w:p w14:paraId="25979474"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7CE08305" w14:textId="77777777" w:rsidTr="00521305">
        <w:trPr>
          <w:jc w:val="right"/>
        </w:trPr>
        <w:tc>
          <w:tcPr>
            <w:tcW w:w="5000" w:type="pct"/>
          </w:tcPr>
          <w:p w14:paraId="49487C97" w14:textId="77777777" w:rsidR="001C19F3" w:rsidRPr="008760C3" w:rsidRDefault="001C19F3" w:rsidP="00521305">
            <w:pPr>
              <w:spacing w:after="0"/>
              <w:rPr>
                <w:sz w:val="18"/>
                <w:szCs w:val="18"/>
              </w:rPr>
            </w:pPr>
            <w:r w:rsidRPr="008760C3">
              <w:rPr>
                <w:sz w:val="18"/>
                <w:szCs w:val="18"/>
              </w:rPr>
              <w:t xml:space="preserve">A practice with four doctors and three nurses located in a small city used HCH funding to employ a medical practice assistant. The practice manager advertised for the role but received few applications. Since this is a fairly new role in primary care, she surmised that this </w:t>
            </w:r>
            <w:r>
              <w:rPr>
                <w:sz w:val="18"/>
                <w:szCs w:val="18"/>
              </w:rPr>
              <w:t>was</w:t>
            </w:r>
            <w:r w:rsidRPr="008760C3">
              <w:rPr>
                <w:sz w:val="18"/>
                <w:szCs w:val="18"/>
              </w:rPr>
              <w:t xml:space="preserve"> the reason </w:t>
            </w:r>
            <w:r>
              <w:rPr>
                <w:sz w:val="18"/>
                <w:szCs w:val="18"/>
              </w:rPr>
              <w:t xml:space="preserve">for </w:t>
            </w:r>
            <w:r>
              <w:rPr>
                <w:sz w:val="18"/>
                <w:szCs w:val="18"/>
              </w:rPr>
              <w:lastRenderedPageBreak/>
              <w:t>the low interest</w:t>
            </w:r>
            <w:r w:rsidRPr="008760C3">
              <w:rPr>
                <w:sz w:val="18"/>
                <w:szCs w:val="18"/>
              </w:rPr>
              <w:t xml:space="preserve">. Nevertheless, the practice successfully employed a medical </w:t>
            </w:r>
            <w:r>
              <w:rPr>
                <w:sz w:val="18"/>
                <w:szCs w:val="18"/>
              </w:rPr>
              <w:t>practice assistant</w:t>
            </w:r>
            <w:r w:rsidRPr="008760C3">
              <w:rPr>
                <w:sz w:val="18"/>
                <w:szCs w:val="18"/>
              </w:rPr>
              <w:t>, and reported that the position has been a positive addition to the team. In addition to helping with the HCH program, the medical practice assistant performs a variety of IT tasks, health checks, and manages certain aspects of patient education. The practice manager hopes to continue to expand the role.</w:t>
            </w:r>
          </w:p>
        </w:tc>
      </w:tr>
    </w:tbl>
    <w:p w14:paraId="4C0F52AC" w14:textId="77777777" w:rsidR="001C19F3" w:rsidRPr="008760C3" w:rsidRDefault="001C19F3" w:rsidP="001C19F3">
      <w:pPr>
        <w:spacing w:after="0"/>
      </w:pPr>
    </w:p>
    <w:p w14:paraId="02E37411" w14:textId="77777777" w:rsidR="001C19F3" w:rsidRPr="008760C3" w:rsidRDefault="001C19F3" w:rsidP="001C19F3">
      <w:pPr>
        <w:keepNext/>
        <w:keepLines/>
        <w:spacing w:line="240" w:lineRule="auto"/>
        <w:outlineLvl w:val="1"/>
        <w:rPr>
          <w:rFonts w:eastAsiaTheme="majorEastAsia" w:cstheme="majorBidi"/>
          <w:color w:val="003D79"/>
          <w:sz w:val="40"/>
          <w:szCs w:val="26"/>
        </w:rPr>
      </w:pPr>
      <w:bookmarkStart w:id="305" w:name="_Toc20925700"/>
      <w:r w:rsidRPr="008760C3">
        <w:rPr>
          <w:rFonts w:eastAsiaTheme="majorEastAsia" w:cstheme="majorBidi"/>
          <w:color w:val="003D79"/>
          <w:sz w:val="40"/>
          <w:szCs w:val="26"/>
        </w:rPr>
        <w:t xml:space="preserve">Managing </w:t>
      </w:r>
      <w:bookmarkEnd w:id="303"/>
      <w:r w:rsidRPr="008760C3">
        <w:rPr>
          <w:rFonts w:eastAsiaTheme="majorEastAsia" w:cstheme="majorBidi"/>
          <w:color w:val="003D79"/>
          <w:sz w:val="40"/>
          <w:szCs w:val="26"/>
        </w:rPr>
        <w:t>change</w:t>
      </w:r>
      <w:bookmarkEnd w:id="305"/>
    </w:p>
    <w:p w14:paraId="6AE87302" w14:textId="77777777" w:rsidR="001C19F3" w:rsidRPr="008760C3" w:rsidRDefault="001C19F3" w:rsidP="001C19F3">
      <w:bookmarkStart w:id="306" w:name="_Hlk21360371"/>
      <w:r w:rsidRPr="008760C3">
        <w:t xml:space="preserve">PHN practice facilitators identified key factors that helped practices transition to </w:t>
      </w:r>
      <w:r>
        <w:t>an HCH</w:t>
      </w:r>
      <w:r w:rsidRPr="008760C3">
        <w:t>: change leaders, peer-to-peer engagement</w:t>
      </w:r>
      <w:r>
        <w:t xml:space="preserve"> and</w:t>
      </w:r>
      <w:r w:rsidRPr="008760C3">
        <w:t xml:space="preserve"> sequencing change</w:t>
      </w:r>
      <w:bookmarkEnd w:id="306"/>
      <w:r w:rsidRPr="008760C3">
        <w:t>.</w:t>
      </w:r>
      <w:r>
        <w:t xml:space="preserve"> </w:t>
      </w:r>
      <w:r w:rsidRPr="0075792C">
        <w:t xml:space="preserve">Both PHN practice facilitators and practices </w:t>
      </w:r>
      <w:r>
        <w:t xml:space="preserve">also </w:t>
      </w:r>
      <w:r w:rsidRPr="0075792C">
        <w:t xml:space="preserve">discussed </w:t>
      </w:r>
      <w:r>
        <w:t>other</w:t>
      </w:r>
      <w:r w:rsidRPr="0075792C">
        <w:t xml:space="preserve"> aspects of practices that enhanced or thwarted their ability to effectively transition to </w:t>
      </w:r>
      <w:r>
        <w:t>an HCH.</w:t>
      </w:r>
      <w:r w:rsidRPr="008760C3">
        <w:t xml:space="preserve"> These are described below.</w:t>
      </w:r>
    </w:p>
    <w:p w14:paraId="729114D4" w14:textId="77777777" w:rsidR="001C19F3" w:rsidRPr="008760C3" w:rsidRDefault="001C19F3" w:rsidP="001C19F3">
      <w:pPr>
        <w:keepNext/>
        <w:keepLines/>
        <w:spacing w:line="240" w:lineRule="auto"/>
        <w:outlineLvl w:val="2"/>
        <w:rPr>
          <w:rFonts w:eastAsiaTheme="majorEastAsia" w:cstheme="majorBidi"/>
          <w:color w:val="003D79"/>
          <w:sz w:val="28"/>
          <w:szCs w:val="24"/>
        </w:rPr>
      </w:pPr>
      <w:r w:rsidRPr="008760C3">
        <w:rPr>
          <w:rFonts w:eastAsiaTheme="majorEastAsia" w:cstheme="majorBidi"/>
          <w:color w:val="003D79"/>
          <w:sz w:val="28"/>
          <w:szCs w:val="24"/>
        </w:rPr>
        <w:t>Change leaders</w:t>
      </w:r>
    </w:p>
    <w:p w14:paraId="42D8F896" w14:textId="77777777" w:rsidR="001C19F3" w:rsidRPr="008760C3" w:rsidRDefault="001C19F3" w:rsidP="001C19F3">
      <w:bookmarkStart w:id="307" w:name="_Hlk21360404"/>
      <w:r w:rsidRPr="008760C3">
        <w:t xml:space="preserve">Practice facilitators felt that practices should identify key people within the practice to facilitate the change process. More than one person was required </w:t>
      </w:r>
      <w:r>
        <w:t xml:space="preserve">– </w:t>
      </w:r>
      <w:r w:rsidRPr="008760C3">
        <w:t>typically a GP, a nurse and a practice manager.</w:t>
      </w:r>
    </w:p>
    <w:p w14:paraId="18C557CE" w14:textId="77777777" w:rsidR="001C19F3" w:rsidRPr="008760C3" w:rsidRDefault="001C19F3" w:rsidP="001C19F3">
      <w:r w:rsidRPr="008760C3">
        <w:t>Facilitators thought this team should be adequately prepared, for example, training taken together prior to the start of the implementation, and having protected time to plan as a team.</w:t>
      </w:r>
    </w:p>
    <w:bookmarkEnd w:id="307"/>
    <w:p w14:paraId="65C62DFC" w14:textId="77777777" w:rsidR="001C19F3" w:rsidRPr="008760C3" w:rsidRDefault="001C19F3" w:rsidP="001C19F3">
      <w:pPr>
        <w:keepNext/>
        <w:keepLines/>
        <w:spacing w:line="240" w:lineRule="auto"/>
        <w:outlineLvl w:val="2"/>
        <w:rPr>
          <w:rFonts w:eastAsiaTheme="majorEastAsia" w:cstheme="majorBidi"/>
          <w:color w:val="003D79"/>
          <w:sz w:val="28"/>
          <w:szCs w:val="24"/>
        </w:rPr>
      </w:pPr>
      <w:r w:rsidRPr="008760C3">
        <w:rPr>
          <w:rFonts w:eastAsiaTheme="majorEastAsia" w:cstheme="majorBidi"/>
          <w:color w:val="003D79"/>
          <w:sz w:val="28"/>
          <w:szCs w:val="24"/>
        </w:rPr>
        <w:t>Peer-to-peer engagement</w:t>
      </w:r>
    </w:p>
    <w:p w14:paraId="7EDF0691" w14:textId="77777777" w:rsidR="001C19F3" w:rsidRPr="008760C3" w:rsidRDefault="001C19F3" w:rsidP="001C19F3">
      <w:r w:rsidRPr="008760C3">
        <w:rPr>
          <w:noProof/>
          <w:lang w:eastAsia="en-AU"/>
        </w:rPr>
        <mc:AlternateContent>
          <mc:Choice Requires="wps">
            <w:drawing>
              <wp:anchor distT="91440" distB="91440" distL="114300" distR="114300" simplePos="0" relativeHeight="251672576" behindDoc="0" locked="0" layoutInCell="1" allowOverlap="1" wp14:anchorId="303BC463" wp14:editId="7FE9E274">
                <wp:simplePos x="0" y="0"/>
                <wp:positionH relativeFrom="page">
                  <wp:posOffset>914400</wp:posOffset>
                </wp:positionH>
                <wp:positionV relativeFrom="paragraph">
                  <wp:posOffset>20955</wp:posOffset>
                </wp:positionV>
                <wp:extent cx="1733550" cy="619125"/>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noFill/>
                        <a:ln w="9525">
                          <a:noFill/>
                          <a:miter lim="800000"/>
                          <a:headEnd/>
                          <a:tailEnd/>
                        </a:ln>
                      </wps:spPr>
                      <wps:txbx>
                        <w:txbxContent>
                          <w:p w14:paraId="7234281D" w14:textId="77777777" w:rsidR="00521305" w:rsidRDefault="00521305" w:rsidP="001C19F3">
                            <w:pPr>
                              <w:spacing w:after="0"/>
                              <w:jc w:val="center"/>
                              <w:rPr>
                                <w:i/>
                                <w:iCs/>
                                <w:color w:val="003D79"/>
                                <w:sz w:val="18"/>
                                <w:szCs w:val="18"/>
                              </w:rPr>
                            </w:pPr>
                            <w:r>
                              <w:rPr>
                                <w:i/>
                                <w:iCs/>
                                <w:color w:val="003D79"/>
                                <w:sz w:val="18"/>
                                <w:szCs w:val="18"/>
                              </w:rPr>
                              <w:t xml:space="preserve">“There’s so much more to it than reading a manual” </w:t>
                            </w:r>
                            <w:r w:rsidRPr="009B75E1">
                              <w:rPr>
                                <w:iCs/>
                                <w:color w:val="003D79"/>
                                <w:sz w:val="18"/>
                                <w:szCs w:val="18"/>
                              </w:rPr>
                              <w:t>[PHN 2, interview, R</w:t>
                            </w:r>
                            <w:r>
                              <w:rPr>
                                <w:iCs/>
                                <w:color w:val="003D79"/>
                                <w:sz w:val="18"/>
                                <w:szCs w:val="18"/>
                              </w:rPr>
                              <w:t>2</w:t>
                            </w:r>
                            <w:r w:rsidRPr="009B75E1">
                              <w:rPr>
                                <w:iCs/>
                                <w:color w:val="003D7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BC463" id="Text Box 67" o:spid="_x0000_s1043" type="#_x0000_t202" style="position:absolute;margin-left:1in;margin-top:1.65pt;width:136.5pt;height:48.75pt;z-index:2516725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" filled="f" stroked="f">
                <v:textbox>
                  <w:txbxContent>
                    <w:p w14:paraId="7234281D" w14:textId="77777777" w:rsidR="00521305" w:rsidRDefault="00521305" w:rsidP="001C19F3">
                      <w:pPr>
                        <w:spacing w:after="0"/>
                        <w:jc w:val="center"/>
                        <w:rPr>
                          <w:i/>
                          <w:iCs/>
                          <w:color w:val="003D79"/>
                          <w:sz w:val="18"/>
                          <w:szCs w:val="18"/>
                        </w:rPr>
                      </w:pPr>
                      <w:r>
                        <w:rPr>
                          <w:i/>
                          <w:iCs/>
                          <w:color w:val="003D79"/>
                          <w:sz w:val="18"/>
                          <w:szCs w:val="18"/>
                        </w:rPr>
                        <w:t xml:space="preserve">“There’s so much more to it than reading a manual” </w:t>
                      </w:r>
                      <w:r w:rsidRPr="009B75E1">
                        <w:rPr>
                          <w:iCs/>
                          <w:color w:val="003D79"/>
                          <w:sz w:val="18"/>
                          <w:szCs w:val="18"/>
                        </w:rPr>
                        <w:t>[PHN 2, interview, R</w:t>
                      </w:r>
                      <w:r>
                        <w:rPr>
                          <w:iCs/>
                          <w:color w:val="003D79"/>
                          <w:sz w:val="18"/>
                          <w:szCs w:val="18"/>
                        </w:rPr>
                        <w:t>2</w:t>
                      </w:r>
                      <w:r w:rsidRPr="009B75E1">
                        <w:rPr>
                          <w:iCs/>
                          <w:color w:val="003D79"/>
                          <w:sz w:val="18"/>
                          <w:szCs w:val="18"/>
                        </w:rPr>
                        <w:t>]</w:t>
                      </w:r>
                    </w:p>
                  </w:txbxContent>
                </v:textbox>
                <w10:wrap type="square" anchorx="page"/>
              </v:shape>
            </w:pict>
          </mc:Fallback>
        </mc:AlternateContent>
      </w:r>
      <w:bookmarkStart w:id="308" w:name="_Hlk21360434"/>
      <w:r w:rsidRPr="008760C3">
        <w:rPr>
          <w:noProof/>
        </w:rPr>
        <w:t>A struggle</w:t>
      </w:r>
      <w:r w:rsidRPr="008760C3">
        <w:t xml:space="preserve"> in practice facilitators’ role was engaging GPs in the practices. Many recognised early that peer-to-peer engagement was the most effective approach for this. A strategy PHNs used was to use a GP with experience of implementing PCMH to talk to the local GPs about</w:t>
      </w:r>
      <w:bookmarkEnd w:id="308"/>
      <w:r>
        <w:t xml:space="preserve"> the model</w:t>
      </w:r>
      <w:r w:rsidRPr="008760C3">
        <w:t>:</w:t>
      </w:r>
    </w:p>
    <w:p w14:paraId="4D0BE9B4" w14:textId="77777777" w:rsidR="001C19F3" w:rsidRPr="008760C3" w:rsidRDefault="001C19F3" w:rsidP="001C19F3">
      <w:pPr>
        <w:ind w:left="567" w:right="1088"/>
        <w:rPr>
          <w:i/>
        </w:rPr>
      </w:pPr>
      <w:r w:rsidRPr="008760C3">
        <w:rPr>
          <w:i/>
          <w:szCs w:val="20"/>
        </w:rPr>
        <w:t>“…what it feels like to be a Health Care Home, not so much what it looks like on paper</w:t>
      </w:r>
      <w:r w:rsidRPr="008760C3">
        <w:rPr>
          <w:i/>
        </w:rPr>
        <w:t xml:space="preserve"> but what it feels like a GP operating in a Health Care Home.” </w:t>
      </w:r>
      <w:r w:rsidRPr="008760C3">
        <w:t>[PHN 3, interview</w:t>
      </w:r>
      <w:r>
        <w:t>, R1]</w:t>
      </w:r>
    </w:p>
    <w:p w14:paraId="5D117023" w14:textId="77777777" w:rsidR="001C19F3" w:rsidRPr="008760C3" w:rsidRDefault="001C19F3" w:rsidP="001C19F3">
      <w:bookmarkStart w:id="309" w:name="_Hlk21360454"/>
      <w:r w:rsidRPr="008760C3">
        <w:t>Another strategy was GP-to-GP forums, which were often a subset of a wider community of practice established by the PHN</w:t>
      </w:r>
      <w:bookmarkEnd w:id="309"/>
      <w:r w:rsidRPr="008760C3">
        <w:t>.</w:t>
      </w:r>
    </w:p>
    <w:p w14:paraId="0107CF14" w14:textId="77777777" w:rsidR="001C19F3" w:rsidRPr="008760C3" w:rsidRDefault="001C19F3" w:rsidP="001C19F3">
      <w:pPr>
        <w:keepNext/>
        <w:keepLines/>
        <w:spacing w:line="240" w:lineRule="auto"/>
        <w:outlineLvl w:val="2"/>
        <w:rPr>
          <w:rFonts w:eastAsiaTheme="majorEastAsia" w:cstheme="majorBidi"/>
          <w:color w:val="003D79"/>
          <w:sz w:val="28"/>
          <w:szCs w:val="24"/>
        </w:rPr>
      </w:pPr>
      <w:r w:rsidRPr="008760C3">
        <w:rPr>
          <w:rFonts w:eastAsiaTheme="majorEastAsia" w:cstheme="majorBidi"/>
          <w:color w:val="003D79"/>
          <w:sz w:val="28"/>
          <w:szCs w:val="24"/>
        </w:rPr>
        <w:t>Sequencing change</w:t>
      </w:r>
    </w:p>
    <w:p w14:paraId="239FD602" w14:textId="77777777" w:rsidR="001C19F3" w:rsidRPr="008760C3" w:rsidRDefault="001C19F3" w:rsidP="001C19F3">
      <w:r w:rsidRPr="008760C3">
        <w:rPr>
          <w:noProof/>
          <w:lang w:eastAsia="en-AU"/>
        </w:rPr>
        <mc:AlternateContent>
          <mc:Choice Requires="wps">
            <w:drawing>
              <wp:anchor distT="91440" distB="91440" distL="114300" distR="114300" simplePos="0" relativeHeight="251671552" behindDoc="0" locked="0" layoutInCell="1" allowOverlap="1" wp14:anchorId="4AA169D6" wp14:editId="2D660D96">
                <wp:simplePos x="0" y="0"/>
                <wp:positionH relativeFrom="page">
                  <wp:posOffset>914400</wp:posOffset>
                </wp:positionH>
                <wp:positionV relativeFrom="paragraph">
                  <wp:posOffset>26670</wp:posOffset>
                </wp:positionV>
                <wp:extent cx="1543050" cy="390525"/>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90525"/>
                        </a:xfrm>
                        <a:prstGeom prst="rect">
                          <a:avLst/>
                        </a:prstGeom>
                        <a:noFill/>
                        <a:ln w="9525">
                          <a:noFill/>
                          <a:miter lim="800000"/>
                          <a:headEnd/>
                          <a:tailEnd/>
                        </a:ln>
                      </wps:spPr>
                      <wps:txbx>
                        <w:txbxContent>
                          <w:p w14:paraId="081E4EA8" w14:textId="77777777" w:rsidR="00521305" w:rsidRDefault="00521305" w:rsidP="001C19F3">
                            <w:pPr>
                              <w:spacing w:after="0"/>
                              <w:jc w:val="center"/>
                              <w:rPr>
                                <w:i/>
                                <w:iCs/>
                                <w:color w:val="003D79"/>
                                <w:sz w:val="18"/>
                                <w:szCs w:val="18"/>
                              </w:rPr>
                            </w:pPr>
                            <w:r>
                              <w:rPr>
                                <w:i/>
                                <w:iCs/>
                                <w:color w:val="003D79"/>
                                <w:sz w:val="18"/>
                                <w:szCs w:val="18"/>
                              </w:rPr>
                              <w:t xml:space="preserve">“One step at a time” </w:t>
                            </w:r>
                            <w:r w:rsidRPr="009B75E1">
                              <w:rPr>
                                <w:iCs/>
                                <w:color w:val="003D79"/>
                                <w:sz w:val="18"/>
                                <w:szCs w:val="18"/>
                              </w:rPr>
                              <w:t>[PHN 8, interview, 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69D6" id="Text Box 66" o:spid="_x0000_s1044" type="#_x0000_t202" style="position:absolute;margin-left:1in;margin-top:2.1pt;width:121.5pt;height:30.75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" filled="f" stroked="f">
                <v:textbox>
                  <w:txbxContent>
                    <w:p w14:paraId="081E4EA8" w14:textId="77777777" w:rsidR="00521305" w:rsidRDefault="00521305" w:rsidP="001C19F3">
                      <w:pPr>
                        <w:spacing w:after="0"/>
                        <w:jc w:val="center"/>
                        <w:rPr>
                          <w:i/>
                          <w:iCs/>
                          <w:color w:val="003D79"/>
                          <w:sz w:val="18"/>
                          <w:szCs w:val="18"/>
                        </w:rPr>
                      </w:pPr>
                      <w:r>
                        <w:rPr>
                          <w:i/>
                          <w:iCs/>
                          <w:color w:val="003D79"/>
                          <w:sz w:val="18"/>
                          <w:szCs w:val="18"/>
                        </w:rPr>
                        <w:t xml:space="preserve">“One step at a time” </w:t>
                      </w:r>
                      <w:r w:rsidRPr="009B75E1">
                        <w:rPr>
                          <w:iCs/>
                          <w:color w:val="003D79"/>
                          <w:sz w:val="18"/>
                          <w:szCs w:val="18"/>
                        </w:rPr>
                        <w:t>[PHN 8, interview, R1]</w:t>
                      </w:r>
                    </w:p>
                  </w:txbxContent>
                </v:textbox>
                <w10:wrap type="square" anchorx="page"/>
              </v:shape>
            </w:pict>
          </mc:Fallback>
        </mc:AlternateContent>
      </w:r>
      <w:bookmarkStart w:id="310" w:name="_Hlk21360496"/>
      <w:r w:rsidRPr="008760C3">
        <w:t>Practice facilitators talked about the need to break up tasks to make the change process more manageable</w:t>
      </w:r>
      <w:bookmarkEnd w:id="310"/>
      <w:r w:rsidRPr="008760C3">
        <w:t xml:space="preserve">: </w:t>
      </w:r>
    </w:p>
    <w:p w14:paraId="45E1D6DB" w14:textId="77777777" w:rsidR="001C19F3" w:rsidRPr="008760C3" w:rsidRDefault="001C19F3" w:rsidP="001C19F3">
      <w:pPr>
        <w:ind w:left="567" w:right="1088"/>
        <w:rPr>
          <w:i/>
        </w:rPr>
      </w:pPr>
      <w:r w:rsidRPr="008760C3">
        <w:rPr>
          <w:i/>
        </w:rPr>
        <w:t xml:space="preserve">“…to get the practices over the line and keep them involved and keep engaged, we broke down the steps. So that we’ve been telling them, this is the front end part of it. It’s full-on and you need to get all the processes right.” </w:t>
      </w:r>
      <w:r w:rsidRPr="008760C3">
        <w:t>[PHN 3, interview</w:t>
      </w:r>
      <w:r>
        <w:t>, R1]</w:t>
      </w:r>
    </w:p>
    <w:p w14:paraId="03FC6385" w14:textId="77777777" w:rsidR="001C19F3" w:rsidRPr="008760C3" w:rsidRDefault="001C19F3" w:rsidP="001C19F3">
      <w:bookmarkStart w:id="311" w:name="_Hlk21360504"/>
      <w:r w:rsidRPr="008760C3">
        <w:t>They also talked about tailoring their work with practices according to the stage that they’re at: “</w:t>
      </w:r>
      <w:r w:rsidRPr="008760C3">
        <w:rPr>
          <w:i/>
        </w:rPr>
        <w:t xml:space="preserve">Chipping away until </w:t>
      </w:r>
      <w:r w:rsidRPr="008760C3">
        <w:t>[the message]</w:t>
      </w:r>
      <w:r w:rsidRPr="008760C3">
        <w:rPr>
          <w:i/>
        </w:rPr>
        <w:t xml:space="preserve"> resonates with some type of meaning.</w:t>
      </w:r>
      <w:r w:rsidRPr="008760C3">
        <w:t>” [PHN 4, interview</w:t>
      </w:r>
      <w:r>
        <w:t>, R1]</w:t>
      </w:r>
      <w:r w:rsidRPr="008760C3">
        <w:t>, including managing how much information that they gave them</w:t>
      </w:r>
      <w:r>
        <w:t xml:space="preserve"> at certain </w:t>
      </w:r>
      <w:r>
        <w:lastRenderedPageBreak/>
        <w:t>points</w:t>
      </w:r>
      <w:r w:rsidRPr="008760C3">
        <w:t xml:space="preserve"> (“</w:t>
      </w:r>
      <w:r w:rsidRPr="008760C3">
        <w:rPr>
          <w:i/>
        </w:rPr>
        <w:t>making sure they don’t feel overwhelmed at the amount of information they have at the time</w:t>
      </w:r>
      <w:r w:rsidRPr="008760C3">
        <w:t>…” [PHN 3, interview</w:t>
      </w:r>
      <w:r>
        <w:t>, R1]</w:t>
      </w:r>
      <w:r w:rsidRPr="008760C3">
        <w:t>).</w:t>
      </w:r>
    </w:p>
    <w:bookmarkEnd w:id="311"/>
    <w:p w14:paraId="048299EC" w14:textId="77777777" w:rsidR="001C19F3" w:rsidRPr="008760C3" w:rsidRDefault="001C19F3" w:rsidP="001C19F3">
      <w:pPr>
        <w:keepNext/>
        <w:keepLines/>
        <w:spacing w:line="240" w:lineRule="auto"/>
        <w:outlineLvl w:val="2"/>
        <w:rPr>
          <w:rFonts w:eastAsiaTheme="majorEastAsia" w:cstheme="majorBidi"/>
          <w:color w:val="003D79"/>
          <w:sz w:val="28"/>
          <w:szCs w:val="24"/>
        </w:rPr>
      </w:pPr>
      <w:r w:rsidRPr="008760C3">
        <w:rPr>
          <w:rFonts w:eastAsiaTheme="majorEastAsia" w:cstheme="majorBidi"/>
          <w:color w:val="003D79"/>
          <w:sz w:val="28"/>
          <w:szCs w:val="24"/>
        </w:rPr>
        <w:t>Practice capability</w:t>
      </w:r>
    </w:p>
    <w:p w14:paraId="2157937B" w14:textId="77777777" w:rsidR="001C19F3" w:rsidRPr="008760C3" w:rsidRDefault="001C19F3" w:rsidP="001C19F3">
      <w:pPr>
        <w:rPr>
          <w:rFonts w:eastAsia="Times New Roman"/>
          <w:iCs/>
          <w:szCs w:val="20"/>
        </w:rPr>
      </w:pPr>
      <w:bookmarkStart w:id="312" w:name="_Hlk21361136"/>
      <w:r>
        <w:rPr>
          <w:rFonts w:eastAsia="Times New Roman"/>
          <w:iCs/>
          <w:szCs w:val="20"/>
        </w:rPr>
        <w:t>Some p</w:t>
      </w:r>
      <w:r w:rsidRPr="00EB0F66">
        <w:rPr>
          <w:rFonts w:eastAsia="Times New Roman"/>
          <w:iCs/>
          <w:szCs w:val="20"/>
        </w:rPr>
        <w:t xml:space="preserve">ractices felt that their </w:t>
      </w:r>
      <w:r w:rsidRPr="00EB0F66">
        <w:rPr>
          <w:rFonts w:eastAsia="Times New Roman"/>
          <w:b/>
          <w:iCs/>
          <w:szCs w:val="20"/>
        </w:rPr>
        <w:t>involvement in past initiatives</w:t>
      </w:r>
      <w:r w:rsidRPr="00EB0F66">
        <w:rPr>
          <w:rFonts w:eastAsia="Times New Roman"/>
          <w:iCs/>
          <w:szCs w:val="20"/>
        </w:rPr>
        <w:t xml:space="preserve"> made it easier for them to adopt </w:t>
      </w:r>
      <w:r>
        <w:rPr>
          <w:rFonts w:eastAsia="Times New Roman"/>
          <w:iCs/>
          <w:szCs w:val="20"/>
        </w:rPr>
        <w:t>HCH</w:t>
      </w:r>
      <w:bookmarkEnd w:id="312"/>
      <w:r w:rsidRPr="00EB0F66">
        <w:rPr>
          <w:rFonts w:eastAsia="Times New Roman"/>
          <w:iCs/>
          <w:szCs w:val="20"/>
        </w:rPr>
        <w:t>. This included participating in initiatives such as team-based care, quality improvement, and patient-centred care. They reported that these initiatives helped them slowly engage their staff and create a culture that embraced the HCH model. Engagement in these types of activities often meant that they had worked with their PHNs in the past. It also gave them additional time to prepare for this type of large-scale change</w:t>
      </w:r>
      <w:r w:rsidRPr="008760C3">
        <w:rPr>
          <w:rFonts w:eastAsia="Times New Roman"/>
          <w:iCs/>
          <w:szCs w:val="20"/>
        </w:rPr>
        <w:t>:</w:t>
      </w:r>
    </w:p>
    <w:p w14:paraId="37C1979F"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“We have been part of a journey towards developing patients in their medical home. Or achieving these attributes and principles for some time. </w:t>
      </w:r>
      <w:r w:rsidRPr="008760C3">
        <w:rPr>
          <w:rFonts w:eastAsia="Times New Roman"/>
          <w:iCs/>
          <w:szCs w:val="20"/>
        </w:rPr>
        <w:t>[The]</w:t>
      </w:r>
      <w:r w:rsidRPr="008760C3">
        <w:rPr>
          <w:rFonts w:eastAsia="Times New Roman"/>
          <w:i/>
          <w:iCs/>
          <w:szCs w:val="20"/>
        </w:rPr>
        <w:t xml:space="preserve"> Health Care Home program just simply enabled us to do that. We have been preparing for a couple of years and been involved heavily with the Primary Health Network and on that journey. Health Care Home was simply something that we could pick up and run with.” </w:t>
      </w:r>
      <w:r w:rsidRPr="008760C3">
        <w:rPr>
          <w:rFonts w:eastAsia="Times New Roman"/>
          <w:iCs/>
          <w:szCs w:val="20"/>
        </w:rPr>
        <w:t>[GP, Practice 5, interview</w:t>
      </w:r>
      <w:r>
        <w:rPr>
          <w:rFonts w:eastAsia="Times New Roman"/>
          <w:iCs/>
          <w:szCs w:val="20"/>
        </w:rPr>
        <w:t>, R2]</w:t>
      </w:r>
      <w:r w:rsidRPr="008760C3">
        <w:rPr>
          <w:rFonts w:eastAsia="Times New Roman"/>
          <w:iCs/>
          <w:szCs w:val="20"/>
        </w:rPr>
        <w:t xml:space="preserve"> </w:t>
      </w:r>
    </w:p>
    <w:tbl>
      <w:tblPr>
        <w:tblpPr w:leftFromText="180" w:rightFromText="180" w:vertAnchor="text" w:horzAnchor="margin" w:tblpY="-5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44B957F7" w14:textId="77777777" w:rsidTr="00521305">
        <w:trPr>
          <w:trHeight w:val="287"/>
        </w:trPr>
        <w:tc>
          <w:tcPr>
            <w:tcW w:w="5000" w:type="pct"/>
          </w:tcPr>
          <w:p w14:paraId="18E2829C"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14672664" w14:textId="77777777" w:rsidTr="00521305">
        <w:tc>
          <w:tcPr>
            <w:tcW w:w="5000" w:type="pct"/>
          </w:tcPr>
          <w:p w14:paraId="1570688A" w14:textId="77777777" w:rsidR="001C19F3" w:rsidRPr="008760C3" w:rsidRDefault="001C19F3" w:rsidP="00521305">
            <w:pPr>
              <w:spacing w:after="0"/>
              <w:rPr>
                <w:sz w:val="18"/>
                <w:szCs w:val="18"/>
              </w:rPr>
            </w:pPr>
            <w:r w:rsidRPr="008760C3">
              <w:rPr>
                <w:sz w:val="18"/>
                <w:szCs w:val="18"/>
              </w:rPr>
              <w:t>A large practice located in a busy suburb just outside of a major metropolitan area has been heavily involved in quality improvement initiatives. In the last few years the practice has focussed on implementing the patient centred medical home (PCMH). Involvement in these previous initiatives has made implementation of HCH smooth.</w:t>
            </w:r>
            <w:r>
              <w:rPr>
                <w:sz w:val="18"/>
                <w:szCs w:val="18"/>
              </w:rPr>
              <w:t xml:space="preserve"> </w:t>
            </w:r>
            <w:r w:rsidRPr="008760C3">
              <w:rPr>
                <w:sz w:val="18"/>
                <w:szCs w:val="18"/>
              </w:rPr>
              <w:t>The practice leaders feel that they have created a cultural shift amongst staff and that the entire practice is committed to the HCH model of care.</w:t>
            </w:r>
          </w:p>
        </w:tc>
      </w:tr>
    </w:tbl>
    <w:p w14:paraId="54387CE7" w14:textId="77777777" w:rsidR="001C19F3" w:rsidRPr="008760C3" w:rsidRDefault="001C19F3" w:rsidP="001C19F3">
      <w:pPr>
        <w:spacing w:after="0"/>
        <w:rPr>
          <w:rFonts w:eastAsia="Times New Roman"/>
          <w:iCs/>
          <w:szCs w:val="20"/>
        </w:rPr>
      </w:pPr>
    </w:p>
    <w:p w14:paraId="161C9B10" w14:textId="77777777" w:rsidR="001C19F3" w:rsidRPr="008760C3" w:rsidRDefault="001C19F3" w:rsidP="001C19F3">
      <w:pPr>
        <w:rPr>
          <w:rFonts w:eastAsia="Times New Roman"/>
          <w:iCs/>
          <w:szCs w:val="20"/>
        </w:rPr>
      </w:pPr>
      <w:r w:rsidRPr="008760C3">
        <w:rPr>
          <w:rFonts w:eastAsia="Times New Roman"/>
          <w:iCs/>
          <w:szCs w:val="20"/>
        </w:rPr>
        <w:t xml:space="preserve">Another practice felt that past participation in initiatives and </w:t>
      </w:r>
      <w:r>
        <w:rPr>
          <w:rFonts w:eastAsia="Times New Roman"/>
          <w:iCs/>
          <w:szCs w:val="20"/>
        </w:rPr>
        <w:t>its</w:t>
      </w:r>
      <w:r w:rsidRPr="008760C3">
        <w:rPr>
          <w:rFonts w:eastAsia="Times New Roman"/>
          <w:iCs/>
          <w:szCs w:val="20"/>
        </w:rPr>
        <w:t xml:space="preserve"> desire to improve patient care made their decision to participate in HCH seem like natural step. </w:t>
      </w:r>
      <w:r>
        <w:rPr>
          <w:rFonts w:eastAsia="Times New Roman"/>
          <w:iCs/>
          <w:szCs w:val="20"/>
        </w:rPr>
        <w:t>T</w:t>
      </w:r>
      <w:r w:rsidRPr="008760C3">
        <w:rPr>
          <w:rFonts w:eastAsia="Times New Roman"/>
          <w:iCs/>
          <w:szCs w:val="20"/>
        </w:rPr>
        <w:t>his involvement made it easier to adopt the model within the practice:</w:t>
      </w:r>
    </w:p>
    <w:p w14:paraId="627572ED"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think the major help has been previous experience with enhanced primary care and the collaboratives. So moving on from there, looking at another way to apply those same ideas that would be the major help. That and having a clinical team that’s keen on enhanced primary care and taking care of patients as a team.” </w:t>
      </w:r>
      <w:r w:rsidRPr="008760C3">
        <w:rPr>
          <w:rFonts w:eastAsia="Times New Roman"/>
          <w:iCs/>
          <w:szCs w:val="20"/>
        </w:rPr>
        <w:t>[GP, Practice 2, interview</w:t>
      </w:r>
      <w:r>
        <w:rPr>
          <w:rFonts w:eastAsia="Times New Roman"/>
          <w:iCs/>
          <w:szCs w:val="20"/>
        </w:rPr>
        <w:t>, R2]</w:t>
      </w:r>
    </w:p>
    <w:p w14:paraId="4EC6DE31" w14:textId="77777777" w:rsidR="001C19F3" w:rsidRPr="008760C3" w:rsidRDefault="001C19F3" w:rsidP="001C19F3">
      <w:pPr>
        <w:rPr>
          <w:rFonts w:eastAsia="Times New Roman"/>
          <w:iCs/>
          <w:szCs w:val="20"/>
        </w:rPr>
      </w:pPr>
      <w:bookmarkStart w:id="313" w:name="_Hlk21360795"/>
      <w:r w:rsidRPr="008760C3">
        <w:rPr>
          <w:rFonts w:eastAsia="Times New Roman"/>
          <w:iCs/>
          <w:szCs w:val="20"/>
        </w:rPr>
        <w:t xml:space="preserve">There were conflicting views on whether </w:t>
      </w:r>
      <w:r w:rsidRPr="008760C3">
        <w:rPr>
          <w:rFonts w:eastAsia="Times New Roman"/>
          <w:b/>
          <w:iCs/>
          <w:szCs w:val="20"/>
        </w:rPr>
        <w:t>practice size</w:t>
      </w:r>
      <w:r w:rsidRPr="008760C3">
        <w:rPr>
          <w:rFonts w:eastAsia="Times New Roman"/>
          <w:iCs/>
          <w:szCs w:val="20"/>
        </w:rPr>
        <w:t xml:space="preserve"> made it easier or harder to implement HCH. There was a sentiment among some practices that smaller practices would have trouble participating in the program</w:t>
      </w:r>
      <w:bookmarkEnd w:id="313"/>
      <w:r w:rsidRPr="008760C3">
        <w:rPr>
          <w:rFonts w:eastAsia="Times New Roman"/>
          <w:iCs/>
          <w:szCs w:val="20"/>
        </w:rPr>
        <w:t>:</w:t>
      </w:r>
    </w:p>
    <w:p w14:paraId="3E46CD73" w14:textId="77777777" w:rsidR="001C19F3" w:rsidRPr="008760C3" w:rsidRDefault="001C19F3" w:rsidP="001C19F3">
      <w:pPr>
        <w:ind w:left="567" w:right="1088"/>
        <w:rPr>
          <w:rFonts w:eastAsiaTheme="minorHAnsi" w:cs="Arial"/>
          <w:szCs w:val="20"/>
          <w:lang w:val="en-GB"/>
        </w:rPr>
      </w:pPr>
      <w:r w:rsidRPr="008760C3">
        <w:rPr>
          <w:rFonts w:ascii="Arial" w:hAnsi="Arial" w:cs="Arial"/>
          <w:i/>
          <w:lang w:val="en-GB"/>
        </w:rPr>
        <w:t>“</w:t>
      </w:r>
      <w:r w:rsidRPr="008760C3">
        <w:rPr>
          <w:rFonts w:cs="Arial"/>
          <w:i/>
          <w:szCs w:val="20"/>
          <w:lang w:val="en-GB"/>
        </w:rPr>
        <w:t>If you’re a clinic with only three doctors, one nurse, who is going to run this thing?”</w:t>
      </w:r>
      <w:r w:rsidRPr="008760C3">
        <w:rPr>
          <w:rFonts w:cs="Arial"/>
          <w:szCs w:val="20"/>
          <w:lang w:val="en-GB"/>
        </w:rPr>
        <w:t xml:space="preserve"> [GP, Practice 3, interview</w:t>
      </w:r>
      <w:r>
        <w:rPr>
          <w:rFonts w:cs="Arial"/>
          <w:szCs w:val="20"/>
          <w:lang w:val="en-GB"/>
        </w:rPr>
        <w:t>, R2]</w:t>
      </w:r>
    </w:p>
    <w:p w14:paraId="3D4491D7" w14:textId="77777777" w:rsidR="001C19F3" w:rsidRPr="008760C3" w:rsidRDefault="001C19F3" w:rsidP="001C19F3">
      <w:pPr>
        <w:rPr>
          <w:rFonts w:cs="Arial"/>
          <w:szCs w:val="20"/>
          <w:lang w:val="en-GB"/>
        </w:rPr>
      </w:pPr>
      <w:bookmarkStart w:id="314" w:name="_Hlk21361183"/>
      <w:r w:rsidRPr="008760C3">
        <w:rPr>
          <w:rFonts w:cs="Arial"/>
          <w:szCs w:val="20"/>
          <w:lang w:val="en-GB"/>
        </w:rPr>
        <w:t>A GP from a small practice interviewed did not rule out small practices being able to implement these types of programs, but acknowledged the challenges</w:t>
      </w:r>
      <w:bookmarkEnd w:id="314"/>
      <w:r w:rsidRPr="008760C3">
        <w:rPr>
          <w:rFonts w:cs="Arial"/>
          <w:szCs w:val="20"/>
          <w:lang w:val="en-GB"/>
        </w:rPr>
        <w:t>:</w:t>
      </w:r>
    </w:p>
    <w:p w14:paraId="0A9BAF83" w14:textId="77777777" w:rsidR="001C19F3" w:rsidRPr="008760C3" w:rsidRDefault="001C19F3" w:rsidP="001C19F3">
      <w:pPr>
        <w:ind w:left="567" w:right="1088"/>
        <w:rPr>
          <w:rFonts w:cs="Arial"/>
          <w:szCs w:val="20"/>
          <w:lang w:val="en-GB"/>
        </w:rPr>
      </w:pPr>
      <w:r w:rsidRPr="008760C3">
        <w:rPr>
          <w:rFonts w:cs="Arial"/>
          <w:i/>
          <w:szCs w:val="20"/>
          <w:lang w:val="en-GB"/>
        </w:rPr>
        <w:t xml:space="preserve">“…because we’re such a small practice. In a bigger practice, losing one of the key players probably wouldn’t be an issue if the </w:t>
      </w:r>
      <w:r>
        <w:rPr>
          <w:rFonts w:cs="Arial"/>
          <w:i/>
          <w:szCs w:val="20"/>
          <w:lang w:val="en-GB"/>
        </w:rPr>
        <w:t>program</w:t>
      </w:r>
      <w:r w:rsidRPr="008760C3">
        <w:rPr>
          <w:rFonts w:cs="Arial"/>
          <w:i/>
          <w:szCs w:val="20"/>
          <w:lang w:val="en-GB"/>
        </w:rPr>
        <w:t xml:space="preserve"> was up and running. But it would be an issue for us in our practice if all of a sudden, I go away for three or weeks at a time…I needed to be here to run the </w:t>
      </w:r>
      <w:r>
        <w:rPr>
          <w:rFonts w:cs="Arial"/>
          <w:i/>
          <w:szCs w:val="20"/>
          <w:lang w:val="en-GB"/>
        </w:rPr>
        <w:t>program</w:t>
      </w:r>
      <w:r w:rsidRPr="008760C3">
        <w:rPr>
          <w:rFonts w:cs="Arial"/>
          <w:i/>
          <w:szCs w:val="20"/>
          <w:lang w:val="en-GB"/>
        </w:rPr>
        <w:t xml:space="preserve">, so I haven’t taken a holiday this year…You don’t need to be big to run this </w:t>
      </w:r>
      <w:r w:rsidRPr="008760C3">
        <w:rPr>
          <w:rFonts w:cs="Arial"/>
          <w:i/>
          <w:szCs w:val="20"/>
          <w:lang w:val="en-GB"/>
        </w:rPr>
        <w:lastRenderedPageBreak/>
        <w:t xml:space="preserve">sort of </w:t>
      </w:r>
      <w:r>
        <w:rPr>
          <w:rFonts w:cs="Arial"/>
          <w:i/>
          <w:szCs w:val="20"/>
          <w:lang w:val="en-GB"/>
        </w:rPr>
        <w:t>program</w:t>
      </w:r>
      <w:r w:rsidRPr="008760C3">
        <w:rPr>
          <w:rFonts w:cs="Arial"/>
          <w:i/>
          <w:szCs w:val="20"/>
          <w:lang w:val="en-GB"/>
        </w:rPr>
        <w:t>. You can run this in a small practice, it’s just been very difficult for us to do.”</w:t>
      </w:r>
      <w:r w:rsidRPr="008760C3">
        <w:rPr>
          <w:rFonts w:cs="Arial"/>
          <w:szCs w:val="20"/>
          <w:lang w:val="en-GB"/>
        </w:rPr>
        <w:t xml:space="preserve"> [GP, Practice 17, interview</w:t>
      </w:r>
      <w:r>
        <w:rPr>
          <w:rFonts w:cs="Arial"/>
          <w:szCs w:val="20"/>
          <w:lang w:val="en-GB"/>
        </w:rPr>
        <w:t>,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19FAED68" w14:textId="77777777" w:rsidTr="00521305">
        <w:trPr>
          <w:trHeight w:val="287"/>
        </w:trPr>
        <w:tc>
          <w:tcPr>
            <w:tcW w:w="5000" w:type="pct"/>
          </w:tcPr>
          <w:p w14:paraId="11A8F63B"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25214242" w14:textId="77777777" w:rsidTr="00521305">
        <w:tc>
          <w:tcPr>
            <w:tcW w:w="5000" w:type="pct"/>
          </w:tcPr>
          <w:p w14:paraId="4A727C8E" w14:textId="77777777" w:rsidR="001C19F3" w:rsidRPr="008760C3" w:rsidRDefault="001C19F3" w:rsidP="00521305">
            <w:pPr>
              <w:spacing w:after="0"/>
              <w:rPr>
                <w:sz w:val="18"/>
                <w:szCs w:val="18"/>
              </w:rPr>
            </w:pPr>
            <w:r w:rsidRPr="008760C3">
              <w:rPr>
                <w:sz w:val="18"/>
                <w:szCs w:val="18"/>
              </w:rPr>
              <w:t>The practice principal of a small city-based practice who is also the only full-time GP (employing five other part-time GPs) was excited to join HCH to offer additional clinical services not funded under Medicare to patients of the practice. The GP was frustrated with issues around implementation, including software, staff turnover, patient concerns over My Health Record, and communicating with external providers using the new electronic shared care planning tool. As the only full-time GP, the principal took on most of the implementation tasks, which were time consuming. The practice subsequently withdrew from HCH for these reasons.</w:t>
            </w:r>
          </w:p>
        </w:tc>
      </w:tr>
    </w:tbl>
    <w:p w14:paraId="07F79C52" w14:textId="77777777" w:rsidR="001C19F3" w:rsidRPr="008760C3" w:rsidRDefault="001C19F3" w:rsidP="001C19F3">
      <w:pPr>
        <w:spacing w:after="0"/>
        <w:rPr>
          <w:rFonts w:cs="Arial"/>
          <w:szCs w:val="20"/>
          <w:lang w:val="en-GB"/>
        </w:rPr>
      </w:pPr>
    </w:p>
    <w:p w14:paraId="4134AE0F" w14:textId="77777777" w:rsidR="001C19F3" w:rsidRPr="008760C3" w:rsidRDefault="001C19F3" w:rsidP="001C19F3">
      <w:pPr>
        <w:rPr>
          <w:rFonts w:cs="Arial"/>
          <w:szCs w:val="20"/>
          <w:lang w:val="en-GB"/>
        </w:rPr>
      </w:pPr>
      <w:r w:rsidRPr="008760C3">
        <w:rPr>
          <w:rFonts w:cs="Arial"/>
          <w:szCs w:val="20"/>
          <w:lang w:val="en-GB"/>
        </w:rPr>
        <w:t>Despite additional resources and support, some practices felt that it would be more difficult for large practices to implement the model because, unlike small practices, they would need to reach a consensus among multiple GPs and leaders to participate in the program:</w:t>
      </w:r>
    </w:p>
    <w:p w14:paraId="1D065F1A" w14:textId="77777777" w:rsidR="001C19F3" w:rsidRPr="008760C3" w:rsidRDefault="001C19F3" w:rsidP="001C19F3">
      <w:pPr>
        <w:ind w:left="284"/>
        <w:rPr>
          <w:rFonts w:cs="Arial"/>
          <w:szCs w:val="20"/>
          <w:lang w:val="en-GB"/>
        </w:rPr>
      </w:pPr>
      <w:r w:rsidRPr="008760C3">
        <w:rPr>
          <w:rFonts w:cs="Arial"/>
          <w:i/>
          <w:szCs w:val="20"/>
          <w:lang w:val="en-GB"/>
        </w:rPr>
        <w:t xml:space="preserve">“…seven partners gives you 14 opinions, depends on the time of the day and that sort of thing.” </w:t>
      </w:r>
      <w:r w:rsidRPr="008760C3">
        <w:rPr>
          <w:rFonts w:cs="Arial"/>
          <w:szCs w:val="20"/>
          <w:lang w:val="en-GB"/>
        </w:rPr>
        <w:t>[GP, Practice 14, interview</w:t>
      </w:r>
      <w:r>
        <w:rPr>
          <w:rFonts w:cs="Arial"/>
          <w:szCs w:val="20"/>
          <w:lang w:val="en-GB"/>
        </w:rPr>
        <w:t>, R2]</w:t>
      </w:r>
    </w:p>
    <w:p w14:paraId="187B2045" w14:textId="77777777" w:rsidR="001C19F3" w:rsidRPr="008760C3" w:rsidRDefault="001C19F3" w:rsidP="001C19F3">
      <w:pPr>
        <w:rPr>
          <w:rFonts w:cs="Arial"/>
          <w:szCs w:val="20"/>
          <w:lang w:val="en-GB"/>
        </w:rPr>
      </w:pPr>
      <w:r w:rsidRPr="008760C3">
        <w:rPr>
          <w:rFonts w:cs="Arial"/>
          <w:szCs w:val="20"/>
          <w:lang w:val="en-GB"/>
        </w:rPr>
        <w:t>They felt that staff engagement would be more of an issue in larger practices affecting any sort of major cultural practice change. One GP summarised some pros and cons associated with adopting the model according to practice size:</w:t>
      </w:r>
    </w:p>
    <w:p w14:paraId="4691B6E8"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“The tiny little practices, the poor little solo GPs, are far too busy just trying to keep their head above water to have time to think about that. The middle-sized practices that have got some smart operators…their guys have got enough smarts about them to sit down and plan. And because they're the owners of the practice, they can direct what goes on. You get to this size practice…with multiple owners…and it’s enormously difficult to actually make some kind of practice change, I find.” </w:t>
      </w:r>
      <w:r w:rsidRPr="008760C3">
        <w:rPr>
          <w:rFonts w:eastAsia="Times New Roman"/>
          <w:iCs/>
          <w:szCs w:val="20"/>
        </w:rPr>
        <w:t>[GP, Practice 12, interview</w:t>
      </w:r>
      <w:r>
        <w:rPr>
          <w:rFonts w:eastAsia="Times New Roman"/>
          <w:iCs/>
          <w:szCs w:val="20"/>
        </w:rPr>
        <w:t>, R2]</w:t>
      </w:r>
    </w:p>
    <w:p w14:paraId="5F22B2D4" w14:textId="77777777" w:rsidR="001C19F3" w:rsidRPr="008760C3" w:rsidRDefault="001C19F3" w:rsidP="001C19F3">
      <w:pPr>
        <w:rPr>
          <w:rFonts w:eastAsia="Times New Roman"/>
          <w:iCs/>
          <w:szCs w:val="20"/>
        </w:rPr>
      </w:pPr>
      <w:r w:rsidRPr="0075792C">
        <w:rPr>
          <w:rFonts w:eastAsia="Times New Roman"/>
          <w:iCs/>
          <w:szCs w:val="20"/>
        </w:rPr>
        <w:t xml:space="preserve">Practices in rural and remote areas cited specific obstacles related to their location. These included difficulty recruiting staff; problems with IT connectivity and general </w:t>
      </w:r>
      <w:r>
        <w:rPr>
          <w:rFonts w:eastAsia="Times New Roman"/>
          <w:iCs/>
          <w:szCs w:val="20"/>
        </w:rPr>
        <w:t>set-up</w:t>
      </w:r>
      <w:r w:rsidRPr="0075792C">
        <w:rPr>
          <w:rFonts w:eastAsia="Times New Roman"/>
          <w:iCs/>
          <w:szCs w:val="20"/>
        </w:rPr>
        <w:t>; fewer supports and medical resources for individuals; and limited patient access resulting in high wait times</w:t>
      </w:r>
      <w:r w:rsidRPr="008760C3">
        <w:rPr>
          <w:rFonts w:eastAsia="Times New Roman"/>
          <w:iCs/>
          <w:szCs w:val="20"/>
        </w:rPr>
        <w:t>:</w:t>
      </w:r>
    </w:p>
    <w:p w14:paraId="513352F8" w14:textId="77777777" w:rsidR="001C19F3" w:rsidRPr="008760C3" w:rsidRDefault="001C19F3" w:rsidP="001C19F3">
      <w:pPr>
        <w:ind w:left="567" w:right="1088"/>
        <w:rPr>
          <w:rFonts w:eastAsiaTheme="minorHAnsi" w:cs="Arial"/>
          <w:szCs w:val="20"/>
          <w:lang w:val="en-GB"/>
        </w:rPr>
      </w:pPr>
      <w:r w:rsidRPr="008760C3">
        <w:rPr>
          <w:rFonts w:eastAsia="Times New Roman"/>
          <w:i/>
          <w:iCs/>
          <w:szCs w:val="20"/>
        </w:rPr>
        <w:t>“</w:t>
      </w:r>
      <w:r w:rsidRPr="008760C3">
        <w:rPr>
          <w:rFonts w:cs="Arial"/>
          <w:i/>
          <w:szCs w:val="20"/>
          <w:lang w:val="en-GB"/>
        </w:rPr>
        <w:t>…we have increasing problems accessing any sort of health care through our public hospital system and we have increasing problems accessing specialists.”</w:t>
      </w:r>
      <w:r w:rsidRPr="008760C3">
        <w:rPr>
          <w:rFonts w:cs="Arial"/>
          <w:szCs w:val="20"/>
          <w:lang w:val="en-GB"/>
        </w:rPr>
        <w:t>[GP, Practice 17, interview</w:t>
      </w:r>
      <w:r>
        <w:rPr>
          <w:rFonts w:cs="Arial"/>
          <w:szCs w:val="20"/>
          <w:lang w:val="en-GB"/>
        </w:rPr>
        <w:t>, R2]</w:t>
      </w:r>
    </w:p>
    <w:p w14:paraId="3902D9C6" w14:textId="77777777" w:rsidR="001C19F3" w:rsidRPr="008760C3" w:rsidRDefault="001C19F3" w:rsidP="001C19F3">
      <w:pPr>
        <w:rPr>
          <w:rFonts w:eastAsia="Times New Roman"/>
          <w:iCs/>
          <w:szCs w:val="20"/>
        </w:rPr>
      </w:pPr>
      <w:r w:rsidRPr="008760C3">
        <w:rPr>
          <w:rFonts w:eastAsia="Times New Roman"/>
          <w:iCs/>
          <w:szCs w:val="20"/>
        </w:rPr>
        <w:t>Though most practices discussed the difficulties associated with implementing HCH in rural and remote areas, one practice stated that their location and lack of certain services fostered holistic, team-based care:</w:t>
      </w:r>
    </w:p>
    <w:p w14:paraId="3D694710"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“Maybe that’s a reflection of the type of practice we are, because we’re in a community where there isn’t a hospital, and we’ve come from that culture of managing everything anyway…We haven’t got the hospital just right here, so if we saw people for home visits, we might engage the pharmacy to help and so on. So we’ve had that culture of seeking allied support before. So it wasn’t such a change for us. I can quickly speak to the nursing staff, or speak to the pharmacy, or speak to one of my partners, or...whatever needs to happen....it happens here and it’s always been the </w:t>
      </w:r>
      <w:r w:rsidRPr="008760C3">
        <w:rPr>
          <w:rFonts w:eastAsia="Times New Roman"/>
          <w:i/>
          <w:iCs/>
          <w:szCs w:val="20"/>
        </w:rPr>
        <w:lastRenderedPageBreak/>
        <w:t xml:space="preserve">way, because of the nature of this practice...As opposed to say, </w:t>
      </w:r>
      <w:r w:rsidRPr="008760C3">
        <w:rPr>
          <w:rFonts w:eastAsia="Times New Roman"/>
          <w:iCs/>
          <w:szCs w:val="20"/>
        </w:rPr>
        <w:t>[town]</w:t>
      </w:r>
      <w:r w:rsidRPr="008760C3">
        <w:rPr>
          <w:rFonts w:eastAsia="Times New Roman"/>
          <w:i/>
          <w:iCs/>
          <w:szCs w:val="20"/>
        </w:rPr>
        <w:t>, where they’ve got the hospital right there"</w:t>
      </w:r>
      <w:r w:rsidRPr="008760C3">
        <w:rPr>
          <w:rFonts w:eastAsia="Times New Roman"/>
          <w:iCs/>
          <w:szCs w:val="20"/>
        </w:rPr>
        <w:t xml:space="preserve"> [GP, Practice 4, interview</w:t>
      </w:r>
      <w:r>
        <w:rPr>
          <w:rFonts w:eastAsia="Times New Roman"/>
          <w:iCs/>
          <w:szCs w:val="20"/>
        </w:rPr>
        <w:t>, R2]</w:t>
      </w:r>
    </w:p>
    <w:p w14:paraId="0AD80B41" w14:textId="77777777" w:rsidR="001C19F3" w:rsidRPr="008760C3" w:rsidRDefault="001C19F3" w:rsidP="001C19F3">
      <w:pPr>
        <w:rPr>
          <w:rFonts w:eastAsia="Times New Roman"/>
          <w:iCs/>
          <w:szCs w:val="20"/>
        </w:rPr>
      </w:pPr>
      <w:r w:rsidRPr="008760C3">
        <w:rPr>
          <w:rFonts w:eastAsia="Times New Roman"/>
          <w:iCs/>
          <w:szCs w:val="20"/>
        </w:rPr>
        <w:t>Practices discussed business types and their potential effect on the implementation of HCH. Some felt that corporate practices may have an easier time implementing the HCH model due to the high level of support and resources at their disposal:</w:t>
      </w:r>
    </w:p>
    <w:p w14:paraId="1D34794F" w14:textId="77777777" w:rsidR="001C19F3" w:rsidRPr="008760C3" w:rsidRDefault="001C19F3" w:rsidP="001C19F3">
      <w:pPr>
        <w:ind w:left="567" w:right="1088"/>
        <w:rPr>
          <w:rFonts w:eastAsiaTheme="minorHAnsi" w:cs="Arial"/>
          <w:szCs w:val="20"/>
          <w:lang w:val="en-GB"/>
        </w:rPr>
      </w:pPr>
      <w:r w:rsidRPr="008760C3">
        <w:rPr>
          <w:rFonts w:cs="Arial"/>
          <w:i/>
          <w:szCs w:val="20"/>
          <w:lang w:val="en-GB"/>
        </w:rPr>
        <w:t>“We’re lucky because we’re a corporation and we’ve got a team of people that are working on different things that are providing me with stuff to then pass on, and we’ve got the PMs that can do things locally.”</w:t>
      </w:r>
      <w:r w:rsidRPr="008760C3">
        <w:rPr>
          <w:rFonts w:cs="Arial"/>
          <w:szCs w:val="20"/>
          <w:lang w:val="en-GB"/>
        </w:rPr>
        <w:t xml:space="preserve"> [Practice manager, Practice 1, interview</w:t>
      </w:r>
      <w:r>
        <w:rPr>
          <w:rFonts w:cs="Arial"/>
          <w:szCs w:val="20"/>
          <w:lang w:val="en-GB"/>
        </w:rPr>
        <w:t>, R2]</w:t>
      </w:r>
    </w:p>
    <w:p w14:paraId="011E8420" w14:textId="77777777" w:rsidR="001C19F3" w:rsidRPr="008760C3" w:rsidRDefault="001C19F3" w:rsidP="001C19F3">
      <w:pPr>
        <w:rPr>
          <w:rFonts w:eastAsia="Times New Roman"/>
          <w:iCs/>
          <w:szCs w:val="20"/>
        </w:rPr>
      </w:pPr>
      <w:r w:rsidRPr="008760C3">
        <w:rPr>
          <w:rFonts w:eastAsia="Times New Roman"/>
          <w:iCs/>
          <w:szCs w:val="20"/>
        </w:rPr>
        <w:t>Despite these potential advantages, some corporate practices seemed to struggle to adopt the model:</w:t>
      </w:r>
    </w:p>
    <w:p w14:paraId="0ABF6A7D" w14:textId="77777777" w:rsidR="001C19F3" w:rsidRPr="008760C3" w:rsidRDefault="001C19F3" w:rsidP="001C19F3">
      <w:pPr>
        <w:ind w:left="567" w:right="1088"/>
        <w:rPr>
          <w:rFonts w:eastAsia="Times New Roman"/>
          <w:iCs/>
          <w:szCs w:val="20"/>
        </w:rPr>
      </w:pPr>
      <w:r w:rsidRPr="008760C3">
        <w:rPr>
          <w:rFonts w:eastAsia="Times New Roman"/>
          <w:i/>
          <w:iCs/>
          <w:szCs w:val="20"/>
        </w:rPr>
        <w:t>“We’re just getting nowhere.”</w:t>
      </w:r>
      <w:r w:rsidRPr="008760C3">
        <w:rPr>
          <w:rFonts w:eastAsia="Times New Roman"/>
          <w:iCs/>
          <w:szCs w:val="20"/>
        </w:rPr>
        <w:t xml:space="preserve"> [Clinical services manager, Practice 1, interview</w:t>
      </w:r>
      <w:r>
        <w:rPr>
          <w:rFonts w:eastAsia="Times New Roman"/>
          <w:iCs/>
          <w:szCs w:val="20"/>
        </w:rPr>
        <w:t>, R2]</w:t>
      </w:r>
    </w:p>
    <w:p w14:paraId="6C64ECFD" w14:textId="77777777" w:rsidR="001C19F3" w:rsidRPr="008760C3" w:rsidRDefault="001C19F3" w:rsidP="001C19F3">
      <w:pPr>
        <w:rPr>
          <w:rFonts w:eastAsia="Times New Roman"/>
          <w:iCs/>
          <w:szCs w:val="20"/>
        </w:rPr>
      </w:pPr>
      <w:r w:rsidRPr="008760C3">
        <w:rPr>
          <w:rFonts w:eastAsia="Times New Roman"/>
          <w:iCs/>
          <w:szCs w:val="20"/>
        </w:rPr>
        <w:t>Individuals in corporate practices cited several factors that may be leading to difficulties with program implementation. These factors include issues around the payment structure, lack of staff engagement, and problems with communication. One corporate practice that was about to withdraw from the program stated that their current payment model made it difficult to operate a bundled payment system within the practice. They suggested that PHNs and the Commonwealth speak with corporate practices around Australia so that the HCH funding model is better aligned with corporate practices’ financial structure:</w:t>
      </w:r>
    </w:p>
    <w:p w14:paraId="76E4985C"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 “I know that a lot of doctors now are signed up to corporate companies so they may need to understand the payment structure before they decide how they're going to be paying out the grants and all that sort of stuff as well…</w:t>
      </w:r>
      <w:r w:rsidRPr="008760C3">
        <w:rPr>
          <w:rFonts w:cs="Arial"/>
          <w:i/>
          <w:color w:val="000000"/>
          <w:szCs w:val="20"/>
          <w:lang w:val="en-GB"/>
        </w:rPr>
        <w:t>The problem is though with the percentage basis on a corporate company, the doctor would retain most of that money</w:t>
      </w:r>
      <w:r w:rsidRPr="008760C3">
        <w:rPr>
          <w:i/>
          <w:color w:val="000000"/>
          <w:szCs w:val="20"/>
          <w:lang w:val="en-GB"/>
        </w:rPr>
        <w:t>,</w:t>
      </w:r>
      <w:r w:rsidRPr="008760C3">
        <w:rPr>
          <w:rFonts w:cs="Arial"/>
          <w:i/>
          <w:color w:val="000000"/>
          <w:szCs w:val="20"/>
          <w:lang w:val="en-GB"/>
        </w:rPr>
        <w:t xml:space="preserve"> and it's the nurse seeing them, and we have to pay wages for that nurse. They </w:t>
      </w:r>
      <w:r w:rsidRPr="008760C3">
        <w:rPr>
          <w:color w:val="000000"/>
          <w:lang w:val="en-GB"/>
        </w:rPr>
        <w:t>[GPs]</w:t>
      </w:r>
      <w:r w:rsidRPr="008760C3">
        <w:rPr>
          <w:rFonts w:cs="Arial"/>
          <w:i/>
          <w:color w:val="000000"/>
          <w:szCs w:val="20"/>
          <w:lang w:val="en-GB"/>
        </w:rPr>
        <w:t xml:space="preserve"> were also renegotiating their contracts with head office and so it caused a little bit of an issue of trying to work out how they were going to be financed for it and how the practice was actually going to be financed for it because a lot of the time would be with nursing and admin staff managing it all.”</w:t>
      </w:r>
      <w:r w:rsidRPr="008760C3">
        <w:rPr>
          <w:rFonts w:eastAsia="Times New Roman"/>
          <w:i/>
          <w:iCs/>
          <w:szCs w:val="20"/>
          <w:lang w:val="en-GB"/>
        </w:rPr>
        <w:t xml:space="preserve"> </w:t>
      </w:r>
      <w:r w:rsidRPr="008760C3">
        <w:rPr>
          <w:rFonts w:eastAsia="Times New Roman"/>
          <w:iCs/>
          <w:szCs w:val="20"/>
        </w:rPr>
        <w:t>[Practice manager, Practice 8, interview</w:t>
      </w:r>
      <w:r>
        <w:rPr>
          <w:rFonts w:eastAsia="Times New Roman"/>
          <w:iCs/>
          <w:szCs w:val="20"/>
        </w:rPr>
        <w:t>, R2]</w:t>
      </w:r>
    </w:p>
    <w:p w14:paraId="3AB5FFFA" w14:textId="77777777" w:rsidR="001C19F3" w:rsidRPr="008760C3" w:rsidRDefault="001C19F3" w:rsidP="001C19F3">
      <w:pPr>
        <w:rPr>
          <w:rFonts w:eastAsia="Times New Roman"/>
          <w:iCs/>
          <w:szCs w:val="20"/>
        </w:rPr>
      </w:pPr>
      <w:r w:rsidRPr="008760C3">
        <w:rPr>
          <w:rFonts w:eastAsia="Times New Roman"/>
          <w:iCs/>
          <w:szCs w:val="20"/>
        </w:rPr>
        <w:t>Other corporate practices cited difficulties around communication with their staff members and PHNs. Among the corporate practices interviewed, many individuals stated that the decision to participate in HCH was made by their headquarters:</w:t>
      </w:r>
    </w:p>
    <w:p w14:paraId="7329EBB7"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didn’t know anything about it.” </w:t>
      </w:r>
      <w:r w:rsidRPr="008760C3">
        <w:rPr>
          <w:rFonts w:eastAsia="Times New Roman"/>
          <w:iCs/>
          <w:szCs w:val="20"/>
        </w:rPr>
        <w:t>[Practice nurse, Practice 1, interview</w:t>
      </w:r>
      <w:r>
        <w:rPr>
          <w:rFonts w:eastAsia="Times New Roman"/>
          <w:iCs/>
          <w:szCs w:val="20"/>
        </w:rPr>
        <w:t>, R2]</w:t>
      </w:r>
    </w:p>
    <w:p w14:paraId="2A44B9C7" w14:textId="77777777" w:rsidR="001C19F3" w:rsidRPr="008760C3" w:rsidRDefault="001C19F3" w:rsidP="001C19F3">
      <w:pPr>
        <w:rPr>
          <w:rFonts w:eastAsia="Times New Roman"/>
          <w:iCs/>
          <w:szCs w:val="20"/>
        </w:rPr>
      </w:pPr>
      <w:r w:rsidRPr="008760C3">
        <w:rPr>
          <w:rFonts w:eastAsia="Times New Roman"/>
          <w:iCs/>
          <w:szCs w:val="20"/>
        </w:rPr>
        <w:t>Though doctors were given the option to participate, it was not their ultimate decision</w:t>
      </w:r>
      <w:r>
        <w:rPr>
          <w:rFonts w:eastAsia="Times New Roman"/>
          <w:iCs/>
          <w:szCs w:val="20"/>
        </w:rPr>
        <w:t>,</w:t>
      </w:r>
      <w:r w:rsidRPr="008760C3">
        <w:rPr>
          <w:rFonts w:eastAsia="Times New Roman"/>
          <w:iCs/>
          <w:szCs w:val="20"/>
        </w:rPr>
        <w:t xml:space="preserve"> which meant that there were a smaller number of doctors participating at this practice. This seemed to contribute to a lack of staff engagement, leadership, and enthusiasm among both clinicians and other staff members. </w:t>
      </w:r>
    </w:p>
    <w:p w14:paraId="2997C928" w14:textId="77777777" w:rsidR="001C19F3" w:rsidRPr="008760C3" w:rsidRDefault="001C19F3" w:rsidP="001C19F3">
      <w:pPr>
        <w:rPr>
          <w:rFonts w:eastAsia="Times New Roman"/>
          <w:iCs/>
          <w:szCs w:val="20"/>
        </w:rPr>
      </w:pPr>
      <w:r w:rsidRPr="008760C3">
        <w:rPr>
          <w:rFonts w:eastAsia="Times New Roman"/>
          <w:iCs/>
          <w:szCs w:val="20"/>
        </w:rPr>
        <w:t xml:space="preserve">In addition to lack of staff engagement, another corporate practice stated that there was miscommunication between their corporate management, the PHN, and the practice </w:t>
      </w:r>
      <w:r w:rsidRPr="008760C3">
        <w:rPr>
          <w:rFonts w:eastAsia="Times New Roman"/>
          <w:iCs/>
          <w:szCs w:val="20"/>
        </w:rPr>
        <w:lastRenderedPageBreak/>
        <w:t>around what was expected of the practice. This ultimately led to the practice’s decision to withdraw from the program:</w:t>
      </w:r>
    </w:p>
    <w:p w14:paraId="3F0CD068"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“…we had our own documentation of what </w:t>
      </w:r>
      <w:r w:rsidRPr="008760C3">
        <w:t xml:space="preserve">[corporate </w:t>
      </w:r>
      <w:r w:rsidRPr="008760C3">
        <w:rPr>
          <w:rFonts w:eastAsia="Times New Roman"/>
          <w:iCs/>
          <w:szCs w:val="20"/>
        </w:rPr>
        <w:t>head office</w:t>
      </w:r>
      <w:r w:rsidRPr="008760C3">
        <w:t>]</w:t>
      </w:r>
      <w:r w:rsidRPr="008760C3">
        <w:rPr>
          <w:rFonts w:eastAsia="Times New Roman"/>
          <w:i/>
          <w:iCs/>
          <w:szCs w:val="20"/>
        </w:rPr>
        <w:t xml:space="preserve"> thought that we should be doing and there was the PHN as well. But I don't feel that </w:t>
      </w:r>
      <w:r w:rsidRPr="008760C3">
        <w:rPr>
          <w:rFonts w:eastAsia="Times New Roman"/>
          <w:iCs/>
          <w:szCs w:val="20"/>
        </w:rPr>
        <w:t>[corporate office business</w:t>
      </w:r>
      <w:r w:rsidRPr="008760C3">
        <w:t xml:space="preserve"> manager</w:t>
      </w:r>
      <w:r w:rsidRPr="008760C3">
        <w:rPr>
          <w:rFonts w:eastAsia="Times New Roman"/>
          <w:iCs/>
          <w:szCs w:val="20"/>
        </w:rPr>
        <w:t>] …</w:t>
      </w:r>
      <w:r w:rsidRPr="008760C3">
        <w:rPr>
          <w:rFonts w:eastAsia="Times New Roman"/>
          <w:i/>
          <w:iCs/>
          <w:szCs w:val="20"/>
        </w:rPr>
        <w:t xml:space="preserve"> told the PHN that that's what we were agreeing to. That's what they</w:t>
      </w:r>
      <w:r w:rsidRPr="008760C3">
        <w:rPr>
          <w:rFonts w:eastAsia="Times New Roman"/>
          <w:iCs/>
          <w:szCs w:val="20"/>
        </w:rPr>
        <w:t xml:space="preserve"> [the PHN]</w:t>
      </w:r>
      <w:r w:rsidRPr="008760C3">
        <w:rPr>
          <w:rFonts w:eastAsia="Times New Roman"/>
          <w:i/>
          <w:iCs/>
          <w:szCs w:val="20"/>
        </w:rPr>
        <w:t xml:space="preserve"> were actually educating that's what the model was…</w:t>
      </w:r>
      <w:r w:rsidRPr="008760C3">
        <w:t xml:space="preserve"> </w:t>
      </w:r>
      <w:r w:rsidRPr="008760C3">
        <w:rPr>
          <w:rFonts w:eastAsia="Times New Roman"/>
          <w:i/>
          <w:iCs/>
          <w:szCs w:val="20"/>
        </w:rPr>
        <w:t>that patients could ring and get scripts, referrals, all that sort of stuff…</w:t>
      </w:r>
      <w:r w:rsidRPr="008760C3">
        <w:t xml:space="preserve"> </w:t>
      </w:r>
      <w:r w:rsidRPr="008760C3">
        <w:rPr>
          <w:rFonts w:eastAsia="Times New Roman"/>
          <w:i/>
          <w:iCs/>
          <w:szCs w:val="20"/>
        </w:rPr>
        <w:t>that's what they're educating the patients at the engagement meeting.”</w:t>
      </w:r>
      <w:r w:rsidRPr="008760C3">
        <w:rPr>
          <w:rFonts w:eastAsia="Times New Roman"/>
          <w:iCs/>
          <w:szCs w:val="20"/>
        </w:rPr>
        <w:t xml:space="preserve"> [Practice manager, Practice 8, interview</w:t>
      </w:r>
      <w:r>
        <w:rPr>
          <w:rFonts w:eastAsia="Times New Roman"/>
          <w:iCs/>
          <w:szCs w:val="20"/>
        </w:rPr>
        <w:t>,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55A8F061" w14:textId="77777777" w:rsidTr="00521305">
        <w:trPr>
          <w:trHeight w:val="287"/>
        </w:trPr>
        <w:tc>
          <w:tcPr>
            <w:tcW w:w="5000" w:type="pct"/>
          </w:tcPr>
          <w:p w14:paraId="69A40D8E" w14:textId="77777777" w:rsidR="001C19F3" w:rsidRPr="008760C3" w:rsidRDefault="001C19F3" w:rsidP="00521305">
            <w:pPr>
              <w:spacing w:after="0"/>
              <w:rPr>
                <w:b/>
                <w:sz w:val="18"/>
                <w:szCs w:val="18"/>
              </w:rPr>
            </w:pPr>
            <w:r w:rsidRPr="008760C3">
              <w:rPr>
                <w:b/>
                <w:sz w:val="18"/>
                <w:szCs w:val="18"/>
              </w:rPr>
              <w:t>Case study</w:t>
            </w:r>
          </w:p>
        </w:tc>
      </w:tr>
      <w:tr w:rsidR="001C19F3" w:rsidRPr="008760C3" w14:paraId="0F94B76C" w14:textId="77777777" w:rsidTr="00521305">
        <w:tc>
          <w:tcPr>
            <w:tcW w:w="5000" w:type="pct"/>
          </w:tcPr>
          <w:p w14:paraId="4D1A9360" w14:textId="77777777" w:rsidR="001C19F3" w:rsidRPr="008760C3" w:rsidRDefault="001C19F3" w:rsidP="00521305">
            <w:pPr>
              <w:spacing w:after="0"/>
              <w:rPr>
                <w:sz w:val="18"/>
                <w:szCs w:val="18"/>
              </w:rPr>
            </w:pPr>
            <w:r w:rsidRPr="008760C3">
              <w:rPr>
                <w:sz w:val="18"/>
                <w:szCs w:val="18"/>
              </w:rPr>
              <w:t>The practice manager of a large corporate practice located outside of a major urban area cited lack of communication between the practice, corporate office, and the PHN, and limited GP engagement as the main factors in the practice’s decision to withdraw from HCH. The practice was interested in testing the model and its potential benefits. The GPs were hesitant to participate in the initiative due to limited information around program guidelines and timeframes, which led to a delay in implementation. The practice manager also described a general miscommunication between the practice and the PHN around program expectations and requirements. While the practice wanted to test the model with a few patients, the PHN wanted the practice to agree to enrol 50 patients. The practice felt that they did not have adequate GP engagement or sufficient information about the program to agree to this. Therefore, they decided to withdraw from the program.</w:t>
            </w:r>
          </w:p>
        </w:tc>
      </w:tr>
    </w:tbl>
    <w:p w14:paraId="574D7323" w14:textId="77777777" w:rsidR="001C19F3" w:rsidRPr="008760C3" w:rsidRDefault="001C19F3" w:rsidP="001C19F3">
      <w:pPr>
        <w:spacing w:after="0"/>
      </w:pPr>
    </w:p>
    <w:p w14:paraId="5146FBCD" w14:textId="77777777" w:rsidR="001C19F3" w:rsidRPr="008760C3" w:rsidRDefault="001C19F3" w:rsidP="001C19F3">
      <w:pPr>
        <w:rPr>
          <w:rFonts w:eastAsiaTheme="minorHAnsi" w:cstheme="minorBidi"/>
        </w:rPr>
      </w:pPr>
      <w:r w:rsidRPr="008760C3">
        <w:t>PHNs also had views about practice capability, although sometimes they could not easily pick the practices that would find change easier:</w:t>
      </w:r>
    </w:p>
    <w:p w14:paraId="2B36CB81" w14:textId="77777777" w:rsidR="001C19F3" w:rsidRPr="008760C3" w:rsidRDefault="001C19F3" w:rsidP="001C19F3">
      <w:pPr>
        <w:ind w:left="567" w:right="1088"/>
        <w:rPr>
          <w:i/>
        </w:rPr>
      </w:pPr>
      <w:r w:rsidRPr="008760C3">
        <w:rPr>
          <w:i/>
        </w:rPr>
        <w:t xml:space="preserve">“I’ve been very surprised, I don’t think you can generalise. Practices that I thought would be quite efficient have had the most ridiculous amount of handholding, I practically... Practically camped there at the beginning of the year, I might as well have just moved in. And then I thought they were quite a large, they’re quite a successful practice, I’m just shocked at how little they could get their head around what’s really happening. A practice that I said you know “oh really, they got it?” have actually – they’ve had once again a lot of handholding that one, but I think they’re going to be okay, I think they’re going to be quite good, I think they’re really into it.” </w:t>
      </w:r>
      <w:r w:rsidRPr="008760C3">
        <w:t>[PHN 5, interview</w:t>
      </w:r>
      <w:r>
        <w:t>, R1]</w:t>
      </w:r>
    </w:p>
    <w:p w14:paraId="7029DA25" w14:textId="77777777" w:rsidR="001C19F3" w:rsidRPr="008760C3" w:rsidRDefault="001C19F3" w:rsidP="001C19F3">
      <w:r w:rsidRPr="008760C3">
        <w:t>However, they observed that practices whose principals or key staff had been involved in similar initiatives to HCH in other countries tended to be more comfortable with changes required for HCH. Other features identified included:</w:t>
      </w:r>
    </w:p>
    <w:p w14:paraId="10A2A5D2" w14:textId="77777777" w:rsidR="001C19F3" w:rsidRPr="008760C3" w:rsidRDefault="001C19F3" w:rsidP="001C19F3">
      <w:pPr>
        <w:numPr>
          <w:ilvl w:val="0"/>
          <w:numId w:val="47"/>
        </w:numPr>
        <w:contextualSpacing/>
      </w:pPr>
      <w:r w:rsidRPr="008760C3">
        <w:t>Practices that already had nurses as part of the team (“</w:t>
      </w:r>
      <w:r w:rsidRPr="008760C3">
        <w:rPr>
          <w:i/>
        </w:rPr>
        <w:t>This model is … driven by the care coordination component of improving health outcomes</w:t>
      </w:r>
      <w:r w:rsidRPr="008760C3">
        <w:t>…” [PHN 6, interview]).</w:t>
      </w:r>
    </w:p>
    <w:p w14:paraId="4AC01DD0" w14:textId="77777777" w:rsidR="001C19F3" w:rsidRPr="008760C3" w:rsidRDefault="001C19F3" w:rsidP="001C19F3">
      <w:pPr>
        <w:numPr>
          <w:ilvl w:val="0"/>
          <w:numId w:val="47"/>
        </w:numPr>
        <w:contextualSpacing/>
      </w:pPr>
      <w:r w:rsidRPr="008760C3">
        <w:t>Good working relationship between the GP(s) and nurse(s).</w:t>
      </w:r>
    </w:p>
    <w:p w14:paraId="47449B10" w14:textId="77777777" w:rsidR="001C19F3" w:rsidRPr="008760C3" w:rsidRDefault="001C19F3" w:rsidP="001C19F3">
      <w:pPr>
        <w:numPr>
          <w:ilvl w:val="0"/>
          <w:numId w:val="47"/>
        </w:numPr>
        <w:contextualSpacing/>
      </w:pPr>
      <w:r w:rsidRPr="008760C3">
        <w:t>Where the GPs were engaged.</w:t>
      </w:r>
    </w:p>
    <w:p w14:paraId="2DFDA13C" w14:textId="77777777" w:rsidR="001C19F3" w:rsidRPr="008760C3" w:rsidRDefault="001C19F3" w:rsidP="001C19F3">
      <w:pPr>
        <w:numPr>
          <w:ilvl w:val="0"/>
          <w:numId w:val="47"/>
        </w:numPr>
        <w:contextualSpacing/>
      </w:pPr>
      <w:r w:rsidRPr="008760C3">
        <w:t>A proactive practice manager.</w:t>
      </w:r>
    </w:p>
    <w:p w14:paraId="761F4E44" w14:textId="77777777" w:rsidR="001C19F3" w:rsidRPr="008760C3" w:rsidRDefault="001C19F3" w:rsidP="001C19F3">
      <w:pPr>
        <w:numPr>
          <w:ilvl w:val="0"/>
          <w:numId w:val="47"/>
        </w:numPr>
      </w:pPr>
      <w:r w:rsidRPr="008760C3">
        <w:t>Having more than one driver for change.</w:t>
      </w:r>
    </w:p>
    <w:p w14:paraId="2A0A6DE2" w14:textId="77777777" w:rsidR="001C19F3" w:rsidRPr="008760C3" w:rsidRDefault="001C19F3" w:rsidP="001C19F3">
      <w:pPr>
        <w:keepNext/>
        <w:keepLines/>
        <w:spacing w:line="240" w:lineRule="auto"/>
        <w:outlineLvl w:val="1"/>
        <w:rPr>
          <w:rFonts w:eastAsia="Times New Roman" w:cstheme="majorBidi"/>
          <w:color w:val="003D79"/>
          <w:sz w:val="40"/>
          <w:szCs w:val="26"/>
        </w:rPr>
      </w:pPr>
      <w:bookmarkStart w:id="315" w:name="_Toc20925701"/>
      <w:r w:rsidRPr="008760C3">
        <w:rPr>
          <w:rFonts w:eastAsia="Times New Roman" w:cstheme="majorBidi"/>
          <w:color w:val="003D79"/>
          <w:sz w:val="40"/>
          <w:szCs w:val="26"/>
        </w:rPr>
        <w:lastRenderedPageBreak/>
        <w:t>Staff experience</w:t>
      </w:r>
      <w:bookmarkEnd w:id="315"/>
    </w:p>
    <w:p w14:paraId="6D262F38" w14:textId="77777777" w:rsidR="001C19F3" w:rsidRPr="008760C3" w:rsidRDefault="001C19F3" w:rsidP="001C19F3">
      <w:pPr>
        <w:rPr>
          <w:rFonts w:eastAsia="Times New Roman"/>
          <w:iCs/>
          <w:szCs w:val="20"/>
        </w:rPr>
      </w:pPr>
      <w:bookmarkStart w:id="316" w:name="_Hlk21361571"/>
      <w:r w:rsidRPr="008760C3">
        <w:rPr>
          <w:rFonts w:eastAsia="Times New Roman"/>
          <w:iCs/>
          <w:szCs w:val="20"/>
        </w:rPr>
        <w:t xml:space="preserve">Individual staff members interviewed for the evaluation discussed varying degree of change in their own roles since the inception of the program. </w:t>
      </w:r>
      <w:bookmarkEnd w:id="316"/>
      <w:r w:rsidRPr="001C4341">
        <w:rPr>
          <w:rFonts w:eastAsia="Times New Roman"/>
          <w:iCs/>
          <w:szCs w:val="20"/>
        </w:rPr>
        <w:t>Some staff reported that, despite an increase in administrative and clinical tasks, their role was largely the same</w:t>
      </w:r>
      <w:r w:rsidRPr="008760C3">
        <w:rPr>
          <w:rFonts w:eastAsia="Times New Roman"/>
          <w:iCs/>
          <w:szCs w:val="20"/>
        </w:rPr>
        <w:t>:</w:t>
      </w:r>
    </w:p>
    <w:p w14:paraId="6CEE796B" w14:textId="77777777" w:rsidR="001C19F3" w:rsidRPr="008760C3" w:rsidRDefault="001C19F3" w:rsidP="001C19F3">
      <w:pPr>
        <w:ind w:left="567" w:right="1088"/>
        <w:rPr>
          <w:rFonts w:eastAsia="Times New Roman"/>
          <w:iCs/>
          <w:szCs w:val="20"/>
        </w:rPr>
      </w:pPr>
      <w:r w:rsidRPr="008760C3">
        <w:rPr>
          <w:rFonts w:eastAsia="Times New Roman"/>
          <w:i/>
          <w:iCs/>
          <w:szCs w:val="20"/>
        </w:rPr>
        <w:t>“I’ve just had to spend more time with Health</w:t>
      </w:r>
      <w:r>
        <w:rPr>
          <w:rFonts w:eastAsia="Times New Roman"/>
          <w:i/>
          <w:iCs/>
          <w:szCs w:val="20"/>
        </w:rPr>
        <w:t xml:space="preserve"> C</w:t>
      </w:r>
      <w:r w:rsidRPr="008760C3">
        <w:rPr>
          <w:rFonts w:eastAsia="Times New Roman"/>
          <w:i/>
          <w:iCs/>
          <w:szCs w:val="20"/>
        </w:rPr>
        <w:t>are Home and taking that on board, so it’s been extra for me to do from my normal day to day duties.”</w:t>
      </w:r>
      <w:r w:rsidRPr="008760C3">
        <w:rPr>
          <w:rFonts w:eastAsia="Times New Roman"/>
          <w:iCs/>
          <w:szCs w:val="20"/>
        </w:rPr>
        <w:t xml:space="preserve"> [Practice manager, Practice 1, interview</w:t>
      </w:r>
      <w:r>
        <w:rPr>
          <w:rFonts w:eastAsia="Times New Roman"/>
          <w:iCs/>
          <w:szCs w:val="20"/>
        </w:rPr>
        <w:t>, R2]</w:t>
      </w:r>
    </w:p>
    <w:p w14:paraId="13B4E44D" w14:textId="77777777" w:rsidR="001C19F3" w:rsidRPr="008760C3" w:rsidRDefault="001C19F3" w:rsidP="001C19F3">
      <w:pPr>
        <w:ind w:left="567" w:right="1088"/>
        <w:rPr>
          <w:rFonts w:eastAsia="Times New Roman"/>
          <w:iCs/>
          <w:szCs w:val="20"/>
        </w:rPr>
      </w:pPr>
      <w:r w:rsidRPr="008760C3">
        <w:rPr>
          <w:rFonts w:eastAsia="Times New Roman"/>
          <w:i/>
          <w:iCs/>
          <w:szCs w:val="20"/>
        </w:rPr>
        <w:t>“Not really, I think this is the way I work or I want to work with all patients.”</w:t>
      </w:r>
      <w:r w:rsidRPr="008760C3">
        <w:rPr>
          <w:rFonts w:eastAsia="Times New Roman"/>
          <w:iCs/>
          <w:szCs w:val="20"/>
        </w:rPr>
        <w:t xml:space="preserve"> [Practice nurse, Practice 12, interview</w:t>
      </w:r>
      <w:r>
        <w:rPr>
          <w:rFonts w:eastAsia="Times New Roman"/>
          <w:iCs/>
          <w:szCs w:val="20"/>
        </w:rPr>
        <w:t>, R2]</w:t>
      </w:r>
    </w:p>
    <w:p w14:paraId="1DA71D24" w14:textId="77777777" w:rsidR="001C19F3" w:rsidRPr="008760C3" w:rsidRDefault="001C19F3" w:rsidP="001C19F3">
      <w:pPr>
        <w:ind w:left="567" w:right="1088"/>
        <w:rPr>
          <w:rFonts w:eastAsia="Times New Roman"/>
          <w:iCs/>
          <w:szCs w:val="20"/>
        </w:rPr>
      </w:pPr>
      <w:r w:rsidRPr="008760C3">
        <w:rPr>
          <w:rFonts w:eastAsia="Times New Roman"/>
          <w:i/>
          <w:iCs/>
          <w:szCs w:val="20"/>
        </w:rPr>
        <w:t>“I think it just added more tasks for me.”</w:t>
      </w:r>
      <w:r w:rsidRPr="008760C3">
        <w:rPr>
          <w:rFonts w:eastAsia="Times New Roman"/>
          <w:iCs/>
          <w:szCs w:val="20"/>
        </w:rPr>
        <w:t xml:space="preserve"> [Practice nurse, Practice 11, interview</w:t>
      </w:r>
      <w:r>
        <w:rPr>
          <w:rFonts w:eastAsia="Times New Roman"/>
          <w:iCs/>
          <w:szCs w:val="20"/>
        </w:rPr>
        <w:t>, R2]</w:t>
      </w:r>
    </w:p>
    <w:p w14:paraId="2F15A647" w14:textId="77777777" w:rsidR="001C19F3" w:rsidRPr="008760C3" w:rsidRDefault="001C19F3" w:rsidP="001C19F3">
      <w:pPr>
        <w:rPr>
          <w:rFonts w:eastAsia="Times New Roman"/>
          <w:iCs/>
          <w:szCs w:val="20"/>
        </w:rPr>
      </w:pPr>
      <w:bookmarkStart w:id="317" w:name="_Hlk21361601"/>
      <w:r>
        <w:rPr>
          <w:rFonts w:eastAsia="Times New Roman"/>
          <w:iCs/>
          <w:szCs w:val="20"/>
        </w:rPr>
        <w:t>In some instances</w:t>
      </w:r>
      <w:r w:rsidRPr="008760C3">
        <w:rPr>
          <w:rFonts w:eastAsia="Times New Roman"/>
          <w:iCs/>
          <w:szCs w:val="20"/>
        </w:rPr>
        <w:t xml:space="preserve"> staff members reported that their job satisfaction was initially negatively impacted with the implementation of HCH due to higher levels of additional tasks and administrative burden, but this has since been resolved</w:t>
      </w:r>
      <w:bookmarkEnd w:id="317"/>
      <w:r w:rsidRPr="008760C3">
        <w:rPr>
          <w:rFonts w:eastAsia="Times New Roman"/>
          <w:iCs/>
          <w:szCs w:val="20"/>
        </w:rPr>
        <w:t>:</w:t>
      </w:r>
    </w:p>
    <w:p w14:paraId="6C98AE1C"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“I hated </w:t>
      </w:r>
      <w:r w:rsidRPr="008760C3">
        <w:rPr>
          <w:rFonts w:eastAsia="Times New Roman"/>
          <w:iCs/>
          <w:szCs w:val="20"/>
        </w:rPr>
        <w:t>[what I was doing]</w:t>
      </w:r>
      <w:r w:rsidRPr="008760C3">
        <w:rPr>
          <w:rFonts w:eastAsia="Times New Roman"/>
          <w:i/>
          <w:iCs/>
          <w:szCs w:val="20"/>
        </w:rPr>
        <w:t xml:space="preserve"> at first… I hated it until only a couple of months ago. Because I was working alone I think that was too much work and the mental stress of it starting it up from scratch as well. But now I've got the other </w:t>
      </w:r>
      <w:r w:rsidRPr="008760C3">
        <w:rPr>
          <w:rFonts w:eastAsia="Times New Roman"/>
          <w:iCs/>
          <w:szCs w:val="20"/>
        </w:rPr>
        <w:t>[staff]</w:t>
      </w:r>
      <w:r w:rsidRPr="008760C3">
        <w:rPr>
          <w:rFonts w:eastAsia="Times New Roman"/>
          <w:i/>
          <w:iCs/>
          <w:szCs w:val="20"/>
        </w:rPr>
        <w:t xml:space="preserve"> it's good and we've ironed out all the problems. I've ironed out loads of problems in every aspect.”</w:t>
      </w:r>
      <w:r w:rsidRPr="008760C3">
        <w:rPr>
          <w:rFonts w:eastAsia="Times New Roman"/>
          <w:iCs/>
          <w:szCs w:val="20"/>
        </w:rPr>
        <w:t xml:space="preserve"> [Practice nurse, Practice 4, interview</w:t>
      </w:r>
      <w:r>
        <w:rPr>
          <w:rFonts w:eastAsia="Times New Roman"/>
          <w:iCs/>
          <w:szCs w:val="20"/>
        </w:rPr>
        <w:t>, R2]</w:t>
      </w:r>
    </w:p>
    <w:p w14:paraId="385C4A7B"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“…for a long part of this actually there was a situation where there was only like one nurse on there…we’re trying to recruit Healthcare Homes and we’re trying to nut through the care plan process, but you’ve got a list of other stuff to do…I think </w:t>
      </w:r>
      <w:r w:rsidRPr="008760C3">
        <w:rPr>
          <w:rFonts w:eastAsia="Times New Roman"/>
          <w:iCs/>
          <w:szCs w:val="20"/>
        </w:rPr>
        <w:t>[I]</w:t>
      </w:r>
      <w:r w:rsidRPr="008760C3">
        <w:rPr>
          <w:rFonts w:eastAsia="Times New Roman"/>
          <w:i/>
          <w:iCs/>
          <w:szCs w:val="20"/>
        </w:rPr>
        <w:t xml:space="preserve"> went, well I’ve only got two hands. So that would be the level of my frustration. But now…we’re feeling like, oh, we’ve got time to work on that….I don’t think it’s impacted on my job satisfaction at all really….To me I think it’s good to be part of something that could be involved in making something better.”</w:t>
      </w:r>
      <w:r w:rsidRPr="008760C3">
        <w:rPr>
          <w:rFonts w:eastAsia="Times New Roman"/>
          <w:iCs/>
          <w:szCs w:val="20"/>
        </w:rPr>
        <w:t xml:space="preserve"> [Practice nurse, Practice 9, interview</w:t>
      </w:r>
      <w:r>
        <w:rPr>
          <w:rFonts w:eastAsia="Times New Roman"/>
          <w:iCs/>
          <w:szCs w:val="20"/>
        </w:rPr>
        <w:t>, R2]</w:t>
      </w:r>
    </w:p>
    <w:p w14:paraId="47A21026" w14:textId="77777777" w:rsidR="001C19F3" w:rsidRPr="008760C3" w:rsidRDefault="001C19F3" w:rsidP="001C19F3">
      <w:pPr>
        <w:rPr>
          <w:rFonts w:eastAsia="Times New Roman"/>
          <w:iCs/>
          <w:szCs w:val="20"/>
        </w:rPr>
      </w:pPr>
      <w:bookmarkStart w:id="318" w:name="_Hlk21361608"/>
      <w:r w:rsidRPr="008760C3">
        <w:rPr>
          <w:rFonts w:eastAsia="Times New Roman"/>
          <w:iCs/>
          <w:szCs w:val="20"/>
        </w:rPr>
        <w:t>A few practices reported that their staff members are still struggling to integrate some aspects of the model within their scope of responsibilities</w:t>
      </w:r>
      <w:r>
        <w:rPr>
          <w:rFonts w:eastAsia="Times New Roman"/>
          <w:iCs/>
          <w:szCs w:val="20"/>
        </w:rPr>
        <w:t>,</w:t>
      </w:r>
      <w:r w:rsidRPr="008760C3">
        <w:rPr>
          <w:rFonts w:eastAsia="Times New Roman"/>
          <w:iCs/>
          <w:szCs w:val="20"/>
        </w:rPr>
        <w:t xml:space="preserve"> which has made it difficult for the whole team</w:t>
      </w:r>
      <w:bookmarkEnd w:id="318"/>
      <w:r w:rsidRPr="008760C3">
        <w:rPr>
          <w:rFonts w:eastAsia="Times New Roman"/>
          <w:iCs/>
          <w:szCs w:val="20"/>
        </w:rPr>
        <w:t>:</w:t>
      </w:r>
    </w:p>
    <w:p w14:paraId="2F5255E0" w14:textId="77777777" w:rsidR="001C19F3" w:rsidRDefault="001C19F3" w:rsidP="001C19F3">
      <w:pPr>
        <w:ind w:left="567" w:right="1088"/>
        <w:rPr>
          <w:rFonts w:eastAsia="Times New Roman"/>
          <w:iCs/>
          <w:szCs w:val="20"/>
        </w:rPr>
      </w:pPr>
      <w:r w:rsidRPr="008760C3">
        <w:rPr>
          <w:rFonts w:eastAsia="Times New Roman"/>
          <w:i/>
          <w:iCs/>
          <w:szCs w:val="20"/>
        </w:rPr>
        <w:t>“I think it’s been a challenge for our practice nurse because it’s like a whole extra workload for her because she’s not confident with the computer so everything takes longer than it would anyway and then she gets quite under pressure because the whole clinic is still running and she’s expected to do these whole extra things. I think it’s really impacted that role and it’s impacted my role because I’ve had to teach and support and go down constantly…”</w:t>
      </w:r>
      <w:r w:rsidRPr="008760C3">
        <w:rPr>
          <w:rFonts w:eastAsia="Times New Roman"/>
          <w:iCs/>
          <w:szCs w:val="20"/>
        </w:rPr>
        <w:t xml:space="preserve"> [Practice nurse, Practice 10, interview</w:t>
      </w:r>
      <w:r>
        <w:rPr>
          <w:rFonts w:eastAsia="Times New Roman"/>
          <w:iCs/>
          <w:szCs w:val="20"/>
        </w:rPr>
        <w:t>, R2]</w:t>
      </w:r>
    </w:p>
    <w:p w14:paraId="04B54493" w14:textId="77777777" w:rsidR="001C19F3" w:rsidRPr="008760C3" w:rsidRDefault="001C19F3" w:rsidP="001C19F3">
      <w:pPr>
        <w:ind w:left="567" w:right="1088"/>
        <w:rPr>
          <w:rFonts w:eastAsia="Times New Roman"/>
          <w:iCs/>
          <w:szCs w:val="20"/>
        </w:rPr>
      </w:pP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8760C3" w14:paraId="616CCE35" w14:textId="77777777" w:rsidTr="00521305">
        <w:trPr>
          <w:trHeight w:val="287"/>
          <w:jc w:val="right"/>
        </w:trPr>
        <w:tc>
          <w:tcPr>
            <w:tcW w:w="5000" w:type="pct"/>
          </w:tcPr>
          <w:p w14:paraId="391478D8" w14:textId="77777777" w:rsidR="001C19F3" w:rsidRPr="008760C3" w:rsidRDefault="001C19F3" w:rsidP="00521305">
            <w:pPr>
              <w:spacing w:after="0"/>
              <w:rPr>
                <w:b/>
                <w:sz w:val="18"/>
                <w:szCs w:val="18"/>
              </w:rPr>
            </w:pPr>
            <w:r w:rsidRPr="008760C3">
              <w:rPr>
                <w:b/>
                <w:sz w:val="18"/>
                <w:szCs w:val="18"/>
              </w:rPr>
              <w:lastRenderedPageBreak/>
              <w:t>Case study</w:t>
            </w:r>
          </w:p>
        </w:tc>
      </w:tr>
      <w:tr w:rsidR="001C19F3" w:rsidRPr="008760C3" w14:paraId="104BD8F7" w14:textId="77777777" w:rsidTr="00521305">
        <w:trPr>
          <w:jc w:val="right"/>
        </w:trPr>
        <w:tc>
          <w:tcPr>
            <w:tcW w:w="5000" w:type="pct"/>
          </w:tcPr>
          <w:p w14:paraId="262FBBFE" w14:textId="77777777" w:rsidR="001C19F3" w:rsidRPr="008760C3" w:rsidRDefault="001C19F3" w:rsidP="00521305">
            <w:pPr>
              <w:spacing w:after="0"/>
              <w:rPr>
                <w:sz w:val="18"/>
                <w:szCs w:val="18"/>
              </w:rPr>
            </w:pPr>
            <w:r w:rsidRPr="008760C3">
              <w:rPr>
                <w:sz w:val="18"/>
                <w:szCs w:val="18"/>
              </w:rPr>
              <w:t>The owner of a medium-sized practice located in a suburb just outside a metropolitan area and predominantly serving a younger demographic</w:t>
            </w:r>
            <w:r>
              <w:rPr>
                <w:sz w:val="18"/>
                <w:szCs w:val="18"/>
              </w:rPr>
              <w:t xml:space="preserve"> </w:t>
            </w:r>
            <w:r w:rsidRPr="008760C3">
              <w:rPr>
                <w:sz w:val="18"/>
                <w:szCs w:val="18"/>
              </w:rPr>
              <w:t>described the practice as a ‘lifestyle clinic’. The practice promotes and provides a range of preventative care services, and the owner believes this to be aligned with the HCH philosophy. One of the lead GPs, who was the first doctor to enrol patients, stated that the program has both hindered and benefitted her overall experience. She feels that initially understanding the program and how to complete general operational tasks under the HCH model was difficult, as there were limited guidelines around program requirements and processes. Although she feels this is a drawback of the program, the ability to provide phone consultations has been a major advantage and increased her job satisfaction. The practice hopes to continue to expand program offerings by introducing Skype consults, which would benefit both patients and staff members.</w:t>
            </w:r>
          </w:p>
        </w:tc>
      </w:tr>
    </w:tbl>
    <w:p w14:paraId="48CF3F77" w14:textId="77777777" w:rsidR="001C19F3" w:rsidRPr="008760C3" w:rsidRDefault="001C19F3" w:rsidP="001C19F3">
      <w:pPr>
        <w:spacing w:after="0"/>
        <w:rPr>
          <w:rFonts w:eastAsia="Times New Roman"/>
          <w:iCs/>
          <w:szCs w:val="20"/>
        </w:rPr>
      </w:pPr>
    </w:p>
    <w:p w14:paraId="51C299DC" w14:textId="77777777" w:rsidR="001C19F3" w:rsidRPr="008760C3" w:rsidRDefault="001C19F3" w:rsidP="001C19F3">
      <w:pPr>
        <w:rPr>
          <w:rFonts w:eastAsia="Times New Roman"/>
          <w:iCs/>
          <w:szCs w:val="20"/>
        </w:rPr>
      </w:pPr>
      <w:r w:rsidRPr="008760C3">
        <w:rPr>
          <w:rFonts w:eastAsia="Times New Roman"/>
          <w:iCs/>
          <w:szCs w:val="20"/>
        </w:rPr>
        <w:t>One staff member reported that HCH has impacted their role in both negative and positive ways:</w:t>
      </w:r>
    </w:p>
    <w:p w14:paraId="319580C3"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“Because it's allowed me the phone consults, it has improved my job satisfaction in that sort of way…It's meant that I don't have to have patients in here </w:t>
      </w:r>
      <w:r>
        <w:rPr>
          <w:rFonts w:eastAsia="Times New Roman"/>
          <w:i/>
          <w:iCs/>
          <w:szCs w:val="20"/>
        </w:rPr>
        <w:t>face-to-face</w:t>
      </w:r>
      <w:r w:rsidRPr="008760C3">
        <w:rPr>
          <w:rFonts w:eastAsia="Times New Roman"/>
          <w:i/>
          <w:iCs/>
          <w:szCs w:val="20"/>
        </w:rPr>
        <w:t xml:space="preserve"> to be doing simple things like referrals and whatever else. So that's made a big difference in that sort of way…because it's so challenging to actually understand the program and put it into place, that has not helped job satisfaction at all. It's meant that I've pulled back on the number of patients that I'm actually seeing, because I'm needing to do this extra work in terms of working out, how is this going to be panned out within the practice, all those planning meetings that we have.”</w:t>
      </w:r>
      <w:r w:rsidRPr="008760C3">
        <w:rPr>
          <w:rFonts w:eastAsia="Times New Roman"/>
          <w:iCs/>
          <w:szCs w:val="20"/>
        </w:rPr>
        <w:t xml:space="preserve"> [GP, Practice 9, interview</w:t>
      </w:r>
      <w:r>
        <w:rPr>
          <w:rFonts w:eastAsia="Times New Roman"/>
          <w:iCs/>
          <w:szCs w:val="20"/>
        </w:rPr>
        <w:t>, R2]</w:t>
      </w:r>
    </w:p>
    <w:p w14:paraId="4F798BA3" w14:textId="77777777" w:rsidR="001C19F3" w:rsidRPr="008760C3" w:rsidRDefault="001C19F3" w:rsidP="001C19F3">
      <w:pPr>
        <w:rPr>
          <w:rFonts w:eastAsia="Times New Roman"/>
          <w:iCs/>
          <w:szCs w:val="20"/>
        </w:rPr>
      </w:pPr>
      <w:bookmarkStart w:id="319" w:name="_Hlk21361625"/>
      <w:r w:rsidRPr="006B6567">
        <w:rPr>
          <w:rFonts w:eastAsia="Times New Roman"/>
          <w:iCs/>
          <w:szCs w:val="20"/>
        </w:rPr>
        <w:t>Despite these difficulties, practices reported largely positive changes in their roles and experience with implementing HCH</w:t>
      </w:r>
      <w:r w:rsidRPr="008760C3">
        <w:rPr>
          <w:rFonts w:eastAsia="Times New Roman"/>
          <w:iCs/>
          <w:szCs w:val="20"/>
        </w:rPr>
        <w:t>. These include increased autonomy and responsibilities for nurses, less pressure on GPs, more team coordination and staff involvement, and stronger staff-patient relationships</w:t>
      </w:r>
      <w:bookmarkEnd w:id="319"/>
      <w:r w:rsidRPr="008760C3">
        <w:rPr>
          <w:rFonts w:eastAsia="Times New Roman"/>
          <w:iCs/>
          <w:szCs w:val="20"/>
        </w:rPr>
        <w:t>:</w:t>
      </w:r>
    </w:p>
    <w:p w14:paraId="04EEBB0B"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“You’re more involved now…You scrutinise everything basically, compared to if they come in just for a normal care plan…And, you have a different relationship also, so even when they will come through the door and they just see me and I’m like, come through, because it’s one of my patients. And, you have that different relationship that they know that they can come and see me and I’m available for them at any time.” </w:t>
      </w:r>
      <w:r w:rsidRPr="008760C3">
        <w:rPr>
          <w:rFonts w:eastAsia="Times New Roman"/>
          <w:iCs/>
          <w:szCs w:val="20"/>
        </w:rPr>
        <w:t>[Practice nurse, Practice 3, interview</w:t>
      </w:r>
      <w:r>
        <w:rPr>
          <w:rFonts w:eastAsia="Times New Roman"/>
          <w:iCs/>
          <w:szCs w:val="20"/>
        </w:rPr>
        <w:t>, R2]</w:t>
      </w:r>
    </w:p>
    <w:p w14:paraId="558A4BC5" w14:textId="77777777" w:rsidR="001C19F3" w:rsidRPr="008760C3" w:rsidRDefault="001C19F3" w:rsidP="001C19F3">
      <w:pPr>
        <w:ind w:left="567" w:right="1088"/>
        <w:rPr>
          <w:rFonts w:eastAsia="Times New Roman"/>
          <w:iCs/>
          <w:szCs w:val="20"/>
        </w:rPr>
      </w:pPr>
      <w:r w:rsidRPr="008760C3">
        <w:rPr>
          <w:rFonts w:eastAsia="Times New Roman"/>
          <w:i/>
          <w:iCs/>
          <w:szCs w:val="20"/>
        </w:rPr>
        <w:t>“I’m the keeping the staff happy person. And they like it, they really like it. My nursing staff love the autonomy and the extra responsibility, they absolutely thrive on it.”</w:t>
      </w:r>
      <w:r w:rsidRPr="008760C3">
        <w:rPr>
          <w:rFonts w:eastAsia="Times New Roman"/>
          <w:iCs/>
          <w:szCs w:val="20"/>
        </w:rPr>
        <w:t xml:space="preserve"> [GP, Practice 4, interview</w:t>
      </w:r>
      <w:r>
        <w:rPr>
          <w:rFonts w:eastAsia="Times New Roman"/>
          <w:iCs/>
          <w:szCs w:val="20"/>
        </w:rPr>
        <w:t>, R2]</w:t>
      </w:r>
    </w:p>
    <w:p w14:paraId="358995F1" w14:textId="77777777" w:rsidR="001C19F3" w:rsidRPr="008760C3" w:rsidRDefault="001C19F3" w:rsidP="001C19F3">
      <w:pPr>
        <w:ind w:left="567" w:right="1088"/>
        <w:rPr>
          <w:rFonts w:eastAsia="Times New Roman"/>
          <w:iCs/>
          <w:szCs w:val="20"/>
        </w:rPr>
      </w:pPr>
      <w:r w:rsidRPr="008760C3">
        <w:rPr>
          <w:rFonts w:eastAsia="Times New Roman"/>
          <w:i/>
          <w:iCs/>
          <w:szCs w:val="20"/>
        </w:rPr>
        <w:t xml:space="preserve">“From a </w:t>
      </w:r>
      <w:r>
        <w:rPr>
          <w:rFonts w:eastAsia="Times New Roman"/>
          <w:i/>
          <w:iCs/>
          <w:szCs w:val="20"/>
        </w:rPr>
        <w:t>p</w:t>
      </w:r>
      <w:r w:rsidRPr="008760C3">
        <w:rPr>
          <w:rFonts w:eastAsia="Times New Roman"/>
          <w:i/>
          <w:iCs/>
          <w:szCs w:val="20"/>
        </w:rPr>
        <w:t>ractice perspective, I think the doctors that are on board have been a lot happier with the way that we are now. Especially tweaking things along the way, they’re really happy with the way that it’s been going, same with the nurses. I think the doctors feel they have a lot more time to tailor their care specifically for those patients now…</w:t>
      </w:r>
      <w:r w:rsidRPr="008760C3">
        <w:rPr>
          <w:i/>
        </w:rPr>
        <w:t xml:space="preserve"> </w:t>
      </w:r>
      <w:r w:rsidRPr="008760C3">
        <w:rPr>
          <w:rFonts w:eastAsia="Times New Roman"/>
          <w:i/>
          <w:iCs/>
          <w:szCs w:val="20"/>
        </w:rPr>
        <w:t>One of our doctors said it’s like a weight has been lifted off, that they can do that for them now, they can send the scripts to their chemist. Yes, that’s definitely one change.”</w:t>
      </w:r>
      <w:r w:rsidRPr="008760C3">
        <w:rPr>
          <w:rFonts w:eastAsia="Times New Roman"/>
          <w:iCs/>
          <w:szCs w:val="20"/>
        </w:rPr>
        <w:t xml:space="preserve"> [owner &amp; practice manager, Practice 6, interview</w:t>
      </w:r>
      <w:r>
        <w:rPr>
          <w:rFonts w:eastAsia="Times New Roman"/>
          <w:iCs/>
          <w:szCs w:val="20"/>
        </w:rPr>
        <w:t>, R2]</w:t>
      </w:r>
    </w:p>
    <w:p w14:paraId="7A49FC10" w14:textId="77777777" w:rsidR="001C19F3" w:rsidRPr="00BA7D0D" w:rsidRDefault="001C19F3" w:rsidP="001C19F3">
      <w:pPr>
        <w:rPr>
          <w:rFonts w:eastAsia="Times New Roman"/>
          <w:iCs/>
          <w:szCs w:val="20"/>
        </w:rPr>
      </w:pPr>
      <w:r w:rsidRPr="008760C3">
        <w:rPr>
          <w:rFonts w:eastAsia="Times New Roman"/>
          <w:i/>
          <w:iCs/>
          <w:szCs w:val="20"/>
        </w:rPr>
        <w:lastRenderedPageBreak/>
        <w:t xml:space="preserve">“I feel I get a closer relationship with the patient as well, and I like that, because yes, it's nice. And they all ring, and they all come and just talk to me about anything, and just... And that's nice, because for an elderly person, it's nice for them to come in and they can just talk away to me, yes. And they trust me…” </w:t>
      </w:r>
      <w:r w:rsidRPr="008760C3">
        <w:rPr>
          <w:rFonts w:eastAsia="Times New Roman"/>
          <w:iCs/>
          <w:szCs w:val="20"/>
        </w:rPr>
        <w:t>[HCH coordinator, Practice 16, interview</w:t>
      </w:r>
      <w:r>
        <w:rPr>
          <w:rFonts w:eastAsia="Times New Roman"/>
          <w:iCs/>
          <w:szCs w:val="20"/>
        </w:rPr>
        <w:t>, R2]</w:t>
      </w:r>
    </w:p>
    <w:p w14:paraId="0357F6E4" w14:textId="77777777" w:rsidR="001C19F3" w:rsidRDefault="001C19F3" w:rsidP="001C19F3"/>
    <w:p w14:paraId="60A72CB8" w14:textId="77777777" w:rsidR="001C19F3" w:rsidRDefault="001C19F3" w:rsidP="001C19F3">
      <w:pPr>
        <w:sectPr w:rsidR="001C19F3" w:rsidSect="001C5D9E">
          <w:headerReference w:type="first" r:id="rId67"/>
          <w:pgSz w:w="11906" w:h="16838"/>
          <w:pgMar w:top="1440" w:right="1440" w:bottom="1440" w:left="1440" w:header="708" w:footer="708" w:gutter="0"/>
          <w:cols w:space="708"/>
          <w:titlePg/>
          <w:docGrid w:linePitch="360"/>
        </w:sectPr>
      </w:pPr>
    </w:p>
    <w:p w14:paraId="086B68E9" w14:textId="77777777" w:rsidR="001C19F3" w:rsidRDefault="001C19F3" w:rsidP="001C19F3">
      <w:pPr>
        <w:pStyle w:val="Heading1withnumber"/>
        <w:ind w:left="0" w:hanging="1134"/>
      </w:pPr>
      <w:bookmarkStart w:id="320" w:name="_Ref21003704"/>
      <w:bookmarkStart w:id="321" w:name="_Toc27056573"/>
      <w:r>
        <w:lastRenderedPageBreak/>
        <w:t>The bundled payment</w:t>
      </w:r>
      <w:bookmarkEnd w:id="320"/>
      <w:bookmarkEnd w:id="321"/>
    </w:p>
    <w:p w14:paraId="1BA472DC" w14:textId="77777777" w:rsidR="001C19F3" w:rsidRDefault="001C19F3" w:rsidP="001C19F3">
      <w:pPr>
        <w:pStyle w:val="Heading2"/>
      </w:pPr>
      <w:bookmarkStart w:id="322" w:name="_Toc27056574"/>
      <w:r>
        <w:t>Overview</w:t>
      </w:r>
      <w:bookmarkEnd w:id="322"/>
    </w:p>
    <w:p w14:paraId="0ED72EF4" w14:textId="77777777" w:rsidR="001C19F3" w:rsidRDefault="001C19F3" w:rsidP="001C19F3">
      <w:r>
        <w:t>The bundled payment has been described in Chapter 2 (</w:t>
      </w:r>
      <w:r w:rsidRPr="006E0240">
        <w:rPr>
          <w:i/>
        </w:rPr>
        <w:fldChar w:fldCharType="begin"/>
      </w:r>
      <w:r w:rsidRPr="006E0240">
        <w:rPr>
          <w:i/>
        </w:rPr>
        <w:instrText xml:space="preserve"> REF _Ref21371889 \h </w:instrText>
      </w:r>
      <w:r>
        <w:rPr>
          <w:i/>
        </w:rPr>
        <w:instrText xml:space="preserve"> \* MERGEFORMAT </w:instrText>
      </w:r>
      <w:r w:rsidRPr="006E0240">
        <w:rPr>
          <w:i/>
        </w:rPr>
      </w:r>
      <w:r w:rsidRPr="006E0240">
        <w:rPr>
          <w:i/>
        </w:rPr>
        <w:fldChar w:fldCharType="separate"/>
      </w:r>
      <w:r w:rsidRPr="00822044">
        <w:rPr>
          <w:i/>
        </w:rPr>
        <w:t>Bundled payment</w:t>
      </w:r>
      <w:r w:rsidRPr="006E0240">
        <w:rPr>
          <w:i/>
        </w:rPr>
        <w:fldChar w:fldCharType="end"/>
      </w:r>
      <w:r>
        <w:t xml:space="preserve">, p. </w:t>
      </w:r>
      <w:r>
        <w:fldChar w:fldCharType="begin"/>
      </w:r>
      <w:r>
        <w:instrText xml:space="preserve"> PAGEREF _Ref21371889 \h </w:instrText>
      </w:r>
      <w:r>
        <w:fldChar w:fldCharType="separate"/>
      </w:r>
      <w:r>
        <w:rPr>
          <w:noProof/>
        </w:rPr>
        <w:t>12</w:t>
      </w:r>
      <w:r>
        <w:fldChar w:fldCharType="end"/>
      </w:r>
      <w:r>
        <w:t>), along with the payment rates</w:t>
      </w:r>
      <w:r w:rsidRPr="006E0240">
        <w:t xml:space="preserve"> </w:t>
      </w:r>
      <w:r>
        <w:t>by tier (</w:t>
      </w:r>
      <w:r>
        <w:fldChar w:fldCharType="begin"/>
      </w:r>
      <w:r>
        <w:instrText xml:space="preserve"> REF _Ref21371774 \h  \* MERGEFORMAT </w:instrText>
      </w:r>
      <w:r>
        <w:fldChar w:fldCharType="separate"/>
      </w:r>
      <w:r w:rsidRPr="00822044">
        <w:t>Table 2</w:t>
      </w:r>
      <w:r>
        <w:fldChar w:fldCharType="end"/>
      </w:r>
      <w:r>
        <w:t>).</w:t>
      </w:r>
    </w:p>
    <w:p w14:paraId="7030EFA0" w14:textId="77777777" w:rsidR="001C19F3" w:rsidRPr="00933AF2" w:rsidRDefault="001C19F3" w:rsidP="001C19F3">
      <w:r w:rsidRPr="00933AF2">
        <w:t>The Department stated that the payment values for each of the tiers were “</w:t>
      </w:r>
      <w:r w:rsidRPr="00933AF2">
        <w:rPr>
          <w:i/>
        </w:rPr>
        <w:t xml:space="preserve">developed from best practice clinical models. They were progressed through a payments working group and have been tested against individual clinician data outside of the </w:t>
      </w:r>
      <w:r>
        <w:rPr>
          <w:i/>
        </w:rPr>
        <w:t>10</w:t>
      </w:r>
      <w:r w:rsidRPr="00933AF2">
        <w:rPr>
          <w:i/>
        </w:rPr>
        <w:t xml:space="preserve"> selected PHN regions</w:t>
      </w:r>
      <w:r w:rsidRPr="00933AF2">
        <w:t>” (</w:t>
      </w:r>
      <w:r w:rsidRPr="00933AF2">
        <w:fldChar w:fldCharType="begin"/>
      </w:r>
      <w:r>
        <w:instrText xml:space="preserve"> ADDIN EN.CITE &lt;EndNote&gt;&lt;Cite&gt;&lt;Author&gt;Australian Government Department of Health&lt;/Author&gt;&lt;Year&gt;2016&lt;/Year&gt;&lt;RecNum&gt;519&lt;/RecNum&gt;&lt;DisplayText&gt;Australian Government Department of Health, 2016b&lt;/DisplayText&gt;&lt;record&gt;&lt;rec-number&gt;519&lt;/rec-number&gt;&lt;foreign-keys&gt;&lt;key app="EN" db-id="zdz9xax04zr9v0evw2nvrpw9xe9ttzvs5zsv" timestamp="1485909718"&gt;519&lt;/key&gt;&lt;/foreign-keys&gt;&lt;ref-type name="Electronic Book"&gt;44&lt;/ref-type&gt;&lt;contributors&gt;&lt;authors&gt;&lt;author&gt;Australian Government Department of Health,,&lt;/author&gt;&lt;/authors&gt;&lt;/contributors&gt;&lt;titles&gt;&lt;title&gt;Factsheet: Stage one modelling&lt;/title&gt;&lt;/titles&gt;&lt;dates&gt;&lt;year&gt;2016&lt;/year&gt;&lt;/dates&gt;&lt;urls&gt;&lt;related-urls&gt;&lt;url&gt;http://www.health.gov.au/internet/main/publishing.nsf/Content/health-care-homes&lt;/url&gt;&lt;/related-urls&gt;&lt;/urls&gt;&lt;custom2&gt;01/02/2017&lt;/custom2&gt;&lt;/record&gt;&lt;/Cite&gt;&lt;/EndNote&gt;</w:instrText>
      </w:r>
      <w:r w:rsidRPr="00933AF2">
        <w:fldChar w:fldCharType="separate"/>
      </w:r>
      <w:r w:rsidRPr="00933AF2">
        <w:rPr>
          <w:noProof/>
        </w:rPr>
        <w:t>Australian Government Department of Health, 2016b</w:t>
      </w:r>
      <w:r w:rsidRPr="00933AF2">
        <w:fldChar w:fldCharType="end"/>
      </w:r>
      <w:r w:rsidRPr="00933AF2">
        <w:t>).</w:t>
      </w:r>
    </w:p>
    <w:p w14:paraId="2065B4AE" w14:textId="77777777" w:rsidR="001C19F3" w:rsidRPr="00933AF2" w:rsidRDefault="001C19F3" w:rsidP="001C19F3">
      <w:r w:rsidRPr="00933AF2">
        <w:t>The Department anticipates that the bundled payment under HCH will result in practices receiving about 10% more than under the current fee-for-service arrangements for HCH enrolees (</w:t>
      </w:r>
      <w:r w:rsidRPr="00933AF2">
        <w:fldChar w:fldCharType="begin"/>
      </w:r>
      <w:r>
        <w:instrText xml:space="preserve"> ADDIN EN.CITE &lt;EndNote&gt;&lt;Cite&gt;&lt;Author&gt;Australian Government Department of Health&lt;/Author&gt;&lt;Year&gt;2016&lt;/Year&gt;&lt;RecNum&gt;519&lt;/RecNum&gt;&lt;DisplayText&gt;Australian Government Department of Health, 2016b&lt;/DisplayText&gt;&lt;record&gt;&lt;rec-number&gt;519&lt;/rec-number&gt;&lt;foreign-keys&gt;&lt;key app="EN" db-id="zdz9xax04zr9v0evw2nvrpw9xe9ttzvs5zsv" timestamp="1485909718"&gt;519&lt;/key&gt;&lt;/foreign-keys&gt;&lt;ref-type name="Electronic Book"&gt;44&lt;/ref-type&gt;&lt;contributors&gt;&lt;authors&gt;&lt;author&gt;Australian Government Department of Health,,&lt;/author&gt;&lt;/authors&gt;&lt;/contributors&gt;&lt;titles&gt;&lt;title&gt;Factsheet: Stage one modelling&lt;/title&gt;&lt;/titles&gt;&lt;dates&gt;&lt;year&gt;2016&lt;/year&gt;&lt;/dates&gt;&lt;urls&gt;&lt;related-urls&gt;&lt;url&gt;http://www.health.gov.au/internet/main/publishing.nsf/Content/health-care-homes&lt;/url&gt;&lt;/related-urls&gt;&lt;/urls&gt;&lt;custom2&gt;01/02/2017&lt;/custom2&gt;&lt;/record&gt;&lt;/Cite&gt;&lt;/EndNote&gt;</w:instrText>
      </w:r>
      <w:r w:rsidRPr="00933AF2">
        <w:fldChar w:fldCharType="separate"/>
      </w:r>
      <w:r w:rsidRPr="00933AF2">
        <w:rPr>
          <w:noProof/>
        </w:rPr>
        <w:t>Australian Government Department of Health, 2016b</w:t>
      </w:r>
      <w:r w:rsidRPr="00933AF2">
        <w:fldChar w:fldCharType="end"/>
      </w:r>
      <w:r w:rsidRPr="00933AF2">
        <w:t>). It also recognises that the bundled payment may not be suitable for all chronically ill patients, and allows HCHs to withdraw ‘very unwell’ patients and revert to fee-for-service MBS charges for these patients (</w:t>
      </w:r>
      <w:r w:rsidRPr="00933AF2">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933AF2">
        <w:fldChar w:fldCharType="separate"/>
      </w:r>
      <w:r>
        <w:rPr>
          <w:noProof/>
        </w:rPr>
        <w:t>Australian Government Department of Health, 2018c</w:t>
      </w:r>
      <w:r w:rsidRPr="00933AF2">
        <w:fldChar w:fldCharType="end"/>
      </w:r>
      <w:r w:rsidRPr="00933AF2">
        <w:t>).</w:t>
      </w:r>
    </w:p>
    <w:p w14:paraId="78D12BE2" w14:textId="77777777" w:rsidR="001C19F3" w:rsidRPr="00933AF2" w:rsidRDefault="001C19F3" w:rsidP="001C19F3">
      <w:r w:rsidRPr="00933AF2">
        <w:t>Given that payments under various Commonwealth incentive programs</w:t>
      </w:r>
      <w:r>
        <w:t xml:space="preserve"> – </w:t>
      </w:r>
      <w:r w:rsidRPr="00933AF2">
        <w:t>the Practice Incentive Program</w:t>
      </w:r>
      <w:r>
        <w:t xml:space="preserve"> (PIP)</w:t>
      </w:r>
      <w:r w:rsidRPr="00933AF2">
        <w:t>, Service Incentive Program, Practice Nurse Incentive Program and the General Practitioner Rural Incentive program</w:t>
      </w:r>
      <w:r>
        <w:t xml:space="preserve"> – </w:t>
      </w:r>
      <w:r w:rsidRPr="00933AF2">
        <w:t xml:space="preserve">are dependent on MBS billing, </w:t>
      </w:r>
      <w:bookmarkStart w:id="323" w:name="_Hlk528657499"/>
      <w:r w:rsidRPr="00933AF2">
        <w:t xml:space="preserve">the Department, together with </w:t>
      </w:r>
      <w:bookmarkStart w:id="324" w:name="_Hlk528657469"/>
      <w:r w:rsidRPr="00933AF2">
        <w:t xml:space="preserve">the Department of Human Services, undertook to monitor the incentive payment for practices and provide a top-up for any HCH that is disadvantaged as a result of participating </w:t>
      </w:r>
      <w:bookmarkEnd w:id="324"/>
      <w:r w:rsidRPr="00933AF2">
        <w:t>in HCH (</w:t>
      </w:r>
      <w:r w:rsidRPr="00933AF2">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933AF2">
        <w:fldChar w:fldCharType="separate"/>
      </w:r>
      <w:r>
        <w:rPr>
          <w:noProof/>
        </w:rPr>
        <w:t>Australian Government Department of Health, 2018c</w:t>
      </w:r>
      <w:r w:rsidRPr="00933AF2">
        <w:fldChar w:fldCharType="end"/>
      </w:r>
      <w:bookmarkEnd w:id="323"/>
      <w:r w:rsidRPr="00933AF2">
        <w:t>).</w:t>
      </w:r>
    </w:p>
    <w:p w14:paraId="0B8D718B" w14:textId="77777777" w:rsidR="001C19F3" w:rsidRPr="00933AF2" w:rsidRDefault="001C19F3" w:rsidP="001C19F3">
      <w:r w:rsidRPr="00933AF2">
        <w:t>A new MBS item</w:t>
      </w:r>
      <w:r>
        <w:t xml:space="preserve"> – </w:t>
      </w:r>
      <w:r w:rsidRPr="00933AF2">
        <w:t>item 6087</w:t>
      </w:r>
      <w:r>
        <w:t xml:space="preserve"> – </w:t>
      </w:r>
      <w:r w:rsidRPr="00933AF2">
        <w:t xml:space="preserve">was also created prior to the start date of the implementation (1 October 2018) to record HCH patients’ out-of-pocket expenses (so that they can be counted towards to the patient’s safety net). The item has a rebate value of $1.15. </w:t>
      </w:r>
      <w:bookmarkStart w:id="325" w:name="_Hlk528657599"/>
      <w:r w:rsidRPr="00933AF2">
        <w:t>This item will also make out-of-pocket costs visible for the evaluation.</w:t>
      </w:r>
      <w:bookmarkEnd w:id="325"/>
    </w:p>
    <w:p w14:paraId="4C499F76" w14:textId="77777777" w:rsidR="001C19F3" w:rsidRDefault="001C19F3" w:rsidP="001C19F3">
      <w:pPr>
        <w:rPr>
          <w:rFonts w:cs="Tahoma"/>
          <w:szCs w:val="20"/>
        </w:rPr>
      </w:pPr>
      <w:r w:rsidRPr="00933AF2">
        <w:t>HCH does not prohibit patients from consulting other practices, but the patient enrolment/ consent form contains the statement “</w:t>
      </w:r>
      <w:r w:rsidRPr="00933AF2">
        <w:rPr>
          <w:i/>
        </w:rPr>
        <w:t>4. I agree to seek care from my Health Care Home practice on an ongoing basis</w:t>
      </w:r>
      <w:r w:rsidRPr="00933AF2">
        <w:t>” (</w:t>
      </w:r>
      <w:r w:rsidRPr="00933AF2">
        <w:fldChar w:fldCharType="begin"/>
      </w:r>
      <w:r>
        <w:instrText xml:space="preserve"> ADDIN EN.CITE &lt;EndNote&gt;&lt;Cite&gt;&lt;Author&gt;Australian Government Department of Health&lt;/Author&gt;&lt;Year&gt;2017&lt;/Year&gt;&lt;RecNum&gt;1053&lt;/RecNum&gt;&lt;DisplayText&gt;Australian Government Department of Health, 2017a&lt;/DisplayText&gt;&lt;record&gt;&lt;rec-number&gt;1053&lt;/rec-number&gt;&lt;foreign-keys&gt;&lt;key app="EN" db-id="zdz9xax04zr9v0evw2nvrpw9xe9ttzvs5zsv" timestamp="1536562972"&gt;1053&lt;/key&gt;&lt;/foreign-keys&gt;&lt;ref-type name="Electronic Book"&gt;44&lt;/ref-type&gt;&lt;contributors&gt;&lt;authors&gt;&lt;author&gt;Australian Government Department of Health,,&lt;/author&gt;&lt;/authors&gt;&lt;/contributors&gt;&lt;titles&gt;&lt;title&gt;Health Care Homes Patient Information Statement&lt;/title&gt;&lt;/titles&gt;&lt;dates&gt;&lt;year&gt;2017&lt;/year&gt;&lt;/dates&gt;&lt;urls&gt;&lt;related-urls&gt;&lt;url&gt;http://www.health.gov.au/internet/main/publishing.nsf/Content/C6EB6F07C8F62954CA2581A90009CA75/$File/English_Enrolment%20and%20consent%20form.pdf&lt;/url&gt;&lt;/related-urls&gt;&lt;/urls&gt;&lt;/record&gt;&lt;/Cite&gt;&lt;/EndNote&gt;</w:instrText>
      </w:r>
      <w:r w:rsidRPr="00933AF2">
        <w:fldChar w:fldCharType="separate"/>
      </w:r>
      <w:r>
        <w:rPr>
          <w:noProof/>
        </w:rPr>
        <w:t>Australian Government Department of Health, 2017a</w:t>
      </w:r>
      <w:r w:rsidRPr="00933AF2">
        <w:fldChar w:fldCharType="end"/>
      </w:r>
      <w:r w:rsidRPr="00933AF2">
        <w:t>).</w:t>
      </w:r>
      <w:r w:rsidRPr="00933AF2">
        <w:rPr>
          <w:rFonts w:cs="Tahoma"/>
          <w:szCs w:val="20"/>
        </w:rPr>
        <w:t xml:space="preserve"> Also, the Health Care Home Funding Assurance Toolkit (</w:t>
      </w:r>
      <w:r w:rsidRPr="00933AF2">
        <w:rPr>
          <w:rFonts w:cs="Tahoma"/>
          <w:szCs w:val="20"/>
        </w:rPr>
        <w:fldChar w:fldCharType="begin"/>
      </w:r>
      <w:r>
        <w:rPr>
          <w:rFonts w:cs="Tahoma"/>
          <w:szCs w:val="20"/>
        </w:rPr>
        <w:instrText xml:space="preserve"> ADDIN EN.CITE &lt;EndNote&gt;&lt;Cite&gt;&lt;Author&gt;Australian Government Department of Health&lt;/Author&gt;&lt;Year&gt;2018&lt;/Year&gt;&lt;RecNum&gt;1064&lt;/RecNum&gt;&lt;DisplayText&gt;Australian Government Department of Health, 2018a&lt;/DisplayText&gt;&lt;record&gt;&lt;rec-number&gt;1064&lt;/rec-number&gt;&lt;foreign-keys&gt;&lt;key app="EN" db-id="zdz9xax04zr9v0evw2nvrpw9xe9ttzvs5zsv" timestamp="1536891525"&gt;1064&lt;/key&gt;&lt;/foreign-keys&gt;&lt;ref-type name="Report"&gt;27&lt;/ref-type&gt;&lt;contributors&gt;&lt;authors&gt;&lt;author&gt;Australian Government Department of Health,,&lt;/author&gt;&lt;/authors&gt;&lt;/contributors&gt;&lt;titles&gt;&lt;title&gt;Health Care Home Funding Assurance Toolkit March 2018&lt;/title&gt;&lt;/titles&gt;&lt;dates&gt;&lt;year&gt;2018&lt;/year&gt;&lt;/dates&gt;&lt;pub-location&gt;Canberra&lt;/pub-location&gt;&lt;urls&gt;&lt;related-urls&gt;&lt;url&gt;http://www.health.gov.au/internet/main/publishing.nsf/Content/48DD66C8A5B99B56CA2581E700778A86/$File/HealthCareHomesFunding%20assurance%20toolkit.pdf&lt;/url&gt;&lt;/related-urls&gt;&lt;/urls&gt;&lt;/record&gt;&lt;/Cite&gt;&lt;/EndNote&gt;</w:instrText>
      </w:r>
      <w:r w:rsidRPr="00933AF2">
        <w:rPr>
          <w:rFonts w:cs="Tahoma"/>
          <w:szCs w:val="20"/>
        </w:rPr>
        <w:fldChar w:fldCharType="separate"/>
      </w:r>
      <w:r>
        <w:rPr>
          <w:rFonts w:cs="Tahoma"/>
          <w:noProof/>
          <w:szCs w:val="20"/>
        </w:rPr>
        <w:t>Australian Government Department of Health, 2018a</w:t>
      </w:r>
      <w:r w:rsidRPr="00933AF2">
        <w:rPr>
          <w:rFonts w:cs="Tahoma"/>
          <w:szCs w:val="20"/>
        </w:rPr>
        <w:fldChar w:fldCharType="end"/>
      </w:r>
      <w:r w:rsidRPr="00933AF2">
        <w:rPr>
          <w:rFonts w:cs="Tahoma"/>
          <w:szCs w:val="20"/>
        </w:rPr>
        <w:t>) requires that “</w:t>
      </w:r>
      <w:r w:rsidRPr="00933AF2">
        <w:rPr>
          <w:rFonts w:cs="Tahoma"/>
          <w:i/>
          <w:szCs w:val="20"/>
        </w:rPr>
        <w:t>The practice encourages an enrolled patient to attend their HCH for all care and, in particular, care that is related to their chronic conditions. This means that visits to other practices by enrolled patients are expected to be minimal (for example, when an enrolled patient is travelling)</w:t>
      </w:r>
      <w:r w:rsidRPr="00933AF2">
        <w:rPr>
          <w:rFonts w:cs="Tahoma"/>
          <w:szCs w:val="20"/>
        </w:rPr>
        <w:t>” (p. 8).</w:t>
      </w:r>
    </w:p>
    <w:p w14:paraId="3F775406" w14:textId="77777777" w:rsidR="001C19F3" w:rsidRDefault="001C19F3" w:rsidP="001C19F3">
      <w:pPr>
        <w:rPr>
          <w:rFonts w:cs="Tahoma"/>
          <w:szCs w:val="20"/>
        </w:rPr>
      </w:pPr>
      <w:r>
        <w:rPr>
          <w:rFonts w:cs="Tahoma"/>
          <w:szCs w:val="20"/>
        </w:rPr>
        <w:br w:type="page"/>
      </w:r>
    </w:p>
    <w:tbl>
      <w:tblPr>
        <w:tblW w:w="0" w:type="auto"/>
        <w:tblLook w:val="04A0" w:firstRow="1" w:lastRow="0" w:firstColumn="1" w:lastColumn="0" w:noHBand="0" w:noVBand="1"/>
      </w:tblPr>
      <w:tblGrid>
        <w:gridCol w:w="9016"/>
      </w:tblGrid>
      <w:tr w:rsidR="001C19F3" w:rsidRPr="00933AF2" w14:paraId="6A0D3B82" w14:textId="77777777" w:rsidTr="00521305">
        <w:tc>
          <w:tcPr>
            <w:tcW w:w="9016" w:type="dxa"/>
            <w:tcBorders>
              <w:top w:val="nil"/>
              <w:left w:val="nil"/>
              <w:bottom w:val="nil"/>
              <w:right w:val="nil"/>
            </w:tcBorders>
            <w:shd w:val="clear" w:color="auto" w:fill="F2F2F2" w:themeFill="background1" w:themeFillShade="F2"/>
          </w:tcPr>
          <w:p w14:paraId="5FDF4212" w14:textId="77777777" w:rsidR="001C19F3" w:rsidRPr="00AA1BF8" w:rsidRDefault="001C19F3" w:rsidP="00521305">
            <w:pPr>
              <w:jc w:val="center"/>
              <w:rPr>
                <w:b/>
                <w:sz w:val="18"/>
                <w:szCs w:val="18"/>
              </w:rPr>
            </w:pPr>
            <w:bookmarkStart w:id="326" w:name="Bundled"/>
            <w:r w:rsidRPr="00AA1BF8">
              <w:rPr>
                <w:b/>
                <w:sz w:val="18"/>
                <w:szCs w:val="18"/>
              </w:rPr>
              <w:lastRenderedPageBreak/>
              <w:t>What the bundled payment includes</w:t>
            </w:r>
            <w:bookmarkEnd w:id="326"/>
          </w:p>
          <w:p w14:paraId="12F688DB" w14:textId="77777777" w:rsidR="001C19F3" w:rsidRPr="00AA1BF8" w:rsidRDefault="001C19F3" w:rsidP="00521305">
            <w:pPr>
              <w:rPr>
                <w:sz w:val="18"/>
                <w:szCs w:val="18"/>
              </w:rPr>
            </w:pPr>
            <w:r w:rsidRPr="00AA1BF8">
              <w:rPr>
                <w:sz w:val="18"/>
                <w:szCs w:val="18"/>
              </w:rPr>
              <w:t>The HCH payment relates to enrolled patients’ chronic conditions, and includes:</w:t>
            </w:r>
          </w:p>
          <w:p w14:paraId="16ECE4A5" w14:textId="77777777" w:rsidR="001C19F3" w:rsidRPr="00AA1BF8" w:rsidRDefault="001C19F3" w:rsidP="001C19F3">
            <w:pPr>
              <w:numPr>
                <w:ilvl w:val="0"/>
                <w:numId w:val="31"/>
              </w:numPr>
              <w:contextualSpacing/>
              <w:rPr>
                <w:sz w:val="18"/>
                <w:szCs w:val="18"/>
              </w:rPr>
            </w:pPr>
            <w:r w:rsidRPr="00AA1BF8">
              <w:rPr>
                <w:sz w:val="18"/>
                <w:szCs w:val="18"/>
              </w:rPr>
              <w:t>shared care plan development</w:t>
            </w:r>
          </w:p>
          <w:p w14:paraId="190C526E" w14:textId="77777777" w:rsidR="001C19F3" w:rsidRPr="00AA1BF8" w:rsidRDefault="001C19F3" w:rsidP="001C19F3">
            <w:pPr>
              <w:numPr>
                <w:ilvl w:val="0"/>
                <w:numId w:val="31"/>
              </w:numPr>
              <w:contextualSpacing/>
              <w:rPr>
                <w:sz w:val="18"/>
                <w:szCs w:val="18"/>
              </w:rPr>
            </w:pPr>
            <w:r w:rsidRPr="00AA1BF8">
              <w:rPr>
                <w:sz w:val="18"/>
                <w:szCs w:val="18"/>
              </w:rPr>
              <w:t>regular reviews</w:t>
            </w:r>
          </w:p>
          <w:p w14:paraId="08C2FA31" w14:textId="77777777" w:rsidR="001C19F3" w:rsidRPr="00AA1BF8" w:rsidRDefault="001C19F3" w:rsidP="001C19F3">
            <w:pPr>
              <w:numPr>
                <w:ilvl w:val="0"/>
                <w:numId w:val="31"/>
              </w:numPr>
              <w:contextualSpacing/>
              <w:rPr>
                <w:sz w:val="18"/>
                <w:szCs w:val="18"/>
              </w:rPr>
            </w:pPr>
            <w:r w:rsidRPr="00AA1BF8">
              <w:rPr>
                <w:sz w:val="18"/>
                <w:szCs w:val="18"/>
              </w:rPr>
              <w:t>comprehensive health assessment</w:t>
            </w:r>
          </w:p>
          <w:p w14:paraId="3B04CE11" w14:textId="77777777" w:rsidR="001C19F3" w:rsidRPr="00AA1BF8" w:rsidRDefault="001C19F3" w:rsidP="001C19F3">
            <w:pPr>
              <w:numPr>
                <w:ilvl w:val="0"/>
                <w:numId w:val="31"/>
              </w:numPr>
              <w:contextualSpacing/>
              <w:rPr>
                <w:sz w:val="18"/>
                <w:szCs w:val="18"/>
              </w:rPr>
            </w:pPr>
            <w:r w:rsidRPr="00AA1BF8">
              <w:rPr>
                <w:sz w:val="18"/>
                <w:szCs w:val="18"/>
              </w:rPr>
              <w:t>making a referral to allied health providers or specialists</w:t>
            </w:r>
          </w:p>
          <w:p w14:paraId="426238B8" w14:textId="77777777" w:rsidR="001C19F3" w:rsidRPr="00AA1BF8" w:rsidRDefault="001C19F3" w:rsidP="001C19F3">
            <w:pPr>
              <w:numPr>
                <w:ilvl w:val="0"/>
                <w:numId w:val="31"/>
              </w:numPr>
              <w:contextualSpacing/>
              <w:rPr>
                <w:sz w:val="18"/>
                <w:szCs w:val="18"/>
              </w:rPr>
            </w:pPr>
            <w:r w:rsidRPr="00AA1BF8">
              <w:rPr>
                <w:sz w:val="18"/>
                <w:szCs w:val="18"/>
              </w:rPr>
              <w:t>case conferencing</w:t>
            </w:r>
          </w:p>
          <w:p w14:paraId="4D26BCD1" w14:textId="77777777" w:rsidR="001C19F3" w:rsidRPr="00AA1BF8" w:rsidRDefault="001C19F3" w:rsidP="001C19F3">
            <w:pPr>
              <w:numPr>
                <w:ilvl w:val="0"/>
                <w:numId w:val="31"/>
              </w:numPr>
              <w:contextualSpacing/>
              <w:rPr>
                <w:sz w:val="18"/>
                <w:szCs w:val="18"/>
              </w:rPr>
            </w:pPr>
            <w:r w:rsidRPr="00AA1BF8">
              <w:rPr>
                <w:sz w:val="18"/>
                <w:szCs w:val="18"/>
              </w:rPr>
              <w:t>telehealth services and monitoring</w:t>
            </w:r>
          </w:p>
          <w:p w14:paraId="62266CD3" w14:textId="77777777" w:rsidR="001C19F3" w:rsidRPr="00AA1BF8" w:rsidRDefault="001C19F3" w:rsidP="001C19F3">
            <w:pPr>
              <w:numPr>
                <w:ilvl w:val="0"/>
                <w:numId w:val="31"/>
              </w:numPr>
              <w:contextualSpacing/>
              <w:rPr>
                <w:sz w:val="18"/>
                <w:szCs w:val="18"/>
              </w:rPr>
            </w:pPr>
            <w:r w:rsidRPr="00AA1BF8">
              <w:rPr>
                <w:sz w:val="18"/>
                <w:szCs w:val="18"/>
              </w:rPr>
              <w:t>standard consultations related to an enrolled patient’s chronic and complex conditions</w:t>
            </w:r>
          </w:p>
          <w:p w14:paraId="7729BEC1" w14:textId="77777777" w:rsidR="001C19F3" w:rsidRPr="00AA1BF8" w:rsidRDefault="001C19F3" w:rsidP="001C19F3">
            <w:pPr>
              <w:numPr>
                <w:ilvl w:val="0"/>
                <w:numId w:val="31"/>
              </w:numPr>
              <w:ind w:left="714" w:hanging="357"/>
              <w:rPr>
                <w:sz w:val="18"/>
                <w:szCs w:val="18"/>
              </w:rPr>
            </w:pPr>
            <w:r w:rsidRPr="00AA1BF8">
              <w:rPr>
                <w:sz w:val="18"/>
                <w:szCs w:val="18"/>
              </w:rPr>
              <w:t>after-hours advice and care.</w:t>
            </w:r>
          </w:p>
          <w:p w14:paraId="1787E5BB" w14:textId="77777777" w:rsidR="001C19F3" w:rsidRPr="00AA1BF8" w:rsidRDefault="001C19F3" w:rsidP="00521305">
            <w:pPr>
              <w:rPr>
                <w:sz w:val="18"/>
                <w:szCs w:val="18"/>
              </w:rPr>
            </w:pPr>
            <w:r w:rsidRPr="00AA1BF8">
              <w:rPr>
                <w:sz w:val="18"/>
                <w:szCs w:val="18"/>
              </w:rPr>
              <w:t>(</w:t>
            </w:r>
            <w:r w:rsidRPr="00AA1BF8">
              <w:rPr>
                <w:sz w:val="18"/>
                <w:szCs w:val="18"/>
              </w:rPr>
              <w:fldChar w:fldCharType="begin"/>
            </w:r>
            <w:r w:rsidRPr="00AA1BF8">
              <w:rPr>
                <w:sz w:val="18"/>
                <w:szCs w:val="18"/>
              </w:rP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rsidRPr="00AA1BF8">
              <w:rPr>
                <w:sz w:val="18"/>
                <w:szCs w:val="18"/>
              </w:rPr>
              <w:fldChar w:fldCharType="separate"/>
            </w:r>
            <w:r w:rsidRPr="00AA1BF8">
              <w:rPr>
                <w:noProof/>
                <w:sz w:val="18"/>
                <w:szCs w:val="18"/>
              </w:rPr>
              <w:t>Australian Government Department of Health, 2018c</w:t>
            </w:r>
            <w:r w:rsidRPr="00AA1BF8">
              <w:rPr>
                <w:sz w:val="18"/>
                <w:szCs w:val="18"/>
              </w:rPr>
              <w:fldChar w:fldCharType="end"/>
            </w:r>
            <w:r w:rsidRPr="00AA1BF8">
              <w:rPr>
                <w:sz w:val="18"/>
                <w:szCs w:val="18"/>
              </w:rPr>
              <w:t>, p. 20).</w:t>
            </w:r>
          </w:p>
          <w:p w14:paraId="5384F4E6" w14:textId="77777777" w:rsidR="001C19F3" w:rsidRPr="00AA1BF8" w:rsidRDefault="001C19F3" w:rsidP="00521305">
            <w:pPr>
              <w:rPr>
                <w:sz w:val="18"/>
                <w:szCs w:val="18"/>
              </w:rPr>
            </w:pPr>
            <w:r w:rsidRPr="00AA1BF8">
              <w:rPr>
                <w:sz w:val="18"/>
                <w:szCs w:val="18"/>
              </w:rPr>
              <w:t>HCHs may still claim for consultation not relating to patients’ chronic conditions. The Clinical Reference Group created guidance on this (</w:t>
            </w:r>
            <w:r w:rsidRPr="00AA1BF8">
              <w:rPr>
                <w:sz w:val="18"/>
                <w:szCs w:val="18"/>
              </w:rPr>
              <w:fldChar w:fldCharType="begin"/>
            </w:r>
            <w:r w:rsidRPr="00AA1BF8">
              <w:rPr>
                <w:sz w:val="18"/>
                <w:szCs w:val="18"/>
              </w:rPr>
              <w:instrText xml:space="preserve"> ADDIN EN.CITE &lt;EndNote&gt;&lt;Cite&gt;&lt;Author&gt;Australian Government Department of Health&lt;/Author&gt;&lt;Year&gt;2018&lt;/Year&gt;&lt;RecNum&gt;1058&lt;/RecNum&gt;&lt;DisplayText&gt;Australian Government Department of Health, 2018b&lt;/DisplayText&gt;&lt;record&gt;&lt;rec-number&gt;1058&lt;/rec-number&gt;&lt;foreign-keys&gt;&lt;key app="EN" db-id="zdz9xax04zr9v0evw2nvrpw9xe9ttzvs5zsv" timestamp="1536719165"&gt;1058&lt;/key&gt;&lt;/foreign-keys&gt;&lt;ref-type name="Unpublished Work"&gt;34&lt;/ref-type&gt;&lt;contributors&gt;&lt;authors&gt;&lt;author&gt;Australian Government Department of Health,,&lt;/author&gt;&lt;/authors&gt;&lt;/contributors&gt;&lt;titles&gt;&lt;title&gt;Health Care Homes Clinical Reference Group Q&amp;amp;As&lt;/title&gt;&lt;/titles&gt;&lt;dates&gt;&lt;year&gt;2018&lt;/year&gt;&lt;/dates&gt;&lt;urls&gt;&lt;/urls&gt;&lt;/record&gt;&lt;/Cite&gt;&lt;/EndNote&gt;</w:instrText>
            </w:r>
            <w:r w:rsidRPr="00AA1BF8">
              <w:rPr>
                <w:sz w:val="18"/>
                <w:szCs w:val="18"/>
              </w:rPr>
              <w:fldChar w:fldCharType="separate"/>
            </w:r>
            <w:r w:rsidRPr="00AA1BF8">
              <w:rPr>
                <w:noProof/>
                <w:sz w:val="18"/>
                <w:szCs w:val="18"/>
              </w:rPr>
              <w:t>Australian Government Department of Health, 2018b</w:t>
            </w:r>
            <w:r w:rsidRPr="00AA1BF8">
              <w:rPr>
                <w:sz w:val="18"/>
                <w:szCs w:val="18"/>
              </w:rPr>
              <w:fldChar w:fldCharType="end"/>
            </w:r>
            <w:r w:rsidRPr="00AA1BF8">
              <w:rPr>
                <w:sz w:val="18"/>
                <w:szCs w:val="18"/>
              </w:rPr>
              <w:t>). For example:</w:t>
            </w:r>
          </w:p>
          <w:p w14:paraId="2EB3FDB6" w14:textId="77777777" w:rsidR="001C19F3" w:rsidRPr="00AA1BF8" w:rsidRDefault="001C19F3" w:rsidP="00521305">
            <w:pPr>
              <w:spacing w:after="0"/>
              <w:rPr>
                <w:i/>
                <w:sz w:val="18"/>
                <w:szCs w:val="18"/>
              </w:rPr>
            </w:pPr>
            <w:r w:rsidRPr="00AA1BF8">
              <w:rPr>
                <w:i/>
                <w:sz w:val="18"/>
                <w:szCs w:val="18"/>
              </w:rPr>
              <w:t>Question</w:t>
            </w:r>
          </w:p>
          <w:p w14:paraId="4A190702" w14:textId="77777777" w:rsidR="001C19F3" w:rsidRPr="00AA1BF8" w:rsidRDefault="001C19F3" w:rsidP="00521305">
            <w:pPr>
              <w:rPr>
                <w:i/>
                <w:sz w:val="18"/>
                <w:szCs w:val="18"/>
              </w:rPr>
            </w:pPr>
            <w:r w:rsidRPr="00AA1BF8">
              <w:rPr>
                <w:i/>
                <w:sz w:val="18"/>
                <w:szCs w:val="18"/>
              </w:rPr>
              <w:t xml:space="preserve">Does </w:t>
            </w:r>
            <w:bookmarkStart w:id="327" w:name="_Hlk22482456"/>
            <w:r w:rsidRPr="00AA1BF8">
              <w:rPr>
                <w:i/>
                <w:sz w:val="18"/>
                <w:szCs w:val="18"/>
              </w:rPr>
              <w:t xml:space="preserve">Point of Care (POC) </w:t>
            </w:r>
            <w:bookmarkEnd w:id="327"/>
            <w:r w:rsidRPr="00AA1BF8">
              <w:rPr>
                <w:i/>
                <w:sz w:val="18"/>
                <w:szCs w:val="18"/>
              </w:rPr>
              <w:t xml:space="preserve">testing of INRs (including the cost of the consumables) come under the HCH bundled payment? </w:t>
            </w:r>
          </w:p>
          <w:p w14:paraId="3D2EB40A" w14:textId="77777777" w:rsidR="001C19F3" w:rsidRPr="00AA1BF8" w:rsidRDefault="001C19F3" w:rsidP="00521305">
            <w:pPr>
              <w:spacing w:after="0"/>
              <w:rPr>
                <w:i/>
                <w:sz w:val="18"/>
                <w:szCs w:val="18"/>
              </w:rPr>
            </w:pPr>
            <w:r w:rsidRPr="00AA1BF8">
              <w:rPr>
                <w:i/>
                <w:sz w:val="18"/>
                <w:szCs w:val="18"/>
              </w:rPr>
              <w:t>Answer</w:t>
            </w:r>
          </w:p>
          <w:p w14:paraId="43BDB514" w14:textId="77777777" w:rsidR="001C19F3" w:rsidRPr="00AA1BF8" w:rsidRDefault="001C19F3" w:rsidP="00521305">
            <w:pPr>
              <w:rPr>
                <w:i/>
                <w:sz w:val="18"/>
                <w:szCs w:val="18"/>
              </w:rPr>
            </w:pPr>
            <w:r w:rsidRPr="00AA1BF8">
              <w:rPr>
                <w:i/>
                <w:sz w:val="18"/>
                <w:szCs w:val="18"/>
              </w:rPr>
              <w:t>Consults related to INR results from POC testing would normally be MBS-rebated as part of chronic disease management (for example Atrial Fibrillation). Accordingly, these consults, including associated consumables, form part of and are covered by the bundled payment.</w:t>
            </w:r>
          </w:p>
          <w:p w14:paraId="5FD8AB1D" w14:textId="77777777" w:rsidR="001C19F3" w:rsidRPr="00AA1BF8" w:rsidRDefault="001C19F3" w:rsidP="00521305">
            <w:pPr>
              <w:spacing w:after="0"/>
              <w:rPr>
                <w:i/>
                <w:sz w:val="18"/>
                <w:szCs w:val="18"/>
              </w:rPr>
            </w:pPr>
            <w:r w:rsidRPr="00AA1BF8">
              <w:rPr>
                <w:i/>
                <w:sz w:val="18"/>
                <w:szCs w:val="18"/>
              </w:rPr>
              <w:t>Question</w:t>
            </w:r>
          </w:p>
          <w:p w14:paraId="16295220" w14:textId="77777777" w:rsidR="001C19F3" w:rsidRPr="00AA1BF8" w:rsidRDefault="001C19F3" w:rsidP="00521305">
            <w:pPr>
              <w:rPr>
                <w:i/>
                <w:sz w:val="18"/>
                <w:szCs w:val="18"/>
              </w:rPr>
            </w:pPr>
            <w:r w:rsidRPr="00AA1BF8">
              <w:rPr>
                <w:i/>
                <w:sz w:val="18"/>
                <w:szCs w:val="18"/>
              </w:rPr>
              <w:t>AN HCH COPD patient gets an infectious exacerbation. With any patient, this would generally be considered as an acute episode, especially if treated with antibiotics. Considering that COPD patients are more prone to respiratory infections, would the consultation addressing this event be considered as part of an extension of the patient’s chronic condition and therefore be covered by the bundle, or would this be an acute event to be billed to the MBS?</w:t>
            </w:r>
          </w:p>
          <w:p w14:paraId="4A406041" w14:textId="77777777" w:rsidR="001C19F3" w:rsidRPr="00AA1BF8" w:rsidRDefault="001C19F3" w:rsidP="00521305">
            <w:pPr>
              <w:contextualSpacing/>
              <w:rPr>
                <w:i/>
                <w:sz w:val="18"/>
                <w:szCs w:val="18"/>
              </w:rPr>
            </w:pPr>
            <w:r w:rsidRPr="00AA1BF8">
              <w:rPr>
                <w:i/>
                <w:sz w:val="18"/>
                <w:szCs w:val="18"/>
              </w:rPr>
              <w:t>Answer</w:t>
            </w:r>
          </w:p>
          <w:p w14:paraId="22B97428" w14:textId="77777777" w:rsidR="001C19F3" w:rsidRPr="00AA1BF8" w:rsidRDefault="001C19F3" w:rsidP="00521305">
            <w:pPr>
              <w:rPr>
                <w:i/>
                <w:sz w:val="18"/>
                <w:szCs w:val="18"/>
              </w:rPr>
            </w:pPr>
            <w:r w:rsidRPr="00AA1BF8">
              <w:rPr>
                <w:i/>
                <w:sz w:val="18"/>
                <w:szCs w:val="18"/>
              </w:rPr>
              <w:t xml:space="preserve">The consultation addressing this event is considered an extension of the patient’s chronic condition and therefore covered by the bundled payment. </w:t>
            </w:r>
          </w:p>
          <w:p w14:paraId="3FA9F481" w14:textId="77777777" w:rsidR="001C19F3" w:rsidRPr="00AA1BF8" w:rsidRDefault="001C19F3" w:rsidP="00521305">
            <w:pPr>
              <w:contextualSpacing/>
              <w:rPr>
                <w:i/>
                <w:sz w:val="18"/>
                <w:szCs w:val="18"/>
              </w:rPr>
            </w:pPr>
            <w:r w:rsidRPr="00AA1BF8">
              <w:rPr>
                <w:i/>
                <w:sz w:val="18"/>
                <w:szCs w:val="18"/>
              </w:rPr>
              <w:t>Question</w:t>
            </w:r>
          </w:p>
          <w:p w14:paraId="7615C7C3" w14:textId="77777777" w:rsidR="001C19F3" w:rsidRPr="00AA1BF8" w:rsidRDefault="001C19F3" w:rsidP="00521305">
            <w:pPr>
              <w:rPr>
                <w:i/>
                <w:sz w:val="18"/>
                <w:szCs w:val="18"/>
              </w:rPr>
            </w:pPr>
            <w:r w:rsidRPr="00AA1BF8">
              <w:rPr>
                <w:i/>
                <w:sz w:val="18"/>
                <w:szCs w:val="18"/>
              </w:rPr>
              <w:t>How should the consultation for the administration of free government vaccines such as the Flu and Pneumococcal be billed for eligible HCH patients?</w:t>
            </w:r>
          </w:p>
          <w:p w14:paraId="3C9D67F2" w14:textId="77777777" w:rsidR="001C19F3" w:rsidRPr="00AA1BF8" w:rsidRDefault="001C19F3" w:rsidP="00521305">
            <w:pPr>
              <w:contextualSpacing/>
              <w:rPr>
                <w:i/>
                <w:sz w:val="18"/>
                <w:szCs w:val="18"/>
              </w:rPr>
            </w:pPr>
            <w:r w:rsidRPr="00AA1BF8">
              <w:rPr>
                <w:i/>
                <w:sz w:val="18"/>
                <w:szCs w:val="18"/>
              </w:rPr>
              <w:t>Answer</w:t>
            </w:r>
          </w:p>
          <w:p w14:paraId="7DA97C29" w14:textId="77777777" w:rsidR="001C19F3" w:rsidRPr="00AA1BF8" w:rsidRDefault="001C19F3" w:rsidP="00521305">
            <w:pPr>
              <w:rPr>
                <w:sz w:val="18"/>
                <w:szCs w:val="18"/>
              </w:rPr>
            </w:pPr>
            <w:r w:rsidRPr="00AA1BF8">
              <w:rPr>
                <w:i/>
                <w:sz w:val="18"/>
                <w:szCs w:val="18"/>
              </w:rPr>
              <w:t>The consultation for the administration of free government vaccines in this scenario should be covered by the bundled payment as it would form part of a patient’s care plan.</w:t>
            </w:r>
          </w:p>
        </w:tc>
      </w:tr>
    </w:tbl>
    <w:p w14:paraId="18B0EBEE" w14:textId="77777777" w:rsidR="001C19F3" w:rsidRPr="00933AF2" w:rsidRDefault="001C19F3" w:rsidP="001C19F3">
      <w:pPr>
        <w:spacing w:after="0"/>
      </w:pPr>
    </w:p>
    <w:tbl>
      <w:tblPr>
        <w:tblW w:w="0" w:type="auto"/>
        <w:tblLook w:val="04A0" w:firstRow="1" w:lastRow="0" w:firstColumn="1" w:lastColumn="0" w:noHBand="0" w:noVBand="1"/>
      </w:tblPr>
      <w:tblGrid>
        <w:gridCol w:w="9016"/>
      </w:tblGrid>
      <w:tr w:rsidR="001C19F3" w:rsidRPr="00AA1BF8" w14:paraId="33472361" w14:textId="77777777" w:rsidTr="00521305">
        <w:tc>
          <w:tcPr>
            <w:tcW w:w="9016" w:type="dxa"/>
            <w:tcBorders>
              <w:top w:val="nil"/>
              <w:left w:val="nil"/>
              <w:bottom w:val="nil"/>
              <w:right w:val="nil"/>
            </w:tcBorders>
            <w:shd w:val="clear" w:color="auto" w:fill="F2F2F2" w:themeFill="background1" w:themeFillShade="F2"/>
          </w:tcPr>
          <w:p w14:paraId="5657CD0C" w14:textId="77777777" w:rsidR="001C19F3" w:rsidRPr="00AA1BF8" w:rsidRDefault="001C19F3" w:rsidP="00521305">
            <w:pPr>
              <w:jc w:val="center"/>
              <w:rPr>
                <w:b/>
                <w:sz w:val="18"/>
                <w:szCs w:val="18"/>
              </w:rPr>
            </w:pPr>
            <w:bookmarkStart w:id="328" w:name="Distributing"/>
            <w:r w:rsidRPr="00AA1BF8">
              <w:rPr>
                <w:b/>
                <w:sz w:val="18"/>
                <w:szCs w:val="18"/>
              </w:rPr>
              <w:t>Distributing the bundled payment amongst HCH care providers</w:t>
            </w:r>
            <w:bookmarkEnd w:id="328"/>
          </w:p>
          <w:p w14:paraId="0162190F" w14:textId="77777777" w:rsidR="001C19F3" w:rsidRPr="00AA1BF8" w:rsidRDefault="001C19F3" w:rsidP="00521305">
            <w:pPr>
              <w:rPr>
                <w:sz w:val="18"/>
                <w:szCs w:val="18"/>
              </w:rPr>
            </w:pPr>
            <w:r w:rsidRPr="00AA1BF8">
              <w:rPr>
                <w:sz w:val="18"/>
                <w:szCs w:val="18"/>
              </w:rPr>
              <w:t xml:space="preserve">One of the concerns by practices considering participating in HCH or having just joined was how the bundled payment would be shared within the practice. The Department of Health engaged AAPM to prepare a guide for practices—the </w:t>
            </w:r>
            <w:r w:rsidRPr="00AA1BF8">
              <w:rPr>
                <w:i/>
                <w:sz w:val="18"/>
                <w:szCs w:val="18"/>
              </w:rPr>
              <w:t>Health Care Home Activity Monitoring Guide</w:t>
            </w:r>
            <w:r w:rsidRPr="00AA1BF8">
              <w:rPr>
                <w:sz w:val="18"/>
                <w:szCs w:val="18"/>
              </w:rPr>
              <w:t xml:space="preserve"> (</w:t>
            </w:r>
            <w:r w:rsidRPr="00AA1BF8">
              <w:rPr>
                <w:sz w:val="18"/>
                <w:szCs w:val="18"/>
              </w:rPr>
              <w:fldChar w:fldCharType="begin"/>
            </w:r>
            <w:r w:rsidRPr="00AA1BF8">
              <w:rPr>
                <w:sz w:val="18"/>
                <w:szCs w:val="18"/>
              </w:rPr>
              <w:instrText xml:space="preserve"> ADDIN EN.CITE &lt;EndNote&gt;&lt;Cite&gt;&lt;Author&gt;Australian Association of Practice Management&lt;/Author&gt;&lt;Year&gt;2017&lt;/Year&gt;&lt;RecNum&gt;1033&lt;/RecNum&gt;&lt;DisplayText&gt;Australian Association of Practice Management, 2017a&lt;/DisplayText&gt;&lt;record&gt;&lt;rec-number&gt;1033&lt;/rec-number&gt;&lt;foreign-keys&gt;&lt;key app="EN" db-id="zdz9xax04zr9v0evw2nvrpw9xe9ttzvs5zsv" timestamp="1535440279"&gt;1033&lt;/key&gt;&lt;/foreign-keys&gt;&lt;ref-type name="Report"&gt;27&lt;/ref-type&gt;&lt;contributors&gt;&lt;authors&gt;&lt;author&gt;Australian Association of Practice Management,,&lt;/author&gt;&lt;/authors&gt;&lt;/contributors&gt;&lt;titles&gt;&lt;title&gt;Health Care Home Activity Monitoring Guide October 2017&lt;/title&gt;&lt;/titles&gt;&lt;dates&gt;&lt;year&gt;2017&lt;/year&gt;&lt;/dates&gt;&lt;pub-location&gt;Melbourne&lt;/pub-location&gt;&lt;publisher&gt;AAPM&lt;/publisher&gt;&lt;urls&gt;&lt;related-urls&gt;&lt;url&gt;https://www.aapm.org.au/Portals/1/documents/Health-Care-Homes/HCH_Activity_Monitoring_Guide_Oct_2017.pdf&lt;/url&gt;&lt;/related-urls&gt;&lt;/urls&gt;&lt;/record&gt;&lt;/Cite&gt;&lt;/EndNote&gt;</w:instrText>
            </w:r>
            <w:r w:rsidRPr="00AA1BF8">
              <w:rPr>
                <w:sz w:val="18"/>
                <w:szCs w:val="18"/>
              </w:rPr>
              <w:fldChar w:fldCharType="separate"/>
            </w:r>
            <w:r w:rsidRPr="00AA1BF8">
              <w:rPr>
                <w:noProof/>
                <w:sz w:val="18"/>
                <w:szCs w:val="18"/>
              </w:rPr>
              <w:t>Australian Association of Practice Management, 2017a</w:t>
            </w:r>
            <w:r w:rsidRPr="00AA1BF8">
              <w:rPr>
                <w:sz w:val="18"/>
                <w:szCs w:val="18"/>
              </w:rPr>
              <w:fldChar w:fldCharType="end"/>
            </w:r>
            <w:r w:rsidRPr="00AA1BF8">
              <w:rPr>
                <w:sz w:val="18"/>
                <w:szCs w:val="18"/>
              </w:rPr>
              <w:t>)—for building an internal system to record and monitor HCH activities and allocate funds. The Department did not mandate the guide; it was provided as a resource. It provided the following to practices:</w:t>
            </w:r>
          </w:p>
          <w:p w14:paraId="2B6803CE" w14:textId="77777777" w:rsidR="001C19F3" w:rsidRPr="00AA1BF8" w:rsidRDefault="001C19F3" w:rsidP="001C19F3">
            <w:pPr>
              <w:numPr>
                <w:ilvl w:val="0"/>
                <w:numId w:val="64"/>
              </w:numPr>
              <w:ind w:left="324" w:hanging="284"/>
              <w:rPr>
                <w:sz w:val="18"/>
                <w:szCs w:val="18"/>
              </w:rPr>
            </w:pPr>
            <w:r w:rsidRPr="00AA1BF8">
              <w:rPr>
                <w:sz w:val="18"/>
                <w:szCs w:val="18"/>
              </w:rPr>
              <w:lastRenderedPageBreak/>
              <w:t>A consistent method (within practice clinical management software systems rather than between systems) for flagging HCH patients and recording their tier.</w:t>
            </w:r>
          </w:p>
          <w:p w14:paraId="5066C7E2" w14:textId="77777777" w:rsidR="001C19F3" w:rsidRPr="00AA1BF8" w:rsidRDefault="001C19F3" w:rsidP="001C19F3">
            <w:pPr>
              <w:numPr>
                <w:ilvl w:val="0"/>
                <w:numId w:val="64"/>
              </w:numPr>
              <w:ind w:left="321" w:hanging="284"/>
              <w:rPr>
                <w:sz w:val="18"/>
                <w:szCs w:val="18"/>
              </w:rPr>
            </w:pPr>
            <w:r w:rsidRPr="00AA1BF8">
              <w:rPr>
                <w:sz w:val="18"/>
                <w:szCs w:val="18"/>
              </w:rPr>
              <w:t>A list of standardised activities, modes of delivery and responsible roles (and corresponding codes for these). Activities included in the Guide are:</w:t>
            </w:r>
          </w:p>
          <w:p w14:paraId="120F0A79" w14:textId="77777777" w:rsidR="001C19F3" w:rsidRPr="00AA1BF8" w:rsidRDefault="001C19F3" w:rsidP="001C19F3">
            <w:pPr>
              <w:numPr>
                <w:ilvl w:val="0"/>
                <w:numId w:val="62"/>
              </w:numPr>
              <w:contextualSpacing/>
              <w:rPr>
                <w:sz w:val="18"/>
                <w:szCs w:val="18"/>
              </w:rPr>
            </w:pPr>
            <w:r w:rsidRPr="00AA1BF8">
              <w:rPr>
                <w:sz w:val="18"/>
                <w:szCs w:val="18"/>
              </w:rPr>
              <w:t>prepare a shared care plan</w:t>
            </w:r>
          </w:p>
          <w:p w14:paraId="66118C30" w14:textId="77777777" w:rsidR="001C19F3" w:rsidRPr="00AA1BF8" w:rsidRDefault="001C19F3" w:rsidP="001C19F3">
            <w:pPr>
              <w:numPr>
                <w:ilvl w:val="0"/>
                <w:numId w:val="62"/>
              </w:numPr>
              <w:contextualSpacing/>
              <w:rPr>
                <w:sz w:val="18"/>
                <w:szCs w:val="18"/>
              </w:rPr>
            </w:pPr>
            <w:r w:rsidRPr="00AA1BF8">
              <w:rPr>
                <w:sz w:val="18"/>
                <w:szCs w:val="18"/>
              </w:rPr>
              <w:t>share care plan review</w:t>
            </w:r>
          </w:p>
          <w:p w14:paraId="4A3BEB2C" w14:textId="77777777" w:rsidR="001C19F3" w:rsidRPr="00AA1BF8" w:rsidRDefault="001C19F3" w:rsidP="001C19F3">
            <w:pPr>
              <w:numPr>
                <w:ilvl w:val="0"/>
                <w:numId w:val="62"/>
              </w:numPr>
              <w:contextualSpacing/>
              <w:rPr>
                <w:sz w:val="18"/>
                <w:szCs w:val="18"/>
              </w:rPr>
            </w:pPr>
            <w:r w:rsidRPr="00AA1BF8">
              <w:rPr>
                <w:sz w:val="18"/>
                <w:szCs w:val="18"/>
              </w:rPr>
              <w:t>consultation</w:t>
            </w:r>
          </w:p>
          <w:p w14:paraId="77B9D9BD" w14:textId="77777777" w:rsidR="001C19F3" w:rsidRPr="00AA1BF8" w:rsidRDefault="001C19F3" w:rsidP="001C19F3">
            <w:pPr>
              <w:numPr>
                <w:ilvl w:val="0"/>
                <w:numId w:val="62"/>
              </w:numPr>
              <w:contextualSpacing/>
              <w:rPr>
                <w:sz w:val="18"/>
                <w:szCs w:val="18"/>
              </w:rPr>
            </w:pPr>
            <w:r w:rsidRPr="00AA1BF8">
              <w:rPr>
                <w:sz w:val="18"/>
                <w:szCs w:val="18"/>
              </w:rPr>
              <w:t>prescribing/ referral</w:t>
            </w:r>
          </w:p>
          <w:p w14:paraId="2FE310F0" w14:textId="77777777" w:rsidR="001C19F3" w:rsidRPr="00AA1BF8" w:rsidRDefault="001C19F3" w:rsidP="001C19F3">
            <w:pPr>
              <w:numPr>
                <w:ilvl w:val="0"/>
                <w:numId w:val="62"/>
              </w:numPr>
              <w:contextualSpacing/>
              <w:rPr>
                <w:sz w:val="18"/>
                <w:szCs w:val="18"/>
              </w:rPr>
            </w:pPr>
            <w:r w:rsidRPr="00AA1BF8">
              <w:rPr>
                <w:sz w:val="18"/>
                <w:szCs w:val="18"/>
              </w:rPr>
              <w:t>education</w:t>
            </w:r>
          </w:p>
          <w:p w14:paraId="350D829B" w14:textId="77777777" w:rsidR="001C19F3" w:rsidRPr="00AA1BF8" w:rsidRDefault="001C19F3" w:rsidP="001C19F3">
            <w:pPr>
              <w:numPr>
                <w:ilvl w:val="0"/>
                <w:numId w:val="62"/>
              </w:numPr>
              <w:contextualSpacing/>
              <w:rPr>
                <w:sz w:val="18"/>
                <w:szCs w:val="18"/>
              </w:rPr>
            </w:pPr>
            <w:r w:rsidRPr="00AA1BF8">
              <w:rPr>
                <w:sz w:val="18"/>
                <w:szCs w:val="18"/>
              </w:rPr>
              <w:t>group consultation</w:t>
            </w:r>
          </w:p>
          <w:p w14:paraId="62584FB8" w14:textId="77777777" w:rsidR="001C19F3" w:rsidRPr="00AA1BF8" w:rsidRDefault="001C19F3" w:rsidP="001C19F3">
            <w:pPr>
              <w:numPr>
                <w:ilvl w:val="0"/>
                <w:numId w:val="62"/>
              </w:numPr>
              <w:ind w:left="714" w:hanging="357"/>
              <w:rPr>
                <w:sz w:val="18"/>
                <w:szCs w:val="18"/>
              </w:rPr>
            </w:pPr>
            <w:r w:rsidRPr="00AA1BF8">
              <w:rPr>
                <w:sz w:val="18"/>
                <w:szCs w:val="18"/>
              </w:rPr>
              <w:t>wound care</w:t>
            </w:r>
          </w:p>
          <w:p w14:paraId="70F736C2" w14:textId="77777777" w:rsidR="001C19F3" w:rsidRPr="00AA1BF8" w:rsidRDefault="001C19F3" w:rsidP="001C19F3">
            <w:pPr>
              <w:numPr>
                <w:ilvl w:val="0"/>
                <w:numId w:val="64"/>
              </w:numPr>
              <w:ind w:left="321" w:hanging="284"/>
              <w:contextualSpacing/>
              <w:rPr>
                <w:sz w:val="18"/>
                <w:szCs w:val="18"/>
              </w:rPr>
            </w:pPr>
            <w:r w:rsidRPr="00AA1BF8">
              <w:rPr>
                <w:sz w:val="18"/>
                <w:szCs w:val="18"/>
              </w:rPr>
              <w:t>Modes of delivery included:</w:t>
            </w:r>
          </w:p>
          <w:p w14:paraId="56FCA66A" w14:textId="77777777" w:rsidR="001C19F3" w:rsidRPr="00AA1BF8" w:rsidRDefault="001C19F3" w:rsidP="001C19F3">
            <w:pPr>
              <w:numPr>
                <w:ilvl w:val="0"/>
                <w:numId w:val="63"/>
              </w:numPr>
              <w:contextualSpacing/>
              <w:rPr>
                <w:sz w:val="18"/>
                <w:szCs w:val="18"/>
              </w:rPr>
            </w:pPr>
            <w:r w:rsidRPr="00AA1BF8">
              <w:rPr>
                <w:sz w:val="18"/>
                <w:szCs w:val="18"/>
              </w:rPr>
              <w:t>face-to-face</w:t>
            </w:r>
          </w:p>
          <w:p w14:paraId="358906C0" w14:textId="77777777" w:rsidR="001C19F3" w:rsidRPr="00AA1BF8" w:rsidRDefault="001C19F3" w:rsidP="001C19F3">
            <w:pPr>
              <w:numPr>
                <w:ilvl w:val="0"/>
                <w:numId w:val="63"/>
              </w:numPr>
              <w:contextualSpacing/>
              <w:rPr>
                <w:sz w:val="18"/>
                <w:szCs w:val="18"/>
              </w:rPr>
            </w:pPr>
            <w:r w:rsidRPr="00AA1BF8">
              <w:rPr>
                <w:sz w:val="18"/>
                <w:szCs w:val="18"/>
              </w:rPr>
              <w:t>telephone</w:t>
            </w:r>
          </w:p>
          <w:p w14:paraId="64D4D036" w14:textId="77777777" w:rsidR="001C19F3" w:rsidRPr="00AA1BF8" w:rsidRDefault="001C19F3" w:rsidP="001C19F3">
            <w:pPr>
              <w:numPr>
                <w:ilvl w:val="0"/>
                <w:numId w:val="63"/>
              </w:numPr>
              <w:contextualSpacing/>
              <w:rPr>
                <w:sz w:val="18"/>
                <w:szCs w:val="18"/>
              </w:rPr>
            </w:pPr>
            <w:r w:rsidRPr="00AA1BF8">
              <w:rPr>
                <w:sz w:val="18"/>
                <w:szCs w:val="18"/>
              </w:rPr>
              <w:t>videoconferencing</w:t>
            </w:r>
          </w:p>
          <w:p w14:paraId="53448700" w14:textId="77777777" w:rsidR="001C19F3" w:rsidRPr="00AA1BF8" w:rsidRDefault="001C19F3" w:rsidP="001C19F3">
            <w:pPr>
              <w:numPr>
                <w:ilvl w:val="0"/>
                <w:numId w:val="63"/>
              </w:numPr>
              <w:contextualSpacing/>
              <w:rPr>
                <w:sz w:val="18"/>
                <w:szCs w:val="18"/>
              </w:rPr>
            </w:pPr>
            <w:r w:rsidRPr="00AA1BF8">
              <w:rPr>
                <w:sz w:val="18"/>
                <w:szCs w:val="18"/>
              </w:rPr>
              <w:t>email/secure messaging</w:t>
            </w:r>
          </w:p>
          <w:p w14:paraId="06FBED9C" w14:textId="77777777" w:rsidR="001C19F3" w:rsidRPr="00AA1BF8" w:rsidRDefault="001C19F3" w:rsidP="001C19F3">
            <w:pPr>
              <w:numPr>
                <w:ilvl w:val="0"/>
                <w:numId w:val="63"/>
              </w:numPr>
              <w:contextualSpacing/>
              <w:rPr>
                <w:sz w:val="18"/>
                <w:szCs w:val="18"/>
              </w:rPr>
            </w:pPr>
            <w:r w:rsidRPr="00AA1BF8">
              <w:rPr>
                <w:sz w:val="18"/>
                <w:szCs w:val="18"/>
              </w:rPr>
              <w:t>non-contact</w:t>
            </w:r>
          </w:p>
          <w:p w14:paraId="09D72EA6" w14:textId="77777777" w:rsidR="001C19F3" w:rsidRPr="00AA1BF8" w:rsidRDefault="001C19F3" w:rsidP="001C19F3">
            <w:pPr>
              <w:numPr>
                <w:ilvl w:val="0"/>
                <w:numId w:val="63"/>
              </w:numPr>
              <w:contextualSpacing/>
              <w:rPr>
                <w:sz w:val="18"/>
                <w:szCs w:val="18"/>
              </w:rPr>
            </w:pPr>
            <w:r w:rsidRPr="00AA1BF8">
              <w:rPr>
                <w:sz w:val="18"/>
                <w:szCs w:val="18"/>
              </w:rPr>
              <w:t>devices/equipment</w:t>
            </w:r>
          </w:p>
          <w:p w14:paraId="1F2559E4" w14:textId="77777777" w:rsidR="001C19F3" w:rsidRPr="00AA1BF8" w:rsidRDefault="001C19F3" w:rsidP="001C19F3">
            <w:pPr>
              <w:numPr>
                <w:ilvl w:val="0"/>
                <w:numId w:val="62"/>
              </w:numPr>
              <w:ind w:left="714" w:hanging="357"/>
              <w:rPr>
                <w:sz w:val="18"/>
                <w:szCs w:val="18"/>
              </w:rPr>
            </w:pPr>
            <w:r w:rsidRPr="00AA1BF8">
              <w:rPr>
                <w:sz w:val="18"/>
                <w:szCs w:val="18"/>
              </w:rPr>
              <w:t>other</w:t>
            </w:r>
          </w:p>
          <w:p w14:paraId="76F65385" w14:textId="77777777" w:rsidR="001C19F3" w:rsidRPr="00AA1BF8" w:rsidRDefault="001C19F3" w:rsidP="001C19F3">
            <w:pPr>
              <w:numPr>
                <w:ilvl w:val="0"/>
                <w:numId w:val="64"/>
              </w:numPr>
              <w:ind w:left="321" w:hanging="284"/>
              <w:contextualSpacing/>
              <w:rPr>
                <w:sz w:val="18"/>
                <w:szCs w:val="18"/>
              </w:rPr>
            </w:pPr>
            <w:r w:rsidRPr="00AA1BF8">
              <w:rPr>
                <w:sz w:val="18"/>
                <w:szCs w:val="18"/>
              </w:rPr>
              <w:t>Responsible roles included:</w:t>
            </w:r>
          </w:p>
          <w:p w14:paraId="62EF1165" w14:textId="77777777" w:rsidR="001C19F3" w:rsidRPr="00AA1BF8" w:rsidRDefault="001C19F3" w:rsidP="001C19F3">
            <w:pPr>
              <w:numPr>
                <w:ilvl w:val="0"/>
                <w:numId w:val="63"/>
              </w:numPr>
              <w:contextualSpacing/>
              <w:rPr>
                <w:sz w:val="18"/>
                <w:szCs w:val="18"/>
              </w:rPr>
            </w:pPr>
            <w:r w:rsidRPr="00AA1BF8">
              <w:rPr>
                <w:sz w:val="18"/>
                <w:szCs w:val="18"/>
              </w:rPr>
              <w:t>GP</w:t>
            </w:r>
          </w:p>
          <w:p w14:paraId="087B481B" w14:textId="77777777" w:rsidR="001C19F3" w:rsidRPr="00AA1BF8" w:rsidRDefault="001C19F3" w:rsidP="001C19F3">
            <w:pPr>
              <w:numPr>
                <w:ilvl w:val="0"/>
                <w:numId w:val="63"/>
              </w:numPr>
              <w:contextualSpacing/>
              <w:rPr>
                <w:sz w:val="18"/>
                <w:szCs w:val="18"/>
              </w:rPr>
            </w:pPr>
            <w:r w:rsidRPr="00AA1BF8">
              <w:rPr>
                <w:sz w:val="18"/>
                <w:szCs w:val="18"/>
              </w:rPr>
              <w:t>registered nurse or nurse practitioner</w:t>
            </w:r>
          </w:p>
          <w:p w14:paraId="7C89E34F" w14:textId="77777777" w:rsidR="001C19F3" w:rsidRPr="00AA1BF8" w:rsidRDefault="001C19F3" w:rsidP="001C19F3">
            <w:pPr>
              <w:numPr>
                <w:ilvl w:val="0"/>
                <w:numId w:val="63"/>
              </w:numPr>
              <w:contextualSpacing/>
              <w:rPr>
                <w:sz w:val="18"/>
                <w:szCs w:val="18"/>
              </w:rPr>
            </w:pPr>
            <w:r w:rsidRPr="00AA1BF8">
              <w:rPr>
                <w:sz w:val="18"/>
                <w:szCs w:val="18"/>
              </w:rPr>
              <w:t>enrolled nurse</w:t>
            </w:r>
          </w:p>
          <w:p w14:paraId="50E2540C" w14:textId="77777777" w:rsidR="001C19F3" w:rsidRPr="00AA1BF8" w:rsidRDefault="001C19F3" w:rsidP="001C19F3">
            <w:pPr>
              <w:numPr>
                <w:ilvl w:val="0"/>
                <w:numId w:val="63"/>
              </w:numPr>
              <w:contextualSpacing/>
              <w:rPr>
                <w:sz w:val="18"/>
                <w:szCs w:val="18"/>
              </w:rPr>
            </w:pPr>
            <w:r w:rsidRPr="00AA1BF8">
              <w:rPr>
                <w:sz w:val="18"/>
                <w:szCs w:val="18"/>
              </w:rPr>
              <w:t>medical practice assistant</w:t>
            </w:r>
          </w:p>
          <w:p w14:paraId="15BF1E10" w14:textId="77777777" w:rsidR="001C19F3" w:rsidRPr="00AA1BF8" w:rsidRDefault="001C19F3" w:rsidP="001C19F3">
            <w:pPr>
              <w:numPr>
                <w:ilvl w:val="0"/>
                <w:numId w:val="63"/>
              </w:numPr>
              <w:contextualSpacing/>
              <w:rPr>
                <w:sz w:val="18"/>
                <w:szCs w:val="18"/>
              </w:rPr>
            </w:pPr>
            <w:r w:rsidRPr="00AA1BF8">
              <w:rPr>
                <w:sz w:val="18"/>
                <w:szCs w:val="18"/>
              </w:rPr>
              <w:t>administration</w:t>
            </w:r>
          </w:p>
          <w:p w14:paraId="5FF10D26" w14:textId="77777777" w:rsidR="001C19F3" w:rsidRPr="00AA1BF8" w:rsidRDefault="001C19F3" w:rsidP="001C19F3">
            <w:pPr>
              <w:numPr>
                <w:ilvl w:val="0"/>
                <w:numId w:val="63"/>
              </w:numPr>
              <w:contextualSpacing/>
              <w:rPr>
                <w:sz w:val="18"/>
                <w:szCs w:val="18"/>
              </w:rPr>
            </w:pPr>
            <w:r w:rsidRPr="00AA1BF8">
              <w:rPr>
                <w:sz w:val="18"/>
                <w:szCs w:val="18"/>
              </w:rPr>
              <w:t>pharmacist</w:t>
            </w:r>
          </w:p>
          <w:p w14:paraId="3D9253A1" w14:textId="77777777" w:rsidR="001C19F3" w:rsidRPr="00AA1BF8" w:rsidRDefault="001C19F3" w:rsidP="001C19F3">
            <w:pPr>
              <w:numPr>
                <w:ilvl w:val="0"/>
                <w:numId w:val="63"/>
              </w:numPr>
              <w:contextualSpacing/>
              <w:rPr>
                <w:sz w:val="18"/>
                <w:szCs w:val="18"/>
              </w:rPr>
            </w:pPr>
            <w:r w:rsidRPr="00AA1BF8">
              <w:rPr>
                <w:sz w:val="18"/>
                <w:szCs w:val="18"/>
              </w:rPr>
              <w:t>Aboriginal and Torres Strait Islander health practitioners</w:t>
            </w:r>
          </w:p>
          <w:p w14:paraId="319F25C0" w14:textId="77777777" w:rsidR="001C19F3" w:rsidRPr="00AA1BF8" w:rsidRDefault="001C19F3" w:rsidP="00521305">
            <w:pPr>
              <w:rPr>
                <w:sz w:val="18"/>
                <w:szCs w:val="18"/>
              </w:rPr>
            </w:pPr>
            <w:r w:rsidRPr="00AA1BF8">
              <w:rPr>
                <w:sz w:val="18"/>
                <w:szCs w:val="18"/>
              </w:rPr>
              <w:t>Specific guidance was given for the following practice clinical management software tools: Medical Director/PracSoft, Best Practice, ZedMed and Communicare.</w:t>
            </w:r>
          </w:p>
          <w:p w14:paraId="4177FD8F" w14:textId="77777777" w:rsidR="001C19F3" w:rsidRPr="00AA1BF8" w:rsidRDefault="001C19F3" w:rsidP="00521305">
            <w:pPr>
              <w:rPr>
                <w:sz w:val="18"/>
                <w:szCs w:val="18"/>
              </w:rPr>
            </w:pPr>
            <w:r w:rsidRPr="00AA1BF8">
              <w:rPr>
                <w:sz w:val="18"/>
                <w:szCs w:val="18"/>
              </w:rPr>
              <w:t>AAPM conducted a Webinar on the Guide in October 2017 through the HCH training platform (</w:t>
            </w:r>
            <w:r w:rsidRPr="00AA1BF8">
              <w:rPr>
                <w:sz w:val="18"/>
                <w:szCs w:val="18"/>
              </w:rPr>
              <w:fldChar w:fldCharType="begin"/>
            </w:r>
            <w:r w:rsidRPr="00AA1BF8">
              <w:rPr>
                <w:sz w:val="18"/>
                <w:szCs w:val="18"/>
              </w:rPr>
              <w:instrText xml:space="preserve"> ADDIN EN.CITE &lt;EndNote&gt;&lt;Cite&gt;&lt;Author&gt;Australian Association of Practice Management&lt;/Author&gt;&lt;Year&gt;2017&lt;/Year&gt;&lt;RecNum&gt;1066&lt;/RecNum&gt;&lt;DisplayText&gt;Australian Association of Practice Management, 2017b&lt;/DisplayText&gt;&lt;record&gt;&lt;rec-number&gt;1066&lt;/rec-number&gt;&lt;foreign-keys&gt;&lt;key app="EN" db-id="zdz9xax04zr9v0evw2nvrpw9xe9ttzvs5zsv" timestamp="1536903535"&gt;1066&lt;/key&gt;&lt;/foreign-keys&gt;&lt;ref-type name="Web Page"&gt;12&lt;/ref-type&gt;&lt;contributors&gt;&lt;authors&gt;&lt;author&gt;Australian Association of Practice Management,,&lt;/author&gt;&lt;/authors&gt;&lt;/contributors&gt;&lt;titles&gt;&lt;title&gt;Webinar: AAPM Health Care Homes Activity Monitoring Guide&lt;/title&gt;&lt;/titles&gt;&lt;volume&gt;2018&lt;/volume&gt;&lt;number&gt;13 September&lt;/number&gt;&lt;dates&gt;&lt;year&gt;2017&lt;/year&gt;&lt;/dates&gt;&lt;pub-location&gt;AAPM&lt;/pub-location&gt;&lt;publisher&gt;Melbourne&lt;/publisher&gt;&lt;urls&gt;&lt;related-urls&gt;&lt;url&gt;https://www.aapm.org.au/Knowledge-Hub/Healthcare-Homes&lt;/url&gt;&lt;/related-urls&gt;&lt;/urls&gt;&lt;/record&gt;&lt;/Cite&gt;&lt;/EndNote&gt;</w:instrText>
            </w:r>
            <w:r w:rsidRPr="00AA1BF8">
              <w:rPr>
                <w:sz w:val="18"/>
                <w:szCs w:val="18"/>
              </w:rPr>
              <w:fldChar w:fldCharType="separate"/>
            </w:r>
            <w:r w:rsidRPr="00AA1BF8">
              <w:rPr>
                <w:noProof/>
                <w:sz w:val="18"/>
                <w:szCs w:val="18"/>
              </w:rPr>
              <w:t>Australian Association of Practice Management, 2017b</w:t>
            </w:r>
            <w:r w:rsidRPr="00AA1BF8">
              <w:rPr>
                <w:sz w:val="18"/>
                <w:szCs w:val="18"/>
              </w:rPr>
              <w:fldChar w:fldCharType="end"/>
            </w:r>
            <w:r w:rsidRPr="00AA1BF8">
              <w:rPr>
                <w:sz w:val="18"/>
                <w:szCs w:val="18"/>
              </w:rPr>
              <w:t xml:space="preserve">). </w:t>
            </w:r>
          </w:p>
        </w:tc>
      </w:tr>
    </w:tbl>
    <w:p w14:paraId="4B24FE34" w14:textId="77777777" w:rsidR="001C19F3" w:rsidRPr="00933AF2" w:rsidRDefault="001C19F3" w:rsidP="001C19F3">
      <w:pPr>
        <w:spacing w:after="0"/>
      </w:pPr>
    </w:p>
    <w:p w14:paraId="6538F30B" w14:textId="77777777" w:rsidR="001C19F3" w:rsidRDefault="001C19F3" w:rsidP="001C19F3">
      <w:pPr>
        <w:pStyle w:val="Heading2"/>
      </w:pPr>
      <w:bookmarkStart w:id="329" w:name="_Toc27056575"/>
      <w:r>
        <w:t>Practice and PHN perspectives on the bundled payment</w:t>
      </w:r>
      <w:bookmarkEnd w:id="329"/>
    </w:p>
    <w:p w14:paraId="54D0EB40" w14:textId="77777777" w:rsidR="001C19F3" w:rsidRPr="00796497" w:rsidRDefault="001C19F3" w:rsidP="001C19F3">
      <w:pPr>
        <w:rPr>
          <w:szCs w:val="20"/>
        </w:rPr>
      </w:pPr>
      <w:r>
        <w:rPr>
          <w:szCs w:val="20"/>
        </w:rPr>
        <w:t xml:space="preserve">Some PHN practice facilitators </w:t>
      </w:r>
      <w:r w:rsidRPr="00796497">
        <w:rPr>
          <w:szCs w:val="20"/>
        </w:rPr>
        <w:t xml:space="preserve">thought that the bundled payment attracted a wide range of practices, including ones that weren’t ready for </w:t>
      </w:r>
      <w:r>
        <w:rPr>
          <w:szCs w:val="20"/>
        </w:rPr>
        <w:t>an HCH</w:t>
      </w:r>
      <w:r w:rsidRPr="00796497">
        <w:rPr>
          <w:szCs w:val="20"/>
        </w:rPr>
        <w:t xml:space="preserve"> approach.</w:t>
      </w:r>
      <w:r>
        <w:rPr>
          <w:szCs w:val="20"/>
        </w:rPr>
        <w:t xml:space="preserve"> They generally observed that </w:t>
      </w:r>
      <w:r w:rsidRPr="00796497">
        <w:rPr>
          <w:szCs w:val="20"/>
        </w:rPr>
        <w:t>practical issues associated with the bundled payment took up a lot of practices’ time:</w:t>
      </w:r>
    </w:p>
    <w:p w14:paraId="6DDDD28F" w14:textId="77777777" w:rsidR="001C19F3" w:rsidRDefault="001C19F3" w:rsidP="001C19F3">
      <w:pPr>
        <w:ind w:left="567" w:right="1088"/>
        <w:rPr>
          <w:szCs w:val="20"/>
        </w:rPr>
      </w:pPr>
      <w:r w:rsidRPr="00796497">
        <w:rPr>
          <w:szCs w:val="20"/>
        </w:rPr>
        <w:t xml:space="preserve">“… </w:t>
      </w:r>
      <w:r w:rsidRPr="00796497">
        <w:rPr>
          <w:i/>
          <w:szCs w:val="20"/>
        </w:rPr>
        <w:t xml:space="preserve">how are we going to then divide that up? How’s that going to work? And GPs in particular, </w:t>
      </w:r>
      <w:r w:rsidRPr="00796497">
        <w:rPr>
          <w:szCs w:val="20"/>
        </w:rPr>
        <w:t>[were]</w:t>
      </w:r>
      <w:r w:rsidRPr="00796497">
        <w:rPr>
          <w:i/>
          <w:szCs w:val="20"/>
        </w:rPr>
        <w:t xml:space="preserve"> very concerned about that. One of the things that really has come out for us is if this is my patient and I’m away and somebody else needs to see that patient, then how am I going to get paid? That sort of thing. Business owners and practice managers are really, even still, grappling with that aspect</w:t>
      </w:r>
      <w:r w:rsidRPr="00796497">
        <w:rPr>
          <w:szCs w:val="20"/>
        </w:rPr>
        <w:t>.” [PHN 1, interview</w:t>
      </w:r>
      <w:r>
        <w:rPr>
          <w:szCs w:val="20"/>
        </w:rPr>
        <w:t>, R1]</w:t>
      </w:r>
    </w:p>
    <w:p w14:paraId="71E3AFC2" w14:textId="77777777" w:rsidR="001C19F3" w:rsidRDefault="001C19F3" w:rsidP="001C19F3">
      <w:r>
        <w:lastRenderedPageBreak/>
        <w:t>Some facilitators considered that t</w:t>
      </w:r>
      <w:r w:rsidRPr="00CB27BD">
        <w:t xml:space="preserve">he transformation to </w:t>
      </w:r>
      <w:r>
        <w:t>an HCH</w:t>
      </w:r>
      <w:r w:rsidRPr="00CB27BD">
        <w:t xml:space="preserve"> as well as</w:t>
      </w:r>
      <w:r>
        <w:t xml:space="preserve"> the</w:t>
      </w:r>
      <w:r w:rsidRPr="00CB27BD">
        <w:t xml:space="preserve"> bundled </w:t>
      </w:r>
      <w:r>
        <w:t>payment was too much for practices to deal with on top of changes to their model of care:</w:t>
      </w:r>
    </w:p>
    <w:p w14:paraId="46DA9066" w14:textId="77777777" w:rsidR="001C19F3" w:rsidRPr="00332F68" w:rsidRDefault="001C19F3" w:rsidP="001C19F3">
      <w:pPr>
        <w:ind w:left="567" w:right="1088"/>
      </w:pPr>
      <w:r w:rsidRPr="005C1CBA">
        <w:rPr>
          <w:i/>
        </w:rPr>
        <w:t>”I do understand that introducing the bundled payment now allows t</w:t>
      </w:r>
      <w:r>
        <w:rPr>
          <w:i/>
        </w:rPr>
        <w:t>hem to actually put into practic</w:t>
      </w:r>
      <w:r w:rsidRPr="005C1CBA">
        <w:rPr>
          <w:i/>
        </w:rPr>
        <w:t>e some of those things that they wouldn’t be able to do on a fee-for-service model.</w:t>
      </w:r>
      <w:r>
        <w:rPr>
          <w:i/>
        </w:rPr>
        <w:t xml:space="preserve"> </w:t>
      </w:r>
      <w:r w:rsidRPr="005C1CBA">
        <w:rPr>
          <w:i/>
        </w:rPr>
        <w:t>I get that, but I just think that the trial should have been lengthened out and then, there should have been a longer time period for the initial readiness.</w:t>
      </w:r>
      <w:r>
        <w:rPr>
          <w:i/>
        </w:rPr>
        <w:t xml:space="preserve"> </w:t>
      </w:r>
      <w:r w:rsidRPr="005C1CBA">
        <w:rPr>
          <w:i/>
        </w:rPr>
        <w:t>Building those four base building blocks and then, going okay, when that stuff’s in place, now we can start enrolling patients and introducing payment models. Because y</w:t>
      </w:r>
      <w:r>
        <w:rPr>
          <w:i/>
        </w:rPr>
        <w:t>ou’re not walking into a practic</w:t>
      </w:r>
      <w:r w:rsidRPr="005C1CBA">
        <w:rPr>
          <w:i/>
        </w:rPr>
        <w:t>e going, here’s a great new model.</w:t>
      </w:r>
      <w:r>
        <w:rPr>
          <w:i/>
        </w:rPr>
        <w:t xml:space="preserve"> </w:t>
      </w:r>
      <w:r w:rsidRPr="005C1CBA">
        <w:rPr>
          <w:i/>
        </w:rPr>
        <w:t>Change the way, everything you do and your money’s changing and this is changing.</w:t>
      </w:r>
      <w:r>
        <w:rPr>
          <w:i/>
        </w:rPr>
        <w:t xml:space="preserve"> </w:t>
      </w:r>
      <w:r w:rsidRPr="005C1CBA">
        <w:rPr>
          <w:i/>
        </w:rPr>
        <w:t>You’re going in, selling the model, then going, well, okay, now the next step is this and introducing it.”</w:t>
      </w:r>
      <w:r>
        <w:rPr>
          <w:i/>
        </w:rPr>
        <w:t xml:space="preserve"> </w:t>
      </w:r>
      <w:r>
        <w:t>[PHN 1, interview, R1]</w:t>
      </w:r>
    </w:p>
    <w:p w14:paraId="49E27AB0" w14:textId="77777777" w:rsidR="001C19F3" w:rsidRPr="008312C6" w:rsidRDefault="001C19F3" w:rsidP="001C19F3">
      <w:pPr>
        <w:ind w:left="567" w:right="1088"/>
      </w:pPr>
      <w:r w:rsidRPr="008D646A">
        <w:rPr>
          <w:i/>
        </w:rPr>
        <w:t>“…it would have been great to say, give practices 18 months leeway to see, this is where we are heading, let us get in there, do the data cleansing, start preparing them for service delivery under a different model of care.</w:t>
      </w:r>
      <w:r>
        <w:rPr>
          <w:i/>
        </w:rPr>
        <w:t xml:space="preserve"> </w:t>
      </w:r>
      <w:r w:rsidRPr="008D646A">
        <w:rPr>
          <w:i/>
        </w:rPr>
        <w:t>All of those sort of things.</w:t>
      </w:r>
      <w:r>
        <w:rPr>
          <w:i/>
        </w:rPr>
        <w:t xml:space="preserve"> </w:t>
      </w:r>
      <w:r w:rsidRPr="008D646A">
        <w:rPr>
          <w:i/>
        </w:rPr>
        <w:t>Then bring i</w:t>
      </w:r>
      <w:r>
        <w:rPr>
          <w:i/>
        </w:rPr>
        <w:t>n the payment structure later.</w:t>
      </w:r>
      <w:r>
        <w:t>” [PHN 6, interview, R1]</w:t>
      </w:r>
    </w:p>
    <w:p w14:paraId="10897F6B" w14:textId="77777777" w:rsidR="001C19F3" w:rsidRPr="00796497" w:rsidRDefault="001C19F3" w:rsidP="001C19F3">
      <w:pPr>
        <w:rPr>
          <w:szCs w:val="20"/>
        </w:rPr>
      </w:pPr>
      <w:r>
        <w:rPr>
          <w:szCs w:val="20"/>
        </w:rPr>
        <w:t>Some practices spent time</w:t>
      </w:r>
      <w:r w:rsidRPr="00796497">
        <w:rPr>
          <w:szCs w:val="20"/>
        </w:rPr>
        <w:t xml:space="preserve"> convincing doctors about the advantages of bundled payment versus fee-for-service before the practices could start to make any changes to their model of care. </w:t>
      </w:r>
      <w:r>
        <w:rPr>
          <w:szCs w:val="20"/>
        </w:rPr>
        <w:t>PHN practice</w:t>
      </w:r>
      <w:r w:rsidRPr="00796497">
        <w:rPr>
          <w:szCs w:val="20"/>
        </w:rPr>
        <w:t xml:space="preserve"> facilitators spoke of spending time with some practices to help them work out how to monitor the bundled payment internally, leaving limited time for changes to practice:</w:t>
      </w:r>
    </w:p>
    <w:p w14:paraId="05E9D84F" w14:textId="77777777" w:rsidR="001C19F3" w:rsidRDefault="001C19F3" w:rsidP="001C19F3">
      <w:pPr>
        <w:ind w:left="567" w:right="1088"/>
        <w:rPr>
          <w:szCs w:val="20"/>
        </w:rPr>
      </w:pPr>
      <w:r w:rsidRPr="00796497">
        <w:rPr>
          <w:szCs w:val="20"/>
        </w:rPr>
        <w:t>“…</w:t>
      </w:r>
      <w:r w:rsidRPr="000F6357">
        <w:rPr>
          <w:i/>
          <w:szCs w:val="20"/>
        </w:rPr>
        <w:t xml:space="preserve">you actually have to work with them, … to </w:t>
      </w:r>
      <w:r>
        <w:rPr>
          <w:i/>
          <w:szCs w:val="20"/>
        </w:rPr>
        <w:t>set-up</w:t>
      </w:r>
      <w:r w:rsidRPr="000F6357">
        <w:rPr>
          <w:i/>
          <w:szCs w:val="20"/>
        </w:rPr>
        <w:t xml:space="preserve"> the internal … systems to deal with the bundle payment. How to, … allocate the costs, how to know which costs will be counted. Because you know you can enrol today, even January but the practice will not be ready actually to serve these patients</w:t>
      </w:r>
      <w:r w:rsidRPr="00796497">
        <w:rPr>
          <w:szCs w:val="20"/>
        </w:rPr>
        <w:t>.” [PHN 5, interview</w:t>
      </w:r>
      <w:r>
        <w:rPr>
          <w:szCs w:val="20"/>
        </w:rPr>
        <w:t>, R1]</w:t>
      </w:r>
    </w:p>
    <w:p w14:paraId="771BF728" w14:textId="77777777" w:rsidR="001C19F3" w:rsidRDefault="001C19F3" w:rsidP="001C19F3">
      <w:pPr>
        <w:rPr>
          <w:szCs w:val="20"/>
        </w:rPr>
      </w:pPr>
      <w:r>
        <w:rPr>
          <w:szCs w:val="20"/>
        </w:rPr>
        <w:t>Practices also reported that managing the bundled payment was their major focus in the beginning stages of the implementation. Some felt that they received little guidance on how to effectively set-up and operate the payment:</w:t>
      </w:r>
    </w:p>
    <w:p w14:paraId="06E5BD09" w14:textId="77777777" w:rsidR="001C19F3" w:rsidRDefault="001C19F3" w:rsidP="001C19F3">
      <w:pPr>
        <w:ind w:left="567" w:right="1088"/>
        <w:rPr>
          <w:szCs w:val="20"/>
        </w:rPr>
      </w:pPr>
      <w:r>
        <w:rPr>
          <w:i/>
          <w:szCs w:val="20"/>
        </w:rPr>
        <w:t>“Each practice will do it differently, how they prepare and remunerate people but there's no real guide for that at all in the program. So, no-one's actually said to me: This is how you would pay assistants, this is how… And even setting it up there was none of that information so we've had to do that on our own…. I have a real issue with that, I still really do.”</w:t>
      </w:r>
      <w:r>
        <w:rPr>
          <w:szCs w:val="20"/>
        </w:rPr>
        <w:t xml:space="preserve"> [Practice manager, Practice 4, interview, R2]</w:t>
      </w:r>
    </w:p>
    <w:p w14:paraId="3691AD5B" w14:textId="77777777" w:rsidR="001C19F3" w:rsidRDefault="001C19F3" w:rsidP="001C19F3">
      <w:pPr>
        <w:rPr>
          <w:szCs w:val="20"/>
        </w:rPr>
      </w:pPr>
      <w:r>
        <w:rPr>
          <w:szCs w:val="20"/>
        </w:rPr>
        <w:t>Many practices reported struggling how to distribute payments to their clinicians under different circumstances, for example, if a GP goes on holiday and another doctor at the practice sees their HCH patient for their chronic condition. Other practices had difficulties with reimbursing GPs who work part-time or who are contractors, and nurses and care assistants:</w:t>
      </w:r>
    </w:p>
    <w:p w14:paraId="0DB4408C" w14:textId="77777777" w:rsidR="001C19F3" w:rsidRDefault="001C19F3" w:rsidP="001C19F3">
      <w:pPr>
        <w:ind w:left="567" w:right="1088"/>
        <w:rPr>
          <w:szCs w:val="20"/>
        </w:rPr>
      </w:pPr>
      <w:r>
        <w:rPr>
          <w:i/>
          <w:szCs w:val="20"/>
        </w:rPr>
        <w:lastRenderedPageBreak/>
        <w:t>“…if you're getting the nurses and care assistants to spend X amount of time on those patients, for whom you're getting funding, how do we actually distribute that?”</w:t>
      </w:r>
      <w:r>
        <w:rPr>
          <w:szCs w:val="20"/>
        </w:rPr>
        <w:t xml:space="preserve"> [GP, Practice 12, interview, R2]</w:t>
      </w:r>
    </w:p>
    <w:p w14:paraId="571CEF15" w14:textId="77777777" w:rsidR="001C19F3" w:rsidRDefault="001C19F3" w:rsidP="001C19F3">
      <w:pPr>
        <w:rPr>
          <w:szCs w:val="20"/>
        </w:rPr>
      </w:pPr>
      <w:r>
        <w:rPr>
          <w:szCs w:val="20"/>
        </w:rPr>
        <w:t>Some practices resolved the distribution problem by having doctors and nurses use “dummy” item numbers or allocating a certain percentage of the monthly payment based on which doctor treats the patient. Billing was a new concept for nurses:</w:t>
      </w:r>
    </w:p>
    <w:p w14:paraId="0C0CE9A0" w14:textId="77777777" w:rsidR="001C19F3" w:rsidRDefault="001C19F3" w:rsidP="001C19F3">
      <w:pPr>
        <w:ind w:left="567" w:right="1088"/>
        <w:rPr>
          <w:i/>
          <w:szCs w:val="20"/>
        </w:rPr>
      </w:pPr>
      <w:r>
        <w:rPr>
          <w:i/>
          <w:szCs w:val="20"/>
        </w:rPr>
        <w:t xml:space="preserve">“…the nurses have to bill as well now, which has been another thing to learn. And again it's more clicking and clicking and, yes, just the time to implement that properly. I feel like we just do it all on the fly.” </w:t>
      </w:r>
      <w:r>
        <w:rPr>
          <w:szCs w:val="20"/>
        </w:rPr>
        <w:t>[Practice nurse, Practice 10, interview, R2]</w:t>
      </w:r>
    </w:p>
    <w:p w14:paraId="666B4F4D" w14:textId="77777777" w:rsidR="001C19F3" w:rsidRDefault="001C19F3" w:rsidP="001C19F3">
      <w:pPr>
        <w:rPr>
          <w:szCs w:val="20"/>
        </w:rPr>
      </w:pPr>
      <w:r>
        <w:rPr>
          <w:szCs w:val="20"/>
        </w:rPr>
        <w:t>The bundled payment perpetuated a wide range of questions for practices, some of which they felt remained unanswered, for example, whether certain services should be billed under HCH or separately:</w:t>
      </w:r>
    </w:p>
    <w:p w14:paraId="3DCE354F" w14:textId="77777777" w:rsidR="001C19F3" w:rsidRDefault="001C19F3" w:rsidP="001C19F3">
      <w:pPr>
        <w:ind w:left="567" w:right="1088"/>
        <w:rPr>
          <w:szCs w:val="20"/>
        </w:rPr>
      </w:pPr>
      <w:r>
        <w:rPr>
          <w:i/>
          <w:szCs w:val="20"/>
        </w:rPr>
        <w:t>“The doctors also raise these concerns about how its related and unrelated. For example, if our patient comes in with asthma and they think it’s cardiac, what do they do? The Health Care Home patient was first only enrolled with asthma, and then suddenly it’s… How do they bill it? All these grey areas, those are our little issues they brought up.”</w:t>
      </w:r>
      <w:r>
        <w:rPr>
          <w:szCs w:val="20"/>
        </w:rPr>
        <w:t xml:space="preserve"> [Practice manager, Practice 4, interview, R2]</w:t>
      </w:r>
    </w:p>
    <w:p w14:paraId="2ADFE69A" w14:textId="77777777" w:rsidR="001C19F3" w:rsidRDefault="001C19F3" w:rsidP="001C19F3">
      <w:pPr>
        <w:rPr>
          <w:szCs w:val="20"/>
        </w:rPr>
      </w:pPr>
      <w:r>
        <w:rPr>
          <w:szCs w:val="20"/>
        </w:rPr>
        <w:t xml:space="preserve">Other issues were what to do when an HCH patient from another practice seeks treatment at for their chronic condition at their practice, and whether consultations with HCH patients count towards the practice’s PIP grant payments, which represented a large percentage of revenue for some practices. </w:t>
      </w:r>
    </w:p>
    <w:p w14:paraId="6A9E5FAF" w14:textId="77777777" w:rsidR="001C19F3" w:rsidRDefault="001C19F3" w:rsidP="001C19F3">
      <w:pPr>
        <w:rPr>
          <w:szCs w:val="20"/>
        </w:rPr>
      </w:pPr>
      <w:r>
        <w:rPr>
          <w:szCs w:val="20"/>
        </w:rPr>
        <w:t>How the bundled payment compared with fee-for-service financially for the practice was another concern for practices. Many reported comparing the two. Some practices deliberately only enrolled a small number of patients to do this test. Nevertheless, practices were still unable to determine the financial impact given the short time period of the trial so far. They felt that they would have a better understanding of how the funding model is impacting their practices as the program continues to progress:</w:t>
      </w:r>
    </w:p>
    <w:p w14:paraId="58C9B030" w14:textId="77777777" w:rsidR="001C19F3" w:rsidRDefault="001C19F3" w:rsidP="001C19F3">
      <w:pPr>
        <w:ind w:left="567" w:right="1088"/>
        <w:rPr>
          <w:szCs w:val="20"/>
        </w:rPr>
      </w:pPr>
      <w:r>
        <w:rPr>
          <w:rFonts w:cs="Arial"/>
          <w:i/>
          <w:szCs w:val="20"/>
          <w:lang w:val="en-GB"/>
        </w:rPr>
        <w:t xml:space="preserve">“That will be interesting for us to see, how that pans out in 12 months’ time. Whether we’ve actually got a surplus or we’ve actually used it all up and had to bend it back into Medicare going, this is not working. That will be interesting.” </w:t>
      </w:r>
      <w:r>
        <w:rPr>
          <w:rFonts w:cs="Arial"/>
          <w:szCs w:val="20"/>
          <w:lang w:val="en-GB"/>
        </w:rPr>
        <w:t>[Practice manager, Practice 15, interview, R2]</w:t>
      </w:r>
    </w:p>
    <w:p w14:paraId="4C7905B1" w14:textId="77777777" w:rsidR="001C19F3" w:rsidRDefault="001C19F3" w:rsidP="001C19F3">
      <w:pPr>
        <w:ind w:left="567" w:right="1088"/>
        <w:rPr>
          <w:rFonts w:cs="Arial"/>
          <w:szCs w:val="20"/>
          <w:lang w:val="en-GB"/>
        </w:rPr>
      </w:pPr>
      <w:r>
        <w:rPr>
          <w:rFonts w:cs="Arial"/>
          <w:i/>
          <w:szCs w:val="20"/>
          <w:lang w:val="en-GB"/>
        </w:rPr>
        <w:t>“We haven't sat down as the practice to really look. We thought we’ll give it a bit more time and then see financially…”</w:t>
      </w:r>
      <w:r>
        <w:rPr>
          <w:rFonts w:cs="Arial"/>
          <w:szCs w:val="20"/>
          <w:lang w:val="en-GB"/>
        </w:rPr>
        <w:t xml:space="preserve"> [GP, Practice 18, interview, R2]</w:t>
      </w:r>
    </w:p>
    <w:p w14:paraId="59DC327D" w14:textId="77777777" w:rsidR="001C19F3" w:rsidRDefault="001C19F3" w:rsidP="001C19F3">
      <w:pPr>
        <w:ind w:left="567" w:right="1088"/>
        <w:rPr>
          <w:rFonts w:cstheme="minorBidi"/>
          <w:i/>
          <w:szCs w:val="20"/>
        </w:rPr>
      </w:pPr>
      <w:r>
        <w:rPr>
          <w:rFonts w:cs="Arial"/>
          <w:i/>
          <w:color w:val="000000"/>
          <w:szCs w:val="20"/>
          <w:lang w:val="en-GB"/>
        </w:rPr>
        <w:t xml:space="preserve">“We haven't interrogated it enough at this stage, yes. I don't think we've got enough patients yet to really input it properly. Look, I think realistically what I'd like to do after the first 12 months is actually look at every individual that we've got and actually have a look at, because I haven't as of yet. Actually look at what the income has been and what the expenditure has been and just have a look at the frequency visits and what sort of usage there's been. So we can actually see has it been good value.” </w:t>
      </w:r>
      <w:r>
        <w:rPr>
          <w:rFonts w:cs="Arial"/>
          <w:color w:val="000000"/>
          <w:szCs w:val="20"/>
          <w:lang w:val="en-GB"/>
        </w:rPr>
        <w:t>[Practice manager, Practice 10, interview, R2]</w:t>
      </w:r>
    </w:p>
    <w:p w14:paraId="6F89C16B" w14:textId="77777777" w:rsidR="001C19F3" w:rsidRDefault="001C19F3" w:rsidP="001C19F3">
      <w:pPr>
        <w:rPr>
          <w:rFonts w:ascii="Arial" w:hAnsi="Arial" w:cs="Arial"/>
          <w:i/>
          <w:lang w:val="en-GB"/>
        </w:rPr>
      </w:pPr>
      <w:r>
        <w:rPr>
          <w:szCs w:val="20"/>
        </w:rPr>
        <w:lastRenderedPageBreak/>
        <w:t>The general concept of uncertainty around funding was an imminent concern for many practices:</w:t>
      </w:r>
    </w:p>
    <w:p w14:paraId="12CE282D" w14:textId="77777777" w:rsidR="001C19F3" w:rsidRDefault="001C19F3" w:rsidP="001C19F3">
      <w:pPr>
        <w:ind w:left="567" w:right="1088"/>
        <w:rPr>
          <w:rFonts w:cstheme="minorBidi"/>
          <w:szCs w:val="20"/>
        </w:rPr>
      </w:pPr>
      <w:r w:rsidRPr="00E54CB7">
        <w:rPr>
          <w:rFonts w:cs="Arial"/>
          <w:i/>
          <w:color w:val="000000"/>
          <w:szCs w:val="20"/>
          <w:lang w:val="en-GB"/>
        </w:rPr>
        <w:t>“So, in terms of the drip-feed funding, it needs to be turned around in terms of more</w:t>
      </w:r>
      <w:r>
        <w:rPr>
          <w:i/>
          <w:szCs w:val="20"/>
        </w:rPr>
        <w:t xml:space="preserve"> upfront in terms of the payments, so that you've got some level of certainty, and are able to plan…” </w:t>
      </w:r>
      <w:r>
        <w:rPr>
          <w:szCs w:val="20"/>
        </w:rPr>
        <w:t>[GP, Practice 12, interview, R2]</w:t>
      </w:r>
    </w:p>
    <w:p w14:paraId="09E7F508" w14:textId="77777777" w:rsidR="001C19F3" w:rsidRDefault="001C19F3" w:rsidP="001C19F3">
      <w:pPr>
        <w:ind w:left="567" w:right="1088"/>
        <w:rPr>
          <w:szCs w:val="20"/>
        </w:rPr>
      </w:pPr>
      <w:r>
        <w:rPr>
          <w:i/>
          <w:szCs w:val="20"/>
        </w:rPr>
        <w:t>“And I'm sure each clinician is going to sit down and look at, how much did that end up making a difference in terms of finances, having a patient enrolled in Health Care Homes. So that uncertainty is the most uncomfortable thing.</w:t>
      </w:r>
      <w:r>
        <w:rPr>
          <w:szCs w:val="20"/>
        </w:rPr>
        <w:t xml:space="preserve">” [Practice manager, Practice 9, interview, R2] </w:t>
      </w:r>
    </w:p>
    <w:p w14:paraId="22AFED9A" w14:textId="77777777" w:rsidR="001C19F3" w:rsidRDefault="001C19F3" w:rsidP="001C19F3">
      <w:pPr>
        <w:rPr>
          <w:szCs w:val="20"/>
        </w:rPr>
      </w:pPr>
      <w:r>
        <w:rPr>
          <w:szCs w:val="20"/>
        </w:rPr>
        <w:t xml:space="preserve">Some practices reported difficulties with planning their budget: </w:t>
      </w:r>
    </w:p>
    <w:p w14:paraId="523B018A" w14:textId="77777777" w:rsidR="001C19F3" w:rsidRDefault="001C19F3" w:rsidP="001C19F3">
      <w:pPr>
        <w:ind w:left="567" w:right="1088"/>
        <w:rPr>
          <w:rFonts w:cs="Arial"/>
          <w:szCs w:val="20"/>
          <w:lang w:val="en-GB"/>
        </w:rPr>
      </w:pPr>
      <w:r>
        <w:rPr>
          <w:rFonts w:cs="Arial"/>
          <w:i/>
          <w:szCs w:val="20"/>
          <w:lang w:val="en-GB"/>
        </w:rPr>
        <w:t>“…trying to be able to budget that money that comes in, because we will have to set-up a separate budget for each patient and then try to work out their care around that income. So, we’re struggling with the, it only comes in monthly so you get like $100 for that patient upfront but the first month or whatever, where you might do a shared care plan which is $255 essentially, whatever the costs are, I’m not sure</w:t>
      </w:r>
      <w:r>
        <w:rPr>
          <w:rFonts w:ascii="Arial" w:hAnsi="Arial" w:cs="Arial"/>
          <w:i/>
          <w:lang w:val="en-GB"/>
        </w:rPr>
        <w:t>.”</w:t>
      </w:r>
      <w:r>
        <w:rPr>
          <w:rFonts w:ascii="Arial" w:hAnsi="Arial" w:cs="Arial"/>
          <w:lang w:val="en-GB"/>
        </w:rPr>
        <w:t xml:space="preserve"> </w:t>
      </w:r>
      <w:r>
        <w:rPr>
          <w:rFonts w:cs="Arial"/>
          <w:szCs w:val="20"/>
          <w:lang w:val="en-GB"/>
        </w:rPr>
        <w:t>[Practice manager, Practice 14, interview, R2]</w:t>
      </w:r>
    </w:p>
    <w:p w14:paraId="3CB6E7BF" w14:textId="77777777" w:rsidR="001C19F3" w:rsidRDefault="001C19F3" w:rsidP="001C19F3">
      <w:pPr>
        <w:rPr>
          <w:rFonts w:cstheme="minorBidi"/>
          <w:szCs w:val="20"/>
        </w:rPr>
      </w:pPr>
      <w:r>
        <w:rPr>
          <w:szCs w:val="20"/>
        </w:rPr>
        <w:t>Though most practices interviewed were still evaluating the financial model, practices reported mixed feedback regarding their analysis thus far. One practice commented on the amount of time it has taken to understand and implement the HCH model and whether it was worth participating in the program:</w:t>
      </w:r>
    </w:p>
    <w:p w14:paraId="4FE55158" w14:textId="77777777" w:rsidR="001C19F3" w:rsidRDefault="001C19F3" w:rsidP="001C19F3">
      <w:pPr>
        <w:ind w:left="567" w:right="1088"/>
        <w:rPr>
          <w:szCs w:val="20"/>
        </w:rPr>
      </w:pPr>
      <w:r>
        <w:rPr>
          <w:i/>
          <w:szCs w:val="20"/>
        </w:rPr>
        <w:t>“</w:t>
      </w:r>
      <w:r>
        <w:rPr>
          <w:rFonts w:cs="Arial"/>
          <w:i/>
          <w:color w:val="000000"/>
          <w:szCs w:val="20"/>
          <w:lang w:val="en-GB"/>
        </w:rPr>
        <w:t xml:space="preserve">…we ran reports in the background to work out…whether the doctors would be actually better off or not based on item number usage, and that </w:t>
      </w:r>
      <w:r>
        <w:rPr>
          <w:rFonts w:cs="Arial"/>
          <w:color w:val="000000"/>
          <w:szCs w:val="20"/>
          <w:lang w:val="en-GB"/>
        </w:rPr>
        <w:t>[it]</w:t>
      </w:r>
      <w:r>
        <w:rPr>
          <w:rFonts w:cs="Arial"/>
          <w:i/>
          <w:color w:val="000000"/>
          <w:szCs w:val="20"/>
          <w:lang w:val="en-GB"/>
        </w:rPr>
        <w:t xml:space="preserve"> really wasn't worth it financially.</w:t>
      </w:r>
      <w:r>
        <w:rPr>
          <w:i/>
          <w:szCs w:val="20"/>
        </w:rPr>
        <w:t>”</w:t>
      </w:r>
      <w:r>
        <w:rPr>
          <w:szCs w:val="20"/>
        </w:rPr>
        <w:t xml:space="preserve"> [</w:t>
      </w:r>
      <w:bookmarkStart w:id="330" w:name="_Hlk15657095"/>
      <w:r>
        <w:rPr>
          <w:szCs w:val="20"/>
        </w:rPr>
        <w:t>Practice manager</w:t>
      </w:r>
      <w:bookmarkEnd w:id="330"/>
      <w:r>
        <w:rPr>
          <w:szCs w:val="20"/>
        </w:rPr>
        <w:t>, Practice 8, interview, R2]</w:t>
      </w:r>
    </w:p>
    <w:p w14:paraId="2B6E7755" w14:textId="77777777" w:rsidR="001C19F3" w:rsidRDefault="001C19F3" w:rsidP="001C19F3">
      <w:pPr>
        <w:rPr>
          <w:szCs w:val="20"/>
        </w:rPr>
      </w:pPr>
      <w:r>
        <w:rPr>
          <w:szCs w:val="20"/>
        </w:rPr>
        <w:t xml:space="preserve"> Despite initial doubts, a practice manager at another practice stated:</w:t>
      </w:r>
    </w:p>
    <w:p w14:paraId="47E4D3F7" w14:textId="77777777" w:rsidR="001C19F3" w:rsidRDefault="001C19F3" w:rsidP="001C19F3">
      <w:pPr>
        <w:ind w:left="567" w:right="1088"/>
        <w:rPr>
          <w:szCs w:val="20"/>
        </w:rPr>
      </w:pPr>
      <w:r>
        <w:rPr>
          <w:rFonts w:cs="Arial"/>
          <w:i/>
          <w:szCs w:val="20"/>
          <w:lang w:val="en-GB"/>
        </w:rPr>
        <w:t>“I’m changing from that negative to the positive, because I am actually seeing that throughput now. And financial as well. I can see that that is working. When you didn’t have very many and it was very early in the process, nothing was identifiable, whereas now it’s quite evident what’s coming through, how much we’re seeing patients, how often, all of that sort of thing.”</w:t>
      </w:r>
      <w:r>
        <w:rPr>
          <w:rFonts w:cs="Arial"/>
          <w:szCs w:val="20"/>
          <w:lang w:val="en-GB"/>
        </w:rPr>
        <w:t xml:space="preserve"> [</w:t>
      </w:r>
      <w:r>
        <w:rPr>
          <w:szCs w:val="20"/>
        </w:rPr>
        <w:t>Practice manager</w:t>
      </w:r>
      <w:r>
        <w:rPr>
          <w:rFonts w:cs="Arial"/>
          <w:szCs w:val="20"/>
          <w:lang w:val="en-GB"/>
        </w:rPr>
        <w:t>, Practice 4, interview, R2]</w:t>
      </w:r>
      <w:r>
        <w:rPr>
          <w:szCs w:val="20"/>
          <w:lang w:val="en-GB"/>
        </w:rPr>
        <w:t xml:space="preserve"> </w:t>
      </w:r>
    </w:p>
    <w:p w14:paraId="30A48DA3" w14:textId="77777777" w:rsidR="001C19F3" w:rsidRDefault="001C19F3" w:rsidP="001C19F3">
      <w:pPr>
        <w:ind w:right="237"/>
      </w:pPr>
    </w:p>
    <w:p w14:paraId="33DA7710" w14:textId="77777777" w:rsidR="001C19F3" w:rsidRDefault="001C19F3" w:rsidP="001C19F3">
      <w:pPr>
        <w:ind w:right="237"/>
        <w:sectPr w:rsidR="001C19F3" w:rsidSect="001C5D9E">
          <w:headerReference w:type="default" r:id="rId68"/>
          <w:headerReference w:type="first" r:id="rId69"/>
          <w:pgSz w:w="11906" w:h="16838"/>
          <w:pgMar w:top="1440" w:right="1440" w:bottom="1440" w:left="1440" w:header="708" w:footer="708" w:gutter="0"/>
          <w:cols w:space="708"/>
          <w:titlePg/>
          <w:docGrid w:linePitch="360"/>
        </w:sectPr>
      </w:pPr>
    </w:p>
    <w:p w14:paraId="5F167A46" w14:textId="77777777" w:rsidR="001C19F3" w:rsidRPr="00C1092C" w:rsidRDefault="001C19F3" w:rsidP="001C19F3">
      <w:pPr>
        <w:pStyle w:val="Heading1withnumber"/>
        <w:ind w:left="0" w:hanging="1134"/>
      </w:pPr>
      <w:bookmarkStart w:id="331" w:name="_Toc27056576"/>
      <w:r w:rsidRPr="00C1092C">
        <w:lastRenderedPageBreak/>
        <w:t>Shared care planning</w:t>
      </w:r>
      <w:bookmarkEnd w:id="331"/>
      <w:r w:rsidRPr="00C1092C">
        <w:t xml:space="preserve"> </w:t>
      </w:r>
    </w:p>
    <w:p w14:paraId="7C5DCAFC" w14:textId="77777777" w:rsidR="001C19F3" w:rsidRPr="00172536" w:rsidRDefault="001C19F3" w:rsidP="001C19F3">
      <w:r w:rsidRPr="00172536">
        <w:t xml:space="preserve">A key </w:t>
      </w:r>
      <w:r>
        <w:t xml:space="preserve">feature </w:t>
      </w:r>
      <w:r w:rsidRPr="00172536">
        <w:t xml:space="preserve">of HCH articulated from the outset was shared care planning. </w:t>
      </w:r>
      <w:r>
        <w:t xml:space="preserve">Promotion of </w:t>
      </w:r>
      <w:r w:rsidRPr="00172536">
        <w:t xml:space="preserve">shared care plans </w:t>
      </w:r>
      <w:r>
        <w:t>was designed to</w:t>
      </w:r>
      <w:r w:rsidRPr="00172536">
        <w:t>:</w:t>
      </w:r>
    </w:p>
    <w:p w14:paraId="3541138B" w14:textId="77777777" w:rsidR="001C19F3" w:rsidRPr="00172536" w:rsidRDefault="001C19F3" w:rsidP="001C19F3">
      <w:pPr>
        <w:numPr>
          <w:ilvl w:val="0"/>
          <w:numId w:val="66"/>
        </w:numPr>
        <w:contextualSpacing/>
      </w:pPr>
      <w:r w:rsidRPr="00172536">
        <w:t>increase the involvement of patients in their own care</w:t>
      </w:r>
    </w:p>
    <w:p w14:paraId="1C9787DA" w14:textId="77777777" w:rsidR="001C19F3" w:rsidRPr="00172536" w:rsidRDefault="001C19F3" w:rsidP="001C19F3">
      <w:pPr>
        <w:numPr>
          <w:ilvl w:val="0"/>
          <w:numId w:val="66"/>
        </w:numPr>
        <w:ind w:left="714" w:hanging="357"/>
      </w:pPr>
      <w:r w:rsidRPr="00172536">
        <w:t>improve the coordination of the services they receive inside and outside the HCH.</w:t>
      </w:r>
    </w:p>
    <w:p w14:paraId="7C436D30" w14:textId="77777777" w:rsidR="001C19F3" w:rsidRPr="00172536" w:rsidRDefault="001C19F3" w:rsidP="001C19F3">
      <w:r w:rsidRPr="00172536">
        <w:t>(</w:t>
      </w:r>
      <w:r w:rsidRPr="00172536">
        <w:fldChar w:fldCharType="begin"/>
      </w:r>
      <w:r>
        <w:instrText xml:space="preserve"> ADDIN EN.CITE &lt;EndNote&gt;&lt;Cite&gt;&lt;Author&gt;Australian Government Department of Health&lt;/Author&gt;&lt;Year&gt;2017&lt;/Year&gt;&lt;RecNum&gt;1055&lt;/RecNum&gt;&lt;DisplayText&gt;Australian Government Department of Health, 2017b&lt;/DisplayText&gt;&lt;record&gt;&lt;rec-number&gt;1055&lt;/rec-number&gt;&lt;foreign-keys&gt;&lt;key app="EN" db-id="zdz9xax04zr9v0evw2nvrpw9xe9ttzvs5zsv" timestamp="1536653853"&gt;1055&lt;/key&gt;&lt;/foreign-keys&gt;&lt;ref-type name="Electronic Book"&gt;44&lt;/ref-type&gt;&lt;contributors&gt;&lt;authors&gt;&lt;author&gt;Australian Government Department of Health,,&lt;/author&gt;&lt;/authors&gt;&lt;/contributors&gt;&lt;titles&gt;&lt;title&gt;Minimum requirements of shared care plans&lt;/title&gt;&lt;/titles&gt;&lt;dates&gt;&lt;year&gt;2017&lt;/year&gt;&lt;/dates&gt;&lt;urls&gt;&lt;related-urls&gt;&lt;url&gt;http://www.health.gov.au/internet/main/publishing.nsf/Content/health-care-homes-cp/$File/Minimum%20requirements%20shared%20care%20plans_December.pdf&lt;/url&gt;&lt;/related-urls&gt;&lt;/urls&gt;&lt;/record&gt;&lt;/Cite&gt;&lt;/EndNote&gt;</w:instrText>
      </w:r>
      <w:r w:rsidRPr="00172536">
        <w:fldChar w:fldCharType="separate"/>
      </w:r>
      <w:r>
        <w:rPr>
          <w:noProof/>
        </w:rPr>
        <w:t>Australian Government Department of Health, 2017b</w:t>
      </w:r>
      <w:r w:rsidRPr="00172536">
        <w:fldChar w:fldCharType="end"/>
      </w:r>
      <w:r w:rsidRPr="00172536">
        <w:t>).</w:t>
      </w:r>
    </w:p>
    <w:p w14:paraId="41C0D714" w14:textId="77777777" w:rsidR="001C19F3" w:rsidRPr="00172536" w:rsidRDefault="001C19F3" w:rsidP="001C19F3">
      <w:r w:rsidRPr="00172536">
        <w:t xml:space="preserve">Prior to the start of the implementation, the need for an electronic plan was relaxed. This was due to feedback that the Department had received that practices did not have enough information to select a tool that would meet the minimum requirements. </w:t>
      </w:r>
    </w:p>
    <w:p w14:paraId="1E07F1DC" w14:textId="77777777" w:rsidR="001C19F3" w:rsidRPr="00172536" w:rsidRDefault="001C19F3" w:rsidP="001C19F3">
      <w:r w:rsidRPr="00172536">
        <w:t>Also, some coordination would be required across each region to ensure that providers outside of the HCH would be able to access the plan and potentially contribute to it. The Department gave HCHs until 30 November 2018 to implement an electronic shared care planning tool. The Department was careful to stipulate that “</w:t>
      </w:r>
      <w:r w:rsidRPr="00D157CC">
        <w:rPr>
          <w:i/>
        </w:rPr>
        <w:t>the</w:t>
      </w:r>
      <w:r>
        <w:t xml:space="preserve"> </w:t>
      </w:r>
      <w:r w:rsidRPr="00172536">
        <w:rPr>
          <w:i/>
        </w:rPr>
        <w:t>time frame only applies to the use of compliant software―all enrolled patients must still have a shared care plan developed following their enrolment, which is shared with all members of the patient’s care team</w:t>
      </w:r>
      <w:r w:rsidRPr="00172536">
        <w:t>” (</w:t>
      </w:r>
      <w:r w:rsidRPr="00172536">
        <w:fldChar w:fldCharType="begin"/>
      </w:r>
      <w:r>
        <w:instrText xml:space="preserve"> ADDIN EN.CITE &lt;EndNote&gt;&lt;Cite&gt;&lt;Author&gt;Australian Government Department of Health&lt;/Author&gt;&lt;Year&gt;2017&lt;/Year&gt;&lt;RecNum&gt;1055&lt;/RecNum&gt;&lt;DisplayText&gt;Australian Government Department of Health, 2017b&lt;/DisplayText&gt;&lt;record&gt;&lt;rec-number&gt;1055&lt;/rec-number&gt;&lt;foreign-keys&gt;&lt;key app="EN" db-id="zdz9xax04zr9v0evw2nvrpw9xe9ttzvs5zsv" timestamp="1536653853"&gt;1055&lt;/key&gt;&lt;/foreign-keys&gt;&lt;ref-type name="Electronic Book"&gt;44&lt;/ref-type&gt;&lt;contributors&gt;&lt;authors&gt;&lt;author&gt;Australian Government Department of Health,,&lt;/author&gt;&lt;/authors&gt;&lt;/contributors&gt;&lt;titles&gt;&lt;title&gt;Minimum requirements of shared care plans&lt;/title&gt;&lt;/titles&gt;&lt;dates&gt;&lt;year&gt;2017&lt;/year&gt;&lt;/dates&gt;&lt;urls&gt;&lt;related-urls&gt;&lt;url&gt;http://www.health.gov.au/internet/main/publishing.nsf/Content/health-care-homes-cp/$File/Minimum%20requirements%20shared%20care%20plans_December.pdf&lt;/url&gt;&lt;/related-urls&gt;&lt;/urls&gt;&lt;/record&gt;&lt;/Cite&gt;&lt;/EndNote&gt;</w:instrText>
      </w:r>
      <w:r w:rsidRPr="00172536">
        <w:fldChar w:fldCharType="separate"/>
      </w:r>
      <w:r>
        <w:rPr>
          <w:noProof/>
        </w:rPr>
        <w:t>Australian Government Department of Health, 2017b</w:t>
      </w:r>
      <w:r w:rsidRPr="00172536">
        <w:fldChar w:fldCharType="end"/>
      </w:r>
      <w:r w:rsidRPr="00172536">
        <w:t>).</w:t>
      </w:r>
    </w:p>
    <w:p w14:paraId="31D6455D" w14:textId="77777777" w:rsidR="001C19F3" w:rsidRPr="00172536" w:rsidRDefault="001C19F3" w:rsidP="001C19F3">
      <w:r>
        <w:t>The Department developed a</w:t>
      </w:r>
      <w:r w:rsidRPr="00172536">
        <w:t xml:space="preserve"> document outlining the minimum requirements</w:t>
      </w:r>
      <w:r>
        <w:t xml:space="preserve"> for shared care planning tools</w:t>
      </w:r>
      <w:r w:rsidRPr="00172536">
        <w:t xml:space="preserve"> (</w:t>
      </w:r>
      <w:r w:rsidRPr="00172536">
        <w:fldChar w:fldCharType="begin"/>
      </w:r>
      <w:r>
        <w:instrText xml:space="preserve"> ADDIN EN.CITE &lt;EndNote&gt;&lt;Cite&gt;&lt;Author&gt;Australian Government Department of Health&lt;/Author&gt;&lt;Year&gt;2017&lt;/Year&gt;&lt;RecNum&gt;1055&lt;/RecNum&gt;&lt;DisplayText&gt;Australian Government Department of Health, 2017b&lt;/DisplayText&gt;&lt;record&gt;&lt;rec-number&gt;1055&lt;/rec-number&gt;&lt;foreign-keys&gt;&lt;key app="EN" db-id="zdz9xax04zr9v0evw2nvrpw9xe9ttzvs5zsv" timestamp="1536653853"&gt;1055&lt;/key&gt;&lt;/foreign-keys&gt;&lt;ref-type name="Electronic Book"&gt;44&lt;/ref-type&gt;&lt;contributors&gt;&lt;authors&gt;&lt;author&gt;Australian Government Department of Health,,&lt;/author&gt;&lt;/authors&gt;&lt;/contributors&gt;&lt;titles&gt;&lt;title&gt;Minimum requirements of shared care plans&lt;/title&gt;&lt;/titles&gt;&lt;dates&gt;&lt;year&gt;2017&lt;/year&gt;&lt;/dates&gt;&lt;urls&gt;&lt;related-urls&gt;&lt;url&gt;http://www.health.gov.au/internet/main/publishing.nsf/Content/health-care-homes-cp/$File/Minimum%20requirements%20shared%20care%20plans_December.pdf&lt;/url&gt;&lt;/related-urls&gt;&lt;/urls&gt;&lt;/record&gt;&lt;/Cite&gt;&lt;/EndNote&gt;</w:instrText>
      </w:r>
      <w:r w:rsidRPr="00172536">
        <w:fldChar w:fldCharType="separate"/>
      </w:r>
      <w:r>
        <w:rPr>
          <w:noProof/>
        </w:rPr>
        <w:t>Australian Government Department of Health, 2017b</w:t>
      </w:r>
      <w:r w:rsidRPr="00172536">
        <w:fldChar w:fldCharType="end"/>
      </w:r>
      <w:r>
        <w:t>, see Appendix 1</w:t>
      </w:r>
      <w:r w:rsidRPr="00172536">
        <w:t>)</w:t>
      </w:r>
      <w:r>
        <w:t xml:space="preserve">. </w:t>
      </w:r>
      <w:r w:rsidRPr="00AD41B5">
        <w:t>PHNs</w:t>
      </w:r>
      <w:r>
        <w:t xml:space="preserve"> also assessed tools. Some</w:t>
      </w:r>
      <w:r w:rsidRPr="00AD41B5">
        <w:t xml:space="preserve"> selected </w:t>
      </w:r>
      <w:r>
        <w:t>a single tool</w:t>
      </w:r>
      <w:r w:rsidRPr="00AD41B5">
        <w:t xml:space="preserve"> </w:t>
      </w:r>
      <w:r>
        <w:t>to</w:t>
      </w:r>
      <w:r w:rsidRPr="00AD41B5">
        <w:t xml:space="preserve"> promot</w:t>
      </w:r>
      <w:r>
        <w:t>e</w:t>
      </w:r>
      <w:r w:rsidRPr="00AD41B5">
        <w:t xml:space="preserve"> to their practices while others presented options</w:t>
      </w:r>
      <w:r>
        <w:t>.</w:t>
      </w:r>
    </w:p>
    <w:p w14:paraId="042FBC5B" w14:textId="77777777" w:rsidR="001C19F3" w:rsidRDefault="001C19F3" w:rsidP="001C19F3">
      <w:pPr>
        <w:pStyle w:val="Heading2"/>
        <w:rPr>
          <w:rFonts w:eastAsia="Times New Roman"/>
        </w:rPr>
      </w:pPr>
      <w:bookmarkStart w:id="332" w:name="_Toc27056577"/>
      <w:r>
        <w:rPr>
          <w:rFonts w:eastAsia="Times New Roman"/>
        </w:rPr>
        <w:t>How practices selected a shared care planning tool</w:t>
      </w:r>
      <w:bookmarkEnd w:id="332"/>
    </w:p>
    <w:p w14:paraId="3659B20C" w14:textId="77777777" w:rsidR="001C19F3" w:rsidRDefault="001C19F3" w:rsidP="001C19F3">
      <w:pPr>
        <w:rPr>
          <w:rFonts w:eastAsia="Times New Roman"/>
          <w:iCs/>
          <w:szCs w:val="20"/>
        </w:rPr>
      </w:pPr>
      <w:r>
        <w:rPr>
          <w:rFonts w:eastAsia="Times New Roman"/>
          <w:iCs/>
          <w:szCs w:val="20"/>
        </w:rPr>
        <w:t xml:space="preserve">Prior to their participation in HCH, many practices reported using their clinical management systems – like Medical Director and Best Practice – as their main tools for care planning. They would communicate with external providers via fax, phone, paper, or secure messaging. </w:t>
      </w:r>
    </w:p>
    <w:p w14:paraId="2A1038AC" w14:textId="77777777" w:rsidR="001C19F3" w:rsidRDefault="001C19F3" w:rsidP="001C19F3">
      <w:pPr>
        <w:rPr>
          <w:rFonts w:eastAsia="Times New Roman"/>
          <w:iCs/>
          <w:szCs w:val="20"/>
        </w:rPr>
      </w:pPr>
      <w:r>
        <w:rPr>
          <w:rFonts w:eastAsia="Times New Roman"/>
          <w:iCs/>
          <w:szCs w:val="20"/>
        </w:rPr>
        <w:t xml:space="preserve">For the HCH trial, practices opted for specific tools due to cost, experience with a platform in a past initiative, or regional considerations (i.e. what others in the region were using or what they were funded for on a regional level). In some instances, the PHN </w:t>
      </w:r>
      <w:r w:rsidRPr="00BE7F6E">
        <w:rPr>
          <w:rFonts w:eastAsia="Times New Roman"/>
          <w:iCs/>
          <w:szCs w:val="20"/>
        </w:rPr>
        <w:t>purchased licences for their practices to use</w:t>
      </w:r>
      <w:r>
        <w:rPr>
          <w:rFonts w:eastAsia="Times New Roman"/>
          <w:iCs/>
          <w:szCs w:val="20"/>
        </w:rPr>
        <w:t xml:space="preserve">. One vendor offered the use of its shared care planning tool for free during the program rollout. This influenced many practices and regions to take up this software. A few practices reported that they were still deciding on which shared care plan to use and were continuing to create plans for HCH patients using their clinical management system. </w:t>
      </w:r>
    </w:p>
    <w:p w14:paraId="4B5AEECF" w14:textId="77777777" w:rsidR="001C19F3" w:rsidRDefault="001C19F3" w:rsidP="001C19F3">
      <w:pPr>
        <w:pStyle w:val="Heading2"/>
        <w:rPr>
          <w:rFonts w:eastAsia="Times New Roman"/>
          <w:color w:val="1F4D78" w:themeColor="accent1" w:themeShade="7F"/>
          <w:sz w:val="24"/>
        </w:rPr>
      </w:pPr>
      <w:bookmarkStart w:id="333" w:name="_Toc27056578"/>
      <w:r>
        <w:rPr>
          <w:rFonts w:eastAsia="Times New Roman"/>
        </w:rPr>
        <w:lastRenderedPageBreak/>
        <w:t>Issues with the tools</w:t>
      </w:r>
      <w:bookmarkEnd w:id="333"/>
    </w:p>
    <w:p w14:paraId="7A884A3F" w14:textId="77777777" w:rsidR="001C19F3" w:rsidRDefault="001C19F3" w:rsidP="001C19F3">
      <w:pPr>
        <w:rPr>
          <w:rFonts w:eastAsia="Times New Roman"/>
          <w:iCs/>
          <w:szCs w:val="20"/>
        </w:rPr>
      </w:pPr>
      <w:r>
        <w:rPr>
          <w:rFonts w:eastAsia="Times New Roman"/>
          <w:iCs/>
          <w:szCs w:val="20"/>
        </w:rPr>
        <w:t>Practices reported ‘teething issues’ with implementing electronic shared care planning tools. These problems were eventually resolved:</w:t>
      </w:r>
    </w:p>
    <w:p w14:paraId="599544ED" w14:textId="77777777" w:rsidR="001C19F3" w:rsidRDefault="001C19F3" w:rsidP="001C19F3">
      <w:pPr>
        <w:ind w:left="567" w:right="1088"/>
        <w:rPr>
          <w:rFonts w:eastAsia="Times New Roman"/>
          <w:iCs/>
          <w:szCs w:val="20"/>
        </w:rPr>
      </w:pPr>
      <w:r>
        <w:rPr>
          <w:rFonts w:eastAsia="Times New Roman"/>
          <w:i/>
          <w:iCs/>
          <w:szCs w:val="20"/>
        </w:rPr>
        <w:t>“…we thought it was going to be simple process of getting the software but it became complex in installing the software, trying to get it up and running.</w:t>
      </w:r>
      <w:r>
        <w:rPr>
          <w:rFonts w:eastAsia="Times New Roman"/>
          <w:iCs/>
          <w:szCs w:val="20"/>
        </w:rPr>
        <w:t>” GP, Practice 17, interview, R2]</w:t>
      </w:r>
    </w:p>
    <w:p w14:paraId="4E82239F" w14:textId="77777777" w:rsidR="001C19F3" w:rsidRPr="009B34EC" w:rsidRDefault="001C19F3" w:rsidP="001C19F3">
      <w:pPr>
        <w:ind w:left="567" w:right="1088"/>
        <w:rPr>
          <w:rFonts w:eastAsia="Times New Roman"/>
          <w:iCs/>
          <w:szCs w:val="20"/>
        </w:rPr>
      </w:pPr>
      <w:r w:rsidRPr="00D157CC">
        <w:rPr>
          <w:rFonts w:eastAsia="Times New Roman"/>
          <w:i/>
          <w:iCs/>
          <w:szCs w:val="20"/>
        </w:rPr>
        <w:t xml:space="preserve">“They’re medically orientated, they’re clunky, they take over 30 minutes to do and they’re not patient centred.” </w:t>
      </w:r>
      <w:r w:rsidRPr="009B34EC">
        <w:rPr>
          <w:rFonts w:eastAsia="Times New Roman"/>
          <w:iCs/>
          <w:szCs w:val="20"/>
        </w:rPr>
        <w:t>[Practice manager, Practice 5, interview, R2]</w:t>
      </w:r>
    </w:p>
    <w:p w14:paraId="719D5756" w14:textId="77777777" w:rsidR="001C19F3" w:rsidRDefault="001C19F3" w:rsidP="001C19F3">
      <w:pPr>
        <w:rPr>
          <w:rFonts w:eastAsia="Times New Roman"/>
          <w:iCs/>
          <w:szCs w:val="20"/>
        </w:rPr>
      </w:pPr>
      <w:r>
        <w:rPr>
          <w:rFonts w:eastAsiaTheme="minorHAnsi" w:cstheme="minorBidi"/>
          <w:noProof/>
        </w:rPr>
        <w:t xml:space="preserve">They also reported issues with other available tools, describing them as </w:t>
      </w:r>
      <w:r>
        <w:rPr>
          <w:rFonts w:eastAsia="Times New Roman"/>
          <w:iCs/>
          <w:szCs w:val="20"/>
        </w:rPr>
        <w:t xml:space="preserve">“clunky” and “cumbersome.” </w:t>
      </w:r>
    </w:p>
    <w:tbl>
      <w:tblPr>
        <w:tblpPr w:leftFromText="180" w:rightFromText="180" w:vertAnchor="text" w:horzAnchor="margin" w:tblpY="4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0FE50538" w14:textId="77777777" w:rsidTr="00521305">
        <w:trPr>
          <w:trHeight w:val="287"/>
        </w:trPr>
        <w:tc>
          <w:tcPr>
            <w:tcW w:w="5000" w:type="pct"/>
          </w:tcPr>
          <w:p w14:paraId="3C2C7082" w14:textId="77777777" w:rsidR="001C19F3" w:rsidRPr="00042DAD" w:rsidRDefault="001C19F3" w:rsidP="00521305">
            <w:pPr>
              <w:spacing w:after="0"/>
              <w:rPr>
                <w:b/>
                <w:sz w:val="18"/>
                <w:szCs w:val="18"/>
              </w:rPr>
            </w:pPr>
            <w:r w:rsidRPr="00042DAD">
              <w:rPr>
                <w:b/>
                <w:sz w:val="18"/>
                <w:szCs w:val="18"/>
              </w:rPr>
              <w:t>Case study</w:t>
            </w:r>
          </w:p>
        </w:tc>
      </w:tr>
      <w:tr w:rsidR="001C19F3" w:rsidRPr="004A11F1" w14:paraId="5E9EE800" w14:textId="77777777" w:rsidTr="00521305">
        <w:tc>
          <w:tcPr>
            <w:tcW w:w="5000" w:type="pct"/>
          </w:tcPr>
          <w:p w14:paraId="6005EE96" w14:textId="77777777" w:rsidR="001C19F3" w:rsidRPr="00042DAD" w:rsidRDefault="001C19F3" w:rsidP="00521305">
            <w:pPr>
              <w:spacing w:after="0"/>
              <w:rPr>
                <w:sz w:val="18"/>
                <w:szCs w:val="18"/>
              </w:rPr>
            </w:pPr>
            <w:r>
              <w:rPr>
                <w:sz w:val="18"/>
                <w:szCs w:val="18"/>
              </w:rPr>
              <w:t>The staff of</w:t>
            </w:r>
            <w:r w:rsidRPr="00042DAD">
              <w:rPr>
                <w:sz w:val="18"/>
                <w:szCs w:val="18"/>
              </w:rPr>
              <w:t xml:space="preserve"> a large </w:t>
            </w:r>
            <w:r>
              <w:rPr>
                <w:sz w:val="18"/>
                <w:szCs w:val="18"/>
              </w:rPr>
              <w:t>practice</w:t>
            </w:r>
            <w:r w:rsidRPr="00042DAD">
              <w:rPr>
                <w:sz w:val="18"/>
                <w:szCs w:val="18"/>
              </w:rPr>
              <w:t xml:space="preserve"> located in a small city discussed major IT issues experienced during the implementation</w:t>
            </w:r>
            <w:r>
              <w:rPr>
                <w:sz w:val="18"/>
                <w:szCs w:val="18"/>
              </w:rPr>
              <w:t xml:space="preserve"> of HCH</w:t>
            </w:r>
            <w:r w:rsidRPr="00042DAD">
              <w:rPr>
                <w:sz w:val="18"/>
                <w:szCs w:val="18"/>
              </w:rPr>
              <w:t xml:space="preserve">, </w:t>
            </w:r>
            <w:r>
              <w:rPr>
                <w:sz w:val="18"/>
                <w:szCs w:val="18"/>
              </w:rPr>
              <w:t>and particularly the issues with implementing an electronic shared care planning tool</w:t>
            </w:r>
            <w:r w:rsidRPr="00042DAD">
              <w:rPr>
                <w:sz w:val="18"/>
                <w:szCs w:val="18"/>
              </w:rPr>
              <w:t xml:space="preserve">. The GP reported that </w:t>
            </w:r>
            <w:r>
              <w:rPr>
                <w:sz w:val="18"/>
                <w:szCs w:val="18"/>
              </w:rPr>
              <w:t>the practice</w:t>
            </w:r>
            <w:r w:rsidRPr="00042DAD">
              <w:rPr>
                <w:sz w:val="18"/>
                <w:szCs w:val="18"/>
              </w:rPr>
              <w:t xml:space="preserve"> IT system </w:t>
            </w:r>
            <w:r>
              <w:rPr>
                <w:sz w:val="18"/>
                <w:szCs w:val="18"/>
              </w:rPr>
              <w:t>broke</w:t>
            </w:r>
            <w:r w:rsidRPr="00042DAD">
              <w:rPr>
                <w:sz w:val="18"/>
                <w:szCs w:val="18"/>
              </w:rPr>
              <w:t xml:space="preserve"> down three times since </w:t>
            </w:r>
            <w:r>
              <w:rPr>
                <w:sz w:val="18"/>
                <w:szCs w:val="18"/>
              </w:rPr>
              <w:t>the practice</w:t>
            </w:r>
            <w:r w:rsidRPr="00042DAD">
              <w:rPr>
                <w:sz w:val="18"/>
                <w:szCs w:val="18"/>
              </w:rPr>
              <w:t xml:space="preserve"> installed the shared care planning tool</w:t>
            </w:r>
            <w:r>
              <w:rPr>
                <w:sz w:val="18"/>
                <w:szCs w:val="18"/>
              </w:rPr>
              <w:t>,</w:t>
            </w:r>
            <w:r w:rsidRPr="00042DAD">
              <w:rPr>
                <w:sz w:val="18"/>
                <w:szCs w:val="18"/>
              </w:rPr>
              <w:t xml:space="preserve"> which resulted in high IT fees and loss of revenue for the practice. In addition, the staff fel</w:t>
            </w:r>
            <w:r>
              <w:rPr>
                <w:sz w:val="18"/>
                <w:szCs w:val="18"/>
              </w:rPr>
              <w:t>t</w:t>
            </w:r>
            <w:r w:rsidRPr="00042DAD">
              <w:rPr>
                <w:sz w:val="18"/>
                <w:szCs w:val="18"/>
              </w:rPr>
              <w:t xml:space="preserve"> that the </w:t>
            </w:r>
            <w:r>
              <w:rPr>
                <w:sz w:val="18"/>
                <w:szCs w:val="18"/>
              </w:rPr>
              <w:t xml:space="preserve">tool was </w:t>
            </w:r>
            <w:r w:rsidRPr="00042DAD">
              <w:rPr>
                <w:sz w:val="18"/>
                <w:szCs w:val="18"/>
              </w:rPr>
              <w:t>difficult to use</w:t>
            </w:r>
            <w:r>
              <w:rPr>
                <w:sz w:val="18"/>
                <w:szCs w:val="18"/>
              </w:rPr>
              <w:t>,</w:t>
            </w:r>
            <w:r w:rsidRPr="00042DAD">
              <w:rPr>
                <w:sz w:val="18"/>
                <w:szCs w:val="18"/>
              </w:rPr>
              <w:t xml:space="preserve"> and that it takes much longer to create care plans and consult with patients. </w:t>
            </w:r>
            <w:r>
              <w:rPr>
                <w:sz w:val="18"/>
                <w:szCs w:val="18"/>
              </w:rPr>
              <w:t>Practice staff</w:t>
            </w:r>
            <w:r w:rsidRPr="00042DAD">
              <w:rPr>
                <w:sz w:val="18"/>
                <w:szCs w:val="18"/>
              </w:rPr>
              <w:t xml:space="preserve"> recommended that there should be additional guidance around program requirements, more general administrative support from the PHN staff (i.e. auditing, enrolment support, filling out care plans), and additional funding beyond the $10,000 </w:t>
            </w:r>
            <w:r>
              <w:rPr>
                <w:sz w:val="18"/>
                <w:szCs w:val="18"/>
              </w:rPr>
              <w:t>HCH incentive grant</w:t>
            </w:r>
            <w:r w:rsidRPr="00042DAD">
              <w:rPr>
                <w:sz w:val="18"/>
                <w:szCs w:val="18"/>
              </w:rPr>
              <w:t xml:space="preserve">. </w:t>
            </w:r>
          </w:p>
        </w:tc>
      </w:tr>
    </w:tbl>
    <w:p w14:paraId="11373D57" w14:textId="77777777" w:rsidR="001C19F3" w:rsidRDefault="001C19F3" w:rsidP="001C19F3">
      <w:pPr>
        <w:spacing w:after="0"/>
        <w:rPr>
          <w:rFonts w:eastAsia="Times New Roman"/>
          <w:iCs/>
          <w:szCs w:val="20"/>
        </w:rPr>
      </w:pPr>
    </w:p>
    <w:p w14:paraId="0F38F751" w14:textId="77777777" w:rsidR="001C19F3" w:rsidRDefault="001C19F3" w:rsidP="001C19F3">
      <w:pPr>
        <w:rPr>
          <w:rFonts w:eastAsia="Times New Roman"/>
          <w:iCs/>
          <w:szCs w:val="20"/>
        </w:rPr>
      </w:pPr>
      <w:r>
        <w:rPr>
          <w:rFonts w:eastAsia="Times New Roman"/>
          <w:iCs/>
          <w:szCs w:val="20"/>
        </w:rPr>
        <w:t>Key issues were the inability to personalise templates to make them more user friendly and auto populate patient information from their clinical management system. They stated that it took a lot of time to create a care plan using the shared care tools compared with creating it in their clinical management systems:</w:t>
      </w:r>
    </w:p>
    <w:p w14:paraId="1774A78F" w14:textId="77777777" w:rsidR="001C19F3" w:rsidRPr="009B34EC" w:rsidRDefault="001C19F3" w:rsidP="001C19F3">
      <w:pPr>
        <w:ind w:left="567" w:right="1088"/>
        <w:rPr>
          <w:rFonts w:eastAsia="Times New Roman"/>
          <w:iCs/>
          <w:szCs w:val="20"/>
        </w:rPr>
      </w:pPr>
      <w:r>
        <w:rPr>
          <w:rFonts w:eastAsia="Times New Roman"/>
          <w:i/>
          <w:iCs/>
          <w:szCs w:val="20"/>
        </w:rPr>
        <w:t xml:space="preserve"> “…so we already have established chronic disease management system here and we use </w:t>
      </w:r>
      <w:r w:rsidRPr="009B34EC">
        <w:rPr>
          <w:rFonts w:eastAsia="Times New Roman"/>
          <w:iCs/>
          <w:szCs w:val="20"/>
        </w:rPr>
        <w:t>[clinical management system]</w:t>
      </w:r>
      <w:r>
        <w:rPr>
          <w:rFonts w:eastAsia="Times New Roman"/>
          <w:i/>
          <w:iCs/>
          <w:szCs w:val="20"/>
        </w:rPr>
        <w:t xml:space="preserve">. And we document everything really in a detailed fashion. </w:t>
      </w:r>
      <w:r w:rsidRPr="009B34EC">
        <w:rPr>
          <w:rFonts w:eastAsia="Times New Roman"/>
          <w:iCs/>
          <w:szCs w:val="20"/>
        </w:rPr>
        <w:t>[The new shared care planning tool]</w:t>
      </w:r>
      <w:r>
        <w:rPr>
          <w:rFonts w:eastAsia="Times New Roman"/>
          <w:i/>
          <w:iCs/>
          <w:szCs w:val="20"/>
        </w:rPr>
        <w:t xml:space="preserve"> is slow, it's clunky. How you populate a care plan, your targets, reviewing them, I suppose it's all because it's a new system as well.”</w:t>
      </w:r>
      <w:r w:rsidRPr="00D157CC">
        <w:rPr>
          <w:rFonts w:eastAsia="Times New Roman"/>
          <w:i/>
          <w:iCs/>
          <w:szCs w:val="20"/>
        </w:rPr>
        <w:t xml:space="preserve"> </w:t>
      </w:r>
      <w:r w:rsidRPr="009B34EC">
        <w:rPr>
          <w:rFonts w:eastAsia="Times New Roman"/>
          <w:iCs/>
          <w:szCs w:val="20"/>
        </w:rPr>
        <w:t xml:space="preserve">[GP, Practice 1, </w:t>
      </w:r>
      <w:r>
        <w:rPr>
          <w:rFonts w:eastAsia="Times New Roman"/>
          <w:iCs/>
          <w:szCs w:val="20"/>
        </w:rPr>
        <w:t>interview, R2]</w:t>
      </w:r>
    </w:p>
    <w:p w14:paraId="714CD736" w14:textId="77777777" w:rsidR="001C19F3" w:rsidRPr="00D157CC" w:rsidRDefault="001C19F3" w:rsidP="001C19F3">
      <w:pPr>
        <w:ind w:left="567" w:right="1088"/>
        <w:rPr>
          <w:rFonts w:eastAsia="Times New Roman"/>
          <w:i/>
          <w:iCs/>
          <w:szCs w:val="20"/>
        </w:rPr>
      </w:pPr>
      <w:r>
        <w:rPr>
          <w:rFonts w:eastAsia="Times New Roman"/>
          <w:i/>
          <w:iCs/>
          <w:szCs w:val="20"/>
        </w:rPr>
        <w:t xml:space="preserve">“On average, 20 to 30 minutes for </w:t>
      </w:r>
      <w:r w:rsidRPr="009B34EC">
        <w:rPr>
          <w:rFonts w:eastAsia="Times New Roman"/>
          <w:iCs/>
          <w:szCs w:val="20"/>
        </w:rPr>
        <w:t>[existing clinical management system]</w:t>
      </w:r>
      <w:r>
        <w:rPr>
          <w:rFonts w:eastAsia="Times New Roman"/>
          <w:i/>
          <w:iCs/>
          <w:szCs w:val="20"/>
        </w:rPr>
        <w:t xml:space="preserve"> and at least an hour to an hour and 20 minutes it takes me to do a </w:t>
      </w:r>
      <w:r w:rsidRPr="009B34EC">
        <w:rPr>
          <w:rFonts w:eastAsia="Times New Roman"/>
          <w:iCs/>
          <w:szCs w:val="20"/>
        </w:rPr>
        <w:t>[new shared care planning tool]</w:t>
      </w:r>
      <w:r w:rsidRPr="00D157CC">
        <w:rPr>
          <w:rFonts w:eastAsia="Times New Roman"/>
          <w:i/>
          <w:iCs/>
          <w:szCs w:val="20"/>
        </w:rPr>
        <w:t xml:space="preserve"> </w:t>
      </w:r>
      <w:r>
        <w:rPr>
          <w:rFonts w:eastAsia="Times New Roman"/>
          <w:i/>
          <w:iCs/>
          <w:szCs w:val="20"/>
        </w:rPr>
        <w:t xml:space="preserve">care plan.” </w:t>
      </w:r>
      <w:r w:rsidRPr="009B34EC">
        <w:rPr>
          <w:rFonts w:eastAsia="Times New Roman"/>
          <w:iCs/>
          <w:szCs w:val="20"/>
        </w:rPr>
        <w:t xml:space="preserve">[Practice nurse, Practice 7, </w:t>
      </w:r>
      <w:r>
        <w:rPr>
          <w:rFonts w:eastAsia="Times New Roman"/>
          <w:iCs/>
          <w:szCs w:val="20"/>
        </w:rPr>
        <w:t>interview, R2]</w:t>
      </w:r>
    </w:p>
    <w:p w14:paraId="2BE930A6" w14:textId="77777777" w:rsidR="001C19F3" w:rsidRDefault="001C19F3" w:rsidP="001C19F3">
      <w:pPr>
        <w:ind w:left="567" w:right="1088"/>
        <w:rPr>
          <w:rFonts w:eastAsia="Times New Roman"/>
          <w:iCs/>
          <w:szCs w:val="20"/>
        </w:rPr>
      </w:pPr>
      <w:r>
        <w:rPr>
          <w:rFonts w:eastAsia="Times New Roman"/>
          <w:i/>
          <w:iCs/>
          <w:szCs w:val="20"/>
        </w:rPr>
        <w:t xml:space="preserve">“I can do </w:t>
      </w:r>
      <w:r>
        <w:rPr>
          <w:rFonts w:eastAsia="Times New Roman"/>
          <w:iCs/>
          <w:szCs w:val="20"/>
        </w:rPr>
        <w:t>[an existing clinical management system]</w:t>
      </w:r>
      <w:r>
        <w:rPr>
          <w:rFonts w:eastAsia="Times New Roman"/>
          <w:i/>
          <w:iCs/>
          <w:szCs w:val="20"/>
        </w:rPr>
        <w:t xml:space="preserve"> care plan in 10 or 15 minutes. Most of the patient demographics, the data, their drugs, autofeeds back in again. Whereas with </w:t>
      </w:r>
      <w:r>
        <w:rPr>
          <w:rFonts w:eastAsia="Times New Roman"/>
          <w:iCs/>
          <w:szCs w:val="20"/>
        </w:rPr>
        <w:t>[the new shared care planning tool]</w:t>
      </w:r>
      <w:r>
        <w:rPr>
          <w:rFonts w:eastAsia="Times New Roman"/>
          <w:i/>
          <w:iCs/>
          <w:szCs w:val="20"/>
        </w:rPr>
        <w:t xml:space="preserve"> I'm having to manually type everything in. So I had this quite complex patient, I spent an hour and a half trying to do it and just stopped…It still wasn't finished to the level that I wanted to do.” </w:t>
      </w:r>
      <w:r>
        <w:rPr>
          <w:rFonts w:eastAsia="Times New Roman"/>
          <w:iCs/>
          <w:szCs w:val="20"/>
        </w:rPr>
        <w:t>[GP, Practice 17, interview, R2]</w:t>
      </w:r>
    </w:p>
    <w:p w14:paraId="2BFC17DD" w14:textId="77777777" w:rsidR="001C19F3" w:rsidRDefault="001C19F3" w:rsidP="001C19F3">
      <w:pPr>
        <w:rPr>
          <w:rFonts w:eastAsia="Times New Roman"/>
          <w:iCs/>
          <w:szCs w:val="20"/>
        </w:rPr>
      </w:pPr>
      <w:r>
        <w:rPr>
          <w:rFonts w:eastAsia="Times New Roman"/>
          <w:iCs/>
          <w:szCs w:val="20"/>
        </w:rPr>
        <w:lastRenderedPageBreak/>
        <w:t>Some practices reported that, though the new tools had templates for common chronic diseases, such as diabetes and COPD, the software did not have templates for rarer illnesses or comorbidities. This made it more difficult to individualise plans and ensure that they included all relevant medical history and information:</w:t>
      </w:r>
    </w:p>
    <w:p w14:paraId="012C3EAC" w14:textId="77777777" w:rsidR="001C19F3" w:rsidRDefault="001C19F3" w:rsidP="001C19F3">
      <w:pPr>
        <w:ind w:left="567" w:right="1088"/>
        <w:rPr>
          <w:rFonts w:eastAsia="Times New Roman"/>
          <w:iCs/>
          <w:szCs w:val="20"/>
        </w:rPr>
      </w:pPr>
      <w:r>
        <w:rPr>
          <w:rFonts w:eastAsia="Times New Roman"/>
          <w:szCs w:val="20"/>
        </w:rPr>
        <w:t>“</w:t>
      </w:r>
      <w:r w:rsidRPr="007B1189">
        <w:rPr>
          <w:rFonts w:eastAsia="Times New Roman"/>
          <w:szCs w:val="20"/>
        </w:rPr>
        <w:t>[The new shared care planning tool]</w:t>
      </w:r>
      <w:r>
        <w:rPr>
          <w:rFonts w:eastAsia="Times New Roman"/>
          <w:i/>
          <w:szCs w:val="20"/>
        </w:rPr>
        <w:t xml:space="preserve"> might have maybe 10 conditions that are all fairly well thought through, but there’s a whole heap obviously beyond that. So then you’re having to go and add...And that’s almost like going back to pen and paper, working out a care plan for a patient, rather than using a template. So that’s what we meant by clunky. It’s like the basic criteria are there, but the actual nitty gritty of how you’re meant to actually use it aren’t functioning yet.”</w:t>
      </w:r>
      <w:r>
        <w:rPr>
          <w:rFonts w:eastAsia="Times New Roman"/>
          <w:szCs w:val="20"/>
        </w:rPr>
        <w:t xml:space="preserve"> [Practice nurse, Practice 9, interview, R2]</w:t>
      </w:r>
    </w:p>
    <w:p w14:paraId="196D079B" w14:textId="77777777" w:rsidR="001C19F3" w:rsidRDefault="001C19F3" w:rsidP="001C19F3">
      <w:pPr>
        <w:rPr>
          <w:rFonts w:eastAsia="Times New Roman"/>
          <w:iCs/>
          <w:szCs w:val="20"/>
        </w:rPr>
      </w:pPr>
      <w:r>
        <w:rPr>
          <w:rFonts w:eastAsia="Times New Roman"/>
          <w:iCs/>
          <w:szCs w:val="20"/>
        </w:rPr>
        <w:t>Due to these problems, some staff argued that they should not have to incorporate another IT tool that still has many flaws. They felt that the deadline to select a shared care tool should have been extended:</w:t>
      </w:r>
    </w:p>
    <w:p w14:paraId="06C984DA" w14:textId="77777777" w:rsidR="001C19F3" w:rsidRDefault="001C19F3" w:rsidP="001C19F3">
      <w:pPr>
        <w:ind w:left="567" w:right="1088"/>
        <w:rPr>
          <w:rFonts w:eastAsia="Times New Roman"/>
          <w:iCs/>
          <w:szCs w:val="20"/>
        </w:rPr>
      </w:pPr>
      <w:r>
        <w:rPr>
          <w:rFonts w:eastAsia="Times New Roman"/>
          <w:i/>
          <w:iCs/>
          <w:szCs w:val="20"/>
        </w:rPr>
        <w:t xml:space="preserve">“…we’re still in a very raw area... Or number of raw areas and particularly the shared care planning stuff going on. And to be forced to make a decision about that, at the moment, particularly when you look at the different…funding costs from these different products that are out there…Well, I think it’s pretty much an unfair requirement. I think that decision definitely should be put off. Because I believe that the software that we’re very used to using is not far away from delivering its own care planning process within that software.” </w:t>
      </w:r>
      <w:r>
        <w:rPr>
          <w:rFonts w:eastAsia="Times New Roman"/>
          <w:iCs/>
          <w:szCs w:val="20"/>
        </w:rPr>
        <w:t>[GP, Practice 12, interview, R2]</w:t>
      </w:r>
    </w:p>
    <w:p w14:paraId="7BFA5F5E" w14:textId="77777777" w:rsidR="001C19F3" w:rsidRDefault="001C19F3" w:rsidP="001C19F3">
      <w:pPr>
        <w:ind w:left="567" w:right="1088"/>
        <w:rPr>
          <w:rFonts w:eastAsia="Times New Roman"/>
          <w:i/>
          <w:iCs/>
          <w:color w:val="003D79"/>
          <w:sz w:val="24"/>
        </w:rPr>
      </w:pPr>
      <w:r>
        <w:rPr>
          <w:rFonts w:eastAsia="Times New Roman"/>
          <w:i/>
          <w:szCs w:val="20"/>
        </w:rPr>
        <w:t>“Fix what you’ve got. Make it really good and then we can use it but don’t give this another system…</w:t>
      </w:r>
      <w:r>
        <w:rPr>
          <w:i/>
        </w:rPr>
        <w:t xml:space="preserve"> </w:t>
      </w:r>
      <w:r>
        <w:rPr>
          <w:rFonts w:eastAsia="Times New Roman"/>
          <w:i/>
          <w:szCs w:val="20"/>
        </w:rPr>
        <w:t>I don’t know how fluid it’s going to be but if it becomes there’s a deadline of you do this or else then it’s or else.”</w:t>
      </w:r>
      <w:r>
        <w:rPr>
          <w:rFonts w:eastAsia="Times New Roman"/>
          <w:szCs w:val="20"/>
        </w:rPr>
        <w:t xml:space="preserve"> [Practice manager, Practice 18, interview, R2]</w:t>
      </w:r>
    </w:p>
    <w:p w14:paraId="4F299C3C" w14:textId="77777777" w:rsidR="001C19F3" w:rsidRDefault="001C19F3" w:rsidP="001C19F3">
      <w:pPr>
        <w:rPr>
          <w:rFonts w:eastAsia="Times New Roman"/>
          <w:iCs/>
          <w:szCs w:val="20"/>
        </w:rPr>
      </w:pPr>
      <w:r>
        <w:rPr>
          <w:rFonts w:eastAsia="Times New Roman"/>
          <w:iCs/>
          <w:szCs w:val="20"/>
        </w:rPr>
        <w:t>There were also concerns about the future costs associated with shared care planning tools. Though one of the vendors offered their product for free for the trial, practices were unsure when this offer would end:</w:t>
      </w:r>
    </w:p>
    <w:p w14:paraId="0A5B8E6E" w14:textId="77777777" w:rsidR="001C19F3" w:rsidRDefault="001C19F3" w:rsidP="001C19F3">
      <w:pPr>
        <w:ind w:left="567" w:right="1088"/>
        <w:rPr>
          <w:rFonts w:eastAsia="Times New Roman"/>
          <w:iCs/>
          <w:szCs w:val="20"/>
        </w:rPr>
      </w:pPr>
      <w:r>
        <w:rPr>
          <w:rFonts w:eastAsia="Times New Roman"/>
          <w:i/>
          <w:iCs/>
          <w:szCs w:val="20"/>
        </w:rPr>
        <w:t>“There are a lot of companies that are contacting me at the moment, use ours, pay for ours, it’s free whilst you’re on the trial. And then we think, what happens when the trial finishes? Are we hit with this massive amount of money?”</w:t>
      </w:r>
      <w:r>
        <w:rPr>
          <w:rFonts w:eastAsia="Times New Roman"/>
          <w:iCs/>
          <w:szCs w:val="20"/>
        </w:rPr>
        <w:t xml:space="preserve"> [Practice owner, Practice 6, interview, R2]</w:t>
      </w:r>
    </w:p>
    <w:p w14:paraId="7573C343" w14:textId="77777777" w:rsidR="001C19F3" w:rsidRDefault="001C19F3" w:rsidP="001C19F3">
      <w:pPr>
        <w:pStyle w:val="Heading2"/>
        <w:rPr>
          <w:rFonts w:eastAsia="Times New Roman"/>
        </w:rPr>
      </w:pPr>
      <w:bookmarkStart w:id="334" w:name="_Toc27056579"/>
      <w:r>
        <w:rPr>
          <w:rFonts w:eastAsia="Times New Roman"/>
        </w:rPr>
        <w:t>Interoperability</w:t>
      </w:r>
      <w:bookmarkEnd w:id="334"/>
    </w:p>
    <w:p w14:paraId="7516CF1B" w14:textId="77777777" w:rsidR="001C19F3" w:rsidRDefault="001C19F3" w:rsidP="001C19F3">
      <w:pPr>
        <w:rPr>
          <w:rFonts w:eastAsia="Times New Roman"/>
          <w:iCs/>
          <w:szCs w:val="20"/>
        </w:rPr>
      </w:pPr>
      <w:r>
        <w:rPr>
          <w:rFonts w:eastAsia="Times New Roman"/>
          <w:iCs/>
          <w:szCs w:val="20"/>
        </w:rPr>
        <w:t xml:space="preserve">PHNs and practices were </w:t>
      </w:r>
      <w:r w:rsidRPr="00520A8D">
        <w:rPr>
          <w:rFonts w:eastAsia="Times New Roman"/>
          <w:iCs/>
          <w:szCs w:val="20"/>
        </w:rPr>
        <w:t>concern</w:t>
      </w:r>
      <w:r>
        <w:rPr>
          <w:rFonts w:eastAsia="Times New Roman"/>
          <w:iCs/>
          <w:szCs w:val="20"/>
        </w:rPr>
        <w:t>ed</w:t>
      </w:r>
      <w:r w:rsidRPr="00520A8D">
        <w:rPr>
          <w:rFonts w:eastAsia="Times New Roman"/>
          <w:iCs/>
          <w:szCs w:val="20"/>
        </w:rPr>
        <w:t xml:space="preserve"> about how regions would achieve interoperability </w:t>
      </w:r>
      <w:r>
        <w:rPr>
          <w:rFonts w:eastAsia="Times New Roman"/>
          <w:iCs/>
          <w:szCs w:val="20"/>
        </w:rPr>
        <w:t xml:space="preserve">with </w:t>
      </w:r>
      <w:r w:rsidRPr="00520A8D">
        <w:rPr>
          <w:rFonts w:eastAsia="Times New Roman"/>
          <w:iCs/>
          <w:szCs w:val="20"/>
        </w:rPr>
        <w:t xml:space="preserve">different </w:t>
      </w:r>
      <w:r>
        <w:rPr>
          <w:rFonts w:eastAsia="Times New Roman"/>
          <w:iCs/>
          <w:szCs w:val="20"/>
        </w:rPr>
        <w:t xml:space="preserve">shared care planning </w:t>
      </w:r>
      <w:r w:rsidRPr="00520A8D">
        <w:rPr>
          <w:rFonts w:eastAsia="Times New Roman"/>
          <w:iCs/>
          <w:szCs w:val="20"/>
        </w:rPr>
        <w:t>tools used by providers in the health care neighbourhood</w:t>
      </w:r>
      <w:r>
        <w:rPr>
          <w:rFonts w:eastAsia="Times New Roman"/>
          <w:iCs/>
          <w:szCs w:val="20"/>
        </w:rPr>
        <w:t>:</w:t>
      </w:r>
    </w:p>
    <w:p w14:paraId="07144310" w14:textId="77777777" w:rsidR="001C19F3" w:rsidRPr="009B34EC" w:rsidRDefault="001C19F3" w:rsidP="001C19F3">
      <w:pPr>
        <w:ind w:left="567" w:right="1088"/>
        <w:rPr>
          <w:rFonts w:eastAsia="Times New Roman"/>
          <w:iCs/>
          <w:szCs w:val="20"/>
        </w:rPr>
      </w:pPr>
      <w:r w:rsidRPr="00FF5E0E">
        <w:rPr>
          <w:rFonts w:eastAsia="Times New Roman"/>
          <w:i/>
          <w:iCs/>
          <w:szCs w:val="20"/>
        </w:rPr>
        <w:t>“</w:t>
      </w:r>
      <w:r w:rsidRPr="0077202A">
        <w:rPr>
          <w:rFonts w:eastAsia="Times New Roman"/>
          <w:i/>
          <w:iCs/>
          <w:szCs w:val="20"/>
        </w:rPr>
        <w:t>For this program to run effectively, we need a very effective shared health summary that everybody who’s dealing with that particular patient can talk to. And that will be the medium that we will talk to each other</w:t>
      </w:r>
      <w:r w:rsidRPr="00FF5E0E">
        <w:rPr>
          <w:rFonts w:eastAsia="Times New Roman"/>
          <w:i/>
          <w:iCs/>
          <w:szCs w:val="20"/>
        </w:rPr>
        <w:t xml:space="preserve">.” </w:t>
      </w:r>
      <w:r w:rsidRPr="009B34EC">
        <w:rPr>
          <w:rFonts w:eastAsia="Times New Roman"/>
          <w:iCs/>
          <w:szCs w:val="20"/>
        </w:rPr>
        <w:t>[GP, Practice 17, interview, R2]</w:t>
      </w:r>
    </w:p>
    <w:p w14:paraId="2F5D60DB" w14:textId="77777777" w:rsidR="001C19F3" w:rsidRPr="00FF5E0E" w:rsidRDefault="001C19F3" w:rsidP="001C19F3">
      <w:pPr>
        <w:ind w:left="567" w:right="1088"/>
        <w:rPr>
          <w:rFonts w:eastAsia="Times New Roman"/>
          <w:i/>
          <w:iCs/>
          <w:szCs w:val="20"/>
        </w:rPr>
      </w:pPr>
      <w:r w:rsidRPr="00FF5E0E">
        <w:rPr>
          <w:rFonts w:eastAsia="Times New Roman"/>
          <w:i/>
          <w:iCs/>
          <w:szCs w:val="20"/>
        </w:rPr>
        <w:lastRenderedPageBreak/>
        <w:t xml:space="preserve">“But it does strike me that …you need a regionally based solution on software, on shared care planning. Because you effectively need to involve a lot of different people interfacing with that. And so, if there are multitudes of software being used, that really will create huge problem. You can imagine a hospital would have to have 50 different programs, potentially.” </w:t>
      </w:r>
      <w:r w:rsidRPr="009B75E1">
        <w:rPr>
          <w:rFonts w:eastAsia="Times New Roman"/>
          <w:iCs/>
          <w:szCs w:val="20"/>
        </w:rPr>
        <w:t>[PHN 8, interview, R1]</w:t>
      </w:r>
    </w:p>
    <w:p w14:paraId="2C597333" w14:textId="77777777" w:rsidR="001C19F3" w:rsidRDefault="001C19F3" w:rsidP="001C19F3">
      <w:pPr>
        <w:rPr>
          <w:rFonts w:eastAsia="Times New Roman"/>
          <w:iCs/>
          <w:szCs w:val="20"/>
        </w:rPr>
      </w:pPr>
      <w:r>
        <w:rPr>
          <w:rFonts w:eastAsia="Times New Roman"/>
          <w:iCs/>
          <w:szCs w:val="20"/>
        </w:rPr>
        <w:t xml:space="preserve">Practices’ survey responses on how they </w:t>
      </w:r>
      <w:r w:rsidRPr="00520A8D">
        <w:rPr>
          <w:rFonts w:eastAsia="Times New Roman"/>
          <w:iCs/>
          <w:szCs w:val="20"/>
        </w:rPr>
        <w:t xml:space="preserve">share care plans with clinicians outside the practice </w:t>
      </w:r>
      <w:r>
        <w:rPr>
          <w:rFonts w:eastAsia="Times New Roman"/>
          <w:iCs/>
          <w:szCs w:val="20"/>
        </w:rPr>
        <w:t>highlights this barrier. That is, more than half send a paper version of the shared care plan to relevant providers (</w:t>
      </w:r>
      <w:r>
        <w:rPr>
          <w:rFonts w:eastAsia="Times New Roman"/>
          <w:iCs/>
          <w:szCs w:val="20"/>
        </w:rPr>
        <w:fldChar w:fldCharType="begin"/>
      </w:r>
      <w:r>
        <w:rPr>
          <w:rFonts w:eastAsia="Times New Roman"/>
          <w:iCs/>
          <w:szCs w:val="20"/>
        </w:rPr>
        <w:instrText xml:space="preserve"> REF _Ref21026644 \h </w:instrText>
      </w:r>
      <w:r>
        <w:rPr>
          <w:rFonts w:eastAsia="Times New Roman"/>
          <w:iCs/>
          <w:szCs w:val="20"/>
        </w:rPr>
      </w:r>
      <w:r>
        <w:rPr>
          <w:rFonts w:eastAsia="Times New Roman"/>
          <w:iCs/>
          <w:szCs w:val="20"/>
        </w:rPr>
        <w:fldChar w:fldCharType="separate"/>
      </w:r>
      <w:r>
        <w:t xml:space="preserve">Table </w:t>
      </w:r>
      <w:r>
        <w:rPr>
          <w:noProof/>
        </w:rPr>
        <w:t>47</w:t>
      </w:r>
      <w:r>
        <w:rPr>
          <w:rFonts w:eastAsia="Times New Roman"/>
          <w:iCs/>
          <w:szCs w:val="20"/>
        </w:rPr>
        <w:fldChar w:fldCharType="end"/>
      </w:r>
      <w:r>
        <w:rPr>
          <w:rFonts w:eastAsia="Times New Roman"/>
          <w:iCs/>
          <w:szCs w:val="20"/>
        </w:rPr>
        <w:t>).</w:t>
      </w:r>
    </w:p>
    <w:p w14:paraId="7EA5237F" w14:textId="77777777" w:rsidR="001C19F3" w:rsidRDefault="001C19F3" w:rsidP="001C19F3">
      <w:pPr>
        <w:pStyle w:val="Caption1"/>
        <w:spacing w:after="0"/>
      </w:pPr>
      <w:bookmarkStart w:id="335" w:name="_Ref21026644"/>
      <w:bookmarkStart w:id="336" w:name="_Hlk22645758"/>
      <w:r>
        <w:t xml:space="preserve">Table </w:t>
      </w:r>
      <w:r>
        <w:fldChar w:fldCharType="begin"/>
      </w:r>
      <w:r>
        <w:instrText>SEQ Table \* ARABIC</w:instrText>
      </w:r>
      <w:r>
        <w:fldChar w:fldCharType="separate"/>
      </w:r>
      <w:r>
        <w:rPr>
          <w:noProof/>
        </w:rPr>
        <w:t>47</w:t>
      </w:r>
      <w:r>
        <w:fldChar w:fldCharType="end"/>
      </w:r>
      <w:bookmarkEnd w:id="335"/>
      <w:r>
        <w:t xml:space="preserve"> – Main ways that the practice shares care plans with clinicians outside the practice involved in the care of the patient (multiple may apply)</w:t>
      </w:r>
    </w:p>
    <w:tbl>
      <w:tblPr>
        <w:tblW w:w="5000" w:type="pct"/>
        <w:jc w:val="center"/>
        <w:tblLook w:val="04A0" w:firstRow="1" w:lastRow="0" w:firstColumn="1" w:lastColumn="0" w:noHBand="0" w:noVBand="1"/>
      </w:tblPr>
      <w:tblGrid>
        <w:gridCol w:w="7644"/>
        <w:gridCol w:w="1362"/>
      </w:tblGrid>
      <w:tr w:rsidR="001C19F3" w14:paraId="2F5B2A87" w14:textId="77777777" w:rsidTr="00521305">
        <w:trPr>
          <w:cantSplit/>
          <w:trHeight w:val="245"/>
          <w:tblHeader/>
          <w:jc w:val="center"/>
        </w:trPr>
        <w:tc>
          <w:tcPr>
            <w:tcW w:w="0" w:type="auto"/>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336"/>
          <w:p w14:paraId="204FB347" w14:textId="77777777" w:rsidR="001C19F3" w:rsidRDefault="001C19F3" w:rsidP="00521305">
            <w:pPr>
              <w:spacing w:after="0" w:line="240" w:lineRule="auto"/>
              <w:jc w:val="center"/>
            </w:pPr>
            <w:r>
              <w:rPr>
                <w:rFonts w:eastAsia="Century Gothic" w:cs="Century Gothic"/>
                <w:b/>
                <w:color w:val="FFFFFF"/>
                <w:sz w:val="18"/>
                <w:szCs w:val="18"/>
              </w:rPr>
              <w:t>Response</w:t>
            </w:r>
          </w:p>
        </w:tc>
        <w:tc>
          <w:tcPr>
            <w:tcW w:w="0" w:type="auto"/>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C9D7340" w14:textId="77777777" w:rsidR="001C19F3" w:rsidRDefault="001C19F3" w:rsidP="00521305">
            <w:pPr>
              <w:spacing w:after="0" w:line="240" w:lineRule="auto"/>
              <w:jc w:val="center"/>
            </w:pPr>
            <w:r>
              <w:rPr>
                <w:rFonts w:eastAsia="Century Gothic" w:cs="Century Gothic"/>
                <w:b/>
                <w:color w:val="FFFFFF"/>
                <w:sz w:val="18"/>
                <w:szCs w:val="18"/>
              </w:rPr>
              <w:t>Total</w:t>
            </w:r>
          </w:p>
        </w:tc>
      </w:tr>
      <w:tr w:rsidR="001C19F3" w14:paraId="00C7975A" w14:textId="77777777" w:rsidTr="00521305">
        <w:trPr>
          <w:cantSplit/>
          <w:trHeight w:val="482"/>
          <w:tblHeader/>
          <w:jc w:val="center"/>
        </w:trPr>
        <w:tc>
          <w:tcPr>
            <w:tcW w:w="4244" w:type="pct"/>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77B536F" w14:textId="77777777" w:rsidR="001C19F3" w:rsidRDefault="001C19F3" w:rsidP="00521305">
            <w:pPr>
              <w:jc w:val="center"/>
            </w:pPr>
          </w:p>
        </w:tc>
        <w:tc>
          <w:tcPr>
            <w:tcW w:w="756" w:type="pct"/>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13CB3B9" w14:textId="77777777" w:rsidR="001C19F3" w:rsidRDefault="001C19F3" w:rsidP="00521305">
            <w:pPr>
              <w:jc w:val="center"/>
            </w:pPr>
          </w:p>
        </w:tc>
      </w:tr>
      <w:tr w:rsidR="001C19F3" w14:paraId="5B956208"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0614B1" w14:textId="77777777" w:rsidR="001C19F3" w:rsidRDefault="001C19F3" w:rsidP="00521305">
            <w:pPr>
              <w:spacing w:before="40" w:after="40"/>
              <w:ind w:left="100" w:right="100"/>
            </w:pPr>
            <w:r>
              <w:rPr>
                <w:rFonts w:eastAsia="Century Gothic" w:cs="Century Gothic"/>
                <w:color w:val="000000"/>
                <w:sz w:val="18"/>
                <w:szCs w:val="18"/>
              </w:rPr>
              <w:t>We send a paper version of the shared care plan to relevant clinicians</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54783B" w14:textId="77777777" w:rsidR="001C19F3" w:rsidRDefault="001C19F3" w:rsidP="00521305">
            <w:pPr>
              <w:spacing w:before="40" w:after="40"/>
              <w:ind w:left="100" w:right="100"/>
              <w:jc w:val="right"/>
            </w:pPr>
            <w:r>
              <w:rPr>
                <w:rFonts w:eastAsia="Century Gothic" w:cs="Century Gothic"/>
                <w:color w:val="000000"/>
                <w:sz w:val="18"/>
                <w:szCs w:val="18"/>
              </w:rPr>
              <w:t>50 (54.3%)</w:t>
            </w:r>
          </w:p>
        </w:tc>
      </w:tr>
      <w:tr w:rsidR="001C19F3" w14:paraId="2A4F2110"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DEAB65" w14:textId="77777777" w:rsidR="001C19F3" w:rsidRDefault="001C19F3" w:rsidP="00521305">
            <w:pPr>
              <w:spacing w:before="40" w:after="40"/>
              <w:ind w:left="100" w:right="100"/>
            </w:pPr>
            <w:r>
              <w:rPr>
                <w:rFonts w:eastAsia="Century Gothic" w:cs="Century Gothic"/>
                <w:color w:val="000000"/>
                <w:sz w:val="18"/>
                <w:szCs w:val="18"/>
              </w:rPr>
              <w:t>Clinicians outside of the practice/ service can access a patient's plan by logging into a common shared care planning software application</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61F70A" w14:textId="77777777" w:rsidR="001C19F3" w:rsidRDefault="001C19F3" w:rsidP="00521305">
            <w:pPr>
              <w:spacing w:before="40" w:after="40"/>
              <w:ind w:left="100" w:right="100"/>
              <w:jc w:val="right"/>
            </w:pPr>
            <w:r>
              <w:rPr>
                <w:rFonts w:eastAsia="Century Gothic" w:cs="Century Gothic"/>
                <w:color w:val="000000"/>
                <w:sz w:val="18"/>
                <w:szCs w:val="18"/>
              </w:rPr>
              <w:t>24 (26.1%)</w:t>
            </w:r>
          </w:p>
        </w:tc>
      </w:tr>
      <w:tr w:rsidR="001C19F3" w14:paraId="2786CC08"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B421E7" w14:textId="77777777" w:rsidR="001C19F3" w:rsidRDefault="001C19F3" w:rsidP="00521305">
            <w:pPr>
              <w:spacing w:before="40" w:after="40"/>
              <w:ind w:left="100" w:right="100"/>
            </w:pPr>
            <w:r>
              <w:rPr>
                <w:rFonts w:eastAsia="Century Gothic" w:cs="Century Gothic"/>
                <w:color w:val="000000"/>
                <w:sz w:val="18"/>
                <w:szCs w:val="18"/>
              </w:rPr>
              <w:t>We email an electronic copy of the plan to relevant clinicians</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857282" w14:textId="77777777" w:rsidR="001C19F3" w:rsidRDefault="001C19F3" w:rsidP="00521305">
            <w:pPr>
              <w:spacing w:before="40" w:after="40"/>
              <w:ind w:left="100" w:right="100"/>
              <w:jc w:val="right"/>
            </w:pPr>
            <w:r>
              <w:rPr>
                <w:rFonts w:eastAsia="Century Gothic" w:cs="Century Gothic"/>
                <w:color w:val="000000"/>
                <w:sz w:val="18"/>
                <w:szCs w:val="18"/>
              </w:rPr>
              <w:t>14 (15.2%)</w:t>
            </w:r>
          </w:p>
        </w:tc>
      </w:tr>
      <w:tr w:rsidR="001C19F3" w14:paraId="62A97229"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4E0A79" w14:textId="77777777" w:rsidR="001C19F3" w:rsidRDefault="001C19F3" w:rsidP="00521305">
            <w:pPr>
              <w:spacing w:before="40" w:after="40"/>
              <w:ind w:left="100" w:right="100"/>
            </w:pPr>
            <w:r>
              <w:rPr>
                <w:rFonts w:eastAsia="Century Gothic" w:cs="Century Gothic"/>
                <w:color w:val="000000"/>
                <w:sz w:val="18"/>
                <w:szCs w:val="18"/>
              </w:rPr>
              <w:t>We load the plan into the patient's My Health Record</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F4AD4E" w14:textId="77777777" w:rsidR="001C19F3" w:rsidRDefault="001C19F3" w:rsidP="00521305">
            <w:pPr>
              <w:spacing w:before="40" w:after="40"/>
              <w:ind w:left="100" w:right="100"/>
              <w:jc w:val="right"/>
            </w:pPr>
            <w:r>
              <w:rPr>
                <w:rFonts w:eastAsia="Century Gothic" w:cs="Century Gothic"/>
                <w:color w:val="000000"/>
                <w:sz w:val="18"/>
                <w:szCs w:val="18"/>
              </w:rPr>
              <w:t>14 (15.2%)</w:t>
            </w:r>
          </w:p>
        </w:tc>
      </w:tr>
      <w:tr w:rsidR="001C19F3" w14:paraId="06ACFC09"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8D6D28" w14:textId="77777777" w:rsidR="001C19F3" w:rsidRDefault="001C19F3" w:rsidP="00521305">
            <w:pPr>
              <w:spacing w:before="40" w:after="40"/>
              <w:ind w:left="100" w:right="100"/>
            </w:pPr>
            <w:r>
              <w:rPr>
                <w:rFonts w:eastAsia="Century Gothic" w:cs="Century Gothic"/>
                <w:color w:val="000000"/>
                <w:sz w:val="18"/>
                <w:szCs w:val="18"/>
              </w:rPr>
              <w:t>Other: Fax</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A15E56" w14:textId="77777777" w:rsidR="001C19F3" w:rsidRDefault="001C19F3" w:rsidP="00521305">
            <w:pPr>
              <w:spacing w:before="40" w:after="40"/>
              <w:ind w:left="100" w:right="100"/>
              <w:jc w:val="right"/>
            </w:pPr>
            <w:r>
              <w:rPr>
                <w:rFonts w:eastAsia="Century Gothic" w:cs="Century Gothic"/>
                <w:color w:val="000000"/>
                <w:sz w:val="18"/>
                <w:szCs w:val="18"/>
              </w:rPr>
              <w:t>9 (9.8%)</w:t>
            </w:r>
          </w:p>
        </w:tc>
      </w:tr>
      <w:tr w:rsidR="001C19F3" w14:paraId="79896687"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4DA33C" w14:textId="77777777" w:rsidR="001C19F3" w:rsidRDefault="001C19F3" w:rsidP="00521305">
            <w:pPr>
              <w:spacing w:before="40" w:after="40"/>
              <w:ind w:left="100" w:right="100"/>
            </w:pPr>
            <w:r>
              <w:rPr>
                <w:rFonts w:eastAsia="Century Gothic" w:cs="Century Gothic"/>
                <w:color w:val="000000"/>
                <w:sz w:val="18"/>
                <w:szCs w:val="18"/>
              </w:rPr>
              <w:t>Other: Linked EHR</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7C16F3" w14:textId="77777777" w:rsidR="001C19F3" w:rsidRDefault="001C19F3" w:rsidP="00521305">
            <w:pPr>
              <w:spacing w:before="40" w:after="40"/>
              <w:ind w:left="100" w:right="100"/>
              <w:jc w:val="right"/>
            </w:pPr>
            <w:r>
              <w:rPr>
                <w:rFonts w:eastAsia="Century Gothic" w:cs="Century Gothic"/>
                <w:color w:val="000000"/>
                <w:sz w:val="18"/>
                <w:szCs w:val="18"/>
              </w:rPr>
              <w:t>9 (9.8%)</w:t>
            </w:r>
          </w:p>
        </w:tc>
      </w:tr>
      <w:tr w:rsidR="001C19F3" w14:paraId="0966827F"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2F4BCB" w14:textId="77777777" w:rsidR="001C19F3" w:rsidRDefault="001C19F3" w:rsidP="00521305">
            <w:pPr>
              <w:spacing w:before="40" w:after="40"/>
              <w:ind w:left="100" w:right="100"/>
            </w:pPr>
            <w:r>
              <w:rPr>
                <w:rFonts w:eastAsia="Century Gothic" w:cs="Century Gothic"/>
                <w:color w:val="000000"/>
                <w:sz w:val="18"/>
                <w:szCs w:val="18"/>
              </w:rPr>
              <w:t>Other: Patient passes it on</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7B833C" w14:textId="77777777" w:rsidR="001C19F3" w:rsidRDefault="001C19F3" w:rsidP="00521305">
            <w:pPr>
              <w:spacing w:before="40" w:after="40"/>
              <w:ind w:left="100" w:right="100"/>
              <w:jc w:val="right"/>
            </w:pPr>
            <w:r>
              <w:rPr>
                <w:rFonts w:eastAsia="Century Gothic" w:cs="Century Gothic"/>
                <w:color w:val="000000"/>
                <w:sz w:val="18"/>
                <w:szCs w:val="18"/>
              </w:rPr>
              <w:t>1 (1.1%)</w:t>
            </w:r>
          </w:p>
        </w:tc>
      </w:tr>
      <w:tr w:rsidR="001C19F3" w14:paraId="49F4C284"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A8F29E" w14:textId="77777777" w:rsidR="001C19F3" w:rsidRDefault="001C19F3" w:rsidP="00521305">
            <w:pPr>
              <w:spacing w:before="40" w:after="40"/>
              <w:ind w:left="100" w:right="100"/>
            </w:pPr>
            <w:r>
              <w:rPr>
                <w:rFonts w:eastAsia="Century Gothic" w:cs="Century Gothic"/>
                <w:color w:val="000000"/>
                <w:sz w:val="18"/>
                <w:szCs w:val="18"/>
              </w:rPr>
              <w:t>Other</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705EE1" w14:textId="77777777" w:rsidR="001C19F3" w:rsidRDefault="001C19F3" w:rsidP="00521305">
            <w:pPr>
              <w:spacing w:before="40" w:after="40"/>
              <w:ind w:left="100" w:right="100"/>
              <w:jc w:val="right"/>
            </w:pPr>
            <w:r>
              <w:rPr>
                <w:rFonts w:eastAsia="Century Gothic" w:cs="Century Gothic"/>
                <w:color w:val="000000"/>
                <w:sz w:val="18"/>
                <w:szCs w:val="18"/>
              </w:rPr>
              <w:t>5 (5.4%)</w:t>
            </w:r>
          </w:p>
        </w:tc>
      </w:tr>
      <w:tr w:rsidR="001C19F3" w14:paraId="17E22F19" w14:textId="77777777" w:rsidTr="00521305">
        <w:trPr>
          <w:cantSplit/>
          <w:jc w:val="center"/>
        </w:trPr>
        <w:tc>
          <w:tcPr>
            <w:tcW w:w="42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D7278E" w14:textId="77777777" w:rsidR="001C19F3" w:rsidRDefault="001C19F3" w:rsidP="00521305">
            <w:pPr>
              <w:spacing w:before="40" w:after="40"/>
              <w:ind w:left="100" w:right="100"/>
            </w:pPr>
            <w:r>
              <w:rPr>
                <w:rFonts w:eastAsia="Century Gothic" w:cs="Century Gothic"/>
                <w:color w:val="000000"/>
                <w:sz w:val="18"/>
                <w:szCs w:val="18"/>
              </w:rPr>
              <w:t>Don't know/ no response</w:t>
            </w:r>
          </w:p>
        </w:tc>
        <w:tc>
          <w:tcPr>
            <w:tcW w:w="75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15581D" w14:textId="77777777" w:rsidR="001C19F3" w:rsidRDefault="001C19F3" w:rsidP="00521305">
            <w:pPr>
              <w:spacing w:before="40" w:after="40"/>
              <w:ind w:left="100" w:right="100"/>
              <w:jc w:val="right"/>
            </w:pPr>
            <w:r>
              <w:rPr>
                <w:rFonts w:eastAsia="Century Gothic" w:cs="Century Gothic"/>
                <w:color w:val="000000"/>
                <w:sz w:val="18"/>
                <w:szCs w:val="18"/>
              </w:rPr>
              <w:t>3 (3.3%)</w:t>
            </w:r>
          </w:p>
        </w:tc>
      </w:tr>
    </w:tbl>
    <w:p w14:paraId="5B358E66" w14:textId="77777777" w:rsidR="001C19F3" w:rsidRDefault="001C19F3" w:rsidP="001C19F3">
      <w:pPr>
        <w:pStyle w:val="Chartortablefootnote"/>
      </w:pPr>
      <w:r>
        <w:t>Source: Practice survey R2, Nov 2018-Mar 2019, question 18.</w:t>
      </w:r>
    </w:p>
    <w:p w14:paraId="30A4C15D" w14:textId="77777777" w:rsidR="001C19F3" w:rsidRDefault="001C19F3" w:rsidP="001C19F3">
      <w:pPr>
        <w:rPr>
          <w:rFonts w:eastAsia="Times New Roman"/>
          <w:iCs/>
          <w:szCs w:val="20"/>
        </w:rPr>
      </w:pPr>
      <w:r>
        <w:rPr>
          <w:rFonts w:eastAsia="Times New Roman"/>
          <w:iCs/>
          <w:szCs w:val="20"/>
        </w:rPr>
        <w:t>Practices raised issues around allied health professionals, hospitals, and external providers accessing their shared care platform and additional fees for external users. Staff predicted there would be ongoing issues around interoperability and exchanging information between providers due to competition and the use of multiple shared care platforms on the market:</w:t>
      </w:r>
    </w:p>
    <w:p w14:paraId="3B9ACC40" w14:textId="77777777" w:rsidR="001C19F3" w:rsidRDefault="001C19F3" w:rsidP="001C19F3">
      <w:pPr>
        <w:ind w:left="567" w:right="1088"/>
        <w:rPr>
          <w:rFonts w:eastAsiaTheme="minorHAnsi" w:cs="Arial"/>
          <w:color w:val="000000"/>
          <w:szCs w:val="20"/>
          <w:lang w:val="en-GB"/>
        </w:rPr>
      </w:pPr>
      <w:r>
        <w:rPr>
          <w:rFonts w:cs="Arial"/>
          <w:i/>
          <w:color w:val="000000"/>
          <w:szCs w:val="20"/>
          <w:lang w:val="en-GB"/>
        </w:rPr>
        <w:t>“It’s unreasonable to expect them to use however many different programs, and the paper one for all the people that aren’t part of Health Care Homes…it doesn’t cost them anything to open it up. But, if they want to put notes in and use it like that, I think it does.”</w:t>
      </w:r>
      <w:r>
        <w:rPr>
          <w:rFonts w:cs="Arial"/>
          <w:color w:val="000000"/>
          <w:szCs w:val="20"/>
          <w:lang w:val="en-GB"/>
        </w:rPr>
        <w:t xml:space="preserve"> [Practice nurse, Practice 1, interview, R2]</w:t>
      </w:r>
    </w:p>
    <w:p w14:paraId="3C9A8752" w14:textId="77777777" w:rsidR="001C19F3" w:rsidRDefault="001C19F3" w:rsidP="001C19F3">
      <w:pPr>
        <w:ind w:left="567" w:right="1088"/>
        <w:rPr>
          <w:rFonts w:eastAsia="Times New Roman"/>
          <w:iCs/>
          <w:szCs w:val="20"/>
        </w:rPr>
      </w:pPr>
      <w:r>
        <w:rPr>
          <w:rFonts w:eastAsia="Times New Roman"/>
          <w:i/>
          <w:iCs/>
          <w:szCs w:val="20"/>
        </w:rPr>
        <w:t>“I really think that it’s going to be difficult to actually tie the specialists into the shared care planning products because they're going to say: No, look, I'm using this one. I'm not going to go and open up another one. This is my process that's going on.”</w:t>
      </w:r>
      <w:r>
        <w:rPr>
          <w:rFonts w:eastAsia="Times New Roman"/>
          <w:iCs/>
          <w:szCs w:val="20"/>
        </w:rPr>
        <w:t xml:space="preserve"> [GP, Practice 12, interview, R2]</w:t>
      </w:r>
    </w:p>
    <w:p w14:paraId="0F4626FD" w14:textId="77777777" w:rsidR="001C19F3" w:rsidRDefault="001C19F3" w:rsidP="001C19F3">
      <w:pPr>
        <w:spacing w:after="160" w:line="259" w:lineRule="auto"/>
        <w:rPr>
          <w:rFonts w:eastAsia="Times New Roman"/>
          <w:iCs/>
          <w:szCs w:val="20"/>
        </w:rPr>
      </w:pPr>
      <w:r>
        <w:rPr>
          <w:rFonts w:eastAsia="Times New Roman"/>
          <w:iCs/>
          <w:szCs w:val="20"/>
        </w:rPr>
        <w:br w:type="page"/>
      </w:r>
    </w:p>
    <w:p w14:paraId="1152755B" w14:textId="77777777" w:rsidR="001C19F3" w:rsidRDefault="001C19F3" w:rsidP="001C19F3">
      <w:pPr>
        <w:rPr>
          <w:rFonts w:eastAsia="Times New Roman"/>
          <w:iCs/>
          <w:szCs w:val="20"/>
        </w:rPr>
      </w:pPr>
      <w:r>
        <w:rPr>
          <w:rFonts w:eastAsia="Times New Roman"/>
          <w:iCs/>
          <w:szCs w:val="20"/>
        </w:rPr>
        <w:lastRenderedPageBreak/>
        <w:t>During the time of the interviews, practices reported varying levels of coordination with external providers via shared care platforms. Some practices had trouble with outside health professionals accessing the platform or were generally unsure whether they were using the software:</w:t>
      </w:r>
    </w:p>
    <w:p w14:paraId="236CD570" w14:textId="77777777" w:rsidR="001C19F3" w:rsidRDefault="001C19F3" w:rsidP="001C19F3">
      <w:pPr>
        <w:ind w:left="567" w:right="1088"/>
        <w:rPr>
          <w:rFonts w:eastAsia="Times New Roman"/>
          <w:iCs/>
          <w:szCs w:val="20"/>
        </w:rPr>
      </w:pPr>
      <w:r>
        <w:rPr>
          <w:rFonts w:eastAsia="Times New Roman"/>
          <w:i/>
          <w:iCs/>
          <w:szCs w:val="20"/>
        </w:rPr>
        <w:t xml:space="preserve">“As far as I know, with </w:t>
      </w:r>
      <w:r>
        <w:rPr>
          <w:rFonts w:eastAsia="Times New Roman"/>
          <w:iCs/>
          <w:szCs w:val="20"/>
        </w:rPr>
        <w:t>[the new shared care planning tool]</w:t>
      </w:r>
      <w:r>
        <w:rPr>
          <w:rFonts w:eastAsia="Times New Roman"/>
          <w:i/>
          <w:iCs/>
          <w:szCs w:val="20"/>
        </w:rPr>
        <w:t xml:space="preserve">…the people who </w:t>
      </w:r>
      <w:r w:rsidRPr="0077202A">
        <w:rPr>
          <w:rFonts w:eastAsia="Times New Roman"/>
          <w:iCs/>
          <w:szCs w:val="20"/>
        </w:rPr>
        <w:t>[we]</w:t>
      </w:r>
      <w:r>
        <w:rPr>
          <w:rFonts w:eastAsia="Times New Roman"/>
          <w:i/>
          <w:iCs/>
          <w:szCs w:val="20"/>
        </w:rPr>
        <w:t xml:space="preserve"> put in as part of their shared care </w:t>
      </w:r>
      <w:r w:rsidRPr="0077202A">
        <w:rPr>
          <w:rFonts w:eastAsia="Times New Roman"/>
          <w:iCs/>
          <w:szCs w:val="20"/>
        </w:rPr>
        <w:t>[plan]</w:t>
      </w:r>
      <w:r>
        <w:rPr>
          <w:rFonts w:eastAsia="Times New Roman"/>
          <w:i/>
          <w:iCs/>
          <w:szCs w:val="20"/>
        </w:rPr>
        <w:t xml:space="preserve"> will receive an email that that patient has a care plan and then they can access their care plan. But I’ve never really had anyone come up to me and be like, great care plan </w:t>
      </w:r>
      <w:r w:rsidRPr="0077202A">
        <w:rPr>
          <w:rFonts w:eastAsia="Times New Roman"/>
          <w:iCs/>
          <w:szCs w:val="20"/>
        </w:rPr>
        <w:t>[nurse]</w:t>
      </w:r>
      <w:r>
        <w:rPr>
          <w:rFonts w:eastAsia="Times New Roman"/>
          <w:i/>
          <w:iCs/>
          <w:szCs w:val="20"/>
        </w:rPr>
        <w:t xml:space="preserve">, and I read that stuff about </w:t>
      </w:r>
      <w:r w:rsidRPr="0077202A">
        <w:rPr>
          <w:rFonts w:eastAsia="Times New Roman"/>
          <w:iCs/>
          <w:szCs w:val="20"/>
        </w:rPr>
        <w:t>[that patient]</w:t>
      </w:r>
      <w:r>
        <w:rPr>
          <w:rFonts w:eastAsia="Times New Roman"/>
          <w:i/>
          <w:iCs/>
          <w:szCs w:val="20"/>
        </w:rPr>
        <w:t xml:space="preserve"> or whatever. So, yes, I don't know.”</w:t>
      </w:r>
      <w:r>
        <w:rPr>
          <w:rFonts w:eastAsia="Times New Roman"/>
          <w:iCs/>
          <w:szCs w:val="20"/>
        </w:rPr>
        <w:t xml:space="preserve"> Practice nurse, Practice 10, interview, R2]</w:t>
      </w:r>
    </w:p>
    <w:p w14:paraId="2144F811" w14:textId="77777777" w:rsidR="001C19F3" w:rsidRPr="009B34EC" w:rsidRDefault="001C19F3" w:rsidP="001C19F3">
      <w:pPr>
        <w:ind w:left="567" w:right="1088"/>
        <w:rPr>
          <w:rFonts w:eastAsia="Times New Roman"/>
          <w:iCs/>
          <w:szCs w:val="20"/>
        </w:rPr>
      </w:pPr>
      <w:r>
        <w:rPr>
          <w:rFonts w:eastAsia="Times New Roman"/>
          <w:i/>
          <w:iCs/>
          <w:szCs w:val="20"/>
        </w:rPr>
        <w:t>“…those care providers aren’t coming in, there was no one coming back and say</w:t>
      </w:r>
      <w:r w:rsidRPr="0077202A">
        <w:rPr>
          <w:rFonts w:eastAsia="Times New Roman"/>
          <w:iCs/>
          <w:szCs w:val="20"/>
        </w:rPr>
        <w:t>[ing]</w:t>
      </w:r>
      <w:r>
        <w:rPr>
          <w:rFonts w:eastAsia="Times New Roman"/>
          <w:i/>
          <w:iCs/>
          <w:szCs w:val="20"/>
        </w:rPr>
        <w:t xml:space="preserve">, we’re going to add in this, or, here’s a contribution to it.” </w:t>
      </w:r>
      <w:r w:rsidRPr="009B34EC">
        <w:rPr>
          <w:rFonts w:eastAsia="Times New Roman"/>
          <w:iCs/>
          <w:szCs w:val="20"/>
        </w:rPr>
        <w:t xml:space="preserve">[GP, Practice 7, </w:t>
      </w:r>
      <w:r>
        <w:rPr>
          <w:rFonts w:eastAsia="Times New Roman"/>
          <w:iCs/>
          <w:szCs w:val="20"/>
        </w:rPr>
        <w:t>interview, R2]</w:t>
      </w:r>
    </w:p>
    <w:p w14:paraId="6DED5780" w14:textId="77777777" w:rsidR="001C19F3" w:rsidRDefault="001C19F3" w:rsidP="001C19F3">
      <w:pPr>
        <w:rPr>
          <w:rFonts w:eastAsia="Times New Roman"/>
          <w:iCs/>
          <w:szCs w:val="20"/>
        </w:rPr>
      </w:pPr>
      <w:r>
        <w:rPr>
          <w:rFonts w:eastAsia="Times New Roman"/>
          <w:iCs/>
          <w:szCs w:val="20"/>
        </w:rPr>
        <w:t>These problems have led some practices to continue to communicate with providers by phone, mail, or fax:</w:t>
      </w:r>
    </w:p>
    <w:p w14:paraId="4542B399" w14:textId="77777777" w:rsidR="001C19F3" w:rsidRDefault="001C19F3" w:rsidP="001C19F3">
      <w:pPr>
        <w:ind w:left="567" w:right="1088"/>
        <w:rPr>
          <w:rFonts w:eastAsia="Times New Roman"/>
          <w:iCs/>
          <w:szCs w:val="20"/>
        </w:rPr>
      </w:pPr>
      <w:r>
        <w:rPr>
          <w:rFonts w:cs="Arial"/>
          <w:i/>
          <w:szCs w:val="20"/>
          <w:lang w:val="en-GB"/>
        </w:rPr>
        <w:t>“We haven't found a smooth way of doing that electronically through this, just yet…</w:t>
      </w:r>
      <w:r>
        <w:rPr>
          <w:rFonts w:eastAsia="Times New Roman"/>
          <w:i/>
          <w:iCs/>
          <w:szCs w:val="20"/>
        </w:rPr>
        <w:t xml:space="preserve">we’re still doing referrals the old care plan way.” </w:t>
      </w:r>
      <w:r>
        <w:rPr>
          <w:rFonts w:eastAsia="Times New Roman"/>
          <w:iCs/>
          <w:szCs w:val="20"/>
        </w:rPr>
        <w:t>[GP, Practice 9, interview, R2]</w:t>
      </w:r>
    </w:p>
    <w:p w14:paraId="2AF0D637" w14:textId="77777777" w:rsidR="001C19F3" w:rsidRDefault="001C19F3" w:rsidP="001C19F3">
      <w:pPr>
        <w:ind w:left="567" w:right="1088"/>
        <w:rPr>
          <w:rFonts w:eastAsiaTheme="minorHAnsi" w:cs="Arial"/>
          <w:szCs w:val="20"/>
          <w:lang w:val="en-GB"/>
        </w:rPr>
      </w:pPr>
      <w:r>
        <w:rPr>
          <w:rFonts w:cs="Arial"/>
          <w:i/>
          <w:szCs w:val="20"/>
          <w:lang w:val="en-GB"/>
        </w:rPr>
        <w:t xml:space="preserve">“If you put your care plan not on paper but on </w:t>
      </w:r>
      <w:r>
        <w:rPr>
          <w:rFonts w:eastAsia="Times New Roman"/>
          <w:iCs/>
          <w:szCs w:val="20"/>
        </w:rPr>
        <w:t>[the new shared care planning tool]</w:t>
      </w:r>
      <w:r>
        <w:rPr>
          <w:rFonts w:cs="Arial"/>
          <w:i/>
          <w:szCs w:val="20"/>
          <w:lang w:val="en-GB"/>
        </w:rPr>
        <w:t xml:space="preserve"> or other online portal it would be no different in practice – that's what we’re doing, but paper-wise…we’ll get letters back from physios, but traditionally even if you just put diabetics on a care plan, they’ll come back with the physio and their </w:t>
      </w:r>
      <w:r w:rsidRPr="0077202A">
        <w:rPr>
          <w:rFonts w:cs="Arial"/>
          <w:szCs w:val="20"/>
          <w:lang w:val="en-GB"/>
        </w:rPr>
        <w:t>[letter]</w:t>
      </w:r>
      <w:r>
        <w:rPr>
          <w:rFonts w:cs="Arial"/>
          <w:i/>
          <w:szCs w:val="20"/>
          <w:lang w:val="en-GB"/>
        </w:rPr>
        <w:t xml:space="preserve">. We’re already doing that, but just in a paper way.” </w:t>
      </w:r>
      <w:r>
        <w:rPr>
          <w:rFonts w:cs="Arial"/>
          <w:szCs w:val="20"/>
          <w:lang w:val="en-GB"/>
        </w:rPr>
        <w:t>[GP, Practice 4, interview, R2]</w:t>
      </w:r>
    </w:p>
    <w:p w14:paraId="7456C974" w14:textId="77777777" w:rsidR="001C19F3" w:rsidRDefault="001C19F3" w:rsidP="001C19F3">
      <w:pPr>
        <w:rPr>
          <w:rFonts w:eastAsia="Times New Roman"/>
          <w:iCs/>
          <w:szCs w:val="20"/>
        </w:rPr>
      </w:pPr>
      <w:r>
        <w:rPr>
          <w:rFonts w:eastAsia="Times New Roman"/>
          <w:iCs/>
          <w:szCs w:val="20"/>
        </w:rPr>
        <w:t>Other practices reported that, despite an initial adjustment period, external providers are starting to communicate with them through the software platform:</w:t>
      </w:r>
    </w:p>
    <w:p w14:paraId="407B604D" w14:textId="77777777" w:rsidR="001C19F3" w:rsidRDefault="001C19F3" w:rsidP="001C19F3">
      <w:pPr>
        <w:ind w:left="567" w:right="1088"/>
        <w:rPr>
          <w:rFonts w:eastAsia="Times New Roman"/>
          <w:iCs/>
          <w:szCs w:val="20"/>
        </w:rPr>
      </w:pPr>
      <w:r>
        <w:rPr>
          <w:rFonts w:eastAsia="Times New Roman"/>
          <w:i/>
          <w:iCs/>
          <w:szCs w:val="20"/>
        </w:rPr>
        <w:t>“Once they catch up with how this is supposed to work and they get into the swing of it. The couple of Allied Health people that have now received quite a few referrals along those lines from us, they're into a good routine and things are flowing smoothly.”</w:t>
      </w:r>
      <w:r>
        <w:rPr>
          <w:rFonts w:eastAsia="Times New Roman"/>
          <w:iCs/>
          <w:szCs w:val="20"/>
        </w:rPr>
        <w:t xml:space="preserve"> [GP, Practice 9, interview, R2]</w:t>
      </w:r>
    </w:p>
    <w:p w14:paraId="582A38DF" w14:textId="77777777" w:rsidR="001C19F3" w:rsidRDefault="001C19F3" w:rsidP="001C19F3">
      <w:pPr>
        <w:ind w:left="567" w:right="1088"/>
        <w:rPr>
          <w:rFonts w:eastAsia="Times New Roman"/>
          <w:iCs/>
          <w:szCs w:val="20"/>
        </w:rPr>
      </w:pPr>
      <w:r>
        <w:rPr>
          <w:rFonts w:eastAsia="Times New Roman"/>
          <w:i/>
          <w:iCs/>
          <w:szCs w:val="20"/>
        </w:rPr>
        <w:t xml:space="preserve">“Yes, we’re getting stuff back…We don’t get emails, I think we get faxes usually. But sometimes they just accept it in the </w:t>
      </w:r>
      <w:r>
        <w:rPr>
          <w:rFonts w:eastAsia="Times New Roman"/>
          <w:iCs/>
          <w:szCs w:val="20"/>
        </w:rPr>
        <w:t>[shared care planning tool]</w:t>
      </w:r>
      <w:r>
        <w:rPr>
          <w:rFonts w:eastAsia="Times New Roman"/>
          <w:i/>
          <w:iCs/>
          <w:szCs w:val="20"/>
        </w:rPr>
        <w:t xml:space="preserve"> that they’ll do the deeds for us that we need, and then we don’t get an email. I can’t remember getting emails, unless admin gets them.” </w:t>
      </w:r>
      <w:r>
        <w:rPr>
          <w:rFonts w:eastAsia="Times New Roman"/>
          <w:iCs/>
          <w:szCs w:val="20"/>
        </w:rPr>
        <w:t>[Practice manager, Practice 16, interview, R2]</w:t>
      </w:r>
    </w:p>
    <w:p w14:paraId="66D4A71D" w14:textId="77777777" w:rsidR="001C19F3" w:rsidRDefault="001C19F3" w:rsidP="001C19F3">
      <w:pPr>
        <w:ind w:left="567" w:right="1088"/>
        <w:rPr>
          <w:rFonts w:eastAsia="Times New Roman"/>
          <w:iCs/>
          <w:szCs w:val="20"/>
        </w:rPr>
      </w:pPr>
      <w:r>
        <w:rPr>
          <w:rFonts w:eastAsia="Times New Roman"/>
          <w:i/>
          <w:iCs/>
          <w:szCs w:val="20"/>
        </w:rPr>
        <w:t xml:space="preserve">“...I did have to ring quite a few of them here and in the other </w:t>
      </w:r>
      <w:r w:rsidRPr="009B75E1">
        <w:rPr>
          <w:rFonts w:eastAsia="Times New Roman"/>
          <w:iCs/>
          <w:szCs w:val="20"/>
        </w:rPr>
        <w:t>[practice]</w:t>
      </w:r>
      <w:r>
        <w:rPr>
          <w:rFonts w:eastAsia="Times New Roman"/>
          <w:i/>
          <w:iCs/>
          <w:szCs w:val="20"/>
        </w:rPr>
        <w:t xml:space="preserve"> just to…Can you check in your emails please, for the </w:t>
      </w:r>
      <w:r>
        <w:rPr>
          <w:rFonts w:eastAsia="Times New Roman"/>
          <w:iCs/>
          <w:szCs w:val="20"/>
        </w:rPr>
        <w:t>[shared care plan notification]</w:t>
      </w:r>
      <w:r>
        <w:rPr>
          <w:rFonts w:eastAsia="Times New Roman"/>
          <w:i/>
          <w:iCs/>
          <w:szCs w:val="20"/>
        </w:rPr>
        <w:t>, because we have done the referral? This is the way we have to do it and try and explain the program. And once I explained it, that was fine. They were quite happy to use it, but it’s just one more thing for them to think about as well.”</w:t>
      </w:r>
      <w:r>
        <w:rPr>
          <w:rFonts w:eastAsia="Times New Roman"/>
          <w:iCs/>
          <w:szCs w:val="20"/>
        </w:rPr>
        <w:t xml:space="preserve"> [Practice nurse, Practice 1, interview, R2]</w:t>
      </w:r>
    </w:p>
    <w:p w14:paraId="071BF727" w14:textId="77777777" w:rsidR="001C19F3" w:rsidRDefault="001C19F3" w:rsidP="001C19F3">
      <w:pPr>
        <w:rPr>
          <w:rFonts w:eastAsia="Times New Roman"/>
          <w:iCs/>
          <w:szCs w:val="20"/>
        </w:rPr>
      </w:pPr>
      <w:r>
        <w:rPr>
          <w:rFonts w:eastAsia="Times New Roman"/>
          <w:iCs/>
          <w:szCs w:val="20"/>
        </w:rPr>
        <w:lastRenderedPageBreak/>
        <w:t>Despite some movement towards electronic communication between providers, many practices stated that the process of creating care plans for their HCH patients is largely the same as before. This includes how they create the care plan with the patient, the information that they input, and the way patients access the plan:</w:t>
      </w:r>
    </w:p>
    <w:p w14:paraId="56E5510F" w14:textId="77777777" w:rsidR="001C19F3" w:rsidRDefault="001C19F3" w:rsidP="001C19F3">
      <w:pPr>
        <w:ind w:left="567" w:right="1088"/>
        <w:rPr>
          <w:rFonts w:eastAsia="Times New Roman"/>
          <w:iCs/>
          <w:szCs w:val="20"/>
        </w:rPr>
      </w:pPr>
      <w:r>
        <w:rPr>
          <w:rFonts w:eastAsia="Times New Roman"/>
          <w:i/>
          <w:iCs/>
          <w:szCs w:val="20"/>
        </w:rPr>
        <w:t>“…it’s really not that much different than what we were already doing with the care planning part.”</w:t>
      </w:r>
      <w:r>
        <w:rPr>
          <w:rFonts w:eastAsia="Times New Roman"/>
          <w:iCs/>
          <w:szCs w:val="20"/>
        </w:rPr>
        <w:t xml:space="preserve"> [Practice nurse, Practice 6, interview, R2]</w:t>
      </w:r>
    </w:p>
    <w:p w14:paraId="366387A3" w14:textId="77777777" w:rsidR="001C19F3" w:rsidRDefault="001C19F3" w:rsidP="001C19F3">
      <w:pPr>
        <w:ind w:left="567" w:right="1088"/>
        <w:rPr>
          <w:rFonts w:eastAsia="Times New Roman"/>
          <w:iCs/>
          <w:szCs w:val="20"/>
        </w:rPr>
      </w:pPr>
      <w:r>
        <w:rPr>
          <w:rFonts w:eastAsia="Times New Roman"/>
          <w:i/>
          <w:iCs/>
          <w:szCs w:val="20"/>
        </w:rPr>
        <w:t>“we’ve sort of been often doing care plans how we used to do them.”</w:t>
      </w:r>
      <w:r>
        <w:rPr>
          <w:rFonts w:eastAsia="Times New Roman"/>
          <w:iCs/>
          <w:szCs w:val="20"/>
        </w:rPr>
        <w:t xml:space="preserve"> [Practice nurse, Practice 10, interview, R2]</w:t>
      </w:r>
    </w:p>
    <w:p w14:paraId="2357543B" w14:textId="77777777" w:rsidR="001C19F3" w:rsidRDefault="001C19F3" w:rsidP="001C19F3">
      <w:pPr>
        <w:rPr>
          <w:rFonts w:eastAsia="Times New Roman"/>
          <w:iCs/>
          <w:szCs w:val="20"/>
        </w:rPr>
      </w:pPr>
      <w:r>
        <w:rPr>
          <w:rFonts w:eastAsia="Times New Roman"/>
          <w:iCs/>
          <w:szCs w:val="20"/>
        </w:rPr>
        <w:t>Multiple practices reported providing patients with a paper-based copy of their care plan. Often this was due to consumer preference and ease, reflecting the age of the target population and concerns around patient security:</w:t>
      </w:r>
    </w:p>
    <w:p w14:paraId="68471101" w14:textId="77777777" w:rsidR="001C19F3" w:rsidRDefault="001C19F3" w:rsidP="001C19F3">
      <w:pPr>
        <w:ind w:left="567" w:right="1088"/>
        <w:rPr>
          <w:rFonts w:eastAsia="Times New Roman"/>
          <w:iCs/>
          <w:szCs w:val="20"/>
        </w:rPr>
      </w:pPr>
      <w:r>
        <w:rPr>
          <w:rFonts w:eastAsia="Times New Roman"/>
          <w:i/>
          <w:iCs/>
          <w:szCs w:val="20"/>
        </w:rPr>
        <w:t>“</w:t>
      </w:r>
      <w:r>
        <w:rPr>
          <w:rFonts w:cs="Arial"/>
          <w:i/>
          <w:szCs w:val="20"/>
          <w:lang w:val="en-GB"/>
        </w:rPr>
        <w:t>The patient having it in their hand, they feel a lot more secure with that</w:t>
      </w:r>
      <w:r>
        <w:rPr>
          <w:rFonts w:ascii="Arial" w:hAnsi="Arial" w:cs="Arial"/>
          <w:i/>
          <w:lang w:val="en-GB"/>
        </w:rPr>
        <w:t xml:space="preserve">, </w:t>
      </w:r>
      <w:r>
        <w:rPr>
          <w:rFonts w:eastAsia="Times New Roman"/>
          <w:i/>
          <w:iCs/>
          <w:szCs w:val="20"/>
        </w:rPr>
        <w:t>a lot of the patients aren’t of my generation, they are of 60 plus. Having a login to a health system and understanding that, and where to access it, they just won’t. That’s where it's a nice idea in theory, but we’re probably about 15 years too early for implementing it.”</w:t>
      </w:r>
      <w:r>
        <w:rPr>
          <w:rFonts w:eastAsia="Times New Roman"/>
          <w:iCs/>
          <w:szCs w:val="20"/>
        </w:rPr>
        <w:t xml:space="preserve"> [GP, Practice 7, interview, R2]</w:t>
      </w:r>
    </w:p>
    <w:p w14:paraId="09644EB3" w14:textId="77777777" w:rsidR="001C19F3" w:rsidRDefault="001C19F3" w:rsidP="001C19F3">
      <w:pPr>
        <w:ind w:left="567" w:right="1088"/>
        <w:rPr>
          <w:rFonts w:eastAsia="Times New Roman"/>
          <w:iCs/>
          <w:szCs w:val="20"/>
        </w:rPr>
      </w:pPr>
      <w:r>
        <w:rPr>
          <w:rFonts w:eastAsia="Times New Roman"/>
          <w:i/>
          <w:iCs/>
          <w:szCs w:val="20"/>
        </w:rPr>
        <w:t>“the issue with patients has been around the use of digital health, that’s probably been another barrier in the questions they ask is oh, so who’s going to be able to see this information? Those are probably the two main barriers to engage with them. In getting Health Care Homes up and running.”</w:t>
      </w:r>
      <w:r>
        <w:rPr>
          <w:rFonts w:eastAsia="Times New Roman"/>
          <w:iCs/>
          <w:szCs w:val="20"/>
        </w:rPr>
        <w:t xml:space="preserve"> [Clinical pharmacist, Practice 11, interview, R2]</w:t>
      </w:r>
    </w:p>
    <w:p w14:paraId="682BDBC0" w14:textId="77777777" w:rsidR="001C19F3" w:rsidRDefault="001C19F3" w:rsidP="001C19F3">
      <w:pPr>
        <w:rPr>
          <w:rFonts w:eastAsia="Times New Roman"/>
          <w:iCs/>
          <w:szCs w:val="20"/>
        </w:rPr>
      </w:pPr>
      <w:r>
        <w:rPr>
          <w:rFonts w:eastAsia="Times New Roman"/>
          <w:iCs/>
          <w:szCs w:val="20"/>
        </w:rPr>
        <w:t>A few practices stated that their more ‘tech savvy’ patients were accessing their care plans through the user interface of their shared care planning tool, but this represented a minority of patients:</w:t>
      </w:r>
    </w:p>
    <w:p w14:paraId="759A53D3" w14:textId="77777777" w:rsidR="001C19F3" w:rsidRDefault="001C19F3" w:rsidP="001C19F3">
      <w:pPr>
        <w:ind w:left="567" w:right="1088"/>
        <w:rPr>
          <w:rFonts w:eastAsia="Times New Roman"/>
          <w:iCs/>
          <w:szCs w:val="20"/>
        </w:rPr>
      </w:pPr>
      <w:r>
        <w:rPr>
          <w:rFonts w:eastAsia="Times New Roman"/>
          <w:i/>
          <w:iCs/>
          <w:szCs w:val="20"/>
        </w:rPr>
        <w:t xml:space="preserve">“I'd say there's probably two, maybe three patients who, separate to the My Health Record, which they're familiar with anyway, have enjoyed using the </w:t>
      </w:r>
      <w:r>
        <w:rPr>
          <w:rFonts w:eastAsia="Times New Roman"/>
          <w:iCs/>
          <w:szCs w:val="20"/>
        </w:rPr>
        <w:t>[shared care planning tool]</w:t>
      </w:r>
      <w:r>
        <w:rPr>
          <w:rFonts w:eastAsia="Times New Roman"/>
          <w:i/>
          <w:iCs/>
          <w:szCs w:val="20"/>
        </w:rPr>
        <w:t xml:space="preserve"> patient portal, one of whom uploads quite actively a fair bit of enough, blood pressures and sugars and so on.”</w:t>
      </w:r>
      <w:r>
        <w:rPr>
          <w:rFonts w:eastAsia="Times New Roman"/>
          <w:iCs/>
          <w:szCs w:val="20"/>
        </w:rPr>
        <w:t xml:space="preserve"> [GP, Practice 9, interview, R2]</w:t>
      </w:r>
    </w:p>
    <w:p w14:paraId="3C8EC841" w14:textId="77777777" w:rsidR="001C19F3" w:rsidRDefault="001C19F3" w:rsidP="001C19F3">
      <w:pPr>
        <w:ind w:left="567" w:right="1088"/>
        <w:rPr>
          <w:rFonts w:eastAsia="Times New Roman"/>
          <w:iCs/>
          <w:szCs w:val="20"/>
        </w:rPr>
      </w:pPr>
      <w:r>
        <w:rPr>
          <w:rFonts w:eastAsia="Times New Roman"/>
          <w:i/>
          <w:iCs/>
          <w:szCs w:val="20"/>
        </w:rPr>
        <w:t>“…he puts in his own glucose results every day, and his own blood pressure, and things like that. So the ones that are really keen and hands on, they’re getting in there with their logon…But some have no understanding, they’re not IT savvy and they go, why am I getting a message to log in to something? What is that? I don’t know.”</w:t>
      </w:r>
      <w:r>
        <w:rPr>
          <w:rFonts w:eastAsia="Times New Roman"/>
          <w:iCs/>
          <w:szCs w:val="20"/>
        </w:rPr>
        <w:t xml:space="preserve"> [Practice manager, Practice 16, interview, R2]</w:t>
      </w:r>
    </w:p>
    <w:p w14:paraId="4CA5302B" w14:textId="77777777" w:rsidR="001C19F3" w:rsidRDefault="001C19F3" w:rsidP="001C19F3">
      <w:pPr>
        <w:rPr>
          <w:rFonts w:eastAsia="Times New Roman"/>
          <w:iCs/>
          <w:szCs w:val="20"/>
        </w:rPr>
      </w:pPr>
      <w:r>
        <w:rPr>
          <w:rFonts w:eastAsia="Times New Roman"/>
          <w:iCs/>
          <w:szCs w:val="20"/>
        </w:rPr>
        <w:t>Other patients were more comfortable with paper-based methods or the phone as they were not comfortable using computers or shared care planning software:</w:t>
      </w:r>
    </w:p>
    <w:p w14:paraId="7835B131" w14:textId="77777777" w:rsidR="001C19F3" w:rsidRDefault="001C19F3" w:rsidP="001C19F3">
      <w:pPr>
        <w:ind w:left="567" w:right="1088"/>
        <w:rPr>
          <w:rFonts w:eastAsia="Times New Roman"/>
          <w:iCs/>
          <w:szCs w:val="20"/>
        </w:rPr>
      </w:pPr>
      <w:r>
        <w:rPr>
          <w:rFonts w:eastAsia="Times New Roman"/>
          <w:i/>
          <w:iCs/>
          <w:szCs w:val="20"/>
        </w:rPr>
        <w:t>“We haven’t got on the email bandwagon just yet, we are on the phone bandwagon…Email, again based on the patients that we have, I don’t know if a lot of them will actually use email...”</w:t>
      </w:r>
      <w:r>
        <w:rPr>
          <w:rFonts w:eastAsia="Times New Roman"/>
          <w:iCs/>
          <w:szCs w:val="20"/>
        </w:rPr>
        <w:t xml:space="preserve"> [Practice nurse, Practice 15, interview, R2]</w:t>
      </w:r>
    </w:p>
    <w:p w14:paraId="3EDBA142" w14:textId="77777777" w:rsidR="001C19F3" w:rsidRDefault="001C19F3" w:rsidP="001C19F3">
      <w:pPr>
        <w:rPr>
          <w:rFonts w:eastAsia="Times New Roman"/>
          <w:iCs/>
          <w:szCs w:val="20"/>
        </w:rPr>
      </w:pPr>
      <w:r>
        <w:rPr>
          <w:rFonts w:eastAsia="Times New Roman"/>
          <w:iCs/>
          <w:szCs w:val="20"/>
        </w:rPr>
        <w:lastRenderedPageBreak/>
        <w:t>To combat some of these issues, practices suggested additional education and training around shared care planning and team-based care arrangements. Some practices felt that this training should be extended beyond practices, to allied health and other providers:</w:t>
      </w:r>
    </w:p>
    <w:p w14:paraId="0AC62F94" w14:textId="77777777" w:rsidR="001C19F3" w:rsidRDefault="001C19F3" w:rsidP="001C19F3">
      <w:pPr>
        <w:ind w:left="567" w:right="1088"/>
        <w:rPr>
          <w:rFonts w:eastAsia="Times New Roman"/>
          <w:iCs/>
          <w:szCs w:val="20"/>
        </w:rPr>
      </w:pPr>
      <w:r>
        <w:rPr>
          <w:rFonts w:eastAsia="Times New Roman"/>
          <w:i/>
          <w:iCs/>
          <w:szCs w:val="20"/>
        </w:rPr>
        <w:t>“I think the education has been good for general practice and very comprehensive. I think it hasn’t been so good for the rest of the community, specialists and pharmacies and allied health people. They don’t really know what it means and what difference does it make. For the allied health people, it doesn’t really make a difference. We’ve got a care plan. We’re including them in the care plan which is what we’ve always done.”</w:t>
      </w:r>
      <w:r>
        <w:rPr>
          <w:rFonts w:eastAsia="Times New Roman"/>
          <w:iCs/>
          <w:szCs w:val="20"/>
        </w:rPr>
        <w:t xml:space="preserve"> [Practice manager, Practice 18, interview, R2]</w:t>
      </w:r>
    </w:p>
    <w:p w14:paraId="701C08FE" w14:textId="77777777" w:rsidR="001C19F3" w:rsidRDefault="001C19F3" w:rsidP="001C19F3">
      <w:pPr>
        <w:ind w:left="567" w:right="1088"/>
        <w:rPr>
          <w:rFonts w:eastAsia="Times New Roman"/>
          <w:iCs/>
          <w:szCs w:val="20"/>
        </w:rPr>
      </w:pPr>
      <w:r>
        <w:rPr>
          <w:rFonts w:eastAsia="Times New Roman"/>
          <w:i/>
          <w:iCs/>
          <w:szCs w:val="20"/>
        </w:rPr>
        <w:t>“</w:t>
      </w:r>
      <w:r w:rsidRPr="00E54CB7">
        <w:rPr>
          <w:rFonts w:eastAsia="Times New Roman"/>
          <w:iCs/>
          <w:szCs w:val="20"/>
        </w:rPr>
        <w:t>[External providers]</w:t>
      </w:r>
      <w:r>
        <w:rPr>
          <w:rFonts w:eastAsia="Times New Roman"/>
          <w:i/>
          <w:iCs/>
          <w:szCs w:val="20"/>
        </w:rPr>
        <w:t xml:space="preserve"> don't know what they're doing and particularly, I think, here like in </w:t>
      </w:r>
      <w:r w:rsidRPr="00E54CB7">
        <w:rPr>
          <w:rFonts w:eastAsia="Times New Roman"/>
          <w:iCs/>
          <w:szCs w:val="20"/>
        </w:rPr>
        <w:t>[state]</w:t>
      </w:r>
      <w:r>
        <w:rPr>
          <w:rFonts w:eastAsia="Times New Roman"/>
          <w:i/>
          <w:iCs/>
          <w:szCs w:val="20"/>
        </w:rPr>
        <w:t xml:space="preserve">…there's no real understanding of what team care arrangement was…Probably because they didn't educate us as well about it to start with.” </w:t>
      </w:r>
      <w:r>
        <w:rPr>
          <w:rFonts w:eastAsia="Times New Roman"/>
          <w:iCs/>
          <w:szCs w:val="20"/>
        </w:rPr>
        <w:t>[GP, Practice 10, interview, R2]</w:t>
      </w:r>
    </w:p>
    <w:p w14:paraId="7E91FC5E" w14:textId="77777777" w:rsidR="001C19F3" w:rsidRDefault="001C19F3" w:rsidP="001C19F3">
      <w:pPr>
        <w:ind w:left="567" w:right="1088"/>
        <w:rPr>
          <w:rFonts w:eastAsia="Times New Roman"/>
          <w:iCs/>
          <w:szCs w:val="20"/>
        </w:rPr>
      </w:pPr>
      <w:r>
        <w:rPr>
          <w:rFonts w:eastAsia="Times New Roman"/>
          <w:i/>
          <w:iCs/>
          <w:szCs w:val="20"/>
        </w:rPr>
        <w:t xml:space="preserve">“So, that’s where I found that there were certain areas where maybe I’m lacking or didn’t get enough training on it and then she spoke about </w:t>
      </w:r>
      <w:r>
        <w:rPr>
          <w:rFonts w:eastAsia="Times New Roman"/>
          <w:iCs/>
          <w:szCs w:val="20"/>
        </w:rPr>
        <w:t xml:space="preserve">[the new shared care planning tool] </w:t>
      </w:r>
      <w:r>
        <w:rPr>
          <w:rFonts w:eastAsia="Times New Roman"/>
          <w:i/>
          <w:iCs/>
          <w:szCs w:val="20"/>
        </w:rPr>
        <w:t>and where their shared care plan goes to. And, I was like, I don’t even know what you’re talking about. So, there are certain areas that are still a bit grey to me.”</w:t>
      </w:r>
      <w:r>
        <w:rPr>
          <w:rFonts w:eastAsia="Times New Roman"/>
          <w:iCs/>
          <w:szCs w:val="20"/>
        </w:rPr>
        <w:t xml:space="preserve"> [Practice nurse, Practice 3, interview, R2]</w:t>
      </w:r>
    </w:p>
    <w:p w14:paraId="418BAB58" w14:textId="77777777" w:rsidR="001C19F3" w:rsidRPr="00C1092C" w:rsidRDefault="001C19F3" w:rsidP="001C19F3">
      <w:pPr>
        <w:sectPr w:rsidR="001C19F3" w:rsidRPr="00C1092C" w:rsidSect="001C5D9E">
          <w:headerReference w:type="first" r:id="rId70"/>
          <w:pgSz w:w="11906" w:h="16838"/>
          <w:pgMar w:top="1440" w:right="1440" w:bottom="1440" w:left="1440" w:header="708" w:footer="708" w:gutter="0"/>
          <w:cols w:space="708"/>
          <w:titlePg/>
          <w:docGrid w:linePitch="360"/>
        </w:sectPr>
      </w:pPr>
    </w:p>
    <w:p w14:paraId="263918ED" w14:textId="77777777" w:rsidR="001C19F3" w:rsidRDefault="001C19F3" w:rsidP="001C19F3">
      <w:pPr>
        <w:pStyle w:val="Heading1withnumber"/>
        <w:ind w:left="0" w:hanging="1134"/>
      </w:pPr>
      <w:bookmarkStart w:id="337" w:name="_Toc27056580"/>
      <w:r>
        <w:lastRenderedPageBreak/>
        <w:t>Community pharmacy in HCH</w:t>
      </w:r>
      <w:bookmarkEnd w:id="337"/>
    </w:p>
    <w:p w14:paraId="777DFA49" w14:textId="77777777" w:rsidR="001C19F3" w:rsidRPr="00BD2228" w:rsidRDefault="001C19F3" w:rsidP="001C19F3">
      <w:r>
        <w:t xml:space="preserve">As discussed in Chapter 2, The Community Pharmacy in HCH was a component added to the HCH trial in August 2018. The initiative is auspices under </w:t>
      </w:r>
      <w:r w:rsidRPr="00BD2228">
        <w:t>the Sixth Community Pharmacy Agreement</w:t>
      </w:r>
      <w:r>
        <w:t xml:space="preserve"> and in managed by the </w:t>
      </w:r>
      <w:r>
        <w:rPr>
          <w:rFonts w:eastAsia="MS Gothic" w:cs="Arial"/>
        </w:rPr>
        <w:t xml:space="preserve">Pharmacy Guild. Under the arrangement, an HCH patient may be referred to </w:t>
      </w:r>
      <w:r w:rsidRPr="00CA39DB">
        <w:rPr>
          <w:rFonts w:cs="Arial"/>
        </w:rPr>
        <w:t xml:space="preserve">a community pharmacy of their choice. The community pharmacy </w:t>
      </w:r>
      <w:r>
        <w:rPr>
          <w:rFonts w:cs="Arial"/>
        </w:rPr>
        <w:t xml:space="preserve">can offer a range of </w:t>
      </w:r>
      <w:r w:rsidRPr="00235D88">
        <w:t>additional medication management services</w:t>
      </w:r>
      <w:r>
        <w:t xml:space="preserve">, including the development of </w:t>
      </w:r>
      <w:r w:rsidRPr="00BD2228">
        <w:t>a medication management plan (MMP)</w:t>
      </w:r>
      <w:r>
        <w:t>. The initiative intends to promote relationships between the GP practice and community pharmacies and foster teamwork and coordination between these providers. The types of additional medication services that can be offered include:</w:t>
      </w:r>
    </w:p>
    <w:p w14:paraId="36F7B995" w14:textId="77777777" w:rsidR="001C19F3" w:rsidRPr="00BD2228" w:rsidRDefault="001C19F3" w:rsidP="001C19F3">
      <w:pPr>
        <w:pStyle w:val="ListParagraph"/>
        <w:numPr>
          <w:ilvl w:val="0"/>
          <w:numId w:val="72"/>
        </w:numPr>
      </w:pPr>
      <w:r>
        <w:t>Reconciling</w:t>
      </w:r>
      <w:r w:rsidRPr="00BD2228">
        <w:t xml:space="preserve"> and assessing the patient’s medicines regimen.</w:t>
      </w:r>
    </w:p>
    <w:p w14:paraId="589754BB" w14:textId="77777777" w:rsidR="001C19F3" w:rsidRPr="00BD2228" w:rsidRDefault="001C19F3" w:rsidP="001C19F3">
      <w:pPr>
        <w:pStyle w:val="ListParagraph"/>
        <w:numPr>
          <w:ilvl w:val="0"/>
          <w:numId w:val="72"/>
        </w:numPr>
      </w:pPr>
      <w:r w:rsidRPr="00BD2228">
        <w:t>Identifying any potential medication-related issues and agreeing on medication management goals.</w:t>
      </w:r>
    </w:p>
    <w:p w14:paraId="409A6E56" w14:textId="77777777" w:rsidR="001C19F3" w:rsidRPr="00BD2228" w:rsidRDefault="001C19F3" w:rsidP="001C19F3">
      <w:pPr>
        <w:pStyle w:val="ListParagraph"/>
        <w:numPr>
          <w:ilvl w:val="0"/>
          <w:numId w:val="72"/>
        </w:numPr>
      </w:pPr>
      <w:r w:rsidRPr="00BD2228">
        <w:t xml:space="preserve">Developing </w:t>
      </w:r>
      <w:r>
        <w:t xml:space="preserve">the </w:t>
      </w:r>
      <w:r w:rsidRPr="00BD2228">
        <w:t>MMP in collaboration with the patient and their HCH.</w:t>
      </w:r>
    </w:p>
    <w:p w14:paraId="7F87C25D" w14:textId="77777777" w:rsidR="001C19F3" w:rsidRDefault="001C19F3" w:rsidP="001C19F3">
      <w:pPr>
        <w:pStyle w:val="ListParagraph"/>
        <w:numPr>
          <w:ilvl w:val="0"/>
          <w:numId w:val="72"/>
        </w:numPr>
      </w:pPr>
      <w:r w:rsidRPr="00BD2228">
        <w:t>Providing regular follow-up reviews with the patient (in consultation with the referring HCH practice).</w:t>
      </w:r>
    </w:p>
    <w:p w14:paraId="163863EC" w14:textId="77777777" w:rsidR="001C19F3" w:rsidRDefault="001C19F3" w:rsidP="001C19F3">
      <w:pPr>
        <w:pStyle w:val="ListParagraph"/>
        <w:numPr>
          <w:ilvl w:val="0"/>
          <w:numId w:val="72"/>
        </w:numPr>
      </w:pPr>
      <w:r w:rsidRPr="00BD2228">
        <w:t xml:space="preserve">Providing support services for the more complex patients, </w:t>
      </w:r>
      <w:r>
        <w:t xml:space="preserve">such as </w:t>
      </w:r>
      <w:r w:rsidRPr="00BD2228">
        <w:t>dose administration aids, blood glucose monitoring, blood pressure monitoring and asthma management plan</w:t>
      </w:r>
      <w:r>
        <w:t>ning</w:t>
      </w:r>
      <w:r w:rsidRPr="00BD2228">
        <w:t>.</w:t>
      </w:r>
    </w:p>
    <w:p w14:paraId="0C5E0B36" w14:textId="77777777" w:rsidR="001C19F3" w:rsidRDefault="001C19F3" w:rsidP="001C19F3">
      <w:pPr>
        <w:rPr>
          <w:rFonts w:cs="Arial"/>
        </w:rPr>
      </w:pPr>
      <w:r w:rsidRPr="00CA39DB">
        <w:rPr>
          <w:rFonts w:cs="Arial"/>
        </w:rPr>
        <w:t xml:space="preserve">The </w:t>
      </w:r>
      <w:r>
        <w:rPr>
          <w:rFonts w:cs="Arial"/>
        </w:rPr>
        <w:t xml:space="preserve">Pharmacy Guild is managing a data collection related to these services with community pharmacists. Data to the end of June 2019 was provided to the evaluation team. At that time the initiative was still developing. Educational sessions had been provided in the 10 PHNs in which HCH is operating, but awareness of the initiative amongst GPs and pharmacies is still growing. </w:t>
      </w:r>
    </w:p>
    <w:p w14:paraId="0EE0CC1F" w14:textId="77777777" w:rsidR="001C19F3" w:rsidRDefault="001C19F3" w:rsidP="001C19F3">
      <w:pPr>
        <w:rPr>
          <w:rFonts w:eastAsia="MS Gothic" w:cs="Arial"/>
        </w:rPr>
      </w:pPr>
      <w:r>
        <w:rPr>
          <w:rFonts w:cs="Arial"/>
        </w:rPr>
        <w:t xml:space="preserve">The data collated by the Pharmacy Guild related to </w:t>
      </w:r>
      <w:r>
        <w:rPr>
          <w:rFonts w:eastAsia="MS Gothic" w:cs="Arial"/>
        </w:rPr>
        <w:t xml:space="preserve">468 patients. The patients were referred from a small number of practices with 399 (85%) referred from seven practices. At this stage most of the patients have only had an initial review and this report concentrates on data from that review. However, 141 (30%) of the patients have had a second review. </w:t>
      </w:r>
    </w:p>
    <w:p w14:paraId="610368E6" w14:textId="77777777" w:rsidR="001C19F3" w:rsidRDefault="001C19F3" w:rsidP="001C19F3">
      <w:pPr>
        <w:rPr>
          <w:rFonts w:eastAsia="MS Gothic" w:cs="Arial"/>
        </w:rPr>
      </w:pPr>
      <w:r>
        <w:rPr>
          <w:rFonts w:eastAsia="MS Gothic" w:cs="Arial"/>
        </w:rPr>
        <w:fldChar w:fldCharType="begin"/>
      </w:r>
      <w:r>
        <w:rPr>
          <w:rFonts w:eastAsia="MS Gothic" w:cs="Arial"/>
        </w:rPr>
        <w:instrText xml:space="preserve"> REF _Ref21018715 \h  \* MERGEFORMAT </w:instrText>
      </w:r>
      <w:r>
        <w:rPr>
          <w:rFonts w:eastAsia="MS Gothic" w:cs="Arial"/>
        </w:rPr>
      </w:r>
      <w:r>
        <w:rPr>
          <w:rFonts w:eastAsia="MS Gothic" w:cs="Arial"/>
        </w:rPr>
        <w:fldChar w:fldCharType="separate"/>
      </w:r>
      <w:r w:rsidRPr="00822044">
        <w:rPr>
          <w:rFonts w:eastAsia="MS Gothic" w:cs="Arial"/>
        </w:rPr>
        <w:t>Table 48</w:t>
      </w:r>
      <w:r>
        <w:rPr>
          <w:rFonts w:eastAsia="MS Gothic" w:cs="Arial"/>
        </w:rPr>
        <w:fldChar w:fldCharType="end"/>
      </w:r>
      <w:r>
        <w:rPr>
          <w:rFonts w:eastAsia="MS Gothic" w:cs="Arial"/>
        </w:rPr>
        <w:t xml:space="preserve"> provides some basic characteristics of the 468 patients who had an initial review. 9% were in Tier 1, 50% in Tier 2, and 40% in Tier 3. The characteristics of patients were similar across tiers; 58% were female, 90% were English speaking at home, and patients scored relatively high on the MedsIndex score, a measure of medication adherence (74% scored above 80). Patients in Tier 3 were slightly younger, with 53% of patients being less than 65 years old compared with 41% in Tier 1 and 35% in Tier 2. Patients in Tier 3 were more likely to have attended hospital in the past 6 months (26% compared with 11% in Tier 1 and 9% in Tier 2). </w:t>
      </w:r>
      <w:r>
        <w:rPr>
          <w:rFonts w:eastAsia="MS Gothic" w:cs="Arial"/>
        </w:rPr>
        <w:br w:type="page"/>
      </w:r>
    </w:p>
    <w:p w14:paraId="5ADC1CC4" w14:textId="77777777" w:rsidR="001C19F3" w:rsidRPr="00F11CC5" w:rsidRDefault="001C19F3" w:rsidP="001C19F3">
      <w:pPr>
        <w:spacing w:after="0"/>
        <w:jc w:val="center"/>
        <w:rPr>
          <w:b/>
        </w:rPr>
      </w:pPr>
      <w:bookmarkStart w:id="338" w:name="_Ref21018715"/>
      <w:r w:rsidRPr="00F11CC5">
        <w:rPr>
          <w:b/>
        </w:rPr>
        <w:lastRenderedPageBreak/>
        <w:t xml:space="preserve">Table </w:t>
      </w:r>
      <w:r w:rsidRPr="00F11CC5">
        <w:rPr>
          <w:b/>
        </w:rPr>
        <w:fldChar w:fldCharType="begin"/>
      </w:r>
      <w:r w:rsidRPr="00F11CC5">
        <w:rPr>
          <w:b/>
        </w:rPr>
        <w:instrText>SEQ Table \* ARABIC</w:instrText>
      </w:r>
      <w:r w:rsidRPr="00F11CC5">
        <w:rPr>
          <w:b/>
        </w:rPr>
        <w:fldChar w:fldCharType="separate"/>
      </w:r>
      <w:r>
        <w:rPr>
          <w:b/>
          <w:noProof/>
        </w:rPr>
        <w:t>48</w:t>
      </w:r>
      <w:r w:rsidRPr="00F11CC5">
        <w:rPr>
          <w:b/>
        </w:rPr>
        <w:fldChar w:fldCharType="end"/>
      </w:r>
      <w:bookmarkEnd w:id="338"/>
      <w:r w:rsidRPr="00F11CC5">
        <w:rPr>
          <w:b/>
        </w:rPr>
        <w:t xml:space="preserve"> –</w:t>
      </w:r>
      <w:r>
        <w:rPr>
          <w:b/>
        </w:rPr>
        <w:t xml:space="preserve"> Characteristics of patients receiving an initial community pharmacy review, medication adherence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771"/>
        <w:gridCol w:w="1526"/>
        <w:gridCol w:w="1526"/>
        <w:gridCol w:w="1526"/>
        <w:gridCol w:w="1657"/>
      </w:tblGrid>
      <w:tr w:rsidR="001C19F3" w14:paraId="5DA288D5" w14:textId="77777777" w:rsidTr="00521305">
        <w:trPr>
          <w:cantSplit/>
          <w:trHeight w:val="336"/>
          <w:tblHeader/>
          <w:jc w:val="center"/>
        </w:trPr>
        <w:tc>
          <w:tcPr>
            <w:tcW w:w="1539" w:type="pct"/>
            <w:vMerge w:val="restart"/>
            <w:shd w:val="clear" w:color="auto" w:fill="003D79"/>
            <w:tcMar>
              <w:top w:w="0" w:type="dxa"/>
              <w:left w:w="0" w:type="dxa"/>
              <w:bottom w:w="0" w:type="dxa"/>
              <w:right w:w="0" w:type="dxa"/>
            </w:tcMar>
            <w:vAlign w:val="center"/>
          </w:tcPr>
          <w:p w14:paraId="4948638B" w14:textId="77777777" w:rsidR="001C19F3" w:rsidRDefault="001C19F3" w:rsidP="00521305">
            <w:pPr>
              <w:spacing w:after="0"/>
              <w:jc w:val="center"/>
            </w:pPr>
            <w:r>
              <w:rPr>
                <w:rFonts w:cs="Century Gothic"/>
                <w:b/>
                <w:color w:val="FFFFFF"/>
                <w:sz w:val="18"/>
                <w:szCs w:val="18"/>
              </w:rPr>
              <w:t>Characteristic</w:t>
            </w:r>
          </w:p>
        </w:tc>
        <w:tc>
          <w:tcPr>
            <w:tcW w:w="847" w:type="pct"/>
            <w:vMerge w:val="restart"/>
            <w:shd w:val="clear" w:color="auto" w:fill="003D79"/>
            <w:tcMar>
              <w:top w:w="0" w:type="dxa"/>
              <w:left w:w="0" w:type="dxa"/>
              <w:bottom w:w="0" w:type="dxa"/>
              <w:right w:w="0" w:type="dxa"/>
            </w:tcMar>
            <w:vAlign w:val="center"/>
          </w:tcPr>
          <w:p w14:paraId="791FAB40" w14:textId="77777777" w:rsidR="001C19F3" w:rsidRDefault="001C19F3" w:rsidP="00521305">
            <w:pPr>
              <w:spacing w:after="0"/>
              <w:jc w:val="center"/>
            </w:pPr>
            <w:r>
              <w:rPr>
                <w:rFonts w:cs="Century Gothic"/>
                <w:b/>
                <w:color w:val="FFFFFF"/>
                <w:sz w:val="18"/>
                <w:szCs w:val="18"/>
              </w:rPr>
              <w:t xml:space="preserve">Total </w:t>
            </w:r>
            <w:r>
              <w:rPr>
                <w:rFonts w:cs="Century Gothic"/>
                <w:b/>
                <w:color w:val="FFFFFF"/>
                <w:sz w:val="18"/>
                <w:szCs w:val="18"/>
              </w:rPr>
              <w:br/>
              <w:t xml:space="preserve"> (n = 468)</w:t>
            </w:r>
          </w:p>
        </w:tc>
        <w:tc>
          <w:tcPr>
            <w:tcW w:w="2615" w:type="pct"/>
            <w:gridSpan w:val="3"/>
            <w:shd w:val="clear" w:color="auto" w:fill="003D79"/>
            <w:tcMar>
              <w:top w:w="0" w:type="dxa"/>
              <w:left w:w="0" w:type="dxa"/>
              <w:bottom w:w="0" w:type="dxa"/>
              <w:right w:w="0" w:type="dxa"/>
            </w:tcMar>
            <w:vAlign w:val="center"/>
          </w:tcPr>
          <w:p w14:paraId="4EF9BBB2" w14:textId="77777777" w:rsidR="001C19F3" w:rsidRDefault="001C19F3" w:rsidP="00521305">
            <w:pPr>
              <w:spacing w:after="0"/>
              <w:jc w:val="center"/>
            </w:pPr>
            <w:r>
              <w:rPr>
                <w:rFonts w:cs="Century Gothic"/>
                <w:b/>
                <w:color w:val="FFFFFF"/>
                <w:sz w:val="18"/>
                <w:szCs w:val="18"/>
              </w:rPr>
              <w:t>HCH risk tier</w:t>
            </w:r>
          </w:p>
        </w:tc>
      </w:tr>
      <w:tr w:rsidR="001C19F3" w14:paraId="3317F9B2" w14:textId="77777777" w:rsidTr="00521305">
        <w:trPr>
          <w:cantSplit/>
          <w:trHeight w:val="336"/>
          <w:tblHeader/>
          <w:jc w:val="center"/>
        </w:trPr>
        <w:tc>
          <w:tcPr>
            <w:tcW w:w="1539" w:type="pct"/>
            <w:vMerge/>
            <w:shd w:val="clear" w:color="auto" w:fill="003D79"/>
            <w:tcMar>
              <w:top w:w="0" w:type="dxa"/>
              <w:left w:w="0" w:type="dxa"/>
              <w:bottom w:w="0" w:type="dxa"/>
              <w:right w:w="0" w:type="dxa"/>
            </w:tcMar>
            <w:vAlign w:val="center"/>
          </w:tcPr>
          <w:p w14:paraId="3F68462B" w14:textId="77777777" w:rsidR="001C19F3" w:rsidRDefault="001C19F3" w:rsidP="00521305">
            <w:pPr>
              <w:spacing w:after="0"/>
              <w:jc w:val="center"/>
            </w:pPr>
          </w:p>
        </w:tc>
        <w:tc>
          <w:tcPr>
            <w:tcW w:w="847" w:type="pct"/>
            <w:vMerge/>
            <w:shd w:val="clear" w:color="auto" w:fill="003D79"/>
            <w:tcMar>
              <w:top w:w="0" w:type="dxa"/>
              <w:left w:w="0" w:type="dxa"/>
              <w:bottom w:w="0" w:type="dxa"/>
              <w:right w:w="0" w:type="dxa"/>
            </w:tcMar>
            <w:vAlign w:val="center"/>
          </w:tcPr>
          <w:p w14:paraId="1E58C3F4" w14:textId="77777777" w:rsidR="001C19F3" w:rsidRDefault="001C19F3" w:rsidP="00521305">
            <w:pPr>
              <w:spacing w:after="0"/>
              <w:jc w:val="center"/>
            </w:pPr>
          </w:p>
        </w:tc>
        <w:tc>
          <w:tcPr>
            <w:tcW w:w="847" w:type="pct"/>
            <w:shd w:val="clear" w:color="auto" w:fill="003D79"/>
            <w:tcMar>
              <w:top w:w="0" w:type="dxa"/>
              <w:left w:w="0" w:type="dxa"/>
              <w:bottom w:w="0" w:type="dxa"/>
              <w:right w:w="0" w:type="dxa"/>
            </w:tcMar>
            <w:vAlign w:val="center"/>
          </w:tcPr>
          <w:p w14:paraId="4E62236F" w14:textId="77777777" w:rsidR="001C19F3" w:rsidRPr="00991031" w:rsidRDefault="001C19F3" w:rsidP="00521305">
            <w:pPr>
              <w:spacing w:after="0"/>
              <w:jc w:val="center"/>
              <w:rPr>
                <w:b/>
              </w:rPr>
            </w:pPr>
            <w:r w:rsidRPr="00991031">
              <w:rPr>
                <w:rFonts w:cs="Century Gothic"/>
                <w:b/>
                <w:color w:val="FFFFFF"/>
                <w:sz w:val="18"/>
                <w:szCs w:val="18"/>
              </w:rPr>
              <w:t xml:space="preserve">1 </w:t>
            </w:r>
            <w:r w:rsidRPr="00991031">
              <w:rPr>
                <w:rFonts w:cs="Century Gothic"/>
                <w:b/>
                <w:color w:val="FFFFFF"/>
                <w:sz w:val="18"/>
                <w:szCs w:val="18"/>
              </w:rPr>
              <w:br/>
            </w:r>
            <w:r w:rsidRPr="00991031">
              <w:rPr>
                <w:rFonts w:eastAsia="MS Gothic" w:cs="Arial"/>
                <w:b/>
              </w:rPr>
              <w:t>44 (9.4%)</w:t>
            </w:r>
          </w:p>
        </w:tc>
        <w:tc>
          <w:tcPr>
            <w:tcW w:w="847" w:type="pct"/>
            <w:shd w:val="clear" w:color="auto" w:fill="003D79"/>
            <w:tcMar>
              <w:top w:w="0" w:type="dxa"/>
              <w:left w:w="0" w:type="dxa"/>
              <w:bottom w:w="0" w:type="dxa"/>
              <w:right w:w="0" w:type="dxa"/>
            </w:tcMar>
            <w:vAlign w:val="center"/>
          </w:tcPr>
          <w:p w14:paraId="25F63138" w14:textId="77777777" w:rsidR="001C19F3" w:rsidRPr="00991031" w:rsidRDefault="001C19F3" w:rsidP="00521305">
            <w:pPr>
              <w:spacing w:after="0"/>
              <w:jc w:val="center"/>
              <w:rPr>
                <w:b/>
              </w:rPr>
            </w:pPr>
            <w:r w:rsidRPr="00991031">
              <w:rPr>
                <w:rFonts w:cs="Century Gothic"/>
                <w:b/>
                <w:color w:val="FFFFFF"/>
                <w:sz w:val="18"/>
                <w:szCs w:val="18"/>
              </w:rPr>
              <w:t xml:space="preserve">2 </w:t>
            </w:r>
            <w:r w:rsidRPr="00991031">
              <w:rPr>
                <w:rFonts w:cs="Century Gothic"/>
                <w:b/>
                <w:color w:val="FFFFFF"/>
                <w:sz w:val="18"/>
                <w:szCs w:val="18"/>
              </w:rPr>
              <w:br/>
              <w:t xml:space="preserve"> </w:t>
            </w:r>
            <w:r w:rsidRPr="00991031">
              <w:rPr>
                <w:rFonts w:eastAsia="MS Gothic" w:cs="Arial"/>
                <w:b/>
              </w:rPr>
              <w:t>235 (50.2%)</w:t>
            </w:r>
          </w:p>
        </w:tc>
        <w:tc>
          <w:tcPr>
            <w:tcW w:w="922" w:type="pct"/>
            <w:shd w:val="clear" w:color="auto" w:fill="003D79"/>
            <w:tcMar>
              <w:top w:w="0" w:type="dxa"/>
              <w:left w:w="0" w:type="dxa"/>
              <w:bottom w:w="0" w:type="dxa"/>
              <w:right w:w="0" w:type="dxa"/>
            </w:tcMar>
            <w:vAlign w:val="center"/>
          </w:tcPr>
          <w:p w14:paraId="70CAE74A" w14:textId="77777777" w:rsidR="001C19F3" w:rsidRPr="00991031" w:rsidRDefault="001C19F3" w:rsidP="00521305">
            <w:pPr>
              <w:spacing w:after="0"/>
              <w:jc w:val="center"/>
              <w:rPr>
                <w:b/>
              </w:rPr>
            </w:pPr>
            <w:r w:rsidRPr="00991031">
              <w:rPr>
                <w:rFonts w:cs="Century Gothic"/>
                <w:b/>
                <w:color w:val="FFFFFF"/>
                <w:sz w:val="18"/>
                <w:szCs w:val="18"/>
              </w:rPr>
              <w:t xml:space="preserve">3 </w:t>
            </w:r>
            <w:r w:rsidRPr="00991031">
              <w:rPr>
                <w:rFonts w:cs="Century Gothic"/>
                <w:b/>
                <w:color w:val="FFFFFF"/>
                <w:sz w:val="18"/>
                <w:szCs w:val="18"/>
              </w:rPr>
              <w:br/>
              <w:t xml:space="preserve"> </w:t>
            </w:r>
            <w:r w:rsidRPr="00991031">
              <w:rPr>
                <w:rFonts w:eastAsia="MS Gothic" w:cs="Arial"/>
                <w:b/>
              </w:rPr>
              <w:t>189 (40.4%)</w:t>
            </w:r>
          </w:p>
        </w:tc>
      </w:tr>
      <w:tr w:rsidR="001C19F3" w14:paraId="25E3B7E5"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39D2E639" w14:textId="77777777" w:rsidR="001C19F3" w:rsidRPr="00F11CC5" w:rsidRDefault="001C19F3" w:rsidP="00521305">
            <w:pPr>
              <w:spacing w:before="40" w:after="40"/>
              <w:ind w:right="40"/>
              <w:rPr>
                <w:rFonts w:cs="Century Gothic"/>
                <w:b/>
                <w:color w:val="000000"/>
                <w:sz w:val="18"/>
                <w:szCs w:val="18"/>
              </w:rPr>
            </w:pPr>
            <w:r>
              <w:rPr>
                <w:rFonts w:cs="Century Gothic"/>
                <w:b/>
                <w:color w:val="000000"/>
                <w:sz w:val="18"/>
                <w:szCs w:val="18"/>
              </w:rPr>
              <w:t>Hospitalised in the last 6 months</w:t>
            </w:r>
          </w:p>
        </w:tc>
        <w:tc>
          <w:tcPr>
            <w:tcW w:w="847" w:type="pct"/>
            <w:shd w:val="clear" w:color="auto" w:fill="FFFFFF"/>
            <w:tcMar>
              <w:top w:w="0" w:type="dxa"/>
              <w:left w:w="0" w:type="dxa"/>
              <w:bottom w:w="0" w:type="dxa"/>
              <w:right w:w="0" w:type="dxa"/>
            </w:tcMar>
            <w:vAlign w:val="center"/>
          </w:tcPr>
          <w:p w14:paraId="6AD6FA43" w14:textId="77777777" w:rsidR="001C19F3" w:rsidRDefault="001C19F3" w:rsidP="00521305">
            <w:pPr>
              <w:spacing w:before="40" w:after="40"/>
              <w:ind w:left="40" w:right="40"/>
              <w:jc w:val="center"/>
            </w:pPr>
            <w:r>
              <w:rPr>
                <w:rFonts w:cs="Century Gothic"/>
                <w:color w:val="000000"/>
                <w:sz w:val="18"/>
                <w:szCs w:val="18"/>
              </w:rPr>
              <w:t>75 (16.0%)</w:t>
            </w:r>
          </w:p>
        </w:tc>
        <w:tc>
          <w:tcPr>
            <w:tcW w:w="847" w:type="pct"/>
            <w:shd w:val="clear" w:color="auto" w:fill="FFFFFF"/>
            <w:tcMar>
              <w:top w:w="0" w:type="dxa"/>
              <w:left w:w="0" w:type="dxa"/>
              <w:bottom w:w="0" w:type="dxa"/>
              <w:right w:w="0" w:type="dxa"/>
            </w:tcMar>
            <w:vAlign w:val="center"/>
          </w:tcPr>
          <w:p w14:paraId="544BC936" w14:textId="77777777" w:rsidR="001C19F3" w:rsidRDefault="001C19F3" w:rsidP="00521305">
            <w:pPr>
              <w:spacing w:before="40" w:after="40"/>
              <w:ind w:left="40" w:right="40"/>
              <w:jc w:val="center"/>
            </w:pPr>
            <w:r>
              <w:rPr>
                <w:rFonts w:cs="Century Gothic"/>
                <w:color w:val="000000"/>
                <w:sz w:val="18"/>
                <w:szCs w:val="18"/>
              </w:rPr>
              <w:t>5 (11.4%)</w:t>
            </w:r>
          </w:p>
        </w:tc>
        <w:tc>
          <w:tcPr>
            <w:tcW w:w="847" w:type="pct"/>
            <w:shd w:val="clear" w:color="auto" w:fill="FFFFFF"/>
            <w:tcMar>
              <w:top w:w="0" w:type="dxa"/>
              <w:left w:w="0" w:type="dxa"/>
              <w:bottom w:w="0" w:type="dxa"/>
              <w:right w:w="0" w:type="dxa"/>
            </w:tcMar>
            <w:vAlign w:val="center"/>
          </w:tcPr>
          <w:p w14:paraId="7A72F39B" w14:textId="77777777" w:rsidR="001C19F3" w:rsidRDefault="001C19F3" w:rsidP="00521305">
            <w:pPr>
              <w:spacing w:before="40" w:after="40"/>
              <w:ind w:left="40" w:right="40"/>
              <w:jc w:val="center"/>
            </w:pPr>
            <w:r>
              <w:rPr>
                <w:rFonts w:cs="Century Gothic"/>
                <w:color w:val="000000"/>
                <w:sz w:val="18"/>
                <w:szCs w:val="18"/>
              </w:rPr>
              <w:t>21 (8.9%)</w:t>
            </w:r>
          </w:p>
        </w:tc>
        <w:tc>
          <w:tcPr>
            <w:tcW w:w="922" w:type="pct"/>
            <w:shd w:val="clear" w:color="auto" w:fill="FFFFFF"/>
            <w:tcMar>
              <w:top w:w="0" w:type="dxa"/>
              <w:left w:w="0" w:type="dxa"/>
              <w:bottom w:w="0" w:type="dxa"/>
              <w:right w:w="0" w:type="dxa"/>
            </w:tcMar>
            <w:vAlign w:val="center"/>
          </w:tcPr>
          <w:p w14:paraId="26F87D18" w14:textId="77777777" w:rsidR="001C19F3" w:rsidRDefault="001C19F3" w:rsidP="00521305">
            <w:pPr>
              <w:spacing w:before="40" w:after="40"/>
              <w:ind w:left="40" w:right="40"/>
              <w:jc w:val="center"/>
            </w:pPr>
            <w:r>
              <w:rPr>
                <w:rFonts w:cs="Century Gothic"/>
                <w:color w:val="000000"/>
                <w:sz w:val="18"/>
                <w:szCs w:val="18"/>
              </w:rPr>
              <w:t>49 (25.9%)</w:t>
            </w:r>
          </w:p>
        </w:tc>
      </w:tr>
      <w:tr w:rsidR="001C19F3" w14:paraId="5E989F32" w14:textId="77777777" w:rsidTr="00521305">
        <w:trPr>
          <w:cantSplit/>
          <w:trHeight w:val="288"/>
          <w:jc w:val="center"/>
        </w:trPr>
        <w:tc>
          <w:tcPr>
            <w:tcW w:w="5000" w:type="pct"/>
            <w:gridSpan w:val="5"/>
            <w:shd w:val="clear" w:color="auto" w:fill="FFFFFF"/>
            <w:tcMar>
              <w:top w:w="0" w:type="dxa"/>
              <w:left w:w="0" w:type="dxa"/>
              <w:bottom w:w="0" w:type="dxa"/>
              <w:right w:w="0" w:type="dxa"/>
            </w:tcMar>
            <w:vAlign w:val="center"/>
          </w:tcPr>
          <w:p w14:paraId="2C128C2F" w14:textId="77777777" w:rsidR="001C19F3" w:rsidRDefault="001C19F3" w:rsidP="00521305">
            <w:pPr>
              <w:spacing w:before="40" w:after="40"/>
              <w:ind w:left="40" w:right="40"/>
            </w:pPr>
            <w:r>
              <w:rPr>
                <w:rFonts w:cs="Century Gothic"/>
                <w:b/>
                <w:color w:val="000000"/>
                <w:sz w:val="18"/>
                <w:szCs w:val="18"/>
              </w:rPr>
              <w:t>Medication adherence (MedsIndex score)</w:t>
            </w:r>
          </w:p>
        </w:tc>
      </w:tr>
      <w:tr w:rsidR="001C19F3" w14:paraId="5C943997"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20201CE1" w14:textId="77777777" w:rsidR="001C19F3" w:rsidRDefault="001C19F3" w:rsidP="00521305">
            <w:pPr>
              <w:spacing w:before="40" w:after="40"/>
              <w:ind w:left="160" w:right="40"/>
            </w:pPr>
            <w:r>
              <w:rPr>
                <w:rFonts w:cs="Century Gothic"/>
                <w:color w:val="000000"/>
                <w:sz w:val="18"/>
                <w:szCs w:val="18"/>
              </w:rPr>
              <w:t>0 to &lt;50</w:t>
            </w:r>
          </w:p>
        </w:tc>
        <w:tc>
          <w:tcPr>
            <w:tcW w:w="847" w:type="pct"/>
            <w:shd w:val="clear" w:color="auto" w:fill="FFFFFF"/>
            <w:tcMar>
              <w:top w:w="0" w:type="dxa"/>
              <w:left w:w="0" w:type="dxa"/>
              <w:bottom w:w="0" w:type="dxa"/>
              <w:right w:w="0" w:type="dxa"/>
            </w:tcMar>
            <w:vAlign w:val="center"/>
          </w:tcPr>
          <w:p w14:paraId="0B00A3CE" w14:textId="77777777" w:rsidR="001C19F3" w:rsidRDefault="001C19F3" w:rsidP="00521305">
            <w:pPr>
              <w:spacing w:before="40" w:after="40"/>
              <w:ind w:left="40" w:right="40"/>
              <w:jc w:val="center"/>
            </w:pPr>
            <w:r>
              <w:rPr>
                <w:rFonts w:cs="Century Gothic"/>
                <w:color w:val="000000"/>
                <w:sz w:val="18"/>
                <w:szCs w:val="18"/>
              </w:rPr>
              <w:t>21 (4.5%)</w:t>
            </w:r>
          </w:p>
        </w:tc>
        <w:tc>
          <w:tcPr>
            <w:tcW w:w="847" w:type="pct"/>
            <w:shd w:val="clear" w:color="auto" w:fill="FFFFFF"/>
            <w:tcMar>
              <w:top w:w="0" w:type="dxa"/>
              <w:left w:w="0" w:type="dxa"/>
              <w:bottom w:w="0" w:type="dxa"/>
              <w:right w:w="0" w:type="dxa"/>
            </w:tcMar>
            <w:vAlign w:val="center"/>
          </w:tcPr>
          <w:p w14:paraId="3298D4ED" w14:textId="77777777" w:rsidR="001C19F3" w:rsidRDefault="001C19F3" w:rsidP="00521305">
            <w:pPr>
              <w:spacing w:before="40" w:after="40"/>
              <w:ind w:left="40" w:right="40"/>
              <w:jc w:val="center"/>
            </w:pPr>
            <w:r>
              <w:rPr>
                <w:rFonts w:cs="Century Gothic"/>
                <w:color w:val="000000"/>
                <w:sz w:val="18"/>
                <w:szCs w:val="18"/>
              </w:rPr>
              <w:t>2 (4.5%)</w:t>
            </w:r>
          </w:p>
        </w:tc>
        <w:tc>
          <w:tcPr>
            <w:tcW w:w="847" w:type="pct"/>
            <w:shd w:val="clear" w:color="auto" w:fill="FFFFFF"/>
            <w:tcMar>
              <w:top w:w="0" w:type="dxa"/>
              <w:left w:w="0" w:type="dxa"/>
              <w:bottom w:w="0" w:type="dxa"/>
              <w:right w:w="0" w:type="dxa"/>
            </w:tcMar>
            <w:vAlign w:val="center"/>
          </w:tcPr>
          <w:p w14:paraId="2C2D5FB1" w14:textId="77777777" w:rsidR="001C19F3" w:rsidRDefault="001C19F3" w:rsidP="00521305">
            <w:pPr>
              <w:spacing w:before="40" w:after="40"/>
              <w:ind w:left="40" w:right="40"/>
              <w:jc w:val="center"/>
            </w:pPr>
            <w:r>
              <w:rPr>
                <w:rFonts w:cs="Century Gothic"/>
                <w:color w:val="000000"/>
                <w:sz w:val="18"/>
                <w:szCs w:val="18"/>
              </w:rPr>
              <w:t>8 (3.4%)</w:t>
            </w:r>
          </w:p>
        </w:tc>
        <w:tc>
          <w:tcPr>
            <w:tcW w:w="922" w:type="pct"/>
            <w:shd w:val="clear" w:color="auto" w:fill="FFFFFF"/>
            <w:tcMar>
              <w:top w:w="0" w:type="dxa"/>
              <w:left w:w="0" w:type="dxa"/>
              <w:bottom w:w="0" w:type="dxa"/>
              <w:right w:w="0" w:type="dxa"/>
            </w:tcMar>
            <w:vAlign w:val="center"/>
          </w:tcPr>
          <w:p w14:paraId="63BCC9BD" w14:textId="77777777" w:rsidR="001C19F3" w:rsidRDefault="001C19F3" w:rsidP="00521305">
            <w:pPr>
              <w:spacing w:before="40" w:after="40"/>
              <w:ind w:left="40" w:right="40"/>
              <w:jc w:val="center"/>
            </w:pPr>
            <w:r>
              <w:rPr>
                <w:rFonts w:cs="Century Gothic"/>
                <w:color w:val="000000"/>
                <w:sz w:val="18"/>
                <w:szCs w:val="18"/>
              </w:rPr>
              <w:t>11 (5.8%)</w:t>
            </w:r>
          </w:p>
        </w:tc>
      </w:tr>
      <w:tr w:rsidR="001C19F3" w14:paraId="42C4EE6D"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3D723F35" w14:textId="77777777" w:rsidR="001C19F3" w:rsidRDefault="001C19F3" w:rsidP="00521305">
            <w:pPr>
              <w:spacing w:before="40" w:after="40"/>
              <w:ind w:left="160" w:right="40"/>
            </w:pPr>
            <w:r>
              <w:rPr>
                <w:rFonts w:cs="Century Gothic"/>
                <w:color w:val="000000"/>
                <w:sz w:val="18"/>
                <w:szCs w:val="18"/>
              </w:rPr>
              <w:t>50 to &lt;80</w:t>
            </w:r>
          </w:p>
        </w:tc>
        <w:tc>
          <w:tcPr>
            <w:tcW w:w="847" w:type="pct"/>
            <w:shd w:val="clear" w:color="auto" w:fill="FFFFFF"/>
            <w:tcMar>
              <w:top w:w="0" w:type="dxa"/>
              <w:left w:w="0" w:type="dxa"/>
              <w:bottom w:w="0" w:type="dxa"/>
              <w:right w:w="0" w:type="dxa"/>
            </w:tcMar>
            <w:vAlign w:val="center"/>
          </w:tcPr>
          <w:p w14:paraId="62EF9690" w14:textId="77777777" w:rsidR="001C19F3" w:rsidRDefault="001C19F3" w:rsidP="00521305">
            <w:pPr>
              <w:spacing w:before="40" w:after="40"/>
              <w:ind w:left="40" w:right="40"/>
              <w:jc w:val="center"/>
            </w:pPr>
            <w:r>
              <w:rPr>
                <w:rFonts w:cs="Century Gothic"/>
                <w:color w:val="000000"/>
                <w:sz w:val="18"/>
                <w:szCs w:val="18"/>
              </w:rPr>
              <w:t>99 (21.2%)</w:t>
            </w:r>
          </w:p>
        </w:tc>
        <w:tc>
          <w:tcPr>
            <w:tcW w:w="847" w:type="pct"/>
            <w:shd w:val="clear" w:color="auto" w:fill="FFFFFF"/>
            <w:tcMar>
              <w:top w:w="0" w:type="dxa"/>
              <w:left w:w="0" w:type="dxa"/>
              <w:bottom w:w="0" w:type="dxa"/>
              <w:right w:w="0" w:type="dxa"/>
            </w:tcMar>
            <w:vAlign w:val="center"/>
          </w:tcPr>
          <w:p w14:paraId="1C700900" w14:textId="77777777" w:rsidR="001C19F3" w:rsidRDefault="001C19F3" w:rsidP="00521305">
            <w:pPr>
              <w:spacing w:before="40" w:after="40"/>
              <w:ind w:left="40" w:right="40"/>
              <w:jc w:val="center"/>
            </w:pPr>
            <w:r>
              <w:rPr>
                <w:rFonts w:cs="Century Gothic"/>
                <w:color w:val="000000"/>
                <w:sz w:val="18"/>
                <w:szCs w:val="18"/>
              </w:rPr>
              <w:t>6 (13.6%)</w:t>
            </w:r>
          </w:p>
        </w:tc>
        <w:tc>
          <w:tcPr>
            <w:tcW w:w="847" w:type="pct"/>
            <w:shd w:val="clear" w:color="auto" w:fill="FFFFFF"/>
            <w:tcMar>
              <w:top w:w="0" w:type="dxa"/>
              <w:left w:w="0" w:type="dxa"/>
              <w:bottom w:w="0" w:type="dxa"/>
              <w:right w:w="0" w:type="dxa"/>
            </w:tcMar>
            <w:vAlign w:val="center"/>
          </w:tcPr>
          <w:p w14:paraId="1116140D" w14:textId="77777777" w:rsidR="001C19F3" w:rsidRDefault="001C19F3" w:rsidP="00521305">
            <w:pPr>
              <w:spacing w:before="40" w:after="40"/>
              <w:ind w:left="40" w:right="40"/>
              <w:jc w:val="center"/>
            </w:pPr>
            <w:r>
              <w:rPr>
                <w:rFonts w:cs="Century Gothic"/>
                <w:color w:val="000000"/>
                <w:sz w:val="18"/>
                <w:szCs w:val="18"/>
              </w:rPr>
              <w:t>54 (23.0%)</w:t>
            </w:r>
          </w:p>
        </w:tc>
        <w:tc>
          <w:tcPr>
            <w:tcW w:w="922" w:type="pct"/>
            <w:shd w:val="clear" w:color="auto" w:fill="FFFFFF"/>
            <w:tcMar>
              <w:top w:w="0" w:type="dxa"/>
              <w:left w:w="0" w:type="dxa"/>
              <w:bottom w:w="0" w:type="dxa"/>
              <w:right w:w="0" w:type="dxa"/>
            </w:tcMar>
            <w:vAlign w:val="center"/>
          </w:tcPr>
          <w:p w14:paraId="170C0267" w14:textId="77777777" w:rsidR="001C19F3" w:rsidRDefault="001C19F3" w:rsidP="00521305">
            <w:pPr>
              <w:spacing w:before="40" w:after="40"/>
              <w:ind w:left="40" w:right="40"/>
              <w:jc w:val="center"/>
            </w:pPr>
            <w:r>
              <w:rPr>
                <w:rFonts w:cs="Century Gothic"/>
                <w:color w:val="000000"/>
                <w:sz w:val="18"/>
                <w:szCs w:val="18"/>
              </w:rPr>
              <w:t>39 (20.6%)</w:t>
            </w:r>
          </w:p>
        </w:tc>
      </w:tr>
      <w:tr w:rsidR="001C19F3" w14:paraId="64774EC0"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17FBB09B" w14:textId="77777777" w:rsidR="001C19F3" w:rsidRDefault="001C19F3" w:rsidP="00521305">
            <w:pPr>
              <w:spacing w:before="40" w:after="40"/>
              <w:ind w:left="160" w:right="40"/>
            </w:pPr>
            <w:r>
              <w:rPr>
                <w:rFonts w:cs="Century Gothic"/>
                <w:color w:val="000000"/>
                <w:sz w:val="18"/>
                <w:szCs w:val="18"/>
              </w:rPr>
              <w:t>80 to &lt;85</w:t>
            </w:r>
          </w:p>
        </w:tc>
        <w:tc>
          <w:tcPr>
            <w:tcW w:w="847" w:type="pct"/>
            <w:shd w:val="clear" w:color="auto" w:fill="FFFFFF"/>
            <w:tcMar>
              <w:top w:w="0" w:type="dxa"/>
              <w:left w:w="0" w:type="dxa"/>
              <w:bottom w:w="0" w:type="dxa"/>
              <w:right w:w="0" w:type="dxa"/>
            </w:tcMar>
            <w:vAlign w:val="center"/>
          </w:tcPr>
          <w:p w14:paraId="2DB2D817" w14:textId="77777777" w:rsidR="001C19F3" w:rsidRDefault="001C19F3" w:rsidP="00521305">
            <w:pPr>
              <w:spacing w:before="40" w:after="40"/>
              <w:ind w:left="40" w:right="40"/>
              <w:jc w:val="center"/>
            </w:pPr>
            <w:r>
              <w:rPr>
                <w:rFonts w:cs="Century Gothic"/>
                <w:color w:val="000000"/>
                <w:sz w:val="18"/>
                <w:szCs w:val="18"/>
              </w:rPr>
              <w:t>59 (12.6%)</w:t>
            </w:r>
          </w:p>
        </w:tc>
        <w:tc>
          <w:tcPr>
            <w:tcW w:w="847" w:type="pct"/>
            <w:shd w:val="clear" w:color="auto" w:fill="FFFFFF"/>
            <w:tcMar>
              <w:top w:w="0" w:type="dxa"/>
              <w:left w:w="0" w:type="dxa"/>
              <w:bottom w:w="0" w:type="dxa"/>
              <w:right w:w="0" w:type="dxa"/>
            </w:tcMar>
            <w:vAlign w:val="center"/>
          </w:tcPr>
          <w:p w14:paraId="4118C385" w14:textId="77777777" w:rsidR="001C19F3" w:rsidRDefault="001C19F3" w:rsidP="00521305">
            <w:pPr>
              <w:spacing w:before="40" w:after="40"/>
              <w:ind w:left="40" w:right="40"/>
              <w:jc w:val="center"/>
            </w:pPr>
            <w:r>
              <w:rPr>
                <w:rFonts w:cs="Century Gothic"/>
                <w:color w:val="000000"/>
                <w:sz w:val="18"/>
                <w:szCs w:val="18"/>
              </w:rPr>
              <w:t>5 (11.4%)</w:t>
            </w:r>
          </w:p>
        </w:tc>
        <w:tc>
          <w:tcPr>
            <w:tcW w:w="847" w:type="pct"/>
            <w:shd w:val="clear" w:color="auto" w:fill="FFFFFF"/>
            <w:tcMar>
              <w:top w:w="0" w:type="dxa"/>
              <w:left w:w="0" w:type="dxa"/>
              <w:bottom w:w="0" w:type="dxa"/>
              <w:right w:w="0" w:type="dxa"/>
            </w:tcMar>
            <w:vAlign w:val="center"/>
          </w:tcPr>
          <w:p w14:paraId="6E11A4FF" w14:textId="77777777" w:rsidR="001C19F3" w:rsidRDefault="001C19F3" w:rsidP="00521305">
            <w:pPr>
              <w:spacing w:before="40" w:after="40"/>
              <w:ind w:left="40" w:right="40"/>
              <w:jc w:val="center"/>
            </w:pPr>
            <w:r>
              <w:rPr>
                <w:rFonts w:cs="Century Gothic"/>
                <w:color w:val="000000"/>
                <w:sz w:val="18"/>
                <w:szCs w:val="18"/>
              </w:rPr>
              <w:t>37 (15.7%)</w:t>
            </w:r>
          </w:p>
        </w:tc>
        <w:tc>
          <w:tcPr>
            <w:tcW w:w="922" w:type="pct"/>
            <w:shd w:val="clear" w:color="auto" w:fill="FFFFFF"/>
            <w:tcMar>
              <w:top w:w="0" w:type="dxa"/>
              <w:left w:w="0" w:type="dxa"/>
              <w:bottom w:w="0" w:type="dxa"/>
              <w:right w:w="0" w:type="dxa"/>
            </w:tcMar>
            <w:vAlign w:val="center"/>
          </w:tcPr>
          <w:p w14:paraId="35F3C91E" w14:textId="77777777" w:rsidR="001C19F3" w:rsidRDefault="001C19F3" w:rsidP="00521305">
            <w:pPr>
              <w:spacing w:before="40" w:after="40"/>
              <w:ind w:left="40" w:right="40"/>
              <w:jc w:val="center"/>
            </w:pPr>
            <w:r>
              <w:rPr>
                <w:rFonts w:cs="Century Gothic"/>
                <w:color w:val="000000"/>
                <w:sz w:val="18"/>
                <w:szCs w:val="18"/>
              </w:rPr>
              <w:t>17 (9.0%)</w:t>
            </w:r>
          </w:p>
        </w:tc>
      </w:tr>
      <w:tr w:rsidR="001C19F3" w14:paraId="1E9FA0D0"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50150732" w14:textId="77777777" w:rsidR="001C19F3" w:rsidRDefault="001C19F3" w:rsidP="00521305">
            <w:pPr>
              <w:spacing w:before="40" w:after="40"/>
              <w:ind w:left="160" w:right="40"/>
            </w:pPr>
            <w:r>
              <w:rPr>
                <w:rFonts w:cs="Century Gothic"/>
                <w:color w:val="000000"/>
                <w:sz w:val="18"/>
                <w:szCs w:val="18"/>
              </w:rPr>
              <w:t>85 to &lt;90</w:t>
            </w:r>
          </w:p>
        </w:tc>
        <w:tc>
          <w:tcPr>
            <w:tcW w:w="847" w:type="pct"/>
            <w:shd w:val="clear" w:color="auto" w:fill="FFFFFF"/>
            <w:tcMar>
              <w:top w:w="0" w:type="dxa"/>
              <w:left w:w="0" w:type="dxa"/>
              <w:bottom w:w="0" w:type="dxa"/>
              <w:right w:w="0" w:type="dxa"/>
            </w:tcMar>
            <w:vAlign w:val="center"/>
          </w:tcPr>
          <w:p w14:paraId="51C1F523" w14:textId="77777777" w:rsidR="001C19F3" w:rsidRDefault="001C19F3" w:rsidP="00521305">
            <w:pPr>
              <w:spacing w:before="40" w:after="40"/>
              <w:ind w:left="40" w:right="40"/>
              <w:jc w:val="center"/>
            </w:pPr>
            <w:r>
              <w:rPr>
                <w:rFonts w:cs="Century Gothic"/>
                <w:color w:val="000000"/>
                <w:sz w:val="18"/>
                <w:szCs w:val="18"/>
              </w:rPr>
              <w:t>58 (12.4%)</w:t>
            </w:r>
          </w:p>
        </w:tc>
        <w:tc>
          <w:tcPr>
            <w:tcW w:w="847" w:type="pct"/>
            <w:shd w:val="clear" w:color="auto" w:fill="FFFFFF"/>
            <w:tcMar>
              <w:top w:w="0" w:type="dxa"/>
              <w:left w:w="0" w:type="dxa"/>
              <w:bottom w:w="0" w:type="dxa"/>
              <w:right w:w="0" w:type="dxa"/>
            </w:tcMar>
            <w:vAlign w:val="center"/>
          </w:tcPr>
          <w:p w14:paraId="18E60FBE" w14:textId="77777777" w:rsidR="001C19F3" w:rsidRDefault="001C19F3" w:rsidP="00521305">
            <w:pPr>
              <w:spacing w:before="40" w:after="40"/>
              <w:ind w:left="40" w:right="40"/>
              <w:jc w:val="center"/>
            </w:pPr>
            <w:r>
              <w:rPr>
                <w:rFonts w:cs="Century Gothic"/>
                <w:color w:val="000000"/>
                <w:sz w:val="18"/>
                <w:szCs w:val="18"/>
              </w:rPr>
              <w:t>6 (13.6%)</w:t>
            </w:r>
          </w:p>
        </w:tc>
        <w:tc>
          <w:tcPr>
            <w:tcW w:w="847" w:type="pct"/>
            <w:shd w:val="clear" w:color="auto" w:fill="FFFFFF"/>
            <w:tcMar>
              <w:top w:w="0" w:type="dxa"/>
              <w:left w:w="0" w:type="dxa"/>
              <w:bottom w:w="0" w:type="dxa"/>
              <w:right w:w="0" w:type="dxa"/>
            </w:tcMar>
            <w:vAlign w:val="center"/>
          </w:tcPr>
          <w:p w14:paraId="4CF69F33" w14:textId="77777777" w:rsidR="001C19F3" w:rsidRDefault="001C19F3" w:rsidP="00521305">
            <w:pPr>
              <w:spacing w:before="40" w:after="40"/>
              <w:ind w:left="40" w:right="40"/>
              <w:jc w:val="center"/>
            </w:pPr>
            <w:r>
              <w:rPr>
                <w:rFonts w:cs="Century Gothic"/>
                <w:color w:val="000000"/>
                <w:sz w:val="18"/>
                <w:szCs w:val="18"/>
              </w:rPr>
              <w:t>29 (12.3%)</w:t>
            </w:r>
          </w:p>
        </w:tc>
        <w:tc>
          <w:tcPr>
            <w:tcW w:w="922" w:type="pct"/>
            <w:shd w:val="clear" w:color="auto" w:fill="FFFFFF"/>
            <w:tcMar>
              <w:top w:w="0" w:type="dxa"/>
              <w:left w:w="0" w:type="dxa"/>
              <w:bottom w:w="0" w:type="dxa"/>
              <w:right w:w="0" w:type="dxa"/>
            </w:tcMar>
            <w:vAlign w:val="center"/>
          </w:tcPr>
          <w:p w14:paraId="2C4643B1" w14:textId="77777777" w:rsidR="001C19F3" w:rsidRDefault="001C19F3" w:rsidP="00521305">
            <w:pPr>
              <w:spacing w:before="40" w:after="40"/>
              <w:ind w:left="40" w:right="40"/>
              <w:jc w:val="center"/>
            </w:pPr>
            <w:r>
              <w:rPr>
                <w:rFonts w:cs="Century Gothic"/>
                <w:color w:val="000000"/>
                <w:sz w:val="18"/>
                <w:szCs w:val="18"/>
              </w:rPr>
              <w:t>23 (12.2%)</w:t>
            </w:r>
          </w:p>
        </w:tc>
      </w:tr>
      <w:tr w:rsidR="001C19F3" w14:paraId="0111E3F0"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6CE91849" w14:textId="77777777" w:rsidR="001C19F3" w:rsidRDefault="001C19F3" w:rsidP="00521305">
            <w:pPr>
              <w:spacing w:before="40" w:after="40"/>
              <w:ind w:left="160" w:right="40"/>
            </w:pPr>
            <w:r>
              <w:rPr>
                <w:rFonts w:cs="Century Gothic"/>
                <w:color w:val="000000"/>
                <w:sz w:val="18"/>
                <w:szCs w:val="18"/>
              </w:rPr>
              <w:t>90 to &lt;95</w:t>
            </w:r>
          </w:p>
        </w:tc>
        <w:tc>
          <w:tcPr>
            <w:tcW w:w="847" w:type="pct"/>
            <w:shd w:val="clear" w:color="auto" w:fill="FFFFFF"/>
            <w:tcMar>
              <w:top w:w="0" w:type="dxa"/>
              <w:left w:w="0" w:type="dxa"/>
              <w:bottom w:w="0" w:type="dxa"/>
              <w:right w:w="0" w:type="dxa"/>
            </w:tcMar>
            <w:vAlign w:val="center"/>
          </w:tcPr>
          <w:p w14:paraId="4555A8B9" w14:textId="77777777" w:rsidR="001C19F3" w:rsidRDefault="001C19F3" w:rsidP="00521305">
            <w:pPr>
              <w:spacing w:before="40" w:after="40"/>
              <w:ind w:left="40" w:right="40"/>
              <w:jc w:val="center"/>
            </w:pPr>
            <w:r>
              <w:rPr>
                <w:rFonts w:cs="Century Gothic"/>
                <w:color w:val="000000"/>
                <w:sz w:val="18"/>
                <w:szCs w:val="18"/>
              </w:rPr>
              <w:t>89 (19.0%)</w:t>
            </w:r>
          </w:p>
        </w:tc>
        <w:tc>
          <w:tcPr>
            <w:tcW w:w="847" w:type="pct"/>
            <w:shd w:val="clear" w:color="auto" w:fill="FFFFFF"/>
            <w:tcMar>
              <w:top w:w="0" w:type="dxa"/>
              <w:left w:w="0" w:type="dxa"/>
              <w:bottom w:w="0" w:type="dxa"/>
              <w:right w:w="0" w:type="dxa"/>
            </w:tcMar>
            <w:vAlign w:val="center"/>
          </w:tcPr>
          <w:p w14:paraId="023692F5" w14:textId="77777777" w:rsidR="001C19F3" w:rsidRDefault="001C19F3" w:rsidP="00521305">
            <w:pPr>
              <w:spacing w:before="40" w:after="40"/>
              <w:ind w:left="40" w:right="40"/>
              <w:jc w:val="center"/>
            </w:pPr>
            <w:r>
              <w:rPr>
                <w:rFonts w:cs="Century Gothic"/>
                <w:color w:val="000000"/>
                <w:sz w:val="18"/>
                <w:szCs w:val="18"/>
              </w:rPr>
              <w:t>14 (31.8%)</w:t>
            </w:r>
          </w:p>
        </w:tc>
        <w:tc>
          <w:tcPr>
            <w:tcW w:w="847" w:type="pct"/>
            <w:shd w:val="clear" w:color="auto" w:fill="FFFFFF"/>
            <w:tcMar>
              <w:top w:w="0" w:type="dxa"/>
              <w:left w:w="0" w:type="dxa"/>
              <w:bottom w:w="0" w:type="dxa"/>
              <w:right w:w="0" w:type="dxa"/>
            </w:tcMar>
            <w:vAlign w:val="center"/>
          </w:tcPr>
          <w:p w14:paraId="02B07B01" w14:textId="77777777" w:rsidR="001C19F3" w:rsidRDefault="001C19F3" w:rsidP="00521305">
            <w:pPr>
              <w:spacing w:before="40" w:after="40"/>
              <w:ind w:left="40" w:right="40"/>
              <w:jc w:val="center"/>
            </w:pPr>
            <w:r>
              <w:rPr>
                <w:rFonts w:cs="Century Gothic"/>
                <w:color w:val="000000"/>
                <w:sz w:val="18"/>
                <w:szCs w:val="18"/>
              </w:rPr>
              <w:t>42 (17.9%)</w:t>
            </w:r>
          </w:p>
        </w:tc>
        <w:tc>
          <w:tcPr>
            <w:tcW w:w="922" w:type="pct"/>
            <w:shd w:val="clear" w:color="auto" w:fill="FFFFFF"/>
            <w:tcMar>
              <w:top w:w="0" w:type="dxa"/>
              <w:left w:w="0" w:type="dxa"/>
              <w:bottom w:w="0" w:type="dxa"/>
              <w:right w:w="0" w:type="dxa"/>
            </w:tcMar>
            <w:vAlign w:val="center"/>
          </w:tcPr>
          <w:p w14:paraId="476B791B" w14:textId="77777777" w:rsidR="001C19F3" w:rsidRDefault="001C19F3" w:rsidP="00521305">
            <w:pPr>
              <w:spacing w:before="40" w:after="40"/>
              <w:ind w:left="40" w:right="40"/>
              <w:jc w:val="center"/>
            </w:pPr>
            <w:r>
              <w:rPr>
                <w:rFonts w:cs="Century Gothic"/>
                <w:color w:val="000000"/>
                <w:sz w:val="18"/>
                <w:szCs w:val="18"/>
              </w:rPr>
              <w:t>33 (17.5%)</w:t>
            </w:r>
          </w:p>
        </w:tc>
      </w:tr>
      <w:tr w:rsidR="001C19F3" w14:paraId="5B82641D"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266225F0" w14:textId="77777777" w:rsidR="001C19F3" w:rsidRDefault="001C19F3" w:rsidP="00521305">
            <w:pPr>
              <w:spacing w:before="40" w:after="40"/>
              <w:ind w:left="160" w:right="40"/>
            </w:pPr>
            <w:r>
              <w:rPr>
                <w:rFonts w:cs="Century Gothic"/>
                <w:color w:val="000000"/>
                <w:sz w:val="18"/>
                <w:szCs w:val="18"/>
              </w:rPr>
              <w:t>95 to 100</w:t>
            </w:r>
          </w:p>
        </w:tc>
        <w:tc>
          <w:tcPr>
            <w:tcW w:w="847" w:type="pct"/>
            <w:shd w:val="clear" w:color="auto" w:fill="FFFFFF"/>
            <w:tcMar>
              <w:top w:w="0" w:type="dxa"/>
              <w:left w:w="0" w:type="dxa"/>
              <w:bottom w:w="0" w:type="dxa"/>
              <w:right w:w="0" w:type="dxa"/>
            </w:tcMar>
            <w:vAlign w:val="center"/>
          </w:tcPr>
          <w:p w14:paraId="1E562110" w14:textId="77777777" w:rsidR="001C19F3" w:rsidRDefault="001C19F3" w:rsidP="00521305">
            <w:pPr>
              <w:spacing w:before="40" w:after="40"/>
              <w:ind w:left="40" w:right="40"/>
              <w:jc w:val="center"/>
            </w:pPr>
            <w:r>
              <w:rPr>
                <w:rFonts w:cs="Century Gothic"/>
                <w:color w:val="000000"/>
                <w:sz w:val="18"/>
                <w:szCs w:val="18"/>
              </w:rPr>
              <w:t>142 (30.3%)</w:t>
            </w:r>
          </w:p>
        </w:tc>
        <w:tc>
          <w:tcPr>
            <w:tcW w:w="847" w:type="pct"/>
            <w:shd w:val="clear" w:color="auto" w:fill="FFFFFF"/>
            <w:tcMar>
              <w:top w:w="0" w:type="dxa"/>
              <w:left w:w="0" w:type="dxa"/>
              <w:bottom w:w="0" w:type="dxa"/>
              <w:right w:w="0" w:type="dxa"/>
            </w:tcMar>
            <w:vAlign w:val="center"/>
          </w:tcPr>
          <w:p w14:paraId="693F1C9E" w14:textId="77777777" w:rsidR="001C19F3" w:rsidRDefault="001C19F3" w:rsidP="00521305">
            <w:pPr>
              <w:spacing w:before="40" w:after="40"/>
              <w:ind w:left="40" w:right="40"/>
              <w:jc w:val="center"/>
            </w:pPr>
            <w:r>
              <w:rPr>
                <w:rFonts w:cs="Century Gothic"/>
                <w:color w:val="000000"/>
                <w:sz w:val="18"/>
                <w:szCs w:val="18"/>
              </w:rPr>
              <w:t>11 (25.0%)</w:t>
            </w:r>
          </w:p>
        </w:tc>
        <w:tc>
          <w:tcPr>
            <w:tcW w:w="847" w:type="pct"/>
            <w:shd w:val="clear" w:color="auto" w:fill="FFFFFF"/>
            <w:tcMar>
              <w:top w:w="0" w:type="dxa"/>
              <w:left w:w="0" w:type="dxa"/>
              <w:bottom w:w="0" w:type="dxa"/>
              <w:right w:w="0" w:type="dxa"/>
            </w:tcMar>
            <w:vAlign w:val="center"/>
          </w:tcPr>
          <w:p w14:paraId="3539CBA1" w14:textId="77777777" w:rsidR="001C19F3" w:rsidRDefault="001C19F3" w:rsidP="00521305">
            <w:pPr>
              <w:spacing w:before="40" w:after="40"/>
              <w:ind w:left="40" w:right="40"/>
              <w:jc w:val="center"/>
            </w:pPr>
            <w:r>
              <w:rPr>
                <w:rFonts w:cs="Century Gothic"/>
                <w:color w:val="000000"/>
                <w:sz w:val="18"/>
                <w:szCs w:val="18"/>
              </w:rPr>
              <w:t>65 (27.7%)</w:t>
            </w:r>
          </w:p>
        </w:tc>
        <w:tc>
          <w:tcPr>
            <w:tcW w:w="922" w:type="pct"/>
            <w:shd w:val="clear" w:color="auto" w:fill="FFFFFF"/>
            <w:tcMar>
              <w:top w:w="0" w:type="dxa"/>
              <w:left w:w="0" w:type="dxa"/>
              <w:bottom w:w="0" w:type="dxa"/>
              <w:right w:w="0" w:type="dxa"/>
            </w:tcMar>
            <w:vAlign w:val="center"/>
          </w:tcPr>
          <w:p w14:paraId="0545A2C7" w14:textId="77777777" w:rsidR="001C19F3" w:rsidRDefault="001C19F3" w:rsidP="00521305">
            <w:pPr>
              <w:spacing w:before="40" w:after="40"/>
              <w:ind w:left="40" w:right="40"/>
              <w:jc w:val="center"/>
            </w:pPr>
            <w:r>
              <w:rPr>
                <w:rFonts w:cs="Century Gothic"/>
                <w:color w:val="000000"/>
                <w:sz w:val="18"/>
                <w:szCs w:val="18"/>
              </w:rPr>
              <w:t>66 (34.9%)</w:t>
            </w:r>
          </w:p>
        </w:tc>
      </w:tr>
      <w:tr w:rsidR="001C19F3" w14:paraId="38D52D35" w14:textId="77777777" w:rsidTr="00521305">
        <w:trPr>
          <w:cantSplit/>
          <w:trHeight w:val="288"/>
          <w:jc w:val="center"/>
        </w:trPr>
        <w:tc>
          <w:tcPr>
            <w:tcW w:w="5000" w:type="pct"/>
            <w:gridSpan w:val="5"/>
            <w:shd w:val="clear" w:color="auto" w:fill="FFFFFF"/>
            <w:tcMar>
              <w:top w:w="0" w:type="dxa"/>
              <w:left w:w="0" w:type="dxa"/>
              <w:bottom w:w="0" w:type="dxa"/>
              <w:right w:w="0" w:type="dxa"/>
            </w:tcMar>
            <w:vAlign w:val="center"/>
          </w:tcPr>
          <w:p w14:paraId="344792BD" w14:textId="77777777" w:rsidR="001C19F3" w:rsidRDefault="001C19F3" w:rsidP="00521305">
            <w:pPr>
              <w:spacing w:before="40" w:after="40"/>
              <w:ind w:left="40" w:right="40"/>
            </w:pPr>
            <w:r>
              <w:rPr>
                <w:rFonts w:cs="Century Gothic"/>
                <w:b/>
                <w:color w:val="000000"/>
                <w:sz w:val="18"/>
                <w:szCs w:val="18"/>
              </w:rPr>
              <w:t>Patients MedsIndex score</w:t>
            </w:r>
          </w:p>
        </w:tc>
      </w:tr>
      <w:tr w:rsidR="001C19F3" w14:paraId="27604798" w14:textId="77777777" w:rsidTr="00521305">
        <w:trPr>
          <w:cantSplit/>
          <w:trHeight w:val="288"/>
          <w:jc w:val="center"/>
        </w:trPr>
        <w:tc>
          <w:tcPr>
            <w:tcW w:w="1539" w:type="pct"/>
            <w:shd w:val="clear" w:color="auto" w:fill="FFFFFF"/>
            <w:tcMar>
              <w:top w:w="0" w:type="dxa"/>
              <w:left w:w="0" w:type="dxa"/>
              <w:bottom w:w="0" w:type="dxa"/>
              <w:right w:w="0" w:type="dxa"/>
            </w:tcMar>
            <w:vAlign w:val="center"/>
          </w:tcPr>
          <w:p w14:paraId="65342E35" w14:textId="77777777" w:rsidR="001C19F3" w:rsidRDefault="001C19F3" w:rsidP="00521305">
            <w:pPr>
              <w:spacing w:before="40" w:after="40"/>
              <w:ind w:left="160" w:right="40"/>
            </w:pPr>
            <w:r w:rsidRPr="00F11CC5">
              <w:rPr>
                <w:rFonts w:cs="Century Gothic"/>
                <w:color w:val="000000"/>
                <w:sz w:val="18"/>
                <w:szCs w:val="18"/>
              </w:rPr>
              <w:t>Median (Range)</w:t>
            </w:r>
          </w:p>
        </w:tc>
        <w:tc>
          <w:tcPr>
            <w:tcW w:w="847" w:type="pct"/>
            <w:shd w:val="clear" w:color="auto" w:fill="FFFFFF"/>
            <w:tcMar>
              <w:top w:w="0" w:type="dxa"/>
              <w:left w:w="0" w:type="dxa"/>
              <w:bottom w:w="0" w:type="dxa"/>
              <w:right w:w="0" w:type="dxa"/>
            </w:tcMar>
            <w:vAlign w:val="center"/>
          </w:tcPr>
          <w:p w14:paraId="1DDD8CEF" w14:textId="77777777" w:rsidR="001C19F3" w:rsidRDefault="001C19F3" w:rsidP="00521305">
            <w:pPr>
              <w:spacing w:before="40" w:after="40"/>
              <w:ind w:left="40" w:right="40"/>
              <w:jc w:val="center"/>
            </w:pPr>
            <w:r>
              <w:rPr>
                <w:rFonts w:cs="Century Gothic"/>
                <w:color w:val="000000"/>
                <w:sz w:val="18"/>
                <w:szCs w:val="18"/>
              </w:rPr>
              <w:t>89.0 (0.0, 100.0)</w:t>
            </w:r>
          </w:p>
        </w:tc>
        <w:tc>
          <w:tcPr>
            <w:tcW w:w="847" w:type="pct"/>
            <w:shd w:val="clear" w:color="auto" w:fill="FFFFFF"/>
            <w:tcMar>
              <w:top w:w="0" w:type="dxa"/>
              <w:left w:w="0" w:type="dxa"/>
              <w:bottom w:w="0" w:type="dxa"/>
              <w:right w:w="0" w:type="dxa"/>
            </w:tcMar>
            <w:vAlign w:val="center"/>
          </w:tcPr>
          <w:p w14:paraId="577472F5" w14:textId="77777777" w:rsidR="001C19F3" w:rsidRDefault="001C19F3" w:rsidP="00521305">
            <w:pPr>
              <w:spacing w:before="40" w:after="40"/>
              <w:ind w:left="40" w:right="40"/>
              <w:jc w:val="center"/>
            </w:pPr>
            <w:r>
              <w:rPr>
                <w:rFonts w:cs="Century Gothic"/>
                <w:color w:val="000000"/>
                <w:sz w:val="18"/>
                <w:szCs w:val="18"/>
              </w:rPr>
              <w:t>90.0 (1.0, 100.0)</w:t>
            </w:r>
          </w:p>
        </w:tc>
        <w:tc>
          <w:tcPr>
            <w:tcW w:w="847" w:type="pct"/>
            <w:shd w:val="clear" w:color="auto" w:fill="FFFFFF"/>
            <w:tcMar>
              <w:top w:w="0" w:type="dxa"/>
              <w:left w:w="0" w:type="dxa"/>
              <w:bottom w:w="0" w:type="dxa"/>
              <w:right w:w="0" w:type="dxa"/>
            </w:tcMar>
            <w:vAlign w:val="center"/>
          </w:tcPr>
          <w:p w14:paraId="296AFB72" w14:textId="77777777" w:rsidR="001C19F3" w:rsidRDefault="001C19F3" w:rsidP="00521305">
            <w:pPr>
              <w:spacing w:before="40" w:after="40"/>
              <w:ind w:left="40" w:right="40"/>
              <w:jc w:val="center"/>
            </w:pPr>
            <w:r>
              <w:rPr>
                <w:rFonts w:cs="Century Gothic"/>
                <w:color w:val="000000"/>
                <w:sz w:val="18"/>
                <w:szCs w:val="18"/>
              </w:rPr>
              <w:t>87.0 (0.0, 100.0)</w:t>
            </w:r>
          </w:p>
        </w:tc>
        <w:tc>
          <w:tcPr>
            <w:tcW w:w="922" w:type="pct"/>
            <w:shd w:val="clear" w:color="auto" w:fill="FFFFFF"/>
            <w:tcMar>
              <w:top w:w="0" w:type="dxa"/>
              <w:left w:w="0" w:type="dxa"/>
              <w:bottom w:w="0" w:type="dxa"/>
              <w:right w:w="0" w:type="dxa"/>
            </w:tcMar>
            <w:vAlign w:val="center"/>
          </w:tcPr>
          <w:p w14:paraId="083D011C" w14:textId="77777777" w:rsidR="001C19F3" w:rsidRDefault="001C19F3" w:rsidP="00521305">
            <w:pPr>
              <w:spacing w:before="40" w:after="40"/>
              <w:ind w:left="40" w:right="40"/>
              <w:jc w:val="center"/>
            </w:pPr>
            <w:r>
              <w:rPr>
                <w:rFonts w:cs="Century Gothic"/>
                <w:color w:val="000000"/>
                <w:sz w:val="18"/>
                <w:szCs w:val="18"/>
              </w:rPr>
              <w:t>90.0 (0.0, 100.0)</w:t>
            </w:r>
          </w:p>
        </w:tc>
      </w:tr>
    </w:tbl>
    <w:p w14:paraId="33A76371" w14:textId="77777777" w:rsidR="001C19F3" w:rsidRPr="008D1867" w:rsidRDefault="001C19F3" w:rsidP="001C19F3">
      <w:pPr>
        <w:pStyle w:val="Chartortablefootnote"/>
      </w:pPr>
      <w:r>
        <w:t>Source: Community Pharmacy in HCH trial Health Outcomes data set provided by the Pharmacy Guild, to 30 June 2019.</w:t>
      </w:r>
    </w:p>
    <w:p w14:paraId="379EBBFF" w14:textId="77777777" w:rsidR="001C19F3" w:rsidRDefault="001C19F3" w:rsidP="001C19F3">
      <w:pPr>
        <w:rPr>
          <w:rFonts w:eastAsia="MS Gothic" w:cs="Arial"/>
        </w:rPr>
      </w:pPr>
      <w:bookmarkStart w:id="339" w:name="_Hlk21515450"/>
      <w:r>
        <w:rPr>
          <w:rFonts w:eastAsia="MS Gothic" w:cs="Arial"/>
        </w:rPr>
        <w:t xml:space="preserve">Patients were taking medicines for a wide range of conditions. </w:t>
      </w:r>
      <w:r w:rsidRPr="008533F3">
        <w:rPr>
          <w:rFonts w:eastAsia="MS Gothic" w:cs="Arial"/>
        </w:rPr>
        <w:t>The most commonly prescribed medicines were antihypertensives (72% of patients) and lipid lowering drugs (54%). Medicines prescribed for these conditions were similar across tiers. Medicines were also commonly prescribed for: diabetes (44%); heart disease (41%); arthritis (32%); respiratory conditions (32%); depression or anxiety (27%); pain (26%); and digestive disorders (25%). Prescriptions of medicines for depression and anxiety increased with tier, as did prescriptions for diabetes, kidney disease, respiratory disease, and the category of ‘other conditions’</w:t>
      </w:r>
      <w:r>
        <w:rPr>
          <w:rFonts w:eastAsia="MS Gothic" w:cs="Arial"/>
        </w:rPr>
        <w:t>.</w:t>
      </w:r>
    </w:p>
    <w:p w14:paraId="5F9EE639" w14:textId="77777777" w:rsidR="001C19F3" w:rsidRDefault="001C19F3" w:rsidP="001C19F3">
      <w:pPr>
        <w:rPr>
          <w:rFonts w:eastAsia="MS Gothic" w:cs="Arial"/>
          <w:szCs w:val="20"/>
        </w:rPr>
      </w:pPr>
      <w:bookmarkStart w:id="340" w:name="_Hlk21515917"/>
      <w:r>
        <w:rPr>
          <w:rFonts w:eastAsia="MS Gothic" w:cs="Arial"/>
          <w:szCs w:val="20"/>
        </w:rPr>
        <w:t>The most common goals agreed to in the patients’ MMP were ‘Improved medication adherence’ (42%) and ‘Improved patient knowledge about their medicines leading to improved medication use and disease self-management’ (51%), but these varied substantially between tiers. Patients in tiers 1 and 2 were much more likely to have the goal of ‘improved patient knowledge’ than patients in Tier 3 (73% in Tier 1, 63% in Tier 2 and 30% in Tier 3), but patients in Tier 3 were far more likely to have the goal of ‘Improved medication adherence’ (68% in Tier 1, 32% in Tier 2 and 61% in Tier 3s). The goals of ‘Improved technique/usage of medication devices’ (15%), ‘Optimise the medication dose’ (18%), and ‘Reduced medication side effects’ (8%) were less common</w:t>
      </w:r>
      <w:bookmarkEnd w:id="340"/>
      <w:r>
        <w:rPr>
          <w:rFonts w:eastAsia="MS Gothic" w:cs="Arial"/>
          <w:szCs w:val="20"/>
        </w:rPr>
        <w:t>.</w:t>
      </w:r>
    </w:p>
    <w:p w14:paraId="6DF30893" w14:textId="77777777" w:rsidR="001C19F3" w:rsidRDefault="001C19F3" w:rsidP="001C19F3">
      <w:pPr>
        <w:rPr>
          <w:rFonts w:eastAsia="MS Gothic" w:cs="Arial"/>
          <w:szCs w:val="20"/>
        </w:rPr>
      </w:pPr>
      <w:r>
        <w:rPr>
          <w:rFonts w:eastAsia="MS Gothic" w:cs="Arial"/>
          <w:szCs w:val="20"/>
        </w:rPr>
        <w:t>For most conditions, at least two people were responsible for the patient achieving their goals and in general it was most likely to be the carer/patient and pharmacist (See Volume 3 Appendix 6). For the five pre-defined patient goals, both carer/patient and pharmacist were reported as being responsible in over 60% of cases. Pharmacists were considered responsible for improved medication adherence for 88% of patients who set this goal and responsible for improved knowledge for 87% of patients. Carer/patients were considered responsible in 84% of cases where the goal was to improve technique of medication devices. Although GPs were less likely to be considered responsible for a goal, GPs were considered responsible for goals relating to optimising dose (57%) and reducing side effects (61%).</w:t>
      </w:r>
    </w:p>
    <w:p w14:paraId="1F9CD083" w14:textId="77777777" w:rsidR="001C19F3" w:rsidRDefault="001C19F3" w:rsidP="001C19F3">
      <w:pPr>
        <w:spacing w:after="160" w:line="259" w:lineRule="auto"/>
        <w:rPr>
          <w:rFonts w:eastAsia="MS Gothic" w:cs="Arial"/>
          <w:szCs w:val="20"/>
        </w:rPr>
      </w:pPr>
      <w:r>
        <w:rPr>
          <w:rFonts w:eastAsia="MS Gothic" w:cs="Arial"/>
          <w:szCs w:val="20"/>
        </w:rPr>
        <w:br w:type="page"/>
      </w:r>
    </w:p>
    <w:bookmarkEnd w:id="339"/>
    <w:p w14:paraId="5DF7F4A6" w14:textId="77777777" w:rsidR="001C19F3" w:rsidRPr="00F11CC5" w:rsidRDefault="001C19F3" w:rsidP="001C19F3">
      <w:pPr>
        <w:spacing w:after="0"/>
        <w:jc w:val="center"/>
        <w:rPr>
          <w:b/>
        </w:rPr>
      </w:pPr>
      <w:r w:rsidRPr="00F11CC5">
        <w:rPr>
          <w:b/>
        </w:rPr>
        <w:lastRenderedPageBreak/>
        <w:t xml:space="preserve">Table </w:t>
      </w:r>
      <w:r w:rsidRPr="00F11CC5">
        <w:rPr>
          <w:b/>
        </w:rPr>
        <w:fldChar w:fldCharType="begin"/>
      </w:r>
      <w:r w:rsidRPr="00F11CC5">
        <w:rPr>
          <w:b/>
        </w:rPr>
        <w:instrText>SEQ Table \* ARABIC</w:instrText>
      </w:r>
      <w:r w:rsidRPr="00F11CC5">
        <w:rPr>
          <w:b/>
        </w:rPr>
        <w:fldChar w:fldCharType="separate"/>
      </w:r>
      <w:r>
        <w:rPr>
          <w:b/>
          <w:noProof/>
        </w:rPr>
        <w:t>49</w:t>
      </w:r>
      <w:r w:rsidRPr="00F11CC5">
        <w:rPr>
          <w:b/>
        </w:rPr>
        <w:fldChar w:fldCharType="end"/>
      </w:r>
      <w:r w:rsidRPr="00F11CC5">
        <w:rPr>
          <w:b/>
        </w:rPr>
        <w:t xml:space="preserve"> –</w:t>
      </w:r>
      <w:r>
        <w:rPr>
          <w:b/>
        </w:rPr>
        <w:t xml:space="preserve"> Goals identified in medications review</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417"/>
        <w:gridCol w:w="1367"/>
        <w:gridCol w:w="1367"/>
        <w:gridCol w:w="1367"/>
        <w:gridCol w:w="1488"/>
      </w:tblGrid>
      <w:tr w:rsidR="001C19F3" w14:paraId="3A2F2554" w14:textId="77777777" w:rsidTr="00521305">
        <w:trPr>
          <w:cantSplit/>
          <w:trHeight w:val="336"/>
          <w:tblHeader/>
          <w:jc w:val="center"/>
        </w:trPr>
        <w:tc>
          <w:tcPr>
            <w:tcW w:w="1897" w:type="pct"/>
            <w:vMerge w:val="restart"/>
            <w:shd w:val="clear" w:color="auto" w:fill="003D79"/>
            <w:tcMar>
              <w:top w:w="0" w:type="dxa"/>
              <w:left w:w="0" w:type="dxa"/>
              <w:bottom w:w="0" w:type="dxa"/>
              <w:right w:w="0" w:type="dxa"/>
            </w:tcMar>
            <w:vAlign w:val="center"/>
          </w:tcPr>
          <w:p w14:paraId="0C7173F4" w14:textId="77777777" w:rsidR="001C19F3" w:rsidRDefault="001C19F3" w:rsidP="00521305">
            <w:pPr>
              <w:spacing w:after="0"/>
              <w:jc w:val="center"/>
            </w:pPr>
            <w:r>
              <w:rPr>
                <w:rFonts w:cs="Century Gothic"/>
                <w:b/>
                <w:color w:val="FFFFFF"/>
                <w:sz w:val="18"/>
                <w:szCs w:val="18"/>
              </w:rPr>
              <w:t>Goals</w:t>
            </w:r>
          </w:p>
        </w:tc>
        <w:tc>
          <w:tcPr>
            <w:tcW w:w="759" w:type="pct"/>
            <w:vMerge w:val="restart"/>
            <w:shd w:val="clear" w:color="auto" w:fill="003D79"/>
            <w:tcMar>
              <w:top w:w="0" w:type="dxa"/>
              <w:left w:w="0" w:type="dxa"/>
              <w:bottom w:w="0" w:type="dxa"/>
              <w:right w:w="0" w:type="dxa"/>
            </w:tcMar>
            <w:vAlign w:val="center"/>
          </w:tcPr>
          <w:p w14:paraId="7779FD7A" w14:textId="77777777" w:rsidR="001C19F3" w:rsidRDefault="001C19F3" w:rsidP="00521305">
            <w:pPr>
              <w:spacing w:after="0"/>
              <w:jc w:val="center"/>
            </w:pPr>
            <w:r>
              <w:rPr>
                <w:rFonts w:cs="Century Gothic"/>
                <w:b/>
                <w:color w:val="FFFFFF"/>
                <w:sz w:val="18"/>
                <w:szCs w:val="18"/>
              </w:rPr>
              <w:t xml:space="preserve">Total </w:t>
            </w:r>
            <w:r>
              <w:rPr>
                <w:rFonts w:cs="Century Gothic"/>
                <w:b/>
                <w:color w:val="FFFFFF"/>
                <w:sz w:val="18"/>
                <w:szCs w:val="18"/>
              </w:rPr>
              <w:br/>
              <w:t xml:space="preserve"> (n = 468)</w:t>
            </w:r>
          </w:p>
        </w:tc>
        <w:tc>
          <w:tcPr>
            <w:tcW w:w="2344" w:type="pct"/>
            <w:gridSpan w:val="3"/>
            <w:shd w:val="clear" w:color="auto" w:fill="003D79"/>
            <w:tcMar>
              <w:top w:w="0" w:type="dxa"/>
              <w:left w:w="0" w:type="dxa"/>
              <w:bottom w:w="0" w:type="dxa"/>
              <w:right w:w="0" w:type="dxa"/>
            </w:tcMar>
            <w:vAlign w:val="center"/>
          </w:tcPr>
          <w:p w14:paraId="1DFE271C" w14:textId="77777777" w:rsidR="001C19F3" w:rsidRDefault="001C19F3" w:rsidP="00521305">
            <w:pPr>
              <w:spacing w:after="0"/>
              <w:jc w:val="center"/>
            </w:pPr>
            <w:r>
              <w:rPr>
                <w:rFonts w:cs="Century Gothic"/>
                <w:b/>
                <w:color w:val="FFFFFF"/>
                <w:sz w:val="18"/>
                <w:szCs w:val="18"/>
              </w:rPr>
              <w:t>HCH risk tier</w:t>
            </w:r>
          </w:p>
        </w:tc>
      </w:tr>
      <w:tr w:rsidR="001C19F3" w14:paraId="388FB316" w14:textId="77777777" w:rsidTr="00521305">
        <w:trPr>
          <w:cantSplit/>
          <w:trHeight w:val="336"/>
          <w:tblHeader/>
          <w:jc w:val="center"/>
        </w:trPr>
        <w:tc>
          <w:tcPr>
            <w:tcW w:w="1897" w:type="pct"/>
            <w:vMerge/>
            <w:shd w:val="clear" w:color="auto" w:fill="003D79"/>
            <w:tcMar>
              <w:top w:w="0" w:type="dxa"/>
              <w:left w:w="0" w:type="dxa"/>
              <w:bottom w:w="0" w:type="dxa"/>
              <w:right w:w="0" w:type="dxa"/>
            </w:tcMar>
            <w:vAlign w:val="center"/>
          </w:tcPr>
          <w:p w14:paraId="3DB7DE48" w14:textId="77777777" w:rsidR="001C19F3" w:rsidRDefault="001C19F3" w:rsidP="00521305">
            <w:pPr>
              <w:spacing w:after="0"/>
              <w:jc w:val="center"/>
            </w:pPr>
          </w:p>
        </w:tc>
        <w:tc>
          <w:tcPr>
            <w:tcW w:w="759" w:type="pct"/>
            <w:vMerge/>
            <w:shd w:val="clear" w:color="auto" w:fill="003D79"/>
            <w:tcMar>
              <w:top w:w="0" w:type="dxa"/>
              <w:left w:w="0" w:type="dxa"/>
              <w:bottom w:w="0" w:type="dxa"/>
              <w:right w:w="0" w:type="dxa"/>
            </w:tcMar>
            <w:vAlign w:val="center"/>
          </w:tcPr>
          <w:p w14:paraId="51D75708" w14:textId="77777777" w:rsidR="001C19F3" w:rsidRDefault="001C19F3" w:rsidP="00521305">
            <w:pPr>
              <w:spacing w:after="0"/>
              <w:jc w:val="center"/>
            </w:pPr>
          </w:p>
        </w:tc>
        <w:tc>
          <w:tcPr>
            <w:tcW w:w="759" w:type="pct"/>
            <w:shd w:val="clear" w:color="auto" w:fill="003D79"/>
            <w:tcMar>
              <w:top w:w="0" w:type="dxa"/>
              <w:left w:w="0" w:type="dxa"/>
              <w:bottom w:w="0" w:type="dxa"/>
              <w:right w:w="0" w:type="dxa"/>
            </w:tcMar>
            <w:vAlign w:val="center"/>
          </w:tcPr>
          <w:p w14:paraId="4D32B6CE" w14:textId="77777777" w:rsidR="001C19F3" w:rsidRDefault="001C19F3" w:rsidP="00521305">
            <w:pPr>
              <w:spacing w:after="0"/>
              <w:jc w:val="center"/>
            </w:pPr>
            <w:r w:rsidRPr="00991031">
              <w:rPr>
                <w:rFonts w:cs="Century Gothic"/>
                <w:b/>
                <w:color w:val="FFFFFF"/>
                <w:sz w:val="18"/>
                <w:szCs w:val="18"/>
              </w:rPr>
              <w:t xml:space="preserve">1 </w:t>
            </w:r>
            <w:r w:rsidRPr="00991031">
              <w:rPr>
                <w:rFonts w:cs="Century Gothic"/>
                <w:b/>
                <w:color w:val="FFFFFF"/>
                <w:sz w:val="18"/>
                <w:szCs w:val="18"/>
              </w:rPr>
              <w:br/>
            </w:r>
            <w:r w:rsidRPr="00991031">
              <w:rPr>
                <w:rFonts w:eastAsia="MS Gothic" w:cs="Arial"/>
                <w:b/>
              </w:rPr>
              <w:t>44 (9.4%)</w:t>
            </w:r>
          </w:p>
        </w:tc>
        <w:tc>
          <w:tcPr>
            <w:tcW w:w="759" w:type="pct"/>
            <w:shd w:val="clear" w:color="auto" w:fill="003D79"/>
            <w:tcMar>
              <w:top w:w="0" w:type="dxa"/>
              <w:left w:w="0" w:type="dxa"/>
              <w:bottom w:w="0" w:type="dxa"/>
              <w:right w:w="0" w:type="dxa"/>
            </w:tcMar>
            <w:vAlign w:val="center"/>
          </w:tcPr>
          <w:p w14:paraId="2D9BE211" w14:textId="77777777" w:rsidR="001C19F3" w:rsidRDefault="001C19F3" w:rsidP="00521305">
            <w:pPr>
              <w:spacing w:after="0"/>
              <w:jc w:val="center"/>
            </w:pPr>
            <w:r w:rsidRPr="00991031">
              <w:rPr>
                <w:rFonts w:cs="Century Gothic"/>
                <w:b/>
                <w:color w:val="FFFFFF"/>
                <w:sz w:val="18"/>
                <w:szCs w:val="18"/>
              </w:rPr>
              <w:t xml:space="preserve">2 </w:t>
            </w:r>
            <w:r w:rsidRPr="00991031">
              <w:rPr>
                <w:rFonts w:cs="Century Gothic"/>
                <w:b/>
                <w:color w:val="FFFFFF"/>
                <w:sz w:val="18"/>
                <w:szCs w:val="18"/>
              </w:rPr>
              <w:br/>
              <w:t xml:space="preserve"> </w:t>
            </w:r>
            <w:r w:rsidRPr="00991031">
              <w:rPr>
                <w:rFonts w:eastAsia="MS Gothic" w:cs="Arial"/>
                <w:b/>
              </w:rPr>
              <w:t>235 (50.2%)</w:t>
            </w:r>
          </w:p>
        </w:tc>
        <w:tc>
          <w:tcPr>
            <w:tcW w:w="826" w:type="pct"/>
            <w:shd w:val="clear" w:color="auto" w:fill="003D79"/>
            <w:tcMar>
              <w:top w:w="0" w:type="dxa"/>
              <w:left w:w="0" w:type="dxa"/>
              <w:bottom w:w="0" w:type="dxa"/>
              <w:right w:w="0" w:type="dxa"/>
            </w:tcMar>
            <w:vAlign w:val="center"/>
          </w:tcPr>
          <w:p w14:paraId="503C68DC" w14:textId="77777777" w:rsidR="001C19F3" w:rsidRDefault="001C19F3" w:rsidP="00521305">
            <w:pPr>
              <w:spacing w:after="0"/>
              <w:jc w:val="center"/>
            </w:pPr>
            <w:r w:rsidRPr="00991031">
              <w:rPr>
                <w:rFonts w:cs="Century Gothic"/>
                <w:b/>
                <w:color w:val="FFFFFF"/>
                <w:sz w:val="18"/>
                <w:szCs w:val="18"/>
              </w:rPr>
              <w:t xml:space="preserve">3 </w:t>
            </w:r>
            <w:r w:rsidRPr="00991031">
              <w:rPr>
                <w:rFonts w:cs="Century Gothic"/>
                <w:b/>
                <w:color w:val="FFFFFF"/>
                <w:sz w:val="18"/>
                <w:szCs w:val="18"/>
              </w:rPr>
              <w:br/>
              <w:t xml:space="preserve"> </w:t>
            </w:r>
            <w:r w:rsidRPr="00991031">
              <w:rPr>
                <w:rFonts w:eastAsia="MS Gothic" w:cs="Arial"/>
                <w:b/>
              </w:rPr>
              <w:t>189 (40.4%)</w:t>
            </w:r>
          </w:p>
        </w:tc>
      </w:tr>
      <w:tr w:rsidR="001C19F3" w14:paraId="29C880B3" w14:textId="77777777" w:rsidTr="00521305">
        <w:trPr>
          <w:cantSplit/>
          <w:trHeight w:val="288"/>
          <w:jc w:val="center"/>
        </w:trPr>
        <w:tc>
          <w:tcPr>
            <w:tcW w:w="1897" w:type="pct"/>
            <w:shd w:val="clear" w:color="auto" w:fill="FFFFFF"/>
            <w:tcMar>
              <w:top w:w="0" w:type="dxa"/>
              <w:left w:w="0" w:type="dxa"/>
              <w:bottom w:w="0" w:type="dxa"/>
              <w:right w:w="0" w:type="dxa"/>
            </w:tcMar>
            <w:vAlign w:val="center"/>
          </w:tcPr>
          <w:p w14:paraId="7BD633CC" w14:textId="77777777" w:rsidR="001C19F3" w:rsidRDefault="001C19F3" w:rsidP="00521305">
            <w:pPr>
              <w:spacing w:before="40" w:after="40"/>
              <w:ind w:left="40" w:right="40"/>
            </w:pPr>
            <w:r>
              <w:rPr>
                <w:rFonts w:cs="Century Gothic"/>
                <w:color w:val="000000"/>
                <w:sz w:val="18"/>
                <w:szCs w:val="18"/>
              </w:rPr>
              <w:t>Improved medication adherence</w:t>
            </w:r>
          </w:p>
        </w:tc>
        <w:tc>
          <w:tcPr>
            <w:tcW w:w="759" w:type="pct"/>
            <w:shd w:val="clear" w:color="auto" w:fill="FFFFFF"/>
            <w:tcMar>
              <w:top w:w="0" w:type="dxa"/>
              <w:left w:w="0" w:type="dxa"/>
              <w:bottom w:w="0" w:type="dxa"/>
              <w:right w:w="0" w:type="dxa"/>
            </w:tcMar>
            <w:vAlign w:val="center"/>
          </w:tcPr>
          <w:p w14:paraId="638E0D06" w14:textId="77777777" w:rsidR="001C19F3" w:rsidRDefault="001C19F3" w:rsidP="00521305">
            <w:pPr>
              <w:spacing w:before="40" w:after="40"/>
              <w:ind w:left="40" w:right="40"/>
              <w:jc w:val="center"/>
            </w:pPr>
            <w:r>
              <w:rPr>
                <w:rFonts w:cs="Century Gothic"/>
                <w:color w:val="000000"/>
                <w:sz w:val="18"/>
                <w:szCs w:val="18"/>
              </w:rPr>
              <w:t>195 (41.7%)</w:t>
            </w:r>
          </w:p>
        </w:tc>
        <w:tc>
          <w:tcPr>
            <w:tcW w:w="759" w:type="pct"/>
            <w:shd w:val="clear" w:color="auto" w:fill="FFFFFF"/>
            <w:tcMar>
              <w:top w:w="0" w:type="dxa"/>
              <w:left w:w="0" w:type="dxa"/>
              <w:bottom w:w="0" w:type="dxa"/>
              <w:right w:w="0" w:type="dxa"/>
            </w:tcMar>
            <w:vAlign w:val="center"/>
          </w:tcPr>
          <w:p w14:paraId="5B967904" w14:textId="77777777" w:rsidR="001C19F3" w:rsidRDefault="001C19F3" w:rsidP="00521305">
            <w:pPr>
              <w:spacing w:before="40" w:after="40"/>
              <w:ind w:left="40" w:right="40"/>
              <w:jc w:val="center"/>
            </w:pPr>
            <w:r>
              <w:rPr>
                <w:rFonts w:cs="Century Gothic"/>
                <w:color w:val="000000"/>
                <w:sz w:val="18"/>
                <w:szCs w:val="18"/>
              </w:rPr>
              <w:t>3 (6.8%)</w:t>
            </w:r>
          </w:p>
        </w:tc>
        <w:tc>
          <w:tcPr>
            <w:tcW w:w="759" w:type="pct"/>
            <w:shd w:val="clear" w:color="auto" w:fill="FFFFFF"/>
            <w:tcMar>
              <w:top w:w="0" w:type="dxa"/>
              <w:left w:w="0" w:type="dxa"/>
              <w:bottom w:w="0" w:type="dxa"/>
              <w:right w:w="0" w:type="dxa"/>
            </w:tcMar>
            <w:vAlign w:val="center"/>
          </w:tcPr>
          <w:p w14:paraId="36AD867D" w14:textId="77777777" w:rsidR="001C19F3" w:rsidRDefault="001C19F3" w:rsidP="00521305">
            <w:pPr>
              <w:spacing w:before="40" w:after="40"/>
              <w:ind w:left="40" w:right="40"/>
              <w:jc w:val="center"/>
            </w:pPr>
            <w:r>
              <w:rPr>
                <w:rFonts w:cs="Century Gothic"/>
                <w:color w:val="000000"/>
                <w:sz w:val="18"/>
                <w:szCs w:val="18"/>
              </w:rPr>
              <w:t>76 (32.3%)</w:t>
            </w:r>
          </w:p>
        </w:tc>
        <w:tc>
          <w:tcPr>
            <w:tcW w:w="826" w:type="pct"/>
            <w:shd w:val="clear" w:color="auto" w:fill="FFFFFF"/>
            <w:tcMar>
              <w:top w:w="0" w:type="dxa"/>
              <w:left w:w="0" w:type="dxa"/>
              <w:bottom w:w="0" w:type="dxa"/>
              <w:right w:w="0" w:type="dxa"/>
            </w:tcMar>
            <w:vAlign w:val="center"/>
          </w:tcPr>
          <w:p w14:paraId="3A0D42CD" w14:textId="77777777" w:rsidR="001C19F3" w:rsidRDefault="001C19F3" w:rsidP="00521305">
            <w:pPr>
              <w:spacing w:before="40" w:after="40"/>
              <w:ind w:left="40" w:right="40"/>
              <w:jc w:val="center"/>
            </w:pPr>
            <w:r>
              <w:rPr>
                <w:rFonts w:cs="Century Gothic"/>
                <w:color w:val="000000"/>
                <w:sz w:val="18"/>
                <w:szCs w:val="18"/>
              </w:rPr>
              <w:t>116 (61.4%)</w:t>
            </w:r>
          </w:p>
        </w:tc>
      </w:tr>
      <w:tr w:rsidR="001C19F3" w14:paraId="5269641E" w14:textId="77777777" w:rsidTr="00521305">
        <w:trPr>
          <w:cantSplit/>
          <w:trHeight w:val="288"/>
          <w:jc w:val="center"/>
        </w:trPr>
        <w:tc>
          <w:tcPr>
            <w:tcW w:w="1897" w:type="pct"/>
            <w:shd w:val="clear" w:color="auto" w:fill="FFFFFF"/>
            <w:tcMar>
              <w:top w:w="0" w:type="dxa"/>
              <w:left w:w="0" w:type="dxa"/>
              <w:bottom w:w="0" w:type="dxa"/>
              <w:right w:w="0" w:type="dxa"/>
            </w:tcMar>
            <w:vAlign w:val="center"/>
          </w:tcPr>
          <w:p w14:paraId="0BFE1EC9" w14:textId="77777777" w:rsidR="001C19F3" w:rsidRDefault="001C19F3" w:rsidP="00521305">
            <w:pPr>
              <w:spacing w:before="40" w:after="40"/>
              <w:ind w:left="40" w:right="40"/>
            </w:pPr>
            <w:r>
              <w:rPr>
                <w:rFonts w:cs="Century Gothic"/>
                <w:color w:val="000000"/>
                <w:sz w:val="18"/>
                <w:szCs w:val="18"/>
              </w:rPr>
              <w:t>Improved patient knowledge about their medicines leading to improved medication use and disease self-management</w:t>
            </w:r>
          </w:p>
        </w:tc>
        <w:tc>
          <w:tcPr>
            <w:tcW w:w="759" w:type="pct"/>
            <w:shd w:val="clear" w:color="auto" w:fill="FFFFFF"/>
            <w:tcMar>
              <w:top w:w="0" w:type="dxa"/>
              <w:left w:w="0" w:type="dxa"/>
              <w:bottom w:w="0" w:type="dxa"/>
              <w:right w:w="0" w:type="dxa"/>
            </w:tcMar>
            <w:vAlign w:val="center"/>
          </w:tcPr>
          <w:p w14:paraId="2EEFAAA3" w14:textId="77777777" w:rsidR="001C19F3" w:rsidRDefault="001C19F3" w:rsidP="00521305">
            <w:pPr>
              <w:spacing w:before="40" w:after="40"/>
              <w:ind w:left="40" w:right="40"/>
              <w:jc w:val="center"/>
            </w:pPr>
            <w:r>
              <w:rPr>
                <w:rFonts w:cs="Century Gothic"/>
                <w:color w:val="000000"/>
                <w:sz w:val="18"/>
                <w:szCs w:val="18"/>
              </w:rPr>
              <w:t>238 (50.9%)</w:t>
            </w:r>
          </w:p>
        </w:tc>
        <w:tc>
          <w:tcPr>
            <w:tcW w:w="759" w:type="pct"/>
            <w:shd w:val="clear" w:color="auto" w:fill="FFFFFF"/>
            <w:tcMar>
              <w:top w:w="0" w:type="dxa"/>
              <w:left w:w="0" w:type="dxa"/>
              <w:bottom w:w="0" w:type="dxa"/>
              <w:right w:w="0" w:type="dxa"/>
            </w:tcMar>
            <w:vAlign w:val="center"/>
          </w:tcPr>
          <w:p w14:paraId="3B71E9BC" w14:textId="77777777" w:rsidR="001C19F3" w:rsidRDefault="001C19F3" w:rsidP="00521305">
            <w:pPr>
              <w:spacing w:before="40" w:after="40"/>
              <w:ind w:left="40" w:right="40"/>
              <w:jc w:val="center"/>
            </w:pPr>
            <w:r>
              <w:rPr>
                <w:rFonts w:cs="Century Gothic"/>
                <w:color w:val="000000"/>
                <w:sz w:val="18"/>
                <w:szCs w:val="18"/>
              </w:rPr>
              <w:t>32 (72.7%)</w:t>
            </w:r>
          </w:p>
        </w:tc>
        <w:tc>
          <w:tcPr>
            <w:tcW w:w="759" w:type="pct"/>
            <w:shd w:val="clear" w:color="auto" w:fill="FFFFFF"/>
            <w:tcMar>
              <w:top w:w="0" w:type="dxa"/>
              <w:left w:w="0" w:type="dxa"/>
              <w:bottom w:w="0" w:type="dxa"/>
              <w:right w:w="0" w:type="dxa"/>
            </w:tcMar>
            <w:vAlign w:val="center"/>
          </w:tcPr>
          <w:p w14:paraId="1C20A5D2" w14:textId="77777777" w:rsidR="001C19F3" w:rsidRDefault="001C19F3" w:rsidP="00521305">
            <w:pPr>
              <w:spacing w:before="40" w:after="40"/>
              <w:ind w:left="40" w:right="40"/>
              <w:jc w:val="center"/>
            </w:pPr>
            <w:r>
              <w:rPr>
                <w:rFonts w:cs="Century Gothic"/>
                <w:color w:val="000000"/>
                <w:sz w:val="18"/>
                <w:szCs w:val="18"/>
              </w:rPr>
              <w:t>149 (63.4%)</w:t>
            </w:r>
          </w:p>
        </w:tc>
        <w:tc>
          <w:tcPr>
            <w:tcW w:w="826" w:type="pct"/>
            <w:shd w:val="clear" w:color="auto" w:fill="FFFFFF"/>
            <w:tcMar>
              <w:top w:w="0" w:type="dxa"/>
              <w:left w:w="0" w:type="dxa"/>
              <w:bottom w:w="0" w:type="dxa"/>
              <w:right w:w="0" w:type="dxa"/>
            </w:tcMar>
            <w:vAlign w:val="center"/>
          </w:tcPr>
          <w:p w14:paraId="2B861892" w14:textId="77777777" w:rsidR="001C19F3" w:rsidRDefault="001C19F3" w:rsidP="00521305">
            <w:pPr>
              <w:spacing w:before="40" w:after="40"/>
              <w:ind w:left="40" w:right="40"/>
              <w:jc w:val="center"/>
            </w:pPr>
            <w:r>
              <w:rPr>
                <w:rFonts w:cs="Century Gothic"/>
                <w:color w:val="000000"/>
                <w:sz w:val="18"/>
                <w:szCs w:val="18"/>
              </w:rPr>
              <w:t>57 (30.2%)</w:t>
            </w:r>
          </w:p>
        </w:tc>
      </w:tr>
      <w:tr w:rsidR="001C19F3" w14:paraId="296331CB" w14:textId="77777777" w:rsidTr="00521305">
        <w:trPr>
          <w:cantSplit/>
          <w:trHeight w:val="288"/>
          <w:jc w:val="center"/>
        </w:trPr>
        <w:tc>
          <w:tcPr>
            <w:tcW w:w="1897" w:type="pct"/>
            <w:shd w:val="clear" w:color="auto" w:fill="FFFFFF"/>
            <w:tcMar>
              <w:top w:w="0" w:type="dxa"/>
              <w:left w:w="0" w:type="dxa"/>
              <w:bottom w:w="0" w:type="dxa"/>
              <w:right w:w="0" w:type="dxa"/>
            </w:tcMar>
            <w:vAlign w:val="center"/>
          </w:tcPr>
          <w:p w14:paraId="3032ACE3" w14:textId="77777777" w:rsidR="001C19F3" w:rsidRDefault="001C19F3" w:rsidP="00521305">
            <w:pPr>
              <w:spacing w:before="40" w:after="40"/>
              <w:ind w:left="40" w:right="40"/>
            </w:pPr>
            <w:r>
              <w:rPr>
                <w:rFonts w:cs="Century Gothic"/>
                <w:color w:val="000000"/>
                <w:sz w:val="18"/>
                <w:szCs w:val="18"/>
              </w:rPr>
              <w:t>Improved technique/usage of medication devices</w:t>
            </w:r>
          </w:p>
        </w:tc>
        <w:tc>
          <w:tcPr>
            <w:tcW w:w="759" w:type="pct"/>
            <w:shd w:val="clear" w:color="auto" w:fill="FFFFFF"/>
            <w:tcMar>
              <w:top w:w="0" w:type="dxa"/>
              <w:left w:w="0" w:type="dxa"/>
              <w:bottom w:w="0" w:type="dxa"/>
              <w:right w:w="0" w:type="dxa"/>
            </w:tcMar>
            <w:vAlign w:val="center"/>
          </w:tcPr>
          <w:p w14:paraId="231F6013" w14:textId="77777777" w:rsidR="001C19F3" w:rsidRDefault="001C19F3" w:rsidP="00521305">
            <w:pPr>
              <w:spacing w:before="40" w:after="40"/>
              <w:ind w:left="40" w:right="40"/>
              <w:jc w:val="center"/>
            </w:pPr>
            <w:r>
              <w:rPr>
                <w:rFonts w:cs="Century Gothic"/>
                <w:color w:val="000000"/>
                <w:sz w:val="18"/>
                <w:szCs w:val="18"/>
              </w:rPr>
              <w:t>69 (14.7%)</w:t>
            </w:r>
          </w:p>
        </w:tc>
        <w:tc>
          <w:tcPr>
            <w:tcW w:w="759" w:type="pct"/>
            <w:shd w:val="clear" w:color="auto" w:fill="FFFFFF"/>
            <w:tcMar>
              <w:top w:w="0" w:type="dxa"/>
              <w:left w:w="0" w:type="dxa"/>
              <w:bottom w:w="0" w:type="dxa"/>
              <w:right w:w="0" w:type="dxa"/>
            </w:tcMar>
            <w:vAlign w:val="center"/>
          </w:tcPr>
          <w:p w14:paraId="05B58A0E" w14:textId="77777777" w:rsidR="001C19F3" w:rsidRDefault="001C19F3" w:rsidP="00521305">
            <w:pPr>
              <w:spacing w:before="40" w:after="40"/>
              <w:ind w:left="40" w:right="40"/>
              <w:jc w:val="center"/>
            </w:pPr>
            <w:r>
              <w:rPr>
                <w:rFonts w:cs="Century Gothic"/>
                <w:color w:val="000000"/>
                <w:sz w:val="18"/>
                <w:szCs w:val="18"/>
              </w:rPr>
              <w:t>5 (11.4%)</w:t>
            </w:r>
          </w:p>
        </w:tc>
        <w:tc>
          <w:tcPr>
            <w:tcW w:w="759" w:type="pct"/>
            <w:shd w:val="clear" w:color="auto" w:fill="FFFFFF"/>
            <w:tcMar>
              <w:top w:w="0" w:type="dxa"/>
              <w:left w:w="0" w:type="dxa"/>
              <w:bottom w:w="0" w:type="dxa"/>
              <w:right w:w="0" w:type="dxa"/>
            </w:tcMar>
            <w:vAlign w:val="center"/>
          </w:tcPr>
          <w:p w14:paraId="207DE3B3" w14:textId="77777777" w:rsidR="001C19F3" w:rsidRDefault="001C19F3" w:rsidP="00521305">
            <w:pPr>
              <w:spacing w:before="40" w:after="40"/>
              <w:ind w:left="40" w:right="40"/>
              <w:jc w:val="center"/>
            </w:pPr>
            <w:r>
              <w:rPr>
                <w:rFonts w:cs="Century Gothic"/>
                <w:color w:val="000000"/>
                <w:sz w:val="18"/>
                <w:szCs w:val="18"/>
              </w:rPr>
              <w:t>33 (14.0%)</w:t>
            </w:r>
          </w:p>
        </w:tc>
        <w:tc>
          <w:tcPr>
            <w:tcW w:w="826" w:type="pct"/>
            <w:shd w:val="clear" w:color="auto" w:fill="FFFFFF"/>
            <w:tcMar>
              <w:top w:w="0" w:type="dxa"/>
              <w:left w:w="0" w:type="dxa"/>
              <w:bottom w:w="0" w:type="dxa"/>
              <w:right w:w="0" w:type="dxa"/>
            </w:tcMar>
            <w:vAlign w:val="center"/>
          </w:tcPr>
          <w:p w14:paraId="18950EBD" w14:textId="77777777" w:rsidR="001C19F3" w:rsidRDefault="001C19F3" w:rsidP="00521305">
            <w:pPr>
              <w:spacing w:before="40" w:after="40"/>
              <w:ind w:left="40" w:right="40"/>
              <w:jc w:val="center"/>
            </w:pPr>
            <w:r>
              <w:rPr>
                <w:rFonts w:cs="Century Gothic"/>
                <w:color w:val="000000"/>
                <w:sz w:val="18"/>
                <w:szCs w:val="18"/>
              </w:rPr>
              <w:t>31 (16.4%)</w:t>
            </w:r>
          </w:p>
        </w:tc>
      </w:tr>
      <w:tr w:rsidR="001C19F3" w14:paraId="31F9244E" w14:textId="77777777" w:rsidTr="00521305">
        <w:trPr>
          <w:cantSplit/>
          <w:trHeight w:val="288"/>
          <w:jc w:val="center"/>
        </w:trPr>
        <w:tc>
          <w:tcPr>
            <w:tcW w:w="1897" w:type="pct"/>
            <w:shd w:val="clear" w:color="auto" w:fill="FFFFFF"/>
            <w:tcMar>
              <w:top w:w="0" w:type="dxa"/>
              <w:left w:w="0" w:type="dxa"/>
              <w:bottom w:w="0" w:type="dxa"/>
              <w:right w:w="0" w:type="dxa"/>
            </w:tcMar>
            <w:vAlign w:val="center"/>
          </w:tcPr>
          <w:p w14:paraId="5D79F703" w14:textId="77777777" w:rsidR="001C19F3" w:rsidRDefault="001C19F3" w:rsidP="00521305">
            <w:pPr>
              <w:spacing w:before="40" w:after="40"/>
              <w:ind w:left="40" w:right="40"/>
            </w:pPr>
            <w:r>
              <w:rPr>
                <w:rFonts w:cs="Century Gothic"/>
                <w:color w:val="000000"/>
                <w:sz w:val="18"/>
                <w:szCs w:val="18"/>
              </w:rPr>
              <w:t>Optimise the medication dose and/or number or type of medicines</w:t>
            </w:r>
          </w:p>
        </w:tc>
        <w:tc>
          <w:tcPr>
            <w:tcW w:w="759" w:type="pct"/>
            <w:shd w:val="clear" w:color="auto" w:fill="FFFFFF"/>
            <w:tcMar>
              <w:top w:w="0" w:type="dxa"/>
              <w:left w:w="0" w:type="dxa"/>
              <w:bottom w:w="0" w:type="dxa"/>
              <w:right w:w="0" w:type="dxa"/>
            </w:tcMar>
            <w:vAlign w:val="center"/>
          </w:tcPr>
          <w:p w14:paraId="2B0605C2" w14:textId="77777777" w:rsidR="001C19F3" w:rsidRDefault="001C19F3" w:rsidP="00521305">
            <w:pPr>
              <w:spacing w:before="40" w:after="40"/>
              <w:ind w:left="40" w:right="40"/>
              <w:jc w:val="center"/>
            </w:pPr>
            <w:r>
              <w:rPr>
                <w:rFonts w:cs="Century Gothic"/>
                <w:color w:val="000000"/>
                <w:sz w:val="18"/>
                <w:szCs w:val="18"/>
              </w:rPr>
              <w:t>83 (17.7%)</w:t>
            </w:r>
          </w:p>
        </w:tc>
        <w:tc>
          <w:tcPr>
            <w:tcW w:w="759" w:type="pct"/>
            <w:shd w:val="clear" w:color="auto" w:fill="FFFFFF"/>
            <w:tcMar>
              <w:top w:w="0" w:type="dxa"/>
              <w:left w:w="0" w:type="dxa"/>
              <w:bottom w:w="0" w:type="dxa"/>
              <w:right w:w="0" w:type="dxa"/>
            </w:tcMar>
            <w:vAlign w:val="center"/>
          </w:tcPr>
          <w:p w14:paraId="2117AAE3" w14:textId="77777777" w:rsidR="001C19F3" w:rsidRDefault="001C19F3" w:rsidP="00521305">
            <w:pPr>
              <w:spacing w:before="40" w:after="40"/>
              <w:ind w:left="40" w:right="40"/>
              <w:jc w:val="center"/>
            </w:pPr>
            <w:r>
              <w:rPr>
                <w:rFonts w:cs="Century Gothic"/>
                <w:color w:val="000000"/>
                <w:sz w:val="18"/>
                <w:szCs w:val="18"/>
              </w:rPr>
              <w:t>7 (15.9%)</w:t>
            </w:r>
          </w:p>
        </w:tc>
        <w:tc>
          <w:tcPr>
            <w:tcW w:w="759" w:type="pct"/>
            <w:shd w:val="clear" w:color="auto" w:fill="FFFFFF"/>
            <w:tcMar>
              <w:top w:w="0" w:type="dxa"/>
              <w:left w:w="0" w:type="dxa"/>
              <w:bottom w:w="0" w:type="dxa"/>
              <w:right w:w="0" w:type="dxa"/>
            </w:tcMar>
            <w:vAlign w:val="center"/>
          </w:tcPr>
          <w:p w14:paraId="24037DEA" w14:textId="77777777" w:rsidR="001C19F3" w:rsidRDefault="001C19F3" w:rsidP="00521305">
            <w:pPr>
              <w:spacing w:before="40" w:after="40"/>
              <w:ind w:left="40" w:right="40"/>
              <w:jc w:val="center"/>
            </w:pPr>
            <w:r>
              <w:rPr>
                <w:rFonts w:cs="Century Gothic"/>
                <w:color w:val="000000"/>
                <w:sz w:val="18"/>
                <w:szCs w:val="18"/>
              </w:rPr>
              <w:t>40 (17.0%)</w:t>
            </w:r>
          </w:p>
        </w:tc>
        <w:tc>
          <w:tcPr>
            <w:tcW w:w="826" w:type="pct"/>
            <w:shd w:val="clear" w:color="auto" w:fill="FFFFFF"/>
            <w:tcMar>
              <w:top w:w="0" w:type="dxa"/>
              <w:left w:w="0" w:type="dxa"/>
              <w:bottom w:w="0" w:type="dxa"/>
              <w:right w:w="0" w:type="dxa"/>
            </w:tcMar>
            <w:vAlign w:val="center"/>
          </w:tcPr>
          <w:p w14:paraId="35023D5F" w14:textId="77777777" w:rsidR="001C19F3" w:rsidRDefault="001C19F3" w:rsidP="00521305">
            <w:pPr>
              <w:spacing w:before="40" w:after="40"/>
              <w:ind w:left="40" w:right="40"/>
              <w:jc w:val="center"/>
            </w:pPr>
            <w:r>
              <w:rPr>
                <w:rFonts w:cs="Century Gothic"/>
                <w:color w:val="000000"/>
                <w:sz w:val="18"/>
                <w:szCs w:val="18"/>
              </w:rPr>
              <w:t>36 (19.0%)</w:t>
            </w:r>
          </w:p>
        </w:tc>
      </w:tr>
      <w:tr w:rsidR="001C19F3" w14:paraId="22226047" w14:textId="77777777" w:rsidTr="00521305">
        <w:trPr>
          <w:cantSplit/>
          <w:trHeight w:val="288"/>
          <w:jc w:val="center"/>
        </w:trPr>
        <w:tc>
          <w:tcPr>
            <w:tcW w:w="1897" w:type="pct"/>
            <w:shd w:val="clear" w:color="auto" w:fill="FFFFFF"/>
            <w:tcMar>
              <w:top w:w="0" w:type="dxa"/>
              <w:left w:w="0" w:type="dxa"/>
              <w:bottom w:w="0" w:type="dxa"/>
              <w:right w:w="0" w:type="dxa"/>
            </w:tcMar>
            <w:vAlign w:val="center"/>
          </w:tcPr>
          <w:p w14:paraId="3DF2800E" w14:textId="77777777" w:rsidR="001C19F3" w:rsidRDefault="001C19F3" w:rsidP="00521305">
            <w:pPr>
              <w:spacing w:before="40" w:after="40"/>
              <w:ind w:left="40" w:right="40"/>
            </w:pPr>
            <w:r>
              <w:rPr>
                <w:rFonts w:cs="Century Gothic"/>
                <w:color w:val="000000"/>
                <w:sz w:val="18"/>
                <w:szCs w:val="18"/>
              </w:rPr>
              <w:t>Reduced medication side effects</w:t>
            </w:r>
          </w:p>
        </w:tc>
        <w:tc>
          <w:tcPr>
            <w:tcW w:w="759" w:type="pct"/>
            <w:shd w:val="clear" w:color="auto" w:fill="FFFFFF"/>
            <w:tcMar>
              <w:top w:w="0" w:type="dxa"/>
              <w:left w:w="0" w:type="dxa"/>
              <w:bottom w:w="0" w:type="dxa"/>
              <w:right w:w="0" w:type="dxa"/>
            </w:tcMar>
            <w:vAlign w:val="center"/>
          </w:tcPr>
          <w:p w14:paraId="1B276A03" w14:textId="77777777" w:rsidR="001C19F3" w:rsidRDefault="001C19F3" w:rsidP="00521305">
            <w:pPr>
              <w:spacing w:before="40" w:after="40"/>
              <w:ind w:left="40" w:right="40"/>
              <w:jc w:val="center"/>
            </w:pPr>
            <w:r>
              <w:rPr>
                <w:rFonts w:cs="Century Gothic"/>
                <w:color w:val="000000"/>
                <w:sz w:val="18"/>
                <w:szCs w:val="18"/>
              </w:rPr>
              <w:t>38 (8.1%)</w:t>
            </w:r>
          </w:p>
        </w:tc>
        <w:tc>
          <w:tcPr>
            <w:tcW w:w="759" w:type="pct"/>
            <w:shd w:val="clear" w:color="auto" w:fill="FFFFFF"/>
            <w:tcMar>
              <w:top w:w="0" w:type="dxa"/>
              <w:left w:w="0" w:type="dxa"/>
              <w:bottom w:w="0" w:type="dxa"/>
              <w:right w:w="0" w:type="dxa"/>
            </w:tcMar>
            <w:vAlign w:val="center"/>
          </w:tcPr>
          <w:p w14:paraId="521AAF29" w14:textId="77777777" w:rsidR="001C19F3" w:rsidRDefault="001C19F3" w:rsidP="00521305">
            <w:pPr>
              <w:spacing w:before="40" w:after="40"/>
              <w:ind w:left="40" w:right="40"/>
              <w:jc w:val="center"/>
            </w:pPr>
            <w:r>
              <w:rPr>
                <w:rFonts w:cs="Century Gothic"/>
                <w:color w:val="000000"/>
                <w:sz w:val="18"/>
                <w:szCs w:val="18"/>
              </w:rPr>
              <w:t>4 (9.1%)</w:t>
            </w:r>
          </w:p>
        </w:tc>
        <w:tc>
          <w:tcPr>
            <w:tcW w:w="759" w:type="pct"/>
            <w:shd w:val="clear" w:color="auto" w:fill="FFFFFF"/>
            <w:tcMar>
              <w:top w:w="0" w:type="dxa"/>
              <w:left w:w="0" w:type="dxa"/>
              <w:bottom w:w="0" w:type="dxa"/>
              <w:right w:w="0" w:type="dxa"/>
            </w:tcMar>
            <w:vAlign w:val="center"/>
          </w:tcPr>
          <w:p w14:paraId="64BE88F7" w14:textId="77777777" w:rsidR="001C19F3" w:rsidRDefault="001C19F3" w:rsidP="00521305">
            <w:pPr>
              <w:spacing w:before="40" w:after="40"/>
              <w:ind w:left="40" w:right="40"/>
              <w:jc w:val="center"/>
            </w:pPr>
            <w:r>
              <w:rPr>
                <w:rFonts w:cs="Century Gothic"/>
                <w:color w:val="000000"/>
                <w:sz w:val="18"/>
                <w:szCs w:val="18"/>
              </w:rPr>
              <w:t>14 (6.0%)</w:t>
            </w:r>
          </w:p>
        </w:tc>
        <w:tc>
          <w:tcPr>
            <w:tcW w:w="826" w:type="pct"/>
            <w:shd w:val="clear" w:color="auto" w:fill="FFFFFF"/>
            <w:tcMar>
              <w:top w:w="0" w:type="dxa"/>
              <w:left w:w="0" w:type="dxa"/>
              <w:bottom w:w="0" w:type="dxa"/>
              <w:right w:w="0" w:type="dxa"/>
            </w:tcMar>
            <w:vAlign w:val="center"/>
          </w:tcPr>
          <w:p w14:paraId="7C995A19" w14:textId="77777777" w:rsidR="001C19F3" w:rsidRDefault="001C19F3" w:rsidP="00521305">
            <w:pPr>
              <w:spacing w:before="40" w:after="40"/>
              <w:ind w:left="40" w:right="40"/>
              <w:jc w:val="center"/>
            </w:pPr>
            <w:r>
              <w:rPr>
                <w:rFonts w:cs="Century Gothic"/>
                <w:color w:val="000000"/>
                <w:sz w:val="18"/>
                <w:szCs w:val="18"/>
              </w:rPr>
              <w:t>20 (10.6%)</w:t>
            </w:r>
          </w:p>
        </w:tc>
      </w:tr>
      <w:tr w:rsidR="001C19F3" w14:paraId="60C20550" w14:textId="77777777" w:rsidTr="00521305">
        <w:trPr>
          <w:cantSplit/>
          <w:trHeight w:val="288"/>
          <w:jc w:val="center"/>
        </w:trPr>
        <w:tc>
          <w:tcPr>
            <w:tcW w:w="1897" w:type="pct"/>
            <w:shd w:val="clear" w:color="auto" w:fill="FFFFFF"/>
            <w:tcMar>
              <w:top w:w="0" w:type="dxa"/>
              <w:left w:w="0" w:type="dxa"/>
              <w:bottom w:w="0" w:type="dxa"/>
              <w:right w:w="0" w:type="dxa"/>
            </w:tcMar>
            <w:vAlign w:val="center"/>
          </w:tcPr>
          <w:p w14:paraId="1BD44C8D" w14:textId="77777777" w:rsidR="001C19F3" w:rsidRDefault="001C19F3" w:rsidP="00521305">
            <w:pPr>
              <w:spacing w:before="40" w:after="40"/>
              <w:ind w:left="40" w:right="40"/>
            </w:pPr>
            <w:r>
              <w:rPr>
                <w:rFonts w:cs="Century Gothic"/>
                <w:color w:val="000000"/>
                <w:sz w:val="18"/>
                <w:szCs w:val="18"/>
              </w:rPr>
              <w:t>Other</w:t>
            </w:r>
          </w:p>
        </w:tc>
        <w:tc>
          <w:tcPr>
            <w:tcW w:w="759" w:type="pct"/>
            <w:shd w:val="clear" w:color="auto" w:fill="FFFFFF"/>
            <w:tcMar>
              <w:top w:w="0" w:type="dxa"/>
              <w:left w:w="0" w:type="dxa"/>
              <w:bottom w:w="0" w:type="dxa"/>
              <w:right w:w="0" w:type="dxa"/>
            </w:tcMar>
            <w:vAlign w:val="center"/>
          </w:tcPr>
          <w:p w14:paraId="3A897F03" w14:textId="77777777" w:rsidR="001C19F3" w:rsidRDefault="001C19F3" w:rsidP="00521305">
            <w:pPr>
              <w:spacing w:before="40" w:after="40"/>
              <w:ind w:left="40" w:right="40"/>
              <w:jc w:val="center"/>
            </w:pPr>
            <w:r>
              <w:rPr>
                <w:rFonts w:cs="Century Gothic"/>
                <w:color w:val="000000"/>
                <w:sz w:val="18"/>
                <w:szCs w:val="18"/>
              </w:rPr>
              <w:t>87 (18.6%)</w:t>
            </w:r>
          </w:p>
        </w:tc>
        <w:tc>
          <w:tcPr>
            <w:tcW w:w="759" w:type="pct"/>
            <w:shd w:val="clear" w:color="auto" w:fill="FFFFFF"/>
            <w:tcMar>
              <w:top w:w="0" w:type="dxa"/>
              <w:left w:w="0" w:type="dxa"/>
              <w:bottom w:w="0" w:type="dxa"/>
              <w:right w:w="0" w:type="dxa"/>
            </w:tcMar>
            <w:vAlign w:val="center"/>
          </w:tcPr>
          <w:p w14:paraId="47DA5BFF" w14:textId="77777777" w:rsidR="001C19F3" w:rsidRDefault="001C19F3" w:rsidP="00521305">
            <w:pPr>
              <w:spacing w:before="40" w:after="40"/>
              <w:ind w:left="40" w:right="40"/>
              <w:jc w:val="center"/>
            </w:pPr>
            <w:r>
              <w:rPr>
                <w:rFonts w:cs="Century Gothic"/>
                <w:color w:val="000000"/>
                <w:sz w:val="18"/>
                <w:szCs w:val="18"/>
              </w:rPr>
              <w:t>10 (22.7%)</w:t>
            </w:r>
          </w:p>
        </w:tc>
        <w:tc>
          <w:tcPr>
            <w:tcW w:w="759" w:type="pct"/>
            <w:shd w:val="clear" w:color="auto" w:fill="FFFFFF"/>
            <w:tcMar>
              <w:top w:w="0" w:type="dxa"/>
              <w:left w:w="0" w:type="dxa"/>
              <w:bottom w:w="0" w:type="dxa"/>
              <w:right w:w="0" w:type="dxa"/>
            </w:tcMar>
            <w:vAlign w:val="center"/>
          </w:tcPr>
          <w:p w14:paraId="1F083189" w14:textId="77777777" w:rsidR="001C19F3" w:rsidRDefault="001C19F3" w:rsidP="00521305">
            <w:pPr>
              <w:spacing w:before="40" w:after="40"/>
              <w:ind w:left="40" w:right="40"/>
              <w:jc w:val="center"/>
            </w:pPr>
            <w:r>
              <w:rPr>
                <w:rFonts w:cs="Century Gothic"/>
                <w:color w:val="000000"/>
                <w:sz w:val="18"/>
                <w:szCs w:val="18"/>
              </w:rPr>
              <w:t>40 (17.0%)</w:t>
            </w:r>
          </w:p>
        </w:tc>
        <w:tc>
          <w:tcPr>
            <w:tcW w:w="826" w:type="pct"/>
            <w:shd w:val="clear" w:color="auto" w:fill="FFFFFF"/>
            <w:tcMar>
              <w:top w:w="0" w:type="dxa"/>
              <w:left w:w="0" w:type="dxa"/>
              <w:bottom w:w="0" w:type="dxa"/>
              <w:right w:w="0" w:type="dxa"/>
            </w:tcMar>
            <w:vAlign w:val="center"/>
          </w:tcPr>
          <w:p w14:paraId="18611DD4" w14:textId="77777777" w:rsidR="001C19F3" w:rsidRDefault="001C19F3" w:rsidP="00521305">
            <w:pPr>
              <w:spacing w:before="40" w:after="40"/>
              <w:ind w:left="40" w:right="40"/>
              <w:jc w:val="center"/>
            </w:pPr>
            <w:r>
              <w:rPr>
                <w:rFonts w:cs="Century Gothic"/>
                <w:color w:val="000000"/>
                <w:sz w:val="18"/>
                <w:szCs w:val="18"/>
              </w:rPr>
              <w:t>37 (19.6%)</w:t>
            </w:r>
          </w:p>
        </w:tc>
      </w:tr>
    </w:tbl>
    <w:p w14:paraId="0E52A9DA" w14:textId="77777777" w:rsidR="001C19F3" w:rsidRPr="008D1867" w:rsidRDefault="001C19F3" w:rsidP="001C19F3">
      <w:pPr>
        <w:pStyle w:val="Chartortablefootnote"/>
      </w:pPr>
      <w:r>
        <w:t>Source: Community Pharmacy in HCH trial Health Outcomes data set provided by the Pharmacy Guild, to 30 June 2019.</w:t>
      </w:r>
    </w:p>
    <w:p w14:paraId="144AD73B" w14:textId="77777777" w:rsidR="001C19F3" w:rsidRDefault="001C19F3" w:rsidP="001C19F3">
      <w:pPr>
        <w:rPr>
          <w:rFonts w:eastAsia="MS Gothic" w:cs="Arial"/>
          <w:szCs w:val="20"/>
        </w:rPr>
      </w:pPr>
      <w:bookmarkStart w:id="341" w:name="_Hlk21516017"/>
      <w:r>
        <w:rPr>
          <w:rFonts w:eastAsia="MS Gothic" w:cs="Arial"/>
          <w:szCs w:val="20"/>
        </w:rPr>
        <w:t xml:space="preserve">Patients were offered services to assist them in achieving the goals they agreed to in the MMP. </w:t>
      </w:r>
      <w:bookmarkStart w:id="342" w:name="_Hlk27039974"/>
      <w:r>
        <w:rPr>
          <w:rFonts w:eastAsia="MS Gothic" w:cs="Arial"/>
          <w:szCs w:val="20"/>
        </w:rPr>
        <w:t xml:space="preserve">The most common service offered was blood pressure monitoring (31% of patients), followed by dose administration aid (25%). </w:t>
      </w:r>
      <w:bookmarkEnd w:id="342"/>
    </w:p>
    <w:bookmarkEnd w:id="341"/>
    <w:p w14:paraId="162FAD68" w14:textId="77777777" w:rsidR="001C19F3" w:rsidRPr="00F11CC5" w:rsidRDefault="001C19F3" w:rsidP="001C19F3">
      <w:pPr>
        <w:spacing w:after="0"/>
        <w:jc w:val="center"/>
        <w:rPr>
          <w:b/>
        </w:rPr>
      </w:pPr>
      <w:r w:rsidRPr="00F11CC5">
        <w:rPr>
          <w:b/>
        </w:rPr>
        <w:t xml:space="preserve">Table </w:t>
      </w:r>
      <w:r w:rsidRPr="00F11CC5">
        <w:rPr>
          <w:b/>
        </w:rPr>
        <w:fldChar w:fldCharType="begin"/>
      </w:r>
      <w:r w:rsidRPr="00F11CC5">
        <w:rPr>
          <w:b/>
        </w:rPr>
        <w:instrText>SEQ Table \* ARABIC</w:instrText>
      </w:r>
      <w:r w:rsidRPr="00F11CC5">
        <w:rPr>
          <w:b/>
        </w:rPr>
        <w:fldChar w:fldCharType="separate"/>
      </w:r>
      <w:r>
        <w:rPr>
          <w:b/>
          <w:noProof/>
        </w:rPr>
        <w:t>50</w:t>
      </w:r>
      <w:r w:rsidRPr="00F11CC5">
        <w:rPr>
          <w:b/>
        </w:rPr>
        <w:fldChar w:fldCharType="end"/>
      </w:r>
      <w:r w:rsidRPr="00F11CC5">
        <w:rPr>
          <w:b/>
        </w:rPr>
        <w:t xml:space="preserve"> –</w:t>
      </w:r>
      <w:r>
        <w:rPr>
          <w:b/>
        </w:rPr>
        <w:t xml:space="preserve"> </w:t>
      </w:r>
      <w:r w:rsidRPr="00F11CC5">
        <w:rPr>
          <w:b/>
        </w:rPr>
        <w:t xml:space="preserve">Support services provided by </w:t>
      </w:r>
      <w:r>
        <w:rPr>
          <w:b/>
        </w:rPr>
        <w:t xml:space="preserve">community </w:t>
      </w:r>
      <w:r w:rsidRPr="00F11CC5">
        <w:rPr>
          <w:b/>
        </w:rPr>
        <w:t>pharmacist</w:t>
      </w:r>
    </w:p>
    <w:tbl>
      <w:tblPr>
        <w:tblW w:w="5591"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661"/>
        <w:gridCol w:w="970"/>
        <w:gridCol w:w="960"/>
      </w:tblGrid>
      <w:tr w:rsidR="001C19F3" w:rsidRPr="00F11CC5" w14:paraId="096FA1D3" w14:textId="77777777" w:rsidTr="00521305">
        <w:trPr>
          <w:trHeight w:val="349"/>
          <w:jc w:val="center"/>
        </w:trPr>
        <w:tc>
          <w:tcPr>
            <w:tcW w:w="3661" w:type="dxa"/>
            <w:shd w:val="clear" w:color="auto" w:fill="003D79"/>
            <w:noWrap/>
            <w:vAlign w:val="bottom"/>
            <w:hideMark/>
          </w:tcPr>
          <w:p w14:paraId="3E1C2062" w14:textId="77777777" w:rsidR="001C19F3" w:rsidRPr="00F11CC5" w:rsidRDefault="001C19F3" w:rsidP="00521305">
            <w:pPr>
              <w:spacing w:before="40" w:after="40"/>
              <w:ind w:left="40" w:right="40"/>
              <w:jc w:val="center"/>
              <w:rPr>
                <w:rFonts w:cs="Century Gothic"/>
                <w:b/>
                <w:color w:val="FFFFFF" w:themeColor="background1"/>
                <w:sz w:val="18"/>
                <w:szCs w:val="18"/>
              </w:rPr>
            </w:pPr>
            <w:r w:rsidRPr="00F11CC5">
              <w:rPr>
                <w:rFonts w:cs="Century Gothic"/>
                <w:b/>
                <w:color w:val="FFFFFF" w:themeColor="background1"/>
                <w:sz w:val="18"/>
                <w:szCs w:val="18"/>
              </w:rPr>
              <w:t>Support service provided</w:t>
            </w:r>
          </w:p>
        </w:tc>
        <w:tc>
          <w:tcPr>
            <w:tcW w:w="970" w:type="dxa"/>
            <w:shd w:val="clear" w:color="auto" w:fill="003D79"/>
            <w:noWrap/>
            <w:vAlign w:val="bottom"/>
            <w:hideMark/>
          </w:tcPr>
          <w:p w14:paraId="581332E1" w14:textId="77777777" w:rsidR="001C19F3" w:rsidRPr="00F11CC5" w:rsidRDefault="001C19F3" w:rsidP="00521305">
            <w:pPr>
              <w:spacing w:before="40" w:after="40"/>
              <w:ind w:left="40" w:right="40"/>
              <w:jc w:val="center"/>
              <w:rPr>
                <w:rFonts w:cs="Century Gothic"/>
                <w:b/>
                <w:color w:val="FFFFFF" w:themeColor="background1"/>
                <w:sz w:val="18"/>
                <w:szCs w:val="18"/>
              </w:rPr>
            </w:pPr>
            <w:r w:rsidRPr="00F11CC5">
              <w:rPr>
                <w:rFonts w:cs="Century Gothic"/>
                <w:b/>
                <w:color w:val="FFFFFF" w:themeColor="background1"/>
                <w:sz w:val="18"/>
                <w:szCs w:val="18"/>
              </w:rPr>
              <w:t>Patients</w:t>
            </w:r>
          </w:p>
        </w:tc>
        <w:tc>
          <w:tcPr>
            <w:tcW w:w="960" w:type="dxa"/>
            <w:shd w:val="clear" w:color="auto" w:fill="003D79"/>
            <w:noWrap/>
            <w:vAlign w:val="bottom"/>
            <w:hideMark/>
          </w:tcPr>
          <w:p w14:paraId="7393D56D" w14:textId="77777777" w:rsidR="001C19F3" w:rsidRPr="00F11CC5" w:rsidRDefault="001C19F3" w:rsidP="00521305">
            <w:pPr>
              <w:spacing w:before="40" w:after="40"/>
              <w:ind w:left="40" w:right="40"/>
              <w:jc w:val="center"/>
              <w:rPr>
                <w:rFonts w:cs="Century Gothic"/>
                <w:b/>
                <w:color w:val="FFFFFF" w:themeColor="background1"/>
                <w:sz w:val="18"/>
                <w:szCs w:val="18"/>
              </w:rPr>
            </w:pPr>
            <w:r w:rsidRPr="00F11CC5">
              <w:rPr>
                <w:rFonts w:cs="Century Gothic"/>
                <w:b/>
                <w:color w:val="FFFFFF" w:themeColor="background1"/>
                <w:sz w:val="18"/>
                <w:szCs w:val="18"/>
              </w:rPr>
              <w:t>%</w:t>
            </w:r>
          </w:p>
        </w:tc>
      </w:tr>
      <w:tr w:rsidR="001C19F3" w:rsidRPr="00F11CC5" w14:paraId="0295C806" w14:textId="77777777" w:rsidTr="00521305">
        <w:trPr>
          <w:trHeight w:val="300"/>
          <w:jc w:val="center"/>
        </w:trPr>
        <w:tc>
          <w:tcPr>
            <w:tcW w:w="3661" w:type="dxa"/>
            <w:shd w:val="clear" w:color="auto" w:fill="auto"/>
            <w:noWrap/>
            <w:vAlign w:val="bottom"/>
            <w:hideMark/>
          </w:tcPr>
          <w:p w14:paraId="1A9FCC6F" w14:textId="77777777" w:rsidR="001C19F3" w:rsidRPr="00F11CC5" w:rsidRDefault="001C19F3" w:rsidP="00521305">
            <w:pPr>
              <w:spacing w:before="40" w:after="40"/>
              <w:ind w:left="40" w:right="40"/>
              <w:rPr>
                <w:rFonts w:cs="Century Gothic"/>
                <w:color w:val="000000"/>
                <w:sz w:val="18"/>
                <w:szCs w:val="18"/>
              </w:rPr>
            </w:pPr>
            <w:r w:rsidRPr="00F11CC5">
              <w:rPr>
                <w:rFonts w:cs="Century Gothic"/>
                <w:color w:val="000000"/>
                <w:sz w:val="18"/>
                <w:szCs w:val="18"/>
              </w:rPr>
              <w:t>Asthma management plan</w:t>
            </w:r>
          </w:p>
        </w:tc>
        <w:tc>
          <w:tcPr>
            <w:tcW w:w="970" w:type="dxa"/>
            <w:shd w:val="clear" w:color="auto" w:fill="auto"/>
            <w:noWrap/>
            <w:vAlign w:val="bottom"/>
            <w:hideMark/>
          </w:tcPr>
          <w:p w14:paraId="7F727B50"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20</w:t>
            </w:r>
          </w:p>
        </w:tc>
        <w:tc>
          <w:tcPr>
            <w:tcW w:w="960" w:type="dxa"/>
            <w:shd w:val="clear" w:color="auto" w:fill="auto"/>
            <w:noWrap/>
            <w:vAlign w:val="bottom"/>
            <w:hideMark/>
          </w:tcPr>
          <w:p w14:paraId="65F1A6B8"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4.3%</w:t>
            </w:r>
          </w:p>
        </w:tc>
      </w:tr>
      <w:tr w:rsidR="001C19F3" w:rsidRPr="00F11CC5" w14:paraId="2F56588C" w14:textId="77777777" w:rsidTr="00521305">
        <w:trPr>
          <w:trHeight w:val="300"/>
          <w:jc w:val="center"/>
        </w:trPr>
        <w:tc>
          <w:tcPr>
            <w:tcW w:w="3661" w:type="dxa"/>
            <w:shd w:val="clear" w:color="auto" w:fill="auto"/>
            <w:noWrap/>
            <w:vAlign w:val="bottom"/>
            <w:hideMark/>
          </w:tcPr>
          <w:p w14:paraId="4727463A" w14:textId="77777777" w:rsidR="001C19F3" w:rsidRPr="00F11CC5" w:rsidRDefault="001C19F3" w:rsidP="00521305">
            <w:pPr>
              <w:spacing w:before="40" w:after="40"/>
              <w:ind w:left="40" w:right="40"/>
              <w:rPr>
                <w:rFonts w:cs="Century Gothic"/>
                <w:color w:val="000000"/>
                <w:sz w:val="18"/>
                <w:szCs w:val="18"/>
              </w:rPr>
            </w:pPr>
            <w:r w:rsidRPr="00F11CC5">
              <w:rPr>
                <w:rFonts w:cs="Century Gothic"/>
                <w:color w:val="000000"/>
                <w:sz w:val="18"/>
                <w:szCs w:val="18"/>
              </w:rPr>
              <w:t>Blood glucose monitoring</w:t>
            </w:r>
          </w:p>
        </w:tc>
        <w:tc>
          <w:tcPr>
            <w:tcW w:w="970" w:type="dxa"/>
            <w:shd w:val="clear" w:color="auto" w:fill="auto"/>
            <w:noWrap/>
            <w:vAlign w:val="bottom"/>
            <w:hideMark/>
          </w:tcPr>
          <w:p w14:paraId="48BDF3D1"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40</w:t>
            </w:r>
          </w:p>
        </w:tc>
        <w:tc>
          <w:tcPr>
            <w:tcW w:w="960" w:type="dxa"/>
            <w:shd w:val="clear" w:color="auto" w:fill="auto"/>
            <w:noWrap/>
            <w:vAlign w:val="bottom"/>
            <w:hideMark/>
          </w:tcPr>
          <w:p w14:paraId="3A3F741D"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8.5%</w:t>
            </w:r>
          </w:p>
        </w:tc>
      </w:tr>
      <w:tr w:rsidR="001C19F3" w:rsidRPr="00F11CC5" w14:paraId="3EC9D8C6" w14:textId="77777777" w:rsidTr="00521305">
        <w:trPr>
          <w:trHeight w:val="300"/>
          <w:jc w:val="center"/>
        </w:trPr>
        <w:tc>
          <w:tcPr>
            <w:tcW w:w="3661" w:type="dxa"/>
            <w:shd w:val="clear" w:color="auto" w:fill="auto"/>
            <w:noWrap/>
            <w:vAlign w:val="bottom"/>
            <w:hideMark/>
          </w:tcPr>
          <w:p w14:paraId="1E8FCECC" w14:textId="77777777" w:rsidR="001C19F3" w:rsidRPr="00F11CC5" w:rsidRDefault="001C19F3" w:rsidP="00521305">
            <w:pPr>
              <w:spacing w:before="40" w:after="40"/>
              <w:ind w:left="40" w:right="40"/>
              <w:rPr>
                <w:rFonts w:cs="Century Gothic"/>
                <w:color w:val="000000"/>
                <w:sz w:val="18"/>
                <w:szCs w:val="18"/>
              </w:rPr>
            </w:pPr>
            <w:r w:rsidRPr="00F11CC5">
              <w:rPr>
                <w:rFonts w:cs="Century Gothic"/>
                <w:color w:val="000000"/>
                <w:sz w:val="18"/>
                <w:szCs w:val="18"/>
              </w:rPr>
              <w:t>Blood pressure monitoring</w:t>
            </w:r>
          </w:p>
        </w:tc>
        <w:tc>
          <w:tcPr>
            <w:tcW w:w="970" w:type="dxa"/>
            <w:shd w:val="clear" w:color="auto" w:fill="auto"/>
            <w:noWrap/>
            <w:vAlign w:val="bottom"/>
            <w:hideMark/>
          </w:tcPr>
          <w:p w14:paraId="0DFD3D15"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144</w:t>
            </w:r>
          </w:p>
        </w:tc>
        <w:tc>
          <w:tcPr>
            <w:tcW w:w="960" w:type="dxa"/>
            <w:shd w:val="clear" w:color="auto" w:fill="auto"/>
            <w:noWrap/>
            <w:vAlign w:val="bottom"/>
            <w:hideMark/>
          </w:tcPr>
          <w:p w14:paraId="471D015B"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30.8%</w:t>
            </w:r>
          </w:p>
        </w:tc>
      </w:tr>
      <w:tr w:rsidR="001C19F3" w:rsidRPr="00F11CC5" w14:paraId="761E1EEF" w14:textId="77777777" w:rsidTr="00521305">
        <w:trPr>
          <w:trHeight w:val="300"/>
          <w:jc w:val="center"/>
        </w:trPr>
        <w:tc>
          <w:tcPr>
            <w:tcW w:w="3661" w:type="dxa"/>
            <w:shd w:val="clear" w:color="auto" w:fill="auto"/>
            <w:noWrap/>
            <w:vAlign w:val="bottom"/>
            <w:hideMark/>
          </w:tcPr>
          <w:p w14:paraId="608E002A" w14:textId="77777777" w:rsidR="001C19F3" w:rsidRPr="00F11CC5" w:rsidRDefault="001C19F3" w:rsidP="00521305">
            <w:pPr>
              <w:spacing w:before="40" w:after="40"/>
              <w:ind w:left="40" w:right="40"/>
              <w:rPr>
                <w:rFonts w:cs="Century Gothic"/>
                <w:color w:val="000000"/>
                <w:sz w:val="18"/>
                <w:szCs w:val="18"/>
              </w:rPr>
            </w:pPr>
            <w:r w:rsidRPr="00F11CC5">
              <w:rPr>
                <w:rFonts w:cs="Century Gothic"/>
                <w:color w:val="000000"/>
                <w:sz w:val="18"/>
                <w:szCs w:val="18"/>
              </w:rPr>
              <w:t>Dose administration aid</w:t>
            </w:r>
          </w:p>
        </w:tc>
        <w:tc>
          <w:tcPr>
            <w:tcW w:w="970" w:type="dxa"/>
            <w:shd w:val="clear" w:color="auto" w:fill="auto"/>
            <w:noWrap/>
            <w:vAlign w:val="bottom"/>
            <w:hideMark/>
          </w:tcPr>
          <w:p w14:paraId="42A93C1A"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115</w:t>
            </w:r>
          </w:p>
        </w:tc>
        <w:tc>
          <w:tcPr>
            <w:tcW w:w="960" w:type="dxa"/>
            <w:shd w:val="clear" w:color="auto" w:fill="auto"/>
            <w:noWrap/>
            <w:vAlign w:val="bottom"/>
            <w:hideMark/>
          </w:tcPr>
          <w:p w14:paraId="71737A0C"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24.6%</w:t>
            </w:r>
          </w:p>
        </w:tc>
      </w:tr>
      <w:tr w:rsidR="001C19F3" w:rsidRPr="00F11CC5" w14:paraId="56A4B0DE" w14:textId="77777777" w:rsidTr="00521305">
        <w:trPr>
          <w:trHeight w:val="300"/>
          <w:jc w:val="center"/>
        </w:trPr>
        <w:tc>
          <w:tcPr>
            <w:tcW w:w="3661" w:type="dxa"/>
            <w:shd w:val="clear" w:color="auto" w:fill="auto"/>
            <w:noWrap/>
            <w:vAlign w:val="bottom"/>
            <w:hideMark/>
          </w:tcPr>
          <w:p w14:paraId="7C95AB56" w14:textId="77777777" w:rsidR="001C19F3" w:rsidRPr="00F11CC5" w:rsidRDefault="001C19F3" w:rsidP="00521305">
            <w:pPr>
              <w:spacing w:before="40" w:after="40"/>
              <w:ind w:left="40" w:right="40"/>
              <w:rPr>
                <w:rFonts w:cs="Century Gothic"/>
                <w:color w:val="000000"/>
                <w:sz w:val="18"/>
                <w:szCs w:val="18"/>
              </w:rPr>
            </w:pPr>
            <w:r w:rsidRPr="00F11CC5">
              <w:rPr>
                <w:rFonts w:cs="Century Gothic"/>
                <w:color w:val="000000"/>
                <w:sz w:val="18"/>
                <w:szCs w:val="18"/>
              </w:rPr>
              <w:t>Medical device usage training/education</w:t>
            </w:r>
          </w:p>
        </w:tc>
        <w:tc>
          <w:tcPr>
            <w:tcW w:w="970" w:type="dxa"/>
            <w:shd w:val="clear" w:color="auto" w:fill="auto"/>
            <w:noWrap/>
            <w:vAlign w:val="bottom"/>
            <w:hideMark/>
          </w:tcPr>
          <w:p w14:paraId="14DAED78"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33</w:t>
            </w:r>
          </w:p>
        </w:tc>
        <w:tc>
          <w:tcPr>
            <w:tcW w:w="960" w:type="dxa"/>
            <w:shd w:val="clear" w:color="auto" w:fill="auto"/>
            <w:noWrap/>
            <w:vAlign w:val="bottom"/>
            <w:hideMark/>
          </w:tcPr>
          <w:p w14:paraId="2DD4C560"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7.1%</w:t>
            </w:r>
          </w:p>
        </w:tc>
      </w:tr>
      <w:tr w:rsidR="001C19F3" w:rsidRPr="00F11CC5" w14:paraId="6E20FD09" w14:textId="77777777" w:rsidTr="00521305">
        <w:trPr>
          <w:trHeight w:val="300"/>
          <w:jc w:val="center"/>
        </w:trPr>
        <w:tc>
          <w:tcPr>
            <w:tcW w:w="3661" w:type="dxa"/>
            <w:shd w:val="clear" w:color="auto" w:fill="auto"/>
            <w:noWrap/>
            <w:vAlign w:val="bottom"/>
            <w:hideMark/>
          </w:tcPr>
          <w:p w14:paraId="072208F2" w14:textId="77777777" w:rsidR="001C19F3" w:rsidRPr="00F11CC5" w:rsidRDefault="001C19F3" w:rsidP="00521305">
            <w:pPr>
              <w:spacing w:before="40" w:after="40"/>
              <w:ind w:left="40" w:right="40"/>
              <w:rPr>
                <w:rFonts w:cs="Century Gothic"/>
                <w:color w:val="000000"/>
                <w:sz w:val="18"/>
                <w:szCs w:val="18"/>
              </w:rPr>
            </w:pPr>
            <w:r w:rsidRPr="00F11CC5">
              <w:rPr>
                <w:rFonts w:cs="Century Gothic"/>
                <w:color w:val="000000"/>
                <w:sz w:val="18"/>
                <w:szCs w:val="18"/>
              </w:rPr>
              <w:t>Other</w:t>
            </w:r>
          </w:p>
        </w:tc>
        <w:tc>
          <w:tcPr>
            <w:tcW w:w="970" w:type="dxa"/>
            <w:shd w:val="clear" w:color="auto" w:fill="auto"/>
            <w:noWrap/>
            <w:vAlign w:val="bottom"/>
            <w:hideMark/>
          </w:tcPr>
          <w:p w14:paraId="3FBDECA7"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64</w:t>
            </w:r>
          </w:p>
        </w:tc>
        <w:tc>
          <w:tcPr>
            <w:tcW w:w="960" w:type="dxa"/>
            <w:shd w:val="clear" w:color="auto" w:fill="auto"/>
            <w:noWrap/>
            <w:vAlign w:val="bottom"/>
            <w:hideMark/>
          </w:tcPr>
          <w:p w14:paraId="742C9A1B" w14:textId="77777777" w:rsidR="001C19F3" w:rsidRPr="00F11CC5" w:rsidRDefault="001C19F3" w:rsidP="00521305">
            <w:pPr>
              <w:spacing w:before="40" w:after="40"/>
              <w:ind w:left="40" w:right="40"/>
              <w:jc w:val="right"/>
              <w:rPr>
                <w:rFonts w:cs="Century Gothic"/>
                <w:color w:val="000000"/>
                <w:sz w:val="18"/>
                <w:szCs w:val="18"/>
              </w:rPr>
            </w:pPr>
            <w:r w:rsidRPr="00F11CC5">
              <w:rPr>
                <w:rFonts w:cs="Century Gothic"/>
                <w:color w:val="000000"/>
                <w:sz w:val="18"/>
                <w:szCs w:val="18"/>
              </w:rPr>
              <w:t>13.7%</w:t>
            </w:r>
          </w:p>
        </w:tc>
      </w:tr>
    </w:tbl>
    <w:p w14:paraId="02982C99" w14:textId="77777777" w:rsidR="001C19F3" w:rsidRPr="008D1867" w:rsidRDefault="001C19F3" w:rsidP="001C19F3">
      <w:pPr>
        <w:pStyle w:val="Chartortablefootnote"/>
        <w:ind w:left="1701" w:right="1655"/>
      </w:pPr>
      <w:r>
        <w:t>Source: Community Pharmacy in HCH trial Health Outcomes data set provided by the Pharmacy Guild, to 30 June 2019.</w:t>
      </w:r>
    </w:p>
    <w:p w14:paraId="22F39378" w14:textId="77777777" w:rsidR="001C19F3" w:rsidRDefault="001C19F3" w:rsidP="001C19F3">
      <w:pPr>
        <w:rPr>
          <w:rFonts w:eastAsia="MS Gothic" w:cs="Arial"/>
          <w:szCs w:val="20"/>
        </w:rPr>
      </w:pPr>
      <w:bookmarkStart w:id="343" w:name="_Hlk21516040"/>
      <w:r>
        <w:rPr>
          <w:rFonts w:eastAsia="MS Gothic" w:cs="Arial"/>
          <w:szCs w:val="20"/>
        </w:rPr>
        <w:t>Outcomes of the MMP (</w:t>
      </w:r>
      <w:r w:rsidRPr="00DB7F25">
        <w:rPr>
          <w:rFonts w:eastAsia="MS Gothic" w:cs="Arial"/>
          <w:szCs w:val="20"/>
        </w:rPr>
        <w:t>(i.e. what the pharmacist did)</w:t>
      </w:r>
      <w:r>
        <w:rPr>
          <w:rFonts w:eastAsia="MS Gothic" w:cs="Arial"/>
          <w:szCs w:val="20"/>
        </w:rPr>
        <w:t xml:space="preserve"> are shown in </w:t>
      </w:r>
      <w:r>
        <w:rPr>
          <w:rFonts w:eastAsia="MS Gothic" w:cs="Arial"/>
          <w:szCs w:val="20"/>
        </w:rPr>
        <w:fldChar w:fldCharType="begin"/>
      </w:r>
      <w:r>
        <w:rPr>
          <w:rFonts w:eastAsia="MS Gothic" w:cs="Arial"/>
          <w:szCs w:val="20"/>
        </w:rPr>
        <w:instrText xml:space="preserve"> REF _Ref21019385 \h </w:instrText>
      </w:r>
      <w:r>
        <w:rPr>
          <w:rFonts w:eastAsia="MS Gothic" w:cs="Arial"/>
          <w:szCs w:val="20"/>
        </w:rPr>
      </w:r>
      <w:r>
        <w:rPr>
          <w:rFonts w:eastAsia="MS Gothic" w:cs="Arial"/>
          <w:szCs w:val="20"/>
        </w:rPr>
        <w:fldChar w:fldCharType="separate"/>
      </w:r>
      <w:r w:rsidRPr="002425B9">
        <w:t xml:space="preserve">Table </w:t>
      </w:r>
      <w:r>
        <w:rPr>
          <w:noProof/>
        </w:rPr>
        <w:t>51</w:t>
      </w:r>
      <w:r>
        <w:rPr>
          <w:rFonts w:eastAsia="MS Gothic" w:cs="Arial"/>
          <w:szCs w:val="20"/>
        </w:rPr>
        <w:fldChar w:fldCharType="end"/>
      </w:r>
      <w:r>
        <w:rPr>
          <w:rFonts w:eastAsia="MS Gothic" w:cs="Arial"/>
          <w:szCs w:val="20"/>
        </w:rPr>
        <w:t xml:space="preserve">. </w:t>
      </w:r>
      <w:r w:rsidRPr="00DB7F25">
        <w:rPr>
          <w:rFonts w:eastAsia="MS Gothic" w:cs="Arial"/>
          <w:szCs w:val="20"/>
        </w:rPr>
        <w:t>The most common outcomes for the first review included: the pharmacist updating reconciled medication list (98%), the pharmacist providing the patient with medicine education (89%), and the pharmacist providing the patient with disease state information (75%). The same goals were also commonly reported at the second review</w:t>
      </w:r>
      <w:r>
        <w:rPr>
          <w:rFonts w:eastAsia="MS Gothic" w:cs="Arial"/>
          <w:szCs w:val="20"/>
        </w:rPr>
        <w:t>.</w:t>
      </w:r>
    </w:p>
    <w:bookmarkEnd w:id="343"/>
    <w:p w14:paraId="756D2AAD" w14:textId="77777777" w:rsidR="001C19F3" w:rsidRDefault="001C19F3" w:rsidP="001C19F3">
      <w:pPr>
        <w:rPr>
          <w:rFonts w:eastAsia="MS Gothic" w:cs="Arial"/>
          <w:szCs w:val="20"/>
        </w:rPr>
      </w:pPr>
      <w:r>
        <w:rPr>
          <w:rFonts w:eastAsia="MS Gothic" w:cs="Arial"/>
          <w:szCs w:val="20"/>
        </w:rPr>
        <w:br w:type="page"/>
      </w:r>
    </w:p>
    <w:p w14:paraId="780B15A5" w14:textId="77777777" w:rsidR="001C19F3" w:rsidRPr="002425B9" w:rsidRDefault="001C19F3" w:rsidP="001C19F3">
      <w:pPr>
        <w:pStyle w:val="Caption1"/>
        <w:spacing w:after="0"/>
      </w:pPr>
      <w:bookmarkStart w:id="344" w:name="_Ref21019385"/>
      <w:r w:rsidRPr="002425B9">
        <w:lastRenderedPageBreak/>
        <w:t xml:space="preserve">Table </w:t>
      </w:r>
      <w:r w:rsidRPr="002425B9">
        <w:fldChar w:fldCharType="begin"/>
      </w:r>
      <w:r w:rsidRPr="002425B9">
        <w:instrText>SEQ Table \* ARABIC</w:instrText>
      </w:r>
      <w:r w:rsidRPr="002425B9">
        <w:fldChar w:fldCharType="separate"/>
      </w:r>
      <w:r>
        <w:rPr>
          <w:noProof/>
        </w:rPr>
        <w:t>51</w:t>
      </w:r>
      <w:r w:rsidRPr="002425B9">
        <w:fldChar w:fldCharType="end"/>
      </w:r>
      <w:bookmarkEnd w:id="344"/>
      <w:r w:rsidRPr="002425B9">
        <w:t xml:space="preserve"> –</w:t>
      </w:r>
      <w:r>
        <w:t xml:space="preserve"> </w:t>
      </w:r>
      <w:r w:rsidRPr="002425B9">
        <w:t xml:space="preserve">Outcomes of </w:t>
      </w:r>
      <w:r>
        <w:t>the medication management plan (MMP)</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95"/>
        <w:gridCol w:w="1637"/>
        <w:gridCol w:w="1637"/>
        <w:gridCol w:w="1637"/>
      </w:tblGrid>
      <w:tr w:rsidR="001C19F3" w14:paraId="70D2F9FC" w14:textId="77777777" w:rsidTr="00521305">
        <w:trPr>
          <w:cantSplit/>
          <w:trHeight w:val="298"/>
          <w:tblHeader/>
          <w:jc w:val="center"/>
        </w:trPr>
        <w:tc>
          <w:tcPr>
            <w:tcW w:w="2273" w:type="pct"/>
            <w:vMerge w:val="restart"/>
            <w:shd w:val="clear" w:color="auto" w:fill="003D79"/>
            <w:tcMar>
              <w:top w:w="0" w:type="dxa"/>
              <w:left w:w="0" w:type="dxa"/>
              <w:bottom w:w="0" w:type="dxa"/>
              <w:right w:w="0" w:type="dxa"/>
            </w:tcMar>
            <w:vAlign w:val="center"/>
          </w:tcPr>
          <w:p w14:paraId="5C4A633C" w14:textId="77777777" w:rsidR="001C19F3" w:rsidRPr="00A079B4" w:rsidRDefault="001C19F3" w:rsidP="00521305">
            <w:pPr>
              <w:spacing w:after="0"/>
              <w:jc w:val="center"/>
              <w:rPr>
                <w:b/>
              </w:rPr>
            </w:pPr>
            <w:r w:rsidRPr="00A079B4">
              <w:rPr>
                <w:b/>
              </w:rPr>
              <w:t>Outcome</w:t>
            </w:r>
          </w:p>
        </w:tc>
        <w:tc>
          <w:tcPr>
            <w:tcW w:w="2727" w:type="pct"/>
            <w:gridSpan w:val="3"/>
            <w:shd w:val="clear" w:color="auto" w:fill="003D79"/>
            <w:tcMar>
              <w:top w:w="0" w:type="dxa"/>
              <w:left w:w="0" w:type="dxa"/>
              <w:bottom w:w="0" w:type="dxa"/>
              <w:right w:w="0" w:type="dxa"/>
            </w:tcMar>
            <w:vAlign w:val="center"/>
          </w:tcPr>
          <w:p w14:paraId="2CCDDE39" w14:textId="77777777" w:rsidR="001C19F3" w:rsidRDefault="001C19F3" w:rsidP="00521305">
            <w:pPr>
              <w:spacing w:after="0"/>
              <w:jc w:val="center"/>
            </w:pPr>
            <w:r>
              <w:rPr>
                <w:rFonts w:cs="Century Gothic"/>
                <w:b/>
                <w:color w:val="FFFFFF"/>
                <w:sz w:val="18"/>
                <w:szCs w:val="18"/>
              </w:rPr>
              <w:t>Session</w:t>
            </w:r>
          </w:p>
        </w:tc>
      </w:tr>
      <w:tr w:rsidR="001C19F3" w14:paraId="06A8167F" w14:textId="77777777" w:rsidTr="00521305">
        <w:trPr>
          <w:cantSplit/>
          <w:trHeight w:val="336"/>
          <w:tblHeader/>
          <w:jc w:val="center"/>
        </w:trPr>
        <w:tc>
          <w:tcPr>
            <w:tcW w:w="2273" w:type="pct"/>
            <w:vMerge/>
            <w:shd w:val="clear" w:color="auto" w:fill="003D79"/>
            <w:tcMar>
              <w:top w:w="0" w:type="dxa"/>
              <w:left w:w="0" w:type="dxa"/>
              <w:bottom w:w="0" w:type="dxa"/>
              <w:right w:w="0" w:type="dxa"/>
            </w:tcMar>
            <w:vAlign w:val="center"/>
          </w:tcPr>
          <w:p w14:paraId="68CD2B1C" w14:textId="77777777" w:rsidR="001C19F3" w:rsidRDefault="001C19F3" w:rsidP="00521305">
            <w:pPr>
              <w:spacing w:after="0"/>
              <w:jc w:val="center"/>
            </w:pPr>
          </w:p>
        </w:tc>
        <w:tc>
          <w:tcPr>
            <w:tcW w:w="909" w:type="pct"/>
            <w:shd w:val="clear" w:color="auto" w:fill="003D79"/>
            <w:tcMar>
              <w:top w:w="0" w:type="dxa"/>
              <w:left w:w="0" w:type="dxa"/>
              <w:bottom w:w="0" w:type="dxa"/>
              <w:right w:w="0" w:type="dxa"/>
            </w:tcMar>
            <w:vAlign w:val="center"/>
          </w:tcPr>
          <w:p w14:paraId="21FBC709" w14:textId="77777777" w:rsidR="001C19F3" w:rsidRDefault="001C19F3" w:rsidP="00521305">
            <w:pPr>
              <w:spacing w:after="0"/>
              <w:jc w:val="center"/>
            </w:pPr>
            <w:r>
              <w:rPr>
                <w:rFonts w:cs="Century Gothic"/>
                <w:b/>
                <w:color w:val="FFFFFF"/>
                <w:sz w:val="18"/>
                <w:szCs w:val="18"/>
              </w:rPr>
              <w:t xml:space="preserve">Initial </w:t>
            </w:r>
            <w:r>
              <w:rPr>
                <w:rFonts w:cs="Century Gothic"/>
                <w:b/>
                <w:color w:val="FFFFFF"/>
                <w:sz w:val="18"/>
                <w:szCs w:val="18"/>
              </w:rPr>
              <w:br/>
              <w:t xml:space="preserve"> (n = 468)</w:t>
            </w:r>
          </w:p>
        </w:tc>
        <w:tc>
          <w:tcPr>
            <w:tcW w:w="909" w:type="pct"/>
            <w:shd w:val="clear" w:color="auto" w:fill="003D79"/>
            <w:tcMar>
              <w:top w:w="0" w:type="dxa"/>
              <w:left w:w="0" w:type="dxa"/>
              <w:bottom w:w="0" w:type="dxa"/>
              <w:right w:w="0" w:type="dxa"/>
            </w:tcMar>
            <w:vAlign w:val="center"/>
          </w:tcPr>
          <w:p w14:paraId="530F7365" w14:textId="77777777" w:rsidR="001C19F3" w:rsidRDefault="001C19F3" w:rsidP="00521305">
            <w:pPr>
              <w:spacing w:after="0"/>
              <w:jc w:val="center"/>
            </w:pPr>
            <w:r>
              <w:rPr>
                <w:rFonts w:cs="Century Gothic"/>
                <w:b/>
                <w:color w:val="FFFFFF"/>
                <w:sz w:val="18"/>
                <w:szCs w:val="18"/>
              </w:rPr>
              <w:t xml:space="preserve">2nd </w:t>
            </w:r>
            <w:r>
              <w:rPr>
                <w:rFonts w:cs="Century Gothic"/>
                <w:b/>
                <w:color w:val="FFFFFF"/>
                <w:sz w:val="18"/>
                <w:szCs w:val="18"/>
              </w:rPr>
              <w:br/>
              <w:t xml:space="preserve"> (n = 141)</w:t>
            </w:r>
          </w:p>
        </w:tc>
        <w:tc>
          <w:tcPr>
            <w:tcW w:w="909" w:type="pct"/>
            <w:shd w:val="clear" w:color="auto" w:fill="003D79"/>
            <w:tcMar>
              <w:top w:w="0" w:type="dxa"/>
              <w:left w:w="0" w:type="dxa"/>
              <w:bottom w:w="0" w:type="dxa"/>
              <w:right w:w="0" w:type="dxa"/>
            </w:tcMar>
            <w:vAlign w:val="center"/>
          </w:tcPr>
          <w:p w14:paraId="12CABC57" w14:textId="77777777" w:rsidR="001C19F3" w:rsidRDefault="001C19F3" w:rsidP="00521305">
            <w:pPr>
              <w:spacing w:after="0"/>
              <w:jc w:val="center"/>
            </w:pPr>
            <w:r>
              <w:rPr>
                <w:rFonts w:cs="Century Gothic"/>
                <w:b/>
                <w:color w:val="FFFFFF"/>
                <w:sz w:val="18"/>
                <w:szCs w:val="18"/>
              </w:rPr>
              <w:t xml:space="preserve">3rd </w:t>
            </w:r>
            <w:r>
              <w:rPr>
                <w:rFonts w:cs="Century Gothic"/>
                <w:b/>
                <w:color w:val="FFFFFF"/>
                <w:sz w:val="18"/>
                <w:szCs w:val="18"/>
              </w:rPr>
              <w:br/>
              <w:t xml:space="preserve"> (n = 2)</w:t>
            </w:r>
          </w:p>
        </w:tc>
      </w:tr>
      <w:tr w:rsidR="001C19F3" w14:paraId="0E5E91B4"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7973C526" w14:textId="77777777" w:rsidR="001C19F3" w:rsidRDefault="001C19F3" w:rsidP="00521305">
            <w:pPr>
              <w:spacing w:before="40" w:after="40"/>
              <w:ind w:left="40" w:right="40"/>
            </w:pPr>
            <w:r>
              <w:rPr>
                <w:rFonts w:cs="Century Gothic"/>
                <w:color w:val="000000"/>
                <w:sz w:val="18"/>
                <w:szCs w:val="18"/>
              </w:rPr>
              <w:t xml:space="preserve">M01 </w:t>
            </w:r>
            <w:r w:rsidRPr="00937DE4">
              <w:rPr>
                <w:rFonts w:cs="Century Gothic"/>
                <w:color w:val="000000"/>
                <w:sz w:val="18"/>
                <w:szCs w:val="18"/>
              </w:rPr>
              <w:t>Pharmacist updated and reconciled medication list</w:t>
            </w:r>
          </w:p>
        </w:tc>
        <w:tc>
          <w:tcPr>
            <w:tcW w:w="909" w:type="pct"/>
            <w:shd w:val="clear" w:color="auto" w:fill="FFFFFF"/>
            <w:tcMar>
              <w:top w:w="0" w:type="dxa"/>
              <w:left w:w="0" w:type="dxa"/>
              <w:bottom w:w="0" w:type="dxa"/>
              <w:right w:w="0" w:type="dxa"/>
            </w:tcMar>
            <w:vAlign w:val="center"/>
          </w:tcPr>
          <w:p w14:paraId="695F39CA" w14:textId="77777777" w:rsidR="001C19F3" w:rsidRDefault="001C19F3" w:rsidP="00521305">
            <w:pPr>
              <w:spacing w:before="40" w:after="40"/>
              <w:ind w:left="40" w:right="40"/>
              <w:jc w:val="center"/>
            </w:pPr>
            <w:r>
              <w:rPr>
                <w:rFonts w:cs="Century Gothic"/>
                <w:color w:val="000000"/>
                <w:sz w:val="18"/>
                <w:szCs w:val="18"/>
              </w:rPr>
              <w:t>460 (98.3%)</w:t>
            </w:r>
          </w:p>
        </w:tc>
        <w:tc>
          <w:tcPr>
            <w:tcW w:w="909" w:type="pct"/>
            <w:shd w:val="clear" w:color="auto" w:fill="FFFFFF"/>
            <w:tcMar>
              <w:top w:w="0" w:type="dxa"/>
              <w:left w:w="0" w:type="dxa"/>
              <w:bottom w:w="0" w:type="dxa"/>
              <w:right w:w="0" w:type="dxa"/>
            </w:tcMar>
            <w:vAlign w:val="center"/>
          </w:tcPr>
          <w:p w14:paraId="0538E54F" w14:textId="77777777" w:rsidR="001C19F3" w:rsidRDefault="001C19F3" w:rsidP="00521305">
            <w:pPr>
              <w:spacing w:before="40" w:after="40"/>
              <w:ind w:left="40" w:right="40"/>
              <w:jc w:val="center"/>
            </w:pPr>
            <w:r>
              <w:rPr>
                <w:rFonts w:cs="Century Gothic"/>
                <w:color w:val="000000"/>
                <w:sz w:val="18"/>
                <w:szCs w:val="18"/>
              </w:rPr>
              <w:t>138 (97.9%)</w:t>
            </w:r>
          </w:p>
        </w:tc>
        <w:tc>
          <w:tcPr>
            <w:tcW w:w="909" w:type="pct"/>
            <w:shd w:val="clear" w:color="auto" w:fill="FFFFFF"/>
            <w:tcMar>
              <w:top w:w="0" w:type="dxa"/>
              <w:left w:w="0" w:type="dxa"/>
              <w:bottom w:w="0" w:type="dxa"/>
              <w:right w:w="0" w:type="dxa"/>
            </w:tcMar>
            <w:vAlign w:val="center"/>
          </w:tcPr>
          <w:p w14:paraId="72C1C2E4" w14:textId="77777777" w:rsidR="001C19F3" w:rsidRDefault="001C19F3" w:rsidP="00521305">
            <w:pPr>
              <w:spacing w:before="40" w:after="40"/>
              <w:ind w:left="40" w:right="40"/>
              <w:jc w:val="center"/>
            </w:pPr>
            <w:r>
              <w:rPr>
                <w:rFonts w:cs="Century Gothic"/>
                <w:color w:val="000000"/>
                <w:sz w:val="18"/>
                <w:szCs w:val="18"/>
              </w:rPr>
              <w:t>2 (100.0%)</w:t>
            </w:r>
          </w:p>
        </w:tc>
      </w:tr>
      <w:tr w:rsidR="001C19F3" w14:paraId="6F2E06EA"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5D085705" w14:textId="77777777" w:rsidR="001C19F3" w:rsidRDefault="001C19F3" w:rsidP="00521305">
            <w:pPr>
              <w:spacing w:before="40" w:after="40"/>
              <w:ind w:left="40" w:right="40"/>
            </w:pPr>
            <w:r>
              <w:rPr>
                <w:rFonts w:cs="Century Gothic"/>
                <w:color w:val="000000"/>
                <w:sz w:val="18"/>
                <w:szCs w:val="18"/>
              </w:rPr>
              <w:t>M02 Pharmacist provided patient with medicine education</w:t>
            </w:r>
          </w:p>
        </w:tc>
        <w:tc>
          <w:tcPr>
            <w:tcW w:w="909" w:type="pct"/>
            <w:shd w:val="clear" w:color="auto" w:fill="FFFFFF"/>
            <w:tcMar>
              <w:top w:w="0" w:type="dxa"/>
              <w:left w:w="0" w:type="dxa"/>
              <w:bottom w:w="0" w:type="dxa"/>
              <w:right w:w="0" w:type="dxa"/>
            </w:tcMar>
            <w:vAlign w:val="center"/>
          </w:tcPr>
          <w:p w14:paraId="23FF303D" w14:textId="77777777" w:rsidR="001C19F3" w:rsidRDefault="001C19F3" w:rsidP="00521305">
            <w:pPr>
              <w:spacing w:before="40" w:after="40"/>
              <w:ind w:left="40" w:right="40"/>
              <w:jc w:val="center"/>
            </w:pPr>
            <w:r>
              <w:rPr>
                <w:rFonts w:cs="Century Gothic"/>
                <w:color w:val="000000"/>
                <w:sz w:val="18"/>
                <w:szCs w:val="18"/>
              </w:rPr>
              <w:t>416 (88.9%)</w:t>
            </w:r>
          </w:p>
        </w:tc>
        <w:tc>
          <w:tcPr>
            <w:tcW w:w="909" w:type="pct"/>
            <w:shd w:val="clear" w:color="auto" w:fill="FFFFFF"/>
            <w:tcMar>
              <w:top w:w="0" w:type="dxa"/>
              <w:left w:w="0" w:type="dxa"/>
              <w:bottom w:w="0" w:type="dxa"/>
              <w:right w:w="0" w:type="dxa"/>
            </w:tcMar>
            <w:vAlign w:val="center"/>
          </w:tcPr>
          <w:p w14:paraId="0FEA4A56" w14:textId="77777777" w:rsidR="001C19F3" w:rsidRDefault="001C19F3" w:rsidP="00521305">
            <w:pPr>
              <w:spacing w:before="40" w:after="40"/>
              <w:ind w:left="40" w:right="40"/>
              <w:jc w:val="center"/>
            </w:pPr>
            <w:r>
              <w:rPr>
                <w:rFonts w:cs="Century Gothic"/>
                <w:color w:val="000000"/>
                <w:sz w:val="18"/>
                <w:szCs w:val="18"/>
              </w:rPr>
              <w:t>123 (87.2%)</w:t>
            </w:r>
          </w:p>
        </w:tc>
        <w:tc>
          <w:tcPr>
            <w:tcW w:w="909" w:type="pct"/>
            <w:shd w:val="clear" w:color="auto" w:fill="FFFFFF"/>
            <w:tcMar>
              <w:top w:w="0" w:type="dxa"/>
              <w:left w:w="0" w:type="dxa"/>
              <w:bottom w:w="0" w:type="dxa"/>
              <w:right w:w="0" w:type="dxa"/>
            </w:tcMar>
            <w:vAlign w:val="center"/>
          </w:tcPr>
          <w:p w14:paraId="2A32853C" w14:textId="77777777" w:rsidR="001C19F3" w:rsidRDefault="001C19F3" w:rsidP="00521305">
            <w:pPr>
              <w:spacing w:before="40" w:after="40"/>
              <w:ind w:left="40" w:right="40"/>
              <w:jc w:val="center"/>
            </w:pPr>
            <w:r>
              <w:rPr>
                <w:rFonts w:cs="Century Gothic"/>
                <w:color w:val="000000"/>
                <w:sz w:val="18"/>
                <w:szCs w:val="18"/>
              </w:rPr>
              <w:t>1 (50.0%)</w:t>
            </w:r>
          </w:p>
        </w:tc>
      </w:tr>
      <w:tr w:rsidR="001C19F3" w14:paraId="6EF7AC02"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53CC4115" w14:textId="77777777" w:rsidR="001C19F3" w:rsidRDefault="001C19F3" w:rsidP="00521305">
            <w:pPr>
              <w:spacing w:before="40" w:after="40"/>
              <w:ind w:left="40" w:right="40"/>
            </w:pPr>
            <w:r>
              <w:rPr>
                <w:rFonts w:cs="Century Gothic"/>
                <w:color w:val="000000"/>
                <w:sz w:val="18"/>
                <w:szCs w:val="18"/>
              </w:rPr>
              <w:t>M03 Pharmacist provided patient with disease-state information</w:t>
            </w:r>
          </w:p>
        </w:tc>
        <w:tc>
          <w:tcPr>
            <w:tcW w:w="909" w:type="pct"/>
            <w:shd w:val="clear" w:color="auto" w:fill="FFFFFF"/>
            <w:tcMar>
              <w:top w:w="0" w:type="dxa"/>
              <w:left w:w="0" w:type="dxa"/>
              <w:bottom w:w="0" w:type="dxa"/>
              <w:right w:w="0" w:type="dxa"/>
            </w:tcMar>
            <w:vAlign w:val="center"/>
          </w:tcPr>
          <w:p w14:paraId="5DE9A90E" w14:textId="77777777" w:rsidR="001C19F3" w:rsidRDefault="001C19F3" w:rsidP="00521305">
            <w:pPr>
              <w:spacing w:before="40" w:after="40"/>
              <w:ind w:left="40" w:right="40"/>
              <w:jc w:val="center"/>
            </w:pPr>
            <w:r>
              <w:rPr>
                <w:rFonts w:cs="Century Gothic"/>
                <w:color w:val="000000"/>
                <w:sz w:val="18"/>
                <w:szCs w:val="18"/>
              </w:rPr>
              <w:t>352 (75.2%)</w:t>
            </w:r>
          </w:p>
        </w:tc>
        <w:tc>
          <w:tcPr>
            <w:tcW w:w="909" w:type="pct"/>
            <w:shd w:val="clear" w:color="auto" w:fill="FFFFFF"/>
            <w:tcMar>
              <w:top w:w="0" w:type="dxa"/>
              <w:left w:w="0" w:type="dxa"/>
              <w:bottom w:w="0" w:type="dxa"/>
              <w:right w:w="0" w:type="dxa"/>
            </w:tcMar>
            <w:vAlign w:val="center"/>
          </w:tcPr>
          <w:p w14:paraId="68076389" w14:textId="77777777" w:rsidR="001C19F3" w:rsidRDefault="001C19F3" w:rsidP="00521305">
            <w:pPr>
              <w:spacing w:before="40" w:after="40"/>
              <w:ind w:left="40" w:right="40"/>
              <w:jc w:val="center"/>
            </w:pPr>
            <w:r>
              <w:rPr>
                <w:rFonts w:cs="Century Gothic"/>
                <w:color w:val="000000"/>
                <w:sz w:val="18"/>
                <w:szCs w:val="18"/>
              </w:rPr>
              <w:t>98 (69.5%)</w:t>
            </w:r>
          </w:p>
        </w:tc>
        <w:tc>
          <w:tcPr>
            <w:tcW w:w="909" w:type="pct"/>
            <w:shd w:val="clear" w:color="auto" w:fill="FFFFFF"/>
            <w:tcMar>
              <w:top w:w="0" w:type="dxa"/>
              <w:left w:w="0" w:type="dxa"/>
              <w:bottom w:w="0" w:type="dxa"/>
              <w:right w:w="0" w:type="dxa"/>
            </w:tcMar>
            <w:vAlign w:val="center"/>
          </w:tcPr>
          <w:p w14:paraId="7E827CB8" w14:textId="77777777" w:rsidR="001C19F3" w:rsidRDefault="001C19F3" w:rsidP="00521305">
            <w:pPr>
              <w:spacing w:before="40" w:after="40"/>
              <w:ind w:left="40" w:right="40"/>
              <w:jc w:val="center"/>
            </w:pPr>
            <w:r>
              <w:rPr>
                <w:rFonts w:cs="Century Gothic"/>
                <w:color w:val="000000"/>
                <w:sz w:val="18"/>
                <w:szCs w:val="18"/>
              </w:rPr>
              <w:t>1 (50.0%)</w:t>
            </w:r>
          </w:p>
        </w:tc>
      </w:tr>
      <w:tr w:rsidR="001C19F3" w14:paraId="07F68A23"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2E8EAAA9" w14:textId="77777777" w:rsidR="001C19F3" w:rsidRDefault="001C19F3" w:rsidP="00521305">
            <w:pPr>
              <w:spacing w:before="40" w:after="40"/>
              <w:ind w:left="40" w:right="40"/>
            </w:pPr>
            <w:r>
              <w:rPr>
                <w:rFonts w:cs="Century Gothic"/>
                <w:color w:val="000000"/>
                <w:sz w:val="18"/>
                <w:szCs w:val="18"/>
              </w:rPr>
              <w:t>M04 HCH/GP advised of issues identified through other communication</w:t>
            </w:r>
          </w:p>
        </w:tc>
        <w:tc>
          <w:tcPr>
            <w:tcW w:w="909" w:type="pct"/>
            <w:shd w:val="clear" w:color="auto" w:fill="FFFFFF"/>
            <w:tcMar>
              <w:top w:w="0" w:type="dxa"/>
              <w:left w:w="0" w:type="dxa"/>
              <w:bottom w:w="0" w:type="dxa"/>
              <w:right w:w="0" w:type="dxa"/>
            </w:tcMar>
            <w:vAlign w:val="center"/>
          </w:tcPr>
          <w:p w14:paraId="3235D875" w14:textId="77777777" w:rsidR="001C19F3" w:rsidRDefault="001C19F3" w:rsidP="00521305">
            <w:pPr>
              <w:spacing w:before="40" w:after="40"/>
              <w:ind w:left="40" w:right="40"/>
              <w:jc w:val="center"/>
            </w:pPr>
            <w:r>
              <w:rPr>
                <w:rFonts w:cs="Century Gothic"/>
                <w:color w:val="000000"/>
                <w:sz w:val="18"/>
                <w:szCs w:val="18"/>
              </w:rPr>
              <w:t>140 (29.9%)</w:t>
            </w:r>
          </w:p>
        </w:tc>
        <w:tc>
          <w:tcPr>
            <w:tcW w:w="909" w:type="pct"/>
            <w:shd w:val="clear" w:color="auto" w:fill="FFFFFF"/>
            <w:tcMar>
              <w:top w:w="0" w:type="dxa"/>
              <w:left w:w="0" w:type="dxa"/>
              <w:bottom w:w="0" w:type="dxa"/>
              <w:right w:w="0" w:type="dxa"/>
            </w:tcMar>
            <w:vAlign w:val="center"/>
          </w:tcPr>
          <w:p w14:paraId="56BDC9C8" w14:textId="77777777" w:rsidR="001C19F3" w:rsidRDefault="001C19F3" w:rsidP="00521305">
            <w:pPr>
              <w:spacing w:before="40" w:after="40"/>
              <w:ind w:left="40" w:right="40"/>
              <w:jc w:val="center"/>
            </w:pPr>
            <w:r>
              <w:rPr>
                <w:rFonts w:cs="Century Gothic"/>
                <w:color w:val="000000"/>
                <w:sz w:val="18"/>
                <w:szCs w:val="18"/>
              </w:rPr>
              <w:t>26 (18.4%)</w:t>
            </w:r>
          </w:p>
        </w:tc>
        <w:tc>
          <w:tcPr>
            <w:tcW w:w="909" w:type="pct"/>
            <w:shd w:val="clear" w:color="auto" w:fill="FFFFFF"/>
            <w:tcMar>
              <w:top w:w="0" w:type="dxa"/>
              <w:left w:w="0" w:type="dxa"/>
              <w:bottom w:w="0" w:type="dxa"/>
              <w:right w:w="0" w:type="dxa"/>
            </w:tcMar>
            <w:vAlign w:val="center"/>
          </w:tcPr>
          <w:p w14:paraId="49F2F039" w14:textId="77777777" w:rsidR="001C19F3" w:rsidRDefault="001C19F3" w:rsidP="00521305">
            <w:pPr>
              <w:spacing w:before="40" w:after="40"/>
              <w:ind w:left="40" w:right="40"/>
              <w:jc w:val="center"/>
            </w:pPr>
          </w:p>
        </w:tc>
      </w:tr>
      <w:tr w:rsidR="001C19F3" w14:paraId="055BF69F"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181E0283" w14:textId="77777777" w:rsidR="001C19F3" w:rsidRDefault="001C19F3" w:rsidP="00521305">
            <w:pPr>
              <w:spacing w:before="40" w:after="40"/>
              <w:ind w:left="40" w:right="40"/>
            </w:pPr>
            <w:r>
              <w:rPr>
                <w:rFonts w:cs="Century Gothic"/>
                <w:color w:val="000000"/>
                <w:sz w:val="18"/>
                <w:szCs w:val="18"/>
              </w:rPr>
              <w:t>M05 Pharmacist used technology-assisted follow-up reminders (e.g. text messages, email messages)</w:t>
            </w:r>
          </w:p>
        </w:tc>
        <w:tc>
          <w:tcPr>
            <w:tcW w:w="909" w:type="pct"/>
            <w:shd w:val="clear" w:color="auto" w:fill="FFFFFF"/>
            <w:tcMar>
              <w:top w:w="0" w:type="dxa"/>
              <w:left w:w="0" w:type="dxa"/>
              <w:bottom w:w="0" w:type="dxa"/>
              <w:right w:w="0" w:type="dxa"/>
            </w:tcMar>
            <w:vAlign w:val="center"/>
          </w:tcPr>
          <w:p w14:paraId="52530BFE" w14:textId="77777777" w:rsidR="001C19F3" w:rsidRDefault="001C19F3" w:rsidP="00521305">
            <w:pPr>
              <w:spacing w:before="40" w:after="40"/>
              <w:ind w:left="40" w:right="40"/>
              <w:jc w:val="center"/>
            </w:pPr>
            <w:r>
              <w:rPr>
                <w:rFonts w:cs="Century Gothic"/>
                <w:color w:val="000000"/>
                <w:sz w:val="18"/>
                <w:szCs w:val="18"/>
              </w:rPr>
              <w:t>108 (23.1%)</w:t>
            </w:r>
          </w:p>
        </w:tc>
        <w:tc>
          <w:tcPr>
            <w:tcW w:w="909" w:type="pct"/>
            <w:shd w:val="clear" w:color="auto" w:fill="FFFFFF"/>
            <w:tcMar>
              <w:top w:w="0" w:type="dxa"/>
              <w:left w:w="0" w:type="dxa"/>
              <w:bottom w:w="0" w:type="dxa"/>
              <w:right w:w="0" w:type="dxa"/>
            </w:tcMar>
            <w:vAlign w:val="center"/>
          </w:tcPr>
          <w:p w14:paraId="56FFF626" w14:textId="77777777" w:rsidR="001C19F3" w:rsidRDefault="001C19F3" w:rsidP="00521305">
            <w:pPr>
              <w:spacing w:before="40" w:after="40"/>
              <w:ind w:left="40" w:right="40"/>
              <w:jc w:val="center"/>
            </w:pPr>
            <w:r>
              <w:rPr>
                <w:rFonts w:cs="Century Gothic"/>
                <w:color w:val="000000"/>
                <w:sz w:val="18"/>
                <w:szCs w:val="18"/>
              </w:rPr>
              <w:t>35 (24.8%)</w:t>
            </w:r>
          </w:p>
        </w:tc>
        <w:tc>
          <w:tcPr>
            <w:tcW w:w="909" w:type="pct"/>
            <w:shd w:val="clear" w:color="auto" w:fill="FFFFFF"/>
            <w:tcMar>
              <w:top w:w="0" w:type="dxa"/>
              <w:left w:w="0" w:type="dxa"/>
              <w:bottom w:w="0" w:type="dxa"/>
              <w:right w:w="0" w:type="dxa"/>
            </w:tcMar>
            <w:vAlign w:val="center"/>
          </w:tcPr>
          <w:p w14:paraId="3492F8B5" w14:textId="77777777" w:rsidR="001C19F3" w:rsidRDefault="001C19F3" w:rsidP="00521305">
            <w:pPr>
              <w:spacing w:before="40" w:after="40"/>
              <w:ind w:left="40" w:right="40"/>
              <w:jc w:val="center"/>
            </w:pPr>
          </w:p>
        </w:tc>
      </w:tr>
      <w:tr w:rsidR="001C19F3" w14:paraId="2E05C868"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3410F473" w14:textId="77777777" w:rsidR="001C19F3" w:rsidRDefault="001C19F3" w:rsidP="00521305">
            <w:pPr>
              <w:spacing w:before="40" w:after="40"/>
              <w:ind w:left="40" w:right="40"/>
            </w:pPr>
            <w:r>
              <w:rPr>
                <w:rFonts w:cs="Century Gothic"/>
                <w:color w:val="000000"/>
                <w:sz w:val="18"/>
                <w:szCs w:val="18"/>
              </w:rPr>
              <w:t>M06 Health Care Home/GP verbally consulted about patient</w:t>
            </w:r>
          </w:p>
        </w:tc>
        <w:tc>
          <w:tcPr>
            <w:tcW w:w="909" w:type="pct"/>
            <w:shd w:val="clear" w:color="auto" w:fill="FFFFFF"/>
            <w:tcMar>
              <w:top w:w="0" w:type="dxa"/>
              <w:left w:w="0" w:type="dxa"/>
              <w:bottom w:w="0" w:type="dxa"/>
              <w:right w:w="0" w:type="dxa"/>
            </w:tcMar>
            <w:vAlign w:val="center"/>
          </w:tcPr>
          <w:p w14:paraId="097EAC95" w14:textId="77777777" w:rsidR="001C19F3" w:rsidRDefault="001C19F3" w:rsidP="00521305">
            <w:pPr>
              <w:spacing w:before="40" w:after="40"/>
              <w:ind w:left="40" w:right="40"/>
              <w:jc w:val="center"/>
            </w:pPr>
            <w:r>
              <w:rPr>
                <w:rFonts w:cs="Century Gothic"/>
                <w:color w:val="000000"/>
                <w:sz w:val="18"/>
                <w:szCs w:val="18"/>
              </w:rPr>
              <w:t>66 (14.1%)</w:t>
            </w:r>
          </w:p>
        </w:tc>
        <w:tc>
          <w:tcPr>
            <w:tcW w:w="909" w:type="pct"/>
            <w:shd w:val="clear" w:color="auto" w:fill="FFFFFF"/>
            <w:tcMar>
              <w:top w:w="0" w:type="dxa"/>
              <w:left w:w="0" w:type="dxa"/>
              <w:bottom w:w="0" w:type="dxa"/>
              <w:right w:w="0" w:type="dxa"/>
            </w:tcMar>
            <w:vAlign w:val="center"/>
          </w:tcPr>
          <w:p w14:paraId="5BAF8A92" w14:textId="77777777" w:rsidR="001C19F3" w:rsidRDefault="001C19F3" w:rsidP="00521305">
            <w:pPr>
              <w:spacing w:before="40" w:after="40"/>
              <w:ind w:left="40" w:right="40"/>
              <w:jc w:val="center"/>
            </w:pPr>
            <w:r>
              <w:rPr>
                <w:rFonts w:cs="Century Gothic"/>
                <w:color w:val="000000"/>
                <w:sz w:val="18"/>
                <w:szCs w:val="18"/>
              </w:rPr>
              <w:t>19 (13.5%)</w:t>
            </w:r>
          </w:p>
        </w:tc>
        <w:tc>
          <w:tcPr>
            <w:tcW w:w="909" w:type="pct"/>
            <w:shd w:val="clear" w:color="auto" w:fill="FFFFFF"/>
            <w:tcMar>
              <w:top w:w="0" w:type="dxa"/>
              <w:left w:w="0" w:type="dxa"/>
              <w:bottom w:w="0" w:type="dxa"/>
              <w:right w:w="0" w:type="dxa"/>
            </w:tcMar>
            <w:vAlign w:val="center"/>
          </w:tcPr>
          <w:p w14:paraId="7863F6F3" w14:textId="77777777" w:rsidR="001C19F3" w:rsidRDefault="001C19F3" w:rsidP="00521305">
            <w:pPr>
              <w:spacing w:before="40" w:after="40"/>
              <w:ind w:left="40" w:right="40"/>
              <w:jc w:val="center"/>
            </w:pPr>
          </w:p>
        </w:tc>
      </w:tr>
      <w:tr w:rsidR="001C19F3" w14:paraId="7B664EB4"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2EE608A3" w14:textId="77777777" w:rsidR="001C19F3" w:rsidRDefault="001C19F3" w:rsidP="00521305">
            <w:pPr>
              <w:spacing w:before="40" w:after="40"/>
              <w:ind w:left="40" w:right="40"/>
            </w:pPr>
            <w:r>
              <w:rPr>
                <w:rFonts w:cs="Century Gothic"/>
                <w:color w:val="000000"/>
                <w:sz w:val="18"/>
                <w:szCs w:val="18"/>
              </w:rPr>
              <w:t>M07 Pharmacist suggested patient referred to other health provider (e.g. allied health)</w:t>
            </w:r>
          </w:p>
        </w:tc>
        <w:tc>
          <w:tcPr>
            <w:tcW w:w="909" w:type="pct"/>
            <w:shd w:val="clear" w:color="auto" w:fill="FFFFFF"/>
            <w:tcMar>
              <w:top w:w="0" w:type="dxa"/>
              <w:left w:w="0" w:type="dxa"/>
              <w:bottom w:w="0" w:type="dxa"/>
              <w:right w:w="0" w:type="dxa"/>
            </w:tcMar>
            <w:vAlign w:val="center"/>
          </w:tcPr>
          <w:p w14:paraId="49E61A4C" w14:textId="77777777" w:rsidR="001C19F3" w:rsidRDefault="001C19F3" w:rsidP="00521305">
            <w:pPr>
              <w:spacing w:before="40" w:after="40"/>
              <w:ind w:left="40" w:right="40"/>
              <w:jc w:val="center"/>
            </w:pPr>
            <w:r>
              <w:rPr>
                <w:rFonts w:cs="Century Gothic"/>
                <w:color w:val="000000"/>
                <w:sz w:val="18"/>
                <w:szCs w:val="18"/>
              </w:rPr>
              <w:t>51 (10.9%)</w:t>
            </w:r>
          </w:p>
        </w:tc>
        <w:tc>
          <w:tcPr>
            <w:tcW w:w="909" w:type="pct"/>
            <w:shd w:val="clear" w:color="auto" w:fill="FFFFFF"/>
            <w:tcMar>
              <w:top w:w="0" w:type="dxa"/>
              <w:left w:w="0" w:type="dxa"/>
              <w:bottom w:w="0" w:type="dxa"/>
              <w:right w:w="0" w:type="dxa"/>
            </w:tcMar>
            <w:vAlign w:val="center"/>
          </w:tcPr>
          <w:p w14:paraId="1B8BC195" w14:textId="77777777" w:rsidR="001C19F3" w:rsidRDefault="001C19F3" w:rsidP="00521305">
            <w:pPr>
              <w:spacing w:before="40" w:after="40"/>
              <w:ind w:left="40" w:right="40"/>
              <w:jc w:val="center"/>
            </w:pPr>
            <w:r>
              <w:rPr>
                <w:rFonts w:cs="Century Gothic"/>
                <w:color w:val="000000"/>
                <w:sz w:val="18"/>
                <w:szCs w:val="18"/>
              </w:rPr>
              <w:t>14 (9.9%)</w:t>
            </w:r>
          </w:p>
        </w:tc>
        <w:tc>
          <w:tcPr>
            <w:tcW w:w="909" w:type="pct"/>
            <w:shd w:val="clear" w:color="auto" w:fill="FFFFFF"/>
            <w:tcMar>
              <w:top w:w="0" w:type="dxa"/>
              <w:left w:w="0" w:type="dxa"/>
              <w:bottom w:w="0" w:type="dxa"/>
              <w:right w:w="0" w:type="dxa"/>
            </w:tcMar>
            <w:vAlign w:val="center"/>
          </w:tcPr>
          <w:p w14:paraId="5B8E4127" w14:textId="77777777" w:rsidR="001C19F3" w:rsidRDefault="001C19F3" w:rsidP="00521305">
            <w:pPr>
              <w:spacing w:before="40" w:after="40"/>
              <w:ind w:left="40" w:right="40"/>
              <w:jc w:val="center"/>
            </w:pPr>
          </w:p>
        </w:tc>
      </w:tr>
      <w:tr w:rsidR="001C19F3" w14:paraId="577426A3"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1EE651EB" w14:textId="77777777" w:rsidR="001C19F3" w:rsidRDefault="001C19F3" w:rsidP="00521305">
            <w:pPr>
              <w:spacing w:before="40" w:after="40"/>
              <w:ind w:left="40" w:right="40"/>
            </w:pPr>
            <w:r>
              <w:rPr>
                <w:rFonts w:cs="Century Gothic"/>
                <w:color w:val="000000"/>
                <w:sz w:val="18"/>
                <w:szCs w:val="18"/>
              </w:rPr>
              <w:t>M08 Pharmacist participated in HCH team care meetings</w:t>
            </w:r>
          </w:p>
        </w:tc>
        <w:tc>
          <w:tcPr>
            <w:tcW w:w="909" w:type="pct"/>
            <w:shd w:val="clear" w:color="auto" w:fill="FFFFFF"/>
            <w:tcMar>
              <w:top w:w="0" w:type="dxa"/>
              <w:left w:w="0" w:type="dxa"/>
              <w:bottom w:w="0" w:type="dxa"/>
              <w:right w:w="0" w:type="dxa"/>
            </w:tcMar>
            <w:vAlign w:val="center"/>
          </w:tcPr>
          <w:p w14:paraId="04E16809" w14:textId="77777777" w:rsidR="001C19F3" w:rsidRDefault="001C19F3" w:rsidP="00521305">
            <w:pPr>
              <w:spacing w:before="40" w:after="40"/>
              <w:ind w:left="40" w:right="40"/>
              <w:jc w:val="center"/>
            </w:pPr>
            <w:r>
              <w:rPr>
                <w:rFonts w:cs="Century Gothic"/>
                <w:color w:val="000000"/>
                <w:sz w:val="18"/>
                <w:szCs w:val="18"/>
              </w:rPr>
              <w:t>11 (2.4%)</w:t>
            </w:r>
          </w:p>
        </w:tc>
        <w:tc>
          <w:tcPr>
            <w:tcW w:w="909" w:type="pct"/>
            <w:shd w:val="clear" w:color="auto" w:fill="FFFFFF"/>
            <w:tcMar>
              <w:top w:w="0" w:type="dxa"/>
              <w:left w:w="0" w:type="dxa"/>
              <w:bottom w:w="0" w:type="dxa"/>
              <w:right w:w="0" w:type="dxa"/>
            </w:tcMar>
            <w:vAlign w:val="center"/>
          </w:tcPr>
          <w:p w14:paraId="5660D592" w14:textId="77777777" w:rsidR="001C19F3" w:rsidRDefault="001C19F3" w:rsidP="00521305">
            <w:pPr>
              <w:spacing w:before="40" w:after="40"/>
              <w:ind w:left="40" w:right="40"/>
              <w:jc w:val="center"/>
            </w:pPr>
            <w:r>
              <w:rPr>
                <w:rFonts w:cs="Century Gothic"/>
                <w:color w:val="000000"/>
                <w:sz w:val="18"/>
                <w:szCs w:val="18"/>
              </w:rPr>
              <w:t>1 (0.7%)</w:t>
            </w:r>
          </w:p>
        </w:tc>
        <w:tc>
          <w:tcPr>
            <w:tcW w:w="909" w:type="pct"/>
            <w:shd w:val="clear" w:color="auto" w:fill="FFFFFF"/>
            <w:tcMar>
              <w:top w:w="0" w:type="dxa"/>
              <w:left w:w="0" w:type="dxa"/>
              <w:bottom w:w="0" w:type="dxa"/>
              <w:right w:w="0" w:type="dxa"/>
            </w:tcMar>
            <w:vAlign w:val="center"/>
          </w:tcPr>
          <w:p w14:paraId="5BEE13A2" w14:textId="77777777" w:rsidR="001C19F3" w:rsidRDefault="001C19F3" w:rsidP="00521305">
            <w:pPr>
              <w:spacing w:before="40" w:after="40"/>
              <w:ind w:left="40" w:right="40"/>
              <w:jc w:val="center"/>
            </w:pPr>
          </w:p>
        </w:tc>
      </w:tr>
      <w:tr w:rsidR="001C19F3" w14:paraId="01B5003B"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1DFB0D90" w14:textId="77777777" w:rsidR="001C19F3" w:rsidRDefault="001C19F3" w:rsidP="00521305">
            <w:pPr>
              <w:spacing w:before="40" w:after="40"/>
              <w:ind w:left="40" w:right="40"/>
            </w:pPr>
            <w:r>
              <w:rPr>
                <w:rFonts w:cs="Century Gothic"/>
                <w:color w:val="000000"/>
                <w:sz w:val="18"/>
                <w:szCs w:val="18"/>
              </w:rPr>
              <w:t>M09 Pharmacist referred patient for an additional medication management service</w:t>
            </w:r>
          </w:p>
        </w:tc>
        <w:tc>
          <w:tcPr>
            <w:tcW w:w="909" w:type="pct"/>
            <w:shd w:val="clear" w:color="auto" w:fill="FFFFFF"/>
            <w:tcMar>
              <w:top w:w="0" w:type="dxa"/>
              <w:left w:w="0" w:type="dxa"/>
              <w:bottom w:w="0" w:type="dxa"/>
              <w:right w:w="0" w:type="dxa"/>
            </w:tcMar>
            <w:vAlign w:val="center"/>
          </w:tcPr>
          <w:p w14:paraId="434418B1" w14:textId="77777777" w:rsidR="001C19F3" w:rsidRDefault="001C19F3" w:rsidP="00521305">
            <w:pPr>
              <w:spacing w:before="40" w:after="40"/>
              <w:ind w:left="40" w:right="40"/>
              <w:jc w:val="center"/>
            </w:pPr>
            <w:r>
              <w:rPr>
                <w:rFonts w:cs="Century Gothic"/>
                <w:color w:val="000000"/>
                <w:sz w:val="18"/>
                <w:szCs w:val="18"/>
              </w:rPr>
              <w:t>56 (12.0%)</w:t>
            </w:r>
          </w:p>
        </w:tc>
        <w:tc>
          <w:tcPr>
            <w:tcW w:w="909" w:type="pct"/>
            <w:shd w:val="clear" w:color="auto" w:fill="FFFFFF"/>
            <w:tcMar>
              <w:top w:w="0" w:type="dxa"/>
              <w:left w:w="0" w:type="dxa"/>
              <w:bottom w:w="0" w:type="dxa"/>
              <w:right w:w="0" w:type="dxa"/>
            </w:tcMar>
            <w:vAlign w:val="center"/>
          </w:tcPr>
          <w:p w14:paraId="26740DCD" w14:textId="77777777" w:rsidR="001C19F3" w:rsidRDefault="001C19F3" w:rsidP="00521305">
            <w:pPr>
              <w:spacing w:before="40" w:after="40"/>
              <w:ind w:left="40" w:right="40"/>
              <w:jc w:val="center"/>
            </w:pPr>
            <w:r>
              <w:rPr>
                <w:rFonts w:cs="Century Gothic"/>
                <w:color w:val="000000"/>
                <w:sz w:val="18"/>
                <w:szCs w:val="18"/>
              </w:rPr>
              <w:t>35 (24.8%)</w:t>
            </w:r>
          </w:p>
        </w:tc>
        <w:tc>
          <w:tcPr>
            <w:tcW w:w="909" w:type="pct"/>
            <w:shd w:val="clear" w:color="auto" w:fill="FFFFFF"/>
            <w:tcMar>
              <w:top w:w="0" w:type="dxa"/>
              <w:left w:w="0" w:type="dxa"/>
              <w:bottom w:w="0" w:type="dxa"/>
              <w:right w:w="0" w:type="dxa"/>
            </w:tcMar>
            <w:vAlign w:val="center"/>
          </w:tcPr>
          <w:p w14:paraId="4D424099" w14:textId="77777777" w:rsidR="001C19F3" w:rsidRDefault="001C19F3" w:rsidP="00521305">
            <w:pPr>
              <w:spacing w:before="40" w:after="40"/>
              <w:ind w:left="40" w:right="40"/>
              <w:jc w:val="center"/>
            </w:pPr>
          </w:p>
        </w:tc>
      </w:tr>
      <w:tr w:rsidR="001C19F3" w14:paraId="72E70967"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17D69853" w14:textId="77777777" w:rsidR="001C19F3" w:rsidRDefault="001C19F3" w:rsidP="00521305">
            <w:pPr>
              <w:spacing w:before="40" w:after="40"/>
              <w:ind w:left="40" w:right="40"/>
            </w:pPr>
            <w:r>
              <w:rPr>
                <w:rFonts w:cs="Century Gothic"/>
                <w:color w:val="000000"/>
                <w:sz w:val="18"/>
                <w:szCs w:val="18"/>
              </w:rPr>
              <w:t>M10 Other</w:t>
            </w:r>
          </w:p>
        </w:tc>
        <w:tc>
          <w:tcPr>
            <w:tcW w:w="909" w:type="pct"/>
            <w:shd w:val="clear" w:color="auto" w:fill="FFFFFF"/>
            <w:tcMar>
              <w:top w:w="0" w:type="dxa"/>
              <w:left w:w="0" w:type="dxa"/>
              <w:bottom w:w="0" w:type="dxa"/>
              <w:right w:w="0" w:type="dxa"/>
            </w:tcMar>
            <w:vAlign w:val="center"/>
          </w:tcPr>
          <w:p w14:paraId="1E9E672C" w14:textId="77777777" w:rsidR="001C19F3" w:rsidRDefault="001C19F3" w:rsidP="00521305">
            <w:pPr>
              <w:spacing w:before="40" w:after="40"/>
              <w:ind w:left="40" w:right="40"/>
              <w:jc w:val="center"/>
            </w:pPr>
            <w:r>
              <w:rPr>
                <w:rFonts w:cs="Century Gothic"/>
                <w:color w:val="000000"/>
                <w:sz w:val="18"/>
                <w:szCs w:val="18"/>
              </w:rPr>
              <w:t>31 (6.6%)</w:t>
            </w:r>
          </w:p>
        </w:tc>
        <w:tc>
          <w:tcPr>
            <w:tcW w:w="909" w:type="pct"/>
            <w:shd w:val="clear" w:color="auto" w:fill="FFFFFF"/>
            <w:tcMar>
              <w:top w:w="0" w:type="dxa"/>
              <w:left w:w="0" w:type="dxa"/>
              <w:bottom w:w="0" w:type="dxa"/>
              <w:right w:w="0" w:type="dxa"/>
            </w:tcMar>
            <w:vAlign w:val="center"/>
          </w:tcPr>
          <w:p w14:paraId="3DE8C43F" w14:textId="77777777" w:rsidR="001C19F3" w:rsidRDefault="001C19F3" w:rsidP="00521305">
            <w:pPr>
              <w:spacing w:before="40" w:after="40"/>
              <w:ind w:left="40" w:right="40"/>
              <w:jc w:val="center"/>
            </w:pPr>
            <w:r>
              <w:rPr>
                <w:rFonts w:cs="Century Gothic"/>
                <w:color w:val="000000"/>
                <w:sz w:val="18"/>
                <w:szCs w:val="18"/>
              </w:rPr>
              <w:t>6 (4.3%)</w:t>
            </w:r>
          </w:p>
        </w:tc>
        <w:tc>
          <w:tcPr>
            <w:tcW w:w="909" w:type="pct"/>
            <w:shd w:val="clear" w:color="auto" w:fill="FFFFFF"/>
            <w:tcMar>
              <w:top w:w="0" w:type="dxa"/>
              <w:left w:w="0" w:type="dxa"/>
              <w:bottom w:w="0" w:type="dxa"/>
              <w:right w:w="0" w:type="dxa"/>
            </w:tcMar>
            <w:vAlign w:val="center"/>
          </w:tcPr>
          <w:p w14:paraId="25BD86BF" w14:textId="77777777" w:rsidR="001C19F3" w:rsidRDefault="001C19F3" w:rsidP="00521305">
            <w:pPr>
              <w:spacing w:before="40" w:after="40"/>
              <w:ind w:left="40" w:right="40"/>
              <w:jc w:val="center"/>
            </w:pPr>
          </w:p>
        </w:tc>
      </w:tr>
    </w:tbl>
    <w:p w14:paraId="2460A137" w14:textId="77777777" w:rsidR="001C19F3" w:rsidRPr="008D1867" w:rsidRDefault="001C19F3" w:rsidP="001C19F3">
      <w:pPr>
        <w:pStyle w:val="Chartortablefootnote"/>
      </w:pPr>
      <w:r>
        <w:t>Source: Community Pharmacy in HCH trial Health Outcomes data set provided by the Pharmacy Guild, to 30 June 2019.</w:t>
      </w:r>
    </w:p>
    <w:p w14:paraId="2A158AEE" w14:textId="77777777" w:rsidR="001C19F3" w:rsidRDefault="001C19F3" w:rsidP="001C19F3">
      <w:pPr>
        <w:sectPr w:rsidR="001C19F3" w:rsidSect="001C5D9E">
          <w:headerReference w:type="first" r:id="rId71"/>
          <w:pgSz w:w="11906" w:h="16838"/>
          <w:pgMar w:top="1440" w:right="1440" w:bottom="1440" w:left="1440" w:header="708" w:footer="708" w:gutter="0"/>
          <w:cols w:space="708"/>
          <w:titlePg/>
          <w:docGrid w:linePitch="360"/>
        </w:sectPr>
      </w:pPr>
      <w:r>
        <w:t xml:space="preserve">The Community Pharmacy in HCH trial is still developing, and the data presented here are preliminary. </w:t>
      </w:r>
      <w:bookmarkStart w:id="345" w:name="_Hlk21516137"/>
      <w:r>
        <w:t>Recent interviews with PHNs indicate that in some PHNs relationships been GP practices and community pharmacies are being fostered through initiatives sponsored by the PHN. The next round of case studies will aim to obtain perspectives from community pharmacists and practices on the initiative</w:t>
      </w:r>
      <w:bookmarkEnd w:id="345"/>
      <w:r>
        <w:t>.</w:t>
      </w:r>
    </w:p>
    <w:p w14:paraId="177F9F09" w14:textId="77777777" w:rsidR="001C19F3" w:rsidRDefault="001C19F3" w:rsidP="001C19F3">
      <w:pPr>
        <w:pStyle w:val="Heading1withnumber"/>
        <w:ind w:left="0" w:hanging="1134"/>
      </w:pPr>
      <w:bookmarkStart w:id="346" w:name="_Toc27056581"/>
      <w:r>
        <w:lastRenderedPageBreak/>
        <w:t>Patient and carer experiences</w:t>
      </w:r>
      <w:bookmarkEnd w:id="346"/>
    </w:p>
    <w:p w14:paraId="1604D631" w14:textId="77777777" w:rsidR="001C19F3" w:rsidRPr="007B6DF7" w:rsidRDefault="001C19F3" w:rsidP="001C19F3">
      <w:pPr>
        <w:rPr>
          <w:lang w:eastAsia="en-AU"/>
        </w:rPr>
      </w:pPr>
      <w:r w:rsidRPr="007B6DF7">
        <w:rPr>
          <w:lang w:eastAsia="en-AU"/>
        </w:rPr>
        <w:t xml:space="preserve">This </w:t>
      </w:r>
      <w:r>
        <w:rPr>
          <w:lang w:eastAsia="en-AU"/>
        </w:rPr>
        <w:t>C</w:t>
      </w:r>
      <w:r w:rsidRPr="007B6DF7">
        <w:rPr>
          <w:lang w:eastAsia="en-AU"/>
        </w:rPr>
        <w:t xml:space="preserve">hapter discusses patient, family and carer early experiences of being enrolled in the HCH program. The descriptions and experiences are drawn from interviews with patients, carers, and family members conducted between September </w:t>
      </w:r>
      <w:r>
        <w:rPr>
          <w:lang w:eastAsia="en-AU"/>
        </w:rPr>
        <w:t>and</w:t>
      </w:r>
      <w:r w:rsidRPr="007B6DF7">
        <w:rPr>
          <w:lang w:eastAsia="en-AU"/>
        </w:rPr>
        <w:t xml:space="preserve"> November 2018, and patient surveys conducted shortly after patents were enrolled (see </w:t>
      </w:r>
      <w:r>
        <w:rPr>
          <w:lang w:eastAsia="en-AU"/>
        </w:rPr>
        <w:t>Volume 4</w:t>
      </w:r>
      <w:r w:rsidRPr="007B6DF7">
        <w:rPr>
          <w:lang w:eastAsia="en-AU"/>
        </w:rPr>
        <w:t>). </w:t>
      </w:r>
    </w:p>
    <w:p w14:paraId="5299D8F0" w14:textId="77777777" w:rsidR="001C19F3" w:rsidRPr="007B6DF7" w:rsidRDefault="001C19F3" w:rsidP="001C19F3">
      <w:pPr>
        <w:spacing w:after="0" w:line="240" w:lineRule="auto"/>
        <w:textAlignment w:val="baseline"/>
        <w:rPr>
          <w:rFonts w:eastAsia="Times New Roman"/>
          <w:sz w:val="40"/>
          <w:szCs w:val="40"/>
          <w:lang w:eastAsia="en-AU"/>
        </w:rPr>
      </w:pPr>
      <w:r w:rsidRPr="007B6DF7">
        <w:rPr>
          <w:rFonts w:eastAsia="Times New Roman" w:cs="Segoe UI"/>
          <w:color w:val="003D79"/>
          <w:sz w:val="40"/>
          <w:szCs w:val="40"/>
          <w:lang w:eastAsia="en-AU"/>
        </w:rPr>
        <w:t>Experience of the primary care practice</w:t>
      </w:r>
      <w:r w:rsidRPr="007B6DF7">
        <w:rPr>
          <w:rFonts w:eastAsia="Times New Roman"/>
          <w:sz w:val="40"/>
          <w:szCs w:val="40"/>
          <w:lang w:eastAsia="en-AU"/>
        </w:rPr>
        <w:t> </w:t>
      </w:r>
    </w:p>
    <w:p w14:paraId="73243F6F" w14:textId="77777777" w:rsidR="001C19F3" w:rsidRPr="007B6DF7" w:rsidRDefault="001C19F3" w:rsidP="001C19F3">
      <w:pPr>
        <w:spacing w:after="0" w:line="240" w:lineRule="auto"/>
        <w:textAlignment w:val="baseline"/>
        <w:rPr>
          <w:rFonts w:ascii="Segoe UI" w:eastAsia="Times New Roman" w:hAnsi="Segoe UI" w:cs="Segoe UI"/>
          <w:sz w:val="18"/>
          <w:szCs w:val="18"/>
          <w:lang w:eastAsia="en-AU"/>
        </w:rPr>
      </w:pPr>
    </w:p>
    <w:p w14:paraId="50A273C5"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Length of relationship with practices </w:t>
      </w:r>
    </w:p>
    <w:p w14:paraId="03401C85" w14:textId="77777777" w:rsidR="001C19F3" w:rsidRPr="007B6DF7" w:rsidRDefault="001C19F3" w:rsidP="001C19F3">
      <w:r w:rsidRPr="007B6DF7">
        <w:t>As discussed above (</w:t>
      </w:r>
      <w:r w:rsidRPr="007B6DF7">
        <w:fldChar w:fldCharType="begin"/>
      </w:r>
      <w:r w:rsidRPr="007B6DF7">
        <w:instrText xml:space="preserve"> REF _Ref20739049 \h  \* MERGEFORMAT </w:instrText>
      </w:r>
      <w:r w:rsidRPr="007B6DF7">
        <w:fldChar w:fldCharType="separate"/>
      </w:r>
      <w:r w:rsidRPr="00822044">
        <w:t>Table 23</w:t>
      </w:r>
      <w:r w:rsidRPr="007B6DF7">
        <w:fldChar w:fldCharType="end"/>
      </w:r>
      <w:r w:rsidRPr="007B6DF7">
        <w:t>), the patient survey revealed that the majority of HCH patients (65%) have been attending their HCH practice for five or more years, with further 16% attending three to five years.</w:t>
      </w:r>
    </w:p>
    <w:p w14:paraId="4D92C686" w14:textId="77777777" w:rsidR="001C19F3" w:rsidRPr="007B6DF7" w:rsidRDefault="001C19F3" w:rsidP="001C19F3">
      <w:pPr>
        <w:rPr>
          <w:lang w:eastAsia="en-AU"/>
        </w:rPr>
      </w:pPr>
      <w:r w:rsidRPr="007B6DF7">
        <w:rPr>
          <w:lang w:eastAsia="en-AU"/>
        </w:rPr>
        <w:t>The patient interviews also suggested patients had strong, long-standing relationships with their GP and practices. Several interviewees stated that they had been attending their practice for over 15 years, with one patient even reporting that he had been going the same practice for over 30 years. Due to these long standing relationships, some patients reflected on how their practices had changed over the years, including ownership and staff turnover.</w:t>
      </w:r>
      <w:r>
        <w:rPr>
          <w:lang w:eastAsia="en-AU"/>
        </w:rPr>
        <w:t xml:space="preserve"> </w:t>
      </w:r>
    </w:p>
    <w:p w14:paraId="12D6E2F8"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Frequency of visits to their practices </w:t>
      </w:r>
    </w:p>
    <w:p w14:paraId="58CDF7DE" w14:textId="77777777" w:rsidR="001C19F3" w:rsidRPr="007B6DF7" w:rsidRDefault="001C19F3" w:rsidP="001C19F3">
      <w:pPr>
        <w:rPr>
          <w:lang w:eastAsia="en-AU"/>
        </w:rPr>
      </w:pPr>
      <w:r w:rsidRPr="007B6DF7">
        <w:t>Patients were asked how often they attended the practice in the last six months</w:t>
      </w:r>
      <w:r>
        <w:t xml:space="preserve">. </w:t>
      </w:r>
      <w:r w:rsidRPr="007B6DF7">
        <w:t xml:space="preserve">Similar data </w:t>
      </w:r>
      <w:r>
        <w:t>are</w:t>
      </w:r>
      <w:r w:rsidRPr="007B6DF7">
        <w:t xml:space="preserve"> available (for a more recent period) from the practice extracts (</w:t>
      </w:r>
      <w:r w:rsidRPr="007B6DF7">
        <w:fldChar w:fldCharType="begin"/>
      </w:r>
      <w:r w:rsidRPr="007B6DF7">
        <w:instrText xml:space="preserve"> REF _Ref20739108 \h  \* MERGEFORMAT </w:instrText>
      </w:r>
      <w:r w:rsidRPr="007B6DF7">
        <w:fldChar w:fldCharType="separate"/>
      </w:r>
      <w:r w:rsidRPr="00822044">
        <w:t>Table 24</w:t>
      </w:r>
      <w:r w:rsidRPr="007B6DF7">
        <w:fldChar w:fldCharType="end"/>
      </w:r>
      <w:r w:rsidRPr="007B6DF7">
        <w:t xml:space="preserve">), although in these data, the measure is of the number of GP consultations. Overall, the mean number of GP consultations was </w:t>
      </w:r>
      <w:r>
        <w:t>6.92</w:t>
      </w:r>
      <w:r w:rsidRPr="007B6DF7">
        <w:t xml:space="preserve"> over six months and </w:t>
      </w:r>
      <w:r>
        <w:t>13.41</w:t>
      </w:r>
      <w:r w:rsidRPr="007B6DF7">
        <w:t xml:space="preserve"> over 12 months. The patient data suggest that around half of patients have attended less than five times in the last six months, 29.5% attended between five and nine times and 28.1% attended 10 or more times</w:t>
      </w:r>
      <w:r>
        <w:t>,</w:t>
      </w:r>
    </w:p>
    <w:p w14:paraId="70AAED31" w14:textId="77777777" w:rsidR="001C19F3" w:rsidRPr="007B6DF7" w:rsidRDefault="001C19F3" w:rsidP="001C19F3">
      <w:pPr>
        <w:rPr>
          <w:lang w:eastAsia="en-AU"/>
        </w:rPr>
      </w:pPr>
      <w:r w:rsidRPr="007B6DF7">
        <w:rPr>
          <w:lang w:eastAsia="en-AU"/>
        </w:rPr>
        <w:t xml:space="preserve">The patient survey </w:t>
      </w:r>
      <w:r w:rsidRPr="007B6DF7">
        <w:t>(</w:t>
      </w:r>
      <w:r w:rsidRPr="007B6DF7">
        <w:fldChar w:fldCharType="begin"/>
      </w:r>
      <w:r w:rsidRPr="007B6DF7">
        <w:instrText xml:space="preserve"> REF _Ref20739068 \h  \* MERGEFORMAT </w:instrText>
      </w:r>
      <w:r w:rsidRPr="007B6DF7">
        <w:fldChar w:fldCharType="separate"/>
      </w:r>
      <w:r w:rsidRPr="00822044">
        <w:t>Table 25</w:t>
      </w:r>
      <w:r w:rsidRPr="007B6DF7">
        <w:fldChar w:fldCharType="end"/>
      </w:r>
      <w:r w:rsidRPr="007B6DF7">
        <w:t xml:space="preserve">) </w:t>
      </w:r>
      <w:r w:rsidRPr="007B6DF7">
        <w:rPr>
          <w:lang w:eastAsia="en-AU"/>
        </w:rPr>
        <w:t xml:space="preserve">and practice data suggest </w:t>
      </w:r>
      <w:r w:rsidRPr="007B6DF7">
        <w:t>(</w:t>
      </w:r>
      <w:r w:rsidRPr="007B6DF7">
        <w:fldChar w:fldCharType="begin"/>
      </w:r>
      <w:r w:rsidRPr="007B6DF7">
        <w:instrText xml:space="preserve"> REF _Ref20739108 \h  \* MERGEFORMAT </w:instrText>
      </w:r>
      <w:r w:rsidRPr="007B6DF7">
        <w:fldChar w:fldCharType="separate"/>
      </w:r>
      <w:r w:rsidRPr="00822044">
        <w:t>Table 24</w:t>
      </w:r>
      <w:r w:rsidRPr="007B6DF7">
        <w:fldChar w:fldCharType="end"/>
      </w:r>
      <w:r w:rsidRPr="007B6DF7">
        <w:t>) HCH patients attend their practices frequently (an average of 13.</w:t>
      </w:r>
      <w:r>
        <w:t>41</w:t>
      </w:r>
      <w:r w:rsidRPr="007B6DF7">
        <w:t xml:space="preserve"> GP consultation</w:t>
      </w:r>
      <w:r>
        <w:t>s</w:t>
      </w:r>
      <w:r w:rsidRPr="007B6DF7">
        <w:t xml:space="preserve"> per year), and that those in Tier 3 are more frequent attenders compared with those in Tier 1.</w:t>
      </w:r>
      <w:r>
        <w:t xml:space="preserve"> </w:t>
      </w:r>
      <w:r w:rsidRPr="007B6DF7">
        <w:t xml:space="preserve">However, these data also showed variability in the frequency of attendances. The patient interviews suggested frequency was related to the severity of their conditions. </w:t>
      </w:r>
      <w:r>
        <w:t>M</w:t>
      </w:r>
      <w:r w:rsidRPr="007B6DF7">
        <w:rPr>
          <w:lang w:eastAsia="en-AU"/>
        </w:rPr>
        <w:t xml:space="preserve">ore frequent visits were usually </w:t>
      </w:r>
      <w:r>
        <w:rPr>
          <w:lang w:eastAsia="en-AU"/>
        </w:rPr>
        <w:t>for</w:t>
      </w:r>
      <w:r w:rsidRPr="007B6DF7">
        <w:rPr>
          <w:lang w:eastAsia="en-AU"/>
        </w:rPr>
        <w:t xml:space="preserve"> routine blood tests, weight management, blood pressure checks, INR tests, and prescription refills: </w:t>
      </w:r>
    </w:p>
    <w:p w14:paraId="685A6011" w14:textId="77777777" w:rsidR="001C19F3" w:rsidRPr="007B6DF7" w:rsidRDefault="001C19F3" w:rsidP="001C19F3">
      <w:pPr>
        <w:ind w:left="567" w:right="1088"/>
        <w:rPr>
          <w:lang w:eastAsia="en-AU"/>
        </w:rPr>
      </w:pPr>
      <w:r w:rsidRPr="007B6DF7">
        <w:rPr>
          <w:lang w:eastAsia="en-AU"/>
        </w:rPr>
        <w:t>“</w:t>
      </w:r>
      <w:r w:rsidRPr="007B6DF7">
        <w:rPr>
          <w:i/>
          <w:lang w:eastAsia="en-AU"/>
        </w:rPr>
        <w:t xml:space="preserve">…I suppose I would see </w:t>
      </w:r>
      <w:r w:rsidRPr="00E54CB7">
        <w:rPr>
          <w:lang w:eastAsia="en-AU"/>
        </w:rPr>
        <w:t>[my GP]</w:t>
      </w:r>
      <w:r w:rsidRPr="007B6DF7">
        <w:rPr>
          <w:i/>
          <w:lang w:eastAsia="en-AU"/>
        </w:rPr>
        <w:t xml:space="preserve"> three or four times a year. Yes, I mean because he has the regular sort of taking blood to just make sure…he's been watching the diabetes problem obviously, and the kidney problem that I developed after my heart attack. But he's been keeping an eye on those. So, about every three months, it depends on what the results are. If </w:t>
      </w:r>
      <w:r w:rsidRPr="007B6DF7">
        <w:rPr>
          <w:i/>
          <w:lang w:eastAsia="en-AU"/>
        </w:rPr>
        <w:lastRenderedPageBreak/>
        <w:t>the results are good he'll spin it out another maybe six months until the next one.</w:t>
      </w:r>
      <w:r w:rsidRPr="007B6DF7">
        <w:rPr>
          <w:lang w:eastAsia="en-AU"/>
        </w:rPr>
        <w:t>” [Practice 1, Patient 1</w:t>
      </w:r>
      <w:r>
        <w:rPr>
          <w:lang w:eastAsia="en-AU"/>
        </w:rPr>
        <w:t>, interview, R2]</w:t>
      </w:r>
      <w:r w:rsidRPr="007B6DF7">
        <w:rPr>
          <w:lang w:eastAsia="en-AU"/>
        </w:rPr>
        <w:t> </w:t>
      </w:r>
    </w:p>
    <w:p w14:paraId="6E246256" w14:textId="77777777" w:rsidR="001C19F3" w:rsidRPr="007B6DF7" w:rsidRDefault="001C19F3" w:rsidP="001C19F3">
      <w:pPr>
        <w:ind w:left="567" w:right="1088"/>
      </w:pPr>
      <w:r w:rsidRPr="007B6DF7">
        <w:t>“</w:t>
      </w:r>
      <w:r w:rsidRPr="007B6DF7">
        <w:rPr>
          <w:i/>
        </w:rPr>
        <w:t>Lately every three weeks or there abouts. Mainly to check my diabetes. I’ve had a number of problems with my eyes…</w:t>
      </w:r>
      <w:r w:rsidRPr="007B6DF7">
        <w:t>” </w:t>
      </w:r>
      <w:r w:rsidRPr="003928F7">
        <w:t>[Patient 1, Practice 18</w:t>
      </w:r>
      <w:r>
        <w:t>, interview, R2]</w:t>
      </w:r>
      <w:r w:rsidRPr="007B6DF7">
        <w:t> </w:t>
      </w:r>
    </w:p>
    <w:p w14:paraId="04DD683E"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Reasons for coming to the practice</w:t>
      </w:r>
    </w:p>
    <w:p w14:paraId="3CF4D4B0"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 xml:space="preserve">Most interviewees discussed the importance of the relationship with their GP. The strength of this relationship was often the main reason </w:t>
      </w:r>
      <w:r>
        <w:rPr>
          <w:rFonts w:eastAsia="Times New Roman" w:cs="Segoe UI"/>
          <w:szCs w:val="20"/>
          <w:lang w:eastAsia="en-AU"/>
        </w:rPr>
        <w:t>that patients</w:t>
      </w:r>
      <w:r w:rsidRPr="007B6DF7">
        <w:rPr>
          <w:rFonts w:eastAsia="Times New Roman" w:cs="Segoe UI"/>
          <w:szCs w:val="20"/>
          <w:lang w:eastAsia="en-AU"/>
        </w:rPr>
        <w:t xml:space="preserve"> had longstanding relationships with their practices. Some interviewees highlighted the positive traits and values that their GPs exhibited or that were important to them as health consumers and patients. These included:</w:t>
      </w:r>
    </w:p>
    <w:p w14:paraId="17902654" w14:textId="77777777" w:rsidR="001C19F3" w:rsidRPr="007B6DF7" w:rsidRDefault="001C19F3" w:rsidP="001C19F3">
      <w:pPr>
        <w:numPr>
          <w:ilvl w:val="0"/>
          <w:numId w:val="28"/>
        </w:numPr>
        <w:spacing w:after="0"/>
        <w:contextualSpacing/>
        <w:textAlignment w:val="baseline"/>
        <w:rPr>
          <w:rFonts w:eastAsia="Times New Roman" w:cs="Segoe UI"/>
          <w:szCs w:val="20"/>
          <w:lang w:eastAsia="en-AU"/>
        </w:rPr>
      </w:pPr>
      <w:r w:rsidRPr="007B6DF7">
        <w:rPr>
          <w:rFonts w:eastAsia="Times New Roman" w:cs="Segoe UI"/>
          <w:szCs w:val="20"/>
          <w:lang w:eastAsia="en-AU"/>
        </w:rPr>
        <w:t xml:space="preserve">Excellent </w:t>
      </w:r>
      <w:r w:rsidRPr="007B6DF7">
        <w:rPr>
          <w:rFonts w:eastAsia="Times New Roman" w:cs="Segoe UI"/>
          <w:b/>
          <w:szCs w:val="20"/>
          <w:lang w:eastAsia="en-AU"/>
        </w:rPr>
        <w:t>communication skills</w:t>
      </w:r>
      <w:r>
        <w:rPr>
          <w:rFonts w:eastAsia="Times New Roman" w:cs="Segoe UI"/>
          <w:szCs w:val="20"/>
          <w:lang w:eastAsia="en-AU"/>
        </w:rPr>
        <w:t xml:space="preserve">, </w:t>
      </w:r>
      <w:r w:rsidRPr="007B6DF7">
        <w:rPr>
          <w:rFonts w:eastAsia="Times New Roman" w:cs="Segoe UI"/>
          <w:szCs w:val="20"/>
          <w:lang w:eastAsia="en-AU"/>
        </w:rPr>
        <w:t>including listening and answering questions, being truthful and upfront</w:t>
      </w:r>
      <w:r>
        <w:rPr>
          <w:rFonts w:eastAsia="Times New Roman" w:cs="Segoe UI"/>
          <w:szCs w:val="20"/>
          <w:lang w:eastAsia="en-AU"/>
        </w:rPr>
        <w:t>.</w:t>
      </w:r>
    </w:p>
    <w:p w14:paraId="101B1572" w14:textId="77777777" w:rsidR="001C19F3" w:rsidRPr="007B6DF7" w:rsidRDefault="001C19F3" w:rsidP="001C19F3">
      <w:pPr>
        <w:numPr>
          <w:ilvl w:val="0"/>
          <w:numId w:val="28"/>
        </w:numPr>
        <w:spacing w:after="0"/>
        <w:contextualSpacing/>
        <w:textAlignment w:val="baseline"/>
        <w:rPr>
          <w:rFonts w:eastAsia="Times New Roman" w:cs="Segoe UI"/>
          <w:b/>
          <w:szCs w:val="20"/>
          <w:lang w:eastAsia="en-AU"/>
        </w:rPr>
      </w:pPr>
      <w:r w:rsidRPr="007B6DF7">
        <w:rPr>
          <w:rFonts w:eastAsia="Times New Roman" w:cs="Segoe UI"/>
          <w:szCs w:val="20"/>
          <w:lang w:eastAsia="en-AU"/>
        </w:rPr>
        <w:t>Showing</w:t>
      </w:r>
      <w:r w:rsidRPr="007B6DF7">
        <w:rPr>
          <w:rFonts w:eastAsia="Times New Roman" w:cs="Segoe UI"/>
          <w:b/>
          <w:szCs w:val="20"/>
          <w:lang w:eastAsia="en-AU"/>
        </w:rPr>
        <w:t xml:space="preserve"> empathy</w:t>
      </w:r>
      <w:r>
        <w:rPr>
          <w:rFonts w:eastAsia="Times New Roman" w:cs="Segoe UI"/>
          <w:b/>
          <w:szCs w:val="20"/>
          <w:lang w:eastAsia="en-AU"/>
        </w:rPr>
        <w:t>.</w:t>
      </w:r>
      <w:r w:rsidRPr="007B6DF7">
        <w:rPr>
          <w:rFonts w:eastAsia="Times New Roman" w:cs="Segoe UI"/>
          <w:b/>
          <w:szCs w:val="20"/>
          <w:lang w:eastAsia="en-AU"/>
        </w:rPr>
        <w:t xml:space="preserve"> </w:t>
      </w:r>
    </w:p>
    <w:p w14:paraId="7A128157" w14:textId="77777777" w:rsidR="001C19F3" w:rsidRPr="007B6DF7" w:rsidRDefault="001C19F3" w:rsidP="001C19F3">
      <w:pPr>
        <w:numPr>
          <w:ilvl w:val="0"/>
          <w:numId w:val="28"/>
        </w:numPr>
        <w:contextualSpacing/>
        <w:textAlignment w:val="baseline"/>
        <w:rPr>
          <w:rFonts w:ascii="Calibri" w:eastAsia="Times New Roman" w:hAnsi="Calibri" w:cs="Segoe UI"/>
          <w:szCs w:val="20"/>
          <w:lang w:eastAsia="en-AU"/>
        </w:rPr>
      </w:pPr>
      <w:r w:rsidRPr="007B6DF7">
        <w:rPr>
          <w:rFonts w:eastAsia="Times New Roman" w:cs="Segoe UI"/>
          <w:szCs w:val="20"/>
          <w:lang w:eastAsia="en-AU"/>
        </w:rPr>
        <w:t xml:space="preserve">Being </w:t>
      </w:r>
      <w:r w:rsidRPr="007B6DF7">
        <w:rPr>
          <w:rFonts w:eastAsia="Times New Roman" w:cs="Segoe UI"/>
          <w:b/>
          <w:szCs w:val="20"/>
          <w:lang w:eastAsia="en-AU"/>
        </w:rPr>
        <w:t>non-judgemental</w:t>
      </w:r>
      <w:r w:rsidRPr="007B6DF7">
        <w:rPr>
          <w:rFonts w:eastAsia="Times New Roman" w:cs="Segoe UI"/>
          <w:szCs w:val="20"/>
          <w:lang w:eastAsia="en-AU"/>
        </w:rPr>
        <w:t xml:space="preserve"> and</w:t>
      </w:r>
      <w:r w:rsidRPr="007B6DF7">
        <w:t xml:space="preserve"> m</w:t>
      </w:r>
      <w:r w:rsidRPr="007B6DF7">
        <w:rPr>
          <w:rFonts w:eastAsia="Times New Roman" w:cs="Segoe UI"/>
          <w:szCs w:val="20"/>
          <w:lang w:eastAsia="en-AU"/>
        </w:rPr>
        <w:t xml:space="preserve">aking the patient feel comfortable: </w:t>
      </w:r>
      <w:r w:rsidRPr="007B6DF7">
        <w:rPr>
          <w:rFonts w:eastAsia="Times New Roman" w:cs="Segoe UI"/>
          <w:i/>
          <w:iCs/>
          <w:szCs w:val="20"/>
          <w:lang w:eastAsia="en-AU"/>
        </w:rPr>
        <w:t>“…</w:t>
      </w:r>
      <w:r w:rsidRPr="007B6DF7">
        <w:rPr>
          <w:rFonts w:eastAsia="Times New Roman" w:cs="Segoe UI"/>
          <w:i/>
          <w:iCs/>
          <w:szCs w:val="20"/>
          <w:lang w:val="en-GB" w:eastAsia="en-AU"/>
        </w:rPr>
        <w:t>There’s less judgement.” </w:t>
      </w:r>
      <w:r w:rsidRPr="007B6DF7">
        <w:rPr>
          <w:rFonts w:eastAsia="Times New Roman" w:cs="Segoe UI"/>
          <w:szCs w:val="20"/>
          <w:lang w:val="en-GB" w:eastAsia="en-AU"/>
        </w:rPr>
        <w:t>[Patient 2, Practice 10</w:t>
      </w:r>
      <w:r>
        <w:rPr>
          <w:rFonts w:eastAsia="Times New Roman" w:cs="Segoe UI"/>
          <w:szCs w:val="20"/>
          <w:lang w:val="en-GB" w:eastAsia="en-AU"/>
        </w:rPr>
        <w:t>, interview, R2].</w:t>
      </w:r>
    </w:p>
    <w:p w14:paraId="32F8D906" w14:textId="77777777" w:rsidR="001C19F3" w:rsidRPr="007B6DF7" w:rsidRDefault="001C19F3" w:rsidP="001C19F3">
      <w:pPr>
        <w:numPr>
          <w:ilvl w:val="0"/>
          <w:numId w:val="28"/>
        </w:numPr>
        <w:contextualSpacing/>
        <w:textAlignment w:val="baseline"/>
        <w:rPr>
          <w:rFonts w:eastAsia="Times New Roman"/>
          <w:szCs w:val="20"/>
          <w:lang w:eastAsia="en-AU"/>
        </w:rPr>
      </w:pPr>
      <w:r w:rsidRPr="007B6DF7">
        <w:rPr>
          <w:rFonts w:eastAsia="Times New Roman" w:cs="Segoe UI"/>
          <w:b/>
          <w:szCs w:val="20"/>
          <w:lang w:eastAsia="en-AU"/>
        </w:rPr>
        <w:t>Having time for the patient</w:t>
      </w:r>
      <w:r w:rsidRPr="007B6DF7">
        <w:rPr>
          <w:rFonts w:eastAsia="Times New Roman" w:cs="Segoe UI"/>
          <w:szCs w:val="20"/>
          <w:lang w:eastAsia="en-AU"/>
        </w:rPr>
        <w:t xml:space="preserve">, for example not rushing the patient in a consultation: </w:t>
      </w:r>
      <w:r w:rsidRPr="007B6DF7">
        <w:rPr>
          <w:rFonts w:eastAsia="Times New Roman" w:cs="Segoe UI"/>
          <w:i/>
          <w:iCs/>
          <w:szCs w:val="20"/>
          <w:lang w:eastAsia="en-AU"/>
        </w:rPr>
        <w:t>“…he’s always got time for you.” </w:t>
      </w:r>
      <w:r w:rsidRPr="007B6DF7">
        <w:rPr>
          <w:rFonts w:eastAsia="Times New Roman" w:cs="Segoe UI"/>
          <w:szCs w:val="20"/>
          <w:lang w:eastAsia="en-AU"/>
        </w:rPr>
        <w:t>[Patient 2, Practice 5</w:t>
      </w:r>
      <w:r>
        <w:rPr>
          <w:rFonts w:eastAsia="Times New Roman" w:cs="Segoe UI"/>
          <w:szCs w:val="20"/>
          <w:lang w:eastAsia="en-AU"/>
        </w:rPr>
        <w:t>, interview, R2]</w:t>
      </w:r>
      <w:r>
        <w:rPr>
          <w:rFonts w:eastAsia="Times New Roman"/>
          <w:szCs w:val="20"/>
          <w:lang w:eastAsia="en-AU"/>
        </w:rPr>
        <w:t>.</w:t>
      </w:r>
      <w:r w:rsidRPr="007B6DF7">
        <w:rPr>
          <w:rFonts w:eastAsia="Times New Roman"/>
          <w:szCs w:val="20"/>
          <w:lang w:eastAsia="en-AU"/>
        </w:rPr>
        <w:t xml:space="preserve"> </w:t>
      </w:r>
    </w:p>
    <w:p w14:paraId="0FAA7CBF" w14:textId="77777777" w:rsidR="001C19F3" w:rsidRPr="007B6DF7" w:rsidRDefault="001C19F3" w:rsidP="001C19F3">
      <w:pPr>
        <w:numPr>
          <w:ilvl w:val="0"/>
          <w:numId w:val="28"/>
        </w:numPr>
        <w:contextualSpacing/>
        <w:textAlignment w:val="baseline"/>
        <w:rPr>
          <w:rFonts w:eastAsia="Times New Roman"/>
          <w:szCs w:val="20"/>
          <w:lang w:eastAsia="en-AU"/>
        </w:rPr>
      </w:pPr>
      <w:r w:rsidRPr="007B6DF7">
        <w:rPr>
          <w:rFonts w:eastAsia="Times New Roman" w:cs="Segoe UI"/>
          <w:b/>
          <w:szCs w:val="20"/>
          <w:lang w:eastAsia="en-AU"/>
        </w:rPr>
        <w:t xml:space="preserve">Thoroughness </w:t>
      </w:r>
      <w:r w:rsidRPr="007B6DF7">
        <w:rPr>
          <w:rFonts w:eastAsia="Times New Roman" w:cs="Segoe UI"/>
          <w:szCs w:val="20"/>
          <w:lang w:eastAsia="en-AU"/>
        </w:rPr>
        <w:t>and being proactive rather than reactive</w:t>
      </w:r>
      <w:r w:rsidRPr="007B6DF7">
        <w:rPr>
          <w:rFonts w:eastAsia="Times New Roman" w:cs="Segoe UI"/>
          <w:b/>
          <w:szCs w:val="20"/>
          <w:lang w:eastAsia="en-AU"/>
        </w:rPr>
        <w:t>:</w:t>
      </w:r>
      <w:r w:rsidRPr="007B6DF7">
        <w:rPr>
          <w:rFonts w:eastAsia="Times New Roman" w:cs="Segoe UI"/>
          <w:szCs w:val="20"/>
          <w:lang w:eastAsia="en-AU"/>
        </w:rPr>
        <w:t xml:space="preserve"> “</w:t>
      </w:r>
      <w:r w:rsidRPr="007B6DF7">
        <w:rPr>
          <w:rFonts w:eastAsia="Times New Roman" w:cs="Segoe UI"/>
          <w:i/>
          <w:iCs/>
          <w:szCs w:val="20"/>
          <w:lang w:val="en-GB" w:eastAsia="en-AU"/>
        </w:rPr>
        <w:t>she is brilliant, she doesn’t leave any stone unturned…”</w:t>
      </w:r>
      <w:r w:rsidRPr="007B6DF7">
        <w:rPr>
          <w:rFonts w:eastAsia="Times New Roman" w:cs="Segoe UI"/>
          <w:szCs w:val="20"/>
          <w:lang w:val="en-GB" w:eastAsia="en-AU"/>
        </w:rPr>
        <w:t> [Patient 1, Practice 9</w:t>
      </w:r>
      <w:r>
        <w:rPr>
          <w:rFonts w:eastAsia="Times New Roman" w:cs="Segoe UI"/>
          <w:szCs w:val="20"/>
          <w:lang w:val="en-GB" w:eastAsia="en-AU"/>
        </w:rPr>
        <w:t>, interview, R2]</w:t>
      </w:r>
      <w:r w:rsidRPr="007B6DF7">
        <w:rPr>
          <w:rFonts w:eastAsia="Times New Roman" w:cs="Segoe UI"/>
          <w:szCs w:val="20"/>
          <w:lang w:val="en-GB" w:eastAsia="en-AU"/>
        </w:rPr>
        <w:t xml:space="preserve">; </w:t>
      </w:r>
      <w:r w:rsidRPr="007B6DF7">
        <w:rPr>
          <w:rFonts w:eastAsia="Times New Roman" w:cs="Segoe UI"/>
          <w:i/>
          <w:iCs/>
          <w:szCs w:val="20"/>
          <w:lang w:eastAsia="en-AU"/>
        </w:rPr>
        <w:t>“</w:t>
      </w:r>
      <w:r w:rsidRPr="009B75E1">
        <w:rPr>
          <w:rFonts w:eastAsia="Times New Roman" w:cs="Segoe UI"/>
          <w:iCs/>
          <w:szCs w:val="20"/>
          <w:lang w:eastAsia="en-AU"/>
        </w:rPr>
        <w:t xml:space="preserve">[The GP] </w:t>
      </w:r>
      <w:r w:rsidRPr="007B6DF7">
        <w:rPr>
          <w:rFonts w:eastAsia="Times New Roman" w:cs="Segoe UI"/>
          <w:i/>
          <w:iCs/>
          <w:szCs w:val="20"/>
          <w:lang w:eastAsia="en-AU"/>
        </w:rPr>
        <w:t>always asks me if there’s anything else she can do for me, anything like that, do you need anything? I can’t praise them enough.”</w:t>
      </w:r>
      <w:r w:rsidRPr="007B6DF7">
        <w:rPr>
          <w:rFonts w:eastAsia="Times New Roman" w:cs="Segoe UI"/>
          <w:szCs w:val="20"/>
          <w:lang w:eastAsia="en-AU"/>
        </w:rPr>
        <w:t> [Patient 3, Practice 16</w:t>
      </w:r>
      <w:r>
        <w:rPr>
          <w:rFonts w:eastAsia="Times New Roman" w:cs="Segoe UI"/>
          <w:szCs w:val="20"/>
          <w:lang w:eastAsia="en-AU"/>
        </w:rPr>
        <w:t>, interview, R2].</w:t>
      </w:r>
      <w:r w:rsidRPr="007B6DF7">
        <w:rPr>
          <w:rFonts w:eastAsia="Times New Roman"/>
          <w:szCs w:val="20"/>
          <w:lang w:eastAsia="en-AU"/>
        </w:rPr>
        <w:t> </w:t>
      </w:r>
    </w:p>
    <w:p w14:paraId="1A805C64" w14:textId="77777777" w:rsidR="001C19F3" w:rsidRPr="007B6DF7" w:rsidRDefault="001C19F3" w:rsidP="001C19F3">
      <w:pPr>
        <w:numPr>
          <w:ilvl w:val="0"/>
          <w:numId w:val="28"/>
        </w:numPr>
        <w:contextualSpacing/>
        <w:textAlignment w:val="baseline"/>
        <w:rPr>
          <w:rFonts w:eastAsia="Times New Roman"/>
          <w:b/>
          <w:szCs w:val="20"/>
          <w:lang w:eastAsia="en-AU"/>
        </w:rPr>
      </w:pPr>
      <w:r w:rsidRPr="007B6DF7">
        <w:rPr>
          <w:rFonts w:eastAsia="Times New Roman"/>
          <w:b/>
          <w:szCs w:val="20"/>
          <w:lang w:eastAsia="en-AU"/>
        </w:rPr>
        <w:t>Continuity</w:t>
      </w:r>
      <w:r>
        <w:rPr>
          <w:rFonts w:eastAsia="Times New Roman"/>
          <w:b/>
          <w:szCs w:val="20"/>
          <w:lang w:eastAsia="en-AU"/>
        </w:rPr>
        <w:t>.</w:t>
      </w:r>
    </w:p>
    <w:p w14:paraId="49653A39" w14:textId="77777777" w:rsidR="001C19F3" w:rsidRPr="007B6DF7" w:rsidRDefault="001C19F3" w:rsidP="001C19F3">
      <w:pPr>
        <w:numPr>
          <w:ilvl w:val="0"/>
          <w:numId w:val="28"/>
        </w:numPr>
        <w:ind w:left="714" w:hanging="357"/>
        <w:textAlignment w:val="baseline"/>
        <w:rPr>
          <w:rFonts w:eastAsia="Times New Roman"/>
          <w:szCs w:val="20"/>
          <w:lang w:eastAsia="en-AU"/>
        </w:rPr>
      </w:pPr>
      <w:r w:rsidRPr="007B6DF7">
        <w:rPr>
          <w:rFonts w:eastAsia="Times New Roman" w:cs="Segoe UI"/>
          <w:b/>
          <w:szCs w:val="20"/>
          <w:lang w:eastAsia="en-AU"/>
        </w:rPr>
        <w:t>Expertise in the patient’s specific chronic condition</w:t>
      </w:r>
      <w:r w:rsidRPr="007B6DF7">
        <w:rPr>
          <w:rFonts w:eastAsia="Times New Roman" w:cs="Segoe UI"/>
          <w:szCs w:val="20"/>
          <w:lang w:eastAsia="en-AU"/>
        </w:rPr>
        <w:t xml:space="preserve">: </w:t>
      </w:r>
      <w:r w:rsidRPr="007B6DF7">
        <w:rPr>
          <w:rFonts w:eastAsia="Times New Roman" w:cs="Segoe UI"/>
          <w:i/>
          <w:iCs/>
          <w:szCs w:val="20"/>
          <w:lang w:eastAsia="en-AU"/>
        </w:rPr>
        <w:t xml:space="preserve">“I think what you got here is, </w:t>
      </w:r>
      <w:r w:rsidRPr="009B75E1">
        <w:rPr>
          <w:rFonts w:eastAsia="Times New Roman" w:cs="Segoe UI"/>
          <w:iCs/>
          <w:szCs w:val="20"/>
          <w:lang w:eastAsia="en-AU"/>
        </w:rPr>
        <w:t>[the GP]</w:t>
      </w:r>
      <w:r w:rsidRPr="007B6DF7">
        <w:rPr>
          <w:rFonts w:eastAsia="Times New Roman" w:cs="Segoe UI"/>
          <w:i/>
          <w:iCs/>
          <w:szCs w:val="20"/>
          <w:lang w:eastAsia="en-AU"/>
        </w:rPr>
        <w:t xml:space="preserve"> and the people that provide similar services associated with him…fill a gap that the mainstream doesn’t.”</w:t>
      </w:r>
      <w:r w:rsidRPr="007B6DF7">
        <w:rPr>
          <w:rFonts w:eastAsia="Times New Roman" w:cs="Segoe UI"/>
          <w:szCs w:val="20"/>
          <w:lang w:eastAsia="en-AU"/>
        </w:rPr>
        <w:t> [Patient 3, Practice 10</w:t>
      </w:r>
      <w:r>
        <w:rPr>
          <w:rFonts w:eastAsia="Times New Roman" w:cs="Segoe UI"/>
          <w:szCs w:val="20"/>
          <w:lang w:eastAsia="en-AU"/>
        </w:rPr>
        <w:t>, interview, R2].</w:t>
      </w:r>
    </w:p>
    <w:p w14:paraId="4B778B00"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Many interviewees felt that these characteristics separated their doctors’ or other high performing GPs from what they considered ‘mainstream’ or average care in the health system:</w:t>
      </w:r>
      <w:r>
        <w:rPr>
          <w:rFonts w:eastAsia="Times New Roman" w:cs="Segoe UI"/>
          <w:szCs w:val="20"/>
          <w:lang w:eastAsia="en-AU"/>
        </w:rPr>
        <w:t xml:space="preserve"> </w:t>
      </w:r>
    </w:p>
    <w:p w14:paraId="441C673A" w14:textId="77777777" w:rsidR="001C19F3" w:rsidRPr="007B6DF7" w:rsidRDefault="001C19F3" w:rsidP="001C19F3">
      <w:pPr>
        <w:ind w:left="567" w:right="1088"/>
      </w:pPr>
      <w:r w:rsidRPr="007B6DF7">
        <w:rPr>
          <w:i/>
          <w:iCs/>
        </w:rPr>
        <w:t>“Doctors are like anybody. I mean, there’s house painters and there’s house painters…You and I could both go and paint a house together, it’d get painted, ceiling might too. But then someone might come in and do a really nice job and not make a mess. You can take your car in for a service, you might get the first-year apprentices doing it, or you might get the guy that’s been there a long time and has a passion for it still. To do it. That’s the difference.”</w:t>
      </w:r>
      <w:r w:rsidRPr="007B6DF7">
        <w:t> </w:t>
      </w:r>
      <w:r w:rsidRPr="009B34EC">
        <w:t>[Patient 5, Practice 16, interview, R2]</w:t>
      </w:r>
      <w:r w:rsidRPr="007B6DF7">
        <w:t> </w:t>
      </w:r>
    </w:p>
    <w:p w14:paraId="10B0E8F3" w14:textId="77777777" w:rsidR="001C19F3" w:rsidRPr="007B6DF7" w:rsidRDefault="001C19F3" w:rsidP="001C19F3">
      <w:pPr>
        <w:rPr>
          <w:rFonts w:eastAsia="Times New Roman"/>
          <w:szCs w:val="20"/>
          <w:lang w:eastAsia="en-AU"/>
        </w:rPr>
      </w:pPr>
      <w:r w:rsidRPr="007B6DF7">
        <w:rPr>
          <w:rFonts w:cs="Segoe UI"/>
          <w:szCs w:val="20"/>
          <w:lang w:eastAsia="en-AU"/>
        </w:rPr>
        <w:t xml:space="preserve">Beyond the GP-patient relationship, patients cited other reasons they initially visited their practices. Their first visits were predominantly due to the convenience of location. </w:t>
      </w:r>
      <w:r>
        <w:rPr>
          <w:rFonts w:cs="Segoe UI"/>
          <w:szCs w:val="20"/>
          <w:lang w:eastAsia="en-AU"/>
        </w:rPr>
        <w:t>O</w:t>
      </w:r>
      <w:r w:rsidRPr="007B6DF7">
        <w:rPr>
          <w:rFonts w:cs="Segoe UI"/>
          <w:szCs w:val="20"/>
          <w:lang w:eastAsia="en-AU"/>
        </w:rPr>
        <w:t>thers reported that they received a recommendation to visit the practice or conducted some online research about clinics in the area</w:t>
      </w:r>
      <w:r>
        <w:rPr>
          <w:rFonts w:cs="Segoe UI"/>
          <w:szCs w:val="20"/>
          <w:lang w:eastAsia="en-AU"/>
        </w:rPr>
        <w:t>,</w:t>
      </w:r>
      <w:r w:rsidRPr="007B6DF7">
        <w:rPr>
          <w:rFonts w:cs="Segoe UI"/>
          <w:szCs w:val="20"/>
          <w:lang w:eastAsia="en-AU"/>
        </w:rPr>
        <w:t xml:space="preserve"> which led them to their current GP.</w:t>
      </w:r>
      <w:r>
        <w:rPr>
          <w:szCs w:val="20"/>
          <w:lang w:eastAsia="en-AU"/>
        </w:rPr>
        <w:t xml:space="preserve"> </w:t>
      </w:r>
      <w:r w:rsidRPr="007B6DF7">
        <w:rPr>
          <w:rFonts w:eastAsia="Times New Roman" w:cs="Segoe UI"/>
          <w:szCs w:val="20"/>
          <w:lang w:eastAsia="en-AU"/>
        </w:rPr>
        <w:t>After the initial consultation, patients discussed what encouraged them to continue to return to the practice. In addition to the qualities of their GPs, some of these reasons included:</w:t>
      </w:r>
      <w:r w:rsidRPr="007B6DF7">
        <w:rPr>
          <w:rFonts w:eastAsia="Times New Roman"/>
          <w:szCs w:val="20"/>
          <w:lang w:eastAsia="en-AU"/>
        </w:rPr>
        <w:t> </w:t>
      </w:r>
    </w:p>
    <w:p w14:paraId="6DE573B0" w14:textId="77777777" w:rsidR="001C19F3" w:rsidRPr="007B6DF7" w:rsidRDefault="001C19F3" w:rsidP="001C19F3">
      <w:pPr>
        <w:numPr>
          <w:ilvl w:val="0"/>
          <w:numId w:val="58"/>
        </w:numPr>
        <w:spacing w:after="0"/>
        <w:textAlignment w:val="baseline"/>
        <w:rPr>
          <w:rFonts w:ascii="Calibri" w:eastAsia="Times New Roman" w:hAnsi="Calibri" w:cs="Segoe UI"/>
          <w:szCs w:val="20"/>
          <w:lang w:eastAsia="en-AU"/>
        </w:rPr>
      </w:pPr>
      <w:r w:rsidRPr="007B6DF7">
        <w:rPr>
          <w:rFonts w:eastAsia="Times New Roman" w:cs="Segoe UI"/>
          <w:szCs w:val="20"/>
          <w:lang w:eastAsia="en-AU"/>
        </w:rPr>
        <w:t>friendly staff members,</w:t>
      </w:r>
      <w:r w:rsidRPr="007B6DF7">
        <w:rPr>
          <w:rFonts w:eastAsia="Times New Roman"/>
          <w:szCs w:val="20"/>
          <w:lang w:eastAsia="en-AU"/>
        </w:rPr>
        <w:t xml:space="preserve"> not </w:t>
      </w:r>
      <w:r w:rsidRPr="007B6DF7">
        <w:rPr>
          <w:rFonts w:eastAsia="Times New Roman" w:cs="Segoe UI"/>
          <w:szCs w:val="20"/>
          <w:lang w:eastAsia="en-AU"/>
        </w:rPr>
        <w:t xml:space="preserve">feeling like just another patient: </w:t>
      </w:r>
      <w:r w:rsidRPr="007B6DF7">
        <w:rPr>
          <w:rFonts w:eastAsia="Times New Roman" w:cs="Segoe UI"/>
          <w:i/>
          <w:iCs/>
          <w:szCs w:val="20"/>
          <w:lang w:eastAsia="en-AU"/>
        </w:rPr>
        <w:t>“…you're not just a number.” </w:t>
      </w:r>
      <w:r w:rsidRPr="007B6DF7">
        <w:rPr>
          <w:rFonts w:eastAsia="Times New Roman" w:cs="Segoe UI"/>
          <w:szCs w:val="20"/>
          <w:lang w:eastAsia="en-AU"/>
        </w:rPr>
        <w:t>[Patient 1, Practice 8</w:t>
      </w:r>
      <w:r>
        <w:rPr>
          <w:rFonts w:eastAsia="Times New Roman" w:cs="Segoe UI"/>
          <w:szCs w:val="20"/>
          <w:lang w:eastAsia="en-AU"/>
        </w:rPr>
        <w:t>, interview, R2]</w:t>
      </w:r>
      <w:r w:rsidRPr="007B6DF7">
        <w:rPr>
          <w:rFonts w:eastAsia="Times New Roman" w:cs="Segoe UI"/>
          <w:szCs w:val="20"/>
          <w:lang w:eastAsia="en-AU"/>
        </w:rPr>
        <w:t>)</w:t>
      </w:r>
      <w:r w:rsidRPr="007B6DF7">
        <w:rPr>
          <w:rFonts w:eastAsia="Times New Roman"/>
          <w:szCs w:val="20"/>
          <w:lang w:eastAsia="en-AU"/>
        </w:rPr>
        <w:t> </w:t>
      </w:r>
    </w:p>
    <w:p w14:paraId="169416BC" w14:textId="77777777" w:rsidR="001C19F3" w:rsidRPr="007B6DF7" w:rsidRDefault="001C19F3" w:rsidP="001C19F3">
      <w:pPr>
        <w:numPr>
          <w:ilvl w:val="0"/>
          <w:numId w:val="57"/>
        </w:numPr>
        <w:spacing w:after="0"/>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lastRenderedPageBreak/>
        <w:t>additional services and specialists practicing at location</w:t>
      </w:r>
      <w:r w:rsidRPr="007B6DF7">
        <w:rPr>
          <w:rFonts w:eastAsia="Times New Roman"/>
          <w:szCs w:val="20"/>
          <w:lang w:eastAsia="en-AU"/>
        </w:rPr>
        <w:t> </w:t>
      </w:r>
    </w:p>
    <w:p w14:paraId="4A38DE12" w14:textId="77777777" w:rsidR="001C19F3" w:rsidRPr="007B6DF7" w:rsidRDefault="001C19F3" w:rsidP="001C19F3">
      <w:pPr>
        <w:numPr>
          <w:ilvl w:val="0"/>
          <w:numId w:val="58"/>
        </w:numPr>
        <w:spacing w:after="0"/>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t>close proximity to specialists or pharmacy</w:t>
      </w:r>
      <w:r w:rsidRPr="007B6DF7">
        <w:rPr>
          <w:rFonts w:eastAsia="Times New Roman"/>
          <w:szCs w:val="20"/>
          <w:lang w:eastAsia="en-AU"/>
        </w:rPr>
        <w:t> </w:t>
      </w:r>
    </w:p>
    <w:p w14:paraId="02AC4617" w14:textId="77777777" w:rsidR="001C19F3" w:rsidRPr="007B6DF7" w:rsidRDefault="001C19F3" w:rsidP="001C19F3">
      <w:pPr>
        <w:numPr>
          <w:ilvl w:val="0"/>
          <w:numId w:val="58"/>
        </w:numPr>
        <w:spacing w:after="0"/>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t>bulk billing</w:t>
      </w:r>
      <w:r w:rsidRPr="007B6DF7">
        <w:rPr>
          <w:rFonts w:eastAsia="Times New Roman"/>
          <w:szCs w:val="20"/>
          <w:lang w:eastAsia="en-AU"/>
        </w:rPr>
        <w:t> </w:t>
      </w:r>
    </w:p>
    <w:p w14:paraId="260982E6" w14:textId="77777777" w:rsidR="001C19F3" w:rsidRPr="007B6DF7" w:rsidRDefault="001C19F3" w:rsidP="001C19F3">
      <w:pPr>
        <w:numPr>
          <w:ilvl w:val="0"/>
          <w:numId w:val="58"/>
        </w:numPr>
        <w:spacing w:after="0"/>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t xml:space="preserve">office </w:t>
      </w:r>
      <w:r>
        <w:rPr>
          <w:rFonts w:eastAsia="Times New Roman" w:cs="Segoe UI"/>
          <w:szCs w:val="20"/>
          <w:lang w:eastAsia="en-AU"/>
        </w:rPr>
        <w:t>set-up</w:t>
      </w:r>
      <w:r w:rsidRPr="007B6DF7">
        <w:rPr>
          <w:rFonts w:eastAsia="Times New Roman"/>
          <w:szCs w:val="20"/>
          <w:lang w:eastAsia="en-AU"/>
        </w:rPr>
        <w:t> </w:t>
      </w:r>
    </w:p>
    <w:p w14:paraId="55EF8148" w14:textId="77777777" w:rsidR="001C19F3" w:rsidRPr="007B6DF7" w:rsidRDefault="001C19F3" w:rsidP="001C19F3">
      <w:pPr>
        <w:numPr>
          <w:ilvl w:val="0"/>
          <w:numId w:val="58"/>
        </w:numPr>
        <w:spacing w:after="0"/>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t>large practice with multiple GPs that have a wide range of skills</w:t>
      </w:r>
      <w:r w:rsidRPr="007B6DF7">
        <w:rPr>
          <w:rFonts w:eastAsia="Times New Roman"/>
          <w:szCs w:val="20"/>
          <w:lang w:eastAsia="en-AU"/>
        </w:rPr>
        <w:t> </w:t>
      </w:r>
    </w:p>
    <w:p w14:paraId="603F7BD3" w14:textId="77777777" w:rsidR="001C19F3" w:rsidRPr="007B6DF7" w:rsidRDefault="001C19F3" w:rsidP="001C19F3">
      <w:pPr>
        <w:numPr>
          <w:ilvl w:val="0"/>
          <w:numId w:val="58"/>
        </w:numPr>
        <w:spacing w:after="0"/>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t>open to trying new treatment ideas and other options in order to improve condition</w:t>
      </w:r>
      <w:r w:rsidRPr="007B6DF7">
        <w:rPr>
          <w:rFonts w:eastAsia="Times New Roman"/>
          <w:szCs w:val="20"/>
          <w:lang w:eastAsia="en-AU"/>
        </w:rPr>
        <w:t> </w:t>
      </w:r>
    </w:p>
    <w:p w14:paraId="7E7E313B" w14:textId="77777777" w:rsidR="001C19F3" w:rsidRPr="007B6DF7" w:rsidRDefault="001C19F3" w:rsidP="001C19F3">
      <w:pPr>
        <w:numPr>
          <w:ilvl w:val="0"/>
          <w:numId w:val="59"/>
        </w:numPr>
        <w:ind w:left="360" w:firstLine="0"/>
        <w:textAlignment w:val="baseline"/>
        <w:rPr>
          <w:rFonts w:ascii="Calibri" w:eastAsia="Times New Roman" w:hAnsi="Calibri" w:cs="Segoe UI"/>
          <w:szCs w:val="20"/>
          <w:lang w:eastAsia="en-AU"/>
        </w:rPr>
      </w:pPr>
      <w:r w:rsidRPr="007B6DF7">
        <w:rPr>
          <w:rFonts w:eastAsia="Times New Roman" w:cs="Segoe UI"/>
          <w:szCs w:val="20"/>
          <w:lang w:eastAsia="en-AU"/>
        </w:rPr>
        <w:t>access to receptionists or nurses via phone.</w:t>
      </w:r>
      <w:r w:rsidRPr="007B6DF7">
        <w:rPr>
          <w:rFonts w:eastAsia="Times New Roman"/>
          <w:szCs w:val="20"/>
          <w:lang w:eastAsia="en-AU"/>
        </w:rPr>
        <w:t> </w:t>
      </w:r>
    </w:p>
    <w:p w14:paraId="4A338DA2"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Access</w:t>
      </w:r>
    </w:p>
    <w:p w14:paraId="36CD5A97" w14:textId="77777777" w:rsidR="001C19F3" w:rsidRPr="007B6DF7" w:rsidRDefault="001C19F3" w:rsidP="001C19F3">
      <w:r w:rsidRPr="007B6DF7">
        <w:t xml:space="preserve">The patient survey provided some insights into patient experience with primary care in the period before enrolling in HCH. </w:t>
      </w:r>
      <w:r w:rsidRPr="008E7E69">
        <w:fldChar w:fldCharType="begin"/>
      </w:r>
      <w:r w:rsidRPr="008E7E69">
        <w:instrText xml:space="preserve"> REF _Ref21172870 \h  \* MERGEFORMAT </w:instrText>
      </w:r>
      <w:r w:rsidRPr="008E7E69">
        <w:fldChar w:fldCharType="separate"/>
      </w:r>
      <w:r w:rsidRPr="00822044">
        <w:t xml:space="preserve">Table </w:t>
      </w:r>
      <w:r w:rsidRPr="00822044">
        <w:rPr>
          <w:noProof/>
        </w:rPr>
        <w:t>52</w:t>
      </w:r>
      <w:r w:rsidRPr="008E7E69">
        <w:fldChar w:fldCharType="end"/>
      </w:r>
      <w:r>
        <w:t xml:space="preserve"> </w:t>
      </w:r>
      <w:r w:rsidRPr="007B6DF7">
        <w:t>shows patient</w:t>
      </w:r>
      <w:r>
        <w:t>s’</w:t>
      </w:r>
      <w:r w:rsidRPr="007B6DF7">
        <w:t xml:space="preserve"> responses to questions related to being able to get appointments when needed for urgent care (‘care needed right away’) and routine care. </w:t>
      </w:r>
      <w:bookmarkStart w:id="347" w:name="_Hlk21171611"/>
      <w:r w:rsidRPr="007B6DF7">
        <w:t>For urgent care, 83.8% of patients reported being able to get an appointment when they needed it ‘most of the time’ or ‘always’. For routine care, 85% reported being able to get an appointment when they needed it ‘most of the time’ or ‘always’. Across all attendances, 83.8% of patients reported being able to get an appointment with their personal GP</w:t>
      </w:r>
      <w:r>
        <w:t xml:space="preserve"> </w:t>
      </w:r>
      <w:r w:rsidRPr="007B6DF7">
        <w:t>‘most of the time’ or ‘always’.</w:t>
      </w:r>
    </w:p>
    <w:p w14:paraId="7F192B6B" w14:textId="77777777" w:rsidR="001C19F3" w:rsidRPr="007B6DF7" w:rsidRDefault="001C19F3" w:rsidP="001C19F3">
      <w:pPr>
        <w:spacing w:after="0"/>
        <w:jc w:val="center"/>
        <w:rPr>
          <w:b/>
        </w:rPr>
      </w:pPr>
      <w:bookmarkStart w:id="348" w:name="_Ref21172870"/>
      <w:bookmarkStart w:id="349" w:name="_Ref21172865"/>
      <w:bookmarkEnd w:id="347"/>
      <w:r w:rsidRPr="007B6DF7">
        <w:rPr>
          <w:b/>
        </w:rPr>
        <w:t xml:space="preserve">Table </w:t>
      </w:r>
      <w:r w:rsidRPr="007B6DF7">
        <w:rPr>
          <w:b/>
        </w:rPr>
        <w:fldChar w:fldCharType="begin"/>
      </w:r>
      <w:r w:rsidRPr="007B6DF7">
        <w:rPr>
          <w:b/>
        </w:rPr>
        <w:instrText>SEQ Table \* ARABIC</w:instrText>
      </w:r>
      <w:r w:rsidRPr="007B6DF7">
        <w:rPr>
          <w:b/>
        </w:rPr>
        <w:fldChar w:fldCharType="separate"/>
      </w:r>
      <w:r>
        <w:rPr>
          <w:b/>
          <w:noProof/>
        </w:rPr>
        <w:t>52</w:t>
      </w:r>
      <w:r w:rsidRPr="007B6DF7">
        <w:rPr>
          <w:b/>
        </w:rPr>
        <w:fldChar w:fldCharType="end"/>
      </w:r>
      <w:bookmarkEnd w:id="348"/>
      <w:r w:rsidRPr="007B6DF7">
        <w:rPr>
          <w:b/>
        </w:rPr>
        <w:t xml:space="preserve"> – Appointments over last six months</w:t>
      </w:r>
      <w:bookmarkEnd w:id="349"/>
    </w:p>
    <w:tbl>
      <w:tblPr>
        <w:tblW w:w="9629"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2397"/>
        <w:gridCol w:w="2837"/>
        <w:gridCol w:w="2836"/>
        <w:gridCol w:w="1559"/>
      </w:tblGrid>
      <w:tr w:rsidR="001C19F3" w:rsidRPr="007B6DF7" w14:paraId="4BFAECA9" w14:textId="77777777" w:rsidTr="00521305">
        <w:trPr>
          <w:cantSplit/>
          <w:trHeight w:val="1015"/>
          <w:tblHeader/>
          <w:jc w:val="center"/>
        </w:trPr>
        <w:tc>
          <w:tcPr>
            <w:tcW w:w="2398" w:type="dxa"/>
            <w:shd w:val="clear" w:color="auto" w:fill="003D79"/>
            <w:tcMar>
              <w:top w:w="0" w:type="dxa"/>
              <w:left w:w="0" w:type="dxa"/>
              <w:bottom w:w="0" w:type="dxa"/>
              <w:right w:w="0" w:type="dxa"/>
            </w:tcMar>
            <w:vAlign w:val="center"/>
            <w:hideMark/>
          </w:tcPr>
          <w:p w14:paraId="03A39C8A" w14:textId="77777777" w:rsidR="001C19F3" w:rsidRPr="007B6DF7" w:rsidRDefault="001C19F3" w:rsidP="00521305">
            <w:pPr>
              <w:spacing w:after="0"/>
              <w:jc w:val="center"/>
              <w:rPr>
                <w:rFonts w:eastAsiaTheme="minorHAnsi" w:cstheme="minorHAnsi"/>
              </w:rPr>
            </w:pPr>
            <w:r w:rsidRPr="007B6DF7">
              <w:rPr>
                <w:rFonts w:cstheme="minorHAnsi"/>
                <w:b/>
                <w:color w:val="FFFFFF"/>
                <w:sz w:val="18"/>
                <w:szCs w:val="18"/>
              </w:rPr>
              <w:t>Questions</w:t>
            </w:r>
          </w:p>
        </w:tc>
        <w:tc>
          <w:tcPr>
            <w:tcW w:w="2836" w:type="dxa"/>
            <w:shd w:val="clear" w:color="auto" w:fill="003D79"/>
            <w:tcMar>
              <w:top w:w="0" w:type="dxa"/>
              <w:left w:w="0" w:type="dxa"/>
              <w:bottom w:w="0" w:type="dxa"/>
              <w:right w:w="0" w:type="dxa"/>
            </w:tcMar>
            <w:vAlign w:val="center"/>
            <w:hideMark/>
          </w:tcPr>
          <w:p w14:paraId="36B90691" w14:textId="77777777" w:rsidR="001C19F3" w:rsidRPr="007B6DF7" w:rsidRDefault="001C19F3" w:rsidP="00521305">
            <w:pPr>
              <w:spacing w:after="0"/>
              <w:jc w:val="center"/>
              <w:rPr>
                <w:rFonts w:cstheme="minorHAnsi"/>
              </w:rPr>
            </w:pPr>
            <w:r w:rsidRPr="007B6DF7">
              <w:rPr>
                <w:rFonts w:cstheme="minorHAnsi"/>
                <w:b/>
                <w:color w:val="FFFFFF"/>
                <w:sz w:val="18"/>
                <w:szCs w:val="18"/>
              </w:rPr>
              <w:t>Appointment for urgent care (‘care needed right away’)</w:t>
            </w:r>
          </w:p>
        </w:tc>
        <w:tc>
          <w:tcPr>
            <w:tcW w:w="2836" w:type="dxa"/>
            <w:shd w:val="clear" w:color="auto" w:fill="003D79"/>
            <w:tcMar>
              <w:top w:w="0" w:type="dxa"/>
              <w:left w:w="0" w:type="dxa"/>
              <w:bottom w:w="0" w:type="dxa"/>
              <w:right w:w="0" w:type="dxa"/>
            </w:tcMar>
            <w:vAlign w:val="center"/>
            <w:hideMark/>
          </w:tcPr>
          <w:p w14:paraId="733DB77F" w14:textId="77777777" w:rsidR="001C19F3" w:rsidRPr="007B6DF7" w:rsidRDefault="001C19F3" w:rsidP="00521305">
            <w:pPr>
              <w:spacing w:after="0"/>
              <w:jc w:val="center"/>
              <w:rPr>
                <w:rFonts w:cstheme="minorHAnsi"/>
              </w:rPr>
            </w:pPr>
            <w:r w:rsidRPr="007B6DF7">
              <w:rPr>
                <w:rFonts w:cstheme="minorHAnsi"/>
                <w:b/>
                <w:color w:val="FFFFFF"/>
                <w:sz w:val="18"/>
                <w:szCs w:val="18"/>
              </w:rPr>
              <w:t>Appointments for a check-up or routine care</w:t>
            </w:r>
          </w:p>
        </w:tc>
        <w:tc>
          <w:tcPr>
            <w:tcW w:w="1559" w:type="dxa"/>
            <w:shd w:val="clear" w:color="auto" w:fill="003D79"/>
            <w:vAlign w:val="center"/>
          </w:tcPr>
          <w:p w14:paraId="21B586A3" w14:textId="77777777" w:rsidR="001C19F3" w:rsidRPr="007B6DF7" w:rsidRDefault="001C19F3" w:rsidP="00521305">
            <w:pPr>
              <w:spacing w:after="0"/>
              <w:jc w:val="center"/>
              <w:rPr>
                <w:rFonts w:cstheme="minorHAnsi"/>
              </w:rPr>
            </w:pPr>
            <w:r w:rsidRPr="007B6DF7">
              <w:rPr>
                <w:rFonts w:cstheme="minorHAnsi"/>
                <w:b/>
                <w:color w:val="FFFFFF"/>
                <w:sz w:val="18"/>
                <w:szCs w:val="18"/>
              </w:rPr>
              <w:t>All attendances</w:t>
            </w:r>
          </w:p>
        </w:tc>
      </w:tr>
      <w:tr w:rsidR="001C19F3" w:rsidRPr="007B6DF7" w14:paraId="216DF71D" w14:textId="77777777" w:rsidTr="00521305">
        <w:trPr>
          <w:cantSplit/>
          <w:trHeight w:val="288"/>
          <w:jc w:val="center"/>
        </w:trPr>
        <w:tc>
          <w:tcPr>
            <w:tcW w:w="9629" w:type="dxa"/>
            <w:gridSpan w:val="4"/>
            <w:tcMar>
              <w:top w:w="0" w:type="dxa"/>
              <w:left w:w="0" w:type="dxa"/>
              <w:bottom w:w="0" w:type="dxa"/>
              <w:right w:w="0" w:type="dxa"/>
            </w:tcMar>
            <w:vAlign w:val="center"/>
          </w:tcPr>
          <w:p w14:paraId="7455FA3D" w14:textId="77777777" w:rsidR="001C19F3" w:rsidRPr="007B6DF7" w:rsidRDefault="001C19F3" w:rsidP="00521305">
            <w:pPr>
              <w:spacing w:before="40" w:after="40"/>
              <w:ind w:left="40" w:right="40"/>
              <w:rPr>
                <w:rFonts w:cstheme="minorHAnsi"/>
                <w:color w:val="000000"/>
                <w:sz w:val="18"/>
                <w:szCs w:val="18"/>
              </w:rPr>
            </w:pPr>
            <w:r w:rsidRPr="007B6DF7">
              <w:rPr>
                <w:rFonts w:cstheme="minorHAnsi"/>
                <w:b/>
                <w:color w:val="000000"/>
                <w:sz w:val="18"/>
                <w:szCs w:val="18"/>
              </w:rPr>
              <w:t>Needed this type of appointment over the last 6 months</w:t>
            </w:r>
          </w:p>
        </w:tc>
      </w:tr>
      <w:tr w:rsidR="001C19F3" w:rsidRPr="007B6DF7" w14:paraId="7BEAC988" w14:textId="77777777" w:rsidTr="00521305">
        <w:trPr>
          <w:cantSplit/>
          <w:trHeight w:val="288"/>
          <w:jc w:val="center"/>
        </w:trPr>
        <w:tc>
          <w:tcPr>
            <w:tcW w:w="2398" w:type="dxa"/>
            <w:tcMar>
              <w:top w:w="0" w:type="dxa"/>
              <w:left w:w="0" w:type="dxa"/>
              <w:bottom w:w="0" w:type="dxa"/>
              <w:right w:w="0" w:type="dxa"/>
            </w:tcMar>
            <w:vAlign w:val="center"/>
          </w:tcPr>
          <w:p w14:paraId="12ADDE3E"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Yes</w:t>
            </w:r>
          </w:p>
        </w:tc>
        <w:tc>
          <w:tcPr>
            <w:tcW w:w="2836" w:type="dxa"/>
            <w:tcMar>
              <w:top w:w="0" w:type="dxa"/>
              <w:left w:w="0" w:type="dxa"/>
              <w:bottom w:w="0" w:type="dxa"/>
              <w:right w:w="0" w:type="dxa"/>
            </w:tcMar>
            <w:vAlign w:val="center"/>
          </w:tcPr>
          <w:p w14:paraId="3333A7AC"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973 (48.2%)</w:t>
            </w:r>
          </w:p>
        </w:tc>
        <w:tc>
          <w:tcPr>
            <w:tcW w:w="2836" w:type="dxa"/>
            <w:tcMar>
              <w:top w:w="0" w:type="dxa"/>
              <w:left w:w="0" w:type="dxa"/>
              <w:bottom w:w="0" w:type="dxa"/>
              <w:right w:w="0" w:type="dxa"/>
            </w:tcMar>
            <w:vAlign w:val="center"/>
          </w:tcPr>
          <w:p w14:paraId="5FB43F55"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1,521 (75.4%)</w:t>
            </w:r>
          </w:p>
        </w:tc>
        <w:tc>
          <w:tcPr>
            <w:tcW w:w="1559" w:type="dxa"/>
            <w:tcMar>
              <w:top w:w="0" w:type="dxa"/>
              <w:left w:w="0" w:type="dxa"/>
              <w:bottom w:w="0" w:type="dxa"/>
              <w:right w:w="0" w:type="dxa"/>
            </w:tcMar>
            <w:vAlign w:val="center"/>
          </w:tcPr>
          <w:p w14:paraId="20EE9585"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na</w:t>
            </w:r>
          </w:p>
        </w:tc>
      </w:tr>
      <w:tr w:rsidR="001C19F3" w:rsidRPr="007B6DF7" w14:paraId="4FF34E68" w14:textId="77777777" w:rsidTr="00521305">
        <w:trPr>
          <w:cantSplit/>
          <w:trHeight w:val="288"/>
          <w:jc w:val="center"/>
        </w:trPr>
        <w:tc>
          <w:tcPr>
            <w:tcW w:w="2398" w:type="dxa"/>
            <w:tcMar>
              <w:top w:w="0" w:type="dxa"/>
              <w:left w:w="0" w:type="dxa"/>
              <w:bottom w:w="0" w:type="dxa"/>
              <w:right w:w="0" w:type="dxa"/>
            </w:tcMar>
            <w:vAlign w:val="center"/>
          </w:tcPr>
          <w:p w14:paraId="79426BC7"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No</w:t>
            </w:r>
          </w:p>
        </w:tc>
        <w:tc>
          <w:tcPr>
            <w:tcW w:w="2836" w:type="dxa"/>
            <w:tcMar>
              <w:top w:w="0" w:type="dxa"/>
              <w:left w:w="0" w:type="dxa"/>
              <w:bottom w:w="0" w:type="dxa"/>
              <w:right w:w="0" w:type="dxa"/>
            </w:tcMar>
            <w:vAlign w:val="center"/>
          </w:tcPr>
          <w:p w14:paraId="042D976D"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1,022 (50.6%)</w:t>
            </w:r>
          </w:p>
        </w:tc>
        <w:tc>
          <w:tcPr>
            <w:tcW w:w="2836" w:type="dxa"/>
            <w:tcMar>
              <w:top w:w="0" w:type="dxa"/>
              <w:left w:w="0" w:type="dxa"/>
              <w:bottom w:w="0" w:type="dxa"/>
              <w:right w:w="0" w:type="dxa"/>
            </w:tcMar>
            <w:vAlign w:val="center"/>
          </w:tcPr>
          <w:p w14:paraId="6416D3E3"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460 (22.8%)</w:t>
            </w:r>
          </w:p>
        </w:tc>
        <w:tc>
          <w:tcPr>
            <w:tcW w:w="1559" w:type="dxa"/>
            <w:tcMar>
              <w:top w:w="0" w:type="dxa"/>
              <w:left w:w="0" w:type="dxa"/>
              <w:bottom w:w="0" w:type="dxa"/>
              <w:right w:w="0" w:type="dxa"/>
            </w:tcMar>
          </w:tcPr>
          <w:p w14:paraId="5ACB9A82"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na</w:t>
            </w:r>
          </w:p>
        </w:tc>
      </w:tr>
      <w:tr w:rsidR="001C19F3" w:rsidRPr="007B6DF7" w14:paraId="5F78D893" w14:textId="77777777" w:rsidTr="00521305">
        <w:trPr>
          <w:cantSplit/>
          <w:trHeight w:val="288"/>
          <w:jc w:val="center"/>
        </w:trPr>
        <w:tc>
          <w:tcPr>
            <w:tcW w:w="2398" w:type="dxa"/>
            <w:tcMar>
              <w:top w:w="0" w:type="dxa"/>
              <w:left w:w="0" w:type="dxa"/>
              <w:bottom w:w="0" w:type="dxa"/>
              <w:right w:w="0" w:type="dxa"/>
            </w:tcMar>
            <w:vAlign w:val="center"/>
          </w:tcPr>
          <w:p w14:paraId="4413DC2C"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Don't know</w:t>
            </w:r>
          </w:p>
        </w:tc>
        <w:tc>
          <w:tcPr>
            <w:tcW w:w="2836" w:type="dxa"/>
            <w:tcMar>
              <w:top w:w="0" w:type="dxa"/>
              <w:left w:w="0" w:type="dxa"/>
              <w:bottom w:w="0" w:type="dxa"/>
              <w:right w:w="0" w:type="dxa"/>
            </w:tcMar>
            <w:vAlign w:val="center"/>
          </w:tcPr>
          <w:p w14:paraId="48F26F82"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23 (1.1%)</w:t>
            </w:r>
          </w:p>
        </w:tc>
        <w:tc>
          <w:tcPr>
            <w:tcW w:w="2836" w:type="dxa"/>
            <w:tcMar>
              <w:top w:w="0" w:type="dxa"/>
              <w:left w:w="0" w:type="dxa"/>
              <w:bottom w:w="0" w:type="dxa"/>
              <w:right w:w="0" w:type="dxa"/>
            </w:tcMar>
            <w:vAlign w:val="center"/>
          </w:tcPr>
          <w:p w14:paraId="17AC9ACE"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37 (1.8%)</w:t>
            </w:r>
          </w:p>
        </w:tc>
        <w:tc>
          <w:tcPr>
            <w:tcW w:w="1559" w:type="dxa"/>
            <w:tcMar>
              <w:top w:w="0" w:type="dxa"/>
              <w:left w:w="0" w:type="dxa"/>
              <w:bottom w:w="0" w:type="dxa"/>
              <w:right w:w="0" w:type="dxa"/>
            </w:tcMar>
          </w:tcPr>
          <w:p w14:paraId="53BB9CBD"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na</w:t>
            </w:r>
          </w:p>
        </w:tc>
      </w:tr>
      <w:tr w:rsidR="001C19F3" w:rsidRPr="007B6DF7" w14:paraId="1179C64E" w14:textId="77777777" w:rsidTr="00521305">
        <w:trPr>
          <w:cantSplit/>
          <w:trHeight w:val="288"/>
          <w:jc w:val="center"/>
        </w:trPr>
        <w:tc>
          <w:tcPr>
            <w:tcW w:w="5235" w:type="dxa"/>
            <w:gridSpan w:val="2"/>
            <w:tcMar>
              <w:top w:w="0" w:type="dxa"/>
              <w:left w:w="0" w:type="dxa"/>
              <w:bottom w:w="0" w:type="dxa"/>
              <w:right w:w="0" w:type="dxa"/>
            </w:tcMar>
            <w:vAlign w:val="center"/>
          </w:tcPr>
          <w:p w14:paraId="3A19580B"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b/>
                <w:color w:val="000000"/>
                <w:sz w:val="18"/>
                <w:szCs w:val="18"/>
              </w:rPr>
              <w:t>How often did the patient get the appointment as when needed? (Patients who needed this type of appointment over the last 6 months):</w:t>
            </w:r>
          </w:p>
        </w:tc>
        <w:tc>
          <w:tcPr>
            <w:tcW w:w="4394" w:type="dxa"/>
            <w:gridSpan w:val="2"/>
            <w:tcMar>
              <w:top w:w="0" w:type="dxa"/>
              <w:left w:w="0" w:type="dxa"/>
              <w:bottom w:w="0" w:type="dxa"/>
              <w:right w:w="0" w:type="dxa"/>
            </w:tcMar>
            <w:vAlign w:val="center"/>
          </w:tcPr>
          <w:p w14:paraId="79537343" w14:textId="77777777" w:rsidR="001C19F3" w:rsidRPr="007B6DF7" w:rsidRDefault="001C19F3" w:rsidP="00521305">
            <w:pPr>
              <w:spacing w:before="40" w:after="40"/>
              <w:ind w:left="40" w:right="40"/>
              <w:jc w:val="center"/>
              <w:rPr>
                <w:rFonts w:cstheme="minorHAnsi"/>
                <w:b/>
                <w:color w:val="000000"/>
                <w:sz w:val="18"/>
                <w:szCs w:val="18"/>
              </w:rPr>
            </w:pPr>
            <w:r w:rsidRPr="007B6DF7">
              <w:rPr>
                <w:rFonts w:cstheme="minorHAnsi"/>
                <w:b/>
                <w:color w:val="000000"/>
                <w:sz w:val="18"/>
                <w:szCs w:val="18"/>
              </w:rPr>
              <w:t>How often was the consultation with their personal GP?:</w:t>
            </w:r>
          </w:p>
        </w:tc>
      </w:tr>
      <w:tr w:rsidR="001C19F3" w:rsidRPr="007B6DF7" w14:paraId="533789F6" w14:textId="77777777" w:rsidTr="00521305">
        <w:trPr>
          <w:cantSplit/>
          <w:trHeight w:val="288"/>
          <w:jc w:val="center"/>
        </w:trPr>
        <w:tc>
          <w:tcPr>
            <w:tcW w:w="2398" w:type="dxa"/>
            <w:tcMar>
              <w:top w:w="0" w:type="dxa"/>
              <w:left w:w="0" w:type="dxa"/>
              <w:bottom w:w="0" w:type="dxa"/>
              <w:right w:w="0" w:type="dxa"/>
            </w:tcMar>
            <w:vAlign w:val="center"/>
          </w:tcPr>
          <w:p w14:paraId="07B966A5"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None of the time</w:t>
            </w:r>
          </w:p>
        </w:tc>
        <w:tc>
          <w:tcPr>
            <w:tcW w:w="2836" w:type="dxa"/>
            <w:tcMar>
              <w:top w:w="0" w:type="dxa"/>
              <w:left w:w="0" w:type="dxa"/>
              <w:bottom w:w="0" w:type="dxa"/>
              <w:right w:w="0" w:type="dxa"/>
            </w:tcMar>
            <w:vAlign w:val="center"/>
          </w:tcPr>
          <w:p w14:paraId="6EA38647"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19 (2.0%)</w:t>
            </w:r>
          </w:p>
        </w:tc>
        <w:tc>
          <w:tcPr>
            <w:tcW w:w="2836" w:type="dxa"/>
            <w:tcMar>
              <w:top w:w="0" w:type="dxa"/>
              <w:left w:w="0" w:type="dxa"/>
              <w:bottom w:w="0" w:type="dxa"/>
              <w:right w:w="0" w:type="dxa"/>
            </w:tcMar>
            <w:vAlign w:val="center"/>
          </w:tcPr>
          <w:p w14:paraId="126356CB"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20 (1.3%)</w:t>
            </w:r>
          </w:p>
        </w:tc>
        <w:tc>
          <w:tcPr>
            <w:tcW w:w="1559" w:type="dxa"/>
            <w:tcMar>
              <w:top w:w="0" w:type="dxa"/>
              <w:left w:w="0" w:type="dxa"/>
              <w:bottom w:w="0" w:type="dxa"/>
              <w:right w:w="0" w:type="dxa"/>
            </w:tcMar>
            <w:vAlign w:val="center"/>
          </w:tcPr>
          <w:p w14:paraId="08056D1C"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21 (1.0%)</w:t>
            </w:r>
          </w:p>
        </w:tc>
      </w:tr>
      <w:tr w:rsidR="001C19F3" w:rsidRPr="007B6DF7" w14:paraId="17E67381" w14:textId="77777777" w:rsidTr="00521305">
        <w:trPr>
          <w:cantSplit/>
          <w:trHeight w:val="288"/>
          <w:jc w:val="center"/>
        </w:trPr>
        <w:tc>
          <w:tcPr>
            <w:tcW w:w="2398" w:type="dxa"/>
            <w:tcMar>
              <w:top w:w="0" w:type="dxa"/>
              <w:left w:w="0" w:type="dxa"/>
              <w:bottom w:w="0" w:type="dxa"/>
              <w:right w:w="0" w:type="dxa"/>
            </w:tcMar>
            <w:vAlign w:val="center"/>
          </w:tcPr>
          <w:p w14:paraId="14B48474"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A little of the time</w:t>
            </w:r>
          </w:p>
        </w:tc>
        <w:tc>
          <w:tcPr>
            <w:tcW w:w="2836" w:type="dxa"/>
            <w:tcMar>
              <w:top w:w="0" w:type="dxa"/>
              <w:left w:w="0" w:type="dxa"/>
              <w:bottom w:w="0" w:type="dxa"/>
              <w:right w:w="0" w:type="dxa"/>
            </w:tcMar>
            <w:vAlign w:val="center"/>
          </w:tcPr>
          <w:p w14:paraId="6C4A00B3"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37 (3.8%)</w:t>
            </w:r>
          </w:p>
        </w:tc>
        <w:tc>
          <w:tcPr>
            <w:tcW w:w="2836" w:type="dxa"/>
            <w:tcMar>
              <w:top w:w="0" w:type="dxa"/>
              <w:left w:w="0" w:type="dxa"/>
              <w:bottom w:w="0" w:type="dxa"/>
              <w:right w:w="0" w:type="dxa"/>
            </w:tcMar>
            <w:vAlign w:val="center"/>
          </w:tcPr>
          <w:p w14:paraId="6E09B375"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42 (2.8%)</w:t>
            </w:r>
          </w:p>
        </w:tc>
        <w:tc>
          <w:tcPr>
            <w:tcW w:w="1559" w:type="dxa"/>
            <w:tcMar>
              <w:top w:w="0" w:type="dxa"/>
              <w:left w:w="0" w:type="dxa"/>
              <w:bottom w:w="0" w:type="dxa"/>
              <w:right w:w="0" w:type="dxa"/>
            </w:tcMar>
            <w:vAlign w:val="center"/>
          </w:tcPr>
          <w:p w14:paraId="05368705"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52 (2.6%)</w:t>
            </w:r>
          </w:p>
        </w:tc>
      </w:tr>
      <w:tr w:rsidR="001C19F3" w:rsidRPr="007B6DF7" w14:paraId="593B9BAC" w14:textId="77777777" w:rsidTr="00521305">
        <w:trPr>
          <w:cantSplit/>
          <w:trHeight w:val="288"/>
          <w:jc w:val="center"/>
        </w:trPr>
        <w:tc>
          <w:tcPr>
            <w:tcW w:w="2398" w:type="dxa"/>
            <w:tcMar>
              <w:top w:w="0" w:type="dxa"/>
              <w:left w:w="0" w:type="dxa"/>
              <w:bottom w:w="0" w:type="dxa"/>
              <w:right w:w="0" w:type="dxa"/>
            </w:tcMar>
            <w:vAlign w:val="center"/>
          </w:tcPr>
          <w:p w14:paraId="7EE9E78A"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Some of the time</w:t>
            </w:r>
          </w:p>
        </w:tc>
        <w:tc>
          <w:tcPr>
            <w:tcW w:w="2836" w:type="dxa"/>
            <w:tcMar>
              <w:top w:w="0" w:type="dxa"/>
              <w:left w:w="0" w:type="dxa"/>
              <w:bottom w:w="0" w:type="dxa"/>
              <w:right w:w="0" w:type="dxa"/>
            </w:tcMar>
            <w:vAlign w:val="center"/>
          </w:tcPr>
          <w:p w14:paraId="6E648481"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85 (8.7%)</w:t>
            </w:r>
          </w:p>
        </w:tc>
        <w:tc>
          <w:tcPr>
            <w:tcW w:w="2836" w:type="dxa"/>
            <w:tcMar>
              <w:top w:w="0" w:type="dxa"/>
              <w:left w:w="0" w:type="dxa"/>
              <w:bottom w:w="0" w:type="dxa"/>
              <w:right w:w="0" w:type="dxa"/>
            </w:tcMar>
            <w:vAlign w:val="center"/>
          </w:tcPr>
          <w:p w14:paraId="213C2DF2"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143 (9.4%)</w:t>
            </w:r>
          </w:p>
        </w:tc>
        <w:tc>
          <w:tcPr>
            <w:tcW w:w="1559" w:type="dxa"/>
            <w:tcMar>
              <w:top w:w="0" w:type="dxa"/>
              <w:left w:w="0" w:type="dxa"/>
              <w:bottom w:w="0" w:type="dxa"/>
              <w:right w:w="0" w:type="dxa"/>
            </w:tcMar>
            <w:vAlign w:val="center"/>
          </w:tcPr>
          <w:p w14:paraId="1CBB51BE"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106 (5.3%)</w:t>
            </w:r>
          </w:p>
        </w:tc>
      </w:tr>
      <w:tr w:rsidR="001C19F3" w:rsidRPr="007B6DF7" w14:paraId="46D8A4CB" w14:textId="77777777" w:rsidTr="00521305">
        <w:trPr>
          <w:cantSplit/>
          <w:trHeight w:val="288"/>
          <w:jc w:val="center"/>
        </w:trPr>
        <w:tc>
          <w:tcPr>
            <w:tcW w:w="2398" w:type="dxa"/>
            <w:tcMar>
              <w:top w:w="0" w:type="dxa"/>
              <w:left w:w="0" w:type="dxa"/>
              <w:bottom w:w="0" w:type="dxa"/>
              <w:right w:w="0" w:type="dxa"/>
            </w:tcMar>
            <w:vAlign w:val="center"/>
          </w:tcPr>
          <w:p w14:paraId="5ECFF16B"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Most of the time</w:t>
            </w:r>
          </w:p>
        </w:tc>
        <w:tc>
          <w:tcPr>
            <w:tcW w:w="2836" w:type="dxa"/>
            <w:tcMar>
              <w:top w:w="0" w:type="dxa"/>
              <w:left w:w="0" w:type="dxa"/>
              <w:bottom w:w="0" w:type="dxa"/>
              <w:right w:w="0" w:type="dxa"/>
            </w:tcMar>
            <w:vAlign w:val="center"/>
          </w:tcPr>
          <w:p w14:paraId="6A6D9133"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300 (30.8%)</w:t>
            </w:r>
          </w:p>
        </w:tc>
        <w:tc>
          <w:tcPr>
            <w:tcW w:w="2836" w:type="dxa"/>
            <w:tcMar>
              <w:top w:w="0" w:type="dxa"/>
              <w:left w:w="0" w:type="dxa"/>
              <w:bottom w:w="0" w:type="dxa"/>
              <w:right w:w="0" w:type="dxa"/>
            </w:tcMar>
            <w:vAlign w:val="center"/>
          </w:tcPr>
          <w:p w14:paraId="086850FC"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550 (36.2%)</w:t>
            </w:r>
          </w:p>
        </w:tc>
        <w:tc>
          <w:tcPr>
            <w:tcW w:w="1559" w:type="dxa"/>
            <w:tcMar>
              <w:top w:w="0" w:type="dxa"/>
              <w:left w:w="0" w:type="dxa"/>
              <w:bottom w:w="0" w:type="dxa"/>
              <w:right w:w="0" w:type="dxa"/>
            </w:tcMar>
            <w:vAlign w:val="center"/>
          </w:tcPr>
          <w:p w14:paraId="24F785E7"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633 (31.4%)</w:t>
            </w:r>
          </w:p>
        </w:tc>
      </w:tr>
      <w:tr w:rsidR="001C19F3" w:rsidRPr="007B6DF7" w14:paraId="1FC2BCC3" w14:textId="77777777" w:rsidTr="00521305">
        <w:trPr>
          <w:cantSplit/>
          <w:trHeight w:val="288"/>
          <w:jc w:val="center"/>
        </w:trPr>
        <w:tc>
          <w:tcPr>
            <w:tcW w:w="2398" w:type="dxa"/>
            <w:tcMar>
              <w:top w:w="0" w:type="dxa"/>
              <w:left w:w="0" w:type="dxa"/>
              <w:bottom w:w="0" w:type="dxa"/>
              <w:right w:w="0" w:type="dxa"/>
            </w:tcMar>
            <w:vAlign w:val="center"/>
          </w:tcPr>
          <w:p w14:paraId="0036CA3B"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Always</w:t>
            </w:r>
          </w:p>
        </w:tc>
        <w:tc>
          <w:tcPr>
            <w:tcW w:w="2836" w:type="dxa"/>
            <w:tcMar>
              <w:top w:w="0" w:type="dxa"/>
              <w:left w:w="0" w:type="dxa"/>
              <w:bottom w:w="0" w:type="dxa"/>
              <w:right w:w="0" w:type="dxa"/>
            </w:tcMar>
            <w:vAlign w:val="center"/>
          </w:tcPr>
          <w:p w14:paraId="50F8DBAD"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516 (53.0%)</w:t>
            </w:r>
          </w:p>
        </w:tc>
        <w:tc>
          <w:tcPr>
            <w:tcW w:w="2836" w:type="dxa"/>
            <w:tcMar>
              <w:top w:w="0" w:type="dxa"/>
              <w:left w:w="0" w:type="dxa"/>
              <w:bottom w:w="0" w:type="dxa"/>
              <w:right w:w="0" w:type="dxa"/>
            </w:tcMar>
            <w:vAlign w:val="center"/>
          </w:tcPr>
          <w:p w14:paraId="7610560F"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742 (48.8%)</w:t>
            </w:r>
          </w:p>
        </w:tc>
        <w:tc>
          <w:tcPr>
            <w:tcW w:w="1559" w:type="dxa"/>
            <w:tcMar>
              <w:top w:w="0" w:type="dxa"/>
              <w:left w:w="0" w:type="dxa"/>
              <w:bottom w:w="0" w:type="dxa"/>
              <w:right w:w="0" w:type="dxa"/>
            </w:tcMar>
            <w:vAlign w:val="center"/>
          </w:tcPr>
          <w:p w14:paraId="6BC28059"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1,182 (58.6%)</w:t>
            </w:r>
          </w:p>
        </w:tc>
      </w:tr>
      <w:tr w:rsidR="001C19F3" w:rsidRPr="007B6DF7" w14:paraId="319E1D64" w14:textId="77777777" w:rsidTr="00521305">
        <w:trPr>
          <w:cantSplit/>
          <w:trHeight w:val="288"/>
          <w:jc w:val="center"/>
        </w:trPr>
        <w:tc>
          <w:tcPr>
            <w:tcW w:w="2398" w:type="dxa"/>
            <w:tcMar>
              <w:top w:w="0" w:type="dxa"/>
              <w:left w:w="0" w:type="dxa"/>
              <w:bottom w:w="0" w:type="dxa"/>
              <w:right w:w="0" w:type="dxa"/>
            </w:tcMar>
            <w:vAlign w:val="center"/>
          </w:tcPr>
          <w:p w14:paraId="0CD04402" w14:textId="77777777" w:rsidR="001C19F3" w:rsidRPr="007B6DF7" w:rsidRDefault="001C19F3" w:rsidP="00521305">
            <w:pPr>
              <w:spacing w:before="40" w:after="40"/>
              <w:ind w:left="411" w:right="40"/>
              <w:rPr>
                <w:rFonts w:cstheme="minorHAnsi"/>
                <w:color w:val="000000"/>
                <w:sz w:val="18"/>
                <w:szCs w:val="18"/>
              </w:rPr>
            </w:pPr>
            <w:r w:rsidRPr="007B6DF7">
              <w:rPr>
                <w:rFonts w:cstheme="minorHAnsi"/>
                <w:color w:val="000000"/>
                <w:sz w:val="18"/>
                <w:szCs w:val="18"/>
              </w:rPr>
              <w:t>Don't know</w:t>
            </w:r>
          </w:p>
        </w:tc>
        <w:tc>
          <w:tcPr>
            <w:tcW w:w="2836" w:type="dxa"/>
            <w:tcMar>
              <w:top w:w="0" w:type="dxa"/>
              <w:left w:w="0" w:type="dxa"/>
              <w:bottom w:w="0" w:type="dxa"/>
              <w:right w:w="0" w:type="dxa"/>
            </w:tcMar>
            <w:vAlign w:val="center"/>
          </w:tcPr>
          <w:p w14:paraId="2CCDB8ED"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16 (1.6%)</w:t>
            </w:r>
          </w:p>
        </w:tc>
        <w:tc>
          <w:tcPr>
            <w:tcW w:w="2836" w:type="dxa"/>
            <w:tcMar>
              <w:top w:w="0" w:type="dxa"/>
              <w:left w:w="0" w:type="dxa"/>
              <w:bottom w:w="0" w:type="dxa"/>
              <w:right w:w="0" w:type="dxa"/>
            </w:tcMar>
            <w:vAlign w:val="center"/>
          </w:tcPr>
          <w:p w14:paraId="6B3C186A"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24 (1.6%)</w:t>
            </w:r>
          </w:p>
        </w:tc>
        <w:tc>
          <w:tcPr>
            <w:tcW w:w="1559" w:type="dxa"/>
            <w:tcMar>
              <w:top w:w="0" w:type="dxa"/>
              <w:left w:w="0" w:type="dxa"/>
              <w:bottom w:w="0" w:type="dxa"/>
              <w:right w:w="0" w:type="dxa"/>
            </w:tcMar>
            <w:vAlign w:val="center"/>
          </w:tcPr>
          <w:p w14:paraId="7B817CCF"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24 (1.2%)</w:t>
            </w:r>
          </w:p>
        </w:tc>
      </w:tr>
    </w:tbl>
    <w:p w14:paraId="19DA597A" w14:textId="77777777" w:rsidR="001C19F3" w:rsidRPr="007B6DF7" w:rsidRDefault="001C19F3" w:rsidP="001C19F3">
      <w:pPr>
        <w:pStyle w:val="Chartortablefootnote"/>
      </w:pPr>
      <w:r w:rsidRPr="007B6DF7">
        <w:t xml:space="preserve">Sources: </w:t>
      </w:r>
      <w:r>
        <w:t>CATI surveys conducted by The Social Research Centre between December 2017 and March 2019</w:t>
      </w:r>
      <w:r w:rsidRPr="007B6DF7">
        <w:t xml:space="preserve">. </w:t>
      </w:r>
    </w:p>
    <w:p w14:paraId="68A7501F"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Through the patient interviews some patients reported short waiting times and little to no trouble scheduling an appointment at their practices:</w:t>
      </w:r>
      <w:r w:rsidRPr="007B6DF7">
        <w:rPr>
          <w:rFonts w:eastAsia="Times New Roman"/>
          <w:szCs w:val="20"/>
          <w:lang w:eastAsia="en-AU"/>
        </w:rPr>
        <w:t> </w:t>
      </w:r>
    </w:p>
    <w:p w14:paraId="75B994F1"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“They've got good service. They ring up the day before you have got an appointment.” </w:t>
      </w:r>
      <w:r w:rsidRPr="007B6DF7">
        <w:rPr>
          <w:rFonts w:eastAsia="Times New Roman" w:cs="Segoe UI"/>
          <w:szCs w:val="20"/>
          <w:lang w:eastAsia="en-AU"/>
        </w:rPr>
        <w:t>[Patient 2, Practice 1</w:t>
      </w:r>
      <w:r>
        <w:rPr>
          <w:rFonts w:eastAsia="Times New Roman" w:cs="Segoe UI"/>
          <w:szCs w:val="20"/>
          <w:lang w:eastAsia="en-AU"/>
        </w:rPr>
        <w:t>, interview, R2]</w:t>
      </w:r>
      <w:r w:rsidRPr="007B6DF7">
        <w:rPr>
          <w:rFonts w:eastAsia="Times New Roman"/>
          <w:szCs w:val="20"/>
          <w:lang w:eastAsia="en-AU"/>
        </w:rPr>
        <w:t> </w:t>
      </w:r>
    </w:p>
    <w:p w14:paraId="6B93E007"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w:t>
      </w:r>
      <w:r w:rsidRPr="00BC7386">
        <w:rPr>
          <w:rFonts w:eastAsia="Times New Roman" w:cs="Segoe UI"/>
          <w:iCs/>
          <w:szCs w:val="20"/>
          <w:lang w:val="en-GB" w:eastAsia="en-AU"/>
        </w:rPr>
        <w:t xml:space="preserve">[The] </w:t>
      </w:r>
      <w:r w:rsidRPr="007B6DF7">
        <w:rPr>
          <w:rFonts w:eastAsia="Times New Roman" w:cs="Segoe UI"/>
          <w:i/>
          <w:iCs/>
          <w:szCs w:val="20"/>
          <w:lang w:val="en-GB" w:eastAsia="en-AU"/>
        </w:rPr>
        <w:t>GP, he’s just easy to talk to, and also he keeps an appointment.”</w:t>
      </w:r>
      <w:r w:rsidRPr="007B6DF7">
        <w:rPr>
          <w:rFonts w:eastAsia="Times New Roman" w:cs="Segoe UI"/>
          <w:szCs w:val="20"/>
          <w:lang w:val="en-GB" w:eastAsia="en-AU"/>
        </w:rPr>
        <w:t> [Patient 5, Practice 5</w:t>
      </w:r>
      <w:r>
        <w:rPr>
          <w:rFonts w:eastAsia="Times New Roman" w:cs="Segoe UI"/>
          <w:szCs w:val="20"/>
          <w:lang w:val="en-GB" w:eastAsia="en-AU"/>
        </w:rPr>
        <w:t>, interview, R2]</w:t>
      </w:r>
      <w:r w:rsidRPr="007B6DF7">
        <w:rPr>
          <w:rFonts w:eastAsia="Times New Roman"/>
          <w:szCs w:val="20"/>
          <w:lang w:eastAsia="en-AU"/>
        </w:rPr>
        <w:t> </w:t>
      </w:r>
    </w:p>
    <w:p w14:paraId="23065DC3" w14:textId="77777777" w:rsidR="001C19F3" w:rsidRPr="007B6DF7" w:rsidRDefault="001C19F3" w:rsidP="001C19F3">
      <w:pPr>
        <w:textAlignment w:val="baseline"/>
        <w:rPr>
          <w:rFonts w:eastAsia="Times New Roman" w:cs="Segoe UI"/>
          <w:szCs w:val="20"/>
          <w:lang w:eastAsia="en-AU"/>
        </w:rPr>
      </w:pPr>
      <w:r w:rsidRPr="007B6DF7">
        <w:rPr>
          <w:rFonts w:eastAsia="Times New Roman" w:cs="Segoe UI"/>
          <w:szCs w:val="20"/>
          <w:lang w:eastAsia="en-AU"/>
        </w:rPr>
        <w:lastRenderedPageBreak/>
        <w:t>Other patients reported issues with waiting times prior to a consultation or difficulties seeing their GP on short notice.</w:t>
      </w:r>
      <w:r>
        <w:rPr>
          <w:rFonts w:eastAsia="Times New Roman" w:cs="Segoe UI"/>
          <w:szCs w:val="20"/>
          <w:lang w:eastAsia="en-AU"/>
        </w:rPr>
        <w:t xml:space="preserve"> </w:t>
      </w:r>
      <w:r w:rsidRPr="007B6DF7">
        <w:rPr>
          <w:rFonts w:eastAsia="Times New Roman" w:cs="Segoe UI"/>
          <w:szCs w:val="20"/>
          <w:lang w:eastAsia="en-AU"/>
        </w:rPr>
        <w:t>Several patients often felt reflected their doctor’s attentiveness and diligence in caring for their patients, but other described this as a drawback in attending their practice: </w:t>
      </w:r>
    </w:p>
    <w:p w14:paraId="4647C700" w14:textId="77777777" w:rsidR="001C19F3" w:rsidRPr="00E54CB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“You will have an appointment at 9 o'clock and </w:t>
      </w:r>
      <w:r w:rsidRPr="009B75E1">
        <w:rPr>
          <w:rFonts w:eastAsia="Times New Roman" w:cs="Segoe UI"/>
          <w:iCs/>
          <w:szCs w:val="20"/>
          <w:lang w:eastAsia="en-AU"/>
        </w:rPr>
        <w:t>[the GP will]</w:t>
      </w:r>
      <w:r w:rsidRPr="007B6DF7">
        <w:rPr>
          <w:rFonts w:eastAsia="Times New Roman" w:cs="Segoe UI"/>
          <w:i/>
          <w:iCs/>
          <w:szCs w:val="20"/>
          <w:lang w:eastAsia="en-AU"/>
        </w:rPr>
        <w:t xml:space="preserve"> be here at 11. But he will do the same for the next person … You don't mind waiting, you know, because he looks after you. He's really good, very thorough.”</w:t>
      </w:r>
      <w:r w:rsidRPr="007B6DF7">
        <w:rPr>
          <w:rFonts w:eastAsia="Times New Roman" w:cs="Segoe UI"/>
          <w:szCs w:val="20"/>
          <w:lang w:eastAsia="en-AU"/>
        </w:rPr>
        <w:t> [Patient 6, Practice 4</w:t>
      </w:r>
      <w:r>
        <w:rPr>
          <w:rFonts w:eastAsia="Times New Roman" w:cs="Segoe UI"/>
          <w:szCs w:val="20"/>
          <w:lang w:eastAsia="en-AU"/>
        </w:rPr>
        <w:t>, interview, R2]</w:t>
      </w:r>
      <w:r w:rsidRPr="007B6DF7">
        <w:rPr>
          <w:rFonts w:eastAsia="Times New Roman"/>
          <w:szCs w:val="20"/>
          <w:lang w:eastAsia="en-AU"/>
        </w:rPr>
        <w:t> </w:t>
      </w:r>
    </w:p>
    <w:p w14:paraId="4AAA1794"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“…you can sit there for three or four hours sometimes waiting to get in to see the doctor. Seems to be a long time just to wait to see a doctor. You’ve got to make an appointment say 3 o’ clock, you don’t need to make 3:45</w:t>
      </w:r>
      <w:r>
        <w:rPr>
          <w:rFonts w:eastAsia="Times New Roman" w:cs="Segoe UI"/>
          <w:i/>
          <w:iCs/>
          <w:szCs w:val="20"/>
          <w:lang w:eastAsia="en-AU"/>
        </w:rPr>
        <w:t xml:space="preserve"> </w:t>
      </w:r>
      <w:r w:rsidRPr="007B6DF7">
        <w:rPr>
          <w:rFonts w:eastAsia="Times New Roman" w:cs="Segoe UI"/>
          <w:i/>
          <w:iCs/>
          <w:szCs w:val="20"/>
          <w:lang w:eastAsia="en-AU"/>
        </w:rPr>
        <w:t>pm, 5 o’ clock sometimes…Very annoying.”</w:t>
      </w:r>
      <w:r w:rsidRPr="007B6DF7">
        <w:rPr>
          <w:rFonts w:eastAsia="Times New Roman" w:cs="Segoe UI"/>
          <w:szCs w:val="20"/>
          <w:lang w:eastAsia="en-AU"/>
        </w:rPr>
        <w:t> [Patient 2, Practice 3</w:t>
      </w:r>
      <w:r>
        <w:rPr>
          <w:rFonts w:eastAsia="Times New Roman" w:cs="Segoe UI"/>
          <w:szCs w:val="20"/>
          <w:lang w:eastAsia="en-AU"/>
        </w:rPr>
        <w:t>, interview, R2]</w:t>
      </w:r>
      <w:r w:rsidRPr="007B6DF7">
        <w:rPr>
          <w:rFonts w:eastAsia="Times New Roman"/>
          <w:szCs w:val="20"/>
          <w:lang w:eastAsia="en-AU"/>
        </w:rPr>
        <w:t> </w:t>
      </w:r>
    </w:p>
    <w:p w14:paraId="7A5754AA"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Patient experience of chronic illness care</w:t>
      </w:r>
    </w:p>
    <w:p w14:paraId="0357FE0A" w14:textId="77777777" w:rsidR="001C19F3" w:rsidRPr="007B6DF7" w:rsidRDefault="001C19F3" w:rsidP="001C19F3">
      <w:r w:rsidRPr="007B6DF7">
        <w:t xml:space="preserve">In the survey, patients were also asked questions that are part of the </w:t>
      </w:r>
      <w:r w:rsidRPr="00BC7386">
        <w:t>Patient assessment of chronic illness care</w:t>
      </w:r>
      <w:r w:rsidRPr="007B6DF7">
        <w:t xml:space="preserve"> (PACIC) instrument</w:t>
      </w:r>
      <w:r>
        <w:t xml:space="preserve"> </w:t>
      </w:r>
      <w:bookmarkStart w:id="350" w:name="_Hlk22478205"/>
      <w:r w:rsidRPr="004D27C9">
        <w:t>(</w:t>
      </w:r>
      <w:r w:rsidRPr="004D27C9">
        <w:fldChar w:fldCharType="begin">
          <w:fldData xml:space="preserve">PEVuZE5vdGU+PENpdGU+PEF1dGhvcj5TY2htaXR0ZGllbDwvQXV0aG9yPjxZZWFyPjIwMDg8L1ll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PEVuZE5vdGU+PENpdGU+PEF1dGhvcj5TY2htaXR0ZGllbDwvQXV0aG9yPjxZZWFyPjIwMDg8L1ll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rsidRPr="004D27C9">
        <w:fldChar w:fldCharType="separate"/>
      </w:r>
      <w:r>
        <w:rPr>
          <w:noProof/>
        </w:rPr>
        <w:t>Gibbons, Small, Rick et al., 2017; Glasgow, Wagner, Schaefer et al., 2005; Schmittdiel, Mosen, Glasgow et al., 2008</w:t>
      </w:r>
      <w:r w:rsidRPr="004D27C9">
        <w:fldChar w:fldCharType="end"/>
      </w:r>
      <w:r w:rsidRPr="004D27C9">
        <w:t>)</w:t>
      </w:r>
      <w:bookmarkEnd w:id="350"/>
      <w:r w:rsidRPr="004D27C9">
        <w:t>.</w:t>
      </w:r>
      <w:r w:rsidRPr="007B6DF7">
        <w:t xml:space="preserve"> The responses to these questions are summarised in</w:t>
      </w:r>
      <w:r>
        <w:t xml:space="preserve"> </w:t>
      </w:r>
      <w:r>
        <w:fldChar w:fldCharType="begin"/>
      </w:r>
      <w:r>
        <w:instrText xml:space="preserve"> REF _Ref21173379 \h  \* MERGEFORMAT </w:instrText>
      </w:r>
      <w:r>
        <w:fldChar w:fldCharType="separate"/>
      </w:r>
      <w:r w:rsidRPr="00822044">
        <w:t>Figure 15</w:t>
      </w:r>
      <w:r>
        <w:fldChar w:fldCharType="end"/>
      </w:r>
      <w:r>
        <w:t xml:space="preserve">. </w:t>
      </w:r>
      <w:r w:rsidRPr="007B6DF7">
        <w:t>HCH patients reported that features of care that most commonly occurred ‘always’ or ‘most of the time’ were that the patient was:</w:t>
      </w:r>
    </w:p>
    <w:p w14:paraId="61B977E8" w14:textId="77777777" w:rsidR="001C19F3" w:rsidRPr="007B6DF7" w:rsidRDefault="001C19F3" w:rsidP="001C19F3">
      <w:pPr>
        <w:numPr>
          <w:ilvl w:val="0"/>
          <w:numId w:val="35"/>
        </w:numPr>
        <w:contextualSpacing/>
      </w:pPr>
      <w:r w:rsidRPr="007B6DF7">
        <w:t>‘Sure that my doctor or nurse thought about my values, beliefs, and traditions when they recommended treatments to me’</w:t>
      </w:r>
    </w:p>
    <w:p w14:paraId="2339FAEA" w14:textId="77777777" w:rsidR="001C19F3" w:rsidRPr="007B6DF7" w:rsidRDefault="001C19F3" w:rsidP="001C19F3">
      <w:pPr>
        <w:numPr>
          <w:ilvl w:val="0"/>
          <w:numId w:val="35"/>
        </w:numPr>
        <w:contextualSpacing/>
      </w:pPr>
      <w:r w:rsidRPr="007B6DF7">
        <w:t>‘Shown how what I did to care for myself influenced my condition’</w:t>
      </w:r>
    </w:p>
    <w:p w14:paraId="025BB19D" w14:textId="77777777" w:rsidR="001C19F3" w:rsidRPr="007B6DF7" w:rsidRDefault="001C19F3" w:rsidP="001C19F3">
      <w:pPr>
        <w:numPr>
          <w:ilvl w:val="0"/>
          <w:numId w:val="35"/>
        </w:numPr>
        <w:ind w:left="714" w:hanging="357"/>
      </w:pPr>
      <w:r w:rsidRPr="007B6DF7">
        <w:t>‘Satisfied that my care was well organised’.</w:t>
      </w:r>
    </w:p>
    <w:p w14:paraId="12B975E8" w14:textId="77777777" w:rsidR="001C19F3" w:rsidRPr="007B6DF7" w:rsidRDefault="001C19F3" w:rsidP="001C19F3">
      <w:r w:rsidRPr="007B6DF7">
        <w:t>Features of care that were not reported to occur commonly included that the patient was:</w:t>
      </w:r>
    </w:p>
    <w:p w14:paraId="6FECFCA7" w14:textId="77777777" w:rsidR="001C19F3" w:rsidRPr="007B6DF7" w:rsidRDefault="001C19F3" w:rsidP="001C19F3">
      <w:pPr>
        <w:numPr>
          <w:ilvl w:val="0"/>
          <w:numId w:val="35"/>
        </w:numPr>
        <w:contextualSpacing/>
      </w:pPr>
      <w:r w:rsidRPr="007B6DF7">
        <w:t>‘Given a written list of things I should do to improve my health’</w:t>
      </w:r>
    </w:p>
    <w:p w14:paraId="71A58C6C" w14:textId="77777777" w:rsidR="001C19F3" w:rsidRPr="007B6DF7" w:rsidRDefault="001C19F3" w:rsidP="001C19F3">
      <w:pPr>
        <w:numPr>
          <w:ilvl w:val="0"/>
          <w:numId w:val="35"/>
        </w:numPr>
        <w:contextualSpacing/>
      </w:pPr>
      <w:r w:rsidRPr="007B6DF7">
        <w:t>‘Contacted after a visit to see how things were going’</w:t>
      </w:r>
    </w:p>
    <w:p w14:paraId="770911E1" w14:textId="77777777" w:rsidR="001C19F3" w:rsidRPr="007B6DF7" w:rsidRDefault="001C19F3" w:rsidP="001C19F3">
      <w:pPr>
        <w:numPr>
          <w:ilvl w:val="0"/>
          <w:numId w:val="35"/>
        </w:numPr>
        <w:contextualSpacing/>
      </w:pPr>
      <w:r w:rsidRPr="007B6DF7">
        <w:t>‘Encouraged to attend programs in the community that could help me’</w:t>
      </w:r>
    </w:p>
    <w:p w14:paraId="31FFCE50" w14:textId="77777777" w:rsidR="001C19F3" w:rsidRPr="007B6DF7" w:rsidRDefault="001C19F3" w:rsidP="001C19F3">
      <w:pPr>
        <w:numPr>
          <w:ilvl w:val="0"/>
          <w:numId w:val="35"/>
        </w:numPr>
        <w:contextualSpacing/>
      </w:pPr>
      <w:r w:rsidRPr="007B6DF7">
        <w:t>‘Asked how my visits with other doctors were going’.</w:t>
      </w:r>
    </w:p>
    <w:p w14:paraId="3D9AAA5B" w14:textId="77777777" w:rsidR="001C19F3" w:rsidRPr="007B6DF7" w:rsidRDefault="001C19F3" w:rsidP="001C19F3">
      <w:r w:rsidRPr="007B6DF7">
        <w:rPr>
          <w:noProof/>
          <w:lang w:eastAsia="en-AU"/>
        </w:rPr>
        <w:lastRenderedPageBreak/>
        <w:drawing>
          <wp:inline distT="0" distB="0" distL="0" distR="0" wp14:anchorId="3F23FAF9" wp14:editId="6260073C">
            <wp:extent cx="5190476" cy="4723809"/>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90476" cy="4723809"/>
                    </a:xfrm>
                    <a:prstGeom prst="rect">
                      <a:avLst/>
                    </a:prstGeom>
                  </pic:spPr>
                </pic:pic>
              </a:graphicData>
            </a:graphic>
          </wp:inline>
        </w:drawing>
      </w:r>
    </w:p>
    <w:p w14:paraId="71862FFC" w14:textId="77777777" w:rsidR="001C19F3" w:rsidRPr="007B6DF7" w:rsidRDefault="001C19F3" w:rsidP="001C19F3">
      <w:pPr>
        <w:spacing w:after="0"/>
        <w:jc w:val="center"/>
        <w:rPr>
          <w:b/>
        </w:rPr>
      </w:pPr>
      <w:bookmarkStart w:id="351" w:name="_Ref21173379"/>
      <w:r w:rsidRPr="007B6DF7">
        <w:rPr>
          <w:b/>
        </w:rPr>
        <w:t xml:space="preserve">Figure </w:t>
      </w:r>
      <w:r w:rsidRPr="007B6DF7">
        <w:rPr>
          <w:rFonts w:cs="Arial"/>
          <w:b/>
          <w:color w:val="000000" w:themeColor="text1"/>
        </w:rPr>
        <w:fldChar w:fldCharType="begin"/>
      </w:r>
      <w:r w:rsidRPr="007B6DF7">
        <w:rPr>
          <w:rFonts w:cs="Arial"/>
          <w:b/>
          <w:color w:val="000000" w:themeColor="text1"/>
        </w:rPr>
        <w:instrText xml:space="preserve"> SEQ Figure \* ARABIC </w:instrText>
      </w:r>
      <w:r w:rsidRPr="007B6DF7">
        <w:rPr>
          <w:rFonts w:cs="Arial"/>
          <w:b/>
          <w:color w:val="000000" w:themeColor="text1"/>
        </w:rPr>
        <w:fldChar w:fldCharType="separate"/>
      </w:r>
      <w:r>
        <w:rPr>
          <w:rFonts w:cs="Arial"/>
          <w:b/>
          <w:noProof/>
          <w:color w:val="000000" w:themeColor="text1"/>
        </w:rPr>
        <w:t>15</w:t>
      </w:r>
      <w:r w:rsidRPr="007B6DF7">
        <w:rPr>
          <w:rFonts w:cs="Arial"/>
          <w:b/>
          <w:color w:val="000000" w:themeColor="text1"/>
        </w:rPr>
        <w:fldChar w:fldCharType="end"/>
      </w:r>
      <w:bookmarkEnd w:id="351"/>
      <w:r w:rsidRPr="007B6DF7">
        <w:rPr>
          <w:b/>
        </w:rPr>
        <w:t xml:space="preserve"> –</w:t>
      </w:r>
      <w:r>
        <w:rPr>
          <w:b/>
        </w:rPr>
        <w:t xml:space="preserve"> </w:t>
      </w:r>
      <w:r w:rsidRPr="007B6DF7">
        <w:rPr>
          <w:b/>
        </w:rPr>
        <w:t>Patient responses to specific questions from the PACIC instrument</w:t>
      </w:r>
    </w:p>
    <w:p w14:paraId="43EBC8F6" w14:textId="77777777" w:rsidR="001C19F3" w:rsidRPr="007B6DF7" w:rsidRDefault="001C19F3" w:rsidP="001C19F3">
      <w:pPr>
        <w:pStyle w:val="Chartortablefootnote"/>
      </w:pPr>
      <w:r w:rsidRPr="007B6DF7">
        <w:t xml:space="preserve">Source: </w:t>
      </w:r>
      <w:r>
        <w:t>CATI surveys conducted by The Social Research Centre between December 2017 and March 2019</w:t>
      </w:r>
      <w:r w:rsidRPr="007B6DF7">
        <w:t>.</w:t>
      </w:r>
    </w:p>
    <w:p w14:paraId="47896D4B" w14:textId="77777777" w:rsidR="001C19F3" w:rsidRPr="007B6DF7" w:rsidRDefault="001C19F3" w:rsidP="001C19F3">
      <w:r w:rsidRPr="007B6DF7">
        <w:t xml:space="preserve">There was no statistically significant difference in the dimensions between tiers, except for ‘Follow-up and coordination’, where the means were 2.3, 2.7 and 3 for </w:t>
      </w:r>
      <w:r>
        <w:t>t</w:t>
      </w:r>
      <w:r w:rsidRPr="007B6DF7">
        <w:t xml:space="preserve">iers 1, 2 and 3 respectively, that is, Tier 3 patients generally reported better experience than the other </w:t>
      </w:r>
      <w:r>
        <w:t>tier</w:t>
      </w:r>
      <w:r w:rsidRPr="007B6DF7">
        <w:t>s.</w:t>
      </w:r>
    </w:p>
    <w:p w14:paraId="7E32AD9C" w14:textId="77777777" w:rsidR="001C19F3" w:rsidRPr="007B6DF7" w:rsidRDefault="001C19F3" w:rsidP="001C19F3">
      <w:pPr>
        <w:keepNext/>
        <w:keepLines/>
        <w:spacing w:line="240" w:lineRule="auto"/>
        <w:outlineLvl w:val="1"/>
        <w:rPr>
          <w:rFonts w:eastAsia="Times New Roman" w:cstheme="majorBidi"/>
          <w:color w:val="003D79"/>
          <w:sz w:val="40"/>
          <w:szCs w:val="26"/>
          <w:lang w:eastAsia="en-AU"/>
        </w:rPr>
      </w:pPr>
      <w:r w:rsidRPr="007B6DF7">
        <w:rPr>
          <w:rFonts w:eastAsia="Times New Roman" w:cstheme="majorBidi"/>
          <w:color w:val="003D79"/>
          <w:sz w:val="40"/>
          <w:szCs w:val="26"/>
          <w:lang w:eastAsia="en-AU"/>
        </w:rPr>
        <w:t>Experience of recruitment to HCH </w:t>
      </w:r>
    </w:p>
    <w:p w14:paraId="793B31EE"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Patient motivations and expectations</w:t>
      </w:r>
    </w:p>
    <w:p w14:paraId="6EF765D4" w14:textId="77777777" w:rsidR="001C19F3" w:rsidRPr="007B6DF7" w:rsidRDefault="001C19F3" w:rsidP="001C19F3">
      <w:pPr>
        <w:textAlignment w:val="baseline"/>
        <w:rPr>
          <w:rFonts w:ascii="Calibri" w:eastAsia="Times New Roman" w:hAnsi="Calibri"/>
          <w:sz w:val="22"/>
          <w:lang w:eastAsia="en-AU"/>
        </w:rPr>
      </w:pPr>
      <w:bookmarkStart w:id="352" w:name="_Hlk21011645"/>
      <w:r w:rsidRPr="007B6DF7">
        <w:rPr>
          <w:rFonts w:eastAsia="Times New Roman" w:cs="Segoe UI"/>
          <w:szCs w:val="20"/>
          <w:lang w:eastAsia="en-AU"/>
        </w:rPr>
        <w:t>Many patients had limited to no expectations about the program. Some were curious about HCH and others trusted their doctor who recommended that they participate in the initiative:</w:t>
      </w:r>
      <w:r>
        <w:rPr>
          <w:rFonts w:ascii="Calibri" w:eastAsia="Times New Roman" w:hAnsi="Calibri" w:cs="Segoe UI"/>
          <w:sz w:val="22"/>
          <w:lang w:eastAsia="en-AU"/>
        </w:rPr>
        <w:t xml:space="preserve"> </w:t>
      </w:r>
    </w:p>
    <w:bookmarkEnd w:id="352"/>
    <w:p w14:paraId="240A6549" w14:textId="77777777" w:rsidR="001C19F3" w:rsidRPr="007B6DF7" w:rsidRDefault="001C19F3" w:rsidP="001C19F3">
      <w:pPr>
        <w:ind w:left="567" w:right="1088"/>
        <w:rPr>
          <w:rFonts w:ascii="Segoe UI" w:eastAsia="Times New Roman" w:hAnsi="Segoe UI" w:cs="Segoe UI"/>
          <w:sz w:val="18"/>
          <w:szCs w:val="18"/>
          <w:lang w:eastAsia="en-AU"/>
        </w:rPr>
      </w:pPr>
      <w:r w:rsidRPr="007B6DF7">
        <w:rPr>
          <w:rFonts w:ascii="Calibri" w:eastAsia="Times New Roman" w:hAnsi="Calibri" w:cs="Segoe UI"/>
          <w:i/>
          <w:iCs/>
          <w:sz w:val="22"/>
          <w:lang w:eastAsia="en-AU"/>
        </w:rPr>
        <w:t>“</w:t>
      </w:r>
      <w:r w:rsidRPr="007B6DF7">
        <w:rPr>
          <w:rFonts w:eastAsia="Times New Roman" w:cs="Segoe UI"/>
          <w:i/>
          <w:iCs/>
          <w:szCs w:val="20"/>
          <w:lang w:eastAsia="en-AU"/>
        </w:rPr>
        <w:t xml:space="preserve">I didn't really have any thoughts on it at all. No, I just thought, well, if </w:t>
      </w:r>
      <w:r w:rsidRPr="009B75E1">
        <w:rPr>
          <w:rFonts w:eastAsia="Times New Roman" w:cs="Segoe UI"/>
          <w:iCs/>
          <w:szCs w:val="20"/>
          <w:lang w:eastAsia="en-AU"/>
        </w:rPr>
        <w:t>[my GP]</w:t>
      </w:r>
      <w:r w:rsidRPr="007B6DF7">
        <w:rPr>
          <w:rFonts w:eastAsia="Times New Roman" w:cs="Segoe UI"/>
          <w:i/>
          <w:iCs/>
          <w:szCs w:val="20"/>
          <w:lang w:eastAsia="en-AU"/>
        </w:rPr>
        <w:t xml:space="preserve"> wants me in it...I trust him.” </w:t>
      </w:r>
      <w:r w:rsidRPr="007B6DF7">
        <w:rPr>
          <w:rFonts w:eastAsia="Times New Roman" w:cs="Segoe UI"/>
          <w:szCs w:val="20"/>
          <w:lang w:eastAsia="en-AU"/>
        </w:rPr>
        <w:t>[Patient 1, Practice 1</w:t>
      </w:r>
      <w:r>
        <w:rPr>
          <w:rFonts w:eastAsia="Times New Roman" w:cs="Segoe UI"/>
          <w:szCs w:val="20"/>
          <w:lang w:eastAsia="en-AU"/>
        </w:rPr>
        <w:t>, interview, R2]</w:t>
      </w:r>
      <w:r w:rsidRPr="007B6DF7">
        <w:rPr>
          <w:rFonts w:eastAsia="Times New Roman"/>
          <w:szCs w:val="20"/>
          <w:lang w:eastAsia="en-AU"/>
        </w:rPr>
        <w:t> </w:t>
      </w:r>
    </w:p>
    <w:p w14:paraId="3DDC7152" w14:textId="77777777" w:rsidR="001C19F3" w:rsidRPr="007B6DF7" w:rsidRDefault="001C19F3" w:rsidP="001C19F3">
      <w:pPr>
        <w:ind w:left="567" w:right="1088"/>
        <w:rPr>
          <w:rFonts w:ascii="Segoe UI" w:eastAsia="Times New Roman" w:hAnsi="Segoe UI" w:cs="Segoe UI"/>
          <w:sz w:val="18"/>
          <w:szCs w:val="18"/>
          <w:lang w:eastAsia="en-AU"/>
        </w:rPr>
      </w:pPr>
      <w:r w:rsidRPr="007B6DF7">
        <w:rPr>
          <w:rFonts w:eastAsia="Times New Roman"/>
          <w:szCs w:val="20"/>
          <w:lang w:eastAsia="en-AU"/>
        </w:rPr>
        <w:t> </w:t>
      </w:r>
      <w:r w:rsidRPr="007B6DF7">
        <w:rPr>
          <w:rFonts w:eastAsia="Times New Roman" w:cs="Segoe UI"/>
          <w:i/>
          <w:iCs/>
          <w:szCs w:val="20"/>
          <w:lang w:val="en-GB" w:eastAsia="en-AU"/>
        </w:rPr>
        <w:t>“We didn’t really know, we just followed along</w:t>
      </w:r>
      <w:r w:rsidRPr="00BC7386">
        <w:rPr>
          <w:rFonts w:eastAsia="Times New Roman" w:cs="Segoe UI"/>
          <w:iCs/>
          <w:szCs w:val="20"/>
          <w:lang w:val="en-GB" w:eastAsia="en-AU"/>
        </w:rPr>
        <w:t>…</w:t>
      </w:r>
      <w:r w:rsidRPr="00BC7386">
        <w:rPr>
          <w:rFonts w:eastAsia="Times New Roman" w:cs="Segoe UI"/>
          <w:iCs/>
          <w:szCs w:val="20"/>
          <w:lang w:eastAsia="en-AU"/>
        </w:rPr>
        <w:t>[The GP]</w:t>
      </w:r>
      <w:r w:rsidRPr="007B6DF7">
        <w:rPr>
          <w:rFonts w:eastAsia="Times New Roman" w:cs="Segoe UI"/>
          <w:i/>
          <w:iCs/>
          <w:szCs w:val="20"/>
          <w:lang w:val="en-GB" w:eastAsia="en-AU"/>
        </w:rPr>
        <w:t> suggested it was a good idea so we said, fine. She knows us better than the other doctors down there…” </w:t>
      </w:r>
      <w:r w:rsidRPr="007B6DF7">
        <w:rPr>
          <w:rFonts w:eastAsia="Times New Roman" w:cs="Segoe UI"/>
          <w:szCs w:val="20"/>
          <w:lang w:val="en-GB" w:eastAsia="en-AU"/>
        </w:rPr>
        <w:t>[Patient 1, Practice 16</w:t>
      </w:r>
      <w:r>
        <w:rPr>
          <w:rFonts w:eastAsia="Times New Roman" w:cs="Segoe UI"/>
          <w:szCs w:val="20"/>
          <w:lang w:val="en-GB" w:eastAsia="en-AU"/>
        </w:rPr>
        <w:t>, interview, R2]</w:t>
      </w:r>
      <w:r w:rsidRPr="007B6DF7">
        <w:rPr>
          <w:rFonts w:eastAsia="Times New Roman"/>
          <w:szCs w:val="20"/>
          <w:lang w:eastAsia="en-AU"/>
        </w:rPr>
        <w:t> </w:t>
      </w:r>
    </w:p>
    <w:p w14:paraId="4CF41B6C" w14:textId="77777777" w:rsidR="001C19F3" w:rsidRPr="007B6DF7" w:rsidRDefault="001C19F3" w:rsidP="001C19F3">
      <w:pPr>
        <w:ind w:left="567" w:right="1088"/>
        <w:rPr>
          <w:rFonts w:ascii="Segoe UI" w:eastAsia="Times New Roman" w:hAnsi="Segoe UI" w:cs="Segoe UI"/>
          <w:sz w:val="18"/>
          <w:szCs w:val="18"/>
          <w:lang w:eastAsia="en-AU"/>
        </w:rPr>
      </w:pPr>
      <w:r w:rsidRPr="007B6DF7">
        <w:rPr>
          <w:rFonts w:eastAsia="Times New Roman"/>
          <w:szCs w:val="20"/>
          <w:lang w:eastAsia="en-AU"/>
        </w:rPr>
        <w:lastRenderedPageBreak/>
        <w:t> </w:t>
      </w:r>
      <w:r w:rsidRPr="007B6DF7">
        <w:rPr>
          <w:rFonts w:eastAsia="Times New Roman" w:cs="Segoe UI"/>
          <w:i/>
          <w:iCs/>
          <w:szCs w:val="20"/>
          <w:lang w:val="en-GB" w:eastAsia="en-AU"/>
        </w:rPr>
        <w:t>“I was curious more than anything else I think, you know. And then they had an information evening or afternoon.” </w:t>
      </w:r>
      <w:r w:rsidRPr="007B6DF7">
        <w:rPr>
          <w:rFonts w:eastAsia="Times New Roman" w:cs="Segoe UI"/>
          <w:szCs w:val="20"/>
          <w:lang w:val="en-GB" w:eastAsia="en-AU"/>
        </w:rPr>
        <w:t>[Patient 4, Practice 4</w:t>
      </w:r>
      <w:r>
        <w:rPr>
          <w:rFonts w:eastAsia="Times New Roman" w:cs="Segoe UI"/>
          <w:szCs w:val="20"/>
          <w:lang w:val="en-GB" w:eastAsia="en-AU"/>
        </w:rPr>
        <w:t>, interview, R2]</w:t>
      </w:r>
      <w:r w:rsidRPr="007B6DF7">
        <w:rPr>
          <w:rFonts w:eastAsia="Times New Roman"/>
          <w:szCs w:val="20"/>
          <w:lang w:eastAsia="en-AU"/>
        </w:rPr>
        <w:t> </w:t>
      </w:r>
    </w:p>
    <w:p w14:paraId="4BCCE6C2" w14:textId="77777777" w:rsidR="001C19F3" w:rsidRPr="007B6DF7" w:rsidRDefault="001C19F3" w:rsidP="001C19F3">
      <w:pPr>
        <w:ind w:left="567" w:right="1088"/>
        <w:rPr>
          <w:rFonts w:eastAsia="Times New Roman"/>
          <w:szCs w:val="20"/>
          <w:lang w:eastAsia="en-AU"/>
        </w:rPr>
      </w:pPr>
      <w:r w:rsidRPr="007B6DF7">
        <w:rPr>
          <w:rFonts w:eastAsia="Times New Roman"/>
          <w:szCs w:val="20"/>
          <w:lang w:eastAsia="en-AU"/>
        </w:rPr>
        <w:t> </w:t>
      </w:r>
      <w:r w:rsidRPr="007B6DF7">
        <w:rPr>
          <w:rFonts w:eastAsia="Times New Roman" w:cs="Segoe UI"/>
          <w:i/>
          <w:iCs/>
          <w:szCs w:val="20"/>
          <w:lang w:val="en-GB" w:eastAsia="en-AU"/>
        </w:rPr>
        <w:t>“We’d got no expectations, because we’ve never heard of anything like this before. So, it was our first go.”</w:t>
      </w:r>
      <w:r w:rsidRPr="007B6DF7">
        <w:rPr>
          <w:rFonts w:eastAsia="Times New Roman" w:cs="Segoe UI"/>
          <w:szCs w:val="20"/>
          <w:lang w:val="en-GB" w:eastAsia="en-AU"/>
        </w:rPr>
        <w:t> [Patient 3, Practice 16</w:t>
      </w:r>
      <w:r>
        <w:rPr>
          <w:rFonts w:eastAsia="Times New Roman" w:cs="Segoe UI"/>
          <w:szCs w:val="20"/>
          <w:lang w:val="en-GB" w:eastAsia="en-AU"/>
        </w:rPr>
        <w:t>, interview, R2]</w:t>
      </w:r>
      <w:r w:rsidRPr="007B6DF7">
        <w:rPr>
          <w:rFonts w:eastAsia="Times New Roman"/>
          <w:szCs w:val="20"/>
          <w:lang w:eastAsia="en-AU"/>
        </w:rPr>
        <w:t> </w:t>
      </w:r>
    </w:p>
    <w:p w14:paraId="0EBD893B"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val="en-GB" w:eastAsia="en-AU"/>
        </w:rPr>
        <w:t xml:space="preserve">Other patients </w:t>
      </w:r>
      <w:bookmarkStart w:id="353" w:name="_Hlk21011683"/>
      <w:r w:rsidRPr="007B6DF7">
        <w:rPr>
          <w:rFonts w:eastAsia="Times New Roman" w:cs="Segoe UI"/>
          <w:szCs w:val="20"/>
          <w:lang w:val="en-GB" w:eastAsia="en-AU"/>
        </w:rPr>
        <w:t>were motivated by easier access to team members beyond the GP</w:t>
      </w:r>
      <w:r>
        <w:rPr>
          <w:rFonts w:eastAsia="Times New Roman" w:cs="Segoe UI"/>
          <w:szCs w:val="20"/>
          <w:lang w:val="en-GB" w:eastAsia="en-AU"/>
        </w:rPr>
        <w:t xml:space="preserve"> to</w:t>
      </w:r>
      <w:r w:rsidRPr="007B6DF7">
        <w:rPr>
          <w:rFonts w:eastAsia="Times New Roman" w:cs="Segoe UI"/>
          <w:szCs w:val="20"/>
          <w:lang w:val="en-GB" w:eastAsia="en-AU"/>
        </w:rPr>
        <w:t xml:space="preserve"> receive more information, guidance, and education regarding </w:t>
      </w:r>
      <w:r>
        <w:rPr>
          <w:rFonts w:eastAsia="Times New Roman" w:cs="Segoe UI"/>
          <w:szCs w:val="20"/>
          <w:lang w:val="en-GB" w:eastAsia="en-AU"/>
        </w:rPr>
        <w:t>about their</w:t>
      </w:r>
      <w:r w:rsidRPr="007B6DF7">
        <w:rPr>
          <w:rFonts w:eastAsia="Times New Roman" w:cs="Segoe UI"/>
          <w:szCs w:val="20"/>
          <w:lang w:val="en-GB" w:eastAsia="en-AU"/>
        </w:rPr>
        <w:t xml:space="preserve"> condition</w:t>
      </w:r>
      <w:bookmarkEnd w:id="353"/>
      <w:r w:rsidRPr="007B6DF7">
        <w:rPr>
          <w:rFonts w:eastAsia="Times New Roman" w:cs="Segoe UI"/>
          <w:szCs w:val="20"/>
          <w:lang w:val="en-GB" w:eastAsia="en-AU"/>
        </w:rPr>
        <w:t>:</w:t>
      </w:r>
      <w:r w:rsidRPr="007B6DF7">
        <w:rPr>
          <w:rFonts w:eastAsia="Times New Roman"/>
          <w:szCs w:val="20"/>
          <w:lang w:eastAsia="en-AU"/>
        </w:rPr>
        <w:t> </w:t>
      </w:r>
    </w:p>
    <w:p w14:paraId="18464D5D"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“Easier access…sometimes you get information that you want to know about and sometimes the doctors are not open enough to tell you about it. They want to find out what’s going on and when you ask </w:t>
      </w:r>
      <w:r w:rsidRPr="0061201B">
        <w:rPr>
          <w:rFonts w:eastAsia="Times New Roman" w:cs="Segoe UI"/>
          <w:iCs/>
          <w:szCs w:val="20"/>
          <w:lang w:val="en-GB" w:eastAsia="en-AU"/>
        </w:rPr>
        <w:t>[GP1]</w:t>
      </w:r>
      <w:r w:rsidRPr="007B6DF7">
        <w:rPr>
          <w:rFonts w:eastAsia="Times New Roman" w:cs="Segoe UI"/>
          <w:i/>
          <w:iCs/>
          <w:szCs w:val="20"/>
          <w:lang w:val="en-GB" w:eastAsia="en-AU"/>
        </w:rPr>
        <w:t xml:space="preserve"> sometimes, he says, yes, I’ll fix it. And that’s it. I just want to get a proper answer sometimes...What this is all about.”</w:t>
      </w:r>
      <w:r w:rsidRPr="007B6DF7">
        <w:rPr>
          <w:rFonts w:eastAsia="Times New Roman" w:cs="Segoe UI"/>
          <w:szCs w:val="20"/>
          <w:lang w:val="en-GB" w:eastAsia="en-AU"/>
        </w:rPr>
        <w:t> [Patient 2, Practice 3</w:t>
      </w:r>
      <w:r>
        <w:rPr>
          <w:rFonts w:eastAsia="Times New Roman" w:cs="Segoe UI"/>
          <w:szCs w:val="20"/>
          <w:lang w:val="en-GB" w:eastAsia="en-AU"/>
        </w:rPr>
        <w:t>, interview, R2]</w:t>
      </w:r>
      <w:r w:rsidRPr="007B6DF7">
        <w:rPr>
          <w:rFonts w:eastAsia="Times New Roman"/>
          <w:szCs w:val="20"/>
          <w:lang w:eastAsia="en-AU"/>
        </w:rPr>
        <w:t> </w:t>
      </w:r>
    </w:p>
    <w:p w14:paraId="5C12B3B6"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“…What I expected </w:t>
      </w:r>
      <w:r w:rsidRPr="00D30CE0">
        <w:rPr>
          <w:rFonts w:eastAsia="Times New Roman" w:cs="Segoe UI"/>
          <w:iCs/>
          <w:szCs w:val="20"/>
          <w:lang w:val="en-GB" w:eastAsia="en-AU"/>
        </w:rPr>
        <w:t>[was]</w:t>
      </w:r>
      <w:r w:rsidRPr="007B6DF7">
        <w:rPr>
          <w:rFonts w:eastAsia="Times New Roman" w:cs="Segoe UI"/>
          <w:i/>
          <w:iCs/>
          <w:szCs w:val="20"/>
          <w:lang w:val="en-GB" w:eastAsia="en-AU"/>
        </w:rPr>
        <w:t>…that I'm not going to have to be making as many visits to the doctor, to tie her up. That I…can ring a nurse and say: Oh look, this is happening and she could talk me through things and so forth…” </w:t>
      </w:r>
      <w:r w:rsidRPr="007B6DF7">
        <w:rPr>
          <w:rFonts w:eastAsia="Times New Roman" w:cs="Segoe UI"/>
          <w:szCs w:val="20"/>
          <w:lang w:val="en-GB" w:eastAsia="en-AU"/>
        </w:rPr>
        <w:t>[Patient 1, Practice 4</w:t>
      </w:r>
      <w:r>
        <w:rPr>
          <w:rFonts w:eastAsia="Times New Roman" w:cs="Segoe UI"/>
          <w:szCs w:val="20"/>
          <w:lang w:val="en-GB" w:eastAsia="en-AU"/>
        </w:rPr>
        <w:t>, interview, R2]</w:t>
      </w:r>
      <w:r w:rsidRPr="007B6DF7">
        <w:rPr>
          <w:rFonts w:eastAsia="Times New Roman"/>
          <w:szCs w:val="20"/>
          <w:lang w:eastAsia="en-AU"/>
        </w:rPr>
        <w:t> </w:t>
      </w:r>
    </w:p>
    <w:p w14:paraId="54853F88"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“Because, if I have any worries now, I can ring up that nurse, you know…Take the pressure off myself. And ask them, what do you they think I should do…so I think, yes, that would be a good thing. Because she said, we're here all the time, any day. Just ring if you've got any queries or worries.” </w:t>
      </w:r>
      <w:r w:rsidRPr="007B6DF7">
        <w:rPr>
          <w:rFonts w:eastAsia="Times New Roman" w:cs="Segoe UI"/>
          <w:szCs w:val="20"/>
          <w:lang w:val="en-GB" w:eastAsia="en-AU"/>
        </w:rPr>
        <w:t>[Patient 6, Practice 4</w:t>
      </w:r>
      <w:r>
        <w:rPr>
          <w:rFonts w:eastAsia="Times New Roman" w:cs="Segoe UI"/>
          <w:szCs w:val="20"/>
          <w:lang w:val="en-GB" w:eastAsia="en-AU"/>
        </w:rPr>
        <w:t>, interview, R2]</w:t>
      </w:r>
      <w:r w:rsidRPr="007B6DF7">
        <w:rPr>
          <w:rFonts w:eastAsia="Times New Roman"/>
          <w:szCs w:val="20"/>
          <w:lang w:eastAsia="en-AU"/>
        </w:rPr>
        <w:t> </w:t>
      </w:r>
    </w:p>
    <w:p w14:paraId="16E32C42" w14:textId="77777777" w:rsidR="001C19F3" w:rsidRPr="007B6DF7" w:rsidRDefault="001C19F3" w:rsidP="001C19F3">
      <w:pPr>
        <w:textAlignment w:val="baseline"/>
        <w:rPr>
          <w:rFonts w:eastAsia="Times New Roman"/>
          <w:szCs w:val="20"/>
          <w:lang w:eastAsia="en-AU"/>
        </w:rPr>
      </w:pPr>
      <w:r>
        <w:rPr>
          <w:rFonts w:eastAsia="Times New Roman" w:cs="Segoe UI"/>
          <w:szCs w:val="20"/>
          <w:lang w:val="en-GB" w:eastAsia="en-AU"/>
        </w:rPr>
        <w:t xml:space="preserve">Other components of access that patients were attracted by included priority (e.g. some practices allowed HCH patients to see someone at the practice without having to wait), and the </w:t>
      </w:r>
      <w:r w:rsidRPr="007B6DF7">
        <w:rPr>
          <w:rFonts w:eastAsia="Times New Roman" w:cs="Segoe UI"/>
          <w:szCs w:val="20"/>
          <w:lang w:val="en-GB" w:eastAsia="en-AU"/>
        </w:rPr>
        <w:t xml:space="preserve">ability to get </w:t>
      </w:r>
      <w:r>
        <w:rPr>
          <w:rFonts w:eastAsia="Times New Roman" w:cs="Segoe UI"/>
          <w:szCs w:val="20"/>
          <w:lang w:val="en-GB" w:eastAsia="en-AU"/>
        </w:rPr>
        <w:t xml:space="preserve">routine </w:t>
      </w:r>
      <w:r w:rsidRPr="007B6DF7">
        <w:rPr>
          <w:rFonts w:eastAsia="Times New Roman" w:cs="Segoe UI"/>
          <w:szCs w:val="20"/>
          <w:lang w:val="en-GB" w:eastAsia="en-AU"/>
        </w:rPr>
        <w:t>prescriptions</w:t>
      </w:r>
      <w:r>
        <w:rPr>
          <w:rFonts w:eastAsia="Times New Roman" w:cs="Segoe UI"/>
          <w:szCs w:val="20"/>
          <w:lang w:val="en-GB" w:eastAsia="en-AU"/>
        </w:rPr>
        <w:t xml:space="preserve"> and referrals</w:t>
      </w:r>
      <w:r w:rsidRPr="007B6DF7">
        <w:rPr>
          <w:rFonts w:eastAsia="Times New Roman" w:cs="Segoe UI"/>
          <w:szCs w:val="20"/>
          <w:lang w:val="en-GB" w:eastAsia="en-AU"/>
        </w:rPr>
        <w:t xml:space="preserve"> without visiting the practice:</w:t>
      </w:r>
      <w:r w:rsidRPr="007B6DF7">
        <w:rPr>
          <w:rFonts w:eastAsia="Times New Roman"/>
          <w:szCs w:val="20"/>
          <w:lang w:eastAsia="en-AU"/>
        </w:rPr>
        <w:t> </w:t>
      </w:r>
    </w:p>
    <w:p w14:paraId="2425B060"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“I just see it </w:t>
      </w:r>
      <w:r w:rsidRPr="00D30CE0">
        <w:rPr>
          <w:rFonts w:eastAsia="Times New Roman" w:cs="Segoe UI"/>
          <w:iCs/>
          <w:szCs w:val="20"/>
          <w:lang w:val="en-GB" w:eastAsia="en-AU"/>
        </w:rPr>
        <w:t>[as]</w:t>
      </w:r>
      <w:r w:rsidRPr="007B6DF7">
        <w:rPr>
          <w:rFonts w:eastAsia="Times New Roman" w:cs="Segoe UI"/>
          <w:i/>
          <w:iCs/>
          <w:szCs w:val="20"/>
          <w:lang w:val="en-GB" w:eastAsia="en-AU"/>
        </w:rPr>
        <w:t xml:space="preserve"> getting the prescriptions and being a priority patient.</w:t>
      </w:r>
      <w:r>
        <w:rPr>
          <w:rFonts w:eastAsia="Times New Roman" w:cs="Segoe UI"/>
          <w:szCs w:val="20"/>
          <w:lang w:val="en-GB" w:eastAsia="en-AU"/>
        </w:rPr>
        <w:t xml:space="preserve"> </w:t>
      </w:r>
      <w:r w:rsidRPr="007B6DF7">
        <w:rPr>
          <w:rFonts w:eastAsia="Times New Roman" w:cs="Segoe UI"/>
          <w:szCs w:val="20"/>
          <w:lang w:val="en-GB" w:eastAsia="en-AU"/>
        </w:rPr>
        <w:t>[Patient 3, Practice 3</w:t>
      </w:r>
      <w:r>
        <w:rPr>
          <w:rFonts w:eastAsia="Times New Roman" w:cs="Segoe UI"/>
          <w:szCs w:val="20"/>
          <w:lang w:val="en-GB" w:eastAsia="en-AU"/>
        </w:rPr>
        <w:t>, interview, R2]</w:t>
      </w:r>
      <w:r w:rsidRPr="007B6DF7">
        <w:rPr>
          <w:rFonts w:eastAsia="Times New Roman"/>
          <w:szCs w:val="20"/>
          <w:lang w:eastAsia="en-AU"/>
        </w:rPr>
        <w:t> </w:t>
      </w:r>
    </w:p>
    <w:p w14:paraId="54EC28E4"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 “</w:t>
      </w:r>
      <w:r w:rsidRPr="00721857">
        <w:rPr>
          <w:rFonts w:eastAsia="Times New Roman" w:cs="Segoe UI"/>
          <w:iCs/>
          <w:szCs w:val="20"/>
          <w:lang w:val="en-GB" w:eastAsia="en-AU"/>
        </w:rPr>
        <w:t>[The]</w:t>
      </w:r>
      <w:r w:rsidRPr="007B6DF7">
        <w:rPr>
          <w:rFonts w:eastAsia="Times New Roman" w:cs="Segoe UI"/>
          <w:i/>
          <w:iCs/>
          <w:szCs w:val="20"/>
          <w:lang w:val="en-GB" w:eastAsia="en-AU"/>
        </w:rPr>
        <w:t xml:space="preserve"> first thing I thought…was I don’t have to pull </w:t>
      </w:r>
      <w:r w:rsidRPr="00D30CE0">
        <w:rPr>
          <w:rFonts w:eastAsia="Times New Roman" w:cs="Segoe UI"/>
          <w:iCs/>
          <w:szCs w:val="20"/>
          <w:lang w:val="en-GB" w:eastAsia="en-AU"/>
        </w:rPr>
        <w:t>[my son]</w:t>
      </w:r>
      <w:r w:rsidRPr="007B6DF7">
        <w:rPr>
          <w:rFonts w:eastAsia="Times New Roman" w:cs="Segoe UI"/>
          <w:i/>
          <w:iCs/>
          <w:szCs w:val="20"/>
          <w:lang w:val="en-GB" w:eastAsia="en-AU"/>
        </w:rPr>
        <w:t xml:space="preserve"> out of the Cerebral Palsy League for an entire day just to get him a script. That was a total waste of time because he enjoys the Cerebral Palsy League so much and gets so much out of it. He has grown so much since he has been in it.”</w:t>
      </w:r>
      <w:r w:rsidRPr="007B6DF7">
        <w:rPr>
          <w:rFonts w:eastAsia="Times New Roman" w:cs="Segoe UI"/>
          <w:szCs w:val="20"/>
          <w:lang w:val="en-GB" w:eastAsia="en-AU"/>
        </w:rPr>
        <w:t> [Patient 1 &amp; Carer, Practice 6</w:t>
      </w:r>
      <w:r>
        <w:rPr>
          <w:rFonts w:eastAsia="Times New Roman" w:cs="Segoe UI"/>
          <w:szCs w:val="20"/>
          <w:lang w:val="en-GB" w:eastAsia="en-AU"/>
        </w:rPr>
        <w:t>, interview, R2]</w:t>
      </w:r>
      <w:r w:rsidRPr="007B6DF7">
        <w:rPr>
          <w:rFonts w:eastAsia="Times New Roman"/>
          <w:szCs w:val="20"/>
          <w:lang w:eastAsia="en-AU"/>
        </w:rPr>
        <w:t> </w:t>
      </w:r>
    </w:p>
    <w:p w14:paraId="02E9A0C1"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“…so, the nurse is supposed to liaise with us, we can call for a prescription if we need it on his chronic, long-term meds. Which is huge, because getting him into the practice is very hard.”</w:t>
      </w:r>
      <w:r w:rsidRPr="007B6DF7">
        <w:rPr>
          <w:rFonts w:eastAsia="Times New Roman" w:cs="Segoe UI"/>
          <w:szCs w:val="20"/>
          <w:lang w:val="en-GB" w:eastAsia="en-AU"/>
        </w:rPr>
        <w:t> [Carer, Practice 5</w:t>
      </w:r>
      <w:r>
        <w:rPr>
          <w:rFonts w:eastAsia="Times New Roman" w:cs="Segoe UI"/>
          <w:szCs w:val="20"/>
          <w:lang w:val="en-GB" w:eastAsia="en-AU"/>
        </w:rPr>
        <w:t>, interview, R2]</w:t>
      </w:r>
      <w:r w:rsidRPr="007B6DF7">
        <w:rPr>
          <w:rFonts w:eastAsia="Times New Roman"/>
          <w:szCs w:val="20"/>
          <w:lang w:eastAsia="en-AU"/>
        </w:rPr>
        <w:t> </w:t>
      </w:r>
    </w:p>
    <w:p w14:paraId="57C8AB22" w14:textId="77777777" w:rsidR="001C19F3" w:rsidRPr="007B6DF7" w:rsidRDefault="001C19F3" w:rsidP="001C19F3">
      <w:pPr>
        <w:textAlignment w:val="baseline"/>
        <w:rPr>
          <w:rFonts w:eastAsia="Times New Roman"/>
          <w:szCs w:val="20"/>
          <w:lang w:eastAsia="en-AU"/>
        </w:rPr>
      </w:pPr>
      <w:bookmarkStart w:id="354" w:name="_Hlk21012392"/>
      <w:r w:rsidRPr="007B6DF7">
        <w:rPr>
          <w:rFonts w:eastAsia="Times New Roman" w:cs="Segoe UI"/>
          <w:szCs w:val="20"/>
          <w:lang w:val="en-GB" w:eastAsia="en-AU"/>
        </w:rPr>
        <w:t xml:space="preserve">Patients also felt that they would receive more personalised care. </w:t>
      </w:r>
      <w:bookmarkEnd w:id="354"/>
      <w:r w:rsidRPr="007B6DF7">
        <w:rPr>
          <w:rFonts w:eastAsia="Times New Roman" w:cs="Segoe UI"/>
          <w:szCs w:val="20"/>
          <w:lang w:val="en-GB" w:eastAsia="en-AU"/>
        </w:rPr>
        <w:t>The idea of better monitoring of their conditions and having a support team was comforting to patients and their carers:</w:t>
      </w:r>
      <w:r w:rsidRPr="007B6DF7">
        <w:rPr>
          <w:rFonts w:eastAsia="Times New Roman"/>
          <w:szCs w:val="20"/>
          <w:lang w:eastAsia="en-AU"/>
        </w:rPr>
        <w:t> </w:t>
      </w:r>
    </w:p>
    <w:p w14:paraId="485A18D6"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US" w:eastAsia="en-AU"/>
        </w:rPr>
        <w:t xml:space="preserve">“Oh, well, what might change is when I get a bit older I suppose I'll be looked after. If I'm on my own, I've got wife and two boys…If something happens I think I'll be looked after through this Health Care </w:t>
      </w:r>
      <w:r w:rsidRPr="00721857">
        <w:rPr>
          <w:rFonts w:eastAsia="Times New Roman" w:cs="Segoe UI"/>
          <w:iCs/>
          <w:szCs w:val="20"/>
          <w:lang w:val="en-US" w:eastAsia="en-AU"/>
        </w:rPr>
        <w:t>[Homes]</w:t>
      </w:r>
      <w:r w:rsidRPr="007B6DF7">
        <w:rPr>
          <w:rFonts w:eastAsia="Times New Roman" w:cs="Segoe UI"/>
          <w:i/>
          <w:iCs/>
          <w:szCs w:val="20"/>
          <w:lang w:val="en-US" w:eastAsia="en-AU"/>
        </w:rPr>
        <w:t>.” </w:t>
      </w:r>
      <w:r w:rsidRPr="007B6DF7">
        <w:rPr>
          <w:rFonts w:eastAsia="Times New Roman" w:cs="Segoe UI"/>
          <w:szCs w:val="20"/>
          <w:lang w:val="en-US" w:eastAsia="en-AU"/>
        </w:rPr>
        <w:t>[Patient 2, Practice 3</w:t>
      </w:r>
      <w:r>
        <w:rPr>
          <w:rFonts w:eastAsia="Times New Roman" w:cs="Segoe UI"/>
          <w:szCs w:val="20"/>
          <w:lang w:val="en-US" w:eastAsia="en-AU"/>
        </w:rPr>
        <w:t>, interview, R2]</w:t>
      </w:r>
      <w:r w:rsidRPr="007B6DF7">
        <w:rPr>
          <w:rFonts w:eastAsia="Times New Roman"/>
          <w:szCs w:val="20"/>
          <w:lang w:eastAsia="en-AU"/>
        </w:rPr>
        <w:t> </w:t>
      </w:r>
    </w:p>
    <w:p w14:paraId="4377A049" w14:textId="77777777" w:rsidR="001C19F3" w:rsidRPr="007B6DF7" w:rsidRDefault="001C19F3" w:rsidP="001C19F3">
      <w:pPr>
        <w:ind w:left="567" w:right="1088"/>
        <w:rPr>
          <w:rFonts w:eastAsia="Times New Roman"/>
          <w:szCs w:val="20"/>
          <w:lang w:eastAsia="en-AU"/>
        </w:rPr>
      </w:pPr>
      <w:r>
        <w:rPr>
          <w:rFonts w:eastAsia="Times New Roman" w:cs="Segoe UI"/>
          <w:i/>
          <w:iCs/>
          <w:szCs w:val="20"/>
          <w:lang w:val="en-GB" w:eastAsia="en-AU"/>
        </w:rPr>
        <w:lastRenderedPageBreak/>
        <w:t>“</w:t>
      </w:r>
      <w:r w:rsidRPr="007B6DF7">
        <w:rPr>
          <w:rFonts w:eastAsia="Times New Roman" w:cs="Segoe UI"/>
          <w:i/>
          <w:iCs/>
          <w:szCs w:val="20"/>
          <w:lang w:val="en-GB" w:eastAsia="en-AU"/>
        </w:rPr>
        <w:t xml:space="preserve">I thought, you know, </w:t>
      </w:r>
      <w:r w:rsidRPr="00F02D29">
        <w:rPr>
          <w:rFonts w:eastAsia="Times New Roman" w:cs="Segoe UI"/>
          <w:iCs/>
          <w:szCs w:val="20"/>
          <w:lang w:val="en-GB" w:eastAsia="en-AU"/>
        </w:rPr>
        <w:t>[the practice will]</w:t>
      </w:r>
      <w:r w:rsidRPr="007B6DF7">
        <w:rPr>
          <w:rFonts w:eastAsia="Times New Roman" w:cs="Segoe UI"/>
          <w:i/>
          <w:iCs/>
          <w:szCs w:val="20"/>
          <w:lang w:val="en-GB" w:eastAsia="en-AU"/>
        </w:rPr>
        <w:t xml:space="preserve"> just keep an eye on her, that her medication and her health is going all right. Because…if I dropped off the perch…she'd need someone to look after her.”</w:t>
      </w:r>
      <w:r w:rsidRPr="007B6DF7">
        <w:rPr>
          <w:rFonts w:eastAsia="Times New Roman" w:cs="Segoe UI"/>
          <w:szCs w:val="20"/>
          <w:lang w:val="en-GB" w:eastAsia="en-AU"/>
        </w:rPr>
        <w:t> [Patient 7 &amp; Carer, Practice 16</w:t>
      </w:r>
      <w:r>
        <w:rPr>
          <w:rFonts w:eastAsia="Times New Roman" w:cs="Segoe UI"/>
          <w:szCs w:val="20"/>
          <w:lang w:val="en-GB" w:eastAsia="en-AU"/>
        </w:rPr>
        <w:t>, interview, R2]</w:t>
      </w:r>
      <w:r w:rsidRPr="007B6DF7">
        <w:rPr>
          <w:rFonts w:eastAsia="Times New Roman"/>
          <w:szCs w:val="20"/>
          <w:lang w:eastAsia="en-AU"/>
        </w:rPr>
        <w:t> </w:t>
      </w:r>
    </w:p>
    <w:p w14:paraId="5F4CE27D" w14:textId="77777777" w:rsidR="001C19F3" w:rsidRPr="007B6DF7" w:rsidRDefault="001C19F3" w:rsidP="001C19F3">
      <w:pPr>
        <w:textAlignment w:val="baseline"/>
        <w:rPr>
          <w:rFonts w:eastAsia="Times New Roman"/>
          <w:szCs w:val="20"/>
          <w:lang w:eastAsia="en-AU"/>
        </w:rPr>
      </w:pPr>
      <w:r>
        <w:rPr>
          <w:rFonts w:eastAsia="Times New Roman" w:cs="Segoe UI"/>
          <w:szCs w:val="20"/>
          <w:lang w:eastAsia="en-AU"/>
        </w:rPr>
        <w:t xml:space="preserve">Greater involvement in their care and </w:t>
      </w:r>
      <w:bookmarkStart w:id="355" w:name="_Hlk21012933"/>
      <w:r>
        <w:rPr>
          <w:rFonts w:eastAsia="Times New Roman" w:cs="Segoe UI"/>
          <w:szCs w:val="20"/>
          <w:lang w:eastAsia="en-AU"/>
        </w:rPr>
        <w:t xml:space="preserve">self-management </w:t>
      </w:r>
      <w:bookmarkEnd w:id="355"/>
      <w:r>
        <w:rPr>
          <w:rFonts w:eastAsia="Times New Roman" w:cs="Segoe UI"/>
          <w:szCs w:val="20"/>
          <w:lang w:eastAsia="en-AU"/>
        </w:rPr>
        <w:t>were other motivators for patients</w:t>
      </w:r>
      <w:r w:rsidRPr="007B6DF7">
        <w:rPr>
          <w:rFonts w:eastAsia="Times New Roman" w:cs="Segoe UI"/>
          <w:szCs w:val="20"/>
          <w:lang w:eastAsia="en-AU"/>
        </w:rPr>
        <w:t>:</w:t>
      </w:r>
      <w:r w:rsidRPr="007B6DF7">
        <w:rPr>
          <w:rFonts w:eastAsia="Times New Roman"/>
          <w:szCs w:val="20"/>
          <w:lang w:eastAsia="en-AU"/>
        </w:rPr>
        <w:t> </w:t>
      </w:r>
    </w:p>
    <w:p w14:paraId="2399CAAD"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“That's why I thought, well, losing a bit of weight, it might help a bit too, you know, be more flexible.”</w:t>
      </w:r>
      <w:r w:rsidRPr="007B6DF7">
        <w:rPr>
          <w:rFonts w:eastAsia="Times New Roman" w:cs="Segoe UI"/>
          <w:szCs w:val="20"/>
          <w:lang w:val="en-GB" w:eastAsia="en-AU"/>
        </w:rPr>
        <w:t> [Patient 2, Practice 1</w:t>
      </w:r>
      <w:r>
        <w:rPr>
          <w:rFonts w:eastAsia="Times New Roman" w:cs="Segoe UI"/>
          <w:szCs w:val="20"/>
          <w:lang w:val="en-GB" w:eastAsia="en-AU"/>
        </w:rPr>
        <w:t>, interview, R2]</w:t>
      </w:r>
      <w:r w:rsidRPr="007B6DF7">
        <w:rPr>
          <w:rFonts w:eastAsia="Times New Roman"/>
          <w:szCs w:val="20"/>
          <w:lang w:eastAsia="en-AU"/>
        </w:rPr>
        <w:t> </w:t>
      </w:r>
    </w:p>
    <w:p w14:paraId="5E010C96"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How practice</w:t>
      </w:r>
      <w:r>
        <w:rPr>
          <w:rFonts w:eastAsia="Times New Roman" w:cstheme="majorBidi"/>
          <w:color w:val="003D79"/>
          <w:sz w:val="28"/>
          <w:szCs w:val="24"/>
          <w:lang w:eastAsia="en-AU"/>
        </w:rPr>
        <w:t>s</w:t>
      </w:r>
      <w:r w:rsidRPr="007B6DF7">
        <w:rPr>
          <w:rFonts w:eastAsia="Times New Roman" w:cstheme="majorBidi"/>
          <w:color w:val="003D79"/>
          <w:sz w:val="28"/>
          <w:szCs w:val="24"/>
          <w:lang w:eastAsia="en-AU"/>
        </w:rPr>
        <w:t xml:space="preserve"> recruit</w:t>
      </w:r>
      <w:r>
        <w:rPr>
          <w:rFonts w:eastAsia="Times New Roman" w:cstheme="majorBidi"/>
          <w:color w:val="003D79"/>
          <w:sz w:val="28"/>
          <w:szCs w:val="24"/>
          <w:lang w:eastAsia="en-AU"/>
        </w:rPr>
        <w:t>ed</w:t>
      </w:r>
      <w:r w:rsidRPr="007B6DF7">
        <w:rPr>
          <w:rFonts w:eastAsia="Times New Roman" w:cstheme="majorBidi"/>
          <w:color w:val="003D79"/>
          <w:sz w:val="28"/>
          <w:szCs w:val="24"/>
          <w:lang w:eastAsia="en-AU"/>
        </w:rPr>
        <w:t xml:space="preserve"> patients to HCH</w:t>
      </w:r>
    </w:p>
    <w:p w14:paraId="694CCA1B" w14:textId="77777777" w:rsidR="001C19F3" w:rsidRPr="007B6DF7" w:rsidRDefault="001C19F3" w:rsidP="001C19F3">
      <w:pPr>
        <w:textAlignment w:val="baseline"/>
        <w:rPr>
          <w:rFonts w:eastAsia="Times New Roman"/>
          <w:szCs w:val="20"/>
          <w:lang w:eastAsia="en-AU"/>
        </w:rPr>
      </w:pPr>
      <w:bookmarkStart w:id="356" w:name="_Hlk21013147"/>
      <w:r w:rsidRPr="007B6DF7">
        <w:rPr>
          <w:rFonts w:eastAsia="Times New Roman" w:cs="Segoe UI"/>
          <w:szCs w:val="20"/>
          <w:lang w:eastAsia="en-AU"/>
        </w:rPr>
        <w:t>The methods used to recruit patients into HCH varied across practices. Many patients and carers reported that their doctor had a discussion with them at one their routine visits. This conversation often involved the GP explaining the program and its potential benefits and suggesting that the patient join the program</w:t>
      </w:r>
      <w:bookmarkEnd w:id="356"/>
      <w:r w:rsidRPr="007B6DF7">
        <w:rPr>
          <w:rFonts w:eastAsia="Times New Roman" w:cs="Segoe UI"/>
          <w:szCs w:val="20"/>
          <w:lang w:eastAsia="en-AU"/>
        </w:rPr>
        <w:t>:</w:t>
      </w:r>
      <w:r w:rsidRPr="007B6DF7">
        <w:rPr>
          <w:rFonts w:eastAsia="Times New Roman"/>
          <w:szCs w:val="20"/>
          <w:lang w:eastAsia="en-AU"/>
        </w:rPr>
        <w:t> </w:t>
      </w:r>
    </w:p>
    <w:p w14:paraId="41F25210"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“I don't remember it being very long and involved. </w:t>
      </w:r>
      <w:r w:rsidRPr="00F02D29">
        <w:rPr>
          <w:rFonts w:eastAsia="Times New Roman" w:cs="Segoe UI"/>
          <w:iCs/>
          <w:szCs w:val="20"/>
          <w:lang w:val="en-GB" w:eastAsia="en-AU"/>
        </w:rPr>
        <w:t>[My GP]</w:t>
      </w:r>
      <w:r w:rsidRPr="007B6DF7">
        <w:rPr>
          <w:rFonts w:eastAsia="Times New Roman" w:cs="Segoe UI"/>
          <w:i/>
          <w:iCs/>
          <w:szCs w:val="20"/>
          <w:lang w:val="en-GB" w:eastAsia="en-AU"/>
        </w:rPr>
        <w:t xml:space="preserve"> just said to me, you know…I'll recommend it…and I said all right I'm in it.”</w:t>
      </w:r>
      <w:r w:rsidRPr="007B6DF7">
        <w:rPr>
          <w:rFonts w:eastAsia="Times New Roman" w:cs="Segoe UI"/>
          <w:szCs w:val="20"/>
          <w:lang w:val="en-GB" w:eastAsia="en-AU"/>
        </w:rPr>
        <w:t> [Patient 1, Practice 1</w:t>
      </w:r>
      <w:r>
        <w:rPr>
          <w:rFonts w:eastAsia="Times New Roman" w:cs="Segoe UI"/>
          <w:szCs w:val="20"/>
          <w:lang w:val="en-GB" w:eastAsia="en-AU"/>
        </w:rPr>
        <w:t>, interview, R2]</w:t>
      </w:r>
      <w:r w:rsidRPr="007B6DF7">
        <w:rPr>
          <w:rFonts w:eastAsia="Times New Roman"/>
          <w:szCs w:val="20"/>
          <w:lang w:eastAsia="en-AU"/>
        </w:rPr>
        <w:t> </w:t>
      </w:r>
    </w:p>
    <w:p w14:paraId="08430B01"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“Well, </w:t>
      </w:r>
      <w:r w:rsidRPr="00F02D29">
        <w:rPr>
          <w:rFonts w:eastAsia="Times New Roman" w:cs="Segoe UI"/>
          <w:iCs/>
          <w:szCs w:val="20"/>
          <w:lang w:val="en-GB" w:eastAsia="en-AU"/>
        </w:rPr>
        <w:t>[my GP]</w:t>
      </w:r>
      <w:r w:rsidRPr="007B6DF7">
        <w:rPr>
          <w:rFonts w:eastAsia="Times New Roman" w:cs="Segoe UI"/>
          <w:i/>
          <w:iCs/>
          <w:szCs w:val="20"/>
          <w:lang w:val="en-GB" w:eastAsia="en-AU"/>
        </w:rPr>
        <w:t>…mentioned it and then explained what it was about and she said</w:t>
      </w:r>
      <w:r w:rsidRPr="009B75E1">
        <w:rPr>
          <w:rFonts w:eastAsia="Times New Roman" w:cs="Segoe UI"/>
          <w:iCs/>
          <w:szCs w:val="20"/>
          <w:lang w:val="en-GB" w:eastAsia="en-AU"/>
        </w:rPr>
        <w:t>…[we are]</w:t>
      </w:r>
      <w:r w:rsidRPr="007B6DF7">
        <w:rPr>
          <w:rFonts w:eastAsia="Times New Roman" w:cs="Segoe UI"/>
          <w:i/>
          <w:iCs/>
          <w:szCs w:val="20"/>
          <w:lang w:val="en-GB" w:eastAsia="en-AU"/>
        </w:rPr>
        <w:t xml:space="preserve"> initially selecting you because you’ve…got a chronic problem…she wanted to see how the </w:t>
      </w:r>
      <w:r>
        <w:rPr>
          <w:rFonts w:eastAsia="Times New Roman" w:cs="Segoe UI"/>
          <w:i/>
          <w:iCs/>
          <w:szCs w:val="20"/>
          <w:lang w:val="en-GB" w:eastAsia="en-AU"/>
        </w:rPr>
        <w:t>program</w:t>
      </w:r>
      <w:r w:rsidRPr="007B6DF7">
        <w:rPr>
          <w:rFonts w:eastAsia="Times New Roman" w:cs="Segoe UI"/>
          <w:i/>
          <w:iCs/>
          <w:szCs w:val="20"/>
          <w:lang w:val="en-GB" w:eastAsia="en-AU"/>
        </w:rPr>
        <w:t xml:space="preserve"> went…” </w:t>
      </w:r>
      <w:r w:rsidRPr="007B6DF7">
        <w:rPr>
          <w:rFonts w:eastAsia="Times New Roman" w:cs="Segoe UI"/>
          <w:szCs w:val="20"/>
          <w:lang w:val="en-GB" w:eastAsia="en-AU"/>
        </w:rPr>
        <w:t>[Patient 3, Practice 5</w:t>
      </w:r>
      <w:r>
        <w:rPr>
          <w:rFonts w:eastAsia="Times New Roman" w:cs="Segoe UI"/>
          <w:szCs w:val="20"/>
          <w:lang w:val="en-GB" w:eastAsia="en-AU"/>
        </w:rPr>
        <w:t>, interview, R2]</w:t>
      </w:r>
      <w:r w:rsidRPr="007B6DF7">
        <w:rPr>
          <w:rFonts w:eastAsia="Times New Roman"/>
          <w:szCs w:val="20"/>
          <w:lang w:eastAsia="en-AU"/>
        </w:rPr>
        <w:t> </w:t>
      </w:r>
    </w:p>
    <w:p w14:paraId="0F09DB04"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w:t>
      </w:r>
      <w:r w:rsidRPr="00721857">
        <w:rPr>
          <w:rFonts w:eastAsia="Times New Roman" w:cs="Segoe UI"/>
          <w:iCs/>
          <w:szCs w:val="20"/>
          <w:lang w:val="en-GB" w:eastAsia="en-AU"/>
        </w:rPr>
        <w:t>[The GP]</w:t>
      </w:r>
      <w:r w:rsidRPr="007B6DF7">
        <w:rPr>
          <w:rFonts w:eastAsia="Times New Roman" w:cs="Segoe UI"/>
          <w:i/>
          <w:iCs/>
          <w:szCs w:val="20"/>
          <w:lang w:val="en-GB" w:eastAsia="en-AU"/>
        </w:rPr>
        <w:t xml:space="preserve"> suggested it was a good idea, so we said, fine. She knows us better than the other doctors down there…”</w:t>
      </w:r>
      <w:r w:rsidRPr="007B6DF7">
        <w:rPr>
          <w:rFonts w:eastAsia="Times New Roman" w:cs="Segoe UI"/>
          <w:szCs w:val="20"/>
          <w:lang w:val="en-GB" w:eastAsia="en-AU"/>
        </w:rPr>
        <w:t> [Patient 1, Practice 16</w:t>
      </w:r>
      <w:r>
        <w:rPr>
          <w:rFonts w:eastAsia="Times New Roman" w:cs="Segoe UI"/>
          <w:szCs w:val="20"/>
          <w:lang w:val="en-GB" w:eastAsia="en-AU"/>
        </w:rPr>
        <w:t>, interview, R2]</w:t>
      </w:r>
      <w:r w:rsidRPr="007B6DF7">
        <w:rPr>
          <w:rFonts w:eastAsia="Times New Roman"/>
          <w:szCs w:val="20"/>
          <w:lang w:eastAsia="en-AU"/>
        </w:rPr>
        <w:t> </w:t>
      </w:r>
    </w:p>
    <w:p w14:paraId="0823DE08"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“I was asked to consider joining up and having read through the documentation I thought I’d have a word to </w:t>
      </w:r>
      <w:r w:rsidRPr="00F02D29">
        <w:rPr>
          <w:rFonts w:eastAsia="Times New Roman" w:cs="Segoe UI"/>
          <w:iCs/>
          <w:szCs w:val="20"/>
          <w:lang w:eastAsia="en-AU"/>
        </w:rPr>
        <w:t>[my GP]</w:t>
      </w:r>
      <w:r w:rsidRPr="007B6DF7">
        <w:rPr>
          <w:rFonts w:eastAsia="Times New Roman" w:cs="Segoe UI"/>
          <w:i/>
          <w:iCs/>
          <w:szCs w:val="20"/>
          <w:lang w:eastAsia="en-AU"/>
        </w:rPr>
        <w:t xml:space="preserve"> about it. He recommended I joined up. So, I joined up.”</w:t>
      </w:r>
      <w:r w:rsidRPr="007B6DF7">
        <w:rPr>
          <w:rFonts w:eastAsia="Times New Roman" w:cs="Segoe UI"/>
          <w:szCs w:val="20"/>
          <w:lang w:eastAsia="en-AU"/>
        </w:rPr>
        <w:t> [Patient 1, Practice 10</w:t>
      </w:r>
      <w:r>
        <w:rPr>
          <w:rFonts w:eastAsia="Times New Roman" w:cs="Segoe UI"/>
          <w:szCs w:val="20"/>
          <w:lang w:eastAsia="en-AU"/>
        </w:rPr>
        <w:t>, interview, R2]</w:t>
      </w:r>
      <w:r w:rsidRPr="007B6DF7">
        <w:rPr>
          <w:rFonts w:eastAsia="Times New Roman"/>
          <w:szCs w:val="20"/>
          <w:lang w:eastAsia="en-AU"/>
        </w:rPr>
        <w:t> </w:t>
      </w:r>
    </w:p>
    <w:p w14:paraId="63098783" w14:textId="77777777" w:rsidR="001C19F3" w:rsidRDefault="001C19F3" w:rsidP="001C19F3">
      <w:pPr>
        <w:textAlignment w:val="baseline"/>
        <w:rPr>
          <w:rFonts w:eastAsia="Times New Roman" w:cs="Segoe UI"/>
          <w:szCs w:val="20"/>
          <w:lang w:eastAsia="en-AU"/>
        </w:rPr>
      </w:pPr>
      <w:r w:rsidRPr="007B6DF7">
        <w:rPr>
          <w:rFonts w:eastAsia="Times New Roman" w:cs="Segoe UI"/>
          <w:szCs w:val="20"/>
          <w:lang w:eastAsia="en-AU"/>
        </w:rPr>
        <w:t xml:space="preserve">Though many patients reported that their GP had an introductory discussion about the HCH, there were patients who said a practice nurse </w:t>
      </w:r>
      <w:r>
        <w:rPr>
          <w:rFonts w:eastAsia="Times New Roman" w:cs="Segoe UI"/>
          <w:szCs w:val="20"/>
          <w:lang w:eastAsia="en-AU"/>
        </w:rPr>
        <w:t>mostly explained it</w:t>
      </w:r>
      <w:r w:rsidRPr="007B6DF7">
        <w:rPr>
          <w:rFonts w:eastAsia="Times New Roman" w:cs="Segoe UI"/>
          <w:szCs w:val="20"/>
          <w:lang w:eastAsia="en-AU"/>
        </w:rPr>
        <w:t>:</w:t>
      </w:r>
    </w:p>
    <w:p w14:paraId="7FA085AD"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“Yes, </w:t>
      </w:r>
      <w:r w:rsidRPr="00F02D29">
        <w:rPr>
          <w:rFonts w:eastAsia="Times New Roman" w:cs="Segoe UI"/>
          <w:iCs/>
          <w:szCs w:val="20"/>
          <w:lang w:eastAsia="en-AU"/>
        </w:rPr>
        <w:t>[the nurse]</w:t>
      </w:r>
      <w:r w:rsidRPr="007B6DF7">
        <w:rPr>
          <w:rFonts w:eastAsia="Times New Roman" w:cs="Segoe UI"/>
          <w:i/>
          <w:iCs/>
          <w:szCs w:val="20"/>
          <w:lang w:eastAsia="en-AU"/>
        </w:rPr>
        <w:t xml:space="preserve"> I think done most of the explanation for </w:t>
      </w:r>
      <w:r w:rsidRPr="003928F7">
        <w:rPr>
          <w:rFonts w:eastAsia="Times New Roman" w:cs="Segoe UI"/>
          <w:iCs/>
          <w:szCs w:val="20"/>
          <w:lang w:eastAsia="en-AU"/>
        </w:rPr>
        <w:t>[Patient 1]</w:t>
      </w:r>
      <w:r w:rsidRPr="007B6DF7">
        <w:rPr>
          <w:rFonts w:eastAsia="Times New Roman" w:cs="Segoe UI"/>
          <w:i/>
          <w:iCs/>
          <w:szCs w:val="20"/>
          <w:lang w:eastAsia="en-AU"/>
        </w:rPr>
        <w:t xml:space="preserve">, but </w:t>
      </w:r>
      <w:r w:rsidRPr="003928F7">
        <w:rPr>
          <w:rFonts w:eastAsia="Times New Roman" w:cs="Segoe UI"/>
          <w:iCs/>
          <w:szCs w:val="20"/>
          <w:lang w:eastAsia="en-AU"/>
        </w:rPr>
        <w:t>[the GP]</w:t>
      </w:r>
      <w:r w:rsidRPr="007B6DF7">
        <w:rPr>
          <w:rFonts w:eastAsia="Times New Roman" w:cs="Segoe UI"/>
          <w:i/>
          <w:iCs/>
          <w:szCs w:val="20"/>
          <w:lang w:eastAsia="en-AU"/>
        </w:rPr>
        <w:t xml:space="preserve"> told us about it a bit.”</w:t>
      </w:r>
      <w:r w:rsidRPr="007B6DF7">
        <w:rPr>
          <w:rFonts w:eastAsia="Times New Roman" w:cs="Segoe UI"/>
          <w:szCs w:val="20"/>
          <w:lang w:eastAsia="en-AU"/>
        </w:rPr>
        <w:t> [Carer, Practice 10</w:t>
      </w:r>
      <w:r>
        <w:rPr>
          <w:rFonts w:eastAsia="Times New Roman" w:cs="Segoe UI"/>
          <w:szCs w:val="20"/>
          <w:lang w:eastAsia="en-AU"/>
        </w:rPr>
        <w:t>, interview, R2]</w:t>
      </w:r>
      <w:r w:rsidRPr="007B6DF7">
        <w:rPr>
          <w:rFonts w:eastAsia="Times New Roman"/>
          <w:szCs w:val="20"/>
          <w:lang w:eastAsia="en-AU"/>
        </w:rPr>
        <w:t> </w:t>
      </w:r>
    </w:p>
    <w:p w14:paraId="4C353CED" w14:textId="77777777" w:rsidR="001C19F3" w:rsidRPr="007B6DF7" w:rsidRDefault="001C19F3" w:rsidP="001C19F3">
      <w:pPr>
        <w:textAlignment w:val="baseline"/>
        <w:rPr>
          <w:rFonts w:eastAsia="Times New Roman"/>
          <w:szCs w:val="20"/>
          <w:lang w:eastAsia="en-AU"/>
        </w:rPr>
      </w:pPr>
      <w:bookmarkStart w:id="357" w:name="_Hlk21013206"/>
      <w:r>
        <w:rPr>
          <w:rFonts w:eastAsia="Times New Roman" w:cs="Segoe UI"/>
          <w:szCs w:val="20"/>
          <w:lang w:eastAsia="en-AU"/>
        </w:rPr>
        <w:t>T</w:t>
      </w:r>
      <w:r w:rsidRPr="007B6DF7">
        <w:rPr>
          <w:rFonts w:eastAsia="Times New Roman" w:cs="Segoe UI"/>
          <w:szCs w:val="20"/>
          <w:lang w:eastAsia="en-AU"/>
        </w:rPr>
        <w:t xml:space="preserve">o recruit multiple </w:t>
      </w:r>
      <w:r>
        <w:rPr>
          <w:rFonts w:eastAsia="Times New Roman" w:cs="Segoe UI"/>
          <w:szCs w:val="20"/>
          <w:lang w:eastAsia="en-AU"/>
        </w:rPr>
        <w:t>patients</w:t>
      </w:r>
      <w:r w:rsidRPr="007B6DF7">
        <w:rPr>
          <w:rFonts w:eastAsia="Times New Roman" w:cs="Segoe UI"/>
          <w:szCs w:val="20"/>
          <w:lang w:eastAsia="en-AU"/>
        </w:rPr>
        <w:t xml:space="preserve"> to HCH and </w:t>
      </w:r>
      <w:r>
        <w:rPr>
          <w:rFonts w:eastAsia="Times New Roman" w:cs="Segoe UI"/>
          <w:szCs w:val="20"/>
          <w:lang w:eastAsia="en-AU"/>
        </w:rPr>
        <w:t>use</w:t>
      </w:r>
      <w:r w:rsidRPr="007B6DF7">
        <w:rPr>
          <w:rFonts w:eastAsia="Times New Roman" w:cs="Segoe UI"/>
          <w:szCs w:val="20"/>
          <w:lang w:eastAsia="en-AU"/>
        </w:rPr>
        <w:t xml:space="preserve"> time effectively, some practices organised an information forum. </w:t>
      </w:r>
      <w:bookmarkEnd w:id="357"/>
      <w:r w:rsidRPr="007B6DF7">
        <w:rPr>
          <w:rFonts w:eastAsia="Times New Roman" w:cs="Segoe UI"/>
          <w:szCs w:val="20"/>
          <w:lang w:eastAsia="en-AU"/>
        </w:rPr>
        <w:t xml:space="preserve">Patients’ experience of the forum approach seemed to be dependent on individual preference. Some reported enjoying the experience, but others </w:t>
      </w:r>
      <w:bookmarkStart w:id="358" w:name="_Hlk21013266"/>
      <w:r w:rsidRPr="007B6DF7">
        <w:rPr>
          <w:rFonts w:eastAsia="Times New Roman" w:cs="Segoe UI"/>
          <w:szCs w:val="20"/>
          <w:lang w:eastAsia="en-AU"/>
        </w:rPr>
        <w:t>reported difficulties in understanding the program or hearing the speakers:</w:t>
      </w:r>
    </w:p>
    <w:bookmarkEnd w:id="358"/>
    <w:p w14:paraId="316F2C56"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w:t>
      </w:r>
      <w:r w:rsidRPr="007B6DF7">
        <w:rPr>
          <w:rFonts w:eastAsia="Times New Roman" w:cs="Segoe UI"/>
          <w:iCs/>
          <w:szCs w:val="20"/>
          <w:lang w:val="en-GB" w:eastAsia="en-AU"/>
        </w:rPr>
        <w:t>[The community event]</w:t>
      </w:r>
      <w:r w:rsidRPr="007B6DF7">
        <w:rPr>
          <w:rFonts w:eastAsia="Times New Roman" w:cs="Segoe UI"/>
          <w:i/>
          <w:iCs/>
          <w:szCs w:val="20"/>
          <w:lang w:val="en-GB" w:eastAsia="en-AU"/>
        </w:rPr>
        <w:t xml:space="preserve"> was ever so interesting, because there were quite a few people there, and we were listening to each other…There were 70 people there, I think. </w:t>
      </w:r>
      <w:r w:rsidRPr="007B6DF7">
        <w:rPr>
          <w:rFonts w:eastAsia="Times New Roman" w:cs="Segoe UI"/>
          <w:szCs w:val="20"/>
          <w:lang w:val="en-GB" w:eastAsia="en-AU"/>
        </w:rPr>
        <w:t>[Patient 3, Practice 16</w:t>
      </w:r>
      <w:r>
        <w:rPr>
          <w:rFonts w:eastAsia="Times New Roman" w:cs="Segoe UI"/>
          <w:szCs w:val="20"/>
          <w:lang w:val="en-GB" w:eastAsia="en-AU"/>
        </w:rPr>
        <w:t>, interview, R2]</w:t>
      </w:r>
      <w:r w:rsidRPr="007B6DF7">
        <w:rPr>
          <w:rFonts w:eastAsia="Times New Roman"/>
          <w:szCs w:val="20"/>
          <w:lang w:eastAsia="en-AU"/>
        </w:rPr>
        <w:t> </w:t>
      </w:r>
    </w:p>
    <w:p w14:paraId="1104A9B9"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w:t>
      </w:r>
      <w:r w:rsidRPr="007B6DF7">
        <w:rPr>
          <w:rFonts w:eastAsia="Times New Roman" w:cs="Segoe UI"/>
          <w:iCs/>
          <w:szCs w:val="20"/>
          <w:lang w:val="en-GB" w:eastAsia="en-AU"/>
        </w:rPr>
        <w:t xml:space="preserve">[The forum] </w:t>
      </w:r>
      <w:r w:rsidRPr="007B6DF7">
        <w:rPr>
          <w:rFonts w:eastAsia="Times New Roman" w:cs="Segoe UI"/>
          <w:i/>
          <w:iCs/>
          <w:szCs w:val="20"/>
          <w:lang w:val="en-GB" w:eastAsia="en-AU"/>
        </w:rPr>
        <w:t>was alright but the people were more concerned about the electronic medical records.” </w:t>
      </w:r>
      <w:r w:rsidRPr="007B6DF7">
        <w:rPr>
          <w:rFonts w:eastAsia="Times New Roman" w:cs="Segoe UI"/>
          <w:szCs w:val="20"/>
          <w:lang w:val="en-GB" w:eastAsia="en-AU"/>
        </w:rPr>
        <w:t>[Patient 5, Practice 4</w:t>
      </w:r>
      <w:r>
        <w:rPr>
          <w:rFonts w:eastAsia="Times New Roman" w:cs="Segoe UI"/>
          <w:szCs w:val="20"/>
          <w:lang w:val="en-GB" w:eastAsia="en-AU"/>
        </w:rPr>
        <w:t>, interview, R2]</w:t>
      </w:r>
      <w:r w:rsidRPr="007B6DF7">
        <w:rPr>
          <w:rFonts w:eastAsia="Times New Roman"/>
          <w:szCs w:val="20"/>
          <w:lang w:eastAsia="en-AU"/>
        </w:rPr>
        <w:t> </w:t>
      </w:r>
    </w:p>
    <w:p w14:paraId="7AEFE6CF" w14:textId="77777777" w:rsidR="001C19F3" w:rsidRPr="007B6DF7" w:rsidRDefault="001C19F3" w:rsidP="001C19F3">
      <w:pPr>
        <w:ind w:left="567" w:right="1088"/>
        <w:rPr>
          <w:rFonts w:ascii="Segoe UI" w:eastAsia="Times New Roman" w:hAnsi="Segoe UI" w:cs="Segoe UI"/>
          <w:sz w:val="18"/>
          <w:szCs w:val="18"/>
          <w:lang w:eastAsia="en-AU"/>
        </w:rPr>
      </w:pPr>
      <w:r w:rsidRPr="007B6DF7">
        <w:rPr>
          <w:rFonts w:eastAsia="Times New Roman" w:cs="Segoe UI"/>
          <w:i/>
          <w:iCs/>
          <w:szCs w:val="20"/>
          <w:lang w:val="en-GB" w:eastAsia="en-AU"/>
        </w:rPr>
        <w:lastRenderedPageBreak/>
        <w:t>“Yes, we attended the forum. But as I said, because it was so packed that day...And I found I really had to try and pick up a lot of…what they were saying. I mean I got the gist of the thing, but I think I would still have liked to have known a bit more.”</w:t>
      </w:r>
      <w:r w:rsidRPr="007B6DF7">
        <w:rPr>
          <w:rFonts w:eastAsia="Times New Roman" w:cs="Segoe UI"/>
          <w:szCs w:val="20"/>
          <w:lang w:val="en-GB" w:eastAsia="en-AU"/>
        </w:rPr>
        <w:t> [Carer, Practice 4</w:t>
      </w:r>
      <w:r>
        <w:rPr>
          <w:rFonts w:eastAsia="Times New Roman" w:cs="Segoe UI"/>
          <w:szCs w:val="20"/>
          <w:lang w:val="en-GB" w:eastAsia="en-AU"/>
        </w:rPr>
        <w:t>, interview, R2]</w:t>
      </w:r>
      <w:r w:rsidRPr="007B6DF7">
        <w:rPr>
          <w:rFonts w:eastAsia="Times New Roman"/>
          <w:szCs w:val="20"/>
          <w:lang w:eastAsia="en-AU"/>
        </w:rPr>
        <w:t> </w:t>
      </w:r>
    </w:p>
    <w:p w14:paraId="607693C6"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“…I’m not saying how many there was, but there were people there that could not hear.”</w:t>
      </w:r>
      <w:r w:rsidRPr="007B6DF7">
        <w:rPr>
          <w:rFonts w:eastAsia="Times New Roman" w:cs="Segoe UI"/>
          <w:szCs w:val="20"/>
          <w:lang w:val="en-GB" w:eastAsia="en-AU"/>
        </w:rPr>
        <w:t> [Patient 1, Practice 4</w:t>
      </w:r>
      <w:r>
        <w:rPr>
          <w:rFonts w:eastAsia="Times New Roman" w:cs="Segoe UI"/>
          <w:szCs w:val="20"/>
          <w:lang w:val="en-GB" w:eastAsia="en-AU"/>
        </w:rPr>
        <w:t>, interview, R2]</w:t>
      </w:r>
      <w:r w:rsidRPr="007B6DF7">
        <w:rPr>
          <w:rFonts w:eastAsia="Times New Roman"/>
          <w:szCs w:val="20"/>
          <w:lang w:eastAsia="en-AU"/>
        </w:rPr>
        <w:t> </w:t>
      </w:r>
    </w:p>
    <w:p w14:paraId="40100772" w14:textId="77777777" w:rsidR="001C19F3" w:rsidRPr="007B6DF7" w:rsidRDefault="001C19F3" w:rsidP="001C19F3">
      <w:pPr>
        <w:textAlignment w:val="baseline"/>
        <w:rPr>
          <w:rFonts w:eastAsia="Times New Roman"/>
          <w:szCs w:val="20"/>
          <w:lang w:eastAsia="en-AU"/>
        </w:rPr>
      </w:pPr>
      <w:bookmarkStart w:id="359" w:name="_Hlk21013490"/>
      <w:r w:rsidRPr="007B6DF7">
        <w:rPr>
          <w:rFonts w:eastAsia="Times New Roman" w:cs="Segoe UI"/>
          <w:szCs w:val="20"/>
          <w:lang w:eastAsia="en-AU"/>
        </w:rPr>
        <w:t>Regardless of the recruitment methods, some patients reported that they had trouble understanding the program objectives and how it would work. This often reflected confusion amongst the practice staff explaining the program</w:t>
      </w:r>
      <w:bookmarkEnd w:id="359"/>
      <w:r w:rsidRPr="007B6DF7">
        <w:rPr>
          <w:rFonts w:eastAsia="Times New Roman" w:cs="Segoe UI"/>
          <w:szCs w:val="20"/>
          <w:lang w:eastAsia="en-AU"/>
        </w:rPr>
        <w:t>:</w:t>
      </w:r>
      <w:r w:rsidRPr="007B6DF7">
        <w:rPr>
          <w:rFonts w:eastAsia="Times New Roman"/>
          <w:szCs w:val="20"/>
          <w:lang w:eastAsia="en-AU"/>
        </w:rPr>
        <w:t> </w:t>
      </w:r>
    </w:p>
    <w:p w14:paraId="41FA6533"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“I did find it quite hard to get my head round I don’t know quite why…I know I was given information to read afterwards…but a simple crib sheet or something just with the main points on would be... because it’s quite wordy that document that comes out.”</w:t>
      </w:r>
      <w:r w:rsidRPr="007B6DF7">
        <w:rPr>
          <w:rFonts w:eastAsia="Times New Roman" w:cs="Segoe UI"/>
          <w:szCs w:val="20"/>
          <w:lang w:eastAsia="en-AU"/>
        </w:rPr>
        <w:t> [Patient 2, Practice 5</w:t>
      </w:r>
      <w:r>
        <w:rPr>
          <w:rFonts w:eastAsia="Times New Roman" w:cs="Segoe UI"/>
          <w:szCs w:val="20"/>
          <w:lang w:eastAsia="en-AU"/>
        </w:rPr>
        <w:t>, interview, R2]</w:t>
      </w:r>
      <w:r w:rsidRPr="007B6DF7">
        <w:rPr>
          <w:rFonts w:eastAsia="Times New Roman"/>
          <w:szCs w:val="20"/>
          <w:lang w:eastAsia="en-AU"/>
        </w:rPr>
        <w:t> </w:t>
      </w:r>
    </w:p>
    <w:p w14:paraId="3E0925A0"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“Well, at the time I don't think the practice knew much about it and what it was about. I'm quite sure they didn't actually…Nothing tells me that any of it has changed.”</w:t>
      </w:r>
      <w:r>
        <w:rPr>
          <w:rFonts w:eastAsia="Times New Roman" w:cs="Segoe UI"/>
          <w:i/>
          <w:iCs/>
          <w:szCs w:val="20"/>
          <w:lang w:val="en-GB" w:eastAsia="en-AU"/>
        </w:rPr>
        <w:t xml:space="preserve"> </w:t>
      </w:r>
      <w:r w:rsidRPr="007B6DF7">
        <w:rPr>
          <w:rFonts w:eastAsia="Times New Roman" w:cs="Segoe UI"/>
          <w:szCs w:val="20"/>
          <w:lang w:val="en-GB" w:eastAsia="en-AU"/>
        </w:rPr>
        <w:t>[Patient 1, Practice 8</w:t>
      </w:r>
      <w:r>
        <w:rPr>
          <w:rFonts w:eastAsia="Times New Roman" w:cs="Segoe UI"/>
          <w:szCs w:val="20"/>
          <w:lang w:val="en-GB" w:eastAsia="en-AU"/>
        </w:rPr>
        <w:t>, interview, R2]</w:t>
      </w:r>
      <w:r w:rsidRPr="007B6DF7">
        <w:rPr>
          <w:rFonts w:eastAsia="Times New Roman"/>
          <w:szCs w:val="20"/>
          <w:lang w:eastAsia="en-AU"/>
        </w:rPr>
        <w:t> </w:t>
      </w:r>
    </w:p>
    <w:p w14:paraId="7FF54BA1"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val="en-GB" w:eastAsia="en-AU"/>
        </w:rPr>
        <w:t xml:space="preserve">The GP-patient relationship seemed paramount in ‘selling’ the program to patients. </w:t>
      </w:r>
      <w:r>
        <w:rPr>
          <w:rFonts w:eastAsia="Times New Roman" w:cs="Segoe UI"/>
          <w:szCs w:val="20"/>
          <w:lang w:val="en-GB" w:eastAsia="en-AU"/>
        </w:rPr>
        <w:t>T</w:t>
      </w:r>
      <w:r w:rsidRPr="007B6DF7">
        <w:rPr>
          <w:rFonts w:eastAsia="Times New Roman" w:cs="Segoe UI"/>
          <w:szCs w:val="20"/>
          <w:lang w:val="en-GB" w:eastAsia="en-AU"/>
        </w:rPr>
        <w:t xml:space="preserve">rust and confidence in the judgement of their GP and practice persuaded many patients to join HCH. </w:t>
      </w:r>
      <w:r>
        <w:rPr>
          <w:rFonts w:eastAsia="Times New Roman" w:cs="Segoe UI"/>
          <w:szCs w:val="20"/>
          <w:lang w:val="en-GB" w:eastAsia="en-AU"/>
        </w:rPr>
        <w:t>They</w:t>
      </w:r>
      <w:r w:rsidRPr="007B6DF7">
        <w:rPr>
          <w:rFonts w:eastAsia="Times New Roman" w:cs="Segoe UI"/>
          <w:szCs w:val="20"/>
          <w:lang w:val="en-GB" w:eastAsia="en-AU"/>
        </w:rPr>
        <w:t xml:space="preserve"> stated that GPs and staff members described various reasons why they should participate in the program</w:t>
      </w:r>
      <w:r>
        <w:rPr>
          <w:rFonts w:eastAsia="Times New Roman" w:cs="Segoe UI"/>
          <w:szCs w:val="20"/>
          <w:lang w:val="en-GB" w:eastAsia="en-AU"/>
        </w:rPr>
        <w:t>, including</w:t>
      </w:r>
      <w:r w:rsidRPr="007B6DF7">
        <w:rPr>
          <w:rFonts w:eastAsia="Times New Roman" w:cs="Segoe UI"/>
          <w:szCs w:val="20"/>
          <w:lang w:val="en-GB" w:eastAsia="en-AU"/>
        </w:rPr>
        <w:t>:</w:t>
      </w:r>
      <w:r w:rsidRPr="007B6DF7">
        <w:rPr>
          <w:rFonts w:eastAsia="Times New Roman"/>
          <w:szCs w:val="20"/>
          <w:lang w:eastAsia="en-AU"/>
        </w:rPr>
        <w:t> </w:t>
      </w:r>
    </w:p>
    <w:p w14:paraId="00635DE6" w14:textId="77777777" w:rsidR="001C19F3" w:rsidRPr="007B6DF7" w:rsidRDefault="001C19F3" w:rsidP="001C19F3">
      <w:pPr>
        <w:spacing w:after="0"/>
        <w:jc w:val="center"/>
        <w:rPr>
          <w:b/>
        </w:rPr>
      </w:pPr>
      <w:r w:rsidRPr="007B6DF7">
        <w:rPr>
          <w:b/>
        </w:rPr>
        <w:t xml:space="preserve">Table </w:t>
      </w:r>
      <w:r w:rsidRPr="007B6DF7">
        <w:rPr>
          <w:b/>
        </w:rPr>
        <w:fldChar w:fldCharType="begin"/>
      </w:r>
      <w:r w:rsidRPr="007B6DF7">
        <w:rPr>
          <w:b/>
        </w:rPr>
        <w:instrText>SEQ Table \* ARABIC</w:instrText>
      </w:r>
      <w:r w:rsidRPr="007B6DF7">
        <w:rPr>
          <w:b/>
        </w:rPr>
        <w:fldChar w:fldCharType="separate"/>
      </w:r>
      <w:r>
        <w:rPr>
          <w:b/>
          <w:noProof/>
        </w:rPr>
        <w:t>53</w:t>
      </w:r>
      <w:r w:rsidRPr="007B6DF7">
        <w:rPr>
          <w:b/>
        </w:rPr>
        <w:fldChar w:fldCharType="end"/>
      </w:r>
      <w:r w:rsidRPr="007B6DF7">
        <w:rPr>
          <w:b/>
        </w:rPr>
        <w:t xml:space="preserve"> – Patient motivations </w:t>
      </w:r>
      <w:r>
        <w:rPr>
          <w:b/>
        </w:rPr>
        <w:t>for</w:t>
      </w:r>
      <w:r w:rsidRPr="007B6DF7">
        <w:rPr>
          <w:b/>
        </w:rPr>
        <w:t xml:space="preserve"> join</w:t>
      </w:r>
      <w:r>
        <w:rPr>
          <w:b/>
        </w:rPr>
        <w:t>ing</w:t>
      </w:r>
      <w:r w:rsidRPr="007B6DF7">
        <w:rPr>
          <w:b/>
        </w:rPr>
        <w:t xml:space="preserve"> HCH</w:t>
      </w:r>
    </w:p>
    <w:tbl>
      <w:tblPr>
        <w:tblStyle w:val="TableGrid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6894"/>
      </w:tblGrid>
      <w:tr w:rsidR="001C19F3" w:rsidRPr="007B6DF7" w14:paraId="44E25578" w14:textId="77777777" w:rsidTr="00521305">
        <w:tc>
          <w:tcPr>
            <w:tcW w:w="2122" w:type="dxa"/>
            <w:shd w:val="clear" w:color="auto" w:fill="003D79"/>
          </w:tcPr>
          <w:p w14:paraId="7F15DE26" w14:textId="77777777" w:rsidR="001C19F3" w:rsidRPr="007B6DF7" w:rsidRDefault="001C19F3" w:rsidP="00521305">
            <w:pPr>
              <w:spacing w:after="0"/>
              <w:jc w:val="center"/>
              <w:textAlignment w:val="baseline"/>
              <w:rPr>
                <w:rFonts w:eastAsia="Times New Roman"/>
                <w:b/>
                <w:color w:val="FFFFFF" w:themeColor="background1"/>
                <w:sz w:val="18"/>
                <w:szCs w:val="18"/>
                <w:lang w:eastAsia="en-AU"/>
              </w:rPr>
            </w:pPr>
            <w:r w:rsidRPr="007B6DF7">
              <w:rPr>
                <w:rFonts w:eastAsia="Times New Roman"/>
                <w:b/>
                <w:color w:val="FFFFFF" w:themeColor="background1"/>
                <w:sz w:val="18"/>
                <w:szCs w:val="18"/>
                <w:lang w:eastAsia="en-AU"/>
              </w:rPr>
              <w:t>Feature of HCH</w:t>
            </w:r>
          </w:p>
        </w:tc>
        <w:tc>
          <w:tcPr>
            <w:tcW w:w="6894" w:type="dxa"/>
            <w:shd w:val="clear" w:color="auto" w:fill="003D79"/>
          </w:tcPr>
          <w:p w14:paraId="04F84E59" w14:textId="77777777" w:rsidR="001C19F3" w:rsidRPr="007B6DF7" w:rsidRDefault="001C19F3" w:rsidP="00521305">
            <w:pPr>
              <w:spacing w:after="0"/>
              <w:jc w:val="center"/>
              <w:textAlignment w:val="baseline"/>
              <w:rPr>
                <w:rFonts w:eastAsia="Times New Roman"/>
                <w:b/>
                <w:color w:val="FFFFFF" w:themeColor="background1"/>
                <w:sz w:val="18"/>
                <w:szCs w:val="18"/>
                <w:lang w:eastAsia="en-AU"/>
              </w:rPr>
            </w:pPr>
            <w:r w:rsidRPr="007B6DF7">
              <w:rPr>
                <w:rFonts w:eastAsia="Times New Roman"/>
                <w:b/>
                <w:color w:val="FFFFFF" w:themeColor="background1"/>
                <w:sz w:val="18"/>
                <w:szCs w:val="18"/>
                <w:lang w:eastAsia="en-AU"/>
              </w:rPr>
              <w:t>What patients reported attracted them to join the program</w:t>
            </w:r>
          </w:p>
        </w:tc>
      </w:tr>
      <w:tr w:rsidR="001C19F3" w:rsidRPr="007B6DF7" w14:paraId="07DC9AA2" w14:textId="77777777" w:rsidTr="00521305">
        <w:tc>
          <w:tcPr>
            <w:tcW w:w="2122" w:type="dxa"/>
          </w:tcPr>
          <w:p w14:paraId="39F5ABB8"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Alternative ways of accessing services</w:t>
            </w:r>
          </w:p>
        </w:tc>
        <w:tc>
          <w:tcPr>
            <w:tcW w:w="6894" w:type="dxa"/>
          </w:tcPr>
          <w:p w14:paraId="20C9847E" w14:textId="77777777" w:rsidR="001C19F3" w:rsidRPr="007B6DF7" w:rsidRDefault="001C19F3" w:rsidP="001C19F3">
            <w:pPr>
              <w:numPr>
                <w:ilvl w:val="0"/>
                <w:numId w:val="60"/>
              </w:numPr>
              <w:spacing w:after="0"/>
              <w:ind w:left="322" w:hanging="283"/>
              <w:textAlignment w:val="baseline"/>
              <w:rPr>
                <w:rFonts w:ascii="Calibri" w:eastAsia="Times New Roman" w:hAnsi="Calibri" w:cs="Segoe UI"/>
                <w:sz w:val="18"/>
                <w:szCs w:val="18"/>
                <w:lang w:eastAsia="en-AU"/>
              </w:rPr>
            </w:pPr>
            <w:r w:rsidRPr="007B6DF7">
              <w:rPr>
                <w:rFonts w:eastAsia="Times New Roman" w:cs="Segoe UI"/>
                <w:sz w:val="18"/>
                <w:szCs w:val="18"/>
                <w:lang w:eastAsia="en-AU"/>
              </w:rPr>
              <w:t>Better access to practice via telephone and email</w:t>
            </w:r>
            <w:r>
              <w:rPr>
                <w:rFonts w:eastAsia="Times New Roman"/>
                <w:sz w:val="18"/>
                <w:szCs w:val="18"/>
                <w:lang w:eastAsia="en-AU"/>
              </w:rPr>
              <w:t>.</w:t>
            </w:r>
          </w:p>
          <w:p w14:paraId="6DEC96A9" w14:textId="77777777" w:rsidR="001C19F3" w:rsidRPr="007B6DF7" w:rsidRDefault="001C19F3" w:rsidP="001C19F3">
            <w:pPr>
              <w:numPr>
                <w:ilvl w:val="0"/>
                <w:numId w:val="60"/>
              </w:numPr>
              <w:spacing w:after="0"/>
              <w:ind w:left="324" w:hanging="284"/>
              <w:textAlignment w:val="baseline"/>
              <w:rPr>
                <w:rFonts w:ascii="Calibri" w:eastAsia="Times New Roman" w:hAnsi="Calibri" w:cs="Segoe UI"/>
                <w:sz w:val="18"/>
                <w:szCs w:val="18"/>
                <w:lang w:eastAsia="en-AU"/>
              </w:rPr>
            </w:pPr>
            <w:r w:rsidRPr="007B6DF7">
              <w:rPr>
                <w:rFonts w:eastAsia="Times New Roman" w:cs="Segoe UI"/>
                <w:sz w:val="18"/>
                <w:szCs w:val="18"/>
                <w:lang w:eastAsia="en-AU"/>
              </w:rPr>
              <w:t>Regular contact with the patient via telephone to better monitor their conditions</w:t>
            </w:r>
            <w:r>
              <w:rPr>
                <w:rFonts w:eastAsia="Times New Roman"/>
                <w:sz w:val="18"/>
                <w:szCs w:val="18"/>
                <w:lang w:eastAsia="en-AU"/>
              </w:rPr>
              <w:t>.</w:t>
            </w:r>
          </w:p>
          <w:p w14:paraId="285CB6C6" w14:textId="77777777" w:rsidR="001C19F3" w:rsidRPr="007B6DF7" w:rsidRDefault="001C19F3" w:rsidP="001C19F3">
            <w:pPr>
              <w:numPr>
                <w:ilvl w:val="0"/>
                <w:numId w:val="60"/>
              </w:numPr>
              <w:spacing w:after="0"/>
              <w:ind w:left="322" w:hanging="283"/>
              <w:textAlignment w:val="baseline"/>
              <w:rPr>
                <w:rFonts w:ascii="Calibri" w:eastAsia="Times New Roman" w:hAnsi="Calibri" w:cs="Segoe UI"/>
                <w:sz w:val="18"/>
                <w:szCs w:val="18"/>
                <w:lang w:eastAsia="en-AU"/>
              </w:rPr>
            </w:pPr>
            <w:r w:rsidRPr="007B6DF7">
              <w:rPr>
                <w:rFonts w:eastAsia="Times New Roman" w:cs="Segoe UI"/>
                <w:sz w:val="18"/>
                <w:szCs w:val="18"/>
                <w:lang w:eastAsia="en-AU"/>
              </w:rPr>
              <w:t>The ability to request prescriptions over the phone without visiting the doctor</w:t>
            </w:r>
            <w:r w:rsidRPr="007B6DF7">
              <w:rPr>
                <w:rFonts w:eastAsia="Times New Roman"/>
                <w:sz w:val="18"/>
                <w:szCs w:val="18"/>
                <w:lang w:eastAsia="en-AU"/>
              </w:rPr>
              <w:t> </w:t>
            </w:r>
            <w:r>
              <w:rPr>
                <w:rFonts w:eastAsia="Times New Roman"/>
                <w:sz w:val="18"/>
                <w:szCs w:val="18"/>
                <w:lang w:eastAsia="en-AU"/>
              </w:rPr>
              <w:t>face-to-face</w:t>
            </w:r>
          </w:p>
        </w:tc>
      </w:tr>
      <w:tr w:rsidR="001C19F3" w:rsidRPr="007B6DF7" w14:paraId="1EE49AB8" w14:textId="77777777" w:rsidTr="00521305">
        <w:tc>
          <w:tcPr>
            <w:tcW w:w="2122" w:type="dxa"/>
          </w:tcPr>
          <w:p w14:paraId="3524DE04"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Better access to a broader health team</w:t>
            </w:r>
          </w:p>
        </w:tc>
        <w:tc>
          <w:tcPr>
            <w:tcW w:w="6894" w:type="dxa"/>
          </w:tcPr>
          <w:p w14:paraId="62661CE3" w14:textId="77777777" w:rsidR="001C19F3" w:rsidRPr="007B6DF7" w:rsidRDefault="001C19F3" w:rsidP="001C19F3">
            <w:pPr>
              <w:numPr>
                <w:ilvl w:val="0"/>
                <w:numId w:val="60"/>
              </w:numPr>
              <w:spacing w:after="0"/>
              <w:ind w:left="322" w:hanging="283"/>
              <w:textAlignment w:val="baseline"/>
              <w:rPr>
                <w:rFonts w:eastAsia="Times New Roman" w:cs="Segoe UI"/>
                <w:sz w:val="18"/>
                <w:szCs w:val="18"/>
                <w:lang w:eastAsia="en-AU"/>
              </w:rPr>
            </w:pPr>
            <w:r w:rsidRPr="007B6DF7">
              <w:rPr>
                <w:rFonts w:eastAsia="Times New Roman" w:cs="Segoe UI"/>
                <w:sz w:val="18"/>
                <w:szCs w:val="18"/>
                <w:lang w:eastAsia="en-AU"/>
              </w:rPr>
              <w:t>Ability to see the nurse without seeing the doctor, which may improve access</w:t>
            </w:r>
            <w:r>
              <w:rPr>
                <w:rFonts w:eastAsia="Times New Roman" w:cs="Segoe UI"/>
                <w:sz w:val="18"/>
                <w:szCs w:val="18"/>
                <w:lang w:eastAsia="en-AU"/>
              </w:rPr>
              <w:t>.</w:t>
            </w:r>
          </w:p>
          <w:p w14:paraId="026F1DB7" w14:textId="77777777" w:rsidR="001C19F3" w:rsidRPr="007B6DF7" w:rsidRDefault="001C19F3" w:rsidP="001C19F3">
            <w:pPr>
              <w:numPr>
                <w:ilvl w:val="0"/>
                <w:numId w:val="60"/>
              </w:numPr>
              <w:spacing w:after="0"/>
              <w:ind w:left="322" w:hanging="283"/>
              <w:textAlignment w:val="baseline"/>
              <w:rPr>
                <w:rFonts w:eastAsia="Times New Roman" w:cs="Segoe UI"/>
                <w:sz w:val="18"/>
                <w:szCs w:val="18"/>
                <w:lang w:eastAsia="en-AU"/>
              </w:rPr>
            </w:pPr>
            <w:r w:rsidRPr="007B6DF7">
              <w:rPr>
                <w:rFonts w:eastAsia="Times New Roman" w:cs="Segoe UI"/>
                <w:sz w:val="18"/>
                <w:szCs w:val="18"/>
                <w:lang w:eastAsia="en-AU"/>
              </w:rPr>
              <w:t>Team based care approach to managing chronic conditions</w:t>
            </w:r>
            <w:r>
              <w:rPr>
                <w:rFonts w:eastAsia="Times New Roman" w:cs="Segoe UI"/>
                <w:sz w:val="18"/>
                <w:szCs w:val="18"/>
                <w:lang w:eastAsia="en-AU"/>
              </w:rPr>
              <w:t>.</w:t>
            </w:r>
          </w:p>
          <w:p w14:paraId="7BD3A282" w14:textId="77777777" w:rsidR="001C19F3" w:rsidRPr="007B6DF7" w:rsidRDefault="001C19F3" w:rsidP="001C19F3">
            <w:pPr>
              <w:numPr>
                <w:ilvl w:val="0"/>
                <w:numId w:val="60"/>
              </w:numPr>
              <w:spacing w:after="0"/>
              <w:ind w:left="322" w:hanging="283"/>
              <w:textAlignment w:val="baseline"/>
              <w:rPr>
                <w:rFonts w:eastAsia="Times New Roman" w:cs="Segoe UI"/>
                <w:sz w:val="18"/>
                <w:szCs w:val="18"/>
                <w:lang w:eastAsia="en-AU"/>
              </w:rPr>
            </w:pPr>
            <w:r w:rsidRPr="007B6DF7">
              <w:rPr>
                <w:rFonts w:eastAsia="Times New Roman" w:cs="Segoe UI"/>
                <w:sz w:val="18"/>
                <w:szCs w:val="18"/>
                <w:lang w:eastAsia="en-AU"/>
              </w:rPr>
              <w:t>More coordination and sharing between practice team members and providers</w:t>
            </w:r>
            <w:r>
              <w:rPr>
                <w:rFonts w:eastAsia="Times New Roman" w:cs="Segoe UI"/>
                <w:sz w:val="18"/>
                <w:szCs w:val="18"/>
                <w:lang w:eastAsia="en-AU"/>
              </w:rPr>
              <w:t>.</w:t>
            </w:r>
          </w:p>
          <w:p w14:paraId="010E5BCE" w14:textId="77777777" w:rsidR="001C19F3" w:rsidRPr="007B6DF7" w:rsidRDefault="001C19F3" w:rsidP="001C19F3">
            <w:pPr>
              <w:numPr>
                <w:ilvl w:val="0"/>
                <w:numId w:val="60"/>
              </w:numPr>
              <w:spacing w:after="0"/>
              <w:ind w:left="322" w:hanging="283"/>
              <w:textAlignment w:val="baseline"/>
              <w:rPr>
                <w:rFonts w:eastAsia="Times New Roman" w:cs="Segoe UI"/>
                <w:sz w:val="18"/>
                <w:szCs w:val="18"/>
                <w:lang w:eastAsia="en-AU"/>
              </w:rPr>
            </w:pPr>
            <w:r w:rsidRPr="007B6DF7">
              <w:rPr>
                <w:rFonts w:eastAsia="Times New Roman" w:cs="Segoe UI"/>
                <w:sz w:val="18"/>
                <w:szCs w:val="18"/>
                <w:lang w:eastAsia="en-AU"/>
              </w:rPr>
              <w:t>Potential access to additional services and groups</w:t>
            </w:r>
            <w:r>
              <w:rPr>
                <w:rFonts w:eastAsia="Times New Roman" w:cs="Segoe UI"/>
                <w:sz w:val="18"/>
                <w:szCs w:val="18"/>
                <w:lang w:eastAsia="en-AU"/>
              </w:rPr>
              <w:t>.</w:t>
            </w:r>
          </w:p>
        </w:tc>
      </w:tr>
      <w:tr w:rsidR="001C19F3" w:rsidRPr="007B6DF7" w14:paraId="7FD316B0" w14:textId="77777777" w:rsidTr="00521305">
        <w:tc>
          <w:tcPr>
            <w:tcW w:w="2122" w:type="dxa"/>
          </w:tcPr>
          <w:p w14:paraId="4310571E"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Chronic disease management</w:t>
            </w:r>
          </w:p>
        </w:tc>
        <w:tc>
          <w:tcPr>
            <w:tcW w:w="6894" w:type="dxa"/>
          </w:tcPr>
          <w:p w14:paraId="64EAE9CF"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Better management of their chronic condition(s)</w:t>
            </w:r>
            <w:r>
              <w:rPr>
                <w:rFonts w:eastAsia="Times New Roman" w:cs="Segoe UI"/>
                <w:sz w:val="18"/>
                <w:szCs w:val="18"/>
                <w:lang w:eastAsia="en-AU"/>
              </w:rPr>
              <w:t>.</w:t>
            </w:r>
          </w:p>
          <w:p w14:paraId="23188C82"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Patient interest in tracking or monitoring conditions</w:t>
            </w:r>
            <w:r>
              <w:rPr>
                <w:rFonts w:eastAsia="Times New Roman" w:cs="Segoe UI"/>
                <w:sz w:val="18"/>
                <w:szCs w:val="18"/>
                <w:lang w:eastAsia="en-AU"/>
              </w:rPr>
              <w:t>.</w:t>
            </w:r>
          </w:p>
        </w:tc>
      </w:tr>
      <w:tr w:rsidR="001C19F3" w:rsidRPr="007B6DF7" w14:paraId="07BCF14E" w14:textId="77777777" w:rsidTr="00521305">
        <w:tc>
          <w:tcPr>
            <w:tcW w:w="2122" w:type="dxa"/>
          </w:tcPr>
          <w:p w14:paraId="601A585E"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Patient activation</w:t>
            </w:r>
          </w:p>
        </w:tc>
        <w:tc>
          <w:tcPr>
            <w:tcW w:w="6894" w:type="dxa"/>
          </w:tcPr>
          <w:p w14:paraId="6DBD06DB" w14:textId="77777777" w:rsidR="001C19F3" w:rsidRPr="007B6DF7" w:rsidRDefault="001C19F3" w:rsidP="001C19F3">
            <w:pPr>
              <w:numPr>
                <w:ilvl w:val="0"/>
                <w:numId w:val="60"/>
              </w:numPr>
              <w:spacing w:after="0"/>
              <w:ind w:left="324" w:hanging="284"/>
              <w:textAlignment w:val="baseline"/>
              <w:rPr>
                <w:rFonts w:ascii="Calibri" w:eastAsia="Times New Roman" w:hAnsi="Calibri" w:cs="Segoe UI"/>
                <w:sz w:val="18"/>
                <w:szCs w:val="18"/>
                <w:lang w:eastAsia="en-AU"/>
              </w:rPr>
            </w:pPr>
            <w:r w:rsidRPr="007B6DF7">
              <w:rPr>
                <w:rFonts w:eastAsia="Times New Roman" w:cs="Segoe UI"/>
                <w:sz w:val="18"/>
                <w:szCs w:val="18"/>
                <w:lang w:eastAsia="en-AU"/>
              </w:rPr>
              <w:t>Additional motivation and help to achieve health goals</w:t>
            </w:r>
            <w:r>
              <w:rPr>
                <w:rFonts w:eastAsia="Times New Roman"/>
                <w:sz w:val="18"/>
                <w:szCs w:val="18"/>
                <w:lang w:eastAsia="en-AU"/>
              </w:rPr>
              <w:t>.</w:t>
            </w:r>
          </w:p>
        </w:tc>
      </w:tr>
      <w:tr w:rsidR="001C19F3" w:rsidRPr="007B6DF7" w14:paraId="25C493E8" w14:textId="77777777" w:rsidTr="00521305">
        <w:tc>
          <w:tcPr>
            <w:tcW w:w="2122" w:type="dxa"/>
          </w:tcPr>
          <w:p w14:paraId="7681E69E"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Other</w:t>
            </w:r>
          </w:p>
        </w:tc>
        <w:tc>
          <w:tcPr>
            <w:tcW w:w="6894" w:type="dxa"/>
          </w:tcPr>
          <w:p w14:paraId="70793ED2"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 xml:space="preserve">Their current lack of support (i.e. </w:t>
            </w:r>
            <w:r>
              <w:rPr>
                <w:rFonts w:eastAsia="Times New Roman" w:cs="Segoe UI"/>
                <w:sz w:val="18"/>
                <w:szCs w:val="18"/>
                <w:lang w:eastAsia="en-AU"/>
              </w:rPr>
              <w:t>f</w:t>
            </w:r>
            <w:r w:rsidRPr="007B6DF7">
              <w:rPr>
                <w:rFonts w:eastAsia="Times New Roman" w:cs="Segoe UI"/>
                <w:sz w:val="18"/>
                <w:szCs w:val="18"/>
                <w:lang w:eastAsia="en-AU"/>
              </w:rPr>
              <w:t>amily or health support)</w:t>
            </w:r>
            <w:r>
              <w:rPr>
                <w:rFonts w:eastAsia="Times New Roman" w:cs="Segoe UI"/>
                <w:sz w:val="18"/>
                <w:szCs w:val="18"/>
                <w:lang w:eastAsia="en-AU"/>
              </w:rPr>
              <w:t>.</w:t>
            </w:r>
          </w:p>
          <w:p w14:paraId="766BEF34" w14:textId="77777777" w:rsidR="001C19F3" w:rsidRPr="007B6DF7" w:rsidRDefault="001C19F3" w:rsidP="001C19F3">
            <w:pPr>
              <w:numPr>
                <w:ilvl w:val="0"/>
                <w:numId w:val="60"/>
              </w:numPr>
              <w:spacing w:after="0"/>
              <w:ind w:left="324" w:hanging="284"/>
              <w:textAlignment w:val="baseline"/>
              <w:rPr>
                <w:rFonts w:ascii="Calibri" w:eastAsia="Times New Roman" w:hAnsi="Calibri" w:cs="Segoe UI"/>
                <w:sz w:val="18"/>
                <w:szCs w:val="18"/>
                <w:lang w:eastAsia="en-AU"/>
              </w:rPr>
            </w:pPr>
            <w:r w:rsidRPr="007B6DF7">
              <w:rPr>
                <w:rFonts w:eastAsia="Times New Roman" w:cs="Segoe UI"/>
                <w:sz w:val="18"/>
                <w:szCs w:val="18"/>
                <w:lang w:eastAsia="en-AU"/>
              </w:rPr>
              <w:t>Program takes pressure of the doctors and saves time</w:t>
            </w:r>
            <w:r>
              <w:rPr>
                <w:rFonts w:eastAsia="Times New Roman"/>
                <w:sz w:val="18"/>
                <w:szCs w:val="18"/>
                <w:lang w:eastAsia="en-AU"/>
              </w:rPr>
              <w:t>.</w:t>
            </w:r>
          </w:p>
        </w:tc>
      </w:tr>
    </w:tbl>
    <w:p w14:paraId="016AE20F" w14:textId="77777777" w:rsidR="001C19F3" w:rsidRPr="007B6DF7" w:rsidRDefault="001C19F3" w:rsidP="001C19F3">
      <w:pPr>
        <w:pStyle w:val="Chartortablefootnote"/>
        <w:rPr>
          <w:lang w:eastAsia="en-AU"/>
        </w:rPr>
      </w:pPr>
      <w:r>
        <w:rPr>
          <w:lang w:eastAsia="en-AU"/>
        </w:rPr>
        <w:t>Source: Patient interviews, R2.</w:t>
      </w:r>
    </w:p>
    <w:p w14:paraId="7C6F0474" w14:textId="77777777" w:rsidR="001C19F3" w:rsidRPr="007B6DF7" w:rsidRDefault="001C19F3" w:rsidP="001C19F3">
      <w:pPr>
        <w:keepNext/>
        <w:keepLines/>
        <w:spacing w:line="240" w:lineRule="auto"/>
        <w:outlineLvl w:val="1"/>
        <w:rPr>
          <w:rFonts w:eastAsia="Times New Roman" w:cstheme="majorBidi"/>
          <w:color w:val="003D79"/>
          <w:sz w:val="40"/>
          <w:szCs w:val="26"/>
          <w:lang w:eastAsia="en-AU"/>
        </w:rPr>
      </w:pPr>
      <w:r w:rsidRPr="007B6DF7">
        <w:rPr>
          <w:rFonts w:eastAsia="Times New Roman" w:cstheme="majorBidi"/>
          <w:color w:val="003D79"/>
          <w:sz w:val="40"/>
          <w:szCs w:val="26"/>
          <w:lang w:eastAsia="en-AU"/>
        </w:rPr>
        <w:t>Earl</w:t>
      </w:r>
      <w:r>
        <w:rPr>
          <w:rFonts w:eastAsia="Times New Roman" w:cstheme="majorBidi"/>
          <w:color w:val="003D79"/>
          <w:sz w:val="40"/>
          <w:szCs w:val="26"/>
          <w:lang w:eastAsia="en-AU"/>
        </w:rPr>
        <w:t>y</w:t>
      </w:r>
      <w:r w:rsidRPr="007B6DF7">
        <w:rPr>
          <w:rFonts w:eastAsia="Times New Roman" w:cstheme="majorBidi"/>
          <w:color w:val="003D79"/>
          <w:sz w:val="40"/>
          <w:szCs w:val="26"/>
          <w:lang w:eastAsia="en-AU"/>
        </w:rPr>
        <w:t xml:space="preserve"> experiences with HCH </w:t>
      </w:r>
    </w:p>
    <w:p w14:paraId="4A0AE062" w14:textId="77777777" w:rsidR="001C19F3" w:rsidRPr="007B6DF7" w:rsidRDefault="001C19F3" w:rsidP="001C19F3">
      <w:pPr>
        <w:textAlignment w:val="baseline"/>
        <w:rPr>
          <w:rFonts w:eastAsia="Times New Roman" w:cs="Segoe UI"/>
          <w:szCs w:val="20"/>
          <w:lang w:eastAsia="en-AU"/>
        </w:rPr>
      </w:pPr>
      <w:r w:rsidRPr="007B6DF7">
        <w:rPr>
          <w:rFonts w:eastAsia="Times New Roman" w:cs="Segoe UI"/>
          <w:szCs w:val="20"/>
          <w:lang w:eastAsia="en-AU"/>
        </w:rPr>
        <w:t>Patient surveys were conducted shortly after patients enrolled, and hence don’t provide insights into patient experiences with HCH – this will be a focus in surveys conducted in Round</w:t>
      </w:r>
      <w:r>
        <w:rPr>
          <w:rFonts w:eastAsia="Times New Roman" w:cs="Segoe UI"/>
          <w:szCs w:val="20"/>
          <w:lang w:eastAsia="en-AU"/>
        </w:rPr>
        <w:t>s</w:t>
      </w:r>
      <w:r w:rsidRPr="007B6DF7">
        <w:rPr>
          <w:rFonts w:eastAsia="Times New Roman" w:cs="Segoe UI"/>
          <w:szCs w:val="20"/>
          <w:lang w:eastAsia="en-AU"/>
        </w:rPr>
        <w:t xml:space="preserve"> 4 and 5. </w:t>
      </w:r>
      <w:bookmarkStart w:id="360" w:name="_Hlk21014269"/>
      <w:r w:rsidRPr="007B6DF7">
        <w:rPr>
          <w:rFonts w:eastAsia="Times New Roman" w:cs="Segoe UI"/>
          <w:szCs w:val="20"/>
          <w:lang w:eastAsia="en-AU"/>
        </w:rPr>
        <w:t xml:space="preserve">Patient interviews were conducted between September and October 2018, and provide some, but only early insights into </w:t>
      </w:r>
      <w:r w:rsidRPr="005E5910">
        <w:rPr>
          <w:rFonts w:eastAsia="Times New Roman" w:cs="Segoe UI"/>
          <w:szCs w:val="20"/>
          <w:lang w:eastAsia="en-AU"/>
        </w:rPr>
        <w:t xml:space="preserve">patients’ experiences </w:t>
      </w:r>
      <w:r w:rsidRPr="007B6DF7">
        <w:rPr>
          <w:rFonts w:eastAsia="Times New Roman" w:cs="Segoe UI"/>
          <w:szCs w:val="20"/>
          <w:lang w:eastAsia="en-AU"/>
        </w:rPr>
        <w:t xml:space="preserve">of HCH. At that time </w:t>
      </w:r>
      <w:r w:rsidRPr="007B6DF7">
        <w:rPr>
          <w:rFonts w:eastAsia="Times New Roman" w:cs="Segoe UI"/>
          <w:szCs w:val="20"/>
          <w:lang w:eastAsia="en-AU"/>
        </w:rPr>
        <w:lastRenderedPageBreak/>
        <w:t xml:space="preserve">many practices were in the early stages of the HCH implementation and were focussing on patient enrolment. As a consequence, </w:t>
      </w:r>
      <w:bookmarkStart w:id="361" w:name="_Hlk21014328"/>
      <w:r>
        <w:rPr>
          <w:rFonts w:eastAsia="Times New Roman" w:cs="Segoe UI"/>
          <w:szCs w:val="20"/>
          <w:lang w:eastAsia="en-AU"/>
        </w:rPr>
        <w:t>interviewees’</w:t>
      </w:r>
      <w:bookmarkEnd w:id="361"/>
      <w:r w:rsidRPr="007B6DF7">
        <w:rPr>
          <w:rFonts w:eastAsia="Times New Roman" w:cs="Segoe UI"/>
          <w:szCs w:val="20"/>
          <w:lang w:eastAsia="en-AU"/>
        </w:rPr>
        <w:t xml:space="preserve"> reflections about the differences in their care under the HCH model were limited.</w:t>
      </w:r>
    </w:p>
    <w:p w14:paraId="1E4EF9ED"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Despite many patients reporting that little had changed, some practices were further along in implementation and had made more noticeable developments that were apparent to patients.</w:t>
      </w:r>
      <w:bookmarkEnd w:id="360"/>
      <w:r w:rsidRPr="007B6DF7">
        <w:rPr>
          <w:rFonts w:eastAsia="Times New Roman" w:cs="Segoe UI"/>
          <w:szCs w:val="20"/>
          <w:lang w:eastAsia="en-AU"/>
        </w:rPr>
        <w:t xml:space="preserve"> These </w:t>
      </w:r>
      <w:r>
        <w:rPr>
          <w:rFonts w:eastAsia="Times New Roman" w:cs="Segoe UI"/>
          <w:szCs w:val="20"/>
          <w:lang w:eastAsia="en-AU"/>
        </w:rPr>
        <w:t xml:space="preserve">are outlined in </w:t>
      </w:r>
      <w:r>
        <w:rPr>
          <w:rFonts w:eastAsia="Times New Roman" w:cs="Segoe UI"/>
          <w:szCs w:val="20"/>
          <w:lang w:eastAsia="en-AU"/>
        </w:rPr>
        <w:fldChar w:fldCharType="begin"/>
      </w:r>
      <w:r>
        <w:rPr>
          <w:rFonts w:eastAsia="Times New Roman" w:cs="Segoe UI"/>
          <w:szCs w:val="20"/>
          <w:lang w:eastAsia="en-AU"/>
        </w:rPr>
        <w:instrText xml:space="preserve"> REF _Ref21013893 \h  \* MERGEFORMAT </w:instrText>
      </w:r>
      <w:r>
        <w:rPr>
          <w:rFonts w:eastAsia="Times New Roman" w:cs="Segoe UI"/>
          <w:szCs w:val="20"/>
          <w:lang w:eastAsia="en-AU"/>
        </w:rPr>
      </w:r>
      <w:r>
        <w:rPr>
          <w:rFonts w:eastAsia="Times New Roman" w:cs="Segoe UI"/>
          <w:szCs w:val="20"/>
          <w:lang w:eastAsia="en-AU"/>
        </w:rPr>
        <w:fldChar w:fldCharType="separate"/>
      </w:r>
      <w:r w:rsidRPr="00822044">
        <w:rPr>
          <w:rFonts w:eastAsia="Times New Roman" w:cs="Segoe UI"/>
          <w:szCs w:val="20"/>
          <w:lang w:eastAsia="en-AU"/>
        </w:rPr>
        <w:t>Table 54</w:t>
      </w:r>
      <w:r>
        <w:rPr>
          <w:rFonts w:eastAsia="Times New Roman" w:cs="Segoe UI"/>
          <w:szCs w:val="20"/>
          <w:lang w:eastAsia="en-AU"/>
        </w:rPr>
        <w:fldChar w:fldCharType="end"/>
      </w:r>
      <w:r>
        <w:rPr>
          <w:rFonts w:eastAsia="Times New Roman" w:cs="Segoe UI"/>
          <w:szCs w:val="20"/>
          <w:lang w:eastAsia="en-AU"/>
        </w:rPr>
        <w:t xml:space="preserve"> and backed up by specific examples following the Table.</w:t>
      </w:r>
      <w:r w:rsidRPr="007B6DF7">
        <w:rPr>
          <w:rFonts w:eastAsia="Times New Roman"/>
          <w:szCs w:val="20"/>
          <w:lang w:eastAsia="en-AU"/>
        </w:rPr>
        <w:t> </w:t>
      </w:r>
    </w:p>
    <w:p w14:paraId="56D6C945" w14:textId="77777777" w:rsidR="001C19F3" w:rsidRPr="007B6DF7" w:rsidRDefault="001C19F3" w:rsidP="001C19F3">
      <w:pPr>
        <w:spacing w:after="0"/>
        <w:jc w:val="center"/>
        <w:rPr>
          <w:b/>
        </w:rPr>
      </w:pPr>
      <w:bookmarkStart w:id="362" w:name="_Ref21013893"/>
      <w:r w:rsidRPr="007B6DF7">
        <w:rPr>
          <w:b/>
        </w:rPr>
        <w:t xml:space="preserve">Table </w:t>
      </w:r>
      <w:r w:rsidRPr="007B6DF7">
        <w:rPr>
          <w:b/>
        </w:rPr>
        <w:fldChar w:fldCharType="begin"/>
      </w:r>
      <w:r w:rsidRPr="007B6DF7">
        <w:rPr>
          <w:b/>
        </w:rPr>
        <w:instrText>SEQ Table \* ARABIC</w:instrText>
      </w:r>
      <w:r w:rsidRPr="007B6DF7">
        <w:rPr>
          <w:b/>
        </w:rPr>
        <w:fldChar w:fldCharType="separate"/>
      </w:r>
      <w:r>
        <w:rPr>
          <w:b/>
          <w:noProof/>
        </w:rPr>
        <w:t>54</w:t>
      </w:r>
      <w:r w:rsidRPr="007B6DF7">
        <w:rPr>
          <w:b/>
        </w:rPr>
        <w:fldChar w:fldCharType="end"/>
      </w:r>
      <w:bookmarkEnd w:id="362"/>
      <w:r w:rsidRPr="007B6DF7">
        <w:rPr>
          <w:b/>
        </w:rPr>
        <w:t xml:space="preserve"> – Early changes patients observed with HCH implementation</w:t>
      </w:r>
    </w:p>
    <w:tbl>
      <w:tblPr>
        <w:tblStyle w:val="TableGrid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6894"/>
      </w:tblGrid>
      <w:tr w:rsidR="001C19F3" w:rsidRPr="007B6DF7" w14:paraId="4F867021" w14:textId="77777777" w:rsidTr="00521305">
        <w:trPr>
          <w:tblHeader/>
        </w:trPr>
        <w:tc>
          <w:tcPr>
            <w:tcW w:w="2122" w:type="dxa"/>
            <w:shd w:val="clear" w:color="auto" w:fill="003D79"/>
          </w:tcPr>
          <w:p w14:paraId="08F4438C" w14:textId="77777777" w:rsidR="001C19F3" w:rsidRPr="007B6DF7" w:rsidRDefault="001C19F3" w:rsidP="00521305">
            <w:pPr>
              <w:spacing w:after="0"/>
              <w:jc w:val="center"/>
              <w:textAlignment w:val="baseline"/>
              <w:rPr>
                <w:rFonts w:eastAsia="Times New Roman"/>
                <w:b/>
                <w:color w:val="FFFFFF" w:themeColor="background1"/>
                <w:sz w:val="18"/>
                <w:szCs w:val="18"/>
                <w:lang w:eastAsia="en-AU"/>
              </w:rPr>
            </w:pPr>
            <w:r w:rsidRPr="007B6DF7">
              <w:rPr>
                <w:rFonts w:eastAsia="Times New Roman"/>
                <w:b/>
                <w:color w:val="FFFFFF" w:themeColor="background1"/>
                <w:sz w:val="18"/>
                <w:szCs w:val="18"/>
                <w:lang w:eastAsia="en-AU"/>
              </w:rPr>
              <w:t>Feature of HCH</w:t>
            </w:r>
          </w:p>
        </w:tc>
        <w:tc>
          <w:tcPr>
            <w:tcW w:w="6894" w:type="dxa"/>
            <w:shd w:val="clear" w:color="auto" w:fill="003D79"/>
          </w:tcPr>
          <w:p w14:paraId="1DCFFF6B" w14:textId="77777777" w:rsidR="001C19F3" w:rsidRPr="007B6DF7" w:rsidRDefault="001C19F3" w:rsidP="00521305">
            <w:pPr>
              <w:spacing w:after="0"/>
              <w:jc w:val="center"/>
              <w:textAlignment w:val="baseline"/>
              <w:rPr>
                <w:rFonts w:eastAsia="Times New Roman"/>
                <w:b/>
                <w:color w:val="FFFFFF" w:themeColor="background1"/>
                <w:sz w:val="18"/>
                <w:szCs w:val="18"/>
                <w:lang w:eastAsia="en-AU"/>
              </w:rPr>
            </w:pPr>
            <w:r w:rsidRPr="007B6DF7">
              <w:rPr>
                <w:rFonts w:eastAsia="Times New Roman"/>
                <w:b/>
                <w:color w:val="FFFFFF" w:themeColor="background1"/>
                <w:sz w:val="18"/>
                <w:szCs w:val="18"/>
                <w:lang w:eastAsia="en-AU"/>
              </w:rPr>
              <w:t>What patients reported attracted them to join the program</w:t>
            </w:r>
          </w:p>
        </w:tc>
      </w:tr>
      <w:tr w:rsidR="001C19F3" w:rsidRPr="007B6DF7" w14:paraId="59C447E2" w14:textId="77777777" w:rsidTr="00521305">
        <w:tc>
          <w:tcPr>
            <w:tcW w:w="2122" w:type="dxa"/>
          </w:tcPr>
          <w:p w14:paraId="73888E08"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Alternative ways of accessing services</w:t>
            </w:r>
          </w:p>
        </w:tc>
        <w:tc>
          <w:tcPr>
            <w:tcW w:w="6894" w:type="dxa"/>
          </w:tcPr>
          <w:p w14:paraId="58BDC643"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Pr>
                <w:rFonts w:eastAsia="Times New Roman" w:cs="Segoe UI"/>
                <w:sz w:val="18"/>
                <w:szCs w:val="18"/>
                <w:lang w:eastAsia="en-AU"/>
              </w:rPr>
              <w:t>B</w:t>
            </w:r>
            <w:r w:rsidRPr="007B6DF7">
              <w:rPr>
                <w:rFonts w:eastAsia="Times New Roman" w:cs="Segoe UI"/>
                <w:sz w:val="18"/>
                <w:szCs w:val="18"/>
                <w:lang w:eastAsia="en-AU"/>
              </w:rPr>
              <w:t xml:space="preserve">etter </w:t>
            </w:r>
            <w:r>
              <w:rPr>
                <w:rFonts w:eastAsia="Times New Roman" w:cs="Segoe UI"/>
                <w:sz w:val="18"/>
                <w:szCs w:val="18"/>
                <w:lang w:eastAsia="en-AU"/>
              </w:rPr>
              <w:t>a</w:t>
            </w:r>
            <w:r w:rsidRPr="007B6DF7">
              <w:rPr>
                <w:rFonts w:eastAsia="Times New Roman" w:cs="Segoe UI"/>
                <w:sz w:val="18"/>
                <w:szCs w:val="18"/>
                <w:lang w:eastAsia="en-AU"/>
              </w:rPr>
              <w:t>ccess to practice via telephone</w:t>
            </w:r>
            <w:r>
              <w:rPr>
                <w:rFonts w:eastAsia="Times New Roman" w:cs="Segoe UI"/>
                <w:sz w:val="18"/>
                <w:szCs w:val="18"/>
                <w:lang w:eastAsia="en-AU"/>
              </w:rPr>
              <w:t>.</w:t>
            </w:r>
          </w:p>
          <w:p w14:paraId="036BCDD6"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The ability to request prescriptions over the phone without visiting the doctor </w:t>
            </w:r>
            <w:r>
              <w:rPr>
                <w:rFonts w:eastAsia="Times New Roman" w:cs="Segoe UI"/>
                <w:sz w:val="18"/>
                <w:szCs w:val="18"/>
                <w:lang w:eastAsia="en-AU"/>
              </w:rPr>
              <w:t>face-to-face.</w:t>
            </w:r>
          </w:p>
        </w:tc>
      </w:tr>
      <w:tr w:rsidR="001C19F3" w:rsidRPr="007B6DF7" w14:paraId="135265C8" w14:textId="77777777" w:rsidTr="00521305">
        <w:tc>
          <w:tcPr>
            <w:tcW w:w="2122" w:type="dxa"/>
          </w:tcPr>
          <w:p w14:paraId="5A068B55"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Better access to a broader health team</w:t>
            </w:r>
          </w:p>
        </w:tc>
        <w:tc>
          <w:tcPr>
            <w:tcW w:w="6894" w:type="dxa"/>
          </w:tcPr>
          <w:p w14:paraId="481C1ABD"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Priority for HCH patients</w:t>
            </w:r>
            <w:r>
              <w:rPr>
                <w:rFonts w:eastAsia="Times New Roman" w:cs="Segoe UI"/>
                <w:sz w:val="18"/>
                <w:szCs w:val="18"/>
                <w:lang w:eastAsia="en-AU"/>
              </w:rPr>
              <w:t>.</w:t>
            </w:r>
          </w:p>
          <w:p w14:paraId="793A9CD9"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Increased access to care</w:t>
            </w:r>
            <w:r>
              <w:rPr>
                <w:rFonts w:eastAsia="Times New Roman" w:cs="Segoe UI"/>
                <w:sz w:val="18"/>
                <w:szCs w:val="18"/>
                <w:lang w:eastAsia="en-AU"/>
              </w:rPr>
              <w:t>.</w:t>
            </w:r>
          </w:p>
          <w:p w14:paraId="58A02904" w14:textId="77777777" w:rsidR="001C19F3" w:rsidRPr="00E0711B"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Connected patients to additional services both inside and outside the practice</w:t>
            </w:r>
            <w:r>
              <w:rPr>
                <w:rFonts w:eastAsia="Times New Roman" w:cs="Segoe UI"/>
                <w:sz w:val="18"/>
                <w:szCs w:val="18"/>
                <w:lang w:eastAsia="en-AU"/>
              </w:rPr>
              <w:t>.</w:t>
            </w:r>
          </w:p>
        </w:tc>
      </w:tr>
      <w:tr w:rsidR="001C19F3" w:rsidRPr="007B6DF7" w14:paraId="2F4FD199" w14:textId="77777777" w:rsidTr="00521305">
        <w:tc>
          <w:tcPr>
            <w:tcW w:w="2122" w:type="dxa"/>
          </w:tcPr>
          <w:p w14:paraId="5B176FA3"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Chronic disease management</w:t>
            </w:r>
          </w:p>
        </w:tc>
        <w:tc>
          <w:tcPr>
            <w:tcW w:w="6894" w:type="dxa"/>
          </w:tcPr>
          <w:p w14:paraId="2D22B315" w14:textId="77777777" w:rsidR="001C19F3" w:rsidRDefault="001C19F3" w:rsidP="001C19F3">
            <w:pPr>
              <w:numPr>
                <w:ilvl w:val="0"/>
                <w:numId w:val="60"/>
              </w:numPr>
              <w:spacing w:after="0"/>
              <w:ind w:left="324" w:hanging="284"/>
              <w:textAlignment w:val="baseline"/>
              <w:rPr>
                <w:rFonts w:eastAsia="Times New Roman" w:cs="Segoe UI"/>
                <w:sz w:val="18"/>
                <w:szCs w:val="18"/>
                <w:lang w:eastAsia="en-AU"/>
              </w:rPr>
            </w:pPr>
            <w:bookmarkStart w:id="363" w:name="_Hlk21014429"/>
            <w:r w:rsidRPr="007B6DF7">
              <w:rPr>
                <w:rFonts w:eastAsia="Times New Roman" w:cs="Segoe UI"/>
                <w:sz w:val="18"/>
                <w:szCs w:val="18"/>
                <w:lang w:eastAsia="en-AU"/>
              </w:rPr>
              <w:t>More proactive management</w:t>
            </w:r>
            <w:r>
              <w:rPr>
                <w:rFonts w:eastAsia="Times New Roman" w:cs="Segoe UI"/>
                <w:sz w:val="18"/>
                <w:szCs w:val="18"/>
                <w:lang w:eastAsia="en-AU"/>
              </w:rPr>
              <w:t>/ better monitoring</w:t>
            </w:r>
            <w:r w:rsidRPr="007B6DF7">
              <w:rPr>
                <w:rFonts w:eastAsia="Times New Roman" w:cs="Segoe UI"/>
                <w:sz w:val="18"/>
                <w:szCs w:val="18"/>
                <w:lang w:eastAsia="en-AU"/>
              </w:rPr>
              <w:t xml:space="preserve"> of chronic condition(s)</w:t>
            </w:r>
            <w:r>
              <w:rPr>
                <w:rFonts w:eastAsia="Times New Roman" w:cs="Segoe UI"/>
                <w:sz w:val="18"/>
                <w:szCs w:val="18"/>
                <w:lang w:eastAsia="en-AU"/>
              </w:rPr>
              <w:t>.</w:t>
            </w:r>
          </w:p>
          <w:p w14:paraId="273CF191"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Pr>
                <w:rFonts w:eastAsia="Times New Roman" w:cs="Segoe UI"/>
                <w:sz w:val="18"/>
                <w:szCs w:val="18"/>
                <w:lang w:eastAsia="en-AU"/>
              </w:rPr>
              <w:t>P</w:t>
            </w:r>
            <w:r w:rsidRPr="007B6DF7">
              <w:rPr>
                <w:rFonts w:eastAsia="Times New Roman" w:cs="Segoe UI"/>
                <w:sz w:val="18"/>
                <w:szCs w:val="18"/>
                <w:lang w:eastAsia="en-AU"/>
              </w:rPr>
              <w:t>atient groups</w:t>
            </w:r>
            <w:r>
              <w:rPr>
                <w:rFonts w:eastAsia="Times New Roman" w:cs="Segoe UI"/>
                <w:sz w:val="18"/>
                <w:szCs w:val="18"/>
                <w:lang w:eastAsia="en-AU"/>
              </w:rPr>
              <w:t>.</w:t>
            </w:r>
          </w:p>
          <w:bookmarkEnd w:id="363"/>
          <w:p w14:paraId="680BFF58" w14:textId="77777777" w:rsidR="001C19F3" w:rsidRPr="00E0711B" w:rsidRDefault="001C19F3" w:rsidP="001C19F3">
            <w:pPr>
              <w:numPr>
                <w:ilvl w:val="0"/>
                <w:numId w:val="60"/>
              </w:numPr>
              <w:spacing w:after="0"/>
              <w:ind w:left="324" w:hanging="284"/>
              <w:contextualSpacing/>
              <w:rPr>
                <w:rFonts w:eastAsia="Times New Roman" w:cs="Segoe UI"/>
                <w:sz w:val="18"/>
                <w:szCs w:val="18"/>
                <w:lang w:eastAsia="en-AU"/>
              </w:rPr>
            </w:pPr>
            <w:r w:rsidRPr="007B6DF7">
              <w:rPr>
                <w:rFonts w:eastAsia="Times New Roman" w:cs="Segoe UI"/>
                <w:sz w:val="18"/>
                <w:szCs w:val="18"/>
                <w:lang w:eastAsia="en-AU"/>
              </w:rPr>
              <w:t>‘</w:t>
            </w:r>
            <w:r>
              <w:rPr>
                <w:rFonts w:eastAsia="Times New Roman" w:cs="Segoe UI"/>
                <w:sz w:val="18"/>
                <w:szCs w:val="18"/>
                <w:lang w:eastAsia="en-AU"/>
              </w:rPr>
              <w:t>W</w:t>
            </w:r>
            <w:r w:rsidRPr="007B6DF7">
              <w:rPr>
                <w:rFonts w:eastAsia="Times New Roman" w:cs="Segoe UI"/>
                <w:sz w:val="18"/>
                <w:szCs w:val="18"/>
                <w:lang w:eastAsia="en-AU"/>
              </w:rPr>
              <w:t>hole team’ approach</w:t>
            </w:r>
            <w:r>
              <w:rPr>
                <w:rFonts w:eastAsia="Times New Roman" w:cs="Segoe UI"/>
                <w:sz w:val="18"/>
                <w:szCs w:val="18"/>
                <w:lang w:eastAsia="en-AU"/>
              </w:rPr>
              <w:t xml:space="preserve"> to care.</w:t>
            </w:r>
            <w:r w:rsidRPr="007B6DF7">
              <w:rPr>
                <w:rFonts w:eastAsia="Times New Roman" w:cs="Segoe UI"/>
                <w:sz w:val="18"/>
                <w:szCs w:val="18"/>
                <w:lang w:eastAsia="en-AU"/>
              </w:rPr>
              <w:t xml:space="preserve"> </w:t>
            </w:r>
          </w:p>
        </w:tc>
      </w:tr>
      <w:tr w:rsidR="001C19F3" w:rsidRPr="007B6DF7" w14:paraId="77B82733" w14:textId="77777777" w:rsidTr="00521305">
        <w:tc>
          <w:tcPr>
            <w:tcW w:w="2122" w:type="dxa"/>
          </w:tcPr>
          <w:p w14:paraId="2428B360"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Coordination</w:t>
            </w:r>
          </w:p>
        </w:tc>
        <w:tc>
          <w:tcPr>
            <w:tcW w:w="6894" w:type="dxa"/>
          </w:tcPr>
          <w:p w14:paraId="487626B7" w14:textId="77777777" w:rsidR="001C19F3" w:rsidRPr="007B6DF7" w:rsidRDefault="001C19F3" w:rsidP="001C19F3">
            <w:pPr>
              <w:numPr>
                <w:ilvl w:val="0"/>
                <w:numId w:val="60"/>
              </w:numPr>
              <w:spacing w:after="0"/>
              <w:ind w:left="324" w:hanging="284"/>
              <w:contextualSpacing/>
              <w:rPr>
                <w:rFonts w:eastAsia="Times New Roman" w:cs="Segoe UI"/>
                <w:sz w:val="18"/>
                <w:szCs w:val="18"/>
                <w:lang w:eastAsia="en-AU"/>
              </w:rPr>
            </w:pPr>
            <w:r>
              <w:rPr>
                <w:rFonts w:eastAsia="Times New Roman" w:cs="Segoe UI"/>
                <w:sz w:val="18"/>
                <w:szCs w:val="18"/>
                <w:lang w:eastAsia="en-AU"/>
              </w:rPr>
              <w:t>M</w:t>
            </w:r>
            <w:r w:rsidRPr="007B6DF7">
              <w:rPr>
                <w:rFonts w:eastAsia="Times New Roman" w:cs="Segoe UI"/>
                <w:sz w:val="18"/>
                <w:szCs w:val="18"/>
                <w:lang w:eastAsia="en-AU"/>
              </w:rPr>
              <w:t>ore effective manage</w:t>
            </w:r>
            <w:r>
              <w:rPr>
                <w:rFonts w:eastAsia="Times New Roman" w:cs="Segoe UI"/>
                <w:sz w:val="18"/>
                <w:szCs w:val="18"/>
                <w:lang w:eastAsia="en-AU"/>
              </w:rPr>
              <w:t>ment of correspondence with external providers</w:t>
            </w:r>
            <w:r w:rsidRPr="007B6DF7">
              <w:rPr>
                <w:rFonts w:eastAsia="Times New Roman" w:cs="Segoe UI"/>
                <w:sz w:val="18"/>
                <w:szCs w:val="18"/>
                <w:lang w:eastAsia="en-AU"/>
              </w:rPr>
              <w:t xml:space="preserve"> via shared care planning platform</w:t>
            </w:r>
            <w:r>
              <w:rPr>
                <w:rFonts w:eastAsia="Times New Roman" w:cs="Segoe UI"/>
                <w:sz w:val="18"/>
                <w:szCs w:val="18"/>
                <w:lang w:eastAsia="en-AU"/>
              </w:rPr>
              <w:t>.</w:t>
            </w:r>
          </w:p>
        </w:tc>
      </w:tr>
      <w:tr w:rsidR="001C19F3" w:rsidRPr="007B6DF7" w14:paraId="33ED9848" w14:textId="77777777" w:rsidTr="00521305">
        <w:tc>
          <w:tcPr>
            <w:tcW w:w="2122" w:type="dxa"/>
          </w:tcPr>
          <w:p w14:paraId="6EC4BEDE"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Patient activation</w:t>
            </w:r>
          </w:p>
        </w:tc>
        <w:tc>
          <w:tcPr>
            <w:tcW w:w="6894" w:type="dxa"/>
          </w:tcPr>
          <w:p w14:paraId="0CDB47DB" w14:textId="77777777" w:rsidR="001C19F3" w:rsidRDefault="001C19F3" w:rsidP="001C19F3">
            <w:pPr>
              <w:numPr>
                <w:ilvl w:val="0"/>
                <w:numId w:val="60"/>
              </w:numPr>
              <w:spacing w:after="0"/>
              <w:ind w:left="324" w:hanging="284"/>
              <w:textAlignment w:val="baseline"/>
              <w:rPr>
                <w:rFonts w:eastAsia="Times New Roman" w:cs="Segoe UI"/>
                <w:sz w:val="18"/>
                <w:szCs w:val="18"/>
                <w:lang w:eastAsia="en-AU"/>
              </w:rPr>
            </w:pPr>
            <w:r>
              <w:rPr>
                <w:rFonts w:eastAsia="Times New Roman" w:cs="Segoe UI"/>
                <w:sz w:val="18"/>
                <w:szCs w:val="18"/>
                <w:lang w:eastAsia="en-AU"/>
              </w:rPr>
              <w:t>Greater involvement of patient in their own care.</w:t>
            </w:r>
          </w:p>
          <w:p w14:paraId="5360641D"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Pr>
                <w:rFonts w:eastAsia="Times New Roman" w:cs="Segoe UI"/>
                <w:sz w:val="18"/>
                <w:szCs w:val="18"/>
                <w:lang w:eastAsia="en-AU"/>
              </w:rPr>
              <w:t>Promotion of</w:t>
            </w:r>
            <w:r w:rsidRPr="007B6DF7">
              <w:rPr>
                <w:rFonts w:eastAsia="Times New Roman" w:cs="Segoe UI"/>
                <w:sz w:val="18"/>
                <w:szCs w:val="18"/>
                <w:lang w:eastAsia="en-AU"/>
              </w:rPr>
              <w:t xml:space="preserve"> patient activation</w:t>
            </w:r>
            <w:r>
              <w:rPr>
                <w:rFonts w:eastAsia="Times New Roman" w:cs="Segoe UI"/>
                <w:sz w:val="18"/>
                <w:szCs w:val="18"/>
                <w:lang w:eastAsia="en-AU"/>
              </w:rPr>
              <w:t>.</w:t>
            </w:r>
          </w:p>
        </w:tc>
      </w:tr>
      <w:tr w:rsidR="001C19F3" w:rsidRPr="007B6DF7" w14:paraId="4278B443" w14:textId="77777777" w:rsidTr="00521305">
        <w:tc>
          <w:tcPr>
            <w:tcW w:w="2122" w:type="dxa"/>
          </w:tcPr>
          <w:p w14:paraId="3CF7E3A3" w14:textId="77777777" w:rsidR="001C19F3" w:rsidRPr="007B6DF7" w:rsidRDefault="001C19F3" w:rsidP="00521305">
            <w:pPr>
              <w:spacing w:after="0"/>
              <w:textAlignment w:val="baseline"/>
              <w:rPr>
                <w:rFonts w:eastAsia="Times New Roman"/>
                <w:sz w:val="18"/>
                <w:szCs w:val="18"/>
                <w:lang w:eastAsia="en-AU"/>
              </w:rPr>
            </w:pPr>
            <w:r w:rsidRPr="007B6DF7">
              <w:rPr>
                <w:rFonts w:eastAsia="Times New Roman"/>
                <w:sz w:val="18"/>
                <w:szCs w:val="18"/>
                <w:lang w:eastAsia="en-AU"/>
              </w:rPr>
              <w:t>Other</w:t>
            </w:r>
          </w:p>
        </w:tc>
        <w:tc>
          <w:tcPr>
            <w:tcW w:w="6894" w:type="dxa"/>
          </w:tcPr>
          <w:p w14:paraId="0CE4CA1F"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bookmarkStart w:id="364" w:name="_Hlk21014818"/>
            <w:r w:rsidRPr="007B6DF7">
              <w:rPr>
                <w:rFonts w:eastAsia="Times New Roman" w:cs="Segoe UI"/>
                <w:sz w:val="18"/>
                <w:szCs w:val="18"/>
                <w:lang w:eastAsia="en-AU"/>
              </w:rPr>
              <w:t>More holistic approach to care</w:t>
            </w:r>
            <w:r>
              <w:rPr>
                <w:rFonts w:eastAsia="Times New Roman" w:cs="Segoe UI"/>
                <w:sz w:val="18"/>
                <w:szCs w:val="18"/>
                <w:lang w:eastAsia="en-AU"/>
              </w:rPr>
              <w:t xml:space="preserve">. </w:t>
            </w:r>
          </w:p>
          <w:p w14:paraId="402ABBF0" w14:textId="77777777" w:rsidR="001C19F3" w:rsidRPr="007B6DF7" w:rsidRDefault="001C19F3" w:rsidP="001C19F3">
            <w:pPr>
              <w:numPr>
                <w:ilvl w:val="0"/>
                <w:numId w:val="60"/>
              </w:numPr>
              <w:spacing w:after="0"/>
              <w:ind w:left="324" w:hanging="284"/>
              <w:textAlignment w:val="baseline"/>
              <w:rPr>
                <w:rFonts w:eastAsia="Times New Roman" w:cs="Segoe UI"/>
                <w:sz w:val="18"/>
                <w:szCs w:val="18"/>
                <w:lang w:eastAsia="en-AU"/>
              </w:rPr>
            </w:pPr>
            <w:r w:rsidRPr="007B6DF7">
              <w:rPr>
                <w:rFonts w:eastAsia="Times New Roman" w:cs="Segoe UI"/>
                <w:sz w:val="18"/>
                <w:szCs w:val="18"/>
                <w:lang w:eastAsia="en-AU"/>
              </w:rPr>
              <w:t>More administratively organised with care and follow up</w:t>
            </w:r>
            <w:r>
              <w:rPr>
                <w:rFonts w:eastAsia="Times New Roman" w:cs="Segoe UI"/>
                <w:sz w:val="18"/>
                <w:szCs w:val="18"/>
                <w:lang w:eastAsia="en-AU"/>
              </w:rPr>
              <w:t>.</w:t>
            </w:r>
            <w:bookmarkEnd w:id="364"/>
          </w:p>
        </w:tc>
      </w:tr>
    </w:tbl>
    <w:p w14:paraId="2BA85285" w14:textId="77777777" w:rsidR="001C19F3" w:rsidRDefault="001C19F3" w:rsidP="001C19F3">
      <w:pPr>
        <w:pStyle w:val="Chartortablefootnote"/>
        <w:rPr>
          <w:lang w:eastAsia="en-AU"/>
        </w:rPr>
      </w:pPr>
      <w:r>
        <w:rPr>
          <w:lang w:eastAsia="en-AU"/>
        </w:rPr>
        <w:t>Source: Patient interviews, R2.</w:t>
      </w:r>
    </w:p>
    <w:p w14:paraId="73728C88"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Interviewees cited the ability to obtain new prescriptions without seeing the doctor as a common new development associated with the HCH program. This was a positive change for many patients and carers:</w:t>
      </w:r>
      <w:r w:rsidRPr="007B6DF7">
        <w:rPr>
          <w:rFonts w:eastAsia="Times New Roman"/>
          <w:szCs w:val="20"/>
          <w:lang w:eastAsia="en-AU"/>
        </w:rPr>
        <w:t> </w:t>
      </w:r>
    </w:p>
    <w:p w14:paraId="0C8643E8"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 xml:space="preserve">“…I just ring up and say, oh, HCH Coordinator, I need some prescriptions refilled, okay </w:t>
      </w:r>
      <w:r w:rsidRPr="005E5910">
        <w:rPr>
          <w:rFonts w:eastAsia="Times New Roman" w:cs="Segoe UI"/>
          <w:iCs/>
          <w:szCs w:val="20"/>
          <w:lang w:val="en-GB" w:eastAsia="en-AU"/>
        </w:rPr>
        <w:t>[patient 6]</w:t>
      </w:r>
      <w:r w:rsidRPr="007B6DF7">
        <w:rPr>
          <w:rFonts w:eastAsia="Times New Roman" w:cs="Segoe UI"/>
          <w:i/>
          <w:iCs/>
          <w:szCs w:val="20"/>
          <w:lang w:val="en-GB" w:eastAsia="en-AU"/>
        </w:rPr>
        <w:t>, I’ll ring you when they’re ready. I’m saving the doctors time for her to see somebody that needs to be seen.” </w:t>
      </w:r>
      <w:r w:rsidRPr="007B6DF7">
        <w:rPr>
          <w:rFonts w:eastAsia="Times New Roman" w:cs="Segoe UI"/>
          <w:szCs w:val="20"/>
          <w:lang w:val="en-GB" w:eastAsia="en-AU"/>
        </w:rPr>
        <w:t>[Patient 5, Practice 16</w:t>
      </w:r>
      <w:r>
        <w:rPr>
          <w:rFonts w:eastAsia="Times New Roman" w:cs="Segoe UI"/>
          <w:szCs w:val="20"/>
          <w:lang w:val="en-GB" w:eastAsia="en-AU"/>
        </w:rPr>
        <w:t>, interview, R2]</w:t>
      </w:r>
      <w:r w:rsidRPr="007B6DF7">
        <w:rPr>
          <w:rFonts w:eastAsia="Times New Roman"/>
          <w:szCs w:val="20"/>
          <w:lang w:eastAsia="en-AU"/>
        </w:rPr>
        <w:t> </w:t>
      </w:r>
    </w:p>
    <w:p w14:paraId="15E7D08F" w14:textId="77777777" w:rsidR="001C19F3" w:rsidRPr="007B6DF7" w:rsidRDefault="001C19F3" w:rsidP="001C19F3">
      <w:pPr>
        <w:ind w:left="567" w:right="1088"/>
        <w:rPr>
          <w:rFonts w:eastAsia="Times New Roman"/>
          <w:szCs w:val="20"/>
          <w:lang w:eastAsia="en-AU"/>
        </w:rPr>
      </w:pPr>
      <w:r>
        <w:rPr>
          <w:rFonts w:ascii="Arial" w:eastAsia="Times New Roman" w:hAnsi="Arial" w:cs="Arial"/>
          <w:i/>
          <w:iCs/>
          <w:sz w:val="22"/>
          <w:lang w:val="en-GB" w:eastAsia="en-AU"/>
        </w:rPr>
        <w:t xml:space="preserve"> </w:t>
      </w:r>
      <w:r w:rsidRPr="007B6DF7">
        <w:rPr>
          <w:rFonts w:ascii="Arial" w:eastAsia="Times New Roman" w:hAnsi="Arial" w:cs="Arial"/>
          <w:i/>
          <w:iCs/>
          <w:sz w:val="22"/>
          <w:lang w:val="en-GB" w:eastAsia="en-AU"/>
        </w:rPr>
        <w:t>“</w:t>
      </w:r>
      <w:r w:rsidRPr="007B6DF7">
        <w:rPr>
          <w:rFonts w:eastAsia="Times New Roman" w:cs="Segoe UI"/>
          <w:i/>
          <w:iCs/>
          <w:szCs w:val="20"/>
          <w:lang w:val="en-GB" w:eastAsia="en-AU"/>
        </w:rPr>
        <w:t xml:space="preserve">One month I see </w:t>
      </w:r>
      <w:r w:rsidRPr="009B75E1">
        <w:rPr>
          <w:rFonts w:eastAsia="Times New Roman" w:cs="Segoe UI"/>
          <w:iCs/>
          <w:szCs w:val="20"/>
          <w:lang w:val="en-GB" w:eastAsia="en-AU"/>
        </w:rPr>
        <w:t>[my doctor]</w:t>
      </w:r>
      <w:r w:rsidRPr="007B6DF7">
        <w:rPr>
          <w:rFonts w:eastAsia="Times New Roman" w:cs="Segoe UI"/>
          <w:i/>
          <w:iCs/>
          <w:szCs w:val="20"/>
          <w:lang w:val="en-GB" w:eastAsia="en-AU"/>
        </w:rPr>
        <w:t xml:space="preserve">, the next month I just ring up and talk to the nurse and she gets the medications for me. I just go and pick up the script and go outside and </w:t>
      </w:r>
      <w:r w:rsidRPr="009B75E1">
        <w:rPr>
          <w:rFonts w:eastAsia="Times New Roman" w:cs="Segoe UI"/>
          <w:iCs/>
          <w:szCs w:val="20"/>
          <w:lang w:val="en-GB" w:eastAsia="en-AU"/>
        </w:rPr>
        <w:t>[don’t]</w:t>
      </w:r>
      <w:r w:rsidRPr="007B6DF7">
        <w:rPr>
          <w:rFonts w:eastAsia="Times New Roman" w:cs="Segoe UI"/>
          <w:i/>
          <w:iCs/>
          <w:szCs w:val="20"/>
          <w:lang w:val="en-GB" w:eastAsia="en-AU"/>
        </w:rPr>
        <w:t xml:space="preserve"> have to waste </w:t>
      </w:r>
      <w:r w:rsidRPr="005E5910">
        <w:rPr>
          <w:rFonts w:eastAsia="Times New Roman" w:cs="Segoe UI"/>
          <w:iCs/>
          <w:szCs w:val="20"/>
          <w:lang w:val="en-GB" w:eastAsia="en-AU"/>
        </w:rPr>
        <w:t>[my doctor’s]</w:t>
      </w:r>
      <w:r w:rsidRPr="007B6DF7">
        <w:rPr>
          <w:rFonts w:eastAsia="Times New Roman" w:cs="Segoe UI"/>
          <w:i/>
          <w:iCs/>
          <w:szCs w:val="20"/>
          <w:lang w:val="en-GB" w:eastAsia="en-AU"/>
        </w:rPr>
        <w:t xml:space="preserve"> time and my time.”</w:t>
      </w:r>
      <w:r w:rsidRPr="007B6DF7">
        <w:rPr>
          <w:rFonts w:eastAsia="Times New Roman" w:cs="Segoe UI"/>
          <w:szCs w:val="20"/>
          <w:lang w:val="en-GB" w:eastAsia="en-AU"/>
        </w:rPr>
        <w:t> [Patient 1, Practice 3</w:t>
      </w:r>
      <w:r>
        <w:rPr>
          <w:rFonts w:eastAsia="Times New Roman" w:cs="Segoe UI"/>
          <w:szCs w:val="20"/>
          <w:lang w:val="en-GB" w:eastAsia="en-AU"/>
        </w:rPr>
        <w:t>, interview, R2]</w:t>
      </w:r>
      <w:r w:rsidRPr="007B6DF7">
        <w:rPr>
          <w:rFonts w:eastAsia="Times New Roman"/>
          <w:szCs w:val="20"/>
          <w:lang w:eastAsia="en-AU"/>
        </w:rPr>
        <w:t> </w:t>
      </w:r>
    </w:p>
    <w:p w14:paraId="7938B70B"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“I rang up and I told him what I was doing, that I was a Home Care patient…They put the message through to her and sent them a fax number for the chemist…When I was ready I went to the chemist. </w:t>
      </w:r>
      <w:r w:rsidRPr="005E5910">
        <w:rPr>
          <w:rFonts w:eastAsia="Times New Roman" w:cs="Segoe UI"/>
          <w:iCs/>
          <w:szCs w:val="20"/>
          <w:lang w:eastAsia="en-AU"/>
        </w:rPr>
        <w:t>[My son]</w:t>
      </w:r>
      <w:r w:rsidRPr="007B6DF7">
        <w:rPr>
          <w:rFonts w:eastAsia="Times New Roman" w:cs="Segoe UI"/>
          <w:i/>
          <w:iCs/>
          <w:szCs w:val="20"/>
          <w:lang w:eastAsia="en-AU"/>
        </w:rPr>
        <w:t xml:space="preserve"> stayed at the Cerebral Palsy League and I kept my visit…It was so easy, and I thought I don’t know if people realise what a big difference this makes.”</w:t>
      </w:r>
      <w:r w:rsidRPr="007B6DF7">
        <w:rPr>
          <w:rFonts w:eastAsia="Times New Roman" w:cs="Segoe UI"/>
          <w:szCs w:val="20"/>
          <w:lang w:eastAsia="en-AU"/>
        </w:rPr>
        <w:t> [Patient 1 &amp; Carer, Practice 6</w:t>
      </w:r>
      <w:r>
        <w:rPr>
          <w:rFonts w:eastAsia="Times New Roman" w:cs="Segoe UI"/>
          <w:szCs w:val="20"/>
          <w:lang w:eastAsia="en-AU"/>
        </w:rPr>
        <w:t>, interview, R2]</w:t>
      </w:r>
      <w:r w:rsidRPr="007B6DF7">
        <w:rPr>
          <w:rFonts w:eastAsia="Times New Roman"/>
          <w:szCs w:val="20"/>
          <w:lang w:eastAsia="en-AU"/>
        </w:rPr>
        <w:t> </w:t>
      </w:r>
    </w:p>
    <w:p w14:paraId="0FD30A93"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 xml:space="preserve">Some patients reported that they noticed a positive change in the practice approach to managing their chronic conditions. There was a feeling amongst some interviewees that they </w:t>
      </w:r>
      <w:r w:rsidRPr="007B6DF7">
        <w:rPr>
          <w:rFonts w:eastAsia="Times New Roman" w:cs="Segoe UI"/>
          <w:szCs w:val="20"/>
          <w:lang w:eastAsia="en-AU"/>
        </w:rPr>
        <w:lastRenderedPageBreak/>
        <w:t>were receiving more support and that their practices were monitoring their conditions more closely and efficiently:</w:t>
      </w:r>
      <w:r w:rsidRPr="007B6DF7">
        <w:rPr>
          <w:rFonts w:eastAsia="Times New Roman"/>
          <w:szCs w:val="20"/>
          <w:lang w:eastAsia="en-AU"/>
        </w:rPr>
        <w:t> </w:t>
      </w:r>
    </w:p>
    <w:p w14:paraId="2E495A55"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“Well I've been on a trial for my glucose and blood pressure. I had to do that every weekday for about three and a half months…Well it was the best thing that happened to me in a long time because I've lost weight, I've eaten correctly, I'm doing everything I'm supposed to do because it was being monitored.”</w:t>
      </w:r>
      <w:r w:rsidRPr="007B6DF7">
        <w:rPr>
          <w:rFonts w:eastAsia="Times New Roman" w:cs="Segoe UI"/>
          <w:szCs w:val="20"/>
          <w:lang w:eastAsia="en-AU"/>
        </w:rPr>
        <w:t> [Patient 5, Practice 4</w:t>
      </w:r>
      <w:r>
        <w:rPr>
          <w:rFonts w:eastAsia="Times New Roman" w:cs="Segoe UI"/>
          <w:szCs w:val="20"/>
          <w:lang w:eastAsia="en-AU"/>
        </w:rPr>
        <w:t>, interview, R2]</w:t>
      </w:r>
      <w:r w:rsidRPr="007B6DF7">
        <w:rPr>
          <w:rFonts w:eastAsia="Times New Roman"/>
          <w:szCs w:val="20"/>
          <w:lang w:eastAsia="en-AU"/>
        </w:rPr>
        <w:t> </w:t>
      </w:r>
    </w:p>
    <w:p w14:paraId="4F1B39CE"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“…the only thing that really has changed is that I’m…sort of pushed a bit for, to get, you know, my knees looked at…we’re communicating properly, the doctor and I. I think </w:t>
      </w:r>
      <w:r w:rsidRPr="009B75E1">
        <w:rPr>
          <w:rFonts w:eastAsia="Times New Roman" w:cs="Segoe UI"/>
          <w:iCs/>
          <w:szCs w:val="20"/>
          <w:lang w:val="en-GB" w:eastAsia="en-AU"/>
        </w:rPr>
        <w:t>[my GP is]</w:t>
      </w:r>
      <w:r w:rsidRPr="007B6DF7">
        <w:rPr>
          <w:rFonts w:eastAsia="Times New Roman" w:cs="Segoe UI"/>
          <w:i/>
          <w:iCs/>
          <w:szCs w:val="20"/>
          <w:lang w:val="en-GB" w:eastAsia="en-AU"/>
        </w:rPr>
        <w:t xml:space="preserve"> taking it a bit more seriously now.”</w:t>
      </w:r>
      <w:r w:rsidRPr="007B6DF7">
        <w:rPr>
          <w:rFonts w:eastAsia="Times New Roman" w:cs="Segoe UI"/>
          <w:szCs w:val="20"/>
          <w:lang w:val="en-GB" w:eastAsia="en-AU"/>
        </w:rPr>
        <w:t> [Patient 3, Practice 5</w:t>
      </w:r>
      <w:r>
        <w:rPr>
          <w:rFonts w:eastAsia="Times New Roman" w:cs="Segoe UI"/>
          <w:szCs w:val="20"/>
          <w:lang w:val="en-GB" w:eastAsia="en-AU"/>
        </w:rPr>
        <w:t>, interview, R2]</w:t>
      </w:r>
      <w:r w:rsidRPr="007B6DF7">
        <w:rPr>
          <w:rFonts w:eastAsia="Times New Roman"/>
          <w:szCs w:val="20"/>
          <w:lang w:eastAsia="en-AU"/>
        </w:rPr>
        <w:t> </w:t>
      </w:r>
    </w:p>
    <w:tbl>
      <w:tblPr>
        <w:tblpPr w:leftFromText="180" w:rightFromText="180" w:vertAnchor="text" w:tblpY="12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377C2D1A" w14:textId="77777777" w:rsidTr="00521305">
        <w:trPr>
          <w:trHeight w:val="287"/>
        </w:trPr>
        <w:tc>
          <w:tcPr>
            <w:tcW w:w="5000" w:type="pct"/>
          </w:tcPr>
          <w:p w14:paraId="62858640" w14:textId="77777777" w:rsidR="001C19F3" w:rsidRPr="00AF6392" w:rsidRDefault="001C19F3" w:rsidP="00521305">
            <w:pPr>
              <w:spacing w:after="0"/>
              <w:rPr>
                <w:b/>
                <w:sz w:val="18"/>
                <w:szCs w:val="18"/>
              </w:rPr>
            </w:pPr>
            <w:r w:rsidRPr="00AF6392">
              <w:rPr>
                <w:b/>
                <w:sz w:val="18"/>
                <w:szCs w:val="18"/>
              </w:rPr>
              <w:t>Case study</w:t>
            </w:r>
          </w:p>
        </w:tc>
      </w:tr>
      <w:tr w:rsidR="001C19F3" w:rsidRPr="004A11F1" w14:paraId="3BD54A7D" w14:textId="77777777" w:rsidTr="00521305">
        <w:tc>
          <w:tcPr>
            <w:tcW w:w="5000" w:type="pct"/>
          </w:tcPr>
          <w:p w14:paraId="31DB0ED8" w14:textId="77777777" w:rsidR="001C19F3" w:rsidRPr="00AF6392" w:rsidRDefault="001C19F3" w:rsidP="00521305">
            <w:pPr>
              <w:spacing w:after="0"/>
              <w:rPr>
                <w:sz w:val="18"/>
                <w:szCs w:val="18"/>
              </w:rPr>
            </w:pPr>
            <w:r w:rsidRPr="00AF6392">
              <w:rPr>
                <w:sz w:val="18"/>
                <w:szCs w:val="18"/>
              </w:rPr>
              <w:t xml:space="preserve">Patient </w:t>
            </w:r>
            <w:r>
              <w:rPr>
                <w:sz w:val="18"/>
                <w:szCs w:val="18"/>
              </w:rPr>
              <w:t>A</w:t>
            </w:r>
            <w:r w:rsidRPr="00AF6392">
              <w:rPr>
                <w:sz w:val="18"/>
                <w:szCs w:val="18"/>
              </w:rPr>
              <w:t xml:space="preserve"> describes himself as ‘tech savvy’. He has coronary artery disease, diabetes, neuropathy, and asthma. </w:t>
            </w:r>
            <w:r>
              <w:rPr>
                <w:sz w:val="18"/>
                <w:szCs w:val="18"/>
              </w:rPr>
              <w:t>T</w:t>
            </w:r>
            <w:r w:rsidRPr="00AF6392">
              <w:rPr>
                <w:sz w:val="18"/>
                <w:szCs w:val="18"/>
              </w:rPr>
              <w:t xml:space="preserve">o monitor his conditions in the past, he would record health measurements in an Excel spreadsheet and send the data to his GP. Since enrolling in HCH, he is enjoying managing his conditions and communicating with the doctor directly through the shared care planning platform. It has allowed him to reduce the time he spends at the practice and put all of his important health information into his care plan. Though he identified some minor shortfalls with the technology, he is excited about this advance and feels that the introduction of the program has been extremely beneficial in the management of his conditions. </w:t>
            </w:r>
          </w:p>
        </w:tc>
      </w:tr>
    </w:tbl>
    <w:p w14:paraId="009764F9" w14:textId="77777777" w:rsidR="001C19F3" w:rsidRDefault="001C19F3" w:rsidP="001C19F3">
      <w:pPr>
        <w:spacing w:after="0"/>
        <w:textAlignment w:val="baseline"/>
        <w:rPr>
          <w:rFonts w:eastAsia="Times New Roman" w:cs="Segoe UI"/>
          <w:szCs w:val="20"/>
          <w:lang w:val="en-GB" w:eastAsia="en-AU"/>
        </w:rPr>
      </w:pPr>
    </w:p>
    <w:p w14:paraId="4B09437A" w14:textId="77777777" w:rsidR="001C19F3" w:rsidRDefault="001C19F3" w:rsidP="001C19F3">
      <w:pPr>
        <w:textAlignment w:val="baseline"/>
        <w:rPr>
          <w:rFonts w:eastAsia="Times New Roman"/>
          <w:szCs w:val="20"/>
          <w:lang w:eastAsia="en-AU"/>
        </w:rPr>
      </w:pPr>
      <w:r w:rsidRPr="007B6DF7">
        <w:rPr>
          <w:rFonts w:eastAsia="Times New Roman" w:cs="Segoe UI"/>
          <w:szCs w:val="20"/>
          <w:lang w:val="en-GB" w:eastAsia="en-AU"/>
        </w:rPr>
        <w:t>In addition to better monitoring, patients described how their practice had become more proactive and comprehensive in the care they delivered since HCH started:</w:t>
      </w:r>
      <w:r w:rsidRPr="007B6DF7">
        <w:rPr>
          <w:rFonts w:eastAsia="Times New Roman"/>
          <w:szCs w:val="20"/>
          <w:lang w:eastAsia="en-AU"/>
        </w:rPr>
        <w:t> </w:t>
      </w:r>
    </w:p>
    <w:p w14:paraId="3D6E80CE"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 “…once a year you get checked in with your oncologist and they track you for a lifetime, whereas people with disabilities don’t have that. They don’t have someone following them for a lifetime, which is where the idea of Healthcare Homes becomes important…</w:t>
      </w:r>
      <w:r w:rsidRPr="007B6DF7">
        <w:rPr>
          <w:rFonts w:eastAsia="Times New Roman" w:cs="Segoe UI"/>
          <w:i/>
          <w:iCs/>
          <w:szCs w:val="20"/>
          <w:lang w:val="en-GB" w:eastAsia="en-AU"/>
        </w:rPr>
        <w:t> </w:t>
      </w:r>
      <w:r w:rsidRPr="0091232E">
        <w:rPr>
          <w:rFonts w:eastAsia="Times New Roman" w:cs="Segoe UI"/>
          <w:iCs/>
          <w:szCs w:val="20"/>
          <w:lang w:val="en-GB" w:eastAsia="en-AU"/>
        </w:rPr>
        <w:t>[the practice]</w:t>
      </w:r>
      <w:r w:rsidRPr="007B6DF7">
        <w:rPr>
          <w:rFonts w:eastAsia="Times New Roman" w:cs="Segoe UI"/>
          <w:i/>
          <w:iCs/>
          <w:szCs w:val="20"/>
          <w:lang w:val="en-GB" w:eastAsia="en-AU"/>
        </w:rPr>
        <w:t xml:space="preserve"> liaises if he has to go in for a general anaesthetic, they will liaise with say the oncologist, the endocrinologist and find out what bloods need to happen so they can all be done while he’s under that general anaesthetic. So, that sort of stuff is really important, because if I’m sitting in the hospital with him in emergency or something, I then have to ring all these people…But if I can just ring the GP and say can you speak to x, y and z and make sure that we’ve got everything we need covered.</w:t>
      </w:r>
      <w:r w:rsidRPr="007B6DF7">
        <w:rPr>
          <w:rFonts w:eastAsia="Times New Roman" w:cs="Segoe UI"/>
          <w:i/>
          <w:iCs/>
          <w:szCs w:val="20"/>
          <w:lang w:eastAsia="en-AU"/>
        </w:rPr>
        <w:t>”</w:t>
      </w:r>
      <w:r w:rsidRPr="007B6DF7">
        <w:rPr>
          <w:rFonts w:eastAsia="Times New Roman" w:cs="Segoe UI"/>
          <w:szCs w:val="20"/>
          <w:lang w:eastAsia="en-AU"/>
        </w:rPr>
        <w:t> [Carer, Practice 5</w:t>
      </w:r>
      <w:r>
        <w:rPr>
          <w:rFonts w:eastAsia="Times New Roman" w:cs="Segoe UI"/>
          <w:szCs w:val="20"/>
          <w:lang w:eastAsia="en-AU"/>
        </w:rPr>
        <w:t>, interview, R2]</w:t>
      </w:r>
      <w:r w:rsidRPr="007B6DF7">
        <w:rPr>
          <w:rFonts w:eastAsia="Times New Roman"/>
          <w:szCs w:val="20"/>
          <w:lang w:eastAsia="en-AU"/>
        </w:rPr>
        <w:t> </w:t>
      </w:r>
    </w:p>
    <w:p w14:paraId="535029D7"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“Before that it was pretty lax...I would have to go and see the doctor and say I want a blood test done for my sugar and all of this. I was the one that was always…Driving it and I shouldn't have been. You know but this has all changed now and that's been, I suppose, 18 months and maybe two years...”</w:t>
      </w:r>
      <w:r w:rsidRPr="007B6DF7">
        <w:rPr>
          <w:rFonts w:eastAsia="Times New Roman" w:cs="Segoe UI"/>
          <w:szCs w:val="20"/>
          <w:lang w:val="en-GB" w:eastAsia="en-AU"/>
        </w:rPr>
        <w:t> [Patient 5, Practice 4</w:t>
      </w:r>
      <w:r>
        <w:rPr>
          <w:rFonts w:eastAsia="Times New Roman" w:cs="Segoe UI"/>
          <w:szCs w:val="20"/>
          <w:lang w:val="en-GB" w:eastAsia="en-AU"/>
        </w:rPr>
        <w:t>, interview, R2]</w:t>
      </w:r>
      <w:r w:rsidRPr="007B6DF7">
        <w:rPr>
          <w:rFonts w:eastAsia="Times New Roman"/>
          <w:szCs w:val="20"/>
          <w:lang w:eastAsia="en-AU"/>
        </w:rPr>
        <w:t> </w:t>
      </w:r>
    </w:p>
    <w:p w14:paraId="4561F020" w14:textId="77777777" w:rsidR="001C19F3" w:rsidRPr="007B6DF7" w:rsidRDefault="001C19F3" w:rsidP="001C19F3">
      <w:pPr>
        <w:ind w:left="567" w:right="1088"/>
        <w:rPr>
          <w:rFonts w:eastAsia="Times New Roman" w:cs="Segoe UI"/>
          <w:szCs w:val="20"/>
          <w:lang w:val="en-GB" w:eastAsia="en-AU"/>
        </w:rPr>
      </w:pPr>
      <w:r w:rsidRPr="007B6DF7">
        <w:rPr>
          <w:rFonts w:eastAsia="Times New Roman" w:cs="Segoe UI"/>
          <w:i/>
          <w:iCs/>
          <w:szCs w:val="20"/>
          <w:lang w:val="en-GB" w:eastAsia="en-AU"/>
        </w:rPr>
        <w:t>“</w:t>
      </w:r>
      <w:r w:rsidRPr="00643F90">
        <w:rPr>
          <w:rFonts w:eastAsia="Times New Roman" w:cs="Segoe UI"/>
          <w:iCs/>
          <w:szCs w:val="20"/>
          <w:lang w:val="en-GB" w:eastAsia="en-AU"/>
        </w:rPr>
        <w:t>[The care process has]</w:t>
      </w:r>
      <w:r w:rsidRPr="007B6DF7">
        <w:rPr>
          <w:rFonts w:eastAsia="Times New Roman" w:cs="Segoe UI"/>
          <w:i/>
          <w:iCs/>
          <w:szCs w:val="20"/>
          <w:lang w:val="en-GB" w:eastAsia="en-AU"/>
        </w:rPr>
        <w:t xml:space="preserve"> probably intensified a little bit, whether it was just me or whether the practice as a whole was doing it, but, you know, they’ve always been…a multi-branch sort of thing...They want to talk to you about health and talk about…wellbeing in total and lifestyle and that sort of thing.”</w:t>
      </w:r>
      <w:r w:rsidRPr="007B6DF7">
        <w:rPr>
          <w:rFonts w:eastAsia="Times New Roman" w:cs="Segoe UI"/>
          <w:szCs w:val="20"/>
          <w:lang w:val="en-GB" w:eastAsia="en-AU"/>
        </w:rPr>
        <w:t> [Patient 3, Practice 5</w:t>
      </w:r>
      <w:r>
        <w:rPr>
          <w:rFonts w:eastAsia="Times New Roman" w:cs="Segoe UI"/>
          <w:szCs w:val="20"/>
          <w:lang w:val="en-GB" w:eastAsia="en-AU"/>
        </w:rPr>
        <w:t>, interview, R2]</w:t>
      </w:r>
    </w:p>
    <w:p w14:paraId="5945DF5A"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lastRenderedPageBreak/>
        <w:t>Involvement with care planning </w:t>
      </w:r>
    </w:p>
    <w:p w14:paraId="689676D4" w14:textId="77777777" w:rsidR="001C19F3" w:rsidRPr="007B6DF7" w:rsidRDefault="001C19F3" w:rsidP="001C19F3">
      <w:pPr>
        <w:rPr>
          <w:sz w:val="18"/>
          <w:szCs w:val="18"/>
        </w:rPr>
      </w:pPr>
      <w:bookmarkStart w:id="365" w:name="_Hlk21173788"/>
      <w:r w:rsidRPr="007B6DF7">
        <w:t>Through the survey, patients were asked about their awareness of a treatment or shared care plan prior to enrolling in HCH, whether they had received a copy of the plan in the last six months and whether a copy of the plan was available on My Health Record (</w:t>
      </w:r>
      <w:r w:rsidRPr="007B6DF7">
        <w:fldChar w:fldCharType="begin"/>
      </w:r>
      <w:r w:rsidRPr="007B6DF7">
        <w:instrText xml:space="preserve"> REF _Ref20832774 \h  \* MERGEFORMAT </w:instrText>
      </w:r>
      <w:r w:rsidRPr="007B6DF7">
        <w:fldChar w:fldCharType="separate"/>
      </w:r>
      <w:r w:rsidRPr="00822044">
        <w:t>Table 55</w:t>
      </w:r>
      <w:r w:rsidRPr="007B6DF7">
        <w:fldChar w:fldCharType="end"/>
      </w:r>
      <w:r w:rsidRPr="007B6DF7">
        <w:t>).</w:t>
      </w:r>
      <w:r>
        <w:t xml:space="preserve"> </w:t>
      </w:r>
      <w:r w:rsidRPr="007B6DF7">
        <w:t>Around 57% of patients surveyed reported being aware of a treatment or shared care plan. Of those, 42% reported that the plan was discussed with the GP or other practice staff at most consultations, and 43</w:t>
      </w:r>
      <w:r>
        <w:t>%</w:t>
      </w:r>
      <w:r w:rsidRPr="007B6DF7">
        <w:t xml:space="preserve"> reported that it was sometimes discussed (</w:t>
      </w:r>
      <w:r w:rsidRPr="007B6DF7">
        <w:fldChar w:fldCharType="begin"/>
      </w:r>
      <w:r w:rsidRPr="007B6DF7">
        <w:instrText xml:space="preserve"> REF _Ref20832927 \h  \* MERGEFORMAT </w:instrText>
      </w:r>
      <w:r w:rsidRPr="007B6DF7">
        <w:fldChar w:fldCharType="separate"/>
      </w:r>
      <w:r w:rsidRPr="00822044">
        <w:t>Table 56</w:t>
      </w:r>
      <w:r w:rsidRPr="007B6DF7">
        <w:fldChar w:fldCharType="end"/>
      </w:r>
      <w:r w:rsidRPr="007B6DF7">
        <w:t xml:space="preserve">). </w:t>
      </w:r>
      <w:bookmarkEnd w:id="365"/>
      <w:r w:rsidRPr="007B6DF7">
        <w:t>Surveys in Round 4 and 5 will explore whether there are changes in these responses.</w:t>
      </w:r>
      <w:r>
        <w:t xml:space="preserve"> </w:t>
      </w:r>
      <w:r w:rsidRPr="007B6DF7">
        <w:t>This could be expected, as the development of a share care plan is a requirement for the HCH program</w:t>
      </w:r>
      <w:r w:rsidRPr="007B6DF7">
        <w:rPr>
          <w:vertAlign w:val="superscript"/>
        </w:rPr>
        <w:footnoteReference w:id="16"/>
      </w:r>
      <w:r w:rsidRPr="007B6DF7">
        <w:t xml:space="preserve">. </w:t>
      </w:r>
    </w:p>
    <w:p w14:paraId="6F599BDF" w14:textId="77777777" w:rsidR="001C19F3" w:rsidRPr="007B6DF7" w:rsidRDefault="001C19F3" w:rsidP="001C19F3">
      <w:pPr>
        <w:spacing w:after="0"/>
        <w:jc w:val="center"/>
        <w:rPr>
          <w:b/>
        </w:rPr>
      </w:pPr>
      <w:bookmarkStart w:id="366" w:name="_Ref20832774"/>
      <w:r w:rsidRPr="007B6DF7">
        <w:rPr>
          <w:b/>
        </w:rPr>
        <w:t xml:space="preserve">Table </w:t>
      </w:r>
      <w:r w:rsidRPr="007B6DF7">
        <w:rPr>
          <w:b/>
        </w:rPr>
        <w:fldChar w:fldCharType="begin"/>
      </w:r>
      <w:r w:rsidRPr="007B6DF7">
        <w:rPr>
          <w:b/>
        </w:rPr>
        <w:instrText>SEQ Table \* ARABIC</w:instrText>
      </w:r>
      <w:r w:rsidRPr="007B6DF7">
        <w:rPr>
          <w:b/>
        </w:rPr>
        <w:fldChar w:fldCharType="separate"/>
      </w:r>
      <w:r>
        <w:rPr>
          <w:b/>
          <w:noProof/>
        </w:rPr>
        <w:t>55</w:t>
      </w:r>
      <w:r w:rsidRPr="007B6DF7">
        <w:rPr>
          <w:b/>
        </w:rPr>
        <w:fldChar w:fldCharType="end"/>
      </w:r>
      <w:bookmarkEnd w:id="366"/>
      <w:r w:rsidRPr="007B6DF7">
        <w:rPr>
          <w:b/>
        </w:rPr>
        <w:t xml:space="preserve"> – Patient responses related to treatment/ shared care which the GP or practice staff developed with the patient prior to enrolling in HCH</w:t>
      </w:r>
    </w:p>
    <w:tbl>
      <w:tblPr>
        <w:tblW w:w="8997"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1285"/>
        <w:gridCol w:w="1824"/>
        <w:gridCol w:w="2032"/>
        <w:gridCol w:w="1653"/>
        <w:gridCol w:w="2203"/>
      </w:tblGrid>
      <w:tr w:rsidR="001C19F3" w:rsidRPr="007B6DF7" w14:paraId="2E5AC973" w14:textId="77777777" w:rsidTr="00521305">
        <w:trPr>
          <w:cantSplit/>
          <w:trHeight w:val="1269"/>
          <w:tblHeader/>
          <w:jc w:val="center"/>
        </w:trPr>
        <w:tc>
          <w:tcPr>
            <w:tcW w:w="1285" w:type="dxa"/>
            <w:shd w:val="clear" w:color="auto" w:fill="003D79"/>
            <w:tcMar>
              <w:top w:w="0" w:type="dxa"/>
              <w:left w:w="0" w:type="dxa"/>
              <w:bottom w:w="0" w:type="dxa"/>
              <w:right w:w="0" w:type="dxa"/>
            </w:tcMar>
            <w:vAlign w:val="center"/>
            <w:hideMark/>
          </w:tcPr>
          <w:p w14:paraId="5BBDB9B0" w14:textId="77777777" w:rsidR="001C19F3" w:rsidRPr="007B6DF7" w:rsidRDefault="001C19F3" w:rsidP="00521305">
            <w:pPr>
              <w:spacing w:after="0"/>
              <w:jc w:val="center"/>
              <w:rPr>
                <w:rFonts w:eastAsiaTheme="minorHAnsi" w:cstheme="minorHAnsi"/>
                <w:sz w:val="18"/>
                <w:szCs w:val="18"/>
              </w:rPr>
            </w:pPr>
            <w:r w:rsidRPr="007B6DF7">
              <w:rPr>
                <w:rFonts w:cstheme="minorHAnsi"/>
                <w:b/>
                <w:color w:val="FFFFFF"/>
                <w:sz w:val="18"/>
                <w:szCs w:val="18"/>
              </w:rPr>
              <w:t>Response</w:t>
            </w:r>
          </w:p>
        </w:tc>
        <w:tc>
          <w:tcPr>
            <w:tcW w:w="1824" w:type="dxa"/>
            <w:shd w:val="clear" w:color="auto" w:fill="003D79"/>
            <w:tcMar>
              <w:top w:w="0" w:type="dxa"/>
              <w:left w:w="0" w:type="dxa"/>
              <w:bottom w:w="0" w:type="dxa"/>
              <w:right w:w="0" w:type="dxa"/>
            </w:tcMar>
            <w:vAlign w:val="center"/>
            <w:hideMark/>
          </w:tcPr>
          <w:p w14:paraId="1889828F" w14:textId="77777777" w:rsidR="001C19F3" w:rsidRPr="007B6DF7" w:rsidRDefault="001C19F3" w:rsidP="00521305">
            <w:pPr>
              <w:spacing w:after="0"/>
              <w:jc w:val="center"/>
              <w:rPr>
                <w:rFonts w:cstheme="minorHAnsi"/>
                <w:sz w:val="18"/>
                <w:szCs w:val="18"/>
              </w:rPr>
            </w:pPr>
            <w:r w:rsidRPr="007B6DF7">
              <w:rPr>
                <w:rFonts w:cstheme="minorHAnsi"/>
                <w:b/>
                <w:color w:val="FFFFFF" w:themeColor="background1"/>
                <w:sz w:val="18"/>
                <w:szCs w:val="18"/>
              </w:rPr>
              <w:t>Patient had a treatment/ shared care plan</w:t>
            </w:r>
          </w:p>
        </w:tc>
        <w:tc>
          <w:tcPr>
            <w:tcW w:w="2032" w:type="dxa"/>
            <w:shd w:val="clear" w:color="auto" w:fill="003D79"/>
            <w:vAlign w:val="center"/>
          </w:tcPr>
          <w:p w14:paraId="6E6277D2" w14:textId="77777777" w:rsidR="001C19F3" w:rsidRPr="007B6DF7" w:rsidRDefault="001C19F3" w:rsidP="00521305">
            <w:pPr>
              <w:spacing w:after="0"/>
              <w:jc w:val="center"/>
              <w:rPr>
                <w:rFonts w:cstheme="minorHAnsi"/>
                <w:b/>
                <w:color w:val="FFFFFF" w:themeColor="background1"/>
                <w:sz w:val="18"/>
                <w:szCs w:val="18"/>
              </w:rPr>
            </w:pPr>
            <w:r w:rsidRPr="007B6DF7">
              <w:rPr>
                <w:rFonts w:cstheme="minorHAnsi"/>
                <w:b/>
                <w:color w:val="FFFFFF" w:themeColor="background1"/>
                <w:sz w:val="18"/>
                <w:szCs w:val="18"/>
              </w:rPr>
              <w:t>Patient was given a copy of treatment/ shared care plan in the last 6 months (1)</w:t>
            </w:r>
          </w:p>
        </w:tc>
        <w:tc>
          <w:tcPr>
            <w:tcW w:w="1653" w:type="dxa"/>
            <w:shd w:val="clear" w:color="auto" w:fill="003D79"/>
            <w:vAlign w:val="center"/>
          </w:tcPr>
          <w:p w14:paraId="529BA541" w14:textId="77777777" w:rsidR="001C19F3" w:rsidRPr="007B6DF7" w:rsidRDefault="001C19F3" w:rsidP="00521305">
            <w:pPr>
              <w:spacing w:after="0"/>
              <w:jc w:val="center"/>
              <w:rPr>
                <w:rFonts w:cstheme="minorHAnsi"/>
                <w:b/>
                <w:color w:val="FFFFFF" w:themeColor="background1"/>
                <w:sz w:val="18"/>
                <w:szCs w:val="18"/>
              </w:rPr>
            </w:pPr>
            <w:r w:rsidRPr="007B6DF7">
              <w:rPr>
                <w:rFonts w:cstheme="minorHAnsi"/>
                <w:b/>
                <w:color w:val="FFFFFF" w:themeColor="background1"/>
                <w:sz w:val="18"/>
                <w:szCs w:val="18"/>
              </w:rPr>
              <w:t>Patient has registered for My Health Record</w:t>
            </w:r>
          </w:p>
        </w:tc>
        <w:tc>
          <w:tcPr>
            <w:tcW w:w="2203" w:type="dxa"/>
            <w:shd w:val="clear" w:color="auto" w:fill="003D79"/>
            <w:vAlign w:val="center"/>
          </w:tcPr>
          <w:p w14:paraId="381F9318" w14:textId="77777777" w:rsidR="001C19F3" w:rsidRPr="007B6DF7" w:rsidRDefault="001C19F3" w:rsidP="00521305">
            <w:pPr>
              <w:spacing w:after="0"/>
              <w:jc w:val="center"/>
              <w:rPr>
                <w:rFonts w:cstheme="minorHAnsi"/>
                <w:b/>
                <w:color w:val="FFFFFF" w:themeColor="background1"/>
                <w:sz w:val="18"/>
                <w:szCs w:val="18"/>
              </w:rPr>
            </w:pPr>
            <w:r w:rsidRPr="007B6DF7">
              <w:rPr>
                <w:rFonts w:cstheme="minorHAnsi"/>
                <w:b/>
                <w:color w:val="FFFFFF" w:themeColor="background1"/>
                <w:sz w:val="18"/>
                <w:szCs w:val="18"/>
              </w:rPr>
              <w:t>Copy of the treatment/ shared care plan included in My Health Record (2)</w:t>
            </w:r>
          </w:p>
        </w:tc>
      </w:tr>
      <w:tr w:rsidR="001C19F3" w:rsidRPr="007B6DF7" w14:paraId="26F27627" w14:textId="77777777" w:rsidTr="00521305">
        <w:trPr>
          <w:cantSplit/>
          <w:trHeight w:val="288"/>
          <w:jc w:val="center"/>
        </w:trPr>
        <w:tc>
          <w:tcPr>
            <w:tcW w:w="1285" w:type="dxa"/>
            <w:tcMar>
              <w:top w:w="0" w:type="dxa"/>
              <w:left w:w="0" w:type="dxa"/>
              <w:bottom w:w="0" w:type="dxa"/>
              <w:right w:w="0" w:type="dxa"/>
            </w:tcMar>
            <w:vAlign w:val="center"/>
          </w:tcPr>
          <w:p w14:paraId="6BEF106C"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Yes</w:t>
            </w:r>
          </w:p>
        </w:tc>
        <w:tc>
          <w:tcPr>
            <w:tcW w:w="1824" w:type="dxa"/>
            <w:tcMar>
              <w:top w:w="0" w:type="dxa"/>
              <w:left w:w="0" w:type="dxa"/>
              <w:bottom w:w="0" w:type="dxa"/>
              <w:right w:w="0" w:type="dxa"/>
            </w:tcMar>
            <w:vAlign w:val="center"/>
          </w:tcPr>
          <w:p w14:paraId="4D5602A8"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1,159 (57.4%)</w:t>
            </w:r>
          </w:p>
        </w:tc>
        <w:tc>
          <w:tcPr>
            <w:tcW w:w="2032" w:type="dxa"/>
            <w:vAlign w:val="center"/>
          </w:tcPr>
          <w:p w14:paraId="77B0D7F2"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850 (73.3%)</w:t>
            </w:r>
          </w:p>
        </w:tc>
        <w:tc>
          <w:tcPr>
            <w:tcW w:w="1653" w:type="dxa"/>
          </w:tcPr>
          <w:p w14:paraId="565954DA" w14:textId="77777777" w:rsidR="001C19F3" w:rsidRPr="007B6DF7" w:rsidRDefault="001C19F3" w:rsidP="00521305">
            <w:pPr>
              <w:spacing w:before="40" w:after="40"/>
              <w:ind w:left="40" w:right="40"/>
              <w:jc w:val="center"/>
              <w:rPr>
                <w:rFonts w:cstheme="minorHAnsi"/>
                <w:color w:val="000000"/>
                <w:sz w:val="18"/>
                <w:szCs w:val="18"/>
              </w:rPr>
            </w:pPr>
            <w:r w:rsidRPr="007B6DF7">
              <w:rPr>
                <w:sz w:val="18"/>
                <w:szCs w:val="18"/>
              </w:rPr>
              <w:t>1,449 (71.8%)</w:t>
            </w:r>
          </w:p>
        </w:tc>
        <w:tc>
          <w:tcPr>
            <w:tcW w:w="2203" w:type="dxa"/>
            <w:vAlign w:val="center"/>
          </w:tcPr>
          <w:p w14:paraId="3C190570" w14:textId="77777777" w:rsidR="001C19F3" w:rsidRPr="007B6DF7" w:rsidRDefault="001C19F3" w:rsidP="00521305">
            <w:pPr>
              <w:spacing w:before="40" w:after="40"/>
              <w:ind w:left="40" w:right="40"/>
              <w:jc w:val="center"/>
              <w:rPr>
                <w:sz w:val="18"/>
                <w:szCs w:val="18"/>
              </w:rPr>
            </w:pPr>
            <w:r w:rsidRPr="007B6DF7">
              <w:rPr>
                <w:sz w:val="18"/>
                <w:szCs w:val="18"/>
              </w:rPr>
              <w:t>420 (47.4%)</w:t>
            </w:r>
          </w:p>
        </w:tc>
      </w:tr>
      <w:tr w:rsidR="001C19F3" w:rsidRPr="007B6DF7" w14:paraId="64575CD6" w14:textId="77777777" w:rsidTr="00521305">
        <w:trPr>
          <w:cantSplit/>
          <w:trHeight w:val="288"/>
          <w:jc w:val="center"/>
        </w:trPr>
        <w:tc>
          <w:tcPr>
            <w:tcW w:w="1285" w:type="dxa"/>
            <w:tcMar>
              <w:top w:w="0" w:type="dxa"/>
              <w:left w:w="0" w:type="dxa"/>
              <w:bottom w:w="0" w:type="dxa"/>
              <w:right w:w="0" w:type="dxa"/>
            </w:tcMar>
            <w:vAlign w:val="center"/>
          </w:tcPr>
          <w:p w14:paraId="3EAB6F30"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No</w:t>
            </w:r>
          </w:p>
        </w:tc>
        <w:tc>
          <w:tcPr>
            <w:tcW w:w="1824" w:type="dxa"/>
            <w:tcMar>
              <w:top w:w="0" w:type="dxa"/>
              <w:left w:w="0" w:type="dxa"/>
              <w:bottom w:w="0" w:type="dxa"/>
              <w:right w:w="0" w:type="dxa"/>
            </w:tcMar>
            <w:vAlign w:val="center"/>
          </w:tcPr>
          <w:p w14:paraId="51D5670B"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747 (37.0%)</w:t>
            </w:r>
          </w:p>
        </w:tc>
        <w:tc>
          <w:tcPr>
            <w:tcW w:w="2032" w:type="dxa"/>
            <w:vAlign w:val="center"/>
          </w:tcPr>
          <w:p w14:paraId="02DEEC56"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260 (22.4%)</w:t>
            </w:r>
          </w:p>
        </w:tc>
        <w:tc>
          <w:tcPr>
            <w:tcW w:w="1653" w:type="dxa"/>
          </w:tcPr>
          <w:p w14:paraId="3D1D62D4" w14:textId="77777777" w:rsidR="001C19F3" w:rsidRPr="007B6DF7" w:rsidRDefault="001C19F3" w:rsidP="00521305">
            <w:pPr>
              <w:spacing w:before="40" w:after="40"/>
              <w:ind w:left="40" w:right="40"/>
              <w:jc w:val="center"/>
              <w:rPr>
                <w:rFonts w:cstheme="minorHAnsi"/>
                <w:color w:val="000000"/>
                <w:sz w:val="18"/>
                <w:szCs w:val="18"/>
              </w:rPr>
            </w:pPr>
            <w:r w:rsidRPr="007B6DF7">
              <w:rPr>
                <w:sz w:val="18"/>
                <w:szCs w:val="18"/>
              </w:rPr>
              <w:t>338 (16.7%)</w:t>
            </w:r>
          </w:p>
        </w:tc>
        <w:tc>
          <w:tcPr>
            <w:tcW w:w="2203" w:type="dxa"/>
            <w:vAlign w:val="center"/>
          </w:tcPr>
          <w:p w14:paraId="2B6532B7" w14:textId="77777777" w:rsidR="001C19F3" w:rsidRPr="007B6DF7" w:rsidRDefault="001C19F3" w:rsidP="00521305">
            <w:pPr>
              <w:spacing w:before="40" w:after="40"/>
              <w:ind w:left="40" w:right="40"/>
              <w:jc w:val="center"/>
              <w:rPr>
                <w:sz w:val="18"/>
                <w:szCs w:val="18"/>
              </w:rPr>
            </w:pPr>
            <w:r w:rsidRPr="007B6DF7">
              <w:rPr>
                <w:sz w:val="18"/>
                <w:szCs w:val="18"/>
              </w:rPr>
              <w:t>59 (6.7%)</w:t>
            </w:r>
          </w:p>
        </w:tc>
      </w:tr>
      <w:tr w:rsidR="001C19F3" w:rsidRPr="007B6DF7" w14:paraId="35267818" w14:textId="77777777" w:rsidTr="00521305">
        <w:trPr>
          <w:cantSplit/>
          <w:trHeight w:val="288"/>
          <w:jc w:val="center"/>
        </w:trPr>
        <w:tc>
          <w:tcPr>
            <w:tcW w:w="1285" w:type="dxa"/>
            <w:tcMar>
              <w:top w:w="0" w:type="dxa"/>
              <w:left w:w="0" w:type="dxa"/>
              <w:bottom w:w="0" w:type="dxa"/>
              <w:right w:w="0" w:type="dxa"/>
            </w:tcMar>
            <w:vAlign w:val="center"/>
          </w:tcPr>
          <w:p w14:paraId="06916D17"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Don't know</w:t>
            </w:r>
          </w:p>
        </w:tc>
        <w:tc>
          <w:tcPr>
            <w:tcW w:w="1824" w:type="dxa"/>
            <w:tcMar>
              <w:top w:w="0" w:type="dxa"/>
              <w:left w:w="0" w:type="dxa"/>
              <w:bottom w:w="0" w:type="dxa"/>
              <w:right w:w="0" w:type="dxa"/>
            </w:tcMar>
            <w:vAlign w:val="center"/>
          </w:tcPr>
          <w:p w14:paraId="1412BBB0"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112 (5.6%)</w:t>
            </w:r>
          </w:p>
        </w:tc>
        <w:tc>
          <w:tcPr>
            <w:tcW w:w="2032" w:type="dxa"/>
            <w:vAlign w:val="center"/>
          </w:tcPr>
          <w:p w14:paraId="2DB7087C"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49 (4.2%)</w:t>
            </w:r>
          </w:p>
        </w:tc>
        <w:tc>
          <w:tcPr>
            <w:tcW w:w="1653" w:type="dxa"/>
          </w:tcPr>
          <w:p w14:paraId="61CD43B4" w14:textId="77777777" w:rsidR="001C19F3" w:rsidRPr="007B6DF7" w:rsidRDefault="001C19F3" w:rsidP="00521305">
            <w:pPr>
              <w:spacing w:before="40" w:after="40"/>
              <w:ind w:left="40" w:right="40"/>
              <w:jc w:val="center"/>
              <w:rPr>
                <w:rFonts w:cstheme="minorHAnsi"/>
                <w:color w:val="000000"/>
                <w:sz w:val="18"/>
                <w:szCs w:val="18"/>
              </w:rPr>
            </w:pPr>
            <w:r w:rsidRPr="007B6DF7">
              <w:rPr>
                <w:sz w:val="18"/>
                <w:szCs w:val="18"/>
              </w:rPr>
              <w:t>231 (11.4%)</w:t>
            </w:r>
          </w:p>
        </w:tc>
        <w:tc>
          <w:tcPr>
            <w:tcW w:w="2203" w:type="dxa"/>
            <w:vAlign w:val="center"/>
          </w:tcPr>
          <w:p w14:paraId="1AAB353F" w14:textId="77777777" w:rsidR="001C19F3" w:rsidRPr="007B6DF7" w:rsidRDefault="001C19F3" w:rsidP="00521305">
            <w:pPr>
              <w:spacing w:before="40" w:after="40"/>
              <w:ind w:left="40" w:right="40"/>
              <w:jc w:val="center"/>
              <w:rPr>
                <w:sz w:val="18"/>
                <w:szCs w:val="18"/>
              </w:rPr>
            </w:pPr>
            <w:r w:rsidRPr="007B6DF7">
              <w:rPr>
                <w:sz w:val="18"/>
                <w:szCs w:val="18"/>
              </w:rPr>
              <w:t>408 (46.0%)</w:t>
            </w:r>
          </w:p>
        </w:tc>
      </w:tr>
    </w:tbl>
    <w:p w14:paraId="1FDA1221" w14:textId="77777777" w:rsidR="001C19F3" w:rsidRPr="007B6DF7" w:rsidRDefault="001C19F3" w:rsidP="001C19F3">
      <w:pPr>
        <w:pStyle w:val="Chartortablefootnote"/>
      </w:pPr>
      <w:r w:rsidRPr="007B6DF7">
        <w:t xml:space="preserve">Source: </w:t>
      </w:r>
      <w:r>
        <w:t>CATI surveys conducted by The Social Research Centre between December 2017 and March 2019</w:t>
      </w:r>
      <w:r w:rsidRPr="007B6DF7">
        <w:t>. (1) Reported for patients who reported that has a treatment plan/shared care plan. (2) Reported for patients who reported that has a treatment plan/shared care plan AND were registered for My Health Record.</w:t>
      </w:r>
    </w:p>
    <w:p w14:paraId="0BF63490" w14:textId="77777777" w:rsidR="001C19F3" w:rsidRPr="007B6DF7" w:rsidRDefault="001C19F3" w:rsidP="001C19F3">
      <w:pPr>
        <w:spacing w:after="0"/>
        <w:jc w:val="center"/>
        <w:rPr>
          <w:b/>
        </w:rPr>
      </w:pPr>
      <w:bookmarkStart w:id="367" w:name="_Ref20832927"/>
      <w:r w:rsidRPr="007B6DF7">
        <w:rPr>
          <w:b/>
        </w:rPr>
        <w:t xml:space="preserve">Table </w:t>
      </w:r>
      <w:r w:rsidRPr="007B6DF7">
        <w:rPr>
          <w:b/>
        </w:rPr>
        <w:fldChar w:fldCharType="begin"/>
      </w:r>
      <w:r w:rsidRPr="007B6DF7">
        <w:rPr>
          <w:b/>
        </w:rPr>
        <w:instrText>SEQ Table \* ARABIC</w:instrText>
      </w:r>
      <w:r w:rsidRPr="007B6DF7">
        <w:rPr>
          <w:b/>
        </w:rPr>
        <w:fldChar w:fldCharType="separate"/>
      </w:r>
      <w:r>
        <w:rPr>
          <w:b/>
          <w:noProof/>
        </w:rPr>
        <w:t>56</w:t>
      </w:r>
      <w:r w:rsidRPr="007B6DF7">
        <w:rPr>
          <w:b/>
        </w:rPr>
        <w:fldChar w:fldCharType="end"/>
      </w:r>
      <w:bookmarkEnd w:id="367"/>
      <w:r w:rsidRPr="007B6DF7">
        <w:rPr>
          <w:b/>
        </w:rPr>
        <w:t xml:space="preserve"> – Frequency with which treatment /shared care plan was discussed with the GP or practice staff over the last six months</w:t>
      </w:r>
    </w:p>
    <w:tbl>
      <w:tblPr>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10"/>
        <w:gridCol w:w="2957"/>
        <w:gridCol w:w="1134"/>
        <w:gridCol w:w="1276"/>
        <w:gridCol w:w="1134"/>
        <w:gridCol w:w="1276"/>
        <w:gridCol w:w="992"/>
      </w:tblGrid>
      <w:tr w:rsidR="001C19F3" w:rsidRPr="007B6DF7" w14:paraId="068604D2" w14:textId="77777777" w:rsidTr="00521305">
        <w:trPr>
          <w:gridBefore w:val="1"/>
          <w:wBefore w:w="10" w:type="dxa"/>
          <w:cantSplit/>
          <w:trHeight w:val="297"/>
          <w:tblHeader/>
          <w:jc w:val="center"/>
        </w:trPr>
        <w:tc>
          <w:tcPr>
            <w:tcW w:w="2957" w:type="dxa"/>
            <w:vMerge w:val="restart"/>
            <w:shd w:val="clear" w:color="auto" w:fill="003D79"/>
            <w:tcMar>
              <w:top w:w="0" w:type="dxa"/>
              <w:left w:w="0" w:type="dxa"/>
              <w:bottom w:w="0" w:type="dxa"/>
              <w:right w:w="0" w:type="dxa"/>
            </w:tcMar>
            <w:vAlign w:val="center"/>
            <w:hideMark/>
          </w:tcPr>
          <w:p w14:paraId="7F4B311B" w14:textId="77777777" w:rsidR="001C19F3" w:rsidRPr="007B6DF7" w:rsidRDefault="001C19F3" w:rsidP="00521305">
            <w:pPr>
              <w:spacing w:after="0"/>
              <w:jc w:val="center"/>
              <w:rPr>
                <w:rFonts w:eastAsiaTheme="minorHAnsi" w:cstheme="minorHAnsi"/>
                <w:sz w:val="18"/>
                <w:szCs w:val="18"/>
              </w:rPr>
            </w:pPr>
            <w:r w:rsidRPr="007B6DF7">
              <w:rPr>
                <w:rFonts w:cstheme="minorHAnsi"/>
                <w:b/>
                <w:color w:val="FFFFFF"/>
                <w:sz w:val="18"/>
                <w:szCs w:val="18"/>
              </w:rPr>
              <w:t>Response</w:t>
            </w:r>
            <w:r w:rsidRPr="000D4E17">
              <w:rPr>
                <w:rFonts w:cstheme="minorHAnsi"/>
                <w:b/>
                <w:color w:val="FFFFFF"/>
                <w:sz w:val="18"/>
                <w:szCs w:val="18"/>
                <w:vertAlign w:val="superscript"/>
              </w:rPr>
              <w:t>1</w:t>
            </w:r>
          </w:p>
        </w:tc>
        <w:tc>
          <w:tcPr>
            <w:tcW w:w="1134" w:type="dxa"/>
            <w:vMerge w:val="restart"/>
            <w:shd w:val="clear" w:color="auto" w:fill="003D79"/>
            <w:tcMar>
              <w:top w:w="0" w:type="dxa"/>
              <w:left w:w="0" w:type="dxa"/>
              <w:bottom w:w="0" w:type="dxa"/>
              <w:right w:w="0" w:type="dxa"/>
            </w:tcMar>
            <w:vAlign w:val="center"/>
            <w:hideMark/>
          </w:tcPr>
          <w:p w14:paraId="02A7CCE0" w14:textId="77777777" w:rsidR="001C19F3" w:rsidRPr="007B6DF7" w:rsidRDefault="001C19F3" w:rsidP="00521305">
            <w:pPr>
              <w:spacing w:after="0"/>
              <w:jc w:val="center"/>
              <w:rPr>
                <w:rFonts w:cstheme="minorHAnsi"/>
                <w:sz w:val="18"/>
                <w:szCs w:val="18"/>
              </w:rPr>
            </w:pPr>
            <w:r w:rsidRPr="007B6DF7">
              <w:rPr>
                <w:rFonts w:cstheme="minorHAnsi"/>
                <w:b/>
                <w:color w:val="FFFFFF"/>
                <w:sz w:val="18"/>
                <w:szCs w:val="18"/>
              </w:rPr>
              <w:t>Total</w:t>
            </w:r>
          </w:p>
        </w:tc>
        <w:tc>
          <w:tcPr>
            <w:tcW w:w="4678" w:type="dxa"/>
            <w:gridSpan w:val="4"/>
            <w:shd w:val="clear" w:color="auto" w:fill="003D79"/>
            <w:tcMar>
              <w:top w:w="0" w:type="dxa"/>
              <w:left w:w="0" w:type="dxa"/>
              <w:bottom w:w="0" w:type="dxa"/>
              <w:right w:w="0" w:type="dxa"/>
            </w:tcMar>
            <w:vAlign w:val="center"/>
            <w:hideMark/>
          </w:tcPr>
          <w:p w14:paraId="7A6B6EC9" w14:textId="77777777" w:rsidR="001C19F3" w:rsidRPr="007B6DF7" w:rsidRDefault="001C19F3" w:rsidP="00521305">
            <w:pPr>
              <w:spacing w:after="0"/>
              <w:jc w:val="center"/>
              <w:rPr>
                <w:rFonts w:cstheme="minorHAnsi"/>
                <w:sz w:val="18"/>
                <w:szCs w:val="18"/>
              </w:rPr>
            </w:pPr>
            <w:r>
              <w:rPr>
                <w:rFonts w:cstheme="minorHAnsi"/>
                <w:b/>
                <w:color w:val="FFFFFF"/>
                <w:sz w:val="18"/>
                <w:szCs w:val="18"/>
              </w:rPr>
              <w:t>HCH risk t</w:t>
            </w:r>
            <w:r w:rsidRPr="007B6DF7">
              <w:rPr>
                <w:rFonts w:cstheme="minorHAnsi"/>
                <w:b/>
                <w:color w:val="FFFFFF"/>
                <w:sz w:val="18"/>
                <w:szCs w:val="18"/>
              </w:rPr>
              <w:t>ier</w:t>
            </w:r>
          </w:p>
        </w:tc>
      </w:tr>
      <w:tr w:rsidR="001C19F3" w:rsidRPr="007B6DF7" w14:paraId="5F8AC37E" w14:textId="77777777" w:rsidTr="00521305">
        <w:trPr>
          <w:gridBefore w:val="1"/>
          <w:wBefore w:w="10" w:type="dxa"/>
          <w:cantSplit/>
          <w:trHeight w:val="330"/>
          <w:tblHeader/>
          <w:jc w:val="center"/>
        </w:trPr>
        <w:tc>
          <w:tcPr>
            <w:tcW w:w="2957" w:type="dxa"/>
            <w:vMerge/>
            <w:vAlign w:val="center"/>
            <w:hideMark/>
          </w:tcPr>
          <w:p w14:paraId="5E7390C7" w14:textId="77777777" w:rsidR="001C19F3" w:rsidRPr="007B6DF7" w:rsidRDefault="001C19F3" w:rsidP="00521305">
            <w:pPr>
              <w:spacing w:after="0"/>
              <w:jc w:val="center"/>
              <w:rPr>
                <w:rFonts w:cstheme="minorHAnsi"/>
                <w:sz w:val="18"/>
                <w:szCs w:val="18"/>
              </w:rPr>
            </w:pPr>
          </w:p>
        </w:tc>
        <w:tc>
          <w:tcPr>
            <w:tcW w:w="1134" w:type="dxa"/>
            <w:vMerge/>
            <w:vAlign w:val="center"/>
            <w:hideMark/>
          </w:tcPr>
          <w:p w14:paraId="12860DBE" w14:textId="77777777" w:rsidR="001C19F3" w:rsidRPr="007B6DF7" w:rsidRDefault="001C19F3" w:rsidP="00521305">
            <w:pPr>
              <w:spacing w:after="0"/>
              <w:jc w:val="center"/>
              <w:rPr>
                <w:rFonts w:cstheme="minorHAnsi"/>
                <w:sz w:val="18"/>
                <w:szCs w:val="18"/>
              </w:rPr>
            </w:pPr>
          </w:p>
        </w:tc>
        <w:tc>
          <w:tcPr>
            <w:tcW w:w="1276" w:type="dxa"/>
            <w:shd w:val="clear" w:color="auto" w:fill="003D79"/>
            <w:tcMar>
              <w:top w:w="0" w:type="dxa"/>
              <w:left w:w="0" w:type="dxa"/>
              <w:bottom w:w="0" w:type="dxa"/>
              <w:right w:w="0" w:type="dxa"/>
            </w:tcMar>
            <w:vAlign w:val="center"/>
            <w:hideMark/>
          </w:tcPr>
          <w:p w14:paraId="3BC9F7A2" w14:textId="77777777" w:rsidR="001C19F3" w:rsidRPr="007B6DF7" w:rsidRDefault="001C19F3" w:rsidP="00521305">
            <w:pPr>
              <w:spacing w:after="0"/>
              <w:jc w:val="center"/>
              <w:rPr>
                <w:rFonts w:cstheme="minorHAnsi"/>
                <w:sz w:val="18"/>
                <w:szCs w:val="18"/>
              </w:rPr>
            </w:pPr>
            <w:r w:rsidRPr="007B6DF7">
              <w:rPr>
                <w:rFonts w:cstheme="minorHAnsi"/>
                <w:b/>
                <w:color w:val="FFFFFF"/>
                <w:sz w:val="18"/>
                <w:szCs w:val="18"/>
              </w:rPr>
              <w:t>1</w:t>
            </w:r>
          </w:p>
        </w:tc>
        <w:tc>
          <w:tcPr>
            <w:tcW w:w="1134" w:type="dxa"/>
            <w:shd w:val="clear" w:color="auto" w:fill="003D79"/>
            <w:tcMar>
              <w:top w:w="0" w:type="dxa"/>
              <w:left w:w="0" w:type="dxa"/>
              <w:bottom w:w="0" w:type="dxa"/>
              <w:right w:w="0" w:type="dxa"/>
            </w:tcMar>
            <w:vAlign w:val="center"/>
            <w:hideMark/>
          </w:tcPr>
          <w:p w14:paraId="4E2DD1E0" w14:textId="77777777" w:rsidR="001C19F3" w:rsidRPr="007B6DF7" w:rsidRDefault="001C19F3" w:rsidP="00521305">
            <w:pPr>
              <w:spacing w:after="0"/>
              <w:jc w:val="center"/>
              <w:rPr>
                <w:rFonts w:cstheme="minorHAnsi"/>
                <w:sz w:val="18"/>
                <w:szCs w:val="18"/>
              </w:rPr>
            </w:pPr>
            <w:r w:rsidRPr="007B6DF7">
              <w:rPr>
                <w:rFonts w:cstheme="minorHAnsi"/>
                <w:b/>
                <w:color w:val="FFFFFF"/>
                <w:sz w:val="18"/>
                <w:szCs w:val="18"/>
              </w:rPr>
              <w:t>2</w:t>
            </w:r>
          </w:p>
        </w:tc>
        <w:tc>
          <w:tcPr>
            <w:tcW w:w="1276" w:type="dxa"/>
            <w:shd w:val="clear" w:color="auto" w:fill="003D79"/>
            <w:tcMar>
              <w:top w:w="0" w:type="dxa"/>
              <w:left w:w="0" w:type="dxa"/>
              <w:bottom w:w="0" w:type="dxa"/>
              <w:right w:w="0" w:type="dxa"/>
            </w:tcMar>
            <w:vAlign w:val="center"/>
            <w:hideMark/>
          </w:tcPr>
          <w:p w14:paraId="4ED957EA" w14:textId="77777777" w:rsidR="001C19F3" w:rsidRPr="007B6DF7" w:rsidRDefault="001C19F3" w:rsidP="00521305">
            <w:pPr>
              <w:spacing w:after="0"/>
              <w:jc w:val="center"/>
              <w:rPr>
                <w:rFonts w:cstheme="minorHAnsi"/>
                <w:sz w:val="18"/>
                <w:szCs w:val="18"/>
              </w:rPr>
            </w:pPr>
            <w:r w:rsidRPr="007B6DF7">
              <w:rPr>
                <w:rFonts w:cstheme="minorHAnsi"/>
                <w:b/>
                <w:color w:val="FFFFFF"/>
                <w:sz w:val="18"/>
                <w:szCs w:val="18"/>
              </w:rPr>
              <w:t>3</w:t>
            </w:r>
          </w:p>
        </w:tc>
        <w:tc>
          <w:tcPr>
            <w:tcW w:w="992" w:type="dxa"/>
            <w:shd w:val="clear" w:color="auto" w:fill="003D79"/>
            <w:vAlign w:val="center"/>
          </w:tcPr>
          <w:p w14:paraId="030E882C" w14:textId="77777777" w:rsidR="001C19F3" w:rsidRPr="007B6DF7" w:rsidRDefault="001C19F3" w:rsidP="00521305">
            <w:pPr>
              <w:spacing w:after="0"/>
              <w:jc w:val="center"/>
              <w:rPr>
                <w:rFonts w:cstheme="minorHAnsi"/>
                <w:sz w:val="18"/>
                <w:szCs w:val="18"/>
              </w:rPr>
            </w:pPr>
            <w:r w:rsidRPr="007B6DF7">
              <w:rPr>
                <w:rFonts w:eastAsia="Century Gothic" w:cs="Century Gothic"/>
                <w:b/>
                <w:color w:val="FFFFFF"/>
                <w:sz w:val="18"/>
                <w:szCs w:val="18"/>
              </w:rPr>
              <w:t>p</w:t>
            </w:r>
            <w:r w:rsidRPr="007B6DF7">
              <w:rPr>
                <w:rFonts w:eastAsia="Century Gothic" w:cs="Century Gothic"/>
                <w:b/>
                <w:color w:val="FFFFFF"/>
                <w:sz w:val="18"/>
                <w:szCs w:val="18"/>
              </w:rPr>
              <w:br/>
              <w:t>value</w:t>
            </w:r>
          </w:p>
        </w:tc>
      </w:tr>
      <w:tr w:rsidR="001C19F3" w:rsidRPr="007B6DF7" w14:paraId="3071F9C7" w14:textId="77777777" w:rsidTr="00521305">
        <w:trPr>
          <w:cantSplit/>
          <w:trHeight w:val="288"/>
          <w:jc w:val="center"/>
        </w:trPr>
        <w:tc>
          <w:tcPr>
            <w:tcW w:w="2967" w:type="dxa"/>
            <w:gridSpan w:val="2"/>
            <w:tcMar>
              <w:top w:w="0" w:type="dxa"/>
              <w:left w:w="0" w:type="dxa"/>
              <w:bottom w:w="0" w:type="dxa"/>
              <w:right w:w="0" w:type="dxa"/>
            </w:tcMar>
            <w:vAlign w:val="center"/>
            <w:hideMark/>
          </w:tcPr>
          <w:p w14:paraId="697AABDD"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At most or all consultations</w:t>
            </w:r>
          </w:p>
        </w:tc>
        <w:tc>
          <w:tcPr>
            <w:tcW w:w="1134" w:type="dxa"/>
            <w:tcMar>
              <w:top w:w="0" w:type="dxa"/>
              <w:left w:w="0" w:type="dxa"/>
              <w:bottom w:w="0" w:type="dxa"/>
              <w:right w:w="0" w:type="dxa"/>
            </w:tcMar>
            <w:vAlign w:val="center"/>
            <w:hideMark/>
          </w:tcPr>
          <w:p w14:paraId="22202E21" w14:textId="77777777" w:rsidR="001C19F3" w:rsidRPr="007B6DF7" w:rsidRDefault="001C19F3" w:rsidP="00521305">
            <w:pPr>
              <w:spacing w:before="40" w:after="40"/>
              <w:ind w:left="40" w:right="40"/>
              <w:jc w:val="center"/>
              <w:rPr>
                <w:rFonts w:cstheme="minorHAnsi"/>
                <w:sz w:val="18"/>
                <w:szCs w:val="18"/>
              </w:rPr>
            </w:pPr>
            <w:r w:rsidRPr="007B6DF7">
              <w:rPr>
                <w:rFonts w:cstheme="minorHAnsi"/>
                <w:color w:val="000000"/>
                <w:sz w:val="18"/>
                <w:szCs w:val="18"/>
              </w:rPr>
              <w:t>485 (41.8%)</w:t>
            </w:r>
          </w:p>
        </w:tc>
        <w:tc>
          <w:tcPr>
            <w:tcW w:w="1276" w:type="dxa"/>
            <w:tcMar>
              <w:top w:w="0" w:type="dxa"/>
              <w:left w:w="0" w:type="dxa"/>
              <w:bottom w:w="0" w:type="dxa"/>
              <w:right w:w="0" w:type="dxa"/>
            </w:tcMar>
            <w:vAlign w:val="center"/>
            <w:hideMark/>
          </w:tcPr>
          <w:p w14:paraId="47967098"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90 (41.7%)</w:t>
            </w:r>
          </w:p>
        </w:tc>
        <w:tc>
          <w:tcPr>
            <w:tcW w:w="1134" w:type="dxa"/>
            <w:tcMar>
              <w:top w:w="0" w:type="dxa"/>
              <w:left w:w="0" w:type="dxa"/>
              <w:bottom w:w="0" w:type="dxa"/>
              <w:right w:w="0" w:type="dxa"/>
            </w:tcMar>
            <w:vAlign w:val="center"/>
            <w:hideMark/>
          </w:tcPr>
          <w:p w14:paraId="716A516E"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244 (43.3%)</w:t>
            </w:r>
          </w:p>
        </w:tc>
        <w:tc>
          <w:tcPr>
            <w:tcW w:w="1276" w:type="dxa"/>
            <w:tcMar>
              <w:top w:w="0" w:type="dxa"/>
              <w:left w:w="0" w:type="dxa"/>
              <w:bottom w:w="0" w:type="dxa"/>
              <w:right w:w="0" w:type="dxa"/>
            </w:tcMar>
            <w:vAlign w:val="center"/>
            <w:hideMark/>
          </w:tcPr>
          <w:p w14:paraId="16C2DD7A"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130 (53.3%)</w:t>
            </w:r>
          </w:p>
        </w:tc>
        <w:tc>
          <w:tcPr>
            <w:tcW w:w="992" w:type="dxa"/>
            <w:vMerge w:val="restart"/>
            <w:vAlign w:val="center"/>
          </w:tcPr>
          <w:p w14:paraId="4CB7562E"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0.030</w:t>
            </w:r>
          </w:p>
        </w:tc>
      </w:tr>
      <w:tr w:rsidR="001C19F3" w:rsidRPr="007B6DF7" w14:paraId="027569D2" w14:textId="77777777" w:rsidTr="00521305">
        <w:trPr>
          <w:cantSplit/>
          <w:trHeight w:val="288"/>
          <w:jc w:val="center"/>
        </w:trPr>
        <w:tc>
          <w:tcPr>
            <w:tcW w:w="2967" w:type="dxa"/>
            <w:gridSpan w:val="2"/>
            <w:tcMar>
              <w:top w:w="0" w:type="dxa"/>
              <w:left w:w="0" w:type="dxa"/>
              <w:bottom w:w="0" w:type="dxa"/>
              <w:right w:w="0" w:type="dxa"/>
            </w:tcMar>
            <w:vAlign w:val="center"/>
            <w:hideMark/>
          </w:tcPr>
          <w:p w14:paraId="1F8823AF"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It was sometimes discussed</w:t>
            </w:r>
          </w:p>
        </w:tc>
        <w:tc>
          <w:tcPr>
            <w:tcW w:w="1134" w:type="dxa"/>
            <w:tcMar>
              <w:top w:w="0" w:type="dxa"/>
              <w:left w:w="0" w:type="dxa"/>
              <w:bottom w:w="0" w:type="dxa"/>
              <w:right w:w="0" w:type="dxa"/>
            </w:tcMar>
            <w:vAlign w:val="center"/>
            <w:hideMark/>
          </w:tcPr>
          <w:p w14:paraId="44CDA2A0" w14:textId="77777777" w:rsidR="001C19F3" w:rsidRPr="007B6DF7" w:rsidRDefault="001C19F3" w:rsidP="00521305">
            <w:pPr>
              <w:spacing w:before="40" w:after="40"/>
              <w:ind w:left="40" w:right="40"/>
              <w:jc w:val="center"/>
              <w:rPr>
                <w:rFonts w:cstheme="minorHAnsi"/>
                <w:sz w:val="18"/>
                <w:szCs w:val="18"/>
              </w:rPr>
            </w:pPr>
            <w:r w:rsidRPr="007B6DF7">
              <w:rPr>
                <w:rFonts w:cstheme="minorHAnsi"/>
                <w:color w:val="000000"/>
                <w:sz w:val="18"/>
                <w:szCs w:val="18"/>
              </w:rPr>
              <w:t>500 (43.1%)</w:t>
            </w:r>
          </w:p>
        </w:tc>
        <w:tc>
          <w:tcPr>
            <w:tcW w:w="1276" w:type="dxa"/>
            <w:tcMar>
              <w:top w:w="0" w:type="dxa"/>
              <w:left w:w="0" w:type="dxa"/>
              <w:bottom w:w="0" w:type="dxa"/>
              <w:right w:w="0" w:type="dxa"/>
            </w:tcMar>
            <w:vAlign w:val="center"/>
            <w:hideMark/>
          </w:tcPr>
          <w:p w14:paraId="1FE4BADB"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105 (48.6%)</w:t>
            </w:r>
          </w:p>
        </w:tc>
        <w:tc>
          <w:tcPr>
            <w:tcW w:w="1134" w:type="dxa"/>
            <w:tcMar>
              <w:top w:w="0" w:type="dxa"/>
              <w:left w:w="0" w:type="dxa"/>
              <w:bottom w:w="0" w:type="dxa"/>
              <w:right w:w="0" w:type="dxa"/>
            </w:tcMar>
            <w:vAlign w:val="center"/>
            <w:hideMark/>
          </w:tcPr>
          <w:p w14:paraId="24E11829"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274 (48.6%)</w:t>
            </w:r>
          </w:p>
        </w:tc>
        <w:tc>
          <w:tcPr>
            <w:tcW w:w="1276" w:type="dxa"/>
            <w:tcMar>
              <w:top w:w="0" w:type="dxa"/>
              <w:left w:w="0" w:type="dxa"/>
              <w:bottom w:w="0" w:type="dxa"/>
              <w:right w:w="0" w:type="dxa"/>
            </w:tcMar>
            <w:vAlign w:val="center"/>
            <w:hideMark/>
          </w:tcPr>
          <w:p w14:paraId="6A68A400" w14:textId="77777777" w:rsidR="001C19F3" w:rsidRPr="007B6DF7" w:rsidRDefault="001C19F3" w:rsidP="00521305">
            <w:pPr>
              <w:spacing w:before="40" w:after="40"/>
              <w:ind w:left="40" w:right="40"/>
              <w:jc w:val="center"/>
              <w:rPr>
                <w:rFonts w:cstheme="minorHAnsi"/>
                <w:sz w:val="18"/>
                <w:szCs w:val="18"/>
              </w:rPr>
            </w:pPr>
            <w:r w:rsidRPr="007B6DF7">
              <w:rPr>
                <w:rFonts w:eastAsia="Century Gothic" w:cs="Century Gothic"/>
                <w:color w:val="000000"/>
                <w:sz w:val="18"/>
                <w:szCs w:val="18"/>
              </w:rPr>
              <w:t>103 (42.2%)</w:t>
            </w:r>
          </w:p>
        </w:tc>
        <w:tc>
          <w:tcPr>
            <w:tcW w:w="992" w:type="dxa"/>
            <w:vMerge/>
            <w:vAlign w:val="center"/>
          </w:tcPr>
          <w:p w14:paraId="4B687C4D" w14:textId="77777777" w:rsidR="001C19F3" w:rsidRPr="007B6DF7" w:rsidRDefault="001C19F3" w:rsidP="00521305">
            <w:pPr>
              <w:spacing w:before="40" w:after="40"/>
              <w:ind w:left="40" w:right="40"/>
              <w:jc w:val="center"/>
              <w:rPr>
                <w:rFonts w:cstheme="minorHAnsi"/>
                <w:sz w:val="18"/>
                <w:szCs w:val="18"/>
              </w:rPr>
            </w:pPr>
          </w:p>
        </w:tc>
      </w:tr>
      <w:tr w:rsidR="001C19F3" w:rsidRPr="007B6DF7" w14:paraId="07CE8E68" w14:textId="77777777" w:rsidTr="00521305">
        <w:trPr>
          <w:cantSplit/>
          <w:trHeight w:val="288"/>
          <w:jc w:val="center"/>
        </w:trPr>
        <w:tc>
          <w:tcPr>
            <w:tcW w:w="2967" w:type="dxa"/>
            <w:gridSpan w:val="2"/>
            <w:tcMar>
              <w:top w:w="0" w:type="dxa"/>
              <w:left w:w="0" w:type="dxa"/>
              <w:bottom w:w="0" w:type="dxa"/>
              <w:right w:w="0" w:type="dxa"/>
            </w:tcMar>
            <w:vAlign w:val="center"/>
          </w:tcPr>
          <w:p w14:paraId="6D695A94"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It was never discussed</w:t>
            </w:r>
          </w:p>
        </w:tc>
        <w:tc>
          <w:tcPr>
            <w:tcW w:w="1134" w:type="dxa"/>
            <w:tcMar>
              <w:top w:w="0" w:type="dxa"/>
              <w:left w:w="0" w:type="dxa"/>
              <w:bottom w:w="0" w:type="dxa"/>
              <w:right w:w="0" w:type="dxa"/>
            </w:tcMar>
            <w:vAlign w:val="center"/>
          </w:tcPr>
          <w:p w14:paraId="7DC4CFEF"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79 (6.8%)</w:t>
            </w:r>
          </w:p>
        </w:tc>
        <w:tc>
          <w:tcPr>
            <w:tcW w:w="1276" w:type="dxa"/>
            <w:tcMar>
              <w:top w:w="0" w:type="dxa"/>
              <w:left w:w="0" w:type="dxa"/>
              <w:bottom w:w="0" w:type="dxa"/>
              <w:right w:w="0" w:type="dxa"/>
            </w:tcMar>
            <w:vAlign w:val="center"/>
          </w:tcPr>
          <w:p w14:paraId="0269F173" w14:textId="77777777" w:rsidR="001C19F3" w:rsidRPr="007B6DF7" w:rsidRDefault="001C19F3" w:rsidP="00521305">
            <w:pPr>
              <w:spacing w:before="40" w:after="40"/>
              <w:ind w:left="40" w:right="40"/>
              <w:jc w:val="center"/>
              <w:rPr>
                <w:rFonts w:cstheme="minorHAnsi"/>
                <w:color w:val="000000"/>
                <w:sz w:val="18"/>
                <w:szCs w:val="18"/>
              </w:rPr>
            </w:pPr>
            <w:r w:rsidRPr="007B6DF7">
              <w:rPr>
                <w:rFonts w:eastAsia="Century Gothic" w:cs="Century Gothic"/>
                <w:color w:val="000000"/>
                <w:sz w:val="18"/>
                <w:szCs w:val="18"/>
              </w:rPr>
              <w:t>21 (9.7%)</w:t>
            </w:r>
          </w:p>
        </w:tc>
        <w:tc>
          <w:tcPr>
            <w:tcW w:w="1134" w:type="dxa"/>
            <w:tcMar>
              <w:top w:w="0" w:type="dxa"/>
              <w:left w:w="0" w:type="dxa"/>
              <w:bottom w:w="0" w:type="dxa"/>
              <w:right w:w="0" w:type="dxa"/>
            </w:tcMar>
            <w:vAlign w:val="center"/>
          </w:tcPr>
          <w:p w14:paraId="3560725D" w14:textId="77777777" w:rsidR="001C19F3" w:rsidRPr="007B6DF7" w:rsidRDefault="001C19F3" w:rsidP="00521305">
            <w:pPr>
              <w:spacing w:before="40" w:after="40"/>
              <w:ind w:left="40" w:right="40"/>
              <w:jc w:val="center"/>
              <w:rPr>
                <w:rFonts w:cstheme="minorHAnsi"/>
                <w:color w:val="000000"/>
                <w:sz w:val="18"/>
                <w:szCs w:val="18"/>
              </w:rPr>
            </w:pPr>
            <w:r w:rsidRPr="007B6DF7">
              <w:rPr>
                <w:rFonts w:eastAsia="Century Gothic" w:cs="Century Gothic"/>
                <w:color w:val="000000"/>
                <w:sz w:val="18"/>
                <w:szCs w:val="18"/>
              </w:rPr>
              <w:t>46 (8.2%)</w:t>
            </w:r>
          </w:p>
        </w:tc>
        <w:tc>
          <w:tcPr>
            <w:tcW w:w="1276" w:type="dxa"/>
            <w:tcMar>
              <w:top w:w="0" w:type="dxa"/>
              <w:left w:w="0" w:type="dxa"/>
              <w:bottom w:w="0" w:type="dxa"/>
              <w:right w:w="0" w:type="dxa"/>
            </w:tcMar>
            <w:vAlign w:val="center"/>
          </w:tcPr>
          <w:p w14:paraId="50102C5C" w14:textId="77777777" w:rsidR="001C19F3" w:rsidRPr="007B6DF7" w:rsidRDefault="001C19F3" w:rsidP="00521305">
            <w:pPr>
              <w:spacing w:before="40" w:after="40"/>
              <w:ind w:left="40" w:right="40"/>
              <w:jc w:val="center"/>
              <w:rPr>
                <w:rFonts w:cstheme="minorHAnsi"/>
                <w:color w:val="000000"/>
                <w:sz w:val="18"/>
                <w:szCs w:val="18"/>
              </w:rPr>
            </w:pPr>
            <w:r w:rsidRPr="007B6DF7">
              <w:rPr>
                <w:rFonts w:eastAsia="Century Gothic" w:cs="Century Gothic"/>
                <w:color w:val="000000"/>
                <w:sz w:val="18"/>
                <w:szCs w:val="18"/>
              </w:rPr>
              <w:t>11 (4.5%)</w:t>
            </w:r>
          </w:p>
        </w:tc>
        <w:tc>
          <w:tcPr>
            <w:tcW w:w="992" w:type="dxa"/>
            <w:vMerge/>
            <w:vAlign w:val="center"/>
          </w:tcPr>
          <w:p w14:paraId="17829659" w14:textId="77777777" w:rsidR="001C19F3" w:rsidRPr="007B6DF7" w:rsidRDefault="001C19F3" w:rsidP="00521305">
            <w:pPr>
              <w:spacing w:before="40" w:after="40"/>
              <w:ind w:left="40" w:right="40"/>
              <w:jc w:val="center"/>
              <w:rPr>
                <w:rFonts w:cstheme="minorHAnsi"/>
                <w:color w:val="000000"/>
                <w:sz w:val="18"/>
                <w:szCs w:val="18"/>
              </w:rPr>
            </w:pPr>
          </w:p>
        </w:tc>
      </w:tr>
      <w:tr w:rsidR="001C19F3" w:rsidRPr="007B6DF7" w14:paraId="15ADA39F" w14:textId="77777777" w:rsidTr="00521305">
        <w:trPr>
          <w:cantSplit/>
          <w:trHeight w:val="288"/>
          <w:jc w:val="center"/>
        </w:trPr>
        <w:tc>
          <w:tcPr>
            <w:tcW w:w="2967" w:type="dxa"/>
            <w:gridSpan w:val="2"/>
            <w:tcMar>
              <w:top w:w="0" w:type="dxa"/>
              <w:left w:w="0" w:type="dxa"/>
              <w:bottom w:w="0" w:type="dxa"/>
              <w:right w:w="0" w:type="dxa"/>
            </w:tcMar>
            <w:vAlign w:val="center"/>
          </w:tcPr>
          <w:p w14:paraId="1A39D67E" w14:textId="77777777" w:rsidR="001C19F3" w:rsidRPr="007B6DF7" w:rsidRDefault="001C19F3" w:rsidP="00521305">
            <w:pPr>
              <w:spacing w:before="40" w:after="40"/>
              <w:ind w:left="127" w:right="40"/>
              <w:rPr>
                <w:rFonts w:cstheme="minorHAnsi"/>
                <w:color w:val="000000"/>
                <w:sz w:val="18"/>
                <w:szCs w:val="18"/>
              </w:rPr>
            </w:pPr>
            <w:r w:rsidRPr="007B6DF7">
              <w:rPr>
                <w:rFonts w:cstheme="minorHAnsi"/>
                <w:color w:val="000000"/>
                <w:sz w:val="18"/>
                <w:szCs w:val="18"/>
              </w:rPr>
              <w:t>Don't know</w:t>
            </w:r>
          </w:p>
        </w:tc>
        <w:tc>
          <w:tcPr>
            <w:tcW w:w="1134" w:type="dxa"/>
            <w:tcMar>
              <w:top w:w="0" w:type="dxa"/>
              <w:left w:w="0" w:type="dxa"/>
              <w:bottom w:w="0" w:type="dxa"/>
              <w:right w:w="0" w:type="dxa"/>
            </w:tcMar>
            <w:vAlign w:val="center"/>
          </w:tcPr>
          <w:p w14:paraId="37E667C8" w14:textId="77777777" w:rsidR="001C19F3" w:rsidRPr="007B6DF7" w:rsidRDefault="001C19F3" w:rsidP="00521305">
            <w:pPr>
              <w:spacing w:before="40" w:after="40"/>
              <w:ind w:left="40" w:right="40"/>
              <w:jc w:val="center"/>
              <w:rPr>
                <w:rFonts w:cstheme="minorHAnsi"/>
                <w:color w:val="000000"/>
                <w:sz w:val="18"/>
                <w:szCs w:val="18"/>
              </w:rPr>
            </w:pPr>
            <w:r w:rsidRPr="007B6DF7">
              <w:rPr>
                <w:rFonts w:cstheme="minorHAnsi"/>
                <w:color w:val="000000"/>
                <w:sz w:val="18"/>
                <w:szCs w:val="18"/>
              </w:rPr>
              <w:t>95 (8.2%)</w:t>
            </w:r>
          </w:p>
        </w:tc>
        <w:tc>
          <w:tcPr>
            <w:tcW w:w="1276" w:type="dxa"/>
            <w:tcMar>
              <w:top w:w="0" w:type="dxa"/>
              <w:left w:w="0" w:type="dxa"/>
              <w:bottom w:w="0" w:type="dxa"/>
              <w:right w:w="0" w:type="dxa"/>
            </w:tcMar>
            <w:vAlign w:val="center"/>
          </w:tcPr>
          <w:p w14:paraId="1D282C7D" w14:textId="77777777" w:rsidR="001C19F3" w:rsidRPr="007B6DF7" w:rsidRDefault="001C19F3" w:rsidP="00521305">
            <w:pPr>
              <w:spacing w:before="40" w:after="40"/>
              <w:ind w:left="40" w:right="40"/>
              <w:jc w:val="center"/>
              <w:rPr>
                <w:rFonts w:cstheme="minorHAnsi"/>
                <w:color w:val="000000"/>
                <w:sz w:val="18"/>
                <w:szCs w:val="18"/>
              </w:rPr>
            </w:pPr>
          </w:p>
        </w:tc>
        <w:tc>
          <w:tcPr>
            <w:tcW w:w="1134" w:type="dxa"/>
            <w:tcMar>
              <w:top w:w="0" w:type="dxa"/>
              <w:left w:w="0" w:type="dxa"/>
              <w:bottom w:w="0" w:type="dxa"/>
              <w:right w:w="0" w:type="dxa"/>
            </w:tcMar>
            <w:vAlign w:val="center"/>
          </w:tcPr>
          <w:p w14:paraId="293F802B" w14:textId="77777777" w:rsidR="001C19F3" w:rsidRPr="007B6DF7" w:rsidRDefault="001C19F3" w:rsidP="00521305">
            <w:pPr>
              <w:spacing w:before="40" w:after="40"/>
              <w:ind w:left="40" w:right="40"/>
              <w:jc w:val="center"/>
              <w:rPr>
                <w:rFonts w:cstheme="minorHAnsi"/>
                <w:color w:val="000000"/>
                <w:sz w:val="18"/>
                <w:szCs w:val="18"/>
              </w:rPr>
            </w:pPr>
          </w:p>
        </w:tc>
        <w:tc>
          <w:tcPr>
            <w:tcW w:w="1276" w:type="dxa"/>
            <w:tcMar>
              <w:top w:w="0" w:type="dxa"/>
              <w:left w:w="0" w:type="dxa"/>
              <w:bottom w:w="0" w:type="dxa"/>
              <w:right w:w="0" w:type="dxa"/>
            </w:tcMar>
            <w:vAlign w:val="center"/>
          </w:tcPr>
          <w:p w14:paraId="0424B36A" w14:textId="77777777" w:rsidR="001C19F3" w:rsidRPr="007B6DF7" w:rsidRDefault="001C19F3" w:rsidP="00521305">
            <w:pPr>
              <w:spacing w:before="40" w:after="40"/>
              <w:ind w:left="40" w:right="40"/>
              <w:jc w:val="center"/>
              <w:rPr>
                <w:rFonts w:cstheme="minorHAnsi"/>
                <w:color w:val="000000"/>
                <w:sz w:val="18"/>
                <w:szCs w:val="18"/>
              </w:rPr>
            </w:pPr>
          </w:p>
        </w:tc>
        <w:tc>
          <w:tcPr>
            <w:tcW w:w="992" w:type="dxa"/>
            <w:vMerge/>
            <w:vAlign w:val="center"/>
          </w:tcPr>
          <w:p w14:paraId="0F03890E" w14:textId="77777777" w:rsidR="001C19F3" w:rsidRPr="007B6DF7" w:rsidRDefault="001C19F3" w:rsidP="00521305">
            <w:pPr>
              <w:spacing w:before="40" w:after="40"/>
              <w:ind w:left="40" w:right="40"/>
              <w:jc w:val="center"/>
              <w:rPr>
                <w:rFonts w:cstheme="minorHAnsi"/>
                <w:color w:val="000000"/>
                <w:sz w:val="18"/>
                <w:szCs w:val="18"/>
              </w:rPr>
            </w:pPr>
          </w:p>
        </w:tc>
      </w:tr>
    </w:tbl>
    <w:p w14:paraId="416AD3D1" w14:textId="77777777" w:rsidR="001C19F3" w:rsidRPr="007B6DF7" w:rsidRDefault="001C19F3" w:rsidP="001C19F3">
      <w:pPr>
        <w:pStyle w:val="Chartortablefootnote"/>
      </w:pPr>
      <w:r w:rsidRPr="007B6DF7">
        <w:t xml:space="preserve">Source: </w:t>
      </w:r>
      <w:r>
        <w:t>CATI surveys conducted by The Social Research Centre between December 2017 and March 2019</w:t>
      </w:r>
      <w:r w:rsidRPr="007B6DF7">
        <w:t xml:space="preserve">; </w:t>
      </w:r>
      <w:r w:rsidRPr="000D4E17">
        <w:rPr>
          <w:vertAlign w:val="superscript"/>
        </w:rPr>
        <w:t>1</w:t>
      </w:r>
      <w:r w:rsidRPr="007B6DF7">
        <w:t>Reported for patients who reported that has a treatment plan/shared care plan.</w:t>
      </w:r>
    </w:p>
    <w:p w14:paraId="3A4CD696"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The patient interviews indicate that patient involvement in care planning varie</w:t>
      </w:r>
      <w:r>
        <w:rPr>
          <w:rFonts w:eastAsia="Times New Roman" w:cs="Segoe UI"/>
          <w:szCs w:val="20"/>
          <w:lang w:eastAsia="en-AU"/>
        </w:rPr>
        <w:t>d</w:t>
      </w:r>
      <w:r w:rsidRPr="007B6DF7">
        <w:rPr>
          <w:rFonts w:eastAsia="Times New Roman" w:cs="Segoe UI"/>
          <w:szCs w:val="20"/>
          <w:lang w:eastAsia="en-AU"/>
        </w:rPr>
        <w:t xml:space="preserve"> between practices. Some patients reported they were not aware of a care plan: </w:t>
      </w:r>
    </w:p>
    <w:p w14:paraId="30D11448"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“I'm not </w:t>
      </w:r>
      <w:r w:rsidRPr="007B6DF7">
        <w:rPr>
          <w:rFonts w:eastAsia="Times New Roman" w:cs="Segoe UI"/>
          <w:szCs w:val="20"/>
          <w:lang w:eastAsia="en-AU"/>
        </w:rPr>
        <w:t>aware</w:t>
      </w:r>
      <w:r w:rsidRPr="007B6DF7">
        <w:rPr>
          <w:rFonts w:eastAsia="Times New Roman" w:cs="Segoe UI"/>
          <w:i/>
          <w:iCs/>
          <w:szCs w:val="20"/>
          <w:lang w:eastAsia="en-AU"/>
        </w:rPr>
        <w:t xml:space="preserve"> of </w:t>
      </w:r>
      <w:r w:rsidRPr="003232F3">
        <w:rPr>
          <w:rFonts w:eastAsia="Times New Roman" w:cs="Segoe UI"/>
          <w:iCs/>
          <w:szCs w:val="20"/>
          <w:lang w:eastAsia="en-AU"/>
        </w:rPr>
        <w:t>[a care plan]</w:t>
      </w:r>
      <w:r w:rsidRPr="007B6DF7">
        <w:rPr>
          <w:rFonts w:eastAsia="Times New Roman" w:cs="Segoe UI"/>
          <w:i/>
          <w:iCs/>
          <w:szCs w:val="20"/>
          <w:lang w:eastAsia="en-AU"/>
        </w:rPr>
        <w:t>…If there is anything like that happening I'm not aware of it.”</w:t>
      </w:r>
      <w:r w:rsidRPr="007B6DF7">
        <w:rPr>
          <w:rFonts w:eastAsia="Times New Roman" w:cs="Segoe UI"/>
          <w:szCs w:val="20"/>
          <w:lang w:eastAsia="en-AU"/>
        </w:rPr>
        <w:t> [Patient 1, Practice 8</w:t>
      </w:r>
      <w:r>
        <w:rPr>
          <w:rFonts w:eastAsia="Times New Roman" w:cs="Segoe UI"/>
          <w:szCs w:val="20"/>
          <w:lang w:eastAsia="en-AU"/>
        </w:rPr>
        <w:t>, interview, R2]</w:t>
      </w:r>
      <w:r w:rsidRPr="007B6DF7">
        <w:rPr>
          <w:rFonts w:eastAsia="Times New Roman"/>
          <w:szCs w:val="20"/>
          <w:lang w:eastAsia="en-AU"/>
        </w:rPr>
        <w:t> </w:t>
      </w:r>
    </w:p>
    <w:p w14:paraId="6003D530"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“No, definitely he hasn't done </w:t>
      </w:r>
      <w:r w:rsidRPr="009B75E1">
        <w:rPr>
          <w:rFonts w:eastAsia="Times New Roman" w:cs="Segoe UI"/>
          <w:iCs/>
          <w:szCs w:val="20"/>
          <w:lang w:eastAsia="en-AU"/>
        </w:rPr>
        <w:t>[a care plan]</w:t>
      </w:r>
      <w:r w:rsidRPr="007B6DF7">
        <w:rPr>
          <w:rFonts w:eastAsia="Times New Roman" w:cs="Segoe UI"/>
          <w:i/>
          <w:iCs/>
          <w:szCs w:val="20"/>
          <w:lang w:eastAsia="en-AU"/>
        </w:rPr>
        <w:t xml:space="preserve">…l take in a record for him every, when I see him, every three or six months, give him a look at it, and he'll pass on what he needs to the cardio guy. And so I know he's got the </w:t>
      </w:r>
      <w:r w:rsidRPr="007B6DF7">
        <w:rPr>
          <w:rFonts w:eastAsia="Times New Roman" w:cs="Segoe UI"/>
          <w:i/>
          <w:iCs/>
          <w:szCs w:val="20"/>
          <w:lang w:eastAsia="en-AU"/>
        </w:rPr>
        <w:lastRenderedPageBreak/>
        <w:t>record in his system. Where it goes from there, I don't know…”</w:t>
      </w:r>
      <w:r w:rsidRPr="007B6DF7">
        <w:rPr>
          <w:rFonts w:eastAsia="Times New Roman" w:cs="Segoe UI"/>
          <w:szCs w:val="20"/>
          <w:lang w:eastAsia="en-AU"/>
        </w:rPr>
        <w:t> [Patient 1, Practice 1</w:t>
      </w:r>
      <w:r>
        <w:rPr>
          <w:rFonts w:eastAsia="Times New Roman" w:cs="Segoe UI"/>
          <w:szCs w:val="20"/>
          <w:lang w:eastAsia="en-AU"/>
        </w:rPr>
        <w:t>, interview, R2]</w:t>
      </w:r>
      <w:r w:rsidRPr="007B6DF7">
        <w:rPr>
          <w:rFonts w:eastAsia="Times New Roman"/>
          <w:szCs w:val="20"/>
          <w:lang w:eastAsia="en-AU"/>
        </w:rPr>
        <w:t> </w:t>
      </w:r>
    </w:p>
    <w:p w14:paraId="0E1673C6"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 xml:space="preserve">“I don’t really need </w:t>
      </w:r>
      <w:r w:rsidRPr="006C593D">
        <w:rPr>
          <w:rFonts w:eastAsia="Times New Roman" w:cs="Segoe UI"/>
          <w:iCs/>
          <w:szCs w:val="20"/>
          <w:lang w:val="en-GB" w:eastAsia="en-AU"/>
        </w:rPr>
        <w:t>[a care plan]</w:t>
      </w:r>
      <w:r w:rsidRPr="007B6DF7">
        <w:rPr>
          <w:rFonts w:eastAsia="Times New Roman" w:cs="Segoe UI"/>
          <w:i/>
          <w:iCs/>
          <w:szCs w:val="20"/>
          <w:lang w:val="en-GB" w:eastAsia="en-AU"/>
        </w:rPr>
        <w:t xml:space="preserve"> at the minute I’m kind of switched on with it all, I know what I’m doing. But they did emphasise any issues at all to contact them</w:t>
      </w:r>
      <w:r w:rsidRPr="007B6DF7">
        <w:rPr>
          <w:rFonts w:eastAsia="Times New Roman" w:cs="Segoe UI"/>
          <w:szCs w:val="20"/>
          <w:lang w:val="en-GB" w:eastAsia="en-AU"/>
        </w:rPr>
        <w:t>.” [Patient 2, Practice 5</w:t>
      </w:r>
      <w:r>
        <w:rPr>
          <w:rFonts w:eastAsia="Times New Roman" w:cs="Segoe UI"/>
          <w:szCs w:val="20"/>
          <w:lang w:val="en-GB" w:eastAsia="en-AU"/>
        </w:rPr>
        <w:t>, interview, R2]</w:t>
      </w:r>
      <w:r w:rsidRPr="007B6DF7">
        <w:rPr>
          <w:rFonts w:eastAsia="Times New Roman"/>
          <w:szCs w:val="20"/>
          <w:lang w:eastAsia="en-AU"/>
        </w:rPr>
        <w:t> </w:t>
      </w:r>
    </w:p>
    <w:p w14:paraId="0E642489" w14:textId="77777777" w:rsidR="001C19F3" w:rsidRPr="007B6DF7" w:rsidRDefault="001C19F3" w:rsidP="001C19F3">
      <w:pPr>
        <w:jc w:val="both"/>
        <w:textAlignment w:val="baseline"/>
        <w:rPr>
          <w:rFonts w:eastAsia="Times New Roman"/>
          <w:szCs w:val="20"/>
          <w:lang w:eastAsia="en-AU"/>
        </w:rPr>
      </w:pPr>
      <w:r w:rsidRPr="007B6DF7">
        <w:rPr>
          <w:rFonts w:eastAsia="Times New Roman" w:cs="Segoe UI"/>
          <w:szCs w:val="20"/>
          <w:lang w:eastAsia="en-AU"/>
        </w:rPr>
        <w:t>Others reported they were actively engaged with their primary care providers when creating the plan and updating it online:</w:t>
      </w:r>
      <w:r w:rsidRPr="007B6DF7">
        <w:rPr>
          <w:rFonts w:eastAsia="Times New Roman"/>
          <w:szCs w:val="20"/>
          <w:lang w:eastAsia="en-AU"/>
        </w:rPr>
        <w:t> </w:t>
      </w:r>
    </w:p>
    <w:p w14:paraId="32DA58B0"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“I’ve got all that, that’s all up on the site as well, that’s all written up there, all the plans, all the care teams written up, they’ve all got access to that. They all put input in even the cardiologist and the podiatrist is in there as well. It’s a full plan...So, it’s all up there, and I’m quite happy with that. All my medications are on there, everything that we’ve done, all my history...so it’s all on the system, which is brilliant.”</w:t>
      </w:r>
      <w:r w:rsidRPr="007B6DF7">
        <w:rPr>
          <w:rFonts w:eastAsia="Times New Roman" w:cs="Segoe UI"/>
          <w:szCs w:val="20"/>
          <w:lang w:val="en-GB" w:eastAsia="en-AU"/>
        </w:rPr>
        <w:t> [Patient 1, Practice 9</w:t>
      </w:r>
      <w:r>
        <w:rPr>
          <w:rFonts w:eastAsia="Times New Roman" w:cs="Segoe UI"/>
          <w:szCs w:val="20"/>
          <w:lang w:val="en-GB" w:eastAsia="en-AU"/>
        </w:rPr>
        <w:t>, interview, R2]</w:t>
      </w:r>
      <w:r w:rsidRPr="007B6DF7">
        <w:rPr>
          <w:rFonts w:eastAsia="Times New Roman"/>
          <w:szCs w:val="20"/>
          <w:lang w:eastAsia="en-AU"/>
        </w:rPr>
        <w:t> </w:t>
      </w:r>
    </w:p>
    <w:p w14:paraId="7D892543" w14:textId="77777777" w:rsidR="001C19F3" w:rsidRPr="00721857" w:rsidRDefault="001C19F3" w:rsidP="001C19F3">
      <w:pPr>
        <w:ind w:left="567" w:right="1088"/>
        <w:rPr>
          <w:rFonts w:eastAsia="Times New Roman" w:cs="Segoe UI"/>
          <w:iCs/>
          <w:szCs w:val="20"/>
          <w:lang w:val="en-GB" w:eastAsia="en-AU"/>
        </w:rPr>
      </w:pPr>
      <w:r w:rsidRPr="007B6DF7">
        <w:rPr>
          <w:rFonts w:eastAsia="Times New Roman" w:cs="Segoe UI"/>
          <w:i/>
          <w:iCs/>
          <w:szCs w:val="20"/>
          <w:lang w:val="en-GB" w:eastAsia="en-AU"/>
        </w:rPr>
        <w:t>“Yes, they have a care plan, and I have seen a dietician...”</w:t>
      </w:r>
      <w:r w:rsidRPr="00721857">
        <w:rPr>
          <w:rFonts w:eastAsia="Times New Roman" w:cs="Segoe UI"/>
          <w:i/>
          <w:iCs/>
          <w:szCs w:val="20"/>
          <w:lang w:val="en-GB" w:eastAsia="en-AU"/>
        </w:rPr>
        <w:t> </w:t>
      </w:r>
      <w:r w:rsidRPr="00721857">
        <w:rPr>
          <w:rFonts w:eastAsia="Times New Roman" w:cs="Segoe UI"/>
          <w:iCs/>
          <w:szCs w:val="20"/>
          <w:lang w:val="en-GB" w:eastAsia="en-AU"/>
        </w:rPr>
        <w:t>[Patient 2, Practice 6</w:t>
      </w:r>
      <w:r>
        <w:rPr>
          <w:rFonts w:eastAsia="Times New Roman" w:cs="Segoe UI"/>
          <w:iCs/>
          <w:szCs w:val="20"/>
          <w:lang w:val="en-GB" w:eastAsia="en-AU"/>
        </w:rPr>
        <w:t>, interview, R2]</w:t>
      </w:r>
      <w:r w:rsidRPr="00721857">
        <w:rPr>
          <w:rFonts w:eastAsia="Times New Roman" w:cs="Segoe UI"/>
          <w:iCs/>
          <w:szCs w:val="20"/>
          <w:lang w:val="en-GB" w:eastAsia="en-AU"/>
        </w:rPr>
        <w:t> </w:t>
      </w:r>
    </w:p>
    <w:p w14:paraId="11676691"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“I think it’s easier to identify what’s going on for you and the doctor. I suppose, because at least it’s in a plan. It’s not just scrolling through notes on the computer...and see what’s going on. At least you’ve got a plan there that’s identifiable...” </w:t>
      </w:r>
      <w:r w:rsidRPr="007B6DF7">
        <w:rPr>
          <w:rFonts w:eastAsia="Times New Roman" w:cs="Segoe UI"/>
          <w:szCs w:val="20"/>
          <w:lang w:val="en-GB" w:eastAsia="en-AU"/>
        </w:rPr>
        <w:t>[Patient 1, Practice 18</w:t>
      </w:r>
      <w:r>
        <w:rPr>
          <w:rFonts w:eastAsia="Times New Roman" w:cs="Segoe UI"/>
          <w:szCs w:val="20"/>
          <w:lang w:val="en-GB" w:eastAsia="en-AU"/>
        </w:rPr>
        <w:t>, interview, R2]</w:t>
      </w:r>
      <w:r w:rsidRPr="007B6DF7">
        <w:rPr>
          <w:rFonts w:eastAsia="Times New Roman"/>
          <w:szCs w:val="20"/>
          <w:lang w:eastAsia="en-AU"/>
        </w:rPr>
        <w:t> </w:t>
      </w:r>
    </w:p>
    <w:p w14:paraId="46D67974"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w:t>
      </w:r>
      <w:r w:rsidRPr="007B6DF7">
        <w:rPr>
          <w:rFonts w:eastAsia="Times New Roman"/>
          <w:szCs w:val="20"/>
          <w:lang w:eastAsia="en-AU"/>
        </w:rPr>
        <w:t>[The care plan is]</w:t>
      </w:r>
      <w:r w:rsidRPr="007B6DF7">
        <w:rPr>
          <w:rFonts w:eastAsia="Times New Roman"/>
          <w:i/>
          <w:szCs w:val="20"/>
          <w:lang w:eastAsia="en-AU"/>
        </w:rPr>
        <w:t xml:space="preserve"> handy to keep track. If I go to the nurse and say: I need to see the eye specialist today, then I'll be able to look back on that and go oh yes, it's 12 months down the track, I need to go again. Good for keeping a track of that.”</w:t>
      </w:r>
      <w:r w:rsidRPr="007B6DF7">
        <w:rPr>
          <w:rFonts w:eastAsia="Times New Roman"/>
          <w:szCs w:val="20"/>
          <w:lang w:eastAsia="en-AU"/>
        </w:rPr>
        <w:t xml:space="preserve"> [Patient 4, Practice 5</w:t>
      </w:r>
      <w:r>
        <w:rPr>
          <w:rFonts w:eastAsia="Times New Roman"/>
          <w:szCs w:val="20"/>
          <w:lang w:eastAsia="en-AU"/>
        </w:rPr>
        <w:t>, interview, R2]</w:t>
      </w:r>
    </w:p>
    <w:p w14:paraId="2CFE3A7F" w14:textId="77777777" w:rsidR="001C19F3" w:rsidRPr="007B6DF7" w:rsidRDefault="001C19F3" w:rsidP="001C19F3">
      <w:pPr>
        <w:jc w:val="both"/>
        <w:textAlignment w:val="baseline"/>
        <w:rPr>
          <w:rFonts w:eastAsia="Times New Roman"/>
          <w:szCs w:val="20"/>
          <w:lang w:eastAsia="en-AU"/>
        </w:rPr>
      </w:pPr>
      <w:bookmarkStart w:id="368" w:name="_Hlk21174072"/>
      <w:r>
        <w:rPr>
          <w:rFonts w:eastAsia="Times New Roman" w:cs="Segoe UI"/>
          <w:szCs w:val="20"/>
          <w:lang w:val="en-GB" w:eastAsia="en-AU"/>
        </w:rPr>
        <w:t>Patients that were aware that they had a care plan mentioned discussing issues such as their medical history, functional status at home, diet, activity, emotional support, hobbies and personal health goals when the plan was developed</w:t>
      </w:r>
      <w:r w:rsidRPr="007B6DF7">
        <w:rPr>
          <w:rFonts w:eastAsia="Times New Roman" w:cs="Segoe UI"/>
          <w:szCs w:val="20"/>
          <w:lang w:val="en-GB" w:eastAsia="en-AU"/>
        </w:rPr>
        <w:t>.</w:t>
      </w:r>
      <w:bookmarkEnd w:id="368"/>
      <w:r w:rsidRPr="007B6DF7">
        <w:rPr>
          <w:rFonts w:eastAsia="Times New Roman" w:cs="Segoe UI"/>
          <w:szCs w:val="20"/>
          <w:lang w:val="en-GB" w:eastAsia="en-AU"/>
        </w:rPr>
        <w:t xml:space="preserve"> Most stated that they received a copy of it once it was completed or were confident that they could request one from their practice:</w:t>
      </w:r>
      <w:r w:rsidRPr="007B6DF7">
        <w:rPr>
          <w:rFonts w:eastAsia="Times New Roman"/>
          <w:szCs w:val="20"/>
          <w:lang w:eastAsia="en-AU"/>
        </w:rPr>
        <w:t> </w:t>
      </w:r>
    </w:p>
    <w:p w14:paraId="3016EE6F"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“I have a copy of the original plan. So, I presume once she’s done the one for today then they’ll update it.”</w:t>
      </w:r>
      <w:r w:rsidRPr="007B6DF7">
        <w:rPr>
          <w:rFonts w:eastAsia="Times New Roman" w:cs="Segoe UI"/>
          <w:szCs w:val="20"/>
          <w:lang w:eastAsia="en-AU"/>
        </w:rPr>
        <w:t> [Patient 6, Practice 16</w:t>
      </w:r>
      <w:r>
        <w:rPr>
          <w:rFonts w:eastAsia="Times New Roman" w:cs="Segoe UI"/>
          <w:szCs w:val="20"/>
          <w:lang w:eastAsia="en-AU"/>
        </w:rPr>
        <w:t>, interview, R2]</w:t>
      </w:r>
      <w:r w:rsidRPr="007B6DF7">
        <w:rPr>
          <w:rFonts w:eastAsia="Times New Roman"/>
          <w:szCs w:val="20"/>
          <w:lang w:eastAsia="en-AU"/>
        </w:rPr>
        <w:t> </w:t>
      </w:r>
    </w:p>
    <w:p w14:paraId="7AC5D90F" w14:textId="77777777" w:rsidR="001C19F3" w:rsidRPr="007B6DF7" w:rsidRDefault="001C19F3" w:rsidP="001C19F3">
      <w:pPr>
        <w:ind w:left="567" w:right="1088"/>
        <w:rPr>
          <w:rFonts w:eastAsia="Times New Roman"/>
          <w:szCs w:val="20"/>
          <w:lang w:eastAsia="en-AU"/>
        </w:rPr>
      </w:pPr>
      <w:r w:rsidRPr="00643F90">
        <w:rPr>
          <w:rFonts w:eastAsia="Times New Roman" w:cs="Segoe UI"/>
          <w:i/>
          <w:iCs/>
          <w:szCs w:val="20"/>
          <w:lang w:eastAsia="en-AU"/>
        </w:rPr>
        <w:t>“I don’t think so...I can’t remember, but I’m sure I could access it on email.” </w:t>
      </w:r>
      <w:r w:rsidRPr="003232F3">
        <w:rPr>
          <w:rFonts w:eastAsia="Times New Roman" w:cs="Segoe UI"/>
          <w:iCs/>
          <w:szCs w:val="20"/>
          <w:lang w:eastAsia="en-AU"/>
        </w:rPr>
        <w:t>[Patient 4,</w:t>
      </w:r>
      <w:r w:rsidRPr="003232F3">
        <w:rPr>
          <w:rFonts w:eastAsia="Times New Roman" w:cs="Segoe UI"/>
          <w:szCs w:val="20"/>
          <w:lang w:val="en-GB" w:eastAsia="en-AU"/>
        </w:rPr>
        <w:t xml:space="preserve"> Practice 5</w:t>
      </w:r>
      <w:r>
        <w:rPr>
          <w:rFonts w:eastAsia="Times New Roman" w:cs="Segoe UI"/>
          <w:szCs w:val="20"/>
          <w:lang w:val="en-GB" w:eastAsia="en-AU"/>
        </w:rPr>
        <w:t>, interview, R2]</w:t>
      </w:r>
      <w:r w:rsidRPr="003232F3">
        <w:rPr>
          <w:rFonts w:eastAsia="Times New Roman"/>
          <w:szCs w:val="20"/>
          <w:lang w:eastAsia="en-AU"/>
        </w:rPr>
        <w:t> </w:t>
      </w:r>
    </w:p>
    <w:p w14:paraId="13251242" w14:textId="77777777" w:rsidR="001C19F3" w:rsidRPr="007B6DF7" w:rsidRDefault="001C19F3" w:rsidP="001C19F3">
      <w:pPr>
        <w:jc w:val="both"/>
        <w:textAlignment w:val="baseline"/>
        <w:rPr>
          <w:rFonts w:eastAsia="Times New Roman"/>
          <w:szCs w:val="20"/>
          <w:lang w:eastAsia="en-AU"/>
        </w:rPr>
      </w:pPr>
      <w:r w:rsidRPr="007B6DF7">
        <w:rPr>
          <w:rFonts w:eastAsia="Times New Roman" w:cs="Segoe UI"/>
          <w:szCs w:val="20"/>
          <w:lang w:val="en-GB" w:eastAsia="en-AU"/>
        </w:rPr>
        <w:t xml:space="preserve">Patients </w:t>
      </w:r>
      <w:r>
        <w:rPr>
          <w:rFonts w:eastAsia="Times New Roman" w:cs="Segoe UI"/>
          <w:szCs w:val="20"/>
          <w:lang w:val="en-GB" w:eastAsia="en-AU"/>
        </w:rPr>
        <w:t>sometimes</w:t>
      </w:r>
      <w:r w:rsidRPr="007B6DF7">
        <w:rPr>
          <w:rFonts w:eastAsia="Times New Roman" w:cs="Segoe UI"/>
          <w:szCs w:val="20"/>
          <w:lang w:val="en-GB" w:eastAsia="en-AU"/>
        </w:rPr>
        <w:t xml:space="preserve"> access</w:t>
      </w:r>
      <w:r>
        <w:rPr>
          <w:rFonts w:eastAsia="Times New Roman" w:cs="Segoe UI"/>
          <w:szCs w:val="20"/>
          <w:lang w:val="en-GB" w:eastAsia="en-AU"/>
        </w:rPr>
        <w:t>ed</w:t>
      </w:r>
      <w:r w:rsidRPr="007B6DF7">
        <w:rPr>
          <w:rFonts w:eastAsia="Times New Roman" w:cs="Segoe UI"/>
          <w:szCs w:val="20"/>
          <w:lang w:val="en-GB" w:eastAsia="en-AU"/>
        </w:rPr>
        <w:t xml:space="preserve"> their care plan online</w:t>
      </w:r>
      <w:r>
        <w:rPr>
          <w:rFonts w:eastAsia="Times New Roman" w:cs="Segoe UI"/>
          <w:szCs w:val="20"/>
          <w:lang w:val="en-GB" w:eastAsia="en-AU"/>
        </w:rPr>
        <w:t>:</w:t>
      </w:r>
    </w:p>
    <w:p w14:paraId="103A208E"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 xml:space="preserve">“Well you can, now with this new care plan, we can e-mail </w:t>
      </w:r>
      <w:r w:rsidRPr="007E3EAE">
        <w:rPr>
          <w:rFonts w:eastAsia="Times New Roman" w:cs="Segoe UI"/>
          <w:szCs w:val="20"/>
          <w:lang w:eastAsia="en-AU"/>
        </w:rPr>
        <w:t>[the practice nurse]</w:t>
      </w:r>
      <w:r w:rsidRPr="007B6DF7">
        <w:rPr>
          <w:rFonts w:eastAsia="Times New Roman" w:cs="Segoe UI"/>
          <w:i/>
          <w:iCs/>
          <w:szCs w:val="20"/>
          <w:lang w:eastAsia="en-AU"/>
        </w:rPr>
        <w:t xml:space="preserve">...I think it’s really good. Because like we have a caravan and we trot around. And like if you go to another state...we take our history with us. But now they don’t have to, it’s all on </w:t>
      </w:r>
      <w:r w:rsidRPr="007E3EAE">
        <w:rPr>
          <w:rFonts w:eastAsia="Times New Roman" w:cs="Segoe UI"/>
          <w:szCs w:val="20"/>
          <w:lang w:eastAsia="en-AU"/>
        </w:rPr>
        <w:t>[the]</w:t>
      </w:r>
      <w:r w:rsidRPr="007B6DF7">
        <w:rPr>
          <w:rFonts w:eastAsia="Times New Roman" w:cs="Segoe UI"/>
          <w:i/>
          <w:iCs/>
          <w:szCs w:val="20"/>
          <w:lang w:eastAsia="en-AU"/>
        </w:rPr>
        <w:t xml:space="preserve"> computer...”</w:t>
      </w:r>
      <w:r w:rsidRPr="007B6DF7">
        <w:rPr>
          <w:rFonts w:eastAsia="Times New Roman" w:cs="Segoe UI"/>
          <w:szCs w:val="20"/>
          <w:lang w:eastAsia="en-AU"/>
        </w:rPr>
        <w:t> [Patient 6, Practice 4</w:t>
      </w:r>
      <w:r>
        <w:rPr>
          <w:rFonts w:eastAsia="Times New Roman" w:cs="Segoe UI"/>
          <w:szCs w:val="20"/>
          <w:lang w:eastAsia="en-AU"/>
        </w:rPr>
        <w:t>, interview, R2]</w:t>
      </w:r>
      <w:r w:rsidRPr="007B6DF7">
        <w:rPr>
          <w:rFonts w:eastAsia="Times New Roman"/>
          <w:szCs w:val="20"/>
          <w:lang w:eastAsia="en-AU"/>
        </w:rPr>
        <w:t> </w:t>
      </w:r>
    </w:p>
    <w:p w14:paraId="20FFB25E" w14:textId="77777777" w:rsidR="001C19F3" w:rsidRPr="007B6DF7" w:rsidRDefault="001C19F3" w:rsidP="001C19F3">
      <w:pPr>
        <w:textAlignment w:val="baseline"/>
        <w:rPr>
          <w:rFonts w:eastAsia="Times New Roman"/>
          <w:szCs w:val="20"/>
          <w:lang w:eastAsia="en-AU"/>
        </w:rPr>
      </w:pPr>
      <w:bookmarkStart w:id="369" w:name="_Hlk21174487"/>
      <w:r w:rsidRPr="007B6DF7">
        <w:rPr>
          <w:rFonts w:eastAsia="Times New Roman" w:cs="Segoe UI"/>
          <w:szCs w:val="20"/>
          <w:lang w:eastAsia="en-AU"/>
        </w:rPr>
        <w:t xml:space="preserve">The frequency of care plan reviews reported by patients ranged from yearly to every time </w:t>
      </w:r>
      <w:r>
        <w:rPr>
          <w:rFonts w:eastAsia="Times New Roman" w:cs="Segoe UI"/>
          <w:szCs w:val="20"/>
          <w:lang w:eastAsia="en-AU"/>
        </w:rPr>
        <w:t>the</w:t>
      </w:r>
      <w:r w:rsidRPr="007B6DF7">
        <w:rPr>
          <w:rFonts w:eastAsia="Times New Roman" w:cs="Segoe UI"/>
          <w:szCs w:val="20"/>
          <w:lang w:eastAsia="en-AU"/>
        </w:rPr>
        <w:t xml:space="preserve"> patient visited the practice</w:t>
      </w:r>
      <w:bookmarkEnd w:id="369"/>
      <w:r w:rsidRPr="007B6DF7">
        <w:rPr>
          <w:rFonts w:eastAsia="Times New Roman" w:cs="Segoe UI"/>
          <w:szCs w:val="20"/>
          <w:lang w:eastAsia="en-AU"/>
        </w:rPr>
        <w:t>:</w:t>
      </w:r>
      <w:r w:rsidRPr="007B6DF7">
        <w:rPr>
          <w:rFonts w:eastAsia="Times New Roman"/>
          <w:szCs w:val="20"/>
          <w:lang w:eastAsia="en-AU"/>
        </w:rPr>
        <w:t> </w:t>
      </w:r>
    </w:p>
    <w:p w14:paraId="0C6A7E44" w14:textId="77777777" w:rsidR="001C19F3" w:rsidRPr="007B6DF7" w:rsidRDefault="001C19F3" w:rsidP="001C19F3">
      <w:pPr>
        <w:ind w:left="567" w:right="1088"/>
        <w:rPr>
          <w:rFonts w:eastAsia="Times New Roman"/>
          <w:szCs w:val="20"/>
          <w:lang w:eastAsia="en-AU"/>
        </w:rPr>
      </w:pPr>
      <w:r w:rsidRPr="007B6DF7">
        <w:rPr>
          <w:rFonts w:eastAsia="Times New Roman"/>
          <w:szCs w:val="20"/>
          <w:lang w:eastAsia="en-AU"/>
        </w:rPr>
        <w:lastRenderedPageBreak/>
        <w:t>“...[The GP] said she’d review it every six months...she said it was up to me. Like if I’m happy with the way things are going there’s no need to interfere with anything...” [Patient 1, Practice 16</w:t>
      </w:r>
      <w:r>
        <w:rPr>
          <w:rFonts w:eastAsia="Times New Roman"/>
          <w:szCs w:val="20"/>
          <w:lang w:eastAsia="en-AU"/>
        </w:rPr>
        <w:t>, interview, R2]</w:t>
      </w:r>
      <w:r w:rsidRPr="007B6DF7">
        <w:rPr>
          <w:rFonts w:eastAsia="Times New Roman"/>
          <w:szCs w:val="20"/>
          <w:lang w:eastAsia="en-AU"/>
        </w:rPr>
        <w:t> </w:t>
      </w:r>
    </w:p>
    <w:p w14:paraId="6C7AC06E"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“I think it’s revised every three months...and they just make sure that everything hasn’t changed, or if it’s changed.”</w:t>
      </w:r>
      <w:r w:rsidRPr="007B6DF7">
        <w:rPr>
          <w:rFonts w:eastAsia="Times New Roman" w:cs="Segoe UI"/>
          <w:szCs w:val="20"/>
          <w:lang w:eastAsia="en-AU"/>
        </w:rPr>
        <w:t> [Patient 7, Practice 4</w:t>
      </w:r>
      <w:r>
        <w:rPr>
          <w:rFonts w:eastAsia="Times New Roman" w:cs="Segoe UI"/>
          <w:szCs w:val="20"/>
          <w:lang w:eastAsia="en-AU"/>
        </w:rPr>
        <w:t>, interview, R2]</w:t>
      </w:r>
      <w:r w:rsidRPr="007B6DF7">
        <w:rPr>
          <w:rFonts w:eastAsia="Times New Roman"/>
          <w:szCs w:val="20"/>
          <w:lang w:eastAsia="en-AU"/>
        </w:rPr>
        <w:t> </w:t>
      </w:r>
    </w:p>
    <w:p w14:paraId="3C3531F9"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“Every 12 months we sit down, or every six months at the moment...it has been.”</w:t>
      </w:r>
      <w:r>
        <w:rPr>
          <w:rFonts w:eastAsia="Times New Roman" w:cs="Segoe UI"/>
          <w:i/>
          <w:iCs/>
          <w:szCs w:val="20"/>
          <w:lang w:val="en-GB" w:eastAsia="en-AU"/>
        </w:rPr>
        <w:t xml:space="preserve"> </w:t>
      </w:r>
      <w:r w:rsidRPr="003232F3">
        <w:rPr>
          <w:rFonts w:eastAsia="Times New Roman" w:cs="Segoe UI"/>
          <w:iCs/>
          <w:szCs w:val="20"/>
          <w:lang w:val="en-GB" w:eastAsia="en-AU"/>
        </w:rPr>
        <w:t>[Patient 1, Practice 9</w:t>
      </w:r>
      <w:r>
        <w:rPr>
          <w:rFonts w:eastAsia="Times New Roman" w:cs="Segoe UI"/>
          <w:iCs/>
          <w:szCs w:val="20"/>
          <w:lang w:val="en-GB" w:eastAsia="en-AU"/>
        </w:rPr>
        <w:t>, interview, R2]</w:t>
      </w:r>
      <w:r w:rsidRPr="003232F3">
        <w:rPr>
          <w:rFonts w:eastAsia="Times New Roman" w:cs="Segoe UI"/>
          <w:iCs/>
          <w:szCs w:val="20"/>
          <w:lang w:val="en-GB" w:eastAsia="en-AU"/>
        </w:rPr>
        <w:t> </w:t>
      </w:r>
    </w:p>
    <w:p w14:paraId="5FCAFA97"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 “</w:t>
      </w:r>
      <w:r w:rsidRPr="00721857">
        <w:rPr>
          <w:rFonts w:eastAsia="Times New Roman" w:cs="Segoe UI"/>
          <w:iCs/>
          <w:szCs w:val="20"/>
          <w:lang w:val="en-GB" w:eastAsia="en-AU"/>
        </w:rPr>
        <w:t>[We discuss the plan with the GP]</w:t>
      </w:r>
      <w:r w:rsidRPr="007B6DF7">
        <w:rPr>
          <w:rFonts w:eastAsia="Times New Roman" w:cs="Segoe UI"/>
          <w:i/>
          <w:iCs/>
          <w:szCs w:val="20"/>
          <w:lang w:val="en-GB" w:eastAsia="en-AU"/>
        </w:rPr>
        <w:t>...Every time I’m here...Every four weeks we see him.”</w:t>
      </w:r>
      <w:r>
        <w:rPr>
          <w:rFonts w:eastAsia="Times New Roman" w:cs="Segoe UI"/>
          <w:i/>
          <w:iCs/>
          <w:szCs w:val="20"/>
          <w:lang w:val="en-GB" w:eastAsia="en-AU"/>
        </w:rPr>
        <w:t xml:space="preserve"> </w:t>
      </w:r>
      <w:r w:rsidRPr="003232F3">
        <w:rPr>
          <w:rFonts w:eastAsia="Times New Roman" w:cs="Segoe UI"/>
          <w:iCs/>
          <w:szCs w:val="20"/>
          <w:lang w:val="en-GB" w:eastAsia="en-AU"/>
        </w:rPr>
        <w:t>[Patient 1, Practice 10</w:t>
      </w:r>
      <w:r>
        <w:rPr>
          <w:rFonts w:eastAsia="Times New Roman" w:cs="Segoe UI"/>
          <w:iCs/>
          <w:szCs w:val="20"/>
          <w:lang w:val="en-GB" w:eastAsia="en-AU"/>
        </w:rPr>
        <w:t>, interview, R2]</w:t>
      </w:r>
      <w:r w:rsidRPr="007B6DF7">
        <w:rPr>
          <w:rFonts w:eastAsia="Times New Roman" w:cs="Segoe UI"/>
          <w:i/>
          <w:iCs/>
          <w:szCs w:val="20"/>
          <w:lang w:val="en-GB" w:eastAsia="en-AU"/>
        </w:rPr>
        <w:t> </w:t>
      </w:r>
    </w:p>
    <w:p w14:paraId="08FC6A98"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bookmarkStart w:id="370" w:name="_Hlk22483067"/>
      <w:r w:rsidRPr="007B6DF7">
        <w:rPr>
          <w:rFonts w:eastAsia="Times New Roman" w:cstheme="majorBidi"/>
          <w:color w:val="003D79"/>
          <w:sz w:val="28"/>
          <w:szCs w:val="24"/>
          <w:lang w:eastAsia="en-AU"/>
        </w:rPr>
        <w:t>My Health Record</w:t>
      </w:r>
    </w:p>
    <w:bookmarkEnd w:id="370"/>
    <w:p w14:paraId="569206BC" w14:textId="77777777" w:rsidR="001C19F3" w:rsidRDefault="001C19F3" w:rsidP="001C19F3">
      <w:pPr>
        <w:textAlignment w:val="baseline"/>
        <w:rPr>
          <w:rFonts w:eastAsia="Times New Roman" w:cs="Segoe UI"/>
          <w:szCs w:val="20"/>
          <w:lang w:eastAsia="en-AU"/>
        </w:rPr>
      </w:pPr>
      <w:r w:rsidRPr="007B6DF7">
        <w:rPr>
          <w:rFonts w:eastAsia="Times New Roman" w:cs="Segoe UI"/>
          <w:szCs w:val="20"/>
          <w:lang w:eastAsia="en-AU"/>
        </w:rPr>
        <w:t>At the time of interviews, HCH patients were still required to have a My Health Record to join the program</w:t>
      </w:r>
      <w:r>
        <w:rPr>
          <w:rFonts w:eastAsia="Times New Roman" w:cs="Segoe UI"/>
          <w:szCs w:val="20"/>
          <w:lang w:eastAsia="en-AU"/>
        </w:rPr>
        <w:t>, which was</w:t>
      </w:r>
      <w:r w:rsidRPr="007B6DF7">
        <w:rPr>
          <w:rFonts w:eastAsia="Times New Roman" w:cs="Segoe UI"/>
          <w:szCs w:val="20"/>
          <w:lang w:eastAsia="en-AU"/>
        </w:rPr>
        <w:t xml:space="preserve"> subsequently </w:t>
      </w:r>
      <w:r>
        <w:rPr>
          <w:rFonts w:eastAsia="Times New Roman" w:cs="Segoe UI"/>
          <w:szCs w:val="20"/>
          <w:lang w:eastAsia="en-AU"/>
        </w:rPr>
        <w:t>lifted</w:t>
      </w:r>
      <w:r w:rsidRPr="007B6DF7">
        <w:rPr>
          <w:rFonts w:eastAsia="Times New Roman" w:cs="Segoe UI"/>
          <w:szCs w:val="20"/>
          <w:lang w:eastAsia="en-AU"/>
        </w:rPr>
        <w:t xml:space="preserve">. As discussed elsewhere, practices reported that concern about </w:t>
      </w:r>
      <w:r>
        <w:rPr>
          <w:rFonts w:eastAsia="Times New Roman" w:cs="Segoe UI"/>
          <w:szCs w:val="20"/>
          <w:lang w:eastAsia="en-AU"/>
        </w:rPr>
        <w:t xml:space="preserve">the security of their personal information was </w:t>
      </w:r>
      <w:r w:rsidRPr="007B6DF7">
        <w:rPr>
          <w:rFonts w:eastAsia="Times New Roman" w:cs="Segoe UI"/>
          <w:szCs w:val="20"/>
          <w:lang w:eastAsia="en-AU"/>
        </w:rPr>
        <w:t>a common reason that patients chose not to enrol in HCH. The patient survey suggests around 72% of HCH patients had a My Health Record (</w:t>
      </w:r>
      <w:r w:rsidRPr="007B6DF7">
        <w:rPr>
          <w:rFonts w:eastAsia="Times New Roman" w:cs="Segoe UI"/>
          <w:szCs w:val="20"/>
          <w:lang w:eastAsia="en-AU"/>
        </w:rPr>
        <w:fldChar w:fldCharType="begin"/>
      </w:r>
      <w:r w:rsidRPr="007B6DF7">
        <w:rPr>
          <w:rFonts w:eastAsia="Times New Roman" w:cs="Segoe UI"/>
          <w:szCs w:val="20"/>
          <w:lang w:eastAsia="en-AU"/>
        </w:rPr>
        <w:instrText xml:space="preserve"> REF _Ref20832774 \h  \* MERGEFORMAT </w:instrText>
      </w:r>
      <w:r w:rsidRPr="007B6DF7">
        <w:rPr>
          <w:rFonts w:eastAsia="Times New Roman" w:cs="Segoe UI"/>
          <w:szCs w:val="20"/>
          <w:lang w:eastAsia="en-AU"/>
        </w:rPr>
      </w:r>
      <w:r w:rsidRPr="007B6DF7">
        <w:rPr>
          <w:rFonts w:eastAsia="Times New Roman" w:cs="Segoe UI"/>
          <w:szCs w:val="20"/>
          <w:lang w:eastAsia="en-AU"/>
        </w:rPr>
        <w:fldChar w:fldCharType="separate"/>
      </w:r>
      <w:r w:rsidRPr="00822044">
        <w:rPr>
          <w:rFonts w:eastAsia="Times New Roman" w:cs="Segoe UI"/>
          <w:szCs w:val="20"/>
          <w:lang w:eastAsia="en-AU"/>
        </w:rPr>
        <w:t>Table 55</w:t>
      </w:r>
      <w:r w:rsidRPr="007B6DF7">
        <w:rPr>
          <w:rFonts w:eastAsia="Times New Roman" w:cs="Segoe UI"/>
          <w:szCs w:val="20"/>
          <w:lang w:eastAsia="en-AU"/>
        </w:rPr>
        <w:fldChar w:fldCharType="end"/>
      </w:r>
      <w:r w:rsidRPr="007B6DF7">
        <w:rPr>
          <w:rFonts w:eastAsia="Times New Roman" w:cs="Segoe UI"/>
          <w:szCs w:val="20"/>
          <w:lang w:eastAsia="en-AU"/>
        </w:rPr>
        <w:t xml:space="preserve">). </w:t>
      </w:r>
    </w:p>
    <w:p w14:paraId="3B193902" w14:textId="77777777" w:rsidR="001C19F3" w:rsidRPr="007B6DF7" w:rsidRDefault="001C19F3" w:rsidP="001C19F3">
      <w:pPr>
        <w:textAlignment w:val="baseline"/>
        <w:rPr>
          <w:rFonts w:eastAsia="Times New Roman"/>
          <w:szCs w:val="20"/>
          <w:lang w:eastAsia="en-AU"/>
        </w:rPr>
      </w:pPr>
      <w:r>
        <w:rPr>
          <w:rFonts w:eastAsia="Times New Roman" w:cs="Segoe UI"/>
          <w:szCs w:val="20"/>
          <w:lang w:eastAsia="en-AU"/>
        </w:rPr>
        <w:t>Some patients were sceptical about the security of their personal information, but still enrolled</w:t>
      </w:r>
      <w:r w:rsidRPr="007B6DF7">
        <w:rPr>
          <w:rFonts w:eastAsia="Times New Roman" w:cs="Segoe UI"/>
          <w:szCs w:val="20"/>
          <w:lang w:val="en-GB" w:eastAsia="en-AU"/>
        </w:rPr>
        <w:t>:</w:t>
      </w:r>
      <w:r w:rsidRPr="007B6DF7">
        <w:rPr>
          <w:rFonts w:eastAsia="Times New Roman"/>
          <w:szCs w:val="20"/>
          <w:lang w:eastAsia="en-AU"/>
        </w:rPr>
        <w:t> </w:t>
      </w:r>
    </w:p>
    <w:p w14:paraId="51ACCBFB" w14:textId="77777777" w:rsidR="001C19F3" w:rsidRPr="007B6DF7" w:rsidRDefault="001C19F3" w:rsidP="001C19F3">
      <w:pPr>
        <w:ind w:left="567" w:right="1088"/>
        <w:rPr>
          <w:rFonts w:eastAsia="Times New Roman" w:cs="Segoe UI"/>
          <w:szCs w:val="20"/>
          <w:lang w:val="en-GB" w:eastAsia="en-AU"/>
        </w:rPr>
      </w:pPr>
      <w:r>
        <w:rPr>
          <w:rFonts w:eastAsia="Times New Roman" w:cs="Segoe UI"/>
          <w:i/>
          <w:iCs/>
          <w:szCs w:val="20"/>
          <w:lang w:val="en-GB" w:eastAsia="en-AU"/>
        </w:rPr>
        <w:t>“</w:t>
      </w:r>
      <w:r w:rsidRPr="007B6DF7">
        <w:rPr>
          <w:rFonts w:eastAsia="Times New Roman" w:cs="Segoe UI"/>
          <w:i/>
          <w:iCs/>
          <w:szCs w:val="20"/>
          <w:lang w:val="en-GB" w:eastAsia="en-AU"/>
        </w:rPr>
        <w:t>My friend rang me today and said…she felt a bit threatened about sharing all her medical information with other people. And she was a nurse…There's been a lot of publicity about that in the newspapers about medical information being shared and whether it's a good idea. People are very anxious about it.” </w:t>
      </w:r>
      <w:r w:rsidRPr="007B6DF7">
        <w:rPr>
          <w:rFonts w:eastAsia="Times New Roman" w:cs="Segoe UI"/>
          <w:szCs w:val="20"/>
          <w:lang w:val="en-GB" w:eastAsia="en-AU"/>
        </w:rPr>
        <w:t>[Patient 1, Practice 8</w:t>
      </w:r>
      <w:r>
        <w:rPr>
          <w:rFonts w:eastAsia="Times New Roman" w:cs="Segoe UI"/>
          <w:szCs w:val="20"/>
          <w:lang w:val="en-GB" w:eastAsia="en-AU"/>
        </w:rPr>
        <w:t>, interview, R2]</w:t>
      </w:r>
    </w:p>
    <w:p w14:paraId="6D1A363F" w14:textId="77777777" w:rsidR="001C19F3" w:rsidRDefault="001C19F3" w:rsidP="001C19F3">
      <w:pPr>
        <w:ind w:left="567" w:right="1088"/>
        <w:rPr>
          <w:rFonts w:eastAsia="Times New Roman" w:cs="Segoe UI"/>
          <w:szCs w:val="20"/>
          <w:lang w:val="en-GB" w:eastAsia="en-AU"/>
        </w:rPr>
      </w:pPr>
      <w:r w:rsidRPr="007B6DF7">
        <w:rPr>
          <w:rFonts w:eastAsia="Times New Roman" w:cs="Segoe UI"/>
          <w:i/>
          <w:iCs/>
          <w:szCs w:val="20"/>
          <w:lang w:val="en-GB" w:eastAsia="en-AU"/>
        </w:rPr>
        <w:t>“…it’s not something that concerns me…You have to sign up for the health record don’t you which I’ve done and a lot of people aren’t happy about that I understand…Hey look I’ve got nothing to hide, you know, if they really want to know.”</w:t>
      </w:r>
      <w:r w:rsidRPr="007B6DF7">
        <w:rPr>
          <w:rFonts w:eastAsia="Times New Roman" w:cs="Segoe UI"/>
          <w:szCs w:val="20"/>
          <w:lang w:val="en-GB" w:eastAsia="en-AU"/>
        </w:rPr>
        <w:t> [Patient 2, Practice 5</w:t>
      </w:r>
      <w:r>
        <w:rPr>
          <w:rFonts w:eastAsia="Times New Roman" w:cs="Segoe UI"/>
          <w:szCs w:val="20"/>
          <w:lang w:val="en-GB" w:eastAsia="en-AU"/>
        </w:rPr>
        <w:t>, interview, R2]</w:t>
      </w:r>
      <w:r w:rsidRPr="007B6DF7">
        <w:rPr>
          <w:rFonts w:eastAsia="Times New Roman" w:cs="Segoe UI"/>
          <w:szCs w:val="20"/>
          <w:lang w:val="en-GB" w:eastAsia="en-AU"/>
        </w:rPr>
        <w:t> </w:t>
      </w:r>
    </w:p>
    <w:p w14:paraId="219FF577" w14:textId="77777777" w:rsidR="001C19F3" w:rsidRPr="007B6DF7" w:rsidRDefault="001C19F3" w:rsidP="001C19F3">
      <w:pPr>
        <w:ind w:left="567" w:right="1088"/>
        <w:rPr>
          <w:rFonts w:eastAsia="Times New Roman"/>
          <w:szCs w:val="20"/>
          <w:lang w:eastAsia="en-AU"/>
        </w:rPr>
      </w:pPr>
      <w:r w:rsidRPr="007B6DF7">
        <w:rPr>
          <w:rFonts w:eastAsia="Times New Roman"/>
          <w:szCs w:val="20"/>
          <w:lang w:eastAsia="en-AU"/>
        </w:rPr>
        <w:t> </w:t>
      </w:r>
      <w:r w:rsidRPr="007B6DF7">
        <w:rPr>
          <w:rFonts w:eastAsia="Times New Roman" w:cs="Segoe UI"/>
          <w:i/>
          <w:iCs/>
          <w:szCs w:val="20"/>
          <w:lang w:val="en-GB" w:eastAsia="en-AU"/>
        </w:rPr>
        <w:t>“Yes, I decided I wasn’t going to be on it, and I thought, to hell with it.</w:t>
      </w:r>
      <w:r>
        <w:rPr>
          <w:rFonts w:eastAsia="Times New Roman" w:cs="Segoe UI"/>
          <w:i/>
          <w:iCs/>
          <w:szCs w:val="20"/>
          <w:lang w:val="en-GB" w:eastAsia="en-AU"/>
        </w:rPr>
        <w:t xml:space="preserve"> </w:t>
      </w:r>
      <w:r w:rsidRPr="007B6DF7">
        <w:rPr>
          <w:rFonts w:eastAsia="Times New Roman" w:cs="Segoe UI"/>
          <w:i/>
          <w:iCs/>
          <w:szCs w:val="20"/>
          <w:lang w:val="en-GB" w:eastAsia="en-AU"/>
        </w:rPr>
        <w:t>Because I think it’s an open door, I don’t think that it’s going to be private, but at my age, who cares?</w:t>
      </w:r>
      <w:r>
        <w:rPr>
          <w:rFonts w:eastAsia="Times New Roman" w:cs="Segoe UI"/>
          <w:i/>
          <w:iCs/>
          <w:szCs w:val="20"/>
          <w:lang w:val="en-GB" w:eastAsia="en-AU"/>
        </w:rPr>
        <w:t xml:space="preserve"> </w:t>
      </w:r>
      <w:r w:rsidRPr="007B6DF7">
        <w:rPr>
          <w:rFonts w:eastAsia="Times New Roman" w:cs="Segoe UI"/>
          <w:i/>
          <w:iCs/>
          <w:szCs w:val="20"/>
          <w:lang w:val="en-GB" w:eastAsia="en-AU"/>
        </w:rPr>
        <w:t>But if I was younger…”</w:t>
      </w:r>
      <w:r w:rsidRPr="007B6DF7">
        <w:rPr>
          <w:rFonts w:eastAsia="Times New Roman" w:cs="Segoe UI"/>
          <w:szCs w:val="20"/>
          <w:lang w:val="en-GB" w:eastAsia="en-AU"/>
        </w:rPr>
        <w:t> [Patient 5, Practice 5</w:t>
      </w:r>
      <w:r>
        <w:rPr>
          <w:rFonts w:eastAsia="Times New Roman" w:cs="Segoe UI"/>
          <w:szCs w:val="20"/>
          <w:lang w:val="en-GB" w:eastAsia="en-AU"/>
        </w:rPr>
        <w:t>, interview, R2]</w:t>
      </w:r>
      <w:r w:rsidRPr="007B6DF7">
        <w:rPr>
          <w:rFonts w:eastAsia="Times New Roman"/>
          <w:szCs w:val="20"/>
          <w:lang w:eastAsia="en-AU"/>
        </w:rPr>
        <w:t> </w:t>
      </w:r>
    </w:p>
    <w:p w14:paraId="1098A356" w14:textId="77777777" w:rsidR="001C19F3" w:rsidRPr="007B6DF7" w:rsidRDefault="001C19F3" w:rsidP="001C19F3">
      <w:pPr>
        <w:textAlignment w:val="baseline"/>
        <w:rPr>
          <w:rFonts w:eastAsia="Times New Roman"/>
          <w:szCs w:val="20"/>
          <w:lang w:eastAsia="en-AU"/>
        </w:rPr>
      </w:pPr>
      <w:r w:rsidRPr="007B6DF7">
        <w:rPr>
          <w:rFonts w:eastAsia="Times New Roman" w:cs="Segoe UI"/>
          <w:szCs w:val="20"/>
          <w:lang w:eastAsia="en-AU"/>
        </w:rPr>
        <w:t xml:space="preserve">One interviewee felt that the requirement to have a My Health Record was positive as it allows clinicians </w:t>
      </w:r>
      <w:r>
        <w:rPr>
          <w:rFonts w:eastAsia="Times New Roman" w:cs="Segoe UI"/>
          <w:szCs w:val="20"/>
          <w:lang w:eastAsia="en-AU"/>
        </w:rPr>
        <w:t xml:space="preserve">involved in their care </w:t>
      </w:r>
      <w:r w:rsidRPr="007B6DF7">
        <w:rPr>
          <w:rFonts w:eastAsia="Times New Roman" w:cs="Segoe UI"/>
          <w:szCs w:val="20"/>
          <w:lang w:eastAsia="en-AU"/>
        </w:rPr>
        <w:t>to have access to their information:</w:t>
      </w:r>
      <w:r w:rsidRPr="007B6DF7">
        <w:rPr>
          <w:rFonts w:eastAsia="Times New Roman"/>
          <w:szCs w:val="20"/>
          <w:lang w:eastAsia="en-AU"/>
        </w:rPr>
        <w:t> </w:t>
      </w:r>
    </w:p>
    <w:p w14:paraId="4ABECA32"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“When I'm having a heart attack, I mean it's the more pertinent information people have right at the time, I mean, because you're operating on short periods of time…the more access that everybody's got to who you are…the better.” </w:t>
      </w:r>
      <w:r w:rsidRPr="00566496">
        <w:rPr>
          <w:rFonts w:eastAsia="Times New Roman" w:cs="Segoe UI"/>
          <w:iCs/>
          <w:szCs w:val="20"/>
          <w:lang w:val="en-GB" w:eastAsia="en-AU"/>
        </w:rPr>
        <w:t>[Patient 1, Practice 1</w:t>
      </w:r>
      <w:r>
        <w:rPr>
          <w:rFonts w:eastAsia="Times New Roman" w:cs="Segoe UI"/>
          <w:iCs/>
          <w:szCs w:val="20"/>
          <w:lang w:val="en-GB" w:eastAsia="en-AU"/>
        </w:rPr>
        <w:t>, interview, R2]</w:t>
      </w:r>
      <w:r w:rsidRPr="007B6DF7">
        <w:rPr>
          <w:rFonts w:eastAsia="Times New Roman" w:cs="Segoe UI"/>
          <w:i/>
          <w:iCs/>
          <w:szCs w:val="20"/>
          <w:lang w:val="en-GB" w:eastAsia="en-AU"/>
        </w:rPr>
        <w:t> </w:t>
      </w:r>
    </w:p>
    <w:p w14:paraId="145FC399" w14:textId="77777777" w:rsidR="001C19F3" w:rsidRPr="007B6DF7" w:rsidRDefault="001C19F3" w:rsidP="001C19F3">
      <w:pPr>
        <w:textAlignment w:val="baseline"/>
        <w:rPr>
          <w:rFonts w:eastAsia="Times New Roman"/>
          <w:szCs w:val="20"/>
          <w:lang w:eastAsia="en-AU"/>
        </w:rPr>
      </w:pPr>
      <w:r>
        <w:rPr>
          <w:rFonts w:eastAsia="Times New Roman" w:cs="Segoe UI"/>
          <w:szCs w:val="20"/>
          <w:lang w:eastAsia="en-AU"/>
        </w:rPr>
        <w:t>In some instances patients</w:t>
      </w:r>
      <w:r w:rsidRPr="007B6DF7">
        <w:rPr>
          <w:rFonts w:eastAsia="Times New Roman" w:cs="Segoe UI"/>
          <w:szCs w:val="20"/>
          <w:lang w:eastAsia="en-AU"/>
        </w:rPr>
        <w:t xml:space="preserve"> were</w:t>
      </w:r>
      <w:r>
        <w:rPr>
          <w:rFonts w:eastAsia="Times New Roman" w:cs="Segoe UI"/>
          <w:szCs w:val="20"/>
          <w:lang w:eastAsia="en-AU"/>
        </w:rPr>
        <w:t xml:space="preserve"> not aware of their My Health Record or tended not to go online</w:t>
      </w:r>
      <w:r w:rsidRPr="007B6DF7">
        <w:rPr>
          <w:rFonts w:eastAsia="Times New Roman" w:cs="Segoe UI"/>
          <w:szCs w:val="20"/>
          <w:lang w:eastAsia="en-AU"/>
        </w:rPr>
        <w:t>:</w:t>
      </w:r>
      <w:r w:rsidRPr="007B6DF7">
        <w:rPr>
          <w:rFonts w:eastAsia="Times New Roman"/>
          <w:szCs w:val="20"/>
          <w:lang w:eastAsia="en-AU"/>
        </w:rPr>
        <w:t> </w:t>
      </w:r>
    </w:p>
    <w:p w14:paraId="38DF797B" w14:textId="77777777" w:rsidR="001C19F3" w:rsidRPr="00566496" w:rsidRDefault="001C19F3" w:rsidP="001C19F3">
      <w:pPr>
        <w:ind w:left="567" w:right="1088"/>
        <w:rPr>
          <w:rFonts w:eastAsia="Times New Roman" w:cs="Segoe UI"/>
          <w:iCs/>
          <w:szCs w:val="20"/>
          <w:lang w:val="en-GB" w:eastAsia="en-AU"/>
        </w:rPr>
      </w:pPr>
      <w:r w:rsidRPr="007B6DF7">
        <w:rPr>
          <w:rFonts w:eastAsia="Times New Roman" w:cs="Segoe UI"/>
          <w:i/>
          <w:iCs/>
          <w:szCs w:val="20"/>
          <w:lang w:val="en-GB" w:eastAsia="en-AU"/>
        </w:rPr>
        <w:lastRenderedPageBreak/>
        <w:t>“I do, but we haven’t got online, so it don’t appeal to us.” </w:t>
      </w:r>
      <w:r w:rsidRPr="00566496">
        <w:rPr>
          <w:rFonts w:eastAsia="Times New Roman" w:cs="Segoe UI"/>
          <w:iCs/>
          <w:szCs w:val="20"/>
          <w:lang w:val="en-GB" w:eastAsia="en-AU"/>
        </w:rPr>
        <w:t>[Patient 3, Practice 16</w:t>
      </w:r>
      <w:r>
        <w:rPr>
          <w:rFonts w:eastAsia="Times New Roman" w:cs="Segoe UI"/>
          <w:iCs/>
          <w:szCs w:val="20"/>
          <w:lang w:val="en-GB" w:eastAsia="en-AU"/>
        </w:rPr>
        <w:t>, interview, R2]</w:t>
      </w:r>
      <w:r w:rsidRPr="00566496">
        <w:rPr>
          <w:rFonts w:eastAsia="Times New Roman" w:cs="Segoe UI"/>
          <w:iCs/>
          <w:szCs w:val="20"/>
          <w:lang w:val="en-GB" w:eastAsia="en-AU"/>
        </w:rPr>
        <w:t> </w:t>
      </w:r>
    </w:p>
    <w:p w14:paraId="704446A9" w14:textId="77777777" w:rsidR="001C19F3" w:rsidRPr="00566496" w:rsidRDefault="001C19F3" w:rsidP="001C19F3">
      <w:pPr>
        <w:ind w:left="567" w:right="1088"/>
        <w:rPr>
          <w:rFonts w:eastAsia="Times New Roman" w:cs="Segoe UI"/>
          <w:iCs/>
          <w:szCs w:val="20"/>
          <w:lang w:val="en-GB" w:eastAsia="en-AU"/>
        </w:rPr>
      </w:pPr>
      <w:r w:rsidRPr="007B6DF7">
        <w:rPr>
          <w:rFonts w:eastAsia="Times New Roman" w:cs="Segoe UI"/>
          <w:i/>
          <w:iCs/>
          <w:szCs w:val="20"/>
          <w:lang w:val="en-GB" w:eastAsia="en-AU"/>
        </w:rPr>
        <w:t>“I don’t know that much about it…I haven't checked it.” </w:t>
      </w:r>
      <w:r w:rsidRPr="00566496">
        <w:rPr>
          <w:rFonts w:eastAsia="Times New Roman" w:cs="Segoe UI"/>
          <w:iCs/>
          <w:szCs w:val="20"/>
          <w:lang w:val="en-GB" w:eastAsia="en-AU"/>
        </w:rPr>
        <w:t>[Patient 4, Practice 5</w:t>
      </w:r>
      <w:r>
        <w:rPr>
          <w:rFonts w:eastAsia="Times New Roman" w:cs="Segoe UI"/>
          <w:iCs/>
          <w:szCs w:val="20"/>
          <w:lang w:val="en-GB" w:eastAsia="en-AU"/>
        </w:rPr>
        <w:t>, interview, R2]</w:t>
      </w:r>
      <w:r w:rsidRPr="00566496">
        <w:rPr>
          <w:rFonts w:eastAsia="Times New Roman" w:cs="Segoe UI"/>
          <w:iCs/>
          <w:szCs w:val="20"/>
          <w:lang w:val="en-GB" w:eastAsia="en-AU"/>
        </w:rPr>
        <w:t> </w:t>
      </w:r>
    </w:p>
    <w:p w14:paraId="0657BF94"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Improved access</w:t>
      </w:r>
      <w:r>
        <w:rPr>
          <w:rFonts w:eastAsia="Times New Roman" w:cstheme="majorBidi"/>
          <w:color w:val="003D79"/>
          <w:sz w:val="28"/>
          <w:szCs w:val="24"/>
          <w:lang w:eastAsia="en-AU"/>
        </w:rPr>
        <w:t xml:space="preserve"> </w:t>
      </w:r>
    </w:p>
    <w:p w14:paraId="6F5D3FBE" w14:textId="77777777" w:rsidR="001C19F3" w:rsidRPr="007B6DF7" w:rsidRDefault="001C19F3" w:rsidP="001C19F3">
      <w:pPr>
        <w:textAlignment w:val="baseline"/>
        <w:rPr>
          <w:rFonts w:eastAsia="Times New Roman" w:cs="Segoe UI"/>
          <w:szCs w:val="20"/>
          <w:lang w:eastAsia="en-AU"/>
        </w:rPr>
      </w:pPr>
      <w:bookmarkStart w:id="371" w:name="_Hlk21174639"/>
      <w:r w:rsidRPr="007B6DF7">
        <w:rPr>
          <w:rFonts w:eastAsia="Times New Roman" w:cs="Segoe UI"/>
          <w:szCs w:val="20"/>
          <w:lang w:eastAsia="en-AU"/>
        </w:rPr>
        <w:t>Some HCH practices promoted improved access</w:t>
      </w:r>
      <w:r>
        <w:rPr>
          <w:rFonts w:eastAsia="Times New Roman" w:cs="Segoe UI"/>
          <w:szCs w:val="20"/>
          <w:lang w:eastAsia="en-AU"/>
        </w:rPr>
        <w:t xml:space="preserve"> (</w:t>
      </w:r>
      <w:r w:rsidRPr="007B6DF7">
        <w:rPr>
          <w:rFonts w:eastAsia="Times New Roman" w:cs="Segoe UI"/>
          <w:szCs w:val="20"/>
          <w:lang w:eastAsia="en-AU"/>
        </w:rPr>
        <w:t>via telephone, mobile, and email</w:t>
      </w:r>
      <w:r>
        <w:rPr>
          <w:rFonts w:eastAsia="Times New Roman" w:cs="Segoe UI"/>
          <w:szCs w:val="20"/>
          <w:lang w:eastAsia="en-AU"/>
        </w:rPr>
        <w:t xml:space="preserve">) as a benefit </w:t>
      </w:r>
      <w:r w:rsidRPr="007B6DF7">
        <w:rPr>
          <w:rFonts w:eastAsia="Times New Roman" w:cs="Segoe UI"/>
          <w:szCs w:val="20"/>
          <w:lang w:eastAsia="en-AU"/>
        </w:rPr>
        <w:t xml:space="preserve">of enrolling. </w:t>
      </w:r>
      <w:bookmarkEnd w:id="371"/>
      <w:r>
        <w:t xml:space="preserve">Where patients reported improved access since joining HCH, this was mainly </w:t>
      </w:r>
      <w:r>
        <w:rPr>
          <w:rFonts w:eastAsia="Times New Roman" w:cs="Segoe UI"/>
          <w:szCs w:val="20"/>
          <w:lang w:eastAsia="en-AU"/>
        </w:rPr>
        <w:t>through being able to phone or email the practice for a repeat prescription</w:t>
      </w:r>
      <w:r w:rsidRPr="007B6DF7">
        <w:rPr>
          <w:rFonts w:eastAsia="Times New Roman" w:cs="Segoe UI"/>
          <w:szCs w:val="20"/>
          <w:lang w:eastAsia="en-AU"/>
        </w:rPr>
        <w:t>:</w:t>
      </w:r>
    </w:p>
    <w:p w14:paraId="676357F4"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 “I can ring up and the nurse organises one for me. She’ll organise a prescription for me if I need it.”</w:t>
      </w:r>
      <w:r w:rsidRPr="007B6DF7">
        <w:rPr>
          <w:rFonts w:eastAsia="Times New Roman" w:cs="Segoe UI"/>
          <w:szCs w:val="20"/>
          <w:lang w:eastAsia="en-AU"/>
        </w:rPr>
        <w:t xml:space="preserve"> [Patient 3, Practice 4</w:t>
      </w:r>
      <w:r>
        <w:rPr>
          <w:rFonts w:eastAsia="Times New Roman" w:cs="Segoe UI"/>
          <w:szCs w:val="20"/>
          <w:lang w:eastAsia="en-AU"/>
        </w:rPr>
        <w:t>, interview, R2]</w:t>
      </w:r>
    </w:p>
    <w:tbl>
      <w:tblPr>
        <w:tblpPr w:leftFromText="180" w:rightFromText="180" w:vertAnchor="text" w:horzAnchor="margin" w:tblpY="11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418CF463" w14:textId="77777777" w:rsidTr="00521305">
        <w:trPr>
          <w:trHeight w:val="287"/>
        </w:trPr>
        <w:tc>
          <w:tcPr>
            <w:tcW w:w="5000" w:type="pct"/>
          </w:tcPr>
          <w:p w14:paraId="69321643" w14:textId="77777777" w:rsidR="001C19F3" w:rsidRPr="00AF6392" w:rsidRDefault="001C19F3" w:rsidP="00521305">
            <w:pPr>
              <w:spacing w:after="0"/>
              <w:rPr>
                <w:b/>
                <w:sz w:val="18"/>
                <w:szCs w:val="18"/>
              </w:rPr>
            </w:pPr>
            <w:r w:rsidRPr="00AF6392">
              <w:rPr>
                <w:b/>
                <w:sz w:val="18"/>
                <w:szCs w:val="18"/>
              </w:rPr>
              <w:t>Case study</w:t>
            </w:r>
          </w:p>
        </w:tc>
      </w:tr>
      <w:tr w:rsidR="001C19F3" w:rsidRPr="004A11F1" w14:paraId="23969C6D" w14:textId="77777777" w:rsidTr="00521305">
        <w:tc>
          <w:tcPr>
            <w:tcW w:w="5000" w:type="pct"/>
          </w:tcPr>
          <w:p w14:paraId="578850F5" w14:textId="77777777" w:rsidR="001C19F3" w:rsidRPr="00AF6392" w:rsidRDefault="001C19F3" w:rsidP="00521305">
            <w:pPr>
              <w:spacing w:after="0"/>
              <w:rPr>
                <w:sz w:val="18"/>
                <w:szCs w:val="18"/>
              </w:rPr>
            </w:pPr>
            <w:r w:rsidRPr="00AF6392">
              <w:rPr>
                <w:sz w:val="18"/>
                <w:szCs w:val="18"/>
              </w:rPr>
              <w:t>Patients B and C are a couple who have several chronic diseases</w:t>
            </w:r>
            <w:r>
              <w:rPr>
                <w:sz w:val="18"/>
                <w:szCs w:val="18"/>
              </w:rPr>
              <w:t xml:space="preserve"> between them: </w:t>
            </w:r>
            <w:r w:rsidRPr="00AF6392">
              <w:rPr>
                <w:sz w:val="18"/>
                <w:szCs w:val="18"/>
              </w:rPr>
              <w:t>cancer, coronary heart disease</w:t>
            </w:r>
            <w:r>
              <w:rPr>
                <w:sz w:val="18"/>
                <w:szCs w:val="18"/>
              </w:rPr>
              <w:t>,</w:t>
            </w:r>
            <w:r w:rsidRPr="00AF6392">
              <w:rPr>
                <w:sz w:val="18"/>
                <w:szCs w:val="18"/>
              </w:rPr>
              <w:t xml:space="preserve"> bursitis, and arthritis. They both find their GP extremely thorough. Since joining the program, they have enjoyed the access to the HCH coordinator. She has become their “go-to person”</w:t>
            </w:r>
            <w:r>
              <w:rPr>
                <w:sz w:val="18"/>
                <w:szCs w:val="18"/>
              </w:rPr>
              <w:t xml:space="preserve">. They </w:t>
            </w:r>
            <w:r w:rsidRPr="00AF6392">
              <w:rPr>
                <w:sz w:val="18"/>
                <w:szCs w:val="18"/>
              </w:rPr>
              <w:t>can request prescriptions over the phone</w:t>
            </w:r>
            <w:r>
              <w:rPr>
                <w:sz w:val="18"/>
                <w:szCs w:val="18"/>
              </w:rPr>
              <w:t xml:space="preserve">, and </w:t>
            </w:r>
            <w:r w:rsidRPr="00AF6392">
              <w:rPr>
                <w:sz w:val="18"/>
                <w:szCs w:val="18"/>
              </w:rPr>
              <w:t xml:space="preserve">the coordinator calls every month to check in on them and see if they need anything. Though they were pleased with the care that they were receiving prior to the initiative, they have found this extra support very helpful and noticed a big difference in their care. </w:t>
            </w:r>
          </w:p>
        </w:tc>
      </w:tr>
    </w:tbl>
    <w:p w14:paraId="63FBB7C5" w14:textId="77777777" w:rsidR="001C19F3" w:rsidRDefault="001C19F3" w:rsidP="001C19F3">
      <w:pPr>
        <w:spacing w:after="0"/>
        <w:textAlignment w:val="baseline"/>
        <w:rPr>
          <w:rFonts w:eastAsia="Times New Roman" w:cs="Segoe UI"/>
          <w:szCs w:val="20"/>
          <w:lang w:eastAsia="en-AU"/>
        </w:rPr>
      </w:pPr>
      <w:r>
        <w:rPr>
          <w:rFonts w:eastAsia="Times New Roman" w:cs="Segoe UI"/>
          <w:szCs w:val="20"/>
          <w:lang w:eastAsia="en-AU"/>
        </w:rPr>
        <w:t xml:space="preserve"> </w:t>
      </w:r>
    </w:p>
    <w:p w14:paraId="4AC5E6EB" w14:textId="77777777" w:rsidR="001C19F3" w:rsidRPr="007B6DF7" w:rsidRDefault="001C19F3" w:rsidP="001C19F3">
      <w:pPr>
        <w:textAlignment w:val="baseline"/>
        <w:rPr>
          <w:rFonts w:eastAsia="Times New Roman" w:cs="Segoe UI"/>
          <w:szCs w:val="20"/>
          <w:lang w:eastAsia="en-AU"/>
        </w:rPr>
      </w:pPr>
      <w:r w:rsidRPr="007B6DF7">
        <w:rPr>
          <w:rFonts w:eastAsia="Times New Roman" w:cs="Segoe UI"/>
          <w:szCs w:val="20"/>
          <w:lang w:eastAsia="en-AU"/>
        </w:rPr>
        <w:t>Some practices have provided additional access to HCH patients by allowing them to contact the nurse with any questions or concerns:</w:t>
      </w:r>
    </w:p>
    <w:p w14:paraId="2538A3DC"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“…it’s very nice to have an email contact if you need a prescription you can just email and ask do I need to come in.</w:t>
      </w:r>
      <w:r>
        <w:rPr>
          <w:rFonts w:eastAsia="Times New Roman" w:cs="Segoe UI"/>
          <w:i/>
          <w:szCs w:val="20"/>
          <w:lang w:eastAsia="en-AU"/>
        </w:rPr>
        <w:t xml:space="preserve"> </w:t>
      </w:r>
      <w:r w:rsidRPr="007B6DF7">
        <w:rPr>
          <w:rFonts w:eastAsia="Times New Roman" w:cs="Segoe UI"/>
          <w:i/>
          <w:szCs w:val="20"/>
          <w:lang w:eastAsia="en-AU"/>
        </w:rPr>
        <w:t>I couldn’t remember when I had to have my next blood test and I just emailed and you get an answer straight away.</w:t>
      </w:r>
      <w:r>
        <w:rPr>
          <w:rFonts w:eastAsia="Times New Roman" w:cs="Segoe UI"/>
          <w:i/>
          <w:szCs w:val="20"/>
          <w:lang w:eastAsia="en-AU"/>
        </w:rPr>
        <w:t xml:space="preserve"> </w:t>
      </w:r>
      <w:r w:rsidRPr="007B6DF7">
        <w:rPr>
          <w:rFonts w:eastAsia="Times New Roman" w:cs="Segoe UI"/>
          <w:i/>
          <w:szCs w:val="20"/>
          <w:lang w:eastAsia="en-AU"/>
        </w:rPr>
        <w:t>So, you’re not worried should I go in, shall I not go in, shall I make an appointment.</w:t>
      </w:r>
      <w:r>
        <w:rPr>
          <w:rFonts w:eastAsia="Times New Roman" w:cs="Segoe UI"/>
          <w:i/>
          <w:szCs w:val="20"/>
          <w:lang w:eastAsia="en-AU"/>
        </w:rPr>
        <w:t xml:space="preserve"> </w:t>
      </w:r>
      <w:r w:rsidRPr="007B6DF7">
        <w:rPr>
          <w:rFonts w:eastAsia="Times New Roman" w:cs="Segoe UI"/>
          <w:i/>
          <w:szCs w:val="20"/>
          <w:lang w:eastAsia="en-AU"/>
        </w:rPr>
        <w:t>You know, it’s more efficient.”</w:t>
      </w:r>
      <w:r w:rsidRPr="007B6DF7">
        <w:rPr>
          <w:rFonts w:eastAsia="Times New Roman" w:cs="Segoe UI"/>
          <w:szCs w:val="20"/>
          <w:lang w:eastAsia="en-AU"/>
        </w:rPr>
        <w:t xml:space="preserve"> [Patient 2, Practice 5</w:t>
      </w:r>
      <w:r>
        <w:rPr>
          <w:rFonts w:eastAsia="Times New Roman" w:cs="Segoe UI"/>
          <w:szCs w:val="20"/>
          <w:lang w:eastAsia="en-AU"/>
        </w:rPr>
        <w:t>, interview, R2]</w:t>
      </w:r>
    </w:p>
    <w:p w14:paraId="08F2E446"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 “Well, they certainly emailed, I received email updates, for instance, and then they ask you about the initial test and meetings with my doctor and the nurse, they sent me a summary, they in fact emailed me a summary.”</w:t>
      </w:r>
      <w:r w:rsidRPr="007B6DF7">
        <w:rPr>
          <w:rFonts w:eastAsia="Times New Roman" w:cs="Segoe UI"/>
          <w:szCs w:val="20"/>
          <w:lang w:eastAsia="en-AU"/>
        </w:rPr>
        <w:t xml:space="preserve"> [Patient 4, Practice 5</w:t>
      </w:r>
      <w:r>
        <w:rPr>
          <w:rFonts w:eastAsia="Times New Roman" w:cs="Segoe UI"/>
          <w:szCs w:val="20"/>
          <w:lang w:eastAsia="en-AU"/>
        </w:rPr>
        <w:t>, interview, R2]</w:t>
      </w:r>
    </w:p>
    <w:p w14:paraId="692C117E"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 “I've just rung them and, you know, just to like, oh, you know, well this is where we are with </w:t>
      </w:r>
      <w:r w:rsidRPr="007B6DF7">
        <w:rPr>
          <w:rFonts w:eastAsia="Times New Roman" w:cs="Segoe UI"/>
          <w:szCs w:val="20"/>
          <w:lang w:eastAsia="en-AU"/>
        </w:rPr>
        <w:t>[him]</w:t>
      </w:r>
      <w:r w:rsidRPr="007B6DF7">
        <w:rPr>
          <w:rFonts w:eastAsia="Times New Roman" w:cs="Segoe UI"/>
          <w:i/>
          <w:szCs w:val="20"/>
          <w:lang w:eastAsia="en-AU"/>
        </w:rPr>
        <w:t xml:space="preserve"> and he's getting close to his transplant, things like that. So quite often I don't even have to go in now. I can just ring them on the phone and speak to them.” </w:t>
      </w:r>
      <w:r w:rsidRPr="007B6DF7">
        <w:rPr>
          <w:rFonts w:eastAsia="Times New Roman" w:cs="Segoe UI"/>
          <w:szCs w:val="20"/>
          <w:lang w:eastAsia="en-AU"/>
        </w:rPr>
        <w:t>[Carer, Practice 4</w:t>
      </w:r>
      <w:r>
        <w:rPr>
          <w:rFonts w:eastAsia="Times New Roman" w:cs="Segoe UI"/>
          <w:szCs w:val="20"/>
          <w:lang w:eastAsia="en-AU"/>
        </w:rPr>
        <w:t>, interview, R2]</w:t>
      </w:r>
    </w:p>
    <w:p w14:paraId="5AA7F43A" w14:textId="77777777" w:rsidR="001C19F3" w:rsidRPr="007B6DF7" w:rsidRDefault="001C19F3" w:rsidP="001C19F3">
      <w:pPr>
        <w:textAlignment w:val="baseline"/>
        <w:rPr>
          <w:rFonts w:eastAsia="Times New Roman" w:cs="Segoe UI"/>
          <w:szCs w:val="20"/>
          <w:lang w:eastAsia="en-AU"/>
        </w:rPr>
      </w:pPr>
      <w:r w:rsidRPr="007B6DF7">
        <w:rPr>
          <w:rFonts w:eastAsia="Times New Roman" w:cs="Segoe UI"/>
          <w:szCs w:val="20"/>
          <w:lang w:eastAsia="en-AU"/>
        </w:rPr>
        <w:t>Some patients reported that practice nurses have increased the level of chronic disease management and support that they provide by regularly contacting patients via phone or email to check in or remind them about upcoming appointments:</w:t>
      </w:r>
    </w:p>
    <w:p w14:paraId="78512CA9"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“We’ve had phone calls to see…What was going on, and I said, we’re fine.”</w:t>
      </w:r>
      <w:r w:rsidRPr="007B6DF7">
        <w:rPr>
          <w:rFonts w:eastAsia="Times New Roman" w:cs="Segoe UI"/>
          <w:szCs w:val="20"/>
          <w:lang w:eastAsia="en-AU"/>
        </w:rPr>
        <w:t xml:space="preserve"> [Patient 3, Practice 4</w:t>
      </w:r>
      <w:r>
        <w:rPr>
          <w:rFonts w:eastAsia="Times New Roman" w:cs="Segoe UI"/>
          <w:szCs w:val="20"/>
          <w:lang w:eastAsia="en-AU"/>
        </w:rPr>
        <w:t>, interview, R2]</w:t>
      </w:r>
    </w:p>
    <w:p w14:paraId="5D2B3632" w14:textId="77777777" w:rsidR="001C19F3" w:rsidRPr="007B6DF7" w:rsidRDefault="001C19F3" w:rsidP="001C19F3">
      <w:pPr>
        <w:ind w:left="567" w:right="1088"/>
        <w:rPr>
          <w:rFonts w:eastAsia="Times New Roman" w:cs="Segoe UI"/>
          <w:szCs w:val="20"/>
          <w:lang w:eastAsia="en-AU"/>
        </w:rPr>
      </w:pPr>
      <w:r>
        <w:rPr>
          <w:rFonts w:eastAsia="Times New Roman" w:cs="Segoe UI"/>
          <w:i/>
          <w:szCs w:val="20"/>
          <w:lang w:eastAsia="en-AU"/>
        </w:rPr>
        <w:lastRenderedPageBreak/>
        <w:t>“</w:t>
      </w:r>
      <w:r w:rsidRPr="007B6DF7">
        <w:rPr>
          <w:rFonts w:eastAsia="Times New Roman" w:cs="Segoe UI"/>
          <w:i/>
          <w:szCs w:val="20"/>
          <w:lang w:eastAsia="en-AU"/>
        </w:rPr>
        <w:t xml:space="preserve">If I don’t answer my phone, she will ring the management at the </w:t>
      </w:r>
      <w:r w:rsidRPr="007D6D8C">
        <w:rPr>
          <w:rFonts w:eastAsia="Times New Roman" w:cs="Segoe UI"/>
          <w:iCs/>
          <w:szCs w:val="20"/>
          <w:lang w:eastAsia="en-AU"/>
        </w:rPr>
        <w:t>[town]</w:t>
      </w:r>
      <w:r w:rsidRPr="007B6DF7">
        <w:rPr>
          <w:rFonts w:eastAsia="Times New Roman" w:cs="Segoe UI"/>
          <w:i/>
          <w:szCs w:val="20"/>
          <w:lang w:eastAsia="en-AU"/>
        </w:rPr>
        <w:t xml:space="preserve">. Can you please do me a favour and check on </w:t>
      </w:r>
      <w:r w:rsidRPr="007D6D8C">
        <w:rPr>
          <w:rFonts w:eastAsia="Times New Roman" w:cs="Segoe UI"/>
          <w:iCs/>
          <w:szCs w:val="20"/>
          <w:lang w:eastAsia="en-AU"/>
        </w:rPr>
        <w:t>[the patient]</w:t>
      </w:r>
      <w:r w:rsidRPr="007B6DF7">
        <w:rPr>
          <w:rFonts w:eastAsia="Times New Roman" w:cs="Segoe UI"/>
          <w:i/>
          <w:szCs w:val="20"/>
          <w:lang w:eastAsia="en-AU"/>
        </w:rPr>
        <w:t xml:space="preserve">? So the staff would come and say, are you okay </w:t>
      </w:r>
      <w:r w:rsidRPr="00884727">
        <w:rPr>
          <w:rFonts w:eastAsia="Times New Roman" w:cs="Segoe UI"/>
          <w:szCs w:val="20"/>
          <w:lang w:eastAsia="en-AU"/>
        </w:rPr>
        <w:t>[patient</w:t>
      </w:r>
      <w:r>
        <w:rPr>
          <w:rFonts w:eastAsia="Times New Roman" w:cs="Segoe UI"/>
          <w:szCs w:val="20"/>
          <w:lang w:eastAsia="en-AU"/>
        </w:rPr>
        <w:t>’s name</w:t>
      </w:r>
      <w:r w:rsidRPr="00884727">
        <w:rPr>
          <w:rFonts w:eastAsia="Times New Roman" w:cs="Segoe UI"/>
          <w:szCs w:val="20"/>
          <w:lang w:eastAsia="en-AU"/>
        </w:rPr>
        <w:t>]</w:t>
      </w:r>
      <w:r w:rsidRPr="007B6DF7">
        <w:rPr>
          <w:rFonts w:eastAsia="Times New Roman" w:cs="Segoe UI"/>
          <w:i/>
          <w:szCs w:val="20"/>
          <w:lang w:eastAsia="en-AU"/>
        </w:rPr>
        <w:t>? I say, yes I am okay.”</w:t>
      </w:r>
      <w:r w:rsidRPr="007B6DF7">
        <w:rPr>
          <w:rFonts w:eastAsia="Times New Roman" w:cs="Segoe UI"/>
          <w:szCs w:val="20"/>
          <w:lang w:eastAsia="en-AU"/>
        </w:rPr>
        <w:t xml:space="preserve"> [Patient 2, Practice 6</w:t>
      </w:r>
      <w:r>
        <w:rPr>
          <w:rFonts w:eastAsia="Times New Roman" w:cs="Segoe UI"/>
          <w:szCs w:val="20"/>
          <w:lang w:eastAsia="en-AU"/>
        </w:rPr>
        <w:t>, interview, R2]</w:t>
      </w:r>
    </w:p>
    <w:p w14:paraId="5DCAFE18"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w:t>
      </w:r>
      <w:r w:rsidRPr="00721857">
        <w:rPr>
          <w:rFonts w:eastAsia="Times New Roman" w:cs="Segoe UI"/>
          <w:szCs w:val="20"/>
          <w:lang w:eastAsia="en-AU"/>
        </w:rPr>
        <w:t>[The nurse has]</w:t>
      </w:r>
      <w:r w:rsidRPr="007B6DF7">
        <w:rPr>
          <w:rFonts w:eastAsia="Times New Roman" w:cs="Segoe UI"/>
          <w:i/>
          <w:szCs w:val="20"/>
          <w:lang w:eastAsia="en-AU"/>
        </w:rPr>
        <w:t xml:space="preserve"> been very helpful. When I ring up she’s always available. If she’s not she calls me back and I’ll… Why are you calling? I’m calling about my medication and things like that and she says to me, okay. She takes down everything and then she calls me or she sends me a text either the same day…”</w:t>
      </w:r>
      <w:r w:rsidRPr="007B6DF7">
        <w:rPr>
          <w:rFonts w:eastAsia="Times New Roman" w:cs="Segoe UI"/>
          <w:szCs w:val="20"/>
          <w:lang w:eastAsia="en-AU"/>
        </w:rPr>
        <w:t xml:space="preserve"> [Patient 2, Practice 3</w:t>
      </w:r>
      <w:r>
        <w:rPr>
          <w:rFonts w:eastAsia="Times New Roman" w:cs="Segoe UI"/>
          <w:szCs w:val="20"/>
          <w:lang w:eastAsia="en-AU"/>
        </w:rPr>
        <w:t>, interview, R2]</w:t>
      </w:r>
    </w:p>
    <w:p w14:paraId="4F82C811"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“…I’ll just say, </w:t>
      </w:r>
      <w:r>
        <w:rPr>
          <w:rFonts w:eastAsia="Times New Roman" w:cs="Segoe UI"/>
          <w:iCs/>
          <w:szCs w:val="20"/>
          <w:lang w:eastAsia="en-AU"/>
        </w:rPr>
        <w:t>[</w:t>
      </w:r>
      <w:r w:rsidRPr="007D6D8C">
        <w:rPr>
          <w:rFonts w:eastAsia="Times New Roman" w:cs="Segoe UI"/>
          <w:iCs/>
          <w:szCs w:val="20"/>
          <w:lang w:eastAsia="en-AU"/>
        </w:rPr>
        <w:t xml:space="preserve">HCH </w:t>
      </w:r>
      <w:r>
        <w:rPr>
          <w:rFonts w:eastAsia="Times New Roman" w:cs="Segoe UI"/>
          <w:iCs/>
          <w:szCs w:val="20"/>
          <w:lang w:eastAsia="en-AU"/>
        </w:rPr>
        <w:t>c</w:t>
      </w:r>
      <w:r w:rsidRPr="007D6D8C">
        <w:rPr>
          <w:rFonts w:eastAsia="Times New Roman" w:cs="Segoe UI"/>
          <w:iCs/>
          <w:szCs w:val="20"/>
          <w:lang w:eastAsia="en-AU"/>
        </w:rPr>
        <w:t>oordinator</w:t>
      </w:r>
      <w:r>
        <w:rPr>
          <w:rFonts w:eastAsia="Times New Roman" w:cs="Segoe UI"/>
          <w:iCs/>
          <w:szCs w:val="20"/>
          <w:lang w:eastAsia="en-AU"/>
        </w:rPr>
        <w:t>’s name]</w:t>
      </w:r>
      <w:r w:rsidRPr="007B6DF7">
        <w:rPr>
          <w:rFonts w:eastAsia="Times New Roman" w:cs="Segoe UI"/>
          <w:i/>
          <w:szCs w:val="20"/>
          <w:lang w:eastAsia="en-AU"/>
        </w:rPr>
        <w:t xml:space="preserve">, flu injections nearly time? I’ll ring you, </w:t>
      </w:r>
      <w:r>
        <w:rPr>
          <w:rFonts w:eastAsia="Times New Roman" w:cs="Segoe UI"/>
          <w:szCs w:val="20"/>
          <w:lang w:eastAsia="en-AU"/>
        </w:rPr>
        <w:t>[patient’s name]</w:t>
      </w:r>
      <w:r w:rsidRPr="007B6DF7">
        <w:rPr>
          <w:rFonts w:eastAsia="Times New Roman" w:cs="Segoe UI"/>
          <w:i/>
          <w:szCs w:val="20"/>
          <w:lang w:eastAsia="en-AU"/>
        </w:rPr>
        <w:t>, as soon as they’re due, and she does. And we’ll get in and...”</w:t>
      </w:r>
      <w:r w:rsidRPr="007B6DF7">
        <w:rPr>
          <w:rFonts w:eastAsia="Times New Roman" w:cs="Segoe UI"/>
          <w:szCs w:val="20"/>
          <w:lang w:eastAsia="en-AU"/>
        </w:rPr>
        <w:t xml:space="preserve"> [Patient 6, Practice 16</w:t>
      </w:r>
      <w:r>
        <w:rPr>
          <w:rFonts w:eastAsia="Times New Roman" w:cs="Segoe UI"/>
          <w:szCs w:val="20"/>
          <w:lang w:eastAsia="en-AU"/>
        </w:rPr>
        <w:t>, interview, R2]</w:t>
      </w:r>
    </w:p>
    <w:p w14:paraId="67421CD9" w14:textId="77777777" w:rsidR="001C19F3" w:rsidRPr="007B6DF7" w:rsidRDefault="001C19F3" w:rsidP="001C19F3">
      <w:pPr>
        <w:textAlignment w:val="baseline"/>
        <w:rPr>
          <w:rFonts w:eastAsia="Times New Roman" w:cs="Segoe UI"/>
          <w:szCs w:val="20"/>
          <w:lang w:eastAsia="en-AU"/>
        </w:rPr>
      </w:pPr>
      <w:bookmarkStart w:id="372" w:name="_Hlk21175643"/>
      <w:r>
        <w:rPr>
          <w:rFonts w:eastAsia="Times New Roman" w:cs="Segoe UI"/>
          <w:szCs w:val="20"/>
          <w:lang w:eastAsia="en-AU"/>
        </w:rPr>
        <w:t>Some</w:t>
      </w:r>
      <w:r w:rsidRPr="007B6DF7">
        <w:rPr>
          <w:rFonts w:eastAsia="Times New Roman" w:cs="Segoe UI"/>
          <w:szCs w:val="20"/>
          <w:lang w:eastAsia="en-AU"/>
        </w:rPr>
        <w:t xml:space="preserve"> practices </w:t>
      </w:r>
      <w:r>
        <w:rPr>
          <w:rFonts w:eastAsia="Times New Roman" w:cs="Segoe UI"/>
          <w:szCs w:val="20"/>
          <w:lang w:eastAsia="en-AU"/>
        </w:rPr>
        <w:t>gave</w:t>
      </w:r>
      <w:r w:rsidRPr="007B6DF7">
        <w:rPr>
          <w:rFonts w:eastAsia="Times New Roman" w:cs="Segoe UI"/>
          <w:szCs w:val="20"/>
          <w:lang w:eastAsia="en-AU"/>
        </w:rPr>
        <w:t xml:space="preserve"> their HCH patients priority access </w:t>
      </w:r>
      <w:r>
        <w:rPr>
          <w:rFonts w:eastAsia="Times New Roman" w:cs="Segoe UI"/>
          <w:szCs w:val="20"/>
          <w:lang w:eastAsia="en-AU"/>
        </w:rPr>
        <w:t>so that they wouldn’t have to wait when they turned up at the practice,</w:t>
      </w:r>
      <w:r w:rsidRPr="007B6DF7">
        <w:rPr>
          <w:rFonts w:eastAsia="Times New Roman" w:cs="Segoe UI"/>
          <w:szCs w:val="20"/>
          <w:lang w:eastAsia="en-AU"/>
        </w:rPr>
        <w:t xml:space="preserve"> or</w:t>
      </w:r>
      <w:r>
        <w:rPr>
          <w:rFonts w:eastAsia="Times New Roman" w:cs="Segoe UI"/>
          <w:szCs w:val="20"/>
          <w:lang w:eastAsia="en-AU"/>
        </w:rPr>
        <w:t xml:space="preserve"> they could</w:t>
      </w:r>
      <w:r w:rsidRPr="007B6DF7">
        <w:rPr>
          <w:rFonts w:eastAsia="Times New Roman" w:cs="Segoe UI"/>
          <w:szCs w:val="20"/>
          <w:lang w:eastAsia="en-AU"/>
        </w:rPr>
        <w:t xml:space="preserve"> get</w:t>
      </w:r>
      <w:r>
        <w:rPr>
          <w:rFonts w:eastAsia="Times New Roman" w:cs="Segoe UI"/>
          <w:szCs w:val="20"/>
          <w:lang w:eastAsia="en-AU"/>
        </w:rPr>
        <w:t xml:space="preserve"> a priority</w:t>
      </w:r>
      <w:r w:rsidRPr="007B6DF7">
        <w:rPr>
          <w:rFonts w:eastAsia="Times New Roman" w:cs="Segoe UI"/>
          <w:szCs w:val="20"/>
          <w:lang w:eastAsia="en-AU"/>
        </w:rPr>
        <w:t xml:space="preserve"> appointment if </w:t>
      </w:r>
      <w:bookmarkEnd w:id="372"/>
      <w:r>
        <w:rPr>
          <w:rFonts w:eastAsia="Times New Roman" w:cs="Segoe UI"/>
          <w:szCs w:val="20"/>
          <w:lang w:eastAsia="en-AU"/>
        </w:rPr>
        <w:t>something urgent came up</w:t>
      </w:r>
      <w:r w:rsidRPr="007B6DF7">
        <w:rPr>
          <w:rFonts w:eastAsia="Times New Roman" w:cs="Segoe UI"/>
          <w:szCs w:val="20"/>
          <w:lang w:eastAsia="en-AU"/>
        </w:rPr>
        <w:t>:</w:t>
      </w:r>
    </w:p>
    <w:p w14:paraId="6E59A784"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“It’s much easier for me to do all the bits and pieces and because there’s always the understanding that if it’s something urgent you can still get in because they leave a spot each day where anyone from this system can come in and see on that day. So that’s good. So it can’t be any better than that.”</w:t>
      </w:r>
      <w:r w:rsidRPr="007B6DF7">
        <w:rPr>
          <w:rFonts w:eastAsia="Times New Roman" w:cs="Segoe UI"/>
          <w:szCs w:val="20"/>
          <w:lang w:eastAsia="en-AU"/>
        </w:rPr>
        <w:t xml:space="preserve"> [Patient 1, Practice 9</w:t>
      </w:r>
      <w:r>
        <w:rPr>
          <w:rFonts w:eastAsia="Times New Roman" w:cs="Segoe UI"/>
          <w:szCs w:val="20"/>
          <w:lang w:eastAsia="en-AU"/>
        </w:rPr>
        <w:t>, interview, R2]</w:t>
      </w:r>
    </w:p>
    <w:p w14:paraId="007C685F"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“See I wouldn’t be able to see a doctor straight away, but they’d attend to me at the reception and send me round to the nurse if necessary </w:t>
      </w:r>
      <w:r>
        <w:rPr>
          <w:rFonts w:eastAsia="Times New Roman" w:cs="Segoe UI"/>
          <w:i/>
          <w:szCs w:val="20"/>
          <w:lang w:eastAsia="en-AU"/>
        </w:rPr>
        <w:t>..</w:t>
      </w:r>
      <w:r w:rsidRPr="007B6DF7">
        <w:rPr>
          <w:rFonts w:eastAsia="Times New Roman" w:cs="Segoe UI"/>
          <w:i/>
          <w:szCs w:val="20"/>
          <w:lang w:eastAsia="en-AU"/>
        </w:rPr>
        <w:t>.”</w:t>
      </w:r>
      <w:r w:rsidRPr="007B6DF7">
        <w:rPr>
          <w:rFonts w:eastAsia="Times New Roman" w:cs="Segoe UI"/>
          <w:szCs w:val="20"/>
          <w:lang w:eastAsia="en-AU"/>
        </w:rPr>
        <w:t xml:space="preserve"> [Patient 3, Practice 4</w:t>
      </w:r>
      <w:r>
        <w:rPr>
          <w:rFonts w:eastAsia="Times New Roman" w:cs="Segoe UI"/>
          <w:szCs w:val="20"/>
          <w:lang w:eastAsia="en-AU"/>
        </w:rPr>
        <w:t>, interview, R2]</w:t>
      </w:r>
    </w:p>
    <w:p w14:paraId="3FBCA9E7" w14:textId="77777777" w:rsidR="001C19F3" w:rsidRPr="007B6DF7" w:rsidRDefault="001C19F3" w:rsidP="001C19F3">
      <w:pPr>
        <w:textAlignment w:val="baseline"/>
        <w:rPr>
          <w:rFonts w:eastAsia="Times New Roman" w:cs="Segoe UI"/>
          <w:szCs w:val="20"/>
          <w:lang w:eastAsia="en-AU"/>
        </w:rPr>
      </w:pPr>
      <w:r w:rsidRPr="007B6DF7">
        <w:rPr>
          <w:rFonts w:eastAsia="Times New Roman" w:cs="Segoe UI"/>
          <w:szCs w:val="20"/>
          <w:lang w:eastAsia="en-AU"/>
        </w:rPr>
        <w:t>Although a few practices have made HCH patient a priority, some interviewees reported that their access and contact with the practice had not changed or that they expected better access:</w:t>
      </w:r>
    </w:p>
    <w:p w14:paraId="43CECEE6" w14:textId="77777777" w:rsidR="001C19F3" w:rsidRPr="007B6DF7" w:rsidRDefault="001C19F3" w:rsidP="001C19F3">
      <w:pPr>
        <w:ind w:left="567" w:right="1088"/>
        <w:rPr>
          <w:rFonts w:eastAsia="Times New Roman" w:cs="Segoe UI"/>
          <w:i/>
          <w:szCs w:val="20"/>
          <w:lang w:eastAsia="en-AU"/>
        </w:rPr>
      </w:pPr>
      <w:r w:rsidRPr="007B6DF7">
        <w:rPr>
          <w:rFonts w:eastAsia="Times New Roman" w:cs="Segoe UI"/>
          <w:i/>
          <w:szCs w:val="20"/>
          <w:lang w:eastAsia="en-AU"/>
        </w:rPr>
        <w:t xml:space="preserve"> “I usually, if I see the doctor, then they make an appointment in a fortnight, or if I have something urgent I just get on the phone and ring up, and they book you in… No, </w:t>
      </w:r>
      <w:r w:rsidRPr="000438E3">
        <w:rPr>
          <w:rFonts w:eastAsia="Times New Roman" w:cs="Segoe UI"/>
          <w:iCs/>
          <w:szCs w:val="20"/>
          <w:lang w:eastAsia="en-AU"/>
        </w:rPr>
        <w:t>[it is]</w:t>
      </w:r>
      <w:r w:rsidRPr="007B6DF7">
        <w:rPr>
          <w:rFonts w:eastAsia="Times New Roman" w:cs="Segoe UI"/>
          <w:i/>
          <w:szCs w:val="20"/>
          <w:lang w:eastAsia="en-AU"/>
        </w:rPr>
        <w:t xml:space="preserve"> about the same, about the same, yes.”</w:t>
      </w:r>
      <w:r w:rsidRPr="00C75FE6">
        <w:rPr>
          <w:rFonts w:eastAsia="Times New Roman" w:cs="Segoe UI"/>
          <w:szCs w:val="20"/>
          <w:lang w:eastAsia="en-AU"/>
        </w:rPr>
        <w:t xml:space="preserve"> [Patient 2, Practice 1</w:t>
      </w:r>
      <w:r>
        <w:rPr>
          <w:rFonts w:eastAsia="Times New Roman" w:cs="Segoe UI"/>
          <w:szCs w:val="20"/>
          <w:lang w:eastAsia="en-AU"/>
        </w:rPr>
        <w:t>, interview, R2]</w:t>
      </w:r>
    </w:p>
    <w:p w14:paraId="6FE41389" w14:textId="77777777" w:rsidR="001C19F3" w:rsidRPr="00C75FE6" w:rsidRDefault="001C19F3" w:rsidP="001C19F3">
      <w:pPr>
        <w:ind w:left="567" w:right="1088"/>
        <w:rPr>
          <w:rFonts w:eastAsia="Times New Roman" w:cs="Segoe UI"/>
          <w:szCs w:val="20"/>
          <w:lang w:eastAsia="en-AU"/>
        </w:rPr>
      </w:pPr>
      <w:r>
        <w:rPr>
          <w:rFonts w:eastAsia="Times New Roman" w:cs="Segoe UI"/>
          <w:i/>
          <w:szCs w:val="20"/>
          <w:lang w:eastAsia="en-AU"/>
        </w:rPr>
        <w:t>“</w:t>
      </w:r>
      <w:r w:rsidRPr="007B6DF7">
        <w:rPr>
          <w:rFonts w:eastAsia="Times New Roman" w:cs="Segoe UI"/>
          <w:i/>
          <w:szCs w:val="20"/>
          <w:lang w:eastAsia="en-AU"/>
        </w:rPr>
        <w:t xml:space="preserve">I thought I’d be more of a priority patient as I said we still wait maybe 20 minutes some times… but then I guess maybe if there are other people who are their priority you still got to wait.” </w:t>
      </w:r>
      <w:r w:rsidRPr="00C75FE6">
        <w:rPr>
          <w:rFonts w:eastAsia="Times New Roman" w:cs="Segoe UI"/>
          <w:szCs w:val="20"/>
          <w:lang w:eastAsia="en-AU"/>
        </w:rPr>
        <w:t>[Patient 3, Practice 3</w:t>
      </w:r>
      <w:r>
        <w:rPr>
          <w:rFonts w:eastAsia="Times New Roman" w:cs="Segoe UI"/>
          <w:szCs w:val="20"/>
          <w:lang w:eastAsia="en-AU"/>
        </w:rPr>
        <w:t>, interview, R2]</w:t>
      </w:r>
    </w:p>
    <w:p w14:paraId="1BCE61A3" w14:textId="77777777" w:rsidR="001C19F3" w:rsidRPr="007B6DF7" w:rsidRDefault="001C19F3" w:rsidP="001C19F3">
      <w:pPr>
        <w:keepNext/>
        <w:keepLines/>
        <w:spacing w:line="240" w:lineRule="auto"/>
        <w:outlineLvl w:val="2"/>
        <w:rPr>
          <w:rFonts w:ascii="Segoe UI" w:eastAsia="Times New Roman" w:hAnsi="Segoe UI" w:cstheme="majorBidi"/>
          <w:color w:val="003D79"/>
          <w:sz w:val="18"/>
          <w:szCs w:val="18"/>
          <w:lang w:eastAsia="en-AU"/>
        </w:rPr>
      </w:pPr>
      <w:r w:rsidRPr="007B6DF7">
        <w:rPr>
          <w:rFonts w:eastAsia="Times New Roman" w:cstheme="majorBidi"/>
          <w:color w:val="003D79"/>
          <w:sz w:val="28"/>
          <w:szCs w:val="24"/>
          <w:lang w:eastAsia="en-AU"/>
        </w:rPr>
        <w:t>Experience of specific clinician types at the practices </w:t>
      </w:r>
    </w:p>
    <w:p w14:paraId="57846F39" w14:textId="77777777" w:rsidR="001C19F3" w:rsidRPr="007B6DF7" w:rsidRDefault="001C19F3" w:rsidP="001C19F3">
      <w:pPr>
        <w:ind w:right="1088"/>
        <w:rPr>
          <w:rFonts w:cs="Arial"/>
          <w:szCs w:val="20"/>
          <w:lang w:val="en-GB"/>
        </w:rPr>
      </w:pPr>
      <w:r>
        <w:rPr>
          <w:rFonts w:eastAsia="Times New Roman" w:cs="Segoe UI"/>
          <w:szCs w:val="20"/>
          <w:lang w:eastAsia="en-AU"/>
        </w:rPr>
        <w:t>M</w:t>
      </w:r>
      <w:r w:rsidRPr="007B6DF7">
        <w:rPr>
          <w:rFonts w:eastAsia="Times New Roman" w:cs="Segoe UI"/>
          <w:szCs w:val="20"/>
          <w:lang w:eastAsia="en-AU"/>
        </w:rPr>
        <w:t xml:space="preserve">aking the best use of the whole primary care team is central to HCH. Several practices focused on making their practice nurses more central </w:t>
      </w:r>
      <w:r>
        <w:rPr>
          <w:rFonts w:eastAsia="Times New Roman" w:cs="Segoe UI"/>
          <w:szCs w:val="20"/>
          <w:lang w:eastAsia="en-AU"/>
        </w:rPr>
        <w:t>to</w:t>
      </w:r>
      <w:r w:rsidRPr="007B6DF7">
        <w:rPr>
          <w:rFonts w:eastAsia="Times New Roman" w:cs="Segoe UI"/>
          <w:szCs w:val="20"/>
          <w:lang w:eastAsia="en-AU"/>
        </w:rPr>
        <w:t xml:space="preserve"> patient care and chronic disease </w:t>
      </w:r>
      <w:r w:rsidRPr="00593147">
        <w:rPr>
          <w:rFonts w:eastAsia="Times New Roman" w:cs="Segoe UI"/>
          <w:szCs w:val="20"/>
          <w:lang w:eastAsia="en-AU"/>
        </w:rPr>
        <w:t>management.</w:t>
      </w:r>
      <w:r>
        <w:rPr>
          <w:rFonts w:eastAsia="Times New Roman" w:cs="Segoe UI"/>
          <w:szCs w:val="20"/>
          <w:lang w:eastAsia="en-AU"/>
        </w:rPr>
        <w:t xml:space="preserve"> </w:t>
      </w:r>
      <w:r>
        <w:rPr>
          <w:rFonts w:cs="Arial"/>
          <w:szCs w:val="20"/>
          <w:lang w:val="en-GB"/>
        </w:rPr>
        <w:t>M</w:t>
      </w:r>
      <w:r w:rsidRPr="007B6DF7">
        <w:rPr>
          <w:rFonts w:cs="Arial"/>
          <w:szCs w:val="20"/>
          <w:lang w:val="en-GB"/>
        </w:rPr>
        <w:t xml:space="preserve">any patients interviewed were comfortable with </w:t>
      </w:r>
      <w:r>
        <w:rPr>
          <w:rFonts w:cs="Arial"/>
          <w:szCs w:val="20"/>
          <w:lang w:val="en-GB"/>
        </w:rPr>
        <w:t>this</w:t>
      </w:r>
      <w:r w:rsidRPr="007B6DF7">
        <w:rPr>
          <w:rFonts w:cs="Arial"/>
          <w:szCs w:val="20"/>
          <w:lang w:val="en-GB"/>
        </w:rPr>
        <w:t>:</w:t>
      </w:r>
    </w:p>
    <w:p w14:paraId="0EABC2B7" w14:textId="77777777" w:rsidR="001C19F3" w:rsidRPr="007B6DF7" w:rsidRDefault="001C19F3" w:rsidP="001C19F3">
      <w:pPr>
        <w:ind w:left="567" w:right="1088"/>
        <w:rPr>
          <w:rFonts w:cs="Arial"/>
          <w:i/>
          <w:szCs w:val="20"/>
          <w:lang w:val="en-GB"/>
        </w:rPr>
      </w:pPr>
      <w:r w:rsidRPr="007B6DF7">
        <w:rPr>
          <w:rFonts w:cs="Arial"/>
          <w:i/>
          <w:szCs w:val="20"/>
          <w:lang w:val="en-GB"/>
        </w:rPr>
        <w:t xml:space="preserve">“I personally probably wouldn't have a problem with </w:t>
      </w:r>
      <w:r w:rsidRPr="00EA19CF">
        <w:rPr>
          <w:rFonts w:cs="Arial"/>
          <w:szCs w:val="20"/>
          <w:lang w:val="en-GB"/>
        </w:rPr>
        <w:t>[the nurse replacing part of the doctor’s job]</w:t>
      </w:r>
      <w:r w:rsidRPr="007B6DF7">
        <w:rPr>
          <w:rFonts w:cs="Arial"/>
          <w:i/>
          <w:szCs w:val="20"/>
          <w:lang w:val="en-GB"/>
        </w:rPr>
        <w:t xml:space="preserve">. I mean I'd still very much like to have a regular </w:t>
      </w:r>
      <w:r w:rsidRPr="007B6DF7">
        <w:rPr>
          <w:rFonts w:cs="Arial"/>
          <w:i/>
          <w:szCs w:val="20"/>
          <w:lang w:val="en-GB"/>
        </w:rPr>
        <w:lastRenderedPageBreak/>
        <w:t xml:space="preserve">contact with my doctor. There's a list of things where unless it's really necessary, I'm fine seeing the nurse...” </w:t>
      </w:r>
      <w:r w:rsidRPr="00593147">
        <w:rPr>
          <w:rFonts w:cs="Arial"/>
          <w:iCs/>
          <w:szCs w:val="20"/>
          <w:lang w:val="en-GB"/>
        </w:rPr>
        <w:t>[Carer, Practice 4</w:t>
      </w:r>
      <w:r>
        <w:rPr>
          <w:rFonts w:cs="Arial"/>
          <w:iCs/>
          <w:szCs w:val="20"/>
          <w:lang w:val="en-GB"/>
        </w:rPr>
        <w:t>, interview, R2]</w:t>
      </w:r>
    </w:p>
    <w:p w14:paraId="6E599442" w14:textId="77777777" w:rsidR="001C19F3" w:rsidRDefault="001C19F3" w:rsidP="001C19F3">
      <w:pPr>
        <w:ind w:left="567" w:right="1088"/>
        <w:rPr>
          <w:rFonts w:cs="Arial"/>
          <w:iCs/>
          <w:szCs w:val="20"/>
          <w:lang w:val="en-GB"/>
        </w:rPr>
      </w:pPr>
      <w:r w:rsidRPr="007B6DF7">
        <w:rPr>
          <w:rFonts w:cs="Arial"/>
          <w:i/>
          <w:szCs w:val="20"/>
          <w:lang w:val="en-GB"/>
        </w:rPr>
        <w:t xml:space="preserve">“So, you know, it’s a busy practice and I think if you can see a nurse and relieve the doctors a bit it’s good.” </w:t>
      </w:r>
      <w:r w:rsidRPr="00593147">
        <w:rPr>
          <w:rFonts w:cs="Arial"/>
          <w:iCs/>
          <w:szCs w:val="20"/>
          <w:lang w:val="en-GB"/>
        </w:rPr>
        <w:t>[Patient 3, Practice 4</w:t>
      </w:r>
      <w:r>
        <w:rPr>
          <w:rFonts w:cs="Arial"/>
          <w:iCs/>
          <w:szCs w:val="20"/>
          <w:lang w:val="en-GB"/>
        </w:rPr>
        <w:t>, interview, R2]</w:t>
      </w:r>
    </w:p>
    <w:p w14:paraId="7D99A780" w14:textId="77777777" w:rsidR="001C19F3" w:rsidRPr="00593147" w:rsidRDefault="001C19F3" w:rsidP="001C19F3">
      <w:pPr>
        <w:ind w:left="567" w:right="1088"/>
        <w:rPr>
          <w:lang w:eastAsia="en-AU"/>
        </w:rPr>
      </w:pPr>
      <w:r>
        <w:rPr>
          <w:lang w:eastAsia="en-AU"/>
        </w:rPr>
        <w:t>“</w:t>
      </w:r>
      <w:r w:rsidRPr="00EA19CF">
        <w:rPr>
          <w:i/>
          <w:lang w:eastAsia="en-AU"/>
        </w:rPr>
        <w:t xml:space="preserve">But now we've met </w:t>
      </w:r>
      <w:r w:rsidRPr="00EA19CF">
        <w:rPr>
          <w:lang w:eastAsia="en-AU"/>
        </w:rPr>
        <w:t>[nurse</w:t>
      </w:r>
      <w:r>
        <w:rPr>
          <w:lang w:eastAsia="en-AU"/>
        </w:rPr>
        <w:t>’s name</w:t>
      </w:r>
      <w:r w:rsidRPr="00EA19CF">
        <w:rPr>
          <w:lang w:eastAsia="en-AU"/>
        </w:rPr>
        <w:t>]</w:t>
      </w:r>
      <w:r w:rsidRPr="00EA19CF">
        <w:rPr>
          <w:i/>
          <w:lang w:eastAsia="en-AU"/>
        </w:rPr>
        <w:t xml:space="preserve">, the health care nurse, and gone through all that. Which will relieve </w:t>
      </w:r>
      <w:r w:rsidRPr="00EA19CF">
        <w:rPr>
          <w:lang w:eastAsia="en-AU"/>
        </w:rPr>
        <w:t>[GP]</w:t>
      </w:r>
      <w:r w:rsidRPr="00EA19CF">
        <w:rPr>
          <w:i/>
          <w:lang w:eastAsia="en-AU"/>
        </w:rPr>
        <w:t xml:space="preserve"> of so much pressure, which I thought was brilliant</w:t>
      </w:r>
      <w:r>
        <w:rPr>
          <w:lang w:eastAsia="en-AU"/>
        </w:rPr>
        <w:t>.” [Patient 6, Practice 4, interview, R2]</w:t>
      </w:r>
    </w:p>
    <w:tbl>
      <w:tblPr>
        <w:tblpPr w:leftFromText="180" w:rightFromText="180" w:vertAnchor="text" w:horzAnchor="margin" w:tblpY="11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648195CA" w14:textId="77777777" w:rsidTr="00521305">
        <w:trPr>
          <w:trHeight w:val="287"/>
        </w:trPr>
        <w:tc>
          <w:tcPr>
            <w:tcW w:w="5000" w:type="pct"/>
          </w:tcPr>
          <w:p w14:paraId="0ABBDFB3" w14:textId="77777777" w:rsidR="001C19F3" w:rsidRPr="00AF6392" w:rsidRDefault="001C19F3" w:rsidP="00521305">
            <w:pPr>
              <w:spacing w:after="0"/>
              <w:rPr>
                <w:b/>
                <w:sz w:val="18"/>
                <w:szCs w:val="18"/>
              </w:rPr>
            </w:pPr>
            <w:r w:rsidRPr="00AF6392">
              <w:rPr>
                <w:b/>
                <w:sz w:val="18"/>
                <w:szCs w:val="18"/>
              </w:rPr>
              <w:t>Case study</w:t>
            </w:r>
          </w:p>
        </w:tc>
      </w:tr>
      <w:tr w:rsidR="001C19F3" w:rsidRPr="004A11F1" w14:paraId="2368963B" w14:textId="77777777" w:rsidTr="00521305">
        <w:tc>
          <w:tcPr>
            <w:tcW w:w="5000" w:type="pct"/>
          </w:tcPr>
          <w:p w14:paraId="5A5C5653" w14:textId="77777777" w:rsidR="001C19F3" w:rsidRPr="00AF6392" w:rsidRDefault="001C19F3" w:rsidP="00521305">
            <w:pPr>
              <w:spacing w:after="0"/>
              <w:rPr>
                <w:sz w:val="18"/>
                <w:szCs w:val="18"/>
              </w:rPr>
            </w:pPr>
            <w:r w:rsidRPr="00EA19CF">
              <w:rPr>
                <w:sz w:val="18"/>
                <w:szCs w:val="18"/>
              </w:rPr>
              <w:t xml:space="preserve">Patient D suffers from chronic pain and depression. He has a longstanding relationship with the practice and his doctor. They know his history and manage his multiple medications. Recently, he </w:t>
            </w:r>
            <w:r>
              <w:rPr>
                <w:sz w:val="18"/>
                <w:szCs w:val="18"/>
              </w:rPr>
              <w:t xml:space="preserve">experienced </w:t>
            </w:r>
            <w:r w:rsidRPr="00EA19CF">
              <w:rPr>
                <w:sz w:val="18"/>
                <w:szCs w:val="18"/>
              </w:rPr>
              <w:t xml:space="preserve">his doctor </w:t>
            </w:r>
            <w:r>
              <w:rPr>
                <w:sz w:val="18"/>
                <w:szCs w:val="18"/>
              </w:rPr>
              <w:t xml:space="preserve">as having </w:t>
            </w:r>
            <w:r w:rsidRPr="00EA19CF">
              <w:rPr>
                <w:sz w:val="18"/>
                <w:szCs w:val="18"/>
              </w:rPr>
              <w:t xml:space="preserve">poor </w:t>
            </w:r>
            <w:r>
              <w:rPr>
                <w:sz w:val="18"/>
                <w:szCs w:val="18"/>
              </w:rPr>
              <w:t>‘</w:t>
            </w:r>
            <w:r w:rsidRPr="00EA19CF">
              <w:rPr>
                <w:sz w:val="18"/>
                <w:szCs w:val="18"/>
              </w:rPr>
              <w:t>bedside</w:t>
            </w:r>
            <w:r>
              <w:rPr>
                <w:sz w:val="18"/>
                <w:szCs w:val="18"/>
              </w:rPr>
              <w:t>’</w:t>
            </w:r>
            <w:r w:rsidRPr="00EA19CF">
              <w:rPr>
                <w:sz w:val="18"/>
                <w:szCs w:val="18"/>
              </w:rPr>
              <w:t xml:space="preserve"> manner</w:t>
            </w:r>
            <w:r>
              <w:rPr>
                <w:sz w:val="18"/>
                <w:szCs w:val="18"/>
              </w:rPr>
              <w:t xml:space="preserve">. He considered </w:t>
            </w:r>
            <w:r w:rsidRPr="00EA19CF">
              <w:rPr>
                <w:sz w:val="18"/>
                <w:szCs w:val="18"/>
              </w:rPr>
              <w:t xml:space="preserve">leaving the practice, but was hesitant to do so </w:t>
            </w:r>
            <w:r>
              <w:rPr>
                <w:sz w:val="18"/>
                <w:szCs w:val="18"/>
              </w:rPr>
              <w:t>because of his long relationship with the practice</w:t>
            </w:r>
            <w:r w:rsidRPr="00EA19CF">
              <w:rPr>
                <w:sz w:val="18"/>
                <w:szCs w:val="18"/>
              </w:rPr>
              <w:t>. His doctor convinced him to join HCH and, since enrolling, he primarily engages with the nurse. He finds her helpful, caring, and “always available.” He feels that he has a much better relationship with the nurse than his GP and that she has been the biggest benefit to him since joining the program.</w:t>
            </w:r>
            <w:r>
              <w:rPr>
                <w:sz w:val="18"/>
                <w:szCs w:val="18"/>
              </w:rPr>
              <w:t xml:space="preserve"> </w:t>
            </w:r>
          </w:p>
        </w:tc>
      </w:tr>
    </w:tbl>
    <w:p w14:paraId="7E58145F" w14:textId="77777777" w:rsidR="001C19F3" w:rsidRDefault="001C19F3" w:rsidP="001C19F3">
      <w:pPr>
        <w:tabs>
          <w:tab w:val="left" w:pos="1134"/>
        </w:tabs>
        <w:autoSpaceDE w:val="0"/>
        <w:autoSpaceDN w:val="0"/>
        <w:adjustRightInd w:val="0"/>
        <w:spacing w:after="0"/>
        <w:jc w:val="both"/>
        <w:rPr>
          <w:rFonts w:cs="Arial"/>
          <w:szCs w:val="20"/>
          <w:lang w:val="en-GB"/>
        </w:rPr>
      </w:pPr>
    </w:p>
    <w:p w14:paraId="14127088" w14:textId="77777777" w:rsidR="001C19F3" w:rsidRDefault="001C19F3" w:rsidP="001C19F3">
      <w:pPr>
        <w:rPr>
          <w:lang w:eastAsia="en-AU"/>
        </w:rPr>
      </w:pPr>
      <w:r>
        <w:rPr>
          <w:lang w:eastAsia="en-AU"/>
        </w:rPr>
        <w:t xml:space="preserve">Some </w:t>
      </w:r>
      <w:r w:rsidRPr="007B6DF7">
        <w:rPr>
          <w:lang w:eastAsia="en-AU"/>
        </w:rPr>
        <w:t xml:space="preserve">patients </w:t>
      </w:r>
      <w:r>
        <w:rPr>
          <w:lang w:eastAsia="en-AU"/>
        </w:rPr>
        <w:t xml:space="preserve">went further to say that </w:t>
      </w:r>
      <w:r w:rsidRPr="007B6DF7">
        <w:rPr>
          <w:lang w:eastAsia="en-AU"/>
        </w:rPr>
        <w:t>having the nurse more involved in their care helped them manage their conditions more effectively and provided some additional support and motivation</w:t>
      </w:r>
      <w:r>
        <w:rPr>
          <w:lang w:eastAsia="en-AU"/>
        </w:rPr>
        <w:t>:</w:t>
      </w:r>
    </w:p>
    <w:p w14:paraId="2273DA2A" w14:textId="77777777" w:rsidR="001C19F3" w:rsidRDefault="001C19F3" w:rsidP="001C19F3">
      <w:pPr>
        <w:ind w:left="567" w:right="1088"/>
        <w:rPr>
          <w:lang w:eastAsia="en-AU"/>
        </w:rPr>
      </w:pPr>
      <w:r>
        <w:rPr>
          <w:lang w:eastAsia="en-AU"/>
        </w:rPr>
        <w:t xml:space="preserve"> “…</w:t>
      </w:r>
      <w:r w:rsidRPr="00EA19CF">
        <w:rPr>
          <w:i/>
          <w:lang w:eastAsia="en-AU"/>
        </w:rPr>
        <w:t xml:space="preserve">the other young </w:t>
      </w:r>
      <w:r w:rsidRPr="00EA19CF">
        <w:rPr>
          <w:lang w:eastAsia="en-AU"/>
        </w:rPr>
        <w:t>[nurse]</w:t>
      </w:r>
      <w:r w:rsidRPr="00EA19CF">
        <w:rPr>
          <w:i/>
          <w:lang w:eastAsia="en-AU"/>
        </w:rPr>
        <w:t xml:space="preserve"> is the good one. She’s a good nurse. A very good one. I think I should see her more often. That ought to get me moving</w:t>
      </w:r>
      <w:r>
        <w:rPr>
          <w:lang w:eastAsia="en-AU"/>
        </w:rPr>
        <w:t>.” [Patient 1, Practice 14, interview, R2]</w:t>
      </w:r>
    </w:p>
    <w:p w14:paraId="51853F0B" w14:textId="77777777" w:rsidR="001C19F3" w:rsidRDefault="001C19F3" w:rsidP="001C19F3">
      <w:pPr>
        <w:ind w:left="567" w:right="1088"/>
        <w:rPr>
          <w:lang w:eastAsia="en-AU"/>
        </w:rPr>
      </w:pPr>
      <w:r>
        <w:rPr>
          <w:lang w:eastAsia="en-AU"/>
        </w:rPr>
        <w:t>“</w:t>
      </w:r>
      <w:r w:rsidRPr="00EA19CF">
        <w:rPr>
          <w:i/>
          <w:lang w:eastAsia="en-AU"/>
        </w:rPr>
        <w:t xml:space="preserve">But </w:t>
      </w:r>
      <w:r w:rsidRPr="00EA19CF">
        <w:rPr>
          <w:lang w:eastAsia="en-AU"/>
        </w:rPr>
        <w:t>[practice nurse]</w:t>
      </w:r>
      <w:r w:rsidRPr="00EA19CF">
        <w:rPr>
          <w:i/>
          <w:lang w:eastAsia="en-AU"/>
        </w:rPr>
        <w:t xml:space="preserve"> is very good. One of the last times I came out crying she got me, she calmed me down and she’s very good. She’s made a huge improvement in that sense, for me anyway, yes</w:t>
      </w:r>
      <w:r>
        <w:rPr>
          <w:lang w:eastAsia="en-AU"/>
        </w:rPr>
        <w:t>.” [Patient 1, Practice 3, interview, R2]</w:t>
      </w:r>
    </w:p>
    <w:p w14:paraId="7FD07544" w14:textId="77777777" w:rsidR="001C19F3" w:rsidRDefault="001C19F3" w:rsidP="001C19F3">
      <w:pPr>
        <w:ind w:left="567" w:right="1088"/>
        <w:rPr>
          <w:lang w:eastAsia="en-AU"/>
        </w:rPr>
      </w:pPr>
      <w:r>
        <w:rPr>
          <w:lang w:eastAsia="en-AU"/>
        </w:rPr>
        <w:t xml:space="preserve">“[The practice nurse and I] </w:t>
      </w:r>
      <w:r w:rsidRPr="00EA19CF">
        <w:rPr>
          <w:i/>
          <w:lang w:eastAsia="en-AU"/>
        </w:rPr>
        <w:t>keep track of that and if it’s up or down we know what to do, but we’ll chat about the bits and pieces and it’s great, it works really well. In the past, before we started this system because of the workload of the doctors you could see people sitting there for half, three quarters of an hour. I’m lucky if I’m in there for more than 15 minutes now…So it’s a lot quicker, it’s moving people through the system, it’s not clogging people up. So, if you have…the practice on this sort of system you’d be able to actually work through a lot of people and be able to pick up things</w:t>
      </w:r>
      <w:r>
        <w:rPr>
          <w:lang w:eastAsia="en-AU"/>
        </w:rPr>
        <w:t>.” [Patient 1, Practice 9, interview, R2]</w:t>
      </w:r>
    </w:p>
    <w:p w14:paraId="7B2F9D99" w14:textId="77777777" w:rsidR="001C19F3" w:rsidRDefault="001C19F3" w:rsidP="001C19F3">
      <w:pPr>
        <w:ind w:left="567" w:right="1088"/>
        <w:rPr>
          <w:lang w:eastAsia="en-AU"/>
        </w:rPr>
      </w:pPr>
      <w:r>
        <w:rPr>
          <w:lang w:eastAsia="en-AU"/>
        </w:rPr>
        <w:t>“</w:t>
      </w:r>
      <w:r w:rsidRPr="00721857">
        <w:rPr>
          <w:lang w:eastAsia="en-AU"/>
        </w:rPr>
        <w:t>But it has come to the stage where I am bedridden so when I am in trouble, I have</w:t>
      </w:r>
      <w:r w:rsidRPr="00EA19CF">
        <w:rPr>
          <w:i/>
          <w:lang w:eastAsia="en-AU"/>
        </w:rPr>
        <w:t xml:space="preserve"> got someone to talk to, I can ring </w:t>
      </w:r>
      <w:r w:rsidRPr="00593147">
        <w:rPr>
          <w:iCs/>
          <w:lang w:eastAsia="en-AU"/>
        </w:rPr>
        <w:t>[the nurse]</w:t>
      </w:r>
      <w:r>
        <w:rPr>
          <w:i/>
          <w:lang w:eastAsia="en-AU"/>
        </w:rPr>
        <w:t xml:space="preserve"> </w:t>
      </w:r>
      <w:r w:rsidRPr="00EA19CF">
        <w:rPr>
          <w:i/>
          <w:lang w:eastAsia="en-AU"/>
        </w:rPr>
        <w:t xml:space="preserve">up. That is the best thing that has ever happened to me. They </w:t>
      </w:r>
      <w:r w:rsidRPr="00EA19CF">
        <w:rPr>
          <w:lang w:eastAsia="en-AU"/>
        </w:rPr>
        <w:t>[are]</w:t>
      </w:r>
      <w:r w:rsidRPr="00EA19CF">
        <w:rPr>
          <w:i/>
          <w:lang w:eastAsia="en-AU"/>
        </w:rPr>
        <w:t xml:space="preserve"> so helpful, always worried, caring. How are you </w:t>
      </w:r>
      <w:r w:rsidRPr="00593147">
        <w:rPr>
          <w:iCs/>
          <w:lang w:eastAsia="en-AU"/>
        </w:rPr>
        <w:t>[patient]</w:t>
      </w:r>
      <w:r w:rsidRPr="00EA19CF">
        <w:rPr>
          <w:i/>
          <w:lang w:eastAsia="en-AU"/>
        </w:rPr>
        <w:t>? Are you okay? They are awesome</w:t>
      </w:r>
      <w:r>
        <w:rPr>
          <w:lang w:eastAsia="en-AU"/>
        </w:rPr>
        <w:t>.” [Patient 2, Practice 6, interview, R2]</w:t>
      </w:r>
    </w:p>
    <w:p w14:paraId="6CBDE5FF" w14:textId="77777777" w:rsidR="001C19F3" w:rsidRDefault="001C19F3" w:rsidP="001C19F3">
      <w:pPr>
        <w:rPr>
          <w:lang w:eastAsia="en-AU"/>
        </w:rPr>
      </w:pPr>
      <w:bookmarkStart w:id="373" w:name="_Hlk21186328"/>
      <w:r>
        <w:rPr>
          <w:lang w:eastAsia="en-AU"/>
        </w:rPr>
        <w:t>Some practices established a specific ‘HCH coordinator’ role</w:t>
      </w:r>
      <w:bookmarkEnd w:id="373"/>
      <w:r>
        <w:rPr>
          <w:lang w:eastAsia="en-AU"/>
        </w:rPr>
        <w:t>, and patients were equally pleased with this:</w:t>
      </w:r>
    </w:p>
    <w:p w14:paraId="4C2D6BBC" w14:textId="77777777" w:rsidR="001C19F3" w:rsidRDefault="001C19F3" w:rsidP="001C19F3">
      <w:pPr>
        <w:ind w:left="567" w:right="1088"/>
        <w:rPr>
          <w:lang w:eastAsia="en-AU"/>
        </w:rPr>
      </w:pPr>
      <w:r>
        <w:rPr>
          <w:lang w:eastAsia="en-AU"/>
        </w:rPr>
        <w:lastRenderedPageBreak/>
        <w:t>“[</w:t>
      </w:r>
      <w:r w:rsidRPr="00593147">
        <w:rPr>
          <w:lang w:eastAsia="en-AU"/>
        </w:rPr>
        <w:t xml:space="preserve">The HCH </w:t>
      </w:r>
      <w:r>
        <w:rPr>
          <w:lang w:eastAsia="en-AU"/>
        </w:rPr>
        <w:t>c</w:t>
      </w:r>
      <w:r w:rsidRPr="00593147">
        <w:rPr>
          <w:lang w:eastAsia="en-AU"/>
        </w:rPr>
        <w:t>oordinator]</w:t>
      </w:r>
      <w:r w:rsidRPr="00EA19CF">
        <w:rPr>
          <w:i/>
          <w:lang w:eastAsia="en-AU"/>
        </w:rPr>
        <w:t xml:space="preserve"> rings up at least once a month. Oh… just ringing, do you need any prescriptions written out? So can’t ask for any more than that</w:t>
      </w:r>
      <w:r>
        <w:rPr>
          <w:lang w:eastAsia="en-AU"/>
        </w:rPr>
        <w:t xml:space="preserve">.” [Patient 6, Practice 16, interview, R2] </w:t>
      </w:r>
    </w:p>
    <w:p w14:paraId="058AEE22" w14:textId="77777777" w:rsidR="001C19F3" w:rsidRDefault="001C19F3" w:rsidP="001C19F3">
      <w:pPr>
        <w:ind w:left="567" w:right="1088"/>
        <w:rPr>
          <w:lang w:eastAsia="en-AU"/>
        </w:rPr>
      </w:pPr>
      <w:r>
        <w:rPr>
          <w:lang w:eastAsia="en-AU"/>
        </w:rPr>
        <w:t>“</w:t>
      </w:r>
      <w:r w:rsidRPr="00EA19CF">
        <w:rPr>
          <w:i/>
          <w:lang w:eastAsia="en-AU"/>
        </w:rPr>
        <w:t xml:space="preserve">So, now if I’ve got just a little problem that I don’t really need a doctor, but I need some advice I can ask to see </w:t>
      </w:r>
      <w:r w:rsidRPr="00627910">
        <w:rPr>
          <w:iCs/>
          <w:lang w:eastAsia="en-AU"/>
        </w:rPr>
        <w:t>[the HCH Coordinator]</w:t>
      </w:r>
      <w:r w:rsidRPr="00EA19CF">
        <w:rPr>
          <w:i/>
          <w:lang w:eastAsia="en-AU"/>
        </w:rPr>
        <w:t xml:space="preserve"> and she’ll set me straight. But it’s not something that needs a doctor</w:t>
      </w:r>
      <w:r>
        <w:rPr>
          <w:lang w:eastAsia="en-AU"/>
        </w:rPr>
        <w:t>.” [Patient 1, Practice 16, interview, R2]</w:t>
      </w:r>
    </w:p>
    <w:p w14:paraId="3DDE31DE" w14:textId="77777777" w:rsidR="001C19F3" w:rsidRPr="00593147" w:rsidRDefault="001C19F3" w:rsidP="001C19F3">
      <w:pPr>
        <w:textAlignment w:val="baseline"/>
        <w:rPr>
          <w:rFonts w:eastAsia="Times New Roman" w:cs="Segoe UI"/>
          <w:szCs w:val="20"/>
          <w:lang w:eastAsia="en-AU"/>
        </w:rPr>
      </w:pPr>
      <w:r>
        <w:rPr>
          <w:rFonts w:eastAsia="Times New Roman" w:cs="Segoe UI"/>
          <w:szCs w:val="20"/>
          <w:lang w:eastAsia="en-AU"/>
        </w:rPr>
        <w:t>Nevertheless, s</w:t>
      </w:r>
      <w:r w:rsidRPr="00593147">
        <w:rPr>
          <w:rFonts w:eastAsia="Times New Roman" w:cs="Segoe UI"/>
          <w:szCs w:val="20"/>
          <w:lang w:eastAsia="en-AU"/>
        </w:rPr>
        <w:t>ome patients were not comfortable with</w:t>
      </w:r>
      <w:r>
        <w:rPr>
          <w:rFonts w:eastAsia="Times New Roman" w:cs="Segoe UI"/>
          <w:szCs w:val="20"/>
          <w:lang w:eastAsia="en-AU"/>
        </w:rPr>
        <w:t xml:space="preserve"> transfer of aspects of their care to a nurse</w:t>
      </w:r>
      <w:r w:rsidRPr="00593147">
        <w:rPr>
          <w:rFonts w:eastAsia="Times New Roman" w:cs="Segoe UI"/>
          <w:szCs w:val="20"/>
          <w:lang w:eastAsia="en-AU"/>
        </w:rPr>
        <w:t>:</w:t>
      </w:r>
    </w:p>
    <w:p w14:paraId="102BEF3D" w14:textId="77777777" w:rsidR="001C19F3" w:rsidRDefault="001C19F3" w:rsidP="001C19F3">
      <w:pPr>
        <w:ind w:left="567" w:right="1088"/>
        <w:rPr>
          <w:lang w:eastAsia="en-AU"/>
        </w:rPr>
      </w:pPr>
      <w:r w:rsidRPr="00593147">
        <w:rPr>
          <w:rFonts w:cs="Arial"/>
          <w:i/>
          <w:szCs w:val="20"/>
          <w:lang w:val="en-GB"/>
        </w:rPr>
        <w:t xml:space="preserve">“I don’t think I’ve got problems that </w:t>
      </w:r>
      <w:r w:rsidRPr="00593147">
        <w:rPr>
          <w:rFonts w:cs="Arial"/>
          <w:iCs/>
          <w:szCs w:val="20"/>
          <w:lang w:val="en-GB"/>
        </w:rPr>
        <w:t>[the nurse]</w:t>
      </w:r>
      <w:r w:rsidRPr="00593147">
        <w:rPr>
          <w:rFonts w:cs="Arial"/>
          <w:i/>
          <w:szCs w:val="20"/>
          <w:lang w:val="en-GB"/>
        </w:rPr>
        <w:t xml:space="preserve"> can fix…I think I’d always tend to go to </w:t>
      </w:r>
      <w:r w:rsidRPr="00593147">
        <w:rPr>
          <w:rFonts w:cs="Arial"/>
          <w:szCs w:val="20"/>
          <w:lang w:val="en-GB"/>
        </w:rPr>
        <w:t>[the GP]</w:t>
      </w:r>
      <w:r w:rsidRPr="00593147">
        <w:rPr>
          <w:rFonts w:cs="Arial"/>
          <w:i/>
          <w:szCs w:val="20"/>
          <w:lang w:val="en-GB"/>
        </w:rPr>
        <w:t xml:space="preserve"> because she’ll have the knowledge. I’m thinking possibly still with the GP because the nurse has limited knowledge. She’s not a doctor.”</w:t>
      </w:r>
      <w:r w:rsidRPr="00593147">
        <w:rPr>
          <w:rFonts w:cs="Arial"/>
          <w:szCs w:val="20"/>
          <w:lang w:val="en-GB"/>
        </w:rPr>
        <w:t xml:space="preserve"> [Patient 3, Practice 3</w:t>
      </w:r>
      <w:r>
        <w:rPr>
          <w:rFonts w:cs="Arial"/>
          <w:szCs w:val="20"/>
          <w:lang w:val="en-GB"/>
        </w:rPr>
        <w:t>, interview, R2]</w:t>
      </w:r>
    </w:p>
    <w:p w14:paraId="0085A59F" w14:textId="77777777" w:rsidR="001C19F3" w:rsidRPr="007B6DF7" w:rsidRDefault="001C19F3" w:rsidP="001C19F3">
      <w:pPr>
        <w:textAlignment w:val="baseline"/>
        <w:rPr>
          <w:rFonts w:eastAsia="Times New Roman" w:cs="Segoe UI"/>
          <w:szCs w:val="20"/>
          <w:lang w:eastAsia="en-AU"/>
        </w:rPr>
      </w:pPr>
      <w:r w:rsidRPr="007B6DF7">
        <w:rPr>
          <w:rFonts w:eastAsia="Times New Roman" w:cs="Segoe UI"/>
          <w:szCs w:val="20"/>
          <w:lang w:eastAsia="en-AU"/>
        </w:rPr>
        <w:t>Certain practices also had allied health professionals seeing patients within the clinic on a full or part-time basis. Patient</w:t>
      </w:r>
      <w:r>
        <w:rPr>
          <w:rFonts w:eastAsia="Times New Roman" w:cs="Segoe UI"/>
          <w:szCs w:val="20"/>
          <w:lang w:eastAsia="en-AU"/>
        </w:rPr>
        <w:t>s</w:t>
      </w:r>
      <w:r w:rsidRPr="007B6DF7">
        <w:rPr>
          <w:rFonts w:eastAsia="Times New Roman" w:cs="Segoe UI"/>
          <w:szCs w:val="20"/>
          <w:lang w:eastAsia="en-AU"/>
        </w:rPr>
        <w:t xml:space="preserve"> report</w:t>
      </w:r>
      <w:r>
        <w:rPr>
          <w:rFonts w:eastAsia="Times New Roman" w:cs="Segoe UI"/>
          <w:szCs w:val="20"/>
          <w:lang w:eastAsia="en-AU"/>
        </w:rPr>
        <w:t>ed positive experiences with this</w:t>
      </w:r>
      <w:r w:rsidRPr="007B6DF7">
        <w:rPr>
          <w:rFonts w:eastAsia="Times New Roman" w:cs="Segoe UI"/>
          <w:szCs w:val="20"/>
          <w:lang w:eastAsia="en-AU"/>
        </w:rPr>
        <w:t>:</w:t>
      </w:r>
    </w:p>
    <w:p w14:paraId="222F698E" w14:textId="77777777" w:rsidR="001C19F3"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 “…I'm trying to lose a bit of weight, which is going well…when I first went to </w:t>
      </w:r>
      <w:r w:rsidRPr="00255208">
        <w:rPr>
          <w:rFonts w:eastAsia="Times New Roman" w:cs="Segoe UI"/>
          <w:iCs/>
          <w:szCs w:val="20"/>
          <w:lang w:eastAsia="en-AU"/>
        </w:rPr>
        <w:t>[the dietician]</w:t>
      </w:r>
      <w:r w:rsidRPr="007B6DF7">
        <w:rPr>
          <w:rFonts w:eastAsia="Times New Roman" w:cs="Segoe UI"/>
          <w:i/>
          <w:szCs w:val="20"/>
          <w:lang w:eastAsia="en-AU"/>
        </w:rPr>
        <w:t>, I was 111 kilos, now I'm back to 103…so I went to see her last month. I went back to 105, and then she said, to prove yourself a bit better, one biscuit a day, and more veggies, which I'm doing. And lost another three kilos, so no, it's going well. So no, she's good…she's at the practice, yes. Only two, three days a week.”</w:t>
      </w:r>
      <w:r w:rsidRPr="007B6DF7">
        <w:rPr>
          <w:rFonts w:eastAsia="Times New Roman" w:cs="Segoe UI"/>
          <w:szCs w:val="20"/>
          <w:lang w:eastAsia="en-AU"/>
        </w:rPr>
        <w:t xml:space="preserve"> [Patient 2, Practice 1</w:t>
      </w:r>
      <w:r>
        <w:rPr>
          <w:rFonts w:eastAsia="Times New Roman" w:cs="Segoe UI"/>
          <w:szCs w:val="20"/>
          <w:lang w:eastAsia="en-AU"/>
        </w:rPr>
        <w:t>, interview, R2]</w:t>
      </w:r>
    </w:p>
    <w:p w14:paraId="0FF1272F"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“There was the podiatry stuff that I used with </w:t>
      </w:r>
      <w:r w:rsidRPr="00627910">
        <w:rPr>
          <w:rFonts w:eastAsia="Times New Roman" w:cs="Segoe UI"/>
          <w:iCs/>
          <w:szCs w:val="20"/>
          <w:lang w:eastAsia="en-AU"/>
        </w:rPr>
        <w:t>[podiatrist]</w:t>
      </w:r>
      <w:r w:rsidRPr="007B6DF7">
        <w:rPr>
          <w:rFonts w:eastAsia="Times New Roman" w:cs="Segoe UI"/>
          <w:i/>
          <w:szCs w:val="20"/>
          <w:lang w:eastAsia="en-AU"/>
        </w:rPr>
        <w:t xml:space="preserve"> from downstairs here. So, everyone’s linked through here, directly.” </w:t>
      </w:r>
      <w:r w:rsidRPr="007B6DF7">
        <w:rPr>
          <w:rFonts w:eastAsia="Times New Roman" w:cs="Segoe UI"/>
          <w:szCs w:val="20"/>
          <w:lang w:eastAsia="en-AU"/>
        </w:rPr>
        <w:t>[Patient 3, Practice 10</w:t>
      </w:r>
      <w:r>
        <w:rPr>
          <w:rFonts w:eastAsia="Times New Roman" w:cs="Segoe UI"/>
          <w:szCs w:val="20"/>
          <w:lang w:eastAsia="en-AU"/>
        </w:rPr>
        <w:t>, interview, R2]</w:t>
      </w:r>
      <w:r w:rsidRPr="007B6DF7">
        <w:rPr>
          <w:rFonts w:eastAsia="Times New Roman" w:cs="Segoe UI"/>
          <w:szCs w:val="20"/>
          <w:lang w:eastAsia="en-AU"/>
        </w:rPr>
        <w:t xml:space="preserve"> </w:t>
      </w:r>
    </w:p>
    <w:p w14:paraId="3178F6B3" w14:textId="77777777" w:rsidR="001C19F3"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“We have podiatrists at the practice. Every </w:t>
      </w:r>
      <w:r>
        <w:rPr>
          <w:rFonts w:eastAsia="Times New Roman" w:cs="Segoe UI"/>
          <w:i/>
          <w:szCs w:val="20"/>
          <w:lang w:eastAsia="en-AU"/>
        </w:rPr>
        <w:t>10</w:t>
      </w:r>
      <w:r w:rsidRPr="007B6DF7">
        <w:rPr>
          <w:rFonts w:eastAsia="Times New Roman" w:cs="Segoe UI"/>
          <w:i/>
          <w:szCs w:val="20"/>
          <w:lang w:eastAsia="en-AU"/>
        </w:rPr>
        <w:t xml:space="preserve"> weeks we get a podiatrist down there, five a year. That’s in our healthcare plan…They’re already booked ahead for us. We have all our blood tests down there.”</w:t>
      </w:r>
      <w:r w:rsidRPr="007B6DF7">
        <w:rPr>
          <w:rFonts w:eastAsia="Times New Roman" w:cs="Segoe UI"/>
          <w:szCs w:val="20"/>
          <w:lang w:eastAsia="en-AU"/>
        </w:rPr>
        <w:t xml:space="preserve"> [Patient 1, Practice 16</w:t>
      </w:r>
      <w:r>
        <w:rPr>
          <w:rFonts w:eastAsia="Times New Roman" w:cs="Segoe UI"/>
          <w:szCs w:val="20"/>
          <w:lang w:eastAsia="en-AU"/>
        </w:rPr>
        <w:t>, interview, R2]</w:t>
      </w:r>
      <w:r w:rsidRPr="007B6DF7">
        <w:rPr>
          <w:rFonts w:eastAsia="Times New Roman" w:cs="Segoe UI"/>
          <w:szCs w:val="20"/>
          <w:lang w:eastAsia="en-AU"/>
        </w:rPr>
        <w:t xml:space="preserve"> </w:t>
      </w:r>
    </w:p>
    <w:p w14:paraId="089D1134" w14:textId="77777777" w:rsidR="001C19F3" w:rsidRDefault="001C19F3" w:rsidP="001C19F3">
      <w:pPr>
        <w:ind w:right="1088"/>
        <w:rPr>
          <w:lang w:eastAsia="en-AU"/>
        </w:rPr>
      </w:pPr>
      <w:r>
        <w:rPr>
          <w:lang w:eastAsia="en-AU"/>
        </w:rPr>
        <w:t>Patients also acknowledged practice administrative staff as part of their care team, commenting on their proactivity and helpfulness:</w:t>
      </w:r>
    </w:p>
    <w:p w14:paraId="0CA99D65" w14:textId="77777777" w:rsidR="001C19F3" w:rsidRDefault="001C19F3" w:rsidP="001C19F3">
      <w:pPr>
        <w:ind w:left="567" w:right="1088"/>
        <w:rPr>
          <w:lang w:eastAsia="en-AU"/>
        </w:rPr>
      </w:pPr>
      <w:r>
        <w:rPr>
          <w:lang w:eastAsia="en-AU"/>
        </w:rPr>
        <w:t>“</w:t>
      </w:r>
      <w:r w:rsidRPr="00EA19CF">
        <w:rPr>
          <w:i/>
          <w:lang w:eastAsia="en-AU"/>
        </w:rPr>
        <w:t xml:space="preserve">But the receptionists are very forward, you know, very proactive…if I contact them anytime to tell them I’m part of this </w:t>
      </w:r>
      <w:r>
        <w:rPr>
          <w:i/>
          <w:lang w:eastAsia="en-AU"/>
        </w:rPr>
        <w:t>program</w:t>
      </w:r>
      <w:r w:rsidRPr="00EA19CF">
        <w:rPr>
          <w:i/>
          <w:lang w:eastAsia="en-AU"/>
        </w:rPr>
        <w:t xml:space="preserve"> and I’ll be given priority.</w:t>
      </w:r>
      <w:r>
        <w:rPr>
          <w:i/>
          <w:lang w:eastAsia="en-AU"/>
        </w:rPr>
        <w:t xml:space="preserve"> </w:t>
      </w:r>
      <w:r w:rsidRPr="00EA19CF">
        <w:rPr>
          <w:i/>
          <w:lang w:eastAsia="en-AU"/>
        </w:rPr>
        <w:t>I’ve not had the need to do so but I’m sure I could if I wanted to, I mean, it’s a very friendly place, you know.</w:t>
      </w:r>
      <w:r>
        <w:rPr>
          <w:lang w:eastAsia="en-AU"/>
        </w:rPr>
        <w:t>” [Patient 2, Practice 5, interview, R2]</w:t>
      </w:r>
    </w:p>
    <w:p w14:paraId="6207EEF0" w14:textId="77777777" w:rsidR="001C19F3" w:rsidRPr="007B6DF7" w:rsidRDefault="001C19F3" w:rsidP="001C19F3">
      <w:pPr>
        <w:ind w:left="567" w:right="1088"/>
        <w:rPr>
          <w:lang w:eastAsia="en-AU"/>
        </w:rPr>
      </w:pPr>
      <w:r w:rsidRPr="007B6DF7">
        <w:rPr>
          <w:rFonts w:cs="Arial"/>
          <w:i/>
          <w:szCs w:val="20"/>
          <w:lang w:val="en-GB"/>
        </w:rPr>
        <w:t xml:space="preserve"> “Where you walk into the </w:t>
      </w:r>
      <w:r w:rsidRPr="00627910">
        <w:rPr>
          <w:rFonts w:cs="Arial"/>
          <w:iCs/>
          <w:szCs w:val="20"/>
          <w:lang w:val="en-GB"/>
        </w:rPr>
        <w:t>[</w:t>
      </w:r>
      <w:r>
        <w:rPr>
          <w:rFonts w:cs="Arial"/>
          <w:iCs/>
          <w:szCs w:val="20"/>
          <w:lang w:val="en-GB"/>
        </w:rPr>
        <w:t>p</w:t>
      </w:r>
      <w:r w:rsidRPr="00627910">
        <w:rPr>
          <w:rFonts w:cs="Arial"/>
          <w:iCs/>
          <w:szCs w:val="20"/>
          <w:lang w:val="en-GB"/>
        </w:rPr>
        <w:t>ractice]</w:t>
      </w:r>
      <w:r w:rsidRPr="007B6DF7">
        <w:rPr>
          <w:rFonts w:cs="Arial"/>
          <w:i/>
          <w:szCs w:val="20"/>
          <w:lang w:val="en-GB"/>
        </w:rPr>
        <w:t xml:space="preserve"> and </w:t>
      </w:r>
      <w:r w:rsidRPr="00627910">
        <w:rPr>
          <w:rFonts w:cs="Arial"/>
          <w:iCs/>
          <w:szCs w:val="20"/>
          <w:lang w:val="en-GB"/>
        </w:rPr>
        <w:t>[the receptionists are]</w:t>
      </w:r>
      <w:r w:rsidRPr="007B6DF7">
        <w:rPr>
          <w:rFonts w:cs="Arial"/>
          <w:i/>
          <w:szCs w:val="20"/>
          <w:lang w:val="en-GB"/>
        </w:rPr>
        <w:t xml:space="preserve"> always, you know, oh, how can we help you? Or, well most of them now, they know who we are and you know, yes, so to make this really the ideal. It kind of makes you want to go to the doctor, you know, even though you don't really need to, yes. I mean you don't want to go, if possible, but if you have to go, then they make you feel welcome.” </w:t>
      </w:r>
      <w:r w:rsidRPr="00627910">
        <w:rPr>
          <w:rFonts w:cs="Arial"/>
          <w:iCs/>
          <w:szCs w:val="20"/>
          <w:lang w:val="en-GB"/>
        </w:rPr>
        <w:t>[Carer, Practice 4</w:t>
      </w:r>
      <w:r>
        <w:rPr>
          <w:rFonts w:cs="Arial"/>
          <w:iCs/>
          <w:szCs w:val="20"/>
          <w:lang w:val="en-GB"/>
        </w:rPr>
        <w:t>, interview, R2]</w:t>
      </w:r>
    </w:p>
    <w:p w14:paraId="65665B11"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lastRenderedPageBreak/>
        <w:t>Patient activation </w:t>
      </w:r>
    </w:p>
    <w:p w14:paraId="22C096A9" w14:textId="77777777" w:rsidR="001C19F3" w:rsidRPr="007B6DF7" w:rsidRDefault="001C19F3" w:rsidP="001C19F3">
      <w:pPr>
        <w:textAlignment w:val="baseline"/>
        <w:rPr>
          <w:rFonts w:eastAsia="Times New Roman"/>
          <w:szCs w:val="20"/>
          <w:lang w:eastAsia="en-AU"/>
        </w:rPr>
      </w:pPr>
      <w:bookmarkStart w:id="374" w:name="_Hlk21187411"/>
      <w:bookmarkStart w:id="375" w:name="_Hlk21187101"/>
      <w:r w:rsidRPr="007B6DF7">
        <w:rPr>
          <w:rFonts w:eastAsia="Times New Roman" w:cs="Segoe UI"/>
          <w:szCs w:val="20"/>
          <w:lang w:eastAsia="en-AU"/>
        </w:rPr>
        <w:t xml:space="preserve">Some practices focussed on encouraging </w:t>
      </w:r>
      <w:r>
        <w:rPr>
          <w:rFonts w:eastAsia="Times New Roman" w:cs="Segoe UI"/>
          <w:szCs w:val="20"/>
          <w:lang w:eastAsia="en-AU"/>
        </w:rPr>
        <w:t>patients</w:t>
      </w:r>
      <w:r w:rsidRPr="007B6DF7">
        <w:rPr>
          <w:rFonts w:eastAsia="Times New Roman" w:cs="Segoe UI"/>
          <w:szCs w:val="20"/>
          <w:lang w:eastAsia="en-AU"/>
        </w:rPr>
        <w:t xml:space="preserve"> to take control of their health</w:t>
      </w:r>
      <w:r>
        <w:rPr>
          <w:rFonts w:eastAsia="Times New Roman" w:cs="Segoe UI"/>
          <w:szCs w:val="20"/>
          <w:lang w:eastAsia="en-AU"/>
        </w:rPr>
        <w:t xml:space="preserve"> as part of the changes they made as an HCH</w:t>
      </w:r>
      <w:r w:rsidRPr="007B6DF7">
        <w:rPr>
          <w:rFonts w:eastAsia="Times New Roman" w:cs="Segoe UI"/>
          <w:szCs w:val="20"/>
          <w:lang w:eastAsia="en-AU"/>
        </w:rPr>
        <w:t xml:space="preserve">. </w:t>
      </w:r>
      <w:bookmarkEnd w:id="374"/>
      <w:r w:rsidRPr="007B6DF7">
        <w:rPr>
          <w:rFonts w:eastAsia="Times New Roman" w:cs="Segoe UI"/>
          <w:szCs w:val="20"/>
          <w:lang w:eastAsia="en-AU"/>
        </w:rPr>
        <w:t>A few patients were motivated to join HCH because they wanted further information and education on what they could do to manage their conditions and improve their overall health</w:t>
      </w:r>
      <w:bookmarkEnd w:id="375"/>
      <w:r w:rsidRPr="007B6DF7">
        <w:rPr>
          <w:rFonts w:eastAsia="Times New Roman" w:cs="Segoe UI"/>
          <w:szCs w:val="20"/>
          <w:lang w:eastAsia="en-AU"/>
        </w:rPr>
        <w:t>:</w:t>
      </w:r>
      <w:r w:rsidRPr="007B6DF7">
        <w:rPr>
          <w:rFonts w:eastAsia="Times New Roman"/>
          <w:szCs w:val="20"/>
          <w:lang w:eastAsia="en-AU"/>
        </w:rPr>
        <w:t> </w:t>
      </w:r>
    </w:p>
    <w:p w14:paraId="5160920F" w14:textId="77777777" w:rsidR="001C19F3" w:rsidRPr="00743001" w:rsidRDefault="001C19F3" w:rsidP="001C19F3">
      <w:pPr>
        <w:ind w:left="567" w:right="1088"/>
        <w:rPr>
          <w:rFonts w:eastAsia="Times New Roman" w:cs="Segoe UI"/>
          <w:iCs/>
          <w:szCs w:val="20"/>
          <w:lang w:eastAsia="en-AU"/>
        </w:rPr>
      </w:pPr>
      <w:r w:rsidRPr="007B6DF7">
        <w:rPr>
          <w:rFonts w:eastAsia="Times New Roman" w:cs="Segoe UI"/>
          <w:i/>
          <w:szCs w:val="20"/>
          <w:lang w:eastAsia="en-AU"/>
        </w:rPr>
        <w:t>“Simple awareness of what I can to do to help myself. I had a number of questions about my fluctuations in my diabetic levels…” </w:t>
      </w:r>
      <w:r w:rsidRPr="009B75E1">
        <w:rPr>
          <w:rFonts w:eastAsia="Times New Roman" w:cs="Segoe UI"/>
          <w:szCs w:val="20"/>
          <w:lang w:eastAsia="en-AU"/>
        </w:rPr>
        <w:t>[</w:t>
      </w:r>
      <w:r w:rsidRPr="00743001">
        <w:rPr>
          <w:rFonts w:eastAsia="Times New Roman" w:cs="Segoe UI"/>
          <w:iCs/>
          <w:szCs w:val="20"/>
          <w:lang w:eastAsia="en-AU"/>
        </w:rPr>
        <w:t>Patient 1, Practice 18</w:t>
      </w:r>
      <w:r>
        <w:rPr>
          <w:rFonts w:eastAsia="Times New Roman" w:cs="Segoe UI"/>
          <w:iCs/>
          <w:szCs w:val="20"/>
          <w:lang w:eastAsia="en-AU"/>
        </w:rPr>
        <w:t>, interview, R2]</w:t>
      </w:r>
      <w:r w:rsidRPr="00743001">
        <w:rPr>
          <w:rFonts w:eastAsia="Times New Roman" w:cs="Segoe UI"/>
          <w:iCs/>
          <w:szCs w:val="20"/>
          <w:lang w:eastAsia="en-AU"/>
        </w:rPr>
        <w:t> </w:t>
      </w:r>
    </w:p>
    <w:p w14:paraId="00D019ED" w14:textId="77777777" w:rsidR="001C19F3" w:rsidRPr="007B6DF7" w:rsidRDefault="001C19F3" w:rsidP="001C19F3">
      <w:pPr>
        <w:textAlignment w:val="baseline"/>
        <w:rPr>
          <w:rFonts w:eastAsia="Times New Roman"/>
          <w:szCs w:val="20"/>
          <w:lang w:eastAsia="en-AU"/>
        </w:rPr>
      </w:pPr>
      <w:r>
        <w:rPr>
          <w:rFonts w:eastAsia="Times New Roman" w:cs="Segoe UI"/>
          <w:szCs w:val="20"/>
          <w:lang w:eastAsia="en-AU"/>
        </w:rPr>
        <w:t>This was working out for some patients</w:t>
      </w:r>
      <w:r w:rsidRPr="007B6DF7">
        <w:rPr>
          <w:rFonts w:eastAsia="Times New Roman" w:cs="Segoe UI"/>
          <w:szCs w:val="20"/>
          <w:lang w:eastAsia="en-AU"/>
        </w:rPr>
        <w:t>:</w:t>
      </w:r>
      <w:r w:rsidRPr="007B6DF7">
        <w:rPr>
          <w:rFonts w:eastAsia="Times New Roman"/>
          <w:szCs w:val="20"/>
          <w:lang w:eastAsia="en-AU"/>
        </w:rPr>
        <w:t> </w:t>
      </w:r>
    </w:p>
    <w:p w14:paraId="4A7F4FB8" w14:textId="77777777" w:rsidR="001C19F3" w:rsidRDefault="001C19F3" w:rsidP="001C19F3">
      <w:pPr>
        <w:ind w:left="567" w:right="1088"/>
        <w:rPr>
          <w:rFonts w:eastAsia="Times New Roman"/>
          <w:szCs w:val="20"/>
          <w:lang w:eastAsia="en-AU"/>
        </w:rPr>
      </w:pPr>
      <w:r w:rsidRPr="007B6DF7">
        <w:rPr>
          <w:rFonts w:eastAsia="Times New Roman" w:cs="Segoe UI"/>
          <w:i/>
          <w:iCs/>
          <w:szCs w:val="20"/>
          <w:lang w:val="en-GB" w:eastAsia="en-AU"/>
        </w:rPr>
        <w:t>“</w:t>
      </w:r>
      <w:r w:rsidRPr="007B6DF7">
        <w:rPr>
          <w:rFonts w:eastAsia="Times New Roman" w:cs="Segoe UI"/>
          <w:iCs/>
          <w:szCs w:val="20"/>
          <w:lang w:val="en-GB" w:eastAsia="en-AU"/>
        </w:rPr>
        <w:t xml:space="preserve">[The GP] </w:t>
      </w:r>
      <w:r w:rsidRPr="007B6DF7">
        <w:rPr>
          <w:rFonts w:eastAsia="Times New Roman" w:cs="Segoe UI"/>
          <w:i/>
          <w:iCs/>
          <w:szCs w:val="20"/>
          <w:lang w:val="en-GB" w:eastAsia="en-AU"/>
        </w:rPr>
        <w:t xml:space="preserve">sort of will work on me to try and get me to do something. Then when he says, you know, look this is happening. He won't sledgehammer me, he'll just gradually manoeuvre me and manoeuvre me and suddenly I realise, ah yes, okay…But no, so they've both been good. Particularly the diabetes and the dietician and really sort of…it took </w:t>
      </w:r>
      <w:r w:rsidRPr="007B6DF7">
        <w:rPr>
          <w:rFonts w:eastAsia="Times New Roman" w:cs="Segoe UI"/>
          <w:iCs/>
          <w:szCs w:val="20"/>
          <w:lang w:val="en-GB" w:eastAsia="en-AU"/>
        </w:rPr>
        <w:t>[the dietician]</w:t>
      </w:r>
      <w:r w:rsidRPr="007B6DF7">
        <w:rPr>
          <w:rFonts w:eastAsia="Times New Roman" w:cs="Segoe UI"/>
          <w:i/>
          <w:iCs/>
          <w:szCs w:val="20"/>
          <w:lang w:val="en-GB" w:eastAsia="en-AU"/>
        </w:rPr>
        <w:t xml:space="preserve"> I think, it wasn't till the second time that I was there, that I really sort of started thinking to myself, well, I should do something here.”</w:t>
      </w:r>
      <w:r w:rsidRPr="007B6DF7">
        <w:rPr>
          <w:rFonts w:eastAsia="Times New Roman" w:cs="Segoe UI"/>
          <w:szCs w:val="20"/>
          <w:lang w:val="en-GB" w:eastAsia="en-AU"/>
        </w:rPr>
        <w:t> [Patient 1, Practice 1</w:t>
      </w:r>
      <w:r>
        <w:rPr>
          <w:rFonts w:eastAsia="Times New Roman" w:cs="Segoe UI"/>
          <w:szCs w:val="20"/>
          <w:lang w:val="en-GB" w:eastAsia="en-AU"/>
        </w:rPr>
        <w:t>, interview, R2]</w:t>
      </w:r>
      <w:r w:rsidRPr="007B6DF7">
        <w:rPr>
          <w:rFonts w:eastAsia="Times New Roman"/>
          <w:szCs w:val="20"/>
          <w:lang w:eastAsia="en-AU"/>
        </w:rPr>
        <w:t> </w:t>
      </w:r>
    </w:p>
    <w:p w14:paraId="11222FA6"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iCs/>
          <w:szCs w:val="20"/>
          <w:lang w:eastAsia="en-AU"/>
        </w:rPr>
        <w:t xml:space="preserve">“I think it's good, yes. Because especially </w:t>
      </w:r>
      <w:r w:rsidRPr="007B6DF7">
        <w:rPr>
          <w:rFonts w:eastAsia="Times New Roman" w:cs="Segoe UI"/>
          <w:iCs/>
          <w:szCs w:val="20"/>
          <w:lang w:eastAsia="en-AU"/>
        </w:rPr>
        <w:t>[the dietician]</w:t>
      </w:r>
      <w:r w:rsidRPr="007B6DF7">
        <w:rPr>
          <w:rFonts w:eastAsia="Times New Roman" w:cs="Segoe UI"/>
          <w:i/>
          <w:iCs/>
          <w:szCs w:val="20"/>
          <w:lang w:eastAsia="en-AU"/>
        </w:rPr>
        <w:t>…getting back to 100 kilos. So, I've got a goal to work on. So, I want to prove to myself, and to someone else, even to my son too, I can do it.”</w:t>
      </w:r>
      <w:r w:rsidRPr="007B6DF7">
        <w:rPr>
          <w:rFonts w:eastAsia="Times New Roman" w:cs="Segoe UI"/>
          <w:szCs w:val="20"/>
          <w:lang w:eastAsia="en-AU"/>
        </w:rPr>
        <w:t> [Patient 2, Practice 1</w:t>
      </w:r>
      <w:r>
        <w:rPr>
          <w:rFonts w:eastAsia="Times New Roman" w:cs="Segoe UI"/>
          <w:szCs w:val="20"/>
          <w:lang w:eastAsia="en-AU"/>
        </w:rPr>
        <w:t>, interview, R2]</w:t>
      </w:r>
    </w:p>
    <w:p w14:paraId="678A9E29"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Experience of groups </w:t>
      </w:r>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4C69967A" w14:textId="77777777" w:rsidTr="00521305">
        <w:trPr>
          <w:trHeight w:val="287"/>
          <w:jc w:val="right"/>
        </w:trPr>
        <w:tc>
          <w:tcPr>
            <w:tcW w:w="5000" w:type="pct"/>
          </w:tcPr>
          <w:p w14:paraId="4BE28733" w14:textId="77777777" w:rsidR="001C19F3" w:rsidRPr="00AF6392" w:rsidRDefault="001C19F3" w:rsidP="00521305">
            <w:pPr>
              <w:spacing w:after="0"/>
              <w:rPr>
                <w:b/>
                <w:sz w:val="18"/>
                <w:szCs w:val="18"/>
              </w:rPr>
            </w:pPr>
            <w:r w:rsidRPr="00AF6392">
              <w:rPr>
                <w:b/>
                <w:sz w:val="18"/>
                <w:szCs w:val="18"/>
              </w:rPr>
              <w:t>Case study</w:t>
            </w:r>
          </w:p>
        </w:tc>
      </w:tr>
      <w:tr w:rsidR="001C19F3" w:rsidRPr="004A11F1" w14:paraId="7460308B" w14:textId="77777777" w:rsidTr="00521305">
        <w:trPr>
          <w:jc w:val="right"/>
        </w:trPr>
        <w:tc>
          <w:tcPr>
            <w:tcW w:w="5000" w:type="pct"/>
          </w:tcPr>
          <w:p w14:paraId="09BEB631" w14:textId="77777777" w:rsidR="001C19F3" w:rsidRPr="00AF6392" w:rsidRDefault="001C19F3" w:rsidP="00521305">
            <w:pPr>
              <w:spacing w:after="0"/>
              <w:rPr>
                <w:sz w:val="18"/>
                <w:szCs w:val="18"/>
              </w:rPr>
            </w:pPr>
            <w:r w:rsidRPr="007B6DF7">
              <w:rPr>
                <w:sz w:val="18"/>
                <w:szCs w:val="18"/>
              </w:rPr>
              <w:t>Patient E has had two heart operations. Since these procedures, she has been depressed and anxious and has been nervous to walk and exercise alone. She felt she had, “lost her self-esteem.” She joined HCH so that she could engage in group related activities and get additional support in managing her health conditions. Since enrolling, she has joined the walking, dietician and psychologist groups. She is enjoying listening to other patients and learning about her diet as well as engaging in routine exercise. Her blood pressure has come down. She enjoys the social aspect of the groups. She feels that she has gotten back her self-esteem and that people are looking out for her</w:t>
            </w:r>
            <w:r w:rsidRPr="00EA19CF">
              <w:rPr>
                <w:sz w:val="18"/>
                <w:szCs w:val="18"/>
              </w:rPr>
              <w:t>.</w:t>
            </w:r>
            <w:r>
              <w:rPr>
                <w:sz w:val="18"/>
                <w:szCs w:val="18"/>
              </w:rPr>
              <w:t xml:space="preserve"> </w:t>
            </w:r>
          </w:p>
        </w:tc>
      </w:tr>
    </w:tbl>
    <w:p w14:paraId="29332DEC" w14:textId="77777777" w:rsidR="001C19F3" w:rsidRDefault="001C19F3" w:rsidP="001C19F3">
      <w:pPr>
        <w:spacing w:after="0"/>
        <w:textAlignment w:val="baseline"/>
        <w:rPr>
          <w:rFonts w:eastAsia="Times New Roman" w:cs="Segoe UI"/>
          <w:szCs w:val="20"/>
          <w:lang w:eastAsia="en-AU"/>
        </w:rPr>
      </w:pPr>
    </w:p>
    <w:p w14:paraId="2B758017" w14:textId="77777777" w:rsidR="001C19F3" w:rsidRPr="007B6DF7" w:rsidRDefault="001C19F3" w:rsidP="001C19F3">
      <w:pPr>
        <w:textAlignment w:val="baseline"/>
        <w:rPr>
          <w:rFonts w:eastAsia="Times New Roman"/>
          <w:szCs w:val="20"/>
          <w:lang w:eastAsia="en-AU"/>
        </w:rPr>
      </w:pPr>
      <w:r>
        <w:rPr>
          <w:rFonts w:eastAsia="Times New Roman" w:cs="Segoe UI"/>
          <w:szCs w:val="20"/>
          <w:lang w:eastAsia="en-AU"/>
        </w:rPr>
        <w:t>Some practices introduced group sessions for patients as part of the changes that they made as an HCH. O</w:t>
      </w:r>
      <w:r w:rsidRPr="007B6DF7">
        <w:rPr>
          <w:rFonts w:eastAsia="Times New Roman" w:cs="Segoe UI"/>
          <w:szCs w:val="20"/>
          <w:lang w:eastAsia="en-AU"/>
        </w:rPr>
        <w:t>ne practice implemented three different groups</w:t>
      </w:r>
      <w:r>
        <w:rPr>
          <w:rFonts w:eastAsia="Times New Roman" w:cs="Segoe UI"/>
          <w:szCs w:val="20"/>
          <w:lang w:eastAsia="en-AU"/>
        </w:rPr>
        <w:t xml:space="preserve">: </w:t>
      </w:r>
      <w:r w:rsidRPr="007B6DF7">
        <w:rPr>
          <w:rFonts w:eastAsia="Times New Roman" w:cs="Segoe UI"/>
          <w:szCs w:val="20"/>
          <w:lang w:eastAsia="en-AU"/>
        </w:rPr>
        <w:t>walking, dietician, and psychology group. Patient</w:t>
      </w:r>
      <w:r>
        <w:rPr>
          <w:rFonts w:eastAsia="Times New Roman" w:cs="Segoe UI"/>
          <w:szCs w:val="20"/>
          <w:lang w:eastAsia="en-AU"/>
        </w:rPr>
        <w:t>s</w:t>
      </w:r>
      <w:r w:rsidRPr="007B6DF7">
        <w:rPr>
          <w:rFonts w:eastAsia="Times New Roman" w:cs="Segoe UI"/>
          <w:szCs w:val="20"/>
          <w:lang w:eastAsia="en-AU"/>
        </w:rPr>
        <w:t xml:space="preserve"> participat</w:t>
      </w:r>
      <w:r>
        <w:rPr>
          <w:rFonts w:eastAsia="Times New Roman" w:cs="Segoe UI"/>
          <w:szCs w:val="20"/>
          <w:lang w:eastAsia="en-AU"/>
        </w:rPr>
        <w:t>ing in</w:t>
      </w:r>
      <w:r w:rsidRPr="007B6DF7">
        <w:rPr>
          <w:rFonts w:eastAsia="Times New Roman" w:cs="Segoe UI"/>
          <w:szCs w:val="20"/>
          <w:lang w:eastAsia="en-AU"/>
        </w:rPr>
        <w:t xml:space="preserve"> these reported positive experiences. They </w:t>
      </w:r>
      <w:r>
        <w:rPr>
          <w:rFonts w:eastAsia="Times New Roman" w:cs="Segoe UI"/>
          <w:szCs w:val="20"/>
          <w:lang w:eastAsia="en-AU"/>
        </w:rPr>
        <w:t xml:space="preserve">also </w:t>
      </w:r>
      <w:r w:rsidRPr="007B6DF7">
        <w:rPr>
          <w:rFonts w:eastAsia="Times New Roman" w:cs="Segoe UI"/>
          <w:szCs w:val="20"/>
          <w:lang w:eastAsia="en-AU"/>
        </w:rPr>
        <w:t>commented on the social aspect of the groups</w:t>
      </w:r>
      <w:r>
        <w:rPr>
          <w:rFonts w:eastAsia="Times New Roman" w:cs="Segoe UI"/>
          <w:szCs w:val="20"/>
          <w:lang w:eastAsia="en-AU"/>
        </w:rPr>
        <w:t xml:space="preserve">, </w:t>
      </w:r>
      <w:r w:rsidRPr="007B6DF7">
        <w:rPr>
          <w:rFonts w:eastAsia="Times New Roman" w:cs="Segoe UI"/>
          <w:szCs w:val="20"/>
          <w:lang w:eastAsia="en-AU"/>
        </w:rPr>
        <w:t xml:space="preserve">which provided </w:t>
      </w:r>
      <w:r>
        <w:rPr>
          <w:rFonts w:eastAsia="Times New Roman" w:cs="Segoe UI"/>
          <w:szCs w:val="20"/>
          <w:lang w:eastAsia="en-AU"/>
        </w:rPr>
        <w:t xml:space="preserve">them </w:t>
      </w:r>
      <w:r w:rsidRPr="007B6DF7">
        <w:rPr>
          <w:rFonts w:eastAsia="Times New Roman" w:cs="Segoe UI"/>
          <w:szCs w:val="20"/>
          <w:lang w:eastAsia="en-AU"/>
        </w:rPr>
        <w:t>additional emotional support and improved their quality of life:</w:t>
      </w:r>
      <w:r w:rsidRPr="007B6DF7">
        <w:rPr>
          <w:rFonts w:eastAsia="Times New Roman"/>
          <w:szCs w:val="20"/>
          <w:lang w:eastAsia="en-AU"/>
        </w:rPr>
        <w:t> </w:t>
      </w:r>
    </w:p>
    <w:p w14:paraId="55BFC586"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eastAsia="en-AU"/>
        </w:rPr>
        <w:t>“</w:t>
      </w:r>
      <w:r w:rsidRPr="007B6DF7">
        <w:rPr>
          <w:rFonts w:eastAsia="Times New Roman" w:cs="Segoe UI"/>
          <w:iCs/>
          <w:szCs w:val="20"/>
          <w:lang w:eastAsia="en-AU"/>
        </w:rPr>
        <w:t>[The dietetics group]</w:t>
      </w:r>
      <w:r w:rsidRPr="007B6DF7">
        <w:rPr>
          <w:rFonts w:eastAsia="Times New Roman" w:cs="Segoe UI"/>
          <w:i/>
          <w:iCs/>
          <w:szCs w:val="20"/>
          <w:lang w:eastAsia="en-AU"/>
        </w:rPr>
        <w:t xml:space="preserve"> has made in a difference in how I exercise and how I try to stabilise any emotional problems. I had been a counsellor for 30 odd years and I still see a lot of my former clients, and unfortunately quite a few of my former clients have died recently, so I’ve been up and down a few times, it makes it pretty tough.”</w:t>
      </w:r>
      <w:r w:rsidRPr="007B6DF7">
        <w:rPr>
          <w:rFonts w:eastAsia="Times New Roman" w:cs="Segoe UI"/>
          <w:szCs w:val="20"/>
          <w:lang w:eastAsia="en-AU"/>
        </w:rPr>
        <w:t> [Patient 1, Practice 18</w:t>
      </w:r>
      <w:r>
        <w:rPr>
          <w:rFonts w:eastAsia="Times New Roman" w:cs="Segoe UI"/>
          <w:szCs w:val="20"/>
          <w:lang w:eastAsia="en-AU"/>
        </w:rPr>
        <w:t>, interview, R2]</w:t>
      </w:r>
      <w:r w:rsidRPr="007B6DF7">
        <w:rPr>
          <w:rFonts w:eastAsia="Times New Roman"/>
          <w:szCs w:val="20"/>
          <w:lang w:eastAsia="en-AU"/>
        </w:rPr>
        <w:t> </w:t>
      </w:r>
    </w:p>
    <w:p w14:paraId="39099759" w14:textId="77777777" w:rsidR="001C19F3" w:rsidRPr="007B6DF7" w:rsidRDefault="001C19F3" w:rsidP="001C19F3">
      <w:pPr>
        <w:ind w:left="567" w:right="1088"/>
        <w:rPr>
          <w:rFonts w:eastAsia="Times New Roman"/>
          <w:szCs w:val="20"/>
          <w:lang w:eastAsia="en-AU"/>
        </w:rPr>
      </w:pPr>
      <w:r>
        <w:rPr>
          <w:rFonts w:eastAsia="Times New Roman" w:cs="Segoe UI"/>
          <w:i/>
          <w:iCs/>
          <w:szCs w:val="20"/>
          <w:lang w:eastAsia="en-AU"/>
        </w:rPr>
        <w:t>“</w:t>
      </w:r>
      <w:r w:rsidRPr="007B6DF7">
        <w:rPr>
          <w:rFonts w:eastAsia="Times New Roman" w:cs="Segoe UI"/>
          <w:i/>
          <w:iCs/>
          <w:szCs w:val="20"/>
          <w:lang w:eastAsia="en-AU"/>
        </w:rPr>
        <w:t xml:space="preserve">Well I joined it help myself…to try and help myself because I was going through a rut. I was going through depression and anxiety and stuff like that </w:t>
      </w:r>
      <w:r w:rsidRPr="007B6DF7">
        <w:rPr>
          <w:rFonts w:eastAsia="Times New Roman" w:cs="Segoe UI"/>
          <w:i/>
          <w:iCs/>
          <w:szCs w:val="20"/>
          <w:lang w:eastAsia="en-AU"/>
        </w:rPr>
        <w:lastRenderedPageBreak/>
        <w:t>and I thought that all this would do me good which I find it has helped me…I think my blood pressure’s come down a lot, I’m still under a specialist and, yes, I think that every practice should have this…</w:t>
      </w:r>
      <w:r w:rsidRPr="007B6DF7">
        <w:rPr>
          <w:rFonts w:ascii="Calibri" w:eastAsia="Times New Roman" w:hAnsi="Calibri" w:cs="Segoe UI"/>
          <w:i/>
          <w:iCs/>
          <w:sz w:val="22"/>
          <w:lang w:eastAsia="en-AU"/>
        </w:rPr>
        <w:t> </w:t>
      </w:r>
      <w:r w:rsidRPr="007B6DF7">
        <w:rPr>
          <w:rFonts w:eastAsia="Times New Roman" w:cs="Segoe UI"/>
          <w:i/>
          <w:iCs/>
          <w:szCs w:val="20"/>
          <w:lang w:eastAsia="en-AU"/>
        </w:rPr>
        <w:t>It’s good to talk to people and it’s good to relax for that session even if it is walking.”</w:t>
      </w:r>
      <w:r w:rsidRPr="007B6DF7">
        <w:rPr>
          <w:rFonts w:eastAsia="Times New Roman" w:cs="Segoe UI"/>
          <w:szCs w:val="20"/>
          <w:lang w:eastAsia="en-AU"/>
        </w:rPr>
        <w:t> [Patient 3, Practice 18</w:t>
      </w:r>
      <w:r>
        <w:rPr>
          <w:rFonts w:eastAsia="Times New Roman" w:cs="Segoe UI"/>
          <w:szCs w:val="20"/>
          <w:lang w:eastAsia="en-AU"/>
        </w:rPr>
        <w:t>, interview, R2]</w:t>
      </w:r>
      <w:r w:rsidRPr="007B6DF7">
        <w:rPr>
          <w:rFonts w:eastAsia="Times New Roman"/>
          <w:szCs w:val="20"/>
          <w:lang w:eastAsia="en-AU"/>
        </w:rPr>
        <w:t> </w:t>
      </w:r>
    </w:p>
    <w:p w14:paraId="3FFFF9DD" w14:textId="77777777" w:rsidR="001C19F3" w:rsidRPr="007B6DF7" w:rsidRDefault="001C19F3" w:rsidP="001C19F3">
      <w:pPr>
        <w:ind w:left="567" w:right="1088"/>
        <w:rPr>
          <w:rFonts w:eastAsia="Times New Roman"/>
          <w:szCs w:val="20"/>
          <w:lang w:eastAsia="en-AU"/>
        </w:rPr>
      </w:pPr>
      <w:r w:rsidRPr="007B6DF7">
        <w:rPr>
          <w:rFonts w:eastAsia="Times New Roman" w:cs="Segoe UI"/>
          <w:i/>
          <w:iCs/>
          <w:szCs w:val="20"/>
          <w:lang w:val="en-GB" w:eastAsia="en-AU"/>
        </w:rPr>
        <w:t>“…there’s other different things there that you can learn like you pick up off other people. No, I think it’s good to hear what other people have to say. It helps you in ways….Well, it’s got my self-esteem back a bit. Like before I was too frightened to go out and walk and stuff like that where knowing that you’re walking with a group, that you’ve got people around you, it just makes you feel that little bit better and supportive a lot.”</w:t>
      </w:r>
      <w:r w:rsidRPr="007B6DF7">
        <w:rPr>
          <w:rFonts w:eastAsia="Times New Roman" w:cs="Segoe UI"/>
          <w:szCs w:val="20"/>
          <w:lang w:val="en-GB" w:eastAsia="en-AU"/>
        </w:rPr>
        <w:t> [Patient 3, Practice 18</w:t>
      </w:r>
      <w:r>
        <w:rPr>
          <w:rFonts w:eastAsia="Times New Roman" w:cs="Segoe UI"/>
          <w:szCs w:val="20"/>
          <w:lang w:val="en-GB" w:eastAsia="en-AU"/>
        </w:rPr>
        <w:t>, interview, R2]</w:t>
      </w:r>
      <w:r w:rsidRPr="007B6DF7">
        <w:rPr>
          <w:rFonts w:eastAsia="Times New Roman"/>
          <w:szCs w:val="20"/>
          <w:lang w:eastAsia="en-AU"/>
        </w:rPr>
        <w:t> </w:t>
      </w:r>
    </w:p>
    <w:p w14:paraId="5A216687" w14:textId="77777777" w:rsidR="001C19F3" w:rsidRPr="004D2A39" w:rsidRDefault="001C19F3" w:rsidP="001C19F3">
      <w:pPr>
        <w:ind w:left="567" w:right="1088"/>
        <w:rPr>
          <w:rFonts w:eastAsia="Times New Roman" w:cs="Segoe UI"/>
          <w:szCs w:val="20"/>
          <w:lang w:val="en-GB" w:eastAsia="en-AU"/>
        </w:rPr>
      </w:pPr>
      <w:r w:rsidRPr="007B6DF7">
        <w:rPr>
          <w:rFonts w:eastAsia="Times New Roman" w:cs="Segoe UI"/>
          <w:i/>
          <w:iCs/>
          <w:szCs w:val="20"/>
          <w:lang w:val="en-GB" w:eastAsia="en-AU"/>
        </w:rPr>
        <w:t>“It makes you want to live a lot longer by coming here, you know.” </w:t>
      </w:r>
      <w:r w:rsidRPr="004D2A39">
        <w:rPr>
          <w:rFonts w:eastAsia="Times New Roman" w:cs="Segoe UI"/>
          <w:szCs w:val="20"/>
          <w:lang w:val="en-GB" w:eastAsia="en-AU"/>
        </w:rPr>
        <w:t>[Patient 2, Practice 18</w:t>
      </w:r>
      <w:r>
        <w:rPr>
          <w:rFonts w:eastAsia="Times New Roman" w:cs="Segoe UI"/>
          <w:szCs w:val="20"/>
          <w:lang w:val="en-GB" w:eastAsia="en-AU"/>
        </w:rPr>
        <w:t>, interview, R2]</w:t>
      </w:r>
      <w:r w:rsidRPr="004D2A39">
        <w:rPr>
          <w:rFonts w:eastAsia="Times New Roman" w:cs="Segoe UI"/>
          <w:szCs w:val="20"/>
          <w:lang w:val="en-GB" w:eastAsia="en-AU"/>
        </w:rPr>
        <w:t> </w:t>
      </w:r>
    </w:p>
    <w:p w14:paraId="4E6741AD" w14:textId="77777777" w:rsidR="001C19F3" w:rsidRPr="007B6DF7" w:rsidRDefault="001C19F3" w:rsidP="001C19F3">
      <w:pPr>
        <w:keepNext/>
        <w:keepLines/>
        <w:spacing w:line="240" w:lineRule="auto"/>
        <w:outlineLvl w:val="2"/>
        <w:rPr>
          <w:rFonts w:ascii="Segoe UI" w:eastAsia="Times New Roman" w:hAnsi="Segoe UI" w:cstheme="majorBidi"/>
          <w:color w:val="003D79"/>
          <w:sz w:val="18"/>
          <w:szCs w:val="18"/>
          <w:lang w:eastAsia="en-AU"/>
        </w:rPr>
      </w:pPr>
      <w:r w:rsidRPr="007B6DF7">
        <w:rPr>
          <w:rFonts w:eastAsia="Times New Roman" w:cstheme="majorBidi"/>
          <w:color w:val="003D79"/>
          <w:sz w:val="28"/>
          <w:szCs w:val="24"/>
          <w:lang w:eastAsia="en-AU"/>
        </w:rPr>
        <w:t>Other things patients would like </w:t>
      </w:r>
    </w:p>
    <w:p w14:paraId="6A4F749E" w14:textId="77777777" w:rsidR="001C19F3" w:rsidRPr="007B6DF7" w:rsidRDefault="001C19F3" w:rsidP="001C19F3">
      <w:pPr>
        <w:textAlignment w:val="baseline"/>
        <w:rPr>
          <w:rFonts w:eastAsia="Times New Roman" w:cs="Segoe UI"/>
          <w:szCs w:val="20"/>
          <w:lang w:eastAsia="en-AU"/>
        </w:rPr>
      </w:pPr>
      <w:bookmarkStart w:id="376" w:name="_Hlk21188855"/>
      <w:r w:rsidRPr="007B6DF7">
        <w:rPr>
          <w:rFonts w:eastAsia="Times New Roman" w:cs="Segoe UI"/>
          <w:szCs w:val="20"/>
          <w:lang w:eastAsia="en-AU"/>
        </w:rPr>
        <w:t xml:space="preserve">When asked about additional services or benefits that patients would </w:t>
      </w:r>
      <w:r>
        <w:rPr>
          <w:rFonts w:eastAsia="Times New Roman" w:cs="Segoe UI"/>
          <w:szCs w:val="20"/>
          <w:lang w:eastAsia="en-AU"/>
        </w:rPr>
        <w:t>like, most</w:t>
      </w:r>
      <w:r w:rsidRPr="007B6DF7">
        <w:rPr>
          <w:rFonts w:eastAsia="Times New Roman" w:cs="Segoe UI"/>
          <w:szCs w:val="20"/>
          <w:lang w:eastAsia="en-AU"/>
        </w:rPr>
        <w:t xml:space="preserve"> were </w:t>
      </w:r>
      <w:r>
        <w:rPr>
          <w:rFonts w:eastAsia="Times New Roman" w:cs="Segoe UI"/>
          <w:szCs w:val="20"/>
          <w:lang w:eastAsia="en-AU"/>
        </w:rPr>
        <w:t xml:space="preserve">largely </w:t>
      </w:r>
      <w:r w:rsidRPr="007B6DF7">
        <w:rPr>
          <w:rFonts w:eastAsia="Times New Roman" w:cs="Segoe UI"/>
          <w:szCs w:val="20"/>
          <w:lang w:eastAsia="en-AU"/>
        </w:rPr>
        <w:t>content with the care that they were receiving and did not have any suggestions for their practices</w:t>
      </w:r>
      <w:bookmarkEnd w:id="376"/>
      <w:r w:rsidRPr="007B6DF7">
        <w:rPr>
          <w:rFonts w:eastAsia="Times New Roman" w:cs="Segoe UI"/>
          <w:szCs w:val="20"/>
          <w:lang w:eastAsia="en-AU"/>
        </w:rPr>
        <w:t>:</w:t>
      </w:r>
    </w:p>
    <w:p w14:paraId="0539CB63" w14:textId="77777777" w:rsidR="001C19F3" w:rsidRPr="007B6DF7" w:rsidRDefault="001C19F3" w:rsidP="001C19F3">
      <w:pPr>
        <w:ind w:left="567" w:right="1088"/>
        <w:rPr>
          <w:rFonts w:eastAsia="Times New Roman" w:cs="Segoe UI"/>
          <w:i/>
          <w:szCs w:val="20"/>
          <w:lang w:eastAsia="en-AU"/>
        </w:rPr>
      </w:pPr>
      <w:r w:rsidRPr="007B6DF7">
        <w:rPr>
          <w:rFonts w:eastAsia="Times New Roman" w:cs="Segoe UI"/>
          <w:i/>
          <w:szCs w:val="20"/>
          <w:lang w:eastAsia="en-AU"/>
        </w:rPr>
        <w:t xml:space="preserve">“No, not really, no. I mean, at this stage of my life we're pretty sweet, you know.” </w:t>
      </w:r>
      <w:r w:rsidRPr="00721857">
        <w:rPr>
          <w:rFonts w:eastAsia="Times New Roman" w:cs="Segoe UI"/>
          <w:szCs w:val="20"/>
          <w:lang w:eastAsia="en-AU"/>
        </w:rPr>
        <w:t>[Patient 1, Practice 1</w:t>
      </w:r>
      <w:r>
        <w:rPr>
          <w:rFonts w:eastAsia="Times New Roman" w:cs="Segoe UI"/>
          <w:szCs w:val="20"/>
          <w:lang w:eastAsia="en-AU"/>
        </w:rPr>
        <w:t>, interview, R2]</w:t>
      </w:r>
    </w:p>
    <w:p w14:paraId="153C3D5B" w14:textId="77777777" w:rsidR="001C19F3" w:rsidRPr="007B6DF7" w:rsidRDefault="001C19F3" w:rsidP="001C19F3">
      <w:pPr>
        <w:ind w:left="567" w:right="1088"/>
        <w:rPr>
          <w:rFonts w:eastAsia="Times New Roman" w:cs="Segoe UI"/>
          <w:i/>
          <w:szCs w:val="20"/>
          <w:lang w:eastAsia="en-AU"/>
        </w:rPr>
      </w:pPr>
      <w:r w:rsidRPr="007B6DF7">
        <w:rPr>
          <w:rFonts w:eastAsia="Times New Roman" w:cs="Segoe UI"/>
          <w:i/>
          <w:szCs w:val="20"/>
          <w:lang w:eastAsia="en-AU"/>
        </w:rPr>
        <w:t xml:space="preserve">“I’m just happy with the way things are going. Very happy.” </w:t>
      </w:r>
      <w:r w:rsidRPr="00513879">
        <w:rPr>
          <w:rFonts w:eastAsia="Times New Roman" w:cs="Segoe UI"/>
          <w:iCs/>
          <w:szCs w:val="20"/>
          <w:lang w:eastAsia="en-AU"/>
        </w:rPr>
        <w:t>[Patient 5, Practice 16</w:t>
      </w:r>
      <w:r>
        <w:rPr>
          <w:rFonts w:eastAsia="Times New Roman" w:cs="Segoe UI"/>
          <w:iCs/>
          <w:szCs w:val="20"/>
          <w:lang w:eastAsia="en-AU"/>
        </w:rPr>
        <w:t>, interview, R2]</w:t>
      </w:r>
    </w:p>
    <w:p w14:paraId="430A7BDD" w14:textId="77777777" w:rsidR="001C19F3" w:rsidRPr="007B6DF7" w:rsidRDefault="001C19F3" w:rsidP="001C19F3">
      <w:pPr>
        <w:ind w:left="567" w:right="1088"/>
        <w:rPr>
          <w:rFonts w:eastAsia="Times New Roman" w:cs="Segoe UI"/>
          <w:i/>
          <w:szCs w:val="20"/>
          <w:lang w:eastAsia="en-AU"/>
        </w:rPr>
      </w:pPr>
      <w:r w:rsidRPr="007B6DF7">
        <w:rPr>
          <w:rFonts w:eastAsia="Times New Roman" w:cs="Segoe UI"/>
          <w:i/>
          <w:szCs w:val="20"/>
          <w:lang w:eastAsia="en-AU"/>
        </w:rPr>
        <w:t>“Oh, I don’t think they can improve it, to be honest. No, to be honest… I’m getting excellent care and I keep getting surprised, you know, by how much is there...”</w:t>
      </w:r>
      <w:r w:rsidRPr="00513879">
        <w:rPr>
          <w:rFonts w:eastAsia="Times New Roman" w:cs="Segoe UI"/>
          <w:iCs/>
          <w:szCs w:val="20"/>
          <w:lang w:eastAsia="en-AU"/>
        </w:rPr>
        <w:t xml:space="preserve"> [Patient 3, Practice 5</w:t>
      </w:r>
      <w:r>
        <w:rPr>
          <w:rFonts w:eastAsia="Times New Roman" w:cs="Segoe UI"/>
          <w:iCs/>
          <w:szCs w:val="20"/>
          <w:lang w:eastAsia="en-AU"/>
        </w:rPr>
        <w:t>, interview, R2]</w:t>
      </w:r>
    </w:p>
    <w:p w14:paraId="043EA2C8" w14:textId="77777777" w:rsidR="001C19F3" w:rsidRPr="007B6DF7" w:rsidRDefault="001C19F3" w:rsidP="001C19F3">
      <w:pPr>
        <w:textAlignment w:val="baseline"/>
        <w:rPr>
          <w:rFonts w:eastAsia="Times New Roman" w:cs="Segoe UI"/>
          <w:szCs w:val="20"/>
          <w:lang w:eastAsia="en-AU"/>
        </w:rPr>
      </w:pPr>
      <w:bookmarkStart w:id="377" w:name="_Hlk21188916"/>
      <w:r>
        <w:rPr>
          <w:rFonts w:eastAsia="Times New Roman" w:cs="Segoe UI"/>
          <w:szCs w:val="20"/>
          <w:lang w:eastAsia="en-AU"/>
        </w:rPr>
        <w:t>Others gave</w:t>
      </w:r>
      <w:r w:rsidRPr="007B6DF7">
        <w:rPr>
          <w:rFonts w:eastAsia="Times New Roman" w:cs="Segoe UI"/>
          <w:szCs w:val="20"/>
          <w:lang w:eastAsia="en-AU"/>
        </w:rPr>
        <w:t xml:space="preserve"> </w:t>
      </w:r>
      <w:r>
        <w:rPr>
          <w:rFonts w:eastAsia="Times New Roman" w:cs="Segoe UI"/>
          <w:szCs w:val="20"/>
          <w:lang w:eastAsia="en-AU"/>
        </w:rPr>
        <w:t xml:space="preserve">a few </w:t>
      </w:r>
      <w:r w:rsidRPr="007B6DF7">
        <w:rPr>
          <w:rFonts w:eastAsia="Times New Roman" w:cs="Segoe UI"/>
          <w:szCs w:val="20"/>
          <w:lang w:eastAsia="en-AU"/>
        </w:rPr>
        <w:t>suggestions</w:t>
      </w:r>
      <w:r>
        <w:rPr>
          <w:rFonts w:eastAsia="Times New Roman" w:cs="Segoe UI"/>
          <w:szCs w:val="20"/>
          <w:lang w:eastAsia="en-AU"/>
        </w:rPr>
        <w:t>. One was</w:t>
      </w:r>
      <w:r w:rsidRPr="007B6DF7">
        <w:rPr>
          <w:rFonts w:eastAsia="Times New Roman" w:cs="Segoe UI"/>
          <w:szCs w:val="20"/>
          <w:lang w:eastAsia="en-AU"/>
        </w:rPr>
        <w:t xml:space="preserve"> around </w:t>
      </w:r>
      <w:r>
        <w:rPr>
          <w:rFonts w:eastAsia="Times New Roman" w:cs="Segoe UI"/>
          <w:szCs w:val="20"/>
          <w:lang w:eastAsia="en-AU"/>
        </w:rPr>
        <w:t xml:space="preserve">additional </w:t>
      </w:r>
      <w:r w:rsidRPr="007B6DF7">
        <w:rPr>
          <w:rFonts w:eastAsia="Times New Roman" w:cs="Segoe UI"/>
          <w:szCs w:val="20"/>
          <w:lang w:eastAsia="en-AU"/>
        </w:rPr>
        <w:t>support</w:t>
      </w:r>
      <w:r>
        <w:rPr>
          <w:rFonts w:eastAsia="Times New Roman" w:cs="Segoe UI"/>
          <w:szCs w:val="20"/>
          <w:lang w:eastAsia="en-AU"/>
        </w:rPr>
        <w:t xml:space="preserve"> that the practice could provide</w:t>
      </w:r>
      <w:r w:rsidRPr="007B6DF7">
        <w:rPr>
          <w:rFonts w:eastAsia="Times New Roman" w:cs="Segoe UI"/>
          <w:szCs w:val="20"/>
          <w:lang w:eastAsia="en-AU"/>
        </w:rPr>
        <w:t>:</w:t>
      </w:r>
    </w:p>
    <w:bookmarkEnd w:id="377"/>
    <w:p w14:paraId="71F78FCC"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 xml:space="preserve">“Possible improvement?...maybe the nurse could maybe ring you once a month and say, hey guy, have you got any issues…You might not think of something or you might think of something, and think, well I'll ask him that next time I go, and then don’t, you forget. But maybe once a month, or once every six weeks…To just keep in contact so that you know that they're there for you.” </w:t>
      </w:r>
      <w:r w:rsidRPr="00513879">
        <w:rPr>
          <w:rFonts w:eastAsia="Times New Roman" w:cs="Segoe UI"/>
          <w:szCs w:val="20"/>
          <w:lang w:val="en-GB" w:eastAsia="en-AU"/>
        </w:rPr>
        <w:t>[Patient 6, Practice 4</w:t>
      </w:r>
      <w:r>
        <w:rPr>
          <w:rFonts w:eastAsia="Times New Roman" w:cs="Segoe UI"/>
          <w:szCs w:val="20"/>
          <w:lang w:val="en-GB" w:eastAsia="en-AU"/>
        </w:rPr>
        <w:t>, interview, R2]</w:t>
      </w:r>
    </w:p>
    <w:p w14:paraId="41546757" w14:textId="77777777" w:rsidR="001C19F3" w:rsidRPr="00513879" w:rsidRDefault="001C19F3" w:rsidP="001C19F3">
      <w:pPr>
        <w:ind w:left="567" w:right="1088"/>
        <w:rPr>
          <w:rFonts w:eastAsia="Times New Roman" w:cs="Segoe UI"/>
          <w:szCs w:val="20"/>
          <w:lang w:val="en-GB" w:eastAsia="en-AU"/>
        </w:rPr>
      </w:pPr>
      <w:r w:rsidRPr="00721857">
        <w:rPr>
          <w:rFonts w:eastAsia="Times New Roman" w:cs="Segoe UI"/>
          <w:i/>
          <w:szCs w:val="20"/>
          <w:lang w:eastAsia="en-AU"/>
        </w:rPr>
        <w:t>“Probably a follow-up call, like you were saying, probably wouldn’t be too bad…Yes,</w:t>
      </w:r>
      <w:r w:rsidRPr="007B6DF7">
        <w:rPr>
          <w:rFonts w:eastAsia="Times New Roman" w:cs="Segoe UI"/>
          <w:i/>
          <w:iCs/>
          <w:szCs w:val="20"/>
          <w:lang w:val="en-GB" w:eastAsia="en-AU"/>
        </w:rPr>
        <w:t xml:space="preserve"> because some people put it aside and forget or…It might be just looked at as a reminder. I know the doctors probably wouldn’t have the time to do it but the nurse… The practice nurse or someone might.” </w:t>
      </w:r>
      <w:r w:rsidRPr="00513879">
        <w:rPr>
          <w:rFonts w:eastAsia="Times New Roman" w:cs="Segoe UI"/>
          <w:szCs w:val="20"/>
          <w:lang w:val="en-GB" w:eastAsia="en-AU"/>
        </w:rPr>
        <w:t>[Patient 1, Practice 18</w:t>
      </w:r>
      <w:r>
        <w:rPr>
          <w:rFonts w:eastAsia="Times New Roman" w:cs="Segoe UI"/>
          <w:szCs w:val="20"/>
          <w:lang w:val="en-GB" w:eastAsia="en-AU"/>
        </w:rPr>
        <w:t>, interview, R2]</w:t>
      </w:r>
    </w:p>
    <w:p w14:paraId="5E0D538A"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 xml:space="preserve">“You need to have somebody you can ring up and say, could I come and do, or can you come to me…I’m sure you’ll meet a lot of people who find it </w:t>
      </w:r>
      <w:r w:rsidRPr="007B6DF7">
        <w:rPr>
          <w:rFonts w:eastAsia="Times New Roman" w:cs="Segoe UI"/>
          <w:i/>
          <w:iCs/>
          <w:szCs w:val="20"/>
          <w:lang w:val="en-GB" w:eastAsia="en-AU"/>
        </w:rPr>
        <w:lastRenderedPageBreak/>
        <w:t xml:space="preserve">very hard to cope with how to, what to do with this and this and this or whatever.” </w:t>
      </w:r>
      <w:r w:rsidRPr="00513879">
        <w:rPr>
          <w:rFonts w:eastAsia="Times New Roman" w:cs="Segoe UI"/>
          <w:szCs w:val="20"/>
          <w:lang w:val="en-GB" w:eastAsia="en-AU"/>
        </w:rPr>
        <w:t>[Patient 1, Practice 14</w:t>
      </w:r>
      <w:r>
        <w:rPr>
          <w:rFonts w:eastAsia="Times New Roman" w:cs="Segoe UI"/>
          <w:szCs w:val="20"/>
          <w:lang w:val="en-GB" w:eastAsia="en-AU"/>
        </w:rPr>
        <w:t>, interview, R2]</w:t>
      </w:r>
    </w:p>
    <w:p w14:paraId="404AB44B" w14:textId="77777777" w:rsidR="001C19F3" w:rsidRPr="007B6DF7" w:rsidRDefault="001C19F3" w:rsidP="001C19F3">
      <w:pPr>
        <w:ind w:left="567" w:right="1088"/>
        <w:rPr>
          <w:rFonts w:eastAsia="Times New Roman" w:cs="Segoe UI"/>
          <w:i/>
          <w:iCs/>
          <w:szCs w:val="20"/>
          <w:lang w:val="en-GB" w:eastAsia="en-AU"/>
        </w:rPr>
      </w:pPr>
      <w:r w:rsidRPr="007B6DF7">
        <w:rPr>
          <w:rFonts w:eastAsia="Times New Roman" w:cs="Segoe UI"/>
          <w:i/>
          <w:iCs/>
          <w:szCs w:val="20"/>
          <w:lang w:val="en-GB" w:eastAsia="en-AU"/>
        </w:rPr>
        <w:t xml:space="preserve">“There is one thing I guess when you have the test which I seem to be having loads of it would be nice to have some maybe an email back saying... rather than getting called in if there’s an issue, it would be nice to just have a positive email. You know, everything okay, you know, to know it’s being addressed rather than the onus being on you to find out, yes.” </w:t>
      </w:r>
      <w:r w:rsidRPr="00513879">
        <w:rPr>
          <w:rFonts w:eastAsia="Times New Roman" w:cs="Segoe UI"/>
          <w:szCs w:val="20"/>
          <w:lang w:val="en-GB" w:eastAsia="en-AU"/>
        </w:rPr>
        <w:t>[Patient 2, Practice 5</w:t>
      </w:r>
      <w:r>
        <w:rPr>
          <w:rFonts w:eastAsia="Times New Roman" w:cs="Segoe UI"/>
          <w:szCs w:val="20"/>
          <w:lang w:val="en-GB" w:eastAsia="en-AU"/>
        </w:rPr>
        <w:t>, interview, R2]</w:t>
      </w:r>
    </w:p>
    <w:p w14:paraId="0CF36EF3" w14:textId="77777777" w:rsidR="001C19F3" w:rsidRPr="007B6DF7" w:rsidRDefault="001C19F3" w:rsidP="001C19F3">
      <w:pPr>
        <w:textAlignment w:val="baseline"/>
        <w:rPr>
          <w:rFonts w:eastAsia="Times New Roman" w:cs="Segoe UI"/>
          <w:szCs w:val="20"/>
          <w:lang w:eastAsia="en-AU"/>
        </w:rPr>
      </w:pPr>
      <w:r>
        <w:rPr>
          <w:rFonts w:eastAsia="Times New Roman" w:cs="Segoe UI"/>
          <w:szCs w:val="20"/>
          <w:lang w:eastAsia="en-AU"/>
        </w:rPr>
        <w:t>Another was</w:t>
      </w:r>
      <w:r w:rsidRPr="007B6DF7">
        <w:rPr>
          <w:rFonts w:eastAsia="Times New Roman" w:cs="Segoe UI"/>
          <w:szCs w:val="20"/>
          <w:lang w:eastAsia="en-AU"/>
        </w:rPr>
        <w:t xml:space="preserve"> improving the overall integration of services:</w:t>
      </w:r>
    </w:p>
    <w:p w14:paraId="71F4219D"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“What would make life so much easier is if everything in the medical system worked together, interleaved together…I don’t know how long it would take us to come to it, but they could be linked and then you’ve just got all the information and you put </w:t>
      </w:r>
      <w:r w:rsidRPr="00513879">
        <w:rPr>
          <w:rFonts w:eastAsia="Times New Roman" w:cs="Segoe UI"/>
          <w:iCs/>
          <w:szCs w:val="20"/>
          <w:lang w:eastAsia="en-AU"/>
        </w:rPr>
        <w:t>[in]</w:t>
      </w:r>
      <w:r w:rsidRPr="007B6DF7">
        <w:rPr>
          <w:rFonts w:eastAsia="Times New Roman" w:cs="Segoe UI"/>
          <w:i/>
          <w:szCs w:val="20"/>
          <w:lang w:eastAsia="en-AU"/>
        </w:rPr>
        <w:t>…their Medicare number in and it pops up what their conditions are and you’ve got a better idea of how to treat them.”</w:t>
      </w:r>
      <w:r w:rsidRPr="007B6DF7">
        <w:rPr>
          <w:rFonts w:eastAsia="Times New Roman" w:cs="Segoe UI"/>
          <w:szCs w:val="20"/>
          <w:lang w:eastAsia="en-AU"/>
        </w:rPr>
        <w:t xml:space="preserve"> [Patient 1, Practice 9</w:t>
      </w:r>
      <w:r>
        <w:rPr>
          <w:rFonts w:eastAsia="Times New Roman" w:cs="Segoe UI"/>
          <w:szCs w:val="20"/>
          <w:lang w:eastAsia="en-AU"/>
        </w:rPr>
        <w:t>, interview, R2]</w:t>
      </w:r>
    </w:p>
    <w:p w14:paraId="3DBA6CDC" w14:textId="77777777" w:rsidR="001C19F3" w:rsidRPr="00947937" w:rsidRDefault="001C19F3" w:rsidP="001C19F3">
      <w:pPr>
        <w:textAlignment w:val="baseline"/>
        <w:rPr>
          <w:rFonts w:eastAsia="Times New Roman" w:cs="Segoe UI"/>
          <w:szCs w:val="20"/>
          <w:lang w:eastAsia="en-AU"/>
        </w:rPr>
      </w:pPr>
      <w:r>
        <w:rPr>
          <w:rFonts w:eastAsia="Times New Roman" w:cs="Segoe UI"/>
          <w:szCs w:val="20"/>
          <w:lang w:eastAsia="en-AU"/>
        </w:rPr>
        <w:t xml:space="preserve">Yet another was information </w:t>
      </w:r>
      <w:r w:rsidRPr="00947937">
        <w:rPr>
          <w:rFonts w:eastAsia="Times New Roman" w:cs="Segoe UI"/>
          <w:szCs w:val="20"/>
          <w:lang w:eastAsia="en-AU"/>
        </w:rPr>
        <w:t>on what services they could access:</w:t>
      </w:r>
    </w:p>
    <w:p w14:paraId="33EF1242" w14:textId="77777777" w:rsidR="001C19F3" w:rsidRPr="007B6DF7" w:rsidRDefault="001C19F3" w:rsidP="001C19F3">
      <w:pPr>
        <w:ind w:left="567" w:right="1088"/>
        <w:rPr>
          <w:rFonts w:eastAsia="Times New Roman" w:cs="Segoe UI"/>
          <w:szCs w:val="20"/>
          <w:lang w:eastAsia="en-AU"/>
        </w:rPr>
      </w:pPr>
      <w:r w:rsidRPr="00947937">
        <w:rPr>
          <w:rFonts w:eastAsia="Times New Roman" w:cs="Segoe UI"/>
          <w:i/>
          <w:szCs w:val="20"/>
          <w:lang w:eastAsia="en-AU"/>
        </w:rPr>
        <w:t xml:space="preserve">“I think that one of the things that we need more of…I don’t know what I’m entitled to…” </w:t>
      </w:r>
      <w:r w:rsidRPr="00947937">
        <w:rPr>
          <w:rFonts w:eastAsia="Times New Roman" w:cs="Segoe UI"/>
          <w:szCs w:val="20"/>
          <w:lang w:eastAsia="en-AU"/>
        </w:rPr>
        <w:t>[Patient 5, Practice 5</w:t>
      </w:r>
      <w:r>
        <w:rPr>
          <w:rFonts w:eastAsia="Times New Roman" w:cs="Segoe UI"/>
          <w:szCs w:val="20"/>
          <w:lang w:eastAsia="en-AU"/>
        </w:rPr>
        <w:t>, interview, R2]</w:t>
      </w:r>
    </w:p>
    <w:p w14:paraId="759C3BC0"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Coordination with other providers </w:t>
      </w:r>
    </w:p>
    <w:p w14:paraId="05AD236C" w14:textId="77777777" w:rsidR="001C19F3" w:rsidRPr="007B6DF7" w:rsidRDefault="001C19F3" w:rsidP="001C19F3">
      <w:pPr>
        <w:textAlignment w:val="baseline"/>
        <w:rPr>
          <w:rFonts w:eastAsia="Times New Roman" w:cs="Segoe UI"/>
          <w:szCs w:val="20"/>
          <w:lang w:eastAsia="en-AU"/>
        </w:rPr>
      </w:pPr>
      <w:bookmarkStart w:id="378" w:name="_Hlk21189117"/>
      <w:r w:rsidRPr="007B6DF7">
        <w:rPr>
          <w:rFonts w:eastAsia="Times New Roman" w:cs="Segoe UI"/>
          <w:szCs w:val="20"/>
          <w:lang w:eastAsia="en-AU"/>
        </w:rPr>
        <w:t>An objective of the HCH program is to promote and improved coordination between practices and other health care providers</w:t>
      </w:r>
      <w:bookmarkEnd w:id="378"/>
      <w:r w:rsidRPr="007B6DF7">
        <w:rPr>
          <w:rFonts w:eastAsia="Times New Roman" w:cs="Segoe UI"/>
          <w:szCs w:val="20"/>
          <w:lang w:eastAsia="en-AU"/>
        </w:rPr>
        <w:t xml:space="preserve">. </w:t>
      </w:r>
    </w:p>
    <w:p w14:paraId="5E34A4A6" w14:textId="77777777" w:rsidR="001C19F3" w:rsidRPr="00366F22" w:rsidRDefault="001C19F3" w:rsidP="001C19F3">
      <w:pPr>
        <w:textAlignment w:val="baseline"/>
        <w:rPr>
          <w:rFonts w:eastAsia="Times New Roman" w:cs="Segoe UI"/>
          <w:szCs w:val="20"/>
          <w:lang w:eastAsia="en-AU"/>
        </w:rPr>
      </w:pPr>
      <w:r w:rsidRPr="00366F22">
        <w:rPr>
          <w:rFonts w:eastAsia="Times New Roman" w:cs="Segoe UI"/>
          <w:szCs w:val="20"/>
          <w:lang w:eastAsia="en-AU"/>
        </w:rPr>
        <w:t xml:space="preserve">The patient surveys, specifically the PACIC items, provide some insights into patient perceptions of coordination of care </w:t>
      </w:r>
      <w:r>
        <w:rPr>
          <w:rFonts w:eastAsia="Times New Roman" w:cs="Segoe UI"/>
          <w:szCs w:val="20"/>
          <w:lang w:eastAsia="en-AU"/>
        </w:rPr>
        <w:t xml:space="preserve">(see </w:t>
      </w:r>
      <w:r w:rsidRPr="00366F22">
        <w:rPr>
          <w:rFonts w:eastAsia="Times New Roman" w:cs="Segoe UI"/>
          <w:szCs w:val="20"/>
          <w:lang w:eastAsia="en-AU"/>
        </w:rPr>
        <w:fldChar w:fldCharType="begin"/>
      </w:r>
      <w:r w:rsidRPr="00366F22">
        <w:rPr>
          <w:rFonts w:eastAsia="Times New Roman" w:cs="Segoe UI"/>
          <w:szCs w:val="20"/>
          <w:lang w:eastAsia="en-AU"/>
        </w:rPr>
        <w:instrText xml:space="preserve"> REF _Ref21173379 \h  \* MERGEFORMAT </w:instrText>
      </w:r>
      <w:r w:rsidRPr="00366F22">
        <w:rPr>
          <w:rFonts w:eastAsia="Times New Roman" w:cs="Segoe UI"/>
          <w:szCs w:val="20"/>
          <w:lang w:eastAsia="en-AU"/>
        </w:rPr>
      </w:r>
      <w:r w:rsidRPr="00366F22">
        <w:rPr>
          <w:rFonts w:eastAsia="Times New Roman" w:cs="Segoe UI"/>
          <w:szCs w:val="20"/>
          <w:lang w:eastAsia="en-AU"/>
        </w:rPr>
        <w:fldChar w:fldCharType="separate"/>
      </w:r>
      <w:r w:rsidRPr="00822044">
        <w:t xml:space="preserve">Figure </w:t>
      </w:r>
      <w:r w:rsidRPr="00822044">
        <w:rPr>
          <w:rFonts w:cs="Arial"/>
          <w:noProof/>
          <w:color w:val="000000" w:themeColor="text1"/>
        </w:rPr>
        <w:t>15</w:t>
      </w:r>
      <w:r w:rsidRPr="00366F22">
        <w:rPr>
          <w:rFonts w:eastAsia="Times New Roman" w:cs="Segoe UI"/>
          <w:szCs w:val="20"/>
          <w:lang w:eastAsia="en-AU"/>
        </w:rPr>
        <w:fldChar w:fldCharType="end"/>
      </w:r>
      <w:r w:rsidRPr="00366F22">
        <w:rPr>
          <w:rFonts w:eastAsia="Times New Roman" w:cs="Segoe UI"/>
          <w:szCs w:val="20"/>
          <w:lang w:eastAsia="en-AU"/>
        </w:rPr>
        <w:t>). Three questions are particularly relevant:</w:t>
      </w:r>
    </w:p>
    <w:p w14:paraId="249D59E9" w14:textId="77777777" w:rsidR="001C19F3" w:rsidRPr="00366F22" w:rsidRDefault="001C19F3" w:rsidP="001C19F3">
      <w:pPr>
        <w:numPr>
          <w:ilvl w:val="0"/>
          <w:numId w:val="69"/>
        </w:numPr>
        <w:spacing w:after="120"/>
        <w:ind w:left="714" w:hanging="357"/>
      </w:pPr>
      <w:r w:rsidRPr="00366F22">
        <w:rPr>
          <w:rFonts w:eastAsia="Times New Roman" w:cs="Segoe UI"/>
          <w:szCs w:val="20"/>
          <w:lang w:eastAsia="en-AU"/>
        </w:rPr>
        <w:t xml:space="preserve">Patients were asked how frequently they were </w:t>
      </w:r>
      <w:r w:rsidRPr="00366F22">
        <w:t>‘satisfied that my care was well organised’, with 90% of patients responding that this occurred always or most of the time.</w:t>
      </w:r>
    </w:p>
    <w:p w14:paraId="438EFECF" w14:textId="77777777" w:rsidR="001C19F3" w:rsidRPr="00366F22" w:rsidRDefault="001C19F3" w:rsidP="001C19F3">
      <w:pPr>
        <w:numPr>
          <w:ilvl w:val="0"/>
          <w:numId w:val="69"/>
        </w:numPr>
        <w:spacing w:after="120"/>
        <w:ind w:left="714" w:hanging="357"/>
      </w:pPr>
      <w:r w:rsidRPr="00366F22">
        <w:t>Patients were also asked how frequently they were ‘Encouraged to attend programs in the community that could help me’. The responses to this question suggest that patients feel this does not occur frequently, with 40% indicating that this happens “none of the time”.</w:t>
      </w:r>
    </w:p>
    <w:p w14:paraId="5FD229C2" w14:textId="77777777" w:rsidR="001C19F3" w:rsidRPr="00366F22" w:rsidRDefault="001C19F3" w:rsidP="001C19F3">
      <w:pPr>
        <w:numPr>
          <w:ilvl w:val="0"/>
          <w:numId w:val="69"/>
        </w:numPr>
        <w:ind w:left="714" w:hanging="357"/>
      </w:pPr>
      <w:r w:rsidRPr="00366F22">
        <w:t>Patients were also asked how frequently they were ‘Asked how my visits with other doctors were going’. The responses to this question suggest that patients feel this does not occur frequently, with 36% indicating that this happens “none of the time”.</w:t>
      </w:r>
    </w:p>
    <w:p w14:paraId="1C98DA29" w14:textId="77777777" w:rsidR="001C19F3" w:rsidRPr="007B6DF7" w:rsidRDefault="001C19F3" w:rsidP="001C19F3">
      <w:r w:rsidRPr="00366F22">
        <w:t>These responses reflect patient experiences in the six months prior to enrolment in HCH, and will be tracked through follow-up interviews in Round 4 and 5. However, they highlight some of the areas in which improvements may be expected through the HCH implementation.</w:t>
      </w:r>
    </w:p>
    <w:p w14:paraId="2EF612D7" w14:textId="77777777" w:rsidR="001C19F3" w:rsidRPr="007B6DF7" w:rsidRDefault="001C19F3" w:rsidP="001C19F3">
      <w:pPr>
        <w:textAlignment w:val="baseline"/>
        <w:rPr>
          <w:rFonts w:eastAsia="Times New Roman" w:cs="Segoe UI"/>
          <w:szCs w:val="20"/>
          <w:lang w:eastAsia="en-AU"/>
        </w:rPr>
      </w:pPr>
      <w:bookmarkStart w:id="379" w:name="_Hlk21189187"/>
      <w:r w:rsidRPr="007B6DF7">
        <w:rPr>
          <w:rFonts w:eastAsia="Times New Roman" w:cs="Segoe UI"/>
          <w:szCs w:val="20"/>
          <w:lang w:eastAsia="en-AU"/>
        </w:rPr>
        <w:t>Most patient</w:t>
      </w:r>
      <w:r>
        <w:rPr>
          <w:rFonts w:eastAsia="Times New Roman" w:cs="Segoe UI"/>
          <w:szCs w:val="20"/>
          <w:lang w:eastAsia="en-AU"/>
        </w:rPr>
        <w:t>s</w:t>
      </w:r>
      <w:r w:rsidRPr="007B6DF7">
        <w:rPr>
          <w:rFonts w:eastAsia="Times New Roman" w:cs="Segoe UI"/>
          <w:szCs w:val="20"/>
          <w:lang w:eastAsia="en-AU"/>
        </w:rPr>
        <w:t xml:space="preserve"> interviewed felt there was </w:t>
      </w:r>
      <w:r>
        <w:rPr>
          <w:rFonts w:eastAsia="Times New Roman" w:cs="Segoe UI"/>
          <w:szCs w:val="20"/>
          <w:lang w:eastAsia="en-AU"/>
        </w:rPr>
        <w:t xml:space="preserve">good </w:t>
      </w:r>
      <w:r w:rsidRPr="007B6DF7">
        <w:rPr>
          <w:rFonts w:eastAsia="Times New Roman" w:cs="Segoe UI"/>
          <w:szCs w:val="20"/>
          <w:lang w:eastAsia="en-AU"/>
        </w:rPr>
        <w:t>communication between the</w:t>
      </w:r>
      <w:r>
        <w:rPr>
          <w:rFonts w:eastAsia="Times New Roman" w:cs="Segoe UI"/>
          <w:szCs w:val="20"/>
          <w:lang w:eastAsia="en-AU"/>
        </w:rPr>
        <w:t>ir</w:t>
      </w:r>
      <w:r w:rsidRPr="007B6DF7">
        <w:rPr>
          <w:rFonts w:eastAsia="Times New Roman" w:cs="Segoe UI"/>
          <w:szCs w:val="20"/>
          <w:lang w:eastAsia="en-AU"/>
        </w:rPr>
        <w:t xml:space="preserve"> primary care practice and other providers</w:t>
      </w:r>
      <w:bookmarkEnd w:id="379"/>
      <w:r>
        <w:rPr>
          <w:rFonts w:eastAsia="Times New Roman" w:cs="Segoe UI"/>
          <w:szCs w:val="20"/>
          <w:lang w:eastAsia="en-AU"/>
        </w:rPr>
        <w:t>:</w:t>
      </w:r>
    </w:p>
    <w:p w14:paraId="313D8192"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“…I mean from my point of view it works well, you know. He seems to know what's going on.”</w:t>
      </w:r>
      <w:r w:rsidRPr="007B6DF7">
        <w:rPr>
          <w:rFonts w:eastAsia="Times New Roman"/>
          <w:szCs w:val="20"/>
          <w:lang w:eastAsia="en-AU"/>
        </w:rPr>
        <w:t xml:space="preserve"> [Patient 1, Practice 1</w:t>
      </w:r>
      <w:r>
        <w:rPr>
          <w:rFonts w:eastAsia="Times New Roman"/>
          <w:szCs w:val="20"/>
          <w:lang w:eastAsia="en-AU"/>
        </w:rPr>
        <w:t>, interview, R2]</w:t>
      </w:r>
    </w:p>
    <w:tbl>
      <w:tblPr>
        <w:tblpPr w:leftFromText="180" w:rightFromText="180" w:vertAnchor="text" w:horzAnchor="margin" w:tblpY="70"/>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6E120E5E" w14:textId="77777777" w:rsidTr="00521305">
        <w:trPr>
          <w:trHeight w:val="287"/>
        </w:trPr>
        <w:tc>
          <w:tcPr>
            <w:tcW w:w="5000" w:type="pct"/>
          </w:tcPr>
          <w:p w14:paraId="1FA0921C" w14:textId="77777777" w:rsidR="001C19F3" w:rsidRPr="00AF6392" w:rsidRDefault="001C19F3" w:rsidP="00521305">
            <w:pPr>
              <w:spacing w:after="0"/>
              <w:rPr>
                <w:b/>
                <w:sz w:val="18"/>
                <w:szCs w:val="18"/>
              </w:rPr>
            </w:pPr>
            <w:r w:rsidRPr="00AF6392">
              <w:rPr>
                <w:b/>
                <w:sz w:val="18"/>
                <w:szCs w:val="18"/>
              </w:rPr>
              <w:lastRenderedPageBreak/>
              <w:t>Case study</w:t>
            </w:r>
          </w:p>
        </w:tc>
      </w:tr>
      <w:tr w:rsidR="001C19F3" w:rsidRPr="004A11F1" w14:paraId="2776DB62" w14:textId="77777777" w:rsidTr="00521305">
        <w:tc>
          <w:tcPr>
            <w:tcW w:w="5000" w:type="pct"/>
          </w:tcPr>
          <w:p w14:paraId="45BE0FF4" w14:textId="77777777" w:rsidR="001C19F3" w:rsidRPr="00AF6392" w:rsidRDefault="001C19F3" w:rsidP="00521305">
            <w:pPr>
              <w:spacing w:after="0"/>
              <w:rPr>
                <w:sz w:val="18"/>
                <w:szCs w:val="18"/>
              </w:rPr>
            </w:pPr>
            <w:r w:rsidRPr="007B6DF7">
              <w:rPr>
                <w:sz w:val="18"/>
                <w:szCs w:val="18"/>
              </w:rPr>
              <w:t xml:space="preserve">Patient F </w:t>
            </w:r>
            <w:r>
              <w:rPr>
                <w:sz w:val="18"/>
                <w:szCs w:val="18"/>
              </w:rPr>
              <w:t>has</w:t>
            </w:r>
            <w:r w:rsidRPr="007B6DF7">
              <w:rPr>
                <w:sz w:val="18"/>
                <w:szCs w:val="18"/>
              </w:rPr>
              <w:t xml:space="preserve"> Parkinson’s </w:t>
            </w:r>
            <w:r>
              <w:rPr>
                <w:sz w:val="18"/>
                <w:szCs w:val="18"/>
              </w:rPr>
              <w:t>d</w:t>
            </w:r>
            <w:r w:rsidRPr="007B6DF7">
              <w:rPr>
                <w:sz w:val="18"/>
                <w:szCs w:val="18"/>
              </w:rPr>
              <w:t xml:space="preserve">isease. She joined the program after hearing that she may be able to access additional services to help manage her condition and that she would </w:t>
            </w:r>
            <w:r>
              <w:rPr>
                <w:sz w:val="18"/>
                <w:szCs w:val="18"/>
              </w:rPr>
              <w:t>be more</w:t>
            </w:r>
            <w:r w:rsidRPr="007B6DF7">
              <w:rPr>
                <w:sz w:val="18"/>
                <w:szCs w:val="18"/>
              </w:rPr>
              <w:t xml:space="preserve"> involve</w:t>
            </w:r>
            <w:r>
              <w:rPr>
                <w:sz w:val="18"/>
                <w:szCs w:val="18"/>
              </w:rPr>
              <w:t>d</w:t>
            </w:r>
            <w:r w:rsidRPr="007B6DF7">
              <w:rPr>
                <w:sz w:val="18"/>
                <w:szCs w:val="18"/>
              </w:rPr>
              <w:t xml:space="preserve"> in her care. Since joining HCH, she has been attending a physiotherapy rehabilitation program specifically for people with Parkinson’s </w:t>
            </w:r>
            <w:r>
              <w:rPr>
                <w:sz w:val="18"/>
                <w:szCs w:val="18"/>
              </w:rPr>
              <w:t>d</w:t>
            </w:r>
            <w:r w:rsidRPr="007B6DF7">
              <w:rPr>
                <w:sz w:val="18"/>
                <w:szCs w:val="18"/>
              </w:rPr>
              <w:t xml:space="preserve">isease. </w:t>
            </w:r>
            <w:r>
              <w:rPr>
                <w:sz w:val="18"/>
                <w:szCs w:val="18"/>
              </w:rPr>
              <w:t>S</w:t>
            </w:r>
            <w:r w:rsidRPr="007B6DF7">
              <w:rPr>
                <w:sz w:val="18"/>
                <w:szCs w:val="18"/>
              </w:rPr>
              <w:t>he recommend</w:t>
            </w:r>
            <w:r>
              <w:rPr>
                <w:sz w:val="18"/>
                <w:szCs w:val="18"/>
              </w:rPr>
              <w:t>ed</w:t>
            </w:r>
            <w:r w:rsidRPr="007B6DF7">
              <w:rPr>
                <w:sz w:val="18"/>
                <w:szCs w:val="18"/>
              </w:rPr>
              <w:t xml:space="preserve"> that other patients struggling with chronic conditions join the program </w:t>
            </w:r>
            <w:r>
              <w:rPr>
                <w:sz w:val="18"/>
                <w:szCs w:val="18"/>
              </w:rPr>
              <w:t>as it</w:t>
            </w:r>
            <w:r w:rsidRPr="007B6DF7">
              <w:rPr>
                <w:sz w:val="18"/>
                <w:szCs w:val="18"/>
              </w:rPr>
              <w:t xml:space="preserve"> promotes a proactive rather than reactive approach to care</w:t>
            </w:r>
            <w:r w:rsidRPr="00EA19CF">
              <w:rPr>
                <w:sz w:val="18"/>
                <w:szCs w:val="18"/>
              </w:rPr>
              <w:t>.</w:t>
            </w:r>
            <w:r>
              <w:rPr>
                <w:sz w:val="18"/>
                <w:szCs w:val="18"/>
              </w:rPr>
              <w:t xml:space="preserve"> </w:t>
            </w:r>
          </w:p>
        </w:tc>
      </w:tr>
    </w:tbl>
    <w:p w14:paraId="15CB0CFB" w14:textId="77777777" w:rsidR="001C19F3" w:rsidRDefault="001C19F3" w:rsidP="001C19F3">
      <w:pPr>
        <w:spacing w:after="0"/>
        <w:textAlignment w:val="baseline"/>
        <w:rPr>
          <w:rFonts w:eastAsia="Times New Roman"/>
          <w:szCs w:val="20"/>
          <w:lang w:eastAsia="en-AU"/>
        </w:rPr>
      </w:pPr>
    </w:p>
    <w:p w14:paraId="29BDAC83" w14:textId="77777777" w:rsidR="001C19F3" w:rsidRPr="007B6DF7" w:rsidRDefault="001C19F3" w:rsidP="001C19F3">
      <w:pPr>
        <w:textAlignment w:val="baseline"/>
        <w:rPr>
          <w:rFonts w:eastAsia="Times New Roman"/>
          <w:szCs w:val="20"/>
          <w:lang w:eastAsia="en-AU"/>
        </w:rPr>
      </w:pPr>
      <w:r w:rsidRPr="007B6DF7">
        <w:rPr>
          <w:rFonts w:eastAsia="Times New Roman"/>
          <w:szCs w:val="20"/>
          <w:lang w:eastAsia="en-AU"/>
        </w:rPr>
        <w:t>Since enrolling in the program, some patients discussed additional external allied health services that their GPs connected them with. They described these additional services as very helpful in helping to managing their conditions:</w:t>
      </w:r>
    </w:p>
    <w:p w14:paraId="6C8FE153"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 “I’m doing the exercises at </w:t>
      </w:r>
      <w:r w:rsidRPr="00942EE4">
        <w:rPr>
          <w:rFonts w:eastAsia="Times New Roman"/>
          <w:szCs w:val="20"/>
          <w:lang w:eastAsia="en-AU"/>
        </w:rPr>
        <w:t>[centre]</w:t>
      </w:r>
      <w:r w:rsidRPr="007B6DF7">
        <w:rPr>
          <w:rFonts w:eastAsia="Times New Roman"/>
          <w:i/>
          <w:szCs w:val="20"/>
          <w:lang w:eastAsia="en-AU"/>
        </w:rPr>
        <w:t xml:space="preserve">. The one for the heart I’m finished. That’s with all the equipment. I did that for eight weeks. Now I’m doing one for the lungs and the exercises are very similar. It was the doctor that recommended that and </w:t>
      </w:r>
      <w:r w:rsidRPr="009B75E1">
        <w:rPr>
          <w:rFonts w:eastAsia="Times New Roman"/>
          <w:szCs w:val="20"/>
          <w:lang w:eastAsia="en-AU"/>
        </w:rPr>
        <w:t>[the GP]</w:t>
      </w:r>
      <w:r w:rsidRPr="007B6DF7">
        <w:rPr>
          <w:rFonts w:eastAsia="Times New Roman"/>
          <w:i/>
          <w:szCs w:val="20"/>
          <w:lang w:eastAsia="en-AU"/>
        </w:rPr>
        <w:t xml:space="preserve"> recommended that so it was good. Then when I went for the first one, they looked after me over there and they suggested I do the second lot, the COPD exercise. So that’s what I’m doing now, that’s twice a week. Yesterday and Thursday.”</w:t>
      </w:r>
      <w:r w:rsidRPr="007B6DF7">
        <w:rPr>
          <w:rFonts w:eastAsia="Times New Roman"/>
          <w:szCs w:val="20"/>
          <w:lang w:eastAsia="en-AU"/>
        </w:rPr>
        <w:t xml:space="preserve"> [Patient 3, Practice 4</w:t>
      </w:r>
      <w:r>
        <w:rPr>
          <w:rFonts w:eastAsia="Times New Roman"/>
          <w:szCs w:val="20"/>
          <w:lang w:eastAsia="en-AU"/>
        </w:rPr>
        <w:t>, interview, R2]</w:t>
      </w:r>
    </w:p>
    <w:p w14:paraId="66C40EC8"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“…there’s certain things I can have, I think it’s five visits from podiatrists a year. So that’s all going linked </w:t>
      </w:r>
      <w:r w:rsidRPr="009B75E1">
        <w:rPr>
          <w:rFonts w:eastAsia="Times New Roman"/>
          <w:szCs w:val="20"/>
          <w:lang w:eastAsia="en-AU"/>
        </w:rPr>
        <w:t>[to the podiatrist]</w:t>
      </w:r>
      <w:r w:rsidRPr="007B6DF7">
        <w:rPr>
          <w:rFonts w:eastAsia="Times New Roman"/>
          <w:i/>
          <w:szCs w:val="20"/>
          <w:lang w:eastAsia="en-AU"/>
        </w:rPr>
        <w:t xml:space="preserve"> so that she can just go backwards and forwards on the thing, you don’t have to send forms with me or get more referrals. She just asks in the system, </w:t>
      </w:r>
      <w:r w:rsidRPr="009B75E1">
        <w:rPr>
          <w:rFonts w:eastAsia="Times New Roman"/>
          <w:szCs w:val="20"/>
          <w:lang w:eastAsia="en-AU"/>
        </w:rPr>
        <w:t>[the GP]</w:t>
      </w:r>
      <w:r w:rsidRPr="007B6DF7">
        <w:rPr>
          <w:rFonts w:eastAsia="Times New Roman"/>
          <w:i/>
          <w:szCs w:val="20"/>
          <w:lang w:eastAsia="en-AU"/>
        </w:rPr>
        <w:t xml:space="preserve"> puts and sends it back to her. So, you know that covers all that, so there’s a working relationship there.”</w:t>
      </w:r>
      <w:r w:rsidRPr="007B6DF7">
        <w:rPr>
          <w:rFonts w:eastAsia="Times New Roman"/>
          <w:szCs w:val="20"/>
          <w:lang w:eastAsia="en-AU"/>
        </w:rPr>
        <w:t xml:space="preserve"> [Patient 1, Practice 9</w:t>
      </w:r>
      <w:r>
        <w:rPr>
          <w:rFonts w:eastAsia="Times New Roman"/>
          <w:szCs w:val="20"/>
          <w:lang w:eastAsia="en-AU"/>
        </w:rPr>
        <w:t>, interview, R2]</w:t>
      </w:r>
    </w:p>
    <w:p w14:paraId="0A780293"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 ”We've got…the dietician and the diabetes consultant, I think she's called. We've got in touch with those two. They've sort of, or got in touch with us, and said look you've been, your name's been put up to this and so we've started with them, which has been good.”</w:t>
      </w:r>
      <w:r w:rsidRPr="007B6DF7">
        <w:rPr>
          <w:rFonts w:eastAsia="Times New Roman"/>
          <w:szCs w:val="20"/>
          <w:lang w:eastAsia="en-AU"/>
        </w:rPr>
        <w:t xml:space="preserve"> [Patient 1, Practice 1</w:t>
      </w:r>
      <w:r>
        <w:rPr>
          <w:rFonts w:eastAsia="Times New Roman"/>
          <w:szCs w:val="20"/>
          <w:lang w:eastAsia="en-AU"/>
        </w:rPr>
        <w:t>, interview, R2]</w:t>
      </w:r>
    </w:p>
    <w:p w14:paraId="390774CE"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“Well, I had an initial contact with the nurse there, the clinical nurse, and then my GP, and then a joint interview…my doctor made sure that she accessed a lot of services for me in relation to my Parkinson’s… there was a very good </w:t>
      </w:r>
      <w:r>
        <w:rPr>
          <w:rFonts w:eastAsia="Times New Roman"/>
          <w:i/>
          <w:szCs w:val="20"/>
          <w:lang w:eastAsia="en-AU"/>
        </w:rPr>
        <w:t>program</w:t>
      </w:r>
      <w:r w:rsidRPr="007B6DF7">
        <w:rPr>
          <w:rFonts w:eastAsia="Times New Roman"/>
          <w:i/>
          <w:szCs w:val="20"/>
          <w:lang w:eastAsia="en-AU"/>
        </w:rPr>
        <w:t xml:space="preserve"> for people with Parkinson’s with physiotherapy at another, at a hospital…and then they contacted me…and I was able to access the therapist.”</w:t>
      </w:r>
      <w:r w:rsidRPr="007B6DF7">
        <w:rPr>
          <w:rFonts w:eastAsia="Times New Roman"/>
          <w:szCs w:val="20"/>
          <w:lang w:eastAsia="en-AU"/>
        </w:rPr>
        <w:t xml:space="preserve"> [Patient 4, Practice 5</w:t>
      </w:r>
      <w:r>
        <w:rPr>
          <w:rFonts w:eastAsia="Times New Roman"/>
          <w:szCs w:val="20"/>
          <w:lang w:eastAsia="en-AU"/>
        </w:rPr>
        <w:t>, interview, R2]</w:t>
      </w:r>
    </w:p>
    <w:p w14:paraId="6E18CD89"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Pharmacists </w:t>
      </w:r>
    </w:p>
    <w:p w14:paraId="489204A5" w14:textId="77777777" w:rsidR="001C19F3" w:rsidRPr="007B6DF7" w:rsidRDefault="001C19F3" w:rsidP="001C19F3">
      <w:pPr>
        <w:textAlignment w:val="baseline"/>
        <w:rPr>
          <w:rFonts w:eastAsia="Times New Roman"/>
          <w:szCs w:val="20"/>
          <w:lang w:eastAsia="en-AU"/>
        </w:rPr>
      </w:pPr>
      <w:bookmarkStart w:id="380" w:name="_Hlk21189453"/>
      <w:r w:rsidRPr="007B6DF7">
        <w:rPr>
          <w:rFonts w:eastAsia="Times New Roman"/>
          <w:szCs w:val="20"/>
          <w:lang w:eastAsia="en-AU"/>
        </w:rPr>
        <w:t>Some patients reported having medication reviews involving a community pharmacist outside of the HCH practice. Some of these reviews took place prior to the introduction of HCH</w:t>
      </w:r>
      <w:bookmarkEnd w:id="380"/>
      <w:r w:rsidRPr="007B6DF7">
        <w:rPr>
          <w:rFonts w:eastAsia="Times New Roman"/>
          <w:szCs w:val="20"/>
          <w:lang w:eastAsia="en-AU"/>
        </w:rPr>
        <w:t>:</w:t>
      </w:r>
    </w:p>
    <w:p w14:paraId="24C8FBCB"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“I had a medication review at home, what, a couple of years ago? Couple of years ago before I had my knees done. Because I was in such pain the doctors were giving me all these opioids and patches…And we went and </w:t>
      </w:r>
      <w:r w:rsidRPr="007B6DF7">
        <w:rPr>
          <w:rFonts w:eastAsia="Times New Roman"/>
          <w:i/>
          <w:szCs w:val="20"/>
          <w:lang w:eastAsia="en-AU"/>
        </w:rPr>
        <w:lastRenderedPageBreak/>
        <w:t>saw the doctor. And she arranged for a pharmacist to come out to the house.”</w:t>
      </w:r>
      <w:r w:rsidRPr="007B6DF7">
        <w:rPr>
          <w:rFonts w:eastAsia="Times New Roman"/>
          <w:szCs w:val="20"/>
          <w:lang w:eastAsia="en-AU"/>
        </w:rPr>
        <w:t xml:space="preserve"> [Patient 5, Practice 16</w:t>
      </w:r>
      <w:r>
        <w:rPr>
          <w:rFonts w:eastAsia="Times New Roman"/>
          <w:szCs w:val="20"/>
          <w:lang w:eastAsia="en-AU"/>
        </w:rPr>
        <w:t>, interview, R2]</w:t>
      </w:r>
    </w:p>
    <w:p w14:paraId="4D706A05" w14:textId="77777777" w:rsidR="001C19F3" w:rsidRPr="007B6DF7" w:rsidRDefault="001C19F3" w:rsidP="001C19F3">
      <w:pPr>
        <w:textAlignment w:val="baseline"/>
        <w:rPr>
          <w:rFonts w:eastAsia="Times New Roman"/>
          <w:szCs w:val="20"/>
          <w:lang w:eastAsia="en-AU"/>
        </w:rPr>
      </w:pPr>
      <w:r w:rsidRPr="007B6DF7">
        <w:rPr>
          <w:rFonts w:eastAsia="Times New Roman"/>
          <w:szCs w:val="20"/>
          <w:lang w:eastAsia="en-AU"/>
        </w:rPr>
        <w:t xml:space="preserve">A few patients reported that their practices had </w:t>
      </w:r>
      <w:r>
        <w:rPr>
          <w:rFonts w:eastAsia="Times New Roman"/>
          <w:szCs w:val="20"/>
          <w:lang w:eastAsia="en-AU"/>
        </w:rPr>
        <w:t xml:space="preserve">a part-time </w:t>
      </w:r>
      <w:r w:rsidRPr="007B6DF7">
        <w:rPr>
          <w:rFonts w:eastAsia="Times New Roman"/>
          <w:szCs w:val="20"/>
          <w:lang w:eastAsia="en-AU"/>
        </w:rPr>
        <w:t xml:space="preserve">pharmacist. This was beneficial as </w:t>
      </w:r>
      <w:r>
        <w:rPr>
          <w:rFonts w:eastAsia="Times New Roman"/>
          <w:szCs w:val="20"/>
          <w:lang w:eastAsia="en-AU"/>
        </w:rPr>
        <w:t>they</w:t>
      </w:r>
      <w:r w:rsidRPr="007B6DF7">
        <w:rPr>
          <w:rFonts w:eastAsia="Times New Roman"/>
          <w:szCs w:val="20"/>
          <w:lang w:eastAsia="en-AU"/>
        </w:rPr>
        <w:t xml:space="preserve"> were more likely to have </w:t>
      </w:r>
      <w:r>
        <w:rPr>
          <w:rFonts w:eastAsia="Times New Roman"/>
          <w:szCs w:val="20"/>
          <w:lang w:eastAsia="en-AU"/>
        </w:rPr>
        <w:t>had</w:t>
      </w:r>
      <w:r w:rsidRPr="007B6DF7">
        <w:rPr>
          <w:rFonts w:eastAsia="Times New Roman"/>
          <w:szCs w:val="20"/>
          <w:lang w:eastAsia="en-AU"/>
        </w:rPr>
        <w:t xml:space="preserve"> a medication review since joining the program:</w:t>
      </w:r>
    </w:p>
    <w:p w14:paraId="6CA02266"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“…I had a session with </w:t>
      </w:r>
      <w:r w:rsidRPr="00FD7C76">
        <w:rPr>
          <w:rFonts w:eastAsia="Times New Roman"/>
          <w:iCs/>
          <w:szCs w:val="20"/>
          <w:lang w:eastAsia="en-AU"/>
        </w:rPr>
        <w:t>[the pharmacist]</w:t>
      </w:r>
      <w:r w:rsidRPr="007B6DF7">
        <w:rPr>
          <w:rFonts w:eastAsia="Times New Roman"/>
          <w:i/>
          <w:szCs w:val="20"/>
          <w:lang w:eastAsia="en-AU"/>
        </w:rPr>
        <w:t xml:space="preserve"> and he reviewed the tablets that I was taking and we managed to cut one out and he’s cut a few others back, so that’s the sort of practice that it is and, you know, the benefit that you get from it, because I was shovelling pills down like there was no tomorrow.”</w:t>
      </w:r>
      <w:r w:rsidRPr="007B6DF7">
        <w:rPr>
          <w:rFonts w:eastAsia="Times New Roman"/>
          <w:szCs w:val="20"/>
          <w:lang w:eastAsia="en-AU"/>
        </w:rPr>
        <w:t xml:space="preserve"> [Patient 3, Practice 5</w:t>
      </w:r>
      <w:r>
        <w:rPr>
          <w:rFonts w:eastAsia="Times New Roman"/>
          <w:szCs w:val="20"/>
          <w:lang w:eastAsia="en-AU"/>
        </w:rPr>
        <w:t>, interview, R2]</w:t>
      </w:r>
    </w:p>
    <w:p w14:paraId="56548210" w14:textId="77777777" w:rsidR="001C19F3" w:rsidRPr="007B6DF7" w:rsidRDefault="001C19F3" w:rsidP="001C19F3">
      <w:pPr>
        <w:textAlignment w:val="baseline"/>
        <w:rPr>
          <w:rFonts w:eastAsia="Times New Roman"/>
          <w:szCs w:val="20"/>
          <w:lang w:eastAsia="en-AU"/>
        </w:rPr>
      </w:pPr>
      <w:bookmarkStart w:id="381" w:name="_Hlk21189472"/>
      <w:r w:rsidRPr="007B6DF7">
        <w:rPr>
          <w:rFonts w:eastAsia="Times New Roman"/>
          <w:szCs w:val="20"/>
          <w:lang w:eastAsia="en-AU"/>
        </w:rPr>
        <w:t>Some patients were not sure if their GP had any contact with their pharmacists, and they had not had a medication review in the past</w:t>
      </w:r>
      <w:bookmarkEnd w:id="381"/>
      <w:r w:rsidRPr="007B6DF7">
        <w:rPr>
          <w:rFonts w:eastAsia="Times New Roman"/>
          <w:szCs w:val="20"/>
          <w:lang w:eastAsia="en-AU"/>
        </w:rPr>
        <w:t>:</w:t>
      </w:r>
    </w:p>
    <w:p w14:paraId="030E85F2" w14:textId="77777777" w:rsidR="001C19F3" w:rsidRPr="007B6DF7" w:rsidRDefault="001C19F3" w:rsidP="001C19F3">
      <w:pPr>
        <w:ind w:left="567" w:right="1088"/>
        <w:rPr>
          <w:rFonts w:eastAsia="Times New Roman"/>
          <w:szCs w:val="20"/>
          <w:lang w:eastAsia="en-AU"/>
        </w:rPr>
      </w:pPr>
      <w:r w:rsidRPr="007B6DF7">
        <w:rPr>
          <w:rFonts w:eastAsia="Times New Roman"/>
          <w:i/>
          <w:szCs w:val="20"/>
          <w:lang w:eastAsia="en-AU"/>
        </w:rPr>
        <w:t xml:space="preserve">“Well, </w:t>
      </w:r>
      <w:r w:rsidRPr="00FD7C76">
        <w:rPr>
          <w:rFonts w:eastAsia="Times New Roman"/>
          <w:iCs/>
          <w:szCs w:val="20"/>
          <w:lang w:eastAsia="en-AU"/>
        </w:rPr>
        <w:t>[the GP]</w:t>
      </w:r>
      <w:r w:rsidRPr="007B6DF7">
        <w:rPr>
          <w:rFonts w:eastAsia="Times New Roman"/>
          <w:i/>
          <w:szCs w:val="20"/>
          <w:lang w:eastAsia="en-AU"/>
        </w:rPr>
        <w:t xml:space="preserve"> knows </w:t>
      </w:r>
      <w:r w:rsidRPr="00FD7C76">
        <w:rPr>
          <w:rFonts w:eastAsia="Times New Roman"/>
          <w:iCs/>
          <w:szCs w:val="20"/>
          <w:lang w:eastAsia="en-AU"/>
        </w:rPr>
        <w:t>[the pharmacist]</w:t>
      </w:r>
      <w:r w:rsidRPr="007B6DF7">
        <w:rPr>
          <w:rFonts w:eastAsia="Times New Roman"/>
          <w:i/>
          <w:szCs w:val="20"/>
          <w:lang w:eastAsia="en-AU"/>
        </w:rPr>
        <w:t xml:space="preserve">…because they're only about physically fifty yards apart. But whether he actually talks to him about me or whatever, I don't know. Possibly.” </w:t>
      </w:r>
      <w:r w:rsidRPr="007B6DF7">
        <w:rPr>
          <w:rFonts w:eastAsia="Times New Roman"/>
          <w:szCs w:val="20"/>
          <w:lang w:eastAsia="en-AU"/>
        </w:rPr>
        <w:t>[Patient 1, Practice 1</w:t>
      </w:r>
      <w:r>
        <w:rPr>
          <w:rFonts w:eastAsia="Times New Roman"/>
          <w:szCs w:val="20"/>
          <w:lang w:eastAsia="en-AU"/>
        </w:rPr>
        <w:t>, interview, R2]</w:t>
      </w:r>
    </w:p>
    <w:p w14:paraId="5F353821"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“No, I haven't heard of that at all. And I do take... there are 12 prescriptions…But no, because I've always had to say could you check with the doctor if there's anything conflicting there. Doctors know straightaway if it conflicts, but no-one's mentioned a pharmacist might want to review it, no.”</w:t>
      </w:r>
      <w:r w:rsidRPr="007B6DF7">
        <w:rPr>
          <w:rFonts w:eastAsia="Times New Roman" w:cs="Segoe UI"/>
          <w:szCs w:val="20"/>
          <w:lang w:eastAsia="en-AU"/>
        </w:rPr>
        <w:t xml:space="preserve"> [Patient 1, Practice 8</w:t>
      </w:r>
      <w:r>
        <w:rPr>
          <w:rFonts w:eastAsia="Times New Roman" w:cs="Segoe UI"/>
          <w:szCs w:val="20"/>
          <w:lang w:eastAsia="en-AU"/>
        </w:rPr>
        <w:t>, interview, R2]</w:t>
      </w:r>
    </w:p>
    <w:p w14:paraId="17B73212"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“No, they don’t go through it…But they’re there, and someone puts them in the box and they have a look over, because when you ask any questions, they always seem to know.”</w:t>
      </w:r>
      <w:r w:rsidRPr="007B6DF7">
        <w:rPr>
          <w:rFonts w:eastAsia="Times New Roman" w:cs="Segoe UI"/>
          <w:szCs w:val="20"/>
          <w:lang w:eastAsia="en-AU"/>
        </w:rPr>
        <w:t xml:space="preserve"> [Patient 5, Practice 5</w:t>
      </w:r>
      <w:r>
        <w:rPr>
          <w:rFonts w:eastAsia="Times New Roman" w:cs="Segoe UI"/>
          <w:szCs w:val="20"/>
          <w:lang w:eastAsia="en-AU"/>
        </w:rPr>
        <w:t>, interview, R2]</w:t>
      </w:r>
    </w:p>
    <w:p w14:paraId="6A088C1E" w14:textId="77777777" w:rsidR="001C19F3" w:rsidRPr="007B6DF7" w:rsidRDefault="001C19F3" w:rsidP="001C19F3">
      <w:pPr>
        <w:keepNext/>
        <w:keepLines/>
        <w:spacing w:line="240" w:lineRule="auto"/>
        <w:outlineLvl w:val="2"/>
        <w:rPr>
          <w:rFonts w:eastAsia="Times New Roman" w:cstheme="majorBidi"/>
          <w:color w:val="003D79"/>
          <w:sz w:val="28"/>
          <w:szCs w:val="24"/>
          <w:lang w:eastAsia="en-AU"/>
        </w:rPr>
      </w:pPr>
      <w:r w:rsidRPr="007B6DF7">
        <w:rPr>
          <w:rFonts w:eastAsia="Times New Roman" w:cstheme="majorBidi"/>
          <w:color w:val="003D79"/>
          <w:sz w:val="28"/>
          <w:szCs w:val="24"/>
          <w:lang w:eastAsia="en-AU"/>
        </w:rPr>
        <w:t>Carers and family members</w:t>
      </w:r>
    </w:p>
    <w:p w14:paraId="64F441D9" w14:textId="77777777" w:rsidR="001C19F3" w:rsidRPr="007B6DF7" w:rsidRDefault="001C19F3" w:rsidP="001C19F3">
      <w:pPr>
        <w:textAlignment w:val="baseline"/>
        <w:rPr>
          <w:rFonts w:eastAsia="Times New Roman" w:cs="Segoe UI"/>
          <w:szCs w:val="20"/>
          <w:lang w:eastAsia="en-AU"/>
        </w:rPr>
      </w:pPr>
      <w:bookmarkStart w:id="382" w:name="_Hlk21190829"/>
      <w:r>
        <w:rPr>
          <w:rFonts w:eastAsia="Times New Roman" w:cs="Segoe UI"/>
          <w:szCs w:val="20"/>
          <w:lang w:eastAsia="en-AU"/>
        </w:rPr>
        <w:t>In interviews with patients, s</w:t>
      </w:r>
      <w:r w:rsidRPr="007B6DF7">
        <w:rPr>
          <w:rFonts w:eastAsia="Times New Roman" w:cs="Segoe UI"/>
          <w:szCs w:val="20"/>
          <w:lang w:eastAsia="en-AU"/>
        </w:rPr>
        <w:t xml:space="preserve">everal carers shared </w:t>
      </w:r>
      <w:r>
        <w:rPr>
          <w:rFonts w:eastAsia="Times New Roman" w:cs="Segoe UI"/>
          <w:szCs w:val="20"/>
          <w:lang w:eastAsia="en-AU"/>
        </w:rPr>
        <w:t>the</w:t>
      </w:r>
      <w:r w:rsidRPr="007B6DF7">
        <w:rPr>
          <w:rFonts w:eastAsia="Times New Roman" w:cs="Segoe UI"/>
          <w:szCs w:val="20"/>
          <w:lang w:eastAsia="en-AU"/>
        </w:rPr>
        <w:t xml:space="preserve"> struggles that they have faced </w:t>
      </w:r>
      <w:r>
        <w:rPr>
          <w:rFonts w:eastAsia="Times New Roman" w:cs="Segoe UI"/>
          <w:szCs w:val="20"/>
          <w:lang w:eastAsia="en-AU"/>
        </w:rPr>
        <w:t xml:space="preserve">in this role and </w:t>
      </w:r>
      <w:r w:rsidRPr="007B6DF7">
        <w:rPr>
          <w:rFonts w:eastAsia="Times New Roman" w:cs="Segoe UI"/>
          <w:szCs w:val="20"/>
          <w:lang w:eastAsia="en-AU"/>
        </w:rPr>
        <w:t>lack of services and support available</w:t>
      </w:r>
      <w:bookmarkEnd w:id="382"/>
      <w:r w:rsidRPr="007B6DF7">
        <w:rPr>
          <w:rFonts w:eastAsia="Times New Roman" w:cs="Segoe UI"/>
          <w:szCs w:val="20"/>
          <w:lang w:eastAsia="en-AU"/>
        </w:rPr>
        <w:t>:</w:t>
      </w:r>
    </w:p>
    <w:p w14:paraId="098F11B4"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 “If he sees me angry, he gets angry. Don’t forget, you have two people in the house with temporal lobe epilepsy and that means they get very aggressive. That’s what you have to keep under control. Once you start getting angry, you can get very angry.”</w:t>
      </w:r>
      <w:r w:rsidRPr="007B6DF7">
        <w:rPr>
          <w:rFonts w:eastAsia="Times New Roman" w:cs="Segoe UI"/>
          <w:szCs w:val="20"/>
          <w:lang w:eastAsia="en-AU"/>
        </w:rPr>
        <w:t xml:space="preserve"> [Carer &amp; Patient 1, Practice 6</w:t>
      </w:r>
      <w:r>
        <w:rPr>
          <w:rFonts w:eastAsia="Times New Roman" w:cs="Segoe UI"/>
          <w:szCs w:val="20"/>
          <w:lang w:eastAsia="en-AU"/>
        </w:rPr>
        <w:t>, interview, R2]</w:t>
      </w:r>
    </w:p>
    <w:p w14:paraId="50A6E122"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“But if you’ve got a person who doesn’t speak English or who themselves has an intellectual disability, they can’t fight the corner that you have to fight to make sure the kids get the help they need. So, it really depends on your level of advocacy skills and your stubbornness to make sure that they’re serviced correctly.”</w:t>
      </w:r>
      <w:r w:rsidRPr="007B6DF7">
        <w:rPr>
          <w:rFonts w:eastAsia="Times New Roman" w:cs="Segoe UI"/>
          <w:szCs w:val="20"/>
          <w:lang w:eastAsia="en-AU"/>
        </w:rPr>
        <w:t xml:space="preserve"> [Carer, Practice 5</w:t>
      </w:r>
      <w:r>
        <w:rPr>
          <w:rFonts w:eastAsia="Times New Roman" w:cs="Segoe UI"/>
          <w:szCs w:val="20"/>
          <w:lang w:eastAsia="en-AU"/>
        </w:rPr>
        <w:t>, interview, R2]</w:t>
      </w:r>
    </w:p>
    <w:p w14:paraId="2D17BEC7" w14:textId="77777777" w:rsidR="001C19F3" w:rsidRDefault="001C19F3" w:rsidP="001C19F3">
      <w:pPr>
        <w:ind w:left="567" w:right="1088"/>
        <w:rPr>
          <w:rFonts w:eastAsia="Times New Roman" w:cs="Segoe UI"/>
          <w:szCs w:val="20"/>
          <w:lang w:eastAsia="en-AU"/>
        </w:rPr>
      </w:pPr>
      <w:r w:rsidRPr="007B6DF7">
        <w:rPr>
          <w:rFonts w:eastAsia="Times New Roman" w:cs="Segoe UI"/>
          <w:i/>
          <w:szCs w:val="20"/>
          <w:lang w:eastAsia="en-AU"/>
        </w:rPr>
        <w:t>“Well, all my health care was written down in a book …because he has got so much and I have got so much. I’ve got to remember his as well as my own.”</w:t>
      </w:r>
      <w:r w:rsidRPr="007B6DF7">
        <w:rPr>
          <w:rFonts w:eastAsia="Times New Roman" w:cs="Segoe UI"/>
          <w:szCs w:val="20"/>
          <w:lang w:eastAsia="en-AU"/>
        </w:rPr>
        <w:t xml:space="preserve"> [Carer &amp; Patient 3, Practice 4</w:t>
      </w:r>
      <w:r>
        <w:rPr>
          <w:rFonts w:eastAsia="Times New Roman" w:cs="Segoe UI"/>
          <w:szCs w:val="20"/>
          <w:lang w:eastAsia="en-AU"/>
        </w:rPr>
        <w:t>, interview, R2]</w:t>
      </w:r>
    </w:p>
    <w:p w14:paraId="02FEA194" w14:textId="77777777" w:rsidR="001C19F3" w:rsidRPr="007B6DF7" w:rsidRDefault="001C19F3" w:rsidP="001C19F3">
      <w:pPr>
        <w:textAlignment w:val="baseline"/>
        <w:rPr>
          <w:rFonts w:eastAsia="Times New Roman" w:cs="Segoe UI"/>
          <w:szCs w:val="20"/>
          <w:lang w:eastAsia="en-AU"/>
        </w:rPr>
      </w:pPr>
      <w:bookmarkStart w:id="383" w:name="_Hlk21190976"/>
      <w:r w:rsidRPr="007B6DF7">
        <w:rPr>
          <w:rFonts w:eastAsia="Times New Roman" w:cs="Segoe UI"/>
          <w:szCs w:val="20"/>
          <w:lang w:eastAsia="en-AU"/>
        </w:rPr>
        <w:t>Some carers discuss</w:t>
      </w:r>
      <w:r>
        <w:rPr>
          <w:rFonts w:eastAsia="Times New Roman" w:cs="Segoe UI"/>
          <w:szCs w:val="20"/>
          <w:lang w:eastAsia="en-AU"/>
        </w:rPr>
        <w:t xml:space="preserve">ed </w:t>
      </w:r>
      <w:r w:rsidRPr="007B6DF7">
        <w:rPr>
          <w:rFonts w:eastAsia="Times New Roman" w:cs="Segoe UI"/>
          <w:szCs w:val="20"/>
          <w:lang w:eastAsia="en-AU"/>
        </w:rPr>
        <w:t xml:space="preserve">the benefits </w:t>
      </w:r>
      <w:r>
        <w:rPr>
          <w:rFonts w:eastAsia="Times New Roman" w:cs="Segoe UI"/>
          <w:szCs w:val="20"/>
          <w:lang w:eastAsia="en-AU"/>
        </w:rPr>
        <w:t>of HCH, including feeling that they’re been listened to</w:t>
      </w:r>
      <w:r w:rsidRPr="007B6DF7">
        <w:rPr>
          <w:rFonts w:eastAsia="Times New Roman" w:cs="Segoe UI"/>
          <w:szCs w:val="20"/>
          <w:lang w:eastAsia="en-AU"/>
        </w:rPr>
        <w:t xml:space="preserve">, </w:t>
      </w:r>
      <w:r>
        <w:rPr>
          <w:rFonts w:eastAsia="Times New Roman" w:cs="Segoe UI"/>
          <w:szCs w:val="20"/>
          <w:lang w:eastAsia="en-AU"/>
        </w:rPr>
        <w:t>and better coordination of care and advocacy for the person that they’re caring for</w:t>
      </w:r>
      <w:bookmarkEnd w:id="383"/>
      <w:r w:rsidRPr="007B6DF7">
        <w:rPr>
          <w:rFonts w:eastAsia="Times New Roman" w:cs="Segoe UI"/>
          <w:szCs w:val="20"/>
          <w:lang w:eastAsia="en-AU"/>
        </w:rPr>
        <w:t>:</w:t>
      </w:r>
    </w:p>
    <w:p w14:paraId="7D89509A" w14:textId="77777777" w:rsidR="001C19F3" w:rsidRPr="007B6DF7" w:rsidRDefault="001C19F3" w:rsidP="001C19F3">
      <w:pPr>
        <w:ind w:left="567" w:right="1088"/>
        <w:rPr>
          <w:rFonts w:eastAsia="Times New Roman" w:cs="Segoe UI"/>
          <w:i/>
          <w:szCs w:val="20"/>
          <w:lang w:eastAsia="en-AU"/>
        </w:rPr>
      </w:pPr>
      <w:r w:rsidRPr="007B6DF7">
        <w:rPr>
          <w:rFonts w:eastAsia="Times New Roman" w:cs="Segoe UI"/>
          <w:i/>
          <w:szCs w:val="20"/>
          <w:lang w:eastAsia="en-AU"/>
        </w:rPr>
        <w:lastRenderedPageBreak/>
        <w:t>“Yes, it is probably still early, but I mean, I'm great with it. And, well we have spoken to other people around here, you know…And you can see that they're actually like, yes they're really listening.”</w:t>
      </w:r>
      <w:r w:rsidRPr="00FE4FDC">
        <w:rPr>
          <w:rFonts w:eastAsia="Times New Roman" w:cs="Segoe UI"/>
          <w:szCs w:val="20"/>
          <w:lang w:eastAsia="en-AU"/>
        </w:rPr>
        <w:t xml:space="preserve"> [Carer, Practice 4</w:t>
      </w:r>
      <w:r>
        <w:rPr>
          <w:rFonts w:eastAsia="Times New Roman" w:cs="Segoe UI"/>
          <w:szCs w:val="20"/>
          <w:lang w:eastAsia="en-AU"/>
        </w:rPr>
        <w:t>, interview, R2]</w:t>
      </w:r>
    </w:p>
    <w:p w14:paraId="17E619BD" w14:textId="77777777" w:rsidR="001C19F3" w:rsidRDefault="001C19F3" w:rsidP="001C19F3">
      <w:pPr>
        <w:ind w:left="567" w:right="1088"/>
        <w:rPr>
          <w:rFonts w:eastAsia="Times New Roman"/>
          <w:szCs w:val="20"/>
          <w:lang w:eastAsia="en-AU"/>
        </w:rPr>
      </w:pPr>
      <w:r w:rsidRPr="007B6DF7">
        <w:rPr>
          <w:rFonts w:eastAsia="Times New Roman"/>
          <w:i/>
          <w:szCs w:val="20"/>
          <w:lang w:eastAsia="en-AU"/>
        </w:rPr>
        <w:t xml:space="preserve">“…that’s a really important message, that advocacy role that the GP can play. And that’s some experience with the practice probably before the </w:t>
      </w:r>
      <w:r>
        <w:rPr>
          <w:rFonts w:eastAsia="Times New Roman"/>
          <w:i/>
          <w:szCs w:val="20"/>
          <w:lang w:eastAsia="en-AU"/>
        </w:rPr>
        <w:t>H</w:t>
      </w:r>
      <w:r w:rsidRPr="007B6DF7">
        <w:rPr>
          <w:rFonts w:eastAsia="Times New Roman"/>
          <w:i/>
          <w:szCs w:val="20"/>
          <w:lang w:eastAsia="en-AU"/>
        </w:rPr>
        <w:t xml:space="preserve">ealth </w:t>
      </w:r>
      <w:r>
        <w:rPr>
          <w:rFonts w:eastAsia="Times New Roman"/>
          <w:i/>
          <w:szCs w:val="20"/>
          <w:lang w:eastAsia="en-AU"/>
        </w:rPr>
        <w:t>C</w:t>
      </w:r>
      <w:r w:rsidRPr="007B6DF7">
        <w:rPr>
          <w:rFonts w:eastAsia="Times New Roman"/>
          <w:i/>
          <w:szCs w:val="20"/>
          <w:lang w:eastAsia="en-AU"/>
        </w:rPr>
        <w:t xml:space="preserve">are </w:t>
      </w:r>
      <w:r>
        <w:rPr>
          <w:rFonts w:eastAsia="Times New Roman"/>
          <w:i/>
          <w:szCs w:val="20"/>
          <w:lang w:eastAsia="en-AU"/>
        </w:rPr>
        <w:t>H</w:t>
      </w:r>
      <w:r w:rsidRPr="007B6DF7">
        <w:rPr>
          <w:rFonts w:eastAsia="Times New Roman"/>
          <w:i/>
          <w:szCs w:val="20"/>
          <w:lang w:eastAsia="en-AU"/>
        </w:rPr>
        <w:t>omes, but Health</w:t>
      </w:r>
      <w:r>
        <w:rPr>
          <w:rFonts w:eastAsia="Times New Roman"/>
          <w:i/>
          <w:szCs w:val="20"/>
          <w:lang w:eastAsia="en-AU"/>
        </w:rPr>
        <w:t xml:space="preserve"> C</w:t>
      </w:r>
      <w:r w:rsidRPr="007B6DF7">
        <w:rPr>
          <w:rFonts w:eastAsia="Times New Roman"/>
          <w:i/>
          <w:szCs w:val="20"/>
          <w:lang w:eastAsia="en-AU"/>
        </w:rPr>
        <w:t xml:space="preserve">are Homes is probably enabling that a little bit.” </w:t>
      </w:r>
      <w:r w:rsidRPr="00FE4FDC">
        <w:rPr>
          <w:rFonts w:eastAsia="Times New Roman"/>
          <w:szCs w:val="20"/>
          <w:lang w:eastAsia="en-AU"/>
        </w:rPr>
        <w:t>[Carer, Practice 5</w:t>
      </w:r>
      <w:r>
        <w:rPr>
          <w:rFonts w:eastAsia="Times New Roman"/>
          <w:szCs w:val="20"/>
          <w:lang w:eastAsia="en-AU"/>
        </w:rPr>
        <w:t>, interview, R2]</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1C19F3" w:rsidRPr="004A11F1" w14:paraId="5BCAD613" w14:textId="77777777" w:rsidTr="00521305">
        <w:trPr>
          <w:trHeight w:val="287"/>
        </w:trPr>
        <w:tc>
          <w:tcPr>
            <w:tcW w:w="5000" w:type="pct"/>
          </w:tcPr>
          <w:p w14:paraId="71762087" w14:textId="77777777" w:rsidR="001C19F3" w:rsidRPr="004A11F1" w:rsidRDefault="001C19F3" w:rsidP="00521305">
            <w:pPr>
              <w:spacing w:after="0"/>
              <w:rPr>
                <w:b/>
                <w:sz w:val="18"/>
                <w:szCs w:val="18"/>
              </w:rPr>
            </w:pPr>
            <w:r w:rsidRPr="004A11F1">
              <w:rPr>
                <w:b/>
                <w:sz w:val="18"/>
                <w:szCs w:val="18"/>
              </w:rPr>
              <w:t>Case study</w:t>
            </w:r>
          </w:p>
        </w:tc>
      </w:tr>
      <w:tr w:rsidR="001C19F3" w:rsidRPr="004A11F1" w14:paraId="420469A0" w14:textId="77777777" w:rsidTr="00521305">
        <w:tc>
          <w:tcPr>
            <w:tcW w:w="5000" w:type="pct"/>
          </w:tcPr>
          <w:p w14:paraId="0F837AA3" w14:textId="77777777" w:rsidR="001C19F3" w:rsidRPr="004A11F1" w:rsidRDefault="001C19F3" w:rsidP="00521305">
            <w:pPr>
              <w:spacing w:after="0"/>
              <w:rPr>
                <w:sz w:val="18"/>
                <w:szCs w:val="18"/>
              </w:rPr>
            </w:pPr>
            <w:r>
              <w:rPr>
                <w:sz w:val="18"/>
                <w:szCs w:val="18"/>
              </w:rPr>
              <w:t xml:space="preserve">A mother is the primary carer </w:t>
            </w:r>
            <w:r w:rsidRPr="004A11F1">
              <w:rPr>
                <w:sz w:val="18"/>
                <w:szCs w:val="18"/>
              </w:rPr>
              <w:t xml:space="preserve">for her teenage son who has severe intellectual and physical disabilities, partly related to a brain injury. He is nonverbal and hearing impaired. She described her family’s difficult journey to ensure that her son gets adequate care in the long term. Prior to HCH, </w:t>
            </w:r>
            <w:r>
              <w:rPr>
                <w:sz w:val="18"/>
                <w:szCs w:val="18"/>
              </w:rPr>
              <w:t xml:space="preserve">she reported that </w:t>
            </w:r>
            <w:r w:rsidRPr="004A11F1">
              <w:rPr>
                <w:sz w:val="18"/>
                <w:szCs w:val="18"/>
              </w:rPr>
              <w:t xml:space="preserve">the practice she attends </w:t>
            </w:r>
            <w:r>
              <w:rPr>
                <w:sz w:val="18"/>
                <w:szCs w:val="18"/>
              </w:rPr>
              <w:t>was</w:t>
            </w:r>
            <w:r w:rsidRPr="004A11F1">
              <w:rPr>
                <w:sz w:val="18"/>
                <w:szCs w:val="18"/>
              </w:rPr>
              <w:t xml:space="preserve"> incredibly helpful in supporting the family and coordinating her son’s care with other providers. But she feels that the structure of the HCH program and the whole team care approach has provided additional support which is helping her family manage her son’s care and advocate for adequate care. The ability to request prescriptions over the phone has been extremely helpful as undertaking a consultation in person with her son is difficult and stressful. Though she sees this program as a step in the right direction, she would love to see a stronger focus on providing better long-term support and care coordination for patients with disabilities and their families in all areas of the health system.</w:t>
            </w:r>
            <w:r>
              <w:rPr>
                <w:sz w:val="18"/>
                <w:szCs w:val="18"/>
              </w:rPr>
              <w:t xml:space="preserve"> </w:t>
            </w:r>
          </w:p>
        </w:tc>
      </w:tr>
    </w:tbl>
    <w:p w14:paraId="3E54F19F" w14:textId="77777777" w:rsidR="001C19F3" w:rsidRDefault="001C19F3" w:rsidP="001C19F3">
      <w:pPr>
        <w:spacing w:after="0"/>
        <w:textAlignment w:val="baseline"/>
        <w:rPr>
          <w:rFonts w:eastAsia="Times New Roman" w:cs="Segoe UI"/>
          <w:szCs w:val="20"/>
          <w:lang w:eastAsia="en-AU"/>
        </w:rPr>
      </w:pPr>
    </w:p>
    <w:p w14:paraId="5BC63A13" w14:textId="77777777" w:rsidR="001C19F3" w:rsidRPr="007B6DF7" w:rsidRDefault="001C19F3" w:rsidP="001C19F3">
      <w:pPr>
        <w:keepNext/>
        <w:keepLines/>
        <w:spacing w:line="240" w:lineRule="auto"/>
        <w:outlineLvl w:val="1"/>
        <w:rPr>
          <w:rFonts w:eastAsia="Times New Roman" w:cstheme="majorBidi"/>
          <w:color w:val="003D79"/>
          <w:sz w:val="40"/>
          <w:szCs w:val="26"/>
          <w:lang w:eastAsia="en-AU"/>
        </w:rPr>
      </w:pPr>
      <w:r>
        <w:rPr>
          <w:rFonts w:eastAsia="Times New Roman" w:cstheme="majorBidi"/>
          <w:color w:val="003D79"/>
          <w:sz w:val="40"/>
          <w:szCs w:val="26"/>
          <w:lang w:eastAsia="en-AU"/>
        </w:rPr>
        <w:t xml:space="preserve">Patient suggestions for </w:t>
      </w:r>
      <w:r w:rsidRPr="007B6DF7">
        <w:rPr>
          <w:rFonts w:eastAsia="Times New Roman" w:cstheme="majorBidi"/>
          <w:color w:val="003D79"/>
          <w:sz w:val="40"/>
          <w:szCs w:val="26"/>
          <w:lang w:eastAsia="en-AU"/>
        </w:rPr>
        <w:t>HCH</w:t>
      </w:r>
    </w:p>
    <w:p w14:paraId="5EAED885" w14:textId="77777777" w:rsidR="001C19F3" w:rsidRPr="007B6DF7" w:rsidRDefault="001C19F3" w:rsidP="001C19F3">
      <w:pPr>
        <w:textAlignment w:val="baseline"/>
        <w:rPr>
          <w:rFonts w:eastAsia="Times New Roman" w:cs="Segoe UI"/>
          <w:szCs w:val="20"/>
          <w:lang w:eastAsia="en-AU"/>
        </w:rPr>
      </w:pPr>
      <w:bookmarkStart w:id="384" w:name="_Hlk21191323"/>
      <w:r w:rsidRPr="007B6DF7">
        <w:rPr>
          <w:rFonts w:eastAsia="Times New Roman" w:cs="Segoe UI"/>
          <w:szCs w:val="20"/>
          <w:lang w:eastAsia="en-AU"/>
        </w:rPr>
        <w:t>Most patients interviewed recommended that other individuals join HCH</w:t>
      </w:r>
      <w:r>
        <w:rPr>
          <w:rFonts w:eastAsia="Times New Roman" w:cs="Segoe UI"/>
          <w:szCs w:val="20"/>
          <w:lang w:eastAsia="en-AU"/>
        </w:rPr>
        <w:t xml:space="preserve"> due to better information about their condition, more seamless care within the practice amongst other reasons</w:t>
      </w:r>
      <w:r w:rsidRPr="007B6DF7">
        <w:rPr>
          <w:rFonts w:eastAsia="Times New Roman" w:cs="Segoe UI"/>
          <w:szCs w:val="20"/>
          <w:lang w:eastAsia="en-AU"/>
        </w:rPr>
        <w:t>:</w:t>
      </w:r>
    </w:p>
    <w:bookmarkEnd w:id="384"/>
    <w:p w14:paraId="74B55C8D" w14:textId="77777777" w:rsidR="001C19F3" w:rsidRPr="007B6DF7" w:rsidRDefault="001C19F3" w:rsidP="001C19F3">
      <w:pPr>
        <w:ind w:left="567" w:right="1088"/>
        <w:rPr>
          <w:rFonts w:eastAsia="Times New Roman" w:cs="Segoe UI"/>
          <w:szCs w:val="20"/>
          <w:lang w:eastAsia="en-AU"/>
        </w:rPr>
      </w:pPr>
      <w:r w:rsidRPr="007B6DF7">
        <w:rPr>
          <w:rFonts w:eastAsia="Times New Roman" w:cs="Segoe UI"/>
          <w:i/>
          <w:szCs w:val="20"/>
          <w:lang w:eastAsia="en-AU"/>
        </w:rPr>
        <w:t>“I’d recommend it, no trouble at all…I think the more informed you are about…the conditions you’ve got, if you’ve got a chronic condition, the more informed you are, the better off you are.”</w:t>
      </w:r>
      <w:r w:rsidRPr="007B6DF7">
        <w:rPr>
          <w:rFonts w:eastAsia="Times New Roman" w:cs="Segoe UI"/>
          <w:szCs w:val="20"/>
          <w:lang w:eastAsia="en-AU"/>
        </w:rPr>
        <w:t xml:space="preserve"> [Patient 1, Practice 18</w:t>
      </w:r>
      <w:r>
        <w:rPr>
          <w:rFonts w:eastAsia="Times New Roman" w:cs="Segoe UI"/>
          <w:szCs w:val="20"/>
          <w:lang w:eastAsia="en-AU"/>
        </w:rPr>
        <w:t>, interview, R2]</w:t>
      </w:r>
    </w:p>
    <w:p w14:paraId="6CAC7F30" w14:textId="77777777" w:rsidR="001C19F3" w:rsidRDefault="001C19F3" w:rsidP="001C19F3">
      <w:pPr>
        <w:ind w:left="567" w:right="1088"/>
        <w:rPr>
          <w:rFonts w:eastAsia="Times New Roman" w:cs="Segoe UI"/>
          <w:szCs w:val="20"/>
          <w:lang w:eastAsia="en-AU"/>
        </w:rPr>
      </w:pPr>
      <w:r w:rsidRPr="007B6DF7">
        <w:rPr>
          <w:rFonts w:eastAsia="Times New Roman" w:cs="Segoe UI"/>
          <w:i/>
          <w:szCs w:val="20"/>
          <w:lang w:eastAsia="en-AU"/>
        </w:rPr>
        <w:t xml:space="preserve">“…I think, that's what makes it so easy now. Because before there might have been…just the doctor and maybe one or two of the nurses. But it's now at the point where, even if </w:t>
      </w:r>
      <w:r w:rsidRPr="00721857">
        <w:rPr>
          <w:rFonts w:eastAsia="Times New Roman" w:cs="Segoe UI"/>
          <w:szCs w:val="20"/>
          <w:lang w:eastAsia="en-AU"/>
        </w:rPr>
        <w:t>[the patient]</w:t>
      </w:r>
      <w:r w:rsidRPr="007B6DF7">
        <w:rPr>
          <w:rFonts w:eastAsia="Times New Roman" w:cs="Segoe UI"/>
          <w:i/>
          <w:szCs w:val="20"/>
          <w:lang w:eastAsia="en-AU"/>
        </w:rPr>
        <w:t xml:space="preserve"> can't see his regular doctor, he has to see someone else, they all pretty much know now, you know, </w:t>
      </w:r>
      <w:r w:rsidRPr="009B75E1">
        <w:rPr>
          <w:rFonts w:eastAsia="Times New Roman" w:cs="Segoe UI"/>
          <w:szCs w:val="20"/>
          <w:lang w:eastAsia="en-AU"/>
        </w:rPr>
        <w:t>[the patient</w:t>
      </w:r>
      <w:r>
        <w:rPr>
          <w:rFonts w:eastAsia="Times New Roman" w:cs="Segoe UI"/>
          <w:szCs w:val="20"/>
          <w:lang w:eastAsia="en-AU"/>
        </w:rPr>
        <w:t>’s</w:t>
      </w:r>
      <w:r w:rsidRPr="009B75E1">
        <w:rPr>
          <w:rFonts w:eastAsia="Times New Roman" w:cs="Segoe UI"/>
          <w:szCs w:val="20"/>
          <w:lang w:eastAsia="en-AU"/>
        </w:rPr>
        <w:t>]</w:t>
      </w:r>
      <w:r w:rsidRPr="007B6DF7">
        <w:rPr>
          <w:rFonts w:eastAsia="Times New Roman" w:cs="Segoe UI"/>
          <w:i/>
          <w:szCs w:val="20"/>
          <w:lang w:eastAsia="en-AU"/>
        </w:rPr>
        <w:t xml:space="preserve"> situation, because it's clearly up on their computer…”</w:t>
      </w:r>
      <w:r w:rsidRPr="007B6DF7">
        <w:rPr>
          <w:rFonts w:eastAsia="Times New Roman" w:cs="Segoe UI"/>
          <w:szCs w:val="20"/>
          <w:lang w:eastAsia="en-AU"/>
        </w:rPr>
        <w:t xml:space="preserve"> [Carer, Practice 4</w:t>
      </w:r>
      <w:r>
        <w:rPr>
          <w:rFonts w:eastAsia="Times New Roman" w:cs="Segoe UI"/>
          <w:szCs w:val="20"/>
          <w:lang w:eastAsia="en-AU"/>
        </w:rPr>
        <w:t>, interview, R2]</w:t>
      </w:r>
    </w:p>
    <w:p w14:paraId="309838EB" w14:textId="77777777" w:rsidR="001C19F3" w:rsidRPr="005114ED" w:rsidRDefault="001C19F3" w:rsidP="001C19F3">
      <w:pPr>
        <w:ind w:right="1088"/>
        <w:rPr>
          <w:rFonts w:eastAsia="Times New Roman" w:cs="Segoe UI"/>
          <w:iCs/>
          <w:szCs w:val="20"/>
          <w:lang w:eastAsia="en-AU"/>
        </w:rPr>
      </w:pPr>
      <w:bookmarkStart w:id="385" w:name="_Hlk21191316"/>
      <w:r>
        <w:rPr>
          <w:rFonts w:eastAsia="Times New Roman" w:cs="Segoe UI"/>
          <w:iCs/>
          <w:szCs w:val="20"/>
          <w:lang w:eastAsia="en-AU"/>
        </w:rPr>
        <w:t>One patient commented that it is too early to say whether HCH is the right model, but that the program suffers from lack of awareness:</w:t>
      </w:r>
    </w:p>
    <w:bookmarkEnd w:id="385"/>
    <w:p w14:paraId="5ACC592D" w14:textId="77777777" w:rsidR="001C19F3" w:rsidRDefault="001C19F3" w:rsidP="001C19F3">
      <w:pPr>
        <w:ind w:left="567" w:right="1088"/>
        <w:rPr>
          <w:szCs w:val="20"/>
        </w:rPr>
      </w:pPr>
      <w:r w:rsidRPr="007B6DF7">
        <w:rPr>
          <w:i/>
          <w:szCs w:val="20"/>
        </w:rPr>
        <w:t>“I tell everyone. No-one knows. I don’t know how many people with disabilities are using the service, but I don’t know a single other person that even knows about Health</w:t>
      </w:r>
      <w:r>
        <w:rPr>
          <w:i/>
          <w:szCs w:val="20"/>
        </w:rPr>
        <w:t xml:space="preserve"> C</w:t>
      </w:r>
      <w:r w:rsidRPr="007B6DF7">
        <w:rPr>
          <w:i/>
          <w:szCs w:val="20"/>
        </w:rPr>
        <w:t>are Homes. And they’re like, what is that? I’m like, well, it’s this really great… And again, I don’t really know if it‘s the right model for long-term, because it’s only the beginning but we just need someone to pull it together, that’s the key message. Whether this is it, I don’t know…it might need tightening up a bit.”</w:t>
      </w:r>
      <w:r w:rsidRPr="007B6DF7">
        <w:rPr>
          <w:szCs w:val="20"/>
        </w:rPr>
        <w:t xml:space="preserve"> [Carer, Practice 5</w:t>
      </w:r>
      <w:r>
        <w:rPr>
          <w:szCs w:val="20"/>
        </w:rPr>
        <w:t>, interview, R2]</w:t>
      </w:r>
    </w:p>
    <w:p w14:paraId="6C85E9F6" w14:textId="77777777" w:rsidR="001C19F3" w:rsidRPr="005114ED" w:rsidRDefault="001C19F3" w:rsidP="001C19F3">
      <w:pPr>
        <w:ind w:right="1088"/>
        <w:rPr>
          <w:rFonts w:eastAsia="Times New Roman" w:cs="Segoe UI"/>
          <w:iCs/>
          <w:szCs w:val="20"/>
          <w:lang w:eastAsia="en-AU"/>
        </w:rPr>
      </w:pPr>
      <w:r>
        <w:rPr>
          <w:rFonts w:eastAsia="Times New Roman" w:cs="Segoe UI"/>
          <w:iCs/>
          <w:szCs w:val="20"/>
          <w:lang w:eastAsia="en-AU"/>
        </w:rPr>
        <w:lastRenderedPageBreak/>
        <w:t>Some patients and carers were concerned about the continuity of the program:</w:t>
      </w:r>
    </w:p>
    <w:p w14:paraId="686D81AB" w14:textId="77777777" w:rsidR="001C19F3" w:rsidRPr="00381B3F" w:rsidRDefault="001C19F3" w:rsidP="001C19F3">
      <w:pPr>
        <w:ind w:left="567" w:right="1088"/>
        <w:sectPr w:rsidR="001C19F3" w:rsidRPr="00381B3F" w:rsidSect="001C5D9E">
          <w:headerReference w:type="first" r:id="rId73"/>
          <w:pgSz w:w="11906" w:h="16838"/>
          <w:pgMar w:top="1440" w:right="1440" w:bottom="1440" w:left="1440" w:header="708" w:footer="708" w:gutter="0"/>
          <w:cols w:space="708"/>
          <w:titlePg/>
          <w:docGrid w:linePitch="360"/>
        </w:sectPr>
      </w:pPr>
      <w:r w:rsidRPr="007B6DF7">
        <w:rPr>
          <w:i/>
          <w:szCs w:val="20"/>
        </w:rPr>
        <w:t>“Yes. I’ve thought about it and it can be good if it keeps going. That’s what I thought, I hope they’re not going to pull the rug from under us because I see it can be good, especially with…having a disabled son.”</w:t>
      </w:r>
      <w:r w:rsidRPr="007B6DF7">
        <w:rPr>
          <w:szCs w:val="20"/>
        </w:rPr>
        <w:t xml:space="preserve"> [Patient 1 &amp; Carer, Practice 6</w:t>
      </w:r>
      <w:r>
        <w:rPr>
          <w:szCs w:val="20"/>
        </w:rPr>
        <w:t>, interview, R2]</w:t>
      </w:r>
    </w:p>
    <w:p w14:paraId="4C146E56" w14:textId="77777777" w:rsidR="001C19F3" w:rsidRDefault="001C19F3" w:rsidP="001C19F3">
      <w:pPr>
        <w:pStyle w:val="Heading1withnumber"/>
        <w:ind w:left="0" w:hanging="1134"/>
      </w:pPr>
      <w:bookmarkStart w:id="386" w:name="_Toc27056582"/>
      <w:r>
        <w:lastRenderedPageBreak/>
        <w:t>Conclusion</w:t>
      </w:r>
      <w:bookmarkEnd w:id="386"/>
    </w:p>
    <w:p w14:paraId="46D9C4B0" w14:textId="77777777" w:rsidR="001C19F3" w:rsidRPr="00DA3AA4" w:rsidRDefault="001C19F3" w:rsidP="001C19F3">
      <w:pPr>
        <w:pStyle w:val="Heading2"/>
        <w:rPr>
          <w:rFonts w:eastAsia="Times New Roman"/>
          <w:lang w:eastAsia="en-AU"/>
        </w:rPr>
      </w:pPr>
      <w:bookmarkStart w:id="387" w:name="_Toc27056583"/>
      <w:r>
        <w:rPr>
          <w:rFonts w:eastAsia="Times New Roman"/>
          <w:lang w:eastAsia="en-AU"/>
        </w:rPr>
        <w:t>General findings</w:t>
      </w:r>
      <w:bookmarkEnd w:id="387"/>
    </w:p>
    <w:p w14:paraId="2B5B7FE9" w14:textId="77777777" w:rsidR="001C19F3" w:rsidRPr="008038B9" w:rsidRDefault="001C19F3" w:rsidP="001C19F3">
      <w:bookmarkStart w:id="388" w:name="_Hlk22562147"/>
      <w:r>
        <w:t xml:space="preserve">The HCH program went ‘live’ in late 2017, when practices who had formally signed up to the program could enrol patients. Most practices were slow doing this, and it wasn’t until June 2019 that they ramped it up as the deadline for enrolments (end of 2018) got closer. When an extension of the program was announced – in December 2018 – </w:t>
      </w:r>
      <w:r w:rsidRPr="008038B9">
        <w:t>enrolments continued to increase steadily through to the end of the revised deadline (mid-2019).</w:t>
      </w:r>
    </w:p>
    <w:p w14:paraId="7046DDAA" w14:textId="77777777" w:rsidR="001C19F3" w:rsidRPr="008038B9" w:rsidRDefault="001C19F3" w:rsidP="001C19F3">
      <w:r w:rsidRPr="008038B9">
        <w:t xml:space="preserve">Many practices were slow in enrolling patients initially as they hadn’t yet worked out what they were offering as an HCH. They struggled to articulate the value proposition for patients specifically for their practice. This was sometimes because they thought that they were already providing good quality care and/ or their approach was consistent with the HCH model. Another issue for GPs in particular was their perception that their patients expected to see them, and thus they were reluctant to delegate tasks to other staff. </w:t>
      </w:r>
    </w:p>
    <w:p w14:paraId="69B2C2A8" w14:textId="77777777" w:rsidR="001C19F3" w:rsidRPr="008038B9" w:rsidRDefault="001C19F3" w:rsidP="001C19F3">
      <w:r w:rsidRPr="008038B9">
        <w:t>Patients that were approached to enrol in HCH had concerns around the security and confidentiality of their personal and medical information, in particular, the requirement to have a My Health Record. This requirement was lifted in the latter part of the 2018. Sometimes patients were confused explanation of HCH provided by about practice staff. They were also concerned that being in HCH might impact their relationship with their doctor. Though most who took it up did so because their doctor, whom they trust, suggested it.</w:t>
      </w:r>
    </w:p>
    <w:p w14:paraId="09E2A9A3" w14:textId="77777777" w:rsidR="001C19F3" w:rsidRPr="008038B9" w:rsidRDefault="001C19F3" w:rsidP="001C19F3">
      <w:r w:rsidRPr="008038B9">
        <w:t>For most practices, enrolling patients took time.</w:t>
      </w:r>
    </w:p>
    <w:p w14:paraId="57927654" w14:textId="77777777" w:rsidR="001C19F3" w:rsidRPr="008038B9" w:rsidRDefault="001C19F3" w:rsidP="001C19F3">
      <w:r w:rsidRPr="008038B9">
        <w:t>Parallel to enrolling patients, practices were working out what they were going to do as an HCH. In doing this, they had access to program information, training resources and facilitators based in the PHNs. In using these resources practice staff struggled with time: program information (e.g. practice handbooks) was difficult to digest, the training resources were lengthy and sometimes unsuitable for individual staff’s needs, and they had to find time to spend with PHN practice facilitators. To reduce overwhelm, PHN practice facilitators produced more accessible resources and presented information only when practices needed it and/ or were ready for it. Change leaders, peer-to-peer engagement and sequencing change were key enablers for practices transitioning to an HCH.</w:t>
      </w:r>
    </w:p>
    <w:p w14:paraId="28D2637C" w14:textId="77777777" w:rsidR="001C19F3" w:rsidRPr="008038B9" w:rsidRDefault="001C19F3" w:rsidP="001C19F3">
      <w:r w:rsidRPr="008038B9">
        <w:t>Practices identified teamwork and delegation, more regular follow-up with patients and enhanced access for patients as key initiatives that they were focusing on as an HCH.</w:t>
      </w:r>
    </w:p>
    <w:p w14:paraId="2A3F6643" w14:textId="77777777" w:rsidR="001C19F3" w:rsidRPr="008038B9" w:rsidRDefault="001C19F3" w:rsidP="001C19F3">
      <w:pPr>
        <w:rPr>
          <w:rFonts w:eastAsia="Times New Roman"/>
          <w:iCs/>
          <w:szCs w:val="20"/>
        </w:rPr>
      </w:pPr>
      <w:r w:rsidRPr="008038B9">
        <w:rPr>
          <w:rFonts w:eastAsia="Times New Roman"/>
          <w:iCs/>
          <w:szCs w:val="20"/>
        </w:rPr>
        <w:t xml:space="preserve">However, there were practices that were yet to make changes. Low enrolments affected practices’ ability to make any significant changes, as did other barriers such as lack of GP-engagement and physical space. </w:t>
      </w:r>
    </w:p>
    <w:p w14:paraId="5D42E67D" w14:textId="77777777" w:rsidR="001C19F3" w:rsidRPr="008038B9" w:rsidRDefault="001C19F3" w:rsidP="001C19F3">
      <w:pPr>
        <w:rPr>
          <w:rFonts w:eastAsia="Times New Roman"/>
          <w:iCs/>
          <w:szCs w:val="20"/>
        </w:rPr>
      </w:pPr>
      <w:r w:rsidRPr="008038B9">
        <w:rPr>
          <w:rFonts w:eastAsia="Times New Roman"/>
          <w:iCs/>
          <w:szCs w:val="20"/>
        </w:rPr>
        <w:t xml:space="preserve">Practices that had made changes reported that the program was already impacting positively internally (improved processes of care and increased staff satisfaction) and on their patients. Where patients noticed differences to their care since joining HCH, it was mainly being able to contact a nurse via phone or email with any questions or for a repeat </w:t>
      </w:r>
      <w:r w:rsidRPr="008038B9">
        <w:rPr>
          <w:rFonts w:eastAsia="Times New Roman"/>
          <w:iCs/>
          <w:szCs w:val="20"/>
        </w:rPr>
        <w:lastRenderedPageBreak/>
        <w:t>prescription. Patients also reported follow up by the practice by phone or email to check in or remind them about upcoming appointments.</w:t>
      </w:r>
    </w:p>
    <w:p w14:paraId="6A91348E"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Some practices established groups on specific health issues. Patients not only reported positive experiences with these groups in relation to their health issue, they also noticed positive changes emotionally due to the social aspect.</w:t>
      </w:r>
    </w:p>
    <w:p w14:paraId="5F9A220C"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The HCH model provides the opportunity for GPs to delegate responsibilities to other team members. As mentioned earlier, this was an issue for some GPs who were reluctant to share responsibility for the care of their patients with others. Time to foster teamwork and develop trust will potentially help, as GPs that were comfortable delegating had been exposed to HCH-like models in other countries. Some GPs recognised that the HCH model can take pressure off them.</w:t>
      </w:r>
    </w:p>
    <w:p w14:paraId="371906DE"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In some instances practices introduced new roles as part of HCH. These included a dedicated nurse for HCH patients and medical practice assistants. There were financial barriers for other practices in doing this and in some instances they problems with recruiting and holding on to staff.</w:t>
      </w:r>
    </w:p>
    <w:p w14:paraId="56294AB0"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 xml:space="preserve">The Community Pharmacy program was introduced in the HCH trial in August 2018. It is too early to draw any conclusions about the initiative, but in mid-2019, just under 500 patients had been referred to community pharmacists by their HCH, and just less than a third had already had a second review by the pharmacist. </w:t>
      </w:r>
    </w:p>
    <w:p w14:paraId="09232C31"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 xml:space="preserve">Other key components of the HCH program are risk stratification, shared care planning and the bundled payment. </w:t>
      </w:r>
    </w:p>
    <w:p w14:paraId="2562F6A5"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The RST commissioned by the Department of Health for the program was initially one of the biggest challenges for practices in their implementation of HCH. Technical issues were a major cause of practices withdrawing, and continued for many of the practices that remained. There were also concerns about the validity of the tool. However, GPs could override the tool to select patients that they thought would benefit from the program, and they did so for about a third of the patients selected. Training in the tool (particularly in the assessment that formed the second part of the risk stratification process) and in the meaning of the tiers were identified as priorities for future rollout of the program.</w:t>
      </w:r>
    </w:p>
    <w:p w14:paraId="609CDD2C"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Practice had until the end of 2018 to implement an electronic shared care planning tool. Practices reported initial issues in implementing a tool, which were subsequently resolved, but problems with the usability continued. Another concern for both practices and PHNs was the potential lack of compatibility of tools used by providers within any one region, threatening the goal of improved coordination.</w:t>
      </w:r>
    </w:p>
    <w:p w14:paraId="7CDDDAE4"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The bundled payment was also a focus for many practices in the early stages of implementation. It was both what attracted practices to join the program and a reason that they withdrew. The latter was due to issues with working out tax and how to share the payment within the practice, and the perception that individual GPs had about the payment approach.</w:t>
      </w:r>
    </w:p>
    <w:p w14:paraId="66234AF9" w14:textId="77777777" w:rsidR="001C19F3" w:rsidRPr="008038B9" w:rsidRDefault="001C19F3" w:rsidP="001C19F3">
      <w:pPr>
        <w:rPr>
          <w:rFonts w:eastAsia="Times New Roman" w:cs="Segoe UI"/>
          <w:szCs w:val="20"/>
          <w:lang w:eastAsia="en-AU"/>
        </w:rPr>
      </w:pPr>
      <w:r w:rsidRPr="008038B9">
        <w:rPr>
          <w:rFonts w:eastAsia="Times New Roman" w:cs="Segoe UI"/>
          <w:szCs w:val="20"/>
          <w:lang w:eastAsia="en-AU"/>
        </w:rPr>
        <w:t>The financial impact of the bundled payment compared with fee-for-service has been a concern for practices more generally. Many reported comparing the two. Some practices deliberately only enrolled a small number of patients to do so, but it is too early to tell.</w:t>
      </w:r>
    </w:p>
    <w:p w14:paraId="73000CE5" w14:textId="77777777" w:rsidR="001C19F3" w:rsidRDefault="001C19F3" w:rsidP="001C19F3">
      <w:r w:rsidRPr="0069221A">
        <w:rPr>
          <w:rFonts w:eastAsia="Times New Roman" w:cs="Segoe UI"/>
          <w:szCs w:val="20"/>
          <w:lang w:eastAsia="en-AU"/>
        </w:rPr>
        <w:lastRenderedPageBreak/>
        <w:t>Overall, it has been important for Australia to trial HCH. The implementation of the program has identified many areas that need greater attention in a wider rollout. It has also shown that HCH could not have been mandated – not as a concept and definitely not as a formula for how practices should do it; practices have needed to experience it for themselves or learn from others. So far it is acceptable and resulting in positive experiences for practices that have persevered and for their patients</w:t>
      </w:r>
      <w:r w:rsidRPr="004A3E38">
        <w:rPr>
          <w:rFonts w:eastAsia="Times New Roman" w:cs="Segoe UI"/>
          <w:szCs w:val="20"/>
          <w:lang w:eastAsia="en-AU"/>
        </w:rPr>
        <w:t>.</w:t>
      </w:r>
    </w:p>
    <w:p w14:paraId="63FB903F" w14:textId="77777777" w:rsidR="001C19F3" w:rsidRPr="00DA3AA4" w:rsidRDefault="001C19F3" w:rsidP="001C19F3">
      <w:pPr>
        <w:pStyle w:val="Heading2"/>
        <w:rPr>
          <w:rFonts w:eastAsia="Times New Roman"/>
          <w:lang w:eastAsia="en-AU"/>
        </w:rPr>
      </w:pPr>
      <w:bookmarkStart w:id="389" w:name="_Toc27056584"/>
      <w:bookmarkEnd w:id="388"/>
      <w:r>
        <w:rPr>
          <w:rFonts w:eastAsia="Times New Roman"/>
          <w:lang w:eastAsia="en-AU"/>
        </w:rPr>
        <w:t>Emerging l</w:t>
      </w:r>
      <w:r w:rsidRPr="00DA3AA4">
        <w:rPr>
          <w:rFonts w:eastAsia="Times New Roman"/>
          <w:lang w:eastAsia="en-AU"/>
        </w:rPr>
        <w:t>essons</w:t>
      </w:r>
      <w:bookmarkEnd w:id="389"/>
    </w:p>
    <w:p w14:paraId="44D99FD2" w14:textId="77777777" w:rsidR="001C19F3" w:rsidRDefault="001C19F3" w:rsidP="001C19F3">
      <w:r>
        <w:t>While the evaluation and the program are still in progress, lesson are emerging in several areas. These are summarised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1C19F3" w:rsidRPr="00F16202" w14:paraId="3BC6E6E3" w14:textId="77777777" w:rsidTr="00521305">
        <w:tc>
          <w:tcPr>
            <w:tcW w:w="9016" w:type="dxa"/>
            <w:shd w:val="clear" w:color="auto" w:fill="F2F2F2" w:themeFill="background1" w:themeFillShade="F2"/>
          </w:tcPr>
          <w:p w14:paraId="6BD51A72" w14:textId="77777777" w:rsidR="001C19F3" w:rsidRPr="00431C7C" w:rsidRDefault="001C19F3" w:rsidP="00521305">
            <w:pPr>
              <w:jc w:val="center"/>
              <w:rPr>
                <w:b/>
                <w:sz w:val="18"/>
                <w:szCs w:val="18"/>
              </w:rPr>
            </w:pPr>
            <w:r w:rsidRPr="00431C7C">
              <w:rPr>
                <w:b/>
                <w:sz w:val="18"/>
                <w:szCs w:val="18"/>
              </w:rPr>
              <w:t>Emerging lessons</w:t>
            </w:r>
          </w:p>
          <w:p w14:paraId="69647B7A" w14:textId="77777777" w:rsidR="001C19F3" w:rsidRPr="00431C7C" w:rsidRDefault="001C19F3" w:rsidP="00521305">
            <w:pPr>
              <w:rPr>
                <w:b/>
                <w:sz w:val="18"/>
                <w:szCs w:val="18"/>
              </w:rPr>
            </w:pPr>
            <w:r w:rsidRPr="00431C7C">
              <w:rPr>
                <w:b/>
                <w:sz w:val="18"/>
                <w:szCs w:val="18"/>
              </w:rPr>
              <w:t>Overall implementation</w:t>
            </w:r>
          </w:p>
          <w:p w14:paraId="4EE1DF18"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For complex programs such as HCH, allow sufficient time for implementation.</w:t>
            </w:r>
          </w:p>
          <w:p w14:paraId="4A388B83" w14:textId="77777777" w:rsidR="001C19F3" w:rsidRPr="00431C7C" w:rsidRDefault="001C19F3" w:rsidP="00521305">
            <w:pPr>
              <w:rPr>
                <w:b/>
                <w:sz w:val="18"/>
                <w:szCs w:val="18"/>
              </w:rPr>
            </w:pPr>
            <w:r w:rsidRPr="00431C7C">
              <w:rPr>
                <w:b/>
                <w:sz w:val="18"/>
                <w:szCs w:val="18"/>
              </w:rPr>
              <w:t>Practice set-up</w:t>
            </w:r>
          </w:p>
          <w:p w14:paraId="764CFABA"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For programs such as HCH, allow time for practices to prepare for practice change prior to enrolling patients</w:t>
            </w:r>
          </w:p>
          <w:p w14:paraId="023B9F1F" w14:textId="77777777" w:rsidR="001C19F3" w:rsidRPr="00431C7C" w:rsidRDefault="001C19F3" w:rsidP="00521305">
            <w:pPr>
              <w:rPr>
                <w:b/>
                <w:sz w:val="18"/>
                <w:szCs w:val="18"/>
              </w:rPr>
            </w:pPr>
            <w:r w:rsidRPr="00431C7C">
              <w:rPr>
                <w:b/>
                <w:sz w:val="18"/>
                <w:szCs w:val="18"/>
              </w:rPr>
              <w:t>Patient enrolment</w:t>
            </w:r>
          </w:p>
          <w:p w14:paraId="44540AF4"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Exploit multiple avenues to build patient awareness of programs such as HCH, including the benefits.</w:t>
            </w:r>
          </w:p>
          <w:p w14:paraId="6735104D"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Provide additional practical guidance to practices on how to communicate the benefits of programs such as HCH succinctly to patients and their carers/ families.</w:t>
            </w:r>
          </w:p>
          <w:p w14:paraId="79BF4CC2"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In future, for programs such as HCH, allow sufficient time to implement processes for enrolling patients.</w:t>
            </w:r>
          </w:p>
          <w:p w14:paraId="3AF0B92B"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Streamline enrolment processes, whereby relevant information is recorded once and used for multiple purposes. In the HCH program this included registration with the Department of Human Services, flagging enrolled patients within the clinical management software, risk stratification, shared care planning and evaluation.</w:t>
            </w:r>
          </w:p>
          <w:p w14:paraId="3FFC88DA" w14:textId="77777777" w:rsidR="001C19F3" w:rsidRPr="00431C7C" w:rsidRDefault="001C19F3" w:rsidP="00521305">
            <w:pPr>
              <w:rPr>
                <w:b/>
                <w:spacing w:val="-1"/>
                <w:sz w:val="18"/>
                <w:szCs w:val="18"/>
              </w:rPr>
            </w:pPr>
            <w:r w:rsidRPr="00431C7C">
              <w:rPr>
                <w:b/>
                <w:spacing w:val="-1"/>
                <w:sz w:val="18"/>
                <w:szCs w:val="18"/>
              </w:rPr>
              <w:t>Changes within practices</w:t>
            </w:r>
          </w:p>
          <w:p w14:paraId="561AF20E"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Use peer-to-peer approaches to raise awareness of initiatives such as HCH amongst GPs.</w:t>
            </w:r>
          </w:p>
          <w:p w14:paraId="62C4DB46"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Practices to identify key people to facilitate the change process. A team comprising a GP, a nurse and a practice manager is potentially most effective. Members of this team should be trained and have protected time to plan as a team.</w:t>
            </w:r>
          </w:p>
          <w:p w14:paraId="351D049E"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Create more opportunities for peer-to-peer engagement of clinicians involved in implementation.</w:t>
            </w:r>
          </w:p>
          <w:p w14:paraId="3546E25D" w14:textId="77777777" w:rsidR="001C19F3" w:rsidRPr="00431C7C" w:rsidRDefault="001C19F3" w:rsidP="00521305">
            <w:pPr>
              <w:rPr>
                <w:b/>
                <w:spacing w:val="-1"/>
                <w:sz w:val="18"/>
                <w:szCs w:val="18"/>
              </w:rPr>
            </w:pPr>
            <w:r w:rsidRPr="00431C7C">
              <w:rPr>
                <w:b/>
                <w:spacing w:val="-1"/>
                <w:sz w:val="18"/>
                <w:szCs w:val="18"/>
              </w:rPr>
              <w:t>Patient experience</w:t>
            </w:r>
          </w:p>
          <w:p w14:paraId="7B66CFC4"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Develop succinct messages that communicate the benefits of the initiative to the patient and address their concerns.</w:t>
            </w:r>
          </w:p>
          <w:p w14:paraId="323D8512"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Use multiple avenues to communicate these messages to patients, their families and careers, and the broader community.</w:t>
            </w:r>
          </w:p>
          <w:p w14:paraId="7D26C88B"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Develop the capacity of practices to engage with patients, families and carers in designing and implementing change.</w:t>
            </w:r>
          </w:p>
          <w:p w14:paraId="53E887DD"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lastRenderedPageBreak/>
              <w:t>Patients, families and carers need time to build confidence in a wider primary care team.</w:t>
            </w:r>
          </w:p>
          <w:p w14:paraId="1AB0FD6F" w14:textId="77777777" w:rsidR="001C19F3" w:rsidRPr="00431C7C" w:rsidRDefault="001C19F3" w:rsidP="00521305">
            <w:pPr>
              <w:rPr>
                <w:b/>
                <w:spacing w:val="-12"/>
                <w:sz w:val="18"/>
                <w:szCs w:val="18"/>
              </w:rPr>
            </w:pPr>
            <w:r w:rsidRPr="00431C7C">
              <w:rPr>
                <w:b/>
                <w:spacing w:val="-1"/>
                <w:sz w:val="18"/>
                <w:szCs w:val="18"/>
              </w:rPr>
              <w:t>Practice facilitation</w:t>
            </w:r>
          </w:p>
          <w:p w14:paraId="12F73E21"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External practice facilitation is valuable for practices to achieve the level of transformation needed to operate as an HCH.</w:t>
            </w:r>
          </w:p>
          <w:p w14:paraId="3217314F"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Rapport and trust between the practice facilitator and practice staff are foundations for practice facilitation.</w:t>
            </w:r>
          </w:p>
          <w:p w14:paraId="3ECB7BD1"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A key to facilitation is assessing each practice’s readiness, culture, and environment, and tailoring changes to the unique needs of the practice.</w:t>
            </w:r>
          </w:p>
          <w:p w14:paraId="1F59CBC8" w14:textId="77777777" w:rsidR="001C19F3" w:rsidRPr="00431C7C" w:rsidRDefault="001C19F3" w:rsidP="00521305">
            <w:pPr>
              <w:spacing w:after="160" w:line="259" w:lineRule="auto"/>
              <w:rPr>
                <w:b/>
                <w:sz w:val="18"/>
                <w:szCs w:val="18"/>
              </w:rPr>
            </w:pPr>
            <w:r w:rsidRPr="00431C7C">
              <w:rPr>
                <w:b/>
                <w:sz w:val="18"/>
                <w:szCs w:val="18"/>
              </w:rPr>
              <w:t>Training</w:t>
            </w:r>
          </w:p>
          <w:p w14:paraId="52EB7CBD"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Shorten and sharpen training materials: identify opportunities to reduce their length, reduce repetition, make them more practical, and subset them further so that staff can focus on segments based on their level of knowledge and their role.</w:t>
            </w:r>
          </w:p>
          <w:p w14:paraId="2F1D4AA2" w14:textId="77777777" w:rsidR="001C19F3" w:rsidRPr="00431C7C" w:rsidRDefault="001C19F3" w:rsidP="00521305">
            <w:pPr>
              <w:rPr>
                <w:b/>
                <w:sz w:val="18"/>
                <w:szCs w:val="18"/>
              </w:rPr>
            </w:pPr>
            <w:r w:rsidRPr="00431C7C">
              <w:rPr>
                <w:b/>
                <w:sz w:val="18"/>
                <w:szCs w:val="18"/>
              </w:rPr>
              <w:t>Risk stratification and shared care planning</w:t>
            </w:r>
          </w:p>
          <w:p w14:paraId="11C4F8E1"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Allow time for developing and implementing new information technology.</w:t>
            </w:r>
          </w:p>
          <w:p w14:paraId="4C8C82EA"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Explore opportunities for better integration of functionality (e.g. risk stratification and shared care planning) within practice management software.</w:t>
            </w:r>
          </w:p>
          <w:p w14:paraId="4587272B"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Invest in understanding how new technology will integrate into clinical processes and use these lessons to enhance tools.</w:t>
            </w:r>
          </w:p>
          <w:p w14:paraId="6CF6867E"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Develop further training for clinicians in risk stratification tools, including improving their understanding of how the tools work and how they should be interpreted for consistent application.</w:t>
            </w:r>
          </w:p>
          <w:p w14:paraId="489282DD"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Use quantitative and qualitative findings from the HCH evaluation to improve the current RST.</w:t>
            </w:r>
          </w:p>
          <w:p w14:paraId="37B33220"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In promoting shared care planning, consider how solutions will be taken up by health care providers across a region.</w:t>
            </w:r>
          </w:p>
          <w:p w14:paraId="7096C74B" w14:textId="77777777" w:rsidR="001C19F3" w:rsidRPr="00431C7C" w:rsidRDefault="001C19F3" w:rsidP="00521305">
            <w:pPr>
              <w:spacing w:after="160" w:line="259" w:lineRule="auto"/>
              <w:rPr>
                <w:b/>
                <w:sz w:val="18"/>
                <w:szCs w:val="18"/>
              </w:rPr>
            </w:pPr>
            <w:r w:rsidRPr="00431C7C">
              <w:rPr>
                <w:b/>
                <w:sz w:val="18"/>
                <w:szCs w:val="18"/>
              </w:rPr>
              <w:t>Bundled payment</w:t>
            </w:r>
          </w:p>
          <w:p w14:paraId="636887FF"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Guidance and tools to help with practical implementation of payment reform amongst practices with different revenue sharing schemes for their GPs are necessary.</w:t>
            </w:r>
          </w:p>
          <w:p w14:paraId="3C36364D"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The information required to manage a bundled payment within a practice should be captured in the practice management software.</w:t>
            </w:r>
          </w:p>
          <w:p w14:paraId="06CDFAB3" w14:textId="77777777" w:rsidR="001C19F3" w:rsidRPr="00431C7C" w:rsidRDefault="001C19F3" w:rsidP="00521305">
            <w:pPr>
              <w:rPr>
                <w:b/>
                <w:sz w:val="18"/>
                <w:szCs w:val="18"/>
              </w:rPr>
            </w:pPr>
            <w:r w:rsidRPr="00431C7C">
              <w:rPr>
                <w:b/>
                <w:sz w:val="18"/>
                <w:szCs w:val="18"/>
              </w:rPr>
              <w:t>Practice recruitment</w:t>
            </w:r>
          </w:p>
          <w:p w14:paraId="27174686"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For programs such as HCH, allow time and invest in developing and communicating information about the program during the EOI process or equivalent. This should include providing information sessions about the program for interested practices.</w:t>
            </w:r>
          </w:p>
          <w:p w14:paraId="42F93D93"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Make greater use of PHNs in any assessment process involving primary care practices.</w:t>
            </w:r>
          </w:p>
          <w:p w14:paraId="6EBC0166"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In assessing applications, ensure there is evidence that GPs within the practice have been adequately informed about the program and a sufficient number support its implementation.</w:t>
            </w:r>
          </w:p>
          <w:p w14:paraId="3D8E8D75"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In funding agreements, set out clear expectations for practices and their staff in working with external facilitators.</w:t>
            </w:r>
          </w:p>
          <w:p w14:paraId="20D58E75" w14:textId="77777777" w:rsidR="001C19F3" w:rsidRPr="00431C7C" w:rsidRDefault="001C19F3" w:rsidP="001C19F3">
            <w:pPr>
              <w:pStyle w:val="ListParagraph"/>
              <w:numPr>
                <w:ilvl w:val="0"/>
                <w:numId w:val="89"/>
              </w:numPr>
              <w:spacing w:after="120"/>
              <w:ind w:left="714" w:hanging="357"/>
              <w:contextualSpacing w:val="0"/>
              <w:rPr>
                <w:sz w:val="18"/>
                <w:szCs w:val="18"/>
              </w:rPr>
            </w:pPr>
            <w:r w:rsidRPr="00431C7C">
              <w:rPr>
                <w:sz w:val="18"/>
                <w:szCs w:val="18"/>
              </w:rPr>
              <w:t>Ensure funding contributions meet the costs of participation.</w:t>
            </w:r>
          </w:p>
        </w:tc>
      </w:tr>
    </w:tbl>
    <w:p w14:paraId="589457C6" w14:textId="77777777" w:rsidR="001C19F3" w:rsidRDefault="001C19F3" w:rsidP="001C19F3">
      <w:pPr>
        <w:spacing w:after="0"/>
      </w:pPr>
    </w:p>
    <w:p w14:paraId="4DF82171" w14:textId="77777777" w:rsidR="001C19F3" w:rsidRDefault="001C19F3" w:rsidP="001C19F3">
      <w:pPr>
        <w:pStyle w:val="Heading2"/>
        <w:rPr>
          <w:rFonts w:eastAsia="Times New Roman"/>
          <w:lang w:eastAsia="en-AU"/>
        </w:rPr>
      </w:pPr>
      <w:bookmarkStart w:id="390" w:name="_Toc27056585"/>
      <w:r w:rsidRPr="00DA3AA4">
        <w:rPr>
          <w:rFonts w:eastAsia="Times New Roman"/>
          <w:lang w:eastAsia="en-AU"/>
        </w:rPr>
        <w:lastRenderedPageBreak/>
        <w:t xml:space="preserve">Evaluation </w:t>
      </w:r>
      <w:r>
        <w:rPr>
          <w:rFonts w:eastAsia="Times New Roman"/>
          <w:lang w:eastAsia="en-AU"/>
        </w:rPr>
        <w:t>q</w:t>
      </w:r>
      <w:r w:rsidRPr="00DA3AA4">
        <w:rPr>
          <w:rFonts w:eastAsia="Times New Roman"/>
          <w:lang w:eastAsia="en-AU"/>
        </w:rPr>
        <w:t>uestion</w:t>
      </w:r>
      <w:r>
        <w:rPr>
          <w:rFonts w:eastAsia="Times New Roman"/>
          <w:lang w:eastAsia="en-AU"/>
        </w:rPr>
        <w:t>s</w:t>
      </w:r>
      <w:bookmarkEnd w:id="390"/>
      <w:r w:rsidRPr="00DA3AA4">
        <w:rPr>
          <w:rFonts w:eastAsia="Times New Roman"/>
          <w:lang w:eastAsia="en-AU"/>
        </w:rPr>
        <w:t xml:space="preserve"> </w:t>
      </w:r>
    </w:p>
    <w:p w14:paraId="4327D613" w14:textId="77777777" w:rsidR="001C19F3" w:rsidRDefault="001C19F3" w:rsidP="001C19F3">
      <w:pPr>
        <w:rPr>
          <w:lang w:eastAsia="en-AU"/>
        </w:rPr>
      </w:pPr>
      <w:r>
        <w:rPr>
          <w:lang w:eastAsia="en-AU"/>
        </w:rPr>
        <w:t xml:space="preserve">The HCH evaluation aims to answer the key question described on page </w:t>
      </w:r>
      <w:r>
        <w:rPr>
          <w:lang w:eastAsia="en-AU"/>
        </w:rPr>
        <w:fldChar w:fldCharType="begin"/>
      </w:r>
      <w:r>
        <w:rPr>
          <w:lang w:eastAsia="en-AU"/>
        </w:rPr>
        <w:instrText xml:space="preserve"> PAGEREF _Ref22306498 \h </w:instrText>
      </w:r>
      <w:r>
        <w:rPr>
          <w:lang w:eastAsia="en-AU"/>
        </w:rPr>
      </w:r>
      <w:r>
        <w:rPr>
          <w:lang w:eastAsia="en-AU"/>
        </w:rPr>
        <w:fldChar w:fldCharType="separate"/>
      </w:r>
      <w:r>
        <w:rPr>
          <w:noProof/>
          <w:lang w:eastAsia="en-AU"/>
        </w:rPr>
        <w:t>3</w:t>
      </w:r>
      <w:r>
        <w:rPr>
          <w:lang w:eastAsia="en-AU"/>
        </w:rPr>
        <w:fldChar w:fldCharType="end"/>
      </w:r>
      <w:r>
        <w:rPr>
          <w:lang w:eastAsia="en-AU"/>
        </w:rPr>
        <w:t xml:space="preserve">. </w:t>
      </w:r>
    </w:p>
    <w:p w14:paraId="6A4C7190" w14:textId="77777777" w:rsidR="001C19F3" w:rsidRDefault="001C19F3" w:rsidP="001C19F3">
      <w:pPr>
        <w:rPr>
          <w:lang w:eastAsia="en-AU"/>
        </w:rPr>
      </w:pPr>
      <w:r>
        <w:rPr>
          <w:lang w:eastAsia="en-AU"/>
        </w:rPr>
        <w:t xml:space="preserve">The Interim report 2019 has made significant progress in answering question 1: </w:t>
      </w:r>
      <w:r w:rsidRPr="0067548F">
        <w:rPr>
          <w:i/>
          <w:lang w:eastAsia="en-AU"/>
        </w:rPr>
        <w:t>How was the HCH model implemented and what were the barriers and enablers?</w:t>
      </w:r>
      <w:r>
        <w:rPr>
          <w:i/>
          <w:lang w:eastAsia="en-AU"/>
        </w:rPr>
        <w:t xml:space="preserve"> </w:t>
      </w:r>
      <w:r w:rsidRPr="0067548F">
        <w:rPr>
          <w:lang w:eastAsia="en-AU"/>
        </w:rPr>
        <w:t>Chapter 2</w:t>
      </w:r>
      <w:r>
        <w:rPr>
          <w:lang w:eastAsia="en-AU"/>
        </w:rPr>
        <w:t xml:space="preserve"> of this volume describes the program’s </w:t>
      </w:r>
      <w:r w:rsidRPr="0067548F">
        <w:rPr>
          <w:lang w:eastAsia="en-AU"/>
        </w:rPr>
        <w:t xml:space="preserve">implementation and other sections address specific aspects of program implementation. In </w:t>
      </w:r>
      <w:r w:rsidRPr="0067548F">
        <w:rPr>
          <w:lang w:eastAsia="en-AU"/>
        </w:rPr>
        <w:fldChar w:fldCharType="begin"/>
      </w:r>
      <w:r w:rsidRPr="0067548F">
        <w:rPr>
          <w:lang w:eastAsia="en-AU"/>
        </w:rPr>
        <w:instrText xml:space="preserve"> REF _Ref22306681 \h  \* MERGEFORMAT </w:instrText>
      </w:r>
      <w:r w:rsidRPr="0067548F">
        <w:rPr>
          <w:lang w:eastAsia="en-AU"/>
        </w:rPr>
      </w:r>
      <w:r w:rsidRPr="0067548F">
        <w:rPr>
          <w:lang w:eastAsia="en-AU"/>
        </w:rPr>
        <w:fldChar w:fldCharType="separate"/>
      </w:r>
      <w:r w:rsidRPr="00822044">
        <w:rPr>
          <w:szCs w:val="20"/>
        </w:rPr>
        <w:t xml:space="preserve">Table </w:t>
      </w:r>
      <w:r w:rsidRPr="00822044">
        <w:rPr>
          <w:noProof/>
          <w:szCs w:val="20"/>
        </w:rPr>
        <w:t>57</w:t>
      </w:r>
      <w:r w:rsidRPr="0067548F">
        <w:rPr>
          <w:lang w:eastAsia="en-AU"/>
        </w:rPr>
        <w:fldChar w:fldCharType="end"/>
      </w:r>
      <w:r w:rsidRPr="0067548F">
        <w:rPr>
          <w:lang w:eastAsia="en-AU"/>
        </w:rPr>
        <w:t xml:space="preserve">, we summarise </w:t>
      </w:r>
      <w:r>
        <w:rPr>
          <w:lang w:eastAsia="en-AU"/>
        </w:rPr>
        <w:t>our emerging understanding on the enablers and barriers to the program’s implementation</w:t>
      </w:r>
      <w:r w:rsidRPr="0067548F">
        <w:rPr>
          <w:lang w:eastAsia="en-AU"/>
        </w:rPr>
        <w:t xml:space="preserve">. In </w:t>
      </w:r>
      <w:r>
        <w:rPr>
          <w:lang w:eastAsia="en-AU"/>
        </w:rPr>
        <w:t xml:space="preserve">the Interim report 2020 and the Final Report, this understanding </w:t>
      </w:r>
      <w:r w:rsidRPr="0067548F">
        <w:rPr>
          <w:lang w:eastAsia="en-AU"/>
        </w:rPr>
        <w:t xml:space="preserve">may be further refined and extended </w:t>
      </w:r>
      <w:r>
        <w:rPr>
          <w:lang w:eastAsia="en-AU"/>
        </w:rPr>
        <w:t xml:space="preserve">reflecting </w:t>
      </w:r>
      <w:r w:rsidRPr="0067548F">
        <w:rPr>
          <w:lang w:eastAsia="en-AU"/>
        </w:rPr>
        <w:t>additional evidence</w:t>
      </w:r>
      <w:r>
        <w:rPr>
          <w:lang w:eastAsia="en-AU"/>
        </w:rPr>
        <w:t xml:space="preserve"> gained over the next eighteen months</w:t>
      </w:r>
      <w:r w:rsidRPr="0067548F">
        <w:rPr>
          <w:lang w:eastAsia="en-AU"/>
        </w:rPr>
        <w:t>.</w:t>
      </w:r>
    </w:p>
    <w:p w14:paraId="11AD9947" w14:textId="77777777" w:rsidR="001C19F3" w:rsidRPr="00F952D0" w:rsidRDefault="001C19F3" w:rsidP="001C19F3">
      <w:pPr>
        <w:spacing w:after="0"/>
        <w:jc w:val="center"/>
        <w:rPr>
          <w:b/>
          <w:szCs w:val="20"/>
        </w:rPr>
      </w:pPr>
      <w:bookmarkStart w:id="391" w:name="_Ref22306681"/>
      <w:r w:rsidRPr="00F952D0">
        <w:rPr>
          <w:b/>
          <w:szCs w:val="20"/>
        </w:rPr>
        <w:t xml:space="preserve">Table </w:t>
      </w:r>
      <w:r w:rsidRPr="00F952D0">
        <w:rPr>
          <w:b/>
          <w:szCs w:val="20"/>
        </w:rPr>
        <w:fldChar w:fldCharType="begin"/>
      </w:r>
      <w:r w:rsidRPr="00F952D0">
        <w:rPr>
          <w:b/>
          <w:szCs w:val="20"/>
        </w:rPr>
        <w:instrText xml:space="preserve"> SEQ Table \* ARABIC </w:instrText>
      </w:r>
      <w:r w:rsidRPr="00F952D0">
        <w:rPr>
          <w:b/>
          <w:szCs w:val="20"/>
        </w:rPr>
        <w:fldChar w:fldCharType="separate"/>
      </w:r>
      <w:r>
        <w:rPr>
          <w:b/>
          <w:noProof/>
          <w:szCs w:val="20"/>
        </w:rPr>
        <w:t>57</w:t>
      </w:r>
      <w:r w:rsidRPr="00F952D0">
        <w:rPr>
          <w:b/>
          <w:szCs w:val="20"/>
        </w:rPr>
        <w:fldChar w:fldCharType="end"/>
      </w:r>
      <w:bookmarkEnd w:id="391"/>
      <w:r w:rsidRPr="00F952D0">
        <w:rPr>
          <w:b/>
          <w:szCs w:val="20"/>
        </w:rPr>
        <w:t xml:space="preserve"> – </w:t>
      </w:r>
      <w:r>
        <w:rPr>
          <w:b/>
          <w:szCs w:val="20"/>
        </w:rPr>
        <w:t>E</w:t>
      </w:r>
      <w:r w:rsidRPr="00F952D0">
        <w:rPr>
          <w:b/>
          <w:szCs w:val="20"/>
        </w:rPr>
        <w:t>nablers</w:t>
      </w:r>
      <w:r>
        <w:rPr>
          <w:b/>
          <w:szCs w:val="20"/>
        </w:rPr>
        <w:t xml:space="preserve"> </w:t>
      </w:r>
      <w:r w:rsidRPr="00F952D0">
        <w:rPr>
          <w:b/>
          <w:szCs w:val="20"/>
        </w:rPr>
        <w:t xml:space="preserve">for </w:t>
      </w:r>
      <w:r>
        <w:rPr>
          <w:b/>
          <w:szCs w:val="20"/>
        </w:rPr>
        <w:t>HCH implementation and current and ongoing challenges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4508"/>
        <w:gridCol w:w="4508"/>
      </w:tblGrid>
      <w:tr w:rsidR="001C19F3" w:rsidRPr="00F952D0" w14:paraId="39C20CE0" w14:textId="77777777" w:rsidTr="00521305">
        <w:trPr>
          <w:tblHeader/>
        </w:trPr>
        <w:tc>
          <w:tcPr>
            <w:tcW w:w="4508" w:type="dxa"/>
            <w:shd w:val="clear" w:color="auto" w:fill="003D79"/>
            <w:hideMark/>
          </w:tcPr>
          <w:p w14:paraId="4BDDE4DA" w14:textId="77777777" w:rsidR="001C19F3" w:rsidRPr="00F952D0" w:rsidRDefault="001C19F3" w:rsidP="00521305">
            <w:pPr>
              <w:spacing w:before="40" w:after="40"/>
              <w:jc w:val="center"/>
              <w:rPr>
                <w:b/>
                <w:color w:val="FFFFFF" w:themeColor="background1"/>
                <w:sz w:val="18"/>
                <w:szCs w:val="18"/>
              </w:rPr>
            </w:pPr>
            <w:r w:rsidRPr="00F952D0">
              <w:rPr>
                <w:b/>
                <w:color w:val="FFFFFF" w:themeColor="background1"/>
                <w:sz w:val="18"/>
                <w:szCs w:val="18"/>
              </w:rPr>
              <w:t>Enablers</w:t>
            </w:r>
          </w:p>
        </w:tc>
        <w:tc>
          <w:tcPr>
            <w:tcW w:w="4508" w:type="dxa"/>
            <w:shd w:val="clear" w:color="auto" w:fill="003D79"/>
            <w:hideMark/>
          </w:tcPr>
          <w:p w14:paraId="1AA1518B" w14:textId="77777777" w:rsidR="001C19F3" w:rsidRPr="00F952D0" w:rsidRDefault="001C19F3" w:rsidP="00521305">
            <w:pPr>
              <w:spacing w:before="40" w:after="40"/>
              <w:jc w:val="center"/>
              <w:rPr>
                <w:b/>
                <w:color w:val="FFFFFF" w:themeColor="background1"/>
                <w:sz w:val="18"/>
                <w:szCs w:val="18"/>
              </w:rPr>
            </w:pPr>
            <w:r>
              <w:rPr>
                <w:b/>
                <w:color w:val="FFFFFF" w:themeColor="background1"/>
                <w:sz w:val="18"/>
                <w:szCs w:val="18"/>
              </w:rPr>
              <w:t>C</w:t>
            </w:r>
            <w:r w:rsidRPr="00F952D0">
              <w:rPr>
                <w:b/>
                <w:color w:val="FFFFFF" w:themeColor="background1"/>
                <w:sz w:val="18"/>
                <w:szCs w:val="18"/>
              </w:rPr>
              <w:t>hallenges</w:t>
            </w:r>
          </w:p>
        </w:tc>
      </w:tr>
      <w:tr w:rsidR="001C19F3" w:rsidRPr="00F952D0" w14:paraId="6D7EAC7F" w14:textId="77777777" w:rsidTr="00521305">
        <w:tc>
          <w:tcPr>
            <w:tcW w:w="9016" w:type="dxa"/>
            <w:gridSpan w:val="2"/>
          </w:tcPr>
          <w:p w14:paraId="6474BCDF" w14:textId="77777777" w:rsidR="001C19F3" w:rsidRPr="00DA6C5F" w:rsidRDefault="001C19F3" w:rsidP="00521305">
            <w:pPr>
              <w:spacing w:before="40" w:after="40"/>
              <w:jc w:val="center"/>
              <w:rPr>
                <w:b/>
                <w:sz w:val="18"/>
                <w:szCs w:val="18"/>
              </w:rPr>
            </w:pPr>
            <w:r>
              <w:rPr>
                <w:b/>
                <w:sz w:val="18"/>
                <w:szCs w:val="18"/>
              </w:rPr>
              <w:t>Policy settings</w:t>
            </w:r>
          </w:p>
        </w:tc>
      </w:tr>
      <w:tr w:rsidR="001C19F3" w:rsidRPr="00F952D0" w14:paraId="5AC6E781" w14:textId="77777777" w:rsidTr="00521305">
        <w:tc>
          <w:tcPr>
            <w:tcW w:w="4508" w:type="dxa"/>
            <w:hideMark/>
          </w:tcPr>
          <w:p w14:paraId="2FAC7D26" w14:textId="77777777" w:rsidR="001C19F3" w:rsidRDefault="001C19F3" w:rsidP="001C19F3">
            <w:pPr>
              <w:pStyle w:val="ListParagraph"/>
              <w:numPr>
                <w:ilvl w:val="0"/>
                <w:numId w:val="88"/>
              </w:numPr>
              <w:spacing w:before="40" w:after="40"/>
              <w:ind w:left="306" w:hanging="284"/>
              <w:rPr>
                <w:sz w:val="18"/>
                <w:szCs w:val="18"/>
              </w:rPr>
            </w:pPr>
            <w:r w:rsidRPr="005C545F">
              <w:rPr>
                <w:sz w:val="18"/>
                <w:szCs w:val="18"/>
              </w:rPr>
              <w:t>Policy reform to allow voluntary enrolment by patients with a practice and a GP and to bundle payments made to GPs for services provided to chronically ill patients</w:t>
            </w:r>
            <w:r>
              <w:rPr>
                <w:sz w:val="18"/>
                <w:szCs w:val="18"/>
              </w:rPr>
              <w:t>.</w:t>
            </w:r>
          </w:p>
          <w:p w14:paraId="0749DBC5" w14:textId="77777777" w:rsidR="001C19F3" w:rsidRDefault="001C19F3" w:rsidP="001C19F3">
            <w:pPr>
              <w:pStyle w:val="ListParagraph"/>
              <w:numPr>
                <w:ilvl w:val="0"/>
                <w:numId w:val="88"/>
              </w:numPr>
              <w:spacing w:before="40" w:after="40"/>
              <w:ind w:left="306" w:hanging="284"/>
              <w:rPr>
                <w:sz w:val="18"/>
                <w:szCs w:val="18"/>
              </w:rPr>
            </w:pPr>
            <w:r w:rsidRPr="00DA6C5F">
              <w:rPr>
                <w:sz w:val="18"/>
                <w:szCs w:val="18"/>
              </w:rPr>
              <w:t>PHNs have implement</w:t>
            </w:r>
            <w:r>
              <w:rPr>
                <w:sz w:val="18"/>
                <w:szCs w:val="18"/>
              </w:rPr>
              <w:t>ed</w:t>
            </w:r>
            <w:r w:rsidRPr="00DA6C5F">
              <w:rPr>
                <w:sz w:val="18"/>
                <w:szCs w:val="18"/>
              </w:rPr>
              <w:t xml:space="preserve"> readiness programs and other initiatives that align with the principles and goals of HCH.</w:t>
            </w:r>
          </w:p>
          <w:p w14:paraId="3780DA8D" w14:textId="77777777" w:rsidR="001C19F3" w:rsidRPr="00307AC8" w:rsidRDefault="001C19F3" w:rsidP="001C19F3">
            <w:pPr>
              <w:pStyle w:val="ListParagraph"/>
              <w:numPr>
                <w:ilvl w:val="0"/>
                <w:numId w:val="88"/>
              </w:numPr>
              <w:spacing w:before="40" w:after="40"/>
              <w:ind w:left="306" w:hanging="284"/>
              <w:rPr>
                <w:sz w:val="18"/>
                <w:szCs w:val="18"/>
              </w:rPr>
            </w:pPr>
            <w:r>
              <w:rPr>
                <w:sz w:val="18"/>
                <w:szCs w:val="18"/>
              </w:rPr>
              <w:t>S</w:t>
            </w:r>
            <w:r w:rsidRPr="00DA6C5F">
              <w:rPr>
                <w:sz w:val="18"/>
                <w:szCs w:val="18"/>
              </w:rPr>
              <w:t>tate/ territory initiatives</w:t>
            </w:r>
            <w:r>
              <w:rPr>
                <w:sz w:val="18"/>
                <w:szCs w:val="18"/>
              </w:rPr>
              <w:t xml:space="preserve"> are being pursued in parallel under the COAG</w:t>
            </w:r>
            <w:r w:rsidRPr="00DA6C5F">
              <w:rPr>
                <w:sz w:val="18"/>
                <w:szCs w:val="18"/>
              </w:rPr>
              <w:t xml:space="preserve"> Bilateral Agreements</w:t>
            </w:r>
            <w:r>
              <w:rPr>
                <w:sz w:val="18"/>
                <w:szCs w:val="18"/>
              </w:rPr>
              <w:t>.</w:t>
            </w:r>
          </w:p>
        </w:tc>
        <w:tc>
          <w:tcPr>
            <w:tcW w:w="4508" w:type="dxa"/>
          </w:tcPr>
          <w:p w14:paraId="654D1FB9" w14:textId="77777777" w:rsidR="001C19F3" w:rsidRPr="00E057EA" w:rsidRDefault="001C19F3" w:rsidP="001C19F3">
            <w:pPr>
              <w:pStyle w:val="ListParagraph"/>
              <w:numPr>
                <w:ilvl w:val="0"/>
                <w:numId w:val="88"/>
              </w:numPr>
              <w:spacing w:before="40" w:after="40"/>
              <w:ind w:left="306" w:hanging="284"/>
              <w:rPr>
                <w:sz w:val="18"/>
                <w:szCs w:val="18"/>
              </w:rPr>
            </w:pPr>
            <w:r>
              <w:rPr>
                <w:sz w:val="18"/>
                <w:szCs w:val="18"/>
              </w:rPr>
              <w:t>There is uncertainty about the future beyond the HCH program</w:t>
            </w:r>
          </w:p>
        </w:tc>
      </w:tr>
      <w:tr w:rsidR="001C19F3" w:rsidRPr="00F952D0" w14:paraId="3503D8D2" w14:textId="77777777" w:rsidTr="00521305">
        <w:tc>
          <w:tcPr>
            <w:tcW w:w="9016" w:type="dxa"/>
            <w:gridSpan w:val="2"/>
          </w:tcPr>
          <w:p w14:paraId="1BAC1DE7" w14:textId="77777777" w:rsidR="001C19F3" w:rsidRPr="00DA6C5F" w:rsidRDefault="001C19F3" w:rsidP="00521305">
            <w:pPr>
              <w:spacing w:before="40" w:after="40"/>
              <w:jc w:val="center"/>
              <w:rPr>
                <w:b/>
                <w:sz w:val="18"/>
                <w:szCs w:val="18"/>
              </w:rPr>
            </w:pPr>
            <w:r w:rsidRPr="00DA6C5F">
              <w:rPr>
                <w:b/>
                <w:sz w:val="18"/>
                <w:szCs w:val="18"/>
              </w:rPr>
              <w:t>Funding reform and incentives</w:t>
            </w:r>
          </w:p>
        </w:tc>
      </w:tr>
      <w:tr w:rsidR="001C19F3" w:rsidRPr="00F952D0" w14:paraId="1ADD134F" w14:textId="77777777" w:rsidTr="00521305">
        <w:tc>
          <w:tcPr>
            <w:tcW w:w="4508" w:type="dxa"/>
          </w:tcPr>
          <w:p w14:paraId="6FA1C914" w14:textId="77777777" w:rsidR="001C19F3" w:rsidRDefault="001C19F3" w:rsidP="001C19F3">
            <w:pPr>
              <w:pStyle w:val="ListParagraph"/>
              <w:numPr>
                <w:ilvl w:val="0"/>
                <w:numId w:val="88"/>
              </w:numPr>
              <w:spacing w:before="40" w:after="40"/>
              <w:ind w:left="306" w:hanging="284"/>
              <w:rPr>
                <w:sz w:val="18"/>
                <w:szCs w:val="18"/>
              </w:rPr>
            </w:pPr>
            <w:r w:rsidRPr="00E057EA">
              <w:rPr>
                <w:sz w:val="18"/>
                <w:szCs w:val="18"/>
              </w:rPr>
              <w:t>The bundled payment</w:t>
            </w:r>
            <w:r>
              <w:rPr>
                <w:sz w:val="18"/>
                <w:szCs w:val="18"/>
              </w:rPr>
              <w:t xml:space="preserve"> is intended to move the focus away from atomic </w:t>
            </w:r>
            <w:r w:rsidRPr="00DA6C5F">
              <w:rPr>
                <w:sz w:val="18"/>
                <w:szCs w:val="18"/>
              </w:rPr>
              <w:t>service interactions</w:t>
            </w:r>
            <w:r>
              <w:rPr>
                <w:sz w:val="18"/>
                <w:szCs w:val="18"/>
              </w:rPr>
              <w:t xml:space="preserve"> and </w:t>
            </w:r>
            <w:r w:rsidRPr="00E057EA">
              <w:rPr>
                <w:sz w:val="18"/>
                <w:szCs w:val="18"/>
              </w:rPr>
              <w:t>encourage flexibility and innovation in the way that practices deliver care to patients with ch</w:t>
            </w:r>
            <w:r>
              <w:rPr>
                <w:sz w:val="18"/>
                <w:szCs w:val="18"/>
              </w:rPr>
              <w:t>ronic illness.</w:t>
            </w:r>
          </w:p>
          <w:p w14:paraId="2CABE779" w14:textId="77777777" w:rsidR="001C19F3" w:rsidRPr="00E057EA" w:rsidRDefault="001C19F3" w:rsidP="001C19F3">
            <w:pPr>
              <w:pStyle w:val="ListParagraph"/>
              <w:numPr>
                <w:ilvl w:val="0"/>
                <w:numId w:val="88"/>
              </w:numPr>
              <w:spacing w:before="40" w:after="40"/>
              <w:ind w:left="306" w:hanging="284"/>
              <w:rPr>
                <w:sz w:val="18"/>
                <w:szCs w:val="18"/>
              </w:rPr>
            </w:pPr>
            <w:r>
              <w:rPr>
                <w:sz w:val="18"/>
                <w:szCs w:val="18"/>
              </w:rPr>
              <w:t>The initial HCH grant incentivised practices to participate and prepare for the program.</w:t>
            </w:r>
          </w:p>
        </w:tc>
        <w:tc>
          <w:tcPr>
            <w:tcW w:w="4508" w:type="dxa"/>
          </w:tcPr>
          <w:p w14:paraId="59DBD350" w14:textId="77777777" w:rsidR="001C19F3" w:rsidRDefault="001C19F3" w:rsidP="001C19F3">
            <w:pPr>
              <w:pStyle w:val="ListParagraph"/>
              <w:numPr>
                <w:ilvl w:val="0"/>
                <w:numId w:val="88"/>
              </w:numPr>
              <w:spacing w:before="40" w:after="40"/>
              <w:ind w:left="306" w:hanging="284"/>
              <w:rPr>
                <w:sz w:val="18"/>
                <w:szCs w:val="18"/>
              </w:rPr>
            </w:pPr>
            <w:r>
              <w:rPr>
                <w:sz w:val="18"/>
                <w:szCs w:val="18"/>
              </w:rPr>
              <w:t>Stakeholders are concerned that the costs of initial implementation and transformation are not sufficiently recognised.</w:t>
            </w:r>
          </w:p>
          <w:p w14:paraId="61469367" w14:textId="77777777" w:rsidR="001C19F3" w:rsidRDefault="001C19F3" w:rsidP="001C19F3">
            <w:pPr>
              <w:pStyle w:val="ListParagraph"/>
              <w:numPr>
                <w:ilvl w:val="0"/>
                <w:numId w:val="88"/>
              </w:numPr>
              <w:spacing w:before="40" w:after="40"/>
              <w:ind w:left="306" w:hanging="284"/>
              <w:rPr>
                <w:sz w:val="18"/>
                <w:szCs w:val="18"/>
              </w:rPr>
            </w:pPr>
            <w:r>
              <w:rPr>
                <w:sz w:val="18"/>
                <w:szCs w:val="18"/>
              </w:rPr>
              <w:t>Stakeholders are concerned that the bundled payment may not be sufficient remuneration for the services provided to HCH enrolees.</w:t>
            </w:r>
          </w:p>
          <w:p w14:paraId="6B91D379" w14:textId="77777777" w:rsidR="001C19F3" w:rsidRPr="0011096E" w:rsidRDefault="001C19F3" w:rsidP="001C19F3">
            <w:pPr>
              <w:pStyle w:val="ListParagraph"/>
              <w:numPr>
                <w:ilvl w:val="0"/>
                <w:numId w:val="88"/>
              </w:numPr>
              <w:spacing w:before="40" w:after="40"/>
              <w:ind w:left="306" w:hanging="284"/>
              <w:rPr>
                <w:sz w:val="18"/>
                <w:szCs w:val="18"/>
              </w:rPr>
            </w:pPr>
            <w:r w:rsidRPr="0011096E">
              <w:rPr>
                <w:sz w:val="18"/>
                <w:szCs w:val="18"/>
              </w:rPr>
              <w:t>Practices invested initial efforts in working out the tax implications of the bundled payment and how to distribute the payments internally. This continues to be an issue for some practices.</w:t>
            </w:r>
          </w:p>
          <w:p w14:paraId="546AA8DD" w14:textId="77777777" w:rsidR="001C19F3" w:rsidRPr="00D3379D" w:rsidRDefault="001C19F3" w:rsidP="001C19F3">
            <w:pPr>
              <w:pStyle w:val="ListParagraph"/>
              <w:numPr>
                <w:ilvl w:val="0"/>
                <w:numId w:val="88"/>
              </w:numPr>
              <w:spacing w:before="40" w:after="40"/>
              <w:ind w:left="306" w:hanging="284"/>
              <w:rPr>
                <w:sz w:val="18"/>
                <w:szCs w:val="18"/>
              </w:rPr>
            </w:pPr>
            <w:r>
              <w:rPr>
                <w:sz w:val="18"/>
                <w:szCs w:val="18"/>
              </w:rPr>
              <w:t>At the level of patient enrolments, many practices will not have sufficient resources to invest in new staffing.</w:t>
            </w:r>
          </w:p>
        </w:tc>
      </w:tr>
      <w:tr w:rsidR="001C19F3" w:rsidRPr="00F952D0" w14:paraId="14BB2A03" w14:textId="77777777" w:rsidTr="00521305">
        <w:tc>
          <w:tcPr>
            <w:tcW w:w="9016" w:type="dxa"/>
            <w:gridSpan w:val="2"/>
          </w:tcPr>
          <w:p w14:paraId="2E3A7C31" w14:textId="77777777" w:rsidR="001C19F3" w:rsidRPr="00DA6C5F" w:rsidRDefault="001C19F3" w:rsidP="00521305">
            <w:pPr>
              <w:spacing w:before="40" w:after="40"/>
              <w:jc w:val="center"/>
              <w:rPr>
                <w:b/>
                <w:sz w:val="18"/>
                <w:szCs w:val="18"/>
              </w:rPr>
            </w:pPr>
            <w:r w:rsidRPr="00DA6C5F">
              <w:rPr>
                <w:b/>
                <w:sz w:val="18"/>
                <w:szCs w:val="18"/>
              </w:rPr>
              <w:t>Transformation and change management</w:t>
            </w:r>
          </w:p>
        </w:tc>
      </w:tr>
      <w:tr w:rsidR="001C19F3" w:rsidRPr="00F952D0" w14:paraId="337A35BB" w14:textId="77777777" w:rsidTr="00521305">
        <w:tc>
          <w:tcPr>
            <w:tcW w:w="4508" w:type="dxa"/>
            <w:tcBorders>
              <w:bottom w:val="single" w:sz="6" w:space="0" w:color="BFBFBF" w:themeColor="background1" w:themeShade="BF"/>
            </w:tcBorders>
          </w:tcPr>
          <w:p w14:paraId="6B477022" w14:textId="77777777" w:rsidR="001C19F3" w:rsidRDefault="001C19F3" w:rsidP="001C19F3">
            <w:pPr>
              <w:pStyle w:val="ListParagraph"/>
              <w:numPr>
                <w:ilvl w:val="0"/>
                <w:numId w:val="88"/>
              </w:numPr>
              <w:spacing w:before="40" w:after="40"/>
              <w:ind w:left="306" w:hanging="284"/>
              <w:rPr>
                <w:sz w:val="18"/>
                <w:szCs w:val="18"/>
              </w:rPr>
            </w:pPr>
            <w:r>
              <w:rPr>
                <w:sz w:val="18"/>
                <w:szCs w:val="18"/>
              </w:rPr>
              <w:t>Training, resources and services have been developed to help practices with the transformation process.</w:t>
            </w:r>
          </w:p>
          <w:p w14:paraId="2EA5A749" w14:textId="77777777" w:rsidR="001C19F3" w:rsidRDefault="001C19F3" w:rsidP="001C19F3">
            <w:pPr>
              <w:pStyle w:val="ListParagraph"/>
              <w:numPr>
                <w:ilvl w:val="0"/>
                <w:numId w:val="88"/>
              </w:numPr>
              <w:spacing w:before="40" w:after="40"/>
              <w:ind w:left="306" w:hanging="284"/>
              <w:rPr>
                <w:sz w:val="18"/>
                <w:szCs w:val="18"/>
              </w:rPr>
            </w:pPr>
            <w:r>
              <w:rPr>
                <w:sz w:val="18"/>
                <w:szCs w:val="18"/>
              </w:rPr>
              <w:t>A new workforce of practice facilitators has been established to support practices’ transformation to HCH.</w:t>
            </w:r>
          </w:p>
          <w:p w14:paraId="240F7AC1" w14:textId="77777777" w:rsidR="001C19F3" w:rsidRPr="00FB426B" w:rsidRDefault="001C19F3" w:rsidP="001C19F3">
            <w:pPr>
              <w:pStyle w:val="ListParagraph"/>
              <w:numPr>
                <w:ilvl w:val="0"/>
                <w:numId w:val="88"/>
              </w:numPr>
              <w:spacing w:before="40" w:after="40"/>
              <w:ind w:left="306" w:hanging="284"/>
              <w:rPr>
                <w:sz w:val="18"/>
                <w:szCs w:val="18"/>
              </w:rPr>
            </w:pPr>
            <w:r>
              <w:rPr>
                <w:sz w:val="18"/>
                <w:szCs w:val="18"/>
              </w:rPr>
              <w:t xml:space="preserve">PHNs contributed their existing infrastructure/ supports (e.g. data sharing agreements with practices, existing PCMH-readiness programs, </w:t>
            </w:r>
            <w:r>
              <w:rPr>
                <w:sz w:val="18"/>
                <w:szCs w:val="18"/>
              </w:rPr>
              <w:lastRenderedPageBreak/>
              <w:t>communities of practice) and provided additional supports in the change process.</w:t>
            </w:r>
          </w:p>
        </w:tc>
        <w:tc>
          <w:tcPr>
            <w:tcW w:w="4508" w:type="dxa"/>
            <w:tcBorders>
              <w:bottom w:val="single" w:sz="6" w:space="0" w:color="BFBFBF" w:themeColor="background1" w:themeShade="BF"/>
            </w:tcBorders>
          </w:tcPr>
          <w:p w14:paraId="00E512C9" w14:textId="77777777" w:rsidR="001C19F3" w:rsidRDefault="001C19F3" w:rsidP="001C19F3">
            <w:pPr>
              <w:pStyle w:val="ListParagraph"/>
              <w:numPr>
                <w:ilvl w:val="0"/>
                <w:numId w:val="88"/>
              </w:numPr>
              <w:spacing w:before="40" w:after="40"/>
              <w:ind w:left="306" w:hanging="284"/>
              <w:rPr>
                <w:sz w:val="18"/>
                <w:szCs w:val="18"/>
              </w:rPr>
            </w:pPr>
            <w:r>
              <w:rPr>
                <w:sz w:val="18"/>
                <w:szCs w:val="18"/>
              </w:rPr>
              <w:lastRenderedPageBreak/>
              <w:t xml:space="preserve">Information provided to practices prior to signing up for HCH was insufficient for them to understand the transformation that the model is requiring. </w:t>
            </w:r>
          </w:p>
          <w:p w14:paraId="6F0E663C" w14:textId="77777777" w:rsidR="001C19F3" w:rsidRDefault="001C19F3" w:rsidP="001C19F3">
            <w:pPr>
              <w:pStyle w:val="ListParagraph"/>
              <w:numPr>
                <w:ilvl w:val="0"/>
                <w:numId w:val="88"/>
              </w:numPr>
              <w:spacing w:before="40" w:after="40"/>
              <w:ind w:left="306" w:hanging="284"/>
              <w:rPr>
                <w:sz w:val="18"/>
                <w:szCs w:val="18"/>
              </w:rPr>
            </w:pPr>
            <w:r>
              <w:rPr>
                <w:sz w:val="18"/>
                <w:szCs w:val="18"/>
              </w:rPr>
              <w:t xml:space="preserve">Not enough time was available for practices to get ready prior starting to operate as an HCH: Time was needed to develop and implement infrastructure (e.g. new IT/ processes), achieve buy-in from key practice </w:t>
            </w:r>
            <w:r>
              <w:rPr>
                <w:sz w:val="18"/>
                <w:szCs w:val="18"/>
              </w:rPr>
              <w:lastRenderedPageBreak/>
              <w:t>staff and implement changes to clinical processes.</w:t>
            </w:r>
          </w:p>
          <w:p w14:paraId="1674F500" w14:textId="77777777" w:rsidR="001C19F3" w:rsidRDefault="001C19F3" w:rsidP="001C19F3">
            <w:pPr>
              <w:pStyle w:val="ListParagraph"/>
              <w:numPr>
                <w:ilvl w:val="0"/>
                <w:numId w:val="88"/>
              </w:numPr>
              <w:spacing w:before="40" w:after="40"/>
              <w:ind w:left="306" w:hanging="284"/>
              <w:rPr>
                <w:sz w:val="18"/>
                <w:szCs w:val="18"/>
              </w:rPr>
            </w:pPr>
            <w:r>
              <w:rPr>
                <w:sz w:val="18"/>
                <w:szCs w:val="18"/>
              </w:rPr>
              <w:t>Some practices changed owners and/ or had staff turnover, which slowed implementation or caused them to withdraw.</w:t>
            </w:r>
          </w:p>
          <w:p w14:paraId="1FE7C0EB" w14:textId="77777777" w:rsidR="001C19F3" w:rsidRPr="0016700A" w:rsidRDefault="001C19F3" w:rsidP="001C19F3">
            <w:pPr>
              <w:pStyle w:val="ListParagraph"/>
              <w:numPr>
                <w:ilvl w:val="0"/>
                <w:numId w:val="88"/>
              </w:numPr>
              <w:spacing w:before="40" w:after="40"/>
              <w:ind w:left="306" w:hanging="284"/>
              <w:rPr>
                <w:sz w:val="18"/>
                <w:szCs w:val="18"/>
              </w:rPr>
            </w:pPr>
            <w:r>
              <w:rPr>
                <w:sz w:val="18"/>
                <w:szCs w:val="18"/>
              </w:rPr>
              <w:t>Not all GPs within practices participated in HCH.</w:t>
            </w:r>
          </w:p>
          <w:p w14:paraId="18E0A887" w14:textId="77777777" w:rsidR="001C19F3" w:rsidRDefault="001C19F3" w:rsidP="001C19F3">
            <w:pPr>
              <w:pStyle w:val="ListParagraph"/>
              <w:numPr>
                <w:ilvl w:val="0"/>
                <w:numId w:val="88"/>
              </w:numPr>
              <w:spacing w:before="40" w:after="40"/>
              <w:ind w:left="306" w:hanging="284"/>
              <w:rPr>
                <w:sz w:val="18"/>
                <w:szCs w:val="18"/>
              </w:rPr>
            </w:pPr>
            <w:r>
              <w:rPr>
                <w:sz w:val="18"/>
                <w:szCs w:val="18"/>
              </w:rPr>
              <w:t>Uptake of online training has been low. It needs further refinement.</w:t>
            </w:r>
          </w:p>
          <w:p w14:paraId="7DADFC82" w14:textId="77777777" w:rsidR="001C19F3" w:rsidRDefault="001C19F3" w:rsidP="001C19F3">
            <w:pPr>
              <w:pStyle w:val="ListParagraph"/>
              <w:numPr>
                <w:ilvl w:val="0"/>
                <w:numId w:val="88"/>
              </w:numPr>
              <w:spacing w:before="40" w:after="40"/>
              <w:ind w:left="306" w:hanging="284"/>
              <w:rPr>
                <w:sz w:val="18"/>
                <w:szCs w:val="18"/>
              </w:rPr>
            </w:pPr>
            <w:r>
              <w:rPr>
                <w:sz w:val="18"/>
                <w:szCs w:val="18"/>
              </w:rPr>
              <w:t>Practices have struggled with how to ‘sell’ HCH to their patients.</w:t>
            </w:r>
          </w:p>
          <w:p w14:paraId="16BD13A5" w14:textId="77777777" w:rsidR="001C19F3" w:rsidRDefault="001C19F3" w:rsidP="001C19F3">
            <w:pPr>
              <w:pStyle w:val="ListParagraph"/>
              <w:numPr>
                <w:ilvl w:val="0"/>
                <w:numId w:val="88"/>
              </w:numPr>
              <w:spacing w:before="40" w:after="40"/>
              <w:ind w:left="306" w:hanging="284"/>
              <w:rPr>
                <w:sz w:val="18"/>
                <w:szCs w:val="18"/>
              </w:rPr>
            </w:pPr>
            <w:r>
              <w:rPr>
                <w:sz w:val="18"/>
                <w:szCs w:val="18"/>
              </w:rPr>
              <w:t>Patient enrolment is labour intensive.</w:t>
            </w:r>
          </w:p>
          <w:p w14:paraId="6EA763B3" w14:textId="77777777" w:rsidR="001C19F3" w:rsidRDefault="001C19F3" w:rsidP="001C19F3">
            <w:pPr>
              <w:pStyle w:val="ListParagraph"/>
              <w:numPr>
                <w:ilvl w:val="0"/>
                <w:numId w:val="88"/>
              </w:numPr>
              <w:spacing w:before="40" w:after="40"/>
              <w:ind w:left="306" w:hanging="284"/>
              <w:rPr>
                <w:sz w:val="18"/>
                <w:szCs w:val="18"/>
              </w:rPr>
            </w:pPr>
            <w:r>
              <w:rPr>
                <w:sz w:val="18"/>
                <w:szCs w:val="18"/>
              </w:rPr>
              <w:t>Public awareness of HCH is limited.</w:t>
            </w:r>
          </w:p>
          <w:p w14:paraId="26A8C42A" w14:textId="77777777" w:rsidR="001C19F3" w:rsidRPr="009E0FD9" w:rsidRDefault="001C19F3" w:rsidP="001C19F3">
            <w:pPr>
              <w:pStyle w:val="ListParagraph"/>
              <w:numPr>
                <w:ilvl w:val="0"/>
                <w:numId w:val="88"/>
              </w:numPr>
              <w:spacing w:before="40" w:after="40"/>
              <w:ind w:left="306" w:hanging="284"/>
              <w:rPr>
                <w:sz w:val="18"/>
                <w:szCs w:val="18"/>
              </w:rPr>
            </w:pPr>
            <w:r>
              <w:rPr>
                <w:sz w:val="18"/>
                <w:szCs w:val="18"/>
              </w:rPr>
              <w:t>Public debate around My Health Record meant patients were more sensitive to privacy and confidentiality issues.</w:t>
            </w:r>
          </w:p>
        </w:tc>
      </w:tr>
      <w:tr w:rsidR="001C19F3" w:rsidRPr="00F952D0" w14:paraId="397FBA1C" w14:textId="77777777" w:rsidTr="00521305">
        <w:tc>
          <w:tcPr>
            <w:tcW w:w="9016" w:type="dxa"/>
            <w:gridSpan w:val="2"/>
            <w:tcBorders>
              <w:bottom w:val="single" w:sz="6" w:space="0" w:color="BFBFBF" w:themeColor="background1" w:themeShade="BF"/>
            </w:tcBorders>
          </w:tcPr>
          <w:p w14:paraId="726C22CB" w14:textId="77777777" w:rsidR="001C19F3" w:rsidRPr="009E0FD9" w:rsidRDefault="001C19F3" w:rsidP="00521305">
            <w:pPr>
              <w:spacing w:before="40" w:after="40"/>
              <w:jc w:val="center"/>
              <w:rPr>
                <w:b/>
                <w:sz w:val="18"/>
                <w:szCs w:val="18"/>
              </w:rPr>
            </w:pPr>
            <w:r>
              <w:rPr>
                <w:b/>
                <w:sz w:val="18"/>
                <w:szCs w:val="18"/>
              </w:rPr>
              <w:lastRenderedPageBreak/>
              <w:t>Care coordination</w:t>
            </w:r>
          </w:p>
        </w:tc>
      </w:tr>
      <w:tr w:rsidR="001C19F3" w:rsidRPr="00F952D0" w14:paraId="663112FC" w14:textId="77777777" w:rsidTr="00521305">
        <w:tc>
          <w:tcPr>
            <w:tcW w:w="4508" w:type="dxa"/>
            <w:tcBorders>
              <w:top w:val="single" w:sz="6" w:space="0" w:color="BFBFBF" w:themeColor="background1" w:themeShade="BF"/>
            </w:tcBorders>
          </w:tcPr>
          <w:p w14:paraId="7413A174" w14:textId="77777777" w:rsidR="001C19F3" w:rsidRPr="003157C3" w:rsidRDefault="001C19F3" w:rsidP="001C19F3">
            <w:pPr>
              <w:pStyle w:val="ListParagraph"/>
              <w:numPr>
                <w:ilvl w:val="0"/>
                <w:numId w:val="88"/>
              </w:numPr>
              <w:spacing w:before="40" w:after="40"/>
              <w:ind w:left="306" w:hanging="284"/>
              <w:rPr>
                <w:sz w:val="18"/>
                <w:szCs w:val="18"/>
              </w:rPr>
            </w:pPr>
            <w:r>
              <w:rPr>
                <w:sz w:val="18"/>
                <w:szCs w:val="18"/>
              </w:rPr>
              <w:t xml:space="preserve">Shared care planning is a key feature of HCH aimed to increase the involvement of patients in their care and improve the </w:t>
            </w:r>
            <w:r w:rsidRPr="009E0FD9">
              <w:rPr>
                <w:sz w:val="18"/>
                <w:szCs w:val="18"/>
              </w:rPr>
              <w:t>coordination of the services they receive inside and outside the HCH</w:t>
            </w:r>
            <w:r>
              <w:rPr>
                <w:sz w:val="18"/>
                <w:szCs w:val="18"/>
              </w:rPr>
              <w:t>.</w:t>
            </w:r>
          </w:p>
          <w:p w14:paraId="3025E4D0" w14:textId="77777777" w:rsidR="001C19F3" w:rsidRPr="0016700A" w:rsidRDefault="001C19F3" w:rsidP="001C19F3">
            <w:pPr>
              <w:pStyle w:val="ListParagraph"/>
              <w:numPr>
                <w:ilvl w:val="0"/>
                <w:numId w:val="88"/>
              </w:numPr>
              <w:spacing w:before="40" w:after="40"/>
              <w:ind w:left="306" w:hanging="284"/>
              <w:rPr>
                <w:sz w:val="18"/>
                <w:szCs w:val="18"/>
              </w:rPr>
            </w:pPr>
            <w:r w:rsidRPr="003157C3">
              <w:rPr>
                <w:sz w:val="18"/>
                <w:szCs w:val="18"/>
              </w:rPr>
              <w:t>Web-based approach allows providers external to the HCH to access patients</w:t>
            </w:r>
            <w:r>
              <w:rPr>
                <w:sz w:val="18"/>
                <w:szCs w:val="18"/>
              </w:rPr>
              <w:t>’</w:t>
            </w:r>
            <w:r w:rsidRPr="003157C3">
              <w:rPr>
                <w:sz w:val="18"/>
                <w:szCs w:val="18"/>
              </w:rPr>
              <w:t xml:space="preserve"> care plans without the need to install software or infrastructure other than an internet connection.</w:t>
            </w:r>
          </w:p>
        </w:tc>
        <w:tc>
          <w:tcPr>
            <w:tcW w:w="4508" w:type="dxa"/>
            <w:hideMark/>
          </w:tcPr>
          <w:p w14:paraId="38C7DB33" w14:textId="77777777" w:rsidR="001C19F3" w:rsidRPr="00F952D0" w:rsidRDefault="001C19F3" w:rsidP="001C19F3">
            <w:pPr>
              <w:pStyle w:val="ListParagraph"/>
              <w:numPr>
                <w:ilvl w:val="0"/>
                <w:numId w:val="88"/>
              </w:numPr>
              <w:spacing w:before="40" w:after="40"/>
              <w:ind w:left="306" w:hanging="284"/>
              <w:rPr>
                <w:sz w:val="18"/>
                <w:szCs w:val="18"/>
              </w:rPr>
            </w:pPr>
            <w:r>
              <w:rPr>
                <w:sz w:val="18"/>
                <w:szCs w:val="18"/>
              </w:rPr>
              <w:t>Lack of a regional approach to shared care planning or interoperability of shared care planning platforms means that sharing plans with other health care providers in the health care neighbourhood may be difficult.</w:t>
            </w:r>
          </w:p>
        </w:tc>
      </w:tr>
      <w:tr w:rsidR="001C19F3" w:rsidRPr="00F952D0" w14:paraId="66F9777A" w14:textId="77777777" w:rsidTr="00521305">
        <w:tc>
          <w:tcPr>
            <w:tcW w:w="9016" w:type="dxa"/>
            <w:gridSpan w:val="2"/>
          </w:tcPr>
          <w:p w14:paraId="03B23720" w14:textId="77777777" w:rsidR="001C19F3" w:rsidRPr="009E0FD9" w:rsidRDefault="001C19F3" w:rsidP="00521305">
            <w:pPr>
              <w:spacing w:before="40" w:after="40"/>
              <w:jc w:val="center"/>
              <w:rPr>
                <w:sz w:val="18"/>
                <w:szCs w:val="18"/>
              </w:rPr>
            </w:pPr>
            <w:r>
              <w:rPr>
                <w:b/>
                <w:sz w:val="18"/>
                <w:szCs w:val="18"/>
              </w:rPr>
              <w:t>Health information technology</w:t>
            </w:r>
          </w:p>
        </w:tc>
      </w:tr>
      <w:tr w:rsidR="001C19F3" w:rsidRPr="00F952D0" w14:paraId="4110CF61" w14:textId="77777777" w:rsidTr="00521305">
        <w:tc>
          <w:tcPr>
            <w:tcW w:w="4508" w:type="dxa"/>
          </w:tcPr>
          <w:p w14:paraId="0B696DA6" w14:textId="77777777" w:rsidR="001C19F3" w:rsidRDefault="001C19F3" w:rsidP="001C19F3">
            <w:pPr>
              <w:pStyle w:val="ListParagraph"/>
              <w:numPr>
                <w:ilvl w:val="0"/>
                <w:numId w:val="88"/>
              </w:numPr>
              <w:spacing w:before="40" w:after="40"/>
              <w:ind w:left="306" w:hanging="284"/>
              <w:rPr>
                <w:sz w:val="18"/>
                <w:szCs w:val="18"/>
              </w:rPr>
            </w:pPr>
            <w:r>
              <w:rPr>
                <w:sz w:val="18"/>
                <w:szCs w:val="18"/>
              </w:rPr>
              <w:t>The program introduced n</w:t>
            </w:r>
            <w:r w:rsidRPr="00BF3C7E">
              <w:rPr>
                <w:sz w:val="18"/>
                <w:szCs w:val="18"/>
              </w:rPr>
              <w:t xml:space="preserve">ew technology to identify high-needs patients that can </w:t>
            </w:r>
            <w:r>
              <w:rPr>
                <w:sz w:val="18"/>
                <w:szCs w:val="18"/>
              </w:rPr>
              <w:t>benefit from the new model.</w:t>
            </w:r>
          </w:p>
          <w:p w14:paraId="66A0231D" w14:textId="77777777" w:rsidR="001C19F3" w:rsidRDefault="001C19F3" w:rsidP="001C19F3">
            <w:pPr>
              <w:pStyle w:val="ListParagraph"/>
              <w:numPr>
                <w:ilvl w:val="0"/>
                <w:numId w:val="88"/>
              </w:numPr>
              <w:spacing w:before="40" w:after="40"/>
              <w:ind w:left="306" w:hanging="284"/>
              <w:rPr>
                <w:sz w:val="18"/>
                <w:szCs w:val="18"/>
              </w:rPr>
            </w:pPr>
            <w:r>
              <w:rPr>
                <w:sz w:val="18"/>
                <w:szCs w:val="18"/>
              </w:rPr>
              <w:t xml:space="preserve">The program is driving the uptake </w:t>
            </w:r>
            <w:r w:rsidRPr="00BF3C7E">
              <w:rPr>
                <w:sz w:val="18"/>
                <w:szCs w:val="18"/>
              </w:rPr>
              <w:t>of IT for shared care planning</w:t>
            </w:r>
            <w:r>
              <w:rPr>
                <w:sz w:val="18"/>
                <w:szCs w:val="18"/>
              </w:rPr>
              <w:t>.</w:t>
            </w:r>
          </w:p>
          <w:p w14:paraId="286FF703" w14:textId="77777777" w:rsidR="001C19F3" w:rsidRPr="00F952D0" w:rsidRDefault="001C19F3" w:rsidP="001C19F3">
            <w:pPr>
              <w:pStyle w:val="ListParagraph"/>
              <w:numPr>
                <w:ilvl w:val="0"/>
                <w:numId w:val="88"/>
              </w:numPr>
              <w:spacing w:before="40" w:after="40"/>
              <w:ind w:left="306" w:hanging="284"/>
              <w:rPr>
                <w:sz w:val="18"/>
                <w:szCs w:val="18"/>
              </w:rPr>
            </w:pPr>
            <w:r>
              <w:rPr>
                <w:sz w:val="18"/>
                <w:szCs w:val="18"/>
              </w:rPr>
              <w:t>Some v</w:t>
            </w:r>
            <w:r w:rsidRPr="005C545F">
              <w:rPr>
                <w:sz w:val="18"/>
                <w:szCs w:val="18"/>
              </w:rPr>
              <w:t xml:space="preserve">endors of </w:t>
            </w:r>
            <w:r>
              <w:rPr>
                <w:sz w:val="18"/>
                <w:szCs w:val="18"/>
              </w:rPr>
              <w:t xml:space="preserve">primary care practice system </w:t>
            </w:r>
            <w:r w:rsidRPr="005C545F">
              <w:rPr>
                <w:sz w:val="18"/>
                <w:szCs w:val="18"/>
              </w:rPr>
              <w:t xml:space="preserve">responding to the needs of the </w:t>
            </w:r>
            <w:r>
              <w:rPr>
                <w:sz w:val="18"/>
                <w:szCs w:val="18"/>
              </w:rPr>
              <w:t xml:space="preserve">practices </w:t>
            </w:r>
            <w:r w:rsidRPr="005C545F">
              <w:rPr>
                <w:sz w:val="18"/>
                <w:szCs w:val="18"/>
              </w:rPr>
              <w:t xml:space="preserve">by building additional </w:t>
            </w:r>
            <w:r>
              <w:rPr>
                <w:sz w:val="18"/>
                <w:szCs w:val="18"/>
              </w:rPr>
              <w:t>functionality into their software related to HCH.</w:t>
            </w:r>
          </w:p>
        </w:tc>
        <w:tc>
          <w:tcPr>
            <w:tcW w:w="4508" w:type="dxa"/>
          </w:tcPr>
          <w:p w14:paraId="6A640202" w14:textId="77777777" w:rsidR="001C19F3" w:rsidRDefault="001C19F3" w:rsidP="001C19F3">
            <w:pPr>
              <w:pStyle w:val="ListParagraph"/>
              <w:numPr>
                <w:ilvl w:val="0"/>
                <w:numId w:val="88"/>
              </w:numPr>
              <w:spacing w:before="40" w:after="40"/>
              <w:ind w:left="306" w:hanging="284"/>
              <w:rPr>
                <w:sz w:val="18"/>
                <w:szCs w:val="18"/>
              </w:rPr>
            </w:pPr>
            <w:r>
              <w:rPr>
                <w:sz w:val="18"/>
                <w:szCs w:val="18"/>
              </w:rPr>
              <w:t>Practices had insufficient time to learn the new tools to use them effectively before they were implemented.</w:t>
            </w:r>
          </w:p>
          <w:p w14:paraId="19ADF15A" w14:textId="77777777" w:rsidR="001C19F3" w:rsidRPr="009E0FD9" w:rsidRDefault="001C19F3" w:rsidP="001C19F3">
            <w:pPr>
              <w:pStyle w:val="ListParagraph"/>
              <w:numPr>
                <w:ilvl w:val="0"/>
                <w:numId w:val="88"/>
              </w:numPr>
              <w:spacing w:before="40" w:after="40"/>
              <w:ind w:left="306" w:hanging="284"/>
              <w:rPr>
                <w:sz w:val="18"/>
                <w:szCs w:val="18"/>
              </w:rPr>
            </w:pPr>
            <w:r>
              <w:rPr>
                <w:sz w:val="18"/>
                <w:szCs w:val="18"/>
              </w:rPr>
              <w:t>The time and resources associated with implementing new technology meant some practices withdrew from the trial.</w:t>
            </w:r>
          </w:p>
        </w:tc>
      </w:tr>
      <w:tr w:rsidR="001C19F3" w:rsidRPr="00F952D0" w14:paraId="744D13D9" w14:textId="77777777" w:rsidTr="00521305">
        <w:tc>
          <w:tcPr>
            <w:tcW w:w="9016" w:type="dxa"/>
            <w:gridSpan w:val="2"/>
          </w:tcPr>
          <w:p w14:paraId="3CF0933B" w14:textId="77777777" w:rsidR="001C19F3" w:rsidRPr="009E0FD9" w:rsidRDefault="001C19F3" w:rsidP="00521305">
            <w:pPr>
              <w:spacing w:before="40" w:after="40"/>
              <w:jc w:val="center"/>
              <w:rPr>
                <w:sz w:val="18"/>
                <w:szCs w:val="18"/>
              </w:rPr>
            </w:pPr>
            <w:r>
              <w:rPr>
                <w:b/>
                <w:sz w:val="18"/>
                <w:szCs w:val="18"/>
              </w:rPr>
              <w:t>Data and performance measurement</w:t>
            </w:r>
          </w:p>
        </w:tc>
      </w:tr>
      <w:tr w:rsidR="001C19F3" w:rsidRPr="00F952D0" w14:paraId="038A2D98" w14:textId="77777777" w:rsidTr="00521305">
        <w:tc>
          <w:tcPr>
            <w:tcW w:w="4508" w:type="dxa"/>
          </w:tcPr>
          <w:p w14:paraId="4BFF6EBB" w14:textId="77777777" w:rsidR="001C19F3" w:rsidRPr="00AF07B7" w:rsidRDefault="001C19F3" w:rsidP="001C19F3">
            <w:pPr>
              <w:pStyle w:val="ListParagraph"/>
              <w:numPr>
                <w:ilvl w:val="0"/>
                <w:numId w:val="88"/>
              </w:numPr>
              <w:spacing w:before="40" w:after="40"/>
              <w:ind w:left="306" w:hanging="284"/>
              <w:rPr>
                <w:sz w:val="18"/>
                <w:szCs w:val="18"/>
              </w:rPr>
            </w:pPr>
            <w:r w:rsidRPr="00AF07B7">
              <w:rPr>
                <w:sz w:val="18"/>
                <w:szCs w:val="18"/>
              </w:rPr>
              <w:t>The HCH program has strengthened data sharing between PHNs and practices, enhancing the scope for benchmarking amongst practices, which has the potential to improve chronic disease management.</w:t>
            </w:r>
          </w:p>
          <w:p w14:paraId="2147E25D" w14:textId="77777777" w:rsidR="001C19F3" w:rsidRDefault="001C19F3" w:rsidP="001C19F3">
            <w:pPr>
              <w:pStyle w:val="ListParagraph"/>
              <w:numPr>
                <w:ilvl w:val="0"/>
                <w:numId w:val="88"/>
              </w:numPr>
              <w:spacing w:before="40" w:after="40"/>
              <w:ind w:left="306" w:hanging="284"/>
              <w:rPr>
                <w:sz w:val="18"/>
                <w:szCs w:val="18"/>
              </w:rPr>
            </w:pPr>
            <w:r w:rsidRPr="00AF07B7">
              <w:rPr>
                <w:sz w:val="18"/>
                <w:szCs w:val="18"/>
              </w:rPr>
              <w:t xml:space="preserve">HCH encourages practices to improve the completeness and </w:t>
            </w:r>
            <w:r>
              <w:rPr>
                <w:sz w:val="18"/>
                <w:szCs w:val="18"/>
              </w:rPr>
              <w:t>quality of their data (e.g. the RST highlighted data quality issues, the benchmark reports will provide comparisons with similar practices that may help identify quality improvement priorities for practices).</w:t>
            </w:r>
          </w:p>
          <w:p w14:paraId="5DC3C8E0" w14:textId="77777777" w:rsidR="001C19F3" w:rsidRDefault="001C19F3" w:rsidP="001C19F3">
            <w:pPr>
              <w:pStyle w:val="ListParagraph"/>
              <w:numPr>
                <w:ilvl w:val="0"/>
                <w:numId w:val="88"/>
              </w:numPr>
              <w:spacing w:before="40" w:after="40"/>
              <w:ind w:left="306" w:hanging="284"/>
              <w:rPr>
                <w:sz w:val="18"/>
                <w:szCs w:val="18"/>
              </w:rPr>
            </w:pPr>
            <w:r>
              <w:rPr>
                <w:sz w:val="18"/>
                <w:szCs w:val="18"/>
              </w:rPr>
              <w:t xml:space="preserve">The evaluation of the trial has established infrastructure and processes (e.g. extracts </w:t>
            </w:r>
            <w:r>
              <w:rPr>
                <w:sz w:val="18"/>
                <w:szCs w:val="18"/>
              </w:rPr>
              <w:lastRenderedPageBreak/>
              <w:t>from practice clinical management systems, data linkage, surveys) that can be used for ongoing evaluation of the model.</w:t>
            </w:r>
          </w:p>
          <w:p w14:paraId="3AFE10F8" w14:textId="77777777" w:rsidR="001C19F3" w:rsidRPr="00AF07B7" w:rsidRDefault="001C19F3" w:rsidP="001C19F3">
            <w:pPr>
              <w:pStyle w:val="ListParagraph"/>
              <w:numPr>
                <w:ilvl w:val="0"/>
                <w:numId w:val="88"/>
              </w:numPr>
              <w:spacing w:before="40" w:after="40"/>
              <w:ind w:left="306" w:hanging="284"/>
              <w:rPr>
                <w:sz w:val="18"/>
                <w:szCs w:val="18"/>
              </w:rPr>
            </w:pPr>
            <w:r>
              <w:rPr>
                <w:sz w:val="18"/>
                <w:szCs w:val="18"/>
              </w:rPr>
              <w:t>The evaluation specified clinical process indicators which align closely with the PIP-Quality Improvement (QI) indicators which had been subsequently adopted.</w:t>
            </w:r>
          </w:p>
        </w:tc>
        <w:tc>
          <w:tcPr>
            <w:tcW w:w="4508" w:type="dxa"/>
          </w:tcPr>
          <w:p w14:paraId="3FDDBA88" w14:textId="77777777" w:rsidR="001C19F3" w:rsidRDefault="001C19F3" w:rsidP="001C19F3">
            <w:pPr>
              <w:pStyle w:val="ListParagraph"/>
              <w:numPr>
                <w:ilvl w:val="0"/>
                <w:numId w:val="88"/>
              </w:numPr>
              <w:spacing w:before="40" w:after="40"/>
              <w:ind w:left="306" w:hanging="284"/>
              <w:rPr>
                <w:sz w:val="18"/>
                <w:szCs w:val="18"/>
              </w:rPr>
            </w:pPr>
            <w:r>
              <w:rPr>
                <w:sz w:val="18"/>
                <w:szCs w:val="18"/>
              </w:rPr>
              <w:lastRenderedPageBreak/>
              <w:t>Practice data may be incomplete or not of sufficient quality for effective use of the RST and/ or for effective chronic disease management.</w:t>
            </w:r>
          </w:p>
          <w:p w14:paraId="3849D557" w14:textId="77777777" w:rsidR="001C19F3" w:rsidRPr="009E0FD9" w:rsidRDefault="001C19F3" w:rsidP="001C19F3">
            <w:pPr>
              <w:pStyle w:val="ListParagraph"/>
              <w:numPr>
                <w:ilvl w:val="0"/>
                <w:numId w:val="88"/>
              </w:numPr>
              <w:spacing w:before="40" w:after="40"/>
              <w:ind w:left="306" w:hanging="284"/>
              <w:rPr>
                <w:sz w:val="18"/>
                <w:szCs w:val="18"/>
              </w:rPr>
            </w:pPr>
            <w:r>
              <w:rPr>
                <w:sz w:val="18"/>
                <w:szCs w:val="18"/>
              </w:rPr>
              <w:t>There is no national minimum data set for primary care on which to build the data provision, feedback and development of common quality measures.</w:t>
            </w:r>
          </w:p>
        </w:tc>
      </w:tr>
    </w:tbl>
    <w:p w14:paraId="6703E287" w14:textId="77777777" w:rsidR="001C19F3" w:rsidRDefault="001C19F3" w:rsidP="001C19F3">
      <w:pPr>
        <w:spacing w:after="0"/>
        <w:contextualSpacing/>
      </w:pPr>
    </w:p>
    <w:p w14:paraId="1B164BBB" w14:textId="77777777" w:rsidR="001C19F3" w:rsidRPr="002D4F49" w:rsidRDefault="001C19F3" w:rsidP="001C19F3">
      <w:pPr>
        <w:rPr>
          <w:szCs w:val="20"/>
        </w:rPr>
      </w:pPr>
      <w:r>
        <w:rPr>
          <w:szCs w:val="20"/>
        </w:rPr>
        <w:t>The second key evaluation question concerns h</w:t>
      </w:r>
      <w:r w:rsidRPr="009E25EC">
        <w:rPr>
          <w:i/>
          <w:szCs w:val="20"/>
        </w:rPr>
        <w:t>ow the HCH model changed the way practices approach chronic disease management</w:t>
      </w:r>
      <w:r>
        <w:rPr>
          <w:i/>
          <w:szCs w:val="20"/>
        </w:rPr>
        <w:t xml:space="preserve">. </w:t>
      </w:r>
      <w:r w:rsidRPr="002D4F49">
        <w:rPr>
          <w:szCs w:val="20"/>
        </w:rPr>
        <w:t>In Chapter 8 of this report we have described changes that practices</w:t>
      </w:r>
      <w:r>
        <w:rPr>
          <w:szCs w:val="20"/>
        </w:rPr>
        <w:t xml:space="preserve"> have made. In subsequent reports we will describe these in more detail, and use practice data extracts to track how these changes may have impacted selected clinical processes and changes in patient experiences of the chronic illness care they receive. A challenge for answering this evaluation question is that many participating practices have already adopted good </w:t>
      </w:r>
      <w:r w:rsidRPr="002D4F49">
        <w:rPr>
          <w:szCs w:val="20"/>
        </w:rPr>
        <w:t>chronic disease management</w:t>
      </w:r>
      <w:r>
        <w:rPr>
          <w:szCs w:val="20"/>
        </w:rPr>
        <w:t xml:space="preserve"> approaches and have applied the elements of the health care home model over many years</w:t>
      </w:r>
      <w:r w:rsidRPr="002D4F49">
        <w:rPr>
          <w:szCs w:val="20"/>
        </w:rPr>
        <w:t>.</w:t>
      </w:r>
      <w:r>
        <w:rPr>
          <w:szCs w:val="20"/>
        </w:rPr>
        <w:t xml:space="preserve"> Some stakeholders suspect that the evaluation will struggle to identify major changes in clinical processes or patient experience. The next report will seek to explore changes in chronic disease management and also whether HCH supports practices to strengthen chronic disease management and provides a more appropriate financial basis for quality care.</w:t>
      </w:r>
    </w:p>
    <w:p w14:paraId="416413FC" w14:textId="77777777" w:rsidR="001C19F3" w:rsidRDefault="001C19F3" w:rsidP="001C19F3">
      <w:pPr>
        <w:rPr>
          <w:szCs w:val="20"/>
        </w:rPr>
      </w:pPr>
      <w:r>
        <w:rPr>
          <w:szCs w:val="20"/>
        </w:rPr>
        <w:t xml:space="preserve">The third key evaluation question concerns </w:t>
      </w:r>
      <w:r w:rsidRPr="00B32E73">
        <w:rPr>
          <w:i/>
          <w:szCs w:val="20"/>
        </w:rPr>
        <w:t>whether patients enrolled in HCH experience better quality care</w:t>
      </w:r>
      <w:r w:rsidRPr="00B32E73">
        <w:rPr>
          <w:szCs w:val="20"/>
        </w:rPr>
        <w:t>?</w:t>
      </w:r>
      <w:r>
        <w:rPr>
          <w:szCs w:val="20"/>
        </w:rPr>
        <w:t xml:space="preserve"> Chapter 12 of this report has reported on a baseline for patient experiences. The second and third rounds of patient surveys and interviews will provide insight into whether patient experiences have changed. </w:t>
      </w:r>
    </w:p>
    <w:p w14:paraId="375F763A" w14:textId="77777777" w:rsidR="001C19F3" w:rsidRDefault="001C19F3" w:rsidP="001C19F3">
      <w:pPr>
        <w:rPr>
          <w:lang w:eastAsia="en-AU"/>
        </w:rPr>
      </w:pPr>
      <w:r>
        <w:rPr>
          <w:szCs w:val="20"/>
        </w:rPr>
        <w:t xml:space="preserve">The fourth key evaluation question related to </w:t>
      </w:r>
      <w:r w:rsidRPr="0067548F">
        <w:rPr>
          <w:lang w:eastAsia="en-AU"/>
        </w:rPr>
        <w:t xml:space="preserve">the financial effects of HCH </w:t>
      </w:r>
      <w:r>
        <w:rPr>
          <w:lang w:eastAsia="en-AU"/>
        </w:rPr>
        <w:t xml:space="preserve">for </w:t>
      </w:r>
      <w:r w:rsidRPr="0067548F">
        <w:rPr>
          <w:lang w:eastAsia="en-AU"/>
        </w:rPr>
        <w:t>governments, providers and individuals?</w:t>
      </w:r>
      <w:r>
        <w:rPr>
          <w:lang w:eastAsia="en-AU"/>
        </w:rPr>
        <w:t xml:space="preserve"> Answering this question will require analysis of linked data related medical benefits, pharmaceutical benefits, hospital and emergency department care, and residential care. This will principally occur in the final evaluation report. One aspect of this question related to patient co-payments. The evidence to date suggests that co-payments directly related to the HCH have been minimal. However, a full picture of the impact for patients will require analysis of co-payments related to all MBS items and a comparison with similar patients receiving usual care.</w:t>
      </w:r>
    </w:p>
    <w:p w14:paraId="64475414" w14:textId="77777777" w:rsidR="001C19F3" w:rsidRDefault="001C19F3" w:rsidP="001C19F3">
      <w:pPr>
        <w:rPr>
          <w:lang w:eastAsia="en-AU"/>
        </w:rPr>
      </w:pPr>
      <w:r>
        <w:rPr>
          <w:lang w:eastAsia="en-AU"/>
        </w:rPr>
        <w:t>The remaining key evaluation questions related to the C</w:t>
      </w:r>
      <w:r w:rsidRPr="0067548F">
        <w:rPr>
          <w:lang w:eastAsia="en-AU"/>
        </w:rPr>
        <w:t xml:space="preserve">ommunity </w:t>
      </w:r>
      <w:r>
        <w:rPr>
          <w:lang w:eastAsia="en-AU"/>
        </w:rPr>
        <w:t>P</w:t>
      </w:r>
      <w:r w:rsidRPr="0067548F">
        <w:rPr>
          <w:lang w:eastAsia="en-AU"/>
        </w:rPr>
        <w:t xml:space="preserve">harmacy </w:t>
      </w:r>
      <w:r>
        <w:rPr>
          <w:lang w:eastAsia="en-AU"/>
        </w:rPr>
        <w:t>in HCH. As this component of HCH was implemented later, the answers to these questions will be mainly address in the next two reports.</w:t>
      </w:r>
    </w:p>
    <w:p w14:paraId="1F716845" w14:textId="77777777" w:rsidR="001C19F3" w:rsidRDefault="001C19F3" w:rsidP="001C19F3">
      <w:pPr>
        <w:rPr>
          <w:lang w:eastAsia="en-AU"/>
        </w:rPr>
      </w:pPr>
      <w:r>
        <w:rPr>
          <w:lang w:eastAsia="en-AU"/>
        </w:rPr>
        <w:fldChar w:fldCharType="begin"/>
      </w:r>
      <w:r>
        <w:rPr>
          <w:lang w:eastAsia="en-AU"/>
        </w:rPr>
        <w:instrText xml:space="preserve"> REF _Ref22376812 \h  \* MERGEFORMAT </w:instrText>
      </w:r>
      <w:r>
        <w:rPr>
          <w:lang w:eastAsia="en-AU"/>
        </w:rPr>
      </w:r>
      <w:r>
        <w:rPr>
          <w:lang w:eastAsia="en-AU"/>
        </w:rPr>
        <w:fldChar w:fldCharType="separate"/>
      </w:r>
      <w:r w:rsidRPr="00822044">
        <w:rPr>
          <w:lang w:eastAsia="en-AU"/>
        </w:rPr>
        <w:t>Table 58</w:t>
      </w:r>
      <w:r>
        <w:rPr>
          <w:lang w:eastAsia="en-AU"/>
        </w:rPr>
        <w:fldChar w:fldCharType="end"/>
      </w:r>
      <w:r>
        <w:rPr>
          <w:lang w:eastAsia="en-AU"/>
        </w:rPr>
        <w:t xml:space="preserve"> summarises the reports in which the key questions will be partially or fully addressed. Appendix 3 to Volume 3 lists the detailed questions identified for the evaluation and cross references the sections in this report at which these detailed questions are addressed.</w:t>
      </w:r>
    </w:p>
    <w:p w14:paraId="5CB9F336" w14:textId="77777777" w:rsidR="001C19F3" w:rsidRDefault="001C19F3" w:rsidP="001C19F3">
      <w:pPr>
        <w:spacing w:after="160" w:line="259" w:lineRule="auto"/>
        <w:rPr>
          <w:lang w:eastAsia="en-AU"/>
        </w:rPr>
      </w:pPr>
      <w:r>
        <w:rPr>
          <w:lang w:eastAsia="en-AU"/>
        </w:rPr>
        <w:br w:type="page"/>
      </w:r>
    </w:p>
    <w:p w14:paraId="64B437C8" w14:textId="77777777" w:rsidR="001C19F3" w:rsidRDefault="001C19F3" w:rsidP="001C19F3">
      <w:pPr>
        <w:spacing w:after="0"/>
        <w:jc w:val="center"/>
        <w:rPr>
          <w:b/>
          <w:szCs w:val="20"/>
        </w:rPr>
      </w:pPr>
      <w:bookmarkStart w:id="392" w:name="_Ref22376812"/>
      <w:bookmarkStart w:id="393" w:name="_Toc532396766"/>
      <w:r w:rsidRPr="00F952D0">
        <w:rPr>
          <w:b/>
          <w:szCs w:val="20"/>
        </w:rPr>
        <w:lastRenderedPageBreak/>
        <w:t xml:space="preserve">Table </w:t>
      </w:r>
      <w:r w:rsidRPr="00F952D0">
        <w:rPr>
          <w:b/>
          <w:szCs w:val="20"/>
        </w:rPr>
        <w:fldChar w:fldCharType="begin"/>
      </w:r>
      <w:r w:rsidRPr="00F952D0">
        <w:rPr>
          <w:b/>
          <w:szCs w:val="20"/>
        </w:rPr>
        <w:instrText xml:space="preserve"> SEQ Table \* ARABIC </w:instrText>
      </w:r>
      <w:r w:rsidRPr="00F952D0">
        <w:rPr>
          <w:b/>
          <w:szCs w:val="20"/>
        </w:rPr>
        <w:fldChar w:fldCharType="separate"/>
      </w:r>
      <w:r>
        <w:rPr>
          <w:b/>
          <w:noProof/>
          <w:szCs w:val="20"/>
        </w:rPr>
        <w:t>58</w:t>
      </w:r>
      <w:r w:rsidRPr="00F952D0">
        <w:rPr>
          <w:b/>
          <w:szCs w:val="20"/>
        </w:rPr>
        <w:fldChar w:fldCharType="end"/>
      </w:r>
      <w:bookmarkEnd w:id="392"/>
      <w:r w:rsidRPr="00F952D0">
        <w:rPr>
          <w:b/>
          <w:szCs w:val="20"/>
        </w:rPr>
        <w:t xml:space="preserve"> – </w:t>
      </w:r>
      <w:r w:rsidRPr="001500A1">
        <w:rPr>
          <w:b/>
          <w:szCs w:val="20"/>
        </w:rPr>
        <w:t xml:space="preserve">Key questions for the HCH evaluation and the evaluation </w:t>
      </w:r>
    </w:p>
    <w:p w14:paraId="70CCD356" w14:textId="77777777" w:rsidR="001C19F3" w:rsidRPr="001500A1" w:rsidRDefault="001C19F3" w:rsidP="001C19F3">
      <w:pPr>
        <w:spacing w:after="0"/>
        <w:jc w:val="center"/>
        <w:rPr>
          <w:b/>
          <w:szCs w:val="20"/>
        </w:rPr>
      </w:pPr>
      <w:r w:rsidRPr="001500A1">
        <w:rPr>
          <w:b/>
          <w:szCs w:val="20"/>
        </w:rPr>
        <w:t>reports in which these will be addressed</w:t>
      </w:r>
    </w:p>
    <w:tbl>
      <w:tblPr>
        <w:tblW w:w="8460" w:type="dxa"/>
        <w:jc w:val="center"/>
        <w:tblLayout w:type="fixed"/>
        <w:tblCellMar>
          <w:left w:w="0" w:type="dxa"/>
          <w:right w:w="0" w:type="dxa"/>
        </w:tblCellMar>
        <w:tblLook w:val="01E0" w:firstRow="1" w:lastRow="1" w:firstColumn="1" w:lastColumn="1" w:noHBand="0" w:noVBand="0"/>
      </w:tblPr>
      <w:tblGrid>
        <w:gridCol w:w="5279"/>
        <w:gridCol w:w="1061"/>
        <w:gridCol w:w="1059"/>
        <w:gridCol w:w="1061"/>
      </w:tblGrid>
      <w:tr w:rsidR="001C19F3" w14:paraId="7A9AAB08" w14:textId="77777777" w:rsidTr="00521305">
        <w:trPr>
          <w:trHeight w:val="20"/>
          <w:jc w:val="center"/>
        </w:trPr>
        <w:tc>
          <w:tcPr>
            <w:tcW w:w="5279" w:type="dxa"/>
            <w:vMerge w:val="restart"/>
            <w:tcBorders>
              <w:top w:val="single" w:sz="5" w:space="0" w:color="BEBEBE"/>
              <w:left w:val="single" w:sz="5" w:space="0" w:color="BEBEBE"/>
              <w:right w:val="single" w:sz="5" w:space="0" w:color="BEBEBE"/>
            </w:tcBorders>
            <w:shd w:val="clear" w:color="auto" w:fill="003C79"/>
            <w:vAlign w:val="center"/>
          </w:tcPr>
          <w:p w14:paraId="7CD488B8" w14:textId="77777777" w:rsidR="001C19F3" w:rsidRDefault="001C19F3" w:rsidP="00521305">
            <w:pPr>
              <w:pStyle w:val="TableParagraph"/>
              <w:spacing w:before="12" w:line="220" w:lineRule="exact"/>
              <w:jc w:val="center"/>
            </w:pPr>
          </w:p>
          <w:p w14:paraId="008DEC11" w14:textId="77777777" w:rsidR="001C19F3" w:rsidRPr="001500A1" w:rsidRDefault="001C19F3" w:rsidP="00521305">
            <w:pPr>
              <w:pStyle w:val="TableParagraph"/>
              <w:ind w:left="3"/>
              <w:jc w:val="center"/>
              <w:rPr>
                <w:rFonts w:ascii="Century Gothic" w:hAnsi="Century Gothic"/>
                <w:sz w:val="16"/>
              </w:rPr>
            </w:pPr>
            <w:r w:rsidRPr="001500A1">
              <w:rPr>
                <w:rFonts w:ascii="Century Gothic"/>
                <w:b/>
                <w:color w:val="FFFFFF"/>
                <w:spacing w:val="-1"/>
                <w:sz w:val="16"/>
              </w:rPr>
              <w:t>Key</w:t>
            </w:r>
            <w:r w:rsidRPr="001500A1">
              <w:rPr>
                <w:rFonts w:ascii="Century Gothic"/>
                <w:b/>
                <w:color w:val="FFFFFF"/>
                <w:spacing w:val="-2"/>
                <w:sz w:val="16"/>
              </w:rPr>
              <w:t xml:space="preserve"> </w:t>
            </w:r>
            <w:r w:rsidRPr="001500A1">
              <w:rPr>
                <w:rFonts w:ascii="Century Gothic"/>
                <w:b/>
                <w:color w:val="FFFFFF"/>
                <w:spacing w:val="-1"/>
                <w:sz w:val="16"/>
              </w:rPr>
              <w:t>question</w:t>
            </w:r>
          </w:p>
        </w:tc>
        <w:tc>
          <w:tcPr>
            <w:tcW w:w="3181" w:type="dxa"/>
            <w:gridSpan w:val="3"/>
            <w:tcBorders>
              <w:top w:val="single" w:sz="5" w:space="0" w:color="BEBEBE"/>
              <w:left w:val="single" w:sz="5" w:space="0" w:color="BEBEBE"/>
              <w:bottom w:val="single" w:sz="5" w:space="0" w:color="BEBEBE"/>
              <w:right w:val="single" w:sz="5" w:space="0" w:color="BEBEBE"/>
            </w:tcBorders>
            <w:shd w:val="clear" w:color="auto" w:fill="003C79"/>
            <w:vAlign w:val="center"/>
          </w:tcPr>
          <w:p w14:paraId="5FA5E6F8" w14:textId="77777777" w:rsidR="001C19F3" w:rsidRPr="001500A1" w:rsidRDefault="001C19F3" w:rsidP="00521305">
            <w:pPr>
              <w:pStyle w:val="TableParagraph"/>
              <w:spacing w:before="1"/>
              <w:ind w:left="894"/>
              <w:jc w:val="center"/>
              <w:rPr>
                <w:rFonts w:ascii="Century Gothic" w:hAnsi="Century Gothic"/>
                <w:sz w:val="16"/>
              </w:rPr>
            </w:pPr>
            <w:r w:rsidRPr="001500A1">
              <w:rPr>
                <w:rFonts w:ascii="Century Gothic"/>
                <w:b/>
                <w:color w:val="FFFFFF"/>
                <w:spacing w:val="-1"/>
                <w:sz w:val="16"/>
              </w:rPr>
              <w:t>Evaluation</w:t>
            </w:r>
            <w:r w:rsidRPr="001500A1">
              <w:rPr>
                <w:rFonts w:ascii="Century Gothic"/>
                <w:b/>
                <w:color w:val="FFFFFF"/>
                <w:spacing w:val="-3"/>
                <w:sz w:val="16"/>
              </w:rPr>
              <w:t xml:space="preserve"> </w:t>
            </w:r>
            <w:r w:rsidRPr="001500A1">
              <w:rPr>
                <w:rFonts w:ascii="Century Gothic"/>
                <w:b/>
                <w:color w:val="FFFFFF"/>
                <w:spacing w:val="-1"/>
                <w:sz w:val="16"/>
              </w:rPr>
              <w:t>reports</w:t>
            </w:r>
          </w:p>
        </w:tc>
      </w:tr>
      <w:tr w:rsidR="001C19F3" w14:paraId="7B9D78C8" w14:textId="77777777" w:rsidTr="00521305">
        <w:trPr>
          <w:trHeight w:val="20"/>
          <w:jc w:val="center"/>
        </w:trPr>
        <w:tc>
          <w:tcPr>
            <w:tcW w:w="5279" w:type="dxa"/>
            <w:vMerge/>
            <w:tcBorders>
              <w:left w:val="single" w:sz="5" w:space="0" w:color="BEBEBE"/>
              <w:bottom w:val="single" w:sz="5" w:space="0" w:color="BEBEBE"/>
              <w:right w:val="single" w:sz="5" w:space="0" w:color="BEBEBE"/>
            </w:tcBorders>
            <w:shd w:val="clear" w:color="auto" w:fill="003C79"/>
            <w:vAlign w:val="center"/>
          </w:tcPr>
          <w:p w14:paraId="1AA04FA3" w14:textId="77777777" w:rsidR="001C19F3" w:rsidRPr="001500A1" w:rsidRDefault="001C19F3" w:rsidP="00521305">
            <w:pPr>
              <w:jc w:val="center"/>
              <w:rPr>
                <w:sz w:val="22"/>
              </w:rPr>
            </w:pPr>
          </w:p>
        </w:tc>
        <w:tc>
          <w:tcPr>
            <w:tcW w:w="1061" w:type="dxa"/>
            <w:tcBorders>
              <w:top w:val="single" w:sz="5" w:space="0" w:color="BEBEBE"/>
              <w:left w:val="single" w:sz="5" w:space="0" w:color="BEBEBE"/>
              <w:bottom w:val="single" w:sz="5" w:space="0" w:color="BEBEBE"/>
              <w:right w:val="single" w:sz="5" w:space="0" w:color="BEBEBE"/>
            </w:tcBorders>
            <w:shd w:val="clear" w:color="auto" w:fill="003C79"/>
            <w:vAlign w:val="center"/>
          </w:tcPr>
          <w:p w14:paraId="131BF244" w14:textId="77777777" w:rsidR="001C19F3" w:rsidRPr="001500A1" w:rsidRDefault="001C19F3" w:rsidP="00521305">
            <w:pPr>
              <w:pStyle w:val="TableParagraph"/>
              <w:spacing w:before="1" w:line="276" w:lineRule="auto"/>
              <w:ind w:left="166" w:firstLine="36"/>
              <w:jc w:val="center"/>
              <w:rPr>
                <w:rFonts w:ascii="Century Gothic" w:hAnsi="Century Gothic"/>
                <w:sz w:val="16"/>
              </w:rPr>
            </w:pPr>
            <w:r>
              <w:rPr>
                <w:rFonts w:ascii="Century Gothic"/>
                <w:b/>
                <w:color w:val="FFFFFF"/>
                <w:spacing w:val="-1"/>
                <w:sz w:val="16"/>
              </w:rPr>
              <w:t>2019 Interim report</w:t>
            </w:r>
          </w:p>
        </w:tc>
        <w:tc>
          <w:tcPr>
            <w:tcW w:w="1059" w:type="dxa"/>
            <w:tcBorders>
              <w:top w:val="single" w:sz="5" w:space="0" w:color="BEBEBE"/>
              <w:left w:val="single" w:sz="5" w:space="0" w:color="BEBEBE"/>
              <w:bottom w:val="single" w:sz="5" w:space="0" w:color="BEBEBE"/>
              <w:right w:val="single" w:sz="5" w:space="0" w:color="BEBEBE"/>
            </w:tcBorders>
            <w:shd w:val="clear" w:color="auto" w:fill="003C79"/>
            <w:vAlign w:val="center"/>
          </w:tcPr>
          <w:p w14:paraId="3229CA35" w14:textId="77777777" w:rsidR="001C19F3" w:rsidRPr="001500A1" w:rsidRDefault="001C19F3" w:rsidP="00521305">
            <w:pPr>
              <w:pStyle w:val="TableParagraph"/>
              <w:spacing w:before="1" w:line="276" w:lineRule="auto"/>
              <w:ind w:left="164" w:right="169" w:firstLine="91"/>
              <w:jc w:val="center"/>
              <w:rPr>
                <w:rFonts w:ascii="Century Gothic" w:hAnsi="Century Gothic"/>
                <w:sz w:val="16"/>
              </w:rPr>
            </w:pPr>
            <w:r>
              <w:rPr>
                <w:rFonts w:ascii="Century Gothic"/>
                <w:b/>
                <w:color w:val="FFFFFF"/>
                <w:spacing w:val="-1"/>
                <w:sz w:val="16"/>
              </w:rPr>
              <w:t>2020 Interim report</w:t>
            </w:r>
          </w:p>
        </w:tc>
        <w:tc>
          <w:tcPr>
            <w:tcW w:w="1061" w:type="dxa"/>
            <w:tcBorders>
              <w:top w:val="single" w:sz="5" w:space="0" w:color="BEBEBE"/>
              <w:left w:val="single" w:sz="5" w:space="0" w:color="BEBEBE"/>
              <w:bottom w:val="single" w:sz="5" w:space="0" w:color="BEBEBE"/>
              <w:right w:val="single" w:sz="5" w:space="0" w:color="BEBEBE"/>
            </w:tcBorders>
            <w:shd w:val="clear" w:color="auto" w:fill="003C79"/>
            <w:vAlign w:val="center"/>
          </w:tcPr>
          <w:p w14:paraId="083F333E" w14:textId="77777777" w:rsidR="001C19F3" w:rsidRPr="001500A1" w:rsidRDefault="001C19F3" w:rsidP="00521305">
            <w:pPr>
              <w:pStyle w:val="TableParagraph"/>
              <w:spacing w:before="1" w:line="276" w:lineRule="auto"/>
              <w:jc w:val="center"/>
              <w:rPr>
                <w:rFonts w:ascii="Century Gothic" w:hAnsi="Century Gothic"/>
                <w:sz w:val="16"/>
              </w:rPr>
            </w:pPr>
            <w:r w:rsidRPr="001500A1">
              <w:rPr>
                <w:rFonts w:ascii="Century Gothic"/>
                <w:b/>
                <w:color w:val="FFFFFF"/>
                <w:spacing w:val="-1"/>
                <w:sz w:val="16"/>
              </w:rPr>
              <w:t>Final</w:t>
            </w:r>
            <w:r>
              <w:rPr>
                <w:rFonts w:ascii="Century Gothic"/>
                <w:b/>
                <w:color w:val="FFFFFF"/>
                <w:spacing w:val="-1"/>
                <w:sz w:val="16"/>
              </w:rPr>
              <w:t xml:space="preserve"> report (late 2021)</w:t>
            </w:r>
          </w:p>
        </w:tc>
      </w:tr>
      <w:tr w:rsidR="001C19F3" w14:paraId="4C0BCC75"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632F97C0"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hAnsi="Century Gothic"/>
                <w:sz w:val="18"/>
                <w:szCs w:val="18"/>
              </w:rPr>
            </w:pPr>
            <w:r w:rsidRPr="000F061B">
              <w:rPr>
                <w:rFonts w:ascii="Century Gothic"/>
                <w:spacing w:val="-1"/>
                <w:sz w:val="18"/>
                <w:szCs w:val="18"/>
              </w:rPr>
              <w:t xml:space="preserve">How </w:t>
            </w:r>
            <w:r w:rsidRPr="000F061B">
              <w:rPr>
                <w:rFonts w:ascii="Century Gothic"/>
                <w:sz w:val="18"/>
                <w:szCs w:val="18"/>
              </w:rPr>
              <w:t>was</w:t>
            </w:r>
            <w:r w:rsidRPr="000F061B">
              <w:rPr>
                <w:rFonts w:ascii="Century Gothic"/>
                <w:spacing w:val="-2"/>
                <w:sz w:val="18"/>
                <w:szCs w:val="18"/>
              </w:rPr>
              <w:t xml:space="preserve"> </w:t>
            </w:r>
            <w:r w:rsidRPr="000F061B">
              <w:rPr>
                <w:rFonts w:ascii="Century Gothic"/>
                <w:spacing w:val="-1"/>
                <w:sz w:val="18"/>
                <w:szCs w:val="18"/>
              </w:rPr>
              <w:t>the</w:t>
            </w:r>
            <w:r w:rsidRPr="000F061B">
              <w:rPr>
                <w:rFonts w:ascii="Century Gothic"/>
                <w:sz w:val="18"/>
                <w:szCs w:val="18"/>
              </w:rPr>
              <w:t xml:space="preserve"> </w:t>
            </w:r>
            <w:r w:rsidRPr="000F061B">
              <w:rPr>
                <w:rFonts w:ascii="Century Gothic"/>
                <w:spacing w:val="-1"/>
                <w:sz w:val="18"/>
                <w:szCs w:val="18"/>
              </w:rPr>
              <w:t xml:space="preserve">HCH </w:t>
            </w:r>
            <w:r w:rsidRPr="000F061B">
              <w:rPr>
                <w:rFonts w:ascii="Century Gothic"/>
                <w:spacing w:val="-2"/>
                <w:sz w:val="18"/>
                <w:szCs w:val="18"/>
              </w:rPr>
              <w:t>model</w:t>
            </w:r>
            <w:r w:rsidRPr="000F061B">
              <w:rPr>
                <w:rFonts w:ascii="Century Gothic"/>
                <w:sz w:val="18"/>
                <w:szCs w:val="18"/>
              </w:rPr>
              <w:t xml:space="preserve"> </w:t>
            </w:r>
            <w:r w:rsidRPr="000F061B">
              <w:rPr>
                <w:rFonts w:ascii="Century Gothic"/>
                <w:spacing w:val="-1"/>
                <w:sz w:val="18"/>
                <w:szCs w:val="18"/>
              </w:rPr>
              <w:t>implemented</w:t>
            </w:r>
            <w:r w:rsidRPr="000F061B">
              <w:rPr>
                <w:rFonts w:ascii="Century Gothic"/>
                <w:spacing w:val="1"/>
                <w:sz w:val="18"/>
                <w:szCs w:val="18"/>
              </w:rPr>
              <w:t xml:space="preserve"> </w:t>
            </w:r>
            <w:r w:rsidRPr="000F061B">
              <w:rPr>
                <w:rFonts w:ascii="Century Gothic"/>
                <w:spacing w:val="-1"/>
                <w:sz w:val="18"/>
                <w:szCs w:val="18"/>
              </w:rPr>
              <w:t>and</w:t>
            </w:r>
            <w:r w:rsidRPr="000F061B">
              <w:rPr>
                <w:rFonts w:ascii="Century Gothic"/>
                <w:spacing w:val="-4"/>
                <w:sz w:val="18"/>
                <w:szCs w:val="18"/>
              </w:rPr>
              <w:t xml:space="preserve"> </w:t>
            </w:r>
            <w:r w:rsidRPr="000F061B">
              <w:rPr>
                <w:rFonts w:ascii="Century Gothic"/>
                <w:sz w:val="18"/>
                <w:szCs w:val="18"/>
              </w:rPr>
              <w:t>what</w:t>
            </w:r>
            <w:r w:rsidRPr="000F061B">
              <w:rPr>
                <w:rFonts w:ascii="Century Gothic"/>
                <w:spacing w:val="-6"/>
                <w:sz w:val="18"/>
                <w:szCs w:val="18"/>
              </w:rPr>
              <w:t xml:space="preserve"> </w:t>
            </w:r>
            <w:r w:rsidRPr="000F061B">
              <w:rPr>
                <w:rFonts w:ascii="Century Gothic"/>
                <w:sz w:val="18"/>
                <w:szCs w:val="18"/>
              </w:rPr>
              <w:t>were</w:t>
            </w:r>
            <w:r w:rsidRPr="000F061B">
              <w:rPr>
                <w:rFonts w:ascii="Century Gothic"/>
                <w:spacing w:val="-1"/>
                <w:sz w:val="18"/>
                <w:szCs w:val="18"/>
              </w:rPr>
              <w:t xml:space="preserve"> the</w:t>
            </w:r>
            <w:r w:rsidRPr="000F061B">
              <w:rPr>
                <w:rFonts w:ascii="Century Gothic"/>
                <w:sz w:val="18"/>
                <w:szCs w:val="18"/>
              </w:rPr>
              <w:t xml:space="preserve"> </w:t>
            </w:r>
            <w:r w:rsidRPr="000F061B">
              <w:rPr>
                <w:rFonts w:ascii="Century Gothic"/>
                <w:spacing w:val="-1"/>
                <w:sz w:val="18"/>
                <w:szCs w:val="18"/>
              </w:rPr>
              <w:t>barriers</w:t>
            </w:r>
            <w:r w:rsidRPr="000F061B">
              <w:rPr>
                <w:rFonts w:ascii="Century Gothic"/>
                <w:spacing w:val="-2"/>
                <w:sz w:val="18"/>
                <w:szCs w:val="18"/>
              </w:rPr>
              <w:t xml:space="preserve"> </w:t>
            </w:r>
            <w:r w:rsidRPr="000F061B">
              <w:rPr>
                <w:rFonts w:ascii="Century Gothic"/>
                <w:spacing w:val="-1"/>
                <w:sz w:val="18"/>
                <w:szCs w:val="18"/>
              </w:rPr>
              <w:t>and</w:t>
            </w:r>
            <w:r w:rsidRPr="000F061B">
              <w:rPr>
                <w:rFonts w:ascii="Century Gothic"/>
                <w:spacing w:val="45"/>
                <w:sz w:val="18"/>
                <w:szCs w:val="18"/>
              </w:rPr>
              <w:t xml:space="preserve"> </w:t>
            </w:r>
            <w:r w:rsidRPr="000F061B">
              <w:rPr>
                <w:rFonts w:ascii="Century Gothic"/>
                <w:spacing w:val="-1"/>
                <w:sz w:val="18"/>
                <w:szCs w:val="18"/>
              </w:rPr>
              <w:t>enablers?</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33DD8DC6" w14:textId="77777777" w:rsidR="001C19F3" w:rsidRPr="000F061B" w:rsidRDefault="001C19F3" w:rsidP="00521305">
            <w:pPr>
              <w:pStyle w:val="TableParagraph"/>
              <w:ind w:left="432" w:right="433"/>
              <w:jc w:val="center"/>
              <w:rPr>
                <w:rFonts w:ascii="Wingdings 2" w:hAnsi="Wingdings 2"/>
                <w:sz w:val="24"/>
                <w:szCs w:val="24"/>
              </w:rPr>
            </w:pPr>
            <w:r w:rsidRPr="000F061B">
              <w:rPr>
                <w:rFonts w:ascii="Wingdings 2" w:eastAsia="Wingdings 2" w:hAnsi="Wingdings 2" w:cs="Wingdings 2"/>
                <w:sz w:val="24"/>
                <w:szCs w:val="24"/>
              </w:rPr>
              <w:t></w:t>
            </w: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594A36B" w14:textId="77777777" w:rsidR="001C19F3" w:rsidRPr="000F061B" w:rsidRDefault="001C19F3" w:rsidP="00521305">
            <w:pPr>
              <w:pStyle w:val="TableParagraph"/>
              <w:ind w:left="459" w:right="463"/>
              <w:jc w:val="center"/>
              <w:rPr>
                <w:rFonts w:ascii="Wingdings 2" w:hAnsi="Wingdings 2"/>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24E2C71" w14:textId="77777777" w:rsidR="001C19F3" w:rsidRPr="000F061B" w:rsidRDefault="001C19F3" w:rsidP="00521305">
            <w:pPr>
              <w:pStyle w:val="TableParagraph"/>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C19F3" w14:paraId="0CB5E56B"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7BAF836F"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How does the HCH model change the way practices approach chronic disease management?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7523ED9" w14:textId="77777777" w:rsidR="001C19F3" w:rsidRPr="000F061B" w:rsidRDefault="001C19F3" w:rsidP="00521305">
            <w:pPr>
              <w:spacing w:after="0"/>
              <w:jc w:val="center"/>
              <w:rPr>
                <w:sz w:val="24"/>
                <w:szCs w:val="24"/>
              </w:rPr>
            </w:pPr>
            <w:r w:rsidRPr="000F061B">
              <w:rPr>
                <w:rFonts w:ascii="Wingdings 2" w:eastAsia="Wingdings 2" w:hAnsi="Wingdings 2" w:cs="Wingdings 2"/>
                <w:sz w:val="24"/>
                <w:szCs w:val="24"/>
              </w:rPr>
              <w:t></w:t>
            </w: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941D8AF" w14:textId="77777777" w:rsidR="001C19F3" w:rsidRPr="000F061B" w:rsidRDefault="001C19F3" w:rsidP="00521305">
            <w:pPr>
              <w:pStyle w:val="TableParagraph"/>
              <w:ind w:left="459" w:right="463"/>
              <w:jc w:val="center"/>
              <w:rPr>
                <w:rFonts w:ascii="Wingdings 2" w:hAnsi="Wingdings 2"/>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E2280D8" w14:textId="77777777" w:rsidR="001C19F3" w:rsidRPr="000F061B" w:rsidRDefault="001C19F3" w:rsidP="00521305">
            <w:pPr>
              <w:pStyle w:val="TableParagraph"/>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C19F3" w14:paraId="30BDC730"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392EF298"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Do patients enrolled in HCH experience better quality care?</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91D77F3" w14:textId="77777777" w:rsidR="001C19F3" w:rsidRPr="000F061B" w:rsidRDefault="001C19F3" w:rsidP="00521305">
            <w:pPr>
              <w:spacing w:after="0"/>
              <w:jc w:val="center"/>
              <w:rPr>
                <w:sz w:val="24"/>
                <w:szCs w:val="24"/>
              </w:rPr>
            </w:pP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A8F9119" w14:textId="77777777" w:rsidR="001C19F3" w:rsidRPr="000F061B" w:rsidRDefault="001C19F3" w:rsidP="00521305">
            <w:pPr>
              <w:spacing w:after="0"/>
              <w:jc w:val="center"/>
              <w:rPr>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0BE5488" w14:textId="77777777" w:rsidR="001C19F3" w:rsidRPr="000F061B" w:rsidRDefault="001C19F3" w:rsidP="00521305">
            <w:pPr>
              <w:pStyle w:val="TableParagraph"/>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C19F3" w14:paraId="39E86474"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7B8F57D9"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What are the financial effects of the HCH model on governments, providers and individuals?</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52A10C0" w14:textId="77777777" w:rsidR="001C19F3" w:rsidRPr="000F061B" w:rsidRDefault="001C19F3" w:rsidP="00521305">
            <w:pPr>
              <w:spacing w:after="0"/>
              <w:jc w:val="center"/>
              <w:rPr>
                <w:sz w:val="24"/>
                <w:szCs w:val="24"/>
              </w:rPr>
            </w:pP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9D16565" w14:textId="77777777" w:rsidR="001C19F3" w:rsidRPr="000F061B" w:rsidRDefault="001C19F3" w:rsidP="00521305">
            <w:pPr>
              <w:pStyle w:val="TableParagraph"/>
              <w:ind w:left="459" w:right="463"/>
              <w:jc w:val="center"/>
              <w:rPr>
                <w:rFonts w:ascii="Wingdings 2" w:hAnsi="Wingdings 2"/>
                <w:sz w:val="24"/>
                <w:szCs w:val="24"/>
              </w:rPr>
            </w:pP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12BD71D" w14:textId="77777777" w:rsidR="001C19F3" w:rsidRPr="000F061B" w:rsidRDefault="001C19F3" w:rsidP="00521305">
            <w:pPr>
              <w:pStyle w:val="TableParagraph"/>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C19F3" w14:paraId="2B276D6F"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236285CB"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Is the community pharmacy component a beneficial component of the broader HCH coordinated care model and should it be included as part of any future roll out?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5B37372" w14:textId="77777777" w:rsidR="001C19F3" w:rsidRPr="000F061B" w:rsidRDefault="001C19F3" w:rsidP="00521305">
            <w:pPr>
              <w:spacing w:after="0"/>
              <w:jc w:val="center"/>
              <w:rPr>
                <w:sz w:val="24"/>
                <w:szCs w:val="24"/>
              </w:rPr>
            </w:pP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2060A6D2" w14:textId="77777777" w:rsidR="001C19F3" w:rsidRPr="000F061B" w:rsidRDefault="001C19F3" w:rsidP="00521305">
            <w:pPr>
              <w:pStyle w:val="TableParagraph"/>
              <w:ind w:left="459" w:right="46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36EC87ED" w14:textId="77777777" w:rsidR="001C19F3" w:rsidRPr="000F061B" w:rsidRDefault="001C19F3" w:rsidP="00521305">
            <w:pPr>
              <w:pStyle w:val="TableParagraph"/>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r w:rsidR="001C19F3" w14:paraId="7D0009A6"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229E091A"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Do patients who received medication management services as part of the HCH trial experience better health outcomes than patients who did not?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23CFF2C1" w14:textId="77777777" w:rsidR="001C19F3" w:rsidRPr="000F061B" w:rsidRDefault="001C19F3" w:rsidP="00521305">
            <w:pPr>
              <w:spacing w:after="0"/>
              <w:jc w:val="center"/>
              <w:rPr>
                <w:sz w:val="24"/>
                <w:szCs w:val="24"/>
              </w:rPr>
            </w:pP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BA09473" w14:textId="77777777" w:rsidR="001C19F3" w:rsidRPr="000F061B" w:rsidRDefault="001C19F3" w:rsidP="00521305">
            <w:pPr>
              <w:pStyle w:val="TableParagraph"/>
              <w:ind w:left="459" w:right="46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A6C04C6" w14:textId="77777777" w:rsidR="001C19F3" w:rsidRPr="000F061B" w:rsidRDefault="001C19F3" w:rsidP="00521305">
            <w:pPr>
              <w:pStyle w:val="TableParagraph"/>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r w:rsidR="001C19F3" w14:paraId="55F6A4B2"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057F30D3"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What was the level of engagement between HCH practices and community pharmacy (care coordination)?</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B80CA84" w14:textId="77777777" w:rsidR="001C19F3" w:rsidRPr="000F061B" w:rsidRDefault="001C19F3" w:rsidP="00521305">
            <w:pPr>
              <w:spacing w:after="0"/>
              <w:jc w:val="center"/>
              <w:rPr>
                <w:sz w:val="24"/>
                <w:szCs w:val="24"/>
              </w:rPr>
            </w:pP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6E62F2E" w14:textId="77777777" w:rsidR="001C19F3" w:rsidRPr="000F061B" w:rsidRDefault="001C19F3" w:rsidP="00521305">
            <w:pPr>
              <w:pStyle w:val="TableParagraph"/>
              <w:ind w:left="459" w:right="46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7ACA9B1" w14:textId="77777777" w:rsidR="001C19F3" w:rsidRPr="000F061B" w:rsidRDefault="001C19F3" w:rsidP="00521305">
            <w:pPr>
              <w:pStyle w:val="TableParagraph"/>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r w:rsidR="001C19F3" w14:paraId="5917BCD8" w14:textId="77777777" w:rsidTr="00521305">
        <w:trPr>
          <w:trHeight w:val="20"/>
          <w:jc w:val="center"/>
        </w:trPr>
        <w:tc>
          <w:tcPr>
            <w:tcW w:w="5279" w:type="dxa"/>
            <w:tcBorders>
              <w:top w:val="single" w:sz="5" w:space="0" w:color="BEBEBE"/>
              <w:left w:val="single" w:sz="5" w:space="0" w:color="BEBEBE"/>
              <w:bottom w:val="single" w:sz="5" w:space="0" w:color="BEBEBE"/>
              <w:right w:val="single" w:sz="5" w:space="0" w:color="BEBEBE"/>
            </w:tcBorders>
          </w:tcPr>
          <w:p w14:paraId="72191FBF" w14:textId="77777777" w:rsidR="001C19F3" w:rsidRPr="000F061B" w:rsidRDefault="001C19F3" w:rsidP="001C19F3">
            <w:pPr>
              <w:pStyle w:val="TableParagraph"/>
              <w:numPr>
                <w:ilvl w:val="0"/>
                <w:numId w:val="90"/>
              </w:numPr>
              <w:autoSpaceDE w:val="0"/>
              <w:autoSpaceDN w:val="0"/>
              <w:spacing w:before="1" w:line="276" w:lineRule="auto"/>
              <w:ind w:left="567" w:right="172"/>
              <w:rPr>
                <w:rFonts w:ascii="Century Gothic"/>
                <w:spacing w:val="-1"/>
                <w:sz w:val="18"/>
                <w:szCs w:val="18"/>
              </w:rPr>
            </w:pPr>
            <w:r w:rsidRPr="000F061B">
              <w:rPr>
                <w:rFonts w:ascii="Century Gothic"/>
                <w:spacing w:val="-1"/>
                <w:sz w:val="18"/>
                <w:szCs w:val="18"/>
              </w:rPr>
              <w:t>Is the inclusion of a pharmacy component in HCH financially viable?</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8E3CF7B" w14:textId="77777777" w:rsidR="001C19F3" w:rsidRPr="000F061B" w:rsidRDefault="001C19F3" w:rsidP="00521305">
            <w:pPr>
              <w:spacing w:after="0"/>
              <w:jc w:val="center"/>
              <w:rPr>
                <w:sz w:val="24"/>
                <w:szCs w:val="24"/>
              </w:rPr>
            </w:pPr>
          </w:p>
        </w:tc>
        <w:tc>
          <w:tcPr>
            <w:tcW w:w="1059" w:type="dxa"/>
            <w:tcBorders>
              <w:top w:val="single" w:sz="5" w:space="0" w:color="BEBEBE"/>
              <w:left w:val="single" w:sz="5" w:space="0" w:color="BEBEBE"/>
              <w:bottom w:val="single" w:sz="5" w:space="0" w:color="BEBEBE"/>
              <w:right w:val="single" w:sz="5" w:space="0" w:color="BEBEBE"/>
            </w:tcBorders>
            <w:shd w:val="clear" w:color="auto" w:fill="auto"/>
            <w:vAlign w:val="center"/>
          </w:tcPr>
          <w:p w14:paraId="669B8D81" w14:textId="77777777" w:rsidR="001C19F3" w:rsidRPr="000F061B" w:rsidRDefault="001C19F3" w:rsidP="00521305">
            <w:pPr>
              <w:pStyle w:val="TableParagraph"/>
              <w:ind w:left="459" w:right="46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c>
          <w:tcPr>
            <w:tcW w:w="1061"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890764F" w14:textId="77777777" w:rsidR="001C19F3" w:rsidRPr="000F061B" w:rsidRDefault="001C19F3" w:rsidP="00521305">
            <w:pPr>
              <w:pStyle w:val="TableParagraph"/>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bl>
    <w:p w14:paraId="7EB485F4" w14:textId="77777777" w:rsidR="001C19F3" w:rsidRPr="001500A1" w:rsidRDefault="001C19F3" w:rsidP="001C19F3">
      <w:pPr>
        <w:spacing w:before="1"/>
        <w:ind w:left="180" w:right="324"/>
        <w:jc w:val="center"/>
        <w:rPr>
          <w:sz w:val="16"/>
        </w:rPr>
      </w:pPr>
      <w:r w:rsidRPr="001500A1">
        <w:rPr>
          <w:rFonts w:ascii="Wingdings 2" w:eastAsia="Wingdings 2" w:hAnsi="Wingdings 2" w:cs="Wingdings 2"/>
          <w:sz w:val="24"/>
          <w:szCs w:val="24"/>
        </w:rPr>
        <w:t></w:t>
      </w:r>
      <w:r w:rsidRPr="001500A1">
        <w:rPr>
          <w:rFonts w:ascii="Wingdings 2" w:eastAsia="Wingdings 2" w:hAnsi="Wingdings 2" w:cs="Wingdings 2"/>
          <w:spacing w:val="-116"/>
          <w:sz w:val="24"/>
          <w:szCs w:val="24"/>
        </w:rPr>
        <w:t></w:t>
      </w:r>
      <w:r>
        <w:rPr>
          <w:rFonts w:eastAsia="Century Gothic" w:cs="Century Gothic"/>
          <w:i/>
          <w:sz w:val="16"/>
          <w:szCs w:val="16"/>
        </w:rPr>
        <w:t>=</w:t>
      </w:r>
      <w:r w:rsidRPr="001500A1">
        <w:rPr>
          <w:i/>
          <w:spacing w:val="-1"/>
          <w:sz w:val="16"/>
        </w:rPr>
        <w:t xml:space="preserve"> </w:t>
      </w:r>
      <w:r w:rsidRPr="000F061B">
        <w:rPr>
          <w:i/>
          <w:spacing w:val="-1"/>
          <w:sz w:val="18"/>
          <w:szCs w:val="18"/>
        </w:rPr>
        <w:t>Partially</w:t>
      </w:r>
      <w:r w:rsidRPr="000F061B">
        <w:rPr>
          <w:i/>
          <w:spacing w:val="-2"/>
          <w:sz w:val="18"/>
          <w:szCs w:val="18"/>
        </w:rPr>
        <w:t xml:space="preserve"> </w:t>
      </w:r>
      <w:r w:rsidRPr="000F061B">
        <w:rPr>
          <w:i/>
          <w:spacing w:val="-1"/>
          <w:sz w:val="18"/>
          <w:szCs w:val="18"/>
        </w:rPr>
        <w:t>addressed</w:t>
      </w:r>
      <w:r w:rsidRPr="001500A1">
        <w:rPr>
          <w:i/>
          <w:spacing w:val="-1"/>
          <w:sz w:val="16"/>
        </w:rPr>
        <w:t>;</w:t>
      </w:r>
      <w:r w:rsidRPr="001500A1">
        <w:rPr>
          <w:i/>
          <w:spacing w:val="-2"/>
          <w:sz w:val="16"/>
        </w:rPr>
        <w:t xml:space="preserve"> </w:t>
      </w:r>
      <w:r w:rsidRPr="001500A1">
        <w:rPr>
          <w:rFonts w:ascii="Wingdings 2" w:eastAsia="Wingdings 2" w:hAnsi="Wingdings 2" w:cs="Wingdings 2"/>
          <w:sz w:val="24"/>
          <w:szCs w:val="24"/>
        </w:rPr>
        <w:t></w:t>
      </w:r>
      <w:r w:rsidRPr="001500A1">
        <w:rPr>
          <w:rFonts w:ascii="Wingdings 2" w:eastAsia="Wingdings 2" w:hAnsi="Wingdings 2" w:cs="Wingdings 2"/>
          <w:spacing w:val="-117"/>
          <w:sz w:val="24"/>
          <w:szCs w:val="24"/>
        </w:rPr>
        <w:t></w:t>
      </w:r>
      <w:r>
        <w:rPr>
          <w:rFonts w:eastAsia="Century Gothic" w:cs="Century Gothic"/>
          <w:i/>
          <w:sz w:val="16"/>
          <w:szCs w:val="16"/>
        </w:rPr>
        <w:t>=</w:t>
      </w:r>
      <w:r w:rsidRPr="001500A1">
        <w:rPr>
          <w:i/>
          <w:spacing w:val="2"/>
          <w:sz w:val="16"/>
        </w:rPr>
        <w:t xml:space="preserve"> </w:t>
      </w:r>
      <w:r w:rsidRPr="000F061B">
        <w:rPr>
          <w:i/>
          <w:spacing w:val="-2"/>
          <w:sz w:val="18"/>
          <w:szCs w:val="18"/>
        </w:rPr>
        <w:t xml:space="preserve">Fully </w:t>
      </w:r>
      <w:r w:rsidRPr="000F061B">
        <w:rPr>
          <w:i/>
          <w:spacing w:val="-1"/>
          <w:sz w:val="18"/>
          <w:szCs w:val="18"/>
        </w:rPr>
        <w:t>addressed.</w:t>
      </w:r>
    </w:p>
    <w:p w14:paraId="6E83D986" w14:textId="77777777" w:rsidR="001C19F3" w:rsidRDefault="001C19F3" w:rsidP="001C19F3">
      <w:pPr>
        <w:spacing w:before="9" w:line="220" w:lineRule="exact"/>
      </w:pPr>
    </w:p>
    <w:bookmarkEnd w:id="393"/>
    <w:p w14:paraId="533CDB7F" w14:textId="77777777" w:rsidR="001C19F3" w:rsidRDefault="001C19F3" w:rsidP="001C19F3">
      <w:pPr>
        <w:sectPr w:rsidR="001C19F3" w:rsidSect="00375ECE">
          <w:headerReference w:type="even" r:id="rId74"/>
          <w:headerReference w:type="default" r:id="rId75"/>
          <w:footerReference w:type="default" r:id="rId76"/>
          <w:headerReference w:type="first" r:id="rId77"/>
          <w:pgSz w:w="11906" w:h="16838"/>
          <w:pgMar w:top="1440" w:right="1440" w:bottom="1440" w:left="1440" w:header="708" w:footer="708" w:gutter="0"/>
          <w:cols w:space="708"/>
          <w:titlePg/>
          <w:docGrid w:linePitch="360"/>
        </w:sectPr>
      </w:pPr>
      <w:r>
        <w:br w:type="page"/>
      </w:r>
    </w:p>
    <w:p w14:paraId="60BD6DAD" w14:textId="77777777" w:rsidR="001C19F3" w:rsidRDefault="001C19F3" w:rsidP="001C19F3">
      <w:pPr>
        <w:pStyle w:val="Heading1nonumber"/>
      </w:pPr>
      <w:bookmarkStart w:id="394" w:name="_Toc27056586"/>
      <w:r>
        <w:lastRenderedPageBreak/>
        <w:t>References</w:t>
      </w:r>
      <w:bookmarkEnd w:id="394"/>
    </w:p>
    <w:p w14:paraId="5E257E2E" w14:textId="77777777" w:rsidR="001C19F3" w:rsidRPr="000D1733" w:rsidRDefault="001C19F3" w:rsidP="001C19F3">
      <w:pPr>
        <w:pStyle w:val="EndNoteBibliography"/>
        <w:spacing w:after="0"/>
      </w:pPr>
      <w:r>
        <w:fldChar w:fldCharType="begin"/>
      </w:r>
      <w:r>
        <w:instrText xml:space="preserve"> ADDIN EN.REFLIST </w:instrText>
      </w:r>
      <w:r>
        <w:fldChar w:fldCharType="separate"/>
      </w:r>
      <w:r w:rsidRPr="000D1733">
        <w:t xml:space="preserve">AGPAL. (2018). Interim Project Progress Report for Health Policy Analysis September 2018. Brisbane: AGPAL </w:t>
      </w:r>
    </w:p>
    <w:p w14:paraId="5F669FF9" w14:textId="77777777" w:rsidR="001C19F3" w:rsidRPr="000D1733" w:rsidRDefault="001C19F3" w:rsidP="001C19F3">
      <w:pPr>
        <w:pStyle w:val="EndNoteBibliography"/>
        <w:spacing w:after="0"/>
      </w:pPr>
      <w:r w:rsidRPr="000D1733">
        <w:t>Australian Association of Practice Management. (2017a). Health Care Home Activity Monitoring Guide October 2017. Melbourne: AAPM.</w:t>
      </w:r>
    </w:p>
    <w:p w14:paraId="7F13F78F" w14:textId="77777777" w:rsidR="001C19F3" w:rsidRPr="000D1733" w:rsidRDefault="001C19F3" w:rsidP="001C19F3">
      <w:pPr>
        <w:pStyle w:val="EndNoteBibliography"/>
        <w:spacing w:after="0"/>
      </w:pPr>
      <w:r w:rsidRPr="000D1733">
        <w:t xml:space="preserve">Australian Association of Practice Management. (2017b). Webinar: AAPM Health Care Homes Activity Monitoring Guide.   Retrieved 13 September, 2018, From </w:t>
      </w:r>
      <w:hyperlink r:id="rId78" w:history="1">
        <w:r w:rsidRPr="000D1733">
          <w:rPr>
            <w:rStyle w:val="Hyperlink"/>
          </w:rPr>
          <w:t>https://www.aapm.org.au/Knowledge-Hub/Healthcare-Homes</w:t>
        </w:r>
      </w:hyperlink>
    </w:p>
    <w:p w14:paraId="3C0D1C90" w14:textId="77777777" w:rsidR="001C19F3" w:rsidRPr="000D1733" w:rsidRDefault="001C19F3" w:rsidP="001C19F3">
      <w:pPr>
        <w:pStyle w:val="EndNoteBibliography"/>
        <w:spacing w:after="0"/>
        <w:rPr>
          <w:i/>
        </w:rPr>
      </w:pPr>
      <w:r w:rsidRPr="000D1733">
        <w:t xml:space="preserve">Australian Government Department of Health. (2016a). </w:t>
      </w:r>
      <w:r w:rsidRPr="000D1733">
        <w:rPr>
          <w:i/>
        </w:rPr>
        <w:t xml:space="preserve">Factsheet: Patient eligibility </w:t>
      </w:r>
    </w:p>
    <w:p w14:paraId="5E0DA4A4" w14:textId="77777777" w:rsidR="001C19F3" w:rsidRPr="000D1733" w:rsidRDefault="001C19F3" w:rsidP="001C19F3">
      <w:pPr>
        <w:pStyle w:val="EndNoteBibliography"/>
        <w:spacing w:after="0"/>
        <w:rPr>
          <w:i/>
        </w:rPr>
      </w:pPr>
      <w:r w:rsidRPr="000D1733">
        <w:t xml:space="preserve">Australian Government Department of Health. (2016b). </w:t>
      </w:r>
      <w:r w:rsidRPr="000D1733">
        <w:rPr>
          <w:i/>
        </w:rPr>
        <w:t xml:space="preserve">Factsheet: Stage one modelling </w:t>
      </w:r>
    </w:p>
    <w:p w14:paraId="4C7209BC" w14:textId="77777777" w:rsidR="001C19F3" w:rsidRPr="000D1733" w:rsidRDefault="001C19F3" w:rsidP="001C19F3">
      <w:pPr>
        <w:pStyle w:val="EndNoteBibliography"/>
        <w:spacing w:after="0"/>
      </w:pPr>
      <w:r w:rsidRPr="000D1733">
        <w:t xml:space="preserve">Australian Government Department of Health. (2016c). Health Care Homes announcement media release [Press release]. Retrieved from </w:t>
      </w:r>
      <w:hyperlink r:id="rId79" w:history="1">
        <w:r w:rsidRPr="000D1733">
          <w:rPr>
            <w:rStyle w:val="Hyperlink"/>
          </w:rPr>
          <w:t>http://pandora.nla.gov.au/pan/154649/20160508-0839/www.pm.gov.au/media/2016-03-31/healthier-medicare-chronically-ill-patients.html</w:t>
        </w:r>
      </w:hyperlink>
    </w:p>
    <w:p w14:paraId="4DEC4930" w14:textId="77777777" w:rsidR="001C19F3" w:rsidRPr="000D1733" w:rsidRDefault="001C19F3" w:rsidP="001C19F3">
      <w:pPr>
        <w:pStyle w:val="EndNoteBibliography"/>
        <w:spacing w:after="0"/>
        <w:rPr>
          <w:i/>
        </w:rPr>
      </w:pPr>
      <w:r w:rsidRPr="000D1733">
        <w:t xml:space="preserve">Australian Government Department of Health. (2016d). </w:t>
      </w:r>
      <w:r w:rsidRPr="000D1733">
        <w:rPr>
          <w:i/>
        </w:rPr>
        <w:t xml:space="preserve">Health Care Homes Grant Guidelines 4 November 2016 </w:t>
      </w:r>
    </w:p>
    <w:p w14:paraId="7CC092BF" w14:textId="77777777" w:rsidR="001C19F3" w:rsidRPr="000D1733" w:rsidRDefault="001C19F3" w:rsidP="001C19F3">
      <w:pPr>
        <w:pStyle w:val="EndNoteBibliography"/>
        <w:spacing w:after="0"/>
        <w:rPr>
          <w:i/>
        </w:rPr>
      </w:pPr>
      <w:r w:rsidRPr="000D1733">
        <w:t xml:space="preserve">Australian Government Department of Health. (2017a). </w:t>
      </w:r>
      <w:r w:rsidRPr="000D1733">
        <w:rPr>
          <w:i/>
        </w:rPr>
        <w:t xml:space="preserve">Health Care Homes Patient Information Statement </w:t>
      </w:r>
    </w:p>
    <w:p w14:paraId="02CAA133" w14:textId="77777777" w:rsidR="001C19F3" w:rsidRPr="000D1733" w:rsidRDefault="001C19F3" w:rsidP="001C19F3">
      <w:pPr>
        <w:pStyle w:val="EndNoteBibliography"/>
        <w:spacing w:after="0"/>
        <w:rPr>
          <w:i/>
        </w:rPr>
      </w:pPr>
      <w:r w:rsidRPr="000D1733">
        <w:t xml:space="preserve">Australian Government Department of Health. (2017b). </w:t>
      </w:r>
      <w:r w:rsidRPr="000D1733">
        <w:rPr>
          <w:i/>
        </w:rPr>
        <w:t xml:space="preserve">Minimum requirements of shared care plans </w:t>
      </w:r>
    </w:p>
    <w:p w14:paraId="3296E616" w14:textId="77777777" w:rsidR="001C19F3" w:rsidRPr="000D1733" w:rsidRDefault="001C19F3" w:rsidP="001C19F3">
      <w:pPr>
        <w:pStyle w:val="EndNoteBibliography"/>
        <w:spacing w:after="0"/>
        <w:rPr>
          <w:i/>
        </w:rPr>
      </w:pPr>
      <w:r w:rsidRPr="000D1733">
        <w:t xml:space="preserve">Australian Government Department of Health. (2017c). </w:t>
      </w:r>
      <w:r w:rsidRPr="000D1733">
        <w:rPr>
          <w:i/>
        </w:rPr>
        <w:t xml:space="preserve">Patient Handbook </w:t>
      </w:r>
    </w:p>
    <w:p w14:paraId="6205BB8D" w14:textId="77777777" w:rsidR="001C19F3" w:rsidRPr="000D1733" w:rsidRDefault="001C19F3" w:rsidP="001C19F3">
      <w:pPr>
        <w:pStyle w:val="EndNoteBibliography"/>
        <w:spacing w:after="0"/>
      </w:pPr>
      <w:r w:rsidRPr="000D1733">
        <w:t>Australian Government Department of Health. (2018a). Health Care Home Funding Assurance Toolkit March 2018. Canberra.</w:t>
      </w:r>
    </w:p>
    <w:p w14:paraId="10F8EDBD" w14:textId="77777777" w:rsidR="001C19F3" w:rsidRPr="000D1733" w:rsidRDefault="001C19F3" w:rsidP="001C19F3">
      <w:pPr>
        <w:pStyle w:val="EndNoteBibliography"/>
        <w:spacing w:after="0"/>
      </w:pPr>
      <w:r w:rsidRPr="000D1733">
        <w:t xml:space="preserve">Australian Government Department of Health. (2018b). </w:t>
      </w:r>
      <w:r w:rsidRPr="000D1733">
        <w:rPr>
          <w:i/>
        </w:rPr>
        <w:t>Health Care Homes Clinical Reference Group Q&amp;As</w:t>
      </w:r>
      <w:r w:rsidRPr="000D1733">
        <w:t xml:space="preserve">. </w:t>
      </w:r>
    </w:p>
    <w:p w14:paraId="38C51326" w14:textId="77777777" w:rsidR="001C19F3" w:rsidRPr="000D1733" w:rsidRDefault="001C19F3" w:rsidP="001C19F3">
      <w:pPr>
        <w:pStyle w:val="EndNoteBibliography"/>
        <w:spacing w:after="0"/>
        <w:rPr>
          <w:i/>
        </w:rPr>
      </w:pPr>
      <w:r w:rsidRPr="000D1733">
        <w:t xml:space="preserve">Australian Government Department of Health. (2018c). </w:t>
      </w:r>
      <w:r w:rsidRPr="000D1733">
        <w:rPr>
          <w:i/>
        </w:rPr>
        <w:t xml:space="preserve">Health Care Homes Handbook for general practices and Aboriginal Community Controlled Health Services Version 1.4 August 2018 </w:t>
      </w:r>
    </w:p>
    <w:p w14:paraId="7B7C6813" w14:textId="77777777" w:rsidR="001C19F3" w:rsidRPr="000D1733" w:rsidRDefault="001C19F3" w:rsidP="001C19F3">
      <w:pPr>
        <w:pStyle w:val="EndNoteBibliography"/>
        <w:spacing w:after="0"/>
      </w:pPr>
      <w:r w:rsidRPr="000D1733">
        <w:t xml:space="preserve">Australian Government Department of Health. (2019a). Health Care Homes—Health professionals.   Retrieved 7/10/2019, From </w:t>
      </w:r>
      <w:hyperlink r:id="rId80" w:history="1">
        <w:r w:rsidRPr="000D1733">
          <w:rPr>
            <w:rStyle w:val="Hyperlink"/>
          </w:rPr>
          <w:t>https://www1.health.gov.au/internet/main/publishing.nsf/Content/health-care-homes-professional</w:t>
        </w:r>
      </w:hyperlink>
    </w:p>
    <w:p w14:paraId="6EB1A7D8" w14:textId="77777777" w:rsidR="001C19F3" w:rsidRPr="000D1733" w:rsidRDefault="001C19F3" w:rsidP="001C19F3">
      <w:pPr>
        <w:pStyle w:val="EndNoteBibliography"/>
        <w:spacing w:after="0"/>
      </w:pPr>
      <w:r w:rsidRPr="000D1733">
        <w:t>Australian Government Department of Health. (2019b). Health Care Homes Handbook for general practices and Aboriginal Community Controlled Health Services Version 1.7 February 2019.</w:t>
      </w:r>
    </w:p>
    <w:p w14:paraId="30810EEB" w14:textId="77777777" w:rsidR="001C19F3" w:rsidRPr="000D1733" w:rsidRDefault="001C19F3" w:rsidP="001C19F3">
      <w:pPr>
        <w:pStyle w:val="EndNoteBibliography"/>
        <w:spacing w:after="0"/>
      </w:pPr>
      <w:r w:rsidRPr="000D1733">
        <w:t xml:space="preserve">Berwick, D. M., Nolan, T. W., &amp; Whittington, J. (2008). The triple aim: care, health, and cost. </w:t>
      </w:r>
      <w:r w:rsidRPr="000D1733">
        <w:rPr>
          <w:i/>
        </w:rPr>
        <w:t>Health Aff (Millwood), 27</w:t>
      </w:r>
      <w:r w:rsidRPr="000D1733">
        <w:t>(3), 759-69.</w:t>
      </w:r>
    </w:p>
    <w:p w14:paraId="6226142D" w14:textId="77777777" w:rsidR="001C19F3" w:rsidRPr="000D1733" w:rsidRDefault="001C19F3" w:rsidP="001C19F3">
      <w:pPr>
        <w:pStyle w:val="EndNoteBibliography"/>
        <w:spacing w:after="0"/>
      </w:pPr>
      <w:r w:rsidRPr="000D1733">
        <w:t xml:space="preserve">Bodenheimer, T., Ghorob, A., Willard-Grace, R., &amp; Grumbach, K. (2014). The 10 building blocks of high-performing primary care. </w:t>
      </w:r>
      <w:r w:rsidRPr="000D1733">
        <w:rPr>
          <w:i/>
        </w:rPr>
        <w:t>Ann Fam Med, 12</w:t>
      </w:r>
      <w:r w:rsidRPr="000D1733">
        <w:t>(2), 166-71.</w:t>
      </w:r>
    </w:p>
    <w:p w14:paraId="69E0F523" w14:textId="77777777" w:rsidR="001C19F3" w:rsidRPr="000D1733" w:rsidRDefault="001C19F3" w:rsidP="001C19F3">
      <w:pPr>
        <w:pStyle w:val="EndNoteBibliography"/>
        <w:spacing w:after="0"/>
      </w:pPr>
      <w:r w:rsidRPr="000D1733">
        <w:t xml:space="preserve">Bodenheimer, T., &amp; Sinsky, C. (2014). From triple to quadruple aim: care of the patient requires care of the provider. </w:t>
      </w:r>
      <w:r w:rsidRPr="000D1733">
        <w:rPr>
          <w:i/>
        </w:rPr>
        <w:t>Ann Fam Med, 12</w:t>
      </w:r>
      <w:r w:rsidRPr="000D1733">
        <w:t>(6), 573-6.</w:t>
      </w:r>
    </w:p>
    <w:p w14:paraId="7629240A" w14:textId="77777777" w:rsidR="001C19F3" w:rsidRPr="000D1733" w:rsidRDefault="001C19F3" w:rsidP="001C19F3">
      <w:pPr>
        <w:pStyle w:val="EndNoteBibliography"/>
        <w:spacing w:after="0"/>
      </w:pPr>
      <w:r w:rsidRPr="000D1733">
        <w:t xml:space="preserve">Devlin, N. J., &amp; Krabbe, P. F. (2013). The development of new research methods for the valuation of EQ-5D-5L. </w:t>
      </w:r>
      <w:r w:rsidRPr="000D1733">
        <w:rPr>
          <w:i/>
        </w:rPr>
        <w:t>Eur J Health Econ, 14 Suppl 1</w:t>
      </w:r>
      <w:r w:rsidRPr="000D1733">
        <w:t>, S1-3.</w:t>
      </w:r>
    </w:p>
    <w:p w14:paraId="23589C27" w14:textId="77777777" w:rsidR="001C19F3" w:rsidRPr="000D1733" w:rsidRDefault="001C19F3" w:rsidP="001C19F3">
      <w:pPr>
        <w:pStyle w:val="EndNoteBibliography"/>
        <w:spacing w:after="0"/>
      </w:pPr>
      <w:r w:rsidRPr="000D1733">
        <w:t xml:space="preserve">Gibbons, C. J., Small, N., Rick, J., Burt, J., Hann, M., &amp; Bower, P. (2017). The Patient Assessment of Chronic Illness Care produces measurements along a single dimension: results from a Mokken analysis. </w:t>
      </w:r>
      <w:r w:rsidRPr="000D1733">
        <w:rPr>
          <w:i/>
        </w:rPr>
        <w:t>Health Qual Life Outcomes, 15</w:t>
      </w:r>
      <w:r w:rsidRPr="000D1733">
        <w:t>(1), 61.</w:t>
      </w:r>
    </w:p>
    <w:p w14:paraId="196B5C36" w14:textId="77777777" w:rsidR="001C19F3" w:rsidRPr="000D1733" w:rsidRDefault="001C19F3" w:rsidP="001C19F3">
      <w:pPr>
        <w:pStyle w:val="EndNoteBibliography"/>
        <w:spacing w:after="0"/>
      </w:pPr>
      <w:r w:rsidRPr="000D1733">
        <w:t xml:space="preserve">Glasgow, R. E., Wagner, E. H., Schaefer, J., Mahoney, L. D., Reid, R. J., &amp; Greene, S. M. (2005). Development and Validation of the Patient Assessment of Chronic Illness Care (PACIC). </w:t>
      </w:r>
      <w:r w:rsidRPr="000D1733">
        <w:rPr>
          <w:i/>
        </w:rPr>
        <w:t>Medical Care, 43</w:t>
      </w:r>
      <w:r w:rsidRPr="000D1733">
        <w:t>, 436-44.</w:t>
      </w:r>
    </w:p>
    <w:p w14:paraId="46BD4781" w14:textId="77777777" w:rsidR="001C19F3" w:rsidRPr="000D1733" w:rsidRDefault="001C19F3" w:rsidP="001C19F3">
      <w:pPr>
        <w:pStyle w:val="EndNoteBibliography"/>
        <w:spacing w:after="0"/>
      </w:pPr>
      <w:r w:rsidRPr="000D1733">
        <w:t xml:space="preserve">HARP. (2009). Summary: HARP risk calculator.   Retrieved 10 September, 2018, From </w:t>
      </w:r>
      <w:hyperlink r:id="rId81" w:history="1">
        <w:r w:rsidRPr="000D1733">
          <w:rPr>
            <w:rStyle w:val="Hyperlink"/>
          </w:rPr>
          <w:t>https://adma.org.au/download/western-harp-risk-calculator/</w:t>
        </w:r>
      </w:hyperlink>
    </w:p>
    <w:p w14:paraId="666CE911" w14:textId="77777777" w:rsidR="001C19F3" w:rsidRPr="000D1733" w:rsidRDefault="001C19F3" w:rsidP="001C19F3">
      <w:pPr>
        <w:pStyle w:val="EndNoteBibliography"/>
        <w:spacing w:after="0"/>
      </w:pPr>
      <w:r w:rsidRPr="000D1733">
        <w:t>Health Policy Analysis. (2019). Evaluation of the Health Care Homes program – Evaluation plan (Updated 2019). Canberra: Department of Health.</w:t>
      </w:r>
    </w:p>
    <w:p w14:paraId="7B361CC5" w14:textId="77777777" w:rsidR="001C19F3" w:rsidRPr="000D1733" w:rsidRDefault="001C19F3" w:rsidP="001C19F3">
      <w:pPr>
        <w:pStyle w:val="EndNoteBibliography"/>
        <w:spacing w:after="0"/>
      </w:pPr>
      <w:r w:rsidRPr="000D1733">
        <w:lastRenderedPageBreak/>
        <w:t xml:space="preserve">Herdman, M., Gudex, C., Lloyd, A., Janssen, M., Kind, P., Parkin, D., et al. (2011). Development and preliminary testing of the new five-level version of EQ-5D (EQ-5D-5L). </w:t>
      </w:r>
      <w:r w:rsidRPr="000D1733">
        <w:rPr>
          <w:i/>
        </w:rPr>
        <w:t>Qual Life Res, 20</w:t>
      </w:r>
      <w:r w:rsidRPr="000D1733">
        <w:t>(10), 1727-36.</w:t>
      </w:r>
    </w:p>
    <w:p w14:paraId="65FAAB79" w14:textId="77777777" w:rsidR="001C19F3" w:rsidRPr="000D1733" w:rsidRDefault="001C19F3" w:rsidP="001C19F3">
      <w:pPr>
        <w:pStyle w:val="EndNoteBibliography"/>
        <w:spacing w:after="0"/>
      </w:pPr>
      <w:r w:rsidRPr="000D1733">
        <w:t xml:space="preserve">Hibbard, J. H., Mahoney, E. R., Stockard, J., &amp; Tusler, M. (2005). Development and testing of a short form of the patient activation measure. </w:t>
      </w:r>
      <w:r w:rsidRPr="000D1733">
        <w:rPr>
          <w:i/>
        </w:rPr>
        <w:t>Health Serv Res, 40</w:t>
      </w:r>
      <w:r w:rsidRPr="000D1733">
        <w:t>(6 Pt 1), 1918-30.</w:t>
      </w:r>
    </w:p>
    <w:p w14:paraId="5C912F2D" w14:textId="77777777" w:rsidR="001C19F3" w:rsidRPr="000D1733" w:rsidRDefault="001C19F3" w:rsidP="001C19F3">
      <w:pPr>
        <w:pStyle w:val="EndNoteBibliography"/>
        <w:spacing w:after="0"/>
      </w:pPr>
      <w:r w:rsidRPr="000D1733">
        <w:t xml:space="preserve">Hippisley-Cox, J., &amp; Coupland, C. (2013). Predicting risk of emergency admission to hospital using primary care data: derivation and validation of QAdmissions score. </w:t>
      </w:r>
      <w:r w:rsidRPr="000D1733">
        <w:rPr>
          <w:i/>
        </w:rPr>
        <w:t>BMJ Open, 3</w:t>
      </w:r>
      <w:r w:rsidRPr="000D1733">
        <w:t>(8), e003482.</w:t>
      </w:r>
    </w:p>
    <w:p w14:paraId="48CBB29B" w14:textId="77777777" w:rsidR="001C19F3" w:rsidRPr="000D1733" w:rsidRDefault="001C19F3" w:rsidP="001C19F3">
      <w:pPr>
        <w:pStyle w:val="EndNoteBibliography"/>
        <w:spacing w:after="0"/>
      </w:pPr>
      <w:r w:rsidRPr="000D1733">
        <w:t xml:space="preserve">Khanna, S., Rolls, D. A., Boyle, J., Xie, Y., Jayasena, R., Hibbert, M., et al. (2019). A risk stratification tool for hospitalisation in Australia using primary care data. </w:t>
      </w:r>
      <w:r w:rsidRPr="000D1733">
        <w:rPr>
          <w:i/>
        </w:rPr>
        <w:t>Sci Rep, 9</w:t>
      </w:r>
      <w:r w:rsidRPr="000D1733">
        <w:t>(1), 5011.</w:t>
      </w:r>
    </w:p>
    <w:p w14:paraId="498FB54E" w14:textId="77777777" w:rsidR="001C19F3" w:rsidRPr="000D1733" w:rsidRDefault="001C19F3" w:rsidP="001C19F3">
      <w:pPr>
        <w:pStyle w:val="EndNoteBibliography"/>
        <w:spacing w:after="0"/>
      </w:pPr>
      <w:r w:rsidRPr="000D1733">
        <w:t>MacColl Center for Health Care Innovation at Group Health Research Institute, Qualis Health, WentWest, &amp; AGPAL. (2017). Health Care Home Assessment. Brisbane.</w:t>
      </w:r>
    </w:p>
    <w:p w14:paraId="292B58BD" w14:textId="77777777" w:rsidR="001C19F3" w:rsidRPr="000D1733" w:rsidRDefault="001C19F3" w:rsidP="001C19F3">
      <w:pPr>
        <w:pStyle w:val="EndNoteBibliography"/>
        <w:spacing w:after="0"/>
      </w:pPr>
      <w:r w:rsidRPr="000D1733">
        <w:t xml:space="preserve">Medical Software Industry Association. (2017). Healthcare homes.   Retrieved 20 September 2018, From </w:t>
      </w:r>
      <w:hyperlink r:id="rId82" w:history="1">
        <w:r w:rsidRPr="000D1733">
          <w:rPr>
            <w:rStyle w:val="Hyperlink"/>
          </w:rPr>
          <w:t>https://www.msia.com.au/healthcare-homes/</w:t>
        </w:r>
      </w:hyperlink>
    </w:p>
    <w:p w14:paraId="7EF8179C" w14:textId="77777777" w:rsidR="001C19F3" w:rsidRPr="000D1733" w:rsidRDefault="001C19F3" w:rsidP="001C19F3">
      <w:pPr>
        <w:pStyle w:val="EndNoteBibliography"/>
        <w:spacing w:after="0"/>
      </w:pPr>
      <w:r w:rsidRPr="000D1733">
        <w:t xml:space="preserve">Oliver-Baxter, J., Bywood, P., &amp; Erny-Albrecht, K. (2015). Predictive risk models to identify people with chronic conditions at risk of hospitalisation </w:t>
      </w:r>
      <w:r w:rsidRPr="000D1733">
        <w:rPr>
          <w:i/>
        </w:rPr>
        <w:t>PHCRIS Policy Issue Review</w:t>
      </w:r>
      <w:r w:rsidRPr="000D1733">
        <w:t>. Adelaide: Primary Health Care Research &amp; Information Service.</w:t>
      </w:r>
    </w:p>
    <w:p w14:paraId="0EAEAA6B" w14:textId="77777777" w:rsidR="001C19F3" w:rsidRPr="000D1733" w:rsidRDefault="001C19F3" w:rsidP="001C19F3">
      <w:pPr>
        <w:pStyle w:val="EndNoteBibliography"/>
        <w:spacing w:after="0"/>
      </w:pPr>
      <w:r w:rsidRPr="000D1733">
        <w:t xml:space="preserve">Precedence Health Care. (2017). </w:t>
      </w:r>
      <w:r w:rsidRPr="000D1733">
        <w:rPr>
          <w:i/>
        </w:rPr>
        <w:t>Health Care Home Risk Stratification Tool Training</w:t>
      </w:r>
      <w:r w:rsidRPr="000D1733">
        <w:t xml:space="preserve">. </w:t>
      </w:r>
    </w:p>
    <w:p w14:paraId="5DCC9054" w14:textId="77777777" w:rsidR="001C19F3" w:rsidRPr="000D1733" w:rsidRDefault="001C19F3" w:rsidP="001C19F3">
      <w:pPr>
        <w:pStyle w:val="EndNoteBibliography"/>
        <w:spacing w:after="0"/>
      </w:pPr>
      <w:r w:rsidRPr="000D1733">
        <w:t>Primary Health Care Advisory Group. (2015). Better Outcomes for People with Chronic and Complex Health Conditions: Final Report: Department of Health.</w:t>
      </w:r>
    </w:p>
    <w:p w14:paraId="0BC9CEF8" w14:textId="77777777" w:rsidR="001C19F3" w:rsidRPr="000D1733" w:rsidRDefault="001C19F3" w:rsidP="001C19F3">
      <w:pPr>
        <w:pStyle w:val="EndNoteBibliography"/>
        <w:spacing w:after="0"/>
      </w:pPr>
      <w:r w:rsidRPr="000D1733">
        <w:t xml:space="preserve">Ramaswamy, V., &amp; Ozcan, K. (2014). </w:t>
      </w:r>
      <w:r w:rsidRPr="000D1733">
        <w:rPr>
          <w:i/>
        </w:rPr>
        <w:t>The Co-Creation Paradigm</w:t>
      </w:r>
      <w:r w:rsidRPr="000D1733">
        <w:t>: Stanford Business Books.</w:t>
      </w:r>
    </w:p>
    <w:p w14:paraId="5815BB83" w14:textId="77777777" w:rsidR="001C19F3" w:rsidRPr="000D1733" w:rsidRDefault="001C19F3" w:rsidP="001C19F3">
      <w:pPr>
        <w:pStyle w:val="EndNoteBibliography"/>
      </w:pPr>
      <w:r w:rsidRPr="000D1733">
        <w:t xml:space="preserve">Schmittdiel, J., Mosen, D. M., Glasgow, R. E., Hibbard, J., Remmers, C., &amp; Bellows, J. (2008). Patient Assessment of Chronic Illness Care (PACIC) and improved patient-centered outcomes for chronic conditions. </w:t>
      </w:r>
      <w:r w:rsidRPr="000D1733">
        <w:rPr>
          <w:i/>
        </w:rPr>
        <w:t>J Gen Intern Med, 23</w:t>
      </w:r>
      <w:r w:rsidRPr="000D1733">
        <w:t>, 77-80.</w:t>
      </w:r>
    </w:p>
    <w:p w14:paraId="54C76C00" w14:textId="77777777" w:rsidR="001C19F3" w:rsidRDefault="001C19F3" w:rsidP="001C19F3">
      <w:pPr>
        <w:sectPr w:rsidR="001C19F3" w:rsidSect="00375ECE">
          <w:headerReference w:type="first" r:id="rId83"/>
          <w:pgSz w:w="11906" w:h="16838"/>
          <w:pgMar w:top="1440" w:right="1440" w:bottom="1440" w:left="1440" w:header="708" w:footer="708" w:gutter="0"/>
          <w:cols w:space="708"/>
          <w:titlePg/>
          <w:docGrid w:linePitch="360"/>
        </w:sectPr>
      </w:pPr>
      <w:r>
        <w:fldChar w:fldCharType="end"/>
      </w:r>
    </w:p>
    <w:p w14:paraId="01872CEC" w14:textId="77777777" w:rsidR="001C19F3" w:rsidRPr="00CD71C2" w:rsidRDefault="001C19F3" w:rsidP="001C19F3">
      <w:pPr>
        <w:pStyle w:val="Heading1nonumber"/>
        <w:rPr>
          <w:sz w:val="80"/>
          <w:szCs w:val="80"/>
        </w:rPr>
      </w:pPr>
      <w:bookmarkStart w:id="395" w:name="_Toc27056587"/>
      <w:bookmarkStart w:id="396" w:name="_Ref527991990"/>
      <w:bookmarkStart w:id="397" w:name="_Ref527991999"/>
      <w:bookmarkStart w:id="398" w:name="_Toc532396717"/>
      <w:r w:rsidRPr="00CD71C2">
        <w:rPr>
          <w:sz w:val="80"/>
          <w:szCs w:val="80"/>
        </w:rPr>
        <w:lastRenderedPageBreak/>
        <w:t>Appendix 1</w:t>
      </w:r>
      <w:bookmarkEnd w:id="395"/>
      <w:r w:rsidRPr="00CD71C2">
        <w:rPr>
          <w:sz w:val="80"/>
          <w:szCs w:val="80"/>
        </w:rPr>
        <w:t xml:space="preserve"> </w:t>
      </w:r>
    </w:p>
    <w:p w14:paraId="39D302F2" w14:textId="77777777" w:rsidR="001C19F3" w:rsidRDefault="001C19F3" w:rsidP="001C19F3">
      <w:pPr>
        <w:pStyle w:val="Heading2"/>
      </w:pPr>
      <w:bookmarkStart w:id="399" w:name="_Toc27056588"/>
      <w:r>
        <w:t>Practice eligibility criteria</w:t>
      </w:r>
      <w:bookmarkEnd w:id="399"/>
    </w:p>
    <w:bookmarkEnd w:id="396"/>
    <w:bookmarkEnd w:id="397"/>
    <w:bookmarkEnd w:id="398"/>
    <w:p w14:paraId="6F24D401" w14:textId="77777777" w:rsidR="001C19F3" w:rsidRDefault="001C19F3" w:rsidP="001C19F3">
      <w:r>
        <w:t xml:space="preserve">Only practices in the 10 </w:t>
      </w:r>
      <w:r w:rsidRPr="00CE577E">
        <w:t xml:space="preserve">selected </w:t>
      </w:r>
      <w:r>
        <w:t xml:space="preserve">PHN </w:t>
      </w:r>
      <w:r w:rsidRPr="00CE577E">
        <w:t xml:space="preserve">regions </w:t>
      </w:r>
      <w:r>
        <w:t>were</w:t>
      </w:r>
      <w:r w:rsidRPr="00CE577E">
        <w:t xml:space="preserve"> eligible to apply for </w:t>
      </w:r>
      <w:r>
        <w:t xml:space="preserve">the trial. The other requirements were that the practice must: </w:t>
      </w:r>
    </w:p>
    <w:p w14:paraId="72E62AB6" w14:textId="77777777" w:rsidR="001C19F3" w:rsidRDefault="001C19F3" w:rsidP="001C19F3">
      <w:pPr>
        <w:pStyle w:val="ListParagraph"/>
        <w:numPr>
          <w:ilvl w:val="0"/>
          <w:numId w:val="80"/>
        </w:numPr>
        <w:ind w:left="714" w:hanging="357"/>
        <w:contextualSpacing w:val="0"/>
      </w:pPr>
      <w:r>
        <w:t>Be a legal entity, able to enter into a legally binding agreement, and must have an Australian Business Number, be registered for the purposes of GST, be a permanent resident of Australia and have an Australian bank account.</w:t>
      </w:r>
    </w:p>
    <w:p w14:paraId="03018E2B" w14:textId="77777777" w:rsidR="001C19F3" w:rsidRDefault="001C19F3" w:rsidP="001C19F3">
      <w:pPr>
        <w:pStyle w:val="ListParagraph"/>
        <w:numPr>
          <w:ilvl w:val="0"/>
          <w:numId w:val="80"/>
        </w:numPr>
        <w:ind w:left="714" w:hanging="357"/>
        <w:contextualSpacing w:val="0"/>
      </w:pPr>
      <w:r>
        <w:t>Be accredited and maintain accreditation as a general practice or an AMS, assessed against the Royal Australian College of General Practitioners Standards, or be registered to be accredited. If the practice is registered for accreditation, full accreditation must be obtained within 12 months of executing the grant agreement.</w:t>
      </w:r>
    </w:p>
    <w:p w14:paraId="6DB7B972" w14:textId="77777777" w:rsidR="001C19F3" w:rsidRDefault="001C19F3" w:rsidP="001C19F3">
      <w:pPr>
        <w:pStyle w:val="ListParagraph"/>
        <w:numPr>
          <w:ilvl w:val="0"/>
          <w:numId w:val="80"/>
        </w:numPr>
        <w:ind w:left="714" w:hanging="357"/>
        <w:contextualSpacing w:val="0"/>
      </w:pPr>
      <w:r>
        <w:t>Maintain current insurance, including public liability insurance, ensure all health professionals maintain current professional indemnity cover.</w:t>
      </w:r>
    </w:p>
    <w:p w14:paraId="3C52429A" w14:textId="77777777" w:rsidR="001C19F3" w:rsidRDefault="001C19F3" w:rsidP="001C19F3">
      <w:pPr>
        <w:pStyle w:val="ListParagraph"/>
        <w:numPr>
          <w:ilvl w:val="0"/>
          <w:numId w:val="80"/>
        </w:numPr>
        <w:ind w:left="714" w:hanging="357"/>
        <w:contextualSpacing w:val="0"/>
      </w:pPr>
      <w:bookmarkStart w:id="400" w:name="_Hlk528659520"/>
      <w:r>
        <w:t>Have access to, or be prepared to obtain access to, the Department of Human Services’ Health Professional Online Services (HPOS)</w:t>
      </w:r>
      <w:r w:rsidRPr="009A6EB7">
        <w:t xml:space="preserve"> </w:t>
      </w:r>
      <w:r>
        <w:t xml:space="preserve">by the date of executing the grant agreement. </w:t>
      </w:r>
    </w:p>
    <w:p w14:paraId="3AD1E5FD" w14:textId="77777777" w:rsidR="001C19F3" w:rsidRDefault="001C19F3" w:rsidP="001C19F3">
      <w:pPr>
        <w:pStyle w:val="ListParagraph"/>
        <w:numPr>
          <w:ilvl w:val="0"/>
          <w:numId w:val="80"/>
        </w:numPr>
        <w:ind w:left="714" w:hanging="357"/>
        <w:contextualSpacing w:val="0"/>
      </w:pPr>
      <w:bookmarkStart w:id="401" w:name="_Hlk528659599"/>
      <w:bookmarkStart w:id="402" w:name="_Hlk528659647"/>
      <w:bookmarkEnd w:id="400"/>
      <w:r>
        <w:t>Participate in, or be prepared to participate in, the Practice Incentives Program eHealth Incentive by the date of executing the grant agreement.</w:t>
      </w:r>
      <w:bookmarkEnd w:id="401"/>
    </w:p>
    <w:bookmarkEnd w:id="402"/>
    <w:p w14:paraId="2170DECC" w14:textId="77777777" w:rsidR="001C19F3" w:rsidRDefault="001C19F3" w:rsidP="001C19F3">
      <w:r>
        <w:t>(</w:t>
      </w:r>
      <w:r>
        <w:fldChar w:fldCharType="begin"/>
      </w:r>
      <w:r>
        <w:instrText xml:space="preserve"> ADDIN EN.CITE &lt;EndNote&gt;&lt;Cite&gt;&lt;Author&gt;Australian Government Department of Health&lt;/Author&gt;&lt;Year&gt;2016&lt;/Year&gt;&lt;RecNum&gt;1067&lt;/RecNum&gt;&lt;DisplayText&gt;Australian Government Department of Health, 2016d&lt;/DisplayText&gt;&lt;record&gt;&lt;rec-number&gt;1067&lt;/rec-number&gt;&lt;foreign-keys&gt;&lt;key app="EN" db-id="zdz9xax04zr9v0evw2nvrpw9xe9ttzvs5zsv" timestamp="1536914730"&gt;1067&lt;/key&gt;&lt;/foreign-keys&gt;&lt;ref-type name="Electronic Book"&gt;44&lt;/ref-type&gt;&lt;contributors&gt;&lt;authors&gt;&lt;author&gt;Australian Government Department of Health,,&lt;/author&gt;&lt;/authors&gt;&lt;/contributors&gt;&lt;titles&gt;&lt;title&gt;Health Care Homes Grant Guidelines 4 November 2016&lt;/title&gt;&lt;/titles&gt;&lt;dates&gt;&lt;year&gt;2016&lt;/year&gt;&lt;/dates&gt;&lt;urls&gt;&lt;/urls&gt;&lt;/record&gt;&lt;/Cite&gt;&lt;/EndNote&gt;</w:instrText>
      </w:r>
      <w:r>
        <w:fldChar w:fldCharType="separate"/>
      </w:r>
      <w:r>
        <w:rPr>
          <w:noProof/>
        </w:rPr>
        <w:t>Australian Government Department of Health, 2016d</w:t>
      </w:r>
      <w:r>
        <w:fldChar w:fldCharType="end"/>
      </w:r>
      <w:r>
        <w:t>, pp. 6-7)</w:t>
      </w:r>
      <w:r w:rsidRPr="00B73702">
        <w:t>.</w:t>
      </w:r>
    </w:p>
    <w:p w14:paraId="02200152" w14:textId="77777777" w:rsidR="001C19F3" w:rsidRDefault="001C19F3" w:rsidP="001C19F3">
      <w:pPr>
        <w:pStyle w:val="Heading2"/>
      </w:pPr>
      <w:bookmarkStart w:id="403" w:name="_Toc27056589"/>
      <w:r>
        <w:t>Incentive grant</w:t>
      </w:r>
      <w:bookmarkEnd w:id="403"/>
    </w:p>
    <w:p w14:paraId="20DF45A9" w14:textId="77777777" w:rsidR="001C19F3" w:rsidRDefault="001C19F3" w:rsidP="001C19F3">
      <w:r w:rsidRPr="00B73702">
        <w:t xml:space="preserve">Practices were to be paid a one-off $10,000 incentive grant </w:t>
      </w:r>
      <w:r>
        <w:t>(</w:t>
      </w:r>
      <w:r w:rsidRPr="00B73702">
        <w:t>GST exclusive)</w:t>
      </w:r>
      <w:r>
        <w:t xml:space="preserve"> (</w:t>
      </w:r>
      <w:r>
        <w:fldChar w:fldCharType="begin"/>
      </w:r>
      <w:r>
        <w:instrText xml:space="preserve"> ADDIN EN.CITE &lt;EndNote&gt;&lt;Cite&gt;&lt;Author&gt;Australian Government Department of Health&lt;/Author&gt;&lt;Year&gt;2016&lt;/Year&gt;&lt;RecNum&gt;1067&lt;/RecNum&gt;&lt;DisplayText&gt;Australian Government Department of Health, 2016d&lt;/DisplayText&gt;&lt;record&gt;&lt;rec-number&gt;1067&lt;/rec-number&gt;&lt;foreign-keys&gt;&lt;key app="EN" db-id="zdz9xax04zr9v0evw2nvrpw9xe9ttzvs5zsv" timestamp="1536914730"&gt;1067&lt;/key&gt;&lt;/foreign-keys&gt;&lt;ref-type name="Electronic Book"&gt;44&lt;/ref-type&gt;&lt;contributors&gt;&lt;authors&gt;&lt;author&gt;Australian Government Department of Health,,&lt;/author&gt;&lt;/authors&gt;&lt;/contributors&gt;&lt;titles&gt;&lt;title&gt;Health Care Homes Grant Guidelines 4 November 2016&lt;/title&gt;&lt;/titles&gt;&lt;dates&gt;&lt;year&gt;2016&lt;/year&gt;&lt;/dates&gt;&lt;urls&gt;&lt;/urls&gt;&lt;/record&gt;&lt;/Cite&gt;&lt;/EndNote&gt;</w:instrText>
      </w:r>
      <w:r>
        <w:fldChar w:fldCharType="separate"/>
      </w:r>
      <w:r>
        <w:rPr>
          <w:noProof/>
        </w:rPr>
        <w:t>Australian Government Department of Health, 2016d</w:t>
      </w:r>
      <w:r>
        <w:fldChar w:fldCharType="end"/>
      </w:r>
      <w:r>
        <w:t>)</w:t>
      </w:r>
      <w:r w:rsidRPr="00B73702">
        <w:t>.</w:t>
      </w:r>
      <w:r>
        <w:t xml:space="preserve"> The amount was “</w:t>
      </w:r>
      <w:r w:rsidRPr="00FF2ADA">
        <w:rPr>
          <w:i/>
        </w:rPr>
        <w:t>intended to incentivise participation and facilitate readiness for a program</w:t>
      </w:r>
      <w:r>
        <w:t>” (p. 3), and could be used for:</w:t>
      </w:r>
    </w:p>
    <w:p w14:paraId="308037F1" w14:textId="77777777" w:rsidR="001C19F3" w:rsidRDefault="001C19F3" w:rsidP="001C19F3">
      <w:pPr>
        <w:pStyle w:val="ListParagraph"/>
        <w:numPr>
          <w:ilvl w:val="0"/>
          <w:numId w:val="83"/>
        </w:numPr>
      </w:pPr>
      <w:r>
        <w:t>Supporting the recruitment of personnel.</w:t>
      </w:r>
    </w:p>
    <w:p w14:paraId="41EEF756" w14:textId="77777777" w:rsidR="001C19F3" w:rsidRDefault="001C19F3" w:rsidP="001C19F3">
      <w:pPr>
        <w:pStyle w:val="ListParagraph"/>
        <w:numPr>
          <w:ilvl w:val="0"/>
          <w:numId w:val="81"/>
        </w:numPr>
      </w:pPr>
      <w:r>
        <w:t>Training and educating practice personnel.</w:t>
      </w:r>
    </w:p>
    <w:p w14:paraId="07936F78" w14:textId="77777777" w:rsidR="001C19F3" w:rsidRDefault="001C19F3" w:rsidP="001C19F3">
      <w:pPr>
        <w:pStyle w:val="ListParagraph"/>
        <w:numPr>
          <w:ilvl w:val="0"/>
          <w:numId w:val="81"/>
        </w:numPr>
      </w:pPr>
      <w:r>
        <w:t>Establishing new service delivery processes.</w:t>
      </w:r>
    </w:p>
    <w:p w14:paraId="3E27FE2C" w14:textId="77777777" w:rsidR="001C19F3" w:rsidRDefault="001C19F3" w:rsidP="001C19F3">
      <w:pPr>
        <w:pStyle w:val="ListParagraph"/>
        <w:numPr>
          <w:ilvl w:val="0"/>
          <w:numId w:val="81"/>
        </w:numPr>
      </w:pPr>
      <w:r>
        <w:t>Establishing new billing processes.</w:t>
      </w:r>
    </w:p>
    <w:p w14:paraId="1F4EC4F0" w14:textId="77777777" w:rsidR="001C19F3" w:rsidRDefault="001C19F3" w:rsidP="001C19F3">
      <w:pPr>
        <w:pStyle w:val="ListParagraph"/>
        <w:numPr>
          <w:ilvl w:val="0"/>
          <w:numId w:val="81"/>
        </w:numPr>
      </w:pPr>
      <w:r>
        <w:t xml:space="preserve">Establishing information technology systems. </w:t>
      </w:r>
    </w:p>
    <w:p w14:paraId="2BE5F4B2" w14:textId="77777777" w:rsidR="001C19F3" w:rsidRDefault="001C19F3" w:rsidP="001C19F3">
      <w:pPr>
        <w:pStyle w:val="ListParagraph"/>
        <w:numPr>
          <w:ilvl w:val="0"/>
          <w:numId w:val="81"/>
        </w:numPr>
      </w:pPr>
      <w:r>
        <w:t>Identifying a patient cohort to assess for eligible patients that would benefit from the HCH model of care.</w:t>
      </w:r>
    </w:p>
    <w:p w14:paraId="2FE90B69" w14:textId="77777777" w:rsidR="001C19F3" w:rsidRDefault="001C19F3" w:rsidP="001C19F3">
      <w:pPr>
        <w:pStyle w:val="ListParagraph"/>
        <w:numPr>
          <w:ilvl w:val="0"/>
          <w:numId w:val="81"/>
        </w:numPr>
      </w:pPr>
      <w:r>
        <w:t>Participating in the evaluation.</w:t>
      </w:r>
    </w:p>
    <w:p w14:paraId="1A677E35" w14:textId="77777777" w:rsidR="001C19F3" w:rsidRDefault="001C19F3" w:rsidP="001C19F3">
      <w:r>
        <w:t>It could not be used for:</w:t>
      </w:r>
    </w:p>
    <w:p w14:paraId="0F618089" w14:textId="77777777" w:rsidR="001C19F3" w:rsidRDefault="001C19F3" w:rsidP="001C19F3">
      <w:pPr>
        <w:pStyle w:val="ListParagraph"/>
        <w:numPr>
          <w:ilvl w:val="0"/>
          <w:numId w:val="82"/>
        </w:numPr>
      </w:pPr>
      <w:r>
        <w:t>Capital works, e.g. the purchase of land or the purchase, construction or renovation of premises.</w:t>
      </w:r>
    </w:p>
    <w:p w14:paraId="2A8CD3F9" w14:textId="77777777" w:rsidR="001C19F3" w:rsidRDefault="001C19F3" w:rsidP="001C19F3">
      <w:pPr>
        <w:pStyle w:val="ListParagraph"/>
        <w:numPr>
          <w:ilvl w:val="0"/>
          <w:numId w:val="82"/>
        </w:numPr>
      </w:pPr>
      <w:r>
        <w:t>The purchase or repair of equipment or motor vehicles.</w:t>
      </w:r>
    </w:p>
    <w:p w14:paraId="77ACC6E1" w14:textId="77777777" w:rsidR="001C19F3" w:rsidRDefault="001C19F3" w:rsidP="001C19F3">
      <w:pPr>
        <w:pStyle w:val="ListParagraph"/>
        <w:numPr>
          <w:ilvl w:val="0"/>
          <w:numId w:val="82"/>
        </w:numPr>
      </w:pPr>
      <w:r>
        <w:t>Retrospective items or activities.</w:t>
      </w:r>
    </w:p>
    <w:p w14:paraId="3A569442" w14:textId="77777777" w:rsidR="001C19F3" w:rsidRDefault="001C19F3" w:rsidP="001C19F3">
      <w:pPr>
        <w:pStyle w:val="ListParagraph"/>
        <w:numPr>
          <w:ilvl w:val="0"/>
          <w:numId w:val="82"/>
        </w:numPr>
      </w:pPr>
      <w:r>
        <w:lastRenderedPageBreak/>
        <w:t>Lobbying and activities which support political parties or campaigns.</w:t>
      </w:r>
    </w:p>
    <w:p w14:paraId="26827ED2" w14:textId="77777777" w:rsidR="001C19F3" w:rsidRDefault="001C19F3" w:rsidP="001C19F3">
      <w:pPr>
        <w:pStyle w:val="ListParagraph"/>
        <w:numPr>
          <w:ilvl w:val="0"/>
          <w:numId w:val="82"/>
        </w:numPr>
      </w:pPr>
      <w:r>
        <w:t>Activities which subsidise commercial activities.</w:t>
      </w:r>
    </w:p>
    <w:p w14:paraId="774805C5" w14:textId="77777777" w:rsidR="001C19F3" w:rsidRDefault="001C19F3" w:rsidP="001C19F3">
      <w:pPr>
        <w:pStyle w:val="ListParagraph"/>
        <w:numPr>
          <w:ilvl w:val="0"/>
          <w:numId w:val="82"/>
        </w:numPr>
      </w:pPr>
      <w:r>
        <w:t>Clinical trials.</w:t>
      </w:r>
    </w:p>
    <w:p w14:paraId="21123B59" w14:textId="77777777" w:rsidR="001C19F3" w:rsidRDefault="001C19F3" w:rsidP="001C19F3">
      <w:r>
        <w:t>(</w:t>
      </w:r>
      <w:r>
        <w:fldChar w:fldCharType="begin"/>
      </w:r>
      <w:r>
        <w:instrText xml:space="preserve"> ADDIN EN.CITE &lt;EndNote&gt;&lt;Cite&gt;&lt;Author&gt;Australian Government Department of Health&lt;/Author&gt;&lt;Year&gt;2016&lt;/Year&gt;&lt;RecNum&gt;1067&lt;/RecNum&gt;&lt;DisplayText&gt;Australian Government Department of Health, 2016d&lt;/DisplayText&gt;&lt;record&gt;&lt;rec-number&gt;1067&lt;/rec-number&gt;&lt;foreign-keys&gt;&lt;key app="EN" db-id="zdz9xax04zr9v0evw2nvrpw9xe9ttzvs5zsv" timestamp="1536914730"&gt;1067&lt;/key&gt;&lt;/foreign-keys&gt;&lt;ref-type name="Electronic Book"&gt;44&lt;/ref-type&gt;&lt;contributors&gt;&lt;authors&gt;&lt;author&gt;Australian Government Department of Health,,&lt;/author&gt;&lt;/authors&gt;&lt;/contributors&gt;&lt;titles&gt;&lt;title&gt;Health Care Homes Grant Guidelines 4 November 2016&lt;/title&gt;&lt;/titles&gt;&lt;dates&gt;&lt;year&gt;2016&lt;/year&gt;&lt;/dates&gt;&lt;urls&gt;&lt;/urls&gt;&lt;/record&gt;&lt;/Cite&gt;&lt;/EndNote&gt;</w:instrText>
      </w:r>
      <w:r>
        <w:fldChar w:fldCharType="separate"/>
      </w:r>
      <w:r>
        <w:rPr>
          <w:noProof/>
        </w:rPr>
        <w:t>Australian Government Department of Health, 2016d</w:t>
      </w:r>
      <w:r>
        <w:fldChar w:fldCharType="end"/>
      </w:r>
      <w:r>
        <w:t>, p. 7)</w:t>
      </w:r>
      <w:r w:rsidRPr="00B73702">
        <w:t>.</w:t>
      </w:r>
    </w:p>
    <w:p w14:paraId="537B84A5" w14:textId="77777777" w:rsidR="001C19F3" w:rsidRDefault="001C19F3" w:rsidP="001C19F3">
      <w:r>
        <w:t xml:space="preserve">Practices that </w:t>
      </w:r>
      <w:r w:rsidRPr="008A2A78">
        <w:t>withdraw from the program</w:t>
      </w:r>
      <w:r>
        <w:t xml:space="preserve"> are required to</w:t>
      </w:r>
      <w:r w:rsidRPr="008A2A78">
        <w:t xml:space="preserve"> </w:t>
      </w:r>
      <w:r>
        <w:t xml:space="preserve">either </w:t>
      </w:r>
      <w:r w:rsidRPr="008A2A78">
        <w:t>repay the full amount of the grant or</w:t>
      </w:r>
      <w:r>
        <w:t xml:space="preserve"> </w:t>
      </w:r>
      <w:r w:rsidRPr="008A2A78">
        <w:t>complet</w:t>
      </w:r>
      <w:r>
        <w:t>e</w:t>
      </w:r>
      <w:r w:rsidRPr="008A2A78">
        <w:t xml:space="preserve"> a statutory declaration to say how much they have spent against the eligible uses</w:t>
      </w:r>
      <w:r>
        <w:t xml:space="preserve"> and</w:t>
      </w:r>
      <w:r w:rsidRPr="008A2A78">
        <w:t xml:space="preserve"> repay the balance.</w:t>
      </w:r>
    </w:p>
    <w:p w14:paraId="449C9A70" w14:textId="77777777" w:rsidR="001C19F3" w:rsidRDefault="001C19F3" w:rsidP="001C19F3">
      <w:pPr>
        <w:pStyle w:val="Heading2"/>
      </w:pPr>
      <w:bookmarkStart w:id="404" w:name="_Toc27056590"/>
      <w:r>
        <w:t>HCH assurance and compliance</w:t>
      </w:r>
      <w:bookmarkEnd w:id="404"/>
    </w:p>
    <w:p w14:paraId="46DD9520" w14:textId="77777777" w:rsidR="001C19F3" w:rsidRDefault="001C19F3" w:rsidP="001C19F3">
      <w:r>
        <w:t>The</w:t>
      </w:r>
      <w:r w:rsidRPr="00362F8B">
        <w:t xml:space="preserve"> </w:t>
      </w:r>
      <w:r>
        <w:t>Department of Health’s assurance and compliance approach aims to minimise the following risks associated with the HCH trial:</w:t>
      </w:r>
    </w:p>
    <w:p w14:paraId="3DAECFAE" w14:textId="77777777" w:rsidR="001C19F3" w:rsidRDefault="001C19F3" w:rsidP="001C19F3">
      <w:pPr>
        <w:pStyle w:val="ListParagraph"/>
        <w:numPr>
          <w:ilvl w:val="0"/>
          <w:numId w:val="77"/>
        </w:numPr>
      </w:pPr>
      <w:r>
        <w:t>incorrect stratification of patients</w:t>
      </w:r>
    </w:p>
    <w:p w14:paraId="766224FE" w14:textId="77777777" w:rsidR="001C19F3" w:rsidRDefault="001C19F3" w:rsidP="001C19F3">
      <w:pPr>
        <w:pStyle w:val="ListParagraph"/>
        <w:numPr>
          <w:ilvl w:val="0"/>
          <w:numId w:val="77"/>
        </w:numPr>
      </w:pPr>
      <w:r>
        <w:t>non-provision of Health Care Home services to enrolled patients</w:t>
      </w:r>
    </w:p>
    <w:p w14:paraId="2E321BDC" w14:textId="77777777" w:rsidR="001C19F3" w:rsidRDefault="001C19F3" w:rsidP="001C19F3">
      <w:pPr>
        <w:pStyle w:val="ListParagraph"/>
        <w:numPr>
          <w:ilvl w:val="0"/>
          <w:numId w:val="77"/>
        </w:numPr>
      </w:pPr>
      <w:r>
        <w:t>systematic double billing under HCH and Medicare.</w:t>
      </w:r>
    </w:p>
    <w:p w14:paraId="53639CDD" w14:textId="77777777" w:rsidR="001C19F3" w:rsidRPr="00657A5E" w:rsidRDefault="001C19F3" w:rsidP="001C19F3">
      <w:r w:rsidRPr="00657A5E">
        <w:t>The Department</w:t>
      </w:r>
      <w:r>
        <w:t xml:space="preserve"> has stated that its </w:t>
      </w:r>
      <w:r w:rsidRPr="00657A5E">
        <w:t>compliance approach is focussed on education and support</w:t>
      </w:r>
      <w:r>
        <w:t>. It de</w:t>
      </w:r>
      <w:r w:rsidRPr="00657A5E">
        <w:t xml:space="preserve">veloped a </w:t>
      </w:r>
      <w:r w:rsidRPr="00657A5E">
        <w:rPr>
          <w:i/>
        </w:rPr>
        <w:t>Health Care Home Funding Assurance Toolkit</w:t>
      </w:r>
      <w:r w:rsidRPr="00657A5E">
        <w:t xml:space="preserve"> (</w:t>
      </w:r>
      <w:r w:rsidRPr="00657A5E">
        <w:fldChar w:fldCharType="begin"/>
      </w:r>
      <w:r>
        <w:instrText xml:space="preserve"> ADDIN EN.CITE &lt;EndNote&gt;&lt;Cite&gt;&lt;Author&gt;Australian Government Department of Health&lt;/Author&gt;&lt;Year&gt;2018&lt;/Year&gt;&lt;RecNum&gt;1064&lt;/RecNum&gt;&lt;DisplayText&gt;Australian Government Department of Health, 2018a&lt;/DisplayText&gt;&lt;record&gt;&lt;rec-number&gt;1064&lt;/rec-number&gt;&lt;foreign-keys&gt;&lt;key app="EN" db-id="zdz9xax04zr9v0evw2nvrpw9xe9ttzvs5zsv" timestamp="1536891525"&gt;1064&lt;/key&gt;&lt;/foreign-keys&gt;&lt;ref-type name="Report"&gt;27&lt;/ref-type&gt;&lt;contributors&gt;&lt;authors&gt;&lt;author&gt;Australian Government Department of Health,,&lt;/author&gt;&lt;/authors&gt;&lt;/contributors&gt;&lt;titles&gt;&lt;title&gt;Health Care Home Funding Assurance Toolkit March 2018&lt;/title&gt;&lt;/titles&gt;&lt;dates&gt;&lt;year&gt;2018&lt;/year&gt;&lt;/dates&gt;&lt;pub-location&gt;Canberra&lt;/pub-location&gt;&lt;urls&gt;&lt;related-urls&gt;&lt;url&gt;http://www.health.gov.au/internet/main/publishing.nsf/Content/48DD66C8A5B99B56CA2581E700778A86/$File/HealthCareHomesFunding%20assurance%20toolkit.pdf&lt;/url&gt;&lt;/related-urls&gt;&lt;/urls&gt;&lt;/record&gt;&lt;/Cite&gt;&lt;/EndNote&gt;</w:instrText>
      </w:r>
      <w:r w:rsidRPr="00657A5E">
        <w:fldChar w:fldCharType="separate"/>
      </w:r>
      <w:r>
        <w:rPr>
          <w:noProof/>
        </w:rPr>
        <w:t>Australian Government Department of Health, 2018a</w:t>
      </w:r>
      <w:r w:rsidRPr="00657A5E">
        <w:fldChar w:fldCharType="end"/>
      </w:r>
      <w:r w:rsidRPr="00657A5E">
        <w:t>) to “</w:t>
      </w:r>
      <w:r w:rsidRPr="00657A5E">
        <w:rPr>
          <w:i/>
        </w:rPr>
        <w:t>assist practice staff in implementing policies, procedures, systems and day-to-day activities that will result in appropriate use of the HCH bundled payments and billing of MBS items for services provided to enrolled patients</w:t>
      </w:r>
      <w:r w:rsidRPr="00657A5E">
        <w:t>” (p. 4). The toolkit contains:</w:t>
      </w:r>
    </w:p>
    <w:p w14:paraId="2F85B13D" w14:textId="77777777" w:rsidR="001C19F3" w:rsidRDefault="001C19F3" w:rsidP="001C19F3">
      <w:pPr>
        <w:pStyle w:val="ListParagraph"/>
        <w:numPr>
          <w:ilvl w:val="0"/>
          <w:numId w:val="74"/>
        </w:numPr>
      </w:pPr>
      <w:r>
        <w:t>strategies for minimising incorrect billing</w:t>
      </w:r>
    </w:p>
    <w:p w14:paraId="36ED3AAA" w14:textId="77777777" w:rsidR="001C19F3" w:rsidRPr="00657A5E" w:rsidRDefault="001C19F3" w:rsidP="001C19F3">
      <w:pPr>
        <w:pStyle w:val="ListParagraph"/>
        <w:numPr>
          <w:ilvl w:val="0"/>
          <w:numId w:val="74"/>
        </w:numPr>
      </w:pPr>
      <w:r>
        <w:t>an HCH funding assurance manual template including examples of policy statements and operational guidelines that HCHs can use to develop their own MBS billing manual</w:t>
      </w:r>
    </w:p>
    <w:p w14:paraId="45F06CDD" w14:textId="77777777" w:rsidR="001C19F3" w:rsidRDefault="001C19F3" w:rsidP="001C19F3">
      <w:pPr>
        <w:pStyle w:val="ListParagraph"/>
        <w:numPr>
          <w:ilvl w:val="0"/>
          <w:numId w:val="74"/>
        </w:numPr>
      </w:pPr>
      <w:r>
        <w:t>an HCH self-assessment checklist</w:t>
      </w:r>
    </w:p>
    <w:p w14:paraId="338D43B6" w14:textId="77777777" w:rsidR="001C19F3" w:rsidRPr="00657A5E" w:rsidRDefault="001C19F3" w:rsidP="001C19F3">
      <w:pPr>
        <w:pStyle w:val="ListParagraph"/>
        <w:numPr>
          <w:ilvl w:val="0"/>
          <w:numId w:val="74"/>
        </w:numPr>
      </w:pPr>
      <w:r>
        <w:t>pre- and post-participation questionnaires for HCHs to rate their HCH funding assurance approach (e.g. “</w:t>
      </w:r>
      <w:r w:rsidRPr="003E57A7">
        <w:rPr>
          <w:i/>
        </w:rPr>
        <w:t>There is at least one person responsible for HCH funding assurance in the practice</w:t>
      </w:r>
      <w:r>
        <w:t>” p. 32)</w:t>
      </w:r>
    </w:p>
    <w:p w14:paraId="4D6B6666" w14:textId="77777777" w:rsidR="001C19F3" w:rsidRPr="00657A5E" w:rsidRDefault="001C19F3" w:rsidP="001C19F3">
      <w:pPr>
        <w:pStyle w:val="ListParagraph"/>
        <w:numPr>
          <w:ilvl w:val="0"/>
          <w:numId w:val="74"/>
        </w:numPr>
      </w:pPr>
      <w:r>
        <w:t>c</w:t>
      </w:r>
      <w:r w:rsidRPr="00657A5E">
        <w:t>onsequences of incorrect billing under Medicare</w:t>
      </w:r>
      <w:r>
        <w:t>.</w:t>
      </w:r>
    </w:p>
    <w:p w14:paraId="2C442342" w14:textId="77777777" w:rsidR="001C19F3" w:rsidRDefault="001C19F3" w:rsidP="001C19F3">
      <w:r>
        <w:t xml:space="preserve">The </w:t>
      </w:r>
      <w:r w:rsidRPr="00FD1823">
        <w:rPr>
          <w:i/>
        </w:rPr>
        <w:t xml:space="preserve">Handbook for practices and </w:t>
      </w:r>
      <w:r>
        <w:rPr>
          <w:i/>
        </w:rPr>
        <w:t>ACCHS</w:t>
      </w:r>
      <w:r>
        <w:t xml:space="preserve"> (</w:t>
      </w:r>
      <w:r>
        <w:fldChar w:fldCharType="begin"/>
      </w:r>
      <w:r>
        <w:instrText xml:space="preserve"> ADDIN EN.CITE &lt;EndNote&gt;&lt;Cite&gt;&lt;Author&gt;Australian Government Department of Health&lt;/Author&gt;&lt;Year&gt;2018&lt;/Year&gt;&lt;RecNum&gt;1034&lt;/RecNum&gt;&lt;DisplayText&gt;Australian Government Department of Health, 2018c&lt;/DisplayText&gt;&lt;record&gt;&lt;rec-number&gt;1034&lt;/rec-number&gt;&lt;foreign-keys&gt;&lt;key app="EN" db-id="zdz9xax04zr9v0evw2nvrpw9xe9ttzvs5zsv" timestamp="1535530581"&gt;1034&lt;/key&gt;&lt;/foreign-keys&gt;&lt;ref-type name="Electronic Book"&gt;44&lt;/ref-type&gt;&lt;contributors&gt;&lt;authors&gt;&lt;author&gt;Australian Government Department of Health,,&lt;/author&gt;&lt;/authors&gt;&lt;/contributors&gt;&lt;titles&gt;&lt;title&gt;Health Care Homes Handbook for general practices and Aboriginal Community Controlled Health Services Version 1.4 August 2018&lt;/title&gt;&lt;/titles&gt;&lt;dates&gt;&lt;year&gt;2018&lt;/year&gt;&lt;/dates&gt;&lt;urls&gt;&lt;related-urls&gt;&lt;url&gt;http://www.health.gov.au/internet/main/publishing.nsf/Content/health-care-homes-cp/$File/Health%20Care%20Homes%20handbook%20August%202018.pdf&lt;/url&gt;&lt;/related-urls&gt;&lt;/urls&gt;&lt;/record&gt;&lt;/Cite&gt;&lt;/EndNote&gt;</w:instrText>
      </w:r>
      <w:r>
        <w:fldChar w:fldCharType="separate"/>
      </w:r>
      <w:r>
        <w:rPr>
          <w:noProof/>
        </w:rPr>
        <w:t>Australian Government Department of Health, 2018c</w:t>
      </w:r>
      <w:r>
        <w:fldChar w:fldCharType="end"/>
      </w:r>
      <w:r>
        <w:t>) states that the Department may use a range of techniques to identify, prioritise and respond to identified risks, including:</w:t>
      </w:r>
    </w:p>
    <w:p w14:paraId="4D096A66" w14:textId="77777777" w:rsidR="001C19F3" w:rsidRDefault="001C19F3" w:rsidP="001C19F3">
      <w:pPr>
        <w:pStyle w:val="ListParagraph"/>
        <w:numPr>
          <w:ilvl w:val="0"/>
          <w:numId w:val="78"/>
        </w:numPr>
      </w:pPr>
      <w:r>
        <w:t>providing education, compliance support and tools</w:t>
      </w:r>
    </w:p>
    <w:p w14:paraId="7D43B992" w14:textId="77777777" w:rsidR="001C19F3" w:rsidRDefault="001C19F3" w:rsidP="001C19F3">
      <w:pPr>
        <w:pStyle w:val="ListParagraph"/>
        <w:numPr>
          <w:ilvl w:val="0"/>
          <w:numId w:val="78"/>
        </w:numPr>
      </w:pPr>
      <w:r>
        <w:t>using established norms and baselines (through data analysis and random audits) to identify outliers, who in turn will receive targeted communications and/ or education</w:t>
      </w:r>
    </w:p>
    <w:p w14:paraId="2A33132C" w14:textId="77777777" w:rsidR="001C19F3" w:rsidRDefault="001C19F3" w:rsidP="001C19F3">
      <w:pPr>
        <w:pStyle w:val="ListParagraph"/>
        <w:numPr>
          <w:ilvl w:val="0"/>
          <w:numId w:val="78"/>
        </w:numPr>
      </w:pPr>
      <w:r>
        <w:t>using environmental scanning, previous audit information, published tip-off line and data analysis to target audits and investigations.</w:t>
      </w:r>
    </w:p>
    <w:p w14:paraId="04733FA7" w14:textId="77777777" w:rsidR="001C19F3" w:rsidRDefault="001C19F3" w:rsidP="001C19F3">
      <w:r>
        <w:t>Although the Department has developed criteria for appropriate delivery of HCH services (see box below), it will not audit or review the quality of clinical care provided. For this, it is deferring to existing mechanisms such as requirements established by professional associations, regulatory frameworks and clinical standards.</w:t>
      </w:r>
    </w:p>
    <w:tbl>
      <w:tblPr>
        <w:tblW w:w="0" w:type="auto"/>
        <w:tblLook w:val="04A0" w:firstRow="1" w:lastRow="0" w:firstColumn="1" w:lastColumn="0" w:noHBand="0" w:noVBand="1"/>
      </w:tblPr>
      <w:tblGrid>
        <w:gridCol w:w="9016"/>
      </w:tblGrid>
      <w:tr w:rsidR="001C19F3" w:rsidRPr="00431C7C" w14:paraId="710F8176" w14:textId="77777777" w:rsidTr="00521305">
        <w:tc>
          <w:tcPr>
            <w:tcW w:w="9016" w:type="dxa"/>
            <w:tcBorders>
              <w:top w:val="nil"/>
              <w:left w:val="nil"/>
              <w:bottom w:val="nil"/>
              <w:right w:val="nil"/>
            </w:tcBorders>
            <w:shd w:val="clear" w:color="auto" w:fill="F2F2F2" w:themeFill="background1" w:themeFillShade="F2"/>
          </w:tcPr>
          <w:p w14:paraId="545D93C7" w14:textId="77777777" w:rsidR="001C19F3" w:rsidRPr="00431C7C" w:rsidRDefault="001C19F3" w:rsidP="00521305">
            <w:pPr>
              <w:pStyle w:val="Boxheading"/>
              <w:rPr>
                <w:sz w:val="18"/>
                <w:szCs w:val="18"/>
              </w:rPr>
            </w:pPr>
            <w:bookmarkStart w:id="405" w:name="Appropriate"/>
            <w:r w:rsidRPr="00431C7C">
              <w:rPr>
                <w:sz w:val="18"/>
                <w:szCs w:val="18"/>
              </w:rPr>
              <w:lastRenderedPageBreak/>
              <w:t>Appropriate delivery of HCH services</w:t>
            </w:r>
          </w:p>
          <w:bookmarkEnd w:id="405"/>
          <w:p w14:paraId="24FB1648" w14:textId="77777777" w:rsidR="001C19F3" w:rsidRPr="00431C7C" w:rsidRDefault="001C19F3" w:rsidP="00521305">
            <w:pPr>
              <w:rPr>
                <w:sz w:val="18"/>
                <w:szCs w:val="18"/>
              </w:rPr>
            </w:pPr>
            <w:r w:rsidRPr="00431C7C">
              <w:rPr>
                <w:sz w:val="18"/>
                <w:szCs w:val="18"/>
              </w:rPr>
              <w:t xml:space="preserve">The </w:t>
            </w:r>
            <w:r w:rsidRPr="00431C7C">
              <w:rPr>
                <w:i/>
                <w:sz w:val="18"/>
                <w:szCs w:val="18"/>
              </w:rPr>
              <w:t xml:space="preserve">Health Care Home Funding Assurance Toolkit </w:t>
            </w:r>
            <w:r w:rsidRPr="00431C7C">
              <w:rPr>
                <w:sz w:val="18"/>
                <w:szCs w:val="18"/>
              </w:rPr>
              <w:t>(</w:t>
            </w:r>
            <w:r w:rsidRPr="00431C7C">
              <w:rPr>
                <w:sz w:val="18"/>
                <w:szCs w:val="18"/>
              </w:rPr>
              <w:fldChar w:fldCharType="begin"/>
            </w:r>
            <w:r w:rsidRPr="00431C7C">
              <w:rPr>
                <w:sz w:val="18"/>
                <w:szCs w:val="18"/>
              </w:rPr>
              <w:instrText xml:space="preserve"> ADDIN EN.CITE &lt;EndNote&gt;&lt;Cite&gt;&lt;Author&gt;Australian Government Department of Health&lt;/Author&gt;&lt;Year&gt;2018&lt;/Year&gt;&lt;RecNum&gt;1064&lt;/RecNum&gt;&lt;DisplayText&gt;Australian Government Department of Health, 2018a&lt;/DisplayText&gt;&lt;record&gt;&lt;rec-number&gt;1064&lt;/rec-number&gt;&lt;foreign-keys&gt;&lt;key app="EN" db-id="zdz9xax04zr9v0evw2nvrpw9xe9ttzvs5zsv" timestamp="1536891525"&gt;1064&lt;/key&gt;&lt;/foreign-keys&gt;&lt;ref-type name="Report"&gt;27&lt;/ref-type&gt;&lt;contributors&gt;&lt;authors&gt;&lt;author&gt;Australian Government Department of Health,,&lt;/author&gt;&lt;/authors&gt;&lt;/contributors&gt;&lt;titles&gt;&lt;title&gt;Health Care Home Funding Assurance Toolkit March 2018&lt;/title&gt;&lt;/titles&gt;&lt;dates&gt;&lt;year&gt;2018&lt;/year&gt;&lt;/dates&gt;&lt;pub-location&gt;Canberra&lt;/pub-location&gt;&lt;urls&gt;&lt;related-urls&gt;&lt;url&gt;http://www.health.gov.au/internet/main/publishing.nsf/Content/48DD66C8A5B99B56CA2581E700778A86/$File/HealthCareHomesFunding%20assurance%20toolkit.pdf&lt;/url&gt;&lt;/related-urls&gt;&lt;/urls&gt;&lt;/record&gt;&lt;/Cite&gt;&lt;/EndNote&gt;</w:instrText>
            </w:r>
            <w:r w:rsidRPr="00431C7C">
              <w:rPr>
                <w:sz w:val="18"/>
                <w:szCs w:val="18"/>
              </w:rPr>
              <w:fldChar w:fldCharType="separate"/>
            </w:r>
            <w:r w:rsidRPr="00431C7C">
              <w:rPr>
                <w:noProof/>
                <w:sz w:val="18"/>
                <w:szCs w:val="18"/>
              </w:rPr>
              <w:t>Australian Government Department of Health, 2018a</w:t>
            </w:r>
            <w:r w:rsidRPr="00431C7C">
              <w:rPr>
                <w:sz w:val="18"/>
                <w:szCs w:val="18"/>
              </w:rPr>
              <w:fldChar w:fldCharType="end"/>
            </w:r>
            <w:r w:rsidRPr="00431C7C">
              <w:rPr>
                <w:sz w:val="18"/>
                <w:szCs w:val="18"/>
              </w:rPr>
              <w:t>) defines ‘appropriate delivery of HCH services’ as services where:</w:t>
            </w:r>
          </w:p>
          <w:p w14:paraId="4F928B97"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Practice staff comply with the Privacy Act 1988 (particularly, the Australian Privacy Principles and the My Health Records Act 2012 (Cth)), and ensure that personal information collected, used and disclosed is accurate, up-to-date, complete and relevant.</w:t>
            </w:r>
          </w:p>
          <w:p w14:paraId="44020BFA"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The practice obtains patient consent for the collection, use and disclosure of personal information for the purpose of the HCH trial before conducting the second stage of the risk stratification process.</w:t>
            </w:r>
          </w:p>
          <w:p w14:paraId="1D9253C8"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Only the HCH enrolment and consent form provided by the Department is used by the practice for obtaining patient consent to HCH enrolment.</w:t>
            </w:r>
          </w:p>
          <w:p w14:paraId="11A4F0F5"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A copy of each enrolled patient’s signed and dated HCH enrolment and consent form is kept on the practice’s patient records.</w:t>
            </w:r>
          </w:p>
          <w:p w14:paraId="7FBC9D8C"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The HCH services provided by the practice to enrolled patients are consistent with industry agreed best practice and evidenced based disease management protocols, and are applicable to locally developed care pathways.</w:t>
            </w:r>
          </w:p>
          <w:p w14:paraId="01F50D0F"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Individually tailored shared care plans are developed by the practice in partnership with each enrolled patient (and their carers, where appropriate) and members of the HCH team, with input provided from any participating nominated allied health providers. The practice ensures that all patient care plans:</w:t>
            </w:r>
          </w:p>
          <w:p w14:paraId="31029C0B" w14:textId="77777777" w:rsidR="001C19F3" w:rsidRPr="00431C7C" w:rsidRDefault="001C19F3" w:rsidP="001C19F3">
            <w:pPr>
              <w:pStyle w:val="ListParagraph"/>
              <w:numPr>
                <w:ilvl w:val="0"/>
                <w:numId w:val="75"/>
              </w:numPr>
              <w:rPr>
                <w:i/>
                <w:sz w:val="18"/>
                <w:szCs w:val="18"/>
              </w:rPr>
            </w:pPr>
            <w:r w:rsidRPr="00431C7C">
              <w:rPr>
                <w:i/>
                <w:sz w:val="18"/>
                <w:szCs w:val="18"/>
              </w:rPr>
              <w:t>incorporate all of the minimum requirements for shared care planning identified in the HCH Handbook and online training manual</w:t>
            </w:r>
          </w:p>
          <w:p w14:paraId="4C291030" w14:textId="77777777" w:rsidR="001C19F3" w:rsidRPr="00431C7C" w:rsidRDefault="001C19F3" w:rsidP="001C19F3">
            <w:pPr>
              <w:pStyle w:val="ListParagraph"/>
              <w:numPr>
                <w:ilvl w:val="0"/>
                <w:numId w:val="75"/>
              </w:numPr>
              <w:rPr>
                <w:i/>
                <w:sz w:val="18"/>
                <w:szCs w:val="18"/>
              </w:rPr>
            </w:pPr>
            <w:r w:rsidRPr="00431C7C">
              <w:rPr>
                <w:i/>
                <w:sz w:val="18"/>
                <w:szCs w:val="18"/>
              </w:rPr>
              <w:t>reflect the patient’s level of complexity and need, and their tier level</w:t>
            </w:r>
          </w:p>
          <w:p w14:paraId="5E5EE923" w14:textId="77777777" w:rsidR="001C19F3" w:rsidRPr="00431C7C" w:rsidRDefault="001C19F3" w:rsidP="001C19F3">
            <w:pPr>
              <w:pStyle w:val="ListParagraph"/>
              <w:numPr>
                <w:ilvl w:val="0"/>
                <w:numId w:val="75"/>
              </w:numPr>
              <w:rPr>
                <w:i/>
                <w:sz w:val="18"/>
                <w:szCs w:val="18"/>
              </w:rPr>
            </w:pPr>
            <w:r w:rsidRPr="00431C7C">
              <w:rPr>
                <w:i/>
                <w:sz w:val="18"/>
                <w:szCs w:val="18"/>
              </w:rPr>
              <w:t>are approved by the patient’s nominated preferred GP, who is responsible for the clinical care delivered to the enrolled patient and ensuring that care plans are followed</w:t>
            </w:r>
          </w:p>
          <w:p w14:paraId="7A22CC89" w14:textId="77777777" w:rsidR="001C19F3" w:rsidRPr="00431C7C" w:rsidRDefault="001C19F3" w:rsidP="001C19F3">
            <w:pPr>
              <w:pStyle w:val="ListParagraph"/>
              <w:numPr>
                <w:ilvl w:val="0"/>
                <w:numId w:val="75"/>
              </w:numPr>
              <w:rPr>
                <w:i/>
                <w:sz w:val="18"/>
                <w:szCs w:val="18"/>
              </w:rPr>
            </w:pPr>
            <w:r w:rsidRPr="00431C7C">
              <w:rPr>
                <w:i/>
                <w:sz w:val="18"/>
                <w:szCs w:val="18"/>
              </w:rPr>
              <w:t>are developed in the presence of, and agreed by the enrolled patient (or their nominated carer, where appropriate), who is also given a printed copy</w:t>
            </w:r>
          </w:p>
          <w:p w14:paraId="240DA865" w14:textId="77777777" w:rsidR="001C19F3" w:rsidRPr="00431C7C" w:rsidRDefault="001C19F3" w:rsidP="001C19F3">
            <w:pPr>
              <w:pStyle w:val="ListParagraph"/>
              <w:numPr>
                <w:ilvl w:val="0"/>
                <w:numId w:val="75"/>
              </w:numPr>
              <w:rPr>
                <w:i/>
                <w:sz w:val="18"/>
                <w:szCs w:val="18"/>
              </w:rPr>
            </w:pPr>
            <w:r w:rsidRPr="00431C7C">
              <w:rPr>
                <w:i/>
                <w:sz w:val="18"/>
                <w:szCs w:val="18"/>
              </w:rPr>
              <w:t>are accessible to and shared between health care providers responsible for their care</w:t>
            </w:r>
          </w:p>
          <w:p w14:paraId="3B01F1A6" w14:textId="77777777" w:rsidR="001C19F3" w:rsidRPr="00431C7C" w:rsidRDefault="001C19F3" w:rsidP="001C19F3">
            <w:pPr>
              <w:pStyle w:val="ListParagraph"/>
              <w:numPr>
                <w:ilvl w:val="0"/>
                <w:numId w:val="75"/>
              </w:numPr>
              <w:ind w:left="714" w:hanging="357"/>
              <w:contextualSpacing w:val="0"/>
              <w:rPr>
                <w:i/>
                <w:sz w:val="18"/>
                <w:szCs w:val="18"/>
              </w:rPr>
            </w:pPr>
            <w:r w:rsidRPr="00431C7C">
              <w:rPr>
                <w:i/>
                <w:sz w:val="18"/>
                <w:szCs w:val="18"/>
              </w:rPr>
              <w:t>are regularly reviewed by the practice and the patient’s nominated preferred GP in consultation with the enrolled patient (and their carers, where appropriate) and involved allied health care providers—as a guide, this is expected to be at least:</w:t>
            </w:r>
          </w:p>
          <w:p w14:paraId="54A047AB" w14:textId="77777777" w:rsidR="001C19F3" w:rsidRPr="00431C7C" w:rsidRDefault="001C19F3" w:rsidP="001C19F3">
            <w:pPr>
              <w:pStyle w:val="ListParagraph"/>
              <w:numPr>
                <w:ilvl w:val="0"/>
                <w:numId w:val="75"/>
              </w:numPr>
              <w:ind w:left="851" w:hanging="284"/>
              <w:rPr>
                <w:i/>
                <w:sz w:val="18"/>
                <w:szCs w:val="18"/>
              </w:rPr>
            </w:pPr>
            <w:r w:rsidRPr="00431C7C">
              <w:rPr>
                <w:i/>
                <w:sz w:val="18"/>
                <w:szCs w:val="18"/>
              </w:rPr>
              <w:t>once a year for tier 1 patients (or more frequently if the patient’s needs change)</w:t>
            </w:r>
          </w:p>
          <w:p w14:paraId="23EA4736" w14:textId="77777777" w:rsidR="001C19F3" w:rsidRPr="00431C7C" w:rsidRDefault="001C19F3" w:rsidP="001C19F3">
            <w:pPr>
              <w:pStyle w:val="ListParagraph"/>
              <w:numPr>
                <w:ilvl w:val="0"/>
                <w:numId w:val="75"/>
              </w:numPr>
              <w:ind w:left="851" w:hanging="284"/>
              <w:rPr>
                <w:i/>
                <w:sz w:val="18"/>
                <w:szCs w:val="18"/>
              </w:rPr>
            </w:pPr>
            <w:r w:rsidRPr="00431C7C">
              <w:rPr>
                <w:i/>
                <w:sz w:val="18"/>
                <w:szCs w:val="18"/>
              </w:rPr>
              <w:t>twice a year for tier 2 patients (or more frequently if the patient’s needs change)</w:t>
            </w:r>
          </w:p>
          <w:p w14:paraId="6DBA9F28" w14:textId="77777777" w:rsidR="001C19F3" w:rsidRPr="00431C7C" w:rsidRDefault="001C19F3" w:rsidP="001C19F3">
            <w:pPr>
              <w:pStyle w:val="ListParagraph"/>
              <w:numPr>
                <w:ilvl w:val="0"/>
                <w:numId w:val="75"/>
              </w:numPr>
              <w:ind w:left="851" w:hanging="284"/>
              <w:contextualSpacing w:val="0"/>
              <w:rPr>
                <w:i/>
                <w:sz w:val="18"/>
                <w:szCs w:val="18"/>
              </w:rPr>
            </w:pPr>
            <w:r w:rsidRPr="00431C7C">
              <w:rPr>
                <w:i/>
                <w:sz w:val="18"/>
                <w:szCs w:val="18"/>
              </w:rPr>
              <w:t>three times a year for tier 3 patients (or more frequently if the patient’s needs change).</w:t>
            </w:r>
          </w:p>
          <w:p w14:paraId="2B78B8BE" w14:textId="77777777" w:rsidR="001C19F3" w:rsidRPr="00431C7C" w:rsidRDefault="001C19F3" w:rsidP="001C19F3">
            <w:pPr>
              <w:pStyle w:val="ListParagraph"/>
              <w:numPr>
                <w:ilvl w:val="0"/>
                <w:numId w:val="75"/>
              </w:numPr>
              <w:ind w:left="714" w:hanging="357"/>
              <w:contextualSpacing w:val="0"/>
              <w:rPr>
                <w:i/>
                <w:sz w:val="18"/>
                <w:szCs w:val="18"/>
              </w:rPr>
            </w:pPr>
            <w:r w:rsidRPr="00431C7C">
              <w:rPr>
                <w:i/>
                <w:sz w:val="18"/>
                <w:szCs w:val="18"/>
              </w:rPr>
              <w:t>are updated whenever a patient’s health or health care needs change.</w:t>
            </w:r>
          </w:p>
          <w:p w14:paraId="51542A90"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The practice ensures that all patients are enrolled in the My Health Record system and that all patients have an up-to-date Shared Health Summary. Shared Health Summaries should be updated as patient’s health needs and status changes.</w:t>
            </w:r>
          </w:p>
          <w:p w14:paraId="24F1B27A" w14:textId="77777777" w:rsidR="001C19F3" w:rsidRPr="00431C7C" w:rsidRDefault="001C19F3" w:rsidP="001C19F3">
            <w:pPr>
              <w:pStyle w:val="ListParagraph"/>
              <w:numPr>
                <w:ilvl w:val="0"/>
                <w:numId w:val="79"/>
              </w:numPr>
              <w:ind w:left="426" w:hanging="426"/>
              <w:contextualSpacing w:val="0"/>
              <w:rPr>
                <w:i/>
                <w:sz w:val="18"/>
                <w:szCs w:val="18"/>
              </w:rPr>
            </w:pPr>
            <w:r w:rsidRPr="00431C7C">
              <w:rPr>
                <w:i/>
                <w:sz w:val="18"/>
                <w:szCs w:val="18"/>
              </w:rPr>
              <w:t>The practice provides all enrolled patients with information and support that helps them to understand:</w:t>
            </w:r>
          </w:p>
          <w:p w14:paraId="6758B5D4" w14:textId="77777777" w:rsidR="001C19F3" w:rsidRPr="00431C7C" w:rsidRDefault="001C19F3" w:rsidP="001C19F3">
            <w:pPr>
              <w:pStyle w:val="ListParagraph"/>
              <w:numPr>
                <w:ilvl w:val="0"/>
                <w:numId w:val="75"/>
              </w:numPr>
              <w:ind w:left="851" w:hanging="284"/>
              <w:rPr>
                <w:i/>
                <w:sz w:val="18"/>
                <w:szCs w:val="18"/>
              </w:rPr>
            </w:pPr>
            <w:r w:rsidRPr="00431C7C">
              <w:rPr>
                <w:i/>
                <w:sz w:val="18"/>
                <w:szCs w:val="18"/>
              </w:rPr>
              <w:t>the care they can expect to receive from their HCH;</w:t>
            </w:r>
          </w:p>
          <w:p w14:paraId="5144791B" w14:textId="77777777" w:rsidR="001C19F3" w:rsidRPr="00431C7C" w:rsidRDefault="001C19F3" w:rsidP="001C19F3">
            <w:pPr>
              <w:pStyle w:val="ListParagraph"/>
              <w:numPr>
                <w:ilvl w:val="0"/>
                <w:numId w:val="75"/>
              </w:numPr>
              <w:ind w:left="851" w:hanging="284"/>
              <w:rPr>
                <w:i/>
                <w:sz w:val="18"/>
                <w:szCs w:val="18"/>
              </w:rPr>
            </w:pPr>
            <w:r w:rsidRPr="00431C7C">
              <w:rPr>
                <w:i/>
                <w:sz w:val="18"/>
                <w:szCs w:val="18"/>
              </w:rPr>
              <w:t>their roles and responsibilities as enrolled patients;</w:t>
            </w:r>
          </w:p>
          <w:p w14:paraId="4AE6DAA6" w14:textId="77777777" w:rsidR="001C19F3" w:rsidRPr="00431C7C" w:rsidRDefault="001C19F3" w:rsidP="001C19F3">
            <w:pPr>
              <w:pStyle w:val="ListParagraph"/>
              <w:numPr>
                <w:ilvl w:val="0"/>
                <w:numId w:val="75"/>
              </w:numPr>
              <w:ind w:left="851" w:hanging="284"/>
              <w:rPr>
                <w:i/>
                <w:sz w:val="18"/>
                <w:szCs w:val="18"/>
              </w:rPr>
            </w:pPr>
            <w:r w:rsidRPr="00431C7C">
              <w:rPr>
                <w:i/>
                <w:sz w:val="18"/>
                <w:szCs w:val="18"/>
              </w:rPr>
              <w:t>any out-of-pocket expenses they may incur and how these will be linked to their Medicare Safety Net threshold/s;</w:t>
            </w:r>
          </w:p>
          <w:p w14:paraId="155EE3FB" w14:textId="77777777" w:rsidR="001C19F3" w:rsidRPr="00431C7C" w:rsidRDefault="001C19F3" w:rsidP="001C19F3">
            <w:pPr>
              <w:pStyle w:val="ListParagraph"/>
              <w:numPr>
                <w:ilvl w:val="0"/>
                <w:numId w:val="75"/>
              </w:numPr>
              <w:ind w:left="851" w:hanging="284"/>
              <w:rPr>
                <w:i/>
                <w:sz w:val="18"/>
                <w:szCs w:val="18"/>
              </w:rPr>
            </w:pPr>
            <w:r w:rsidRPr="00431C7C">
              <w:rPr>
                <w:i/>
                <w:sz w:val="18"/>
                <w:szCs w:val="18"/>
              </w:rPr>
              <w:lastRenderedPageBreak/>
              <w:t>who they can contact for details of in-hours and out-of-hours care; and</w:t>
            </w:r>
          </w:p>
          <w:p w14:paraId="745CC735" w14:textId="77777777" w:rsidR="001C19F3" w:rsidRPr="00431C7C" w:rsidRDefault="001C19F3" w:rsidP="001C19F3">
            <w:pPr>
              <w:pStyle w:val="ListParagraph"/>
              <w:numPr>
                <w:ilvl w:val="0"/>
                <w:numId w:val="75"/>
              </w:numPr>
              <w:ind w:left="851" w:hanging="284"/>
              <w:contextualSpacing w:val="0"/>
              <w:rPr>
                <w:i/>
                <w:sz w:val="18"/>
                <w:szCs w:val="18"/>
              </w:rPr>
            </w:pPr>
            <w:r w:rsidRPr="00431C7C">
              <w:rPr>
                <w:i/>
                <w:sz w:val="18"/>
                <w:szCs w:val="18"/>
              </w:rPr>
              <w:t>where appropriate, the circumstances when they might need to seek support from their local hospital.</w:t>
            </w:r>
          </w:p>
          <w:p w14:paraId="265330D8" w14:textId="77777777" w:rsidR="001C19F3" w:rsidRPr="00431C7C" w:rsidRDefault="001C19F3" w:rsidP="001C19F3">
            <w:pPr>
              <w:pStyle w:val="ListParagraph"/>
              <w:numPr>
                <w:ilvl w:val="0"/>
                <w:numId w:val="76"/>
              </w:numPr>
              <w:ind w:left="426" w:hanging="426"/>
              <w:contextualSpacing w:val="0"/>
              <w:rPr>
                <w:i/>
                <w:sz w:val="18"/>
                <w:szCs w:val="18"/>
              </w:rPr>
            </w:pPr>
            <w:r w:rsidRPr="00431C7C">
              <w:rPr>
                <w:i/>
                <w:sz w:val="18"/>
                <w:szCs w:val="18"/>
              </w:rPr>
              <w:t>The practice assists enrolled patients to:</w:t>
            </w:r>
          </w:p>
          <w:p w14:paraId="60859A38" w14:textId="77777777" w:rsidR="001C19F3" w:rsidRPr="00431C7C" w:rsidRDefault="001C19F3" w:rsidP="001C19F3">
            <w:pPr>
              <w:pStyle w:val="ListParagraph"/>
              <w:numPr>
                <w:ilvl w:val="0"/>
                <w:numId w:val="75"/>
              </w:numPr>
              <w:rPr>
                <w:i/>
                <w:sz w:val="18"/>
                <w:szCs w:val="18"/>
              </w:rPr>
            </w:pPr>
            <w:r w:rsidRPr="00431C7C">
              <w:rPr>
                <w:i/>
                <w:sz w:val="18"/>
                <w:szCs w:val="18"/>
              </w:rPr>
              <w:t>be actively involved in planning and managing their care, and in making decisions about their care; and</w:t>
            </w:r>
          </w:p>
          <w:p w14:paraId="007A48B0" w14:textId="77777777" w:rsidR="001C19F3" w:rsidRPr="00431C7C" w:rsidRDefault="001C19F3" w:rsidP="001C19F3">
            <w:pPr>
              <w:pStyle w:val="ListParagraph"/>
              <w:numPr>
                <w:ilvl w:val="0"/>
                <w:numId w:val="75"/>
              </w:numPr>
              <w:ind w:left="714" w:hanging="357"/>
              <w:contextualSpacing w:val="0"/>
              <w:rPr>
                <w:i/>
                <w:sz w:val="18"/>
                <w:szCs w:val="18"/>
              </w:rPr>
            </w:pPr>
            <w:r w:rsidRPr="00431C7C">
              <w:rPr>
                <w:i/>
                <w:sz w:val="18"/>
                <w:szCs w:val="18"/>
              </w:rPr>
              <w:t>keep healthy and better self-manage their chronic conditions.</w:t>
            </w:r>
          </w:p>
          <w:p w14:paraId="6E434274" w14:textId="77777777" w:rsidR="001C19F3" w:rsidRPr="00431C7C" w:rsidRDefault="001C19F3" w:rsidP="001C19F3">
            <w:pPr>
              <w:pStyle w:val="ListParagraph"/>
              <w:numPr>
                <w:ilvl w:val="0"/>
                <w:numId w:val="76"/>
              </w:numPr>
              <w:ind w:left="426" w:hanging="426"/>
              <w:contextualSpacing w:val="0"/>
              <w:rPr>
                <w:i/>
                <w:sz w:val="18"/>
                <w:szCs w:val="18"/>
              </w:rPr>
            </w:pPr>
            <w:r w:rsidRPr="00431C7C">
              <w:rPr>
                <w:i/>
                <w:sz w:val="18"/>
                <w:szCs w:val="18"/>
              </w:rPr>
              <w:t>The practice encourages an enrolled patient to attend their HCH for all care and, in particular, care that is related to their chronic conditions. This means that visits to other practices by enrolled patients are expected to be minimal (for example, when an enrolled patient is travelling).</w:t>
            </w:r>
          </w:p>
          <w:p w14:paraId="25595707" w14:textId="77777777" w:rsidR="001C19F3" w:rsidRPr="00431C7C" w:rsidRDefault="001C19F3" w:rsidP="001C19F3">
            <w:pPr>
              <w:pStyle w:val="ListParagraph"/>
              <w:numPr>
                <w:ilvl w:val="0"/>
                <w:numId w:val="76"/>
              </w:numPr>
              <w:ind w:left="426" w:hanging="426"/>
              <w:contextualSpacing w:val="0"/>
              <w:rPr>
                <w:sz w:val="18"/>
                <w:szCs w:val="18"/>
              </w:rPr>
            </w:pPr>
            <w:r w:rsidRPr="00431C7C">
              <w:rPr>
                <w:i/>
                <w:sz w:val="18"/>
                <w:szCs w:val="18"/>
              </w:rPr>
              <w:t>The practice supports enrolled patients with life limiting health conditions (or who have a condition that may lead to a loss of capacity to make decisions) with advance care planning for end-of-life care, including preparing and keeping up to date an Advance Care Directive (ACD).</w:t>
            </w:r>
          </w:p>
          <w:p w14:paraId="6F6C625C" w14:textId="77777777" w:rsidR="001C19F3" w:rsidRPr="00431C7C" w:rsidRDefault="001C19F3" w:rsidP="001C19F3">
            <w:pPr>
              <w:pStyle w:val="ListParagraph"/>
              <w:numPr>
                <w:ilvl w:val="0"/>
                <w:numId w:val="76"/>
              </w:numPr>
              <w:ind w:left="426" w:hanging="426"/>
              <w:contextualSpacing w:val="0"/>
              <w:rPr>
                <w:i/>
                <w:sz w:val="18"/>
                <w:szCs w:val="18"/>
              </w:rPr>
            </w:pPr>
            <w:r w:rsidRPr="00431C7C">
              <w:rPr>
                <w:i/>
                <w:sz w:val="18"/>
                <w:szCs w:val="18"/>
              </w:rPr>
              <w:t>The practice ensures that patient ACDs are uploaded to the patient’s My Health Record.</w:t>
            </w:r>
          </w:p>
          <w:p w14:paraId="2C0653D1" w14:textId="77777777" w:rsidR="001C19F3" w:rsidRPr="00431C7C" w:rsidRDefault="001C19F3" w:rsidP="001C19F3">
            <w:pPr>
              <w:pStyle w:val="ListParagraph"/>
              <w:numPr>
                <w:ilvl w:val="0"/>
                <w:numId w:val="76"/>
              </w:numPr>
              <w:ind w:left="426" w:hanging="426"/>
              <w:contextualSpacing w:val="0"/>
              <w:rPr>
                <w:i/>
                <w:sz w:val="18"/>
                <w:szCs w:val="18"/>
              </w:rPr>
            </w:pPr>
            <w:r w:rsidRPr="00431C7C">
              <w:rPr>
                <w:i/>
                <w:sz w:val="18"/>
                <w:szCs w:val="18"/>
              </w:rPr>
              <w:t>The practice withdraws patients from enrolment on the DHS HPOS system as soon as the practice ceases delivering HCH services to them or when an enrolled patient dies.</w:t>
            </w:r>
          </w:p>
          <w:p w14:paraId="09CA3E17" w14:textId="77777777" w:rsidR="001C19F3" w:rsidRPr="00431C7C" w:rsidRDefault="001C19F3" w:rsidP="001C19F3">
            <w:pPr>
              <w:pStyle w:val="ListParagraph"/>
              <w:numPr>
                <w:ilvl w:val="0"/>
                <w:numId w:val="76"/>
              </w:numPr>
              <w:ind w:left="426" w:hanging="426"/>
              <w:contextualSpacing w:val="0"/>
              <w:rPr>
                <w:i/>
                <w:sz w:val="18"/>
                <w:szCs w:val="18"/>
              </w:rPr>
            </w:pPr>
            <w:r w:rsidRPr="00431C7C">
              <w:rPr>
                <w:i/>
                <w:sz w:val="18"/>
                <w:szCs w:val="18"/>
              </w:rPr>
              <w:t>The practice confirms the status of each registered enrolled patient on the DHS HPOS system twice a year through completing the biannual confirmation statement.</w:t>
            </w:r>
          </w:p>
          <w:p w14:paraId="2EBC9E92" w14:textId="77777777" w:rsidR="001C19F3" w:rsidRPr="00431C7C" w:rsidRDefault="001C19F3" w:rsidP="001C19F3">
            <w:pPr>
              <w:pStyle w:val="ListParagraph"/>
              <w:numPr>
                <w:ilvl w:val="0"/>
                <w:numId w:val="76"/>
              </w:numPr>
              <w:ind w:left="426" w:hanging="426"/>
              <w:contextualSpacing w:val="0"/>
              <w:rPr>
                <w:i/>
                <w:sz w:val="18"/>
                <w:szCs w:val="18"/>
              </w:rPr>
            </w:pPr>
            <w:r w:rsidRPr="00431C7C">
              <w:rPr>
                <w:i/>
                <w:sz w:val="18"/>
                <w:szCs w:val="18"/>
              </w:rPr>
              <w:t xml:space="preserve"> The practice reports any enrolment errors to DHS as soon as they become aware that an error has been made.</w:t>
            </w:r>
          </w:p>
          <w:p w14:paraId="151C12F2" w14:textId="77777777" w:rsidR="001C19F3" w:rsidRPr="00431C7C" w:rsidRDefault="001C19F3" w:rsidP="00521305">
            <w:pPr>
              <w:rPr>
                <w:sz w:val="18"/>
                <w:szCs w:val="18"/>
              </w:rPr>
            </w:pPr>
            <w:r w:rsidRPr="00431C7C">
              <w:rPr>
                <w:sz w:val="18"/>
                <w:szCs w:val="18"/>
              </w:rPr>
              <w:t>(pp. 7-8)</w:t>
            </w:r>
          </w:p>
        </w:tc>
      </w:tr>
    </w:tbl>
    <w:p w14:paraId="7AE68ADE" w14:textId="77777777" w:rsidR="001C19F3" w:rsidRDefault="001C19F3" w:rsidP="001C19F3">
      <w:pPr>
        <w:spacing w:after="0"/>
      </w:pPr>
    </w:p>
    <w:p w14:paraId="796A625A" w14:textId="77777777" w:rsidR="001C19F3" w:rsidRDefault="001C19F3" w:rsidP="001C19F3">
      <w:pPr>
        <w:pStyle w:val="Heading2"/>
      </w:pPr>
      <w:bookmarkStart w:id="406" w:name="_Toc27056591"/>
      <w:r>
        <w:t>Practice staff and PHN practice facilitator training</w:t>
      </w:r>
      <w:bookmarkEnd w:id="406"/>
    </w:p>
    <w:p w14:paraId="014C12B5" w14:textId="77777777" w:rsidR="001C19F3" w:rsidRDefault="001C19F3" w:rsidP="001C19F3">
      <w:r>
        <w:t>The Department of Health engaged AGPAL to support the implementation of HCH through:</w:t>
      </w:r>
    </w:p>
    <w:p w14:paraId="5E764E8B" w14:textId="77777777" w:rsidR="001C19F3" w:rsidRDefault="001C19F3" w:rsidP="001C19F3">
      <w:pPr>
        <w:pStyle w:val="ListParagraph"/>
        <w:numPr>
          <w:ilvl w:val="0"/>
          <w:numId w:val="86"/>
        </w:numPr>
      </w:pPr>
      <w:r>
        <w:t>developing online training modules for HCHs</w:t>
      </w:r>
    </w:p>
    <w:p w14:paraId="7BB00B73" w14:textId="77777777" w:rsidR="001C19F3" w:rsidRDefault="001C19F3" w:rsidP="001C19F3">
      <w:pPr>
        <w:pStyle w:val="ListParagraph"/>
        <w:numPr>
          <w:ilvl w:val="0"/>
          <w:numId w:val="86"/>
        </w:numPr>
      </w:pPr>
      <w:r>
        <w:t>developing handbooks for patients and for HCHs explaining the model</w:t>
      </w:r>
    </w:p>
    <w:p w14:paraId="2BB44818" w14:textId="77777777" w:rsidR="001C19F3" w:rsidRDefault="001C19F3" w:rsidP="001C19F3">
      <w:pPr>
        <w:pStyle w:val="ListParagraph"/>
        <w:numPr>
          <w:ilvl w:val="0"/>
          <w:numId w:val="86"/>
        </w:numPr>
      </w:pPr>
      <w:r>
        <w:t xml:space="preserve">supporting PHNs to support HCHs through train-the-trainer workshops, a </w:t>
      </w:r>
      <w:r w:rsidRPr="00141CAE">
        <w:t xml:space="preserve">dedicated </w:t>
      </w:r>
      <w:r>
        <w:t>national practice facilitator</w:t>
      </w:r>
      <w:r w:rsidRPr="00141CAE">
        <w:t xml:space="preserve"> </w:t>
      </w:r>
      <w:r>
        <w:t>to support practice facilitators in their work through “</w:t>
      </w:r>
      <w:r w:rsidRPr="00BF1CFE">
        <w:rPr>
          <w:i/>
        </w:rPr>
        <w:t>providing practical, responsive implementation support as required via phone, email and teleconferencing, as well as organising and hosting a series of coaching webinars utilising expert guest speakers</w:t>
      </w:r>
      <w:r>
        <w:t>” (</w:t>
      </w:r>
      <w:r>
        <w:fldChar w:fldCharType="begin"/>
      </w:r>
      <w:r>
        <w:instrText xml:space="preserve"> ADDIN EN.CITE &lt;EndNote&gt;&lt;Cite&gt;&lt;Author&gt;AGPAL&lt;/Author&gt;&lt;Year&gt;2018&lt;/Year&gt;&lt;RecNum&gt;1088&lt;/RecNum&gt;&lt;DisplayText&gt;AGPAL, 2018&lt;/DisplayText&gt;&lt;record&gt;&lt;rec-number&gt;1088&lt;/rec-number&gt;&lt;foreign-keys&gt;&lt;key app="EN" db-id="zdz9xax04zr9v0evw2nvrpw9xe9ttzvs5zsv" timestamp="1537401508"&gt;1088&lt;/key&gt;&lt;/foreign-keys&gt;&lt;ref-type name="Report"&gt;27&lt;/ref-type&gt;&lt;contributors&gt;&lt;authors&gt;&lt;author&gt;AGPAL&lt;/author&gt;&lt;/authors&gt;&lt;/contributors&gt;&lt;titles&gt;&lt;title&gt;Interim Project Progress Report for Health Policy Analysis September 2018&lt;/title&gt;&lt;/titles&gt;&lt;dates&gt;&lt;year&gt;2018&lt;/year&gt;&lt;/dates&gt;&lt;pub-location&gt;Brisbane&lt;/pub-location&gt;&lt;publisher&gt;AGPAL &lt;/publisher&gt;&lt;urls&gt;&lt;/urls&gt;&lt;/record&gt;&lt;/Cite&gt;&lt;/EndNote&gt;</w:instrText>
      </w:r>
      <w:r>
        <w:fldChar w:fldCharType="separate"/>
      </w:r>
      <w:r>
        <w:rPr>
          <w:noProof/>
        </w:rPr>
        <w:t>AGPAL, 2018</w:t>
      </w:r>
      <w:r>
        <w:fldChar w:fldCharType="end"/>
      </w:r>
      <w:r>
        <w:t>, p. 31).</w:t>
      </w:r>
    </w:p>
    <w:p w14:paraId="3E3E8A60" w14:textId="77777777" w:rsidR="001C19F3" w:rsidRDefault="001C19F3" w:rsidP="001C19F3">
      <w:r>
        <w:t>AGPAL based its training on the ‘10 building blocks of high performing primary care’ (</w:t>
      </w:r>
      <w:r>
        <w:fldChar w:fldCharType="begin">
          <w:fldData xml:space="preserve">PEVuZE5vdGU+PENpdGU+PEF1dGhvcj5Cb2RlbmhlaW1lcjwvQXV0aG9yPjxZZWFyPjIwMTQ8L1ll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</w:fldData>
        </w:fldChar>
      </w:r>
      <w:r>
        <w:instrText xml:space="preserve"> ADDIN EN.CITE </w:instrText>
      </w:r>
      <w:r>
        <w:fldChar w:fldCharType="begin">
          <w:fldData xml:space="preserve">PEVuZE5vdGU+PENpdGU+PEF1dGhvcj5Cb2RlbmhlaW1lcjwvQXV0aG9yPjxZZWFyPjIwMTQ8L1ll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</w:fldData>
        </w:fldChar>
      </w:r>
      <w:r>
        <w:instrText xml:space="preserve"> ADDIN EN.CITE.DATA </w:instrText>
      </w:r>
      <w:r>
        <w:fldChar w:fldCharType="end"/>
      </w:r>
      <w:r>
        <w:fldChar w:fldCharType="separate"/>
      </w:r>
      <w:r>
        <w:rPr>
          <w:noProof/>
        </w:rPr>
        <w:t>Bodenheimer et al., 2014</w:t>
      </w:r>
      <w:r>
        <w:fldChar w:fldCharType="end"/>
      </w:r>
      <w:r>
        <w:t>) and the ‘co-creating health’ philosophy (</w:t>
      </w:r>
      <w:r>
        <w:fldChar w:fldCharType="begin"/>
      </w:r>
      <w:r>
        <w:instrText xml:space="preserve"> ADDIN EN.CITE &lt;EndNote&gt;&lt;Cite&gt;&lt;Author&gt;Ramaswamy&lt;/Author&gt;&lt;Year&gt;2014&lt;/Year&gt;&lt;RecNum&gt;1095&lt;/RecNum&gt;&lt;DisplayText&gt;Ramaswamy &amp;amp; Ozcan, 2014&lt;/DisplayText&gt;&lt;record&gt;&lt;rec-number&gt;1095&lt;/rec-number&gt;&lt;foreign-keys&gt;&lt;key app="EN" db-id="zdz9xax04zr9v0evw2nvrpw9xe9ttzvs5zsv" timestamp="1538885534"&gt;1095&lt;/key&gt;&lt;/foreign-keys&gt;&lt;ref-type name="Book"&gt;6&lt;/ref-type&gt;&lt;contributors&gt;&lt;authors&gt;&lt;author&gt;Ramaswamy, Venkat&lt;/author&gt;&lt;author&gt;Ozcan, Kerimcan&lt;/author&gt;&lt;/authors&gt;&lt;/contributors&gt;&lt;titles&gt;&lt;title&gt;The Co-Creation Paradigm&lt;/title&gt;&lt;/titles&gt;&lt;dates&gt;&lt;year&gt;2014&lt;/year&gt;&lt;/dates&gt;&lt;publisher&gt;Stanford Business Books&lt;/publisher&gt;&lt;urls&gt;&lt;/urls&gt;&lt;/record&gt;&lt;/Cite&gt;&lt;/EndNote&gt;</w:instrText>
      </w:r>
      <w:r>
        <w:fldChar w:fldCharType="separate"/>
      </w:r>
      <w:r>
        <w:rPr>
          <w:noProof/>
        </w:rPr>
        <w:t>Ramaswamy &amp; Ozcan, 2014</w:t>
      </w:r>
      <w:r>
        <w:fldChar w:fldCharType="end"/>
      </w:r>
      <w:r>
        <w:t xml:space="preserve">). </w:t>
      </w:r>
    </w:p>
    <w:p w14:paraId="004F4D8F" w14:textId="77777777" w:rsidR="001C19F3" w:rsidRDefault="001C19F3" w:rsidP="001C19F3">
      <w:r>
        <w:t>AGPAL developed 11 online training modules:</w:t>
      </w:r>
    </w:p>
    <w:p w14:paraId="7D5F21C4" w14:textId="77777777" w:rsidR="001C19F3" w:rsidRDefault="001C19F3" w:rsidP="001C19F3">
      <w:pPr>
        <w:pStyle w:val="ListParagraph"/>
        <w:numPr>
          <w:ilvl w:val="0"/>
          <w:numId w:val="84"/>
        </w:numPr>
      </w:pPr>
      <w:r>
        <w:t>Module 1: Introduction to the HCH</w:t>
      </w:r>
    </w:p>
    <w:p w14:paraId="459F4C99" w14:textId="77777777" w:rsidR="001C19F3" w:rsidRDefault="001C19F3" w:rsidP="001C19F3">
      <w:pPr>
        <w:pStyle w:val="ListParagraph"/>
        <w:numPr>
          <w:ilvl w:val="0"/>
          <w:numId w:val="84"/>
        </w:numPr>
      </w:pPr>
      <w:r>
        <w:lastRenderedPageBreak/>
        <w:t>Module 2: Engaged leadership</w:t>
      </w:r>
    </w:p>
    <w:p w14:paraId="0B4A5D21" w14:textId="77777777" w:rsidR="001C19F3" w:rsidRDefault="001C19F3" w:rsidP="001C19F3">
      <w:pPr>
        <w:pStyle w:val="ListParagraph"/>
        <w:numPr>
          <w:ilvl w:val="0"/>
          <w:numId w:val="84"/>
        </w:numPr>
      </w:pPr>
      <w:r>
        <w:t>Module 3: Patient enrolment and payment processes</w:t>
      </w:r>
    </w:p>
    <w:p w14:paraId="3EE382C5" w14:textId="77777777" w:rsidR="001C19F3" w:rsidRDefault="001C19F3" w:rsidP="001C19F3">
      <w:pPr>
        <w:pStyle w:val="ListParagraph"/>
        <w:numPr>
          <w:ilvl w:val="0"/>
          <w:numId w:val="84"/>
        </w:numPr>
      </w:pPr>
      <w:r>
        <w:t>Module 4: Data-driven improvement</w:t>
      </w:r>
    </w:p>
    <w:p w14:paraId="391C99DB" w14:textId="77777777" w:rsidR="001C19F3" w:rsidRDefault="001C19F3" w:rsidP="001C19F3">
      <w:pPr>
        <w:pStyle w:val="ListParagraph"/>
        <w:numPr>
          <w:ilvl w:val="0"/>
          <w:numId w:val="84"/>
        </w:numPr>
      </w:pPr>
      <w:r>
        <w:t>Module 5: Team-based care</w:t>
      </w:r>
    </w:p>
    <w:p w14:paraId="19473BAE" w14:textId="77777777" w:rsidR="001C19F3" w:rsidRDefault="001C19F3" w:rsidP="001C19F3">
      <w:pPr>
        <w:pStyle w:val="ListParagraph"/>
        <w:numPr>
          <w:ilvl w:val="0"/>
          <w:numId w:val="84"/>
        </w:numPr>
      </w:pPr>
      <w:r>
        <w:t>Module 6: Developing and implementing the shared care plan</w:t>
      </w:r>
    </w:p>
    <w:p w14:paraId="5CC942DF" w14:textId="77777777" w:rsidR="001C19F3" w:rsidRDefault="001C19F3" w:rsidP="001C19F3">
      <w:pPr>
        <w:pStyle w:val="ListParagraph"/>
        <w:numPr>
          <w:ilvl w:val="0"/>
          <w:numId w:val="84"/>
        </w:numPr>
      </w:pPr>
      <w:r>
        <w:t>Module 7: Patient-team partnership</w:t>
      </w:r>
    </w:p>
    <w:p w14:paraId="30175BD9" w14:textId="77777777" w:rsidR="001C19F3" w:rsidRDefault="001C19F3" w:rsidP="001C19F3">
      <w:pPr>
        <w:pStyle w:val="ListParagraph"/>
        <w:numPr>
          <w:ilvl w:val="0"/>
          <w:numId w:val="84"/>
        </w:numPr>
      </w:pPr>
      <w:r>
        <w:t>Module 8: Comprehensive and coordinated care</w:t>
      </w:r>
    </w:p>
    <w:p w14:paraId="0B2B70D2" w14:textId="77777777" w:rsidR="001C19F3" w:rsidRDefault="001C19F3" w:rsidP="001C19F3">
      <w:pPr>
        <w:pStyle w:val="ListParagraph"/>
        <w:numPr>
          <w:ilvl w:val="0"/>
          <w:numId w:val="84"/>
        </w:numPr>
      </w:pPr>
      <w:r>
        <w:t>Module 9: Prompt access to care</w:t>
      </w:r>
    </w:p>
    <w:p w14:paraId="1C93EBBA" w14:textId="77777777" w:rsidR="001C19F3" w:rsidRDefault="001C19F3" w:rsidP="001C19F3">
      <w:pPr>
        <w:pStyle w:val="ListParagraph"/>
        <w:numPr>
          <w:ilvl w:val="0"/>
          <w:numId w:val="84"/>
        </w:numPr>
      </w:pPr>
      <w:r>
        <w:t>Module 10: Population management</w:t>
      </w:r>
    </w:p>
    <w:p w14:paraId="71C70453" w14:textId="77777777" w:rsidR="001C19F3" w:rsidRDefault="001C19F3" w:rsidP="001C19F3">
      <w:pPr>
        <w:pStyle w:val="ListParagraph"/>
        <w:numPr>
          <w:ilvl w:val="0"/>
          <w:numId w:val="84"/>
        </w:numPr>
      </w:pPr>
      <w:r>
        <w:t>Module 11: Quality primary care into the future</w:t>
      </w:r>
    </w:p>
    <w:p w14:paraId="7AFDE879" w14:textId="77777777" w:rsidR="001C19F3" w:rsidRDefault="001C19F3" w:rsidP="001C19F3">
      <w:r>
        <w:t>The first six modules were released in August 2017, and the remaining by December 2017.</w:t>
      </w:r>
    </w:p>
    <w:p w14:paraId="79CC61C4" w14:textId="77777777" w:rsidR="001C19F3" w:rsidRDefault="001C19F3" w:rsidP="001C19F3">
      <w:r w:rsidRPr="005A5C12">
        <w:t>AGPAL d</w:t>
      </w:r>
      <w:r>
        <w:t>esigned and delivered two train-</w:t>
      </w:r>
      <w:r w:rsidRPr="005A5C12">
        <w:t>the</w:t>
      </w:r>
      <w:r>
        <w:t>-</w:t>
      </w:r>
      <w:r w:rsidRPr="005A5C12">
        <w:t>trainer</w:t>
      </w:r>
      <w:r>
        <w:t xml:space="preserve"> </w:t>
      </w:r>
      <w:r w:rsidRPr="005A5C12">
        <w:t xml:space="preserve">workshops </w:t>
      </w:r>
      <w:r>
        <w:t>for PHN p</w:t>
      </w:r>
      <w:r w:rsidRPr="005A5C12">
        <w:t xml:space="preserve">ractice </w:t>
      </w:r>
      <w:r>
        <w:t>f</w:t>
      </w:r>
      <w:r w:rsidRPr="005A5C12">
        <w:t>acilitator</w:t>
      </w:r>
      <w:r>
        <w:t>s.</w:t>
      </w:r>
      <w:r w:rsidRPr="005A5C12">
        <w:t xml:space="preserve"> </w:t>
      </w:r>
      <w:r>
        <w:t>The first</w:t>
      </w:r>
      <w:r w:rsidRPr="00570527">
        <w:t xml:space="preserve"> workshop</w:t>
      </w:r>
      <w:r>
        <w:t>,</w:t>
      </w:r>
      <w:r w:rsidRPr="00570527">
        <w:t xml:space="preserve"> covering the initial six modules</w:t>
      </w:r>
      <w:r>
        <w:t>, was held</w:t>
      </w:r>
      <w:r w:rsidRPr="00570527">
        <w:t xml:space="preserve"> on 14-16 August 2017. The second workshop</w:t>
      </w:r>
      <w:r>
        <w:t>, covering up to module 10,</w:t>
      </w:r>
      <w:r w:rsidRPr="00570527">
        <w:t xml:space="preserve"> was </w:t>
      </w:r>
      <w:r>
        <w:t xml:space="preserve">held </w:t>
      </w:r>
      <w:r w:rsidRPr="00570527">
        <w:t>on 9-10 November.</w:t>
      </w:r>
    </w:p>
    <w:p w14:paraId="30CF8721" w14:textId="77777777" w:rsidR="001C19F3" w:rsidRDefault="001C19F3" w:rsidP="001C19F3">
      <w:r>
        <w:t>Individuals completing the training modules can claim continuing professional development points from the following organisations:</w:t>
      </w:r>
    </w:p>
    <w:p w14:paraId="247FB842" w14:textId="77777777" w:rsidR="001C19F3" w:rsidRDefault="001C19F3" w:rsidP="001C19F3">
      <w:pPr>
        <w:pStyle w:val="ListParagraph"/>
        <w:numPr>
          <w:ilvl w:val="0"/>
          <w:numId w:val="85"/>
        </w:numPr>
      </w:pPr>
      <w:r>
        <w:t>Australian Association of Practice Management (AAPM)</w:t>
      </w:r>
    </w:p>
    <w:p w14:paraId="52CC8974" w14:textId="77777777" w:rsidR="001C19F3" w:rsidRDefault="001C19F3" w:rsidP="001C19F3">
      <w:pPr>
        <w:pStyle w:val="ListParagraph"/>
        <w:numPr>
          <w:ilvl w:val="0"/>
          <w:numId w:val="85"/>
        </w:numPr>
      </w:pPr>
      <w:r>
        <w:t>Australian College of Rural and Remote Medicine (ACRRM)</w:t>
      </w:r>
    </w:p>
    <w:p w14:paraId="0BC1F9F1" w14:textId="77777777" w:rsidR="001C19F3" w:rsidRDefault="001C19F3" w:rsidP="001C19F3">
      <w:pPr>
        <w:pStyle w:val="ListParagraph"/>
        <w:numPr>
          <w:ilvl w:val="0"/>
          <w:numId w:val="85"/>
        </w:numPr>
      </w:pPr>
      <w:r>
        <w:t>Australian Practice Nurse Association (APNA)</w:t>
      </w:r>
    </w:p>
    <w:p w14:paraId="2B9E3B03" w14:textId="77777777" w:rsidR="001C19F3" w:rsidRDefault="001C19F3" w:rsidP="001C19F3">
      <w:pPr>
        <w:pStyle w:val="ListParagraph"/>
        <w:numPr>
          <w:ilvl w:val="0"/>
          <w:numId w:val="85"/>
        </w:numPr>
      </w:pPr>
      <w:r>
        <w:t>Royal Australian College of General Practitioners (RACGP).</w:t>
      </w:r>
    </w:p>
    <w:p w14:paraId="704ABF39" w14:textId="77777777" w:rsidR="001C19F3" w:rsidRDefault="001C19F3" w:rsidP="001C19F3">
      <w:r w:rsidRPr="0018697C">
        <w:t>AGPAL</w:t>
      </w:r>
      <w:r>
        <w:t xml:space="preserve"> will </w:t>
      </w:r>
      <w:r w:rsidRPr="0018697C">
        <w:t xml:space="preserve">to continue to support the HCH implementation </w:t>
      </w:r>
      <w:r>
        <w:t>to the</w:t>
      </w:r>
      <w:r w:rsidRPr="0018697C">
        <w:t xml:space="preserve"> end of December 2019</w:t>
      </w:r>
      <w:r>
        <w:t xml:space="preserve"> through continuing the </w:t>
      </w:r>
      <w:r>
        <w:rPr>
          <w:szCs w:val="20"/>
        </w:rPr>
        <w:t>national practice facilitator</w:t>
      </w:r>
      <w:r>
        <w:t xml:space="preserve"> role and ongoing coaching webinars</w:t>
      </w:r>
      <w:r w:rsidRPr="0018697C">
        <w:t>.</w:t>
      </w:r>
      <w:r>
        <w:t xml:space="preserve"> Its goals are:</w:t>
      </w:r>
    </w:p>
    <w:p w14:paraId="7E96E570" w14:textId="77777777" w:rsidR="001C19F3" w:rsidRDefault="001C19F3" w:rsidP="001C19F3">
      <w:pPr>
        <w:pStyle w:val="ListParagraph"/>
        <w:numPr>
          <w:ilvl w:val="0"/>
          <w:numId w:val="87"/>
        </w:numPr>
      </w:pPr>
      <w:r>
        <w:t>Increased engagement with the training modules via facilitating more flexible access to content.</w:t>
      </w:r>
    </w:p>
    <w:p w14:paraId="7DED0414" w14:textId="77777777" w:rsidR="001C19F3" w:rsidRDefault="001C19F3" w:rsidP="001C19F3">
      <w:pPr>
        <w:pStyle w:val="ListParagraph"/>
        <w:numPr>
          <w:ilvl w:val="0"/>
          <w:numId w:val="87"/>
        </w:numPr>
      </w:pPr>
      <w:r>
        <w:t>Developing a suite of practical education and training templates to support HCH implementation activities.</w:t>
      </w:r>
    </w:p>
    <w:p w14:paraId="08C25FFE" w14:textId="77777777" w:rsidR="001C19F3" w:rsidRDefault="001C19F3" w:rsidP="001C19F3">
      <w:pPr>
        <w:pStyle w:val="ListParagraph"/>
        <w:numPr>
          <w:ilvl w:val="0"/>
          <w:numId w:val="87"/>
        </w:numPr>
      </w:pPr>
      <w:r>
        <w:t>Improved contribution and access to practice facilitator’s webpage.</w:t>
      </w:r>
    </w:p>
    <w:p w14:paraId="23E935F8" w14:textId="77777777" w:rsidR="001C19F3" w:rsidRDefault="001C19F3" w:rsidP="001C19F3">
      <w:pPr>
        <w:pStyle w:val="ListParagraph"/>
        <w:numPr>
          <w:ilvl w:val="0"/>
          <w:numId w:val="87"/>
        </w:numPr>
      </w:pPr>
      <w:r>
        <w:t>Facilitating increased sharing of case studies, barriers, implementation challenges and success stories between practice facilitators.</w:t>
      </w:r>
    </w:p>
    <w:p w14:paraId="44C82264" w14:textId="77777777" w:rsidR="001C19F3" w:rsidRDefault="001C19F3" w:rsidP="001C19F3">
      <w:r>
        <w:t>(</w:t>
      </w:r>
      <w:r>
        <w:fldChar w:fldCharType="begin"/>
      </w:r>
      <w:r>
        <w:instrText xml:space="preserve"> ADDIN EN.CITE &lt;EndNote&gt;&lt;Cite&gt;&lt;Author&gt;AGPAL&lt;/Author&gt;&lt;Year&gt;2018&lt;/Year&gt;&lt;RecNum&gt;1088&lt;/RecNum&gt;&lt;DisplayText&gt;AGPAL, 2018&lt;/DisplayText&gt;&lt;record&gt;&lt;rec-number&gt;1088&lt;/rec-number&gt;&lt;foreign-keys&gt;&lt;key app="EN" db-id="zdz9xax04zr9v0evw2nvrpw9xe9ttzvs5zsv" timestamp="1537401508"&gt;1088&lt;/key&gt;&lt;/foreign-keys&gt;&lt;ref-type name="Report"&gt;27&lt;/ref-type&gt;&lt;contributors&gt;&lt;authors&gt;&lt;author&gt;AGPAL&lt;/author&gt;&lt;/authors&gt;&lt;/contributors&gt;&lt;titles&gt;&lt;title&gt;Interim Project Progress Report for Health Policy Analysis September 2018&lt;/title&gt;&lt;/titles&gt;&lt;dates&gt;&lt;year&gt;2018&lt;/year&gt;&lt;/dates&gt;&lt;pub-location&gt;Brisbane&lt;/pub-location&gt;&lt;publisher&gt;AGPAL &lt;/publisher&gt;&lt;urls&gt;&lt;/urls&gt;&lt;/record&gt;&lt;/Cite&gt;&lt;/EndNote&gt;</w:instrText>
      </w:r>
      <w:r>
        <w:fldChar w:fldCharType="separate"/>
      </w:r>
      <w:r>
        <w:rPr>
          <w:noProof/>
        </w:rPr>
        <w:t>AGPAL, 2018</w:t>
      </w:r>
      <w:r>
        <w:fldChar w:fldCharType="end"/>
      </w:r>
      <w:r>
        <w:t>).</w:t>
      </w:r>
    </w:p>
    <w:p w14:paraId="4CDC321D" w14:textId="77777777" w:rsidR="001C19F3" w:rsidRDefault="001C19F3" w:rsidP="001C19F3">
      <w:pPr>
        <w:pStyle w:val="Heading3"/>
      </w:pPr>
      <w:r>
        <w:t>Preparation and training of facilitators for the role</w:t>
      </w:r>
    </w:p>
    <w:p w14:paraId="367B6FEE" w14:textId="77777777" w:rsidR="001C19F3" w:rsidRDefault="001C19F3" w:rsidP="001C19F3">
      <w:pPr>
        <w:pStyle w:val="Heading4"/>
      </w:pPr>
      <w:r>
        <w:t>Train-the-trainer workshops</w:t>
      </w:r>
    </w:p>
    <w:p w14:paraId="3881DECB" w14:textId="77777777" w:rsidR="001C19F3" w:rsidRDefault="001C19F3" w:rsidP="001C19F3">
      <w:r>
        <w:t xml:space="preserve">AGPAL collected data from participants at both the train-the-trainer </w:t>
      </w:r>
      <w:r w:rsidRPr="00E84795">
        <w:t>workshops</w:t>
      </w:r>
      <w:r>
        <w:t xml:space="preserve">. Participants </w:t>
      </w:r>
      <w:r w:rsidRPr="00F94007">
        <w:t xml:space="preserve">scored </w:t>
      </w:r>
      <w:r>
        <w:t xml:space="preserve">various </w:t>
      </w:r>
      <w:r w:rsidRPr="00F94007">
        <w:t xml:space="preserve">dimensions of the sessions on a </w:t>
      </w:r>
      <w:r>
        <w:t>seven</w:t>
      </w:r>
      <w:r w:rsidRPr="00F94007">
        <w:t>-point Likert scale where 1 was ‘Extremely unhelpful/valuable’ and 7 was ‘Extremely helpful/ valuable’.</w:t>
      </w:r>
      <w:r>
        <w:t xml:space="preserve"> Feedback indicated that all sessions</w:t>
      </w:r>
      <w:r w:rsidRPr="00E84795">
        <w:t xml:space="preserve"> were effective in increasing </w:t>
      </w:r>
      <w:r>
        <w:t>p</w:t>
      </w:r>
      <w:r w:rsidRPr="00E84795">
        <w:t xml:space="preserve">ractice </w:t>
      </w:r>
      <w:r>
        <w:t>f</w:t>
      </w:r>
      <w:r w:rsidRPr="00E84795">
        <w:t xml:space="preserve">acilitators’ </w:t>
      </w:r>
      <w:r>
        <w:t>HCH knowledge and skills.</w:t>
      </w:r>
    </w:p>
    <w:p w14:paraId="694CE9B6" w14:textId="77777777" w:rsidR="001C19F3" w:rsidRDefault="001C19F3" w:rsidP="001C19F3">
      <w:r>
        <w:t>Qualitative data from interviews with the PHNs identified that what practice facilitators liked most about the workshops was sharing information with other facilitators:</w:t>
      </w:r>
    </w:p>
    <w:p w14:paraId="46AECE66" w14:textId="77777777" w:rsidR="001C19F3" w:rsidRPr="007E038D" w:rsidRDefault="001C19F3" w:rsidP="001C19F3">
      <w:pPr>
        <w:ind w:left="567" w:right="1088"/>
        <w:rPr>
          <w:i/>
        </w:rPr>
      </w:pPr>
      <w:r w:rsidRPr="007E038D">
        <w:rPr>
          <w:i/>
        </w:rPr>
        <w:lastRenderedPageBreak/>
        <w:t>“</w:t>
      </w:r>
      <w:r w:rsidRPr="00AF0064">
        <w:rPr>
          <w:i/>
        </w:rPr>
        <w:t>the thing, for me, that was really good, was, actually, the conversations that we had afterwards, about how we would do it differently</w:t>
      </w:r>
      <w:r w:rsidRPr="007E038D">
        <w:rPr>
          <w:i/>
        </w:rPr>
        <w:t xml:space="preserve">.” </w:t>
      </w:r>
      <w:r w:rsidRPr="007E038D">
        <w:t>[PHN 8</w:t>
      </w:r>
      <w:r>
        <w:t>, interview, R1]</w:t>
      </w:r>
    </w:p>
    <w:p w14:paraId="3B30EC62" w14:textId="77777777" w:rsidR="001C19F3" w:rsidRDefault="001C19F3" w:rsidP="001C19F3">
      <w:r>
        <w:t>This was supported by the analysis of participant feedback provided by AGPAL. The most highly rated sessions were the t</w:t>
      </w:r>
      <w:r w:rsidRPr="00F74643">
        <w:t>wo additional sessions delivered at Workshop 2</w:t>
      </w:r>
      <w:r>
        <w:t xml:space="preserve">, which amongst other objectives </w:t>
      </w:r>
      <w:r w:rsidRPr="00F74643">
        <w:t>aimed to encourage sharing of implementation experiences</w:t>
      </w:r>
      <w:r>
        <w:t xml:space="preserve"> amongst the facilitators</w:t>
      </w:r>
      <w:r w:rsidRPr="00F74643">
        <w:t xml:space="preserve"> and provided opportunities for </w:t>
      </w:r>
      <w:r>
        <w:t xml:space="preserve">establishing </w:t>
      </w:r>
      <w:r w:rsidRPr="00F74643">
        <w:t xml:space="preserve">learning </w:t>
      </w:r>
      <w:r>
        <w:t>collaboratives</w:t>
      </w:r>
      <w:r w:rsidRPr="00F74643">
        <w:t xml:space="preserve"> and partnership building</w:t>
      </w:r>
      <w:r>
        <w:t>. Nevertheless, practice facilitators said that they would have liked more sharing, particularly:</w:t>
      </w:r>
    </w:p>
    <w:p w14:paraId="5EE93076" w14:textId="77777777" w:rsidR="001C19F3" w:rsidRDefault="001C19F3" w:rsidP="001C19F3">
      <w:pPr>
        <w:ind w:left="567" w:right="1088"/>
      </w:pPr>
      <w:r w:rsidRPr="00AF0064">
        <w:rPr>
          <w:i/>
        </w:rPr>
        <w:t>“…</w:t>
      </w:r>
      <w:r w:rsidRPr="0088451C">
        <w:rPr>
          <w:i/>
        </w:rPr>
        <w:t>what are likely to be the challenges and barriers</w:t>
      </w:r>
      <w:r>
        <w:rPr>
          <w:i/>
        </w:rPr>
        <w:t>…</w:t>
      </w:r>
      <w:r w:rsidRPr="0088451C">
        <w:rPr>
          <w:i/>
        </w:rPr>
        <w:t xml:space="preserve"> you are going to encounter</w:t>
      </w:r>
      <w:r>
        <w:rPr>
          <w:i/>
        </w:rPr>
        <w:t>…</w:t>
      </w:r>
      <w:r w:rsidRPr="0088451C">
        <w:rPr>
          <w:i/>
        </w:rPr>
        <w:t>then have more of a workshop discussion</w:t>
      </w:r>
      <w:r>
        <w:rPr>
          <w:i/>
        </w:rPr>
        <w:t>…</w:t>
      </w:r>
      <w:r w:rsidRPr="0088451C">
        <w:rPr>
          <w:i/>
        </w:rPr>
        <w:t xml:space="preserve"> when you have people round a table together it’s a different dynamic</w:t>
      </w:r>
      <w:r w:rsidRPr="00AF0064">
        <w:rPr>
          <w:i/>
        </w:rPr>
        <w:t xml:space="preserve">.” </w:t>
      </w:r>
      <w:r w:rsidRPr="0088451C">
        <w:t>[PHN 5</w:t>
      </w:r>
      <w:r>
        <w:t>, interview, R1]</w:t>
      </w:r>
    </w:p>
    <w:p w14:paraId="32F4F5EF" w14:textId="77777777" w:rsidR="001C19F3" w:rsidRPr="009C28CB" w:rsidRDefault="001C19F3" w:rsidP="001C19F3">
      <w:pPr>
        <w:ind w:left="567" w:right="1088"/>
      </w:pPr>
      <w:r>
        <w:rPr>
          <w:i/>
        </w:rPr>
        <w:t>“</w:t>
      </w:r>
      <w:r w:rsidRPr="009C28CB">
        <w:rPr>
          <w:i/>
        </w:rPr>
        <w:t>more open forum/discussions as opposed to only presentations</w:t>
      </w:r>
      <w:r>
        <w:rPr>
          <w:i/>
        </w:rPr>
        <w:t>.”</w:t>
      </w:r>
      <w:r>
        <w:t xml:space="preserve"> [PHN 2, survey, R1]</w:t>
      </w:r>
    </w:p>
    <w:p w14:paraId="7A8BAE35" w14:textId="77777777" w:rsidR="001C19F3" w:rsidRDefault="001C19F3" w:rsidP="001C19F3">
      <w:r>
        <w:t>They also wanted the workshops to better prepare them for their role, and to do this, they would have liked them to be more practical:</w:t>
      </w:r>
    </w:p>
    <w:p w14:paraId="5BA72608" w14:textId="77777777" w:rsidR="001C19F3" w:rsidRDefault="001C19F3" w:rsidP="001C19F3">
      <w:pPr>
        <w:ind w:left="567" w:right="1088"/>
      </w:pPr>
      <w:r w:rsidRPr="009A79E5">
        <w:rPr>
          <w:i/>
        </w:rPr>
        <w:t>“</w:t>
      </w:r>
      <w:r w:rsidRPr="00E93AA5">
        <w:rPr>
          <w:i/>
        </w:rPr>
        <w:t xml:space="preserve">So, understanding of the program, yes, that was very good but putting it into practice and applying it is … </w:t>
      </w:r>
      <w:r>
        <w:rPr>
          <w:i/>
        </w:rPr>
        <w:t>t</w:t>
      </w:r>
      <w:r w:rsidRPr="00E93AA5">
        <w:rPr>
          <w:i/>
        </w:rPr>
        <w:t>he next step, which I don’t think it fully met</w:t>
      </w:r>
      <w:r>
        <w:rPr>
          <w:i/>
        </w:rPr>
        <w:t>…</w:t>
      </w:r>
      <w:r w:rsidRPr="00E93AA5">
        <w:rPr>
          <w:i/>
        </w:rPr>
        <w:t>.</w:t>
      </w:r>
      <w:r w:rsidRPr="009A79E5">
        <w:rPr>
          <w:i/>
        </w:rPr>
        <w:t xml:space="preserve">“ </w:t>
      </w:r>
      <w:r w:rsidRPr="009A79E5">
        <w:t>[PHN 1</w:t>
      </w:r>
      <w:r>
        <w:t>, interview, R1]</w:t>
      </w:r>
    </w:p>
    <w:p w14:paraId="366AE7A2" w14:textId="77777777" w:rsidR="001C19F3" w:rsidRPr="009C28CB" w:rsidRDefault="001C19F3" w:rsidP="001C19F3">
      <w:pPr>
        <w:ind w:left="567" w:right="1088"/>
      </w:pPr>
      <w:r>
        <w:rPr>
          <w:i/>
        </w:rPr>
        <w:t>“</w:t>
      </w:r>
      <w:r w:rsidRPr="009C28CB">
        <w:rPr>
          <w:i/>
        </w:rPr>
        <w:t>More instruction on how to get in and do</w:t>
      </w:r>
      <w:r>
        <w:rPr>
          <w:i/>
        </w:rPr>
        <w:t xml:space="preserve">.” </w:t>
      </w:r>
      <w:r>
        <w:t>[PHN 9, survey, R1]</w:t>
      </w:r>
    </w:p>
    <w:p w14:paraId="3E450CD1" w14:textId="77777777" w:rsidR="001C19F3" w:rsidRDefault="001C19F3" w:rsidP="001C19F3">
      <w:r>
        <w:t>Facilitators commented that the workshops repeated the content of the online modules, and that the time could have been used to:</w:t>
      </w:r>
    </w:p>
    <w:p w14:paraId="7A097508" w14:textId="77777777" w:rsidR="001C19F3" w:rsidRPr="00F74643" w:rsidRDefault="001C19F3" w:rsidP="001C19F3">
      <w:pPr>
        <w:ind w:left="567" w:right="1088"/>
      </w:pPr>
      <w:r w:rsidRPr="00F74643">
        <w:rPr>
          <w:i/>
        </w:rPr>
        <w:t>“</w:t>
      </w:r>
      <w:r>
        <w:rPr>
          <w:i/>
        </w:rPr>
        <w:t>…</w:t>
      </w:r>
      <w:r w:rsidRPr="00E93AA5">
        <w:rPr>
          <w:i/>
        </w:rPr>
        <w:t>delve deeper into some of the things which are going to be very new</w:t>
      </w:r>
      <w:r>
        <w:rPr>
          <w:i/>
        </w:rPr>
        <w:t>.</w:t>
      </w:r>
      <w:r w:rsidRPr="00F74643">
        <w:rPr>
          <w:i/>
        </w:rPr>
        <w:t xml:space="preserve">” </w:t>
      </w:r>
      <w:r w:rsidRPr="00F74643">
        <w:t>[PHN 5, interview</w:t>
      </w:r>
      <w:r>
        <w:t>, R1]</w:t>
      </w:r>
    </w:p>
    <w:p w14:paraId="57DB9C35" w14:textId="77777777" w:rsidR="001C19F3" w:rsidRDefault="001C19F3" w:rsidP="001C19F3">
      <w:r>
        <w:t>Another issue was timing. Facilitators thought that the August and November 2017 workshops were too close together. Practices weren’t ready to receive the information that the facilitators learned at the November workshop until well into the following year:</w:t>
      </w:r>
    </w:p>
    <w:p w14:paraId="1F04711A" w14:textId="77777777" w:rsidR="001C19F3" w:rsidRDefault="001C19F3" w:rsidP="001C19F3">
      <w:pPr>
        <w:ind w:left="567" w:right="1088"/>
      </w:pPr>
      <w:r>
        <w:t>“</w:t>
      </w:r>
      <w:r w:rsidRPr="007E038D">
        <w:rPr>
          <w:i/>
        </w:rPr>
        <w:t xml:space="preserve">Because people’s head space wasn’t in </w:t>
      </w:r>
      <w:r>
        <w:rPr>
          <w:i/>
        </w:rPr>
        <w:t>…</w:t>
      </w:r>
      <w:r w:rsidRPr="007E038D">
        <w:rPr>
          <w:i/>
        </w:rPr>
        <w:t xml:space="preserve"> those topic areas, those last few modules</w:t>
      </w:r>
      <w:r>
        <w:rPr>
          <w:i/>
        </w:rPr>
        <w:t>.</w:t>
      </w:r>
      <w:r w:rsidRPr="007E038D">
        <w:t>”</w:t>
      </w:r>
      <w:r>
        <w:t xml:space="preserve"> [PHN 5, interview, R1]</w:t>
      </w:r>
    </w:p>
    <w:p w14:paraId="0873AFBE" w14:textId="77777777" w:rsidR="001C19F3" w:rsidRDefault="001C19F3" w:rsidP="001C19F3">
      <w:r>
        <w:t>They also thought that the workshops were trying to cover too much information, and that instead they would have benefited from having more workshops further apart, aligned with practices’ stages of implementation. This was borne out in the PHN survey which also identified the need for the training to be more practical and to reduce duplication with the online module material and aim for depth rather than breadth:</w:t>
      </w:r>
    </w:p>
    <w:p w14:paraId="5929AF77" w14:textId="77777777" w:rsidR="001C19F3" w:rsidRDefault="001C19F3" w:rsidP="001C19F3">
      <w:pPr>
        <w:ind w:left="567" w:right="1088"/>
      </w:pPr>
      <w:r>
        <w:t>“</w:t>
      </w:r>
      <w:r w:rsidRPr="009C28CB">
        <w:rPr>
          <w:i/>
        </w:rPr>
        <w:t>decrease the quantum of the content and aim for depth instead</w:t>
      </w:r>
      <w:r>
        <w:rPr>
          <w:i/>
        </w:rPr>
        <w:t>.</w:t>
      </w:r>
      <w:r>
        <w:t xml:space="preserve">” [PHN 8, survey, R1]) </w:t>
      </w:r>
    </w:p>
    <w:p w14:paraId="2F3D3ED9" w14:textId="77777777" w:rsidR="001C19F3" w:rsidRDefault="001C19F3" w:rsidP="001C19F3">
      <w:r>
        <w:t>T</w:t>
      </w:r>
      <w:r w:rsidRPr="00F94007">
        <w:t xml:space="preserve">he most commonly identified improvement for the workshops </w:t>
      </w:r>
      <w:r>
        <w:t xml:space="preserve">through the survey of PHNs was use of presenters (including clinicians) from Australian practices that had already implemented HCH-like models, or from countries that have more in common with the </w:t>
      </w:r>
      <w:r>
        <w:lastRenderedPageBreak/>
        <w:t>Australian healthcare system (e.g. New Zealand). While some liked hearing from the American experts, many thought that their health system was too different to Australia’s for the presentations to be useful:</w:t>
      </w:r>
    </w:p>
    <w:p w14:paraId="5BA0E3C5" w14:textId="77777777" w:rsidR="001C19F3" w:rsidRDefault="001C19F3" w:rsidP="001C19F3">
      <w:pPr>
        <w:ind w:left="567" w:right="1088"/>
      </w:pPr>
      <w:r w:rsidRPr="00C554E0">
        <w:rPr>
          <w:i/>
        </w:rPr>
        <w:t>“…I found the American guests and speakers and facilitators, while good, weren’t necessarily in tune with the Australian context.</w:t>
      </w:r>
      <w:r>
        <w:rPr>
          <w:i/>
        </w:rPr>
        <w:t>’</w:t>
      </w:r>
      <w:r>
        <w:t>[PHN 1, interview, R1]</w:t>
      </w:r>
    </w:p>
    <w:p w14:paraId="464EEDB5" w14:textId="77777777" w:rsidR="001C19F3" w:rsidRDefault="001C19F3" w:rsidP="001C19F3">
      <w:pPr>
        <w:ind w:right="237"/>
        <w:rPr>
          <w:rFonts w:eastAsia="Times New Roman"/>
        </w:rPr>
      </w:pPr>
      <w:r w:rsidRPr="001D564A">
        <w:rPr>
          <w:rFonts w:eastAsia="Times New Roman"/>
        </w:rPr>
        <w:t>Practice facilitators identified networking with other facilitators across the PHNs as a key enabler for their roles. They particularly enjoyed this aspect of the train-the-trainer workshops and would have liked more sharing at those workshops, as well as more interactive webinars</w:t>
      </w:r>
      <w:r>
        <w:rPr>
          <w:rFonts w:eastAsia="Times New Roman"/>
        </w:rPr>
        <w:t xml:space="preserve">. </w:t>
      </w:r>
    </w:p>
    <w:p w14:paraId="5D021D3B" w14:textId="77777777" w:rsidR="001C19F3" w:rsidRPr="00551958" w:rsidRDefault="001C19F3" w:rsidP="001C19F3">
      <w:pPr>
        <w:ind w:right="237"/>
        <w:rPr>
          <w:rFonts w:eastAsia="Times New Roman"/>
        </w:rPr>
      </w:pPr>
      <w:r>
        <w:t>Other changes suggested in the PHN survey were:</w:t>
      </w:r>
    </w:p>
    <w:p w14:paraId="35285087" w14:textId="77777777" w:rsidR="001C19F3" w:rsidRDefault="001C19F3" w:rsidP="001C19F3">
      <w:pPr>
        <w:pStyle w:val="ListParagraph"/>
        <w:numPr>
          <w:ilvl w:val="0"/>
          <w:numId w:val="36"/>
        </w:numPr>
        <w:ind w:right="237"/>
      </w:pPr>
      <w:r>
        <w:t>acknowledgment of current skill level of facilitators</w:t>
      </w:r>
    </w:p>
    <w:p w14:paraId="66A61AB1" w14:textId="77777777" w:rsidR="001C19F3" w:rsidRDefault="001C19F3" w:rsidP="001C19F3">
      <w:pPr>
        <w:pStyle w:val="ListParagraph"/>
        <w:numPr>
          <w:ilvl w:val="0"/>
          <w:numId w:val="36"/>
        </w:numPr>
        <w:ind w:right="237"/>
      </w:pPr>
      <w:r>
        <w:t>better understanding of Commonwealth's direction and expectations of HCH</w:t>
      </w:r>
    </w:p>
    <w:p w14:paraId="0D5AD55D" w14:textId="77777777" w:rsidR="001C19F3" w:rsidRDefault="001C19F3" w:rsidP="001C19F3">
      <w:pPr>
        <w:pStyle w:val="ListParagraph"/>
        <w:numPr>
          <w:ilvl w:val="0"/>
          <w:numId w:val="36"/>
        </w:numPr>
        <w:ind w:right="237"/>
      </w:pPr>
      <w:r>
        <w:t>workshops delivered in a more iterative way</w:t>
      </w:r>
    </w:p>
    <w:p w14:paraId="70B81B30" w14:textId="77777777" w:rsidR="001C19F3" w:rsidRDefault="001C19F3" w:rsidP="001C19F3">
      <w:pPr>
        <w:pStyle w:val="ListParagraph"/>
        <w:numPr>
          <w:ilvl w:val="0"/>
          <w:numId w:val="36"/>
        </w:numPr>
        <w:ind w:right="237"/>
      </w:pPr>
      <w:r>
        <w:t>grouping PHNs into like groups to tailor training to their needs.</w:t>
      </w:r>
    </w:p>
    <w:p w14:paraId="61F7E870" w14:textId="77777777" w:rsidR="001C19F3" w:rsidRDefault="001C19F3" w:rsidP="001C19F3">
      <w:pPr>
        <w:pStyle w:val="Heading4"/>
      </w:pPr>
      <w:r>
        <w:t>Other support for practice facilitators offered through the program</w:t>
      </w:r>
    </w:p>
    <w:p w14:paraId="7E9CEF05" w14:textId="77777777" w:rsidR="001C19F3" w:rsidRPr="008126CB" w:rsidRDefault="001C19F3" w:rsidP="001C19F3">
      <w:r>
        <w:t>AGPAL analysed feedback from 22 practice facilitators on the HCH Handbooks</w:t>
      </w:r>
      <w:r>
        <w:rPr>
          <w:i/>
        </w:rPr>
        <w:t xml:space="preserve">. </w:t>
      </w:r>
      <w:r>
        <w:t>The results were that</w:t>
      </w:r>
      <w:r w:rsidRPr="008126CB">
        <w:t>:</w:t>
      </w:r>
    </w:p>
    <w:p w14:paraId="658A86F4" w14:textId="77777777" w:rsidR="001C19F3" w:rsidRDefault="001C19F3" w:rsidP="001C19F3">
      <w:pPr>
        <w:pStyle w:val="ListParagraph"/>
        <w:numPr>
          <w:ilvl w:val="0"/>
          <w:numId w:val="37"/>
        </w:numPr>
      </w:pPr>
      <w:r>
        <w:t xml:space="preserve">45% of facilitators accessed the </w:t>
      </w:r>
      <w:r w:rsidRPr="008126CB">
        <w:rPr>
          <w:i/>
        </w:rPr>
        <w:t xml:space="preserve">Handbook for general practices and </w:t>
      </w:r>
      <w:r>
        <w:rPr>
          <w:i/>
        </w:rPr>
        <w:t>ACCHS</w:t>
      </w:r>
      <w:r>
        <w:t xml:space="preserve"> frequently or very frequently. </w:t>
      </w:r>
    </w:p>
    <w:p w14:paraId="0E682D77" w14:textId="77777777" w:rsidR="001C19F3" w:rsidRDefault="001C19F3" w:rsidP="001C19F3">
      <w:pPr>
        <w:pStyle w:val="ListParagraph"/>
        <w:numPr>
          <w:ilvl w:val="0"/>
          <w:numId w:val="37"/>
        </w:numPr>
      </w:pPr>
      <w:r>
        <w:t>68% somewhat agreed, agreed or strongly agreed that ‘</w:t>
      </w:r>
      <w:r w:rsidRPr="008126CB">
        <w:rPr>
          <w:i/>
        </w:rPr>
        <w:t>the content of the Handbook was appropriate, comprehensive, and increased end users HCH knowledge</w:t>
      </w:r>
      <w:r>
        <w:t>’.</w:t>
      </w:r>
    </w:p>
    <w:p w14:paraId="4DA4D425" w14:textId="77777777" w:rsidR="001C19F3" w:rsidRPr="004A0034" w:rsidRDefault="001C19F3" w:rsidP="001C19F3">
      <w:pPr>
        <w:pStyle w:val="ListParagraph"/>
        <w:numPr>
          <w:ilvl w:val="0"/>
          <w:numId w:val="37"/>
        </w:numPr>
      </w:pPr>
      <w:r w:rsidRPr="004A0034">
        <w:t xml:space="preserve">23% accessed the </w:t>
      </w:r>
      <w:r w:rsidRPr="004A0034">
        <w:rPr>
          <w:i/>
        </w:rPr>
        <w:t>Patient Handbook</w:t>
      </w:r>
      <w:r w:rsidRPr="004A0034">
        <w:t xml:space="preserve"> frequently or very frequently. </w:t>
      </w:r>
    </w:p>
    <w:p w14:paraId="476B65D5" w14:textId="77777777" w:rsidR="001C19F3" w:rsidRDefault="001C19F3" w:rsidP="001C19F3">
      <w:pPr>
        <w:pStyle w:val="ListParagraph"/>
        <w:numPr>
          <w:ilvl w:val="0"/>
          <w:numId w:val="37"/>
        </w:numPr>
      </w:pPr>
      <w:r>
        <w:t xml:space="preserve">29% accessed the </w:t>
      </w:r>
      <w:r w:rsidRPr="008126CB">
        <w:rPr>
          <w:i/>
        </w:rPr>
        <w:t>Care Team Handbook</w:t>
      </w:r>
      <w:r>
        <w:t xml:space="preserve"> frequently or very frequently. </w:t>
      </w:r>
    </w:p>
    <w:p w14:paraId="7E2E86C6" w14:textId="77777777" w:rsidR="001C19F3" w:rsidRDefault="001C19F3" w:rsidP="001C19F3">
      <w:r>
        <w:t xml:space="preserve">According to the AGPAL analysis, practice facilitators who responded were generally satisfied with the support provided by the national practice facilitator (89% of practice facilitators somewhat agreed, agreed or strongly agreed) and agreed that their learning experience </w:t>
      </w:r>
      <w:r w:rsidRPr="000D7AEA">
        <w:t>was enhanced through the coaching webinar curriculum</w:t>
      </w:r>
      <w:r>
        <w:t xml:space="preserve"> (</w:t>
      </w:r>
      <w:r w:rsidRPr="000D7AEA">
        <w:t xml:space="preserve">84% of </w:t>
      </w:r>
      <w:r>
        <w:t>f</w:t>
      </w:r>
      <w:r w:rsidRPr="000D7AEA">
        <w:t xml:space="preserve">acilitators </w:t>
      </w:r>
      <w:r>
        <w:t xml:space="preserve">somewhat agreed, agreed or strongly agreed). </w:t>
      </w:r>
    </w:p>
    <w:p w14:paraId="59F5576F" w14:textId="77777777" w:rsidR="001C19F3" w:rsidRDefault="001C19F3" w:rsidP="001C19F3">
      <w:r>
        <w:t xml:space="preserve">In interviews, practice facilitators also reported that they found the coaching webinars useful but would like them to be more interactive. Another was to schedule topics to reflect what was happening in the program. For example, it was mentioned that the webinar on the HCH-A tool was held about a week before the results of the tool were due for the evaluation (Part B of the practice survey). Facilitators also suggested interactive live webinars might have been useful </w:t>
      </w:r>
      <w:r w:rsidRPr="00A82818">
        <w:t>for practices to participate in</w:t>
      </w:r>
      <w:r>
        <w:t xml:space="preserve">. </w:t>
      </w:r>
    </w:p>
    <w:p w14:paraId="342820C1" w14:textId="77777777" w:rsidR="001C19F3" w:rsidRDefault="001C19F3" w:rsidP="001C19F3">
      <w:r>
        <w:t xml:space="preserve">Responses to the Round 1 PHN survey offered the following as the top </w:t>
      </w:r>
      <w:r w:rsidRPr="000111C9">
        <w:t>changes that would improve the development of skills and capabi</w:t>
      </w:r>
      <w:r>
        <w:t>lities of practice facilitators:</w:t>
      </w:r>
    </w:p>
    <w:p w14:paraId="027D6761" w14:textId="77777777" w:rsidR="001C19F3" w:rsidRDefault="001C19F3" w:rsidP="001C19F3">
      <w:pPr>
        <w:pStyle w:val="ListParagraph"/>
        <w:numPr>
          <w:ilvl w:val="0"/>
          <w:numId w:val="38"/>
        </w:numPr>
        <w:ind w:left="714" w:hanging="357"/>
        <w:contextualSpacing w:val="0"/>
      </w:pPr>
      <w:r>
        <w:t>More practical support. Practice facilitators thought that the webinars and coaching could have been more action and/ or solution-based, using practical examples from the Australian context and working through solutions to these.</w:t>
      </w:r>
    </w:p>
    <w:p w14:paraId="1FF3B0DC" w14:textId="77777777" w:rsidR="001C19F3" w:rsidRDefault="001C19F3" w:rsidP="001C19F3">
      <w:pPr>
        <w:pStyle w:val="ListParagraph"/>
        <w:numPr>
          <w:ilvl w:val="0"/>
          <w:numId w:val="38"/>
        </w:numPr>
        <w:ind w:left="714" w:hanging="357"/>
        <w:contextualSpacing w:val="0"/>
      </w:pPr>
      <w:r w:rsidRPr="000111C9">
        <w:lastRenderedPageBreak/>
        <w:t>Provide face-to-face support/mentoring and on</w:t>
      </w:r>
      <w:r>
        <w:t>-</w:t>
      </w:r>
      <w:r w:rsidRPr="000111C9">
        <w:t>the</w:t>
      </w:r>
      <w:r>
        <w:t>-</w:t>
      </w:r>
      <w:r w:rsidRPr="000111C9">
        <w:t>ground training for PHN facilitators</w:t>
      </w:r>
      <w:r>
        <w:t xml:space="preserve">. Facilitators suggested </w:t>
      </w:r>
      <w:r w:rsidRPr="000D2934">
        <w:t>individual PHN support</w:t>
      </w:r>
      <w:r>
        <w:t>, for example, through the a</w:t>
      </w:r>
      <w:r w:rsidRPr="000D2934">
        <w:t>ppoint</w:t>
      </w:r>
      <w:r>
        <w:t>ment of</w:t>
      </w:r>
      <w:r w:rsidRPr="000D2934">
        <w:t xml:space="preserve"> a PHN </w:t>
      </w:r>
      <w:r>
        <w:t>l</w:t>
      </w:r>
      <w:r w:rsidRPr="000D2934">
        <w:t xml:space="preserve">iaison </w:t>
      </w:r>
      <w:r>
        <w:t>officer</w:t>
      </w:r>
      <w:r w:rsidRPr="000D2934">
        <w:t xml:space="preserve"> at </w:t>
      </w:r>
      <w:r>
        <w:t>the national l</w:t>
      </w:r>
      <w:r w:rsidRPr="000D2934">
        <w:t>evel.</w:t>
      </w:r>
      <w:r>
        <w:t xml:space="preserve"> This would help to focus training to PHNs based on the skills and experiences, where their practices are in terms of readiness and tailored to local issues (e.g. nature of population, rurality/ remoteness).</w:t>
      </w:r>
    </w:p>
    <w:p w14:paraId="62D49960" w14:textId="77777777" w:rsidR="001C19F3" w:rsidRPr="00B832BB" w:rsidRDefault="001C19F3" w:rsidP="001C19F3">
      <w:pPr>
        <w:pStyle w:val="ListParagraph"/>
        <w:numPr>
          <w:ilvl w:val="0"/>
          <w:numId w:val="38"/>
        </w:numPr>
        <w:contextualSpacing w:val="0"/>
      </w:pPr>
      <w:r w:rsidRPr="000111C9">
        <w:t>Improved sharing of resources between PHNs</w:t>
      </w:r>
      <w:r>
        <w:t xml:space="preserve"> and between practices. Facilitators thought that there could have been better mechanisms to share experiences and resources developed during the implementation. One suggestion was for i</w:t>
      </w:r>
      <w:r w:rsidRPr="00B832BB">
        <w:t>ncrease</w:t>
      </w:r>
      <w:r>
        <w:t>d</w:t>
      </w:r>
      <w:r w:rsidRPr="00B832BB">
        <w:t xml:space="preserve"> face-to-face meeting opportunities</w:t>
      </w:r>
      <w:r>
        <w:t>.</w:t>
      </w:r>
    </w:p>
    <w:p w14:paraId="110CE439" w14:textId="77777777" w:rsidR="001C19F3" w:rsidRDefault="001C19F3" w:rsidP="001C19F3">
      <w:pPr>
        <w:pStyle w:val="ListParagraph"/>
        <w:numPr>
          <w:ilvl w:val="0"/>
          <w:numId w:val="38"/>
        </w:numPr>
        <w:ind w:right="237"/>
      </w:pPr>
      <w:r>
        <w:t>Practice facilitators h</w:t>
      </w:r>
      <w:r w:rsidRPr="00B832BB">
        <w:t xml:space="preserve">aving access to the various HCH software platforms (e.g. </w:t>
      </w:r>
      <w:r>
        <w:t>‘</w:t>
      </w:r>
      <w:r w:rsidRPr="00B832BB">
        <w:t>sandpit</w:t>
      </w:r>
      <w:r>
        <w:t>’</w:t>
      </w:r>
      <w:r w:rsidRPr="00B832BB">
        <w:t>)</w:t>
      </w:r>
      <w:r>
        <w:t>, in advance of their implementation, so that they can learn to use them and be better equipped to help practices.</w:t>
      </w:r>
    </w:p>
    <w:p w14:paraId="369C2B36" w14:textId="77777777" w:rsidR="001C19F3" w:rsidRPr="00BA3BFB" w:rsidRDefault="001C19F3" w:rsidP="001C19F3">
      <w:pPr>
        <w:pStyle w:val="Heading4"/>
      </w:pPr>
      <w:r w:rsidRPr="00BA3BFB">
        <w:t xml:space="preserve">Suggestions for additional </w:t>
      </w:r>
      <w:r>
        <w:t>topics of training for practice facilitators</w:t>
      </w:r>
    </w:p>
    <w:p w14:paraId="20327B8E" w14:textId="77777777" w:rsidR="001C19F3" w:rsidRDefault="001C19F3" w:rsidP="001C19F3">
      <w:r>
        <w:t>Practice facilitators identified additional topic areas that they thought were missing from the suite of training products or not given enough emphasis in those products. These included:</w:t>
      </w:r>
    </w:p>
    <w:p w14:paraId="4BBAAE42" w14:textId="77777777" w:rsidR="001C19F3" w:rsidRDefault="001C19F3" w:rsidP="001C19F3">
      <w:pPr>
        <w:pStyle w:val="ListParagraph"/>
        <w:numPr>
          <w:ilvl w:val="0"/>
          <w:numId w:val="39"/>
        </w:numPr>
        <w:ind w:left="714" w:hanging="357"/>
      </w:pPr>
      <w:r>
        <w:t>The practice facilitation role.</w:t>
      </w:r>
    </w:p>
    <w:p w14:paraId="53BBF23E" w14:textId="77777777" w:rsidR="001C19F3" w:rsidRDefault="001C19F3" w:rsidP="001C19F3">
      <w:pPr>
        <w:pStyle w:val="ListParagraph"/>
        <w:numPr>
          <w:ilvl w:val="0"/>
          <w:numId w:val="39"/>
        </w:numPr>
        <w:ind w:left="714" w:hanging="357"/>
      </w:pPr>
      <w:r>
        <w:t>Working as a team for practice facilitators (“</w:t>
      </w:r>
      <w:r w:rsidRPr="00F977D4">
        <w:rPr>
          <w:i/>
        </w:rPr>
        <w:t>then we can understand</w:t>
      </w:r>
      <w:r>
        <w:rPr>
          <w:i/>
        </w:rPr>
        <w:t>…</w:t>
      </w:r>
      <w:r w:rsidRPr="00F977D4">
        <w:rPr>
          <w:i/>
        </w:rPr>
        <w:t xml:space="preserve"> some of the struggles that </w:t>
      </w:r>
      <w:r>
        <w:t>[practices]</w:t>
      </w:r>
      <w:r w:rsidRPr="00F977D4">
        <w:rPr>
          <w:i/>
        </w:rPr>
        <w:t xml:space="preserve"> are having with that</w:t>
      </w:r>
      <w:r>
        <w:t>” PHN 5, interview, R1].</w:t>
      </w:r>
    </w:p>
    <w:p w14:paraId="6C490D50" w14:textId="77777777" w:rsidR="001C19F3" w:rsidRPr="00D26C72" w:rsidRDefault="001C19F3" w:rsidP="001C19F3">
      <w:pPr>
        <w:pStyle w:val="ListParagraph"/>
        <w:numPr>
          <w:ilvl w:val="0"/>
          <w:numId w:val="39"/>
        </w:numPr>
        <w:ind w:left="714" w:hanging="357"/>
      </w:pPr>
      <w:r>
        <w:t>Practical training, particularly having “</w:t>
      </w:r>
      <w:r w:rsidRPr="00D26C72">
        <w:rPr>
          <w:i/>
        </w:rPr>
        <w:t>dummy access</w:t>
      </w:r>
      <w:r>
        <w:t xml:space="preserve">” to the </w:t>
      </w:r>
      <w:r w:rsidRPr="00D26C72">
        <w:t>RST and other software</w:t>
      </w:r>
      <w:r w:rsidRPr="001D09D3">
        <w:rPr>
          <w:i/>
        </w:rPr>
        <w:t xml:space="preserve"> </w:t>
      </w:r>
      <w:r>
        <w:t>[PHN 6, interview, R1] or a “</w:t>
      </w:r>
      <w:r w:rsidRPr="00D26C72">
        <w:rPr>
          <w:i/>
        </w:rPr>
        <w:t>sandpit</w:t>
      </w:r>
      <w:r>
        <w:t>”</w:t>
      </w:r>
      <w:r>
        <w:rPr>
          <w:i/>
        </w:rPr>
        <w:t xml:space="preserve"> </w:t>
      </w:r>
      <w:r>
        <w:t xml:space="preserve">[PHN 10, survey, R1] that facilitators could experiment with </w:t>
      </w:r>
      <w:r w:rsidRPr="00D26C72">
        <w:t xml:space="preserve">before </w:t>
      </w:r>
      <w:r>
        <w:t>they</w:t>
      </w:r>
      <w:r w:rsidRPr="00D26C72">
        <w:t xml:space="preserve"> went into practices to help them with</w:t>
      </w:r>
      <w:r>
        <w:t xml:space="preserve"> applying</w:t>
      </w:r>
      <w:r w:rsidRPr="00D26C72">
        <w:t xml:space="preserve"> the tools.</w:t>
      </w:r>
    </w:p>
    <w:p w14:paraId="49909944" w14:textId="77777777" w:rsidR="001C19F3" w:rsidRDefault="001C19F3" w:rsidP="001C19F3">
      <w:pPr>
        <w:pStyle w:val="ListParagraph"/>
        <w:numPr>
          <w:ilvl w:val="0"/>
          <w:numId w:val="39"/>
        </w:numPr>
      </w:pPr>
      <w:r>
        <w:t>Change management taught “</w:t>
      </w:r>
      <w:r w:rsidRPr="00726F79">
        <w:rPr>
          <w:i/>
        </w:rPr>
        <w:t>in a practical way.</w:t>
      </w:r>
      <w:r>
        <w:rPr>
          <w:i/>
        </w:rPr>
        <w:t xml:space="preserve"> </w:t>
      </w:r>
      <w:r w:rsidRPr="00726F79">
        <w:rPr>
          <w:i/>
        </w:rPr>
        <w:t>Not out of a textbook</w:t>
      </w:r>
      <w:r>
        <w:t>” [PHN 6, interview, R1].</w:t>
      </w:r>
    </w:p>
    <w:p w14:paraId="4B54B26C" w14:textId="77777777" w:rsidR="001C19F3" w:rsidRDefault="001C19F3" w:rsidP="001C19F3">
      <w:pPr>
        <w:pStyle w:val="ListParagraph"/>
        <w:numPr>
          <w:ilvl w:val="0"/>
          <w:numId w:val="39"/>
        </w:numPr>
        <w:ind w:left="714" w:hanging="357"/>
      </w:pPr>
      <w:r>
        <w:t>How alternatives to face-to-face appointments might work (e.g. texting, teleconferencing, shared medical appointments).</w:t>
      </w:r>
    </w:p>
    <w:p w14:paraId="0B4DC895" w14:textId="77777777" w:rsidR="001C19F3" w:rsidRDefault="001C19F3" w:rsidP="001C19F3">
      <w:pPr>
        <w:pStyle w:val="ListParagraph"/>
        <w:numPr>
          <w:ilvl w:val="0"/>
          <w:numId w:val="39"/>
        </w:numPr>
        <w:ind w:left="714" w:hanging="357"/>
      </w:pPr>
      <w:r>
        <w:t>Motivational interviewing.</w:t>
      </w:r>
    </w:p>
    <w:p w14:paraId="4214AC75" w14:textId="77777777" w:rsidR="001C19F3" w:rsidRDefault="001C19F3" w:rsidP="001C19F3">
      <w:pPr>
        <w:pStyle w:val="ListParagraph"/>
        <w:numPr>
          <w:ilvl w:val="0"/>
          <w:numId w:val="39"/>
        </w:numPr>
        <w:ind w:left="714" w:hanging="357"/>
      </w:pPr>
      <w:r>
        <w:t>Triaging.</w:t>
      </w:r>
    </w:p>
    <w:p w14:paraId="2E28E46A" w14:textId="77777777" w:rsidR="001C19F3" w:rsidRDefault="001C19F3" w:rsidP="001C19F3">
      <w:pPr>
        <w:pStyle w:val="ListParagraph"/>
        <w:numPr>
          <w:ilvl w:val="0"/>
          <w:numId w:val="39"/>
        </w:numPr>
        <w:ind w:left="714" w:hanging="357"/>
      </w:pPr>
      <w:r>
        <w:t>Building and managing a community of practice.</w:t>
      </w:r>
    </w:p>
    <w:p w14:paraId="71CF7D2A" w14:textId="77777777" w:rsidR="001C19F3" w:rsidRDefault="001C19F3" w:rsidP="001C19F3">
      <w:pPr>
        <w:pStyle w:val="ListParagraph"/>
        <w:numPr>
          <w:ilvl w:val="0"/>
          <w:numId w:val="39"/>
        </w:numPr>
        <w:ind w:left="714" w:hanging="357"/>
        <w:contextualSpacing w:val="0"/>
      </w:pPr>
      <w:r>
        <w:t>Building a health care neighbourhood.</w:t>
      </w:r>
    </w:p>
    <w:p w14:paraId="4001991D" w14:textId="77777777" w:rsidR="001C19F3" w:rsidRDefault="001C19F3" w:rsidP="001C19F3">
      <w:pPr>
        <w:pStyle w:val="Heading2"/>
      </w:pPr>
      <w:bookmarkStart w:id="407" w:name="_Toc27056592"/>
      <w:r>
        <w:t>Minimum requirements for shared care planning software</w:t>
      </w:r>
      <w:bookmarkEnd w:id="407"/>
    </w:p>
    <w:p w14:paraId="185BB3E5" w14:textId="77777777" w:rsidR="001C19F3" w:rsidRDefault="001C19F3" w:rsidP="001C19F3">
      <w:r>
        <w:t>In a document outlining the minimum requirements for shared care planning (</w:t>
      </w:r>
      <w:r>
        <w:fldChar w:fldCharType="begin"/>
      </w:r>
      <w:r>
        <w:instrText xml:space="preserve"> ADDIN EN.CITE &lt;EndNote&gt;&lt;Cite&gt;&lt;Author&gt;Australian Government Department of Health&lt;/Author&gt;&lt;Year&gt;2017&lt;/Year&gt;&lt;RecNum&gt;1055&lt;/RecNum&gt;&lt;DisplayText&gt;Australian Government Department of Health, 2017b&lt;/DisplayText&gt;&lt;record&gt;&lt;rec-number&gt;1055&lt;/rec-number&gt;&lt;foreign-keys&gt;&lt;key app="EN" db-id="zdz9xax04zr9v0evw2nvrpw9xe9ttzvs5zsv" timestamp="1536653853"&gt;1055&lt;/key&gt;&lt;/foreign-keys&gt;&lt;ref-type name="Electronic Book"&gt;44&lt;/ref-type&gt;&lt;contributors&gt;&lt;authors&gt;&lt;author&gt;Australian Government Department of Health,,&lt;/author&gt;&lt;/authors&gt;&lt;/contributors&gt;&lt;titles&gt;&lt;title&gt;Minimum requirements of shared care plans&lt;/title&gt;&lt;/titles&gt;&lt;dates&gt;&lt;year&gt;2017&lt;/year&gt;&lt;/dates&gt;&lt;urls&gt;&lt;related-urls&gt;&lt;url&gt;http://www.health.gov.au/internet/main/publishing.nsf/Content/health-care-homes-cp/$File/Minimum%20requirements%20shared%20care%20plans_December.pdf&lt;/url&gt;&lt;/related-urls&gt;&lt;/urls&gt;&lt;/record&gt;&lt;/Cite&gt;&lt;/EndNote&gt;</w:instrText>
      </w:r>
      <w:r>
        <w:fldChar w:fldCharType="separate"/>
      </w:r>
      <w:r>
        <w:rPr>
          <w:noProof/>
        </w:rPr>
        <w:t>Australian Government Department of Health, 2017b</w:t>
      </w:r>
      <w:r>
        <w:fldChar w:fldCharType="end"/>
      </w:r>
      <w:r>
        <w:t xml:space="preserve">), the Department provided a link to the </w:t>
      </w:r>
      <w:r w:rsidRPr="005E5AB1">
        <w:t>Medical Software Industry Association</w:t>
      </w:r>
      <w:r>
        <w:t xml:space="preserve">’s website listing vendors that </w:t>
      </w:r>
      <w:r w:rsidRPr="005E5AB1">
        <w:t>self-declared as meeting the minimum requirements</w:t>
      </w:r>
      <w:r>
        <w:t>, as well as showing compatibility with the range of practice clinical management systems (</w:t>
      </w:r>
      <w:r>
        <w:fldChar w:fldCharType="begin"/>
      </w:r>
      <w:r>
        <w:instrText xml:space="preserve"> ADDIN EN.CITE &lt;EndNote&gt;&lt;Cite&gt;&lt;Author&gt;Medical Software Industry Association&lt;/Author&gt;&lt;Year&gt;2017&lt;/Year&gt;&lt;RecNum&gt;1098&lt;/RecNum&gt;&lt;DisplayText&gt;Medical Software Industry Association, 2017&lt;/DisplayText&gt;&lt;record&gt;&lt;rec-number&gt;1098&lt;/rec-number&gt;&lt;foreign-keys&gt;&lt;key app="EN" db-id="zdz9xax04zr9v0evw2nvrpw9xe9ttzvs5zsv" timestamp="1540967283"&gt;1098&lt;/key&gt;&lt;/foreign-keys&gt;&lt;ref-type name="Web Page"&gt;12&lt;/ref-type&gt;&lt;contributors&gt;&lt;authors&gt;&lt;author&gt;Medical Software Industry Association,,&lt;/author&gt;&lt;/authors&gt;&lt;/contributors&gt;&lt;titles&gt;&lt;title&gt;Healthcare homes&lt;/title&gt;&lt;/titles&gt;&lt;number&gt;20 September 2018&lt;/number&gt;&lt;dates&gt;&lt;year&gt;2017&lt;/year&gt;&lt;/dates&gt;&lt;urls&gt;&lt;related-urls&gt;&lt;url&gt;https://www.msia.com.au/healthcare-homes/&lt;/url&gt;&lt;/related-urls&gt;&lt;/urls&gt;&lt;/record&gt;&lt;/Cite&gt;&lt;/EndNote&gt;</w:instrText>
      </w:r>
      <w:r>
        <w:fldChar w:fldCharType="separate"/>
      </w:r>
      <w:r>
        <w:rPr>
          <w:noProof/>
        </w:rPr>
        <w:t>Medical Software Industry Association, 2017</w:t>
      </w:r>
      <w:r>
        <w:fldChar w:fldCharType="end"/>
      </w:r>
      <w:r>
        <w:t>).</w:t>
      </w:r>
    </w:p>
    <w:p w14:paraId="1111212D" w14:textId="77777777" w:rsidR="001C19F3" w:rsidRDefault="001C19F3" w:rsidP="001C19F3">
      <w:r>
        <w:t>The minimum requirements included a capacity to:</w:t>
      </w:r>
    </w:p>
    <w:p w14:paraId="59326BAD" w14:textId="77777777" w:rsidR="001C19F3" w:rsidRDefault="001C19F3" w:rsidP="001C19F3">
      <w:pPr>
        <w:pStyle w:val="ListParagraph"/>
        <w:numPr>
          <w:ilvl w:val="0"/>
          <w:numId w:val="65"/>
        </w:numPr>
        <w:ind w:left="321" w:hanging="321"/>
        <w:contextualSpacing w:val="0"/>
      </w:pPr>
      <w:r>
        <w:t>Create, view and change a shared care plan in real time.</w:t>
      </w:r>
    </w:p>
    <w:p w14:paraId="7E59ABC1" w14:textId="77777777" w:rsidR="001C19F3" w:rsidRDefault="001C19F3" w:rsidP="001C19F3">
      <w:pPr>
        <w:pStyle w:val="ListParagraph"/>
        <w:numPr>
          <w:ilvl w:val="0"/>
          <w:numId w:val="65"/>
        </w:numPr>
        <w:ind w:left="323" w:hanging="323"/>
      </w:pPr>
      <w:r>
        <w:t>Create a shared care plan which includes core elements required to coordinate chronic disease care, including:</w:t>
      </w:r>
    </w:p>
    <w:p w14:paraId="511EF822" w14:textId="77777777" w:rsidR="001C19F3" w:rsidRDefault="001C19F3" w:rsidP="001C19F3">
      <w:pPr>
        <w:pStyle w:val="ListParagraph"/>
        <w:numPr>
          <w:ilvl w:val="0"/>
          <w:numId w:val="65"/>
        </w:numPr>
        <w:ind w:left="604" w:hanging="283"/>
      </w:pPr>
      <w:r>
        <w:lastRenderedPageBreak/>
        <w:t>target goals and, if appropriate, measurable success criteria for each goal</w:t>
      </w:r>
    </w:p>
    <w:p w14:paraId="2C221548" w14:textId="77777777" w:rsidR="001C19F3" w:rsidRDefault="001C19F3" w:rsidP="001C19F3">
      <w:pPr>
        <w:pStyle w:val="ListParagraph"/>
        <w:numPr>
          <w:ilvl w:val="0"/>
          <w:numId w:val="65"/>
        </w:numPr>
        <w:ind w:left="604" w:hanging="283"/>
      </w:pPr>
      <w:r>
        <w:t>activities and timeframes to achieve each goal</w:t>
      </w:r>
    </w:p>
    <w:p w14:paraId="32973855" w14:textId="77777777" w:rsidR="001C19F3" w:rsidRDefault="001C19F3" w:rsidP="001C19F3">
      <w:pPr>
        <w:pStyle w:val="ListParagraph"/>
        <w:numPr>
          <w:ilvl w:val="0"/>
          <w:numId w:val="65"/>
        </w:numPr>
        <w:ind w:left="604" w:hanging="283"/>
      </w:pPr>
      <w:r>
        <w:t>roles and responsibilities of members of the care team in order to help achieve goals</w:t>
      </w:r>
    </w:p>
    <w:p w14:paraId="6E58F22A" w14:textId="77777777" w:rsidR="001C19F3" w:rsidRDefault="001C19F3" w:rsidP="001C19F3">
      <w:pPr>
        <w:pStyle w:val="ListParagraph"/>
        <w:numPr>
          <w:ilvl w:val="0"/>
          <w:numId w:val="65"/>
        </w:numPr>
        <w:ind w:left="604" w:hanging="283"/>
      </w:pPr>
      <w:r>
        <w:t>care plan conditions, i.e., clinical reasons or concerns for the care plan, including comorbidities</w:t>
      </w:r>
    </w:p>
    <w:p w14:paraId="654F1491" w14:textId="77777777" w:rsidR="001C19F3" w:rsidRDefault="001C19F3" w:rsidP="001C19F3">
      <w:pPr>
        <w:pStyle w:val="ListParagraph"/>
        <w:numPr>
          <w:ilvl w:val="0"/>
          <w:numId w:val="65"/>
        </w:numPr>
        <w:ind w:left="607" w:hanging="284"/>
        <w:contextualSpacing w:val="0"/>
      </w:pPr>
      <w:r>
        <w:t>the ability to review the status of a shared care plan.</w:t>
      </w:r>
    </w:p>
    <w:p w14:paraId="25D4DA51" w14:textId="77777777" w:rsidR="001C19F3" w:rsidRDefault="001C19F3" w:rsidP="001C19F3">
      <w:pPr>
        <w:pStyle w:val="ListParagraph"/>
        <w:numPr>
          <w:ilvl w:val="0"/>
          <w:numId w:val="65"/>
        </w:numPr>
        <w:ind w:left="321" w:hanging="321"/>
        <w:contextualSpacing w:val="0"/>
      </w:pPr>
      <w:r>
        <w:t>Give patients and external healthcare providers access to view the entire shared care plan. HCHs will also be able to assign role-based permissions that allow patients and external healthcare providers to edit and upload to specific elements of the plan. Patients and external healthcare providers should have access to the shared care plan in real time via a web portal (optional apps/programs are also appropriate).</w:t>
      </w:r>
    </w:p>
    <w:p w14:paraId="71C80E85" w14:textId="77777777" w:rsidR="001C19F3" w:rsidRDefault="001C19F3" w:rsidP="001C19F3">
      <w:pPr>
        <w:pStyle w:val="ListParagraph"/>
        <w:numPr>
          <w:ilvl w:val="0"/>
          <w:numId w:val="65"/>
        </w:numPr>
        <w:ind w:left="321" w:hanging="321"/>
        <w:contextualSpacing w:val="0"/>
      </w:pPr>
      <w:r>
        <w:t>Send patients and providers reminders and notifications regarding follow-up referrals or reviews of specific goals.</w:t>
      </w:r>
    </w:p>
    <w:p w14:paraId="22E1EDE4" w14:textId="77777777" w:rsidR="001C19F3" w:rsidRDefault="001C19F3" w:rsidP="001C19F3">
      <w:pPr>
        <w:pStyle w:val="ListParagraph"/>
        <w:numPr>
          <w:ilvl w:val="0"/>
          <w:numId w:val="65"/>
        </w:numPr>
        <w:ind w:left="321" w:hanging="321"/>
        <w:contextualSpacing w:val="0"/>
      </w:pPr>
      <w:r>
        <w:t>Audit and track the creation and modification of each care plan goal; and review the progress of each goal.</w:t>
      </w:r>
    </w:p>
    <w:p w14:paraId="50701B1E" w14:textId="77777777" w:rsidR="001C19F3" w:rsidRDefault="001C19F3" w:rsidP="001C19F3">
      <w:pPr>
        <w:pStyle w:val="ListParagraph"/>
        <w:numPr>
          <w:ilvl w:val="0"/>
          <w:numId w:val="65"/>
        </w:numPr>
        <w:ind w:left="321" w:hanging="321"/>
        <w:contextualSpacing w:val="0"/>
      </w:pPr>
      <w:r>
        <w:t>Track usage, reviews of shared care plans and clinical metrics over time.</w:t>
      </w:r>
    </w:p>
    <w:p w14:paraId="77CD3F30" w14:textId="77777777" w:rsidR="001C19F3" w:rsidRDefault="001C19F3" w:rsidP="001C19F3">
      <w:pPr>
        <w:pStyle w:val="ListParagraph"/>
        <w:numPr>
          <w:ilvl w:val="0"/>
          <w:numId w:val="65"/>
        </w:numPr>
        <w:ind w:left="321" w:hanging="321"/>
        <w:contextualSpacing w:val="0"/>
      </w:pPr>
      <w:r>
        <w:t>Extract data from existing clinical management systems to produce a shared care plan.</w:t>
      </w:r>
    </w:p>
    <w:p w14:paraId="17FE06DB" w14:textId="77777777" w:rsidR="001C19F3" w:rsidRDefault="001C19F3" w:rsidP="001C19F3">
      <w:pPr>
        <w:pStyle w:val="ListParagraph"/>
        <w:numPr>
          <w:ilvl w:val="0"/>
          <w:numId w:val="65"/>
        </w:numPr>
        <w:ind w:left="321" w:hanging="321"/>
        <w:contextualSpacing w:val="0"/>
      </w:pPr>
      <w:r>
        <w:t>Secure all information so that the privacy of patients is maintained. Controls allow access to authorised persons only. The creation, deletion and accessing of clinical information and documentation can be tracked to individual users.</w:t>
      </w:r>
    </w:p>
    <w:p w14:paraId="0759C120" w14:textId="77777777" w:rsidR="001C19F3" w:rsidRDefault="001C19F3" w:rsidP="001C19F3">
      <w:pPr>
        <w:pStyle w:val="ListParagraph"/>
        <w:numPr>
          <w:ilvl w:val="0"/>
          <w:numId w:val="65"/>
        </w:numPr>
        <w:ind w:left="321" w:hanging="321"/>
        <w:contextualSpacing w:val="0"/>
      </w:pPr>
      <w:r>
        <w:t>Access vendor support and training for the practice.</w:t>
      </w:r>
    </w:p>
    <w:p w14:paraId="195299A1" w14:textId="77777777" w:rsidR="001C19F3" w:rsidRPr="001C5D9E" w:rsidRDefault="001C19F3" w:rsidP="001C19F3">
      <w:r>
        <w:t>(</w:t>
      </w:r>
      <w:r>
        <w:fldChar w:fldCharType="begin"/>
      </w:r>
      <w:r>
        <w:instrText xml:space="preserve"> ADDIN EN.CITE &lt;EndNote&gt;&lt;Cite&gt;&lt;Author&gt;Australian Government Department of Health&lt;/Author&gt;&lt;Year&gt;2017&lt;/Year&gt;&lt;RecNum&gt;1055&lt;/RecNum&gt;&lt;DisplayText&gt;Australian Government Department of Health, 2017b&lt;/DisplayText&gt;&lt;record&gt;&lt;rec-number&gt;1055&lt;/rec-number&gt;&lt;foreign-keys&gt;&lt;key app="EN" db-id="zdz9xax04zr9v0evw2nvrpw9xe9ttzvs5zsv" timestamp="1536653853"&gt;1055&lt;/key&gt;&lt;/foreign-keys&gt;&lt;ref-type name="Electronic Book"&gt;44&lt;/ref-type&gt;&lt;contributors&gt;&lt;authors&gt;&lt;author&gt;Australian Government Department of Health,,&lt;/author&gt;&lt;/authors&gt;&lt;/contributors&gt;&lt;titles&gt;&lt;title&gt;Minimum requirements of shared care plans&lt;/title&gt;&lt;/titles&gt;&lt;dates&gt;&lt;year&gt;2017&lt;/year&gt;&lt;/dates&gt;&lt;urls&gt;&lt;related-urls&gt;&lt;url&gt;http://www.health.gov.au/internet/main/publishing.nsf/Content/health-care-homes-cp/$File/Minimum%20requirements%20shared%20care%20plans_December.pdf&lt;/url&gt;&lt;/related-urls&gt;&lt;/urls&gt;&lt;/record&gt;&lt;/Cite&gt;&lt;/EndNote&gt;</w:instrText>
      </w:r>
      <w:r>
        <w:fldChar w:fldCharType="separate"/>
      </w:r>
      <w:r>
        <w:rPr>
          <w:noProof/>
        </w:rPr>
        <w:t>Australian Government Department of Health, 2017b</w:t>
      </w:r>
      <w:r>
        <w:fldChar w:fldCharType="end"/>
      </w:r>
      <w:r>
        <w:t>)</w:t>
      </w:r>
    </w:p>
    <w:p w14:paraId="41B41E30" w14:textId="77777777" w:rsidR="001C19F3" w:rsidRDefault="001C19F3" w:rsidP="001C19F3">
      <w:pPr>
        <w:spacing w:after="120"/>
        <w:ind w:left="284" w:hanging="284"/>
        <w:rPr>
          <w:noProof/>
          <w:lang w:val="en-US"/>
        </w:rPr>
        <w:sectPr w:rsidR="001C19F3" w:rsidSect="00375ECE">
          <w:pgSz w:w="11906" w:h="16838"/>
          <w:pgMar w:top="1440" w:right="1440" w:bottom="1440" w:left="1440" w:header="708" w:footer="708" w:gutter="0"/>
          <w:cols w:space="708"/>
          <w:titlePg/>
          <w:docGrid w:linePitch="360"/>
        </w:sectPr>
      </w:pPr>
    </w:p>
    <w:p w14:paraId="0B05C255" w14:textId="77777777" w:rsidR="001C19F3" w:rsidRDefault="001C19F3" w:rsidP="001C19F3">
      <w:pPr>
        <w:spacing w:after="120"/>
        <w:jc w:val="right"/>
        <w:rPr>
          <w:rFonts w:ascii="Gill Sans MT" w:hAnsi="Gill Sans MT"/>
          <w:b/>
          <w:bCs/>
          <w:sz w:val="40"/>
          <w:szCs w:val="40"/>
        </w:rPr>
      </w:pPr>
    </w:p>
    <w:p w14:paraId="76FCE9FA" w14:textId="77777777" w:rsidR="001C19F3" w:rsidRDefault="001C19F3" w:rsidP="001C19F3">
      <w:pPr>
        <w:spacing w:after="120"/>
        <w:jc w:val="right"/>
        <w:rPr>
          <w:rFonts w:ascii="Gill Sans MT" w:hAnsi="Gill Sans MT"/>
          <w:b/>
          <w:bCs/>
          <w:sz w:val="40"/>
          <w:szCs w:val="40"/>
        </w:rPr>
      </w:pPr>
    </w:p>
    <w:p w14:paraId="5FA91760" w14:textId="77777777" w:rsidR="001C19F3" w:rsidRDefault="001C19F3" w:rsidP="001C19F3">
      <w:pPr>
        <w:spacing w:after="120"/>
        <w:jc w:val="right"/>
        <w:rPr>
          <w:rFonts w:ascii="Gill Sans MT" w:hAnsi="Gill Sans MT"/>
          <w:b/>
          <w:bCs/>
          <w:sz w:val="40"/>
          <w:szCs w:val="40"/>
        </w:rPr>
      </w:pPr>
    </w:p>
    <w:p w14:paraId="74F2ABF1" w14:textId="77777777" w:rsidR="001C19F3" w:rsidRDefault="001C19F3" w:rsidP="001C19F3">
      <w:pPr>
        <w:spacing w:after="120"/>
        <w:jc w:val="right"/>
        <w:rPr>
          <w:rFonts w:ascii="Gill Sans MT" w:hAnsi="Gill Sans MT"/>
          <w:b/>
          <w:bCs/>
          <w:sz w:val="40"/>
          <w:szCs w:val="40"/>
        </w:rPr>
      </w:pPr>
    </w:p>
    <w:p w14:paraId="1CBB363D" w14:textId="77777777" w:rsidR="001C19F3" w:rsidRDefault="001C19F3" w:rsidP="001C19F3">
      <w:pPr>
        <w:spacing w:after="120"/>
        <w:jc w:val="right"/>
        <w:rPr>
          <w:rFonts w:ascii="Gill Sans MT" w:hAnsi="Gill Sans MT"/>
          <w:b/>
          <w:bCs/>
          <w:sz w:val="40"/>
          <w:szCs w:val="40"/>
        </w:rPr>
      </w:pPr>
    </w:p>
    <w:p w14:paraId="551C7509" w14:textId="77777777" w:rsidR="001C19F3" w:rsidRDefault="001C19F3" w:rsidP="001C19F3">
      <w:pPr>
        <w:spacing w:after="120"/>
        <w:jc w:val="right"/>
        <w:rPr>
          <w:rFonts w:ascii="Gill Sans MT" w:hAnsi="Gill Sans MT"/>
          <w:b/>
          <w:bCs/>
          <w:sz w:val="40"/>
          <w:szCs w:val="40"/>
        </w:rPr>
      </w:pPr>
    </w:p>
    <w:p w14:paraId="3FC2C0EC" w14:textId="77777777" w:rsidR="001C19F3" w:rsidRDefault="001C19F3" w:rsidP="001C19F3">
      <w:pPr>
        <w:spacing w:after="120"/>
        <w:jc w:val="right"/>
        <w:rPr>
          <w:rFonts w:ascii="Gill Sans MT" w:hAnsi="Gill Sans MT"/>
          <w:b/>
          <w:bCs/>
          <w:sz w:val="40"/>
          <w:szCs w:val="40"/>
        </w:rPr>
      </w:pPr>
    </w:p>
    <w:p w14:paraId="2D6FF1BB" w14:textId="77777777" w:rsidR="001C19F3" w:rsidRDefault="001C19F3" w:rsidP="001C19F3">
      <w:pPr>
        <w:spacing w:after="120"/>
        <w:jc w:val="right"/>
        <w:rPr>
          <w:rFonts w:ascii="Gill Sans MT" w:hAnsi="Gill Sans MT"/>
          <w:b/>
          <w:bCs/>
          <w:sz w:val="40"/>
          <w:szCs w:val="40"/>
        </w:rPr>
      </w:pPr>
    </w:p>
    <w:p w14:paraId="3A995E2A" w14:textId="77777777" w:rsidR="001C19F3" w:rsidRDefault="001C19F3" w:rsidP="001C19F3">
      <w:pPr>
        <w:spacing w:after="120"/>
        <w:jc w:val="right"/>
        <w:rPr>
          <w:rFonts w:ascii="Gill Sans MT" w:hAnsi="Gill Sans MT"/>
          <w:b/>
          <w:bCs/>
          <w:sz w:val="40"/>
          <w:szCs w:val="40"/>
        </w:rPr>
      </w:pPr>
    </w:p>
    <w:p w14:paraId="28BE32D2" w14:textId="77777777" w:rsidR="001C19F3" w:rsidRDefault="001C19F3" w:rsidP="001C19F3">
      <w:pPr>
        <w:spacing w:after="120"/>
        <w:jc w:val="right"/>
        <w:rPr>
          <w:rFonts w:ascii="Gill Sans MT" w:hAnsi="Gill Sans MT"/>
          <w:b/>
          <w:bCs/>
          <w:sz w:val="40"/>
          <w:szCs w:val="40"/>
        </w:rPr>
      </w:pPr>
    </w:p>
    <w:p w14:paraId="23B079A8" w14:textId="77777777" w:rsidR="001C19F3" w:rsidRDefault="001C19F3" w:rsidP="001C19F3">
      <w:pPr>
        <w:spacing w:after="120"/>
        <w:jc w:val="right"/>
        <w:rPr>
          <w:rFonts w:ascii="Gill Sans MT" w:hAnsi="Gill Sans MT"/>
          <w:b/>
          <w:bCs/>
          <w:sz w:val="40"/>
          <w:szCs w:val="40"/>
        </w:rPr>
      </w:pPr>
    </w:p>
    <w:p w14:paraId="4437F3EE" w14:textId="77777777" w:rsidR="001C19F3" w:rsidRDefault="001C19F3" w:rsidP="001C19F3">
      <w:pPr>
        <w:spacing w:after="120"/>
        <w:jc w:val="right"/>
        <w:rPr>
          <w:rFonts w:ascii="Gill Sans MT" w:hAnsi="Gill Sans MT"/>
          <w:b/>
          <w:bCs/>
          <w:sz w:val="40"/>
          <w:szCs w:val="40"/>
        </w:rPr>
      </w:pPr>
    </w:p>
    <w:p w14:paraId="3195B965" w14:textId="77777777" w:rsidR="001C19F3" w:rsidRPr="008D691C" w:rsidRDefault="001C19F3" w:rsidP="001C19F3">
      <w:pPr>
        <w:spacing w:after="120"/>
        <w:jc w:val="right"/>
        <w:rPr>
          <w:b/>
          <w:bCs/>
          <w:color w:val="1F497D"/>
          <w:sz w:val="50"/>
          <w:szCs w:val="50"/>
        </w:rPr>
      </w:pPr>
      <w:r>
        <w:rPr>
          <w:b/>
          <w:bCs/>
          <w:sz w:val="40"/>
          <w:szCs w:val="40"/>
        </w:rPr>
        <w:t>Australian Government Department of Health</w:t>
      </w:r>
    </w:p>
    <w:p w14:paraId="57F6198D" w14:textId="77777777" w:rsidR="001C19F3" w:rsidRPr="008D691C" w:rsidRDefault="001C19F3" w:rsidP="001C19F3">
      <w:pPr>
        <w:spacing w:after="120"/>
        <w:jc w:val="right"/>
        <w:rPr>
          <w:rStyle w:val="Style3"/>
          <w:sz w:val="56"/>
          <w:szCs w:val="56"/>
        </w:rPr>
      </w:pPr>
      <w:r w:rsidRPr="00EB78D6">
        <w:rPr>
          <w:rStyle w:val="Style3"/>
          <w:rFonts w:eastAsia="Times New Roman"/>
          <w:i/>
          <w:color w:val="003D79"/>
          <w:sz w:val="56"/>
          <w:szCs w:val="56"/>
        </w:rPr>
        <w:t>Evaluation of the Health Care Homes program</w:t>
      </w:r>
    </w:p>
    <w:p w14:paraId="173F2977" w14:textId="77777777" w:rsidR="001C19F3" w:rsidRDefault="001C19F3" w:rsidP="001C19F3">
      <w:pPr>
        <w:spacing w:after="120"/>
        <w:jc w:val="right"/>
        <w:rPr>
          <w:rStyle w:val="ReportTitleTitlePageChar"/>
          <w:rFonts w:ascii="Century Gothic" w:hAnsi="Century Gothic"/>
        </w:rPr>
      </w:pPr>
      <w:r w:rsidRPr="00A35456">
        <w:rPr>
          <w:rStyle w:val="ReportTitleTitlePageChar"/>
          <w:rFonts w:ascii="Century Gothic" w:hAnsi="Century Gothic"/>
        </w:rPr>
        <w:t>Interim evaluation report 2019</w:t>
      </w:r>
    </w:p>
    <w:p w14:paraId="6D267BA4" w14:textId="77777777" w:rsidR="001C19F3" w:rsidRPr="00251C66" w:rsidRDefault="001C19F3" w:rsidP="001C19F3">
      <w:pPr>
        <w:spacing w:after="120"/>
        <w:jc w:val="right"/>
        <w:rPr>
          <w:b/>
          <w:bCs/>
          <w:color w:val="808080"/>
          <w:sz w:val="28"/>
          <w:szCs w:val="28"/>
        </w:rPr>
        <w:sectPr w:rsidR="001C19F3" w:rsidRPr="00251C66">
          <w:headerReference w:type="even" r:id="rId84"/>
          <w:headerReference w:type="default" r:id="rId85"/>
          <w:headerReference w:type="first" r:id="rId86"/>
          <w:pgSz w:w="11906" w:h="16838" w:code="9"/>
          <w:pgMar w:top="1440" w:right="1440" w:bottom="1440" w:left="1440" w:header="709" w:footer="709" w:gutter="0"/>
          <w:cols w:space="708"/>
          <w:titlePg/>
          <w:docGrid w:linePitch="360"/>
        </w:sectPr>
      </w:pPr>
      <w:r w:rsidRPr="00A35456">
        <w:rPr>
          <w:rStyle w:val="ReportTitleTitlePageChar"/>
          <w:rFonts w:ascii="Century Gothic" w:hAnsi="Century Gothic"/>
          <w:sz w:val="28"/>
          <w:szCs w:val="28"/>
        </w:rPr>
        <w:t xml:space="preserve">Volume </w:t>
      </w:r>
      <w:r>
        <w:rPr>
          <w:rStyle w:val="ReportTitleTitlePageChar"/>
          <w:rFonts w:ascii="Century Gothic" w:hAnsi="Century Gothic"/>
          <w:sz w:val="28"/>
          <w:szCs w:val="28"/>
        </w:rPr>
        <w:t>3</w:t>
      </w:r>
      <w:r w:rsidRPr="00A35456">
        <w:rPr>
          <w:rStyle w:val="ReportTitleTitlePageChar"/>
          <w:rFonts w:ascii="Century Gothic" w:hAnsi="Century Gothic"/>
          <w:sz w:val="28"/>
          <w:szCs w:val="28"/>
        </w:rPr>
        <w:t>: Evaluation methods and evaluation progress</w:t>
      </w:r>
    </w:p>
    <w:p w14:paraId="7862325E" w14:textId="77777777" w:rsidR="001C19F3" w:rsidRPr="00966328" w:rsidRDefault="001C19F3" w:rsidP="001C19F3">
      <w:pPr>
        <w:rPr>
          <w:rFonts w:cs="Arial"/>
          <w:bCs/>
          <w:color w:val="003D79"/>
          <w:sz w:val="36"/>
          <w:szCs w:val="36"/>
        </w:rPr>
      </w:pPr>
      <w:r w:rsidRPr="00966328">
        <w:rPr>
          <w:rFonts w:cs="Arial"/>
          <w:bCs/>
          <w:color w:val="003D79"/>
          <w:sz w:val="36"/>
          <w:szCs w:val="36"/>
        </w:rPr>
        <w:lastRenderedPageBreak/>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1984"/>
        <w:gridCol w:w="6095"/>
      </w:tblGrid>
      <w:tr w:rsidR="001C19F3" w:rsidRPr="00025564" w14:paraId="31197810" w14:textId="77777777" w:rsidTr="00521305">
        <w:trPr>
          <w:cantSplit/>
          <w:tblHeader/>
        </w:trPr>
        <w:tc>
          <w:tcPr>
            <w:tcW w:w="993" w:type="dxa"/>
            <w:shd w:val="clear" w:color="auto" w:fill="D9D9D9"/>
          </w:tcPr>
          <w:p w14:paraId="6A3340A6" w14:textId="77777777" w:rsidR="001C19F3" w:rsidRPr="00025564" w:rsidRDefault="001C19F3" w:rsidP="00521305">
            <w:pPr>
              <w:pStyle w:val="Table"/>
              <w:jc w:val="both"/>
              <w:rPr>
                <w:rFonts w:ascii="Century Gothic" w:hAnsi="Century Gothic"/>
                <w:b/>
                <w:szCs w:val="18"/>
              </w:rPr>
            </w:pPr>
            <w:r w:rsidRPr="00025564">
              <w:rPr>
                <w:rFonts w:ascii="Century Gothic" w:hAnsi="Century Gothic"/>
                <w:b/>
                <w:szCs w:val="18"/>
              </w:rPr>
              <w:t>Version</w:t>
            </w:r>
          </w:p>
        </w:tc>
        <w:tc>
          <w:tcPr>
            <w:tcW w:w="1984" w:type="dxa"/>
            <w:shd w:val="clear" w:color="auto" w:fill="D9D9D9"/>
          </w:tcPr>
          <w:p w14:paraId="4B440DED" w14:textId="77777777" w:rsidR="001C19F3" w:rsidRPr="00025564" w:rsidRDefault="001C19F3" w:rsidP="00521305">
            <w:pPr>
              <w:pStyle w:val="Table"/>
              <w:rPr>
                <w:rFonts w:ascii="Century Gothic" w:hAnsi="Century Gothic"/>
                <w:b/>
                <w:szCs w:val="18"/>
              </w:rPr>
            </w:pPr>
            <w:r w:rsidRPr="00025564">
              <w:rPr>
                <w:rFonts w:ascii="Century Gothic" w:hAnsi="Century Gothic"/>
                <w:b/>
                <w:szCs w:val="18"/>
              </w:rPr>
              <w:t>Date</w:t>
            </w:r>
          </w:p>
        </w:tc>
        <w:tc>
          <w:tcPr>
            <w:tcW w:w="6095" w:type="dxa"/>
            <w:shd w:val="clear" w:color="auto" w:fill="D9D9D9"/>
          </w:tcPr>
          <w:p w14:paraId="0CD70CFA" w14:textId="77777777" w:rsidR="001C19F3" w:rsidRPr="00025564" w:rsidRDefault="001C19F3" w:rsidP="00521305">
            <w:pPr>
              <w:pStyle w:val="Table"/>
              <w:rPr>
                <w:rFonts w:ascii="Century Gothic" w:hAnsi="Century Gothic"/>
                <w:b/>
                <w:szCs w:val="18"/>
              </w:rPr>
            </w:pPr>
            <w:r w:rsidRPr="00025564">
              <w:rPr>
                <w:rFonts w:ascii="Century Gothic" w:hAnsi="Century Gothic"/>
                <w:b/>
                <w:szCs w:val="18"/>
              </w:rPr>
              <w:t>Modification</w:t>
            </w:r>
          </w:p>
        </w:tc>
      </w:tr>
      <w:tr w:rsidR="001C19F3" w:rsidRPr="00025564" w14:paraId="1F53AEA3" w14:textId="77777777" w:rsidTr="00521305">
        <w:trPr>
          <w:cantSplit/>
          <w:trHeight w:val="70"/>
        </w:trPr>
        <w:tc>
          <w:tcPr>
            <w:tcW w:w="993" w:type="dxa"/>
          </w:tcPr>
          <w:p w14:paraId="391FBBDB" w14:textId="77777777" w:rsidR="001C19F3" w:rsidRPr="00025564" w:rsidRDefault="001C19F3" w:rsidP="00521305">
            <w:pPr>
              <w:pStyle w:val="Table"/>
              <w:jc w:val="both"/>
              <w:rPr>
                <w:rFonts w:ascii="Century Gothic" w:hAnsi="Century Gothic"/>
                <w:szCs w:val="18"/>
              </w:rPr>
            </w:pPr>
            <w:r w:rsidRPr="00025564">
              <w:rPr>
                <w:rFonts w:ascii="Century Gothic" w:hAnsi="Century Gothic"/>
                <w:szCs w:val="18"/>
              </w:rPr>
              <w:t>0.1</w:t>
            </w:r>
          </w:p>
        </w:tc>
        <w:tc>
          <w:tcPr>
            <w:tcW w:w="1984" w:type="dxa"/>
          </w:tcPr>
          <w:p w14:paraId="11768353"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13 December 2019</w:t>
            </w:r>
          </w:p>
        </w:tc>
        <w:tc>
          <w:tcPr>
            <w:tcW w:w="6095" w:type="dxa"/>
          </w:tcPr>
          <w:p w14:paraId="0A98B490" w14:textId="77777777" w:rsidR="001C19F3" w:rsidRPr="00025564" w:rsidRDefault="001C19F3" w:rsidP="00521305">
            <w:pPr>
              <w:pStyle w:val="Table"/>
              <w:rPr>
                <w:rFonts w:ascii="Century Gothic" w:hAnsi="Century Gothic"/>
                <w:szCs w:val="18"/>
              </w:rPr>
            </w:pPr>
            <w:r w:rsidRPr="00025564">
              <w:rPr>
                <w:rFonts w:ascii="Century Gothic" w:hAnsi="Century Gothic"/>
                <w:szCs w:val="18"/>
              </w:rPr>
              <w:t>Initial draft</w:t>
            </w:r>
            <w:r>
              <w:rPr>
                <w:rFonts w:ascii="Century Gothic" w:hAnsi="Century Gothic"/>
                <w:szCs w:val="18"/>
              </w:rPr>
              <w:t>.</w:t>
            </w:r>
          </w:p>
        </w:tc>
      </w:tr>
      <w:tr w:rsidR="001C19F3" w:rsidRPr="00025564" w14:paraId="27E1CCA3" w14:textId="77777777" w:rsidTr="00521305">
        <w:trPr>
          <w:cantSplit/>
          <w:trHeight w:val="70"/>
        </w:trPr>
        <w:tc>
          <w:tcPr>
            <w:tcW w:w="993" w:type="dxa"/>
          </w:tcPr>
          <w:p w14:paraId="685F7123" w14:textId="77777777" w:rsidR="001C19F3" w:rsidRPr="00025564" w:rsidRDefault="001C19F3" w:rsidP="00521305">
            <w:pPr>
              <w:pStyle w:val="Table"/>
              <w:jc w:val="both"/>
              <w:rPr>
                <w:rFonts w:ascii="Century Gothic" w:hAnsi="Century Gothic"/>
                <w:szCs w:val="18"/>
              </w:rPr>
            </w:pPr>
            <w:r>
              <w:rPr>
                <w:rFonts w:ascii="Century Gothic" w:hAnsi="Century Gothic"/>
                <w:szCs w:val="18"/>
              </w:rPr>
              <w:t>0.2</w:t>
            </w:r>
          </w:p>
        </w:tc>
        <w:tc>
          <w:tcPr>
            <w:tcW w:w="1984" w:type="dxa"/>
          </w:tcPr>
          <w:p w14:paraId="30844852"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14 February 2020</w:t>
            </w:r>
          </w:p>
        </w:tc>
        <w:tc>
          <w:tcPr>
            <w:tcW w:w="6095" w:type="dxa"/>
          </w:tcPr>
          <w:p w14:paraId="5DD74E40" w14:textId="77777777" w:rsidR="001C19F3" w:rsidRPr="00025564" w:rsidRDefault="001C19F3" w:rsidP="00521305">
            <w:pPr>
              <w:pStyle w:val="Table"/>
              <w:rPr>
                <w:rFonts w:ascii="Century Gothic" w:hAnsi="Century Gothic"/>
                <w:szCs w:val="18"/>
              </w:rPr>
            </w:pPr>
            <w:r w:rsidRPr="00BB7BB3">
              <w:rPr>
                <w:rFonts w:ascii="Century Gothic" w:hAnsi="Century Gothic"/>
                <w:szCs w:val="18"/>
              </w:rPr>
              <w:t>Minor edits to resolve discrepancies in data reported for different time points.</w:t>
            </w:r>
          </w:p>
        </w:tc>
      </w:tr>
      <w:tr w:rsidR="001C19F3" w:rsidRPr="00025564" w14:paraId="07A05AC9" w14:textId="77777777" w:rsidTr="00521305">
        <w:trPr>
          <w:cantSplit/>
          <w:trHeight w:val="70"/>
        </w:trPr>
        <w:tc>
          <w:tcPr>
            <w:tcW w:w="993" w:type="dxa"/>
          </w:tcPr>
          <w:p w14:paraId="1C744576" w14:textId="77777777" w:rsidR="001C19F3" w:rsidRPr="00025564" w:rsidRDefault="001C19F3" w:rsidP="00521305">
            <w:pPr>
              <w:pStyle w:val="Table"/>
              <w:jc w:val="both"/>
              <w:rPr>
                <w:rFonts w:ascii="Century Gothic" w:hAnsi="Century Gothic"/>
                <w:szCs w:val="18"/>
              </w:rPr>
            </w:pPr>
          </w:p>
        </w:tc>
        <w:tc>
          <w:tcPr>
            <w:tcW w:w="1984" w:type="dxa"/>
          </w:tcPr>
          <w:p w14:paraId="339974D8" w14:textId="77777777" w:rsidR="001C19F3" w:rsidRPr="00025564" w:rsidRDefault="001C19F3" w:rsidP="00521305">
            <w:pPr>
              <w:pStyle w:val="Table"/>
              <w:jc w:val="center"/>
              <w:rPr>
                <w:rFonts w:ascii="Century Gothic" w:hAnsi="Century Gothic"/>
                <w:szCs w:val="18"/>
              </w:rPr>
            </w:pPr>
          </w:p>
        </w:tc>
        <w:tc>
          <w:tcPr>
            <w:tcW w:w="6095" w:type="dxa"/>
          </w:tcPr>
          <w:p w14:paraId="2124460E" w14:textId="77777777" w:rsidR="001C19F3" w:rsidRPr="00025564" w:rsidRDefault="001C19F3" w:rsidP="00521305">
            <w:pPr>
              <w:pStyle w:val="Table"/>
              <w:rPr>
                <w:rFonts w:ascii="Century Gothic" w:hAnsi="Century Gothic"/>
                <w:szCs w:val="18"/>
              </w:rPr>
            </w:pPr>
          </w:p>
        </w:tc>
      </w:tr>
      <w:tr w:rsidR="001C19F3" w:rsidRPr="00025564" w14:paraId="0DDDCEEF" w14:textId="77777777" w:rsidTr="00521305">
        <w:trPr>
          <w:cantSplit/>
          <w:trHeight w:val="70"/>
        </w:trPr>
        <w:tc>
          <w:tcPr>
            <w:tcW w:w="993" w:type="dxa"/>
          </w:tcPr>
          <w:p w14:paraId="2DC78060" w14:textId="77777777" w:rsidR="001C19F3" w:rsidRPr="00025564" w:rsidRDefault="001C19F3" w:rsidP="00521305">
            <w:pPr>
              <w:pStyle w:val="Table"/>
              <w:jc w:val="both"/>
              <w:rPr>
                <w:rFonts w:ascii="Century Gothic" w:hAnsi="Century Gothic"/>
                <w:szCs w:val="18"/>
              </w:rPr>
            </w:pPr>
          </w:p>
        </w:tc>
        <w:tc>
          <w:tcPr>
            <w:tcW w:w="1984" w:type="dxa"/>
          </w:tcPr>
          <w:p w14:paraId="5994B4EC" w14:textId="77777777" w:rsidR="001C19F3" w:rsidRPr="00025564" w:rsidRDefault="001C19F3" w:rsidP="00521305">
            <w:pPr>
              <w:pStyle w:val="Table"/>
              <w:jc w:val="center"/>
              <w:rPr>
                <w:rFonts w:ascii="Century Gothic" w:hAnsi="Century Gothic"/>
                <w:szCs w:val="18"/>
              </w:rPr>
            </w:pPr>
          </w:p>
        </w:tc>
        <w:tc>
          <w:tcPr>
            <w:tcW w:w="6095" w:type="dxa"/>
          </w:tcPr>
          <w:p w14:paraId="38ED979A" w14:textId="77777777" w:rsidR="001C19F3" w:rsidRPr="00025564" w:rsidRDefault="001C19F3" w:rsidP="00521305">
            <w:pPr>
              <w:pStyle w:val="Table"/>
              <w:rPr>
                <w:rFonts w:ascii="Century Gothic" w:hAnsi="Century Gothic"/>
                <w:szCs w:val="18"/>
              </w:rPr>
            </w:pPr>
          </w:p>
        </w:tc>
      </w:tr>
      <w:tr w:rsidR="001C19F3" w:rsidRPr="00025564" w14:paraId="2353160E" w14:textId="77777777" w:rsidTr="00521305">
        <w:trPr>
          <w:cantSplit/>
          <w:trHeight w:val="70"/>
        </w:trPr>
        <w:tc>
          <w:tcPr>
            <w:tcW w:w="993" w:type="dxa"/>
          </w:tcPr>
          <w:p w14:paraId="11584E17" w14:textId="77777777" w:rsidR="001C19F3" w:rsidRDefault="001C19F3" w:rsidP="00521305">
            <w:pPr>
              <w:pStyle w:val="Table"/>
              <w:jc w:val="both"/>
              <w:rPr>
                <w:rFonts w:ascii="Century Gothic" w:hAnsi="Century Gothic"/>
                <w:szCs w:val="18"/>
              </w:rPr>
            </w:pPr>
          </w:p>
        </w:tc>
        <w:tc>
          <w:tcPr>
            <w:tcW w:w="1984" w:type="dxa"/>
          </w:tcPr>
          <w:p w14:paraId="03B882BB" w14:textId="77777777" w:rsidR="001C19F3" w:rsidRDefault="001C19F3" w:rsidP="00521305">
            <w:pPr>
              <w:pStyle w:val="Table"/>
              <w:jc w:val="center"/>
              <w:rPr>
                <w:rFonts w:ascii="Century Gothic" w:hAnsi="Century Gothic"/>
                <w:szCs w:val="18"/>
              </w:rPr>
            </w:pPr>
          </w:p>
        </w:tc>
        <w:tc>
          <w:tcPr>
            <w:tcW w:w="6095" w:type="dxa"/>
          </w:tcPr>
          <w:p w14:paraId="587BE027" w14:textId="77777777" w:rsidR="001C19F3" w:rsidRDefault="001C19F3" w:rsidP="00521305">
            <w:pPr>
              <w:pStyle w:val="Table"/>
              <w:rPr>
                <w:rFonts w:ascii="Century Gothic" w:hAnsi="Century Gothic"/>
                <w:szCs w:val="18"/>
              </w:rPr>
            </w:pPr>
          </w:p>
        </w:tc>
      </w:tr>
    </w:tbl>
    <w:p w14:paraId="4581E16A" w14:textId="77777777" w:rsidR="001C19F3" w:rsidRDefault="001C19F3" w:rsidP="001C19F3">
      <w:pPr>
        <w:pStyle w:val="FootnoteText"/>
        <w:jc w:val="both"/>
        <w:rPr>
          <w:rFonts w:ascii="Arial" w:hAnsi="Arial"/>
        </w:rPr>
      </w:pPr>
    </w:p>
    <w:p w14:paraId="22B1808B" w14:textId="77777777" w:rsidR="001C19F3" w:rsidRDefault="001C19F3" w:rsidP="001C19F3">
      <w:pPr>
        <w:pStyle w:val="FootnoteText"/>
        <w:jc w:val="both"/>
        <w:rPr>
          <w:rFonts w:ascii="Arial" w:hAnsi="Arial"/>
        </w:rPr>
      </w:pPr>
    </w:p>
    <w:p w14:paraId="0E9D1098" w14:textId="77777777" w:rsidR="001C19F3" w:rsidRPr="00C815DC" w:rsidRDefault="001C19F3" w:rsidP="001C19F3">
      <w:pPr>
        <w:pStyle w:val="FootnoteText"/>
        <w:jc w:val="both"/>
        <w:rPr>
          <w:rFonts w:ascii="Arial" w:hAnsi="Arial"/>
        </w:rPr>
      </w:pPr>
    </w:p>
    <w:p w14:paraId="3A923E42" w14:textId="77777777" w:rsidR="001C19F3" w:rsidRDefault="001C19F3" w:rsidP="001C19F3"/>
    <w:p w14:paraId="176B35CF" w14:textId="77777777" w:rsidR="001C19F3" w:rsidRDefault="001C19F3" w:rsidP="001C19F3"/>
    <w:p w14:paraId="06FBF2C9" w14:textId="77777777" w:rsidR="001C19F3" w:rsidRDefault="001C19F3" w:rsidP="001C19F3"/>
    <w:p w14:paraId="0A9DBF6C" w14:textId="77777777" w:rsidR="001C19F3" w:rsidRDefault="001C19F3" w:rsidP="001C19F3"/>
    <w:p w14:paraId="60C540C3" w14:textId="77777777" w:rsidR="001C19F3" w:rsidRDefault="001C19F3" w:rsidP="001C19F3"/>
    <w:p w14:paraId="0A527154" w14:textId="77777777" w:rsidR="001C19F3" w:rsidRDefault="001C19F3" w:rsidP="001C19F3"/>
    <w:p w14:paraId="17D259FE" w14:textId="77777777" w:rsidR="001C19F3" w:rsidRDefault="001C19F3" w:rsidP="001C19F3"/>
    <w:p w14:paraId="7BD31AC5" w14:textId="77777777" w:rsidR="001C19F3" w:rsidRDefault="001C19F3" w:rsidP="001C19F3"/>
    <w:p w14:paraId="6CB6EBED" w14:textId="77777777" w:rsidR="001C19F3" w:rsidRPr="008D3904" w:rsidRDefault="001C19F3" w:rsidP="001C19F3">
      <w:pPr>
        <w:rPr>
          <w:rFonts w:cs="Arial"/>
          <w:bCs/>
          <w:color w:val="003D79"/>
          <w:sz w:val="36"/>
          <w:szCs w:val="36"/>
        </w:rPr>
      </w:pPr>
      <w:r w:rsidRPr="008D3904">
        <w:rPr>
          <w:rFonts w:cs="Arial"/>
          <w:bCs/>
          <w:color w:val="003D79"/>
          <w:sz w:val="36"/>
          <w:szCs w:val="36"/>
        </w:rPr>
        <w:t>Suggested citation</w:t>
      </w:r>
    </w:p>
    <w:p w14:paraId="4085E6BF" w14:textId="77777777" w:rsidR="001C19F3" w:rsidRPr="00C815DC" w:rsidRDefault="001C19F3" w:rsidP="001C19F3">
      <w:pPr>
        <w:rPr>
          <w:rFonts w:cs="Arial"/>
          <w:szCs w:val="20"/>
        </w:rPr>
      </w:pPr>
      <w:r w:rsidRPr="00A35456">
        <w:rPr>
          <w:rFonts w:cs="Arial"/>
          <w:szCs w:val="20"/>
        </w:rPr>
        <w:t xml:space="preserve">Health Policy Analysis 2019. Evaluation of the Health Care Homes program – Interim evaluation report 2019, Volume </w:t>
      </w:r>
      <w:r>
        <w:rPr>
          <w:rFonts w:cs="Arial"/>
          <w:szCs w:val="20"/>
        </w:rPr>
        <w:t>3</w:t>
      </w:r>
      <w:r w:rsidRPr="00A35456">
        <w:rPr>
          <w:rFonts w:cs="Arial"/>
          <w:szCs w:val="20"/>
        </w:rPr>
        <w:t xml:space="preserve">: </w:t>
      </w:r>
      <w:r w:rsidRPr="00DD3F32">
        <w:rPr>
          <w:rFonts w:cs="Arial"/>
          <w:szCs w:val="20"/>
        </w:rPr>
        <w:t>Evaluation methods and evaluation progress</w:t>
      </w:r>
      <w:r w:rsidRPr="00A35456">
        <w:rPr>
          <w:rFonts w:cs="Arial"/>
          <w:szCs w:val="20"/>
        </w:rPr>
        <w:t>. Canberra: Department of Health</w:t>
      </w:r>
      <w:r>
        <w:rPr>
          <w:rFonts w:cs="Arial"/>
          <w:szCs w:val="20"/>
        </w:rPr>
        <w:t>.</w:t>
      </w:r>
    </w:p>
    <w:p w14:paraId="6BF20CC5" w14:textId="77777777" w:rsidR="001C19F3" w:rsidRPr="008D3904" w:rsidRDefault="001C19F3" w:rsidP="001C19F3">
      <w:pPr>
        <w:rPr>
          <w:rFonts w:cs="Arial"/>
          <w:bCs/>
          <w:color w:val="003D79"/>
          <w:sz w:val="36"/>
          <w:szCs w:val="36"/>
        </w:rPr>
      </w:pPr>
      <w:r w:rsidRPr="008D3904">
        <w:rPr>
          <w:rFonts w:cs="Arial"/>
          <w:bCs/>
          <w:color w:val="003D79"/>
          <w:sz w:val="36"/>
          <w:szCs w:val="36"/>
        </w:rPr>
        <w:t>Disclaimer</w:t>
      </w:r>
    </w:p>
    <w:p w14:paraId="3FE0C42C" w14:textId="77777777" w:rsidR="001C19F3" w:rsidRPr="00C815DC" w:rsidRDefault="001C19F3" w:rsidP="001C19F3">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Pr="00EB78D6">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2CD2A753" w14:textId="77777777" w:rsidR="001C19F3" w:rsidRPr="008D3904" w:rsidRDefault="001C19F3" w:rsidP="001C19F3">
      <w:pPr>
        <w:rPr>
          <w:rFonts w:cs="Arial"/>
          <w:bCs/>
          <w:color w:val="003D79"/>
          <w:sz w:val="36"/>
          <w:szCs w:val="36"/>
        </w:rPr>
      </w:pPr>
      <w:r w:rsidRPr="008D3904">
        <w:rPr>
          <w:rFonts w:cs="Arial"/>
          <w:bCs/>
          <w:color w:val="003D79"/>
          <w:sz w:val="36"/>
          <w:szCs w:val="36"/>
        </w:rPr>
        <w:t xml:space="preserve">Health Policy Analysis Pty Ltd </w:t>
      </w:r>
    </w:p>
    <w:p w14:paraId="2869DEBD" w14:textId="77777777" w:rsidR="001C19F3" w:rsidRPr="008D691C" w:rsidRDefault="001C19F3" w:rsidP="001C19F3">
      <w:pPr>
        <w:spacing w:after="120" w:line="240" w:lineRule="auto"/>
        <w:rPr>
          <w:rFonts w:cs="Arial"/>
          <w:bCs/>
          <w:color w:val="003D79"/>
        </w:rPr>
      </w:pPr>
      <w:r w:rsidRPr="008D691C">
        <w:rPr>
          <w:rFonts w:cs="Arial"/>
          <w:bCs/>
          <w:color w:val="003D79"/>
        </w:rPr>
        <w:t>Suite 101, 30 Atchison Street, St Leonards 2065</w:t>
      </w:r>
    </w:p>
    <w:p w14:paraId="0092CC5C" w14:textId="77777777" w:rsidR="001C19F3" w:rsidRPr="008D691C" w:rsidRDefault="001C19F3" w:rsidP="001C19F3">
      <w:pPr>
        <w:spacing w:after="120" w:line="240" w:lineRule="auto"/>
        <w:rPr>
          <w:rFonts w:cs="Arial"/>
          <w:bCs/>
          <w:color w:val="003D79"/>
        </w:rPr>
      </w:pPr>
      <w:r w:rsidRPr="008D691C">
        <w:rPr>
          <w:rFonts w:cs="Arial"/>
          <w:bCs/>
          <w:color w:val="003D79"/>
        </w:rPr>
        <w:t>ABN: 54 105 830 920</w:t>
      </w:r>
    </w:p>
    <w:p w14:paraId="1AB694C7" w14:textId="77777777" w:rsidR="001C19F3" w:rsidRPr="008D691C" w:rsidRDefault="001C19F3" w:rsidP="001C19F3">
      <w:pPr>
        <w:spacing w:after="120" w:line="240" w:lineRule="auto"/>
        <w:rPr>
          <w:rFonts w:cs="Arial"/>
          <w:bCs/>
          <w:color w:val="003D79"/>
        </w:rPr>
      </w:pPr>
      <w:r w:rsidRPr="008D691C">
        <w:rPr>
          <w:rFonts w:cs="Arial"/>
          <w:bCs/>
          <w:color w:val="003D79"/>
        </w:rPr>
        <w:t>Phone: +61 2 8065 6491</w:t>
      </w:r>
    </w:p>
    <w:p w14:paraId="69766857" w14:textId="77777777" w:rsidR="001C19F3" w:rsidRPr="00C815DC" w:rsidRDefault="001C19F3" w:rsidP="001C19F3">
      <w:pPr>
        <w:spacing w:line="240" w:lineRule="auto"/>
        <w:rPr>
          <w:rFonts w:ascii="Calibri" w:hAnsi="Calibri" w:cs="Arial"/>
          <w:b/>
          <w:bCs/>
          <w:color w:val="003D79"/>
        </w:rPr>
      </w:pPr>
      <w:r w:rsidRPr="008D691C">
        <w:rPr>
          <w:rFonts w:cs="Arial"/>
          <w:bCs/>
          <w:color w:val="003D79"/>
        </w:rPr>
        <w:t>Fax: +61 2 8905 9151</w:t>
      </w:r>
    </w:p>
    <w:p w14:paraId="7E8DB2F9" w14:textId="77777777" w:rsidR="001C19F3" w:rsidRDefault="001C19F3" w:rsidP="001C19F3">
      <w:pPr>
        <w:tabs>
          <w:tab w:val="left" w:pos="3957"/>
        </w:tabs>
        <w:sectPr w:rsidR="001C19F3" w:rsidSect="00640EFA">
          <w:headerReference w:type="even" r:id="rId87"/>
          <w:headerReference w:type="default" r:id="rId88"/>
          <w:headerReference w:type="first" r:id="rId89"/>
          <w:footerReference w:type="first" r:id="rId90"/>
          <w:pgSz w:w="11906" w:h="16838"/>
          <w:pgMar w:top="1440" w:right="1440" w:bottom="1440" w:left="1440" w:header="708" w:footer="708" w:gutter="0"/>
          <w:cols w:space="708"/>
          <w:titlePg/>
          <w:docGrid w:linePitch="360"/>
        </w:sectPr>
      </w:pPr>
    </w:p>
    <w:p w14:paraId="1D17E90E" w14:textId="77777777" w:rsidR="001C19F3" w:rsidRPr="00C815DC" w:rsidRDefault="001C19F3" w:rsidP="001C19F3">
      <w:pPr>
        <w:pStyle w:val="Heading1thatdoesnotgetpickedupbyTOC"/>
      </w:pPr>
      <w:r w:rsidRPr="00C815DC">
        <w:lastRenderedPageBreak/>
        <w:t>Table of contents</w:t>
      </w:r>
    </w:p>
    <w:p w14:paraId="39547575" w14:textId="77777777" w:rsidR="001C19F3" w:rsidRDefault="001C19F3" w:rsidP="001C19F3">
      <w:pPr>
        <w:pStyle w:val="TOC1"/>
        <w:rPr>
          <w:rFonts w:asciiTheme="minorHAnsi" w:eastAsiaTheme="minorEastAsia" w:hAnsiTheme="minorHAnsi" w:cstheme="minorBidi"/>
          <w:i w:val="0"/>
          <w:noProof/>
          <w:color w:val="auto"/>
          <w:sz w:val="22"/>
          <w:lang w:val="en-AU" w:eastAsia="en-AU"/>
        </w:rPr>
      </w:pPr>
      <w:r>
        <w:rPr>
          <w:b/>
        </w:rPr>
        <w:fldChar w:fldCharType="begin"/>
      </w:r>
      <w:r>
        <w:rPr>
          <w:b/>
        </w:rPr>
        <w:instrText xml:space="preserve"> TOC \o "2-2" \h \z \t "Heading 1,1,Heading 1 no number,1,Heading 1 with number,1,Appendix,1" </w:instrText>
      </w:r>
      <w:r>
        <w:rPr>
          <w:b/>
        </w:rPr>
        <w:fldChar w:fldCharType="separate"/>
      </w:r>
      <w:hyperlink w:anchor="_Toc32586029" w:history="1">
        <w:r w:rsidRPr="00657030">
          <w:rPr>
            <w:rStyle w:val="Hyperlink"/>
            <w:noProof/>
          </w:rPr>
          <w:t>Acronyms and initialisms</w:t>
        </w:r>
        <w:r>
          <w:rPr>
            <w:noProof/>
            <w:webHidden/>
          </w:rPr>
          <w:tab/>
        </w:r>
        <w:r>
          <w:rPr>
            <w:noProof/>
            <w:webHidden/>
          </w:rPr>
          <w:fldChar w:fldCharType="begin"/>
        </w:r>
        <w:r>
          <w:rPr>
            <w:noProof/>
            <w:webHidden/>
          </w:rPr>
          <w:instrText xml:space="preserve"> PAGEREF _Toc32586029 \h </w:instrText>
        </w:r>
        <w:r>
          <w:rPr>
            <w:noProof/>
            <w:webHidden/>
          </w:rPr>
        </w:r>
        <w:r>
          <w:rPr>
            <w:noProof/>
            <w:webHidden/>
          </w:rPr>
          <w:fldChar w:fldCharType="separate"/>
        </w:r>
        <w:r>
          <w:rPr>
            <w:noProof/>
            <w:webHidden/>
          </w:rPr>
          <w:t>1</w:t>
        </w:r>
        <w:r>
          <w:rPr>
            <w:noProof/>
            <w:webHidden/>
          </w:rPr>
          <w:fldChar w:fldCharType="end"/>
        </w:r>
      </w:hyperlink>
    </w:p>
    <w:p w14:paraId="782AEC42"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30" w:history="1">
        <w:r w:rsidR="001C19F3" w:rsidRPr="00657030">
          <w:rPr>
            <w:rStyle w:val="Hyperlink"/>
            <w:noProof/>
          </w:rPr>
          <w:t>1.</w:t>
        </w:r>
        <w:r w:rsidR="001C19F3">
          <w:rPr>
            <w:rFonts w:asciiTheme="minorHAnsi" w:eastAsiaTheme="minorEastAsia" w:hAnsiTheme="minorHAnsi" w:cstheme="minorBidi"/>
            <w:i w:val="0"/>
            <w:noProof/>
            <w:color w:val="auto"/>
            <w:sz w:val="22"/>
            <w:lang w:val="en-AU" w:eastAsia="en-AU"/>
          </w:rPr>
          <w:tab/>
        </w:r>
        <w:r w:rsidR="001C19F3" w:rsidRPr="00657030">
          <w:rPr>
            <w:rStyle w:val="Hyperlink"/>
            <w:noProof/>
          </w:rPr>
          <w:t>Introduction</w:t>
        </w:r>
        <w:r w:rsidR="001C19F3">
          <w:rPr>
            <w:noProof/>
            <w:webHidden/>
          </w:rPr>
          <w:tab/>
        </w:r>
        <w:r w:rsidR="001C19F3">
          <w:rPr>
            <w:noProof/>
            <w:webHidden/>
          </w:rPr>
          <w:fldChar w:fldCharType="begin"/>
        </w:r>
        <w:r w:rsidR="001C19F3">
          <w:rPr>
            <w:noProof/>
            <w:webHidden/>
          </w:rPr>
          <w:instrText xml:space="preserve"> PAGEREF _Toc32586030 \h </w:instrText>
        </w:r>
        <w:r w:rsidR="001C19F3">
          <w:rPr>
            <w:noProof/>
            <w:webHidden/>
          </w:rPr>
        </w:r>
        <w:r w:rsidR="001C19F3">
          <w:rPr>
            <w:noProof/>
            <w:webHidden/>
          </w:rPr>
          <w:fldChar w:fldCharType="separate"/>
        </w:r>
        <w:r w:rsidR="001C19F3">
          <w:rPr>
            <w:noProof/>
            <w:webHidden/>
          </w:rPr>
          <w:t>3</w:t>
        </w:r>
        <w:r w:rsidR="001C19F3">
          <w:rPr>
            <w:noProof/>
            <w:webHidden/>
          </w:rPr>
          <w:fldChar w:fldCharType="end"/>
        </w:r>
      </w:hyperlink>
    </w:p>
    <w:p w14:paraId="21B68941"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1" w:history="1">
        <w:r w:rsidR="001C19F3" w:rsidRPr="00657030">
          <w:rPr>
            <w:rStyle w:val="Hyperlink"/>
            <w:noProof/>
          </w:rPr>
          <w:t>Structure of this report</w:t>
        </w:r>
        <w:r w:rsidR="001C19F3">
          <w:rPr>
            <w:noProof/>
            <w:webHidden/>
          </w:rPr>
          <w:tab/>
        </w:r>
        <w:r w:rsidR="001C19F3">
          <w:rPr>
            <w:noProof/>
            <w:webHidden/>
          </w:rPr>
          <w:fldChar w:fldCharType="begin"/>
        </w:r>
        <w:r w:rsidR="001C19F3">
          <w:rPr>
            <w:noProof/>
            <w:webHidden/>
          </w:rPr>
          <w:instrText xml:space="preserve"> PAGEREF _Toc32586031 \h </w:instrText>
        </w:r>
        <w:r w:rsidR="001C19F3">
          <w:rPr>
            <w:noProof/>
            <w:webHidden/>
          </w:rPr>
        </w:r>
        <w:r w:rsidR="001C19F3">
          <w:rPr>
            <w:noProof/>
            <w:webHidden/>
          </w:rPr>
          <w:fldChar w:fldCharType="separate"/>
        </w:r>
        <w:r w:rsidR="001C19F3">
          <w:rPr>
            <w:noProof/>
            <w:webHidden/>
          </w:rPr>
          <w:t>5</w:t>
        </w:r>
        <w:r w:rsidR="001C19F3">
          <w:rPr>
            <w:noProof/>
            <w:webHidden/>
          </w:rPr>
          <w:fldChar w:fldCharType="end"/>
        </w:r>
      </w:hyperlink>
    </w:p>
    <w:p w14:paraId="72BC3E07"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32" w:history="1">
        <w:r w:rsidR="001C19F3" w:rsidRPr="00657030">
          <w:rPr>
            <w:rStyle w:val="Hyperlink"/>
            <w:noProof/>
          </w:rPr>
          <w:t>2.</w:t>
        </w:r>
        <w:r w:rsidR="001C19F3">
          <w:rPr>
            <w:rFonts w:asciiTheme="minorHAnsi" w:eastAsiaTheme="minorEastAsia" w:hAnsiTheme="minorHAnsi" w:cstheme="minorBidi"/>
            <w:i w:val="0"/>
            <w:noProof/>
            <w:color w:val="auto"/>
            <w:sz w:val="22"/>
            <w:lang w:val="en-AU" w:eastAsia="en-AU"/>
          </w:rPr>
          <w:tab/>
        </w:r>
        <w:r w:rsidR="001C19F3" w:rsidRPr="00657030">
          <w:rPr>
            <w:rStyle w:val="Hyperlink"/>
            <w:noProof/>
          </w:rPr>
          <w:t>Evaluation infrastructure</w:t>
        </w:r>
        <w:r w:rsidR="001C19F3">
          <w:rPr>
            <w:noProof/>
            <w:webHidden/>
          </w:rPr>
          <w:tab/>
        </w:r>
        <w:r w:rsidR="001C19F3">
          <w:rPr>
            <w:noProof/>
            <w:webHidden/>
          </w:rPr>
          <w:fldChar w:fldCharType="begin"/>
        </w:r>
        <w:r w:rsidR="001C19F3">
          <w:rPr>
            <w:noProof/>
            <w:webHidden/>
          </w:rPr>
          <w:instrText xml:space="preserve"> PAGEREF _Toc32586032 \h </w:instrText>
        </w:r>
        <w:r w:rsidR="001C19F3">
          <w:rPr>
            <w:noProof/>
            <w:webHidden/>
          </w:rPr>
        </w:r>
        <w:r w:rsidR="001C19F3">
          <w:rPr>
            <w:noProof/>
            <w:webHidden/>
          </w:rPr>
          <w:fldChar w:fldCharType="separate"/>
        </w:r>
        <w:r w:rsidR="001C19F3">
          <w:rPr>
            <w:noProof/>
            <w:webHidden/>
          </w:rPr>
          <w:t>6</w:t>
        </w:r>
        <w:r w:rsidR="001C19F3">
          <w:rPr>
            <w:noProof/>
            <w:webHidden/>
          </w:rPr>
          <w:fldChar w:fldCharType="end"/>
        </w:r>
      </w:hyperlink>
    </w:p>
    <w:p w14:paraId="3AA49452"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3" w:history="1">
        <w:r w:rsidR="001C19F3" w:rsidRPr="00657030">
          <w:rPr>
            <w:rStyle w:val="Hyperlink"/>
            <w:noProof/>
          </w:rPr>
          <w:t>HCH evaluation plan</w:t>
        </w:r>
        <w:r w:rsidR="001C19F3">
          <w:rPr>
            <w:noProof/>
            <w:webHidden/>
          </w:rPr>
          <w:tab/>
        </w:r>
        <w:r w:rsidR="001C19F3">
          <w:rPr>
            <w:noProof/>
            <w:webHidden/>
          </w:rPr>
          <w:fldChar w:fldCharType="begin"/>
        </w:r>
        <w:r w:rsidR="001C19F3">
          <w:rPr>
            <w:noProof/>
            <w:webHidden/>
          </w:rPr>
          <w:instrText xml:space="preserve"> PAGEREF _Toc32586033 \h </w:instrText>
        </w:r>
        <w:r w:rsidR="001C19F3">
          <w:rPr>
            <w:noProof/>
            <w:webHidden/>
          </w:rPr>
        </w:r>
        <w:r w:rsidR="001C19F3">
          <w:rPr>
            <w:noProof/>
            <w:webHidden/>
          </w:rPr>
          <w:fldChar w:fldCharType="separate"/>
        </w:r>
        <w:r w:rsidR="001C19F3">
          <w:rPr>
            <w:noProof/>
            <w:webHidden/>
          </w:rPr>
          <w:t>6</w:t>
        </w:r>
        <w:r w:rsidR="001C19F3">
          <w:rPr>
            <w:noProof/>
            <w:webHidden/>
          </w:rPr>
          <w:fldChar w:fldCharType="end"/>
        </w:r>
      </w:hyperlink>
    </w:p>
    <w:p w14:paraId="56DAD857"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4" w:history="1">
        <w:r w:rsidR="001C19F3" w:rsidRPr="00657030">
          <w:rPr>
            <w:rStyle w:val="Hyperlink"/>
            <w:noProof/>
          </w:rPr>
          <w:t>Evaluation resources and website</w:t>
        </w:r>
        <w:r w:rsidR="001C19F3">
          <w:rPr>
            <w:noProof/>
            <w:webHidden/>
          </w:rPr>
          <w:tab/>
        </w:r>
        <w:r w:rsidR="001C19F3">
          <w:rPr>
            <w:noProof/>
            <w:webHidden/>
          </w:rPr>
          <w:fldChar w:fldCharType="begin"/>
        </w:r>
        <w:r w:rsidR="001C19F3">
          <w:rPr>
            <w:noProof/>
            <w:webHidden/>
          </w:rPr>
          <w:instrText xml:space="preserve"> PAGEREF _Toc32586034 \h </w:instrText>
        </w:r>
        <w:r w:rsidR="001C19F3">
          <w:rPr>
            <w:noProof/>
            <w:webHidden/>
          </w:rPr>
        </w:r>
        <w:r w:rsidR="001C19F3">
          <w:rPr>
            <w:noProof/>
            <w:webHidden/>
          </w:rPr>
          <w:fldChar w:fldCharType="separate"/>
        </w:r>
        <w:r w:rsidR="001C19F3">
          <w:rPr>
            <w:noProof/>
            <w:webHidden/>
          </w:rPr>
          <w:t>6</w:t>
        </w:r>
        <w:r w:rsidR="001C19F3">
          <w:rPr>
            <w:noProof/>
            <w:webHidden/>
          </w:rPr>
          <w:fldChar w:fldCharType="end"/>
        </w:r>
      </w:hyperlink>
    </w:p>
    <w:p w14:paraId="24AA778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5" w:history="1">
        <w:r w:rsidR="001C19F3" w:rsidRPr="00657030">
          <w:rPr>
            <w:rStyle w:val="Hyperlink"/>
            <w:noProof/>
          </w:rPr>
          <w:t>Research ethics</w:t>
        </w:r>
        <w:r w:rsidR="001C19F3">
          <w:rPr>
            <w:noProof/>
            <w:webHidden/>
          </w:rPr>
          <w:tab/>
        </w:r>
        <w:r w:rsidR="001C19F3">
          <w:rPr>
            <w:noProof/>
            <w:webHidden/>
          </w:rPr>
          <w:fldChar w:fldCharType="begin"/>
        </w:r>
        <w:r w:rsidR="001C19F3">
          <w:rPr>
            <w:noProof/>
            <w:webHidden/>
          </w:rPr>
          <w:instrText xml:space="preserve"> PAGEREF _Toc32586035 \h </w:instrText>
        </w:r>
        <w:r w:rsidR="001C19F3">
          <w:rPr>
            <w:noProof/>
            <w:webHidden/>
          </w:rPr>
        </w:r>
        <w:r w:rsidR="001C19F3">
          <w:rPr>
            <w:noProof/>
            <w:webHidden/>
          </w:rPr>
          <w:fldChar w:fldCharType="separate"/>
        </w:r>
        <w:r w:rsidR="001C19F3">
          <w:rPr>
            <w:noProof/>
            <w:webHidden/>
          </w:rPr>
          <w:t>7</w:t>
        </w:r>
        <w:r w:rsidR="001C19F3">
          <w:rPr>
            <w:noProof/>
            <w:webHidden/>
          </w:rPr>
          <w:fldChar w:fldCharType="end"/>
        </w:r>
      </w:hyperlink>
    </w:p>
    <w:p w14:paraId="3AB8E597"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6" w:history="1">
        <w:r w:rsidR="001C19F3" w:rsidRPr="00657030">
          <w:rPr>
            <w:rStyle w:val="Hyperlink"/>
            <w:noProof/>
          </w:rPr>
          <w:t>Data security</w:t>
        </w:r>
        <w:r w:rsidR="001C19F3">
          <w:rPr>
            <w:noProof/>
            <w:webHidden/>
          </w:rPr>
          <w:tab/>
        </w:r>
        <w:r w:rsidR="001C19F3">
          <w:rPr>
            <w:noProof/>
            <w:webHidden/>
          </w:rPr>
          <w:fldChar w:fldCharType="begin"/>
        </w:r>
        <w:r w:rsidR="001C19F3">
          <w:rPr>
            <w:noProof/>
            <w:webHidden/>
          </w:rPr>
          <w:instrText xml:space="preserve"> PAGEREF _Toc32586036 \h </w:instrText>
        </w:r>
        <w:r w:rsidR="001C19F3">
          <w:rPr>
            <w:noProof/>
            <w:webHidden/>
          </w:rPr>
        </w:r>
        <w:r w:rsidR="001C19F3">
          <w:rPr>
            <w:noProof/>
            <w:webHidden/>
          </w:rPr>
          <w:fldChar w:fldCharType="separate"/>
        </w:r>
        <w:r w:rsidR="001C19F3">
          <w:rPr>
            <w:noProof/>
            <w:webHidden/>
          </w:rPr>
          <w:t>7</w:t>
        </w:r>
        <w:r w:rsidR="001C19F3">
          <w:rPr>
            <w:noProof/>
            <w:webHidden/>
          </w:rPr>
          <w:fldChar w:fldCharType="end"/>
        </w:r>
      </w:hyperlink>
    </w:p>
    <w:p w14:paraId="624CA061"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37" w:history="1">
        <w:r w:rsidR="001C19F3" w:rsidRPr="00657030">
          <w:rPr>
            <w:rStyle w:val="Hyperlink"/>
            <w:noProof/>
          </w:rPr>
          <w:t>3.</w:t>
        </w:r>
        <w:r w:rsidR="001C19F3">
          <w:rPr>
            <w:rFonts w:asciiTheme="minorHAnsi" w:eastAsiaTheme="minorEastAsia" w:hAnsiTheme="minorHAnsi" w:cstheme="minorBidi"/>
            <w:i w:val="0"/>
            <w:noProof/>
            <w:color w:val="auto"/>
            <w:sz w:val="22"/>
            <w:lang w:val="en-AU" w:eastAsia="en-AU"/>
          </w:rPr>
          <w:tab/>
        </w:r>
        <w:r w:rsidR="001C19F3" w:rsidRPr="00657030">
          <w:rPr>
            <w:rStyle w:val="Hyperlink"/>
            <w:noProof/>
          </w:rPr>
          <w:t>Progress with evaluation data</w:t>
        </w:r>
        <w:r w:rsidR="001C19F3">
          <w:rPr>
            <w:noProof/>
            <w:webHidden/>
          </w:rPr>
          <w:tab/>
        </w:r>
        <w:r w:rsidR="001C19F3">
          <w:rPr>
            <w:noProof/>
            <w:webHidden/>
          </w:rPr>
          <w:fldChar w:fldCharType="begin"/>
        </w:r>
        <w:r w:rsidR="001C19F3">
          <w:rPr>
            <w:noProof/>
            <w:webHidden/>
          </w:rPr>
          <w:instrText xml:space="preserve"> PAGEREF _Toc32586037 \h </w:instrText>
        </w:r>
        <w:r w:rsidR="001C19F3">
          <w:rPr>
            <w:noProof/>
            <w:webHidden/>
          </w:rPr>
        </w:r>
        <w:r w:rsidR="001C19F3">
          <w:rPr>
            <w:noProof/>
            <w:webHidden/>
          </w:rPr>
          <w:fldChar w:fldCharType="separate"/>
        </w:r>
        <w:r w:rsidR="001C19F3">
          <w:rPr>
            <w:noProof/>
            <w:webHidden/>
          </w:rPr>
          <w:t>9</w:t>
        </w:r>
        <w:r w:rsidR="001C19F3">
          <w:rPr>
            <w:noProof/>
            <w:webHidden/>
          </w:rPr>
          <w:fldChar w:fldCharType="end"/>
        </w:r>
      </w:hyperlink>
    </w:p>
    <w:p w14:paraId="30B190DE"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8" w:history="1">
        <w:r w:rsidR="001C19F3" w:rsidRPr="00657030">
          <w:rPr>
            <w:rStyle w:val="Hyperlink"/>
            <w:noProof/>
          </w:rPr>
          <w:t>Practice surveys</w:t>
        </w:r>
        <w:r w:rsidR="001C19F3">
          <w:rPr>
            <w:noProof/>
            <w:webHidden/>
          </w:rPr>
          <w:tab/>
        </w:r>
        <w:r w:rsidR="001C19F3">
          <w:rPr>
            <w:noProof/>
            <w:webHidden/>
          </w:rPr>
          <w:fldChar w:fldCharType="begin"/>
        </w:r>
        <w:r w:rsidR="001C19F3">
          <w:rPr>
            <w:noProof/>
            <w:webHidden/>
          </w:rPr>
          <w:instrText xml:space="preserve"> PAGEREF _Toc32586038 \h </w:instrText>
        </w:r>
        <w:r w:rsidR="001C19F3">
          <w:rPr>
            <w:noProof/>
            <w:webHidden/>
          </w:rPr>
        </w:r>
        <w:r w:rsidR="001C19F3">
          <w:rPr>
            <w:noProof/>
            <w:webHidden/>
          </w:rPr>
          <w:fldChar w:fldCharType="separate"/>
        </w:r>
        <w:r w:rsidR="001C19F3">
          <w:rPr>
            <w:noProof/>
            <w:webHidden/>
          </w:rPr>
          <w:t>9</w:t>
        </w:r>
        <w:r w:rsidR="001C19F3">
          <w:rPr>
            <w:noProof/>
            <w:webHidden/>
          </w:rPr>
          <w:fldChar w:fldCharType="end"/>
        </w:r>
      </w:hyperlink>
    </w:p>
    <w:p w14:paraId="270F5025"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39" w:history="1">
        <w:r w:rsidR="001C19F3" w:rsidRPr="00657030">
          <w:rPr>
            <w:rStyle w:val="Hyperlink"/>
            <w:noProof/>
          </w:rPr>
          <w:t>Practice staff survey</w:t>
        </w:r>
        <w:r w:rsidR="001C19F3">
          <w:rPr>
            <w:noProof/>
            <w:webHidden/>
          </w:rPr>
          <w:tab/>
        </w:r>
        <w:r w:rsidR="001C19F3">
          <w:rPr>
            <w:noProof/>
            <w:webHidden/>
          </w:rPr>
          <w:fldChar w:fldCharType="begin"/>
        </w:r>
        <w:r w:rsidR="001C19F3">
          <w:rPr>
            <w:noProof/>
            <w:webHidden/>
          </w:rPr>
          <w:instrText xml:space="preserve"> PAGEREF _Toc32586039 \h </w:instrText>
        </w:r>
        <w:r w:rsidR="001C19F3">
          <w:rPr>
            <w:noProof/>
            <w:webHidden/>
          </w:rPr>
        </w:r>
        <w:r w:rsidR="001C19F3">
          <w:rPr>
            <w:noProof/>
            <w:webHidden/>
          </w:rPr>
          <w:fldChar w:fldCharType="separate"/>
        </w:r>
        <w:r w:rsidR="001C19F3">
          <w:rPr>
            <w:noProof/>
            <w:webHidden/>
          </w:rPr>
          <w:t>9</w:t>
        </w:r>
        <w:r w:rsidR="001C19F3">
          <w:rPr>
            <w:noProof/>
            <w:webHidden/>
          </w:rPr>
          <w:fldChar w:fldCharType="end"/>
        </w:r>
      </w:hyperlink>
    </w:p>
    <w:p w14:paraId="11825776"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0" w:history="1">
        <w:r w:rsidR="001C19F3" w:rsidRPr="00657030">
          <w:rPr>
            <w:rStyle w:val="Hyperlink"/>
            <w:noProof/>
          </w:rPr>
          <w:t>PHN surveys</w:t>
        </w:r>
        <w:r w:rsidR="001C19F3">
          <w:rPr>
            <w:noProof/>
            <w:webHidden/>
          </w:rPr>
          <w:tab/>
        </w:r>
        <w:r w:rsidR="001C19F3">
          <w:rPr>
            <w:noProof/>
            <w:webHidden/>
          </w:rPr>
          <w:fldChar w:fldCharType="begin"/>
        </w:r>
        <w:r w:rsidR="001C19F3">
          <w:rPr>
            <w:noProof/>
            <w:webHidden/>
          </w:rPr>
          <w:instrText xml:space="preserve"> PAGEREF _Toc32586040 \h </w:instrText>
        </w:r>
        <w:r w:rsidR="001C19F3">
          <w:rPr>
            <w:noProof/>
            <w:webHidden/>
          </w:rPr>
        </w:r>
        <w:r w:rsidR="001C19F3">
          <w:rPr>
            <w:noProof/>
            <w:webHidden/>
          </w:rPr>
          <w:fldChar w:fldCharType="separate"/>
        </w:r>
        <w:r w:rsidR="001C19F3">
          <w:rPr>
            <w:noProof/>
            <w:webHidden/>
          </w:rPr>
          <w:t>10</w:t>
        </w:r>
        <w:r w:rsidR="001C19F3">
          <w:rPr>
            <w:noProof/>
            <w:webHidden/>
          </w:rPr>
          <w:fldChar w:fldCharType="end"/>
        </w:r>
      </w:hyperlink>
    </w:p>
    <w:p w14:paraId="5062104D"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1" w:history="1">
        <w:r w:rsidR="001C19F3" w:rsidRPr="00657030">
          <w:rPr>
            <w:rStyle w:val="Hyperlink"/>
            <w:noProof/>
          </w:rPr>
          <w:t>Patient surveys</w:t>
        </w:r>
        <w:r w:rsidR="001C19F3">
          <w:rPr>
            <w:noProof/>
            <w:webHidden/>
          </w:rPr>
          <w:tab/>
        </w:r>
        <w:r w:rsidR="001C19F3">
          <w:rPr>
            <w:noProof/>
            <w:webHidden/>
          </w:rPr>
          <w:fldChar w:fldCharType="begin"/>
        </w:r>
        <w:r w:rsidR="001C19F3">
          <w:rPr>
            <w:noProof/>
            <w:webHidden/>
          </w:rPr>
          <w:instrText xml:space="preserve"> PAGEREF _Toc32586041 \h </w:instrText>
        </w:r>
        <w:r w:rsidR="001C19F3">
          <w:rPr>
            <w:noProof/>
            <w:webHidden/>
          </w:rPr>
        </w:r>
        <w:r w:rsidR="001C19F3">
          <w:rPr>
            <w:noProof/>
            <w:webHidden/>
          </w:rPr>
          <w:fldChar w:fldCharType="separate"/>
        </w:r>
        <w:r w:rsidR="001C19F3">
          <w:rPr>
            <w:noProof/>
            <w:webHidden/>
          </w:rPr>
          <w:t>10</w:t>
        </w:r>
        <w:r w:rsidR="001C19F3">
          <w:rPr>
            <w:noProof/>
            <w:webHidden/>
          </w:rPr>
          <w:fldChar w:fldCharType="end"/>
        </w:r>
      </w:hyperlink>
    </w:p>
    <w:p w14:paraId="5D1829E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2" w:history="1">
        <w:r w:rsidR="001C19F3" w:rsidRPr="00657030">
          <w:rPr>
            <w:rStyle w:val="Hyperlink"/>
            <w:noProof/>
          </w:rPr>
          <w:t>Practice extracts</w:t>
        </w:r>
        <w:r w:rsidR="001C19F3">
          <w:rPr>
            <w:noProof/>
            <w:webHidden/>
          </w:rPr>
          <w:tab/>
        </w:r>
        <w:r w:rsidR="001C19F3">
          <w:rPr>
            <w:noProof/>
            <w:webHidden/>
          </w:rPr>
          <w:fldChar w:fldCharType="begin"/>
        </w:r>
        <w:r w:rsidR="001C19F3">
          <w:rPr>
            <w:noProof/>
            <w:webHidden/>
          </w:rPr>
          <w:instrText xml:space="preserve"> PAGEREF _Toc32586042 \h </w:instrText>
        </w:r>
        <w:r w:rsidR="001C19F3">
          <w:rPr>
            <w:noProof/>
            <w:webHidden/>
          </w:rPr>
        </w:r>
        <w:r w:rsidR="001C19F3">
          <w:rPr>
            <w:noProof/>
            <w:webHidden/>
          </w:rPr>
          <w:fldChar w:fldCharType="separate"/>
        </w:r>
        <w:r w:rsidR="001C19F3">
          <w:rPr>
            <w:noProof/>
            <w:webHidden/>
          </w:rPr>
          <w:t>11</w:t>
        </w:r>
        <w:r w:rsidR="001C19F3">
          <w:rPr>
            <w:noProof/>
            <w:webHidden/>
          </w:rPr>
          <w:fldChar w:fldCharType="end"/>
        </w:r>
      </w:hyperlink>
    </w:p>
    <w:p w14:paraId="030D154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3" w:history="1">
        <w:r w:rsidR="001C19F3" w:rsidRPr="00657030">
          <w:rPr>
            <w:rStyle w:val="Hyperlink"/>
            <w:noProof/>
          </w:rPr>
          <w:t>Case studies</w:t>
        </w:r>
        <w:r w:rsidR="001C19F3">
          <w:rPr>
            <w:noProof/>
            <w:webHidden/>
          </w:rPr>
          <w:tab/>
        </w:r>
        <w:r w:rsidR="001C19F3">
          <w:rPr>
            <w:noProof/>
            <w:webHidden/>
          </w:rPr>
          <w:fldChar w:fldCharType="begin"/>
        </w:r>
        <w:r w:rsidR="001C19F3">
          <w:rPr>
            <w:noProof/>
            <w:webHidden/>
          </w:rPr>
          <w:instrText xml:space="preserve"> PAGEREF _Toc32586043 \h </w:instrText>
        </w:r>
        <w:r w:rsidR="001C19F3">
          <w:rPr>
            <w:noProof/>
            <w:webHidden/>
          </w:rPr>
        </w:r>
        <w:r w:rsidR="001C19F3">
          <w:rPr>
            <w:noProof/>
            <w:webHidden/>
          </w:rPr>
          <w:fldChar w:fldCharType="separate"/>
        </w:r>
        <w:r w:rsidR="001C19F3">
          <w:rPr>
            <w:noProof/>
            <w:webHidden/>
          </w:rPr>
          <w:t>12</w:t>
        </w:r>
        <w:r w:rsidR="001C19F3">
          <w:rPr>
            <w:noProof/>
            <w:webHidden/>
          </w:rPr>
          <w:fldChar w:fldCharType="end"/>
        </w:r>
      </w:hyperlink>
    </w:p>
    <w:p w14:paraId="27F7319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4" w:history="1">
        <w:r w:rsidR="001C19F3" w:rsidRPr="00657030">
          <w:rPr>
            <w:rStyle w:val="Hyperlink"/>
            <w:noProof/>
          </w:rPr>
          <w:t>Linked data</w:t>
        </w:r>
        <w:r w:rsidR="001C19F3">
          <w:rPr>
            <w:noProof/>
            <w:webHidden/>
          </w:rPr>
          <w:tab/>
        </w:r>
        <w:r w:rsidR="001C19F3">
          <w:rPr>
            <w:noProof/>
            <w:webHidden/>
          </w:rPr>
          <w:fldChar w:fldCharType="begin"/>
        </w:r>
        <w:r w:rsidR="001C19F3">
          <w:rPr>
            <w:noProof/>
            <w:webHidden/>
          </w:rPr>
          <w:instrText xml:space="preserve"> PAGEREF _Toc32586044 \h </w:instrText>
        </w:r>
        <w:r w:rsidR="001C19F3">
          <w:rPr>
            <w:noProof/>
            <w:webHidden/>
          </w:rPr>
        </w:r>
        <w:r w:rsidR="001C19F3">
          <w:rPr>
            <w:noProof/>
            <w:webHidden/>
          </w:rPr>
          <w:fldChar w:fldCharType="separate"/>
        </w:r>
        <w:r w:rsidR="001C19F3">
          <w:rPr>
            <w:noProof/>
            <w:webHidden/>
          </w:rPr>
          <w:t>14</w:t>
        </w:r>
        <w:r w:rsidR="001C19F3">
          <w:rPr>
            <w:noProof/>
            <w:webHidden/>
          </w:rPr>
          <w:fldChar w:fldCharType="end"/>
        </w:r>
      </w:hyperlink>
    </w:p>
    <w:p w14:paraId="513763E6"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5" w:history="1">
        <w:r w:rsidR="001C19F3" w:rsidRPr="00657030">
          <w:rPr>
            <w:rStyle w:val="Hyperlink"/>
            <w:noProof/>
          </w:rPr>
          <w:t>MBS quarterly extracts</w:t>
        </w:r>
        <w:r w:rsidR="001C19F3">
          <w:rPr>
            <w:noProof/>
            <w:webHidden/>
          </w:rPr>
          <w:tab/>
        </w:r>
        <w:r w:rsidR="001C19F3">
          <w:rPr>
            <w:noProof/>
            <w:webHidden/>
          </w:rPr>
          <w:fldChar w:fldCharType="begin"/>
        </w:r>
        <w:r w:rsidR="001C19F3">
          <w:rPr>
            <w:noProof/>
            <w:webHidden/>
          </w:rPr>
          <w:instrText xml:space="preserve"> PAGEREF _Toc32586045 \h </w:instrText>
        </w:r>
        <w:r w:rsidR="001C19F3">
          <w:rPr>
            <w:noProof/>
            <w:webHidden/>
          </w:rPr>
        </w:r>
        <w:r w:rsidR="001C19F3">
          <w:rPr>
            <w:noProof/>
            <w:webHidden/>
          </w:rPr>
          <w:fldChar w:fldCharType="separate"/>
        </w:r>
        <w:r w:rsidR="001C19F3">
          <w:rPr>
            <w:noProof/>
            <w:webHidden/>
          </w:rPr>
          <w:t>14</w:t>
        </w:r>
        <w:r w:rsidR="001C19F3">
          <w:rPr>
            <w:noProof/>
            <w:webHidden/>
          </w:rPr>
          <w:fldChar w:fldCharType="end"/>
        </w:r>
      </w:hyperlink>
    </w:p>
    <w:p w14:paraId="550055CE"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6" w:history="1">
        <w:r w:rsidR="001C19F3" w:rsidRPr="00657030">
          <w:rPr>
            <w:rStyle w:val="Hyperlink"/>
            <w:noProof/>
          </w:rPr>
          <w:t>HCH program data</w:t>
        </w:r>
        <w:r w:rsidR="001C19F3">
          <w:rPr>
            <w:noProof/>
            <w:webHidden/>
          </w:rPr>
          <w:tab/>
        </w:r>
        <w:r w:rsidR="001C19F3">
          <w:rPr>
            <w:noProof/>
            <w:webHidden/>
          </w:rPr>
          <w:fldChar w:fldCharType="begin"/>
        </w:r>
        <w:r w:rsidR="001C19F3">
          <w:rPr>
            <w:noProof/>
            <w:webHidden/>
          </w:rPr>
          <w:instrText xml:space="preserve"> PAGEREF _Toc32586046 \h </w:instrText>
        </w:r>
        <w:r w:rsidR="001C19F3">
          <w:rPr>
            <w:noProof/>
            <w:webHidden/>
          </w:rPr>
        </w:r>
        <w:r w:rsidR="001C19F3">
          <w:rPr>
            <w:noProof/>
            <w:webHidden/>
          </w:rPr>
          <w:fldChar w:fldCharType="separate"/>
        </w:r>
        <w:r w:rsidR="001C19F3">
          <w:rPr>
            <w:noProof/>
            <w:webHidden/>
          </w:rPr>
          <w:t>15</w:t>
        </w:r>
        <w:r w:rsidR="001C19F3">
          <w:rPr>
            <w:noProof/>
            <w:webHidden/>
          </w:rPr>
          <w:fldChar w:fldCharType="end"/>
        </w:r>
      </w:hyperlink>
    </w:p>
    <w:p w14:paraId="08E8A538"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7" w:history="1">
        <w:r w:rsidR="001C19F3" w:rsidRPr="00657030">
          <w:rPr>
            <w:rStyle w:val="Hyperlink"/>
            <w:noProof/>
          </w:rPr>
          <w:t>Risk stratification data</w:t>
        </w:r>
        <w:r w:rsidR="001C19F3">
          <w:rPr>
            <w:noProof/>
            <w:webHidden/>
          </w:rPr>
          <w:tab/>
        </w:r>
        <w:r w:rsidR="001C19F3">
          <w:rPr>
            <w:noProof/>
            <w:webHidden/>
          </w:rPr>
          <w:fldChar w:fldCharType="begin"/>
        </w:r>
        <w:r w:rsidR="001C19F3">
          <w:rPr>
            <w:noProof/>
            <w:webHidden/>
          </w:rPr>
          <w:instrText xml:space="preserve"> PAGEREF _Toc32586047 \h </w:instrText>
        </w:r>
        <w:r w:rsidR="001C19F3">
          <w:rPr>
            <w:noProof/>
            <w:webHidden/>
          </w:rPr>
        </w:r>
        <w:r w:rsidR="001C19F3">
          <w:rPr>
            <w:noProof/>
            <w:webHidden/>
          </w:rPr>
          <w:fldChar w:fldCharType="separate"/>
        </w:r>
        <w:r w:rsidR="001C19F3">
          <w:rPr>
            <w:noProof/>
            <w:webHidden/>
          </w:rPr>
          <w:t>15</w:t>
        </w:r>
        <w:r w:rsidR="001C19F3">
          <w:rPr>
            <w:noProof/>
            <w:webHidden/>
          </w:rPr>
          <w:fldChar w:fldCharType="end"/>
        </w:r>
      </w:hyperlink>
    </w:p>
    <w:p w14:paraId="6016FF9A"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8" w:history="1">
        <w:r w:rsidR="001C19F3" w:rsidRPr="00657030">
          <w:rPr>
            <w:rStyle w:val="Hyperlink"/>
            <w:noProof/>
          </w:rPr>
          <w:t>Practice exit interviews/ surveys</w:t>
        </w:r>
        <w:r w:rsidR="001C19F3">
          <w:rPr>
            <w:noProof/>
            <w:webHidden/>
          </w:rPr>
          <w:tab/>
        </w:r>
        <w:r w:rsidR="001C19F3">
          <w:rPr>
            <w:noProof/>
            <w:webHidden/>
          </w:rPr>
          <w:fldChar w:fldCharType="begin"/>
        </w:r>
        <w:r w:rsidR="001C19F3">
          <w:rPr>
            <w:noProof/>
            <w:webHidden/>
          </w:rPr>
          <w:instrText xml:space="preserve"> PAGEREF _Toc32586048 \h </w:instrText>
        </w:r>
        <w:r w:rsidR="001C19F3">
          <w:rPr>
            <w:noProof/>
            <w:webHidden/>
          </w:rPr>
        </w:r>
        <w:r w:rsidR="001C19F3">
          <w:rPr>
            <w:noProof/>
            <w:webHidden/>
          </w:rPr>
          <w:fldChar w:fldCharType="separate"/>
        </w:r>
        <w:r w:rsidR="001C19F3">
          <w:rPr>
            <w:noProof/>
            <w:webHidden/>
          </w:rPr>
          <w:t>15</w:t>
        </w:r>
        <w:r w:rsidR="001C19F3">
          <w:rPr>
            <w:noProof/>
            <w:webHidden/>
          </w:rPr>
          <w:fldChar w:fldCharType="end"/>
        </w:r>
      </w:hyperlink>
    </w:p>
    <w:p w14:paraId="6D58A1DE"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49" w:history="1">
        <w:r w:rsidR="001C19F3" w:rsidRPr="00657030">
          <w:rPr>
            <w:rStyle w:val="Hyperlink"/>
            <w:noProof/>
          </w:rPr>
          <w:t>Training uptake and evaluation</w:t>
        </w:r>
        <w:r w:rsidR="001C19F3">
          <w:rPr>
            <w:noProof/>
            <w:webHidden/>
          </w:rPr>
          <w:tab/>
        </w:r>
        <w:r w:rsidR="001C19F3">
          <w:rPr>
            <w:noProof/>
            <w:webHidden/>
          </w:rPr>
          <w:fldChar w:fldCharType="begin"/>
        </w:r>
        <w:r w:rsidR="001C19F3">
          <w:rPr>
            <w:noProof/>
            <w:webHidden/>
          </w:rPr>
          <w:instrText xml:space="preserve"> PAGEREF _Toc32586049 \h </w:instrText>
        </w:r>
        <w:r w:rsidR="001C19F3">
          <w:rPr>
            <w:noProof/>
            <w:webHidden/>
          </w:rPr>
        </w:r>
        <w:r w:rsidR="001C19F3">
          <w:rPr>
            <w:noProof/>
            <w:webHidden/>
          </w:rPr>
          <w:fldChar w:fldCharType="separate"/>
        </w:r>
        <w:r w:rsidR="001C19F3">
          <w:rPr>
            <w:noProof/>
            <w:webHidden/>
          </w:rPr>
          <w:t>16</w:t>
        </w:r>
        <w:r w:rsidR="001C19F3">
          <w:rPr>
            <w:noProof/>
            <w:webHidden/>
          </w:rPr>
          <w:fldChar w:fldCharType="end"/>
        </w:r>
      </w:hyperlink>
    </w:p>
    <w:p w14:paraId="7C46A33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50" w:history="1">
        <w:r w:rsidR="001C19F3" w:rsidRPr="00657030">
          <w:rPr>
            <w:rStyle w:val="Hyperlink"/>
            <w:noProof/>
          </w:rPr>
          <w:t>Other information sources for the evaluation</w:t>
        </w:r>
        <w:r w:rsidR="001C19F3">
          <w:rPr>
            <w:noProof/>
            <w:webHidden/>
          </w:rPr>
          <w:tab/>
        </w:r>
        <w:r w:rsidR="001C19F3">
          <w:rPr>
            <w:noProof/>
            <w:webHidden/>
          </w:rPr>
          <w:fldChar w:fldCharType="begin"/>
        </w:r>
        <w:r w:rsidR="001C19F3">
          <w:rPr>
            <w:noProof/>
            <w:webHidden/>
          </w:rPr>
          <w:instrText xml:space="preserve"> PAGEREF _Toc32586050 \h </w:instrText>
        </w:r>
        <w:r w:rsidR="001C19F3">
          <w:rPr>
            <w:noProof/>
            <w:webHidden/>
          </w:rPr>
        </w:r>
        <w:r w:rsidR="001C19F3">
          <w:rPr>
            <w:noProof/>
            <w:webHidden/>
          </w:rPr>
          <w:fldChar w:fldCharType="separate"/>
        </w:r>
        <w:r w:rsidR="001C19F3">
          <w:rPr>
            <w:noProof/>
            <w:webHidden/>
          </w:rPr>
          <w:t>16</w:t>
        </w:r>
        <w:r w:rsidR="001C19F3">
          <w:rPr>
            <w:noProof/>
            <w:webHidden/>
          </w:rPr>
          <w:fldChar w:fldCharType="end"/>
        </w:r>
      </w:hyperlink>
    </w:p>
    <w:p w14:paraId="3CEFEEE9"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51" w:history="1">
        <w:r w:rsidR="001C19F3" w:rsidRPr="00657030">
          <w:rPr>
            <w:rStyle w:val="Hyperlink"/>
            <w:noProof/>
          </w:rPr>
          <w:t>4.</w:t>
        </w:r>
        <w:r w:rsidR="001C19F3">
          <w:rPr>
            <w:rFonts w:asciiTheme="minorHAnsi" w:eastAsiaTheme="minorEastAsia" w:hAnsiTheme="minorHAnsi" w:cstheme="minorBidi"/>
            <w:i w:val="0"/>
            <w:noProof/>
            <w:color w:val="auto"/>
            <w:sz w:val="22"/>
            <w:lang w:val="en-AU" w:eastAsia="en-AU"/>
          </w:rPr>
          <w:tab/>
        </w:r>
        <w:r w:rsidR="001C19F3" w:rsidRPr="00657030">
          <w:rPr>
            <w:rStyle w:val="Hyperlink"/>
            <w:noProof/>
          </w:rPr>
          <w:t>Benchmark reports</w:t>
        </w:r>
        <w:r w:rsidR="001C19F3">
          <w:rPr>
            <w:noProof/>
            <w:webHidden/>
          </w:rPr>
          <w:tab/>
        </w:r>
        <w:r w:rsidR="001C19F3">
          <w:rPr>
            <w:noProof/>
            <w:webHidden/>
          </w:rPr>
          <w:fldChar w:fldCharType="begin"/>
        </w:r>
        <w:r w:rsidR="001C19F3">
          <w:rPr>
            <w:noProof/>
            <w:webHidden/>
          </w:rPr>
          <w:instrText xml:space="preserve"> PAGEREF _Toc32586051 \h </w:instrText>
        </w:r>
        <w:r w:rsidR="001C19F3">
          <w:rPr>
            <w:noProof/>
            <w:webHidden/>
          </w:rPr>
        </w:r>
        <w:r w:rsidR="001C19F3">
          <w:rPr>
            <w:noProof/>
            <w:webHidden/>
          </w:rPr>
          <w:fldChar w:fldCharType="separate"/>
        </w:r>
        <w:r w:rsidR="001C19F3">
          <w:rPr>
            <w:noProof/>
            <w:webHidden/>
          </w:rPr>
          <w:t>17</w:t>
        </w:r>
        <w:r w:rsidR="001C19F3">
          <w:rPr>
            <w:noProof/>
            <w:webHidden/>
          </w:rPr>
          <w:fldChar w:fldCharType="end"/>
        </w:r>
      </w:hyperlink>
    </w:p>
    <w:p w14:paraId="5BAD4592"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52" w:history="1">
        <w:r w:rsidR="001C19F3" w:rsidRPr="00657030">
          <w:rPr>
            <w:rStyle w:val="Hyperlink"/>
            <w:noProof/>
          </w:rPr>
          <w:t>Aims</w:t>
        </w:r>
        <w:r w:rsidR="001C19F3">
          <w:rPr>
            <w:noProof/>
            <w:webHidden/>
          </w:rPr>
          <w:tab/>
        </w:r>
        <w:r w:rsidR="001C19F3">
          <w:rPr>
            <w:noProof/>
            <w:webHidden/>
          </w:rPr>
          <w:fldChar w:fldCharType="begin"/>
        </w:r>
        <w:r w:rsidR="001C19F3">
          <w:rPr>
            <w:noProof/>
            <w:webHidden/>
          </w:rPr>
          <w:instrText xml:space="preserve"> PAGEREF _Toc32586052 \h </w:instrText>
        </w:r>
        <w:r w:rsidR="001C19F3">
          <w:rPr>
            <w:noProof/>
            <w:webHidden/>
          </w:rPr>
        </w:r>
        <w:r w:rsidR="001C19F3">
          <w:rPr>
            <w:noProof/>
            <w:webHidden/>
          </w:rPr>
          <w:fldChar w:fldCharType="separate"/>
        </w:r>
        <w:r w:rsidR="001C19F3">
          <w:rPr>
            <w:noProof/>
            <w:webHidden/>
          </w:rPr>
          <w:t>17</w:t>
        </w:r>
        <w:r w:rsidR="001C19F3">
          <w:rPr>
            <w:noProof/>
            <w:webHidden/>
          </w:rPr>
          <w:fldChar w:fldCharType="end"/>
        </w:r>
      </w:hyperlink>
    </w:p>
    <w:p w14:paraId="2152E595"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53" w:history="1">
        <w:r w:rsidR="001C19F3" w:rsidRPr="00657030">
          <w:rPr>
            <w:rStyle w:val="Hyperlink"/>
            <w:noProof/>
          </w:rPr>
          <w:t>Contents</w:t>
        </w:r>
        <w:r w:rsidR="001C19F3">
          <w:rPr>
            <w:noProof/>
            <w:webHidden/>
          </w:rPr>
          <w:tab/>
        </w:r>
        <w:r w:rsidR="001C19F3">
          <w:rPr>
            <w:noProof/>
            <w:webHidden/>
          </w:rPr>
          <w:fldChar w:fldCharType="begin"/>
        </w:r>
        <w:r w:rsidR="001C19F3">
          <w:rPr>
            <w:noProof/>
            <w:webHidden/>
          </w:rPr>
          <w:instrText xml:space="preserve"> PAGEREF _Toc32586053 \h </w:instrText>
        </w:r>
        <w:r w:rsidR="001C19F3">
          <w:rPr>
            <w:noProof/>
            <w:webHidden/>
          </w:rPr>
        </w:r>
        <w:r w:rsidR="001C19F3">
          <w:rPr>
            <w:noProof/>
            <w:webHidden/>
          </w:rPr>
          <w:fldChar w:fldCharType="separate"/>
        </w:r>
        <w:r w:rsidR="001C19F3">
          <w:rPr>
            <w:noProof/>
            <w:webHidden/>
          </w:rPr>
          <w:t>17</w:t>
        </w:r>
        <w:r w:rsidR="001C19F3">
          <w:rPr>
            <w:noProof/>
            <w:webHidden/>
          </w:rPr>
          <w:fldChar w:fldCharType="end"/>
        </w:r>
      </w:hyperlink>
    </w:p>
    <w:p w14:paraId="043E3C0E"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32586054" w:history="1">
        <w:r w:rsidR="001C19F3" w:rsidRPr="00657030">
          <w:rPr>
            <w:rStyle w:val="Hyperlink"/>
            <w:noProof/>
          </w:rPr>
          <w:t>Delivery</w:t>
        </w:r>
        <w:r w:rsidR="001C19F3">
          <w:rPr>
            <w:noProof/>
            <w:webHidden/>
          </w:rPr>
          <w:tab/>
        </w:r>
        <w:r w:rsidR="001C19F3">
          <w:rPr>
            <w:noProof/>
            <w:webHidden/>
          </w:rPr>
          <w:fldChar w:fldCharType="begin"/>
        </w:r>
        <w:r w:rsidR="001C19F3">
          <w:rPr>
            <w:noProof/>
            <w:webHidden/>
          </w:rPr>
          <w:instrText xml:space="preserve"> PAGEREF _Toc32586054 \h </w:instrText>
        </w:r>
        <w:r w:rsidR="001C19F3">
          <w:rPr>
            <w:noProof/>
            <w:webHidden/>
          </w:rPr>
        </w:r>
        <w:r w:rsidR="001C19F3">
          <w:rPr>
            <w:noProof/>
            <w:webHidden/>
          </w:rPr>
          <w:fldChar w:fldCharType="separate"/>
        </w:r>
        <w:r w:rsidR="001C19F3">
          <w:rPr>
            <w:noProof/>
            <w:webHidden/>
          </w:rPr>
          <w:t>18</w:t>
        </w:r>
        <w:r w:rsidR="001C19F3">
          <w:rPr>
            <w:noProof/>
            <w:webHidden/>
          </w:rPr>
          <w:fldChar w:fldCharType="end"/>
        </w:r>
      </w:hyperlink>
    </w:p>
    <w:p w14:paraId="62929E08"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55" w:history="1">
        <w:r w:rsidR="001C19F3" w:rsidRPr="00657030">
          <w:rPr>
            <w:rStyle w:val="Hyperlink"/>
            <w:noProof/>
          </w:rPr>
          <w:t>5.</w:t>
        </w:r>
        <w:r w:rsidR="001C19F3">
          <w:rPr>
            <w:rFonts w:asciiTheme="minorHAnsi" w:eastAsiaTheme="minorEastAsia" w:hAnsiTheme="minorHAnsi" w:cstheme="minorBidi"/>
            <w:i w:val="0"/>
            <w:noProof/>
            <w:color w:val="auto"/>
            <w:sz w:val="22"/>
            <w:lang w:val="en-AU" w:eastAsia="en-AU"/>
          </w:rPr>
          <w:tab/>
        </w:r>
        <w:r w:rsidR="001C19F3" w:rsidRPr="00657030">
          <w:rPr>
            <w:rStyle w:val="Hyperlink"/>
            <w:noProof/>
          </w:rPr>
          <w:t>Summary of evaluation progress</w:t>
        </w:r>
        <w:r w:rsidR="001C19F3">
          <w:rPr>
            <w:noProof/>
            <w:webHidden/>
          </w:rPr>
          <w:tab/>
        </w:r>
        <w:r w:rsidR="001C19F3">
          <w:rPr>
            <w:noProof/>
            <w:webHidden/>
          </w:rPr>
          <w:fldChar w:fldCharType="begin"/>
        </w:r>
        <w:r w:rsidR="001C19F3">
          <w:rPr>
            <w:noProof/>
            <w:webHidden/>
          </w:rPr>
          <w:instrText xml:space="preserve"> PAGEREF _Toc32586055 \h </w:instrText>
        </w:r>
        <w:r w:rsidR="001C19F3">
          <w:rPr>
            <w:noProof/>
            <w:webHidden/>
          </w:rPr>
        </w:r>
        <w:r w:rsidR="001C19F3">
          <w:rPr>
            <w:noProof/>
            <w:webHidden/>
          </w:rPr>
          <w:fldChar w:fldCharType="separate"/>
        </w:r>
        <w:r w:rsidR="001C19F3">
          <w:rPr>
            <w:noProof/>
            <w:webHidden/>
          </w:rPr>
          <w:t>19</w:t>
        </w:r>
        <w:r w:rsidR="001C19F3">
          <w:rPr>
            <w:noProof/>
            <w:webHidden/>
          </w:rPr>
          <w:fldChar w:fldCharType="end"/>
        </w:r>
      </w:hyperlink>
    </w:p>
    <w:p w14:paraId="2DC5748C"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56" w:history="1">
        <w:r w:rsidR="001C19F3" w:rsidRPr="00657030">
          <w:rPr>
            <w:rStyle w:val="Hyperlink"/>
            <w:noProof/>
          </w:rPr>
          <w:t>References</w:t>
        </w:r>
        <w:r w:rsidR="001C19F3">
          <w:rPr>
            <w:noProof/>
            <w:webHidden/>
          </w:rPr>
          <w:tab/>
        </w:r>
        <w:r w:rsidR="001C19F3">
          <w:rPr>
            <w:noProof/>
            <w:webHidden/>
          </w:rPr>
          <w:fldChar w:fldCharType="begin"/>
        </w:r>
        <w:r w:rsidR="001C19F3">
          <w:rPr>
            <w:noProof/>
            <w:webHidden/>
          </w:rPr>
          <w:instrText xml:space="preserve"> PAGEREF _Toc32586056 \h </w:instrText>
        </w:r>
        <w:r w:rsidR="001C19F3">
          <w:rPr>
            <w:noProof/>
            <w:webHidden/>
          </w:rPr>
        </w:r>
        <w:r w:rsidR="001C19F3">
          <w:rPr>
            <w:noProof/>
            <w:webHidden/>
          </w:rPr>
          <w:fldChar w:fldCharType="separate"/>
        </w:r>
        <w:r w:rsidR="001C19F3">
          <w:rPr>
            <w:noProof/>
            <w:webHidden/>
          </w:rPr>
          <w:t>20</w:t>
        </w:r>
        <w:r w:rsidR="001C19F3">
          <w:rPr>
            <w:noProof/>
            <w:webHidden/>
          </w:rPr>
          <w:fldChar w:fldCharType="end"/>
        </w:r>
      </w:hyperlink>
    </w:p>
    <w:p w14:paraId="0B14D7F5"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57" w:history="1">
        <w:r w:rsidR="001C19F3" w:rsidRPr="00657030">
          <w:rPr>
            <w:rStyle w:val="Hyperlink"/>
            <w:noProof/>
          </w:rPr>
          <w:t>Appendix 1 – HCH evaluation team</w:t>
        </w:r>
        <w:r w:rsidR="001C19F3">
          <w:rPr>
            <w:noProof/>
            <w:webHidden/>
          </w:rPr>
          <w:tab/>
        </w:r>
        <w:r w:rsidR="001C19F3">
          <w:rPr>
            <w:noProof/>
            <w:webHidden/>
          </w:rPr>
          <w:fldChar w:fldCharType="begin"/>
        </w:r>
        <w:r w:rsidR="001C19F3">
          <w:rPr>
            <w:noProof/>
            <w:webHidden/>
          </w:rPr>
          <w:instrText xml:space="preserve"> PAGEREF _Toc32586057 \h </w:instrText>
        </w:r>
        <w:r w:rsidR="001C19F3">
          <w:rPr>
            <w:noProof/>
            <w:webHidden/>
          </w:rPr>
        </w:r>
        <w:r w:rsidR="001C19F3">
          <w:rPr>
            <w:noProof/>
            <w:webHidden/>
          </w:rPr>
          <w:fldChar w:fldCharType="separate"/>
        </w:r>
        <w:r w:rsidR="001C19F3">
          <w:rPr>
            <w:noProof/>
            <w:webHidden/>
          </w:rPr>
          <w:t>23</w:t>
        </w:r>
        <w:r w:rsidR="001C19F3">
          <w:rPr>
            <w:noProof/>
            <w:webHidden/>
          </w:rPr>
          <w:fldChar w:fldCharType="end"/>
        </w:r>
      </w:hyperlink>
    </w:p>
    <w:p w14:paraId="39AD9537"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58" w:history="1">
        <w:r w:rsidR="001C19F3" w:rsidRPr="00657030">
          <w:rPr>
            <w:rStyle w:val="Hyperlink"/>
            <w:noProof/>
          </w:rPr>
          <w:t>Appendix 2 – Stakeholders interviewed for the Evaluation plan</w:t>
        </w:r>
        <w:r w:rsidR="001C19F3">
          <w:rPr>
            <w:noProof/>
            <w:webHidden/>
          </w:rPr>
          <w:tab/>
        </w:r>
        <w:r w:rsidR="001C19F3">
          <w:rPr>
            <w:noProof/>
            <w:webHidden/>
          </w:rPr>
          <w:fldChar w:fldCharType="begin"/>
        </w:r>
        <w:r w:rsidR="001C19F3">
          <w:rPr>
            <w:noProof/>
            <w:webHidden/>
          </w:rPr>
          <w:instrText xml:space="preserve"> PAGEREF _Toc32586058 \h </w:instrText>
        </w:r>
        <w:r w:rsidR="001C19F3">
          <w:rPr>
            <w:noProof/>
            <w:webHidden/>
          </w:rPr>
        </w:r>
        <w:r w:rsidR="001C19F3">
          <w:rPr>
            <w:noProof/>
            <w:webHidden/>
          </w:rPr>
          <w:fldChar w:fldCharType="separate"/>
        </w:r>
        <w:r w:rsidR="001C19F3">
          <w:rPr>
            <w:noProof/>
            <w:webHidden/>
          </w:rPr>
          <w:t>24</w:t>
        </w:r>
        <w:r w:rsidR="001C19F3">
          <w:rPr>
            <w:noProof/>
            <w:webHidden/>
          </w:rPr>
          <w:fldChar w:fldCharType="end"/>
        </w:r>
      </w:hyperlink>
    </w:p>
    <w:p w14:paraId="53423632"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59" w:history="1">
        <w:r w:rsidR="001C19F3" w:rsidRPr="00657030">
          <w:rPr>
            <w:rStyle w:val="Hyperlink"/>
            <w:noProof/>
          </w:rPr>
          <w:t>Appendix 3 – Progress with evaluation questions</w:t>
        </w:r>
        <w:r w:rsidR="001C19F3">
          <w:rPr>
            <w:noProof/>
            <w:webHidden/>
          </w:rPr>
          <w:tab/>
        </w:r>
        <w:r w:rsidR="001C19F3">
          <w:rPr>
            <w:noProof/>
            <w:webHidden/>
          </w:rPr>
          <w:fldChar w:fldCharType="begin"/>
        </w:r>
        <w:r w:rsidR="001C19F3">
          <w:rPr>
            <w:noProof/>
            <w:webHidden/>
          </w:rPr>
          <w:instrText xml:space="preserve"> PAGEREF _Toc32586059 \h </w:instrText>
        </w:r>
        <w:r w:rsidR="001C19F3">
          <w:rPr>
            <w:noProof/>
            <w:webHidden/>
          </w:rPr>
        </w:r>
        <w:r w:rsidR="001C19F3">
          <w:rPr>
            <w:noProof/>
            <w:webHidden/>
          </w:rPr>
          <w:fldChar w:fldCharType="separate"/>
        </w:r>
        <w:r w:rsidR="001C19F3">
          <w:rPr>
            <w:noProof/>
            <w:webHidden/>
          </w:rPr>
          <w:t>25</w:t>
        </w:r>
        <w:r w:rsidR="001C19F3">
          <w:rPr>
            <w:noProof/>
            <w:webHidden/>
          </w:rPr>
          <w:fldChar w:fldCharType="end"/>
        </w:r>
      </w:hyperlink>
    </w:p>
    <w:p w14:paraId="2E26067D"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32586060" w:history="1">
        <w:r w:rsidR="001C19F3" w:rsidRPr="00657030">
          <w:rPr>
            <w:rStyle w:val="Hyperlink"/>
            <w:noProof/>
          </w:rPr>
          <w:t>Appendix 4 – Sample practice benchmark report</w:t>
        </w:r>
        <w:r w:rsidR="001C19F3">
          <w:rPr>
            <w:noProof/>
            <w:webHidden/>
          </w:rPr>
          <w:tab/>
        </w:r>
        <w:r w:rsidR="001C19F3">
          <w:rPr>
            <w:noProof/>
            <w:webHidden/>
          </w:rPr>
          <w:fldChar w:fldCharType="begin"/>
        </w:r>
        <w:r w:rsidR="001C19F3">
          <w:rPr>
            <w:noProof/>
            <w:webHidden/>
          </w:rPr>
          <w:instrText xml:space="preserve"> PAGEREF _Toc32586060 \h </w:instrText>
        </w:r>
        <w:r w:rsidR="001C19F3">
          <w:rPr>
            <w:noProof/>
            <w:webHidden/>
          </w:rPr>
        </w:r>
        <w:r w:rsidR="001C19F3">
          <w:rPr>
            <w:noProof/>
            <w:webHidden/>
          </w:rPr>
          <w:fldChar w:fldCharType="separate"/>
        </w:r>
        <w:r w:rsidR="001C19F3">
          <w:rPr>
            <w:noProof/>
            <w:webHidden/>
          </w:rPr>
          <w:t>43</w:t>
        </w:r>
        <w:r w:rsidR="001C19F3">
          <w:rPr>
            <w:noProof/>
            <w:webHidden/>
          </w:rPr>
          <w:fldChar w:fldCharType="end"/>
        </w:r>
      </w:hyperlink>
    </w:p>
    <w:p w14:paraId="03D3B996" w14:textId="77777777" w:rsidR="001C19F3" w:rsidRDefault="001C19F3" w:rsidP="001C19F3">
      <w:pPr>
        <w:rPr>
          <w:lang w:val="en-US"/>
        </w:rPr>
        <w:sectPr w:rsidR="001C19F3" w:rsidSect="00521305">
          <w:headerReference w:type="even" r:id="rId91"/>
          <w:headerReference w:type="default" r:id="rId92"/>
          <w:footerReference w:type="default" r:id="rId93"/>
          <w:headerReference w:type="first" r:id="rId94"/>
          <w:footerReference w:type="first" r:id="rId95"/>
          <w:pgSz w:w="11906" w:h="16838"/>
          <w:pgMar w:top="1440" w:right="1440" w:bottom="1440" w:left="1440" w:header="708" w:footer="708" w:gutter="0"/>
          <w:pgNumType w:start="1"/>
          <w:cols w:space="708"/>
          <w:titlePg/>
          <w:docGrid w:linePitch="360"/>
        </w:sectPr>
      </w:pPr>
      <w:r>
        <w:rPr>
          <w:lang w:val="en-US"/>
        </w:rPr>
        <w:fldChar w:fldCharType="end"/>
      </w:r>
    </w:p>
    <w:p w14:paraId="6C83709A" w14:textId="77777777" w:rsidR="001C19F3" w:rsidRDefault="001C19F3" w:rsidP="001C19F3">
      <w:pPr>
        <w:pStyle w:val="Heading1nonumber"/>
      </w:pPr>
      <w:bookmarkStart w:id="408" w:name="_Toc32586029"/>
      <w:r>
        <w:lastRenderedPageBreak/>
        <w:t>Acronyms and initialisms</w:t>
      </w:r>
      <w:bookmarkEnd w:id="408"/>
    </w:p>
    <w:p w14:paraId="0983BE3B" w14:textId="77777777" w:rsidR="001C19F3" w:rsidRDefault="001C19F3" w:rsidP="001C19F3">
      <w:pPr>
        <w:spacing w:after="120"/>
        <w:ind w:left="1418" w:hanging="1418"/>
      </w:pPr>
      <w:bookmarkStart w:id="409" w:name="_Hlk22657911"/>
      <w:r>
        <w:t>AAPM</w:t>
      </w:r>
      <w:r>
        <w:tab/>
        <w:t>Australian Association of Practice Management</w:t>
      </w:r>
    </w:p>
    <w:p w14:paraId="1E25A1B2" w14:textId="77777777" w:rsidR="001C19F3" w:rsidRDefault="001C19F3" w:rsidP="001C19F3">
      <w:pPr>
        <w:spacing w:after="120"/>
        <w:ind w:left="1418" w:hanging="1418"/>
      </w:pPr>
      <w:r>
        <w:t xml:space="preserve">ACCHS </w:t>
      </w:r>
      <w:r>
        <w:tab/>
        <w:t>Aboriginal Community Controlled Health Service</w:t>
      </w:r>
    </w:p>
    <w:p w14:paraId="24B8EF59" w14:textId="77777777" w:rsidR="001C19F3" w:rsidRDefault="001C19F3" w:rsidP="001C19F3">
      <w:pPr>
        <w:spacing w:after="120"/>
        <w:ind w:left="1418" w:hanging="1418"/>
      </w:pPr>
      <w:r>
        <w:t>AGPAL</w:t>
      </w:r>
      <w:r>
        <w:tab/>
      </w:r>
      <w:r w:rsidRPr="00826B60">
        <w:t>Australian General Practi</w:t>
      </w:r>
      <w:r>
        <w:t>ce Accreditation Limited</w:t>
      </w:r>
    </w:p>
    <w:p w14:paraId="65C30052" w14:textId="77777777" w:rsidR="001C19F3" w:rsidRDefault="001C19F3" w:rsidP="001C19F3">
      <w:pPr>
        <w:spacing w:after="120"/>
        <w:ind w:left="1418" w:hanging="1418"/>
      </w:pPr>
      <w:r>
        <w:t>AIHW</w:t>
      </w:r>
      <w:r>
        <w:tab/>
        <w:t>Australian Institute of Health and Welfare</w:t>
      </w:r>
    </w:p>
    <w:p w14:paraId="04F04593" w14:textId="77777777" w:rsidR="001C19F3" w:rsidRDefault="001C19F3" w:rsidP="001C19F3">
      <w:pPr>
        <w:spacing w:after="120"/>
        <w:ind w:left="1418" w:hanging="1418"/>
      </w:pPr>
      <w:r>
        <w:t>CATI</w:t>
      </w:r>
      <w:r>
        <w:tab/>
        <w:t>Computer assisted telephone interview</w:t>
      </w:r>
    </w:p>
    <w:p w14:paraId="10A9CE94" w14:textId="77777777" w:rsidR="001C19F3" w:rsidRDefault="001C19F3" w:rsidP="001C19F3">
      <w:pPr>
        <w:spacing w:after="120"/>
        <w:ind w:left="1418" w:hanging="1418"/>
      </w:pPr>
      <w:r w:rsidRPr="00097AF8">
        <w:t>CBDRH</w:t>
      </w:r>
      <w:r w:rsidRPr="00097AF8">
        <w:tab/>
        <w:t>Centre for Big Data Research in Health (University of New South Wales)</w:t>
      </w:r>
    </w:p>
    <w:p w14:paraId="5D66C3C1" w14:textId="77777777" w:rsidR="001C19F3" w:rsidRDefault="001C19F3" w:rsidP="001C19F3">
      <w:pPr>
        <w:spacing w:after="120"/>
        <w:ind w:left="1418" w:hanging="1418"/>
      </w:pPr>
      <w:r w:rsidRPr="00097AF8">
        <w:t>CHERE</w:t>
      </w:r>
      <w:r w:rsidRPr="00097AF8">
        <w:tab/>
        <w:t>Centre for Health Economics Research and Evaluation (University of Technology Sydney)</w:t>
      </w:r>
    </w:p>
    <w:p w14:paraId="4A70A199" w14:textId="77777777" w:rsidR="001C19F3" w:rsidRDefault="001C19F3" w:rsidP="001C19F3">
      <w:pPr>
        <w:spacing w:after="120"/>
        <w:ind w:left="1418" w:hanging="1418"/>
      </w:pPr>
      <w:r>
        <w:t>EWG</w:t>
      </w:r>
      <w:r>
        <w:tab/>
        <w:t>Evaluation Working Group</w:t>
      </w:r>
    </w:p>
    <w:p w14:paraId="5DF4464B" w14:textId="77777777" w:rsidR="001C19F3" w:rsidRDefault="001C19F3" w:rsidP="001C19F3">
      <w:pPr>
        <w:spacing w:after="120"/>
        <w:ind w:left="1418" w:hanging="1418"/>
      </w:pPr>
      <w:r>
        <w:t>EQ-5D-5L</w:t>
      </w:r>
      <w:r>
        <w:tab/>
      </w:r>
      <w:r w:rsidRPr="009408FE">
        <w:t>5-level EQ-5D version (</w:t>
      </w:r>
      <w:r>
        <w:t>quality of life instrument)</w:t>
      </w:r>
    </w:p>
    <w:p w14:paraId="7F3991AB" w14:textId="77777777" w:rsidR="001C19F3" w:rsidRDefault="001C19F3" w:rsidP="001C19F3">
      <w:pPr>
        <w:spacing w:after="120"/>
        <w:ind w:left="1418" w:hanging="1418"/>
      </w:pPr>
      <w:r>
        <w:t>FTE</w:t>
      </w:r>
      <w:r>
        <w:tab/>
        <w:t>Full time equivalent</w:t>
      </w:r>
    </w:p>
    <w:p w14:paraId="5E9658F0" w14:textId="77777777" w:rsidR="001C19F3" w:rsidRDefault="001C19F3" w:rsidP="001C19F3">
      <w:pPr>
        <w:spacing w:after="120"/>
        <w:ind w:left="1418" w:hanging="1418"/>
      </w:pPr>
      <w:r w:rsidRPr="006D66DB">
        <w:t xml:space="preserve">GP </w:t>
      </w:r>
      <w:r w:rsidRPr="006D66DB">
        <w:tab/>
        <w:t>General practitioner</w:t>
      </w:r>
    </w:p>
    <w:p w14:paraId="48DEC6EE" w14:textId="77777777" w:rsidR="001C19F3" w:rsidRPr="006D66DB" w:rsidRDefault="001C19F3" w:rsidP="001C19F3">
      <w:pPr>
        <w:spacing w:after="120"/>
        <w:ind w:left="1418" w:hanging="1418"/>
      </w:pPr>
      <w:r>
        <w:t>HARP</w:t>
      </w:r>
      <w:r>
        <w:tab/>
        <w:t>Hospital Admissions Risk Program (tool)</w:t>
      </w:r>
    </w:p>
    <w:p w14:paraId="258266D6" w14:textId="77777777" w:rsidR="001C19F3" w:rsidRDefault="001C19F3" w:rsidP="001C19F3">
      <w:pPr>
        <w:spacing w:after="120"/>
        <w:ind w:left="1418" w:hanging="1418"/>
      </w:pPr>
      <w:r>
        <w:t>HCH</w:t>
      </w:r>
      <w:r>
        <w:tab/>
        <w:t>Health Care Homes</w:t>
      </w:r>
    </w:p>
    <w:p w14:paraId="16AFF96F" w14:textId="77777777" w:rsidR="001C19F3" w:rsidRDefault="001C19F3" w:rsidP="001C19F3">
      <w:pPr>
        <w:spacing w:after="120"/>
        <w:ind w:left="1418" w:hanging="1418"/>
      </w:pPr>
      <w:r>
        <w:t>HCH-A</w:t>
      </w:r>
      <w:r>
        <w:tab/>
        <w:t>Health Care Homes Assessment (tool)</w:t>
      </w:r>
    </w:p>
    <w:p w14:paraId="7800DB0E" w14:textId="77777777" w:rsidR="001C19F3" w:rsidRDefault="001C19F3" w:rsidP="001C19F3">
      <w:pPr>
        <w:spacing w:after="120"/>
        <w:ind w:left="1418" w:hanging="1418"/>
      </w:pPr>
      <w:r>
        <w:t>HPA</w:t>
      </w:r>
      <w:r>
        <w:tab/>
        <w:t>Health Policy Analysis</w:t>
      </w:r>
    </w:p>
    <w:p w14:paraId="53E0B014" w14:textId="77777777" w:rsidR="001C19F3" w:rsidRDefault="001C19F3" w:rsidP="001C19F3">
      <w:pPr>
        <w:spacing w:after="120"/>
        <w:ind w:left="1418" w:hanging="1418"/>
      </w:pPr>
      <w:r>
        <w:t>HPOS</w:t>
      </w:r>
      <w:r>
        <w:tab/>
      </w:r>
      <w:r w:rsidRPr="00D75502">
        <w:t>Health Professionals Online Services</w:t>
      </w:r>
    </w:p>
    <w:p w14:paraId="6DCFE32D" w14:textId="77777777" w:rsidR="001C19F3" w:rsidRDefault="001C19F3" w:rsidP="001C19F3">
      <w:pPr>
        <w:spacing w:after="120"/>
        <w:ind w:left="1418" w:hanging="1418"/>
      </w:pPr>
      <w:r>
        <w:t>HREC</w:t>
      </w:r>
      <w:r>
        <w:tab/>
        <w:t>Human Research Ethics Committee</w:t>
      </w:r>
    </w:p>
    <w:p w14:paraId="5B4B3579" w14:textId="77777777" w:rsidR="001C19F3" w:rsidRDefault="001C19F3" w:rsidP="001C19F3">
      <w:pPr>
        <w:spacing w:after="120"/>
        <w:ind w:left="1418" w:hanging="1418"/>
      </w:pPr>
      <w:r>
        <w:t>IAG</w:t>
      </w:r>
      <w:r>
        <w:tab/>
        <w:t>Implementation Advisory Group</w:t>
      </w:r>
    </w:p>
    <w:p w14:paraId="6F4F542C" w14:textId="77777777" w:rsidR="001C19F3" w:rsidRDefault="001C19F3" w:rsidP="001C19F3">
      <w:pPr>
        <w:spacing w:after="120"/>
        <w:ind w:left="1418" w:hanging="1418"/>
      </w:pPr>
      <w:r>
        <w:t>IT</w:t>
      </w:r>
      <w:r>
        <w:tab/>
        <w:t>Information technology</w:t>
      </w:r>
    </w:p>
    <w:p w14:paraId="515D076E" w14:textId="77777777" w:rsidR="001C19F3" w:rsidRPr="006D66DB" w:rsidRDefault="001C19F3" w:rsidP="001C19F3">
      <w:pPr>
        <w:spacing w:after="120"/>
        <w:ind w:left="1418" w:hanging="1418"/>
      </w:pPr>
      <w:r>
        <w:t>LHN</w:t>
      </w:r>
      <w:r>
        <w:tab/>
        <w:t>Local Hospital Network</w:t>
      </w:r>
    </w:p>
    <w:p w14:paraId="78F2F314" w14:textId="77777777" w:rsidR="001C19F3" w:rsidRDefault="001C19F3" w:rsidP="001C19F3">
      <w:pPr>
        <w:spacing w:after="120"/>
        <w:ind w:left="1418" w:hanging="1418"/>
      </w:pPr>
      <w:r w:rsidRPr="006D66DB">
        <w:t>MBS</w:t>
      </w:r>
      <w:r w:rsidRPr="006D66DB">
        <w:tab/>
        <w:t>Medical Benefits Schedule</w:t>
      </w:r>
    </w:p>
    <w:p w14:paraId="1B644A97" w14:textId="77777777" w:rsidR="001C19F3" w:rsidRDefault="001C19F3" w:rsidP="001C19F3">
      <w:pPr>
        <w:spacing w:after="120"/>
        <w:ind w:left="1418" w:hanging="1418"/>
      </w:pPr>
      <w:r>
        <w:t>MMM</w:t>
      </w:r>
      <w:r>
        <w:tab/>
        <w:t>Modified Monash Model (remoteness categorisation)</w:t>
      </w:r>
    </w:p>
    <w:p w14:paraId="718E544D" w14:textId="77777777" w:rsidR="001C19F3" w:rsidRDefault="001C19F3" w:rsidP="001C19F3">
      <w:pPr>
        <w:spacing w:after="120"/>
        <w:ind w:left="1418" w:hanging="1418"/>
      </w:pPr>
      <w:r>
        <w:t>NPS</w:t>
      </w:r>
      <w:r>
        <w:tab/>
        <w:t>National Prescribing Service</w:t>
      </w:r>
    </w:p>
    <w:p w14:paraId="7C44F8D1" w14:textId="77777777" w:rsidR="001C19F3" w:rsidRDefault="001C19F3" w:rsidP="001C19F3">
      <w:pPr>
        <w:spacing w:after="120"/>
        <w:ind w:left="1418" w:hanging="1418"/>
      </w:pPr>
      <w:r>
        <w:t>PACIC</w:t>
      </w:r>
      <w:r>
        <w:tab/>
        <w:t>Patient Assessment of Chronic Illness Care instrument</w:t>
      </w:r>
    </w:p>
    <w:p w14:paraId="7D0A6B06" w14:textId="77777777" w:rsidR="001C19F3" w:rsidRDefault="001C19F3" w:rsidP="001C19F3">
      <w:pPr>
        <w:spacing w:after="120"/>
        <w:ind w:left="1418" w:hanging="1418"/>
      </w:pPr>
      <w:r>
        <w:t>PAM</w:t>
      </w:r>
      <w:r>
        <w:tab/>
        <w:t>Patient Activation Measure</w:t>
      </w:r>
    </w:p>
    <w:p w14:paraId="13B8C430" w14:textId="77777777" w:rsidR="001C19F3" w:rsidRDefault="001C19F3" w:rsidP="001C19F3">
      <w:pPr>
        <w:spacing w:after="120"/>
        <w:ind w:left="1418" w:hanging="1418"/>
      </w:pPr>
      <w:r w:rsidRPr="006D66DB">
        <w:t>PBS</w:t>
      </w:r>
      <w:r w:rsidRPr="006D66DB">
        <w:tab/>
        <w:t>Pharmaceutical Benefits Schedule</w:t>
      </w:r>
    </w:p>
    <w:p w14:paraId="324B146B" w14:textId="77777777" w:rsidR="001C19F3" w:rsidRDefault="001C19F3" w:rsidP="001C19F3">
      <w:pPr>
        <w:spacing w:after="120"/>
        <w:ind w:left="1418" w:hanging="1418"/>
      </w:pPr>
      <w:r>
        <w:t>PHN</w:t>
      </w:r>
      <w:r>
        <w:tab/>
        <w:t>Primary Health Network</w:t>
      </w:r>
    </w:p>
    <w:p w14:paraId="055B2271" w14:textId="77777777" w:rsidR="001C19F3" w:rsidRDefault="001C19F3" w:rsidP="001C19F3">
      <w:pPr>
        <w:spacing w:after="120"/>
        <w:ind w:left="1418" w:hanging="1418"/>
      </w:pPr>
      <w:r>
        <w:t>POLAR</w:t>
      </w:r>
      <w:r>
        <w:tab/>
        <w:t>Population Level Analysis and Reporting</w:t>
      </w:r>
    </w:p>
    <w:p w14:paraId="14450D2A" w14:textId="77777777" w:rsidR="001C19F3" w:rsidRDefault="001C19F3" w:rsidP="001C19F3">
      <w:pPr>
        <w:spacing w:after="120"/>
        <w:ind w:left="1418" w:hanging="1418"/>
      </w:pPr>
      <w:r w:rsidRPr="00AD017C">
        <w:t>PRM</w:t>
      </w:r>
      <w:r w:rsidRPr="00AD017C">
        <w:tab/>
        <w:t>Predictive risk model</w:t>
      </w:r>
    </w:p>
    <w:p w14:paraId="3816BC01" w14:textId="77777777" w:rsidR="001C19F3" w:rsidRDefault="001C19F3" w:rsidP="001C19F3">
      <w:pPr>
        <w:spacing w:after="120"/>
        <w:ind w:left="1418" w:hanging="1418"/>
      </w:pPr>
      <w:r>
        <w:t>R1</w:t>
      </w:r>
      <w:r>
        <w:tab/>
        <w:t>Round 1 of the evaluation. R2, R3, R4, R5 refer to rounds 2-5 respectively.</w:t>
      </w:r>
    </w:p>
    <w:p w14:paraId="5B375199" w14:textId="77777777" w:rsidR="001C19F3" w:rsidRDefault="001C19F3" w:rsidP="001C19F3">
      <w:pPr>
        <w:spacing w:after="120"/>
        <w:ind w:left="1418" w:hanging="1418"/>
      </w:pPr>
      <w:r>
        <w:t>RST</w:t>
      </w:r>
      <w:r>
        <w:tab/>
        <w:t>Risk stratification tool</w:t>
      </w:r>
    </w:p>
    <w:p w14:paraId="2A1B8DD5" w14:textId="0EC2016B" w:rsidR="001C19F3" w:rsidRPr="00F94E66" w:rsidRDefault="001C19F3" w:rsidP="0059214F">
      <w:pPr>
        <w:spacing w:after="120"/>
        <w:ind w:left="1418" w:hanging="1418"/>
      </w:pPr>
      <w:r>
        <w:t>SURE</w:t>
      </w:r>
      <w:r>
        <w:tab/>
        <w:t>Secure Unified Research Environment</w:t>
      </w:r>
      <w:bookmarkEnd w:id="409"/>
    </w:p>
    <w:p w14:paraId="7E1CE749" w14:textId="77777777" w:rsidR="001C19F3" w:rsidRDefault="001C19F3" w:rsidP="001C19F3">
      <w:pPr>
        <w:pStyle w:val="Heading1nonumber"/>
        <w:sectPr w:rsidR="001C19F3" w:rsidSect="00521305">
          <w:footerReference w:type="default" r:id="rId96"/>
          <w:footerReference w:type="first" r:id="rId97"/>
          <w:pgSz w:w="11906" w:h="16838"/>
          <w:pgMar w:top="1440" w:right="1440" w:bottom="1440" w:left="1440" w:header="708" w:footer="708" w:gutter="0"/>
          <w:pgNumType w:start="1"/>
          <w:cols w:space="708"/>
          <w:titlePg/>
          <w:docGrid w:linePitch="360"/>
        </w:sectPr>
      </w:pPr>
    </w:p>
    <w:p w14:paraId="35E1E397" w14:textId="77777777" w:rsidR="001C19F3" w:rsidRPr="00EE02CE" w:rsidRDefault="001C19F3" w:rsidP="0059214F">
      <w:pPr>
        <w:pStyle w:val="Heading1withnumber"/>
        <w:numPr>
          <w:ilvl w:val="0"/>
          <w:numId w:val="0"/>
        </w:numPr>
      </w:pPr>
      <w:bookmarkStart w:id="410" w:name="_Toc32586030"/>
      <w:r>
        <w:lastRenderedPageBreak/>
        <w:t>Introduction</w:t>
      </w:r>
      <w:bookmarkEnd w:id="410"/>
    </w:p>
    <w:p w14:paraId="35E4EC4D" w14:textId="77777777" w:rsidR="001C19F3" w:rsidRDefault="001C19F3" w:rsidP="001C19F3">
      <w:r>
        <w:t xml:space="preserve">The Health Care Homes (HCH) trial is being evaluated by a consortium led by Health Policy Analysis. The consortium includes the Centre for Big Data Research in Health (University of New South Wales), the Centre for Health Economics Research and Evaluation (University of Technology Sydney) and other Australian and international experts. The researchers are listed </w:t>
      </w:r>
      <w:r w:rsidRPr="005D3AD1">
        <w:t>in Appendix 1.</w:t>
      </w:r>
    </w:p>
    <w:p w14:paraId="2A4A14A6" w14:textId="77777777" w:rsidR="001C19F3" w:rsidRDefault="001C19F3" w:rsidP="001C19F3">
      <w:r>
        <w:t xml:space="preserve">This document is the </w:t>
      </w:r>
      <w:r w:rsidRPr="00AE071E">
        <w:rPr>
          <w:b/>
        </w:rPr>
        <w:t>Interim evaluation report 2019, Volume 3: Evaluation progress</w:t>
      </w:r>
      <w:r>
        <w:t>. It is one of four volumes featuring the findings of the evaluation of the HCH trial up to 31 August 2019</w:t>
      </w:r>
      <w:r>
        <w:rPr>
          <w:rStyle w:val="FootnoteReference"/>
        </w:rPr>
        <w:footnoteReference w:id="17"/>
      </w:r>
      <w:r>
        <w:t xml:space="preserve">. The volumes are described in </w:t>
      </w:r>
      <w:r>
        <w:fldChar w:fldCharType="begin"/>
      </w:r>
      <w:r>
        <w:instrText xml:space="preserve"> REF _Ref20732064 \h  \* MERGEFORMAT </w:instrText>
      </w:r>
      <w:r>
        <w:fldChar w:fldCharType="separate"/>
      </w:r>
      <w:r w:rsidRPr="00191669">
        <w:t>Table 1</w:t>
      </w:r>
      <w:r>
        <w:fldChar w:fldCharType="end"/>
      </w:r>
      <w:r>
        <w:t>.</w:t>
      </w:r>
    </w:p>
    <w:p w14:paraId="7706F380" w14:textId="77777777" w:rsidR="001C19F3" w:rsidRDefault="001C19F3" w:rsidP="001C19F3">
      <w:pPr>
        <w:spacing w:after="0"/>
        <w:jc w:val="center"/>
        <w:rPr>
          <w:b/>
          <w:color w:val="000000"/>
          <w:sz w:val="18"/>
          <w:szCs w:val="18"/>
        </w:rPr>
      </w:pPr>
      <w:r>
        <w:rPr>
          <w:b/>
          <w:color w:val="000000"/>
          <w:sz w:val="18"/>
          <w:szCs w:val="18"/>
        </w:rPr>
        <w:t xml:space="preserve">Table </w:t>
      </w:r>
      <w:r>
        <w:fldChar w:fldCharType="begin"/>
      </w:r>
      <w:r>
        <w:rPr>
          <w:b/>
          <w:color w:val="000000"/>
          <w:sz w:val="18"/>
          <w:szCs w:val="18"/>
        </w:rPr>
        <w:instrText xml:space="preserve"> SEQ Table \* ARABIC </w:instrText>
      </w:r>
      <w:r>
        <w:fldChar w:fldCharType="separate"/>
      </w:r>
      <w:r>
        <w:rPr>
          <w:b/>
          <w:noProof/>
          <w:color w:val="000000"/>
          <w:sz w:val="18"/>
          <w:szCs w:val="18"/>
        </w:rPr>
        <w:t>1</w:t>
      </w:r>
      <w:r>
        <w:fldChar w:fldCharType="end"/>
      </w:r>
      <w:r>
        <w:rPr>
          <w:b/>
          <w:color w:val="000000"/>
          <w:sz w:val="18"/>
          <w:szCs w:val="18"/>
        </w:rPr>
        <w:t xml:space="preserve"> – Interim evaluation report 2019: Description of volumes</w:t>
      </w:r>
    </w:p>
    <w:tbl>
      <w:tblPr>
        <w:tblW w:w="906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972"/>
        <w:gridCol w:w="6095"/>
      </w:tblGrid>
      <w:tr w:rsidR="001C19F3" w14:paraId="00079D89" w14:textId="77777777" w:rsidTr="00521305">
        <w:trPr>
          <w:tblHeader/>
          <w:jc w:val="center"/>
        </w:trPr>
        <w:tc>
          <w:tcPr>
            <w:tcW w:w="2972" w:type="dxa"/>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60B8757A" w14:textId="77777777" w:rsidR="001C19F3" w:rsidRDefault="001C19F3" w:rsidP="00521305">
            <w:pPr>
              <w:spacing w:after="0"/>
              <w:jc w:val="center"/>
              <w:rPr>
                <w:b/>
                <w:sz w:val="18"/>
                <w:szCs w:val="18"/>
              </w:rPr>
            </w:pPr>
            <w:r>
              <w:rPr>
                <w:b/>
                <w:sz w:val="18"/>
                <w:szCs w:val="18"/>
              </w:rPr>
              <w:t>Volume</w:t>
            </w:r>
          </w:p>
        </w:tc>
        <w:tc>
          <w:tcPr>
            <w:tcW w:w="6095" w:type="dxa"/>
            <w:tcBorders>
              <w:top w:val="single" w:sz="4" w:space="0" w:color="D9D9D9"/>
              <w:left w:val="single" w:sz="4" w:space="0" w:color="D9D9D9"/>
              <w:bottom w:val="single" w:sz="4" w:space="0" w:color="D9D9D9"/>
              <w:right w:val="single" w:sz="4" w:space="0" w:color="D9D9D9"/>
            </w:tcBorders>
            <w:shd w:val="clear" w:color="auto" w:fill="003D79"/>
            <w:hideMark/>
          </w:tcPr>
          <w:p w14:paraId="1F7FAC74" w14:textId="77777777" w:rsidR="001C19F3" w:rsidRDefault="001C19F3" w:rsidP="00521305">
            <w:pPr>
              <w:spacing w:after="0"/>
              <w:jc w:val="center"/>
              <w:rPr>
                <w:b/>
                <w:sz w:val="18"/>
                <w:szCs w:val="18"/>
              </w:rPr>
            </w:pPr>
            <w:r>
              <w:rPr>
                <w:b/>
                <w:sz w:val="18"/>
                <w:szCs w:val="18"/>
              </w:rPr>
              <w:t>Description</w:t>
            </w:r>
          </w:p>
        </w:tc>
      </w:tr>
      <w:tr w:rsidR="001C19F3" w14:paraId="39B66190" w14:textId="77777777" w:rsidTr="00521305">
        <w:trPr>
          <w:jc w:val="center"/>
        </w:trPr>
        <w:tc>
          <w:tcPr>
            <w:tcW w:w="2972" w:type="dxa"/>
            <w:tcBorders>
              <w:top w:val="single" w:sz="4" w:space="0" w:color="D9D9D9"/>
              <w:left w:val="single" w:sz="4" w:space="0" w:color="D9D9D9"/>
              <w:bottom w:val="single" w:sz="4" w:space="0" w:color="D9D9D9"/>
              <w:right w:val="single" w:sz="4" w:space="0" w:color="D9D9D9"/>
            </w:tcBorders>
            <w:hideMark/>
          </w:tcPr>
          <w:p w14:paraId="3F333782" w14:textId="77777777" w:rsidR="001C19F3" w:rsidRDefault="001C19F3" w:rsidP="00521305">
            <w:pPr>
              <w:spacing w:after="0"/>
              <w:rPr>
                <w:sz w:val="18"/>
                <w:szCs w:val="18"/>
              </w:rPr>
            </w:pPr>
            <w:r>
              <w:rPr>
                <w:sz w:val="18"/>
                <w:szCs w:val="18"/>
              </w:rPr>
              <w:t>Volume 1: Summary report</w:t>
            </w:r>
          </w:p>
        </w:tc>
        <w:tc>
          <w:tcPr>
            <w:tcW w:w="6095" w:type="dxa"/>
            <w:tcBorders>
              <w:top w:val="single" w:sz="4" w:space="0" w:color="D9D9D9"/>
              <w:left w:val="single" w:sz="4" w:space="0" w:color="D9D9D9"/>
              <w:bottom w:val="single" w:sz="4" w:space="0" w:color="D9D9D9"/>
              <w:right w:val="single" w:sz="4" w:space="0" w:color="D9D9D9"/>
            </w:tcBorders>
            <w:hideMark/>
          </w:tcPr>
          <w:p w14:paraId="2AE54C8C" w14:textId="77777777" w:rsidR="001C19F3" w:rsidRDefault="001C19F3" w:rsidP="00521305">
            <w:pPr>
              <w:spacing w:after="0"/>
              <w:rPr>
                <w:sz w:val="18"/>
                <w:szCs w:val="18"/>
              </w:rPr>
            </w:pPr>
            <w:r>
              <w:rPr>
                <w:sz w:val="18"/>
                <w:szCs w:val="18"/>
              </w:rPr>
              <w:t>Summarises the findings of the interim evaluation.</w:t>
            </w:r>
          </w:p>
        </w:tc>
      </w:tr>
      <w:tr w:rsidR="001C19F3" w14:paraId="2C1AFE24" w14:textId="77777777" w:rsidTr="00521305">
        <w:trPr>
          <w:jc w:val="center"/>
        </w:trPr>
        <w:tc>
          <w:tcPr>
            <w:tcW w:w="2972" w:type="dxa"/>
            <w:tcBorders>
              <w:top w:val="single" w:sz="4" w:space="0" w:color="D9D9D9"/>
              <w:left w:val="single" w:sz="4" w:space="0" w:color="D9D9D9"/>
              <w:bottom w:val="single" w:sz="4" w:space="0" w:color="D9D9D9"/>
              <w:right w:val="single" w:sz="4" w:space="0" w:color="D9D9D9"/>
            </w:tcBorders>
            <w:hideMark/>
          </w:tcPr>
          <w:p w14:paraId="24C9AED3" w14:textId="77777777" w:rsidR="001C19F3" w:rsidRDefault="001C19F3" w:rsidP="00521305">
            <w:pPr>
              <w:spacing w:after="0"/>
              <w:rPr>
                <w:sz w:val="18"/>
                <w:szCs w:val="18"/>
              </w:rPr>
            </w:pPr>
            <w:r>
              <w:rPr>
                <w:sz w:val="18"/>
                <w:szCs w:val="18"/>
              </w:rPr>
              <w:t>Volume 2: Main report</w:t>
            </w:r>
          </w:p>
        </w:tc>
        <w:tc>
          <w:tcPr>
            <w:tcW w:w="6095" w:type="dxa"/>
            <w:tcBorders>
              <w:top w:val="single" w:sz="4" w:space="0" w:color="D9D9D9"/>
              <w:left w:val="single" w:sz="4" w:space="0" w:color="D9D9D9"/>
              <w:bottom w:val="single" w:sz="4" w:space="0" w:color="D9D9D9"/>
              <w:right w:val="single" w:sz="4" w:space="0" w:color="D9D9D9"/>
            </w:tcBorders>
            <w:hideMark/>
          </w:tcPr>
          <w:p w14:paraId="6844A280" w14:textId="77777777" w:rsidR="001C19F3" w:rsidRDefault="001C19F3" w:rsidP="00521305">
            <w:pPr>
              <w:spacing w:after="0"/>
              <w:rPr>
                <w:sz w:val="18"/>
                <w:szCs w:val="18"/>
              </w:rPr>
            </w:pPr>
            <w:r>
              <w:rPr>
                <w:sz w:val="18"/>
                <w:szCs w:val="18"/>
              </w:rPr>
              <w:t>Presents the findings from the interim evaluation.</w:t>
            </w:r>
          </w:p>
        </w:tc>
      </w:tr>
      <w:tr w:rsidR="001C19F3" w14:paraId="1CD4DA87" w14:textId="77777777" w:rsidTr="00521305">
        <w:trPr>
          <w:jc w:val="center"/>
        </w:trPr>
        <w:tc>
          <w:tcPr>
            <w:tcW w:w="2972" w:type="dxa"/>
            <w:tcBorders>
              <w:top w:val="single" w:sz="4" w:space="0" w:color="D9D9D9"/>
              <w:left w:val="single" w:sz="4" w:space="0" w:color="D9D9D9"/>
              <w:bottom w:val="single" w:sz="4" w:space="0" w:color="D9D9D9"/>
              <w:right w:val="single" w:sz="4" w:space="0" w:color="D9D9D9"/>
            </w:tcBorders>
            <w:hideMark/>
          </w:tcPr>
          <w:p w14:paraId="2294654D" w14:textId="77777777" w:rsidR="001C19F3" w:rsidRDefault="001C19F3" w:rsidP="00521305">
            <w:pPr>
              <w:spacing w:after="0"/>
              <w:rPr>
                <w:sz w:val="18"/>
                <w:szCs w:val="18"/>
              </w:rPr>
            </w:pPr>
            <w:r>
              <w:rPr>
                <w:sz w:val="18"/>
                <w:szCs w:val="18"/>
              </w:rPr>
              <w:t>Volume 3: Evaluation progress</w:t>
            </w:r>
          </w:p>
        </w:tc>
        <w:tc>
          <w:tcPr>
            <w:tcW w:w="6095" w:type="dxa"/>
            <w:tcBorders>
              <w:top w:val="single" w:sz="4" w:space="0" w:color="D9D9D9"/>
              <w:left w:val="single" w:sz="4" w:space="0" w:color="D9D9D9"/>
              <w:bottom w:val="single" w:sz="4" w:space="0" w:color="D9D9D9"/>
              <w:right w:val="single" w:sz="4" w:space="0" w:color="D9D9D9"/>
            </w:tcBorders>
            <w:hideMark/>
          </w:tcPr>
          <w:p w14:paraId="31FEF39F" w14:textId="77777777" w:rsidR="001C19F3" w:rsidRDefault="001C19F3" w:rsidP="00521305">
            <w:pPr>
              <w:spacing w:after="0"/>
              <w:rPr>
                <w:sz w:val="18"/>
                <w:szCs w:val="18"/>
              </w:rPr>
            </w:pPr>
            <w:r>
              <w:rPr>
                <w:sz w:val="18"/>
                <w:szCs w:val="18"/>
              </w:rPr>
              <w:t>Describes progress for the evaluation to September 2019, including progress with acquiring evaluation data and approaches for analysing qualitative and quantitative data.</w:t>
            </w:r>
          </w:p>
        </w:tc>
      </w:tr>
      <w:tr w:rsidR="001C19F3" w14:paraId="1C9F4C0C" w14:textId="77777777" w:rsidTr="00521305">
        <w:trPr>
          <w:jc w:val="center"/>
        </w:trPr>
        <w:tc>
          <w:tcPr>
            <w:tcW w:w="2972" w:type="dxa"/>
            <w:tcBorders>
              <w:top w:val="single" w:sz="4" w:space="0" w:color="D9D9D9"/>
              <w:left w:val="single" w:sz="4" w:space="0" w:color="D9D9D9"/>
              <w:bottom w:val="single" w:sz="4" w:space="0" w:color="D9D9D9"/>
              <w:right w:val="single" w:sz="4" w:space="0" w:color="D9D9D9"/>
            </w:tcBorders>
            <w:hideMark/>
          </w:tcPr>
          <w:p w14:paraId="2CD036A0" w14:textId="77777777" w:rsidR="001C19F3" w:rsidRDefault="001C19F3" w:rsidP="00521305">
            <w:pPr>
              <w:spacing w:after="0"/>
              <w:rPr>
                <w:sz w:val="18"/>
                <w:szCs w:val="18"/>
              </w:rPr>
            </w:pPr>
            <w:r>
              <w:rPr>
                <w:sz w:val="18"/>
                <w:szCs w:val="18"/>
              </w:rPr>
              <w:t>Volume 4: Evaluation data supplement</w:t>
            </w:r>
          </w:p>
        </w:tc>
        <w:tc>
          <w:tcPr>
            <w:tcW w:w="6095" w:type="dxa"/>
            <w:tcBorders>
              <w:top w:val="single" w:sz="4" w:space="0" w:color="D9D9D9"/>
              <w:left w:val="single" w:sz="4" w:space="0" w:color="D9D9D9"/>
              <w:bottom w:val="single" w:sz="4" w:space="0" w:color="D9D9D9"/>
              <w:right w:val="single" w:sz="4" w:space="0" w:color="D9D9D9"/>
            </w:tcBorders>
            <w:hideMark/>
          </w:tcPr>
          <w:p w14:paraId="4ACC59D6" w14:textId="77777777" w:rsidR="001C19F3" w:rsidRDefault="001C19F3" w:rsidP="00521305">
            <w:pPr>
              <w:spacing w:after="0"/>
              <w:rPr>
                <w:sz w:val="18"/>
                <w:szCs w:val="18"/>
              </w:rPr>
            </w:pPr>
            <w:r>
              <w:rPr>
                <w:sz w:val="18"/>
                <w:szCs w:val="18"/>
              </w:rPr>
              <w:t>Includes supplementary data to support the findings reported in Volume 2.</w:t>
            </w:r>
          </w:p>
        </w:tc>
      </w:tr>
    </w:tbl>
    <w:p w14:paraId="26353204" w14:textId="77777777" w:rsidR="001C19F3" w:rsidRDefault="001C19F3" w:rsidP="001C19F3">
      <w:pPr>
        <w:spacing w:after="0"/>
      </w:pPr>
    </w:p>
    <w:p w14:paraId="61CC8C22" w14:textId="77777777" w:rsidR="001C19F3" w:rsidRDefault="001C19F3" w:rsidP="001C19F3">
      <w:r>
        <w:t>A detailed description of the evaluation methods is in the HCH Evaluation plan (</w:t>
      </w:r>
      <w:r>
        <w:fldChar w:fldCharType="begin"/>
      </w:r>
      <w:r>
        <w:instrText xml:space="preserve"> ADDIN EN.CITE &lt;EndNote&gt;&lt;Cite&gt;&lt;Author&gt;Health Policy Analysis&lt;/Author&gt;&lt;Year&gt;2019&lt;/Year&gt;&lt;RecNum&gt;1131&lt;/RecNum&gt;&lt;DisplayText&gt;Health Policy Analysis, 2019&lt;/DisplayText&gt;&lt;record&gt;&lt;rec-number&gt;1131&lt;/rec-number&gt;&lt;foreign-keys&gt;&lt;key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fldChar w:fldCharType="separate"/>
      </w:r>
      <w:r>
        <w:rPr>
          <w:noProof/>
        </w:rPr>
        <w:t>Health Policy Analysis, 2019</w:t>
      </w:r>
      <w:r>
        <w:fldChar w:fldCharType="end"/>
      </w:r>
      <w:r>
        <w:t>).</w:t>
      </w:r>
      <w:r>
        <w:rPr>
          <w:i/>
        </w:rPr>
        <w:t xml:space="preserve"> </w:t>
      </w:r>
      <w:r>
        <w:t>Briefly, the evaluation is seeking to answer the following key questions:</w:t>
      </w:r>
    </w:p>
    <w:p w14:paraId="7F28D588" w14:textId="77777777" w:rsidR="001C19F3" w:rsidRDefault="001C19F3" w:rsidP="001C19F3">
      <w:pPr>
        <w:pStyle w:val="ListParagraph"/>
        <w:numPr>
          <w:ilvl w:val="0"/>
          <w:numId w:val="106"/>
        </w:numPr>
        <w:rPr>
          <w:szCs w:val="20"/>
        </w:rPr>
      </w:pPr>
      <w:r>
        <w:rPr>
          <w:szCs w:val="20"/>
        </w:rPr>
        <w:t>How was the HCH model implemented and what were the barriers and enablers?</w:t>
      </w:r>
    </w:p>
    <w:p w14:paraId="5C94B2CC" w14:textId="77777777" w:rsidR="001C19F3" w:rsidRDefault="001C19F3" w:rsidP="001C19F3">
      <w:pPr>
        <w:pStyle w:val="ListParagraph"/>
        <w:numPr>
          <w:ilvl w:val="0"/>
          <w:numId w:val="106"/>
        </w:numPr>
        <w:rPr>
          <w:szCs w:val="20"/>
        </w:rPr>
      </w:pPr>
      <w:r>
        <w:rPr>
          <w:szCs w:val="20"/>
        </w:rPr>
        <w:t>How does the HCH model change the way practices approach chronic disease management?</w:t>
      </w:r>
    </w:p>
    <w:p w14:paraId="4F9C27A1" w14:textId="77777777" w:rsidR="001C19F3" w:rsidRDefault="001C19F3" w:rsidP="001C19F3">
      <w:pPr>
        <w:pStyle w:val="ListParagraph"/>
        <w:numPr>
          <w:ilvl w:val="0"/>
          <w:numId w:val="106"/>
        </w:numPr>
        <w:rPr>
          <w:szCs w:val="20"/>
        </w:rPr>
      </w:pPr>
      <w:r>
        <w:rPr>
          <w:szCs w:val="20"/>
        </w:rPr>
        <w:t>Do patients enrolled in HCH experience better quality care?</w:t>
      </w:r>
    </w:p>
    <w:p w14:paraId="34A93E6E" w14:textId="77777777" w:rsidR="001C19F3" w:rsidRDefault="001C19F3" w:rsidP="001C19F3">
      <w:pPr>
        <w:pStyle w:val="ListParagraph"/>
        <w:numPr>
          <w:ilvl w:val="0"/>
          <w:numId w:val="106"/>
        </w:numPr>
        <w:rPr>
          <w:szCs w:val="20"/>
        </w:rPr>
      </w:pPr>
      <w:r>
        <w:rPr>
          <w:szCs w:val="20"/>
        </w:rPr>
        <w:t>What are the financial effects of the HCH model on governments, providers and individuals?</w:t>
      </w:r>
    </w:p>
    <w:p w14:paraId="5BCCCDDD" w14:textId="77777777" w:rsidR="001C19F3" w:rsidRDefault="001C19F3" w:rsidP="001C19F3">
      <w:r>
        <w:t>Additional key questions relating to the community pharmacy component are:</w:t>
      </w:r>
    </w:p>
    <w:p w14:paraId="5B027133" w14:textId="77777777" w:rsidR="001C19F3" w:rsidRDefault="001C19F3" w:rsidP="001C19F3">
      <w:pPr>
        <w:pStyle w:val="ListParagraph"/>
        <w:numPr>
          <w:ilvl w:val="0"/>
          <w:numId w:val="106"/>
        </w:numPr>
        <w:rPr>
          <w:szCs w:val="20"/>
        </w:rPr>
      </w:pPr>
      <w:r>
        <w:rPr>
          <w:szCs w:val="20"/>
        </w:rPr>
        <w:t>Is the community pharmacy component beneficial to the broader HCH coordinated care model and should it be included as part of any future roll out?</w:t>
      </w:r>
    </w:p>
    <w:p w14:paraId="07BD8A2C" w14:textId="77777777" w:rsidR="001C19F3" w:rsidRDefault="001C19F3" w:rsidP="001C19F3">
      <w:pPr>
        <w:pStyle w:val="ListParagraph"/>
        <w:numPr>
          <w:ilvl w:val="0"/>
          <w:numId w:val="106"/>
        </w:numPr>
        <w:rPr>
          <w:szCs w:val="20"/>
        </w:rPr>
      </w:pPr>
      <w:r>
        <w:rPr>
          <w:szCs w:val="20"/>
        </w:rPr>
        <w:t>Do patients who received medication management services as part of the HCH trial experience better health outcomes than patients who did not?</w:t>
      </w:r>
    </w:p>
    <w:p w14:paraId="0D6A68E5" w14:textId="77777777" w:rsidR="001C19F3" w:rsidRDefault="001C19F3" w:rsidP="001C19F3">
      <w:pPr>
        <w:pStyle w:val="ListParagraph"/>
        <w:numPr>
          <w:ilvl w:val="0"/>
          <w:numId w:val="106"/>
        </w:numPr>
        <w:rPr>
          <w:szCs w:val="20"/>
        </w:rPr>
      </w:pPr>
      <w:r>
        <w:rPr>
          <w:szCs w:val="20"/>
        </w:rPr>
        <w:t>What was the level of engagement between HCH practices and community pharmacy (care coordination)?</w:t>
      </w:r>
    </w:p>
    <w:p w14:paraId="4646C16E" w14:textId="77777777" w:rsidR="001C19F3" w:rsidRDefault="001C19F3" w:rsidP="001C19F3">
      <w:pPr>
        <w:pStyle w:val="ListParagraph"/>
        <w:numPr>
          <w:ilvl w:val="0"/>
          <w:numId w:val="106"/>
        </w:numPr>
        <w:rPr>
          <w:szCs w:val="20"/>
        </w:rPr>
      </w:pPr>
      <w:r>
        <w:rPr>
          <w:szCs w:val="20"/>
        </w:rPr>
        <w:t>Is the inclusion of a pharmacy component in HCH financially viable?</w:t>
      </w:r>
    </w:p>
    <w:p w14:paraId="23776132" w14:textId="77777777" w:rsidR="001C19F3" w:rsidRPr="00B11EF5" w:rsidRDefault="001C19F3" w:rsidP="001C19F3">
      <w:r>
        <w:t xml:space="preserve">These questions have many dimensions. Therefore, more detailed questions have been developed for each key question. The detailed questions are listed in </w:t>
      </w:r>
      <w:r w:rsidRPr="00B11EF5">
        <w:t xml:space="preserve">Appendix 3 of this volume. </w:t>
      </w:r>
    </w:p>
    <w:p w14:paraId="35D87289" w14:textId="77777777" w:rsidR="001C19F3" w:rsidRDefault="001C19F3" w:rsidP="001C19F3">
      <w:pPr>
        <w:widowControl w:val="0"/>
        <w:autoSpaceDE w:val="0"/>
        <w:autoSpaceDN w:val="0"/>
        <w:adjustRightInd w:val="0"/>
        <w:ind w:right="-11"/>
      </w:pPr>
      <w:r>
        <w:t>The evaluation is using m</w:t>
      </w:r>
      <w:r w:rsidRPr="00547065">
        <w:t>ixed</w:t>
      </w:r>
      <w:r>
        <w:t xml:space="preserve"> </w:t>
      </w:r>
      <w:r w:rsidRPr="00547065">
        <w:t>methods</w:t>
      </w:r>
      <w:r>
        <w:t xml:space="preserve">. Data sources are described in </w:t>
      </w:r>
      <w:r>
        <w:fldChar w:fldCharType="begin"/>
      </w:r>
      <w:r>
        <w:instrText xml:space="preserve"> REF _Ref20819524 \h  \* MERGEFORMAT </w:instrText>
      </w:r>
      <w:r>
        <w:fldChar w:fldCharType="separate"/>
      </w:r>
      <w:r w:rsidRPr="00191669">
        <w:t>Table 4</w:t>
      </w:r>
      <w:r>
        <w:fldChar w:fldCharType="end"/>
      </w:r>
      <w:r>
        <w:t xml:space="preserve">. Qualitative data are being collected through interviews and focus groups with patients and patient’s </w:t>
      </w:r>
      <w:r>
        <w:lastRenderedPageBreak/>
        <w:t>carers/ families, GPs, other primary care staff, pharmacists and others. The interviews and focus groups are being undertaken in 20 locations across Australia. Quantitative data are also being used to investigate how things have changed for patients enrolled in HCH (using before/after and interrupted time series analysis) and to compare patients enrolled in HCH with similar patients receiving usual care (</w:t>
      </w:r>
      <w:r w:rsidRPr="00547065">
        <w:t xml:space="preserve">quasi-experimental </w:t>
      </w:r>
      <w:r>
        <w:t xml:space="preserve">analysis). These are also described in </w:t>
      </w:r>
      <w:r>
        <w:fldChar w:fldCharType="begin"/>
      </w:r>
      <w:r>
        <w:instrText xml:space="preserve"> REF _Ref20819524 \h  \* MERGEFORMAT </w:instrText>
      </w:r>
      <w:r>
        <w:fldChar w:fldCharType="separate"/>
      </w:r>
      <w:r w:rsidRPr="00191669">
        <w:t>Table 4</w:t>
      </w:r>
      <w:r>
        <w:fldChar w:fldCharType="end"/>
      </w:r>
      <w:r>
        <w:t>.</w:t>
      </w:r>
      <w:r w:rsidRPr="00B11EF5">
        <w:t xml:space="preserve"> </w:t>
      </w:r>
    </w:p>
    <w:p w14:paraId="4BAED486" w14:textId="77777777" w:rsidR="001C19F3" w:rsidRDefault="001C19F3" w:rsidP="001C19F3">
      <w:r>
        <w:t xml:space="preserve">For practical purposes, data collection for the evaluation is organised into ‘rounds’. The time frames for these are shown in </w:t>
      </w:r>
      <w:r>
        <w:fldChar w:fldCharType="begin"/>
      </w:r>
      <w:r>
        <w:instrText xml:space="preserve"> REF _Ref23345788 \h </w:instrText>
      </w:r>
      <w:r>
        <w:fldChar w:fldCharType="separate"/>
      </w:r>
      <w:r>
        <w:t xml:space="preserve">Table </w:t>
      </w:r>
      <w:r>
        <w:rPr>
          <w:noProof/>
        </w:rPr>
        <w:t>2</w:t>
      </w:r>
      <w:r>
        <w:fldChar w:fldCharType="end"/>
      </w:r>
      <w:r>
        <w:t xml:space="preserve">. The patient survey was organised into ‘waves’. The time frames for the waves are shown in </w:t>
      </w:r>
      <w:r>
        <w:fldChar w:fldCharType="begin"/>
      </w:r>
      <w:r>
        <w:instrText xml:space="preserve"> REF _Ref23345872 \h </w:instrText>
      </w:r>
      <w:r>
        <w:fldChar w:fldCharType="separate"/>
      </w:r>
      <w:r>
        <w:t xml:space="preserve">Table </w:t>
      </w:r>
      <w:r>
        <w:rPr>
          <w:noProof/>
        </w:rPr>
        <w:t>3</w:t>
      </w:r>
      <w:r>
        <w:fldChar w:fldCharType="end"/>
      </w:r>
      <w:r>
        <w:t>.</w:t>
      </w:r>
    </w:p>
    <w:p w14:paraId="0D1C01F5" w14:textId="77777777" w:rsidR="001C19F3" w:rsidRDefault="001C19F3" w:rsidP="001C19F3">
      <w:pPr>
        <w:pStyle w:val="Caption"/>
      </w:pPr>
      <w:bookmarkStart w:id="411" w:name="_Ref23345788"/>
      <w:bookmarkStart w:id="412" w:name="_Ref23351373"/>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411"/>
      <w:r>
        <w:t xml:space="preserve"> – Data collection rounds for the evaluation and time frames</w:t>
      </w:r>
      <w:bookmarkEnd w:id="412"/>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4531"/>
        <w:gridCol w:w="3076"/>
      </w:tblGrid>
      <w:tr w:rsidR="001C19F3" w14:paraId="343869F8" w14:textId="77777777" w:rsidTr="00521305">
        <w:trPr>
          <w:jc w:val="center"/>
        </w:trPr>
        <w:tc>
          <w:tcPr>
            <w:tcW w:w="4531"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0683CF5A" w14:textId="77777777" w:rsidR="001C19F3" w:rsidRDefault="001C19F3" w:rsidP="00521305">
            <w:pPr>
              <w:spacing w:after="0" w:line="240" w:lineRule="auto"/>
              <w:jc w:val="center"/>
              <w:rPr>
                <w:b/>
                <w:color w:val="FFFFFF"/>
                <w:sz w:val="18"/>
                <w:szCs w:val="18"/>
              </w:rPr>
            </w:pPr>
            <w:r>
              <w:rPr>
                <w:b/>
                <w:color w:val="FFFFFF"/>
                <w:sz w:val="18"/>
                <w:szCs w:val="18"/>
              </w:rPr>
              <w:t>Data collection round</w:t>
            </w:r>
          </w:p>
        </w:tc>
        <w:tc>
          <w:tcPr>
            <w:tcW w:w="3076"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hideMark/>
          </w:tcPr>
          <w:p w14:paraId="09B65DC8" w14:textId="77777777" w:rsidR="001C19F3" w:rsidRDefault="001C19F3" w:rsidP="00521305">
            <w:pPr>
              <w:spacing w:after="0" w:line="240" w:lineRule="auto"/>
              <w:jc w:val="center"/>
              <w:rPr>
                <w:b/>
                <w:color w:val="FFFFFF"/>
                <w:sz w:val="18"/>
                <w:szCs w:val="18"/>
              </w:rPr>
            </w:pPr>
            <w:r>
              <w:rPr>
                <w:b/>
                <w:color w:val="FFFFFF"/>
                <w:sz w:val="18"/>
                <w:szCs w:val="18"/>
              </w:rPr>
              <w:t>Time frame</w:t>
            </w:r>
          </w:p>
        </w:tc>
      </w:tr>
      <w:tr w:rsidR="001C19F3" w14:paraId="2E65670E"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73461E4A" w14:textId="77777777" w:rsidR="001C19F3" w:rsidRDefault="001C19F3" w:rsidP="00521305">
            <w:pPr>
              <w:spacing w:after="0"/>
              <w:rPr>
                <w:color w:val="000000"/>
                <w:sz w:val="18"/>
                <w:szCs w:val="18"/>
              </w:rPr>
            </w:pPr>
            <w:r>
              <w:rPr>
                <w:color w:val="000000"/>
                <w:sz w:val="18"/>
                <w:szCs w:val="18"/>
              </w:rPr>
              <w:t>Round 1 (R1)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6404FCDC" w14:textId="77777777" w:rsidR="001C19F3" w:rsidRDefault="001C19F3" w:rsidP="00521305">
            <w:pPr>
              <w:spacing w:after="0"/>
              <w:jc w:val="right"/>
              <w:rPr>
                <w:color w:val="000000"/>
                <w:sz w:val="18"/>
                <w:szCs w:val="18"/>
              </w:rPr>
            </w:pPr>
            <w:r>
              <w:rPr>
                <w:color w:val="000000"/>
                <w:sz w:val="18"/>
                <w:szCs w:val="18"/>
              </w:rPr>
              <w:t>1 October 2017 to 30 June 2018</w:t>
            </w:r>
          </w:p>
        </w:tc>
      </w:tr>
      <w:tr w:rsidR="001C19F3" w14:paraId="7418418D"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032F437B" w14:textId="77777777" w:rsidR="001C19F3" w:rsidRDefault="001C19F3" w:rsidP="00521305">
            <w:pPr>
              <w:spacing w:after="0"/>
              <w:rPr>
                <w:color w:val="000000"/>
                <w:sz w:val="18"/>
                <w:szCs w:val="18"/>
              </w:rPr>
            </w:pPr>
            <w:r>
              <w:rPr>
                <w:color w:val="000000"/>
                <w:sz w:val="18"/>
                <w:szCs w:val="18"/>
              </w:rPr>
              <w:t>Round 2 (R2)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473C6C6C" w14:textId="77777777" w:rsidR="001C19F3" w:rsidRDefault="001C19F3" w:rsidP="00521305">
            <w:pPr>
              <w:spacing w:after="0"/>
              <w:jc w:val="right"/>
              <w:rPr>
                <w:color w:val="000000"/>
                <w:sz w:val="18"/>
                <w:szCs w:val="18"/>
              </w:rPr>
            </w:pPr>
            <w:r>
              <w:rPr>
                <w:color w:val="000000"/>
                <w:sz w:val="18"/>
                <w:szCs w:val="18"/>
              </w:rPr>
              <w:t>1 July to 31 December 2018</w:t>
            </w:r>
          </w:p>
        </w:tc>
      </w:tr>
      <w:tr w:rsidR="001C19F3" w14:paraId="06BA6F9F"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6197B8A7" w14:textId="77777777" w:rsidR="001C19F3" w:rsidRDefault="001C19F3" w:rsidP="00521305">
            <w:pPr>
              <w:spacing w:after="0"/>
              <w:rPr>
                <w:color w:val="000000"/>
                <w:sz w:val="18"/>
                <w:szCs w:val="18"/>
              </w:rPr>
            </w:pPr>
            <w:r>
              <w:rPr>
                <w:color w:val="000000"/>
                <w:sz w:val="18"/>
                <w:szCs w:val="18"/>
              </w:rPr>
              <w:t>Round 3 (R3)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1493D761" w14:textId="77777777" w:rsidR="001C19F3" w:rsidRDefault="001C19F3" w:rsidP="00521305">
            <w:pPr>
              <w:spacing w:after="0"/>
              <w:jc w:val="right"/>
              <w:rPr>
                <w:color w:val="000000"/>
                <w:sz w:val="18"/>
                <w:szCs w:val="18"/>
              </w:rPr>
            </w:pPr>
            <w:r>
              <w:rPr>
                <w:color w:val="000000"/>
                <w:sz w:val="18"/>
                <w:szCs w:val="18"/>
              </w:rPr>
              <w:t>1 January to 30 June 2019</w:t>
            </w:r>
          </w:p>
        </w:tc>
      </w:tr>
      <w:tr w:rsidR="001C19F3" w14:paraId="0844DADC"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3958CFE6" w14:textId="77777777" w:rsidR="001C19F3" w:rsidRDefault="001C19F3" w:rsidP="00521305">
            <w:pPr>
              <w:spacing w:after="0"/>
              <w:rPr>
                <w:color w:val="000000"/>
                <w:sz w:val="18"/>
                <w:szCs w:val="18"/>
              </w:rPr>
            </w:pPr>
            <w:r>
              <w:rPr>
                <w:color w:val="000000"/>
                <w:sz w:val="18"/>
                <w:szCs w:val="18"/>
              </w:rPr>
              <w:t>Round 4 (R4)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1F2C79AE" w14:textId="77777777" w:rsidR="001C19F3" w:rsidRDefault="001C19F3" w:rsidP="00521305">
            <w:pPr>
              <w:spacing w:after="0"/>
              <w:jc w:val="right"/>
              <w:rPr>
                <w:color w:val="000000"/>
                <w:sz w:val="18"/>
                <w:szCs w:val="18"/>
              </w:rPr>
            </w:pPr>
            <w:r>
              <w:rPr>
                <w:color w:val="000000"/>
                <w:sz w:val="18"/>
                <w:szCs w:val="18"/>
              </w:rPr>
              <w:t>1 July 2019 to 30 June 2020</w:t>
            </w:r>
          </w:p>
        </w:tc>
      </w:tr>
      <w:tr w:rsidR="001C19F3" w14:paraId="0038BA65"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hideMark/>
          </w:tcPr>
          <w:p w14:paraId="548CEACF" w14:textId="77777777" w:rsidR="001C19F3" w:rsidRDefault="001C19F3" w:rsidP="00521305">
            <w:pPr>
              <w:spacing w:after="0"/>
              <w:rPr>
                <w:color w:val="000000"/>
                <w:sz w:val="18"/>
                <w:szCs w:val="18"/>
              </w:rPr>
            </w:pPr>
            <w:r>
              <w:rPr>
                <w:color w:val="000000"/>
                <w:sz w:val="18"/>
                <w:szCs w:val="18"/>
              </w:rPr>
              <w:t>Round 5 (R5) data collection</w:t>
            </w:r>
          </w:p>
        </w:tc>
        <w:tc>
          <w:tcPr>
            <w:tcW w:w="3076"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hideMark/>
          </w:tcPr>
          <w:p w14:paraId="3D18EC94" w14:textId="77777777" w:rsidR="001C19F3" w:rsidRDefault="001C19F3" w:rsidP="00521305">
            <w:pPr>
              <w:spacing w:after="0"/>
              <w:jc w:val="right"/>
              <w:rPr>
                <w:color w:val="000000"/>
                <w:sz w:val="18"/>
                <w:szCs w:val="18"/>
              </w:rPr>
            </w:pPr>
            <w:r>
              <w:rPr>
                <w:color w:val="000000"/>
                <w:sz w:val="18"/>
                <w:szCs w:val="18"/>
              </w:rPr>
              <w:t>1 July 2020 to 30 June 2021</w:t>
            </w:r>
          </w:p>
        </w:tc>
      </w:tr>
    </w:tbl>
    <w:p w14:paraId="1B5352E4" w14:textId="77777777" w:rsidR="001C19F3" w:rsidRDefault="001C19F3" w:rsidP="001C19F3">
      <w:pPr>
        <w:spacing w:after="0"/>
      </w:pPr>
    </w:p>
    <w:p w14:paraId="669FB005" w14:textId="77777777" w:rsidR="001C19F3" w:rsidRDefault="001C19F3" w:rsidP="001C19F3">
      <w:pPr>
        <w:pStyle w:val="Caption"/>
      </w:pPr>
      <w:bookmarkStart w:id="413" w:name="_Ref23345872"/>
      <w:bookmarkStart w:id="414" w:name="_Hlk23346103"/>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413"/>
      <w:r>
        <w:t xml:space="preserve"> – Patient survey ‘waves’ and time frames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3187"/>
        <w:gridCol w:w="3187"/>
      </w:tblGrid>
      <w:tr w:rsidR="001C19F3" w14:paraId="7B962503" w14:textId="77777777" w:rsidTr="00521305">
        <w:trPr>
          <w:jc w:val="center"/>
        </w:trPr>
        <w:tc>
          <w:tcPr>
            <w:tcW w:w="3187"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003D79"/>
          </w:tcPr>
          <w:p w14:paraId="1730AB14" w14:textId="77777777" w:rsidR="001C19F3" w:rsidRDefault="001C19F3" w:rsidP="00521305">
            <w:pPr>
              <w:spacing w:after="0" w:line="240" w:lineRule="auto"/>
              <w:jc w:val="center"/>
              <w:rPr>
                <w:b/>
                <w:color w:val="FFFFFF"/>
                <w:sz w:val="18"/>
                <w:szCs w:val="18"/>
              </w:rPr>
            </w:pPr>
            <w:r>
              <w:rPr>
                <w:b/>
                <w:color w:val="FFFFFF"/>
                <w:sz w:val="18"/>
                <w:szCs w:val="18"/>
              </w:rPr>
              <w:t>Wave</w:t>
            </w:r>
          </w:p>
        </w:tc>
        <w:tc>
          <w:tcPr>
            <w:tcW w:w="3187"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hideMark/>
          </w:tcPr>
          <w:p w14:paraId="411FCA06" w14:textId="77777777" w:rsidR="001C19F3" w:rsidRDefault="001C19F3" w:rsidP="00521305">
            <w:pPr>
              <w:spacing w:after="0" w:line="240" w:lineRule="auto"/>
              <w:jc w:val="center"/>
              <w:rPr>
                <w:b/>
                <w:color w:val="FFFFFF"/>
                <w:sz w:val="18"/>
                <w:szCs w:val="18"/>
              </w:rPr>
            </w:pPr>
            <w:r>
              <w:rPr>
                <w:b/>
                <w:color w:val="FFFFFF"/>
                <w:sz w:val="18"/>
                <w:szCs w:val="18"/>
              </w:rPr>
              <w:t>Time frame</w:t>
            </w:r>
          </w:p>
        </w:tc>
      </w:tr>
      <w:tr w:rsidR="001C19F3" w14:paraId="54C1158D" w14:textId="77777777" w:rsidTr="00521305">
        <w:trPr>
          <w:jc w:val="center"/>
        </w:trPr>
        <w:tc>
          <w:tcPr>
            <w:tcW w:w="3187"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A16E651" w14:textId="77777777" w:rsidR="001C19F3" w:rsidRDefault="001C19F3" w:rsidP="00521305">
            <w:pPr>
              <w:spacing w:after="0"/>
              <w:rPr>
                <w:color w:val="000000"/>
                <w:sz w:val="18"/>
                <w:szCs w:val="18"/>
              </w:rPr>
            </w:pPr>
            <w:r>
              <w:rPr>
                <w:color w:val="000000"/>
                <w:sz w:val="18"/>
                <w:szCs w:val="18"/>
              </w:rPr>
              <w:t>Wave 1</w:t>
            </w:r>
          </w:p>
        </w:tc>
        <w:tc>
          <w:tcPr>
            <w:tcW w:w="31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6B8E7F93" w14:textId="77777777" w:rsidR="001C19F3" w:rsidRDefault="001C19F3" w:rsidP="00521305">
            <w:pPr>
              <w:spacing w:after="0"/>
              <w:rPr>
                <w:color w:val="000000"/>
                <w:sz w:val="18"/>
                <w:szCs w:val="18"/>
              </w:rPr>
            </w:pPr>
            <w:r w:rsidRPr="006F71BC">
              <w:rPr>
                <w:color w:val="000000"/>
                <w:sz w:val="18"/>
                <w:szCs w:val="18"/>
              </w:rPr>
              <w:t>December 2017 to March 2019</w:t>
            </w:r>
          </w:p>
        </w:tc>
      </w:tr>
      <w:tr w:rsidR="001C19F3" w14:paraId="06C5F36F" w14:textId="77777777" w:rsidTr="00521305">
        <w:trPr>
          <w:jc w:val="center"/>
        </w:trPr>
        <w:tc>
          <w:tcPr>
            <w:tcW w:w="3187"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E649279" w14:textId="77777777" w:rsidR="001C19F3" w:rsidRDefault="001C19F3" w:rsidP="00521305">
            <w:pPr>
              <w:spacing w:after="0"/>
              <w:rPr>
                <w:color w:val="000000"/>
                <w:sz w:val="18"/>
                <w:szCs w:val="18"/>
              </w:rPr>
            </w:pPr>
            <w:r w:rsidRPr="00867EB4">
              <w:rPr>
                <w:color w:val="000000"/>
                <w:sz w:val="18"/>
                <w:szCs w:val="18"/>
              </w:rPr>
              <w:t xml:space="preserve">Wave </w:t>
            </w:r>
            <w:r>
              <w:rPr>
                <w:color w:val="000000"/>
                <w:sz w:val="18"/>
                <w:szCs w:val="18"/>
              </w:rPr>
              <w:t>2</w:t>
            </w:r>
          </w:p>
        </w:tc>
        <w:tc>
          <w:tcPr>
            <w:tcW w:w="31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4353F40A" w14:textId="77777777" w:rsidR="001C19F3" w:rsidRDefault="001C19F3" w:rsidP="00521305">
            <w:pPr>
              <w:spacing w:after="0"/>
              <w:rPr>
                <w:color w:val="000000"/>
                <w:sz w:val="18"/>
                <w:szCs w:val="18"/>
              </w:rPr>
            </w:pPr>
            <w:r w:rsidRPr="006F71BC">
              <w:rPr>
                <w:color w:val="000000"/>
                <w:sz w:val="18"/>
                <w:szCs w:val="18"/>
              </w:rPr>
              <w:t>December 2019 to March 2020</w:t>
            </w:r>
          </w:p>
        </w:tc>
      </w:tr>
      <w:tr w:rsidR="001C19F3" w14:paraId="02DABBDF" w14:textId="77777777" w:rsidTr="00521305">
        <w:trPr>
          <w:jc w:val="center"/>
        </w:trPr>
        <w:tc>
          <w:tcPr>
            <w:tcW w:w="3187"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318ADF5" w14:textId="77777777" w:rsidR="001C19F3" w:rsidRDefault="001C19F3" w:rsidP="00521305">
            <w:pPr>
              <w:spacing w:after="0"/>
              <w:rPr>
                <w:color w:val="000000"/>
                <w:sz w:val="18"/>
                <w:szCs w:val="18"/>
              </w:rPr>
            </w:pPr>
            <w:r w:rsidRPr="00867EB4">
              <w:rPr>
                <w:color w:val="000000"/>
                <w:sz w:val="18"/>
                <w:szCs w:val="18"/>
              </w:rPr>
              <w:t xml:space="preserve">Wave </w:t>
            </w:r>
            <w:r>
              <w:rPr>
                <w:color w:val="000000"/>
                <w:sz w:val="18"/>
                <w:szCs w:val="18"/>
              </w:rPr>
              <w:t>3</w:t>
            </w:r>
          </w:p>
        </w:tc>
        <w:tc>
          <w:tcPr>
            <w:tcW w:w="31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14D67888" w14:textId="77777777" w:rsidR="001C19F3" w:rsidRDefault="001C19F3" w:rsidP="00521305">
            <w:pPr>
              <w:spacing w:after="0"/>
              <w:rPr>
                <w:color w:val="000000"/>
                <w:sz w:val="18"/>
                <w:szCs w:val="18"/>
              </w:rPr>
            </w:pPr>
            <w:r w:rsidRPr="006F71BC">
              <w:rPr>
                <w:color w:val="000000"/>
                <w:sz w:val="18"/>
                <w:szCs w:val="18"/>
              </w:rPr>
              <w:t>December 2020 to March 2021</w:t>
            </w:r>
          </w:p>
        </w:tc>
      </w:tr>
    </w:tbl>
    <w:p w14:paraId="1C6611E9" w14:textId="77777777" w:rsidR="001C19F3" w:rsidRDefault="001C19F3" w:rsidP="001C19F3">
      <w:pPr>
        <w:spacing w:after="0"/>
      </w:pPr>
    </w:p>
    <w:p w14:paraId="12C9DE75" w14:textId="77777777" w:rsidR="001C19F3" w:rsidRPr="00325529" w:rsidRDefault="001C19F3" w:rsidP="001C19F3">
      <w:pPr>
        <w:spacing w:after="0"/>
        <w:jc w:val="center"/>
        <w:rPr>
          <w:b/>
          <w:color w:val="000000"/>
          <w:sz w:val="18"/>
          <w:szCs w:val="18"/>
        </w:rPr>
      </w:pPr>
      <w:bookmarkStart w:id="415" w:name="_Ref20819524"/>
      <w:bookmarkStart w:id="416" w:name="_Hlk22461004"/>
      <w:bookmarkEnd w:id="414"/>
      <w:r w:rsidRPr="00325529">
        <w:rPr>
          <w:b/>
          <w:color w:val="000000"/>
          <w:sz w:val="18"/>
          <w:szCs w:val="18"/>
        </w:rPr>
        <w:t xml:space="preserve">Table </w:t>
      </w:r>
      <w:r w:rsidRPr="00325529">
        <w:rPr>
          <w:b/>
          <w:color w:val="000000"/>
          <w:sz w:val="18"/>
          <w:szCs w:val="18"/>
        </w:rPr>
        <w:fldChar w:fldCharType="begin"/>
      </w:r>
      <w:r w:rsidRPr="00325529">
        <w:rPr>
          <w:b/>
          <w:color w:val="000000"/>
          <w:sz w:val="18"/>
          <w:szCs w:val="18"/>
        </w:rPr>
        <w:instrText xml:space="preserve"> SEQ Table \* ARABIC </w:instrText>
      </w:r>
      <w:r w:rsidRPr="00325529">
        <w:rPr>
          <w:b/>
          <w:color w:val="000000"/>
          <w:sz w:val="18"/>
          <w:szCs w:val="18"/>
        </w:rPr>
        <w:fldChar w:fldCharType="separate"/>
      </w:r>
      <w:r>
        <w:rPr>
          <w:b/>
          <w:noProof/>
          <w:color w:val="000000"/>
          <w:sz w:val="18"/>
          <w:szCs w:val="18"/>
        </w:rPr>
        <w:t>4</w:t>
      </w:r>
      <w:r w:rsidRPr="00325529">
        <w:rPr>
          <w:b/>
          <w:noProof/>
          <w:color w:val="000000"/>
          <w:sz w:val="18"/>
          <w:szCs w:val="18"/>
        </w:rPr>
        <w:fldChar w:fldCharType="end"/>
      </w:r>
      <w:bookmarkEnd w:id="415"/>
      <w:r w:rsidRPr="00325529">
        <w:rPr>
          <w:b/>
          <w:color w:val="000000"/>
          <w:sz w:val="18"/>
          <w:szCs w:val="18"/>
        </w:rPr>
        <w:t xml:space="preserve"> – Evaluation data sources</w:t>
      </w:r>
    </w:p>
    <w:tbl>
      <w:tblPr>
        <w:tblW w:w="920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122"/>
        <w:gridCol w:w="1134"/>
        <w:gridCol w:w="1275"/>
        <w:gridCol w:w="1134"/>
        <w:gridCol w:w="1134"/>
        <w:gridCol w:w="1276"/>
        <w:gridCol w:w="1134"/>
      </w:tblGrid>
      <w:tr w:rsidR="001C19F3" w:rsidRPr="00325529" w14:paraId="0F37F267" w14:textId="77777777" w:rsidTr="00521305">
        <w:trPr>
          <w:trHeight w:val="255"/>
          <w:tblHeader/>
          <w:jc w:val="center"/>
        </w:trPr>
        <w:tc>
          <w:tcPr>
            <w:tcW w:w="2122" w:type="dxa"/>
            <w:vMerge w:val="restart"/>
            <w:shd w:val="clear" w:color="auto" w:fill="003D79"/>
            <w:vAlign w:val="center"/>
          </w:tcPr>
          <w:p w14:paraId="6567EB92" w14:textId="77777777" w:rsidR="001C19F3" w:rsidRPr="00325529" w:rsidRDefault="001C19F3" w:rsidP="00521305">
            <w:pPr>
              <w:spacing w:after="0"/>
              <w:jc w:val="center"/>
              <w:rPr>
                <w:b/>
                <w:sz w:val="18"/>
                <w:szCs w:val="18"/>
              </w:rPr>
            </w:pPr>
            <w:r w:rsidRPr="00325529">
              <w:rPr>
                <w:b/>
                <w:sz w:val="18"/>
                <w:szCs w:val="18"/>
              </w:rPr>
              <w:t>Data source</w:t>
            </w:r>
          </w:p>
        </w:tc>
        <w:tc>
          <w:tcPr>
            <w:tcW w:w="1134" w:type="dxa"/>
            <w:vMerge w:val="restart"/>
            <w:shd w:val="clear" w:color="auto" w:fill="003D79"/>
            <w:vAlign w:val="center"/>
          </w:tcPr>
          <w:p w14:paraId="5EC51B4D" w14:textId="77777777" w:rsidR="001C19F3" w:rsidRPr="00325529" w:rsidRDefault="001C19F3" w:rsidP="00521305">
            <w:pPr>
              <w:spacing w:after="0"/>
              <w:jc w:val="center"/>
              <w:rPr>
                <w:b/>
                <w:sz w:val="18"/>
                <w:szCs w:val="18"/>
              </w:rPr>
            </w:pPr>
            <w:r>
              <w:rPr>
                <w:b/>
                <w:sz w:val="18"/>
                <w:szCs w:val="18"/>
              </w:rPr>
              <w:t xml:space="preserve">Key questions </w:t>
            </w:r>
          </w:p>
        </w:tc>
        <w:tc>
          <w:tcPr>
            <w:tcW w:w="1275" w:type="dxa"/>
            <w:vMerge w:val="restart"/>
            <w:shd w:val="clear" w:color="auto" w:fill="003D79"/>
            <w:vAlign w:val="center"/>
          </w:tcPr>
          <w:p w14:paraId="4AB53BF4" w14:textId="77777777" w:rsidR="001C19F3" w:rsidRPr="00325529" w:rsidRDefault="001C19F3" w:rsidP="00521305">
            <w:pPr>
              <w:spacing w:after="0"/>
              <w:jc w:val="center"/>
              <w:rPr>
                <w:b/>
                <w:sz w:val="18"/>
                <w:szCs w:val="18"/>
              </w:rPr>
            </w:pPr>
            <w:r w:rsidRPr="00325529">
              <w:rPr>
                <w:b/>
                <w:sz w:val="18"/>
                <w:szCs w:val="18"/>
              </w:rPr>
              <w:t>Collection type</w:t>
            </w:r>
          </w:p>
        </w:tc>
        <w:tc>
          <w:tcPr>
            <w:tcW w:w="3544" w:type="dxa"/>
            <w:gridSpan w:val="3"/>
            <w:shd w:val="clear" w:color="auto" w:fill="003D79"/>
            <w:vAlign w:val="center"/>
          </w:tcPr>
          <w:p w14:paraId="25C9D775" w14:textId="77777777" w:rsidR="001C19F3" w:rsidRPr="00325529" w:rsidRDefault="001C19F3" w:rsidP="00521305">
            <w:pPr>
              <w:spacing w:after="0"/>
              <w:jc w:val="center"/>
              <w:rPr>
                <w:b/>
                <w:sz w:val="18"/>
                <w:szCs w:val="18"/>
              </w:rPr>
            </w:pPr>
            <w:r>
              <w:rPr>
                <w:b/>
                <w:sz w:val="18"/>
                <w:szCs w:val="18"/>
              </w:rPr>
              <w:t xml:space="preserve">Report in which data are used and data collection round/ </w:t>
            </w:r>
            <w:r w:rsidRPr="00325529">
              <w:rPr>
                <w:b/>
                <w:sz w:val="18"/>
                <w:szCs w:val="18"/>
              </w:rPr>
              <w:t>period</w:t>
            </w:r>
          </w:p>
        </w:tc>
        <w:tc>
          <w:tcPr>
            <w:tcW w:w="1134" w:type="dxa"/>
            <w:vMerge w:val="restart"/>
            <w:shd w:val="clear" w:color="auto" w:fill="003D79"/>
            <w:vAlign w:val="center"/>
          </w:tcPr>
          <w:p w14:paraId="4B5B78D9" w14:textId="77777777" w:rsidR="001C19F3" w:rsidRPr="00325529" w:rsidRDefault="001C19F3" w:rsidP="00521305">
            <w:pPr>
              <w:spacing w:after="0"/>
              <w:jc w:val="center"/>
              <w:rPr>
                <w:b/>
                <w:sz w:val="18"/>
                <w:szCs w:val="18"/>
              </w:rPr>
            </w:pPr>
            <w:r>
              <w:rPr>
                <w:b/>
                <w:sz w:val="18"/>
                <w:szCs w:val="18"/>
              </w:rPr>
              <w:t>Chapter in which data are presented in Vol. 4</w:t>
            </w:r>
          </w:p>
        </w:tc>
      </w:tr>
      <w:tr w:rsidR="001C19F3" w:rsidRPr="00325529" w14:paraId="6B6803B0" w14:textId="77777777" w:rsidTr="00521305">
        <w:trPr>
          <w:trHeight w:val="255"/>
          <w:tblHeader/>
          <w:jc w:val="center"/>
        </w:trPr>
        <w:tc>
          <w:tcPr>
            <w:tcW w:w="2122" w:type="dxa"/>
            <w:vMerge/>
            <w:shd w:val="clear" w:color="auto" w:fill="003D79"/>
            <w:vAlign w:val="center"/>
          </w:tcPr>
          <w:p w14:paraId="705B1D86" w14:textId="77777777" w:rsidR="001C19F3" w:rsidRPr="00325529" w:rsidRDefault="001C19F3" w:rsidP="00521305">
            <w:pPr>
              <w:spacing w:after="0"/>
              <w:jc w:val="center"/>
              <w:rPr>
                <w:b/>
                <w:sz w:val="18"/>
                <w:szCs w:val="18"/>
              </w:rPr>
            </w:pPr>
          </w:p>
        </w:tc>
        <w:tc>
          <w:tcPr>
            <w:tcW w:w="1134" w:type="dxa"/>
            <w:vMerge/>
            <w:shd w:val="clear" w:color="auto" w:fill="003D79"/>
            <w:vAlign w:val="center"/>
          </w:tcPr>
          <w:p w14:paraId="7288A226" w14:textId="77777777" w:rsidR="001C19F3" w:rsidRDefault="001C19F3" w:rsidP="00521305">
            <w:pPr>
              <w:spacing w:after="0"/>
              <w:jc w:val="center"/>
              <w:rPr>
                <w:b/>
                <w:sz w:val="18"/>
                <w:szCs w:val="18"/>
              </w:rPr>
            </w:pPr>
          </w:p>
        </w:tc>
        <w:tc>
          <w:tcPr>
            <w:tcW w:w="1275" w:type="dxa"/>
            <w:vMerge/>
            <w:shd w:val="clear" w:color="auto" w:fill="003D79"/>
            <w:vAlign w:val="center"/>
          </w:tcPr>
          <w:p w14:paraId="7EC19166" w14:textId="77777777" w:rsidR="001C19F3" w:rsidRPr="00325529" w:rsidRDefault="001C19F3" w:rsidP="00521305">
            <w:pPr>
              <w:spacing w:after="0"/>
              <w:jc w:val="center"/>
              <w:rPr>
                <w:b/>
                <w:sz w:val="18"/>
                <w:szCs w:val="18"/>
              </w:rPr>
            </w:pPr>
          </w:p>
        </w:tc>
        <w:tc>
          <w:tcPr>
            <w:tcW w:w="1134" w:type="dxa"/>
            <w:shd w:val="clear" w:color="auto" w:fill="003D79"/>
            <w:vAlign w:val="center"/>
          </w:tcPr>
          <w:p w14:paraId="62F3F129" w14:textId="77777777" w:rsidR="001C19F3" w:rsidRPr="00325529" w:rsidRDefault="001C19F3" w:rsidP="00521305">
            <w:pPr>
              <w:spacing w:after="0"/>
              <w:jc w:val="center"/>
              <w:rPr>
                <w:b/>
                <w:sz w:val="18"/>
                <w:szCs w:val="18"/>
              </w:rPr>
            </w:pPr>
            <w:r>
              <w:rPr>
                <w:b/>
                <w:sz w:val="18"/>
                <w:szCs w:val="18"/>
              </w:rPr>
              <w:t>Interim 2019</w:t>
            </w:r>
          </w:p>
        </w:tc>
        <w:tc>
          <w:tcPr>
            <w:tcW w:w="1134" w:type="dxa"/>
            <w:shd w:val="clear" w:color="auto" w:fill="003D79"/>
            <w:vAlign w:val="center"/>
          </w:tcPr>
          <w:p w14:paraId="43779C85" w14:textId="77777777" w:rsidR="001C19F3" w:rsidRPr="00325529" w:rsidRDefault="001C19F3" w:rsidP="00521305">
            <w:pPr>
              <w:spacing w:after="0"/>
              <w:jc w:val="center"/>
              <w:rPr>
                <w:b/>
                <w:sz w:val="18"/>
                <w:szCs w:val="18"/>
              </w:rPr>
            </w:pPr>
            <w:r>
              <w:rPr>
                <w:b/>
                <w:sz w:val="18"/>
                <w:szCs w:val="18"/>
              </w:rPr>
              <w:t>Interim 2020</w:t>
            </w:r>
          </w:p>
        </w:tc>
        <w:tc>
          <w:tcPr>
            <w:tcW w:w="1276" w:type="dxa"/>
            <w:shd w:val="clear" w:color="auto" w:fill="003D79"/>
            <w:vAlign w:val="center"/>
          </w:tcPr>
          <w:p w14:paraId="5EBC6000" w14:textId="77777777" w:rsidR="001C19F3" w:rsidRPr="00325529" w:rsidRDefault="001C19F3" w:rsidP="00521305">
            <w:pPr>
              <w:spacing w:after="0"/>
              <w:jc w:val="center"/>
              <w:rPr>
                <w:b/>
                <w:sz w:val="18"/>
                <w:szCs w:val="18"/>
              </w:rPr>
            </w:pPr>
            <w:r>
              <w:rPr>
                <w:b/>
                <w:sz w:val="18"/>
                <w:szCs w:val="18"/>
              </w:rPr>
              <w:t>Final report 2021</w:t>
            </w:r>
          </w:p>
        </w:tc>
        <w:tc>
          <w:tcPr>
            <w:tcW w:w="1134" w:type="dxa"/>
            <w:vMerge/>
            <w:shd w:val="clear" w:color="auto" w:fill="003D79"/>
            <w:vAlign w:val="center"/>
          </w:tcPr>
          <w:p w14:paraId="7BBBB6FD" w14:textId="77777777" w:rsidR="001C19F3" w:rsidRDefault="001C19F3" w:rsidP="00521305">
            <w:pPr>
              <w:spacing w:after="0"/>
              <w:jc w:val="center"/>
              <w:rPr>
                <w:b/>
                <w:sz w:val="18"/>
                <w:szCs w:val="18"/>
              </w:rPr>
            </w:pPr>
          </w:p>
        </w:tc>
      </w:tr>
      <w:tr w:rsidR="001C19F3" w:rsidRPr="00325529" w14:paraId="775D70F2" w14:textId="77777777" w:rsidTr="00521305">
        <w:trPr>
          <w:jc w:val="center"/>
        </w:trPr>
        <w:tc>
          <w:tcPr>
            <w:tcW w:w="2122" w:type="dxa"/>
          </w:tcPr>
          <w:p w14:paraId="106279D7" w14:textId="77777777" w:rsidR="001C19F3" w:rsidRPr="00325529" w:rsidRDefault="001C19F3" w:rsidP="00521305">
            <w:pPr>
              <w:spacing w:after="0"/>
              <w:rPr>
                <w:sz w:val="18"/>
                <w:szCs w:val="18"/>
              </w:rPr>
            </w:pPr>
            <w:r>
              <w:rPr>
                <w:sz w:val="18"/>
                <w:szCs w:val="18"/>
              </w:rPr>
              <w:t>Patient surveys</w:t>
            </w:r>
          </w:p>
        </w:tc>
        <w:tc>
          <w:tcPr>
            <w:tcW w:w="1134" w:type="dxa"/>
          </w:tcPr>
          <w:p w14:paraId="2CE8ED2C" w14:textId="77777777" w:rsidR="001C19F3" w:rsidRPr="00325529" w:rsidRDefault="001C19F3" w:rsidP="00521305">
            <w:pPr>
              <w:spacing w:after="0"/>
              <w:jc w:val="center"/>
              <w:rPr>
                <w:sz w:val="18"/>
                <w:szCs w:val="18"/>
              </w:rPr>
            </w:pPr>
            <w:r>
              <w:rPr>
                <w:sz w:val="18"/>
                <w:szCs w:val="18"/>
              </w:rPr>
              <w:t>3</w:t>
            </w:r>
          </w:p>
        </w:tc>
        <w:tc>
          <w:tcPr>
            <w:tcW w:w="1275" w:type="dxa"/>
          </w:tcPr>
          <w:p w14:paraId="7EDF7012" w14:textId="77777777" w:rsidR="001C19F3" w:rsidRPr="00325529" w:rsidRDefault="001C19F3" w:rsidP="00521305">
            <w:pPr>
              <w:spacing w:after="0"/>
              <w:jc w:val="center"/>
              <w:rPr>
                <w:sz w:val="18"/>
                <w:szCs w:val="18"/>
              </w:rPr>
            </w:pPr>
            <w:r w:rsidRPr="00325529">
              <w:rPr>
                <w:sz w:val="18"/>
                <w:szCs w:val="18"/>
              </w:rPr>
              <w:t>Primary</w:t>
            </w:r>
          </w:p>
        </w:tc>
        <w:tc>
          <w:tcPr>
            <w:tcW w:w="1134" w:type="dxa"/>
          </w:tcPr>
          <w:p w14:paraId="5CDB607E" w14:textId="77777777" w:rsidR="001C19F3" w:rsidRPr="00993F50" w:rsidRDefault="001C19F3" w:rsidP="00521305">
            <w:pPr>
              <w:spacing w:after="0"/>
              <w:jc w:val="center"/>
              <w:rPr>
                <w:sz w:val="18"/>
                <w:szCs w:val="18"/>
                <w:highlight w:val="yellow"/>
              </w:rPr>
            </w:pPr>
            <w:r>
              <w:rPr>
                <w:sz w:val="18"/>
                <w:szCs w:val="18"/>
              </w:rPr>
              <w:t>Wave 1</w:t>
            </w:r>
          </w:p>
        </w:tc>
        <w:tc>
          <w:tcPr>
            <w:tcW w:w="1134" w:type="dxa"/>
          </w:tcPr>
          <w:p w14:paraId="6711A8A6" w14:textId="77777777" w:rsidR="001C19F3" w:rsidRPr="00A32DC6" w:rsidRDefault="001C19F3" w:rsidP="00521305">
            <w:pPr>
              <w:spacing w:after="0"/>
              <w:jc w:val="center"/>
              <w:rPr>
                <w:sz w:val="18"/>
                <w:szCs w:val="18"/>
              </w:rPr>
            </w:pPr>
            <w:r>
              <w:rPr>
                <w:sz w:val="18"/>
                <w:szCs w:val="18"/>
              </w:rPr>
              <w:t>Wave 2</w:t>
            </w:r>
          </w:p>
        </w:tc>
        <w:tc>
          <w:tcPr>
            <w:tcW w:w="1276" w:type="dxa"/>
          </w:tcPr>
          <w:p w14:paraId="2B7FD135" w14:textId="77777777" w:rsidR="001C19F3" w:rsidRPr="00A32DC6" w:rsidRDefault="001C19F3" w:rsidP="00521305">
            <w:pPr>
              <w:spacing w:after="0"/>
              <w:jc w:val="center"/>
              <w:rPr>
                <w:sz w:val="18"/>
                <w:szCs w:val="18"/>
              </w:rPr>
            </w:pPr>
            <w:r>
              <w:rPr>
                <w:sz w:val="18"/>
                <w:szCs w:val="18"/>
              </w:rPr>
              <w:t>Wave 1, 2 and 3</w:t>
            </w:r>
          </w:p>
        </w:tc>
        <w:tc>
          <w:tcPr>
            <w:tcW w:w="1134" w:type="dxa"/>
            <w:shd w:val="clear" w:color="auto" w:fill="auto"/>
          </w:tcPr>
          <w:p w14:paraId="61899D1E" w14:textId="77777777" w:rsidR="001C19F3" w:rsidRPr="001E1772" w:rsidRDefault="001C19F3" w:rsidP="00521305">
            <w:pPr>
              <w:spacing w:after="0"/>
              <w:jc w:val="center"/>
              <w:rPr>
                <w:sz w:val="18"/>
                <w:szCs w:val="18"/>
              </w:rPr>
            </w:pPr>
            <w:r w:rsidRPr="001E1772">
              <w:rPr>
                <w:sz w:val="18"/>
                <w:szCs w:val="18"/>
              </w:rPr>
              <w:t>4</w:t>
            </w:r>
          </w:p>
        </w:tc>
      </w:tr>
      <w:tr w:rsidR="001C19F3" w:rsidRPr="00325529" w14:paraId="74B0AD66" w14:textId="77777777" w:rsidTr="00521305">
        <w:trPr>
          <w:jc w:val="center"/>
        </w:trPr>
        <w:tc>
          <w:tcPr>
            <w:tcW w:w="2122" w:type="dxa"/>
          </w:tcPr>
          <w:p w14:paraId="56C2E714" w14:textId="77777777" w:rsidR="001C19F3" w:rsidRPr="00325529" w:rsidRDefault="001C19F3" w:rsidP="00521305">
            <w:pPr>
              <w:spacing w:after="0"/>
              <w:rPr>
                <w:sz w:val="18"/>
                <w:szCs w:val="18"/>
              </w:rPr>
            </w:pPr>
            <w:r w:rsidRPr="00325529">
              <w:rPr>
                <w:sz w:val="18"/>
                <w:szCs w:val="18"/>
              </w:rPr>
              <w:t>Practice surveys</w:t>
            </w:r>
          </w:p>
        </w:tc>
        <w:tc>
          <w:tcPr>
            <w:tcW w:w="1134" w:type="dxa"/>
          </w:tcPr>
          <w:p w14:paraId="0E27CB27" w14:textId="77777777" w:rsidR="001C19F3" w:rsidRPr="00325529" w:rsidRDefault="001C19F3" w:rsidP="00521305">
            <w:pPr>
              <w:spacing w:after="0"/>
              <w:jc w:val="center"/>
              <w:rPr>
                <w:sz w:val="18"/>
                <w:szCs w:val="18"/>
              </w:rPr>
            </w:pPr>
            <w:r>
              <w:rPr>
                <w:sz w:val="18"/>
                <w:szCs w:val="18"/>
              </w:rPr>
              <w:t>1, 2, 4</w:t>
            </w:r>
          </w:p>
        </w:tc>
        <w:tc>
          <w:tcPr>
            <w:tcW w:w="1275" w:type="dxa"/>
          </w:tcPr>
          <w:p w14:paraId="27A94553" w14:textId="77777777" w:rsidR="001C19F3" w:rsidRPr="00325529" w:rsidRDefault="001C19F3" w:rsidP="00521305">
            <w:pPr>
              <w:spacing w:after="0"/>
              <w:jc w:val="center"/>
              <w:rPr>
                <w:sz w:val="18"/>
                <w:szCs w:val="18"/>
              </w:rPr>
            </w:pPr>
            <w:r w:rsidRPr="00325529">
              <w:rPr>
                <w:sz w:val="18"/>
                <w:szCs w:val="18"/>
              </w:rPr>
              <w:t>Primary</w:t>
            </w:r>
          </w:p>
        </w:tc>
        <w:tc>
          <w:tcPr>
            <w:tcW w:w="1134" w:type="dxa"/>
          </w:tcPr>
          <w:p w14:paraId="23D556CC" w14:textId="77777777" w:rsidR="001C19F3" w:rsidRPr="00993F50" w:rsidRDefault="001C19F3" w:rsidP="00521305">
            <w:pPr>
              <w:spacing w:after="0"/>
              <w:jc w:val="center"/>
              <w:rPr>
                <w:sz w:val="18"/>
                <w:szCs w:val="18"/>
                <w:highlight w:val="yellow"/>
              </w:rPr>
            </w:pPr>
            <w:r>
              <w:rPr>
                <w:sz w:val="18"/>
                <w:szCs w:val="18"/>
              </w:rPr>
              <w:t>R1 R2</w:t>
            </w:r>
          </w:p>
        </w:tc>
        <w:tc>
          <w:tcPr>
            <w:tcW w:w="1134" w:type="dxa"/>
          </w:tcPr>
          <w:p w14:paraId="4A6F9B30" w14:textId="77777777" w:rsidR="001C19F3" w:rsidRPr="00993F50" w:rsidRDefault="001C19F3" w:rsidP="00521305">
            <w:pPr>
              <w:spacing w:after="0"/>
              <w:jc w:val="center"/>
              <w:rPr>
                <w:sz w:val="18"/>
                <w:szCs w:val="18"/>
                <w:highlight w:val="yellow"/>
              </w:rPr>
            </w:pPr>
            <w:r>
              <w:rPr>
                <w:sz w:val="18"/>
                <w:szCs w:val="18"/>
              </w:rPr>
              <w:t>R1 R2 R4</w:t>
            </w:r>
          </w:p>
        </w:tc>
        <w:tc>
          <w:tcPr>
            <w:tcW w:w="1276" w:type="dxa"/>
          </w:tcPr>
          <w:p w14:paraId="36A15A6D" w14:textId="77777777" w:rsidR="001C19F3" w:rsidRPr="00993F50" w:rsidRDefault="001C19F3" w:rsidP="00521305">
            <w:pPr>
              <w:spacing w:after="0"/>
              <w:jc w:val="center"/>
              <w:rPr>
                <w:sz w:val="18"/>
                <w:szCs w:val="18"/>
                <w:highlight w:val="yellow"/>
              </w:rPr>
            </w:pPr>
            <w:r>
              <w:rPr>
                <w:sz w:val="18"/>
                <w:szCs w:val="18"/>
              </w:rPr>
              <w:t>R1 R2 R4 R5</w:t>
            </w:r>
          </w:p>
        </w:tc>
        <w:tc>
          <w:tcPr>
            <w:tcW w:w="1134" w:type="dxa"/>
            <w:shd w:val="clear" w:color="auto" w:fill="auto"/>
          </w:tcPr>
          <w:p w14:paraId="6716E734" w14:textId="77777777" w:rsidR="001C19F3" w:rsidRPr="001E1772" w:rsidRDefault="001C19F3" w:rsidP="00521305">
            <w:pPr>
              <w:spacing w:after="0"/>
              <w:jc w:val="center"/>
              <w:rPr>
                <w:sz w:val="18"/>
                <w:szCs w:val="18"/>
              </w:rPr>
            </w:pPr>
            <w:r w:rsidRPr="001E1772">
              <w:rPr>
                <w:sz w:val="18"/>
                <w:szCs w:val="18"/>
              </w:rPr>
              <w:t>2</w:t>
            </w:r>
          </w:p>
        </w:tc>
      </w:tr>
      <w:tr w:rsidR="001C19F3" w:rsidRPr="00325529" w14:paraId="0D3AE948" w14:textId="77777777" w:rsidTr="00521305">
        <w:trPr>
          <w:jc w:val="center"/>
        </w:trPr>
        <w:tc>
          <w:tcPr>
            <w:tcW w:w="2122" w:type="dxa"/>
          </w:tcPr>
          <w:p w14:paraId="38F91765" w14:textId="77777777" w:rsidR="001C19F3" w:rsidRPr="00325529" w:rsidRDefault="001C19F3" w:rsidP="00521305">
            <w:pPr>
              <w:spacing w:after="0"/>
              <w:rPr>
                <w:sz w:val="18"/>
                <w:szCs w:val="18"/>
              </w:rPr>
            </w:pPr>
            <w:r w:rsidRPr="00325529">
              <w:rPr>
                <w:sz w:val="18"/>
                <w:szCs w:val="18"/>
              </w:rPr>
              <w:t>Practice staff surveys</w:t>
            </w:r>
          </w:p>
        </w:tc>
        <w:tc>
          <w:tcPr>
            <w:tcW w:w="1134" w:type="dxa"/>
          </w:tcPr>
          <w:p w14:paraId="4703428D" w14:textId="77777777" w:rsidR="001C19F3" w:rsidRPr="00325529" w:rsidRDefault="001C19F3" w:rsidP="00521305">
            <w:pPr>
              <w:spacing w:after="0"/>
              <w:jc w:val="center"/>
              <w:rPr>
                <w:sz w:val="18"/>
                <w:szCs w:val="18"/>
              </w:rPr>
            </w:pPr>
            <w:r>
              <w:rPr>
                <w:sz w:val="18"/>
                <w:szCs w:val="18"/>
              </w:rPr>
              <w:t>1, 2, 4</w:t>
            </w:r>
          </w:p>
        </w:tc>
        <w:tc>
          <w:tcPr>
            <w:tcW w:w="1275" w:type="dxa"/>
          </w:tcPr>
          <w:p w14:paraId="631CF24A" w14:textId="77777777" w:rsidR="001C19F3" w:rsidRPr="00325529" w:rsidRDefault="001C19F3" w:rsidP="00521305">
            <w:pPr>
              <w:spacing w:after="0"/>
              <w:jc w:val="center"/>
              <w:rPr>
                <w:sz w:val="18"/>
                <w:szCs w:val="18"/>
              </w:rPr>
            </w:pPr>
            <w:r w:rsidRPr="00325529">
              <w:rPr>
                <w:sz w:val="18"/>
                <w:szCs w:val="18"/>
              </w:rPr>
              <w:t>Primary</w:t>
            </w:r>
          </w:p>
        </w:tc>
        <w:tc>
          <w:tcPr>
            <w:tcW w:w="1134" w:type="dxa"/>
          </w:tcPr>
          <w:p w14:paraId="6887DD44" w14:textId="77777777" w:rsidR="001C19F3" w:rsidRPr="00D2731A" w:rsidRDefault="001C19F3" w:rsidP="00521305">
            <w:pPr>
              <w:spacing w:after="0"/>
              <w:jc w:val="center"/>
              <w:rPr>
                <w:sz w:val="18"/>
                <w:szCs w:val="18"/>
                <w:highlight w:val="yellow"/>
              </w:rPr>
            </w:pPr>
            <w:r>
              <w:rPr>
                <w:sz w:val="18"/>
                <w:szCs w:val="18"/>
              </w:rPr>
              <w:t>R1 R2</w:t>
            </w:r>
          </w:p>
        </w:tc>
        <w:tc>
          <w:tcPr>
            <w:tcW w:w="1134" w:type="dxa"/>
          </w:tcPr>
          <w:p w14:paraId="3F40787B" w14:textId="77777777" w:rsidR="001C19F3" w:rsidRPr="00D2731A" w:rsidRDefault="001C19F3" w:rsidP="00521305">
            <w:pPr>
              <w:spacing w:after="0"/>
              <w:jc w:val="center"/>
              <w:rPr>
                <w:sz w:val="18"/>
                <w:szCs w:val="18"/>
                <w:highlight w:val="yellow"/>
              </w:rPr>
            </w:pPr>
            <w:r>
              <w:rPr>
                <w:sz w:val="18"/>
                <w:szCs w:val="18"/>
              </w:rPr>
              <w:t>R1 R2 R4</w:t>
            </w:r>
          </w:p>
        </w:tc>
        <w:tc>
          <w:tcPr>
            <w:tcW w:w="1276" w:type="dxa"/>
          </w:tcPr>
          <w:p w14:paraId="275AED6A" w14:textId="77777777" w:rsidR="001C19F3" w:rsidRPr="00D2731A" w:rsidRDefault="001C19F3" w:rsidP="00521305">
            <w:pPr>
              <w:spacing w:after="0"/>
              <w:jc w:val="center"/>
              <w:rPr>
                <w:sz w:val="18"/>
                <w:szCs w:val="18"/>
                <w:highlight w:val="yellow"/>
              </w:rPr>
            </w:pPr>
            <w:r>
              <w:rPr>
                <w:sz w:val="18"/>
                <w:szCs w:val="18"/>
              </w:rPr>
              <w:t>R1 R2 R4 R5</w:t>
            </w:r>
          </w:p>
        </w:tc>
        <w:tc>
          <w:tcPr>
            <w:tcW w:w="1134" w:type="dxa"/>
            <w:shd w:val="clear" w:color="auto" w:fill="auto"/>
          </w:tcPr>
          <w:p w14:paraId="6652B01B" w14:textId="77777777" w:rsidR="001C19F3" w:rsidRPr="001E1772" w:rsidRDefault="001C19F3" w:rsidP="00521305">
            <w:pPr>
              <w:spacing w:after="0"/>
              <w:jc w:val="center"/>
              <w:rPr>
                <w:sz w:val="18"/>
                <w:szCs w:val="18"/>
              </w:rPr>
            </w:pPr>
            <w:r w:rsidRPr="001E1772">
              <w:rPr>
                <w:sz w:val="18"/>
                <w:szCs w:val="18"/>
              </w:rPr>
              <w:t>2</w:t>
            </w:r>
          </w:p>
        </w:tc>
      </w:tr>
      <w:tr w:rsidR="001C19F3" w:rsidRPr="00325529" w14:paraId="341860DB" w14:textId="77777777" w:rsidTr="00521305">
        <w:trPr>
          <w:jc w:val="center"/>
        </w:trPr>
        <w:tc>
          <w:tcPr>
            <w:tcW w:w="2122" w:type="dxa"/>
          </w:tcPr>
          <w:p w14:paraId="28143118" w14:textId="77777777" w:rsidR="001C19F3" w:rsidRPr="00325529" w:rsidRDefault="001C19F3" w:rsidP="00521305">
            <w:pPr>
              <w:spacing w:after="0"/>
              <w:rPr>
                <w:sz w:val="18"/>
                <w:szCs w:val="18"/>
              </w:rPr>
            </w:pPr>
            <w:r w:rsidRPr="00325529">
              <w:rPr>
                <w:sz w:val="18"/>
                <w:szCs w:val="18"/>
              </w:rPr>
              <w:t>PHN surveys</w:t>
            </w:r>
          </w:p>
        </w:tc>
        <w:tc>
          <w:tcPr>
            <w:tcW w:w="1134" w:type="dxa"/>
          </w:tcPr>
          <w:p w14:paraId="29AC3991" w14:textId="77777777" w:rsidR="001C19F3" w:rsidRPr="00325529" w:rsidRDefault="001C19F3" w:rsidP="00521305">
            <w:pPr>
              <w:spacing w:after="0"/>
              <w:jc w:val="center"/>
              <w:rPr>
                <w:sz w:val="18"/>
                <w:szCs w:val="18"/>
              </w:rPr>
            </w:pPr>
            <w:r>
              <w:rPr>
                <w:sz w:val="18"/>
                <w:szCs w:val="18"/>
              </w:rPr>
              <w:t>1, 2, 4</w:t>
            </w:r>
          </w:p>
        </w:tc>
        <w:tc>
          <w:tcPr>
            <w:tcW w:w="1275" w:type="dxa"/>
          </w:tcPr>
          <w:p w14:paraId="4F292CF7" w14:textId="77777777" w:rsidR="001C19F3" w:rsidRPr="00325529" w:rsidRDefault="001C19F3" w:rsidP="00521305">
            <w:pPr>
              <w:spacing w:after="0"/>
              <w:jc w:val="center"/>
              <w:rPr>
                <w:sz w:val="18"/>
                <w:szCs w:val="18"/>
              </w:rPr>
            </w:pPr>
            <w:r w:rsidRPr="00325529">
              <w:rPr>
                <w:sz w:val="18"/>
                <w:szCs w:val="18"/>
              </w:rPr>
              <w:t>Primary</w:t>
            </w:r>
          </w:p>
        </w:tc>
        <w:tc>
          <w:tcPr>
            <w:tcW w:w="1134" w:type="dxa"/>
            <w:tcBorders>
              <w:bottom w:val="single" w:sz="4" w:space="0" w:color="D9D9D9"/>
            </w:tcBorders>
          </w:tcPr>
          <w:p w14:paraId="79AEEFE5" w14:textId="77777777" w:rsidR="001C19F3" w:rsidRPr="00D2731A" w:rsidRDefault="001C19F3" w:rsidP="00521305">
            <w:pPr>
              <w:spacing w:after="0"/>
              <w:jc w:val="center"/>
              <w:rPr>
                <w:sz w:val="18"/>
                <w:szCs w:val="18"/>
                <w:highlight w:val="yellow"/>
              </w:rPr>
            </w:pPr>
            <w:r>
              <w:rPr>
                <w:sz w:val="18"/>
                <w:szCs w:val="18"/>
              </w:rPr>
              <w:t>R1 R2</w:t>
            </w:r>
          </w:p>
        </w:tc>
        <w:tc>
          <w:tcPr>
            <w:tcW w:w="1134" w:type="dxa"/>
            <w:tcBorders>
              <w:bottom w:val="single" w:sz="4" w:space="0" w:color="D9D9D9"/>
            </w:tcBorders>
          </w:tcPr>
          <w:p w14:paraId="4736212C" w14:textId="77777777" w:rsidR="001C19F3" w:rsidRPr="00D2731A" w:rsidRDefault="001C19F3" w:rsidP="00521305">
            <w:pPr>
              <w:spacing w:after="0"/>
              <w:jc w:val="center"/>
              <w:rPr>
                <w:sz w:val="18"/>
                <w:szCs w:val="18"/>
                <w:highlight w:val="yellow"/>
              </w:rPr>
            </w:pPr>
            <w:r>
              <w:rPr>
                <w:sz w:val="18"/>
                <w:szCs w:val="18"/>
              </w:rPr>
              <w:t>R1 R2 R4</w:t>
            </w:r>
          </w:p>
        </w:tc>
        <w:tc>
          <w:tcPr>
            <w:tcW w:w="1276" w:type="dxa"/>
            <w:tcBorders>
              <w:bottom w:val="single" w:sz="4" w:space="0" w:color="D9D9D9"/>
            </w:tcBorders>
          </w:tcPr>
          <w:p w14:paraId="02A36DEE" w14:textId="77777777" w:rsidR="001C19F3" w:rsidRPr="00D2731A" w:rsidRDefault="001C19F3" w:rsidP="00521305">
            <w:pPr>
              <w:spacing w:after="0"/>
              <w:jc w:val="center"/>
              <w:rPr>
                <w:sz w:val="18"/>
                <w:szCs w:val="18"/>
                <w:highlight w:val="yellow"/>
              </w:rPr>
            </w:pPr>
            <w:r>
              <w:rPr>
                <w:sz w:val="18"/>
                <w:szCs w:val="18"/>
              </w:rPr>
              <w:t>R1 R2 R4 R5</w:t>
            </w:r>
          </w:p>
        </w:tc>
        <w:tc>
          <w:tcPr>
            <w:tcW w:w="1134" w:type="dxa"/>
            <w:tcBorders>
              <w:bottom w:val="single" w:sz="4" w:space="0" w:color="D9D9D9"/>
            </w:tcBorders>
            <w:shd w:val="clear" w:color="auto" w:fill="auto"/>
          </w:tcPr>
          <w:p w14:paraId="52BCE7E0" w14:textId="77777777" w:rsidR="001C19F3" w:rsidRPr="001E1772" w:rsidRDefault="001C19F3" w:rsidP="00521305">
            <w:pPr>
              <w:spacing w:after="0"/>
              <w:jc w:val="center"/>
              <w:rPr>
                <w:sz w:val="18"/>
                <w:szCs w:val="18"/>
              </w:rPr>
            </w:pPr>
            <w:r w:rsidRPr="001E1772">
              <w:rPr>
                <w:sz w:val="18"/>
                <w:szCs w:val="18"/>
              </w:rPr>
              <w:t>3</w:t>
            </w:r>
          </w:p>
        </w:tc>
      </w:tr>
      <w:tr w:rsidR="001C19F3" w:rsidRPr="00325529" w14:paraId="638A3BB2" w14:textId="77777777" w:rsidTr="00521305">
        <w:trPr>
          <w:jc w:val="center"/>
        </w:trPr>
        <w:tc>
          <w:tcPr>
            <w:tcW w:w="2122" w:type="dxa"/>
          </w:tcPr>
          <w:p w14:paraId="2648924B" w14:textId="77777777" w:rsidR="001C19F3" w:rsidRPr="00325529" w:rsidRDefault="001C19F3" w:rsidP="00521305">
            <w:pPr>
              <w:spacing w:after="0"/>
              <w:rPr>
                <w:sz w:val="18"/>
                <w:szCs w:val="18"/>
              </w:rPr>
            </w:pPr>
            <w:r w:rsidRPr="00325529">
              <w:rPr>
                <w:sz w:val="18"/>
                <w:szCs w:val="18"/>
              </w:rPr>
              <w:t>PHN interviews</w:t>
            </w:r>
          </w:p>
        </w:tc>
        <w:tc>
          <w:tcPr>
            <w:tcW w:w="1134" w:type="dxa"/>
          </w:tcPr>
          <w:p w14:paraId="49210DD4" w14:textId="77777777" w:rsidR="001C19F3" w:rsidRPr="00325529" w:rsidRDefault="001C19F3" w:rsidP="00521305">
            <w:pPr>
              <w:spacing w:after="0"/>
              <w:jc w:val="center"/>
              <w:rPr>
                <w:sz w:val="18"/>
                <w:szCs w:val="18"/>
              </w:rPr>
            </w:pPr>
            <w:r>
              <w:rPr>
                <w:sz w:val="18"/>
                <w:szCs w:val="18"/>
              </w:rPr>
              <w:t>1, 2, 4</w:t>
            </w:r>
          </w:p>
        </w:tc>
        <w:tc>
          <w:tcPr>
            <w:tcW w:w="1275" w:type="dxa"/>
          </w:tcPr>
          <w:p w14:paraId="141C5BE7" w14:textId="77777777" w:rsidR="001C19F3" w:rsidRPr="00325529" w:rsidRDefault="001C19F3" w:rsidP="00521305">
            <w:pPr>
              <w:spacing w:after="0"/>
              <w:jc w:val="center"/>
              <w:rPr>
                <w:sz w:val="18"/>
                <w:szCs w:val="18"/>
              </w:rPr>
            </w:pPr>
            <w:r w:rsidRPr="00325529">
              <w:rPr>
                <w:sz w:val="18"/>
                <w:szCs w:val="18"/>
              </w:rPr>
              <w:t>Primary</w:t>
            </w:r>
          </w:p>
        </w:tc>
        <w:tc>
          <w:tcPr>
            <w:tcW w:w="1134" w:type="dxa"/>
            <w:tcBorders>
              <w:bottom w:val="single" w:sz="4" w:space="0" w:color="D9D9D9"/>
            </w:tcBorders>
          </w:tcPr>
          <w:p w14:paraId="1EFE7740" w14:textId="77777777" w:rsidR="001C19F3" w:rsidRPr="00D2731A" w:rsidRDefault="001C19F3" w:rsidP="00521305">
            <w:pPr>
              <w:spacing w:after="0"/>
              <w:jc w:val="center"/>
              <w:rPr>
                <w:sz w:val="18"/>
                <w:szCs w:val="18"/>
                <w:highlight w:val="yellow"/>
              </w:rPr>
            </w:pPr>
            <w:r>
              <w:rPr>
                <w:sz w:val="18"/>
                <w:szCs w:val="18"/>
              </w:rPr>
              <w:t>R1 R2</w:t>
            </w:r>
          </w:p>
        </w:tc>
        <w:tc>
          <w:tcPr>
            <w:tcW w:w="1134" w:type="dxa"/>
            <w:tcBorders>
              <w:bottom w:val="single" w:sz="4" w:space="0" w:color="D9D9D9"/>
            </w:tcBorders>
          </w:tcPr>
          <w:p w14:paraId="23318CEC" w14:textId="77777777" w:rsidR="001C19F3" w:rsidRPr="00D2731A" w:rsidRDefault="001C19F3" w:rsidP="00521305">
            <w:pPr>
              <w:spacing w:after="0"/>
              <w:jc w:val="center"/>
              <w:rPr>
                <w:sz w:val="18"/>
                <w:szCs w:val="18"/>
                <w:highlight w:val="yellow"/>
              </w:rPr>
            </w:pPr>
            <w:r>
              <w:rPr>
                <w:sz w:val="18"/>
                <w:szCs w:val="18"/>
              </w:rPr>
              <w:t>R1 R2 R4</w:t>
            </w:r>
          </w:p>
        </w:tc>
        <w:tc>
          <w:tcPr>
            <w:tcW w:w="1276" w:type="dxa"/>
            <w:tcBorders>
              <w:bottom w:val="single" w:sz="4" w:space="0" w:color="D9D9D9"/>
            </w:tcBorders>
          </w:tcPr>
          <w:p w14:paraId="3EF7F5D4" w14:textId="77777777" w:rsidR="001C19F3" w:rsidRPr="00D2731A" w:rsidRDefault="001C19F3" w:rsidP="00521305">
            <w:pPr>
              <w:spacing w:after="0"/>
              <w:jc w:val="center"/>
              <w:rPr>
                <w:sz w:val="18"/>
                <w:szCs w:val="18"/>
                <w:highlight w:val="yellow"/>
              </w:rPr>
            </w:pPr>
            <w:r>
              <w:rPr>
                <w:sz w:val="18"/>
                <w:szCs w:val="18"/>
              </w:rPr>
              <w:t>R1 R2 R4 R5</w:t>
            </w:r>
          </w:p>
        </w:tc>
        <w:tc>
          <w:tcPr>
            <w:tcW w:w="1134" w:type="dxa"/>
            <w:tcBorders>
              <w:bottom w:val="single" w:sz="4" w:space="0" w:color="D9D9D9"/>
            </w:tcBorders>
            <w:shd w:val="clear" w:color="auto" w:fill="auto"/>
            <w:vAlign w:val="center"/>
          </w:tcPr>
          <w:p w14:paraId="499E936B" w14:textId="77777777" w:rsidR="001C19F3" w:rsidRPr="001E1772" w:rsidRDefault="001C19F3" w:rsidP="00521305">
            <w:pPr>
              <w:spacing w:after="0"/>
              <w:jc w:val="center"/>
              <w:rPr>
                <w:sz w:val="18"/>
                <w:szCs w:val="18"/>
              </w:rPr>
            </w:pPr>
            <w:r w:rsidRPr="001E1772">
              <w:rPr>
                <w:sz w:val="18"/>
                <w:szCs w:val="18"/>
              </w:rPr>
              <w:t>NA</w:t>
            </w:r>
          </w:p>
        </w:tc>
      </w:tr>
      <w:tr w:rsidR="001C19F3" w:rsidRPr="00325529" w14:paraId="14A49370" w14:textId="77777777" w:rsidTr="00521305">
        <w:trPr>
          <w:trHeight w:val="293"/>
          <w:jc w:val="center"/>
        </w:trPr>
        <w:tc>
          <w:tcPr>
            <w:tcW w:w="2122" w:type="dxa"/>
          </w:tcPr>
          <w:p w14:paraId="492114F9" w14:textId="77777777" w:rsidR="001C19F3" w:rsidRPr="00A32DC6" w:rsidRDefault="001C19F3" w:rsidP="00521305">
            <w:pPr>
              <w:spacing w:after="0"/>
              <w:rPr>
                <w:sz w:val="18"/>
                <w:szCs w:val="18"/>
              </w:rPr>
            </w:pPr>
            <w:r>
              <w:rPr>
                <w:sz w:val="18"/>
                <w:szCs w:val="18"/>
              </w:rPr>
              <w:t>Case studies</w:t>
            </w:r>
            <w:r>
              <w:rPr>
                <w:sz w:val="18"/>
                <w:szCs w:val="18"/>
                <w:vertAlign w:val="superscript"/>
              </w:rPr>
              <w:t>1</w:t>
            </w:r>
          </w:p>
        </w:tc>
        <w:tc>
          <w:tcPr>
            <w:tcW w:w="1134" w:type="dxa"/>
          </w:tcPr>
          <w:p w14:paraId="152E7139" w14:textId="77777777" w:rsidR="001C19F3" w:rsidRPr="00325529" w:rsidRDefault="001C19F3" w:rsidP="00521305">
            <w:pPr>
              <w:spacing w:after="0"/>
              <w:jc w:val="center"/>
              <w:rPr>
                <w:sz w:val="18"/>
                <w:szCs w:val="18"/>
              </w:rPr>
            </w:pPr>
            <w:r>
              <w:rPr>
                <w:sz w:val="18"/>
                <w:szCs w:val="18"/>
              </w:rPr>
              <w:t>2, 4</w:t>
            </w:r>
          </w:p>
        </w:tc>
        <w:tc>
          <w:tcPr>
            <w:tcW w:w="1275" w:type="dxa"/>
          </w:tcPr>
          <w:p w14:paraId="31BA463D" w14:textId="77777777" w:rsidR="001C19F3" w:rsidRPr="00325529" w:rsidRDefault="001C19F3" w:rsidP="00521305">
            <w:pPr>
              <w:spacing w:after="0"/>
              <w:jc w:val="center"/>
              <w:rPr>
                <w:sz w:val="18"/>
                <w:szCs w:val="18"/>
              </w:rPr>
            </w:pPr>
            <w:r w:rsidRPr="00325529">
              <w:rPr>
                <w:sz w:val="18"/>
                <w:szCs w:val="18"/>
              </w:rPr>
              <w:t>Primary</w:t>
            </w:r>
          </w:p>
        </w:tc>
        <w:tc>
          <w:tcPr>
            <w:tcW w:w="1134" w:type="dxa"/>
          </w:tcPr>
          <w:p w14:paraId="52256448" w14:textId="77777777" w:rsidR="001C19F3" w:rsidRPr="00D2731A" w:rsidRDefault="001C19F3" w:rsidP="00521305">
            <w:pPr>
              <w:spacing w:after="0"/>
              <w:jc w:val="center"/>
              <w:rPr>
                <w:sz w:val="18"/>
                <w:szCs w:val="18"/>
                <w:highlight w:val="yellow"/>
              </w:rPr>
            </w:pPr>
            <w:r>
              <w:rPr>
                <w:sz w:val="18"/>
                <w:szCs w:val="18"/>
              </w:rPr>
              <w:t>R2</w:t>
            </w:r>
          </w:p>
        </w:tc>
        <w:tc>
          <w:tcPr>
            <w:tcW w:w="1134" w:type="dxa"/>
          </w:tcPr>
          <w:p w14:paraId="7F84FAFD" w14:textId="77777777" w:rsidR="001C19F3" w:rsidRPr="00D2731A" w:rsidRDefault="001C19F3" w:rsidP="00521305">
            <w:pPr>
              <w:spacing w:after="0"/>
              <w:jc w:val="center"/>
              <w:rPr>
                <w:sz w:val="18"/>
                <w:szCs w:val="18"/>
                <w:highlight w:val="yellow"/>
              </w:rPr>
            </w:pPr>
            <w:r>
              <w:rPr>
                <w:sz w:val="18"/>
                <w:szCs w:val="18"/>
              </w:rPr>
              <w:t>R1 R2 R4</w:t>
            </w:r>
          </w:p>
        </w:tc>
        <w:tc>
          <w:tcPr>
            <w:tcW w:w="1276" w:type="dxa"/>
          </w:tcPr>
          <w:p w14:paraId="2B9DBE23" w14:textId="77777777" w:rsidR="001C19F3" w:rsidRPr="00D2731A" w:rsidRDefault="001C19F3" w:rsidP="00521305">
            <w:pPr>
              <w:spacing w:after="0"/>
              <w:jc w:val="center"/>
              <w:rPr>
                <w:sz w:val="18"/>
                <w:szCs w:val="18"/>
                <w:highlight w:val="yellow"/>
              </w:rPr>
            </w:pPr>
            <w:r>
              <w:rPr>
                <w:sz w:val="18"/>
                <w:szCs w:val="18"/>
              </w:rPr>
              <w:t>R1 R2 R4 R5</w:t>
            </w:r>
          </w:p>
        </w:tc>
        <w:tc>
          <w:tcPr>
            <w:tcW w:w="1134" w:type="dxa"/>
            <w:shd w:val="clear" w:color="auto" w:fill="auto"/>
          </w:tcPr>
          <w:p w14:paraId="5D9412DD" w14:textId="77777777" w:rsidR="001C19F3" w:rsidRPr="001E1772" w:rsidRDefault="001C19F3" w:rsidP="00521305">
            <w:pPr>
              <w:spacing w:after="0"/>
              <w:jc w:val="center"/>
              <w:rPr>
                <w:sz w:val="18"/>
                <w:szCs w:val="18"/>
              </w:rPr>
            </w:pPr>
            <w:r w:rsidRPr="001E1772">
              <w:rPr>
                <w:sz w:val="18"/>
                <w:szCs w:val="18"/>
              </w:rPr>
              <w:t>NA</w:t>
            </w:r>
          </w:p>
        </w:tc>
      </w:tr>
      <w:tr w:rsidR="001C19F3" w:rsidRPr="00325529" w14:paraId="451E0025" w14:textId="77777777" w:rsidTr="00521305">
        <w:trPr>
          <w:jc w:val="center"/>
        </w:trPr>
        <w:tc>
          <w:tcPr>
            <w:tcW w:w="2122" w:type="dxa"/>
          </w:tcPr>
          <w:p w14:paraId="08B8D96D" w14:textId="77777777" w:rsidR="001C19F3" w:rsidRPr="00325529" w:rsidRDefault="001C19F3" w:rsidP="00521305">
            <w:pPr>
              <w:spacing w:after="0"/>
              <w:rPr>
                <w:sz w:val="18"/>
                <w:szCs w:val="18"/>
              </w:rPr>
            </w:pPr>
            <w:r w:rsidRPr="00325529">
              <w:rPr>
                <w:sz w:val="18"/>
                <w:szCs w:val="18"/>
              </w:rPr>
              <w:t>HCH program data</w:t>
            </w:r>
            <w:r>
              <w:rPr>
                <w:sz w:val="18"/>
                <w:szCs w:val="18"/>
                <w:vertAlign w:val="superscript"/>
              </w:rPr>
              <w:t>2</w:t>
            </w:r>
          </w:p>
        </w:tc>
        <w:tc>
          <w:tcPr>
            <w:tcW w:w="1134" w:type="dxa"/>
          </w:tcPr>
          <w:p w14:paraId="3679E4BE" w14:textId="77777777" w:rsidR="001C19F3" w:rsidRPr="00325529" w:rsidRDefault="001C19F3" w:rsidP="00521305">
            <w:pPr>
              <w:spacing w:after="0"/>
              <w:jc w:val="center"/>
              <w:rPr>
                <w:sz w:val="18"/>
                <w:szCs w:val="18"/>
              </w:rPr>
            </w:pPr>
            <w:r>
              <w:rPr>
                <w:sz w:val="18"/>
                <w:szCs w:val="18"/>
              </w:rPr>
              <w:t>1, 4</w:t>
            </w:r>
          </w:p>
        </w:tc>
        <w:tc>
          <w:tcPr>
            <w:tcW w:w="1275" w:type="dxa"/>
          </w:tcPr>
          <w:p w14:paraId="7D492510" w14:textId="77777777" w:rsidR="001C19F3" w:rsidRPr="00325529" w:rsidRDefault="001C19F3" w:rsidP="00521305">
            <w:pPr>
              <w:spacing w:after="0"/>
              <w:jc w:val="center"/>
              <w:rPr>
                <w:sz w:val="18"/>
                <w:szCs w:val="18"/>
              </w:rPr>
            </w:pPr>
            <w:r w:rsidRPr="00325529">
              <w:rPr>
                <w:sz w:val="18"/>
                <w:szCs w:val="18"/>
              </w:rPr>
              <w:t>Secondary</w:t>
            </w:r>
          </w:p>
        </w:tc>
        <w:tc>
          <w:tcPr>
            <w:tcW w:w="1134" w:type="dxa"/>
          </w:tcPr>
          <w:p w14:paraId="7A1FC10F" w14:textId="77777777" w:rsidR="001C19F3" w:rsidRPr="00D2731A" w:rsidRDefault="001C19F3" w:rsidP="00521305">
            <w:pPr>
              <w:spacing w:after="0"/>
              <w:jc w:val="center"/>
              <w:rPr>
                <w:sz w:val="18"/>
                <w:szCs w:val="18"/>
              </w:rPr>
            </w:pPr>
            <w:r w:rsidRPr="00D2731A">
              <w:rPr>
                <w:sz w:val="18"/>
                <w:szCs w:val="18"/>
              </w:rPr>
              <w:t>Oct 2017-</w:t>
            </w:r>
            <w:r>
              <w:rPr>
                <w:sz w:val="18"/>
                <w:szCs w:val="18"/>
              </w:rPr>
              <w:t xml:space="preserve">Aug </w:t>
            </w:r>
            <w:r w:rsidRPr="00D2731A">
              <w:rPr>
                <w:sz w:val="18"/>
                <w:szCs w:val="18"/>
              </w:rPr>
              <w:t>2019</w:t>
            </w:r>
          </w:p>
        </w:tc>
        <w:tc>
          <w:tcPr>
            <w:tcW w:w="1134" w:type="dxa"/>
          </w:tcPr>
          <w:p w14:paraId="2F3E4C2B" w14:textId="77777777" w:rsidR="001C19F3" w:rsidRPr="00D2731A" w:rsidRDefault="001C19F3" w:rsidP="00521305">
            <w:pPr>
              <w:spacing w:after="0"/>
              <w:jc w:val="center"/>
              <w:rPr>
                <w:sz w:val="18"/>
                <w:szCs w:val="18"/>
              </w:rPr>
            </w:pPr>
            <w:r w:rsidRPr="00D2731A">
              <w:rPr>
                <w:sz w:val="18"/>
                <w:szCs w:val="18"/>
              </w:rPr>
              <w:t>Oct 2017-</w:t>
            </w:r>
            <w:r>
              <w:rPr>
                <w:sz w:val="18"/>
                <w:szCs w:val="18"/>
              </w:rPr>
              <w:t>Jun</w:t>
            </w:r>
            <w:r w:rsidRPr="00D2731A">
              <w:rPr>
                <w:sz w:val="18"/>
                <w:szCs w:val="18"/>
              </w:rPr>
              <w:t xml:space="preserve"> 20</w:t>
            </w:r>
            <w:r>
              <w:rPr>
                <w:sz w:val="18"/>
                <w:szCs w:val="18"/>
              </w:rPr>
              <w:t>20</w:t>
            </w:r>
          </w:p>
        </w:tc>
        <w:tc>
          <w:tcPr>
            <w:tcW w:w="1276" w:type="dxa"/>
          </w:tcPr>
          <w:p w14:paraId="03FCE0DF" w14:textId="77777777" w:rsidR="001C19F3" w:rsidRPr="00D2731A" w:rsidRDefault="001C19F3" w:rsidP="00521305">
            <w:pPr>
              <w:spacing w:after="0"/>
              <w:jc w:val="center"/>
              <w:rPr>
                <w:sz w:val="18"/>
                <w:szCs w:val="18"/>
              </w:rPr>
            </w:pPr>
            <w:r w:rsidRPr="00D2731A">
              <w:rPr>
                <w:sz w:val="18"/>
                <w:szCs w:val="18"/>
              </w:rPr>
              <w:t>Oct 2017-</w:t>
            </w:r>
            <w:r>
              <w:rPr>
                <w:sz w:val="18"/>
                <w:szCs w:val="18"/>
              </w:rPr>
              <w:t>Jun</w:t>
            </w:r>
            <w:r w:rsidRPr="00D2731A">
              <w:rPr>
                <w:sz w:val="18"/>
                <w:szCs w:val="18"/>
              </w:rPr>
              <w:t xml:space="preserve"> 20</w:t>
            </w:r>
            <w:r>
              <w:rPr>
                <w:sz w:val="18"/>
                <w:szCs w:val="18"/>
              </w:rPr>
              <w:t>21</w:t>
            </w:r>
          </w:p>
        </w:tc>
        <w:tc>
          <w:tcPr>
            <w:tcW w:w="1134" w:type="dxa"/>
            <w:shd w:val="clear" w:color="auto" w:fill="auto"/>
          </w:tcPr>
          <w:p w14:paraId="174B76EC" w14:textId="77777777" w:rsidR="001C19F3" w:rsidRPr="001E1772" w:rsidRDefault="001C19F3" w:rsidP="00521305">
            <w:pPr>
              <w:spacing w:after="0"/>
              <w:jc w:val="center"/>
              <w:rPr>
                <w:sz w:val="18"/>
                <w:szCs w:val="18"/>
              </w:rPr>
            </w:pPr>
            <w:r w:rsidRPr="001E1772">
              <w:rPr>
                <w:sz w:val="18"/>
                <w:szCs w:val="18"/>
              </w:rPr>
              <w:t>NA</w:t>
            </w:r>
          </w:p>
        </w:tc>
      </w:tr>
      <w:tr w:rsidR="001C19F3" w:rsidRPr="00325529" w14:paraId="5D7CA3B1" w14:textId="77777777" w:rsidTr="00521305">
        <w:trPr>
          <w:jc w:val="center"/>
        </w:trPr>
        <w:tc>
          <w:tcPr>
            <w:tcW w:w="2122" w:type="dxa"/>
          </w:tcPr>
          <w:p w14:paraId="2AF85F10" w14:textId="77777777" w:rsidR="001C19F3" w:rsidRPr="00325529" w:rsidRDefault="001C19F3" w:rsidP="00521305">
            <w:pPr>
              <w:spacing w:after="0"/>
              <w:rPr>
                <w:sz w:val="18"/>
                <w:szCs w:val="18"/>
              </w:rPr>
            </w:pPr>
            <w:r>
              <w:rPr>
                <w:sz w:val="18"/>
                <w:szCs w:val="18"/>
              </w:rPr>
              <w:t>Community Pharmacy in HCH</w:t>
            </w:r>
          </w:p>
        </w:tc>
        <w:tc>
          <w:tcPr>
            <w:tcW w:w="1134" w:type="dxa"/>
          </w:tcPr>
          <w:p w14:paraId="1563B791" w14:textId="77777777" w:rsidR="001C19F3" w:rsidRDefault="001C19F3" w:rsidP="00521305">
            <w:pPr>
              <w:spacing w:after="0"/>
              <w:jc w:val="center"/>
              <w:rPr>
                <w:sz w:val="18"/>
                <w:szCs w:val="18"/>
              </w:rPr>
            </w:pPr>
            <w:r>
              <w:rPr>
                <w:sz w:val="18"/>
                <w:szCs w:val="18"/>
              </w:rPr>
              <w:t>5, 6, 7, 8</w:t>
            </w:r>
          </w:p>
        </w:tc>
        <w:tc>
          <w:tcPr>
            <w:tcW w:w="1275" w:type="dxa"/>
          </w:tcPr>
          <w:p w14:paraId="2D85E57B" w14:textId="77777777" w:rsidR="001C19F3" w:rsidRPr="00325529" w:rsidRDefault="001C19F3" w:rsidP="00521305">
            <w:pPr>
              <w:spacing w:after="0"/>
              <w:jc w:val="center"/>
              <w:rPr>
                <w:sz w:val="18"/>
                <w:szCs w:val="18"/>
              </w:rPr>
            </w:pPr>
            <w:r w:rsidRPr="00325529">
              <w:rPr>
                <w:sz w:val="18"/>
                <w:szCs w:val="18"/>
              </w:rPr>
              <w:t>Secondary</w:t>
            </w:r>
          </w:p>
        </w:tc>
        <w:tc>
          <w:tcPr>
            <w:tcW w:w="1134" w:type="dxa"/>
          </w:tcPr>
          <w:p w14:paraId="04C1752E" w14:textId="77777777" w:rsidR="001C19F3" w:rsidRPr="00D2731A" w:rsidRDefault="001C19F3" w:rsidP="00521305">
            <w:pPr>
              <w:spacing w:after="0"/>
              <w:jc w:val="center"/>
              <w:rPr>
                <w:sz w:val="18"/>
                <w:szCs w:val="18"/>
              </w:rPr>
            </w:pPr>
            <w:r>
              <w:rPr>
                <w:sz w:val="18"/>
                <w:szCs w:val="18"/>
              </w:rPr>
              <w:t xml:space="preserve">July 2018-June </w:t>
            </w:r>
            <w:r w:rsidRPr="00D2731A">
              <w:rPr>
                <w:sz w:val="18"/>
                <w:szCs w:val="18"/>
              </w:rPr>
              <w:t>2019</w:t>
            </w:r>
          </w:p>
        </w:tc>
        <w:tc>
          <w:tcPr>
            <w:tcW w:w="1134" w:type="dxa"/>
          </w:tcPr>
          <w:p w14:paraId="0CB922DB" w14:textId="77777777" w:rsidR="001C19F3" w:rsidRPr="00D2731A" w:rsidRDefault="001C19F3" w:rsidP="00521305">
            <w:pPr>
              <w:spacing w:after="0"/>
              <w:jc w:val="center"/>
              <w:rPr>
                <w:sz w:val="18"/>
                <w:szCs w:val="18"/>
              </w:rPr>
            </w:pPr>
            <w:r>
              <w:rPr>
                <w:sz w:val="18"/>
                <w:szCs w:val="18"/>
              </w:rPr>
              <w:t xml:space="preserve">July 2018-June </w:t>
            </w:r>
            <w:r w:rsidRPr="00D2731A">
              <w:rPr>
                <w:sz w:val="18"/>
                <w:szCs w:val="18"/>
              </w:rPr>
              <w:t>20</w:t>
            </w:r>
            <w:r>
              <w:rPr>
                <w:sz w:val="18"/>
                <w:szCs w:val="18"/>
              </w:rPr>
              <w:t>20</w:t>
            </w:r>
          </w:p>
        </w:tc>
        <w:tc>
          <w:tcPr>
            <w:tcW w:w="1276" w:type="dxa"/>
          </w:tcPr>
          <w:p w14:paraId="357AE76D" w14:textId="77777777" w:rsidR="001C19F3" w:rsidRPr="00D2731A" w:rsidRDefault="001C19F3" w:rsidP="00521305">
            <w:pPr>
              <w:spacing w:after="0"/>
              <w:jc w:val="center"/>
              <w:rPr>
                <w:sz w:val="18"/>
                <w:szCs w:val="18"/>
              </w:rPr>
            </w:pPr>
            <w:r>
              <w:rPr>
                <w:sz w:val="18"/>
                <w:szCs w:val="18"/>
              </w:rPr>
              <w:t xml:space="preserve">July 2018-June </w:t>
            </w:r>
            <w:r w:rsidRPr="00D2731A">
              <w:rPr>
                <w:sz w:val="18"/>
                <w:szCs w:val="18"/>
              </w:rPr>
              <w:t>20</w:t>
            </w:r>
            <w:r>
              <w:rPr>
                <w:sz w:val="18"/>
                <w:szCs w:val="18"/>
              </w:rPr>
              <w:t>21</w:t>
            </w:r>
          </w:p>
        </w:tc>
        <w:tc>
          <w:tcPr>
            <w:tcW w:w="1134" w:type="dxa"/>
            <w:shd w:val="clear" w:color="auto" w:fill="auto"/>
          </w:tcPr>
          <w:p w14:paraId="470D1F75" w14:textId="77777777" w:rsidR="001C19F3" w:rsidRPr="001E1772" w:rsidRDefault="001C19F3" w:rsidP="00521305">
            <w:pPr>
              <w:spacing w:after="0"/>
              <w:jc w:val="center"/>
              <w:rPr>
                <w:sz w:val="18"/>
                <w:szCs w:val="18"/>
              </w:rPr>
            </w:pPr>
            <w:r w:rsidRPr="001E1772">
              <w:rPr>
                <w:sz w:val="18"/>
                <w:szCs w:val="18"/>
              </w:rPr>
              <w:t>7</w:t>
            </w:r>
          </w:p>
        </w:tc>
      </w:tr>
      <w:tr w:rsidR="001C19F3" w:rsidRPr="00325529" w14:paraId="70902115" w14:textId="77777777" w:rsidTr="00521305">
        <w:trPr>
          <w:jc w:val="center"/>
        </w:trPr>
        <w:tc>
          <w:tcPr>
            <w:tcW w:w="2122" w:type="dxa"/>
          </w:tcPr>
          <w:p w14:paraId="11A0B57D" w14:textId="77777777" w:rsidR="001C19F3" w:rsidRPr="00325529" w:rsidRDefault="001C19F3" w:rsidP="00521305">
            <w:pPr>
              <w:spacing w:after="0"/>
              <w:rPr>
                <w:sz w:val="18"/>
                <w:szCs w:val="18"/>
              </w:rPr>
            </w:pPr>
            <w:r w:rsidRPr="00325529">
              <w:rPr>
                <w:sz w:val="18"/>
                <w:szCs w:val="18"/>
              </w:rPr>
              <w:t xml:space="preserve">Risk stratification </w:t>
            </w:r>
          </w:p>
        </w:tc>
        <w:tc>
          <w:tcPr>
            <w:tcW w:w="1134" w:type="dxa"/>
          </w:tcPr>
          <w:p w14:paraId="5D5F3D5F" w14:textId="77777777" w:rsidR="001C19F3" w:rsidRPr="00325529" w:rsidRDefault="001C19F3" w:rsidP="00521305">
            <w:pPr>
              <w:spacing w:after="0"/>
              <w:jc w:val="center"/>
              <w:rPr>
                <w:sz w:val="18"/>
                <w:szCs w:val="18"/>
              </w:rPr>
            </w:pPr>
            <w:r>
              <w:rPr>
                <w:sz w:val="18"/>
                <w:szCs w:val="18"/>
              </w:rPr>
              <w:t>2</w:t>
            </w:r>
          </w:p>
        </w:tc>
        <w:tc>
          <w:tcPr>
            <w:tcW w:w="1275" w:type="dxa"/>
          </w:tcPr>
          <w:p w14:paraId="29C251DC" w14:textId="77777777" w:rsidR="001C19F3" w:rsidRPr="00325529" w:rsidRDefault="001C19F3" w:rsidP="00521305">
            <w:pPr>
              <w:spacing w:after="0"/>
              <w:jc w:val="center"/>
              <w:rPr>
                <w:sz w:val="18"/>
                <w:szCs w:val="18"/>
              </w:rPr>
            </w:pPr>
            <w:r w:rsidRPr="00325529">
              <w:rPr>
                <w:sz w:val="18"/>
                <w:szCs w:val="18"/>
              </w:rPr>
              <w:t>Secondary</w:t>
            </w:r>
          </w:p>
        </w:tc>
        <w:tc>
          <w:tcPr>
            <w:tcW w:w="1134" w:type="dxa"/>
          </w:tcPr>
          <w:p w14:paraId="1ECB316D" w14:textId="77777777" w:rsidR="001C19F3" w:rsidRPr="00D2731A" w:rsidRDefault="001C19F3" w:rsidP="00521305">
            <w:pPr>
              <w:spacing w:after="0"/>
              <w:jc w:val="center"/>
              <w:rPr>
                <w:sz w:val="18"/>
                <w:szCs w:val="18"/>
              </w:rPr>
            </w:pPr>
            <w:r>
              <w:rPr>
                <w:sz w:val="18"/>
                <w:szCs w:val="18"/>
              </w:rPr>
              <w:t xml:space="preserve">July 2018-June </w:t>
            </w:r>
            <w:r w:rsidRPr="00D2731A">
              <w:rPr>
                <w:sz w:val="18"/>
                <w:szCs w:val="18"/>
              </w:rPr>
              <w:t>2019</w:t>
            </w:r>
          </w:p>
        </w:tc>
        <w:tc>
          <w:tcPr>
            <w:tcW w:w="1134" w:type="dxa"/>
          </w:tcPr>
          <w:p w14:paraId="7433E787" w14:textId="77777777" w:rsidR="001C19F3" w:rsidRPr="00D2731A" w:rsidRDefault="001C19F3" w:rsidP="00521305">
            <w:pPr>
              <w:spacing w:after="0"/>
              <w:jc w:val="center"/>
              <w:rPr>
                <w:sz w:val="18"/>
                <w:szCs w:val="18"/>
              </w:rPr>
            </w:pPr>
            <w:r>
              <w:rPr>
                <w:sz w:val="18"/>
                <w:szCs w:val="18"/>
              </w:rPr>
              <w:t xml:space="preserve">July 2018-June </w:t>
            </w:r>
            <w:r w:rsidRPr="00D2731A">
              <w:rPr>
                <w:sz w:val="18"/>
                <w:szCs w:val="18"/>
              </w:rPr>
              <w:t>20</w:t>
            </w:r>
            <w:r>
              <w:rPr>
                <w:sz w:val="18"/>
                <w:szCs w:val="18"/>
              </w:rPr>
              <w:t>20</w:t>
            </w:r>
          </w:p>
        </w:tc>
        <w:tc>
          <w:tcPr>
            <w:tcW w:w="1276" w:type="dxa"/>
          </w:tcPr>
          <w:p w14:paraId="06462A72" w14:textId="77777777" w:rsidR="001C19F3" w:rsidRPr="00D2731A" w:rsidRDefault="001C19F3" w:rsidP="00521305">
            <w:pPr>
              <w:spacing w:after="0"/>
              <w:jc w:val="center"/>
              <w:rPr>
                <w:sz w:val="18"/>
                <w:szCs w:val="18"/>
              </w:rPr>
            </w:pPr>
            <w:r>
              <w:rPr>
                <w:sz w:val="18"/>
                <w:szCs w:val="18"/>
              </w:rPr>
              <w:t xml:space="preserve">July 2018-June </w:t>
            </w:r>
            <w:r w:rsidRPr="00D2731A">
              <w:rPr>
                <w:sz w:val="18"/>
                <w:szCs w:val="18"/>
              </w:rPr>
              <w:t>20</w:t>
            </w:r>
            <w:r>
              <w:rPr>
                <w:sz w:val="18"/>
                <w:szCs w:val="18"/>
              </w:rPr>
              <w:t>21</w:t>
            </w:r>
          </w:p>
        </w:tc>
        <w:tc>
          <w:tcPr>
            <w:tcW w:w="1134" w:type="dxa"/>
            <w:shd w:val="clear" w:color="auto" w:fill="auto"/>
          </w:tcPr>
          <w:p w14:paraId="4CD70964" w14:textId="77777777" w:rsidR="001C19F3" w:rsidRPr="001E1772" w:rsidRDefault="001C19F3" w:rsidP="00521305">
            <w:pPr>
              <w:spacing w:after="0"/>
              <w:jc w:val="center"/>
              <w:rPr>
                <w:sz w:val="18"/>
                <w:szCs w:val="18"/>
              </w:rPr>
            </w:pPr>
            <w:r w:rsidRPr="001E1772">
              <w:rPr>
                <w:sz w:val="18"/>
                <w:szCs w:val="18"/>
              </w:rPr>
              <w:t>6</w:t>
            </w:r>
          </w:p>
        </w:tc>
      </w:tr>
      <w:tr w:rsidR="001C19F3" w:rsidRPr="00325529" w14:paraId="52D7A06E" w14:textId="77777777" w:rsidTr="00521305">
        <w:trPr>
          <w:jc w:val="center"/>
        </w:trPr>
        <w:tc>
          <w:tcPr>
            <w:tcW w:w="2122" w:type="dxa"/>
          </w:tcPr>
          <w:p w14:paraId="64522813" w14:textId="77777777" w:rsidR="001C19F3" w:rsidRPr="00325529" w:rsidRDefault="001C19F3" w:rsidP="00521305">
            <w:pPr>
              <w:spacing w:after="0"/>
              <w:rPr>
                <w:sz w:val="18"/>
                <w:szCs w:val="18"/>
              </w:rPr>
            </w:pPr>
            <w:r w:rsidRPr="00325529">
              <w:rPr>
                <w:sz w:val="18"/>
                <w:szCs w:val="18"/>
              </w:rPr>
              <w:t>Practice extracts</w:t>
            </w:r>
          </w:p>
        </w:tc>
        <w:tc>
          <w:tcPr>
            <w:tcW w:w="1134" w:type="dxa"/>
          </w:tcPr>
          <w:p w14:paraId="3ED84E13" w14:textId="77777777" w:rsidR="001C19F3" w:rsidRPr="00325529" w:rsidRDefault="001C19F3" w:rsidP="00521305">
            <w:pPr>
              <w:spacing w:after="0"/>
              <w:jc w:val="center"/>
              <w:rPr>
                <w:sz w:val="18"/>
                <w:szCs w:val="18"/>
              </w:rPr>
            </w:pPr>
            <w:r>
              <w:rPr>
                <w:sz w:val="18"/>
                <w:szCs w:val="18"/>
              </w:rPr>
              <w:t>2, 3</w:t>
            </w:r>
          </w:p>
        </w:tc>
        <w:tc>
          <w:tcPr>
            <w:tcW w:w="1275" w:type="dxa"/>
          </w:tcPr>
          <w:p w14:paraId="0B37FB55" w14:textId="77777777" w:rsidR="001C19F3" w:rsidRPr="00325529" w:rsidRDefault="001C19F3" w:rsidP="00521305">
            <w:pPr>
              <w:spacing w:after="0"/>
              <w:jc w:val="center"/>
              <w:rPr>
                <w:sz w:val="18"/>
                <w:szCs w:val="18"/>
              </w:rPr>
            </w:pPr>
            <w:r w:rsidRPr="00325529">
              <w:rPr>
                <w:sz w:val="18"/>
                <w:szCs w:val="18"/>
              </w:rPr>
              <w:t>Secondary</w:t>
            </w:r>
          </w:p>
        </w:tc>
        <w:tc>
          <w:tcPr>
            <w:tcW w:w="1134" w:type="dxa"/>
          </w:tcPr>
          <w:p w14:paraId="7DB1A9D7" w14:textId="77777777" w:rsidR="001C19F3" w:rsidRPr="00D2731A" w:rsidRDefault="001C19F3" w:rsidP="00521305">
            <w:pPr>
              <w:spacing w:after="0"/>
              <w:jc w:val="center"/>
              <w:rPr>
                <w:sz w:val="18"/>
                <w:szCs w:val="18"/>
              </w:rPr>
            </w:pPr>
            <w:r>
              <w:rPr>
                <w:sz w:val="18"/>
                <w:szCs w:val="18"/>
              </w:rPr>
              <w:t xml:space="preserve">Various-June </w:t>
            </w:r>
            <w:r w:rsidRPr="00D2731A">
              <w:rPr>
                <w:sz w:val="18"/>
                <w:szCs w:val="18"/>
              </w:rPr>
              <w:t>2019</w:t>
            </w:r>
          </w:p>
        </w:tc>
        <w:tc>
          <w:tcPr>
            <w:tcW w:w="1134" w:type="dxa"/>
          </w:tcPr>
          <w:p w14:paraId="23CDA5A0" w14:textId="77777777" w:rsidR="001C19F3" w:rsidRPr="00D2731A" w:rsidRDefault="001C19F3" w:rsidP="00521305">
            <w:pPr>
              <w:spacing w:after="0"/>
              <w:jc w:val="center"/>
              <w:rPr>
                <w:sz w:val="18"/>
                <w:szCs w:val="18"/>
              </w:rPr>
            </w:pPr>
            <w:r>
              <w:rPr>
                <w:sz w:val="18"/>
                <w:szCs w:val="18"/>
              </w:rPr>
              <w:t xml:space="preserve">Various -June </w:t>
            </w:r>
            <w:r w:rsidRPr="00D2731A">
              <w:rPr>
                <w:sz w:val="18"/>
                <w:szCs w:val="18"/>
              </w:rPr>
              <w:t>20</w:t>
            </w:r>
            <w:r>
              <w:rPr>
                <w:sz w:val="18"/>
                <w:szCs w:val="18"/>
              </w:rPr>
              <w:t>20</w:t>
            </w:r>
          </w:p>
        </w:tc>
        <w:tc>
          <w:tcPr>
            <w:tcW w:w="1276" w:type="dxa"/>
          </w:tcPr>
          <w:p w14:paraId="2357C32B" w14:textId="77777777" w:rsidR="001C19F3" w:rsidRPr="00D2731A" w:rsidRDefault="001C19F3" w:rsidP="00521305">
            <w:pPr>
              <w:spacing w:after="0"/>
              <w:jc w:val="center"/>
              <w:rPr>
                <w:sz w:val="18"/>
                <w:szCs w:val="18"/>
              </w:rPr>
            </w:pPr>
            <w:r>
              <w:rPr>
                <w:sz w:val="18"/>
                <w:szCs w:val="18"/>
              </w:rPr>
              <w:t xml:space="preserve">Various -June </w:t>
            </w:r>
            <w:r w:rsidRPr="00D2731A">
              <w:rPr>
                <w:sz w:val="18"/>
                <w:szCs w:val="18"/>
              </w:rPr>
              <w:t>20</w:t>
            </w:r>
            <w:r>
              <w:rPr>
                <w:sz w:val="18"/>
                <w:szCs w:val="18"/>
              </w:rPr>
              <w:t>21</w:t>
            </w:r>
          </w:p>
        </w:tc>
        <w:tc>
          <w:tcPr>
            <w:tcW w:w="1134" w:type="dxa"/>
            <w:shd w:val="clear" w:color="auto" w:fill="auto"/>
          </w:tcPr>
          <w:p w14:paraId="78E70C81" w14:textId="77777777" w:rsidR="001C19F3" w:rsidRPr="001E1772" w:rsidRDefault="001C19F3" w:rsidP="00521305">
            <w:pPr>
              <w:spacing w:after="0"/>
              <w:jc w:val="center"/>
              <w:rPr>
                <w:sz w:val="18"/>
                <w:szCs w:val="18"/>
              </w:rPr>
            </w:pPr>
            <w:r w:rsidRPr="001E1772">
              <w:rPr>
                <w:sz w:val="18"/>
                <w:szCs w:val="18"/>
              </w:rPr>
              <w:t>5</w:t>
            </w:r>
          </w:p>
        </w:tc>
      </w:tr>
      <w:tr w:rsidR="001C19F3" w:rsidRPr="00325529" w14:paraId="5421B54A" w14:textId="77777777" w:rsidTr="00521305">
        <w:trPr>
          <w:trHeight w:val="515"/>
          <w:jc w:val="center"/>
        </w:trPr>
        <w:tc>
          <w:tcPr>
            <w:tcW w:w="2122" w:type="dxa"/>
          </w:tcPr>
          <w:p w14:paraId="353287A2" w14:textId="77777777" w:rsidR="001C19F3" w:rsidRPr="00325529" w:rsidRDefault="001C19F3" w:rsidP="00521305">
            <w:pPr>
              <w:spacing w:after="0"/>
              <w:rPr>
                <w:sz w:val="18"/>
                <w:szCs w:val="18"/>
              </w:rPr>
            </w:pPr>
            <w:r>
              <w:rPr>
                <w:sz w:val="18"/>
                <w:szCs w:val="18"/>
              </w:rPr>
              <w:t>Linked data</w:t>
            </w:r>
            <w:r>
              <w:rPr>
                <w:sz w:val="18"/>
                <w:szCs w:val="18"/>
                <w:vertAlign w:val="superscript"/>
              </w:rPr>
              <w:t>3</w:t>
            </w:r>
          </w:p>
        </w:tc>
        <w:tc>
          <w:tcPr>
            <w:tcW w:w="1134" w:type="dxa"/>
          </w:tcPr>
          <w:p w14:paraId="6E8A2C5D" w14:textId="77777777" w:rsidR="001C19F3" w:rsidRPr="00325529" w:rsidRDefault="001C19F3" w:rsidP="00521305">
            <w:pPr>
              <w:spacing w:after="0"/>
              <w:jc w:val="center"/>
              <w:rPr>
                <w:sz w:val="18"/>
                <w:szCs w:val="18"/>
              </w:rPr>
            </w:pPr>
            <w:r>
              <w:rPr>
                <w:sz w:val="18"/>
                <w:szCs w:val="18"/>
              </w:rPr>
              <w:t>3, 4</w:t>
            </w:r>
          </w:p>
        </w:tc>
        <w:tc>
          <w:tcPr>
            <w:tcW w:w="1275" w:type="dxa"/>
          </w:tcPr>
          <w:p w14:paraId="45D4D5CF" w14:textId="77777777" w:rsidR="001C19F3" w:rsidRPr="00325529" w:rsidRDefault="001C19F3" w:rsidP="00521305">
            <w:pPr>
              <w:spacing w:after="0"/>
              <w:jc w:val="center"/>
              <w:rPr>
                <w:sz w:val="18"/>
                <w:szCs w:val="18"/>
              </w:rPr>
            </w:pPr>
            <w:r w:rsidRPr="00325529">
              <w:rPr>
                <w:sz w:val="18"/>
                <w:szCs w:val="18"/>
              </w:rPr>
              <w:t>Secondary</w:t>
            </w:r>
          </w:p>
        </w:tc>
        <w:tc>
          <w:tcPr>
            <w:tcW w:w="1134" w:type="dxa"/>
          </w:tcPr>
          <w:p w14:paraId="111B40F1" w14:textId="77777777" w:rsidR="001C19F3" w:rsidRPr="00D2731A" w:rsidRDefault="001C19F3" w:rsidP="00521305">
            <w:pPr>
              <w:spacing w:after="0"/>
              <w:jc w:val="center"/>
              <w:rPr>
                <w:sz w:val="18"/>
                <w:szCs w:val="18"/>
              </w:rPr>
            </w:pPr>
            <w:r>
              <w:rPr>
                <w:sz w:val="18"/>
                <w:szCs w:val="18"/>
              </w:rPr>
              <w:t>NA</w:t>
            </w:r>
          </w:p>
        </w:tc>
        <w:tc>
          <w:tcPr>
            <w:tcW w:w="1134" w:type="dxa"/>
          </w:tcPr>
          <w:p w14:paraId="5D970FC0" w14:textId="77777777" w:rsidR="001C19F3" w:rsidRPr="00A34F92" w:rsidRDefault="001C19F3" w:rsidP="00521305">
            <w:pPr>
              <w:spacing w:after="0"/>
              <w:jc w:val="center"/>
              <w:rPr>
                <w:sz w:val="18"/>
                <w:szCs w:val="18"/>
              </w:rPr>
            </w:pPr>
            <w:r w:rsidRPr="00A34F92">
              <w:rPr>
                <w:sz w:val="18"/>
                <w:szCs w:val="18"/>
              </w:rPr>
              <w:t>Jul 2015 – June 2019</w:t>
            </w:r>
          </w:p>
        </w:tc>
        <w:tc>
          <w:tcPr>
            <w:tcW w:w="1276" w:type="dxa"/>
          </w:tcPr>
          <w:p w14:paraId="07442D6B" w14:textId="77777777" w:rsidR="001C19F3" w:rsidRPr="00A34F92" w:rsidRDefault="001C19F3" w:rsidP="00521305">
            <w:pPr>
              <w:spacing w:after="0"/>
              <w:jc w:val="center"/>
              <w:rPr>
                <w:sz w:val="18"/>
                <w:szCs w:val="18"/>
              </w:rPr>
            </w:pPr>
            <w:r w:rsidRPr="00A34F92">
              <w:rPr>
                <w:sz w:val="18"/>
                <w:szCs w:val="18"/>
              </w:rPr>
              <w:t>Jul 2015 – June 2021</w:t>
            </w:r>
          </w:p>
        </w:tc>
        <w:tc>
          <w:tcPr>
            <w:tcW w:w="1134" w:type="dxa"/>
            <w:shd w:val="clear" w:color="auto" w:fill="auto"/>
          </w:tcPr>
          <w:p w14:paraId="5D8F0E3A" w14:textId="77777777" w:rsidR="001C19F3" w:rsidRPr="001E1772" w:rsidRDefault="001C19F3" w:rsidP="00521305">
            <w:pPr>
              <w:spacing w:after="0"/>
              <w:jc w:val="center"/>
              <w:rPr>
                <w:sz w:val="18"/>
                <w:szCs w:val="18"/>
              </w:rPr>
            </w:pPr>
            <w:r w:rsidRPr="001E1772">
              <w:rPr>
                <w:sz w:val="18"/>
                <w:szCs w:val="18"/>
              </w:rPr>
              <w:t>NA</w:t>
            </w:r>
          </w:p>
        </w:tc>
      </w:tr>
    </w:tbl>
    <w:p w14:paraId="2C34B924" w14:textId="77777777" w:rsidR="001C19F3" w:rsidRPr="009718ED" w:rsidRDefault="001C19F3" w:rsidP="001C19F3">
      <w:pPr>
        <w:pStyle w:val="Chartortablefootnote"/>
      </w:pPr>
      <w:r w:rsidRPr="009718ED">
        <w:rPr>
          <w:vertAlign w:val="superscript"/>
        </w:rPr>
        <w:t>1</w:t>
      </w:r>
      <w:r w:rsidRPr="009718ED">
        <w:t>Case studies include patient interviews/ focus groups, practice interviews, related provider interviews (e.g. pharmacists, allied health), PHN interviews, LHN/ state &amp; territory health authority interviews</w:t>
      </w:r>
      <w:r>
        <w:t xml:space="preserve">; </w:t>
      </w:r>
      <w:r w:rsidRPr="009718ED">
        <w:rPr>
          <w:vertAlign w:val="superscript"/>
        </w:rPr>
        <w:t>2</w:t>
      </w:r>
      <w:r w:rsidRPr="009718ED">
        <w:t>Includes, amongst other issues, data on registrations, utilisation of training modules</w:t>
      </w:r>
      <w:r>
        <w:t xml:space="preserve">; </w:t>
      </w:r>
      <w:r w:rsidRPr="009718ED">
        <w:rPr>
          <w:vertAlign w:val="superscript"/>
        </w:rPr>
        <w:t>3</w:t>
      </w:r>
      <w:r w:rsidRPr="009718ED">
        <w:t>Includes MBS, PBS, hospital, emergency department, aged care, and fact of death data.</w:t>
      </w:r>
      <w:bookmarkStart w:id="417" w:name="_Toc22382592"/>
      <w:bookmarkEnd w:id="416"/>
    </w:p>
    <w:p w14:paraId="7DAF6B12" w14:textId="77777777" w:rsidR="001C19F3" w:rsidRDefault="001C19F3" w:rsidP="001C19F3">
      <w:pPr>
        <w:pStyle w:val="Heading2"/>
      </w:pPr>
      <w:bookmarkStart w:id="418" w:name="_Toc32586031"/>
      <w:r>
        <w:lastRenderedPageBreak/>
        <w:t>Structure of this report</w:t>
      </w:r>
      <w:bookmarkEnd w:id="417"/>
      <w:bookmarkEnd w:id="418"/>
    </w:p>
    <w:p w14:paraId="4DAB9F4E" w14:textId="77777777" w:rsidR="001C19F3" w:rsidRPr="00233DE2" w:rsidRDefault="001C19F3" w:rsidP="001C19F3">
      <w:r w:rsidRPr="00233DE2">
        <w:t>This volume is structured as follows:</w:t>
      </w:r>
    </w:p>
    <w:p w14:paraId="4C0B4049" w14:textId="77777777" w:rsidR="001C19F3" w:rsidRPr="00233DE2" w:rsidRDefault="001C19F3" w:rsidP="001C19F3">
      <w:pPr>
        <w:pStyle w:val="ListParagraph"/>
        <w:numPr>
          <w:ilvl w:val="0"/>
          <w:numId w:val="101"/>
        </w:numPr>
        <w:ind w:left="714" w:hanging="357"/>
      </w:pPr>
      <w:r w:rsidRPr="00233DE2">
        <w:t>Chapter 2 describe</w:t>
      </w:r>
      <w:r>
        <w:t>s</w:t>
      </w:r>
      <w:r w:rsidRPr="00233DE2">
        <w:t xml:space="preserve"> progress with the implementation of evaluation infrastructure including research ethics</w:t>
      </w:r>
      <w:r>
        <w:t>.</w:t>
      </w:r>
    </w:p>
    <w:p w14:paraId="66AE1F43" w14:textId="77777777" w:rsidR="001C19F3" w:rsidRPr="00233DE2" w:rsidRDefault="001C19F3" w:rsidP="001C19F3">
      <w:pPr>
        <w:pStyle w:val="ListParagraph"/>
        <w:numPr>
          <w:ilvl w:val="0"/>
          <w:numId w:val="101"/>
        </w:numPr>
        <w:ind w:left="714" w:hanging="357"/>
      </w:pPr>
      <w:r w:rsidRPr="00233DE2">
        <w:t>Chapter 3 describes progress with each of the evaluation data sources</w:t>
      </w:r>
      <w:r>
        <w:t>.</w:t>
      </w:r>
    </w:p>
    <w:p w14:paraId="40F23903" w14:textId="77777777" w:rsidR="001C19F3" w:rsidRDefault="001C19F3" w:rsidP="001C19F3">
      <w:pPr>
        <w:pStyle w:val="ListParagraph"/>
        <w:numPr>
          <w:ilvl w:val="0"/>
          <w:numId w:val="101"/>
        </w:numPr>
        <w:ind w:left="714" w:hanging="357"/>
      </w:pPr>
      <w:r w:rsidRPr="00233DE2">
        <w:t xml:space="preserve">Chapter 4 </w:t>
      </w:r>
      <w:r>
        <w:t>describes the</w:t>
      </w:r>
      <w:r w:rsidRPr="00233DE2">
        <w:t xml:space="preserve"> benchmark reports</w:t>
      </w:r>
      <w:r>
        <w:t xml:space="preserve"> </w:t>
      </w:r>
      <w:r w:rsidRPr="00233DE2">
        <w:t xml:space="preserve">developed </w:t>
      </w:r>
      <w:r>
        <w:t>by the evaluation team</w:t>
      </w:r>
      <w:r w:rsidRPr="00233DE2">
        <w:t xml:space="preserve">. </w:t>
      </w:r>
      <w:r>
        <w:t>T</w:t>
      </w:r>
      <w:r w:rsidRPr="00233DE2">
        <w:t xml:space="preserve">hese reports have been provided to HCH practices and Primary Health Networks (PHNs). </w:t>
      </w:r>
    </w:p>
    <w:p w14:paraId="2782029B" w14:textId="77777777" w:rsidR="001C19F3" w:rsidRDefault="001C19F3" w:rsidP="001C19F3">
      <w:pPr>
        <w:pStyle w:val="ListParagraph"/>
        <w:numPr>
          <w:ilvl w:val="0"/>
          <w:numId w:val="101"/>
        </w:numPr>
        <w:ind w:left="714" w:hanging="357"/>
        <w:contextualSpacing w:val="0"/>
        <w:sectPr w:rsidR="001C19F3" w:rsidSect="00640EFA">
          <w:headerReference w:type="even" r:id="rId98"/>
          <w:headerReference w:type="default" r:id="rId99"/>
          <w:headerReference w:type="first" r:id="rId100"/>
          <w:footerReference w:type="first" r:id="rId101"/>
          <w:pgSz w:w="11906" w:h="16838"/>
          <w:pgMar w:top="1440" w:right="1440" w:bottom="1440" w:left="1440" w:header="708" w:footer="708" w:gutter="0"/>
          <w:cols w:space="708"/>
          <w:titlePg/>
          <w:docGrid w:linePitch="360"/>
        </w:sectPr>
      </w:pPr>
      <w:r>
        <w:t>Chapter 5 summarises the progress on the evaluation.</w:t>
      </w:r>
    </w:p>
    <w:p w14:paraId="41AAB7F8" w14:textId="77777777" w:rsidR="001C19F3" w:rsidRDefault="001C19F3" w:rsidP="001C19F3">
      <w:pPr>
        <w:pStyle w:val="Heading1withnumber"/>
        <w:ind w:left="0" w:hanging="1134"/>
      </w:pPr>
      <w:bookmarkStart w:id="419" w:name="_Toc32586032"/>
      <w:r>
        <w:lastRenderedPageBreak/>
        <w:t>Evaluation infrastructure</w:t>
      </w:r>
      <w:bookmarkEnd w:id="419"/>
    </w:p>
    <w:p w14:paraId="4D607FC2" w14:textId="77777777" w:rsidR="001C19F3" w:rsidRPr="008631BB" w:rsidRDefault="001C19F3" w:rsidP="001C19F3">
      <w:r>
        <w:t>This Chapter describes the</w:t>
      </w:r>
      <w:r w:rsidRPr="00233DE2">
        <w:t xml:space="preserve"> evaluation infrastructure</w:t>
      </w:r>
      <w:r>
        <w:t>,</w:t>
      </w:r>
      <w:r w:rsidRPr="00233DE2">
        <w:t xml:space="preserve"> including research ethics</w:t>
      </w:r>
      <w:r>
        <w:t>.</w:t>
      </w:r>
    </w:p>
    <w:p w14:paraId="0A120714" w14:textId="77777777" w:rsidR="001C19F3" w:rsidRDefault="001C19F3" w:rsidP="001C19F3">
      <w:pPr>
        <w:pStyle w:val="Heading2"/>
      </w:pPr>
      <w:bookmarkStart w:id="420" w:name="_Toc32586033"/>
      <w:r>
        <w:t>HCH evaluation plan</w:t>
      </w:r>
      <w:bookmarkEnd w:id="420"/>
    </w:p>
    <w:p w14:paraId="70A63652" w14:textId="77777777" w:rsidR="001C19F3" w:rsidRDefault="001C19F3" w:rsidP="001C19F3">
      <w:r>
        <w:t xml:space="preserve">Health Policy Analysis developed an initial evaluation plan in January 2017. This was refined following consultation with stakeholders and working closely with the Evaluation Working Group (EWG). The list of stakeholders consulted in the development of the plan is at Appendix 2. The Implementation Advisory Group (IAG) endorsed the plan in December 2017. Minor refinements continued to be made until March 2018. </w:t>
      </w:r>
    </w:p>
    <w:p w14:paraId="337EE080" w14:textId="77777777" w:rsidR="001C19F3" w:rsidRDefault="001C19F3" w:rsidP="001C19F3">
      <w:r>
        <w:t>The evaluation plan was disseminated both through the Department of Health’s website (</w:t>
      </w:r>
      <w:hyperlink r:id="rId102" w:history="1">
        <w:r w:rsidRPr="00132400">
          <w:rPr>
            <w:rStyle w:val="Hyperlink"/>
          </w:rPr>
          <w:t>http://www.health.gov.au/internet/main/publishing.nsf/Content/health-care-homes-information</w:t>
        </w:r>
      </w:hyperlink>
      <w:r>
        <w:t>) and Health Policy Analysis’ HCH evaluation website (</w:t>
      </w:r>
      <w:hyperlink r:id="rId103" w:history="1">
        <w:r w:rsidRPr="00132400">
          <w:rPr>
            <w:rStyle w:val="Hyperlink"/>
          </w:rPr>
          <w:t>https://hchevaluation.com/</w:t>
        </w:r>
      </w:hyperlink>
      <w:r>
        <w:t>).</w:t>
      </w:r>
    </w:p>
    <w:p w14:paraId="257759F4" w14:textId="77777777" w:rsidR="001C19F3" w:rsidRDefault="001C19F3" w:rsidP="001C19F3">
      <w:r>
        <w:t>The plan was revised in 2019 to incorporate the Community Pharmacy in HCH initiative and the extension of HCH through to June 2021. The updated plan was approved by the ACT Human Research Ethics Committee (HREC) in October 2019.</w:t>
      </w:r>
    </w:p>
    <w:p w14:paraId="6EC2BC1B" w14:textId="77777777" w:rsidR="001C19F3" w:rsidRDefault="001C19F3" w:rsidP="001C19F3">
      <w:pPr>
        <w:pStyle w:val="Heading2"/>
      </w:pPr>
      <w:bookmarkStart w:id="421" w:name="_Toc32586034"/>
      <w:r>
        <w:t>Evaluation resources and website</w:t>
      </w:r>
      <w:bookmarkEnd w:id="421"/>
    </w:p>
    <w:p w14:paraId="3FB7492D" w14:textId="77777777" w:rsidR="001C19F3" w:rsidRDefault="001C19F3" w:rsidP="001C19F3">
      <w:r>
        <w:t>Resources were developed for practices to understand the data that they would need to provide for the evaluation. These were disseminated online via a site built specifically for the evaluation (</w:t>
      </w:r>
      <w:hyperlink r:id="rId104" w:history="1">
        <w:r w:rsidRPr="00132400">
          <w:rPr>
            <w:rStyle w:val="Hyperlink"/>
          </w:rPr>
          <w:t>https://hchevaluation.com/</w:t>
        </w:r>
      </w:hyperlink>
      <w:r>
        <w:t xml:space="preserve">). In addition to the Evaluation plan, an ‘Evaluation guide’ and ‘Quick guide’ were developed (and later updated when the HCH trial was extended). </w:t>
      </w:r>
    </w:p>
    <w:p w14:paraId="757F1671" w14:textId="77777777" w:rsidR="001C19F3" w:rsidRDefault="001C19F3" w:rsidP="001C19F3">
      <w:r>
        <w:t xml:space="preserve">In addition, a ‘HCH-A staff consensus tool’ was developed. This is </w:t>
      </w:r>
      <w:r w:rsidRPr="007F7DB9">
        <w:t xml:space="preserve">a Microsoft Excel tool </w:t>
      </w:r>
      <w:r>
        <w:t>that helped practice</w:t>
      </w:r>
      <w:r w:rsidRPr="007F7DB9">
        <w:t>s compile assessments from individual staff members</w:t>
      </w:r>
      <w:r>
        <w:t xml:space="preserve"> towards completing the Health Care Home Assessment (HCH-A). </w:t>
      </w:r>
      <w:r w:rsidRPr="00CD2EDE">
        <w:rPr>
          <w:szCs w:val="20"/>
        </w:rPr>
        <w:t xml:space="preserve">HCH-A </w:t>
      </w:r>
      <w:r>
        <w:t>was initially</w:t>
      </w:r>
      <w:r w:rsidRPr="00CD2EDE">
        <w:t xml:space="preserve"> used by practices to assess </w:t>
      </w:r>
      <w:r>
        <w:t>the</w:t>
      </w:r>
      <w:r w:rsidRPr="00CD2EDE">
        <w:t xml:space="preserve"> extent to which they </w:t>
      </w:r>
      <w:r>
        <w:t>were</w:t>
      </w:r>
      <w:r w:rsidRPr="00CD2EDE">
        <w:t xml:space="preserve"> operating as </w:t>
      </w:r>
      <w:r>
        <w:t>an HCH and</w:t>
      </w:r>
      <w:r w:rsidRPr="00CD2EDE">
        <w:t xml:space="preserve"> </w:t>
      </w:r>
      <w:r>
        <w:t>to identify and prioritise changes that they would make as an HCH</w:t>
      </w:r>
      <w:r w:rsidRPr="00CD2EDE">
        <w:t>.</w:t>
      </w:r>
      <w:r>
        <w:t xml:space="preserve"> Later it will be used for sites to measure their progress.</w:t>
      </w:r>
      <w:r w:rsidRPr="00CD2EDE">
        <w:t xml:space="preserve"> </w:t>
      </w:r>
      <w:r>
        <w:t xml:space="preserve">HCH-A was part of the training materials provided to practices for the HCH trial, and is part of the practice survey for the evaluation (see </w:t>
      </w:r>
      <w:r>
        <w:fldChar w:fldCharType="begin"/>
      </w:r>
      <w:r>
        <w:instrText xml:space="preserve"> REF _Ref527642922 \h </w:instrText>
      </w:r>
      <w:r>
        <w:fldChar w:fldCharType="separate"/>
      </w:r>
      <w:r>
        <w:t>Practice surveys</w:t>
      </w:r>
      <w:r>
        <w:fldChar w:fldCharType="end"/>
      </w:r>
      <w:r>
        <w:t xml:space="preserve">, p. </w:t>
      </w:r>
      <w:r>
        <w:fldChar w:fldCharType="begin"/>
      </w:r>
      <w:r>
        <w:instrText xml:space="preserve"> PAGEREF _Ref527642922 \h </w:instrText>
      </w:r>
      <w:r>
        <w:fldChar w:fldCharType="separate"/>
      </w:r>
      <w:r>
        <w:rPr>
          <w:noProof/>
        </w:rPr>
        <w:t>9</w:t>
      </w:r>
      <w:r>
        <w:fldChar w:fldCharType="end"/>
      </w:r>
      <w:r>
        <w:t>). A ‘Quick guide’ to the tool and instructional video were also developed and included on the site.</w:t>
      </w:r>
    </w:p>
    <w:p w14:paraId="278CD7C0" w14:textId="77777777" w:rsidR="001C19F3" w:rsidRDefault="001C19F3" w:rsidP="001C19F3">
      <w:r>
        <w:t xml:space="preserve">The evaluation website is also the portal to an </w:t>
      </w:r>
      <w:r w:rsidRPr="00DE27DA">
        <w:t>‘online evaluation app’</w:t>
      </w:r>
      <w:r>
        <w:t xml:space="preserve"> that has allowed practices to:</w:t>
      </w:r>
    </w:p>
    <w:p w14:paraId="613DAD66" w14:textId="77777777" w:rsidR="001C19F3" w:rsidRDefault="001C19F3" w:rsidP="001C19F3">
      <w:pPr>
        <w:pStyle w:val="ListParagraph"/>
        <w:numPr>
          <w:ilvl w:val="0"/>
          <w:numId w:val="102"/>
        </w:numPr>
        <w:ind w:left="714" w:hanging="357"/>
      </w:pPr>
      <w:r>
        <w:t>R</w:t>
      </w:r>
      <w:r w:rsidRPr="00DE27DA">
        <w:t xml:space="preserve">ecord basic information about </w:t>
      </w:r>
      <w:r>
        <w:t xml:space="preserve">enrolled </w:t>
      </w:r>
      <w:r w:rsidRPr="00DE27DA">
        <w:t>patients</w:t>
      </w:r>
      <w:r>
        <w:t xml:space="preserve">: </w:t>
      </w:r>
      <w:r w:rsidRPr="00DE27DA">
        <w:t>name, address, age, sex, risk tier, telephone and email</w:t>
      </w:r>
      <w:r>
        <w:t>. This information was used to i</w:t>
      </w:r>
      <w:r w:rsidRPr="00DE27DA">
        <w:t>nvite patients to participate in surveys and interviews/ focus groups.</w:t>
      </w:r>
      <w:r>
        <w:t xml:space="preserve"> For patients that </w:t>
      </w:r>
      <w:r w:rsidRPr="00DE27DA">
        <w:t>opt</w:t>
      </w:r>
      <w:r>
        <w:t xml:space="preserve">ed </w:t>
      </w:r>
      <w:r w:rsidRPr="00DE27DA">
        <w:t xml:space="preserve">out of the primary data </w:t>
      </w:r>
      <w:r w:rsidRPr="00DE27DA">
        <w:lastRenderedPageBreak/>
        <w:t>collection</w:t>
      </w:r>
      <w:r>
        <w:t xml:space="preserve">, practices recorded </w:t>
      </w:r>
      <w:r w:rsidRPr="00DE27DA">
        <w:t xml:space="preserve">basic demographic </w:t>
      </w:r>
      <w:r>
        <w:t>information but no contact details.</w:t>
      </w:r>
    </w:p>
    <w:p w14:paraId="16321B4B" w14:textId="77777777" w:rsidR="001C19F3" w:rsidRDefault="001C19F3" w:rsidP="001C19F3">
      <w:pPr>
        <w:pStyle w:val="ListParagraph"/>
        <w:numPr>
          <w:ilvl w:val="0"/>
          <w:numId w:val="102"/>
        </w:numPr>
        <w:ind w:left="714" w:hanging="357"/>
      </w:pPr>
      <w:r>
        <w:t>Provide secure links to surveys.</w:t>
      </w:r>
    </w:p>
    <w:p w14:paraId="1B4DBBAE" w14:textId="77777777" w:rsidR="001C19F3" w:rsidRDefault="001C19F3" w:rsidP="001C19F3">
      <w:pPr>
        <w:pStyle w:val="ListParagraph"/>
        <w:numPr>
          <w:ilvl w:val="0"/>
          <w:numId w:val="102"/>
        </w:numPr>
        <w:ind w:left="714" w:hanging="357"/>
        <w:contextualSpacing w:val="0"/>
      </w:pPr>
      <w:r>
        <w:t xml:space="preserve">Receive </w:t>
      </w:r>
      <w:bookmarkStart w:id="422" w:name="_Hlk22396387"/>
      <w:r>
        <w:t>benchmark reports tailored to the practice</w:t>
      </w:r>
      <w:bookmarkEnd w:id="422"/>
      <w:r>
        <w:t>.</w:t>
      </w:r>
    </w:p>
    <w:p w14:paraId="1025B4DE" w14:textId="77777777" w:rsidR="001C19F3" w:rsidRDefault="001C19F3" w:rsidP="001C19F3">
      <w:r>
        <w:t>A ‘Quick guide’ and an instructional video was developed describing the app.</w:t>
      </w:r>
    </w:p>
    <w:p w14:paraId="11985409" w14:textId="77777777" w:rsidR="001C19F3" w:rsidRDefault="001C19F3" w:rsidP="001C19F3">
      <w:r>
        <w:t>PHNs also had access to the online evaluation app to complete the PHN survey and to receive PHN-level benchmark reports.</w:t>
      </w:r>
    </w:p>
    <w:p w14:paraId="1BDC9744" w14:textId="77777777" w:rsidR="001C19F3" w:rsidRDefault="001C19F3" w:rsidP="001C19F3">
      <w:r>
        <w:t xml:space="preserve">The instructional videos on the evaluation website were from webinars that Health Policy Analysis delivered to practice facilitators through </w:t>
      </w:r>
      <w:r w:rsidRPr="002E20E3">
        <w:t>Australian General Practice Accreditation Limited</w:t>
      </w:r>
      <w:r>
        <w:t>’s (AGPAL’s) training platform.</w:t>
      </w:r>
    </w:p>
    <w:p w14:paraId="78A3D5CE" w14:textId="77777777" w:rsidR="001C19F3" w:rsidRDefault="001C19F3" w:rsidP="001C19F3">
      <w:pPr>
        <w:pStyle w:val="Heading2"/>
      </w:pPr>
      <w:bookmarkStart w:id="423" w:name="_Toc32586035"/>
      <w:r>
        <w:t>Research ethics</w:t>
      </w:r>
      <w:bookmarkEnd w:id="423"/>
    </w:p>
    <w:p w14:paraId="404E3254" w14:textId="77777777" w:rsidR="001C19F3" w:rsidRDefault="001C19F3" w:rsidP="001C19F3">
      <w:r w:rsidRPr="00FA479C">
        <w:t xml:space="preserve">The Department of Health Ethics Committee (DEC) </w:t>
      </w:r>
      <w:r>
        <w:t>approved the</w:t>
      </w:r>
      <w:r w:rsidRPr="00FA479C">
        <w:t xml:space="preserve"> evaluation</w:t>
      </w:r>
      <w:r>
        <w:t xml:space="preserve"> of HCH (</w:t>
      </w:r>
      <w:r w:rsidRPr="00FA479C">
        <w:t>excluding</w:t>
      </w:r>
      <w:r>
        <w:t xml:space="preserve"> the components related to linked data and</w:t>
      </w:r>
      <w:r w:rsidRPr="00FA479C">
        <w:t xml:space="preserve"> the case studies in</w:t>
      </w:r>
      <w:r>
        <w:t xml:space="preserve"> the</w:t>
      </w:r>
      <w:r w:rsidRPr="00FA479C">
        <w:t xml:space="preserve"> NT </w:t>
      </w:r>
      <w:r>
        <w:t xml:space="preserve">Aboriginal Community Controlled Health Services – </w:t>
      </w:r>
      <w:r w:rsidRPr="00FA479C">
        <w:t>ACCHS</w:t>
      </w:r>
      <w:r>
        <w:t>) in</w:t>
      </w:r>
      <w:r w:rsidRPr="00FA479C">
        <w:t xml:space="preserve"> September 2017.</w:t>
      </w:r>
    </w:p>
    <w:p w14:paraId="12ED88F9" w14:textId="77777777" w:rsidR="001C19F3" w:rsidRDefault="001C19F3" w:rsidP="001C19F3">
      <w:r>
        <w:t xml:space="preserve">In August 2018 the DEC </w:t>
      </w:r>
      <w:r w:rsidRPr="00A147DE">
        <w:t>wrapp</w:t>
      </w:r>
      <w:r>
        <w:t>ed</w:t>
      </w:r>
      <w:r w:rsidRPr="00A147DE">
        <w:t xml:space="preserve"> up its operations</w:t>
      </w:r>
      <w:r>
        <w:t xml:space="preserve"> and ethical oversight for the project was transferred to the ACT Health HREC.</w:t>
      </w:r>
    </w:p>
    <w:p w14:paraId="3DAC84BC" w14:textId="77777777" w:rsidR="001C19F3" w:rsidRDefault="001C19F3" w:rsidP="001C19F3">
      <w:r>
        <w:t>The ACT Health HREC later approved amendments to incorporate the evaluation of the Community Pharmacy in HCH Trial Program (June 2019) and to extend the evaluation as a result of the extension of the HCH trial (October 2019).</w:t>
      </w:r>
    </w:p>
    <w:p w14:paraId="1E6CF6B1" w14:textId="77777777" w:rsidR="001C19F3" w:rsidRDefault="001C19F3" w:rsidP="001C19F3">
      <w:r>
        <w:t>T</w:t>
      </w:r>
      <w:r w:rsidRPr="00FA479C">
        <w:t xml:space="preserve">he </w:t>
      </w:r>
      <w:r>
        <w:t>Australian Institute of Health and Welfare (</w:t>
      </w:r>
      <w:r w:rsidRPr="00FA479C">
        <w:t>AIHW</w:t>
      </w:r>
      <w:r>
        <w:t>)</w:t>
      </w:r>
      <w:r w:rsidRPr="00FA479C">
        <w:t xml:space="preserve"> HREC</w:t>
      </w:r>
      <w:r>
        <w:t xml:space="preserve"> approved data linkage for the evaluation in March 2018. </w:t>
      </w:r>
      <w:r w:rsidRPr="00FA479C">
        <w:t>The application was for the creation of a de-identified linked data</w:t>
      </w:r>
      <w:r>
        <w:t xml:space="preserve"> </w:t>
      </w:r>
      <w:r w:rsidRPr="00FA479C">
        <w:t xml:space="preserve">set (the </w:t>
      </w:r>
      <w:r>
        <w:t>‘</w:t>
      </w:r>
      <w:r w:rsidRPr="00FA479C">
        <w:t>Bilaterals data</w:t>
      </w:r>
      <w:r>
        <w:t xml:space="preserve"> </w:t>
      </w:r>
      <w:r w:rsidRPr="00FA479C">
        <w:t>set</w:t>
      </w:r>
      <w:r>
        <w:t>’</w:t>
      </w:r>
      <w:r w:rsidRPr="00FA479C">
        <w:t xml:space="preserve">) to support </w:t>
      </w:r>
      <w:r>
        <w:t>initiatives under</w:t>
      </w:r>
      <w:r w:rsidRPr="00FA479C">
        <w:t xml:space="preserve"> the Bilateral Agreements as well as</w:t>
      </w:r>
      <w:r>
        <w:t xml:space="preserve"> for the evaluation of</w:t>
      </w:r>
      <w:r w:rsidRPr="00FA479C">
        <w:t xml:space="preserve"> HCH. Data sets to be linked </w:t>
      </w:r>
      <w:r>
        <w:t>a</w:t>
      </w:r>
      <w:r w:rsidRPr="00FA479C">
        <w:t>re: Medica</w:t>
      </w:r>
      <w:r>
        <w:t>re</w:t>
      </w:r>
      <w:r w:rsidRPr="00FA479C">
        <w:t xml:space="preserve"> Benefits Schedule (MBS)</w:t>
      </w:r>
      <w:r>
        <w:t>;</w:t>
      </w:r>
      <w:r w:rsidRPr="00FA479C">
        <w:t xml:space="preserve"> Pharmaceutical Benefits Schedule (PBS)</w:t>
      </w:r>
      <w:r>
        <w:t>;</w:t>
      </w:r>
      <w:r w:rsidRPr="00FA479C">
        <w:t xml:space="preserve"> National hospital morbidity data </w:t>
      </w:r>
      <w:r>
        <w:t>–</w:t>
      </w:r>
      <w:r w:rsidRPr="00FA479C">
        <w:t xml:space="preserve"> hospital separations; National non-admitted patient emergency</w:t>
      </w:r>
      <w:r w:rsidRPr="00F1267C">
        <w:t xml:space="preserve"> department care data </w:t>
      </w:r>
      <w:r>
        <w:t>–</w:t>
      </w:r>
      <w:r w:rsidRPr="00F1267C">
        <w:t xml:space="preserve"> emergency department presentations</w:t>
      </w:r>
      <w:r>
        <w:t xml:space="preserve">; </w:t>
      </w:r>
      <w:r w:rsidRPr="00F1267C">
        <w:t>National aged care data</w:t>
      </w:r>
      <w:r>
        <w:t xml:space="preserve"> – </w:t>
      </w:r>
      <w:r w:rsidRPr="00F1267C">
        <w:t>residential aged care admissions, community ag</w:t>
      </w:r>
      <w:r>
        <w:t>ed care packages and Fact of death data (from the National Death Index).</w:t>
      </w:r>
    </w:p>
    <w:p w14:paraId="5540A856" w14:textId="77777777" w:rsidR="001C19F3" w:rsidRDefault="001C19F3" w:rsidP="001C19F3">
      <w:r>
        <w:t xml:space="preserve">Case studies of two ACCHS were approved by the </w:t>
      </w:r>
      <w:r w:rsidRPr="001534AC">
        <w:t>Central Australian</w:t>
      </w:r>
      <w:r>
        <w:t xml:space="preserve"> HREC and the </w:t>
      </w:r>
      <w:r w:rsidRPr="001534AC">
        <w:t>Menzies School of Health Research</w:t>
      </w:r>
      <w:r>
        <w:t xml:space="preserve"> HREC (July and September 2019 respectively).</w:t>
      </w:r>
    </w:p>
    <w:p w14:paraId="2C86C263" w14:textId="77777777" w:rsidR="001C19F3" w:rsidRDefault="001C19F3" w:rsidP="001C19F3">
      <w:pPr>
        <w:pStyle w:val="Heading2"/>
      </w:pPr>
      <w:bookmarkStart w:id="424" w:name="_Toc32586036"/>
      <w:r>
        <w:t>Data security</w:t>
      </w:r>
      <w:bookmarkEnd w:id="424"/>
    </w:p>
    <w:p w14:paraId="48DC0CF5" w14:textId="77777777" w:rsidR="001C19F3" w:rsidRDefault="001C19F3" w:rsidP="001C19F3">
      <w:pPr>
        <w:rPr>
          <w:szCs w:val="20"/>
        </w:rPr>
      </w:pPr>
      <w:r w:rsidRPr="00FA479C">
        <w:t xml:space="preserve">A key risk of the evaluation that was identified upfront was data security. </w:t>
      </w:r>
      <w:r>
        <w:t xml:space="preserve">To address this, the Department of Health and Health Policy Analysis agreed to store the secondary data obtained for the </w:t>
      </w:r>
      <w:r w:rsidRPr="00923773">
        <w:t>evaluation (i.e. practice extracts, linked data, HCH program data) in</w:t>
      </w:r>
      <w:r>
        <w:t xml:space="preserve"> the </w:t>
      </w:r>
      <w:r w:rsidRPr="009E4C6A">
        <w:rPr>
          <w:szCs w:val="20"/>
        </w:rPr>
        <w:t xml:space="preserve">Secure Unified Research Environment (SURE) </w:t>
      </w:r>
      <w:r>
        <w:rPr>
          <w:szCs w:val="20"/>
        </w:rPr>
        <w:t xml:space="preserve">administered by </w:t>
      </w:r>
      <w:r w:rsidRPr="009E4C6A">
        <w:rPr>
          <w:szCs w:val="20"/>
        </w:rPr>
        <w:t xml:space="preserve">the SAX institute. </w:t>
      </w:r>
      <w:r w:rsidRPr="00490A22">
        <w:rPr>
          <w:szCs w:val="20"/>
        </w:rPr>
        <w:t xml:space="preserve">SURE is a remote-access computing environment. </w:t>
      </w:r>
      <w:r>
        <w:rPr>
          <w:szCs w:val="20"/>
        </w:rPr>
        <w:t>It</w:t>
      </w:r>
      <w:r w:rsidRPr="00490A22">
        <w:rPr>
          <w:szCs w:val="20"/>
        </w:rPr>
        <w:t xml:space="preserve"> is accessible over encrypted Internet and AARNet connections, replacing the need for investigators to use their local computing environment.</w:t>
      </w:r>
    </w:p>
    <w:p w14:paraId="3CE9E74C" w14:textId="77777777" w:rsidR="001C19F3" w:rsidRDefault="001C19F3" w:rsidP="001C19F3">
      <w:pPr>
        <w:spacing w:after="160" w:line="259" w:lineRule="auto"/>
        <w:rPr>
          <w:szCs w:val="20"/>
        </w:rPr>
      </w:pPr>
      <w:r>
        <w:rPr>
          <w:szCs w:val="20"/>
        </w:rPr>
        <w:br w:type="page"/>
      </w:r>
    </w:p>
    <w:tbl>
      <w:tblPr>
        <w:tblW w:w="0" w:type="auto"/>
        <w:shd w:val="clear" w:color="auto" w:fill="F2F2F2" w:themeFill="background1" w:themeFillShade="F2"/>
        <w:tblLook w:val="04A0" w:firstRow="1" w:lastRow="0" w:firstColumn="1" w:lastColumn="0" w:noHBand="0" w:noVBand="1"/>
      </w:tblPr>
      <w:tblGrid>
        <w:gridCol w:w="9016"/>
      </w:tblGrid>
      <w:tr w:rsidR="001C19F3" w14:paraId="61501E2F" w14:textId="77777777" w:rsidTr="00521305">
        <w:tc>
          <w:tcPr>
            <w:tcW w:w="9016" w:type="dxa"/>
            <w:shd w:val="clear" w:color="auto" w:fill="F2F2F2" w:themeFill="background1" w:themeFillShade="F2"/>
          </w:tcPr>
          <w:p w14:paraId="745B35B5" w14:textId="77777777" w:rsidR="001C19F3" w:rsidRPr="00490A22" w:rsidRDefault="001C19F3" w:rsidP="00521305">
            <w:pPr>
              <w:pStyle w:val="Boxheading"/>
            </w:pPr>
            <w:bookmarkStart w:id="425" w:name="SURE"/>
            <w:r w:rsidRPr="00490A22">
              <w:lastRenderedPageBreak/>
              <w:t>Maintaining the security of the data compiled for the evaluation: the Secure Unified Research Environment (SURE)</w:t>
            </w:r>
            <w:bookmarkEnd w:id="425"/>
          </w:p>
          <w:p w14:paraId="6A285E8E" w14:textId="77777777" w:rsidR="001C19F3" w:rsidRDefault="001C19F3" w:rsidP="00521305">
            <w:r>
              <w:t>SURE aims to protect the privacy and confidentiality of data. System protocols require that:</w:t>
            </w:r>
          </w:p>
          <w:p w14:paraId="29C06CE4" w14:textId="77777777" w:rsidR="001C19F3" w:rsidRDefault="001C19F3" w:rsidP="001C19F3">
            <w:pPr>
              <w:pStyle w:val="ListParagraph"/>
              <w:numPr>
                <w:ilvl w:val="0"/>
                <w:numId w:val="94"/>
              </w:numPr>
            </w:pPr>
            <w:r>
              <w:t>All files moved in and out of SURE go through a portal called the Curated Gateway, which involves review for compliance with ethics committee approval and data custodian requirements by a member of the SURE operations team.</w:t>
            </w:r>
          </w:p>
          <w:p w14:paraId="561E319B" w14:textId="77777777" w:rsidR="001C19F3" w:rsidRDefault="001C19F3" w:rsidP="001C19F3">
            <w:pPr>
              <w:pStyle w:val="ListParagraph"/>
              <w:numPr>
                <w:ilvl w:val="0"/>
                <w:numId w:val="94"/>
              </w:numPr>
            </w:pPr>
            <w:r>
              <w:t>Within SURE, a user cannot access the internet or email, there is no print function, and no ability to copy data to removable media.</w:t>
            </w:r>
          </w:p>
          <w:p w14:paraId="5F61EBC9" w14:textId="77777777" w:rsidR="001C19F3" w:rsidRDefault="001C19F3" w:rsidP="001C19F3">
            <w:pPr>
              <w:pStyle w:val="ListParagraph"/>
              <w:numPr>
                <w:ilvl w:val="0"/>
                <w:numId w:val="94"/>
              </w:numPr>
            </w:pPr>
            <w:r>
              <w:t>Outbound files uploaded to the Curated Gateway for use outside SURE are reviewed by the study‘s chief investigator or their nominated representative.</w:t>
            </w:r>
          </w:p>
          <w:p w14:paraId="4A9F6E1D" w14:textId="77777777" w:rsidR="001C19F3" w:rsidRDefault="001C19F3" w:rsidP="001C19F3">
            <w:pPr>
              <w:pStyle w:val="ListParagraph"/>
              <w:numPr>
                <w:ilvl w:val="0"/>
                <w:numId w:val="94"/>
              </w:numPr>
            </w:pPr>
            <w:r>
              <w:t>All files that pass through the Curated Gateway are logged and may be subject to audit by the Sax Institute.</w:t>
            </w:r>
          </w:p>
        </w:tc>
      </w:tr>
    </w:tbl>
    <w:p w14:paraId="59A2CE22" w14:textId="77777777" w:rsidR="001C19F3" w:rsidRPr="00FA479C" w:rsidRDefault="001C19F3" w:rsidP="001C19F3">
      <w:pPr>
        <w:spacing w:after="0"/>
      </w:pPr>
    </w:p>
    <w:p w14:paraId="55CADF1E" w14:textId="77777777" w:rsidR="001C19F3" w:rsidRDefault="001C19F3" w:rsidP="001C19F3">
      <w:pPr>
        <w:pStyle w:val="Heading2"/>
        <w:sectPr w:rsidR="001C19F3" w:rsidSect="001C5D9E">
          <w:headerReference w:type="even" r:id="rId105"/>
          <w:headerReference w:type="default" r:id="rId106"/>
          <w:headerReference w:type="first" r:id="rId107"/>
          <w:pgSz w:w="11906" w:h="16838"/>
          <w:pgMar w:top="1440" w:right="1440" w:bottom="1440" w:left="1440" w:header="708" w:footer="708" w:gutter="0"/>
          <w:cols w:space="708"/>
          <w:titlePg/>
          <w:docGrid w:linePitch="360"/>
        </w:sectPr>
      </w:pPr>
    </w:p>
    <w:p w14:paraId="62DE69E6" w14:textId="77777777" w:rsidR="001C19F3" w:rsidRDefault="001C19F3" w:rsidP="001C19F3">
      <w:pPr>
        <w:pStyle w:val="Heading1withnumber"/>
        <w:ind w:left="0" w:hanging="1134"/>
      </w:pPr>
      <w:bookmarkStart w:id="426" w:name="_Toc32586037"/>
      <w:r>
        <w:lastRenderedPageBreak/>
        <w:t>Progress with evaluation data</w:t>
      </w:r>
      <w:bookmarkEnd w:id="426"/>
    </w:p>
    <w:p w14:paraId="09917AE5" w14:textId="77777777" w:rsidR="001C19F3" w:rsidRDefault="001C19F3" w:rsidP="001C19F3">
      <w:pPr>
        <w:pStyle w:val="Heading2"/>
      </w:pPr>
      <w:bookmarkStart w:id="427" w:name="_Ref527642922"/>
      <w:bookmarkStart w:id="428" w:name="_Ref527642926"/>
      <w:bookmarkStart w:id="429" w:name="_Toc32586038"/>
      <w:r>
        <w:t>Practice surveys</w:t>
      </w:r>
      <w:bookmarkEnd w:id="427"/>
      <w:bookmarkEnd w:id="428"/>
      <w:bookmarkEnd w:id="429"/>
    </w:p>
    <w:p w14:paraId="2D244A9B" w14:textId="77777777" w:rsidR="001C19F3" w:rsidRDefault="001C19F3" w:rsidP="001C19F3">
      <w:r>
        <w:t>S</w:t>
      </w:r>
      <w:r w:rsidRPr="000A6236">
        <w:t xml:space="preserve">urveys </w:t>
      </w:r>
      <w:r>
        <w:t xml:space="preserve">of HCH practices </w:t>
      </w:r>
      <w:r w:rsidRPr="000A6236">
        <w:t xml:space="preserve">were conducted </w:t>
      </w:r>
      <w:r>
        <w:t xml:space="preserve">in </w:t>
      </w:r>
      <w:r w:rsidRPr="000A6236">
        <w:t xml:space="preserve">Round 1 and Round 2. Further surveys will be conducted in Round 4 (late 2019) and Round 5 (late 2020). </w:t>
      </w:r>
      <w:r>
        <w:t>The surveys aim to capture:</w:t>
      </w:r>
    </w:p>
    <w:p w14:paraId="644EE49D" w14:textId="77777777" w:rsidR="001C19F3" w:rsidRDefault="001C19F3" w:rsidP="001C19F3">
      <w:pPr>
        <w:pStyle w:val="ListParagraph"/>
        <w:numPr>
          <w:ilvl w:val="0"/>
          <w:numId w:val="103"/>
        </w:numPr>
      </w:pPr>
      <w:r>
        <w:t xml:space="preserve">baseline information about the practice </w:t>
      </w:r>
    </w:p>
    <w:p w14:paraId="41A53FBD" w14:textId="77777777" w:rsidR="001C19F3" w:rsidRDefault="001C19F3" w:rsidP="001C19F3">
      <w:pPr>
        <w:pStyle w:val="ListParagraph"/>
        <w:numPr>
          <w:ilvl w:val="0"/>
          <w:numId w:val="103"/>
        </w:numPr>
      </w:pPr>
      <w:r>
        <w:t xml:space="preserve">key features of the practice relevant to HCH approach </w:t>
      </w:r>
    </w:p>
    <w:p w14:paraId="7B8B144B" w14:textId="77777777" w:rsidR="001C19F3" w:rsidRDefault="001C19F3" w:rsidP="001C19F3">
      <w:pPr>
        <w:pStyle w:val="ListParagraph"/>
        <w:numPr>
          <w:ilvl w:val="0"/>
          <w:numId w:val="103"/>
        </w:numPr>
      </w:pPr>
      <w:r>
        <w:t xml:space="preserve">the capabilities of the practice prior to joining the program (e.g. participation in other chronic disease management and related initiatives) </w:t>
      </w:r>
    </w:p>
    <w:p w14:paraId="21966AE6" w14:textId="77777777" w:rsidR="001C19F3" w:rsidRDefault="001C19F3" w:rsidP="001C19F3">
      <w:pPr>
        <w:pStyle w:val="ListParagraph"/>
        <w:numPr>
          <w:ilvl w:val="0"/>
          <w:numId w:val="103"/>
        </w:numPr>
      </w:pPr>
      <w:r>
        <w:t xml:space="preserve">changes implemented as a result of participation in HCH </w:t>
      </w:r>
    </w:p>
    <w:p w14:paraId="228FB187" w14:textId="77777777" w:rsidR="001C19F3" w:rsidRDefault="001C19F3" w:rsidP="001C19F3">
      <w:pPr>
        <w:pStyle w:val="ListParagraph"/>
        <w:numPr>
          <w:ilvl w:val="0"/>
          <w:numId w:val="103"/>
        </w:numPr>
      </w:pPr>
      <w:r>
        <w:t xml:space="preserve">practice experience of and feedback on HCH </w:t>
      </w:r>
    </w:p>
    <w:p w14:paraId="7D9A55D1" w14:textId="77777777" w:rsidR="001C19F3" w:rsidRDefault="001C19F3" w:rsidP="001C19F3">
      <w:pPr>
        <w:pStyle w:val="ListParagraph"/>
        <w:numPr>
          <w:ilvl w:val="0"/>
          <w:numId w:val="103"/>
        </w:numPr>
      </w:pPr>
      <w:r>
        <w:t xml:space="preserve">practice perspectives on the effectiveness of HCH. </w:t>
      </w:r>
    </w:p>
    <w:p w14:paraId="24DB2199" w14:textId="77777777" w:rsidR="001C19F3" w:rsidRDefault="001C19F3" w:rsidP="001C19F3">
      <w:r>
        <w:t xml:space="preserve">The questions included in each survey are in Appendix C of the Evaluation plan. The surveys are administered online using the Qualtrics application, through the evaluation app (see Chapter 2 Evaluation infrastructure). To accompany the survey in Round 1, Health Policy Analysis developed </w:t>
      </w:r>
      <w:r w:rsidRPr="007F7DB9">
        <w:t xml:space="preserve">a Microsoft Excel tool that </w:t>
      </w:r>
      <w:r>
        <w:t>practice</w:t>
      </w:r>
      <w:r w:rsidRPr="007F7DB9">
        <w:t xml:space="preserve">s </w:t>
      </w:r>
      <w:r>
        <w:t>could</w:t>
      </w:r>
      <w:r w:rsidRPr="007F7DB9">
        <w:t xml:space="preserve"> use to compile assessments from individual staff members</w:t>
      </w:r>
      <w:r>
        <w:t xml:space="preserve"> towards the HCH-A. The intention was for practices to use the tool</w:t>
      </w:r>
      <w:r w:rsidRPr="007F7DB9">
        <w:t xml:space="preserve"> as a basis for discussing</w:t>
      </w:r>
      <w:r>
        <w:t xml:space="preserve"> individual staff members’ scoring</w:t>
      </w:r>
      <w:r w:rsidRPr="007F7DB9">
        <w:t xml:space="preserve"> and achieving a consensus response</w:t>
      </w:r>
      <w:r>
        <w:t xml:space="preserve"> for the practice</w:t>
      </w:r>
      <w:r w:rsidRPr="007F7DB9">
        <w:t xml:space="preserve">. </w:t>
      </w:r>
    </w:p>
    <w:p w14:paraId="05A4A900" w14:textId="77777777" w:rsidR="001C19F3" w:rsidRDefault="001C19F3" w:rsidP="001C19F3">
      <w:r>
        <w:t xml:space="preserve">The practice survey was introduced to practices (along with other evaluation requirements, including the practice staff survey) through a letter from Health Policy Analysis issued in January 2018. </w:t>
      </w:r>
      <w:r w:rsidRPr="00343135">
        <w:t>The HCH-A tool was also covered in the training modules</w:t>
      </w:r>
      <w:r>
        <w:t>, and an instructional video was developed</w:t>
      </w:r>
      <w:r w:rsidRPr="00343135">
        <w:t>.</w:t>
      </w:r>
    </w:p>
    <w:p w14:paraId="18F4243E" w14:textId="77777777" w:rsidR="001C19F3" w:rsidRDefault="001C19F3" w:rsidP="001C19F3">
      <w:r>
        <w:t>Health Policy Analysis worked with the PHNs to provide logins to the evaluation website to all practices, to enable them to complete the whole-of-practice survey and the individual staff surveys.</w:t>
      </w:r>
    </w:p>
    <w:p w14:paraId="691F1DB0" w14:textId="77777777" w:rsidR="001C19F3" w:rsidRDefault="001C19F3" w:rsidP="001C19F3">
      <w:r>
        <w:t>For</w:t>
      </w:r>
      <w:r w:rsidRPr="00923773">
        <w:t xml:space="preserve"> practices that were participating at 31 August 2019, the response rates were 91.6% for Round 1 Part A (120 responses), 90.1% for Round 1 Part B (118 responses) and 70.2% for </w:t>
      </w:r>
      <w:r>
        <w:t>Round 2</w:t>
      </w:r>
      <w:r w:rsidRPr="00923773">
        <w:t xml:space="preserve"> (92 responses).</w:t>
      </w:r>
      <w:r>
        <w:t xml:space="preserve"> </w:t>
      </w:r>
      <w:bookmarkStart w:id="430" w:name="_Hlk22892399"/>
      <w:r>
        <w:t>I</w:t>
      </w:r>
      <w:r w:rsidRPr="00923773">
        <w:t xml:space="preserve">ncluding </w:t>
      </w:r>
      <w:r>
        <w:t>practices</w:t>
      </w:r>
      <w:r w:rsidRPr="00923773">
        <w:t xml:space="preserve"> </w:t>
      </w:r>
      <w:r>
        <w:t>that withdrew</w:t>
      </w:r>
      <w:r w:rsidRPr="00923773">
        <w:t xml:space="preserve">: </w:t>
      </w:r>
      <w:r w:rsidRPr="00923773">
        <w:rPr>
          <w:sz w:val="18"/>
          <w:szCs w:val="18"/>
        </w:rPr>
        <w:t>171</w:t>
      </w:r>
      <w:r>
        <w:rPr>
          <w:sz w:val="18"/>
          <w:szCs w:val="18"/>
        </w:rPr>
        <w:t xml:space="preserve"> practices completed surveys</w:t>
      </w:r>
      <w:r w:rsidRPr="00923773">
        <w:rPr>
          <w:sz w:val="18"/>
          <w:szCs w:val="18"/>
        </w:rPr>
        <w:t xml:space="preserve"> </w:t>
      </w:r>
      <w:r w:rsidRPr="00923773">
        <w:t xml:space="preserve">for Round 1 Part A, </w:t>
      </w:r>
      <w:r w:rsidRPr="00923773">
        <w:rPr>
          <w:sz w:val="18"/>
          <w:szCs w:val="18"/>
        </w:rPr>
        <w:t>147</w:t>
      </w:r>
      <w:r>
        <w:rPr>
          <w:sz w:val="18"/>
          <w:szCs w:val="18"/>
        </w:rPr>
        <w:t xml:space="preserve"> </w:t>
      </w:r>
      <w:r w:rsidRPr="00923773">
        <w:t xml:space="preserve">for Round 1 Part B and </w:t>
      </w:r>
      <w:r>
        <w:t>92</w:t>
      </w:r>
      <w:r w:rsidRPr="00923773">
        <w:t xml:space="preserve"> Round 2.</w:t>
      </w:r>
      <w:r>
        <w:t xml:space="preserve"> </w:t>
      </w:r>
      <w:bookmarkEnd w:id="430"/>
      <w:r>
        <w:t>Further details of response rates are in Volume 4 (Chapter 2).</w:t>
      </w:r>
    </w:p>
    <w:p w14:paraId="69C2C77F" w14:textId="77777777" w:rsidR="001C19F3" w:rsidRDefault="001C19F3" w:rsidP="001C19F3">
      <w:pPr>
        <w:pStyle w:val="Heading2"/>
      </w:pPr>
      <w:bookmarkStart w:id="431" w:name="_Toc32586039"/>
      <w:r>
        <w:t>Practice staff survey</w:t>
      </w:r>
      <w:bookmarkEnd w:id="431"/>
    </w:p>
    <w:p w14:paraId="706C35D1" w14:textId="77777777" w:rsidR="001C19F3" w:rsidRDefault="001C19F3" w:rsidP="001C19F3">
      <w:r w:rsidRPr="006077C8">
        <w:t xml:space="preserve">The </w:t>
      </w:r>
      <w:r>
        <w:t xml:space="preserve">experience component of the </w:t>
      </w:r>
      <w:r w:rsidRPr="006077C8">
        <w:t xml:space="preserve">practice staff survey </w:t>
      </w:r>
      <w:r>
        <w:t xml:space="preserve">is </w:t>
      </w:r>
      <w:r w:rsidRPr="006077C8">
        <w:t>based on the Medical Home Care Coordination Survey (</w:t>
      </w:r>
      <w:r w:rsidRPr="006077C8">
        <w:fldChar w:fldCharType="begin">
          <w:fldData xml:space="preserve">PEVuZE5vdGU+PENpdGU+PEF1dGhvcj5abGF0ZXZhPC9BdXRob3I+PFllYXI+MjAxNTwvWWVhcj48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PEVuZE5vdGU+PENpdGU+PEF1dGhvcj5abGF0ZXZhPC9BdXRob3I+PFllYXI+MjAxNTwvWWVhcj48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rsidRPr="006077C8">
        <w:fldChar w:fldCharType="separate"/>
      </w:r>
      <w:r>
        <w:rPr>
          <w:noProof/>
        </w:rPr>
        <w:t>Zlateva et al., 2015</w:t>
      </w:r>
      <w:r w:rsidRPr="006077C8">
        <w:fldChar w:fldCharType="end"/>
      </w:r>
      <w:r>
        <w:t>). In addition, the survey aims</w:t>
      </w:r>
      <w:r w:rsidRPr="006077C8">
        <w:t xml:space="preserve"> to measure individual practice staff’s assessment of where their practice is at on key features of HCH.</w:t>
      </w:r>
      <w:r>
        <w:t xml:space="preserve"> This information is being used to moderate the self-assessment submitted by practices. Staff </w:t>
      </w:r>
      <w:r>
        <w:lastRenderedPageBreak/>
        <w:t>surveys were initially conducted in Round 1. They will be repeated in Round 5. Five hundred and twenty nine staff</w:t>
      </w:r>
      <w:r w:rsidRPr="00923773">
        <w:t xml:space="preserve"> respon</w:t>
      </w:r>
      <w:r>
        <w:t>d</w:t>
      </w:r>
      <w:r w:rsidRPr="00923773">
        <w:t>e</w:t>
      </w:r>
      <w:r>
        <w:t>d</w:t>
      </w:r>
      <w:r w:rsidRPr="00923773">
        <w:t xml:space="preserve"> </w:t>
      </w:r>
      <w:r>
        <w:t>in</w:t>
      </w:r>
      <w:r w:rsidRPr="00923773">
        <w:t xml:space="preserve"> Round 1, of </w:t>
      </w:r>
      <w:r w:rsidRPr="00055C5A">
        <w:t>which 425 were in practices</w:t>
      </w:r>
      <w:r w:rsidRPr="00923773">
        <w:t xml:space="preserve"> that were continuing to participate in HCH at 31 August 2019.</w:t>
      </w:r>
    </w:p>
    <w:p w14:paraId="0259753C" w14:textId="77777777" w:rsidR="001C19F3" w:rsidRDefault="001C19F3" w:rsidP="001C19F3">
      <w:pPr>
        <w:pStyle w:val="Heading2"/>
      </w:pPr>
      <w:bookmarkStart w:id="432" w:name="_Toc32586040"/>
      <w:r>
        <w:t>PHN surveys</w:t>
      </w:r>
      <w:bookmarkEnd w:id="432"/>
    </w:p>
    <w:p w14:paraId="3CF33E43" w14:textId="77777777" w:rsidR="001C19F3" w:rsidRDefault="001C19F3" w:rsidP="001C19F3">
      <w:r>
        <w:t xml:space="preserve">These surveys are collecting information on PHNs’ roles in facilitating practices in the transformation to HCH as well as their </w:t>
      </w:r>
      <w:r w:rsidRPr="00FC1C1B">
        <w:t>perspectives on various aspects of implementation (e.g. governance, training, RST)</w:t>
      </w:r>
      <w:r>
        <w:t>. In Round 2, practice facilitators were also asked to score each practice on the high-level dimensions of the HCH-A as an additional moderator of the self-assessment by practices.</w:t>
      </w:r>
    </w:p>
    <w:p w14:paraId="5AA86469" w14:textId="77777777" w:rsidR="001C19F3" w:rsidRDefault="001C19F3" w:rsidP="001C19F3">
      <w:r>
        <w:t xml:space="preserve">PHNs will be surveyed again in Round 4 and Round 5. </w:t>
      </w:r>
    </w:p>
    <w:p w14:paraId="0920F959" w14:textId="77777777" w:rsidR="001C19F3" w:rsidRDefault="001C19F3" w:rsidP="001C19F3">
      <w:pPr>
        <w:pStyle w:val="Heading2"/>
      </w:pPr>
      <w:bookmarkStart w:id="433" w:name="_Toc32586041"/>
      <w:r>
        <w:t>Patient surveys</w:t>
      </w:r>
      <w:bookmarkEnd w:id="433"/>
    </w:p>
    <w:p w14:paraId="510A7FB5" w14:textId="77777777" w:rsidR="001C19F3" w:rsidRDefault="001C19F3" w:rsidP="001C19F3">
      <w:r>
        <w:t>The patient survey aims to obtain perspectives on patients’ relationship with their HCH, addressing the key evaluation question: “Do patients enrolled in HCH experience better quality care”.  The more detailed questions it seeks to answer are:</w:t>
      </w:r>
    </w:p>
    <w:p w14:paraId="1AD21B52" w14:textId="77777777" w:rsidR="001C19F3" w:rsidRDefault="001C19F3" w:rsidP="001C19F3">
      <w:pPr>
        <w:pStyle w:val="ListParagraph"/>
        <w:numPr>
          <w:ilvl w:val="0"/>
          <w:numId w:val="99"/>
        </w:numPr>
        <w:ind w:left="714" w:hanging="357"/>
      </w:pPr>
      <w:r>
        <w:t xml:space="preserve">Did patients enrolled in the HCH program have improved access to primary care services, including alternates to face-to-face contacts? </w:t>
      </w:r>
    </w:p>
    <w:p w14:paraId="096EE718" w14:textId="77777777" w:rsidR="001C19F3" w:rsidRDefault="001C19F3" w:rsidP="001C19F3">
      <w:pPr>
        <w:pStyle w:val="ListParagraph"/>
        <w:numPr>
          <w:ilvl w:val="0"/>
          <w:numId w:val="99"/>
        </w:numPr>
        <w:ind w:left="714" w:hanging="357"/>
      </w:pPr>
      <w:r>
        <w:t xml:space="preserve">How did use of services from within the HCH practice change? </w:t>
      </w:r>
    </w:p>
    <w:p w14:paraId="7EA43013" w14:textId="77777777" w:rsidR="001C19F3" w:rsidRDefault="001C19F3" w:rsidP="001C19F3">
      <w:pPr>
        <w:pStyle w:val="ListParagraph"/>
        <w:numPr>
          <w:ilvl w:val="0"/>
          <w:numId w:val="99"/>
        </w:numPr>
        <w:ind w:left="714" w:hanging="357"/>
      </w:pPr>
      <w:r>
        <w:t>Did the HCH model result in increased continuity in the provision of primary care?</w:t>
      </w:r>
    </w:p>
    <w:p w14:paraId="7BD5371E" w14:textId="77777777" w:rsidR="001C19F3" w:rsidRDefault="001C19F3" w:rsidP="001C19F3">
      <w:pPr>
        <w:pStyle w:val="ListParagraph"/>
        <w:numPr>
          <w:ilvl w:val="0"/>
          <w:numId w:val="99"/>
        </w:numPr>
        <w:ind w:left="714" w:hanging="357"/>
      </w:pPr>
      <w:r>
        <w:t>Were the patients enrolled in the HCH program and their families/ carers more engaged in managing patients’ health needs?</w:t>
      </w:r>
    </w:p>
    <w:p w14:paraId="3DB08198" w14:textId="77777777" w:rsidR="001C19F3" w:rsidRDefault="001C19F3" w:rsidP="001C19F3">
      <w:pPr>
        <w:pStyle w:val="ListParagraph"/>
        <w:numPr>
          <w:ilvl w:val="0"/>
          <w:numId w:val="99"/>
        </w:numPr>
        <w:ind w:left="714" w:hanging="357"/>
      </w:pPr>
      <w:r>
        <w:t>What strategies resulted in the greatest impact on patient activation?</w:t>
      </w:r>
    </w:p>
    <w:p w14:paraId="37687C43" w14:textId="77777777" w:rsidR="001C19F3" w:rsidRDefault="001C19F3" w:rsidP="001C19F3">
      <w:pPr>
        <w:pStyle w:val="ListParagraph"/>
        <w:numPr>
          <w:ilvl w:val="0"/>
          <w:numId w:val="99"/>
        </w:numPr>
        <w:ind w:left="714" w:hanging="357"/>
        <w:contextualSpacing w:val="0"/>
      </w:pPr>
      <w:r>
        <w:t>Did patients enrolled in HCH report improved experiences of primary care, including coordination of their care and communication with their primary care providers?</w:t>
      </w:r>
    </w:p>
    <w:p w14:paraId="3E73DA3A" w14:textId="77777777" w:rsidR="001C19F3" w:rsidRDefault="001C19F3" w:rsidP="001C19F3">
      <w:r>
        <w:t xml:space="preserve">The survey also incorporated items from the following instruments: </w:t>
      </w:r>
    </w:p>
    <w:p w14:paraId="7D87AC46" w14:textId="77777777" w:rsidR="001C19F3" w:rsidRPr="005461DE" w:rsidRDefault="001C19F3" w:rsidP="001C19F3">
      <w:pPr>
        <w:pStyle w:val="ListParagraph"/>
        <w:numPr>
          <w:ilvl w:val="0"/>
          <w:numId w:val="100"/>
        </w:numPr>
        <w:ind w:left="714" w:hanging="357"/>
      </w:pPr>
      <w:r w:rsidRPr="005461DE">
        <w:t>Patient Assessment of Chronic Illness Care (13-item version) (</w:t>
      </w:r>
      <w:r w:rsidRPr="005461DE">
        <w:fldChar w:fldCharType="begin">
          <w:fldData xml:space="preserve">PEVuZE5vdGU+PENpdGU+PEF1dGhvcj5HaWJib25zPC9BdXRob3I+PFllYXI+MjAxNzwvWWVhcj48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</w:fldData>
        </w:fldChar>
      </w:r>
      <w:r w:rsidRPr="005461DE">
        <w:instrText xml:space="preserve"> ADDIN EN.CITE </w:instrText>
      </w:r>
      <w:r w:rsidRPr="005461DE">
        <w:fldChar w:fldCharType="begin">
          <w:fldData xml:space="preserve">PEVuZE5vdGU+PENpdGU+PEF1dGhvcj5HaWJib25zPC9BdXRob3I+PFllYXI+MjAxNzwvWWVhcj48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</w:fldData>
        </w:fldChar>
      </w:r>
      <w:r w:rsidRPr="005461DE">
        <w:instrText xml:space="preserve"> ADDIN EN.CITE.DATA </w:instrText>
      </w:r>
      <w:r w:rsidRPr="005461DE">
        <w:fldChar w:fldCharType="end"/>
      </w:r>
      <w:r w:rsidRPr="005461DE">
        <w:fldChar w:fldCharType="separate"/>
      </w:r>
      <w:r w:rsidRPr="005461DE">
        <w:rPr>
          <w:noProof/>
        </w:rPr>
        <w:t>Gibbons et al., 2017</w:t>
      </w:r>
      <w:r w:rsidRPr="005461DE">
        <w:fldChar w:fldCharType="end"/>
      </w:r>
      <w:r w:rsidRPr="005461DE">
        <w:t>)</w:t>
      </w:r>
    </w:p>
    <w:p w14:paraId="58E8E507" w14:textId="77777777" w:rsidR="001C19F3" w:rsidRPr="005461DE" w:rsidRDefault="001C19F3" w:rsidP="001C19F3">
      <w:pPr>
        <w:pStyle w:val="ListParagraph"/>
        <w:numPr>
          <w:ilvl w:val="0"/>
          <w:numId w:val="100"/>
        </w:numPr>
        <w:ind w:left="714" w:hanging="357"/>
      </w:pPr>
      <w:r w:rsidRPr="005461DE">
        <w:t>Patient Activation Measure (PAM) (13-item version) (</w:t>
      </w:r>
      <w:r w:rsidRPr="005461DE">
        <w:fldChar w:fldCharType="begin"/>
      </w:r>
      <w:r w:rsidRPr="005461DE">
        <w:instrText xml:space="preserve"> ADDIN EN.CITE &lt;EndNote&gt;&lt;Cite&gt;&lt;Author&gt;Hibbard&lt;/Author&gt;&lt;Year&gt;2005&lt;/Year&gt;&lt;RecNum&gt;664&lt;/RecNum&gt;&lt;DisplayText&gt;Hibbard, Mahoney, Stockard, &amp;amp; Tusler, 2005&lt;/DisplayText&gt;&lt;record&gt;&lt;rec-number&gt;664&lt;/rec-number&gt;&lt;foreign-keys&gt;&lt;key app="EN" db-id="zdz9xax04zr9v0evw2nvrpw9xe9ttzvs5zsv" timestamp="1486363634"&gt;664&lt;/key&gt;&lt;/foreign-keys&gt;&lt;ref-type name="Journal Article"&gt;17&lt;/ref-type&gt;&lt;contributors&gt;&lt;authors&gt;&lt;author&gt;Hibbard, J. H.&lt;/author&gt;&lt;author&gt;Mahoney, E. R.&lt;/author&gt;&lt;author&gt;Stockard, J.&lt;/author&gt;&lt;author&gt;Tusler, M.&lt;/author&gt;&lt;/authors&gt;&lt;/contributors&gt;&lt;auth-address&gt;Department of Planning, Publicy, &amp;amp; Management, University of Oregon, Eugene, 97403, USA.&lt;/auth-address&gt;&lt;titles&gt;&lt;title&gt;Development and testing of a short form of the patient activation measure&lt;/title&gt;&lt;secondary-title&gt;Health Serv Res&lt;/secondary-title&gt;&lt;/titles&gt;&lt;periodical&gt;&lt;full-title&gt;Health Serv Res&lt;/full-title&gt;&lt;abbr-1&gt;Health services research&lt;/abbr-1&gt;&lt;/periodical&gt;&lt;pages&gt;1918-30&lt;/pages&gt;&lt;volume&gt;40&lt;/volume&gt;&lt;number&gt;6 Pt 1&lt;/number&gt;&lt;keywords&gt;&lt;keyword&gt;Aged&lt;/keyword&gt;&lt;keyword&gt;Aged, 80 and over&lt;/keyword&gt;&lt;keyword&gt;Chronic Disease&lt;/keyword&gt;&lt;keyword&gt;Female&lt;/keyword&gt;&lt;keyword&gt;*Health Knowledge, Attitudes, Practice&lt;/keyword&gt;&lt;keyword&gt;Humans&lt;/keyword&gt;&lt;keyword&gt;Male&lt;/keyword&gt;&lt;keyword&gt;Middle Aged&lt;/keyword&gt;&lt;keyword&gt;*Patient Participation&lt;/keyword&gt;&lt;keyword&gt;*Patients&lt;/keyword&gt;&lt;keyword&gt;Self Care/*standards&lt;/keyword&gt;&lt;keyword&gt;Socioeconomic Factors&lt;/keyword&gt;&lt;keyword&gt;*Surveys and Questionnaires&lt;/keyword&gt;&lt;/keywords&gt;&lt;dates&gt;&lt;year&gt;2005&lt;/year&gt;&lt;pub-dates&gt;&lt;date&gt;Dec&lt;/date&gt;&lt;/pub-dates&gt;&lt;/dates&gt;&lt;isbn&gt;0017-9124 (Print)&amp;#xD;0017-9124 (Linking)&lt;/isbn&gt;&lt;accession-num&gt;16336556&lt;/accession-num&gt;&lt;urls&gt;&lt;related-urls&gt;&lt;url&gt;https://www.ncbi.nlm.nih.gov/pubmed/16336556&lt;/url&gt;&lt;url&gt;https://www.ncbi.nlm.nih.gov/pmc/articles/PMC1361231/pdf/hesr_438.pdf&lt;/url&gt;&lt;/related-urls&gt;&lt;/urls&gt;&lt;custom2&gt;PMC1361231&lt;/custom2&gt;&lt;electronic-resource-num&gt;10.1111/j.1475-6773.2005.00438.x&lt;/electronic-resource-num&gt;&lt;/record&gt;&lt;/Cite&gt;&lt;/EndNote&gt;</w:instrText>
      </w:r>
      <w:r w:rsidRPr="005461DE">
        <w:fldChar w:fldCharType="separate"/>
      </w:r>
      <w:r w:rsidRPr="005461DE">
        <w:rPr>
          <w:noProof/>
        </w:rPr>
        <w:t>Hibbard, Mahoney, Stockard, &amp; Tusler, 2005</w:t>
      </w:r>
      <w:r w:rsidRPr="005461DE">
        <w:fldChar w:fldCharType="end"/>
      </w:r>
      <w:r w:rsidRPr="005461DE">
        <w:t>)</w:t>
      </w:r>
    </w:p>
    <w:p w14:paraId="79A71116" w14:textId="77777777" w:rsidR="001C19F3" w:rsidRDefault="001C19F3" w:rsidP="001C19F3">
      <w:pPr>
        <w:pStyle w:val="ListParagraph"/>
        <w:numPr>
          <w:ilvl w:val="0"/>
          <w:numId w:val="100"/>
        </w:numPr>
        <w:ind w:left="714" w:hanging="357"/>
      </w:pPr>
      <w:r>
        <w:t>EQ-5D-5L (</w:t>
      </w:r>
      <w:r>
        <w:fldChar w:fldCharType="begin">
          <w:fldData xml:space="preserve">PEVuZE5vdGU+PENpdGU+PEF1dGhvcj5IZXJkbWFuPC9BdXRob3I+PFllYXI+MjAxMTwvWWVhcj48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</w:fldData>
        </w:fldChar>
      </w:r>
      <w:r>
        <w:instrText xml:space="preserve"> ADDIN EN.CITE </w:instrText>
      </w:r>
      <w:r>
        <w:fldChar w:fldCharType="begin">
          <w:fldData xml:space="preserve">PEVuZE5vdGU+PENpdGU+PEF1dGhvcj5IZXJkbWFuPC9BdXRob3I+PFllYXI+MjAxMTwvWWVhcj48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</w:fldData>
        </w:fldChar>
      </w:r>
      <w:r>
        <w:instrText xml:space="preserve"> ADDIN EN.CITE.DATA </w:instrText>
      </w:r>
      <w:r>
        <w:fldChar w:fldCharType="end"/>
      </w:r>
      <w:r>
        <w:fldChar w:fldCharType="separate"/>
      </w:r>
      <w:r>
        <w:rPr>
          <w:noProof/>
        </w:rPr>
        <w:t>Herdman et al., 2011</w:t>
      </w:r>
      <w:r>
        <w:fldChar w:fldCharType="end"/>
      </w:r>
      <w:r>
        <w:t>)</w:t>
      </w:r>
    </w:p>
    <w:p w14:paraId="19476724" w14:textId="77777777" w:rsidR="001C19F3" w:rsidRPr="005461DE" w:rsidRDefault="001C19F3" w:rsidP="001C19F3">
      <w:pPr>
        <w:pStyle w:val="ListParagraph"/>
        <w:numPr>
          <w:ilvl w:val="0"/>
          <w:numId w:val="100"/>
        </w:numPr>
        <w:ind w:left="714" w:hanging="357"/>
      </w:pPr>
      <w:r w:rsidRPr="005461DE">
        <w:t>Consumer Assessment of Healthcare Providers and Systems (CAHPS) Clinician and Group adult survey (CG-CAHPS) (</w:t>
      </w:r>
      <w:r w:rsidRPr="005461DE">
        <w:fldChar w:fldCharType="begin"/>
      </w:r>
      <w:r w:rsidRPr="005461DE">
        <w:instrText xml:space="preserve"> ADDIN EN.CITE &lt;EndNote&gt;&lt;Cite&gt;&lt;Author&gt;Agency for Healthcare Research and Quality&lt;/Author&gt;&lt;Year&gt;2015&lt;/Year&gt;&lt;RecNum&gt;536&lt;/RecNum&gt;&lt;DisplayText&gt;Agency for Healthcare Research and Quality, 2015&lt;/DisplayText&gt;&lt;record&gt;&lt;rec-number&gt;536&lt;/rec-number&gt;&lt;foreign-keys&gt;&lt;key app="EN" db-id="zdz9xax04zr9v0evw2nvrpw9xe9ttzvs5zsv" timestamp="1486009053"&gt;536&lt;/key&gt;&lt;/foreign-keys&gt;&lt;ref-type name="Report"&gt;27&lt;/ref-type&gt;&lt;contributors&gt;&lt;authors&gt;&lt;author&gt;Agency for Healthcare Research and Quality,,&lt;/author&gt;&lt;/authors&gt;&lt;/contributors&gt;&lt;titles&gt;&lt;title&gt;CAHPS® Clinician &amp;amp; Group Survey: Overview of the Questionnaires&lt;/title&gt;&lt;/titles&gt;&lt;number&gt;2350&lt;/number&gt;&lt;dates&gt;&lt;year&gt;2015&lt;/year&gt;&lt;/dates&gt;&lt;publisher&gt;AHRQ&lt;/publisher&gt;&lt;label&gt;AHRQ&lt;/label&gt;&lt;urls&gt;&lt;related-urls&gt;&lt;url&gt;https://www.ahrq.gov/cahps/surveys-guidance/cg/instructions/downloadsurvey3.0.html&lt;/url&gt;&lt;/related-urls&gt;&lt;/urls&gt;&lt;/record&gt;&lt;/Cite&gt;&lt;/EndNote&gt;</w:instrText>
      </w:r>
      <w:r w:rsidRPr="005461DE">
        <w:fldChar w:fldCharType="separate"/>
      </w:r>
      <w:r w:rsidRPr="005461DE">
        <w:t>Agency for Healthcare Research and Quality, 2015</w:t>
      </w:r>
      <w:r w:rsidRPr="005461DE">
        <w:fldChar w:fldCharType="end"/>
      </w:r>
      <w:r w:rsidRPr="005461DE">
        <w:t>)</w:t>
      </w:r>
      <w:r>
        <w:t xml:space="preserve"> – selected items only</w:t>
      </w:r>
    </w:p>
    <w:p w14:paraId="634C8427" w14:textId="77777777" w:rsidR="001C19F3" w:rsidRDefault="001C19F3" w:rsidP="001C19F3">
      <w:pPr>
        <w:pStyle w:val="ListParagraph"/>
        <w:numPr>
          <w:ilvl w:val="0"/>
          <w:numId w:val="99"/>
        </w:numPr>
      </w:pPr>
      <w:r w:rsidRPr="005461DE">
        <w:t>Care Coordination Quality Measure for Primary Care (CCQM-PC) (</w:t>
      </w:r>
      <w:r w:rsidRPr="005461DE">
        <w:fldChar w:fldCharType="begin"/>
      </w:r>
      <w:r w:rsidRPr="005461DE">
        <w:instrText xml:space="preserve"> ADDIN EN.CITE &lt;EndNote&gt;&lt;Cite&gt;&lt;Author&gt;Agency for Healthcare Research and Quality&lt;/Author&gt;&lt;Year&gt;2016&lt;/Year&gt;&lt;RecNum&gt;547&lt;/RecNum&gt;&lt;DisplayText&gt;Agency for Healthcare Research and Quality, 2016&lt;/DisplayText&gt;&lt;record&gt;&lt;rec-number&gt;547&lt;/rec-number&gt;&lt;foreign-keys&gt;&lt;key app="EN" db-id="zdz9xax04zr9v0evw2nvrpw9xe9ttzvs5zsv" timestamp="1486019215"&gt;547&lt;/key&gt;&lt;/foreign-keys&gt;&lt;ref-type name="Web Page"&gt;12&lt;/ref-type&gt;&lt;contributors&gt;&lt;authors&gt;&lt;author&gt;Agency for Healthcare Research and Quality,,&lt;/author&gt;&lt;/authors&gt;&lt;/contributors&gt;&lt;titles&gt;&lt;title&gt;Care Coordination Quality Measure for Primary Care (CCQM-PC)&lt;/title&gt;&lt;/titles&gt;&lt;number&gt;1 February 2017&lt;/number&gt;&lt;dates&gt;&lt;year&gt;2016&lt;/year&gt;&lt;/dates&gt;&lt;publisher&gt;AHRQ&lt;/publisher&gt;&lt;label&gt;AHRQ&lt;/label&gt;&lt;urls&gt;&lt;related-urls&gt;&lt;url&gt;https://www.ahrq.gov/professionals/prevention-chronic-care/improve/coordination/ccqmpc/index.html&lt;/url&gt;&lt;/related-urls&gt;&lt;/urls&gt;&lt;/record&gt;&lt;/Cite&gt;&lt;/EndNote&gt;</w:instrText>
      </w:r>
      <w:r w:rsidRPr="005461DE">
        <w:fldChar w:fldCharType="separate"/>
      </w:r>
      <w:r w:rsidRPr="005461DE">
        <w:t>Agency for Healthcare Research and Quality, 2016</w:t>
      </w:r>
      <w:r w:rsidRPr="005461DE">
        <w:fldChar w:fldCharType="end"/>
      </w:r>
      <w:r w:rsidRPr="005461DE">
        <w:t>)</w:t>
      </w:r>
      <w:r>
        <w:t xml:space="preserve"> – selected items only</w:t>
      </w:r>
      <w:r w:rsidRPr="005461DE">
        <w:t>.</w:t>
      </w:r>
    </w:p>
    <w:p w14:paraId="0976AF3A" w14:textId="77777777" w:rsidR="001C19F3" w:rsidRPr="00E02544" w:rsidRDefault="001C19F3" w:rsidP="001C19F3">
      <w:bookmarkStart w:id="434" w:name="_Hlk528662382"/>
      <w:r w:rsidRPr="00E02544">
        <w:t xml:space="preserve">PAM and </w:t>
      </w:r>
      <w:r w:rsidRPr="00DE27DA">
        <w:t xml:space="preserve">EQ-5D-5L </w:t>
      </w:r>
      <w:r w:rsidRPr="00E02544">
        <w:t>are proprietary tools</w:t>
      </w:r>
      <w:r>
        <w:t xml:space="preserve"> for</w:t>
      </w:r>
      <w:r w:rsidRPr="00E02544">
        <w:t xml:space="preserve"> which</w:t>
      </w:r>
      <w:r>
        <w:t xml:space="preserve"> Health Policy Analysis has obtained licenses for the HCH evaluation</w:t>
      </w:r>
      <w:r w:rsidRPr="00E02544">
        <w:t>.</w:t>
      </w:r>
      <w:r>
        <w:t xml:space="preserve"> The survey is in </w:t>
      </w:r>
      <w:r w:rsidRPr="00BB0CB1">
        <w:t>Appendix F</w:t>
      </w:r>
      <w:r>
        <w:t xml:space="preserve"> of</w:t>
      </w:r>
      <w:r w:rsidRPr="00BB0CB1">
        <w:t xml:space="preserve"> the Evaluation </w:t>
      </w:r>
      <w:r>
        <w:t>p</w:t>
      </w:r>
      <w:r w:rsidRPr="00BB0CB1">
        <w:t>lan.</w:t>
      </w:r>
    </w:p>
    <w:bookmarkEnd w:id="434"/>
    <w:p w14:paraId="292CFC7E" w14:textId="77777777" w:rsidR="001C19F3" w:rsidRDefault="001C19F3" w:rsidP="001C19F3">
      <w:r>
        <w:t>The survey was translated into five</w:t>
      </w:r>
      <w:r w:rsidRPr="00DE27DA">
        <w:t xml:space="preserve"> languages</w:t>
      </w:r>
      <w:r>
        <w:t xml:space="preserve">: </w:t>
      </w:r>
      <w:r w:rsidRPr="00DE27DA">
        <w:t xml:space="preserve">Arabic, Italian, Greek, Chinese and Tamil. The first </w:t>
      </w:r>
      <w:r>
        <w:t>four</w:t>
      </w:r>
      <w:r w:rsidRPr="00DE27DA">
        <w:t xml:space="preserve"> languages were chosen </w:t>
      </w:r>
      <w:r>
        <w:t xml:space="preserve">as they are the most common in Australia according to </w:t>
      </w:r>
      <w:r w:rsidRPr="00DE27DA">
        <w:t>Austr</w:t>
      </w:r>
      <w:r>
        <w:t xml:space="preserve">alian Bureau of Statistics data </w:t>
      </w:r>
      <w:r w:rsidRPr="00DE27DA">
        <w:t>a</w:t>
      </w:r>
      <w:r>
        <w:t>s well as</w:t>
      </w:r>
      <w:r w:rsidRPr="00DE27DA">
        <w:t xml:space="preserve"> advice from a culturally and linguistically diverse public relations specialist. Tamil was nominated by one of the PHNs due to a particular cluster of Tamil speakers in </w:t>
      </w:r>
      <w:r>
        <w:t>its region</w:t>
      </w:r>
      <w:r w:rsidRPr="00DE27DA">
        <w:t>.</w:t>
      </w:r>
      <w:r>
        <w:t xml:space="preserve"> These five languages were the same as those into which the patient information and consent form was translated.</w:t>
      </w:r>
    </w:p>
    <w:p w14:paraId="3DDF3EFF" w14:textId="77777777" w:rsidR="001C19F3" w:rsidRDefault="001C19F3" w:rsidP="001C19F3">
      <w:r>
        <w:lastRenderedPageBreak/>
        <w:t xml:space="preserve">To preserve the psychometric properties of the tools, Health Policy Analysis obtained official translations of tools where available (e.g. PACIC, </w:t>
      </w:r>
      <w:r w:rsidRPr="00DE27DA">
        <w:t>EQ-5D-5L</w:t>
      </w:r>
      <w:r>
        <w:t>). For others, a translation service was used.</w:t>
      </w:r>
    </w:p>
    <w:p w14:paraId="38809295" w14:textId="77777777" w:rsidR="001C19F3" w:rsidRDefault="001C19F3" w:rsidP="001C19F3">
      <w:r>
        <w:t>Only patients</w:t>
      </w:r>
      <w:r w:rsidRPr="006C5A56">
        <w:t xml:space="preserve"> aged 1</w:t>
      </w:r>
      <w:r>
        <w:t>8</w:t>
      </w:r>
      <w:r w:rsidRPr="006C5A56">
        <w:t xml:space="preserve"> years and over</w:t>
      </w:r>
      <w:r>
        <w:t xml:space="preserve"> were invited to be surveyed. This is</w:t>
      </w:r>
      <w:r w:rsidRPr="006C5A56">
        <w:t xml:space="preserve"> because additional ethical and legal issues </w:t>
      </w:r>
      <w:r>
        <w:t>apply</w:t>
      </w:r>
      <w:r w:rsidRPr="006C5A56">
        <w:t xml:space="preserve"> to children</w:t>
      </w:r>
      <w:r>
        <w:t xml:space="preserve">, and the </w:t>
      </w:r>
      <w:r w:rsidRPr="006C5A56">
        <w:t xml:space="preserve">costs of </w:t>
      </w:r>
      <w:r>
        <w:t>addressing</w:t>
      </w:r>
      <w:r w:rsidRPr="006C5A56">
        <w:t xml:space="preserve"> these </w:t>
      </w:r>
      <w:r>
        <w:t>were estimated to be</w:t>
      </w:r>
      <w:r w:rsidRPr="006C5A56">
        <w:t xml:space="preserve"> greater than the benefits</w:t>
      </w:r>
      <w:r>
        <w:t xml:space="preserve"> for the evaluation, as c</w:t>
      </w:r>
      <w:r w:rsidRPr="006C5A56">
        <w:t xml:space="preserve">hildren </w:t>
      </w:r>
      <w:r>
        <w:t>were</w:t>
      </w:r>
      <w:r w:rsidRPr="006C5A56">
        <w:t xml:space="preserve"> expected to be a small proportion of HCH enrolees</w:t>
      </w:r>
      <w:r>
        <w:t>. Patients of the NT ACCHS were not surveyed (see ‘Case studies’ below).</w:t>
      </w:r>
    </w:p>
    <w:p w14:paraId="37841EB8" w14:textId="77777777" w:rsidR="001C19F3" w:rsidRDefault="001C19F3" w:rsidP="001C19F3">
      <w:r>
        <w:t xml:space="preserve">Health Policy Analysis subcontracted The Social Research Centre (a business unit of the Australian National University) to administer the surveys via a computer assisted telephone interview (CATI). </w:t>
      </w:r>
    </w:p>
    <w:p w14:paraId="629B4259" w14:textId="77777777" w:rsidR="001C19F3" w:rsidRDefault="001C19F3" w:rsidP="001C19F3">
      <w:r>
        <w:t xml:space="preserve">The patient surveys are being conducted in three waves. The time frames for these were outlined in </w:t>
      </w:r>
      <w:r>
        <w:fldChar w:fldCharType="begin"/>
      </w:r>
      <w:r>
        <w:instrText xml:space="preserve"> REF _Ref23345872 \h </w:instrText>
      </w:r>
      <w:r>
        <w:fldChar w:fldCharType="separate"/>
      </w:r>
      <w:r>
        <w:t xml:space="preserve">Table </w:t>
      </w:r>
      <w:r>
        <w:rPr>
          <w:noProof/>
        </w:rPr>
        <w:t>3</w:t>
      </w:r>
      <w:r>
        <w:fldChar w:fldCharType="end"/>
      </w:r>
      <w:r>
        <w:t>. In Wave 1, patients were approached to complete a survey around four to six weeks following enrolment. In Wave 2, patients surveyed during Wave 1 will be followed up. Wave 2 will also include an additional cohort of patients not surveyed in the first round. The additional cohort will target patients referred to community pharmacy as part of the HCH trial. Wave 3 will follow up patients interviewed in the previous rounds.</w:t>
      </w:r>
    </w:p>
    <w:p w14:paraId="794D3170" w14:textId="77777777" w:rsidR="001C19F3" w:rsidRDefault="001C19F3" w:rsidP="001C19F3">
      <w:r w:rsidRPr="00BB0CB1">
        <w:t>The target</w:t>
      </w:r>
      <w:r>
        <w:t xml:space="preserve">s were </w:t>
      </w:r>
      <w:r w:rsidRPr="00BB0CB1">
        <w:t xml:space="preserve">to interview 2,000 patients in </w:t>
      </w:r>
      <w:r>
        <w:t>wave 1</w:t>
      </w:r>
      <w:r w:rsidRPr="00BB0CB1">
        <w:t xml:space="preserve"> and 2,500 in </w:t>
      </w:r>
      <w:r>
        <w:t>waves 2 and 3</w:t>
      </w:r>
      <w:r w:rsidRPr="00BB0CB1">
        <w:t xml:space="preserve">. In the </w:t>
      </w:r>
      <w:r>
        <w:t>Wave 1,</w:t>
      </w:r>
      <w:r w:rsidRPr="00BB0CB1">
        <w:t xml:space="preserve"> 2,018 interviews were completed</w:t>
      </w:r>
      <w:r>
        <w:t xml:space="preserve"> out of 3,125 randomly selected patients (</w:t>
      </w:r>
      <w:r w:rsidRPr="00BB0CB1">
        <w:t>crude response rate of 64.6%</w:t>
      </w:r>
      <w:r>
        <w:t>)</w:t>
      </w:r>
      <w:r w:rsidRPr="00BB0CB1">
        <w:t xml:space="preserve">. Further details of the methods and results from </w:t>
      </w:r>
      <w:r>
        <w:t>the patient</w:t>
      </w:r>
      <w:r w:rsidRPr="00BB0CB1">
        <w:t xml:space="preserve"> survey are in Volume 4.</w:t>
      </w:r>
      <w:r>
        <w:t xml:space="preserve"> </w:t>
      </w:r>
    </w:p>
    <w:p w14:paraId="216E7F1D" w14:textId="77777777" w:rsidR="001C19F3" w:rsidRDefault="001C19F3" w:rsidP="001C19F3">
      <w:pPr>
        <w:pStyle w:val="Heading2"/>
      </w:pPr>
      <w:bookmarkStart w:id="435" w:name="_Toc32586042"/>
      <w:r>
        <w:t>Practice extracts</w:t>
      </w:r>
      <w:bookmarkEnd w:id="435"/>
    </w:p>
    <w:p w14:paraId="270F44E4" w14:textId="77777777" w:rsidR="001C19F3" w:rsidRDefault="001C19F3" w:rsidP="001C19F3">
      <w:r>
        <w:t>Practice extracts were identified as a key requirement for the evaluation by the IAG and EWG. Several options were explored for how these extracts could be supplied. Criteria that were used to decide on the approach included:</w:t>
      </w:r>
    </w:p>
    <w:p w14:paraId="0FD2B200" w14:textId="77777777" w:rsidR="001C19F3" w:rsidRDefault="001C19F3" w:rsidP="001C19F3">
      <w:pPr>
        <w:pStyle w:val="ListParagraph"/>
        <w:numPr>
          <w:ilvl w:val="0"/>
          <w:numId w:val="95"/>
        </w:numPr>
        <w:ind w:left="714" w:hanging="357"/>
      </w:pPr>
      <w:r>
        <w:t>Leveraging existing arrangements for data sharing with PHNs or other organisations. This was important so as not to introduce new processes for practices, and to use existing licences for data extraction where available so as not to add cost.</w:t>
      </w:r>
    </w:p>
    <w:p w14:paraId="2103754E" w14:textId="77777777" w:rsidR="001C19F3" w:rsidRDefault="001C19F3" w:rsidP="001C19F3">
      <w:pPr>
        <w:pStyle w:val="ListParagraph"/>
        <w:numPr>
          <w:ilvl w:val="0"/>
          <w:numId w:val="95"/>
        </w:numPr>
        <w:ind w:left="714" w:hanging="357"/>
      </w:pPr>
      <w:r>
        <w:t>Creating infrastructure/ processes beyond the evaluation.</w:t>
      </w:r>
    </w:p>
    <w:p w14:paraId="1CB7F9DE" w14:textId="77777777" w:rsidR="001C19F3" w:rsidRDefault="001C19F3" w:rsidP="001C19F3">
      <w:pPr>
        <w:pStyle w:val="ListParagraph"/>
        <w:numPr>
          <w:ilvl w:val="0"/>
          <w:numId w:val="95"/>
        </w:numPr>
        <w:ind w:left="714" w:hanging="357"/>
        <w:contextualSpacing w:val="0"/>
      </w:pPr>
      <w:r>
        <w:t>Selecting an approach that is compatible with most of clinical management systems used by practices.</w:t>
      </w:r>
    </w:p>
    <w:p w14:paraId="58F98CE4" w14:textId="77777777" w:rsidR="001C19F3" w:rsidRDefault="001C19F3" w:rsidP="001C19F3">
      <w:r>
        <w:t xml:space="preserve">The Department of Health and Health Policy Analysis collaborated on a survey of PHNs to explore the extent to which the practices were already sharing data with their PHN. This was administered in early 2017. The finding was that most were, and that the PHNs were covering the licensing costs for the extraction software. Also, nine out of the 10 PHNs were using PEN CS software for the extracts. South East Melbourne PHN uses the </w:t>
      </w:r>
      <w:r w:rsidRPr="002D2E55">
        <w:t xml:space="preserve">Population Level Analysis and Reporting </w:t>
      </w:r>
      <w:r>
        <w:t>(POLAR) tool. Therefore, these processes were leveraged for the evaluation. The approach also meant maintaining the close involvement of the PHNs and creating infrastructure for data sharing between practices and PHNs beyond the evaluation.</w:t>
      </w:r>
    </w:p>
    <w:p w14:paraId="789EFF76" w14:textId="77777777" w:rsidR="001C19F3" w:rsidRDefault="001C19F3" w:rsidP="001C19F3">
      <w:pPr>
        <w:rPr>
          <w:szCs w:val="20"/>
        </w:rPr>
      </w:pPr>
      <w:r>
        <w:t>An alternative option was for the data to be provided by NPS MedicineWise, as approximately 600 practices were participating in NPSs’ MedicineInsight Program (a</w:t>
      </w:r>
      <w:r w:rsidRPr="00D65BF5">
        <w:t xml:space="preserve"> quality improvement program</w:t>
      </w:r>
      <w:r>
        <w:t xml:space="preserve">). After exploration, it was found that about 25 practices participating </w:t>
      </w:r>
      <w:r>
        <w:lastRenderedPageBreak/>
        <w:t>in MedicineInsight were also participating in HCH. Therefore, the Department negotiated with NPS to instead use its data to draw comparator practices for the evaluation. C</w:t>
      </w:r>
      <w:r w:rsidRPr="00F93E72">
        <w:t xml:space="preserve">omparator practices will be drawn based on </w:t>
      </w:r>
      <w:r>
        <w:t xml:space="preserve">the </w:t>
      </w:r>
      <w:r w:rsidRPr="00F93E72">
        <w:t xml:space="preserve">sampling </w:t>
      </w:r>
      <w:r>
        <w:t xml:space="preserve">frame established for the HCH trial, which includes practice </w:t>
      </w:r>
      <w:r w:rsidRPr="00F93E72">
        <w:t>size</w:t>
      </w:r>
      <w:r>
        <w:t>, type</w:t>
      </w:r>
      <w:r w:rsidRPr="00F93E72">
        <w:t xml:space="preserve"> and location.</w:t>
      </w:r>
      <w:r>
        <w:rPr>
          <w:szCs w:val="20"/>
        </w:rPr>
        <w:t xml:space="preserve"> </w:t>
      </w:r>
    </w:p>
    <w:p w14:paraId="06BB3CA5" w14:textId="77777777" w:rsidR="001C19F3" w:rsidRPr="008A38D4" w:rsidRDefault="001C19F3" w:rsidP="001C19F3">
      <w:pPr>
        <w:pStyle w:val="Heading3"/>
        <w:rPr>
          <w:rStyle w:val="SubtleEmphasis"/>
          <w:i w:val="0"/>
          <w:iCs w:val="0"/>
          <w:color w:val="003D79"/>
        </w:rPr>
      </w:pPr>
      <w:r w:rsidRPr="008A38D4">
        <w:rPr>
          <w:rStyle w:val="SubtleEmphasis"/>
          <w:i w:val="0"/>
          <w:iCs w:val="0"/>
          <w:color w:val="003D79"/>
        </w:rPr>
        <w:t>Flagging of HCH patients in the practice extracts</w:t>
      </w:r>
    </w:p>
    <w:p w14:paraId="58123346" w14:textId="77777777" w:rsidR="001C19F3" w:rsidRDefault="001C19F3" w:rsidP="001C19F3">
      <w:r>
        <w:t xml:space="preserve">Since the practice extracts were to relate to all patients – not just HCH enrolees – and practice data were not to be linked with any other data source, a mechanism was needed to </w:t>
      </w:r>
      <w:r w:rsidRPr="00664161">
        <w:t>flag HCH patients in practices’ clinical management system</w:t>
      </w:r>
      <w:r>
        <w:t>s</w:t>
      </w:r>
      <w:r w:rsidRPr="00664161">
        <w:t xml:space="preserve"> and record their tier</w:t>
      </w:r>
      <w:r>
        <w:t xml:space="preserve"> for</w:t>
      </w:r>
      <w:r w:rsidRPr="00664161">
        <w:t xml:space="preserve"> the extraction software </w:t>
      </w:r>
      <w:r>
        <w:t>to</w:t>
      </w:r>
      <w:r w:rsidRPr="00664161">
        <w:t xml:space="preserve"> pick up this information. Due to the disparate clinical management software used by practices, the Department engaged </w:t>
      </w:r>
      <w:r>
        <w:t xml:space="preserve">the </w:t>
      </w:r>
      <w:r w:rsidRPr="00AB65BA">
        <w:t xml:space="preserve">Australian Association of Practice Management </w:t>
      </w:r>
      <w:r>
        <w:t>(</w:t>
      </w:r>
      <w:r w:rsidRPr="00664161">
        <w:t>AAPM</w:t>
      </w:r>
      <w:r>
        <w:t>)</w:t>
      </w:r>
      <w:r w:rsidRPr="00664161">
        <w:t xml:space="preserve"> to develop a consistent approach for each of the major</w:t>
      </w:r>
      <w:r>
        <w:t xml:space="preserve"> systems</w:t>
      </w:r>
      <w:r w:rsidRPr="00664161">
        <w:t>. However, it became apparent that in most systems, the place available to record this information (</w:t>
      </w:r>
      <w:r>
        <w:t xml:space="preserve">i.e. </w:t>
      </w:r>
      <w:r w:rsidRPr="00664161">
        <w:t>mostly free-text commentary fields</w:t>
      </w:r>
      <w:r>
        <w:t>)</w:t>
      </w:r>
      <w:r w:rsidRPr="00D036B7">
        <w:t xml:space="preserve"> </w:t>
      </w:r>
      <w:r w:rsidRPr="00664161">
        <w:t xml:space="preserve">could not be used without additional work. Alternatives were explored, and the best option was for practices to create the flags in the extraction software. For practices using the PEN software, this was in the CAT4 or Topbar tools. The POLAR vendor Outcome Health created a similar mechanism. </w:t>
      </w:r>
      <w:r w:rsidRPr="00343135">
        <w:t>Some vendors of clinical management systems elected to build a mechanism directly into the software.</w:t>
      </w:r>
    </w:p>
    <w:p w14:paraId="4D45DA26" w14:textId="77777777" w:rsidR="001C19F3" w:rsidRPr="008A38D4" w:rsidRDefault="001C19F3" w:rsidP="001C19F3">
      <w:pPr>
        <w:pStyle w:val="Heading3"/>
        <w:rPr>
          <w:rStyle w:val="SubtleEmphasis"/>
          <w:i w:val="0"/>
          <w:iCs w:val="0"/>
          <w:color w:val="003D79"/>
        </w:rPr>
      </w:pPr>
      <w:r w:rsidRPr="008A38D4">
        <w:rPr>
          <w:rStyle w:val="SubtleEmphasis"/>
          <w:i w:val="0"/>
          <w:iCs w:val="0"/>
          <w:color w:val="003D79"/>
        </w:rPr>
        <w:t>Capturing information on services provided to HCH patients</w:t>
      </w:r>
    </w:p>
    <w:p w14:paraId="0BCEB5DB" w14:textId="77777777" w:rsidR="001C19F3" w:rsidRDefault="001C19F3" w:rsidP="001C19F3">
      <w:r>
        <w:t>A key objective of the evaluation is to assess the</w:t>
      </w:r>
      <w:r w:rsidRPr="00B246F5">
        <w:t xml:space="preserve"> financial </w:t>
      </w:r>
      <w:r>
        <w:t>impact</w:t>
      </w:r>
      <w:r w:rsidRPr="00B246F5">
        <w:t xml:space="preserve"> of the HCH model on governments, providers and </w:t>
      </w:r>
      <w:r>
        <w:t>patients. To assess the impact on practices, ideally, the revenue that the practice receives for each enrolee under the bundled payment would be compared with the fee-for-service amount that they would have received. However, with practices not submitting claims for individual MBS items, this is not available to the evaluation. Also, some stakeholders thought that this type of recording maintains a ‘fee-for-service’ mentality, which HCH is aiming to move away from.</w:t>
      </w:r>
    </w:p>
    <w:p w14:paraId="14234211" w14:textId="77777777" w:rsidR="001C19F3" w:rsidRDefault="001C19F3" w:rsidP="001C19F3">
      <w:pPr>
        <w:rPr>
          <w:rFonts w:cs="Tahoma"/>
          <w:szCs w:val="20"/>
        </w:rPr>
      </w:pPr>
      <w:r>
        <w:t xml:space="preserve">Therefore, where practices are using the approach suggested by AAPM for recording data for </w:t>
      </w:r>
      <w:r w:rsidRPr="002E0672">
        <w:t xml:space="preserve">revenue sharing and </w:t>
      </w:r>
      <w:r>
        <w:t>where</w:t>
      </w:r>
      <w:r w:rsidRPr="002E0672">
        <w:t xml:space="preserve"> </w:t>
      </w:r>
      <w:r>
        <w:t>the data are</w:t>
      </w:r>
      <w:r w:rsidRPr="002E0672">
        <w:t xml:space="preserve"> in fields in the practice clinical management systems that would come thr</w:t>
      </w:r>
      <w:r>
        <w:t xml:space="preserve">ough the extracts being provided for the </w:t>
      </w:r>
      <w:r w:rsidRPr="000A004F">
        <w:t xml:space="preserve">evaluation, then </w:t>
      </w:r>
      <w:r>
        <w:t>Health Policy Analysis will request these data</w:t>
      </w:r>
      <w:r w:rsidRPr="000A004F">
        <w:t xml:space="preserve">. If not, </w:t>
      </w:r>
      <w:r>
        <w:t>Health Policy Analysis</w:t>
      </w:r>
      <w:r w:rsidRPr="000A004F">
        <w:t xml:space="preserve"> </w:t>
      </w:r>
      <w:r>
        <w:t>will</w:t>
      </w:r>
      <w:r w:rsidRPr="000A004F">
        <w:t xml:space="preserve"> request data from each </w:t>
      </w:r>
      <w:r>
        <w:t>practice</w:t>
      </w:r>
      <w:r w:rsidRPr="000A004F">
        <w:t xml:space="preserve"> on </w:t>
      </w:r>
      <w:r>
        <w:t xml:space="preserve">services/ activities recorded for </w:t>
      </w:r>
      <w:r w:rsidRPr="000A004F">
        <w:t>a small sample of patients.</w:t>
      </w:r>
      <w:r>
        <w:t xml:space="preserve"> This approach is also being used to</w:t>
      </w:r>
      <w:r w:rsidRPr="00FA623D">
        <w:rPr>
          <w:rFonts w:cs="Tahoma"/>
          <w:szCs w:val="20"/>
        </w:rPr>
        <w:t xml:space="preserve"> ensure that the measures derived from practice data extracts are accurate</w:t>
      </w:r>
      <w:r>
        <w:rPr>
          <w:rFonts w:cs="Tahoma"/>
          <w:szCs w:val="20"/>
        </w:rPr>
        <w:t xml:space="preserve">. </w:t>
      </w:r>
      <w:r>
        <w:t xml:space="preserve">Health Policy Analysis </w:t>
      </w:r>
      <w:r w:rsidRPr="00FA623D">
        <w:rPr>
          <w:rFonts w:cs="Tahoma"/>
          <w:szCs w:val="20"/>
        </w:rPr>
        <w:t xml:space="preserve">is planning to provide the data obtained from practices and derive measures for a sample of HCH patients back to each </w:t>
      </w:r>
      <w:r>
        <w:rPr>
          <w:rFonts w:cs="Tahoma"/>
          <w:szCs w:val="20"/>
        </w:rPr>
        <w:t>practice</w:t>
      </w:r>
      <w:r w:rsidRPr="00FA623D">
        <w:rPr>
          <w:rFonts w:cs="Tahoma"/>
          <w:szCs w:val="20"/>
        </w:rPr>
        <w:t>.</w:t>
      </w:r>
      <w:r>
        <w:rPr>
          <w:rFonts w:cs="Tahoma"/>
          <w:szCs w:val="20"/>
        </w:rPr>
        <w:t xml:space="preserve"> Practice</w:t>
      </w:r>
      <w:r w:rsidRPr="00FA623D">
        <w:rPr>
          <w:rFonts w:cs="Tahoma"/>
          <w:szCs w:val="20"/>
        </w:rPr>
        <w:t>s will be invited to review the data and identify corrections where these are necessary and re-submit the data to the evaluation team.</w:t>
      </w:r>
    </w:p>
    <w:p w14:paraId="27AA3FCC" w14:textId="77777777" w:rsidR="001C19F3" w:rsidRDefault="001C19F3" w:rsidP="001C19F3">
      <w:pPr>
        <w:pStyle w:val="Heading2"/>
      </w:pPr>
      <w:bookmarkStart w:id="436" w:name="_Toc32586043"/>
      <w:r>
        <w:t>Case studies</w:t>
      </w:r>
      <w:bookmarkEnd w:id="436"/>
    </w:p>
    <w:p w14:paraId="495E42BC" w14:textId="77777777" w:rsidR="001C19F3" w:rsidRDefault="001C19F3" w:rsidP="001C19F3">
      <w:r w:rsidRPr="00923834">
        <w:t xml:space="preserve">The case studies </w:t>
      </w:r>
      <w:r>
        <w:t xml:space="preserve">will </w:t>
      </w:r>
      <w:r w:rsidRPr="00923834">
        <w:t xml:space="preserve">provide a more comprehensive view of </w:t>
      </w:r>
      <w:r>
        <w:t>the implementation of HCH</w:t>
      </w:r>
      <w:r w:rsidRPr="00923834">
        <w:t xml:space="preserve">, </w:t>
      </w:r>
      <w:r>
        <w:t>including how the program interacted with other initiatives that the practice/ region might have been involved in</w:t>
      </w:r>
      <w:r w:rsidRPr="00923834">
        <w:t>.</w:t>
      </w:r>
    </w:p>
    <w:p w14:paraId="40330708" w14:textId="77777777" w:rsidR="001C19F3" w:rsidRDefault="001C19F3" w:rsidP="001C19F3">
      <w:r>
        <w:t>T</w:t>
      </w:r>
      <w:r w:rsidRPr="00923834">
        <w:t>he case studies involve</w:t>
      </w:r>
      <w:r>
        <w:t xml:space="preserve"> visits to selected locations within each of the 10 participating PHNs, studying two practices in each location. The following groups are being interviewed:</w:t>
      </w:r>
    </w:p>
    <w:p w14:paraId="00A1847E" w14:textId="77777777" w:rsidR="001C19F3" w:rsidRPr="00923834" w:rsidRDefault="001C19F3" w:rsidP="001C19F3">
      <w:pPr>
        <w:pStyle w:val="ListParagraph"/>
        <w:numPr>
          <w:ilvl w:val="0"/>
          <w:numId w:val="96"/>
        </w:numPr>
      </w:pPr>
      <w:r>
        <w:lastRenderedPageBreak/>
        <w:t>P</w:t>
      </w:r>
      <w:r w:rsidRPr="00923834">
        <w:t>atient</w:t>
      </w:r>
      <w:r>
        <w:t>s and their carers and family</w:t>
      </w:r>
      <w:r w:rsidRPr="00923834">
        <w:t>, and where appropriate, community members</w:t>
      </w:r>
      <w:r>
        <w:t xml:space="preserve"> (involving </w:t>
      </w:r>
      <w:r w:rsidRPr="00D94593">
        <w:t xml:space="preserve">enrolees of the </w:t>
      </w:r>
      <w:r>
        <w:t>practice</w:t>
      </w:r>
      <w:r w:rsidRPr="00D94593">
        <w:t>s being interviewed</w:t>
      </w:r>
      <w:r>
        <w:t>).</w:t>
      </w:r>
    </w:p>
    <w:p w14:paraId="4F648D4B" w14:textId="77777777" w:rsidR="001C19F3" w:rsidRDefault="001C19F3" w:rsidP="001C19F3">
      <w:pPr>
        <w:pStyle w:val="ListParagraph"/>
        <w:numPr>
          <w:ilvl w:val="0"/>
          <w:numId w:val="96"/>
        </w:numPr>
      </w:pPr>
      <w:r>
        <w:t>Staff of the selected practices, speaking on behalf of the practice as well as the individual perspectives of GPs, nurses, allied health professionals and technical and administrative staff employed by the practice.</w:t>
      </w:r>
    </w:p>
    <w:p w14:paraId="5F8D66F0" w14:textId="77777777" w:rsidR="001C19F3" w:rsidRDefault="001C19F3" w:rsidP="001C19F3">
      <w:pPr>
        <w:pStyle w:val="ListParagraph"/>
        <w:numPr>
          <w:ilvl w:val="0"/>
          <w:numId w:val="96"/>
        </w:numPr>
      </w:pPr>
      <w:r>
        <w:t xml:space="preserve">External </w:t>
      </w:r>
      <w:r w:rsidRPr="00923834">
        <w:t>allied health</w:t>
      </w:r>
      <w:r>
        <w:t xml:space="preserve"> and </w:t>
      </w:r>
      <w:r w:rsidRPr="00923834">
        <w:t>other service pr</w:t>
      </w:r>
      <w:r>
        <w:t>oviders that the practices being interviewed refer patients to.</w:t>
      </w:r>
    </w:p>
    <w:p w14:paraId="4EB2F1AF" w14:textId="77777777" w:rsidR="001C19F3" w:rsidRDefault="001C19F3" w:rsidP="001C19F3">
      <w:pPr>
        <w:pStyle w:val="ListParagraph"/>
        <w:numPr>
          <w:ilvl w:val="0"/>
          <w:numId w:val="96"/>
        </w:numPr>
      </w:pPr>
      <w:r>
        <w:t>PHN representatives.</w:t>
      </w:r>
    </w:p>
    <w:p w14:paraId="41EEA103" w14:textId="77777777" w:rsidR="001C19F3" w:rsidRPr="00923834" w:rsidRDefault="001C19F3" w:rsidP="001C19F3">
      <w:pPr>
        <w:pStyle w:val="ListParagraph"/>
        <w:numPr>
          <w:ilvl w:val="0"/>
          <w:numId w:val="96"/>
        </w:numPr>
      </w:pPr>
      <w:r>
        <w:t>Local Hospital Network (LHN) and state/territory health authority representatives (</w:t>
      </w:r>
      <w:r w:rsidRPr="00D94593">
        <w:t>associated with all 10 PHNs</w:t>
      </w:r>
      <w:r>
        <w:t>).</w:t>
      </w:r>
    </w:p>
    <w:p w14:paraId="7AA3D324" w14:textId="77777777" w:rsidR="001C19F3" w:rsidRPr="00D94593" w:rsidRDefault="001C19F3" w:rsidP="001C19F3">
      <w:r>
        <w:rPr>
          <w:rFonts w:cs="Tahoma"/>
          <w:szCs w:val="20"/>
        </w:rPr>
        <w:t>Practice</w:t>
      </w:r>
      <w:r w:rsidRPr="00FA623D">
        <w:rPr>
          <w:rFonts w:cs="Tahoma"/>
          <w:szCs w:val="20"/>
        </w:rPr>
        <w:t>s</w:t>
      </w:r>
      <w:r w:rsidRPr="00D94593">
        <w:t xml:space="preserve"> included in the case studies were selected to maximise diversity across the</w:t>
      </w:r>
      <w:r>
        <w:t xml:space="preserve"> dimensions of the </w:t>
      </w:r>
      <w:r w:rsidRPr="009A58F8">
        <w:t xml:space="preserve">sampling frame established for the </w:t>
      </w:r>
      <w:r>
        <w:t xml:space="preserve">HCH </w:t>
      </w:r>
      <w:r w:rsidRPr="009A58F8">
        <w:t>trial</w:t>
      </w:r>
      <w:r>
        <w:t xml:space="preserve"> </w:t>
      </w:r>
      <w:r w:rsidRPr="00D94593">
        <w:t>(</w:t>
      </w:r>
      <w:r>
        <w:t xml:space="preserve">which include </w:t>
      </w:r>
      <w:r w:rsidRPr="00D94593">
        <w:t>practice size, location</w:t>
      </w:r>
      <w:r>
        <w:t xml:space="preserve"> and type</w:t>
      </w:r>
      <w:r w:rsidRPr="00D94593">
        <w:t>). PHNs</w:t>
      </w:r>
      <w:r>
        <w:t xml:space="preserve"> reviewed the practices selected by Health Policy Analysis, and in some </w:t>
      </w:r>
      <w:r w:rsidRPr="00D94593">
        <w:t>cases suggested alternatives to better fit the strata features.</w:t>
      </w:r>
      <w:r>
        <w:t xml:space="preserve"> Practices that withdraw from HCH in subsequent interview rounds will be replaced by an alternative from within the PHN.</w:t>
      </w:r>
    </w:p>
    <w:p w14:paraId="79E81139" w14:textId="77777777" w:rsidR="001C19F3" w:rsidRPr="00D94593" w:rsidRDefault="001C19F3" w:rsidP="001C19F3">
      <w:r>
        <w:t>The first round of visits was between September</w:t>
      </w:r>
      <w:r w:rsidRPr="00D94593">
        <w:t xml:space="preserve"> </w:t>
      </w:r>
      <w:r>
        <w:t xml:space="preserve">and October </w:t>
      </w:r>
      <w:r w:rsidRPr="00D94593">
        <w:t>2018</w:t>
      </w:r>
      <w:r>
        <w:t>. A second round will occur in late 2019/early 2020, and the third in early 2021.</w:t>
      </w:r>
    </w:p>
    <w:p w14:paraId="56E9AF5E" w14:textId="77777777" w:rsidR="001C19F3" w:rsidRPr="00D94593" w:rsidRDefault="001C19F3" w:rsidP="001C19F3">
      <w:r w:rsidRPr="00D94593">
        <w:t>Incentive payments for participation include:</w:t>
      </w:r>
    </w:p>
    <w:p w14:paraId="5DF98622" w14:textId="77777777" w:rsidR="001C19F3" w:rsidRPr="00D94593" w:rsidRDefault="001C19F3" w:rsidP="001C19F3">
      <w:pPr>
        <w:pStyle w:val="ListParagraph"/>
        <w:numPr>
          <w:ilvl w:val="0"/>
          <w:numId w:val="97"/>
        </w:numPr>
      </w:pPr>
      <w:r w:rsidRPr="00D94593">
        <w:t>Pat</w:t>
      </w:r>
      <w:r>
        <w:t xml:space="preserve">ients and their carers/ family – a </w:t>
      </w:r>
      <w:r w:rsidRPr="00D94593">
        <w:t>$30 gift voucher for participation in an interview or focus group.</w:t>
      </w:r>
    </w:p>
    <w:p w14:paraId="489BB026" w14:textId="77777777" w:rsidR="001C19F3" w:rsidRPr="00D94593" w:rsidRDefault="001C19F3" w:rsidP="001C19F3">
      <w:pPr>
        <w:pStyle w:val="ListParagraph"/>
        <w:numPr>
          <w:ilvl w:val="0"/>
          <w:numId w:val="97"/>
        </w:numPr>
      </w:pPr>
      <w:r w:rsidRPr="00D94593">
        <w:t>Practices</w:t>
      </w:r>
      <w:r>
        <w:t xml:space="preserve"> – </w:t>
      </w:r>
      <w:r w:rsidRPr="00D94593">
        <w:t>$1,000 per round.</w:t>
      </w:r>
    </w:p>
    <w:p w14:paraId="17C18DEE" w14:textId="77777777" w:rsidR="001C19F3" w:rsidRDefault="001C19F3" w:rsidP="001C19F3">
      <w:pPr>
        <w:pStyle w:val="ListParagraph"/>
        <w:numPr>
          <w:ilvl w:val="0"/>
          <w:numId w:val="97"/>
        </w:numPr>
      </w:pPr>
      <w:r w:rsidRPr="00D94593">
        <w:t>Allied health and other related providers</w:t>
      </w:r>
      <w:r>
        <w:t xml:space="preserve"> – </w:t>
      </w:r>
      <w:r w:rsidRPr="00D94593">
        <w:t>$160 for participation in a one-hour interview or focus group.</w:t>
      </w:r>
    </w:p>
    <w:p w14:paraId="776E9B0E" w14:textId="77777777" w:rsidR="001C19F3" w:rsidRPr="00A01C0D" w:rsidRDefault="001C19F3" w:rsidP="001C19F3">
      <w:r w:rsidRPr="00A01C0D">
        <w:fldChar w:fldCharType="begin"/>
      </w:r>
      <w:r w:rsidRPr="00A01C0D">
        <w:instrText xml:space="preserve"> REF _Ref20851912 \h </w:instrText>
      </w:r>
      <w:r>
        <w:instrText xml:space="preserve"> \* MERGEFORMAT </w:instrText>
      </w:r>
      <w:r w:rsidRPr="00A01C0D">
        <w:fldChar w:fldCharType="separate"/>
      </w:r>
      <w:r w:rsidRPr="00191669">
        <w:t xml:space="preserve">Table </w:t>
      </w:r>
      <w:r w:rsidRPr="00191669">
        <w:rPr>
          <w:rFonts w:cs="Arial"/>
          <w:noProof/>
          <w:color w:val="000000" w:themeColor="text1"/>
        </w:rPr>
        <w:t>5</w:t>
      </w:r>
      <w:r w:rsidRPr="00A01C0D">
        <w:fldChar w:fldCharType="end"/>
      </w:r>
      <w:r w:rsidRPr="00A01C0D">
        <w:t xml:space="preserve"> </w:t>
      </w:r>
      <w:r>
        <w:t>summarises</w:t>
      </w:r>
      <w:r w:rsidRPr="00A01C0D">
        <w:t xml:space="preserve"> details of interviews conducted for the case studies in Round 2, which were mostly conducted between September and October 2018.</w:t>
      </w:r>
    </w:p>
    <w:p w14:paraId="693F5FBF" w14:textId="77777777" w:rsidR="001C19F3" w:rsidRPr="00A01C0D" w:rsidRDefault="001C19F3" w:rsidP="001C19F3">
      <w:pPr>
        <w:spacing w:after="0"/>
        <w:jc w:val="center"/>
      </w:pPr>
      <w:bookmarkStart w:id="437" w:name="_Ref20851912"/>
      <w:r w:rsidRPr="00A01C0D">
        <w:rPr>
          <w:b/>
        </w:rPr>
        <w:t xml:space="preserve">Table </w:t>
      </w:r>
      <w:r w:rsidRPr="00A01C0D">
        <w:rPr>
          <w:rFonts w:cs="Arial"/>
          <w:b/>
          <w:color w:val="000000" w:themeColor="text1"/>
        </w:rPr>
        <w:fldChar w:fldCharType="begin"/>
      </w:r>
      <w:r w:rsidRPr="00A01C0D">
        <w:rPr>
          <w:rFonts w:cs="Arial"/>
          <w:b/>
          <w:color w:val="000000" w:themeColor="text1"/>
        </w:rPr>
        <w:instrText xml:space="preserve"> SEQ Table \* ARABIC </w:instrText>
      </w:r>
      <w:r w:rsidRPr="00A01C0D">
        <w:rPr>
          <w:rFonts w:cs="Arial"/>
          <w:b/>
          <w:color w:val="000000" w:themeColor="text1"/>
        </w:rPr>
        <w:fldChar w:fldCharType="separate"/>
      </w:r>
      <w:r>
        <w:rPr>
          <w:rFonts w:cs="Arial"/>
          <w:b/>
          <w:noProof/>
          <w:color w:val="000000" w:themeColor="text1"/>
        </w:rPr>
        <w:t>5</w:t>
      </w:r>
      <w:r w:rsidRPr="00A01C0D">
        <w:rPr>
          <w:rFonts w:cs="Arial"/>
          <w:b/>
          <w:color w:val="000000" w:themeColor="text1"/>
        </w:rPr>
        <w:fldChar w:fldCharType="end"/>
      </w:r>
      <w:bookmarkEnd w:id="437"/>
      <w:r w:rsidRPr="00A01C0D">
        <w:rPr>
          <w:b/>
        </w:rPr>
        <w:t xml:space="preserve"> – HCH evaluation case studies: Interviews for Round 2</w:t>
      </w:r>
    </w:p>
    <w:tbl>
      <w:tblPr>
        <w:tblStyle w:val="TableGrid1"/>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1536"/>
      </w:tblGrid>
      <w:tr w:rsidR="001C19F3" w:rsidRPr="0038289C" w14:paraId="512CC7D2" w14:textId="77777777" w:rsidTr="00521305">
        <w:trPr>
          <w:tblHeader/>
          <w:jc w:val="center"/>
        </w:trPr>
        <w:tc>
          <w:tcPr>
            <w:tcW w:w="2972" w:type="dxa"/>
            <w:shd w:val="clear" w:color="auto" w:fill="003D79"/>
          </w:tcPr>
          <w:p w14:paraId="3F48FF60" w14:textId="77777777" w:rsidR="001C19F3" w:rsidRPr="0038289C" w:rsidRDefault="001C19F3" w:rsidP="00521305">
            <w:pPr>
              <w:spacing w:after="0"/>
              <w:jc w:val="center"/>
              <w:rPr>
                <w:b/>
                <w:color w:val="FFFFFF" w:themeColor="background1"/>
                <w:sz w:val="18"/>
                <w:szCs w:val="18"/>
              </w:rPr>
            </w:pPr>
            <w:r w:rsidRPr="0038289C">
              <w:rPr>
                <w:b/>
                <w:color w:val="FFFFFF" w:themeColor="background1"/>
                <w:sz w:val="18"/>
                <w:szCs w:val="18"/>
              </w:rPr>
              <w:t>Informants interviewed or participating in focus group</w:t>
            </w:r>
          </w:p>
        </w:tc>
        <w:tc>
          <w:tcPr>
            <w:tcW w:w="1536" w:type="dxa"/>
            <w:shd w:val="clear" w:color="auto" w:fill="003D79"/>
          </w:tcPr>
          <w:p w14:paraId="6E79C94F" w14:textId="77777777" w:rsidR="001C19F3" w:rsidRPr="0038289C" w:rsidRDefault="001C19F3" w:rsidP="00521305">
            <w:pPr>
              <w:spacing w:after="0"/>
              <w:jc w:val="center"/>
              <w:rPr>
                <w:b/>
                <w:color w:val="FFFFFF" w:themeColor="background1"/>
                <w:sz w:val="18"/>
                <w:szCs w:val="18"/>
              </w:rPr>
            </w:pPr>
            <w:r w:rsidRPr="0038289C">
              <w:rPr>
                <w:b/>
                <w:color w:val="FFFFFF" w:themeColor="background1"/>
                <w:sz w:val="18"/>
                <w:szCs w:val="18"/>
              </w:rPr>
              <w:t>Round 2</w:t>
            </w:r>
          </w:p>
        </w:tc>
      </w:tr>
      <w:tr w:rsidR="001C19F3" w:rsidRPr="0038289C" w14:paraId="530BC56B" w14:textId="77777777" w:rsidTr="00521305">
        <w:trPr>
          <w:jc w:val="center"/>
        </w:trPr>
        <w:tc>
          <w:tcPr>
            <w:tcW w:w="4508" w:type="dxa"/>
            <w:gridSpan w:val="2"/>
          </w:tcPr>
          <w:p w14:paraId="3DFAA153" w14:textId="77777777" w:rsidR="001C19F3" w:rsidRPr="0038289C" w:rsidRDefault="001C19F3" w:rsidP="00521305">
            <w:pPr>
              <w:spacing w:after="0"/>
              <w:rPr>
                <w:color w:val="000000" w:themeColor="text1"/>
                <w:sz w:val="18"/>
                <w:szCs w:val="18"/>
              </w:rPr>
            </w:pPr>
            <w:r w:rsidRPr="0038289C">
              <w:rPr>
                <w:b/>
                <w:color w:val="000000" w:themeColor="text1"/>
                <w:sz w:val="18"/>
                <w:szCs w:val="18"/>
              </w:rPr>
              <w:t>Practices interviewed</w:t>
            </w:r>
          </w:p>
        </w:tc>
      </w:tr>
      <w:tr w:rsidR="001C19F3" w:rsidRPr="0038289C" w14:paraId="4EF5FA4D" w14:textId="77777777" w:rsidTr="00521305">
        <w:trPr>
          <w:jc w:val="center"/>
        </w:trPr>
        <w:tc>
          <w:tcPr>
            <w:tcW w:w="2972" w:type="dxa"/>
          </w:tcPr>
          <w:p w14:paraId="05A172AA"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Active at 31</w:t>
            </w:r>
            <w:r>
              <w:rPr>
                <w:color w:val="000000" w:themeColor="text1"/>
                <w:sz w:val="18"/>
                <w:szCs w:val="18"/>
              </w:rPr>
              <w:t xml:space="preserve"> August 2019</w:t>
            </w:r>
          </w:p>
        </w:tc>
        <w:tc>
          <w:tcPr>
            <w:tcW w:w="1536" w:type="dxa"/>
          </w:tcPr>
          <w:p w14:paraId="1DB8A09A"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14</w:t>
            </w:r>
          </w:p>
        </w:tc>
      </w:tr>
      <w:tr w:rsidR="001C19F3" w:rsidRPr="0038289C" w14:paraId="0AEA13CF" w14:textId="77777777" w:rsidTr="00521305">
        <w:trPr>
          <w:jc w:val="center"/>
        </w:trPr>
        <w:tc>
          <w:tcPr>
            <w:tcW w:w="2972" w:type="dxa"/>
          </w:tcPr>
          <w:p w14:paraId="4D904B51"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Withdrawn at 31</w:t>
            </w:r>
            <w:r>
              <w:rPr>
                <w:color w:val="000000" w:themeColor="text1"/>
                <w:sz w:val="18"/>
                <w:szCs w:val="18"/>
              </w:rPr>
              <w:t xml:space="preserve"> August 2019</w:t>
            </w:r>
          </w:p>
        </w:tc>
        <w:tc>
          <w:tcPr>
            <w:tcW w:w="1536" w:type="dxa"/>
          </w:tcPr>
          <w:p w14:paraId="33A6391E"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4</w:t>
            </w:r>
          </w:p>
        </w:tc>
      </w:tr>
      <w:tr w:rsidR="001C19F3" w:rsidRPr="0038289C" w14:paraId="216788B8" w14:textId="77777777" w:rsidTr="00521305">
        <w:trPr>
          <w:jc w:val="center"/>
        </w:trPr>
        <w:tc>
          <w:tcPr>
            <w:tcW w:w="2972" w:type="dxa"/>
          </w:tcPr>
          <w:p w14:paraId="5106B2DB"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Total</w:t>
            </w:r>
          </w:p>
        </w:tc>
        <w:tc>
          <w:tcPr>
            <w:tcW w:w="1536" w:type="dxa"/>
          </w:tcPr>
          <w:p w14:paraId="0908606A"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18</w:t>
            </w:r>
          </w:p>
        </w:tc>
      </w:tr>
      <w:tr w:rsidR="001C19F3" w:rsidRPr="0038289C" w14:paraId="15F2A467" w14:textId="77777777" w:rsidTr="00521305">
        <w:trPr>
          <w:jc w:val="center"/>
        </w:trPr>
        <w:tc>
          <w:tcPr>
            <w:tcW w:w="4508" w:type="dxa"/>
            <w:gridSpan w:val="2"/>
          </w:tcPr>
          <w:p w14:paraId="1BF4B5E4" w14:textId="77777777" w:rsidR="001C19F3" w:rsidRPr="0038289C" w:rsidRDefault="001C19F3" w:rsidP="00521305">
            <w:pPr>
              <w:spacing w:after="0"/>
              <w:rPr>
                <w:color w:val="000000" w:themeColor="text1"/>
                <w:sz w:val="18"/>
                <w:szCs w:val="18"/>
              </w:rPr>
            </w:pPr>
            <w:r w:rsidRPr="0038289C">
              <w:rPr>
                <w:b/>
                <w:color w:val="000000" w:themeColor="text1"/>
                <w:sz w:val="18"/>
                <w:szCs w:val="18"/>
              </w:rPr>
              <w:t>Practice staff interviewed</w:t>
            </w:r>
          </w:p>
        </w:tc>
      </w:tr>
      <w:tr w:rsidR="001C19F3" w:rsidRPr="0038289C" w14:paraId="25EE95EA" w14:textId="77777777" w:rsidTr="00521305">
        <w:trPr>
          <w:trHeight w:val="243"/>
          <w:jc w:val="center"/>
        </w:trPr>
        <w:tc>
          <w:tcPr>
            <w:tcW w:w="2972" w:type="dxa"/>
          </w:tcPr>
          <w:p w14:paraId="1899BC37"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GPs</w:t>
            </w:r>
          </w:p>
        </w:tc>
        <w:tc>
          <w:tcPr>
            <w:tcW w:w="1536" w:type="dxa"/>
          </w:tcPr>
          <w:p w14:paraId="5CD657AE"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24</w:t>
            </w:r>
          </w:p>
        </w:tc>
      </w:tr>
      <w:tr w:rsidR="001C19F3" w:rsidRPr="0038289C" w14:paraId="0EFD015F" w14:textId="77777777" w:rsidTr="00521305">
        <w:trPr>
          <w:trHeight w:val="260"/>
          <w:jc w:val="center"/>
        </w:trPr>
        <w:tc>
          <w:tcPr>
            <w:tcW w:w="2972" w:type="dxa"/>
          </w:tcPr>
          <w:p w14:paraId="4CF9F478"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Nurses</w:t>
            </w:r>
          </w:p>
        </w:tc>
        <w:tc>
          <w:tcPr>
            <w:tcW w:w="1536" w:type="dxa"/>
          </w:tcPr>
          <w:p w14:paraId="2C247DDB"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13</w:t>
            </w:r>
          </w:p>
        </w:tc>
      </w:tr>
      <w:tr w:rsidR="001C19F3" w:rsidRPr="0038289C" w14:paraId="2B68BE17" w14:textId="77777777" w:rsidTr="00521305">
        <w:trPr>
          <w:trHeight w:val="260"/>
          <w:jc w:val="center"/>
        </w:trPr>
        <w:tc>
          <w:tcPr>
            <w:tcW w:w="2972" w:type="dxa"/>
          </w:tcPr>
          <w:p w14:paraId="1B2A3F94"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Practice managers</w:t>
            </w:r>
          </w:p>
        </w:tc>
        <w:tc>
          <w:tcPr>
            <w:tcW w:w="1536" w:type="dxa"/>
          </w:tcPr>
          <w:p w14:paraId="3ED5CEBB"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14</w:t>
            </w:r>
          </w:p>
        </w:tc>
      </w:tr>
      <w:tr w:rsidR="001C19F3" w:rsidRPr="0038289C" w14:paraId="05843EFA" w14:textId="77777777" w:rsidTr="00521305">
        <w:trPr>
          <w:trHeight w:val="260"/>
          <w:jc w:val="center"/>
        </w:trPr>
        <w:tc>
          <w:tcPr>
            <w:tcW w:w="2972" w:type="dxa"/>
          </w:tcPr>
          <w:p w14:paraId="6C51503E"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Receptionist</w:t>
            </w:r>
          </w:p>
        </w:tc>
        <w:tc>
          <w:tcPr>
            <w:tcW w:w="1536" w:type="dxa"/>
          </w:tcPr>
          <w:p w14:paraId="06805D34"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6</w:t>
            </w:r>
          </w:p>
        </w:tc>
      </w:tr>
      <w:tr w:rsidR="001C19F3" w:rsidRPr="0038289C" w14:paraId="129AF9BB" w14:textId="77777777" w:rsidTr="00521305">
        <w:trPr>
          <w:trHeight w:val="70"/>
          <w:jc w:val="center"/>
        </w:trPr>
        <w:tc>
          <w:tcPr>
            <w:tcW w:w="2972" w:type="dxa"/>
          </w:tcPr>
          <w:p w14:paraId="3D70C14E"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Other</w:t>
            </w:r>
          </w:p>
        </w:tc>
        <w:tc>
          <w:tcPr>
            <w:tcW w:w="1536" w:type="dxa"/>
          </w:tcPr>
          <w:p w14:paraId="29B4A7ED"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8</w:t>
            </w:r>
          </w:p>
        </w:tc>
      </w:tr>
      <w:tr w:rsidR="001C19F3" w:rsidRPr="0038289C" w14:paraId="527C4F20" w14:textId="77777777" w:rsidTr="00521305">
        <w:trPr>
          <w:trHeight w:val="260"/>
          <w:jc w:val="center"/>
        </w:trPr>
        <w:tc>
          <w:tcPr>
            <w:tcW w:w="2972" w:type="dxa"/>
          </w:tcPr>
          <w:p w14:paraId="5E6B2B1C"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Total</w:t>
            </w:r>
          </w:p>
        </w:tc>
        <w:tc>
          <w:tcPr>
            <w:tcW w:w="1536" w:type="dxa"/>
          </w:tcPr>
          <w:p w14:paraId="5061C982"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65</w:t>
            </w:r>
          </w:p>
        </w:tc>
      </w:tr>
      <w:tr w:rsidR="001C19F3" w:rsidRPr="0038289C" w14:paraId="0B7C6D30" w14:textId="77777777" w:rsidTr="00521305">
        <w:trPr>
          <w:trHeight w:val="260"/>
          <w:jc w:val="center"/>
        </w:trPr>
        <w:tc>
          <w:tcPr>
            <w:tcW w:w="4508" w:type="dxa"/>
            <w:gridSpan w:val="2"/>
          </w:tcPr>
          <w:p w14:paraId="05F462BC" w14:textId="77777777" w:rsidR="001C19F3" w:rsidRPr="0038289C" w:rsidRDefault="001C19F3" w:rsidP="00521305">
            <w:pPr>
              <w:spacing w:after="0"/>
              <w:rPr>
                <w:color w:val="000000" w:themeColor="text1"/>
                <w:sz w:val="18"/>
                <w:szCs w:val="18"/>
              </w:rPr>
            </w:pPr>
            <w:r w:rsidRPr="0038289C">
              <w:rPr>
                <w:b/>
                <w:color w:val="000000" w:themeColor="text1"/>
                <w:sz w:val="18"/>
                <w:szCs w:val="18"/>
              </w:rPr>
              <w:t>Patients and carers</w:t>
            </w:r>
          </w:p>
        </w:tc>
      </w:tr>
      <w:tr w:rsidR="001C19F3" w:rsidRPr="0038289C" w14:paraId="4ADBAA67" w14:textId="77777777" w:rsidTr="00521305">
        <w:trPr>
          <w:jc w:val="center"/>
        </w:trPr>
        <w:tc>
          <w:tcPr>
            <w:tcW w:w="2972" w:type="dxa"/>
          </w:tcPr>
          <w:p w14:paraId="3F758854"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Patients</w:t>
            </w:r>
          </w:p>
        </w:tc>
        <w:tc>
          <w:tcPr>
            <w:tcW w:w="1536" w:type="dxa"/>
          </w:tcPr>
          <w:p w14:paraId="1AFBD9B5"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42</w:t>
            </w:r>
          </w:p>
        </w:tc>
      </w:tr>
      <w:tr w:rsidR="001C19F3" w:rsidRPr="0038289C" w14:paraId="342BB2A2" w14:textId="77777777" w:rsidTr="00521305">
        <w:trPr>
          <w:jc w:val="center"/>
        </w:trPr>
        <w:tc>
          <w:tcPr>
            <w:tcW w:w="2972" w:type="dxa"/>
          </w:tcPr>
          <w:p w14:paraId="68250D5A"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Carers</w:t>
            </w:r>
          </w:p>
        </w:tc>
        <w:tc>
          <w:tcPr>
            <w:tcW w:w="1536" w:type="dxa"/>
          </w:tcPr>
          <w:p w14:paraId="707E3106"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4</w:t>
            </w:r>
          </w:p>
        </w:tc>
      </w:tr>
      <w:tr w:rsidR="001C19F3" w:rsidRPr="0038289C" w14:paraId="3E3D9461" w14:textId="77777777" w:rsidTr="00521305">
        <w:trPr>
          <w:jc w:val="center"/>
        </w:trPr>
        <w:tc>
          <w:tcPr>
            <w:tcW w:w="2972" w:type="dxa"/>
          </w:tcPr>
          <w:p w14:paraId="0B70C9A5" w14:textId="77777777" w:rsidR="001C19F3" w:rsidRPr="0038289C" w:rsidRDefault="001C19F3" w:rsidP="00521305">
            <w:pPr>
              <w:spacing w:after="0"/>
              <w:ind w:left="164"/>
              <w:rPr>
                <w:color w:val="000000" w:themeColor="text1"/>
                <w:sz w:val="18"/>
                <w:szCs w:val="18"/>
              </w:rPr>
            </w:pPr>
            <w:r w:rsidRPr="0038289C">
              <w:rPr>
                <w:color w:val="000000" w:themeColor="text1"/>
                <w:sz w:val="18"/>
                <w:szCs w:val="18"/>
              </w:rPr>
              <w:t>Total</w:t>
            </w:r>
          </w:p>
        </w:tc>
        <w:tc>
          <w:tcPr>
            <w:tcW w:w="1536" w:type="dxa"/>
          </w:tcPr>
          <w:p w14:paraId="00F47BCA" w14:textId="77777777" w:rsidR="001C19F3" w:rsidRPr="0038289C" w:rsidRDefault="001C19F3" w:rsidP="00521305">
            <w:pPr>
              <w:spacing w:after="0"/>
              <w:jc w:val="center"/>
              <w:rPr>
                <w:color w:val="000000" w:themeColor="text1"/>
                <w:sz w:val="18"/>
                <w:szCs w:val="18"/>
              </w:rPr>
            </w:pPr>
            <w:r w:rsidRPr="0038289C">
              <w:rPr>
                <w:color w:val="000000" w:themeColor="text1"/>
                <w:sz w:val="18"/>
                <w:szCs w:val="18"/>
              </w:rPr>
              <w:t>44</w:t>
            </w:r>
          </w:p>
        </w:tc>
      </w:tr>
    </w:tbl>
    <w:p w14:paraId="5B721638" w14:textId="77777777" w:rsidR="001C19F3" w:rsidRPr="00022783" w:rsidRDefault="001C19F3" w:rsidP="001C19F3">
      <w:pPr>
        <w:spacing w:after="0"/>
      </w:pPr>
    </w:p>
    <w:p w14:paraId="42CB4480" w14:textId="77777777" w:rsidR="001C19F3" w:rsidRDefault="001C19F3" w:rsidP="001C19F3">
      <w:pPr>
        <w:pStyle w:val="Heading2"/>
      </w:pPr>
      <w:bookmarkStart w:id="438" w:name="_Toc32586044"/>
      <w:r>
        <w:lastRenderedPageBreak/>
        <w:t>Linked data</w:t>
      </w:r>
      <w:bookmarkEnd w:id="438"/>
    </w:p>
    <w:p w14:paraId="0B0FBA65" w14:textId="77777777" w:rsidR="001C19F3" w:rsidRDefault="001C19F3" w:rsidP="001C19F3">
      <w:r w:rsidRPr="00343135">
        <w:t xml:space="preserve">The Commonwealth and state and territory governments have entered into </w:t>
      </w:r>
      <w:r w:rsidRPr="00343135">
        <w:rPr>
          <w:i/>
        </w:rPr>
        <w:t>Bilateral Agreements on Coordinated Care</w:t>
      </w:r>
      <w:r>
        <w:t xml:space="preserve">, </w:t>
      </w:r>
      <w:r w:rsidRPr="00343135">
        <w:t>which set out reforms to improve patient health outcomes and reduce avoidable demand for health services.</w:t>
      </w:r>
      <w:r>
        <w:t xml:space="preserve"> </w:t>
      </w:r>
      <w:r w:rsidRPr="00343135">
        <w:t>HCH is a key Com</w:t>
      </w:r>
      <w:r>
        <w:t>monwealth activity under these A</w:t>
      </w:r>
      <w:r w:rsidRPr="00343135">
        <w:t>greements. The Commonwealth and jurisdictions also agreed to share data and develop a linked data set to contribute to the evidence base for improving primary care, including through the evaluation of initiatives set out in the Bilateral Agreements, such as HCH.</w:t>
      </w:r>
    </w:p>
    <w:p w14:paraId="756E6AA3" w14:textId="77777777" w:rsidR="001C19F3" w:rsidRDefault="001C19F3" w:rsidP="001C19F3">
      <w:r>
        <w:t xml:space="preserve">The Department of Health commissioned the AIHW to create the </w:t>
      </w:r>
      <w:r w:rsidRPr="00FA479C">
        <w:t>Bilaterals data</w:t>
      </w:r>
      <w:r>
        <w:t xml:space="preserve"> </w:t>
      </w:r>
      <w:r w:rsidRPr="00FA479C">
        <w:t>set</w:t>
      </w:r>
      <w:r>
        <w:t xml:space="preserve"> linking MBS, PBS, hospital (emergency attendances and admissions) fact of death and aged care data. Following ethics approval, t</w:t>
      </w:r>
      <w:r w:rsidRPr="00887CC2">
        <w:t xml:space="preserve">he evaluation team worked with the Department of Health and the </w:t>
      </w:r>
      <w:r>
        <w:t xml:space="preserve">AIHW </w:t>
      </w:r>
      <w:r w:rsidRPr="00887CC2">
        <w:t>to agree on the number of non-HCH patients for which data would be obtained, from which to draw comparator patients</w:t>
      </w:r>
      <w:r>
        <w:t xml:space="preserve">. A sample of 100,000 patients from each PHN was settled on </w:t>
      </w:r>
      <w:r w:rsidRPr="00385FEA">
        <w:t>as the minimum required to evaluate HCH.</w:t>
      </w:r>
    </w:p>
    <w:p w14:paraId="27FDE707" w14:textId="77777777" w:rsidR="001C19F3" w:rsidRDefault="001C19F3" w:rsidP="001C19F3">
      <w:r>
        <w:t>A propensity scoring approach will be used to match HCH enrolees with comparators. One of the challenges is stratifying HCH enrolees and comparators into risk groups. To do this, Health Policy Analysis obtained a license from</w:t>
      </w:r>
      <w:r w:rsidRPr="00B817FE">
        <w:t xml:space="preserve"> Johns Hopkins</w:t>
      </w:r>
      <w:r>
        <w:t xml:space="preserve"> University for the</w:t>
      </w:r>
      <w:r w:rsidRPr="00B817FE">
        <w:t xml:space="preserve"> Adjusted Clinical Group® (ACG®) system</w:t>
      </w:r>
      <w:r>
        <w:t>.</w:t>
      </w:r>
    </w:p>
    <w:p w14:paraId="5294BC1A" w14:textId="77777777" w:rsidR="001C19F3" w:rsidRDefault="001C19F3" w:rsidP="001C19F3">
      <w:r>
        <w:t xml:space="preserve">An issue for the evaluation is that limited follow-up data may be available for the final report of the evaluation. </w:t>
      </w:r>
      <w:r>
        <w:fldChar w:fldCharType="begin"/>
      </w:r>
      <w:r>
        <w:instrText xml:space="preserve"> REF _Ref22895400 \h  \* MERGEFORMAT </w:instrText>
      </w:r>
      <w:r>
        <w:fldChar w:fldCharType="separate"/>
      </w:r>
      <w:r w:rsidRPr="00191669">
        <w:t>Table 6</w:t>
      </w:r>
      <w:r>
        <w:fldChar w:fldCharType="end"/>
      </w:r>
      <w:r>
        <w:t xml:space="preserve"> shows the current timeline of when these data will be available. </w:t>
      </w:r>
      <w:r w:rsidRPr="00385FEA">
        <w:t xml:space="preserve">Options are being explored to reduce the time lag for linked data to </w:t>
      </w:r>
      <w:r>
        <w:t>be</w:t>
      </w:r>
      <w:r w:rsidRPr="00385FEA">
        <w:t xml:space="preserve"> available.</w:t>
      </w:r>
    </w:p>
    <w:p w14:paraId="2F011301" w14:textId="77777777" w:rsidR="001C19F3" w:rsidRDefault="001C19F3" w:rsidP="001C19F3">
      <w:pPr>
        <w:spacing w:after="0"/>
        <w:jc w:val="center"/>
        <w:rPr>
          <w:rFonts w:ascii="Calibri" w:eastAsiaTheme="minorHAnsi" w:hAnsi="Calibri"/>
          <w:b/>
          <w:bCs/>
        </w:rPr>
      </w:pPr>
      <w:bookmarkStart w:id="439" w:name="_Ref22895400"/>
      <w:r>
        <w:rPr>
          <w:b/>
        </w:rPr>
        <w:t>Table</w:t>
      </w:r>
      <w:r w:rsidRPr="001D6F49">
        <w:rPr>
          <w:b/>
        </w:rPr>
        <w:t xml:space="preserve"> </w:t>
      </w:r>
      <w:r>
        <w:rPr>
          <w:rFonts w:cs="Arial"/>
          <w:b/>
          <w:color w:val="000000" w:themeColor="text1"/>
        </w:rPr>
        <w:fldChar w:fldCharType="begin"/>
      </w:r>
      <w:r>
        <w:rPr>
          <w:rFonts w:cs="Arial"/>
          <w:b/>
          <w:color w:val="000000" w:themeColor="text1"/>
        </w:rPr>
        <w:instrText xml:space="preserve"> SEQ Table \* ARABIC </w:instrText>
      </w:r>
      <w:r>
        <w:rPr>
          <w:rFonts w:cs="Arial"/>
          <w:b/>
          <w:color w:val="000000" w:themeColor="text1"/>
        </w:rPr>
        <w:fldChar w:fldCharType="separate"/>
      </w:r>
      <w:r>
        <w:rPr>
          <w:rFonts w:cs="Arial"/>
          <w:b/>
          <w:noProof/>
          <w:color w:val="000000" w:themeColor="text1"/>
        </w:rPr>
        <w:t>6</w:t>
      </w:r>
      <w:r>
        <w:rPr>
          <w:rFonts w:cs="Arial"/>
          <w:b/>
          <w:color w:val="000000" w:themeColor="text1"/>
        </w:rPr>
        <w:fldChar w:fldCharType="end"/>
      </w:r>
      <w:bookmarkEnd w:id="439"/>
      <w:r>
        <w:rPr>
          <w:b/>
        </w:rPr>
        <w:t xml:space="preserve"> – </w:t>
      </w:r>
      <w:r>
        <w:rPr>
          <w:b/>
          <w:bCs/>
        </w:rPr>
        <w:t>Plan for linked data being available for the evaluation</w:t>
      </w:r>
    </w:p>
    <w:tbl>
      <w:tblPr>
        <w:tblW w:w="5000" w:type="pct"/>
        <w:tblCellMar>
          <w:left w:w="0" w:type="dxa"/>
          <w:right w:w="0" w:type="dxa"/>
        </w:tblCellMar>
        <w:tblLook w:val="04A0" w:firstRow="1" w:lastRow="0" w:firstColumn="1" w:lastColumn="0" w:noHBand="0" w:noVBand="1"/>
      </w:tblPr>
      <w:tblGrid>
        <w:gridCol w:w="1683"/>
        <w:gridCol w:w="1465"/>
        <w:gridCol w:w="1465"/>
        <w:gridCol w:w="1465"/>
        <w:gridCol w:w="1464"/>
        <w:gridCol w:w="1464"/>
      </w:tblGrid>
      <w:tr w:rsidR="001C19F3" w14:paraId="1053146C" w14:textId="77777777" w:rsidTr="00521305">
        <w:tc>
          <w:tcPr>
            <w:tcW w:w="934" w:type="pct"/>
            <w:tcBorders>
              <w:top w:val="single" w:sz="8" w:space="0" w:color="BFBFBF"/>
              <w:left w:val="single" w:sz="8" w:space="0" w:color="BFBFBF"/>
              <w:bottom w:val="single" w:sz="8" w:space="0" w:color="BFBFBF"/>
              <w:right w:val="single" w:sz="8" w:space="0" w:color="BFBFBF"/>
            </w:tcBorders>
            <w:shd w:val="clear" w:color="auto" w:fill="003D79"/>
            <w:tcMar>
              <w:top w:w="0" w:type="dxa"/>
              <w:left w:w="108" w:type="dxa"/>
              <w:bottom w:w="0" w:type="dxa"/>
              <w:right w:w="108" w:type="dxa"/>
            </w:tcMar>
            <w:vAlign w:val="center"/>
            <w:hideMark/>
          </w:tcPr>
          <w:p w14:paraId="5742D3DF" w14:textId="77777777" w:rsidR="001C19F3" w:rsidRDefault="001C19F3" w:rsidP="00521305">
            <w:pPr>
              <w:jc w:val="center"/>
              <w:rPr>
                <w:b/>
                <w:bCs/>
                <w:color w:val="FFFFFF"/>
                <w:sz w:val="18"/>
                <w:szCs w:val="18"/>
              </w:rPr>
            </w:pPr>
            <w:r>
              <w:rPr>
                <w:b/>
                <w:bCs/>
                <w:color w:val="FFFFFF"/>
                <w:sz w:val="18"/>
                <w:szCs w:val="18"/>
              </w:rPr>
              <w:t>Expected date of data drop</w:t>
            </w:r>
          </w:p>
        </w:tc>
        <w:tc>
          <w:tcPr>
            <w:tcW w:w="813" w:type="pct"/>
            <w:tcBorders>
              <w:top w:val="single" w:sz="8" w:space="0" w:color="BFBFBF"/>
              <w:left w:val="nil"/>
              <w:bottom w:val="single" w:sz="8" w:space="0" w:color="BFBFBF"/>
              <w:right w:val="single" w:sz="8" w:space="0" w:color="BFBFBF"/>
            </w:tcBorders>
            <w:shd w:val="clear" w:color="auto" w:fill="003D79"/>
            <w:tcMar>
              <w:top w:w="0" w:type="dxa"/>
              <w:left w:w="108" w:type="dxa"/>
              <w:bottom w:w="0" w:type="dxa"/>
              <w:right w:w="108" w:type="dxa"/>
            </w:tcMar>
            <w:vAlign w:val="center"/>
            <w:hideMark/>
          </w:tcPr>
          <w:p w14:paraId="39C6E8EE" w14:textId="77777777" w:rsidR="001C19F3" w:rsidRDefault="001C19F3" w:rsidP="00521305">
            <w:pPr>
              <w:jc w:val="center"/>
              <w:rPr>
                <w:b/>
                <w:bCs/>
                <w:color w:val="FFFFFF"/>
                <w:sz w:val="18"/>
                <w:szCs w:val="18"/>
              </w:rPr>
            </w:pPr>
            <w:r>
              <w:rPr>
                <w:b/>
                <w:bCs/>
                <w:color w:val="FFFFFF"/>
                <w:sz w:val="18"/>
                <w:szCs w:val="18"/>
              </w:rPr>
              <w:t>HCH patients</w:t>
            </w:r>
          </w:p>
        </w:tc>
        <w:tc>
          <w:tcPr>
            <w:tcW w:w="813" w:type="pct"/>
            <w:tcBorders>
              <w:top w:val="single" w:sz="8" w:space="0" w:color="BFBFBF"/>
              <w:left w:val="nil"/>
              <w:bottom w:val="single" w:sz="8" w:space="0" w:color="BFBFBF"/>
              <w:right w:val="single" w:sz="8" w:space="0" w:color="BFBFBF"/>
            </w:tcBorders>
            <w:shd w:val="clear" w:color="auto" w:fill="003D79"/>
            <w:tcMar>
              <w:top w:w="0" w:type="dxa"/>
              <w:left w:w="108" w:type="dxa"/>
              <w:bottom w:w="0" w:type="dxa"/>
              <w:right w:w="108" w:type="dxa"/>
            </w:tcMar>
            <w:vAlign w:val="center"/>
            <w:hideMark/>
          </w:tcPr>
          <w:p w14:paraId="1EE2C0EA" w14:textId="77777777" w:rsidR="001C19F3" w:rsidRDefault="001C19F3" w:rsidP="00521305">
            <w:pPr>
              <w:jc w:val="center"/>
              <w:rPr>
                <w:b/>
                <w:bCs/>
                <w:color w:val="FFFFFF"/>
                <w:sz w:val="18"/>
                <w:szCs w:val="18"/>
              </w:rPr>
            </w:pPr>
            <w:r>
              <w:rPr>
                <w:b/>
                <w:bCs/>
                <w:color w:val="FFFFFF"/>
                <w:sz w:val="18"/>
                <w:szCs w:val="18"/>
              </w:rPr>
              <w:t>MBS/PBS data</w:t>
            </w:r>
            <w:r>
              <w:rPr>
                <w:b/>
                <w:bCs/>
                <w:color w:val="FFFFFF"/>
                <w:sz w:val="18"/>
                <w:szCs w:val="18"/>
                <w:vertAlign w:val="superscript"/>
              </w:rPr>
              <w:t>2</w:t>
            </w:r>
          </w:p>
        </w:tc>
        <w:tc>
          <w:tcPr>
            <w:tcW w:w="813" w:type="pct"/>
            <w:tcBorders>
              <w:top w:val="single" w:sz="8" w:space="0" w:color="BFBFBF"/>
              <w:left w:val="nil"/>
              <w:bottom w:val="single" w:sz="8" w:space="0" w:color="BFBFBF"/>
              <w:right w:val="single" w:sz="8" w:space="0" w:color="BFBFBF"/>
            </w:tcBorders>
            <w:shd w:val="clear" w:color="auto" w:fill="003D79"/>
            <w:tcMar>
              <w:top w:w="0" w:type="dxa"/>
              <w:left w:w="108" w:type="dxa"/>
              <w:bottom w:w="0" w:type="dxa"/>
              <w:right w:w="108" w:type="dxa"/>
            </w:tcMar>
            <w:vAlign w:val="center"/>
            <w:hideMark/>
          </w:tcPr>
          <w:p w14:paraId="7C0F8B4C" w14:textId="77777777" w:rsidR="001C19F3" w:rsidRDefault="001C19F3" w:rsidP="00521305">
            <w:pPr>
              <w:jc w:val="center"/>
              <w:rPr>
                <w:b/>
                <w:bCs/>
                <w:color w:val="FFFFFF"/>
                <w:sz w:val="18"/>
                <w:szCs w:val="18"/>
              </w:rPr>
            </w:pPr>
            <w:r>
              <w:rPr>
                <w:b/>
                <w:bCs/>
                <w:color w:val="FFFFFF"/>
                <w:sz w:val="18"/>
                <w:szCs w:val="18"/>
              </w:rPr>
              <w:t>Hospital data</w:t>
            </w:r>
            <w:r>
              <w:rPr>
                <w:b/>
                <w:bCs/>
                <w:color w:val="FFFFFF"/>
                <w:sz w:val="18"/>
                <w:szCs w:val="18"/>
                <w:vertAlign w:val="superscript"/>
              </w:rPr>
              <w:t>2</w:t>
            </w:r>
          </w:p>
        </w:tc>
        <w:tc>
          <w:tcPr>
            <w:tcW w:w="813" w:type="pct"/>
            <w:tcBorders>
              <w:top w:val="single" w:sz="8" w:space="0" w:color="BFBFBF"/>
              <w:left w:val="nil"/>
              <w:bottom w:val="single" w:sz="8" w:space="0" w:color="BFBFBF"/>
              <w:right w:val="single" w:sz="8" w:space="0" w:color="BFBFBF"/>
            </w:tcBorders>
            <w:shd w:val="clear" w:color="auto" w:fill="003D79"/>
            <w:vAlign w:val="center"/>
            <w:hideMark/>
          </w:tcPr>
          <w:p w14:paraId="7B5FEEF2" w14:textId="77777777" w:rsidR="001C19F3" w:rsidRDefault="001C19F3" w:rsidP="00521305">
            <w:pPr>
              <w:jc w:val="center"/>
              <w:rPr>
                <w:b/>
                <w:bCs/>
                <w:color w:val="FFFFFF"/>
                <w:sz w:val="18"/>
                <w:szCs w:val="18"/>
              </w:rPr>
            </w:pPr>
            <w:r>
              <w:rPr>
                <w:b/>
                <w:bCs/>
                <w:color w:val="FFFFFF"/>
                <w:sz w:val="18"/>
                <w:szCs w:val="18"/>
              </w:rPr>
              <w:t>Aged care</w:t>
            </w:r>
            <w:r>
              <w:rPr>
                <w:b/>
                <w:bCs/>
                <w:color w:val="FFFFFF"/>
                <w:sz w:val="18"/>
                <w:szCs w:val="18"/>
                <w:vertAlign w:val="superscript"/>
              </w:rPr>
              <w:t>2</w:t>
            </w:r>
          </w:p>
        </w:tc>
        <w:tc>
          <w:tcPr>
            <w:tcW w:w="813" w:type="pct"/>
            <w:tcBorders>
              <w:top w:val="single" w:sz="8" w:space="0" w:color="BFBFBF"/>
              <w:left w:val="nil"/>
              <w:bottom w:val="single" w:sz="8" w:space="0" w:color="BFBFBF"/>
              <w:right w:val="single" w:sz="8" w:space="0" w:color="BFBFBF"/>
            </w:tcBorders>
            <w:shd w:val="clear" w:color="auto" w:fill="003D79"/>
            <w:vAlign w:val="center"/>
            <w:hideMark/>
          </w:tcPr>
          <w:p w14:paraId="2A5EC25C" w14:textId="77777777" w:rsidR="001C19F3" w:rsidRDefault="001C19F3" w:rsidP="00521305">
            <w:pPr>
              <w:jc w:val="center"/>
              <w:rPr>
                <w:b/>
                <w:bCs/>
                <w:color w:val="FFFFFF"/>
                <w:sz w:val="18"/>
                <w:szCs w:val="18"/>
              </w:rPr>
            </w:pPr>
            <w:r>
              <w:rPr>
                <w:b/>
                <w:bCs/>
                <w:color w:val="FFFFFF"/>
                <w:sz w:val="18"/>
                <w:szCs w:val="18"/>
              </w:rPr>
              <w:t>National Death Index</w:t>
            </w:r>
            <w:r>
              <w:rPr>
                <w:b/>
                <w:bCs/>
                <w:color w:val="FFFFFF"/>
                <w:sz w:val="18"/>
                <w:szCs w:val="18"/>
                <w:vertAlign w:val="superscript"/>
              </w:rPr>
              <w:t>2</w:t>
            </w:r>
          </w:p>
        </w:tc>
      </w:tr>
      <w:tr w:rsidR="001C19F3" w14:paraId="1A0F8BFA" w14:textId="77777777" w:rsidTr="00521305">
        <w:tc>
          <w:tcPr>
            <w:tcW w:w="934" w:type="pct"/>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5E433445" w14:textId="77777777" w:rsidR="001C19F3" w:rsidRPr="00F52273" w:rsidRDefault="001C19F3" w:rsidP="00521305">
            <w:pPr>
              <w:rPr>
                <w:sz w:val="18"/>
                <w:szCs w:val="18"/>
              </w:rPr>
            </w:pPr>
            <w:r w:rsidRPr="00F52273">
              <w:rPr>
                <w:sz w:val="18"/>
                <w:szCs w:val="18"/>
              </w:rPr>
              <w:t>October 2019</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53392E61" w14:textId="77777777" w:rsidR="001C19F3" w:rsidRPr="00F52273" w:rsidRDefault="001C19F3" w:rsidP="00521305">
            <w:pPr>
              <w:jc w:val="center"/>
              <w:rPr>
                <w:sz w:val="18"/>
                <w:szCs w:val="18"/>
              </w:rPr>
            </w:pPr>
            <w:r w:rsidRPr="00F52273">
              <w:rPr>
                <w:sz w:val="18"/>
                <w:szCs w:val="18"/>
              </w:rPr>
              <w:t>Enrolled to 30 June 2019</w:t>
            </w:r>
            <w:r w:rsidRPr="00F52273">
              <w:rPr>
                <w:sz w:val="18"/>
                <w:szCs w:val="18"/>
                <w:vertAlign w:val="superscript"/>
              </w:rPr>
              <w:t>1</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53B52DFB" w14:textId="77777777" w:rsidR="001C19F3" w:rsidRPr="00F52273" w:rsidRDefault="001C19F3" w:rsidP="00521305">
            <w:pPr>
              <w:jc w:val="center"/>
              <w:rPr>
                <w:sz w:val="18"/>
                <w:szCs w:val="18"/>
              </w:rPr>
            </w:pPr>
            <w:r w:rsidRPr="00F52273">
              <w:rPr>
                <w:sz w:val="18"/>
                <w:szCs w:val="18"/>
              </w:rPr>
              <w:t>July 2015 - June 2017</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68B1E1DA" w14:textId="77777777" w:rsidR="001C19F3" w:rsidRPr="00F52273" w:rsidRDefault="001C19F3" w:rsidP="00521305">
            <w:pPr>
              <w:jc w:val="center"/>
              <w:rPr>
                <w:sz w:val="18"/>
                <w:szCs w:val="18"/>
              </w:rPr>
            </w:pPr>
            <w:r w:rsidRPr="00F52273">
              <w:rPr>
                <w:sz w:val="18"/>
                <w:szCs w:val="18"/>
              </w:rPr>
              <w:t>July 2015 - June 2017</w:t>
            </w:r>
          </w:p>
        </w:tc>
        <w:tc>
          <w:tcPr>
            <w:tcW w:w="813" w:type="pct"/>
            <w:tcBorders>
              <w:top w:val="nil"/>
              <w:left w:val="nil"/>
              <w:bottom w:val="single" w:sz="8" w:space="0" w:color="BFBFBF"/>
              <w:right w:val="single" w:sz="8" w:space="0" w:color="BFBFBF"/>
            </w:tcBorders>
            <w:hideMark/>
          </w:tcPr>
          <w:p w14:paraId="0B326913" w14:textId="77777777" w:rsidR="001C19F3" w:rsidRPr="00F52273" w:rsidRDefault="001C19F3" w:rsidP="00521305">
            <w:pPr>
              <w:jc w:val="center"/>
              <w:rPr>
                <w:sz w:val="18"/>
                <w:szCs w:val="18"/>
              </w:rPr>
            </w:pPr>
            <w:r w:rsidRPr="00F52273">
              <w:rPr>
                <w:sz w:val="18"/>
                <w:szCs w:val="18"/>
              </w:rPr>
              <w:t>July 2015 - June 2017</w:t>
            </w:r>
          </w:p>
        </w:tc>
        <w:tc>
          <w:tcPr>
            <w:tcW w:w="813" w:type="pct"/>
            <w:tcBorders>
              <w:top w:val="nil"/>
              <w:left w:val="nil"/>
              <w:bottom w:val="single" w:sz="8" w:space="0" w:color="BFBFBF"/>
              <w:right w:val="single" w:sz="8" w:space="0" w:color="BFBFBF"/>
            </w:tcBorders>
            <w:hideMark/>
          </w:tcPr>
          <w:p w14:paraId="27F5C190" w14:textId="77777777" w:rsidR="001C19F3" w:rsidRPr="00F52273" w:rsidRDefault="001C19F3" w:rsidP="00521305">
            <w:pPr>
              <w:jc w:val="center"/>
              <w:rPr>
                <w:sz w:val="18"/>
                <w:szCs w:val="18"/>
              </w:rPr>
            </w:pPr>
            <w:r w:rsidRPr="00F52273">
              <w:rPr>
                <w:sz w:val="18"/>
                <w:szCs w:val="18"/>
              </w:rPr>
              <w:t>July 2015 - June 2018</w:t>
            </w:r>
          </w:p>
        </w:tc>
      </w:tr>
      <w:tr w:rsidR="001C19F3" w14:paraId="55540EC2" w14:textId="77777777" w:rsidTr="00521305">
        <w:tc>
          <w:tcPr>
            <w:tcW w:w="934" w:type="pct"/>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6179C76A" w14:textId="77777777" w:rsidR="001C19F3" w:rsidRPr="00F52273" w:rsidRDefault="001C19F3" w:rsidP="00521305">
            <w:pPr>
              <w:rPr>
                <w:sz w:val="18"/>
                <w:szCs w:val="18"/>
              </w:rPr>
            </w:pPr>
            <w:r w:rsidRPr="00F52273">
              <w:rPr>
                <w:sz w:val="18"/>
                <w:szCs w:val="18"/>
              </w:rPr>
              <w:t>Mid-2020</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17E4264C" w14:textId="77777777" w:rsidR="001C19F3" w:rsidRPr="00F52273" w:rsidRDefault="001C19F3" w:rsidP="00521305">
            <w:pPr>
              <w:jc w:val="center"/>
              <w:rPr>
                <w:sz w:val="18"/>
                <w:szCs w:val="18"/>
              </w:rPr>
            </w:pPr>
            <w:r w:rsidRPr="00F52273">
              <w:rPr>
                <w:sz w:val="18"/>
                <w:szCs w:val="18"/>
              </w:rPr>
              <w:t>Enrolled to 30 June 2019</w:t>
            </w:r>
            <w:r w:rsidRPr="00F52273">
              <w:rPr>
                <w:sz w:val="18"/>
                <w:szCs w:val="18"/>
                <w:vertAlign w:val="superscript"/>
              </w:rPr>
              <w:t>1</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269DDD98" w14:textId="77777777" w:rsidR="001C19F3" w:rsidRPr="00F52273" w:rsidRDefault="001C19F3" w:rsidP="00521305">
            <w:pPr>
              <w:jc w:val="center"/>
              <w:rPr>
                <w:sz w:val="18"/>
                <w:szCs w:val="18"/>
              </w:rPr>
            </w:pPr>
            <w:r w:rsidRPr="00F52273">
              <w:rPr>
                <w:sz w:val="18"/>
                <w:szCs w:val="18"/>
              </w:rPr>
              <w:t>July 2017 - June 2019</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114ADB9A" w14:textId="77777777" w:rsidR="001C19F3" w:rsidRPr="00F52273" w:rsidRDefault="001C19F3" w:rsidP="00521305">
            <w:pPr>
              <w:jc w:val="center"/>
              <w:rPr>
                <w:sz w:val="18"/>
                <w:szCs w:val="18"/>
              </w:rPr>
            </w:pPr>
            <w:r w:rsidRPr="00F52273">
              <w:rPr>
                <w:sz w:val="18"/>
                <w:szCs w:val="18"/>
              </w:rPr>
              <w:t>July 2017 - June 2019</w:t>
            </w:r>
          </w:p>
        </w:tc>
        <w:tc>
          <w:tcPr>
            <w:tcW w:w="813" w:type="pct"/>
            <w:tcBorders>
              <w:top w:val="nil"/>
              <w:left w:val="nil"/>
              <w:bottom w:val="single" w:sz="8" w:space="0" w:color="BFBFBF"/>
              <w:right w:val="single" w:sz="8" w:space="0" w:color="BFBFBF"/>
            </w:tcBorders>
            <w:hideMark/>
          </w:tcPr>
          <w:p w14:paraId="7FD74C14" w14:textId="77777777" w:rsidR="001C19F3" w:rsidRPr="00F52273" w:rsidRDefault="001C19F3" w:rsidP="00521305">
            <w:pPr>
              <w:jc w:val="center"/>
              <w:rPr>
                <w:sz w:val="18"/>
                <w:szCs w:val="18"/>
              </w:rPr>
            </w:pPr>
            <w:r w:rsidRPr="00F52273">
              <w:rPr>
                <w:sz w:val="18"/>
                <w:szCs w:val="18"/>
              </w:rPr>
              <w:t>July 2017 - June 2019</w:t>
            </w:r>
          </w:p>
        </w:tc>
        <w:tc>
          <w:tcPr>
            <w:tcW w:w="813" w:type="pct"/>
            <w:tcBorders>
              <w:top w:val="nil"/>
              <w:left w:val="nil"/>
              <w:bottom w:val="single" w:sz="8" w:space="0" w:color="BFBFBF"/>
              <w:right w:val="single" w:sz="8" w:space="0" w:color="BFBFBF"/>
            </w:tcBorders>
            <w:hideMark/>
          </w:tcPr>
          <w:p w14:paraId="018E90C2" w14:textId="77777777" w:rsidR="001C19F3" w:rsidRPr="00F52273" w:rsidRDefault="001C19F3" w:rsidP="00521305">
            <w:pPr>
              <w:jc w:val="center"/>
              <w:rPr>
                <w:sz w:val="18"/>
                <w:szCs w:val="18"/>
              </w:rPr>
            </w:pPr>
            <w:r w:rsidRPr="00F52273">
              <w:rPr>
                <w:sz w:val="18"/>
                <w:szCs w:val="18"/>
              </w:rPr>
              <w:t>July 2017 - June 2019</w:t>
            </w:r>
          </w:p>
        </w:tc>
      </w:tr>
      <w:tr w:rsidR="001C19F3" w14:paraId="79D96A7C" w14:textId="77777777" w:rsidTr="00521305">
        <w:tc>
          <w:tcPr>
            <w:tcW w:w="934" w:type="pct"/>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14C70FBB" w14:textId="77777777" w:rsidR="001C19F3" w:rsidRPr="00F52273" w:rsidRDefault="001C19F3" w:rsidP="00521305">
            <w:pPr>
              <w:rPr>
                <w:sz w:val="18"/>
                <w:szCs w:val="18"/>
              </w:rPr>
            </w:pPr>
            <w:r w:rsidRPr="00F52273">
              <w:rPr>
                <w:sz w:val="18"/>
                <w:szCs w:val="18"/>
              </w:rPr>
              <w:t>Mid-2021</w:t>
            </w:r>
            <w:r w:rsidRPr="00F52273">
              <w:rPr>
                <w:sz w:val="18"/>
                <w:szCs w:val="18"/>
                <w:vertAlign w:val="superscript"/>
              </w:rPr>
              <w:t>3</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33B3436A" w14:textId="77777777" w:rsidR="001C19F3" w:rsidRPr="00F52273" w:rsidRDefault="001C19F3" w:rsidP="00521305">
            <w:pPr>
              <w:jc w:val="center"/>
              <w:rPr>
                <w:sz w:val="18"/>
                <w:szCs w:val="18"/>
              </w:rPr>
            </w:pPr>
            <w:r w:rsidRPr="00F52273">
              <w:rPr>
                <w:sz w:val="18"/>
                <w:szCs w:val="18"/>
              </w:rPr>
              <w:t>Enrolled to 30 June 2019</w:t>
            </w:r>
            <w:r w:rsidRPr="00F52273">
              <w:rPr>
                <w:sz w:val="18"/>
                <w:szCs w:val="18"/>
                <w:vertAlign w:val="superscript"/>
              </w:rPr>
              <w:t>1</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7F2E021C" w14:textId="77777777" w:rsidR="001C19F3" w:rsidRPr="00F52273" w:rsidRDefault="001C19F3" w:rsidP="00521305">
            <w:pPr>
              <w:jc w:val="center"/>
              <w:rPr>
                <w:sz w:val="18"/>
                <w:szCs w:val="18"/>
              </w:rPr>
            </w:pPr>
            <w:r w:rsidRPr="00F52273">
              <w:rPr>
                <w:sz w:val="18"/>
                <w:szCs w:val="18"/>
              </w:rPr>
              <w:t>July 2019 - Dec 2021</w:t>
            </w:r>
          </w:p>
        </w:tc>
        <w:tc>
          <w:tcPr>
            <w:tcW w:w="813" w:type="pct"/>
            <w:tcBorders>
              <w:top w:val="nil"/>
              <w:left w:val="nil"/>
              <w:bottom w:val="single" w:sz="8" w:space="0" w:color="BFBFBF"/>
              <w:right w:val="single" w:sz="8" w:space="0" w:color="BFBFBF"/>
            </w:tcBorders>
            <w:tcMar>
              <w:top w:w="0" w:type="dxa"/>
              <w:left w:w="108" w:type="dxa"/>
              <w:bottom w:w="0" w:type="dxa"/>
              <w:right w:w="108" w:type="dxa"/>
            </w:tcMar>
            <w:hideMark/>
          </w:tcPr>
          <w:p w14:paraId="2313ECC0" w14:textId="77777777" w:rsidR="001C19F3" w:rsidRPr="00F52273" w:rsidRDefault="001C19F3" w:rsidP="00521305">
            <w:pPr>
              <w:jc w:val="center"/>
              <w:rPr>
                <w:sz w:val="18"/>
                <w:szCs w:val="18"/>
              </w:rPr>
            </w:pPr>
            <w:r w:rsidRPr="00F52273">
              <w:rPr>
                <w:sz w:val="18"/>
                <w:szCs w:val="18"/>
              </w:rPr>
              <w:t>July 2019 - Dec 2021</w:t>
            </w:r>
          </w:p>
        </w:tc>
        <w:tc>
          <w:tcPr>
            <w:tcW w:w="813" w:type="pct"/>
            <w:tcBorders>
              <w:top w:val="nil"/>
              <w:left w:val="nil"/>
              <w:bottom w:val="single" w:sz="8" w:space="0" w:color="BFBFBF"/>
              <w:right w:val="single" w:sz="8" w:space="0" w:color="BFBFBF"/>
            </w:tcBorders>
            <w:hideMark/>
          </w:tcPr>
          <w:p w14:paraId="4E6E4FE6" w14:textId="77777777" w:rsidR="001C19F3" w:rsidRPr="00F52273" w:rsidRDefault="001C19F3" w:rsidP="00521305">
            <w:pPr>
              <w:jc w:val="center"/>
              <w:rPr>
                <w:sz w:val="18"/>
                <w:szCs w:val="18"/>
              </w:rPr>
            </w:pPr>
            <w:r w:rsidRPr="00F52273">
              <w:rPr>
                <w:sz w:val="18"/>
                <w:szCs w:val="18"/>
              </w:rPr>
              <w:t>July 2019 - Dec 2021</w:t>
            </w:r>
          </w:p>
        </w:tc>
        <w:tc>
          <w:tcPr>
            <w:tcW w:w="813" w:type="pct"/>
            <w:tcBorders>
              <w:top w:val="nil"/>
              <w:left w:val="nil"/>
              <w:bottom w:val="single" w:sz="8" w:space="0" w:color="BFBFBF"/>
              <w:right w:val="single" w:sz="8" w:space="0" w:color="BFBFBF"/>
            </w:tcBorders>
            <w:hideMark/>
          </w:tcPr>
          <w:p w14:paraId="78FC15B3" w14:textId="77777777" w:rsidR="001C19F3" w:rsidRPr="00F52273" w:rsidRDefault="001C19F3" w:rsidP="00521305">
            <w:pPr>
              <w:jc w:val="center"/>
              <w:rPr>
                <w:sz w:val="18"/>
                <w:szCs w:val="18"/>
              </w:rPr>
            </w:pPr>
            <w:r w:rsidRPr="00F52273">
              <w:rPr>
                <w:sz w:val="18"/>
                <w:szCs w:val="18"/>
              </w:rPr>
              <w:t>July 2019 - Dec 2021</w:t>
            </w:r>
          </w:p>
        </w:tc>
      </w:tr>
    </w:tbl>
    <w:p w14:paraId="24D71DFF" w14:textId="77777777" w:rsidR="001C19F3" w:rsidRPr="00F52273" w:rsidRDefault="001C19F3" w:rsidP="001C19F3">
      <w:pPr>
        <w:pStyle w:val="Chartortablefootnote"/>
        <w:rPr>
          <w:color w:val="003D79"/>
        </w:rPr>
      </w:pPr>
      <w:bookmarkStart w:id="440" w:name="_Hlk29455404"/>
      <w:r w:rsidRPr="00F52273">
        <w:rPr>
          <w:vertAlign w:val="superscript"/>
        </w:rPr>
        <w:t xml:space="preserve">1 </w:t>
      </w:r>
      <w:r w:rsidRPr="00F52273">
        <w:t xml:space="preserve">This will be </w:t>
      </w:r>
      <w:r>
        <w:t xml:space="preserve">for </w:t>
      </w:r>
      <w:r w:rsidRPr="00F52273">
        <w:t>all patients enrolled in HCH</w:t>
      </w:r>
      <w:r>
        <w:t xml:space="preserve">. </w:t>
      </w:r>
      <w:r w:rsidRPr="00F52273">
        <w:rPr>
          <w:vertAlign w:val="superscript"/>
        </w:rPr>
        <w:t xml:space="preserve">2 </w:t>
      </w:r>
      <w:bookmarkEnd w:id="440"/>
      <w:r w:rsidRPr="00F52273">
        <w:t>Each subsequent data drop incorporates data in scope of previous drop in case of any updates.</w:t>
      </w:r>
      <w:r>
        <w:t xml:space="preserve"> </w:t>
      </w:r>
      <w:r w:rsidRPr="00F52273">
        <w:rPr>
          <w:vertAlign w:val="superscript"/>
        </w:rPr>
        <w:t>3</w:t>
      </w:r>
      <w:r w:rsidRPr="00F52273">
        <w:t xml:space="preserve"> The third data</w:t>
      </w:r>
      <w:r>
        <w:t xml:space="preserve"> drop</w:t>
      </w:r>
      <w:r w:rsidRPr="00F52273">
        <w:t xml:space="preserve"> is </w:t>
      </w:r>
      <w:r>
        <w:t>yet t</w:t>
      </w:r>
      <w:r w:rsidRPr="00F52273">
        <w:t>o be negotiated</w:t>
      </w:r>
      <w:r>
        <w:t>.</w:t>
      </w:r>
    </w:p>
    <w:p w14:paraId="6BA6785B" w14:textId="77777777" w:rsidR="001C19F3" w:rsidRDefault="001C19F3" w:rsidP="001C19F3">
      <w:pPr>
        <w:pStyle w:val="Heading2"/>
      </w:pPr>
      <w:bookmarkStart w:id="441" w:name="_Toc32586045"/>
      <w:r>
        <w:t>MBS quarterly extracts</w:t>
      </w:r>
      <w:bookmarkEnd w:id="441"/>
    </w:p>
    <w:p w14:paraId="6C642827" w14:textId="77777777" w:rsidR="001C19F3" w:rsidRDefault="001C19F3" w:rsidP="001C19F3">
      <w:r w:rsidRPr="004C4794">
        <w:t xml:space="preserve">It was initially planned for the evaluation to have access to quarterly extracts of MBS and PBS </w:t>
      </w:r>
      <w:r>
        <w:t>data for</w:t>
      </w:r>
      <w:r w:rsidRPr="004C4794">
        <w:t xml:space="preserve"> enrolled HCH patients and comparator</w:t>
      </w:r>
      <w:r>
        <w:t xml:space="preserve"> patients</w:t>
      </w:r>
      <w:r w:rsidRPr="004C4794">
        <w:t xml:space="preserve">. </w:t>
      </w:r>
      <w:r>
        <w:t xml:space="preserve">Although this information was to be available in the linked data, the time lag in receiving the linked data was one of the considerations in requesting it separately. This decision to request it was revisited following further information on the HCH program data that would be provided for the evaluation, which contains some MBS data for HCH enrolees. One of the arguments around timelines was to include some of these data in the benchmarking reports to be provided to practices and PHNs (see below). However, it was decided subsequently that the benchmarking reports </w:t>
      </w:r>
      <w:r>
        <w:lastRenderedPageBreak/>
        <w:t xml:space="preserve">would be </w:t>
      </w:r>
      <w:r w:rsidRPr="004C4794">
        <w:t xml:space="preserve">based on the practice </w:t>
      </w:r>
      <w:r>
        <w:t>extracts</w:t>
      </w:r>
      <w:r w:rsidRPr="004C4794">
        <w:t xml:space="preserve"> (drawing some comparisons with </w:t>
      </w:r>
      <w:r>
        <w:t>the HCH program data</w:t>
      </w:r>
      <w:r w:rsidRPr="004C4794">
        <w:t>).</w:t>
      </w:r>
      <w:r>
        <w:t xml:space="preserve"> Therefore, the quarterly MBS and PBS extracts were not pursued.</w:t>
      </w:r>
    </w:p>
    <w:p w14:paraId="59654BFD" w14:textId="77777777" w:rsidR="001C19F3" w:rsidRDefault="001C19F3" w:rsidP="001C19F3">
      <w:pPr>
        <w:pStyle w:val="Heading2"/>
      </w:pPr>
      <w:bookmarkStart w:id="442" w:name="_Toc32586046"/>
      <w:r>
        <w:t>HCH program data</w:t>
      </w:r>
      <w:bookmarkEnd w:id="442"/>
    </w:p>
    <w:p w14:paraId="1E211170" w14:textId="77777777" w:rsidR="001C19F3" w:rsidRDefault="001C19F3" w:rsidP="001C19F3">
      <w:r>
        <w:t xml:space="preserve">The Department of Health maintains a database of participating practices that includes geographic location, type of practice (i.e. independent, corporately owned, or ACCHS), information technology (IT) systems used, and other characteristics to assess eligibility for the program. These data been provided for the evaluation. </w:t>
      </w:r>
    </w:p>
    <w:p w14:paraId="75A6B812" w14:textId="77777777" w:rsidR="001C19F3" w:rsidRDefault="001C19F3" w:rsidP="001C19F3">
      <w:r>
        <w:t>The Department of Health also negotiated with the Department of Human Services to receive the following data related to the administration of HCH:</w:t>
      </w:r>
    </w:p>
    <w:p w14:paraId="17F08832" w14:textId="77777777" w:rsidR="001C19F3" w:rsidRDefault="001C19F3" w:rsidP="001C19F3">
      <w:pPr>
        <w:pStyle w:val="ListParagraph"/>
        <w:numPr>
          <w:ilvl w:val="0"/>
          <w:numId w:val="98"/>
        </w:numPr>
      </w:pPr>
      <w:r>
        <w:t>Summary of enrolments by practice and risk tier. These data are derived from the HCH registrations in the Health Professional Online Services (HPOS) system.</w:t>
      </w:r>
    </w:p>
    <w:p w14:paraId="01A5B12C" w14:textId="77777777" w:rsidR="001C19F3" w:rsidRDefault="001C19F3" w:rsidP="001C19F3">
      <w:pPr>
        <w:pStyle w:val="ListParagraph"/>
        <w:numPr>
          <w:ilvl w:val="0"/>
          <w:numId w:val="98"/>
        </w:numPr>
      </w:pPr>
      <w:r>
        <w:t>Claims made by enrolled patients separate to the bundled payment from HCH and non-HCH practices (by MBS Item No.).</w:t>
      </w:r>
    </w:p>
    <w:p w14:paraId="4C8A91A4" w14:textId="77777777" w:rsidR="001C19F3" w:rsidRDefault="001C19F3" w:rsidP="001C19F3">
      <w:pPr>
        <w:pStyle w:val="ListParagraph"/>
        <w:numPr>
          <w:ilvl w:val="0"/>
          <w:numId w:val="98"/>
        </w:numPr>
      </w:pPr>
      <w:r>
        <w:t>MBS claims by practices for HCH enrolees.</w:t>
      </w:r>
    </w:p>
    <w:p w14:paraId="7B02244E" w14:textId="77777777" w:rsidR="001C19F3" w:rsidRDefault="001C19F3" w:rsidP="001C19F3">
      <w:pPr>
        <w:pStyle w:val="ListParagraph"/>
        <w:numPr>
          <w:ilvl w:val="0"/>
          <w:numId w:val="98"/>
        </w:numPr>
      </w:pPr>
      <w:r>
        <w:t>Demographic and socio-economic characteristics of enrolled patients (HCH start and end dates, age, sex, SEIFA, concession card status, risk tier over time).</w:t>
      </w:r>
    </w:p>
    <w:p w14:paraId="1C37C6F0" w14:textId="77777777" w:rsidR="001C19F3" w:rsidRDefault="001C19F3" w:rsidP="001C19F3">
      <w:r>
        <w:t>These data are being used for the evaluation.</w:t>
      </w:r>
    </w:p>
    <w:p w14:paraId="22D7AFBE" w14:textId="77777777" w:rsidR="001C19F3" w:rsidRDefault="001C19F3" w:rsidP="001C19F3">
      <w:pPr>
        <w:pStyle w:val="Heading2"/>
      </w:pPr>
      <w:bookmarkStart w:id="443" w:name="_Toc32586047"/>
      <w:r>
        <w:t>Risk stratification data</w:t>
      </w:r>
      <w:bookmarkEnd w:id="443"/>
    </w:p>
    <w:p w14:paraId="477DDB99" w14:textId="77777777" w:rsidR="001C19F3" w:rsidRDefault="001C19F3" w:rsidP="001C19F3">
      <w:r>
        <w:t>The RST generates a de-identified data set to be used for refining the tool containing the following variables:</w:t>
      </w:r>
    </w:p>
    <w:p w14:paraId="425E52AD" w14:textId="77777777" w:rsidR="001C19F3" w:rsidRDefault="001C19F3" w:rsidP="001C19F3">
      <w:pPr>
        <w:pStyle w:val="ListParagraph"/>
        <w:numPr>
          <w:ilvl w:val="0"/>
          <w:numId w:val="98"/>
        </w:numPr>
      </w:pPr>
      <w:r>
        <w:t>creation date</w:t>
      </w:r>
    </w:p>
    <w:p w14:paraId="37968560" w14:textId="77777777" w:rsidR="001C19F3" w:rsidRDefault="001C19F3" w:rsidP="001C19F3">
      <w:pPr>
        <w:pStyle w:val="ListParagraph"/>
        <w:numPr>
          <w:ilvl w:val="0"/>
          <w:numId w:val="98"/>
        </w:numPr>
      </w:pPr>
      <w:r>
        <w:t>expiry date</w:t>
      </w:r>
    </w:p>
    <w:p w14:paraId="24877524" w14:textId="77777777" w:rsidR="001C19F3" w:rsidRDefault="001C19F3" w:rsidP="001C19F3">
      <w:pPr>
        <w:pStyle w:val="ListParagraph"/>
        <w:numPr>
          <w:ilvl w:val="0"/>
          <w:numId w:val="98"/>
        </w:numPr>
      </w:pPr>
      <w:r>
        <w:t>patient hash (anonymous ID)</w:t>
      </w:r>
    </w:p>
    <w:p w14:paraId="7BA5A191" w14:textId="77777777" w:rsidR="001C19F3" w:rsidRDefault="001C19F3" w:rsidP="001C19F3">
      <w:pPr>
        <w:pStyle w:val="ListParagraph"/>
        <w:numPr>
          <w:ilvl w:val="0"/>
          <w:numId w:val="98"/>
        </w:numPr>
      </w:pPr>
      <w:r>
        <w:t>organisation ID (practice ID)</w:t>
      </w:r>
    </w:p>
    <w:p w14:paraId="1C34406C" w14:textId="77777777" w:rsidR="001C19F3" w:rsidRDefault="001C19F3" w:rsidP="001C19F3">
      <w:pPr>
        <w:pStyle w:val="ListParagraph"/>
        <w:numPr>
          <w:ilvl w:val="0"/>
          <w:numId w:val="98"/>
        </w:numPr>
      </w:pPr>
      <w:r>
        <w:t>risk stratification score (score generated by PRM)</w:t>
      </w:r>
    </w:p>
    <w:p w14:paraId="1B9835BF" w14:textId="77777777" w:rsidR="001C19F3" w:rsidRDefault="001C19F3" w:rsidP="001C19F3">
      <w:pPr>
        <w:pStyle w:val="ListParagraph"/>
        <w:numPr>
          <w:ilvl w:val="0"/>
          <w:numId w:val="98"/>
        </w:numPr>
      </w:pPr>
      <w:r>
        <w:t>HARP score</w:t>
      </w:r>
    </w:p>
    <w:p w14:paraId="395290F1" w14:textId="77777777" w:rsidR="001C19F3" w:rsidRDefault="001C19F3" w:rsidP="001C19F3">
      <w:pPr>
        <w:pStyle w:val="ListParagraph"/>
        <w:numPr>
          <w:ilvl w:val="0"/>
          <w:numId w:val="98"/>
        </w:numPr>
      </w:pPr>
      <w:r>
        <w:t>HCH risk tier</w:t>
      </w:r>
    </w:p>
    <w:p w14:paraId="2F8F3C01" w14:textId="77777777" w:rsidR="001C19F3" w:rsidRDefault="001C19F3" w:rsidP="001C19F3">
      <w:pPr>
        <w:pStyle w:val="ListParagraph"/>
        <w:numPr>
          <w:ilvl w:val="0"/>
          <w:numId w:val="98"/>
        </w:numPr>
      </w:pPr>
      <w:r>
        <w:t>reason (if not determined 'at risk').</w:t>
      </w:r>
    </w:p>
    <w:p w14:paraId="24FDACA9" w14:textId="77777777" w:rsidR="001C19F3" w:rsidRDefault="001C19F3" w:rsidP="001C19F3">
      <w:r>
        <w:t>These data have been made available for the evaluation.</w:t>
      </w:r>
    </w:p>
    <w:p w14:paraId="32D58F03" w14:textId="77777777" w:rsidR="001C19F3" w:rsidRDefault="001C19F3" w:rsidP="001C19F3">
      <w:pPr>
        <w:pStyle w:val="Heading2"/>
      </w:pPr>
      <w:bookmarkStart w:id="444" w:name="_Toc32586048"/>
      <w:r>
        <w:t>Practice exit interviews/ surveys</w:t>
      </w:r>
      <w:bookmarkEnd w:id="444"/>
    </w:p>
    <w:p w14:paraId="45DC21BC" w14:textId="77777777" w:rsidR="001C19F3" w:rsidRDefault="001C19F3" w:rsidP="001C19F3">
      <w:r>
        <w:t>Practices’ reasons from withdrawing from HCH provide valuable insights. For practices withdrawing prior to 1 December 2017, Health Policy Analysis analysed email exchanges between the practice and the Department of Health of reasons for withdrawal. For practices withdrawing subsequently, Health Policy Analysis created a short open-ended survey exploring the reasons for withdrawal and conducted interviews with practices. In August 2018, the survey was implemented online. The Department provided a link to practices withdrawing from HCH. Where practices agree to it, Health Policy Analysis has interviewed them to ask about their reasons for withdrawing.</w:t>
      </w:r>
    </w:p>
    <w:p w14:paraId="2906F341" w14:textId="77777777" w:rsidR="001C19F3" w:rsidRDefault="001C19F3" w:rsidP="001C19F3">
      <w:pPr>
        <w:pStyle w:val="Heading2"/>
      </w:pPr>
      <w:bookmarkStart w:id="445" w:name="_Toc32586049"/>
      <w:r>
        <w:lastRenderedPageBreak/>
        <w:t>Training uptake and evaluation</w:t>
      </w:r>
      <w:bookmarkEnd w:id="445"/>
    </w:p>
    <w:p w14:paraId="0AAEC2CF" w14:textId="77777777" w:rsidR="001C19F3" w:rsidRDefault="001C19F3" w:rsidP="001C19F3">
      <w:r>
        <w:t>AGPAL collected statistics on the individuals and practices accessing the online learning modules, including how many modules were started and completed, and before-and-after knowledge. AGPAL also evaluated the workshops and coaching webinars. AGPAL compiled a report which it made available for the evaluation.</w:t>
      </w:r>
    </w:p>
    <w:p w14:paraId="6D742988" w14:textId="77777777" w:rsidR="001C19F3" w:rsidRDefault="001C19F3" w:rsidP="001C19F3">
      <w:pPr>
        <w:pStyle w:val="Heading2"/>
      </w:pPr>
      <w:bookmarkStart w:id="446" w:name="_Toc32586050"/>
      <w:r>
        <w:t>Other information sources for the evaluation</w:t>
      </w:r>
      <w:bookmarkEnd w:id="446"/>
    </w:p>
    <w:p w14:paraId="1C6A384D" w14:textId="77777777" w:rsidR="001C19F3" w:rsidRDefault="001C19F3" w:rsidP="001C19F3">
      <w:r>
        <w:t>The Department of Health and Health Policy Analysis meet regularly (approximately every three weeks) to manage the evaluation. The meetings are minuted and these records have been used towards the descriptions of the implementation in this report, and will continue to be a source of information for the evaluation.</w:t>
      </w:r>
    </w:p>
    <w:p w14:paraId="31FE990C" w14:textId="77777777" w:rsidR="001C19F3" w:rsidRDefault="001C19F3" w:rsidP="001C19F3">
      <w:r>
        <w:t>Health Policy Analysis also interviewed Department staff in October 2017 to obtain information in relation to specific aspects of the implementation, such as the RST and the practice recruitment process. The interviews were recorded and transcribed, and also used towards the evaluation.</w:t>
      </w:r>
    </w:p>
    <w:p w14:paraId="0F42283F" w14:textId="77777777" w:rsidR="001C19F3" w:rsidRPr="00022783" w:rsidRDefault="001C19F3" w:rsidP="001C19F3">
      <w:pPr>
        <w:sectPr w:rsidR="001C19F3" w:rsidRPr="00022783" w:rsidSect="001C5D9E">
          <w:headerReference w:type="first" r:id="rId108"/>
          <w:pgSz w:w="11906" w:h="16838"/>
          <w:pgMar w:top="1440" w:right="1440" w:bottom="1440" w:left="1440" w:header="708" w:footer="708" w:gutter="0"/>
          <w:cols w:space="708"/>
          <w:titlePg/>
          <w:docGrid w:linePitch="360"/>
        </w:sectPr>
      </w:pPr>
    </w:p>
    <w:p w14:paraId="780EA5EA" w14:textId="77777777" w:rsidR="001C19F3" w:rsidRPr="004C4794" w:rsidRDefault="001C19F3" w:rsidP="001C19F3">
      <w:pPr>
        <w:pStyle w:val="Heading1withnumber"/>
        <w:ind w:left="0" w:hanging="1134"/>
      </w:pPr>
      <w:bookmarkStart w:id="447" w:name="_Toc32586051"/>
      <w:r w:rsidRPr="004C4794">
        <w:lastRenderedPageBreak/>
        <w:t>Benchmark reports</w:t>
      </w:r>
      <w:bookmarkEnd w:id="447"/>
    </w:p>
    <w:p w14:paraId="65000894" w14:textId="77777777" w:rsidR="001C19F3" w:rsidRDefault="001C19F3" w:rsidP="001C19F3">
      <w:r>
        <w:t xml:space="preserve">This Chapter describes the benchmark reports that have been </w:t>
      </w:r>
      <w:r w:rsidRPr="00337292">
        <w:t xml:space="preserve">provided to </w:t>
      </w:r>
      <w:r>
        <w:t>HCH practices and PHNs.</w:t>
      </w:r>
    </w:p>
    <w:p w14:paraId="4D55F84C" w14:textId="77777777" w:rsidR="001C19F3" w:rsidRDefault="001C19F3" w:rsidP="001C19F3">
      <w:pPr>
        <w:pStyle w:val="Heading2"/>
      </w:pPr>
      <w:bookmarkStart w:id="448" w:name="_Toc32586052"/>
      <w:r>
        <w:t>Aims</w:t>
      </w:r>
      <w:bookmarkEnd w:id="448"/>
    </w:p>
    <w:p w14:paraId="76234FFA" w14:textId="77777777" w:rsidR="001C19F3" w:rsidRDefault="001C19F3" w:rsidP="001C19F3">
      <w:r>
        <w:t xml:space="preserve">The benchmark reports were initially proposed by </w:t>
      </w:r>
      <w:r w:rsidRPr="00B4084E">
        <w:t xml:space="preserve">the </w:t>
      </w:r>
      <w:r>
        <w:t xml:space="preserve">EWG as a way of </w:t>
      </w:r>
      <w:r w:rsidRPr="00B4084E">
        <w:t>giv</w:t>
      </w:r>
      <w:r>
        <w:t xml:space="preserve">ing </w:t>
      </w:r>
      <w:r w:rsidRPr="00B4084E">
        <w:t xml:space="preserve">something back to </w:t>
      </w:r>
      <w:r>
        <w:t xml:space="preserve">the </w:t>
      </w:r>
      <w:r w:rsidRPr="00B4084E">
        <w:t xml:space="preserve">practices </w:t>
      </w:r>
      <w:r>
        <w:t xml:space="preserve">for supplying practice </w:t>
      </w:r>
      <w:r w:rsidRPr="00B4084E">
        <w:t>data</w:t>
      </w:r>
      <w:r>
        <w:t xml:space="preserve"> extracts for the HCH evaluation. They were also aimed at helping practices identify areas for improvement in their data, such as the completeness and quality of data collected</w:t>
      </w:r>
      <w:r w:rsidRPr="00B4084E">
        <w:t xml:space="preserve">. </w:t>
      </w:r>
    </w:p>
    <w:p w14:paraId="43C017E4" w14:textId="77777777" w:rsidR="001C19F3" w:rsidRPr="00B4084E" w:rsidRDefault="001C19F3" w:rsidP="001C19F3">
      <w:r>
        <w:t>The practice and PHN benchmark provide the following information to practices</w:t>
      </w:r>
      <w:r w:rsidRPr="00B4084E">
        <w:t>:</w:t>
      </w:r>
    </w:p>
    <w:p w14:paraId="3B615939" w14:textId="77777777" w:rsidR="001C19F3" w:rsidRPr="00F52273" w:rsidRDefault="001C19F3" w:rsidP="001C19F3">
      <w:pPr>
        <w:pStyle w:val="ListParagraph"/>
        <w:numPr>
          <w:ilvl w:val="0"/>
          <w:numId w:val="104"/>
        </w:numPr>
        <w:ind w:left="714" w:hanging="357"/>
        <w:contextualSpacing w:val="0"/>
        <w:rPr>
          <w:szCs w:val="20"/>
        </w:rPr>
      </w:pPr>
      <w:r w:rsidRPr="00F52273">
        <w:rPr>
          <w:szCs w:val="20"/>
        </w:rPr>
        <w:t>An assessment of completeness of practice data, including the recording of HCH enrolled patients.</w:t>
      </w:r>
    </w:p>
    <w:p w14:paraId="20A8BFEB" w14:textId="77777777" w:rsidR="001C19F3" w:rsidRPr="00F52273" w:rsidRDefault="001C19F3" w:rsidP="001C19F3">
      <w:pPr>
        <w:pStyle w:val="ListParagraph"/>
        <w:numPr>
          <w:ilvl w:val="0"/>
          <w:numId w:val="104"/>
        </w:numPr>
        <w:ind w:left="714" w:hanging="357"/>
        <w:contextualSpacing w:val="0"/>
        <w:rPr>
          <w:szCs w:val="20"/>
        </w:rPr>
      </w:pPr>
      <w:r w:rsidRPr="00F52273">
        <w:rPr>
          <w:szCs w:val="20"/>
        </w:rPr>
        <w:t>An indication of quality of care processes, that is, whether the practices have recorded key health measures (e.g. smoking status, body height, body weight) and timeliness of patient examinations and tests (e.g. blood pressure, pulse, lipids, kidney function, HbA1c).</w:t>
      </w:r>
    </w:p>
    <w:p w14:paraId="04D7568B" w14:textId="77777777" w:rsidR="001C19F3" w:rsidRPr="00B4084E" w:rsidRDefault="001C19F3" w:rsidP="001C19F3">
      <w:pPr>
        <w:pStyle w:val="ListParagraph"/>
        <w:numPr>
          <w:ilvl w:val="0"/>
          <w:numId w:val="3"/>
        </w:numPr>
        <w:rPr>
          <w:szCs w:val="20"/>
        </w:rPr>
      </w:pPr>
      <w:r w:rsidRPr="00B4084E">
        <w:rPr>
          <w:szCs w:val="20"/>
        </w:rPr>
        <w:t xml:space="preserve">An understanding of </w:t>
      </w:r>
      <w:r>
        <w:rPr>
          <w:szCs w:val="20"/>
        </w:rPr>
        <w:t>the profile of HCH patients, such as</w:t>
      </w:r>
      <w:r w:rsidRPr="00B4084E">
        <w:rPr>
          <w:szCs w:val="20"/>
        </w:rPr>
        <w:t xml:space="preserve"> </w:t>
      </w:r>
      <w:r>
        <w:rPr>
          <w:szCs w:val="20"/>
        </w:rPr>
        <w:t xml:space="preserve">the </w:t>
      </w:r>
      <w:r w:rsidRPr="00B4084E">
        <w:rPr>
          <w:szCs w:val="20"/>
        </w:rPr>
        <w:t xml:space="preserve">distribution of </w:t>
      </w:r>
      <w:r>
        <w:rPr>
          <w:szCs w:val="20"/>
        </w:rPr>
        <w:t xml:space="preserve">patient </w:t>
      </w:r>
      <w:r w:rsidRPr="00B4084E">
        <w:rPr>
          <w:szCs w:val="20"/>
        </w:rPr>
        <w:t xml:space="preserve">age, </w:t>
      </w:r>
      <w:r>
        <w:rPr>
          <w:szCs w:val="20"/>
        </w:rPr>
        <w:t xml:space="preserve">sex, risk tier, </w:t>
      </w:r>
      <w:r w:rsidRPr="00B4084E">
        <w:rPr>
          <w:szCs w:val="20"/>
        </w:rPr>
        <w:t xml:space="preserve">diagnoses, </w:t>
      </w:r>
      <w:r>
        <w:rPr>
          <w:szCs w:val="20"/>
        </w:rPr>
        <w:t xml:space="preserve">and recording of key health measures in the </w:t>
      </w:r>
      <w:r w:rsidRPr="00B4084E">
        <w:rPr>
          <w:szCs w:val="20"/>
        </w:rPr>
        <w:t>practice</w:t>
      </w:r>
      <w:r>
        <w:rPr>
          <w:szCs w:val="20"/>
        </w:rPr>
        <w:t xml:space="preserve"> (or in the PHN) in comparison to HCH patients in</w:t>
      </w:r>
      <w:r w:rsidRPr="00B4084E">
        <w:rPr>
          <w:szCs w:val="20"/>
        </w:rPr>
        <w:t xml:space="preserve"> other practices</w:t>
      </w:r>
      <w:r>
        <w:rPr>
          <w:szCs w:val="20"/>
        </w:rPr>
        <w:t xml:space="preserve"> (or other PHNs)</w:t>
      </w:r>
      <w:r w:rsidRPr="00B4084E">
        <w:rPr>
          <w:szCs w:val="20"/>
        </w:rPr>
        <w:t>.</w:t>
      </w:r>
    </w:p>
    <w:p w14:paraId="541FC080" w14:textId="77777777" w:rsidR="001C19F3" w:rsidRDefault="001C19F3" w:rsidP="001C19F3">
      <w:pPr>
        <w:pStyle w:val="Heading2"/>
      </w:pPr>
      <w:bookmarkStart w:id="449" w:name="_Toc32586053"/>
      <w:r>
        <w:t>Contents</w:t>
      </w:r>
      <w:bookmarkEnd w:id="449"/>
    </w:p>
    <w:p w14:paraId="6128DC91" w14:textId="77777777" w:rsidR="001C19F3" w:rsidRPr="00283F69" w:rsidRDefault="001C19F3" w:rsidP="001C19F3">
      <w:pPr>
        <w:rPr>
          <w:szCs w:val="20"/>
        </w:rPr>
      </w:pPr>
      <w:r w:rsidRPr="00283F69">
        <w:rPr>
          <w:szCs w:val="20"/>
        </w:rPr>
        <w:t xml:space="preserve">A sample practice benchmark report is </w:t>
      </w:r>
      <w:r>
        <w:rPr>
          <w:szCs w:val="20"/>
        </w:rPr>
        <w:t>at</w:t>
      </w:r>
      <w:r w:rsidRPr="00283F69">
        <w:rPr>
          <w:szCs w:val="20"/>
        </w:rPr>
        <w:t xml:space="preserve"> Appendix 4. The reports ha</w:t>
      </w:r>
      <w:r>
        <w:rPr>
          <w:szCs w:val="20"/>
        </w:rPr>
        <w:t>ve</w:t>
      </w:r>
      <w:r w:rsidRPr="00283F69">
        <w:rPr>
          <w:szCs w:val="20"/>
        </w:rPr>
        <w:t xml:space="preserve"> three sections:</w:t>
      </w:r>
    </w:p>
    <w:p w14:paraId="77A2A05B" w14:textId="77777777" w:rsidR="001C19F3" w:rsidRPr="00283F69" w:rsidRDefault="001C19F3" w:rsidP="001C19F3">
      <w:pPr>
        <w:pStyle w:val="ListParagraph"/>
        <w:numPr>
          <w:ilvl w:val="0"/>
          <w:numId w:val="104"/>
        </w:numPr>
        <w:ind w:left="714" w:hanging="357"/>
        <w:rPr>
          <w:szCs w:val="20"/>
        </w:rPr>
      </w:pPr>
      <w:r w:rsidRPr="00283F69">
        <w:rPr>
          <w:szCs w:val="20"/>
        </w:rPr>
        <w:t>a summary of background information (e.g. purpose and data sources used) and key findings</w:t>
      </w:r>
    </w:p>
    <w:p w14:paraId="34EEC2AA" w14:textId="77777777" w:rsidR="001C19F3" w:rsidRPr="00283F69" w:rsidRDefault="001C19F3" w:rsidP="001C19F3">
      <w:pPr>
        <w:pStyle w:val="ListParagraph"/>
        <w:numPr>
          <w:ilvl w:val="0"/>
          <w:numId w:val="104"/>
        </w:numPr>
        <w:ind w:left="714" w:hanging="357"/>
        <w:rPr>
          <w:szCs w:val="20"/>
        </w:rPr>
      </w:pPr>
      <w:r w:rsidRPr="00283F69">
        <w:rPr>
          <w:szCs w:val="20"/>
        </w:rPr>
        <w:t xml:space="preserve">a profile of HCH patients based on </w:t>
      </w:r>
      <w:r w:rsidRPr="00AE5FC6">
        <w:rPr>
          <w:szCs w:val="20"/>
        </w:rPr>
        <w:t xml:space="preserve">Health Professionals Online Services </w:t>
      </w:r>
      <w:r>
        <w:rPr>
          <w:szCs w:val="20"/>
        </w:rPr>
        <w:t>(</w:t>
      </w:r>
      <w:r w:rsidRPr="00283F69">
        <w:rPr>
          <w:szCs w:val="20"/>
        </w:rPr>
        <w:t>HPOS</w:t>
      </w:r>
      <w:r>
        <w:rPr>
          <w:szCs w:val="20"/>
        </w:rPr>
        <w:t>)</w:t>
      </w:r>
      <w:r w:rsidRPr="00283F69">
        <w:rPr>
          <w:szCs w:val="20"/>
        </w:rPr>
        <w:t xml:space="preserve"> registration data</w:t>
      </w:r>
      <w:r>
        <w:rPr>
          <w:szCs w:val="20"/>
        </w:rPr>
        <w:t xml:space="preserve"> (i.e. the Medicare</w:t>
      </w:r>
      <w:r w:rsidRPr="00871E25">
        <w:rPr>
          <w:szCs w:val="20"/>
        </w:rPr>
        <w:t xml:space="preserve"> web-based </w:t>
      </w:r>
      <w:r>
        <w:rPr>
          <w:szCs w:val="20"/>
        </w:rPr>
        <w:t>portal)</w:t>
      </w:r>
    </w:p>
    <w:p w14:paraId="46AEB41F" w14:textId="77777777" w:rsidR="001C19F3" w:rsidRPr="00283F69" w:rsidRDefault="001C19F3" w:rsidP="001C19F3">
      <w:pPr>
        <w:pStyle w:val="ListParagraph"/>
        <w:numPr>
          <w:ilvl w:val="0"/>
          <w:numId w:val="104"/>
        </w:numPr>
        <w:ind w:left="714" w:hanging="357"/>
        <w:contextualSpacing w:val="0"/>
        <w:rPr>
          <w:szCs w:val="20"/>
        </w:rPr>
      </w:pPr>
      <w:r w:rsidRPr="00283F69">
        <w:rPr>
          <w:szCs w:val="20"/>
        </w:rPr>
        <w:t>a profile of HCH patients based on the practice data extracts.</w:t>
      </w:r>
    </w:p>
    <w:p w14:paraId="3740E43A" w14:textId="77777777" w:rsidR="001C19F3" w:rsidRPr="00283F69" w:rsidRDefault="001C19F3" w:rsidP="001C19F3">
      <w:pPr>
        <w:rPr>
          <w:szCs w:val="20"/>
        </w:rPr>
      </w:pPr>
      <w:r w:rsidRPr="00283F69">
        <w:rPr>
          <w:szCs w:val="20"/>
        </w:rPr>
        <w:t xml:space="preserve">In each </w:t>
      </w:r>
      <w:r>
        <w:rPr>
          <w:szCs w:val="20"/>
        </w:rPr>
        <w:t>r</w:t>
      </w:r>
      <w:r w:rsidRPr="00283F69">
        <w:rPr>
          <w:szCs w:val="20"/>
        </w:rPr>
        <w:t xml:space="preserve">eport, data are presented for HCH patients in the practice, HCH patients in similar practices (i.e. practices of similar size and geographic </w:t>
      </w:r>
      <w:r>
        <w:rPr>
          <w:szCs w:val="20"/>
        </w:rPr>
        <w:t>remoteness</w:t>
      </w:r>
      <w:r w:rsidRPr="00283F69">
        <w:rPr>
          <w:szCs w:val="20"/>
        </w:rPr>
        <w:t>), and HCH patients in all other HCH practices. The practice size is based on the number of full-time equivalent</w:t>
      </w:r>
      <w:r>
        <w:rPr>
          <w:szCs w:val="20"/>
        </w:rPr>
        <w:t xml:space="preserve"> (FTE)</w:t>
      </w:r>
      <w:r w:rsidRPr="00283F69">
        <w:rPr>
          <w:szCs w:val="20"/>
        </w:rPr>
        <w:t xml:space="preserve"> GPs working in the practice (excluding GP advanced trainees/registrars)</w:t>
      </w:r>
      <w:r>
        <w:rPr>
          <w:szCs w:val="20"/>
        </w:rPr>
        <w:t>,</w:t>
      </w:r>
      <w:r w:rsidRPr="00283F69">
        <w:rPr>
          <w:szCs w:val="20"/>
        </w:rPr>
        <w:t xml:space="preserve"> while practice remoteness </w:t>
      </w:r>
      <w:r>
        <w:rPr>
          <w:szCs w:val="20"/>
        </w:rPr>
        <w:t>uses</w:t>
      </w:r>
      <w:r w:rsidRPr="00283F69">
        <w:rPr>
          <w:szCs w:val="20"/>
        </w:rPr>
        <w:t xml:space="preserve"> the Monash Modified Model (MMM) categories. </w:t>
      </w:r>
    </w:p>
    <w:p w14:paraId="4F804C2D" w14:textId="77777777" w:rsidR="001C19F3" w:rsidRPr="00283F69" w:rsidRDefault="001C19F3" w:rsidP="001C19F3">
      <w:pPr>
        <w:rPr>
          <w:szCs w:val="20"/>
        </w:rPr>
      </w:pPr>
      <w:r w:rsidRPr="00283F69">
        <w:rPr>
          <w:szCs w:val="20"/>
        </w:rPr>
        <w:t>In the PHN report</w:t>
      </w:r>
      <w:r>
        <w:rPr>
          <w:szCs w:val="20"/>
        </w:rPr>
        <w:t>,</w:t>
      </w:r>
      <w:r w:rsidRPr="00283F69">
        <w:rPr>
          <w:szCs w:val="20"/>
        </w:rPr>
        <w:t xml:space="preserve"> data are presented for</w:t>
      </w:r>
      <w:r>
        <w:rPr>
          <w:szCs w:val="20"/>
        </w:rPr>
        <w:t xml:space="preserve"> practices in</w:t>
      </w:r>
      <w:r w:rsidRPr="00283F69">
        <w:rPr>
          <w:szCs w:val="20"/>
        </w:rPr>
        <w:t xml:space="preserve"> the PHN and all other PHNs combined.</w:t>
      </w:r>
    </w:p>
    <w:p w14:paraId="07F742A7" w14:textId="77777777" w:rsidR="001C19F3" w:rsidRPr="00283F69" w:rsidRDefault="001C19F3" w:rsidP="001C19F3">
      <w:pPr>
        <w:rPr>
          <w:szCs w:val="20"/>
        </w:rPr>
      </w:pPr>
      <w:r w:rsidRPr="00283F69">
        <w:rPr>
          <w:szCs w:val="20"/>
        </w:rPr>
        <w:t xml:space="preserve">Data from HPOS include patient demographic characteristics (age, sex) and enrolment characteristics (date of patient enrolment and risk tier). The number of HCH patients, timing of patient enrolment and risk tier identified in practice data extracts are compared </w:t>
      </w:r>
      <w:r>
        <w:rPr>
          <w:szCs w:val="20"/>
        </w:rPr>
        <w:t>with</w:t>
      </w:r>
      <w:r w:rsidRPr="00283F69">
        <w:rPr>
          <w:szCs w:val="20"/>
        </w:rPr>
        <w:t xml:space="preserve"> HPOS </w:t>
      </w:r>
      <w:r>
        <w:rPr>
          <w:szCs w:val="20"/>
        </w:rPr>
        <w:t>data</w:t>
      </w:r>
      <w:r w:rsidRPr="00283F69">
        <w:rPr>
          <w:szCs w:val="20"/>
        </w:rPr>
        <w:t>. This informs the practice whether HCH patients have been accurately flagged in their local systems.</w:t>
      </w:r>
    </w:p>
    <w:p w14:paraId="33C4AE27" w14:textId="77777777" w:rsidR="001C19F3" w:rsidRPr="00283F69" w:rsidRDefault="001C19F3" w:rsidP="001C19F3">
      <w:pPr>
        <w:rPr>
          <w:szCs w:val="20"/>
        </w:rPr>
      </w:pPr>
      <w:r w:rsidRPr="00283F69">
        <w:rPr>
          <w:szCs w:val="20"/>
        </w:rPr>
        <w:lastRenderedPageBreak/>
        <w:t>For HCH patients identified in the practice extracts, further information is presented</w:t>
      </w:r>
      <w:r>
        <w:rPr>
          <w:szCs w:val="20"/>
        </w:rPr>
        <w:t>,</w:t>
      </w:r>
      <w:r w:rsidRPr="00283F69">
        <w:rPr>
          <w:szCs w:val="20"/>
        </w:rPr>
        <w:t xml:space="preserve"> including:</w:t>
      </w:r>
    </w:p>
    <w:p w14:paraId="1B59CB76" w14:textId="77777777" w:rsidR="001C19F3" w:rsidRPr="00283F69" w:rsidRDefault="001C19F3" w:rsidP="001C19F3">
      <w:pPr>
        <w:pStyle w:val="ListParagraph"/>
        <w:numPr>
          <w:ilvl w:val="0"/>
          <w:numId w:val="105"/>
        </w:numPr>
        <w:rPr>
          <w:szCs w:val="20"/>
        </w:rPr>
      </w:pPr>
      <w:r w:rsidRPr="00283F69">
        <w:rPr>
          <w:szCs w:val="20"/>
        </w:rPr>
        <w:t xml:space="preserve">recording of patient clinical assessments (e.g. smoking status, height, weight) </w:t>
      </w:r>
    </w:p>
    <w:p w14:paraId="5EDF37AC" w14:textId="77777777" w:rsidR="001C19F3" w:rsidRPr="00283F69" w:rsidRDefault="001C19F3" w:rsidP="001C19F3">
      <w:pPr>
        <w:pStyle w:val="ListParagraph"/>
        <w:numPr>
          <w:ilvl w:val="0"/>
          <w:numId w:val="105"/>
        </w:numPr>
        <w:rPr>
          <w:szCs w:val="20"/>
        </w:rPr>
      </w:pPr>
      <w:r w:rsidRPr="00283F69">
        <w:rPr>
          <w:szCs w:val="20"/>
        </w:rPr>
        <w:t xml:space="preserve">patient measurements (e.g. blood pressure, cholesterol, HbA1c) </w:t>
      </w:r>
    </w:p>
    <w:p w14:paraId="3467981A" w14:textId="77777777" w:rsidR="001C19F3" w:rsidRPr="00283F69" w:rsidRDefault="001C19F3" w:rsidP="001C19F3">
      <w:pPr>
        <w:pStyle w:val="ListParagraph"/>
        <w:numPr>
          <w:ilvl w:val="0"/>
          <w:numId w:val="105"/>
        </w:numPr>
        <w:rPr>
          <w:szCs w:val="20"/>
        </w:rPr>
      </w:pPr>
      <w:r w:rsidRPr="00283F69">
        <w:rPr>
          <w:szCs w:val="20"/>
        </w:rPr>
        <w:t xml:space="preserve">presence of various patient health conditions. </w:t>
      </w:r>
    </w:p>
    <w:p w14:paraId="0542F664" w14:textId="77777777" w:rsidR="001C19F3" w:rsidRPr="00283F69" w:rsidRDefault="001C19F3" w:rsidP="001C19F3">
      <w:pPr>
        <w:rPr>
          <w:szCs w:val="20"/>
        </w:rPr>
      </w:pPr>
      <w:r w:rsidRPr="00283F69">
        <w:rPr>
          <w:szCs w:val="20"/>
        </w:rPr>
        <w:t xml:space="preserve">Prior to the initial set of reports, PHNs were consulted on their design. The practice and PHN surveys and interviews for </w:t>
      </w:r>
      <w:r>
        <w:rPr>
          <w:szCs w:val="20"/>
        </w:rPr>
        <w:t>r</w:t>
      </w:r>
      <w:r w:rsidRPr="00283F69">
        <w:rPr>
          <w:szCs w:val="20"/>
        </w:rPr>
        <w:t>ound</w:t>
      </w:r>
      <w:r>
        <w:rPr>
          <w:szCs w:val="20"/>
        </w:rPr>
        <w:t>s</w:t>
      </w:r>
      <w:r w:rsidRPr="00283F69">
        <w:rPr>
          <w:szCs w:val="20"/>
        </w:rPr>
        <w:t xml:space="preserve"> 4 and 5 will also include questions about the contents, structure and utility o</w:t>
      </w:r>
      <w:r>
        <w:rPr>
          <w:szCs w:val="20"/>
        </w:rPr>
        <w:t>f</w:t>
      </w:r>
      <w:r w:rsidRPr="00283F69">
        <w:rPr>
          <w:szCs w:val="20"/>
        </w:rPr>
        <w:t xml:space="preserve"> the reports. </w:t>
      </w:r>
    </w:p>
    <w:p w14:paraId="74F2FEBE" w14:textId="77777777" w:rsidR="001C19F3" w:rsidRDefault="001C19F3" w:rsidP="001C19F3">
      <w:pPr>
        <w:pStyle w:val="Heading2"/>
      </w:pPr>
      <w:bookmarkStart w:id="450" w:name="_Toc32586054"/>
      <w:r>
        <w:t>Delivery</w:t>
      </w:r>
      <w:bookmarkEnd w:id="450"/>
    </w:p>
    <w:p w14:paraId="2923A381" w14:textId="77777777" w:rsidR="001C19F3" w:rsidRPr="00283F69" w:rsidRDefault="001C19F3" w:rsidP="001C19F3">
      <w:pPr>
        <w:rPr>
          <w:szCs w:val="20"/>
        </w:rPr>
      </w:pPr>
      <w:r w:rsidRPr="00283F69">
        <w:rPr>
          <w:szCs w:val="20"/>
        </w:rPr>
        <w:t xml:space="preserve">Practice and PHN </w:t>
      </w:r>
      <w:r>
        <w:rPr>
          <w:szCs w:val="20"/>
        </w:rPr>
        <w:t>b</w:t>
      </w:r>
      <w:r w:rsidRPr="00283F69">
        <w:rPr>
          <w:szCs w:val="20"/>
        </w:rPr>
        <w:t xml:space="preserve">enchmark </w:t>
      </w:r>
      <w:r>
        <w:rPr>
          <w:szCs w:val="20"/>
        </w:rPr>
        <w:t>r</w:t>
      </w:r>
      <w:r w:rsidRPr="00283F69">
        <w:rPr>
          <w:szCs w:val="20"/>
        </w:rPr>
        <w:t>eports have been distributed to practices and PHN twice, in March 2019 and September 2019 (</w:t>
      </w:r>
      <w:r w:rsidRPr="00283F69">
        <w:rPr>
          <w:szCs w:val="20"/>
        </w:rPr>
        <w:fldChar w:fldCharType="begin"/>
      </w:r>
      <w:r w:rsidRPr="00283F69">
        <w:rPr>
          <w:szCs w:val="20"/>
        </w:rPr>
        <w:instrText xml:space="preserve"> REF _Ref13171144 \h  \* MERGEFORMAT </w:instrText>
      </w:r>
      <w:r w:rsidRPr="00283F69">
        <w:rPr>
          <w:szCs w:val="20"/>
        </w:rPr>
      </w:r>
      <w:r w:rsidRPr="00283F69">
        <w:rPr>
          <w:szCs w:val="20"/>
        </w:rPr>
        <w:fldChar w:fldCharType="separate"/>
      </w:r>
      <w:r w:rsidRPr="00191669">
        <w:rPr>
          <w:szCs w:val="20"/>
        </w:rPr>
        <w:t>Table 7</w:t>
      </w:r>
      <w:r w:rsidRPr="00283F69">
        <w:rPr>
          <w:szCs w:val="20"/>
        </w:rPr>
        <w:fldChar w:fldCharType="end"/>
      </w:r>
      <w:r w:rsidRPr="00283F69">
        <w:rPr>
          <w:szCs w:val="20"/>
        </w:rPr>
        <w:t xml:space="preserve">). The first round of the </w:t>
      </w:r>
      <w:r>
        <w:rPr>
          <w:szCs w:val="20"/>
        </w:rPr>
        <w:t>r</w:t>
      </w:r>
      <w:r w:rsidRPr="00283F69">
        <w:rPr>
          <w:szCs w:val="20"/>
        </w:rPr>
        <w:t>eports was for the period February 2018 to December 2018</w:t>
      </w:r>
      <w:r>
        <w:rPr>
          <w:szCs w:val="20"/>
        </w:rPr>
        <w:t>. They were</w:t>
      </w:r>
      <w:r w:rsidRPr="00283F69">
        <w:rPr>
          <w:szCs w:val="20"/>
        </w:rPr>
        <w:t xml:space="preserve"> provided to 94 HCH practices and </w:t>
      </w:r>
      <w:r>
        <w:rPr>
          <w:szCs w:val="20"/>
        </w:rPr>
        <w:t>nine</w:t>
      </w:r>
      <w:r w:rsidRPr="00283F69">
        <w:rPr>
          <w:szCs w:val="20"/>
        </w:rPr>
        <w:t xml:space="preserve"> PHNs</w:t>
      </w:r>
      <w:r>
        <w:rPr>
          <w:szCs w:val="20"/>
        </w:rPr>
        <w:t>. Where practices or PHNs did not receive the reports, it was because they did not supply the practice extracts or had too few enrolments for the report to be meaningful</w:t>
      </w:r>
      <w:r w:rsidRPr="00283F69">
        <w:rPr>
          <w:szCs w:val="20"/>
        </w:rPr>
        <w:t xml:space="preserve">. The second round of the </w:t>
      </w:r>
      <w:r>
        <w:rPr>
          <w:szCs w:val="20"/>
        </w:rPr>
        <w:t>r</w:t>
      </w:r>
      <w:r w:rsidRPr="00283F69">
        <w:rPr>
          <w:szCs w:val="20"/>
        </w:rPr>
        <w:t>eports was for the period February 2018 to June 2019</w:t>
      </w:r>
      <w:r>
        <w:rPr>
          <w:szCs w:val="20"/>
        </w:rPr>
        <w:t xml:space="preserve">. They were </w:t>
      </w:r>
      <w:r w:rsidRPr="00283F69">
        <w:rPr>
          <w:szCs w:val="20"/>
        </w:rPr>
        <w:t xml:space="preserve">provided to 132 HCH practices (including 12 ACCHS) </w:t>
      </w:r>
      <w:r>
        <w:rPr>
          <w:szCs w:val="20"/>
        </w:rPr>
        <w:t xml:space="preserve">participating in HCH as at 31 July 2019 </w:t>
      </w:r>
      <w:r w:rsidRPr="00283F69">
        <w:rPr>
          <w:szCs w:val="20"/>
        </w:rPr>
        <w:t xml:space="preserve">and </w:t>
      </w:r>
      <w:r>
        <w:rPr>
          <w:szCs w:val="20"/>
        </w:rPr>
        <w:t xml:space="preserve">the </w:t>
      </w:r>
      <w:r w:rsidRPr="00283F69">
        <w:rPr>
          <w:szCs w:val="20"/>
        </w:rPr>
        <w:t xml:space="preserve">10 PHNs. </w:t>
      </w:r>
    </w:p>
    <w:p w14:paraId="574455AB" w14:textId="77777777" w:rsidR="001C19F3" w:rsidRDefault="001C19F3" w:rsidP="001C19F3">
      <w:pPr>
        <w:spacing w:after="0"/>
        <w:jc w:val="center"/>
        <w:rPr>
          <w:b/>
          <w:szCs w:val="20"/>
        </w:rPr>
      </w:pPr>
      <w:bookmarkStart w:id="451" w:name="_Ref13171144"/>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7</w:t>
      </w:r>
      <w:r w:rsidRPr="00E76010">
        <w:rPr>
          <w:szCs w:val="20"/>
        </w:rPr>
        <w:fldChar w:fldCharType="end"/>
      </w:r>
      <w:bookmarkEnd w:id="451"/>
      <w:r w:rsidRPr="00E76010">
        <w:rPr>
          <w:b/>
          <w:szCs w:val="20"/>
        </w:rPr>
        <w:t xml:space="preserve"> – </w:t>
      </w:r>
      <w:r>
        <w:rPr>
          <w:b/>
          <w:szCs w:val="20"/>
        </w:rPr>
        <w:t>Dissemination of practice and PHN benchmark reports in 2019</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1413"/>
        <w:gridCol w:w="992"/>
      </w:tblGrid>
      <w:tr w:rsidR="001C19F3" w:rsidRPr="007C4473" w14:paraId="4A25998E" w14:textId="77777777" w:rsidTr="00521305">
        <w:trPr>
          <w:trHeight w:val="340"/>
          <w:tblHeader/>
          <w:jc w:val="center"/>
        </w:trPr>
        <w:tc>
          <w:tcPr>
            <w:tcW w:w="2268" w:type="dxa"/>
            <w:shd w:val="clear" w:color="auto" w:fill="003D79"/>
            <w:vAlign w:val="center"/>
          </w:tcPr>
          <w:p w14:paraId="739757BC" w14:textId="77777777" w:rsidR="001C19F3" w:rsidRPr="007C4473" w:rsidRDefault="001C19F3" w:rsidP="00521305">
            <w:pPr>
              <w:spacing w:after="0" w:line="240" w:lineRule="auto"/>
              <w:jc w:val="center"/>
              <w:rPr>
                <w:b/>
                <w:sz w:val="18"/>
                <w:szCs w:val="18"/>
              </w:rPr>
            </w:pPr>
            <w:r>
              <w:rPr>
                <w:b/>
                <w:sz w:val="18"/>
                <w:szCs w:val="18"/>
              </w:rPr>
              <w:t>Month and year of distribution</w:t>
            </w:r>
          </w:p>
        </w:tc>
        <w:tc>
          <w:tcPr>
            <w:tcW w:w="1413" w:type="dxa"/>
            <w:shd w:val="clear" w:color="auto" w:fill="003D79"/>
            <w:vAlign w:val="center"/>
          </w:tcPr>
          <w:p w14:paraId="100DC69A" w14:textId="77777777" w:rsidR="001C19F3" w:rsidRDefault="001C19F3" w:rsidP="00521305">
            <w:pPr>
              <w:spacing w:after="0" w:line="240" w:lineRule="auto"/>
              <w:jc w:val="center"/>
              <w:rPr>
                <w:b/>
                <w:sz w:val="18"/>
                <w:szCs w:val="18"/>
              </w:rPr>
            </w:pPr>
            <w:r>
              <w:rPr>
                <w:b/>
                <w:sz w:val="18"/>
                <w:szCs w:val="18"/>
              </w:rPr>
              <w:t>Number of practice reports</w:t>
            </w:r>
          </w:p>
        </w:tc>
        <w:tc>
          <w:tcPr>
            <w:tcW w:w="992" w:type="dxa"/>
            <w:shd w:val="clear" w:color="auto" w:fill="003D79"/>
            <w:vAlign w:val="center"/>
          </w:tcPr>
          <w:p w14:paraId="7B88CCCC" w14:textId="77777777" w:rsidR="001C19F3" w:rsidRPr="007C4473" w:rsidRDefault="001C19F3" w:rsidP="00521305">
            <w:pPr>
              <w:spacing w:after="0" w:line="240" w:lineRule="auto"/>
              <w:jc w:val="center"/>
              <w:rPr>
                <w:b/>
                <w:sz w:val="18"/>
                <w:szCs w:val="18"/>
              </w:rPr>
            </w:pPr>
            <w:r>
              <w:rPr>
                <w:b/>
                <w:sz w:val="18"/>
                <w:szCs w:val="18"/>
              </w:rPr>
              <w:t>Number of PHN reports</w:t>
            </w:r>
          </w:p>
        </w:tc>
      </w:tr>
      <w:tr w:rsidR="001C19F3" w:rsidRPr="007C4473" w14:paraId="1EC96535" w14:textId="77777777" w:rsidTr="00521305">
        <w:trPr>
          <w:jc w:val="center"/>
        </w:trPr>
        <w:tc>
          <w:tcPr>
            <w:tcW w:w="2268" w:type="dxa"/>
          </w:tcPr>
          <w:p w14:paraId="1F80C8B6" w14:textId="77777777" w:rsidR="001C19F3" w:rsidRPr="004F7BEE" w:rsidRDefault="001C19F3" w:rsidP="00521305">
            <w:pPr>
              <w:spacing w:after="0"/>
              <w:ind w:left="310" w:hanging="310"/>
              <w:rPr>
                <w:sz w:val="18"/>
                <w:szCs w:val="18"/>
              </w:rPr>
            </w:pPr>
            <w:r w:rsidRPr="004F7BEE">
              <w:rPr>
                <w:sz w:val="18"/>
                <w:szCs w:val="18"/>
              </w:rPr>
              <w:t>March 2019</w:t>
            </w:r>
          </w:p>
        </w:tc>
        <w:tc>
          <w:tcPr>
            <w:tcW w:w="1413" w:type="dxa"/>
          </w:tcPr>
          <w:p w14:paraId="2AA0A5B7" w14:textId="77777777" w:rsidR="001C19F3" w:rsidRDefault="001C19F3" w:rsidP="00521305">
            <w:pPr>
              <w:spacing w:after="0"/>
              <w:jc w:val="center"/>
              <w:rPr>
                <w:sz w:val="18"/>
                <w:szCs w:val="18"/>
              </w:rPr>
            </w:pPr>
            <w:r>
              <w:rPr>
                <w:sz w:val="18"/>
                <w:szCs w:val="18"/>
              </w:rPr>
              <w:t>94</w:t>
            </w:r>
          </w:p>
        </w:tc>
        <w:tc>
          <w:tcPr>
            <w:tcW w:w="992" w:type="dxa"/>
          </w:tcPr>
          <w:p w14:paraId="70022EC6" w14:textId="77777777" w:rsidR="001C19F3" w:rsidRDefault="001C19F3" w:rsidP="00521305">
            <w:pPr>
              <w:spacing w:after="0"/>
              <w:jc w:val="center"/>
              <w:rPr>
                <w:sz w:val="18"/>
                <w:szCs w:val="18"/>
              </w:rPr>
            </w:pPr>
            <w:r>
              <w:rPr>
                <w:sz w:val="18"/>
                <w:szCs w:val="18"/>
              </w:rPr>
              <w:t>9</w:t>
            </w:r>
          </w:p>
        </w:tc>
      </w:tr>
      <w:tr w:rsidR="001C19F3" w:rsidRPr="007C4473" w14:paraId="5E3B9895" w14:textId="77777777" w:rsidTr="00521305">
        <w:trPr>
          <w:jc w:val="center"/>
        </w:trPr>
        <w:tc>
          <w:tcPr>
            <w:tcW w:w="2268" w:type="dxa"/>
          </w:tcPr>
          <w:p w14:paraId="2F3C5EB9" w14:textId="77777777" w:rsidR="001C19F3" w:rsidRPr="004F7BEE" w:rsidRDefault="001C19F3" w:rsidP="00521305">
            <w:pPr>
              <w:spacing w:after="0"/>
              <w:rPr>
                <w:sz w:val="18"/>
                <w:szCs w:val="18"/>
              </w:rPr>
            </w:pPr>
            <w:r w:rsidRPr="004F7BEE">
              <w:rPr>
                <w:sz w:val="18"/>
                <w:szCs w:val="18"/>
              </w:rPr>
              <w:t>September 2019</w:t>
            </w:r>
          </w:p>
        </w:tc>
        <w:tc>
          <w:tcPr>
            <w:tcW w:w="1413" w:type="dxa"/>
          </w:tcPr>
          <w:p w14:paraId="3A0AA916" w14:textId="77777777" w:rsidR="001C19F3" w:rsidRPr="00C4628B" w:rsidRDefault="001C19F3" w:rsidP="00521305">
            <w:pPr>
              <w:spacing w:after="0"/>
              <w:jc w:val="center"/>
              <w:rPr>
                <w:sz w:val="18"/>
                <w:szCs w:val="18"/>
              </w:rPr>
            </w:pPr>
            <w:r w:rsidRPr="00C4628B">
              <w:rPr>
                <w:sz w:val="18"/>
                <w:szCs w:val="18"/>
              </w:rPr>
              <w:t>132</w:t>
            </w:r>
            <w:r w:rsidRPr="00A44CD7">
              <w:rPr>
                <w:sz w:val="18"/>
                <w:szCs w:val="18"/>
                <w:vertAlign w:val="superscript"/>
              </w:rPr>
              <w:t>†</w:t>
            </w:r>
          </w:p>
        </w:tc>
        <w:tc>
          <w:tcPr>
            <w:tcW w:w="992" w:type="dxa"/>
          </w:tcPr>
          <w:p w14:paraId="46058E94" w14:textId="77777777" w:rsidR="001C19F3" w:rsidRPr="00C4628B" w:rsidRDefault="001C19F3" w:rsidP="00521305">
            <w:pPr>
              <w:spacing w:after="0"/>
              <w:jc w:val="center"/>
              <w:rPr>
                <w:sz w:val="18"/>
                <w:szCs w:val="18"/>
              </w:rPr>
            </w:pPr>
            <w:r w:rsidRPr="00C4628B">
              <w:rPr>
                <w:sz w:val="18"/>
                <w:szCs w:val="18"/>
              </w:rPr>
              <w:t>10</w:t>
            </w:r>
          </w:p>
        </w:tc>
      </w:tr>
    </w:tbl>
    <w:p w14:paraId="2F597DA6" w14:textId="77777777" w:rsidR="001C19F3" w:rsidRPr="00D818CB" w:rsidRDefault="001C19F3" w:rsidP="001C19F3">
      <w:pPr>
        <w:jc w:val="center"/>
        <w:rPr>
          <w:i/>
          <w:iCs/>
          <w:sz w:val="16"/>
          <w:szCs w:val="16"/>
        </w:rPr>
      </w:pPr>
      <w:r w:rsidRPr="00A44CD7">
        <w:rPr>
          <w:i/>
          <w:iCs/>
          <w:sz w:val="16"/>
          <w:szCs w:val="16"/>
          <w:vertAlign w:val="superscript"/>
        </w:rPr>
        <w:t>†</w:t>
      </w:r>
      <w:r w:rsidRPr="00D818CB">
        <w:rPr>
          <w:i/>
          <w:iCs/>
          <w:sz w:val="16"/>
          <w:szCs w:val="16"/>
        </w:rPr>
        <w:t xml:space="preserve"> </w:t>
      </w:r>
      <w:r>
        <w:rPr>
          <w:i/>
          <w:iCs/>
          <w:sz w:val="16"/>
          <w:szCs w:val="16"/>
        </w:rPr>
        <w:t>P</w:t>
      </w:r>
      <w:r w:rsidRPr="00A44CD7">
        <w:rPr>
          <w:i/>
          <w:iCs/>
          <w:sz w:val="16"/>
          <w:szCs w:val="16"/>
        </w:rPr>
        <w:t xml:space="preserve">ractices participating in </w:t>
      </w:r>
      <w:r w:rsidRPr="00D818CB">
        <w:rPr>
          <w:i/>
          <w:iCs/>
          <w:sz w:val="16"/>
          <w:szCs w:val="16"/>
        </w:rPr>
        <w:t>HCH as at 31 July 2019.</w:t>
      </w:r>
    </w:p>
    <w:p w14:paraId="173603E7" w14:textId="77777777" w:rsidR="001C19F3" w:rsidRDefault="001C19F3" w:rsidP="001C19F3"/>
    <w:p w14:paraId="0E406A0C" w14:textId="77777777" w:rsidR="001C19F3" w:rsidRPr="00A73B36" w:rsidRDefault="001C19F3" w:rsidP="001C19F3">
      <w:pPr>
        <w:sectPr w:rsidR="001C19F3" w:rsidRPr="00A73B36" w:rsidSect="001C5D9E">
          <w:headerReference w:type="first" r:id="rId109"/>
          <w:pgSz w:w="11906" w:h="16838"/>
          <w:pgMar w:top="1440" w:right="1440" w:bottom="1440" w:left="1440" w:header="708" w:footer="708" w:gutter="0"/>
          <w:cols w:space="708"/>
          <w:titlePg/>
          <w:docGrid w:linePitch="360"/>
        </w:sectPr>
      </w:pPr>
    </w:p>
    <w:p w14:paraId="5830F984" w14:textId="77777777" w:rsidR="001C19F3" w:rsidRDefault="001C19F3" w:rsidP="001C19F3">
      <w:pPr>
        <w:pStyle w:val="Heading1withnumber"/>
        <w:ind w:left="0" w:hanging="1134"/>
      </w:pPr>
      <w:bookmarkStart w:id="452" w:name="_Toc32586055"/>
      <w:r>
        <w:lastRenderedPageBreak/>
        <w:t>Summary of evaluation progress</w:t>
      </w:r>
      <w:bookmarkEnd w:id="452"/>
    </w:p>
    <w:p w14:paraId="69E12EC4" w14:textId="77777777" w:rsidR="001C19F3" w:rsidRDefault="001C19F3" w:rsidP="001C19F3">
      <w:r>
        <w:fldChar w:fldCharType="begin"/>
      </w:r>
      <w:r>
        <w:instrText xml:space="preserve"> REF _Ref524543506 \h  \* MERGEFORMAT </w:instrText>
      </w:r>
      <w:r>
        <w:fldChar w:fldCharType="separate"/>
      </w:r>
      <w:r w:rsidRPr="00191669">
        <w:t>Table 8</w:t>
      </w:r>
      <w:r>
        <w:fldChar w:fldCharType="end"/>
      </w:r>
      <w:r>
        <w:t xml:space="preserve"> summarises the progress of obtaining data for the evaluation up 31 August 2019.</w:t>
      </w:r>
    </w:p>
    <w:p w14:paraId="7ECC1208" w14:textId="77777777" w:rsidR="001C19F3" w:rsidRDefault="001C19F3" w:rsidP="001C19F3">
      <w:pPr>
        <w:spacing w:before="200" w:after="0"/>
        <w:jc w:val="center"/>
        <w:rPr>
          <w:b/>
        </w:rPr>
      </w:pPr>
      <w:bookmarkStart w:id="453" w:name="_Ref524543506"/>
      <w:r>
        <w:rPr>
          <w:b/>
        </w:rPr>
        <w:t>Table</w:t>
      </w:r>
      <w:r w:rsidRPr="001D6F49">
        <w:rPr>
          <w:b/>
        </w:rPr>
        <w:t xml:space="preserve"> </w:t>
      </w:r>
      <w:r>
        <w:rPr>
          <w:rFonts w:cs="Arial"/>
          <w:b/>
          <w:color w:val="000000" w:themeColor="text1"/>
        </w:rPr>
        <w:fldChar w:fldCharType="begin"/>
      </w:r>
      <w:r>
        <w:rPr>
          <w:rFonts w:cs="Arial"/>
          <w:b/>
          <w:color w:val="000000" w:themeColor="text1"/>
        </w:rPr>
        <w:instrText xml:space="preserve"> SEQ Table \* ARABIC </w:instrText>
      </w:r>
      <w:r>
        <w:rPr>
          <w:rFonts w:cs="Arial"/>
          <w:b/>
          <w:color w:val="000000" w:themeColor="text1"/>
        </w:rPr>
        <w:fldChar w:fldCharType="separate"/>
      </w:r>
      <w:r>
        <w:rPr>
          <w:rFonts w:cs="Arial"/>
          <w:b/>
          <w:noProof/>
          <w:color w:val="000000" w:themeColor="text1"/>
        </w:rPr>
        <w:t>8</w:t>
      </w:r>
      <w:r>
        <w:rPr>
          <w:rFonts w:cs="Arial"/>
          <w:b/>
          <w:color w:val="000000" w:themeColor="text1"/>
        </w:rPr>
        <w:fldChar w:fldCharType="end"/>
      </w:r>
      <w:bookmarkEnd w:id="453"/>
      <w:r>
        <w:rPr>
          <w:b/>
        </w:rPr>
        <w:t xml:space="preserve"> – Evaluation progress, by data source</w:t>
      </w:r>
    </w:p>
    <w:tbl>
      <w:tblPr>
        <w:tblStyle w:val="TableGrid"/>
        <w:tblW w:w="93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598"/>
        <w:gridCol w:w="1670"/>
        <w:gridCol w:w="1985"/>
        <w:gridCol w:w="1984"/>
        <w:gridCol w:w="3119"/>
      </w:tblGrid>
      <w:tr w:rsidR="001C19F3" w:rsidRPr="008C7D4F" w14:paraId="45750006" w14:textId="77777777" w:rsidTr="00521305">
        <w:trPr>
          <w:jc w:val="center"/>
        </w:trPr>
        <w:tc>
          <w:tcPr>
            <w:tcW w:w="598" w:type="dxa"/>
            <w:tcBorders>
              <w:top w:val="nil"/>
              <w:left w:val="nil"/>
              <w:bottom w:val="nil"/>
            </w:tcBorders>
            <w:shd w:val="clear" w:color="auto" w:fill="auto"/>
          </w:tcPr>
          <w:p w14:paraId="75DCAE45" w14:textId="77777777" w:rsidR="001C19F3" w:rsidRPr="00BB2245" w:rsidRDefault="001C19F3" w:rsidP="00521305">
            <w:pPr>
              <w:spacing w:after="0"/>
              <w:rPr>
                <w:b/>
                <w:sz w:val="18"/>
                <w:szCs w:val="18"/>
              </w:rPr>
            </w:pPr>
            <w:r w:rsidRPr="00BB2245">
              <w:rPr>
                <w:b/>
                <w:sz w:val="18"/>
                <w:szCs w:val="18"/>
              </w:rPr>
              <w:t>Key:</w:t>
            </w:r>
          </w:p>
        </w:tc>
        <w:tc>
          <w:tcPr>
            <w:tcW w:w="1670" w:type="dxa"/>
            <w:shd w:val="clear" w:color="auto" w:fill="C5E0B3" w:themeFill="accent6" w:themeFillTint="66"/>
          </w:tcPr>
          <w:p w14:paraId="2E168687" w14:textId="77777777" w:rsidR="001C19F3" w:rsidRPr="00BB2245" w:rsidRDefault="001C19F3" w:rsidP="00521305">
            <w:pPr>
              <w:spacing w:after="0"/>
              <w:jc w:val="center"/>
              <w:rPr>
                <w:b/>
                <w:sz w:val="18"/>
                <w:szCs w:val="18"/>
              </w:rPr>
            </w:pPr>
            <w:r w:rsidRPr="00BB2245">
              <w:rPr>
                <w:b/>
                <w:sz w:val="18"/>
                <w:szCs w:val="18"/>
              </w:rPr>
              <w:t>C - Complete</w:t>
            </w:r>
          </w:p>
        </w:tc>
        <w:tc>
          <w:tcPr>
            <w:tcW w:w="1985" w:type="dxa"/>
            <w:shd w:val="clear" w:color="auto" w:fill="BDD6EE" w:themeFill="accent1" w:themeFillTint="66"/>
          </w:tcPr>
          <w:p w14:paraId="3133AD74" w14:textId="77777777" w:rsidR="001C19F3" w:rsidRPr="00BB2245" w:rsidRDefault="001C19F3" w:rsidP="00521305">
            <w:pPr>
              <w:spacing w:after="0"/>
              <w:jc w:val="center"/>
              <w:rPr>
                <w:b/>
                <w:sz w:val="18"/>
                <w:szCs w:val="18"/>
              </w:rPr>
            </w:pPr>
            <w:r w:rsidRPr="00BB2245">
              <w:rPr>
                <w:b/>
                <w:sz w:val="18"/>
                <w:szCs w:val="18"/>
              </w:rPr>
              <w:t>IP – In progress</w:t>
            </w:r>
          </w:p>
        </w:tc>
        <w:tc>
          <w:tcPr>
            <w:tcW w:w="1984" w:type="dxa"/>
            <w:shd w:val="clear" w:color="auto" w:fill="FFD966" w:themeFill="accent4" w:themeFillTint="99"/>
          </w:tcPr>
          <w:p w14:paraId="26920EC3" w14:textId="77777777" w:rsidR="001C19F3" w:rsidRPr="00BB2245" w:rsidRDefault="001C19F3" w:rsidP="00521305">
            <w:pPr>
              <w:spacing w:after="0"/>
              <w:jc w:val="center"/>
              <w:rPr>
                <w:b/>
                <w:sz w:val="18"/>
                <w:szCs w:val="18"/>
              </w:rPr>
            </w:pPr>
            <w:r w:rsidRPr="00BB2245">
              <w:rPr>
                <w:b/>
                <w:sz w:val="18"/>
                <w:szCs w:val="18"/>
              </w:rPr>
              <w:t>TC – To commence</w:t>
            </w:r>
          </w:p>
        </w:tc>
        <w:tc>
          <w:tcPr>
            <w:tcW w:w="3119" w:type="dxa"/>
            <w:shd w:val="clear" w:color="auto" w:fill="auto"/>
          </w:tcPr>
          <w:p w14:paraId="4C4D1D97" w14:textId="77777777" w:rsidR="001C19F3" w:rsidRPr="00BB2245" w:rsidRDefault="001C19F3" w:rsidP="00521305">
            <w:pPr>
              <w:spacing w:after="0"/>
              <w:jc w:val="center"/>
              <w:rPr>
                <w:b/>
                <w:sz w:val="18"/>
                <w:szCs w:val="18"/>
              </w:rPr>
            </w:pPr>
            <w:r>
              <w:rPr>
                <w:b/>
                <w:sz w:val="18"/>
                <w:szCs w:val="18"/>
              </w:rPr>
              <w:t>No planned activity in the round</w:t>
            </w:r>
          </w:p>
        </w:tc>
      </w:tr>
    </w:tbl>
    <w:tbl>
      <w:tblPr>
        <w:tblW w:w="5551"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7995"/>
        <w:gridCol w:w="346"/>
        <w:gridCol w:w="414"/>
        <w:gridCol w:w="416"/>
        <w:gridCol w:w="424"/>
        <w:gridCol w:w="415"/>
      </w:tblGrid>
      <w:tr w:rsidR="001C19F3" w:rsidRPr="00E76010" w14:paraId="5E740424" w14:textId="77777777" w:rsidTr="00521305">
        <w:trPr>
          <w:tblHeader/>
          <w:jc w:val="center"/>
        </w:trPr>
        <w:tc>
          <w:tcPr>
            <w:tcW w:w="3994" w:type="pct"/>
            <w:vMerge w:val="restart"/>
            <w:shd w:val="clear" w:color="auto" w:fill="003D79"/>
            <w:vAlign w:val="center"/>
          </w:tcPr>
          <w:p w14:paraId="348EBBAD" w14:textId="77777777" w:rsidR="001C19F3" w:rsidRPr="00E76010" w:rsidRDefault="001C19F3" w:rsidP="00521305">
            <w:pPr>
              <w:spacing w:after="0"/>
              <w:jc w:val="center"/>
              <w:rPr>
                <w:b/>
                <w:sz w:val="18"/>
                <w:szCs w:val="18"/>
              </w:rPr>
            </w:pPr>
            <w:r>
              <w:rPr>
                <w:b/>
                <w:sz w:val="18"/>
                <w:szCs w:val="18"/>
              </w:rPr>
              <w:t>Data source</w:t>
            </w:r>
          </w:p>
        </w:tc>
        <w:tc>
          <w:tcPr>
            <w:tcW w:w="1006" w:type="pct"/>
            <w:gridSpan w:val="5"/>
            <w:shd w:val="clear" w:color="auto" w:fill="003D79"/>
          </w:tcPr>
          <w:p w14:paraId="62C298FD" w14:textId="77777777" w:rsidR="001C19F3" w:rsidRPr="00E76010" w:rsidRDefault="001C19F3" w:rsidP="00521305">
            <w:pPr>
              <w:spacing w:after="0"/>
              <w:jc w:val="center"/>
              <w:rPr>
                <w:b/>
                <w:sz w:val="18"/>
                <w:szCs w:val="18"/>
              </w:rPr>
            </w:pPr>
            <w:r>
              <w:rPr>
                <w:b/>
                <w:sz w:val="18"/>
                <w:szCs w:val="18"/>
              </w:rPr>
              <w:t>Evaluation round</w:t>
            </w:r>
            <w:r w:rsidRPr="00713718">
              <w:rPr>
                <w:b/>
                <w:sz w:val="18"/>
                <w:szCs w:val="18"/>
                <w:vertAlign w:val="superscript"/>
              </w:rPr>
              <w:t>1</w:t>
            </w:r>
          </w:p>
        </w:tc>
      </w:tr>
      <w:tr w:rsidR="001C19F3" w:rsidRPr="00E76010" w14:paraId="5AFFBB8B" w14:textId="77777777" w:rsidTr="00521305">
        <w:trPr>
          <w:tblHeader/>
          <w:jc w:val="center"/>
        </w:trPr>
        <w:tc>
          <w:tcPr>
            <w:tcW w:w="3994" w:type="pct"/>
            <w:vMerge/>
            <w:shd w:val="clear" w:color="auto" w:fill="003D79"/>
          </w:tcPr>
          <w:p w14:paraId="23CFB7F0" w14:textId="77777777" w:rsidR="001C19F3" w:rsidRPr="00E76010" w:rsidRDefault="001C19F3" w:rsidP="00521305">
            <w:pPr>
              <w:spacing w:after="0"/>
              <w:rPr>
                <w:b/>
                <w:sz w:val="18"/>
                <w:szCs w:val="18"/>
              </w:rPr>
            </w:pPr>
          </w:p>
        </w:tc>
        <w:tc>
          <w:tcPr>
            <w:tcW w:w="173" w:type="pct"/>
            <w:shd w:val="clear" w:color="auto" w:fill="003D79"/>
          </w:tcPr>
          <w:p w14:paraId="72D04A60" w14:textId="77777777" w:rsidR="001C19F3" w:rsidRDefault="001C19F3" w:rsidP="00521305">
            <w:pPr>
              <w:spacing w:after="0"/>
              <w:jc w:val="center"/>
              <w:rPr>
                <w:b/>
                <w:sz w:val="18"/>
                <w:szCs w:val="18"/>
              </w:rPr>
            </w:pPr>
            <w:r>
              <w:rPr>
                <w:b/>
                <w:sz w:val="18"/>
                <w:szCs w:val="18"/>
              </w:rPr>
              <w:t>1</w:t>
            </w:r>
          </w:p>
        </w:tc>
        <w:tc>
          <w:tcPr>
            <w:tcW w:w="207" w:type="pct"/>
            <w:shd w:val="clear" w:color="auto" w:fill="003D79"/>
          </w:tcPr>
          <w:p w14:paraId="3BC23D10" w14:textId="77777777" w:rsidR="001C19F3" w:rsidRDefault="001C19F3" w:rsidP="00521305">
            <w:pPr>
              <w:spacing w:after="0"/>
              <w:jc w:val="center"/>
              <w:rPr>
                <w:b/>
                <w:sz w:val="18"/>
                <w:szCs w:val="18"/>
              </w:rPr>
            </w:pPr>
            <w:r>
              <w:rPr>
                <w:b/>
                <w:sz w:val="18"/>
                <w:szCs w:val="18"/>
              </w:rPr>
              <w:t>2</w:t>
            </w:r>
          </w:p>
        </w:tc>
        <w:tc>
          <w:tcPr>
            <w:tcW w:w="208" w:type="pct"/>
            <w:shd w:val="clear" w:color="auto" w:fill="003D79"/>
          </w:tcPr>
          <w:p w14:paraId="25AD4FC7" w14:textId="77777777" w:rsidR="001C19F3" w:rsidRDefault="001C19F3" w:rsidP="00521305">
            <w:pPr>
              <w:spacing w:after="0"/>
              <w:jc w:val="center"/>
              <w:rPr>
                <w:b/>
                <w:sz w:val="18"/>
                <w:szCs w:val="18"/>
              </w:rPr>
            </w:pPr>
            <w:r>
              <w:rPr>
                <w:b/>
                <w:sz w:val="18"/>
                <w:szCs w:val="18"/>
              </w:rPr>
              <w:t>3</w:t>
            </w:r>
          </w:p>
        </w:tc>
        <w:tc>
          <w:tcPr>
            <w:tcW w:w="212" w:type="pct"/>
            <w:shd w:val="clear" w:color="auto" w:fill="003D79"/>
          </w:tcPr>
          <w:p w14:paraId="04DA4B48" w14:textId="77777777" w:rsidR="001C19F3" w:rsidRDefault="001C19F3" w:rsidP="00521305">
            <w:pPr>
              <w:spacing w:after="0"/>
              <w:jc w:val="center"/>
              <w:rPr>
                <w:b/>
                <w:sz w:val="18"/>
                <w:szCs w:val="18"/>
              </w:rPr>
            </w:pPr>
            <w:r>
              <w:rPr>
                <w:b/>
                <w:sz w:val="18"/>
                <w:szCs w:val="18"/>
              </w:rPr>
              <w:t>4</w:t>
            </w:r>
          </w:p>
        </w:tc>
        <w:tc>
          <w:tcPr>
            <w:tcW w:w="207" w:type="pct"/>
            <w:shd w:val="clear" w:color="auto" w:fill="003D79"/>
          </w:tcPr>
          <w:p w14:paraId="4586AF4B" w14:textId="77777777" w:rsidR="001C19F3" w:rsidRDefault="001C19F3" w:rsidP="00521305">
            <w:pPr>
              <w:spacing w:after="0"/>
              <w:jc w:val="center"/>
              <w:rPr>
                <w:b/>
                <w:sz w:val="18"/>
                <w:szCs w:val="18"/>
              </w:rPr>
            </w:pPr>
            <w:r>
              <w:rPr>
                <w:b/>
                <w:sz w:val="18"/>
                <w:szCs w:val="18"/>
              </w:rPr>
              <w:t>5</w:t>
            </w:r>
          </w:p>
        </w:tc>
      </w:tr>
      <w:tr w:rsidR="001C19F3" w:rsidRPr="00E76010" w14:paraId="72FB7892" w14:textId="77777777" w:rsidTr="00521305">
        <w:trPr>
          <w:jc w:val="center"/>
        </w:trPr>
        <w:tc>
          <w:tcPr>
            <w:tcW w:w="3994" w:type="pct"/>
          </w:tcPr>
          <w:p w14:paraId="1FCAA189" w14:textId="77777777" w:rsidR="001C19F3" w:rsidRPr="004558EA" w:rsidRDefault="001C19F3" w:rsidP="00521305">
            <w:pPr>
              <w:spacing w:after="0"/>
              <w:rPr>
                <w:sz w:val="18"/>
                <w:szCs w:val="18"/>
              </w:rPr>
            </w:pPr>
            <w:r w:rsidRPr="004558EA">
              <w:rPr>
                <w:b/>
                <w:sz w:val="18"/>
                <w:szCs w:val="18"/>
              </w:rPr>
              <w:t>Patient surveys:</w:t>
            </w:r>
            <w:r w:rsidRPr="004558EA">
              <w:rPr>
                <w:sz w:val="18"/>
                <w:szCs w:val="18"/>
              </w:rPr>
              <w:t xml:space="preserve"> </w:t>
            </w:r>
            <w:r>
              <w:rPr>
                <w:sz w:val="18"/>
                <w:szCs w:val="18"/>
              </w:rPr>
              <w:t>Wave</w:t>
            </w:r>
            <w:r w:rsidRPr="004558EA">
              <w:rPr>
                <w:sz w:val="18"/>
                <w:szCs w:val="18"/>
              </w:rPr>
              <w:t xml:space="preserve"> 1 started in December 2017 and </w:t>
            </w:r>
            <w:r>
              <w:rPr>
                <w:sz w:val="18"/>
                <w:szCs w:val="18"/>
              </w:rPr>
              <w:t>was</w:t>
            </w:r>
            <w:r w:rsidRPr="004558EA">
              <w:rPr>
                <w:sz w:val="18"/>
                <w:szCs w:val="18"/>
              </w:rPr>
              <w:t xml:space="preserve"> completed in March 2019. There were 2,018 completed </w:t>
            </w:r>
            <w:r>
              <w:rPr>
                <w:sz w:val="18"/>
                <w:szCs w:val="18"/>
              </w:rPr>
              <w:t xml:space="preserve">surveys </w:t>
            </w:r>
            <w:r w:rsidRPr="004558EA">
              <w:rPr>
                <w:sz w:val="18"/>
                <w:szCs w:val="18"/>
              </w:rPr>
              <w:t>with a raw response rate of 64.6%</w:t>
            </w:r>
            <w:r>
              <w:rPr>
                <w:sz w:val="18"/>
                <w:szCs w:val="18"/>
              </w:rPr>
              <w:t>.</w:t>
            </w:r>
          </w:p>
        </w:tc>
        <w:tc>
          <w:tcPr>
            <w:tcW w:w="587" w:type="pct"/>
            <w:gridSpan w:val="3"/>
            <w:shd w:val="clear" w:color="auto" w:fill="70AD47" w:themeFill="accent6"/>
            <w:vAlign w:val="center"/>
          </w:tcPr>
          <w:p w14:paraId="3BA3B6AC" w14:textId="77777777" w:rsidR="001C19F3" w:rsidRPr="006235A3" w:rsidRDefault="001C19F3" w:rsidP="00521305">
            <w:pPr>
              <w:spacing w:after="0"/>
              <w:jc w:val="center"/>
              <w:rPr>
                <w:b/>
                <w:sz w:val="16"/>
                <w:szCs w:val="16"/>
              </w:rPr>
            </w:pPr>
            <w:r w:rsidRPr="006235A3">
              <w:rPr>
                <w:b/>
                <w:color w:val="FFFFFF" w:themeColor="background1"/>
                <w:sz w:val="16"/>
                <w:szCs w:val="16"/>
              </w:rPr>
              <w:t>C</w:t>
            </w:r>
          </w:p>
        </w:tc>
        <w:tc>
          <w:tcPr>
            <w:tcW w:w="212" w:type="pct"/>
            <w:shd w:val="clear" w:color="auto" w:fill="FFC000" w:themeFill="accent4"/>
            <w:vAlign w:val="center"/>
          </w:tcPr>
          <w:p w14:paraId="12A3BD47" w14:textId="77777777" w:rsidR="001C19F3" w:rsidRPr="00AF6B9C" w:rsidRDefault="001C19F3" w:rsidP="00521305">
            <w:pPr>
              <w:spacing w:after="0"/>
              <w:jc w:val="center"/>
              <w:rPr>
                <w:b/>
                <w:color w:val="000000" w:themeColor="text1"/>
                <w:sz w:val="16"/>
                <w:szCs w:val="16"/>
              </w:rPr>
            </w:pPr>
            <w:r w:rsidRPr="00AF6B9C">
              <w:rPr>
                <w:b/>
                <w:color w:val="000000" w:themeColor="text1"/>
                <w:sz w:val="16"/>
                <w:szCs w:val="16"/>
              </w:rPr>
              <w:t>TC</w:t>
            </w:r>
          </w:p>
        </w:tc>
        <w:tc>
          <w:tcPr>
            <w:tcW w:w="207" w:type="pct"/>
            <w:shd w:val="clear" w:color="auto" w:fill="FFC000" w:themeFill="accent4"/>
            <w:vAlign w:val="center"/>
          </w:tcPr>
          <w:p w14:paraId="2EA109A3" w14:textId="77777777" w:rsidR="001C19F3" w:rsidRPr="00AF6B9C" w:rsidRDefault="001C19F3" w:rsidP="00521305">
            <w:pPr>
              <w:spacing w:after="0"/>
              <w:jc w:val="center"/>
              <w:rPr>
                <w:b/>
                <w:color w:val="000000" w:themeColor="text1"/>
              </w:rPr>
            </w:pPr>
            <w:r w:rsidRPr="00AF6B9C">
              <w:rPr>
                <w:b/>
                <w:color w:val="000000" w:themeColor="text1"/>
                <w:sz w:val="16"/>
                <w:szCs w:val="16"/>
              </w:rPr>
              <w:t>TC</w:t>
            </w:r>
          </w:p>
        </w:tc>
      </w:tr>
      <w:tr w:rsidR="001C19F3" w:rsidRPr="00E76010" w14:paraId="02ABE25D" w14:textId="77777777" w:rsidTr="00521305">
        <w:trPr>
          <w:jc w:val="center"/>
        </w:trPr>
        <w:tc>
          <w:tcPr>
            <w:tcW w:w="3994" w:type="pct"/>
          </w:tcPr>
          <w:p w14:paraId="344D6862" w14:textId="77777777" w:rsidR="001C19F3" w:rsidRPr="00AF6B9C" w:rsidRDefault="001C19F3" w:rsidP="00521305">
            <w:pPr>
              <w:spacing w:after="0" w:line="259" w:lineRule="auto"/>
              <w:rPr>
                <w:highlight w:val="yellow"/>
              </w:rPr>
            </w:pPr>
            <w:r w:rsidRPr="004558EA">
              <w:rPr>
                <w:b/>
                <w:sz w:val="18"/>
                <w:szCs w:val="18"/>
              </w:rPr>
              <w:t>Practice surveys:</w:t>
            </w:r>
            <w:r w:rsidRPr="004558EA">
              <w:rPr>
                <w:sz w:val="18"/>
                <w:szCs w:val="18"/>
              </w:rPr>
              <w:t xml:space="preserve"> Round 1 surveys completed (Part A: 171 responses in total, with 120 from practices continuing in the program. Part B: 118 responses from practices continuing in the program</w:t>
            </w:r>
            <w:r w:rsidRPr="00327E58">
              <w:rPr>
                <w:sz w:val="18"/>
                <w:szCs w:val="18"/>
              </w:rPr>
              <w:t>). The Round 2 survey</w:t>
            </w:r>
            <w:r>
              <w:rPr>
                <w:sz w:val="18"/>
                <w:szCs w:val="18"/>
              </w:rPr>
              <w:t xml:space="preserve">s completed with </w:t>
            </w:r>
            <w:r w:rsidRPr="00327E58">
              <w:rPr>
                <w:sz w:val="18"/>
                <w:szCs w:val="18"/>
              </w:rPr>
              <w:t>105 responses</w:t>
            </w:r>
            <w:r>
              <w:rPr>
                <w:sz w:val="18"/>
                <w:szCs w:val="18"/>
              </w:rPr>
              <w:t xml:space="preserve"> (</w:t>
            </w:r>
            <w:r w:rsidRPr="00327E58">
              <w:rPr>
                <w:sz w:val="18"/>
                <w:szCs w:val="18"/>
              </w:rPr>
              <w:t xml:space="preserve">92 </w:t>
            </w:r>
            <w:r>
              <w:rPr>
                <w:sz w:val="18"/>
                <w:szCs w:val="18"/>
              </w:rPr>
              <w:t>from</w:t>
            </w:r>
            <w:r w:rsidRPr="00327E58">
              <w:rPr>
                <w:sz w:val="18"/>
                <w:szCs w:val="18"/>
              </w:rPr>
              <w:t xml:space="preserve"> practice</w:t>
            </w:r>
            <w:r>
              <w:rPr>
                <w:sz w:val="18"/>
                <w:szCs w:val="18"/>
              </w:rPr>
              <w:t>s</w:t>
            </w:r>
            <w:r w:rsidRPr="00327E58">
              <w:rPr>
                <w:sz w:val="18"/>
                <w:szCs w:val="18"/>
              </w:rPr>
              <w:t xml:space="preserve"> continuing in the program</w:t>
            </w:r>
            <w:r>
              <w:rPr>
                <w:sz w:val="18"/>
                <w:szCs w:val="18"/>
              </w:rPr>
              <w:t>)</w:t>
            </w:r>
            <w:r w:rsidRPr="00327E58">
              <w:rPr>
                <w:sz w:val="18"/>
                <w:szCs w:val="18"/>
              </w:rPr>
              <w:t>.</w:t>
            </w:r>
          </w:p>
        </w:tc>
        <w:tc>
          <w:tcPr>
            <w:tcW w:w="173" w:type="pct"/>
            <w:shd w:val="clear" w:color="auto" w:fill="70AD47" w:themeFill="accent6"/>
            <w:vAlign w:val="center"/>
          </w:tcPr>
          <w:p w14:paraId="18AA4E72" w14:textId="77777777" w:rsidR="001C19F3" w:rsidRDefault="001C19F3" w:rsidP="00521305">
            <w:pPr>
              <w:spacing w:after="0"/>
              <w:jc w:val="center"/>
            </w:pPr>
            <w:r w:rsidRPr="009504FD">
              <w:rPr>
                <w:b/>
                <w:color w:val="FFFFFF" w:themeColor="background1"/>
                <w:sz w:val="16"/>
                <w:szCs w:val="16"/>
              </w:rPr>
              <w:t>C</w:t>
            </w:r>
          </w:p>
        </w:tc>
        <w:tc>
          <w:tcPr>
            <w:tcW w:w="207" w:type="pct"/>
            <w:shd w:val="clear" w:color="auto" w:fill="70AD47" w:themeFill="accent6"/>
            <w:vAlign w:val="center"/>
          </w:tcPr>
          <w:p w14:paraId="589032E5" w14:textId="77777777" w:rsidR="001C19F3" w:rsidRPr="000A5B3F" w:rsidRDefault="001C19F3" w:rsidP="00521305">
            <w:pPr>
              <w:spacing w:after="0"/>
              <w:jc w:val="center"/>
              <w:rPr>
                <w:sz w:val="16"/>
                <w:szCs w:val="16"/>
              </w:rPr>
            </w:pPr>
            <w:r w:rsidRPr="00313FBC">
              <w:rPr>
                <w:b/>
                <w:color w:val="FFFFFF" w:themeColor="background1"/>
                <w:sz w:val="16"/>
                <w:szCs w:val="16"/>
              </w:rPr>
              <w:t>C</w:t>
            </w:r>
          </w:p>
        </w:tc>
        <w:tc>
          <w:tcPr>
            <w:tcW w:w="208" w:type="pct"/>
            <w:vAlign w:val="center"/>
          </w:tcPr>
          <w:p w14:paraId="2EFD5FF9" w14:textId="77777777" w:rsidR="001C19F3" w:rsidRPr="000A5B3F" w:rsidRDefault="001C19F3" w:rsidP="00521305">
            <w:pPr>
              <w:spacing w:after="0"/>
              <w:jc w:val="center"/>
              <w:rPr>
                <w:sz w:val="16"/>
                <w:szCs w:val="16"/>
              </w:rPr>
            </w:pPr>
          </w:p>
        </w:tc>
        <w:tc>
          <w:tcPr>
            <w:tcW w:w="212" w:type="pct"/>
            <w:shd w:val="clear" w:color="auto" w:fill="FFC000" w:themeFill="accent4"/>
            <w:vAlign w:val="center"/>
          </w:tcPr>
          <w:p w14:paraId="495792B2" w14:textId="77777777" w:rsidR="001C19F3" w:rsidRPr="0046685C" w:rsidRDefault="001C19F3" w:rsidP="00521305">
            <w:pPr>
              <w:spacing w:after="0"/>
              <w:jc w:val="center"/>
              <w:rPr>
                <w:sz w:val="16"/>
                <w:szCs w:val="16"/>
              </w:rPr>
            </w:pPr>
            <w:r>
              <w:rPr>
                <w:sz w:val="16"/>
                <w:szCs w:val="16"/>
              </w:rPr>
              <w:t>TC</w:t>
            </w:r>
          </w:p>
        </w:tc>
        <w:tc>
          <w:tcPr>
            <w:tcW w:w="207" w:type="pct"/>
            <w:shd w:val="clear" w:color="auto" w:fill="FFC000" w:themeFill="accent4"/>
            <w:vAlign w:val="center"/>
          </w:tcPr>
          <w:p w14:paraId="3FA39C31" w14:textId="77777777" w:rsidR="001C19F3" w:rsidRDefault="001C19F3" w:rsidP="00521305">
            <w:pPr>
              <w:spacing w:after="0"/>
              <w:jc w:val="center"/>
            </w:pPr>
            <w:r w:rsidRPr="0046685C">
              <w:rPr>
                <w:sz w:val="16"/>
                <w:szCs w:val="16"/>
              </w:rPr>
              <w:t>TC</w:t>
            </w:r>
          </w:p>
        </w:tc>
      </w:tr>
      <w:tr w:rsidR="001C19F3" w:rsidRPr="00E76010" w14:paraId="1D2CDAAF" w14:textId="77777777" w:rsidTr="00521305">
        <w:trPr>
          <w:jc w:val="center"/>
        </w:trPr>
        <w:tc>
          <w:tcPr>
            <w:tcW w:w="3994" w:type="pct"/>
          </w:tcPr>
          <w:p w14:paraId="1717C61B" w14:textId="77777777" w:rsidR="001C19F3" w:rsidRPr="00AF6B9C" w:rsidRDefault="001C19F3" w:rsidP="00521305">
            <w:pPr>
              <w:spacing w:after="0"/>
              <w:rPr>
                <w:sz w:val="18"/>
                <w:szCs w:val="18"/>
                <w:highlight w:val="yellow"/>
              </w:rPr>
            </w:pPr>
            <w:r w:rsidRPr="004558EA">
              <w:rPr>
                <w:b/>
                <w:sz w:val="18"/>
                <w:szCs w:val="18"/>
              </w:rPr>
              <w:t>Practice staff surveys:</w:t>
            </w:r>
            <w:r w:rsidRPr="004558EA">
              <w:rPr>
                <w:sz w:val="18"/>
                <w:szCs w:val="18"/>
              </w:rPr>
              <w:t xml:space="preserve"> Round 1 surveys </w:t>
            </w:r>
            <w:r>
              <w:rPr>
                <w:sz w:val="18"/>
                <w:szCs w:val="18"/>
              </w:rPr>
              <w:t xml:space="preserve">were </w:t>
            </w:r>
            <w:r w:rsidRPr="004558EA">
              <w:rPr>
                <w:sz w:val="18"/>
                <w:szCs w:val="18"/>
              </w:rPr>
              <w:t xml:space="preserve">completed between March and August 2018. 529 staff responded from 146 practices. </w:t>
            </w:r>
            <w:r>
              <w:rPr>
                <w:sz w:val="18"/>
                <w:szCs w:val="18"/>
              </w:rPr>
              <w:t xml:space="preserve">These included </w:t>
            </w:r>
            <w:r w:rsidRPr="004558EA">
              <w:rPr>
                <w:sz w:val="18"/>
                <w:szCs w:val="18"/>
              </w:rPr>
              <w:t>100 GPs, 125 practice nurses/nurse practitioners, 131 receptionists, and 128 practices managers</w:t>
            </w:r>
            <w:r>
              <w:rPr>
                <w:sz w:val="18"/>
                <w:szCs w:val="18"/>
              </w:rPr>
              <w:t>. 425 surveys are from staff of practices continuing in the HCH trial.</w:t>
            </w:r>
          </w:p>
        </w:tc>
        <w:tc>
          <w:tcPr>
            <w:tcW w:w="173" w:type="pct"/>
            <w:shd w:val="clear" w:color="auto" w:fill="70AD47" w:themeFill="accent6"/>
            <w:vAlign w:val="center"/>
          </w:tcPr>
          <w:p w14:paraId="0617B5C2" w14:textId="77777777" w:rsidR="001C19F3" w:rsidRDefault="001C19F3" w:rsidP="00521305">
            <w:pPr>
              <w:spacing w:after="0"/>
              <w:jc w:val="center"/>
            </w:pPr>
            <w:r w:rsidRPr="009504FD">
              <w:rPr>
                <w:b/>
                <w:color w:val="FFFFFF" w:themeColor="background1"/>
                <w:sz w:val="16"/>
                <w:szCs w:val="16"/>
              </w:rPr>
              <w:t>C</w:t>
            </w:r>
          </w:p>
        </w:tc>
        <w:tc>
          <w:tcPr>
            <w:tcW w:w="207" w:type="pct"/>
            <w:vAlign w:val="center"/>
          </w:tcPr>
          <w:p w14:paraId="56A48394" w14:textId="77777777" w:rsidR="001C19F3" w:rsidRPr="000A5B3F" w:rsidRDefault="001C19F3" w:rsidP="00521305">
            <w:pPr>
              <w:spacing w:after="0"/>
              <w:jc w:val="center"/>
              <w:rPr>
                <w:sz w:val="16"/>
                <w:szCs w:val="16"/>
              </w:rPr>
            </w:pPr>
          </w:p>
        </w:tc>
        <w:tc>
          <w:tcPr>
            <w:tcW w:w="208" w:type="pct"/>
            <w:vAlign w:val="center"/>
          </w:tcPr>
          <w:p w14:paraId="0058B623" w14:textId="77777777" w:rsidR="001C19F3" w:rsidRPr="000A5B3F" w:rsidRDefault="001C19F3" w:rsidP="00521305">
            <w:pPr>
              <w:spacing w:after="0"/>
              <w:jc w:val="center"/>
              <w:rPr>
                <w:sz w:val="16"/>
                <w:szCs w:val="16"/>
              </w:rPr>
            </w:pPr>
          </w:p>
        </w:tc>
        <w:tc>
          <w:tcPr>
            <w:tcW w:w="212" w:type="pct"/>
            <w:shd w:val="clear" w:color="auto" w:fill="auto"/>
            <w:vAlign w:val="center"/>
          </w:tcPr>
          <w:p w14:paraId="6650095F" w14:textId="77777777" w:rsidR="001C19F3" w:rsidRPr="0046685C" w:rsidRDefault="001C19F3" w:rsidP="00521305">
            <w:pPr>
              <w:spacing w:after="0"/>
              <w:jc w:val="center"/>
              <w:rPr>
                <w:sz w:val="16"/>
                <w:szCs w:val="16"/>
              </w:rPr>
            </w:pPr>
          </w:p>
        </w:tc>
        <w:tc>
          <w:tcPr>
            <w:tcW w:w="207" w:type="pct"/>
            <w:shd w:val="clear" w:color="auto" w:fill="FFC000" w:themeFill="accent4"/>
            <w:vAlign w:val="center"/>
          </w:tcPr>
          <w:p w14:paraId="2784653F" w14:textId="77777777" w:rsidR="001C19F3" w:rsidRDefault="001C19F3" w:rsidP="00521305">
            <w:pPr>
              <w:spacing w:after="0"/>
              <w:jc w:val="center"/>
            </w:pPr>
            <w:r w:rsidRPr="0046685C">
              <w:rPr>
                <w:sz w:val="16"/>
                <w:szCs w:val="16"/>
              </w:rPr>
              <w:t>TC</w:t>
            </w:r>
          </w:p>
        </w:tc>
      </w:tr>
      <w:tr w:rsidR="001C19F3" w:rsidRPr="00E76010" w14:paraId="7C9AA6C7" w14:textId="77777777" w:rsidTr="00521305">
        <w:trPr>
          <w:jc w:val="center"/>
        </w:trPr>
        <w:tc>
          <w:tcPr>
            <w:tcW w:w="3994" w:type="pct"/>
          </w:tcPr>
          <w:p w14:paraId="5CCE3946" w14:textId="77777777" w:rsidR="001C19F3" w:rsidRPr="00AF6B9C" w:rsidRDefault="001C19F3" w:rsidP="00521305">
            <w:pPr>
              <w:spacing w:after="0"/>
              <w:rPr>
                <w:sz w:val="18"/>
                <w:szCs w:val="18"/>
                <w:highlight w:val="yellow"/>
              </w:rPr>
            </w:pPr>
            <w:r w:rsidRPr="00327E58">
              <w:rPr>
                <w:b/>
                <w:sz w:val="18"/>
                <w:szCs w:val="18"/>
              </w:rPr>
              <w:t>Practice exit interviews/surveys:</w:t>
            </w:r>
            <w:r w:rsidRPr="00327E58">
              <w:rPr>
                <w:sz w:val="18"/>
                <w:szCs w:val="18"/>
              </w:rPr>
              <w:t xml:space="preserve"> </w:t>
            </w:r>
            <w:r>
              <w:rPr>
                <w:sz w:val="18"/>
                <w:szCs w:val="18"/>
              </w:rPr>
              <w:t>M</w:t>
            </w:r>
            <w:r w:rsidRPr="00327E58">
              <w:rPr>
                <w:sz w:val="18"/>
                <w:szCs w:val="18"/>
              </w:rPr>
              <w:t>ethods for conducting exit interviews and surveys changed over time. By September 2018</w:t>
            </w:r>
            <w:r>
              <w:rPr>
                <w:sz w:val="18"/>
                <w:szCs w:val="18"/>
              </w:rPr>
              <w:t>,</w:t>
            </w:r>
            <w:r w:rsidRPr="00327E58">
              <w:rPr>
                <w:sz w:val="18"/>
                <w:szCs w:val="18"/>
              </w:rPr>
              <w:t xml:space="preserve"> interviews had been conducted with eight individuals covering 17 practices (some individuals spoke on behalf of multiple practices). Written reasons for withdrawal </w:t>
            </w:r>
            <w:r>
              <w:rPr>
                <w:sz w:val="18"/>
                <w:szCs w:val="18"/>
              </w:rPr>
              <w:t>were</w:t>
            </w:r>
            <w:r w:rsidRPr="00327E58">
              <w:rPr>
                <w:sz w:val="18"/>
                <w:szCs w:val="18"/>
              </w:rPr>
              <w:t xml:space="preserve"> provided by three other practices. These responses have been incorporated into this report. An online exit survey is now being used, although responses to this have been low (</w:t>
            </w:r>
            <w:r>
              <w:rPr>
                <w:sz w:val="18"/>
                <w:szCs w:val="18"/>
              </w:rPr>
              <w:t>7</w:t>
            </w:r>
            <w:r w:rsidRPr="00327E58">
              <w:rPr>
                <w:sz w:val="18"/>
                <w:szCs w:val="18"/>
              </w:rPr>
              <w:t xml:space="preserve"> practices).</w:t>
            </w:r>
          </w:p>
        </w:tc>
        <w:tc>
          <w:tcPr>
            <w:tcW w:w="173" w:type="pct"/>
            <w:shd w:val="clear" w:color="auto" w:fill="70AD47" w:themeFill="accent6"/>
            <w:vAlign w:val="center"/>
          </w:tcPr>
          <w:p w14:paraId="6E781A21" w14:textId="77777777" w:rsidR="001C19F3" w:rsidRDefault="001C19F3" w:rsidP="00521305">
            <w:pPr>
              <w:spacing w:after="0"/>
              <w:jc w:val="center"/>
            </w:pPr>
            <w:r w:rsidRPr="009504FD">
              <w:rPr>
                <w:b/>
                <w:color w:val="FFFFFF" w:themeColor="background1"/>
                <w:sz w:val="16"/>
                <w:szCs w:val="16"/>
              </w:rPr>
              <w:t>C</w:t>
            </w:r>
          </w:p>
        </w:tc>
        <w:tc>
          <w:tcPr>
            <w:tcW w:w="207" w:type="pct"/>
            <w:shd w:val="clear" w:color="auto" w:fill="70AD47" w:themeFill="accent6"/>
            <w:vAlign w:val="center"/>
          </w:tcPr>
          <w:p w14:paraId="108F4CD1" w14:textId="77777777" w:rsidR="001C19F3" w:rsidRPr="000A5B3F" w:rsidRDefault="001C19F3" w:rsidP="00521305">
            <w:pPr>
              <w:spacing w:after="0"/>
              <w:jc w:val="center"/>
              <w:rPr>
                <w:sz w:val="16"/>
                <w:szCs w:val="16"/>
              </w:rPr>
            </w:pPr>
            <w:r w:rsidRPr="00313FBC">
              <w:rPr>
                <w:b/>
                <w:color w:val="FFFFFF" w:themeColor="background1"/>
                <w:sz w:val="16"/>
                <w:szCs w:val="16"/>
              </w:rPr>
              <w:t>C</w:t>
            </w:r>
          </w:p>
        </w:tc>
        <w:tc>
          <w:tcPr>
            <w:tcW w:w="208" w:type="pct"/>
            <w:shd w:val="clear" w:color="auto" w:fill="70AD47" w:themeFill="accent6"/>
            <w:vAlign w:val="center"/>
          </w:tcPr>
          <w:p w14:paraId="6482A5E5" w14:textId="77777777" w:rsidR="001C19F3" w:rsidRPr="000A5B3F" w:rsidRDefault="001C19F3" w:rsidP="00521305">
            <w:pPr>
              <w:spacing w:after="0"/>
              <w:jc w:val="center"/>
              <w:rPr>
                <w:sz w:val="16"/>
                <w:szCs w:val="16"/>
              </w:rPr>
            </w:pPr>
            <w:r w:rsidRPr="00313FBC">
              <w:rPr>
                <w:b/>
                <w:color w:val="FFFFFF" w:themeColor="background1"/>
                <w:sz w:val="16"/>
                <w:szCs w:val="16"/>
              </w:rPr>
              <w:t>C</w:t>
            </w:r>
          </w:p>
        </w:tc>
        <w:tc>
          <w:tcPr>
            <w:tcW w:w="212" w:type="pct"/>
            <w:shd w:val="clear" w:color="auto" w:fill="FFC000" w:themeFill="accent4"/>
            <w:vAlign w:val="center"/>
          </w:tcPr>
          <w:p w14:paraId="03233656" w14:textId="77777777" w:rsidR="001C19F3" w:rsidRPr="00AF6B9C" w:rsidRDefault="001C19F3" w:rsidP="00521305">
            <w:pPr>
              <w:spacing w:after="0"/>
              <w:jc w:val="center"/>
              <w:rPr>
                <w:b/>
                <w:sz w:val="16"/>
                <w:szCs w:val="16"/>
              </w:rPr>
            </w:pPr>
            <w:r w:rsidRPr="00327E58">
              <w:rPr>
                <w:b/>
                <w:color w:val="000000" w:themeColor="text1"/>
                <w:sz w:val="16"/>
                <w:szCs w:val="16"/>
              </w:rPr>
              <w:t>TC</w:t>
            </w:r>
          </w:p>
        </w:tc>
        <w:tc>
          <w:tcPr>
            <w:tcW w:w="207" w:type="pct"/>
            <w:shd w:val="clear" w:color="auto" w:fill="FFC000" w:themeFill="accent4"/>
            <w:vAlign w:val="center"/>
          </w:tcPr>
          <w:p w14:paraId="78E8232E" w14:textId="77777777" w:rsidR="001C19F3" w:rsidRDefault="001C19F3" w:rsidP="00521305">
            <w:pPr>
              <w:spacing w:after="0"/>
              <w:jc w:val="center"/>
            </w:pPr>
            <w:r w:rsidRPr="0046685C">
              <w:rPr>
                <w:sz w:val="16"/>
                <w:szCs w:val="16"/>
              </w:rPr>
              <w:t>TC</w:t>
            </w:r>
          </w:p>
        </w:tc>
      </w:tr>
      <w:tr w:rsidR="001C19F3" w:rsidRPr="00E76010" w14:paraId="18FA91EF" w14:textId="77777777" w:rsidTr="00521305">
        <w:trPr>
          <w:jc w:val="center"/>
        </w:trPr>
        <w:tc>
          <w:tcPr>
            <w:tcW w:w="3994" w:type="pct"/>
            <w:shd w:val="clear" w:color="auto" w:fill="auto"/>
          </w:tcPr>
          <w:p w14:paraId="53FD1601" w14:textId="77777777" w:rsidR="001C19F3" w:rsidRPr="00327E58" w:rsidRDefault="001C19F3" w:rsidP="00521305">
            <w:pPr>
              <w:spacing w:after="0"/>
              <w:rPr>
                <w:sz w:val="18"/>
                <w:szCs w:val="18"/>
              </w:rPr>
            </w:pPr>
            <w:r w:rsidRPr="00327E58">
              <w:rPr>
                <w:b/>
                <w:sz w:val="18"/>
                <w:szCs w:val="18"/>
              </w:rPr>
              <w:t>PHN survey:</w:t>
            </w:r>
            <w:r w:rsidRPr="00327E58">
              <w:rPr>
                <w:sz w:val="18"/>
                <w:szCs w:val="18"/>
              </w:rPr>
              <w:t xml:space="preserve"> Round 1 surveys </w:t>
            </w:r>
            <w:r>
              <w:rPr>
                <w:sz w:val="18"/>
                <w:szCs w:val="18"/>
              </w:rPr>
              <w:t xml:space="preserve">were </w:t>
            </w:r>
            <w:r w:rsidRPr="00327E58">
              <w:rPr>
                <w:sz w:val="18"/>
                <w:szCs w:val="18"/>
              </w:rPr>
              <w:t xml:space="preserve">completed in August 2018 (all 10 PHNs responded). </w:t>
            </w:r>
          </w:p>
        </w:tc>
        <w:tc>
          <w:tcPr>
            <w:tcW w:w="173" w:type="pct"/>
            <w:shd w:val="clear" w:color="auto" w:fill="70AD47" w:themeFill="accent6"/>
            <w:vAlign w:val="center"/>
          </w:tcPr>
          <w:p w14:paraId="2F420BFE" w14:textId="77777777" w:rsidR="001C19F3" w:rsidRDefault="001C19F3" w:rsidP="00521305">
            <w:pPr>
              <w:spacing w:after="0"/>
              <w:jc w:val="center"/>
            </w:pPr>
            <w:r w:rsidRPr="009504FD">
              <w:rPr>
                <w:b/>
                <w:color w:val="FFFFFF" w:themeColor="background1"/>
                <w:sz w:val="16"/>
                <w:szCs w:val="16"/>
              </w:rPr>
              <w:t>C</w:t>
            </w:r>
          </w:p>
        </w:tc>
        <w:tc>
          <w:tcPr>
            <w:tcW w:w="207" w:type="pct"/>
            <w:vAlign w:val="center"/>
          </w:tcPr>
          <w:p w14:paraId="13D2CAC5" w14:textId="77777777" w:rsidR="001C19F3" w:rsidRPr="000A5B3F" w:rsidRDefault="001C19F3" w:rsidP="00521305">
            <w:pPr>
              <w:spacing w:after="0"/>
              <w:jc w:val="center"/>
              <w:rPr>
                <w:sz w:val="16"/>
                <w:szCs w:val="16"/>
              </w:rPr>
            </w:pPr>
          </w:p>
        </w:tc>
        <w:tc>
          <w:tcPr>
            <w:tcW w:w="208" w:type="pct"/>
            <w:shd w:val="clear" w:color="auto" w:fill="auto"/>
            <w:vAlign w:val="center"/>
          </w:tcPr>
          <w:p w14:paraId="18B9A396" w14:textId="77777777" w:rsidR="001C19F3" w:rsidRPr="000A5B3F" w:rsidRDefault="001C19F3" w:rsidP="00521305">
            <w:pPr>
              <w:spacing w:after="0"/>
              <w:jc w:val="center"/>
              <w:rPr>
                <w:sz w:val="16"/>
                <w:szCs w:val="16"/>
              </w:rPr>
            </w:pPr>
          </w:p>
        </w:tc>
        <w:tc>
          <w:tcPr>
            <w:tcW w:w="212" w:type="pct"/>
            <w:shd w:val="clear" w:color="auto" w:fill="FFC000" w:themeFill="accent4"/>
            <w:vAlign w:val="center"/>
          </w:tcPr>
          <w:p w14:paraId="24C577ED" w14:textId="77777777" w:rsidR="001C19F3" w:rsidRPr="0046685C" w:rsidRDefault="001C19F3" w:rsidP="00521305">
            <w:pPr>
              <w:spacing w:after="0"/>
              <w:jc w:val="center"/>
              <w:rPr>
                <w:sz w:val="16"/>
                <w:szCs w:val="16"/>
              </w:rPr>
            </w:pPr>
            <w:r>
              <w:rPr>
                <w:sz w:val="16"/>
                <w:szCs w:val="16"/>
              </w:rPr>
              <w:t>TC</w:t>
            </w:r>
          </w:p>
        </w:tc>
        <w:tc>
          <w:tcPr>
            <w:tcW w:w="207" w:type="pct"/>
            <w:shd w:val="clear" w:color="auto" w:fill="FFC000" w:themeFill="accent4"/>
            <w:vAlign w:val="center"/>
          </w:tcPr>
          <w:p w14:paraId="46968F0C" w14:textId="77777777" w:rsidR="001C19F3" w:rsidRDefault="001C19F3" w:rsidP="00521305">
            <w:pPr>
              <w:spacing w:after="0"/>
              <w:jc w:val="center"/>
            </w:pPr>
            <w:r w:rsidRPr="0046685C">
              <w:rPr>
                <w:sz w:val="16"/>
                <w:szCs w:val="16"/>
              </w:rPr>
              <w:t>TC</w:t>
            </w:r>
          </w:p>
        </w:tc>
      </w:tr>
      <w:tr w:rsidR="001C19F3" w:rsidRPr="00E76010" w14:paraId="12A14641" w14:textId="77777777" w:rsidTr="00521305">
        <w:trPr>
          <w:jc w:val="center"/>
        </w:trPr>
        <w:tc>
          <w:tcPr>
            <w:tcW w:w="3994" w:type="pct"/>
            <w:shd w:val="clear" w:color="auto" w:fill="auto"/>
          </w:tcPr>
          <w:p w14:paraId="5FBD37BE" w14:textId="77777777" w:rsidR="001C19F3" w:rsidRPr="00327E58" w:rsidRDefault="001C19F3" w:rsidP="00521305">
            <w:pPr>
              <w:tabs>
                <w:tab w:val="left" w:pos="730"/>
              </w:tabs>
              <w:spacing w:after="0"/>
              <w:rPr>
                <w:sz w:val="18"/>
                <w:szCs w:val="18"/>
              </w:rPr>
            </w:pPr>
            <w:r w:rsidRPr="00327E58">
              <w:rPr>
                <w:b/>
                <w:sz w:val="18"/>
                <w:szCs w:val="18"/>
              </w:rPr>
              <w:t>PHN interviews:</w:t>
            </w:r>
            <w:r w:rsidRPr="00327E58">
              <w:rPr>
                <w:sz w:val="18"/>
                <w:szCs w:val="18"/>
              </w:rPr>
              <w:t xml:space="preserve"> Round 1 interview</w:t>
            </w:r>
            <w:r>
              <w:rPr>
                <w:sz w:val="18"/>
                <w:szCs w:val="18"/>
              </w:rPr>
              <w:t>s</w:t>
            </w:r>
            <w:r w:rsidRPr="00327E58">
              <w:rPr>
                <w:sz w:val="18"/>
                <w:szCs w:val="18"/>
              </w:rPr>
              <w:t xml:space="preserve"> </w:t>
            </w:r>
            <w:r>
              <w:rPr>
                <w:sz w:val="18"/>
                <w:szCs w:val="18"/>
              </w:rPr>
              <w:t>occurred</w:t>
            </w:r>
            <w:r w:rsidRPr="00327E58">
              <w:rPr>
                <w:sz w:val="18"/>
                <w:szCs w:val="18"/>
              </w:rPr>
              <w:t xml:space="preserve"> between January and June 2018. Round 2 interviews </w:t>
            </w:r>
            <w:r>
              <w:rPr>
                <w:sz w:val="18"/>
                <w:szCs w:val="18"/>
              </w:rPr>
              <w:t xml:space="preserve">occurred between </w:t>
            </w:r>
            <w:r w:rsidRPr="00327E58">
              <w:rPr>
                <w:sz w:val="18"/>
                <w:szCs w:val="18"/>
              </w:rPr>
              <w:t>November</w:t>
            </w:r>
            <w:r>
              <w:rPr>
                <w:sz w:val="18"/>
                <w:szCs w:val="18"/>
              </w:rPr>
              <w:t xml:space="preserve"> and </w:t>
            </w:r>
            <w:r w:rsidRPr="00327E58">
              <w:rPr>
                <w:sz w:val="18"/>
                <w:szCs w:val="18"/>
              </w:rPr>
              <w:t xml:space="preserve">December 2018. Round 4 interviews </w:t>
            </w:r>
            <w:r>
              <w:rPr>
                <w:sz w:val="18"/>
                <w:szCs w:val="18"/>
              </w:rPr>
              <w:t>started in</w:t>
            </w:r>
            <w:r w:rsidRPr="00327E58">
              <w:rPr>
                <w:sz w:val="18"/>
                <w:szCs w:val="18"/>
              </w:rPr>
              <w:t xml:space="preserve"> July 2019 </w:t>
            </w:r>
            <w:r>
              <w:rPr>
                <w:sz w:val="18"/>
                <w:szCs w:val="18"/>
              </w:rPr>
              <w:t>(and continued through to October 2019)</w:t>
            </w:r>
            <w:r w:rsidRPr="00327E58">
              <w:rPr>
                <w:sz w:val="18"/>
                <w:szCs w:val="18"/>
              </w:rPr>
              <w:t>.</w:t>
            </w:r>
          </w:p>
        </w:tc>
        <w:tc>
          <w:tcPr>
            <w:tcW w:w="173" w:type="pct"/>
            <w:shd w:val="clear" w:color="auto" w:fill="70AD47" w:themeFill="accent6"/>
            <w:vAlign w:val="center"/>
          </w:tcPr>
          <w:p w14:paraId="79105D85" w14:textId="77777777" w:rsidR="001C19F3" w:rsidRDefault="001C19F3" w:rsidP="00521305">
            <w:pPr>
              <w:spacing w:after="0"/>
              <w:jc w:val="center"/>
            </w:pPr>
            <w:r w:rsidRPr="009504FD">
              <w:rPr>
                <w:b/>
                <w:color w:val="FFFFFF" w:themeColor="background1"/>
                <w:sz w:val="16"/>
                <w:szCs w:val="16"/>
              </w:rPr>
              <w:t>C</w:t>
            </w:r>
          </w:p>
        </w:tc>
        <w:tc>
          <w:tcPr>
            <w:tcW w:w="207" w:type="pct"/>
            <w:shd w:val="clear" w:color="auto" w:fill="70AD47" w:themeFill="accent6"/>
            <w:vAlign w:val="center"/>
          </w:tcPr>
          <w:p w14:paraId="03E0ADEF"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C</w:t>
            </w:r>
          </w:p>
        </w:tc>
        <w:tc>
          <w:tcPr>
            <w:tcW w:w="208" w:type="pct"/>
            <w:shd w:val="clear" w:color="auto" w:fill="auto"/>
            <w:vAlign w:val="center"/>
          </w:tcPr>
          <w:p w14:paraId="5D7D4B9E" w14:textId="77777777" w:rsidR="001C19F3" w:rsidRPr="00AF6B9C" w:rsidRDefault="001C19F3" w:rsidP="00521305">
            <w:pPr>
              <w:spacing w:after="0"/>
              <w:jc w:val="center"/>
              <w:rPr>
                <w:b/>
                <w:color w:val="FFFFFF" w:themeColor="background1"/>
                <w:sz w:val="16"/>
                <w:szCs w:val="16"/>
              </w:rPr>
            </w:pPr>
          </w:p>
        </w:tc>
        <w:tc>
          <w:tcPr>
            <w:tcW w:w="212" w:type="pct"/>
            <w:shd w:val="clear" w:color="auto" w:fill="70AD47" w:themeFill="accent6"/>
            <w:vAlign w:val="center"/>
          </w:tcPr>
          <w:p w14:paraId="2ACAC32B"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C</w:t>
            </w:r>
          </w:p>
        </w:tc>
        <w:tc>
          <w:tcPr>
            <w:tcW w:w="207" w:type="pct"/>
            <w:shd w:val="clear" w:color="auto" w:fill="FFC000" w:themeFill="accent4"/>
            <w:vAlign w:val="center"/>
          </w:tcPr>
          <w:p w14:paraId="3FAE0922" w14:textId="77777777" w:rsidR="001C19F3" w:rsidRDefault="001C19F3" w:rsidP="00521305">
            <w:pPr>
              <w:spacing w:after="0"/>
              <w:jc w:val="center"/>
            </w:pPr>
            <w:r w:rsidRPr="0046685C">
              <w:rPr>
                <w:sz w:val="16"/>
                <w:szCs w:val="16"/>
              </w:rPr>
              <w:t>TC</w:t>
            </w:r>
          </w:p>
        </w:tc>
      </w:tr>
      <w:tr w:rsidR="001C19F3" w:rsidRPr="00E76010" w14:paraId="020378D8" w14:textId="77777777" w:rsidTr="00521305">
        <w:trPr>
          <w:trHeight w:val="792"/>
          <w:jc w:val="center"/>
        </w:trPr>
        <w:tc>
          <w:tcPr>
            <w:tcW w:w="3994" w:type="pct"/>
          </w:tcPr>
          <w:p w14:paraId="5010EA7A" w14:textId="77777777" w:rsidR="001C19F3" w:rsidRPr="00AF6B9C" w:rsidRDefault="001C19F3" w:rsidP="00521305">
            <w:pPr>
              <w:spacing w:after="0"/>
              <w:ind w:left="17"/>
              <w:rPr>
                <w:sz w:val="18"/>
                <w:szCs w:val="18"/>
                <w:highlight w:val="yellow"/>
              </w:rPr>
            </w:pPr>
            <w:r w:rsidRPr="008F5486">
              <w:rPr>
                <w:b/>
                <w:sz w:val="18"/>
                <w:szCs w:val="18"/>
              </w:rPr>
              <w:t>Case studies:</w:t>
            </w:r>
            <w:r w:rsidRPr="008F5486">
              <w:rPr>
                <w:sz w:val="18"/>
                <w:szCs w:val="18"/>
              </w:rPr>
              <w:t xml:space="preserve"> Round 2 patient and carer/ family interviews/ focus groups and practice interviews were undertaken </w:t>
            </w:r>
            <w:r>
              <w:rPr>
                <w:sz w:val="18"/>
                <w:szCs w:val="18"/>
              </w:rPr>
              <w:t>between</w:t>
            </w:r>
            <w:r w:rsidRPr="008F5486">
              <w:rPr>
                <w:sz w:val="18"/>
                <w:szCs w:val="18"/>
              </w:rPr>
              <w:t xml:space="preserve"> September</w:t>
            </w:r>
            <w:r>
              <w:rPr>
                <w:sz w:val="18"/>
                <w:szCs w:val="18"/>
              </w:rPr>
              <w:t xml:space="preserve"> and </w:t>
            </w:r>
            <w:r w:rsidRPr="008F5486">
              <w:rPr>
                <w:sz w:val="18"/>
                <w:szCs w:val="18"/>
              </w:rPr>
              <w:t>October 2018, with the</w:t>
            </w:r>
            <w:r>
              <w:rPr>
                <w:sz w:val="18"/>
                <w:szCs w:val="18"/>
              </w:rPr>
              <w:t xml:space="preserve"> </w:t>
            </w:r>
            <w:r w:rsidRPr="008F5486">
              <w:rPr>
                <w:sz w:val="18"/>
                <w:szCs w:val="18"/>
              </w:rPr>
              <w:t>exception of ACCHS i</w:t>
            </w:r>
            <w:r>
              <w:rPr>
                <w:sz w:val="18"/>
                <w:szCs w:val="18"/>
              </w:rPr>
              <w:t>n</w:t>
            </w:r>
            <w:r w:rsidRPr="008F5486">
              <w:rPr>
                <w:sz w:val="18"/>
                <w:szCs w:val="18"/>
              </w:rPr>
              <w:t xml:space="preserve"> the NT</w:t>
            </w:r>
            <w:r>
              <w:rPr>
                <w:sz w:val="18"/>
                <w:szCs w:val="18"/>
              </w:rPr>
              <w:t>. E</w:t>
            </w:r>
            <w:r w:rsidRPr="008F5486">
              <w:rPr>
                <w:sz w:val="18"/>
                <w:szCs w:val="18"/>
              </w:rPr>
              <w:t xml:space="preserve">thics approval has </w:t>
            </w:r>
            <w:r>
              <w:rPr>
                <w:sz w:val="18"/>
                <w:szCs w:val="18"/>
              </w:rPr>
              <w:t>now</w:t>
            </w:r>
            <w:r w:rsidRPr="008F5486">
              <w:rPr>
                <w:sz w:val="18"/>
                <w:szCs w:val="18"/>
              </w:rPr>
              <w:t xml:space="preserve"> been obtained</w:t>
            </w:r>
            <w:r>
              <w:rPr>
                <w:sz w:val="18"/>
                <w:szCs w:val="18"/>
              </w:rPr>
              <w:t xml:space="preserve"> for the case studies of the NT ACCHS and</w:t>
            </w:r>
            <w:r w:rsidRPr="008F5486">
              <w:rPr>
                <w:sz w:val="18"/>
                <w:szCs w:val="18"/>
              </w:rPr>
              <w:t xml:space="preserve"> interviews have just commenced.</w:t>
            </w:r>
          </w:p>
        </w:tc>
        <w:tc>
          <w:tcPr>
            <w:tcW w:w="173" w:type="pct"/>
            <w:vAlign w:val="center"/>
          </w:tcPr>
          <w:p w14:paraId="3400335F" w14:textId="77777777" w:rsidR="001C19F3" w:rsidRPr="000A5B3F" w:rsidRDefault="001C19F3" w:rsidP="00521305">
            <w:pPr>
              <w:spacing w:after="0"/>
              <w:jc w:val="center"/>
              <w:rPr>
                <w:sz w:val="16"/>
                <w:szCs w:val="16"/>
              </w:rPr>
            </w:pPr>
          </w:p>
        </w:tc>
        <w:tc>
          <w:tcPr>
            <w:tcW w:w="207" w:type="pct"/>
            <w:shd w:val="clear" w:color="auto" w:fill="70AD47" w:themeFill="accent6"/>
            <w:vAlign w:val="center"/>
          </w:tcPr>
          <w:p w14:paraId="06BF9051"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C</w:t>
            </w:r>
          </w:p>
        </w:tc>
        <w:tc>
          <w:tcPr>
            <w:tcW w:w="208" w:type="pct"/>
            <w:vAlign w:val="center"/>
          </w:tcPr>
          <w:p w14:paraId="7E102DDE" w14:textId="77777777" w:rsidR="001C19F3" w:rsidRDefault="001C19F3" w:rsidP="00521305">
            <w:pPr>
              <w:spacing w:after="0"/>
              <w:jc w:val="center"/>
            </w:pPr>
          </w:p>
        </w:tc>
        <w:tc>
          <w:tcPr>
            <w:tcW w:w="212" w:type="pct"/>
            <w:shd w:val="clear" w:color="auto" w:fill="2E74B5" w:themeFill="accent1" w:themeFillShade="BF"/>
            <w:vAlign w:val="center"/>
          </w:tcPr>
          <w:p w14:paraId="4DBC9190" w14:textId="77777777" w:rsidR="001C19F3" w:rsidRPr="00AF6B9C" w:rsidRDefault="001C19F3" w:rsidP="00521305">
            <w:pPr>
              <w:spacing w:after="0"/>
              <w:jc w:val="center"/>
              <w:rPr>
                <w:b/>
                <w:color w:val="FFFFFF" w:themeColor="background1"/>
                <w:sz w:val="16"/>
                <w:szCs w:val="16"/>
              </w:rPr>
            </w:pPr>
            <w:r>
              <w:rPr>
                <w:b/>
                <w:color w:val="FFFFFF" w:themeColor="background1"/>
                <w:sz w:val="16"/>
                <w:szCs w:val="16"/>
              </w:rPr>
              <w:t>IP</w:t>
            </w:r>
          </w:p>
        </w:tc>
        <w:tc>
          <w:tcPr>
            <w:tcW w:w="207" w:type="pct"/>
            <w:shd w:val="clear" w:color="auto" w:fill="FFC000" w:themeFill="accent4"/>
            <w:vAlign w:val="center"/>
          </w:tcPr>
          <w:p w14:paraId="56291B27" w14:textId="77777777" w:rsidR="001C19F3" w:rsidRDefault="001C19F3" w:rsidP="00521305">
            <w:pPr>
              <w:spacing w:after="0"/>
              <w:jc w:val="center"/>
            </w:pPr>
            <w:r w:rsidRPr="0046685C">
              <w:rPr>
                <w:sz w:val="16"/>
                <w:szCs w:val="16"/>
              </w:rPr>
              <w:t>TC</w:t>
            </w:r>
          </w:p>
        </w:tc>
      </w:tr>
      <w:tr w:rsidR="001C19F3" w:rsidRPr="00E76010" w14:paraId="693F063B" w14:textId="77777777" w:rsidTr="00521305">
        <w:trPr>
          <w:jc w:val="center"/>
        </w:trPr>
        <w:tc>
          <w:tcPr>
            <w:tcW w:w="3994" w:type="pct"/>
          </w:tcPr>
          <w:p w14:paraId="5A3FA97E" w14:textId="77777777" w:rsidR="001C19F3" w:rsidRPr="008F5486" w:rsidRDefault="001C19F3" w:rsidP="00521305">
            <w:pPr>
              <w:spacing w:after="0"/>
              <w:rPr>
                <w:sz w:val="18"/>
                <w:szCs w:val="18"/>
              </w:rPr>
            </w:pPr>
            <w:r w:rsidRPr="008F5486">
              <w:rPr>
                <w:b/>
                <w:sz w:val="18"/>
                <w:szCs w:val="18"/>
              </w:rPr>
              <w:t>Practice data extracts:</w:t>
            </w:r>
            <w:r w:rsidRPr="008F5486">
              <w:rPr>
                <w:sz w:val="18"/>
                <w:szCs w:val="18"/>
              </w:rPr>
              <w:t xml:space="preserve"> Arrangements have been finalised with practices using Pen CS and Polar GP, the corporate groups and NT ACCHS.</w:t>
            </w:r>
            <w:r>
              <w:rPr>
                <w:sz w:val="18"/>
                <w:szCs w:val="18"/>
              </w:rPr>
              <w:t xml:space="preserve"> </w:t>
            </w:r>
            <w:r w:rsidRPr="008F5486">
              <w:rPr>
                <w:sz w:val="18"/>
                <w:szCs w:val="18"/>
              </w:rPr>
              <w:t xml:space="preserve">Data for comparator practices is from NPS. Ongoing data extracts are being received from Pen CS, Polar GP practices and </w:t>
            </w:r>
            <w:r>
              <w:rPr>
                <w:sz w:val="18"/>
                <w:szCs w:val="18"/>
              </w:rPr>
              <w:t xml:space="preserve">NT </w:t>
            </w:r>
            <w:r w:rsidRPr="008F5486">
              <w:rPr>
                <w:sz w:val="18"/>
                <w:szCs w:val="18"/>
              </w:rPr>
              <w:t>ACCH</w:t>
            </w:r>
            <w:r>
              <w:rPr>
                <w:sz w:val="18"/>
                <w:szCs w:val="18"/>
              </w:rPr>
              <w:t>S</w:t>
            </w:r>
            <w:r w:rsidRPr="008F5486">
              <w:rPr>
                <w:sz w:val="18"/>
                <w:szCs w:val="18"/>
              </w:rPr>
              <w:t xml:space="preserve">. </w:t>
            </w:r>
            <w:r>
              <w:rPr>
                <w:sz w:val="18"/>
                <w:szCs w:val="18"/>
              </w:rPr>
              <w:t>A o</w:t>
            </w:r>
            <w:r w:rsidRPr="008F5486">
              <w:rPr>
                <w:sz w:val="18"/>
                <w:szCs w:val="18"/>
              </w:rPr>
              <w:t>nce</w:t>
            </w:r>
            <w:r>
              <w:rPr>
                <w:sz w:val="18"/>
                <w:szCs w:val="18"/>
              </w:rPr>
              <w:t>-</w:t>
            </w:r>
            <w:r w:rsidRPr="008F5486">
              <w:rPr>
                <w:sz w:val="18"/>
                <w:szCs w:val="18"/>
              </w:rPr>
              <w:t>off extract ha</w:t>
            </w:r>
            <w:r>
              <w:rPr>
                <w:sz w:val="18"/>
                <w:szCs w:val="18"/>
              </w:rPr>
              <w:t>s</w:t>
            </w:r>
            <w:r w:rsidRPr="008F5486">
              <w:rPr>
                <w:sz w:val="18"/>
                <w:szCs w:val="18"/>
              </w:rPr>
              <w:t xml:space="preserve"> been obtained from one of the corporate groups and arranged with another. NPS </w:t>
            </w:r>
            <w:r>
              <w:rPr>
                <w:sz w:val="18"/>
                <w:szCs w:val="18"/>
              </w:rPr>
              <w:t>has supplied two extracts</w:t>
            </w:r>
            <w:r w:rsidRPr="008F5486">
              <w:rPr>
                <w:sz w:val="18"/>
                <w:szCs w:val="18"/>
              </w:rPr>
              <w:t>.</w:t>
            </w:r>
          </w:p>
        </w:tc>
        <w:tc>
          <w:tcPr>
            <w:tcW w:w="173" w:type="pct"/>
            <w:shd w:val="clear" w:color="auto" w:fill="70AD47" w:themeFill="accent6"/>
            <w:vAlign w:val="center"/>
          </w:tcPr>
          <w:p w14:paraId="57563B5D" w14:textId="77777777" w:rsidR="001C19F3" w:rsidRPr="000A5B3F" w:rsidRDefault="001C19F3" w:rsidP="00521305">
            <w:pPr>
              <w:spacing w:after="0"/>
              <w:jc w:val="center"/>
              <w:rPr>
                <w:sz w:val="16"/>
                <w:szCs w:val="16"/>
              </w:rPr>
            </w:pPr>
            <w:r w:rsidRPr="00A1067F">
              <w:rPr>
                <w:b/>
                <w:color w:val="FFFFFF" w:themeColor="background1"/>
                <w:sz w:val="16"/>
                <w:szCs w:val="16"/>
              </w:rPr>
              <w:t>C</w:t>
            </w:r>
          </w:p>
        </w:tc>
        <w:tc>
          <w:tcPr>
            <w:tcW w:w="207" w:type="pct"/>
            <w:shd w:val="clear" w:color="auto" w:fill="70AD47" w:themeFill="accent6"/>
            <w:vAlign w:val="center"/>
          </w:tcPr>
          <w:p w14:paraId="2230418B" w14:textId="77777777" w:rsidR="001C19F3" w:rsidRPr="000A5B3F" w:rsidRDefault="001C19F3" w:rsidP="00521305">
            <w:pPr>
              <w:spacing w:after="0"/>
              <w:jc w:val="center"/>
              <w:rPr>
                <w:sz w:val="16"/>
                <w:szCs w:val="16"/>
              </w:rPr>
            </w:pPr>
            <w:r w:rsidRPr="00A1067F">
              <w:rPr>
                <w:b/>
                <w:color w:val="FFFFFF" w:themeColor="background1"/>
                <w:sz w:val="16"/>
                <w:szCs w:val="16"/>
              </w:rPr>
              <w:t>C</w:t>
            </w:r>
          </w:p>
        </w:tc>
        <w:tc>
          <w:tcPr>
            <w:tcW w:w="208" w:type="pct"/>
            <w:shd w:val="clear" w:color="auto" w:fill="70AD47" w:themeFill="accent6"/>
            <w:vAlign w:val="center"/>
          </w:tcPr>
          <w:p w14:paraId="304F3469" w14:textId="77777777" w:rsidR="001C19F3" w:rsidRPr="000A5B3F" w:rsidRDefault="001C19F3" w:rsidP="00521305">
            <w:pPr>
              <w:spacing w:after="0"/>
              <w:jc w:val="center"/>
              <w:rPr>
                <w:sz w:val="16"/>
                <w:szCs w:val="16"/>
              </w:rPr>
            </w:pPr>
            <w:r w:rsidRPr="00A1067F">
              <w:rPr>
                <w:b/>
                <w:color w:val="FFFFFF" w:themeColor="background1"/>
                <w:sz w:val="16"/>
                <w:szCs w:val="16"/>
              </w:rPr>
              <w:t>C</w:t>
            </w:r>
          </w:p>
        </w:tc>
        <w:tc>
          <w:tcPr>
            <w:tcW w:w="212" w:type="pct"/>
            <w:shd w:val="clear" w:color="auto" w:fill="2E74B5" w:themeFill="accent1" w:themeFillShade="BF"/>
            <w:vAlign w:val="center"/>
          </w:tcPr>
          <w:p w14:paraId="699A5B7C"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IP</w:t>
            </w:r>
          </w:p>
        </w:tc>
        <w:tc>
          <w:tcPr>
            <w:tcW w:w="207" w:type="pct"/>
            <w:shd w:val="clear" w:color="auto" w:fill="FFC000" w:themeFill="accent4"/>
            <w:vAlign w:val="center"/>
          </w:tcPr>
          <w:p w14:paraId="61B49EDA" w14:textId="77777777" w:rsidR="001C19F3" w:rsidRPr="000A5B3F" w:rsidRDefault="001C19F3" w:rsidP="00521305">
            <w:pPr>
              <w:spacing w:after="0"/>
              <w:jc w:val="center"/>
              <w:rPr>
                <w:sz w:val="16"/>
                <w:szCs w:val="16"/>
              </w:rPr>
            </w:pPr>
            <w:r w:rsidRPr="009F6975">
              <w:rPr>
                <w:sz w:val="16"/>
                <w:szCs w:val="16"/>
              </w:rPr>
              <w:t>TC</w:t>
            </w:r>
          </w:p>
        </w:tc>
      </w:tr>
      <w:tr w:rsidR="001C19F3" w:rsidRPr="00E76010" w14:paraId="4B5B7ABB" w14:textId="77777777" w:rsidTr="00521305">
        <w:trPr>
          <w:jc w:val="center"/>
        </w:trPr>
        <w:tc>
          <w:tcPr>
            <w:tcW w:w="3994" w:type="pct"/>
          </w:tcPr>
          <w:p w14:paraId="31DEFAFF" w14:textId="77777777" w:rsidR="001C19F3" w:rsidRPr="008F5486" w:rsidRDefault="001C19F3" w:rsidP="00521305">
            <w:pPr>
              <w:spacing w:after="0"/>
              <w:rPr>
                <w:szCs w:val="20"/>
              </w:rPr>
            </w:pPr>
            <w:r w:rsidRPr="008F5486">
              <w:rPr>
                <w:b/>
                <w:sz w:val="18"/>
                <w:szCs w:val="18"/>
              </w:rPr>
              <w:t>HCH program data:</w:t>
            </w:r>
            <w:r w:rsidRPr="008F5486">
              <w:rPr>
                <w:sz w:val="18"/>
                <w:szCs w:val="18"/>
              </w:rPr>
              <w:t xml:space="preserve"> Weekly reports on HCH enrolment numbers have been provided to the evaluators. Approval to access the more detailed specified data was obtained in October 2018</w:t>
            </w:r>
            <w:r>
              <w:rPr>
                <w:sz w:val="18"/>
                <w:szCs w:val="18"/>
              </w:rPr>
              <w:t>,</w:t>
            </w:r>
            <w:r w:rsidRPr="008F5486">
              <w:rPr>
                <w:sz w:val="18"/>
                <w:szCs w:val="18"/>
              </w:rPr>
              <w:t xml:space="preserve"> and data to 30 June 2019 has been supplied.</w:t>
            </w:r>
          </w:p>
        </w:tc>
        <w:tc>
          <w:tcPr>
            <w:tcW w:w="173" w:type="pct"/>
            <w:vAlign w:val="center"/>
          </w:tcPr>
          <w:p w14:paraId="524FE240" w14:textId="77777777" w:rsidR="001C19F3" w:rsidRPr="000A5B3F" w:rsidRDefault="001C19F3" w:rsidP="00521305">
            <w:pPr>
              <w:spacing w:after="0"/>
              <w:jc w:val="center"/>
              <w:rPr>
                <w:sz w:val="16"/>
                <w:szCs w:val="16"/>
              </w:rPr>
            </w:pPr>
          </w:p>
        </w:tc>
        <w:tc>
          <w:tcPr>
            <w:tcW w:w="207" w:type="pct"/>
            <w:shd w:val="clear" w:color="auto" w:fill="70AD47" w:themeFill="accent6"/>
            <w:vAlign w:val="center"/>
          </w:tcPr>
          <w:p w14:paraId="5DA79461"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C</w:t>
            </w:r>
          </w:p>
        </w:tc>
        <w:tc>
          <w:tcPr>
            <w:tcW w:w="208" w:type="pct"/>
            <w:shd w:val="clear" w:color="auto" w:fill="70AD47" w:themeFill="accent6"/>
            <w:vAlign w:val="center"/>
          </w:tcPr>
          <w:p w14:paraId="00F432FF" w14:textId="77777777" w:rsidR="001C19F3" w:rsidRPr="00AF6B9C" w:rsidRDefault="001C19F3" w:rsidP="00521305">
            <w:pPr>
              <w:spacing w:after="0"/>
              <w:jc w:val="center"/>
              <w:rPr>
                <w:b/>
                <w:color w:val="FFFFFF" w:themeColor="background1"/>
              </w:rPr>
            </w:pPr>
            <w:r w:rsidRPr="00AF6B9C">
              <w:rPr>
                <w:b/>
                <w:color w:val="FFFFFF" w:themeColor="background1"/>
                <w:sz w:val="16"/>
                <w:szCs w:val="16"/>
              </w:rPr>
              <w:t>C</w:t>
            </w:r>
          </w:p>
        </w:tc>
        <w:tc>
          <w:tcPr>
            <w:tcW w:w="212" w:type="pct"/>
            <w:shd w:val="clear" w:color="auto" w:fill="2E74B5" w:themeFill="accent1" w:themeFillShade="BF"/>
            <w:vAlign w:val="center"/>
          </w:tcPr>
          <w:p w14:paraId="33550760"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IP</w:t>
            </w:r>
          </w:p>
        </w:tc>
        <w:tc>
          <w:tcPr>
            <w:tcW w:w="207" w:type="pct"/>
            <w:shd w:val="clear" w:color="auto" w:fill="FFC000" w:themeFill="accent4"/>
            <w:vAlign w:val="center"/>
          </w:tcPr>
          <w:p w14:paraId="6008C431" w14:textId="77777777" w:rsidR="001C19F3" w:rsidRDefault="001C19F3" w:rsidP="00521305">
            <w:pPr>
              <w:spacing w:after="0"/>
              <w:jc w:val="center"/>
            </w:pPr>
            <w:r w:rsidRPr="009F6975">
              <w:rPr>
                <w:sz w:val="16"/>
                <w:szCs w:val="16"/>
              </w:rPr>
              <w:t>TC</w:t>
            </w:r>
          </w:p>
        </w:tc>
      </w:tr>
      <w:tr w:rsidR="001C19F3" w:rsidRPr="00E76010" w14:paraId="5A1425CA" w14:textId="77777777" w:rsidTr="00521305">
        <w:trPr>
          <w:jc w:val="center"/>
        </w:trPr>
        <w:tc>
          <w:tcPr>
            <w:tcW w:w="3994" w:type="pct"/>
          </w:tcPr>
          <w:p w14:paraId="0F8041E3" w14:textId="77777777" w:rsidR="001C19F3" w:rsidRPr="008F5486" w:rsidRDefault="001C19F3" w:rsidP="00521305">
            <w:pPr>
              <w:spacing w:after="0"/>
              <w:rPr>
                <w:sz w:val="18"/>
                <w:szCs w:val="18"/>
              </w:rPr>
            </w:pPr>
            <w:r w:rsidRPr="008F5486">
              <w:rPr>
                <w:b/>
                <w:sz w:val="18"/>
                <w:szCs w:val="18"/>
              </w:rPr>
              <w:t>Linked data</w:t>
            </w:r>
            <w:r>
              <w:rPr>
                <w:sz w:val="18"/>
                <w:szCs w:val="18"/>
              </w:rPr>
              <w:t>. T</w:t>
            </w:r>
            <w:r w:rsidRPr="008F5486">
              <w:rPr>
                <w:sz w:val="18"/>
                <w:szCs w:val="18"/>
              </w:rPr>
              <w:t>hree rounds of data will be supplied. An initial round is scheduled for October 2019, a second mid-2020 and a final supply in mid-2021.</w:t>
            </w:r>
          </w:p>
        </w:tc>
        <w:tc>
          <w:tcPr>
            <w:tcW w:w="173" w:type="pct"/>
            <w:vAlign w:val="center"/>
          </w:tcPr>
          <w:p w14:paraId="466C4ECC" w14:textId="77777777" w:rsidR="001C19F3" w:rsidRPr="000A5B3F" w:rsidRDefault="001C19F3" w:rsidP="00521305">
            <w:pPr>
              <w:spacing w:after="0"/>
              <w:jc w:val="center"/>
              <w:rPr>
                <w:sz w:val="16"/>
                <w:szCs w:val="16"/>
              </w:rPr>
            </w:pPr>
          </w:p>
        </w:tc>
        <w:tc>
          <w:tcPr>
            <w:tcW w:w="207" w:type="pct"/>
            <w:shd w:val="clear" w:color="auto" w:fill="auto"/>
            <w:vAlign w:val="center"/>
          </w:tcPr>
          <w:p w14:paraId="4417BDD4" w14:textId="77777777" w:rsidR="001C19F3" w:rsidRPr="000A5B3F" w:rsidRDefault="001C19F3" w:rsidP="00521305">
            <w:pPr>
              <w:spacing w:after="0"/>
              <w:jc w:val="center"/>
              <w:rPr>
                <w:sz w:val="16"/>
                <w:szCs w:val="16"/>
              </w:rPr>
            </w:pPr>
          </w:p>
        </w:tc>
        <w:tc>
          <w:tcPr>
            <w:tcW w:w="208" w:type="pct"/>
            <w:shd w:val="clear" w:color="auto" w:fill="auto"/>
            <w:vAlign w:val="center"/>
          </w:tcPr>
          <w:p w14:paraId="5DDA4010" w14:textId="77777777" w:rsidR="001C19F3" w:rsidRDefault="001C19F3" w:rsidP="00521305">
            <w:pPr>
              <w:spacing w:after="0"/>
              <w:jc w:val="center"/>
            </w:pPr>
          </w:p>
        </w:tc>
        <w:tc>
          <w:tcPr>
            <w:tcW w:w="212" w:type="pct"/>
            <w:shd w:val="clear" w:color="auto" w:fill="2E74B5" w:themeFill="accent1" w:themeFillShade="BF"/>
            <w:vAlign w:val="center"/>
          </w:tcPr>
          <w:p w14:paraId="18D87BAF" w14:textId="77777777" w:rsidR="001C19F3" w:rsidRPr="00AF6B9C" w:rsidRDefault="001C19F3" w:rsidP="00521305">
            <w:pPr>
              <w:spacing w:after="0"/>
              <w:jc w:val="center"/>
              <w:rPr>
                <w:b/>
                <w:color w:val="FFFFFF" w:themeColor="background1"/>
                <w:sz w:val="16"/>
                <w:szCs w:val="16"/>
              </w:rPr>
            </w:pPr>
            <w:r w:rsidRPr="00AF6B9C">
              <w:rPr>
                <w:b/>
                <w:color w:val="FFFFFF" w:themeColor="background1"/>
                <w:sz w:val="16"/>
                <w:szCs w:val="16"/>
              </w:rPr>
              <w:t>IP</w:t>
            </w:r>
          </w:p>
        </w:tc>
        <w:tc>
          <w:tcPr>
            <w:tcW w:w="207" w:type="pct"/>
            <w:shd w:val="clear" w:color="auto" w:fill="FFC000" w:themeFill="accent4"/>
            <w:vAlign w:val="center"/>
          </w:tcPr>
          <w:p w14:paraId="440DA232" w14:textId="77777777" w:rsidR="001C19F3" w:rsidRDefault="001C19F3" w:rsidP="00521305">
            <w:pPr>
              <w:spacing w:after="0"/>
              <w:jc w:val="center"/>
            </w:pPr>
            <w:r w:rsidRPr="009F6975">
              <w:rPr>
                <w:sz w:val="16"/>
                <w:szCs w:val="16"/>
              </w:rPr>
              <w:t>TC</w:t>
            </w:r>
          </w:p>
        </w:tc>
      </w:tr>
      <w:tr w:rsidR="001C19F3" w:rsidRPr="00E76010" w14:paraId="578E5BE4" w14:textId="77777777" w:rsidTr="00521305">
        <w:trPr>
          <w:trHeight w:val="638"/>
          <w:jc w:val="center"/>
        </w:trPr>
        <w:tc>
          <w:tcPr>
            <w:tcW w:w="3994" w:type="pct"/>
          </w:tcPr>
          <w:p w14:paraId="51FA971D" w14:textId="77777777" w:rsidR="001C19F3" w:rsidRPr="00EE7F40" w:rsidRDefault="001C19F3" w:rsidP="00521305">
            <w:pPr>
              <w:spacing w:after="0"/>
              <w:rPr>
                <w:sz w:val="18"/>
                <w:szCs w:val="18"/>
              </w:rPr>
            </w:pPr>
            <w:r w:rsidRPr="00EC6DC3">
              <w:rPr>
                <w:b/>
                <w:sz w:val="18"/>
                <w:szCs w:val="18"/>
              </w:rPr>
              <w:t>Other data sources:</w:t>
            </w:r>
            <w:r>
              <w:rPr>
                <w:sz w:val="18"/>
                <w:szCs w:val="18"/>
              </w:rPr>
              <w:t xml:space="preserve"> D</w:t>
            </w:r>
            <w:r w:rsidRPr="00713718">
              <w:rPr>
                <w:sz w:val="18"/>
                <w:szCs w:val="18"/>
              </w:rPr>
              <w:t>e-identified risk stratification data</w:t>
            </w:r>
            <w:r>
              <w:rPr>
                <w:sz w:val="18"/>
                <w:szCs w:val="18"/>
              </w:rPr>
              <w:t xml:space="preserve"> from Precedence,</w:t>
            </w:r>
            <w:r w:rsidRPr="00713718">
              <w:rPr>
                <w:sz w:val="18"/>
                <w:szCs w:val="18"/>
              </w:rPr>
              <w:t xml:space="preserve"> and data on participation and evaluation of training activities</w:t>
            </w:r>
            <w:r>
              <w:rPr>
                <w:sz w:val="18"/>
                <w:szCs w:val="18"/>
              </w:rPr>
              <w:t xml:space="preserve"> collected by AGPAL</w:t>
            </w:r>
            <w:r w:rsidRPr="00713718">
              <w:rPr>
                <w:sz w:val="18"/>
                <w:szCs w:val="18"/>
              </w:rPr>
              <w:t>.</w:t>
            </w:r>
            <w:r>
              <w:rPr>
                <w:sz w:val="18"/>
                <w:szCs w:val="18"/>
              </w:rPr>
              <w:t xml:space="preserve"> These data ha</w:t>
            </w:r>
            <w:r w:rsidRPr="00713718">
              <w:rPr>
                <w:sz w:val="18"/>
                <w:szCs w:val="18"/>
              </w:rPr>
              <w:t xml:space="preserve">ve been provided </w:t>
            </w:r>
            <w:r>
              <w:rPr>
                <w:sz w:val="18"/>
                <w:szCs w:val="18"/>
              </w:rPr>
              <w:t>and incorporated into this report.</w:t>
            </w:r>
          </w:p>
        </w:tc>
        <w:tc>
          <w:tcPr>
            <w:tcW w:w="173" w:type="pct"/>
          </w:tcPr>
          <w:p w14:paraId="1584207C" w14:textId="77777777" w:rsidR="001C19F3" w:rsidRPr="000A5B3F" w:rsidRDefault="001C19F3" w:rsidP="00521305">
            <w:pPr>
              <w:spacing w:after="0"/>
              <w:rPr>
                <w:sz w:val="16"/>
                <w:szCs w:val="16"/>
              </w:rPr>
            </w:pPr>
          </w:p>
        </w:tc>
        <w:tc>
          <w:tcPr>
            <w:tcW w:w="207" w:type="pct"/>
            <w:shd w:val="clear" w:color="auto" w:fill="70AD47" w:themeFill="accent6"/>
            <w:vAlign w:val="center"/>
          </w:tcPr>
          <w:p w14:paraId="08DEEC93" w14:textId="77777777" w:rsidR="001C19F3" w:rsidRPr="008F5486" w:rsidRDefault="001C19F3" w:rsidP="00521305">
            <w:pPr>
              <w:jc w:val="center"/>
              <w:rPr>
                <w:color w:val="FFFFFF" w:themeColor="background1"/>
                <w:sz w:val="16"/>
                <w:szCs w:val="16"/>
              </w:rPr>
            </w:pPr>
            <w:r w:rsidRPr="008F5486">
              <w:rPr>
                <w:color w:val="FFFFFF" w:themeColor="background1"/>
                <w:sz w:val="16"/>
                <w:szCs w:val="16"/>
              </w:rPr>
              <w:t>C</w:t>
            </w:r>
          </w:p>
        </w:tc>
        <w:tc>
          <w:tcPr>
            <w:tcW w:w="208" w:type="pct"/>
            <w:shd w:val="clear" w:color="auto" w:fill="auto"/>
          </w:tcPr>
          <w:p w14:paraId="6B26675E" w14:textId="77777777" w:rsidR="001C19F3" w:rsidRDefault="001C19F3" w:rsidP="00521305"/>
        </w:tc>
        <w:tc>
          <w:tcPr>
            <w:tcW w:w="212" w:type="pct"/>
            <w:shd w:val="clear" w:color="auto" w:fill="70AD47" w:themeFill="accent6"/>
            <w:vAlign w:val="center"/>
          </w:tcPr>
          <w:p w14:paraId="3B58622E" w14:textId="77777777" w:rsidR="001C19F3" w:rsidRPr="009F6975" w:rsidRDefault="001C19F3" w:rsidP="00521305">
            <w:pPr>
              <w:jc w:val="center"/>
              <w:rPr>
                <w:sz w:val="16"/>
                <w:szCs w:val="16"/>
              </w:rPr>
            </w:pPr>
            <w:r w:rsidRPr="008F5486">
              <w:rPr>
                <w:color w:val="FFFFFF" w:themeColor="background1"/>
                <w:sz w:val="16"/>
                <w:szCs w:val="16"/>
              </w:rPr>
              <w:t>C</w:t>
            </w:r>
          </w:p>
        </w:tc>
        <w:tc>
          <w:tcPr>
            <w:tcW w:w="207" w:type="pct"/>
            <w:shd w:val="clear" w:color="auto" w:fill="FFC000" w:themeFill="accent4"/>
            <w:vAlign w:val="center"/>
          </w:tcPr>
          <w:p w14:paraId="48BB613E" w14:textId="77777777" w:rsidR="001C19F3" w:rsidRDefault="001C19F3" w:rsidP="00521305">
            <w:pPr>
              <w:jc w:val="center"/>
            </w:pPr>
            <w:r w:rsidRPr="009F6975">
              <w:rPr>
                <w:sz w:val="16"/>
                <w:szCs w:val="16"/>
              </w:rPr>
              <w:t>TC</w:t>
            </w:r>
          </w:p>
        </w:tc>
      </w:tr>
    </w:tbl>
    <w:p w14:paraId="0B6827E7" w14:textId="77777777" w:rsidR="001C19F3" w:rsidRDefault="001C19F3" w:rsidP="001C19F3">
      <w:pPr>
        <w:spacing w:after="0"/>
        <w:ind w:left="-426"/>
        <w:rPr>
          <w:rFonts w:eastAsiaTheme="majorEastAsia" w:cstheme="majorBidi"/>
          <w:color w:val="003D79"/>
          <w:sz w:val="80"/>
          <w:szCs w:val="32"/>
        </w:rPr>
      </w:pPr>
      <w:r w:rsidRPr="00F13F5B">
        <w:rPr>
          <w:i/>
          <w:sz w:val="16"/>
          <w:szCs w:val="16"/>
          <w:vertAlign w:val="superscript"/>
        </w:rPr>
        <w:t>1</w:t>
      </w:r>
      <w:r>
        <w:rPr>
          <w:i/>
          <w:sz w:val="16"/>
          <w:szCs w:val="16"/>
        </w:rPr>
        <w:t xml:space="preserve">See </w:t>
      </w:r>
      <w:r>
        <w:rPr>
          <w:i/>
          <w:sz w:val="16"/>
          <w:szCs w:val="16"/>
        </w:rPr>
        <w:fldChar w:fldCharType="begin"/>
      </w:r>
      <w:r>
        <w:rPr>
          <w:i/>
          <w:sz w:val="16"/>
          <w:szCs w:val="16"/>
        </w:rPr>
        <w:instrText xml:space="preserve"> REF _Ref23345788 \h  \* MERGEFORMAT </w:instrText>
      </w:r>
      <w:r>
        <w:rPr>
          <w:i/>
          <w:sz w:val="16"/>
          <w:szCs w:val="16"/>
        </w:rPr>
      </w:r>
      <w:r>
        <w:rPr>
          <w:i/>
          <w:sz w:val="16"/>
          <w:szCs w:val="16"/>
        </w:rPr>
        <w:fldChar w:fldCharType="separate"/>
      </w:r>
      <w:r w:rsidRPr="00191669">
        <w:rPr>
          <w:i/>
          <w:sz w:val="16"/>
          <w:szCs w:val="16"/>
        </w:rPr>
        <w:t>Table 2</w:t>
      </w:r>
      <w:r>
        <w:rPr>
          <w:i/>
          <w:sz w:val="16"/>
          <w:szCs w:val="16"/>
        </w:rPr>
        <w:fldChar w:fldCharType="end"/>
      </w:r>
      <w:r>
        <w:rPr>
          <w:i/>
          <w:sz w:val="16"/>
          <w:szCs w:val="16"/>
        </w:rPr>
        <w:t xml:space="preserve">, p. </w:t>
      </w:r>
      <w:r>
        <w:rPr>
          <w:i/>
          <w:sz w:val="16"/>
          <w:szCs w:val="16"/>
        </w:rPr>
        <w:fldChar w:fldCharType="begin"/>
      </w:r>
      <w:r>
        <w:rPr>
          <w:i/>
          <w:sz w:val="16"/>
          <w:szCs w:val="16"/>
        </w:rPr>
        <w:instrText xml:space="preserve"> PAGEREF _Ref23351373 \h </w:instrText>
      </w:r>
      <w:r>
        <w:rPr>
          <w:i/>
          <w:sz w:val="16"/>
          <w:szCs w:val="16"/>
        </w:rPr>
      </w:r>
      <w:r>
        <w:rPr>
          <w:i/>
          <w:sz w:val="16"/>
          <w:szCs w:val="16"/>
        </w:rPr>
        <w:fldChar w:fldCharType="separate"/>
      </w:r>
      <w:r>
        <w:rPr>
          <w:i/>
          <w:noProof/>
          <w:sz w:val="16"/>
          <w:szCs w:val="16"/>
        </w:rPr>
        <w:t>4</w:t>
      </w:r>
      <w:r>
        <w:rPr>
          <w:i/>
          <w:sz w:val="16"/>
          <w:szCs w:val="16"/>
        </w:rPr>
        <w:fldChar w:fldCharType="end"/>
      </w:r>
      <w:r>
        <w:rPr>
          <w:i/>
          <w:sz w:val="16"/>
          <w:szCs w:val="16"/>
        </w:rPr>
        <w:t>.</w:t>
      </w:r>
      <w:r>
        <w:br w:type="page"/>
      </w:r>
    </w:p>
    <w:p w14:paraId="35CF75E0" w14:textId="77777777" w:rsidR="001C19F3" w:rsidRDefault="001C19F3" w:rsidP="001C19F3">
      <w:pPr>
        <w:pStyle w:val="Heading1nonumber"/>
        <w:sectPr w:rsidR="001C19F3" w:rsidSect="001C5D9E">
          <w:headerReference w:type="even" r:id="rId110"/>
          <w:headerReference w:type="default" r:id="rId111"/>
          <w:headerReference w:type="first" r:id="rId112"/>
          <w:pgSz w:w="11906" w:h="16838"/>
          <w:pgMar w:top="1440" w:right="1440" w:bottom="1440" w:left="1440" w:header="708" w:footer="708" w:gutter="0"/>
          <w:cols w:space="708"/>
          <w:titlePg/>
          <w:docGrid w:linePitch="360"/>
        </w:sectPr>
      </w:pPr>
    </w:p>
    <w:p w14:paraId="72E9EB9D" w14:textId="77777777" w:rsidR="001C19F3" w:rsidRDefault="001C19F3" w:rsidP="001C19F3">
      <w:pPr>
        <w:pStyle w:val="Heading1nonumber"/>
      </w:pPr>
      <w:bookmarkStart w:id="454" w:name="_Toc32586056"/>
      <w:r>
        <w:lastRenderedPageBreak/>
        <w:t>References</w:t>
      </w:r>
      <w:bookmarkEnd w:id="454"/>
    </w:p>
    <w:p w14:paraId="1300CCB1" w14:textId="77777777" w:rsidR="001C19F3" w:rsidRPr="00010262" w:rsidRDefault="001C19F3" w:rsidP="001C19F3">
      <w:pPr>
        <w:pStyle w:val="EndNoteBibliography"/>
        <w:spacing w:after="0"/>
      </w:pPr>
      <w:r>
        <w:fldChar w:fldCharType="begin"/>
      </w:r>
      <w:r>
        <w:instrText xml:space="preserve"> ADDIN EN.REFLIST </w:instrText>
      </w:r>
      <w:r>
        <w:fldChar w:fldCharType="separate"/>
      </w:r>
      <w:r w:rsidRPr="00010262">
        <w:t>Agency for Healthcare Research and Quality. (2015). CAHPS® Clinician &amp; Group Survey: Overview of the Questionnaires: AHRQ.</w:t>
      </w:r>
    </w:p>
    <w:p w14:paraId="20B95016" w14:textId="77777777" w:rsidR="001C19F3" w:rsidRPr="00010262" w:rsidRDefault="001C19F3" w:rsidP="001C19F3">
      <w:pPr>
        <w:pStyle w:val="EndNoteBibliography"/>
        <w:spacing w:after="0"/>
      </w:pPr>
      <w:r w:rsidRPr="00010262">
        <w:t>Agency for Healthcare Research and Quality. (2016). Care Coordination Quality Measure for Primary Care (CCQM-PC).</w:t>
      </w:r>
      <w:r>
        <w:t xml:space="preserve"> </w:t>
      </w:r>
      <w:r w:rsidRPr="00010262">
        <w:t xml:space="preserve">Retrieved 1 February 2017, from </w:t>
      </w:r>
      <w:hyperlink r:id="rId113" w:history="1">
        <w:r w:rsidRPr="00010262">
          <w:rPr>
            <w:rStyle w:val="Hyperlink"/>
          </w:rPr>
          <w:t>https://www.ahrq.gov/professionals/prevention-chronic-care/improve/coordination/ccqmpc/index.html</w:t>
        </w:r>
      </w:hyperlink>
    </w:p>
    <w:p w14:paraId="00420ECC" w14:textId="77777777" w:rsidR="001C19F3" w:rsidRPr="00010262" w:rsidRDefault="001C19F3" w:rsidP="001C19F3">
      <w:pPr>
        <w:pStyle w:val="EndNoteBibliography"/>
        <w:spacing w:after="0"/>
      </w:pPr>
      <w:r w:rsidRPr="00010262">
        <w:t xml:space="preserve">AGPAL. (2018). Interim Project Progress Report for Health Policy Analysis September 2018. Brisbane: AGPAL </w:t>
      </w:r>
    </w:p>
    <w:p w14:paraId="013E616F" w14:textId="77777777" w:rsidR="001C19F3" w:rsidRPr="00010262" w:rsidRDefault="001C19F3" w:rsidP="001C19F3">
      <w:pPr>
        <w:pStyle w:val="EndNoteBibliography"/>
        <w:spacing w:after="0"/>
      </w:pPr>
      <w:r w:rsidRPr="00010262">
        <w:t xml:space="preserve">Anderson, G. F., Ballreich, J., Bleich, S., Boyd, C., DuGoff, E., Leff, B., et al. (2015). Attributes common to programs that successfully treat high-need, high-cost individuals. </w:t>
      </w:r>
      <w:r w:rsidRPr="00010262">
        <w:rPr>
          <w:i/>
        </w:rPr>
        <w:t>Am J Manag Care, 21</w:t>
      </w:r>
      <w:r w:rsidRPr="00010262">
        <w:t>(11), e597-600</w:t>
      </w:r>
    </w:p>
    <w:p w14:paraId="512C9114" w14:textId="77777777" w:rsidR="001C19F3" w:rsidRPr="00010262" w:rsidRDefault="001C19F3" w:rsidP="001C19F3">
      <w:pPr>
        <w:pStyle w:val="EndNoteBibliography"/>
        <w:spacing w:after="0"/>
      </w:pPr>
      <w:r w:rsidRPr="00010262">
        <w:t>Australian Association of Practice Management. (2017a). Health Care Home Activity Monitoring Guide October 2017. Melbourne: AAPM.</w:t>
      </w:r>
    </w:p>
    <w:p w14:paraId="35C6857E" w14:textId="77777777" w:rsidR="001C19F3" w:rsidRPr="00010262" w:rsidRDefault="001C19F3" w:rsidP="001C19F3">
      <w:pPr>
        <w:pStyle w:val="EndNoteBibliography"/>
        <w:spacing w:after="0"/>
      </w:pPr>
      <w:r w:rsidRPr="00010262">
        <w:t>Australian Association of Practice Management. (2017b). Webinar: AAPM Health Care Homes Activity Monitoring Guide.</w:t>
      </w:r>
      <w:r>
        <w:t xml:space="preserve"> </w:t>
      </w:r>
      <w:r w:rsidRPr="00010262">
        <w:t xml:space="preserve">Retrieved 13 September, 2018, from </w:t>
      </w:r>
      <w:hyperlink r:id="rId114" w:history="1">
        <w:r w:rsidRPr="00010262">
          <w:rPr>
            <w:rStyle w:val="Hyperlink"/>
          </w:rPr>
          <w:t>https://www.aapm.org.au/Knowledge-Hub/Healthcare-Homes</w:t>
        </w:r>
      </w:hyperlink>
    </w:p>
    <w:p w14:paraId="1BFC0E0A" w14:textId="77777777" w:rsidR="001C19F3" w:rsidRPr="00010262" w:rsidRDefault="001C19F3" w:rsidP="001C19F3">
      <w:pPr>
        <w:pStyle w:val="EndNoteBibliography"/>
        <w:spacing w:after="0"/>
      </w:pPr>
      <w:r w:rsidRPr="00010262">
        <w:t>Australian Government Department of Finance. (2014). Commonwealth Grants Rules and Guidelines.</w:t>
      </w:r>
    </w:p>
    <w:p w14:paraId="2FB35240" w14:textId="77777777" w:rsidR="001C19F3" w:rsidRPr="00010262" w:rsidRDefault="001C19F3" w:rsidP="001C19F3">
      <w:pPr>
        <w:pStyle w:val="EndNoteBibliography"/>
        <w:spacing w:after="0"/>
        <w:rPr>
          <w:i/>
        </w:rPr>
      </w:pPr>
      <w:r w:rsidRPr="00010262">
        <w:t xml:space="preserve">Australian Government Department of Health. (2016a). </w:t>
      </w:r>
      <w:r w:rsidRPr="00010262">
        <w:rPr>
          <w:i/>
        </w:rPr>
        <w:t xml:space="preserve">Factsheet: Patient eligibility </w:t>
      </w:r>
    </w:p>
    <w:p w14:paraId="0D673912" w14:textId="77777777" w:rsidR="001C19F3" w:rsidRPr="00010262" w:rsidRDefault="001C19F3" w:rsidP="001C19F3">
      <w:pPr>
        <w:pStyle w:val="EndNoteBibliography"/>
        <w:spacing w:after="0"/>
        <w:rPr>
          <w:i/>
        </w:rPr>
      </w:pPr>
      <w:r w:rsidRPr="00010262">
        <w:t xml:space="preserve">Australian Government Department of Health. (2016b). </w:t>
      </w:r>
      <w:r w:rsidRPr="00010262">
        <w:rPr>
          <w:i/>
        </w:rPr>
        <w:t xml:space="preserve">Factsheet: Stage one modelling </w:t>
      </w:r>
    </w:p>
    <w:p w14:paraId="4C051685" w14:textId="77777777" w:rsidR="001C19F3" w:rsidRPr="00010262" w:rsidRDefault="001C19F3" w:rsidP="001C19F3">
      <w:pPr>
        <w:pStyle w:val="EndNoteBibliography"/>
        <w:spacing w:after="0"/>
      </w:pPr>
      <w:r w:rsidRPr="00010262">
        <w:t xml:space="preserve">Australian Government Department of Health. (2016c). Health Care Homes announcement media release [Press release]. Retrieved from </w:t>
      </w:r>
      <w:hyperlink r:id="rId115" w:history="1">
        <w:r w:rsidRPr="00010262">
          <w:rPr>
            <w:rStyle w:val="Hyperlink"/>
          </w:rPr>
          <w:t>http://pandora.nla.gov.au/pan/154649/20160508-0839/www.pm.gov.au/media/2016-03-31/healthier-medicare-chronically-ill-patients.html</w:t>
        </w:r>
      </w:hyperlink>
    </w:p>
    <w:p w14:paraId="7A3DC1E2" w14:textId="77777777" w:rsidR="001C19F3" w:rsidRPr="00010262" w:rsidRDefault="001C19F3" w:rsidP="001C19F3">
      <w:pPr>
        <w:pStyle w:val="EndNoteBibliography"/>
        <w:spacing w:after="0"/>
        <w:rPr>
          <w:i/>
        </w:rPr>
      </w:pPr>
      <w:r w:rsidRPr="00010262">
        <w:t xml:space="preserve">Australian Government Department of Health. (2016d). </w:t>
      </w:r>
      <w:r w:rsidRPr="00010262">
        <w:rPr>
          <w:i/>
        </w:rPr>
        <w:t xml:space="preserve">Health Care Homes Grant Guidelines 4 November 2016 </w:t>
      </w:r>
    </w:p>
    <w:p w14:paraId="2E43E593" w14:textId="77777777" w:rsidR="001C19F3" w:rsidRPr="00010262" w:rsidRDefault="001C19F3" w:rsidP="001C19F3">
      <w:pPr>
        <w:pStyle w:val="EndNoteBibliography"/>
        <w:spacing w:after="0"/>
        <w:rPr>
          <w:i/>
        </w:rPr>
      </w:pPr>
      <w:r w:rsidRPr="00010262">
        <w:t xml:space="preserve">Australian Government Department of Health. (2016e). </w:t>
      </w:r>
      <w:r w:rsidRPr="00010262">
        <w:rPr>
          <w:i/>
        </w:rPr>
        <w:t xml:space="preserve">Health Care Homes information booklet </w:t>
      </w:r>
    </w:p>
    <w:p w14:paraId="7DCB1695" w14:textId="77777777" w:rsidR="001C19F3" w:rsidRPr="00010262" w:rsidRDefault="001C19F3" w:rsidP="001C19F3">
      <w:pPr>
        <w:pStyle w:val="EndNoteBibliography"/>
        <w:spacing w:after="0"/>
        <w:rPr>
          <w:i/>
        </w:rPr>
      </w:pPr>
      <w:r w:rsidRPr="00010262">
        <w:t xml:space="preserve">Australian Government Department of Health. (2017a). </w:t>
      </w:r>
      <w:r w:rsidRPr="00010262">
        <w:rPr>
          <w:i/>
        </w:rPr>
        <w:t xml:space="preserve">Health Care Homes Handbook for general practices and Aboriginal Community Controlled Health Services Version 1.2 December 2017 </w:t>
      </w:r>
    </w:p>
    <w:p w14:paraId="732E5EB1" w14:textId="77777777" w:rsidR="001C19F3" w:rsidRPr="00010262" w:rsidRDefault="001C19F3" w:rsidP="001C19F3">
      <w:pPr>
        <w:pStyle w:val="EndNoteBibliography"/>
        <w:spacing w:after="0"/>
        <w:rPr>
          <w:i/>
        </w:rPr>
      </w:pPr>
      <w:r w:rsidRPr="00010262">
        <w:t xml:space="preserve">Australian Government Department of Health. (2017b). </w:t>
      </w:r>
      <w:r w:rsidRPr="00010262">
        <w:rPr>
          <w:i/>
        </w:rPr>
        <w:t xml:space="preserve">Health Care Homes Patient Information Statement </w:t>
      </w:r>
    </w:p>
    <w:p w14:paraId="54F3A336" w14:textId="77777777" w:rsidR="001C19F3" w:rsidRPr="00010262" w:rsidRDefault="001C19F3" w:rsidP="001C19F3">
      <w:pPr>
        <w:pStyle w:val="EndNoteBibliography"/>
        <w:spacing w:after="0"/>
        <w:rPr>
          <w:i/>
        </w:rPr>
      </w:pPr>
      <w:r w:rsidRPr="00010262">
        <w:t xml:space="preserve">Australian Government Department of Health. (2017c). </w:t>
      </w:r>
      <w:r w:rsidRPr="00010262">
        <w:rPr>
          <w:i/>
        </w:rPr>
        <w:t xml:space="preserve">Minimum requirements of shared care plans </w:t>
      </w:r>
    </w:p>
    <w:p w14:paraId="21C932A6" w14:textId="77777777" w:rsidR="001C19F3" w:rsidRPr="00010262" w:rsidRDefault="001C19F3" w:rsidP="001C19F3">
      <w:pPr>
        <w:pStyle w:val="EndNoteBibliography"/>
        <w:spacing w:after="0"/>
      </w:pPr>
      <w:r w:rsidRPr="00010262">
        <w:t xml:space="preserve">Australian Government Department of Health. (2018a). Enrolment of patients is now underway from </w:t>
      </w:r>
      <w:hyperlink r:id="rId116" w:history="1">
        <w:r w:rsidRPr="00010262">
          <w:rPr>
            <w:rStyle w:val="Hyperlink"/>
          </w:rPr>
          <w:t>http://createsend.com/t/r-F3382E21D97069B52540EF23F30FEDED</w:t>
        </w:r>
      </w:hyperlink>
    </w:p>
    <w:p w14:paraId="3EA8D096" w14:textId="77777777" w:rsidR="001C19F3" w:rsidRPr="00010262" w:rsidRDefault="001C19F3" w:rsidP="001C19F3">
      <w:pPr>
        <w:pStyle w:val="EndNoteBibliography"/>
        <w:spacing w:after="0"/>
      </w:pPr>
      <w:r w:rsidRPr="00010262">
        <w:t xml:space="preserve">Australian Government Department of Health. (2018b). </w:t>
      </w:r>
      <w:r w:rsidRPr="00010262">
        <w:rPr>
          <w:i/>
        </w:rPr>
        <w:t>First Health Care Homes consultation: An enrolment checklist for clinicians March 2018</w:t>
      </w:r>
      <w:r w:rsidRPr="00010262">
        <w:t xml:space="preserve">. </w:t>
      </w:r>
    </w:p>
    <w:p w14:paraId="6D56F2DD" w14:textId="77777777" w:rsidR="001C19F3" w:rsidRPr="00010262" w:rsidRDefault="001C19F3" w:rsidP="001C19F3">
      <w:pPr>
        <w:pStyle w:val="EndNoteBibliography"/>
        <w:spacing w:after="0"/>
      </w:pPr>
      <w:r w:rsidRPr="00010262">
        <w:t>Australian Government Department of Health. (2018c). Health Care Home Funding Assurance Toolkit March 2018. Canberra.</w:t>
      </w:r>
    </w:p>
    <w:p w14:paraId="3BB00976" w14:textId="77777777" w:rsidR="001C19F3" w:rsidRPr="00010262" w:rsidRDefault="001C19F3" w:rsidP="001C19F3">
      <w:pPr>
        <w:pStyle w:val="EndNoteBibliography"/>
        <w:spacing w:after="0"/>
      </w:pPr>
      <w:r w:rsidRPr="00010262">
        <w:t xml:space="preserve">Australian Government Department of Health. (2018d). </w:t>
      </w:r>
      <w:r w:rsidRPr="00010262">
        <w:rPr>
          <w:i/>
        </w:rPr>
        <w:t>Health Care Homes Clinical Reference Group Q&amp;As</w:t>
      </w:r>
      <w:r w:rsidRPr="00010262">
        <w:t xml:space="preserve">. </w:t>
      </w:r>
    </w:p>
    <w:p w14:paraId="6B67D366" w14:textId="77777777" w:rsidR="001C19F3" w:rsidRPr="00010262" w:rsidRDefault="001C19F3" w:rsidP="001C19F3">
      <w:pPr>
        <w:pStyle w:val="EndNoteBibliography"/>
        <w:spacing w:after="0"/>
        <w:rPr>
          <w:i/>
        </w:rPr>
      </w:pPr>
      <w:r w:rsidRPr="00010262">
        <w:t xml:space="preserve">Australian Government Department of Health. (2018e). </w:t>
      </w:r>
      <w:r w:rsidRPr="00010262">
        <w:rPr>
          <w:i/>
        </w:rPr>
        <w:t xml:space="preserve">Health Care Homes Handbook for general practices and Aboriginal Community Controlled Health Services Version 1.3 January 2018 </w:t>
      </w:r>
    </w:p>
    <w:p w14:paraId="0925E09A" w14:textId="77777777" w:rsidR="001C19F3" w:rsidRPr="00010262" w:rsidRDefault="001C19F3" w:rsidP="001C19F3">
      <w:pPr>
        <w:pStyle w:val="EndNoteBibliography"/>
        <w:spacing w:after="0"/>
        <w:rPr>
          <w:i/>
        </w:rPr>
      </w:pPr>
      <w:r w:rsidRPr="00010262">
        <w:t xml:space="preserve">Australian Government Department of Health. (2018f). </w:t>
      </w:r>
      <w:r w:rsidRPr="00010262">
        <w:rPr>
          <w:i/>
        </w:rPr>
        <w:t xml:space="preserve">Health Care Homes Handbook for general practices and Aboriginal Community Controlled Health Services Version 1.4 August 2018 </w:t>
      </w:r>
    </w:p>
    <w:p w14:paraId="0D2620D5" w14:textId="77777777" w:rsidR="001C19F3" w:rsidRPr="00010262" w:rsidRDefault="001C19F3" w:rsidP="001C19F3">
      <w:pPr>
        <w:pStyle w:val="EndNoteBibliography"/>
        <w:spacing w:after="0"/>
      </w:pPr>
      <w:r w:rsidRPr="00010262">
        <w:t xml:space="preserve">Australian Government Department of Health. (2018g). </w:t>
      </w:r>
      <w:r w:rsidRPr="00010262">
        <w:rPr>
          <w:i/>
        </w:rPr>
        <w:t>Patient Enrolment – key messages (March 2018)</w:t>
      </w:r>
      <w:r w:rsidRPr="00010262">
        <w:t xml:space="preserve">. </w:t>
      </w:r>
    </w:p>
    <w:p w14:paraId="0AC6374A" w14:textId="77777777" w:rsidR="001C19F3" w:rsidRPr="00010262" w:rsidRDefault="001C19F3" w:rsidP="001C19F3">
      <w:pPr>
        <w:pStyle w:val="EndNoteBibliography"/>
        <w:spacing w:after="0"/>
      </w:pPr>
      <w:r w:rsidRPr="00010262">
        <w:lastRenderedPageBreak/>
        <w:t xml:space="preserve">Australian Government Department of Health. (2018h). SA information session draws 180 patients from </w:t>
      </w:r>
      <w:hyperlink r:id="rId117" w:history="1">
        <w:r w:rsidRPr="00010262">
          <w:rPr>
            <w:rStyle w:val="Hyperlink"/>
          </w:rPr>
          <w:t>http://createsend.com/t/r-1121D8909176A6332540EF23F30FEDED</w:t>
        </w:r>
      </w:hyperlink>
    </w:p>
    <w:p w14:paraId="7143D64A" w14:textId="77777777" w:rsidR="001C19F3" w:rsidRPr="00010262" w:rsidRDefault="001C19F3" w:rsidP="001C19F3">
      <w:pPr>
        <w:pStyle w:val="EndNoteBibliography"/>
        <w:spacing w:after="0"/>
      </w:pPr>
      <w:r w:rsidRPr="00010262">
        <w:t>Australian Taxation Office. (2017). Health practitioners and medical practices - the Health Care Home approach.</w:t>
      </w:r>
      <w:r>
        <w:t xml:space="preserve"> </w:t>
      </w:r>
      <w:r w:rsidRPr="00010262">
        <w:t xml:space="preserve">Retrieved 13 September, 2018, from </w:t>
      </w:r>
      <w:hyperlink r:id="rId118" w:history="1">
        <w:r w:rsidRPr="00010262">
          <w:rPr>
            <w:rStyle w:val="Hyperlink"/>
          </w:rPr>
          <w:t>https://www.ato.gov.au/law/view/document?DocID=AFS/HealthCareHome</w:t>
        </w:r>
      </w:hyperlink>
    </w:p>
    <w:p w14:paraId="5280CEDE" w14:textId="77777777" w:rsidR="001C19F3" w:rsidRPr="00010262" w:rsidRDefault="001C19F3" w:rsidP="001C19F3">
      <w:pPr>
        <w:pStyle w:val="EndNoteBibliography"/>
        <w:spacing w:after="0"/>
      </w:pPr>
      <w:r w:rsidRPr="00010262">
        <w:t xml:space="preserve">Berwick, D. M., Nolan, T. W., &amp; Whittington, J. (2008). The triple aim: care, health, and cost. </w:t>
      </w:r>
      <w:r w:rsidRPr="00010262">
        <w:rPr>
          <w:i/>
        </w:rPr>
        <w:t>Health Aff (Millwood), 27</w:t>
      </w:r>
      <w:r w:rsidRPr="00010262">
        <w:t>(3), 759-769</w:t>
      </w:r>
    </w:p>
    <w:p w14:paraId="328CE966" w14:textId="77777777" w:rsidR="001C19F3" w:rsidRPr="00010262" w:rsidRDefault="001C19F3" w:rsidP="001C19F3">
      <w:pPr>
        <w:pStyle w:val="EndNoteBibliography"/>
        <w:spacing w:after="0"/>
      </w:pPr>
      <w:r w:rsidRPr="00010262">
        <w:t xml:space="preserve">Bodenheimer, T., Ghorob, A., Willard-Grace, R., &amp; Grumbach, K. (2014). The 10 building blocks of high-performing primary care. </w:t>
      </w:r>
      <w:r w:rsidRPr="00010262">
        <w:rPr>
          <w:i/>
        </w:rPr>
        <w:t>Ann Fam Med, 12</w:t>
      </w:r>
      <w:r w:rsidRPr="00010262">
        <w:t>(2), 166-171</w:t>
      </w:r>
    </w:p>
    <w:p w14:paraId="62E2C438" w14:textId="77777777" w:rsidR="001C19F3" w:rsidRPr="00010262" w:rsidRDefault="001C19F3" w:rsidP="001C19F3">
      <w:pPr>
        <w:pStyle w:val="EndNoteBibliography"/>
        <w:spacing w:after="0"/>
      </w:pPr>
      <w:r w:rsidRPr="00010262">
        <w:t xml:space="preserve">Bodenheimer, T., &amp; Sinsky, C. (2014). From triple to quadruple aim: care of the patient requires care of the provider. </w:t>
      </w:r>
      <w:r w:rsidRPr="00010262">
        <w:rPr>
          <w:i/>
        </w:rPr>
        <w:t>Ann Fam Med, 12</w:t>
      </w:r>
      <w:r w:rsidRPr="00010262">
        <w:t>(6), 573-576</w:t>
      </w:r>
    </w:p>
    <w:p w14:paraId="308E9434" w14:textId="77777777" w:rsidR="001C19F3" w:rsidRPr="00010262" w:rsidRDefault="001C19F3" w:rsidP="001C19F3">
      <w:pPr>
        <w:pStyle w:val="EndNoteBibliography"/>
        <w:spacing w:after="0"/>
      </w:pPr>
      <w:r w:rsidRPr="00010262">
        <w:t xml:space="preserve">Dillman, D. A., Smyth, J. D., &amp; Christian, L. M. (2014). </w:t>
      </w:r>
      <w:r w:rsidRPr="00010262">
        <w:rPr>
          <w:i/>
        </w:rPr>
        <w:t>Internet, Phone, Mail, and Mixed-Mode Surveys: The Tailored Design Method</w:t>
      </w:r>
      <w:r w:rsidRPr="00010262">
        <w:t xml:space="preserve"> (4th ed.). Hoboken, New Jersey: Wiley.</w:t>
      </w:r>
    </w:p>
    <w:p w14:paraId="68D84C08" w14:textId="77777777" w:rsidR="001C19F3" w:rsidRPr="00010262" w:rsidRDefault="001C19F3" w:rsidP="001C19F3">
      <w:pPr>
        <w:pStyle w:val="EndNoteBibliography"/>
        <w:spacing w:after="0"/>
      </w:pPr>
      <w:r w:rsidRPr="00010262">
        <w:t xml:space="preserve">Gibbons, C. J., Small, N., Rick, J., Burt, J., Hann, M., &amp; Bower, P. (2017). The Patient Assessment of Chronic Illness Care produces measurements along a single dimension: results from a Mokken analysis. </w:t>
      </w:r>
      <w:r w:rsidRPr="00010262">
        <w:rPr>
          <w:i/>
        </w:rPr>
        <w:t>Health Qual Life Outcomes, 15</w:t>
      </w:r>
      <w:r w:rsidRPr="00010262">
        <w:t>(1), 61</w:t>
      </w:r>
    </w:p>
    <w:p w14:paraId="4CE9B123" w14:textId="77777777" w:rsidR="001C19F3" w:rsidRPr="00010262" w:rsidRDefault="001C19F3" w:rsidP="001C19F3">
      <w:pPr>
        <w:pStyle w:val="EndNoteBibliography"/>
        <w:spacing w:after="0"/>
      </w:pPr>
      <w:r w:rsidRPr="00010262">
        <w:t>HARP. (2009). Summary: HARP risk calculator.</w:t>
      </w:r>
      <w:r>
        <w:t xml:space="preserve"> </w:t>
      </w:r>
      <w:r w:rsidRPr="00010262">
        <w:t xml:space="preserve">Retrieved 10 September, 2018, from </w:t>
      </w:r>
      <w:hyperlink r:id="rId119" w:history="1">
        <w:r w:rsidRPr="00010262">
          <w:rPr>
            <w:rStyle w:val="Hyperlink"/>
          </w:rPr>
          <w:t>http://www.google.com.au/url?sa=t&amp;rct=j&amp;q=&amp;esrc=s&amp;source=web&amp;cd=1&amp;cad=rja&amp;uact=8&amp;ved=0CB0QFjAA&amp;url=http%3A%2F%2Fwww.adma.org.au%2Fclearinghouse%2Fdoc_download%2F13-rationale-for-western-risk-calculator.html&amp;ei=7_8HVIG7D4KVuATs54LgAw&amp;usg=AFQjCNExOILbjIxuI2Xb1FnCYEG6Fr91xg&amp;bvm=bv.74649129,d.c2E</w:t>
        </w:r>
      </w:hyperlink>
    </w:p>
    <w:p w14:paraId="3C3D6A93" w14:textId="77777777" w:rsidR="001C19F3" w:rsidRPr="00010262" w:rsidRDefault="001C19F3" w:rsidP="001C19F3">
      <w:pPr>
        <w:pStyle w:val="EndNoteBibliography"/>
        <w:spacing w:after="0"/>
      </w:pPr>
      <w:r w:rsidRPr="00010262">
        <w:t>Health Policy Analysis. (2017). Evaluation of the Health Care Homes program – Evaluation plan. Canberra: Department of Health.</w:t>
      </w:r>
    </w:p>
    <w:p w14:paraId="1B2E6198" w14:textId="77777777" w:rsidR="001C19F3" w:rsidRPr="00010262" w:rsidRDefault="001C19F3" w:rsidP="001C19F3">
      <w:pPr>
        <w:pStyle w:val="EndNoteBibliography"/>
        <w:spacing w:after="0"/>
      </w:pPr>
      <w:r w:rsidRPr="00010262">
        <w:t xml:space="preserve">Herdman, M., Gudex, C., Lloyd, A., Janssen, M., Kind, P., Parkin, D., et al. (2011). Development and preliminary testing of the new five-level version of EQ-5D (EQ-5D-5L). </w:t>
      </w:r>
      <w:r w:rsidRPr="00010262">
        <w:rPr>
          <w:i/>
        </w:rPr>
        <w:t>Qual Life Res, 20</w:t>
      </w:r>
      <w:r w:rsidRPr="00010262">
        <w:t>(10), 1727-1736</w:t>
      </w:r>
    </w:p>
    <w:p w14:paraId="5D62D60A" w14:textId="77777777" w:rsidR="001C19F3" w:rsidRPr="00010262" w:rsidRDefault="001C19F3" w:rsidP="001C19F3">
      <w:pPr>
        <w:pStyle w:val="EndNoteBibliography"/>
        <w:spacing w:after="0"/>
      </w:pPr>
      <w:r w:rsidRPr="00010262">
        <w:t xml:space="preserve">Hibbard, J. H., Mahoney, E. R., Stockard, J., &amp; Tusler, M. (2005). Development and testing of a short form of the patient activation measure. </w:t>
      </w:r>
      <w:r w:rsidRPr="00010262">
        <w:rPr>
          <w:i/>
        </w:rPr>
        <w:t>Health Serv Res, 40</w:t>
      </w:r>
      <w:r w:rsidRPr="00010262">
        <w:t>(6 Pt 1), 1918-1930</w:t>
      </w:r>
    </w:p>
    <w:p w14:paraId="33BA24F6" w14:textId="77777777" w:rsidR="001C19F3" w:rsidRPr="00010262" w:rsidRDefault="001C19F3" w:rsidP="001C19F3">
      <w:pPr>
        <w:pStyle w:val="EndNoteBibliography"/>
        <w:spacing w:after="0"/>
      </w:pPr>
      <w:r w:rsidRPr="00010262">
        <w:t xml:space="preserve">Hippisley-Cox, J., &amp; Coupland, C. (2013). Predicting risk of emergency admission to hospital using primary care data: derivation and validation of QAdmissions score. </w:t>
      </w:r>
      <w:r w:rsidRPr="00010262">
        <w:rPr>
          <w:i/>
        </w:rPr>
        <w:t>BMJ Open, 3</w:t>
      </w:r>
      <w:r w:rsidRPr="00010262">
        <w:t>(8), e003482</w:t>
      </w:r>
    </w:p>
    <w:p w14:paraId="0728B75B" w14:textId="77777777" w:rsidR="001C19F3" w:rsidRPr="00010262" w:rsidRDefault="001C19F3" w:rsidP="001C19F3">
      <w:pPr>
        <w:pStyle w:val="EndNoteBibliography"/>
        <w:spacing w:after="0"/>
      </w:pPr>
      <w:r w:rsidRPr="00010262">
        <w:t xml:space="preserve">Janamian, T., Jackson, C. L., Glasson, N., &amp; Nicholson, C. (2014). A systematic review of the challenges to implementation of the patient-centred medical home: lessons for Australia. </w:t>
      </w:r>
      <w:r w:rsidRPr="00010262">
        <w:rPr>
          <w:i/>
        </w:rPr>
        <w:t>Med J Aust, 201</w:t>
      </w:r>
      <w:r w:rsidRPr="00010262">
        <w:t>(3 Suppl), S69-73</w:t>
      </w:r>
    </w:p>
    <w:p w14:paraId="400EC433" w14:textId="77777777" w:rsidR="001C19F3" w:rsidRPr="00010262" w:rsidRDefault="001C19F3" w:rsidP="001C19F3">
      <w:pPr>
        <w:pStyle w:val="EndNoteBibliography"/>
        <w:spacing w:after="0"/>
        <w:rPr>
          <w:i/>
        </w:rPr>
      </w:pPr>
      <w:r w:rsidRPr="00010262">
        <w:t xml:space="preserve">Kahn, K., Timbie, J., Friedberg, M., Lavelle, T., Mendel, P., Ashwood, J., et al. (2015). </w:t>
      </w:r>
      <w:r w:rsidRPr="00010262">
        <w:rPr>
          <w:i/>
        </w:rPr>
        <w:t>Evaluation of Centers for Medicare and Medicaid Services federally qualified health centres advanced primary care practices Demonstration - Second Annual Report</w:t>
      </w:r>
      <w:r w:rsidRPr="00010262">
        <w:t>. In P. f. t. C. f. M. M. Services (Series Ed.) R. Corp. (Ed.)</w:t>
      </w:r>
      <w:r w:rsidRPr="00010262">
        <w:rPr>
          <w:i/>
        </w:rPr>
        <w:t xml:space="preserve"> </w:t>
      </w:r>
    </w:p>
    <w:p w14:paraId="11899D77" w14:textId="77777777" w:rsidR="001C19F3" w:rsidRPr="00010262" w:rsidRDefault="001C19F3" w:rsidP="001C19F3">
      <w:pPr>
        <w:pStyle w:val="EndNoteBibliography"/>
        <w:spacing w:after="0"/>
        <w:rPr>
          <w:i/>
        </w:rPr>
      </w:pPr>
      <w:r w:rsidRPr="00010262">
        <w:t xml:space="preserve">Kahn, K., Timbie, J., Friedberg, M., Mendel, P., Hiatt, L., Chen, E. K., et al. (2016). </w:t>
      </w:r>
      <w:r w:rsidRPr="00010262">
        <w:rPr>
          <w:i/>
        </w:rPr>
        <w:t>Evaluation of Centers for Medicare and Medicaid Services federally qualified health centres advanced primary care practices Demonstration - Final Report</w:t>
      </w:r>
      <w:r w:rsidRPr="00010262">
        <w:t>. In P. f. t. C. f. M. M. Services (Series Ed.) R. Corp. (Ed.)</w:t>
      </w:r>
      <w:r w:rsidRPr="00010262">
        <w:rPr>
          <w:i/>
        </w:rPr>
        <w:t xml:space="preserve"> </w:t>
      </w:r>
    </w:p>
    <w:p w14:paraId="676A95E6" w14:textId="77777777" w:rsidR="001C19F3" w:rsidRPr="00010262" w:rsidRDefault="001C19F3" w:rsidP="001C19F3">
      <w:pPr>
        <w:pStyle w:val="EndNoteBibliography"/>
        <w:spacing w:after="0"/>
      </w:pPr>
      <w:r w:rsidRPr="00010262">
        <w:t>KPMG. (2017). Payments under the Health Care Home program: Application of Employment Taxes.</w:t>
      </w:r>
    </w:p>
    <w:p w14:paraId="7F05972E" w14:textId="77777777" w:rsidR="001C19F3" w:rsidRPr="00010262" w:rsidRDefault="001C19F3" w:rsidP="001C19F3">
      <w:pPr>
        <w:pStyle w:val="EndNoteBibliography"/>
        <w:spacing w:after="0"/>
      </w:pPr>
      <w:r w:rsidRPr="00010262">
        <w:t>MacColl Center for Health Care Innovation at Group Health Research Institute, Qualis Health, WentWest, &amp; AGPAL. (2017). Health Care Home Assessment. Brisbane.</w:t>
      </w:r>
    </w:p>
    <w:p w14:paraId="1485BEDE" w14:textId="77777777" w:rsidR="001C19F3" w:rsidRPr="00010262" w:rsidRDefault="001C19F3" w:rsidP="001C19F3">
      <w:pPr>
        <w:pStyle w:val="EndNoteBibliography"/>
        <w:spacing w:after="0"/>
      </w:pPr>
      <w:r w:rsidRPr="00010262">
        <w:t>Medical Software Industry Association. (2017). Healthcare homes.</w:t>
      </w:r>
      <w:r>
        <w:t xml:space="preserve"> </w:t>
      </w:r>
      <w:r w:rsidRPr="00010262">
        <w:t xml:space="preserve">Retrieved 20 September 2018, from </w:t>
      </w:r>
      <w:hyperlink r:id="rId120" w:history="1">
        <w:r w:rsidRPr="00010262">
          <w:rPr>
            <w:rStyle w:val="Hyperlink"/>
          </w:rPr>
          <w:t>https://www.msia.com.au/healthcare-homes/</w:t>
        </w:r>
      </w:hyperlink>
    </w:p>
    <w:p w14:paraId="69F80790" w14:textId="77777777" w:rsidR="001C19F3" w:rsidRPr="00010262" w:rsidRDefault="001C19F3" w:rsidP="001C19F3">
      <w:pPr>
        <w:pStyle w:val="EndNoteBibliography"/>
        <w:spacing w:after="0"/>
      </w:pPr>
      <w:r w:rsidRPr="00010262">
        <w:t>Pearse, J., &amp; Mazevska, D. (2018). The Patient Centered Medical Home: barriers and enablers: an Evidence Check rapid review brokered by the Sax Institute for COORDINARE. Sydney: Sax Institute.</w:t>
      </w:r>
    </w:p>
    <w:p w14:paraId="6B471300" w14:textId="77777777" w:rsidR="001C19F3" w:rsidRPr="00010262" w:rsidRDefault="001C19F3" w:rsidP="001C19F3">
      <w:pPr>
        <w:pStyle w:val="EndNoteBibliography"/>
        <w:spacing w:after="0"/>
      </w:pPr>
      <w:r w:rsidRPr="00010262">
        <w:t xml:space="preserve">Precedence Health Care. (2017). </w:t>
      </w:r>
      <w:r w:rsidRPr="00010262">
        <w:rPr>
          <w:i/>
        </w:rPr>
        <w:t>Health Care Home Risk Stratification Tool Training</w:t>
      </w:r>
      <w:r w:rsidRPr="00010262">
        <w:t xml:space="preserve">. </w:t>
      </w:r>
    </w:p>
    <w:p w14:paraId="20B0D23A" w14:textId="77777777" w:rsidR="001C19F3" w:rsidRPr="00010262" w:rsidRDefault="001C19F3" w:rsidP="001C19F3">
      <w:pPr>
        <w:pStyle w:val="EndNoteBibliography"/>
        <w:spacing w:after="0"/>
      </w:pPr>
      <w:r w:rsidRPr="00010262">
        <w:t xml:space="preserve">Primary Health Care Advisory Group (Ed.). (2015). </w:t>
      </w:r>
      <w:r w:rsidRPr="00010262">
        <w:rPr>
          <w:i/>
        </w:rPr>
        <w:t>Better Outcomes for People with Chronic and Complex Health Conditions: Final Report</w:t>
      </w:r>
      <w:r w:rsidRPr="00010262">
        <w:t>: Department of Health.</w:t>
      </w:r>
    </w:p>
    <w:p w14:paraId="3A7DABD9" w14:textId="77777777" w:rsidR="001C19F3" w:rsidRPr="00010262" w:rsidRDefault="001C19F3" w:rsidP="001C19F3">
      <w:pPr>
        <w:pStyle w:val="EndNoteBibliography"/>
        <w:spacing w:after="0"/>
      </w:pPr>
      <w:r w:rsidRPr="00010262">
        <w:t xml:space="preserve">Ramaswamy, V., &amp; Ozcan, K. (2014). </w:t>
      </w:r>
      <w:r w:rsidRPr="00010262">
        <w:rPr>
          <w:i/>
        </w:rPr>
        <w:t>The Co-Creation Paradigm</w:t>
      </w:r>
      <w:r w:rsidRPr="00010262">
        <w:t>: Stanford Business Books.</w:t>
      </w:r>
    </w:p>
    <w:p w14:paraId="02368731" w14:textId="77777777" w:rsidR="001C19F3" w:rsidRPr="00010262" w:rsidRDefault="001C19F3" w:rsidP="001C19F3">
      <w:pPr>
        <w:pStyle w:val="EndNoteBibliography"/>
      </w:pPr>
      <w:r w:rsidRPr="00010262">
        <w:lastRenderedPageBreak/>
        <w:t xml:space="preserve">Zlateva, I., Anderson, D., Coman, E., Khatri, K., Tian, T., &amp; Fifield, J. (2015). Development and validation of the Medical Home Care Coordination Survey for assessing care coordination in the primary care setting from the patient and provider perspectives. </w:t>
      </w:r>
      <w:r w:rsidRPr="00010262">
        <w:rPr>
          <w:i/>
        </w:rPr>
        <w:t>BMC Health Serv Res, 15</w:t>
      </w:r>
      <w:r w:rsidRPr="00010262">
        <w:t>, 226</w:t>
      </w:r>
    </w:p>
    <w:p w14:paraId="00ED10BC" w14:textId="77777777" w:rsidR="001C19F3" w:rsidRPr="001C5D9E" w:rsidRDefault="001C19F3" w:rsidP="001C19F3">
      <w:r>
        <w:fldChar w:fldCharType="end"/>
      </w:r>
    </w:p>
    <w:p w14:paraId="21A7BD0A" w14:textId="77777777" w:rsidR="001C19F3" w:rsidRDefault="001C19F3" w:rsidP="001C19F3">
      <w:pPr>
        <w:sectPr w:rsidR="001C19F3" w:rsidSect="001C5D9E">
          <w:headerReference w:type="first" r:id="rId121"/>
          <w:pgSz w:w="11906" w:h="16838"/>
          <w:pgMar w:top="1440" w:right="1440" w:bottom="1440" w:left="1440" w:header="708" w:footer="708" w:gutter="0"/>
          <w:cols w:space="708"/>
          <w:titlePg/>
          <w:docGrid w:linePitch="360"/>
        </w:sectPr>
      </w:pPr>
    </w:p>
    <w:p w14:paraId="3B0BF0B5" w14:textId="77777777" w:rsidR="001C19F3" w:rsidRDefault="001C19F3" w:rsidP="001C19F3">
      <w:pPr>
        <w:pStyle w:val="Appendix"/>
      </w:pPr>
      <w:bookmarkStart w:id="455" w:name="_Toc32586057"/>
      <w:r>
        <w:lastRenderedPageBreak/>
        <w:t>Appendix 1 – HCH evaluation team</w:t>
      </w:r>
      <w:bookmarkEnd w:id="455"/>
    </w:p>
    <w:p w14:paraId="541E32C5" w14:textId="77777777" w:rsidR="001C19F3" w:rsidRDefault="001C19F3" w:rsidP="001C19F3">
      <w:pPr>
        <w:spacing w:after="120"/>
        <w:rPr>
          <w:b/>
        </w:rPr>
        <w:sectPr w:rsidR="001C19F3" w:rsidSect="00E31FE6">
          <w:headerReference w:type="even" r:id="rId122"/>
          <w:headerReference w:type="default" r:id="rId123"/>
          <w:footerReference w:type="default" r:id="rId124"/>
          <w:headerReference w:type="first" r:id="rId125"/>
          <w:footerReference w:type="first" r:id="rId126"/>
          <w:pgSz w:w="16838" w:h="11906" w:orient="landscape"/>
          <w:pgMar w:top="1440" w:right="1440" w:bottom="1440" w:left="1440" w:header="708" w:footer="708" w:gutter="0"/>
          <w:cols w:space="708"/>
          <w:titlePg/>
          <w:docGrid w:linePitch="360"/>
        </w:sectPr>
      </w:pPr>
    </w:p>
    <w:p w14:paraId="258E9E03" w14:textId="77777777" w:rsidR="001C19F3" w:rsidRPr="00213D22" w:rsidRDefault="001C19F3" w:rsidP="001C19F3">
      <w:pPr>
        <w:spacing w:after="120"/>
        <w:rPr>
          <w:b/>
        </w:rPr>
      </w:pPr>
      <w:r w:rsidRPr="00213D22">
        <w:rPr>
          <w:b/>
        </w:rPr>
        <w:t>Health Policy Analysis</w:t>
      </w:r>
    </w:p>
    <w:p w14:paraId="6B50A8E3" w14:textId="77777777" w:rsidR="001C19F3" w:rsidRPr="00213D22" w:rsidRDefault="001C19F3" w:rsidP="001C19F3">
      <w:pPr>
        <w:spacing w:after="120"/>
      </w:pPr>
      <w:r w:rsidRPr="00213D22">
        <w:t>Jim Pearse</w:t>
      </w:r>
      <w:r>
        <w:t xml:space="preserve"> (</w:t>
      </w:r>
      <w:r w:rsidRPr="00213D22">
        <w:t xml:space="preserve">HCH Evaluation </w:t>
      </w:r>
      <w:r>
        <w:t>d</w:t>
      </w:r>
      <w:r w:rsidRPr="00213D22">
        <w:t>irector</w:t>
      </w:r>
      <w:r>
        <w:t>)</w:t>
      </w:r>
    </w:p>
    <w:p w14:paraId="106BF777" w14:textId="77777777" w:rsidR="001C19F3" w:rsidRDefault="001C19F3" w:rsidP="001C19F3">
      <w:pPr>
        <w:spacing w:after="120"/>
      </w:pPr>
      <w:r w:rsidRPr="00213D22">
        <w:t>Deniza Mazevska</w:t>
      </w:r>
      <w:r>
        <w:t xml:space="preserve"> (</w:t>
      </w:r>
      <w:r w:rsidRPr="00213D22">
        <w:t xml:space="preserve">HCH Project </w:t>
      </w:r>
      <w:r>
        <w:t>m</w:t>
      </w:r>
      <w:r w:rsidRPr="00213D22">
        <w:t xml:space="preserve">anager and Quality </w:t>
      </w:r>
      <w:r>
        <w:t>m</w:t>
      </w:r>
      <w:r w:rsidRPr="00213D22">
        <w:t>anager</w:t>
      </w:r>
      <w:r>
        <w:t>)</w:t>
      </w:r>
    </w:p>
    <w:p w14:paraId="19015265" w14:textId="77777777" w:rsidR="001C19F3" w:rsidRPr="00213D22" w:rsidRDefault="001C19F3" w:rsidP="001C19F3">
      <w:pPr>
        <w:spacing w:after="120"/>
      </w:pPr>
      <w:r w:rsidRPr="00213D22">
        <w:t>Prof. Patrick McElduff</w:t>
      </w:r>
    </w:p>
    <w:p w14:paraId="62C2AF13" w14:textId="77777777" w:rsidR="001C19F3" w:rsidRDefault="001C19F3" w:rsidP="001C19F3">
      <w:pPr>
        <w:spacing w:after="120"/>
      </w:pPr>
      <w:r>
        <w:t>Joel Tuccia</w:t>
      </w:r>
    </w:p>
    <w:p w14:paraId="61C3698E" w14:textId="77777777" w:rsidR="001C19F3" w:rsidRDefault="001C19F3" w:rsidP="001C19F3">
      <w:pPr>
        <w:spacing w:after="120"/>
      </w:pPr>
      <w:r>
        <w:t>Christine Stone</w:t>
      </w:r>
    </w:p>
    <w:p w14:paraId="20B55DE1" w14:textId="77777777" w:rsidR="001C19F3" w:rsidRDefault="001C19F3" w:rsidP="001C19F3">
      <w:pPr>
        <w:spacing w:after="120"/>
      </w:pPr>
      <w:r>
        <w:t>Owen Cho</w:t>
      </w:r>
    </w:p>
    <w:p w14:paraId="68DF4CCA" w14:textId="77777777" w:rsidR="001C19F3" w:rsidRDefault="001C19F3" w:rsidP="001C19F3">
      <w:pPr>
        <w:spacing w:after="120"/>
      </w:pPr>
      <w:r>
        <w:t>Eileen Robertson</w:t>
      </w:r>
    </w:p>
    <w:p w14:paraId="5991C93B" w14:textId="77777777" w:rsidR="001C19F3" w:rsidRDefault="001C19F3" w:rsidP="001C19F3">
      <w:pPr>
        <w:spacing w:after="120"/>
      </w:pPr>
      <w:r>
        <w:t>Dr Paul Taylor</w:t>
      </w:r>
    </w:p>
    <w:p w14:paraId="48E1D332" w14:textId="77777777" w:rsidR="001C19F3" w:rsidRPr="00213D22" w:rsidRDefault="001C19F3" w:rsidP="001C19F3">
      <w:pPr>
        <w:spacing w:after="120"/>
        <w:rPr>
          <w:b/>
        </w:rPr>
      </w:pPr>
      <w:r w:rsidRPr="00213D22">
        <w:rPr>
          <w:b/>
        </w:rPr>
        <w:t>Centre for Big Data Research in Health, UNSW</w:t>
      </w:r>
    </w:p>
    <w:p w14:paraId="1A6FFB2F" w14:textId="77777777" w:rsidR="001C19F3" w:rsidRPr="00213D22" w:rsidRDefault="001C19F3" w:rsidP="001C19F3">
      <w:pPr>
        <w:spacing w:after="120"/>
      </w:pPr>
      <w:r w:rsidRPr="00213D22">
        <w:t>Prof. Louisa Jorm</w:t>
      </w:r>
    </w:p>
    <w:p w14:paraId="550401A1" w14:textId="77777777" w:rsidR="001C19F3" w:rsidRPr="00213D22" w:rsidRDefault="001C19F3" w:rsidP="001C19F3">
      <w:pPr>
        <w:spacing w:after="120"/>
      </w:pPr>
      <w:r w:rsidRPr="00213D22">
        <w:t>Prof. Sallie-Anne Pearson</w:t>
      </w:r>
    </w:p>
    <w:p w14:paraId="15BF693D" w14:textId="77777777" w:rsidR="001C19F3" w:rsidRPr="00213D22" w:rsidRDefault="001C19F3" w:rsidP="001C19F3">
      <w:pPr>
        <w:spacing w:after="120"/>
      </w:pPr>
      <w:r>
        <w:t xml:space="preserve">Dr </w:t>
      </w:r>
      <w:r w:rsidRPr="00213D22">
        <w:t>Michael Falster</w:t>
      </w:r>
    </w:p>
    <w:p w14:paraId="6B350447" w14:textId="77777777" w:rsidR="001C19F3" w:rsidRDefault="001C19F3" w:rsidP="001C19F3">
      <w:pPr>
        <w:spacing w:after="120"/>
      </w:pPr>
      <w:r>
        <w:t>Dr Duong (Danielle) Tran</w:t>
      </w:r>
    </w:p>
    <w:p w14:paraId="6BF1FDB1" w14:textId="77777777" w:rsidR="001C19F3" w:rsidRDefault="001C19F3" w:rsidP="001C19F3">
      <w:pPr>
        <w:spacing w:after="120"/>
        <w:rPr>
          <w:b/>
        </w:rPr>
      </w:pPr>
      <w:r w:rsidRPr="00213D22">
        <w:rPr>
          <w:b/>
        </w:rPr>
        <w:t xml:space="preserve">Centre for </w:t>
      </w:r>
      <w:r>
        <w:rPr>
          <w:b/>
        </w:rPr>
        <w:t>Health Economics Research and Evaluation</w:t>
      </w:r>
    </w:p>
    <w:p w14:paraId="3D9E70B4" w14:textId="77777777" w:rsidR="001C19F3" w:rsidRPr="005A5A67" w:rsidRDefault="001C19F3" w:rsidP="001C19F3">
      <w:pPr>
        <w:spacing w:after="120"/>
      </w:pPr>
      <w:r w:rsidRPr="005A5A67">
        <w:t>Prof. Jane Hall</w:t>
      </w:r>
    </w:p>
    <w:p w14:paraId="0256778C" w14:textId="77777777" w:rsidR="001C19F3" w:rsidRDefault="001C19F3" w:rsidP="001C19F3">
      <w:pPr>
        <w:spacing w:after="120"/>
      </w:pPr>
      <w:r w:rsidRPr="005A5A67">
        <w:t>Assoc. Prof. Kees van Gool</w:t>
      </w:r>
      <w:r>
        <w:t xml:space="preserve">, </w:t>
      </w:r>
    </w:p>
    <w:p w14:paraId="4A34D448" w14:textId="77777777" w:rsidR="001C19F3" w:rsidRDefault="001C19F3" w:rsidP="001C19F3">
      <w:pPr>
        <w:spacing w:after="120"/>
        <w:rPr>
          <w:bCs/>
          <w:color w:val="000000"/>
          <w:szCs w:val="20"/>
          <w:lang w:eastAsia="en-AU"/>
        </w:rPr>
      </w:pPr>
      <w:r w:rsidRPr="005A5A67">
        <w:rPr>
          <w:bCs/>
          <w:color w:val="000000"/>
          <w:szCs w:val="20"/>
          <w:lang w:eastAsia="en-AU"/>
        </w:rPr>
        <w:t>Serena Yu</w:t>
      </w:r>
    </w:p>
    <w:p w14:paraId="67C09E41" w14:textId="77777777" w:rsidR="001C19F3" w:rsidRDefault="001C19F3" w:rsidP="001C19F3">
      <w:pPr>
        <w:spacing w:after="120"/>
        <w:rPr>
          <w:bCs/>
          <w:color w:val="000000"/>
          <w:szCs w:val="20"/>
          <w:lang w:eastAsia="en-AU"/>
        </w:rPr>
      </w:pPr>
    </w:p>
    <w:p w14:paraId="63841B1F" w14:textId="77777777" w:rsidR="001C19F3" w:rsidRPr="005A5A67" w:rsidRDefault="001C19F3" w:rsidP="001C19F3">
      <w:pPr>
        <w:spacing w:after="120"/>
        <w:rPr>
          <w:b/>
          <w:bCs/>
          <w:color w:val="000000"/>
          <w:szCs w:val="20"/>
          <w:lang w:eastAsia="en-AU"/>
        </w:rPr>
      </w:pPr>
      <w:r>
        <w:rPr>
          <w:b/>
          <w:bCs/>
          <w:color w:val="000000"/>
          <w:szCs w:val="20"/>
          <w:lang w:eastAsia="en-AU"/>
        </w:rPr>
        <w:t>Collaborating researchers, Australia</w:t>
      </w:r>
    </w:p>
    <w:p w14:paraId="5E116999" w14:textId="77777777" w:rsidR="001C19F3" w:rsidRPr="005A5A67" w:rsidRDefault="001C19F3" w:rsidP="001C19F3">
      <w:pPr>
        <w:tabs>
          <w:tab w:val="num" w:pos="2160"/>
        </w:tabs>
        <w:spacing w:after="120"/>
      </w:pPr>
      <w:r w:rsidRPr="005A5A67">
        <w:t>Prof. James Dunbar, Deakin University</w:t>
      </w:r>
    </w:p>
    <w:p w14:paraId="5D0CFDA7" w14:textId="77777777" w:rsidR="001C19F3" w:rsidRPr="005A5A67" w:rsidRDefault="001C19F3" w:rsidP="001C19F3">
      <w:pPr>
        <w:tabs>
          <w:tab w:val="num" w:pos="2160"/>
        </w:tabs>
        <w:spacing w:after="120"/>
      </w:pPr>
      <w:r w:rsidRPr="005A5A67">
        <w:t>Prof. Robyn McDermott, James Cook University</w:t>
      </w:r>
    </w:p>
    <w:p w14:paraId="566BDF29" w14:textId="77777777" w:rsidR="001C19F3" w:rsidRDefault="001C19F3" w:rsidP="001C19F3">
      <w:pPr>
        <w:tabs>
          <w:tab w:val="num" w:pos="2160"/>
        </w:tabs>
        <w:spacing w:after="120"/>
      </w:pPr>
      <w:r w:rsidRPr="005A5A67">
        <w:t>Dr Tim Smyth, Consultant</w:t>
      </w:r>
    </w:p>
    <w:p w14:paraId="035D0C87" w14:textId="77777777" w:rsidR="001C19F3" w:rsidRDefault="001C19F3" w:rsidP="001C19F3">
      <w:pPr>
        <w:tabs>
          <w:tab w:val="num" w:pos="2160"/>
        </w:tabs>
        <w:spacing w:after="120"/>
      </w:pPr>
      <w:r>
        <w:t>Dr Joanna Henryks</w:t>
      </w:r>
    </w:p>
    <w:p w14:paraId="23B64859" w14:textId="77777777" w:rsidR="001C19F3" w:rsidRDefault="001C19F3" w:rsidP="001C19F3">
      <w:pPr>
        <w:tabs>
          <w:tab w:val="num" w:pos="2160"/>
        </w:tabs>
        <w:spacing w:after="120"/>
      </w:pPr>
      <w:r>
        <w:t>Maddie Bower, Flinders University</w:t>
      </w:r>
    </w:p>
    <w:p w14:paraId="230245BE" w14:textId="77777777" w:rsidR="001C19F3" w:rsidRPr="005A5A67" w:rsidRDefault="001C19F3" w:rsidP="001C19F3">
      <w:pPr>
        <w:spacing w:after="120"/>
        <w:rPr>
          <w:b/>
          <w:bCs/>
          <w:color w:val="000000"/>
          <w:szCs w:val="20"/>
          <w:lang w:eastAsia="en-AU"/>
        </w:rPr>
      </w:pPr>
      <w:r w:rsidRPr="005A5A67">
        <w:rPr>
          <w:b/>
          <w:bCs/>
          <w:color w:val="000000"/>
          <w:szCs w:val="20"/>
          <w:lang w:eastAsia="en-AU"/>
        </w:rPr>
        <w:t xml:space="preserve">Expert </w:t>
      </w:r>
      <w:r>
        <w:rPr>
          <w:b/>
          <w:bCs/>
          <w:color w:val="000000"/>
          <w:szCs w:val="20"/>
          <w:lang w:eastAsia="en-AU"/>
        </w:rPr>
        <w:t>a</w:t>
      </w:r>
      <w:r w:rsidRPr="005A5A67">
        <w:rPr>
          <w:b/>
          <w:bCs/>
          <w:color w:val="000000"/>
          <w:szCs w:val="20"/>
          <w:lang w:eastAsia="en-AU"/>
        </w:rPr>
        <w:t>dvisors</w:t>
      </w:r>
    </w:p>
    <w:p w14:paraId="293A4179" w14:textId="77777777" w:rsidR="001C19F3" w:rsidRPr="005A5A67" w:rsidRDefault="001C19F3" w:rsidP="001C19F3">
      <w:pPr>
        <w:tabs>
          <w:tab w:val="num" w:pos="2160"/>
        </w:tabs>
        <w:spacing w:after="120"/>
      </w:pPr>
      <w:r w:rsidRPr="005A5A67">
        <w:t>Dr Rebecca Rosen, Nuffield Trust London</w:t>
      </w:r>
    </w:p>
    <w:p w14:paraId="3AEE8251" w14:textId="77777777" w:rsidR="001C19F3" w:rsidRPr="005A5A67" w:rsidRDefault="001C19F3" w:rsidP="001C19F3">
      <w:pPr>
        <w:tabs>
          <w:tab w:val="num" w:pos="2160"/>
        </w:tabs>
        <w:spacing w:after="120"/>
      </w:pPr>
      <w:r w:rsidRPr="005A5A67">
        <w:t xml:space="preserve">Dr Steve Sutch, Sutch Consulting International Ltd </w:t>
      </w:r>
    </w:p>
    <w:p w14:paraId="6B0A4294" w14:textId="77777777" w:rsidR="001C19F3" w:rsidRDefault="001C19F3" w:rsidP="001C19F3">
      <w:pPr>
        <w:tabs>
          <w:tab w:val="num" w:pos="2160"/>
        </w:tabs>
        <w:spacing w:after="120"/>
      </w:pPr>
      <w:r>
        <w:t xml:space="preserve">Dr </w:t>
      </w:r>
      <w:r w:rsidRPr="005A5A67">
        <w:t>Kathryn Mack McDonald, Stanford University</w:t>
      </w:r>
    </w:p>
    <w:p w14:paraId="03A909DA" w14:textId="77777777" w:rsidR="001C19F3" w:rsidRDefault="001C19F3" w:rsidP="001C19F3">
      <w:pPr>
        <w:tabs>
          <w:tab w:val="num" w:pos="2160"/>
        </w:tabs>
        <w:spacing w:after="120"/>
        <w:rPr>
          <w:b/>
        </w:rPr>
      </w:pPr>
      <w:r w:rsidRPr="00375356">
        <w:rPr>
          <w:b/>
        </w:rPr>
        <w:t>Social Research Centre,</w:t>
      </w:r>
      <w:r>
        <w:rPr>
          <w:b/>
        </w:rPr>
        <w:t xml:space="preserve"> </w:t>
      </w:r>
      <w:r w:rsidRPr="00375356">
        <w:rPr>
          <w:b/>
        </w:rPr>
        <w:t>Australian National University</w:t>
      </w:r>
    </w:p>
    <w:p w14:paraId="06EB9AD5" w14:textId="77777777" w:rsidR="001C19F3" w:rsidRDefault="001C19F3" w:rsidP="001C19F3">
      <w:pPr>
        <w:tabs>
          <w:tab w:val="num" w:pos="2160"/>
        </w:tabs>
        <w:spacing w:after="120"/>
      </w:pPr>
      <w:r>
        <w:t>Anna Lethborg</w:t>
      </w:r>
    </w:p>
    <w:p w14:paraId="179F9E6B" w14:textId="77777777" w:rsidR="001C19F3" w:rsidRPr="00375356" w:rsidRDefault="001C19F3" w:rsidP="001C19F3">
      <w:pPr>
        <w:tabs>
          <w:tab w:val="num" w:pos="2160"/>
        </w:tabs>
        <w:spacing w:after="120"/>
      </w:pPr>
      <w:r w:rsidRPr="00375356">
        <w:t>Charles Dove</w:t>
      </w:r>
    </w:p>
    <w:p w14:paraId="618D3BD2" w14:textId="77777777" w:rsidR="001C19F3" w:rsidRDefault="001C19F3" w:rsidP="001C19F3">
      <w:pPr>
        <w:tabs>
          <w:tab w:val="num" w:pos="2160"/>
        </w:tabs>
        <w:spacing w:after="120"/>
      </w:pPr>
    </w:p>
    <w:p w14:paraId="023CD60A" w14:textId="77777777" w:rsidR="001C19F3" w:rsidRDefault="001C19F3" w:rsidP="001C19F3">
      <w:pPr>
        <w:tabs>
          <w:tab w:val="num" w:pos="2160"/>
        </w:tabs>
        <w:spacing w:after="120"/>
      </w:pPr>
    </w:p>
    <w:p w14:paraId="72EBDC93" w14:textId="77777777" w:rsidR="001C19F3" w:rsidRDefault="001C19F3" w:rsidP="001C19F3">
      <w:pPr>
        <w:tabs>
          <w:tab w:val="num" w:pos="2160"/>
        </w:tabs>
        <w:spacing w:after="120"/>
      </w:pPr>
    </w:p>
    <w:p w14:paraId="5D79F448" w14:textId="77777777" w:rsidR="001C19F3" w:rsidRDefault="001C19F3" w:rsidP="001C19F3">
      <w:pPr>
        <w:tabs>
          <w:tab w:val="num" w:pos="2160"/>
        </w:tabs>
        <w:spacing w:after="120"/>
      </w:pPr>
    </w:p>
    <w:p w14:paraId="2A9D48E5" w14:textId="77777777" w:rsidR="001C19F3" w:rsidRDefault="001C19F3" w:rsidP="001C19F3">
      <w:pPr>
        <w:tabs>
          <w:tab w:val="num" w:pos="2160"/>
        </w:tabs>
        <w:spacing w:after="120"/>
      </w:pPr>
    </w:p>
    <w:p w14:paraId="6F0251C1" w14:textId="77777777" w:rsidR="001C19F3" w:rsidRPr="005A5A67" w:rsidRDefault="001C19F3" w:rsidP="001C19F3">
      <w:pPr>
        <w:tabs>
          <w:tab w:val="num" w:pos="2160"/>
        </w:tabs>
        <w:spacing w:after="120"/>
      </w:pPr>
    </w:p>
    <w:p w14:paraId="47074DC7" w14:textId="77777777" w:rsidR="001C19F3" w:rsidRDefault="001C19F3" w:rsidP="001C19F3">
      <w:pPr>
        <w:spacing w:after="120"/>
        <w:sectPr w:rsidR="001C19F3" w:rsidSect="00521305">
          <w:type w:val="continuous"/>
          <w:pgSz w:w="16838" w:h="11906" w:orient="landscape"/>
          <w:pgMar w:top="1440" w:right="1440" w:bottom="1440" w:left="1440" w:header="708" w:footer="708" w:gutter="0"/>
          <w:cols w:num="2" w:space="708"/>
          <w:titlePg/>
          <w:docGrid w:linePitch="360"/>
        </w:sectPr>
      </w:pPr>
    </w:p>
    <w:p w14:paraId="7E3F9E16" w14:textId="77777777" w:rsidR="001C19F3" w:rsidRPr="00EC447D" w:rsidRDefault="001C19F3" w:rsidP="001C19F3">
      <w:pPr>
        <w:pStyle w:val="Appendix"/>
        <w:rPr>
          <w:i/>
          <w:sz w:val="16"/>
          <w:szCs w:val="16"/>
        </w:rPr>
      </w:pPr>
      <w:bookmarkStart w:id="456" w:name="_Toc32586058"/>
      <w:r>
        <w:lastRenderedPageBreak/>
        <w:t>Appendix 2 – Stakeholders interviewed for the Evaluation plan</w:t>
      </w:r>
      <w:bookmarkEnd w:id="456"/>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firstRow="1" w:lastRow="0" w:firstColumn="1" w:lastColumn="0" w:noHBand="0" w:noVBand="1"/>
      </w:tblPr>
      <w:tblGrid>
        <w:gridCol w:w="4040"/>
        <w:gridCol w:w="7133"/>
        <w:gridCol w:w="2765"/>
      </w:tblGrid>
      <w:tr w:rsidR="001C19F3" w:rsidRPr="008329E4" w14:paraId="43EBB8C5" w14:textId="77777777" w:rsidTr="00521305">
        <w:trPr>
          <w:jc w:val="center"/>
        </w:trPr>
        <w:tc>
          <w:tcPr>
            <w:tcW w:w="1449" w:type="pct"/>
            <w:shd w:val="clear" w:color="auto" w:fill="003D79"/>
            <w:tcMar>
              <w:top w:w="45" w:type="dxa"/>
              <w:left w:w="60" w:type="dxa"/>
              <w:bottom w:w="45" w:type="dxa"/>
              <w:right w:w="60" w:type="dxa"/>
            </w:tcMar>
            <w:vAlign w:val="center"/>
          </w:tcPr>
          <w:p w14:paraId="69A0A72E" w14:textId="77777777" w:rsidR="001C19F3" w:rsidRPr="007F435B" w:rsidRDefault="001C19F3" w:rsidP="00521305">
            <w:pPr>
              <w:spacing w:after="0"/>
              <w:jc w:val="center"/>
              <w:rPr>
                <w:b/>
                <w:sz w:val="18"/>
                <w:szCs w:val="18"/>
              </w:rPr>
            </w:pPr>
            <w:r w:rsidRPr="007F435B">
              <w:rPr>
                <w:b/>
                <w:sz w:val="18"/>
                <w:szCs w:val="18"/>
              </w:rPr>
              <w:t>Stakeholder organisation</w:t>
            </w:r>
            <w:r>
              <w:rPr>
                <w:b/>
                <w:sz w:val="18"/>
                <w:szCs w:val="18"/>
              </w:rPr>
              <w:t>/ representation</w:t>
            </w:r>
          </w:p>
        </w:tc>
        <w:tc>
          <w:tcPr>
            <w:tcW w:w="2559" w:type="pct"/>
            <w:shd w:val="clear" w:color="auto" w:fill="003D79"/>
            <w:tcMar>
              <w:top w:w="45" w:type="dxa"/>
              <w:left w:w="60" w:type="dxa"/>
              <w:bottom w:w="45" w:type="dxa"/>
              <w:right w:w="60" w:type="dxa"/>
            </w:tcMar>
            <w:vAlign w:val="center"/>
          </w:tcPr>
          <w:p w14:paraId="533A6CD9" w14:textId="77777777" w:rsidR="001C19F3" w:rsidRPr="007F435B" w:rsidRDefault="001C19F3" w:rsidP="00521305">
            <w:pPr>
              <w:spacing w:after="0"/>
              <w:jc w:val="center"/>
              <w:rPr>
                <w:b/>
                <w:sz w:val="18"/>
                <w:szCs w:val="18"/>
              </w:rPr>
            </w:pPr>
            <w:r w:rsidRPr="007F435B">
              <w:rPr>
                <w:b/>
                <w:sz w:val="18"/>
                <w:szCs w:val="18"/>
              </w:rPr>
              <w:t>Individuals involved</w:t>
            </w:r>
          </w:p>
        </w:tc>
        <w:tc>
          <w:tcPr>
            <w:tcW w:w="992" w:type="pct"/>
            <w:shd w:val="clear" w:color="auto" w:fill="003D79"/>
          </w:tcPr>
          <w:p w14:paraId="036E9235" w14:textId="77777777" w:rsidR="001C19F3" w:rsidRPr="007F435B" w:rsidRDefault="001C19F3" w:rsidP="00521305">
            <w:pPr>
              <w:spacing w:after="0"/>
              <w:jc w:val="center"/>
              <w:rPr>
                <w:b/>
                <w:sz w:val="18"/>
                <w:szCs w:val="18"/>
              </w:rPr>
            </w:pPr>
            <w:r w:rsidRPr="007F435B">
              <w:rPr>
                <w:b/>
                <w:sz w:val="18"/>
                <w:szCs w:val="18"/>
              </w:rPr>
              <w:t>Date of interview</w:t>
            </w:r>
          </w:p>
        </w:tc>
      </w:tr>
      <w:tr w:rsidR="001C19F3" w:rsidRPr="008329E4" w14:paraId="1C1BEDD0" w14:textId="77777777" w:rsidTr="00521305">
        <w:trPr>
          <w:jc w:val="center"/>
        </w:trPr>
        <w:tc>
          <w:tcPr>
            <w:tcW w:w="1449" w:type="pct"/>
            <w:shd w:val="clear" w:color="auto" w:fill="auto"/>
            <w:tcMar>
              <w:top w:w="45" w:type="dxa"/>
              <w:left w:w="60" w:type="dxa"/>
              <w:bottom w:w="45" w:type="dxa"/>
              <w:right w:w="60" w:type="dxa"/>
            </w:tcMar>
          </w:tcPr>
          <w:p w14:paraId="451C3C47" w14:textId="77777777" w:rsidR="001C19F3" w:rsidRPr="008329E4" w:rsidRDefault="001C19F3" w:rsidP="00521305">
            <w:pPr>
              <w:spacing w:after="0"/>
              <w:rPr>
                <w:sz w:val="18"/>
                <w:szCs w:val="18"/>
              </w:rPr>
            </w:pPr>
            <w:r>
              <w:rPr>
                <w:sz w:val="18"/>
                <w:szCs w:val="18"/>
              </w:rPr>
              <w:t>GP expert</w:t>
            </w:r>
          </w:p>
        </w:tc>
        <w:tc>
          <w:tcPr>
            <w:tcW w:w="2559" w:type="pct"/>
            <w:shd w:val="clear" w:color="auto" w:fill="auto"/>
            <w:tcMar>
              <w:top w:w="45" w:type="dxa"/>
              <w:left w:w="60" w:type="dxa"/>
              <w:bottom w:w="45" w:type="dxa"/>
              <w:right w:w="60" w:type="dxa"/>
            </w:tcMar>
          </w:tcPr>
          <w:p w14:paraId="67413A0B"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Tony Lembke</w:t>
            </w:r>
          </w:p>
        </w:tc>
        <w:tc>
          <w:tcPr>
            <w:tcW w:w="992" w:type="pct"/>
          </w:tcPr>
          <w:p w14:paraId="4C5CB86C" w14:textId="77777777" w:rsidR="001C19F3" w:rsidRPr="008329E4" w:rsidRDefault="001C19F3" w:rsidP="00521305">
            <w:pPr>
              <w:spacing w:after="0"/>
              <w:jc w:val="center"/>
              <w:rPr>
                <w:sz w:val="18"/>
                <w:szCs w:val="18"/>
              </w:rPr>
            </w:pPr>
            <w:r w:rsidRPr="007F435B">
              <w:rPr>
                <w:sz w:val="18"/>
                <w:szCs w:val="18"/>
              </w:rPr>
              <w:t>28 February 2017</w:t>
            </w:r>
          </w:p>
        </w:tc>
      </w:tr>
      <w:tr w:rsidR="001C19F3" w:rsidRPr="008329E4" w14:paraId="635E5D8F" w14:textId="77777777" w:rsidTr="00521305">
        <w:trPr>
          <w:jc w:val="center"/>
        </w:trPr>
        <w:tc>
          <w:tcPr>
            <w:tcW w:w="1449" w:type="pct"/>
            <w:shd w:val="clear" w:color="auto" w:fill="auto"/>
            <w:tcMar>
              <w:top w:w="45" w:type="dxa"/>
              <w:left w:w="60" w:type="dxa"/>
              <w:bottom w:w="45" w:type="dxa"/>
              <w:right w:w="60" w:type="dxa"/>
            </w:tcMar>
          </w:tcPr>
          <w:p w14:paraId="767F1196" w14:textId="77777777" w:rsidR="001C19F3" w:rsidRPr="008329E4" w:rsidRDefault="001C19F3" w:rsidP="00521305">
            <w:pPr>
              <w:spacing w:after="0"/>
              <w:rPr>
                <w:sz w:val="18"/>
                <w:szCs w:val="18"/>
              </w:rPr>
            </w:pPr>
            <w:r w:rsidRPr="007F435B">
              <w:rPr>
                <w:sz w:val="18"/>
                <w:szCs w:val="18"/>
              </w:rPr>
              <w:t>Royal Australian College of General Practitioners</w:t>
            </w:r>
          </w:p>
        </w:tc>
        <w:tc>
          <w:tcPr>
            <w:tcW w:w="2559" w:type="pct"/>
            <w:shd w:val="clear" w:color="auto" w:fill="auto"/>
            <w:tcMar>
              <w:top w:w="45" w:type="dxa"/>
              <w:left w:w="60" w:type="dxa"/>
              <w:bottom w:w="45" w:type="dxa"/>
              <w:right w:w="60" w:type="dxa"/>
            </w:tcMar>
          </w:tcPr>
          <w:p w14:paraId="03D29D35"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Josephine Raw, Deputy CEO/ General Manager</w:t>
            </w:r>
            <w:r>
              <w:rPr>
                <w:sz w:val="18"/>
                <w:szCs w:val="18"/>
              </w:rPr>
              <w:t xml:space="preserve"> (6 March 2017)</w:t>
            </w:r>
          </w:p>
          <w:p w14:paraId="41E5BB84" w14:textId="77777777" w:rsidR="001C19F3" w:rsidRDefault="001C19F3" w:rsidP="001C19F3">
            <w:pPr>
              <w:pStyle w:val="ListParagraph"/>
              <w:numPr>
                <w:ilvl w:val="0"/>
                <w:numId w:val="92"/>
              </w:numPr>
              <w:spacing w:after="0"/>
              <w:ind w:left="151" w:hanging="141"/>
              <w:rPr>
                <w:sz w:val="18"/>
                <w:szCs w:val="18"/>
              </w:rPr>
            </w:pPr>
            <w:r w:rsidRPr="00821376">
              <w:rPr>
                <w:sz w:val="18"/>
                <w:szCs w:val="18"/>
              </w:rPr>
              <w:t>Roald Versteeg, Manager, Advocacy and Policy</w:t>
            </w:r>
            <w:r>
              <w:rPr>
                <w:sz w:val="18"/>
                <w:szCs w:val="18"/>
              </w:rPr>
              <w:t xml:space="preserve"> (6 March 2017 and 7 December 2017)</w:t>
            </w:r>
          </w:p>
          <w:p w14:paraId="255798D0" w14:textId="77777777" w:rsidR="001C19F3" w:rsidRPr="00821376" w:rsidRDefault="001C19F3" w:rsidP="001C19F3">
            <w:pPr>
              <w:pStyle w:val="ListParagraph"/>
              <w:numPr>
                <w:ilvl w:val="0"/>
                <w:numId w:val="92"/>
              </w:numPr>
              <w:spacing w:after="0"/>
              <w:ind w:left="151" w:hanging="141"/>
              <w:rPr>
                <w:sz w:val="18"/>
                <w:szCs w:val="18"/>
              </w:rPr>
            </w:pPr>
            <w:r>
              <w:rPr>
                <w:sz w:val="18"/>
                <w:szCs w:val="18"/>
              </w:rPr>
              <w:t xml:space="preserve">Stephan Groombridge, Acting </w:t>
            </w:r>
            <w:r w:rsidRPr="00821376">
              <w:rPr>
                <w:sz w:val="18"/>
                <w:szCs w:val="18"/>
              </w:rPr>
              <w:t>General Manager</w:t>
            </w:r>
            <w:r>
              <w:rPr>
                <w:sz w:val="18"/>
                <w:szCs w:val="18"/>
              </w:rPr>
              <w:t xml:space="preserve"> (7 December 2017)</w:t>
            </w:r>
          </w:p>
        </w:tc>
        <w:tc>
          <w:tcPr>
            <w:tcW w:w="992" w:type="pct"/>
          </w:tcPr>
          <w:p w14:paraId="2C8E1F95" w14:textId="77777777" w:rsidR="001C19F3" w:rsidRPr="008329E4" w:rsidRDefault="001C19F3" w:rsidP="00521305">
            <w:pPr>
              <w:spacing w:after="0"/>
              <w:jc w:val="center"/>
              <w:rPr>
                <w:sz w:val="18"/>
                <w:szCs w:val="18"/>
              </w:rPr>
            </w:pPr>
            <w:r w:rsidRPr="007F435B">
              <w:rPr>
                <w:sz w:val="18"/>
                <w:szCs w:val="18"/>
              </w:rPr>
              <w:t>6 March 2017</w:t>
            </w:r>
            <w:r>
              <w:rPr>
                <w:sz w:val="18"/>
                <w:szCs w:val="18"/>
              </w:rPr>
              <w:t xml:space="preserve"> and 7 December 2017</w:t>
            </w:r>
          </w:p>
        </w:tc>
      </w:tr>
      <w:tr w:rsidR="001C19F3" w:rsidRPr="008329E4" w14:paraId="66286C98" w14:textId="77777777" w:rsidTr="00521305">
        <w:trPr>
          <w:jc w:val="center"/>
        </w:trPr>
        <w:tc>
          <w:tcPr>
            <w:tcW w:w="1449" w:type="pct"/>
            <w:shd w:val="clear" w:color="auto" w:fill="auto"/>
            <w:tcMar>
              <w:top w:w="45" w:type="dxa"/>
              <w:left w:w="60" w:type="dxa"/>
              <w:bottom w:w="45" w:type="dxa"/>
              <w:right w:w="60" w:type="dxa"/>
            </w:tcMar>
          </w:tcPr>
          <w:p w14:paraId="36382D43" w14:textId="77777777" w:rsidR="001C19F3" w:rsidRPr="008329E4" w:rsidRDefault="001C19F3" w:rsidP="00521305">
            <w:pPr>
              <w:spacing w:after="0"/>
              <w:rPr>
                <w:sz w:val="18"/>
                <w:szCs w:val="18"/>
              </w:rPr>
            </w:pPr>
            <w:r w:rsidRPr="007F435B">
              <w:rPr>
                <w:sz w:val="18"/>
                <w:szCs w:val="18"/>
              </w:rPr>
              <w:t>Consumers Health Forum</w:t>
            </w:r>
          </w:p>
        </w:tc>
        <w:tc>
          <w:tcPr>
            <w:tcW w:w="2559" w:type="pct"/>
            <w:shd w:val="clear" w:color="auto" w:fill="auto"/>
            <w:tcMar>
              <w:top w:w="45" w:type="dxa"/>
              <w:left w:w="60" w:type="dxa"/>
              <w:bottom w:w="45" w:type="dxa"/>
              <w:right w:w="60" w:type="dxa"/>
            </w:tcMar>
          </w:tcPr>
          <w:p w14:paraId="242D35EA"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Jan Donovan</w:t>
            </w:r>
          </w:p>
        </w:tc>
        <w:tc>
          <w:tcPr>
            <w:tcW w:w="992" w:type="pct"/>
          </w:tcPr>
          <w:p w14:paraId="757A0BED" w14:textId="77777777" w:rsidR="001C19F3" w:rsidRPr="008329E4" w:rsidRDefault="001C19F3" w:rsidP="00521305">
            <w:pPr>
              <w:spacing w:after="0"/>
              <w:jc w:val="center"/>
              <w:rPr>
                <w:sz w:val="18"/>
                <w:szCs w:val="18"/>
              </w:rPr>
            </w:pPr>
            <w:r w:rsidRPr="007F435B">
              <w:rPr>
                <w:sz w:val="18"/>
                <w:szCs w:val="18"/>
              </w:rPr>
              <w:t>6 March 2017</w:t>
            </w:r>
          </w:p>
        </w:tc>
      </w:tr>
      <w:tr w:rsidR="001C19F3" w:rsidRPr="008329E4" w14:paraId="75E7FBF6" w14:textId="77777777" w:rsidTr="00521305">
        <w:trPr>
          <w:jc w:val="center"/>
        </w:trPr>
        <w:tc>
          <w:tcPr>
            <w:tcW w:w="1449" w:type="pct"/>
            <w:shd w:val="clear" w:color="auto" w:fill="auto"/>
            <w:tcMar>
              <w:top w:w="45" w:type="dxa"/>
              <w:left w:w="60" w:type="dxa"/>
              <w:bottom w:w="45" w:type="dxa"/>
              <w:right w:w="60" w:type="dxa"/>
            </w:tcMar>
          </w:tcPr>
          <w:p w14:paraId="37DAF9D5" w14:textId="77777777" w:rsidR="001C19F3" w:rsidRPr="008329E4" w:rsidRDefault="001C19F3" w:rsidP="00521305">
            <w:pPr>
              <w:spacing w:after="0"/>
              <w:rPr>
                <w:sz w:val="18"/>
                <w:szCs w:val="18"/>
              </w:rPr>
            </w:pPr>
            <w:r w:rsidRPr="007F435B">
              <w:rPr>
                <w:sz w:val="18"/>
                <w:szCs w:val="18"/>
              </w:rPr>
              <w:t>A</w:t>
            </w:r>
            <w:r>
              <w:rPr>
                <w:sz w:val="18"/>
                <w:szCs w:val="18"/>
              </w:rPr>
              <w:t>ustralian College of Rural and R</w:t>
            </w:r>
            <w:r w:rsidRPr="007F435B">
              <w:rPr>
                <w:sz w:val="18"/>
                <w:szCs w:val="18"/>
              </w:rPr>
              <w:t>emote Medicine</w:t>
            </w:r>
          </w:p>
        </w:tc>
        <w:tc>
          <w:tcPr>
            <w:tcW w:w="2559" w:type="pct"/>
            <w:shd w:val="clear" w:color="auto" w:fill="auto"/>
            <w:tcMar>
              <w:top w:w="45" w:type="dxa"/>
              <w:left w:w="60" w:type="dxa"/>
              <w:bottom w:w="45" w:type="dxa"/>
              <w:right w:w="60" w:type="dxa"/>
            </w:tcMar>
          </w:tcPr>
          <w:p w14:paraId="66AF2875"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Marita Cowie, CEO</w:t>
            </w:r>
          </w:p>
          <w:p w14:paraId="68B006AA"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Jenny Johnson, Senior Policy and Development Officer</w:t>
            </w:r>
          </w:p>
          <w:p w14:paraId="43FC92C1"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Vicki Sheedy, General Manager, Quali</w:t>
            </w:r>
            <w:r>
              <w:rPr>
                <w:sz w:val="18"/>
                <w:szCs w:val="18"/>
              </w:rPr>
              <w:t>ty and Safety in Practice</w:t>
            </w:r>
          </w:p>
        </w:tc>
        <w:tc>
          <w:tcPr>
            <w:tcW w:w="992" w:type="pct"/>
          </w:tcPr>
          <w:p w14:paraId="4B96DEA3" w14:textId="77777777" w:rsidR="001C19F3" w:rsidRPr="008329E4" w:rsidRDefault="001C19F3" w:rsidP="00521305">
            <w:pPr>
              <w:spacing w:after="0"/>
              <w:jc w:val="center"/>
              <w:rPr>
                <w:sz w:val="18"/>
                <w:szCs w:val="18"/>
              </w:rPr>
            </w:pPr>
            <w:r w:rsidRPr="007F435B">
              <w:rPr>
                <w:sz w:val="18"/>
                <w:szCs w:val="18"/>
              </w:rPr>
              <w:t>13 March 2017</w:t>
            </w:r>
          </w:p>
        </w:tc>
      </w:tr>
      <w:tr w:rsidR="001C19F3" w:rsidRPr="008329E4" w14:paraId="4F7705A0" w14:textId="77777777" w:rsidTr="00521305">
        <w:trPr>
          <w:jc w:val="center"/>
        </w:trPr>
        <w:tc>
          <w:tcPr>
            <w:tcW w:w="1449" w:type="pct"/>
            <w:shd w:val="clear" w:color="auto" w:fill="auto"/>
            <w:tcMar>
              <w:top w:w="45" w:type="dxa"/>
              <w:left w:w="60" w:type="dxa"/>
              <w:bottom w:w="45" w:type="dxa"/>
              <w:right w:w="60" w:type="dxa"/>
            </w:tcMar>
          </w:tcPr>
          <w:p w14:paraId="5FBA0A05" w14:textId="77777777" w:rsidR="001C19F3" w:rsidRPr="007F435B" w:rsidRDefault="001C19F3" w:rsidP="00521305">
            <w:pPr>
              <w:spacing w:after="0"/>
              <w:rPr>
                <w:sz w:val="18"/>
                <w:szCs w:val="18"/>
              </w:rPr>
            </w:pPr>
            <w:r w:rsidRPr="007F435B">
              <w:rPr>
                <w:sz w:val="18"/>
                <w:szCs w:val="18"/>
              </w:rPr>
              <w:t>National Aboriginal Community Controlled Health Organisation</w:t>
            </w:r>
            <w:r>
              <w:rPr>
                <w:sz w:val="18"/>
                <w:szCs w:val="18"/>
              </w:rPr>
              <w:t>*</w:t>
            </w:r>
          </w:p>
        </w:tc>
        <w:tc>
          <w:tcPr>
            <w:tcW w:w="2559" w:type="pct"/>
            <w:shd w:val="clear" w:color="auto" w:fill="auto"/>
            <w:tcMar>
              <w:top w:w="45" w:type="dxa"/>
              <w:left w:w="60" w:type="dxa"/>
              <w:bottom w:w="45" w:type="dxa"/>
              <w:right w:w="60" w:type="dxa"/>
            </w:tcMar>
          </w:tcPr>
          <w:p w14:paraId="7F1F532E"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Dawn Casey, Chief Operating Officer</w:t>
            </w:r>
          </w:p>
          <w:p w14:paraId="6FC70518"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Bronwyn Vincent</w:t>
            </w:r>
          </w:p>
        </w:tc>
        <w:tc>
          <w:tcPr>
            <w:tcW w:w="992" w:type="pct"/>
          </w:tcPr>
          <w:p w14:paraId="411B4D73" w14:textId="77777777" w:rsidR="001C19F3" w:rsidRPr="008329E4" w:rsidRDefault="001C19F3" w:rsidP="00521305">
            <w:pPr>
              <w:spacing w:after="0"/>
              <w:jc w:val="center"/>
              <w:rPr>
                <w:sz w:val="18"/>
                <w:szCs w:val="18"/>
              </w:rPr>
            </w:pPr>
            <w:r w:rsidRPr="007F435B">
              <w:rPr>
                <w:sz w:val="18"/>
                <w:szCs w:val="18"/>
              </w:rPr>
              <w:t>14 March 2017</w:t>
            </w:r>
          </w:p>
        </w:tc>
      </w:tr>
      <w:tr w:rsidR="001C19F3" w:rsidRPr="008329E4" w14:paraId="3EC3DB69" w14:textId="77777777" w:rsidTr="00521305">
        <w:trPr>
          <w:jc w:val="center"/>
        </w:trPr>
        <w:tc>
          <w:tcPr>
            <w:tcW w:w="1449" w:type="pct"/>
            <w:shd w:val="clear" w:color="auto" w:fill="auto"/>
            <w:tcMar>
              <w:top w:w="45" w:type="dxa"/>
              <w:left w:w="60" w:type="dxa"/>
              <w:bottom w:w="45" w:type="dxa"/>
              <w:right w:w="60" w:type="dxa"/>
            </w:tcMar>
          </w:tcPr>
          <w:p w14:paraId="241FA497" w14:textId="77777777" w:rsidR="001C19F3" w:rsidRPr="007F435B" w:rsidRDefault="001C19F3" w:rsidP="00521305">
            <w:pPr>
              <w:spacing w:after="0"/>
              <w:rPr>
                <w:sz w:val="18"/>
                <w:szCs w:val="18"/>
              </w:rPr>
            </w:pPr>
            <w:r w:rsidRPr="007F435B">
              <w:rPr>
                <w:sz w:val="18"/>
                <w:szCs w:val="18"/>
              </w:rPr>
              <w:t>Australian Medical Association</w:t>
            </w:r>
          </w:p>
        </w:tc>
        <w:tc>
          <w:tcPr>
            <w:tcW w:w="2559" w:type="pct"/>
            <w:shd w:val="clear" w:color="auto" w:fill="auto"/>
            <w:tcMar>
              <w:top w:w="45" w:type="dxa"/>
              <w:left w:w="60" w:type="dxa"/>
              <w:bottom w:w="45" w:type="dxa"/>
              <w:right w:w="60" w:type="dxa"/>
            </w:tcMar>
          </w:tcPr>
          <w:p w14:paraId="6CFA0A0C"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Warwick Hough, Director, General Practice, Legal Services and Workplace Policy</w:t>
            </w:r>
          </w:p>
        </w:tc>
        <w:tc>
          <w:tcPr>
            <w:tcW w:w="992" w:type="pct"/>
          </w:tcPr>
          <w:p w14:paraId="4F605C5A" w14:textId="77777777" w:rsidR="001C19F3" w:rsidRPr="008329E4" w:rsidRDefault="001C19F3" w:rsidP="00521305">
            <w:pPr>
              <w:spacing w:after="0"/>
              <w:jc w:val="center"/>
              <w:rPr>
                <w:sz w:val="18"/>
                <w:szCs w:val="18"/>
              </w:rPr>
            </w:pPr>
            <w:r w:rsidRPr="007F435B">
              <w:rPr>
                <w:sz w:val="18"/>
                <w:szCs w:val="18"/>
              </w:rPr>
              <w:t>14 March 2017</w:t>
            </w:r>
          </w:p>
        </w:tc>
      </w:tr>
      <w:tr w:rsidR="001C19F3" w:rsidRPr="008329E4" w14:paraId="27A56E00" w14:textId="77777777" w:rsidTr="00521305">
        <w:trPr>
          <w:jc w:val="center"/>
        </w:trPr>
        <w:tc>
          <w:tcPr>
            <w:tcW w:w="1449" w:type="pct"/>
            <w:shd w:val="clear" w:color="auto" w:fill="auto"/>
            <w:tcMar>
              <w:top w:w="45" w:type="dxa"/>
              <w:left w:w="60" w:type="dxa"/>
              <w:bottom w:w="45" w:type="dxa"/>
              <w:right w:w="60" w:type="dxa"/>
            </w:tcMar>
          </w:tcPr>
          <w:p w14:paraId="7AC52880" w14:textId="77777777" w:rsidR="001C19F3" w:rsidRPr="007F435B" w:rsidRDefault="001C19F3" w:rsidP="00521305">
            <w:pPr>
              <w:spacing w:after="0"/>
              <w:rPr>
                <w:sz w:val="18"/>
                <w:szCs w:val="18"/>
              </w:rPr>
            </w:pPr>
            <w:r w:rsidRPr="007F435B">
              <w:rPr>
                <w:sz w:val="18"/>
                <w:szCs w:val="18"/>
              </w:rPr>
              <w:t>Regional Coordination Working Group</w:t>
            </w:r>
          </w:p>
        </w:tc>
        <w:tc>
          <w:tcPr>
            <w:tcW w:w="2559" w:type="pct"/>
            <w:shd w:val="clear" w:color="auto" w:fill="auto"/>
            <w:tcMar>
              <w:top w:w="45" w:type="dxa"/>
              <w:left w:w="60" w:type="dxa"/>
              <w:bottom w:w="45" w:type="dxa"/>
              <w:right w:w="60" w:type="dxa"/>
            </w:tcMar>
          </w:tcPr>
          <w:p w14:paraId="78AFC323"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CEOs of 10 participating Primary Health Networks and state and territory health authority representatives involved in Commonwealth and state relationships</w:t>
            </w:r>
          </w:p>
        </w:tc>
        <w:tc>
          <w:tcPr>
            <w:tcW w:w="992" w:type="pct"/>
          </w:tcPr>
          <w:p w14:paraId="09DE13AC" w14:textId="77777777" w:rsidR="001C19F3" w:rsidRPr="008329E4" w:rsidRDefault="001C19F3" w:rsidP="00521305">
            <w:pPr>
              <w:spacing w:after="0"/>
              <w:jc w:val="center"/>
              <w:rPr>
                <w:sz w:val="18"/>
                <w:szCs w:val="18"/>
              </w:rPr>
            </w:pPr>
            <w:r w:rsidRPr="007F435B">
              <w:rPr>
                <w:sz w:val="18"/>
                <w:szCs w:val="18"/>
              </w:rPr>
              <w:t>14 March 2017</w:t>
            </w:r>
          </w:p>
        </w:tc>
      </w:tr>
      <w:tr w:rsidR="001C19F3" w:rsidRPr="008329E4" w14:paraId="336DD3BD" w14:textId="77777777" w:rsidTr="00521305">
        <w:trPr>
          <w:jc w:val="center"/>
        </w:trPr>
        <w:tc>
          <w:tcPr>
            <w:tcW w:w="1449" w:type="pct"/>
            <w:shd w:val="clear" w:color="auto" w:fill="auto"/>
            <w:tcMar>
              <w:top w:w="45" w:type="dxa"/>
              <w:left w:w="60" w:type="dxa"/>
              <w:bottom w:w="45" w:type="dxa"/>
              <w:right w:w="60" w:type="dxa"/>
            </w:tcMar>
          </w:tcPr>
          <w:p w14:paraId="1079B88A" w14:textId="77777777" w:rsidR="001C19F3" w:rsidRPr="007F435B" w:rsidRDefault="001C19F3" w:rsidP="00521305">
            <w:pPr>
              <w:spacing w:after="0"/>
              <w:rPr>
                <w:sz w:val="18"/>
                <w:szCs w:val="18"/>
              </w:rPr>
            </w:pPr>
            <w:r>
              <w:rPr>
                <w:sz w:val="18"/>
                <w:szCs w:val="18"/>
              </w:rPr>
              <w:t>GP expert and former Chair of the Primary Health Care Advisory Working Group</w:t>
            </w:r>
          </w:p>
        </w:tc>
        <w:tc>
          <w:tcPr>
            <w:tcW w:w="2559" w:type="pct"/>
            <w:shd w:val="clear" w:color="auto" w:fill="auto"/>
            <w:tcMar>
              <w:top w:w="45" w:type="dxa"/>
              <w:left w:w="60" w:type="dxa"/>
              <w:bottom w:w="45" w:type="dxa"/>
              <w:right w:w="60" w:type="dxa"/>
            </w:tcMar>
          </w:tcPr>
          <w:p w14:paraId="28A94500"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Steve Hambleton</w:t>
            </w:r>
          </w:p>
        </w:tc>
        <w:tc>
          <w:tcPr>
            <w:tcW w:w="992" w:type="pct"/>
          </w:tcPr>
          <w:p w14:paraId="00C8D3B1" w14:textId="77777777" w:rsidR="001C19F3" w:rsidRPr="007F435B" w:rsidRDefault="001C19F3" w:rsidP="00521305">
            <w:pPr>
              <w:spacing w:after="0"/>
              <w:jc w:val="center"/>
              <w:rPr>
                <w:sz w:val="18"/>
                <w:szCs w:val="18"/>
              </w:rPr>
            </w:pPr>
            <w:r>
              <w:rPr>
                <w:sz w:val="18"/>
                <w:szCs w:val="18"/>
              </w:rPr>
              <w:t>17 November 2017</w:t>
            </w:r>
          </w:p>
        </w:tc>
      </w:tr>
      <w:tr w:rsidR="001C19F3" w:rsidRPr="008329E4" w14:paraId="14BEFE37" w14:textId="77777777" w:rsidTr="00521305">
        <w:trPr>
          <w:jc w:val="center"/>
        </w:trPr>
        <w:tc>
          <w:tcPr>
            <w:tcW w:w="1449" w:type="pct"/>
            <w:shd w:val="clear" w:color="auto" w:fill="auto"/>
            <w:tcMar>
              <w:top w:w="45" w:type="dxa"/>
              <w:left w:w="60" w:type="dxa"/>
              <w:bottom w:w="45" w:type="dxa"/>
              <w:right w:w="60" w:type="dxa"/>
            </w:tcMar>
          </w:tcPr>
          <w:p w14:paraId="1760DA79" w14:textId="77777777" w:rsidR="001C19F3" w:rsidRPr="007F435B" w:rsidRDefault="001C19F3" w:rsidP="00521305">
            <w:pPr>
              <w:spacing w:after="0"/>
              <w:rPr>
                <w:sz w:val="18"/>
                <w:szCs w:val="18"/>
              </w:rPr>
            </w:pPr>
            <w:r>
              <w:rPr>
                <w:sz w:val="18"/>
                <w:szCs w:val="18"/>
              </w:rPr>
              <w:t>GP expert</w:t>
            </w:r>
          </w:p>
        </w:tc>
        <w:tc>
          <w:tcPr>
            <w:tcW w:w="2559" w:type="pct"/>
            <w:shd w:val="clear" w:color="auto" w:fill="auto"/>
            <w:tcMar>
              <w:top w:w="45" w:type="dxa"/>
              <w:left w:w="60" w:type="dxa"/>
              <w:bottom w:w="45" w:type="dxa"/>
              <w:right w:w="60" w:type="dxa"/>
            </w:tcMar>
          </w:tcPr>
          <w:p w14:paraId="79AA06A5" w14:textId="77777777" w:rsidR="001C19F3" w:rsidRPr="00821376" w:rsidRDefault="001C19F3" w:rsidP="001C19F3">
            <w:pPr>
              <w:pStyle w:val="ListParagraph"/>
              <w:numPr>
                <w:ilvl w:val="0"/>
                <w:numId w:val="92"/>
              </w:numPr>
              <w:spacing w:after="0"/>
              <w:ind w:left="151" w:hanging="141"/>
              <w:rPr>
                <w:sz w:val="18"/>
                <w:szCs w:val="18"/>
              </w:rPr>
            </w:pPr>
            <w:r w:rsidRPr="00821376">
              <w:rPr>
                <w:sz w:val="18"/>
                <w:szCs w:val="18"/>
              </w:rPr>
              <w:t>Walid Jamal</w:t>
            </w:r>
          </w:p>
        </w:tc>
        <w:tc>
          <w:tcPr>
            <w:tcW w:w="992" w:type="pct"/>
          </w:tcPr>
          <w:p w14:paraId="0ACDD05C" w14:textId="77777777" w:rsidR="001C19F3" w:rsidRPr="007F435B" w:rsidRDefault="001C19F3" w:rsidP="00521305">
            <w:pPr>
              <w:spacing w:after="0"/>
              <w:jc w:val="center"/>
              <w:rPr>
                <w:sz w:val="18"/>
                <w:szCs w:val="18"/>
              </w:rPr>
            </w:pPr>
            <w:r>
              <w:rPr>
                <w:sz w:val="18"/>
                <w:szCs w:val="18"/>
              </w:rPr>
              <w:t>17 November 2017</w:t>
            </w:r>
          </w:p>
        </w:tc>
      </w:tr>
    </w:tbl>
    <w:p w14:paraId="7E2B3E92" w14:textId="77777777" w:rsidR="001C19F3" w:rsidRDefault="001C19F3" w:rsidP="001C19F3">
      <w:pPr>
        <w:rPr>
          <w:i/>
          <w:sz w:val="16"/>
          <w:szCs w:val="16"/>
        </w:rPr>
      </w:pPr>
      <w:r w:rsidRPr="008329E4">
        <w:t> </w:t>
      </w:r>
      <w:r w:rsidRPr="007F435B">
        <w:rPr>
          <w:i/>
          <w:sz w:val="16"/>
          <w:szCs w:val="16"/>
        </w:rPr>
        <w:t>* Declined to comment on the HCH implementation or evaluation. Ins</w:t>
      </w:r>
      <w:r>
        <w:rPr>
          <w:i/>
          <w:sz w:val="16"/>
          <w:szCs w:val="16"/>
        </w:rPr>
        <w:t xml:space="preserve">tead provided information about concurrent issues impacting ACCHS </w:t>
      </w:r>
      <w:r w:rsidRPr="007F435B">
        <w:rPr>
          <w:i/>
          <w:sz w:val="16"/>
          <w:szCs w:val="16"/>
        </w:rPr>
        <w:t>and Aboriginal Medical Services.</w:t>
      </w:r>
    </w:p>
    <w:p w14:paraId="5C0C68E3" w14:textId="77777777" w:rsidR="001C19F3" w:rsidRDefault="001C19F3" w:rsidP="001C19F3">
      <w:pPr>
        <w:spacing w:after="160" w:line="259" w:lineRule="auto"/>
        <w:rPr>
          <w:i/>
          <w:sz w:val="16"/>
          <w:szCs w:val="16"/>
        </w:rPr>
      </w:pPr>
      <w:r>
        <w:rPr>
          <w:i/>
          <w:sz w:val="16"/>
          <w:szCs w:val="16"/>
        </w:rPr>
        <w:br w:type="page"/>
      </w:r>
    </w:p>
    <w:p w14:paraId="6320C46C" w14:textId="77777777" w:rsidR="001C19F3" w:rsidRDefault="001C19F3" w:rsidP="001C19F3">
      <w:pPr>
        <w:pStyle w:val="Appendix"/>
        <w:sectPr w:rsidR="001C19F3" w:rsidSect="00521305">
          <w:type w:val="continuous"/>
          <w:pgSz w:w="16838" w:h="11906" w:orient="landscape"/>
          <w:pgMar w:top="1440" w:right="1440" w:bottom="1440" w:left="1440" w:header="708" w:footer="708" w:gutter="0"/>
          <w:cols w:space="708"/>
          <w:titlePg/>
          <w:docGrid w:linePitch="360"/>
        </w:sectPr>
      </w:pPr>
    </w:p>
    <w:p w14:paraId="7B1C5C04" w14:textId="77777777" w:rsidR="001C19F3" w:rsidRDefault="001C19F3" w:rsidP="001C19F3">
      <w:pPr>
        <w:pStyle w:val="Appendix"/>
      </w:pPr>
      <w:bookmarkStart w:id="457" w:name="_Toc32586059"/>
      <w:r>
        <w:lastRenderedPageBreak/>
        <w:t>Appendix 3 – Progress with evaluation questions</w:t>
      </w:r>
      <w:bookmarkEnd w:id="457"/>
    </w:p>
    <w:p w14:paraId="0A02FE2B" w14:textId="77777777" w:rsidR="001C19F3" w:rsidRPr="00B2094F" w:rsidRDefault="001C19F3" w:rsidP="001C19F3">
      <w:pPr>
        <w:spacing w:after="0"/>
        <w:rPr>
          <w:color w:val="003D79"/>
          <w:sz w:val="40"/>
          <w:szCs w:val="40"/>
        </w:rPr>
      </w:pPr>
      <w:r w:rsidRPr="00B2094F">
        <w:rPr>
          <w:color w:val="003D79"/>
          <w:sz w:val="40"/>
          <w:szCs w:val="40"/>
        </w:rPr>
        <w:t>Key question 1</w:t>
      </w:r>
    </w:p>
    <w:tbl>
      <w:tblPr>
        <w:tblW w:w="140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57" w:type="dxa"/>
          <w:bottom w:w="57" w:type="dxa"/>
          <w:right w:w="57" w:type="dxa"/>
        </w:tblCellMar>
        <w:tblLook w:val="04A0" w:firstRow="1" w:lastRow="0" w:firstColumn="1" w:lastColumn="0" w:noHBand="0" w:noVBand="1"/>
        <w:tblCaption w:val="Table 4 – Detailed evaluation questions and measures relating to Key question 1"/>
        <w:tblDescription w:val="Lists the detailed evaluation questions and measures relating to Key question 1. Also indicates whether they are measures of: input, activity, output, short term outcomes or long term outcomes."/>
      </w:tblPr>
      <w:tblGrid>
        <w:gridCol w:w="5524"/>
        <w:gridCol w:w="6237"/>
        <w:gridCol w:w="1275"/>
        <w:gridCol w:w="974"/>
      </w:tblGrid>
      <w:tr w:rsidR="001C19F3" w:rsidRPr="0047799F" w14:paraId="192E4643" w14:textId="77777777" w:rsidTr="00521305">
        <w:trPr>
          <w:trHeight w:val="916"/>
          <w:tblHeader/>
        </w:trPr>
        <w:tc>
          <w:tcPr>
            <w:tcW w:w="5524" w:type="dxa"/>
            <w:tcBorders>
              <w:bottom w:val="single" w:sz="4" w:space="0" w:color="D9D9D9" w:themeColor="background1" w:themeShade="D9"/>
            </w:tcBorders>
            <w:shd w:val="clear" w:color="auto" w:fill="003D79"/>
            <w:vAlign w:val="center"/>
          </w:tcPr>
          <w:p w14:paraId="2FDD5CB6" w14:textId="77777777" w:rsidR="001C19F3" w:rsidRPr="0047799F" w:rsidRDefault="001C19F3" w:rsidP="00521305">
            <w:pPr>
              <w:spacing w:after="0" w:line="240" w:lineRule="auto"/>
              <w:jc w:val="center"/>
              <w:rPr>
                <w:rFonts w:eastAsia="Times New Roman"/>
                <w:b/>
                <w:bCs/>
                <w:color w:val="FFFFFF" w:themeColor="background1"/>
                <w:sz w:val="16"/>
                <w:szCs w:val="16"/>
                <w:lang w:eastAsia="en-AU"/>
              </w:rPr>
            </w:pPr>
            <w:r w:rsidRPr="0047799F">
              <w:rPr>
                <w:rFonts w:eastAsia="Times New Roman"/>
                <w:b/>
                <w:bCs/>
                <w:color w:val="FFFFFF" w:themeColor="background1"/>
                <w:sz w:val="16"/>
                <w:szCs w:val="16"/>
                <w:lang w:eastAsia="en-AU"/>
              </w:rPr>
              <w:t>Key question 1: Detailed questions</w:t>
            </w:r>
          </w:p>
        </w:tc>
        <w:tc>
          <w:tcPr>
            <w:tcW w:w="6237" w:type="dxa"/>
            <w:tcBorders>
              <w:bottom w:val="single" w:sz="4" w:space="0" w:color="D9D9D9" w:themeColor="background1" w:themeShade="D9"/>
            </w:tcBorders>
            <w:shd w:val="clear" w:color="auto" w:fill="003D79"/>
            <w:noWrap/>
            <w:vAlign w:val="center"/>
            <w:hideMark/>
          </w:tcPr>
          <w:p w14:paraId="5A3A8895" w14:textId="77777777" w:rsidR="001C19F3" w:rsidRPr="0047799F" w:rsidRDefault="001C19F3" w:rsidP="00521305">
            <w:pPr>
              <w:spacing w:after="0" w:line="240" w:lineRule="auto"/>
              <w:jc w:val="center"/>
              <w:rPr>
                <w:rFonts w:eastAsia="Times New Roman"/>
                <w:b/>
                <w:bCs/>
                <w:color w:val="FFFFFF" w:themeColor="background1"/>
                <w:sz w:val="16"/>
                <w:szCs w:val="16"/>
                <w:lang w:eastAsia="en-AU"/>
              </w:rPr>
            </w:pPr>
            <w:r w:rsidRPr="0047799F">
              <w:rPr>
                <w:rFonts w:eastAsia="Times New Roman"/>
                <w:b/>
                <w:bCs/>
                <w:color w:val="FFFFFF" w:themeColor="background1"/>
                <w:sz w:val="16"/>
                <w:szCs w:val="16"/>
                <w:lang w:eastAsia="en-AU"/>
              </w:rPr>
              <w:t>Key question 1: Measures</w:t>
            </w:r>
          </w:p>
        </w:tc>
        <w:tc>
          <w:tcPr>
            <w:tcW w:w="1275" w:type="dxa"/>
            <w:tcBorders>
              <w:bottom w:val="single" w:sz="4" w:space="0" w:color="D9D9D9" w:themeColor="background1" w:themeShade="D9"/>
            </w:tcBorders>
            <w:shd w:val="clear" w:color="auto" w:fill="003D79"/>
            <w:vAlign w:val="center"/>
          </w:tcPr>
          <w:p w14:paraId="1296AD80" w14:textId="77777777" w:rsidR="001C19F3" w:rsidRPr="0047799F" w:rsidRDefault="001C19F3" w:rsidP="00521305">
            <w:pPr>
              <w:spacing w:after="0" w:line="240" w:lineRule="auto"/>
              <w:jc w:val="center"/>
              <w:rPr>
                <w:rFonts w:eastAsia="Times New Roman"/>
                <w:b/>
                <w:bCs/>
                <w:color w:val="FFFFFF" w:themeColor="background1"/>
                <w:sz w:val="16"/>
                <w:szCs w:val="16"/>
                <w:lang w:eastAsia="en-AU"/>
              </w:rPr>
            </w:pPr>
            <w:r>
              <w:rPr>
                <w:rFonts w:eastAsia="Times New Roman"/>
                <w:b/>
                <w:bCs/>
                <w:color w:val="FFFFFF" w:themeColor="background1"/>
                <w:sz w:val="16"/>
                <w:szCs w:val="16"/>
                <w:lang w:eastAsia="en-AU"/>
              </w:rPr>
              <w:t xml:space="preserve">Progress </w:t>
            </w:r>
            <w:r w:rsidRPr="00132C73">
              <w:rPr>
                <w:rFonts w:eastAsia="Times New Roman"/>
                <w:b/>
                <w:bCs/>
                <w:i/>
                <w:color w:val="FFFFFF" w:themeColor="background1"/>
                <w:sz w:val="14"/>
                <w:szCs w:val="14"/>
                <w:lang w:eastAsia="en-AU"/>
              </w:rPr>
              <w:t xml:space="preserve">(C=completed; P=partially covered in this report; N=not </w:t>
            </w:r>
            <w:r>
              <w:rPr>
                <w:rFonts w:eastAsia="Times New Roman"/>
                <w:b/>
                <w:bCs/>
                <w:i/>
                <w:color w:val="FFFFFF" w:themeColor="background1"/>
                <w:sz w:val="14"/>
                <w:szCs w:val="14"/>
                <w:lang w:eastAsia="en-AU"/>
              </w:rPr>
              <w:t>yet covered</w:t>
            </w:r>
            <w:r w:rsidRPr="00132C73">
              <w:rPr>
                <w:rFonts w:eastAsia="Times New Roman"/>
                <w:b/>
                <w:bCs/>
                <w:i/>
                <w:color w:val="FFFFFF" w:themeColor="background1"/>
                <w:sz w:val="14"/>
                <w:szCs w:val="14"/>
                <w:lang w:eastAsia="en-AU"/>
              </w:rPr>
              <w:t>)</w:t>
            </w:r>
          </w:p>
        </w:tc>
        <w:tc>
          <w:tcPr>
            <w:tcW w:w="974" w:type="dxa"/>
            <w:tcBorders>
              <w:bottom w:val="single" w:sz="4" w:space="0" w:color="D9D9D9" w:themeColor="background1" w:themeShade="D9"/>
            </w:tcBorders>
            <w:shd w:val="clear" w:color="auto" w:fill="003D79"/>
            <w:vAlign w:val="center"/>
          </w:tcPr>
          <w:p w14:paraId="398AB428" w14:textId="77777777" w:rsidR="001C19F3" w:rsidRPr="006071F6" w:rsidRDefault="001C19F3" w:rsidP="00521305">
            <w:pPr>
              <w:spacing w:after="0" w:line="240" w:lineRule="auto"/>
              <w:jc w:val="center"/>
              <w:rPr>
                <w:rFonts w:eastAsia="Times New Roman"/>
                <w:b/>
                <w:bCs/>
                <w:color w:val="FFFFFF" w:themeColor="background1"/>
                <w:sz w:val="16"/>
                <w:szCs w:val="16"/>
                <w:lang w:eastAsia="en-AU"/>
              </w:rPr>
            </w:pPr>
            <w:r w:rsidRPr="006071F6">
              <w:rPr>
                <w:rFonts w:eastAsia="Times New Roman"/>
                <w:b/>
                <w:bCs/>
                <w:color w:val="FFFFFF" w:themeColor="background1"/>
                <w:sz w:val="16"/>
                <w:szCs w:val="16"/>
                <w:lang w:eastAsia="en-AU"/>
              </w:rPr>
              <w:t xml:space="preserve">Reference in </w:t>
            </w:r>
            <w:r>
              <w:rPr>
                <w:rFonts w:eastAsia="Times New Roman"/>
                <w:b/>
                <w:bCs/>
                <w:color w:val="FFFFFF" w:themeColor="background1"/>
                <w:sz w:val="16"/>
                <w:szCs w:val="16"/>
                <w:lang w:eastAsia="en-AU"/>
              </w:rPr>
              <w:t>Vol 2</w:t>
            </w:r>
          </w:p>
        </w:tc>
      </w:tr>
      <w:tr w:rsidR="001C19F3" w:rsidRPr="0047799F" w14:paraId="1DCC1C9B" w14:textId="77777777" w:rsidTr="00521305">
        <w:trPr>
          <w:trHeight w:val="155"/>
        </w:trPr>
        <w:tc>
          <w:tcPr>
            <w:tcW w:w="5524" w:type="dxa"/>
            <w:tcBorders>
              <w:right w:val="nil"/>
            </w:tcBorders>
            <w:shd w:val="clear" w:color="auto" w:fill="F2F2F2" w:themeFill="background1" w:themeFillShade="F2"/>
          </w:tcPr>
          <w:p w14:paraId="1F4A491D" w14:textId="77777777" w:rsidR="001C19F3" w:rsidRPr="0047799F" w:rsidRDefault="001C19F3" w:rsidP="00521305">
            <w:pPr>
              <w:spacing w:after="0" w:line="240" w:lineRule="auto"/>
              <w:rPr>
                <w:rFonts w:eastAsia="Times New Roman"/>
                <w:b/>
                <w:bCs/>
                <w:color w:val="000000"/>
                <w:sz w:val="16"/>
                <w:szCs w:val="16"/>
                <w:lang w:eastAsia="en-AU"/>
              </w:rPr>
            </w:pPr>
            <w:r w:rsidRPr="0047799F">
              <w:rPr>
                <w:rFonts w:eastAsia="Times New Roman"/>
                <w:b/>
                <w:bCs/>
                <w:color w:val="000000"/>
                <w:sz w:val="16"/>
                <w:szCs w:val="16"/>
                <w:lang w:eastAsia="en-AU"/>
              </w:rPr>
              <w:t>Level: Program</w:t>
            </w:r>
          </w:p>
        </w:tc>
        <w:tc>
          <w:tcPr>
            <w:tcW w:w="6237" w:type="dxa"/>
            <w:tcBorders>
              <w:left w:val="nil"/>
              <w:right w:val="nil"/>
            </w:tcBorders>
            <w:shd w:val="clear" w:color="auto" w:fill="F2F2F2" w:themeFill="background1" w:themeFillShade="F2"/>
            <w:hideMark/>
          </w:tcPr>
          <w:p w14:paraId="7FE3B007" w14:textId="77777777" w:rsidR="001C19F3" w:rsidRPr="0047799F" w:rsidRDefault="001C19F3" w:rsidP="00521305">
            <w:pPr>
              <w:spacing w:after="0" w:line="240" w:lineRule="auto"/>
              <w:ind w:firstLineChars="100" w:firstLine="160"/>
              <w:rPr>
                <w:rFonts w:eastAsia="Times New Roman"/>
                <w:b/>
                <w:bCs/>
                <w:color w:val="000000"/>
                <w:sz w:val="16"/>
                <w:szCs w:val="16"/>
                <w:lang w:eastAsia="en-AU"/>
              </w:rPr>
            </w:pPr>
          </w:p>
        </w:tc>
        <w:tc>
          <w:tcPr>
            <w:tcW w:w="1275" w:type="dxa"/>
            <w:tcBorders>
              <w:left w:val="nil"/>
              <w:right w:val="nil"/>
            </w:tcBorders>
            <w:shd w:val="clear" w:color="auto" w:fill="F2F2F2" w:themeFill="background1" w:themeFillShade="F2"/>
          </w:tcPr>
          <w:p w14:paraId="5CE4FC38" w14:textId="77777777" w:rsidR="001C19F3" w:rsidRPr="0047799F" w:rsidRDefault="001C19F3" w:rsidP="00521305">
            <w:pPr>
              <w:spacing w:after="0" w:line="240" w:lineRule="auto"/>
              <w:ind w:firstLineChars="100" w:firstLine="160"/>
              <w:jc w:val="center"/>
              <w:rPr>
                <w:rFonts w:eastAsia="Times New Roman"/>
                <w:b/>
                <w:bCs/>
                <w:color w:val="000000"/>
                <w:sz w:val="16"/>
                <w:szCs w:val="16"/>
                <w:lang w:eastAsia="en-AU"/>
              </w:rPr>
            </w:pPr>
          </w:p>
        </w:tc>
        <w:tc>
          <w:tcPr>
            <w:tcW w:w="974" w:type="dxa"/>
            <w:tcBorders>
              <w:left w:val="nil"/>
              <w:right w:val="nil"/>
            </w:tcBorders>
            <w:shd w:val="clear" w:color="auto" w:fill="F2F2F2" w:themeFill="background1" w:themeFillShade="F2"/>
            <w:noWrap/>
          </w:tcPr>
          <w:p w14:paraId="57ACDDF6" w14:textId="77777777" w:rsidR="001C19F3" w:rsidRPr="00D73542" w:rsidRDefault="001C19F3" w:rsidP="00521305">
            <w:pPr>
              <w:spacing w:after="0" w:line="240" w:lineRule="auto"/>
              <w:ind w:firstLineChars="100" w:firstLine="160"/>
              <w:jc w:val="center"/>
              <w:rPr>
                <w:rFonts w:eastAsia="Times New Roman"/>
                <w:b/>
                <w:bCs/>
                <w:color w:val="000000"/>
                <w:sz w:val="16"/>
                <w:szCs w:val="16"/>
                <w:highlight w:val="yellow"/>
                <w:lang w:eastAsia="en-AU"/>
              </w:rPr>
            </w:pPr>
          </w:p>
        </w:tc>
      </w:tr>
      <w:tr w:rsidR="001C19F3" w:rsidRPr="0047799F" w14:paraId="0BCA1F9E" w14:textId="77777777" w:rsidTr="00521305">
        <w:trPr>
          <w:trHeight w:val="300"/>
        </w:trPr>
        <w:tc>
          <w:tcPr>
            <w:tcW w:w="5524" w:type="dxa"/>
            <w:vMerge w:val="restart"/>
          </w:tcPr>
          <w:p w14:paraId="3A7231E9" w14:textId="77777777" w:rsidR="001C19F3" w:rsidRPr="0047799F" w:rsidRDefault="001C19F3" w:rsidP="00521305">
            <w:pPr>
              <w:spacing w:after="0" w:line="264" w:lineRule="auto"/>
              <w:ind w:left="447" w:hanging="425"/>
              <w:rPr>
                <w:rFonts w:eastAsia="Times New Roman"/>
                <w:bCs/>
                <w:color w:val="000000"/>
                <w:sz w:val="16"/>
                <w:szCs w:val="16"/>
                <w:lang w:eastAsia="en-AU"/>
              </w:rPr>
            </w:pPr>
            <w:r w:rsidRPr="0047799F">
              <w:rPr>
                <w:rFonts w:eastAsia="Times New Roman"/>
                <w:bCs/>
                <w:color w:val="000000"/>
                <w:sz w:val="16"/>
                <w:szCs w:val="16"/>
                <w:lang w:eastAsia="en-AU"/>
              </w:rPr>
              <w:t>1.01 What program level activities were undertaken to assist implementation</w:t>
            </w:r>
            <w:r>
              <w:rPr>
                <w:rFonts w:eastAsia="Times New Roman"/>
                <w:bCs/>
                <w:color w:val="000000"/>
                <w:sz w:val="16"/>
                <w:szCs w:val="16"/>
                <w:lang w:eastAsia="en-AU"/>
              </w:rPr>
              <w:t>,</w:t>
            </w:r>
            <w:r w:rsidRPr="0047799F">
              <w:rPr>
                <w:rFonts w:eastAsia="Times New Roman"/>
                <w:bCs/>
                <w:color w:val="000000"/>
                <w:sz w:val="16"/>
                <w:szCs w:val="16"/>
                <w:lang w:eastAsia="en-AU"/>
              </w:rPr>
              <w:t xml:space="preserve"> including program governance, planning, risk management, stakeholder engagement, development of policies and procedures</w:t>
            </w:r>
            <w:r>
              <w:rPr>
                <w:rFonts w:eastAsia="Times New Roman"/>
                <w:bCs/>
                <w:color w:val="000000"/>
                <w:sz w:val="16"/>
                <w:szCs w:val="16"/>
                <w:lang w:eastAsia="en-AU"/>
              </w:rPr>
              <w:t>,</w:t>
            </w:r>
            <w:r w:rsidRPr="0047799F">
              <w:rPr>
                <w:rFonts w:eastAsia="Times New Roman"/>
                <w:bCs/>
                <w:color w:val="000000"/>
                <w:sz w:val="16"/>
                <w:szCs w:val="16"/>
                <w:lang w:eastAsia="en-AU"/>
              </w:rPr>
              <w:t xml:space="preserve"> and HCH model development?</w:t>
            </w:r>
          </w:p>
        </w:tc>
        <w:tc>
          <w:tcPr>
            <w:tcW w:w="6237" w:type="dxa"/>
            <w:shd w:val="clear" w:color="auto" w:fill="auto"/>
            <w:hideMark/>
          </w:tcPr>
          <w:p w14:paraId="49F19C0C"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1.01.</w:t>
            </w:r>
            <w:r>
              <w:rPr>
                <w:rFonts w:eastAsia="Times New Roman"/>
                <w:color w:val="000000"/>
                <w:sz w:val="16"/>
                <w:szCs w:val="16"/>
                <w:lang w:eastAsia="en-AU"/>
              </w:rPr>
              <w:t>0</w:t>
            </w:r>
            <w:r w:rsidRPr="0047799F">
              <w:rPr>
                <w:rFonts w:eastAsia="Times New Roman"/>
                <w:color w:val="000000"/>
                <w:sz w:val="16"/>
                <w:szCs w:val="16"/>
                <w:lang w:eastAsia="en-AU"/>
              </w:rPr>
              <w:t>1 Description of program implementation activities undertaken</w:t>
            </w:r>
            <w:r>
              <w:rPr>
                <w:rFonts w:eastAsia="Times New Roman"/>
                <w:color w:val="000000"/>
                <w:sz w:val="16"/>
                <w:szCs w:val="16"/>
                <w:lang w:eastAsia="en-AU"/>
              </w:rPr>
              <w:t>.</w:t>
            </w:r>
          </w:p>
        </w:tc>
        <w:tc>
          <w:tcPr>
            <w:tcW w:w="1275" w:type="dxa"/>
          </w:tcPr>
          <w:p w14:paraId="54FC617C"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134A5D0"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2, Appendix 1</w:t>
            </w:r>
          </w:p>
        </w:tc>
      </w:tr>
      <w:tr w:rsidR="001C19F3" w:rsidRPr="0047799F" w14:paraId="4BA22C24" w14:textId="77777777" w:rsidTr="00521305">
        <w:trPr>
          <w:trHeight w:val="300"/>
        </w:trPr>
        <w:tc>
          <w:tcPr>
            <w:tcW w:w="5524" w:type="dxa"/>
            <w:vMerge/>
          </w:tcPr>
          <w:p w14:paraId="642B9809"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77746E7A"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1.01.</w:t>
            </w:r>
            <w:r>
              <w:rPr>
                <w:rFonts w:eastAsia="Times New Roman"/>
                <w:color w:val="000000"/>
                <w:sz w:val="16"/>
                <w:szCs w:val="16"/>
                <w:lang w:eastAsia="en-AU"/>
              </w:rPr>
              <w:t>0</w:t>
            </w:r>
            <w:r w:rsidRPr="0047799F">
              <w:rPr>
                <w:rFonts w:eastAsia="Times New Roman"/>
                <w:color w:val="000000"/>
                <w:sz w:val="16"/>
                <w:szCs w:val="16"/>
                <w:lang w:eastAsia="en-AU"/>
              </w:rPr>
              <w:t>2 Opportunities for improv</w:t>
            </w:r>
            <w:r>
              <w:rPr>
                <w:rFonts w:eastAsia="Times New Roman"/>
                <w:color w:val="000000"/>
                <w:sz w:val="16"/>
                <w:szCs w:val="16"/>
                <w:lang w:eastAsia="en-AU"/>
              </w:rPr>
              <w:t xml:space="preserve">ing </w:t>
            </w:r>
            <w:r w:rsidRPr="0047799F">
              <w:rPr>
                <w:rFonts w:eastAsia="Times New Roman"/>
                <w:color w:val="000000"/>
                <w:sz w:val="16"/>
                <w:szCs w:val="16"/>
                <w:lang w:eastAsia="en-AU"/>
              </w:rPr>
              <w:t xml:space="preserve">program-level activities in subsequent </w:t>
            </w:r>
            <w:r>
              <w:rPr>
                <w:rFonts w:eastAsia="Times New Roman"/>
                <w:color w:val="000000"/>
                <w:sz w:val="16"/>
                <w:szCs w:val="16"/>
                <w:lang w:eastAsia="en-AU"/>
              </w:rPr>
              <w:t>rollout</w:t>
            </w:r>
            <w:r w:rsidRPr="0047799F">
              <w:rPr>
                <w:rFonts w:eastAsia="Times New Roman"/>
                <w:color w:val="000000"/>
                <w:sz w:val="16"/>
                <w:szCs w:val="16"/>
                <w:lang w:eastAsia="en-AU"/>
              </w:rPr>
              <w:t>s of the program most frequently identified by stakeholders</w:t>
            </w:r>
            <w:r>
              <w:rPr>
                <w:rFonts w:eastAsia="Times New Roman"/>
                <w:color w:val="000000"/>
                <w:sz w:val="16"/>
                <w:szCs w:val="16"/>
                <w:lang w:eastAsia="en-AU"/>
              </w:rPr>
              <w:t>.</w:t>
            </w:r>
          </w:p>
        </w:tc>
        <w:tc>
          <w:tcPr>
            <w:tcW w:w="1275" w:type="dxa"/>
          </w:tcPr>
          <w:p w14:paraId="48BF3D06"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974" w:type="dxa"/>
            <w:shd w:val="clear" w:color="auto" w:fill="auto"/>
            <w:noWrap/>
          </w:tcPr>
          <w:p w14:paraId="6B94EF03"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w:t>
            </w:r>
            <w:r>
              <w:rPr>
                <w:rFonts w:eastAsia="Times New Roman"/>
                <w:color w:val="000000"/>
                <w:sz w:val="16"/>
                <w:szCs w:val="16"/>
                <w:lang w:eastAsia="en-AU"/>
              </w:rPr>
              <w:t>s</w:t>
            </w:r>
            <w:r w:rsidRPr="008457F2">
              <w:rPr>
                <w:rFonts w:eastAsia="Times New Roman"/>
                <w:color w:val="000000"/>
                <w:sz w:val="16"/>
                <w:szCs w:val="16"/>
                <w:lang w:eastAsia="en-AU"/>
              </w:rPr>
              <w:t xml:space="preserve"> 2</w:t>
            </w:r>
            <w:r>
              <w:rPr>
                <w:rFonts w:eastAsia="Times New Roman"/>
                <w:color w:val="000000"/>
                <w:sz w:val="16"/>
                <w:szCs w:val="16"/>
                <w:lang w:eastAsia="en-AU"/>
              </w:rPr>
              <w:t xml:space="preserve"> &amp; 8</w:t>
            </w:r>
            <w:r w:rsidRPr="008457F2">
              <w:rPr>
                <w:rFonts w:eastAsia="Times New Roman"/>
                <w:color w:val="000000"/>
                <w:sz w:val="16"/>
                <w:szCs w:val="16"/>
                <w:lang w:eastAsia="en-AU"/>
              </w:rPr>
              <w:t xml:space="preserve"> </w:t>
            </w:r>
          </w:p>
        </w:tc>
      </w:tr>
      <w:tr w:rsidR="001C19F3" w:rsidRPr="0047799F" w14:paraId="3A0894D4" w14:textId="77777777" w:rsidTr="00521305">
        <w:trPr>
          <w:trHeight w:val="300"/>
        </w:trPr>
        <w:tc>
          <w:tcPr>
            <w:tcW w:w="5524" w:type="dxa"/>
            <w:vMerge w:val="restart"/>
          </w:tcPr>
          <w:p w14:paraId="27844A34" w14:textId="77777777" w:rsidR="001C19F3" w:rsidRPr="0047799F" w:rsidRDefault="001C19F3" w:rsidP="00521305">
            <w:pPr>
              <w:spacing w:after="0" w:line="264" w:lineRule="auto"/>
              <w:ind w:left="447" w:hanging="425"/>
              <w:rPr>
                <w:rFonts w:eastAsia="Times New Roman"/>
                <w:bCs/>
                <w:color w:val="000000"/>
                <w:sz w:val="16"/>
                <w:szCs w:val="16"/>
                <w:lang w:eastAsia="en-AU"/>
              </w:rPr>
            </w:pPr>
            <w:r w:rsidRPr="0047799F">
              <w:rPr>
                <w:rFonts w:eastAsia="Times New Roman"/>
                <w:bCs/>
                <w:color w:val="000000"/>
                <w:sz w:val="16"/>
                <w:szCs w:val="16"/>
                <w:lang w:eastAsia="en-AU"/>
              </w:rPr>
              <w:t xml:space="preserve">1.02 How were practices recruited to participate in the HCH program? What were the characteristics of practices that were accepted to participate in the HCH program? Did this yield an appropriate mix of practice types and settings for testing the first stage of the program's </w:t>
            </w:r>
            <w:r>
              <w:rPr>
                <w:rFonts w:eastAsia="Times New Roman"/>
                <w:bCs/>
                <w:color w:val="000000"/>
                <w:sz w:val="16"/>
                <w:szCs w:val="16"/>
                <w:lang w:eastAsia="en-AU"/>
              </w:rPr>
              <w:t>rollout</w:t>
            </w:r>
            <w:r w:rsidRPr="0047799F">
              <w:rPr>
                <w:rFonts w:eastAsia="Times New Roman"/>
                <w:bCs/>
                <w:color w:val="000000"/>
                <w:sz w:val="16"/>
                <w:szCs w:val="16"/>
                <w:lang w:eastAsia="en-AU"/>
              </w:rPr>
              <w:t>? Did the practices recruited enrol a sufficient number and mix of patients to demonstrate HCH program viability?</w:t>
            </w:r>
          </w:p>
        </w:tc>
        <w:tc>
          <w:tcPr>
            <w:tcW w:w="6237" w:type="dxa"/>
            <w:shd w:val="clear" w:color="auto" w:fill="auto"/>
            <w:hideMark/>
          </w:tcPr>
          <w:p w14:paraId="191F80AA"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1 Description of practice recruitment activities undertaken</w:t>
            </w:r>
            <w:r>
              <w:rPr>
                <w:rFonts w:eastAsia="Times New Roman"/>
                <w:color w:val="000000"/>
                <w:sz w:val="16"/>
                <w:szCs w:val="16"/>
                <w:lang w:eastAsia="en-AU"/>
              </w:rPr>
              <w:t>.</w:t>
            </w:r>
          </w:p>
        </w:tc>
        <w:tc>
          <w:tcPr>
            <w:tcW w:w="1275" w:type="dxa"/>
          </w:tcPr>
          <w:p w14:paraId="6897B014"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1E4AE38F"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0973DC2C" w14:textId="77777777" w:rsidTr="00521305">
        <w:trPr>
          <w:trHeight w:val="480"/>
        </w:trPr>
        <w:tc>
          <w:tcPr>
            <w:tcW w:w="5524" w:type="dxa"/>
            <w:vMerge/>
          </w:tcPr>
          <w:p w14:paraId="76426579"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6C3BD8B4"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2 Number of practices applying and recruited by the study strata</w:t>
            </w:r>
            <w:r>
              <w:rPr>
                <w:rFonts w:eastAsia="Times New Roman"/>
                <w:color w:val="000000"/>
                <w:sz w:val="16"/>
                <w:szCs w:val="16"/>
                <w:lang w:eastAsia="en-AU"/>
              </w:rPr>
              <w:t>,</w:t>
            </w:r>
            <w:r w:rsidRPr="0047799F">
              <w:rPr>
                <w:rFonts w:eastAsia="Times New Roman"/>
                <w:color w:val="000000"/>
                <w:sz w:val="16"/>
                <w:szCs w:val="16"/>
                <w:lang w:eastAsia="en-AU"/>
              </w:rPr>
              <w:t xml:space="preserve"> including Modified Monash (remoteness) categories, </w:t>
            </w:r>
            <w:r>
              <w:rPr>
                <w:rFonts w:eastAsia="Times New Roman"/>
                <w:color w:val="000000"/>
                <w:sz w:val="16"/>
                <w:szCs w:val="16"/>
                <w:lang w:eastAsia="en-AU"/>
              </w:rPr>
              <w:t>practice type (i.e. corporate, independently owned, ACCHS)</w:t>
            </w:r>
            <w:r w:rsidRPr="0047799F">
              <w:rPr>
                <w:rFonts w:eastAsia="Times New Roman"/>
                <w:color w:val="000000"/>
                <w:sz w:val="16"/>
                <w:szCs w:val="16"/>
                <w:lang w:eastAsia="en-AU"/>
              </w:rPr>
              <w:t>, practice size and staff categories (GP only, GP + practice nurse, GP + practice nurse + other clinical staff)</w:t>
            </w:r>
            <w:r>
              <w:rPr>
                <w:rFonts w:eastAsia="Times New Roman"/>
                <w:color w:val="000000"/>
                <w:sz w:val="16"/>
                <w:szCs w:val="16"/>
                <w:lang w:eastAsia="en-AU"/>
              </w:rPr>
              <w:t>.</w:t>
            </w:r>
          </w:p>
        </w:tc>
        <w:tc>
          <w:tcPr>
            <w:tcW w:w="1275" w:type="dxa"/>
          </w:tcPr>
          <w:p w14:paraId="4EF55412"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34A718EC"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2B150354" w14:textId="77777777" w:rsidTr="00521305">
        <w:trPr>
          <w:trHeight w:val="300"/>
        </w:trPr>
        <w:tc>
          <w:tcPr>
            <w:tcW w:w="5524" w:type="dxa"/>
            <w:vMerge/>
          </w:tcPr>
          <w:p w14:paraId="3CD22D92"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662B0C9C"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 xml:space="preserve">3 Number of practices recruited is at least </w:t>
            </w:r>
            <w:r>
              <w:rPr>
                <w:rFonts w:eastAsia="Times New Roman"/>
                <w:color w:val="000000"/>
                <w:sz w:val="16"/>
                <w:szCs w:val="16"/>
                <w:lang w:eastAsia="en-AU"/>
              </w:rPr>
              <w:t>10</w:t>
            </w:r>
            <w:r w:rsidRPr="0047799F">
              <w:rPr>
                <w:rFonts w:eastAsia="Times New Roman"/>
                <w:color w:val="000000"/>
                <w:sz w:val="16"/>
                <w:szCs w:val="16"/>
                <w:lang w:eastAsia="en-AU"/>
              </w:rPr>
              <w:t xml:space="preserve"> for each of the study strata</w:t>
            </w:r>
            <w:r>
              <w:rPr>
                <w:rFonts w:eastAsia="Times New Roman"/>
                <w:color w:val="000000"/>
                <w:sz w:val="16"/>
                <w:szCs w:val="16"/>
                <w:lang w:eastAsia="en-AU"/>
              </w:rPr>
              <w:t>.</w:t>
            </w:r>
          </w:p>
        </w:tc>
        <w:tc>
          <w:tcPr>
            <w:tcW w:w="1275" w:type="dxa"/>
          </w:tcPr>
          <w:p w14:paraId="1C8F9CF5"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4C852624"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74EE0A89" w14:textId="77777777" w:rsidTr="00521305">
        <w:trPr>
          <w:trHeight w:val="300"/>
        </w:trPr>
        <w:tc>
          <w:tcPr>
            <w:tcW w:w="5524" w:type="dxa"/>
            <w:vMerge/>
          </w:tcPr>
          <w:p w14:paraId="602D7598"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4B053E61"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4 Number of patients enrolled from HCH practices is at least 100 for each of the study strata</w:t>
            </w:r>
            <w:r>
              <w:rPr>
                <w:rFonts w:eastAsia="Times New Roman"/>
                <w:color w:val="000000"/>
                <w:sz w:val="16"/>
                <w:szCs w:val="16"/>
                <w:lang w:eastAsia="en-AU"/>
              </w:rPr>
              <w:t>.</w:t>
            </w:r>
          </w:p>
        </w:tc>
        <w:tc>
          <w:tcPr>
            <w:tcW w:w="1275" w:type="dxa"/>
          </w:tcPr>
          <w:p w14:paraId="2336FA3D"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0F2AB853"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03F9C168" w14:textId="77777777" w:rsidTr="00521305">
        <w:trPr>
          <w:trHeight w:val="300"/>
        </w:trPr>
        <w:tc>
          <w:tcPr>
            <w:tcW w:w="5524" w:type="dxa"/>
            <w:vMerge/>
          </w:tcPr>
          <w:p w14:paraId="6B17276C"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72504B99"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5 Frequency of categories of factors influencing the practice to participate in the HCH program</w:t>
            </w:r>
            <w:r>
              <w:rPr>
                <w:rFonts w:eastAsia="Times New Roman"/>
                <w:color w:val="000000"/>
                <w:sz w:val="16"/>
                <w:szCs w:val="16"/>
                <w:lang w:eastAsia="en-AU"/>
              </w:rPr>
              <w:t>.</w:t>
            </w:r>
          </w:p>
        </w:tc>
        <w:tc>
          <w:tcPr>
            <w:tcW w:w="1275" w:type="dxa"/>
          </w:tcPr>
          <w:p w14:paraId="0D71260B"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48CD3868"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0E1CD5F9" w14:textId="77777777" w:rsidTr="00521305">
        <w:trPr>
          <w:trHeight w:val="300"/>
        </w:trPr>
        <w:tc>
          <w:tcPr>
            <w:tcW w:w="5524" w:type="dxa"/>
            <w:vMerge/>
          </w:tcPr>
          <w:p w14:paraId="1F7D5B2B"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271F56CA"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6 Proportion of HCH practice populations by Modified Monash (remoteness) categories</w:t>
            </w:r>
            <w:r>
              <w:rPr>
                <w:rFonts w:eastAsia="Times New Roman"/>
                <w:color w:val="000000"/>
                <w:sz w:val="16"/>
                <w:szCs w:val="16"/>
                <w:lang w:eastAsia="en-AU"/>
              </w:rPr>
              <w:t>.</w:t>
            </w:r>
          </w:p>
        </w:tc>
        <w:tc>
          <w:tcPr>
            <w:tcW w:w="1275" w:type="dxa"/>
          </w:tcPr>
          <w:p w14:paraId="785158DF"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63CB6CE1"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13C6B4FE" w14:textId="77777777" w:rsidTr="00521305">
        <w:trPr>
          <w:trHeight w:val="300"/>
        </w:trPr>
        <w:tc>
          <w:tcPr>
            <w:tcW w:w="5524" w:type="dxa"/>
            <w:vMerge/>
          </w:tcPr>
          <w:p w14:paraId="034969F5" w14:textId="77777777" w:rsidR="001C19F3" w:rsidRPr="0047799F" w:rsidRDefault="001C19F3" w:rsidP="00521305">
            <w:pPr>
              <w:spacing w:after="0" w:line="264" w:lineRule="auto"/>
              <w:ind w:left="447" w:firstLineChars="300" w:firstLine="480"/>
              <w:rPr>
                <w:rFonts w:eastAsia="Times New Roman"/>
                <w:bCs/>
                <w:color w:val="000000"/>
                <w:sz w:val="16"/>
                <w:szCs w:val="16"/>
                <w:lang w:eastAsia="en-AU"/>
              </w:rPr>
            </w:pPr>
          </w:p>
        </w:tc>
        <w:tc>
          <w:tcPr>
            <w:tcW w:w="6237" w:type="dxa"/>
            <w:shd w:val="clear" w:color="auto" w:fill="auto"/>
            <w:hideMark/>
          </w:tcPr>
          <w:p w14:paraId="32728DD5"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1.02.</w:t>
            </w:r>
            <w:r>
              <w:rPr>
                <w:rFonts w:eastAsia="Times New Roman"/>
                <w:color w:val="000000"/>
                <w:sz w:val="16"/>
                <w:szCs w:val="16"/>
                <w:lang w:eastAsia="en-AU"/>
              </w:rPr>
              <w:t>0</w:t>
            </w:r>
            <w:r w:rsidRPr="0047799F">
              <w:rPr>
                <w:rFonts w:eastAsia="Times New Roman"/>
                <w:color w:val="000000"/>
                <w:sz w:val="16"/>
                <w:szCs w:val="16"/>
                <w:lang w:eastAsia="en-AU"/>
              </w:rPr>
              <w:t xml:space="preserve">7 Opportunities to encourage wide recruitment of practices in subsequent </w:t>
            </w:r>
            <w:r>
              <w:rPr>
                <w:rFonts w:eastAsia="Times New Roman"/>
                <w:color w:val="000000"/>
                <w:sz w:val="16"/>
                <w:szCs w:val="16"/>
                <w:lang w:eastAsia="en-AU"/>
              </w:rPr>
              <w:t>rollout</w:t>
            </w:r>
            <w:r w:rsidRPr="0047799F">
              <w:rPr>
                <w:rFonts w:eastAsia="Times New Roman"/>
                <w:color w:val="000000"/>
                <w:sz w:val="16"/>
                <w:szCs w:val="16"/>
                <w:lang w:eastAsia="en-AU"/>
              </w:rPr>
              <w:t>s of the program most frequently identified by stakeholders</w:t>
            </w:r>
            <w:r>
              <w:rPr>
                <w:rFonts w:eastAsia="Times New Roman"/>
                <w:color w:val="000000"/>
                <w:sz w:val="16"/>
                <w:szCs w:val="16"/>
                <w:lang w:eastAsia="en-AU"/>
              </w:rPr>
              <w:t>.</w:t>
            </w:r>
          </w:p>
        </w:tc>
        <w:tc>
          <w:tcPr>
            <w:tcW w:w="1275" w:type="dxa"/>
          </w:tcPr>
          <w:p w14:paraId="6FB7F633"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974" w:type="dxa"/>
            <w:shd w:val="clear" w:color="auto" w:fill="auto"/>
            <w:noWrap/>
          </w:tcPr>
          <w:p w14:paraId="7F6D00DA" w14:textId="77777777" w:rsidR="001C19F3" w:rsidRPr="008457F2" w:rsidRDefault="001C19F3" w:rsidP="00521305">
            <w:pPr>
              <w:spacing w:after="0" w:line="264" w:lineRule="auto"/>
              <w:jc w:val="center"/>
              <w:rPr>
                <w:rFonts w:eastAsia="Times New Roman"/>
                <w:color w:val="000000"/>
                <w:sz w:val="16"/>
                <w:szCs w:val="16"/>
                <w:lang w:eastAsia="en-AU"/>
              </w:rPr>
            </w:pPr>
            <w:r w:rsidRPr="008457F2">
              <w:rPr>
                <w:rFonts w:eastAsia="Times New Roman"/>
                <w:color w:val="000000"/>
                <w:sz w:val="16"/>
                <w:szCs w:val="16"/>
                <w:lang w:eastAsia="en-AU"/>
              </w:rPr>
              <w:t>Chapter 3</w:t>
            </w:r>
          </w:p>
        </w:tc>
      </w:tr>
      <w:tr w:rsidR="001C19F3" w:rsidRPr="0047799F" w14:paraId="313DD5D4" w14:textId="77777777" w:rsidTr="00521305">
        <w:trPr>
          <w:trHeight w:val="300"/>
        </w:trPr>
        <w:tc>
          <w:tcPr>
            <w:tcW w:w="5524" w:type="dxa"/>
            <w:vMerge w:val="restart"/>
          </w:tcPr>
          <w:p w14:paraId="491A293F" w14:textId="77777777" w:rsidR="001C19F3" w:rsidRPr="0047799F" w:rsidRDefault="001C19F3" w:rsidP="00521305">
            <w:pPr>
              <w:spacing w:after="0" w:line="264" w:lineRule="auto"/>
              <w:ind w:left="447" w:hanging="425"/>
              <w:rPr>
                <w:rFonts w:eastAsia="Times New Roman"/>
                <w:bCs/>
                <w:color w:val="000000"/>
                <w:sz w:val="16"/>
                <w:szCs w:val="16"/>
                <w:lang w:eastAsia="en-AU"/>
              </w:rPr>
            </w:pPr>
            <w:r w:rsidRPr="0047799F">
              <w:rPr>
                <w:rFonts w:eastAsia="Times New Roman"/>
                <w:bCs/>
                <w:color w:val="000000"/>
                <w:sz w:val="16"/>
                <w:szCs w:val="16"/>
                <w:lang w:eastAsia="en-AU"/>
              </w:rPr>
              <w:lastRenderedPageBreak/>
              <w:t xml:space="preserve">1.03 How was HCH training strategy implemented at the national level? What training was provided to HCH practices? What was the level of participation by practice staff in training? How effective was HCH training in enhancing practice staff knowledge and understanding of the </w:t>
            </w:r>
            <w:r>
              <w:rPr>
                <w:rFonts w:eastAsia="Times New Roman"/>
                <w:bCs/>
                <w:color w:val="000000"/>
                <w:sz w:val="16"/>
                <w:szCs w:val="16"/>
                <w:lang w:eastAsia="en-AU"/>
              </w:rPr>
              <w:t>HCH</w:t>
            </w:r>
            <w:r w:rsidRPr="0047799F">
              <w:rPr>
                <w:rFonts w:eastAsia="Times New Roman"/>
                <w:bCs/>
                <w:color w:val="000000"/>
                <w:sz w:val="16"/>
                <w:szCs w:val="16"/>
                <w:lang w:eastAsia="en-AU"/>
              </w:rPr>
              <w:t xml:space="preserve"> program, the patient centred medical home</w:t>
            </w:r>
            <w:r>
              <w:rPr>
                <w:rFonts w:eastAsia="Times New Roman"/>
                <w:bCs/>
                <w:color w:val="000000"/>
                <w:sz w:val="16"/>
                <w:szCs w:val="16"/>
                <w:lang w:eastAsia="en-AU"/>
              </w:rPr>
              <w:t>,</w:t>
            </w:r>
            <w:r w:rsidRPr="0047799F">
              <w:rPr>
                <w:rFonts w:eastAsia="Times New Roman"/>
                <w:bCs/>
                <w:color w:val="000000"/>
                <w:sz w:val="16"/>
                <w:szCs w:val="16"/>
                <w:lang w:eastAsia="en-AU"/>
              </w:rPr>
              <w:t xml:space="preserve"> and the approach for implementing change within the practice? Which approaches to training were most successful?</w:t>
            </w:r>
          </w:p>
        </w:tc>
        <w:tc>
          <w:tcPr>
            <w:tcW w:w="6237" w:type="dxa"/>
            <w:shd w:val="clear" w:color="auto" w:fill="auto"/>
            <w:noWrap/>
            <w:hideMark/>
          </w:tcPr>
          <w:p w14:paraId="0BAD3FD7"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 xml:space="preserve">1 Description of activities undertaken and arrangements put </w:t>
            </w:r>
            <w:r>
              <w:rPr>
                <w:rFonts w:eastAsia="Times New Roman"/>
                <w:color w:val="000000"/>
                <w:sz w:val="16"/>
                <w:szCs w:val="16"/>
                <w:lang w:eastAsia="en-AU"/>
              </w:rPr>
              <w:t xml:space="preserve">in </w:t>
            </w:r>
            <w:r w:rsidRPr="0047799F">
              <w:rPr>
                <w:rFonts w:eastAsia="Times New Roman"/>
                <w:color w:val="000000"/>
                <w:sz w:val="16"/>
                <w:szCs w:val="16"/>
                <w:lang w:eastAsia="en-AU"/>
              </w:rPr>
              <w:t>place for HCH training</w:t>
            </w:r>
            <w:r>
              <w:rPr>
                <w:rFonts w:eastAsia="Times New Roman"/>
                <w:color w:val="000000"/>
                <w:sz w:val="16"/>
                <w:szCs w:val="16"/>
                <w:lang w:eastAsia="en-AU"/>
              </w:rPr>
              <w:t>.</w:t>
            </w:r>
          </w:p>
        </w:tc>
        <w:tc>
          <w:tcPr>
            <w:tcW w:w="1275" w:type="dxa"/>
          </w:tcPr>
          <w:p w14:paraId="1076C871"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37F44668"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8457F2">
              <w:rPr>
                <w:rFonts w:eastAsia="Times New Roman"/>
                <w:color w:val="000000"/>
                <w:sz w:val="16"/>
                <w:szCs w:val="16"/>
                <w:lang w:eastAsia="en-AU"/>
              </w:rPr>
              <w:t>Chapter 6, Appendix 1</w:t>
            </w:r>
          </w:p>
        </w:tc>
      </w:tr>
      <w:tr w:rsidR="001C19F3" w:rsidRPr="0047799F" w14:paraId="79E9B6EE" w14:textId="77777777" w:rsidTr="00521305">
        <w:trPr>
          <w:trHeight w:val="300"/>
        </w:trPr>
        <w:tc>
          <w:tcPr>
            <w:tcW w:w="5524" w:type="dxa"/>
            <w:vMerge/>
          </w:tcPr>
          <w:p w14:paraId="2C40FBE3"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540BED15"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2 Number of HCH practic</w:t>
            </w:r>
            <w:r>
              <w:rPr>
                <w:rFonts w:eastAsia="Times New Roman"/>
                <w:color w:val="000000"/>
                <w:sz w:val="16"/>
                <w:szCs w:val="16"/>
                <w:lang w:eastAsia="en-AU"/>
              </w:rPr>
              <w:t>e staff who participated in PHN-</w:t>
            </w:r>
            <w:r w:rsidRPr="0047799F">
              <w:rPr>
                <w:rFonts w:eastAsia="Times New Roman"/>
                <w:color w:val="000000"/>
                <w:sz w:val="16"/>
                <w:szCs w:val="16"/>
                <w:lang w:eastAsia="en-AU"/>
              </w:rPr>
              <w:t>delivered training</w:t>
            </w:r>
            <w:r>
              <w:rPr>
                <w:rFonts w:eastAsia="Times New Roman"/>
                <w:color w:val="000000"/>
                <w:sz w:val="16"/>
                <w:szCs w:val="16"/>
                <w:lang w:eastAsia="en-AU"/>
              </w:rPr>
              <w:t>,</w:t>
            </w:r>
            <w:r w:rsidRPr="0047799F">
              <w:rPr>
                <w:rFonts w:eastAsia="Times New Roman"/>
                <w:color w:val="000000"/>
                <w:sz w:val="16"/>
                <w:szCs w:val="16"/>
                <w:lang w:eastAsia="en-AU"/>
              </w:rPr>
              <w:t xml:space="preserve"> by staff category</w:t>
            </w:r>
            <w:r>
              <w:rPr>
                <w:rFonts w:eastAsia="Times New Roman"/>
                <w:color w:val="000000"/>
                <w:sz w:val="16"/>
                <w:szCs w:val="16"/>
                <w:lang w:eastAsia="en-AU"/>
              </w:rPr>
              <w:t>.</w:t>
            </w:r>
          </w:p>
        </w:tc>
        <w:tc>
          <w:tcPr>
            <w:tcW w:w="1275" w:type="dxa"/>
          </w:tcPr>
          <w:p w14:paraId="6893329E"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209B821"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8457F2">
              <w:rPr>
                <w:rFonts w:eastAsia="Times New Roman"/>
                <w:color w:val="000000"/>
                <w:sz w:val="16"/>
                <w:szCs w:val="16"/>
                <w:lang w:eastAsia="en-AU"/>
              </w:rPr>
              <w:t>Chapter 6</w:t>
            </w:r>
          </w:p>
        </w:tc>
      </w:tr>
      <w:tr w:rsidR="001C19F3" w:rsidRPr="0047799F" w14:paraId="2B7AF45B" w14:textId="77777777" w:rsidTr="00521305">
        <w:trPr>
          <w:trHeight w:val="300"/>
        </w:trPr>
        <w:tc>
          <w:tcPr>
            <w:tcW w:w="5524" w:type="dxa"/>
            <w:vMerge/>
          </w:tcPr>
          <w:p w14:paraId="161BCCDD"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438EEC43"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3 Proportion of HCH practice staff (based on head</w:t>
            </w:r>
            <w:r>
              <w:rPr>
                <w:rFonts w:eastAsia="Times New Roman"/>
                <w:color w:val="000000"/>
                <w:sz w:val="16"/>
                <w:szCs w:val="16"/>
                <w:lang w:eastAsia="en-AU"/>
              </w:rPr>
              <w:t xml:space="preserve"> count) who participated in PHN-</w:t>
            </w:r>
            <w:r w:rsidRPr="0047799F">
              <w:rPr>
                <w:rFonts w:eastAsia="Times New Roman"/>
                <w:color w:val="000000"/>
                <w:sz w:val="16"/>
                <w:szCs w:val="16"/>
                <w:lang w:eastAsia="en-AU"/>
              </w:rPr>
              <w:t>delivered training</w:t>
            </w:r>
            <w:r>
              <w:rPr>
                <w:rFonts w:eastAsia="Times New Roman"/>
                <w:color w:val="000000"/>
                <w:sz w:val="16"/>
                <w:szCs w:val="16"/>
                <w:lang w:eastAsia="en-AU"/>
              </w:rPr>
              <w:t>,</w:t>
            </w:r>
            <w:r w:rsidRPr="0047799F">
              <w:rPr>
                <w:rFonts w:eastAsia="Times New Roman"/>
                <w:color w:val="000000"/>
                <w:sz w:val="16"/>
                <w:szCs w:val="16"/>
                <w:lang w:eastAsia="en-AU"/>
              </w:rPr>
              <w:t xml:space="preserve"> by staff category</w:t>
            </w:r>
            <w:r>
              <w:rPr>
                <w:rFonts w:eastAsia="Times New Roman"/>
                <w:color w:val="000000"/>
                <w:sz w:val="16"/>
                <w:szCs w:val="16"/>
                <w:lang w:eastAsia="en-AU"/>
              </w:rPr>
              <w:t>.</w:t>
            </w:r>
          </w:p>
        </w:tc>
        <w:tc>
          <w:tcPr>
            <w:tcW w:w="1275" w:type="dxa"/>
          </w:tcPr>
          <w:p w14:paraId="5D0AA619"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C92EC2A"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8457F2">
              <w:rPr>
                <w:rFonts w:eastAsia="Times New Roman"/>
                <w:color w:val="000000"/>
                <w:sz w:val="16"/>
                <w:szCs w:val="16"/>
                <w:lang w:eastAsia="en-AU"/>
              </w:rPr>
              <w:t>Chapter 6</w:t>
            </w:r>
          </w:p>
        </w:tc>
      </w:tr>
      <w:tr w:rsidR="001C19F3" w:rsidRPr="0047799F" w14:paraId="6213E01A" w14:textId="77777777" w:rsidTr="00521305">
        <w:trPr>
          <w:trHeight w:val="300"/>
        </w:trPr>
        <w:tc>
          <w:tcPr>
            <w:tcW w:w="5524" w:type="dxa"/>
            <w:vMerge/>
          </w:tcPr>
          <w:p w14:paraId="26FD0C85"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54D60C67"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 xml:space="preserve">4 Number of HCH practice staff who completed </w:t>
            </w:r>
            <w:r>
              <w:rPr>
                <w:rFonts w:eastAsia="Times New Roman"/>
                <w:color w:val="000000"/>
                <w:sz w:val="16"/>
                <w:szCs w:val="16"/>
                <w:lang w:eastAsia="en-AU"/>
              </w:rPr>
              <w:t xml:space="preserve">the </w:t>
            </w:r>
            <w:r w:rsidRPr="0047799F">
              <w:rPr>
                <w:rFonts w:eastAsia="Times New Roman"/>
                <w:color w:val="000000"/>
                <w:sz w:val="16"/>
                <w:szCs w:val="16"/>
                <w:lang w:eastAsia="en-AU"/>
              </w:rPr>
              <w:t>online HCH training program modules</w:t>
            </w:r>
            <w:r>
              <w:rPr>
                <w:rFonts w:eastAsia="Times New Roman"/>
                <w:color w:val="000000"/>
                <w:sz w:val="16"/>
                <w:szCs w:val="16"/>
                <w:lang w:eastAsia="en-AU"/>
              </w:rPr>
              <w:t>,</w:t>
            </w:r>
            <w:r w:rsidRPr="0047799F">
              <w:rPr>
                <w:rFonts w:eastAsia="Times New Roman"/>
                <w:color w:val="000000"/>
                <w:sz w:val="16"/>
                <w:szCs w:val="16"/>
                <w:lang w:eastAsia="en-AU"/>
              </w:rPr>
              <w:t xml:space="preserve"> by staff category (by module and overall)</w:t>
            </w:r>
            <w:r>
              <w:rPr>
                <w:rFonts w:eastAsia="Times New Roman"/>
                <w:color w:val="000000"/>
                <w:sz w:val="16"/>
                <w:szCs w:val="16"/>
                <w:lang w:eastAsia="en-AU"/>
              </w:rPr>
              <w:t>.</w:t>
            </w:r>
          </w:p>
        </w:tc>
        <w:tc>
          <w:tcPr>
            <w:tcW w:w="1275" w:type="dxa"/>
          </w:tcPr>
          <w:p w14:paraId="32A6AD33"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3F4F58F1"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8457F2">
              <w:rPr>
                <w:rFonts w:eastAsia="Times New Roman"/>
                <w:color w:val="000000"/>
                <w:sz w:val="16"/>
                <w:szCs w:val="16"/>
                <w:lang w:eastAsia="en-AU"/>
              </w:rPr>
              <w:t>Chapter 6</w:t>
            </w:r>
          </w:p>
        </w:tc>
      </w:tr>
      <w:tr w:rsidR="001C19F3" w:rsidRPr="0047799F" w14:paraId="3618B3AB" w14:textId="77777777" w:rsidTr="00521305">
        <w:trPr>
          <w:trHeight w:val="300"/>
        </w:trPr>
        <w:tc>
          <w:tcPr>
            <w:tcW w:w="5524" w:type="dxa"/>
            <w:vMerge/>
          </w:tcPr>
          <w:p w14:paraId="2F893B62"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3EB7F4B2"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5 Proportion of HCH practices from which practice staff participated in PHN</w:t>
            </w:r>
            <w:r>
              <w:rPr>
                <w:rFonts w:eastAsia="Times New Roman"/>
                <w:color w:val="000000"/>
                <w:sz w:val="16"/>
                <w:szCs w:val="16"/>
                <w:lang w:eastAsia="en-AU"/>
              </w:rPr>
              <w:t>-</w:t>
            </w:r>
            <w:r w:rsidRPr="0047799F">
              <w:rPr>
                <w:rFonts w:eastAsia="Times New Roman"/>
                <w:color w:val="000000"/>
                <w:sz w:val="16"/>
                <w:szCs w:val="16"/>
                <w:lang w:eastAsia="en-AU"/>
              </w:rPr>
              <w:t>delivered training</w:t>
            </w:r>
            <w:r>
              <w:rPr>
                <w:rFonts w:eastAsia="Times New Roman"/>
                <w:color w:val="000000"/>
                <w:sz w:val="16"/>
                <w:szCs w:val="16"/>
                <w:lang w:eastAsia="en-AU"/>
              </w:rPr>
              <w:t>.</w:t>
            </w:r>
          </w:p>
        </w:tc>
        <w:tc>
          <w:tcPr>
            <w:tcW w:w="1275" w:type="dxa"/>
          </w:tcPr>
          <w:p w14:paraId="32331F31"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6E405C10"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8457F2">
              <w:rPr>
                <w:rFonts w:eastAsia="Times New Roman"/>
                <w:color w:val="000000"/>
                <w:sz w:val="16"/>
                <w:szCs w:val="16"/>
                <w:lang w:eastAsia="en-AU"/>
              </w:rPr>
              <w:t>Chapter 6</w:t>
            </w:r>
          </w:p>
        </w:tc>
      </w:tr>
      <w:tr w:rsidR="001C19F3" w:rsidRPr="0047799F" w14:paraId="4F52DBFD" w14:textId="77777777" w:rsidTr="00521305">
        <w:trPr>
          <w:trHeight w:val="300"/>
        </w:trPr>
        <w:tc>
          <w:tcPr>
            <w:tcW w:w="5524" w:type="dxa"/>
            <w:vMerge/>
          </w:tcPr>
          <w:p w14:paraId="6CB189A6"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71FAA009"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6 Tools most frequently identified by practice staff as being the most helpful in the HCH implementation</w:t>
            </w:r>
            <w:r>
              <w:rPr>
                <w:rFonts w:eastAsia="Times New Roman"/>
                <w:color w:val="000000"/>
                <w:sz w:val="16"/>
                <w:szCs w:val="16"/>
                <w:lang w:eastAsia="en-AU"/>
              </w:rPr>
              <w:t>.</w:t>
            </w:r>
          </w:p>
        </w:tc>
        <w:tc>
          <w:tcPr>
            <w:tcW w:w="1275" w:type="dxa"/>
          </w:tcPr>
          <w:p w14:paraId="36DA677D"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3C107BD" w14:textId="77777777" w:rsidR="001C19F3" w:rsidRPr="00241472" w:rsidRDefault="001C19F3" w:rsidP="00521305">
            <w:pPr>
              <w:spacing w:after="0" w:line="264" w:lineRule="auto"/>
              <w:jc w:val="center"/>
              <w:rPr>
                <w:rFonts w:eastAsia="Times New Roman"/>
                <w:color w:val="000000"/>
                <w:sz w:val="16"/>
                <w:szCs w:val="16"/>
                <w:lang w:eastAsia="en-AU"/>
              </w:rPr>
            </w:pPr>
            <w:r w:rsidRPr="00241472">
              <w:rPr>
                <w:rFonts w:eastAsia="Times New Roman"/>
                <w:color w:val="000000"/>
                <w:sz w:val="16"/>
                <w:szCs w:val="16"/>
                <w:lang w:eastAsia="en-AU"/>
              </w:rPr>
              <w:t>Chapter 3</w:t>
            </w:r>
          </w:p>
        </w:tc>
      </w:tr>
      <w:tr w:rsidR="001C19F3" w:rsidRPr="0047799F" w14:paraId="0C7CCCAF" w14:textId="77777777" w:rsidTr="00521305">
        <w:trPr>
          <w:trHeight w:val="80"/>
        </w:trPr>
        <w:tc>
          <w:tcPr>
            <w:tcW w:w="5524" w:type="dxa"/>
            <w:vMerge/>
          </w:tcPr>
          <w:p w14:paraId="38CE5C57"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5FB950DE"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07</w:t>
            </w:r>
            <w:r w:rsidRPr="0047799F">
              <w:rPr>
                <w:rFonts w:eastAsia="Times New Roman"/>
                <w:color w:val="000000"/>
                <w:sz w:val="16"/>
                <w:szCs w:val="16"/>
                <w:lang w:eastAsia="en-AU"/>
              </w:rPr>
              <w:t xml:space="preserve"> Training modules most frequently identified by practice staff as being the most helpful in the HCH implementation</w:t>
            </w:r>
            <w:r>
              <w:rPr>
                <w:rFonts w:eastAsia="Times New Roman"/>
                <w:color w:val="000000"/>
                <w:sz w:val="16"/>
                <w:szCs w:val="16"/>
                <w:lang w:eastAsia="en-AU"/>
              </w:rPr>
              <w:t>.</w:t>
            </w:r>
          </w:p>
        </w:tc>
        <w:tc>
          <w:tcPr>
            <w:tcW w:w="1275" w:type="dxa"/>
          </w:tcPr>
          <w:p w14:paraId="636037A0"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D42F34D" w14:textId="77777777" w:rsidR="001C19F3" w:rsidRPr="00241472" w:rsidRDefault="001C19F3" w:rsidP="00521305">
            <w:pPr>
              <w:spacing w:after="0" w:line="264" w:lineRule="auto"/>
              <w:jc w:val="center"/>
              <w:rPr>
                <w:rFonts w:eastAsia="Times New Roman"/>
                <w:color w:val="000000"/>
                <w:sz w:val="16"/>
                <w:szCs w:val="16"/>
                <w:lang w:eastAsia="en-AU"/>
              </w:rPr>
            </w:pPr>
            <w:r w:rsidRPr="00241472">
              <w:rPr>
                <w:rFonts w:eastAsia="Times New Roman"/>
                <w:color w:val="000000"/>
                <w:sz w:val="16"/>
                <w:szCs w:val="16"/>
                <w:lang w:eastAsia="en-AU"/>
              </w:rPr>
              <w:t>Chapter 6</w:t>
            </w:r>
          </w:p>
        </w:tc>
      </w:tr>
      <w:tr w:rsidR="001C19F3" w:rsidRPr="0047799F" w14:paraId="3EC5D0A6" w14:textId="77777777" w:rsidTr="00521305">
        <w:trPr>
          <w:trHeight w:val="300"/>
        </w:trPr>
        <w:tc>
          <w:tcPr>
            <w:tcW w:w="5524" w:type="dxa"/>
            <w:vMerge/>
          </w:tcPr>
          <w:p w14:paraId="2AC504DB" w14:textId="77777777" w:rsidR="001C19F3" w:rsidRPr="0047799F" w:rsidRDefault="001C19F3" w:rsidP="00521305">
            <w:pPr>
              <w:spacing w:after="0" w:line="264" w:lineRule="auto"/>
              <w:ind w:left="447" w:firstLineChars="200" w:firstLine="320"/>
              <w:rPr>
                <w:rFonts w:eastAsia="Times New Roman"/>
                <w:bCs/>
                <w:color w:val="000000"/>
                <w:sz w:val="16"/>
                <w:szCs w:val="16"/>
                <w:lang w:eastAsia="en-AU"/>
              </w:rPr>
            </w:pPr>
          </w:p>
        </w:tc>
        <w:tc>
          <w:tcPr>
            <w:tcW w:w="6237" w:type="dxa"/>
            <w:shd w:val="clear" w:color="auto" w:fill="auto"/>
            <w:noWrap/>
            <w:vAlign w:val="bottom"/>
            <w:hideMark/>
          </w:tcPr>
          <w:p w14:paraId="635810A3"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1.03.</w:t>
            </w:r>
            <w:r>
              <w:rPr>
                <w:rFonts w:eastAsia="Times New Roman"/>
                <w:color w:val="000000"/>
                <w:sz w:val="16"/>
                <w:szCs w:val="16"/>
                <w:lang w:eastAsia="en-AU"/>
              </w:rPr>
              <w:t>0</w:t>
            </w:r>
            <w:r w:rsidRPr="0047799F">
              <w:rPr>
                <w:rFonts w:eastAsia="Times New Roman"/>
                <w:color w:val="000000"/>
                <w:sz w:val="16"/>
                <w:szCs w:val="16"/>
                <w:lang w:eastAsia="en-AU"/>
              </w:rPr>
              <w:t>8 Improvements in HCH training most frequently identified by practices and PHNs</w:t>
            </w:r>
            <w:r>
              <w:rPr>
                <w:rFonts w:eastAsia="Times New Roman"/>
                <w:color w:val="000000"/>
                <w:sz w:val="16"/>
                <w:szCs w:val="16"/>
                <w:lang w:eastAsia="en-AU"/>
              </w:rPr>
              <w:t>.</w:t>
            </w:r>
          </w:p>
        </w:tc>
        <w:tc>
          <w:tcPr>
            <w:tcW w:w="1275" w:type="dxa"/>
          </w:tcPr>
          <w:p w14:paraId="44831734"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41E057F"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8457F2">
              <w:rPr>
                <w:rFonts w:eastAsia="Times New Roman"/>
                <w:color w:val="000000"/>
                <w:sz w:val="16"/>
                <w:szCs w:val="16"/>
                <w:lang w:eastAsia="en-AU"/>
              </w:rPr>
              <w:t>Chapter 6, Appendix 1</w:t>
            </w:r>
          </w:p>
        </w:tc>
      </w:tr>
      <w:tr w:rsidR="001C19F3" w:rsidRPr="0047799F" w14:paraId="4E8E94C5" w14:textId="77777777" w:rsidTr="00521305">
        <w:trPr>
          <w:trHeight w:val="300"/>
        </w:trPr>
        <w:tc>
          <w:tcPr>
            <w:tcW w:w="5524" w:type="dxa"/>
            <w:vMerge w:val="restart"/>
          </w:tcPr>
          <w:p w14:paraId="45E23F5B" w14:textId="77777777" w:rsidR="001C19F3" w:rsidRPr="0047799F" w:rsidRDefault="001C19F3" w:rsidP="00521305">
            <w:pPr>
              <w:spacing w:after="0" w:line="264" w:lineRule="auto"/>
              <w:ind w:left="447" w:hanging="425"/>
              <w:rPr>
                <w:rFonts w:eastAsia="Times New Roman"/>
                <w:bCs/>
                <w:color w:val="000000"/>
                <w:sz w:val="16"/>
                <w:szCs w:val="16"/>
                <w:lang w:eastAsia="en-AU"/>
              </w:rPr>
            </w:pPr>
            <w:r w:rsidRPr="0047799F">
              <w:rPr>
                <w:rFonts w:eastAsia="Times New Roman"/>
                <w:bCs/>
                <w:color w:val="000000"/>
                <w:sz w:val="16"/>
                <w:szCs w:val="16"/>
                <w:lang w:eastAsia="en-AU"/>
              </w:rPr>
              <w:t xml:space="preserve">1.04 What infrastructure and processes were commissioned to support processes for risk stratification and patient enrolment? In what ways could processes and infrastructure for risk stratification and enrolment of patients be improved? How well did the risk stratification model and processes predict hospitalisation </w:t>
            </w:r>
            <w:r>
              <w:rPr>
                <w:rFonts w:eastAsia="Times New Roman"/>
                <w:bCs/>
                <w:color w:val="000000"/>
                <w:sz w:val="16"/>
                <w:szCs w:val="16"/>
                <w:lang w:eastAsia="en-AU"/>
              </w:rPr>
              <w:t>and use of other health care services</w:t>
            </w:r>
            <w:r w:rsidRPr="0047799F">
              <w:rPr>
                <w:rFonts w:eastAsia="Times New Roman"/>
                <w:bCs/>
                <w:color w:val="000000"/>
                <w:sz w:val="16"/>
                <w:szCs w:val="16"/>
                <w:lang w:eastAsia="en-AU"/>
              </w:rPr>
              <w:t>? Was there sufficient information available in practice data and other sources to allocate to risk categories? What are the implications of applying the risk stratification and patient selection process</w:t>
            </w:r>
            <w:r>
              <w:rPr>
                <w:rFonts w:eastAsia="Times New Roman"/>
                <w:bCs/>
                <w:color w:val="000000"/>
                <w:sz w:val="16"/>
                <w:szCs w:val="16"/>
                <w:lang w:eastAsia="en-AU"/>
              </w:rPr>
              <w:t>es</w:t>
            </w:r>
            <w:r w:rsidRPr="0047799F">
              <w:rPr>
                <w:rFonts w:eastAsia="Times New Roman"/>
                <w:bCs/>
                <w:color w:val="000000"/>
                <w:sz w:val="16"/>
                <w:szCs w:val="16"/>
                <w:lang w:eastAsia="en-AU"/>
              </w:rPr>
              <w:t xml:space="preserve"> more broadly across Australian primary care practice populations? What improvement would be expected if the risk stratification process included additional data sources?</w:t>
            </w:r>
          </w:p>
        </w:tc>
        <w:tc>
          <w:tcPr>
            <w:tcW w:w="6237" w:type="dxa"/>
            <w:shd w:val="clear" w:color="auto" w:fill="auto"/>
            <w:hideMark/>
          </w:tcPr>
          <w:p w14:paraId="13A551BD"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1.04.</w:t>
            </w:r>
            <w:r>
              <w:rPr>
                <w:rFonts w:eastAsia="Times New Roman"/>
                <w:color w:val="000000"/>
                <w:sz w:val="16"/>
                <w:szCs w:val="16"/>
                <w:lang w:eastAsia="en-AU"/>
              </w:rPr>
              <w:t>0</w:t>
            </w:r>
            <w:r w:rsidRPr="0047799F">
              <w:rPr>
                <w:rFonts w:eastAsia="Times New Roman"/>
                <w:color w:val="000000"/>
                <w:sz w:val="16"/>
                <w:szCs w:val="16"/>
                <w:lang w:eastAsia="en-AU"/>
              </w:rPr>
              <w:t xml:space="preserve">1 Description of activities undertaken and arrangements </w:t>
            </w:r>
            <w:r>
              <w:rPr>
                <w:rFonts w:eastAsia="Times New Roman"/>
                <w:color w:val="000000"/>
                <w:sz w:val="16"/>
                <w:szCs w:val="16"/>
                <w:lang w:eastAsia="en-AU"/>
              </w:rPr>
              <w:t>for</w:t>
            </w:r>
            <w:r w:rsidRPr="0047799F">
              <w:rPr>
                <w:rFonts w:eastAsia="Times New Roman"/>
                <w:color w:val="000000"/>
                <w:sz w:val="16"/>
                <w:szCs w:val="16"/>
                <w:lang w:eastAsia="en-AU"/>
              </w:rPr>
              <w:t xml:space="preserve"> risk stratification and patient enrolment</w:t>
            </w:r>
            <w:r>
              <w:rPr>
                <w:rFonts w:eastAsia="Times New Roman"/>
                <w:color w:val="000000"/>
                <w:sz w:val="16"/>
                <w:szCs w:val="16"/>
                <w:lang w:eastAsia="en-AU"/>
              </w:rPr>
              <w:t>.</w:t>
            </w:r>
          </w:p>
        </w:tc>
        <w:tc>
          <w:tcPr>
            <w:tcW w:w="1275" w:type="dxa"/>
          </w:tcPr>
          <w:p w14:paraId="483D84AB"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B17791F" w14:textId="77777777" w:rsidR="001C19F3" w:rsidRPr="00241472" w:rsidRDefault="001C19F3" w:rsidP="00521305">
            <w:pPr>
              <w:spacing w:after="0" w:line="264" w:lineRule="auto"/>
              <w:jc w:val="center"/>
              <w:rPr>
                <w:rFonts w:eastAsia="Times New Roman"/>
                <w:color w:val="000000"/>
                <w:sz w:val="16"/>
                <w:szCs w:val="16"/>
                <w:lang w:eastAsia="en-AU"/>
              </w:rPr>
            </w:pPr>
            <w:r w:rsidRPr="00241472">
              <w:rPr>
                <w:rFonts w:eastAsia="Times New Roman"/>
                <w:color w:val="000000"/>
                <w:sz w:val="16"/>
                <w:szCs w:val="16"/>
                <w:lang w:eastAsia="en-AU"/>
              </w:rPr>
              <w:t>Chapters 4 &amp; 7</w:t>
            </w:r>
          </w:p>
        </w:tc>
      </w:tr>
      <w:tr w:rsidR="001C19F3" w:rsidRPr="0047799F" w14:paraId="0CF753A8" w14:textId="77777777" w:rsidTr="00521305">
        <w:trPr>
          <w:trHeight w:val="480"/>
        </w:trPr>
        <w:tc>
          <w:tcPr>
            <w:tcW w:w="5524" w:type="dxa"/>
            <w:vMerge/>
          </w:tcPr>
          <w:p w14:paraId="4EEE22CE"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20BA1F7D"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1.04.</w:t>
            </w:r>
            <w:r>
              <w:rPr>
                <w:rFonts w:eastAsia="Times New Roman"/>
                <w:color w:val="000000"/>
                <w:sz w:val="16"/>
                <w:szCs w:val="16"/>
                <w:lang w:eastAsia="en-AU"/>
              </w:rPr>
              <w:t>0</w:t>
            </w:r>
            <w:r w:rsidRPr="0047799F">
              <w:rPr>
                <w:rFonts w:eastAsia="Times New Roman"/>
                <w:color w:val="000000"/>
                <w:sz w:val="16"/>
                <w:szCs w:val="16"/>
                <w:lang w:eastAsia="en-AU"/>
              </w:rPr>
              <w:t xml:space="preserve">2 </w:t>
            </w:r>
            <w:r>
              <w:rPr>
                <w:rFonts w:eastAsia="Times New Roman"/>
                <w:color w:val="000000"/>
                <w:sz w:val="16"/>
                <w:szCs w:val="16"/>
                <w:lang w:eastAsia="en-AU"/>
              </w:rPr>
              <w:t>P</w:t>
            </w:r>
            <w:r w:rsidRPr="0047799F">
              <w:rPr>
                <w:rFonts w:eastAsia="Times New Roman"/>
                <w:color w:val="000000"/>
                <w:sz w:val="16"/>
                <w:szCs w:val="16"/>
                <w:lang w:eastAsia="en-AU"/>
              </w:rPr>
              <w:t>erformance of risk stratification model in predicting fact of hospitalisation (AUC), number of hospitalisations/bed days (RMSE) and level of health expenditure (RMSE) (AUC-Area under the curve, RMSE-Root mean square error)</w:t>
            </w:r>
            <w:r>
              <w:rPr>
                <w:rFonts w:eastAsia="Times New Roman"/>
                <w:color w:val="000000"/>
                <w:sz w:val="16"/>
                <w:szCs w:val="16"/>
                <w:lang w:eastAsia="en-AU"/>
              </w:rPr>
              <w:t>.</w:t>
            </w:r>
          </w:p>
        </w:tc>
        <w:tc>
          <w:tcPr>
            <w:tcW w:w="1275" w:type="dxa"/>
          </w:tcPr>
          <w:p w14:paraId="1F56D268"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974" w:type="dxa"/>
            <w:shd w:val="clear" w:color="auto" w:fill="auto"/>
            <w:noWrap/>
          </w:tcPr>
          <w:p w14:paraId="60D2AB02" w14:textId="77777777" w:rsidR="001C19F3" w:rsidRPr="00241472" w:rsidRDefault="001C19F3" w:rsidP="00521305">
            <w:pPr>
              <w:spacing w:after="0" w:line="264" w:lineRule="auto"/>
              <w:jc w:val="center"/>
              <w:rPr>
                <w:rFonts w:eastAsia="Times New Roman"/>
                <w:color w:val="000000"/>
                <w:sz w:val="16"/>
                <w:szCs w:val="16"/>
                <w:lang w:eastAsia="en-AU"/>
              </w:rPr>
            </w:pPr>
            <w:r w:rsidRPr="00241472">
              <w:rPr>
                <w:rFonts w:eastAsia="Times New Roman"/>
                <w:color w:val="000000"/>
                <w:sz w:val="16"/>
                <w:szCs w:val="16"/>
                <w:lang w:eastAsia="en-AU"/>
              </w:rPr>
              <w:t>Chapter 7</w:t>
            </w:r>
          </w:p>
        </w:tc>
      </w:tr>
      <w:tr w:rsidR="001C19F3" w:rsidRPr="0047799F" w14:paraId="3A04FAA8" w14:textId="77777777" w:rsidTr="00521305">
        <w:trPr>
          <w:trHeight w:val="300"/>
        </w:trPr>
        <w:tc>
          <w:tcPr>
            <w:tcW w:w="5524" w:type="dxa"/>
            <w:vMerge/>
          </w:tcPr>
          <w:p w14:paraId="0751050A"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4A3AFC2A"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1.04.</w:t>
            </w:r>
            <w:r>
              <w:rPr>
                <w:rFonts w:eastAsia="Times New Roman"/>
                <w:color w:val="000000"/>
                <w:sz w:val="16"/>
                <w:szCs w:val="16"/>
                <w:lang w:eastAsia="en-AU"/>
              </w:rPr>
              <w:t>0</w:t>
            </w:r>
            <w:r w:rsidRPr="0047799F">
              <w:rPr>
                <w:rFonts w:eastAsia="Times New Roman"/>
                <w:color w:val="000000"/>
                <w:sz w:val="16"/>
                <w:szCs w:val="16"/>
                <w:lang w:eastAsia="en-AU"/>
              </w:rPr>
              <w:t>3 Variation in predictive performance of risk stratification models across practice types/categories (reflecting quality of practice information)</w:t>
            </w:r>
            <w:r>
              <w:rPr>
                <w:rFonts w:eastAsia="Times New Roman"/>
                <w:color w:val="000000"/>
                <w:sz w:val="16"/>
                <w:szCs w:val="16"/>
                <w:lang w:eastAsia="en-AU"/>
              </w:rPr>
              <w:t>.</w:t>
            </w:r>
          </w:p>
        </w:tc>
        <w:tc>
          <w:tcPr>
            <w:tcW w:w="1275" w:type="dxa"/>
          </w:tcPr>
          <w:p w14:paraId="53E8C58D"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974" w:type="dxa"/>
            <w:shd w:val="clear" w:color="auto" w:fill="auto"/>
            <w:noWrap/>
          </w:tcPr>
          <w:p w14:paraId="23EF9A73" w14:textId="77777777" w:rsidR="001C19F3" w:rsidRPr="00241472" w:rsidRDefault="001C19F3" w:rsidP="00521305">
            <w:pPr>
              <w:spacing w:after="0" w:line="264" w:lineRule="auto"/>
              <w:jc w:val="center"/>
              <w:rPr>
                <w:rFonts w:eastAsia="Times New Roman"/>
                <w:color w:val="000000"/>
                <w:sz w:val="16"/>
                <w:szCs w:val="16"/>
                <w:lang w:eastAsia="en-AU"/>
              </w:rPr>
            </w:pPr>
          </w:p>
        </w:tc>
      </w:tr>
      <w:tr w:rsidR="001C19F3" w:rsidRPr="0047799F" w14:paraId="23E4D377" w14:textId="77777777" w:rsidTr="00521305">
        <w:trPr>
          <w:trHeight w:val="300"/>
        </w:trPr>
        <w:tc>
          <w:tcPr>
            <w:tcW w:w="5524" w:type="dxa"/>
            <w:vMerge/>
          </w:tcPr>
          <w:p w14:paraId="6C10C071"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59B39ED8"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1.04.</w:t>
            </w:r>
            <w:r>
              <w:rPr>
                <w:rFonts w:eastAsia="Times New Roman"/>
                <w:color w:val="000000"/>
                <w:sz w:val="16"/>
                <w:szCs w:val="16"/>
                <w:lang w:eastAsia="en-AU"/>
              </w:rPr>
              <w:t>0</w:t>
            </w:r>
            <w:r w:rsidRPr="0047799F">
              <w:rPr>
                <w:rFonts w:eastAsia="Times New Roman"/>
                <w:color w:val="000000"/>
                <w:sz w:val="16"/>
                <w:szCs w:val="16"/>
                <w:lang w:eastAsia="en-AU"/>
              </w:rPr>
              <w:t>4 Improvement in predictive performance measures when adding additional data from linked source.</w:t>
            </w:r>
          </w:p>
        </w:tc>
        <w:tc>
          <w:tcPr>
            <w:tcW w:w="1275" w:type="dxa"/>
          </w:tcPr>
          <w:p w14:paraId="5AE19E9B"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974" w:type="dxa"/>
            <w:shd w:val="clear" w:color="auto" w:fill="auto"/>
            <w:noWrap/>
          </w:tcPr>
          <w:p w14:paraId="1C8E8DDB" w14:textId="77777777" w:rsidR="001C19F3" w:rsidRPr="00241472" w:rsidRDefault="001C19F3" w:rsidP="00521305">
            <w:pPr>
              <w:spacing w:after="0" w:line="264" w:lineRule="auto"/>
              <w:jc w:val="center"/>
              <w:rPr>
                <w:rFonts w:eastAsia="Times New Roman"/>
                <w:color w:val="000000"/>
                <w:sz w:val="16"/>
                <w:szCs w:val="16"/>
                <w:lang w:eastAsia="en-AU"/>
              </w:rPr>
            </w:pPr>
          </w:p>
        </w:tc>
      </w:tr>
      <w:tr w:rsidR="001C19F3" w:rsidRPr="0047799F" w14:paraId="690B3EA7" w14:textId="77777777" w:rsidTr="00521305">
        <w:trPr>
          <w:trHeight w:val="300"/>
        </w:trPr>
        <w:tc>
          <w:tcPr>
            <w:tcW w:w="5524" w:type="dxa"/>
            <w:vMerge w:val="restart"/>
          </w:tcPr>
          <w:p w14:paraId="1C914BF5" w14:textId="77777777" w:rsidR="001C19F3" w:rsidRPr="0047799F" w:rsidRDefault="001C19F3" w:rsidP="00521305">
            <w:pPr>
              <w:spacing w:after="0" w:line="264" w:lineRule="auto"/>
              <w:ind w:left="447" w:hanging="425"/>
              <w:rPr>
                <w:rFonts w:eastAsia="Times New Roman"/>
                <w:color w:val="000000"/>
                <w:sz w:val="16"/>
                <w:szCs w:val="16"/>
                <w:lang w:eastAsia="en-AU"/>
              </w:rPr>
            </w:pPr>
            <w:r w:rsidRPr="0047799F">
              <w:rPr>
                <w:rFonts w:eastAsia="Times New Roman"/>
                <w:bCs/>
                <w:color w:val="000000"/>
                <w:sz w:val="16"/>
                <w:szCs w:val="16"/>
                <w:lang w:eastAsia="en-AU"/>
              </w:rPr>
              <w:lastRenderedPageBreak/>
              <w:t>1.05 How effective and efficient were the program's administrative processes</w:t>
            </w:r>
            <w:r>
              <w:rPr>
                <w:rFonts w:eastAsia="Times New Roman"/>
                <w:bCs/>
                <w:color w:val="000000"/>
                <w:sz w:val="16"/>
                <w:szCs w:val="16"/>
                <w:lang w:eastAsia="en-AU"/>
              </w:rPr>
              <w:t>,</w:t>
            </w:r>
            <w:r w:rsidRPr="0047799F">
              <w:rPr>
                <w:rFonts w:eastAsia="Times New Roman"/>
                <w:bCs/>
                <w:color w:val="000000"/>
                <w:sz w:val="16"/>
                <w:szCs w:val="16"/>
                <w:lang w:eastAsia="en-AU"/>
              </w:rPr>
              <w:t xml:space="preserve"> including for patient enrolment, claims management, monitoring program process</w:t>
            </w:r>
            <w:r>
              <w:rPr>
                <w:rFonts w:eastAsia="Times New Roman"/>
                <w:bCs/>
                <w:color w:val="000000"/>
                <w:sz w:val="16"/>
                <w:szCs w:val="16"/>
                <w:lang w:eastAsia="en-AU"/>
              </w:rPr>
              <w:t>es,</w:t>
            </w:r>
            <w:r w:rsidRPr="0047799F">
              <w:rPr>
                <w:rFonts w:eastAsia="Times New Roman"/>
                <w:bCs/>
                <w:color w:val="000000"/>
                <w:sz w:val="16"/>
                <w:szCs w:val="16"/>
                <w:lang w:eastAsia="en-AU"/>
              </w:rPr>
              <w:t xml:space="preserve"> and managing program compliance and integrity?</w:t>
            </w:r>
          </w:p>
        </w:tc>
        <w:tc>
          <w:tcPr>
            <w:tcW w:w="6237" w:type="dxa"/>
            <w:shd w:val="clear" w:color="auto" w:fill="auto"/>
            <w:hideMark/>
          </w:tcPr>
          <w:p w14:paraId="0D1BB3AC"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1.05.</w:t>
            </w:r>
            <w:r>
              <w:rPr>
                <w:rFonts w:eastAsia="Times New Roman"/>
                <w:color w:val="000000"/>
                <w:sz w:val="16"/>
                <w:szCs w:val="16"/>
                <w:lang w:eastAsia="en-AU"/>
              </w:rPr>
              <w:t>0</w:t>
            </w:r>
            <w:r w:rsidRPr="0047799F">
              <w:rPr>
                <w:rFonts w:eastAsia="Times New Roman"/>
                <w:color w:val="000000"/>
                <w:sz w:val="16"/>
                <w:szCs w:val="16"/>
                <w:lang w:eastAsia="en-AU"/>
              </w:rPr>
              <w:t>1 Description of administrative arrangements</w:t>
            </w:r>
            <w:r>
              <w:rPr>
                <w:rFonts w:eastAsia="Times New Roman"/>
                <w:color w:val="000000"/>
                <w:sz w:val="16"/>
                <w:szCs w:val="16"/>
                <w:lang w:eastAsia="en-AU"/>
              </w:rPr>
              <w:t>.</w:t>
            </w:r>
          </w:p>
        </w:tc>
        <w:tc>
          <w:tcPr>
            <w:tcW w:w="1275" w:type="dxa"/>
          </w:tcPr>
          <w:p w14:paraId="7AC893C4"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974" w:type="dxa"/>
            <w:shd w:val="clear" w:color="auto" w:fill="auto"/>
            <w:noWrap/>
          </w:tcPr>
          <w:p w14:paraId="7BD9AE93"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241472">
              <w:rPr>
                <w:rFonts w:eastAsia="Times New Roman"/>
                <w:color w:val="000000"/>
                <w:sz w:val="16"/>
                <w:szCs w:val="16"/>
                <w:lang w:eastAsia="en-AU"/>
              </w:rPr>
              <w:t>Chapters 3 &amp; 4</w:t>
            </w:r>
          </w:p>
        </w:tc>
      </w:tr>
      <w:tr w:rsidR="001C19F3" w:rsidRPr="0047799F" w14:paraId="14945190" w14:textId="77777777" w:rsidTr="00521305">
        <w:trPr>
          <w:trHeight w:val="300"/>
        </w:trPr>
        <w:tc>
          <w:tcPr>
            <w:tcW w:w="5524" w:type="dxa"/>
            <w:vMerge/>
          </w:tcPr>
          <w:p w14:paraId="6F6F733E"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21A504EA"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1.05.</w:t>
            </w:r>
            <w:r>
              <w:rPr>
                <w:rFonts w:eastAsia="Times New Roman"/>
                <w:color w:val="000000"/>
                <w:sz w:val="16"/>
                <w:szCs w:val="16"/>
                <w:lang w:eastAsia="en-AU"/>
              </w:rPr>
              <w:t>0</w:t>
            </w:r>
            <w:r w:rsidRPr="0047799F">
              <w:rPr>
                <w:rFonts w:eastAsia="Times New Roman"/>
                <w:color w:val="000000"/>
                <w:sz w:val="16"/>
                <w:szCs w:val="16"/>
                <w:lang w:eastAsia="en-AU"/>
              </w:rPr>
              <w:t xml:space="preserve">2 Proportion of HCH claims processed within specified </w:t>
            </w:r>
            <w:r>
              <w:rPr>
                <w:rFonts w:eastAsia="Times New Roman"/>
                <w:color w:val="000000"/>
                <w:sz w:val="16"/>
                <w:szCs w:val="16"/>
                <w:lang w:eastAsia="en-AU"/>
              </w:rPr>
              <w:t>time frame</w:t>
            </w:r>
            <w:r w:rsidRPr="0047799F">
              <w:rPr>
                <w:rFonts w:eastAsia="Times New Roman"/>
                <w:color w:val="000000"/>
                <w:sz w:val="16"/>
                <w:szCs w:val="16"/>
                <w:lang w:eastAsia="en-AU"/>
              </w:rPr>
              <w:t>s</w:t>
            </w:r>
            <w:r>
              <w:rPr>
                <w:rFonts w:eastAsia="Times New Roman"/>
                <w:color w:val="000000"/>
                <w:sz w:val="16"/>
                <w:szCs w:val="16"/>
                <w:lang w:eastAsia="en-AU"/>
              </w:rPr>
              <w:t>.</w:t>
            </w:r>
          </w:p>
        </w:tc>
        <w:tc>
          <w:tcPr>
            <w:tcW w:w="1275" w:type="dxa"/>
          </w:tcPr>
          <w:p w14:paraId="52BA545B"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974" w:type="dxa"/>
            <w:shd w:val="clear" w:color="auto" w:fill="auto"/>
            <w:noWrap/>
          </w:tcPr>
          <w:p w14:paraId="51430E9C"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p>
        </w:tc>
      </w:tr>
      <w:tr w:rsidR="001C19F3" w:rsidRPr="0047799F" w14:paraId="476C5AF9" w14:textId="77777777" w:rsidTr="00521305">
        <w:trPr>
          <w:trHeight w:val="300"/>
        </w:trPr>
        <w:tc>
          <w:tcPr>
            <w:tcW w:w="5524" w:type="dxa"/>
            <w:vMerge/>
          </w:tcPr>
          <w:p w14:paraId="1909C174"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264F4533"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1.05.</w:t>
            </w:r>
            <w:r>
              <w:rPr>
                <w:rFonts w:eastAsia="Times New Roman"/>
                <w:color w:val="000000"/>
                <w:sz w:val="16"/>
                <w:szCs w:val="16"/>
                <w:lang w:eastAsia="en-AU"/>
              </w:rPr>
              <w:t>0</w:t>
            </w:r>
            <w:r w:rsidRPr="0047799F">
              <w:rPr>
                <w:rFonts w:eastAsia="Times New Roman"/>
                <w:color w:val="000000"/>
                <w:sz w:val="16"/>
                <w:szCs w:val="16"/>
                <w:lang w:eastAsia="en-AU"/>
              </w:rPr>
              <w:t>3 Proportion of practices agreeing that the HCH processes reduced administrative burden for the practice compared with usual MBS processes</w:t>
            </w:r>
            <w:r>
              <w:rPr>
                <w:rFonts w:eastAsia="Times New Roman"/>
                <w:color w:val="000000"/>
                <w:sz w:val="16"/>
                <w:szCs w:val="16"/>
                <w:lang w:eastAsia="en-AU"/>
              </w:rPr>
              <w:t>.</w:t>
            </w:r>
          </w:p>
        </w:tc>
        <w:tc>
          <w:tcPr>
            <w:tcW w:w="1275" w:type="dxa"/>
          </w:tcPr>
          <w:p w14:paraId="4A1E88FF"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974" w:type="dxa"/>
            <w:shd w:val="clear" w:color="auto" w:fill="auto"/>
            <w:noWrap/>
          </w:tcPr>
          <w:p w14:paraId="107A85D1"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p>
        </w:tc>
      </w:tr>
      <w:tr w:rsidR="001C19F3" w:rsidRPr="0047799F" w14:paraId="2D7B87A8" w14:textId="77777777" w:rsidTr="00521305">
        <w:trPr>
          <w:trHeight w:val="300"/>
        </w:trPr>
        <w:tc>
          <w:tcPr>
            <w:tcW w:w="5524" w:type="dxa"/>
            <w:vMerge/>
          </w:tcPr>
          <w:p w14:paraId="22EAD734"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264EAA14"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1.05.</w:t>
            </w:r>
            <w:r>
              <w:rPr>
                <w:rFonts w:eastAsia="Times New Roman"/>
                <w:color w:val="000000"/>
                <w:sz w:val="16"/>
                <w:szCs w:val="16"/>
                <w:lang w:eastAsia="en-AU"/>
              </w:rPr>
              <w:t>0</w:t>
            </w:r>
            <w:r w:rsidRPr="0047799F">
              <w:rPr>
                <w:rFonts w:eastAsia="Times New Roman"/>
                <w:color w:val="000000"/>
                <w:sz w:val="16"/>
                <w:szCs w:val="16"/>
                <w:lang w:eastAsia="en-AU"/>
              </w:rPr>
              <w:t>4 Program and administrative improvements most frequently identified by practices and other stakeholders</w:t>
            </w:r>
            <w:r>
              <w:rPr>
                <w:rFonts w:eastAsia="Times New Roman"/>
                <w:color w:val="000000"/>
                <w:sz w:val="16"/>
                <w:szCs w:val="16"/>
                <w:lang w:eastAsia="en-AU"/>
              </w:rPr>
              <w:t>.</w:t>
            </w:r>
          </w:p>
        </w:tc>
        <w:tc>
          <w:tcPr>
            <w:tcW w:w="1275" w:type="dxa"/>
          </w:tcPr>
          <w:p w14:paraId="32DF7FFB"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974" w:type="dxa"/>
            <w:shd w:val="clear" w:color="auto" w:fill="auto"/>
            <w:noWrap/>
          </w:tcPr>
          <w:p w14:paraId="433D9B4C"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241472">
              <w:rPr>
                <w:rFonts w:eastAsia="Times New Roman"/>
                <w:color w:val="000000"/>
                <w:sz w:val="16"/>
                <w:szCs w:val="16"/>
                <w:lang w:eastAsia="en-AU"/>
              </w:rPr>
              <w:t>Chapters 3 &amp; 4</w:t>
            </w:r>
          </w:p>
        </w:tc>
      </w:tr>
      <w:tr w:rsidR="001C19F3" w:rsidRPr="0047799F" w14:paraId="31C11F59" w14:textId="77777777" w:rsidTr="00521305">
        <w:trPr>
          <w:trHeight w:val="300"/>
        </w:trPr>
        <w:tc>
          <w:tcPr>
            <w:tcW w:w="5524" w:type="dxa"/>
            <w:vMerge/>
            <w:tcBorders>
              <w:bottom w:val="single" w:sz="4" w:space="0" w:color="D9D9D9" w:themeColor="background1" w:themeShade="D9"/>
            </w:tcBorders>
          </w:tcPr>
          <w:p w14:paraId="770FF1B9"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tcBorders>
              <w:bottom w:val="single" w:sz="4" w:space="0" w:color="D9D9D9" w:themeColor="background1" w:themeShade="D9"/>
            </w:tcBorders>
            <w:shd w:val="clear" w:color="auto" w:fill="auto"/>
            <w:hideMark/>
          </w:tcPr>
          <w:p w14:paraId="39B9412A"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1.05.</w:t>
            </w:r>
            <w:r>
              <w:rPr>
                <w:rFonts w:eastAsia="Times New Roman"/>
                <w:color w:val="000000"/>
                <w:sz w:val="16"/>
                <w:szCs w:val="16"/>
                <w:lang w:eastAsia="en-AU"/>
              </w:rPr>
              <w:t>0</w:t>
            </w:r>
            <w:r w:rsidRPr="0047799F">
              <w:rPr>
                <w:rFonts w:eastAsia="Times New Roman"/>
                <w:color w:val="000000"/>
                <w:sz w:val="16"/>
                <w:szCs w:val="16"/>
                <w:lang w:eastAsia="en-AU"/>
              </w:rPr>
              <w:t xml:space="preserve">5 Description of compliance issues that emerged during </w:t>
            </w:r>
            <w:r>
              <w:rPr>
                <w:rFonts w:eastAsia="Times New Roman"/>
                <w:color w:val="000000"/>
                <w:sz w:val="16"/>
                <w:szCs w:val="16"/>
                <w:lang w:eastAsia="en-AU"/>
              </w:rPr>
              <w:t>the trial</w:t>
            </w:r>
            <w:r w:rsidRPr="0047799F">
              <w:rPr>
                <w:rFonts w:eastAsia="Times New Roman"/>
                <w:color w:val="000000"/>
                <w:sz w:val="16"/>
                <w:szCs w:val="16"/>
                <w:lang w:eastAsia="en-AU"/>
              </w:rPr>
              <w:t xml:space="preserve"> and how these were addressed</w:t>
            </w:r>
            <w:r>
              <w:rPr>
                <w:rFonts w:eastAsia="Times New Roman"/>
                <w:color w:val="000000"/>
                <w:sz w:val="16"/>
                <w:szCs w:val="16"/>
                <w:lang w:eastAsia="en-AU"/>
              </w:rPr>
              <w:t>.</w:t>
            </w:r>
          </w:p>
        </w:tc>
        <w:tc>
          <w:tcPr>
            <w:tcW w:w="1275" w:type="dxa"/>
            <w:tcBorders>
              <w:bottom w:val="single" w:sz="4" w:space="0" w:color="D9D9D9" w:themeColor="background1" w:themeShade="D9"/>
            </w:tcBorders>
          </w:tcPr>
          <w:p w14:paraId="1305C4F2"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974" w:type="dxa"/>
            <w:tcBorders>
              <w:bottom w:val="single" w:sz="4" w:space="0" w:color="D9D9D9" w:themeColor="background1" w:themeShade="D9"/>
            </w:tcBorders>
            <w:shd w:val="clear" w:color="auto" w:fill="auto"/>
            <w:noWrap/>
          </w:tcPr>
          <w:p w14:paraId="5F6145D7"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p>
        </w:tc>
      </w:tr>
      <w:tr w:rsidR="001C19F3" w:rsidRPr="0047799F" w14:paraId="62227B88" w14:textId="77777777" w:rsidTr="00521305">
        <w:trPr>
          <w:trHeight w:val="169"/>
        </w:trPr>
        <w:tc>
          <w:tcPr>
            <w:tcW w:w="5524" w:type="dxa"/>
            <w:tcBorders>
              <w:right w:val="nil"/>
            </w:tcBorders>
            <w:shd w:val="clear" w:color="auto" w:fill="F2F2F2" w:themeFill="background1" w:themeFillShade="F2"/>
          </w:tcPr>
          <w:p w14:paraId="58DC75CB" w14:textId="77777777" w:rsidR="001C19F3" w:rsidRPr="0047799F" w:rsidRDefault="001C19F3" w:rsidP="00521305">
            <w:pPr>
              <w:spacing w:after="0" w:line="264" w:lineRule="auto"/>
              <w:rPr>
                <w:rFonts w:eastAsia="Times New Roman"/>
                <w:b/>
                <w:bCs/>
                <w:color w:val="000000"/>
                <w:sz w:val="16"/>
                <w:szCs w:val="16"/>
                <w:lang w:eastAsia="en-AU"/>
              </w:rPr>
            </w:pPr>
            <w:r w:rsidRPr="0047799F">
              <w:rPr>
                <w:rFonts w:eastAsia="Times New Roman"/>
                <w:b/>
                <w:bCs/>
                <w:color w:val="000000"/>
                <w:sz w:val="16"/>
                <w:szCs w:val="16"/>
                <w:lang w:eastAsia="en-AU"/>
              </w:rPr>
              <w:t>Level: Primary Health Network/Regional</w:t>
            </w:r>
          </w:p>
        </w:tc>
        <w:tc>
          <w:tcPr>
            <w:tcW w:w="6237" w:type="dxa"/>
            <w:tcBorders>
              <w:left w:val="nil"/>
              <w:right w:val="nil"/>
            </w:tcBorders>
            <w:shd w:val="clear" w:color="auto" w:fill="F2F2F2" w:themeFill="background1" w:themeFillShade="F2"/>
            <w:noWrap/>
            <w:vAlign w:val="bottom"/>
            <w:hideMark/>
          </w:tcPr>
          <w:p w14:paraId="1C9FCC22" w14:textId="77777777" w:rsidR="001C19F3" w:rsidRPr="0047799F" w:rsidRDefault="001C19F3" w:rsidP="00521305">
            <w:pPr>
              <w:spacing w:after="0" w:line="264" w:lineRule="auto"/>
              <w:ind w:left="593" w:hanging="567"/>
              <w:rPr>
                <w:rFonts w:eastAsia="Times New Roman"/>
                <w:b/>
                <w:bCs/>
                <w:color w:val="000000"/>
                <w:sz w:val="16"/>
                <w:szCs w:val="16"/>
                <w:lang w:eastAsia="en-AU"/>
              </w:rPr>
            </w:pPr>
          </w:p>
        </w:tc>
        <w:tc>
          <w:tcPr>
            <w:tcW w:w="1275" w:type="dxa"/>
            <w:tcBorders>
              <w:left w:val="nil"/>
              <w:right w:val="nil"/>
            </w:tcBorders>
            <w:shd w:val="clear" w:color="auto" w:fill="F2F2F2" w:themeFill="background1" w:themeFillShade="F2"/>
          </w:tcPr>
          <w:p w14:paraId="3966F098" w14:textId="77777777" w:rsidR="001C19F3" w:rsidRPr="0047799F" w:rsidRDefault="001C19F3" w:rsidP="00521305">
            <w:pPr>
              <w:spacing w:after="0" w:line="264" w:lineRule="auto"/>
              <w:jc w:val="center"/>
              <w:rPr>
                <w:rFonts w:eastAsia="Times New Roman"/>
                <w:b/>
                <w:bCs/>
                <w:color w:val="000000"/>
                <w:sz w:val="16"/>
                <w:szCs w:val="16"/>
                <w:lang w:eastAsia="en-AU"/>
              </w:rPr>
            </w:pPr>
          </w:p>
        </w:tc>
        <w:tc>
          <w:tcPr>
            <w:tcW w:w="974" w:type="dxa"/>
            <w:tcBorders>
              <w:left w:val="nil"/>
              <w:right w:val="nil"/>
            </w:tcBorders>
            <w:shd w:val="clear" w:color="auto" w:fill="F2F2F2" w:themeFill="background1" w:themeFillShade="F2"/>
            <w:noWrap/>
          </w:tcPr>
          <w:p w14:paraId="3D28D28F" w14:textId="77777777" w:rsidR="001C19F3" w:rsidRPr="00D73542" w:rsidRDefault="001C19F3" w:rsidP="00521305">
            <w:pPr>
              <w:spacing w:after="0" w:line="264" w:lineRule="auto"/>
              <w:jc w:val="center"/>
              <w:rPr>
                <w:rFonts w:eastAsia="Times New Roman"/>
                <w:b/>
                <w:bCs/>
                <w:color w:val="000000"/>
                <w:sz w:val="16"/>
                <w:szCs w:val="16"/>
                <w:highlight w:val="yellow"/>
                <w:lang w:eastAsia="en-AU"/>
              </w:rPr>
            </w:pPr>
          </w:p>
        </w:tc>
      </w:tr>
      <w:tr w:rsidR="001C19F3" w:rsidRPr="0047799F" w14:paraId="7D15A5CC" w14:textId="77777777" w:rsidTr="00521305">
        <w:trPr>
          <w:trHeight w:val="300"/>
        </w:trPr>
        <w:tc>
          <w:tcPr>
            <w:tcW w:w="5524" w:type="dxa"/>
            <w:vMerge w:val="restart"/>
          </w:tcPr>
          <w:p w14:paraId="5FEA0A76" w14:textId="77777777" w:rsidR="001C19F3" w:rsidRPr="0047799F" w:rsidRDefault="001C19F3" w:rsidP="00521305">
            <w:pPr>
              <w:spacing w:after="0" w:line="264" w:lineRule="auto"/>
              <w:ind w:left="447" w:hanging="425"/>
              <w:rPr>
                <w:rFonts w:eastAsia="Times New Roman"/>
                <w:color w:val="000000"/>
                <w:sz w:val="16"/>
                <w:szCs w:val="16"/>
                <w:lang w:eastAsia="en-AU"/>
              </w:rPr>
            </w:pPr>
            <w:r w:rsidRPr="0047799F">
              <w:rPr>
                <w:rFonts w:eastAsia="Times New Roman"/>
                <w:bCs/>
                <w:color w:val="000000"/>
                <w:sz w:val="16"/>
                <w:szCs w:val="16"/>
                <w:lang w:eastAsia="en-AU"/>
              </w:rPr>
              <w:t>1.0</w:t>
            </w:r>
            <w:r>
              <w:rPr>
                <w:rFonts w:eastAsia="Times New Roman"/>
                <w:bCs/>
                <w:color w:val="000000"/>
                <w:sz w:val="16"/>
                <w:szCs w:val="16"/>
                <w:lang w:eastAsia="en-AU"/>
              </w:rPr>
              <w:t>6</w:t>
            </w:r>
            <w:r w:rsidRPr="0047799F">
              <w:rPr>
                <w:rFonts w:eastAsia="Times New Roman"/>
                <w:bCs/>
                <w:color w:val="000000"/>
                <w:sz w:val="16"/>
                <w:szCs w:val="16"/>
                <w:lang w:eastAsia="en-AU"/>
              </w:rPr>
              <w:t xml:space="preserve"> What roles did PHNs play in the HCH implementation? </w:t>
            </w:r>
            <w:r>
              <w:rPr>
                <w:rFonts w:eastAsia="Times New Roman"/>
                <w:bCs/>
                <w:color w:val="000000"/>
                <w:sz w:val="16"/>
                <w:szCs w:val="16"/>
                <w:lang w:eastAsia="en-AU"/>
              </w:rPr>
              <w:t>W</w:t>
            </w:r>
            <w:r w:rsidRPr="0047799F">
              <w:rPr>
                <w:rFonts w:eastAsia="Times New Roman"/>
                <w:bCs/>
                <w:color w:val="000000"/>
                <w:sz w:val="16"/>
                <w:szCs w:val="16"/>
                <w:lang w:eastAsia="en-AU"/>
              </w:rPr>
              <w:t xml:space="preserve">hat existing PHN/ state/territory/ </w:t>
            </w:r>
            <w:r>
              <w:rPr>
                <w:rFonts w:eastAsia="Times New Roman"/>
                <w:bCs/>
                <w:color w:val="000000"/>
                <w:sz w:val="16"/>
                <w:szCs w:val="16"/>
                <w:lang w:eastAsia="en-AU"/>
              </w:rPr>
              <w:t>Local Hospital Network (LHN)</w:t>
            </w:r>
            <w:r w:rsidRPr="0047799F">
              <w:rPr>
                <w:rFonts w:eastAsia="Times New Roman"/>
                <w:bCs/>
                <w:color w:val="000000"/>
                <w:sz w:val="16"/>
                <w:szCs w:val="16"/>
                <w:lang w:eastAsia="en-AU"/>
              </w:rPr>
              <w:t xml:space="preserve"> quality improvement/ chronic disease management initiatives were leveraged to assist the HCH implementation?</w:t>
            </w:r>
          </w:p>
        </w:tc>
        <w:tc>
          <w:tcPr>
            <w:tcW w:w="6237" w:type="dxa"/>
            <w:shd w:val="clear" w:color="auto" w:fill="auto"/>
            <w:hideMark/>
          </w:tcPr>
          <w:p w14:paraId="30A04CF3"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w:t>
            </w:r>
            <w:r>
              <w:rPr>
                <w:rFonts w:eastAsia="Times New Roman"/>
                <w:color w:val="000000"/>
                <w:sz w:val="16"/>
                <w:szCs w:val="16"/>
                <w:lang w:eastAsia="en-AU"/>
              </w:rPr>
              <w:t>6</w:t>
            </w:r>
            <w:r w:rsidRPr="0047799F">
              <w:rPr>
                <w:rFonts w:eastAsia="Times New Roman"/>
                <w:color w:val="000000"/>
                <w:sz w:val="16"/>
                <w:szCs w:val="16"/>
                <w:lang w:eastAsia="en-AU"/>
              </w:rPr>
              <w:t>.</w:t>
            </w:r>
            <w:r>
              <w:rPr>
                <w:rFonts w:eastAsia="Times New Roman"/>
                <w:color w:val="000000"/>
                <w:sz w:val="16"/>
                <w:szCs w:val="16"/>
                <w:lang w:eastAsia="en-AU"/>
              </w:rPr>
              <w:t>0</w:t>
            </w:r>
            <w:r w:rsidRPr="0047799F">
              <w:rPr>
                <w:rFonts w:eastAsia="Times New Roman"/>
                <w:color w:val="000000"/>
                <w:sz w:val="16"/>
                <w:szCs w:val="16"/>
                <w:lang w:eastAsia="en-AU"/>
              </w:rPr>
              <w:t>1 Support activities most frequently identified by practices, PHNs and other stakeholders</w:t>
            </w:r>
            <w:r>
              <w:rPr>
                <w:rFonts w:eastAsia="Times New Roman"/>
                <w:color w:val="000000"/>
                <w:sz w:val="16"/>
                <w:szCs w:val="16"/>
                <w:lang w:eastAsia="en-AU"/>
              </w:rPr>
              <w:t>.</w:t>
            </w:r>
          </w:p>
        </w:tc>
        <w:tc>
          <w:tcPr>
            <w:tcW w:w="1275" w:type="dxa"/>
          </w:tcPr>
          <w:p w14:paraId="10B4D854" w14:textId="77777777" w:rsidR="001C19F3" w:rsidRPr="00241472" w:rsidRDefault="001C19F3" w:rsidP="00521305">
            <w:pPr>
              <w:spacing w:after="0" w:line="264" w:lineRule="auto"/>
              <w:jc w:val="center"/>
              <w:rPr>
                <w:rFonts w:eastAsia="Times New Roman"/>
                <w:color w:val="000000"/>
                <w:sz w:val="16"/>
                <w:szCs w:val="16"/>
                <w:lang w:eastAsia="en-AU"/>
              </w:rPr>
            </w:pPr>
            <w:r w:rsidRPr="00241472">
              <w:rPr>
                <w:rFonts w:eastAsia="Times New Roman"/>
                <w:color w:val="000000"/>
                <w:sz w:val="16"/>
                <w:szCs w:val="16"/>
                <w:lang w:eastAsia="en-AU"/>
              </w:rPr>
              <w:t>C</w:t>
            </w:r>
          </w:p>
        </w:tc>
        <w:tc>
          <w:tcPr>
            <w:tcW w:w="974" w:type="dxa"/>
            <w:shd w:val="clear" w:color="auto" w:fill="auto"/>
            <w:noWrap/>
          </w:tcPr>
          <w:p w14:paraId="04DBBE06" w14:textId="77777777" w:rsidR="001C19F3" w:rsidRPr="00241472" w:rsidRDefault="001C19F3" w:rsidP="00521305">
            <w:pPr>
              <w:spacing w:after="0" w:line="264" w:lineRule="auto"/>
              <w:jc w:val="center"/>
              <w:rPr>
                <w:rFonts w:eastAsia="Times New Roman"/>
                <w:color w:val="000000"/>
                <w:sz w:val="16"/>
                <w:szCs w:val="16"/>
                <w:lang w:eastAsia="en-AU"/>
              </w:rPr>
            </w:pPr>
            <w:r w:rsidRPr="00241472">
              <w:rPr>
                <w:rFonts w:eastAsia="Times New Roman"/>
                <w:color w:val="000000"/>
                <w:sz w:val="16"/>
                <w:szCs w:val="16"/>
                <w:lang w:eastAsia="en-AU"/>
              </w:rPr>
              <w:t>Chapter 6</w:t>
            </w:r>
          </w:p>
        </w:tc>
      </w:tr>
      <w:tr w:rsidR="001C19F3" w:rsidRPr="0047799F" w14:paraId="689191DD" w14:textId="77777777" w:rsidTr="00521305">
        <w:trPr>
          <w:trHeight w:val="300"/>
        </w:trPr>
        <w:tc>
          <w:tcPr>
            <w:tcW w:w="5524" w:type="dxa"/>
            <w:vMerge/>
          </w:tcPr>
          <w:p w14:paraId="42867719"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3B93DAD1"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w:t>
            </w:r>
            <w:r>
              <w:rPr>
                <w:rFonts w:eastAsia="Times New Roman"/>
                <w:color w:val="000000"/>
                <w:sz w:val="16"/>
                <w:szCs w:val="16"/>
                <w:lang w:eastAsia="en-AU"/>
              </w:rPr>
              <w:t>6</w:t>
            </w:r>
            <w:r w:rsidRPr="0047799F">
              <w:rPr>
                <w:rFonts w:eastAsia="Times New Roman"/>
                <w:color w:val="000000"/>
                <w:sz w:val="16"/>
                <w:szCs w:val="16"/>
                <w:lang w:eastAsia="en-AU"/>
              </w:rPr>
              <w:t>.</w:t>
            </w:r>
            <w:r>
              <w:rPr>
                <w:rFonts w:eastAsia="Times New Roman"/>
                <w:color w:val="000000"/>
                <w:sz w:val="16"/>
                <w:szCs w:val="16"/>
                <w:lang w:eastAsia="en-AU"/>
              </w:rPr>
              <w:t>0</w:t>
            </w:r>
            <w:r w:rsidRPr="0047799F">
              <w:rPr>
                <w:rFonts w:eastAsia="Times New Roman"/>
                <w:color w:val="000000"/>
                <w:sz w:val="16"/>
                <w:szCs w:val="16"/>
                <w:lang w:eastAsia="en-AU"/>
              </w:rPr>
              <w:t xml:space="preserve">2 Description of quality improvement/ chronic disease management initiatives </w:t>
            </w:r>
            <w:r>
              <w:rPr>
                <w:rFonts w:eastAsia="Times New Roman"/>
                <w:color w:val="000000"/>
                <w:sz w:val="16"/>
                <w:szCs w:val="16"/>
                <w:lang w:eastAsia="en-AU"/>
              </w:rPr>
              <w:t>by</w:t>
            </w:r>
            <w:r w:rsidRPr="0047799F">
              <w:rPr>
                <w:rFonts w:eastAsia="Times New Roman"/>
                <w:color w:val="000000"/>
                <w:sz w:val="16"/>
                <w:szCs w:val="16"/>
                <w:lang w:eastAsia="en-AU"/>
              </w:rPr>
              <w:t xml:space="preserve"> PHN</w:t>
            </w:r>
            <w:r>
              <w:rPr>
                <w:rFonts w:eastAsia="Times New Roman"/>
                <w:color w:val="000000"/>
                <w:sz w:val="16"/>
                <w:szCs w:val="16"/>
                <w:lang w:eastAsia="en-AU"/>
              </w:rPr>
              <w:t>s</w:t>
            </w:r>
            <w:r w:rsidRPr="0047799F">
              <w:rPr>
                <w:rFonts w:eastAsia="Times New Roman"/>
                <w:color w:val="000000"/>
                <w:sz w:val="16"/>
                <w:szCs w:val="16"/>
                <w:lang w:eastAsia="en-AU"/>
              </w:rPr>
              <w:t>, LHN</w:t>
            </w:r>
            <w:r>
              <w:rPr>
                <w:rFonts w:eastAsia="Times New Roman"/>
                <w:color w:val="000000"/>
                <w:sz w:val="16"/>
                <w:szCs w:val="16"/>
                <w:lang w:eastAsia="en-AU"/>
              </w:rPr>
              <w:t>s</w:t>
            </w:r>
            <w:r w:rsidRPr="0047799F">
              <w:rPr>
                <w:rFonts w:eastAsia="Times New Roman"/>
                <w:color w:val="000000"/>
                <w:sz w:val="16"/>
                <w:szCs w:val="16"/>
                <w:lang w:eastAsia="en-AU"/>
              </w:rPr>
              <w:t xml:space="preserve">, </w:t>
            </w:r>
            <w:r>
              <w:rPr>
                <w:rFonts w:eastAsia="Times New Roman"/>
                <w:color w:val="000000"/>
                <w:sz w:val="16"/>
                <w:szCs w:val="16"/>
                <w:lang w:eastAsia="en-AU"/>
              </w:rPr>
              <w:t xml:space="preserve">and </w:t>
            </w:r>
            <w:r w:rsidRPr="0047799F">
              <w:rPr>
                <w:rFonts w:eastAsia="Times New Roman"/>
                <w:color w:val="000000"/>
                <w:sz w:val="16"/>
                <w:szCs w:val="16"/>
                <w:lang w:eastAsia="en-AU"/>
              </w:rPr>
              <w:t>state and territory</w:t>
            </w:r>
            <w:r>
              <w:rPr>
                <w:rFonts w:eastAsia="Times New Roman"/>
                <w:color w:val="000000"/>
                <w:sz w:val="16"/>
                <w:szCs w:val="16"/>
                <w:lang w:eastAsia="en-AU"/>
              </w:rPr>
              <w:t xml:space="preserve"> health authorities</w:t>
            </w:r>
            <w:r w:rsidRPr="0047799F">
              <w:rPr>
                <w:rFonts w:eastAsia="Times New Roman"/>
                <w:color w:val="000000"/>
                <w:sz w:val="16"/>
                <w:szCs w:val="16"/>
                <w:lang w:eastAsia="en-AU"/>
              </w:rPr>
              <w:t xml:space="preserve"> leveraged during HCH implementation</w:t>
            </w:r>
            <w:r>
              <w:rPr>
                <w:rFonts w:eastAsia="Times New Roman"/>
                <w:color w:val="000000"/>
                <w:sz w:val="16"/>
                <w:szCs w:val="16"/>
                <w:lang w:eastAsia="en-AU"/>
              </w:rPr>
              <w:t>.</w:t>
            </w:r>
          </w:p>
        </w:tc>
        <w:tc>
          <w:tcPr>
            <w:tcW w:w="1275" w:type="dxa"/>
          </w:tcPr>
          <w:p w14:paraId="323E4A82"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974" w:type="dxa"/>
            <w:shd w:val="clear" w:color="auto" w:fill="auto"/>
            <w:noWrap/>
          </w:tcPr>
          <w:p w14:paraId="1ABD3B1D"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p>
        </w:tc>
      </w:tr>
      <w:tr w:rsidR="001C19F3" w:rsidRPr="0047799F" w14:paraId="2340C140" w14:textId="77777777" w:rsidTr="00521305">
        <w:trPr>
          <w:trHeight w:val="300"/>
        </w:trPr>
        <w:tc>
          <w:tcPr>
            <w:tcW w:w="5524" w:type="dxa"/>
            <w:vMerge/>
          </w:tcPr>
          <w:p w14:paraId="3395AC52" w14:textId="77777777" w:rsidR="001C19F3" w:rsidRPr="0047799F" w:rsidRDefault="001C19F3" w:rsidP="00521305">
            <w:pPr>
              <w:spacing w:after="0" w:line="264" w:lineRule="auto"/>
              <w:ind w:firstLineChars="300" w:firstLine="480"/>
              <w:rPr>
                <w:rFonts w:eastAsia="Times New Roman"/>
                <w:color w:val="000000"/>
                <w:sz w:val="16"/>
                <w:szCs w:val="16"/>
                <w:lang w:eastAsia="en-AU"/>
              </w:rPr>
            </w:pPr>
          </w:p>
        </w:tc>
        <w:tc>
          <w:tcPr>
            <w:tcW w:w="6237" w:type="dxa"/>
            <w:shd w:val="clear" w:color="auto" w:fill="auto"/>
            <w:hideMark/>
          </w:tcPr>
          <w:p w14:paraId="100081E3" w14:textId="77777777" w:rsidR="001C19F3" w:rsidRPr="0047799F" w:rsidRDefault="001C19F3" w:rsidP="00521305">
            <w:pPr>
              <w:spacing w:after="0" w:line="264"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w:t>
            </w:r>
            <w:r>
              <w:rPr>
                <w:rFonts w:eastAsia="Times New Roman"/>
                <w:color w:val="000000"/>
                <w:sz w:val="16"/>
                <w:szCs w:val="16"/>
                <w:lang w:eastAsia="en-AU"/>
              </w:rPr>
              <w:t>6</w:t>
            </w:r>
            <w:r w:rsidRPr="0047799F">
              <w:rPr>
                <w:rFonts w:eastAsia="Times New Roman"/>
                <w:color w:val="000000"/>
                <w:sz w:val="16"/>
                <w:szCs w:val="16"/>
                <w:lang w:eastAsia="en-AU"/>
              </w:rPr>
              <w:t>.</w:t>
            </w:r>
            <w:r>
              <w:rPr>
                <w:rFonts w:eastAsia="Times New Roman"/>
                <w:color w:val="000000"/>
                <w:sz w:val="16"/>
                <w:szCs w:val="16"/>
                <w:lang w:eastAsia="en-AU"/>
              </w:rPr>
              <w:t>0</w:t>
            </w:r>
            <w:r w:rsidRPr="0047799F">
              <w:rPr>
                <w:rFonts w:eastAsia="Times New Roman"/>
                <w:color w:val="000000"/>
                <w:sz w:val="16"/>
                <w:szCs w:val="16"/>
                <w:lang w:eastAsia="en-AU"/>
              </w:rPr>
              <w:t>3 Quality improvement/ chronic disease management initiatives most frequently identified by practices, PHNs and other stakeholders</w:t>
            </w:r>
            <w:r>
              <w:rPr>
                <w:rFonts w:eastAsia="Times New Roman"/>
                <w:color w:val="000000"/>
                <w:sz w:val="16"/>
                <w:szCs w:val="16"/>
                <w:lang w:eastAsia="en-AU"/>
              </w:rPr>
              <w:t>.</w:t>
            </w:r>
          </w:p>
        </w:tc>
        <w:tc>
          <w:tcPr>
            <w:tcW w:w="1275" w:type="dxa"/>
          </w:tcPr>
          <w:p w14:paraId="7E838880"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974" w:type="dxa"/>
            <w:shd w:val="clear" w:color="auto" w:fill="auto"/>
            <w:noWrap/>
          </w:tcPr>
          <w:p w14:paraId="171888B2"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241472">
              <w:rPr>
                <w:rFonts w:eastAsia="Times New Roman"/>
                <w:color w:val="000000"/>
                <w:sz w:val="16"/>
                <w:szCs w:val="16"/>
                <w:lang w:eastAsia="en-AU"/>
              </w:rPr>
              <w:t>Chapter 3</w:t>
            </w:r>
          </w:p>
        </w:tc>
      </w:tr>
      <w:tr w:rsidR="001C19F3" w:rsidRPr="0047799F" w14:paraId="3B07A2F1" w14:textId="77777777" w:rsidTr="00521305">
        <w:trPr>
          <w:trHeight w:val="300"/>
        </w:trPr>
        <w:tc>
          <w:tcPr>
            <w:tcW w:w="5524" w:type="dxa"/>
            <w:vMerge/>
          </w:tcPr>
          <w:p w14:paraId="06426AA7" w14:textId="77777777" w:rsidR="001C19F3" w:rsidRPr="0047799F" w:rsidRDefault="001C19F3" w:rsidP="00521305">
            <w:pPr>
              <w:spacing w:after="0" w:line="240" w:lineRule="auto"/>
              <w:ind w:firstLineChars="300" w:firstLine="480"/>
              <w:rPr>
                <w:rFonts w:eastAsia="Times New Roman"/>
                <w:color w:val="000000"/>
                <w:sz w:val="16"/>
                <w:szCs w:val="16"/>
                <w:lang w:eastAsia="en-AU"/>
              </w:rPr>
            </w:pPr>
          </w:p>
        </w:tc>
        <w:tc>
          <w:tcPr>
            <w:tcW w:w="6237" w:type="dxa"/>
            <w:shd w:val="clear" w:color="auto" w:fill="auto"/>
            <w:hideMark/>
          </w:tcPr>
          <w:p w14:paraId="3D023733" w14:textId="77777777" w:rsidR="001C19F3" w:rsidRPr="0047799F" w:rsidRDefault="001C19F3" w:rsidP="00521305">
            <w:pPr>
              <w:spacing w:after="0" w:line="240" w:lineRule="auto"/>
              <w:ind w:left="593" w:hanging="567"/>
              <w:rPr>
                <w:rFonts w:eastAsia="Times New Roman"/>
                <w:color w:val="000000"/>
                <w:sz w:val="16"/>
                <w:szCs w:val="16"/>
                <w:lang w:eastAsia="en-AU"/>
              </w:rPr>
            </w:pPr>
            <w:r w:rsidRPr="0047799F">
              <w:rPr>
                <w:rFonts w:eastAsia="Times New Roman"/>
                <w:color w:val="000000"/>
                <w:sz w:val="16"/>
                <w:szCs w:val="16"/>
                <w:lang w:eastAsia="en-AU"/>
              </w:rPr>
              <w:t>1.0</w:t>
            </w:r>
            <w:r>
              <w:rPr>
                <w:rFonts w:eastAsia="Times New Roman"/>
                <w:color w:val="000000"/>
                <w:sz w:val="16"/>
                <w:szCs w:val="16"/>
                <w:lang w:eastAsia="en-AU"/>
              </w:rPr>
              <w:t>6</w:t>
            </w:r>
            <w:r w:rsidRPr="0047799F">
              <w:rPr>
                <w:rFonts w:eastAsia="Times New Roman"/>
                <w:color w:val="000000"/>
                <w:sz w:val="16"/>
                <w:szCs w:val="16"/>
                <w:lang w:eastAsia="en-AU"/>
              </w:rPr>
              <w:t>.</w:t>
            </w:r>
            <w:r>
              <w:rPr>
                <w:rFonts w:eastAsia="Times New Roman"/>
                <w:color w:val="000000"/>
                <w:sz w:val="16"/>
                <w:szCs w:val="16"/>
                <w:lang w:eastAsia="en-AU"/>
              </w:rPr>
              <w:t>0</w:t>
            </w:r>
            <w:r w:rsidRPr="0047799F">
              <w:rPr>
                <w:rFonts w:eastAsia="Times New Roman"/>
                <w:color w:val="000000"/>
                <w:sz w:val="16"/>
                <w:szCs w:val="16"/>
                <w:lang w:eastAsia="en-AU"/>
              </w:rPr>
              <w:t>4 Opportunities for improvement in support provided to practices by PHN</w:t>
            </w:r>
            <w:r>
              <w:rPr>
                <w:rFonts w:eastAsia="Times New Roman"/>
                <w:color w:val="000000"/>
                <w:sz w:val="16"/>
                <w:szCs w:val="16"/>
                <w:lang w:eastAsia="en-AU"/>
              </w:rPr>
              <w:t>s</w:t>
            </w:r>
            <w:r w:rsidRPr="0047799F">
              <w:rPr>
                <w:rFonts w:eastAsia="Times New Roman"/>
                <w:color w:val="000000"/>
                <w:sz w:val="16"/>
                <w:szCs w:val="16"/>
                <w:lang w:eastAsia="en-AU"/>
              </w:rPr>
              <w:t>, LHN</w:t>
            </w:r>
            <w:r>
              <w:rPr>
                <w:rFonts w:eastAsia="Times New Roman"/>
                <w:color w:val="000000"/>
                <w:sz w:val="16"/>
                <w:szCs w:val="16"/>
                <w:lang w:eastAsia="en-AU"/>
              </w:rPr>
              <w:t>s</w:t>
            </w:r>
            <w:r w:rsidRPr="0047799F">
              <w:rPr>
                <w:rFonts w:eastAsia="Times New Roman"/>
                <w:color w:val="000000"/>
                <w:sz w:val="16"/>
                <w:szCs w:val="16"/>
                <w:lang w:eastAsia="en-AU"/>
              </w:rPr>
              <w:t xml:space="preserve">, </w:t>
            </w:r>
            <w:r>
              <w:rPr>
                <w:rFonts w:eastAsia="Times New Roman"/>
                <w:color w:val="000000"/>
                <w:sz w:val="16"/>
                <w:szCs w:val="16"/>
                <w:lang w:eastAsia="en-AU"/>
              </w:rPr>
              <w:t xml:space="preserve">and </w:t>
            </w:r>
            <w:r w:rsidRPr="0047799F">
              <w:rPr>
                <w:rFonts w:eastAsia="Times New Roman"/>
                <w:color w:val="000000"/>
                <w:sz w:val="16"/>
                <w:szCs w:val="16"/>
                <w:lang w:eastAsia="en-AU"/>
              </w:rPr>
              <w:t>state and territory</w:t>
            </w:r>
            <w:r>
              <w:rPr>
                <w:rFonts w:eastAsia="Times New Roman"/>
                <w:color w:val="000000"/>
                <w:sz w:val="16"/>
                <w:szCs w:val="16"/>
                <w:lang w:eastAsia="en-AU"/>
              </w:rPr>
              <w:t xml:space="preserve"> health authorities</w:t>
            </w:r>
            <w:r w:rsidRPr="0047799F">
              <w:rPr>
                <w:rFonts w:eastAsia="Times New Roman"/>
                <w:color w:val="000000"/>
                <w:sz w:val="16"/>
                <w:szCs w:val="16"/>
                <w:lang w:eastAsia="en-AU"/>
              </w:rPr>
              <w:t xml:space="preserve"> most frequently identified by practices and PHNs</w:t>
            </w:r>
            <w:r>
              <w:rPr>
                <w:rFonts w:eastAsia="Times New Roman"/>
                <w:color w:val="000000"/>
                <w:sz w:val="16"/>
                <w:szCs w:val="16"/>
                <w:lang w:eastAsia="en-AU"/>
              </w:rPr>
              <w:t>.</w:t>
            </w:r>
          </w:p>
        </w:tc>
        <w:tc>
          <w:tcPr>
            <w:tcW w:w="1275" w:type="dxa"/>
          </w:tcPr>
          <w:p w14:paraId="190C71A7" w14:textId="77777777" w:rsidR="001C19F3" w:rsidRPr="0047799F"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974" w:type="dxa"/>
            <w:shd w:val="clear" w:color="auto" w:fill="auto"/>
            <w:noWrap/>
          </w:tcPr>
          <w:p w14:paraId="0D70CA25" w14:textId="77777777" w:rsidR="001C19F3" w:rsidRPr="00D73542" w:rsidRDefault="001C19F3" w:rsidP="00521305">
            <w:pPr>
              <w:spacing w:after="0" w:line="264" w:lineRule="auto"/>
              <w:jc w:val="center"/>
              <w:rPr>
                <w:rFonts w:eastAsia="Times New Roman"/>
                <w:color w:val="000000"/>
                <w:sz w:val="16"/>
                <w:szCs w:val="16"/>
                <w:highlight w:val="yellow"/>
                <w:lang w:eastAsia="en-AU"/>
              </w:rPr>
            </w:pPr>
            <w:r w:rsidRPr="00241472">
              <w:rPr>
                <w:rFonts w:eastAsia="Times New Roman"/>
                <w:color w:val="000000"/>
                <w:sz w:val="16"/>
                <w:szCs w:val="16"/>
                <w:lang w:eastAsia="en-AU"/>
              </w:rPr>
              <w:t>Chapter 6</w:t>
            </w:r>
          </w:p>
        </w:tc>
      </w:tr>
    </w:tbl>
    <w:p w14:paraId="2F02C58D" w14:textId="77777777" w:rsidR="001C19F3" w:rsidRDefault="001C19F3" w:rsidP="001C19F3">
      <w:pPr>
        <w:spacing w:after="160" w:line="259" w:lineRule="auto"/>
      </w:pPr>
    </w:p>
    <w:p w14:paraId="18618F70" w14:textId="77777777" w:rsidR="001C19F3" w:rsidRDefault="001C19F3" w:rsidP="001C19F3">
      <w:pPr>
        <w:spacing w:after="160" w:line="259" w:lineRule="auto"/>
        <w:rPr>
          <w:rFonts w:eastAsiaTheme="majorEastAsia" w:cstheme="majorBidi"/>
          <w:color w:val="003D79"/>
          <w:sz w:val="40"/>
          <w:szCs w:val="26"/>
        </w:rPr>
      </w:pPr>
      <w:r>
        <w:br w:type="page"/>
      </w:r>
    </w:p>
    <w:p w14:paraId="71C86DA9" w14:textId="77777777" w:rsidR="001C19F3" w:rsidRPr="00B2094F" w:rsidRDefault="001C19F3" w:rsidP="001C19F3">
      <w:pPr>
        <w:spacing w:after="0"/>
        <w:rPr>
          <w:color w:val="003D79"/>
          <w:sz w:val="40"/>
          <w:szCs w:val="40"/>
        </w:rPr>
      </w:pPr>
      <w:r w:rsidRPr="00B2094F">
        <w:rPr>
          <w:color w:val="003D79"/>
          <w:sz w:val="40"/>
          <w:szCs w:val="40"/>
        </w:rPr>
        <w:lastRenderedPageBreak/>
        <w:t>Key question 2</w:t>
      </w:r>
    </w:p>
    <w:p w14:paraId="3123F284" w14:textId="77777777" w:rsidR="001C19F3" w:rsidRPr="00D951D9" w:rsidRDefault="001C19F3" w:rsidP="001C19F3">
      <w:pPr>
        <w:pStyle w:val="Tablespacing"/>
      </w:pPr>
    </w:p>
    <w:tbl>
      <w:tblPr>
        <w:tblW w:w="1417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57" w:type="dxa"/>
          <w:bottom w:w="57" w:type="dxa"/>
          <w:right w:w="57" w:type="dxa"/>
        </w:tblCellMar>
        <w:tblLook w:val="04A0" w:firstRow="1" w:lastRow="0" w:firstColumn="1" w:lastColumn="0" w:noHBand="0" w:noVBand="1"/>
        <w:tblCaption w:val="Table 5 – Detailed evaluation questions and measures relating to Key question 2"/>
        <w:tblDescription w:val="Lists the detailed evaluation questions and measures relating to Key question 2. Also indicates whether they are measures of: input, activity, output, short term outcomes or long term outcomes."/>
      </w:tblPr>
      <w:tblGrid>
        <w:gridCol w:w="4106"/>
        <w:gridCol w:w="7513"/>
        <w:gridCol w:w="1365"/>
        <w:gridCol w:w="1186"/>
      </w:tblGrid>
      <w:tr w:rsidR="001C19F3" w:rsidRPr="00BE7442" w14:paraId="4B2F8EF1" w14:textId="77777777" w:rsidTr="00521305">
        <w:trPr>
          <w:trHeight w:val="1395"/>
          <w:tblHeader/>
        </w:trPr>
        <w:tc>
          <w:tcPr>
            <w:tcW w:w="4106" w:type="dxa"/>
            <w:tcBorders>
              <w:bottom w:val="single" w:sz="4" w:space="0" w:color="D9D9D9" w:themeColor="background1" w:themeShade="D9"/>
            </w:tcBorders>
            <w:shd w:val="clear" w:color="auto" w:fill="003D79"/>
            <w:vAlign w:val="center"/>
          </w:tcPr>
          <w:p w14:paraId="4B1B9130"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BE7442">
              <w:rPr>
                <w:rFonts w:eastAsia="Times New Roman"/>
                <w:b/>
                <w:bCs/>
                <w:color w:val="FFFFFF" w:themeColor="background1"/>
                <w:sz w:val="16"/>
                <w:szCs w:val="16"/>
                <w:lang w:eastAsia="en-AU"/>
              </w:rPr>
              <w:t>Key question 2: Detailed questions</w:t>
            </w:r>
          </w:p>
        </w:tc>
        <w:tc>
          <w:tcPr>
            <w:tcW w:w="7513" w:type="dxa"/>
            <w:tcBorders>
              <w:bottom w:val="single" w:sz="4" w:space="0" w:color="D9D9D9" w:themeColor="background1" w:themeShade="D9"/>
            </w:tcBorders>
            <w:shd w:val="clear" w:color="auto" w:fill="003D79"/>
            <w:noWrap/>
            <w:vAlign w:val="center"/>
            <w:hideMark/>
          </w:tcPr>
          <w:p w14:paraId="7B9DB31A"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BE7442">
              <w:rPr>
                <w:rFonts w:eastAsia="Times New Roman"/>
                <w:b/>
                <w:bCs/>
                <w:color w:val="FFFFFF" w:themeColor="background1"/>
                <w:sz w:val="16"/>
                <w:szCs w:val="16"/>
                <w:lang w:eastAsia="en-AU"/>
              </w:rPr>
              <w:t>Key question 2: Measures</w:t>
            </w:r>
          </w:p>
        </w:tc>
        <w:tc>
          <w:tcPr>
            <w:tcW w:w="1365" w:type="dxa"/>
            <w:tcBorders>
              <w:bottom w:val="single" w:sz="4" w:space="0" w:color="D9D9D9" w:themeColor="background1" w:themeShade="D9"/>
            </w:tcBorders>
            <w:shd w:val="clear" w:color="auto" w:fill="003D79"/>
            <w:vAlign w:val="center"/>
          </w:tcPr>
          <w:p w14:paraId="6BECF663"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Pr>
                <w:rFonts w:eastAsia="Times New Roman"/>
                <w:b/>
                <w:bCs/>
                <w:color w:val="FFFFFF" w:themeColor="background1"/>
                <w:sz w:val="16"/>
                <w:szCs w:val="16"/>
                <w:lang w:eastAsia="en-AU"/>
              </w:rPr>
              <w:t xml:space="preserve">Progress </w:t>
            </w:r>
            <w:r w:rsidRPr="00132C73">
              <w:rPr>
                <w:rFonts w:eastAsia="Times New Roman"/>
                <w:b/>
                <w:bCs/>
                <w:i/>
                <w:color w:val="FFFFFF" w:themeColor="background1"/>
                <w:sz w:val="14"/>
                <w:szCs w:val="14"/>
                <w:lang w:eastAsia="en-AU"/>
              </w:rPr>
              <w:t xml:space="preserve">(C=completed; P=partially covered in this report; N=not </w:t>
            </w:r>
            <w:r>
              <w:rPr>
                <w:rFonts w:eastAsia="Times New Roman"/>
                <w:b/>
                <w:bCs/>
                <w:i/>
                <w:color w:val="FFFFFF" w:themeColor="background1"/>
                <w:sz w:val="14"/>
                <w:szCs w:val="14"/>
                <w:lang w:eastAsia="en-AU"/>
              </w:rPr>
              <w:t>yet covered</w:t>
            </w:r>
            <w:r w:rsidRPr="00132C73">
              <w:rPr>
                <w:rFonts w:eastAsia="Times New Roman"/>
                <w:b/>
                <w:bCs/>
                <w:i/>
                <w:color w:val="FFFFFF" w:themeColor="background1"/>
                <w:sz w:val="14"/>
                <w:szCs w:val="14"/>
                <w:lang w:eastAsia="en-AU"/>
              </w:rPr>
              <w:t>)</w:t>
            </w:r>
          </w:p>
        </w:tc>
        <w:tc>
          <w:tcPr>
            <w:tcW w:w="1186" w:type="dxa"/>
            <w:tcBorders>
              <w:bottom w:val="single" w:sz="4" w:space="0" w:color="D9D9D9" w:themeColor="background1" w:themeShade="D9"/>
            </w:tcBorders>
            <w:shd w:val="clear" w:color="auto" w:fill="003D79"/>
            <w:vAlign w:val="center"/>
            <w:hideMark/>
          </w:tcPr>
          <w:p w14:paraId="7CB51D3C"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6071F6">
              <w:rPr>
                <w:rFonts w:eastAsia="Times New Roman"/>
                <w:b/>
                <w:bCs/>
                <w:color w:val="FFFFFF" w:themeColor="background1"/>
                <w:sz w:val="16"/>
                <w:szCs w:val="16"/>
                <w:lang w:eastAsia="en-AU"/>
              </w:rPr>
              <w:t xml:space="preserve">Reference in </w:t>
            </w:r>
            <w:r>
              <w:rPr>
                <w:rFonts w:eastAsia="Times New Roman"/>
                <w:b/>
                <w:bCs/>
                <w:color w:val="FFFFFF" w:themeColor="background1"/>
                <w:sz w:val="16"/>
                <w:szCs w:val="16"/>
                <w:lang w:eastAsia="en-AU"/>
              </w:rPr>
              <w:t>Vol 2</w:t>
            </w:r>
          </w:p>
        </w:tc>
      </w:tr>
      <w:tr w:rsidR="001C19F3" w:rsidRPr="00BE7442" w14:paraId="22787B76" w14:textId="77777777" w:rsidTr="00521305">
        <w:trPr>
          <w:trHeight w:val="155"/>
        </w:trPr>
        <w:tc>
          <w:tcPr>
            <w:tcW w:w="4106" w:type="dxa"/>
            <w:tcBorders>
              <w:right w:val="nil"/>
            </w:tcBorders>
            <w:shd w:val="clear" w:color="auto" w:fill="F2F2F2" w:themeFill="background1" w:themeFillShade="F2"/>
          </w:tcPr>
          <w:p w14:paraId="7A8B8F09" w14:textId="77777777" w:rsidR="001C19F3" w:rsidRPr="00BE7442" w:rsidRDefault="001C19F3" w:rsidP="00521305">
            <w:pPr>
              <w:spacing w:after="0" w:line="240" w:lineRule="auto"/>
              <w:rPr>
                <w:rFonts w:eastAsia="Times New Roman"/>
                <w:b/>
                <w:bCs/>
                <w:color w:val="000000"/>
                <w:sz w:val="16"/>
                <w:szCs w:val="16"/>
                <w:lang w:eastAsia="en-AU"/>
              </w:rPr>
            </w:pPr>
            <w:r w:rsidRPr="00BE7442">
              <w:rPr>
                <w:rFonts w:eastAsia="Times New Roman"/>
                <w:b/>
                <w:bCs/>
                <w:color w:val="000000"/>
                <w:sz w:val="16"/>
                <w:szCs w:val="16"/>
                <w:lang w:eastAsia="en-AU"/>
              </w:rPr>
              <w:t>Level: Practice</w:t>
            </w:r>
          </w:p>
        </w:tc>
        <w:tc>
          <w:tcPr>
            <w:tcW w:w="7513" w:type="dxa"/>
            <w:tcBorders>
              <w:left w:val="nil"/>
              <w:right w:val="nil"/>
            </w:tcBorders>
            <w:shd w:val="clear" w:color="auto" w:fill="F2F2F2" w:themeFill="background1" w:themeFillShade="F2"/>
            <w:hideMark/>
          </w:tcPr>
          <w:p w14:paraId="56FB4427" w14:textId="77777777" w:rsidR="001C19F3" w:rsidRPr="00BE7442" w:rsidRDefault="001C19F3" w:rsidP="00521305">
            <w:pPr>
              <w:spacing w:after="0" w:line="240" w:lineRule="auto"/>
              <w:ind w:firstLineChars="100" w:firstLine="160"/>
              <w:rPr>
                <w:rFonts w:eastAsia="Times New Roman"/>
                <w:b/>
                <w:bCs/>
                <w:color w:val="000000"/>
                <w:sz w:val="16"/>
                <w:szCs w:val="16"/>
                <w:lang w:eastAsia="en-AU"/>
              </w:rPr>
            </w:pPr>
          </w:p>
        </w:tc>
        <w:tc>
          <w:tcPr>
            <w:tcW w:w="1365" w:type="dxa"/>
            <w:tcBorders>
              <w:left w:val="nil"/>
              <w:right w:val="nil"/>
            </w:tcBorders>
            <w:shd w:val="clear" w:color="auto" w:fill="F2F2F2" w:themeFill="background1" w:themeFillShade="F2"/>
          </w:tcPr>
          <w:p w14:paraId="00727DFD" w14:textId="77777777" w:rsidR="001C19F3" w:rsidRPr="00BE7442" w:rsidRDefault="001C19F3" w:rsidP="00521305">
            <w:pPr>
              <w:spacing w:after="0" w:line="240" w:lineRule="auto"/>
              <w:ind w:firstLineChars="100" w:firstLine="160"/>
              <w:jc w:val="center"/>
              <w:rPr>
                <w:rFonts w:eastAsia="Times New Roman"/>
                <w:b/>
                <w:bCs/>
                <w:color w:val="000000"/>
                <w:sz w:val="16"/>
                <w:szCs w:val="16"/>
                <w:lang w:eastAsia="en-AU"/>
              </w:rPr>
            </w:pPr>
          </w:p>
        </w:tc>
        <w:tc>
          <w:tcPr>
            <w:tcW w:w="1186" w:type="dxa"/>
            <w:tcBorders>
              <w:left w:val="nil"/>
              <w:right w:val="nil"/>
            </w:tcBorders>
            <w:shd w:val="clear" w:color="auto" w:fill="F2F2F2" w:themeFill="background1" w:themeFillShade="F2"/>
            <w:noWrap/>
            <w:hideMark/>
          </w:tcPr>
          <w:p w14:paraId="43580304" w14:textId="77777777" w:rsidR="001C19F3" w:rsidRPr="00BE7442" w:rsidRDefault="001C19F3" w:rsidP="00521305">
            <w:pPr>
              <w:spacing w:after="0" w:line="240" w:lineRule="auto"/>
              <w:ind w:firstLineChars="100" w:firstLine="160"/>
              <w:jc w:val="center"/>
              <w:rPr>
                <w:rFonts w:eastAsia="Times New Roman"/>
                <w:b/>
                <w:bCs/>
                <w:color w:val="000000"/>
                <w:sz w:val="16"/>
                <w:szCs w:val="16"/>
                <w:lang w:eastAsia="en-AU"/>
              </w:rPr>
            </w:pPr>
          </w:p>
        </w:tc>
      </w:tr>
      <w:tr w:rsidR="001C19F3" w:rsidRPr="00BE7442" w14:paraId="50F880B7" w14:textId="77777777" w:rsidTr="00521305">
        <w:trPr>
          <w:trHeight w:val="300"/>
        </w:trPr>
        <w:tc>
          <w:tcPr>
            <w:tcW w:w="4106" w:type="dxa"/>
            <w:vMerge w:val="restart"/>
          </w:tcPr>
          <w:p w14:paraId="032515FE"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2.01 What did practices do to implement HCH</w:t>
            </w:r>
            <w:r>
              <w:rPr>
                <w:rFonts w:eastAsia="Times New Roman"/>
                <w:bCs/>
                <w:color w:val="000000"/>
                <w:sz w:val="16"/>
                <w:szCs w:val="16"/>
                <w:lang w:eastAsia="en-AU"/>
              </w:rPr>
              <w:t>,</w:t>
            </w:r>
            <w:r w:rsidRPr="00BE7442">
              <w:rPr>
                <w:rFonts w:eastAsia="Times New Roman"/>
                <w:bCs/>
                <w:color w:val="000000"/>
                <w:sz w:val="16"/>
                <w:szCs w:val="16"/>
                <w:lang w:eastAsia="en-AU"/>
              </w:rPr>
              <w:t xml:space="preserve"> and how did this differ between practices, including changes to policies, procedures, systems, administrative processes</w:t>
            </w:r>
            <w:r>
              <w:rPr>
                <w:rFonts w:eastAsia="Times New Roman"/>
                <w:bCs/>
                <w:color w:val="000000"/>
                <w:sz w:val="16"/>
                <w:szCs w:val="16"/>
                <w:lang w:eastAsia="en-AU"/>
              </w:rPr>
              <w:t>,</w:t>
            </w:r>
            <w:r w:rsidRPr="00BE7442">
              <w:rPr>
                <w:rFonts w:eastAsia="Times New Roman"/>
                <w:bCs/>
                <w:color w:val="000000"/>
                <w:sz w:val="16"/>
                <w:szCs w:val="16"/>
                <w:lang w:eastAsia="en-AU"/>
              </w:rPr>
              <w:t xml:space="preserve"> change</w:t>
            </w:r>
            <w:r>
              <w:rPr>
                <w:rFonts w:eastAsia="Times New Roman"/>
                <w:bCs/>
                <w:color w:val="000000"/>
                <w:sz w:val="16"/>
                <w:szCs w:val="16"/>
                <w:lang w:eastAsia="en-AU"/>
              </w:rPr>
              <w:t>s</w:t>
            </w:r>
            <w:r w:rsidRPr="00BE7442">
              <w:rPr>
                <w:rFonts w:eastAsia="Times New Roman"/>
                <w:bCs/>
                <w:color w:val="000000"/>
                <w:sz w:val="16"/>
                <w:szCs w:val="16"/>
                <w:lang w:eastAsia="en-AU"/>
              </w:rPr>
              <w:t xml:space="preserve"> to manage payment for HCH patients, processes for risk stratification</w:t>
            </w:r>
            <w:r>
              <w:rPr>
                <w:rFonts w:eastAsia="Times New Roman"/>
                <w:bCs/>
                <w:color w:val="000000"/>
                <w:sz w:val="16"/>
                <w:szCs w:val="16"/>
                <w:lang w:eastAsia="en-AU"/>
              </w:rPr>
              <w:t>,</w:t>
            </w:r>
            <w:r w:rsidRPr="00BE7442">
              <w:rPr>
                <w:rFonts w:eastAsia="Times New Roman"/>
                <w:bCs/>
                <w:color w:val="000000"/>
                <w:sz w:val="16"/>
                <w:szCs w:val="16"/>
                <w:lang w:eastAsia="en-AU"/>
              </w:rPr>
              <w:t xml:space="preserve"> and patient enrolment?</w:t>
            </w:r>
          </w:p>
        </w:tc>
        <w:tc>
          <w:tcPr>
            <w:tcW w:w="7513" w:type="dxa"/>
            <w:shd w:val="clear" w:color="auto" w:fill="auto"/>
          </w:tcPr>
          <w:p w14:paraId="40C9669F"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2.01.</w:t>
            </w:r>
            <w:r>
              <w:rPr>
                <w:rFonts w:eastAsia="Times New Roman"/>
                <w:color w:val="000000"/>
                <w:sz w:val="16"/>
                <w:szCs w:val="16"/>
                <w:lang w:eastAsia="en-AU"/>
              </w:rPr>
              <w:t>0</w:t>
            </w:r>
            <w:r w:rsidRPr="00BE7442">
              <w:rPr>
                <w:rFonts w:eastAsia="Times New Roman"/>
                <w:color w:val="000000"/>
                <w:sz w:val="16"/>
                <w:szCs w:val="16"/>
                <w:lang w:eastAsia="en-AU"/>
              </w:rPr>
              <w:t>1 Most frequent changes to policies, procedures and systems as a result of HCH implementation (together with descriptions).</w:t>
            </w:r>
          </w:p>
        </w:tc>
        <w:tc>
          <w:tcPr>
            <w:tcW w:w="1365" w:type="dxa"/>
          </w:tcPr>
          <w:p w14:paraId="0972C832"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1186" w:type="dxa"/>
            <w:shd w:val="clear" w:color="auto" w:fill="auto"/>
            <w:noWrap/>
          </w:tcPr>
          <w:p w14:paraId="1376D5E5"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5B6CE17C" w14:textId="77777777" w:rsidTr="00521305">
        <w:trPr>
          <w:trHeight w:val="300"/>
        </w:trPr>
        <w:tc>
          <w:tcPr>
            <w:tcW w:w="4106" w:type="dxa"/>
            <w:vMerge/>
          </w:tcPr>
          <w:p w14:paraId="686ED41B"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7ECBF1A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2.01.</w:t>
            </w:r>
            <w:r>
              <w:rPr>
                <w:rFonts w:eastAsia="Times New Roman"/>
                <w:color w:val="000000"/>
                <w:sz w:val="16"/>
                <w:szCs w:val="16"/>
                <w:lang w:eastAsia="en-AU"/>
              </w:rPr>
              <w:t>0</w:t>
            </w:r>
            <w:r w:rsidRPr="00BE7442">
              <w:rPr>
                <w:rFonts w:eastAsia="Times New Roman"/>
                <w:color w:val="000000"/>
                <w:sz w:val="16"/>
                <w:szCs w:val="16"/>
                <w:lang w:eastAsia="en-AU"/>
              </w:rPr>
              <w:t>2 Proportion of practices that reported changes to administrative processes (grouped to categories) to manage payments as a result of HCH implementation (together with descriptions of processes).</w:t>
            </w:r>
          </w:p>
        </w:tc>
        <w:tc>
          <w:tcPr>
            <w:tcW w:w="1365" w:type="dxa"/>
          </w:tcPr>
          <w:p w14:paraId="7102E923" w14:textId="77777777" w:rsidR="001C19F3" w:rsidRPr="00BE7442" w:rsidRDefault="001C19F3" w:rsidP="00521305">
            <w:pPr>
              <w:spacing w:after="0" w:line="264" w:lineRule="auto"/>
              <w:jc w:val="center"/>
              <w:rPr>
                <w:rFonts w:eastAsia="Times New Roman"/>
                <w:color w:val="000000"/>
                <w:sz w:val="16"/>
                <w:szCs w:val="16"/>
                <w:lang w:eastAsia="en-AU"/>
              </w:rPr>
            </w:pPr>
            <w:r w:rsidRPr="005B70FF">
              <w:rPr>
                <w:rFonts w:eastAsia="Times New Roman"/>
                <w:color w:val="000000"/>
                <w:sz w:val="16"/>
                <w:szCs w:val="16"/>
                <w:lang w:eastAsia="en-AU"/>
              </w:rPr>
              <w:t>C</w:t>
            </w:r>
          </w:p>
        </w:tc>
        <w:tc>
          <w:tcPr>
            <w:tcW w:w="1186" w:type="dxa"/>
            <w:shd w:val="clear" w:color="auto" w:fill="auto"/>
            <w:noWrap/>
          </w:tcPr>
          <w:p w14:paraId="17B6D097"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6EB83F24" w14:textId="77777777" w:rsidTr="00521305">
        <w:trPr>
          <w:trHeight w:val="300"/>
        </w:trPr>
        <w:tc>
          <w:tcPr>
            <w:tcW w:w="4106" w:type="dxa"/>
            <w:vMerge/>
          </w:tcPr>
          <w:p w14:paraId="7B132776"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28DDDCC5"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2.01.</w:t>
            </w:r>
            <w:r>
              <w:rPr>
                <w:rFonts w:eastAsia="Times New Roman"/>
                <w:color w:val="000000"/>
                <w:sz w:val="16"/>
                <w:szCs w:val="16"/>
                <w:lang w:eastAsia="en-AU"/>
              </w:rPr>
              <w:t>0</w:t>
            </w:r>
            <w:r w:rsidRPr="00BE7442">
              <w:rPr>
                <w:rFonts w:eastAsia="Times New Roman"/>
                <w:color w:val="000000"/>
                <w:sz w:val="16"/>
                <w:szCs w:val="16"/>
                <w:lang w:eastAsia="en-AU"/>
              </w:rPr>
              <w:t>3 Proportion of practices that reported undertaking activities (grouped to categories) for risk stratification and patient enrolment processes (together with descriptions of processes).</w:t>
            </w:r>
          </w:p>
        </w:tc>
        <w:tc>
          <w:tcPr>
            <w:tcW w:w="1365" w:type="dxa"/>
          </w:tcPr>
          <w:p w14:paraId="626B31A1" w14:textId="77777777" w:rsidR="001C19F3" w:rsidRPr="00BE7442" w:rsidRDefault="001C19F3" w:rsidP="00521305">
            <w:pPr>
              <w:spacing w:after="0" w:line="264" w:lineRule="auto"/>
              <w:jc w:val="center"/>
              <w:rPr>
                <w:rFonts w:eastAsia="Times New Roman"/>
                <w:color w:val="000000"/>
                <w:sz w:val="16"/>
                <w:szCs w:val="16"/>
                <w:lang w:eastAsia="en-AU"/>
              </w:rPr>
            </w:pPr>
            <w:r w:rsidRPr="005B70FF">
              <w:rPr>
                <w:rFonts w:eastAsia="Times New Roman"/>
                <w:color w:val="000000"/>
                <w:sz w:val="16"/>
                <w:szCs w:val="16"/>
                <w:lang w:eastAsia="en-AU"/>
              </w:rPr>
              <w:t>C</w:t>
            </w:r>
          </w:p>
        </w:tc>
        <w:tc>
          <w:tcPr>
            <w:tcW w:w="1186" w:type="dxa"/>
            <w:shd w:val="clear" w:color="auto" w:fill="auto"/>
            <w:noWrap/>
          </w:tcPr>
          <w:p w14:paraId="455BD2F1"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Chapters 3 &amp; 7</w:t>
            </w:r>
          </w:p>
        </w:tc>
      </w:tr>
      <w:tr w:rsidR="001C19F3" w:rsidRPr="00BE7442" w14:paraId="07F21765" w14:textId="77777777" w:rsidTr="00521305">
        <w:trPr>
          <w:trHeight w:val="300"/>
        </w:trPr>
        <w:tc>
          <w:tcPr>
            <w:tcW w:w="4106" w:type="dxa"/>
            <w:vMerge w:val="restart"/>
          </w:tcPr>
          <w:p w14:paraId="2D5B2EE2"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2.02 How did practices approach provision of chronic disease care prior to the implementation of HCH? What chronic disease management and quality improvement initiatives were in place within the practice at the commencement of the HCH program? Which of these were used and/or enhanced for the HCH implementation?</w:t>
            </w:r>
          </w:p>
        </w:tc>
        <w:tc>
          <w:tcPr>
            <w:tcW w:w="7513" w:type="dxa"/>
            <w:shd w:val="clear" w:color="auto" w:fill="auto"/>
          </w:tcPr>
          <w:p w14:paraId="1E224FAC"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2.02.</w:t>
            </w:r>
            <w:r>
              <w:rPr>
                <w:rFonts w:eastAsia="Times New Roman"/>
                <w:color w:val="000000"/>
                <w:sz w:val="16"/>
                <w:szCs w:val="16"/>
                <w:lang w:eastAsia="en-AU"/>
              </w:rPr>
              <w:t>0</w:t>
            </w:r>
            <w:r w:rsidRPr="00BE7442">
              <w:rPr>
                <w:rFonts w:eastAsia="Times New Roman"/>
                <w:color w:val="000000"/>
                <w:sz w:val="16"/>
                <w:szCs w:val="16"/>
                <w:lang w:eastAsia="en-AU"/>
              </w:rPr>
              <w:t xml:space="preserve">1 Most frequent chronic disease management/quality improvement initiatives and processes that were a focus during </w:t>
            </w:r>
            <w:r>
              <w:rPr>
                <w:rFonts w:eastAsia="Times New Roman"/>
                <w:color w:val="000000"/>
                <w:sz w:val="16"/>
                <w:szCs w:val="16"/>
                <w:lang w:eastAsia="en-AU"/>
              </w:rPr>
              <w:t>the trial</w:t>
            </w:r>
            <w:r w:rsidRPr="00BE7442">
              <w:rPr>
                <w:rFonts w:eastAsia="Times New Roman"/>
                <w:color w:val="000000"/>
                <w:sz w:val="16"/>
                <w:szCs w:val="16"/>
                <w:lang w:eastAsia="en-AU"/>
              </w:rPr>
              <w:t>. Initiatives will be assigned to categories based on coding of textual descriptions.</w:t>
            </w:r>
          </w:p>
        </w:tc>
        <w:tc>
          <w:tcPr>
            <w:tcW w:w="1365" w:type="dxa"/>
          </w:tcPr>
          <w:p w14:paraId="25573C79" w14:textId="77777777" w:rsidR="001C19F3" w:rsidRPr="00BE7442" w:rsidRDefault="001C19F3" w:rsidP="00521305">
            <w:pPr>
              <w:spacing w:after="0" w:line="264" w:lineRule="auto"/>
              <w:jc w:val="center"/>
              <w:rPr>
                <w:rFonts w:eastAsia="Times New Roman"/>
                <w:color w:val="000000"/>
                <w:sz w:val="16"/>
                <w:szCs w:val="16"/>
                <w:lang w:eastAsia="en-AU"/>
              </w:rPr>
            </w:pPr>
            <w:r w:rsidRPr="005B70FF">
              <w:rPr>
                <w:rFonts w:eastAsia="Times New Roman"/>
                <w:color w:val="000000"/>
                <w:sz w:val="16"/>
                <w:szCs w:val="16"/>
                <w:lang w:eastAsia="en-AU"/>
              </w:rPr>
              <w:t>C</w:t>
            </w:r>
          </w:p>
        </w:tc>
        <w:tc>
          <w:tcPr>
            <w:tcW w:w="1186" w:type="dxa"/>
            <w:shd w:val="clear" w:color="auto" w:fill="auto"/>
            <w:noWrap/>
          </w:tcPr>
          <w:p w14:paraId="1EB7B045"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40306E73" w14:textId="77777777" w:rsidTr="00521305">
        <w:trPr>
          <w:trHeight w:val="300"/>
        </w:trPr>
        <w:tc>
          <w:tcPr>
            <w:tcW w:w="4106" w:type="dxa"/>
            <w:vMerge/>
          </w:tcPr>
          <w:p w14:paraId="6D782660"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356522EB"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2.02.</w:t>
            </w:r>
            <w:r>
              <w:rPr>
                <w:rFonts w:eastAsia="Times New Roman"/>
                <w:color w:val="000000"/>
                <w:sz w:val="16"/>
                <w:szCs w:val="16"/>
                <w:lang w:eastAsia="en-AU"/>
              </w:rPr>
              <w:t>0</w:t>
            </w:r>
            <w:r w:rsidRPr="00BE7442">
              <w:rPr>
                <w:rFonts w:eastAsia="Times New Roman"/>
                <w:color w:val="000000"/>
                <w:sz w:val="16"/>
                <w:szCs w:val="16"/>
                <w:lang w:eastAsia="en-AU"/>
              </w:rPr>
              <w:t>2 Proportion of practices that reported focussing on specific categories of chronic disease management/quality improvement initiatives.</w:t>
            </w:r>
          </w:p>
        </w:tc>
        <w:tc>
          <w:tcPr>
            <w:tcW w:w="1365" w:type="dxa"/>
          </w:tcPr>
          <w:p w14:paraId="03F95689" w14:textId="77777777" w:rsidR="001C19F3" w:rsidRPr="00BE7442" w:rsidRDefault="001C19F3" w:rsidP="00521305">
            <w:pPr>
              <w:spacing w:after="0" w:line="264" w:lineRule="auto"/>
              <w:jc w:val="center"/>
              <w:rPr>
                <w:rFonts w:eastAsia="Times New Roman"/>
                <w:color w:val="000000"/>
                <w:sz w:val="16"/>
                <w:szCs w:val="16"/>
                <w:lang w:eastAsia="en-AU"/>
              </w:rPr>
            </w:pPr>
            <w:r w:rsidRPr="005B70FF">
              <w:rPr>
                <w:rFonts w:eastAsia="Times New Roman"/>
                <w:color w:val="000000"/>
                <w:sz w:val="16"/>
                <w:szCs w:val="16"/>
                <w:lang w:eastAsia="en-AU"/>
              </w:rPr>
              <w:t>C</w:t>
            </w:r>
          </w:p>
        </w:tc>
        <w:tc>
          <w:tcPr>
            <w:tcW w:w="1186" w:type="dxa"/>
            <w:shd w:val="clear" w:color="auto" w:fill="auto"/>
            <w:noWrap/>
          </w:tcPr>
          <w:p w14:paraId="0F796BFC"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7995340E" w14:textId="77777777" w:rsidTr="00521305">
        <w:trPr>
          <w:trHeight w:val="300"/>
        </w:trPr>
        <w:tc>
          <w:tcPr>
            <w:tcW w:w="4106" w:type="dxa"/>
            <w:vMerge w:val="restart"/>
          </w:tcPr>
          <w:p w14:paraId="1D0A0BB2"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2.03 How did the mix, roles and activities of primary health care staff change following the HCH program implementation?</w:t>
            </w:r>
          </w:p>
        </w:tc>
        <w:tc>
          <w:tcPr>
            <w:tcW w:w="7513" w:type="dxa"/>
            <w:shd w:val="clear" w:color="auto" w:fill="auto"/>
          </w:tcPr>
          <w:p w14:paraId="256F5DF1"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2.03.</w:t>
            </w:r>
            <w:r>
              <w:rPr>
                <w:rFonts w:eastAsia="Times New Roman"/>
                <w:color w:val="000000"/>
                <w:sz w:val="16"/>
                <w:szCs w:val="16"/>
                <w:lang w:eastAsia="en-AU"/>
              </w:rPr>
              <w:t>0</w:t>
            </w:r>
            <w:r w:rsidRPr="00BE7442">
              <w:rPr>
                <w:rFonts w:eastAsia="Times New Roman"/>
                <w:color w:val="000000"/>
                <w:sz w:val="16"/>
                <w:szCs w:val="16"/>
                <w:lang w:eastAsia="en-AU"/>
              </w:rPr>
              <w:t xml:space="preserve">1 Mean number of staff (head count and FTE) by staff type (GP, practice nurse/other nurse, nurse practitioner, allied health staff, Aboriginal Health Worker, administrative staff) at commencement and </w:t>
            </w:r>
            <w:r>
              <w:rPr>
                <w:rFonts w:eastAsia="Times New Roman"/>
                <w:color w:val="000000"/>
                <w:sz w:val="16"/>
                <w:szCs w:val="16"/>
                <w:lang w:eastAsia="en-AU"/>
              </w:rPr>
              <w:t xml:space="preserve">at the </w:t>
            </w:r>
            <w:r w:rsidRPr="00BE7442">
              <w:rPr>
                <w:rFonts w:eastAsia="Times New Roman"/>
                <w:color w:val="000000"/>
                <w:sz w:val="16"/>
                <w:szCs w:val="16"/>
                <w:lang w:eastAsia="en-AU"/>
              </w:rPr>
              <w:t xml:space="preserve">end of </w:t>
            </w:r>
            <w:r>
              <w:rPr>
                <w:rFonts w:eastAsia="Times New Roman"/>
                <w:color w:val="000000"/>
                <w:sz w:val="16"/>
                <w:szCs w:val="16"/>
                <w:lang w:eastAsia="en-AU"/>
              </w:rPr>
              <w:t>the trial</w:t>
            </w:r>
            <w:r w:rsidRPr="00BE7442">
              <w:rPr>
                <w:rFonts w:eastAsia="Times New Roman"/>
                <w:color w:val="000000"/>
                <w:sz w:val="16"/>
                <w:szCs w:val="16"/>
                <w:lang w:eastAsia="en-AU"/>
              </w:rPr>
              <w:t>.</w:t>
            </w:r>
          </w:p>
        </w:tc>
        <w:tc>
          <w:tcPr>
            <w:tcW w:w="1365" w:type="dxa"/>
          </w:tcPr>
          <w:p w14:paraId="3C73BBD2"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1186" w:type="dxa"/>
            <w:shd w:val="clear" w:color="auto" w:fill="auto"/>
            <w:noWrap/>
          </w:tcPr>
          <w:p w14:paraId="3EF935E4"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4CA45765" w14:textId="77777777" w:rsidTr="00521305">
        <w:trPr>
          <w:trHeight w:val="300"/>
        </w:trPr>
        <w:tc>
          <w:tcPr>
            <w:tcW w:w="4106" w:type="dxa"/>
            <w:vMerge/>
          </w:tcPr>
          <w:p w14:paraId="6BFB012F"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17694AE8"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2.03.</w:t>
            </w:r>
            <w:r>
              <w:rPr>
                <w:rFonts w:eastAsia="Times New Roman"/>
                <w:color w:val="000000"/>
                <w:sz w:val="16"/>
                <w:szCs w:val="16"/>
                <w:lang w:eastAsia="en-AU"/>
              </w:rPr>
              <w:t>02</w:t>
            </w:r>
            <w:r w:rsidRPr="00BE7442">
              <w:rPr>
                <w:rFonts w:eastAsia="Times New Roman"/>
                <w:color w:val="000000"/>
                <w:sz w:val="16"/>
                <w:szCs w:val="16"/>
                <w:lang w:eastAsia="en-AU"/>
              </w:rPr>
              <w:t xml:space="preserve"> Proportion of practices that reported undertaking changes in staff roles (grouped to categories) following HCH commencement (together with descriptions of changes).</w:t>
            </w:r>
          </w:p>
        </w:tc>
        <w:tc>
          <w:tcPr>
            <w:tcW w:w="1365" w:type="dxa"/>
          </w:tcPr>
          <w:p w14:paraId="3D6B703C"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1186" w:type="dxa"/>
            <w:shd w:val="clear" w:color="auto" w:fill="auto"/>
            <w:noWrap/>
          </w:tcPr>
          <w:p w14:paraId="5DBD9259"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6DD00D40" w14:textId="77777777" w:rsidTr="00521305">
        <w:trPr>
          <w:trHeight w:val="300"/>
        </w:trPr>
        <w:tc>
          <w:tcPr>
            <w:tcW w:w="4106" w:type="dxa"/>
            <w:vMerge/>
          </w:tcPr>
          <w:p w14:paraId="57B98938"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03D206C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2.03.</w:t>
            </w:r>
            <w:r>
              <w:rPr>
                <w:rFonts w:eastAsia="Times New Roman"/>
                <w:color w:val="000000"/>
                <w:sz w:val="16"/>
                <w:szCs w:val="16"/>
                <w:lang w:eastAsia="en-AU"/>
              </w:rPr>
              <w:t>03</w:t>
            </w:r>
            <w:r w:rsidRPr="00BE7442">
              <w:rPr>
                <w:rFonts w:eastAsia="Times New Roman"/>
                <w:color w:val="000000"/>
                <w:sz w:val="16"/>
                <w:szCs w:val="16"/>
                <w:lang w:eastAsia="en-AU"/>
              </w:rPr>
              <w:t xml:space="preserve"> Proportion of practices that reported undertaking changes in staff activities (grouped to categories) following HCH commencement (together with descriptions of changes).</w:t>
            </w:r>
          </w:p>
        </w:tc>
        <w:tc>
          <w:tcPr>
            <w:tcW w:w="1365" w:type="dxa"/>
          </w:tcPr>
          <w:p w14:paraId="2B5AED8A"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1186" w:type="dxa"/>
            <w:shd w:val="clear" w:color="auto" w:fill="auto"/>
            <w:noWrap/>
          </w:tcPr>
          <w:p w14:paraId="5A579A87"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68DCD37B" w14:textId="77777777" w:rsidTr="00521305">
        <w:trPr>
          <w:trHeight w:val="300"/>
        </w:trPr>
        <w:tc>
          <w:tcPr>
            <w:tcW w:w="4106" w:type="dxa"/>
            <w:vMerge w:val="restart"/>
          </w:tcPr>
          <w:p w14:paraId="619932C7"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lastRenderedPageBreak/>
              <w:t>2.04 How did the relationship between the practice and other health care and service providers change during the HCH implementation? Did the HCH program provide opportunities for better coordination of care, information sharing and communication with other health care and service providers?</w:t>
            </w:r>
          </w:p>
        </w:tc>
        <w:tc>
          <w:tcPr>
            <w:tcW w:w="7513" w:type="dxa"/>
            <w:shd w:val="clear" w:color="auto" w:fill="auto"/>
          </w:tcPr>
          <w:p w14:paraId="4D3DF71A"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2.04.</w:t>
            </w:r>
            <w:r>
              <w:rPr>
                <w:rFonts w:eastAsia="Times New Roman"/>
                <w:color w:val="000000"/>
                <w:sz w:val="16"/>
                <w:szCs w:val="16"/>
                <w:lang w:eastAsia="en-AU"/>
              </w:rPr>
              <w:t>01</w:t>
            </w:r>
            <w:r w:rsidRPr="00BE7442">
              <w:rPr>
                <w:rFonts w:eastAsia="Times New Roman"/>
                <w:color w:val="000000"/>
                <w:sz w:val="16"/>
                <w:szCs w:val="16"/>
                <w:lang w:eastAsia="en-AU"/>
              </w:rPr>
              <w:t xml:space="preserve"> Most frequent changes in care coordination reported by external health service providers </w:t>
            </w:r>
            <w:r>
              <w:rPr>
                <w:rFonts w:eastAsia="Times New Roman"/>
                <w:color w:val="000000"/>
                <w:sz w:val="16"/>
                <w:szCs w:val="16"/>
                <w:lang w:eastAsia="en-AU"/>
              </w:rPr>
              <w:t>with</w:t>
            </w:r>
            <w:r w:rsidRPr="00BE7442">
              <w:rPr>
                <w:rFonts w:eastAsia="Times New Roman"/>
                <w:color w:val="000000"/>
                <w:sz w:val="16"/>
                <w:szCs w:val="16"/>
                <w:lang w:eastAsia="en-AU"/>
              </w:rPr>
              <w:t xml:space="preserve"> which HCH practices interact (together with descriptions).</w:t>
            </w:r>
          </w:p>
        </w:tc>
        <w:tc>
          <w:tcPr>
            <w:tcW w:w="1365" w:type="dxa"/>
          </w:tcPr>
          <w:p w14:paraId="5D3D6F1E"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18DCC77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7AA4EAA1" w14:textId="77777777" w:rsidTr="00521305">
        <w:trPr>
          <w:trHeight w:val="300"/>
        </w:trPr>
        <w:tc>
          <w:tcPr>
            <w:tcW w:w="4106" w:type="dxa"/>
            <w:vMerge/>
          </w:tcPr>
          <w:p w14:paraId="7AA9F8CF"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65BB2950"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2.04.</w:t>
            </w:r>
            <w:r>
              <w:rPr>
                <w:rFonts w:eastAsia="Times New Roman"/>
                <w:color w:val="000000"/>
                <w:sz w:val="16"/>
                <w:szCs w:val="16"/>
                <w:lang w:eastAsia="en-AU"/>
              </w:rPr>
              <w:t>0</w:t>
            </w:r>
            <w:r w:rsidRPr="00BE7442">
              <w:rPr>
                <w:rFonts w:eastAsia="Times New Roman"/>
                <w:color w:val="000000"/>
                <w:sz w:val="16"/>
                <w:szCs w:val="16"/>
                <w:lang w:eastAsia="en-AU"/>
              </w:rPr>
              <w:t>2 Proportion of practices that reported changes in relationship between the practice and other health care and service providers (grouped to categories) following HCH commencement (together with descriptions of changes).</w:t>
            </w:r>
          </w:p>
        </w:tc>
        <w:tc>
          <w:tcPr>
            <w:tcW w:w="1365" w:type="dxa"/>
          </w:tcPr>
          <w:p w14:paraId="582CD5AD"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4B0E321A"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3283DE8" w14:textId="77777777" w:rsidTr="00521305">
        <w:trPr>
          <w:trHeight w:val="300"/>
        </w:trPr>
        <w:tc>
          <w:tcPr>
            <w:tcW w:w="4106" w:type="dxa"/>
          </w:tcPr>
          <w:p w14:paraId="23CA24DE"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2.05 How did the additional flexibility associated with the bundled payment facilitate practice change? Was the value of the bundled payment sufficient to change the way practices provide chronic disease care?</w:t>
            </w:r>
          </w:p>
        </w:tc>
        <w:tc>
          <w:tcPr>
            <w:tcW w:w="7513" w:type="dxa"/>
            <w:shd w:val="clear" w:color="auto" w:fill="auto"/>
            <w:noWrap/>
          </w:tcPr>
          <w:p w14:paraId="1CF50E3A"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2.05.</w:t>
            </w:r>
            <w:r>
              <w:rPr>
                <w:rFonts w:eastAsia="Times New Roman"/>
                <w:color w:val="000000"/>
                <w:sz w:val="16"/>
                <w:szCs w:val="16"/>
                <w:lang w:eastAsia="en-AU"/>
              </w:rPr>
              <w:t>0</w:t>
            </w:r>
            <w:r w:rsidRPr="00BE7442">
              <w:rPr>
                <w:rFonts w:eastAsia="Times New Roman"/>
                <w:color w:val="000000"/>
                <w:sz w:val="16"/>
                <w:szCs w:val="16"/>
                <w:lang w:eastAsia="en-AU"/>
              </w:rPr>
              <w:t>1 Proportion of practices that reported undertaking specific changes (grouped to categories) due to the additional flexibility that the bundled payment provided for the practice (together with descriptions of processes).</w:t>
            </w:r>
          </w:p>
        </w:tc>
        <w:tc>
          <w:tcPr>
            <w:tcW w:w="1365" w:type="dxa"/>
          </w:tcPr>
          <w:p w14:paraId="002F75AE"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P</w:t>
            </w:r>
          </w:p>
        </w:tc>
        <w:tc>
          <w:tcPr>
            <w:tcW w:w="1186" w:type="dxa"/>
            <w:shd w:val="clear" w:color="auto" w:fill="auto"/>
            <w:noWrap/>
          </w:tcPr>
          <w:p w14:paraId="37C246F0"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3</w:t>
            </w:r>
          </w:p>
        </w:tc>
      </w:tr>
      <w:tr w:rsidR="001C19F3" w:rsidRPr="00BE7442" w14:paraId="204FED9C" w14:textId="77777777" w:rsidTr="00521305">
        <w:trPr>
          <w:trHeight w:val="300"/>
        </w:trPr>
        <w:tc>
          <w:tcPr>
            <w:tcW w:w="4106" w:type="dxa"/>
            <w:vMerge w:val="restart"/>
          </w:tcPr>
          <w:p w14:paraId="29DBB18B"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 xml:space="preserve">2.06 How did practices change from prior to the HCH program implementation to the end of </w:t>
            </w:r>
            <w:r>
              <w:rPr>
                <w:rFonts w:eastAsia="Times New Roman"/>
                <w:bCs/>
                <w:color w:val="000000"/>
                <w:sz w:val="16"/>
                <w:szCs w:val="16"/>
                <w:lang w:eastAsia="en-AU"/>
              </w:rPr>
              <w:t>the trial</w:t>
            </w:r>
            <w:r w:rsidRPr="00BE7442">
              <w:rPr>
                <w:rFonts w:eastAsia="Times New Roman"/>
                <w:bCs/>
                <w:color w:val="000000"/>
                <w:sz w:val="16"/>
                <w:szCs w:val="16"/>
                <w:lang w:eastAsia="en-AU"/>
              </w:rPr>
              <w:t xml:space="preserve"> </w:t>
            </w:r>
            <w:r>
              <w:rPr>
                <w:rFonts w:eastAsia="Times New Roman"/>
                <w:bCs/>
                <w:color w:val="000000"/>
                <w:sz w:val="16"/>
                <w:szCs w:val="16"/>
                <w:lang w:eastAsia="en-AU"/>
              </w:rPr>
              <w:t>in implementing the</w:t>
            </w:r>
            <w:r w:rsidRPr="00BE7442">
              <w:rPr>
                <w:rFonts w:eastAsia="Times New Roman"/>
                <w:bCs/>
                <w:color w:val="000000"/>
                <w:sz w:val="16"/>
                <w:szCs w:val="16"/>
                <w:lang w:eastAsia="en-AU"/>
              </w:rPr>
              <w:t xml:space="preserve"> dimensions of the patient centred medical home?</w:t>
            </w:r>
          </w:p>
        </w:tc>
        <w:tc>
          <w:tcPr>
            <w:tcW w:w="7513" w:type="dxa"/>
            <w:shd w:val="clear" w:color="auto" w:fill="auto"/>
            <w:vAlign w:val="bottom"/>
          </w:tcPr>
          <w:p w14:paraId="6C36E72D"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2.06.</w:t>
            </w:r>
            <w:r>
              <w:rPr>
                <w:rFonts w:eastAsia="Times New Roman"/>
                <w:color w:val="000000"/>
                <w:sz w:val="16"/>
                <w:szCs w:val="16"/>
                <w:lang w:eastAsia="en-AU"/>
              </w:rPr>
              <w:t>0</w:t>
            </w:r>
            <w:r w:rsidRPr="00BE7442">
              <w:rPr>
                <w:rFonts w:eastAsia="Times New Roman"/>
                <w:color w:val="000000"/>
                <w:sz w:val="16"/>
                <w:szCs w:val="16"/>
                <w:lang w:eastAsia="en-AU"/>
              </w:rPr>
              <w:t xml:space="preserve">1 Proportion of practices </w:t>
            </w:r>
            <w:r>
              <w:rPr>
                <w:rFonts w:eastAsia="Times New Roman"/>
                <w:color w:val="000000"/>
                <w:sz w:val="16"/>
                <w:szCs w:val="16"/>
                <w:lang w:eastAsia="en-AU"/>
              </w:rPr>
              <w:t>with improved</w:t>
            </w:r>
            <w:r w:rsidRPr="00BE7442">
              <w:rPr>
                <w:rFonts w:eastAsia="Times New Roman"/>
                <w:color w:val="000000"/>
                <w:sz w:val="16"/>
                <w:szCs w:val="16"/>
                <w:lang w:eastAsia="en-AU"/>
              </w:rPr>
              <w:t xml:space="preserve"> </w:t>
            </w:r>
            <w:r>
              <w:rPr>
                <w:rFonts w:eastAsia="Times New Roman"/>
                <w:color w:val="000000"/>
                <w:sz w:val="16"/>
                <w:szCs w:val="16"/>
                <w:lang w:eastAsia="en-AU"/>
              </w:rPr>
              <w:t xml:space="preserve">overall score, </w:t>
            </w:r>
            <w:r w:rsidRPr="00BE7442">
              <w:rPr>
                <w:rFonts w:eastAsia="Times New Roman"/>
                <w:color w:val="000000"/>
                <w:sz w:val="16"/>
                <w:szCs w:val="16"/>
                <w:lang w:eastAsia="en-AU"/>
              </w:rPr>
              <w:t xml:space="preserve">scores </w:t>
            </w:r>
            <w:r>
              <w:rPr>
                <w:rFonts w:eastAsia="Times New Roman"/>
                <w:color w:val="000000"/>
                <w:sz w:val="16"/>
                <w:szCs w:val="16"/>
                <w:lang w:eastAsia="en-AU"/>
              </w:rPr>
              <w:t xml:space="preserve">on </w:t>
            </w:r>
            <w:r w:rsidRPr="00BE7442">
              <w:rPr>
                <w:rFonts w:eastAsia="Times New Roman"/>
                <w:color w:val="000000"/>
                <w:sz w:val="16"/>
                <w:szCs w:val="16"/>
                <w:lang w:eastAsia="en-AU"/>
              </w:rPr>
              <w:t>each dimension</w:t>
            </w:r>
            <w:r>
              <w:rPr>
                <w:rFonts w:eastAsia="Times New Roman"/>
                <w:color w:val="000000"/>
                <w:sz w:val="16"/>
                <w:szCs w:val="16"/>
                <w:lang w:eastAsia="en-AU"/>
              </w:rPr>
              <w:t xml:space="preserve">, </w:t>
            </w:r>
            <w:r w:rsidRPr="00BE7442">
              <w:rPr>
                <w:rFonts w:eastAsia="Times New Roman"/>
                <w:color w:val="000000"/>
                <w:sz w:val="16"/>
                <w:szCs w:val="16"/>
                <w:lang w:eastAsia="en-AU"/>
              </w:rPr>
              <w:t>and</w:t>
            </w:r>
            <w:r>
              <w:rPr>
                <w:rFonts w:eastAsia="Times New Roman"/>
                <w:color w:val="000000"/>
                <w:sz w:val="16"/>
                <w:szCs w:val="16"/>
                <w:lang w:eastAsia="en-AU"/>
              </w:rPr>
              <w:t xml:space="preserve"> scores for</w:t>
            </w:r>
            <w:r w:rsidRPr="00BE7442">
              <w:rPr>
                <w:rFonts w:eastAsia="Times New Roman"/>
                <w:color w:val="000000"/>
                <w:sz w:val="16"/>
                <w:szCs w:val="16"/>
                <w:lang w:eastAsia="en-AU"/>
              </w:rPr>
              <w:t xml:space="preserve"> individual items</w:t>
            </w:r>
            <w:r>
              <w:rPr>
                <w:rFonts w:eastAsia="Times New Roman"/>
                <w:color w:val="000000"/>
                <w:sz w:val="16"/>
                <w:szCs w:val="16"/>
                <w:lang w:eastAsia="en-AU"/>
              </w:rPr>
              <w:t>, on the HCH-A tool</w:t>
            </w:r>
            <w:r w:rsidRPr="00BE7442">
              <w:rPr>
                <w:rFonts w:eastAsia="Times New Roman"/>
                <w:color w:val="000000"/>
                <w:sz w:val="16"/>
                <w:szCs w:val="16"/>
                <w:lang w:eastAsia="en-AU"/>
              </w:rPr>
              <w:t xml:space="preserve">, from between HCH commencement and </w:t>
            </w:r>
            <w:r>
              <w:rPr>
                <w:rFonts w:eastAsia="Times New Roman"/>
                <w:color w:val="000000"/>
                <w:sz w:val="16"/>
                <w:szCs w:val="16"/>
                <w:lang w:eastAsia="en-AU"/>
              </w:rPr>
              <w:t xml:space="preserve">at the </w:t>
            </w:r>
            <w:r w:rsidRPr="00BE7442">
              <w:rPr>
                <w:rFonts w:eastAsia="Times New Roman"/>
                <w:color w:val="000000"/>
                <w:sz w:val="16"/>
                <w:szCs w:val="16"/>
                <w:lang w:eastAsia="en-AU"/>
              </w:rPr>
              <w:t xml:space="preserve">end of </w:t>
            </w:r>
            <w:r>
              <w:rPr>
                <w:rFonts w:eastAsia="Times New Roman"/>
                <w:color w:val="000000"/>
                <w:sz w:val="16"/>
                <w:szCs w:val="16"/>
                <w:lang w:eastAsia="en-AU"/>
              </w:rPr>
              <w:t>the trial.</w:t>
            </w:r>
            <w:r w:rsidRPr="00BE7442">
              <w:rPr>
                <w:rFonts w:eastAsia="Times New Roman"/>
                <w:color w:val="000000"/>
                <w:sz w:val="16"/>
                <w:szCs w:val="16"/>
                <w:lang w:eastAsia="en-AU"/>
              </w:rPr>
              <w:t xml:space="preserve"> (Change in mean scores will also be analysed</w:t>
            </w:r>
            <w:r>
              <w:rPr>
                <w:rFonts w:eastAsia="Times New Roman"/>
                <w:color w:val="000000"/>
                <w:sz w:val="16"/>
                <w:szCs w:val="16"/>
                <w:lang w:eastAsia="en-AU"/>
              </w:rPr>
              <w:t>.</w:t>
            </w:r>
            <w:r w:rsidRPr="00BE7442">
              <w:rPr>
                <w:rFonts w:eastAsia="Times New Roman"/>
                <w:color w:val="000000"/>
                <w:sz w:val="16"/>
                <w:szCs w:val="16"/>
                <w:lang w:eastAsia="en-AU"/>
              </w:rPr>
              <w:t xml:space="preserve">) </w:t>
            </w:r>
            <w:r>
              <w:rPr>
                <w:rFonts w:eastAsia="Times New Roman"/>
                <w:color w:val="000000"/>
                <w:sz w:val="16"/>
                <w:szCs w:val="16"/>
                <w:lang w:eastAsia="en-AU"/>
              </w:rPr>
              <w:t>The following dimensions will be highlighted in the analysis:</w:t>
            </w:r>
            <w:r w:rsidRPr="00BE7442">
              <w:rPr>
                <w:rFonts w:eastAsia="Times New Roman"/>
                <w:color w:val="000000"/>
                <w:sz w:val="16"/>
                <w:szCs w:val="16"/>
                <w:lang w:eastAsia="en-AU"/>
              </w:rPr>
              <w:t xml:space="preserve"> </w:t>
            </w:r>
            <w:r>
              <w:rPr>
                <w:rFonts w:eastAsia="Times New Roman"/>
                <w:color w:val="000000"/>
                <w:sz w:val="16"/>
                <w:szCs w:val="16"/>
                <w:lang w:eastAsia="en-AU"/>
              </w:rPr>
              <w:t>organi</w:t>
            </w:r>
            <w:r w:rsidRPr="00BE7442">
              <w:rPr>
                <w:rFonts w:eastAsia="Times New Roman"/>
                <w:color w:val="000000"/>
                <w:sz w:val="16"/>
                <w:szCs w:val="16"/>
                <w:lang w:eastAsia="en-AU"/>
              </w:rPr>
              <w:t xml:space="preserve">sed/evidence based care, continuous and team based healing relationships, </w:t>
            </w:r>
            <w:r>
              <w:rPr>
                <w:rFonts w:eastAsia="Times New Roman"/>
                <w:color w:val="000000"/>
                <w:sz w:val="16"/>
                <w:szCs w:val="16"/>
                <w:lang w:eastAsia="en-AU"/>
              </w:rPr>
              <w:t>patient centred interactions,</w:t>
            </w:r>
            <w:r w:rsidRPr="00BE7442">
              <w:rPr>
                <w:rFonts w:eastAsia="Times New Roman"/>
                <w:color w:val="000000"/>
                <w:sz w:val="16"/>
                <w:szCs w:val="16"/>
                <w:lang w:eastAsia="en-AU"/>
              </w:rPr>
              <w:t xml:space="preserve"> and care coordination.</w:t>
            </w:r>
          </w:p>
        </w:tc>
        <w:tc>
          <w:tcPr>
            <w:tcW w:w="1365" w:type="dxa"/>
          </w:tcPr>
          <w:p w14:paraId="114FA6B5"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37BB1CE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0D0CAE0D" w14:textId="77777777" w:rsidTr="00521305">
        <w:trPr>
          <w:trHeight w:val="300"/>
        </w:trPr>
        <w:tc>
          <w:tcPr>
            <w:tcW w:w="4106" w:type="dxa"/>
            <w:vMerge/>
          </w:tcPr>
          <w:p w14:paraId="355B358A"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0721CDFF"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2.06.</w:t>
            </w:r>
            <w:r>
              <w:rPr>
                <w:rFonts w:eastAsia="Times New Roman"/>
                <w:color w:val="000000"/>
                <w:sz w:val="16"/>
                <w:szCs w:val="16"/>
                <w:lang w:eastAsia="en-AU"/>
              </w:rPr>
              <w:t>02</w:t>
            </w:r>
            <w:r w:rsidRPr="00BE7442">
              <w:rPr>
                <w:rFonts w:eastAsia="Times New Roman"/>
                <w:color w:val="000000"/>
                <w:sz w:val="16"/>
                <w:szCs w:val="16"/>
                <w:lang w:eastAsia="en-AU"/>
              </w:rPr>
              <w:t xml:space="preserve"> Change between HCH program commencement and</w:t>
            </w:r>
            <w:r>
              <w:rPr>
                <w:rFonts w:eastAsia="Times New Roman"/>
                <w:color w:val="000000"/>
                <w:sz w:val="16"/>
                <w:szCs w:val="16"/>
                <w:lang w:eastAsia="en-AU"/>
              </w:rPr>
              <w:t xml:space="preserve"> at the</w:t>
            </w:r>
            <w:r w:rsidRPr="00BE7442">
              <w:rPr>
                <w:rFonts w:eastAsia="Times New Roman"/>
                <w:color w:val="000000"/>
                <w:sz w:val="16"/>
                <w:szCs w:val="16"/>
                <w:lang w:eastAsia="en-AU"/>
              </w:rPr>
              <w:t xml:space="preserve"> end of </w:t>
            </w:r>
            <w:r>
              <w:rPr>
                <w:rFonts w:eastAsia="Times New Roman"/>
                <w:color w:val="000000"/>
                <w:sz w:val="16"/>
                <w:szCs w:val="16"/>
                <w:lang w:eastAsia="en-AU"/>
              </w:rPr>
              <w:t>the trial</w:t>
            </w:r>
            <w:r w:rsidRPr="00BE7442">
              <w:rPr>
                <w:rFonts w:eastAsia="Times New Roman"/>
                <w:color w:val="000000"/>
                <w:sz w:val="16"/>
                <w:szCs w:val="16"/>
                <w:lang w:eastAsia="en-AU"/>
              </w:rPr>
              <w:t xml:space="preserve"> in the proportion of practices by after-hours arrangement categories.</w:t>
            </w:r>
          </w:p>
        </w:tc>
        <w:tc>
          <w:tcPr>
            <w:tcW w:w="1365" w:type="dxa"/>
          </w:tcPr>
          <w:p w14:paraId="36E86177"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0BEFE40E"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1BD657A" w14:textId="77777777" w:rsidTr="00521305">
        <w:trPr>
          <w:trHeight w:val="300"/>
        </w:trPr>
        <w:tc>
          <w:tcPr>
            <w:tcW w:w="4106" w:type="dxa"/>
            <w:vMerge/>
          </w:tcPr>
          <w:p w14:paraId="3A7DEEB5"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0C3B6242"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2.06.</w:t>
            </w:r>
            <w:r>
              <w:rPr>
                <w:rFonts w:eastAsia="Times New Roman"/>
                <w:color w:val="000000"/>
                <w:sz w:val="16"/>
                <w:szCs w:val="16"/>
                <w:lang w:eastAsia="en-AU"/>
              </w:rPr>
              <w:t>03</w:t>
            </w:r>
            <w:r w:rsidRPr="00BE7442">
              <w:rPr>
                <w:rFonts w:eastAsia="Times New Roman"/>
                <w:color w:val="000000"/>
                <w:sz w:val="16"/>
                <w:szCs w:val="16"/>
                <w:lang w:eastAsia="en-AU"/>
              </w:rPr>
              <w:t xml:space="preserve"> Change between HCH program commencement and</w:t>
            </w:r>
            <w:r>
              <w:rPr>
                <w:rFonts w:eastAsia="Times New Roman"/>
                <w:color w:val="000000"/>
                <w:sz w:val="16"/>
                <w:szCs w:val="16"/>
                <w:lang w:eastAsia="en-AU"/>
              </w:rPr>
              <w:t xml:space="preserve"> at the</w:t>
            </w:r>
            <w:r w:rsidRPr="00BE7442">
              <w:rPr>
                <w:rFonts w:eastAsia="Times New Roman"/>
                <w:color w:val="000000"/>
                <w:sz w:val="16"/>
                <w:szCs w:val="16"/>
                <w:lang w:eastAsia="en-AU"/>
              </w:rPr>
              <w:t xml:space="preserve"> end of </w:t>
            </w:r>
            <w:r>
              <w:rPr>
                <w:rFonts w:eastAsia="Times New Roman"/>
                <w:color w:val="000000"/>
                <w:sz w:val="16"/>
                <w:szCs w:val="16"/>
                <w:lang w:eastAsia="en-AU"/>
              </w:rPr>
              <w:t>the trial</w:t>
            </w:r>
            <w:r w:rsidRPr="00BE7442">
              <w:rPr>
                <w:rFonts w:eastAsia="Times New Roman"/>
                <w:color w:val="000000"/>
                <w:sz w:val="16"/>
                <w:szCs w:val="16"/>
                <w:lang w:eastAsia="en-AU"/>
              </w:rPr>
              <w:t>, in practice operating hours by day of week and public holidays.</w:t>
            </w:r>
          </w:p>
        </w:tc>
        <w:tc>
          <w:tcPr>
            <w:tcW w:w="1365" w:type="dxa"/>
          </w:tcPr>
          <w:p w14:paraId="5D3542E9"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5F54C2AE"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08D74AE1" w14:textId="77777777" w:rsidTr="00521305">
        <w:trPr>
          <w:trHeight w:val="300"/>
        </w:trPr>
        <w:tc>
          <w:tcPr>
            <w:tcW w:w="4106" w:type="dxa"/>
          </w:tcPr>
          <w:p w14:paraId="69EAD21C"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2.07 Which practice level approaches to implementation worked well</w:t>
            </w:r>
            <w:r>
              <w:rPr>
                <w:rFonts w:eastAsia="Times New Roman"/>
                <w:bCs/>
                <w:color w:val="000000"/>
                <w:sz w:val="16"/>
                <w:szCs w:val="16"/>
                <w:lang w:eastAsia="en-AU"/>
              </w:rPr>
              <w:t>,</w:t>
            </w:r>
            <w:r w:rsidRPr="00BE7442">
              <w:rPr>
                <w:rFonts w:eastAsia="Times New Roman"/>
                <w:bCs/>
                <w:color w:val="000000"/>
                <w:sz w:val="16"/>
                <w:szCs w:val="16"/>
                <w:lang w:eastAsia="en-AU"/>
              </w:rPr>
              <w:t xml:space="preserve"> and in what contexts?</w:t>
            </w:r>
          </w:p>
        </w:tc>
        <w:tc>
          <w:tcPr>
            <w:tcW w:w="7513" w:type="dxa"/>
            <w:shd w:val="clear" w:color="auto" w:fill="auto"/>
            <w:noWrap/>
          </w:tcPr>
          <w:p w14:paraId="708B5F60"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2.07.</w:t>
            </w:r>
            <w:r>
              <w:rPr>
                <w:rFonts w:eastAsia="Times New Roman"/>
                <w:color w:val="000000"/>
                <w:sz w:val="16"/>
                <w:szCs w:val="16"/>
                <w:lang w:eastAsia="en-AU"/>
              </w:rPr>
              <w:t>0</w:t>
            </w:r>
            <w:r w:rsidRPr="00BE7442">
              <w:rPr>
                <w:rFonts w:eastAsia="Times New Roman"/>
                <w:color w:val="000000"/>
                <w:sz w:val="16"/>
                <w:szCs w:val="16"/>
                <w:lang w:eastAsia="en-AU"/>
              </w:rPr>
              <w:t>1 Rating of effectiveness of implementation strategies by practices (together with descriptions).</w:t>
            </w:r>
          </w:p>
        </w:tc>
        <w:tc>
          <w:tcPr>
            <w:tcW w:w="1365" w:type="dxa"/>
          </w:tcPr>
          <w:p w14:paraId="2DD6D299"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255A00A4"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ABD3910" w14:textId="77777777" w:rsidTr="00521305">
        <w:trPr>
          <w:trHeight w:val="300"/>
        </w:trPr>
        <w:tc>
          <w:tcPr>
            <w:tcW w:w="4106" w:type="dxa"/>
            <w:vMerge w:val="restart"/>
          </w:tcPr>
          <w:p w14:paraId="46604F29" w14:textId="77777777" w:rsidR="001C19F3" w:rsidRPr="008E272C" w:rsidRDefault="001C19F3" w:rsidP="00521305">
            <w:pPr>
              <w:spacing w:after="0" w:line="264" w:lineRule="auto"/>
              <w:ind w:left="447" w:hanging="425"/>
              <w:rPr>
                <w:rFonts w:eastAsia="Times New Roman"/>
                <w:color w:val="000000"/>
                <w:sz w:val="16"/>
                <w:szCs w:val="16"/>
                <w:lang w:eastAsia="en-AU"/>
              </w:rPr>
            </w:pPr>
            <w:r w:rsidRPr="008E272C">
              <w:rPr>
                <w:rFonts w:eastAsia="Times New Roman"/>
                <w:color w:val="000000"/>
                <w:sz w:val="16"/>
                <w:szCs w:val="16"/>
                <w:lang w:eastAsia="en-AU"/>
              </w:rPr>
              <w:t xml:space="preserve">2.08 How did the impact of HCH vary across practices with different characteristics (e.g. across different remoteness areas and ownership </w:t>
            </w:r>
            <w:r w:rsidRPr="00012DEB">
              <w:rPr>
                <w:rFonts w:eastAsia="Times New Roman"/>
                <w:color w:val="000000"/>
                <w:sz w:val="16"/>
                <w:szCs w:val="16"/>
                <w:lang w:eastAsia="en-AU"/>
              </w:rPr>
              <w:t xml:space="preserve">arrangements)? How did these </w:t>
            </w:r>
            <w:r w:rsidRPr="00012DEB">
              <w:rPr>
                <w:rFonts w:eastAsia="Times New Roman"/>
                <w:color w:val="000000"/>
                <w:sz w:val="16"/>
                <w:szCs w:val="16"/>
                <w:lang w:eastAsia="en-AU"/>
              </w:rPr>
              <w:lastRenderedPageBreak/>
              <w:t>characteristics affect the success of the model? What does this tell us about the potential of the HCH program to improve access to primary health care, particularly for vulnerable and disadvantaged populations, and improve equity in health outcomes?</w:t>
            </w:r>
          </w:p>
        </w:tc>
        <w:tc>
          <w:tcPr>
            <w:tcW w:w="7513" w:type="dxa"/>
            <w:shd w:val="clear" w:color="auto" w:fill="auto"/>
          </w:tcPr>
          <w:p w14:paraId="77C9C54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lastRenderedPageBreak/>
              <w:t>2.08.</w:t>
            </w:r>
            <w:r>
              <w:rPr>
                <w:rFonts w:eastAsia="Times New Roman"/>
                <w:color w:val="000000"/>
                <w:sz w:val="16"/>
                <w:szCs w:val="16"/>
                <w:lang w:eastAsia="en-AU"/>
              </w:rPr>
              <w:t>0</w:t>
            </w:r>
            <w:r w:rsidRPr="00BE7442">
              <w:rPr>
                <w:rFonts w:eastAsia="Times New Roman"/>
                <w:color w:val="000000"/>
                <w:sz w:val="16"/>
                <w:szCs w:val="16"/>
                <w:lang w:eastAsia="en-AU"/>
              </w:rPr>
              <w:t>1 Proportion of patients enrolled in HCH by risk tier and other selected characteristi</w:t>
            </w:r>
            <w:r>
              <w:rPr>
                <w:rFonts w:eastAsia="Times New Roman"/>
                <w:color w:val="000000"/>
                <w:sz w:val="16"/>
                <w:szCs w:val="16"/>
                <w:lang w:eastAsia="en-AU"/>
              </w:rPr>
              <w:t>cs, compared across HCH practice strata</w:t>
            </w:r>
            <w:r w:rsidRPr="00BE7442">
              <w:rPr>
                <w:rFonts w:eastAsia="Times New Roman"/>
                <w:color w:val="000000"/>
                <w:sz w:val="16"/>
                <w:szCs w:val="16"/>
                <w:lang w:eastAsia="en-AU"/>
              </w:rPr>
              <w:t>.</w:t>
            </w:r>
          </w:p>
        </w:tc>
        <w:tc>
          <w:tcPr>
            <w:tcW w:w="1365" w:type="dxa"/>
          </w:tcPr>
          <w:p w14:paraId="12A28938"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w:t>
            </w:r>
          </w:p>
        </w:tc>
        <w:tc>
          <w:tcPr>
            <w:tcW w:w="1186" w:type="dxa"/>
            <w:shd w:val="clear" w:color="auto" w:fill="auto"/>
            <w:noWrap/>
          </w:tcPr>
          <w:p w14:paraId="0076DB07"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Chapter 5</w:t>
            </w:r>
          </w:p>
        </w:tc>
      </w:tr>
      <w:tr w:rsidR="001C19F3" w:rsidRPr="00BE7442" w14:paraId="38E38DF6" w14:textId="77777777" w:rsidTr="00521305">
        <w:trPr>
          <w:trHeight w:val="300"/>
        </w:trPr>
        <w:tc>
          <w:tcPr>
            <w:tcW w:w="4106" w:type="dxa"/>
            <w:vMerge/>
          </w:tcPr>
          <w:p w14:paraId="78430A61" w14:textId="77777777" w:rsidR="001C19F3" w:rsidRPr="008E272C" w:rsidRDefault="001C19F3" w:rsidP="00521305">
            <w:pPr>
              <w:spacing w:after="0" w:line="264" w:lineRule="auto"/>
              <w:ind w:left="447" w:firstLineChars="300" w:firstLine="480"/>
              <w:rPr>
                <w:rFonts w:eastAsia="Times New Roman"/>
                <w:color w:val="000000"/>
                <w:sz w:val="16"/>
                <w:szCs w:val="16"/>
                <w:lang w:eastAsia="en-AU"/>
              </w:rPr>
            </w:pPr>
          </w:p>
        </w:tc>
        <w:tc>
          <w:tcPr>
            <w:tcW w:w="7513" w:type="dxa"/>
            <w:shd w:val="clear" w:color="auto" w:fill="auto"/>
          </w:tcPr>
          <w:p w14:paraId="3EF2224D"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2.08.</w:t>
            </w:r>
            <w:r>
              <w:rPr>
                <w:rFonts w:eastAsia="Times New Roman"/>
                <w:color w:val="000000"/>
                <w:sz w:val="16"/>
                <w:szCs w:val="16"/>
                <w:lang w:eastAsia="en-AU"/>
              </w:rPr>
              <w:t>0</w:t>
            </w:r>
            <w:r w:rsidRPr="00BE7442">
              <w:rPr>
                <w:rFonts w:eastAsia="Times New Roman"/>
                <w:color w:val="000000"/>
                <w:sz w:val="16"/>
                <w:szCs w:val="16"/>
                <w:lang w:eastAsia="en-AU"/>
              </w:rPr>
              <w:t>2 Patients enrolled in HCH as a proportion of the total practice population</w:t>
            </w:r>
            <w:r>
              <w:rPr>
                <w:rFonts w:eastAsia="Times New Roman"/>
                <w:color w:val="000000"/>
                <w:sz w:val="16"/>
                <w:szCs w:val="16"/>
                <w:lang w:eastAsia="en-AU"/>
              </w:rPr>
              <w:t>, compared across HCH practice strata.</w:t>
            </w:r>
          </w:p>
        </w:tc>
        <w:tc>
          <w:tcPr>
            <w:tcW w:w="1365" w:type="dxa"/>
          </w:tcPr>
          <w:p w14:paraId="6A1AAF93"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1CCE7ECF"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1129814" w14:textId="77777777" w:rsidTr="00521305">
        <w:trPr>
          <w:trHeight w:val="610"/>
        </w:trPr>
        <w:tc>
          <w:tcPr>
            <w:tcW w:w="4106" w:type="dxa"/>
            <w:vMerge/>
          </w:tcPr>
          <w:p w14:paraId="0CC9EA24" w14:textId="77777777" w:rsidR="001C19F3" w:rsidRPr="008E272C" w:rsidRDefault="001C19F3" w:rsidP="00521305">
            <w:pPr>
              <w:spacing w:after="0" w:line="264" w:lineRule="auto"/>
              <w:ind w:left="447" w:firstLineChars="300" w:firstLine="480"/>
              <w:rPr>
                <w:rFonts w:eastAsia="Times New Roman"/>
                <w:color w:val="000000"/>
                <w:sz w:val="16"/>
                <w:szCs w:val="16"/>
                <w:lang w:eastAsia="en-AU"/>
              </w:rPr>
            </w:pPr>
          </w:p>
        </w:tc>
        <w:tc>
          <w:tcPr>
            <w:tcW w:w="7513" w:type="dxa"/>
            <w:shd w:val="clear" w:color="auto" w:fill="auto"/>
          </w:tcPr>
          <w:p w14:paraId="39281D67"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2.08.</w:t>
            </w:r>
            <w:r>
              <w:rPr>
                <w:rFonts w:eastAsia="Times New Roman"/>
                <w:color w:val="000000"/>
                <w:sz w:val="16"/>
                <w:szCs w:val="16"/>
                <w:lang w:eastAsia="en-AU"/>
              </w:rPr>
              <w:t>03</w:t>
            </w:r>
            <w:r w:rsidRPr="00BE7442">
              <w:rPr>
                <w:rFonts w:eastAsia="Times New Roman"/>
                <w:color w:val="000000"/>
                <w:sz w:val="16"/>
                <w:szCs w:val="16"/>
                <w:lang w:eastAsia="en-AU"/>
              </w:rPr>
              <w:t xml:space="preserve"> </w:t>
            </w:r>
            <w:r>
              <w:rPr>
                <w:rFonts w:eastAsia="Times New Roman"/>
                <w:color w:val="000000"/>
                <w:sz w:val="16"/>
                <w:szCs w:val="16"/>
                <w:lang w:eastAsia="en-AU"/>
              </w:rPr>
              <w:t xml:space="preserve">Multiple: Comparison of patient level outcomes, including access (see key question 3) compared across HCH </w:t>
            </w:r>
            <w:r w:rsidRPr="00012DEB">
              <w:rPr>
                <w:rFonts w:eastAsia="Times New Roman"/>
                <w:color w:val="000000"/>
                <w:sz w:val="16"/>
                <w:szCs w:val="16"/>
                <w:lang w:eastAsia="en-AU"/>
              </w:rPr>
              <w:t>practice strata and assessment of implications for equity in access and outcomes.</w:t>
            </w:r>
          </w:p>
        </w:tc>
        <w:tc>
          <w:tcPr>
            <w:tcW w:w="1365" w:type="dxa"/>
          </w:tcPr>
          <w:p w14:paraId="52FCC658"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4651F436"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41D3640C" w14:textId="77777777" w:rsidTr="00521305">
        <w:trPr>
          <w:trHeight w:val="300"/>
        </w:trPr>
        <w:tc>
          <w:tcPr>
            <w:tcW w:w="4106" w:type="dxa"/>
            <w:vMerge w:val="restart"/>
          </w:tcPr>
          <w:p w14:paraId="516116A6"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2.09 How did the HCH implementation change provider experiences of delivering primary care services?</w:t>
            </w:r>
          </w:p>
        </w:tc>
        <w:tc>
          <w:tcPr>
            <w:tcW w:w="7513" w:type="dxa"/>
            <w:shd w:val="clear" w:color="auto" w:fill="auto"/>
          </w:tcPr>
          <w:p w14:paraId="14AEC0EA"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2.09.</w:t>
            </w:r>
            <w:r>
              <w:rPr>
                <w:rFonts w:eastAsia="Times New Roman"/>
                <w:color w:val="000000"/>
                <w:sz w:val="16"/>
                <w:szCs w:val="16"/>
                <w:lang w:eastAsia="en-AU"/>
              </w:rPr>
              <w:t>0</w:t>
            </w:r>
            <w:r w:rsidRPr="00BE7442">
              <w:rPr>
                <w:rFonts w:eastAsia="Times New Roman"/>
                <w:color w:val="000000"/>
                <w:sz w:val="16"/>
                <w:szCs w:val="16"/>
                <w:lang w:eastAsia="en-AU"/>
              </w:rPr>
              <w:t>1 Proportion of practice staff who report that following the HCH implementation they experienced improvements in selected aspects of their job</w:t>
            </w:r>
            <w:r>
              <w:rPr>
                <w:rFonts w:eastAsia="Times New Roman"/>
                <w:color w:val="000000"/>
                <w:sz w:val="16"/>
                <w:szCs w:val="16"/>
                <w:lang w:eastAsia="en-AU"/>
              </w:rPr>
              <w:t>,</w:t>
            </w:r>
            <w:r w:rsidRPr="00BE7442">
              <w:rPr>
                <w:rFonts w:eastAsia="Times New Roman"/>
                <w:color w:val="000000"/>
                <w:sz w:val="16"/>
                <w:szCs w:val="16"/>
                <w:lang w:eastAsia="en-AU"/>
              </w:rPr>
              <w:t xml:space="preserve"> including: (a) having clear planned goals and objectives; (b) having an interesting</w:t>
            </w:r>
            <w:r>
              <w:rPr>
                <w:rFonts w:eastAsia="Times New Roman"/>
                <w:color w:val="000000"/>
                <w:sz w:val="16"/>
                <w:szCs w:val="16"/>
                <w:lang w:eastAsia="en-AU"/>
              </w:rPr>
              <w:t xml:space="preserve"> job; (c) developing their role</w:t>
            </w:r>
            <w:r w:rsidRPr="00BE7442">
              <w:rPr>
                <w:rFonts w:eastAsia="Times New Roman"/>
                <w:color w:val="000000"/>
                <w:sz w:val="16"/>
                <w:szCs w:val="16"/>
                <w:lang w:eastAsia="en-AU"/>
              </w:rPr>
              <w:t>;</w:t>
            </w:r>
            <w:r>
              <w:rPr>
                <w:rFonts w:eastAsia="Times New Roman"/>
                <w:color w:val="000000"/>
                <w:sz w:val="16"/>
                <w:szCs w:val="16"/>
                <w:lang w:eastAsia="en-AU"/>
              </w:rPr>
              <w:t xml:space="preserve"> </w:t>
            </w:r>
            <w:r w:rsidRPr="00BE7442">
              <w:rPr>
                <w:rFonts w:eastAsia="Times New Roman"/>
                <w:color w:val="000000"/>
                <w:sz w:val="16"/>
                <w:szCs w:val="16"/>
                <w:lang w:eastAsia="en-AU"/>
              </w:rPr>
              <w:t>(d) working to the full scope of their practice; (e) having adequate resources to do their job.</w:t>
            </w:r>
          </w:p>
        </w:tc>
        <w:tc>
          <w:tcPr>
            <w:tcW w:w="1365" w:type="dxa"/>
          </w:tcPr>
          <w:p w14:paraId="0F2B85FC"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13BFD823"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7DA391C7" w14:textId="77777777" w:rsidTr="00521305">
        <w:trPr>
          <w:trHeight w:val="300"/>
        </w:trPr>
        <w:tc>
          <w:tcPr>
            <w:tcW w:w="4106" w:type="dxa"/>
            <w:vMerge/>
          </w:tcPr>
          <w:p w14:paraId="65B1F613"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773A2F4F"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2.09.</w:t>
            </w:r>
            <w:r>
              <w:rPr>
                <w:rFonts w:eastAsia="Times New Roman"/>
                <w:color w:val="000000"/>
                <w:sz w:val="16"/>
                <w:szCs w:val="16"/>
                <w:lang w:eastAsia="en-AU"/>
              </w:rPr>
              <w:t>0</w:t>
            </w:r>
            <w:r w:rsidRPr="00BE7442">
              <w:rPr>
                <w:rFonts w:eastAsia="Times New Roman"/>
                <w:color w:val="000000"/>
                <w:sz w:val="16"/>
                <w:szCs w:val="16"/>
                <w:lang w:eastAsia="en-AU"/>
              </w:rPr>
              <w:t>2 Change in proportion of staff who left the service in the year prior to HCH vs. the final year of HCH.</w:t>
            </w:r>
          </w:p>
        </w:tc>
        <w:tc>
          <w:tcPr>
            <w:tcW w:w="1365" w:type="dxa"/>
          </w:tcPr>
          <w:p w14:paraId="0E35E5EF"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186" w:type="dxa"/>
            <w:shd w:val="clear" w:color="auto" w:fill="auto"/>
            <w:noWrap/>
          </w:tcPr>
          <w:p w14:paraId="44C2BB98" w14:textId="77777777" w:rsidR="001C19F3" w:rsidRPr="00BE7442" w:rsidRDefault="001C19F3" w:rsidP="00521305">
            <w:pPr>
              <w:spacing w:after="0" w:line="264" w:lineRule="auto"/>
              <w:jc w:val="center"/>
              <w:rPr>
                <w:rFonts w:eastAsia="Times New Roman"/>
                <w:color w:val="000000"/>
                <w:sz w:val="16"/>
                <w:szCs w:val="16"/>
                <w:lang w:eastAsia="en-AU"/>
              </w:rPr>
            </w:pPr>
          </w:p>
        </w:tc>
      </w:tr>
    </w:tbl>
    <w:p w14:paraId="071C7E26" w14:textId="77777777" w:rsidR="001C19F3" w:rsidRDefault="001C19F3" w:rsidP="001C19F3"/>
    <w:p w14:paraId="6B203F36" w14:textId="77777777" w:rsidR="001C19F3" w:rsidRDefault="001C19F3" w:rsidP="001C19F3">
      <w:pPr>
        <w:spacing w:after="160" w:line="259" w:lineRule="auto"/>
        <w:rPr>
          <w:rFonts w:eastAsiaTheme="majorEastAsia" w:cstheme="majorBidi"/>
          <w:color w:val="003D79"/>
          <w:sz w:val="40"/>
          <w:szCs w:val="26"/>
        </w:rPr>
      </w:pPr>
      <w:r>
        <w:br w:type="page"/>
      </w:r>
    </w:p>
    <w:p w14:paraId="4F25D86D" w14:textId="77777777" w:rsidR="001C19F3" w:rsidRPr="00B2094F" w:rsidRDefault="001C19F3" w:rsidP="001C19F3">
      <w:pPr>
        <w:spacing w:after="0"/>
        <w:rPr>
          <w:color w:val="003D79"/>
          <w:sz w:val="40"/>
          <w:szCs w:val="40"/>
        </w:rPr>
      </w:pPr>
      <w:r w:rsidRPr="00B2094F">
        <w:rPr>
          <w:color w:val="003D79"/>
          <w:sz w:val="40"/>
          <w:szCs w:val="40"/>
        </w:rPr>
        <w:lastRenderedPageBreak/>
        <w:t>Key question 3</w:t>
      </w:r>
    </w:p>
    <w:tbl>
      <w:tblPr>
        <w:tblW w:w="14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57" w:type="dxa"/>
          <w:bottom w:w="57" w:type="dxa"/>
          <w:right w:w="57" w:type="dxa"/>
        </w:tblCellMar>
        <w:tblLook w:val="04A0" w:firstRow="1" w:lastRow="0" w:firstColumn="1" w:lastColumn="0" w:noHBand="0" w:noVBand="1"/>
      </w:tblPr>
      <w:tblGrid>
        <w:gridCol w:w="4106"/>
        <w:gridCol w:w="7513"/>
        <w:gridCol w:w="1417"/>
        <w:gridCol w:w="1248"/>
      </w:tblGrid>
      <w:tr w:rsidR="001C19F3" w:rsidRPr="00BE7442" w14:paraId="61A63F24" w14:textId="77777777" w:rsidTr="00521305">
        <w:trPr>
          <w:trHeight w:val="1395"/>
          <w:tblHeader/>
        </w:trPr>
        <w:tc>
          <w:tcPr>
            <w:tcW w:w="4106" w:type="dxa"/>
            <w:tcBorders>
              <w:top w:val="nil"/>
              <w:bottom w:val="single" w:sz="4" w:space="0" w:color="D9D9D9" w:themeColor="background1" w:themeShade="D9"/>
            </w:tcBorders>
            <w:shd w:val="clear" w:color="auto" w:fill="003D79"/>
            <w:vAlign w:val="center"/>
          </w:tcPr>
          <w:p w14:paraId="79ECB751"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BE7442">
              <w:rPr>
                <w:rFonts w:eastAsia="Times New Roman"/>
                <w:b/>
                <w:bCs/>
                <w:color w:val="FFFFFF" w:themeColor="background1"/>
                <w:sz w:val="16"/>
                <w:szCs w:val="16"/>
                <w:lang w:eastAsia="en-AU"/>
              </w:rPr>
              <w:t>Key question 3: Detailed questions</w:t>
            </w:r>
          </w:p>
        </w:tc>
        <w:tc>
          <w:tcPr>
            <w:tcW w:w="7513" w:type="dxa"/>
            <w:tcBorders>
              <w:top w:val="nil"/>
              <w:bottom w:val="single" w:sz="4" w:space="0" w:color="D9D9D9" w:themeColor="background1" w:themeShade="D9"/>
            </w:tcBorders>
            <w:shd w:val="clear" w:color="auto" w:fill="003D79"/>
            <w:noWrap/>
            <w:vAlign w:val="center"/>
            <w:hideMark/>
          </w:tcPr>
          <w:p w14:paraId="0941A9F2"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BE7442">
              <w:rPr>
                <w:rFonts w:eastAsia="Times New Roman"/>
                <w:b/>
                <w:bCs/>
                <w:color w:val="FFFFFF" w:themeColor="background1"/>
                <w:sz w:val="16"/>
                <w:szCs w:val="16"/>
                <w:lang w:eastAsia="en-AU"/>
              </w:rPr>
              <w:t>Key question 3: Measures</w:t>
            </w:r>
          </w:p>
        </w:tc>
        <w:tc>
          <w:tcPr>
            <w:tcW w:w="1417" w:type="dxa"/>
            <w:tcBorders>
              <w:top w:val="nil"/>
              <w:bottom w:val="single" w:sz="4" w:space="0" w:color="D9D9D9" w:themeColor="background1" w:themeShade="D9"/>
            </w:tcBorders>
            <w:shd w:val="clear" w:color="auto" w:fill="003D79"/>
            <w:vAlign w:val="center"/>
          </w:tcPr>
          <w:p w14:paraId="372164C8" w14:textId="77777777" w:rsidR="001C19F3" w:rsidRPr="00BE7442" w:rsidRDefault="001C19F3" w:rsidP="00521305">
            <w:pPr>
              <w:spacing w:after="0" w:line="240" w:lineRule="auto"/>
              <w:ind w:left="106" w:hanging="106"/>
              <w:jc w:val="center"/>
              <w:rPr>
                <w:rFonts w:eastAsia="Times New Roman"/>
                <w:b/>
                <w:bCs/>
                <w:color w:val="FFFFFF" w:themeColor="background1"/>
                <w:sz w:val="16"/>
                <w:szCs w:val="16"/>
                <w:lang w:eastAsia="en-AU"/>
              </w:rPr>
            </w:pPr>
            <w:r>
              <w:rPr>
                <w:rFonts w:eastAsia="Times New Roman"/>
                <w:b/>
                <w:bCs/>
                <w:color w:val="FFFFFF" w:themeColor="background1"/>
                <w:sz w:val="16"/>
                <w:szCs w:val="16"/>
                <w:lang w:eastAsia="en-AU"/>
              </w:rPr>
              <w:t xml:space="preserve">Progress </w:t>
            </w:r>
            <w:r w:rsidRPr="00132C73">
              <w:rPr>
                <w:rFonts w:eastAsia="Times New Roman"/>
                <w:b/>
                <w:bCs/>
                <w:i/>
                <w:color w:val="FFFFFF" w:themeColor="background1"/>
                <w:sz w:val="14"/>
                <w:szCs w:val="14"/>
                <w:lang w:eastAsia="en-AU"/>
              </w:rPr>
              <w:t xml:space="preserve">(C=completed; P=partially covered in this report; N=not </w:t>
            </w:r>
            <w:r>
              <w:rPr>
                <w:rFonts w:eastAsia="Times New Roman"/>
                <w:b/>
                <w:bCs/>
                <w:i/>
                <w:color w:val="FFFFFF" w:themeColor="background1"/>
                <w:sz w:val="14"/>
                <w:szCs w:val="14"/>
                <w:lang w:eastAsia="en-AU"/>
              </w:rPr>
              <w:t>yet covered</w:t>
            </w:r>
            <w:r w:rsidRPr="00132C73">
              <w:rPr>
                <w:rFonts w:eastAsia="Times New Roman"/>
                <w:b/>
                <w:bCs/>
                <w:i/>
                <w:color w:val="FFFFFF" w:themeColor="background1"/>
                <w:sz w:val="14"/>
                <w:szCs w:val="14"/>
                <w:lang w:eastAsia="en-AU"/>
              </w:rPr>
              <w:t>)</w:t>
            </w:r>
          </w:p>
        </w:tc>
        <w:tc>
          <w:tcPr>
            <w:tcW w:w="1248" w:type="dxa"/>
            <w:tcBorders>
              <w:top w:val="nil"/>
              <w:bottom w:val="single" w:sz="4" w:space="0" w:color="D9D9D9" w:themeColor="background1" w:themeShade="D9"/>
            </w:tcBorders>
            <w:shd w:val="clear" w:color="auto" w:fill="003D79"/>
            <w:vAlign w:val="center"/>
            <w:hideMark/>
          </w:tcPr>
          <w:p w14:paraId="17242B85" w14:textId="77777777" w:rsidR="001C19F3" w:rsidRPr="00BE7442" w:rsidRDefault="001C19F3" w:rsidP="00521305">
            <w:pPr>
              <w:spacing w:after="0" w:line="240" w:lineRule="auto"/>
              <w:ind w:left="106" w:hanging="106"/>
              <w:jc w:val="center"/>
              <w:rPr>
                <w:rFonts w:eastAsia="Times New Roman"/>
                <w:b/>
                <w:bCs/>
                <w:color w:val="FFFFFF" w:themeColor="background1"/>
                <w:sz w:val="16"/>
                <w:szCs w:val="16"/>
                <w:lang w:eastAsia="en-AU"/>
              </w:rPr>
            </w:pPr>
            <w:r w:rsidRPr="006071F6">
              <w:rPr>
                <w:rFonts w:eastAsia="Times New Roman"/>
                <w:b/>
                <w:bCs/>
                <w:color w:val="FFFFFF" w:themeColor="background1"/>
                <w:sz w:val="16"/>
                <w:szCs w:val="16"/>
                <w:lang w:eastAsia="en-AU"/>
              </w:rPr>
              <w:t xml:space="preserve">Reference in </w:t>
            </w:r>
            <w:r>
              <w:rPr>
                <w:rFonts w:eastAsia="Times New Roman"/>
                <w:b/>
                <w:bCs/>
                <w:color w:val="FFFFFF" w:themeColor="background1"/>
                <w:sz w:val="16"/>
                <w:szCs w:val="16"/>
                <w:lang w:eastAsia="en-AU"/>
              </w:rPr>
              <w:t>Vol 2</w:t>
            </w:r>
          </w:p>
        </w:tc>
      </w:tr>
      <w:tr w:rsidR="001C19F3" w:rsidRPr="00BE7442" w14:paraId="380B44FF" w14:textId="77777777" w:rsidTr="00521305">
        <w:trPr>
          <w:trHeight w:val="155"/>
        </w:trPr>
        <w:tc>
          <w:tcPr>
            <w:tcW w:w="4106" w:type="dxa"/>
            <w:tcBorders>
              <w:bottom w:val="single" w:sz="4" w:space="0" w:color="D9D9D9" w:themeColor="background1" w:themeShade="D9"/>
              <w:right w:val="nil"/>
            </w:tcBorders>
            <w:shd w:val="clear" w:color="auto" w:fill="F2F2F2" w:themeFill="background1" w:themeFillShade="F2"/>
          </w:tcPr>
          <w:p w14:paraId="41D14043" w14:textId="77777777" w:rsidR="001C19F3" w:rsidRPr="00BE7442" w:rsidRDefault="001C19F3" w:rsidP="00521305">
            <w:pPr>
              <w:spacing w:after="0" w:line="240" w:lineRule="auto"/>
              <w:rPr>
                <w:rFonts w:ascii="Calibri" w:eastAsia="Times New Roman" w:hAnsi="Calibri"/>
                <w:b/>
                <w:bCs/>
                <w:color w:val="000000"/>
                <w:sz w:val="16"/>
                <w:szCs w:val="16"/>
                <w:lang w:eastAsia="en-AU"/>
              </w:rPr>
            </w:pPr>
            <w:r w:rsidRPr="00BE7442">
              <w:rPr>
                <w:rFonts w:eastAsia="Times New Roman"/>
                <w:b/>
                <w:bCs/>
                <w:color w:val="000000"/>
                <w:sz w:val="16"/>
                <w:szCs w:val="16"/>
                <w:lang w:eastAsia="en-AU"/>
              </w:rPr>
              <w:t>Level: Patient</w:t>
            </w:r>
          </w:p>
        </w:tc>
        <w:tc>
          <w:tcPr>
            <w:tcW w:w="7513" w:type="dxa"/>
            <w:tcBorders>
              <w:left w:val="nil"/>
              <w:right w:val="nil"/>
            </w:tcBorders>
            <w:shd w:val="clear" w:color="auto" w:fill="F2F2F2" w:themeFill="background1" w:themeFillShade="F2"/>
            <w:hideMark/>
          </w:tcPr>
          <w:p w14:paraId="139B31AB" w14:textId="77777777" w:rsidR="001C19F3" w:rsidRPr="00BE7442" w:rsidRDefault="001C19F3" w:rsidP="00521305">
            <w:pPr>
              <w:spacing w:after="0" w:line="240" w:lineRule="auto"/>
              <w:ind w:firstLineChars="100" w:firstLine="160"/>
              <w:rPr>
                <w:rFonts w:ascii="Calibri" w:eastAsia="Times New Roman" w:hAnsi="Calibri"/>
                <w:b/>
                <w:bCs/>
                <w:color w:val="000000"/>
                <w:sz w:val="16"/>
                <w:szCs w:val="16"/>
                <w:lang w:eastAsia="en-AU"/>
              </w:rPr>
            </w:pPr>
          </w:p>
        </w:tc>
        <w:tc>
          <w:tcPr>
            <w:tcW w:w="1417" w:type="dxa"/>
            <w:tcBorders>
              <w:left w:val="nil"/>
              <w:right w:val="nil"/>
            </w:tcBorders>
            <w:shd w:val="clear" w:color="auto" w:fill="F2F2F2" w:themeFill="background1" w:themeFillShade="F2"/>
          </w:tcPr>
          <w:p w14:paraId="43CD331B" w14:textId="77777777" w:rsidR="001C19F3" w:rsidRPr="00BE7442" w:rsidRDefault="001C19F3" w:rsidP="00521305">
            <w:pPr>
              <w:spacing w:after="0" w:line="240" w:lineRule="auto"/>
              <w:ind w:firstLineChars="100" w:firstLine="160"/>
              <w:jc w:val="center"/>
              <w:rPr>
                <w:rFonts w:eastAsia="Times New Roman"/>
                <w:b/>
                <w:bCs/>
                <w:color w:val="000000"/>
                <w:sz w:val="16"/>
                <w:szCs w:val="16"/>
                <w:lang w:eastAsia="en-AU"/>
              </w:rPr>
            </w:pPr>
          </w:p>
        </w:tc>
        <w:tc>
          <w:tcPr>
            <w:tcW w:w="1248" w:type="dxa"/>
            <w:tcBorders>
              <w:left w:val="nil"/>
              <w:right w:val="nil"/>
            </w:tcBorders>
            <w:shd w:val="clear" w:color="auto" w:fill="F2F2F2" w:themeFill="background1" w:themeFillShade="F2"/>
            <w:noWrap/>
            <w:hideMark/>
          </w:tcPr>
          <w:p w14:paraId="322E5F50" w14:textId="77777777" w:rsidR="001C19F3" w:rsidRPr="00BE7442" w:rsidRDefault="001C19F3" w:rsidP="00521305">
            <w:pPr>
              <w:spacing w:after="0" w:line="240" w:lineRule="auto"/>
              <w:ind w:firstLineChars="100" w:firstLine="160"/>
              <w:jc w:val="center"/>
              <w:rPr>
                <w:rFonts w:eastAsia="Times New Roman"/>
                <w:b/>
                <w:bCs/>
                <w:color w:val="000000"/>
                <w:sz w:val="16"/>
                <w:szCs w:val="16"/>
                <w:lang w:eastAsia="en-AU"/>
              </w:rPr>
            </w:pPr>
          </w:p>
        </w:tc>
      </w:tr>
      <w:tr w:rsidR="001C19F3" w:rsidRPr="00BE7442" w14:paraId="7072E8F6" w14:textId="77777777" w:rsidTr="00521305">
        <w:trPr>
          <w:trHeight w:val="300"/>
        </w:trPr>
        <w:tc>
          <w:tcPr>
            <w:tcW w:w="4106" w:type="dxa"/>
            <w:vMerge w:val="restart"/>
            <w:tcBorders>
              <w:bottom w:val="nil"/>
            </w:tcBorders>
          </w:tcPr>
          <w:p w14:paraId="2362C8AC"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 xml:space="preserve">3.01 What changes occurred in the quality of chronic illness care provided for patients enrolled in the HCH program, and how did these compare with patients receiving care from </w:t>
            </w:r>
            <w:r>
              <w:rPr>
                <w:rFonts w:eastAsia="Times New Roman"/>
                <w:bCs/>
                <w:color w:val="000000"/>
                <w:sz w:val="16"/>
                <w:szCs w:val="16"/>
                <w:lang w:eastAsia="en-AU"/>
              </w:rPr>
              <w:t>practices not enrolled in HCH</w:t>
            </w:r>
            <w:r w:rsidRPr="00BE7442">
              <w:rPr>
                <w:rFonts w:eastAsia="Times New Roman"/>
                <w:bCs/>
                <w:color w:val="000000"/>
                <w:sz w:val="16"/>
                <w:szCs w:val="16"/>
                <w:lang w:eastAsia="en-AU"/>
              </w:rPr>
              <w:t>? Was there an improvement in the provision of preventive services (e.g. influenza vaccination). Was there an improvement in the level of medications review and quality use of medicines?</w:t>
            </w:r>
          </w:p>
        </w:tc>
        <w:tc>
          <w:tcPr>
            <w:tcW w:w="7513" w:type="dxa"/>
            <w:shd w:val="clear" w:color="auto" w:fill="auto"/>
            <w:vAlign w:val="bottom"/>
          </w:tcPr>
          <w:p w14:paraId="1FB946C1"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3.01.</w:t>
            </w:r>
            <w:r>
              <w:rPr>
                <w:rFonts w:eastAsia="Times New Roman"/>
                <w:color w:val="000000"/>
                <w:sz w:val="16"/>
                <w:szCs w:val="16"/>
                <w:lang w:eastAsia="en-AU"/>
              </w:rPr>
              <w:t>0</w:t>
            </w:r>
            <w:r w:rsidRPr="00BE7442">
              <w:rPr>
                <w:rFonts w:eastAsia="Times New Roman"/>
                <w:color w:val="000000"/>
                <w:sz w:val="16"/>
                <w:szCs w:val="16"/>
                <w:lang w:eastAsia="en-AU"/>
              </w:rPr>
              <w:t>1 Change in the proportion of HCH patients with a diagnosis of Type 2 diabetes recorded in the practice system/inferred from other practice system data, for whom the results of a HbA1c test were recorded at least once in the previous six and in the previous 12 months compared with the change for comparator patients.</w:t>
            </w:r>
            <w:r>
              <w:rPr>
                <w:rFonts w:eastAsia="Times New Roman"/>
                <w:color w:val="000000"/>
                <w:sz w:val="16"/>
                <w:szCs w:val="16"/>
                <w:lang w:eastAsia="en-AU"/>
              </w:rPr>
              <w:t xml:space="preserve"> (See Note 1) (See Note 2)</w:t>
            </w:r>
          </w:p>
        </w:tc>
        <w:tc>
          <w:tcPr>
            <w:tcW w:w="1417" w:type="dxa"/>
          </w:tcPr>
          <w:p w14:paraId="21DC0C8B"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248" w:type="dxa"/>
            <w:shd w:val="clear" w:color="auto" w:fill="auto"/>
            <w:noWrap/>
          </w:tcPr>
          <w:p w14:paraId="11D9ED5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F6C0F59" w14:textId="77777777" w:rsidTr="00521305">
        <w:trPr>
          <w:trHeight w:val="300"/>
        </w:trPr>
        <w:tc>
          <w:tcPr>
            <w:tcW w:w="4106" w:type="dxa"/>
            <w:vMerge/>
            <w:tcBorders>
              <w:top w:val="single" w:sz="4" w:space="0" w:color="D9D9D9" w:themeColor="background1" w:themeShade="D9"/>
              <w:bottom w:val="nil"/>
            </w:tcBorders>
          </w:tcPr>
          <w:p w14:paraId="036014B7"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180760F6"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3.01.</w:t>
            </w:r>
            <w:r>
              <w:rPr>
                <w:rFonts w:eastAsia="Times New Roman"/>
                <w:color w:val="000000"/>
                <w:sz w:val="16"/>
                <w:szCs w:val="16"/>
                <w:lang w:eastAsia="en-AU"/>
              </w:rPr>
              <w:t>0</w:t>
            </w:r>
            <w:r w:rsidRPr="00BE7442">
              <w:rPr>
                <w:rFonts w:eastAsia="Times New Roman"/>
                <w:color w:val="000000"/>
                <w:sz w:val="16"/>
                <w:szCs w:val="16"/>
                <w:lang w:eastAsia="en-AU"/>
              </w:rPr>
              <w:t>2 Change in the proportion of HCH patients for whom a diagnosis of diabetes can be inferred from MBS/PBS claims, for whom a claim for a HbA1c test was made at least once in the previous six and in the previous 12 months compared with the change for comparator patients.</w:t>
            </w:r>
            <w:r>
              <w:rPr>
                <w:rFonts w:eastAsia="Times New Roman"/>
                <w:color w:val="000000"/>
                <w:sz w:val="16"/>
                <w:szCs w:val="16"/>
                <w:lang w:eastAsia="en-AU"/>
              </w:rPr>
              <w:t xml:space="preserve"> (See Note 2) </w:t>
            </w:r>
          </w:p>
        </w:tc>
        <w:tc>
          <w:tcPr>
            <w:tcW w:w="1417" w:type="dxa"/>
          </w:tcPr>
          <w:p w14:paraId="6E1F84D9"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248" w:type="dxa"/>
            <w:shd w:val="clear" w:color="auto" w:fill="auto"/>
            <w:noWrap/>
          </w:tcPr>
          <w:p w14:paraId="4A385D9C"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C16B493" w14:textId="77777777" w:rsidTr="00521305">
        <w:trPr>
          <w:trHeight w:val="300"/>
        </w:trPr>
        <w:tc>
          <w:tcPr>
            <w:tcW w:w="4106" w:type="dxa"/>
            <w:tcBorders>
              <w:top w:val="nil"/>
              <w:bottom w:val="nil"/>
            </w:tcBorders>
          </w:tcPr>
          <w:p w14:paraId="1F95B5D5"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4D6D607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3.01.</w:t>
            </w:r>
            <w:r>
              <w:rPr>
                <w:rFonts w:eastAsia="Times New Roman"/>
                <w:color w:val="000000"/>
                <w:sz w:val="16"/>
                <w:szCs w:val="16"/>
                <w:lang w:eastAsia="en-AU"/>
              </w:rPr>
              <w:t>0</w:t>
            </w:r>
            <w:r w:rsidRPr="00BE7442">
              <w:rPr>
                <w:rFonts w:eastAsia="Times New Roman"/>
                <w:color w:val="000000"/>
                <w:sz w:val="16"/>
                <w:szCs w:val="16"/>
                <w:lang w:eastAsia="en-AU"/>
              </w:rPr>
              <w:t>3 Change in the proportion of HCH patients for whom the results of a blood pressure assessment were recorded at least once in the previous six</w:t>
            </w:r>
            <w:r>
              <w:rPr>
                <w:rFonts w:eastAsia="Times New Roman"/>
                <w:color w:val="000000"/>
                <w:sz w:val="16"/>
                <w:szCs w:val="16"/>
                <w:lang w:eastAsia="en-AU"/>
              </w:rPr>
              <w:t xml:space="preserve"> and in the previous 12 months </w:t>
            </w:r>
            <w:r w:rsidRPr="00BE7442">
              <w:rPr>
                <w:rFonts w:eastAsia="Times New Roman"/>
                <w:color w:val="000000"/>
                <w:sz w:val="16"/>
                <w:szCs w:val="16"/>
                <w:lang w:eastAsia="en-AU"/>
              </w:rPr>
              <w:t>compared with the change for comparator patients.</w:t>
            </w:r>
            <w:r>
              <w:rPr>
                <w:rFonts w:eastAsia="Times New Roman"/>
                <w:color w:val="000000"/>
                <w:sz w:val="16"/>
                <w:szCs w:val="16"/>
                <w:lang w:eastAsia="en-AU"/>
              </w:rPr>
              <w:t xml:space="preserve"> (See Note 2)</w:t>
            </w:r>
            <w:r w:rsidRPr="00BE7442">
              <w:rPr>
                <w:rFonts w:eastAsia="Times New Roman"/>
                <w:color w:val="000000"/>
                <w:sz w:val="16"/>
                <w:szCs w:val="16"/>
                <w:lang w:eastAsia="en-AU"/>
              </w:rPr>
              <w:t xml:space="preserve"> Patients with a diagnosis of Type 2 diabetes will be analysed separately.</w:t>
            </w:r>
            <w:r>
              <w:rPr>
                <w:rFonts w:eastAsia="Times New Roman"/>
                <w:color w:val="000000"/>
                <w:sz w:val="16"/>
                <w:szCs w:val="16"/>
                <w:lang w:eastAsia="en-AU"/>
              </w:rPr>
              <w:t xml:space="preserve"> (See Note 1)</w:t>
            </w:r>
          </w:p>
        </w:tc>
        <w:tc>
          <w:tcPr>
            <w:tcW w:w="1417" w:type="dxa"/>
          </w:tcPr>
          <w:p w14:paraId="781A2531" w14:textId="77777777" w:rsidR="001C19F3" w:rsidRPr="00BE7442" w:rsidRDefault="001C19F3" w:rsidP="00521305">
            <w:pPr>
              <w:spacing w:after="0" w:line="264" w:lineRule="auto"/>
              <w:jc w:val="center"/>
              <w:rPr>
                <w:rFonts w:eastAsia="Times New Roman"/>
                <w:color w:val="000000"/>
                <w:sz w:val="16"/>
                <w:szCs w:val="16"/>
                <w:lang w:eastAsia="en-AU"/>
              </w:rPr>
            </w:pPr>
            <w:r w:rsidRPr="000642B6">
              <w:rPr>
                <w:rFonts w:eastAsia="Times New Roman"/>
                <w:color w:val="000000"/>
                <w:sz w:val="16"/>
                <w:szCs w:val="16"/>
                <w:lang w:eastAsia="en-AU"/>
              </w:rPr>
              <w:t>N</w:t>
            </w:r>
          </w:p>
        </w:tc>
        <w:tc>
          <w:tcPr>
            <w:tcW w:w="1248" w:type="dxa"/>
            <w:shd w:val="clear" w:color="auto" w:fill="auto"/>
            <w:noWrap/>
          </w:tcPr>
          <w:p w14:paraId="1E11CDF3"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A6BB056" w14:textId="77777777" w:rsidTr="00521305">
        <w:trPr>
          <w:trHeight w:val="300"/>
        </w:trPr>
        <w:tc>
          <w:tcPr>
            <w:tcW w:w="4106" w:type="dxa"/>
            <w:tcBorders>
              <w:top w:val="nil"/>
              <w:bottom w:val="nil"/>
            </w:tcBorders>
          </w:tcPr>
          <w:p w14:paraId="7E1A484F"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515507E4" w14:textId="77777777" w:rsidR="001C19F3" w:rsidRPr="00C66864" w:rsidRDefault="001C19F3" w:rsidP="00521305">
            <w:pPr>
              <w:spacing w:after="0" w:line="264" w:lineRule="auto"/>
              <w:ind w:left="593" w:hanging="567"/>
              <w:rPr>
                <w:rFonts w:eastAsia="Times New Roman"/>
                <w:color w:val="000000"/>
                <w:sz w:val="16"/>
                <w:szCs w:val="16"/>
                <w:lang w:eastAsia="en-AU"/>
              </w:rPr>
            </w:pPr>
            <w:r w:rsidRPr="00C66864">
              <w:rPr>
                <w:rFonts w:eastAsia="Times New Roman"/>
                <w:color w:val="000000"/>
                <w:sz w:val="16"/>
                <w:szCs w:val="16"/>
                <w:lang w:eastAsia="en-AU"/>
              </w:rPr>
              <w:t>3.01.</w:t>
            </w:r>
            <w:r>
              <w:rPr>
                <w:rFonts w:eastAsia="Times New Roman"/>
                <w:color w:val="000000"/>
                <w:sz w:val="16"/>
                <w:szCs w:val="16"/>
                <w:lang w:eastAsia="en-AU"/>
              </w:rPr>
              <w:t>0</w:t>
            </w:r>
            <w:r w:rsidRPr="00C66864">
              <w:rPr>
                <w:rFonts w:eastAsia="Times New Roman"/>
                <w:color w:val="000000"/>
                <w:sz w:val="16"/>
                <w:szCs w:val="16"/>
                <w:lang w:eastAsia="en-AU"/>
              </w:rPr>
              <w:t>4 Change in the proportion of HCH patients or whom the results of a lipid test were recorded in the practice system at least once in the previous six and in the previous 12 months compared with the change for comparator patients.</w:t>
            </w:r>
            <w:r>
              <w:rPr>
                <w:rFonts w:eastAsia="Times New Roman"/>
                <w:color w:val="000000"/>
                <w:sz w:val="16"/>
                <w:szCs w:val="16"/>
                <w:lang w:eastAsia="en-AU"/>
              </w:rPr>
              <w:t xml:space="preserve"> (See Note 1) (See Note 2)</w:t>
            </w:r>
          </w:p>
        </w:tc>
        <w:tc>
          <w:tcPr>
            <w:tcW w:w="1417" w:type="dxa"/>
          </w:tcPr>
          <w:p w14:paraId="461CA625" w14:textId="77777777" w:rsidR="001C19F3" w:rsidRPr="00BE7442" w:rsidRDefault="001C19F3" w:rsidP="00521305">
            <w:pPr>
              <w:spacing w:after="0" w:line="264" w:lineRule="auto"/>
              <w:jc w:val="center"/>
              <w:rPr>
                <w:rFonts w:eastAsia="Times New Roman"/>
                <w:color w:val="000000"/>
                <w:sz w:val="16"/>
                <w:szCs w:val="16"/>
                <w:lang w:eastAsia="en-AU"/>
              </w:rPr>
            </w:pPr>
            <w:r w:rsidRPr="000642B6">
              <w:rPr>
                <w:rFonts w:eastAsia="Times New Roman"/>
                <w:color w:val="000000"/>
                <w:sz w:val="16"/>
                <w:szCs w:val="16"/>
                <w:lang w:eastAsia="en-AU"/>
              </w:rPr>
              <w:t>N</w:t>
            </w:r>
          </w:p>
        </w:tc>
        <w:tc>
          <w:tcPr>
            <w:tcW w:w="1248" w:type="dxa"/>
            <w:shd w:val="clear" w:color="auto" w:fill="auto"/>
            <w:noWrap/>
          </w:tcPr>
          <w:p w14:paraId="541EBDFF"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1982201C" w14:textId="77777777" w:rsidTr="00521305">
        <w:trPr>
          <w:trHeight w:val="300"/>
        </w:trPr>
        <w:tc>
          <w:tcPr>
            <w:tcW w:w="4106" w:type="dxa"/>
            <w:tcBorders>
              <w:top w:val="nil"/>
              <w:bottom w:val="nil"/>
            </w:tcBorders>
          </w:tcPr>
          <w:p w14:paraId="50589EC5"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72CFC900" w14:textId="77777777" w:rsidR="001C19F3" w:rsidRPr="00C9294A" w:rsidRDefault="001C19F3" w:rsidP="00521305">
            <w:pPr>
              <w:spacing w:after="0" w:line="264" w:lineRule="auto"/>
              <w:ind w:left="593" w:hanging="567"/>
              <w:rPr>
                <w:rFonts w:eastAsia="Times New Roman"/>
                <w:color w:val="000000"/>
                <w:sz w:val="16"/>
                <w:szCs w:val="16"/>
                <w:highlight w:val="yellow"/>
                <w:lang w:eastAsia="en-AU"/>
              </w:rPr>
            </w:pPr>
            <w:r w:rsidRPr="0061402B">
              <w:rPr>
                <w:rFonts w:eastAsia="Times New Roman"/>
                <w:color w:val="000000"/>
                <w:sz w:val="16"/>
                <w:szCs w:val="16"/>
                <w:lang w:eastAsia="en-AU"/>
              </w:rPr>
              <w:t>3.01.</w:t>
            </w:r>
            <w:r>
              <w:rPr>
                <w:rFonts w:eastAsia="Times New Roman"/>
                <w:color w:val="000000"/>
                <w:sz w:val="16"/>
                <w:szCs w:val="16"/>
                <w:lang w:eastAsia="en-AU"/>
              </w:rPr>
              <w:t>05</w:t>
            </w:r>
            <w:r w:rsidRPr="0061402B">
              <w:rPr>
                <w:rFonts w:eastAsia="Times New Roman"/>
                <w:color w:val="000000"/>
                <w:sz w:val="16"/>
                <w:szCs w:val="16"/>
                <w:lang w:eastAsia="en-AU"/>
              </w:rPr>
              <w:t xml:space="preserve"> Change in the proportion of HCH patients with a diagnosis of Type 2 diabetes and patients who had a cardiovascular disease diagnosis recorded in the practice system/inferred from other practice system data, for whom the results of a kidney function test (estimated glomerular filtration rate (eGFR) and/ or an albumin/creatinine ratio (ACR) or other micro albumin test result) was recorded at least once in the previous 12 months compared with the change for comparator patients.</w:t>
            </w:r>
            <w:r>
              <w:rPr>
                <w:rFonts w:eastAsia="Times New Roman"/>
                <w:color w:val="000000"/>
                <w:sz w:val="16"/>
                <w:szCs w:val="16"/>
                <w:lang w:eastAsia="en-AU"/>
              </w:rPr>
              <w:t xml:space="preserve"> (See Note 1) (See Note 2)</w:t>
            </w:r>
          </w:p>
        </w:tc>
        <w:tc>
          <w:tcPr>
            <w:tcW w:w="1417" w:type="dxa"/>
          </w:tcPr>
          <w:p w14:paraId="285EF23F" w14:textId="77777777" w:rsidR="001C19F3" w:rsidRPr="00BE7442" w:rsidRDefault="001C19F3" w:rsidP="00521305">
            <w:pPr>
              <w:spacing w:after="0" w:line="264" w:lineRule="auto"/>
              <w:jc w:val="center"/>
              <w:rPr>
                <w:rFonts w:eastAsia="Times New Roman"/>
                <w:color w:val="000000"/>
                <w:sz w:val="16"/>
                <w:szCs w:val="16"/>
                <w:lang w:eastAsia="en-AU"/>
              </w:rPr>
            </w:pPr>
            <w:r w:rsidRPr="000642B6">
              <w:rPr>
                <w:rFonts w:eastAsia="Times New Roman"/>
                <w:color w:val="000000"/>
                <w:sz w:val="16"/>
                <w:szCs w:val="16"/>
                <w:lang w:eastAsia="en-AU"/>
              </w:rPr>
              <w:t>N</w:t>
            </w:r>
          </w:p>
        </w:tc>
        <w:tc>
          <w:tcPr>
            <w:tcW w:w="1248" w:type="dxa"/>
            <w:shd w:val="clear" w:color="auto" w:fill="auto"/>
            <w:noWrap/>
            <w:hideMark/>
          </w:tcPr>
          <w:p w14:paraId="5D802E6E"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205214F" w14:textId="77777777" w:rsidTr="00521305">
        <w:trPr>
          <w:trHeight w:val="300"/>
        </w:trPr>
        <w:tc>
          <w:tcPr>
            <w:tcW w:w="4106" w:type="dxa"/>
            <w:vMerge w:val="restart"/>
            <w:tcBorders>
              <w:top w:val="nil"/>
            </w:tcBorders>
          </w:tcPr>
          <w:p w14:paraId="30168619"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6B234233"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3.01.</w:t>
            </w:r>
            <w:r>
              <w:rPr>
                <w:rFonts w:eastAsia="Times New Roman"/>
                <w:color w:val="000000"/>
                <w:sz w:val="16"/>
                <w:szCs w:val="16"/>
                <w:lang w:eastAsia="en-AU"/>
              </w:rPr>
              <w:t>06</w:t>
            </w:r>
            <w:r w:rsidRPr="00BE7442">
              <w:rPr>
                <w:rFonts w:eastAsia="Times New Roman"/>
                <w:color w:val="000000"/>
                <w:sz w:val="16"/>
                <w:szCs w:val="16"/>
                <w:lang w:eastAsia="en-AU"/>
              </w:rPr>
              <w:t xml:space="preserve"> Change in the proportion of HCH patients for whom a claim for a lipid test was made at least once in the previous 12 months compared with the change for comparator patients.</w:t>
            </w:r>
            <w:r>
              <w:rPr>
                <w:rFonts w:eastAsia="Times New Roman"/>
                <w:color w:val="000000"/>
                <w:sz w:val="16"/>
                <w:szCs w:val="16"/>
                <w:lang w:eastAsia="en-AU"/>
              </w:rPr>
              <w:t xml:space="preserve"> (See Note 1) (See Note 2)</w:t>
            </w:r>
          </w:p>
        </w:tc>
        <w:tc>
          <w:tcPr>
            <w:tcW w:w="1417" w:type="dxa"/>
          </w:tcPr>
          <w:p w14:paraId="42AF858E" w14:textId="77777777" w:rsidR="001C19F3" w:rsidRPr="00BE7442" w:rsidRDefault="001C19F3" w:rsidP="00521305">
            <w:pPr>
              <w:spacing w:after="0" w:line="264" w:lineRule="auto"/>
              <w:jc w:val="center"/>
              <w:rPr>
                <w:rFonts w:eastAsia="Times New Roman"/>
                <w:color w:val="000000"/>
                <w:sz w:val="16"/>
                <w:szCs w:val="16"/>
                <w:lang w:eastAsia="en-AU"/>
              </w:rPr>
            </w:pPr>
            <w:r w:rsidRPr="000642B6">
              <w:rPr>
                <w:rFonts w:eastAsia="Times New Roman"/>
                <w:color w:val="000000"/>
                <w:sz w:val="16"/>
                <w:szCs w:val="16"/>
                <w:lang w:eastAsia="en-AU"/>
              </w:rPr>
              <w:t>N</w:t>
            </w:r>
          </w:p>
        </w:tc>
        <w:tc>
          <w:tcPr>
            <w:tcW w:w="1248" w:type="dxa"/>
            <w:shd w:val="clear" w:color="auto" w:fill="auto"/>
            <w:noWrap/>
            <w:hideMark/>
          </w:tcPr>
          <w:p w14:paraId="62A3692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4B55B1E3" w14:textId="77777777" w:rsidTr="00521305">
        <w:trPr>
          <w:trHeight w:val="300"/>
        </w:trPr>
        <w:tc>
          <w:tcPr>
            <w:tcW w:w="4106" w:type="dxa"/>
            <w:vMerge/>
            <w:tcBorders>
              <w:top w:val="nil"/>
            </w:tcBorders>
          </w:tcPr>
          <w:p w14:paraId="09DB9304"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47A3C696"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C8683B">
              <w:rPr>
                <w:rFonts w:eastAsia="Times New Roman"/>
                <w:color w:val="000000"/>
                <w:sz w:val="16"/>
                <w:szCs w:val="16"/>
                <w:lang w:eastAsia="en-AU"/>
              </w:rPr>
              <w:t>3.01.</w:t>
            </w:r>
            <w:r>
              <w:rPr>
                <w:rFonts w:eastAsia="Times New Roman"/>
                <w:color w:val="000000"/>
                <w:sz w:val="16"/>
                <w:szCs w:val="16"/>
                <w:lang w:eastAsia="en-AU"/>
              </w:rPr>
              <w:t>06a</w:t>
            </w:r>
            <w:r w:rsidRPr="00C8683B">
              <w:rPr>
                <w:rFonts w:eastAsia="Times New Roman"/>
                <w:color w:val="000000"/>
                <w:sz w:val="16"/>
                <w:szCs w:val="16"/>
                <w:lang w:eastAsia="en-AU"/>
              </w:rPr>
              <w:t xml:space="preserve"> Change in the proportion of HCH patients whose smoking status has been recorded. (See Note 1) (See Note 2)</w:t>
            </w:r>
          </w:p>
        </w:tc>
        <w:tc>
          <w:tcPr>
            <w:tcW w:w="1417" w:type="dxa"/>
          </w:tcPr>
          <w:p w14:paraId="710642EE" w14:textId="77777777" w:rsidR="001C19F3" w:rsidRPr="00BE7442" w:rsidRDefault="001C19F3" w:rsidP="00521305">
            <w:pPr>
              <w:spacing w:after="0" w:line="264" w:lineRule="auto"/>
              <w:jc w:val="center"/>
              <w:rPr>
                <w:rFonts w:eastAsia="Times New Roman"/>
                <w:color w:val="000000"/>
                <w:sz w:val="16"/>
                <w:szCs w:val="16"/>
                <w:lang w:eastAsia="en-AU"/>
              </w:rPr>
            </w:pPr>
            <w:r w:rsidRPr="0070148A">
              <w:rPr>
                <w:rFonts w:eastAsia="Times New Roman"/>
                <w:color w:val="000000"/>
                <w:sz w:val="16"/>
                <w:szCs w:val="16"/>
                <w:lang w:eastAsia="en-AU"/>
              </w:rPr>
              <w:t>N</w:t>
            </w:r>
          </w:p>
        </w:tc>
        <w:tc>
          <w:tcPr>
            <w:tcW w:w="1248" w:type="dxa"/>
            <w:shd w:val="clear" w:color="auto" w:fill="auto"/>
            <w:noWrap/>
          </w:tcPr>
          <w:p w14:paraId="18428785"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EB5C694" w14:textId="77777777" w:rsidTr="00521305">
        <w:trPr>
          <w:trHeight w:val="300"/>
        </w:trPr>
        <w:tc>
          <w:tcPr>
            <w:tcW w:w="4106" w:type="dxa"/>
            <w:vMerge/>
            <w:tcBorders>
              <w:top w:val="nil"/>
            </w:tcBorders>
          </w:tcPr>
          <w:p w14:paraId="319630A0"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69D437D3"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C8683B">
              <w:rPr>
                <w:rFonts w:eastAsia="Times New Roman"/>
                <w:color w:val="000000"/>
                <w:sz w:val="16"/>
                <w:szCs w:val="16"/>
                <w:lang w:eastAsia="en-AU"/>
              </w:rPr>
              <w:t>3.01.</w:t>
            </w:r>
            <w:r>
              <w:rPr>
                <w:rFonts w:eastAsia="Times New Roman"/>
                <w:color w:val="000000"/>
                <w:sz w:val="16"/>
                <w:szCs w:val="16"/>
                <w:lang w:eastAsia="en-AU"/>
              </w:rPr>
              <w:t>06b</w:t>
            </w:r>
            <w:r w:rsidRPr="00C8683B">
              <w:rPr>
                <w:rFonts w:eastAsia="Times New Roman"/>
                <w:color w:val="000000"/>
                <w:sz w:val="16"/>
                <w:szCs w:val="16"/>
                <w:lang w:eastAsia="en-AU"/>
              </w:rPr>
              <w:t xml:space="preserve"> Change in the proportion of HCH patients </w:t>
            </w:r>
            <w:r>
              <w:rPr>
                <w:rFonts w:eastAsia="Times New Roman"/>
                <w:color w:val="000000"/>
                <w:sz w:val="16"/>
                <w:szCs w:val="16"/>
                <w:lang w:eastAsia="en-AU"/>
              </w:rPr>
              <w:t>for whom information has been recorded in the practice clinical management system to enable calculation of BMI</w:t>
            </w:r>
            <w:r w:rsidRPr="00C8683B">
              <w:rPr>
                <w:rFonts w:eastAsia="Times New Roman"/>
                <w:color w:val="000000"/>
                <w:sz w:val="16"/>
                <w:szCs w:val="16"/>
                <w:lang w:eastAsia="en-AU"/>
              </w:rPr>
              <w:t>. (See Note 1) (See Note 2)</w:t>
            </w:r>
          </w:p>
        </w:tc>
        <w:tc>
          <w:tcPr>
            <w:tcW w:w="1417" w:type="dxa"/>
          </w:tcPr>
          <w:p w14:paraId="0D6E815B" w14:textId="77777777" w:rsidR="001C19F3" w:rsidRPr="00BE7442" w:rsidRDefault="001C19F3" w:rsidP="00521305">
            <w:pPr>
              <w:spacing w:after="0" w:line="264" w:lineRule="auto"/>
              <w:jc w:val="center"/>
              <w:rPr>
                <w:rFonts w:eastAsia="Times New Roman"/>
                <w:color w:val="000000"/>
                <w:sz w:val="16"/>
                <w:szCs w:val="16"/>
                <w:lang w:eastAsia="en-AU"/>
              </w:rPr>
            </w:pPr>
            <w:r w:rsidRPr="0070148A">
              <w:rPr>
                <w:rFonts w:eastAsia="Times New Roman"/>
                <w:color w:val="000000"/>
                <w:sz w:val="16"/>
                <w:szCs w:val="16"/>
                <w:lang w:eastAsia="en-AU"/>
              </w:rPr>
              <w:t>N</w:t>
            </w:r>
          </w:p>
        </w:tc>
        <w:tc>
          <w:tcPr>
            <w:tcW w:w="1248" w:type="dxa"/>
            <w:shd w:val="clear" w:color="auto" w:fill="auto"/>
            <w:noWrap/>
          </w:tcPr>
          <w:p w14:paraId="63654285"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4F77F84" w14:textId="77777777" w:rsidTr="00521305">
        <w:trPr>
          <w:trHeight w:val="300"/>
        </w:trPr>
        <w:tc>
          <w:tcPr>
            <w:tcW w:w="4106" w:type="dxa"/>
            <w:vMerge/>
            <w:tcBorders>
              <w:top w:val="nil"/>
            </w:tcBorders>
          </w:tcPr>
          <w:p w14:paraId="5E8FE292"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50F3EDD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C8683B">
              <w:rPr>
                <w:rFonts w:eastAsia="Times New Roman"/>
                <w:color w:val="000000"/>
                <w:sz w:val="16"/>
                <w:szCs w:val="16"/>
                <w:lang w:eastAsia="en-AU"/>
              </w:rPr>
              <w:t>3.01.</w:t>
            </w:r>
            <w:r>
              <w:rPr>
                <w:rFonts w:eastAsia="Times New Roman"/>
                <w:color w:val="000000"/>
                <w:sz w:val="16"/>
                <w:szCs w:val="16"/>
                <w:lang w:eastAsia="en-AU"/>
              </w:rPr>
              <w:t>06c</w:t>
            </w:r>
            <w:r w:rsidRPr="00C8683B">
              <w:rPr>
                <w:rFonts w:eastAsia="Times New Roman"/>
                <w:color w:val="000000"/>
                <w:sz w:val="16"/>
                <w:szCs w:val="16"/>
                <w:lang w:eastAsia="en-AU"/>
              </w:rPr>
              <w:t xml:space="preserve"> Change in the proportion of HCH patients who are immunised against influ</w:t>
            </w:r>
            <w:r>
              <w:rPr>
                <w:rFonts w:eastAsia="Times New Roman"/>
                <w:color w:val="000000"/>
                <w:sz w:val="16"/>
                <w:szCs w:val="16"/>
                <w:lang w:eastAsia="en-AU"/>
              </w:rPr>
              <w:t>enza. (See Note 1) (See Note 2)</w:t>
            </w:r>
          </w:p>
        </w:tc>
        <w:tc>
          <w:tcPr>
            <w:tcW w:w="1417" w:type="dxa"/>
          </w:tcPr>
          <w:p w14:paraId="38F7C258" w14:textId="77777777" w:rsidR="001C19F3" w:rsidRPr="00BE7442" w:rsidRDefault="001C19F3" w:rsidP="00521305">
            <w:pPr>
              <w:spacing w:after="0" w:line="264" w:lineRule="auto"/>
              <w:jc w:val="center"/>
              <w:rPr>
                <w:rFonts w:eastAsia="Times New Roman"/>
                <w:color w:val="000000"/>
                <w:sz w:val="16"/>
                <w:szCs w:val="16"/>
                <w:lang w:eastAsia="en-AU"/>
              </w:rPr>
            </w:pPr>
            <w:r w:rsidRPr="0070148A">
              <w:rPr>
                <w:rFonts w:eastAsia="Times New Roman"/>
                <w:color w:val="000000"/>
                <w:sz w:val="16"/>
                <w:szCs w:val="16"/>
                <w:lang w:eastAsia="en-AU"/>
              </w:rPr>
              <w:t>N</w:t>
            </w:r>
          </w:p>
        </w:tc>
        <w:tc>
          <w:tcPr>
            <w:tcW w:w="1248" w:type="dxa"/>
            <w:shd w:val="clear" w:color="auto" w:fill="auto"/>
            <w:noWrap/>
          </w:tcPr>
          <w:p w14:paraId="13E78C21"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0511689C" w14:textId="77777777" w:rsidTr="00521305">
        <w:trPr>
          <w:trHeight w:val="300"/>
        </w:trPr>
        <w:tc>
          <w:tcPr>
            <w:tcW w:w="4106" w:type="dxa"/>
            <w:vMerge/>
            <w:tcBorders>
              <w:top w:val="nil"/>
            </w:tcBorders>
          </w:tcPr>
          <w:p w14:paraId="15E3C745"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5E604D26"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C8683B">
              <w:rPr>
                <w:rFonts w:eastAsia="Times New Roman"/>
                <w:color w:val="000000"/>
                <w:sz w:val="16"/>
                <w:szCs w:val="16"/>
                <w:lang w:eastAsia="en-AU"/>
              </w:rPr>
              <w:t>3.01.</w:t>
            </w:r>
            <w:r>
              <w:rPr>
                <w:rFonts w:eastAsia="Times New Roman"/>
                <w:color w:val="000000"/>
                <w:sz w:val="16"/>
                <w:szCs w:val="16"/>
                <w:lang w:eastAsia="en-AU"/>
              </w:rPr>
              <w:t>06d</w:t>
            </w:r>
            <w:r w:rsidRPr="00C8683B">
              <w:rPr>
                <w:rFonts w:eastAsia="Times New Roman"/>
                <w:color w:val="000000"/>
                <w:sz w:val="16"/>
                <w:szCs w:val="16"/>
                <w:lang w:eastAsia="en-AU"/>
              </w:rPr>
              <w:t xml:space="preserve"> Change in the proportion of HCH patients who have had the necessary risk factors assessed to enable </w:t>
            </w:r>
            <w:r>
              <w:rPr>
                <w:rFonts w:eastAsia="Times New Roman"/>
                <w:color w:val="000000"/>
                <w:sz w:val="16"/>
                <w:szCs w:val="16"/>
                <w:lang w:eastAsia="en-AU"/>
              </w:rPr>
              <w:t>cardiovascular disease</w:t>
            </w:r>
            <w:r w:rsidRPr="00C8683B">
              <w:rPr>
                <w:rFonts w:eastAsia="Times New Roman"/>
                <w:color w:val="000000"/>
                <w:sz w:val="16"/>
                <w:szCs w:val="16"/>
                <w:lang w:eastAsia="en-AU"/>
              </w:rPr>
              <w:t xml:space="preserve"> assessment (including </w:t>
            </w:r>
            <w:r>
              <w:rPr>
                <w:rFonts w:eastAsia="Times New Roman"/>
                <w:color w:val="000000"/>
                <w:sz w:val="16"/>
                <w:szCs w:val="16"/>
                <w:lang w:eastAsia="en-AU"/>
              </w:rPr>
              <w:t xml:space="preserve">age, </w:t>
            </w:r>
            <w:r w:rsidRPr="00C8683B">
              <w:rPr>
                <w:rFonts w:eastAsia="Times New Roman"/>
                <w:color w:val="000000"/>
                <w:sz w:val="16"/>
                <w:szCs w:val="16"/>
                <w:lang w:eastAsia="en-AU"/>
              </w:rPr>
              <w:t xml:space="preserve">smoking status, </w:t>
            </w:r>
            <w:r>
              <w:rPr>
                <w:rFonts w:eastAsia="Times New Roman"/>
                <w:color w:val="000000"/>
                <w:sz w:val="16"/>
                <w:szCs w:val="16"/>
                <w:lang w:eastAsia="en-AU"/>
              </w:rPr>
              <w:t>cholesterol and blood pressure).</w:t>
            </w:r>
            <w:r w:rsidRPr="00C8683B">
              <w:rPr>
                <w:rFonts w:eastAsia="Times New Roman"/>
                <w:color w:val="000000"/>
                <w:sz w:val="16"/>
                <w:szCs w:val="16"/>
                <w:lang w:eastAsia="en-AU"/>
              </w:rPr>
              <w:t xml:space="preserve"> (See Note 1) (See Note 2) </w:t>
            </w:r>
          </w:p>
        </w:tc>
        <w:tc>
          <w:tcPr>
            <w:tcW w:w="1417" w:type="dxa"/>
          </w:tcPr>
          <w:p w14:paraId="2F7C95A7" w14:textId="77777777" w:rsidR="001C19F3" w:rsidRPr="00BE7442" w:rsidRDefault="001C19F3" w:rsidP="00521305">
            <w:pPr>
              <w:spacing w:after="0" w:line="264" w:lineRule="auto"/>
              <w:jc w:val="center"/>
              <w:rPr>
                <w:rFonts w:eastAsia="Times New Roman"/>
                <w:color w:val="000000"/>
                <w:sz w:val="16"/>
                <w:szCs w:val="16"/>
                <w:lang w:eastAsia="en-AU"/>
              </w:rPr>
            </w:pPr>
            <w:r w:rsidRPr="0070148A">
              <w:rPr>
                <w:rFonts w:eastAsia="Times New Roman"/>
                <w:color w:val="000000"/>
                <w:sz w:val="16"/>
                <w:szCs w:val="16"/>
                <w:lang w:eastAsia="en-AU"/>
              </w:rPr>
              <w:t>N</w:t>
            </w:r>
          </w:p>
        </w:tc>
        <w:tc>
          <w:tcPr>
            <w:tcW w:w="1248" w:type="dxa"/>
            <w:shd w:val="clear" w:color="auto" w:fill="auto"/>
            <w:noWrap/>
          </w:tcPr>
          <w:p w14:paraId="59860241"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046A6150" w14:textId="77777777" w:rsidTr="00521305">
        <w:trPr>
          <w:trHeight w:val="300"/>
        </w:trPr>
        <w:tc>
          <w:tcPr>
            <w:tcW w:w="4106" w:type="dxa"/>
            <w:vMerge/>
            <w:tcBorders>
              <w:top w:val="nil"/>
              <w:bottom w:val="nil"/>
            </w:tcBorders>
          </w:tcPr>
          <w:p w14:paraId="07E6D8DB"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3E19F52B" w14:textId="77777777" w:rsidR="001C19F3"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3.01.</w:t>
            </w:r>
            <w:r>
              <w:rPr>
                <w:rFonts w:eastAsia="Times New Roman"/>
                <w:color w:val="000000"/>
                <w:sz w:val="16"/>
                <w:szCs w:val="16"/>
                <w:lang w:eastAsia="en-AU"/>
              </w:rPr>
              <w:t>07</w:t>
            </w:r>
            <w:r w:rsidRPr="00BE7442">
              <w:rPr>
                <w:rFonts w:eastAsia="Times New Roman"/>
                <w:color w:val="000000"/>
                <w:sz w:val="16"/>
                <w:szCs w:val="16"/>
                <w:lang w:eastAsia="en-AU"/>
              </w:rPr>
              <w:t xml:space="preserve"> </w:t>
            </w:r>
            <w:r w:rsidRPr="0013007A">
              <w:rPr>
                <w:rFonts w:eastAsia="Times New Roman"/>
                <w:color w:val="000000"/>
                <w:sz w:val="16"/>
                <w:szCs w:val="16"/>
                <w:lang w:eastAsia="en-AU"/>
              </w:rPr>
              <w:t xml:space="preserve">Change in the proportion of patients for whom a claim for a GP management plan or review (MBS items 721) was made in the previous </w:t>
            </w:r>
            <w:r>
              <w:rPr>
                <w:rFonts w:eastAsia="Times New Roman"/>
                <w:color w:val="000000"/>
                <w:sz w:val="16"/>
                <w:szCs w:val="16"/>
                <w:lang w:eastAsia="en-AU"/>
              </w:rPr>
              <w:t xml:space="preserve">24 </w:t>
            </w:r>
            <w:r w:rsidRPr="0013007A">
              <w:rPr>
                <w:rFonts w:eastAsia="Times New Roman"/>
                <w:color w:val="000000"/>
                <w:sz w:val="16"/>
                <w:szCs w:val="16"/>
                <w:lang w:eastAsia="en-AU"/>
              </w:rPr>
              <w:t xml:space="preserve">months </w:t>
            </w:r>
            <w:r>
              <w:rPr>
                <w:rFonts w:eastAsia="Times New Roman"/>
                <w:color w:val="000000"/>
                <w:sz w:val="16"/>
                <w:szCs w:val="16"/>
                <w:lang w:eastAsia="en-AU"/>
              </w:rPr>
              <w:t xml:space="preserve">(with additional analysis conducted on </w:t>
            </w:r>
            <w:r w:rsidRPr="0013007A">
              <w:rPr>
                <w:rFonts w:eastAsia="Times New Roman"/>
                <w:color w:val="000000"/>
                <w:sz w:val="16"/>
                <w:szCs w:val="16"/>
                <w:lang w:eastAsia="en-AU"/>
              </w:rPr>
              <w:t xml:space="preserve">previous </w:t>
            </w:r>
            <w:r>
              <w:rPr>
                <w:rFonts w:eastAsia="Times New Roman"/>
                <w:color w:val="000000"/>
                <w:sz w:val="16"/>
                <w:szCs w:val="16"/>
                <w:lang w:eastAsia="en-AU"/>
              </w:rPr>
              <w:t>12</w:t>
            </w:r>
            <w:r w:rsidRPr="0013007A">
              <w:rPr>
                <w:rFonts w:eastAsia="Times New Roman"/>
                <w:color w:val="000000"/>
                <w:sz w:val="16"/>
                <w:szCs w:val="16"/>
                <w:lang w:eastAsia="en-AU"/>
              </w:rPr>
              <w:t xml:space="preserve"> months</w:t>
            </w:r>
            <w:r>
              <w:rPr>
                <w:rFonts w:eastAsia="Times New Roman"/>
                <w:color w:val="000000"/>
                <w:sz w:val="16"/>
                <w:szCs w:val="16"/>
                <w:lang w:eastAsia="en-AU"/>
              </w:rPr>
              <w:t>)</w:t>
            </w:r>
            <w:r w:rsidRPr="0013007A">
              <w:rPr>
                <w:rFonts w:eastAsia="Times New Roman"/>
                <w:color w:val="000000"/>
                <w:sz w:val="16"/>
                <w:szCs w:val="16"/>
                <w:lang w:eastAsia="en-AU"/>
              </w:rPr>
              <w:t>, compared with the change for comparator patients.</w:t>
            </w:r>
            <w:r>
              <w:rPr>
                <w:rFonts w:eastAsia="Times New Roman"/>
                <w:color w:val="000000"/>
                <w:sz w:val="16"/>
                <w:szCs w:val="16"/>
                <w:lang w:eastAsia="en-AU"/>
              </w:rPr>
              <w:t xml:space="preserve"> Note: </w:t>
            </w:r>
            <w:r w:rsidRPr="0013007A">
              <w:rPr>
                <w:rFonts w:eastAsia="Times New Roman"/>
                <w:color w:val="000000"/>
                <w:sz w:val="16"/>
                <w:szCs w:val="16"/>
                <w:lang w:eastAsia="en-AU"/>
              </w:rPr>
              <w:t>HCH patients will not be eligible to claim item 721.</w:t>
            </w:r>
            <w:r>
              <w:rPr>
                <w:rFonts w:eastAsia="Times New Roman"/>
                <w:color w:val="000000"/>
                <w:sz w:val="16"/>
                <w:szCs w:val="16"/>
                <w:lang w:eastAsia="en-AU"/>
              </w:rPr>
              <w:t xml:space="preserve"> </w:t>
            </w:r>
            <w:r w:rsidRPr="0013007A">
              <w:rPr>
                <w:rFonts w:eastAsia="Times New Roman"/>
                <w:color w:val="000000"/>
                <w:sz w:val="16"/>
                <w:szCs w:val="16"/>
                <w:lang w:eastAsia="en-AU"/>
              </w:rPr>
              <w:t>However, the development of a GP management care plan is a requirement for enrolment in HCH.</w:t>
            </w:r>
            <w:r>
              <w:rPr>
                <w:rFonts w:eastAsia="Times New Roman"/>
                <w:color w:val="000000"/>
                <w:sz w:val="16"/>
                <w:szCs w:val="16"/>
                <w:lang w:eastAsia="en-AU"/>
              </w:rPr>
              <w:t xml:space="preserve"> </w:t>
            </w:r>
            <w:r w:rsidRPr="0013007A">
              <w:rPr>
                <w:rFonts w:eastAsia="Times New Roman"/>
                <w:color w:val="000000"/>
                <w:sz w:val="16"/>
                <w:szCs w:val="16"/>
                <w:lang w:eastAsia="en-AU"/>
              </w:rPr>
              <w:t>Therefore</w:t>
            </w:r>
            <w:r>
              <w:rPr>
                <w:rFonts w:eastAsia="Times New Roman"/>
                <w:color w:val="000000"/>
                <w:sz w:val="16"/>
                <w:szCs w:val="16"/>
                <w:lang w:eastAsia="en-AU"/>
              </w:rPr>
              <w:t>,</w:t>
            </w:r>
            <w:r w:rsidRPr="0013007A">
              <w:rPr>
                <w:rFonts w:eastAsia="Times New Roman"/>
                <w:color w:val="000000"/>
                <w:sz w:val="16"/>
                <w:szCs w:val="16"/>
                <w:lang w:eastAsia="en-AU"/>
              </w:rPr>
              <w:t xml:space="preserve"> it can be assumed that 100% of HCH patients have a GP management plan prepared.</w:t>
            </w:r>
            <w:r>
              <w:rPr>
                <w:rFonts w:eastAsia="Times New Roman"/>
                <w:color w:val="000000"/>
                <w:sz w:val="16"/>
                <w:szCs w:val="16"/>
                <w:lang w:eastAsia="en-AU"/>
              </w:rPr>
              <w:t xml:space="preserve"> (See also Note 1 and Note 2)</w:t>
            </w:r>
          </w:p>
          <w:p w14:paraId="04DF4186" w14:textId="77777777" w:rsidR="001C19F3" w:rsidRDefault="001C19F3" w:rsidP="00521305">
            <w:pPr>
              <w:spacing w:after="0" w:line="264" w:lineRule="auto"/>
              <w:ind w:left="593" w:hanging="567"/>
              <w:rPr>
                <w:rFonts w:eastAsia="Times New Roman"/>
                <w:color w:val="000000"/>
                <w:sz w:val="16"/>
                <w:szCs w:val="16"/>
                <w:lang w:eastAsia="en-AU"/>
              </w:rPr>
            </w:pPr>
          </w:p>
          <w:p w14:paraId="03E16F6D" w14:textId="77777777" w:rsidR="001C19F3" w:rsidRPr="00BE7442" w:rsidRDefault="001C19F3" w:rsidP="00521305">
            <w:pPr>
              <w:spacing w:after="0" w:line="264" w:lineRule="auto"/>
              <w:ind w:left="605"/>
              <w:rPr>
                <w:rFonts w:eastAsia="Times New Roman"/>
                <w:color w:val="000000"/>
                <w:sz w:val="16"/>
                <w:szCs w:val="16"/>
                <w:lang w:eastAsia="en-AU"/>
              </w:rPr>
            </w:pPr>
            <w:r>
              <w:rPr>
                <w:rFonts w:eastAsia="Times New Roman"/>
                <w:color w:val="000000"/>
                <w:sz w:val="16"/>
                <w:szCs w:val="16"/>
                <w:lang w:eastAsia="en-AU"/>
              </w:rPr>
              <w:t xml:space="preserve">Additional analysis will be conducted to assess trends for Reviews of a GP Management Plan (Item 732) and </w:t>
            </w:r>
            <w:r w:rsidRPr="0013007A">
              <w:rPr>
                <w:rFonts w:eastAsia="Times New Roman"/>
                <w:color w:val="000000"/>
                <w:sz w:val="16"/>
                <w:szCs w:val="16"/>
                <w:lang w:eastAsia="en-AU"/>
              </w:rPr>
              <w:t>contribution to a Multidisciplinary Care Plan, or to a Review of a Multidisciplinary Care Plan</w:t>
            </w:r>
            <w:r>
              <w:rPr>
                <w:rFonts w:eastAsia="Times New Roman"/>
                <w:color w:val="000000"/>
                <w:sz w:val="16"/>
                <w:szCs w:val="16"/>
                <w:lang w:eastAsia="en-AU"/>
              </w:rPr>
              <w:t xml:space="preserve"> (</w:t>
            </w:r>
            <w:r w:rsidRPr="0013007A">
              <w:rPr>
                <w:rFonts w:eastAsia="Times New Roman"/>
                <w:color w:val="000000"/>
                <w:sz w:val="16"/>
                <w:szCs w:val="16"/>
                <w:lang w:eastAsia="en-AU"/>
              </w:rPr>
              <w:t>item 729</w:t>
            </w:r>
            <w:r>
              <w:rPr>
                <w:rFonts w:eastAsia="Times New Roman"/>
                <w:color w:val="000000"/>
                <w:sz w:val="16"/>
                <w:szCs w:val="16"/>
                <w:lang w:eastAsia="en-AU"/>
              </w:rPr>
              <w:t xml:space="preserve">), and </w:t>
            </w:r>
            <w:r w:rsidRPr="0013007A">
              <w:rPr>
                <w:rFonts w:eastAsia="Times New Roman"/>
                <w:color w:val="000000"/>
                <w:sz w:val="16"/>
                <w:szCs w:val="16"/>
                <w:lang w:eastAsia="en-AU"/>
              </w:rPr>
              <w:t>Health Assessment for Aboriginal and Torres Strait Islander People (MBS item 715)</w:t>
            </w:r>
            <w:r>
              <w:rPr>
                <w:rFonts w:eastAsia="Times New Roman"/>
                <w:color w:val="000000"/>
                <w:sz w:val="16"/>
                <w:szCs w:val="16"/>
                <w:lang w:eastAsia="en-AU"/>
              </w:rPr>
              <w:t>.</w:t>
            </w:r>
          </w:p>
        </w:tc>
        <w:tc>
          <w:tcPr>
            <w:tcW w:w="1417" w:type="dxa"/>
          </w:tcPr>
          <w:p w14:paraId="7A7C4F7B" w14:textId="77777777" w:rsidR="001C19F3" w:rsidRPr="00BE7442" w:rsidRDefault="001C19F3" w:rsidP="00521305">
            <w:pPr>
              <w:spacing w:after="0" w:line="264" w:lineRule="auto"/>
              <w:jc w:val="center"/>
              <w:rPr>
                <w:rFonts w:eastAsia="Times New Roman"/>
                <w:color w:val="000000"/>
                <w:sz w:val="16"/>
                <w:szCs w:val="16"/>
                <w:lang w:eastAsia="en-AU"/>
              </w:rPr>
            </w:pPr>
            <w:r w:rsidRPr="0070148A">
              <w:rPr>
                <w:rFonts w:eastAsia="Times New Roman"/>
                <w:color w:val="000000"/>
                <w:sz w:val="16"/>
                <w:szCs w:val="16"/>
                <w:lang w:eastAsia="en-AU"/>
              </w:rPr>
              <w:t>N</w:t>
            </w:r>
          </w:p>
        </w:tc>
        <w:tc>
          <w:tcPr>
            <w:tcW w:w="1248" w:type="dxa"/>
            <w:shd w:val="clear" w:color="auto" w:fill="auto"/>
            <w:noWrap/>
            <w:hideMark/>
          </w:tcPr>
          <w:p w14:paraId="0E022C4E"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BB889DE" w14:textId="77777777" w:rsidTr="00521305">
        <w:trPr>
          <w:trHeight w:val="300"/>
        </w:trPr>
        <w:tc>
          <w:tcPr>
            <w:tcW w:w="4106" w:type="dxa"/>
            <w:tcBorders>
              <w:top w:val="nil"/>
              <w:bottom w:val="single" w:sz="4" w:space="0" w:color="D9D9D9" w:themeColor="background1" w:themeShade="D9"/>
            </w:tcBorders>
          </w:tcPr>
          <w:p w14:paraId="0023FDA7"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noWrap/>
            <w:vAlign w:val="bottom"/>
          </w:tcPr>
          <w:p w14:paraId="7FC69CFF"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3.01.</w:t>
            </w:r>
            <w:r>
              <w:rPr>
                <w:rFonts w:eastAsia="Times New Roman"/>
                <w:color w:val="000000"/>
                <w:sz w:val="16"/>
                <w:szCs w:val="16"/>
                <w:lang w:eastAsia="en-AU"/>
              </w:rPr>
              <w:t>08</w:t>
            </w:r>
            <w:r w:rsidRPr="00BE7442">
              <w:rPr>
                <w:rFonts w:eastAsia="Times New Roman"/>
                <w:color w:val="000000"/>
                <w:sz w:val="16"/>
                <w:szCs w:val="16"/>
                <w:lang w:eastAsia="en-AU"/>
              </w:rPr>
              <w:t xml:space="preserve"> </w:t>
            </w:r>
            <w:r w:rsidRPr="0013007A">
              <w:rPr>
                <w:rFonts w:eastAsia="Times New Roman"/>
                <w:color w:val="000000"/>
                <w:sz w:val="16"/>
                <w:szCs w:val="16"/>
                <w:lang w:eastAsia="en-AU"/>
              </w:rPr>
              <w:t xml:space="preserve">Change in the proportion of patients for whom a claim for </w:t>
            </w:r>
            <w:r>
              <w:rPr>
                <w:rFonts w:eastAsia="Times New Roman"/>
                <w:color w:val="000000"/>
                <w:sz w:val="16"/>
                <w:szCs w:val="16"/>
                <w:lang w:eastAsia="en-AU"/>
              </w:rPr>
              <w:t>the</w:t>
            </w:r>
            <w:r w:rsidRPr="00CF56B2">
              <w:rPr>
                <w:rFonts w:eastAsia="Times New Roman"/>
                <w:color w:val="000000"/>
                <w:sz w:val="16"/>
                <w:szCs w:val="16"/>
                <w:lang w:eastAsia="en-AU"/>
              </w:rPr>
              <w:t xml:space="preserve"> development of Team Care Arrangement (TCA) service (MBS item 723)</w:t>
            </w:r>
            <w:r>
              <w:rPr>
                <w:rFonts w:eastAsia="Times New Roman"/>
                <w:color w:val="000000"/>
                <w:sz w:val="16"/>
                <w:szCs w:val="16"/>
                <w:lang w:eastAsia="en-AU"/>
              </w:rPr>
              <w:t xml:space="preserve"> </w:t>
            </w:r>
            <w:r w:rsidRPr="0013007A">
              <w:rPr>
                <w:rFonts w:eastAsia="Times New Roman"/>
                <w:color w:val="000000"/>
                <w:sz w:val="16"/>
                <w:szCs w:val="16"/>
                <w:lang w:eastAsia="en-AU"/>
              </w:rPr>
              <w:t xml:space="preserve">was made in the previous </w:t>
            </w:r>
            <w:r>
              <w:rPr>
                <w:rFonts w:eastAsia="Times New Roman"/>
                <w:color w:val="000000"/>
                <w:sz w:val="16"/>
                <w:szCs w:val="16"/>
                <w:lang w:eastAsia="en-AU"/>
              </w:rPr>
              <w:t xml:space="preserve">24 </w:t>
            </w:r>
            <w:r w:rsidRPr="0013007A">
              <w:rPr>
                <w:rFonts w:eastAsia="Times New Roman"/>
                <w:color w:val="000000"/>
                <w:sz w:val="16"/>
                <w:szCs w:val="16"/>
                <w:lang w:eastAsia="en-AU"/>
              </w:rPr>
              <w:t xml:space="preserve">months </w:t>
            </w:r>
            <w:r>
              <w:rPr>
                <w:rFonts w:eastAsia="Times New Roman"/>
                <w:color w:val="000000"/>
                <w:sz w:val="16"/>
                <w:szCs w:val="16"/>
                <w:lang w:eastAsia="en-AU"/>
              </w:rPr>
              <w:t xml:space="preserve">(with additional analysis conducted on </w:t>
            </w:r>
            <w:r w:rsidRPr="0013007A">
              <w:rPr>
                <w:rFonts w:eastAsia="Times New Roman"/>
                <w:color w:val="000000"/>
                <w:sz w:val="16"/>
                <w:szCs w:val="16"/>
                <w:lang w:eastAsia="en-AU"/>
              </w:rPr>
              <w:t xml:space="preserve">previous </w:t>
            </w:r>
            <w:r>
              <w:rPr>
                <w:rFonts w:eastAsia="Times New Roman"/>
                <w:color w:val="000000"/>
                <w:sz w:val="16"/>
                <w:szCs w:val="16"/>
                <w:lang w:eastAsia="en-AU"/>
              </w:rPr>
              <w:t>12</w:t>
            </w:r>
            <w:r w:rsidRPr="0013007A">
              <w:rPr>
                <w:rFonts w:eastAsia="Times New Roman"/>
                <w:color w:val="000000"/>
                <w:sz w:val="16"/>
                <w:szCs w:val="16"/>
                <w:lang w:eastAsia="en-AU"/>
              </w:rPr>
              <w:t xml:space="preserve"> months</w:t>
            </w:r>
            <w:r>
              <w:rPr>
                <w:rFonts w:eastAsia="Times New Roman"/>
                <w:color w:val="000000"/>
                <w:sz w:val="16"/>
                <w:szCs w:val="16"/>
                <w:lang w:eastAsia="en-AU"/>
              </w:rPr>
              <w:t>)</w:t>
            </w:r>
            <w:r w:rsidRPr="0013007A">
              <w:rPr>
                <w:rFonts w:eastAsia="Times New Roman"/>
                <w:color w:val="000000"/>
                <w:sz w:val="16"/>
                <w:szCs w:val="16"/>
                <w:lang w:eastAsia="en-AU"/>
              </w:rPr>
              <w:t>, compared with the change for comparator patients.</w:t>
            </w:r>
            <w:r>
              <w:rPr>
                <w:rFonts w:eastAsia="Times New Roman"/>
                <w:color w:val="000000"/>
                <w:sz w:val="16"/>
                <w:szCs w:val="16"/>
                <w:lang w:eastAsia="en-AU"/>
              </w:rPr>
              <w:t xml:space="preserve"> Note: </w:t>
            </w:r>
            <w:r w:rsidRPr="00CF56B2">
              <w:rPr>
                <w:rFonts w:eastAsia="Times New Roman"/>
                <w:color w:val="000000"/>
                <w:sz w:val="16"/>
                <w:szCs w:val="16"/>
                <w:lang w:eastAsia="en-AU"/>
              </w:rPr>
              <w:t>HCH patients’ eligibility for item 721 for services delivered by the HCH practice</w:t>
            </w:r>
            <w:r>
              <w:rPr>
                <w:rFonts w:eastAsia="Times New Roman"/>
                <w:color w:val="000000"/>
                <w:sz w:val="16"/>
                <w:szCs w:val="16"/>
                <w:lang w:eastAsia="en-AU"/>
              </w:rPr>
              <w:t xml:space="preserve"> will change, therefore assessment of these changes will require analysis and modelling based on practice data extracts</w:t>
            </w:r>
            <w:r w:rsidRPr="00CF56B2">
              <w:rPr>
                <w:rFonts w:eastAsia="Times New Roman"/>
                <w:color w:val="000000"/>
                <w:sz w:val="16"/>
                <w:szCs w:val="16"/>
                <w:lang w:eastAsia="en-AU"/>
              </w:rPr>
              <w:t>.</w:t>
            </w:r>
            <w:r>
              <w:rPr>
                <w:rFonts w:eastAsia="Times New Roman"/>
                <w:color w:val="000000"/>
                <w:sz w:val="16"/>
                <w:szCs w:val="16"/>
                <w:lang w:eastAsia="en-AU"/>
              </w:rPr>
              <w:t xml:space="preserve"> (See also Note 1 and Note 2).</w:t>
            </w:r>
          </w:p>
        </w:tc>
        <w:tc>
          <w:tcPr>
            <w:tcW w:w="1417" w:type="dxa"/>
          </w:tcPr>
          <w:p w14:paraId="0181DEB9"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70148A">
              <w:rPr>
                <w:rFonts w:eastAsia="Times New Roman"/>
                <w:color w:val="000000"/>
                <w:sz w:val="16"/>
                <w:szCs w:val="16"/>
                <w:lang w:eastAsia="en-AU"/>
              </w:rPr>
              <w:t>N</w:t>
            </w:r>
          </w:p>
        </w:tc>
        <w:tc>
          <w:tcPr>
            <w:tcW w:w="1248" w:type="dxa"/>
            <w:shd w:val="clear" w:color="auto" w:fill="auto"/>
            <w:noWrap/>
          </w:tcPr>
          <w:p w14:paraId="6E4A1946"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150BA7C2" w14:textId="77777777" w:rsidTr="00521305">
        <w:trPr>
          <w:trHeight w:val="300"/>
        </w:trPr>
        <w:tc>
          <w:tcPr>
            <w:tcW w:w="4106" w:type="dxa"/>
            <w:tcBorders>
              <w:top w:val="single" w:sz="4" w:space="0" w:color="D9D9D9" w:themeColor="background1" w:themeShade="D9"/>
              <w:bottom w:val="nil"/>
            </w:tcBorders>
          </w:tcPr>
          <w:p w14:paraId="618DDD31"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noWrap/>
            <w:vAlign w:val="bottom"/>
          </w:tcPr>
          <w:p w14:paraId="1A6B8EF3"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9F0107">
              <w:rPr>
                <w:rFonts w:eastAsia="Times New Roman"/>
                <w:color w:val="000000"/>
                <w:sz w:val="16"/>
                <w:szCs w:val="16"/>
                <w:lang w:eastAsia="en-AU"/>
              </w:rPr>
              <w:t>3.01.</w:t>
            </w:r>
            <w:r>
              <w:rPr>
                <w:rFonts w:eastAsia="Times New Roman"/>
                <w:color w:val="000000"/>
                <w:sz w:val="16"/>
                <w:szCs w:val="16"/>
                <w:lang w:eastAsia="en-AU"/>
              </w:rPr>
              <w:t>09</w:t>
            </w:r>
            <w:r w:rsidRPr="009F0107">
              <w:rPr>
                <w:rFonts w:eastAsia="Times New Roman"/>
                <w:color w:val="000000"/>
                <w:sz w:val="16"/>
                <w:szCs w:val="16"/>
                <w:lang w:eastAsia="en-AU"/>
              </w:rPr>
              <w:t xml:space="preserve"> Change in the proportion of patients who can be classified as meeting the criteria for psychotropic polypharmacy, polypharmacy or </w:t>
            </w:r>
            <w:r>
              <w:rPr>
                <w:rFonts w:eastAsia="Times New Roman"/>
                <w:color w:val="000000"/>
                <w:sz w:val="16"/>
                <w:szCs w:val="16"/>
                <w:lang w:eastAsia="en-AU"/>
              </w:rPr>
              <w:t>hyperpolypharmacy</w:t>
            </w:r>
            <w:r w:rsidRPr="009F0107">
              <w:rPr>
                <w:rFonts w:eastAsia="Times New Roman"/>
                <w:color w:val="000000"/>
                <w:sz w:val="16"/>
                <w:szCs w:val="16"/>
                <w:lang w:eastAsia="en-AU"/>
              </w:rPr>
              <w:t xml:space="preserve"> </w:t>
            </w:r>
            <w:r w:rsidRPr="00BE7442">
              <w:rPr>
                <w:rFonts w:eastAsia="Times New Roman"/>
                <w:color w:val="000000"/>
                <w:sz w:val="16"/>
                <w:szCs w:val="16"/>
                <w:lang w:eastAsia="en-AU"/>
              </w:rPr>
              <w:t>compared with the change for comparator patients</w:t>
            </w:r>
            <w:r w:rsidRPr="009F0107">
              <w:rPr>
                <w:rFonts w:eastAsia="Times New Roman"/>
                <w:color w:val="000000"/>
                <w:sz w:val="16"/>
                <w:szCs w:val="16"/>
                <w:lang w:eastAsia="en-AU"/>
              </w:rPr>
              <w:t>. (See Note 2)</w:t>
            </w:r>
            <w:r>
              <w:rPr>
                <w:rFonts w:eastAsia="Times New Roman"/>
                <w:color w:val="000000"/>
                <w:sz w:val="16"/>
                <w:szCs w:val="16"/>
                <w:lang w:eastAsia="en-AU"/>
              </w:rPr>
              <w:t xml:space="preserve"> </w:t>
            </w:r>
            <w:r w:rsidRPr="009F0107">
              <w:rPr>
                <w:rFonts w:eastAsia="Times New Roman"/>
                <w:color w:val="000000"/>
                <w:sz w:val="16"/>
                <w:szCs w:val="16"/>
                <w:lang w:eastAsia="en-AU"/>
              </w:rPr>
              <w:t xml:space="preserve">Psychotropic polypharmacy is defined as two or more psychotropic medicines ‘taken’ at the same time. Polypharmacy is defined to five </w:t>
            </w:r>
            <w:r>
              <w:rPr>
                <w:rFonts w:eastAsia="Times New Roman"/>
                <w:color w:val="000000"/>
                <w:sz w:val="16"/>
                <w:szCs w:val="16"/>
                <w:lang w:eastAsia="en-AU"/>
              </w:rPr>
              <w:t xml:space="preserve">to 10 </w:t>
            </w:r>
            <w:r w:rsidRPr="009F0107">
              <w:rPr>
                <w:rFonts w:eastAsia="Times New Roman"/>
                <w:color w:val="000000"/>
                <w:sz w:val="16"/>
                <w:szCs w:val="16"/>
                <w:lang w:eastAsia="en-AU"/>
              </w:rPr>
              <w:t>medicines ‘taken’ at the same time. H</w:t>
            </w:r>
            <w:r>
              <w:rPr>
                <w:rFonts w:eastAsia="Times New Roman"/>
                <w:color w:val="000000"/>
                <w:sz w:val="16"/>
                <w:szCs w:val="16"/>
                <w:lang w:eastAsia="en-AU"/>
              </w:rPr>
              <w:t>yperpolypharmacy</w:t>
            </w:r>
            <w:r w:rsidRPr="009F0107">
              <w:rPr>
                <w:rFonts w:eastAsia="Times New Roman"/>
                <w:color w:val="000000"/>
                <w:sz w:val="16"/>
                <w:szCs w:val="16"/>
                <w:lang w:eastAsia="en-AU"/>
              </w:rPr>
              <w:t xml:space="preserve"> is define</w:t>
            </w:r>
            <w:r>
              <w:rPr>
                <w:rFonts w:eastAsia="Times New Roman"/>
                <w:color w:val="000000"/>
                <w:sz w:val="16"/>
                <w:szCs w:val="16"/>
                <w:lang w:eastAsia="en-AU"/>
              </w:rPr>
              <w:t>d</w:t>
            </w:r>
            <w:r w:rsidRPr="009F0107">
              <w:rPr>
                <w:rFonts w:eastAsia="Times New Roman"/>
                <w:color w:val="000000"/>
                <w:sz w:val="16"/>
                <w:szCs w:val="16"/>
                <w:lang w:eastAsia="en-AU"/>
              </w:rPr>
              <w:t xml:space="preserve"> as 10 or more medicines ‘taken’ at the same time.</w:t>
            </w:r>
          </w:p>
        </w:tc>
        <w:tc>
          <w:tcPr>
            <w:tcW w:w="1417" w:type="dxa"/>
          </w:tcPr>
          <w:p w14:paraId="2B57B434"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5EA9040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72BEF2AA" w14:textId="77777777" w:rsidTr="00521305">
        <w:trPr>
          <w:trHeight w:val="300"/>
        </w:trPr>
        <w:tc>
          <w:tcPr>
            <w:tcW w:w="4106" w:type="dxa"/>
            <w:tcBorders>
              <w:top w:val="nil"/>
              <w:bottom w:val="nil"/>
            </w:tcBorders>
          </w:tcPr>
          <w:p w14:paraId="7B2F6795" w14:textId="77777777" w:rsidR="001C19F3" w:rsidRPr="00BE7442" w:rsidRDefault="001C19F3" w:rsidP="00521305">
            <w:pPr>
              <w:spacing w:after="0" w:line="264" w:lineRule="auto"/>
              <w:rPr>
                <w:rFonts w:eastAsia="Times New Roman"/>
                <w:bCs/>
                <w:color w:val="000000"/>
                <w:sz w:val="16"/>
                <w:szCs w:val="16"/>
                <w:lang w:eastAsia="en-AU"/>
              </w:rPr>
            </w:pPr>
          </w:p>
        </w:tc>
        <w:tc>
          <w:tcPr>
            <w:tcW w:w="7513" w:type="dxa"/>
            <w:shd w:val="clear" w:color="auto" w:fill="auto"/>
            <w:noWrap/>
            <w:vAlign w:val="bottom"/>
          </w:tcPr>
          <w:p w14:paraId="64A5C27A"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9F0107">
              <w:rPr>
                <w:rFonts w:eastAsia="Times New Roman"/>
                <w:color w:val="000000"/>
                <w:sz w:val="16"/>
                <w:szCs w:val="16"/>
                <w:lang w:eastAsia="en-AU"/>
              </w:rPr>
              <w:t>3.01.</w:t>
            </w:r>
            <w:r>
              <w:rPr>
                <w:rFonts w:eastAsia="Times New Roman"/>
                <w:color w:val="000000"/>
                <w:sz w:val="16"/>
                <w:szCs w:val="16"/>
                <w:lang w:eastAsia="en-AU"/>
              </w:rPr>
              <w:t>10</w:t>
            </w:r>
            <w:r w:rsidRPr="009F0107">
              <w:rPr>
                <w:rFonts w:eastAsia="Times New Roman"/>
                <w:color w:val="000000"/>
                <w:sz w:val="16"/>
                <w:szCs w:val="16"/>
                <w:lang w:eastAsia="en-AU"/>
              </w:rPr>
              <w:t xml:space="preserve"> Change in the proportion of patients who can be classified as meeting the criteria for psychotropic polypharmacy, polypharmacy or </w:t>
            </w:r>
            <w:r>
              <w:rPr>
                <w:rFonts w:eastAsia="Times New Roman"/>
                <w:color w:val="000000"/>
                <w:sz w:val="16"/>
                <w:szCs w:val="16"/>
                <w:lang w:eastAsia="en-AU"/>
              </w:rPr>
              <w:t>hyperpolypharmacy</w:t>
            </w:r>
            <w:r w:rsidRPr="009F0107">
              <w:rPr>
                <w:rFonts w:eastAsia="Times New Roman"/>
                <w:color w:val="000000"/>
                <w:sz w:val="16"/>
                <w:szCs w:val="16"/>
                <w:lang w:eastAsia="en-AU"/>
              </w:rPr>
              <w:t xml:space="preserve"> for whom a medication review claim was made in the previous 12 months compared with the change for comparator patients. (See Note 2)</w:t>
            </w:r>
            <w:r>
              <w:rPr>
                <w:rFonts w:eastAsia="Times New Roman"/>
                <w:color w:val="000000"/>
                <w:sz w:val="16"/>
                <w:szCs w:val="16"/>
                <w:lang w:eastAsia="en-AU"/>
              </w:rPr>
              <w:t xml:space="preserve"> See definitions above.</w:t>
            </w:r>
          </w:p>
        </w:tc>
        <w:tc>
          <w:tcPr>
            <w:tcW w:w="1417" w:type="dxa"/>
          </w:tcPr>
          <w:p w14:paraId="4622AC32"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3B34C6E4"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42AD1B8" w14:textId="77777777" w:rsidTr="00521305">
        <w:trPr>
          <w:trHeight w:val="300"/>
        </w:trPr>
        <w:tc>
          <w:tcPr>
            <w:tcW w:w="4106" w:type="dxa"/>
            <w:tcBorders>
              <w:top w:val="nil"/>
            </w:tcBorders>
          </w:tcPr>
          <w:p w14:paraId="22705BCC"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noWrap/>
            <w:vAlign w:val="bottom"/>
          </w:tcPr>
          <w:p w14:paraId="4B7E544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9F0107">
              <w:rPr>
                <w:rFonts w:eastAsia="Times New Roman"/>
                <w:color w:val="000000"/>
                <w:sz w:val="16"/>
                <w:szCs w:val="16"/>
                <w:lang w:eastAsia="en-AU"/>
              </w:rPr>
              <w:t>3.01.</w:t>
            </w:r>
            <w:r>
              <w:rPr>
                <w:rFonts w:eastAsia="Times New Roman"/>
                <w:color w:val="000000"/>
                <w:sz w:val="16"/>
                <w:szCs w:val="16"/>
                <w:lang w:eastAsia="en-AU"/>
              </w:rPr>
              <w:t>11</w:t>
            </w:r>
            <w:r w:rsidRPr="009F0107">
              <w:rPr>
                <w:rFonts w:eastAsia="Times New Roman"/>
                <w:color w:val="000000"/>
                <w:sz w:val="16"/>
                <w:szCs w:val="16"/>
                <w:lang w:eastAsia="en-AU"/>
              </w:rPr>
              <w:t xml:space="preserve"> Change in the proportion of patients who </w:t>
            </w:r>
            <w:r>
              <w:rPr>
                <w:rFonts w:eastAsia="Times New Roman"/>
                <w:color w:val="000000"/>
                <w:sz w:val="16"/>
                <w:szCs w:val="16"/>
                <w:lang w:eastAsia="en-AU"/>
              </w:rPr>
              <w:t xml:space="preserve">exceed thresholds for potential inappropriate drug </w:t>
            </w:r>
            <w:r w:rsidRPr="00B7256D">
              <w:rPr>
                <w:rFonts w:eastAsia="Times New Roman"/>
                <w:color w:val="000000"/>
                <w:sz w:val="16"/>
                <w:szCs w:val="16"/>
                <w:lang w:eastAsia="en-AU"/>
              </w:rPr>
              <w:t>use (based on Beers criteria (</w:t>
            </w:r>
            <w:hyperlink w:anchor="_ENREF_4" w:tooltip="American Geriatrics Society Beers Criteria Update Expert Panel, 2015 #799" w:history="1">
              <w:r w:rsidRPr="00B7256D">
                <w:rPr>
                  <w:rFonts w:eastAsia="Times New Roman"/>
                  <w:color w:val="000000"/>
                  <w:sz w:val="16"/>
                  <w:szCs w:val="16"/>
                  <w:lang w:eastAsia="en-AU"/>
                </w:rPr>
                <w:fldChar w:fldCharType="begin"/>
              </w:r>
              <w:r>
                <w:rPr>
                  <w:rFonts w:eastAsia="Times New Roman"/>
                  <w:color w:val="000000"/>
                  <w:sz w:val="16"/>
                  <w:szCs w:val="16"/>
                  <w:lang w:eastAsia="en-AU"/>
                </w:rPr>
                <w:instrText xml:space="preserve"> ADDIN EN.CITE &lt;EndNote&gt;&lt;Cite&gt;&lt;Author&gt;American Geriatrics Society Beers Criteria Update Expert Panel&lt;/Author&gt;&lt;Year&gt;2015&lt;/Year&gt;&lt;RecNum&gt;799&lt;/RecNum&gt;&lt;DisplayText&gt;American Geriatrics Society Beers Criteria Update Expert Panel, 2015&lt;/DisplayText&gt;&lt;record&gt;&lt;rec-number&gt;799&lt;/rec-number&gt;&lt;foreign-keys&gt;&lt;key app="EN" db-id="zdz9xax04zr9v0evw2nvrpw9xe9ttzvs5zsv" timestamp="1497365531"&gt;799&lt;/key&gt;&lt;/foreign-keys&gt;&lt;ref-type name="Journal Article"&gt;17&lt;/ref-type&gt;&lt;contributors&gt;&lt;authors&gt;&lt;author&gt;American Geriatrics Society Beers Criteria Update Expert Panel,,&lt;/author&gt;&lt;/authors&gt;&lt;/contributors&gt;&lt;titles&gt;&lt;title&gt;American Geriatrics Society 2015 Updated Beers Criteria for Potentially Inappropriate Medication Use in Older Adults&lt;/title&gt;&lt;secondary-title&gt;Journal of the American Geriatrics Society&lt;/secondary-title&gt;&lt;/titles&gt;&lt;periodical&gt;&lt;full-title&gt;Journal of the American Geriatrics Society&lt;/full-title&gt;&lt;/periodical&gt;&lt;pages&gt;2227-2246&lt;/pages&gt;&lt;volume&gt;63&lt;/volume&gt;&lt;number&gt;11&lt;/number&gt;&lt;keywords&gt;&lt;keyword&gt;Beers List&lt;/keyword&gt;&lt;keyword&gt;medications&lt;/keyword&gt;&lt;keyword&gt;Beers Criteria&lt;/keyword&gt;&lt;keyword&gt;drugs&lt;/keyword&gt;&lt;keyword&gt;older adults&lt;/keyword&gt;&lt;keyword&gt;polypharmacy&lt;/keyword&gt;&lt;/keywords&gt;&lt;dates&gt;&lt;year&gt;2015&lt;/year&gt;&lt;/dates&gt;&lt;isbn&gt;1532-5415&lt;/isbn&gt;&lt;urls&gt;&lt;related-urls&gt;&lt;url&gt;http://dx.doi.org/10.1111/jgs.13702&lt;/url&gt;&lt;/related-urls&gt;&lt;/urls&gt;&lt;electronic-resource-num&gt;10.1111/jgs.13702&lt;/electronic-resource-num&gt;&lt;/record&gt;&lt;/Cite&gt;&lt;/EndNote&gt;</w:instrText>
              </w:r>
              <w:r w:rsidRPr="00B7256D">
                <w:rPr>
                  <w:rFonts w:eastAsia="Times New Roman"/>
                  <w:color w:val="000000"/>
                  <w:sz w:val="16"/>
                  <w:szCs w:val="16"/>
                  <w:lang w:eastAsia="en-AU"/>
                </w:rPr>
                <w:fldChar w:fldCharType="separate"/>
              </w:r>
              <w:r>
                <w:rPr>
                  <w:rFonts w:eastAsia="Times New Roman"/>
                  <w:noProof/>
                  <w:color w:val="000000"/>
                  <w:sz w:val="16"/>
                  <w:szCs w:val="16"/>
                  <w:lang w:eastAsia="en-AU"/>
                </w:rPr>
                <w:t>American Geriatrics Society Beers Criteria Update Expert Panel, 2015</w:t>
              </w:r>
              <w:r w:rsidRPr="00B7256D">
                <w:rPr>
                  <w:rFonts w:eastAsia="Times New Roman"/>
                  <w:color w:val="000000"/>
                  <w:sz w:val="16"/>
                  <w:szCs w:val="16"/>
                  <w:lang w:eastAsia="en-AU"/>
                </w:rPr>
                <w:fldChar w:fldCharType="end"/>
              </w:r>
            </w:hyperlink>
            <w:r w:rsidRPr="00B7256D">
              <w:rPr>
                <w:rFonts w:eastAsia="Times New Roman"/>
                <w:color w:val="000000"/>
                <w:sz w:val="16"/>
                <w:szCs w:val="16"/>
                <w:lang w:eastAsia="en-AU"/>
              </w:rPr>
              <w:t>) and/or Drug Burden Index (</w:t>
            </w:r>
            <w:hyperlink w:anchor="_ENREF_20" w:tooltip="Hilmer, 2007 #800" w:history="1">
              <w:r w:rsidRPr="00B7256D">
                <w:rPr>
                  <w:rFonts w:eastAsia="Times New Roman"/>
                  <w:color w:val="000000"/>
                  <w:sz w:val="16"/>
                  <w:szCs w:val="16"/>
                  <w:lang w:eastAsia="en-AU"/>
                </w:rPr>
                <w:fldChar w:fldCharType="begin">
                  <w:fldData xml:space="preserve">PEVuZE5vdGU+PENpdGU+PEF1dGhvcj5IaWxtZXI8L0F1dGhvcj48WWVhcj4yMDA3PC9ZZWFyPjxS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</w:fldData>
                </w:fldChar>
              </w:r>
              <w:r>
                <w:rPr>
                  <w:rFonts w:eastAsia="Times New Roman"/>
                  <w:color w:val="000000"/>
                  <w:sz w:val="16"/>
                  <w:szCs w:val="16"/>
                  <w:lang w:eastAsia="en-AU"/>
                </w:rPr>
                <w:instrText xml:space="preserve"> ADDIN EN.CITE </w:instrText>
              </w:r>
              <w:r>
                <w:rPr>
                  <w:rFonts w:eastAsia="Times New Roman"/>
                  <w:color w:val="000000"/>
                  <w:sz w:val="16"/>
                  <w:szCs w:val="16"/>
                  <w:lang w:eastAsia="en-AU"/>
                </w:rPr>
                <w:fldChar w:fldCharType="begin">
                  <w:fldData xml:space="preserve">PEVuZE5vdGU+PENpdGU+PEF1dGhvcj5IaWxtZXI8L0F1dGhvcj48WWVhcj4yMDA3PC9ZZWFyPjxS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</w:fldData>
                </w:fldChar>
              </w:r>
              <w:r>
                <w:rPr>
                  <w:rFonts w:eastAsia="Times New Roman"/>
                  <w:color w:val="000000"/>
                  <w:sz w:val="16"/>
                  <w:szCs w:val="16"/>
                  <w:lang w:eastAsia="en-AU"/>
                </w:rPr>
                <w:instrText xml:space="preserve"> ADDIN EN.CITE.DATA </w:instrText>
              </w:r>
              <w:r>
                <w:rPr>
                  <w:rFonts w:eastAsia="Times New Roman"/>
                  <w:color w:val="000000"/>
                  <w:sz w:val="16"/>
                  <w:szCs w:val="16"/>
                  <w:lang w:eastAsia="en-AU"/>
                </w:rPr>
              </w:r>
              <w:r>
                <w:rPr>
                  <w:rFonts w:eastAsia="Times New Roman"/>
                  <w:color w:val="000000"/>
                  <w:sz w:val="16"/>
                  <w:szCs w:val="16"/>
                  <w:lang w:eastAsia="en-AU"/>
                </w:rPr>
                <w:fldChar w:fldCharType="end"/>
              </w:r>
              <w:r w:rsidRPr="00B7256D">
                <w:rPr>
                  <w:rFonts w:eastAsia="Times New Roman"/>
                  <w:color w:val="000000"/>
                  <w:sz w:val="16"/>
                  <w:szCs w:val="16"/>
                  <w:lang w:eastAsia="en-AU"/>
                </w:rPr>
              </w:r>
              <w:r w:rsidRPr="00B7256D">
                <w:rPr>
                  <w:rFonts w:eastAsia="Times New Roman"/>
                  <w:color w:val="000000"/>
                  <w:sz w:val="16"/>
                  <w:szCs w:val="16"/>
                  <w:lang w:eastAsia="en-AU"/>
                </w:rPr>
                <w:fldChar w:fldCharType="separate"/>
              </w:r>
              <w:r>
                <w:rPr>
                  <w:rFonts w:eastAsia="Times New Roman"/>
                  <w:noProof/>
                  <w:color w:val="000000"/>
                  <w:sz w:val="16"/>
                  <w:szCs w:val="16"/>
                  <w:lang w:eastAsia="en-AU"/>
                </w:rPr>
                <w:t>Hilmer, Mager, Simonsick et al., 2007</w:t>
              </w:r>
              <w:r w:rsidRPr="00B7256D">
                <w:rPr>
                  <w:rFonts w:eastAsia="Times New Roman"/>
                  <w:color w:val="000000"/>
                  <w:sz w:val="16"/>
                  <w:szCs w:val="16"/>
                  <w:lang w:eastAsia="en-AU"/>
                </w:rPr>
                <w:fldChar w:fldCharType="end"/>
              </w:r>
            </w:hyperlink>
            <w:r w:rsidRPr="00B7256D">
              <w:rPr>
                <w:rFonts w:eastAsia="Times New Roman"/>
                <w:color w:val="000000"/>
                <w:sz w:val="16"/>
                <w:szCs w:val="16"/>
                <w:lang w:eastAsia="en-AU"/>
              </w:rPr>
              <w:t>)) compared</w:t>
            </w:r>
            <w:r w:rsidRPr="009F0107">
              <w:rPr>
                <w:rFonts w:eastAsia="Times New Roman"/>
                <w:color w:val="000000"/>
                <w:sz w:val="16"/>
                <w:szCs w:val="16"/>
                <w:lang w:eastAsia="en-AU"/>
              </w:rPr>
              <w:t xml:space="preserve"> with the change for comparator patients. (See Note 2)</w:t>
            </w:r>
            <w:r>
              <w:rPr>
                <w:rFonts w:eastAsia="Times New Roman"/>
                <w:color w:val="000000"/>
                <w:sz w:val="16"/>
                <w:szCs w:val="16"/>
                <w:lang w:eastAsia="en-AU"/>
              </w:rPr>
              <w:t xml:space="preserve"> </w:t>
            </w:r>
          </w:p>
        </w:tc>
        <w:tc>
          <w:tcPr>
            <w:tcW w:w="1417" w:type="dxa"/>
          </w:tcPr>
          <w:p w14:paraId="487450AE"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31480D16"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091CF71" w14:textId="77777777" w:rsidTr="00521305">
        <w:trPr>
          <w:trHeight w:val="300"/>
        </w:trPr>
        <w:tc>
          <w:tcPr>
            <w:tcW w:w="4106" w:type="dxa"/>
            <w:vMerge w:val="restart"/>
          </w:tcPr>
          <w:p w14:paraId="69BC59AE"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 xml:space="preserve">3.02 Did patients enrolled in the HCH program have improved access to primary care services, including through alternate ways of accessing the service? How did the </w:t>
            </w:r>
            <w:r>
              <w:rPr>
                <w:rFonts w:eastAsia="Times New Roman"/>
                <w:bCs/>
                <w:color w:val="000000"/>
                <w:sz w:val="16"/>
                <w:szCs w:val="16"/>
                <w:lang w:eastAsia="en-AU"/>
              </w:rPr>
              <w:t>use</w:t>
            </w:r>
            <w:r w:rsidRPr="00BE7442">
              <w:rPr>
                <w:rFonts w:eastAsia="Times New Roman"/>
                <w:bCs/>
                <w:color w:val="000000"/>
                <w:sz w:val="16"/>
                <w:szCs w:val="16"/>
                <w:lang w:eastAsia="en-AU"/>
              </w:rPr>
              <w:t xml:space="preserve"> of primary care services change for HCH patients compared with similar patients receiving care from </w:t>
            </w:r>
            <w:r>
              <w:rPr>
                <w:rFonts w:eastAsia="Times New Roman"/>
                <w:bCs/>
                <w:color w:val="000000"/>
                <w:sz w:val="16"/>
                <w:szCs w:val="16"/>
                <w:lang w:eastAsia="en-AU"/>
              </w:rPr>
              <w:t>practices not enrolled in HCH</w:t>
            </w:r>
            <w:r w:rsidRPr="00BE7442">
              <w:rPr>
                <w:rFonts w:eastAsia="Times New Roman"/>
                <w:bCs/>
                <w:color w:val="000000"/>
                <w:sz w:val="16"/>
                <w:szCs w:val="16"/>
                <w:lang w:eastAsia="en-AU"/>
              </w:rPr>
              <w:t>? How did use of services from within the HCH practice change? Did the HCH model result in increased continuity in the provision of primary care?</w:t>
            </w:r>
          </w:p>
        </w:tc>
        <w:tc>
          <w:tcPr>
            <w:tcW w:w="7513" w:type="dxa"/>
            <w:shd w:val="clear" w:color="auto" w:fill="auto"/>
            <w:noWrap/>
            <w:vAlign w:val="bottom"/>
          </w:tcPr>
          <w:p w14:paraId="79C9603E" w14:textId="77777777" w:rsidR="001C19F3" w:rsidRPr="00BE7442" w:rsidRDefault="001C19F3" w:rsidP="00521305">
            <w:pPr>
              <w:spacing w:after="0" w:line="264" w:lineRule="auto"/>
              <w:ind w:left="593" w:hanging="567"/>
              <w:rPr>
                <w:rFonts w:eastAsia="Times New Roman"/>
                <w:color w:val="000000"/>
                <w:sz w:val="16"/>
                <w:szCs w:val="16"/>
                <w:lang w:eastAsia="en-AU"/>
              </w:rPr>
            </w:pPr>
            <w:r>
              <w:rPr>
                <w:rFonts w:eastAsia="Times New Roman"/>
                <w:color w:val="000000"/>
                <w:sz w:val="16"/>
                <w:szCs w:val="16"/>
                <w:lang w:eastAsia="en-AU"/>
              </w:rPr>
              <w:t>3.02.01</w:t>
            </w:r>
            <w:r w:rsidRPr="00BE7442">
              <w:rPr>
                <w:rFonts w:eastAsia="Times New Roman"/>
                <w:color w:val="000000"/>
                <w:sz w:val="16"/>
                <w:szCs w:val="16"/>
                <w:lang w:eastAsia="en-AU"/>
              </w:rPr>
              <w:t xml:space="preserve"> Proportion of patients who increased their assessment of access to care items on the patient survey (aggregated across dimensions and individual item scores) between baseline and final patient survey. (Change in mean scores will also be analysed.)</w:t>
            </w:r>
          </w:p>
        </w:tc>
        <w:tc>
          <w:tcPr>
            <w:tcW w:w="1417" w:type="dxa"/>
          </w:tcPr>
          <w:p w14:paraId="3D7E2A47"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2C28B418"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42FC748" w14:textId="77777777" w:rsidTr="00521305">
        <w:trPr>
          <w:trHeight w:val="300"/>
        </w:trPr>
        <w:tc>
          <w:tcPr>
            <w:tcW w:w="4106" w:type="dxa"/>
            <w:vMerge/>
          </w:tcPr>
          <w:p w14:paraId="64CFE9E8"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tcPr>
          <w:p w14:paraId="174D4A8A"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3.02.</w:t>
            </w:r>
            <w:r>
              <w:rPr>
                <w:rFonts w:eastAsia="Times New Roman"/>
                <w:color w:val="000000"/>
                <w:sz w:val="16"/>
                <w:szCs w:val="16"/>
                <w:lang w:eastAsia="en-AU"/>
              </w:rPr>
              <w:t>0</w:t>
            </w:r>
            <w:r w:rsidRPr="00BE7442">
              <w:rPr>
                <w:rFonts w:eastAsia="Times New Roman"/>
                <w:color w:val="000000"/>
                <w:sz w:val="16"/>
                <w:szCs w:val="16"/>
                <w:lang w:eastAsia="en-AU"/>
              </w:rPr>
              <w:t xml:space="preserve">2 Most frequent improvements </w:t>
            </w:r>
            <w:r>
              <w:rPr>
                <w:rFonts w:eastAsia="Times New Roman"/>
                <w:color w:val="000000"/>
                <w:sz w:val="16"/>
                <w:szCs w:val="16"/>
                <w:lang w:eastAsia="en-AU"/>
              </w:rPr>
              <w:t>i</w:t>
            </w:r>
            <w:r w:rsidRPr="00BE7442">
              <w:rPr>
                <w:rFonts w:eastAsia="Times New Roman"/>
                <w:color w:val="000000"/>
                <w:sz w:val="16"/>
                <w:szCs w:val="16"/>
                <w:lang w:eastAsia="en-AU"/>
              </w:rPr>
              <w:t>n access to care reported by consumers, families and carers (together with descriptions)</w:t>
            </w:r>
            <w:r>
              <w:rPr>
                <w:rFonts w:eastAsia="Times New Roman"/>
                <w:color w:val="000000"/>
                <w:sz w:val="16"/>
                <w:szCs w:val="16"/>
                <w:lang w:eastAsia="en-AU"/>
              </w:rPr>
              <w:t>.</w:t>
            </w:r>
          </w:p>
        </w:tc>
        <w:tc>
          <w:tcPr>
            <w:tcW w:w="1417" w:type="dxa"/>
          </w:tcPr>
          <w:p w14:paraId="0B316122" w14:textId="77777777" w:rsidR="001C19F3" w:rsidRPr="00BE7442" w:rsidRDefault="001C19F3" w:rsidP="00521305">
            <w:pPr>
              <w:spacing w:after="0" w:line="264" w:lineRule="auto"/>
              <w:jc w:val="center"/>
              <w:rPr>
                <w:rFonts w:eastAsia="Times New Roman"/>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hideMark/>
          </w:tcPr>
          <w:p w14:paraId="00681665"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423427D6" w14:textId="77777777" w:rsidTr="00521305">
        <w:trPr>
          <w:trHeight w:val="300"/>
        </w:trPr>
        <w:tc>
          <w:tcPr>
            <w:tcW w:w="4106" w:type="dxa"/>
            <w:vMerge/>
          </w:tcPr>
          <w:p w14:paraId="27FCDD8A"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2ACBCAD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3.02.</w:t>
            </w:r>
            <w:r>
              <w:rPr>
                <w:rFonts w:eastAsia="Times New Roman"/>
                <w:color w:val="000000"/>
                <w:sz w:val="16"/>
                <w:szCs w:val="16"/>
                <w:lang w:eastAsia="en-AU"/>
              </w:rPr>
              <w:t>0</w:t>
            </w:r>
            <w:r w:rsidRPr="00BE7442">
              <w:rPr>
                <w:rFonts w:eastAsia="Times New Roman"/>
                <w:color w:val="000000"/>
                <w:sz w:val="16"/>
                <w:szCs w:val="16"/>
                <w:lang w:eastAsia="en-AU"/>
              </w:rPr>
              <w:t>3 Change in the mean number of services for which unreferred MBS claims have been made in the previous 12 months compared with the change for comparator patients.</w:t>
            </w:r>
            <w:r>
              <w:rPr>
                <w:rFonts w:eastAsia="Times New Roman"/>
                <w:color w:val="000000"/>
                <w:sz w:val="16"/>
                <w:szCs w:val="16"/>
                <w:lang w:eastAsia="en-AU"/>
              </w:rPr>
              <w:t xml:space="preserve"> (See Note 2)</w:t>
            </w:r>
            <w:r w:rsidRPr="00BE7442">
              <w:rPr>
                <w:rFonts w:eastAsia="Times New Roman"/>
                <w:color w:val="000000"/>
                <w:sz w:val="16"/>
                <w:szCs w:val="16"/>
                <w:lang w:eastAsia="en-AU"/>
              </w:rPr>
              <w:t xml:space="preserve"> (Note</w:t>
            </w:r>
            <w:r>
              <w:rPr>
                <w:rFonts w:eastAsia="Times New Roman"/>
                <w:color w:val="000000"/>
                <w:sz w:val="16"/>
                <w:szCs w:val="16"/>
                <w:lang w:eastAsia="en-AU"/>
              </w:rPr>
              <w:t>:</w:t>
            </w:r>
            <w:r w:rsidRPr="00BE7442">
              <w:rPr>
                <w:rFonts w:eastAsia="Times New Roman"/>
                <w:color w:val="000000"/>
                <w:sz w:val="16"/>
                <w:szCs w:val="16"/>
                <w:lang w:eastAsia="en-AU"/>
              </w:rPr>
              <w:t xml:space="preserve"> for HCH patients, levels of service will be estimated by using practice data extracts to identify equivalent services claimable under MBS</w:t>
            </w:r>
            <w:r>
              <w:rPr>
                <w:rFonts w:eastAsia="Times New Roman"/>
                <w:color w:val="000000"/>
                <w:sz w:val="16"/>
                <w:szCs w:val="16"/>
                <w:lang w:eastAsia="en-AU"/>
              </w:rPr>
              <w:t>.</w:t>
            </w:r>
            <w:r w:rsidRPr="00BE7442">
              <w:rPr>
                <w:rFonts w:eastAsia="Times New Roman"/>
                <w:color w:val="000000"/>
                <w:sz w:val="16"/>
                <w:szCs w:val="16"/>
                <w:lang w:eastAsia="en-AU"/>
              </w:rPr>
              <w:t>)</w:t>
            </w:r>
          </w:p>
        </w:tc>
        <w:tc>
          <w:tcPr>
            <w:tcW w:w="1417" w:type="dxa"/>
          </w:tcPr>
          <w:p w14:paraId="6730FCBB" w14:textId="77777777" w:rsidR="001C19F3" w:rsidRPr="00BE7442" w:rsidRDefault="001C19F3" w:rsidP="00521305">
            <w:pPr>
              <w:spacing w:after="0" w:line="264" w:lineRule="auto"/>
              <w:jc w:val="center"/>
              <w:rPr>
                <w:rFonts w:eastAsia="Times New Roman"/>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5D5C8A58" w14:textId="77777777" w:rsidR="001C19F3" w:rsidRPr="00BE7442" w:rsidRDefault="001C19F3" w:rsidP="00521305">
            <w:pPr>
              <w:spacing w:after="0" w:line="264" w:lineRule="auto"/>
              <w:ind w:firstLineChars="300" w:firstLine="480"/>
              <w:jc w:val="center"/>
              <w:rPr>
                <w:rFonts w:eastAsia="Times New Roman"/>
                <w:color w:val="000000"/>
                <w:sz w:val="16"/>
                <w:szCs w:val="16"/>
                <w:lang w:eastAsia="en-AU"/>
              </w:rPr>
            </w:pPr>
          </w:p>
        </w:tc>
      </w:tr>
      <w:tr w:rsidR="001C19F3" w:rsidRPr="00BE7442" w14:paraId="505AAD99" w14:textId="77777777" w:rsidTr="00521305">
        <w:trPr>
          <w:trHeight w:val="300"/>
        </w:trPr>
        <w:tc>
          <w:tcPr>
            <w:tcW w:w="4106" w:type="dxa"/>
            <w:vMerge/>
          </w:tcPr>
          <w:p w14:paraId="65E91CB9"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3AFFD932"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3.02.</w:t>
            </w:r>
            <w:r>
              <w:rPr>
                <w:rFonts w:eastAsia="Times New Roman"/>
                <w:color w:val="000000"/>
                <w:sz w:val="16"/>
                <w:szCs w:val="16"/>
                <w:lang w:eastAsia="en-AU"/>
              </w:rPr>
              <w:t>0</w:t>
            </w:r>
            <w:r w:rsidRPr="00BE7442">
              <w:rPr>
                <w:rFonts w:eastAsia="Times New Roman"/>
                <w:color w:val="000000"/>
                <w:sz w:val="16"/>
                <w:szCs w:val="16"/>
                <w:lang w:eastAsia="en-AU"/>
              </w:rPr>
              <w:t>4 Change in the proportion of primary care services delivered across modalities (face-to-face, telemedicine, email) and staff type (GP, practice nurse, nurse practitioner, allied health, Aboriginal Health Worker) in the previous 12 months between</w:t>
            </w:r>
            <w:r>
              <w:rPr>
                <w:rFonts w:eastAsia="Times New Roman"/>
                <w:color w:val="000000"/>
                <w:sz w:val="16"/>
                <w:szCs w:val="16"/>
                <w:lang w:eastAsia="en-AU"/>
              </w:rPr>
              <w:t>:</w:t>
            </w:r>
            <w:r w:rsidRPr="00BE7442">
              <w:rPr>
                <w:rFonts w:eastAsia="Times New Roman"/>
                <w:color w:val="000000"/>
                <w:sz w:val="16"/>
                <w:szCs w:val="16"/>
                <w:lang w:eastAsia="en-AU"/>
              </w:rPr>
              <w:t xml:space="preserve"> (a) entry to the HCH program; and (b) the anniversary of entry to the program</w:t>
            </w:r>
            <w:r>
              <w:rPr>
                <w:rFonts w:eastAsia="Times New Roman"/>
                <w:color w:val="000000"/>
                <w:sz w:val="16"/>
                <w:szCs w:val="16"/>
                <w:lang w:eastAsia="en-AU"/>
              </w:rPr>
              <w:t>.</w:t>
            </w:r>
          </w:p>
        </w:tc>
        <w:tc>
          <w:tcPr>
            <w:tcW w:w="1417" w:type="dxa"/>
          </w:tcPr>
          <w:p w14:paraId="043C33E7" w14:textId="77777777" w:rsidR="001C19F3" w:rsidRPr="00BE7442" w:rsidRDefault="001C19F3" w:rsidP="00521305">
            <w:pPr>
              <w:spacing w:after="0" w:line="264" w:lineRule="auto"/>
              <w:jc w:val="center"/>
              <w:rPr>
                <w:rFonts w:eastAsia="Times New Roman"/>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149FC524" w14:textId="77777777" w:rsidR="001C19F3" w:rsidRPr="00BE7442" w:rsidRDefault="001C19F3" w:rsidP="00521305">
            <w:pPr>
              <w:spacing w:after="0" w:line="264" w:lineRule="auto"/>
              <w:ind w:firstLineChars="300" w:firstLine="480"/>
              <w:jc w:val="center"/>
              <w:rPr>
                <w:rFonts w:eastAsia="Times New Roman"/>
                <w:color w:val="000000"/>
                <w:sz w:val="16"/>
                <w:szCs w:val="16"/>
                <w:lang w:eastAsia="en-AU"/>
              </w:rPr>
            </w:pPr>
          </w:p>
        </w:tc>
      </w:tr>
      <w:tr w:rsidR="001C19F3" w:rsidRPr="00BE7442" w14:paraId="67E55269" w14:textId="77777777" w:rsidTr="00521305">
        <w:trPr>
          <w:trHeight w:val="300"/>
        </w:trPr>
        <w:tc>
          <w:tcPr>
            <w:tcW w:w="4106" w:type="dxa"/>
            <w:vMerge/>
          </w:tcPr>
          <w:p w14:paraId="41C2B746"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noWrap/>
            <w:vAlign w:val="bottom"/>
          </w:tcPr>
          <w:p w14:paraId="65FDD976"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3.02.</w:t>
            </w:r>
            <w:r>
              <w:rPr>
                <w:rFonts w:eastAsia="Times New Roman"/>
                <w:color w:val="000000"/>
                <w:sz w:val="16"/>
                <w:szCs w:val="16"/>
                <w:lang w:eastAsia="en-AU"/>
              </w:rPr>
              <w:t>0</w:t>
            </w:r>
            <w:r w:rsidRPr="00BE7442">
              <w:rPr>
                <w:rFonts w:eastAsia="Times New Roman"/>
                <w:color w:val="000000"/>
                <w:sz w:val="16"/>
                <w:szCs w:val="16"/>
                <w:lang w:eastAsia="en-AU"/>
              </w:rPr>
              <w:t xml:space="preserve">5 Change in non-referred services delivered by HCH practices as a proportion of all primary care providers. (An additional formulation of this measure will include </w:t>
            </w:r>
            <w:r>
              <w:rPr>
                <w:rFonts w:eastAsia="Times New Roman"/>
                <w:color w:val="000000"/>
                <w:sz w:val="16"/>
                <w:szCs w:val="16"/>
                <w:lang w:eastAsia="en-AU"/>
              </w:rPr>
              <w:t>emergency department</w:t>
            </w:r>
            <w:r w:rsidRPr="00BE7442">
              <w:rPr>
                <w:rFonts w:eastAsia="Times New Roman"/>
                <w:color w:val="000000"/>
                <w:sz w:val="16"/>
                <w:szCs w:val="16"/>
                <w:lang w:eastAsia="en-AU"/>
              </w:rPr>
              <w:t xml:space="preserve"> presentations in the numerator of total non-referred services</w:t>
            </w:r>
            <w:r>
              <w:rPr>
                <w:rFonts w:eastAsia="Times New Roman"/>
                <w:color w:val="000000"/>
                <w:sz w:val="16"/>
                <w:szCs w:val="16"/>
                <w:lang w:eastAsia="en-AU"/>
              </w:rPr>
              <w:t>.</w:t>
            </w:r>
            <w:r w:rsidRPr="00BE7442">
              <w:rPr>
                <w:rFonts w:eastAsia="Times New Roman"/>
                <w:color w:val="000000"/>
                <w:sz w:val="16"/>
                <w:szCs w:val="16"/>
                <w:lang w:eastAsia="en-AU"/>
              </w:rPr>
              <w:t>)</w:t>
            </w:r>
          </w:p>
        </w:tc>
        <w:tc>
          <w:tcPr>
            <w:tcW w:w="1417" w:type="dxa"/>
          </w:tcPr>
          <w:p w14:paraId="568C6652"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EC0E56">
              <w:rPr>
                <w:rFonts w:eastAsia="Times New Roman"/>
                <w:color w:val="000000"/>
                <w:sz w:val="16"/>
                <w:szCs w:val="16"/>
                <w:lang w:eastAsia="en-AU"/>
              </w:rPr>
              <w:t>N</w:t>
            </w:r>
          </w:p>
        </w:tc>
        <w:tc>
          <w:tcPr>
            <w:tcW w:w="1248" w:type="dxa"/>
            <w:shd w:val="clear" w:color="auto" w:fill="auto"/>
            <w:noWrap/>
          </w:tcPr>
          <w:p w14:paraId="633E4B8D"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3E96669" w14:textId="77777777" w:rsidTr="00521305">
        <w:trPr>
          <w:trHeight w:val="300"/>
        </w:trPr>
        <w:tc>
          <w:tcPr>
            <w:tcW w:w="4106" w:type="dxa"/>
            <w:vMerge/>
          </w:tcPr>
          <w:p w14:paraId="63977F74"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noWrap/>
            <w:vAlign w:val="bottom"/>
          </w:tcPr>
          <w:p w14:paraId="460161E7"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3.02.</w:t>
            </w:r>
            <w:r>
              <w:rPr>
                <w:rFonts w:eastAsia="Times New Roman"/>
                <w:color w:val="000000"/>
                <w:sz w:val="16"/>
                <w:szCs w:val="16"/>
                <w:lang w:eastAsia="en-AU"/>
              </w:rPr>
              <w:t>0</w:t>
            </w:r>
            <w:r w:rsidRPr="00BE7442">
              <w:rPr>
                <w:rFonts w:eastAsia="Times New Roman"/>
                <w:color w:val="000000"/>
                <w:sz w:val="16"/>
                <w:szCs w:val="16"/>
                <w:lang w:eastAsia="en-AU"/>
              </w:rPr>
              <w:t>6 Change in indices of care continuity and care density for</w:t>
            </w:r>
            <w:r>
              <w:rPr>
                <w:rFonts w:eastAsia="Times New Roman"/>
                <w:color w:val="000000"/>
                <w:sz w:val="16"/>
                <w:szCs w:val="16"/>
                <w:lang w:eastAsia="en-AU"/>
              </w:rPr>
              <w:t xml:space="preserve"> the</w:t>
            </w:r>
            <w:r w:rsidRPr="00BE7442">
              <w:rPr>
                <w:rFonts w:eastAsia="Times New Roman"/>
                <w:color w:val="000000"/>
                <w:sz w:val="16"/>
                <w:szCs w:val="16"/>
                <w:lang w:eastAsia="en-AU"/>
              </w:rPr>
              <w:t xml:space="preserve"> previous 12 months compared with the change for comparator patients</w:t>
            </w:r>
            <w:r>
              <w:rPr>
                <w:rFonts w:eastAsia="Times New Roman"/>
                <w:color w:val="000000"/>
                <w:sz w:val="16"/>
                <w:szCs w:val="16"/>
                <w:lang w:eastAsia="en-AU"/>
              </w:rPr>
              <w:t>.</w:t>
            </w:r>
            <w:r w:rsidRPr="00BE7442">
              <w:rPr>
                <w:rFonts w:eastAsia="Times New Roman"/>
                <w:color w:val="000000"/>
                <w:sz w:val="16"/>
                <w:szCs w:val="16"/>
                <w:lang w:eastAsia="en-AU"/>
              </w:rPr>
              <w:t xml:space="preserve"> (Note for HCH patients, levels of service will be estimated by using practice data extracts to identify equivalent services claimable </w:t>
            </w:r>
            <w:r w:rsidRPr="00C169C6">
              <w:rPr>
                <w:rFonts w:eastAsia="Times New Roman"/>
                <w:color w:val="000000"/>
                <w:sz w:val="16"/>
                <w:szCs w:val="16"/>
                <w:lang w:eastAsia="en-AU"/>
              </w:rPr>
              <w:t>under MBS.) Indices include: usual provider of care (UPC) index (</w:t>
            </w:r>
            <w:hyperlink w:anchor="_ENREF_40" w:tooltip="Saultz, 2003 #798" w:history="1">
              <w:r w:rsidRPr="00C169C6">
                <w:rPr>
                  <w:rFonts w:eastAsia="Times New Roman"/>
                  <w:color w:val="000000"/>
                  <w:sz w:val="16"/>
                  <w:szCs w:val="16"/>
                  <w:lang w:eastAsia="en-AU"/>
                </w:rPr>
                <w:fldChar w:fldCharType="begin"/>
              </w:r>
              <w:r>
                <w:rPr>
                  <w:rFonts w:eastAsia="Times New Roman"/>
                  <w:color w:val="000000"/>
                  <w:sz w:val="16"/>
                  <w:szCs w:val="16"/>
                  <w:lang w:eastAsia="en-AU"/>
                </w:rPr>
                <w:instrText xml:space="preserve"> ADDIN EN.CITE &lt;EndNote&gt;&lt;Cite&gt;&lt;Author&gt;Saultz&lt;/Author&gt;&lt;Year&gt;2003&lt;/Year&gt;&lt;RecNum&gt;798&lt;/RecNum&gt;&lt;DisplayText&gt;Saultz, 2003&lt;/DisplayText&gt;&lt;record&gt;&lt;rec-number&gt;798&lt;/rec-number&gt;&lt;foreign-keys&gt;&lt;key app="EN" db-id="zdz9xax04zr9v0evw2nvrpw9xe9ttzvs5zsv" timestamp="1497364405"&gt;798&lt;/key&gt;&lt;/foreign-keys&gt;&lt;ref-type name="Journal Article"&gt;17&lt;/ref-type&gt;&lt;contributors&gt;&lt;authors&gt;&lt;author&gt;Saultz, John W.&lt;/author&gt;&lt;/authors&gt;&lt;/contributors&gt;&lt;titles&gt;&lt;title&gt;Defining and Measuring Interpersonal Continuity of Care&lt;/title&gt;&lt;secondary-title&gt;The Annals of Family Medicine&lt;/secondary-title&gt;&lt;/titles&gt;&lt;periodical&gt;&lt;full-title&gt;The Annals of Family Medicine&lt;/full-title&gt;&lt;/periodical&gt;&lt;pages&gt;134-143&lt;/pages&gt;&lt;volume&gt;1&lt;/volume&gt;&lt;number&gt;3&lt;/number&gt;&lt;dates&gt;&lt;year&gt;2003&lt;/year&gt;&lt;pub-dates&gt;&lt;date&gt;September 1, 2003&lt;/date&gt;&lt;/pub-dates&gt;&lt;/dates&gt;&lt;urls&gt;&lt;related-urls&gt;&lt;url&gt;http://www.annfammed.org/content/1/3/134.abstract&lt;/url&gt;&lt;/related-urls&gt;&lt;/urls&gt;&lt;electronic-resource-num&gt;10.1370/afm.23&lt;/electronic-resource-num&gt;&lt;/record&gt;&lt;/Cite&gt;&lt;/EndNote&gt;</w:instrText>
              </w:r>
              <w:r w:rsidRPr="00C169C6">
                <w:rPr>
                  <w:rFonts w:eastAsia="Times New Roman"/>
                  <w:color w:val="000000"/>
                  <w:sz w:val="16"/>
                  <w:szCs w:val="16"/>
                  <w:lang w:eastAsia="en-AU"/>
                </w:rPr>
                <w:fldChar w:fldCharType="separate"/>
              </w:r>
              <w:r>
                <w:rPr>
                  <w:rFonts w:eastAsia="Times New Roman"/>
                  <w:noProof/>
                  <w:color w:val="000000"/>
                  <w:sz w:val="16"/>
                  <w:szCs w:val="16"/>
                  <w:lang w:eastAsia="en-AU"/>
                </w:rPr>
                <w:t>Saultz, 2003</w:t>
              </w:r>
              <w:r w:rsidRPr="00C169C6">
                <w:rPr>
                  <w:rFonts w:eastAsia="Times New Roman"/>
                  <w:color w:val="000000"/>
                  <w:sz w:val="16"/>
                  <w:szCs w:val="16"/>
                  <w:lang w:eastAsia="en-AU"/>
                </w:rPr>
                <w:fldChar w:fldCharType="end"/>
              </w:r>
            </w:hyperlink>
            <w:r w:rsidRPr="00C169C6">
              <w:rPr>
                <w:rFonts w:eastAsia="Times New Roman"/>
                <w:color w:val="000000"/>
                <w:sz w:val="16"/>
                <w:szCs w:val="16"/>
                <w:lang w:eastAsia="en-AU"/>
              </w:rPr>
              <w:t>), Bice Boxerman Continuity of Care (COC) index (</w:t>
            </w:r>
            <w:hyperlink w:anchor="_ENREF_6" w:tooltip="Bice, 1977 #797" w:history="1">
              <w:r w:rsidRPr="00C169C6">
                <w:rPr>
                  <w:rFonts w:eastAsia="Times New Roman"/>
                  <w:color w:val="000000"/>
                  <w:sz w:val="16"/>
                  <w:szCs w:val="16"/>
                  <w:lang w:eastAsia="en-AU"/>
                </w:rPr>
                <w:fldChar w:fldCharType="begin"/>
              </w:r>
              <w:r>
                <w:rPr>
                  <w:rFonts w:eastAsia="Times New Roman"/>
                  <w:color w:val="000000"/>
                  <w:sz w:val="16"/>
                  <w:szCs w:val="16"/>
                  <w:lang w:eastAsia="en-AU"/>
                </w:rPr>
                <w:instrText xml:space="preserve"> ADDIN EN.CITE &lt;EndNote&gt;&lt;Cite&gt;&lt;Author&gt;Bice&lt;/Author&gt;&lt;Year&gt;1977&lt;/Year&gt;&lt;RecNum&gt;797&lt;/RecNum&gt;&lt;DisplayText&gt;Bice and Boxerman, 1977&lt;/DisplayText&gt;&lt;record&gt;&lt;rec-number&gt;797&lt;/rec-number&gt;&lt;foreign-keys&gt;&lt;key app="EN" db-id="zdz9xax04zr9v0evw2nvrpw9xe9ttzvs5zsv" timestamp="1497364023"&gt;797&lt;/key&gt;&lt;/foreign-keys&gt;&lt;ref-type name="Journal Article"&gt;17&lt;/ref-type&gt;&lt;contributors&gt;&lt;authors&gt;&lt;author&gt;Bice, T. W.&lt;/author&gt;&lt;author&gt;Boxerman, S. B.&lt;/author&gt;&lt;/authors&gt;&lt;/contributors&gt;&lt;titles&gt;&lt;title&gt;A quantitative measure of continuity of care&lt;/title&gt;&lt;secondary-title&gt;Med Care&lt;/secondary-title&gt;&lt;alt-title&gt;Medical care&lt;/alt-title&gt;&lt;/titles&gt;&lt;periodical&gt;&lt;full-title&gt;Med Care&lt;/full-title&gt;&lt;/periodical&gt;&lt;alt-periodical&gt;&lt;full-title&gt;Medical Care&lt;/full-title&gt;&lt;/alt-periodical&gt;&lt;pages&gt;347-9&lt;/pages&gt;&lt;volume&gt;15&lt;/volume&gt;&lt;number&gt;4&lt;/number&gt;&lt;edition&gt;1977/04/01&lt;/edition&gt;&lt;keywords&gt;&lt;keyword&gt;*Comprehensive Health Care&lt;/keyword&gt;&lt;keyword&gt;*Continuity of Patient Care&lt;/keyword&gt;&lt;keyword&gt;Delivery of Health Care&lt;/keyword&gt;&lt;keyword&gt;Humans&lt;/keyword&gt;&lt;keyword&gt;Physicians/utilization&lt;/keyword&gt;&lt;keyword&gt;Referral and Consultation&lt;/keyword&gt;&lt;keyword&gt;Statistics as Topic&lt;/keyword&gt;&lt;/keywords&gt;&lt;dates&gt;&lt;year&gt;1977&lt;/year&gt;&lt;pub-dates&gt;&lt;date&gt;Apr&lt;/date&gt;&lt;/pub-dates&gt;&lt;/dates&gt;&lt;isbn&gt;0025-7079 (Print)&amp;#xD;0025-7079&lt;/isbn&gt;&lt;accession-num&gt;859364&lt;/accession-num&gt;&lt;urls&gt;&lt;/urls&gt;&lt;remote-database-provider&gt;Nlm&lt;/remote-database-provider&gt;&lt;language&gt;eng&lt;/language&gt;&lt;/record&gt;&lt;/Cite&gt;&lt;/EndNote&gt;</w:instrText>
              </w:r>
              <w:r w:rsidRPr="00C169C6">
                <w:rPr>
                  <w:rFonts w:eastAsia="Times New Roman"/>
                  <w:color w:val="000000"/>
                  <w:sz w:val="16"/>
                  <w:szCs w:val="16"/>
                  <w:lang w:eastAsia="en-AU"/>
                </w:rPr>
                <w:fldChar w:fldCharType="separate"/>
              </w:r>
              <w:r>
                <w:rPr>
                  <w:rFonts w:eastAsia="Times New Roman"/>
                  <w:noProof/>
                  <w:color w:val="000000"/>
                  <w:sz w:val="16"/>
                  <w:szCs w:val="16"/>
                  <w:lang w:eastAsia="en-AU"/>
                </w:rPr>
                <w:t>Bice and Boxerman, 1977</w:t>
              </w:r>
              <w:r w:rsidRPr="00C169C6">
                <w:rPr>
                  <w:rFonts w:eastAsia="Times New Roman"/>
                  <w:color w:val="000000"/>
                  <w:sz w:val="16"/>
                  <w:szCs w:val="16"/>
                  <w:lang w:eastAsia="en-AU"/>
                </w:rPr>
                <w:fldChar w:fldCharType="end"/>
              </w:r>
            </w:hyperlink>
            <w:r w:rsidRPr="00C169C6">
              <w:rPr>
                <w:rFonts w:eastAsia="Times New Roman"/>
                <w:color w:val="000000"/>
                <w:sz w:val="16"/>
                <w:szCs w:val="16"/>
                <w:lang w:eastAsia="en-AU"/>
              </w:rPr>
              <w:t>), a</w:t>
            </w:r>
            <w:r w:rsidRPr="00BE7442">
              <w:rPr>
                <w:rFonts w:eastAsia="Times New Roman"/>
                <w:color w:val="000000"/>
                <w:sz w:val="16"/>
                <w:szCs w:val="16"/>
                <w:lang w:eastAsia="en-AU"/>
              </w:rPr>
              <w:t>nd Care Density Index</w:t>
            </w:r>
            <w:r>
              <w:rPr>
                <w:rFonts w:eastAsia="Times New Roman"/>
                <w:color w:val="000000"/>
                <w:sz w:val="16"/>
                <w:szCs w:val="16"/>
                <w:lang w:eastAsia="en-AU"/>
              </w:rPr>
              <w:t xml:space="preserve"> (</w:t>
            </w:r>
            <w:hyperlink w:anchor="_ENREF_32" w:tooltip="Pollack, 2013 #18" w:history="1">
              <w:r>
                <w:rPr>
                  <w:rFonts w:eastAsia="Times New Roman"/>
                  <w:color w:val="000000"/>
                  <w:sz w:val="16"/>
                  <w:szCs w:val="16"/>
                  <w:lang w:eastAsia="en-AU"/>
                </w:rPr>
                <w:fldChar w:fldCharType="begin">
                  <w:fldData xml:space="preserve">PEVuZE5vdGU+PENpdGU+PEF1dGhvcj5Qb2xsYWNrPC9BdXRob3I+PFllYXI+MjAxMzwvWWVhcj48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</w:fldData>
                </w:fldChar>
              </w:r>
              <w:r>
                <w:rPr>
                  <w:rFonts w:eastAsia="Times New Roman"/>
                  <w:color w:val="000000"/>
                  <w:sz w:val="16"/>
                  <w:szCs w:val="16"/>
                  <w:lang w:eastAsia="en-AU"/>
                </w:rPr>
                <w:instrText xml:space="preserve"> ADDIN EN.CITE </w:instrText>
              </w:r>
              <w:r>
                <w:rPr>
                  <w:rFonts w:eastAsia="Times New Roman"/>
                  <w:color w:val="000000"/>
                  <w:sz w:val="16"/>
                  <w:szCs w:val="16"/>
                  <w:lang w:eastAsia="en-AU"/>
                </w:rPr>
                <w:fldChar w:fldCharType="begin">
                  <w:fldData xml:space="preserve">PEVuZE5vdGU+PENpdGU+PEF1dGhvcj5Qb2xsYWNrPC9BdXRob3I+PFllYXI+MjAxMzwvWWVhcj48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</w:fldData>
                </w:fldChar>
              </w:r>
              <w:r>
                <w:rPr>
                  <w:rFonts w:eastAsia="Times New Roman"/>
                  <w:color w:val="000000"/>
                  <w:sz w:val="16"/>
                  <w:szCs w:val="16"/>
                  <w:lang w:eastAsia="en-AU"/>
                </w:rPr>
                <w:instrText xml:space="preserve"> ADDIN EN.CITE.DATA </w:instrText>
              </w:r>
              <w:r>
                <w:rPr>
                  <w:rFonts w:eastAsia="Times New Roman"/>
                  <w:color w:val="000000"/>
                  <w:sz w:val="16"/>
                  <w:szCs w:val="16"/>
                  <w:lang w:eastAsia="en-AU"/>
                </w:rPr>
              </w:r>
              <w:r>
                <w:rPr>
                  <w:rFonts w:eastAsia="Times New Roman"/>
                  <w:color w:val="000000"/>
                  <w:sz w:val="16"/>
                  <w:szCs w:val="16"/>
                  <w:lang w:eastAsia="en-AU"/>
                </w:rPr>
                <w:fldChar w:fldCharType="end"/>
              </w:r>
              <w:r>
                <w:rPr>
                  <w:rFonts w:eastAsia="Times New Roman"/>
                  <w:color w:val="000000"/>
                  <w:sz w:val="16"/>
                  <w:szCs w:val="16"/>
                  <w:lang w:eastAsia="en-AU"/>
                </w:rPr>
              </w:r>
              <w:r>
                <w:rPr>
                  <w:rFonts w:eastAsia="Times New Roman"/>
                  <w:color w:val="000000"/>
                  <w:sz w:val="16"/>
                  <w:szCs w:val="16"/>
                  <w:lang w:eastAsia="en-AU"/>
                </w:rPr>
                <w:fldChar w:fldCharType="separate"/>
              </w:r>
              <w:r>
                <w:rPr>
                  <w:rFonts w:eastAsia="Times New Roman"/>
                  <w:noProof/>
                  <w:color w:val="000000"/>
                  <w:sz w:val="16"/>
                  <w:szCs w:val="16"/>
                  <w:lang w:eastAsia="en-AU"/>
                </w:rPr>
                <w:t>Pollack, Weissman, Lemke et al., 2013</w:t>
              </w:r>
              <w:r>
                <w:rPr>
                  <w:rFonts w:eastAsia="Times New Roman"/>
                  <w:color w:val="000000"/>
                  <w:sz w:val="16"/>
                  <w:szCs w:val="16"/>
                  <w:lang w:eastAsia="en-AU"/>
                </w:rPr>
                <w:fldChar w:fldCharType="end"/>
              </w:r>
            </w:hyperlink>
            <w:r>
              <w:rPr>
                <w:rFonts w:eastAsia="Times New Roman"/>
                <w:color w:val="000000"/>
                <w:sz w:val="16"/>
                <w:szCs w:val="16"/>
                <w:lang w:eastAsia="en-AU"/>
              </w:rPr>
              <w:t>)</w:t>
            </w:r>
            <w:r w:rsidRPr="00BE7442">
              <w:rPr>
                <w:rFonts w:eastAsia="Times New Roman"/>
                <w:color w:val="000000"/>
                <w:sz w:val="16"/>
                <w:szCs w:val="16"/>
                <w:lang w:eastAsia="en-AU"/>
              </w:rPr>
              <w:t>.</w:t>
            </w:r>
            <w:r>
              <w:rPr>
                <w:rFonts w:eastAsia="Times New Roman"/>
                <w:color w:val="000000"/>
                <w:sz w:val="16"/>
                <w:szCs w:val="16"/>
                <w:lang w:eastAsia="en-AU"/>
              </w:rPr>
              <w:t xml:space="preserve"> (See Note 2)</w:t>
            </w:r>
          </w:p>
        </w:tc>
        <w:tc>
          <w:tcPr>
            <w:tcW w:w="1417" w:type="dxa"/>
          </w:tcPr>
          <w:p w14:paraId="3E15AFD0" w14:textId="77777777" w:rsidR="001C19F3" w:rsidRPr="00BE7442" w:rsidRDefault="001C19F3" w:rsidP="00521305">
            <w:pPr>
              <w:spacing w:after="0" w:line="264" w:lineRule="auto"/>
              <w:jc w:val="center"/>
              <w:rPr>
                <w:rFonts w:ascii="Calibri" w:eastAsia="Times New Roman" w:hAnsi="Calibri"/>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tcPr>
          <w:p w14:paraId="610690AF"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D754A65" w14:textId="77777777" w:rsidTr="00521305">
        <w:trPr>
          <w:trHeight w:val="300"/>
        </w:trPr>
        <w:tc>
          <w:tcPr>
            <w:tcW w:w="4106" w:type="dxa"/>
            <w:vMerge w:val="restart"/>
          </w:tcPr>
          <w:p w14:paraId="3C0AA602"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 xml:space="preserve">3.03 How did the </w:t>
            </w:r>
            <w:r>
              <w:rPr>
                <w:rFonts w:eastAsia="Times New Roman"/>
                <w:bCs/>
                <w:color w:val="000000"/>
                <w:sz w:val="16"/>
                <w:szCs w:val="16"/>
                <w:lang w:eastAsia="en-AU"/>
              </w:rPr>
              <w:t>use</w:t>
            </w:r>
            <w:r w:rsidRPr="00BE7442">
              <w:rPr>
                <w:rFonts w:eastAsia="Times New Roman"/>
                <w:bCs/>
                <w:color w:val="000000"/>
                <w:sz w:val="16"/>
                <w:szCs w:val="16"/>
                <w:lang w:eastAsia="en-AU"/>
              </w:rPr>
              <w:t xml:space="preserve"> of secondary care and other community-based services change for HCH patients compared with similar patients </w:t>
            </w:r>
            <w:r>
              <w:rPr>
                <w:rFonts w:eastAsia="Times New Roman"/>
                <w:bCs/>
                <w:color w:val="000000"/>
                <w:sz w:val="16"/>
                <w:szCs w:val="16"/>
                <w:lang w:eastAsia="en-AU"/>
              </w:rPr>
              <w:t>in practices not enrolled in HCH</w:t>
            </w:r>
            <w:r w:rsidRPr="00BE7442">
              <w:rPr>
                <w:rFonts w:eastAsia="Times New Roman"/>
                <w:bCs/>
                <w:color w:val="000000"/>
                <w:sz w:val="16"/>
                <w:szCs w:val="16"/>
                <w:lang w:eastAsia="en-AU"/>
              </w:rPr>
              <w:t>? Was there improved coordination of services between primary care and other service providers?</w:t>
            </w:r>
          </w:p>
        </w:tc>
        <w:tc>
          <w:tcPr>
            <w:tcW w:w="7513" w:type="dxa"/>
            <w:shd w:val="clear" w:color="auto" w:fill="auto"/>
            <w:vAlign w:val="bottom"/>
          </w:tcPr>
          <w:p w14:paraId="7F8F68B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3.03.</w:t>
            </w:r>
            <w:r>
              <w:rPr>
                <w:rFonts w:eastAsia="Times New Roman"/>
                <w:color w:val="000000"/>
                <w:sz w:val="16"/>
                <w:szCs w:val="16"/>
                <w:lang w:eastAsia="en-AU"/>
              </w:rPr>
              <w:t>0</w:t>
            </w:r>
            <w:r w:rsidRPr="00BE7442">
              <w:rPr>
                <w:rFonts w:eastAsia="Times New Roman"/>
                <w:color w:val="000000"/>
                <w:sz w:val="16"/>
                <w:szCs w:val="16"/>
                <w:lang w:eastAsia="en-AU"/>
              </w:rPr>
              <w:t>1 Change in the mean number of claims for allied health services available under MBS for people with chronic diseases (MBS Items 10950-10970;81100-81125)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3BB184C8"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hideMark/>
          </w:tcPr>
          <w:p w14:paraId="243FC500"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DB0978F" w14:textId="77777777" w:rsidTr="00521305">
        <w:trPr>
          <w:trHeight w:val="300"/>
        </w:trPr>
        <w:tc>
          <w:tcPr>
            <w:tcW w:w="4106" w:type="dxa"/>
            <w:vMerge/>
          </w:tcPr>
          <w:p w14:paraId="57B3E3C6"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2B361007"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3.03.</w:t>
            </w:r>
            <w:r>
              <w:rPr>
                <w:rFonts w:eastAsia="Times New Roman"/>
                <w:color w:val="000000"/>
                <w:sz w:val="16"/>
                <w:szCs w:val="16"/>
                <w:lang w:eastAsia="en-AU"/>
              </w:rPr>
              <w:t>0</w:t>
            </w:r>
            <w:r w:rsidRPr="00BE7442">
              <w:rPr>
                <w:rFonts w:eastAsia="Times New Roman"/>
                <w:color w:val="000000"/>
                <w:sz w:val="16"/>
                <w:szCs w:val="16"/>
                <w:lang w:eastAsia="en-AU"/>
              </w:rPr>
              <w:t>2 Change in the mean number of specialist, pathology and imaging services for which MBS claims have been made in in the previous 12 months compared with the change for comparator patients.</w:t>
            </w:r>
            <w:r>
              <w:rPr>
                <w:rFonts w:eastAsia="Times New Roman"/>
                <w:color w:val="000000"/>
                <w:sz w:val="16"/>
                <w:szCs w:val="16"/>
                <w:lang w:eastAsia="en-AU"/>
              </w:rPr>
              <w:t xml:space="preserve"> (See Note 2)</w:t>
            </w:r>
            <w:r w:rsidRPr="00BE7442">
              <w:rPr>
                <w:rFonts w:eastAsia="Times New Roman"/>
                <w:color w:val="000000"/>
                <w:sz w:val="16"/>
                <w:szCs w:val="16"/>
                <w:lang w:eastAsia="en-AU"/>
              </w:rPr>
              <w:t xml:space="preserve"> (Note for HCH patients, levels of service will be estimated by using practice data extracts to identify equivalent services claimable under MBS</w:t>
            </w:r>
            <w:r>
              <w:rPr>
                <w:rFonts w:eastAsia="Times New Roman"/>
                <w:color w:val="000000"/>
                <w:sz w:val="16"/>
                <w:szCs w:val="16"/>
                <w:lang w:eastAsia="en-AU"/>
              </w:rPr>
              <w:t>.</w:t>
            </w:r>
            <w:r w:rsidRPr="00BE7442">
              <w:rPr>
                <w:rFonts w:eastAsia="Times New Roman"/>
                <w:color w:val="000000"/>
                <w:sz w:val="16"/>
                <w:szCs w:val="16"/>
                <w:lang w:eastAsia="en-AU"/>
              </w:rPr>
              <w:t>)</w:t>
            </w:r>
          </w:p>
        </w:tc>
        <w:tc>
          <w:tcPr>
            <w:tcW w:w="1417" w:type="dxa"/>
          </w:tcPr>
          <w:p w14:paraId="5411A200"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tcPr>
          <w:p w14:paraId="4380C273"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904A65C" w14:textId="77777777" w:rsidTr="00521305">
        <w:trPr>
          <w:trHeight w:val="300"/>
        </w:trPr>
        <w:tc>
          <w:tcPr>
            <w:tcW w:w="4106" w:type="dxa"/>
            <w:vMerge/>
          </w:tcPr>
          <w:p w14:paraId="3AB3245D"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0586CE58"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3.03.</w:t>
            </w:r>
            <w:r>
              <w:rPr>
                <w:rFonts w:eastAsia="Times New Roman"/>
                <w:color w:val="000000"/>
                <w:sz w:val="16"/>
                <w:szCs w:val="16"/>
                <w:lang w:eastAsia="en-AU"/>
              </w:rPr>
              <w:t>0</w:t>
            </w:r>
            <w:r w:rsidRPr="00BE7442">
              <w:rPr>
                <w:rFonts w:eastAsia="Times New Roman"/>
                <w:color w:val="000000"/>
                <w:sz w:val="16"/>
                <w:szCs w:val="16"/>
                <w:lang w:eastAsia="en-AU"/>
              </w:rPr>
              <w:t>3 Most frequent changes in referral pathways and improvements in integration of care reported by practices, PHNs and other stakeholders (together with descriptions)</w:t>
            </w:r>
            <w:r>
              <w:rPr>
                <w:rFonts w:eastAsia="Times New Roman"/>
                <w:color w:val="000000"/>
                <w:sz w:val="16"/>
                <w:szCs w:val="16"/>
                <w:lang w:eastAsia="en-AU"/>
              </w:rPr>
              <w:t>.</w:t>
            </w:r>
          </w:p>
        </w:tc>
        <w:tc>
          <w:tcPr>
            <w:tcW w:w="1417" w:type="dxa"/>
          </w:tcPr>
          <w:p w14:paraId="1FA6AF2E"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tcPr>
          <w:p w14:paraId="589B4DCD"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574074B" w14:textId="77777777" w:rsidTr="00521305">
        <w:trPr>
          <w:trHeight w:val="300"/>
        </w:trPr>
        <w:tc>
          <w:tcPr>
            <w:tcW w:w="4106" w:type="dxa"/>
            <w:vMerge w:val="restart"/>
          </w:tcPr>
          <w:p w14:paraId="226EFF0D"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 xml:space="preserve">3.04 Were the patients enrolled in the HCH program and their families/ carers more engaged in managing </w:t>
            </w:r>
            <w:r>
              <w:rPr>
                <w:rFonts w:eastAsia="Times New Roman"/>
                <w:bCs/>
                <w:color w:val="000000"/>
                <w:sz w:val="16"/>
                <w:szCs w:val="16"/>
                <w:lang w:eastAsia="en-AU"/>
              </w:rPr>
              <w:t>patients’</w:t>
            </w:r>
            <w:r w:rsidRPr="00BE7442">
              <w:rPr>
                <w:rFonts w:eastAsia="Times New Roman"/>
                <w:bCs/>
                <w:color w:val="000000"/>
                <w:sz w:val="16"/>
                <w:szCs w:val="16"/>
                <w:lang w:eastAsia="en-AU"/>
              </w:rPr>
              <w:t xml:space="preserve"> health needs? What strategies resulted in the greatest impact on patient activation?</w:t>
            </w:r>
          </w:p>
        </w:tc>
        <w:tc>
          <w:tcPr>
            <w:tcW w:w="7513" w:type="dxa"/>
            <w:shd w:val="clear" w:color="auto" w:fill="auto"/>
            <w:vAlign w:val="bottom"/>
          </w:tcPr>
          <w:p w14:paraId="173B5138"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3.04.</w:t>
            </w:r>
            <w:r>
              <w:rPr>
                <w:rFonts w:eastAsia="Times New Roman"/>
                <w:color w:val="000000"/>
                <w:sz w:val="16"/>
                <w:szCs w:val="16"/>
                <w:lang w:eastAsia="en-AU"/>
              </w:rPr>
              <w:t>0</w:t>
            </w:r>
            <w:r w:rsidRPr="00BE7442">
              <w:rPr>
                <w:rFonts w:eastAsia="Times New Roman"/>
                <w:color w:val="000000"/>
                <w:sz w:val="16"/>
                <w:szCs w:val="16"/>
                <w:lang w:eastAsia="en-AU"/>
              </w:rPr>
              <w:t xml:space="preserve">1 Proportion of patients </w:t>
            </w:r>
            <w:r>
              <w:rPr>
                <w:rFonts w:eastAsia="Times New Roman"/>
                <w:color w:val="000000"/>
                <w:sz w:val="16"/>
                <w:szCs w:val="16"/>
                <w:lang w:eastAsia="en-AU"/>
              </w:rPr>
              <w:t>with improved</w:t>
            </w:r>
            <w:r w:rsidRPr="00BE7442">
              <w:rPr>
                <w:rFonts w:eastAsia="Times New Roman"/>
                <w:color w:val="000000"/>
                <w:sz w:val="16"/>
                <w:szCs w:val="16"/>
                <w:lang w:eastAsia="en-AU"/>
              </w:rPr>
              <w:t xml:space="preserve"> </w:t>
            </w:r>
            <w:r>
              <w:rPr>
                <w:rFonts w:eastAsia="Times New Roman"/>
                <w:color w:val="000000"/>
                <w:sz w:val="16"/>
                <w:szCs w:val="16"/>
                <w:lang w:eastAsia="en-AU"/>
              </w:rPr>
              <w:t xml:space="preserve">assessment of </w:t>
            </w:r>
            <w:r w:rsidRPr="00BE7442">
              <w:rPr>
                <w:rFonts w:eastAsia="Times New Roman"/>
                <w:color w:val="000000"/>
                <w:sz w:val="16"/>
                <w:szCs w:val="16"/>
                <w:lang w:eastAsia="en-AU"/>
              </w:rPr>
              <w:t xml:space="preserve">engagement, including </w:t>
            </w:r>
            <w:r>
              <w:rPr>
                <w:rFonts w:eastAsia="Times New Roman"/>
                <w:color w:val="000000"/>
                <w:sz w:val="16"/>
                <w:szCs w:val="16"/>
                <w:lang w:eastAsia="en-AU"/>
              </w:rPr>
              <w:t xml:space="preserve">increased </w:t>
            </w:r>
            <w:r w:rsidRPr="00BE7442">
              <w:rPr>
                <w:rFonts w:eastAsia="Times New Roman"/>
                <w:color w:val="000000"/>
                <w:sz w:val="16"/>
                <w:szCs w:val="16"/>
                <w:lang w:eastAsia="en-AU"/>
              </w:rPr>
              <w:t>involvement in care planning (aggregated across dimension and individual item scores)</w:t>
            </w:r>
            <w:r>
              <w:rPr>
                <w:rFonts w:eastAsia="Times New Roman"/>
                <w:color w:val="000000"/>
                <w:sz w:val="16"/>
                <w:szCs w:val="16"/>
                <w:lang w:eastAsia="en-AU"/>
              </w:rPr>
              <w:t xml:space="preserve"> and activation</w:t>
            </w:r>
            <w:r w:rsidRPr="00BE7442">
              <w:rPr>
                <w:rFonts w:eastAsia="Times New Roman"/>
                <w:color w:val="000000"/>
                <w:sz w:val="16"/>
                <w:szCs w:val="16"/>
                <w:lang w:eastAsia="en-AU"/>
              </w:rPr>
              <w:t xml:space="preserve"> between baseline and final survey. (Change in mean scores will also be assessed).</w:t>
            </w:r>
          </w:p>
        </w:tc>
        <w:tc>
          <w:tcPr>
            <w:tcW w:w="1417" w:type="dxa"/>
          </w:tcPr>
          <w:p w14:paraId="59A78D5C"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hideMark/>
          </w:tcPr>
          <w:p w14:paraId="0BE6EF39"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EA5E1DD" w14:textId="77777777" w:rsidTr="00521305">
        <w:trPr>
          <w:trHeight w:val="300"/>
        </w:trPr>
        <w:tc>
          <w:tcPr>
            <w:tcW w:w="4106" w:type="dxa"/>
            <w:vMerge/>
          </w:tcPr>
          <w:p w14:paraId="3F489AD1"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5F682435"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3.04.</w:t>
            </w:r>
            <w:r>
              <w:rPr>
                <w:rFonts w:eastAsia="Times New Roman"/>
                <w:color w:val="000000"/>
                <w:sz w:val="16"/>
                <w:szCs w:val="16"/>
                <w:lang w:eastAsia="en-AU"/>
              </w:rPr>
              <w:t>0</w:t>
            </w:r>
            <w:r w:rsidRPr="00BE7442">
              <w:rPr>
                <w:rFonts w:eastAsia="Times New Roman"/>
                <w:color w:val="000000"/>
                <w:sz w:val="16"/>
                <w:szCs w:val="16"/>
                <w:lang w:eastAsia="en-AU"/>
              </w:rPr>
              <w:t>2 Most frequent changes in patient engagement</w:t>
            </w:r>
            <w:r>
              <w:rPr>
                <w:rFonts w:eastAsia="Times New Roman"/>
                <w:color w:val="000000"/>
                <w:sz w:val="16"/>
                <w:szCs w:val="16"/>
                <w:lang w:eastAsia="en-AU"/>
              </w:rPr>
              <w:t xml:space="preserve"> and activation</w:t>
            </w:r>
            <w:r w:rsidRPr="00BE7442">
              <w:rPr>
                <w:rFonts w:eastAsia="Times New Roman"/>
                <w:color w:val="000000"/>
                <w:sz w:val="16"/>
                <w:szCs w:val="16"/>
                <w:lang w:eastAsia="en-AU"/>
              </w:rPr>
              <w:t xml:space="preserve"> reported by </w:t>
            </w:r>
            <w:r>
              <w:rPr>
                <w:rFonts w:eastAsia="Times New Roman"/>
                <w:color w:val="000000"/>
                <w:sz w:val="16"/>
                <w:szCs w:val="16"/>
                <w:lang w:eastAsia="en-AU"/>
              </w:rPr>
              <w:t>patients</w:t>
            </w:r>
            <w:r w:rsidRPr="00BE7442">
              <w:rPr>
                <w:rFonts w:eastAsia="Times New Roman"/>
                <w:color w:val="000000"/>
                <w:sz w:val="16"/>
                <w:szCs w:val="16"/>
                <w:lang w:eastAsia="en-AU"/>
              </w:rPr>
              <w:t xml:space="preserve"> (together with descriptions)</w:t>
            </w:r>
            <w:r>
              <w:rPr>
                <w:rFonts w:eastAsia="Times New Roman"/>
                <w:color w:val="000000"/>
                <w:sz w:val="16"/>
                <w:szCs w:val="16"/>
                <w:lang w:eastAsia="en-AU"/>
              </w:rPr>
              <w:t>.</w:t>
            </w:r>
          </w:p>
        </w:tc>
        <w:tc>
          <w:tcPr>
            <w:tcW w:w="1417" w:type="dxa"/>
          </w:tcPr>
          <w:p w14:paraId="3941EEC1"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tcPr>
          <w:p w14:paraId="3171325D"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0BFEEF2D" w14:textId="77777777" w:rsidTr="00521305">
        <w:trPr>
          <w:trHeight w:val="300"/>
        </w:trPr>
        <w:tc>
          <w:tcPr>
            <w:tcW w:w="4106" w:type="dxa"/>
            <w:vMerge w:val="restart"/>
          </w:tcPr>
          <w:p w14:paraId="1CD6D173"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 xml:space="preserve">3.05 Did patients enrolled in the HCH program report an improved experience of primary care, including coordination of their care and communication with their primary care providers? What were the experiences of </w:t>
            </w:r>
            <w:r w:rsidRPr="00BE7442">
              <w:rPr>
                <w:rFonts w:eastAsia="Times New Roman"/>
                <w:bCs/>
                <w:color w:val="000000"/>
                <w:sz w:val="16"/>
                <w:szCs w:val="16"/>
                <w:lang w:eastAsia="en-AU"/>
              </w:rPr>
              <w:lastRenderedPageBreak/>
              <w:t>patients, carers and families in care planning?</w:t>
            </w:r>
          </w:p>
        </w:tc>
        <w:tc>
          <w:tcPr>
            <w:tcW w:w="7513" w:type="dxa"/>
            <w:shd w:val="clear" w:color="auto" w:fill="auto"/>
          </w:tcPr>
          <w:p w14:paraId="782DED6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lastRenderedPageBreak/>
              <w:t>3.05.</w:t>
            </w:r>
            <w:r>
              <w:rPr>
                <w:rFonts w:eastAsia="Times New Roman"/>
                <w:color w:val="000000"/>
                <w:sz w:val="16"/>
                <w:szCs w:val="16"/>
                <w:lang w:eastAsia="en-AU"/>
              </w:rPr>
              <w:t>0</w:t>
            </w:r>
            <w:r w:rsidRPr="00BE7442">
              <w:rPr>
                <w:rFonts w:eastAsia="Times New Roman"/>
                <w:color w:val="000000"/>
                <w:sz w:val="16"/>
                <w:szCs w:val="16"/>
                <w:lang w:eastAsia="en-AU"/>
              </w:rPr>
              <w:t xml:space="preserve">1 Proportion of patients </w:t>
            </w:r>
            <w:r>
              <w:rPr>
                <w:rFonts w:eastAsia="Times New Roman"/>
                <w:color w:val="000000"/>
                <w:sz w:val="16"/>
                <w:szCs w:val="16"/>
                <w:lang w:eastAsia="en-AU"/>
              </w:rPr>
              <w:t>with an</w:t>
            </w:r>
            <w:r w:rsidRPr="00BE7442">
              <w:rPr>
                <w:rFonts w:eastAsia="Times New Roman"/>
                <w:color w:val="000000"/>
                <w:sz w:val="16"/>
                <w:szCs w:val="16"/>
                <w:lang w:eastAsia="en-AU"/>
              </w:rPr>
              <w:t xml:space="preserve"> </w:t>
            </w:r>
            <w:r>
              <w:rPr>
                <w:rFonts w:eastAsia="Times New Roman"/>
                <w:color w:val="000000"/>
                <w:sz w:val="16"/>
                <w:szCs w:val="16"/>
                <w:lang w:eastAsia="en-AU"/>
              </w:rPr>
              <w:t>improved</w:t>
            </w:r>
            <w:r w:rsidRPr="00BE7442">
              <w:rPr>
                <w:rFonts w:eastAsia="Times New Roman"/>
                <w:color w:val="000000"/>
                <w:sz w:val="16"/>
                <w:szCs w:val="16"/>
                <w:lang w:eastAsia="en-AU"/>
              </w:rPr>
              <w:t xml:space="preserve"> rating of their primary care provider between </w:t>
            </w:r>
            <w:r>
              <w:rPr>
                <w:rFonts w:eastAsia="Times New Roman"/>
                <w:color w:val="000000"/>
                <w:sz w:val="16"/>
                <w:szCs w:val="16"/>
                <w:lang w:eastAsia="en-AU"/>
              </w:rPr>
              <w:t xml:space="preserve">the </w:t>
            </w:r>
            <w:r w:rsidRPr="00BE7442">
              <w:rPr>
                <w:rFonts w:eastAsia="Times New Roman"/>
                <w:color w:val="000000"/>
                <w:sz w:val="16"/>
                <w:szCs w:val="16"/>
                <w:lang w:eastAsia="en-AU"/>
              </w:rPr>
              <w:t>baseline and final patient survey. (Change in mean scores will also be assessed</w:t>
            </w:r>
            <w:r>
              <w:rPr>
                <w:rFonts w:eastAsia="Times New Roman"/>
                <w:color w:val="000000"/>
                <w:sz w:val="16"/>
                <w:szCs w:val="16"/>
                <w:lang w:eastAsia="en-AU"/>
              </w:rPr>
              <w:t>.)</w:t>
            </w:r>
          </w:p>
        </w:tc>
        <w:tc>
          <w:tcPr>
            <w:tcW w:w="1417" w:type="dxa"/>
          </w:tcPr>
          <w:p w14:paraId="14F9BDAC"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tcPr>
          <w:p w14:paraId="4BEE31F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C807128" w14:textId="77777777" w:rsidTr="00521305">
        <w:trPr>
          <w:trHeight w:val="300"/>
        </w:trPr>
        <w:tc>
          <w:tcPr>
            <w:tcW w:w="4106" w:type="dxa"/>
            <w:vMerge/>
          </w:tcPr>
          <w:p w14:paraId="4E2A5828"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4984C2F5"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3.05.</w:t>
            </w:r>
            <w:r>
              <w:rPr>
                <w:rFonts w:eastAsia="Times New Roman"/>
                <w:color w:val="000000"/>
                <w:sz w:val="16"/>
                <w:szCs w:val="16"/>
                <w:lang w:eastAsia="en-AU"/>
              </w:rPr>
              <w:t>0</w:t>
            </w:r>
            <w:r w:rsidRPr="00BE7442">
              <w:rPr>
                <w:rFonts w:eastAsia="Times New Roman"/>
                <w:color w:val="000000"/>
                <w:sz w:val="16"/>
                <w:szCs w:val="16"/>
                <w:lang w:eastAsia="en-AU"/>
              </w:rPr>
              <w:t xml:space="preserve">2 Proportion of patients </w:t>
            </w:r>
            <w:r>
              <w:rPr>
                <w:rFonts w:eastAsia="Times New Roman"/>
                <w:color w:val="000000"/>
                <w:sz w:val="16"/>
                <w:szCs w:val="16"/>
                <w:lang w:eastAsia="en-AU"/>
              </w:rPr>
              <w:t>with an</w:t>
            </w:r>
            <w:r w:rsidRPr="00BE7442">
              <w:rPr>
                <w:rFonts w:eastAsia="Times New Roman"/>
                <w:color w:val="000000"/>
                <w:sz w:val="16"/>
                <w:szCs w:val="16"/>
                <w:lang w:eastAsia="en-AU"/>
              </w:rPr>
              <w:t xml:space="preserve"> </w:t>
            </w:r>
            <w:r>
              <w:rPr>
                <w:rFonts w:eastAsia="Times New Roman"/>
                <w:color w:val="000000"/>
                <w:sz w:val="16"/>
                <w:szCs w:val="16"/>
                <w:lang w:eastAsia="en-AU"/>
              </w:rPr>
              <w:t>improved</w:t>
            </w:r>
            <w:r w:rsidRPr="00BE7442">
              <w:rPr>
                <w:rFonts w:eastAsia="Times New Roman"/>
                <w:color w:val="000000"/>
                <w:sz w:val="16"/>
                <w:szCs w:val="16"/>
                <w:lang w:eastAsia="en-AU"/>
              </w:rPr>
              <w:t xml:space="preserve"> assessment of the communication items (aggregated across dimension and individual item scores) between </w:t>
            </w:r>
            <w:r>
              <w:rPr>
                <w:rFonts w:eastAsia="Times New Roman"/>
                <w:color w:val="000000"/>
                <w:sz w:val="16"/>
                <w:szCs w:val="16"/>
                <w:lang w:eastAsia="en-AU"/>
              </w:rPr>
              <w:t xml:space="preserve">the </w:t>
            </w:r>
            <w:r w:rsidRPr="00BE7442">
              <w:rPr>
                <w:rFonts w:eastAsia="Times New Roman"/>
                <w:color w:val="000000"/>
                <w:sz w:val="16"/>
                <w:szCs w:val="16"/>
                <w:lang w:eastAsia="en-AU"/>
              </w:rPr>
              <w:t>baseline and final patient survey. (Change in mean scores will also be assessed</w:t>
            </w:r>
            <w:r>
              <w:rPr>
                <w:rFonts w:eastAsia="Times New Roman"/>
                <w:color w:val="000000"/>
                <w:sz w:val="16"/>
                <w:szCs w:val="16"/>
                <w:lang w:eastAsia="en-AU"/>
              </w:rPr>
              <w:t>.</w:t>
            </w:r>
            <w:r w:rsidRPr="00BE7442">
              <w:rPr>
                <w:rFonts w:eastAsia="Times New Roman"/>
                <w:color w:val="000000"/>
                <w:sz w:val="16"/>
                <w:szCs w:val="16"/>
                <w:lang w:eastAsia="en-AU"/>
              </w:rPr>
              <w:t>)</w:t>
            </w:r>
          </w:p>
        </w:tc>
        <w:tc>
          <w:tcPr>
            <w:tcW w:w="1417" w:type="dxa"/>
          </w:tcPr>
          <w:p w14:paraId="05381556" w14:textId="77777777" w:rsidR="001C19F3" w:rsidRPr="00BE7442" w:rsidRDefault="001C19F3" w:rsidP="00521305">
            <w:pPr>
              <w:spacing w:after="0" w:line="264" w:lineRule="auto"/>
              <w:jc w:val="center"/>
              <w:rPr>
                <w:rFonts w:eastAsia="Times New Roman"/>
                <w:color w:val="000000"/>
                <w:sz w:val="16"/>
                <w:szCs w:val="16"/>
                <w:lang w:eastAsia="en-AU"/>
              </w:rPr>
            </w:pPr>
            <w:r w:rsidRPr="00A761EE">
              <w:rPr>
                <w:rFonts w:eastAsia="Times New Roman"/>
                <w:color w:val="000000"/>
                <w:sz w:val="16"/>
                <w:szCs w:val="16"/>
                <w:lang w:eastAsia="en-AU"/>
              </w:rPr>
              <w:t>N</w:t>
            </w:r>
          </w:p>
        </w:tc>
        <w:tc>
          <w:tcPr>
            <w:tcW w:w="1248" w:type="dxa"/>
            <w:shd w:val="clear" w:color="auto" w:fill="auto"/>
            <w:noWrap/>
          </w:tcPr>
          <w:p w14:paraId="53974009"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3744A5C" w14:textId="77777777" w:rsidTr="00521305">
        <w:trPr>
          <w:trHeight w:val="300"/>
        </w:trPr>
        <w:tc>
          <w:tcPr>
            <w:tcW w:w="4106" w:type="dxa"/>
            <w:vMerge/>
          </w:tcPr>
          <w:p w14:paraId="16820E36"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1667D8B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3.05.</w:t>
            </w:r>
            <w:r>
              <w:rPr>
                <w:rFonts w:eastAsia="Times New Roman"/>
                <w:color w:val="000000"/>
                <w:sz w:val="16"/>
                <w:szCs w:val="16"/>
                <w:lang w:eastAsia="en-AU"/>
              </w:rPr>
              <w:t>0</w:t>
            </w:r>
            <w:r w:rsidRPr="00BE7442">
              <w:rPr>
                <w:rFonts w:eastAsia="Times New Roman"/>
                <w:color w:val="000000"/>
                <w:sz w:val="16"/>
                <w:szCs w:val="16"/>
                <w:lang w:eastAsia="en-AU"/>
              </w:rPr>
              <w:t xml:space="preserve">3 Proportion of patients </w:t>
            </w:r>
            <w:r>
              <w:rPr>
                <w:rFonts w:eastAsia="Times New Roman"/>
                <w:color w:val="000000"/>
                <w:sz w:val="16"/>
                <w:szCs w:val="16"/>
                <w:lang w:eastAsia="en-AU"/>
              </w:rPr>
              <w:t>with an</w:t>
            </w:r>
            <w:r w:rsidRPr="00BE7442">
              <w:rPr>
                <w:rFonts w:eastAsia="Times New Roman"/>
                <w:color w:val="000000"/>
                <w:sz w:val="16"/>
                <w:szCs w:val="16"/>
                <w:lang w:eastAsia="en-AU"/>
              </w:rPr>
              <w:t xml:space="preserve"> </w:t>
            </w:r>
            <w:r>
              <w:rPr>
                <w:rFonts w:eastAsia="Times New Roman"/>
                <w:color w:val="000000"/>
                <w:sz w:val="16"/>
                <w:szCs w:val="16"/>
                <w:lang w:eastAsia="en-AU"/>
              </w:rPr>
              <w:t>improved</w:t>
            </w:r>
            <w:r w:rsidRPr="00BE7442">
              <w:rPr>
                <w:rFonts w:eastAsia="Times New Roman"/>
                <w:color w:val="000000"/>
                <w:sz w:val="16"/>
                <w:szCs w:val="16"/>
                <w:lang w:eastAsia="en-AU"/>
              </w:rPr>
              <w:t xml:space="preserve"> assessment of the coordination of care items (aggregated across dimension and individual item scores) between </w:t>
            </w:r>
            <w:r>
              <w:rPr>
                <w:rFonts w:eastAsia="Times New Roman"/>
                <w:color w:val="000000"/>
                <w:sz w:val="16"/>
                <w:szCs w:val="16"/>
                <w:lang w:eastAsia="en-AU"/>
              </w:rPr>
              <w:t xml:space="preserve">the </w:t>
            </w:r>
            <w:r w:rsidRPr="00BE7442">
              <w:rPr>
                <w:rFonts w:eastAsia="Times New Roman"/>
                <w:color w:val="000000"/>
                <w:sz w:val="16"/>
                <w:szCs w:val="16"/>
                <w:lang w:eastAsia="en-AU"/>
              </w:rPr>
              <w:t>baseline and final patient survey. (Change in mean scores will also be assessed</w:t>
            </w:r>
            <w:r>
              <w:rPr>
                <w:rFonts w:eastAsia="Times New Roman"/>
                <w:color w:val="000000"/>
                <w:sz w:val="16"/>
                <w:szCs w:val="16"/>
                <w:lang w:eastAsia="en-AU"/>
              </w:rPr>
              <w:t>.</w:t>
            </w:r>
            <w:r w:rsidRPr="00BE7442">
              <w:rPr>
                <w:rFonts w:eastAsia="Times New Roman"/>
                <w:color w:val="000000"/>
                <w:sz w:val="16"/>
                <w:szCs w:val="16"/>
                <w:lang w:eastAsia="en-AU"/>
              </w:rPr>
              <w:t>)</w:t>
            </w:r>
          </w:p>
        </w:tc>
        <w:tc>
          <w:tcPr>
            <w:tcW w:w="1417" w:type="dxa"/>
          </w:tcPr>
          <w:p w14:paraId="28F135E0"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48ACACF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BFF0B2A" w14:textId="77777777" w:rsidTr="00521305">
        <w:trPr>
          <w:trHeight w:val="300"/>
        </w:trPr>
        <w:tc>
          <w:tcPr>
            <w:tcW w:w="4106" w:type="dxa"/>
            <w:vMerge/>
            <w:tcBorders>
              <w:bottom w:val="single" w:sz="4" w:space="0" w:color="D9D9D9" w:themeColor="background1" w:themeShade="D9"/>
            </w:tcBorders>
          </w:tcPr>
          <w:p w14:paraId="3F5581F7"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4E67B2B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3.05.</w:t>
            </w:r>
            <w:r>
              <w:rPr>
                <w:rFonts w:eastAsia="Times New Roman"/>
                <w:color w:val="000000"/>
                <w:sz w:val="16"/>
                <w:szCs w:val="16"/>
                <w:lang w:eastAsia="en-AU"/>
              </w:rPr>
              <w:t>0</w:t>
            </w:r>
            <w:r w:rsidRPr="00BE7442">
              <w:rPr>
                <w:rFonts w:eastAsia="Times New Roman"/>
                <w:color w:val="000000"/>
                <w:sz w:val="16"/>
                <w:szCs w:val="16"/>
                <w:lang w:eastAsia="en-AU"/>
              </w:rPr>
              <w:t>4 Most frequent improvements in communication and coordination of care reported by consumers, families and carers (together with descriptions)</w:t>
            </w:r>
            <w:r>
              <w:rPr>
                <w:rFonts w:eastAsia="Times New Roman"/>
                <w:color w:val="000000"/>
                <w:sz w:val="16"/>
                <w:szCs w:val="16"/>
                <w:lang w:eastAsia="en-AU"/>
              </w:rPr>
              <w:t>.</w:t>
            </w:r>
          </w:p>
        </w:tc>
        <w:tc>
          <w:tcPr>
            <w:tcW w:w="1417" w:type="dxa"/>
          </w:tcPr>
          <w:p w14:paraId="7B3F7249"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4C1064FD"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DA0735D" w14:textId="77777777" w:rsidTr="00521305">
        <w:tc>
          <w:tcPr>
            <w:tcW w:w="4106" w:type="dxa"/>
            <w:tcBorders>
              <w:bottom w:val="nil"/>
            </w:tcBorders>
          </w:tcPr>
          <w:p w14:paraId="725C0825"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3.0</w:t>
            </w:r>
            <w:r>
              <w:rPr>
                <w:rFonts w:eastAsia="Times New Roman"/>
                <w:bCs/>
                <w:color w:val="000000"/>
                <w:sz w:val="16"/>
                <w:szCs w:val="16"/>
                <w:lang w:eastAsia="en-AU"/>
              </w:rPr>
              <w:t>6</w:t>
            </w:r>
            <w:r w:rsidRPr="00BE7442">
              <w:rPr>
                <w:rFonts w:eastAsia="Times New Roman"/>
                <w:bCs/>
                <w:color w:val="000000"/>
                <w:sz w:val="16"/>
                <w:szCs w:val="16"/>
                <w:lang w:eastAsia="en-AU"/>
              </w:rPr>
              <w:t xml:space="preserve"> How did the utilisation of hospital serv</w:t>
            </w:r>
            <w:r>
              <w:rPr>
                <w:rFonts w:eastAsia="Times New Roman"/>
                <w:bCs/>
                <w:color w:val="000000"/>
                <w:sz w:val="16"/>
                <w:szCs w:val="16"/>
                <w:lang w:eastAsia="en-AU"/>
              </w:rPr>
              <w:t xml:space="preserve">ices (including emergency care), and entry into aged care </w:t>
            </w:r>
            <w:r w:rsidRPr="00BE7442">
              <w:rPr>
                <w:rFonts w:eastAsia="Times New Roman"/>
                <w:bCs/>
                <w:color w:val="000000"/>
                <w:sz w:val="16"/>
                <w:szCs w:val="16"/>
                <w:lang w:eastAsia="en-AU"/>
              </w:rPr>
              <w:t xml:space="preserve">change for HCH patients compared with similar patients receiving </w:t>
            </w:r>
            <w:r>
              <w:rPr>
                <w:rFonts w:eastAsia="Times New Roman"/>
                <w:bCs/>
                <w:color w:val="000000"/>
                <w:sz w:val="16"/>
                <w:szCs w:val="16"/>
                <w:lang w:eastAsia="en-AU"/>
              </w:rPr>
              <w:t>care in practices not enrolled in HCH</w:t>
            </w:r>
            <w:r w:rsidRPr="00BE7442">
              <w:rPr>
                <w:rFonts w:eastAsia="Times New Roman"/>
                <w:bCs/>
                <w:color w:val="000000"/>
                <w:sz w:val="16"/>
                <w:szCs w:val="16"/>
                <w:lang w:eastAsia="en-AU"/>
              </w:rPr>
              <w:t>?</w:t>
            </w:r>
          </w:p>
        </w:tc>
        <w:tc>
          <w:tcPr>
            <w:tcW w:w="7513" w:type="dxa"/>
            <w:shd w:val="clear" w:color="auto" w:fill="auto"/>
          </w:tcPr>
          <w:p w14:paraId="4FB174FE"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1 Change in the mean number of emergency department presentations (total and by episode end status) 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65E2105C"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2C9A7C54"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772C8C7A" w14:textId="77777777" w:rsidTr="00521305">
        <w:trPr>
          <w:trHeight w:val="300"/>
        </w:trPr>
        <w:tc>
          <w:tcPr>
            <w:tcW w:w="4106" w:type="dxa"/>
            <w:vMerge w:val="restart"/>
            <w:tcBorders>
              <w:top w:val="nil"/>
            </w:tcBorders>
          </w:tcPr>
          <w:p w14:paraId="4F769040"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1288BC72"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2 Change in the mean number of emergency admitted patient care episodes 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22B2290C"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27DD7DB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03389CE0" w14:textId="77777777" w:rsidTr="00521305">
        <w:trPr>
          <w:trHeight w:val="300"/>
        </w:trPr>
        <w:tc>
          <w:tcPr>
            <w:tcW w:w="4106" w:type="dxa"/>
            <w:vMerge/>
          </w:tcPr>
          <w:p w14:paraId="03160A9A"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vAlign w:val="bottom"/>
          </w:tcPr>
          <w:p w14:paraId="7FA1672B"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3 Change in the mean number of total admitted patient care episodes per patient and bed days 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6DFFE9C9"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0DB8BD08"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EF8B253" w14:textId="77777777" w:rsidTr="00521305">
        <w:trPr>
          <w:trHeight w:val="300"/>
        </w:trPr>
        <w:tc>
          <w:tcPr>
            <w:tcW w:w="4106" w:type="dxa"/>
            <w:vMerge/>
            <w:tcBorders>
              <w:bottom w:val="nil"/>
            </w:tcBorders>
          </w:tcPr>
          <w:p w14:paraId="2DE6DCFF"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0CB8EF25" w14:textId="77777777" w:rsidR="001C19F3" w:rsidRPr="00BE7442" w:rsidRDefault="001C19F3" w:rsidP="00521305">
            <w:pPr>
              <w:spacing w:after="0" w:line="264" w:lineRule="auto"/>
              <w:ind w:left="593" w:hanging="567"/>
              <w:rPr>
                <w:rFonts w:eastAsia="Times New Roman"/>
                <w:color w:val="000000"/>
                <w:sz w:val="16"/>
                <w:szCs w:val="16"/>
                <w:lang w:eastAsia="en-AU"/>
              </w:rPr>
            </w:pPr>
            <w:r>
              <w:rPr>
                <w:rFonts w:eastAsia="Times New Roman"/>
                <w:color w:val="000000"/>
                <w:sz w:val="16"/>
                <w:szCs w:val="16"/>
                <w:lang w:eastAsia="en-AU"/>
              </w:rPr>
              <w:t>3.06.04</w:t>
            </w:r>
            <w:r w:rsidRPr="00BE7442">
              <w:rPr>
                <w:rFonts w:eastAsia="Times New Roman"/>
                <w:color w:val="000000"/>
                <w:sz w:val="16"/>
                <w:szCs w:val="16"/>
                <w:lang w:eastAsia="en-AU"/>
              </w:rPr>
              <w:t xml:space="preserve"> Change in the mean number of total admitted patient care </w:t>
            </w:r>
            <w:r>
              <w:rPr>
                <w:rFonts w:eastAsia="Times New Roman"/>
                <w:color w:val="000000"/>
                <w:sz w:val="16"/>
                <w:szCs w:val="16"/>
                <w:lang w:eastAsia="en-AU"/>
              </w:rPr>
              <w:t xml:space="preserve">readmissions </w:t>
            </w:r>
            <w:r w:rsidRPr="00BE7442">
              <w:rPr>
                <w:rFonts w:eastAsia="Times New Roman"/>
                <w:color w:val="000000"/>
                <w:sz w:val="16"/>
                <w:szCs w:val="16"/>
                <w:lang w:eastAsia="en-AU"/>
              </w:rPr>
              <w:t>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2DBB1404"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7CFBB26B"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9A7EBE7" w14:textId="77777777" w:rsidTr="00521305">
        <w:trPr>
          <w:trHeight w:val="300"/>
        </w:trPr>
        <w:tc>
          <w:tcPr>
            <w:tcW w:w="4106" w:type="dxa"/>
            <w:tcBorders>
              <w:top w:val="nil"/>
              <w:bottom w:val="nil"/>
            </w:tcBorders>
          </w:tcPr>
          <w:p w14:paraId="05DDF2F2"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2EBDEAC2"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5 Change in the proportion of acute bed days occurring in a hospital that is located close to the patient's residence</w:t>
            </w:r>
            <w:r>
              <w:rPr>
                <w:rFonts w:eastAsia="Times New Roman"/>
                <w:color w:val="000000"/>
                <w:sz w:val="16"/>
                <w:szCs w:val="16"/>
                <w:lang w:eastAsia="en-AU"/>
              </w:rPr>
              <w:t>.</w:t>
            </w:r>
          </w:p>
        </w:tc>
        <w:tc>
          <w:tcPr>
            <w:tcW w:w="1417" w:type="dxa"/>
          </w:tcPr>
          <w:p w14:paraId="46E3DAD6"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2E4F0CB9"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6C2190B" w14:textId="77777777" w:rsidTr="00521305">
        <w:trPr>
          <w:trHeight w:val="300"/>
        </w:trPr>
        <w:tc>
          <w:tcPr>
            <w:tcW w:w="4106" w:type="dxa"/>
            <w:tcBorders>
              <w:top w:val="nil"/>
              <w:bottom w:val="nil"/>
            </w:tcBorders>
          </w:tcPr>
          <w:p w14:paraId="2A11B677"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0491B9E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6 Change in the mean number of potentially preventable admitted patient care episodes (overall and by type) 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65951E51"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24B8F600"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F20207F" w14:textId="77777777" w:rsidTr="00521305">
        <w:trPr>
          <w:trHeight w:val="300"/>
        </w:trPr>
        <w:tc>
          <w:tcPr>
            <w:tcW w:w="4106" w:type="dxa"/>
            <w:tcBorders>
              <w:top w:val="nil"/>
              <w:bottom w:val="single" w:sz="4" w:space="0" w:color="D9D9D9" w:themeColor="background1" w:themeShade="D9"/>
            </w:tcBorders>
          </w:tcPr>
          <w:p w14:paraId="3F4799EE"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38E91E9F"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7 Change in the mean number of potentially preventable admitted patient care bed days (overall and by type) 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62488776" w14:textId="77777777" w:rsidR="001C19F3" w:rsidRPr="00BE7442" w:rsidRDefault="001C19F3" w:rsidP="00521305">
            <w:pPr>
              <w:spacing w:after="0" w:line="264" w:lineRule="auto"/>
              <w:jc w:val="center"/>
              <w:rPr>
                <w:rFonts w:eastAsia="Times New Roman"/>
                <w:color w:val="000000"/>
                <w:sz w:val="16"/>
                <w:szCs w:val="16"/>
                <w:lang w:eastAsia="en-AU"/>
              </w:rPr>
            </w:pPr>
            <w:r w:rsidRPr="00696D82">
              <w:rPr>
                <w:rFonts w:eastAsia="Times New Roman"/>
                <w:color w:val="000000"/>
                <w:sz w:val="16"/>
                <w:szCs w:val="16"/>
                <w:lang w:eastAsia="en-AU"/>
              </w:rPr>
              <w:t>N</w:t>
            </w:r>
          </w:p>
        </w:tc>
        <w:tc>
          <w:tcPr>
            <w:tcW w:w="1248" w:type="dxa"/>
            <w:shd w:val="clear" w:color="auto" w:fill="auto"/>
            <w:noWrap/>
          </w:tcPr>
          <w:p w14:paraId="1381A19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4D1E01E7" w14:textId="77777777" w:rsidTr="00521305">
        <w:trPr>
          <w:trHeight w:val="300"/>
        </w:trPr>
        <w:tc>
          <w:tcPr>
            <w:tcW w:w="4106" w:type="dxa"/>
            <w:tcBorders>
              <w:top w:val="single" w:sz="4" w:space="0" w:color="D9D9D9" w:themeColor="background1" w:themeShade="D9"/>
              <w:bottom w:val="nil"/>
            </w:tcBorders>
          </w:tcPr>
          <w:p w14:paraId="3E8BACC3"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0F6F7BCD"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8 Change in the mean National Weighted Activity Units (NWAU) (admitted and emergency care) per patient in the previous 12 months compared with the change for comparator patients.</w:t>
            </w:r>
            <w:r>
              <w:rPr>
                <w:rFonts w:eastAsia="Times New Roman"/>
                <w:color w:val="000000"/>
                <w:sz w:val="16"/>
                <w:szCs w:val="16"/>
                <w:lang w:eastAsia="en-AU"/>
              </w:rPr>
              <w:t xml:space="preserve"> (See Note 2)</w:t>
            </w:r>
          </w:p>
        </w:tc>
        <w:tc>
          <w:tcPr>
            <w:tcW w:w="1417" w:type="dxa"/>
          </w:tcPr>
          <w:p w14:paraId="42ED1B79"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t>N</w:t>
            </w:r>
          </w:p>
        </w:tc>
        <w:tc>
          <w:tcPr>
            <w:tcW w:w="1248" w:type="dxa"/>
            <w:shd w:val="clear" w:color="auto" w:fill="auto"/>
            <w:noWrap/>
          </w:tcPr>
          <w:p w14:paraId="1D43CD0C"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74A4FABE" w14:textId="77777777" w:rsidTr="00521305">
        <w:trPr>
          <w:trHeight w:val="300"/>
        </w:trPr>
        <w:tc>
          <w:tcPr>
            <w:tcW w:w="4106" w:type="dxa"/>
            <w:tcBorders>
              <w:top w:val="nil"/>
              <w:bottom w:val="nil"/>
            </w:tcBorders>
          </w:tcPr>
          <w:p w14:paraId="133BCBC5"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7804F7AA" w14:textId="77777777" w:rsidR="001C19F3" w:rsidRPr="007922E6" w:rsidRDefault="001C19F3" w:rsidP="00521305">
            <w:pPr>
              <w:spacing w:after="0" w:line="264" w:lineRule="auto"/>
              <w:ind w:left="593" w:hanging="567"/>
              <w:rPr>
                <w:rFonts w:eastAsia="Times New Roman"/>
                <w:color w:val="000000"/>
                <w:sz w:val="16"/>
                <w:szCs w:val="16"/>
                <w:lang w:eastAsia="en-AU"/>
              </w:rPr>
            </w:pPr>
            <w:r w:rsidRPr="007922E6">
              <w:rPr>
                <w:rFonts w:eastAsia="Times New Roman"/>
                <w:color w:val="000000"/>
                <w:sz w:val="16"/>
                <w:szCs w:val="16"/>
                <w:lang w:eastAsia="en-AU"/>
              </w:rPr>
              <w:t>3.0</w:t>
            </w:r>
            <w:r>
              <w:rPr>
                <w:rFonts w:eastAsia="Times New Roman"/>
                <w:color w:val="000000"/>
                <w:sz w:val="16"/>
                <w:szCs w:val="16"/>
                <w:lang w:eastAsia="en-AU"/>
              </w:rPr>
              <w:t>6</w:t>
            </w:r>
            <w:r w:rsidRPr="007922E6">
              <w:rPr>
                <w:rFonts w:eastAsia="Times New Roman"/>
                <w:color w:val="000000"/>
                <w:sz w:val="16"/>
                <w:szCs w:val="16"/>
                <w:lang w:eastAsia="en-AU"/>
              </w:rPr>
              <w:t>.09 Proportion of patients admitted to a residential aged care facility compared with proportion for comparator patients.</w:t>
            </w:r>
          </w:p>
        </w:tc>
        <w:tc>
          <w:tcPr>
            <w:tcW w:w="1417" w:type="dxa"/>
          </w:tcPr>
          <w:p w14:paraId="719E3050"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t>N</w:t>
            </w:r>
          </w:p>
        </w:tc>
        <w:tc>
          <w:tcPr>
            <w:tcW w:w="1248" w:type="dxa"/>
            <w:shd w:val="clear" w:color="auto" w:fill="auto"/>
            <w:noWrap/>
          </w:tcPr>
          <w:p w14:paraId="5CB05B21"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337FB4E" w14:textId="77777777" w:rsidTr="00521305">
        <w:trPr>
          <w:trHeight w:val="300"/>
        </w:trPr>
        <w:tc>
          <w:tcPr>
            <w:tcW w:w="4106" w:type="dxa"/>
            <w:tcBorders>
              <w:top w:val="nil"/>
            </w:tcBorders>
          </w:tcPr>
          <w:p w14:paraId="78345197"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0A2B16C1" w14:textId="77777777" w:rsidR="001C19F3" w:rsidRPr="007922E6" w:rsidRDefault="001C19F3" w:rsidP="00521305">
            <w:pPr>
              <w:spacing w:after="0" w:line="264" w:lineRule="auto"/>
              <w:ind w:left="593" w:hanging="567"/>
              <w:rPr>
                <w:rFonts w:eastAsia="Times New Roman"/>
                <w:color w:val="000000"/>
                <w:sz w:val="16"/>
                <w:szCs w:val="16"/>
                <w:lang w:eastAsia="en-AU"/>
              </w:rPr>
            </w:pPr>
            <w:r w:rsidRPr="007922E6">
              <w:rPr>
                <w:rFonts w:eastAsia="Times New Roman"/>
                <w:color w:val="000000"/>
                <w:sz w:val="16"/>
                <w:szCs w:val="16"/>
                <w:lang w:eastAsia="en-AU"/>
              </w:rPr>
              <w:t>3.0</w:t>
            </w:r>
            <w:r>
              <w:rPr>
                <w:rFonts w:eastAsia="Times New Roman"/>
                <w:color w:val="000000"/>
                <w:sz w:val="16"/>
                <w:szCs w:val="16"/>
                <w:lang w:eastAsia="en-AU"/>
              </w:rPr>
              <w:t>6</w:t>
            </w:r>
            <w:r w:rsidRPr="007922E6">
              <w:rPr>
                <w:rFonts w:eastAsia="Times New Roman"/>
                <w:color w:val="000000"/>
                <w:sz w:val="16"/>
                <w:szCs w:val="16"/>
                <w:lang w:eastAsia="en-AU"/>
              </w:rPr>
              <w:t>.10 Mean/ median time for HCH patients admitted to a residential aged care facility compared with the mean/ median time for comparator patients (using time-to-event analysis).</w:t>
            </w:r>
          </w:p>
        </w:tc>
        <w:tc>
          <w:tcPr>
            <w:tcW w:w="1417" w:type="dxa"/>
          </w:tcPr>
          <w:p w14:paraId="32149832"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t>N</w:t>
            </w:r>
          </w:p>
        </w:tc>
        <w:tc>
          <w:tcPr>
            <w:tcW w:w="1248" w:type="dxa"/>
            <w:shd w:val="clear" w:color="auto" w:fill="auto"/>
            <w:noWrap/>
          </w:tcPr>
          <w:p w14:paraId="5B1F84D6"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1EA07B5F" w14:textId="77777777" w:rsidTr="00521305">
        <w:trPr>
          <w:trHeight w:val="300"/>
        </w:trPr>
        <w:tc>
          <w:tcPr>
            <w:tcW w:w="4106" w:type="dxa"/>
            <w:vMerge w:val="restart"/>
          </w:tcPr>
          <w:p w14:paraId="75B0B8F2"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3.0</w:t>
            </w:r>
            <w:r>
              <w:rPr>
                <w:rFonts w:eastAsia="Times New Roman"/>
                <w:bCs/>
                <w:color w:val="000000"/>
                <w:sz w:val="16"/>
                <w:szCs w:val="16"/>
                <w:lang w:eastAsia="en-AU"/>
              </w:rPr>
              <w:t>7</w:t>
            </w:r>
            <w:r w:rsidRPr="00BE7442">
              <w:rPr>
                <w:rFonts w:eastAsia="Times New Roman"/>
                <w:bCs/>
                <w:color w:val="000000"/>
                <w:sz w:val="16"/>
                <w:szCs w:val="16"/>
                <w:lang w:eastAsia="en-AU"/>
              </w:rPr>
              <w:t xml:space="preserve"> Which patients benefited from the HCH program? </w:t>
            </w:r>
            <w:r>
              <w:rPr>
                <w:rFonts w:eastAsia="Times New Roman"/>
                <w:bCs/>
                <w:color w:val="000000"/>
                <w:sz w:val="16"/>
                <w:szCs w:val="16"/>
                <w:lang w:eastAsia="en-AU"/>
              </w:rPr>
              <w:t xml:space="preserve">Are the benefits of the HCH program similar for patients across categories of disadvantage? </w:t>
            </w:r>
            <w:r w:rsidRPr="00BE7442">
              <w:rPr>
                <w:rFonts w:eastAsia="Times New Roman"/>
                <w:bCs/>
                <w:color w:val="000000"/>
                <w:sz w:val="16"/>
                <w:szCs w:val="16"/>
                <w:lang w:eastAsia="en-AU"/>
              </w:rPr>
              <w:t xml:space="preserve">Was </w:t>
            </w:r>
            <w:r w:rsidRPr="00012DEB">
              <w:rPr>
                <w:rFonts w:eastAsia="Times New Roman"/>
                <w:bCs/>
                <w:color w:val="000000"/>
                <w:sz w:val="16"/>
                <w:szCs w:val="16"/>
                <w:lang w:eastAsia="en-AU"/>
              </w:rPr>
              <w:t xml:space="preserve">patient participation in the program maintained through </w:t>
            </w:r>
            <w:r>
              <w:rPr>
                <w:rFonts w:eastAsia="Times New Roman"/>
                <w:bCs/>
                <w:color w:val="000000"/>
                <w:sz w:val="16"/>
                <w:szCs w:val="16"/>
                <w:lang w:eastAsia="en-AU"/>
              </w:rPr>
              <w:t>the trial</w:t>
            </w:r>
            <w:r w:rsidRPr="00012DEB">
              <w:rPr>
                <w:rFonts w:eastAsia="Times New Roman"/>
                <w:bCs/>
                <w:color w:val="000000"/>
                <w:sz w:val="16"/>
                <w:szCs w:val="16"/>
                <w:lang w:eastAsia="en-AU"/>
              </w:rPr>
              <w:t>? Were movements of patients between risk tiers appropriate?</w:t>
            </w:r>
            <w:r>
              <w:rPr>
                <w:rFonts w:eastAsia="Times New Roman"/>
                <w:bCs/>
                <w:color w:val="000000"/>
                <w:sz w:val="16"/>
                <w:szCs w:val="16"/>
                <w:lang w:eastAsia="en-AU"/>
              </w:rPr>
              <w:t xml:space="preserve"> </w:t>
            </w:r>
            <w:r w:rsidRPr="00012DEB">
              <w:rPr>
                <w:rFonts w:eastAsia="Times New Roman"/>
                <w:color w:val="000000"/>
                <w:sz w:val="16"/>
                <w:szCs w:val="16"/>
                <w:lang w:eastAsia="en-AU"/>
              </w:rPr>
              <w:t>What does this tell us about the potential of the HCH program to improve access to primary health care, particularly for vulnerable and disadvantaged populations, and improve</w:t>
            </w:r>
            <w:r>
              <w:rPr>
                <w:rFonts w:eastAsia="Times New Roman"/>
                <w:color w:val="000000"/>
                <w:sz w:val="16"/>
                <w:szCs w:val="16"/>
                <w:lang w:eastAsia="en-AU"/>
              </w:rPr>
              <w:t>d</w:t>
            </w:r>
            <w:r w:rsidRPr="00012DEB">
              <w:rPr>
                <w:rFonts w:eastAsia="Times New Roman"/>
                <w:color w:val="000000"/>
                <w:sz w:val="16"/>
                <w:szCs w:val="16"/>
                <w:lang w:eastAsia="en-AU"/>
              </w:rPr>
              <w:t xml:space="preserve"> equity in health outcomes?</w:t>
            </w:r>
          </w:p>
        </w:tc>
        <w:tc>
          <w:tcPr>
            <w:tcW w:w="7513" w:type="dxa"/>
            <w:shd w:val="clear" w:color="auto" w:fill="auto"/>
          </w:tcPr>
          <w:p w14:paraId="17B4256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7</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 xml:space="preserve">1 </w:t>
            </w:r>
            <w:r>
              <w:rPr>
                <w:rFonts w:eastAsia="Times New Roman"/>
                <w:color w:val="000000"/>
                <w:sz w:val="16"/>
                <w:szCs w:val="16"/>
                <w:lang w:eastAsia="en-AU"/>
              </w:rPr>
              <w:t xml:space="preserve">Multiple: Comparison of patient level outcomes (each of the indicators) compared across selected patient characteristics including: remoteness area of residence, Indigenous status, selected cultural and linguistic diversity (CALD) categories, categories of </w:t>
            </w:r>
            <w:r w:rsidRPr="00012DEB">
              <w:rPr>
                <w:rFonts w:eastAsia="Times New Roman"/>
                <w:color w:val="000000"/>
                <w:sz w:val="16"/>
                <w:szCs w:val="16"/>
                <w:lang w:eastAsia="en-AU"/>
              </w:rPr>
              <w:t>risk, including assessment of implications for equity in access and outcomes.</w:t>
            </w:r>
          </w:p>
        </w:tc>
        <w:tc>
          <w:tcPr>
            <w:tcW w:w="1417" w:type="dxa"/>
          </w:tcPr>
          <w:p w14:paraId="750BEC9B"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t>N</w:t>
            </w:r>
          </w:p>
        </w:tc>
        <w:tc>
          <w:tcPr>
            <w:tcW w:w="1248" w:type="dxa"/>
            <w:shd w:val="clear" w:color="auto" w:fill="auto"/>
            <w:noWrap/>
          </w:tcPr>
          <w:p w14:paraId="6580F0BD"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F5344F5" w14:textId="77777777" w:rsidTr="00521305">
        <w:trPr>
          <w:trHeight w:val="300"/>
        </w:trPr>
        <w:tc>
          <w:tcPr>
            <w:tcW w:w="4106" w:type="dxa"/>
            <w:vMerge/>
            <w:tcBorders>
              <w:bottom w:val="single" w:sz="4" w:space="0" w:color="D9D9D9" w:themeColor="background1" w:themeShade="D9"/>
            </w:tcBorders>
          </w:tcPr>
          <w:p w14:paraId="0DA9B6E5"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shd w:val="clear" w:color="auto" w:fill="auto"/>
          </w:tcPr>
          <w:p w14:paraId="42DA1854" w14:textId="77777777" w:rsidR="001C19F3" w:rsidRPr="00BE7442" w:rsidRDefault="001C19F3" w:rsidP="00521305">
            <w:pPr>
              <w:spacing w:after="0" w:line="264" w:lineRule="auto"/>
              <w:ind w:left="593" w:hanging="567"/>
              <w:rPr>
                <w:rFonts w:eastAsia="Times New Roman"/>
                <w:color w:val="000000"/>
                <w:sz w:val="16"/>
                <w:szCs w:val="16"/>
                <w:lang w:eastAsia="en-AU"/>
              </w:rPr>
            </w:pPr>
            <w:r>
              <w:rPr>
                <w:rFonts w:eastAsia="Times New Roman"/>
                <w:color w:val="000000"/>
                <w:sz w:val="16"/>
                <w:szCs w:val="16"/>
                <w:lang w:eastAsia="en-AU"/>
              </w:rPr>
              <w:t>3.07</w:t>
            </w:r>
            <w:r w:rsidRPr="00BE7442">
              <w:rPr>
                <w:rFonts w:eastAsia="Times New Roman"/>
                <w:color w:val="000000"/>
                <w:sz w:val="16"/>
                <w:szCs w:val="16"/>
                <w:lang w:eastAsia="en-AU"/>
              </w:rPr>
              <w:t>.</w:t>
            </w:r>
            <w:r>
              <w:rPr>
                <w:rFonts w:eastAsia="Times New Roman"/>
                <w:color w:val="000000"/>
                <w:sz w:val="16"/>
                <w:szCs w:val="16"/>
                <w:lang w:eastAsia="en-AU"/>
              </w:rPr>
              <w:t>02</w:t>
            </w:r>
            <w:r w:rsidRPr="00BE7442">
              <w:rPr>
                <w:rFonts w:eastAsia="Times New Roman"/>
                <w:color w:val="000000"/>
                <w:sz w:val="16"/>
                <w:szCs w:val="16"/>
                <w:lang w:eastAsia="en-AU"/>
              </w:rPr>
              <w:t xml:space="preserve"> Proportion of patients who leave the program categorised by reason for leaving</w:t>
            </w:r>
            <w:r>
              <w:rPr>
                <w:rFonts w:eastAsia="Times New Roman"/>
                <w:color w:val="000000"/>
                <w:sz w:val="16"/>
                <w:szCs w:val="16"/>
                <w:lang w:eastAsia="en-AU"/>
              </w:rPr>
              <w:t xml:space="preserve">. </w:t>
            </w:r>
          </w:p>
        </w:tc>
        <w:tc>
          <w:tcPr>
            <w:tcW w:w="1417" w:type="dxa"/>
          </w:tcPr>
          <w:p w14:paraId="43E41DA4"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t>N</w:t>
            </w:r>
          </w:p>
        </w:tc>
        <w:tc>
          <w:tcPr>
            <w:tcW w:w="1248" w:type="dxa"/>
            <w:shd w:val="clear" w:color="auto" w:fill="auto"/>
            <w:noWrap/>
          </w:tcPr>
          <w:p w14:paraId="2151EF3A"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6D9F9DE" w14:textId="77777777" w:rsidTr="00521305">
        <w:trPr>
          <w:trHeight w:val="300"/>
        </w:trPr>
        <w:tc>
          <w:tcPr>
            <w:tcW w:w="4106" w:type="dxa"/>
            <w:vMerge w:val="restart"/>
          </w:tcPr>
          <w:p w14:paraId="18895062"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3.0</w:t>
            </w:r>
            <w:r>
              <w:rPr>
                <w:rFonts w:eastAsia="Times New Roman"/>
                <w:bCs/>
                <w:color w:val="000000"/>
                <w:sz w:val="16"/>
                <w:szCs w:val="16"/>
                <w:lang w:eastAsia="en-AU"/>
              </w:rPr>
              <w:t>8</w:t>
            </w:r>
            <w:r w:rsidRPr="00BE7442">
              <w:rPr>
                <w:rFonts w:eastAsia="Times New Roman"/>
                <w:bCs/>
                <w:color w:val="000000"/>
                <w:sz w:val="16"/>
                <w:szCs w:val="16"/>
                <w:lang w:eastAsia="en-AU"/>
              </w:rPr>
              <w:t xml:space="preserve"> What preliminary evidence is there of the impact of the HCH program on health outcomes?</w:t>
            </w:r>
          </w:p>
        </w:tc>
        <w:tc>
          <w:tcPr>
            <w:tcW w:w="7513" w:type="dxa"/>
            <w:shd w:val="clear" w:color="auto" w:fill="auto"/>
            <w:vAlign w:val="bottom"/>
          </w:tcPr>
          <w:p w14:paraId="66DD903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8</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1 Change in the proportion of HCH patients with a diagnosis of Type 2 diabetes recorded in the practice system/inferred from other practice system data, whose last HbA1c measurement result was within specified levels (less than or equal to 7%; greater than 7% but less than or equal to 8%; greater than 8% but less than 10%; greater than or equal to 10%), compared with the change for comparator patients.</w:t>
            </w:r>
            <w:r>
              <w:rPr>
                <w:rFonts w:eastAsia="Times New Roman"/>
                <w:color w:val="000000"/>
                <w:sz w:val="16"/>
                <w:szCs w:val="16"/>
                <w:lang w:eastAsia="en-AU"/>
              </w:rPr>
              <w:t xml:space="preserve"> (See Note 1) (See Note 2)</w:t>
            </w:r>
          </w:p>
        </w:tc>
        <w:tc>
          <w:tcPr>
            <w:tcW w:w="1417" w:type="dxa"/>
          </w:tcPr>
          <w:p w14:paraId="5CF2C5A1"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t>N</w:t>
            </w:r>
          </w:p>
        </w:tc>
        <w:tc>
          <w:tcPr>
            <w:tcW w:w="1248" w:type="dxa"/>
            <w:shd w:val="clear" w:color="auto" w:fill="auto"/>
            <w:noWrap/>
          </w:tcPr>
          <w:p w14:paraId="6894930B"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6B86335B" w14:textId="77777777" w:rsidTr="00521305">
        <w:trPr>
          <w:trHeight w:val="300"/>
        </w:trPr>
        <w:tc>
          <w:tcPr>
            <w:tcW w:w="4106" w:type="dxa"/>
            <w:vMerge/>
          </w:tcPr>
          <w:p w14:paraId="13539091"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07DDD921"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8</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 xml:space="preserve">2 Change in the proportion of HCH patients with a diagnosis of Type 2 diabetes or cardiovascular disease recorded in the practice system/inferred from other practice system data, who had a kidney function test within the last 12 months and an eGFR result recorded, with results within specified levels (greater than or equal to 90; greater than or equal to 60 but less than 90; greater than or equal to 45 but less than 60; greater than or equal to 30 but less than 45; greater than or equal to 15 but less than 30; less </w:t>
            </w:r>
            <w:r w:rsidRPr="00BE7442">
              <w:rPr>
                <w:rFonts w:eastAsia="Times New Roman"/>
                <w:color w:val="000000"/>
                <w:sz w:val="16"/>
                <w:szCs w:val="16"/>
                <w:lang w:eastAsia="en-AU"/>
              </w:rPr>
              <w:lastRenderedPageBreak/>
              <w:t>than 15), compared with the change for comparator patients.</w:t>
            </w:r>
            <w:r>
              <w:rPr>
                <w:rFonts w:eastAsia="Times New Roman"/>
                <w:color w:val="000000"/>
                <w:sz w:val="16"/>
                <w:szCs w:val="16"/>
                <w:lang w:eastAsia="en-AU"/>
              </w:rPr>
              <w:t xml:space="preserve"> (See Note 1) (See Note 2)</w:t>
            </w:r>
          </w:p>
        </w:tc>
        <w:tc>
          <w:tcPr>
            <w:tcW w:w="1417" w:type="dxa"/>
          </w:tcPr>
          <w:p w14:paraId="64DF8148" w14:textId="77777777" w:rsidR="001C19F3" w:rsidRPr="00BE7442" w:rsidRDefault="001C19F3" w:rsidP="00521305">
            <w:pPr>
              <w:spacing w:after="0" w:line="264" w:lineRule="auto"/>
              <w:jc w:val="center"/>
              <w:rPr>
                <w:rFonts w:eastAsia="Times New Roman"/>
                <w:color w:val="000000"/>
                <w:sz w:val="16"/>
                <w:szCs w:val="16"/>
                <w:lang w:eastAsia="en-AU"/>
              </w:rPr>
            </w:pPr>
            <w:r w:rsidRPr="000641A9">
              <w:rPr>
                <w:rFonts w:eastAsia="Times New Roman"/>
                <w:color w:val="000000"/>
                <w:sz w:val="16"/>
                <w:szCs w:val="16"/>
                <w:lang w:eastAsia="en-AU"/>
              </w:rPr>
              <w:lastRenderedPageBreak/>
              <w:t>N</w:t>
            </w:r>
          </w:p>
        </w:tc>
        <w:tc>
          <w:tcPr>
            <w:tcW w:w="1248" w:type="dxa"/>
            <w:shd w:val="clear" w:color="auto" w:fill="auto"/>
            <w:noWrap/>
          </w:tcPr>
          <w:p w14:paraId="6D6F8D2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13747A1E" w14:textId="77777777" w:rsidTr="00521305">
        <w:trPr>
          <w:trHeight w:val="300"/>
        </w:trPr>
        <w:tc>
          <w:tcPr>
            <w:tcW w:w="4106" w:type="dxa"/>
            <w:vMerge/>
          </w:tcPr>
          <w:p w14:paraId="166D1A61"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vAlign w:val="bottom"/>
          </w:tcPr>
          <w:p w14:paraId="7299B980"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8</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3 Change in the proportion of HCH patients with a diagnosis of Type 2 diabetes recorded in the practice system/inferred from other practice system data, whose last blood pressure measurement result was</w:t>
            </w:r>
            <w:r>
              <w:rPr>
                <w:rFonts w:eastAsia="Times New Roman"/>
                <w:color w:val="000000"/>
                <w:sz w:val="16"/>
                <w:szCs w:val="16"/>
                <w:lang w:eastAsia="en-AU"/>
              </w:rPr>
              <w:t xml:space="preserve"> less than or</w:t>
            </w:r>
            <w:r w:rsidRPr="00BE7442">
              <w:rPr>
                <w:rFonts w:eastAsia="Times New Roman"/>
                <w:color w:val="000000"/>
                <w:sz w:val="16"/>
                <w:szCs w:val="16"/>
                <w:lang w:eastAsia="en-AU"/>
              </w:rPr>
              <w:t xml:space="preserve"> equal to 130/80 mmHg, compared with the change for comparator patients.</w:t>
            </w:r>
            <w:r>
              <w:rPr>
                <w:rFonts w:eastAsia="Times New Roman"/>
                <w:color w:val="000000"/>
                <w:sz w:val="16"/>
                <w:szCs w:val="16"/>
                <w:lang w:eastAsia="en-AU"/>
              </w:rPr>
              <w:t xml:space="preserve"> (See Note 1) (See Note 2)</w:t>
            </w:r>
          </w:p>
        </w:tc>
        <w:tc>
          <w:tcPr>
            <w:tcW w:w="1417" w:type="dxa"/>
          </w:tcPr>
          <w:p w14:paraId="0E6E6188" w14:textId="77777777" w:rsidR="001C19F3" w:rsidRPr="00BE7442" w:rsidRDefault="001C19F3" w:rsidP="00521305">
            <w:pPr>
              <w:spacing w:after="0" w:line="264" w:lineRule="auto"/>
              <w:jc w:val="center"/>
              <w:rPr>
                <w:rFonts w:eastAsia="Times New Roman"/>
                <w:color w:val="000000"/>
                <w:sz w:val="16"/>
                <w:szCs w:val="16"/>
                <w:lang w:eastAsia="en-AU"/>
              </w:rPr>
            </w:pPr>
            <w:r w:rsidRPr="008B6968">
              <w:rPr>
                <w:rFonts w:eastAsia="Times New Roman"/>
                <w:color w:val="000000"/>
                <w:sz w:val="16"/>
                <w:szCs w:val="16"/>
                <w:lang w:eastAsia="en-AU"/>
              </w:rPr>
              <w:t>N</w:t>
            </w:r>
          </w:p>
        </w:tc>
        <w:tc>
          <w:tcPr>
            <w:tcW w:w="1248" w:type="dxa"/>
            <w:shd w:val="clear" w:color="auto" w:fill="auto"/>
            <w:noWrap/>
          </w:tcPr>
          <w:p w14:paraId="3BA065F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3D25D0B6" w14:textId="77777777" w:rsidTr="00521305">
        <w:trPr>
          <w:trHeight w:val="300"/>
        </w:trPr>
        <w:tc>
          <w:tcPr>
            <w:tcW w:w="4106" w:type="dxa"/>
            <w:vMerge/>
          </w:tcPr>
          <w:p w14:paraId="767D8C04"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shd w:val="clear" w:color="auto" w:fill="auto"/>
          </w:tcPr>
          <w:p w14:paraId="49715B5B"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8</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4 Median time to event reflecting onset of serious acute cardiovascular event or death. Composite index of hospital admission for selected serious conditions (e.g. acute coronary syndrome, stroke) and death. Median time to event for HCH patients compared with comparator patients (using survival analysis).</w:t>
            </w:r>
          </w:p>
        </w:tc>
        <w:tc>
          <w:tcPr>
            <w:tcW w:w="1417" w:type="dxa"/>
          </w:tcPr>
          <w:p w14:paraId="1CCA8D19" w14:textId="77777777" w:rsidR="001C19F3" w:rsidRPr="00BE7442" w:rsidRDefault="001C19F3" w:rsidP="00521305">
            <w:pPr>
              <w:spacing w:after="0" w:line="264" w:lineRule="auto"/>
              <w:jc w:val="center"/>
              <w:rPr>
                <w:rFonts w:eastAsia="Times New Roman"/>
                <w:color w:val="000000"/>
                <w:sz w:val="16"/>
                <w:szCs w:val="16"/>
                <w:lang w:eastAsia="en-AU"/>
              </w:rPr>
            </w:pPr>
            <w:r w:rsidRPr="008B6968">
              <w:rPr>
                <w:rFonts w:eastAsia="Times New Roman"/>
                <w:color w:val="000000"/>
                <w:sz w:val="16"/>
                <w:szCs w:val="16"/>
                <w:lang w:eastAsia="en-AU"/>
              </w:rPr>
              <w:t>N</w:t>
            </w:r>
          </w:p>
        </w:tc>
        <w:tc>
          <w:tcPr>
            <w:tcW w:w="1248" w:type="dxa"/>
            <w:shd w:val="clear" w:color="auto" w:fill="auto"/>
            <w:noWrap/>
          </w:tcPr>
          <w:p w14:paraId="2193C629"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1FFAD9F0" w14:textId="77777777" w:rsidTr="00521305">
        <w:trPr>
          <w:trHeight w:val="300"/>
        </w:trPr>
        <w:tc>
          <w:tcPr>
            <w:tcW w:w="4106" w:type="dxa"/>
            <w:vMerge/>
            <w:tcBorders>
              <w:bottom w:val="single" w:sz="4" w:space="0" w:color="D9D9D9" w:themeColor="background1" w:themeShade="D9"/>
            </w:tcBorders>
          </w:tcPr>
          <w:p w14:paraId="6EC4AA56" w14:textId="77777777" w:rsidR="001C19F3" w:rsidRPr="00BE7442" w:rsidRDefault="001C19F3" w:rsidP="00521305">
            <w:pPr>
              <w:spacing w:after="0" w:line="264" w:lineRule="auto"/>
              <w:ind w:left="447" w:firstLineChars="300" w:firstLine="480"/>
              <w:rPr>
                <w:rFonts w:eastAsia="Times New Roman"/>
                <w:bCs/>
                <w:color w:val="000000"/>
                <w:sz w:val="16"/>
                <w:szCs w:val="16"/>
                <w:lang w:eastAsia="en-AU"/>
              </w:rPr>
            </w:pPr>
          </w:p>
        </w:tc>
        <w:tc>
          <w:tcPr>
            <w:tcW w:w="7513" w:type="dxa"/>
            <w:tcBorders>
              <w:bottom w:val="single" w:sz="4" w:space="0" w:color="D9D9D9" w:themeColor="background1" w:themeShade="D9"/>
            </w:tcBorders>
            <w:shd w:val="clear" w:color="auto" w:fill="auto"/>
          </w:tcPr>
          <w:p w14:paraId="09C78561"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3.0</w:t>
            </w:r>
            <w:r>
              <w:rPr>
                <w:rFonts w:eastAsia="Times New Roman"/>
                <w:color w:val="000000"/>
                <w:sz w:val="16"/>
                <w:szCs w:val="16"/>
                <w:lang w:eastAsia="en-AU"/>
              </w:rPr>
              <w:t>8</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5 Median survival (time to death). HCH patients compared with comparator patients (using survival analysis).</w:t>
            </w:r>
          </w:p>
        </w:tc>
        <w:tc>
          <w:tcPr>
            <w:tcW w:w="1417" w:type="dxa"/>
            <w:tcBorders>
              <w:bottom w:val="single" w:sz="4" w:space="0" w:color="D9D9D9" w:themeColor="background1" w:themeShade="D9"/>
            </w:tcBorders>
          </w:tcPr>
          <w:p w14:paraId="46548F83" w14:textId="77777777" w:rsidR="001C19F3" w:rsidRPr="00BE7442" w:rsidRDefault="001C19F3" w:rsidP="00521305">
            <w:pPr>
              <w:spacing w:after="0" w:line="264" w:lineRule="auto"/>
              <w:jc w:val="center"/>
              <w:rPr>
                <w:rFonts w:eastAsia="Times New Roman"/>
                <w:color w:val="000000"/>
                <w:sz w:val="16"/>
                <w:szCs w:val="16"/>
                <w:lang w:eastAsia="en-AU"/>
              </w:rPr>
            </w:pPr>
            <w:r w:rsidRPr="008B6968">
              <w:rPr>
                <w:rFonts w:eastAsia="Times New Roman"/>
                <w:color w:val="000000"/>
                <w:sz w:val="16"/>
                <w:szCs w:val="16"/>
                <w:lang w:eastAsia="en-AU"/>
              </w:rPr>
              <w:t>N</w:t>
            </w:r>
          </w:p>
        </w:tc>
        <w:tc>
          <w:tcPr>
            <w:tcW w:w="1248" w:type="dxa"/>
            <w:tcBorders>
              <w:bottom w:val="single" w:sz="4" w:space="0" w:color="D9D9D9" w:themeColor="background1" w:themeShade="D9"/>
            </w:tcBorders>
            <w:shd w:val="clear" w:color="auto" w:fill="auto"/>
            <w:noWrap/>
          </w:tcPr>
          <w:p w14:paraId="3512740D" w14:textId="77777777" w:rsidR="001C19F3" w:rsidRPr="00BE7442" w:rsidRDefault="001C19F3" w:rsidP="00521305">
            <w:pPr>
              <w:spacing w:after="0" w:line="264" w:lineRule="auto"/>
              <w:jc w:val="center"/>
              <w:rPr>
                <w:rFonts w:eastAsia="Times New Roman"/>
                <w:color w:val="000000"/>
                <w:sz w:val="16"/>
                <w:szCs w:val="16"/>
                <w:lang w:eastAsia="en-AU"/>
              </w:rPr>
            </w:pPr>
          </w:p>
        </w:tc>
      </w:tr>
    </w:tbl>
    <w:p w14:paraId="75877D0A" w14:textId="77777777" w:rsidR="001C19F3" w:rsidRDefault="001C19F3" w:rsidP="001C19F3">
      <w:pPr>
        <w:spacing w:after="0"/>
      </w:pPr>
    </w:p>
    <w:p w14:paraId="69D4D2F4" w14:textId="77777777" w:rsidR="001C19F3" w:rsidRDefault="001C19F3" w:rsidP="001C19F3">
      <w:pPr>
        <w:spacing w:after="160" w:line="259" w:lineRule="auto"/>
      </w:pPr>
      <w:r>
        <w:br w:type="page"/>
      </w:r>
    </w:p>
    <w:p w14:paraId="24ADD141" w14:textId="77777777" w:rsidR="001C19F3" w:rsidRPr="00B2094F" w:rsidRDefault="001C19F3" w:rsidP="001C19F3">
      <w:pPr>
        <w:spacing w:after="0"/>
        <w:rPr>
          <w:color w:val="003D79"/>
          <w:sz w:val="40"/>
          <w:szCs w:val="40"/>
        </w:rPr>
      </w:pPr>
      <w:r w:rsidRPr="00B2094F">
        <w:rPr>
          <w:color w:val="003D79"/>
          <w:sz w:val="40"/>
          <w:szCs w:val="40"/>
        </w:rPr>
        <w:lastRenderedPageBreak/>
        <w:t>Key question 4</w:t>
      </w:r>
    </w:p>
    <w:tbl>
      <w:tblPr>
        <w:tblW w:w="14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106"/>
        <w:gridCol w:w="7513"/>
        <w:gridCol w:w="1417"/>
        <w:gridCol w:w="1248"/>
      </w:tblGrid>
      <w:tr w:rsidR="001C19F3" w:rsidRPr="00BE7442" w14:paraId="62B4BAF2" w14:textId="77777777" w:rsidTr="00521305">
        <w:trPr>
          <w:trHeight w:val="1395"/>
          <w:tblHeader/>
        </w:trPr>
        <w:tc>
          <w:tcPr>
            <w:tcW w:w="4106" w:type="dxa"/>
            <w:tcBorders>
              <w:bottom w:val="single" w:sz="4" w:space="0" w:color="D9D9D9" w:themeColor="background1" w:themeShade="D9"/>
            </w:tcBorders>
            <w:shd w:val="clear" w:color="auto" w:fill="003D79"/>
            <w:vAlign w:val="center"/>
          </w:tcPr>
          <w:p w14:paraId="3B4172B2"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BE7442">
              <w:rPr>
                <w:rFonts w:eastAsia="Times New Roman"/>
                <w:b/>
                <w:bCs/>
                <w:color w:val="FFFFFF" w:themeColor="background1"/>
                <w:sz w:val="16"/>
                <w:szCs w:val="16"/>
                <w:lang w:eastAsia="en-AU"/>
              </w:rPr>
              <w:t>Key question 4: Detailed questions</w:t>
            </w:r>
          </w:p>
        </w:tc>
        <w:tc>
          <w:tcPr>
            <w:tcW w:w="7513" w:type="dxa"/>
            <w:tcBorders>
              <w:bottom w:val="single" w:sz="4" w:space="0" w:color="D9D9D9" w:themeColor="background1" w:themeShade="D9"/>
            </w:tcBorders>
            <w:shd w:val="clear" w:color="auto" w:fill="003D79"/>
            <w:noWrap/>
            <w:vAlign w:val="center"/>
            <w:hideMark/>
          </w:tcPr>
          <w:p w14:paraId="58D9E676"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BE7442">
              <w:rPr>
                <w:rFonts w:eastAsia="Times New Roman"/>
                <w:b/>
                <w:bCs/>
                <w:color w:val="FFFFFF" w:themeColor="background1"/>
                <w:sz w:val="16"/>
                <w:szCs w:val="16"/>
                <w:lang w:eastAsia="en-AU"/>
              </w:rPr>
              <w:t>Key question 4: Measures</w:t>
            </w:r>
          </w:p>
        </w:tc>
        <w:tc>
          <w:tcPr>
            <w:tcW w:w="1417" w:type="dxa"/>
            <w:tcBorders>
              <w:bottom w:val="single" w:sz="4" w:space="0" w:color="D9D9D9" w:themeColor="background1" w:themeShade="D9"/>
            </w:tcBorders>
            <w:shd w:val="clear" w:color="auto" w:fill="003D79"/>
            <w:vAlign w:val="center"/>
          </w:tcPr>
          <w:p w14:paraId="3A6B27DE"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Pr>
                <w:rFonts w:eastAsia="Times New Roman"/>
                <w:b/>
                <w:bCs/>
                <w:color w:val="FFFFFF" w:themeColor="background1"/>
                <w:sz w:val="16"/>
                <w:szCs w:val="16"/>
                <w:lang w:eastAsia="en-AU"/>
              </w:rPr>
              <w:t xml:space="preserve">Progress </w:t>
            </w:r>
            <w:r w:rsidRPr="00132C73">
              <w:rPr>
                <w:rFonts w:eastAsia="Times New Roman"/>
                <w:b/>
                <w:bCs/>
                <w:i/>
                <w:color w:val="FFFFFF" w:themeColor="background1"/>
                <w:sz w:val="14"/>
                <w:szCs w:val="14"/>
                <w:lang w:eastAsia="en-AU"/>
              </w:rPr>
              <w:t xml:space="preserve">(C=completed; P=partially covered in this report; N=not </w:t>
            </w:r>
            <w:r>
              <w:rPr>
                <w:rFonts w:eastAsia="Times New Roman"/>
                <w:b/>
                <w:bCs/>
                <w:i/>
                <w:color w:val="FFFFFF" w:themeColor="background1"/>
                <w:sz w:val="14"/>
                <w:szCs w:val="14"/>
                <w:lang w:eastAsia="en-AU"/>
              </w:rPr>
              <w:t>yet covered</w:t>
            </w:r>
            <w:r w:rsidRPr="00132C73">
              <w:rPr>
                <w:rFonts w:eastAsia="Times New Roman"/>
                <w:b/>
                <w:bCs/>
                <w:i/>
                <w:color w:val="FFFFFF" w:themeColor="background1"/>
                <w:sz w:val="14"/>
                <w:szCs w:val="14"/>
                <w:lang w:eastAsia="en-AU"/>
              </w:rPr>
              <w:t>)</w:t>
            </w:r>
          </w:p>
        </w:tc>
        <w:tc>
          <w:tcPr>
            <w:tcW w:w="1248" w:type="dxa"/>
            <w:tcBorders>
              <w:bottom w:val="single" w:sz="4" w:space="0" w:color="D9D9D9" w:themeColor="background1" w:themeShade="D9"/>
            </w:tcBorders>
            <w:shd w:val="clear" w:color="auto" w:fill="003D79"/>
            <w:vAlign w:val="center"/>
            <w:hideMark/>
          </w:tcPr>
          <w:p w14:paraId="3BE531D0" w14:textId="77777777" w:rsidR="001C19F3" w:rsidRPr="00BE7442" w:rsidRDefault="001C19F3" w:rsidP="00521305">
            <w:pPr>
              <w:spacing w:after="0" w:line="240" w:lineRule="auto"/>
              <w:jc w:val="center"/>
              <w:rPr>
                <w:rFonts w:eastAsia="Times New Roman"/>
                <w:b/>
                <w:bCs/>
                <w:color w:val="FFFFFF" w:themeColor="background1"/>
                <w:sz w:val="16"/>
                <w:szCs w:val="16"/>
                <w:lang w:eastAsia="en-AU"/>
              </w:rPr>
            </w:pPr>
            <w:r w:rsidRPr="006071F6">
              <w:rPr>
                <w:rFonts w:eastAsia="Times New Roman"/>
                <w:b/>
                <w:bCs/>
                <w:color w:val="FFFFFF" w:themeColor="background1"/>
                <w:sz w:val="16"/>
                <w:szCs w:val="16"/>
                <w:lang w:eastAsia="en-AU"/>
              </w:rPr>
              <w:t xml:space="preserve">Reference in </w:t>
            </w:r>
            <w:r>
              <w:rPr>
                <w:rFonts w:eastAsia="Times New Roman"/>
                <w:b/>
                <w:bCs/>
                <w:color w:val="FFFFFF" w:themeColor="background1"/>
                <w:sz w:val="16"/>
                <w:szCs w:val="16"/>
                <w:lang w:eastAsia="en-AU"/>
              </w:rPr>
              <w:t>Vol 2</w:t>
            </w:r>
          </w:p>
        </w:tc>
      </w:tr>
      <w:tr w:rsidR="001C19F3" w:rsidRPr="00BE7442" w14:paraId="2D437484" w14:textId="77777777" w:rsidTr="00521305">
        <w:trPr>
          <w:trHeight w:val="155"/>
        </w:trPr>
        <w:tc>
          <w:tcPr>
            <w:tcW w:w="4106" w:type="dxa"/>
            <w:tcBorders>
              <w:right w:val="nil"/>
            </w:tcBorders>
            <w:shd w:val="clear" w:color="auto" w:fill="F2F2F2" w:themeFill="background1" w:themeFillShade="F2"/>
          </w:tcPr>
          <w:p w14:paraId="4A74D392" w14:textId="77777777" w:rsidR="001C19F3" w:rsidRPr="00BE7442" w:rsidRDefault="001C19F3" w:rsidP="00521305">
            <w:pPr>
              <w:spacing w:after="0" w:line="240" w:lineRule="auto"/>
              <w:rPr>
                <w:rFonts w:ascii="Calibri" w:eastAsia="Times New Roman" w:hAnsi="Calibri"/>
                <w:b/>
                <w:bCs/>
                <w:color w:val="000000"/>
                <w:sz w:val="16"/>
                <w:szCs w:val="16"/>
                <w:lang w:eastAsia="en-AU"/>
              </w:rPr>
            </w:pPr>
            <w:r w:rsidRPr="00BE7442">
              <w:rPr>
                <w:rFonts w:eastAsia="Times New Roman"/>
                <w:b/>
                <w:bCs/>
                <w:color w:val="000000"/>
                <w:sz w:val="16"/>
                <w:szCs w:val="16"/>
                <w:lang w:eastAsia="en-AU"/>
              </w:rPr>
              <w:t>Level: Program</w:t>
            </w:r>
          </w:p>
        </w:tc>
        <w:tc>
          <w:tcPr>
            <w:tcW w:w="7513" w:type="dxa"/>
            <w:tcBorders>
              <w:left w:val="nil"/>
              <w:right w:val="nil"/>
            </w:tcBorders>
            <w:shd w:val="clear" w:color="auto" w:fill="F2F2F2" w:themeFill="background1" w:themeFillShade="F2"/>
            <w:hideMark/>
          </w:tcPr>
          <w:p w14:paraId="7EE552F7" w14:textId="77777777" w:rsidR="001C19F3" w:rsidRPr="00BE7442" w:rsidRDefault="001C19F3" w:rsidP="00521305">
            <w:pPr>
              <w:spacing w:after="0" w:line="240" w:lineRule="auto"/>
              <w:ind w:firstLineChars="100" w:firstLine="160"/>
              <w:rPr>
                <w:rFonts w:ascii="Calibri" w:eastAsia="Times New Roman" w:hAnsi="Calibri"/>
                <w:b/>
                <w:bCs/>
                <w:color w:val="000000"/>
                <w:sz w:val="16"/>
                <w:szCs w:val="16"/>
                <w:lang w:eastAsia="en-AU"/>
              </w:rPr>
            </w:pPr>
          </w:p>
        </w:tc>
        <w:tc>
          <w:tcPr>
            <w:tcW w:w="1417" w:type="dxa"/>
            <w:tcBorders>
              <w:left w:val="nil"/>
              <w:right w:val="nil"/>
            </w:tcBorders>
            <w:shd w:val="clear" w:color="auto" w:fill="F2F2F2" w:themeFill="background1" w:themeFillShade="F2"/>
          </w:tcPr>
          <w:p w14:paraId="3EACC025" w14:textId="77777777" w:rsidR="001C19F3" w:rsidRPr="00BE7442" w:rsidRDefault="001C19F3" w:rsidP="00521305">
            <w:pPr>
              <w:spacing w:after="0" w:line="240" w:lineRule="auto"/>
              <w:ind w:firstLineChars="100" w:firstLine="160"/>
              <w:jc w:val="center"/>
              <w:rPr>
                <w:rFonts w:eastAsia="Times New Roman"/>
                <w:b/>
                <w:bCs/>
                <w:color w:val="000000"/>
                <w:sz w:val="16"/>
                <w:szCs w:val="16"/>
                <w:lang w:eastAsia="en-AU"/>
              </w:rPr>
            </w:pPr>
          </w:p>
        </w:tc>
        <w:tc>
          <w:tcPr>
            <w:tcW w:w="1248" w:type="dxa"/>
            <w:tcBorders>
              <w:left w:val="nil"/>
              <w:right w:val="nil"/>
            </w:tcBorders>
            <w:shd w:val="clear" w:color="auto" w:fill="F2F2F2" w:themeFill="background1" w:themeFillShade="F2"/>
            <w:noWrap/>
            <w:hideMark/>
          </w:tcPr>
          <w:p w14:paraId="0454335F" w14:textId="77777777" w:rsidR="001C19F3" w:rsidRPr="00BE7442" w:rsidRDefault="001C19F3" w:rsidP="00521305">
            <w:pPr>
              <w:spacing w:after="0" w:line="240" w:lineRule="auto"/>
              <w:ind w:firstLineChars="100" w:firstLine="160"/>
              <w:jc w:val="center"/>
              <w:rPr>
                <w:rFonts w:eastAsia="Times New Roman"/>
                <w:b/>
                <w:bCs/>
                <w:color w:val="000000"/>
                <w:sz w:val="16"/>
                <w:szCs w:val="16"/>
                <w:lang w:eastAsia="en-AU"/>
              </w:rPr>
            </w:pPr>
          </w:p>
        </w:tc>
      </w:tr>
      <w:tr w:rsidR="001C19F3" w:rsidRPr="00BE7442" w14:paraId="17FA4978" w14:textId="77777777" w:rsidTr="00521305">
        <w:trPr>
          <w:trHeight w:val="300"/>
        </w:trPr>
        <w:tc>
          <w:tcPr>
            <w:tcW w:w="4106" w:type="dxa"/>
          </w:tcPr>
          <w:p w14:paraId="0FD9BDDA"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4.01 What is the cost to governments of care for HCH enrolled patients?</w:t>
            </w:r>
          </w:p>
        </w:tc>
        <w:tc>
          <w:tcPr>
            <w:tcW w:w="7513" w:type="dxa"/>
            <w:shd w:val="clear" w:color="auto" w:fill="auto"/>
            <w:vAlign w:val="bottom"/>
          </w:tcPr>
          <w:p w14:paraId="2F551C21"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4.01.</w:t>
            </w:r>
            <w:r>
              <w:rPr>
                <w:rFonts w:eastAsia="Times New Roman"/>
                <w:color w:val="000000"/>
                <w:sz w:val="16"/>
                <w:szCs w:val="16"/>
                <w:lang w:eastAsia="en-AU"/>
              </w:rPr>
              <w:t>0</w:t>
            </w:r>
            <w:r w:rsidRPr="00BE7442">
              <w:rPr>
                <w:rFonts w:eastAsia="Times New Roman"/>
                <w:color w:val="000000"/>
                <w:sz w:val="16"/>
                <w:szCs w:val="16"/>
                <w:lang w:eastAsia="en-AU"/>
              </w:rPr>
              <w:t>1 Difference in mean government payments in the previous 12 months between (a) entry to the HCH program</w:t>
            </w:r>
            <w:r>
              <w:rPr>
                <w:rFonts w:eastAsia="Times New Roman"/>
                <w:color w:val="000000"/>
                <w:sz w:val="16"/>
                <w:szCs w:val="16"/>
                <w:lang w:eastAsia="en-AU"/>
              </w:rPr>
              <w:t>;</w:t>
            </w:r>
            <w:r w:rsidRPr="00BE7442">
              <w:rPr>
                <w:rFonts w:eastAsia="Times New Roman"/>
                <w:color w:val="000000"/>
                <w:sz w:val="16"/>
                <w:szCs w:val="16"/>
                <w:lang w:eastAsia="en-AU"/>
              </w:rPr>
              <w:t xml:space="preserve"> and (b) the anniversary of entry to the program, HCH patients </w:t>
            </w:r>
            <w:r>
              <w:rPr>
                <w:rFonts w:eastAsia="Times New Roman"/>
                <w:color w:val="000000"/>
                <w:sz w:val="16"/>
                <w:szCs w:val="16"/>
                <w:lang w:eastAsia="en-AU"/>
              </w:rPr>
              <w:t>vs.</w:t>
            </w:r>
            <w:r w:rsidRPr="00BE7442">
              <w:rPr>
                <w:rFonts w:eastAsia="Times New Roman"/>
                <w:color w:val="000000"/>
                <w:sz w:val="16"/>
                <w:szCs w:val="16"/>
                <w:lang w:eastAsia="en-AU"/>
              </w:rPr>
              <w:t xml:space="preserve"> comparator patients.</w:t>
            </w:r>
          </w:p>
        </w:tc>
        <w:tc>
          <w:tcPr>
            <w:tcW w:w="1417" w:type="dxa"/>
          </w:tcPr>
          <w:p w14:paraId="6F24DFD9"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t>N</w:t>
            </w:r>
          </w:p>
        </w:tc>
        <w:tc>
          <w:tcPr>
            <w:tcW w:w="1248" w:type="dxa"/>
            <w:shd w:val="clear" w:color="auto" w:fill="auto"/>
            <w:noWrap/>
          </w:tcPr>
          <w:p w14:paraId="74AC7B12"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ED4F75D" w14:textId="77777777" w:rsidTr="00521305">
        <w:trPr>
          <w:trHeight w:val="300"/>
        </w:trPr>
        <w:tc>
          <w:tcPr>
            <w:tcW w:w="4106" w:type="dxa"/>
          </w:tcPr>
          <w:p w14:paraId="77E131AB"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4.02 What is the cost to governments of care for HCH enrolled patients taking into consideration the net of savings due to reduced hospitalisation and other health services?</w:t>
            </w:r>
          </w:p>
        </w:tc>
        <w:tc>
          <w:tcPr>
            <w:tcW w:w="7513" w:type="dxa"/>
            <w:shd w:val="clear" w:color="auto" w:fill="auto"/>
            <w:vAlign w:val="bottom"/>
          </w:tcPr>
          <w:p w14:paraId="153B6C5A"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4.02.</w:t>
            </w:r>
            <w:r>
              <w:rPr>
                <w:rFonts w:eastAsia="Times New Roman"/>
                <w:color w:val="000000"/>
                <w:sz w:val="16"/>
                <w:szCs w:val="16"/>
                <w:lang w:eastAsia="en-AU"/>
              </w:rPr>
              <w:t>0</w:t>
            </w:r>
            <w:r w:rsidRPr="00BE7442">
              <w:rPr>
                <w:rFonts w:eastAsia="Times New Roman"/>
                <w:color w:val="000000"/>
                <w:sz w:val="16"/>
                <w:szCs w:val="16"/>
                <w:lang w:eastAsia="en-AU"/>
              </w:rPr>
              <w:t xml:space="preserve">1 Difference </w:t>
            </w:r>
            <w:r>
              <w:rPr>
                <w:rFonts w:eastAsia="Times New Roman"/>
                <w:color w:val="000000"/>
                <w:sz w:val="16"/>
                <w:szCs w:val="16"/>
                <w:lang w:eastAsia="en-AU"/>
              </w:rPr>
              <w:t xml:space="preserve">in </w:t>
            </w:r>
            <w:r w:rsidRPr="00BE7442">
              <w:rPr>
                <w:rFonts w:eastAsia="Times New Roman"/>
                <w:color w:val="000000"/>
                <w:sz w:val="16"/>
                <w:szCs w:val="16"/>
                <w:lang w:eastAsia="en-AU"/>
              </w:rPr>
              <w:t>mean per patient total of government MBS/HCH payments and cost to government of hospital services in the previous 12 months between</w:t>
            </w:r>
            <w:r>
              <w:rPr>
                <w:rFonts w:eastAsia="Times New Roman"/>
                <w:color w:val="000000"/>
                <w:sz w:val="16"/>
                <w:szCs w:val="16"/>
                <w:lang w:eastAsia="en-AU"/>
              </w:rPr>
              <w:t>:</w:t>
            </w:r>
            <w:r w:rsidRPr="00BE7442">
              <w:rPr>
                <w:rFonts w:eastAsia="Times New Roman"/>
                <w:color w:val="000000"/>
                <w:sz w:val="16"/>
                <w:szCs w:val="16"/>
                <w:lang w:eastAsia="en-AU"/>
              </w:rPr>
              <w:t xml:space="preserve"> (a) entry to the HCH program</w:t>
            </w:r>
            <w:r>
              <w:rPr>
                <w:rFonts w:eastAsia="Times New Roman"/>
                <w:color w:val="000000"/>
                <w:sz w:val="16"/>
                <w:szCs w:val="16"/>
                <w:lang w:eastAsia="en-AU"/>
              </w:rPr>
              <w:t>;</w:t>
            </w:r>
            <w:r w:rsidRPr="00BE7442">
              <w:rPr>
                <w:rFonts w:eastAsia="Times New Roman"/>
                <w:color w:val="000000"/>
                <w:sz w:val="16"/>
                <w:szCs w:val="16"/>
                <w:lang w:eastAsia="en-AU"/>
              </w:rPr>
              <w:t xml:space="preserve"> and (b) the anniversary of entry to the program, HCH patients </w:t>
            </w:r>
            <w:r>
              <w:rPr>
                <w:rFonts w:eastAsia="Times New Roman"/>
                <w:color w:val="000000"/>
                <w:sz w:val="16"/>
                <w:szCs w:val="16"/>
                <w:lang w:eastAsia="en-AU"/>
              </w:rPr>
              <w:t>vs.</w:t>
            </w:r>
            <w:r w:rsidRPr="00BE7442">
              <w:rPr>
                <w:rFonts w:eastAsia="Times New Roman"/>
                <w:color w:val="000000"/>
                <w:sz w:val="16"/>
                <w:szCs w:val="16"/>
                <w:lang w:eastAsia="en-AU"/>
              </w:rPr>
              <w:t xml:space="preserve"> comparator patients. Cost to government of hospital services will be based on the total NWAUs related to use of public hospitals, multiplied by the National Efficient Price.</w:t>
            </w:r>
          </w:p>
        </w:tc>
        <w:tc>
          <w:tcPr>
            <w:tcW w:w="1417" w:type="dxa"/>
          </w:tcPr>
          <w:p w14:paraId="23B87CA8" w14:textId="77777777" w:rsidR="001C19F3" w:rsidRPr="00BE7442" w:rsidRDefault="001C19F3" w:rsidP="00521305">
            <w:pPr>
              <w:spacing w:after="0" w:line="264" w:lineRule="auto"/>
              <w:jc w:val="center"/>
              <w:rPr>
                <w:rFonts w:eastAsia="Times New Roman"/>
                <w:color w:val="000000"/>
                <w:sz w:val="16"/>
                <w:szCs w:val="16"/>
                <w:lang w:eastAsia="en-AU"/>
              </w:rPr>
            </w:pPr>
            <w:r w:rsidRPr="006D4BBD">
              <w:rPr>
                <w:rFonts w:eastAsia="Times New Roman"/>
                <w:color w:val="000000"/>
                <w:sz w:val="16"/>
                <w:szCs w:val="16"/>
                <w:lang w:eastAsia="en-AU"/>
              </w:rPr>
              <w:t>N</w:t>
            </w:r>
          </w:p>
        </w:tc>
        <w:tc>
          <w:tcPr>
            <w:tcW w:w="1248" w:type="dxa"/>
            <w:shd w:val="clear" w:color="auto" w:fill="auto"/>
            <w:noWrap/>
          </w:tcPr>
          <w:p w14:paraId="77930934"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B8EF356" w14:textId="77777777" w:rsidTr="00521305">
        <w:trPr>
          <w:trHeight w:val="300"/>
        </w:trPr>
        <w:tc>
          <w:tcPr>
            <w:tcW w:w="4106" w:type="dxa"/>
          </w:tcPr>
          <w:p w14:paraId="2B22A525"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4.03 Is the current HCH model financially sustainable?</w:t>
            </w:r>
          </w:p>
        </w:tc>
        <w:tc>
          <w:tcPr>
            <w:tcW w:w="7513" w:type="dxa"/>
            <w:shd w:val="clear" w:color="auto" w:fill="auto"/>
            <w:vAlign w:val="bottom"/>
          </w:tcPr>
          <w:p w14:paraId="6B2647AB"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4.03.</w:t>
            </w:r>
            <w:r>
              <w:rPr>
                <w:rFonts w:eastAsia="Times New Roman"/>
                <w:color w:val="000000"/>
                <w:sz w:val="16"/>
                <w:szCs w:val="16"/>
                <w:lang w:eastAsia="en-AU"/>
              </w:rPr>
              <w:t>0</w:t>
            </w:r>
            <w:r w:rsidRPr="00BE7442">
              <w:rPr>
                <w:rFonts w:eastAsia="Times New Roman"/>
                <w:color w:val="000000"/>
                <w:sz w:val="16"/>
                <w:szCs w:val="16"/>
                <w:lang w:eastAsia="en-AU"/>
              </w:rPr>
              <w:t>1 Mean government cost (including of hospital services) per patient is less for HCH patients vs. comparator patients.</w:t>
            </w:r>
          </w:p>
        </w:tc>
        <w:tc>
          <w:tcPr>
            <w:tcW w:w="1417" w:type="dxa"/>
          </w:tcPr>
          <w:p w14:paraId="3698530C" w14:textId="77777777" w:rsidR="001C19F3" w:rsidRPr="00BE7442" w:rsidRDefault="001C19F3" w:rsidP="00521305">
            <w:pPr>
              <w:spacing w:after="0" w:line="264" w:lineRule="auto"/>
              <w:jc w:val="center"/>
              <w:rPr>
                <w:rFonts w:eastAsia="Times New Roman"/>
                <w:color w:val="000000"/>
                <w:sz w:val="16"/>
                <w:szCs w:val="16"/>
                <w:lang w:eastAsia="en-AU"/>
              </w:rPr>
            </w:pPr>
            <w:r w:rsidRPr="006D4BBD">
              <w:rPr>
                <w:rFonts w:eastAsia="Times New Roman"/>
                <w:color w:val="000000"/>
                <w:sz w:val="16"/>
                <w:szCs w:val="16"/>
                <w:lang w:eastAsia="en-AU"/>
              </w:rPr>
              <w:t>N</w:t>
            </w:r>
          </w:p>
        </w:tc>
        <w:tc>
          <w:tcPr>
            <w:tcW w:w="1248" w:type="dxa"/>
            <w:shd w:val="clear" w:color="auto" w:fill="auto"/>
            <w:noWrap/>
          </w:tcPr>
          <w:p w14:paraId="0CB6CACE"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4D4D88BF" w14:textId="77777777" w:rsidTr="00521305">
        <w:trPr>
          <w:trHeight w:val="300"/>
        </w:trPr>
        <w:tc>
          <w:tcPr>
            <w:tcW w:w="4106" w:type="dxa"/>
          </w:tcPr>
          <w:p w14:paraId="161A146B"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4.04 What resources are required to make HCH succeed, and how can these be efficiently used?</w:t>
            </w:r>
          </w:p>
        </w:tc>
        <w:tc>
          <w:tcPr>
            <w:tcW w:w="7513" w:type="dxa"/>
            <w:shd w:val="clear" w:color="auto" w:fill="auto"/>
            <w:vAlign w:val="bottom"/>
          </w:tcPr>
          <w:p w14:paraId="018E0F1D"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4.04.</w:t>
            </w:r>
            <w:r>
              <w:rPr>
                <w:rFonts w:eastAsia="Times New Roman"/>
                <w:color w:val="000000"/>
                <w:sz w:val="16"/>
                <w:szCs w:val="16"/>
                <w:lang w:eastAsia="en-AU"/>
              </w:rPr>
              <w:t>0</w:t>
            </w:r>
            <w:r w:rsidRPr="00BE7442">
              <w:rPr>
                <w:rFonts w:eastAsia="Times New Roman"/>
                <w:color w:val="000000"/>
                <w:sz w:val="16"/>
                <w:szCs w:val="16"/>
                <w:lang w:eastAsia="en-AU"/>
              </w:rPr>
              <w:t>1 Estimated cost of improvements to the design and payment arrangements for the HCH model and the impacts these will have</w:t>
            </w:r>
            <w:r>
              <w:rPr>
                <w:rFonts w:eastAsia="Times New Roman"/>
                <w:color w:val="000000"/>
                <w:sz w:val="16"/>
                <w:szCs w:val="16"/>
                <w:lang w:eastAsia="en-AU"/>
              </w:rPr>
              <w:t xml:space="preserve"> on</w:t>
            </w:r>
            <w:r w:rsidRPr="00BE7442">
              <w:rPr>
                <w:rFonts w:eastAsia="Times New Roman"/>
                <w:color w:val="000000"/>
                <w:sz w:val="16"/>
                <w:szCs w:val="16"/>
                <w:lang w:eastAsia="en-AU"/>
              </w:rPr>
              <w:t xml:space="preserve"> program outcomes</w:t>
            </w:r>
            <w:r>
              <w:rPr>
                <w:rFonts w:eastAsia="Times New Roman"/>
                <w:color w:val="000000"/>
                <w:sz w:val="16"/>
                <w:szCs w:val="16"/>
                <w:lang w:eastAsia="en-AU"/>
              </w:rPr>
              <w:t>.</w:t>
            </w:r>
          </w:p>
        </w:tc>
        <w:tc>
          <w:tcPr>
            <w:tcW w:w="1417" w:type="dxa"/>
          </w:tcPr>
          <w:p w14:paraId="41E66E87" w14:textId="77777777" w:rsidR="001C19F3" w:rsidRPr="00BE7442" w:rsidRDefault="001C19F3" w:rsidP="00521305">
            <w:pPr>
              <w:spacing w:after="0" w:line="264" w:lineRule="auto"/>
              <w:jc w:val="center"/>
              <w:rPr>
                <w:rFonts w:eastAsia="Times New Roman"/>
                <w:color w:val="000000"/>
                <w:sz w:val="16"/>
                <w:szCs w:val="16"/>
                <w:lang w:eastAsia="en-AU"/>
              </w:rPr>
            </w:pPr>
            <w:r w:rsidRPr="006D4BBD">
              <w:rPr>
                <w:rFonts w:eastAsia="Times New Roman"/>
                <w:color w:val="000000"/>
                <w:sz w:val="16"/>
                <w:szCs w:val="16"/>
                <w:lang w:eastAsia="en-AU"/>
              </w:rPr>
              <w:t>N</w:t>
            </w:r>
          </w:p>
        </w:tc>
        <w:tc>
          <w:tcPr>
            <w:tcW w:w="1248" w:type="dxa"/>
            <w:shd w:val="clear" w:color="auto" w:fill="auto"/>
            <w:noWrap/>
          </w:tcPr>
          <w:p w14:paraId="402B043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232FE768" w14:textId="77777777" w:rsidTr="00521305">
        <w:trPr>
          <w:trHeight w:val="300"/>
        </w:trPr>
        <w:tc>
          <w:tcPr>
            <w:tcW w:w="4106" w:type="dxa"/>
          </w:tcPr>
          <w:p w14:paraId="3283EE44"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4.05 What will be the financial impact of extending the model to practices across Australia?</w:t>
            </w:r>
          </w:p>
        </w:tc>
        <w:tc>
          <w:tcPr>
            <w:tcW w:w="7513" w:type="dxa"/>
            <w:shd w:val="clear" w:color="auto" w:fill="auto"/>
            <w:vAlign w:val="bottom"/>
          </w:tcPr>
          <w:p w14:paraId="0A58693E"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4.05.</w:t>
            </w:r>
            <w:r>
              <w:rPr>
                <w:rFonts w:eastAsia="Times New Roman"/>
                <w:color w:val="000000"/>
                <w:sz w:val="16"/>
                <w:szCs w:val="16"/>
                <w:lang w:eastAsia="en-AU"/>
              </w:rPr>
              <w:t>0</w:t>
            </w:r>
            <w:r w:rsidRPr="00BE7442">
              <w:rPr>
                <w:rFonts w:eastAsia="Times New Roman"/>
                <w:color w:val="000000"/>
                <w:sz w:val="16"/>
                <w:szCs w:val="16"/>
                <w:lang w:eastAsia="en-AU"/>
              </w:rPr>
              <w:t>1 Estimated cost to government of extending the HCH to all other practices across Australia</w:t>
            </w:r>
            <w:r>
              <w:rPr>
                <w:rFonts w:eastAsia="Times New Roman"/>
                <w:color w:val="000000"/>
                <w:sz w:val="16"/>
                <w:szCs w:val="16"/>
                <w:lang w:eastAsia="en-AU"/>
              </w:rPr>
              <w:t>.</w:t>
            </w:r>
          </w:p>
        </w:tc>
        <w:tc>
          <w:tcPr>
            <w:tcW w:w="1417" w:type="dxa"/>
          </w:tcPr>
          <w:p w14:paraId="7CCA2E63" w14:textId="77777777" w:rsidR="001C19F3" w:rsidRPr="00BE7442" w:rsidRDefault="001C19F3" w:rsidP="00521305">
            <w:pPr>
              <w:spacing w:after="0" w:line="264" w:lineRule="auto"/>
              <w:jc w:val="center"/>
              <w:rPr>
                <w:rFonts w:eastAsia="Times New Roman"/>
                <w:color w:val="000000"/>
                <w:sz w:val="16"/>
                <w:szCs w:val="16"/>
                <w:lang w:eastAsia="en-AU"/>
              </w:rPr>
            </w:pPr>
            <w:r w:rsidRPr="006D4BBD">
              <w:rPr>
                <w:rFonts w:eastAsia="Times New Roman"/>
                <w:color w:val="000000"/>
                <w:sz w:val="16"/>
                <w:szCs w:val="16"/>
                <w:lang w:eastAsia="en-AU"/>
              </w:rPr>
              <w:t>N</w:t>
            </w:r>
          </w:p>
        </w:tc>
        <w:tc>
          <w:tcPr>
            <w:tcW w:w="1248" w:type="dxa"/>
            <w:shd w:val="clear" w:color="auto" w:fill="auto"/>
            <w:noWrap/>
          </w:tcPr>
          <w:p w14:paraId="73627503"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7C9AF52E" w14:textId="77777777" w:rsidTr="00521305">
        <w:trPr>
          <w:trHeight w:val="1014"/>
        </w:trPr>
        <w:tc>
          <w:tcPr>
            <w:tcW w:w="4106" w:type="dxa"/>
            <w:tcBorders>
              <w:bottom w:val="single" w:sz="4" w:space="0" w:color="D9D9D9" w:themeColor="background1" w:themeShade="D9"/>
            </w:tcBorders>
          </w:tcPr>
          <w:p w14:paraId="7FCD493C"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w:t>
            </w:r>
            <w:r>
              <w:rPr>
                <w:rFonts w:eastAsia="Times New Roman"/>
                <w:bCs/>
                <w:color w:val="000000"/>
                <w:sz w:val="16"/>
                <w:szCs w:val="16"/>
                <w:lang w:eastAsia="en-AU"/>
              </w:rPr>
              <w:t>6</w:t>
            </w:r>
            <w:r w:rsidRPr="00BE7442">
              <w:rPr>
                <w:rFonts w:eastAsia="Times New Roman"/>
                <w:bCs/>
                <w:color w:val="000000"/>
                <w:sz w:val="16"/>
                <w:szCs w:val="16"/>
                <w:lang w:eastAsia="en-AU"/>
              </w:rPr>
              <w:t xml:space="preserve"> Does the HCH program deliver value for money?</w:t>
            </w:r>
          </w:p>
        </w:tc>
        <w:tc>
          <w:tcPr>
            <w:tcW w:w="7513" w:type="dxa"/>
            <w:tcBorders>
              <w:bottom w:val="single" w:sz="4" w:space="0" w:color="D9D9D9" w:themeColor="background1" w:themeShade="D9"/>
            </w:tcBorders>
            <w:shd w:val="clear" w:color="auto" w:fill="auto"/>
            <w:vAlign w:val="bottom"/>
          </w:tcPr>
          <w:p w14:paraId="017F7571"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w:t>
            </w:r>
            <w:r>
              <w:rPr>
                <w:rFonts w:eastAsia="Times New Roman"/>
                <w:color w:val="000000"/>
                <w:sz w:val="16"/>
                <w:szCs w:val="16"/>
                <w:lang w:eastAsia="en-AU"/>
              </w:rPr>
              <w:t>6</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1 Cost consequence analysis: Mean government cost per patient is less for HCH patients vs. comparator patients and there is evidence that HCH delivers equivalent or superior outcomes for patients. Alternatively, mean government cost per patient is greater for HCH patients vs. comparator patients and there is evidence that HCH delivers superior outcomes for patients.</w:t>
            </w:r>
          </w:p>
        </w:tc>
        <w:tc>
          <w:tcPr>
            <w:tcW w:w="1417" w:type="dxa"/>
            <w:tcBorders>
              <w:bottom w:val="single" w:sz="4" w:space="0" w:color="D9D9D9" w:themeColor="background1" w:themeShade="D9"/>
            </w:tcBorders>
          </w:tcPr>
          <w:p w14:paraId="11C9203C" w14:textId="77777777" w:rsidR="001C19F3" w:rsidRPr="00BE7442" w:rsidRDefault="001C19F3" w:rsidP="00521305">
            <w:pPr>
              <w:spacing w:after="0" w:line="264" w:lineRule="auto"/>
              <w:jc w:val="center"/>
              <w:rPr>
                <w:rFonts w:eastAsia="Times New Roman"/>
                <w:color w:val="000000"/>
                <w:sz w:val="16"/>
                <w:szCs w:val="16"/>
                <w:lang w:eastAsia="en-AU"/>
              </w:rPr>
            </w:pPr>
            <w:r w:rsidRPr="006D4BBD">
              <w:rPr>
                <w:rFonts w:eastAsia="Times New Roman"/>
                <w:color w:val="000000"/>
                <w:sz w:val="16"/>
                <w:szCs w:val="16"/>
                <w:lang w:eastAsia="en-AU"/>
              </w:rPr>
              <w:t>N</w:t>
            </w:r>
          </w:p>
        </w:tc>
        <w:tc>
          <w:tcPr>
            <w:tcW w:w="1248" w:type="dxa"/>
            <w:tcBorders>
              <w:bottom w:val="single" w:sz="4" w:space="0" w:color="D9D9D9" w:themeColor="background1" w:themeShade="D9"/>
            </w:tcBorders>
            <w:shd w:val="clear" w:color="auto" w:fill="auto"/>
            <w:noWrap/>
          </w:tcPr>
          <w:p w14:paraId="6BE64967"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3C3B942" w14:textId="77777777" w:rsidTr="00521305">
        <w:trPr>
          <w:trHeight w:val="249"/>
        </w:trPr>
        <w:tc>
          <w:tcPr>
            <w:tcW w:w="4106" w:type="dxa"/>
            <w:tcBorders>
              <w:bottom w:val="single" w:sz="4" w:space="0" w:color="D9D9D9" w:themeColor="background1" w:themeShade="D9"/>
              <w:right w:val="nil"/>
            </w:tcBorders>
            <w:shd w:val="clear" w:color="auto" w:fill="F2F2F2" w:themeFill="background1" w:themeFillShade="F2"/>
          </w:tcPr>
          <w:p w14:paraId="5FBCD893" w14:textId="77777777" w:rsidR="001C19F3" w:rsidRPr="00BE7442" w:rsidRDefault="001C19F3" w:rsidP="00521305">
            <w:pPr>
              <w:spacing w:after="0" w:line="240" w:lineRule="auto"/>
              <w:rPr>
                <w:rFonts w:ascii="Calibri" w:eastAsia="Times New Roman" w:hAnsi="Calibri"/>
                <w:b/>
                <w:bCs/>
                <w:color w:val="000000"/>
                <w:sz w:val="16"/>
                <w:szCs w:val="16"/>
                <w:lang w:eastAsia="en-AU"/>
              </w:rPr>
            </w:pPr>
            <w:r w:rsidRPr="00BE7442">
              <w:rPr>
                <w:rFonts w:eastAsia="Times New Roman"/>
                <w:b/>
                <w:bCs/>
                <w:color w:val="000000"/>
                <w:sz w:val="16"/>
                <w:szCs w:val="16"/>
                <w:lang w:eastAsia="en-AU"/>
              </w:rPr>
              <w:t xml:space="preserve">Level: </w:t>
            </w:r>
            <w:r>
              <w:rPr>
                <w:rFonts w:eastAsia="Times New Roman"/>
                <w:b/>
                <w:bCs/>
                <w:color w:val="000000"/>
                <w:sz w:val="16"/>
                <w:szCs w:val="16"/>
                <w:lang w:eastAsia="en-AU"/>
              </w:rPr>
              <w:t>Practice</w:t>
            </w:r>
          </w:p>
        </w:tc>
        <w:tc>
          <w:tcPr>
            <w:tcW w:w="7513" w:type="dxa"/>
            <w:tcBorders>
              <w:left w:val="nil"/>
              <w:right w:val="nil"/>
            </w:tcBorders>
            <w:shd w:val="clear" w:color="auto" w:fill="F2F2F2" w:themeFill="background1" w:themeFillShade="F2"/>
            <w:hideMark/>
          </w:tcPr>
          <w:p w14:paraId="6ACD6AC6" w14:textId="77777777" w:rsidR="001C19F3" w:rsidRPr="00BE7442" w:rsidRDefault="001C19F3" w:rsidP="00521305">
            <w:pPr>
              <w:spacing w:after="0" w:line="240" w:lineRule="auto"/>
              <w:ind w:firstLineChars="100" w:firstLine="160"/>
              <w:rPr>
                <w:rFonts w:ascii="Calibri" w:eastAsia="Times New Roman" w:hAnsi="Calibri"/>
                <w:b/>
                <w:bCs/>
                <w:color w:val="000000"/>
                <w:sz w:val="16"/>
                <w:szCs w:val="16"/>
                <w:lang w:eastAsia="en-AU"/>
              </w:rPr>
            </w:pPr>
          </w:p>
        </w:tc>
        <w:tc>
          <w:tcPr>
            <w:tcW w:w="1417" w:type="dxa"/>
            <w:tcBorders>
              <w:left w:val="nil"/>
              <w:right w:val="nil"/>
            </w:tcBorders>
            <w:shd w:val="clear" w:color="auto" w:fill="F2F2F2" w:themeFill="background1" w:themeFillShade="F2"/>
          </w:tcPr>
          <w:p w14:paraId="658612EE" w14:textId="77777777" w:rsidR="001C19F3" w:rsidRPr="00C76285" w:rsidRDefault="001C19F3" w:rsidP="00521305">
            <w:pPr>
              <w:spacing w:after="0" w:line="264" w:lineRule="auto"/>
              <w:jc w:val="center"/>
              <w:rPr>
                <w:rFonts w:eastAsia="Times New Roman"/>
                <w:color w:val="000000"/>
                <w:sz w:val="16"/>
                <w:szCs w:val="16"/>
                <w:lang w:eastAsia="en-AU"/>
              </w:rPr>
            </w:pPr>
          </w:p>
        </w:tc>
        <w:tc>
          <w:tcPr>
            <w:tcW w:w="1248" w:type="dxa"/>
            <w:tcBorders>
              <w:left w:val="nil"/>
              <w:right w:val="nil"/>
            </w:tcBorders>
            <w:shd w:val="clear" w:color="auto" w:fill="F2F2F2" w:themeFill="background1" w:themeFillShade="F2"/>
            <w:noWrap/>
          </w:tcPr>
          <w:p w14:paraId="63912EF8" w14:textId="77777777" w:rsidR="001C19F3" w:rsidRPr="00C76285" w:rsidRDefault="001C19F3" w:rsidP="00521305">
            <w:pPr>
              <w:spacing w:after="0" w:line="264" w:lineRule="auto"/>
              <w:jc w:val="center"/>
              <w:rPr>
                <w:rFonts w:eastAsia="Times New Roman"/>
                <w:color w:val="000000"/>
                <w:sz w:val="16"/>
                <w:szCs w:val="16"/>
                <w:lang w:eastAsia="en-AU"/>
              </w:rPr>
            </w:pPr>
          </w:p>
        </w:tc>
      </w:tr>
      <w:tr w:rsidR="001C19F3" w:rsidRPr="00BE7442" w14:paraId="29F4411C" w14:textId="77777777" w:rsidTr="00521305">
        <w:trPr>
          <w:trHeight w:val="300"/>
        </w:trPr>
        <w:tc>
          <w:tcPr>
            <w:tcW w:w="4106" w:type="dxa"/>
            <w:vMerge w:val="restart"/>
          </w:tcPr>
          <w:p w14:paraId="16A6F8AA"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w:t>
            </w:r>
            <w:r>
              <w:rPr>
                <w:rFonts w:eastAsia="Times New Roman"/>
                <w:bCs/>
                <w:color w:val="000000"/>
                <w:sz w:val="16"/>
                <w:szCs w:val="16"/>
                <w:lang w:eastAsia="en-AU"/>
              </w:rPr>
              <w:t>7</w:t>
            </w:r>
            <w:r w:rsidRPr="00BE7442">
              <w:rPr>
                <w:rFonts w:eastAsia="Times New Roman"/>
                <w:bCs/>
                <w:color w:val="000000"/>
                <w:sz w:val="16"/>
                <w:szCs w:val="16"/>
                <w:lang w:eastAsia="en-AU"/>
              </w:rPr>
              <w:t xml:space="preserve"> What are the costs to practices of delivering HCH programs? Is this matched by HCH payments? Is the current HCH model financially sustainable for practices?</w:t>
            </w:r>
          </w:p>
        </w:tc>
        <w:tc>
          <w:tcPr>
            <w:tcW w:w="7513" w:type="dxa"/>
            <w:shd w:val="clear" w:color="auto" w:fill="auto"/>
          </w:tcPr>
          <w:p w14:paraId="1E9E4383"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w:t>
            </w:r>
            <w:r>
              <w:rPr>
                <w:rFonts w:eastAsia="Times New Roman"/>
                <w:color w:val="000000"/>
                <w:sz w:val="16"/>
                <w:szCs w:val="16"/>
                <w:lang w:eastAsia="en-AU"/>
              </w:rPr>
              <w:t>7</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1 Per patient practice revenue for HCH patients compared with continuation of usual MBS payments</w:t>
            </w:r>
            <w:r>
              <w:rPr>
                <w:rFonts w:eastAsia="Times New Roman"/>
                <w:color w:val="000000"/>
                <w:sz w:val="16"/>
                <w:szCs w:val="16"/>
                <w:lang w:eastAsia="en-AU"/>
              </w:rPr>
              <w:t>.</w:t>
            </w:r>
          </w:p>
        </w:tc>
        <w:tc>
          <w:tcPr>
            <w:tcW w:w="1417" w:type="dxa"/>
          </w:tcPr>
          <w:p w14:paraId="3890C372" w14:textId="77777777" w:rsidR="001C19F3" w:rsidRPr="00BE7442" w:rsidRDefault="001C19F3" w:rsidP="00521305">
            <w:pPr>
              <w:spacing w:after="0" w:line="264" w:lineRule="auto"/>
              <w:jc w:val="center"/>
              <w:rPr>
                <w:rFonts w:eastAsia="Times New Roman"/>
                <w:color w:val="000000"/>
                <w:sz w:val="16"/>
                <w:szCs w:val="16"/>
                <w:lang w:eastAsia="en-AU"/>
              </w:rPr>
            </w:pPr>
            <w:r w:rsidRPr="00E97AE8">
              <w:rPr>
                <w:rFonts w:eastAsia="Times New Roman"/>
                <w:color w:val="000000"/>
                <w:sz w:val="16"/>
                <w:szCs w:val="16"/>
                <w:lang w:eastAsia="en-AU"/>
              </w:rPr>
              <w:t>N</w:t>
            </w:r>
          </w:p>
        </w:tc>
        <w:tc>
          <w:tcPr>
            <w:tcW w:w="1248" w:type="dxa"/>
            <w:shd w:val="clear" w:color="auto" w:fill="auto"/>
            <w:noWrap/>
          </w:tcPr>
          <w:p w14:paraId="24A6B180"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5F8249E2" w14:textId="77777777" w:rsidTr="00521305">
        <w:trPr>
          <w:trHeight w:val="300"/>
        </w:trPr>
        <w:tc>
          <w:tcPr>
            <w:tcW w:w="4106" w:type="dxa"/>
            <w:vMerge/>
            <w:tcBorders>
              <w:bottom w:val="single" w:sz="4" w:space="0" w:color="D9D9D9" w:themeColor="background1" w:themeShade="D9"/>
            </w:tcBorders>
          </w:tcPr>
          <w:p w14:paraId="1A729F33" w14:textId="77777777" w:rsidR="001C19F3" w:rsidRPr="00BE7442" w:rsidRDefault="001C19F3" w:rsidP="00521305">
            <w:pPr>
              <w:spacing w:after="0" w:line="264" w:lineRule="auto"/>
              <w:ind w:left="447" w:hanging="425"/>
              <w:rPr>
                <w:rFonts w:eastAsia="Times New Roman"/>
                <w:bCs/>
                <w:color w:val="000000"/>
                <w:sz w:val="16"/>
                <w:szCs w:val="16"/>
                <w:lang w:eastAsia="en-AU"/>
              </w:rPr>
            </w:pPr>
          </w:p>
        </w:tc>
        <w:tc>
          <w:tcPr>
            <w:tcW w:w="7513" w:type="dxa"/>
            <w:tcBorders>
              <w:bottom w:val="single" w:sz="4" w:space="0" w:color="D9D9D9" w:themeColor="background1" w:themeShade="D9"/>
            </w:tcBorders>
            <w:shd w:val="clear" w:color="auto" w:fill="auto"/>
          </w:tcPr>
          <w:p w14:paraId="3A521AB4"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w:t>
            </w:r>
            <w:r>
              <w:rPr>
                <w:rFonts w:eastAsia="Times New Roman"/>
                <w:color w:val="000000"/>
                <w:sz w:val="16"/>
                <w:szCs w:val="16"/>
                <w:lang w:eastAsia="en-AU"/>
              </w:rPr>
              <w:t>7</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2 Change in net cost to practices per patient resulting from change</w:t>
            </w:r>
            <w:r>
              <w:rPr>
                <w:rFonts w:eastAsia="Times New Roman"/>
                <w:color w:val="000000"/>
                <w:sz w:val="16"/>
                <w:szCs w:val="16"/>
                <w:lang w:eastAsia="en-AU"/>
              </w:rPr>
              <w:t>s</w:t>
            </w:r>
            <w:r w:rsidRPr="00BE7442">
              <w:rPr>
                <w:rFonts w:eastAsia="Times New Roman"/>
                <w:color w:val="000000"/>
                <w:sz w:val="16"/>
                <w:szCs w:val="16"/>
                <w:lang w:eastAsia="en-AU"/>
              </w:rPr>
              <w:t xml:space="preserve"> in the mix of services delivered to HCH patients</w:t>
            </w:r>
            <w:r>
              <w:rPr>
                <w:rFonts w:eastAsia="Times New Roman"/>
                <w:color w:val="000000"/>
                <w:sz w:val="16"/>
                <w:szCs w:val="16"/>
                <w:lang w:eastAsia="en-AU"/>
              </w:rPr>
              <w:t>.</w:t>
            </w:r>
          </w:p>
        </w:tc>
        <w:tc>
          <w:tcPr>
            <w:tcW w:w="1417" w:type="dxa"/>
            <w:tcBorders>
              <w:bottom w:val="single" w:sz="4" w:space="0" w:color="D9D9D9" w:themeColor="background1" w:themeShade="D9"/>
            </w:tcBorders>
          </w:tcPr>
          <w:p w14:paraId="7AD7478D" w14:textId="77777777" w:rsidR="001C19F3" w:rsidRPr="00BE7442" w:rsidRDefault="001C19F3" w:rsidP="00521305">
            <w:pPr>
              <w:spacing w:after="0" w:line="264" w:lineRule="auto"/>
              <w:jc w:val="center"/>
              <w:rPr>
                <w:rFonts w:eastAsia="Times New Roman"/>
                <w:color w:val="000000"/>
                <w:sz w:val="16"/>
                <w:szCs w:val="16"/>
                <w:lang w:eastAsia="en-AU"/>
              </w:rPr>
            </w:pPr>
            <w:r w:rsidRPr="00E97AE8">
              <w:rPr>
                <w:rFonts w:eastAsia="Times New Roman"/>
                <w:color w:val="000000"/>
                <w:sz w:val="16"/>
                <w:szCs w:val="16"/>
                <w:lang w:eastAsia="en-AU"/>
              </w:rPr>
              <w:t>N</w:t>
            </w:r>
          </w:p>
        </w:tc>
        <w:tc>
          <w:tcPr>
            <w:tcW w:w="1248" w:type="dxa"/>
            <w:tcBorders>
              <w:bottom w:val="single" w:sz="4" w:space="0" w:color="D9D9D9" w:themeColor="background1" w:themeShade="D9"/>
            </w:tcBorders>
            <w:shd w:val="clear" w:color="auto" w:fill="auto"/>
            <w:noWrap/>
          </w:tcPr>
          <w:p w14:paraId="2FE0D619" w14:textId="77777777" w:rsidR="001C19F3" w:rsidRPr="00BE7442" w:rsidRDefault="001C19F3" w:rsidP="00521305">
            <w:pPr>
              <w:spacing w:after="0" w:line="264" w:lineRule="auto"/>
              <w:jc w:val="center"/>
              <w:rPr>
                <w:rFonts w:eastAsia="Times New Roman"/>
                <w:color w:val="000000"/>
                <w:sz w:val="16"/>
                <w:szCs w:val="16"/>
                <w:lang w:eastAsia="en-AU"/>
              </w:rPr>
            </w:pPr>
          </w:p>
        </w:tc>
      </w:tr>
      <w:tr w:rsidR="001C19F3" w:rsidRPr="00BE7442" w14:paraId="4BC243D8" w14:textId="77777777" w:rsidTr="00521305">
        <w:trPr>
          <w:trHeight w:val="127"/>
        </w:trPr>
        <w:tc>
          <w:tcPr>
            <w:tcW w:w="4106" w:type="dxa"/>
            <w:tcBorders>
              <w:right w:val="nil"/>
            </w:tcBorders>
            <w:shd w:val="clear" w:color="auto" w:fill="F2F2F2" w:themeFill="background1" w:themeFillShade="F2"/>
          </w:tcPr>
          <w:p w14:paraId="245943E9" w14:textId="77777777" w:rsidR="001C19F3" w:rsidRPr="00BE7442" w:rsidRDefault="001C19F3" w:rsidP="00521305">
            <w:pPr>
              <w:spacing w:after="0" w:line="240" w:lineRule="auto"/>
              <w:rPr>
                <w:rFonts w:ascii="Calibri" w:eastAsia="Times New Roman" w:hAnsi="Calibri"/>
                <w:b/>
                <w:bCs/>
                <w:color w:val="000000"/>
                <w:sz w:val="16"/>
                <w:szCs w:val="16"/>
                <w:lang w:eastAsia="en-AU"/>
              </w:rPr>
            </w:pPr>
            <w:r w:rsidRPr="00BE7442">
              <w:rPr>
                <w:rFonts w:eastAsia="Times New Roman"/>
                <w:b/>
                <w:bCs/>
                <w:color w:val="000000"/>
                <w:sz w:val="16"/>
                <w:szCs w:val="16"/>
                <w:lang w:eastAsia="en-AU"/>
              </w:rPr>
              <w:t>Level: Patient</w:t>
            </w:r>
          </w:p>
        </w:tc>
        <w:tc>
          <w:tcPr>
            <w:tcW w:w="7513" w:type="dxa"/>
            <w:tcBorders>
              <w:left w:val="nil"/>
              <w:right w:val="nil"/>
            </w:tcBorders>
            <w:shd w:val="clear" w:color="auto" w:fill="F2F2F2" w:themeFill="background1" w:themeFillShade="F2"/>
            <w:hideMark/>
          </w:tcPr>
          <w:p w14:paraId="0F8F0F33" w14:textId="77777777" w:rsidR="001C19F3" w:rsidRPr="00BE7442" w:rsidRDefault="001C19F3" w:rsidP="00521305">
            <w:pPr>
              <w:spacing w:after="0" w:line="240" w:lineRule="auto"/>
              <w:ind w:firstLineChars="100" w:firstLine="160"/>
              <w:rPr>
                <w:rFonts w:ascii="Calibri" w:eastAsia="Times New Roman" w:hAnsi="Calibri"/>
                <w:b/>
                <w:bCs/>
                <w:color w:val="000000"/>
                <w:sz w:val="16"/>
                <w:szCs w:val="16"/>
                <w:lang w:eastAsia="en-AU"/>
              </w:rPr>
            </w:pPr>
          </w:p>
        </w:tc>
        <w:tc>
          <w:tcPr>
            <w:tcW w:w="1417" w:type="dxa"/>
            <w:tcBorders>
              <w:left w:val="nil"/>
              <w:right w:val="nil"/>
            </w:tcBorders>
            <w:shd w:val="clear" w:color="auto" w:fill="F2F2F2" w:themeFill="background1" w:themeFillShade="F2"/>
          </w:tcPr>
          <w:p w14:paraId="7E46CAED" w14:textId="77777777" w:rsidR="001C19F3" w:rsidRPr="00C76285" w:rsidRDefault="001C19F3" w:rsidP="00521305">
            <w:pPr>
              <w:spacing w:after="0" w:line="264" w:lineRule="auto"/>
              <w:jc w:val="center"/>
              <w:rPr>
                <w:rFonts w:eastAsia="Times New Roman"/>
                <w:color w:val="000000"/>
                <w:sz w:val="16"/>
                <w:szCs w:val="16"/>
                <w:lang w:eastAsia="en-AU"/>
              </w:rPr>
            </w:pPr>
          </w:p>
        </w:tc>
        <w:tc>
          <w:tcPr>
            <w:tcW w:w="1248" w:type="dxa"/>
            <w:tcBorders>
              <w:left w:val="nil"/>
              <w:right w:val="nil"/>
            </w:tcBorders>
            <w:shd w:val="clear" w:color="auto" w:fill="F2F2F2" w:themeFill="background1" w:themeFillShade="F2"/>
            <w:noWrap/>
          </w:tcPr>
          <w:p w14:paraId="7CE3D729" w14:textId="77777777" w:rsidR="001C19F3" w:rsidRPr="00C76285" w:rsidRDefault="001C19F3" w:rsidP="00521305">
            <w:pPr>
              <w:spacing w:after="0" w:line="264" w:lineRule="auto"/>
              <w:jc w:val="center"/>
              <w:rPr>
                <w:rFonts w:eastAsia="Times New Roman"/>
                <w:color w:val="000000"/>
                <w:sz w:val="16"/>
                <w:szCs w:val="16"/>
                <w:lang w:eastAsia="en-AU"/>
              </w:rPr>
            </w:pPr>
          </w:p>
        </w:tc>
      </w:tr>
      <w:tr w:rsidR="001C19F3" w:rsidRPr="00BE7442" w14:paraId="3BDB90D7" w14:textId="77777777" w:rsidTr="00521305">
        <w:trPr>
          <w:trHeight w:val="563"/>
        </w:trPr>
        <w:tc>
          <w:tcPr>
            <w:tcW w:w="4106" w:type="dxa"/>
          </w:tcPr>
          <w:p w14:paraId="76B18A5C" w14:textId="77777777" w:rsidR="001C19F3" w:rsidRPr="00BE7442" w:rsidRDefault="001C19F3" w:rsidP="00521305">
            <w:pPr>
              <w:spacing w:after="0" w:line="264" w:lineRule="auto"/>
              <w:ind w:left="447" w:hanging="425"/>
              <w:rPr>
                <w:rFonts w:eastAsia="Times New Roman"/>
                <w:bCs/>
                <w:color w:val="000000"/>
                <w:sz w:val="16"/>
                <w:szCs w:val="16"/>
                <w:lang w:eastAsia="en-AU"/>
              </w:rPr>
            </w:pPr>
            <w:r w:rsidRPr="00BE7442">
              <w:rPr>
                <w:rFonts w:eastAsia="Times New Roman"/>
                <w:bCs/>
                <w:color w:val="000000"/>
                <w:sz w:val="16"/>
                <w:szCs w:val="16"/>
                <w:lang w:eastAsia="en-AU"/>
              </w:rPr>
              <w:t>4.0</w:t>
            </w:r>
            <w:r>
              <w:rPr>
                <w:rFonts w:eastAsia="Times New Roman"/>
                <w:bCs/>
                <w:color w:val="000000"/>
                <w:sz w:val="16"/>
                <w:szCs w:val="16"/>
                <w:lang w:eastAsia="en-AU"/>
              </w:rPr>
              <w:t>8</w:t>
            </w:r>
            <w:r w:rsidRPr="00BE7442">
              <w:rPr>
                <w:rFonts w:eastAsia="Times New Roman"/>
                <w:bCs/>
                <w:color w:val="000000"/>
                <w:sz w:val="16"/>
                <w:szCs w:val="16"/>
                <w:lang w:eastAsia="en-AU"/>
              </w:rPr>
              <w:t xml:space="preserve"> What is the impact of HCH enrolment on patient, carer and family out-of-pocket costs?</w:t>
            </w:r>
          </w:p>
        </w:tc>
        <w:tc>
          <w:tcPr>
            <w:tcW w:w="7513" w:type="dxa"/>
            <w:shd w:val="clear" w:color="auto" w:fill="auto"/>
            <w:vAlign w:val="bottom"/>
          </w:tcPr>
          <w:p w14:paraId="1415E3E9" w14:textId="77777777" w:rsidR="001C19F3" w:rsidRPr="00BE7442" w:rsidRDefault="001C19F3" w:rsidP="00521305">
            <w:pPr>
              <w:spacing w:after="0" w:line="264" w:lineRule="auto"/>
              <w:ind w:left="593" w:hanging="567"/>
              <w:rPr>
                <w:rFonts w:eastAsia="Times New Roman"/>
                <w:color w:val="000000"/>
                <w:sz w:val="16"/>
                <w:szCs w:val="16"/>
                <w:lang w:eastAsia="en-AU"/>
              </w:rPr>
            </w:pPr>
            <w:r w:rsidRPr="00BE7442">
              <w:rPr>
                <w:rFonts w:eastAsia="Times New Roman"/>
                <w:color w:val="000000"/>
                <w:sz w:val="16"/>
                <w:szCs w:val="16"/>
                <w:lang w:eastAsia="en-AU"/>
              </w:rPr>
              <w:t>4.0</w:t>
            </w:r>
            <w:r>
              <w:rPr>
                <w:rFonts w:eastAsia="Times New Roman"/>
                <w:color w:val="000000"/>
                <w:sz w:val="16"/>
                <w:szCs w:val="16"/>
                <w:lang w:eastAsia="en-AU"/>
              </w:rPr>
              <w:t>8</w:t>
            </w:r>
            <w:r w:rsidRPr="00BE7442">
              <w:rPr>
                <w:rFonts w:eastAsia="Times New Roman"/>
                <w:color w:val="000000"/>
                <w:sz w:val="16"/>
                <w:szCs w:val="16"/>
                <w:lang w:eastAsia="en-AU"/>
              </w:rPr>
              <w:t>.</w:t>
            </w:r>
            <w:r>
              <w:rPr>
                <w:rFonts w:eastAsia="Times New Roman"/>
                <w:color w:val="000000"/>
                <w:sz w:val="16"/>
                <w:szCs w:val="16"/>
                <w:lang w:eastAsia="en-AU"/>
              </w:rPr>
              <w:t>0</w:t>
            </w:r>
            <w:r w:rsidRPr="00BE7442">
              <w:rPr>
                <w:rFonts w:eastAsia="Times New Roman"/>
                <w:color w:val="000000"/>
                <w:sz w:val="16"/>
                <w:szCs w:val="16"/>
                <w:lang w:eastAsia="en-AU"/>
              </w:rPr>
              <w:t xml:space="preserve">1 Difference </w:t>
            </w:r>
            <w:r>
              <w:rPr>
                <w:rFonts w:eastAsia="Times New Roman"/>
                <w:color w:val="000000"/>
                <w:sz w:val="16"/>
                <w:szCs w:val="16"/>
                <w:lang w:eastAsia="en-AU"/>
              </w:rPr>
              <w:t xml:space="preserve">in </w:t>
            </w:r>
            <w:r w:rsidRPr="00BE7442">
              <w:rPr>
                <w:rFonts w:eastAsia="Times New Roman"/>
                <w:color w:val="000000"/>
                <w:sz w:val="16"/>
                <w:szCs w:val="16"/>
                <w:lang w:eastAsia="en-AU"/>
              </w:rPr>
              <w:t>the mean out-of-pocket payments for HCH patients in the previous 12 months between</w:t>
            </w:r>
            <w:r>
              <w:rPr>
                <w:rFonts w:eastAsia="Times New Roman"/>
                <w:color w:val="000000"/>
                <w:sz w:val="16"/>
                <w:szCs w:val="16"/>
                <w:lang w:eastAsia="en-AU"/>
              </w:rPr>
              <w:t>:</w:t>
            </w:r>
            <w:r w:rsidRPr="00BE7442">
              <w:rPr>
                <w:rFonts w:eastAsia="Times New Roman"/>
                <w:color w:val="000000"/>
                <w:sz w:val="16"/>
                <w:szCs w:val="16"/>
                <w:lang w:eastAsia="en-AU"/>
              </w:rPr>
              <w:t xml:space="preserve"> (a) entry to the HCH program</w:t>
            </w:r>
            <w:r>
              <w:rPr>
                <w:rFonts w:eastAsia="Times New Roman"/>
                <w:color w:val="000000"/>
                <w:sz w:val="16"/>
                <w:szCs w:val="16"/>
                <w:lang w:eastAsia="en-AU"/>
              </w:rPr>
              <w:t>;</w:t>
            </w:r>
            <w:r w:rsidRPr="00BE7442">
              <w:rPr>
                <w:rFonts w:eastAsia="Times New Roman"/>
                <w:color w:val="000000"/>
                <w:sz w:val="16"/>
                <w:szCs w:val="16"/>
                <w:lang w:eastAsia="en-AU"/>
              </w:rPr>
              <w:t xml:space="preserve"> and (b) the anniversary of entry to the program, HCH patients </w:t>
            </w:r>
            <w:r>
              <w:rPr>
                <w:rFonts w:eastAsia="Times New Roman"/>
                <w:color w:val="000000"/>
                <w:sz w:val="16"/>
                <w:szCs w:val="16"/>
                <w:lang w:eastAsia="en-AU"/>
              </w:rPr>
              <w:t>vs.</w:t>
            </w:r>
            <w:r w:rsidRPr="00BE7442">
              <w:rPr>
                <w:rFonts w:eastAsia="Times New Roman"/>
                <w:color w:val="000000"/>
                <w:sz w:val="16"/>
                <w:szCs w:val="16"/>
                <w:lang w:eastAsia="en-AU"/>
              </w:rPr>
              <w:t xml:space="preserve"> comparator patients. Out-of-pocket costs will be </w:t>
            </w:r>
            <w:r w:rsidRPr="00BE7442">
              <w:rPr>
                <w:rFonts w:eastAsia="Times New Roman"/>
                <w:color w:val="000000"/>
                <w:sz w:val="16"/>
                <w:szCs w:val="16"/>
                <w:lang w:eastAsia="en-AU"/>
              </w:rPr>
              <w:lastRenderedPageBreak/>
              <w:t>estimated from MBS and PBS data, analysis of hospital data and analysis and modelling of practice policies relating to co-payments for HCH patients.</w:t>
            </w:r>
          </w:p>
        </w:tc>
        <w:tc>
          <w:tcPr>
            <w:tcW w:w="1417" w:type="dxa"/>
          </w:tcPr>
          <w:p w14:paraId="26D5181F" w14:textId="77777777" w:rsidR="001C19F3" w:rsidRPr="00BE7442" w:rsidRDefault="001C19F3" w:rsidP="00521305">
            <w:pPr>
              <w:spacing w:after="0" w:line="264" w:lineRule="auto"/>
              <w:jc w:val="center"/>
              <w:rPr>
                <w:rFonts w:eastAsia="Times New Roman"/>
                <w:color w:val="000000"/>
                <w:sz w:val="16"/>
                <w:szCs w:val="16"/>
                <w:lang w:eastAsia="en-AU"/>
              </w:rPr>
            </w:pPr>
            <w:r>
              <w:rPr>
                <w:rFonts w:eastAsia="Times New Roman"/>
                <w:color w:val="000000"/>
                <w:sz w:val="16"/>
                <w:szCs w:val="16"/>
                <w:lang w:eastAsia="en-AU"/>
              </w:rPr>
              <w:lastRenderedPageBreak/>
              <w:t>N</w:t>
            </w:r>
          </w:p>
        </w:tc>
        <w:tc>
          <w:tcPr>
            <w:tcW w:w="1248" w:type="dxa"/>
            <w:shd w:val="clear" w:color="auto" w:fill="auto"/>
            <w:noWrap/>
          </w:tcPr>
          <w:p w14:paraId="580B12C2" w14:textId="77777777" w:rsidR="001C19F3" w:rsidRPr="00BE7442" w:rsidRDefault="001C19F3" w:rsidP="00521305">
            <w:pPr>
              <w:spacing w:after="0" w:line="264" w:lineRule="auto"/>
              <w:jc w:val="center"/>
              <w:rPr>
                <w:rFonts w:eastAsia="Times New Roman"/>
                <w:color w:val="000000"/>
                <w:sz w:val="16"/>
                <w:szCs w:val="16"/>
                <w:lang w:eastAsia="en-AU"/>
              </w:rPr>
            </w:pPr>
          </w:p>
        </w:tc>
      </w:tr>
    </w:tbl>
    <w:p w14:paraId="71506550" w14:textId="77777777" w:rsidR="001C19F3" w:rsidRDefault="001C19F3" w:rsidP="001C19F3"/>
    <w:p w14:paraId="344BACC4" w14:textId="77777777" w:rsidR="001C19F3" w:rsidRDefault="001C19F3" w:rsidP="001C19F3">
      <w:pPr>
        <w:spacing w:after="160" w:line="259" w:lineRule="auto"/>
      </w:pPr>
      <w:r>
        <w:br w:type="page"/>
      </w:r>
    </w:p>
    <w:p w14:paraId="562FBB09" w14:textId="77777777" w:rsidR="001C19F3" w:rsidRPr="00B2094F" w:rsidRDefault="001C19F3" w:rsidP="001C19F3">
      <w:pPr>
        <w:spacing w:after="0"/>
        <w:rPr>
          <w:color w:val="003D79"/>
          <w:sz w:val="40"/>
          <w:szCs w:val="40"/>
        </w:rPr>
      </w:pPr>
      <w:r w:rsidRPr="00B2094F">
        <w:rPr>
          <w:color w:val="003D79"/>
          <w:sz w:val="40"/>
          <w:szCs w:val="40"/>
        </w:rPr>
        <w:lastRenderedPageBreak/>
        <w:t>Key questions – Community Pharmacy in HCH</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4A0" w:firstRow="1" w:lastRow="0" w:firstColumn="1" w:lastColumn="0" w:noHBand="0" w:noVBand="1"/>
      </w:tblPr>
      <w:tblGrid>
        <w:gridCol w:w="10837"/>
        <w:gridCol w:w="1049"/>
        <w:gridCol w:w="1150"/>
        <w:gridCol w:w="912"/>
      </w:tblGrid>
      <w:tr w:rsidR="001C19F3" w:rsidRPr="001211A2" w14:paraId="1AD612CD" w14:textId="77777777" w:rsidTr="00521305">
        <w:trPr>
          <w:trHeight w:val="1629"/>
          <w:tblHeader/>
          <w:jc w:val="right"/>
        </w:trPr>
        <w:tc>
          <w:tcPr>
            <w:tcW w:w="3885" w:type="pct"/>
            <w:tcBorders>
              <w:bottom w:val="single" w:sz="4" w:space="0" w:color="D9D9D9" w:themeColor="background1" w:themeShade="D9"/>
            </w:tcBorders>
            <w:shd w:val="clear" w:color="auto" w:fill="003D79"/>
            <w:noWrap/>
            <w:vAlign w:val="center"/>
            <w:hideMark/>
          </w:tcPr>
          <w:p w14:paraId="00272E53" w14:textId="77777777" w:rsidR="001C19F3" w:rsidRPr="0047799F" w:rsidRDefault="001C19F3" w:rsidP="00521305">
            <w:pPr>
              <w:spacing w:after="0" w:line="240" w:lineRule="auto"/>
              <w:jc w:val="center"/>
              <w:rPr>
                <w:rFonts w:eastAsia="Times New Roman"/>
                <w:b/>
                <w:bCs/>
                <w:color w:val="FFFFFF" w:themeColor="background1"/>
                <w:sz w:val="16"/>
                <w:szCs w:val="16"/>
                <w:lang w:eastAsia="en-AU"/>
              </w:rPr>
            </w:pPr>
            <w:r>
              <w:rPr>
                <w:rFonts w:eastAsia="Times New Roman"/>
                <w:b/>
                <w:bCs/>
                <w:color w:val="FFFFFF" w:themeColor="background1"/>
                <w:sz w:val="16"/>
                <w:szCs w:val="16"/>
                <w:lang w:eastAsia="en-AU"/>
              </w:rPr>
              <w:t>Measures</w:t>
            </w:r>
          </w:p>
        </w:tc>
        <w:tc>
          <w:tcPr>
            <w:tcW w:w="376" w:type="pct"/>
            <w:tcBorders>
              <w:bottom w:val="single" w:sz="4" w:space="0" w:color="D9D9D9" w:themeColor="background1" w:themeShade="D9"/>
            </w:tcBorders>
            <w:shd w:val="clear" w:color="auto" w:fill="003D79"/>
            <w:vAlign w:val="center"/>
          </w:tcPr>
          <w:p w14:paraId="7A28E8C3" w14:textId="77777777" w:rsidR="001C19F3" w:rsidRPr="00D1162D" w:rsidRDefault="001C19F3" w:rsidP="00521305">
            <w:pPr>
              <w:spacing w:after="0" w:line="240" w:lineRule="auto"/>
              <w:jc w:val="center"/>
              <w:rPr>
                <w:rFonts w:eastAsia="Times New Roman"/>
                <w:b/>
                <w:bCs/>
                <w:color w:val="FFFFFF" w:themeColor="background1"/>
                <w:sz w:val="16"/>
                <w:szCs w:val="16"/>
                <w:lang w:eastAsia="en-AU"/>
              </w:rPr>
            </w:pPr>
            <w:r w:rsidRPr="00D1162D">
              <w:rPr>
                <w:rFonts w:eastAsia="Times New Roman"/>
                <w:b/>
                <w:bCs/>
                <w:color w:val="FFFFFF" w:themeColor="background1"/>
                <w:sz w:val="16"/>
                <w:szCs w:val="16"/>
                <w:lang w:eastAsia="en-AU"/>
              </w:rPr>
              <w:t xml:space="preserve">Level </w:t>
            </w:r>
          </w:p>
          <w:p w14:paraId="0E766D0B" w14:textId="77777777" w:rsidR="001C19F3" w:rsidRPr="00D1162D" w:rsidRDefault="001C19F3" w:rsidP="00521305">
            <w:pPr>
              <w:spacing w:after="0" w:line="240" w:lineRule="auto"/>
              <w:jc w:val="center"/>
              <w:rPr>
                <w:rFonts w:eastAsia="Times New Roman"/>
                <w:b/>
                <w:bCs/>
                <w:color w:val="FFFFFF" w:themeColor="background1"/>
                <w:sz w:val="16"/>
                <w:szCs w:val="16"/>
                <w:lang w:eastAsia="en-AU"/>
              </w:rPr>
            </w:pPr>
            <w:r w:rsidRPr="00D1162D">
              <w:rPr>
                <w:rFonts w:eastAsia="Times New Roman"/>
                <w:b/>
                <w:bCs/>
                <w:color w:val="FFFFFF" w:themeColor="background1"/>
                <w:sz w:val="16"/>
                <w:szCs w:val="16"/>
                <w:lang w:eastAsia="en-AU"/>
              </w:rPr>
              <w:t>PR=Program</w:t>
            </w:r>
          </w:p>
          <w:p w14:paraId="7041E595" w14:textId="77777777" w:rsidR="001C19F3" w:rsidRPr="00D1162D" w:rsidRDefault="001C19F3" w:rsidP="00521305">
            <w:pPr>
              <w:spacing w:after="0" w:line="240" w:lineRule="auto"/>
              <w:jc w:val="center"/>
              <w:rPr>
                <w:rFonts w:eastAsia="Times New Roman"/>
                <w:b/>
                <w:bCs/>
                <w:color w:val="FFFFFF" w:themeColor="background1"/>
                <w:sz w:val="16"/>
                <w:szCs w:val="16"/>
                <w:lang w:eastAsia="en-AU"/>
              </w:rPr>
            </w:pPr>
            <w:r w:rsidRPr="00D1162D">
              <w:rPr>
                <w:rFonts w:eastAsia="Times New Roman"/>
                <w:b/>
                <w:bCs/>
                <w:color w:val="FFFFFF" w:themeColor="background1"/>
                <w:sz w:val="16"/>
                <w:szCs w:val="16"/>
                <w:lang w:eastAsia="en-AU"/>
              </w:rPr>
              <w:t xml:space="preserve"> PH/C= Pharmacist/ practice</w:t>
            </w:r>
          </w:p>
          <w:p w14:paraId="2B1173E0" w14:textId="77777777" w:rsidR="001C19F3" w:rsidRPr="001211A2" w:rsidRDefault="001C19F3" w:rsidP="00521305">
            <w:pPr>
              <w:spacing w:after="0" w:line="240" w:lineRule="auto"/>
              <w:jc w:val="center"/>
              <w:rPr>
                <w:rFonts w:eastAsia="Times New Roman"/>
                <w:b/>
                <w:bCs/>
                <w:color w:val="FFFFFF" w:themeColor="background1"/>
                <w:sz w:val="16"/>
                <w:szCs w:val="16"/>
                <w:lang w:eastAsia="en-AU"/>
              </w:rPr>
            </w:pPr>
            <w:r w:rsidRPr="00D1162D">
              <w:rPr>
                <w:rFonts w:eastAsia="Times New Roman"/>
                <w:b/>
                <w:bCs/>
                <w:color w:val="FFFFFF" w:themeColor="background1"/>
                <w:sz w:val="16"/>
                <w:szCs w:val="16"/>
                <w:lang w:eastAsia="en-AU"/>
              </w:rPr>
              <w:t xml:space="preserve"> PT=Patient</w:t>
            </w:r>
          </w:p>
        </w:tc>
        <w:tc>
          <w:tcPr>
            <w:tcW w:w="412" w:type="pct"/>
            <w:tcBorders>
              <w:bottom w:val="single" w:sz="4" w:space="0" w:color="D9D9D9" w:themeColor="background1" w:themeShade="D9"/>
            </w:tcBorders>
            <w:shd w:val="clear" w:color="auto" w:fill="003D79"/>
            <w:vAlign w:val="center"/>
            <w:hideMark/>
          </w:tcPr>
          <w:p w14:paraId="57971DD5" w14:textId="77777777" w:rsidR="001C19F3" w:rsidRPr="001211A2" w:rsidRDefault="001C19F3" w:rsidP="00521305">
            <w:pPr>
              <w:spacing w:after="0" w:line="240" w:lineRule="auto"/>
              <w:jc w:val="center"/>
              <w:rPr>
                <w:rFonts w:eastAsia="Times New Roman"/>
                <w:b/>
                <w:bCs/>
                <w:color w:val="FFFFFF" w:themeColor="background1"/>
                <w:sz w:val="16"/>
                <w:szCs w:val="16"/>
                <w:lang w:eastAsia="en-AU"/>
              </w:rPr>
            </w:pPr>
            <w:r>
              <w:rPr>
                <w:rFonts w:eastAsia="Times New Roman"/>
                <w:b/>
                <w:bCs/>
                <w:color w:val="FFFFFF" w:themeColor="background1"/>
                <w:sz w:val="16"/>
                <w:szCs w:val="16"/>
                <w:lang w:eastAsia="en-AU"/>
              </w:rPr>
              <w:t xml:space="preserve">Progress </w:t>
            </w:r>
            <w:r w:rsidRPr="00132C73">
              <w:rPr>
                <w:rFonts w:eastAsia="Times New Roman"/>
                <w:b/>
                <w:bCs/>
                <w:i/>
                <w:color w:val="FFFFFF" w:themeColor="background1"/>
                <w:sz w:val="14"/>
                <w:szCs w:val="14"/>
                <w:lang w:eastAsia="en-AU"/>
              </w:rPr>
              <w:t xml:space="preserve">(C=completed; P=partially covered in this report; N=not </w:t>
            </w:r>
            <w:r>
              <w:rPr>
                <w:rFonts w:eastAsia="Times New Roman"/>
                <w:b/>
                <w:bCs/>
                <w:i/>
                <w:color w:val="FFFFFF" w:themeColor="background1"/>
                <w:sz w:val="14"/>
                <w:szCs w:val="14"/>
                <w:lang w:eastAsia="en-AU"/>
              </w:rPr>
              <w:t>yet covered</w:t>
            </w:r>
            <w:r w:rsidRPr="00132C73">
              <w:rPr>
                <w:rFonts w:eastAsia="Times New Roman"/>
                <w:b/>
                <w:bCs/>
                <w:i/>
                <w:color w:val="FFFFFF" w:themeColor="background1"/>
                <w:sz w:val="14"/>
                <w:szCs w:val="14"/>
                <w:lang w:eastAsia="en-AU"/>
              </w:rPr>
              <w:t>)</w:t>
            </w:r>
          </w:p>
        </w:tc>
        <w:tc>
          <w:tcPr>
            <w:tcW w:w="327" w:type="pct"/>
            <w:tcBorders>
              <w:bottom w:val="single" w:sz="4" w:space="0" w:color="D9D9D9" w:themeColor="background1" w:themeShade="D9"/>
            </w:tcBorders>
            <w:shd w:val="clear" w:color="auto" w:fill="003D79"/>
            <w:vAlign w:val="center"/>
          </w:tcPr>
          <w:p w14:paraId="5B605CD4" w14:textId="77777777" w:rsidR="001C19F3" w:rsidRPr="001211A2" w:rsidRDefault="001C19F3" w:rsidP="00521305">
            <w:pPr>
              <w:spacing w:after="0" w:line="240" w:lineRule="auto"/>
              <w:jc w:val="center"/>
              <w:rPr>
                <w:rFonts w:eastAsia="Times New Roman"/>
                <w:b/>
                <w:bCs/>
                <w:color w:val="FFFFFF" w:themeColor="background1"/>
                <w:sz w:val="16"/>
                <w:szCs w:val="16"/>
                <w:lang w:eastAsia="en-AU"/>
              </w:rPr>
            </w:pPr>
            <w:r w:rsidRPr="006071F6">
              <w:rPr>
                <w:rFonts w:eastAsia="Times New Roman"/>
                <w:b/>
                <w:bCs/>
                <w:color w:val="FFFFFF" w:themeColor="background1"/>
                <w:sz w:val="16"/>
                <w:szCs w:val="16"/>
                <w:lang w:eastAsia="en-AU"/>
              </w:rPr>
              <w:t xml:space="preserve">Reference in </w:t>
            </w:r>
            <w:r>
              <w:rPr>
                <w:rFonts w:eastAsia="Times New Roman"/>
                <w:b/>
                <w:bCs/>
                <w:color w:val="FFFFFF" w:themeColor="background1"/>
                <w:sz w:val="16"/>
                <w:szCs w:val="16"/>
                <w:lang w:eastAsia="en-AU"/>
              </w:rPr>
              <w:t>Vol 2</w:t>
            </w:r>
          </w:p>
        </w:tc>
      </w:tr>
      <w:tr w:rsidR="001C19F3" w:rsidRPr="0057456C" w14:paraId="5BB44993"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19BF786"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5.01 </w:t>
            </w:r>
            <w:r w:rsidRPr="0057456C">
              <w:rPr>
                <w:rFonts w:eastAsia="Times New Roman"/>
                <w:color w:val="000000"/>
                <w:sz w:val="16"/>
                <w:szCs w:val="16"/>
                <w:lang w:eastAsia="en-AU"/>
              </w:rPr>
              <w:t>Description of program activities undertaken</w:t>
            </w:r>
            <w:r>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739A3B"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28F0BF5F" w14:textId="77777777" w:rsidR="001C19F3" w:rsidRPr="0057456C" w:rsidRDefault="001C19F3" w:rsidP="00521305">
            <w:pPr>
              <w:spacing w:after="40"/>
              <w:jc w:val="center"/>
              <w:rPr>
                <w:rFonts w:eastAsia="Times New Roman"/>
                <w:sz w:val="16"/>
                <w:szCs w:val="16"/>
                <w:lang w:eastAsia="en-AU"/>
              </w:rPr>
            </w:pPr>
            <w:r w:rsidRPr="0057456C">
              <w:rPr>
                <w:rFonts w:eastAsia="Times New Roman"/>
                <w:sz w:val="16"/>
                <w:szCs w:val="16"/>
                <w:lang w:eastAsia="en-AU"/>
              </w:rPr>
              <w:t> </w:t>
            </w: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EA75C1"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Chapter 11</w:t>
            </w:r>
          </w:p>
        </w:tc>
      </w:tr>
      <w:tr w:rsidR="001C19F3" w:rsidRPr="0057456C" w14:paraId="3B2FFA9F"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776BCA"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5.02 </w:t>
            </w:r>
            <w:r w:rsidRPr="0057456C">
              <w:rPr>
                <w:rFonts w:eastAsia="Times New Roman"/>
                <w:color w:val="000000"/>
                <w:sz w:val="16"/>
                <w:szCs w:val="16"/>
                <w:lang w:eastAsia="en-AU"/>
              </w:rPr>
              <w:t xml:space="preserve">How did pharmacists prepare </w:t>
            </w:r>
            <w:r>
              <w:rPr>
                <w:rFonts w:eastAsia="Times New Roman"/>
                <w:color w:val="000000"/>
                <w:sz w:val="16"/>
                <w:szCs w:val="16"/>
                <w:lang w:eastAsia="en-AU"/>
              </w:rPr>
              <w:t>for delivering medication management services to patients</w:t>
            </w:r>
            <w:r w:rsidRPr="0057456C">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6EE0A0"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6AC3576"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N</w:t>
            </w:r>
            <w:r w:rsidRPr="0057456C">
              <w:rPr>
                <w:rFonts w:eastAsia="Times New Roman"/>
                <w:sz w:val="16"/>
                <w:szCs w:val="16"/>
                <w:lang w:eastAsia="en-AU"/>
              </w:rPr>
              <w:t> </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8BD9D1" w14:textId="77777777" w:rsidR="001C19F3" w:rsidRPr="0057456C" w:rsidRDefault="001C19F3" w:rsidP="00521305">
            <w:pPr>
              <w:spacing w:after="40"/>
              <w:jc w:val="center"/>
              <w:rPr>
                <w:rFonts w:eastAsia="Times New Roman"/>
                <w:sz w:val="16"/>
                <w:szCs w:val="16"/>
                <w:lang w:eastAsia="en-AU"/>
              </w:rPr>
            </w:pPr>
          </w:p>
        </w:tc>
      </w:tr>
      <w:tr w:rsidR="001C19F3" w:rsidRPr="0057456C" w14:paraId="01D32C22"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AAE7B7B"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.0</w:t>
            </w:r>
            <w:r>
              <w:rPr>
                <w:rFonts w:eastAsia="Times New Roman"/>
                <w:color w:val="000000"/>
                <w:sz w:val="16"/>
                <w:szCs w:val="16"/>
                <w:lang w:eastAsia="en-AU"/>
              </w:rPr>
              <w:t>3</w:t>
            </w:r>
            <w:r w:rsidRPr="004B3B3A">
              <w:rPr>
                <w:rFonts w:eastAsia="Times New Roman"/>
                <w:color w:val="000000"/>
                <w:sz w:val="16"/>
                <w:szCs w:val="16"/>
                <w:lang w:eastAsia="en-AU"/>
              </w:rPr>
              <w:t xml:space="preserve"> </w:t>
            </w:r>
            <w:r>
              <w:rPr>
                <w:rFonts w:eastAsia="Times New Roman"/>
                <w:color w:val="000000"/>
                <w:sz w:val="16"/>
                <w:szCs w:val="16"/>
                <w:lang w:eastAsia="en-AU"/>
              </w:rPr>
              <w:t>Number of pharmacists completing the online training and attending the training workshops.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2C3EFBB"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1D0AECD"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CECE74" w14:textId="77777777" w:rsidR="001C19F3" w:rsidRPr="0057456C" w:rsidRDefault="001C19F3" w:rsidP="00521305">
            <w:pPr>
              <w:spacing w:after="40"/>
              <w:jc w:val="center"/>
              <w:rPr>
                <w:rFonts w:eastAsia="Times New Roman"/>
                <w:sz w:val="16"/>
                <w:szCs w:val="16"/>
                <w:lang w:eastAsia="en-AU"/>
              </w:rPr>
            </w:pPr>
          </w:p>
        </w:tc>
      </w:tr>
      <w:tr w:rsidR="001C19F3" w:rsidRPr="0057456C" w14:paraId="746C2127"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D50CEB9"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5.04 Pharmacists’ satisfaction with online training and training workshops.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01755CB"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A431B45"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7A0DB1" w14:textId="77777777" w:rsidR="001C19F3" w:rsidRPr="0057456C" w:rsidRDefault="001C19F3" w:rsidP="00521305">
            <w:pPr>
              <w:spacing w:after="40"/>
              <w:jc w:val="center"/>
              <w:rPr>
                <w:rFonts w:eastAsia="Times New Roman"/>
                <w:sz w:val="16"/>
                <w:szCs w:val="16"/>
                <w:lang w:eastAsia="en-AU"/>
              </w:rPr>
            </w:pPr>
          </w:p>
        </w:tc>
      </w:tr>
      <w:tr w:rsidR="001C19F3" w:rsidRPr="0057456C" w14:paraId="76AE5C6A"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340DDE9"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.0</w:t>
            </w:r>
            <w:r>
              <w:rPr>
                <w:rFonts w:eastAsia="Times New Roman"/>
                <w:color w:val="000000"/>
                <w:sz w:val="16"/>
                <w:szCs w:val="16"/>
                <w:lang w:eastAsia="en-AU"/>
              </w:rPr>
              <w:t>5 Nature of pharmacy integration initiatives, including related to medication reconciliation/ review, that HCH practices and community pharmacists had in place prior to the commencement of the community pharmacy component of the HCH trial.</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A8E2085"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9823EF2" w14:textId="77777777" w:rsidR="001C19F3" w:rsidRPr="0057456C" w:rsidRDefault="001C19F3" w:rsidP="00521305">
            <w:pPr>
              <w:spacing w:after="40"/>
              <w:jc w:val="center"/>
              <w:rPr>
                <w:rFonts w:eastAsia="Times New Roman"/>
                <w:sz w:val="16"/>
                <w:szCs w:val="16"/>
                <w:lang w:eastAsia="en-AU"/>
              </w:rPr>
            </w:pPr>
            <w:r w:rsidRPr="0057456C">
              <w:rPr>
                <w:rFonts w:eastAsia="Times New Roman"/>
                <w:sz w:val="16"/>
                <w:szCs w:val="16"/>
                <w:lang w:eastAsia="en-AU"/>
              </w:rPr>
              <w:t> </w:t>
            </w:r>
            <w:r>
              <w:rPr>
                <w:rFonts w:eastAsia="Times New Roman"/>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B59F54" w14:textId="77777777" w:rsidR="001C19F3" w:rsidRPr="0057456C" w:rsidRDefault="001C19F3" w:rsidP="00521305">
            <w:pPr>
              <w:spacing w:after="40"/>
              <w:jc w:val="center"/>
              <w:rPr>
                <w:rFonts w:eastAsia="Times New Roman"/>
                <w:sz w:val="16"/>
                <w:szCs w:val="16"/>
                <w:lang w:eastAsia="en-AU"/>
              </w:rPr>
            </w:pPr>
          </w:p>
        </w:tc>
      </w:tr>
      <w:tr w:rsidR="001C19F3" w:rsidRPr="0057456C" w14:paraId="3206B48E"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A1C34F0" w14:textId="77777777" w:rsidR="001C19F3"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5.06 What features of the program worked and what features need to be improved?</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7279A5A"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5594D41"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F5994B"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1600F5CD"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6496B0D"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w:t>
            </w:r>
            <w:r>
              <w:rPr>
                <w:rFonts w:eastAsia="Times New Roman"/>
                <w:color w:val="000000"/>
                <w:sz w:val="16"/>
                <w:szCs w:val="16"/>
                <w:lang w:eastAsia="en-AU"/>
              </w:rPr>
              <w:t xml:space="preserve">07 </w:t>
            </w:r>
            <w:r w:rsidRPr="0057456C">
              <w:rPr>
                <w:rFonts w:eastAsia="Times New Roman"/>
                <w:color w:val="000000"/>
                <w:sz w:val="16"/>
                <w:szCs w:val="16"/>
                <w:lang w:eastAsia="en-AU"/>
              </w:rPr>
              <w:t xml:space="preserve">Number and proportion of HCH patients (by </w:t>
            </w:r>
            <w:r>
              <w:rPr>
                <w:rFonts w:eastAsia="Times New Roman"/>
                <w:color w:val="000000"/>
                <w:sz w:val="16"/>
                <w:szCs w:val="16"/>
                <w:lang w:eastAsia="en-AU"/>
              </w:rPr>
              <w:t>t</w:t>
            </w:r>
            <w:r w:rsidRPr="0057456C">
              <w:rPr>
                <w:rFonts w:eastAsia="Times New Roman"/>
                <w:color w:val="000000"/>
                <w:sz w:val="16"/>
                <w:szCs w:val="16"/>
                <w:lang w:eastAsia="en-AU"/>
              </w:rPr>
              <w:t xml:space="preserve">ier) </w:t>
            </w:r>
            <w:r>
              <w:rPr>
                <w:rFonts w:eastAsia="Times New Roman"/>
                <w:color w:val="000000"/>
                <w:sz w:val="16"/>
                <w:szCs w:val="16"/>
                <w:lang w:eastAsia="en-AU"/>
              </w:rPr>
              <w:t>receiving Trial Program</w:t>
            </w:r>
            <w:r w:rsidRPr="0057456C">
              <w:rPr>
                <w:rFonts w:eastAsia="Times New Roman"/>
                <w:color w:val="000000"/>
                <w:sz w:val="16"/>
                <w:szCs w:val="16"/>
                <w:lang w:eastAsia="en-AU"/>
              </w:rPr>
              <w:t xml:space="preserve"> </w:t>
            </w:r>
            <w:r>
              <w:rPr>
                <w:rFonts w:eastAsia="Times New Roman"/>
                <w:color w:val="000000"/>
                <w:sz w:val="16"/>
                <w:szCs w:val="16"/>
                <w:lang w:eastAsia="en-AU"/>
              </w:rPr>
              <w:t xml:space="preserve">services </w:t>
            </w:r>
            <w:r w:rsidRPr="0057456C">
              <w:rPr>
                <w:rFonts w:eastAsia="Times New Roman"/>
                <w:color w:val="000000"/>
                <w:sz w:val="16"/>
                <w:szCs w:val="16"/>
                <w:lang w:eastAsia="en-AU"/>
              </w:rPr>
              <w:t>and comparison with HCH population.</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9CA5CC"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59912EF1" w14:textId="77777777" w:rsidR="001C19F3" w:rsidRPr="0057456C" w:rsidRDefault="001C19F3" w:rsidP="00521305">
            <w:pPr>
              <w:spacing w:after="40"/>
              <w:jc w:val="center"/>
              <w:rPr>
                <w:rFonts w:eastAsia="Times New Roman"/>
                <w:sz w:val="16"/>
                <w:szCs w:val="16"/>
                <w:lang w:eastAsia="en-AU"/>
              </w:rPr>
            </w:pPr>
            <w:r w:rsidRPr="0057456C">
              <w:rPr>
                <w:rFonts w:eastAsia="Times New Roman"/>
                <w:sz w:val="16"/>
                <w:szCs w:val="16"/>
                <w:lang w:eastAsia="en-AU"/>
              </w:rPr>
              <w:t> </w:t>
            </w: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1C2B75B"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Chapter 11</w:t>
            </w:r>
          </w:p>
        </w:tc>
      </w:tr>
      <w:tr w:rsidR="001C19F3" w:rsidRPr="0057456C" w14:paraId="6B730B8D"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DE287D9"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.0</w:t>
            </w:r>
            <w:r>
              <w:rPr>
                <w:rFonts w:eastAsia="Times New Roman"/>
                <w:color w:val="000000"/>
                <w:sz w:val="16"/>
                <w:szCs w:val="16"/>
                <w:lang w:eastAsia="en-AU"/>
              </w:rPr>
              <w:t xml:space="preserve">8 Distribution </w:t>
            </w:r>
            <w:r w:rsidRPr="0057456C">
              <w:rPr>
                <w:rFonts w:eastAsia="Times New Roman"/>
                <w:color w:val="000000"/>
                <w:sz w:val="16"/>
                <w:szCs w:val="16"/>
                <w:lang w:eastAsia="en-AU"/>
              </w:rPr>
              <w:t>of patients across self-reported chronic conditions</w:t>
            </w:r>
            <w:r>
              <w:rPr>
                <w:rFonts w:eastAsia="Times New Roman"/>
                <w:color w:val="000000"/>
                <w:sz w:val="16"/>
                <w:szCs w:val="16"/>
                <w:lang w:eastAsia="en-AU"/>
              </w:rPr>
              <w:t>,</w:t>
            </w:r>
            <w:r w:rsidRPr="0057456C">
              <w:rPr>
                <w:rFonts w:eastAsia="Times New Roman"/>
                <w:color w:val="000000"/>
                <w:sz w:val="16"/>
                <w:szCs w:val="16"/>
                <w:lang w:eastAsia="en-AU"/>
              </w:rPr>
              <w:t xml:space="preserve"> and comparison with HCH population</w:t>
            </w:r>
            <w:r>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826986"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4416FD6A" w14:textId="77777777" w:rsidR="001C19F3" w:rsidRPr="0057456C" w:rsidRDefault="001C19F3" w:rsidP="00521305">
            <w:pPr>
              <w:spacing w:after="40"/>
              <w:jc w:val="center"/>
              <w:rPr>
                <w:rFonts w:eastAsia="Times New Roman"/>
                <w:sz w:val="16"/>
                <w:szCs w:val="16"/>
                <w:lang w:eastAsia="en-AU"/>
              </w:rPr>
            </w:pPr>
            <w:r w:rsidRPr="0057456C">
              <w:rPr>
                <w:rFonts w:eastAsia="Times New Roman"/>
                <w:sz w:val="16"/>
                <w:szCs w:val="16"/>
                <w:lang w:eastAsia="en-AU"/>
              </w:rPr>
              <w:t> </w:t>
            </w: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04AD24"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Chapter 11</w:t>
            </w:r>
          </w:p>
        </w:tc>
      </w:tr>
      <w:tr w:rsidR="001C19F3" w:rsidRPr="0057456C" w14:paraId="2296DE48"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78F1962"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.0</w:t>
            </w:r>
            <w:r>
              <w:rPr>
                <w:rFonts w:eastAsia="Times New Roman"/>
                <w:color w:val="000000"/>
                <w:sz w:val="16"/>
                <w:szCs w:val="16"/>
                <w:lang w:eastAsia="en-AU"/>
              </w:rPr>
              <w:t xml:space="preserve">9 Distribution </w:t>
            </w:r>
            <w:r w:rsidRPr="0057456C">
              <w:rPr>
                <w:rFonts w:eastAsia="Times New Roman"/>
                <w:color w:val="000000"/>
                <w:sz w:val="16"/>
                <w:szCs w:val="16"/>
                <w:lang w:eastAsia="en-AU"/>
              </w:rPr>
              <w:t>of patients across practice types and geographic regions</w:t>
            </w:r>
            <w:r>
              <w:rPr>
                <w:rFonts w:eastAsia="Times New Roman"/>
                <w:color w:val="000000"/>
                <w:sz w:val="16"/>
                <w:szCs w:val="16"/>
                <w:lang w:eastAsia="en-AU"/>
              </w:rPr>
              <w:t>,</w:t>
            </w:r>
            <w:r w:rsidRPr="0057456C">
              <w:rPr>
                <w:rFonts w:eastAsia="Times New Roman"/>
                <w:color w:val="000000"/>
                <w:sz w:val="16"/>
                <w:szCs w:val="16"/>
                <w:lang w:eastAsia="en-AU"/>
              </w:rPr>
              <w:t xml:space="preserve"> and comparison with HCH population.</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7CD9381"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74A0799A" w14:textId="77777777" w:rsidR="001C19F3" w:rsidRPr="0057456C" w:rsidRDefault="001C19F3" w:rsidP="00521305">
            <w:pPr>
              <w:spacing w:after="40"/>
              <w:jc w:val="center"/>
              <w:rPr>
                <w:rFonts w:eastAsia="Times New Roman"/>
                <w:sz w:val="16"/>
                <w:szCs w:val="16"/>
                <w:lang w:eastAsia="en-AU"/>
              </w:rPr>
            </w:pPr>
            <w:r w:rsidRPr="0057456C">
              <w:rPr>
                <w:rFonts w:eastAsia="Times New Roman"/>
                <w:sz w:val="16"/>
                <w:szCs w:val="16"/>
                <w:lang w:eastAsia="en-AU"/>
              </w:rPr>
              <w:t> </w:t>
            </w: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65FC8F"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Chapter 11</w:t>
            </w:r>
          </w:p>
        </w:tc>
      </w:tr>
      <w:tr w:rsidR="001C19F3" w:rsidRPr="0057456C" w14:paraId="7BBEF5E9"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0DA2BF4"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w:t>
            </w:r>
            <w:r>
              <w:rPr>
                <w:rFonts w:eastAsia="Times New Roman"/>
                <w:color w:val="000000"/>
                <w:sz w:val="16"/>
                <w:szCs w:val="16"/>
                <w:lang w:eastAsia="en-AU"/>
              </w:rPr>
              <w:t>10 Number and proportion of patients that completed follow-up reviews.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CD4E12C"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DCF0AEF"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E34445"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5E1B927D"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ECECBE"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5.11 How adequate was the number of sessions for patients’ needs?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7433408"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82FC5D0"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C48B2A"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3593D123"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2CFA325" w14:textId="77777777" w:rsidR="001C19F3"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w:t>
            </w:r>
            <w:r>
              <w:rPr>
                <w:rFonts w:eastAsia="Times New Roman"/>
                <w:color w:val="000000"/>
                <w:sz w:val="16"/>
                <w:szCs w:val="16"/>
                <w:lang w:eastAsia="en-AU"/>
              </w:rPr>
              <w:t>12 Number and proportion of Tier 2 and Tier 3 patients receiving supporting services.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2B2A532"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A785871"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sz w:val="16"/>
                <w:szCs w:val="16"/>
                <w:lang w:eastAsia="en-AU"/>
              </w:rPr>
              <w:t> </w:t>
            </w: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E5A264" w14:textId="77777777" w:rsidR="001C19F3" w:rsidRPr="0057456C" w:rsidRDefault="001C19F3" w:rsidP="00521305">
            <w:pPr>
              <w:spacing w:after="40"/>
              <w:jc w:val="center"/>
              <w:rPr>
                <w:rFonts w:eastAsia="Times New Roman"/>
                <w:color w:val="000000"/>
                <w:sz w:val="16"/>
                <w:szCs w:val="16"/>
                <w:lang w:eastAsia="en-AU"/>
              </w:rPr>
            </w:pPr>
            <w:r>
              <w:rPr>
                <w:rFonts w:eastAsia="Times New Roman"/>
                <w:sz w:val="16"/>
                <w:szCs w:val="16"/>
                <w:lang w:eastAsia="en-AU"/>
              </w:rPr>
              <w:t>Chapter 11</w:t>
            </w:r>
          </w:p>
        </w:tc>
      </w:tr>
      <w:tr w:rsidR="001C19F3" w:rsidRPr="0057456C" w14:paraId="07E517F3"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2CAFA65"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w:t>
            </w:r>
            <w:r w:rsidRPr="004B3B3A">
              <w:rPr>
                <w:rFonts w:eastAsia="Times New Roman"/>
                <w:color w:val="000000"/>
                <w:sz w:val="16"/>
                <w:szCs w:val="16"/>
                <w:lang w:eastAsia="en-AU"/>
              </w:rPr>
              <w:t>.</w:t>
            </w:r>
            <w:r>
              <w:rPr>
                <w:rFonts w:eastAsia="Times New Roman"/>
                <w:color w:val="000000"/>
                <w:sz w:val="16"/>
                <w:szCs w:val="16"/>
                <w:lang w:eastAsia="en-AU"/>
              </w:rPr>
              <w:t xml:space="preserve">13 </w:t>
            </w:r>
            <w:r w:rsidRPr="0057456C">
              <w:rPr>
                <w:rFonts w:eastAsia="Times New Roman"/>
                <w:color w:val="000000"/>
                <w:sz w:val="16"/>
                <w:szCs w:val="16"/>
                <w:lang w:eastAsia="en-AU"/>
              </w:rPr>
              <w:t>Types of supporting services provided by pharmacists to Tier 2 and 3 patients and changes at follow-up review.</w:t>
            </w:r>
            <w:r>
              <w:rPr>
                <w:rFonts w:eastAsia="Times New Roman"/>
                <w:color w:val="000000"/>
                <w:sz w:val="16"/>
                <w:szCs w:val="16"/>
                <w:lang w:eastAsia="en-AU"/>
              </w:rPr>
              <w:t xml:space="preserve"> </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FF49D87"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64C1DA9"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r w:rsidRPr="0057456C">
              <w:rPr>
                <w:rFonts w:eastAsia="Times New Roman"/>
                <w:color w:val="000000"/>
                <w:sz w:val="16"/>
                <w:szCs w:val="16"/>
                <w:lang w:eastAsia="en-AU"/>
              </w:rPr>
              <w:t> </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1AB02A"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4561317D"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AD46CD6"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lastRenderedPageBreak/>
              <w:t>5.14 U</w:t>
            </w:r>
            <w:r w:rsidRPr="00A91D68">
              <w:rPr>
                <w:rFonts w:eastAsia="Times New Roman"/>
                <w:color w:val="000000"/>
                <w:sz w:val="16"/>
                <w:szCs w:val="16"/>
                <w:lang w:eastAsia="en-AU"/>
              </w:rPr>
              <w:t>nder what circumstances</w:t>
            </w:r>
            <w:r>
              <w:rPr>
                <w:rFonts w:eastAsia="Times New Roman"/>
                <w:color w:val="000000"/>
                <w:sz w:val="16"/>
                <w:szCs w:val="16"/>
                <w:lang w:eastAsia="en-AU"/>
              </w:rPr>
              <w:t xml:space="preserve"> do Tier 1 patients benefit from supporting services?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2604A59"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31114DF"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5A6F00"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020BB667"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CB454C3"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5.15 </w:t>
            </w:r>
            <w:r w:rsidRPr="0057456C">
              <w:rPr>
                <w:rFonts w:eastAsia="Times New Roman"/>
                <w:color w:val="000000"/>
                <w:sz w:val="16"/>
                <w:szCs w:val="16"/>
                <w:lang w:eastAsia="en-AU"/>
              </w:rPr>
              <w:t>Was patient participation in the program maintained throughou</w:t>
            </w:r>
            <w:r>
              <w:rPr>
                <w:rFonts w:eastAsia="Times New Roman"/>
                <w:color w:val="000000"/>
                <w:sz w:val="16"/>
                <w:szCs w:val="16"/>
                <w:lang w:eastAsia="en-AU"/>
              </w:rPr>
              <w:t>t</w:t>
            </w:r>
            <w:r w:rsidRPr="0057456C">
              <w:rPr>
                <w:rFonts w:eastAsia="Times New Roman"/>
                <w:color w:val="000000"/>
                <w:sz w:val="16"/>
                <w:szCs w:val="16"/>
                <w:lang w:eastAsia="en-AU"/>
              </w:rPr>
              <w:t xml:space="preserve"> </w:t>
            </w:r>
            <w:r>
              <w:rPr>
                <w:rFonts w:eastAsia="Times New Roman"/>
                <w:color w:val="000000"/>
                <w:sz w:val="16"/>
                <w:szCs w:val="16"/>
                <w:lang w:eastAsia="en-AU"/>
              </w:rPr>
              <w:t>the trial</w:t>
            </w:r>
            <w:r w:rsidRPr="0057456C">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D249A33"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03C7CCE"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r w:rsidRPr="0057456C">
              <w:rPr>
                <w:rFonts w:eastAsia="Times New Roman"/>
                <w:color w:val="000000"/>
                <w:sz w:val="16"/>
                <w:szCs w:val="16"/>
                <w:lang w:eastAsia="en-AU"/>
              </w:rPr>
              <w:t> </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8CC26E"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184244F1"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66148FD"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5.16 </w:t>
            </w:r>
            <w:r w:rsidRPr="0057456C">
              <w:rPr>
                <w:rFonts w:eastAsia="Times New Roman"/>
                <w:color w:val="000000"/>
                <w:sz w:val="16"/>
                <w:szCs w:val="16"/>
                <w:lang w:eastAsia="en-AU"/>
              </w:rPr>
              <w:t xml:space="preserve">What were the </w:t>
            </w:r>
            <w:r>
              <w:rPr>
                <w:rFonts w:eastAsia="Times New Roman"/>
                <w:color w:val="000000"/>
                <w:sz w:val="16"/>
                <w:szCs w:val="16"/>
                <w:lang w:eastAsia="en-AU"/>
              </w:rPr>
              <w:t xml:space="preserve">types of </w:t>
            </w:r>
            <w:r w:rsidRPr="0057456C">
              <w:rPr>
                <w:rFonts w:eastAsia="Times New Roman"/>
                <w:color w:val="000000"/>
                <w:sz w:val="16"/>
                <w:szCs w:val="16"/>
                <w:lang w:eastAsia="en-AU"/>
              </w:rPr>
              <w:t>goals identified for patients during the development of the MMP?</w:t>
            </w:r>
            <w:r>
              <w:rPr>
                <w:rFonts w:eastAsia="Times New Roman"/>
                <w:color w:val="000000"/>
                <w:sz w:val="16"/>
                <w:szCs w:val="16"/>
                <w:lang w:eastAsia="en-AU"/>
              </w:rPr>
              <w:t xml:space="preserve"> Which were the most common?</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39D4E6"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EA954DF"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sz w:val="16"/>
                <w:szCs w:val="16"/>
                <w:lang w:eastAsia="en-AU"/>
              </w:rPr>
              <w:t> </w:t>
            </w: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29B644" w14:textId="77777777" w:rsidR="001C19F3" w:rsidRPr="0057456C" w:rsidRDefault="001C19F3" w:rsidP="00521305">
            <w:pPr>
              <w:spacing w:after="40"/>
              <w:jc w:val="center"/>
              <w:rPr>
                <w:rFonts w:eastAsia="Times New Roman"/>
                <w:color w:val="000000"/>
                <w:sz w:val="16"/>
                <w:szCs w:val="16"/>
                <w:lang w:eastAsia="en-AU"/>
              </w:rPr>
            </w:pPr>
            <w:r>
              <w:rPr>
                <w:rFonts w:eastAsia="Times New Roman"/>
                <w:sz w:val="16"/>
                <w:szCs w:val="16"/>
                <w:lang w:eastAsia="en-AU"/>
              </w:rPr>
              <w:t>Chapter 11</w:t>
            </w:r>
          </w:p>
        </w:tc>
      </w:tr>
      <w:tr w:rsidR="001C19F3" w:rsidRPr="0057456C" w14:paraId="71437F19"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15B9D27"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5.17 </w:t>
            </w:r>
            <w:r w:rsidRPr="0057456C">
              <w:rPr>
                <w:rFonts w:eastAsia="Times New Roman"/>
                <w:color w:val="000000"/>
                <w:sz w:val="16"/>
                <w:szCs w:val="16"/>
                <w:lang w:eastAsia="en-AU"/>
              </w:rPr>
              <w:t xml:space="preserve">What were the </w:t>
            </w:r>
            <w:r>
              <w:rPr>
                <w:rFonts w:eastAsia="Times New Roman"/>
                <w:color w:val="000000"/>
                <w:sz w:val="16"/>
                <w:szCs w:val="16"/>
                <w:lang w:eastAsia="en-AU"/>
              </w:rPr>
              <w:t xml:space="preserve">type of </w:t>
            </w:r>
            <w:r w:rsidRPr="0057456C">
              <w:rPr>
                <w:rFonts w:eastAsia="Times New Roman"/>
                <w:color w:val="000000"/>
                <w:sz w:val="16"/>
                <w:szCs w:val="16"/>
                <w:lang w:eastAsia="en-AU"/>
              </w:rPr>
              <w:t xml:space="preserve">outcomes </w:t>
            </w:r>
            <w:r>
              <w:rPr>
                <w:rFonts w:eastAsia="Times New Roman"/>
                <w:color w:val="000000"/>
                <w:sz w:val="16"/>
                <w:szCs w:val="16"/>
                <w:lang w:eastAsia="en-AU"/>
              </w:rPr>
              <w:t xml:space="preserve">reported in </w:t>
            </w:r>
            <w:r w:rsidRPr="0057456C">
              <w:rPr>
                <w:rFonts w:eastAsia="Times New Roman"/>
                <w:color w:val="000000"/>
                <w:sz w:val="16"/>
                <w:szCs w:val="16"/>
                <w:lang w:eastAsia="en-AU"/>
              </w:rPr>
              <w:t>patients’ MMP</w:t>
            </w:r>
            <w:r>
              <w:rPr>
                <w:rFonts w:eastAsia="Times New Roman"/>
                <w:color w:val="000000"/>
                <w:sz w:val="16"/>
                <w:szCs w:val="16"/>
                <w:lang w:eastAsia="en-AU"/>
              </w:rPr>
              <w:t>s? Which were the most common?</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2A8C592"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FB05B2A" w14:textId="77777777" w:rsidR="001C19F3" w:rsidRPr="0057456C" w:rsidRDefault="001C19F3" w:rsidP="00521305">
            <w:pPr>
              <w:spacing w:after="40"/>
              <w:jc w:val="center"/>
              <w:rPr>
                <w:rFonts w:eastAsia="Times New Roman"/>
                <w:color w:val="000000"/>
                <w:sz w:val="16"/>
                <w:szCs w:val="16"/>
                <w:lang w:eastAsia="en-AU"/>
              </w:rPr>
            </w:pPr>
            <w:r>
              <w:rPr>
                <w:rFonts w:eastAsia="Times New Roman"/>
                <w:sz w:val="16"/>
                <w:szCs w:val="16"/>
                <w:lang w:eastAsia="en-AU"/>
              </w:rPr>
              <w:t>P</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A62E1A" w14:textId="77777777" w:rsidR="001C19F3" w:rsidRPr="0057456C" w:rsidRDefault="001C19F3" w:rsidP="00521305">
            <w:pPr>
              <w:spacing w:after="40"/>
              <w:jc w:val="center"/>
              <w:rPr>
                <w:rFonts w:eastAsia="Times New Roman"/>
                <w:color w:val="000000"/>
                <w:sz w:val="16"/>
                <w:szCs w:val="16"/>
                <w:lang w:eastAsia="en-AU"/>
              </w:rPr>
            </w:pPr>
            <w:r>
              <w:rPr>
                <w:rFonts w:eastAsia="Times New Roman"/>
                <w:sz w:val="16"/>
                <w:szCs w:val="16"/>
                <w:lang w:eastAsia="en-AU"/>
              </w:rPr>
              <w:t>Chapter 11</w:t>
            </w:r>
          </w:p>
        </w:tc>
      </w:tr>
      <w:tr w:rsidR="001C19F3" w:rsidRPr="0057456C" w14:paraId="132FB289"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56FD240"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5.18 </w:t>
            </w:r>
            <w:r w:rsidRPr="0057456C">
              <w:rPr>
                <w:rFonts w:eastAsia="Times New Roman"/>
                <w:color w:val="000000"/>
                <w:sz w:val="16"/>
                <w:szCs w:val="16"/>
                <w:lang w:eastAsia="en-AU"/>
              </w:rPr>
              <w:t xml:space="preserve">Which patients benefited from the </w:t>
            </w:r>
            <w:r>
              <w:rPr>
                <w:rFonts w:eastAsia="Times New Roman"/>
                <w:color w:val="000000"/>
                <w:sz w:val="16"/>
                <w:szCs w:val="16"/>
                <w:lang w:eastAsia="en-AU"/>
              </w:rPr>
              <w:t>Trial Program and how did they benefit</w:t>
            </w:r>
            <w:r w:rsidRPr="0057456C">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DE1B7F1"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75A7876"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r w:rsidRPr="0057456C">
              <w:rPr>
                <w:rFonts w:eastAsia="Times New Roman"/>
                <w:color w:val="000000"/>
                <w:sz w:val="16"/>
                <w:szCs w:val="16"/>
                <w:lang w:eastAsia="en-AU"/>
              </w:rPr>
              <w:t> </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CC0D87"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53A10240"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E0F7FB"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5.19 </w:t>
            </w:r>
            <w:r w:rsidRPr="0057456C">
              <w:rPr>
                <w:rFonts w:eastAsia="Times New Roman"/>
                <w:color w:val="000000"/>
                <w:sz w:val="16"/>
                <w:szCs w:val="16"/>
                <w:lang w:eastAsia="en-AU"/>
              </w:rPr>
              <w:t>Are the benefits of the program similar for patients across categories of disadvantage?</w:t>
            </w:r>
            <w:r>
              <w:rPr>
                <w:rFonts w:eastAsia="Times New Roman"/>
                <w:color w:val="000000"/>
                <w:sz w:val="16"/>
                <w:szCs w:val="16"/>
                <w:lang w:eastAsia="en-AU"/>
              </w:rPr>
              <w:t xml:space="preserve"> What strategies are required to ensure disadvantaged groups benefit from the program?</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C961339"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46C7702"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r w:rsidRPr="0057456C">
              <w:rPr>
                <w:rFonts w:eastAsia="Times New Roman"/>
                <w:color w:val="000000"/>
                <w:sz w:val="16"/>
                <w:szCs w:val="16"/>
                <w:lang w:eastAsia="en-AU"/>
              </w:rPr>
              <w:t> </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1E4098"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0BFCCA30"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2E034FA"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5.20 How were medications reviewed for patients who did not receive services from community pharmacists?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E5D51F5"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D1DF67F"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18665D1"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4501DF8D"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E53CF2"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 xml:space="preserve">5.21 </w:t>
            </w:r>
            <w:r w:rsidRPr="0057456C">
              <w:rPr>
                <w:rFonts w:eastAsia="Times New Roman"/>
                <w:color w:val="000000"/>
                <w:sz w:val="16"/>
                <w:szCs w:val="16"/>
                <w:lang w:eastAsia="en-AU"/>
              </w:rPr>
              <w:t>Opportunities for improving program-level activities in subsequent rollouts of the program most frequently identified by stakeholders.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46001E2"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14:paraId="1234F938" w14:textId="77777777" w:rsidR="001C19F3" w:rsidRPr="0057456C" w:rsidRDefault="001C19F3" w:rsidP="00521305">
            <w:pPr>
              <w:spacing w:after="40"/>
              <w:jc w:val="center"/>
              <w:rPr>
                <w:rFonts w:eastAsia="Times New Roman"/>
                <w:sz w:val="16"/>
                <w:szCs w:val="16"/>
                <w:lang w:eastAsia="en-AU"/>
              </w:rPr>
            </w:pPr>
            <w:r>
              <w:rPr>
                <w:rFonts w:eastAsia="Times New Roman"/>
                <w:sz w:val="16"/>
                <w:szCs w:val="16"/>
                <w:lang w:eastAsia="en-AU"/>
              </w:rPr>
              <w:t>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49A313" w14:textId="77777777" w:rsidR="001C19F3" w:rsidRPr="001211A2" w:rsidRDefault="001C19F3" w:rsidP="00521305">
            <w:pPr>
              <w:spacing w:after="40"/>
              <w:jc w:val="center"/>
              <w:rPr>
                <w:rFonts w:eastAsia="Times New Roman"/>
                <w:color w:val="000000"/>
                <w:sz w:val="16"/>
                <w:szCs w:val="16"/>
                <w:lang w:eastAsia="en-AU"/>
              </w:rPr>
            </w:pPr>
          </w:p>
        </w:tc>
      </w:tr>
      <w:tr w:rsidR="001C19F3" w:rsidRPr="0057456C" w14:paraId="3CE2A077" w14:textId="77777777" w:rsidTr="00521305">
        <w:trPr>
          <w:jc w:val="right"/>
        </w:trPr>
        <w:tc>
          <w:tcPr>
            <w:tcW w:w="3885" w:type="pct"/>
            <w:shd w:val="clear" w:color="auto" w:fill="auto"/>
          </w:tcPr>
          <w:p w14:paraId="73EA0148"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1 </w:t>
            </w:r>
            <w:r w:rsidRPr="0057456C">
              <w:rPr>
                <w:rFonts w:eastAsia="Times New Roman"/>
                <w:color w:val="000000"/>
                <w:sz w:val="16"/>
                <w:szCs w:val="16"/>
                <w:lang w:eastAsia="en-AU"/>
              </w:rPr>
              <w:t xml:space="preserve">What criteria did practices use to select patients who could benefit from </w:t>
            </w:r>
            <w:r>
              <w:rPr>
                <w:rFonts w:eastAsia="Times New Roman"/>
                <w:color w:val="000000"/>
                <w:sz w:val="16"/>
                <w:szCs w:val="16"/>
                <w:lang w:eastAsia="en-AU"/>
              </w:rPr>
              <w:t>community pharmacist input?</w:t>
            </w:r>
          </w:p>
        </w:tc>
        <w:tc>
          <w:tcPr>
            <w:tcW w:w="376" w:type="pct"/>
          </w:tcPr>
          <w:p w14:paraId="734017EC" w14:textId="77777777" w:rsidR="001C19F3" w:rsidRPr="008649EF"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PH/C</w:t>
            </w:r>
          </w:p>
        </w:tc>
        <w:tc>
          <w:tcPr>
            <w:tcW w:w="412" w:type="pct"/>
            <w:shd w:val="clear" w:color="auto" w:fill="auto"/>
            <w:noWrap/>
          </w:tcPr>
          <w:p w14:paraId="7CE2A0CE" w14:textId="77777777" w:rsidR="001C19F3" w:rsidRPr="0057456C" w:rsidRDefault="001C19F3" w:rsidP="00521305">
            <w:pPr>
              <w:spacing w:after="40"/>
              <w:jc w:val="center"/>
              <w:rPr>
                <w:rFonts w:eastAsia="Times New Roman"/>
                <w:color w:val="000000"/>
                <w:sz w:val="16"/>
                <w:szCs w:val="16"/>
                <w:lang w:eastAsia="en-AU"/>
              </w:rPr>
            </w:pPr>
            <w:r>
              <w:rPr>
                <w:rFonts w:eastAsia="Times New Roman"/>
                <w:sz w:val="16"/>
                <w:szCs w:val="16"/>
                <w:lang w:eastAsia="en-AU"/>
              </w:rPr>
              <w:t>N</w:t>
            </w:r>
            <w:r w:rsidRPr="0057456C">
              <w:rPr>
                <w:rFonts w:eastAsia="Times New Roman"/>
                <w:sz w:val="16"/>
                <w:szCs w:val="16"/>
                <w:lang w:eastAsia="en-AU"/>
              </w:rPr>
              <w:t> </w:t>
            </w:r>
          </w:p>
        </w:tc>
        <w:tc>
          <w:tcPr>
            <w:tcW w:w="327" w:type="pct"/>
          </w:tcPr>
          <w:p w14:paraId="1D400A94" w14:textId="77777777" w:rsidR="001C19F3" w:rsidRPr="0057456C" w:rsidRDefault="001C19F3" w:rsidP="00521305">
            <w:pPr>
              <w:spacing w:after="40"/>
              <w:jc w:val="center"/>
              <w:rPr>
                <w:rFonts w:eastAsia="Times New Roman"/>
                <w:sz w:val="16"/>
                <w:szCs w:val="16"/>
                <w:lang w:eastAsia="en-AU"/>
              </w:rPr>
            </w:pPr>
          </w:p>
        </w:tc>
      </w:tr>
      <w:tr w:rsidR="001C19F3" w:rsidRPr="001211A2" w14:paraId="5164AAA8" w14:textId="77777777" w:rsidTr="00521305">
        <w:trPr>
          <w:jc w:val="right"/>
        </w:trPr>
        <w:tc>
          <w:tcPr>
            <w:tcW w:w="3885" w:type="pct"/>
            <w:shd w:val="clear" w:color="auto" w:fill="auto"/>
          </w:tcPr>
          <w:p w14:paraId="5D32C0C2"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2 </w:t>
            </w:r>
            <w:r w:rsidRPr="0057456C">
              <w:rPr>
                <w:rFonts w:eastAsia="Times New Roman"/>
                <w:color w:val="000000"/>
                <w:sz w:val="16"/>
                <w:szCs w:val="16"/>
                <w:lang w:eastAsia="en-AU"/>
              </w:rPr>
              <w:t>Change in patients’ self</w:t>
            </w:r>
            <w:r>
              <w:rPr>
                <w:rFonts w:eastAsia="Times New Roman"/>
                <w:color w:val="000000"/>
                <w:sz w:val="16"/>
                <w:szCs w:val="16"/>
                <w:lang w:eastAsia="en-AU"/>
              </w:rPr>
              <w:t>-</w:t>
            </w:r>
            <w:r w:rsidRPr="0057456C">
              <w:rPr>
                <w:rFonts w:eastAsia="Times New Roman"/>
                <w:color w:val="000000"/>
                <w:sz w:val="16"/>
                <w:szCs w:val="16"/>
                <w:lang w:eastAsia="en-AU"/>
              </w:rPr>
              <w:t>reported (to the pharmacist) attendance at an emergency department</w:t>
            </w:r>
            <w:r>
              <w:rPr>
                <w:rFonts w:eastAsia="Times New Roman"/>
                <w:color w:val="000000"/>
                <w:sz w:val="16"/>
                <w:szCs w:val="16"/>
                <w:lang w:eastAsia="en-AU"/>
              </w:rPr>
              <w:t xml:space="preserve"> and/ or hospitalis</w:t>
            </w:r>
            <w:r w:rsidRPr="0057456C">
              <w:rPr>
                <w:rFonts w:eastAsia="Times New Roman"/>
                <w:color w:val="000000"/>
                <w:sz w:val="16"/>
                <w:szCs w:val="16"/>
                <w:lang w:eastAsia="en-AU"/>
              </w:rPr>
              <w:t>ation in the last 6 months – initial assessment compared with follow-up review</w:t>
            </w:r>
            <w:r>
              <w:rPr>
                <w:rFonts w:eastAsia="Times New Roman"/>
                <w:color w:val="000000"/>
                <w:sz w:val="16"/>
                <w:szCs w:val="16"/>
                <w:lang w:eastAsia="en-AU"/>
              </w:rPr>
              <w:t>.</w:t>
            </w:r>
          </w:p>
        </w:tc>
        <w:tc>
          <w:tcPr>
            <w:tcW w:w="376" w:type="pct"/>
          </w:tcPr>
          <w:p w14:paraId="7F19AFE9"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177E6AE5" w14:textId="77777777" w:rsidR="001C19F3" w:rsidRPr="001211A2"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 </w:t>
            </w:r>
            <w:r>
              <w:rPr>
                <w:rFonts w:eastAsia="Times New Roman"/>
                <w:color w:val="000000"/>
                <w:sz w:val="16"/>
                <w:szCs w:val="16"/>
                <w:lang w:eastAsia="en-AU"/>
              </w:rPr>
              <w:t>N</w:t>
            </w:r>
          </w:p>
        </w:tc>
        <w:tc>
          <w:tcPr>
            <w:tcW w:w="327" w:type="pct"/>
          </w:tcPr>
          <w:p w14:paraId="67D7805F"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455211F8" w14:textId="77777777" w:rsidTr="00521305">
        <w:trPr>
          <w:jc w:val="right"/>
        </w:trPr>
        <w:tc>
          <w:tcPr>
            <w:tcW w:w="3885" w:type="pct"/>
            <w:shd w:val="clear" w:color="auto" w:fill="auto"/>
          </w:tcPr>
          <w:p w14:paraId="1DF3C952"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3 </w:t>
            </w:r>
            <w:r w:rsidRPr="0057456C">
              <w:rPr>
                <w:rFonts w:eastAsia="Times New Roman"/>
                <w:color w:val="000000"/>
                <w:sz w:val="16"/>
                <w:szCs w:val="16"/>
                <w:lang w:eastAsia="en-AU"/>
              </w:rPr>
              <w:t>Change in MedsIndex score - initial assessment compared with follow-up review.</w:t>
            </w:r>
          </w:p>
        </w:tc>
        <w:tc>
          <w:tcPr>
            <w:tcW w:w="376" w:type="pct"/>
          </w:tcPr>
          <w:p w14:paraId="2C7F23E9"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2491624F" w14:textId="77777777" w:rsidR="001C19F3" w:rsidRPr="001211A2" w:rsidRDefault="001C19F3" w:rsidP="00521305">
            <w:pPr>
              <w:spacing w:after="40"/>
              <w:jc w:val="center"/>
              <w:rPr>
                <w:rFonts w:eastAsia="Times New Roman"/>
                <w:color w:val="000000"/>
                <w:sz w:val="16"/>
                <w:szCs w:val="16"/>
                <w:lang w:eastAsia="en-AU"/>
              </w:rPr>
            </w:pPr>
            <w:r w:rsidRPr="00900E6B">
              <w:rPr>
                <w:rFonts w:eastAsia="Times New Roman"/>
                <w:color w:val="000000"/>
                <w:sz w:val="16"/>
                <w:szCs w:val="16"/>
                <w:lang w:eastAsia="en-AU"/>
              </w:rPr>
              <w:t> N</w:t>
            </w:r>
          </w:p>
        </w:tc>
        <w:tc>
          <w:tcPr>
            <w:tcW w:w="327" w:type="pct"/>
          </w:tcPr>
          <w:p w14:paraId="7875412B"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5B0873C8" w14:textId="77777777" w:rsidTr="00521305">
        <w:trPr>
          <w:jc w:val="right"/>
        </w:trPr>
        <w:tc>
          <w:tcPr>
            <w:tcW w:w="3885" w:type="pct"/>
            <w:shd w:val="clear" w:color="auto" w:fill="auto"/>
          </w:tcPr>
          <w:p w14:paraId="788840F7"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4 </w:t>
            </w:r>
            <w:r w:rsidRPr="0057456C">
              <w:rPr>
                <w:rFonts w:eastAsia="Times New Roman"/>
                <w:color w:val="000000"/>
                <w:sz w:val="16"/>
                <w:szCs w:val="16"/>
                <w:lang w:eastAsia="en-AU"/>
              </w:rPr>
              <w:t>Change in patients’ adherence to medication (pharmacists' assessment) - initial assessment compared with follow-up review.</w:t>
            </w:r>
          </w:p>
        </w:tc>
        <w:tc>
          <w:tcPr>
            <w:tcW w:w="376" w:type="pct"/>
          </w:tcPr>
          <w:p w14:paraId="1E3136D3"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6110F020" w14:textId="77777777" w:rsidR="001C19F3" w:rsidRPr="001211A2" w:rsidRDefault="001C19F3" w:rsidP="00521305">
            <w:pPr>
              <w:spacing w:after="40"/>
              <w:jc w:val="center"/>
              <w:rPr>
                <w:rFonts w:eastAsia="Times New Roman"/>
                <w:color w:val="000000"/>
                <w:sz w:val="16"/>
                <w:szCs w:val="16"/>
                <w:lang w:eastAsia="en-AU"/>
              </w:rPr>
            </w:pPr>
            <w:r w:rsidRPr="00900E6B">
              <w:rPr>
                <w:rFonts w:eastAsia="Times New Roman"/>
                <w:color w:val="000000"/>
                <w:sz w:val="16"/>
                <w:szCs w:val="16"/>
                <w:lang w:eastAsia="en-AU"/>
              </w:rPr>
              <w:t> N</w:t>
            </w:r>
          </w:p>
        </w:tc>
        <w:tc>
          <w:tcPr>
            <w:tcW w:w="327" w:type="pct"/>
          </w:tcPr>
          <w:p w14:paraId="61D8F3A9"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52347901" w14:textId="77777777" w:rsidTr="00521305">
        <w:trPr>
          <w:jc w:val="right"/>
        </w:trPr>
        <w:tc>
          <w:tcPr>
            <w:tcW w:w="3885" w:type="pct"/>
            <w:shd w:val="clear" w:color="auto" w:fill="auto"/>
          </w:tcPr>
          <w:p w14:paraId="6E4EB43E"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5 </w:t>
            </w:r>
            <w:r w:rsidRPr="0057456C">
              <w:rPr>
                <w:rFonts w:eastAsia="Times New Roman"/>
                <w:color w:val="000000"/>
                <w:sz w:val="16"/>
                <w:szCs w:val="16"/>
                <w:lang w:eastAsia="en-AU"/>
              </w:rPr>
              <w:t>Change in the proportion of patients who can be classified as meeting the criteria for psychotropic polypharmacy</w:t>
            </w:r>
            <w:r w:rsidRPr="0057456C">
              <w:rPr>
                <w:rFonts w:eastAsia="Times New Roman"/>
                <w:color w:val="000000"/>
                <w:sz w:val="16"/>
                <w:szCs w:val="16"/>
                <w:vertAlign w:val="superscript"/>
                <w:lang w:eastAsia="en-AU"/>
              </w:rPr>
              <w:t>1</w:t>
            </w:r>
            <w:r w:rsidRPr="0057456C">
              <w:rPr>
                <w:rFonts w:eastAsia="Times New Roman"/>
                <w:color w:val="000000"/>
                <w:sz w:val="16"/>
                <w:szCs w:val="16"/>
                <w:lang w:eastAsia="en-AU"/>
              </w:rPr>
              <w:t>, polypharmacy</w:t>
            </w:r>
            <w:r w:rsidRPr="0057456C">
              <w:rPr>
                <w:rFonts w:eastAsia="Times New Roman"/>
                <w:color w:val="000000"/>
                <w:sz w:val="16"/>
                <w:szCs w:val="16"/>
                <w:vertAlign w:val="superscript"/>
                <w:lang w:eastAsia="en-AU"/>
              </w:rPr>
              <w:t>1</w:t>
            </w:r>
            <w:r w:rsidRPr="0057456C">
              <w:rPr>
                <w:rFonts w:eastAsia="Times New Roman"/>
                <w:color w:val="000000"/>
                <w:sz w:val="16"/>
                <w:szCs w:val="16"/>
                <w:lang w:eastAsia="en-AU"/>
              </w:rPr>
              <w:t xml:space="preserve"> or hyperpolypharmacy</w:t>
            </w:r>
            <w:r w:rsidRPr="0057456C">
              <w:rPr>
                <w:rFonts w:eastAsia="Times New Roman"/>
                <w:color w:val="000000"/>
                <w:sz w:val="16"/>
                <w:szCs w:val="16"/>
                <w:vertAlign w:val="superscript"/>
                <w:lang w:eastAsia="en-AU"/>
              </w:rPr>
              <w:t>1</w:t>
            </w:r>
            <w:r w:rsidRPr="0057456C">
              <w:rPr>
                <w:rFonts w:eastAsia="Times New Roman"/>
                <w:color w:val="000000"/>
                <w:sz w:val="16"/>
                <w:szCs w:val="16"/>
                <w:lang w:eastAsia="en-AU"/>
              </w:rPr>
              <w:t xml:space="preserve"> - initial assessment compared with follow-up review.</w:t>
            </w:r>
          </w:p>
        </w:tc>
        <w:tc>
          <w:tcPr>
            <w:tcW w:w="376" w:type="pct"/>
          </w:tcPr>
          <w:p w14:paraId="5C65A0A3"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41D07FA1" w14:textId="77777777" w:rsidR="001C19F3" w:rsidRPr="001211A2" w:rsidRDefault="001C19F3" w:rsidP="00521305">
            <w:pPr>
              <w:spacing w:after="40"/>
              <w:jc w:val="center"/>
              <w:rPr>
                <w:rFonts w:eastAsia="Times New Roman"/>
                <w:color w:val="000000"/>
                <w:sz w:val="16"/>
                <w:szCs w:val="16"/>
                <w:lang w:eastAsia="en-AU"/>
              </w:rPr>
            </w:pPr>
            <w:r w:rsidRPr="00900E6B">
              <w:rPr>
                <w:rFonts w:eastAsia="Times New Roman"/>
                <w:color w:val="000000"/>
                <w:sz w:val="16"/>
                <w:szCs w:val="16"/>
                <w:lang w:eastAsia="en-AU"/>
              </w:rPr>
              <w:t> N</w:t>
            </w:r>
          </w:p>
        </w:tc>
        <w:tc>
          <w:tcPr>
            <w:tcW w:w="327" w:type="pct"/>
          </w:tcPr>
          <w:p w14:paraId="76BD2B56"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078F3993" w14:textId="77777777" w:rsidTr="00521305">
        <w:trPr>
          <w:jc w:val="right"/>
        </w:trPr>
        <w:tc>
          <w:tcPr>
            <w:tcW w:w="3885" w:type="pct"/>
            <w:shd w:val="clear" w:color="auto" w:fill="auto"/>
          </w:tcPr>
          <w:p w14:paraId="4212F175"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6 </w:t>
            </w:r>
            <w:r w:rsidRPr="0057456C">
              <w:rPr>
                <w:rFonts w:eastAsia="Times New Roman"/>
                <w:color w:val="000000"/>
                <w:sz w:val="16"/>
                <w:szCs w:val="16"/>
                <w:lang w:eastAsia="en-AU"/>
              </w:rPr>
              <w:t>Change in pharmacist’s observation of the patient’s achievement of each of the agreed medication management goals at the follow up review.</w:t>
            </w:r>
          </w:p>
        </w:tc>
        <w:tc>
          <w:tcPr>
            <w:tcW w:w="376" w:type="pct"/>
          </w:tcPr>
          <w:p w14:paraId="6BC5E407"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21C9C82C" w14:textId="77777777" w:rsidR="001C19F3" w:rsidRPr="001211A2" w:rsidRDefault="001C19F3" w:rsidP="00521305">
            <w:pPr>
              <w:spacing w:after="40"/>
              <w:jc w:val="center"/>
              <w:rPr>
                <w:rFonts w:eastAsia="Times New Roman"/>
                <w:color w:val="000000"/>
                <w:sz w:val="16"/>
                <w:szCs w:val="16"/>
                <w:lang w:eastAsia="en-AU"/>
              </w:rPr>
            </w:pPr>
            <w:r w:rsidRPr="00900E6B">
              <w:rPr>
                <w:rFonts w:eastAsia="Times New Roman"/>
                <w:color w:val="000000"/>
                <w:sz w:val="16"/>
                <w:szCs w:val="16"/>
                <w:lang w:eastAsia="en-AU"/>
              </w:rPr>
              <w:t> N</w:t>
            </w:r>
          </w:p>
        </w:tc>
        <w:tc>
          <w:tcPr>
            <w:tcW w:w="327" w:type="pct"/>
          </w:tcPr>
          <w:p w14:paraId="5510FB8D"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3159BF74" w14:textId="77777777" w:rsidTr="00521305">
        <w:trPr>
          <w:jc w:val="right"/>
        </w:trPr>
        <w:tc>
          <w:tcPr>
            <w:tcW w:w="3885" w:type="pct"/>
            <w:shd w:val="clear" w:color="auto" w:fill="auto"/>
          </w:tcPr>
          <w:p w14:paraId="1CA07EB7"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lastRenderedPageBreak/>
              <w:t>6</w:t>
            </w:r>
            <w:r w:rsidRPr="004B3B3A">
              <w:rPr>
                <w:rFonts w:eastAsia="Times New Roman"/>
                <w:color w:val="000000"/>
                <w:sz w:val="16"/>
                <w:szCs w:val="16"/>
                <w:lang w:eastAsia="en-AU"/>
              </w:rPr>
              <w:t>.0</w:t>
            </w:r>
            <w:r>
              <w:rPr>
                <w:rFonts w:eastAsia="Times New Roman"/>
                <w:color w:val="000000"/>
                <w:sz w:val="16"/>
                <w:szCs w:val="16"/>
                <w:lang w:eastAsia="en-AU"/>
              </w:rPr>
              <w:t xml:space="preserve">7 </w:t>
            </w:r>
            <w:r w:rsidRPr="0057456C">
              <w:rPr>
                <w:rFonts w:eastAsia="Times New Roman"/>
                <w:color w:val="000000"/>
                <w:sz w:val="16"/>
                <w:szCs w:val="16"/>
                <w:lang w:eastAsia="en-AU"/>
              </w:rPr>
              <w:t>Patients’ assessment of community pharmacy service in gaining knowledge, improving confidence and competence with medications</w:t>
            </w:r>
            <w:r>
              <w:rPr>
                <w:rFonts w:eastAsia="Times New Roman"/>
                <w:color w:val="000000"/>
                <w:sz w:val="16"/>
                <w:szCs w:val="16"/>
                <w:lang w:eastAsia="en-AU"/>
              </w:rPr>
              <w:t>.</w:t>
            </w:r>
          </w:p>
        </w:tc>
        <w:tc>
          <w:tcPr>
            <w:tcW w:w="376" w:type="pct"/>
          </w:tcPr>
          <w:p w14:paraId="542A02CD"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6ABA67E2" w14:textId="77777777" w:rsidR="001C19F3" w:rsidRPr="001211A2"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Pr>
          <w:p w14:paraId="0C303B25"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77537369" w14:textId="77777777" w:rsidTr="00521305">
        <w:trPr>
          <w:jc w:val="right"/>
        </w:trPr>
        <w:tc>
          <w:tcPr>
            <w:tcW w:w="3885" w:type="pct"/>
            <w:shd w:val="clear" w:color="auto" w:fill="auto"/>
          </w:tcPr>
          <w:p w14:paraId="5B1283C8"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8 T</w:t>
            </w:r>
            <w:r w:rsidRPr="0057456C">
              <w:rPr>
                <w:rFonts w:eastAsia="Times New Roman"/>
                <w:color w:val="000000"/>
                <w:sz w:val="16"/>
                <w:szCs w:val="16"/>
                <w:lang w:eastAsia="en-AU"/>
              </w:rPr>
              <w:t xml:space="preserve">hemes </w:t>
            </w:r>
            <w:r>
              <w:rPr>
                <w:rFonts w:eastAsia="Times New Roman"/>
                <w:color w:val="000000"/>
                <w:sz w:val="16"/>
                <w:szCs w:val="16"/>
                <w:lang w:eastAsia="en-AU"/>
              </w:rPr>
              <w:t xml:space="preserve">identified in qualitative analysis of reports from </w:t>
            </w:r>
            <w:r w:rsidRPr="0057456C">
              <w:rPr>
                <w:rFonts w:eastAsia="Times New Roman"/>
                <w:color w:val="000000"/>
                <w:sz w:val="16"/>
                <w:szCs w:val="16"/>
                <w:lang w:eastAsia="en-AU"/>
              </w:rPr>
              <w:t xml:space="preserve">patients, carers and families </w:t>
            </w:r>
            <w:r>
              <w:rPr>
                <w:rFonts w:eastAsia="Times New Roman"/>
                <w:color w:val="000000"/>
                <w:sz w:val="16"/>
                <w:szCs w:val="16"/>
                <w:lang w:eastAsia="en-AU"/>
              </w:rPr>
              <w:t xml:space="preserve">on their </w:t>
            </w:r>
            <w:r w:rsidRPr="0057456C">
              <w:rPr>
                <w:rFonts w:eastAsia="Times New Roman"/>
                <w:color w:val="000000"/>
                <w:sz w:val="16"/>
                <w:szCs w:val="16"/>
                <w:lang w:eastAsia="en-AU"/>
              </w:rPr>
              <w:t>experiences in receiving the servi</w:t>
            </w:r>
            <w:r>
              <w:rPr>
                <w:rFonts w:eastAsia="Times New Roman"/>
                <w:color w:val="000000"/>
                <w:sz w:val="16"/>
                <w:szCs w:val="16"/>
                <w:lang w:eastAsia="en-AU"/>
              </w:rPr>
              <w:t>ces of the community pharmacist.</w:t>
            </w:r>
          </w:p>
        </w:tc>
        <w:tc>
          <w:tcPr>
            <w:tcW w:w="376" w:type="pct"/>
          </w:tcPr>
          <w:p w14:paraId="705663CC" w14:textId="77777777" w:rsidR="001C19F3" w:rsidRPr="008649EF" w:rsidRDefault="001C19F3" w:rsidP="00521305">
            <w:pPr>
              <w:spacing w:after="40"/>
              <w:jc w:val="center"/>
              <w:rPr>
                <w:rFonts w:eastAsia="Times New Roman"/>
                <w:color w:val="000000"/>
                <w:sz w:val="16"/>
                <w:szCs w:val="16"/>
                <w:lang w:eastAsia="en-AU"/>
              </w:rPr>
            </w:pPr>
            <w:r w:rsidRPr="001A18E8">
              <w:rPr>
                <w:rFonts w:eastAsia="Times New Roman"/>
                <w:color w:val="000000"/>
                <w:sz w:val="16"/>
                <w:szCs w:val="16"/>
                <w:lang w:eastAsia="en-AU"/>
              </w:rPr>
              <w:t>PT</w:t>
            </w:r>
          </w:p>
        </w:tc>
        <w:tc>
          <w:tcPr>
            <w:tcW w:w="412" w:type="pct"/>
            <w:shd w:val="clear" w:color="auto" w:fill="auto"/>
            <w:noWrap/>
          </w:tcPr>
          <w:p w14:paraId="3D3F88A3" w14:textId="77777777" w:rsidR="001C19F3" w:rsidRPr="001211A2"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Pr>
          <w:p w14:paraId="4969B50C" w14:textId="77777777" w:rsidR="001C19F3" w:rsidRPr="0057456C" w:rsidRDefault="001C19F3" w:rsidP="00521305">
            <w:pPr>
              <w:spacing w:after="40"/>
              <w:jc w:val="center"/>
              <w:rPr>
                <w:rFonts w:eastAsia="Times New Roman"/>
                <w:color w:val="000000"/>
                <w:sz w:val="16"/>
                <w:szCs w:val="16"/>
                <w:lang w:eastAsia="en-AU"/>
              </w:rPr>
            </w:pPr>
          </w:p>
        </w:tc>
      </w:tr>
      <w:tr w:rsidR="001C19F3" w:rsidRPr="001211A2" w14:paraId="496EDD2C" w14:textId="77777777" w:rsidTr="00521305">
        <w:trPr>
          <w:jc w:val="right"/>
        </w:trPr>
        <w:tc>
          <w:tcPr>
            <w:tcW w:w="3885" w:type="pct"/>
            <w:shd w:val="clear" w:color="auto" w:fill="auto"/>
          </w:tcPr>
          <w:p w14:paraId="577F6C1E" w14:textId="77777777" w:rsidR="001C19F3" w:rsidRPr="0047799F"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6</w:t>
            </w:r>
            <w:r w:rsidRPr="004B3B3A">
              <w:rPr>
                <w:rFonts w:eastAsia="Times New Roman"/>
                <w:color w:val="000000"/>
                <w:sz w:val="16"/>
                <w:szCs w:val="16"/>
                <w:lang w:eastAsia="en-AU"/>
              </w:rPr>
              <w:t>.0</w:t>
            </w:r>
            <w:r>
              <w:rPr>
                <w:rFonts w:eastAsia="Times New Roman"/>
                <w:color w:val="000000"/>
                <w:sz w:val="16"/>
                <w:szCs w:val="16"/>
                <w:lang w:eastAsia="en-AU"/>
              </w:rPr>
              <w:t xml:space="preserve">9 </w:t>
            </w:r>
            <w:r w:rsidRPr="0057456C">
              <w:rPr>
                <w:rFonts w:eastAsia="Times New Roman"/>
                <w:color w:val="000000"/>
                <w:sz w:val="16"/>
                <w:szCs w:val="16"/>
                <w:lang w:eastAsia="en-AU"/>
              </w:rPr>
              <w:t>Did patients</w:t>
            </w:r>
            <w:r>
              <w:rPr>
                <w:rFonts w:eastAsia="Times New Roman"/>
                <w:color w:val="000000"/>
                <w:sz w:val="16"/>
                <w:szCs w:val="16"/>
                <w:lang w:eastAsia="en-AU"/>
              </w:rPr>
              <w:t xml:space="preserve"> referred to community pharmacists</w:t>
            </w:r>
            <w:r w:rsidRPr="0057456C">
              <w:rPr>
                <w:rFonts w:eastAsia="Times New Roman"/>
                <w:color w:val="000000"/>
                <w:sz w:val="16"/>
                <w:szCs w:val="16"/>
                <w:lang w:eastAsia="en-AU"/>
              </w:rPr>
              <w:t xml:space="preserve"> report an improved experience of care overall, including coordination of their care and communication with their HCH?</w:t>
            </w:r>
          </w:p>
        </w:tc>
        <w:tc>
          <w:tcPr>
            <w:tcW w:w="376" w:type="pct"/>
          </w:tcPr>
          <w:p w14:paraId="4E63A72B" w14:textId="77777777" w:rsidR="001C19F3" w:rsidRPr="001211A2"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PT</w:t>
            </w:r>
          </w:p>
        </w:tc>
        <w:tc>
          <w:tcPr>
            <w:tcW w:w="412" w:type="pct"/>
            <w:shd w:val="clear" w:color="auto" w:fill="auto"/>
            <w:noWrap/>
          </w:tcPr>
          <w:p w14:paraId="60110884" w14:textId="77777777" w:rsidR="001C19F3" w:rsidRPr="001211A2"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Pr>
          <w:p w14:paraId="08809F60"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4224998E"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D27BCC6" w14:textId="77777777" w:rsidR="001C19F3"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7</w:t>
            </w:r>
            <w:r w:rsidRPr="004B3B3A">
              <w:rPr>
                <w:rFonts w:eastAsia="Times New Roman"/>
                <w:color w:val="000000"/>
                <w:sz w:val="16"/>
                <w:szCs w:val="16"/>
                <w:lang w:eastAsia="en-AU"/>
              </w:rPr>
              <w:t>.0</w:t>
            </w:r>
            <w:r>
              <w:rPr>
                <w:rFonts w:eastAsia="Times New Roman"/>
                <w:color w:val="000000"/>
                <w:sz w:val="16"/>
                <w:szCs w:val="16"/>
                <w:lang w:eastAsia="en-AU"/>
              </w:rPr>
              <w:t xml:space="preserve">1 Number of pharmacists verbally consulting HCH/ GP about the patient, participating in </w:t>
            </w:r>
            <w:r w:rsidRPr="00C607BC">
              <w:rPr>
                <w:rFonts w:eastAsia="Times New Roman"/>
                <w:color w:val="000000"/>
                <w:sz w:val="16"/>
                <w:szCs w:val="16"/>
                <w:lang w:eastAsia="en-AU"/>
              </w:rPr>
              <w:t>team care meetings/ case conferences</w:t>
            </w:r>
            <w:r>
              <w:rPr>
                <w:rFonts w:eastAsia="Times New Roman"/>
                <w:color w:val="000000"/>
                <w:sz w:val="16"/>
                <w:szCs w:val="16"/>
                <w:lang w:eastAsia="en-AU"/>
              </w:rPr>
              <w:t xml:space="preserve"> with patients’ HCH, or advising the HCH/ GP of issues through other communication.</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881BEF6"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487C4B2" w14:textId="77777777" w:rsidR="001C19F3" w:rsidRPr="0057456C"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91DEFE"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66159A23"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123A9EA"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7</w:t>
            </w:r>
            <w:r w:rsidRPr="004B3B3A">
              <w:rPr>
                <w:rFonts w:eastAsia="Times New Roman"/>
                <w:color w:val="000000"/>
                <w:sz w:val="16"/>
                <w:szCs w:val="16"/>
                <w:lang w:eastAsia="en-AU"/>
              </w:rPr>
              <w:t>.0</w:t>
            </w:r>
            <w:r>
              <w:rPr>
                <w:rFonts w:eastAsia="Times New Roman"/>
                <w:color w:val="000000"/>
                <w:sz w:val="16"/>
                <w:szCs w:val="16"/>
                <w:lang w:eastAsia="en-AU"/>
              </w:rPr>
              <w:t xml:space="preserve">2 What approaches were implemented to facilitate collaboration between </w:t>
            </w:r>
            <w:r w:rsidRPr="0057456C">
              <w:rPr>
                <w:rFonts w:eastAsia="Times New Roman"/>
                <w:color w:val="000000"/>
                <w:sz w:val="16"/>
                <w:szCs w:val="16"/>
                <w:lang w:eastAsia="en-AU"/>
              </w:rPr>
              <w:t xml:space="preserve">pharmacists </w:t>
            </w:r>
            <w:r>
              <w:rPr>
                <w:rFonts w:eastAsia="Times New Roman"/>
                <w:color w:val="000000"/>
                <w:sz w:val="16"/>
                <w:szCs w:val="16"/>
                <w:lang w:eastAsia="en-AU"/>
              </w:rPr>
              <w:t xml:space="preserve">and HCH </w:t>
            </w:r>
            <w:r w:rsidRPr="0057456C">
              <w:rPr>
                <w:rFonts w:eastAsia="Times New Roman"/>
                <w:color w:val="000000"/>
                <w:sz w:val="16"/>
                <w:szCs w:val="16"/>
                <w:lang w:eastAsia="en-AU"/>
              </w:rPr>
              <w:t>practices/ GPs?</w:t>
            </w:r>
            <w:r>
              <w:rPr>
                <w:rFonts w:eastAsia="Times New Roman"/>
                <w:color w:val="000000"/>
                <w:sz w:val="16"/>
                <w:szCs w:val="16"/>
                <w:lang w:eastAsia="en-AU"/>
              </w:rPr>
              <w:t xml:space="preserve"> </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03A3ADF"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4F12DB6" w14:textId="77777777" w:rsidR="001C19F3" w:rsidRPr="0057456C"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73A1DD"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1251FF7D"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5C71E68"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7</w:t>
            </w:r>
            <w:r w:rsidRPr="004B3B3A">
              <w:rPr>
                <w:rFonts w:eastAsia="Times New Roman"/>
                <w:color w:val="000000"/>
                <w:sz w:val="16"/>
                <w:szCs w:val="16"/>
                <w:lang w:eastAsia="en-AU"/>
              </w:rPr>
              <w:t>.0</w:t>
            </w:r>
            <w:r>
              <w:rPr>
                <w:rFonts w:eastAsia="Times New Roman"/>
                <w:color w:val="000000"/>
                <w:sz w:val="16"/>
                <w:szCs w:val="16"/>
                <w:lang w:eastAsia="en-AU"/>
              </w:rPr>
              <w:t xml:space="preserve">3 How successful were these models from the perspective of pharmacists and HCH practices/GPs? What factors contributed to or detracted from successful collaboration? What needs to change to improve the level of </w:t>
            </w:r>
            <w:r w:rsidRPr="0057456C">
              <w:rPr>
                <w:rFonts w:eastAsia="Times New Roman"/>
                <w:color w:val="000000"/>
                <w:sz w:val="16"/>
                <w:szCs w:val="16"/>
                <w:lang w:eastAsia="en-AU"/>
              </w:rPr>
              <w:t>interprofessional collaboration</w:t>
            </w:r>
            <w:r>
              <w:rPr>
                <w:rFonts w:eastAsia="Times New Roman"/>
                <w:color w:val="000000"/>
                <w:sz w:val="16"/>
                <w:szCs w:val="16"/>
                <w:lang w:eastAsia="en-AU"/>
              </w:rPr>
              <w:t xml:space="preserve"> between pharmacists and HCH practices/GPs?</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2E678FD"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EBC4963" w14:textId="77777777" w:rsidR="001C19F3" w:rsidRPr="0057456C"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58661C" w14:textId="77777777" w:rsidR="001C19F3" w:rsidRPr="0057456C" w:rsidRDefault="001C19F3" w:rsidP="00521305">
            <w:pPr>
              <w:spacing w:after="40"/>
              <w:jc w:val="center"/>
              <w:rPr>
                <w:rFonts w:eastAsia="Times New Roman"/>
                <w:color w:val="000000"/>
                <w:sz w:val="16"/>
                <w:szCs w:val="16"/>
                <w:lang w:eastAsia="en-AU"/>
              </w:rPr>
            </w:pPr>
          </w:p>
        </w:tc>
      </w:tr>
      <w:tr w:rsidR="001C19F3" w:rsidRPr="0057456C" w14:paraId="606022CA"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EC3248A"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8</w:t>
            </w:r>
            <w:r w:rsidRPr="004B3B3A">
              <w:rPr>
                <w:rFonts w:eastAsia="Times New Roman"/>
                <w:color w:val="000000"/>
                <w:sz w:val="16"/>
                <w:szCs w:val="16"/>
                <w:lang w:eastAsia="en-AU"/>
              </w:rPr>
              <w:t>.0</w:t>
            </w:r>
            <w:r>
              <w:rPr>
                <w:rFonts w:eastAsia="Times New Roman"/>
                <w:color w:val="000000"/>
                <w:sz w:val="16"/>
                <w:szCs w:val="16"/>
                <w:lang w:eastAsia="en-AU"/>
              </w:rPr>
              <w:t xml:space="preserve">1 </w:t>
            </w:r>
            <w:r w:rsidRPr="0057456C">
              <w:rPr>
                <w:rFonts w:eastAsia="Times New Roman"/>
                <w:color w:val="000000"/>
                <w:sz w:val="16"/>
                <w:szCs w:val="16"/>
                <w:lang w:eastAsia="en-AU"/>
              </w:rPr>
              <w:t xml:space="preserve">What is the cost of the </w:t>
            </w:r>
            <w:r>
              <w:rPr>
                <w:rFonts w:eastAsia="Times New Roman"/>
                <w:color w:val="000000"/>
                <w:sz w:val="16"/>
                <w:szCs w:val="16"/>
                <w:lang w:eastAsia="en-AU"/>
              </w:rPr>
              <w:t>community pharmacy component of the HCH trial</w:t>
            </w:r>
            <w:r w:rsidRPr="0057456C">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5DC2EF"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B0C2DF4" w14:textId="77777777" w:rsidR="001C19F3" w:rsidRPr="0057456C"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4BCF64" w14:textId="77777777" w:rsidR="001C19F3" w:rsidRPr="00E00107" w:rsidRDefault="001C19F3" w:rsidP="00521305">
            <w:pPr>
              <w:spacing w:after="40"/>
              <w:jc w:val="center"/>
              <w:rPr>
                <w:rFonts w:eastAsia="Times New Roman"/>
                <w:color w:val="000000"/>
                <w:sz w:val="16"/>
                <w:szCs w:val="16"/>
                <w:lang w:eastAsia="en-AU"/>
              </w:rPr>
            </w:pPr>
          </w:p>
        </w:tc>
      </w:tr>
      <w:tr w:rsidR="001C19F3" w:rsidRPr="00E00107" w14:paraId="02783F30"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3239C23"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8</w:t>
            </w:r>
            <w:r w:rsidRPr="004B3B3A">
              <w:rPr>
                <w:rFonts w:eastAsia="Times New Roman"/>
                <w:color w:val="000000"/>
                <w:sz w:val="16"/>
                <w:szCs w:val="16"/>
                <w:lang w:eastAsia="en-AU"/>
              </w:rPr>
              <w:t>.0</w:t>
            </w:r>
            <w:r>
              <w:rPr>
                <w:rFonts w:eastAsia="Times New Roman"/>
                <w:color w:val="000000"/>
                <w:sz w:val="16"/>
                <w:szCs w:val="16"/>
                <w:lang w:eastAsia="en-AU"/>
              </w:rPr>
              <w:t>2 Do</w:t>
            </w:r>
            <w:r w:rsidRPr="00C607BC">
              <w:rPr>
                <w:rFonts w:eastAsia="Times New Roman"/>
                <w:color w:val="000000"/>
                <w:sz w:val="16"/>
                <w:szCs w:val="16"/>
                <w:lang w:eastAsia="en-AU"/>
              </w:rPr>
              <w:t xml:space="preserve"> the fees paid to pharmacists </w:t>
            </w:r>
            <w:r>
              <w:rPr>
                <w:rFonts w:eastAsia="Times New Roman"/>
                <w:color w:val="000000"/>
                <w:sz w:val="16"/>
                <w:szCs w:val="16"/>
                <w:lang w:eastAsia="en-AU"/>
              </w:rPr>
              <w:t>compensate for the time</w:t>
            </w:r>
            <w:r w:rsidRPr="00C607BC">
              <w:rPr>
                <w:rFonts w:eastAsia="Times New Roman"/>
                <w:color w:val="000000"/>
                <w:sz w:val="16"/>
                <w:szCs w:val="16"/>
                <w:lang w:eastAsia="en-AU"/>
              </w:rPr>
              <w:t xml:space="preserve"> </w:t>
            </w:r>
            <w:r>
              <w:rPr>
                <w:rFonts w:eastAsia="Times New Roman"/>
                <w:color w:val="000000"/>
                <w:sz w:val="16"/>
                <w:szCs w:val="16"/>
                <w:lang w:eastAsia="en-AU"/>
              </w:rPr>
              <w:t>spent with HCH patients during the trial?</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829D51C" w14:textId="77777777" w:rsidR="001C19F3" w:rsidRPr="0057456C" w:rsidRDefault="001C19F3" w:rsidP="00521305">
            <w:pPr>
              <w:spacing w:after="40"/>
              <w:jc w:val="center"/>
              <w:rPr>
                <w:rFonts w:eastAsia="Times New Roman"/>
                <w:color w:val="000000"/>
                <w:sz w:val="16"/>
                <w:szCs w:val="16"/>
                <w:lang w:eastAsia="en-AU"/>
              </w:rPr>
            </w:pPr>
            <w:r>
              <w:rPr>
                <w:rFonts w:eastAsia="Times New Roman"/>
                <w:color w:val="000000"/>
                <w:sz w:val="16"/>
                <w:szCs w:val="16"/>
                <w:lang w:eastAsia="en-AU"/>
              </w:rPr>
              <w:t>PH/C</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7E190AE" w14:textId="77777777" w:rsidR="001C19F3" w:rsidRPr="00E00107"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782035" w14:textId="77777777" w:rsidR="001C19F3" w:rsidRPr="00E00107" w:rsidRDefault="001C19F3" w:rsidP="00521305">
            <w:pPr>
              <w:spacing w:after="40"/>
              <w:jc w:val="center"/>
              <w:rPr>
                <w:rFonts w:eastAsia="Times New Roman"/>
                <w:color w:val="000000"/>
                <w:sz w:val="16"/>
                <w:szCs w:val="16"/>
                <w:lang w:eastAsia="en-AU"/>
              </w:rPr>
            </w:pPr>
          </w:p>
        </w:tc>
      </w:tr>
      <w:tr w:rsidR="001C19F3" w:rsidRPr="0057456C" w14:paraId="7C288F7B" w14:textId="77777777" w:rsidTr="00521305">
        <w:trPr>
          <w:jc w:val="right"/>
        </w:trPr>
        <w:tc>
          <w:tcPr>
            <w:tcW w:w="38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A1CD52D" w14:textId="77777777" w:rsidR="001C19F3" w:rsidRPr="0057456C" w:rsidRDefault="001C19F3" w:rsidP="00521305">
            <w:pPr>
              <w:spacing w:after="40"/>
              <w:rPr>
                <w:rFonts w:eastAsia="Times New Roman"/>
                <w:color w:val="000000"/>
                <w:sz w:val="16"/>
                <w:szCs w:val="16"/>
                <w:lang w:eastAsia="en-AU"/>
              </w:rPr>
            </w:pPr>
            <w:r>
              <w:rPr>
                <w:rFonts w:eastAsia="Times New Roman"/>
                <w:color w:val="000000"/>
                <w:sz w:val="16"/>
                <w:szCs w:val="16"/>
                <w:lang w:eastAsia="en-AU"/>
              </w:rPr>
              <w:t>8</w:t>
            </w:r>
            <w:r w:rsidRPr="004B3B3A">
              <w:rPr>
                <w:rFonts w:eastAsia="Times New Roman"/>
                <w:color w:val="000000"/>
                <w:sz w:val="16"/>
                <w:szCs w:val="16"/>
                <w:lang w:eastAsia="en-AU"/>
              </w:rPr>
              <w:t>.0</w:t>
            </w:r>
            <w:r>
              <w:rPr>
                <w:rFonts w:eastAsia="Times New Roman"/>
                <w:color w:val="000000"/>
                <w:sz w:val="16"/>
                <w:szCs w:val="16"/>
                <w:lang w:eastAsia="en-AU"/>
              </w:rPr>
              <w:t xml:space="preserve">3 </w:t>
            </w:r>
            <w:r w:rsidRPr="0057456C">
              <w:rPr>
                <w:rFonts w:eastAsia="Times New Roman"/>
                <w:color w:val="000000"/>
                <w:sz w:val="16"/>
                <w:szCs w:val="16"/>
                <w:lang w:eastAsia="en-AU"/>
              </w:rPr>
              <w:t xml:space="preserve">What </w:t>
            </w:r>
            <w:r>
              <w:rPr>
                <w:rFonts w:eastAsia="Times New Roman"/>
                <w:color w:val="000000"/>
                <w:sz w:val="16"/>
                <w:szCs w:val="16"/>
                <w:lang w:eastAsia="en-AU"/>
              </w:rPr>
              <w:t xml:space="preserve">is the evidence that the </w:t>
            </w:r>
            <w:r w:rsidRPr="0057456C">
              <w:rPr>
                <w:rFonts w:eastAsia="Times New Roman"/>
                <w:color w:val="000000"/>
                <w:sz w:val="16"/>
                <w:szCs w:val="16"/>
                <w:lang w:eastAsia="en-AU"/>
              </w:rPr>
              <w:t>program</w:t>
            </w:r>
            <w:r>
              <w:rPr>
                <w:rFonts w:eastAsia="Times New Roman"/>
                <w:color w:val="000000"/>
                <w:sz w:val="16"/>
                <w:szCs w:val="16"/>
                <w:lang w:eastAsia="en-AU"/>
              </w:rPr>
              <w:t xml:space="preserve"> will lead to cost savings through quality use of medicines</w:t>
            </w:r>
            <w:r w:rsidRPr="0057456C">
              <w:rPr>
                <w:rFonts w:eastAsia="Times New Roman"/>
                <w:color w:val="000000"/>
                <w:sz w:val="16"/>
                <w:szCs w:val="16"/>
                <w:lang w:eastAsia="en-AU"/>
              </w:rPr>
              <w:t>?</w:t>
            </w:r>
          </w:p>
        </w:tc>
        <w:tc>
          <w:tcPr>
            <w:tcW w:w="3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F2AF6CB" w14:textId="77777777" w:rsidR="001C19F3" w:rsidRPr="0057456C" w:rsidRDefault="001C19F3" w:rsidP="00521305">
            <w:pPr>
              <w:spacing w:after="40"/>
              <w:jc w:val="center"/>
              <w:rPr>
                <w:rFonts w:eastAsia="Times New Roman"/>
                <w:color w:val="000000"/>
                <w:sz w:val="16"/>
                <w:szCs w:val="16"/>
                <w:lang w:eastAsia="en-AU"/>
              </w:rPr>
            </w:pPr>
            <w:r w:rsidRPr="0057456C">
              <w:rPr>
                <w:rFonts w:eastAsia="Times New Roman"/>
                <w:color w:val="000000"/>
                <w:sz w:val="16"/>
                <w:szCs w:val="16"/>
                <w:lang w:eastAsia="en-AU"/>
              </w:rPr>
              <w:t>PR</w:t>
            </w:r>
          </w:p>
        </w:tc>
        <w:tc>
          <w:tcPr>
            <w:tcW w:w="4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E4A9340" w14:textId="77777777" w:rsidR="001C19F3" w:rsidRPr="0057456C" w:rsidRDefault="001C19F3" w:rsidP="00521305">
            <w:pPr>
              <w:spacing w:after="40"/>
              <w:jc w:val="center"/>
              <w:rPr>
                <w:rFonts w:eastAsia="Times New Roman"/>
                <w:color w:val="000000"/>
                <w:sz w:val="16"/>
                <w:szCs w:val="16"/>
                <w:lang w:eastAsia="en-AU"/>
              </w:rPr>
            </w:pPr>
            <w:r w:rsidRPr="0009777B">
              <w:rPr>
                <w:rFonts w:eastAsia="Times New Roman"/>
                <w:color w:val="000000"/>
                <w:sz w:val="16"/>
                <w:szCs w:val="16"/>
                <w:lang w:eastAsia="en-AU"/>
              </w:rPr>
              <w:t> N</w:t>
            </w:r>
          </w:p>
        </w:tc>
        <w:tc>
          <w:tcPr>
            <w:tcW w:w="3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FFDF5C" w14:textId="77777777" w:rsidR="001C19F3" w:rsidRPr="0057456C" w:rsidRDefault="001C19F3" w:rsidP="00521305">
            <w:pPr>
              <w:spacing w:after="40"/>
              <w:jc w:val="center"/>
              <w:rPr>
                <w:rFonts w:eastAsia="Times New Roman"/>
                <w:color w:val="000000"/>
                <w:sz w:val="16"/>
                <w:szCs w:val="16"/>
                <w:lang w:eastAsia="en-AU"/>
              </w:rPr>
            </w:pPr>
          </w:p>
        </w:tc>
      </w:tr>
    </w:tbl>
    <w:p w14:paraId="3B155154" w14:textId="77777777" w:rsidR="001C19F3" w:rsidRPr="00D73542" w:rsidRDefault="001C19F3" w:rsidP="001C19F3"/>
    <w:p w14:paraId="3BDDCFDE" w14:textId="77777777" w:rsidR="001C19F3" w:rsidRPr="00D73542" w:rsidRDefault="001C19F3" w:rsidP="001C19F3"/>
    <w:p w14:paraId="477C5502" w14:textId="77777777" w:rsidR="001C19F3" w:rsidRDefault="001C19F3" w:rsidP="001C19F3">
      <w:pPr>
        <w:spacing w:after="160" w:line="259" w:lineRule="auto"/>
      </w:pPr>
      <w:r>
        <w:br w:type="page"/>
      </w:r>
    </w:p>
    <w:p w14:paraId="07D61402" w14:textId="77777777" w:rsidR="001C19F3" w:rsidRDefault="001C19F3" w:rsidP="001C19F3">
      <w:pPr>
        <w:pStyle w:val="Heading1withnumber"/>
        <w:numPr>
          <w:ilvl w:val="0"/>
          <w:numId w:val="0"/>
        </w:numPr>
        <w:ind w:left="142"/>
        <w:sectPr w:rsidR="001C19F3" w:rsidSect="00521305">
          <w:pgSz w:w="16838" w:h="11906" w:orient="landscape"/>
          <w:pgMar w:top="1440" w:right="1440" w:bottom="1440" w:left="1440" w:header="708" w:footer="708" w:gutter="0"/>
          <w:cols w:space="708"/>
          <w:titlePg/>
          <w:docGrid w:linePitch="360"/>
        </w:sectPr>
      </w:pPr>
    </w:p>
    <w:p w14:paraId="3ACA41E1" w14:textId="77777777" w:rsidR="001C19F3" w:rsidRDefault="001C19F3" w:rsidP="001C19F3">
      <w:pPr>
        <w:pStyle w:val="Heading1withnumber"/>
        <w:numPr>
          <w:ilvl w:val="0"/>
          <w:numId w:val="0"/>
        </w:numPr>
        <w:ind w:left="142"/>
      </w:pPr>
      <w:bookmarkStart w:id="458" w:name="_Toc32586060"/>
      <w:r>
        <w:lastRenderedPageBreak/>
        <w:t>Appendix 4 – Sample practice benchmark report</w:t>
      </w:r>
      <w:bookmarkEnd w:id="458"/>
    </w:p>
    <w:p w14:paraId="7C4E3491" w14:textId="77777777" w:rsidR="001C19F3" w:rsidRDefault="001C19F3" w:rsidP="001C19F3">
      <w:pPr>
        <w:spacing w:after="160" w:line="259" w:lineRule="auto"/>
        <w:jc w:val="center"/>
      </w:pPr>
      <w:r>
        <w:rPr>
          <w:noProof/>
          <w:lang w:eastAsia="en-AU"/>
        </w:rPr>
        <w:lastRenderedPageBreak/>
        <w:drawing>
          <wp:inline distT="0" distB="0" distL="0" distR="0" wp14:anchorId="422D4871" wp14:editId="5E40DD08">
            <wp:extent cx="4896000" cy="747067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96000" cy="7470674"/>
                    </a:xfrm>
                    <a:prstGeom prst="rect">
                      <a:avLst/>
                    </a:prstGeom>
                    <a:noFill/>
                  </pic:spPr>
                </pic:pic>
              </a:graphicData>
            </a:graphic>
          </wp:inline>
        </w:drawing>
      </w:r>
    </w:p>
    <w:p w14:paraId="5F43AB17" w14:textId="77777777" w:rsidR="001C19F3" w:rsidRDefault="001C19F3" w:rsidP="001C19F3">
      <w:pPr>
        <w:spacing w:after="160" w:line="259" w:lineRule="auto"/>
        <w:jc w:val="center"/>
      </w:pPr>
    </w:p>
    <w:p w14:paraId="42077A7B" w14:textId="77777777" w:rsidR="001C19F3" w:rsidRDefault="001C19F3" w:rsidP="001C19F3">
      <w:pPr>
        <w:spacing w:after="160" w:line="259" w:lineRule="auto"/>
        <w:jc w:val="center"/>
      </w:pPr>
      <w:r w:rsidRPr="00F57B5C">
        <w:rPr>
          <w:noProof/>
          <w:lang w:eastAsia="en-AU"/>
        </w:rPr>
        <w:lastRenderedPageBreak/>
        <w:drawing>
          <wp:inline distT="0" distB="0" distL="0" distR="0" wp14:anchorId="796C6EC5" wp14:editId="4FE266DD">
            <wp:extent cx="5115639" cy="7868748"/>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15639" cy="7868748"/>
                    </a:xfrm>
                    <a:prstGeom prst="rect">
                      <a:avLst/>
                    </a:prstGeom>
                  </pic:spPr>
                </pic:pic>
              </a:graphicData>
            </a:graphic>
          </wp:inline>
        </w:drawing>
      </w:r>
    </w:p>
    <w:p w14:paraId="33F29474" w14:textId="77777777" w:rsidR="001C19F3" w:rsidRDefault="001C19F3" w:rsidP="001C19F3">
      <w:pPr>
        <w:spacing w:after="160" w:line="259" w:lineRule="auto"/>
        <w:jc w:val="center"/>
      </w:pPr>
    </w:p>
    <w:p w14:paraId="7C3602D3" w14:textId="77777777" w:rsidR="001C19F3" w:rsidRDefault="001C19F3" w:rsidP="001C19F3">
      <w:pPr>
        <w:spacing w:after="160" w:line="259" w:lineRule="auto"/>
        <w:jc w:val="center"/>
      </w:pPr>
    </w:p>
    <w:p w14:paraId="3F174CF1" w14:textId="77777777" w:rsidR="001C19F3" w:rsidRDefault="001C19F3" w:rsidP="001C19F3">
      <w:pPr>
        <w:spacing w:after="160" w:line="259" w:lineRule="auto"/>
        <w:jc w:val="center"/>
      </w:pPr>
    </w:p>
    <w:p w14:paraId="7BEF8FCA" w14:textId="77777777" w:rsidR="001C19F3" w:rsidRDefault="001C19F3" w:rsidP="001C19F3">
      <w:pPr>
        <w:spacing w:after="160" w:line="259" w:lineRule="auto"/>
        <w:jc w:val="center"/>
      </w:pPr>
      <w:r w:rsidRPr="00F57B5C">
        <w:rPr>
          <w:noProof/>
          <w:lang w:eastAsia="en-AU"/>
        </w:rPr>
        <w:lastRenderedPageBreak/>
        <w:drawing>
          <wp:inline distT="0" distB="0" distL="0" distR="0" wp14:anchorId="3B910A52" wp14:editId="4645C40E">
            <wp:extent cx="5210902" cy="7840169"/>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10902" cy="7840169"/>
                    </a:xfrm>
                    <a:prstGeom prst="rect">
                      <a:avLst/>
                    </a:prstGeom>
                  </pic:spPr>
                </pic:pic>
              </a:graphicData>
            </a:graphic>
          </wp:inline>
        </w:drawing>
      </w:r>
    </w:p>
    <w:p w14:paraId="306C3B35" w14:textId="77777777" w:rsidR="001C19F3" w:rsidRDefault="001C19F3" w:rsidP="001C19F3">
      <w:pPr>
        <w:spacing w:after="160" w:line="259" w:lineRule="auto"/>
        <w:jc w:val="center"/>
      </w:pPr>
    </w:p>
    <w:p w14:paraId="43283FCA" w14:textId="77777777" w:rsidR="001C19F3" w:rsidRDefault="001C19F3" w:rsidP="001C19F3">
      <w:pPr>
        <w:spacing w:after="160" w:line="259" w:lineRule="auto"/>
        <w:jc w:val="center"/>
      </w:pPr>
    </w:p>
    <w:p w14:paraId="7A23F28F" w14:textId="77777777" w:rsidR="001C19F3" w:rsidRDefault="001C19F3" w:rsidP="001C19F3">
      <w:pPr>
        <w:spacing w:after="160" w:line="259" w:lineRule="auto"/>
        <w:jc w:val="center"/>
      </w:pPr>
    </w:p>
    <w:p w14:paraId="501D5168" w14:textId="77777777" w:rsidR="001C19F3" w:rsidRDefault="001C19F3" w:rsidP="001C19F3">
      <w:pPr>
        <w:spacing w:after="160" w:line="259" w:lineRule="auto"/>
        <w:jc w:val="center"/>
      </w:pPr>
      <w:r w:rsidRPr="00F57B5C">
        <w:rPr>
          <w:noProof/>
          <w:lang w:eastAsia="en-AU"/>
        </w:rPr>
        <w:lastRenderedPageBreak/>
        <w:drawing>
          <wp:inline distT="0" distB="0" distL="0" distR="0" wp14:anchorId="7D7F25DF" wp14:editId="11DCE595">
            <wp:extent cx="5201376" cy="79259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01376" cy="7925906"/>
                    </a:xfrm>
                    <a:prstGeom prst="rect">
                      <a:avLst/>
                    </a:prstGeom>
                  </pic:spPr>
                </pic:pic>
              </a:graphicData>
            </a:graphic>
          </wp:inline>
        </w:drawing>
      </w:r>
    </w:p>
    <w:p w14:paraId="0FC8ED8F" w14:textId="77777777" w:rsidR="001C19F3" w:rsidRDefault="001C19F3" w:rsidP="001C19F3">
      <w:pPr>
        <w:spacing w:after="160" w:line="259" w:lineRule="auto"/>
        <w:jc w:val="center"/>
      </w:pPr>
    </w:p>
    <w:p w14:paraId="2A4E3435" w14:textId="77777777" w:rsidR="001C19F3" w:rsidRDefault="001C19F3" w:rsidP="001C19F3">
      <w:pPr>
        <w:spacing w:after="160" w:line="259" w:lineRule="auto"/>
        <w:jc w:val="center"/>
      </w:pPr>
    </w:p>
    <w:p w14:paraId="1535A402" w14:textId="77777777" w:rsidR="001C19F3" w:rsidRDefault="001C19F3" w:rsidP="001C19F3">
      <w:pPr>
        <w:spacing w:after="160" w:line="259" w:lineRule="auto"/>
        <w:jc w:val="center"/>
      </w:pPr>
    </w:p>
    <w:p w14:paraId="45E19088" w14:textId="77777777" w:rsidR="001C19F3" w:rsidRDefault="001C19F3" w:rsidP="001C19F3">
      <w:pPr>
        <w:spacing w:after="160" w:line="259" w:lineRule="auto"/>
        <w:jc w:val="center"/>
      </w:pPr>
      <w:r w:rsidRPr="00F57B5C">
        <w:rPr>
          <w:noProof/>
          <w:lang w:eastAsia="en-AU"/>
        </w:rPr>
        <w:lastRenderedPageBreak/>
        <w:drawing>
          <wp:inline distT="0" distB="0" distL="0" distR="0" wp14:anchorId="62604B7C" wp14:editId="233CC364">
            <wp:extent cx="5115639" cy="7906853"/>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115639" cy="7906853"/>
                    </a:xfrm>
                    <a:prstGeom prst="rect">
                      <a:avLst/>
                    </a:prstGeom>
                  </pic:spPr>
                </pic:pic>
              </a:graphicData>
            </a:graphic>
          </wp:inline>
        </w:drawing>
      </w:r>
    </w:p>
    <w:p w14:paraId="797286E5" w14:textId="77777777" w:rsidR="001C19F3" w:rsidRDefault="001C19F3" w:rsidP="001C19F3">
      <w:pPr>
        <w:spacing w:after="160" w:line="259" w:lineRule="auto"/>
        <w:jc w:val="center"/>
      </w:pPr>
    </w:p>
    <w:p w14:paraId="39AE090F" w14:textId="77777777" w:rsidR="001C19F3" w:rsidRDefault="001C19F3" w:rsidP="001C19F3">
      <w:pPr>
        <w:spacing w:after="160" w:line="259" w:lineRule="auto"/>
        <w:jc w:val="center"/>
      </w:pPr>
    </w:p>
    <w:p w14:paraId="649E66AE" w14:textId="77777777" w:rsidR="001C19F3" w:rsidRDefault="001C19F3" w:rsidP="001C19F3">
      <w:pPr>
        <w:spacing w:after="160" w:line="259" w:lineRule="auto"/>
        <w:jc w:val="center"/>
      </w:pPr>
    </w:p>
    <w:p w14:paraId="2BD60012" w14:textId="77777777" w:rsidR="001C19F3" w:rsidRDefault="001C19F3" w:rsidP="001C19F3">
      <w:pPr>
        <w:spacing w:after="160" w:line="259" w:lineRule="auto"/>
        <w:jc w:val="center"/>
      </w:pPr>
      <w:r w:rsidRPr="00B61927">
        <w:rPr>
          <w:noProof/>
          <w:lang w:eastAsia="en-AU"/>
        </w:rPr>
        <w:lastRenderedPageBreak/>
        <w:drawing>
          <wp:inline distT="0" distB="0" distL="0" distR="0" wp14:anchorId="6D20AA05" wp14:editId="192761BA">
            <wp:extent cx="5115639" cy="7868748"/>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15639" cy="7868748"/>
                    </a:xfrm>
                    <a:prstGeom prst="rect">
                      <a:avLst/>
                    </a:prstGeom>
                  </pic:spPr>
                </pic:pic>
              </a:graphicData>
            </a:graphic>
          </wp:inline>
        </w:drawing>
      </w:r>
    </w:p>
    <w:p w14:paraId="4BCD8ABB" w14:textId="77777777" w:rsidR="001C19F3" w:rsidRPr="00EC447D" w:rsidRDefault="001C19F3" w:rsidP="001C19F3"/>
    <w:p w14:paraId="5ED7F7D5" w14:textId="77777777" w:rsidR="001C19F3" w:rsidRDefault="001C19F3" w:rsidP="001C19F3">
      <w:pPr>
        <w:spacing w:after="160" w:line="259" w:lineRule="auto"/>
        <w:sectPr w:rsidR="001C19F3" w:rsidSect="00375ECE">
          <w:pgSz w:w="11906" w:h="16838"/>
          <w:pgMar w:top="1440" w:right="1440" w:bottom="1440" w:left="1440" w:header="708" w:footer="708" w:gutter="0"/>
          <w:cols w:space="708"/>
          <w:titlePg/>
          <w:docGrid w:linePitch="360"/>
        </w:sectPr>
      </w:pPr>
    </w:p>
    <w:p w14:paraId="19478BE2" w14:textId="77777777" w:rsidR="001C19F3" w:rsidRDefault="001C19F3" w:rsidP="001C19F3">
      <w:pPr>
        <w:spacing w:after="120"/>
        <w:jc w:val="right"/>
        <w:rPr>
          <w:rFonts w:ascii="Gill Sans MT" w:hAnsi="Gill Sans MT"/>
          <w:b/>
          <w:bCs/>
          <w:sz w:val="40"/>
          <w:szCs w:val="40"/>
        </w:rPr>
      </w:pPr>
    </w:p>
    <w:p w14:paraId="68CE0CFB" w14:textId="77777777" w:rsidR="001C19F3" w:rsidRDefault="001C19F3" w:rsidP="001C19F3">
      <w:pPr>
        <w:spacing w:after="120"/>
        <w:jc w:val="right"/>
        <w:rPr>
          <w:rFonts w:ascii="Gill Sans MT" w:hAnsi="Gill Sans MT"/>
          <w:b/>
          <w:bCs/>
          <w:sz w:val="40"/>
          <w:szCs w:val="40"/>
        </w:rPr>
      </w:pPr>
    </w:p>
    <w:p w14:paraId="43D4D5A5" w14:textId="77777777" w:rsidR="001C19F3" w:rsidRDefault="001C19F3" w:rsidP="001C19F3">
      <w:pPr>
        <w:spacing w:after="120"/>
        <w:jc w:val="right"/>
        <w:rPr>
          <w:rFonts w:ascii="Gill Sans MT" w:hAnsi="Gill Sans MT"/>
          <w:b/>
          <w:bCs/>
          <w:sz w:val="40"/>
          <w:szCs w:val="40"/>
        </w:rPr>
      </w:pPr>
    </w:p>
    <w:p w14:paraId="5714FA53" w14:textId="77777777" w:rsidR="001C19F3" w:rsidRDefault="001C19F3" w:rsidP="001C19F3">
      <w:pPr>
        <w:spacing w:after="120"/>
        <w:jc w:val="right"/>
        <w:rPr>
          <w:rFonts w:ascii="Gill Sans MT" w:hAnsi="Gill Sans MT"/>
          <w:b/>
          <w:bCs/>
          <w:sz w:val="40"/>
          <w:szCs w:val="40"/>
        </w:rPr>
      </w:pPr>
    </w:p>
    <w:p w14:paraId="5AD424C2" w14:textId="77777777" w:rsidR="001C19F3" w:rsidRDefault="001C19F3" w:rsidP="001C19F3">
      <w:pPr>
        <w:spacing w:after="120"/>
        <w:jc w:val="right"/>
        <w:rPr>
          <w:rFonts w:ascii="Gill Sans MT" w:hAnsi="Gill Sans MT"/>
          <w:b/>
          <w:bCs/>
          <w:sz w:val="40"/>
          <w:szCs w:val="40"/>
        </w:rPr>
      </w:pPr>
    </w:p>
    <w:p w14:paraId="179301D1" w14:textId="77777777" w:rsidR="001C19F3" w:rsidRDefault="001C19F3" w:rsidP="001C19F3">
      <w:pPr>
        <w:spacing w:after="120"/>
        <w:jc w:val="right"/>
        <w:rPr>
          <w:rFonts w:ascii="Gill Sans MT" w:hAnsi="Gill Sans MT"/>
          <w:b/>
          <w:bCs/>
          <w:sz w:val="40"/>
          <w:szCs w:val="40"/>
        </w:rPr>
      </w:pPr>
    </w:p>
    <w:p w14:paraId="7DB97282" w14:textId="77777777" w:rsidR="001C19F3" w:rsidRDefault="001C19F3" w:rsidP="001C19F3">
      <w:pPr>
        <w:spacing w:after="120"/>
        <w:jc w:val="right"/>
        <w:rPr>
          <w:rFonts w:ascii="Gill Sans MT" w:hAnsi="Gill Sans MT"/>
          <w:b/>
          <w:bCs/>
          <w:sz w:val="40"/>
          <w:szCs w:val="40"/>
        </w:rPr>
      </w:pPr>
    </w:p>
    <w:p w14:paraId="4E6ADF49" w14:textId="77777777" w:rsidR="001C19F3" w:rsidRDefault="001C19F3" w:rsidP="001C19F3">
      <w:pPr>
        <w:spacing w:after="120"/>
        <w:jc w:val="right"/>
        <w:rPr>
          <w:rFonts w:ascii="Gill Sans MT" w:hAnsi="Gill Sans MT"/>
          <w:b/>
          <w:bCs/>
          <w:sz w:val="40"/>
          <w:szCs w:val="40"/>
        </w:rPr>
      </w:pPr>
    </w:p>
    <w:p w14:paraId="7504C94F" w14:textId="77777777" w:rsidR="001C19F3" w:rsidRDefault="001C19F3" w:rsidP="001C19F3">
      <w:pPr>
        <w:spacing w:after="120"/>
        <w:jc w:val="right"/>
        <w:rPr>
          <w:rFonts w:ascii="Gill Sans MT" w:hAnsi="Gill Sans MT"/>
          <w:b/>
          <w:bCs/>
          <w:sz w:val="40"/>
          <w:szCs w:val="40"/>
        </w:rPr>
      </w:pPr>
    </w:p>
    <w:p w14:paraId="53ABDB14" w14:textId="77777777" w:rsidR="001C19F3" w:rsidRDefault="001C19F3" w:rsidP="001C19F3">
      <w:pPr>
        <w:spacing w:after="120"/>
        <w:jc w:val="right"/>
        <w:rPr>
          <w:rFonts w:ascii="Gill Sans MT" w:hAnsi="Gill Sans MT"/>
          <w:b/>
          <w:bCs/>
          <w:sz w:val="40"/>
          <w:szCs w:val="40"/>
        </w:rPr>
      </w:pPr>
    </w:p>
    <w:p w14:paraId="03006004" w14:textId="77777777" w:rsidR="001C19F3" w:rsidRDefault="001C19F3" w:rsidP="001C19F3">
      <w:pPr>
        <w:spacing w:after="120"/>
        <w:jc w:val="right"/>
        <w:rPr>
          <w:rFonts w:ascii="Gill Sans MT" w:hAnsi="Gill Sans MT"/>
          <w:b/>
          <w:bCs/>
          <w:sz w:val="40"/>
          <w:szCs w:val="40"/>
        </w:rPr>
      </w:pPr>
    </w:p>
    <w:p w14:paraId="40703373" w14:textId="77777777" w:rsidR="001C19F3" w:rsidRDefault="001C19F3" w:rsidP="001C19F3">
      <w:pPr>
        <w:spacing w:after="120"/>
        <w:jc w:val="right"/>
        <w:rPr>
          <w:rFonts w:ascii="Gill Sans MT" w:hAnsi="Gill Sans MT"/>
          <w:b/>
          <w:bCs/>
          <w:sz w:val="40"/>
          <w:szCs w:val="40"/>
        </w:rPr>
      </w:pPr>
    </w:p>
    <w:p w14:paraId="2B728CE3" w14:textId="77777777" w:rsidR="001C19F3" w:rsidRPr="008D691C" w:rsidRDefault="001C19F3" w:rsidP="001C19F3">
      <w:pPr>
        <w:spacing w:after="120"/>
        <w:jc w:val="right"/>
        <w:rPr>
          <w:b/>
          <w:bCs/>
          <w:color w:val="1F497D"/>
          <w:sz w:val="50"/>
          <w:szCs w:val="50"/>
        </w:rPr>
      </w:pPr>
      <w:r>
        <w:rPr>
          <w:b/>
          <w:bCs/>
          <w:sz w:val="40"/>
          <w:szCs w:val="40"/>
        </w:rPr>
        <w:t>Australian Government Department of Health</w:t>
      </w:r>
    </w:p>
    <w:p w14:paraId="64939D3B" w14:textId="77777777" w:rsidR="001C19F3" w:rsidRPr="008D691C" w:rsidRDefault="001C19F3" w:rsidP="001C19F3">
      <w:pPr>
        <w:spacing w:after="120"/>
        <w:jc w:val="right"/>
        <w:rPr>
          <w:rStyle w:val="Style3"/>
          <w:sz w:val="56"/>
          <w:szCs w:val="56"/>
        </w:rPr>
      </w:pPr>
      <w:r w:rsidRPr="00EB78D6">
        <w:rPr>
          <w:rStyle w:val="Style3"/>
          <w:rFonts w:eastAsia="Times New Roman"/>
          <w:i/>
          <w:color w:val="003D79"/>
          <w:sz w:val="56"/>
          <w:szCs w:val="56"/>
        </w:rPr>
        <w:t>Evaluation of the Health Care Homes program</w:t>
      </w:r>
    </w:p>
    <w:p w14:paraId="0E03C631" w14:textId="77777777" w:rsidR="001C19F3" w:rsidRDefault="001C19F3" w:rsidP="001C19F3">
      <w:pPr>
        <w:spacing w:after="120"/>
        <w:jc w:val="right"/>
        <w:rPr>
          <w:rStyle w:val="ReportTitleTitlePageChar"/>
          <w:rFonts w:ascii="Century Gothic" w:hAnsi="Century Gothic"/>
        </w:rPr>
      </w:pPr>
      <w:r w:rsidRPr="00A35456">
        <w:rPr>
          <w:rStyle w:val="ReportTitleTitlePageChar"/>
          <w:rFonts w:ascii="Century Gothic" w:hAnsi="Century Gothic"/>
        </w:rPr>
        <w:t>Interim evaluation report 2019</w:t>
      </w:r>
    </w:p>
    <w:p w14:paraId="41D6EC8A" w14:textId="77777777" w:rsidR="001C19F3" w:rsidRPr="004A782F" w:rsidRDefault="001C19F3" w:rsidP="001C19F3">
      <w:pPr>
        <w:spacing w:after="120"/>
        <w:jc w:val="right"/>
        <w:rPr>
          <w:b/>
          <w:bCs/>
          <w:color w:val="808080"/>
          <w:sz w:val="28"/>
          <w:szCs w:val="28"/>
        </w:rPr>
        <w:sectPr w:rsidR="001C19F3" w:rsidRPr="004A782F">
          <w:headerReference w:type="even" r:id="rId133"/>
          <w:headerReference w:type="default" r:id="rId134"/>
          <w:footerReference w:type="default" r:id="rId135"/>
          <w:headerReference w:type="first" r:id="rId136"/>
          <w:pgSz w:w="11906" w:h="16838" w:code="9"/>
          <w:pgMar w:top="1440" w:right="1440" w:bottom="1440" w:left="1440" w:header="709" w:footer="709" w:gutter="0"/>
          <w:cols w:space="708"/>
          <w:titlePg/>
          <w:docGrid w:linePitch="360"/>
        </w:sectPr>
      </w:pPr>
      <w:r>
        <w:rPr>
          <w:rStyle w:val="ReportTitleTitlePageChar"/>
          <w:rFonts w:ascii="Century Gothic" w:hAnsi="Century Gothic"/>
          <w:sz w:val="28"/>
          <w:szCs w:val="28"/>
        </w:rPr>
        <w:t>Volume 4: Evaluation data supplement</w:t>
      </w:r>
    </w:p>
    <w:p w14:paraId="6D3D4073" w14:textId="77777777" w:rsidR="001C19F3" w:rsidRPr="00966328" w:rsidRDefault="001C19F3" w:rsidP="001C19F3">
      <w:pPr>
        <w:rPr>
          <w:rFonts w:cs="Arial"/>
          <w:bCs/>
          <w:color w:val="003D79"/>
          <w:sz w:val="36"/>
          <w:szCs w:val="36"/>
        </w:rPr>
      </w:pPr>
      <w:bookmarkStart w:id="459" w:name="_Hlk23090443"/>
      <w:r w:rsidRPr="00966328">
        <w:rPr>
          <w:rFonts w:cs="Arial"/>
          <w:bCs/>
          <w:color w:val="003D79"/>
          <w:sz w:val="36"/>
          <w:szCs w:val="36"/>
        </w:rPr>
        <w:lastRenderedPageBreak/>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1984"/>
        <w:gridCol w:w="6095"/>
      </w:tblGrid>
      <w:tr w:rsidR="001C19F3" w:rsidRPr="00025564" w14:paraId="0010DB89" w14:textId="77777777" w:rsidTr="00521305">
        <w:trPr>
          <w:cantSplit/>
          <w:tblHeader/>
        </w:trPr>
        <w:tc>
          <w:tcPr>
            <w:tcW w:w="993" w:type="dxa"/>
            <w:shd w:val="clear" w:color="auto" w:fill="D9D9D9"/>
          </w:tcPr>
          <w:p w14:paraId="61DE5F35" w14:textId="77777777" w:rsidR="001C19F3" w:rsidRPr="00025564" w:rsidRDefault="001C19F3" w:rsidP="00521305">
            <w:pPr>
              <w:pStyle w:val="Table"/>
              <w:jc w:val="both"/>
              <w:rPr>
                <w:rFonts w:ascii="Century Gothic" w:hAnsi="Century Gothic"/>
                <w:b/>
                <w:szCs w:val="18"/>
              </w:rPr>
            </w:pPr>
            <w:r w:rsidRPr="00025564">
              <w:rPr>
                <w:rFonts w:ascii="Century Gothic" w:hAnsi="Century Gothic"/>
                <w:b/>
                <w:szCs w:val="18"/>
              </w:rPr>
              <w:t>Version</w:t>
            </w:r>
          </w:p>
        </w:tc>
        <w:tc>
          <w:tcPr>
            <w:tcW w:w="1984" w:type="dxa"/>
            <w:shd w:val="clear" w:color="auto" w:fill="D9D9D9"/>
          </w:tcPr>
          <w:p w14:paraId="2AF74F98" w14:textId="77777777" w:rsidR="001C19F3" w:rsidRPr="00025564" w:rsidRDefault="001C19F3" w:rsidP="00521305">
            <w:pPr>
              <w:pStyle w:val="Table"/>
              <w:rPr>
                <w:rFonts w:ascii="Century Gothic" w:hAnsi="Century Gothic"/>
                <w:b/>
                <w:szCs w:val="18"/>
              </w:rPr>
            </w:pPr>
            <w:r w:rsidRPr="00025564">
              <w:rPr>
                <w:rFonts w:ascii="Century Gothic" w:hAnsi="Century Gothic"/>
                <w:b/>
                <w:szCs w:val="18"/>
              </w:rPr>
              <w:t>Date</w:t>
            </w:r>
          </w:p>
        </w:tc>
        <w:tc>
          <w:tcPr>
            <w:tcW w:w="6095" w:type="dxa"/>
            <w:shd w:val="clear" w:color="auto" w:fill="D9D9D9"/>
          </w:tcPr>
          <w:p w14:paraId="6CB53DCD" w14:textId="77777777" w:rsidR="001C19F3" w:rsidRPr="00025564" w:rsidRDefault="001C19F3" w:rsidP="00521305">
            <w:pPr>
              <w:pStyle w:val="Table"/>
              <w:rPr>
                <w:rFonts w:ascii="Century Gothic" w:hAnsi="Century Gothic"/>
                <w:b/>
                <w:szCs w:val="18"/>
              </w:rPr>
            </w:pPr>
            <w:r w:rsidRPr="00025564">
              <w:rPr>
                <w:rFonts w:ascii="Century Gothic" w:hAnsi="Century Gothic"/>
                <w:b/>
                <w:szCs w:val="18"/>
              </w:rPr>
              <w:t>Modification</w:t>
            </w:r>
          </w:p>
        </w:tc>
      </w:tr>
      <w:tr w:rsidR="001C19F3" w:rsidRPr="00025564" w14:paraId="22DBA459" w14:textId="77777777" w:rsidTr="00521305">
        <w:trPr>
          <w:cantSplit/>
          <w:trHeight w:val="70"/>
        </w:trPr>
        <w:tc>
          <w:tcPr>
            <w:tcW w:w="993" w:type="dxa"/>
          </w:tcPr>
          <w:p w14:paraId="21C2C634" w14:textId="77777777" w:rsidR="001C19F3" w:rsidRPr="00025564" w:rsidRDefault="001C19F3" w:rsidP="00521305">
            <w:pPr>
              <w:pStyle w:val="Table"/>
              <w:jc w:val="both"/>
              <w:rPr>
                <w:rFonts w:ascii="Century Gothic" w:hAnsi="Century Gothic"/>
                <w:szCs w:val="18"/>
              </w:rPr>
            </w:pPr>
            <w:r w:rsidRPr="00025564">
              <w:rPr>
                <w:rFonts w:ascii="Century Gothic" w:hAnsi="Century Gothic"/>
                <w:szCs w:val="18"/>
              </w:rPr>
              <w:t>0.1</w:t>
            </w:r>
          </w:p>
        </w:tc>
        <w:tc>
          <w:tcPr>
            <w:tcW w:w="1984" w:type="dxa"/>
          </w:tcPr>
          <w:p w14:paraId="483A6B8B"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13 December 2019</w:t>
            </w:r>
          </w:p>
        </w:tc>
        <w:tc>
          <w:tcPr>
            <w:tcW w:w="6095" w:type="dxa"/>
          </w:tcPr>
          <w:p w14:paraId="043C92E2" w14:textId="77777777" w:rsidR="001C19F3" w:rsidRPr="00025564" w:rsidRDefault="001C19F3" w:rsidP="00521305">
            <w:pPr>
              <w:pStyle w:val="Table"/>
              <w:rPr>
                <w:rFonts w:ascii="Century Gothic" w:hAnsi="Century Gothic"/>
                <w:szCs w:val="18"/>
              </w:rPr>
            </w:pPr>
            <w:r w:rsidRPr="00025564">
              <w:rPr>
                <w:rFonts w:ascii="Century Gothic" w:hAnsi="Century Gothic"/>
                <w:szCs w:val="18"/>
              </w:rPr>
              <w:t>Initial draft</w:t>
            </w:r>
            <w:r>
              <w:rPr>
                <w:rFonts w:ascii="Century Gothic" w:hAnsi="Century Gothic"/>
                <w:szCs w:val="18"/>
              </w:rPr>
              <w:t>.</w:t>
            </w:r>
          </w:p>
        </w:tc>
      </w:tr>
      <w:tr w:rsidR="001C19F3" w:rsidRPr="00025564" w14:paraId="15394CB4" w14:textId="77777777" w:rsidTr="00521305">
        <w:trPr>
          <w:cantSplit/>
          <w:trHeight w:val="70"/>
        </w:trPr>
        <w:tc>
          <w:tcPr>
            <w:tcW w:w="993" w:type="dxa"/>
          </w:tcPr>
          <w:p w14:paraId="5F3C9F4E" w14:textId="77777777" w:rsidR="001C19F3" w:rsidRPr="00025564" w:rsidRDefault="001C19F3" w:rsidP="00521305">
            <w:pPr>
              <w:pStyle w:val="Table"/>
              <w:jc w:val="both"/>
              <w:rPr>
                <w:rFonts w:ascii="Century Gothic" w:hAnsi="Century Gothic"/>
                <w:szCs w:val="18"/>
              </w:rPr>
            </w:pPr>
            <w:r>
              <w:rPr>
                <w:rFonts w:ascii="Century Gothic" w:hAnsi="Century Gothic"/>
                <w:szCs w:val="18"/>
              </w:rPr>
              <w:t>0.2</w:t>
            </w:r>
          </w:p>
        </w:tc>
        <w:tc>
          <w:tcPr>
            <w:tcW w:w="1984" w:type="dxa"/>
          </w:tcPr>
          <w:p w14:paraId="33B85D49" w14:textId="77777777" w:rsidR="001C19F3" w:rsidRPr="00025564" w:rsidRDefault="001C19F3" w:rsidP="00521305">
            <w:pPr>
              <w:pStyle w:val="Table"/>
              <w:jc w:val="center"/>
              <w:rPr>
                <w:rFonts w:ascii="Century Gothic" w:hAnsi="Century Gothic"/>
                <w:szCs w:val="18"/>
              </w:rPr>
            </w:pPr>
            <w:r>
              <w:rPr>
                <w:rFonts w:ascii="Century Gothic" w:hAnsi="Century Gothic"/>
                <w:szCs w:val="18"/>
              </w:rPr>
              <w:t>14 February 2020</w:t>
            </w:r>
          </w:p>
        </w:tc>
        <w:tc>
          <w:tcPr>
            <w:tcW w:w="6095" w:type="dxa"/>
          </w:tcPr>
          <w:p w14:paraId="42DF8D37" w14:textId="77777777" w:rsidR="001C19F3" w:rsidRPr="00025564" w:rsidRDefault="001C19F3" w:rsidP="00521305">
            <w:pPr>
              <w:pStyle w:val="Table"/>
              <w:rPr>
                <w:rFonts w:ascii="Century Gothic" w:hAnsi="Century Gothic"/>
                <w:szCs w:val="18"/>
              </w:rPr>
            </w:pPr>
            <w:r w:rsidRPr="00BB7BB3">
              <w:rPr>
                <w:rFonts w:ascii="Century Gothic" w:hAnsi="Century Gothic"/>
                <w:szCs w:val="18"/>
              </w:rPr>
              <w:t>Minor edits to resolve discrepancies in data reported for different time points.</w:t>
            </w:r>
          </w:p>
        </w:tc>
      </w:tr>
      <w:tr w:rsidR="001C19F3" w:rsidRPr="00025564" w14:paraId="4A5582D9" w14:textId="77777777" w:rsidTr="00521305">
        <w:trPr>
          <w:cantSplit/>
          <w:trHeight w:val="70"/>
        </w:trPr>
        <w:tc>
          <w:tcPr>
            <w:tcW w:w="993" w:type="dxa"/>
          </w:tcPr>
          <w:p w14:paraId="52404113" w14:textId="77777777" w:rsidR="001C19F3" w:rsidRPr="00025564" w:rsidRDefault="001C19F3" w:rsidP="00521305">
            <w:pPr>
              <w:pStyle w:val="Table"/>
              <w:jc w:val="both"/>
              <w:rPr>
                <w:rFonts w:ascii="Century Gothic" w:hAnsi="Century Gothic"/>
                <w:szCs w:val="18"/>
              </w:rPr>
            </w:pPr>
          </w:p>
        </w:tc>
        <w:tc>
          <w:tcPr>
            <w:tcW w:w="1984" w:type="dxa"/>
          </w:tcPr>
          <w:p w14:paraId="060D4BC6" w14:textId="77777777" w:rsidR="001C19F3" w:rsidRPr="00025564" w:rsidRDefault="001C19F3" w:rsidP="00521305">
            <w:pPr>
              <w:pStyle w:val="Table"/>
              <w:jc w:val="center"/>
              <w:rPr>
                <w:rFonts w:ascii="Century Gothic" w:hAnsi="Century Gothic"/>
                <w:szCs w:val="18"/>
              </w:rPr>
            </w:pPr>
          </w:p>
        </w:tc>
        <w:tc>
          <w:tcPr>
            <w:tcW w:w="6095" w:type="dxa"/>
          </w:tcPr>
          <w:p w14:paraId="4720A48D" w14:textId="77777777" w:rsidR="001C19F3" w:rsidRPr="00025564" w:rsidRDefault="001C19F3" w:rsidP="00521305">
            <w:pPr>
              <w:pStyle w:val="Table"/>
              <w:rPr>
                <w:rFonts w:ascii="Century Gothic" w:hAnsi="Century Gothic"/>
                <w:szCs w:val="18"/>
              </w:rPr>
            </w:pPr>
          </w:p>
        </w:tc>
      </w:tr>
      <w:tr w:rsidR="001C19F3" w:rsidRPr="00025564" w14:paraId="6E54699D" w14:textId="77777777" w:rsidTr="00521305">
        <w:trPr>
          <w:cantSplit/>
          <w:trHeight w:val="70"/>
        </w:trPr>
        <w:tc>
          <w:tcPr>
            <w:tcW w:w="993" w:type="dxa"/>
          </w:tcPr>
          <w:p w14:paraId="4D899F90" w14:textId="77777777" w:rsidR="001C19F3" w:rsidRPr="00025564" w:rsidRDefault="001C19F3" w:rsidP="00521305">
            <w:pPr>
              <w:pStyle w:val="Table"/>
              <w:jc w:val="both"/>
              <w:rPr>
                <w:rFonts w:ascii="Century Gothic" w:hAnsi="Century Gothic"/>
                <w:szCs w:val="18"/>
              </w:rPr>
            </w:pPr>
          </w:p>
        </w:tc>
        <w:tc>
          <w:tcPr>
            <w:tcW w:w="1984" w:type="dxa"/>
          </w:tcPr>
          <w:p w14:paraId="33BB4442" w14:textId="77777777" w:rsidR="001C19F3" w:rsidRPr="00025564" w:rsidRDefault="001C19F3" w:rsidP="00521305">
            <w:pPr>
              <w:pStyle w:val="Table"/>
              <w:jc w:val="center"/>
              <w:rPr>
                <w:rFonts w:ascii="Century Gothic" w:hAnsi="Century Gothic"/>
                <w:szCs w:val="18"/>
              </w:rPr>
            </w:pPr>
          </w:p>
        </w:tc>
        <w:tc>
          <w:tcPr>
            <w:tcW w:w="6095" w:type="dxa"/>
          </w:tcPr>
          <w:p w14:paraId="323675DD" w14:textId="77777777" w:rsidR="001C19F3" w:rsidRPr="00025564" w:rsidRDefault="001C19F3" w:rsidP="00521305">
            <w:pPr>
              <w:pStyle w:val="Table"/>
              <w:rPr>
                <w:rFonts w:ascii="Century Gothic" w:hAnsi="Century Gothic"/>
                <w:szCs w:val="18"/>
              </w:rPr>
            </w:pPr>
          </w:p>
        </w:tc>
      </w:tr>
      <w:tr w:rsidR="001C19F3" w:rsidRPr="00025564" w14:paraId="763F5654" w14:textId="77777777" w:rsidTr="00521305">
        <w:trPr>
          <w:cantSplit/>
          <w:trHeight w:val="70"/>
        </w:trPr>
        <w:tc>
          <w:tcPr>
            <w:tcW w:w="993" w:type="dxa"/>
          </w:tcPr>
          <w:p w14:paraId="37648D11" w14:textId="77777777" w:rsidR="001C19F3" w:rsidRDefault="001C19F3" w:rsidP="00521305">
            <w:pPr>
              <w:pStyle w:val="Table"/>
              <w:jc w:val="both"/>
              <w:rPr>
                <w:rFonts w:ascii="Century Gothic" w:hAnsi="Century Gothic"/>
                <w:szCs w:val="18"/>
              </w:rPr>
            </w:pPr>
          </w:p>
        </w:tc>
        <w:tc>
          <w:tcPr>
            <w:tcW w:w="1984" w:type="dxa"/>
          </w:tcPr>
          <w:p w14:paraId="2784A7B5" w14:textId="77777777" w:rsidR="001C19F3" w:rsidRDefault="001C19F3" w:rsidP="00521305">
            <w:pPr>
              <w:pStyle w:val="Table"/>
              <w:jc w:val="center"/>
              <w:rPr>
                <w:rFonts w:ascii="Century Gothic" w:hAnsi="Century Gothic"/>
                <w:szCs w:val="18"/>
              </w:rPr>
            </w:pPr>
          </w:p>
        </w:tc>
        <w:tc>
          <w:tcPr>
            <w:tcW w:w="6095" w:type="dxa"/>
          </w:tcPr>
          <w:p w14:paraId="27229F20" w14:textId="77777777" w:rsidR="001C19F3" w:rsidRDefault="001C19F3" w:rsidP="00521305">
            <w:pPr>
              <w:pStyle w:val="Table"/>
              <w:rPr>
                <w:rFonts w:ascii="Century Gothic" w:hAnsi="Century Gothic"/>
                <w:szCs w:val="18"/>
              </w:rPr>
            </w:pPr>
          </w:p>
        </w:tc>
      </w:tr>
    </w:tbl>
    <w:p w14:paraId="76DFCE32" w14:textId="77777777" w:rsidR="001C19F3" w:rsidRDefault="001C19F3" w:rsidP="001C19F3">
      <w:pPr>
        <w:pStyle w:val="FootnoteText"/>
        <w:jc w:val="both"/>
        <w:rPr>
          <w:rFonts w:ascii="Arial" w:hAnsi="Arial"/>
        </w:rPr>
      </w:pPr>
    </w:p>
    <w:p w14:paraId="02F653C5" w14:textId="77777777" w:rsidR="001C19F3" w:rsidRDefault="001C19F3" w:rsidP="001C19F3">
      <w:pPr>
        <w:pStyle w:val="FootnoteText"/>
        <w:jc w:val="both"/>
        <w:rPr>
          <w:rFonts w:ascii="Arial" w:hAnsi="Arial"/>
        </w:rPr>
      </w:pPr>
    </w:p>
    <w:p w14:paraId="3EF86CEE" w14:textId="77777777" w:rsidR="001C19F3" w:rsidRPr="00C815DC" w:rsidRDefault="001C19F3" w:rsidP="001C19F3">
      <w:pPr>
        <w:pStyle w:val="FootnoteText"/>
        <w:jc w:val="both"/>
        <w:rPr>
          <w:rFonts w:ascii="Arial" w:hAnsi="Arial"/>
        </w:rPr>
      </w:pPr>
    </w:p>
    <w:bookmarkEnd w:id="459"/>
    <w:p w14:paraId="5B77C16D" w14:textId="77777777" w:rsidR="001C19F3" w:rsidRDefault="001C19F3" w:rsidP="001C19F3"/>
    <w:p w14:paraId="1C4450B6" w14:textId="77777777" w:rsidR="001C19F3" w:rsidRDefault="001C19F3" w:rsidP="001C19F3"/>
    <w:p w14:paraId="03D90EFE" w14:textId="77777777" w:rsidR="001C19F3" w:rsidRDefault="001C19F3" w:rsidP="001C19F3"/>
    <w:p w14:paraId="3920D494" w14:textId="77777777" w:rsidR="001C19F3" w:rsidRDefault="001C19F3" w:rsidP="001C19F3"/>
    <w:p w14:paraId="3B881559" w14:textId="77777777" w:rsidR="001C19F3" w:rsidRDefault="001C19F3" w:rsidP="001C19F3"/>
    <w:p w14:paraId="6EA7BA2A" w14:textId="77777777" w:rsidR="001C19F3" w:rsidRDefault="001C19F3" w:rsidP="001C19F3"/>
    <w:p w14:paraId="339DDE5C" w14:textId="77777777" w:rsidR="001C19F3" w:rsidRDefault="001C19F3" w:rsidP="001C19F3"/>
    <w:p w14:paraId="4A684810" w14:textId="77777777" w:rsidR="001C19F3" w:rsidRDefault="001C19F3" w:rsidP="001C19F3"/>
    <w:p w14:paraId="1DA16315" w14:textId="77777777" w:rsidR="001C19F3" w:rsidRPr="00ED29EE" w:rsidRDefault="001C19F3" w:rsidP="001C19F3">
      <w:pPr>
        <w:pStyle w:val="Glossary"/>
        <w:outlineLvl w:val="0"/>
        <w:rPr>
          <w:rFonts w:ascii="Century Gothic" w:hAnsi="Century Gothic"/>
          <w:b w:val="0"/>
          <w:color w:val="003D79"/>
          <w:sz w:val="36"/>
          <w:szCs w:val="36"/>
        </w:rPr>
      </w:pPr>
      <w:r w:rsidRPr="00ED29EE">
        <w:rPr>
          <w:rFonts w:ascii="Century Gothic" w:hAnsi="Century Gothic"/>
          <w:b w:val="0"/>
          <w:color w:val="003D79"/>
          <w:sz w:val="36"/>
          <w:szCs w:val="36"/>
        </w:rPr>
        <w:t>Suggested citation</w:t>
      </w:r>
    </w:p>
    <w:p w14:paraId="5362EB3A" w14:textId="77777777" w:rsidR="001C19F3" w:rsidRPr="00C815DC" w:rsidRDefault="001C19F3" w:rsidP="001C19F3">
      <w:pPr>
        <w:rPr>
          <w:rFonts w:cs="Arial"/>
          <w:szCs w:val="20"/>
        </w:rPr>
      </w:pPr>
      <w:r w:rsidRPr="00ED29EE">
        <w:rPr>
          <w:rFonts w:cs="Arial"/>
          <w:szCs w:val="20"/>
        </w:rPr>
        <w:t xml:space="preserve">Health Policy Analysis 2019. Evaluation of the Health Care Homes program – Interim evaluation report 2019, Volume </w:t>
      </w:r>
      <w:r>
        <w:rPr>
          <w:rFonts w:cs="Arial"/>
          <w:szCs w:val="20"/>
        </w:rPr>
        <w:t>4</w:t>
      </w:r>
      <w:r w:rsidRPr="00ED29EE">
        <w:rPr>
          <w:rFonts w:cs="Arial"/>
          <w:szCs w:val="20"/>
        </w:rPr>
        <w:t xml:space="preserve">: </w:t>
      </w:r>
      <w:r>
        <w:rPr>
          <w:rFonts w:cs="Arial"/>
          <w:szCs w:val="20"/>
        </w:rPr>
        <w:t>Evaluation data supplement</w:t>
      </w:r>
      <w:r w:rsidRPr="00ED29EE">
        <w:rPr>
          <w:rFonts w:cs="Arial"/>
          <w:szCs w:val="20"/>
        </w:rPr>
        <w:t>. Canberra: Department of Health</w:t>
      </w:r>
    </w:p>
    <w:p w14:paraId="14E6FEAB" w14:textId="77777777" w:rsidR="001C19F3" w:rsidRPr="00ED29EE" w:rsidRDefault="001C19F3" w:rsidP="001C19F3">
      <w:pPr>
        <w:pStyle w:val="Glossary"/>
        <w:outlineLvl w:val="0"/>
        <w:rPr>
          <w:rFonts w:ascii="Century Gothic" w:hAnsi="Century Gothic"/>
          <w:b w:val="0"/>
          <w:color w:val="003D79"/>
          <w:sz w:val="36"/>
          <w:szCs w:val="36"/>
        </w:rPr>
      </w:pPr>
      <w:r w:rsidRPr="00ED29EE">
        <w:rPr>
          <w:rFonts w:ascii="Century Gothic" w:hAnsi="Century Gothic"/>
          <w:b w:val="0"/>
          <w:color w:val="003D79"/>
          <w:sz w:val="36"/>
          <w:szCs w:val="36"/>
        </w:rPr>
        <w:t>Disclaimer</w:t>
      </w:r>
    </w:p>
    <w:p w14:paraId="7CC49D7D" w14:textId="77777777" w:rsidR="001C19F3" w:rsidRPr="00C815DC" w:rsidRDefault="001C19F3" w:rsidP="001C19F3">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Pr="00EB78D6">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1DDACD88" w14:textId="77777777" w:rsidR="001C19F3" w:rsidRPr="00ED29EE" w:rsidRDefault="001C19F3" w:rsidP="001C19F3">
      <w:pPr>
        <w:pStyle w:val="Glossary"/>
        <w:outlineLvl w:val="0"/>
        <w:rPr>
          <w:rFonts w:ascii="Century Gothic" w:hAnsi="Century Gothic"/>
          <w:b w:val="0"/>
          <w:color w:val="003D79"/>
          <w:sz w:val="36"/>
          <w:szCs w:val="36"/>
        </w:rPr>
      </w:pPr>
      <w:r w:rsidRPr="00ED29EE">
        <w:rPr>
          <w:rFonts w:ascii="Century Gothic" w:hAnsi="Century Gothic"/>
          <w:b w:val="0"/>
          <w:color w:val="003D79"/>
          <w:sz w:val="36"/>
          <w:szCs w:val="36"/>
        </w:rPr>
        <w:t xml:space="preserve">Health Policy Analysis Pty Ltd </w:t>
      </w:r>
    </w:p>
    <w:p w14:paraId="6E0B9D77" w14:textId="77777777" w:rsidR="001C19F3" w:rsidRPr="008D691C" w:rsidRDefault="001C19F3" w:rsidP="001C19F3">
      <w:pPr>
        <w:spacing w:after="120" w:line="240" w:lineRule="auto"/>
        <w:rPr>
          <w:rFonts w:cs="Arial"/>
          <w:bCs/>
          <w:color w:val="003D79"/>
        </w:rPr>
      </w:pPr>
      <w:r w:rsidRPr="008D691C">
        <w:rPr>
          <w:rFonts w:cs="Arial"/>
          <w:bCs/>
          <w:color w:val="003D79"/>
        </w:rPr>
        <w:t>Suite 101, 30 Atchison Street, St Leonards 2065</w:t>
      </w:r>
    </w:p>
    <w:p w14:paraId="4EA4CDE0" w14:textId="77777777" w:rsidR="001C19F3" w:rsidRPr="008D691C" w:rsidRDefault="001C19F3" w:rsidP="001C19F3">
      <w:pPr>
        <w:spacing w:after="120" w:line="240" w:lineRule="auto"/>
        <w:rPr>
          <w:rFonts w:cs="Arial"/>
          <w:bCs/>
          <w:color w:val="003D79"/>
        </w:rPr>
      </w:pPr>
      <w:r w:rsidRPr="008D691C">
        <w:rPr>
          <w:rFonts w:cs="Arial"/>
          <w:bCs/>
          <w:color w:val="003D79"/>
        </w:rPr>
        <w:t>ABN: 54 105 830 920</w:t>
      </w:r>
    </w:p>
    <w:p w14:paraId="237AD6BB" w14:textId="77777777" w:rsidR="001C19F3" w:rsidRPr="008D691C" w:rsidRDefault="001C19F3" w:rsidP="001C19F3">
      <w:pPr>
        <w:spacing w:after="120" w:line="240" w:lineRule="auto"/>
        <w:rPr>
          <w:rFonts w:cs="Arial"/>
          <w:bCs/>
          <w:color w:val="003D79"/>
        </w:rPr>
      </w:pPr>
      <w:r w:rsidRPr="008D691C">
        <w:rPr>
          <w:rFonts w:cs="Arial"/>
          <w:bCs/>
          <w:color w:val="003D79"/>
        </w:rPr>
        <w:t>Phone: +61 2 8065 6491</w:t>
      </w:r>
    </w:p>
    <w:p w14:paraId="3A8C7AEE" w14:textId="77777777" w:rsidR="001C19F3" w:rsidRPr="00C815DC" w:rsidRDefault="001C19F3" w:rsidP="001C19F3">
      <w:pPr>
        <w:spacing w:line="240" w:lineRule="auto"/>
        <w:rPr>
          <w:rFonts w:ascii="Calibri" w:hAnsi="Calibri" w:cs="Arial"/>
          <w:b/>
          <w:bCs/>
          <w:color w:val="003D79"/>
        </w:rPr>
      </w:pPr>
      <w:r w:rsidRPr="008D691C">
        <w:rPr>
          <w:rFonts w:cs="Arial"/>
          <w:bCs/>
          <w:color w:val="003D79"/>
        </w:rPr>
        <w:t>Fax: +61 2 8905 9151</w:t>
      </w:r>
    </w:p>
    <w:p w14:paraId="3A54E2BD" w14:textId="77777777" w:rsidR="001C19F3" w:rsidRDefault="001C19F3" w:rsidP="001C19F3">
      <w:pPr>
        <w:tabs>
          <w:tab w:val="left" w:pos="3957"/>
        </w:tabs>
        <w:sectPr w:rsidR="001C19F3" w:rsidSect="00640EFA">
          <w:headerReference w:type="even" r:id="rId137"/>
          <w:headerReference w:type="default" r:id="rId138"/>
          <w:headerReference w:type="first" r:id="rId139"/>
          <w:footerReference w:type="first" r:id="rId140"/>
          <w:pgSz w:w="11906" w:h="16838"/>
          <w:pgMar w:top="1440" w:right="1440" w:bottom="1440" w:left="1440" w:header="708" w:footer="708" w:gutter="0"/>
          <w:cols w:space="708"/>
          <w:titlePg/>
          <w:docGrid w:linePitch="360"/>
        </w:sectPr>
      </w:pPr>
    </w:p>
    <w:p w14:paraId="658B442D" w14:textId="77777777" w:rsidR="001C19F3" w:rsidRPr="00C815DC" w:rsidRDefault="001C19F3" w:rsidP="001C19F3">
      <w:pPr>
        <w:pStyle w:val="Heading1thatdoesnotgetpickedupbyTOC"/>
      </w:pPr>
      <w:r w:rsidRPr="00C815DC">
        <w:lastRenderedPageBreak/>
        <w:t>Table of contents</w:t>
      </w:r>
    </w:p>
    <w:p w14:paraId="2AC3522F" w14:textId="77777777" w:rsidR="001C19F3" w:rsidRDefault="001C19F3" w:rsidP="001C19F3">
      <w:pPr>
        <w:pStyle w:val="TOC1"/>
        <w:rPr>
          <w:rFonts w:asciiTheme="minorHAnsi" w:eastAsiaTheme="minorEastAsia" w:hAnsiTheme="minorHAnsi" w:cstheme="minorBidi"/>
          <w:i w:val="0"/>
          <w:noProof/>
          <w:color w:val="auto"/>
          <w:sz w:val="22"/>
          <w:lang w:val="en-AU" w:eastAsia="en-AU"/>
        </w:rPr>
      </w:pPr>
      <w:r>
        <w:rPr>
          <w:b/>
        </w:rPr>
        <w:fldChar w:fldCharType="begin"/>
      </w:r>
      <w:r>
        <w:rPr>
          <w:b/>
        </w:rPr>
        <w:instrText xml:space="preserve"> TOC \o "2-2" \h \z \t "Heading 1,1,Heading 1 no number,1,Heading 1 with number,1,Appendix,1" </w:instrText>
      </w:r>
      <w:r>
        <w:rPr>
          <w:b/>
        </w:rPr>
        <w:fldChar w:fldCharType="separate"/>
      </w:r>
      <w:hyperlink w:anchor="_Toc27058949" w:history="1">
        <w:r w:rsidRPr="00C43164">
          <w:rPr>
            <w:rStyle w:val="Hyperlink"/>
            <w:noProof/>
          </w:rPr>
          <w:t>Acronyms and initialisms</w:t>
        </w:r>
        <w:r>
          <w:rPr>
            <w:noProof/>
            <w:webHidden/>
          </w:rPr>
          <w:tab/>
        </w:r>
        <w:r>
          <w:rPr>
            <w:noProof/>
            <w:webHidden/>
          </w:rPr>
          <w:fldChar w:fldCharType="begin"/>
        </w:r>
        <w:r>
          <w:rPr>
            <w:noProof/>
            <w:webHidden/>
          </w:rPr>
          <w:instrText xml:space="preserve"> PAGEREF _Toc27058949 \h </w:instrText>
        </w:r>
        <w:r>
          <w:rPr>
            <w:noProof/>
            <w:webHidden/>
          </w:rPr>
        </w:r>
        <w:r>
          <w:rPr>
            <w:noProof/>
            <w:webHidden/>
          </w:rPr>
          <w:fldChar w:fldCharType="separate"/>
        </w:r>
        <w:r>
          <w:rPr>
            <w:noProof/>
            <w:webHidden/>
          </w:rPr>
          <w:t>1</w:t>
        </w:r>
        <w:r>
          <w:rPr>
            <w:noProof/>
            <w:webHidden/>
          </w:rPr>
          <w:fldChar w:fldCharType="end"/>
        </w:r>
      </w:hyperlink>
    </w:p>
    <w:p w14:paraId="223494C4"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50" w:history="1">
        <w:r w:rsidR="001C19F3" w:rsidRPr="00C43164">
          <w:rPr>
            <w:rStyle w:val="Hyperlink"/>
            <w:noProof/>
          </w:rPr>
          <w:t>1.</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Introduction</w:t>
        </w:r>
        <w:r w:rsidR="001C19F3">
          <w:rPr>
            <w:noProof/>
            <w:webHidden/>
          </w:rPr>
          <w:tab/>
        </w:r>
        <w:r w:rsidR="001C19F3">
          <w:rPr>
            <w:noProof/>
            <w:webHidden/>
          </w:rPr>
          <w:fldChar w:fldCharType="begin"/>
        </w:r>
        <w:r w:rsidR="001C19F3">
          <w:rPr>
            <w:noProof/>
            <w:webHidden/>
          </w:rPr>
          <w:instrText xml:space="preserve"> PAGEREF _Toc27058950 \h </w:instrText>
        </w:r>
        <w:r w:rsidR="001C19F3">
          <w:rPr>
            <w:noProof/>
            <w:webHidden/>
          </w:rPr>
        </w:r>
        <w:r w:rsidR="001C19F3">
          <w:rPr>
            <w:noProof/>
            <w:webHidden/>
          </w:rPr>
          <w:fldChar w:fldCharType="separate"/>
        </w:r>
        <w:r w:rsidR="001C19F3">
          <w:rPr>
            <w:noProof/>
            <w:webHidden/>
          </w:rPr>
          <w:t>3</w:t>
        </w:r>
        <w:r w:rsidR="001C19F3">
          <w:rPr>
            <w:noProof/>
            <w:webHidden/>
          </w:rPr>
          <w:fldChar w:fldCharType="end"/>
        </w:r>
      </w:hyperlink>
    </w:p>
    <w:p w14:paraId="563BE5D0"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51" w:history="1">
        <w:r w:rsidR="001C19F3" w:rsidRPr="00C43164">
          <w:rPr>
            <w:rStyle w:val="Hyperlink"/>
            <w:noProof/>
          </w:rPr>
          <w:t>2.</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HCH practice and staff surveys</w:t>
        </w:r>
        <w:r w:rsidR="001C19F3">
          <w:rPr>
            <w:noProof/>
            <w:webHidden/>
          </w:rPr>
          <w:tab/>
        </w:r>
        <w:r w:rsidR="001C19F3">
          <w:rPr>
            <w:noProof/>
            <w:webHidden/>
          </w:rPr>
          <w:fldChar w:fldCharType="begin"/>
        </w:r>
        <w:r w:rsidR="001C19F3">
          <w:rPr>
            <w:noProof/>
            <w:webHidden/>
          </w:rPr>
          <w:instrText xml:space="preserve"> PAGEREF _Toc27058951 \h </w:instrText>
        </w:r>
        <w:r w:rsidR="001C19F3">
          <w:rPr>
            <w:noProof/>
            <w:webHidden/>
          </w:rPr>
        </w:r>
        <w:r w:rsidR="001C19F3">
          <w:rPr>
            <w:noProof/>
            <w:webHidden/>
          </w:rPr>
          <w:fldChar w:fldCharType="separate"/>
        </w:r>
        <w:r w:rsidR="001C19F3">
          <w:rPr>
            <w:noProof/>
            <w:webHidden/>
          </w:rPr>
          <w:t>5</w:t>
        </w:r>
        <w:r w:rsidR="001C19F3">
          <w:rPr>
            <w:noProof/>
            <w:webHidden/>
          </w:rPr>
          <w:fldChar w:fldCharType="end"/>
        </w:r>
      </w:hyperlink>
    </w:p>
    <w:p w14:paraId="52EC48C2"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52" w:history="1">
        <w:r w:rsidR="001C19F3" w:rsidRPr="00C43164">
          <w:rPr>
            <w:rStyle w:val="Hyperlink"/>
            <w:noProof/>
          </w:rPr>
          <w:t>Practice self-assessment using HCH-A</w:t>
        </w:r>
        <w:r w:rsidR="001C19F3">
          <w:rPr>
            <w:noProof/>
            <w:webHidden/>
          </w:rPr>
          <w:tab/>
        </w:r>
        <w:r w:rsidR="001C19F3">
          <w:rPr>
            <w:noProof/>
            <w:webHidden/>
          </w:rPr>
          <w:fldChar w:fldCharType="begin"/>
        </w:r>
        <w:r w:rsidR="001C19F3">
          <w:rPr>
            <w:noProof/>
            <w:webHidden/>
          </w:rPr>
          <w:instrText xml:space="preserve"> PAGEREF _Toc27058952 \h </w:instrText>
        </w:r>
        <w:r w:rsidR="001C19F3">
          <w:rPr>
            <w:noProof/>
            <w:webHidden/>
          </w:rPr>
        </w:r>
        <w:r w:rsidR="001C19F3">
          <w:rPr>
            <w:noProof/>
            <w:webHidden/>
          </w:rPr>
          <w:fldChar w:fldCharType="separate"/>
        </w:r>
        <w:r w:rsidR="001C19F3">
          <w:rPr>
            <w:noProof/>
            <w:webHidden/>
          </w:rPr>
          <w:t>10</w:t>
        </w:r>
        <w:r w:rsidR="001C19F3">
          <w:rPr>
            <w:noProof/>
            <w:webHidden/>
          </w:rPr>
          <w:fldChar w:fldCharType="end"/>
        </w:r>
      </w:hyperlink>
    </w:p>
    <w:p w14:paraId="4DB01F68"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53" w:history="1">
        <w:r w:rsidR="001C19F3" w:rsidRPr="00C43164">
          <w:rPr>
            <w:rStyle w:val="Hyperlink"/>
            <w:noProof/>
          </w:rPr>
          <w:t>Staff surveys</w:t>
        </w:r>
        <w:r w:rsidR="001C19F3">
          <w:rPr>
            <w:noProof/>
            <w:webHidden/>
          </w:rPr>
          <w:tab/>
        </w:r>
        <w:r w:rsidR="001C19F3">
          <w:rPr>
            <w:noProof/>
            <w:webHidden/>
          </w:rPr>
          <w:fldChar w:fldCharType="begin"/>
        </w:r>
        <w:r w:rsidR="001C19F3">
          <w:rPr>
            <w:noProof/>
            <w:webHidden/>
          </w:rPr>
          <w:instrText xml:space="preserve"> PAGEREF _Toc27058953 \h </w:instrText>
        </w:r>
        <w:r w:rsidR="001C19F3">
          <w:rPr>
            <w:noProof/>
            <w:webHidden/>
          </w:rPr>
        </w:r>
        <w:r w:rsidR="001C19F3">
          <w:rPr>
            <w:noProof/>
            <w:webHidden/>
          </w:rPr>
          <w:fldChar w:fldCharType="separate"/>
        </w:r>
        <w:r w:rsidR="001C19F3">
          <w:rPr>
            <w:noProof/>
            <w:webHidden/>
          </w:rPr>
          <w:t>14</w:t>
        </w:r>
        <w:r w:rsidR="001C19F3">
          <w:rPr>
            <w:noProof/>
            <w:webHidden/>
          </w:rPr>
          <w:fldChar w:fldCharType="end"/>
        </w:r>
      </w:hyperlink>
    </w:p>
    <w:p w14:paraId="78B1A5F4"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54" w:history="1">
        <w:r w:rsidR="001C19F3" w:rsidRPr="00C43164">
          <w:rPr>
            <w:rStyle w:val="Hyperlink"/>
            <w:noProof/>
          </w:rPr>
          <w:t>3.</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PHN surveys</w:t>
        </w:r>
        <w:r w:rsidR="001C19F3">
          <w:rPr>
            <w:noProof/>
            <w:webHidden/>
          </w:rPr>
          <w:tab/>
        </w:r>
        <w:r w:rsidR="001C19F3">
          <w:rPr>
            <w:noProof/>
            <w:webHidden/>
          </w:rPr>
          <w:fldChar w:fldCharType="begin"/>
        </w:r>
        <w:r w:rsidR="001C19F3">
          <w:rPr>
            <w:noProof/>
            <w:webHidden/>
          </w:rPr>
          <w:instrText xml:space="preserve"> PAGEREF _Toc27058954 \h </w:instrText>
        </w:r>
        <w:r w:rsidR="001C19F3">
          <w:rPr>
            <w:noProof/>
            <w:webHidden/>
          </w:rPr>
        </w:r>
        <w:r w:rsidR="001C19F3">
          <w:rPr>
            <w:noProof/>
            <w:webHidden/>
          </w:rPr>
          <w:fldChar w:fldCharType="separate"/>
        </w:r>
        <w:r w:rsidR="001C19F3">
          <w:rPr>
            <w:noProof/>
            <w:webHidden/>
          </w:rPr>
          <w:t>15</w:t>
        </w:r>
        <w:r w:rsidR="001C19F3">
          <w:rPr>
            <w:noProof/>
            <w:webHidden/>
          </w:rPr>
          <w:fldChar w:fldCharType="end"/>
        </w:r>
      </w:hyperlink>
    </w:p>
    <w:p w14:paraId="5238854A"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55" w:history="1">
        <w:r w:rsidR="001C19F3" w:rsidRPr="00C43164">
          <w:rPr>
            <w:rStyle w:val="Hyperlink"/>
            <w:noProof/>
          </w:rPr>
          <w:t>4.</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Patient surveys</w:t>
        </w:r>
        <w:r w:rsidR="001C19F3">
          <w:rPr>
            <w:noProof/>
            <w:webHidden/>
          </w:rPr>
          <w:tab/>
        </w:r>
        <w:r w:rsidR="001C19F3">
          <w:rPr>
            <w:noProof/>
            <w:webHidden/>
          </w:rPr>
          <w:fldChar w:fldCharType="begin"/>
        </w:r>
        <w:r w:rsidR="001C19F3">
          <w:rPr>
            <w:noProof/>
            <w:webHidden/>
          </w:rPr>
          <w:instrText xml:space="preserve"> PAGEREF _Toc27058955 \h </w:instrText>
        </w:r>
        <w:r w:rsidR="001C19F3">
          <w:rPr>
            <w:noProof/>
            <w:webHidden/>
          </w:rPr>
        </w:r>
        <w:r w:rsidR="001C19F3">
          <w:rPr>
            <w:noProof/>
            <w:webHidden/>
          </w:rPr>
          <w:fldChar w:fldCharType="separate"/>
        </w:r>
        <w:r w:rsidR="001C19F3">
          <w:rPr>
            <w:noProof/>
            <w:webHidden/>
          </w:rPr>
          <w:t>17</w:t>
        </w:r>
        <w:r w:rsidR="001C19F3">
          <w:rPr>
            <w:noProof/>
            <w:webHidden/>
          </w:rPr>
          <w:fldChar w:fldCharType="end"/>
        </w:r>
      </w:hyperlink>
    </w:p>
    <w:p w14:paraId="5D5E474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56" w:history="1">
        <w:r w:rsidR="001C19F3" w:rsidRPr="00C43164">
          <w:rPr>
            <w:rStyle w:val="Hyperlink"/>
            <w:noProof/>
          </w:rPr>
          <w:t>Comparisons of data sources</w:t>
        </w:r>
        <w:r w:rsidR="001C19F3">
          <w:rPr>
            <w:noProof/>
            <w:webHidden/>
          </w:rPr>
          <w:tab/>
        </w:r>
        <w:r w:rsidR="001C19F3">
          <w:rPr>
            <w:noProof/>
            <w:webHidden/>
          </w:rPr>
          <w:fldChar w:fldCharType="begin"/>
        </w:r>
        <w:r w:rsidR="001C19F3">
          <w:rPr>
            <w:noProof/>
            <w:webHidden/>
          </w:rPr>
          <w:instrText xml:space="preserve"> PAGEREF _Toc27058956 \h </w:instrText>
        </w:r>
        <w:r w:rsidR="001C19F3">
          <w:rPr>
            <w:noProof/>
            <w:webHidden/>
          </w:rPr>
        </w:r>
        <w:r w:rsidR="001C19F3">
          <w:rPr>
            <w:noProof/>
            <w:webHidden/>
          </w:rPr>
          <w:fldChar w:fldCharType="separate"/>
        </w:r>
        <w:r w:rsidR="001C19F3">
          <w:rPr>
            <w:noProof/>
            <w:webHidden/>
          </w:rPr>
          <w:t>22</w:t>
        </w:r>
        <w:r w:rsidR="001C19F3">
          <w:rPr>
            <w:noProof/>
            <w:webHidden/>
          </w:rPr>
          <w:fldChar w:fldCharType="end"/>
        </w:r>
      </w:hyperlink>
    </w:p>
    <w:p w14:paraId="04E0DE50"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57" w:history="1">
        <w:r w:rsidR="001C19F3" w:rsidRPr="00C43164">
          <w:rPr>
            <w:rStyle w:val="Hyperlink"/>
            <w:noProof/>
          </w:rPr>
          <w:t>5.</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Practice extracts</w:t>
        </w:r>
        <w:r w:rsidR="001C19F3">
          <w:rPr>
            <w:noProof/>
            <w:webHidden/>
          </w:rPr>
          <w:tab/>
        </w:r>
        <w:r w:rsidR="001C19F3">
          <w:rPr>
            <w:noProof/>
            <w:webHidden/>
          </w:rPr>
          <w:fldChar w:fldCharType="begin"/>
        </w:r>
        <w:r w:rsidR="001C19F3">
          <w:rPr>
            <w:noProof/>
            <w:webHidden/>
          </w:rPr>
          <w:instrText xml:space="preserve"> PAGEREF _Toc27058957 \h </w:instrText>
        </w:r>
        <w:r w:rsidR="001C19F3">
          <w:rPr>
            <w:noProof/>
            <w:webHidden/>
          </w:rPr>
        </w:r>
        <w:r w:rsidR="001C19F3">
          <w:rPr>
            <w:noProof/>
            <w:webHidden/>
          </w:rPr>
          <w:fldChar w:fldCharType="separate"/>
        </w:r>
        <w:r w:rsidR="001C19F3">
          <w:rPr>
            <w:noProof/>
            <w:webHidden/>
          </w:rPr>
          <w:t>23</w:t>
        </w:r>
        <w:r w:rsidR="001C19F3">
          <w:rPr>
            <w:noProof/>
            <w:webHidden/>
          </w:rPr>
          <w:fldChar w:fldCharType="end"/>
        </w:r>
      </w:hyperlink>
    </w:p>
    <w:p w14:paraId="41BD5809"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58" w:history="1">
        <w:r w:rsidR="001C19F3" w:rsidRPr="00C43164">
          <w:rPr>
            <w:rStyle w:val="Hyperlink"/>
            <w:noProof/>
          </w:rPr>
          <w:t>Sources of practice extracts</w:t>
        </w:r>
        <w:r w:rsidR="001C19F3">
          <w:rPr>
            <w:noProof/>
            <w:webHidden/>
          </w:rPr>
          <w:tab/>
        </w:r>
        <w:r w:rsidR="001C19F3">
          <w:rPr>
            <w:noProof/>
            <w:webHidden/>
          </w:rPr>
          <w:fldChar w:fldCharType="begin"/>
        </w:r>
        <w:r w:rsidR="001C19F3">
          <w:rPr>
            <w:noProof/>
            <w:webHidden/>
          </w:rPr>
          <w:instrText xml:space="preserve"> PAGEREF _Toc27058958 \h </w:instrText>
        </w:r>
        <w:r w:rsidR="001C19F3">
          <w:rPr>
            <w:noProof/>
            <w:webHidden/>
          </w:rPr>
        </w:r>
        <w:r w:rsidR="001C19F3">
          <w:rPr>
            <w:noProof/>
            <w:webHidden/>
          </w:rPr>
          <w:fldChar w:fldCharType="separate"/>
        </w:r>
        <w:r w:rsidR="001C19F3">
          <w:rPr>
            <w:noProof/>
            <w:webHidden/>
          </w:rPr>
          <w:t>24</w:t>
        </w:r>
        <w:r w:rsidR="001C19F3">
          <w:rPr>
            <w:noProof/>
            <w:webHidden/>
          </w:rPr>
          <w:fldChar w:fldCharType="end"/>
        </w:r>
      </w:hyperlink>
    </w:p>
    <w:p w14:paraId="17E73B39"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59" w:history="1">
        <w:r w:rsidR="001C19F3" w:rsidRPr="00C43164">
          <w:rPr>
            <w:rStyle w:val="Hyperlink"/>
            <w:noProof/>
          </w:rPr>
          <w:t>Patient information within practice extracts</w:t>
        </w:r>
        <w:r w:rsidR="001C19F3">
          <w:rPr>
            <w:noProof/>
            <w:webHidden/>
          </w:rPr>
          <w:tab/>
        </w:r>
        <w:r w:rsidR="001C19F3">
          <w:rPr>
            <w:noProof/>
            <w:webHidden/>
          </w:rPr>
          <w:fldChar w:fldCharType="begin"/>
        </w:r>
        <w:r w:rsidR="001C19F3">
          <w:rPr>
            <w:noProof/>
            <w:webHidden/>
          </w:rPr>
          <w:instrText xml:space="preserve"> PAGEREF _Toc27058959 \h </w:instrText>
        </w:r>
        <w:r w:rsidR="001C19F3">
          <w:rPr>
            <w:noProof/>
            <w:webHidden/>
          </w:rPr>
        </w:r>
        <w:r w:rsidR="001C19F3">
          <w:rPr>
            <w:noProof/>
            <w:webHidden/>
          </w:rPr>
          <w:fldChar w:fldCharType="separate"/>
        </w:r>
        <w:r w:rsidR="001C19F3">
          <w:rPr>
            <w:noProof/>
            <w:webHidden/>
          </w:rPr>
          <w:t>26</w:t>
        </w:r>
        <w:r w:rsidR="001C19F3">
          <w:rPr>
            <w:noProof/>
            <w:webHidden/>
          </w:rPr>
          <w:fldChar w:fldCharType="end"/>
        </w:r>
      </w:hyperlink>
    </w:p>
    <w:p w14:paraId="1CD7A70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60" w:history="1">
        <w:r w:rsidR="001C19F3" w:rsidRPr="00C43164">
          <w:rPr>
            <w:rStyle w:val="Hyperlink"/>
            <w:noProof/>
          </w:rPr>
          <w:t>Variation in capture of patient information</w:t>
        </w:r>
        <w:r w:rsidR="001C19F3">
          <w:rPr>
            <w:noProof/>
            <w:webHidden/>
          </w:rPr>
          <w:tab/>
        </w:r>
        <w:r w:rsidR="001C19F3">
          <w:rPr>
            <w:noProof/>
            <w:webHidden/>
          </w:rPr>
          <w:fldChar w:fldCharType="begin"/>
        </w:r>
        <w:r w:rsidR="001C19F3">
          <w:rPr>
            <w:noProof/>
            <w:webHidden/>
          </w:rPr>
          <w:instrText xml:space="preserve"> PAGEREF _Toc27058960 \h </w:instrText>
        </w:r>
        <w:r w:rsidR="001C19F3">
          <w:rPr>
            <w:noProof/>
            <w:webHidden/>
          </w:rPr>
        </w:r>
        <w:r w:rsidR="001C19F3">
          <w:rPr>
            <w:noProof/>
            <w:webHidden/>
          </w:rPr>
          <w:fldChar w:fldCharType="separate"/>
        </w:r>
        <w:r w:rsidR="001C19F3">
          <w:rPr>
            <w:noProof/>
            <w:webHidden/>
          </w:rPr>
          <w:t>28</w:t>
        </w:r>
        <w:r w:rsidR="001C19F3">
          <w:rPr>
            <w:noProof/>
            <w:webHidden/>
          </w:rPr>
          <w:fldChar w:fldCharType="end"/>
        </w:r>
      </w:hyperlink>
    </w:p>
    <w:p w14:paraId="1830005B"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61" w:history="1">
        <w:r w:rsidR="001C19F3" w:rsidRPr="00C43164">
          <w:rPr>
            <w:rStyle w:val="Hyperlink"/>
            <w:noProof/>
          </w:rPr>
          <w:t>Practice recording of HCH enrolments</w:t>
        </w:r>
        <w:r w:rsidR="001C19F3">
          <w:rPr>
            <w:noProof/>
            <w:webHidden/>
          </w:rPr>
          <w:tab/>
        </w:r>
        <w:r w:rsidR="001C19F3">
          <w:rPr>
            <w:noProof/>
            <w:webHidden/>
          </w:rPr>
          <w:fldChar w:fldCharType="begin"/>
        </w:r>
        <w:r w:rsidR="001C19F3">
          <w:rPr>
            <w:noProof/>
            <w:webHidden/>
          </w:rPr>
          <w:instrText xml:space="preserve"> PAGEREF _Toc27058961 \h </w:instrText>
        </w:r>
        <w:r w:rsidR="001C19F3">
          <w:rPr>
            <w:noProof/>
            <w:webHidden/>
          </w:rPr>
        </w:r>
        <w:r w:rsidR="001C19F3">
          <w:rPr>
            <w:noProof/>
            <w:webHidden/>
          </w:rPr>
          <w:fldChar w:fldCharType="separate"/>
        </w:r>
        <w:r w:rsidR="001C19F3">
          <w:rPr>
            <w:noProof/>
            <w:webHidden/>
          </w:rPr>
          <w:t>32</w:t>
        </w:r>
        <w:r w:rsidR="001C19F3">
          <w:rPr>
            <w:noProof/>
            <w:webHidden/>
          </w:rPr>
          <w:fldChar w:fldCharType="end"/>
        </w:r>
      </w:hyperlink>
    </w:p>
    <w:p w14:paraId="048A4EB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62" w:history="1">
        <w:r w:rsidR="001C19F3" w:rsidRPr="00C43164">
          <w:rPr>
            <w:rStyle w:val="Hyperlink"/>
            <w:noProof/>
          </w:rPr>
          <w:t>Patient health conditions</w:t>
        </w:r>
        <w:r w:rsidR="001C19F3">
          <w:rPr>
            <w:noProof/>
            <w:webHidden/>
          </w:rPr>
          <w:tab/>
        </w:r>
        <w:r w:rsidR="001C19F3">
          <w:rPr>
            <w:noProof/>
            <w:webHidden/>
          </w:rPr>
          <w:fldChar w:fldCharType="begin"/>
        </w:r>
        <w:r w:rsidR="001C19F3">
          <w:rPr>
            <w:noProof/>
            <w:webHidden/>
          </w:rPr>
          <w:instrText xml:space="preserve"> PAGEREF _Toc27058962 \h </w:instrText>
        </w:r>
        <w:r w:rsidR="001C19F3">
          <w:rPr>
            <w:noProof/>
            <w:webHidden/>
          </w:rPr>
        </w:r>
        <w:r w:rsidR="001C19F3">
          <w:rPr>
            <w:noProof/>
            <w:webHidden/>
          </w:rPr>
          <w:fldChar w:fldCharType="separate"/>
        </w:r>
        <w:r w:rsidR="001C19F3">
          <w:rPr>
            <w:noProof/>
            <w:webHidden/>
          </w:rPr>
          <w:t>35</w:t>
        </w:r>
        <w:r w:rsidR="001C19F3">
          <w:rPr>
            <w:noProof/>
            <w:webHidden/>
          </w:rPr>
          <w:fldChar w:fldCharType="end"/>
        </w:r>
      </w:hyperlink>
    </w:p>
    <w:p w14:paraId="48FBA4E4"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63" w:history="1">
        <w:r w:rsidR="001C19F3" w:rsidRPr="00C43164">
          <w:rPr>
            <w:rStyle w:val="Hyperlink"/>
            <w:noProof/>
          </w:rPr>
          <w:t>Quality of care received by HCH patients</w:t>
        </w:r>
        <w:r w:rsidR="001C19F3">
          <w:rPr>
            <w:noProof/>
            <w:webHidden/>
          </w:rPr>
          <w:tab/>
        </w:r>
        <w:r w:rsidR="001C19F3">
          <w:rPr>
            <w:noProof/>
            <w:webHidden/>
          </w:rPr>
          <w:fldChar w:fldCharType="begin"/>
        </w:r>
        <w:r w:rsidR="001C19F3">
          <w:rPr>
            <w:noProof/>
            <w:webHidden/>
          </w:rPr>
          <w:instrText xml:space="preserve"> PAGEREF _Toc27058963 \h </w:instrText>
        </w:r>
        <w:r w:rsidR="001C19F3">
          <w:rPr>
            <w:noProof/>
            <w:webHidden/>
          </w:rPr>
        </w:r>
        <w:r w:rsidR="001C19F3">
          <w:rPr>
            <w:noProof/>
            <w:webHidden/>
          </w:rPr>
          <w:fldChar w:fldCharType="separate"/>
        </w:r>
        <w:r w:rsidR="001C19F3">
          <w:rPr>
            <w:noProof/>
            <w:webHidden/>
          </w:rPr>
          <w:t>36</w:t>
        </w:r>
        <w:r w:rsidR="001C19F3">
          <w:rPr>
            <w:noProof/>
            <w:webHidden/>
          </w:rPr>
          <w:fldChar w:fldCharType="end"/>
        </w:r>
      </w:hyperlink>
    </w:p>
    <w:p w14:paraId="78F19ECF"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64" w:history="1">
        <w:r w:rsidR="001C19F3" w:rsidRPr="00C43164">
          <w:rPr>
            <w:rStyle w:val="Hyperlink"/>
            <w:noProof/>
          </w:rPr>
          <w:t>Use of GP services by HCH patients</w:t>
        </w:r>
        <w:r w:rsidR="001C19F3">
          <w:rPr>
            <w:noProof/>
            <w:webHidden/>
          </w:rPr>
          <w:tab/>
        </w:r>
        <w:r w:rsidR="001C19F3">
          <w:rPr>
            <w:noProof/>
            <w:webHidden/>
          </w:rPr>
          <w:fldChar w:fldCharType="begin"/>
        </w:r>
        <w:r w:rsidR="001C19F3">
          <w:rPr>
            <w:noProof/>
            <w:webHidden/>
          </w:rPr>
          <w:instrText xml:space="preserve"> PAGEREF _Toc27058964 \h </w:instrText>
        </w:r>
        <w:r w:rsidR="001C19F3">
          <w:rPr>
            <w:noProof/>
            <w:webHidden/>
          </w:rPr>
        </w:r>
        <w:r w:rsidR="001C19F3">
          <w:rPr>
            <w:noProof/>
            <w:webHidden/>
          </w:rPr>
          <w:fldChar w:fldCharType="separate"/>
        </w:r>
        <w:r w:rsidR="001C19F3">
          <w:rPr>
            <w:noProof/>
            <w:webHidden/>
          </w:rPr>
          <w:t>38</w:t>
        </w:r>
        <w:r w:rsidR="001C19F3">
          <w:rPr>
            <w:noProof/>
            <w:webHidden/>
          </w:rPr>
          <w:fldChar w:fldCharType="end"/>
        </w:r>
      </w:hyperlink>
    </w:p>
    <w:p w14:paraId="68665F30"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65" w:history="1">
        <w:r w:rsidR="001C19F3" w:rsidRPr="00C43164">
          <w:rPr>
            <w:rStyle w:val="Hyperlink"/>
            <w:noProof/>
          </w:rPr>
          <w:t>6.</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Risk stratification</w:t>
        </w:r>
        <w:r w:rsidR="001C19F3">
          <w:rPr>
            <w:noProof/>
            <w:webHidden/>
          </w:rPr>
          <w:tab/>
        </w:r>
        <w:r w:rsidR="001C19F3">
          <w:rPr>
            <w:noProof/>
            <w:webHidden/>
          </w:rPr>
          <w:fldChar w:fldCharType="begin"/>
        </w:r>
        <w:r w:rsidR="001C19F3">
          <w:rPr>
            <w:noProof/>
            <w:webHidden/>
          </w:rPr>
          <w:instrText xml:space="preserve"> PAGEREF _Toc27058965 \h </w:instrText>
        </w:r>
        <w:r w:rsidR="001C19F3">
          <w:rPr>
            <w:noProof/>
            <w:webHidden/>
          </w:rPr>
        </w:r>
        <w:r w:rsidR="001C19F3">
          <w:rPr>
            <w:noProof/>
            <w:webHidden/>
          </w:rPr>
          <w:fldChar w:fldCharType="separate"/>
        </w:r>
        <w:r w:rsidR="001C19F3">
          <w:rPr>
            <w:noProof/>
            <w:webHidden/>
          </w:rPr>
          <w:t>40</w:t>
        </w:r>
        <w:r w:rsidR="001C19F3">
          <w:rPr>
            <w:noProof/>
            <w:webHidden/>
          </w:rPr>
          <w:fldChar w:fldCharType="end"/>
        </w:r>
      </w:hyperlink>
    </w:p>
    <w:p w14:paraId="3A5E952C"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66" w:history="1">
        <w:r w:rsidR="001C19F3" w:rsidRPr="00C43164">
          <w:rPr>
            <w:rStyle w:val="Hyperlink"/>
            <w:noProof/>
          </w:rPr>
          <w:t>7.</w:t>
        </w:r>
        <w:r w:rsidR="001C19F3">
          <w:rPr>
            <w:rFonts w:asciiTheme="minorHAnsi" w:eastAsiaTheme="minorEastAsia" w:hAnsiTheme="minorHAnsi" w:cstheme="minorBidi"/>
            <w:i w:val="0"/>
            <w:noProof/>
            <w:color w:val="auto"/>
            <w:sz w:val="22"/>
            <w:lang w:val="en-AU" w:eastAsia="en-AU"/>
          </w:rPr>
          <w:tab/>
        </w:r>
        <w:r w:rsidR="001C19F3" w:rsidRPr="00C43164">
          <w:rPr>
            <w:rStyle w:val="Hyperlink"/>
            <w:noProof/>
          </w:rPr>
          <w:t>Community pharmacy in HCH</w:t>
        </w:r>
        <w:r w:rsidR="001C19F3">
          <w:rPr>
            <w:noProof/>
            <w:webHidden/>
          </w:rPr>
          <w:tab/>
        </w:r>
        <w:r w:rsidR="001C19F3">
          <w:rPr>
            <w:noProof/>
            <w:webHidden/>
          </w:rPr>
          <w:fldChar w:fldCharType="begin"/>
        </w:r>
        <w:r w:rsidR="001C19F3">
          <w:rPr>
            <w:noProof/>
            <w:webHidden/>
          </w:rPr>
          <w:instrText xml:space="preserve"> PAGEREF _Toc27058966 \h </w:instrText>
        </w:r>
        <w:r w:rsidR="001C19F3">
          <w:rPr>
            <w:noProof/>
            <w:webHidden/>
          </w:rPr>
        </w:r>
        <w:r w:rsidR="001C19F3">
          <w:rPr>
            <w:noProof/>
            <w:webHidden/>
          </w:rPr>
          <w:fldChar w:fldCharType="separate"/>
        </w:r>
        <w:r w:rsidR="001C19F3">
          <w:rPr>
            <w:noProof/>
            <w:webHidden/>
          </w:rPr>
          <w:t>44</w:t>
        </w:r>
        <w:r w:rsidR="001C19F3">
          <w:rPr>
            <w:noProof/>
            <w:webHidden/>
          </w:rPr>
          <w:fldChar w:fldCharType="end"/>
        </w:r>
      </w:hyperlink>
    </w:p>
    <w:p w14:paraId="598D7F91"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67" w:history="1">
        <w:r w:rsidR="001C19F3" w:rsidRPr="00C43164">
          <w:rPr>
            <w:rStyle w:val="Hyperlink"/>
            <w:noProof/>
          </w:rPr>
          <w:t>References</w:t>
        </w:r>
        <w:r w:rsidR="001C19F3">
          <w:rPr>
            <w:noProof/>
            <w:webHidden/>
          </w:rPr>
          <w:tab/>
        </w:r>
        <w:r w:rsidR="001C19F3">
          <w:rPr>
            <w:noProof/>
            <w:webHidden/>
          </w:rPr>
          <w:fldChar w:fldCharType="begin"/>
        </w:r>
        <w:r w:rsidR="001C19F3">
          <w:rPr>
            <w:noProof/>
            <w:webHidden/>
          </w:rPr>
          <w:instrText xml:space="preserve"> PAGEREF _Toc27058967 \h </w:instrText>
        </w:r>
        <w:r w:rsidR="001C19F3">
          <w:rPr>
            <w:noProof/>
            <w:webHidden/>
          </w:rPr>
        </w:r>
        <w:r w:rsidR="001C19F3">
          <w:rPr>
            <w:noProof/>
            <w:webHidden/>
          </w:rPr>
          <w:fldChar w:fldCharType="separate"/>
        </w:r>
        <w:r w:rsidR="001C19F3">
          <w:rPr>
            <w:noProof/>
            <w:webHidden/>
          </w:rPr>
          <w:t>46</w:t>
        </w:r>
        <w:r w:rsidR="001C19F3">
          <w:rPr>
            <w:noProof/>
            <w:webHidden/>
          </w:rPr>
          <w:fldChar w:fldCharType="end"/>
        </w:r>
      </w:hyperlink>
    </w:p>
    <w:p w14:paraId="2463BB90"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68" w:history="1">
        <w:r w:rsidR="001C19F3" w:rsidRPr="00C43164">
          <w:rPr>
            <w:rStyle w:val="Hyperlink"/>
            <w:noProof/>
          </w:rPr>
          <w:t>Appendix 1 – Practice surveys: Additional tables</w:t>
        </w:r>
        <w:r w:rsidR="001C19F3">
          <w:rPr>
            <w:noProof/>
            <w:webHidden/>
          </w:rPr>
          <w:tab/>
        </w:r>
        <w:r w:rsidR="001C19F3">
          <w:rPr>
            <w:noProof/>
            <w:webHidden/>
          </w:rPr>
          <w:fldChar w:fldCharType="begin"/>
        </w:r>
        <w:r w:rsidR="001C19F3">
          <w:rPr>
            <w:noProof/>
            <w:webHidden/>
          </w:rPr>
          <w:instrText xml:space="preserve"> PAGEREF _Toc27058968 \h </w:instrText>
        </w:r>
        <w:r w:rsidR="001C19F3">
          <w:rPr>
            <w:noProof/>
            <w:webHidden/>
          </w:rPr>
        </w:r>
        <w:r w:rsidR="001C19F3">
          <w:rPr>
            <w:noProof/>
            <w:webHidden/>
          </w:rPr>
          <w:fldChar w:fldCharType="separate"/>
        </w:r>
        <w:r w:rsidR="001C19F3">
          <w:rPr>
            <w:noProof/>
            <w:webHidden/>
          </w:rPr>
          <w:t>47</w:t>
        </w:r>
        <w:r w:rsidR="001C19F3">
          <w:rPr>
            <w:noProof/>
            <w:webHidden/>
          </w:rPr>
          <w:fldChar w:fldCharType="end"/>
        </w:r>
      </w:hyperlink>
    </w:p>
    <w:p w14:paraId="211F4DA5"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69" w:history="1">
        <w:r w:rsidR="001C19F3" w:rsidRPr="00C43164">
          <w:rPr>
            <w:rStyle w:val="Hyperlink"/>
            <w:noProof/>
          </w:rPr>
          <w:t>Appendix 2 – Practice staff surveys: Additional tables and figures</w:t>
        </w:r>
        <w:r w:rsidR="001C19F3">
          <w:rPr>
            <w:noProof/>
            <w:webHidden/>
          </w:rPr>
          <w:tab/>
        </w:r>
        <w:r w:rsidR="001C19F3">
          <w:rPr>
            <w:noProof/>
            <w:webHidden/>
          </w:rPr>
          <w:fldChar w:fldCharType="begin"/>
        </w:r>
        <w:r w:rsidR="001C19F3">
          <w:rPr>
            <w:noProof/>
            <w:webHidden/>
          </w:rPr>
          <w:instrText xml:space="preserve"> PAGEREF _Toc27058969 \h </w:instrText>
        </w:r>
        <w:r w:rsidR="001C19F3">
          <w:rPr>
            <w:noProof/>
            <w:webHidden/>
          </w:rPr>
        </w:r>
        <w:r w:rsidR="001C19F3">
          <w:rPr>
            <w:noProof/>
            <w:webHidden/>
          </w:rPr>
          <w:fldChar w:fldCharType="separate"/>
        </w:r>
        <w:r w:rsidR="001C19F3">
          <w:rPr>
            <w:noProof/>
            <w:webHidden/>
          </w:rPr>
          <w:t>69</w:t>
        </w:r>
        <w:r w:rsidR="001C19F3">
          <w:rPr>
            <w:noProof/>
            <w:webHidden/>
          </w:rPr>
          <w:fldChar w:fldCharType="end"/>
        </w:r>
      </w:hyperlink>
    </w:p>
    <w:p w14:paraId="48F26D9C"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70" w:history="1">
        <w:r w:rsidR="001C19F3" w:rsidRPr="00C43164">
          <w:rPr>
            <w:rStyle w:val="Hyperlink"/>
            <w:noProof/>
          </w:rPr>
          <w:t>Appendix 3 – Patient surveys: Additional tables</w:t>
        </w:r>
        <w:r w:rsidR="001C19F3">
          <w:rPr>
            <w:noProof/>
            <w:webHidden/>
          </w:rPr>
          <w:tab/>
        </w:r>
        <w:r w:rsidR="001C19F3">
          <w:rPr>
            <w:noProof/>
            <w:webHidden/>
          </w:rPr>
          <w:fldChar w:fldCharType="begin"/>
        </w:r>
        <w:r w:rsidR="001C19F3">
          <w:rPr>
            <w:noProof/>
            <w:webHidden/>
          </w:rPr>
          <w:instrText xml:space="preserve"> PAGEREF _Toc27058970 \h </w:instrText>
        </w:r>
        <w:r w:rsidR="001C19F3">
          <w:rPr>
            <w:noProof/>
            <w:webHidden/>
          </w:rPr>
        </w:r>
        <w:r w:rsidR="001C19F3">
          <w:rPr>
            <w:noProof/>
            <w:webHidden/>
          </w:rPr>
          <w:fldChar w:fldCharType="separate"/>
        </w:r>
        <w:r w:rsidR="001C19F3">
          <w:rPr>
            <w:noProof/>
            <w:webHidden/>
          </w:rPr>
          <w:t>76</w:t>
        </w:r>
        <w:r w:rsidR="001C19F3">
          <w:rPr>
            <w:noProof/>
            <w:webHidden/>
          </w:rPr>
          <w:fldChar w:fldCharType="end"/>
        </w:r>
      </w:hyperlink>
    </w:p>
    <w:p w14:paraId="1763DC21"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71" w:history="1">
        <w:r w:rsidR="001C19F3" w:rsidRPr="00C43164">
          <w:rPr>
            <w:rStyle w:val="Hyperlink"/>
            <w:noProof/>
          </w:rPr>
          <w:t>Part A: Cross tabulations by patient tier and practice size</w:t>
        </w:r>
        <w:r w:rsidR="001C19F3">
          <w:rPr>
            <w:noProof/>
            <w:webHidden/>
          </w:rPr>
          <w:tab/>
        </w:r>
        <w:r w:rsidR="001C19F3">
          <w:rPr>
            <w:noProof/>
            <w:webHidden/>
          </w:rPr>
          <w:fldChar w:fldCharType="begin"/>
        </w:r>
        <w:r w:rsidR="001C19F3">
          <w:rPr>
            <w:noProof/>
            <w:webHidden/>
          </w:rPr>
          <w:instrText xml:space="preserve"> PAGEREF _Toc27058971 \h </w:instrText>
        </w:r>
        <w:r w:rsidR="001C19F3">
          <w:rPr>
            <w:noProof/>
            <w:webHidden/>
          </w:rPr>
        </w:r>
        <w:r w:rsidR="001C19F3">
          <w:rPr>
            <w:noProof/>
            <w:webHidden/>
          </w:rPr>
          <w:fldChar w:fldCharType="separate"/>
        </w:r>
        <w:r w:rsidR="001C19F3">
          <w:rPr>
            <w:noProof/>
            <w:webHidden/>
          </w:rPr>
          <w:t>76</w:t>
        </w:r>
        <w:r w:rsidR="001C19F3">
          <w:rPr>
            <w:noProof/>
            <w:webHidden/>
          </w:rPr>
          <w:fldChar w:fldCharType="end"/>
        </w:r>
      </w:hyperlink>
    </w:p>
    <w:p w14:paraId="6D00AB63" w14:textId="77777777" w:rsidR="001C19F3" w:rsidRDefault="00831110" w:rsidP="001C19F3">
      <w:pPr>
        <w:pStyle w:val="TOC2"/>
        <w:tabs>
          <w:tab w:val="right" w:leader="dot" w:pos="9016"/>
        </w:tabs>
        <w:rPr>
          <w:rFonts w:asciiTheme="minorHAnsi" w:eastAsiaTheme="minorEastAsia" w:hAnsiTheme="minorHAnsi" w:cstheme="minorBidi"/>
          <w:noProof/>
          <w:color w:val="auto"/>
          <w:sz w:val="22"/>
          <w:lang w:eastAsia="en-AU"/>
        </w:rPr>
      </w:pPr>
      <w:hyperlink w:anchor="_Toc27058972" w:history="1">
        <w:r w:rsidR="001C19F3" w:rsidRPr="00C43164">
          <w:rPr>
            <w:rStyle w:val="Hyperlink"/>
            <w:noProof/>
          </w:rPr>
          <w:t>Part B: Cross tabulations by ownership type and location</w:t>
        </w:r>
        <w:r w:rsidR="001C19F3">
          <w:rPr>
            <w:noProof/>
            <w:webHidden/>
          </w:rPr>
          <w:tab/>
        </w:r>
        <w:r w:rsidR="001C19F3">
          <w:rPr>
            <w:noProof/>
            <w:webHidden/>
          </w:rPr>
          <w:fldChar w:fldCharType="begin"/>
        </w:r>
        <w:r w:rsidR="001C19F3">
          <w:rPr>
            <w:noProof/>
            <w:webHidden/>
          </w:rPr>
          <w:instrText xml:space="preserve"> PAGEREF _Toc27058972 \h </w:instrText>
        </w:r>
        <w:r w:rsidR="001C19F3">
          <w:rPr>
            <w:noProof/>
            <w:webHidden/>
          </w:rPr>
        </w:r>
        <w:r w:rsidR="001C19F3">
          <w:rPr>
            <w:noProof/>
            <w:webHidden/>
          </w:rPr>
          <w:fldChar w:fldCharType="separate"/>
        </w:r>
        <w:r w:rsidR="001C19F3">
          <w:rPr>
            <w:noProof/>
            <w:webHidden/>
          </w:rPr>
          <w:t>98</w:t>
        </w:r>
        <w:r w:rsidR="001C19F3">
          <w:rPr>
            <w:noProof/>
            <w:webHidden/>
          </w:rPr>
          <w:fldChar w:fldCharType="end"/>
        </w:r>
      </w:hyperlink>
    </w:p>
    <w:p w14:paraId="4DBBE728"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73" w:history="1">
        <w:r w:rsidR="001C19F3" w:rsidRPr="00C43164">
          <w:rPr>
            <w:rStyle w:val="Hyperlink"/>
            <w:noProof/>
          </w:rPr>
          <w:t>Appendix 4 – Risk stratification data: Additional tables</w:t>
        </w:r>
        <w:r w:rsidR="001C19F3">
          <w:rPr>
            <w:noProof/>
            <w:webHidden/>
          </w:rPr>
          <w:tab/>
        </w:r>
        <w:r w:rsidR="001C19F3">
          <w:rPr>
            <w:noProof/>
            <w:webHidden/>
          </w:rPr>
          <w:fldChar w:fldCharType="begin"/>
        </w:r>
        <w:r w:rsidR="001C19F3">
          <w:rPr>
            <w:noProof/>
            <w:webHidden/>
          </w:rPr>
          <w:instrText xml:space="preserve"> PAGEREF _Toc27058973 \h </w:instrText>
        </w:r>
        <w:r w:rsidR="001C19F3">
          <w:rPr>
            <w:noProof/>
            <w:webHidden/>
          </w:rPr>
        </w:r>
        <w:r w:rsidR="001C19F3">
          <w:rPr>
            <w:noProof/>
            <w:webHidden/>
          </w:rPr>
          <w:fldChar w:fldCharType="separate"/>
        </w:r>
        <w:r w:rsidR="001C19F3">
          <w:rPr>
            <w:noProof/>
            <w:webHidden/>
          </w:rPr>
          <w:t>120</w:t>
        </w:r>
        <w:r w:rsidR="001C19F3">
          <w:rPr>
            <w:noProof/>
            <w:webHidden/>
          </w:rPr>
          <w:fldChar w:fldCharType="end"/>
        </w:r>
      </w:hyperlink>
    </w:p>
    <w:p w14:paraId="3C9FBC7A"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74" w:history="1">
        <w:r w:rsidR="001C19F3" w:rsidRPr="00C43164">
          <w:rPr>
            <w:rStyle w:val="Hyperlink"/>
            <w:noProof/>
          </w:rPr>
          <w:t>Appendix 5 – Community Pharmacy in HCH Trial: Additional tables</w:t>
        </w:r>
        <w:r w:rsidR="001C19F3">
          <w:rPr>
            <w:noProof/>
            <w:webHidden/>
          </w:rPr>
          <w:tab/>
        </w:r>
        <w:r w:rsidR="001C19F3">
          <w:rPr>
            <w:noProof/>
            <w:webHidden/>
          </w:rPr>
          <w:fldChar w:fldCharType="begin"/>
        </w:r>
        <w:r w:rsidR="001C19F3">
          <w:rPr>
            <w:noProof/>
            <w:webHidden/>
          </w:rPr>
          <w:instrText xml:space="preserve"> PAGEREF _Toc27058974 \h </w:instrText>
        </w:r>
        <w:r w:rsidR="001C19F3">
          <w:rPr>
            <w:noProof/>
            <w:webHidden/>
          </w:rPr>
        </w:r>
        <w:r w:rsidR="001C19F3">
          <w:rPr>
            <w:noProof/>
            <w:webHidden/>
          </w:rPr>
          <w:fldChar w:fldCharType="separate"/>
        </w:r>
        <w:r w:rsidR="001C19F3">
          <w:rPr>
            <w:noProof/>
            <w:webHidden/>
          </w:rPr>
          <w:t>126</w:t>
        </w:r>
        <w:r w:rsidR="001C19F3">
          <w:rPr>
            <w:noProof/>
            <w:webHidden/>
          </w:rPr>
          <w:fldChar w:fldCharType="end"/>
        </w:r>
      </w:hyperlink>
    </w:p>
    <w:p w14:paraId="570E7115" w14:textId="77777777" w:rsidR="001C19F3" w:rsidRDefault="00831110" w:rsidP="001C19F3">
      <w:pPr>
        <w:pStyle w:val="TOC1"/>
        <w:rPr>
          <w:rFonts w:asciiTheme="minorHAnsi" w:eastAsiaTheme="minorEastAsia" w:hAnsiTheme="minorHAnsi" w:cstheme="minorBidi"/>
          <w:i w:val="0"/>
          <w:noProof/>
          <w:color w:val="auto"/>
          <w:sz w:val="22"/>
          <w:lang w:val="en-AU" w:eastAsia="en-AU"/>
        </w:rPr>
      </w:pPr>
      <w:hyperlink w:anchor="_Toc27058975" w:history="1">
        <w:r w:rsidR="001C19F3" w:rsidRPr="00C43164">
          <w:rPr>
            <w:rStyle w:val="Hyperlink"/>
            <w:noProof/>
          </w:rPr>
          <w:t>Appendix 6 – SNOMED-CT textual descriptions</w:t>
        </w:r>
        <w:r w:rsidR="001C19F3">
          <w:rPr>
            <w:noProof/>
            <w:webHidden/>
          </w:rPr>
          <w:tab/>
        </w:r>
        <w:r w:rsidR="001C19F3">
          <w:rPr>
            <w:noProof/>
            <w:webHidden/>
          </w:rPr>
          <w:fldChar w:fldCharType="begin"/>
        </w:r>
        <w:r w:rsidR="001C19F3">
          <w:rPr>
            <w:noProof/>
            <w:webHidden/>
          </w:rPr>
          <w:instrText xml:space="preserve"> PAGEREF _Toc27058975 \h </w:instrText>
        </w:r>
        <w:r w:rsidR="001C19F3">
          <w:rPr>
            <w:noProof/>
            <w:webHidden/>
          </w:rPr>
        </w:r>
        <w:r w:rsidR="001C19F3">
          <w:rPr>
            <w:noProof/>
            <w:webHidden/>
          </w:rPr>
          <w:fldChar w:fldCharType="separate"/>
        </w:r>
        <w:r w:rsidR="001C19F3">
          <w:rPr>
            <w:noProof/>
            <w:webHidden/>
          </w:rPr>
          <w:t>131</w:t>
        </w:r>
        <w:r w:rsidR="001C19F3">
          <w:rPr>
            <w:noProof/>
            <w:webHidden/>
          </w:rPr>
          <w:fldChar w:fldCharType="end"/>
        </w:r>
      </w:hyperlink>
    </w:p>
    <w:p w14:paraId="60150785" w14:textId="77777777" w:rsidR="001C19F3" w:rsidRPr="00541951" w:rsidRDefault="001C19F3" w:rsidP="001C19F3">
      <w:r>
        <w:rPr>
          <w:rFonts w:eastAsia="MS Mincho"/>
          <w:b/>
          <w:color w:val="003D79"/>
          <w:lang w:val="en-US"/>
        </w:rPr>
        <w:fldChar w:fldCharType="end"/>
      </w:r>
    </w:p>
    <w:p w14:paraId="21CE71CE" w14:textId="77777777" w:rsidR="001C19F3" w:rsidRPr="00C815DC" w:rsidRDefault="001C19F3" w:rsidP="001C19F3">
      <w:pPr>
        <w:sectPr w:rsidR="001C19F3" w:rsidRPr="00C815DC">
          <w:headerReference w:type="even" r:id="rId141"/>
          <w:headerReference w:type="default" r:id="rId142"/>
          <w:headerReference w:type="first" r:id="rId143"/>
          <w:footerReference w:type="first" r:id="rId144"/>
          <w:pgSz w:w="11906" w:h="16838"/>
          <w:pgMar w:top="1440" w:right="1440" w:bottom="1440" w:left="1440" w:header="708" w:footer="708" w:gutter="0"/>
          <w:cols w:space="708"/>
          <w:titlePg/>
          <w:docGrid w:linePitch="360"/>
        </w:sectPr>
      </w:pPr>
    </w:p>
    <w:p w14:paraId="07F0A250" w14:textId="77777777" w:rsidR="001C19F3" w:rsidRPr="00222B81" w:rsidRDefault="001C19F3" w:rsidP="001C19F3">
      <w:pPr>
        <w:pStyle w:val="Heading1nonumber"/>
        <w:rPr>
          <w:sz w:val="80"/>
          <w:szCs w:val="80"/>
        </w:rPr>
      </w:pPr>
      <w:bookmarkStart w:id="460" w:name="_Toc27058949"/>
      <w:r w:rsidRPr="00222B81">
        <w:rPr>
          <w:sz w:val="80"/>
          <w:szCs w:val="80"/>
        </w:rPr>
        <w:lastRenderedPageBreak/>
        <w:t>Acronyms and initialisms</w:t>
      </w:r>
      <w:bookmarkEnd w:id="460"/>
    </w:p>
    <w:p w14:paraId="358F8C90" w14:textId="77777777" w:rsidR="001C19F3" w:rsidRDefault="001C19F3" w:rsidP="001C19F3">
      <w:pPr>
        <w:spacing w:after="120"/>
        <w:ind w:left="1276" w:hanging="1276"/>
      </w:pPr>
      <w:r>
        <w:t xml:space="preserve">ACCHS </w:t>
      </w:r>
      <w:r>
        <w:tab/>
        <w:t>Aboriginal Community Controlled Health Service</w:t>
      </w:r>
    </w:p>
    <w:p w14:paraId="5F103E50" w14:textId="77777777" w:rsidR="001C19F3" w:rsidRDefault="001C19F3" w:rsidP="001C19F3">
      <w:pPr>
        <w:spacing w:after="120"/>
        <w:ind w:left="1276" w:hanging="1276"/>
      </w:pPr>
      <w:r>
        <w:t>AGPAL</w:t>
      </w:r>
      <w:r>
        <w:tab/>
      </w:r>
      <w:bookmarkStart w:id="461" w:name="_Hlk26879707"/>
      <w:r w:rsidRPr="00826B60">
        <w:t>Australian General Practi</w:t>
      </w:r>
      <w:r>
        <w:t>ce Accreditation Limited</w:t>
      </w:r>
      <w:bookmarkEnd w:id="461"/>
    </w:p>
    <w:p w14:paraId="0D336047" w14:textId="77777777" w:rsidR="001C19F3" w:rsidRDefault="001C19F3" w:rsidP="001C19F3">
      <w:pPr>
        <w:spacing w:after="120"/>
        <w:ind w:left="1276" w:hanging="1276"/>
      </w:pPr>
      <w:r>
        <w:t>AMS</w:t>
      </w:r>
      <w:r>
        <w:tab/>
        <w:t>Aboriginal Medical Service</w:t>
      </w:r>
    </w:p>
    <w:p w14:paraId="070135C6" w14:textId="77777777" w:rsidR="001C19F3" w:rsidRDefault="001C19F3" w:rsidP="001C19F3">
      <w:pPr>
        <w:spacing w:after="120"/>
        <w:ind w:left="1276" w:hanging="1276"/>
      </w:pPr>
      <w:r>
        <w:t>CATI</w:t>
      </w:r>
      <w:r>
        <w:tab/>
        <w:t>Computer Aided Telephone Interview</w:t>
      </w:r>
    </w:p>
    <w:p w14:paraId="5478A653" w14:textId="77777777" w:rsidR="001C19F3" w:rsidRPr="00D5456C" w:rsidRDefault="001C19F3" w:rsidP="001C19F3">
      <w:pPr>
        <w:spacing w:after="120"/>
        <w:ind w:left="1276" w:hanging="1276"/>
      </w:pPr>
      <w:r>
        <w:t>CHD</w:t>
      </w:r>
      <w:r>
        <w:tab/>
      </w:r>
      <w:r w:rsidRPr="00D5456C">
        <w:t>Coronary heart disease</w:t>
      </w:r>
    </w:p>
    <w:p w14:paraId="33919D3D" w14:textId="77777777" w:rsidR="001C19F3" w:rsidRDefault="001C19F3" w:rsidP="001C19F3">
      <w:pPr>
        <w:spacing w:after="120"/>
        <w:ind w:left="1276" w:hanging="1276"/>
      </w:pPr>
      <w:r>
        <w:t>CHF</w:t>
      </w:r>
      <w:r>
        <w:tab/>
      </w:r>
      <w:r w:rsidRPr="00D5456C">
        <w:t>Congestive heart failure</w:t>
      </w:r>
    </w:p>
    <w:p w14:paraId="7449F3E4" w14:textId="77777777" w:rsidR="001C19F3" w:rsidRPr="00D5456C" w:rsidRDefault="001C19F3" w:rsidP="001C19F3">
      <w:pPr>
        <w:spacing w:after="120"/>
        <w:ind w:left="1276" w:hanging="1276"/>
      </w:pPr>
      <w:r>
        <w:t>CKD</w:t>
      </w:r>
      <w:r>
        <w:tab/>
      </w:r>
      <w:r w:rsidRPr="00D5456C">
        <w:t>Chronic kidney disease</w:t>
      </w:r>
    </w:p>
    <w:p w14:paraId="541E5DA6" w14:textId="77777777" w:rsidR="001C19F3" w:rsidRDefault="001C19F3" w:rsidP="001C19F3">
      <w:pPr>
        <w:spacing w:after="120"/>
        <w:ind w:left="1276" w:hanging="1276"/>
      </w:pPr>
      <w:r>
        <w:t>COPD</w:t>
      </w:r>
      <w:r>
        <w:tab/>
      </w:r>
      <w:r w:rsidRPr="00DE0B8F">
        <w:t>Chronic obstructive pulmonary disease</w:t>
      </w:r>
    </w:p>
    <w:p w14:paraId="2BFB91D5" w14:textId="77777777" w:rsidR="001C19F3" w:rsidRDefault="001C19F3" w:rsidP="001C19F3">
      <w:pPr>
        <w:spacing w:after="120"/>
        <w:ind w:left="1276" w:hanging="1276"/>
      </w:pPr>
      <w:r>
        <w:t>EQ-5D-5L</w:t>
      </w:r>
      <w:r>
        <w:tab/>
      </w:r>
      <w:r w:rsidRPr="009408FE">
        <w:t>5-level EQ-5D version (</w:t>
      </w:r>
      <w:r>
        <w:t>quality of life instrument)</w:t>
      </w:r>
    </w:p>
    <w:p w14:paraId="6D165AC3" w14:textId="77777777" w:rsidR="001C19F3" w:rsidRDefault="001C19F3" w:rsidP="001C19F3">
      <w:pPr>
        <w:spacing w:after="120"/>
        <w:ind w:left="1276" w:hanging="1276"/>
      </w:pPr>
      <w:r>
        <w:t>FTE</w:t>
      </w:r>
      <w:r>
        <w:tab/>
        <w:t>Full time equivalent</w:t>
      </w:r>
    </w:p>
    <w:p w14:paraId="0DA4E87F" w14:textId="77777777" w:rsidR="001C19F3" w:rsidRDefault="001C19F3" w:rsidP="001C19F3">
      <w:pPr>
        <w:spacing w:after="120"/>
        <w:ind w:left="1276" w:hanging="1276"/>
      </w:pPr>
      <w:r w:rsidRPr="006D66DB">
        <w:t xml:space="preserve">GP </w:t>
      </w:r>
      <w:r w:rsidRPr="006D66DB">
        <w:tab/>
        <w:t>General practitioner</w:t>
      </w:r>
    </w:p>
    <w:p w14:paraId="0A781B25" w14:textId="77777777" w:rsidR="001C19F3" w:rsidRPr="006D66DB" w:rsidRDefault="001C19F3" w:rsidP="001C19F3">
      <w:pPr>
        <w:spacing w:after="120"/>
        <w:ind w:left="1276" w:hanging="1276"/>
      </w:pPr>
      <w:r>
        <w:t>HARP</w:t>
      </w:r>
      <w:r>
        <w:tab/>
        <w:t>Hospital Admissions Risk Program (tool)</w:t>
      </w:r>
    </w:p>
    <w:p w14:paraId="3CB60719" w14:textId="77777777" w:rsidR="001C19F3" w:rsidRDefault="001C19F3" w:rsidP="001C19F3">
      <w:pPr>
        <w:spacing w:after="120"/>
        <w:ind w:left="1276" w:hanging="1276"/>
      </w:pPr>
      <w:r>
        <w:t>HCH</w:t>
      </w:r>
      <w:r>
        <w:tab/>
        <w:t>Health Care Homes</w:t>
      </w:r>
    </w:p>
    <w:p w14:paraId="2E3B2DD0" w14:textId="77777777" w:rsidR="001C19F3" w:rsidRDefault="001C19F3" w:rsidP="001C19F3">
      <w:pPr>
        <w:spacing w:after="120"/>
        <w:ind w:left="1276" w:hanging="1276"/>
      </w:pPr>
      <w:r>
        <w:t>HCH-A</w:t>
      </w:r>
      <w:r>
        <w:tab/>
        <w:t>Health Care Homes Assessment (tool)</w:t>
      </w:r>
    </w:p>
    <w:p w14:paraId="2F595556" w14:textId="77777777" w:rsidR="001C19F3" w:rsidRDefault="001C19F3" w:rsidP="001C19F3">
      <w:pPr>
        <w:spacing w:after="120"/>
        <w:ind w:left="1276" w:hanging="1276"/>
      </w:pPr>
      <w:r>
        <w:t>HPOS</w:t>
      </w:r>
      <w:r>
        <w:tab/>
      </w:r>
      <w:r w:rsidRPr="00D75502">
        <w:t>Health Professionals Online Services</w:t>
      </w:r>
    </w:p>
    <w:p w14:paraId="112B96BE" w14:textId="77777777" w:rsidR="001C19F3" w:rsidRDefault="001C19F3" w:rsidP="001C19F3">
      <w:pPr>
        <w:spacing w:after="120"/>
        <w:ind w:left="1276" w:hanging="1276"/>
      </w:pPr>
      <w:r>
        <w:t>IT</w:t>
      </w:r>
      <w:r>
        <w:tab/>
        <w:t>Information technology</w:t>
      </w:r>
    </w:p>
    <w:p w14:paraId="5042A9F9" w14:textId="77777777" w:rsidR="001C19F3" w:rsidRPr="006D66DB" w:rsidRDefault="001C19F3" w:rsidP="001C19F3">
      <w:pPr>
        <w:spacing w:after="120"/>
        <w:ind w:left="1276" w:hanging="1276"/>
      </w:pPr>
      <w:r>
        <w:t>LHN</w:t>
      </w:r>
      <w:r>
        <w:tab/>
        <w:t>Local Hospital Network</w:t>
      </w:r>
    </w:p>
    <w:p w14:paraId="287FA314" w14:textId="77777777" w:rsidR="001C19F3" w:rsidRDefault="001C19F3" w:rsidP="001C19F3">
      <w:pPr>
        <w:spacing w:after="120"/>
        <w:ind w:left="1276" w:hanging="1276"/>
      </w:pPr>
      <w:r w:rsidRPr="006D66DB">
        <w:t>MBS</w:t>
      </w:r>
      <w:r w:rsidRPr="006D66DB">
        <w:tab/>
        <w:t>Medical Benefits Schedule</w:t>
      </w:r>
    </w:p>
    <w:p w14:paraId="43A00624" w14:textId="77777777" w:rsidR="001C19F3" w:rsidRDefault="001C19F3" w:rsidP="001C19F3">
      <w:pPr>
        <w:spacing w:after="120"/>
        <w:ind w:left="1276" w:hanging="1276"/>
      </w:pPr>
      <w:r>
        <w:t>MMM</w:t>
      </w:r>
      <w:r>
        <w:tab/>
        <w:t>Modified Monash Model (remoteness categorisation)</w:t>
      </w:r>
    </w:p>
    <w:p w14:paraId="6D185EAE" w14:textId="77777777" w:rsidR="001C19F3" w:rsidRDefault="001C19F3" w:rsidP="001C19F3">
      <w:pPr>
        <w:spacing w:after="120"/>
        <w:ind w:left="1276" w:hanging="1276"/>
      </w:pPr>
      <w:r>
        <w:t>NPS</w:t>
      </w:r>
      <w:r>
        <w:tab/>
        <w:t>National Prescribing Service</w:t>
      </w:r>
    </w:p>
    <w:p w14:paraId="5AF51D9D" w14:textId="77777777" w:rsidR="001C19F3" w:rsidRDefault="001C19F3" w:rsidP="001C19F3">
      <w:pPr>
        <w:spacing w:after="120"/>
        <w:ind w:left="1276" w:hanging="1276"/>
      </w:pPr>
      <w:r>
        <w:t>PACIC</w:t>
      </w:r>
      <w:r>
        <w:tab/>
        <w:t>Patient Assessment of Chronic Illness Care instrument</w:t>
      </w:r>
    </w:p>
    <w:p w14:paraId="087DF92A" w14:textId="77777777" w:rsidR="001C19F3" w:rsidRDefault="001C19F3" w:rsidP="001C19F3">
      <w:pPr>
        <w:spacing w:after="120"/>
        <w:ind w:left="1276" w:hanging="1276"/>
      </w:pPr>
      <w:r>
        <w:t>PAM</w:t>
      </w:r>
      <w:r>
        <w:tab/>
        <w:t>Patient Activation Measure</w:t>
      </w:r>
    </w:p>
    <w:p w14:paraId="63CC6DAA" w14:textId="77777777" w:rsidR="001C19F3" w:rsidRDefault="001C19F3" w:rsidP="001C19F3">
      <w:pPr>
        <w:spacing w:after="120"/>
        <w:ind w:left="1276" w:hanging="1276"/>
      </w:pPr>
      <w:r>
        <w:t>PCMH</w:t>
      </w:r>
      <w:r>
        <w:tab/>
        <w:t>Patient centred medical home</w:t>
      </w:r>
    </w:p>
    <w:p w14:paraId="3497EF72" w14:textId="77777777" w:rsidR="001C19F3" w:rsidRDefault="001C19F3" w:rsidP="001C19F3">
      <w:pPr>
        <w:spacing w:after="120"/>
        <w:ind w:left="1276" w:hanging="1276"/>
      </w:pPr>
      <w:r w:rsidRPr="006D66DB">
        <w:t>PBS</w:t>
      </w:r>
      <w:r w:rsidRPr="006D66DB">
        <w:tab/>
        <w:t>Pharmaceutical Benefits Schedule</w:t>
      </w:r>
    </w:p>
    <w:p w14:paraId="43C9B657" w14:textId="77777777" w:rsidR="001C19F3" w:rsidRDefault="001C19F3" w:rsidP="001C19F3">
      <w:pPr>
        <w:spacing w:after="120"/>
        <w:ind w:left="1276" w:hanging="1276"/>
      </w:pPr>
      <w:r>
        <w:t>PHN</w:t>
      </w:r>
      <w:r>
        <w:tab/>
        <w:t>Primary Health Network</w:t>
      </w:r>
    </w:p>
    <w:p w14:paraId="2C64FDD9" w14:textId="77777777" w:rsidR="001C19F3" w:rsidRDefault="001C19F3" w:rsidP="001C19F3">
      <w:pPr>
        <w:spacing w:after="120"/>
        <w:ind w:left="1276" w:hanging="1276"/>
      </w:pPr>
      <w:r>
        <w:t>PIP</w:t>
      </w:r>
      <w:r>
        <w:tab/>
        <w:t>Practice Incentive Program</w:t>
      </w:r>
    </w:p>
    <w:p w14:paraId="396B4A4B" w14:textId="77777777" w:rsidR="001C19F3" w:rsidRDefault="001C19F3" w:rsidP="001C19F3">
      <w:pPr>
        <w:spacing w:after="120"/>
        <w:ind w:left="1276" w:hanging="1276"/>
      </w:pPr>
      <w:r>
        <w:t>PIP QI</w:t>
      </w:r>
      <w:r>
        <w:tab/>
        <w:t>Practice Incentive Program Quality Indicators</w:t>
      </w:r>
    </w:p>
    <w:p w14:paraId="640DFEA1" w14:textId="77777777" w:rsidR="001C19F3" w:rsidRDefault="001C19F3" w:rsidP="001C19F3">
      <w:pPr>
        <w:spacing w:after="120"/>
        <w:ind w:left="1276" w:hanging="1276"/>
      </w:pPr>
      <w:r>
        <w:t>POC</w:t>
      </w:r>
      <w:r>
        <w:tab/>
      </w:r>
      <w:r w:rsidRPr="00D5456C">
        <w:t>Point of Care</w:t>
      </w:r>
    </w:p>
    <w:p w14:paraId="07EE4919" w14:textId="77777777" w:rsidR="001C19F3" w:rsidRDefault="001C19F3" w:rsidP="001C19F3">
      <w:pPr>
        <w:spacing w:after="120"/>
        <w:ind w:left="1276" w:hanging="1276"/>
      </w:pPr>
      <w:r>
        <w:t>POLAR</w:t>
      </w:r>
      <w:r>
        <w:tab/>
      </w:r>
      <w:bookmarkStart w:id="462" w:name="_Hlk26887891"/>
      <w:r>
        <w:t>Population Level Analysis and Reporting</w:t>
      </w:r>
      <w:bookmarkEnd w:id="462"/>
      <w:r>
        <w:t xml:space="preserve"> (practice data extraction tool)</w:t>
      </w:r>
    </w:p>
    <w:p w14:paraId="5B76F90E" w14:textId="77777777" w:rsidR="001C19F3" w:rsidRDefault="001C19F3" w:rsidP="001C19F3">
      <w:pPr>
        <w:spacing w:after="120"/>
        <w:ind w:left="1276" w:hanging="1276"/>
      </w:pPr>
      <w:r w:rsidRPr="00AD017C">
        <w:lastRenderedPageBreak/>
        <w:t>PRM</w:t>
      </w:r>
      <w:r w:rsidRPr="00AD017C">
        <w:tab/>
        <w:t>Predictive risk model</w:t>
      </w:r>
    </w:p>
    <w:p w14:paraId="7E3D7808" w14:textId="77777777" w:rsidR="001C19F3" w:rsidRDefault="001C19F3" w:rsidP="001C19F3">
      <w:pPr>
        <w:spacing w:after="120"/>
        <w:ind w:left="1276" w:hanging="1276"/>
      </w:pPr>
      <w:r>
        <w:t>R1</w:t>
      </w:r>
      <w:r>
        <w:tab/>
        <w:t>Round 1 of the evaluation. R2, R3, R4, R5 refer to rounds 2-5 respectively.</w:t>
      </w:r>
    </w:p>
    <w:p w14:paraId="1732C4F8" w14:textId="77777777" w:rsidR="001C19F3" w:rsidRPr="00D5456C" w:rsidRDefault="001C19F3" w:rsidP="001C19F3">
      <w:pPr>
        <w:spacing w:after="120"/>
        <w:ind w:left="1276" w:hanging="1276"/>
      </w:pPr>
      <w:r>
        <w:t>RHD</w:t>
      </w:r>
      <w:r>
        <w:tab/>
      </w:r>
      <w:r w:rsidRPr="00D5456C">
        <w:t>Rheumatic heart disease</w:t>
      </w:r>
    </w:p>
    <w:p w14:paraId="11BB0D87" w14:textId="77777777" w:rsidR="001C19F3" w:rsidRDefault="001C19F3" w:rsidP="001C19F3">
      <w:pPr>
        <w:spacing w:after="120"/>
        <w:ind w:left="1276" w:hanging="1276"/>
      </w:pPr>
      <w:r>
        <w:t>RST</w:t>
      </w:r>
      <w:r>
        <w:tab/>
        <w:t>Risk stratification tool</w:t>
      </w:r>
    </w:p>
    <w:p w14:paraId="5002A6B2" w14:textId="77777777" w:rsidR="001C19F3" w:rsidRDefault="001C19F3" w:rsidP="001C19F3">
      <w:pPr>
        <w:spacing w:after="120"/>
        <w:ind w:left="1276" w:hanging="1276"/>
      </w:pPr>
      <w:r>
        <w:t>SNOMED-CT</w:t>
      </w:r>
      <w:r>
        <w:tab/>
        <w:t>Systematized Nomenclature of Medicine-Clinical Terms</w:t>
      </w:r>
    </w:p>
    <w:p w14:paraId="10C1CC6A" w14:textId="77777777" w:rsidR="001C19F3" w:rsidRDefault="001C19F3" w:rsidP="001C19F3">
      <w:pPr>
        <w:spacing w:after="120"/>
        <w:ind w:left="1276" w:hanging="1276"/>
      </w:pPr>
      <w:r>
        <w:t>SURE</w:t>
      </w:r>
      <w:r>
        <w:tab/>
        <w:t>Secure Unified Research Environment</w:t>
      </w:r>
    </w:p>
    <w:p w14:paraId="75CBB880" w14:textId="77777777" w:rsidR="001C19F3" w:rsidRPr="00F94E66" w:rsidRDefault="001C19F3" w:rsidP="001C19F3">
      <w:pPr>
        <w:spacing w:after="120"/>
        <w:ind w:left="1276" w:hanging="1276"/>
      </w:pPr>
      <w:r>
        <w:t>TIA</w:t>
      </w:r>
      <w:r>
        <w:tab/>
      </w:r>
      <w:r w:rsidRPr="00D5456C">
        <w:t>Transient ischaemic attack</w:t>
      </w:r>
    </w:p>
    <w:p w14:paraId="2371F6F8" w14:textId="77777777" w:rsidR="001C19F3" w:rsidRDefault="001C19F3" w:rsidP="001C19F3"/>
    <w:p w14:paraId="661C544B" w14:textId="77777777" w:rsidR="001C19F3" w:rsidRPr="004674F5" w:rsidRDefault="001C19F3" w:rsidP="001C19F3">
      <w:pPr>
        <w:sectPr w:rsidR="001C19F3" w:rsidRPr="004674F5" w:rsidSect="00521305">
          <w:headerReference w:type="even" r:id="rId145"/>
          <w:headerReference w:type="default" r:id="rId146"/>
          <w:footerReference w:type="default" r:id="rId147"/>
          <w:headerReference w:type="first" r:id="rId148"/>
          <w:footerReference w:type="first" r:id="rId149"/>
          <w:pgSz w:w="11906" w:h="16838"/>
          <w:pgMar w:top="1440" w:right="1440" w:bottom="1440" w:left="1440" w:header="708" w:footer="708" w:gutter="0"/>
          <w:pgNumType w:start="1"/>
          <w:cols w:space="708"/>
          <w:titlePg/>
          <w:docGrid w:linePitch="360"/>
        </w:sectPr>
      </w:pPr>
      <w:r>
        <w:tab/>
      </w:r>
    </w:p>
    <w:p w14:paraId="67DAB708" w14:textId="77777777" w:rsidR="001C19F3" w:rsidRPr="00EE02CE" w:rsidRDefault="001C19F3" w:rsidP="001C19F3">
      <w:pPr>
        <w:pStyle w:val="Heading1withnumber"/>
        <w:ind w:left="0" w:hanging="993"/>
      </w:pPr>
      <w:bookmarkStart w:id="463" w:name="_Toc27058950"/>
      <w:r>
        <w:lastRenderedPageBreak/>
        <w:t>Introduction</w:t>
      </w:r>
      <w:bookmarkEnd w:id="463"/>
    </w:p>
    <w:p w14:paraId="4CAC9C6D" w14:textId="77777777" w:rsidR="001C19F3" w:rsidRPr="00526BC6" w:rsidRDefault="001C19F3" w:rsidP="001C19F3">
      <w:r w:rsidRPr="00526BC6">
        <w:t xml:space="preserve">This document is the </w:t>
      </w:r>
      <w:r w:rsidRPr="00390478">
        <w:rPr>
          <w:b/>
        </w:rPr>
        <w:t>Interim evaluation report 2019, Volume 4: Evaluation data supplement</w:t>
      </w:r>
      <w:r w:rsidRPr="00526BC6">
        <w:t>. It is one of four volumes featuring the findings of the evaluation of the HCH trial</w:t>
      </w:r>
      <w:r>
        <w:t xml:space="preserve"> up</w:t>
      </w:r>
      <w:r w:rsidRPr="00526BC6">
        <w:t xml:space="preserve"> to 31 August 2019</w:t>
      </w:r>
      <w:r w:rsidRPr="00526BC6">
        <w:rPr>
          <w:vertAlign w:val="superscript"/>
        </w:rPr>
        <w:footnoteReference w:id="18"/>
      </w:r>
      <w:r w:rsidRPr="00526BC6">
        <w:t xml:space="preserve">. The volumes are described in </w:t>
      </w:r>
      <w:r w:rsidRPr="00526BC6">
        <w:fldChar w:fldCharType="begin"/>
      </w:r>
      <w:r w:rsidRPr="00526BC6">
        <w:instrText xml:space="preserve"> REF _Ref20732064 \h  \* MERGEFORMAT </w:instrText>
      </w:r>
      <w:r w:rsidRPr="00526BC6">
        <w:fldChar w:fldCharType="separate"/>
      </w:r>
      <w:r w:rsidRPr="008F2809">
        <w:t>Table 1</w:t>
      </w:r>
      <w:r w:rsidRPr="00526BC6">
        <w:fldChar w:fldCharType="end"/>
      </w:r>
      <w:r w:rsidRPr="00526BC6">
        <w:t>.</w:t>
      </w:r>
    </w:p>
    <w:p w14:paraId="14F9D85E" w14:textId="77777777" w:rsidR="001C19F3" w:rsidRPr="00526BC6" w:rsidRDefault="001C19F3" w:rsidP="001C19F3">
      <w:pPr>
        <w:spacing w:after="0"/>
        <w:jc w:val="center"/>
        <w:rPr>
          <w:b/>
          <w:color w:val="000000"/>
          <w:sz w:val="18"/>
          <w:szCs w:val="18"/>
        </w:rPr>
      </w:pPr>
      <w:r w:rsidRPr="00526BC6">
        <w:rPr>
          <w:b/>
          <w:color w:val="000000"/>
          <w:sz w:val="18"/>
          <w:szCs w:val="18"/>
        </w:rPr>
        <w:t xml:space="preserve">Table </w:t>
      </w:r>
      <w:r w:rsidRPr="00526BC6">
        <w:rPr>
          <w:b/>
          <w:color w:val="000000"/>
          <w:sz w:val="18"/>
          <w:szCs w:val="18"/>
        </w:rPr>
        <w:fldChar w:fldCharType="begin"/>
      </w:r>
      <w:r w:rsidRPr="00526BC6">
        <w:rPr>
          <w:b/>
          <w:color w:val="000000"/>
          <w:sz w:val="18"/>
          <w:szCs w:val="18"/>
        </w:rPr>
        <w:instrText xml:space="preserve"> SEQ Table \* ARABIC </w:instrText>
      </w:r>
      <w:r w:rsidRPr="00526BC6">
        <w:rPr>
          <w:b/>
          <w:color w:val="000000"/>
          <w:sz w:val="18"/>
          <w:szCs w:val="18"/>
        </w:rPr>
        <w:fldChar w:fldCharType="separate"/>
      </w:r>
      <w:r>
        <w:rPr>
          <w:b/>
          <w:noProof/>
          <w:color w:val="000000"/>
          <w:sz w:val="18"/>
          <w:szCs w:val="18"/>
        </w:rPr>
        <w:t>1</w:t>
      </w:r>
      <w:r w:rsidRPr="00526BC6">
        <w:rPr>
          <w:b/>
          <w:noProof/>
          <w:color w:val="000000"/>
          <w:sz w:val="18"/>
          <w:szCs w:val="18"/>
        </w:rPr>
        <w:fldChar w:fldCharType="end"/>
      </w:r>
      <w:r w:rsidRPr="00526BC6">
        <w:rPr>
          <w:b/>
          <w:color w:val="000000"/>
          <w:sz w:val="18"/>
          <w:szCs w:val="18"/>
        </w:rPr>
        <w:t xml:space="preserve"> – Interim evaluation report 2019: Description of volumes</w:t>
      </w:r>
    </w:p>
    <w:tbl>
      <w:tblPr>
        <w:tblW w:w="906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972"/>
        <w:gridCol w:w="6095"/>
      </w:tblGrid>
      <w:tr w:rsidR="001C19F3" w:rsidRPr="00526BC6" w14:paraId="08952C7A" w14:textId="77777777" w:rsidTr="00521305">
        <w:trPr>
          <w:tblHeader/>
          <w:jc w:val="center"/>
        </w:trPr>
        <w:tc>
          <w:tcPr>
            <w:tcW w:w="2972" w:type="dxa"/>
            <w:shd w:val="clear" w:color="auto" w:fill="003D79"/>
            <w:vAlign w:val="center"/>
          </w:tcPr>
          <w:p w14:paraId="4FEE4EA9" w14:textId="77777777" w:rsidR="001C19F3" w:rsidRPr="00526BC6" w:rsidRDefault="001C19F3" w:rsidP="00521305">
            <w:pPr>
              <w:spacing w:after="0"/>
              <w:jc w:val="center"/>
              <w:rPr>
                <w:b/>
                <w:sz w:val="18"/>
                <w:szCs w:val="18"/>
              </w:rPr>
            </w:pPr>
            <w:r w:rsidRPr="00526BC6">
              <w:rPr>
                <w:b/>
                <w:sz w:val="18"/>
                <w:szCs w:val="18"/>
              </w:rPr>
              <w:t>Volume</w:t>
            </w:r>
          </w:p>
        </w:tc>
        <w:tc>
          <w:tcPr>
            <w:tcW w:w="6095" w:type="dxa"/>
            <w:shd w:val="clear" w:color="auto" w:fill="003D79"/>
          </w:tcPr>
          <w:p w14:paraId="044C924C" w14:textId="77777777" w:rsidR="001C19F3" w:rsidRPr="00526BC6" w:rsidRDefault="001C19F3" w:rsidP="00521305">
            <w:pPr>
              <w:spacing w:after="0"/>
              <w:jc w:val="center"/>
              <w:rPr>
                <w:b/>
                <w:sz w:val="18"/>
                <w:szCs w:val="18"/>
              </w:rPr>
            </w:pPr>
            <w:r w:rsidRPr="00526BC6">
              <w:rPr>
                <w:b/>
                <w:sz w:val="18"/>
                <w:szCs w:val="18"/>
              </w:rPr>
              <w:t>Description</w:t>
            </w:r>
          </w:p>
        </w:tc>
      </w:tr>
      <w:tr w:rsidR="001C19F3" w:rsidRPr="00526BC6" w14:paraId="4561AFDA" w14:textId="77777777" w:rsidTr="00521305">
        <w:trPr>
          <w:jc w:val="center"/>
        </w:trPr>
        <w:tc>
          <w:tcPr>
            <w:tcW w:w="2972" w:type="dxa"/>
          </w:tcPr>
          <w:p w14:paraId="5DD80701" w14:textId="77777777" w:rsidR="001C19F3" w:rsidRPr="00526BC6" w:rsidRDefault="001C19F3" w:rsidP="00521305">
            <w:pPr>
              <w:spacing w:after="0"/>
              <w:rPr>
                <w:sz w:val="18"/>
                <w:szCs w:val="18"/>
              </w:rPr>
            </w:pPr>
            <w:r>
              <w:rPr>
                <w:sz w:val="18"/>
                <w:szCs w:val="18"/>
              </w:rPr>
              <w:t>Volume 1: Summary report</w:t>
            </w:r>
          </w:p>
        </w:tc>
        <w:tc>
          <w:tcPr>
            <w:tcW w:w="6095" w:type="dxa"/>
          </w:tcPr>
          <w:p w14:paraId="4391A487" w14:textId="77777777" w:rsidR="001C19F3" w:rsidRPr="00526BC6" w:rsidRDefault="001C19F3" w:rsidP="00521305">
            <w:pPr>
              <w:spacing w:after="0"/>
              <w:rPr>
                <w:sz w:val="18"/>
                <w:szCs w:val="18"/>
              </w:rPr>
            </w:pPr>
            <w:r>
              <w:rPr>
                <w:sz w:val="18"/>
                <w:szCs w:val="18"/>
              </w:rPr>
              <w:t>Summarises the findings of the interim evaluation.</w:t>
            </w:r>
          </w:p>
        </w:tc>
      </w:tr>
      <w:tr w:rsidR="001C19F3" w:rsidRPr="00526BC6" w14:paraId="7A053ADE" w14:textId="77777777" w:rsidTr="00521305">
        <w:trPr>
          <w:jc w:val="center"/>
        </w:trPr>
        <w:tc>
          <w:tcPr>
            <w:tcW w:w="2972" w:type="dxa"/>
          </w:tcPr>
          <w:p w14:paraId="4FA40BBF" w14:textId="77777777" w:rsidR="001C19F3" w:rsidRPr="00526BC6" w:rsidRDefault="001C19F3" w:rsidP="00521305">
            <w:pPr>
              <w:spacing w:after="0"/>
              <w:rPr>
                <w:sz w:val="18"/>
                <w:szCs w:val="18"/>
              </w:rPr>
            </w:pPr>
            <w:r>
              <w:rPr>
                <w:sz w:val="18"/>
                <w:szCs w:val="18"/>
              </w:rPr>
              <w:t>Volume 2: Main report</w:t>
            </w:r>
          </w:p>
        </w:tc>
        <w:tc>
          <w:tcPr>
            <w:tcW w:w="6095" w:type="dxa"/>
          </w:tcPr>
          <w:p w14:paraId="63637826" w14:textId="77777777" w:rsidR="001C19F3" w:rsidRPr="00526BC6" w:rsidRDefault="001C19F3" w:rsidP="00521305">
            <w:pPr>
              <w:spacing w:after="0"/>
              <w:rPr>
                <w:sz w:val="18"/>
                <w:szCs w:val="18"/>
              </w:rPr>
            </w:pPr>
            <w:r>
              <w:rPr>
                <w:sz w:val="18"/>
                <w:szCs w:val="18"/>
              </w:rPr>
              <w:t>Presents the findings from the interim evaluation.</w:t>
            </w:r>
          </w:p>
        </w:tc>
      </w:tr>
      <w:tr w:rsidR="001C19F3" w:rsidRPr="00526BC6" w14:paraId="5787F4AE" w14:textId="77777777" w:rsidTr="00521305">
        <w:trPr>
          <w:jc w:val="center"/>
        </w:trPr>
        <w:tc>
          <w:tcPr>
            <w:tcW w:w="2972" w:type="dxa"/>
          </w:tcPr>
          <w:p w14:paraId="35B05A86" w14:textId="77777777" w:rsidR="001C19F3" w:rsidRPr="00526BC6" w:rsidRDefault="001C19F3" w:rsidP="00521305">
            <w:pPr>
              <w:spacing w:after="0"/>
              <w:rPr>
                <w:sz w:val="18"/>
                <w:szCs w:val="18"/>
              </w:rPr>
            </w:pPr>
            <w:r>
              <w:rPr>
                <w:sz w:val="18"/>
                <w:szCs w:val="18"/>
              </w:rPr>
              <w:t>Volume 3: Evaluation progress</w:t>
            </w:r>
          </w:p>
        </w:tc>
        <w:tc>
          <w:tcPr>
            <w:tcW w:w="6095" w:type="dxa"/>
          </w:tcPr>
          <w:p w14:paraId="498D9488" w14:textId="77777777" w:rsidR="001C19F3" w:rsidRPr="00526BC6" w:rsidRDefault="001C19F3" w:rsidP="00521305">
            <w:pPr>
              <w:spacing w:after="0"/>
              <w:rPr>
                <w:sz w:val="18"/>
                <w:szCs w:val="18"/>
              </w:rPr>
            </w:pPr>
            <w:r>
              <w:rPr>
                <w:sz w:val="18"/>
                <w:szCs w:val="18"/>
              </w:rPr>
              <w:t>Describes progress for the evaluation to September 2019, including progress with acquiring evaluation data and approaches for analysing qualitative and quantitative data.</w:t>
            </w:r>
          </w:p>
        </w:tc>
      </w:tr>
      <w:tr w:rsidR="001C19F3" w:rsidRPr="00526BC6" w14:paraId="4F23433D" w14:textId="77777777" w:rsidTr="00521305">
        <w:trPr>
          <w:jc w:val="center"/>
        </w:trPr>
        <w:tc>
          <w:tcPr>
            <w:tcW w:w="2972" w:type="dxa"/>
          </w:tcPr>
          <w:p w14:paraId="15C297CC" w14:textId="77777777" w:rsidR="001C19F3" w:rsidRPr="00526BC6" w:rsidRDefault="001C19F3" w:rsidP="00521305">
            <w:pPr>
              <w:spacing w:after="0"/>
              <w:rPr>
                <w:sz w:val="18"/>
                <w:szCs w:val="18"/>
              </w:rPr>
            </w:pPr>
            <w:r>
              <w:rPr>
                <w:sz w:val="18"/>
                <w:szCs w:val="18"/>
              </w:rPr>
              <w:t>Volume 4: Evaluation data supplement</w:t>
            </w:r>
          </w:p>
        </w:tc>
        <w:tc>
          <w:tcPr>
            <w:tcW w:w="6095" w:type="dxa"/>
          </w:tcPr>
          <w:p w14:paraId="654625C1" w14:textId="77777777" w:rsidR="001C19F3" w:rsidRPr="00526BC6" w:rsidRDefault="001C19F3" w:rsidP="00521305">
            <w:pPr>
              <w:spacing w:after="0"/>
              <w:rPr>
                <w:sz w:val="18"/>
                <w:szCs w:val="18"/>
              </w:rPr>
            </w:pPr>
            <w:r>
              <w:rPr>
                <w:sz w:val="18"/>
                <w:szCs w:val="18"/>
              </w:rPr>
              <w:t>Includes supplementary data to support the findings reported in Volume 2.</w:t>
            </w:r>
          </w:p>
        </w:tc>
      </w:tr>
    </w:tbl>
    <w:p w14:paraId="16D76B1B" w14:textId="77777777" w:rsidR="001C19F3" w:rsidRDefault="001C19F3" w:rsidP="001C19F3">
      <w:pPr>
        <w:spacing w:after="0"/>
      </w:pPr>
    </w:p>
    <w:p w14:paraId="6134AC85" w14:textId="77777777" w:rsidR="001C19F3" w:rsidRDefault="001C19F3" w:rsidP="001C19F3">
      <w:r>
        <w:t>Volume 4 is structured around the data sources used for the evaluation. Each chapter describes the data source and analysis of the data. It includes tables and charts to explain features of the data and results that have not been presented in the other volumes. More detailed tables are provided in the appendices, where cross tabulations of data are provided using variables of interest, specifically:</w:t>
      </w:r>
    </w:p>
    <w:p w14:paraId="3CCB4F9F" w14:textId="77777777" w:rsidR="001C19F3" w:rsidRPr="00097E58" w:rsidRDefault="001C19F3" w:rsidP="001C19F3">
      <w:pPr>
        <w:pStyle w:val="ListParagraph"/>
        <w:numPr>
          <w:ilvl w:val="0"/>
          <w:numId w:val="112"/>
        </w:numPr>
        <w:spacing w:after="120"/>
        <w:ind w:left="714" w:hanging="357"/>
        <w:contextualSpacing w:val="0"/>
      </w:pPr>
      <w:r w:rsidRPr="00097E58">
        <w:t>The HCH tier to which patient</w:t>
      </w:r>
      <w:r>
        <w:t>s were</w:t>
      </w:r>
      <w:r w:rsidRPr="00097E58">
        <w:t xml:space="preserve"> assigned</w:t>
      </w:r>
      <w:r>
        <w:t>.</w:t>
      </w:r>
    </w:p>
    <w:p w14:paraId="5EBA506A" w14:textId="77777777" w:rsidR="001C19F3" w:rsidRDefault="001C19F3" w:rsidP="001C19F3">
      <w:pPr>
        <w:pStyle w:val="ListParagraph"/>
        <w:numPr>
          <w:ilvl w:val="0"/>
          <w:numId w:val="112"/>
        </w:numPr>
        <w:spacing w:after="120"/>
        <w:ind w:left="714" w:hanging="357"/>
        <w:contextualSpacing w:val="0"/>
      </w:pPr>
      <w:r w:rsidRPr="00097E58">
        <w:t>The size of the practice</w:t>
      </w:r>
      <w:r>
        <w:t>, based on the number of full time equivalent (FTE) GPs.</w:t>
      </w:r>
    </w:p>
    <w:p w14:paraId="2CABE18E" w14:textId="77777777" w:rsidR="001C19F3" w:rsidRDefault="001C19F3" w:rsidP="001C19F3">
      <w:pPr>
        <w:pStyle w:val="ListParagraph"/>
        <w:numPr>
          <w:ilvl w:val="0"/>
          <w:numId w:val="112"/>
        </w:numPr>
        <w:spacing w:after="120"/>
        <w:ind w:left="714" w:hanging="357"/>
        <w:contextualSpacing w:val="0"/>
      </w:pPr>
      <w:r>
        <w:t>The ownership arrangement for the practices: corporate, Aboriginal Medical Service (AMS) or independent.</w:t>
      </w:r>
    </w:p>
    <w:p w14:paraId="58F8BF67" w14:textId="77777777" w:rsidR="001C19F3" w:rsidRDefault="001C19F3" w:rsidP="001C19F3">
      <w:pPr>
        <w:pStyle w:val="ListParagraph"/>
        <w:numPr>
          <w:ilvl w:val="0"/>
          <w:numId w:val="112"/>
        </w:numPr>
      </w:pPr>
      <w:r>
        <w:t xml:space="preserve">The geographic remoteness of the practice using the </w:t>
      </w:r>
      <w:r w:rsidRPr="00097E58">
        <w:t>Modified Monash Model (MMM)</w:t>
      </w:r>
      <w:r>
        <w:t xml:space="preserve">. For most tables, the seven MMM categories are grouped into three categories – MMM 1, MMM 2-3 and MMM 4-7 – ranging from major city to remote. </w:t>
      </w:r>
    </w:p>
    <w:p w14:paraId="59D3C2CF" w14:textId="77777777" w:rsidR="001C19F3" w:rsidRDefault="001C19F3" w:rsidP="001C19F3">
      <w:r>
        <w:t xml:space="preserve">For practical purposes, data collection for the evaluation is organised into ‘rounds’. The time frames for these are shown in </w:t>
      </w:r>
      <w:r>
        <w:fldChar w:fldCharType="begin"/>
      </w:r>
      <w:r>
        <w:instrText xml:space="preserve"> REF _Ref23345788 \h </w:instrText>
      </w:r>
      <w:r>
        <w:fldChar w:fldCharType="separate"/>
      </w:r>
      <w:r>
        <w:t xml:space="preserve">Table </w:t>
      </w:r>
      <w:r>
        <w:rPr>
          <w:noProof/>
        </w:rPr>
        <w:t>2</w:t>
      </w:r>
      <w:r>
        <w:fldChar w:fldCharType="end"/>
      </w:r>
      <w:r>
        <w:t xml:space="preserve">. The patient survey was organised into ‘waves’. The time frames for the waves are shown in </w:t>
      </w:r>
      <w:r>
        <w:fldChar w:fldCharType="begin"/>
      </w:r>
      <w:r>
        <w:instrText xml:space="preserve"> REF _Ref23345872 \h </w:instrText>
      </w:r>
      <w:r>
        <w:fldChar w:fldCharType="separate"/>
      </w:r>
      <w:r>
        <w:t xml:space="preserve">Table </w:t>
      </w:r>
      <w:r>
        <w:rPr>
          <w:noProof/>
        </w:rPr>
        <w:t>9</w:t>
      </w:r>
      <w:r>
        <w:fldChar w:fldCharType="end"/>
      </w:r>
      <w:r>
        <w:t>.</w:t>
      </w:r>
    </w:p>
    <w:p w14:paraId="2BE56AB9" w14:textId="77777777" w:rsidR="001C19F3" w:rsidRDefault="001C19F3" w:rsidP="001C19F3">
      <w:pPr>
        <w:pStyle w:val="Caption"/>
      </w:pPr>
      <w:r>
        <w:t xml:space="preserve">Table </w:t>
      </w:r>
      <w:r>
        <w:fldChar w:fldCharType="begin"/>
      </w:r>
      <w:r>
        <w:rPr>
          <w:noProof/>
        </w:rPr>
        <w:instrText xml:space="preserve"> SEQ Table \* ARABIC </w:instrText>
      </w:r>
      <w:r>
        <w:fldChar w:fldCharType="separate"/>
      </w:r>
      <w:r>
        <w:rPr>
          <w:noProof/>
        </w:rPr>
        <w:t>2</w:t>
      </w:r>
      <w:r>
        <w:fldChar w:fldCharType="end"/>
      </w:r>
      <w:r>
        <w:t xml:space="preserve"> – Data collection rounds for the evaluation and time frames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4531"/>
        <w:gridCol w:w="3076"/>
      </w:tblGrid>
      <w:tr w:rsidR="001C19F3" w14:paraId="44CFB8A6" w14:textId="77777777" w:rsidTr="00521305">
        <w:trPr>
          <w:jc w:val="center"/>
        </w:trPr>
        <w:tc>
          <w:tcPr>
            <w:tcW w:w="4531"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1B3C07C9" w14:textId="77777777" w:rsidR="001C19F3" w:rsidRDefault="001C19F3" w:rsidP="00521305">
            <w:pPr>
              <w:spacing w:after="0" w:line="240" w:lineRule="auto"/>
              <w:jc w:val="center"/>
              <w:rPr>
                <w:b/>
                <w:color w:val="FFFFFF"/>
                <w:sz w:val="18"/>
                <w:szCs w:val="18"/>
              </w:rPr>
            </w:pPr>
            <w:r>
              <w:rPr>
                <w:b/>
                <w:color w:val="FFFFFF"/>
                <w:sz w:val="18"/>
                <w:szCs w:val="18"/>
              </w:rPr>
              <w:t>Data collection round</w:t>
            </w:r>
          </w:p>
        </w:tc>
        <w:tc>
          <w:tcPr>
            <w:tcW w:w="3076"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hideMark/>
          </w:tcPr>
          <w:p w14:paraId="690375EB" w14:textId="77777777" w:rsidR="001C19F3" w:rsidRDefault="001C19F3" w:rsidP="00521305">
            <w:pPr>
              <w:spacing w:after="0" w:line="240" w:lineRule="auto"/>
              <w:jc w:val="center"/>
              <w:rPr>
                <w:b/>
                <w:color w:val="FFFFFF"/>
                <w:sz w:val="18"/>
                <w:szCs w:val="18"/>
              </w:rPr>
            </w:pPr>
            <w:r>
              <w:rPr>
                <w:b/>
                <w:color w:val="FFFFFF"/>
                <w:sz w:val="18"/>
                <w:szCs w:val="18"/>
              </w:rPr>
              <w:t>Time frame</w:t>
            </w:r>
          </w:p>
        </w:tc>
      </w:tr>
      <w:tr w:rsidR="001C19F3" w14:paraId="7EE3FED2"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6FEB90F1" w14:textId="77777777" w:rsidR="001C19F3" w:rsidRDefault="001C19F3" w:rsidP="00521305">
            <w:pPr>
              <w:spacing w:after="0"/>
              <w:rPr>
                <w:color w:val="000000"/>
                <w:sz w:val="18"/>
                <w:szCs w:val="18"/>
              </w:rPr>
            </w:pPr>
            <w:r>
              <w:rPr>
                <w:color w:val="000000"/>
                <w:sz w:val="18"/>
                <w:szCs w:val="18"/>
              </w:rPr>
              <w:t>Round 1 (R1)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3B24692F" w14:textId="77777777" w:rsidR="001C19F3" w:rsidRDefault="001C19F3" w:rsidP="00521305">
            <w:pPr>
              <w:spacing w:after="0"/>
              <w:jc w:val="right"/>
              <w:rPr>
                <w:color w:val="000000"/>
                <w:sz w:val="18"/>
                <w:szCs w:val="18"/>
              </w:rPr>
            </w:pPr>
            <w:r>
              <w:rPr>
                <w:color w:val="000000"/>
                <w:sz w:val="18"/>
                <w:szCs w:val="18"/>
              </w:rPr>
              <w:t>1 October 2017 to 30 June 2018</w:t>
            </w:r>
          </w:p>
        </w:tc>
      </w:tr>
      <w:tr w:rsidR="001C19F3" w14:paraId="34259EE7"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0BB3BAD3" w14:textId="77777777" w:rsidR="001C19F3" w:rsidRDefault="001C19F3" w:rsidP="00521305">
            <w:pPr>
              <w:spacing w:after="0"/>
              <w:rPr>
                <w:color w:val="000000"/>
                <w:sz w:val="18"/>
                <w:szCs w:val="18"/>
              </w:rPr>
            </w:pPr>
            <w:r>
              <w:rPr>
                <w:color w:val="000000"/>
                <w:sz w:val="18"/>
                <w:szCs w:val="18"/>
              </w:rPr>
              <w:t>Round 2 (R2)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0912DFF0" w14:textId="77777777" w:rsidR="001C19F3" w:rsidRDefault="001C19F3" w:rsidP="00521305">
            <w:pPr>
              <w:spacing w:after="0"/>
              <w:jc w:val="right"/>
              <w:rPr>
                <w:color w:val="000000"/>
                <w:sz w:val="18"/>
                <w:szCs w:val="18"/>
              </w:rPr>
            </w:pPr>
            <w:r>
              <w:rPr>
                <w:color w:val="000000"/>
                <w:sz w:val="18"/>
                <w:szCs w:val="18"/>
              </w:rPr>
              <w:t>1 July to 31 December 2018</w:t>
            </w:r>
          </w:p>
        </w:tc>
      </w:tr>
      <w:tr w:rsidR="001C19F3" w14:paraId="5BFAB7F9"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224DDDE9" w14:textId="77777777" w:rsidR="001C19F3" w:rsidRDefault="001C19F3" w:rsidP="00521305">
            <w:pPr>
              <w:spacing w:after="0"/>
              <w:rPr>
                <w:color w:val="000000"/>
                <w:sz w:val="18"/>
                <w:szCs w:val="18"/>
              </w:rPr>
            </w:pPr>
            <w:r>
              <w:rPr>
                <w:color w:val="000000"/>
                <w:sz w:val="18"/>
                <w:szCs w:val="18"/>
              </w:rPr>
              <w:t>Round 3 (R3)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2046ECE4" w14:textId="77777777" w:rsidR="001C19F3" w:rsidRDefault="001C19F3" w:rsidP="00521305">
            <w:pPr>
              <w:spacing w:after="0"/>
              <w:jc w:val="right"/>
              <w:rPr>
                <w:color w:val="000000"/>
                <w:sz w:val="18"/>
                <w:szCs w:val="18"/>
              </w:rPr>
            </w:pPr>
            <w:r>
              <w:rPr>
                <w:color w:val="000000"/>
                <w:sz w:val="18"/>
                <w:szCs w:val="18"/>
              </w:rPr>
              <w:t>1 January to 30 June 2019</w:t>
            </w:r>
          </w:p>
        </w:tc>
      </w:tr>
      <w:tr w:rsidR="001C19F3" w14:paraId="5AF53F6B"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3C70C0CC" w14:textId="77777777" w:rsidR="001C19F3" w:rsidRDefault="001C19F3" w:rsidP="00521305">
            <w:pPr>
              <w:spacing w:after="0"/>
              <w:rPr>
                <w:color w:val="000000"/>
                <w:sz w:val="18"/>
                <w:szCs w:val="18"/>
              </w:rPr>
            </w:pPr>
            <w:r>
              <w:rPr>
                <w:color w:val="000000"/>
                <w:sz w:val="18"/>
                <w:szCs w:val="18"/>
              </w:rPr>
              <w:t>Round 4 (R4) data collection</w:t>
            </w:r>
          </w:p>
        </w:tc>
        <w:tc>
          <w:tcPr>
            <w:tcW w:w="30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4CA116D1" w14:textId="77777777" w:rsidR="001C19F3" w:rsidRDefault="001C19F3" w:rsidP="00521305">
            <w:pPr>
              <w:spacing w:after="0"/>
              <w:jc w:val="right"/>
              <w:rPr>
                <w:color w:val="000000"/>
                <w:sz w:val="18"/>
                <w:szCs w:val="18"/>
              </w:rPr>
            </w:pPr>
            <w:r>
              <w:rPr>
                <w:color w:val="000000"/>
                <w:sz w:val="18"/>
                <w:szCs w:val="18"/>
              </w:rPr>
              <w:t>1 July 2019 to 30 June 2020</w:t>
            </w:r>
          </w:p>
        </w:tc>
      </w:tr>
      <w:tr w:rsidR="001C19F3" w14:paraId="7B4AB706" w14:textId="77777777" w:rsidTr="00521305">
        <w:trPr>
          <w:jc w:val="center"/>
        </w:trPr>
        <w:tc>
          <w:tcPr>
            <w:tcW w:w="4531"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hideMark/>
          </w:tcPr>
          <w:p w14:paraId="0D8ED081" w14:textId="77777777" w:rsidR="001C19F3" w:rsidRDefault="001C19F3" w:rsidP="00521305">
            <w:pPr>
              <w:spacing w:after="0"/>
              <w:rPr>
                <w:color w:val="000000"/>
                <w:sz w:val="18"/>
                <w:szCs w:val="18"/>
              </w:rPr>
            </w:pPr>
            <w:r>
              <w:rPr>
                <w:color w:val="000000"/>
                <w:sz w:val="18"/>
                <w:szCs w:val="18"/>
              </w:rPr>
              <w:t>Round 5 (R5) data collection</w:t>
            </w:r>
          </w:p>
        </w:tc>
        <w:tc>
          <w:tcPr>
            <w:tcW w:w="3076"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hideMark/>
          </w:tcPr>
          <w:p w14:paraId="3AE1962B" w14:textId="77777777" w:rsidR="001C19F3" w:rsidRDefault="001C19F3" w:rsidP="00521305">
            <w:pPr>
              <w:spacing w:after="0"/>
              <w:jc w:val="right"/>
              <w:rPr>
                <w:color w:val="000000"/>
                <w:sz w:val="18"/>
                <w:szCs w:val="18"/>
              </w:rPr>
            </w:pPr>
            <w:r>
              <w:rPr>
                <w:color w:val="000000"/>
                <w:sz w:val="18"/>
                <w:szCs w:val="18"/>
              </w:rPr>
              <w:t>1 July 2020 to 30 June 2021</w:t>
            </w:r>
          </w:p>
        </w:tc>
      </w:tr>
    </w:tbl>
    <w:p w14:paraId="7C5C655A" w14:textId="77777777" w:rsidR="001C19F3" w:rsidRDefault="001C19F3" w:rsidP="001C19F3">
      <w:pPr>
        <w:spacing w:after="0"/>
      </w:pPr>
    </w:p>
    <w:p w14:paraId="7FA9176A" w14:textId="77777777" w:rsidR="001C19F3" w:rsidRDefault="001C19F3" w:rsidP="001C19F3">
      <w:pPr>
        <w:pStyle w:val="Caption"/>
      </w:pPr>
      <w:r>
        <w:t xml:space="preserve">Table </w:t>
      </w:r>
      <w:r>
        <w:fldChar w:fldCharType="begin"/>
      </w:r>
      <w:r>
        <w:rPr>
          <w:noProof/>
        </w:rPr>
        <w:instrText xml:space="preserve"> SEQ Table \* ARABIC </w:instrText>
      </w:r>
      <w:r>
        <w:fldChar w:fldCharType="separate"/>
      </w:r>
      <w:r>
        <w:rPr>
          <w:noProof/>
        </w:rPr>
        <w:t>3</w:t>
      </w:r>
      <w:r>
        <w:fldChar w:fldCharType="end"/>
      </w:r>
      <w:r>
        <w:t xml:space="preserve"> – Patient survey ‘waves’ and time frames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3187"/>
        <w:gridCol w:w="3187"/>
      </w:tblGrid>
      <w:tr w:rsidR="001C19F3" w14:paraId="2DC41E06" w14:textId="77777777" w:rsidTr="00521305">
        <w:trPr>
          <w:jc w:val="center"/>
        </w:trPr>
        <w:tc>
          <w:tcPr>
            <w:tcW w:w="3187"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003D79"/>
            <w:hideMark/>
          </w:tcPr>
          <w:p w14:paraId="14F4491A" w14:textId="77777777" w:rsidR="001C19F3" w:rsidRDefault="001C19F3" w:rsidP="00521305">
            <w:pPr>
              <w:spacing w:after="0" w:line="240" w:lineRule="auto"/>
              <w:jc w:val="center"/>
              <w:rPr>
                <w:b/>
                <w:color w:val="FFFFFF"/>
                <w:sz w:val="18"/>
                <w:szCs w:val="18"/>
              </w:rPr>
            </w:pPr>
            <w:r>
              <w:rPr>
                <w:b/>
                <w:color w:val="FFFFFF"/>
                <w:sz w:val="18"/>
                <w:szCs w:val="18"/>
              </w:rPr>
              <w:t>Wave</w:t>
            </w:r>
          </w:p>
        </w:tc>
        <w:tc>
          <w:tcPr>
            <w:tcW w:w="3187"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hideMark/>
          </w:tcPr>
          <w:p w14:paraId="7AA52D34" w14:textId="77777777" w:rsidR="001C19F3" w:rsidRDefault="001C19F3" w:rsidP="00521305">
            <w:pPr>
              <w:spacing w:after="0" w:line="240" w:lineRule="auto"/>
              <w:jc w:val="center"/>
              <w:rPr>
                <w:b/>
                <w:color w:val="FFFFFF"/>
                <w:sz w:val="18"/>
                <w:szCs w:val="18"/>
              </w:rPr>
            </w:pPr>
            <w:r>
              <w:rPr>
                <w:b/>
                <w:color w:val="FFFFFF"/>
                <w:sz w:val="18"/>
                <w:szCs w:val="18"/>
              </w:rPr>
              <w:t>Time frame</w:t>
            </w:r>
          </w:p>
        </w:tc>
      </w:tr>
      <w:tr w:rsidR="001C19F3" w14:paraId="2864236E" w14:textId="77777777" w:rsidTr="00521305">
        <w:trPr>
          <w:jc w:val="center"/>
        </w:trPr>
        <w:tc>
          <w:tcPr>
            <w:tcW w:w="3187"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57C0A904" w14:textId="77777777" w:rsidR="001C19F3" w:rsidRDefault="001C19F3" w:rsidP="00521305">
            <w:pPr>
              <w:spacing w:after="0"/>
              <w:rPr>
                <w:color w:val="000000"/>
                <w:sz w:val="18"/>
                <w:szCs w:val="18"/>
              </w:rPr>
            </w:pPr>
            <w:r>
              <w:rPr>
                <w:color w:val="000000"/>
                <w:sz w:val="18"/>
                <w:szCs w:val="18"/>
              </w:rPr>
              <w:t>Wave 1</w:t>
            </w:r>
          </w:p>
        </w:tc>
        <w:tc>
          <w:tcPr>
            <w:tcW w:w="31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1520DA51" w14:textId="77777777" w:rsidR="001C19F3" w:rsidRDefault="001C19F3" w:rsidP="00521305">
            <w:pPr>
              <w:spacing w:after="0"/>
              <w:rPr>
                <w:color w:val="000000"/>
                <w:sz w:val="18"/>
                <w:szCs w:val="18"/>
              </w:rPr>
            </w:pPr>
            <w:r>
              <w:rPr>
                <w:color w:val="000000"/>
                <w:sz w:val="18"/>
                <w:szCs w:val="18"/>
              </w:rPr>
              <w:t>December 2017 to March 2019</w:t>
            </w:r>
          </w:p>
        </w:tc>
      </w:tr>
      <w:tr w:rsidR="001C19F3" w14:paraId="0101C7E5" w14:textId="77777777" w:rsidTr="00521305">
        <w:trPr>
          <w:jc w:val="center"/>
        </w:trPr>
        <w:tc>
          <w:tcPr>
            <w:tcW w:w="3187"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24AFE9CF" w14:textId="77777777" w:rsidR="001C19F3" w:rsidRDefault="001C19F3" w:rsidP="00521305">
            <w:pPr>
              <w:spacing w:after="0"/>
              <w:rPr>
                <w:color w:val="000000"/>
                <w:sz w:val="18"/>
                <w:szCs w:val="18"/>
              </w:rPr>
            </w:pPr>
            <w:r>
              <w:rPr>
                <w:color w:val="000000"/>
                <w:sz w:val="18"/>
                <w:szCs w:val="18"/>
              </w:rPr>
              <w:t>Wave 2</w:t>
            </w:r>
          </w:p>
        </w:tc>
        <w:tc>
          <w:tcPr>
            <w:tcW w:w="31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0BA9828B" w14:textId="77777777" w:rsidR="001C19F3" w:rsidRDefault="001C19F3" w:rsidP="00521305">
            <w:pPr>
              <w:spacing w:after="0"/>
              <w:rPr>
                <w:color w:val="000000"/>
                <w:sz w:val="18"/>
                <w:szCs w:val="18"/>
              </w:rPr>
            </w:pPr>
            <w:r>
              <w:rPr>
                <w:color w:val="000000"/>
                <w:sz w:val="18"/>
                <w:szCs w:val="18"/>
              </w:rPr>
              <w:t>December 2019 to March 2020</w:t>
            </w:r>
          </w:p>
        </w:tc>
      </w:tr>
      <w:tr w:rsidR="001C19F3" w14:paraId="4B8858F2" w14:textId="77777777" w:rsidTr="00521305">
        <w:trPr>
          <w:jc w:val="center"/>
        </w:trPr>
        <w:tc>
          <w:tcPr>
            <w:tcW w:w="3187"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3C5E54EA" w14:textId="77777777" w:rsidR="001C19F3" w:rsidRDefault="001C19F3" w:rsidP="00521305">
            <w:pPr>
              <w:spacing w:after="0"/>
              <w:rPr>
                <w:color w:val="000000"/>
                <w:sz w:val="18"/>
                <w:szCs w:val="18"/>
              </w:rPr>
            </w:pPr>
            <w:r>
              <w:rPr>
                <w:color w:val="000000"/>
                <w:sz w:val="18"/>
                <w:szCs w:val="18"/>
              </w:rPr>
              <w:t>Wave 3</w:t>
            </w:r>
          </w:p>
        </w:tc>
        <w:tc>
          <w:tcPr>
            <w:tcW w:w="31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hideMark/>
          </w:tcPr>
          <w:p w14:paraId="09EC5BBF" w14:textId="77777777" w:rsidR="001C19F3" w:rsidRDefault="001C19F3" w:rsidP="00521305">
            <w:pPr>
              <w:spacing w:after="0"/>
              <w:rPr>
                <w:color w:val="000000"/>
                <w:sz w:val="18"/>
                <w:szCs w:val="18"/>
              </w:rPr>
            </w:pPr>
            <w:r>
              <w:rPr>
                <w:color w:val="000000"/>
                <w:sz w:val="18"/>
                <w:szCs w:val="18"/>
              </w:rPr>
              <w:t>December 2020 to March 2021</w:t>
            </w:r>
          </w:p>
        </w:tc>
      </w:tr>
    </w:tbl>
    <w:p w14:paraId="48C91C59" w14:textId="77777777" w:rsidR="001C19F3" w:rsidRDefault="001C19F3" w:rsidP="001C19F3">
      <w:pPr>
        <w:spacing w:after="0"/>
        <w:jc w:val="center"/>
        <w:rPr>
          <w:b/>
          <w:color w:val="000000"/>
          <w:sz w:val="18"/>
          <w:szCs w:val="18"/>
        </w:rPr>
      </w:pPr>
      <w:r>
        <w:rPr>
          <w:b/>
          <w:color w:val="000000"/>
          <w:sz w:val="18"/>
          <w:szCs w:val="18"/>
        </w:rPr>
        <w:lastRenderedPageBreak/>
        <w:t xml:space="preserve">Table </w:t>
      </w:r>
      <w:r>
        <w:fldChar w:fldCharType="begin"/>
      </w:r>
      <w:r>
        <w:rPr>
          <w:b/>
          <w:color w:val="000000"/>
          <w:sz w:val="18"/>
          <w:szCs w:val="18"/>
        </w:rPr>
        <w:instrText xml:space="preserve"> SEQ Table \* ARABIC </w:instrText>
      </w:r>
      <w:r>
        <w:fldChar w:fldCharType="separate"/>
      </w:r>
      <w:r>
        <w:rPr>
          <w:b/>
          <w:noProof/>
          <w:color w:val="000000"/>
          <w:sz w:val="18"/>
          <w:szCs w:val="18"/>
        </w:rPr>
        <w:t>4</w:t>
      </w:r>
      <w:r>
        <w:fldChar w:fldCharType="end"/>
      </w:r>
      <w:r>
        <w:rPr>
          <w:b/>
          <w:color w:val="000000"/>
          <w:sz w:val="18"/>
          <w:szCs w:val="18"/>
        </w:rPr>
        <w:t xml:space="preserve"> – Evaluation data sources and where these are presented in this volume</w:t>
      </w:r>
    </w:p>
    <w:tbl>
      <w:tblPr>
        <w:tblW w:w="920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121"/>
        <w:gridCol w:w="1133"/>
        <w:gridCol w:w="1274"/>
        <w:gridCol w:w="1133"/>
        <w:gridCol w:w="1133"/>
        <w:gridCol w:w="1275"/>
        <w:gridCol w:w="1140"/>
      </w:tblGrid>
      <w:tr w:rsidR="001C19F3" w14:paraId="118CE5A2" w14:textId="77777777" w:rsidTr="00521305">
        <w:trPr>
          <w:trHeight w:val="255"/>
          <w:tblHeader/>
          <w:jc w:val="center"/>
        </w:trPr>
        <w:tc>
          <w:tcPr>
            <w:tcW w:w="2121" w:type="dxa"/>
            <w:vMerge w:val="restart"/>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66515367" w14:textId="77777777" w:rsidR="001C19F3" w:rsidRDefault="001C19F3" w:rsidP="00521305">
            <w:pPr>
              <w:spacing w:after="0"/>
              <w:jc w:val="center"/>
              <w:rPr>
                <w:b/>
                <w:sz w:val="18"/>
                <w:szCs w:val="18"/>
              </w:rPr>
            </w:pPr>
            <w:r>
              <w:rPr>
                <w:b/>
                <w:sz w:val="18"/>
                <w:szCs w:val="18"/>
              </w:rPr>
              <w:t>Data source</w:t>
            </w:r>
          </w:p>
        </w:tc>
        <w:tc>
          <w:tcPr>
            <w:tcW w:w="1133" w:type="dxa"/>
            <w:vMerge w:val="restart"/>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58F984C9" w14:textId="77777777" w:rsidR="001C19F3" w:rsidRDefault="001C19F3" w:rsidP="00521305">
            <w:pPr>
              <w:spacing w:after="0"/>
              <w:jc w:val="center"/>
              <w:rPr>
                <w:b/>
                <w:sz w:val="18"/>
                <w:szCs w:val="18"/>
              </w:rPr>
            </w:pPr>
            <w:r>
              <w:rPr>
                <w:b/>
                <w:sz w:val="18"/>
                <w:szCs w:val="18"/>
              </w:rPr>
              <w:t xml:space="preserve">Key questions </w:t>
            </w:r>
          </w:p>
        </w:tc>
        <w:tc>
          <w:tcPr>
            <w:tcW w:w="1274" w:type="dxa"/>
            <w:vMerge w:val="restart"/>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77680236" w14:textId="77777777" w:rsidR="001C19F3" w:rsidRDefault="001C19F3" w:rsidP="00521305">
            <w:pPr>
              <w:spacing w:after="0"/>
              <w:jc w:val="center"/>
              <w:rPr>
                <w:b/>
                <w:sz w:val="18"/>
                <w:szCs w:val="18"/>
              </w:rPr>
            </w:pPr>
            <w:r>
              <w:rPr>
                <w:b/>
                <w:sz w:val="18"/>
                <w:szCs w:val="18"/>
              </w:rPr>
              <w:t>Collection type</w:t>
            </w:r>
          </w:p>
        </w:tc>
        <w:tc>
          <w:tcPr>
            <w:tcW w:w="3541" w:type="dxa"/>
            <w:gridSpan w:val="3"/>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6C29C0BC" w14:textId="77777777" w:rsidR="001C19F3" w:rsidRDefault="001C19F3" w:rsidP="00521305">
            <w:pPr>
              <w:spacing w:after="0"/>
              <w:jc w:val="center"/>
              <w:rPr>
                <w:b/>
                <w:sz w:val="18"/>
                <w:szCs w:val="18"/>
              </w:rPr>
            </w:pPr>
            <w:r>
              <w:rPr>
                <w:b/>
                <w:sz w:val="18"/>
                <w:szCs w:val="18"/>
              </w:rPr>
              <w:t>Report in which data are used and data collection round/ period</w:t>
            </w:r>
          </w:p>
        </w:tc>
        <w:tc>
          <w:tcPr>
            <w:tcW w:w="1140" w:type="dxa"/>
            <w:vMerge w:val="restart"/>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18D3D486" w14:textId="77777777" w:rsidR="001C19F3" w:rsidRDefault="001C19F3" w:rsidP="00521305">
            <w:pPr>
              <w:spacing w:after="0"/>
              <w:jc w:val="center"/>
              <w:rPr>
                <w:b/>
                <w:sz w:val="18"/>
                <w:szCs w:val="18"/>
              </w:rPr>
            </w:pPr>
            <w:r>
              <w:rPr>
                <w:b/>
                <w:sz w:val="18"/>
                <w:szCs w:val="18"/>
              </w:rPr>
              <w:t>Chapter in which data are presented in this Vol.</w:t>
            </w:r>
          </w:p>
        </w:tc>
      </w:tr>
      <w:tr w:rsidR="001C19F3" w14:paraId="71221CD7" w14:textId="77777777" w:rsidTr="00521305">
        <w:trPr>
          <w:trHeight w:val="255"/>
          <w:tblHeader/>
          <w:jc w:val="center"/>
        </w:trPr>
        <w:tc>
          <w:tcPr>
            <w:tcW w:w="2121" w:type="dxa"/>
            <w:vMerge/>
            <w:tcBorders>
              <w:top w:val="single" w:sz="4" w:space="0" w:color="D9D9D9"/>
              <w:left w:val="single" w:sz="4" w:space="0" w:color="D9D9D9"/>
              <w:bottom w:val="single" w:sz="4" w:space="0" w:color="D9D9D9"/>
              <w:right w:val="single" w:sz="4" w:space="0" w:color="D9D9D9"/>
            </w:tcBorders>
            <w:vAlign w:val="center"/>
            <w:hideMark/>
          </w:tcPr>
          <w:p w14:paraId="6552403B" w14:textId="77777777" w:rsidR="001C19F3" w:rsidRDefault="001C19F3" w:rsidP="00521305">
            <w:pPr>
              <w:spacing w:after="0" w:line="256" w:lineRule="auto"/>
              <w:rPr>
                <w:b/>
                <w:sz w:val="18"/>
                <w:szCs w:val="18"/>
              </w:rPr>
            </w:pPr>
          </w:p>
        </w:tc>
        <w:tc>
          <w:tcPr>
            <w:tcW w:w="1133" w:type="dxa"/>
            <w:vMerge/>
            <w:tcBorders>
              <w:top w:val="single" w:sz="4" w:space="0" w:color="D9D9D9"/>
              <w:left w:val="single" w:sz="4" w:space="0" w:color="D9D9D9"/>
              <w:bottom w:val="single" w:sz="4" w:space="0" w:color="D9D9D9"/>
              <w:right w:val="single" w:sz="4" w:space="0" w:color="D9D9D9"/>
            </w:tcBorders>
            <w:vAlign w:val="center"/>
            <w:hideMark/>
          </w:tcPr>
          <w:p w14:paraId="1F77031C" w14:textId="77777777" w:rsidR="001C19F3" w:rsidRDefault="001C19F3" w:rsidP="00521305">
            <w:pPr>
              <w:spacing w:after="0" w:line="256" w:lineRule="auto"/>
              <w:rPr>
                <w:b/>
                <w:sz w:val="18"/>
                <w:szCs w:val="18"/>
              </w:rPr>
            </w:pPr>
          </w:p>
        </w:tc>
        <w:tc>
          <w:tcPr>
            <w:tcW w:w="1274" w:type="dxa"/>
            <w:vMerge/>
            <w:tcBorders>
              <w:top w:val="single" w:sz="4" w:space="0" w:color="D9D9D9"/>
              <w:left w:val="single" w:sz="4" w:space="0" w:color="D9D9D9"/>
              <w:bottom w:val="single" w:sz="4" w:space="0" w:color="D9D9D9"/>
              <w:right w:val="single" w:sz="4" w:space="0" w:color="D9D9D9"/>
            </w:tcBorders>
            <w:vAlign w:val="center"/>
            <w:hideMark/>
          </w:tcPr>
          <w:p w14:paraId="33BEFD53" w14:textId="77777777" w:rsidR="001C19F3" w:rsidRDefault="001C19F3" w:rsidP="00521305">
            <w:pPr>
              <w:spacing w:after="0" w:line="256" w:lineRule="auto"/>
              <w:rPr>
                <w:b/>
                <w:sz w:val="18"/>
                <w:szCs w:val="18"/>
              </w:rPr>
            </w:pPr>
          </w:p>
        </w:tc>
        <w:tc>
          <w:tcPr>
            <w:tcW w:w="1133" w:type="dxa"/>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41091CD0" w14:textId="77777777" w:rsidR="001C19F3" w:rsidRDefault="001C19F3" w:rsidP="00521305">
            <w:pPr>
              <w:spacing w:after="0"/>
              <w:jc w:val="center"/>
              <w:rPr>
                <w:b/>
                <w:sz w:val="18"/>
                <w:szCs w:val="18"/>
              </w:rPr>
            </w:pPr>
            <w:r>
              <w:rPr>
                <w:b/>
                <w:sz w:val="18"/>
                <w:szCs w:val="18"/>
              </w:rPr>
              <w:t>Interim 2019</w:t>
            </w:r>
          </w:p>
        </w:tc>
        <w:tc>
          <w:tcPr>
            <w:tcW w:w="1133" w:type="dxa"/>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15A3323B" w14:textId="77777777" w:rsidR="001C19F3" w:rsidRDefault="001C19F3" w:rsidP="00521305">
            <w:pPr>
              <w:spacing w:after="0"/>
              <w:jc w:val="center"/>
              <w:rPr>
                <w:b/>
                <w:sz w:val="18"/>
                <w:szCs w:val="18"/>
              </w:rPr>
            </w:pPr>
            <w:r>
              <w:rPr>
                <w:b/>
                <w:sz w:val="18"/>
                <w:szCs w:val="18"/>
              </w:rPr>
              <w:t>Interim 2020</w:t>
            </w:r>
          </w:p>
        </w:tc>
        <w:tc>
          <w:tcPr>
            <w:tcW w:w="1275" w:type="dxa"/>
            <w:tcBorders>
              <w:top w:val="single" w:sz="4" w:space="0" w:color="D9D9D9"/>
              <w:left w:val="single" w:sz="4" w:space="0" w:color="D9D9D9"/>
              <w:bottom w:val="single" w:sz="4" w:space="0" w:color="D9D9D9"/>
              <w:right w:val="single" w:sz="4" w:space="0" w:color="D9D9D9"/>
            </w:tcBorders>
            <w:shd w:val="clear" w:color="auto" w:fill="003D79"/>
            <w:vAlign w:val="center"/>
            <w:hideMark/>
          </w:tcPr>
          <w:p w14:paraId="30CAACAB" w14:textId="77777777" w:rsidR="001C19F3" w:rsidRDefault="001C19F3" w:rsidP="00521305">
            <w:pPr>
              <w:spacing w:after="0"/>
              <w:jc w:val="center"/>
              <w:rPr>
                <w:b/>
                <w:sz w:val="18"/>
                <w:szCs w:val="18"/>
              </w:rPr>
            </w:pPr>
            <w:r>
              <w:rPr>
                <w:b/>
                <w:sz w:val="18"/>
                <w:szCs w:val="18"/>
              </w:rPr>
              <w:t>Final 2021</w:t>
            </w:r>
          </w:p>
        </w:tc>
        <w:tc>
          <w:tcPr>
            <w:tcW w:w="1140" w:type="dxa"/>
            <w:vMerge/>
            <w:tcBorders>
              <w:top w:val="single" w:sz="4" w:space="0" w:color="D9D9D9"/>
              <w:left w:val="single" w:sz="4" w:space="0" w:color="D9D9D9"/>
              <w:bottom w:val="single" w:sz="4" w:space="0" w:color="D9D9D9"/>
              <w:right w:val="single" w:sz="4" w:space="0" w:color="D9D9D9"/>
            </w:tcBorders>
            <w:vAlign w:val="center"/>
            <w:hideMark/>
          </w:tcPr>
          <w:p w14:paraId="6A4EEE8A" w14:textId="77777777" w:rsidR="001C19F3" w:rsidRDefault="001C19F3" w:rsidP="00521305">
            <w:pPr>
              <w:spacing w:after="0" w:line="256" w:lineRule="auto"/>
              <w:rPr>
                <w:b/>
                <w:sz w:val="18"/>
                <w:szCs w:val="18"/>
              </w:rPr>
            </w:pPr>
          </w:p>
        </w:tc>
      </w:tr>
      <w:tr w:rsidR="001C19F3" w14:paraId="60F4CAE8"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44B955D9" w14:textId="77777777" w:rsidR="001C19F3" w:rsidRDefault="001C19F3" w:rsidP="00521305">
            <w:pPr>
              <w:spacing w:after="0"/>
              <w:rPr>
                <w:sz w:val="18"/>
                <w:szCs w:val="18"/>
              </w:rPr>
            </w:pPr>
            <w:r>
              <w:rPr>
                <w:sz w:val="18"/>
                <w:szCs w:val="18"/>
              </w:rPr>
              <w:t>Patient surveys</w:t>
            </w:r>
          </w:p>
        </w:tc>
        <w:tc>
          <w:tcPr>
            <w:tcW w:w="1133" w:type="dxa"/>
            <w:tcBorders>
              <w:top w:val="single" w:sz="4" w:space="0" w:color="D9D9D9"/>
              <w:left w:val="single" w:sz="4" w:space="0" w:color="D9D9D9"/>
              <w:bottom w:val="single" w:sz="4" w:space="0" w:color="D9D9D9"/>
              <w:right w:val="single" w:sz="4" w:space="0" w:color="D9D9D9"/>
            </w:tcBorders>
            <w:hideMark/>
          </w:tcPr>
          <w:p w14:paraId="151F357C" w14:textId="77777777" w:rsidR="001C19F3" w:rsidRDefault="001C19F3" w:rsidP="00521305">
            <w:pPr>
              <w:spacing w:after="0"/>
              <w:jc w:val="center"/>
              <w:rPr>
                <w:sz w:val="18"/>
                <w:szCs w:val="18"/>
              </w:rPr>
            </w:pPr>
            <w:r>
              <w:rPr>
                <w:sz w:val="18"/>
                <w:szCs w:val="18"/>
              </w:rPr>
              <w:t>3</w:t>
            </w:r>
          </w:p>
        </w:tc>
        <w:tc>
          <w:tcPr>
            <w:tcW w:w="1274" w:type="dxa"/>
            <w:tcBorders>
              <w:top w:val="single" w:sz="4" w:space="0" w:color="D9D9D9"/>
              <w:left w:val="single" w:sz="4" w:space="0" w:color="D9D9D9"/>
              <w:bottom w:val="single" w:sz="4" w:space="0" w:color="D9D9D9"/>
              <w:right w:val="single" w:sz="4" w:space="0" w:color="D9D9D9"/>
            </w:tcBorders>
            <w:hideMark/>
          </w:tcPr>
          <w:p w14:paraId="69538CBE" w14:textId="77777777" w:rsidR="001C19F3" w:rsidRDefault="001C19F3" w:rsidP="00521305">
            <w:pPr>
              <w:spacing w:after="0"/>
              <w:jc w:val="center"/>
              <w:rPr>
                <w:sz w:val="18"/>
                <w:szCs w:val="18"/>
              </w:rPr>
            </w:pPr>
            <w:r>
              <w:rPr>
                <w:sz w:val="18"/>
                <w:szCs w:val="18"/>
              </w:rPr>
              <w:t>Primary</w:t>
            </w:r>
          </w:p>
        </w:tc>
        <w:tc>
          <w:tcPr>
            <w:tcW w:w="1133" w:type="dxa"/>
            <w:tcBorders>
              <w:top w:val="single" w:sz="4" w:space="0" w:color="D9D9D9"/>
              <w:left w:val="single" w:sz="4" w:space="0" w:color="D9D9D9"/>
              <w:bottom w:val="single" w:sz="4" w:space="0" w:color="D9D9D9"/>
              <w:right w:val="single" w:sz="4" w:space="0" w:color="D9D9D9"/>
            </w:tcBorders>
            <w:hideMark/>
          </w:tcPr>
          <w:p w14:paraId="454B45CA" w14:textId="77777777" w:rsidR="001C19F3" w:rsidRDefault="001C19F3" w:rsidP="00521305">
            <w:pPr>
              <w:spacing w:after="0"/>
              <w:jc w:val="center"/>
              <w:rPr>
                <w:sz w:val="18"/>
                <w:szCs w:val="18"/>
                <w:highlight w:val="yellow"/>
              </w:rPr>
            </w:pPr>
            <w:r>
              <w:rPr>
                <w:sz w:val="18"/>
                <w:szCs w:val="18"/>
              </w:rPr>
              <w:t>Wave 1</w:t>
            </w:r>
          </w:p>
        </w:tc>
        <w:tc>
          <w:tcPr>
            <w:tcW w:w="1133" w:type="dxa"/>
            <w:tcBorders>
              <w:top w:val="single" w:sz="4" w:space="0" w:color="D9D9D9"/>
              <w:left w:val="single" w:sz="4" w:space="0" w:color="D9D9D9"/>
              <w:bottom w:val="single" w:sz="4" w:space="0" w:color="D9D9D9"/>
              <w:right w:val="single" w:sz="4" w:space="0" w:color="D9D9D9"/>
            </w:tcBorders>
            <w:hideMark/>
          </w:tcPr>
          <w:p w14:paraId="73C13E61" w14:textId="77777777" w:rsidR="001C19F3" w:rsidRDefault="001C19F3" w:rsidP="00521305">
            <w:pPr>
              <w:spacing w:after="0"/>
              <w:jc w:val="center"/>
              <w:rPr>
                <w:sz w:val="18"/>
                <w:szCs w:val="18"/>
              </w:rPr>
            </w:pPr>
            <w:r>
              <w:rPr>
                <w:sz w:val="18"/>
                <w:szCs w:val="18"/>
              </w:rPr>
              <w:t>Wave 2</w:t>
            </w:r>
          </w:p>
        </w:tc>
        <w:tc>
          <w:tcPr>
            <w:tcW w:w="1275" w:type="dxa"/>
            <w:tcBorders>
              <w:top w:val="single" w:sz="4" w:space="0" w:color="D9D9D9"/>
              <w:left w:val="single" w:sz="4" w:space="0" w:color="D9D9D9"/>
              <w:bottom w:val="single" w:sz="4" w:space="0" w:color="D9D9D9"/>
              <w:right w:val="single" w:sz="4" w:space="0" w:color="D9D9D9"/>
            </w:tcBorders>
            <w:hideMark/>
          </w:tcPr>
          <w:p w14:paraId="578313EF" w14:textId="77777777" w:rsidR="001C19F3" w:rsidRDefault="001C19F3" w:rsidP="00521305">
            <w:pPr>
              <w:spacing w:after="0"/>
              <w:jc w:val="center"/>
              <w:rPr>
                <w:sz w:val="18"/>
                <w:szCs w:val="18"/>
              </w:rPr>
            </w:pPr>
            <w:r>
              <w:rPr>
                <w:sz w:val="18"/>
                <w:szCs w:val="18"/>
              </w:rPr>
              <w:t>Wave 1, 2 and 3</w:t>
            </w:r>
          </w:p>
        </w:tc>
        <w:tc>
          <w:tcPr>
            <w:tcW w:w="1140" w:type="dxa"/>
            <w:tcBorders>
              <w:top w:val="single" w:sz="4" w:space="0" w:color="D9D9D9"/>
              <w:left w:val="single" w:sz="4" w:space="0" w:color="D9D9D9"/>
              <w:bottom w:val="single" w:sz="4" w:space="0" w:color="D9D9D9"/>
              <w:right w:val="single" w:sz="4" w:space="0" w:color="D9D9D9"/>
            </w:tcBorders>
            <w:hideMark/>
          </w:tcPr>
          <w:p w14:paraId="5AA0AC09" w14:textId="77777777" w:rsidR="001C19F3" w:rsidRPr="00F5548C" w:rsidRDefault="001C19F3" w:rsidP="00521305">
            <w:pPr>
              <w:spacing w:after="0"/>
              <w:jc w:val="center"/>
              <w:rPr>
                <w:sz w:val="18"/>
                <w:szCs w:val="18"/>
              </w:rPr>
            </w:pPr>
            <w:r w:rsidRPr="00F5548C">
              <w:rPr>
                <w:sz w:val="18"/>
                <w:szCs w:val="18"/>
              </w:rPr>
              <w:t>4</w:t>
            </w:r>
          </w:p>
        </w:tc>
      </w:tr>
      <w:tr w:rsidR="001C19F3" w14:paraId="6F098C07"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2A1906DE" w14:textId="77777777" w:rsidR="001C19F3" w:rsidRDefault="001C19F3" w:rsidP="00521305">
            <w:pPr>
              <w:spacing w:after="0"/>
              <w:rPr>
                <w:sz w:val="18"/>
                <w:szCs w:val="18"/>
              </w:rPr>
            </w:pPr>
            <w:r>
              <w:rPr>
                <w:sz w:val="18"/>
                <w:szCs w:val="18"/>
              </w:rPr>
              <w:t>Practice surveys</w:t>
            </w:r>
          </w:p>
        </w:tc>
        <w:tc>
          <w:tcPr>
            <w:tcW w:w="1133" w:type="dxa"/>
            <w:tcBorders>
              <w:top w:val="single" w:sz="4" w:space="0" w:color="D9D9D9"/>
              <w:left w:val="single" w:sz="4" w:space="0" w:color="D9D9D9"/>
              <w:bottom w:val="single" w:sz="4" w:space="0" w:color="D9D9D9"/>
              <w:right w:val="single" w:sz="4" w:space="0" w:color="D9D9D9"/>
            </w:tcBorders>
            <w:hideMark/>
          </w:tcPr>
          <w:p w14:paraId="1D292B4C" w14:textId="77777777" w:rsidR="001C19F3" w:rsidRDefault="001C19F3" w:rsidP="00521305">
            <w:pPr>
              <w:spacing w:after="0"/>
              <w:jc w:val="center"/>
              <w:rPr>
                <w:sz w:val="18"/>
                <w:szCs w:val="18"/>
              </w:rPr>
            </w:pPr>
            <w:r>
              <w:rPr>
                <w:sz w:val="18"/>
                <w:szCs w:val="18"/>
              </w:rPr>
              <w:t>1, 2, 4</w:t>
            </w:r>
          </w:p>
        </w:tc>
        <w:tc>
          <w:tcPr>
            <w:tcW w:w="1274" w:type="dxa"/>
            <w:tcBorders>
              <w:top w:val="single" w:sz="4" w:space="0" w:color="D9D9D9"/>
              <w:left w:val="single" w:sz="4" w:space="0" w:color="D9D9D9"/>
              <w:bottom w:val="single" w:sz="4" w:space="0" w:color="D9D9D9"/>
              <w:right w:val="single" w:sz="4" w:space="0" w:color="D9D9D9"/>
            </w:tcBorders>
            <w:hideMark/>
          </w:tcPr>
          <w:p w14:paraId="4F6EC25F" w14:textId="77777777" w:rsidR="001C19F3" w:rsidRDefault="001C19F3" w:rsidP="00521305">
            <w:pPr>
              <w:spacing w:after="0"/>
              <w:jc w:val="center"/>
              <w:rPr>
                <w:sz w:val="18"/>
                <w:szCs w:val="18"/>
              </w:rPr>
            </w:pPr>
            <w:r>
              <w:rPr>
                <w:sz w:val="18"/>
                <w:szCs w:val="18"/>
              </w:rPr>
              <w:t>Primary</w:t>
            </w:r>
          </w:p>
        </w:tc>
        <w:tc>
          <w:tcPr>
            <w:tcW w:w="1133" w:type="dxa"/>
            <w:tcBorders>
              <w:top w:val="single" w:sz="4" w:space="0" w:color="D9D9D9"/>
              <w:left w:val="single" w:sz="4" w:space="0" w:color="D9D9D9"/>
              <w:bottom w:val="single" w:sz="4" w:space="0" w:color="D9D9D9"/>
              <w:right w:val="single" w:sz="4" w:space="0" w:color="D9D9D9"/>
            </w:tcBorders>
            <w:hideMark/>
          </w:tcPr>
          <w:p w14:paraId="6723A674" w14:textId="77777777" w:rsidR="001C19F3" w:rsidRDefault="001C19F3" w:rsidP="00521305">
            <w:pPr>
              <w:spacing w:after="0"/>
              <w:jc w:val="center"/>
              <w:rPr>
                <w:sz w:val="18"/>
                <w:szCs w:val="18"/>
                <w:highlight w:val="yellow"/>
              </w:rPr>
            </w:pPr>
            <w:r>
              <w:rPr>
                <w:sz w:val="18"/>
                <w:szCs w:val="18"/>
              </w:rPr>
              <w:t>R1 R2</w:t>
            </w:r>
          </w:p>
        </w:tc>
        <w:tc>
          <w:tcPr>
            <w:tcW w:w="1133" w:type="dxa"/>
            <w:tcBorders>
              <w:top w:val="single" w:sz="4" w:space="0" w:color="D9D9D9"/>
              <w:left w:val="single" w:sz="4" w:space="0" w:color="D9D9D9"/>
              <w:bottom w:val="single" w:sz="4" w:space="0" w:color="D9D9D9"/>
              <w:right w:val="single" w:sz="4" w:space="0" w:color="D9D9D9"/>
            </w:tcBorders>
            <w:hideMark/>
          </w:tcPr>
          <w:p w14:paraId="5DB59837" w14:textId="77777777" w:rsidR="001C19F3" w:rsidRDefault="001C19F3" w:rsidP="00521305">
            <w:pPr>
              <w:spacing w:after="0"/>
              <w:jc w:val="center"/>
              <w:rPr>
                <w:sz w:val="18"/>
                <w:szCs w:val="18"/>
                <w:highlight w:val="yellow"/>
              </w:rPr>
            </w:pPr>
            <w:r>
              <w:rPr>
                <w:sz w:val="18"/>
                <w:szCs w:val="18"/>
              </w:rPr>
              <w:t>R1 R2 R4</w:t>
            </w:r>
          </w:p>
        </w:tc>
        <w:tc>
          <w:tcPr>
            <w:tcW w:w="1275" w:type="dxa"/>
            <w:tcBorders>
              <w:top w:val="single" w:sz="4" w:space="0" w:color="D9D9D9"/>
              <w:left w:val="single" w:sz="4" w:space="0" w:color="D9D9D9"/>
              <w:bottom w:val="single" w:sz="4" w:space="0" w:color="D9D9D9"/>
              <w:right w:val="single" w:sz="4" w:space="0" w:color="D9D9D9"/>
            </w:tcBorders>
            <w:hideMark/>
          </w:tcPr>
          <w:p w14:paraId="1A9D5B49" w14:textId="77777777" w:rsidR="001C19F3" w:rsidRDefault="001C19F3" w:rsidP="00521305">
            <w:pPr>
              <w:spacing w:after="0"/>
              <w:jc w:val="center"/>
              <w:rPr>
                <w:sz w:val="18"/>
                <w:szCs w:val="18"/>
                <w:highlight w:val="yellow"/>
              </w:rPr>
            </w:pPr>
            <w:r>
              <w:rPr>
                <w:sz w:val="18"/>
                <w:szCs w:val="18"/>
              </w:rPr>
              <w:t>R1 R2 R4 R5</w:t>
            </w:r>
          </w:p>
        </w:tc>
        <w:tc>
          <w:tcPr>
            <w:tcW w:w="1140" w:type="dxa"/>
            <w:tcBorders>
              <w:top w:val="single" w:sz="4" w:space="0" w:color="D9D9D9"/>
              <w:left w:val="single" w:sz="4" w:space="0" w:color="D9D9D9"/>
              <w:bottom w:val="single" w:sz="4" w:space="0" w:color="D9D9D9"/>
              <w:right w:val="single" w:sz="4" w:space="0" w:color="D9D9D9"/>
            </w:tcBorders>
            <w:hideMark/>
          </w:tcPr>
          <w:p w14:paraId="21C3C92D" w14:textId="77777777" w:rsidR="001C19F3" w:rsidRPr="00F5548C" w:rsidRDefault="001C19F3" w:rsidP="00521305">
            <w:pPr>
              <w:spacing w:after="0"/>
              <w:jc w:val="center"/>
              <w:rPr>
                <w:sz w:val="18"/>
                <w:szCs w:val="18"/>
              </w:rPr>
            </w:pPr>
            <w:r w:rsidRPr="00F5548C">
              <w:rPr>
                <w:sz w:val="18"/>
                <w:szCs w:val="18"/>
              </w:rPr>
              <w:t>2</w:t>
            </w:r>
          </w:p>
        </w:tc>
      </w:tr>
      <w:tr w:rsidR="001C19F3" w14:paraId="05652FF0"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5C4DC9B9" w14:textId="77777777" w:rsidR="001C19F3" w:rsidRDefault="001C19F3" w:rsidP="00521305">
            <w:pPr>
              <w:spacing w:after="0"/>
              <w:rPr>
                <w:sz w:val="18"/>
                <w:szCs w:val="18"/>
              </w:rPr>
            </w:pPr>
            <w:r>
              <w:rPr>
                <w:sz w:val="18"/>
                <w:szCs w:val="18"/>
              </w:rPr>
              <w:t>Practice staff surveys</w:t>
            </w:r>
          </w:p>
        </w:tc>
        <w:tc>
          <w:tcPr>
            <w:tcW w:w="1133" w:type="dxa"/>
            <w:tcBorders>
              <w:top w:val="single" w:sz="4" w:space="0" w:color="D9D9D9"/>
              <w:left w:val="single" w:sz="4" w:space="0" w:color="D9D9D9"/>
              <w:bottom w:val="single" w:sz="4" w:space="0" w:color="D9D9D9"/>
              <w:right w:val="single" w:sz="4" w:space="0" w:color="D9D9D9"/>
            </w:tcBorders>
            <w:hideMark/>
          </w:tcPr>
          <w:p w14:paraId="2F40AEAD" w14:textId="77777777" w:rsidR="001C19F3" w:rsidRDefault="001C19F3" w:rsidP="00521305">
            <w:pPr>
              <w:spacing w:after="0"/>
              <w:jc w:val="center"/>
              <w:rPr>
                <w:sz w:val="18"/>
                <w:szCs w:val="18"/>
              </w:rPr>
            </w:pPr>
            <w:r>
              <w:rPr>
                <w:sz w:val="18"/>
                <w:szCs w:val="18"/>
              </w:rPr>
              <w:t>1, 2, 4</w:t>
            </w:r>
          </w:p>
        </w:tc>
        <w:tc>
          <w:tcPr>
            <w:tcW w:w="1274" w:type="dxa"/>
            <w:tcBorders>
              <w:top w:val="single" w:sz="4" w:space="0" w:color="D9D9D9"/>
              <w:left w:val="single" w:sz="4" w:space="0" w:color="D9D9D9"/>
              <w:bottom w:val="single" w:sz="4" w:space="0" w:color="D9D9D9"/>
              <w:right w:val="single" w:sz="4" w:space="0" w:color="D9D9D9"/>
            </w:tcBorders>
            <w:hideMark/>
          </w:tcPr>
          <w:p w14:paraId="5F79EEF9" w14:textId="77777777" w:rsidR="001C19F3" w:rsidRDefault="001C19F3" w:rsidP="00521305">
            <w:pPr>
              <w:spacing w:after="0"/>
              <w:jc w:val="center"/>
              <w:rPr>
                <w:sz w:val="18"/>
                <w:szCs w:val="18"/>
              </w:rPr>
            </w:pPr>
            <w:r>
              <w:rPr>
                <w:sz w:val="18"/>
                <w:szCs w:val="18"/>
              </w:rPr>
              <w:t>Primary</w:t>
            </w:r>
          </w:p>
        </w:tc>
        <w:tc>
          <w:tcPr>
            <w:tcW w:w="1133" w:type="dxa"/>
            <w:tcBorders>
              <w:top w:val="single" w:sz="4" w:space="0" w:color="D9D9D9"/>
              <w:left w:val="single" w:sz="4" w:space="0" w:color="D9D9D9"/>
              <w:bottom w:val="single" w:sz="4" w:space="0" w:color="D9D9D9"/>
              <w:right w:val="single" w:sz="4" w:space="0" w:color="D9D9D9"/>
            </w:tcBorders>
            <w:hideMark/>
          </w:tcPr>
          <w:p w14:paraId="63D1B546" w14:textId="77777777" w:rsidR="001C19F3" w:rsidRDefault="001C19F3" w:rsidP="00521305">
            <w:pPr>
              <w:spacing w:after="0"/>
              <w:jc w:val="center"/>
              <w:rPr>
                <w:sz w:val="18"/>
                <w:szCs w:val="18"/>
                <w:highlight w:val="yellow"/>
              </w:rPr>
            </w:pPr>
            <w:r>
              <w:rPr>
                <w:sz w:val="18"/>
                <w:szCs w:val="18"/>
              </w:rPr>
              <w:t>R1 R2</w:t>
            </w:r>
          </w:p>
        </w:tc>
        <w:tc>
          <w:tcPr>
            <w:tcW w:w="1133" w:type="dxa"/>
            <w:tcBorders>
              <w:top w:val="single" w:sz="4" w:space="0" w:color="D9D9D9"/>
              <w:left w:val="single" w:sz="4" w:space="0" w:color="D9D9D9"/>
              <w:bottom w:val="single" w:sz="4" w:space="0" w:color="D9D9D9"/>
              <w:right w:val="single" w:sz="4" w:space="0" w:color="D9D9D9"/>
            </w:tcBorders>
            <w:hideMark/>
          </w:tcPr>
          <w:p w14:paraId="7F243111" w14:textId="77777777" w:rsidR="001C19F3" w:rsidRDefault="001C19F3" w:rsidP="00521305">
            <w:pPr>
              <w:spacing w:after="0"/>
              <w:jc w:val="center"/>
              <w:rPr>
                <w:sz w:val="18"/>
                <w:szCs w:val="18"/>
                <w:highlight w:val="yellow"/>
              </w:rPr>
            </w:pPr>
            <w:r>
              <w:rPr>
                <w:sz w:val="18"/>
                <w:szCs w:val="18"/>
              </w:rPr>
              <w:t>R1 R2 R4</w:t>
            </w:r>
          </w:p>
        </w:tc>
        <w:tc>
          <w:tcPr>
            <w:tcW w:w="1275" w:type="dxa"/>
            <w:tcBorders>
              <w:top w:val="single" w:sz="4" w:space="0" w:color="D9D9D9"/>
              <w:left w:val="single" w:sz="4" w:space="0" w:color="D9D9D9"/>
              <w:bottom w:val="single" w:sz="4" w:space="0" w:color="D9D9D9"/>
              <w:right w:val="single" w:sz="4" w:space="0" w:color="D9D9D9"/>
            </w:tcBorders>
            <w:hideMark/>
          </w:tcPr>
          <w:p w14:paraId="2A7B55EF" w14:textId="77777777" w:rsidR="001C19F3" w:rsidRDefault="001C19F3" w:rsidP="00521305">
            <w:pPr>
              <w:spacing w:after="0"/>
              <w:jc w:val="center"/>
              <w:rPr>
                <w:sz w:val="18"/>
                <w:szCs w:val="18"/>
                <w:highlight w:val="yellow"/>
              </w:rPr>
            </w:pPr>
            <w:r>
              <w:rPr>
                <w:sz w:val="18"/>
                <w:szCs w:val="18"/>
              </w:rPr>
              <w:t>R1 R2 R4 R5</w:t>
            </w:r>
          </w:p>
        </w:tc>
        <w:tc>
          <w:tcPr>
            <w:tcW w:w="1140" w:type="dxa"/>
            <w:tcBorders>
              <w:top w:val="single" w:sz="4" w:space="0" w:color="D9D9D9"/>
              <w:left w:val="single" w:sz="4" w:space="0" w:color="D9D9D9"/>
              <w:bottom w:val="single" w:sz="4" w:space="0" w:color="D9D9D9"/>
              <w:right w:val="single" w:sz="4" w:space="0" w:color="D9D9D9"/>
            </w:tcBorders>
            <w:hideMark/>
          </w:tcPr>
          <w:p w14:paraId="589C75EF" w14:textId="77777777" w:rsidR="001C19F3" w:rsidRPr="00F5548C" w:rsidRDefault="001C19F3" w:rsidP="00521305">
            <w:pPr>
              <w:spacing w:after="0"/>
              <w:jc w:val="center"/>
              <w:rPr>
                <w:sz w:val="18"/>
                <w:szCs w:val="18"/>
              </w:rPr>
            </w:pPr>
            <w:r w:rsidRPr="00F5548C">
              <w:rPr>
                <w:sz w:val="18"/>
                <w:szCs w:val="18"/>
              </w:rPr>
              <w:t>2</w:t>
            </w:r>
          </w:p>
        </w:tc>
      </w:tr>
      <w:tr w:rsidR="001C19F3" w14:paraId="4E923EDB"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15ECC310" w14:textId="77777777" w:rsidR="001C19F3" w:rsidRDefault="001C19F3" w:rsidP="00521305">
            <w:pPr>
              <w:spacing w:after="0"/>
              <w:rPr>
                <w:sz w:val="18"/>
                <w:szCs w:val="18"/>
              </w:rPr>
            </w:pPr>
            <w:r>
              <w:rPr>
                <w:sz w:val="18"/>
                <w:szCs w:val="18"/>
              </w:rPr>
              <w:t>PHN surveys</w:t>
            </w:r>
          </w:p>
        </w:tc>
        <w:tc>
          <w:tcPr>
            <w:tcW w:w="1133" w:type="dxa"/>
            <w:tcBorders>
              <w:top w:val="single" w:sz="4" w:space="0" w:color="D9D9D9"/>
              <w:left w:val="single" w:sz="4" w:space="0" w:color="D9D9D9"/>
              <w:bottom w:val="single" w:sz="4" w:space="0" w:color="D9D9D9"/>
              <w:right w:val="single" w:sz="4" w:space="0" w:color="D9D9D9"/>
            </w:tcBorders>
            <w:hideMark/>
          </w:tcPr>
          <w:p w14:paraId="3703EB1E" w14:textId="77777777" w:rsidR="001C19F3" w:rsidRDefault="001C19F3" w:rsidP="00521305">
            <w:pPr>
              <w:spacing w:after="0"/>
              <w:jc w:val="center"/>
              <w:rPr>
                <w:sz w:val="18"/>
                <w:szCs w:val="18"/>
              </w:rPr>
            </w:pPr>
            <w:r>
              <w:rPr>
                <w:sz w:val="18"/>
                <w:szCs w:val="18"/>
              </w:rPr>
              <w:t>1, 2, 4</w:t>
            </w:r>
          </w:p>
        </w:tc>
        <w:tc>
          <w:tcPr>
            <w:tcW w:w="1274" w:type="dxa"/>
            <w:tcBorders>
              <w:top w:val="single" w:sz="4" w:space="0" w:color="D9D9D9"/>
              <w:left w:val="single" w:sz="4" w:space="0" w:color="D9D9D9"/>
              <w:bottom w:val="single" w:sz="4" w:space="0" w:color="D9D9D9"/>
              <w:right w:val="single" w:sz="4" w:space="0" w:color="D9D9D9"/>
            </w:tcBorders>
            <w:hideMark/>
          </w:tcPr>
          <w:p w14:paraId="2C5FC17B" w14:textId="77777777" w:rsidR="001C19F3" w:rsidRDefault="001C19F3" w:rsidP="00521305">
            <w:pPr>
              <w:spacing w:after="0"/>
              <w:jc w:val="center"/>
              <w:rPr>
                <w:sz w:val="18"/>
                <w:szCs w:val="18"/>
              </w:rPr>
            </w:pPr>
            <w:r>
              <w:rPr>
                <w:sz w:val="18"/>
                <w:szCs w:val="18"/>
              </w:rPr>
              <w:t>Primary</w:t>
            </w:r>
          </w:p>
        </w:tc>
        <w:tc>
          <w:tcPr>
            <w:tcW w:w="1133" w:type="dxa"/>
            <w:tcBorders>
              <w:top w:val="single" w:sz="4" w:space="0" w:color="D9D9D9"/>
              <w:left w:val="single" w:sz="4" w:space="0" w:color="D9D9D9"/>
              <w:bottom w:val="single" w:sz="4" w:space="0" w:color="D9D9D9"/>
              <w:right w:val="single" w:sz="4" w:space="0" w:color="D9D9D9"/>
            </w:tcBorders>
            <w:hideMark/>
          </w:tcPr>
          <w:p w14:paraId="708E4E84" w14:textId="77777777" w:rsidR="001C19F3" w:rsidRDefault="001C19F3" w:rsidP="00521305">
            <w:pPr>
              <w:spacing w:after="0"/>
              <w:jc w:val="center"/>
              <w:rPr>
                <w:sz w:val="18"/>
                <w:szCs w:val="18"/>
                <w:highlight w:val="yellow"/>
              </w:rPr>
            </w:pPr>
            <w:r>
              <w:rPr>
                <w:sz w:val="18"/>
                <w:szCs w:val="18"/>
              </w:rPr>
              <w:t>R1 R2</w:t>
            </w:r>
          </w:p>
        </w:tc>
        <w:tc>
          <w:tcPr>
            <w:tcW w:w="1133" w:type="dxa"/>
            <w:tcBorders>
              <w:top w:val="single" w:sz="4" w:space="0" w:color="D9D9D9"/>
              <w:left w:val="single" w:sz="4" w:space="0" w:color="D9D9D9"/>
              <w:bottom w:val="single" w:sz="4" w:space="0" w:color="D9D9D9"/>
              <w:right w:val="single" w:sz="4" w:space="0" w:color="D9D9D9"/>
            </w:tcBorders>
            <w:hideMark/>
          </w:tcPr>
          <w:p w14:paraId="1E671F0F" w14:textId="77777777" w:rsidR="001C19F3" w:rsidRDefault="001C19F3" w:rsidP="00521305">
            <w:pPr>
              <w:spacing w:after="0"/>
              <w:jc w:val="center"/>
              <w:rPr>
                <w:sz w:val="18"/>
                <w:szCs w:val="18"/>
                <w:highlight w:val="yellow"/>
              </w:rPr>
            </w:pPr>
            <w:r>
              <w:rPr>
                <w:sz w:val="18"/>
                <w:szCs w:val="18"/>
              </w:rPr>
              <w:t>R1 R2 R4</w:t>
            </w:r>
          </w:p>
        </w:tc>
        <w:tc>
          <w:tcPr>
            <w:tcW w:w="1275" w:type="dxa"/>
            <w:tcBorders>
              <w:top w:val="single" w:sz="4" w:space="0" w:color="D9D9D9"/>
              <w:left w:val="single" w:sz="4" w:space="0" w:color="D9D9D9"/>
              <w:bottom w:val="single" w:sz="4" w:space="0" w:color="D9D9D9"/>
              <w:right w:val="single" w:sz="4" w:space="0" w:color="D9D9D9"/>
            </w:tcBorders>
            <w:hideMark/>
          </w:tcPr>
          <w:p w14:paraId="751F34B9" w14:textId="77777777" w:rsidR="001C19F3" w:rsidRDefault="001C19F3" w:rsidP="00521305">
            <w:pPr>
              <w:spacing w:after="0"/>
              <w:jc w:val="center"/>
              <w:rPr>
                <w:sz w:val="18"/>
                <w:szCs w:val="18"/>
                <w:highlight w:val="yellow"/>
              </w:rPr>
            </w:pPr>
            <w:r>
              <w:rPr>
                <w:sz w:val="18"/>
                <w:szCs w:val="18"/>
              </w:rPr>
              <w:t>R1 R2 R4 R5</w:t>
            </w:r>
          </w:p>
        </w:tc>
        <w:tc>
          <w:tcPr>
            <w:tcW w:w="1140" w:type="dxa"/>
            <w:tcBorders>
              <w:top w:val="single" w:sz="4" w:space="0" w:color="D9D9D9"/>
              <w:left w:val="single" w:sz="4" w:space="0" w:color="D9D9D9"/>
              <w:bottom w:val="single" w:sz="4" w:space="0" w:color="D9D9D9"/>
              <w:right w:val="single" w:sz="4" w:space="0" w:color="D9D9D9"/>
            </w:tcBorders>
            <w:hideMark/>
          </w:tcPr>
          <w:p w14:paraId="493698D7" w14:textId="77777777" w:rsidR="001C19F3" w:rsidRPr="00F5548C" w:rsidRDefault="001C19F3" w:rsidP="00521305">
            <w:pPr>
              <w:spacing w:after="0"/>
              <w:jc w:val="center"/>
              <w:rPr>
                <w:sz w:val="18"/>
                <w:szCs w:val="18"/>
              </w:rPr>
            </w:pPr>
            <w:r w:rsidRPr="00F5548C">
              <w:rPr>
                <w:sz w:val="18"/>
                <w:szCs w:val="18"/>
              </w:rPr>
              <w:t>3</w:t>
            </w:r>
          </w:p>
        </w:tc>
      </w:tr>
      <w:tr w:rsidR="001C19F3" w14:paraId="33DC9B8B"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5B822DBA" w14:textId="77777777" w:rsidR="001C19F3" w:rsidRDefault="001C19F3" w:rsidP="00521305">
            <w:pPr>
              <w:spacing w:after="0"/>
              <w:rPr>
                <w:sz w:val="18"/>
                <w:szCs w:val="18"/>
              </w:rPr>
            </w:pPr>
            <w:r>
              <w:rPr>
                <w:sz w:val="18"/>
                <w:szCs w:val="18"/>
              </w:rPr>
              <w:t>PHN interviews</w:t>
            </w:r>
          </w:p>
        </w:tc>
        <w:tc>
          <w:tcPr>
            <w:tcW w:w="1133" w:type="dxa"/>
            <w:tcBorders>
              <w:top w:val="single" w:sz="4" w:space="0" w:color="D9D9D9"/>
              <w:left w:val="single" w:sz="4" w:space="0" w:color="D9D9D9"/>
              <w:bottom w:val="single" w:sz="4" w:space="0" w:color="D9D9D9"/>
              <w:right w:val="single" w:sz="4" w:space="0" w:color="D9D9D9"/>
            </w:tcBorders>
            <w:hideMark/>
          </w:tcPr>
          <w:p w14:paraId="2C210E11" w14:textId="77777777" w:rsidR="001C19F3" w:rsidRDefault="001C19F3" w:rsidP="00521305">
            <w:pPr>
              <w:spacing w:after="0"/>
              <w:jc w:val="center"/>
              <w:rPr>
                <w:sz w:val="18"/>
                <w:szCs w:val="18"/>
              </w:rPr>
            </w:pPr>
            <w:r>
              <w:rPr>
                <w:sz w:val="18"/>
                <w:szCs w:val="18"/>
              </w:rPr>
              <w:t>1, 2,4</w:t>
            </w:r>
          </w:p>
        </w:tc>
        <w:tc>
          <w:tcPr>
            <w:tcW w:w="1274" w:type="dxa"/>
            <w:tcBorders>
              <w:top w:val="single" w:sz="4" w:space="0" w:color="D9D9D9"/>
              <w:left w:val="single" w:sz="4" w:space="0" w:color="D9D9D9"/>
              <w:bottom w:val="single" w:sz="4" w:space="0" w:color="D9D9D9"/>
              <w:right w:val="single" w:sz="4" w:space="0" w:color="D9D9D9"/>
            </w:tcBorders>
            <w:hideMark/>
          </w:tcPr>
          <w:p w14:paraId="0B255F52" w14:textId="77777777" w:rsidR="001C19F3" w:rsidRDefault="001C19F3" w:rsidP="00521305">
            <w:pPr>
              <w:spacing w:after="0"/>
              <w:jc w:val="center"/>
              <w:rPr>
                <w:sz w:val="18"/>
                <w:szCs w:val="18"/>
              </w:rPr>
            </w:pPr>
            <w:r>
              <w:rPr>
                <w:sz w:val="18"/>
                <w:szCs w:val="18"/>
              </w:rPr>
              <w:t>Primary</w:t>
            </w:r>
          </w:p>
        </w:tc>
        <w:tc>
          <w:tcPr>
            <w:tcW w:w="1133" w:type="dxa"/>
            <w:tcBorders>
              <w:top w:val="single" w:sz="4" w:space="0" w:color="D9D9D9"/>
              <w:left w:val="single" w:sz="4" w:space="0" w:color="D9D9D9"/>
              <w:bottom w:val="single" w:sz="4" w:space="0" w:color="D9D9D9"/>
              <w:right w:val="single" w:sz="4" w:space="0" w:color="D9D9D9"/>
            </w:tcBorders>
            <w:hideMark/>
          </w:tcPr>
          <w:p w14:paraId="33C688A8" w14:textId="77777777" w:rsidR="001C19F3" w:rsidRDefault="001C19F3" w:rsidP="00521305">
            <w:pPr>
              <w:spacing w:after="0"/>
              <w:jc w:val="center"/>
              <w:rPr>
                <w:sz w:val="18"/>
                <w:szCs w:val="18"/>
                <w:highlight w:val="yellow"/>
              </w:rPr>
            </w:pPr>
            <w:r>
              <w:rPr>
                <w:sz w:val="18"/>
                <w:szCs w:val="18"/>
              </w:rPr>
              <w:t>R1 R2</w:t>
            </w:r>
          </w:p>
        </w:tc>
        <w:tc>
          <w:tcPr>
            <w:tcW w:w="1133" w:type="dxa"/>
            <w:tcBorders>
              <w:top w:val="single" w:sz="4" w:space="0" w:color="D9D9D9"/>
              <w:left w:val="single" w:sz="4" w:space="0" w:color="D9D9D9"/>
              <w:bottom w:val="single" w:sz="4" w:space="0" w:color="D9D9D9"/>
              <w:right w:val="single" w:sz="4" w:space="0" w:color="D9D9D9"/>
            </w:tcBorders>
            <w:hideMark/>
          </w:tcPr>
          <w:p w14:paraId="627573E4" w14:textId="77777777" w:rsidR="001C19F3" w:rsidRDefault="001C19F3" w:rsidP="00521305">
            <w:pPr>
              <w:spacing w:after="0"/>
              <w:jc w:val="center"/>
              <w:rPr>
                <w:sz w:val="18"/>
                <w:szCs w:val="18"/>
                <w:highlight w:val="yellow"/>
              </w:rPr>
            </w:pPr>
            <w:r>
              <w:rPr>
                <w:sz w:val="18"/>
                <w:szCs w:val="18"/>
              </w:rPr>
              <w:t>R1 R2 R4</w:t>
            </w:r>
          </w:p>
        </w:tc>
        <w:tc>
          <w:tcPr>
            <w:tcW w:w="1275" w:type="dxa"/>
            <w:tcBorders>
              <w:top w:val="single" w:sz="4" w:space="0" w:color="D9D9D9"/>
              <w:left w:val="single" w:sz="4" w:space="0" w:color="D9D9D9"/>
              <w:bottom w:val="single" w:sz="4" w:space="0" w:color="D9D9D9"/>
              <w:right w:val="single" w:sz="4" w:space="0" w:color="D9D9D9"/>
            </w:tcBorders>
            <w:hideMark/>
          </w:tcPr>
          <w:p w14:paraId="4EEBCA05" w14:textId="77777777" w:rsidR="001C19F3" w:rsidRDefault="001C19F3" w:rsidP="00521305">
            <w:pPr>
              <w:spacing w:after="0"/>
              <w:jc w:val="center"/>
              <w:rPr>
                <w:sz w:val="18"/>
                <w:szCs w:val="18"/>
                <w:highlight w:val="yellow"/>
              </w:rPr>
            </w:pPr>
            <w:r>
              <w:rPr>
                <w:sz w:val="18"/>
                <w:szCs w:val="18"/>
              </w:rPr>
              <w:t>R1 R2 R4 R5</w:t>
            </w:r>
          </w:p>
        </w:tc>
        <w:tc>
          <w:tcPr>
            <w:tcW w:w="1140" w:type="dxa"/>
            <w:tcBorders>
              <w:top w:val="single" w:sz="4" w:space="0" w:color="D9D9D9"/>
              <w:left w:val="single" w:sz="4" w:space="0" w:color="D9D9D9"/>
              <w:bottom w:val="single" w:sz="4" w:space="0" w:color="D9D9D9"/>
              <w:right w:val="single" w:sz="4" w:space="0" w:color="D9D9D9"/>
            </w:tcBorders>
            <w:vAlign w:val="center"/>
            <w:hideMark/>
          </w:tcPr>
          <w:p w14:paraId="46B1F3A3" w14:textId="77777777" w:rsidR="001C19F3" w:rsidRPr="00F5548C" w:rsidRDefault="001C19F3" w:rsidP="00521305">
            <w:pPr>
              <w:spacing w:after="0"/>
              <w:jc w:val="center"/>
              <w:rPr>
                <w:sz w:val="18"/>
                <w:szCs w:val="18"/>
              </w:rPr>
            </w:pPr>
            <w:r w:rsidRPr="00F5548C">
              <w:rPr>
                <w:sz w:val="18"/>
                <w:szCs w:val="18"/>
              </w:rPr>
              <w:t>NA</w:t>
            </w:r>
          </w:p>
        </w:tc>
      </w:tr>
      <w:tr w:rsidR="001C19F3" w14:paraId="365852C5" w14:textId="77777777" w:rsidTr="00521305">
        <w:trPr>
          <w:trHeight w:val="293"/>
          <w:jc w:val="center"/>
        </w:trPr>
        <w:tc>
          <w:tcPr>
            <w:tcW w:w="2121" w:type="dxa"/>
            <w:tcBorders>
              <w:top w:val="single" w:sz="4" w:space="0" w:color="D9D9D9"/>
              <w:left w:val="single" w:sz="4" w:space="0" w:color="D9D9D9"/>
              <w:bottom w:val="single" w:sz="4" w:space="0" w:color="D9D9D9"/>
              <w:right w:val="single" w:sz="4" w:space="0" w:color="D9D9D9"/>
            </w:tcBorders>
            <w:hideMark/>
          </w:tcPr>
          <w:p w14:paraId="3147E97B" w14:textId="77777777" w:rsidR="001C19F3" w:rsidRDefault="001C19F3" w:rsidP="00521305">
            <w:pPr>
              <w:spacing w:after="0"/>
              <w:rPr>
                <w:sz w:val="18"/>
                <w:szCs w:val="18"/>
              </w:rPr>
            </w:pPr>
            <w:r>
              <w:rPr>
                <w:sz w:val="18"/>
                <w:szCs w:val="18"/>
              </w:rPr>
              <w:t>Case studies</w:t>
            </w:r>
            <w:r>
              <w:rPr>
                <w:sz w:val="18"/>
                <w:szCs w:val="18"/>
                <w:vertAlign w:val="superscript"/>
              </w:rPr>
              <w:t>1</w:t>
            </w:r>
          </w:p>
        </w:tc>
        <w:tc>
          <w:tcPr>
            <w:tcW w:w="1133" w:type="dxa"/>
            <w:tcBorders>
              <w:top w:val="single" w:sz="4" w:space="0" w:color="D9D9D9"/>
              <w:left w:val="single" w:sz="4" w:space="0" w:color="D9D9D9"/>
              <w:bottom w:val="single" w:sz="4" w:space="0" w:color="D9D9D9"/>
              <w:right w:val="single" w:sz="4" w:space="0" w:color="D9D9D9"/>
            </w:tcBorders>
            <w:hideMark/>
          </w:tcPr>
          <w:p w14:paraId="2ED4E030" w14:textId="77777777" w:rsidR="001C19F3" w:rsidRDefault="001C19F3" w:rsidP="00521305">
            <w:pPr>
              <w:spacing w:after="0"/>
              <w:jc w:val="center"/>
              <w:rPr>
                <w:sz w:val="18"/>
                <w:szCs w:val="18"/>
              </w:rPr>
            </w:pPr>
            <w:r>
              <w:rPr>
                <w:sz w:val="18"/>
                <w:szCs w:val="18"/>
              </w:rPr>
              <w:t>2,4</w:t>
            </w:r>
          </w:p>
        </w:tc>
        <w:tc>
          <w:tcPr>
            <w:tcW w:w="1274" w:type="dxa"/>
            <w:tcBorders>
              <w:top w:val="single" w:sz="4" w:space="0" w:color="D9D9D9"/>
              <w:left w:val="single" w:sz="4" w:space="0" w:color="D9D9D9"/>
              <w:bottom w:val="single" w:sz="4" w:space="0" w:color="D9D9D9"/>
              <w:right w:val="single" w:sz="4" w:space="0" w:color="D9D9D9"/>
            </w:tcBorders>
            <w:hideMark/>
          </w:tcPr>
          <w:p w14:paraId="37A9565F" w14:textId="77777777" w:rsidR="001C19F3" w:rsidRDefault="001C19F3" w:rsidP="00521305">
            <w:pPr>
              <w:spacing w:after="0"/>
              <w:jc w:val="center"/>
              <w:rPr>
                <w:sz w:val="18"/>
                <w:szCs w:val="18"/>
              </w:rPr>
            </w:pPr>
            <w:r>
              <w:rPr>
                <w:sz w:val="18"/>
                <w:szCs w:val="18"/>
              </w:rPr>
              <w:t>Primary</w:t>
            </w:r>
          </w:p>
        </w:tc>
        <w:tc>
          <w:tcPr>
            <w:tcW w:w="1133" w:type="dxa"/>
            <w:tcBorders>
              <w:top w:val="single" w:sz="4" w:space="0" w:color="D9D9D9"/>
              <w:left w:val="single" w:sz="4" w:space="0" w:color="D9D9D9"/>
              <w:bottom w:val="single" w:sz="4" w:space="0" w:color="D9D9D9"/>
              <w:right w:val="single" w:sz="4" w:space="0" w:color="D9D9D9"/>
            </w:tcBorders>
            <w:hideMark/>
          </w:tcPr>
          <w:p w14:paraId="7663588B" w14:textId="77777777" w:rsidR="001C19F3" w:rsidRDefault="001C19F3" w:rsidP="00521305">
            <w:pPr>
              <w:spacing w:after="0"/>
              <w:jc w:val="center"/>
              <w:rPr>
                <w:sz w:val="18"/>
                <w:szCs w:val="18"/>
                <w:highlight w:val="yellow"/>
              </w:rPr>
            </w:pPr>
            <w:r>
              <w:rPr>
                <w:sz w:val="18"/>
                <w:szCs w:val="18"/>
              </w:rPr>
              <w:t>R2</w:t>
            </w:r>
          </w:p>
        </w:tc>
        <w:tc>
          <w:tcPr>
            <w:tcW w:w="1133" w:type="dxa"/>
            <w:tcBorders>
              <w:top w:val="single" w:sz="4" w:space="0" w:color="D9D9D9"/>
              <w:left w:val="single" w:sz="4" w:space="0" w:color="D9D9D9"/>
              <w:bottom w:val="single" w:sz="4" w:space="0" w:color="D9D9D9"/>
              <w:right w:val="single" w:sz="4" w:space="0" w:color="D9D9D9"/>
            </w:tcBorders>
            <w:hideMark/>
          </w:tcPr>
          <w:p w14:paraId="5C48CB20" w14:textId="77777777" w:rsidR="001C19F3" w:rsidRDefault="001C19F3" w:rsidP="00521305">
            <w:pPr>
              <w:spacing w:after="0"/>
              <w:jc w:val="center"/>
              <w:rPr>
                <w:sz w:val="18"/>
                <w:szCs w:val="18"/>
                <w:highlight w:val="yellow"/>
              </w:rPr>
            </w:pPr>
            <w:r>
              <w:rPr>
                <w:sz w:val="18"/>
                <w:szCs w:val="18"/>
              </w:rPr>
              <w:t>R1 R2 R4</w:t>
            </w:r>
          </w:p>
        </w:tc>
        <w:tc>
          <w:tcPr>
            <w:tcW w:w="1275" w:type="dxa"/>
            <w:tcBorders>
              <w:top w:val="single" w:sz="4" w:space="0" w:color="D9D9D9"/>
              <w:left w:val="single" w:sz="4" w:space="0" w:color="D9D9D9"/>
              <w:bottom w:val="single" w:sz="4" w:space="0" w:color="D9D9D9"/>
              <w:right w:val="single" w:sz="4" w:space="0" w:color="D9D9D9"/>
            </w:tcBorders>
            <w:hideMark/>
          </w:tcPr>
          <w:p w14:paraId="6FA56390" w14:textId="77777777" w:rsidR="001C19F3" w:rsidRDefault="001C19F3" w:rsidP="00521305">
            <w:pPr>
              <w:spacing w:after="0"/>
              <w:jc w:val="center"/>
              <w:rPr>
                <w:sz w:val="18"/>
                <w:szCs w:val="18"/>
                <w:highlight w:val="yellow"/>
              </w:rPr>
            </w:pPr>
            <w:r>
              <w:rPr>
                <w:sz w:val="18"/>
                <w:szCs w:val="18"/>
              </w:rPr>
              <w:t>R1 R2 R4 R5</w:t>
            </w:r>
          </w:p>
        </w:tc>
        <w:tc>
          <w:tcPr>
            <w:tcW w:w="1140" w:type="dxa"/>
            <w:tcBorders>
              <w:top w:val="single" w:sz="4" w:space="0" w:color="D9D9D9"/>
              <w:left w:val="single" w:sz="4" w:space="0" w:color="D9D9D9"/>
              <w:bottom w:val="single" w:sz="4" w:space="0" w:color="D9D9D9"/>
              <w:right w:val="single" w:sz="4" w:space="0" w:color="D9D9D9"/>
            </w:tcBorders>
            <w:hideMark/>
          </w:tcPr>
          <w:p w14:paraId="36E97C75" w14:textId="77777777" w:rsidR="001C19F3" w:rsidRPr="00F5548C" w:rsidRDefault="001C19F3" w:rsidP="00521305">
            <w:pPr>
              <w:spacing w:after="0"/>
              <w:jc w:val="center"/>
              <w:rPr>
                <w:sz w:val="18"/>
                <w:szCs w:val="18"/>
              </w:rPr>
            </w:pPr>
            <w:r w:rsidRPr="00F5548C">
              <w:rPr>
                <w:sz w:val="18"/>
                <w:szCs w:val="18"/>
              </w:rPr>
              <w:t>NA</w:t>
            </w:r>
          </w:p>
        </w:tc>
      </w:tr>
      <w:tr w:rsidR="001C19F3" w14:paraId="00365714"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756C273B" w14:textId="77777777" w:rsidR="001C19F3" w:rsidRDefault="001C19F3" w:rsidP="00521305">
            <w:pPr>
              <w:spacing w:after="0"/>
              <w:rPr>
                <w:sz w:val="18"/>
                <w:szCs w:val="18"/>
              </w:rPr>
            </w:pPr>
            <w:r>
              <w:rPr>
                <w:sz w:val="18"/>
                <w:szCs w:val="18"/>
              </w:rPr>
              <w:t>HCH program data</w:t>
            </w:r>
            <w:r>
              <w:rPr>
                <w:sz w:val="18"/>
                <w:szCs w:val="18"/>
                <w:vertAlign w:val="superscript"/>
              </w:rPr>
              <w:t>2</w:t>
            </w:r>
          </w:p>
        </w:tc>
        <w:tc>
          <w:tcPr>
            <w:tcW w:w="1133" w:type="dxa"/>
            <w:tcBorders>
              <w:top w:val="single" w:sz="4" w:space="0" w:color="D9D9D9"/>
              <w:left w:val="single" w:sz="4" w:space="0" w:color="D9D9D9"/>
              <w:bottom w:val="single" w:sz="4" w:space="0" w:color="D9D9D9"/>
              <w:right w:val="single" w:sz="4" w:space="0" w:color="D9D9D9"/>
            </w:tcBorders>
            <w:hideMark/>
          </w:tcPr>
          <w:p w14:paraId="5129F034" w14:textId="77777777" w:rsidR="001C19F3" w:rsidRDefault="001C19F3" w:rsidP="00521305">
            <w:pPr>
              <w:spacing w:after="0"/>
              <w:jc w:val="center"/>
              <w:rPr>
                <w:sz w:val="18"/>
                <w:szCs w:val="18"/>
              </w:rPr>
            </w:pPr>
            <w:r>
              <w:rPr>
                <w:sz w:val="18"/>
                <w:szCs w:val="18"/>
              </w:rPr>
              <w:t>1, 4</w:t>
            </w:r>
          </w:p>
        </w:tc>
        <w:tc>
          <w:tcPr>
            <w:tcW w:w="1274" w:type="dxa"/>
            <w:tcBorders>
              <w:top w:val="single" w:sz="4" w:space="0" w:color="D9D9D9"/>
              <w:left w:val="single" w:sz="4" w:space="0" w:color="D9D9D9"/>
              <w:bottom w:val="single" w:sz="4" w:space="0" w:color="D9D9D9"/>
              <w:right w:val="single" w:sz="4" w:space="0" w:color="D9D9D9"/>
            </w:tcBorders>
            <w:hideMark/>
          </w:tcPr>
          <w:p w14:paraId="50F0D8C6" w14:textId="77777777" w:rsidR="001C19F3" w:rsidRDefault="001C19F3" w:rsidP="00521305">
            <w:pPr>
              <w:spacing w:after="0"/>
              <w:jc w:val="center"/>
              <w:rPr>
                <w:sz w:val="18"/>
                <w:szCs w:val="18"/>
              </w:rPr>
            </w:pPr>
            <w:r>
              <w:rPr>
                <w:sz w:val="18"/>
                <w:szCs w:val="18"/>
              </w:rPr>
              <w:t>Secondary</w:t>
            </w:r>
          </w:p>
        </w:tc>
        <w:tc>
          <w:tcPr>
            <w:tcW w:w="1133" w:type="dxa"/>
            <w:tcBorders>
              <w:top w:val="single" w:sz="4" w:space="0" w:color="D9D9D9"/>
              <w:left w:val="single" w:sz="4" w:space="0" w:color="D9D9D9"/>
              <w:bottom w:val="single" w:sz="4" w:space="0" w:color="D9D9D9"/>
              <w:right w:val="single" w:sz="4" w:space="0" w:color="D9D9D9"/>
            </w:tcBorders>
            <w:hideMark/>
          </w:tcPr>
          <w:p w14:paraId="42B9149F" w14:textId="77777777" w:rsidR="001C19F3" w:rsidRDefault="001C19F3" w:rsidP="00521305">
            <w:pPr>
              <w:spacing w:after="0"/>
              <w:jc w:val="center"/>
              <w:rPr>
                <w:sz w:val="18"/>
                <w:szCs w:val="18"/>
              </w:rPr>
            </w:pPr>
            <w:r>
              <w:rPr>
                <w:sz w:val="18"/>
                <w:szCs w:val="18"/>
              </w:rPr>
              <w:t>Oct 2017-Aug 2019</w:t>
            </w:r>
          </w:p>
        </w:tc>
        <w:tc>
          <w:tcPr>
            <w:tcW w:w="1133" w:type="dxa"/>
            <w:tcBorders>
              <w:top w:val="single" w:sz="4" w:space="0" w:color="D9D9D9"/>
              <w:left w:val="single" w:sz="4" w:space="0" w:color="D9D9D9"/>
              <w:bottom w:val="single" w:sz="4" w:space="0" w:color="D9D9D9"/>
              <w:right w:val="single" w:sz="4" w:space="0" w:color="D9D9D9"/>
            </w:tcBorders>
            <w:hideMark/>
          </w:tcPr>
          <w:p w14:paraId="5158F8CB" w14:textId="77777777" w:rsidR="001C19F3" w:rsidRDefault="001C19F3" w:rsidP="00521305">
            <w:pPr>
              <w:spacing w:after="0"/>
              <w:jc w:val="center"/>
              <w:rPr>
                <w:sz w:val="18"/>
                <w:szCs w:val="18"/>
              </w:rPr>
            </w:pPr>
            <w:r>
              <w:rPr>
                <w:sz w:val="18"/>
                <w:szCs w:val="18"/>
              </w:rPr>
              <w:t>Oct 2017-Jun 2020</w:t>
            </w:r>
          </w:p>
        </w:tc>
        <w:tc>
          <w:tcPr>
            <w:tcW w:w="1275" w:type="dxa"/>
            <w:tcBorders>
              <w:top w:val="single" w:sz="4" w:space="0" w:color="D9D9D9"/>
              <w:left w:val="single" w:sz="4" w:space="0" w:color="D9D9D9"/>
              <w:bottom w:val="single" w:sz="4" w:space="0" w:color="D9D9D9"/>
              <w:right w:val="single" w:sz="4" w:space="0" w:color="D9D9D9"/>
            </w:tcBorders>
            <w:hideMark/>
          </w:tcPr>
          <w:p w14:paraId="5D4D6633" w14:textId="77777777" w:rsidR="001C19F3" w:rsidRDefault="001C19F3" w:rsidP="00521305">
            <w:pPr>
              <w:spacing w:after="0"/>
              <w:jc w:val="center"/>
              <w:rPr>
                <w:sz w:val="18"/>
                <w:szCs w:val="18"/>
              </w:rPr>
            </w:pPr>
            <w:r>
              <w:rPr>
                <w:sz w:val="18"/>
                <w:szCs w:val="18"/>
              </w:rPr>
              <w:t>Oct 2017-Jun 2021</w:t>
            </w:r>
          </w:p>
        </w:tc>
        <w:tc>
          <w:tcPr>
            <w:tcW w:w="1140" w:type="dxa"/>
            <w:tcBorders>
              <w:top w:val="single" w:sz="4" w:space="0" w:color="D9D9D9"/>
              <w:left w:val="single" w:sz="4" w:space="0" w:color="D9D9D9"/>
              <w:bottom w:val="single" w:sz="4" w:space="0" w:color="D9D9D9"/>
              <w:right w:val="single" w:sz="4" w:space="0" w:color="D9D9D9"/>
            </w:tcBorders>
            <w:hideMark/>
          </w:tcPr>
          <w:p w14:paraId="7D56A64A" w14:textId="77777777" w:rsidR="001C19F3" w:rsidRPr="00F5548C" w:rsidRDefault="001C19F3" w:rsidP="00521305">
            <w:pPr>
              <w:spacing w:after="0"/>
              <w:jc w:val="center"/>
              <w:rPr>
                <w:sz w:val="18"/>
                <w:szCs w:val="18"/>
              </w:rPr>
            </w:pPr>
            <w:r w:rsidRPr="00F5548C">
              <w:rPr>
                <w:sz w:val="18"/>
                <w:szCs w:val="18"/>
              </w:rPr>
              <w:t>NA</w:t>
            </w:r>
          </w:p>
        </w:tc>
      </w:tr>
      <w:tr w:rsidR="001C19F3" w14:paraId="4BA8109F"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3FB746D9" w14:textId="77777777" w:rsidR="001C19F3" w:rsidRDefault="001C19F3" w:rsidP="00521305">
            <w:pPr>
              <w:spacing w:after="0"/>
              <w:rPr>
                <w:sz w:val="18"/>
                <w:szCs w:val="18"/>
              </w:rPr>
            </w:pPr>
            <w:r>
              <w:rPr>
                <w:sz w:val="18"/>
                <w:szCs w:val="18"/>
              </w:rPr>
              <w:t>Community Pharmacy in HCH</w:t>
            </w:r>
          </w:p>
        </w:tc>
        <w:tc>
          <w:tcPr>
            <w:tcW w:w="1133" w:type="dxa"/>
            <w:tcBorders>
              <w:top w:val="single" w:sz="4" w:space="0" w:color="D9D9D9"/>
              <w:left w:val="single" w:sz="4" w:space="0" w:color="D9D9D9"/>
              <w:bottom w:val="single" w:sz="4" w:space="0" w:color="D9D9D9"/>
              <w:right w:val="single" w:sz="4" w:space="0" w:color="D9D9D9"/>
            </w:tcBorders>
            <w:hideMark/>
          </w:tcPr>
          <w:p w14:paraId="7525CF98" w14:textId="77777777" w:rsidR="001C19F3" w:rsidRDefault="001C19F3" w:rsidP="00521305">
            <w:pPr>
              <w:spacing w:after="0"/>
              <w:jc w:val="center"/>
              <w:rPr>
                <w:sz w:val="18"/>
                <w:szCs w:val="18"/>
              </w:rPr>
            </w:pPr>
            <w:r>
              <w:rPr>
                <w:sz w:val="18"/>
                <w:szCs w:val="18"/>
              </w:rPr>
              <w:t>5,6,7,8</w:t>
            </w:r>
          </w:p>
        </w:tc>
        <w:tc>
          <w:tcPr>
            <w:tcW w:w="1274" w:type="dxa"/>
            <w:tcBorders>
              <w:top w:val="single" w:sz="4" w:space="0" w:color="D9D9D9"/>
              <w:left w:val="single" w:sz="4" w:space="0" w:color="D9D9D9"/>
              <w:bottom w:val="single" w:sz="4" w:space="0" w:color="D9D9D9"/>
              <w:right w:val="single" w:sz="4" w:space="0" w:color="D9D9D9"/>
            </w:tcBorders>
            <w:hideMark/>
          </w:tcPr>
          <w:p w14:paraId="4699DD80" w14:textId="77777777" w:rsidR="001C19F3" w:rsidRDefault="001C19F3" w:rsidP="00521305">
            <w:pPr>
              <w:spacing w:after="0"/>
              <w:jc w:val="center"/>
              <w:rPr>
                <w:sz w:val="18"/>
                <w:szCs w:val="18"/>
              </w:rPr>
            </w:pPr>
            <w:r>
              <w:rPr>
                <w:sz w:val="18"/>
                <w:szCs w:val="18"/>
              </w:rPr>
              <w:t>Secondary</w:t>
            </w:r>
          </w:p>
        </w:tc>
        <w:tc>
          <w:tcPr>
            <w:tcW w:w="1133" w:type="dxa"/>
            <w:tcBorders>
              <w:top w:val="single" w:sz="4" w:space="0" w:color="D9D9D9"/>
              <w:left w:val="single" w:sz="4" w:space="0" w:color="D9D9D9"/>
              <w:bottom w:val="single" w:sz="4" w:space="0" w:color="D9D9D9"/>
              <w:right w:val="single" w:sz="4" w:space="0" w:color="D9D9D9"/>
            </w:tcBorders>
            <w:hideMark/>
          </w:tcPr>
          <w:p w14:paraId="17D344E7" w14:textId="77777777" w:rsidR="001C19F3" w:rsidRDefault="001C19F3" w:rsidP="00521305">
            <w:pPr>
              <w:spacing w:after="0"/>
              <w:jc w:val="center"/>
              <w:rPr>
                <w:sz w:val="18"/>
                <w:szCs w:val="18"/>
              </w:rPr>
            </w:pPr>
            <w:r>
              <w:rPr>
                <w:sz w:val="18"/>
                <w:szCs w:val="18"/>
              </w:rPr>
              <w:t>July 2018-June 2019</w:t>
            </w:r>
          </w:p>
        </w:tc>
        <w:tc>
          <w:tcPr>
            <w:tcW w:w="1133" w:type="dxa"/>
            <w:tcBorders>
              <w:top w:val="single" w:sz="4" w:space="0" w:color="D9D9D9"/>
              <w:left w:val="single" w:sz="4" w:space="0" w:color="D9D9D9"/>
              <w:bottom w:val="single" w:sz="4" w:space="0" w:color="D9D9D9"/>
              <w:right w:val="single" w:sz="4" w:space="0" w:color="D9D9D9"/>
            </w:tcBorders>
            <w:hideMark/>
          </w:tcPr>
          <w:p w14:paraId="1F071DBF" w14:textId="77777777" w:rsidR="001C19F3" w:rsidRDefault="001C19F3" w:rsidP="00521305">
            <w:pPr>
              <w:spacing w:after="0"/>
              <w:jc w:val="center"/>
              <w:rPr>
                <w:sz w:val="18"/>
                <w:szCs w:val="18"/>
              </w:rPr>
            </w:pPr>
            <w:r>
              <w:rPr>
                <w:sz w:val="18"/>
                <w:szCs w:val="18"/>
              </w:rPr>
              <w:t>July 2018-June 2020</w:t>
            </w:r>
          </w:p>
        </w:tc>
        <w:tc>
          <w:tcPr>
            <w:tcW w:w="1275" w:type="dxa"/>
            <w:tcBorders>
              <w:top w:val="single" w:sz="4" w:space="0" w:color="D9D9D9"/>
              <w:left w:val="single" w:sz="4" w:space="0" w:color="D9D9D9"/>
              <w:bottom w:val="single" w:sz="4" w:space="0" w:color="D9D9D9"/>
              <w:right w:val="single" w:sz="4" w:space="0" w:color="D9D9D9"/>
            </w:tcBorders>
            <w:hideMark/>
          </w:tcPr>
          <w:p w14:paraId="6F0CFB54" w14:textId="77777777" w:rsidR="001C19F3" w:rsidRDefault="001C19F3" w:rsidP="00521305">
            <w:pPr>
              <w:spacing w:after="0"/>
              <w:jc w:val="center"/>
              <w:rPr>
                <w:sz w:val="18"/>
                <w:szCs w:val="18"/>
              </w:rPr>
            </w:pPr>
            <w:r>
              <w:rPr>
                <w:sz w:val="18"/>
                <w:szCs w:val="18"/>
              </w:rPr>
              <w:t>July 2018-June 2021</w:t>
            </w:r>
          </w:p>
        </w:tc>
        <w:tc>
          <w:tcPr>
            <w:tcW w:w="1140" w:type="dxa"/>
            <w:tcBorders>
              <w:top w:val="single" w:sz="4" w:space="0" w:color="D9D9D9"/>
              <w:left w:val="single" w:sz="4" w:space="0" w:color="D9D9D9"/>
              <w:bottom w:val="single" w:sz="4" w:space="0" w:color="D9D9D9"/>
              <w:right w:val="single" w:sz="4" w:space="0" w:color="D9D9D9"/>
            </w:tcBorders>
            <w:hideMark/>
          </w:tcPr>
          <w:p w14:paraId="6012C8A3" w14:textId="77777777" w:rsidR="001C19F3" w:rsidRPr="00F5548C" w:rsidRDefault="001C19F3" w:rsidP="00521305">
            <w:pPr>
              <w:spacing w:after="0"/>
              <w:jc w:val="center"/>
              <w:rPr>
                <w:sz w:val="18"/>
                <w:szCs w:val="18"/>
              </w:rPr>
            </w:pPr>
            <w:r w:rsidRPr="00F5548C">
              <w:rPr>
                <w:sz w:val="18"/>
                <w:szCs w:val="18"/>
              </w:rPr>
              <w:t>7</w:t>
            </w:r>
          </w:p>
        </w:tc>
      </w:tr>
      <w:tr w:rsidR="001C19F3" w14:paraId="281E219A"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099283D3" w14:textId="77777777" w:rsidR="001C19F3" w:rsidRDefault="001C19F3" w:rsidP="00521305">
            <w:pPr>
              <w:spacing w:after="0"/>
              <w:rPr>
                <w:sz w:val="18"/>
                <w:szCs w:val="18"/>
              </w:rPr>
            </w:pPr>
            <w:r>
              <w:rPr>
                <w:sz w:val="18"/>
                <w:szCs w:val="18"/>
              </w:rPr>
              <w:t xml:space="preserve">Risk stratification data </w:t>
            </w:r>
          </w:p>
        </w:tc>
        <w:tc>
          <w:tcPr>
            <w:tcW w:w="1133" w:type="dxa"/>
            <w:tcBorders>
              <w:top w:val="single" w:sz="4" w:space="0" w:color="D9D9D9"/>
              <w:left w:val="single" w:sz="4" w:space="0" w:color="D9D9D9"/>
              <w:bottom w:val="single" w:sz="4" w:space="0" w:color="D9D9D9"/>
              <w:right w:val="single" w:sz="4" w:space="0" w:color="D9D9D9"/>
            </w:tcBorders>
            <w:hideMark/>
          </w:tcPr>
          <w:p w14:paraId="54D7E3E2" w14:textId="77777777" w:rsidR="001C19F3" w:rsidRDefault="001C19F3" w:rsidP="00521305">
            <w:pPr>
              <w:spacing w:after="0"/>
              <w:jc w:val="center"/>
              <w:rPr>
                <w:sz w:val="18"/>
                <w:szCs w:val="18"/>
              </w:rPr>
            </w:pPr>
            <w:r>
              <w:rPr>
                <w:sz w:val="18"/>
                <w:szCs w:val="18"/>
              </w:rPr>
              <w:t>2</w:t>
            </w:r>
          </w:p>
        </w:tc>
        <w:tc>
          <w:tcPr>
            <w:tcW w:w="1274" w:type="dxa"/>
            <w:tcBorders>
              <w:top w:val="single" w:sz="4" w:space="0" w:color="D9D9D9"/>
              <w:left w:val="single" w:sz="4" w:space="0" w:color="D9D9D9"/>
              <w:bottom w:val="single" w:sz="4" w:space="0" w:color="D9D9D9"/>
              <w:right w:val="single" w:sz="4" w:space="0" w:color="D9D9D9"/>
            </w:tcBorders>
            <w:hideMark/>
          </w:tcPr>
          <w:p w14:paraId="794E31B6" w14:textId="77777777" w:rsidR="001C19F3" w:rsidRDefault="001C19F3" w:rsidP="00521305">
            <w:pPr>
              <w:spacing w:after="0"/>
              <w:jc w:val="center"/>
              <w:rPr>
                <w:sz w:val="18"/>
                <w:szCs w:val="18"/>
              </w:rPr>
            </w:pPr>
            <w:r>
              <w:rPr>
                <w:sz w:val="18"/>
                <w:szCs w:val="18"/>
              </w:rPr>
              <w:t>Secondary</w:t>
            </w:r>
          </w:p>
        </w:tc>
        <w:tc>
          <w:tcPr>
            <w:tcW w:w="1133" w:type="dxa"/>
            <w:tcBorders>
              <w:top w:val="single" w:sz="4" w:space="0" w:color="D9D9D9"/>
              <w:left w:val="single" w:sz="4" w:space="0" w:color="D9D9D9"/>
              <w:bottom w:val="single" w:sz="4" w:space="0" w:color="D9D9D9"/>
              <w:right w:val="single" w:sz="4" w:space="0" w:color="D9D9D9"/>
            </w:tcBorders>
            <w:hideMark/>
          </w:tcPr>
          <w:p w14:paraId="47D60070" w14:textId="77777777" w:rsidR="001C19F3" w:rsidRDefault="001C19F3" w:rsidP="00521305">
            <w:pPr>
              <w:spacing w:after="0"/>
              <w:jc w:val="center"/>
              <w:rPr>
                <w:sz w:val="18"/>
                <w:szCs w:val="18"/>
              </w:rPr>
            </w:pPr>
            <w:r>
              <w:rPr>
                <w:sz w:val="18"/>
                <w:szCs w:val="18"/>
              </w:rPr>
              <w:t>July 2018-June 2019</w:t>
            </w:r>
          </w:p>
        </w:tc>
        <w:tc>
          <w:tcPr>
            <w:tcW w:w="1133" w:type="dxa"/>
            <w:tcBorders>
              <w:top w:val="single" w:sz="4" w:space="0" w:color="D9D9D9"/>
              <w:left w:val="single" w:sz="4" w:space="0" w:color="D9D9D9"/>
              <w:bottom w:val="single" w:sz="4" w:space="0" w:color="D9D9D9"/>
              <w:right w:val="single" w:sz="4" w:space="0" w:color="D9D9D9"/>
            </w:tcBorders>
            <w:hideMark/>
          </w:tcPr>
          <w:p w14:paraId="77DBA31F" w14:textId="77777777" w:rsidR="001C19F3" w:rsidRDefault="001C19F3" w:rsidP="00521305">
            <w:pPr>
              <w:spacing w:after="0"/>
              <w:jc w:val="center"/>
              <w:rPr>
                <w:sz w:val="18"/>
                <w:szCs w:val="18"/>
              </w:rPr>
            </w:pPr>
            <w:r>
              <w:rPr>
                <w:sz w:val="18"/>
                <w:szCs w:val="18"/>
              </w:rPr>
              <w:t>July 2018-June 2020</w:t>
            </w:r>
          </w:p>
        </w:tc>
        <w:tc>
          <w:tcPr>
            <w:tcW w:w="1275" w:type="dxa"/>
            <w:tcBorders>
              <w:top w:val="single" w:sz="4" w:space="0" w:color="D9D9D9"/>
              <w:left w:val="single" w:sz="4" w:space="0" w:color="D9D9D9"/>
              <w:bottom w:val="single" w:sz="4" w:space="0" w:color="D9D9D9"/>
              <w:right w:val="single" w:sz="4" w:space="0" w:color="D9D9D9"/>
            </w:tcBorders>
            <w:hideMark/>
          </w:tcPr>
          <w:p w14:paraId="400DE5AE" w14:textId="77777777" w:rsidR="001C19F3" w:rsidRDefault="001C19F3" w:rsidP="00521305">
            <w:pPr>
              <w:spacing w:after="0"/>
              <w:jc w:val="center"/>
              <w:rPr>
                <w:sz w:val="18"/>
                <w:szCs w:val="18"/>
              </w:rPr>
            </w:pPr>
            <w:r>
              <w:rPr>
                <w:sz w:val="18"/>
                <w:szCs w:val="18"/>
              </w:rPr>
              <w:t>July 2018-June 2021</w:t>
            </w:r>
          </w:p>
        </w:tc>
        <w:tc>
          <w:tcPr>
            <w:tcW w:w="1140" w:type="dxa"/>
            <w:tcBorders>
              <w:top w:val="single" w:sz="4" w:space="0" w:color="D9D9D9"/>
              <w:left w:val="single" w:sz="4" w:space="0" w:color="D9D9D9"/>
              <w:bottom w:val="single" w:sz="4" w:space="0" w:color="D9D9D9"/>
              <w:right w:val="single" w:sz="4" w:space="0" w:color="D9D9D9"/>
            </w:tcBorders>
            <w:hideMark/>
          </w:tcPr>
          <w:p w14:paraId="70312324" w14:textId="77777777" w:rsidR="001C19F3" w:rsidRPr="00F5548C" w:rsidRDefault="001C19F3" w:rsidP="00521305">
            <w:pPr>
              <w:spacing w:after="0"/>
              <w:jc w:val="center"/>
              <w:rPr>
                <w:sz w:val="18"/>
                <w:szCs w:val="18"/>
              </w:rPr>
            </w:pPr>
            <w:r w:rsidRPr="00F5548C">
              <w:rPr>
                <w:sz w:val="18"/>
                <w:szCs w:val="18"/>
              </w:rPr>
              <w:t>6</w:t>
            </w:r>
          </w:p>
        </w:tc>
      </w:tr>
      <w:tr w:rsidR="001C19F3" w14:paraId="75C26332" w14:textId="77777777" w:rsidTr="00521305">
        <w:trPr>
          <w:jc w:val="center"/>
        </w:trPr>
        <w:tc>
          <w:tcPr>
            <w:tcW w:w="2121" w:type="dxa"/>
            <w:tcBorders>
              <w:top w:val="single" w:sz="4" w:space="0" w:color="D9D9D9"/>
              <w:left w:val="single" w:sz="4" w:space="0" w:color="D9D9D9"/>
              <w:bottom w:val="single" w:sz="4" w:space="0" w:color="D9D9D9"/>
              <w:right w:val="single" w:sz="4" w:space="0" w:color="D9D9D9"/>
            </w:tcBorders>
            <w:hideMark/>
          </w:tcPr>
          <w:p w14:paraId="26FBDECC" w14:textId="77777777" w:rsidR="001C19F3" w:rsidRDefault="001C19F3" w:rsidP="00521305">
            <w:pPr>
              <w:spacing w:after="0"/>
              <w:rPr>
                <w:sz w:val="18"/>
                <w:szCs w:val="18"/>
              </w:rPr>
            </w:pPr>
            <w:r>
              <w:rPr>
                <w:sz w:val="18"/>
                <w:szCs w:val="18"/>
              </w:rPr>
              <w:t>Practice extracts</w:t>
            </w:r>
          </w:p>
        </w:tc>
        <w:tc>
          <w:tcPr>
            <w:tcW w:w="1133" w:type="dxa"/>
            <w:tcBorders>
              <w:top w:val="single" w:sz="4" w:space="0" w:color="D9D9D9"/>
              <w:left w:val="single" w:sz="4" w:space="0" w:color="D9D9D9"/>
              <w:bottom w:val="single" w:sz="4" w:space="0" w:color="D9D9D9"/>
              <w:right w:val="single" w:sz="4" w:space="0" w:color="D9D9D9"/>
            </w:tcBorders>
            <w:hideMark/>
          </w:tcPr>
          <w:p w14:paraId="279F0763" w14:textId="77777777" w:rsidR="001C19F3" w:rsidRDefault="001C19F3" w:rsidP="00521305">
            <w:pPr>
              <w:spacing w:after="0"/>
              <w:jc w:val="center"/>
              <w:rPr>
                <w:sz w:val="18"/>
                <w:szCs w:val="18"/>
              </w:rPr>
            </w:pPr>
            <w:r>
              <w:rPr>
                <w:sz w:val="18"/>
                <w:szCs w:val="18"/>
              </w:rPr>
              <w:t>2, 3</w:t>
            </w:r>
          </w:p>
        </w:tc>
        <w:tc>
          <w:tcPr>
            <w:tcW w:w="1274" w:type="dxa"/>
            <w:tcBorders>
              <w:top w:val="single" w:sz="4" w:space="0" w:color="D9D9D9"/>
              <w:left w:val="single" w:sz="4" w:space="0" w:color="D9D9D9"/>
              <w:bottom w:val="single" w:sz="4" w:space="0" w:color="D9D9D9"/>
              <w:right w:val="single" w:sz="4" w:space="0" w:color="D9D9D9"/>
            </w:tcBorders>
            <w:hideMark/>
          </w:tcPr>
          <w:p w14:paraId="1AEB1B30" w14:textId="77777777" w:rsidR="001C19F3" w:rsidRDefault="001C19F3" w:rsidP="00521305">
            <w:pPr>
              <w:spacing w:after="0"/>
              <w:jc w:val="center"/>
              <w:rPr>
                <w:sz w:val="18"/>
                <w:szCs w:val="18"/>
              </w:rPr>
            </w:pPr>
            <w:r>
              <w:rPr>
                <w:sz w:val="18"/>
                <w:szCs w:val="18"/>
              </w:rPr>
              <w:t>Secondary</w:t>
            </w:r>
          </w:p>
        </w:tc>
        <w:tc>
          <w:tcPr>
            <w:tcW w:w="1133" w:type="dxa"/>
            <w:tcBorders>
              <w:top w:val="single" w:sz="4" w:space="0" w:color="D9D9D9"/>
              <w:left w:val="single" w:sz="4" w:space="0" w:color="D9D9D9"/>
              <w:bottom w:val="single" w:sz="4" w:space="0" w:color="D9D9D9"/>
              <w:right w:val="single" w:sz="4" w:space="0" w:color="D9D9D9"/>
            </w:tcBorders>
            <w:hideMark/>
          </w:tcPr>
          <w:p w14:paraId="487EB915" w14:textId="77777777" w:rsidR="001C19F3" w:rsidRDefault="001C19F3" w:rsidP="00521305">
            <w:pPr>
              <w:spacing w:after="0"/>
              <w:jc w:val="center"/>
              <w:rPr>
                <w:sz w:val="18"/>
                <w:szCs w:val="18"/>
              </w:rPr>
            </w:pPr>
            <w:r>
              <w:rPr>
                <w:sz w:val="18"/>
                <w:szCs w:val="18"/>
              </w:rPr>
              <w:t>Various-June 2019</w:t>
            </w:r>
          </w:p>
        </w:tc>
        <w:tc>
          <w:tcPr>
            <w:tcW w:w="1133" w:type="dxa"/>
            <w:tcBorders>
              <w:top w:val="single" w:sz="4" w:space="0" w:color="D9D9D9"/>
              <w:left w:val="single" w:sz="4" w:space="0" w:color="D9D9D9"/>
              <w:bottom w:val="single" w:sz="4" w:space="0" w:color="D9D9D9"/>
              <w:right w:val="single" w:sz="4" w:space="0" w:color="D9D9D9"/>
            </w:tcBorders>
            <w:hideMark/>
          </w:tcPr>
          <w:p w14:paraId="408F40C2" w14:textId="77777777" w:rsidR="001C19F3" w:rsidRDefault="001C19F3" w:rsidP="00521305">
            <w:pPr>
              <w:spacing w:after="0"/>
              <w:jc w:val="center"/>
              <w:rPr>
                <w:sz w:val="18"/>
                <w:szCs w:val="18"/>
              </w:rPr>
            </w:pPr>
            <w:r>
              <w:rPr>
                <w:sz w:val="18"/>
                <w:szCs w:val="18"/>
              </w:rPr>
              <w:t>Various -June 2020</w:t>
            </w:r>
          </w:p>
        </w:tc>
        <w:tc>
          <w:tcPr>
            <w:tcW w:w="1275" w:type="dxa"/>
            <w:tcBorders>
              <w:top w:val="single" w:sz="4" w:space="0" w:color="D9D9D9"/>
              <w:left w:val="single" w:sz="4" w:space="0" w:color="D9D9D9"/>
              <w:bottom w:val="single" w:sz="4" w:space="0" w:color="D9D9D9"/>
              <w:right w:val="single" w:sz="4" w:space="0" w:color="D9D9D9"/>
            </w:tcBorders>
            <w:hideMark/>
          </w:tcPr>
          <w:p w14:paraId="52B41C0E" w14:textId="77777777" w:rsidR="001C19F3" w:rsidRDefault="001C19F3" w:rsidP="00521305">
            <w:pPr>
              <w:spacing w:after="0"/>
              <w:jc w:val="center"/>
              <w:rPr>
                <w:sz w:val="18"/>
                <w:szCs w:val="18"/>
              </w:rPr>
            </w:pPr>
            <w:r>
              <w:rPr>
                <w:sz w:val="18"/>
                <w:szCs w:val="18"/>
              </w:rPr>
              <w:t>Various -June 2021</w:t>
            </w:r>
          </w:p>
        </w:tc>
        <w:tc>
          <w:tcPr>
            <w:tcW w:w="1140" w:type="dxa"/>
            <w:tcBorders>
              <w:top w:val="single" w:sz="4" w:space="0" w:color="D9D9D9"/>
              <w:left w:val="single" w:sz="4" w:space="0" w:color="D9D9D9"/>
              <w:bottom w:val="single" w:sz="4" w:space="0" w:color="D9D9D9"/>
              <w:right w:val="single" w:sz="4" w:space="0" w:color="D9D9D9"/>
            </w:tcBorders>
            <w:hideMark/>
          </w:tcPr>
          <w:p w14:paraId="62A52D29" w14:textId="77777777" w:rsidR="001C19F3" w:rsidRPr="00F5548C" w:rsidRDefault="001C19F3" w:rsidP="00521305">
            <w:pPr>
              <w:spacing w:after="0"/>
              <w:jc w:val="center"/>
              <w:rPr>
                <w:sz w:val="18"/>
                <w:szCs w:val="18"/>
              </w:rPr>
            </w:pPr>
            <w:r w:rsidRPr="00F5548C">
              <w:rPr>
                <w:sz w:val="18"/>
                <w:szCs w:val="18"/>
              </w:rPr>
              <w:t>5</w:t>
            </w:r>
          </w:p>
        </w:tc>
      </w:tr>
      <w:tr w:rsidR="001C19F3" w14:paraId="4640A8E1" w14:textId="77777777" w:rsidTr="00521305">
        <w:trPr>
          <w:trHeight w:val="515"/>
          <w:jc w:val="center"/>
        </w:trPr>
        <w:tc>
          <w:tcPr>
            <w:tcW w:w="2121" w:type="dxa"/>
            <w:tcBorders>
              <w:top w:val="single" w:sz="4" w:space="0" w:color="D9D9D9"/>
              <w:left w:val="single" w:sz="4" w:space="0" w:color="D9D9D9"/>
              <w:bottom w:val="single" w:sz="4" w:space="0" w:color="D9D9D9"/>
              <w:right w:val="single" w:sz="4" w:space="0" w:color="D9D9D9"/>
            </w:tcBorders>
            <w:hideMark/>
          </w:tcPr>
          <w:p w14:paraId="3D64652F" w14:textId="77777777" w:rsidR="001C19F3" w:rsidRDefault="001C19F3" w:rsidP="00521305">
            <w:pPr>
              <w:spacing w:after="0"/>
              <w:rPr>
                <w:sz w:val="18"/>
                <w:szCs w:val="18"/>
              </w:rPr>
            </w:pPr>
            <w:r>
              <w:rPr>
                <w:sz w:val="18"/>
                <w:szCs w:val="18"/>
              </w:rPr>
              <w:t>Linked data</w:t>
            </w:r>
            <w:r>
              <w:rPr>
                <w:sz w:val="18"/>
                <w:szCs w:val="18"/>
                <w:vertAlign w:val="superscript"/>
              </w:rPr>
              <w:t>3</w:t>
            </w:r>
          </w:p>
        </w:tc>
        <w:tc>
          <w:tcPr>
            <w:tcW w:w="1133" w:type="dxa"/>
            <w:tcBorders>
              <w:top w:val="single" w:sz="4" w:space="0" w:color="D9D9D9"/>
              <w:left w:val="single" w:sz="4" w:space="0" w:color="D9D9D9"/>
              <w:bottom w:val="single" w:sz="4" w:space="0" w:color="D9D9D9"/>
              <w:right w:val="single" w:sz="4" w:space="0" w:color="D9D9D9"/>
            </w:tcBorders>
            <w:hideMark/>
          </w:tcPr>
          <w:p w14:paraId="4F8A84D4" w14:textId="77777777" w:rsidR="001C19F3" w:rsidRDefault="001C19F3" w:rsidP="00521305">
            <w:pPr>
              <w:spacing w:after="0"/>
              <w:jc w:val="center"/>
              <w:rPr>
                <w:sz w:val="18"/>
                <w:szCs w:val="18"/>
              </w:rPr>
            </w:pPr>
            <w:r>
              <w:rPr>
                <w:sz w:val="18"/>
                <w:szCs w:val="18"/>
              </w:rPr>
              <w:t>3,4</w:t>
            </w:r>
          </w:p>
        </w:tc>
        <w:tc>
          <w:tcPr>
            <w:tcW w:w="1274" w:type="dxa"/>
            <w:tcBorders>
              <w:top w:val="single" w:sz="4" w:space="0" w:color="D9D9D9"/>
              <w:left w:val="single" w:sz="4" w:space="0" w:color="D9D9D9"/>
              <w:bottom w:val="single" w:sz="4" w:space="0" w:color="D9D9D9"/>
              <w:right w:val="single" w:sz="4" w:space="0" w:color="D9D9D9"/>
            </w:tcBorders>
            <w:hideMark/>
          </w:tcPr>
          <w:p w14:paraId="1016A12B" w14:textId="77777777" w:rsidR="001C19F3" w:rsidRDefault="001C19F3" w:rsidP="00521305">
            <w:pPr>
              <w:spacing w:after="0"/>
              <w:jc w:val="center"/>
              <w:rPr>
                <w:sz w:val="18"/>
                <w:szCs w:val="18"/>
              </w:rPr>
            </w:pPr>
            <w:r>
              <w:rPr>
                <w:sz w:val="18"/>
                <w:szCs w:val="18"/>
              </w:rPr>
              <w:t>Secondary</w:t>
            </w:r>
          </w:p>
        </w:tc>
        <w:tc>
          <w:tcPr>
            <w:tcW w:w="1133" w:type="dxa"/>
            <w:tcBorders>
              <w:top w:val="single" w:sz="4" w:space="0" w:color="D9D9D9"/>
              <w:left w:val="single" w:sz="4" w:space="0" w:color="D9D9D9"/>
              <w:bottom w:val="single" w:sz="4" w:space="0" w:color="D9D9D9"/>
              <w:right w:val="single" w:sz="4" w:space="0" w:color="D9D9D9"/>
            </w:tcBorders>
            <w:hideMark/>
          </w:tcPr>
          <w:p w14:paraId="4F31B487" w14:textId="77777777" w:rsidR="001C19F3" w:rsidRDefault="001C19F3" w:rsidP="00521305">
            <w:pPr>
              <w:spacing w:after="0"/>
              <w:jc w:val="center"/>
              <w:rPr>
                <w:sz w:val="18"/>
                <w:szCs w:val="18"/>
              </w:rPr>
            </w:pPr>
            <w:r>
              <w:rPr>
                <w:sz w:val="18"/>
                <w:szCs w:val="18"/>
              </w:rPr>
              <w:t>NA</w:t>
            </w:r>
          </w:p>
        </w:tc>
        <w:tc>
          <w:tcPr>
            <w:tcW w:w="1133" w:type="dxa"/>
            <w:tcBorders>
              <w:top w:val="single" w:sz="4" w:space="0" w:color="D9D9D9"/>
              <w:left w:val="single" w:sz="4" w:space="0" w:color="D9D9D9"/>
              <w:bottom w:val="single" w:sz="4" w:space="0" w:color="D9D9D9"/>
              <w:right w:val="single" w:sz="4" w:space="0" w:color="D9D9D9"/>
            </w:tcBorders>
            <w:hideMark/>
          </w:tcPr>
          <w:p w14:paraId="40E78AF1" w14:textId="77777777" w:rsidR="001C19F3" w:rsidRDefault="001C19F3" w:rsidP="00521305">
            <w:pPr>
              <w:spacing w:after="0"/>
              <w:jc w:val="center"/>
              <w:rPr>
                <w:sz w:val="18"/>
                <w:szCs w:val="18"/>
              </w:rPr>
            </w:pPr>
            <w:r>
              <w:rPr>
                <w:sz w:val="18"/>
                <w:szCs w:val="18"/>
              </w:rPr>
              <w:t>Jul 2015 – June 2019</w:t>
            </w:r>
          </w:p>
        </w:tc>
        <w:tc>
          <w:tcPr>
            <w:tcW w:w="1275" w:type="dxa"/>
            <w:tcBorders>
              <w:top w:val="single" w:sz="4" w:space="0" w:color="D9D9D9"/>
              <w:left w:val="single" w:sz="4" w:space="0" w:color="D9D9D9"/>
              <w:bottom w:val="single" w:sz="4" w:space="0" w:color="D9D9D9"/>
              <w:right w:val="single" w:sz="4" w:space="0" w:color="D9D9D9"/>
            </w:tcBorders>
            <w:hideMark/>
          </w:tcPr>
          <w:p w14:paraId="0DCA089C" w14:textId="77777777" w:rsidR="001C19F3" w:rsidRDefault="001C19F3" w:rsidP="00521305">
            <w:pPr>
              <w:spacing w:after="0"/>
              <w:jc w:val="center"/>
              <w:rPr>
                <w:sz w:val="18"/>
                <w:szCs w:val="18"/>
              </w:rPr>
            </w:pPr>
            <w:r>
              <w:rPr>
                <w:sz w:val="18"/>
                <w:szCs w:val="18"/>
              </w:rPr>
              <w:t>Jul 2015 – June 2021</w:t>
            </w:r>
          </w:p>
        </w:tc>
        <w:tc>
          <w:tcPr>
            <w:tcW w:w="1140" w:type="dxa"/>
            <w:tcBorders>
              <w:top w:val="single" w:sz="4" w:space="0" w:color="D9D9D9"/>
              <w:left w:val="single" w:sz="4" w:space="0" w:color="D9D9D9"/>
              <w:bottom w:val="single" w:sz="4" w:space="0" w:color="D9D9D9"/>
              <w:right w:val="single" w:sz="4" w:space="0" w:color="D9D9D9"/>
            </w:tcBorders>
            <w:hideMark/>
          </w:tcPr>
          <w:p w14:paraId="1AB8FFF9" w14:textId="77777777" w:rsidR="001C19F3" w:rsidRPr="00F5548C" w:rsidRDefault="001C19F3" w:rsidP="00521305">
            <w:pPr>
              <w:spacing w:after="0"/>
              <w:jc w:val="center"/>
              <w:rPr>
                <w:sz w:val="18"/>
                <w:szCs w:val="18"/>
              </w:rPr>
            </w:pPr>
            <w:r w:rsidRPr="00F5548C">
              <w:rPr>
                <w:sz w:val="18"/>
                <w:szCs w:val="18"/>
              </w:rPr>
              <w:t>NA</w:t>
            </w:r>
          </w:p>
        </w:tc>
      </w:tr>
    </w:tbl>
    <w:p w14:paraId="399BAD22" w14:textId="77777777" w:rsidR="001C19F3" w:rsidRPr="000436BB" w:rsidRDefault="001C19F3" w:rsidP="001C19F3">
      <w:pPr>
        <w:pStyle w:val="Chartortablefootnote"/>
      </w:pPr>
      <w:r w:rsidRPr="00854F1C">
        <w:rPr>
          <w:vertAlign w:val="superscript"/>
        </w:rPr>
        <w:t>1</w:t>
      </w:r>
      <w:r w:rsidRPr="000436BB">
        <w:t xml:space="preserve">Case studies include patient interviews/ focus groups, practice interviews, related provider interviews (e.g. pharmacists, allied health), PHN interviews, LHN/ state &amp; territory health authority interviews; </w:t>
      </w:r>
      <w:r w:rsidRPr="00854F1C">
        <w:rPr>
          <w:vertAlign w:val="superscript"/>
        </w:rPr>
        <w:t>2</w:t>
      </w:r>
      <w:r w:rsidRPr="000436BB">
        <w:t xml:space="preserve">Includes, amongst other issues, data on registrations, utilisation of training modules; </w:t>
      </w:r>
      <w:r w:rsidRPr="00854F1C">
        <w:rPr>
          <w:vertAlign w:val="superscript"/>
        </w:rPr>
        <w:t>3</w:t>
      </w:r>
      <w:r w:rsidRPr="000436BB">
        <w:t>Includes MBS, PBS, hospital, emergency department, aged care, and fact of death data.</w:t>
      </w:r>
    </w:p>
    <w:p w14:paraId="244DD2AF" w14:textId="77777777" w:rsidR="001C19F3" w:rsidRPr="00A32DC6" w:rsidRDefault="001C19F3" w:rsidP="001C19F3">
      <w:pPr>
        <w:rPr>
          <w:i/>
          <w:sz w:val="16"/>
          <w:szCs w:val="16"/>
        </w:rPr>
      </w:pPr>
    </w:p>
    <w:p w14:paraId="58985B8A" w14:textId="77777777" w:rsidR="001C19F3" w:rsidRPr="008E7889" w:rsidRDefault="001C19F3" w:rsidP="001C19F3">
      <w:pPr>
        <w:widowControl w:val="0"/>
        <w:autoSpaceDE w:val="0"/>
        <w:autoSpaceDN w:val="0"/>
        <w:adjustRightInd w:val="0"/>
        <w:ind w:right="-11"/>
        <w:rPr>
          <w:i/>
          <w:sz w:val="16"/>
          <w:szCs w:val="16"/>
        </w:rPr>
      </w:pPr>
    </w:p>
    <w:p w14:paraId="67FCA069" w14:textId="77777777" w:rsidR="001C19F3" w:rsidRDefault="001C19F3" w:rsidP="001C19F3">
      <w:pPr>
        <w:pStyle w:val="Heading1withnumber"/>
        <w:ind w:left="0" w:hanging="1134"/>
        <w:sectPr w:rsidR="001C19F3" w:rsidSect="00640EFA">
          <w:headerReference w:type="even" r:id="rId150"/>
          <w:headerReference w:type="default" r:id="rId151"/>
          <w:headerReference w:type="first" r:id="rId152"/>
          <w:footerReference w:type="first" r:id="rId153"/>
          <w:pgSz w:w="11906" w:h="16838"/>
          <w:pgMar w:top="1440" w:right="1440" w:bottom="1440" w:left="1440" w:header="708" w:footer="708" w:gutter="0"/>
          <w:cols w:space="708"/>
          <w:titlePg/>
          <w:docGrid w:linePitch="360"/>
        </w:sectPr>
      </w:pPr>
    </w:p>
    <w:p w14:paraId="61A2CFD5" w14:textId="77777777" w:rsidR="001C19F3" w:rsidRDefault="001C19F3" w:rsidP="001C19F3">
      <w:pPr>
        <w:pStyle w:val="Heading1withnumber"/>
        <w:ind w:left="0" w:hanging="1134"/>
      </w:pPr>
      <w:bookmarkStart w:id="464" w:name="_Toc27058951"/>
      <w:r>
        <w:lastRenderedPageBreak/>
        <w:t>HCH practice and staff surveys</w:t>
      </w:r>
      <w:bookmarkEnd w:id="464"/>
    </w:p>
    <w:p w14:paraId="3E0C099A" w14:textId="77777777" w:rsidR="001C19F3" w:rsidRDefault="001C19F3" w:rsidP="001C19F3">
      <w:bookmarkStart w:id="465" w:name="_Hlk20905790"/>
      <w:r>
        <w:t>S</w:t>
      </w:r>
      <w:r w:rsidRPr="000A6236">
        <w:t xml:space="preserve">urveys </w:t>
      </w:r>
      <w:r>
        <w:t xml:space="preserve">of participating HCH practice </w:t>
      </w:r>
      <w:r w:rsidRPr="000A6236">
        <w:t xml:space="preserve">were conducted </w:t>
      </w:r>
      <w:r>
        <w:t xml:space="preserve">in </w:t>
      </w:r>
      <w:r w:rsidRPr="000A6236">
        <w:t xml:space="preserve">Round 1 and Round 2. Further surveys will be conducted in Round 4 (late 2019), and Round 5 (late 2020). </w:t>
      </w:r>
      <w:r>
        <w:t xml:space="preserve">The topics included or planned to be included in each round are described in </w:t>
      </w:r>
      <w:r>
        <w:fldChar w:fldCharType="begin"/>
      </w:r>
      <w:r>
        <w:instrText xml:space="preserve"> REF _Ref20755153 \h  \* MERGEFORMAT </w:instrText>
      </w:r>
      <w:r>
        <w:fldChar w:fldCharType="separate"/>
      </w:r>
      <w:r w:rsidRPr="008F2809">
        <w:t>Table 5</w:t>
      </w:r>
      <w:r>
        <w:fldChar w:fldCharType="end"/>
      </w:r>
      <w:r>
        <w:t xml:space="preserve">. The surveys were administered online using the Qualtrics system. To accompany the survey in Round 1, </w:t>
      </w:r>
      <w:bookmarkStart w:id="466" w:name="_Hlk528662916"/>
      <w:r>
        <w:t xml:space="preserve">Health Policy Analysis developed </w:t>
      </w:r>
      <w:r w:rsidRPr="007F7DB9">
        <w:t xml:space="preserve">a Microsoft Excel tool that </w:t>
      </w:r>
      <w:r>
        <w:t>practice</w:t>
      </w:r>
      <w:r w:rsidRPr="007F7DB9">
        <w:t xml:space="preserve">s </w:t>
      </w:r>
      <w:r>
        <w:t>could</w:t>
      </w:r>
      <w:r w:rsidRPr="007F7DB9">
        <w:t xml:space="preserve"> use to compile assessments from individual staff members</w:t>
      </w:r>
      <w:r>
        <w:t xml:space="preserve"> towards the HCH-A. The intention was for practices to use the tool</w:t>
      </w:r>
      <w:r w:rsidRPr="007F7DB9">
        <w:t xml:space="preserve"> as a basis for discussing</w:t>
      </w:r>
      <w:r>
        <w:t xml:space="preserve"> individual staff members’ scoring</w:t>
      </w:r>
      <w:r w:rsidRPr="007F7DB9">
        <w:t xml:space="preserve"> and achieving a consensus response</w:t>
      </w:r>
      <w:r>
        <w:t xml:space="preserve"> for the practice</w:t>
      </w:r>
      <w:r w:rsidRPr="007F7DB9">
        <w:t xml:space="preserve">. </w:t>
      </w:r>
      <w:bookmarkEnd w:id="466"/>
    </w:p>
    <w:p w14:paraId="6ED93002" w14:textId="77777777" w:rsidR="001C19F3" w:rsidRDefault="001C19F3" w:rsidP="001C19F3">
      <w:pPr>
        <w:spacing w:after="0"/>
        <w:jc w:val="center"/>
        <w:rPr>
          <w:rFonts w:asciiTheme="minorHAnsi" w:eastAsiaTheme="minorEastAsia" w:hAnsiTheme="minorHAnsi"/>
        </w:rPr>
      </w:pPr>
      <w:bookmarkStart w:id="467" w:name="_Ref20755153"/>
      <w:bookmarkStart w:id="468" w:name="_Ref20755148"/>
      <w:bookmarkEnd w:id="465"/>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5</w:t>
      </w:r>
      <w:r w:rsidRPr="007E3ABB">
        <w:rPr>
          <w:rFonts w:cs="Arial"/>
          <w:b/>
          <w:color w:val="000000" w:themeColor="text1"/>
        </w:rPr>
        <w:fldChar w:fldCharType="end"/>
      </w:r>
      <w:bookmarkEnd w:id="467"/>
      <w:r w:rsidRPr="007E3ABB">
        <w:rPr>
          <w:b/>
        </w:rPr>
        <w:t xml:space="preserve"> – </w:t>
      </w:r>
      <w:r>
        <w:rPr>
          <w:b/>
        </w:rPr>
        <w:t>Topic areas for each practice survey</w:t>
      </w:r>
      <w:bookmarkEnd w:id="468"/>
    </w:p>
    <w:tbl>
      <w:tblPr>
        <w:tblStyle w:val="TableGrid"/>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94"/>
        <w:gridCol w:w="1556"/>
        <w:gridCol w:w="6066"/>
      </w:tblGrid>
      <w:tr w:rsidR="001C19F3" w:rsidRPr="002E763D" w14:paraId="11BCED09" w14:textId="77777777" w:rsidTr="00521305">
        <w:trPr>
          <w:jc w:val="center"/>
        </w:trPr>
        <w:tc>
          <w:tcPr>
            <w:tcW w:w="773" w:type="pct"/>
            <w:shd w:val="clear" w:color="auto" w:fill="003D79"/>
          </w:tcPr>
          <w:p w14:paraId="1D13BF7B" w14:textId="77777777" w:rsidR="001C19F3" w:rsidRPr="002E763D" w:rsidRDefault="001C19F3" w:rsidP="00521305">
            <w:pPr>
              <w:spacing w:after="0"/>
              <w:jc w:val="center"/>
              <w:rPr>
                <w:b/>
                <w:color w:val="FFFFFF" w:themeColor="background1"/>
                <w:sz w:val="18"/>
                <w:szCs w:val="18"/>
              </w:rPr>
            </w:pPr>
            <w:r w:rsidRPr="002E763D">
              <w:rPr>
                <w:b/>
                <w:color w:val="FFFFFF" w:themeColor="background1"/>
                <w:sz w:val="18"/>
                <w:szCs w:val="18"/>
              </w:rPr>
              <w:t>Survey Round</w:t>
            </w:r>
          </w:p>
        </w:tc>
        <w:tc>
          <w:tcPr>
            <w:tcW w:w="863" w:type="pct"/>
            <w:shd w:val="clear" w:color="auto" w:fill="003D79"/>
          </w:tcPr>
          <w:p w14:paraId="19A583D0" w14:textId="77777777" w:rsidR="001C19F3" w:rsidRPr="002E763D" w:rsidRDefault="001C19F3" w:rsidP="00521305">
            <w:pPr>
              <w:spacing w:after="0"/>
              <w:jc w:val="center"/>
              <w:rPr>
                <w:b/>
                <w:color w:val="FFFFFF" w:themeColor="background1"/>
                <w:sz w:val="18"/>
                <w:szCs w:val="18"/>
              </w:rPr>
            </w:pPr>
            <w:r w:rsidRPr="002E763D">
              <w:rPr>
                <w:b/>
                <w:color w:val="FFFFFF" w:themeColor="background1"/>
                <w:sz w:val="18"/>
                <w:szCs w:val="18"/>
              </w:rPr>
              <w:t>When conducted</w:t>
            </w:r>
          </w:p>
        </w:tc>
        <w:tc>
          <w:tcPr>
            <w:tcW w:w="3364" w:type="pct"/>
            <w:shd w:val="clear" w:color="auto" w:fill="003D79"/>
          </w:tcPr>
          <w:p w14:paraId="7DBE89E4" w14:textId="77777777" w:rsidR="001C19F3" w:rsidRPr="002E763D" w:rsidRDefault="001C19F3" w:rsidP="00521305">
            <w:pPr>
              <w:spacing w:after="0"/>
              <w:jc w:val="center"/>
              <w:rPr>
                <w:b/>
                <w:color w:val="FFFFFF" w:themeColor="background1"/>
                <w:sz w:val="18"/>
                <w:szCs w:val="18"/>
              </w:rPr>
            </w:pPr>
            <w:r w:rsidRPr="002E763D">
              <w:rPr>
                <w:b/>
                <w:color w:val="FFFFFF" w:themeColor="background1"/>
                <w:sz w:val="18"/>
                <w:szCs w:val="18"/>
              </w:rPr>
              <w:t>Contents of survey</w:t>
            </w:r>
          </w:p>
        </w:tc>
      </w:tr>
      <w:tr w:rsidR="001C19F3" w:rsidRPr="002E763D" w14:paraId="729C9CA7" w14:textId="77777777" w:rsidTr="00521305">
        <w:trPr>
          <w:jc w:val="center"/>
        </w:trPr>
        <w:tc>
          <w:tcPr>
            <w:tcW w:w="773" w:type="pct"/>
          </w:tcPr>
          <w:p w14:paraId="17DE39D4" w14:textId="77777777" w:rsidR="001C19F3" w:rsidRPr="002E763D" w:rsidRDefault="001C19F3" w:rsidP="00521305">
            <w:pPr>
              <w:spacing w:after="0"/>
              <w:jc w:val="center"/>
              <w:rPr>
                <w:color w:val="000000"/>
                <w:sz w:val="18"/>
                <w:szCs w:val="18"/>
              </w:rPr>
            </w:pPr>
            <w:r w:rsidRPr="002E763D">
              <w:rPr>
                <w:color w:val="000000"/>
                <w:sz w:val="18"/>
                <w:szCs w:val="18"/>
              </w:rPr>
              <w:t>Round 1</w:t>
            </w:r>
          </w:p>
        </w:tc>
        <w:tc>
          <w:tcPr>
            <w:tcW w:w="863" w:type="pct"/>
          </w:tcPr>
          <w:p w14:paraId="435D3F66" w14:textId="77777777" w:rsidR="001C19F3" w:rsidRPr="002E763D" w:rsidRDefault="001C19F3" w:rsidP="00521305">
            <w:pPr>
              <w:spacing w:after="0"/>
              <w:jc w:val="center"/>
              <w:rPr>
                <w:b/>
                <w:color w:val="000000"/>
                <w:sz w:val="18"/>
                <w:szCs w:val="18"/>
              </w:rPr>
            </w:pPr>
            <w:r w:rsidRPr="00C9667B">
              <w:rPr>
                <w:color w:val="000000"/>
                <w:sz w:val="18"/>
                <w:szCs w:val="18"/>
              </w:rPr>
              <w:t>March-June 2018</w:t>
            </w:r>
          </w:p>
        </w:tc>
        <w:tc>
          <w:tcPr>
            <w:tcW w:w="3364" w:type="pct"/>
          </w:tcPr>
          <w:p w14:paraId="6B560D89" w14:textId="77777777" w:rsidR="001C19F3" w:rsidRPr="002E763D" w:rsidRDefault="001C19F3" w:rsidP="00521305">
            <w:pPr>
              <w:spacing w:after="0"/>
              <w:rPr>
                <w:b/>
                <w:color w:val="000000"/>
                <w:sz w:val="18"/>
                <w:szCs w:val="18"/>
              </w:rPr>
            </w:pPr>
            <w:r w:rsidRPr="002E763D">
              <w:rPr>
                <w:b/>
                <w:color w:val="000000"/>
                <w:sz w:val="18"/>
                <w:szCs w:val="18"/>
              </w:rPr>
              <w:t>Part A</w:t>
            </w:r>
          </w:p>
          <w:p w14:paraId="5F5226AC"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Characteristic of the practice at baseline</w:t>
            </w:r>
          </w:p>
          <w:p w14:paraId="6DA26F85"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Staffing</w:t>
            </w:r>
          </w:p>
          <w:p w14:paraId="0B9D35C2"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Opening hours</w:t>
            </w:r>
          </w:p>
          <w:p w14:paraId="29241172"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 xml:space="preserve">Accessibility of other services in </w:t>
            </w:r>
            <w:r>
              <w:rPr>
                <w:color w:val="000000"/>
                <w:sz w:val="18"/>
                <w:szCs w:val="18"/>
              </w:rPr>
              <w:t xml:space="preserve">the </w:t>
            </w:r>
            <w:r w:rsidRPr="002E763D">
              <w:rPr>
                <w:color w:val="000000"/>
                <w:sz w:val="18"/>
                <w:szCs w:val="18"/>
              </w:rPr>
              <w:t>local community</w:t>
            </w:r>
          </w:p>
          <w:p w14:paraId="67BDFE34"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Information technology infrastructure and capabilities</w:t>
            </w:r>
          </w:p>
          <w:p w14:paraId="7ECE0F24"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Participation in PIP and quality improvement activities</w:t>
            </w:r>
          </w:p>
          <w:p w14:paraId="4227DAC1"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Co-payment policies</w:t>
            </w:r>
          </w:p>
          <w:p w14:paraId="0DFFEF90" w14:textId="77777777" w:rsidR="001C19F3" w:rsidRPr="002E763D" w:rsidRDefault="001C19F3" w:rsidP="001C19F3">
            <w:pPr>
              <w:pStyle w:val="ListParagraph"/>
              <w:numPr>
                <w:ilvl w:val="0"/>
                <w:numId w:val="111"/>
              </w:numPr>
              <w:spacing w:after="0"/>
              <w:ind w:left="440"/>
              <w:rPr>
                <w:color w:val="000000"/>
                <w:sz w:val="18"/>
                <w:szCs w:val="18"/>
              </w:rPr>
            </w:pPr>
            <w:r>
              <w:rPr>
                <w:color w:val="000000"/>
                <w:sz w:val="18"/>
                <w:szCs w:val="18"/>
              </w:rPr>
              <w:t>Practice c</w:t>
            </w:r>
            <w:r w:rsidRPr="002E763D">
              <w:rPr>
                <w:color w:val="000000"/>
                <w:sz w:val="18"/>
                <w:szCs w:val="18"/>
              </w:rPr>
              <w:t>osts</w:t>
            </w:r>
          </w:p>
          <w:p w14:paraId="2E962BCC" w14:textId="77777777" w:rsidR="001C19F3" w:rsidRPr="002E763D" w:rsidRDefault="001C19F3" w:rsidP="00521305">
            <w:pPr>
              <w:spacing w:after="0"/>
              <w:rPr>
                <w:b/>
                <w:color w:val="000000"/>
                <w:sz w:val="18"/>
                <w:szCs w:val="18"/>
              </w:rPr>
            </w:pPr>
            <w:r w:rsidRPr="002E763D">
              <w:rPr>
                <w:b/>
                <w:color w:val="000000"/>
                <w:sz w:val="18"/>
                <w:szCs w:val="18"/>
              </w:rPr>
              <w:t>Part B</w:t>
            </w:r>
          </w:p>
          <w:p w14:paraId="521B0BB2"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Self-assessment against dimension of the Patient Centred Medical Home using the HCH-A tool</w:t>
            </w:r>
          </w:p>
        </w:tc>
      </w:tr>
      <w:tr w:rsidR="001C19F3" w:rsidRPr="002E763D" w14:paraId="4B98B8E2" w14:textId="77777777" w:rsidTr="00521305">
        <w:trPr>
          <w:jc w:val="center"/>
        </w:trPr>
        <w:tc>
          <w:tcPr>
            <w:tcW w:w="773" w:type="pct"/>
          </w:tcPr>
          <w:p w14:paraId="7D32AF92" w14:textId="77777777" w:rsidR="001C19F3" w:rsidRPr="002E763D" w:rsidRDefault="001C19F3" w:rsidP="00521305">
            <w:pPr>
              <w:spacing w:after="0"/>
              <w:jc w:val="center"/>
              <w:rPr>
                <w:color w:val="000000"/>
                <w:sz w:val="18"/>
                <w:szCs w:val="18"/>
              </w:rPr>
            </w:pPr>
            <w:r w:rsidRPr="002E763D">
              <w:rPr>
                <w:color w:val="000000"/>
                <w:sz w:val="18"/>
                <w:szCs w:val="18"/>
              </w:rPr>
              <w:t>Round 2</w:t>
            </w:r>
          </w:p>
        </w:tc>
        <w:tc>
          <w:tcPr>
            <w:tcW w:w="863" w:type="pct"/>
          </w:tcPr>
          <w:p w14:paraId="1C866C74" w14:textId="77777777" w:rsidR="001C19F3" w:rsidRPr="002E763D" w:rsidRDefault="001C19F3" w:rsidP="00521305">
            <w:pPr>
              <w:spacing w:after="0"/>
              <w:jc w:val="center"/>
              <w:rPr>
                <w:color w:val="000000"/>
                <w:sz w:val="18"/>
                <w:szCs w:val="18"/>
              </w:rPr>
            </w:pPr>
            <w:r>
              <w:rPr>
                <w:color w:val="000000"/>
                <w:sz w:val="18"/>
                <w:szCs w:val="18"/>
              </w:rPr>
              <w:t xml:space="preserve">November </w:t>
            </w:r>
            <w:r w:rsidRPr="002E763D">
              <w:rPr>
                <w:color w:val="000000"/>
                <w:sz w:val="18"/>
                <w:szCs w:val="18"/>
              </w:rPr>
              <w:t>2018</w:t>
            </w:r>
            <w:r>
              <w:rPr>
                <w:color w:val="000000"/>
                <w:sz w:val="18"/>
                <w:szCs w:val="18"/>
              </w:rPr>
              <w:t xml:space="preserve"> </w:t>
            </w:r>
            <w:r w:rsidRPr="002E763D">
              <w:rPr>
                <w:color w:val="000000"/>
                <w:sz w:val="18"/>
                <w:szCs w:val="18"/>
              </w:rPr>
              <w:t>-</w:t>
            </w:r>
            <w:r>
              <w:rPr>
                <w:color w:val="000000"/>
                <w:sz w:val="18"/>
                <w:szCs w:val="18"/>
              </w:rPr>
              <w:t xml:space="preserve"> March </w:t>
            </w:r>
            <w:r w:rsidRPr="002E763D">
              <w:rPr>
                <w:color w:val="000000"/>
                <w:sz w:val="18"/>
                <w:szCs w:val="18"/>
              </w:rPr>
              <w:t>2019</w:t>
            </w:r>
          </w:p>
        </w:tc>
        <w:tc>
          <w:tcPr>
            <w:tcW w:w="3364" w:type="pct"/>
          </w:tcPr>
          <w:p w14:paraId="6BFB4DB8"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Perspectives on patient enrolment</w:t>
            </w:r>
            <w:r>
              <w:rPr>
                <w:color w:val="000000"/>
                <w:sz w:val="18"/>
                <w:szCs w:val="18"/>
              </w:rPr>
              <w:t xml:space="preserve"> and</w:t>
            </w:r>
            <w:r w:rsidRPr="002E763D">
              <w:rPr>
                <w:color w:val="000000"/>
                <w:sz w:val="18"/>
                <w:szCs w:val="18"/>
              </w:rPr>
              <w:t xml:space="preserve"> risk stratification</w:t>
            </w:r>
          </w:p>
          <w:p w14:paraId="22E172CC"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Perspectives on training and support</w:t>
            </w:r>
          </w:p>
          <w:p w14:paraId="3DFDC5C4"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Focus for initiatives implemented/ enhanced as part of HCH</w:t>
            </w:r>
          </w:p>
        </w:tc>
      </w:tr>
      <w:tr w:rsidR="001C19F3" w:rsidRPr="002E763D" w14:paraId="325B072E" w14:textId="77777777" w:rsidTr="00521305">
        <w:trPr>
          <w:jc w:val="center"/>
        </w:trPr>
        <w:tc>
          <w:tcPr>
            <w:tcW w:w="773" w:type="pct"/>
          </w:tcPr>
          <w:p w14:paraId="3CF99749" w14:textId="77777777" w:rsidR="001C19F3" w:rsidRPr="002E763D" w:rsidRDefault="001C19F3" w:rsidP="00521305">
            <w:pPr>
              <w:spacing w:after="0"/>
              <w:jc w:val="center"/>
              <w:rPr>
                <w:color w:val="000000"/>
                <w:sz w:val="18"/>
                <w:szCs w:val="18"/>
              </w:rPr>
            </w:pPr>
            <w:r w:rsidRPr="002E763D">
              <w:rPr>
                <w:color w:val="000000"/>
                <w:sz w:val="18"/>
                <w:szCs w:val="18"/>
              </w:rPr>
              <w:t>Round 4</w:t>
            </w:r>
          </w:p>
        </w:tc>
        <w:tc>
          <w:tcPr>
            <w:tcW w:w="863" w:type="pct"/>
          </w:tcPr>
          <w:p w14:paraId="4E2D958C" w14:textId="77777777" w:rsidR="001C19F3" w:rsidRPr="002E763D" w:rsidRDefault="001C19F3" w:rsidP="00521305">
            <w:pPr>
              <w:spacing w:after="0"/>
              <w:jc w:val="center"/>
              <w:rPr>
                <w:color w:val="000000"/>
                <w:sz w:val="18"/>
                <w:szCs w:val="18"/>
              </w:rPr>
            </w:pPr>
            <w:r w:rsidRPr="002E763D">
              <w:rPr>
                <w:color w:val="000000"/>
                <w:sz w:val="18"/>
                <w:szCs w:val="18"/>
              </w:rPr>
              <w:t>Late 2019</w:t>
            </w:r>
          </w:p>
        </w:tc>
        <w:tc>
          <w:tcPr>
            <w:tcW w:w="3364" w:type="pct"/>
          </w:tcPr>
          <w:p w14:paraId="45CF0762"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Progress on initiatives implemented/ enhanced as part of HCH</w:t>
            </w:r>
          </w:p>
        </w:tc>
      </w:tr>
      <w:tr w:rsidR="001C19F3" w:rsidRPr="002E763D" w14:paraId="5B76A82E" w14:textId="77777777" w:rsidTr="00521305">
        <w:trPr>
          <w:jc w:val="center"/>
        </w:trPr>
        <w:tc>
          <w:tcPr>
            <w:tcW w:w="773" w:type="pct"/>
          </w:tcPr>
          <w:p w14:paraId="692F3B9C" w14:textId="77777777" w:rsidR="001C19F3" w:rsidRPr="002E763D" w:rsidRDefault="001C19F3" w:rsidP="00521305">
            <w:pPr>
              <w:spacing w:after="0"/>
              <w:jc w:val="center"/>
              <w:rPr>
                <w:color w:val="000000"/>
                <w:sz w:val="18"/>
                <w:szCs w:val="18"/>
              </w:rPr>
            </w:pPr>
            <w:r w:rsidRPr="002E763D">
              <w:rPr>
                <w:color w:val="000000"/>
                <w:sz w:val="18"/>
                <w:szCs w:val="18"/>
              </w:rPr>
              <w:t>Round 5</w:t>
            </w:r>
          </w:p>
        </w:tc>
        <w:tc>
          <w:tcPr>
            <w:tcW w:w="863" w:type="pct"/>
          </w:tcPr>
          <w:p w14:paraId="540ECFF3" w14:textId="77777777" w:rsidR="001C19F3" w:rsidRPr="002E763D" w:rsidRDefault="001C19F3" w:rsidP="00521305">
            <w:pPr>
              <w:spacing w:after="0"/>
              <w:jc w:val="center"/>
              <w:rPr>
                <w:color w:val="000000"/>
                <w:sz w:val="18"/>
                <w:szCs w:val="18"/>
              </w:rPr>
            </w:pPr>
            <w:r w:rsidRPr="002E763D">
              <w:rPr>
                <w:color w:val="000000"/>
                <w:sz w:val="18"/>
                <w:szCs w:val="18"/>
              </w:rPr>
              <w:t>Late 2020</w:t>
            </w:r>
          </w:p>
        </w:tc>
        <w:tc>
          <w:tcPr>
            <w:tcW w:w="3364" w:type="pct"/>
          </w:tcPr>
          <w:p w14:paraId="574C75EB" w14:textId="77777777" w:rsidR="001C19F3" w:rsidRPr="002E763D" w:rsidRDefault="001C19F3" w:rsidP="00521305">
            <w:pPr>
              <w:spacing w:after="0"/>
              <w:rPr>
                <w:b/>
                <w:color w:val="000000"/>
                <w:sz w:val="18"/>
                <w:szCs w:val="18"/>
              </w:rPr>
            </w:pPr>
            <w:r w:rsidRPr="002E763D">
              <w:rPr>
                <w:b/>
                <w:color w:val="000000"/>
                <w:sz w:val="18"/>
                <w:szCs w:val="18"/>
              </w:rPr>
              <w:t>Part A</w:t>
            </w:r>
          </w:p>
          <w:p w14:paraId="2B548DA4"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assessment of initiatives implemented/ enhanced as part of HCH</w:t>
            </w:r>
          </w:p>
          <w:p w14:paraId="65CA9B2D"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shared care planning</w:t>
            </w:r>
          </w:p>
          <w:p w14:paraId="28AFFBF2"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patient engagement and activation</w:t>
            </w:r>
          </w:p>
          <w:p w14:paraId="02612A4A"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chronic disease management</w:t>
            </w:r>
          </w:p>
          <w:p w14:paraId="64A01546"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assessment of training and support</w:t>
            </w:r>
          </w:p>
          <w:p w14:paraId="6C5D07B4" w14:textId="77777777" w:rsidR="001C19F3" w:rsidRPr="002E763D" w:rsidRDefault="001C19F3" w:rsidP="001C19F3">
            <w:pPr>
              <w:pStyle w:val="ListParagraph"/>
              <w:numPr>
                <w:ilvl w:val="0"/>
                <w:numId w:val="111"/>
              </w:numPr>
              <w:spacing w:after="0"/>
              <w:ind w:left="440"/>
              <w:rPr>
                <w:color w:val="000000"/>
                <w:sz w:val="18"/>
                <w:szCs w:val="18"/>
              </w:rPr>
            </w:pPr>
            <w:r w:rsidRPr="002E763D">
              <w:rPr>
                <w:color w:val="000000"/>
                <w:sz w:val="18"/>
                <w:szCs w:val="18"/>
              </w:rPr>
              <w:t>changes in staffing</w:t>
            </w:r>
          </w:p>
          <w:p w14:paraId="47FD7D1A" w14:textId="77777777" w:rsidR="001C19F3" w:rsidRPr="002E763D" w:rsidRDefault="001C19F3" w:rsidP="001C19F3">
            <w:pPr>
              <w:pStyle w:val="ListParagraph"/>
              <w:numPr>
                <w:ilvl w:val="0"/>
                <w:numId w:val="111"/>
              </w:numPr>
              <w:spacing w:after="0"/>
              <w:ind w:left="440"/>
              <w:rPr>
                <w:sz w:val="18"/>
                <w:szCs w:val="18"/>
              </w:rPr>
            </w:pPr>
            <w:r w:rsidRPr="002E763D">
              <w:rPr>
                <w:color w:val="000000"/>
                <w:sz w:val="18"/>
                <w:szCs w:val="18"/>
              </w:rPr>
              <w:t>financial impacts of HCH.</w:t>
            </w:r>
          </w:p>
          <w:p w14:paraId="62B519E5" w14:textId="77777777" w:rsidR="001C19F3" w:rsidRPr="002E763D" w:rsidRDefault="001C19F3" w:rsidP="00521305">
            <w:pPr>
              <w:spacing w:after="0"/>
              <w:rPr>
                <w:b/>
                <w:color w:val="000000"/>
                <w:sz w:val="18"/>
                <w:szCs w:val="18"/>
              </w:rPr>
            </w:pPr>
            <w:r w:rsidRPr="002E763D">
              <w:rPr>
                <w:b/>
                <w:color w:val="000000"/>
                <w:sz w:val="18"/>
                <w:szCs w:val="18"/>
              </w:rPr>
              <w:t>Part B</w:t>
            </w:r>
          </w:p>
          <w:p w14:paraId="58AF6305" w14:textId="77777777" w:rsidR="001C19F3" w:rsidRPr="002E763D" w:rsidRDefault="001C19F3" w:rsidP="001C19F3">
            <w:pPr>
              <w:pStyle w:val="ListParagraph"/>
              <w:numPr>
                <w:ilvl w:val="0"/>
                <w:numId w:val="111"/>
              </w:numPr>
              <w:spacing w:after="0"/>
              <w:ind w:left="440"/>
              <w:rPr>
                <w:sz w:val="18"/>
                <w:szCs w:val="18"/>
              </w:rPr>
            </w:pPr>
            <w:r w:rsidRPr="002E763D">
              <w:rPr>
                <w:color w:val="000000"/>
                <w:sz w:val="18"/>
                <w:szCs w:val="18"/>
              </w:rPr>
              <w:t>Self-assessment against dimension of the Patient Centred Medical Home using the HCH-A tool</w:t>
            </w:r>
          </w:p>
        </w:tc>
      </w:tr>
    </w:tbl>
    <w:p w14:paraId="721EE618" w14:textId="77777777" w:rsidR="001C19F3" w:rsidRDefault="001C19F3" w:rsidP="001C19F3">
      <w:pPr>
        <w:spacing w:after="0"/>
        <w:rPr>
          <w:b/>
          <w:color w:val="000000"/>
          <w:sz w:val="18"/>
          <w:szCs w:val="18"/>
        </w:rPr>
      </w:pPr>
    </w:p>
    <w:p w14:paraId="266E0A73" w14:textId="77777777" w:rsidR="001C19F3" w:rsidRPr="00217E70" w:rsidRDefault="001C19F3" w:rsidP="001C19F3">
      <w:r w:rsidRPr="00217E70">
        <w:fldChar w:fldCharType="begin"/>
      </w:r>
      <w:r w:rsidRPr="00217E70">
        <w:instrText xml:space="preserve"> REF _Ref20755256 \h </w:instrText>
      </w:r>
      <w:r>
        <w:instrText xml:space="preserve"> \* MERGEFORMAT </w:instrText>
      </w:r>
      <w:r w:rsidRPr="00217E70">
        <w:fldChar w:fldCharType="separate"/>
      </w:r>
      <w:r w:rsidRPr="008F2809">
        <w:t>Table 6</w:t>
      </w:r>
      <w:r w:rsidRPr="00217E70">
        <w:fldChar w:fldCharType="end"/>
      </w:r>
      <w:r w:rsidRPr="00217E70">
        <w:t xml:space="preserve"> describes the response rates to the surveys</w:t>
      </w:r>
      <w:r>
        <w:t xml:space="preserve"> and the characteristics of practices responding. Of the 131 practices still participating in the program on</w:t>
      </w:r>
      <w:r w:rsidRPr="009D1CEF">
        <w:t xml:space="preserve"> 31 August 2019, 120 </w:t>
      </w:r>
      <w:r>
        <w:t>had</w:t>
      </w:r>
      <w:r w:rsidRPr="009D1CEF">
        <w:t xml:space="preserve"> </w:t>
      </w:r>
      <w:r w:rsidRPr="009D1CEF">
        <w:lastRenderedPageBreak/>
        <w:t xml:space="preserve">responded to </w:t>
      </w:r>
      <w:r>
        <w:t xml:space="preserve">the </w:t>
      </w:r>
      <w:r w:rsidRPr="009D1CEF">
        <w:t xml:space="preserve">Round 1 </w:t>
      </w:r>
      <w:r>
        <w:t xml:space="preserve">Part A survey </w:t>
      </w:r>
      <w:r w:rsidRPr="009D1CEF">
        <w:t xml:space="preserve">(response rate of 91.6%) and 92 </w:t>
      </w:r>
      <w:r>
        <w:t xml:space="preserve">to the </w:t>
      </w:r>
      <w:r w:rsidRPr="009D1CEF">
        <w:t xml:space="preserve">Round 2 </w:t>
      </w:r>
      <w:r>
        <w:t xml:space="preserve">survey </w:t>
      </w:r>
      <w:r w:rsidRPr="009D1CEF">
        <w:t>(response rate of 70.2%).</w:t>
      </w:r>
    </w:p>
    <w:p w14:paraId="6693AE9F" w14:textId="77777777" w:rsidR="001C19F3" w:rsidRDefault="001C19F3" w:rsidP="001C19F3">
      <w:pPr>
        <w:spacing w:after="0"/>
        <w:jc w:val="center"/>
        <w:rPr>
          <w:b/>
        </w:rPr>
      </w:pPr>
      <w:bookmarkStart w:id="469" w:name="_Ref20755256"/>
      <w:bookmarkStart w:id="470" w:name="_Ref22634061"/>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6</w:t>
      </w:r>
      <w:r w:rsidRPr="007E3ABB">
        <w:rPr>
          <w:rFonts w:cs="Arial"/>
          <w:b/>
          <w:color w:val="000000" w:themeColor="text1"/>
        </w:rPr>
        <w:fldChar w:fldCharType="end"/>
      </w:r>
      <w:bookmarkEnd w:id="469"/>
      <w:r w:rsidRPr="007E3ABB">
        <w:rPr>
          <w:b/>
        </w:rPr>
        <w:t xml:space="preserve"> – </w:t>
      </w:r>
      <w:r>
        <w:rPr>
          <w:b/>
        </w:rPr>
        <w:t>Response rates and characteristics of practices and staff responding to survey request</w:t>
      </w:r>
      <w:bookmarkEnd w:id="470"/>
      <w:r>
        <w:rPr>
          <w:b/>
        </w:rPr>
        <w:t>s</w:t>
      </w:r>
    </w:p>
    <w:tbl>
      <w:tblPr>
        <w:tblW w:w="9006" w:type="dxa"/>
        <w:jc w:val="center"/>
        <w:tblLayout w:type="fixed"/>
        <w:tblLook w:val="04A0" w:firstRow="1" w:lastRow="0" w:firstColumn="1" w:lastColumn="0" w:noHBand="0" w:noVBand="1"/>
      </w:tblPr>
      <w:tblGrid>
        <w:gridCol w:w="2825"/>
        <w:gridCol w:w="851"/>
        <w:gridCol w:w="1276"/>
        <w:gridCol w:w="1134"/>
        <w:gridCol w:w="1417"/>
        <w:gridCol w:w="1503"/>
      </w:tblGrid>
      <w:tr w:rsidR="001C19F3" w:rsidRPr="007230E8" w14:paraId="238D2742" w14:textId="77777777" w:rsidTr="00521305">
        <w:trPr>
          <w:cantSplit/>
          <w:trHeight w:val="495"/>
          <w:jc w:val="center"/>
        </w:trPr>
        <w:tc>
          <w:tcPr>
            <w:tcW w:w="2825" w:type="dxa"/>
            <w:vMerge w:val="restart"/>
            <w:tcBorders>
              <w:top w:val="single" w:sz="8" w:space="0" w:color="BFBFBF"/>
              <w:left w:val="single" w:sz="8" w:space="0" w:color="BFBFBF"/>
              <w:bottom w:val="single" w:sz="8" w:space="0" w:color="BFBFBF"/>
              <w:right w:val="single" w:sz="8" w:space="0" w:color="BFBFBF"/>
            </w:tcBorders>
            <w:shd w:val="clear" w:color="000000" w:fill="003D79"/>
            <w:vAlign w:val="center"/>
            <w:hideMark/>
          </w:tcPr>
          <w:p w14:paraId="4A9F0997" w14:textId="77777777" w:rsidR="001C19F3" w:rsidRPr="007230E8" w:rsidRDefault="001C19F3" w:rsidP="00521305">
            <w:pPr>
              <w:spacing w:after="0" w:line="240" w:lineRule="auto"/>
              <w:jc w:val="center"/>
              <w:rPr>
                <w:rFonts w:eastAsia="Times New Roman"/>
                <w:b/>
                <w:bCs/>
                <w:color w:val="FFFFFF"/>
                <w:sz w:val="18"/>
                <w:szCs w:val="18"/>
                <w:lang w:eastAsia="en-AU"/>
              </w:rPr>
            </w:pPr>
            <w:r>
              <w:rPr>
                <w:rFonts w:eastAsia="Century Gothic" w:cs="Century Gothic"/>
                <w:b/>
                <w:bCs/>
                <w:color w:val="FFFFFF"/>
                <w:sz w:val="18"/>
                <w:szCs w:val="18"/>
                <w:lang w:eastAsia="en-AU"/>
              </w:rPr>
              <w:t>Study strata</w:t>
            </w:r>
            <w:r w:rsidRPr="007164EE">
              <w:rPr>
                <w:rFonts w:eastAsia="Century Gothic" w:cs="Century Gothic"/>
                <w:b/>
                <w:bCs/>
                <w:color w:val="FFFFFF"/>
                <w:sz w:val="18"/>
                <w:szCs w:val="18"/>
                <w:vertAlign w:val="superscript"/>
                <w:lang w:eastAsia="en-AU"/>
              </w:rPr>
              <w:t>1</w:t>
            </w:r>
          </w:p>
        </w:tc>
        <w:tc>
          <w:tcPr>
            <w:tcW w:w="851" w:type="dxa"/>
            <w:vMerge w:val="restart"/>
            <w:tcBorders>
              <w:top w:val="single" w:sz="8" w:space="0" w:color="BFBFBF"/>
              <w:left w:val="single" w:sz="8" w:space="0" w:color="BFBFBF"/>
              <w:bottom w:val="single" w:sz="8" w:space="0" w:color="BFBFBF"/>
              <w:right w:val="single" w:sz="8" w:space="0" w:color="BFBFBF"/>
            </w:tcBorders>
            <w:shd w:val="clear" w:color="000000" w:fill="003D79"/>
            <w:vAlign w:val="center"/>
            <w:hideMark/>
          </w:tcPr>
          <w:p w14:paraId="523FBB0C" w14:textId="77777777" w:rsidR="001C19F3" w:rsidRDefault="001C19F3" w:rsidP="00521305">
            <w:pPr>
              <w:spacing w:after="0" w:line="240" w:lineRule="auto"/>
              <w:jc w:val="center"/>
              <w:rPr>
                <w:rFonts w:eastAsia="Times New Roman"/>
                <w:b/>
                <w:bCs/>
                <w:color w:val="FFFFFF"/>
                <w:sz w:val="18"/>
                <w:szCs w:val="18"/>
                <w:lang w:eastAsia="en-AU"/>
              </w:rPr>
            </w:pPr>
            <w:r>
              <w:rPr>
                <w:rFonts w:eastAsia="Times New Roman"/>
                <w:b/>
                <w:bCs/>
                <w:color w:val="FFFFFF"/>
                <w:sz w:val="18"/>
                <w:szCs w:val="18"/>
                <w:lang w:eastAsia="en-AU"/>
              </w:rPr>
              <w:t>Pract-ices</w:t>
            </w:r>
          </w:p>
          <w:p w14:paraId="71F7A95A" w14:textId="77777777" w:rsidR="001C19F3" w:rsidRPr="007230E8" w:rsidRDefault="001C19F3" w:rsidP="00521305">
            <w:pPr>
              <w:spacing w:after="0" w:line="240" w:lineRule="auto"/>
              <w:jc w:val="center"/>
              <w:rPr>
                <w:rFonts w:eastAsia="Times New Roman"/>
                <w:b/>
                <w:bCs/>
                <w:color w:val="FFFFFF"/>
                <w:sz w:val="18"/>
                <w:szCs w:val="18"/>
                <w:lang w:eastAsia="en-AU"/>
              </w:rPr>
            </w:pPr>
            <w:r>
              <w:rPr>
                <w:rFonts w:eastAsia="Times New Roman"/>
                <w:b/>
                <w:bCs/>
                <w:color w:val="FFFFFF"/>
                <w:sz w:val="18"/>
                <w:szCs w:val="18"/>
                <w:lang w:eastAsia="en-AU"/>
              </w:rPr>
              <w:t>n</w:t>
            </w:r>
          </w:p>
        </w:tc>
        <w:tc>
          <w:tcPr>
            <w:tcW w:w="3827" w:type="dxa"/>
            <w:gridSpan w:val="3"/>
            <w:tcBorders>
              <w:top w:val="single" w:sz="8" w:space="0" w:color="BFBFBF"/>
              <w:left w:val="nil"/>
              <w:bottom w:val="single" w:sz="8" w:space="0" w:color="BFBFBF"/>
              <w:right w:val="single" w:sz="8" w:space="0" w:color="BFBFBF"/>
            </w:tcBorders>
            <w:shd w:val="clear" w:color="000000" w:fill="003D79"/>
            <w:vAlign w:val="center"/>
            <w:hideMark/>
          </w:tcPr>
          <w:p w14:paraId="4528D469" w14:textId="77777777" w:rsidR="001C19F3" w:rsidRDefault="001C19F3" w:rsidP="00521305">
            <w:pPr>
              <w:spacing w:after="0" w:line="240" w:lineRule="auto"/>
              <w:jc w:val="center"/>
              <w:rPr>
                <w:rFonts w:eastAsia="Century Gothic" w:cs="Century Gothic"/>
                <w:b/>
                <w:bCs/>
                <w:color w:val="FFFFFF"/>
                <w:sz w:val="18"/>
                <w:szCs w:val="18"/>
                <w:lang w:eastAsia="en-AU"/>
              </w:rPr>
            </w:pPr>
            <w:r>
              <w:rPr>
                <w:rFonts w:eastAsia="Century Gothic" w:cs="Century Gothic"/>
                <w:b/>
                <w:bCs/>
                <w:color w:val="FFFFFF"/>
                <w:sz w:val="18"/>
                <w:szCs w:val="18"/>
                <w:lang w:eastAsia="en-AU"/>
              </w:rPr>
              <w:t>Practice surveys</w:t>
            </w:r>
          </w:p>
          <w:p w14:paraId="4A699D94" w14:textId="77777777" w:rsidR="001C19F3" w:rsidRPr="007230E8" w:rsidRDefault="001C19F3" w:rsidP="00521305">
            <w:pPr>
              <w:spacing w:after="0" w:line="240" w:lineRule="auto"/>
              <w:jc w:val="center"/>
              <w:rPr>
                <w:rFonts w:eastAsia="Times New Roman"/>
                <w:b/>
                <w:bCs/>
                <w:color w:val="FFFFFF"/>
                <w:sz w:val="18"/>
                <w:szCs w:val="18"/>
                <w:lang w:eastAsia="en-AU"/>
              </w:rPr>
            </w:pPr>
            <w:r>
              <w:rPr>
                <w:rFonts w:eastAsia="Century Gothic" w:cs="Century Gothic"/>
                <w:b/>
                <w:bCs/>
                <w:color w:val="FFFFFF"/>
                <w:sz w:val="18"/>
                <w:szCs w:val="18"/>
                <w:lang w:eastAsia="en-AU"/>
              </w:rPr>
              <w:t>n (response rate)</w:t>
            </w:r>
          </w:p>
        </w:tc>
        <w:tc>
          <w:tcPr>
            <w:tcW w:w="1503" w:type="dxa"/>
            <w:tcBorders>
              <w:top w:val="single" w:sz="8" w:space="0" w:color="BFBFBF"/>
              <w:left w:val="single" w:sz="8" w:space="0" w:color="BFBFBF"/>
              <w:bottom w:val="single" w:sz="6" w:space="0" w:color="BFBFBF"/>
              <w:right w:val="single" w:sz="8" w:space="0" w:color="BFBFBF"/>
            </w:tcBorders>
            <w:shd w:val="clear" w:color="000000" w:fill="003D79"/>
          </w:tcPr>
          <w:p w14:paraId="50CF2403" w14:textId="77777777" w:rsidR="001C19F3" w:rsidRDefault="001C19F3" w:rsidP="00521305">
            <w:pPr>
              <w:spacing w:after="0" w:line="240" w:lineRule="auto"/>
              <w:jc w:val="center"/>
              <w:rPr>
                <w:rFonts w:eastAsia="Century Gothic" w:cs="Century Gothic"/>
                <w:b/>
                <w:color w:val="FFFFFF"/>
                <w:sz w:val="18"/>
                <w:szCs w:val="18"/>
              </w:rPr>
            </w:pPr>
            <w:r>
              <w:rPr>
                <w:rFonts w:eastAsia="Century Gothic" w:cs="Century Gothic"/>
                <w:b/>
                <w:color w:val="FFFFFF"/>
                <w:sz w:val="18"/>
                <w:szCs w:val="18"/>
              </w:rPr>
              <w:t>Staff surveys</w:t>
            </w:r>
          </w:p>
          <w:p w14:paraId="35A55A7C" w14:textId="77777777" w:rsidR="001C19F3" w:rsidRPr="007230E8" w:rsidRDefault="001C19F3" w:rsidP="00521305">
            <w:pPr>
              <w:spacing w:after="0" w:line="240" w:lineRule="auto"/>
              <w:jc w:val="center"/>
              <w:rPr>
                <w:rFonts w:eastAsia="Century Gothic" w:cs="Century Gothic"/>
                <w:b/>
                <w:bCs/>
                <w:color w:val="FFFFFF"/>
                <w:sz w:val="18"/>
                <w:szCs w:val="18"/>
                <w:lang w:eastAsia="en-AU"/>
              </w:rPr>
            </w:pPr>
            <w:r>
              <w:rPr>
                <w:rFonts w:eastAsia="Century Gothic" w:cs="Century Gothic"/>
                <w:b/>
                <w:color w:val="FFFFFF"/>
                <w:sz w:val="18"/>
                <w:szCs w:val="18"/>
              </w:rPr>
              <w:t>n (% of responses)</w:t>
            </w:r>
          </w:p>
        </w:tc>
      </w:tr>
      <w:tr w:rsidR="001C19F3" w:rsidRPr="007230E8" w14:paraId="17A2E61A" w14:textId="77777777" w:rsidTr="00521305">
        <w:trPr>
          <w:trHeight w:val="600"/>
          <w:jc w:val="center"/>
        </w:trPr>
        <w:tc>
          <w:tcPr>
            <w:tcW w:w="2825" w:type="dxa"/>
            <w:vMerge/>
            <w:tcBorders>
              <w:top w:val="single" w:sz="8" w:space="0" w:color="BFBFBF"/>
              <w:left w:val="single" w:sz="8" w:space="0" w:color="BFBFBF"/>
              <w:bottom w:val="single" w:sz="8" w:space="0" w:color="BFBFBF"/>
              <w:right w:val="single" w:sz="8" w:space="0" w:color="BFBFBF"/>
            </w:tcBorders>
            <w:vAlign w:val="center"/>
            <w:hideMark/>
          </w:tcPr>
          <w:p w14:paraId="7927CB24" w14:textId="77777777" w:rsidR="001C19F3" w:rsidRPr="007230E8" w:rsidRDefault="001C19F3" w:rsidP="00521305">
            <w:pPr>
              <w:spacing w:after="0" w:line="240" w:lineRule="auto"/>
              <w:rPr>
                <w:rFonts w:eastAsia="Times New Roman"/>
                <w:b/>
                <w:bCs/>
                <w:color w:val="FFFFFF"/>
                <w:sz w:val="18"/>
                <w:szCs w:val="18"/>
                <w:lang w:eastAsia="en-AU"/>
              </w:rPr>
            </w:pPr>
          </w:p>
        </w:tc>
        <w:tc>
          <w:tcPr>
            <w:tcW w:w="851" w:type="dxa"/>
            <w:vMerge/>
            <w:tcBorders>
              <w:top w:val="single" w:sz="8" w:space="0" w:color="BFBFBF"/>
              <w:left w:val="single" w:sz="8" w:space="0" w:color="BFBFBF"/>
              <w:bottom w:val="single" w:sz="8" w:space="0" w:color="BFBFBF"/>
              <w:right w:val="single" w:sz="8" w:space="0" w:color="BFBFBF"/>
            </w:tcBorders>
            <w:vAlign w:val="center"/>
            <w:hideMark/>
          </w:tcPr>
          <w:p w14:paraId="06A91ED1" w14:textId="77777777" w:rsidR="001C19F3" w:rsidRPr="007230E8" w:rsidRDefault="001C19F3" w:rsidP="00521305">
            <w:pPr>
              <w:spacing w:after="0" w:line="240" w:lineRule="auto"/>
              <w:rPr>
                <w:rFonts w:eastAsia="Times New Roman"/>
                <w:b/>
                <w:bCs/>
                <w:color w:val="FFFFFF"/>
                <w:sz w:val="18"/>
                <w:szCs w:val="18"/>
                <w:lang w:eastAsia="en-AU"/>
              </w:rPr>
            </w:pPr>
          </w:p>
        </w:tc>
        <w:tc>
          <w:tcPr>
            <w:tcW w:w="1276" w:type="dxa"/>
            <w:tcBorders>
              <w:top w:val="nil"/>
              <w:left w:val="nil"/>
              <w:bottom w:val="single" w:sz="8" w:space="0" w:color="BFBFBF"/>
              <w:right w:val="single" w:sz="8" w:space="0" w:color="BFBFBF"/>
            </w:tcBorders>
            <w:shd w:val="clear" w:color="000000" w:fill="003D79"/>
            <w:vAlign w:val="center"/>
            <w:hideMark/>
          </w:tcPr>
          <w:p w14:paraId="210FD96C" w14:textId="77777777" w:rsidR="001C19F3" w:rsidRPr="007230E8" w:rsidRDefault="001C19F3" w:rsidP="00521305">
            <w:pPr>
              <w:spacing w:after="0" w:line="240" w:lineRule="auto"/>
              <w:jc w:val="center"/>
              <w:rPr>
                <w:rFonts w:eastAsia="Times New Roman"/>
                <w:b/>
                <w:bCs/>
                <w:color w:val="FFFFFF"/>
                <w:sz w:val="18"/>
                <w:szCs w:val="18"/>
                <w:lang w:eastAsia="en-AU"/>
              </w:rPr>
            </w:pPr>
            <w:r w:rsidRPr="007230E8">
              <w:rPr>
                <w:rFonts w:eastAsia="Century Gothic" w:cs="Century Gothic"/>
                <w:b/>
                <w:bCs/>
                <w:color w:val="FFFFFF"/>
                <w:sz w:val="18"/>
                <w:szCs w:val="18"/>
                <w:lang w:eastAsia="en-AU"/>
              </w:rPr>
              <w:t>Round 1 Part A</w:t>
            </w:r>
          </w:p>
        </w:tc>
        <w:tc>
          <w:tcPr>
            <w:tcW w:w="1134" w:type="dxa"/>
            <w:tcBorders>
              <w:top w:val="nil"/>
              <w:left w:val="nil"/>
              <w:bottom w:val="single" w:sz="8" w:space="0" w:color="BFBFBF"/>
              <w:right w:val="single" w:sz="8" w:space="0" w:color="BFBFBF"/>
            </w:tcBorders>
            <w:shd w:val="clear" w:color="000000" w:fill="003D79"/>
            <w:vAlign w:val="center"/>
            <w:hideMark/>
          </w:tcPr>
          <w:p w14:paraId="7814BF20" w14:textId="77777777" w:rsidR="001C19F3" w:rsidRPr="007230E8" w:rsidRDefault="001C19F3" w:rsidP="00521305">
            <w:pPr>
              <w:spacing w:after="0" w:line="240" w:lineRule="auto"/>
              <w:jc w:val="center"/>
              <w:rPr>
                <w:rFonts w:eastAsia="Times New Roman"/>
                <w:b/>
                <w:bCs/>
                <w:color w:val="FFFFFF"/>
                <w:sz w:val="18"/>
                <w:szCs w:val="18"/>
                <w:lang w:eastAsia="en-AU"/>
              </w:rPr>
            </w:pPr>
            <w:r w:rsidRPr="007230E8">
              <w:rPr>
                <w:rFonts w:eastAsia="Century Gothic" w:cs="Century Gothic"/>
                <w:b/>
                <w:bCs/>
                <w:color w:val="FFFFFF"/>
                <w:sz w:val="18"/>
                <w:szCs w:val="18"/>
                <w:lang w:eastAsia="en-AU"/>
              </w:rPr>
              <w:t>Round 1 Part B</w:t>
            </w:r>
          </w:p>
        </w:tc>
        <w:tc>
          <w:tcPr>
            <w:tcW w:w="1417" w:type="dxa"/>
            <w:tcBorders>
              <w:top w:val="nil"/>
              <w:left w:val="nil"/>
              <w:bottom w:val="single" w:sz="8" w:space="0" w:color="BFBFBF"/>
              <w:right w:val="single" w:sz="8" w:space="0" w:color="BFBFBF"/>
            </w:tcBorders>
            <w:shd w:val="clear" w:color="000000" w:fill="003D79"/>
            <w:vAlign w:val="center"/>
            <w:hideMark/>
          </w:tcPr>
          <w:p w14:paraId="4EF525FC" w14:textId="77777777" w:rsidR="001C19F3" w:rsidRPr="007230E8" w:rsidRDefault="001C19F3" w:rsidP="00521305">
            <w:pPr>
              <w:spacing w:after="0" w:line="240" w:lineRule="auto"/>
              <w:jc w:val="center"/>
              <w:rPr>
                <w:rFonts w:eastAsia="Times New Roman"/>
                <w:b/>
                <w:bCs/>
                <w:color w:val="FFFFFF"/>
                <w:sz w:val="18"/>
                <w:szCs w:val="18"/>
                <w:lang w:eastAsia="en-AU"/>
              </w:rPr>
            </w:pPr>
            <w:r w:rsidRPr="007230E8">
              <w:rPr>
                <w:rFonts w:eastAsia="Century Gothic" w:cs="Century Gothic"/>
                <w:b/>
                <w:bCs/>
                <w:color w:val="FFFFFF"/>
                <w:sz w:val="18"/>
                <w:szCs w:val="18"/>
                <w:lang w:eastAsia="en-AU"/>
              </w:rPr>
              <w:t>Round 2</w:t>
            </w:r>
          </w:p>
        </w:tc>
        <w:tc>
          <w:tcPr>
            <w:tcW w:w="1503" w:type="dxa"/>
            <w:tcBorders>
              <w:top w:val="single" w:sz="6" w:space="0" w:color="BFBFBF"/>
              <w:left w:val="single" w:sz="8" w:space="0" w:color="BFBFBF"/>
              <w:bottom w:val="single" w:sz="8" w:space="0" w:color="BFBFBF"/>
              <w:right w:val="single" w:sz="8" w:space="0" w:color="BFBFBF"/>
            </w:tcBorders>
            <w:shd w:val="clear" w:color="000000" w:fill="003D79"/>
            <w:vAlign w:val="center"/>
          </w:tcPr>
          <w:p w14:paraId="2DBF1C06" w14:textId="77777777" w:rsidR="001C19F3" w:rsidRPr="007230E8" w:rsidRDefault="001C19F3" w:rsidP="00521305">
            <w:pPr>
              <w:spacing w:after="0" w:line="240" w:lineRule="auto"/>
              <w:jc w:val="center"/>
              <w:rPr>
                <w:rFonts w:eastAsia="Century Gothic" w:cs="Century Gothic"/>
                <w:b/>
                <w:bCs/>
                <w:color w:val="FFFFFF"/>
                <w:sz w:val="18"/>
                <w:szCs w:val="18"/>
                <w:lang w:eastAsia="en-AU"/>
              </w:rPr>
            </w:pPr>
            <w:r>
              <w:rPr>
                <w:rFonts w:eastAsia="Century Gothic" w:cs="Century Gothic"/>
                <w:b/>
                <w:bCs/>
                <w:color w:val="FFFFFF"/>
                <w:sz w:val="18"/>
                <w:szCs w:val="18"/>
                <w:lang w:eastAsia="en-AU"/>
              </w:rPr>
              <w:t>Round 1</w:t>
            </w:r>
          </w:p>
        </w:tc>
      </w:tr>
      <w:tr w:rsidR="001C19F3" w:rsidRPr="007230E8" w14:paraId="55FFE070" w14:textId="77777777" w:rsidTr="00521305">
        <w:trPr>
          <w:cantSplit/>
          <w:trHeight w:val="315"/>
          <w:jc w:val="center"/>
        </w:trPr>
        <w:tc>
          <w:tcPr>
            <w:tcW w:w="9006" w:type="dxa"/>
            <w:gridSpan w:val="6"/>
            <w:tcBorders>
              <w:top w:val="nil"/>
              <w:left w:val="single" w:sz="8" w:space="0" w:color="BFBFBF"/>
              <w:bottom w:val="single" w:sz="8" w:space="0" w:color="BFBFBF"/>
              <w:right w:val="single" w:sz="8" w:space="0" w:color="BFBFBF"/>
            </w:tcBorders>
            <w:shd w:val="clear" w:color="000000" w:fill="FFFFFF"/>
            <w:hideMark/>
          </w:tcPr>
          <w:p w14:paraId="5F6237B4" w14:textId="77777777" w:rsidR="001C19F3" w:rsidRPr="007230E8" w:rsidRDefault="001C19F3" w:rsidP="00521305">
            <w:pPr>
              <w:spacing w:after="0" w:line="240" w:lineRule="auto"/>
              <w:rPr>
                <w:rFonts w:eastAsia="Times New Roman"/>
                <w:b/>
                <w:bCs/>
                <w:color w:val="000000"/>
                <w:sz w:val="18"/>
                <w:szCs w:val="18"/>
                <w:lang w:eastAsia="en-AU"/>
              </w:rPr>
            </w:pPr>
            <w:r w:rsidRPr="007230E8">
              <w:rPr>
                <w:rFonts w:eastAsia="Century Gothic" w:cs="Century Gothic"/>
                <w:b/>
                <w:bCs/>
                <w:color w:val="000000"/>
                <w:sz w:val="18"/>
                <w:szCs w:val="18"/>
                <w:lang w:eastAsia="en-AU"/>
              </w:rPr>
              <w:t xml:space="preserve"> 1</w:t>
            </w:r>
            <w:r>
              <w:rPr>
                <w:rFonts w:eastAsia="Century Gothic" w:cs="Century Gothic"/>
                <w:b/>
                <w:bCs/>
                <w:color w:val="000000"/>
                <w:sz w:val="18"/>
                <w:szCs w:val="18"/>
                <w:lang w:eastAsia="en-AU"/>
              </w:rPr>
              <w:t>.</w:t>
            </w:r>
            <w:r w:rsidRPr="007230E8">
              <w:rPr>
                <w:rFonts w:eastAsia="Century Gothic" w:cs="Century Gothic"/>
                <w:b/>
                <w:bCs/>
                <w:color w:val="000000"/>
                <w:sz w:val="18"/>
                <w:szCs w:val="18"/>
                <w:lang w:eastAsia="en-AU"/>
              </w:rPr>
              <w:t xml:space="preserve"> Total</w:t>
            </w:r>
          </w:p>
        </w:tc>
      </w:tr>
      <w:tr w:rsidR="001C19F3" w:rsidRPr="007230E8" w14:paraId="47317736"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5451FFAE"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Pr>
                <w:rFonts w:eastAsia="Century Gothic" w:cs="Century Gothic"/>
                <w:color w:val="000000"/>
                <w:sz w:val="18"/>
                <w:szCs w:val="18"/>
                <w:lang w:eastAsia="en-AU"/>
              </w:rPr>
              <w:t>Active practices</w:t>
            </w:r>
          </w:p>
        </w:tc>
        <w:tc>
          <w:tcPr>
            <w:tcW w:w="851" w:type="dxa"/>
            <w:tcBorders>
              <w:top w:val="nil"/>
              <w:left w:val="nil"/>
              <w:bottom w:val="single" w:sz="8" w:space="0" w:color="BFBFBF"/>
              <w:right w:val="single" w:sz="8" w:space="0" w:color="BFBFBF"/>
            </w:tcBorders>
            <w:shd w:val="clear" w:color="000000" w:fill="FFFFFF"/>
            <w:hideMark/>
          </w:tcPr>
          <w:p w14:paraId="68CA8BA1"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131</w:t>
            </w:r>
          </w:p>
        </w:tc>
        <w:tc>
          <w:tcPr>
            <w:tcW w:w="1276" w:type="dxa"/>
            <w:tcBorders>
              <w:top w:val="nil"/>
              <w:left w:val="nil"/>
              <w:bottom w:val="single" w:sz="8" w:space="0" w:color="BFBFBF"/>
              <w:right w:val="single" w:sz="8" w:space="0" w:color="BFBFBF"/>
            </w:tcBorders>
            <w:shd w:val="clear" w:color="000000" w:fill="FFFFFF"/>
            <w:hideMark/>
          </w:tcPr>
          <w:p w14:paraId="3D5B7C06" w14:textId="77777777" w:rsidR="001C19F3" w:rsidRDefault="001C19F3" w:rsidP="00521305">
            <w:pPr>
              <w:spacing w:after="0" w:line="240" w:lineRule="auto"/>
              <w:jc w:val="center"/>
              <w:rPr>
                <w:rFonts w:eastAsia="Century Gothic" w:cs="Century Gothic"/>
                <w:color w:val="000000"/>
                <w:sz w:val="18"/>
                <w:szCs w:val="18"/>
                <w:lang w:eastAsia="en-AU"/>
              </w:rPr>
            </w:pPr>
            <w:r w:rsidRPr="007230E8">
              <w:rPr>
                <w:rFonts w:eastAsia="Century Gothic" w:cs="Century Gothic"/>
                <w:color w:val="000000"/>
                <w:sz w:val="18"/>
                <w:szCs w:val="18"/>
                <w:lang w:eastAsia="en-AU"/>
              </w:rPr>
              <w:t>120</w:t>
            </w:r>
          </w:p>
          <w:p w14:paraId="79B1D887"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(91.6%)</w:t>
            </w:r>
          </w:p>
        </w:tc>
        <w:tc>
          <w:tcPr>
            <w:tcW w:w="1134" w:type="dxa"/>
            <w:tcBorders>
              <w:top w:val="nil"/>
              <w:left w:val="nil"/>
              <w:bottom w:val="single" w:sz="8" w:space="0" w:color="BFBFBF"/>
              <w:right w:val="single" w:sz="8" w:space="0" w:color="BFBFBF"/>
            </w:tcBorders>
            <w:shd w:val="clear" w:color="000000" w:fill="FFFFFF"/>
            <w:hideMark/>
          </w:tcPr>
          <w:p w14:paraId="36CCB7E4"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118 (90.1%)</w:t>
            </w:r>
          </w:p>
        </w:tc>
        <w:tc>
          <w:tcPr>
            <w:tcW w:w="1417" w:type="dxa"/>
            <w:tcBorders>
              <w:top w:val="nil"/>
              <w:left w:val="nil"/>
              <w:bottom w:val="single" w:sz="8" w:space="0" w:color="BFBFBF"/>
              <w:right w:val="single" w:sz="8" w:space="0" w:color="BFBFBF"/>
            </w:tcBorders>
            <w:shd w:val="clear" w:color="000000" w:fill="FFFFFF"/>
            <w:hideMark/>
          </w:tcPr>
          <w:p w14:paraId="66B7819D" w14:textId="77777777" w:rsidR="001C19F3" w:rsidRDefault="001C19F3" w:rsidP="00521305">
            <w:pPr>
              <w:spacing w:after="0" w:line="240" w:lineRule="auto"/>
              <w:jc w:val="center"/>
              <w:rPr>
                <w:rFonts w:eastAsia="Century Gothic" w:cs="Century Gothic"/>
                <w:color w:val="000000"/>
                <w:sz w:val="18"/>
                <w:szCs w:val="18"/>
                <w:lang w:eastAsia="en-AU"/>
              </w:rPr>
            </w:pPr>
            <w:r w:rsidRPr="007230E8">
              <w:rPr>
                <w:rFonts w:eastAsia="Century Gothic" w:cs="Century Gothic"/>
                <w:color w:val="000000"/>
                <w:sz w:val="18"/>
                <w:szCs w:val="18"/>
                <w:lang w:eastAsia="en-AU"/>
              </w:rPr>
              <w:t>92</w:t>
            </w:r>
          </w:p>
          <w:p w14:paraId="28F4516F"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(70.2%)</w:t>
            </w:r>
          </w:p>
        </w:tc>
        <w:tc>
          <w:tcPr>
            <w:tcW w:w="1503" w:type="dxa"/>
            <w:tcBorders>
              <w:top w:val="nil"/>
              <w:left w:val="nil"/>
              <w:bottom w:val="single" w:sz="8" w:space="0" w:color="BFBFBF"/>
              <w:right w:val="single" w:sz="8" w:space="0" w:color="BFBFBF"/>
            </w:tcBorders>
            <w:shd w:val="clear" w:color="000000" w:fill="FFFFFF"/>
          </w:tcPr>
          <w:p w14:paraId="3FE4CA4B" w14:textId="77777777" w:rsidR="001C19F3" w:rsidRPr="00BD21FA" w:rsidRDefault="001C19F3" w:rsidP="00521305">
            <w:pPr>
              <w:spacing w:after="0" w:line="240" w:lineRule="auto"/>
              <w:jc w:val="center"/>
              <w:rPr>
                <w:rFonts w:eastAsia="Century Gothic" w:cs="Century Gothic"/>
                <w:color w:val="000000"/>
                <w:sz w:val="18"/>
                <w:szCs w:val="18"/>
              </w:rPr>
            </w:pPr>
            <w:r w:rsidRPr="00BD21FA">
              <w:rPr>
                <w:rFonts w:eastAsia="Century Gothic" w:cs="Century Gothic"/>
                <w:color w:val="000000"/>
                <w:sz w:val="18"/>
                <w:szCs w:val="18"/>
              </w:rPr>
              <w:t>425</w:t>
            </w:r>
          </w:p>
        </w:tc>
      </w:tr>
      <w:tr w:rsidR="001C19F3" w:rsidRPr="007230E8" w14:paraId="31D50322"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tcPr>
          <w:p w14:paraId="4FB735E6" w14:textId="77777777" w:rsidR="001C19F3" w:rsidRPr="00FF2616" w:rsidRDefault="001C19F3" w:rsidP="00521305">
            <w:pPr>
              <w:spacing w:after="0" w:line="240" w:lineRule="auto"/>
              <w:ind w:firstLineChars="100" w:firstLine="180"/>
              <w:rPr>
                <w:rFonts w:eastAsia="Century Gothic" w:cs="Century Gothic"/>
                <w:color w:val="000000"/>
                <w:sz w:val="18"/>
                <w:szCs w:val="18"/>
                <w:lang w:eastAsia="en-AU"/>
              </w:rPr>
            </w:pPr>
            <w:r w:rsidRPr="00FF2616">
              <w:rPr>
                <w:rFonts w:eastAsia="Century Gothic" w:cs="Century Gothic"/>
                <w:color w:val="000000"/>
                <w:sz w:val="18"/>
                <w:szCs w:val="18"/>
                <w:lang w:eastAsia="en-AU"/>
              </w:rPr>
              <w:t>Withdrawn practices</w:t>
            </w:r>
          </w:p>
        </w:tc>
        <w:tc>
          <w:tcPr>
            <w:tcW w:w="851" w:type="dxa"/>
            <w:tcBorders>
              <w:top w:val="nil"/>
              <w:left w:val="nil"/>
              <w:bottom w:val="single" w:sz="8" w:space="0" w:color="BFBFBF"/>
              <w:right w:val="single" w:sz="8" w:space="0" w:color="BFBFBF"/>
            </w:tcBorders>
            <w:shd w:val="clear" w:color="000000" w:fill="FFFFFF"/>
          </w:tcPr>
          <w:p w14:paraId="429B85E1"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96</w:t>
            </w:r>
          </w:p>
        </w:tc>
        <w:tc>
          <w:tcPr>
            <w:tcW w:w="1276" w:type="dxa"/>
            <w:tcBorders>
              <w:top w:val="nil"/>
              <w:left w:val="nil"/>
              <w:bottom w:val="single" w:sz="8" w:space="0" w:color="BFBFBF"/>
              <w:right w:val="single" w:sz="8" w:space="0" w:color="BFBFBF"/>
            </w:tcBorders>
            <w:shd w:val="clear" w:color="000000" w:fill="FFFFFF"/>
          </w:tcPr>
          <w:p w14:paraId="636BF3F5"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57</w:t>
            </w:r>
          </w:p>
        </w:tc>
        <w:tc>
          <w:tcPr>
            <w:tcW w:w="1134" w:type="dxa"/>
            <w:tcBorders>
              <w:top w:val="nil"/>
              <w:left w:val="nil"/>
              <w:bottom w:val="single" w:sz="8" w:space="0" w:color="BFBFBF"/>
              <w:right w:val="single" w:sz="8" w:space="0" w:color="BFBFBF"/>
            </w:tcBorders>
            <w:shd w:val="clear" w:color="000000" w:fill="FFFFFF"/>
          </w:tcPr>
          <w:p w14:paraId="3F7AFB6F"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51</w:t>
            </w:r>
          </w:p>
        </w:tc>
        <w:tc>
          <w:tcPr>
            <w:tcW w:w="1417" w:type="dxa"/>
            <w:tcBorders>
              <w:top w:val="nil"/>
              <w:left w:val="nil"/>
              <w:bottom w:val="single" w:sz="8" w:space="0" w:color="BFBFBF"/>
              <w:right w:val="single" w:sz="8" w:space="0" w:color="BFBFBF"/>
            </w:tcBorders>
            <w:shd w:val="clear" w:color="000000" w:fill="FFFFFF"/>
          </w:tcPr>
          <w:p w14:paraId="6C0CADB5"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13</w:t>
            </w:r>
          </w:p>
        </w:tc>
        <w:tc>
          <w:tcPr>
            <w:tcW w:w="1503" w:type="dxa"/>
            <w:tcBorders>
              <w:top w:val="nil"/>
              <w:left w:val="nil"/>
              <w:bottom w:val="single" w:sz="8" w:space="0" w:color="BFBFBF"/>
              <w:right w:val="single" w:sz="8" w:space="0" w:color="BFBFBF"/>
            </w:tcBorders>
            <w:shd w:val="clear" w:color="000000" w:fill="FFFFFF"/>
          </w:tcPr>
          <w:p w14:paraId="3D70F788"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Pr>
                <w:rFonts w:eastAsia="Century Gothic" w:cs="Century Gothic"/>
                <w:color w:val="000000"/>
                <w:sz w:val="18"/>
                <w:szCs w:val="18"/>
                <w:lang w:eastAsia="en-AU"/>
              </w:rPr>
              <w:t>104</w:t>
            </w:r>
          </w:p>
        </w:tc>
      </w:tr>
      <w:tr w:rsidR="001C19F3" w:rsidRPr="007230E8" w14:paraId="4D6E0059"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tcPr>
          <w:p w14:paraId="53E60A50" w14:textId="77777777" w:rsidR="001C19F3" w:rsidRPr="00FF2616" w:rsidRDefault="001C19F3" w:rsidP="00521305">
            <w:pPr>
              <w:spacing w:after="0" w:line="240" w:lineRule="auto"/>
              <w:ind w:firstLineChars="100" w:firstLine="180"/>
              <w:rPr>
                <w:rFonts w:eastAsia="Century Gothic" w:cs="Century Gothic"/>
                <w:color w:val="000000"/>
                <w:sz w:val="18"/>
                <w:szCs w:val="18"/>
                <w:lang w:eastAsia="en-AU"/>
              </w:rPr>
            </w:pPr>
            <w:r w:rsidRPr="00FF2616">
              <w:rPr>
                <w:rFonts w:eastAsia="Century Gothic" w:cs="Century Gothic"/>
                <w:color w:val="000000"/>
                <w:sz w:val="18"/>
                <w:szCs w:val="18"/>
                <w:lang w:eastAsia="en-AU"/>
              </w:rPr>
              <w:t>All practices</w:t>
            </w:r>
          </w:p>
        </w:tc>
        <w:tc>
          <w:tcPr>
            <w:tcW w:w="851" w:type="dxa"/>
            <w:tcBorders>
              <w:top w:val="nil"/>
              <w:left w:val="nil"/>
              <w:bottom w:val="single" w:sz="8" w:space="0" w:color="BFBFBF"/>
              <w:right w:val="single" w:sz="8" w:space="0" w:color="BFBFBF"/>
            </w:tcBorders>
            <w:shd w:val="clear" w:color="000000" w:fill="FFFFFF"/>
          </w:tcPr>
          <w:p w14:paraId="3B268C89"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227</w:t>
            </w:r>
          </w:p>
        </w:tc>
        <w:tc>
          <w:tcPr>
            <w:tcW w:w="1276" w:type="dxa"/>
            <w:tcBorders>
              <w:top w:val="nil"/>
              <w:left w:val="nil"/>
              <w:bottom w:val="single" w:sz="8" w:space="0" w:color="BFBFBF"/>
              <w:right w:val="single" w:sz="8" w:space="0" w:color="BFBFBF"/>
            </w:tcBorders>
            <w:shd w:val="clear" w:color="000000" w:fill="FFFFFF"/>
          </w:tcPr>
          <w:p w14:paraId="50EA25B5"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177</w:t>
            </w:r>
          </w:p>
        </w:tc>
        <w:tc>
          <w:tcPr>
            <w:tcW w:w="1134" w:type="dxa"/>
            <w:tcBorders>
              <w:top w:val="nil"/>
              <w:left w:val="nil"/>
              <w:bottom w:val="single" w:sz="8" w:space="0" w:color="BFBFBF"/>
              <w:right w:val="single" w:sz="8" w:space="0" w:color="BFBFBF"/>
            </w:tcBorders>
            <w:shd w:val="clear" w:color="000000" w:fill="FFFFFF"/>
          </w:tcPr>
          <w:p w14:paraId="41B56499"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169</w:t>
            </w:r>
          </w:p>
        </w:tc>
        <w:tc>
          <w:tcPr>
            <w:tcW w:w="1417" w:type="dxa"/>
            <w:tcBorders>
              <w:top w:val="nil"/>
              <w:left w:val="nil"/>
              <w:bottom w:val="single" w:sz="8" w:space="0" w:color="BFBFBF"/>
              <w:right w:val="single" w:sz="8" w:space="0" w:color="BFBFBF"/>
            </w:tcBorders>
            <w:shd w:val="clear" w:color="000000" w:fill="FFFFFF"/>
          </w:tcPr>
          <w:p w14:paraId="66E1253C"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sidRPr="00FF2616">
              <w:rPr>
                <w:rFonts w:eastAsia="Century Gothic" w:cs="Century Gothic"/>
                <w:color w:val="000000"/>
                <w:sz w:val="18"/>
                <w:szCs w:val="18"/>
                <w:lang w:eastAsia="en-AU"/>
              </w:rPr>
              <w:t>105</w:t>
            </w:r>
          </w:p>
        </w:tc>
        <w:tc>
          <w:tcPr>
            <w:tcW w:w="1503" w:type="dxa"/>
            <w:tcBorders>
              <w:top w:val="nil"/>
              <w:left w:val="nil"/>
              <w:bottom w:val="single" w:sz="8" w:space="0" w:color="BFBFBF"/>
              <w:right w:val="single" w:sz="8" w:space="0" w:color="BFBFBF"/>
            </w:tcBorders>
            <w:shd w:val="clear" w:color="000000" w:fill="FFFFFF"/>
          </w:tcPr>
          <w:p w14:paraId="665E5EF6" w14:textId="77777777" w:rsidR="001C19F3" w:rsidRPr="00FF2616" w:rsidRDefault="001C19F3" w:rsidP="00521305">
            <w:pPr>
              <w:spacing w:after="0" w:line="240" w:lineRule="auto"/>
              <w:jc w:val="center"/>
              <w:rPr>
                <w:rFonts w:eastAsia="Century Gothic" w:cs="Century Gothic"/>
                <w:color w:val="000000"/>
                <w:sz w:val="18"/>
                <w:szCs w:val="18"/>
                <w:lang w:eastAsia="en-AU"/>
              </w:rPr>
            </w:pPr>
            <w:r>
              <w:rPr>
                <w:rFonts w:eastAsia="Century Gothic" w:cs="Century Gothic"/>
                <w:color w:val="000000"/>
                <w:sz w:val="18"/>
                <w:szCs w:val="18"/>
                <w:lang w:eastAsia="en-AU"/>
              </w:rPr>
              <w:t>529</w:t>
            </w:r>
          </w:p>
        </w:tc>
      </w:tr>
      <w:tr w:rsidR="001C19F3" w:rsidRPr="007230E8" w14:paraId="57F25B35" w14:textId="77777777" w:rsidTr="00521305">
        <w:trPr>
          <w:cantSplit/>
          <w:trHeight w:val="281"/>
          <w:jc w:val="center"/>
        </w:trPr>
        <w:tc>
          <w:tcPr>
            <w:tcW w:w="9006" w:type="dxa"/>
            <w:gridSpan w:val="6"/>
            <w:tcBorders>
              <w:top w:val="nil"/>
              <w:left w:val="single" w:sz="8" w:space="0" w:color="BFBFBF"/>
              <w:bottom w:val="single" w:sz="8" w:space="0" w:color="BFBFBF"/>
              <w:right w:val="single" w:sz="8" w:space="0" w:color="BFBFBF"/>
            </w:tcBorders>
            <w:shd w:val="clear" w:color="000000" w:fill="FFFFFF"/>
            <w:hideMark/>
          </w:tcPr>
          <w:p w14:paraId="10102F46" w14:textId="77777777" w:rsidR="001C19F3" w:rsidRPr="007230E8" w:rsidRDefault="001C19F3" w:rsidP="00521305">
            <w:pPr>
              <w:spacing w:after="0" w:line="240" w:lineRule="auto"/>
              <w:rPr>
                <w:rFonts w:eastAsia="Times New Roman"/>
                <w:b/>
                <w:bCs/>
                <w:color w:val="000000"/>
                <w:sz w:val="18"/>
                <w:szCs w:val="18"/>
                <w:lang w:eastAsia="en-AU"/>
              </w:rPr>
            </w:pPr>
            <w:r w:rsidRPr="007230E8">
              <w:rPr>
                <w:rFonts w:eastAsia="Century Gothic" w:cs="Century Gothic"/>
                <w:b/>
                <w:bCs/>
                <w:color w:val="000000"/>
                <w:sz w:val="18"/>
                <w:szCs w:val="18"/>
                <w:lang w:eastAsia="en-AU"/>
              </w:rPr>
              <w:t>2</w:t>
            </w:r>
            <w:r>
              <w:rPr>
                <w:rFonts w:eastAsia="Century Gothic" w:cs="Century Gothic"/>
                <w:b/>
                <w:bCs/>
                <w:color w:val="000000"/>
                <w:sz w:val="18"/>
                <w:szCs w:val="18"/>
                <w:lang w:eastAsia="en-AU"/>
              </w:rPr>
              <w:t xml:space="preserve">. </w:t>
            </w:r>
            <w:r w:rsidRPr="007230E8">
              <w:rPr>
                <w:rFonts w:eastAsia="Century Gothic" w:cs="Century Gothic"/>
                <w:b/>
                <w:bCs/>
                <w:color w:val="000000"/>
                <w:sz w:val="18"/>
                <w:szCs w:val="18"/>
                <w:lang w:eastAsia="en-AU"/>
              </w:rPr>
              <w:t>Size</w:t>
            </w:r>
            <w:r>
              <w:rPr>
                <w:rFonts w:eastAsia="Century Gothic" w:cs="Century Gothic"/>
                <w:b/>
                <w:bCs/>
                <w:color w:val="000000"/>
                <w:sz w:val="18"/>
                <w:szCs w:val="18"/>
                <w:lang w:eastAsia="en-AU"/>
              </w:rPr>
              <w:t xml:space="preserve"> (active practices only, n=425)</w:t>
            </w:r>
          </w:p>
        </w:tc>
      </w:tr>
      <w:tr w:rsidR="001C19F3" w:rsidRPr="007230E8" w14:paraId="1FCF6A86"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07A1E4BD"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 xml:space="preserve">Large practice (8+ </w:t>
            </w:r>
            <w:r>
              <w:rPr>
                <w:rFonts w:eastAsia="Century Gothic" w:cs="Century Gothic"/>
                <w:color w:val="000000"/>
                <w:sz w:val="18"/>
                <w:szCs w:val="18"/>
                <w:lang w:eastAsia="en-AU"/>
              </w:rPr>
              <w:t xml:space="preserve">FTE </w:t>
            </w:r>
            <w:r w:rsidRPr="007230E8">
              <w:rPr>
                <w:rFonts w:eastAsia="Century Gothic" w:cs="Century Gothic"/>
                <w:color w:val="000000"/>
                <w:sz w:val="18"/>
                <w:szCs w:val="18"/>
                <w:lang w:eastAsia="en-AU"/>
              </w:rPr>
              <w:t>GPs)</w:t>
            </w:r>
          </w:p>
        </w:tc>
        <w:tc>
          <w:tcPr>
            <w:tcW w:w="851" w:type="dxa"/>
            <w:tcBorders>
              <w:top w:val="nil"/>
              <w:left w:val="nil"/>
              <w:bottom w:val="single" w:sz="8" w:space="0" w:color="BFBFBF"/>
              <w:right w:val="single" w:sz="8" w:space="0" w:color="BFBFBF"/>
            </w:tcBorders>
            <w:shd w:val="clear" w:color="000000" w:fill="FFFFFF"/>
            <w:hideMark/>
          </w:tcPr>
          <w:p w14:paraId="68D0CA06"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24</w:t>
            </w:r>
          </w:p>
        </w:tc>
        <w:tc>
          <w:tcPr>
            <w:tcW w:w="1276" w:type="dxa"/>
            <w:tcBorders>
              <w:top w:val="nil"/>
              <w:left w:val="nil"/>
              <w:bottom w:val="single" w:sz="8" w:space="0" w:color="BFBFBF"/>
              <w:right w:val="single" w:sz="8" w:space="0" w:color="BFBFBF"/>
            </w:tcBorders>
            <w:shd w:val="clear" w:color="000000" w:fill="FFFFFF"/>
            <w:hideMark/>
          </w:tcPr>
          <w:p w14:paraId="2CE33E31"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22 (91.7%)</w:t>
            </w:r>
          </w:p>
        </w:tc>
        <w:tc>
          <w:tcPr>
            <w:tcW w:w="1134" w:type="dxa"/>
            <w:tcBorders>
              <w:top w:val="nil"/>
              <w:left w:val="nil"/>
              <w:bottom w:val="single" w:sz="8" w:space="0" w:color="BFBFBF"/>
              <w:right w:val="single" w:sz="8" w:space="0" w:color="BFBFBF"/>
            </w:tcBorders>
            <w:shd w:val="clear" w:color="000000" w:fill="FFFFFF"/>
            <w:hideMark/>
          </w:tcPr>
          <w:p w14:paraId="24D5BADD"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21 (87.5%)</w:t>
            </w:r>
          </w:p>
        </w:tc>
        <w:tc>
          <w:tcPr>
            <w:tcW w:w="1417" w:type="dxa"/>
            <w:tcBorders>
              <w:top w:val="nil"/>
              <w:left w:val="nil"/>
              <w:bottom w:val="single" w:sz="8" w:space="0" w:color="BFBFBF"/>
              <w:right w:val="single" w:sz="8" w:space="0" w:color="BFBFBF"/>
            </w:tcBorders>
            <w:shd w:val="clear" w:color="000000" w:fill="FFFFFF"/>
            <w:hideMark/>
          </w:tcPr>
          <w:p w14:paraId="366E7AB1"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16 (66.7%)</w:t>
            </w:r>
          </w:p>
        </w:tc>
        <w:tc>
          <w:tcPr>
            <w:tcW w:w="1503" w:type="dxa"/>
            <w:tcBorders>
              <w:top w:val="nil"/>
              <w:left w:val="nil"/>
              <w:bottom w:val="single" w:sz="8" w:space="0" w:color="BFBFBF"/>
              <w:right w:val="single" w:sz="8" w:space="0" w:color="BFBFBF"/>
            </w:tcBorders>
            <w:shd w:val="clear" w:color="000000" w:fill="FFFFFF"/>
          </w:tcPr>
          <w:p w14:paraId="476599F0" w14:textId="77777777" w:rsidR="001C19F3" w:rsidRPr="007230E8" w:rsidRDefault="001C19F3" w:rsidP="00521305">
            <w:pPr>
              <w:spacing w:after="0" w:line="240" w:lineRule="auto"/>
              <w:jc w:val="center"/>
              <w:rPr>
                <w:rFonts w:eastAsia="Century Gothic" w:cs="Century Gothic"/>
                <w:color w:val="000000"/>
                <w:sz w:val="18"/>
                <w:szCs w:val="18"/>
                <w:lang w:eastAsia="en-AU"/>
              </w:rPr>
            </w:pPr>
            <w:r>
              <w:rPr>
                <w:rFonts w:eastAsia="Century Gothic" w:cs="Century Gothic"/>
                <w:color w:val="000000"/>
                <w:sz w:val="18"/>
                <w:szCs w:val="18"/>
              </w:rPr>
              <w:t>78 (18.4%)</w:t>
            </w:r>
          </w:p>
        </w:tc>
      </w:tr>
      <w:tr w:rsidR="001C19F3" w:rsidRPr="007230E8" w14:paraId="373D13BC"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73366474" w14:textId="77777777" w:rsidR="001C19F3" w:rsidRPr="007230E8" w:rsidRDefault="001C19F3" w:rsidP="00521305">
            <w:pPr>
              <w:spacing w:after="0" w:line="240" w:lineRule="auto"/>
              <w:ind w:left="164" w:firstLineChars="8" w:firstLine="14"/>
              <w:rPr>
                <w:rFonts w:eastAsia="Times New Roman"/>
                <w:color w:val="000000"/>
                <w:sz w:val="18"/>
                <w:szCs w:val="18"/>
                <w:lang w:eastAsia="en-AU"/>
              </w:rPr>
            </w:pPr>
            <w:r w:rsidRPr="007230E8">
              <w:rPr>
                <w:rFonts w:eastAsia="Century Gothic" w:cs="Century Gothic"/>
                <w:color w:val="000000"/>
                <w:sz w:val="18"/>
                <w:szCs w:val="18"/>
                <w:lang w:eastAsia="en-AU"/>
              </w:rPr>
              <w:t xml:space="preserve">Medium practice (5 - 8 </w:t>
            </w:r>
            <w:r>
              <w:rPr>
                <w:rFonts w:eastAsia="Century Gothic" w:cs="Century Gothic"/>
                <w:color w:val="000000"/>
                <w:sz w:val="18"/>
                <w:szCs w:val="18"/>
                <w:lang w:eastAsia="en-AU"/>
              </w:rPr>
              <w:t xml:space="preserve">FTE </w:t>
            </w:r>
            <w:r w:rsidRPr="007230E8">
              <w:rPr>
                <w:rFonts w:eastAsia="Century Gothic" w:cs="Century Gothic"/>
                <w:color w:val="000000"/>
                <w:sz w:val="18"/>
                <w:szCs w:val="18"/>
                <w:lang w:eastAsia="en-AU"/>
              </w:rPr>
              <w:t>GPs)</w:t>
            </w:r>
          </w:p>
        </w:tc>
        <w:tc>
          <w:tcPr>
            <w:tcW w:w="851" w:type="dxa"/>
            <w:tcBorders>
              <w:top w:val="nil"/>
              <w:left w:val="nil"/>
              <w:bottom w:val="single" w:sz="8" w:space="0" w:color="BFBFBF"/>
              <w:right w:val="single" w:sz="8" w:space="0" w:color="BFBFBF"/>
            </w:tcBorders>
            <w:shd w:val="clear" w:color="000000" w:fill="FFFFFF"/>
            <w:hideMark/>
          </w:tcPr>
          <w:p w14:paraId="08B8A4D0"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27</w:t>
            </w:r>
          </w:p>
        </w:tc>
        <w:tc>
          <w:tcPr>
            <w:tcW w:w="1276" w:type="dxa"/>
            <w:tcBorders>
              <w:top w:val="nil"/>
              <w:left w:val="nil"/>
              <w:bottom w:val="single" w:sz="8" w:space="0" w:color="BFBFBF"/>
              <w:right w:val="single" w:sz="8" w:space="0" w:color="BFBFBF"/>
            </w:tcBorders>
            <w:shd w:val="clear" w:color="000000" w:fill="FFFFFF"/>
            <w:hideMark/>
          </w:tcPr>
          <w:p w14:paraId="2E977DFB"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26 (96.3%)</w:t>
            </w:r>
          </w:p>
        </w:tc>
        <w:tc>
          <w:tcPr>
            <w:tcW w:w="1134" w:type="dxa"/>
            <w:tcBorders>
              <w:top w:val="nil"/>
              <w:left w:val="nil"/>
              <w:bottom w:val="single" w:sz="8" w:space="0" w:color="BFBFBF"/>
              <w:right w:val="single" w:sz="8" w:space="0" w:color="BFBFBF"/>
            </w:tcBorders>
            <w:shd w:val="clear" w:color="000000" w:fill="FFFFFF"/>
            <w:hideMark/>
          </w:tcPr>
          <w:p w14:paraId="04C8C56D"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25 (92.6%)</w:t>
            </w:r>
          </w:p>
        </w:tc>
        <w:tc>
          <w:tcPr>
            <w:tcW w:w="1417" w:type="dxa"/>
            <w:tcBorders>
              <w:top w:val="nil"/>
              <w:left w:val="nil"/>
              <w:bottom w:val="single" w:sz="8" w:space="0" w:color="BFBFBF"/>
              <w:right w:val="single" w:sz="8" w:space="0" w:color="BFBFBF"/>
            </w:tcBorders>
            <w:shd w:val="clear" w:color="000000" w:fill="FFFFFF"/>
            <w:hideMark/>
          </w:tcPr>
          <w:p w14:paraId="254AA5C4"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23 (85.2%)</w:t>
            </w:r>
          </w:p>
        </w:tc>
        <w:tc>
          <w:tcPr>
            <w:tcW w:w="1503" w:type="dxa"/>
            <w:tcBorders>
              <w:top w:val="nil"/>
              <w:left w:val="nil"/>
              <w:bottom w:val="single" w:sz="8" w:space="0" w:color="BFBFBF"/>
              <w:right w:val="single" w:sz="8" w:space="0" w:color="BFBFBF"/>
            </w:tcBorders>
            <w:shd w:val="clear" w:color="000000" w:fill="FFFFFF"/>
          </w:tcPr>
          <w:p w14:paraId="3BC60866"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119 (28.0%)</w:t>
            </w:r>
          </w:p>
        </w:tc>
      </w:tr>
      <w:tr w:rsidR="001C19F3" w:rsidRPr="007230E8" w14:paraId="7108721D"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3D2AF59A"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 xml:space="preserve">Small practice (&lt; 5 </w:t>
            </w:r>
            <w:r>
              <w:rPr>
                <w:rFonts w:eastAsia="Century Gothic" w:cs="Century Gothic"/>
                <w:color w:val="000000"/>
                <w:sz w:val="18"/>
                <w:szCs w:val="18"/>
                <w:lang w:eastAsia="en-AU"/>
              </w:rPr>
              <w:t xml:space="preserve">FTE </w:t>
            </w:r>
            <w:r w:rsidRPr="007230E8">
              <w:rPr>
                <w:rFonts w:eastAsia="Century Gothic" w:cs="Century Gothic"/>
                <w:color w:val="000000"/>
                <w:sz w:val="18"/>
                <w:szCs w:val="18"/>
                <w:lang w:eastAsia="en-AU"/>
              </w:rPr>
              <w:t>GPs)</w:t>
            </w:r>
          </w:p>
        </w:tc>
        <w:tc>
          <w:tcPr>
            <w:tcW w:w="851" w:type="dxa"/>
            <w:tcBorders>
              <w:top w:val="nil"/>
              <w:left w:val="nil"/>
              <w:bottom w:val="single" w:sz="8" w:space="0" w:color="BFBFBF"/>
              <w:right w:val="single" w:sz="8" w:space="0" w:color="BFBFBF"/>
            </w:tcBorders>
            <w:shd w:val="clear" w:color="000000" w:fill="FFFFFF"/>
            <w:hideMark/>
          </w:tcPr>
          <w:p w14:paraId="341CFAC6"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64</w:t>
            </w:r>
          </w:p>
        </w:tc>
        <w:tc>
          <w:tcPr>
            <w:tcW w:w="1276" w:type="dxa"/>
            <w:tcBorders>
              <w:top w:val="nil"/>
              <w:left w:val="nil"/>
              <w:bottom w:val="single" w:sz="8" w:space="0" w:color="BFBFBF"/>
              <w:right w:val="single" w:sz="8" w:space="0" w:color="BFBFBF"/>
            </w:tcBorders>
            <w:shd w:val="clear" w:color="000000" w:fill="FFFFFF"/>
            <w:hideMark/>
          </w:tcPr>
          <w:p w14:paraId="56CD5200"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57 (89.1%)</w:t>
            </w:r>
          </w:p>
        </w:tc>
        <w:tc>
          <w:tcPr>
            <w:tcW w:w="1134" w:type="dxa"/>
            <w:tcBorders>
              <w:top w:val="nil"/>
              <w:left w:val="nil"/>
              <w:bottom w:val="single" w:sz="8" w:space="0" w:color="BFBFBF"/>
              <w:right w:val="single" w:sz="8" w:space="0" w:color="BFBFBF"/>
            </w:tcBorders>
            <w:shd w:val="clear" w:color="000000" w:fill="FFFFFF"/>
            <w:hideMark/>
          </w:tcPr>
          <w:p w14:paraId="1DCF9C33"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57 (89.1%)</w:t>
            </w:r>
          </w:p>
        </w:tc>
        <w:tc>
          <w:tcPr>
            <w:tcW w:w="1417" w:type="dxa"/>
            <w:tcBorders>
              <w:top w:val="nil"/>
              <w:left w:val="nil"/>
              <w:bottom w:val="single" w:sz="8" w:space="0" w:color="BFBFBF"/>
              <w:right w:val="single" w:sz="8" w:space="0" w:color="BFBFBF"/>
            </w:tcBorders>
            <w:shd w:val="clear" w:color="000000" w:fill="FFFFFF"/>
            <w:hideMark/>
          </w:tcPr>
          <w:p w14:paraId="40A80DF8"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42 (65.6%)</w:t>
            </w:r>
          </w:p>
        </w:tc>
        <w:tc>
          <w:tcPr>
            <w:tcW w:w="1503" w:type="dxa"/>
            <w:tcBorders>
              <w:top w:val="nil"/>
              <w:left w:val="nil"/>
              <w:bottom w:val="single" w:sz="8" w:space="0" w:color="BFBFBF"/>
              <w:right w:val="single" w:sz="8" w:space="0" w:color="BFBFBF"/>
            </w:tcBorders>
            <w:shd w:val="clear" w:color="000000" w:fill="FFFFFF"/>
          </w:tcPr>
          <w:p w14:paraId="0A2CBAD7"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193 (45.4%)</w:t>
            </w:r>
          </w:p>
        </w:tc>
      </w:tr>
      <w:tr w:rsidR="001C19F3" w:rsidRPr="007230E8" w14:paraId="588C36AB"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6C0EC296"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Sole practitioner</w:t>
            </w:r>
          </w:p>
        </w:tc>
        <w:tc>
          <w:tcPr>
            <w:tcW w:w="851" w:type="dxa"/>
            <w:tcBorders>
              <w:top w:val="nil"/>
              <w:left w:val="nil"/>
              <w:bottom w:val="single" w:sz="8" w:space="0" w:color="BFBFBF"/>
              <w:right w:val="single" w:sz="8" w:space="0" w:color="BFBFBF"/>
            </w:tcBorders>
            <w:shd w:val="clear" w:color="000000" w:fill="FFFFFF"/>
            <w:hideMark/>
          </w:tcPr>
          <w:p w14:paraId="0D4BDEAB"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16</w:t>
            </w:r>
          </w:p>
        </w:tc>
        <w:tc>
          <w:tcPr>
            <w:tcW w:w="1276" w:type="dxa"/>
            <w:tcBorders>
              <w:top w:val="nil"/>
              <w:left w:val="nil"/>
              <w:bottom w:val="single" w:sz="8" w:space="0" w:color="BFBFBF"/>
              <w:right w:val="single" w:sz="8" w:space="0" w:color="BFBFBF"/>
            </w:tcBorders>
            <w:shd w:val="clear" w:color="000000" w:fill="FFFFFF"/>
            <w:hideMark/>
          </w:tcPr>
          <w:p w14:paraId="32AA086F"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15 (93.8%)</w:t>
            </w:r>
          </w:p>
        </w:tc>
        <w:tc>
          <w:tcPr>
            <w:tcW w:w="1134" w:type="dxa"/>
            <w:tcBorders>
              <w:top w:val="nil"/>
              <w:left w:val="nil"/>
              <w:bottom w:val="single" w:sz="8" w:space="0" w:color="BFBFBF"/>
              <w:right w:val="single" w:sz="8" w:space="0" w:color="BFBFBF"/>
            </w:tcBorders>
            <w:shd w:val="clear" w:color="000000" w:fill="FFFFFF"/>
            <w:hideMark/>
          </w:tcPr>
          <w:p w14:paraId="40125AA6"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15 (93.8%)</w:t>
            </w:r>
          </w:p>
        </w:tc>
        <w:tc>
          <w:tcPr>
            <w:tcW w:w="1417" w:type="dxa"/>
            <w:tcBorders>
              <w:top w:val="nil"/>
              <w:left w:val="nil"/>
              <w:bottom w:val="single" w:sz="8" w:space="0" w:color="BFBFBF"/>
              <w:right w:val="single" w:sz="8" w:space="0" w:color="BFBFBF"/>
            </w:tcBorders>
            <w:shd w:val="clear" w:color="000000" w:fill="FFFFFF"/>
            <w:hideMark/>
          </w:tcPr>
          <w:p w14:paraId="1B2C615B"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11 (68.8%)</w:t>
            </w:r>
          </w:p>
        </w:tc>
        <w:tc>
          <w:tcPr>
            <w:tcW w:w="1503" w:type="dxa"/>
            <w:tcBorders>
              <w:top w:val="nil"/>
              <w:left w:val="nil"/>
              <w:bottom w:val="single" w:sz="8" w:space="0" w:color="BFBFBF"/>
              <w:right w:val="single" w:sz="8" w:space="0" w:color="BFBFBF"/>
            </w:tcBorders>
            <w:shd w:val="clear" w:color="000000" w:fill="FFFFFF"/>
          </w:tcPr>
          <w:p w14:paraId="109FABBD"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35 (8.2%)</w:t>
            </w:r>
          </w:p>
        </w:tc>
      </w:tr>
      <w:tr w:rsidR="001C19F3" w:rsidRPr="007230E8" w14:paraId="03C256C6" w14:textId="77777777" w:rsidTr="00521305">
        <w:trPr>
          <w:cantSplit/>
          <w:trHeight w:val="175"/>
          <w:jc w:val="center"/>
        </w:trPr>
        <w:tc>
          <w:tcPr>
            <w:tcW w:w="9006" w:type="dxa"/>
            <w:gridSpan w:val="6"/>
            <w:tcBorders>
              <w:top w:val="nil"/>
              <w:left w:val="single" w:sz="8" w:space="0" w:color="BFBFBF"/>
              <w:bottom w:val="single" w:sz="8" w:space="0" w:color="BFBFBF"/>
              <w:right w:val="single" w:sz="8" w:space="0" w:color="BFBFBF"/>
            </w:tcBorders>
            <w:shd w:val="clear" w:color="000000" w:fill="FFFFFF"/>
            <w:hideMark/>
          </w:tcPr>
          <w:p w14:paraId="161A2321" w14:textId="77777777" w:rsidR="001C19F3" w:rsidRPr="007230E8" w:rsidRDefault="001C19F3" w:rsidP="00521305">
            <w:pPr>
              <w:spacing w:after="0" w:line="240" w:lineRule="auto"/>
              <w:rPr>
                <w:rFonts w:eastAsia="Times New Roman"/>
                <w:b/>
                <w:bCs/>
                <w:color w:val="000000"/>
                <w:sz w:val="18"/>
                <w:szCs w:val="18"/>
                <w:lang w:eastAsia="en-AU"/>
              </w:rPr>
            </w:pPr>
            <w:r w:rsidRPr="007230E8">
              <w:rPr>
                <w:rFonts w:eastAsia="Century Gothic" w:cs="Century Gothic"/>
                <w:b/>
                <w:bCs/>
                <w:color w:val="000000"/>
                <w:sz w:val="18"/>
                <w:szCs w:val="18"/>
                <w:lang w:eastAsia="en-AU"/>
              </w:rPr>
              <w:t xml:space="preserve"> 3</w:t>
            </w:r>
            <w:r>
              <w:rPr>
                <w:rFonts w:eastAsia="Century Gothic" w:cs="Century Gothic"/>
                <w:b/>
                <w:bCs/>
                <w:color w:val="000000"/>
                <w:sz w:val="18"/>
                <w:szCs w:val="18"/>
                <w:lang w:eastAsia="en-AU"/>
              </w:rPr>
              <w:t>.</w:t>
            </w:r>
            <w:r w:rsidRPr="007230E8">
              <w:rPr>
                <w:rFonts w:eastAsia="Century Gothic" w:cs="Century Gothic"/>
                <w:b/>
                <w:bCs/>
                <w:color w:val="000000"/>
                <w:sz w:val="18"/>
                <w:szCs w:val="18"/>
                <w:lang w:eastAsia="en-AU"/>
              </w:rPr>
              <w:t xml:space="preserve"> Ownership</w:t>
            </w:r>
            <w:r>
              <w:rPr>
                <w:rFonts w:eastAsia="Century Gothic" w:cs="Century Gothic"/>
                <w:b/>
                <w:bCs/>
                <w:color w:val="000000"/>
                <w:sz w:val="18"/>
                <w:szCs w:val="18"/>
                <w:lang w:eastAsia="en-AU"/>
              </w:rPr>
              <w:t xml:space="preserve"> (active practices only, n=425)</w:t>
            </w:r>
            <w:r w:rsidRPr="007230E8">
              <w:rPr>
                <w:rFonts w:eastAsia="Times New Roman"/>
                <w:b/>
                <w:bCs/>
                <w:color w:val="000000"/>
                <w:sz w:val="18"/>
                <w:szCs w:val="18"/>
                <w:lang w:eastAsia="en-AU"/>
              </w:rPr>
              <w:t> </w:t>
            </w:r>
          </w:p>
        </w:tc>
      </w:tr>
      <w:tr w:rsidR="001C19F3" w:rsidRPr="007230E8" w14:paraId="25432603"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51879CBB"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AMS</w:t>
            </w:r>
            <w:r w:rsidRPr="007164EE">
              <w:rPr>
                <w:rFonts w:eastAsia="Century Gothic" w:cs="Century Gothic"/>
                <w:color w:val="000000"/>
                <w:sz w:val="18"/>
                <w:szCs w:val="18"/>
                <w:vertAlign w:val="superscript"/>
                <w:lang w:eastAsia="en-AU"/>
              </w:rPr>
              <w:t>2</w:t>
            </w:r>
          </w:p>
        </w:tc>
        <w:tc>
          <w:tcPr>
            <w:tcW w:w="851" w:type="dxa"/>
            <w:tcBorders>
              <w:top w:val="nil"/>
              <w:left w:val="nil"/>
              <w:bottom w:val="single" w:sz="8" w:space="0" w:color="BFBFBF"/>
              <w:right w:val="single" w:sz="8" w:space="0" w:color="BFBFBF"/>
            </w:tcBorders>
            <w:shd w:val="clear" w:color="000000" w:fill="FFFFFF"/>
            <w:hideMark/>
          </w:tcPr>
          <w:p w14:paraId="5A94919E"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17</w:t>
            </w:r>
          </w:p>
        </w:tc>
        <w:tc>
          <w:tcPr>
            <w:tcW w:w="1276" w:type="dxa"/>
            <w:tcBorders>
              <w:top w:val="nil"/>
              <w:left w:val="nil"/>
              <w:bottom w:val="single" w:sz="8" w:space="0" w:color="BFBFBF"/>
              <w:right w:val="single" w:sz="8" w:space="0" w:color="BFBFBF"/>
            </w:tcBorders>
            <w:shd w:val="clear" w:color="000000" w:fill="FFFFFF"/>
            <w:hideMark/>
          </w:tcPr>
          <w:p w14:paraId="10A33284"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15 (88.2%)</w:t>
            </w:r>
          </w:p>
        </w:tc>
        <w:tc>
          <w:tcPr>
            <w:tcW w:w="1134" w:type="dxa"/>
            <w:tcBorders>
              <w:top w:val="nil"/>
              <w:left w:val="nil"/>
              <w:bottom w:val="single" w:sz="8" w:space="0" w:color="BFBFBF"/>
              <w:right w:val="single" w:sz="8" w:space="0" w:color="BFBFBF"/>
            </w:tcBorders>
            <w:shd w:val="clear" w:color="000000" w:fill="FFFFFF"/>
            <w:hideMark/>
          </w:tcPr>
          <w:p w14:paraId="5FD5BCCE"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15 (88.2%)</w:t>
            </w:r>
          </w:p>
        </w:tc>
        <w:tc>
          <w:tcPr>
            <w:tcW w:w="1417" w:type="dxa"/>
            <w:tcBorders>
              <w:top w:val="nil"/>
              <w:left w:val="nil"/>
              <w:bottom w:val="single" w:sz="8" w:space="0" w:color="BFBFBF"/>
              <w:right w:val="single" w:sz="8" w:space="0" w:color="BFBFBF"/>
            </w:tcBorders>
            <w:shd w:val="clear" w:color="000000" w:fill="FFFFFF"/>
            <w:hideMark/>
          </w:tcPr>
          <w:p w14:paraId="25B91649"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8 (47.1%)</w:t>
            </w:r>
          </w:p>
        </w:tc>
        <w:tc>
          <w:tcPr>
            <w:tcW w:w="1503" w:type="dxa"/>
            <w:tcBorders>
              <w:top w:val="nil"/>
              <w:left w:val="nil"/>
              <w:bottom w:val="single" w:sz="8" w:space="0" w:color="BFBFBF"/>
              <w:right w:val="single" w:sz="8" w:space="0" w:color="BFBFBF"/>
            </w:tcBorders>
            <w:shd w:val="clear" w:color="000000" w:fill="FFFFFF"/>
          </w:tcPr>
          <w:p w14:paraId="4898B421" w14:textId="77777777" w:rsidR="001C19F3" w:rsidRPr="007230E8" w:rsidRDefault="001C19F3" w:rsidP="00521305">
            <w:pPr>
              <w:spacing w:after="0" w:line="240" w:lineRule="auto"/>
              <w:jc w:val="center"/>
              <w:rPr>
                <w:rFonts w:eastAsia="Century Gothic" w:cs="Century Gothic"/>
                <w:color w:val="000000"/>
                <w:sz w:val="18"/>
                <w:szCs w:val="18"/>
                <w:lang w:eastAsia="en-AU"/>
              </w:rPr>
            </w:pPr>
            <w:r>
              <w:rPr>
                <w:rFonts w:eastAsia="Century Gothic" w:cs="Century Gothic"/>
                <w:color w:val="000000"/>
                <w:sz w:val="18"/>
                <w:szCs w:val="18"/>
              </w:rPr>
              <w:t>37 (8.7%)</w:t>
            </w:r>
          </w:p>
        </w:tc>
      </w:tr>
      <w:tr w:rsidR="001C19F3" w:rsidRPr="007230E8" w14:paraId="1932E8D1"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1C161AA2"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Corporate</w:t>
            </w:r>
          </w:p>
        </w:tc>
        <w:tc>
          <w:tcPr>
            <w:tcW w:w="851" w:type="dxa"/>
            <w:tcBorders>
              <w:top w:val="nil"/>
              <w:left w:val="nil"/>
              <w:bottom w:val="single" w:sz="8" w:space="0" w:color="BFBFBF"/>
              <w:right w:val="single" w:sz="8" w:space="0" w:color="BFBFBF"/>
            </w:tcBorders>
            <w:shd w:val="clear" w:color="000000" w:fill="FFFFFF"/>
            <w:hideMark/>
          </w:tcPr>
          <w:p w14:paraId="17086EA7"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20</w:t>
            </w:r>
          </w:p>
        </w:tc>
        <w:tc>
          <w:tcPr>
            <w:tcW w:w="1276" w:type="dxa"/>
            <w:tcBorders>
              <w:top w:val="nil"/>
              <w:left w:val="nil"/>
              <w:bottom w:val="single" w:sz="8" w:space="0" w:color="BFBFBF"/>
              <w:right w:val="single" w:sz="8" w:space="0" w:color="BFBFBF"/>
            </w:tcBorders>
            <w:shd w:val="clear" w:color="000000" w:fill="FFFFFF"/>
            <w:hideMark/>
          </w:tcPr>
          <w:p w14:paraId="3989C02E"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18 (90%)</w:t>
            </w:r>
          </w:p>
        </w:tc>
        <w:tc>
          <w:tcPr>
            <w:tcW w:w="1134" w:type="dxa"/>
            <w:tcBorders>
              <w:top w:val="nil"/>
              <w:left w:val="nil"/>
              <w:bottom w:val="single" w:sz="8" w:space="0" w:color="BFBFBF"/>
              <w:right w:val="single" w:sz="8" w:space="0" w:color="BFBFBF"/>
            </w:tcBorders>
            <w:shd w:val="clear" w:color="000000" w:fill="FFFFFF"/>
            <w:hideMark/>
          </w:tcPr>
          <w:p w14:paraId="749E716F"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18 (90%)</w:t>
            </w:r>
          </w:p>
        </w:tc>
        <w:tc>
          <w:tcPr>
            <w:tcW w:w="1417" w:type="dxa"/>
            <w:tcBorders>
              <w:top w:val="nil"/>
              <w:left w:val="nil"/>
              <w:bottom w:val="single" w:sz="8" w:space="0" w:color="BFBFBF"/>
              <w:right w:val="single" w:sz="8" w:space="0" w:color="BFBFBF"/>
            </w:tcBorders>
            <w:shd w:val="clear" w:color="000000" w:fill="FFFFFF"/>
            <w:hideMark/>
          </w:tcPr>
          <w:p w14:paraId="7D72AF86"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13 (65%)</w:t>
            </w:r>
          </w:p>
        </w:tc>
        <w:tc>
          <w:tcPr>
            <w:tcW w:w="1503" w:type="dxa"/>
            <w:tcBorders>
              <w:top w:val="nil"/>
              <w:left w:val="nil"/>
              <w:bottom w:val="single" w:sz="8" w:space="0" w:color="BFBFBF"/>
              <w:right w:val="single" w:sz="8" w:space="0" w:color="BFBFBF"/>
            </w:tcBorders>
            <w:shd w:val="clear" w:color="000000" w:fill="FFFFFF"/>
          </w:tcPr>
          <w:p w14:paraId="33C49FCA"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51 (12.0%)</w:t>
            </w:r>
          </w:p>
        </w:tc>
      </w:tr>
      <w:tr w:rsidR="001C19F3" w:rsidRPr="007230E8" w14:paraId="29CFC451"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511A6AFF"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Independent</w:t>
            </w:r>
          </w:p>
        </w:tc>
        <w:tc>
          <w:tcPr>
            <w:tcW w:w="851" w:type="dxa"/>
            <w:tcBorders>
              <w:top w:val="nil"/>
              <w:left w:val="nil"/>
              <w:bottom w:val="single" w:sz="8" w:space="0" w:color="BFBFBF"/>
              <w:right w:val="single" w:sz="8" w:space="0" w:color="BFBFBF"/>
            </w:tcBorders>
            <w:shd w:val="clear" w:color="000000" w:fill="FFFFFF"/>
            <w:hideMark/>
          </w:tcPr>
          <w:p w14:paraId="7D87A701"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94</w:t>
            </w:r>
          </w:p>
        </w:tc>
        <w:tc>
          <w:tcPr>
            <w:tcW w:w="1276" w:type="dxa"/>
            <w:tcBorders>
              <w:top w:val="nil"/>
              <w:left w:val="nil"/>
              <w:bottom w:val="single" w:sz="8" w:space="0" w:color="BFBFBF"/>
              <w:right w:val="single" w:sz="8" w:space="0" w:color="BFBFBF"/>
            </w:tcBorders>
            <w:shd w:val="clear" w:color="000000" w:fill="FFFFFF"/>
            <w:hideMark/>
          </w:tcPr>
          <w:p w14:paraId="581EC08E"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87 (92.6%)</w:t>
            </w:r>
          </w:p>
        </w:tc>
        <w:tc>
          <w:tcPr>
            <w:tcW w:w="1134" w:type="dxa"/>
            <w:tcBorders>
              <w:top w:val="nil"/>
              <w:left w:val="nil"/>
              <w:bottom w:val="single" w:sz="8" w:space="0" w:color="BFBFBF"/>
              <w:right w:val="single" w:sz="8" w:space="0" w:color="BFBFBF"/>
            </w:tcBorders>
            <w:shd w:val="clear" w:color="000000" w:fill="FFFFFF"/>
            <w:hideMark/>
          </w:tcPr>
          <w:p w14:paraId="2ECDF6B5"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85 (90.4%)</w:t>
            </w:r>
          </w:p>
        </w:tc>
        <w:tc>
          <w:tcPr>
            <w:tcW w:w="1417" w:type="dxa"/>
            <w:tcBorders>
              <w:top w:val="nil"/>
              <w:left w:val="nil"/>
              <w:bottom w:val="single" w:sz="8" w:space="0" w:color="BFBFBF"/>
              <w:right w:val="single" w:sz="8" w:space="0" w:color="BFBFBF"/>
            </w:tcBorders>
            <w:shd w:val="clear" w:color="000000" w:fill="FFFFFF"/>
            <w:hideMark/>
          </w:tcPr>
          <w:p w14:paraId="2E7E3F8B"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71 (75.5%)</w:t>
            </w:r>
          </w:p>
        </w:tc>
        <w:tc>
          <w:tcPr>
            <w:tcW w:w="1503" w:type="dxa"/>
            <w:tcBorders>
              <w:top w:val="nil"/>
              <w:left w:val="nil"/>
              <w:bottom w:val="single" w:sz="8" w:space="0" w:color="BFBFBF"/>
              <w:right w:val="single" w:sz="8" w:space="0" w:color="BFBFBF"/>
            </w:tcBorders>
            <w:shd w:val="clear" w:color="000000" w:fill="FFFFFF"/>
          </w:tcPr>
          <w:p w14:paraId="3C587D68"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337 (79.3%)</w:t>
            </w:r>
          </w:p>
        </w:tc>
      </w:tr>
      <w:tr w:rsidR="001C19F3" w:rsidRPr="007230E8" w14:paraId="1A09EC59" w14:textId="77777777" w:rsidTr="00521305">
        <w:trPr>
          <w:cantSplit/>
          <w:trHeight w:val="315"/>
          <w:jc w:val="center"/>
        </w:trPr>
        <w:tc>
          <w:tcPr>
            <w:tcW w:w="9006" w:type="dxa"/>
            <w:gridSpan w:val="6"/>
            <w:tcBorders>
              <w:top w:val="nil"/>
              <w:left w:val="single" w:sz="8" w:space="0" w:color="BFBFBF"/>
              <w:bottom w:val="single" w:sz="8" w:space="0" w:color="BFBFBF"/>
              <w:right w:val="single" w:sz="8" w:space="0" w:color="BFBFBF"/>
            </w:tcBorders>
            <w:shd w:val="clear" w:color="000000" w:fill="FFFFFF"/>
            <w:hideMark/>
          </w:tcPr>
          <w:p w14:paraId="22AB207C" w14:textId="77777777" w:rsidR="001C19F3" w:rsidRPr="007230E8" w:rsidRDefault="001C19F3" w:rsidP="00521305">
            <w:pPr>
              <w:spacing w:after="0" w:line="240" w:lineRule="auto"/>
              <w:rPr>
                <w:rFonts w:eastAsia="Times New Roman"/>
                <w:b/>
                <w:bCs/>
                <w:color w:val="000000"/>
                <w:sz w:val="18"/>
                <w:szCs w:val="18"/>
                <w:lang w:eastAsia="en-AU"/>
              </w:rPr>
            </w:pPr>
            <w:r w:rsidRPr="007230E8">
              <w:rPr>
                <w:rFonts w:eastAsia="Century Gothic" w:cs="Century Gothic"/>
                <w:b/>
                <w:bCs/>
                <w:color w:val="000000"/>
                <w:sz w:val="18"/>
                <w:szCs w:val="18"/>
                <w:lang w:eastAsia="en-AU"/>
              </w:rPr>
              <w:t xml:space="preserve"> 4</w:t>
            </w:r>
            <w:r>
              <w:rPr>
                <w:rFonts w:eastAsia="Century Gothic" w:cs="Century Gothic"/>
                <w:b/>
                <w:bCs/>
                <w:color w:val="000000"/>
                <w:sz w:val="18"/>
                <w:szCs w:val="18"/>
                <w:lang w:eastAsia="en-AU"/>
              </w:rPr>
              <w:t>.</w:t>
            </w:r>
            <w:r w:rsidRPr="007230E8">
              <w:rPr>
                <w:rFonts w:eastAsia="Century Gothic" w:cs="Century Gothic"/>
                <w:b/>
                <w:bCs/>
                <w:color w:val="000000"/>
                <w:sz w:val="18"/>
                <w:szCs w:val="18"/>
                <w:lang w:eastAsia="en-AU"/>
              </w:rPr>
              <w:t xml:space="preserve"> MMM</w:t>
            </w:r>
            <w:r w:rsidRPr="007164EE">
              <w:rPr>
                <w:rFonts w:eastAsia="Century Gothic" w:cs="Century Gothic"/>
                <w:b/>
                <w:bCs/>
                <w:color w:val="000000"/>
                <w:sz w:val="18"/>
                <w:szCs w:val="18"/>
                <w:vertAlign w:val="superscript"/>
                <w:lang w:eastAsia="en-AU"/>
              </w:rPr>
              <w:t>3</w:t>
            </w:r>
            <w:r>
              <w:rPr>
                <w:rFonts w:eastAsia="Century Gothic" w:cs="Century Gothic"/>
                <w:b/>
                <w:bCs/>
                <w:color w:val="000000"/>
                <w:sz w:val="18"/>
                <w:szCs w:val="18"/>
                <w:lang w:eastAsia="en-AU"/>
              </w:rPr>
              <w:t xml:space="preserve"> (active practices only, n=425</w:t>
            </w:r>
            <w:r>
              <w:rPr>
                <w:rFonts w:eastAsia="Times New Roman"/>
                <w:b/>
                <w:bCs/>
                <w:color w:val="000000"/>
                <w:sz w:val="18"/>
                <w:szCs w:val="18"/>
                <w:lang w:eastAsia="en-AU"/>
              </w:rPr>
              <w:t>)</w:t>
            </w:r>
          </w:p>
        </w:tc>
      </w:tr>
      <w:tr w:rsidR="001C19F3" w:rsidRPr="007230E8" w14:paraId="38A10D7A"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09BCC7C2"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MMM 1</w:t>
            </w:r>
          </w:p>
        </w:tc>
        <w:tc>
          <w:tcPr>
            <w:tcW w:w="851" w:type="dxa"/>
            <w:tcBorders>
              <w:top w:val="nil"/>
              <w:left w:val="nil"/>
              <w:bottom w:val="single" w:sz="8" w:space="0" w:color="BFBFBF"/>
              <w:right w:val="single" w:sz="8" w:space="0" w:color="BFBFBF"/>
            </w:tcBorders>
            <w:shd w:val="clear" w:color="000000" w:fill="FFFFFF"/>
            <w:hideMark/>
          </w:tcPr>
          <w:p w14:paraId="2A482483"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91</w:t>
            </w:r>
          </w:p>
        </w:tc>
        <w:tc>
          <w:tcPr>
            <w:tcW w:w="1276" w:type="dxa"/>
            <w:tcBorders>
              <w:top w:val="nil"/>
              <w:left w:val="nil"/>
              <w:bottom w:val="single" w:sz="8" w:space="0" w:color="BFBFBF"/>
              <w:right w:val="single" w:sz="8" w:space="0" w:color="BFBFBF"/>
            </w:tcBorders>
            <w:shd w:val="clear" w:color="000000" w:fill="FFFFFF"/>
            <w:hideMark/>
          </w:tcPr>
          <w:p w14:paraId="2CAD708F"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83 (91.2%)</w:t>
            </w:r>
          </w:p>
        </w:tc>
        <w:tc>
          <w:tcPr>
            <w:tcW w:w="1134" w:type="dxa"/>
            <w:tcBorders>
              <w:top w:val="nil"/>
              <w:left w:val="nil"/>
              <w:bottom w:val="single" w:sz="8" w:space="0" w:color="BFBFBF"/>
              <w:right w:val="single" w:sz="8" w:space="0" w:color="BFBFBF"/>
            </w:tcBorders>
            <w:shd w:val="clear" w:color="000000" w:fill="FFFFFF"/>
            <w:hideMark/>
          </w:tcPr>
          <w:p w14:paraId="14C3F5EB"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83 (91.2%)</w:t>
            </w:r>
          </w:p>
        </w:tc>
        <w:tc>
          <w:tcPr>
            <w:tcW w:w="1417" w:type="dxa"/>
            <w:tcBorders>
              <w:top w:val="nil"/>
              <w:left w:val="nil"/>
              <w:bottom w:val="single" w:sz="8" w:space="0" w:color="BFBFBF"/>
              <w:right w:val="single" w:sz="8" w:space="0" w:color="BFBFBF"/>
            </w:tcBorders>
            <w:shd w:val="clear" w:color="000000" w:fill="FFFFFF"/>
            <w:hideMark/>
          </w:tcPr>
          <w:p w14:paraId="3CBDF54A"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73 (80.2%)</w:t>
            </w:r>
          </w:p>
        </w:tc>
        <w:tc>
          <w:tcPr>
            <w:tcW w:w="1503" w:type="dxa"/>
            <w:tcBorders>
              <w:top w:val="nil"/>
              <w:left w:val="nil"/>
              <w:bottom w:val="single" w:sz="8" w:space="0" w:color="BFBFBF"/>
              <w:right w:val="single" w:sz="8" w:space="0" w:color="BFBFBF"/>
            </w:tcBorders>
            <w:shd w:val="clear" w:color="000000" w:fill="FFFFFF"/>
          </w:tcPr>
          <w:p w14:paraId="5E77E535" w14:textId="77777777" w:rsidR="001C19F3" w:rsidRPr="007230E8" w:rsidRDefault="001C19F3" w:rsidP="00521305">
            <w:pPr>
              <w:spacing w:after="0" w:line="240" w:lineRule="auto"/>
              <w:jc w:val="center"/>
              <w:rPr>
                <w:rFonts w:eastAsia="Century Gothic" w:cs="Century Gothic"/>
                <w:color w:val="000000"/>
                <w:sz w:val="18"/>
                <w:szCs w:val="18"/>
                <w:lang w:eastAsia="en-AU"/>
              </w:rPr>
            </w:pPr>
            <w:r>
              <w:rPr>
                <w:rFonts w:eastAsia="Century Gothic" w:cs="Century Gothic"/>
                <w:color w:val="000000"/>
                <w:sz w:val="18"/>
                <w:szCs w:val="18"/>
              </w:rPr>
              <w:t>327 (76.9%)</w:t>
            </w:r>
          </w:p>
        </w:tc>
      </w:tr>
      <w:tr w:rsidR="001C19F3" w:rsidRPr="007230E8" w14:paraId="172AB947"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158ED864"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MMM 2</w:t>
            </w:r>
          </w:p>
        </w:tc>
        <w:tc>
          <w:tcPr>
            <w:tcW w:w="851" w:type="dxa"/>
            <w:tcBorders>
              <w:top w:val="nil"/>
              <w:left w:val="nil"/>
              <w:bottom w:val="single" w:sz="8" w:space="0" w:color="BFBFBF"/>
              <w:right w:val="single" w:sz="8" w:space="0" w:color="BFBFBF"/>
            </w:tcBorders>
            <w:shd w:val="clear" w:color="000000" w:fill="FFFFFF"/>
            <w:hideMark/>
          </w:tcPr>
          <w:p w14:paraId="24102A5A"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14</w:t>
            </w:r>
          </w:p>
        </w:tc>
        <w:tc>
          <w:tcPr>
            <w:tcW w:w="1276" w:type="dxa"/>
            <w:tcBorders>
              <w:top w:val="nil"/>
              <w:left w:val="nil"/>
              <w:bottom w:val="single" w:sz="8" w:space="0" w:color="BFBFBF"/>
              <w:right w:val="single" w:sz="8" w:space="0" w:color="BFBFBF"/>
            </w:tcBorders>
            <w:shd w:val="clear" w:color="000000" w:fill="FFFFFF"/>
            <w:hideMark/>
          </w:tcPr>
          <w:p w14:paraId="1B35971D"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14 (100%)</w:t>
            </w:r>
          </w:p>
        </w:tc>
        <w:tc>
          <w:tcPr>
            <w:tcW w:w="1134" w:type="dxa"/>
            <w:tcBorders>
              <w:top w:val="nil"/>
              <w:left w:val="nil"/>
              <w:bottom w:val="single" w:sz="8" w:space="0" w:color="BFBFBF"/>
              <w:right w:val="single" w:sz="8" w:space="0" w:color="BFBFBF"/>
            </w:tcBorders>
            <w:shd w:val="clear" w:color="000000" w:fill="FFFFFF"/>
            <w:hideMark/>
          </w:tcPr>
          <w:p w14:paraId="71F2F3E5"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12 (85.7%)</w:t>
            </w:r>
          </w:p>
        </w:tc>
        <w:tc>
          <w:tcPr>
            <w:tcW w:w="1417" w:type="dxa"/>
            <w:tcBorders>
              <w:top w:val="nil"/>
              <w:left w:val="nil"/>
              <w:bottom w:val="single" w:sz="8" w:space="0" w:color="BFBFBF"/>
              <w:right w:val="single" w:sz="8" w:space="0" w:color="BFBFBF"/>
            </w:tcBorders>
            <w:shd w:val="clear" w:color="000000" w:fill="FFFFFF"/>
            <w:hideMark/>
          </w:tcPr>
          <w:p w14:paraId="10839985"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4 (28.6%)</w:t>
            </w:r>
          </w:p>
        </w:tc>
        <w:tc>
          <w:tcPr>
            <w:tcW w:w="1503" w:type="dxa"/>
            <w:tcBorders>
              <w:top w:val="nil"/>
              <w:left w:val="nil"/>
              <w:bottom w:val="single" w:sz="8" w:space="0" w:color="BFBFBF"/>
              <w:right w:val="single" w:sz="8" w:space="0" w:color="BFBFBF"/>
            </w:tcBorders>
            <w:shd w:val="clear" w:color="000000" w:fill="FFFFFF"/>
          </w:tcPr>
          <w:p w14:paraId="23A54A93"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19 (4.5%)</w:t>
            </w:r>
          </w:p>
        </w:tc>
      </w:tr>
      <w:tr w:rsidR="001C19F3" w:rsidRPr="007230E8" w14:paraId="008D7CB9"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5D12A465"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MMM 3</w:t>
            </w:r>
          </w:p>
        </w:tc>
        <w:tc>
          <w:tcPr>
            <w:tcW w:w="851" w:type="dxa"/>
            <w:tcBorders>
              <w:top w:val="nil"/>
              <w:left w:val="nil"/>
              <w:bottom w:val="single" w:sz="8" w:space="0" w:color="BFBFBF"/>
              <w:right w:val="single" w:sz="8" w:space="0" w:color="BFBFBF"/>
            </w:tcBorders>
            <w:shd w:val="clear" w:color="000000" w:fill="FFFFFF"/>
            <w:hideMark/>
          </w:tcPr>
          <w:p w14:paraId="2F399B19"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Century Gothic" w:cs="Century Gothic"/>
                <w:color w:val="000000"/>
                <w:sz w:val="18"/>
                <w:szCs w:val="18"/>
                <w:lang w:eastAsia="en-AU"/>
              </w:rPr>
              <w:t>5</w:t>
            </w:r>
          </w:p>
        </w:tc>
        <w:tc>
          <w:tcPr>
            <w:tcW w:w="1276" w:type="dxa"/>
            <w:tcBorders>
              <w:top w:val="nil"/>
              <w:left w:val="nil"/>
              <w:bottom w:val="single" w:sz="8" w:space="0" w:color="BFBFBF"/>
              <w:right w:val="single" w:sz="8" w:space="0" w:color="BFBFBF"/>
            </w:tcBorders>
            <w:shd w:val="clear" w:color="000000" w:fill="FFFFFF"/>
            <w:hideMark/>
          </w:tcPr>
          <w:p w14:paraId="4FFFD0D8"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5 (100%)</w:t>
            </w:r>
          </w:p>
        </w:tc>
        <w:tc>
          <w:tcPr>
            <w:tcW w:w="1134" w:type="dxa"/>
            <w:tcBorders>
              <w:top w:val="nil"/>
              <w:left w:val="nil"/>
              <w:bottom w:val="single" w:sz="8" w:space="0" w:color="BFBFBF"/>
              <w:right w:val="single" w:sz="8" w:space="0" w:color="BFBFBF"/>
            </w:tcBorders>
            <w:shd w:val="clear" w:color="000000" w:fill="FFFFFF"/>
            <w:hideMark/>
          </w:tcPr>
          <w:p w14:paraId="23FBC23E"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5 (100%)</w:t>
            </w:r>
          </w:p>
        </w:tc>
        <w:tc>
          <w:tcPr>
            <w:tcW w:w="1417" w:type="dxa"/>
            <w:tcBorders>
              <w:top w:val="nil"/>
              <w:left w:val="nil"/>
              <w:bottom w:val="single" w:sz="8" w:space="0" w:color="BFBFBF"/>
              <w:right w:val="single" w:sz="8" w:space="0" w:color="BFBFBF"/>
            </w:tcBorders>
            <w:shd w:val="clear" w:color="000000" w:fill="FFFFFF"/>
            <w:hideMark/>
          </w:tcPr>
          <w:p w14:paraId="0C577ADA"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4 (80%)</w:t>
            </w:r>
          </w:p>
        </w:tc>
        <w:tc>
          <w:tcPr>
            <w:tcW w:w="1503" w:type="dxa"/>
            <w:tcBorders>
              <w:top w:val="nil"/>
              <w:left w:val="nil"/>
              <w:bottom w:val="single" w:sz="8" w:space="0" w:color="BFBFBF"/>
              <w:right w:val="single" w:sz="8" w:space="0" w:color="BFBFBF"/>
            </w:tcBorders>
            <w:shd w:val="clear" w:color="000000" w:fill="FFFFFF"/>
          </w:tcPr>
          <w:p w14:paraId="1310A4C3"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20 (4.7%)</w:t>
            </w:r>
          </w:p>
        </w:tc>
      </w:tr>
      <w:tr w:rsidR="001C19F3" w:rsidRPr="007230E8" w14:paraId="14D4FE33" w14:textId="77777777" w:rsidTr="00521305">
        <w:trPr>
          <w:cantSplit/>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4EF67B4E"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MMM 4-5</w:t>
            </w:r>
          </w:p>
        </w:tc>
        <w:tc>
          <w:tcPr>
            <w:tcW w:w="851" w:type="dxa"/>
            <w:tcBorders>
              <w:top w:val="nil"/>
              <w:left w:val="nil"/>
              <w:bottom w:val="single" w:sz="8" w:space="0" w:color="BFBFBF"/>
              <w:right w:val="single" w:sz="8" w:space="0" w:color="BFBFBF"/>
            </w:tcBorders>
            <w:shd w:val="clear" w:color="000000" w:fill="FFFFFF"/>
            <w:hideMark/>
          </w:tcPr>
          <w:p w14:paraId="60E53EB8"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7</w:t>
            </w:r>
          </w:p>
        </w:tc>
        <w:tc>
          <w:tcPr>
            <w:tcW w:w="1276" w:type="dxa"/>
            <w:tcBorders>
              <w:top w:val="nil"/>
              <w:left w:val="nil"/>
              <w:bottom w:val="single" w:sz="8" w:space="0" w:color="BFBFBF"/>
              <w:right w:val="single" w:sz="8" w:space="0" w:color="BFBFBF"/>
            </w:tcBorders>
            <w:shd w:val="clear" w:color="000000" w:fill="FFFFFF"/>
            <w:hideMark/>
          </w:tcPr>
          <w:p w14:paraId="55A406EA"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6 (85.7%)</w:t>
            </w:r>
          </w:p>
        </w:tc>
        <w:tc>
          <w:tcPr>
            <w:tcW w:w="1134" w:type="dxa"/>
            <w:tcBorders>
              <w:top w:val="nil"/>
              <w:left w:val="nil"/>
              <w:bottom w:val="single" w:sz="8" w:space="0" w:color="BFBFBF"/>
              <w:right w:val="single" w:sz="8" w:space="0" w:color="BFBFBF"/>
            </w:tcBorders>
            <w:shd w:val="clear" w:color="000000" w:fill="FFFFFF"/>
            <w:hideMark/>
          </w:tcPr>
          <w:p w14:paraId="10AA1255"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5 (71.4%)</w:t>
            </w:r>
          </w:p>
        </w:tc>
        <w:tc>
          <w:tcPr>
            <w:tcW w:w="1417" w:type="dxa"/>
            <w:tcBorders>
              <w:top w:val="nil"/>
              <w:left w:val="nil"/>
              <w:bottom w:val="single" w:sz="8" w:space="0" w:color="BFBFBF"/>
              <w:right w:val="single" w:sz="8" w:space="0" w:color="BFBFBF"/>
            </w:tcBorders>
            <w:shd w:val="clear" w:color="000000" w:fill="FFFFFF"/>
            <w:hideMark/>
          </w:tcPr>
          <w:p w14:paraId="678DF9C1"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5 (71.4%)</w:t>
            </w:r>
          </w:p>
        </w:tc>
        <w:tc>
          <w:tcPr>
            <w:tcW w:w="1503" w:type="dxa"/>
            <w:tcBorders>
              <w:top w:val="nil"/>
              <w:left w:val="nil"/>
              <w:bottom w:val="single" w:sz="8" w:space="0" w:color="BFBFBF"/>
              <w:right w:val="single" w:sz="8" w:space="0" w:color="BFBFBF"/>
            </w:tcBorders>
            <w:shd w:val="clear" w:color="000000" w:fill="FFFFFF"/>
          </w:tcPr>
          <w:p w14:paraId="4CB347C4"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4 (0.9%)</w:t>
            </w:r>
          </w:p>
        </w:tc>
      </w:tr>
      <w:tr w:rsidR="001C19F3" w:rsidRPr="007230E8" w14:paraId="371A0385" w14:textId="77777777" w:rsidTr="00521305">
        <w:trPr>
          <w:trHeight w:val="315"/>
          <w:jc w:val="center"/>
        </w:trPr>
        <w:tc>
          <w:tcPr>
            <w:tcW w:w="2825" w:type="dxa"/>
            <w:tcBorders>
              <w:top w:val="nil"/>
              <w:left w:val="single" w:sz="8" w:space="0" w:color="BFBFBF"/>
              <w:bottom w:val="single" w:sz="8" w:space="0" w:color="BFBFBF"/>
              <w:right w:val="single" w:sz="8" w:space="0" w:color="BFBFBF"/>
            </w:tcBorders>
            <w:shd w:val="clear" w:color="000000" w:fill="FFFFFF"/>
            <w:hideMark/>
          </w:tcPr>
          <w:p w14:paraId="4A28B5C1" w14:textId="77777777" w:rsidR="001C19F3" w:rsidRPr="007230E8" w:rsidRDefault="001C19F3" w:rsidP="00521305">
            <w:pPr>
              <w:spacing w:after="0" w:line="240" w:lineRule="auto"/>
              <w:ind w:firstLineChars="100" w:firstLine="180"/>
              <w:rPr>
                <w:rFonts w:eastAsia="Times New Roman"/>
                <w:color w:val="000000"/>
                <w:sz w:val="18"/>
                <w:szCs w:val="18"/>
                <w:lang w:eastAsia="en-AU"/>
              </w:rPr>
            </w:pPr>
            <w:r w:rsidRPr="007230E8">
              <w:rPr>
                <w:rFonts w:eastAsia="Century Gothic" w:cs="Century Gothic"/>
                <w:color w:val="000000"/>
                <w:sz w:val="18"/>
                <w:szCs w:val="18"/>
                <w:lang w:eastAsia="en-AU"/>
              </w:rPr>
              <w:t>MMM 6-7</w:t>
            </w:r>
          </w:p>
        </w:tc>
        <w:tc>
          <w:tcPr>
            <w:tcW w:w="851" w:type="dxa"/>
            <w:tcBorders>
              <w:top w:val="nil"/>
              <w:left w:val="nil"/>
              <w:bottom w:val="single" w:sz="8" w:space="0" w:color="BFBFBF"/>
              <w:right w:val="single" w:sz="8" w:space="0" w:color="BFBFBF"/>
            </w:tcBorders>
            <w:shd w:val="clear" w:color="000000" w:fill="FFFFFF"/>
            <w:hideMark/>
          </w:tcPr>
          <w:p w14:paraId="16D1950B"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14</w:t>
            </w:r>
          </w:p>
        </w:tc>
        <w:tc>
          <w:tcPr>
            <w:tcW w:w="1276" w:type="dxa"/>
            <w:tcBorders>
              <w:top w:val="nil"/>
              <w:left w:val="nil"/>
              <w:bottom w:val="single" w:sz="8" w:space="0" w:color="BFBFBF"/>
              <w:right w:val="single" w:sz="8" w:space="0" w:color="BFBFBF"/>
            </w:tcBorders>
            <w:shd w:val="clear" w:color="000000" w:fill="FFFFFF"/>
            <w:hideMark/>
          </w:tcPr>
          <w:p w14:paraId="014F7801"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12 (85.7%)</w:t>
            </w:r>
          </w:p>
        </w:tc>
        <w:tc>
          <w:tcPr>
            <w:tcW w:w="1134" w:type="dxa"/>
            <w:tcBorders>
              <w:top w:val="nil"/>
              <w:left w:val="nil"/>
              <w:bottom w:val="single" w:sz="8" w:space="0" w:color="BFBFBF"/>
              <w:right w:val="single" w:sz="8" w:space="0" w:color="BFBFBF"/>
            </w:tcBorders>
            <w:shd w:val="clear" w:color="000000" w:fill="FFFFFF"/>
            <w:hideMark/>
          </w:tcPr>
          <w:p w14:paraId="60BB69E5"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13 (92.9%)</w:t>
            </w:r>
          </w:p>
        </w:tc>
        <w:tc>
          <w:tcPr>
            <w:tcW w:w="1417" w:type="dxa"/>
            <w:tcBorders>
              <w:top w:val="nil"/>
              <w:left w:val="nil"/>
              <w:bottom w:val="single" w:sz="8" w:space="0" w:color="BFBFBF"/>
              <w:right w:val="single" w:sz="8" w:space="0" w:color="BFBFBF"/>
            </w:tcBorders>
            <w:shd w:val="clear" w:color="000000" w:fill="FFFFFF"/>
            <w:hideMark/>
          </w:tcPr>
          <w:p w14:paraId="10DA647D" w14:textId="77777777" w:rsidR="001C19F3" w:rsidRPr="007230E8" w:rsidRDefault="001C19F3" w:rsidP="00521305">
            <w:pPr>
              <w:spacing w:after="0" w:line="240" w:lineRule="auto"/>
              <w:jc w:val="center"/>
              <w:rPr>
                <w:rFonts w:eastAsia="Times New Roman"/>
                <w:color w:val="000000"/>
                <w:sz w:val="18"/>
                <w:szCs w:val="18"/>
                <w:lang w:eastAsia="en-AU"/>
              </w:rPr>
            </w:pPr>
            <w:r w:rsidRPr="007230E8">
              <w:rPr>
                <w:rFonts w:eastAsia="Times New Roman"/>
                <w:color w:val="000000"/>
                <w:sz w:val="18"/>
                <w:szCs w:val="18"/>
                <w:lang w:eastAsia="en-AU"/>
              </w:rPr>
              <w:t>6 (42.9%)</w:t>
            </w:r>
          </w:p>
        </w:tc>
        <w:tc>
          <w:tcPr>
            <w:tcW w:w="1503" w:type="dxa"/>
            <w:tcBorders>
              <w:top w:val="nil"/>
              <w:left w:val="nil"/>
              <w:bottom w:val="single" w:sz="8" w:space="0" w:color="BFBFBF"/>
              <w:right w:val="single" w:sz="8" w:space="0" w:color="BFBFBF"/>
            </w:tcBorders>
            <w:shd w:val="clear" w:color="000000" w:fill="FFFFFF"/>
          </w:tcPr>
          <w:p w14:paraId="254DDCBD" w14:textId="77777777" w:rsidR="001C19F3" w:rsidRPr="007230E8" w:rsidRDefault="001C19F3" w:rsidP="00521305">
            <w:pPr>
              <w:spacing w:after="0" w:line="240" w:lineRule="auto"/>
              <w:jc w:val="center"/>
              <w:rPr>
                <w:rFonts w:eastAsia="Times New Roman"/>
                <w:color w:val="000000"/>
                <w:sz w:val="18"/>
                <w:szCs w:val="18"/>
                <w:lang w:eastAsia="en-AU"/>
              </w:rPr>
            </w:pPr>
            <w:r>
              <w:rPr>
                <w:rFonts w:eastAsia="Century Gothic" w:cs="Century Gothic"/>
                <w:color w:val="000000"/>
                <w:sz w:val="18"/>
                <w:szCs w:val="18"/>
              </w:rPr>
              <w:t>20 (4.7%)</w:t>
            </w:r>
          </w:p>
        </w:tc>
      </w:tr>
    </w:tbl>
    <w:p w14:paraId="7C05DC61" w14:textId="77777777" w:rsidR="001C19F3" w:rsidRDefault="001C19F3" w:rsidP="001C19F3">
      <w:pPr>
        <w:pStyle w:val="Chartortablefootnote"/>
        <w:spacing w:after="0"/>
        <w:rPr>
          <w:szCs w:val="16"/>
        </w:rPr>
      </w:pPr>
      <w:r>
        <w:rPr>
          <w:szCs w:val="16"/>
        </w:rPr>
        <w:t xml:space="preserve">Source: Department of Health database of practices and Practice survey R1 Mar-Jun 2018. </w:t>
      </w:r>
    </w:p>
    <w:p w14:paraId="07E477FE" w14:textId="77777777" w:rsidR="001C19F3" w:rsidRDefault="001C19F3" w:rsidP="001C19F3">
      <w:pPr>
        <w:pStyle w:val="Chartortablefootnote"/>
      </w:pPr>
      <w:r>
        <w:rPr>
          <w:vertAlign w:val="superscript"/>
        </w:rPr>
        <w:t>1</w:t>
      </w:r>
      <w:r>
        <w:t xml:space="preserve">Does not include strata in dimension relating to range of clinical staff available at the practice; </w:t>
      </w:r>
      <w:r>
        <w:rPr>
          <w:vertAlign w:val="superscript"/>
        </w:rPr>
        <w:t>2</w:t>
      </w:r>
      <w:r w:rsidRPr="007164EE">
        <w:t>Aboriginal Medical Service is used to refer to both Indigenous Health Services and ACCHS</w:t>
      </w:r>
      <w:r>
        <w:t xml:space="preserve">. In this Table, all but one AMS is an ACCHS; </w:t>
      </w:r>
      <w:r>
        <w:rPr>
          <w:vertAlign w:val="superscript"/>
        </w:rPr>
        <w:t>3</w:t>
      </w:r>
      <w:r>
        <w:t xml:space="preserve">MMM refers to the Modified Monash Model. It </w:t>
      </w:r>
      <w:r w:rsidRPr="007164EE">
        <w:t>classifies metropolitan, regional, rural and remote areas according to both geographical remoteness and town size. It is intended to enhance the Australian Statistical Geographic Standard, Remoteness Areas (ASGS-RA) used by the Australian Bureau of Statistics (ABS). The classification has been adopted by several Government programs, including the General Practice Rural Incentives Programme (GPRIP). MMM 1 aligns fully with the ASGS-RA category of ‘Major cities’. MMM 7 relates to the most remote areas</w:t>
      </w:r>
      <w:r>
        <w:t>.</w:t>
      </w:r>
    </w:p>
    <w:p w14:paraId="62DBFD66" w14:textId="77777777" w:rsidR="001C19F3" w:rsidRDefault="001C19F3" w:rsidP="001C19F3">
      <w:pPr>
        <w:rPr>
          <w:rFonts w:eastAsiaTheme="majorEastAsia" w:cstheme="majorBidi"/>
          <w:color w:val="003D79"/>
          <w:sz w:val="28"/>
          <w:szCs w:val="24"/>
          <w:highlight w:val="yellow"/>
        </w:rPr>
      </w:pPr>
      <w:r w:rsidRPr="004F5B42">
        <w:t xml:space="preserve">In addition to tables from the practice surveys that were included in Volume 2, additional tables are provided in Appendix 1. </w:t>
      </w:r>
      <w:r w:rsidRPr="004F5B42">
        <w:fldChar w:fldCharType="begin"/>
      </w:r>
      <w:r w:rsidRPr="004F5B42">
        <w:instrText xml:space="preserve"> REF _Ref22647497 \h </w:instrText>
      </w:r>
      <w:r>
        <w:instrText xml:space="preserve"> \* MERGEFORMAT </w:instrText>
      </w:r>
      <w:r w:rsidRPr="004F5B42">
        <w:fldChar w:fldCharType="separate"/>
      </w:r>
      <w:r w:rsidRPr="008F2809">
        <w:t>Table 7</w:t>
      </w:r>
      <w:r w:rsidRPr="004F5B42">
        <w:fldChar w:fldCharType="end"/>
      </w:r>
      <w:r>
        <w:t xml:space="preserve"> </w:t>
      </w:r>
      <w:r w:rsidRPr="004F5B42">
        <w:t>provides a guide to these tables (and table</w:t>
      </w:r>
      <w:r>
        <w:t>s</w:t>
      </w:r>
      <w:r w:rsidRPr="004F5B42">
        <w:t xml:space="preserve"> from the practice staff surveys). Tables are grouped into topic areas.</w:t>
      </w:r>
      <w:r>
        <w:rPr>
          <w:highlight w:val="yellow"/>
        </w:rPr>
        <w:br w:type="page"/>
      </w:r>
    </w:p>
    <w:p w14:paraId="2C951FC0" w14:textId="77777777" w:rsidR="001C19F3" w:rsidRDefault="001C19F3" w:rsidP="001C19F3">
      <w:pPr>
        <w:spacing w:after="0"/>
        <w:jc w:val="center"/>
        <w:rPr>
          <w:b/>
        </w:rPr>
      </w:pPr>
      <w:bookmarkStart w:id="471" w:name="_Ref22647497"/>
      <w:bookmarkStart w:id="472" w:name="_Ref22647478"/>
      <w:bookmarkStart w:id="473" w:name="_Hlk22660388"/>
      <w:r w:rsidRPr="007E3ABB">
        <w:rPr>
          <w:b/>
        </w:rPr>
        <w:lastRenderedPageBreak/>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7</w:t>
      </w:r>
      <w:r w:rsidRPr="007E3ABB">
        <w:rPr>
          <w:rFonts w:cs="Arial"/>
          <w:b/>
          <w:color w:val="000000" w:themeColor="text1"/>
        </w:rPr>
        <w:fldChar w:fldCharType="end"/>
      </w:r>
      <w:bookmarkEnd w:id="471"/>
      <w:r w:rsidRPr="007E3ABB">
        <w:rPr>
          <w:b/>
        </w:rPr>
        <w:t xml:space="preserve"> – </w:t>
      </w:r>
      <w:r>
        <w:rPr>
          <w:b/>
        </w:rPr>
        <w:t>Guide to topics addressed in tables and figures derived from the practice surveys and practice staff surveys</w:t>
      </w:r>
      <w:bookmarkEnd w:id="472"/>
    </w:p>
    <w:tbl>
      <w:tblPr>
        <w:tblStyle w:val="TableGrid"/>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67"/>
      </w:tblGrid>
      <w:tr w:rsidR="001C19F3" w:rsidRPr="008F71D0" w14:paraId="606191B3" w14:textId="77777777" w:rsidTr="00521305">
        <w:trPr>
          <w:tblHeader/>
        </w:trPr>
        <w:tc>
          <w:tcPr>
            <w:tcW w:w="9067" w:type="dxa"/>
            <w:shd w:val="clear" w:color="auto" w:fill="003D79"/>
          </w:tcPr>
          <w:bookmarkEnd w:id="473"/>
          <w:p w14:paraId="6FEFDF97" w14:textId="77777777" w:rsidR="001C19F3" w:rsidRPr="008F71D0" w:rsidRDefault="001C19F3" w:rsidP="00521305">
            <w:pPr>
              <w:spacing w:after="0"/>
              <w:jc w:val="center"/>
              <w:rPr>
                <w:b/>
                <w:color w:val="FFFFFF" w:themeColor="background1"/>
                <w:sz w:val="18"/>
                <w:szCs w:val="18"/>
              </w:rPr>
            </w:pPr>
            <w:r>
              <w:rPr>
                <w:b/>
                <w:color w:val="FFFFFF" w:themeColor="background1"/>
                <w:sz w:val="18"/>
                <w:szCs w:val="18"/>
              </w:rPr>
              <w:t>Topics and tables/figures that address that topic</w:t>
            </w:r>
          </w:p>
        </w:tc>
      </w:tr>
      <w:tr w:rsidR="001C19F3" w:rsidRPr="00BA2834" w14:paraId="4170D82E" w14:textId="77777777" w:rsidTr="00521305">
        <w:tc>
          <w:tcPr>
            <w:tcW w:w="9067" w:type="dxa"/>
            <w:shd w:val="clear" w:color="auto" w:fill="F2F2F2" w:themeFill="background1" w:themeFillShade="F2"/>
          </w:tcPr>
          <w:p w14:paraId="1A1F64F5" w14:textId="77777777" w:rsidR="001C19F3" w:rsidRPr="00BA2834" w:rsidRDefault="001C19F3" w:rsidP="00521305">
            <w:pPr>
              <w:spacing w:after="0"/>
              <w:rPr>
                <w:b/>
                <w:sz w:val="18"/>
                <w:szCs w:val="18"/>
              </w:rPr>
            </w:pPr>
            <w:r w:rsidRPr="00BA2834">
              <w:rPr>
                <w:b/>
                <w:sz w:val="18"/>
                <w:szCs w:val="18"/>
              </w:rPr>
              <w:t>Practice distribution across study strata and response rates to surveys</w:t>
            </w:r>
          </w:p>
        </w:tc>
      </w:tr>
      <w:tr w:rsidR="001C19F3" w:rsidRPr="008F71D0" w14:paraId="0D4E073D" w14:textId="77777777" w:rsidTr="00521305">
        <w:tc>
          <w:tcPr>
            <w:tcW w:w="9067" w:type="dxa"/>
          </w:tcPr>
          <w:p w14:paraId="21223A00" w14:textId="77777777" w:rsidR="001C19F3" w:rsidRPr="00BA2834" w:rsidRDefault="001C19F3" w:rsidP="00521305">
            <w:pPr>
              <w:spacing w:after="0"/>
              <w:rPr>
                <w:i/>
                <w:sz w:val="18"/>
                <w:szCs w:val="18"/>
              </w:rPr>
            </w:pPr>
            <w:r w:rsidRPr="00BA2834">
              <w:rPr>
                <w:i/>
                <w:sz w:val="18"/>
                <w:szCs w:val="18"/>
              </w:rPr>
              <w:t>Volume 2 Main report:</w:t>
            </w:r>
            <w:r>
              <w:rPr>
                <w:i/>
                <w:sz w:val="18"/>
                <w:szCs w:val="18"/>
              </w:rPr>
              <w:t xml:space="preserve"> </w:t>
            </w:r>
          </w:p>
          <w:p w14:paraId="3917CAF2" w14:textId="77777777" w:rsidR="001C19F3" w:rsidRDefault="001C19F3" w:rsidP="00521305">
            <w:pPr>
              <w:spacing w:after="0"/>
              <w:ind w:left="731" w:hanging="567"/>
              <w:rPr>
                <w:sz w:val="18"/>
                <w:szCs w:val="18"/>
              </w:rPr>
            </w:pPr>
            <w:r w:rsidRPr="000436BB">
              <w:rPr>
                <w:sz w:val="18"/>
                <w:szCs w:val="18"/>
              </w:rPr>
              <w:t>Table 3 – Participation status of practices and number of patients enrolled by active practices, by sampling strata, as at 31 August 2019</w:t>
            </w:r>
          </w:p>
          <w:p w14:paraId="60D1818D" w14:textId="77777777" w:rsidR="001C19F3" w:rsidRPr="00616E52" w:rsidRDefault="001C19F3" w:rsidP="00521305">
            <w:pPr>
              <w:ind w:left="731" w:hanging="567"/>
              <w:rPr>
                <w:sz w:val="18"/>
                <w:szCs w:val="18"/>
              </w:rPr>
            </w:pPr>
            <w:r w:rsidRPr="00616E52">
              <w:rPr>
                <w:sz w:val="18"/>
                <w:szCs w:val="18"/>
              </w:rPr>
              <w:t xml:space="preserve">Figure </w:t>
            </w:r>
            <w:r>
              <w:rPr>
                <w:sz w:val="18"/>
                <w:szCs w:val="18"/>
              </w:rPr>
              <w:t>2</w:t>
            </w:r>
            <w:r w:rsidRPr="00616E52">
              <w:rPr>
                <w:sz w:val="18"/>
                <w:szCs w:val="18"/>
              </w:rPr>
              <w:t xml:space="preserve"> – Number of active practices enrolling one or more patients or no patients, and number of practices withdrawing from the program, January 2018-August 2019</w:t>
            </w:r>
          </w:p>
          <w:p w14:paraId="6063DDAE" w14:textId="77777777" w:rsidR="001C19F3" w:rsidRPr="00BA2834" w:rsidRDefault="001C19F3" w:rsidP="00521305">
            <w:pPr>
              <w:spacing w:after="0"/>
              <w:rPr>
                <w:i/>
                <w:sz w:val="18"/>
                <w:szCs w:val="18"/>
              </w:rPr>
            </w:pPr>
            <w:r w:rsidRPr="00BA2834">
              <w:rPr>
                <w:i/>
                <w:sz w:val="18"/>
                <w:szCs w:val="18"/>
              </w:rPr>
              <w:t>Volume 4 Evaluation data supplement:</w:t>
            </w:r>
          </w:p>
          <w:p w14:paraId="723C45C8" w14:textId="77777777" w:rsidR="001C19F3" w:rsidRPr="008F71D0" w:rsidRDefault="001C19F3" w:rsidP="00521305">
            <w:pPr>
              <w:ind w:left="731" w:hanging="567"/>
              <w:rPr>
                <w:sz w:val="18"/>
                <w:szCs w:val="18"/>
              </w:rPr>
            </w:pPr>
            <w:r w:rsidRPr="008F71D0">
              <w:rPr>
                <w:sz w:val="18"/>
                <w:szCs w:val="18"/>
              </w:rPr>
              <w:fldChar w:fldCharType="begin"/>
            </w:r>
            <w:r w:rsidRPr="008F71D0">
              <w:rPr>
                <w:sz w:val="18"/>
                <w:szCs w:val="18"/>
              </w:rPr>
              <w:instrText xml:space="preserve"> REF _Ref22634061 \h  \* MERGEFORMAT </w:instrText>
            </w:r>
            <w:r w:rsidRPr="008F71D0">
              <w:rPr>
                <w:sz w:val="18"/>
                <w:szCs w:val="18"/>
              </w:rPr>
            </w:r>
            <w:r w:rsidRPr="008F71D0">
              <w:rPr>
                <w:sz w:val="18"/>
                <w:szCs w:val="18"/>
              </w:rPr>
              <w:fldChar w:fldCharType="separate"/>
            </w:r>
            <w:r w:rsidRPr="008F2809">
              <w:rPr>
                <w:sz w:val="18"/>
                <w:szCs w:val="18"/>
              </w:rPr>
              <w:t>Table 6 – Response rates and characteristics of practices and staff responding to survey request</w:t>
            </w:r>
            <w:r w:rsidRPr="008F71D0">
              <w:rPr>
                <w:sz w:val="18"/>
                <w:szCs w:val="18"/>
              </w:rPr>
              <w:fldChar w:fldCharType="end"/>
            </w:r>
          </w:p>
        </w:tc>
      </w:tr>
      <w:tr w:rsidR="001C19F3" w:rsidRPr="00616E52" w14:paraId="78E53C6F" w14:textId="77777777" w:rsidTr="00521305">
        <w:tc>
          <w:tcPr>
            <w:tcW w:w="9067" w:type="dxa"/>
            <w:shd w:val="clear" w:color="auto" w:fill="F2F2F2" w:themeFill="background1" w:themeFillShade="F2"/>
          </w:tcPr>
          <w:p w14:paraId="05787320" w14:textId="77777777" w:rsidR="001C19F3" w:rsidRPr="00616E52" w:rsidRDefault="001C19F3" w:rsidP="00521305">
            <w:pPr>
              <w:spacing w:after="0"/>
              <w:rPr>
                <w:b/>
                <w:sz w:val="18"/>
                <w:szCs w:val="18"/>
              </w:rPr>
            </w:pPr>
            <w:r w:rsidRPr="00616E52">
              <w:rPr>
                <w:b/>
                <w:sz w:val="18"/>
                <w:szCs w:val="18"/>
              </w:rPr>
              <w:t>Practice staff characteristics</w:t>
            </w:r>
          </w:p>
        </w:tc>
      </w:tr>
      <w:tr w:rsidR="001C19F3" w:rsidRPr="008F71D0" w14:paraId="22B39EE2" w14:textId="77777777" w:rsidTr="00521305">
        <w:tc>
          <w:tcPr>
            <w:tcW w:w="9067" w:type="dxa"/>
          </w:tcPr>
          <w:p w14:paraId="0D4C55CE" w14:textId="77777777" w:rsidR="001C19F3" w:rsidRPr="00137A32" w:rsidRDefault="001C19F3" w:rsidP="00521305">
            <w:pPr>
              <w:spacing w:after="0"/>
              <w:rPr>
                <w:i/>
                <w:sz w:val="18"/>
                <w:szCs w:val="18"/>
              </w:rPr>
            </w:pPr>
            <w:r w:rsidRPr="00137A32">
              <w:rPr>
                <w:i/>
                <w:sz w:val="18"/>
                <w:szCs w:val="18"/>
              </w:rPr>
              <w:t xml:space="preserve">Volume 2 Main report: </w:t>
            </w:r>
          </w:p>
          <w:p w14:paraId="44846D78" w14:textId="77777777" w:rsidR="001C19F3" w:rsidRDefault="001C19F3" w:rsidP="00521305">
            <w:pPr>
              <w:spacing w:after="0"/>
              <w:ind w:left="731" w:hanging="567"/>
              <w:rPr>
                <w:sz w:val="18"/>
                <w:szCs w:val="18"/>
              </w:rPr>
            </w:pPr>
            <w:r w:rsidRPr="000A1D19">
              <w:rPr>
                <w:sz w:val="18"/>
                <w:szCs w:val="18"/>
              </w:rPr>
              <w:t>Table 5 – GPs: Total and participating in HCH</w:t>
            </w:r>
          </w:p>
          <w:p w14:paraId="27685FD3" w14:textId="77777777" w:rsidR="001C19F3" w:rsidRDefault="001C19F3" w:rsidP="00521305">
            <w:pPr>
              <w:spacing w:after="0"/>
              <w:ind w:left="731" w:hanging="567"/>
              <w:rPr>
                <w:sz w:val="18"/>
                <w:szCs w:val="18"/>
              </w:rPr>
            </w:pPr>
            <w:r w:rsidRPr="00616E52">
              <w:rPr>
                <w:sz w:val="18"/>
                <w:szCs w:val="18"/>
              </w:rPr>
              <w:t>Table 6 – GPs participating in HCH by employment arrangement</w:t>
            </w:r>
          </w:p>
          <w:p w14:paraId="6A30E336" w14:textId="77777777" w:rsidR="001C19F3" w:rsidRDefault="001C19F3" w:rsidP="00521305">
            <w:pPr>
              <w:spacing w:after="0"/>
              <w:ind w:left="731" w:hanging="567"/>
              <w:rPr>
                <w:sz w:val="18"/>
                <w:szCs w:val="18"/>
              </w:rPr>
            </w:pPr>
            <w:r w:rsidRPr="00616E52">
              <w:rPr>
                <w:sz w:val="18"/>
                <w:szCs w:val="18"/>
              </w:rPr>
              <w:t xml:space="preserve">Table </w:t>
            </w:r>
            <w:r>
              <w:rPr>
                <w:sz w:val="18"/>
                <w:szCs w:val="18"/>
              </w:rPr>
              <w:t>7</w:t>
            </w:r>
            <w:r w:rsidRPr="00616E52">
              <w:rPr>
                <w:sz w:val="18"/>
                <w:szCs w:val="18"/>
              </w:rPr>
              <w:t xml:space="preserve"> – Staff within in each practice</w:t>
            </w:r>
          </w:p>
          <w:p w14:paraId="70898C58" w14:textId="77777777" w:rsidR="001C19F3" w:rsidRDefault="001C19F3" w:rsidP="00521305">
            <w:pPr>
              <w:ind w:left="731" w:hanging="567"/>
              <w:rPr>
                <w:sz w:val="18"/>
                <w:szCs w:val="18"/>
              </w:rPr>
            </w:pPr>
            <w:r w:rsidRPr="00616E52">
              <w:rPr>
                <w:sz w:val="18"/>
                <w:szCs w:val="18"/>
              </w:rPr>
              <w:t>Table 8 – Details of allied health staff reported by practices</w:t>
            </w:r>
          </w:p>
          <w:p w14:paraId="67DA043A" w14:textId="77777777" w:rsidR="001C19F3" w:rsidRPr="00616E52" w:rsidRDefault="001C19F3" w:rsidP="00521305">
            <w:pPr>
              <w:spacing w:after="0"/>
              <w:rPr>
                <w:sz w:val="18"/>
                <w:szCs w:val="18"/>
              </w:rPr>
            </w:pPr>
            <w:r w:rsidRPr="00616E52">
              <w:rPr>
                <w:i/>
                <w:sz w:val="18"/>
                <w:szCs w:val="18"/>
              </w:rPr>
              <w:t>Volume 4 Evaluation data supplement</w:t>
            </w:r>
            <w:r>
              <w:rPr>
                <w:i/>
                <w:sz w:val="18"/>
                <w:szCs w:val="18"/>
              </w:rPr>
              <w:t>:</w:t>
            </w:r>
          </w:p>
          <w:p w14:paraId="31E11371"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_Ref22638392 \h  \* MERGEFORMAT </w:instrText>
            </w:r>
            <w:r w:rsidRPr="00616E52">
              <w:rPr>
                <w:sz w:val="18"/>
                <w:szCs w:val="18"/>
              </w:rPr>
            </w:r>
            <w:r w:rsidRPr="00616E52">
              <w:rPr>
                <w:sz w:val="18"/>
                <w:szCs w:val="18"/>
              </w:rPr>
              <w:fldChar w:fldCharType="separate"/>
            </w:r>
            <w:r w:rsidRPr="008F2809">
              <w:rPr>
                <w:sz w:val="18"/>
                <w:szCs w:val="18"/>
              </w:rPr>
              <w:t>Table 24 – Do GPs in the practice have formal arrangements for working with/in local hospitals, baseline</w:t>
            </w:r>
            <w:r w:rsidRPr="00616E52">
              <w:rPr>
                <w:sz w:val="18"/>
                <w:szCs w:val="18"/>
              </w:rPr>
              <w:fldChar w:fldCharType="end"/>
            </w:r>
          </w:p>
        </w:tc>
      </w:tr>
      <w:tr w:rsidR="001C19F3" w:rsidRPr="00616E52" w14:paraId="247115B6" w14:textId="77777777" w:rsidTr="00521305">
        <w:trPr>
          <w:trHeight w:val="267"/>
        </w:trPr>
        <w:tc>
          <w:tcPr>
            <w:tcW w:w="9067" w:type="dxa"/>
            <w:shd w:val="clear" w:color="auto" w:fill="F2F2F2" w:themeFill="background1" w:themeFillShade="F2"/>
          </w:tcPr>
          <w:p w14:paraId="5FE30CDB" w14:textId="77777777" w:rsidR="001C19F3" w:rsidRPr="00616E52" w:rsidRDefault="001C19F3" w:rsidP="00521305">
            <w:pPr>
              <w:spacing w:after="0"/>
              <w:rPr>
                <w:b/>
                <w:sz w:val="18"/>
                <w:szCs w:val="18"/>
              </w:rPr>
            </w:pPr>
            <w:r w:rsidRPr="00616E52">
              <w:rPr>
                <w:b/>
                <w:sz w:val="18"/>
                <w:szCs w:val="18"/>
              </w:rPr>
              <w:t>Access</w:t>
            </w:r>
          </w:p>
        </w:tc>
      </w:tr>
      <w:tr w:rsidR="001C19F3" w:rsidRPr="008F71D0" w14:paraId="2D856537" w14:textId="77777777" w:rsidTr="00521305">
        <w:trPr>
          <w:trHeight w:val="267"/>
        </w:trPr>
        <w:tc>
          <w:tcPr>
            <w:tcW w:w="9067" w:type="dxa"/>
          </w:tcPr>
          <w:p w14:paraId="215AAD07" w14:textId="77777777" w:rsidR="001C19F3" w:rsidRPr="00616E52" w:rsidRDefault="001C19F3" w:rsidP="00521305">
            <w:pPr>
              <w:spacing w:after="0"/>
              <w:rPr>
                <w:sz w:val="18"/>
                <w:szCs w:val="18"/>
              </w:rPr>
            </w:pPr>
            <w:r w:rsidRPr="00616E52">
              <w:rPr>
                <w:i/>
                <w:sz w:val="18"/>
                <w:szCs w:val="18"/>
              </w:rPr>
              <w:t>Volume 2 Main report:</w:t>
            </w:r>
            <w:r>
              <w:rPr>
                <w:i/>
                <w:sz w:val="18"/>
                <w:szCs w:val="18"/>
              </w:rPr>
              <w:t xml:space="preserve"> </w:t>
            </w:r>
          </w:p>
          <w:p w14:paraId="2EACAB14" w14:textId="77777777" w:rsidR="001C19F3" w:rsidRDefault="001C19F3" w:rsidP="00521305">
            <w:pPr>
              <w:spacing w:after="0"/>
              <w:ind w:left="731" w:hanging="567"/>
              <w:rPr>
                <w:sz w:val="18"/>
                <w:szCs w:val="18"/>
              </w:rPr>
            </w:pPr>
            <w:r w:rsidRPr="00616E52">
              <w:rPr>
                <w:sz w:val="18"/>
                <w:szCs w:val="18"/>
              </w:rPr>
              <w:t>Table 9 – Average time (days) to wait for a GP appointment</w:t>
            </w:r>
          </w:p>
          <w:p w14:paraId="312BE752" w14:textId="77777777" w:rsidR="001C19F3" w:rsidRDefault="001C19F3" w:rsidP="00521305">
            <w:pPr>
              <w:ind w:left="731" w:hanging="567"/>
              <w:rPr>
                <w:sz w:val="18"/>
                <w:szCs w:val="18"/>
              </w:rPr>
            </w:pPr>
            <w:r w:rsidRPr="00616E52">
              <w:rPr>
                <w:sz w:val="18"/>
                <w:szCs w:val="18"/>
              </w:rPr>
              <w:t>Table 10 – Availability of selected means of communication between patients and the practice</w:t>
            </w:r>
          </w:p>
          <w:p w14:paraId="7C561272" w14:textId="77777777" w:rsidR="001C19F3" w:rsidRPr="00616E52" w:rsidRDefault="001C19F3" w:rsidP="00521305">
            <w:pPr>
              <w:spacing w:after="0"/>
              <w:rPr>
                <w:sz w:val="18"/>
                <w:szCs w:val="18"/>
              </w:rPr>
            </w:pPr>
            <w:r w:rsidRPr="00616E52">
              <w:rPr>
                <w:i/>
                <w:sz w:val="18"/>
                <w:szCs w:val="18"/>
              </w:rPr>
              <w:t>Volume 4 Evaluation data supplement:</w:t>
            </w:r>
          </w:p>
          <w:p w14:paraId="0D0EA191"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_Ref22638492 \h  \* MERGEFORMAT </w:instrText>
            </w:r>
            <w:r w:rsidRPr="00616E52">
              <w:rPr>
                <w:sz w:val="18"/>
                <w:szCs w:val="18"/>
              </w:rPr>
            </w:r>
            <w:r w:rsidRPr="00616E52">
              <w:rPr>
                <w:sz w:val="18"/>
                <w:szCs w:val="18"/>
              </w:rPr>
              <w:fldChar w:fldCharType="separate"/>
            </w:r>
            <w:r w:rsidRPr="008F2809">
              <w:rPr>
                <w:sz w:val="18"/>
                <w:szCs w:val="18"/>
              </w:rPr>
              <w:t>Table 25 – Practice assessment of access to the selected health services within the local community, baseline</w:t>
            </w:r>
            <w:r w:rsidRPr="00616E52">
              <w:rPr>
                <w:sz w:val="18"/>
                <w:szCs w:val="18"/>
              </w:rPr>
              <w:fldChar w:fldCharType="end"/>
            </w:r>
          </w:p>
          <w:p w14:paraId="0558FEC9"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_Ref22638496 \h  \* MERGEFORMAT </w:instrText>
            </w:r>
            <w:r w:rsidRPr="00616E52">
              <w:rPr>
                <w:sz w:val="18"/>
                <w:szCs w:val="18"/>
              </w:rPr>
            </w:r>
            <w:r w:rsidRPr="00616E52">
              <w:rPr>
                <w:sz w:val="18"/>
                <w:szCs w:val="18"/>
              </w:rPr>
              <w:fldChar w:fldCharType="separate"/>
            </w:r>
            <w:r w:rsidRPr="008F2809">
              <w:rPr>
                <w:sz w:val="18"/>
                <w:szCs w:val="18"/>
              </w:rPr>
              <w:t>Table 26 – Arrangements for patient attending the practice to access after hours general practice services, baseline</w:t>
            </w:r>
            <w:r w:rsidRPr="00616E52">
              <w:rPr>
                <w:sz w:val="18"/>
                <w:szCs w:val="18"/>
              </w:rPr>
              <w:fldChar w:fldCharType="end"/>
            </w:r>
          </w:p>
          <w:p w14:paraId="423326F5"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_Ref22638500 \h  \* MERGEFORMAT </w:instrText>
            </w:r>
            <w:r w:rsidRPr="00616E52">
              <w:rPr>
                <w:sz w:val="18"/>
                <w:szCs w:val="18"/>
              </w:rPr>
            </w:r>
            <w:r w:rsidRPr="00616E52">
              <w:rPr>
                <w:sz w:val="18"/>
                <w:szCs w:val="18"/>
              </w:rPr>
              <w:fldChar w:fldCharType="separate"/>
            </w:r>
            <w:r w:rsidRPr="008F2809">
              <w:rPr>
                <w:sz w:val="18"/>
                <w:szCs w:val="18"/>
              </w:rPr>
              <w:t>Table 27 – How long (in days) does the patient have to wait before seeing a GP, baseline</w:t>
            </w:r>
            <w:r w:rsidRPr="00616E52">
              <w:rPr>
                <w:sz w:val="18"/>
                <w:szCs w:val="18"/>
              </w:rPr>
              <w:fldChar w:fldCharType="end"/>
            </w:r>
          </w:p>
          <w:p w14:paraId="3F6A58D9"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_Ref22638502 \h  \* MERGEFORMAT </w:instrText>
            </w:r>
            <w:r w:rsidRPr="00616E52">
              <w:rPr>
                <w:sz w:val="18"/>
                <w:szCs w:val="18"/>
              </w:rPr>
            </w:r>
            <w:r w:rsidRPr="00616E52">
              <w:rPr>
                <w:sz w:val="18"/>
                <w:szCs w:val="18"/>
              </w:rPr>
              <w:fldChar w:fldCharType="separate"/>
            </w:r>
            <w:r w:rsidRPr="008F2809">
              <w:rPr>
                <w:sz w:val="18"/>
                <w:szCs w:val="18"/>
              </w:rPr>
              <w:t xml:space="preserve">Table 28 – Option available for patients to interact with practice/GP, </w:t>
            </w:r>
            <w:r>
              <w:t>baseline</w:t>
            </w:r>
            <w:r w:rsidRPr="00616E52">
              <w:rPr>
                <w:sz w:val="18"/>
                <w:szCs w:val="18"/>
              </w:rPr>
              <w:fldChar w:fldCharType="end"/>
            </w:r>
          </w:p>
          <w:p w14:paraId="6DDF607C"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_Ref22638506 \h  \* MERGEFORMAT </w:instrText>
            </w:r>
            <w:r w:rsidRPr="00616E52">
              <w:rPr>
                <w:sz w:val="18"/>
                <w:szCs w:val="18"/>
              </w:rPr>
            </w:r>
            <w:r w:rsidRPr="00616E52">
              <w:rPr>
                <w:sz w:val="18"/>
                <w:szCs w:val="18"/>
              </w:rPr>
              <w:fldChar w:fldCharType="separate"/>
            </w:r>
            <w:r w:rsidRPr="008F2809">
              <w:rPr>
                <w:sz w:val="18"/>
                <w:szCs w:val="18"/>
              </w:rPr>
              <w:t>Table 29 – At least one GP in the practice who makes home visits</w:t>
            </w:r>
            <w:r w:rsidRPr="00616E52">
              <w:rPr>
                <w:sz w:val="18"/>
                <w:szCs w:val="18"/>
              </w:rPr>
              <w:fldChar w:fldCharType="end"/>
            </w:r>
          </w:p>
        </w:tc>
      </w:tr>
      <w:tr w:rsidR="001C19F3" w:rsidRPr="00616E52" w14:paraId="27143765" w14:textId="77777777" w:rsidTr="00521305">
        <w:tc>
          <w:tcPr>
            <w:tcW w:w="9067" w:type="dxa"/>
            <w:shd w:val="clear" w:color="auto" w:fill="F2F2F2" w:themeFill="background1" w:themeFillShade="F2"/>
          </w:tcPr>
          <w:p w14:paraId="7188C5AB" w14:textId="77777777" w:rsidR="001C19F3" w:rsidRPr="00616E52" w:rsidRDefault="001C19F3" w:rsidP="00521305">
            <w:pPr>
              <w:spacing w:after="0"/>
              <w:rPr>
                <w:b/>
                <w:sz w:val="18"/>
                <w:szCs w:val="18"/>
              </w:rPr>
            </w:pPr>
            <w:r w:rsidRPr="00616E52">
              <w:rPr>
                <w:b/>
                <w:sz w:val="18"/>
                <w:szCs w:val="18"/>
              </w:rPr>
              <w:t>IT and data capabilities</w:t>
            </w:r>
          </w:p>
        </w:tc>
      </w:tr>
      <w:tr w:rsidR="001C19F3" w:rsidRPr="008F71D0" w14:paraId="0AECB38E" w14:textId="77777777" w:rsidTr="00521305">
        <w:tc>
          <w:tcPr>
            <w:tcW w:w="9067" w:type="dxa"/>
          </w:tcPr>
          <w:p w14:paraId="4D9DE459" w14:textId="77777777" w:rsidR="001C19F3" w:rsidRPr="0091563C" w:rsidRDefault="001C19F3" w:rsidP="00521305">
            <w:pPr>
              <w:spacing w:after="0"/>
              <w:rPr>
                <w:i/>
                <w:sz w:val="18"/>
                <w:szCs w:val="18"/>
              </w:rPr>
            </w:pPr>
            <w:r w:rsidRPr="0091563C">
              <w:rPr>
                <w:i/>
                <w:sz w:val="18"/>
                <w:szCs w:val="18"/>
              </w:rPr>
              <w:t xml:space="preserve">Volume 2 Main report: </w:t>
            </w:r>
          </w:p>
          <w:p w14:paraId="3D4E0F30" w14:textId="77777777" w:rsidR="001C19F3" w:rsidRDefault="001C19F3" w:rsidP="00521305">
            <w:pPr>
              <w:spacing w:after="0"/>
              <w:ind w:left="731" w:hanging="567"/>
              <w:rPr>
                <w:sz w:val="18"/>
                <w:szCs w:val="18"/>
              </w:rPr>
            </w:pPr>
            <w:r w:rsidRPr="00616E52">
              <w:rPr>
                <w:sz w:val="18"/>
                <w:szCs w:val="18"/>
              </w:rPr>
              <w:t>Table 11 – Practice reports of how easy it is to generate selected information about patients using the practice clinical management system and/or other software</w:t>
            </w:r>
          </w:p>
          <w:p w14:paraId="76A96AA4" w14:textId="77777777" w:rsidR="001C19F3" w:rsidRDefault="001C19F3" w:rsidP="00521305">
            <w:pPr>
              <w:spacing w:after="0"/>
              <w:ind w:left="731" w:hanging="567"/>
              <w:rPr>
                <w:sz w:val="18"/>
                <w:szCs w:val="18"/>
              </w:rPr>
            </w:pPr>
            <w:r w:rsidRPr="00616E52">
              <w:rPr>
                <w:sz w:val="18"/>
                <w:szCs w:val="18"/>
              </w:rPr>
              <w:t>Table 12 – Practice reports on whether selected systems/processes are in place</w:t>
            </w:r>
          </w:p>
          <w:p w14:paraId="5C6D1D59" w14:textId="77777777" w:rsidR="001C19F3" w:rsidRDefault="001C19F3" w:rsidP="00521305">
            <w:pPr>
              <w:spacing w:after="0"/>
              <w:ind w:left="731" w:hanging="567"/>
              <w:rPr>
                <w:sz w:val="18"/>
                <w:szCs w:val="18"/>
              </w:rPr>
            </w:pPr>
            <w:r w:rsidRPr="00616E52">
              <w:rPr>
                <w:sz w:val="18"/>
                <w:szCs w:val="18"/>
              </w:rPr>
              <w:t>Table 13 – Practice reports on whether GPs routinely receive and review data on selected aspects of their patients' care</w:t>
            </w:r>
          </w:p>
          <w:p w14:paraId="610BBE44" w14:textId="77777777" w:rsidR="001C19F3" w:rsidRDefault="001C19F3" w:rsidP="00521305">
            <w:pPr>
              <w:spacing w:after="0"/>
              <w:ind w:left="731" w:hanging="567"/>
              <w:rPr>
                <w:sz w:val="18"/>
                <w:szCs w:val="18"/>
              </w:rPr>
            </w:pPr>
            <w:r w:rsidRPr="00616E52">
              <w:rPr>
                <w:sz w:val="18"/>
                <w:szCs w:val="18"/>
              </w:rPr>
              <w:t>Figure 3 – Staff perspectives on the use of electronic health records and other electronic systems to identify patients with complex health needs, monitor patient outcomes, document patients’ needs, develop care plans and determine clinical outcomes</w:t>
            </w:r>
          </w:p>
          <w:p w14:paraId="1A8F15DD" w14:textId="77777777" w:rsidR="001C19F3" w:rsidRDefault="001C19F3" w:rsidP="00521305">
            <w:pPr>
              <w:ind w:left="731" w:hanging="567"/>
              <w:rPr>
                <w:sz w:val="18"/>
                <w:szCs w:val="18"/>
              </w:rPr>
            </w:pPr>
            <w:r w:rsidRPr="00616E52">
              <w:rPr>
                <w:sz w:val="18"/>
                <w:szCs w:val="18"/>
              </w:rPr>
              <w:t>Figure 4 – Staff perspectives on ease with which selected functions can be undertaken within their practice’s existing practice clinical management systems and/ or other IT</w:t>
            </w:r>
          </w:p>
          <w:p w14:paraId="7E468CFB" w14:textId="77777777" w:rsidR="001C19F3" w:rsidRPr="00616E52" w:rsidRDefault="001C19F3" w:rsidP="00521305">
            <w:pPr>
              <w:spacing w:after="0"/>
              <w:ind w:left="164"/>
              <w:rPr>
                <w:sz w:val="18"/>
                <w:szCs w:val="18"/>
              </w:rPr>
            </w:pPr>
            <w:r w:rsidRPr="00616E52">
              <w:rPr>
                <w:sz w:val="18"/>
                <w:szCs w:val="18"/>
              </w:rPr>
              <w:t xml:space="preserve"> </w:t>
            </w:r>
            <w:r w:rsidRPr="00616E52">
              <w:rPr>
                <w:i/>
                <w:sz w:val="18"/>
                <w:szCs w:val="18"/>
              </w:rPr>
              <w:t>Volume 4 Evaluation data supplement:</w:t>
            </w:r>
          </w:p>
          <w:p w14:paraId="739B873F"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_Ref22638589 \h  \* MERGEFORMAT </w:instrText>
            </w:r>
            <w:r w:rsidRPr="00616E52">
              <w:rPr>
                <w:sz w:val="18"/>
                <w:szCs w:val="18"/>
              </w:rPr>
            </w:r>
            <w:r w:rsidRPr="00616E52">
              <w:rPr>
                <w:sz w:val="18"/>
                <w:szCs w:val="18"/>
              </w:rPr>
              <w:fldChar w:fldCharType="separate"/>
            </w:r>
            <w:r w:rsidRPr="008F2809">
              <w:rPr>
                <w:sz w:val="18"/>
                <w:szCs w:val="18"/>
              </w:rPr>
              <w:t>Table 30 – Difficulty in generating information from current systems, baseline</w:t>
            </w:r>
            <w:r w:rsidRPr="00616E52">
              <w:rPr>
                <w:sz w:val="18"/>
                <w:szCs w:val="18"/>
              </w:rPr>
              <w:fldChar w:fldCharType="end"/>
            </w:r>
          </w:p>
          <w:p w14:paraId="30A064B6"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_Ref22638594 \h  \* MERGEFORMAT </w:instrText>
            </w:r>
            <w:r w:rsidRPr="00616E52">
              <w:rPr>
                <w:sz w:val="18"/>
                <w:szCs w:val="18"/>
              </w:rPr>
            </w:r>
            <w:r w:rsidRPr="00616E52">
              <w:rPr>
                <w:sz w:val="18"/>
                <w:szCs w:val="18"/>
              </w:rPr>
              <w:fldChar w:fldCharType="separate"/>
            </w:r>
            <w:r w:rsidRPr="008F2809">
              <w:rPr>
                <w:sz w:val="18"/>
                <w:szCs w:val="18"/>
              </w:rPr>
              <w:t>Table 31 – GPs routinely receive and review data on selected aspects of patient care, baseline</w:t>
            </w:r>
            <w:r w:rsidRPr="00616E52">
              <w:rPr>
                <w:sz w:val="18"/>
                <w:szCs w:val="18"/>
              </w:rPr>
              <w:fldChar w:fldCharType="end"/>
            </w:r>
          </w:p>
          <w:p w14:paraId="14447874" w14:textId="77777777" w:rsidR="001C19F3" w:rsidRPr="00616E52" w:rsidRDefault="001C19F3" w:rsidP="00521305">
            <w:pPr>
              <w:spacing w:after="0"/>
              <w:ind w:left="731" w:hanging="567"/>
              <w:rPr>
                <w:sz w:val="18"/>
                <w:szCs w:val="18"/>
              </w:rPr>
            </w:pPr>
            <w:r w:rsidRPr="00616E52">
              <w:rPr>
                <w:sz w:val="18"/>
                <w:szCs w:val="18"/>
              </w:rPr>
              <w:lastRenderedPageBreak/>
              <w:fldChar w:fldCharType="begin"/>
            </w:r>
            <w:r w:rsidRPr="00616E52">
              <w:rPr>
                <w:sz w:val="18"/>
                <w:szCs w:val="18"/>
              </w:rPr>
              <w:instrText xml:space="preserve"> REF _Ref22640637 \h  \* MERGEFORMAT </w:instrText>
            </w:r>
            <w:r w:rsidRPr="00616E52">
              <w:rPr>
                <w:sz w:val="18"/>
                <w:szCs w:val="18"/>
              </w:rPr>
            </w:r>
            <w:r w:rsidRPr="00616E52">
              <w:rPr>
                <w:sz w:val="18"/>
                <w:szCs w:val="18"/>
              </w:rPr>
              <w:fldChar w:fldCharType="separate"/>
            </w:r>
            <w:r w:rsidRPr="008F2809">
              <w:rPr>
                <w:sz w:val="18"/>
                <w:szCs w:val="18"/>
              </w:rPr>
              <w:t>Table 59 – Difficulty in using practice clinical management system or ancillary systems to undertake selected tasks, baseline</w:t>
            </w:r>
            <w:r w:rsidRPr="00616E52">
              <w:rPr>
                <w:sz w:val="18"/>
                <w:szCs w:val="18"/>
              </w:rPr>
              <w:fldChar w:fldCharType="end"/>
            </w:r>
          </w:p>
          <w:p w14:paraId="21CDC7EB" w14:textId="77777777" w:rsidR="001C19F3"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_Ref22640708 \h  \* MERGEFORMAT </w:instrText>
            </w:r>
            <w:r w:rsidRPr="00616E52">
              <w:rPr>
                <w:sz w:val="18"/>
                <w:szCs w:val="18"/>
              </w:rPr>
            </w:r>
            <w:r w:rsidRPr="00616E52">
              <w:rPr>
                <w:sz w:val="18"/>
                <w:szCs w:val="18"/>
              </w:rPr>
              <w:fldChar w:fldCharType="separate"/>
            </w:r>
            <w:r w:rsidRPr="008F2809">
              <w:rPr>
                <w:sz w:val="18"/>
                <w:szCs w:val="18"/>
              </w:rPr>
              <w:t>Table 60 – Agreement with statements about the primary care team using electronic data, baseline</w:t>
            </w:r>
            <w:r w:rsidRPr="00616E52">
              <w:rPr>
                <w:sz w:val="18"/>
                <w:szCs w:val="18"/>
              </w:rPr>
              <w:fldChar w:fldCharType="end"/>
            </w:r>
          </w:p>
          <w:p w14:paraId="6E7B4AAD" w14:textId="77777777" w:rsidR="001C19F3" w:rsidRPr="00616E52" w:rsidRDefault="001C19F3" w:rsidP="00521305">
            <w:pPr>
              <w:ind w:left="731" w:hanging="567"/>
              <w:rPr>
                <w:sz w:val="18"/>
                <w:szCs w:val="18"/>
              </w:rPr>
            </w:pPr>
            <w:r>
              <w:rPr>
                <w:sz w:val="18"/>
                <w:szCs w:val="18"/>
              </w:rPr>
              <w:fldChar w:fldCharType="begin"/>
            </w:r>
            <w:r>
              <w:rPr>
                <w:sz w:val="18"/>
                <w:szCs w:val="18"/>
              </w:rPr>
              <w:instrText xml:space="preserve"> REF _Ref22650237 \h  \* MERGEFORMAT </w:instrText>
            </w:r>
            <w:r>
              <w:rPr>
                <w:sz w:val="18"/>
                <w:szCs w:val="18"/>
              </w:rPr>
            </w:r>
            <w:r>
              <w:rPr>
                <w:sz w:val="18"/>
                <w:szCs w:val="18"/>
              </w:rPr>
              <w:fldChar w:fldCharType="separate"/>
            </w:r>
            <w:r w:rsidRPr="008F2809">
              <w:rPr>
                <w:sz w:val="18"/>
                <w:szCs w:val="18"/>
              </w:rPr>
              <w:t>Figure 7 – Staff perspectives, by type of staff, on the use of electronic health records and other electronic systems to identify patients with complex health needs, monitor patient outcomes, document patients’ needs, develop care plans and determine clinical outcomes, baseline: Active practices at 31 August 2019</w:t>
            </w:r>
            <w:r>
              <w:rPr>
                <w:sz w:val="18"/>
                <w:szCs w:val="18"/>
              </w:rPr>
              <w:fldChar w:fldCharType="end"/>
            </w:r>
          </w:p>
        </w:tc>
      </w:tr>
      <w:tr w:rsidR="001C19F3" w:rsidRPr="00616E52" w14:paraId="6360E935" w14:textId="77777777" w:rsidTr="00521305">
        <w:tc>
          <w:tcPr>
            <w:tcW w:w="9067" w:type="dxa"/>
            <w:shd w:val="clear" w:color="auto" w:fill="F2F2F2" w:themeFill="background1" w:themeFillShade="F2"/>
          </w:tcPr>
          <w:p w14:paraId="35B106DC" w14:textId="77777777" w:rsidR="001C19F3" w:rsidRPr="00616E52" w:rsidRDefault="001C19F3" w:rsidP="00521305">
            <w:pPr>
              <w:spacing w:after="0"/>
              <w:rPr>
                <w:b/>
                <w:sz w:val="18"/>
                <w:szCs w:val="18"/>
              </w:rPr>
            </w:pPr>
            <w:r w:rsidRPr="00616E52">
              <w:rPr>
                <w:b/>
                <w:sz w:val="18"/>
                <w:szCs w:val="18"/>
              </w:rPr>
              <w:lastRenderedPageBreak/>
              <w:t>Participation in quality improvement initiatives</w:t>
            </w:r>
          </w:p>
        </w:tc>
      </w:tr>
      <w:tr w:rsidR="001C19F3" w:rsidRPr="008F71D0" w14:paraId="534C2590" w14:textId="77777777" w:rsidTr="00521305">
        <w:tc>
          <w:tcPr>
            <w:tcW w:w="9067" w:type="dxa"/>
          </w:tcPr>
          <w:p w14:paraId="17DF7471" w14:textId="77777777" w:rsidR="001C19F3" w:rsidRPr="004F5B42" w:rsidRDefault="001C19F3" w:rsidP="00521305">
            <w:pPr>
              <w:spacing w:after="0"/>
              <w:rPr>
                <w:i/>
                <w:sz w:val="18"/>
                <w:szCs w:val="18"/>
              </w:rPr>
            </w:pPr>
            <w:r w:rsidRPr="004F5B42">
              <w:rPr>
                <w:i/>
                <w:sz w:val="18"/>
                <w:szCs w:val="18"/>
              </w:rPr>
              <w:t xml:space="preserve">Volume 2 Main report: </w:t>
            </w:r>
          </w:p>
          <w:p w14:paraId="7282D2E3" w14:textId="77777777" w:rsidR="001C19F3" w:rsidRPr="00616E52" w:rsidRDefault="001C19F3" w:rsidP="00521305">
            <w:pPr>
              <w:ind w:left="731" w:hanging="567"/>
              <w:rPr>
                <w:sz w:val="18"/>
                <w:szCs w:val="18"/>
              </w:rPr>
            </w:pPr>
            <w:r w:rsidRPr="00616E52">
              <w:rPr>
                <w:sz w:val="18"/>
                <w:szCs w:val="18"/>
              </w:rPr>
              <w:t xml:space="preserve">Table </w:t>
            </w:r>
            <w:r>
              <w:rPr>
                <w:sz w:val="18"/>
                <w:szCs w:val="18"/>
              </w:rPr>
              <w:t>14</w:t>
            </w:r>
            <w:r w:rsidRPr="00616E52">
              <w:rPr>
                <w:sz w:val="18"/>
                <w:szCs w:val="18"/>
              </w:rPr>
              <w:t xml:space="preserve"> – Practices’ participation in the Practice Incentive Program</w:t>
            </w:r>
            <w:r>
              <w:rPr>
                <w:sz w:val="18"/>
                <w:szCs w:val="18"/>
              </w:rPr>
              <w:t xml:space="preserve"> (PIP)</w:t>
            </w:r>
          </w:p>
          <w:p w14:paraId="1FE14561" w14:textId="77777777" w:rsidR="001C19F3" w:rsidRPr="00616E52" w:rsidRDefault="001C19F3" w:rsidP="00521305">
            <w:pPr>
              <w:spacing w:after="0"/>
              <w:rPr>
                <w:sz w:val="18"/>
                <w:szCs w:val="18"/>
              </w:rPr>
            </w:pPr>
            <w:r w:rsidRPr="00616E52">
              <w:rPr>
                <w:i/>
                <w:sz w:val="18"/>
                <w:szCs w:val="18"/>
              </w:rPr>
              <w:t>Volume 4 Evaluation data supplement</w:t>
            </w:r>
            <w:r>
              <w:rPr>
                <w:i/>
                <w:sz w:val="18"/>
                <w:szCs w:val="18"/>
              </w:rPr>
              <w:t>:</w:t>
            </w:r>
          </w:p>
          <w:p w14:paraId="202F57E8"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_Ref22638685 \h  \* MERGEFORMAT </w:instrText>
            </w:r>
            <w:r w:rsidRPr="00616E52">
              <w:rPr>
                <w:sz w:val="18"/>
                <w:szCs w:val="18"/>
              </w:rPr>
            </w:r>
            <w:r w:rsidRPr="00616E52">
              <w:rPr>
                <w:sz w:val="18"/>
                <w:szCs w:val="18"/>
              </w:rPr>
              <w:fldChar w:fldCharType="separate"/>
            </w:r>
            <w:r w:rsidRPr="008F2809">
              <w:rPr>
                <w:sz w:val="18"/>
                <w:szCs w:val="18"/>
              </w:rPr>
              <w:t>Table 33 – Practice Incentive Program (PIP) participation, baseline</w:t>
            </w:r>
            <w:r w:rsidRPr="00616E52">
              <w:rPr>
                <w:sz w:val="18"/>
                <w:szCs w:val="18"/>
              </w:rPr>
              <w:fldChar w:fldCharType="end"/>
            </w:r>
          </w:p>
        </w:tc>
      </w:tr>
      <w:tr w:rsidR="001C19F3" w:rsidRPr="00616E52" w14:paraId="4E3053C0" w14:textId="77777777" w:rsidTr="00521305">
        <w:tc>
          <w:tcPr>
            <w:tcW w:w="9067" w:type="dxa"/>
            <w:shd w:val="clear" w:color="auto" w:fill="F2F2F2" w:themeFill="background1" w:themeFillShade="F2"/>
          </w:tcPr>
          <w:p w14:paraId="2B49EDB0" w14:textId="77777777" w:rsidR="001C19F3" w:rsidRPr="00616E52" w:rsidRDefault="001C19F3" w:rsidP="00521305">
            <w:pPr>
              <w:spacing w:after="0"/>
              <w:rPr>
                <w:b/>
                <w:sz w:val="18"/>
                <w:szCs w:val="18"/>
              </w:rPr>
            </w:pPr>
            <w:r>
              <w:rPr>
                <w:b/>
                <w:sz w:val="18"/>
                <w:szCs w:val="18"/>
              </w:rPr>
              <w:t>Health Care Homes Assessment (</w:t>
            </w:r>
            <w:r w:rsidRPr="00616E52">
              <w:rPr>
                <w:b/>
                <w:sz w:val="18"/>
                <w:szCs w:val="18"/>
              </w:rPr>
              <w:t>HCH-A</w:t>
            </w:r>
            <w:r>
              <w:rPr>
                <w:b/>
                <w:sz w:val="18"/>
                <w:szCs w:val="18"/>
              </w:rPr>
              <w:t>)</w:t>
            </w:r>
          </w:p>
        </w:tc>
      </w:tr>
      <w:tr w:rsidR="001C19F3" w:rsidRPr="008F71D0" w14:paraId="3FBE28BB" w14:textId="77777777" w:rsidTr="00521305">
        <w:tc>
          <w:tcPr>
            <w:tcW w:w="9067" w:type="dxa"/>
          </w:tcPr>
          <w:p w14:paraId="2F09CC49" w14:textId="77777777" w:rsidR="001C19F3" w:rsidRDefault="001C19F3" w:rsidP="00521305">
            <w:pPr>
              <w:spacing w:after="0"/>
              <w:rPr>
                <w:i/>
                <w:sz w:val="18"/>
                <w:szCs w:val="18"/>
              </w:rPr>
            </w:pPr>
            <w:r w:rsidRPr="00616E52">
              <w:rPr>
                <w:i/>
                <w:sz w:val="18"/>
                <w:szCs w:val="18"/>
              </w:rPr>
              <w:t>Volume 4 Evaluation data supplement:</w:t>
            </w:r>
          </w:p>
          <w:p w14:paraId="25EED6B3" w14:textId="77777777" w:rsidR="001C19F3" w:rsidRPr="004F5B42" w:rsidRDefault="001C19F3" w:rsidP="00521305">
            <w:pPr>
              <w:spacing w:after="0"/>
              <w:ind w:left="731" w:hanging="567"/>
              <w:rPr>
                <w:sz w:val="18"/>
                <w:szCs w:val="18"/>
              </w:rPr>
            </w:pPr>
            <w:r w:rsidRPr="004F5B42">
              <w:rPr>
                <w:sz w:val="18"/>
                <w:szCs w:val="18"/>
              </w:rPr>
              <w:fldChar w:fldCharType="begin"/>
            </w:r>
            <w:r w:rsidRPr="004F5B42">
              <w:rPr>
                <w:sz w:val="18"/>
                <w:szCs w:val="18"/>
              </w:rPr>
              <w:instrText xml:space="preserve"> REF _Ref22647646 \h </w:instrText>
            </w:r>
            <w:r>
              <w:rPr>
                <w:sz w:val="18"/>
                <w:szCs w:val="18"/>
              </w:rPr>
              <w:instrText xml:space="preserve"> \* MERGEFORMAT </w:instrText>
            </w:r>
            <w:r w:rsidRPr="004F5B42">
              <w:rPr>
                <w:sz w:val="18"/>
                <w:szCs w:val="18"/>
              </w:rPr>
            </w:r>
            <w:r w:rsidRPr="004F5B42">
              <w:rPr>
                <w:sz w:val="18"/>
                <w:szCs w:val="18"/>
              </w:rPr>
              <w:fldChar w:fldCharType="separate"/>
            </w:r>
            <w:r w:rsidRPr="008F2809">
              <w:rPr>
                <w:sz w:val="18"/>
                <w:szCs w:val="18"/>
              </w:rPr>
              <w:t>Figure 1 – Distribution of reported HCH-A scores: Dimensions 1 to 5</w:t>
            </w:r>
            <w:r w:rsidRPr="004F5B42">
              <w:rPr>
                <w:sz w:val="18"/>
                <w:szCs w:val="18"/>
              </w:rPr>
              <w:fldChar w:fldCharType="end"/>
            </w:r>
          </w:p>
          <w:p w14:paraId="56AF641F" w14:textId="77777777" w:rsidR="001C19F3" w:rsidRPr="004F5B42" w:rsidRDefault="001C19F3" w:rsidP="00521305">
            <w:pPr>
              <w:spacing w:after="0"/>
              <w:ind w:left="731" w:hanging="567"/>
              <w:rPr>
                <w:sz w:val="18"/>
                <w:szCs w:val="18"/>
              </w:rPr>
            </w:pPr>
            <w:r w:rsidRPr="004F5B42">
              <w:rPr>
                <w:sz w:val="18"/>
                <w:szCs w:val="18"/>
              </w:rPr>
              <w:fldChar w:fldCharType="begin"/>
            </w:r>
            <w:r w:rsidRPr="004F5B42">
              <w:rPr>
                <w:sz w:val="18"/>
                <w:szCs w:val="18"/>
              </w:rPr>
              <w:instrText xml:space="preserve"> REF _Ref22647651 \h </w:instrText>
            </w:r>
            <w:r>
              <w:rPr>
                <w:sz w:val="18"/>
                <w:szCs w:val="18"/>
              </w:rPr>
              <w:instrText xml:space="preserve"> \* MERGEFORMAT </w:instrText>
            </w:r>
            <w:r w:rsidRPr="004F5B42">
              <w:rPr>
                <w:sz w:val="18"/>
                <w:szCs w:val="18"/>
              </w:rPr>
            </w:r>
            <w:r w:rsidRPr="004F5B42">
              <w:rPr>
                <w:sz w:val="18"/>
                <w:szCs w:val="18"/>
              </w:rPr>
              <w:fldChar w:fldCharType="separate"/>
            </w:r>
            <w:r w:rsidRPr="008F2809">
              <w:rPr>
                <w:sz w:val="18"/>
                <w:szCs w:val="18"/>
              </w:rPr>
              <w:t>Figure 2 – Distribution of reported HCH-A scores: Dimensions 6 to 8</w:t>
            </w:r>
            <w:r w:rsidRPr="004F5B42">
              <w:rPr>
                <w:sz w:val="18"/>
                <w:szCs w:val="18"/>
              </w:rPr>
              <w:fldChar w:fldCharType="end"/>
            </w:r>
          </w:p>
          <w:p w14:paraId="21A0E3F6"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_Ref22638723 \h  \* MERGEFORMAT </w:instrText>
            </w:r>
            <w:r w:rsidRPr="00616E52">
              <w:rPr>
                <w:sz w:val="18"/>
                <w:szCs w:val="18"/>
              </w:rPr>
            </w:r>
            <w:r w:rsidRPr="00616E52">
              <w:rPr>
                <w:sz w:val="18"/>
                <w:szCs w:val="18"/>
              </w:rPr>
              <w:fldChar w:fldCharType="separate"/>
            </w:r>
            <w:r w:rsidRPr="008F2809">
              <w:rPr>
                <w:sz w:val="18"/>
                <w:szCs w:val="18"/>
              </w:rPr>
              <w:t>Table 34 – Consensus score agreed for each item of the HCH-A, baseline</w:t>
            </w:r>
            <w:r w:rsidRPr="00616E52">
              <w:rPr>
                <w:sz w:val="18"/>
                <w:szCs w:val="18"/>
              </w:rPr>
              <w:fldChar w:fldCharType="end"/>
            </w:r>
          </w:p>
          <w:p w14:paraId="34562105"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_Ref22638727 \h  \* MERGEFORMAT </w:instrText>
            </w:r>
            <w:r w:rsidRPr="00616E52">
              <w:rPr>
                <w:sz w:val="18"/>
                <w:szCs w:val="18"/>
              </w:rPr>
            </w:r>
            <w:r w:rsidRPr="00616E52">
              <w:rPr>
                <w:sz w:val="18"/>
                <w:szCs w:val="18"/>
              </w:rPr>
              <w:fldChar w:fldCharType="separate"/>
            </w:r>
            <w:r w:rsidRPr="008F2809">
              <w:rPr>
                <w:sz w:val="18"/>
                <w:szCs w:val="18"/>
              </w:rPr>
              <w:t>Table 35 – Number of people who participated in HCH-A, baseline</w:t>
            </w:r>
            <w:r w:rsidRPr="00616E52">
              <w:rPr>
                <w:sz w:val="18"/>
                <w:szCs w:val="18"/>
              </w:rPr>
              <w:fldChar w:fldCharType="end"/>
            </w:r>
          </w:p>
          <w:p w14:paraId="673D8FAF"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_Ref22638729 \h  \* MERGEFORMAT </w:instrText>
            </w:r>
            <w:r w:rsidRPr="00616E52">
              <w:rPr>
                <w:sz w:val="18"/>
                <w:szCs w:val="18"/>
              </w:rPr>
            </w:r>
            <w:r w:rsidRPr="00616E52">
              <w:rPr>
                <w:sz w:val="18"/>
                <w:szCs w:val="18"/>
              </w:rPr>
              <w:fldChar w:fldCharType="separate"/>
            </w:r>
            <w:r w:rsidRPr="008F2809">
              <w:rPr>
                <w:sz w:val="18"/>
                <w:szCs w:val="18"/>
              </w:rPr>
              <w:t>Table 36 – PHN practice facilitator assisted practice in the reaching consensus on HCH-A, baseline</w:t>
            </w:r>
            <w:r w:rsidRPr="00616E52">
              <w:rPr>
                <w:sz w:val="18"/>
                <w:szCs w:val="18"/>
              </w:rPr>
              <w:fldChar w:fldCharType="end"/>
            </w:r>
          </w:p>
        </w:tc>
      </w:tr>
      <w:tr w:rsidR="001C19F3" w:rsidRPr="00616E52" w14:paraId="51D34A06" w14:textId="77777777" w:rsidTr="00521305">
        <w:tc>
          <w:tcPr>
            <w:tcW w:w="9067" w:type="dxa"/>
            <w:shd w:val="clear" w:color="auto" w:fill="F2F2F2" w:themeFill="background1" w:themeFillShade="F2"/>
          </w:tcPr>
          <w:p w14:paraId="7D2D66F2" w14:textId="77777777" w:rsidR="001C19F3" w:rsidRPr="00616E52" w:rsidRDefault="001C19F3" w:rsidP="00521305">
            <w:pPr>
              <w:spacing w:after="0"/>
              <w:rPr>
                <w:b/>
                <w:sz w:val="18"/>
                <w:szCs w:val="18"/>
              </w:rPr>
            </w:pPr>
            <w:r w:rsidRPr="00616E52">
              <w:rPr>
                <w:b/>
                <w:sz w:val="18"/>
                <w:szCs w:val="18"/>
              </w:rPr>
              <w:t>Staff assessment of primary care team</w:t>
            </w:r>
          </w:p>
        </w:tc>
      </w:tr>
      <w:tr w:rsidR="001C19F3" w:rsidRPr="008F71D0" w14:paraId="3830801F" w14:textId="77777777" w:rsidTr="00521305">
        <w:tc>
          <w:tcPr>
            <w:tcW w:w="9067" w:type="dxa"/>
          </w:tcPr>
          <w:p w14:paraId="31CBA89D" w14:textId="77777777" w:rsidR="001C19F3" w:rsidRPr="004F5B42" w:rsidRDefault="001C19F3" w:rsidP="00521305">
            <w:pPr>
              <w:spacing w:after="0"/>
              <w:rPr>
                <w:i/>
                <w:sz w:val="18"/>
                <w:szCs w:val="18"/>
              </w:rPr>
            </w:pPr>
            <w:r w:rsidRPr="004F5B42">
              <w:rPr>
                <w:i/>
                <w:sz w:val="18"/>
                <w:szCs w:val="18"/>
              </w:rPr>
              <w:t xml:space="preserve">Volume 2 Main report: </w:t>
            </w:r>
          </w:p>
          <w:p w14:paraId="6D10601B" w14:textId="77777777" w:rsidR="001C19F3" w:rsidRPr="00521172" w:rsidRDefault="001C19F3" w:rsidP="00521305">
            <w:pPr>
              <w:ind w:left="731" w:hanging="567"/>
              <w:rPr>
                <w:sz w:val="18"/>
                <w:szCs w:val="18"/>
              </w:rPr>
            </w:pPr>
            <w:r w:rsidRPr="00521172">
              <w:rPr>
                <w:sz w:val="18"/>
                <w:szCs w:val="18"/>
              </w:rPr>
              <w:t xml:space="preserve">Figure 14 – </w:t>
            </w:r>
            <w:bookmarkStart w:id="474" w:name="_Hlk22645689"/>
            <w:r>
              <w:rPr>
                <w:sz w:val="18"/>
                <w:szCs w:val="18"/>
              </w:rPr>
              <w:t>Agreement with statements about t</w:t>
            </w:r>
            <w:r w:rsidRPr="00521172">
              <w:rPr>
                <w:sz w:val="18"/>
                <w:szCs w:val="18"/>
              </w:rPr>
              <w:t>he primary care team</w:t>
            </w:r>
            <w:bookmarkEnd w:id="474"/>
          </w:p>
          <w:p w14:paraId="2843DA2E" w14:textId="77777777" w:rsidR="001C19F3" w:rsidRPr="00616E52" w:rsidRDefault="001C19F3" w:rsidP="00521305">
            <w:pPr>
              <w:spacing w:after="0"/>
              <w:rPr>
                <w:sz w:val="18"/>
                <w:szCs w:val="18"/>
              </w:rPr>
            </w:pPr>
            <w:r w:rsidRPr="00616E52">
              <w:rPr>
                <w:i/>
                <w:sz w:val="18"/>
                <w:szCs w:val="18"/>
              </w:rPr>
              <w:t>Volume 4 Evaluation data supplement</w:t>
            </w:r>
          </w:p>
          <w:p w14:paraId="4E15DF9E"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_Ref22640701 \h  \* MERGEFORMAT </w:instrText>
            </w:r>
            <w:r w:rsidRPr="00616E52">
              <w:rPr>
                <w:sz w:val="18"/>
                <w:szCs w:val="18"/>
              </w:rPr>
            </w:r>
            <w:r w:rsidRPr="00616E52">
              <w:rPr>
                <w:sz w:val="18"/>
                <w:szCs w:val="18"/>
              </w:rPr>
              <w:fldChar w:fldCharType="separate"/>
            </w:r>
            <w:r w:rsidRPr="008F2809">
              <w:rPr>
                <w:sz w:val="18"/>
                <w:szCs w:val="18"/>
              </w:rPr>
              <w:t>Table 58 – Agreement with statements about the primary care team, baseline</w:t>
            </w:r>
            <w:r w:rsidRPr="00616E52">
              <w:rPr>
                <w:sz w:val="18"/>
                <w:szCs w:val="18"/>
              </w:rPr>
              <w:fldChar w:fldCharType="end"/>
            </w:r>
          </w:p>
        </w:tc>
      </w:tr>
      <w:tr w:rsidR="001C19F3" w:rsidRPr="00616E52" w14:paraId="77614887" w14:textId="77777777" w:rsidTr="00521305">
        <w:tc>
          <w:tcPr>
            <w:tcW w:w="9067" w:type="dxa"/>
            <w:shd w:val="clear" w:color="auto" w:fill="F2F2F2" w:themeFill="background1" w:themeFillShade="F2"/>
          </w:tcPr>
          <w:p w14:paraId="37B0094B" w14:textId="77777777" w:rsidR="001C19F3" w:rsidRPr="00616E52" w:rsidRDefault="001C19F3" w:rsidP="00521305">
            <w:pPr>
              <w:spacing w:after="0"/>
              <w:rPr>
                <w:b/>
                <w:sz w:val="18"/>
                <w:szCs w:val="18"/>
              </w:rPr>
            </w:pPr>
            <w:r w:rsidRPr="00616E52">
              <w:rPr>
                <w:b/>
                <w:sz w:val="18"/>
                <w:szCs w:val="18"/>
              </w:rPr>
              <w:t>Risk stratification</w:t>
            </w:r>
          </w:p>
        </w:tc>
      </w:tr>
      <w:tr w:rsidR="001C19F3" w:rsidRPr="008F71D0" w14:paraId="130A4C88" w14:textId="77777777" w:rsidTr="00521305">
        <w:tc>
          <w:tcPr>
            <w:tcW w:w="9067" w:type="dxa"/>
          </w:tcPr>
          <w:p w14:paraId="6A284B6A" w14:textId="77777777" w:rsidR="001C19F3" w:rsidRPr="009D5F6E" w:rsidRDefault="001C19F3" w:rsidP="00521305">
            <w:pPr>
              <w:spacing w:after="0"/>
              <w:rPr>
                <w:i/>
                <w:sz w:val="18"/>
                <w:szCs w:val="18"/>
              </w:rPr>
            </w:pPr>
            <w:r w:rsidRPr="009D5F6E">
              <w:rPr>
                <w:i/>
                <w:sz w:val="18"/>
                <w:szCs w:val="18"/>
              </w:rPr>
              <w:t xml:space="preserve">Volume 2 Main report: </w:t>
            </w:r>
          </w:p>
          <w:p w14:paraId="26E222C3" w14:textId="77777777" w:rsidR="001C19F3" w:rsidRPr="009D5F6E" w:rsidRDefault="001C19F3" w:rsidP="00521305">
            <w:pPr>
              <w:spacing w:after="0"/>
              <w:ind w:left="731" w:hanging="567"/>
              <w:rPr>
                <w:sz w:val="18"/>
                <w:szCs w:val="18"/>
              </w:rPr>
            </w:pPr>
            <w:r w:rsidRPr="009D5F6E">
              <w:rPr>
                <w:sz w:val="18"/>
                <w:szCs w:val="18"/>
              </w:rPr>
              <w:t>Table 39 – Practice rating of the risk stratification software and associated processes</w:t>
            </w:r>
          </w:p>
          <w:p w14:paraId="4C5C52FA" w14:textId="77777777" w:rsidR="001C19F3" w:rsidRPr="009D5F6E" w:rsidRDefault="001C19F3" w:rsidP="00521305">
            <w:pPr>
              <w:spacing w:after="0"/>
              <w:ind w:left="731" w:hanging="567"/>
              <w:rPr>
                <w:sz w:val="18"/>
                <w:szCs w:val="18"/>
              </w:rPr>
            </w:pPr>
            <w:r w:rsidRPr="009D5F6E">
              <w:rPr>
                <w:sz w:val="18"/>
                <w:szCs w:val="18"/>
              </w:rPr>
              <w:t>Table 40 – Assessment of how well the risk stratification tool (predictive risk model) identified patients suitable for enrolment in HCH</w:t>
            </w:r>
          </w:p>
          <w:p w14:paraId="0CE82D3F" w14:textId="77777777" w:rsidR="001C19F3" w:rsidRPr="009D5F6E" w:rsidRDefault="001C19F3" w:rsidP="00521305">
            <w:pPr>
              <w:spacing w:after="0"/>
              <w:ind w:left="731" w:hanging="567"/>
              <w:rPr>
                <w:sz w:val="18"/>
                <w:szCs w:val="18"/>
              </w:rPr>
            </w:pPr>
            <w:r w:rsidRPr="009D5F6E">
              <w:rPr>
                <w:sz w:val="18"/>
                <w:szCs w:val="18"/>
              </w:rPr>
              <w:t>Table 41 – Staff who mainly did the HARP assessments</w:t>
            </w:r>
          </w:p>
          <w:p w14:paraId="421C76FE" w14:textId="77777777" w:rsidR="001C19F3" w:rsidRPr="009D5F6E" w:rsidRDefault="001C19F3" w:rsidP="00521305">
            <w:pPr>
              <w:spacing w:after="0"/>
              <w:ind w:left="731" w:hanging="567"/>
              <w:rPr>
                <w:sz w:val="18"/>
                <w:szCs w:val="18"/>
              </w:rPr>
            </w:pPr>
            <w:r w:rsidRPr="009D5F6E">
              <w:rPr>
                <w:sz w:val="18"/>
                <w:szCs w:val="18"/>
              </w:rPr>
              <w:t>Table 42 – Assessment of whether patients mostly ended up in the right HCH tier</w:t>
            </w:r>
          </w:p>
          <w:p w14:paraId="590DD573" w14:textId="77777777" w:rsidR="001C19F3" w:rsidRPr="009D5F6E" w:rsidRDefault="001C19F3" w:rsidP="00521305">
            <w:pPr>
              <w:spacing w:after="0"/>
              <w:ind w:left="731" w:hanging="567"/>
              <w:rPr>
                <w:sz w:val="18"/>
                <w:szCs w:val="18"/>
              </w:rPr>
            </w:pPr>
            <w:r w:rsidRPr="009D5F6E">
              <w:rPr>
                <w:sz w:val="18"/>
                <w:szCs w:val="18"/>
              </w:rPr>
              <w:t>Table 43 – Usefulness of the HARP tool</w:t>
            </w:r>
          </w:p>
          <w:p w14:paraId="02C27B31" w14:textId="77777777" w:rsidR="001C19F3" w:rsidRPr="009D5F6E" w:rsidRDefault="001C19F3" w:rsidP="00521305">
            <w:pPr>
              <w:spacing w:after="0"/>
              <w:ind w:left="731" w:hanging="567"/>
              <w:rPr>
                <w:sz w:val="18"/>
                <w:szCs w:val="18"/>
              </w:rPr>
            </w:pPr>
            <w:r w:rsidRPr="009D5F6E">
              <w:rPr>
                <w:sz w:val="18"/>
                <w:szCs w:val="18"/>
              </w:rPr>
              <w:t>Table 44 – Suggestions for improving the assignment of patients to tiers (including responses from withdrawn practices)</w:t>
            </w:r>
          </w:p>
          <w:p w14:paraId="79FCB52E" w14:textId="77777777" w:rsidR="001C19F3" w:rsidRPr="009D5F6E" w:rsidRDefault="001C19F3" w:rsidP="00521305">
            <w:pPr>
              <w:ind w:left="731" w:hanging="567"/>
              <w:rPr>
                <w:sz w:val="18"/>
                <w:szCs w:val="18"/>
              </w:rPr>
            </w:pPr>
            <w:r w:rsidRPr="009D5F6E">
              <w:rPr>
                <w:sz w:val="18"/>
                <w:szCs w:val="18"/>
              </w:rPr>
              <w:t>Table 45 – Other ways in which the risk stratification software and associated processes could be improved (including responses from withdrawn practices)</w:t>
            </w:r>
          </w:p>
          <w:p w14:paraId="6EBF9042" w14:textId="77777777" w:rsidR="001C19F3" w:rsidRPr="00616E52" w:rsidRDefault="001C19F3" w:rsidP="00521305">
            <w:pPr>
              <w:spacing w:after="0"/>
              <w:rPr>
                <w:sz w:val="18"/>
                <w:szCs w:val="18"/>
              </w:rPr>
            </w:pPr>
            <w:r w:rsidRPr="00616E52">
              <w:rPr>
                <w:i/>
                <w:sz w:val="18"/>
                <w:szCs w:val="18"/>
              </w:rPr>
              <w:t>Volume 4 Evaluation data supplement</w:t>
            </w:r>
          </w:p>
          <w:p w14:paraId="460E3022" w14:textId="77777777" w:rsidR="001C19F3" w:rsidRDefault="001C19F3" w:rsidP="00521305">
            <w:pPr>
              <w:spacing w:after="0"/>
              <w:ind w:left="731" w:hanging="567"/>
              <w:rPr>
                <w:sz w:val="18"/>
                <w:szCs w:val="18"/>
              </w:rPr>
            </w:pPr>
            <w:r w:rsidRPr="0031336D">
              <w:rPr>
                <w:sz w:val="18"/>
                <w:szCs w:val="18"/>
              </w:rPr>
              <w:fldChar w:fldCharType="begin"/>
            </w:r>
            <w:r w:rsidRPr="0031336D">
              <w:rPr>
                <w:sz w:val="18"/>
                <w:szCs w:val="18"/>
              </w:rPr>
              <w:instrText xml:space="preserve"> REF _Ref22638786 \h  \* MERGEFORMAT </w:instrText>
            </w:r>
            <w:r w:rsidRPr="0031336D">
              <w:rPr>
                <w:sz w:val="18"/>
                <w:szCs w:val="18"/>
              </w:rPr>
            </w:r>
            <w:r w:rsidRPr="0031336D">
              <w:rPr>
                <w:sz w:val="18"/>
                <w:szCs w:val="18"/>
              </w:rPr>
              <w:fldChar w:fldCharType="separate"/>
            </w:r>
            <w:r w:rsidRPr="008F2809">
              <w:rPr>
                <w:sz w:val="18"/>
                <w:szCs w:val="18"/>
              </w:rPr>
              <w:t>Table 37 – Practice focused on enrolling patients in HCH with specific chronic illnesses</w:t>
            </w:r>
            <w:r w:rsidRPr="0031336D">
              <w:rPr>
                <w:sz w:val="18"/>
                <w:szCs w:val="18"/>
              </w:rPr>
              <w:fldChar w:fldCharType="end"/>
            </w:r>
          </w:p>
          <w:p w14:paraId="29596171" w14:textId="77777777" w:rsidR="001C19F3" w:rsidRPr="0031336D" w:rsidRDefault="001C19F3" w:rsidP="00521305">
            <w:pPr>
              <w:spacing w:after="0"/>
              <w:ind w:left="731" w:hanging="567"/>
              <w:rPr>
                <w:sz w:val="18"/>
                <w:szCs w:val="18"/>
              </w:rPr>
            </w:pPr>
            <w:r>
              <w:rPr>
                <w:sz w:val="18"/>
                <w:szCs w:val="18"/>
              </w:rPr>
              <w:fldChar w:fldCharType="begin"/>
            </w:r>
            <w:r>
              <w:rPr>
                <w:sz w:val="18"/>
                <w:szCs w:val="18"/>
              </w:rPr>
              <w:instrText xml:space="preserve"> REF _Ref27057443 \h  \* MERGEFORMAT </w:instrText>
            </w:r>
            <w:r>
              <w:rPr>
                <w:sz w:val="18"/>
                <w:szCs w:val="18"/>
              </w:rPr>
            </w:r>
            <w:r>
              <w:rPr>
                <w:sz w:val="18"/>
                <w:szCs w:val="18"/>
              </w:rPr>
              <w:fldChar w:fldCharType="separate"/>
            </w:r>
            <w:r w:rsidRPr="008F2809">
              <w:rPr>
                <w:sz w:val="18"/>
                <w:szCs w:val="18"/>
              </w:rPr>
              <w:t>Table 38 – Ease of use of the risk stratification software/ patient enrolment</w:t>
            </w:r>
            <w:r>
              <w:rPr>
                <w:sz w:val="18"/>
                <w:szCs w:val="18"/>
              </w:rPr>
              <w:fldChar w:fldCharType="end"/>
            </w:r>
            <w:r w:rsidRPr="0031336D">
              <w:rPr>
                <w:sz w:val="18"/>
                <w:szCs w:val="18"/>
              </w:rPr>
              <w:t xml:space="preserve"> </w:t>
            </w:r>
          </w:p>
          <w:p w14:paraId="64FC04C4" w14:textId="77777777" w:rsidR="001C19F3" w:rsidRPr="0031336D" w:rsidRDefault="001C19F3" w:rsidP="00521305">
            <w:pPr>
              <w:spacing w:after="0"/>
              <w:ind w:left="731" w:hanging="567"/>
              <w:rPr>
                <w:sz w:val="18"/>
                <w:szCs w:val="18"/>
              </w:rPr>
            </w:pPr>
            <w:r w:rsidRPr="0031336D">
              <w:rPr>
                <w:sz w:val="18"/>
                <w:szCs w:val="18"/>
              </w:rPr>
              <w:fldChar w:fldCharType="begin"/>
            </w:r>
            <w:r w:rsidRPr="0031336D">
              <w:rPr>
                <w:sz w:val="18"/>
                <w:szCs w:val="18"/>
              </w:rPr>
              <w:instrText xml:space="preserve"> REF _Ref22638805 \h  \* MERGEFORMAT </w:instrText>
            </w:r>
            <w:r w:rsidRPr="0031336D">
              <w:rPr>
                <w:sz w:val="18"/>
                <w:szCs w:val="18"/>
              </w:rPr>
            </w:r>
            <w:r w:rsidRPr="0031336D">
              <w:rPr>
                <w:sz w:val="18"/>
                <w:szCs w:val="18"/>
              </w:rPr>
              <w:fldChar w:fldCharType="separate"/>
            </w:r>
            <w:r w:rsidRPr="008F2809">
              <w:rPr>
                <w:sz w:val="18"/>
                <w:szCs w:val="18"/>
              </w:rPr>
              <w:t>Table 39 – Did the practice use the GP override function</w:t>
            </w:r>
            <w:r w:rsidRPr="0031336D">
              <w:rPr>
                <w:sz w:val="18"/>
                <w:szCs w:val="18"/>
              </w:rPr>
              <w:fldChar w:fldCharType="end"/>
            </w:r>
          </w:p>
          <w:p w14:paraId="334FAF71"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_Ref22638826 \h  \* MERGEFORMAT </w:instrText>
            </w:r>
            <w:r w:rsidRPr="00616E52">
              <w:rPr>
                <w:sz w:val="18"/>
                <w:szCs w:val="18"/>
              </w:rPr>
            </w:r>
            <w:r w:rsidRPr="00616E52">
              <w:rPr>
                <w:sz w:val="18"/>
                <w:szCs w:val="18"/>
              </w:rPr>
              <w:fldChar w:fldCharType="separate"/>
            </w:r>
            <w:r w:rsidRPr="008F2809">
              <w:rPr>
                <w:sz w:val="18"/>
                <w:szCs w:val="18"/>
              </w:rPr>
              <w:t>Table 40 – Usefulness of the HARP tool/ My Health Record</w:t>
            </w:r>
            <w:r w:rsidRPr="00616E52">
              <w:rPr>
                <w:sz w:val="18"/>
                <w:szCs w:val="18"/>
              </w:rPr>
              <w:fldChar w:fldCharType="end"/>
            </w:r>
          </w:p>
        </w:tc>
      </w:tr>
      <w:tr w:rsidR="001C19F3" w:rsidRPr="00616E52" w14:paraId="23873B4E" w14:textId="77777777" w:rsidTr="00521305">
        <w:tc>
          <w:tcPr>
            <w:tcW w:w="9067" w:type="dxa"/>
            <w:shd w:val="clear" w:color="auto" w:fill="F2F2F2" w:themeFill="background1" w:themeFillShade="F2"/>
          </w:tcPr>
          <w:p w14:paraId="0D26C604" w14:textId="77777777" w:rsidR="001C19F3" w:rsidRPr="00616E52" w:rsidRDefault="001C19F3" w:rsidP="00521305">
            <w:pPr>
              <w:spacing w:after="0"/>
              <w:rPr>
                <w:b/>
                <w:sz w:val="18"/>
                <w:szCs w:val="18"/>
              </w:rPr>
            </w:pPr>
            <w:r w:rsidRPr="00616E52">
              <w:rPr>
                <w:b/>
                <w:sz w:val="18"/>
                <w:szCs w:val="18"/>
              </w:rPr>
              <w:t>Enrolment</w:t>
            </w:r>
          </w:p>
        </w:tc>
      </w:tr>
      <w:tr w:rsidR="001C19F3" w:rsidRPr="008F71D0" w14:paraId="2863E0D6" w14:textId="77777777" w:rsidTr="00521305">
        <w:trPr>
          <w:trHeight w:val="70"/>
        </w:trPr>
        <w:tc>
          <w:tcPr>
            <w:tcW w:w="9067" w:type="dxa"/>
          </w:tcPr>
          <w:p w14:paraId="15FAED7D" w14:textId="77777777" w:rsidR="001C19F3" w:rsidRPr="009D5F6E" w:rsidRDefault="001C19F3" w:rsidP="00521305">
            <w:pPr>
              <w:spacing w:after="0"/>
              <w:rPr>
                <w:i/>
                <w:sz w:val="18"/>
                <w:szCs w:val="18"/>
              </w:rPr>
            </w:pPr>
            <w:r w:rsidRPr="009D5F6E">
              <w:rPr>
                <w:i/>
                <w:sz w:val="18"/>
                <w:szCs w:val="18"/>
              </w:rPr>
              <w:t xml:space="preserve">Volume 2 Main report: </w:t>
            </w:r>
          </w:p>
          <w:p w14:paraId="56759931" w14:textId="77777777" w:rsidR="001C19F3" w:rsidRPr="009D5F6E" w:rsidRDefault="001C19F3" w:rsidP="00521305">
            <w:pPr>
              <w:spacing w:after="0"/>
              <w:ind w:left="731" w:hanging="567"/>
              <w:rPr>
                <w:sz w:val="18"/>
                <w:szCs w:val="18"/>
              </w:rPr>
            </w:pPr>
            <w:r w:rsidRPr="009D5F6E">
              <w:rPr>
                <w:sz w:val="18"/>
                <w:szCs w:val="18"/>
              </w:rPr>
              <w:t>Table 17 – Main factors that practice/GP decided not to approach some of the patients flagged by the risk stratification tool (including responses from withdrawn practices)</w:t>
            </w:r>
          </w:p>
          <w:p w14:paraId="7882E342" w14:textId="77777777" w:rsidR="001C19F3" w:rsidRDefault="001C19F3" w:rsidP="00521305">
            <w:pPr>
              <w:spacing w:after="0"/>
              <w:ind w:left="731" w:hanging="567"/>
              <w:rPr>
                <w:sz w:val="18"/>
                <w:szCs w:val="18"/>
              </w:rPr>
            </w:pPr>
            <w:r w:rsidRPr="009D5F6E">
              <w:rPr>
                <w:sz w:val="18"/>
                <w:szCs w:val="18"/>
              </w:rPr>
              <w:t>Table 18 – Main reasons why patients approached to enrol in HCH opted not to (including responses from withdrawn practices)</w:t>
            </w:r>
          </w:p>
          <w:p w14:paraId="505561D9" w14:textId="77777777" w:rsidR="001C19F3" w:rsidRDefault="001C19F3" w:rsidP="00521305">
            <w:pPr>
              <w:spacing w:after="0"/>
              <w:ind w:left="731" w:hanging="567"/>
              <w:rPr>
                <w:sz w:val="18"/>
                <w:szCs w:val="18"/>
              </w:rPr>
            </w:pPr>
            <w:r w:rsidRPr="00390ABD">
              <w:rPr>
                <w:sz w:val="18"/>
                <w:szCs w:val="18"/>
              </w:rPr>
              <w:lastRenderedPageBreak/>
              <w:t>Table 19 – Rating of administrative processes for enrolling patients in HCH</w:t>
            </w:r>
          </w:p>
          <w:p w14:paraId="769799DF" w14:textId="77777777" w:rsidR="001C19F3" w:rsidRPr="009D5F6E" w:rsidRDefault="001C19F3" w:rsidP="00521305">
            <w:pPr>
              <w:ind w:left="731" w:hanging="567"/>
              <w:rPr>
                <w:sz w:val="18"/>
                <w:szCs w:val="18"/>
              </w:rPr>
            </w:pPr>
            <w:r w:rsidRPr="009D5F6E">
              <w:rPr>
                <w:sz w:val="18"/>
                <w:szCs w:val="18"/>
              </w:rPr>
              <w:t>Table 20 – Suggestions for improving the enrolment process (including responses from withdrawn practices)</w:t>
            </w:r>
          </w:p>
          <w:p w14:paraId="30F6EA43" w14:textId="77777777" w:rsidR="001C19F3" w:rsidRPr="00616E52" w:rsidRDefault="001C19F3" w:rsidP="00521305">
            <w:pPr>
              <w:spacing w:after="0"/>
              <w:rPr>
                <w:sz w:val="18"/>
                <w:szCs w:val="18"/>
              </w:rPr>
            </w:pPr>
            <w:r w:rsidRPr="00616E52">
              <w:rPr>
                <w:i/>
                <w:sz w:val="18"/>
                <w:szCs w:val="18"/>
              </w:rPr>
              <w:t>Volume 4 Evaluation data supplement</w:t>
            </w:r>
          </w:p>
          <w:p w14:paraId="0B85D5B3"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_Ref22638854 \h  \* MERGEFORMAT </w:instrText>
            </w:r>
            <w:r w:rsidRPr="00616E52">
              <w:rPr>
                <w:sz w:val="18"/>
                <w:szCs w:val="18"/>
              </w:rPr>
            </w:r>
            <w:r w:rsidRPr="00616E52">
              <w:rPr>
                <w:sz w:val="18"/>
                <w:szCs w:val="18"/>
              </w:rPr>
              <w:fldChar w:fldCharType="separate"/>
            </w:r>
            <w:r w:rsidRPr="008F2809">
              <w:rPr>
                <w:sz w:val="18"/>
                <w:szCs w:val="18"/>
              </w:rPr>
              <w:t>Table 41 – Percentage of patients approached to enroll in HCH who actually enrolled (including responses from withdrawn practices)</w:t>
            </w:r>
            <w:r w:rsidRPr="00616E52">
              <w:rPr>
                <w:sz w:val="18"/>
                <w:szCs w:val="18"/>
              </w:rPr>
              <w:fldChar w:fldCharType="end"/>
            </w:r>
          </w:p>
        </w:tc>
      </w:tr>
      <w:tr w:rsidR="001C19F3" w:rsidRPr="00616E52" w14:paraId="35F3BDE4" w14:textId="77777777" w:rsidTr="00521305">
        <w:tc>
          <w:tcPr>
            <w:tcW w:w="9067" w:type="dxa"/>
            <w:shd w:val="clear" w:color="auto" w:fill="F2F2F2" w:themeFill="background1" w:themeFillShade="F2"/>
          </w:tcPr>
          <w:p w14:paraId="1AB53D0C" w14:textId="77777777" w:rsidR="001C19F3" w:rsidRPr="00616E52" w:rsidRDefault="001C19F3" w:rsidP="00521305">
            <w:pPr>
              <w:spacing w:after="0"/>
              <w:rPr>
                <w:b/>
                <w:sz w:val="18"/>
                <w:szCs w:val="18"/>
              </w:rPr>
            </w:pPr>
            <w:r>
              <w:rPr>
                <w:b/>
                <w:sz w:val="18"/>
                <w:szCs w:val="18"/>
              </w:rPr>
              <w:lastRenderedPageBreak/>
              <w:t>Working as a team</w:t>
            </w:r>
          </w:p>
        </w:tc>
      </w:tr>
      <w:tr w:rsidR="001C19F3" w:rsidRPr="008F71D0" w14:paraId="0EFCC0C3" w14:textId="77777777" w:rsidTr="00521305">
        <w:trPr>
          <w:trHeight w:val="70"/>
        </w:trPr>
        <w:tc>
          <w:tcPr>
            <w:tcW w:w="9067" w:type="dxa"/>
          </w:tcPr>
          <w:p w14:paraId="62C8A712" w14:textId="77777777" w:rsidR="001C19F3" w:rsidRPr="00616E52" w:rsidRDefault="001C19F3" w:rsidP="00521305">
            <w:pPr>
              <w:spacing w:after="0"/>
              <w:rPr>
                <w:sz w:val="18"/>
                <w:szCs w:val="18"/>
              </w:rPr>
            </w:pPr>
            <w:r w:rsidRPr="00616E52">
              <w:rPr>
                <w:i/>
                <w:sz w:val="18"/>
                <w:szCs w:val="18"/>
              </w:rPr>
              <w:t>Volume 4 Evaluation data supplement:</w:t>
            </w:r>
          </w:p>
          <w:p w14:paraId="46BE562C" w14:textId="77777777" w:rsidR="001C19F3" w:rsidRPr="00397585" w:rsidRDefault="001C19F3" w:rsidP="00521305">
            <w:pPr>
              <w:ind w:left="731" w:hanging="567"/>
              <w:rPr>
                <w:sz w:val="18"/>
                <w:szCs w:val="18"/>
              </w:rPr>
            </w:pPr>
            <w:r>
              <w:rPr>
                <w:sz w:val="18"/>
                <w:szCs w:val="18"/>
              </w:rPr>
              <w:fldChar w:fldCharType="begin"/>
            </w:r>
            <w:r>
              <w:rPr>
                <w:sz w:val="18"/>
                <w:szCs w:val="18"/>
              </w:rPr>
              <w:instrText xml:space="preserve"> REF _Ref527998210 \h  \* MERGEFORMAT </w:instrText>
            </w:r>
            <w:r>
              <w:rPr>
                <w:sz w:val="18"/>
                <w:szCs w:val="18"/>
              </w:rPr>
            </w:r>
            <w:r>
              <w:rPr>
                <w:sz w:val="18"/>
                <w:szCs w:val="18"/>
              </w:rPr>
              <w:fldChar w:fldCharType="separate"/>
            </w:r>
            <w:r w:rsidRPr="008F2809">
              <w:rPr>
                <w:sz w:val="18"/>
                <w:szCs w:val="18"/>
              </w:rPr>
              <w:t>Figure 8 – Staff perspectives on working as a team</w:t>
            </w:r>
            <w:r>
              <w:rPr>
                <w:sz w:val="18"/>
                <w:szCs w:val="18"/>
              </w:rPr>
              <w:fldChar w:fldCharType="end"/>
            </w:r>
          </w:p>
        </w:tc>
      </w:tr>
      <w:tr w:rsidR="001C19F3" w:rsidRPr="00616E52" w14:paraId="4F9FDBD5" w14:textId="77777777" w:rsidTr="00521305">
        <w:tc>
          <w:tcPr>
            <w:tcW w:w="9067" w:type="dxa"/>
            <w:shd w:val="clear" w:color="auto" w:fill="F2F2F2" w:themeFill="background1" w:themeFillShade="F2"/>
          </w:tcPr>
          <w:p w14:paraId="117BA61A" w14:textId="77777777" w:rsidR="001C19F3" w:rsidRPr="00616E52" w:rsidRDefault="001C19F3" w:rsidP="00521305">
            <w:pPr>
              <w:spacing w:after="0"/>
              <w:rPr>
                <w:b/>
                <w:sz w:val="18"/>
                <w:szCs w:val="18"/>
              </w:rPr>
            </w:pPr>
            <w:r w:rsidRPr="00616E52">
              <w:rPr>
                <w:b/>
                <w:sz w:val="18"/>
                <w:szCs w:val="18"/>
              </w:rPr>
              <w:t>Care planning and shared care planning</w:t>
            </w:r>
          </w:p>
        </w:tc>
      </w:tr>
      <w:tr w:rsidR="001C19F3" w:rsidRPr="004A2357" w14:paraId="01F2B6D9" w14:textId="77777777" w:rsidTr="00521305">
        <w:tc>
          <w:tcPr>
            <w:tcW w:w="9067" w:type="dxa"/>
          </w:tcPr>
          <w:p w14:paraId="42C1508C" w14:textId="77777777" w:rsidR="001C19F3" w:rsidRPr="009D5F6E" w:rsidRDefault="001C19F3" w:rsidP="00521305">
            <w:pPr>
              <w:spacing w:after="0"/>
              <w:rPr>
                <w:i/>
                <w:sz w:val="18"/>
                <w:szCs w:val="18"/>
              </w:rPr>
            </w:pPr>
            <w:r w:rsidRPr="009D5F6E">
              <w:rPr>
                <w:i/>
                <w:sz w:val="18"/>
                <w:szCs w:val="18"/>
              </w:rPr>
              <w:t xml:space="preserve">Volume 2 Main report: </w:t>
            </w:r>
          </w:p>
          <w:p w14:paraId="0D3BE05B" w14:textId="77777777" w:rsidR="001C19F3" w:rsidRDefault="001C19F3" w:rsidP="00521305">
            <w:pPr>
              <w:ind w:left="731" w:hanging="567"/>
              <w:rPr>
                <w:sz w:val="18"/>
                <w:szCs w:val="18"/>
              </w:rPr>
            </w:pPr>
            <w:r w:rsidRPr="009D5F6E">
              <w:rPr>
                <w:sz w:val="18"/>
                <w:szCs w:val="18"/>
              </w:rPr>
              <w:t xml:space="preserve">Table 47 – </w:t>
            </w:r>
            <w:r w:rsidRPr="00390ABD">
              <w:rPr>
                <w:sz w:val="18"/>
                <w:szCs w:val="18"/>
              </w:rPr>
              <w:t>Main ways that the practice shares care plans with clinicians outside the practice involved in the care of the patient (multiple may apply)</w:t>
            </w:r>
            <w:r w:rsidRPr="009D5F6E">
              <w:rPr>
                <w:sz w:val="18"/>
                <w:szCs w:val="18"/>
              </w:rPr>
              <w:t xml:space="preserve"> </w:t>
            </w:r>
          </w:p>
          <w:p w14:paraId="4D1AC033" w14:textId="77777777" w:rsidR="001C19F3" w:rsidRPr="00B45C8B" w:rsidRDefault="001C19F3" w:rsidP="00521305">
            <w:pPr>
              <w:spacing w:after="0"/>
              <w:rPr>
                <w:i/>
                <w:sz w:val="18"/>
                <w:szCs w:val="18"/>
              </w:rPr>
            </w:pPr>
            <w:r w:rsidRPr="00B45C8B">
              <w:rPr>
                <w:i/>
                <w:sz w:val="18"/>
                <w:szCs w:val="18"/>
              </w:rPr>
              <w:t xml:space="preserve">Volume 4 Evaluation data supplement: </w:t>
            </w:r>
          </w:p>
          <w:p w14:paraId="164C46C3"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_Ref22640134 \h  \* MERGEFORMAT </w:instrText>
            </w:r>
            <w:r w:rsidRPr="00616E52">
              <w:rPr>
                <w:sz w:val="18"/>
                <w:szCs w:val="18"/>
              </w:rPr>
            </w:r>
            <w:r w:rsidRPr="00616E52">
              <w:rPr>
                <w:sz w:val="18"/>
                <w:szCs w:val="18"/>
              </w:rPr>
              <w:fldChar w:fldCharType="separate"/>
            </w:r>
            <w:r w:rsidRPr="008F2809">
              <w:rPr>
                <w:sz w:val="18"/>
                <w:szCs w:val="18"/>
              </w:rPr>
              <w:t>Table 42 – Did processes for shared care planning and review change from before HCH</w:t>
            </w:r>
            <w:r w:rsidRPr="00616E52">
              <w:rPr>
                <w:sz w:val="18"/>
                <w:szCs w:val="18"/>
              </w:rPr>
              <w:fldChar w:fldCharType="end"/>
            </w:r>
          </w:p>
          <w:p w14:paraId="07435F57"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_Ref22640141 \h  \* MERGEFORMAT </w:instrText>
            </w:r>
            <w:r w:rsidRPr="00616E52">
              <w:rPr>
                <w:sz w:val="18"/>
                <w:szCs w:val="18"/>
              </w:rPr>
            </w:r>
            <w:r w:rsidRPr="00616E52">
              <w:rPr>
                <w:sz w:val="18"/>
                <w:szCs w:val="18"/>
              </w:rPr>
              <w:fldChar w:fldCharType="separate"/>
            </w:r>
            <w:r w:rsidRPr="008F2809">
              <w:rPr>
                <w:sz w:val="18"/>
                <w:szCs w:val="18"/>
              </w:rPr>
              <w:t>Table 43 – Main ways in which shared care planning and review processes changed following HCH implementation</w:t>
            </w:r>
            <w:r w:rsidRPr="00616E52">
              <w:rPr>
                <w:sz w:val="18"/>
                <w:szCs w:val="18"/>
              </w:rPr>
              <w:fldChar w:fldCharType="end"/>
            </w:r>
          </w:p>
          <w:p w14:paraId="3EAD3E6F"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_Ref22640148 \h  \* MERGEFORMAT </w:instrText>
            </w:r>
            <w:r w:rsidRPr="00616E52">
              <w:rPr>
                <w:sz w:val="18"/>
                <w:szCs w:val="18"/>
              </w:rPr>
            </w:r>
            <w:r w:rsidRPr="00616E52">
              <w:rPr>
                <w:sz w:val="18"/>
                <w:szCs w:val="18"/>
              </w:rPr>
              <w:fldChar w:fldCharType="separate"/>
            </w:r>
            <w:r w:rsidRPr="008F2809">
              <w:rPr>
                <w:sz w:val="18"/>
                <w:szCs w:val="18"/>
              </w:rPr>
              <w:t>Table 44 – Main ways that the practice shares care plans with HCH patients and their carers or family (multiple may apply)</w:t>
            </w:r>
            <w:r w:rsidRPr="00616E52">
              <w:rPr>
                <w:sz w:val="18"/>
                <w:szCs w:val="18"/>
              </w:rPr>
              <w:fldChar w:fldCharType="end"/>
            </w:r>
          </w:p>
          <w:p w14:paraId="1740FA26"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_Ref22640154 \h  \* MERGEFORMAT </w:instrText>
            </w:r>
            <w:r w:rsidRPr="00616E52">
              <w:rPr>
                <w:sz w:val="18"/>
                <w:szCs w:val="18"/>
              </w:rPr>
            </w:r>
            <w:r w:rsidRPr="00616E52">
              <w:rPr>
                <w:sz w:val="18"/>
                <w:szCs w:val="18"/>
              </w:rPr>
              <w:fldChar w:fldCharType="separate"/>
            </w:r>
            <w:r w:rsidRPr="008F2809">
              <w:rPr>
                <w:sz w:val="18"/>
                <w:szCs w:val="18"/>
              </w:rPr>
              <w:t>Table 45 – Main ways that the practice shares care plans with clinicians outside the practice involved in the care of the patient (multiple may apply)</w:t>
            </w:r>
            <w:r w:rsidRPr="00616E52">
              <w:rPr>
                <w:sz w:val="18"/>
                <w:szCs w:val="18"/>
              </w:rPr>
              <w:fldChar w:fldCharType="end"/>
            </w:r>
          </w:p>
          <w:p w14:paraId="32C944C5"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_Ref22640160 \h  \* MERGEFORMAT </w:instrText>
            </w:r>
            <w:r w:rsidRPr="00616E52">
              <w:rPr>
                <w:sz w:val="18"/>
                <w:szCs w:val="18"/>
              </w:rPr>
            </w:r>
            <w:r w:rsidRPr="00616E52">
              <w:rPr>
                <w:sz w:val="18"/>
                <w:szCs w:val="18"/>
              </w:rPr>
              <w:fldChar w:fldCharType="separate"/>
            </w:r>
            <w:r w:rsidRPr="008F2809">
              <w:rPr>
                <w:sz w:val="18"/>
                <w:szCs w:val="18"/>
              </w:rPr>
              <w:t>Table 46 – Shared care planning software implemented by practice</w:t>
            </w:r>
            <w:r w:rsidRPr="00616E52">
              <w:rPr>
                <w:sz w:val="18"/>
                <w:szCs w:val="18"/>
              </w:rPr>
              <w:fldChar w:fldCharType="end"/>
            </w:r>
          </w:p>
          <w:p w14:paraId="6E5FFF8C" w14:textId="77777777" w:rsidR="001C19F3"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_Ref22640168 \h  \* MERGEFORMAT </w:instrText>
            </w:r>
            <w:r w:rsidRPr="00616E52">
              <w:rPr>
                <w:sz w:val="18"/>
                <w:szCs w:val="18"/>
              </w:rPr>
            </w:r>
            <w:r w:rsidRPr="00616E52">
              <w:rPr>
                <w:sz w:val="18"/>
                <w:szCs w:val="18"/>
              </w:rPr>
              <w:fldChar w:fldCharType="separate"/>
            </w:r>
            <w:r w:rsidRPr="008F2809">
              <w:rPr>
                <w:sz w:val="18"/>
                <w:szCs w:val="18"/>
              </w:rPr>
              <w:t xml:space="preserve">Table 47 – Ease of using My Health Record for sharing care plans with other clinicians outside the practice </w:t>
            </w:r>
            <w:r w:rsidRPr="00616E52">
              <w:rPr>
                <w:sz w:val="18"/>
                <w:szCs w:val="18"/>
              </w:rPr>
              <w:fldChar w:fldCharType="end"/>
            </w:r>
          </w:p>
          <w:p w14:paraId="73DB90B9" w14:textId="77777777" w:rsidR="001C19F3"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_Ref22640241 \h  \* MERGEFORMAT </w:instrText>
            </w:r>
            <w:r w:rsidRPr="00616E52">
              <w:rPr>
                <w:sz w:val="18"/>
                <w:szCs w:val="18"/>
              </w:rPr>
            </w:r>
            <w:r w:rsidRPr="00616E52">
              <w:rPr>
                <w:sz w:val="18"/>
                <w:szCs w:val="18"/>
              </w:rPr>
              <w:fldChar w:fldCharType="separate"/>
            </w:r>
            <w:r w:rsidRPr="008F2809">
              <w:rPr>
                <w:sz w:val="18"/>
                <w:szCs w:val="18"/>
              </w:rPr>
              <w:t>Table 48 – Practice has a standardised tool for assessing level of activation for HCH patients</w:t>
            </w:r>
            <w:r w:rsidRPr="00616E52">
              <w:rPr>
                <w:sz w:val="18"/>
                <w:szCs w:val="18"/>
              </w:rPr>
              <w:fldChar w:fldCharType="end"/>
            </w:r>
          </w:p>
          <w:p w14:paraId="494BF494" w14:textId="77777777" w:rsidR="001C19F3" w:rsidRPr="00616E52" w:rsidRDefault="001C19F3" w:rsidP="00521305">
            <w:pPr>
              <w:ind w:left="731" w:hanging="567"/>
              <w:rPr>
                <w:sz w:val="18"/>
                <w:szCs w:val="18"/>
              </w:rPr>
            </w:pPr>
            <w:r>
              <w:rPr>
                <w:sz w:val="18"/>
                <w:szCs w:val="18"/>
              </w:rPr>
              <w:fldChar w:fldCharType="begin"/>
            </w:r>
            <w:r>
              <w:rPr>
                <w:sz w:val="18"/>
                <w:szCs w:val="18"/>
              </w:rPr>
              <w:instrText xml:space="preserve"> REF _Ref22650539 \h  \* MERGEFORMAT </w:instrText>
            </w:r>
            <w:r>
              <w:rPr>
                <w:sz w:val="18"/>
                <w:szCs w:val="18"/>
              </w:rPr>
            </w:r>
            <w:r>
              <w:rPr>
                <w:sz w:val="18"/>
                <w:szCs w:val="18"/>
              </w:rPr>
              <w:fldChar w:fldCharType="separate"/>
            </w:r>
            <w:r w:rsidRPr="008F2809">
              <w:rPr>
                <w:sz w:val="18"/>
                <w:szCs w:val="18"/>
              </w:rPr>
              <w:t>Figure 10 – Staff perspectives on planning care for and with patients</w:t>
            </w:r>
            <w:r>
              <w:rPr>
                <w:sz w:val="18"/>
                <w:szCs w:val="18"/>
              </w:rPr>
              <w:fldChar w:fldCharType="end"/>
            </w:r>
          </w:p>
        </w:tc>
      </w:tr>
      <w:tr w:rsidR="001C19F3" w:rsidRPr="009D5F6E" w14:paraId="32F5C42D" w14:textId="77777777" w:rsidTr="00521305">
        <w:tc>
          <w:tcPr>
            <w:tcW w:w="9067" w:type="dxa"/>
            <w:shd w:val="clear" w:color="auto" w:fill="F2F2F2" w:themeFill="background1" w:themeFillShade="F2"/>
          </w:tcPr>
          <w:p w14:paraId="575D5795" w14:textId="77777777" w:rsidR="001C19F3" w:rsidRPr="009D5F6E" w:rsidRDefault="001C19F3" w:rsidP="00521305">
            <w:pPr>
              <w:spacing w:after="0"/>
              <w:rPr>
                <w:b/>
                <w:sz w:val="18"/>
                <w:szCs w:val="18"/>
              </w:rPr>
            </w:pPr>
            <w:r>
              <w:rPr>
                <w:b/>
                <w:sz w:val="18"/>
                <w:szCs w:val="18"/>
              </w:rPr>
              <w:t>Coordination of care</w:t>
            </w:r>
          </w:p>
        </w:tc>
      </w:tr>
      <w:tr w:rsidR="001C19F3" w:rsidRPr="004A2357" w14:paraId="745EAEDD" w14:textId="77777777" w:rsidTr="00521305">
        <w:tc>
          <w:tcPr>
            <w:tcW w:w="9067" w:type="dxa"/>
          </w:tcPr>
          <w:p w14:paraId="1973C30C" w14:textId="77777777" w:rsidR="001C19F3" w:rsidRDefault="001C19F3" w:rsidP="00521305">
            <w:pPr>
              <w:spacing w:after="0"/>
              <w:rPr>
                <w:i/>
                <w:sz w:val="18"/>
                <w:szCs w:val="18"/>
              </w:rPr>
            </w:pPr>
            <w:r w:rsidRPr="00616E52">
              <w:rPr>
                <w:i/>
                <w:sz w:val="18"/>
                <w:szCs w:val="18"/>
              </w:rPr>
              <w:t>Volume 4 Evaluation data supplement: Appendix 1:</w:t>
            </w:r>
          </w:p>
          <w:p w14:paraId="090E6EE4" w14:textId="77777777" w:rsidR="001C19F3" w:rsidRPr="00616E52" w:rsidRDefault="001C19F3" w:rsidP="00521305">
            <w:pPr>
              <w:spacing w:after="0"/>
              <w:ind w:left="731" w:hanging="567"/>
              <w:rPr>
                <w:sz w:val="18"/>
                <w:szCs w:val="18"/>
              </w:rPr>
            </w:pPr>
            <w:r>
              <w:rPr>
                <w:sz w:val="18"/>
                <w:szCs w:val="18"/>
              </w:rPr>
              <w:fldChar w:fldCharType="begin"/>
            </w:r>
            <w:r>
              <w:rPr>
                <w:sz w:val="18"/>
                <w:szCs w:val="18"/>
              </w:rPr>
              <w:instrText xml:space="preserve"> REF _Ref22650542 \h  \* MERGEFORMAT </w:instrText>
            </w:r>
            <w:r>
              <w:rPr>
                <w:sz w:val="18"/>
                <w:szCs w:val="18"/>
              </w:rPr>
            </w:r>
            <w:r>
              <w:rPr>
                <w:sz w:val="18"/>
                <w:szCs w:val="18"/>
              </w:rPr>
              <w:fldChar w:fldCharType="separate"/>
            </w:r>
            <w:r w:rsidRPr="008F2809">
              <w:rPr>
                <w:sz w:val="18"/>
                <w:szCs w:val="18"/>
              </w:rPr>
              <w:t>Figure 11 – Staff perspectives on use of additional supportive services for patients</w:t>
            </w:r>
            <w:r>
              <w:rPr>
                <w:sz w:val="18"/>
                <w:szCs w:val="18"/>
              </w:rPr>
              <w:fldChar w:fldCharType="end"/>
            </w:r>
          </w:p>
          <w:p w14:paraId="09C0D7E7" w14:textId="77777777" w:rsidR="001C19F3" w:rsidRDefault="001C19F3" w:rsidP="00521305">
            <w:pPr>
              <w:spacing w:after="0"/>
              <w:ind w:left="731" w:hanging="567"/>
              <w:rPr>
                <w:sz w:val="18"/>
                <w:szCs w:val="18"/>
              </w:rPr>
            </w:pPr>
            <w:r>
              <w:rPr>
                <w:sz w:val="18"/>
                <w:szCs w:val="18"/>
              </w:rPr>
              <w:fldChar w:fldCharType="begin"/>
            </w:r>
            <w:r>
              <w:rPr>
                <w:sz w:val="18"/>
                <w:szCs w:val="18"/>
              </w:rPr>
              <w:instrText xml:space="preserve"> REF _Ref22650552 \h  \* MERGEFORMAT </w:instrText>
            </w:r>
            <w:r>
              <w:rPr>
                <w:sz w:val="18"/>
                <w:szCs w:val="18"/>
              </w:rPr>
            </w:r>
            <w:r>
              <w:rPr>
                <w:sz w:val="18"/>
                <w:szCs w:val="18"/>
              </w:rPr>
              <w:fldChar w:fldCharType="separate"/>
            </w:r>
            <w:r w:rsidRPr="008F2809">
              <w:rPr>
                <w:sz w:val="18"/>
                <w:szCs w:val="18"/>
              </w:rPr>
              <w:t>Figure 12 – Staff perspectives on communications with medical specialists</w:t>
            </w:r>
            <w:r>
              <w:rPr>
                <w:sz w:val="18"/>
                <w:szCs w:val="18"/>
              </w:rPr>
              <w:fldChar w:fldCharType="end"/>
            </w:r>
          </w:p>
          <w:p w14:paraId="46277FCD" w14:textId="77777777" w:rsidR="001C19F3" w:rsidRPr="009D5F6E" w:rsidRDefault="001C19F3" w:rsidP="00521305">
            <w:pPr>
              <w:ind w:left="731" w:hanging="567"/>
              <w:rPr>
                <w:i/>
                <w:sz w:val="18"/>
                <w:szCs w:val="18"/>
              </w:rPr>
            </w:pPr>
            <w:r>
              <w:rPr>
                <w:sz w:val="18"/>
                <w:szCs w:val="18"/>
              </w:rPr>
              <w:fldChar w:fldCharType="begin"/>
            </w:r>
            <w:r>
              <w:rPr>
                <w:sz w:val="18"/>
                <w:szCs w:val="18"/>
              </w:rPr>
              <w:instrText xml:space="preserve"> REF _Ref22650555 \h  \* MERGEFORMAT </w:instrText>
            </w:r>
            <w:r>
              <w:rPr>
                <w:sz w:val="18"/>
                <w:szCs w:val="18"/>
              </w:rPr>
            </w:r>
            <w:r>
              <w:rPr>
                <w:sz w:val="18"/>
                <w:szCs w:val="18"/>
              </w:rPr>
              <w:fldChar w:fldCharType="separate"/>
            </w:r>
            <w:r w:rsidRPr="008F2809">
              <w:rPr>
                <w:sz w:val="18"/>
                <w:szCs w:val="18"/>
              </w:rPr>
              <w:t>Figure 13 – Staff perspectives on processes following hospital discharge</w:t>
            </w:r>
            <w:r>
              <w:rPr>
                <w:sz w:val="18"/>
                <w:szCs w:val="18"/>
              </w:rPr>
              <w:fldChar w:fldCharType="end"/>
            </w:r>
          </w:p>
        </w:tc>
      </w:tr>
      <w:tr w:rsidR="001C19F3" w:rsidRPr="009D5F6E" w14:paraId="6B156616" w14:textId="77777777" w:rsidTr="00521305">
        <w:tc>
          <w:tcPr>
            <w:tcW w:w="9067" w:type="dxa"/>
            <w:shd w:val="clear" w:color="auto" w:fill="F2F2F2" w:themeFill="background1" w:themeFillShade="F2"/>
          </w:tcPr>
          <w:p w14:paraId="6F675ADB" w14:textId="77777777" w:rsidR="001C19F3" w:rsidRPr="009D5F6E" w:rsidRDefault="001C19F3" w:rsidP="00521305">
            <w:pPr>
              <w:spacing w:after="0"/>
              <w:rPr>
                <w:b/>
                <w:sz w:val="18"/>
                <w:szCs w:val="18"/>
              </w:rPr>
            </w:pPr>
            <w:r w:rsidRPr="009D5F6E">
              <w:rPr>
                <w:b/>
                <w:sz w:val="18"/>
                <w:szCs w:val="18"/>
              </w:rPr>
              <w:t>Clinical processes and changes implemented during HCH</w:t>
            </w:r>
          </w:p>
        </w:tc>
      </w:tr>
      <w:tr w:rsidR="001C19F3" w:rsidRPr="008F71D0" w14:paraId="0FE8B95A" w14:textId="77777777" w:rsidTr="00521305">
        <w:tc>
          <w:tcPr>
            <w:tcW w:w="9067" w:type="dxa"/>
          </w:tcPr>
          <w:p w14:paraId="2EFA54CD" w14:textId="77777777" w:rsidR="001C19F3" w:rsidRPr="009D5F6E" w:rsidRDefault="001C19F3" w:rsidP="00521305">
            <w:pPr>
              <w:spacing w:after="0"/>
              <w:rPr>
                <w:i/>
                <w:sz w:val="18"/>
                <w:szCs w:val="18"/>
              </w:rPr>
            </w:pPr>
            <w:r w:rsidRPr="009D5F6E">
              <w:rPr>
                <w:i/>
                <w:sz w:val="18"/>
                <w:szCs w:val="18"/>
              </w:rPr>
              <w:t xml:space="preserve">Volume 2 Main report: </w:t>
            </w:r>
          </w:p>
          <w:p w14:paraId="54940B39" w14:textId="77777777" w:rsidR="001C19F3" w:rsidRPr="009D5F6E" w:rsidRDefault="001C19F3" w:rsidP="00521305">
            <w:pPr>
              <w:ind w:left="731" w:hanging="567"/>
              <w:rPr>
                <w:sz w:val="18"/>
                <w:szCs w:val="18"/>
              </w:rPr>
            </w:pPr>
            <w:r w:rsidRPr="009D5F6E">
              <w:rPr>
                <w:sz w:val="18"/>
                <w:szCs w:val="18"/>
              </w:rPr>
              <w:t>Table 46 – Changes that are a focus during the HCH implementation</w:t>
            </w:r>
          </w:p>
          <w:p w14:paraId="4E7F5FE0" w14:textId="77777777" w:rsidR="001C19F3" w:rsidRPr="00616E52" w:rsidRDefault="001C19F3" w:rsidP="00521305">
            <w:pPr>
              <w:spacing w:after="0"/>
              <w:rPr>
                <w:sz w:val="18"/>
                <w:szCs w:val="18"/>
              </w:rPr>
            </w:pPr>
            <w:r w:rsidRPr="00616E52">
              <w:rPr>
                <w:i/>
                <w:sz w:val="18"/>
                <w:szCs w:val="18"/>
              </w:rPr>
              <w:t>Volume 4 Evaluation data supplement</w:t>
            </w:r>
            <w:r>
              <w:rPr>
                <w:i/>
                <w:sz w:val="18"/>
                <w:szCs w:val="18"/>
              </w:rPr>
              <w:t>:</w:t>
            </w:r>
          </w:p>
          <w:p w14:paraId="078DE9DF"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_Ref22638608 \h  \* MERGEFORMAT </w:instrText>
            </w:r>
            <w:r w:rsidRPr="00616E52">
              <w:rPr>
                <w:sz w:val="18"/>
                <w:szCs w:val="18"/>
              </w:rPr>
            </w:r>
            <w:r w:rsidRPr="00616E52">
              <w:rPr>
                <w:sz w:val="18"/>
                <w:szCs w:val="18"/>
              </w:rPr>
              <w:fldChar w:fldCharType="separate"/>
            </w:r>
            <w:r w:rsidRPr="008F2809">
              <w:rPr>
                <w:sz w:val="18"/>
                <w:szCs w:val="18"/>
              </w:rPr>
              <w:t>Table 32 – Selected processes/systems in place, baseline</w:t>
            </w:r>
            <w:r w:rsidRPr="00616E52">
              <w:rPr>
                <w:sz w:val="18"/>
                <w:szCs w:val="18"/>
              </w:rPr>
              <w:fldChar w:fldCharType="end"/>
            </w:r>
          </w:p>
          <w:p w14:paraId="6A51CD27"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_Ref22640254 \h  \* MERGEFORMAT </w:instrText>
            </w:r>
            <w:r w:rsidRPr="00616E52">
              <w:rPr>
                <w:sz w:val="18"/>
                <w:szCs w:val="18"/>
              </w:rPr>
            </w:r>
            <w:r w:rsidRPr="00616E52">
              <w:rPr>
                <w:sz w:val="18"/>
                <w:szCs w:val="18"/>
              </w:rPr>
              <w:fldChar w:fldCharType="separate"/>
            </w:r>
            <w:r w:rsidRPr="008F2809">
              <w:rPr>
                <w:sz w:val="18"/>
                <w:szCs w:val="18"/>
              </w:rPr>
              <w:t>Table 49 – Processes for providing care to patients with chronic illnesses changed following HCH implementation</w:t>
            </w:r>
            <w:r w:rsidRPr="00616E52">
              <w:rPr>
                <w:sz w:val="18"/>
                <w:szCs w:val="18"/>
              </w:rPr>
              <w:fldChar w:fldCharType="end"/>
            </w:r>
          </w:p>
          <w:p w14:paraId="5F383366"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_Ref22640259 \h  \* MERGEFORMAT </w:instrText>
            </w:r>
            <w:r w:rsidRPr="00616E52">
              <w:rPr>
                <w:sz w:val="18"/>
                <w:szCs w:val="18"/>
              </w:rPr>
            </w:r>
            <w:r w:rsidRPr="00616E52">
              <w:rPr>
                <w:sz w:val="18"/>
                <w:szCs w:val="18"/>
              </w:rPr>
              <w:fldChar w:fldCharType="separate"/>
            </w:r>
            <w:r w:rsidRPr="008F2809">
              <w:rPr>
                <w:sz w:val="18"/>
                <w:szCs w:val="18"/>
              </w:rPr>
              <w:t>Table 50 – Main ways in which processes for providing care to patients with chronic illnesses changed following HCH implementation</w:t>
            </w:r>
            <w:r w:rsidRPr="00616E52">
              <w:rPr>
                <w:sz w:val="18"/>
                <w:szCs w:val="18"/>
              </w:rPr>
              <w:fldChar w:fldCharType="end"/>
            </w:r>
          </w:p>
          <w:p w14:paraId="0A18AEEB" w14:textId="77777777" w:rsidR="001C19F3"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_Ref22640265 \h  \* MERGEFORMAT </w:instrText>
            </w:r>
            <w:r w:rsidRPr="00616E52">
              <w:rPr>
                <w:sz w:val="18"/>
                <w:szCs w:val="18"/>
              </w:rPr>
            </w:r>
            <w:r w:rsidRPr="00616E52">
              <w:rPr>
                <w:sz w:val="18"/>
                <w:szCs w:val="18"/>
              </w:rPr>
              <w:fldChar w:fldCharType="separate"/>
            </w:r>
            <w:r w:rsidRPr="008F2809">
              <w:rPr>
                <w:sz w:val="18"/>
                <w:szCs w:val="18"/>
              </w:rPr>
              <w:t>Table 51 – Improvements in clinical care/chronic disease management that will be a focus during HCH implementation</w:t>
            </w:r>
            <w:r w:rsidRPr="00616E52">
              <w:rPr>
                <w:sz w:val="18"/>
                <w:szCs w:val="18"/>
              </w:rPr>
              <w:fldChar w:fldCharType="end"/>
            </w:r>
          </w:p>
          <w:p w14:paraId="6FFB1F32" w14:textId="77777777" w:rsidR="001C19F3" w:rsidRPr="00616E52" w:rsidRDefault="001C19F3" w:rsidP="00521305">
            <w:pPr>
              <w:ind w:left="731" w:hanging="567"/>
              <w:rPr>
                <w:sz w:val="18"/>
                <w:szCs w:val="18"/>
              </w:rPr>
            </w:pPr>
            <w:r>
              <w:rPr>
                <w:sz w:val="18"/>
                <w:szCs w:val="18"/>
              </w:rPr>
              <w:fldChar w:fldCharType="begin"/>
            </w:r>
            <w:r>
              <w:rPr>
                <w:sz w:val="18"/>
                <w:szCs w:val="18"/>
              </w:rPr>
              <w:instrText xml:space="preserve"> REF _Ref22650536 \h  \* MERGEFORMAT </w:instrText>
            </w:r>
            <w:r>
              <w:rPr>
                <w:sz w:val="18"/>
                <w:szCs w:val="18"/>
              </w:rPr>
            </w:r>
            <w:r>
              <w:rPr>
                <w:sz w:val="18"/>
                <w:szCs w:val="18"/>
              </w:rPr>
              <w:fldChar w:fldCharType="separate"/>
            </w:r>
            <w:r w:rsidRPr="008F2809">
              <w:rPr>
                <w:sz w:val="18"/>
                <w:szCs w:val="18"/>
              </w:rPr>
              <w:t>Figure 9 – Staff perspectives on aspects of communicating and working with patients</w:t>
            </w:r>
            <w:r>
              <w:rPr>
                <w:sz w:val="18"/>
                <w:szCs w:val="18"/>
              </w:rPr>
              <w:fldChar w:fldCharType="end"/>
            </w:r>
          </w:p>
        </w:tc>
      </w:tr>
      <w:tr w:rsidR="001C19F3" w:rsidRPr="00616E52" w14:paraId="2E0A8361" w14:textId="77777777" w:rsidTr="00521305">
        <w:tc>
          <w:tcPr>
            <w:tcW w:w="9067" w:type="dxa"/>
            <w:shd w:val="clear" w:color="auto" w:fill="F2F2F2" w:themeFill="background1" w:themeFillShade="F2"/>
          </w:tcPr>
          <w:p w14:paraId="6E1B72A8" w14:textId="77777777" w:rsidR="001C19F3" w:rsidRPr="00616E52" w:rsidRDefault="001C19F3" w:rsidP="00521305">
            <w:pPr>
              <w:spacing w:after="0"/>
              <w:rPr>
                <w:b/>
                <w:sz w:val="18"/>
                <w:szCs w:val="18"/>
              </w:rPr>
            </w:pPr>
            <w:r>
              <w:rPr>
                <w:b/>
                <w:sz w:val="18"/>
                <w:szCs w:val="18"/>
              </w:rPr>
              <w:t>Staff experience</w:t>
            </w:r>
          </w:p>
        </w:tc>
      </w:tr>
      <w:tr w:rsidR="001C19F3" w:rsidRPr="00616E52" w14:paraId="6B8ADDD1" w14:textId="77777777" w:rsidTr="00521305">
        <w:tc>
          <w:tcPr>
            <w:tcW w:w="9067" w:type="dxa"/>
            <w:shd w:val="clear" w:color="auto" w:fill="FFFFFF" w:themeFill="background1"/>
          </w:tcPr>
          <w:p w14:paraId="645EECE3" w14:textId="77777777" w:rsidR="001C19F3" w:rsidRPr="00616E52" w:rsidRDefault="001C19F3" w:rsidP="00521305">
            <w:pPr>
              <w:spacing w:after="0"/>
              <w:rPr>
                <w:sz w:val="18"/>
                <w:szCs w:val="18"/>
              </w:rPr>
            </w:pPr>
            <w:r w:rsidRPr="00616E52">
              <w:rPr>
                <w:i/>
                <w:sz w:val="18"/>
                <w:szCs w:val="18"/>
              </w:rPr>
              <w:t>Volume 4 Evaluation data supplement:</w:t>
            </w:r>
          </w:p>
          <w:p w14:paraId="28B2B9B3" w14:textId="77777777" w:rsidR="001C19F3" w:rsidRPr="00616E52" w:rsidRDefault="001C19F3" w:rsidP="00521305">
            <w:pPr>
              <w:ind w:left="731" w:hanging="567"/>
              <w:rPr>
                <w:b/>
                <w:sz w:val="18"/>
                <w:szCs w:val="18"/>
              </w:rPr>
            </w:pPr>
            <w:r w:rsidRPr="007D379B">
              <w:rPr>
                <w:sz w:val="18"/>
                <w:szCs w:val="18"/>
              </w:rPr>
              <w:fldChar w:fldCharType="begin"/>
            </w:r>
            <w:r w:rsidRPr="007D379B">
              <w:rPr>
                <w:sz w:val="18"/>
                <w:szCs w:val="18"/>
              </w:rPr>
              <w:instrText xml:space="preserve"> REF _Ref22650808 \h </w:instrText>
            </w:r>
            <w:r>
              <w:rPr>
                <w:sz w:val="18"/>
                <w:szCs w:val="18"/>
              </w:rPr>
              <w:instrText xml:space="preserve"> \* MERGEFORMAT </w:instrText>
            </w:r>
            <w:r w:rsidRPr="007D379B">
              <w:rPr>
                <w:sz w:val="18"/>
                <w:szCs w:val="18"/>
              </w:rPr>
            </w:r>
            <w:r w:rsidRPr="007D379B">
              <w:rPr>
                <w:sz w:val="18"/>
                <w:szCs w:val="18"/>
              </w:rPr>
              <w:fldChar w:fldCharType="separate"/>
            </w:r>
            <w:r w:rsidRPr="008F2809">
              <w:rPr>
                <w:sz w:val="18"/>
                <w:szCs w:val="18"/>
              </w:rPr>
              <w:t>Figure 14 – Staff responses to questions about their experience of their work</w:t>
            </w:r>
            <w:r w:rsidRPr="007D379B">
              <w:rPr>
                <w:sz w:val="18"/>
                <w:szCs w:val="18"/>
              </w:rPr>
              <w:fldChar w:fldCharType="end"/>
            </w:r>
          </w:p>
        </w:tc>
      </w:tr>
      <w:tr w:rsidR="001C19F3" w:rsidRPr="00616E52" w14:paraId="66687415" w14:textId="77777777" w:rsidTr="00521305">
        <w:tc>
          <w:tcPr>
            <w:tcW w:w="9067" w:type="dxa"/>
            <w:shd w:val="clear" w:color="auto" w:fill="F2F2F2" w:themeFill="background1" w:themeFillShade="F2"/>
          </w:tcPr>
          <w:p w14:paraId="496C9A4E" w14:textId="77777777" w:rsidR="001C19F3" w:rsidRPr="00616E52" w:rsidRDefault="001C19F3" w:rsidP="00521305">
            <w:pPr>
              <w:spacing w:after="0"/>
              <w:rPr>
                <w:b/>
                <w:sz w:val="18"/>
                <w:szCs w:val="18"/>
              </w:rPr>
            </w:pPr>
            <w:r w:rsidRPr="00616E52">
              <w:rPr>
                <w:b/>
                <w:sz w:val="18"/>
                <w:szCs w:val="18"/>
              </w:rPr>
              <w:lastRenderedPageBreak/>
              <w:t>Training</w:t>
            </w:r>
          </w:p>
        </w:tc>
      </w:tr>
      <w:tr w:rsidR="001C19F3" w:rsidRPr="004A2357" w14:paraId="038BA7F6" w14:textId="77777777" w:rsidTr="00521305">
        <w:tc>
          <w:tcPr>
            <w:tcW w:w="9067" w:type="dxa"/>
          </w:tcPr>
          <w:p w14:paraId="503A29FC" w14:textId="77777777" w:rsidR="001C19F3" w:rsidRPr="009D5F6E" w:rsidRDefault="001C19F3" w:rsidP="00521305">
            <w:pPr>
              <w:spacing w:after="0"/>
              <w:rPr>
                <w:i/>
                <w:sz w:val="18"/>
                <w:szCs w:val="18"/>
              </w:rPr>
            </w:pPr>
            <w:r w:rsidRPr="009D5F6E">
              <w:rPr>
                <w:i/>
                <w:sz w:val="18"/>
                <w:szCs w:val="18"/>
              </w:rPr>
              <w:t xml:space="preserve">Volume 2 Main report: </w:t>
            </w:r>
          </w:p>
          <w:p w14:paraId="62699903" w14:textId="77777777" w:rsidR="001C19F3" w:rsidRPr="009D5F6E" w:rsidRDefault="001C19F3" w:rsidP="00521305">
            <w:pPr>
              <w:spacing w:after="0"/>
              <w:ind w:left="731" w:hanging="567"/>
              <w:rPr>
                <w:sz w:val="18"/>
                <w:szCs w:val="18"/>
              </w:rPr>
            </w:pPr>
            <w:r w:rsidRPr="009D5F6E">
              <w:rPr>
                <w:sz w:val="18"/>
                <w:szCs w:val="18"/>
              </w:rPr>
              <w:t>Table 34 – Rating of the effectiveness of the HCH online training modules</w:t>
            </w:r>
          </w:p>
          <w:p w14:paraId="081FFA96" w14:textId="77777777" w:rsidR="001C19F3" w:rsidRPr="009D5F6E" w:rsidRDefault="001C19F3" w:rsidP="00521305">
            <w:pPr>
              <w:ind w:left="731" w:hanging="567"/>
              <w:rPr>
                <w:sz w:val="18"/>
                <w:szCs w:val="18"/>
              </w:rPr>
            </w:pPr>
            <w:r w:rsidRPr="009D5F6E">
              <w:rPr>
                <w:sz w:val="18"/>
                <w:szCs w:val="18"/>
              </w:rPr>
              <w:t>Table 35 – Top ways in which the online training modules could be improved (including responses from withdrawn practices)</w:t>
            </w:r>
          </w:p>
          <w:p w14:paraId="4DDCEE96" w14:textId="77777777" w:rsidR="001C19F3" w:rsidRPr="00616E52" w:rsidRDefault="001C19F3" w:rsidP="00521305">
            <w:pPr>
              <w:spacing w:after="0"/>
              <w:rPr>
                <w:sz w:val="18"/>
                <w:szCs w:val="18"/>
              </w:rPr>
            </w:pPr>
            <w:r w:rsidRPr="00616E52">
              <w:rPr>
                <w:i/>
                <w:sz w:val="18"/>
                <w:szCs w:val="18"/>
              </w:rPr>
              <w:t xml:space="preserve">Volume 4 Evaluation data supplement: </w:t>
            </w:r>
          </w:p>
          <w:p w14:paraId="2FB9BCC5"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_Ref22640383 \h  \* MERGEFORMAT </w:instrText>
            </w:r>
            <w:r w:rsidRPr="00616E52">
              <w:rPr>
                <w:sz w:val="18"/>
                <w:szCs w:val="18"/>
              </w:rPr>
            </w:r>
            <w:r w:rsidRPr="00616E52">
              <w:rPr>
                <w:sz w:val="18"/>
                <w:szCs w:val="18"/>
              </w:rPr>
              <w:fldChar w:fldCharType="separate"/>
            </w:r>
            <w:r w:rsidRPr="008F2809">
              <w:rPr>
                <w:sz w:val="18"/>
                <w:szCs w:val="18"/>
              </w:rPr>
              <w:t>Table 54 – Staff from the practice participated in training workshops organised by the PHN</w:t>
            </w:r>
            <w:r w:rsidRPr="00616E52">
              <w:rPr>
                <w:sz w:val="18"/>
                <w:szCs w:val="18"/>
              </w:rPr>
              <w:fldChar w:fldCharType="end"/>
            </w:r>
          </w:p>
        </w:tc>
      </w:tr>
      <w:tr w:rsidR="001C19F3" w:rsidRPr="00616E52" w14:paraId="55FAE28F" w14:textId="77777777" w:rsidTr="00521305">
        <w:tc>
          <w:tcPr>
            <w:tcW w:w="9067" w:type="dxa"/>
            <w:shd w:val="clear" w:color="auto" w:fill="F2F2F2" w:themeFill="background1" w:themeFillShade="F2"/>
          </w:tcPr>
          <w:p w14:paraId="1FB74C68" w14:textId="77777777" w:rsidR="001C19F3" w:rsidRPr="00616E52" w:rsidRDefault="001C19F3" w:rsidP="00521305">
            <w:pPr>
              <w:spacing w:after="0"/>
              <w:rPr>
                <w:b/>
                <w:sz w:val="18"/>
                <w:szCs w:val="18"/>
              </w:rPr>
            </w:pPr>
            <w:r w:rsidRPr="00616E52">
              <w:rPr>
                <w:b/>
                <w:sz w:val="18"/>
                <w:szCs w:val="18"/>
              </w:rPr>
              <w:t>PHN support (in addition to training)</w:t>
            </w:r>
          </w:p>
        </w:tc>
      </w:tr>
      <w:tr w:rsidR="001C19F3" w:rsidRPr="004A2357" w14:paraId="4FF80621" w14:textId="77777777" w:rsidTr="00521305">
        <w:tc>
          <w:tcPr>
            <w:tcW w:w="9067" w:type="dxa"/>
          </w:tcPr>
          <w:p w14:paraId="14D26B4F" w14:textId="77777777" w:rsidR="001C19F3" w:rsidRDefault="001C19F3" w:rsidP="00521305">
            <w:pPr>
              <w:spacing w:after="0"/>
              <w:rPr>
                <w:i/>
                <w:sz w:val="18"/>
                <w:szCs w:val="18"/>
              </w:rPr>
            </w:pPr>
            <w:r w:rsidRPr="009D5F6E">
              <w:rPr>
                <w:i/>
                <w:sz w:val="18"/>
                <w:szCs w:val="18"/>
              </w:rPr>
              <w:t xml:space="preserve">Volume 2 Main report: </w:t>
            </w:r>
          </w:p>
          <w:p w14:paraId="676B63A1" w14:textId="77777777" w:rsidR="001C19F3" w:rsidRDefault="001C19F3" w:rsidP="00521305">
            <w:pPr>
              <w:spacing w:after="0"/>
              <w:ind w:left="731" w:hanging="567"/>
              <w:rPr>
                <w:sz w:val="18"/>
                <w:szCs w:val="18"/>
              </w:rPr>
            </w:pPr>
            <w:r w:rsidRPr="009D5F6E">
              <w:rPr>
                <w:sz w:val="18"/>
                <w:szCs w:val="18"/>
              </w:rPr>
              <w:t>Table 29 – Rating of the effectiveness of PHN support and training</w:t>
            </w:r>
          </w:p>
          <w:p w14:paraId="1DD9FE98" w14:textId="77777777" w:rsidR="001C19F3" w:rsidRDefault="001C19F3" w:rsidP="00521305">
            <w:pPr>
              <w:ind w:left="731" w:hanging="567"/>
              <w:rPr>
                <w:sz w:val="18"/>
                <w:szCs w:val="18"/>
              </w:rPr>
            </w:pPr>
            <w:r w:rsidRPr="009D5F6E">
              <w:rPr>
                <w:sz w:val="18"/>
                <w:szCs w:val="18"/>
              </w:rPr>
              <w:t>Table 30 – Top ways in which the support provided by the PHN practice facilitator could be improved</w:t>
            </w:r>
          </w:p>
          <w:p w14:paraId="4F08BE4C" w14:textId="77777777" w:rsidR="001C19F3" w:rsidRPr="00616E52" w:rsidRDefault="001C19F3" w:rsidP="00521305">
            <w:pPr>
              <w:spacing w:after="0"/>
              <w:rPr>
                <w:sz w:val="18"/>
                <w:szCs w:val="18"/>
              </w:rPr>
            </w:pPr>
            <w:r w:rsidRPr="00616E52">
              <w:rPr>
                <w:i/>
                <w:sz w:val="18"/>
                <w:szCs w:val="18"/>
              </w:rPr>
              <w:t>Volume 4 Evaluation data supplement:</w:t>
            </w:r>
          </w:p>
          <w:p w14:paraId="1D79427A"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_Ref22640311 \h  \* MERGEFORMAT </w:instrText>
            </w:r>
            <w:r w:rsidRPr="00616E52">
              <w:rPr>
                <w:sz w:val="18"/>
                <w:szCs w:val="18"/>
              </w:rPr>
            </w:r>
            <w:r w:rsidRPr="00616E52">
              <w:rPr>
                <w:sz w:val="18"/>
                <w:szCs w:val="18"/>
              </w:rPr>
              <w:fldChar w:fldCharType="separate"/>
            </w:r>
            <w:r w:rsidRPr="008F2809">
              <w:rPr>
                <w:sz w:val="18"/>
                <w:szCs w:val="18"/>
              </w:rPr>
              <w:t>Table 53 – A PHN practice facilitator helped the practice prepare for HCH and/or provided ongoing support for HCH implementation</w:t>
            </w:r>
            <w:r w:rsidRPr="00616E52">
              <w:rPr>
                <w:sz w:val="18"/>
                <w:szCs w:val="18"/>
              </w:rPr>
              <w:fldChar w:fldCharType="end"/>
            </w:r>
          </w:p>
        </w:tc>
      </w:tr>
      <w:tr w:rsidR="001C19F3" w:rsidRPr="00616E52" w14:paraId="77265235" w14:textId="77777777" w:rsidTr="00521305">
        <w:tc>
          <w:tcPr>
            <w:tcW w:w="9067" w:type="dxa"/>
            <w:shd w:val="clear" w:color="auto" w:fill="F2F2F2" w:themeFill="background1" w:themeFillShade="F2"/>
          </w:tcPr>
          <w:p w14:paraId="79100896" w14:textId="77777777" w:rsidR="001C19F3" w:rsidRPr="00616E52" w:rsidRDefault="001C19F3" w:rsidP="00521305">
            <w:pPr>
              <w:spacing w:after="0"/>
              <w:rPr>
                <w:b/>
                <w:sz w:val="18"/>
                <w:szCs w:val="18"/>
              </w:rPr>
            </w:pPr>
            <w:r w:rsidRPr="00616E52">
              <w:rPr>
                <w:b/>
                <w:sz w:val="18"/>
                <w:szCs w:val="18"/>
              </w:rPr>
              <w:t>Other topics</w:t>
            </w:r>
          </w:p>
        </w:tc>
      </w:tr>
      <w:tr w:rsidR="001C19F3" w:rsidRPr="004A2357" w14:paraId="7567B405" w14:textId="77777777" w:rsidTr="00521305">
        <w:tc>
          <w:tcPr>
            <w:tcW w:w="9067" w:type="dxa"/>
          </w:tcPr>
          <w:p w14:paraId="142CB4DE" w14:textId="77777777" w:rsidR="001C19F3" w:rsidRPr="00616E52" w:rsidRDefault="001C19F3" w:rsidP="00521305">
            <w:pPr>
              <w:spacing w:after="0"/>
              <w:rPr>
                <w:sz w:val="18"/>
                <w:szCs w:val="18"/>
              </w:rPr>
            </w:pPr>
            <w:r w:rsidRPr="00616E52">
              <w:rPr>
                <w:i/>
                <w:sz w:val="18"/>
                <w:szCs w:val="18"/>
              </w:rPr>
              <w:t>Volume 4 Evaluation data supplement:</w:t>
            </w:r>
          </w:p>
          <w:p w14:paraId="122354A2"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_Ref22640449 \h  \* MERGEFORMAT </w:instrText>
            </w:r>
            <w:r w:rsidRPr="00616E52">
              <w:rPr>
                <w:sz w:val="18"/>
                <w:szCs w:val="18"/>
              </w:rPr>
            </w:r>
            <w:r w:rsidRPr="00616E52">
              <w:rPr>
                <w:sz w:val="18"/>
                <w:szCs w:val="18"/>
              </w:rPr>
              <w:fldChar w:fldCharType="separate"/>
            </w:r>
            <w:r w:rsidRPr="008F2809">
              <w:rPr>
                <w:sz w:val="18"/>
                <w:szCs w:val="18"/>
              </w:rPr>
              <w:t>Table 55 – Pharmacist who visits/works in the practice</w:t>
            </w:r>
            <w:r w:rsidRPr="00616E52">
              <w:rPr>
                <w:sz w:val="18"/>
                <w:szCs w:val="18"/>
              </w:rPr>
              <w:fldChar w:fldCharType="end"/>
            </w:r>
          </w:p>
          <w:p w14:paraId="7072963A" w14:textId="77777777" w:rsidR="001C19F3" w:rsidRPr="00616E52" w:rsidRDefault="001C19F3" w:rsidP="00521305">
            <w:pPr>
              <w:spacing w:after="0"/>
              <w:ind w:left="731" w:hanging="567"/>
              <w:rPr>
                <w:sz w:val="18"/>
                <w:szCs w:val="18"/>
              </w:rPr>
            </w:pPr>
            <w:r w:rsidRPr="00616E52">
              <w:rPr>
                <w:sz w:val="18"/>
                <w:szCs w:val="18"/>
              </w:rPr>
              <w:fldChar w:fldCharType="begin"/>
            </w:r>
            <w:r w:rsidRPr="00616E52">
              <w:rPr>
                <w:sz w:val="18"/>
                <w:szCs w:val="18"/>
              </w:rPr>
              <w:instrText xml:space="preserve"> REF _Ref22640454 \h  \* MERGEFORMAT </w:instrText>
            </w:r>
            <w:r w:rsidRPr="00616E52">
              <w:rPr>
                <w:sz w:val="18"/>
                <w:szCs w:val="18"/>
              </w:rPr>
            </w:r>
            <w:r w:rsidRPr="00616E52">
              <w:rPr>
                <w:sz w:val="18"/>
                <w:szCs w:val="18"/>
              </w:rPr>
              <w:fldChar w:fldCharType="separate"/>
            </w:r>
            <w:r w:rsidRPr="008F2809">
              <w:rPr>
                <w:sz w:val="18"/>
                <w:szCs w:val="18"/>
              </w:rPr>
              <w:t>Table 56 – Relationship does the pharmacist has with the practice</w:t>
            </w:r>
            <w:r w:rsidRPr="00616E52">
              <w:rPr>
                <w:sz w:val="18"/>
                <w:szCs w:val="18"/>
              </w:rPr>
              <w:fldChar w:fldCharType="end"/>
            </w:r>
          </w:p>
          <w:p w14:paraId="76FA24EE" w14:textId="77777777" w:rsidR="001C19F3" w:rsidRPr="00616E52" w:rsidRDefault="001C19F3" w:rsidP="00521305">
            <w:pPr>
              <w:ind w:left="731" w:hanging="567"/>
              <w:rPr>
                <w:sz w:val="18"/>
                <w:szCs w:val="18"/>
              </w:rPr>
            </w:pPr>
            <w:r w:rsidRPr="00616E52">
              <w:rPr>
                <w:sz w:val="18"/>
                <w:szCs w:val="18"/>
              </w:rPr>
              <w:fldChar w:fldCharType="begin"/>
            </w:r>
            <w:r w:rsidRPr="00616E52">
              <w:rPr>
                <w:sz w:val="18"/>
                <w:szCs w:val="18"/>
              </w:rPr>
              <w:instrText xml:space="preserve"> REF _Ref22640462 \h  \* MERGEFORMAT </w:instrText>
            </w:r>
            <w:r w:rsidRPr="00616E52">
              <w:rPr>
                <w:sz w:val="18"/>
                <w:szCs w:val="18"/>
              </w:rPr>
            </w:r>
            <w:r w:rsidRPr="00616E52">
              <w:rPr>
                <w:sz w:val="18"/>
                <w:szCs w:val="18"/>
              </w:rPr>
              <w:fldChar w:fldCharType="separate"/>
            </w:r>
            <w:r w:rsidRPr="008F2809">
              <w:rPr>
                <w:sz w:val="18"/>
                <w:szCs w:val="18"/>
              </w:rPr>
              <w:t xml:space="preserve">Table </w:t>
            </w:r>
            <w:r w:rsidRPr="008F2809">
              <w:rPr>
                <w:noProof/>
                <w:sz w:val="18"/>
                <w:szCs w:val="18"/>
              </w:rPr>
              <w:t>57</w:t>
            </w:r>
            <w:r w:rsidRPr="008F2809">
              <w:rPr>
                <w:sz w:val="18"/>
                <w:szCs w:val="18"/>
              </w:rPr>
              <w:t xml:space="preserve"> – Other comments about implementing HCH in the practice (including responses from withdrawn practices)</w:t>
            </w:r>
            <w:r w:rsidRPr="00616E52">
              <w:rPr>
                <w:sz w:val="18"/>
                <w:szCs w:val="18"/>
              </w:rPr>
              <w:fldChar w:fldCharType="end"/>
            </w:r>
          </w:p>
        </w:tc>
      </w:tr>
    </w:tbl>
    <w:p w14:paraId="267223DF" w14:textId="77777777" w:rsidR="001C19F3" w:rsidRPr="0047708B" w:rsidRDefault="001C19F3" w:rsidP="001C19F3">
      <w:pPr>
        <w:spacing w:after="0"/>
        <w:rPr>
          <w:highlight w:val="yellow"/>
        </w:rPr>
      </w:pPr>
    </w:p>
    <w:p w14:paraId="03D6E5D3" w14:textId="77777777" w:rsidR="001C19F3" w:rsidRDefault="001C19F3" w:rsidP="001C19F3">
      <w:pPr>
        <w:pStyle w:val="Heading2"/>
      </w:pPr>
      <w:bookmarkStart w:id="475" w:name="_Ref527967112"/>
      <w:bookmarkStart w:id="476" w:name="_Toc532396753"/>
      <w:bookmarkStart w:id="477" w:name="_Toc27058952"/>
      <w:r>
        <w:t>Practice self-assessment using HCH-A</w:t>
      </w:r>
      <w:bookmarkEnd w:id="475"/>
      <w:bookmarkEnd w:id="476"/>
      <w:bookmarkEnd w:id="477"/>
    </w:p>
    <w:p w14:paraId="663B91E3" w14:textId="77777777" w:rsidR="001C19F3" w:rsidRDefault="001C19F3" w:rsidP="001C19F3">
      <w:r>
        <w:t>Practices initially used the Health Care Homes Assessment (HCH-A) tool to assess the extent to which they operate as an HCH. The recommended approach for applying the tool is for practice staff to undertake the assessment separately, and then discuss results as a group to reach a consensus. This was not always the approach taken by practices, and this should be considered when interpreting the results presented here.</w:t>
      </w:r>
    </w:p>
    <w:p w14:paraId="1658A130" w14:textId="77777777" w:rsidR="001C19F3" w:rsidRDefault="001C19F3" w:rsidP="001C19F3">
      <w:r>
        <w:t xml:space="preserve">HCH-A results were received for 147 practices, but the data presented in this report are for </w:t>
      </w:r>
      <w:r w:rsidRPr="00C376CE">
        <w:t xml:space="preserve">the 118 practices that </w:t>
      </w:r>
      <w:r>
        <w:t xml:space="preserve">were </w:t>
      </w:r>
      <w:r w:rsidRPr="00C376CE">
        <w:t>participating in HCH</w:t>
      </w:r>
      <w:r>
        <w:t xml:space="preserve"> as at 31 August 2019</w:t>
      </w:r>
      <w:r w:rsidRPr="00C376CE">
        <w:t>. Practices</w:t>
      </w:r>
      <w:r>
        <w:t xml:space="preserve"> reported that 653 staff were involved in completing the assessment (an average of 5.5 per practice, see Appendix 1, </w:t>
      </w:r>
      <w:r>
        <w:fldChar w:fldCharType="begin"/>
      </w:r>
      <w:r>
        <w:instrText xml:space="preserve"> REF _Ref22647883 \h </w:instrText>
      </w:r>
      <w:r>
        <w:fldChar w:fldCharType="separate"/>
      </w:r>
      <w:r>
        <w:t xml:space="preserve">Table </w:t>
      </w:r>
      <w:r>
        <w:rPr>
          <w:noProof/>
        </w:rPr>
        <w:t>35</w:t>
      </w:r>
      <w:r>
        <w:fldChar w:fldCharType="end"/>
      </w:r>
      <w:r>
        <w:t>). Across the practices, 185 GPs participated in the assessment, 160 nurses, 159 reception/administration staff, 92 practice managers, 12 Aboriginal health practitioners and 13 allied health staff.</w:t>
      </w:r>
    </w:p>
    <w:p w14:paraId="612C5B3E" w14:textId="77777777" w:rsidR="001C19F3" w:rsidRPr="00221288" w:rsidRDefault="001C19F3" w:rsidP="001C19F3">
      <w:r w:rsidRPr="007164EE">
        <w:fldChar w:fldCharType="begin"/>
      </w:r>
      <w:r w:rsidRPr="007164EE">
        <w:instrText xml:space="preserve"> REF _Ref527644704 \h  \* MERGEFORMAT </w:instrText>
      </w:r>
      <w:r w:rsidRPr="007164EE">
        <w:fldChar w:fldCharType="separate"/>
      </w:r>
      <w:r w:rsidRPr="008F2809">
        <w:t>Figure 1</w:t>
      </w:r>
      <w:r w:rsidRPr="007164EE">
        <w:fldChar w:fldCharType="end"/>
      </w:r>
      <w:r w:rsidRPr="007164EE">
        <w:t xml:space="preserve"> and </w:t>
      </w:r>
      <w:r w:rsidRPr="007164EE">
        <w:fldChar w:fldCharType="begin"/>
      </w:r>
      <w:r w:rsidRPr="007164EE">
        <w:instrText xml:space="preserve"> REF _Ref527644842 \h  \* MERGEFORMAT </w:instrText>
      </w:r>
      <w:r w:rsidRPr="007164EE">
        <w:fldChar w:fldCharType="separate"/>
      </w:r>
      <w:r w:rsidRPr="008F2809">
        <w:t>Figure 2</w:t>
      </w:r>
      <w:r w:rsidRPr="007164EE">
        <w:fldChar w:fldCharType="end"/>
      </w:r>
      <w:r w:rsidRPr="007164EE">
        <w:t xml:space="preserve"> sho</w:t>
      </w:r>
      <w:r w:rsidRPr="00221288">
        <w:t>w the distributions of the HCH-A scores on each of the questions in the HCH-A tool</w:t>
      </w:r>
      <w:r>
        <w:t xml:space="preserve"> </w:t>
      </w:r>
      <w:r w:rsidRPr="00221288">
        <w:t>(</w:t>
      </w:r>
      <w:r>
        <w:t>f</w:t>
      </w:r>
      <w:r w:rsidRPr="00221288">
        <w:t xml:space="preserve">urther summaries of the score can be found in Appendix </w:t>
      </w:r>
      <w:r>
        <w:t xml:space="preserve">1, </w:t>
      </w:r>
      <w:r>
        <w:fldChar w:fldCharType="begin"/>
      </w:r>
      <w:r>
        <w:instrText xml:space="preserve"> REF _Ref22647927 \h </w:instrText>
      </w:r>
      <w:r>
        <w:fldChar w:fldCharType="separate"/>
      </w:r>
      <w:r>
        <w:t xml:space="preserve">Table </w:t>
      </w:r>
      <w:r>
        <w:rPr>
          <w:noProof/>
        </w:rPr>
        <w:t>34</w:t>
      </w:r>
      <w:r>
        <w:fldChar w:fldCharType="end"/>
      </w:r>
      <w:r w:rsidRPr="00221288">
        <w:t>). For each question, scores are represented on a scale of 1 to 12.</w:t>
      </w:r>
      <w:r>
        <w:t xml:space="preserve"> </w:t>
      </w:r>
      <w:r w:rsidRPr="00221288">
        <w:t>These are grouped into eight dimensions. Scores of 1 to 3 on any item reflect absent or minimal implementation of an element of the patient centred medical home. Scores of 10 to 12 reflect that most or all the critical aspects of the element are well established in the practice.</w:t>
      </w:r>
      <w:r w:rsidRPr="00D548B4">
        <w:t xml:space="preserve"> </w:t>
      </w:r>
    </w:p>
    <w:p w14:paraId="7DB54B30" w14:textId="77777777" w:rsidR="001C19F3" w:rsidRPr="00221288" w:rsidRDefault="001C19F3" w:rsidP="001C19F3">
      <w:r w:rsidRPr="00221288">
        <w:t xml:space="preserve">Overall, </w:t>
      </w:r>
      <w:r>
        <w:t xml:space="preserve">the </w:t>
      </w:r>
      <w:r w:rsidRPr="00221288">
        <w:t xml:space="preserve">median and mean self-assessment scores are in the range of 6 to 9. These suggest that overall, practices believe that they have many of the elements of a patient centred medical home in place, but there are still </w:t>
      </w:r>
      <w:r>
        <w:t>o</w:t>
      </w:r>
      <w:r w:rsidRPr="00221288">
        <w:t xml:space="preserve">pportunities for </w:t>
      </w:r>
      <w:r>
        <w:t>improvement</w:t>
      </w:r>
      <w:r w:rsidRPr="00221288">
        <w:t xml:space="preserve">. </w:t>
      </w:r>
    </w:p>
    <w:p w14:paraId="2F125F55" w14:textId="77777777" w:rsidR="001C19F3" w:rsidRPr="00221288" w:rsidRDefault="001C19F3" w:rsidP="001C19F3">
      <w:r w:rsidRPr="00221288">
        <w:lastRenderedPageBreak/>
        <w:t>An item where practices generally assessed that they have only minimal</w:t>
      </w:r>
      <w:r>
        <w:t>ly</w:t>
      </w:r>
      <w:r w:rsidRPr="00221288">
        <w:t xml:space="preserve"> implemented </w:t>
      </w:r>
      <w:r>
        <w:t xml:space="preserve">a patient centred medical home </w:t>
      </w:r>
      <w:r w:rsidRPr="00221288">
        <w:t xml:space="preserve">is measurement of patient-centred interactions (Dimension 6, item 26). For this item, practices scored themselves around 4 to 6, which represents that measurement of patient-centred interactions is </w:t>
      </w:r>
      <w:r>
        <w:t>‘</w:t>
      </w:r>
      <w:r w:rsidRPr="00221288">
        <w:rPr>
          <w:i/>
        </w:rPr>
        <w:t>accomplished through patient representation on boards and regularly soliciting patient input through surveys</w:t>
      </w:r>
      <w:r>
        <w:t>’</w:t>
      </w:r>
      <w:r w:rsidRPr="00221288">
        <w:t xml:space="preserve">. The goal for this item (scores 10 to 12) reflects that it </w:t>
      </w:r>
      <w:r>
        <w:t>‘</w:t>
      </w:r>
      <w:r w:rsidRPr="00221288">
        <w:rPr>
          <w:i/>
        </w:rPr>
        <w:t>is accomplished by getting regular and actionable input from patients and families on all care delivery issues, and incorporating their feedback in quality improvement activities</w:t>
      </w:r>
      <w:r>
        <w:t>’</w:t>
      </w:r>
      <w:r w:rsidRPr="00221288">
        <w:t>.</w:t>
      </w:r>
    </w:p>
    <w:p w14:paraId="6EE0131F" w14:textId="77777777" w:rsidR="001C19F3" w:rsidRDefault="001C19F3" w:rsidP="001C19F3">
      <w:r w:rsidRPr="00221288">
        <w:t>An item where practices generally assessed that they have most of the critical aspects of the element in place is item 1</w:t>
      </w:r>
      <w:r>
        <w:t>8</w:t>
      </w:r>
      <w:r w:rsidRPr="00221288">
        <w:t xml:space="preserve"> Care plans (Dimension 5: Organised, evidenced-based care). Many practices scored themselves between 7 and 9, which indicates that care plans </w:t>
      </w:r>
      <w:r>
        <w:t>‘</w:t>
      </w:r>
      <w:r w:rsidRPr="00221288">
        <w:rPr>
          <w:i/>
        </w:rPr>
        <w:t>are developed collaboratively with patients (and their families and carers where applicable), and include self-management and clinical goals, but they are not routinely recorded or used to guide subsequent care</w:t>
      </w:r>
      <w:r>
        <w:t>’</w:t>
      </w:r>
      <w:r w:rsidRPr="00221288">
        <w:t xml:space="preserve">. The goal for this item (scores 10 to 12) is that care plans </w:t>
      </w:r>
      <w:r>
        <w:t>‘</w:t>
      </w:r>
      <w:r w:rsidRPr="00221288">
        <w:rPr>
          <w:i/>
        </w:rPr>
        <w:t>are developed collaboratively, by the patient (and their families and carers where applicable) and care team to include self</w:t>
      </w:r>
      <w:r>
        <w:rPr>
          <w:i/>
        </w:rPr>
        <w:t>-</w:t>
      </w:r>
      <w:r w:rsidRPr="00221288">
        <w:rPr>
          <w:i/>
        </w:rPr>
        <w:t>management and clinical management goals are routinely recorded, and guide patient care in the practice and across the health care neighbourhood</w:t>
      </w:r>
      <w:r>
        <w:t>’</w:t>
      </w:r>
      <w:r w:rsidRPr="00221288">
        <w:t>.</w:t>
      </w:r>
    </w:p>
    <w:p w14:paraId="254A84E6" w14:textId="77777777" w:rsidR="001C19F3" w:rsidRDefault="001C19F3" w:rsidP="001C19F3">
      <w:r>
        <w:t xml:space="preserve">The self-assessment scores will be used in the evaluation to examine changes over the course of the HCH program. However, technical issues need to be considered to ensure these scores can be appropriately used in analysis. The raw scores do not reflect an interval scale. Therefore, taking means of scores is problematic. Adding up scores across questions to find a summary score at the dimension level is also problematic (e.g. one question may relate </w:t>
      </w:r>
      <w:bookmarkStart w:id="478" w:name="_Hlk528673177"/>
      <w:r>
        <w:t>to a goal where it is more difficult to get higher scores as compared with others within the dimension</w:t>
      </w:r>
      <w:bookmarkEnd w:id="478"/>
      <w:r>
        <w:t>). The scores represent the extent to which respondents agree that a practice can be described by a set of attributes included in the descriptors for the tool. This means that it is possible to use the data within a Rasch analysis to derive scores that could be analysed as interval scores. This is one of the approaches that will be taken in analysing the data and the level of change in the next stage of the evaluation. The other approach will be to treat the scores as ordinal data and examine the proportions of practices reporting increases (or decreases) in scores.</w:t>
      </w:r>
    </w:p>
    <w:p w14:paraId="36D9301D" w14:textId="77777777" w:rsidR="001C19F3" w:rsidRDefault="001C19F3" w:rsidP="001C19F3">
      <w:r>
        <w:t>The scores reported in the self-assessment will be triangulated with other information, including analysis of the staff surveys, which will provide additional insights into staff perceptions of the practice, and assessments undertaken by the PHN practice facilitators.</w:t>
      </w:r>
    </w:p>
    <w:p w14:paraId="4517AA18" w14:textId="77777777" w:rsidR="001C19F3" w:rsidRDefault="001C19F3" w:rsidP="001C19F3">
      <w:pPr>
        <w:spacing w:after="0"/>
      </w:pPr>
      <w:r>
        <w:rPr>
          <w:noProof/>
          <w:lang w:eastAsia="en-AU"/>
        </w:rPr>
        <w:lastRenderedPageBreak/>
        <w:drawing>
          <wp:inline distT="0" distB="0" distL="0" distR="0" wp14:anchorId="54D53C2B" wp14:editId="1372125E">
            <wp:extent cx="6185255" cy="740092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88491" cy="7404797"/>
                    </a:xfrm>
                    <a:prstGeom prst="rect">
                      <a:avLst/>
                    </a:prstGeom>
                  </pic:spPr>
                </pic:pic>
              </a:graphicData>
            </a:graphic>
          </wp:inline>
        </w:drawing>
      </w:r>
    </w:p>
    <w:p w14:paraId="37E5213A" w14:textId="77777777" w:rsidR="001C19F3" w:rsidRDefault="001C19F3" w:rsidP="001C19F3">
      <w:pPr>
        <w:spacing w:after="0"/>
        <w:jc w:val="center"/>
        <w:rPr>
          <w:b/>
        </w:rPr>
      </w:pPr>
      <w:bookmarkStart w:id="479" w:name="_Ref527644704"/>
      <w:bookmarkStart w:id="480" w:name="_Ref22647646"/>
      <w:r w:rsidRPr="007164EE">
        <w:rPr>
          <w:b/>
        </w:rPr>
        <w:t xml:space="preserve">Figure </w:t>
      </w:r>
      <w:r w:rsidRPr="007164EE">
        <w:rPr>
          <w:rFonts w:cs="Arial"/>
          <w:b/>
          <w:color w:val="000000" w:themeColor="text1"/>
        </w:rPr>
        <w:fldChar w:fldCharType="begin"/>
      </w:r>
      <w:r w:rsidRPr="007164EE">
        <w:rPr>
          <w:rFonts w:cs="Arial"/>
          <w:b/>
          <w:color w:val="000000" w:themeColor="text1"/>
        </w:rPr>
        <w:instrText xml:space="preserve"> SEQ Figure \* ARABIC </w:instrText>
      </w:r>
      <w:r w:rsidRPr="007164EE">
        <w:rPr>
          <w:rFonts w:cs="Arial"/>
          <w:b/>
          <w:color w:val="000000" w:themeColor="text1"/>
        </w:rPr>
        <w:fldChar w:fldCharType="separate"/>
      </w:r>
      <w:r>
        <w:rPr>
          <w:rFonts w:cs="Arial"/>
          <w:b/>
          <w:noProof/>
          <w:color w:val="000000" w:themeColor="text1"/>
        </w:rPr>
        <w:t>1</w:t>
      </w:r>
      <w:r w:rsidRPr="007164EE">
        <w:rPr>
          <w:rFonts w:cs="Arial"/>
          <w:b/>
          <w:color w:val="000000" w:themeColor="text1"/>
        </w:rPr>
        <w:fldChar w:fldCharType="end"/>
      </w:r>
      <w:bookmarkEnd w:id="479"/>
      <w:r w:rsidRPr="007164EE">
        <w:rPr>
          <w:b/>
        </w:rPr>
        <w:t xml:space="preserve"> – Distribution of reported HCH-A scores: Dimensions 1 to 5</w:t>
      </w:r>
      <w:bookmarkEnd w:id="480"/>
      <w:r>
        <w:rPr>
          <w:b/>
        </w:rPr>
        <w:t xml:space="preserve"> </w:t>
      </w:r>
    </w:p>
    <w:p w14:paraId="6C3884FC" w14:textId="77777777" w:rsidR="001C19F3" w:rsidRPr="00DE3EBC" w:rsidRDefault="001C19F3" w:rsidP="001C19F3">
      <w:pPr>
        <w:pStyle w:val="Chartortablefootnote"/>
      </w:pPr>
      <w:r w:rsidRPr="00DE3EBC">
        <w:rPr>
          <w:rStyle w:val="ChartortablefootnoteChar"/>
          <w:i/>
        </w:rPr>
        <w:t xml:space="preserve">Source: Practice survey Round 1. Notes: </w:t>
      </w:r>
      <w:r>
        <w:rPr>
          <w:rStyle w:val="ChartortablefootnoteChar"/>
          <w:i/>
        </w:rPr>
        <w:t>The box</w:t>
      </w:r>
      <w:r w:rsidRPr="00DE3EBC">
        <w:rPr>
          <w:rStyle w:val="ChartortablefootnoteChar"/>
          <w:i/>
        </w:rPr>
        <w:t xml:space="preserve"> represents the range from the first quartile and the third quartile. This is where 50% of scores occurred. The vertical line crossing the middle of the box is the median score. The horizontal lines extending from the box (the </w:t>
      </w:r>
      <w:r>
        <w:rPr>
          <w:rStyle w:val="ChartortablefootnoteChar"/>
          <w:i/>
        </w:rPr>
        <w:t>‘</w:t>
      </w:r>
      <w:r w:rsidRPr="00DE3EBC">
        <w:rPr>
          <w:rStyle w:val="ChartortablefootnoteChar"/>
          <w:i/>
        </w:rPr>
        <w:t>whiskers</w:t>
      </w:r>
      <w:r>
        <w:rPr>
          <w:rStyle w:val="ChartortablefootnoteChar"/>
          <w:i/>
        </w:rPr>
        <w:t>’</w:t>
      </w:r>
      <w:r w:rsidRPr="00DE3EBC">
        <w:rPr>
          <w:rStyle w:val="ChartortablefootnoteChar"/>
          <w:i/>
        </w:rPr>
        <w:t xml:space="preserve">) show the values up to quartile 1 minus 1.5 times the interquartile range </w:t>
      </w:r>
      <w:r>
        <w:rPr>
          <w:rStyle w:val="ChartortablefootnoteChar"/>
          <w:i/>
        </w:rPr>
        <w:t>(</w:t>
      </w:r>
      <w:r w:rsidRPr="00DE3EBC">
        <w:rPr>
          <w:rStyle w:val="ChartortablefootnoteChar"/>
          <w:i/>
        </w:rPr>
        <w:t>to the left of the box) and the values up to quartile 3 plus 1.5 times the interquartile range (to the right of the box). Points outside these are often considered outliers. For more values for these distributions see Appendix 3</w:t>
      </w:r>
      <w:r>
        <w:rPr>
          <w:rStyle w:val="ChartortablefootnoteChar"/>
          <w:i/>
        </w:rPr>
        <w:t xml:space="preserve"> (</w:t>
      </w:r>
      <w:r>
        <w:rPr>
          <w:rStyle w:val="ChartortablefootnoteChar"/>
          <w:i/>
        </w:rPr>
        <w:fldChar w:fldCharType="begin"/>
      </w:r>
      <w:r>
        <w:rPr>
          <w:rStyle w:val="ChartortablefootnoteChar"/>
          <w:i/>
        </w:rPr>
        <w:instrText xml:space="preserve"> REF _Ref22647927 \h </w:instrText>
      </w:r>
      <w:r>
        <w:rPr>
          <w:rStyle w:val="ChartortablefootnoteChar"/>
          <w:i/>
        </w:rPr>
      </w:r>
      <w:r>
        <w:rPr>
          <w:rStyle w:val="ChartortablefootnoteChar"/>
          <w:i/>
        </w:rPr>
        <w:fldChar w:fldCharType="separate"/>
      </w:r>
      <w:r>
        <w:t xml:space="preserve">Table </w:t>
      </w:r>
      <w:r>
        <w:rPr>
          <w:noProof/>
        </w:rPr>
        <w:t>34</w:t>
      </w:r>
      <w:r>
        <w:rPr>
          <w:rStyle w:val="ChartortablefootnoteChar"/>
          <w:i/>
        </w:rPr>
        <w:fldChar w:fldCharType="end"/>
      </w:r>
      <w:r>
        <w:rPr>
          <w:rStyle w:val="ChartortablefootnoteChar"/>
          <w:i/>
        </w:rPr>
        <w:t>)</w:t>
      </w:r>
      <w:r w:rsidRPr="00DE3EBC">
        <w:t>.</w:t>
      </w:r>
    </w:p>
    <w:p w14:paraId="4F52AC5C" w14:textId="77777777" w:rsidR="001C19F3" w:rsidRDefault="001C19F3" w:rsidP="001C19F3">
      <w:pPr>
        <w:spacing w:after="0"/>
        <w:jc w:val="center"/>
      </w:pPr>
      <w:r>
        <w:rPr>
          <w:noProof/>
          <w:lang w:eastAsia="en-AU"/>
        </w:rPr>
        <w:lastRenderedPageBreak/>
        <w:drawing>
          <wp:inline distT="0" distB="0" distL="0" distR="0" wp14:anchorId="1A376456" wp14:editId="5A10F5F5">
            <wp:extent cx="5419725" cy="6838741"/>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25773" cy="6846372"/>
                    </a:xfrm>
                    <a:prstGeom prst="rect">
                      <a:avLst/>
                    </a:prstGeom>
                  </pic:spPr>
                </pic:pic>
              </a:graphicData>
            </a:graphic>
          </wp:inline>
        </w:drawing>
      </w:r>
    </w:p>
    <w:p w14:paraId="31AB2628" w14:textId="77777777" w:rsidR="001C19F3" w:rsidRDefault="001C19F3" w:rsidP="001C19F3">
      <w:pPr>
        <w:spacing w:after="0"/>
        <w:jc w:val="center"/>
        <w:rPr>
          <w:b/>
        </w:rPr>
      </w:pPr>
      <w:bookmarkStart w:id="481" w:name="_Ref527644842"/>
      <w:bookmarkStart w:id="482" w:name="_Ref22647651"/>
      <w:r w:rsidRPr="001D6F49">
        <w:rPr>
          <w:b/>
        </w:rPr>
        <w:t xml:space="preserve">Figure </w:t>
      </w:r>
      <w:r>
        <w:rPr>
          <w:rFonts w:cs="Arial"/>
          <w:b/>
          <w:color w:val="000000" w:themeColor="text1"/>
        </w:rPr>
        <w:fldChar w:fldCharType="begin"/>
      </w:r>
      <w:r>
        <w:rPr>
          <w:rFonts w:cs="Arial"/>
          <w:b/>
          <w:color w:val="000000" w:themeColor="text1"/>
        </w:rPr>
        <w:instrText xml:space="preserve"> SEQ Figure \* ARABIC </w:instrText>
      </w:r>
      <w:r>
        <w:rPr>
          <w:rFonts w:cs="Arial"/>
          <w:b/>
          <w:color w:val="000000" w:themeColor="text1"/>
        </w:rPr>
        <w:fldChar w:fldCharType="separate"/>
      </w:r>
      <w:r>
        <w:rPr>
          <w:rFonts w:cs="Arial"/>
          <w:b/>
          <w:noProof/>
          <w:color w:val="000000" w:themeColor="text1"/>
        </w:rPr>
        <w:t>2</w:t>
      </w:r>
      <w:r>
        <w:rPr>
          <w:rFonts w:cs="Arial"/>
          <w:b/>
          <w:color w:val="000000" w:themeColor="text1"/>
        </w:rPr>
        <w:fldChar w:fldCharType="end"/>
      </w:r>
      <w:bookmarkEnd w:id="481"/>
      <w:r>
        <w:rPr>
          <w:b/>
        </w:rPr>
        <w:t xml:space="preserve"> – Distribution of reported HCH-A scores: Dimensions 6 to 8</w:t>
      </w:r>
      <w:bookmarkEnd w:id="482"/>
      <w:r>
        <w:rPr>
          <w:b/>
        </w:rPr>
        <w:t xml:space="preserve"> </w:t>
      </w:r>
    </w:p>
    <w:p w14:paraId="0DE3931E" w14:textId="77777777" w:rsidR="001C19F3" w:rsidRPr="00DE4E96" w:rsidRDefault="001C19F3" w:rsidP="001C19F3">
      <w:pPr>
        <w:pStyle w:val="Chartortablefootnote"/>
      </w:pPr>
      <w:r w:rsidRPr="00732532">
        <w:t xml:space="preserve">Source: Practice survey Round 1. Notes: See notes in </w:t>
      </w:r>
      <w:r w:rsidRPr="00732532">
        <w:fldChar w:fldCharType="begin"/>
      </w:r>
      <w:r w:rsidRPr="00732532">
        <w:instrText xml:space="preserve"> REF _Ref527644704 \h  \* MERGEFORMAT </w:instrText>
      </w:r>
      <w:r w:rsidRPr="00732532">
        <w:fldChar w:fldCharType="separate"/>
      </w:r>
      <w:r w:rsidRPr="008F2809">
        <w:t>Figure 1</w:t>
      </w:r>
      <w:r w:rsidRPr="00732532">
        <w:fldChar w:fldCharType="end"/>
      </w:r>
      <w:r w:rsidRPr="00732532">
        <w:t xml:space="preserve"> for interpretation of the box plots. For more values for these distributions see Appendix 3 (</w:t>
      </w:r>
      <w:r w:rsidRPr="00732532">
        <w:fldChar w:fldCharType="begin"/>
      </w:r>
      <w:r w:rsidRPr="00732532">
        <w:instrText xml:space="preserve"> REF _Ref22647927 \h </w:instrText>
      </w:r>
      <w:r>
        <w:instrText xml:space="preserve"> \* MERGEFORMAT </w:instrText>
      </w:r>
      <w:r w:rsidRPr="00732532">
        <w:fldChar w:fldCharType="separate"/>
      </w:r>
      <w:r>
        <w:t xml:space="preserve">Table </w:t>
      </w:r>
      <w:r>
        <w:rPr>
          <w:noProof/>
        </w:rPr>
        <w:t>34</w:t>
      </w:r>
      <w:r w:rsidRPr="00732532">
        <w:fldChar w:fldCharType="end"/>
      </w:r>
      <w:r w:rsidRPr="00732532">
        <w:t>).</w:t>
      </w:r>
    </w:p>
    <w:p w14:paraId="6E8F9D6B" w14:textId="77777777" w:rsidR="001C19F3" w:rsidRDefault="001C19F3" w:rsidP="001C19F3"/>
    <w:p w14:paraId="16970291" w14:textId="77777777" w:rsidR="001C19F3" w:rsidRDefault="001C19F3" w:rsidP="001C19F3">
      <w:pPr>
        <w:spacing w:after="160" w:line="259" w:lineRule="auto"/>
        <w:rPr>
          <w:rFonts w:eastAsiaTheme="majorEastAsia" w:cstheme="majorBidi"/>
          <w:color w:val="003D79"/>
          <w:sz w:val="40"/>
          <w:szCs w:val="26"/>
        </w:rPr>
      </w:pPr>
      <w:bookmarkStart w:id="483" w:name="_Ref528241416"/>
      <w:bookmarkStart w:id="484" w:name="_Toc532396754"/>
      <w:r>
        <w:br w:type="page"/>
      </w:r>
    </w:p>
    <w:p w14:paraId="3A4A2F58" w14:textId="77777777" w:rsidR="001C19F3" w:rsidRDefault="001C19F3" w:rsidP="001C19F3">
      <w:pPr>
        <w:pStyle w:val="Heading2"/>
      </w:pPr>
      <w:bookmarkStart w:id="485" w:name="_Toc27058953"/>
      <w:r>
        <w:lastRenderedPageBreak/>
        <w:t>Staff surveys</w:t>
      </w:r>
      <w:bookmarkEnd w:id="485"/>
    </w:p>
    <w:p w14:paraId="4B07256D" w14:textId="77777777" w:rsidR="001C19F3" w:rsidRDefault="001C19F3" w:rsidP="001C19F3">
      <w:r w:rsidRPr="005356D1">
        <w:t>Practice staff were also surveyed in Round 1.</w:t>
      </w:r>
      <w:r>
        <w:t xml:space="preserve"> Five-hundred and twenty-nine</w:t>
      </w:r>
      <w:r w:rsidRPr="005356D1">
        <w:t xml:space="preserve"> staff responded to the survey</w:t>
      </w:r>
      <w:r>
        <w:t xml:space="preserve">, including </w:t>
      </w:r>
      <w:r w:rsidRPr="005356D1">
        <w:t>100 GPs, 125 practice nurses/nurse practitioners, 131 receptionists, and 128 practices managers.</w:t>
      </w:r>
      <w:r>
        <w:t xml:space="preserve"> </w:t>
      </w:r>
      <w:r>
        <w:fldChar w:fldCharType="begin"/>
      </w:r>
      <w:r>
        <w:instrText xml:space="preserve"> REF _Ref20755153 \h  \* MERGEFORMAT </w:instrText>
      </w:r>
      <w:r>
        <w:fldChar w:fldCharType="separate"/>
      </w:r>
      <w:r w:rsidRPr="008F2809">
        <w:t>Table 5</w:t>
      </w:r>
      <w:r>
        <w:fldChar w:fldCharType="end"/>
      </w:r>
      <w:r>
        <w:t xml:space="preserve"> provides a guide to where various tables and figures derived from the survey have been presented in Volume 2. Further tables and figures are in Appendix 2 of this report. </w:t>
      </w:r>
    </w:p>
    <w:p w14:paraId="6C3393FF" w14:textId="77777777" w:rsidR="001C19F3" w:rsidRPr="005356D1" w:rsidRDefault="001C19F3" w:rsidP="001C19F3">
      <w:r w:rsidRPr="005356D1">
        <w:t>Staff were</w:t>
      </w:r>
      <w:r>
        <w:t xml:space="preserve"> asked to provide their views on</w:t>
      </w:r>
      <w:r w:rsidRPr="005356D1">
        <w:t xml:space="preserve"> various aspects of the operation of the practice relevant to the directions of the HCH program</w:t>
      </w:r>
      <w:r>
        <w:t>,</w:t>
      </w:r>
      <w:r w:rsidRPr="005356D1">
        <w:t xml:space="preserve"> but could select not to respond to questions that they felt they were not in a position to assess.</w:t>
      </w:r>
      <w:r>
        <w:t xml:space="preserve"> The q</w:t>
      </w:r>
      <w:r w:rsidRPr="005356D1">
        <w:t>uestion</w:t>
      </w:r>
      <w:r>
        <w:t>s to which staff responded (and the tables and figures in Appendix 2 of this volume where the analysis of the responses are shown) are as follows</w:t>
      </w:r>
      <w:r w:rsidRPr="005356D1">
        <w:t>:</w:t>
      </w:r>
    </w:p>
    <w:p w14:paraId="11C18FD5" w14:textId="77777777" w:rsidR="001C19F3" w:rsidRPr="00397585" w:rsidRDefault="001C19F3" w:rsidP="001C19F3">
      <w:pPr>
        <w:numPr>
          <w:ilvl w:val="0"/>
          <w:numId w:val="107"/>
        </w:numPr>
        <w:ind w:left="714" w:hanging="357"/>
        <w:contextualSpacing/>
      </w:pPr>
      <w:r w:rsidRPr="00397585">
        <w:t>use of electronic health records and other electronic systems (</w:t>
      </w:r>
      <w:r>
        <w:fldChar w:fldCharType="begin"/>
      </w:r>
      <w:r>
        <w:instrText xml:space="preserve"> REF _Ref22650905 \h </w:instrText>
      </w:r>
      <w:r>
        <w:fldChar w:fldCharType="separate"/>
      </w:r>
      <w:r>
        <w:t xml:space="preserve">Table </w:t>
      </w:r>
      <w:r>
        <w:rPr>
          <w:noProof/>
        </w:rPr>
        <w:t>59</w:t>
      </w:r>
      <w:r>
        <w:fldChar w:fldCharType="end"/>
      </w:r>
      <w:r>
        <w:t xml:space="preserve">; </w:t>
      </w:r>
      <w:r>
        <w:fldChar w:fldCharType="begin"/>
      </w:r>
      <w:r>
        <w:instrText xml:space="preserve"> REF _Ref22650962 \h </w:instrText>
      </w:r>
      <w:r>
        <w:fldChar w:fldCharType="separate"/>
      </w:r>
      <w:r>
        <w:t xml:space="preserve">Table </w:t>
      </w:r>
      <w:r>
        <w:rPr>
          <w:noProof/>
        </w:rPr>
        <w:t>60</w:t>
      </w:r>
      <w:r>
        <w:fldChar w:fldCharType="end"/>
      </w:r>
      <w:r>
        <w:t xml:space="preserve">; </w:t>
      </w:r>
      <w:r w:rsidRPr="00397585">
        <w:fldChar w:fldCharType="begin"/>
      </w:r>
      <w:r w:rsidRPr="00397585">
        <w:instrText xml:space="preserve"> REF _Ref22650262 \h </w:instrText>
      </w:r>
      <w:r>
        <w:instrText xml:space="preserve"> \* MERGEFORMAT </w:instrText>
      </w:r>
      <w:r w:rsidRPr="00397585">
        <w:fldChar w:fldCharType="separate"/>
      </w:r>
      <w:r w:rsidRPr="008F2809">
        <w:t xml:space="preserve">Figure </w:t>
      </w:r>
      <w:r w:rsidRPr="008F2809">
        <w:rPr>
          <w:rFonts w:cs="Arial"/>
          <w:noProof/>
          <w:color w:val="000000" w:themeColor="text1"/>
        </w:rPr>
        <w:t>7</w:t>
      </w:r>
      <w:r w:rsidRPr="00397585">
        <w:fldChar w:fldCharType="end"/>
      </w:r>
      <w:r w:rsidRPr="00397585">
        <w:t>)</w:t>
      </w:r>
    </w:p>
    <w:p w14:paraId="49B78AF6" w14:textId="77777777" w:rsidR="001C19F3" w:rsidRPr="005356D1" w:rsidRDefault="001C19F3" w:rsidP="001C19F3">
      <w:pPr>
        <w:numPr>
          <w:ilvl w:val="0"/>
          <w:numId w:val="107"/>
        </w:numPr>
        <w:ind w:left="714" w:hanging="357"/>
        <w:contextualSpacing/>
      </w:pPr>
      <w:r>
        <w:t>working</w:t>
      </w:r>
      <w:r w:rsidRPr="005356D1">
        <w:t xml:space="preserve"> as a team (</w:t>
      </w:r>
      <w:r>
        <w:fldChar w:fldCharType="begin"/>
      </w:r>
      <w:r>
        <w:instrText xml:space="preserve"> REF _Ref22650925 \h </w:instrText>
      </w:r>
      <w:r>
        <w:fldChar w:fldCharType="separate"/>
      </w:r>
      <w:r>
        <w:t xml:space="preserve">Table </w:t>
      </w:r>
      <w:r>
        <w:rPr>
          <w:noProof/>
        </w:rPr>
        <w:t>58</w:t>
      </w:r>
      <w:r>
        <w:fldChar w:fldCharType="end"/>
      </w:r>
      <w:r>
        <w:t xml:space="preserve">; </w:t>
      </w:r>
      <w:r w:rsidRPr="005356D1">
        <w:fldChar w:fldCharType="begin"/>
      </w:r>
      <w:r w:rsidRPr="005356D1">
        <w:instrText xml:space="preserve"> REF _Ref527998214 \h  \* MERGEFORMAT </w:instrText>
      </w:r>
      <w:r w:rsidRPr="005356D1">
        <w:fldChar w:fldCharType="separate"/>
      </w:r>
      <w:r w:rsidRPr="008F2809">
        <w:t>Figure 8</w:t>
      </w:r>
      <w:r w:rsidRPr="005356D1">
        <w:fldChar w:fldCharType="end"/>
      </w:r>
      <w:r w:rsidRPr="005356D1">
        <w:t>)</w:t>
      </w:r>
    </w:p>
    <w:p w14:paraId="215ADC21" w14:textId="77777777" w:rsidR="001C19F3" w:rsidRPr="005356D1" w:rsidRDefault="001C19F3" w:rsidP="001C19F3">
      <w:pPr>
        <w:numPr>
          <w:ilvl w:val="0"/>
          <w:numId w:val="107"/>
        </w:numPr>
        <w:ind w:left="714" w:hanging="357"/>
        <w:contextualSpacing/>
      </w:pPr>
      <w:r w:rsidRPr="005356D1">
        <w:t>communicating and working with patients (</w:t>
      </w:r>
      <w:r w:rsidRPr="005356D1">
        <w:fldChar w:fldCharType="begin"/>
      </w:r>
      <w:r w:rsidRPr="005356D1">
        <w:instrText xml:space="preserve"> REF _Ref527999047 \h  \* MERGEFORMAT </w:instrText>
      </w:r>
      <w:r w:rsidRPr="005356D1">
        <w:fldChar w:fldCharType="separate"/>
      </w:r>
      <w:r w:rsidRPr="008F2809">
        <w:t>Figure 9</w:t>
      </w:r>
      <w:r w:rsidRPr="005356D1">
        <w:fldChar w:fldCharType="end"/>
      </w:r>
      <w:r w:rsidRPr="005356D1">
        <w:t>)</w:t>
      </w:r>
    </w:p>
    <w:p w14:paraId="35BBB2E2" w14:textId="77777777" w:rsidR="001C19F3" w:rsidRPr="005356D1" w:rsidRDefault="001C19F3" w:rsidP="001C19F3">
      <w:pPr>
        <w:numPr>
          <w:ilvl w:val="0"/>
          <w:numId w:val="107"/>
        </w:numPr>
        <w:spacing w:after="0"/>
        <w:ind w:left="714" w:hanging="357"/>
        <w:contextualSpacing/>
      </w:pPr>
      <w:r w:rsidRPr="005356D1">
        <w:t>planning care with patients (</w:t>
      </w:r>
      <w:r w:rsidRPr="005356D1">
        <w:fldChar w:fldCharType="begin"/>
      </w:r>
      <w:r w:rsidRPr="005356D1">
        <w:instrText xml:space="preserve"> REF _Ref527999077 \h  \* MERGEFORMAT </w:instrText>
      </w:r>
      <w:r w:rsidRPr="005356D1">
        <w:fldChar w:fldCharType="separate"/>
      </w:r>
      <w:r w:rsidRPr="008F2809">
        <w:t>Figure 10</w:t>
      </w:r>
      <w:r w:rsidRPr="005356D1">
        <w:fldChar w:fldCharType="end"/>
      </w:r>
      <w:r w:rsidRPr="005356D1">
        <w:t xml:space="preserve">, </w:t>
      </w:r>
      <w:r w:rsidRPr="005356D1">
        <w:fldChar w:fldCharType="begin"/>
      </w:r>
      <w:r w:rsidRPr="005356D1">
        <w:instrText xml:space="preserve"> REF _Ref527999080 \h  \* MERGEFORMAT </w:instrText>
      </w:r>
      <w:r w:rsidRPr="005356D1">
        <w:fldChar w:fldCharType="separate"/>
      </w:r>
      <w:r w:rsidRPr="008F2809">
        <w:t>Figure 11</w:t>
      </w:r>
      <w:r w:rsidRPr="005356D1">
        <w:fldChar w:fldCharType="end"/>
      </w:r>
      <w:r w:rsidRPr="005356D1">
        <w:t>)</w:t>
      </w:r>
    </w:p>
    <w:p w14:paraId="7CCA5A38" w14:textId="77777777" w:rsidR="001C19F3" w:rsidRPr="005356D1" w:rsidRDefault="001C19F3" w:rsidP="001C19F3">
      <w:pPr>
        <w:numPr>
          <w:ilvl w:val="0"/>
          <w:numId w:val="107"/>
        </w:numPr>
        <w:spacing w:after="0"/>
        <w:ind w:left="714" w:hanging="357"/>
        <w:contextualSpacing/>
      </w:pPr>
      <w:r w:rsidRPr="005356D1">
        <w:t>communications with medical specialists (</w:t>
      </w:r>
      <w:r w:rsidRPr="005356D1">
        <w:fldChar w:fldCharType="begin"/>
      </w:r>
      <w:r w:rsidRPr="005356D1">
        <w:instrText xml:space="preserve"> REF _Ref527999126 \h  \* MERGEFORMAT </w:instrText>
      </w:r>
      <w:r w:rsidRPr="005356D1">
        <w:fldChar w:fldCharType="separate"/>
      </w:r>
      <w:r w:rsidRPr="008F2809">
        <w:t>Figure 12</w:t>
      </w:r>
      <w:r w:rsidRPr="005356D1">
        <w:fldChar w:fldCharType="end"/>
      </w:r>
      <w:r w:rsidRPr="005356D1">
        <w:t>)</w:t>
      </w:r>
    </w:p>
    <w:p w14:paraId="79F4198A" w14:textId="77777777" w:rsidR="001C19F3" w:rsidRDefault="001C19F3" w:rsidP="001C19F3">
      <w:pPr>
        <w:numPr>
          <w:ilvl w:val="0"/>
          <w:numId w:val="107"/>
        </w:numPr>
        <w:spacing w:after="0"/>
        <w:ind w:left="714" w:hanging="357"/>
      </w:pPr>
      <w:r w:rsidRPr="005356D1">
        <w:t>information flows following a patient’s discharge from hospital (</w:t>
      </w:r>
      <w:r w:rsidRPr="005356D1">
        <w:fldChar w:fldCharType="begin"/>
      </w:r>
      <w:r w:rsidRPr="005356D1">
        <w:instrText xml:space="preserve"> REF _Ref527999162 \h  \* MERGEFORMAT </w:instrText>
      </w:r>
      <w:r w:rsidRPr="005356D1">
        <w:fldChar w:fldCharType="separate"/>
      </w:r>
      <w:r w:rsidRPr="008F2809">
        <w:t>Figure 13</w:t>
      </w:r>
      <w:r w:rsidRPr="005356D1">
        <w:fldChar w:fldCharType="end"/>
      </w:r>
      <w:r w:rsidRPr="005356D1">
        <w:t>)</w:t>
      </w:r>
    </w:p>
    <w:p w14:paraId="2484C56F" w14:textId="77777777" w:rsidR="001C19F3" w:rsidRDefault="001C19F3" w:rsidP="001C19F3">
      <w:pPr>
        <w:numPr>
          <w:ilvl w:val="0"/>
          <w:numId w:val="107"/>
        </w:numPr>
        <w:ind w:left="714" w:hanging="357"/>
      </w:pPr>
      <w:r>
        <w:t xml:space="preserve">experiences of work and </w:t>
      </w:r>
      <w:r w:rsidRPr="005356D1">
        <w:t>work environment</w:t>
      </w:r>
      <w:r>
        <w:t xml:space="preserve"> (</w:t>
      </w:r>
      <w:r w:rsidRPr="005356D1">
        <w:fldChar w:fldCharType="begin"/>
      </w:r>
      <w:r w:rsidRPr="005356D1">
        <w:instrText xml:space="preserve"> REF _Ref527999234 \h  \* MERGEFORMAT </w:instrText>
      </w:r>
      <w:r w:rsidRPr="005356D1">
        <w:fldChar w:fldCharType="separate"/>
      </w:r>
      <w:r w:rsidRPr="008F2809">
        <w:t>Figure 14</w:t>
      </w:r>
      <w:r w:rsidRPr="005356D1">
        <w:fldChar w:fldCharType="end"/>
      </w:r>
      <w:r>
        <w:t>)</w:t>
      </w:r>
      <w:r w:rsidRPr="005356D1">
        <w:t>.</w:t>
      </w:r>
      <w:r>
        <w:t xml:space="preserve"> </w:t>
      </w:r>
    </w:p>
    <w:p w14:paraId="1497085F" w14:textId="77777777" w:rsidR="001C19F3" w:rsidRDefault="001C19F3" w:rsidP="001C19F3">
      <w:pPr>
        <w:jc w:val="center"/>
        <w:rPr>
          <w:rFonts w:eastAsia="Century Gothic" w:cs="Century Gothic"/>
          <w:i/>
          <w:color w:val="000000"/>
          <w:sz w:val="18"/>
          <w:szCs w:val="18"/>
        </w:rPr>
      </w:pPr>
    </w:p>
    <w:p w14:paraId="0128DE36" w14:textId="77777777" w:rsidR="001C19F3" w:rsidRPr="000316A1" w:rsidRDefault="001C19F3" w:rsidP="001C19F3">
      <w:pPr>
        <w:jc w:val="center"/>
        <w:rPr>
          <w:rFonts w:cstheme="minorBidi"/>
          <w:sz w:val="18"/>
          <w:szCs w:val="18"/>
        </w:rPr>
      </w:pPr>
    </w:p>
    <w:p w14:paraId="17E16BDA" w14:textId="77777777" w:rsidR="001C19F3" w:rsidRPr="000316A1" w:rsidRDefault="001C19F3" w:rsidP="001C19F3">
      <w:pPr>
        <w:jc w:val="center"/>
        <w:rPr>
          <w:sz w:val="18"/>
          <w:szCs w:val="18"/>
        </w:rPr>
        <w:sectPr w:rsidR="001C19F3" w:rsidRPr="000316A1" w:rsidSect="00640EFA">
          <w:headerReference w:type="first" r:id="rId156"/>
          <w:pgSz w:w="11906" w:h="16838"/>
          <w:pgMar w:top="1440" w:right="1440" w:bottom="1440" w:left="1440" w:header="708" w:footer="708" w:gutter="0"/>
          <w:cols w:space="708"/>
          <w:titlePg/>
          <w:docGrid w:linePitch="360"/>
        </w:sectPr>
      </w:pPr>
    </w:p>
    <w:p w14:paraId="3DF34072" w14:textId="77777777" w:rsidR="001C19F3" w:rsidRDefault="001C19F3" w:rsidP="001C19F3">
      <w:pPr>
        <w:pStyle w:val="Heading1withnumber"/>
        <w:ind w:left="0" w:hanging="993"/>
      </w:pPr>
      <w:bookmarkStart w:id="486" w:name="_Toc27058954"/>
      <w:bookmarkEnd w:id="483"/>
      <w:bookmarkEnd w:id="484"/>
      <w:r>
        <w:lastRenderedPageBreak/>
        <w:t>PHN surveys</w:t>
      </w:r>
      <w:bookmarkEnd w:id="486"/>
    </w:p>
    <w:p w14:paraId="37FC27E0" w14:textId="77777777" w:rsidR="001C19F3" w:rsidRDefault="001C19F3" w:rsidP="001C19F3">
      <w:r>
        <w:t xml:space="preserve">PHN surveys were conducted in Round 1. All 10 PHNs responded. The survey included questions on local governance, the approach to training and support and facilitation of their HCH practices, details of training workshops provided, estimates of the amount of support (in terms of contacts and time) provided for practices on average, the factors that contributed to effective facilitation, their assessment of the effectiveness of activities to support and develop facilitators, and the level of resourcing devoted to HCHs. Facilitators were also asked to assess each HCH using only the high-level dimensions of the HCH-A tool. </w:t>
      </w:r>
    </w:p>
    <w:p w14:paraId="5F927F0F" w14:textId="77777777" w:rsidR="001C19F3" w:rsidRDefault="001C19F3" w:rsidP="001C19F3">
      <w:r>
        <w:t xml:space="preserve">The largely qualitative responses to these surveys have been outlined in Volume 2. Below we summarise responses to questions on activities to support and develop facilitators’ skills. </w:t>
      </w:r>
      <w:r>
        <w:fldChar w:fldCharType="begin"/>
      </w:r>
      <w:r>
        <w:instrText xml:space="preserve"> REF _Ref22660401 \h  \* MERGEFORMAT </w:instrText>
      </w:r>
      <w:r>
        <w:fldChar w:fldCharType="separate"/>
      </w:r>
      <w:r w:rsidRPr="008F2809">
        <w:t>Table 8</w:t>
      </w:r>
      <w:r>
        <w:fldChar w:fldCharType="end"/>
      </w:r>
      <w:r>
        <w:t xml:space="preserve"> shows the assessment of the effectiveness of several of these activities. These were assessed for the facilitator roles in supporting practices to (a) get started with the HCH model, for example, </w:t>
      </w:r>
      <w:r w:rsidRPr="0024613C">
        <w:t xml:space="preserve">setting up </w:t>
      </w:r>
      <w:r>
        <w:t xml:space="preserve">for </w:t>
      </w:r>
      <w:r w:rsidRPr="0024613C">
        <w:t>patient enrolment, getting familiar with the risk stratification tool</w:t>
      </w:r>
      <w:r>
        <w:t xml:space="preserve"> (RST) and (b) </w:t>
      </w:r>
      <w:r w:rsidRPr="0024613C">
        <w:t>practice transformation</w:t>
      </w:r>
      <w:r>
        <w:t xml:space="preserve">, for example, </w:t>
      </w:r>
      <w:r w:rsidRPr="0024613C">
        <w:t>identifying priorities for change, strengthening teamwork</w:t>
      </w:r>
      <w:r>
        <w:t xml:space="preserve">. PHNs considered the practice facilitator workshops and the coaching webinars to be more effective than the other activities. Mostly they considered the online training modules to be less effective. Overall, there was little difference in how effective these activities were in getting started versus ongoing transformation activities. </w:t>
      </w:r>
    </w:p>
    <w:p w14:paraId="1221559E" w14:textId="77777777" w:rsidR="001C19F3" w:rsidRDefault="001C19F3" w:rsidP="001C19F3">
      <w:pPr>
        <w:spacing w:after="0"/>
        <w:jc w:val="center"/>
        <w:rPr>
          <w:b/>
        </w:rPr>
      </w:pPr>
      <w:bookmarkStart w:id="487" w:name="_Ref22660401"/>
      <w:r w:rsidRPr="007E3ABB">
        <w:rPr>
          <w:b/>
        </w:rPr>
        <w:t xml:space="preserve">Table </w:t>
      </w:r>
      <w:r w:rsidRPr="007E3ABB">
        <w:rPr>
          <w:rFonts w:cs="Arial"/>
          <w:b/>
          <w:color w:val="000000" w:themeColor="text1"/>
        </w:rPr>
        <w:fldChar w:fldCharType="begin"/>
      </w:r>
      <w:r w:rsidRPr="007E3ABB">
        <w:rPr>
          <w:rFonts w:cs="Arial"/>
          <w:b/>
          <w:color w:val="000000" w:themeColor="text1"/>
        </w:rPr>
        <w:instrText xml:space="preserve"> SEQ Table \* ARABIC </w:instrText>
      </w:r>
      <w:r w:rsidRPr="007E3ABB">
        <w:rPr>
          <w:rFonts w:cs="Arial"/>
          <w:b/>
          <w:color w:val="000000" w:themeColor="text1"/>
        </w:rPr>
        <w:fldChar w:fldCharType="separate"/>
      </w:r>
      <w:r>
        <w:rPr>
          <w:rFonts w:cs="Arial"/>
          <w:b/>
          <w:noProof/>
          <w:color w:val="000000" w:themeColor="text1"/>
        </w:rPr>
        <w:t>8</w:t>
      </w:r>
      <w:r w:rsidRPr="007E3ABB">
        <w:rPr>
          <w:rFonts w:cs="Arial"/>
          <w:b/>
          <w:color w:val="000000" w:themeColor="text1"/>
        </w:rPr>
        <w:fldChar w:fldCharType="end"/>
      </w:r>
      <w:bookmarkEnd w:id="487"/>
      <w:r w:rsidRPr="007E3ABB">
        <w:rPr>
          <w:b/>
        </w:rPr>
        <w:t xml:space="preserve"> – </w:t>
      </w:r>
      <w:r>
        <w:rPr>
          <w:b/>
        </w:rPr>
        <w:t>Responses (number of PHNs) to the effectiveness of activities to prepare and support facilitators in supporting practices</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99"/>
        <w:gridCol w:w="2578"/>
        <w:gridCol w:w="938"/>
        <w:gridCol w:w="1030"/>
        <w:gridCol w:w="1160"/>
        <w:gridCol w:w="901"/>
      </w:tblGrid>
      <w:tr w:rsidR="001C19F3" w:rsidRPr="00C67352" w14:paraId="31F7457C" w14:textId="77777777" w:rsidTr="00521305">
        <w:trPr>
          <w:cantSplit/>
          <w:trHeight w:val="336"/>
          <w:tblHeader/>
          <w:jc w:val="center"/>
        </w:trPr>
        <w:tc>
          <w:tcPr>
            <w:tcW w:w="1332" w:type="pct"/>
            <w:shd w:val="clear" w:color="auto" w:fill="003D79"/>
            <w:vAlign w:val="center"/>
            <w:hideMark/>
          </w:tcPr>
          <w:p w14:paraId="23DE48D8" w14:textId="77777777" w:rsidR="001C19F3" w:rsidRPr="00C67352" w:rsidRDefault="001C19F3" w:rsidP="00521305">
            <w:pPr>
              <w:jc w:val="center"/>
              <w:rPr>
                <w:b/>
                <w:sz w:val="18"/>
                <w:szCs w:val="18"/>
                <w:lang w:val="en-US"/>
              </w:rPr>
            </w:pPr>
            <w:r>
              <w:rPr>
                <w:b/>
                <w:sz w:val="18"/>
                <w:szCs w:val="18"/>
              </w:rPr>
              <w:t xml:space="preserve">Activities to prepare </w:t>
            </w:r>
            <w:r w:rsidRPr="00C67352">
              <w:rPr>
                <w:b/>
                <w:sz w:val="18"/>
                <w:szCs w:val="18"/>
              </w:rPr>
              <w:t>and support for facilitators</w:t>
            </w:r>
          </w:p>
        </w:tc>
        <w:tc>
          <w:tcPr>
            <w:tcW w:w="1431" w:type="pct"/>
            <w:shd w:val="clear" w:color="auto" w:fill="003D79"/>
            <w:vAlign w:val="center"/>
          </w:tcPr>
          <w:p w14:paraId="219D5406" w14:textId="77777777" w:rsidR="001C19F3" w:rsidRPr="00C67352" w:rsidRDefault="001C19F3" w:rsidP="00521305">
            <w:pPr>
              <w:jc w:val="center"/>
              <w:rPr>
                <w:rFonts w:eastAsia="Century Gothic" w:cs="Century Gothic"/>
                <w:b/>
                <w:color w:val="FFFFFF"/>
                <w:sz w:val="18"/>
                <w:szCs w:val="18"/>
              </w:rPr>
            </w:pPr>
            <w:r w:rsidRPr="00C67352">
              <w:rPr>
                <w:rFonts w:eastAsia="Century Gothic" w:cs="Century Gothic"/>
                <w:b/>
                <w:color w:val="FFFFFF" w:themeColor="background1"/>
                <w:sz w:val="18"/>
                <w:szCs w:val="18"/>
              </w:rPr>
              <w:t>How effective in preparing facilitations to supporting practices…</w:t>
            </w:r>
          </w:p>
        </w:tc>
        <w:tc>
          <w:tcPr>
            <w:tcW w:w="521" w:type="pct"/>
            <w:shd w:val="clear" w:color="auto" w:fill="003D79"/>
            <w:tcMar>
              <w:top w:w="0" w:type="dxa"/>
              <w:left w:w="0" w:type="dxa"/>
              <w:bottom w:w="0" w:type="dxa"/>
              <w:right w:w="0" w:type="dxa"/>
            </w:tcMar>
            <w:vAlign w:val="center"/>
            <w:hideMark/>
          </w:tcPr>
          <w:p w14:paraId="2BAD1D95" w14:textId="77777777" w:rsidR="001C19F3" w:rsidRPr="00C67352" w:rsidRDefault="001C19F3" w:rsidP="00521305">
            <w:pPr>
              <w:jc w:val="center"/>
              <w:rPr>
                <w:sz w:val="18"/>
                <w:szCs w:val="18"/>
              </w:rPr>
            </w:pPr>
            <w:r w:rsidRPr="00C67352">
              <w:rPr>
                <w:rFonts w:eastAsia="Century Gothic" w:cs="Century Gothic"/>
                <w:b/>
                <w:color w:val="FFFFFF"/>
                <w:sz w:val="18"/>
                <w:szCs w:val="18"/>
              </w:rPr>
              <w:t>Very effective</w:t>
            </w:r>
          </w:p>
        </w:tc>
        <w:tc>
          <w:tcPr>
            <w:tcW w:w="572" w:type="pct"/>
            <w:shd w:val="clear" w:color="auto" w:fill="003D79"/>
            <w:tcMar>
              <w:top w:w="0" w:type="dxa"/>
              <w:left w:w="0" w:type="dxa"/>
              <w:bottom w:w="0" w:type="dxa"/>
              <w:right w:w="0" w:type="dxa"/>
            </w:tcMar>
            <w:vAlign w:val="center"/>
            <w:hideMark/>
          </w:tcPr>
          <w:p w14:paraId="2B54A7D6" w14:textId="77777777" w:rsidR="001C19F3" w:rsidRPr="00C67352" w:rsidRDefault="001C19F3" w:rsidP="00521305">
            <w:pPr>
              <w:jc w:val="center"/>
              <w:rPr>
                <w:sz w:val="18"/>
                <w:szCs w:val="18"/>
              </w:rPr>
            </w:pPr>
            <w:r w:rsidRPr="00C67352">
              <w:rPr>
                <w:rFonts w:eastAsia="Century Gothic" w:cs="Century Gothic"/>
                <w:b/>
                <w:color w:val="FFFFFF"/>
                <w:sz w:val="18"/>
                <w:szCs w:val="18"/>
              </w:rPr>
              <w:t>Somewhat effective</w:t>
            </w:r>
          </w:p>
        </w:tc>
        <w:tc>
          <w:tcPr>
            <w:tcW w:w="644" w:type="pct"/>
            <w:shd w:val="clear" w:color="auto" w:fill="003D79"/>
            <w:tcMar>
              <w:top w:w="0" w:type="dxa"/>
              <w:left w:w="0" w:type="dxa"/>
              <w:bottom w:w="0" w:type="dxa"/>
              <w:right w:w="0" w:type="dxa"/>
            </w:tcMar>
            <w:vAlign w:val="center"/>
            <w:hideMark/>
          </w:tcPr>
          <w:p w14:paraId="69B773E3" w14:textId="77777777" w:rsidR="001C19F3" w:rsidRPr="00C67352" w:rsidRDefault="001C19F3" w:rsidP="00521305">
            <w:pPr>
              <w:jc w:val="center"/>
              <w:rPr>
                <w:sz w:val="18"/>
                <w:szCs w:val="18"/>
              </w:rPr>
            </w:pPr>
            <w:r w:rsidRPr="00C67352">
              <w:rPr>
                <w:rFonts w:eastAsia="Century Gothic" w:cs="Century Gothic"/>
                <w:b/>
                <w:color w:val="FFFFFF"/>
                <w:sz w:val="18"/>
                <w:szCs w:val="18"/>
              </w:rPr>
              <w:t>Limited effectiveness</w:t>
            </w:r>
          </w:p>
        </w:tc>
        <w:tc>
          <w:tcPr>
            <w:tcW w:w="500" w:type="pct"/>
            <w:shd w:val="clear" w:color="auto" w:fill="003D79"/>
            <w:tcMar>
              <w:top w:w="0" w:type="dxa"/>
              <w:left w:w="0" w:type="dxa"/>
              <w:bottom w:w="0" w:type="dxa"/>
              <w:right w:w="0" w:type="dxa"/>
            </w:tcMar>
            <w:vAlign w:val="center"/>
            <w:hideMark/>
          </w:tcPr>
          <w:p w14:paraId="3DE5BFAE" w14:textId="77777777" w:rsidR="001C19F3" w:rsidRPr="00C67352" w:rsidRDefault="001C19F3" w:rsidP="00521305">
            <w:pPr>
              <w:jc w:val="center"/>
              <w:rPr>
                <w:sz w:val="18"/>
                <w:szCs w:val="18"/>
              </w:rPr>
            </w:pPr>
            <w:r>
              <w:rPr>
                <w:rFonts w:eastAsia="Century Gothic" w:cs="Century Gothic"/>
                <w:b/>
                <w:color w:val="FFFFFF"/>
                <w:sz w:val="18"/>
                <w:szCs w:val="18"/>
              </w:rPr>
              <w:t xml:space="preserve">Not </w:t>
            </w:r>
            <w:r w:rsidRPr="00C67352">
              <w:rPr>
                <w:rFonts w:eastAsia="Century Gothic" w:cs="Century Gothic"/>
                <w:b/>
                <w:color w:val="FFFFFF"/>
                <w:sz w:val="18"/>
                <w:szCs w:val="18"/>
              </w:rPr>
              <w:t>effective</w:t>
            </w:r>
          </w:p>
        </w:tc>
      </w:tr>
      <w:tr w:rsidR="001C19F3" w:rsidRPr="00C67352" w14:paraId="08CB8352" w14:textId="77777777" w:rsidTr="00521305">
        <w:trPr>
          <w:cantSplit/>
          <w:trHeight w:val="442"/>
          <w:jc w:val="center"/>
        </w:trPr>
        <w:tc>
          <w:tcPr>
            <w:tcW w:w="1332" w:type="pct"/>
            <w:vMerge w:val="restart"/>
            <w:shd w:val="clear" w:color="auto" w:fill="FFFFFF"/>
            <w:tcMar>
              <w:top w:w="0" w:type="dxa"/>
              <w:left w:w="0" w:type="dxa"/>
              <w:bottom w:w="0" w:type="dxa"/>
              <w:right w:w="0" w:type="dxa"/>
            </w:tcMar>
          </w:tcPr>
          <w:p w14:paraId="763186A0" w14:textId="77777777" w:rsidR="001C19F3" w:rsidRPr="00C67352" w:rsidRDefault="001C19F3" w:rsidP="00521305">
            <w:pPr>
              <w:spacing w:before="40" w:after="40"/>
              <w:ind w:left="100" w:right="100"/>
              <w:rPr>
                <w:rFonts w:eastAsia="Century Gothic" w:cs="Century Gothic"/>
                <w:color w:val="000000"/>
                <w:sz w:val="18"/>
                <w:szCs w:val="18"/>
              </w:rPr>
            </w:pPr>
            <w:r w:rsidRPr="00C67352">
              <w:rPr>
                <w:rFonts w:eastAsia="Century Gothic" w:cs="Century Gothic"/>
                <w:color w:val="000000"/>
                <w:sz w:val="18"/>
                <w:szCs w:val="18"/>
              </w:rPr>
              <w:t>Practice facilitator workshops</w:t>
            </w:r>
            <w:r>
              <w:rPr>
                <w:rFonts w:eastAsia="Century Gothic" w:cs="Century Gothic"/>
                <w:color w:val="000000"/>
                <w:sz w:val="18"/>
                <w:szCs w:val="18"/>
              </w:rPr>
              <w:t xml:space="preserve"> (c</w:t>
            </w:r>
            <w:r w:rsidRPr="00C67352">
              <w:rPr>
                <w:rFonts w:eastAsia="Century Gothic" w:cs="Century Gothic"/>
                <w:color w:val="000000"/>
                <w:sz w:val="18"/>
                <w:szCs w:val="18"/>
              </w:rPr>
              <w:t>onsider</w:t>
            </w:r>
            <w:r>
              <w:rPr>
                <w:rFonts w:eastAsia="Century Gothic" w:cs="Century Gothic"/>
                <w:color w:val="000000"/>
                <w:sz w:val="18"/>
                <w:szCs w:val="18"/>
              </w:rPr>
              <w:t>ing</w:t>
            </w:r>
            <w:r w:rsidRPr="00C67352">
              <w:rPr>
                <w:rFonts w:eastAsia="Century Gothic" w:cs="Century Gothic"/>
                <w:color w:val="000000"/>
                <w:sz w:val="18"/>
                <w:szCs w:val="18"/>
              </w:rPr>
              <w:t xml:space="preserve"> workshop</w:t>
            </w:r>
            <w:r>
              <w:rPr>
                <w:rFonts w:eastAsia="Century Gothic" w:cs="Century Gothic"/>
                <w:color w:val="000000"/>
                <w:sz w:val="18"/>
                <w:szCs w:val="18"/>
              </w:rPr>
              <w:t xml:space="preserve"> 1 &amp; 2 </w:t>
            </w:r>
            <w:r w:rsidRPr="00C67352">
              <w:rPr>
                <w:rFonts w:eastAsia="Century Gothic" w:cs="Century Gothic"/>
                <w:color w:val="000000"/>
                <w:sz w:val="18"/>
                <w:szCs w:val="18"/>
              </w:rPr>
              <w:t>as a whole)</w:t>
            </w:r>
          </w:p>
        </w:tc>
        <w:tc>
          <w:tcPr>
            <w:tcW w:w="1431" w:type="pct"/>
            <w:shd w:val="clear" w:color="auto" w:fill="FFFFFF"/>
            <w:vAlign w:val="center"/>
          </w:tcPr>
          <w:p w14:paraId="6506AD7F"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 xml:space="preserve">to get started with HCH </w:t>
            </w:r>
          </w:p>
        </w:tc>
        <w:tc>
          <w:tcPr>
            <w:tcW w:w="521" w:type="pct"/>
            <w:shd w:val="clear" w:color="auto" w:fill="FFFFFF"/>
            <w:tcMar>
              <w:top w:w="0" w:type="dxa"/>
              <w:left w:w="0" w:type="dxa"/>
              <w:bottom w:w="0" w:type="dxa"/>
              <w:right w:w="0" w:type="dxa"/>
            </w:tcMar>
            <w:vAlign w:val="center"/>
          </w:tcPr>
          <w:p w14:paraId="4C3AC743"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2</w:t>
            </w:r>
          </w:p>
        </w:tc>
        <w:tc>
          <w:tcPr>
            <w:tcW w:w="572" w:type="pct"/>
            <w:shd w:val="clear" w:color="auto" w:fill="FFFFFF"/>
            <w:tcMar>
              <w:top w:w="0" w:type="dxa"/>
              <w:left w:w="0" w:type="dxa"/>
              <w:bottom w:w="0" w:type="dxa"/>
              <w:right w:w="0" w:type="dxa"/>
            </w:tcMar>
            <w:vAlign w:val="center"/>
          </w:tcPr>
          <w:p w14:paraId="05FB4549"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6</w:t>
            </w:r>
          </w:p>
        </w:tc>
        <w:tc>
          <w:tcPr>
            <w:tcW w:w="644" w:type="pct"/>
            <w:shd w:val="clear" w:color="auto" w:fill="FFFFFF"/>
            <w:tcMar>
              <w:top w:w="0" w:type="dxa"/>
              <w:left w:w="0" w:type="dxa"/>
              <w:bottom w:w="0" w:type="dxa"/>
              <w:right w:w="0" w:type="dxa"/>
            </w:tcMar>
            <w:vAlign w:val="center"/>
          </w:tcPr>
          <w:p w14:paraId="139DC33C"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2</w:t>
            </w:r>
          </w:p>
        </w:tc>
        <w:tc>
          <w:tcPr>
            <w:tcW w:w="500" w:type="pct"/>
            <w:shd w:val="clear" w:color="auto" w:fill="FFFFFF"/>
            <w:tcMar>
              <w:top w:w="0" w:type="dxa"/>
              <w:left w:w="0" w:type="dxa"/>
              <w:bottom w:w="0" w:type="dxa"/>
              <w:right w:w="0" w:type="dxa"/>
            </w:tcMar>
            <w:vAlign w:val="center"/>
          </w:tcPr>
          <w:p w14:paraId="265793BD"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r>
      <w:tr w:rsidR="001C19F3" w:rsidRPr="00C67352" w14:paraId="4AAE1C08" w14:textId="77777777" w:rsidTr="00521305">
        <w:trPr>
          <w:cantSplit/>
          <w:trHeight w:val="442"/>
          <w:jc w:val="center"/>
        </w:trPr>
        <w:tc>
          <w:tcPr>
            <w:tcW w:w="1332" w:type="pct"/>
            <w:vMerge/>
            <w:shd w:val="clear" w:color="auto" w:fill="FFFFFF"/>
            <w:tcMar>
              <w:top w:w="0" w:type="dxa"/>
              <w:left w:w="0" w:type="dxa"/>
              <w:bottom w:w="0" w:type="dxa"/>
              <w:right w:w="0" w:type="dxa"/>
            </w:tcMar>
            <w:hideMark/>
          </w:tcPr>
          <w:p w14:paraId="0279831C" w14:textId="77777777" w:rsidR="001C19F3" w:rsidRPr="00C67352" w:rsidRDefault="001C19F3" w:rsidP="00521305">
            <w:pPr>
              <w:spacing w:before="40" w:after="40"/>
              <w:ind w:left="100" w:right="100"/>
              <w:rPr>
                <w:sz w:val="18"/>
                <w:szCs w:val="18"/>
              </w:rPr>
            </w:pPr>
          </w:p>
        </w:tc>
        <w:tc>
          <w:tcPr>
            <w:tcW w:w="1431" w:type="pct"/>
            <w:shd w:val="clear" w:color="auto" w:fill="FFFFFF"/>
            <w:vAlign w:val="center"/>
          </w:tcPr>
          <w:p w14:paraId="0AA783FF"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in practice transformation</w:t>
            </w:r>
          </w:p>
        </w:tc>
        <w:tc>
          <w:tcPr>
            <w:tcW w:w="521" w:type="pct"/>
            <w:shd w:val="clear" w:color="auto" w:fill="FFFFFF"/>
            <w:tcMar>
              <w:top w:w="0" w:type="dxa"/>
              <w:left w:w="0" w:type="dxa"/>
              <w:bottom w:w="0" w:type="dxa"/>
              <w:right w:w="0" w:type="dxa"/>
            </w:tcMar>
            <w:vAlign w:val="center"/>
            <w:hideMark/>
          </w:tcPr>
          <w:p w14:paraId="577F714E"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2</w:t>
            </w:r>
          </w:p>
        </w:tc>
        <w:tc>
          <w:tcPr>
            <w:tcW w:w="572" w:type="pct"/>
            <w:shd w:val="clear" w:color="auto" w:fill="FFFFFF"/>
            <w:tcMar>
              <w:top w:w="0" w:type="dxa"/>
              <w:left w:w="0" w:type="dxa"/>
              <w:bottom w:w="0" w:type="dxa"/>
              <w:right w:w="0" w:type="dxa"/>
            </w:tcMar>
            <w:vAlign w:val="center"/>
            <w:hideMark/>
          </w:tcPr>
          <w:p w14:paraId="4F2A997D"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6</w:t>
            </w:r>
          </w:p>
        </w:tc>
        <w:tc>
          <w:tcPr>
            <w:tcW w:w="644" w:type="pct"/>
            <w:shd w:val="clear" w:color="auto" w:fill="FFFFFF"/>
            <w:tcMar>
              <w:top w:w="0" w:type="dxa"/>
              <w:left w:w="0" w:type="dxa"/>
              <w:bottom w:w="0" w:type="dxa"/>
              <w:right w:w="0" w:type="dxa"/>
            </w:tcMar>
            <w:vAlign w:val="center"/>
            <w:hideMark/>
          </w:tcPr>
          <w:p w14:paraId="304F2B00"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2</w:t>
            </w:r>
          </w:p>
        </w:tc>
        <w:tc>
          <w:tcPr>
            <w:tcW w:w="500" w:type="pct"/>
            <w:shd w:val="clear" w:color="auto" w:fill="FFFFFF"/>
            <w:tcMar>
              <w:top w:w="0" w:type="dxa"/>
              <w:left w:w="0" w:type="dxa"/>
              <w:bottom w:w="0" w:type="dxa"/>
              <w:right w:w="0" w:type="dxa"/>
            </w:tcMar>
            <w:vAlign w:val="center"/>
            <w:hideMark/>
          </w:tcPr>
          <w:p w14:paraId="683169A0"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r>
      <w:tr w:rsidR="001C19F3" w:rsidRPr="00C67352" w14:paraId="6D37B26B" w14:textId="77777777" w:rsidTr="00521305">
        <w:trPr>
          <w:cantSplit/>
          <w:trHeight w:val="442"/>
          <w:jc w:val="center"/>
        </w:trPr>
        <w:tc>
          <w:tcPr>
            <w:tcW w:w="1332" w:type="pct"/>
            <w:vMerge w:val="restart"/>
            <w:shd w:val="clear" w:color="auto" w:fill="FFFFFF"/>
            <w:tcMar>
              <w:top w:w="0" w:type="dxa"/>
              <w:left w:w="0" w:type="dxa"/>
              <w:bottom w:w="0" w:type="dxa"/>
              <w:right w:w="0" w:type="dxa"/>
            </w:tcMar>
          </w:tcPr>
          <w:p w14:paraId="147630E1" w14:textId="77777777" w:rsidR="001C19F3" w:rsidRPr="00C67352" w:rsidRDefault="001C19F3" w:rsidP="00521305">
            <w:pPr>
              <w:spacing w:before="40" w:after="40"/>
              <w:ind w:left="100" w:right="100"/>
              <w:rPr>
                <w:rFonts w:eastAsia="Century Gothic" w:cs="Century Gothic"/>
                <w:color w:val="000000"/>
                <w:sz w:val="18"/>
                <w:szCs w:val="18"/>
              </w:rPr>
            </w:pPr>
            <w:r w:rsidRPr="00C67352">
              <w:rPr>
                <w:rFonts w:eastAsia="Century Gothic" w:cs="Century Gothic"/>
                <w:color w:val="000000"/>
                <w:sz w:val="18"/>
                <w:szCs w:val="18"/>
              </w:rPr>
              <w:t xml:space="preserve">HCH </w:t>
            </w:r>
            <w:r>
              <w:rPr>
                <w:rFonts w:eastAsia="Century Gothic" w:cs="Century Gothic"/>
                <w:color w:val="000000"/>
                <w:sz w:val="18"/>
                <w:szCs w:val="18"/>
              </w:rPr>
              <w:t>online</w:t>
            </w:r>
            <w:r w:rsidRPr="00C67352">
              <w:rPr>
                <w:rFonts w:eastAsia="Century Gothic" w:cs="Century Gothic"/>
                <w:color w:val="000000"/>
                <w:sz w:val="18"/>
                <w:szCs w:val="18"/>
              </w:rPr>
              <w:t xml:space="preserve"> training modules</w:t>
            </w:r>
          </w:p>
        </w:tc>
        <w:tc>
          <w:tcPr>
            <w:tcW w:w="1431" w:type="pct"/>
            <w:shd w:val="clear" w:color="auto" w:fill="FFFFFF"/>
            <w:vAlign w:val="center"/>
          </w:tcPr>
          <w:p w14:paraId="153DF6A4"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to get started with HCH</w:t>
            </w:r>
          </w:p>
        </w:tc>
        <w:tc>
          <w:tcPr>
            <w:tcW w:w="521" w:type="pct"/>
            <w:shd w:val="clear" w:color="auto" w:fill="FFFFFF"/>
            <w:tcMar>
              <w:top w:w="0" w:type="dxa"/>
              <w:left w:w="0" w:type="dxa"/>
              <w:bottom w:w="0" w:type="dxa"/>
              <w:right w:w="0" w:type="dxa"/>
            </w:tcMar>
            <w:vAlign w:val="center"/>
          </w:tcPr>
          <w:p w14:paraId="052BAF53"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c>
          <w:tcPr>
            <w:tcW w:w="572" w:type="pct"/>
            <w:shd w:val="clear" w:color="auto" w:fill="FFFFFF"/>
            <w:tcMar>
              <w:top w:w="0" w:type="dxa"/>
              <w:left w:w="0" w:type="dxa"/>
              <w:bottom w:w="0" w:type="dxa"/>
              <w:right w:w="0" w:type="dxa"/>
            </w:tcMar>
            <w:vAlign w:val="center"/>
          </w:tcPr>
          <w:p w14:paraId="77F1AA09"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4</w:t>
            </w:r>
          </w:p>
        </w:tc>
        <w:tc>
          <w:tcPr>
            <w:tcW w:w="644" w:type="pct"/>
            <w:shd w:val="clear" w:color="auto" w:fill="FFFFFF"/>
            <w:tcMar>
              <w:top w:w="0" w:type="dxa"/>
              <w:left w:w="0" w:type="dxa"/>
              <w:bottom w:w="0" w:type="dxa"/>
              <w:right w:w="0" w:type="dxa"/>
            </w:tcMar>
            <w:vAlign w:val="center"/>
          </w:tcPr>
          <w:p w14:paraId="0D1525E4"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5</w:t>
            </w:r>
          </w:p>
        </w:tc>
        <w:tc>
          <w:tcPr>
            <w:tcW w:w="500" w:type="pct"/>
            <w:shd w:val="clear" w:color="auto" w:fill="FFFFFF"/>
            <w:tcMar>
              <w:top w:w="0" w:type="dxa"/>
              <w:left w:w="0" w:type="dxa"/>
              <w:bottom w:w="0" w:type="dxa"/>
              <w:right w:w="0" w:type="dxa"/>
            </w:tcMar>
            <w:vAlign w:val="center"/>
          </w:tcPr>
          <w:p w14:paraId="7F5B50CD"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r>
      <w:tr w:rsidR="001C19F3" w:rsidRPr="00C67352" w14:paraId="41E9CC0F" w14:textId="77777777" w:rsidTr="00521305">
        <w:trPr>
          <w:cantSplit/>
          <w:trHeight w:val="442"/>
          <w:jc w:val="center"/>
        </w:trPr>
        <w:tc>
          <w:tcPr>
            <w:tcW w:w="1332" w:type="pct"/>
            <w:vMerge/>
            <w:shd w:val="clear" w:color="auto" w:fill="FFFFFF"/>
            <w:tcMar>
              <w:top w:w="0" w:type="dxa"/>
              <w:left w:w="0" w:type="dxa"/>
              <w:bottom w:w="0" w:type="dxa"/>
              <w:right w:w="0" w:type="dxa"/>
            </w:tcMar>
            <w:hideMark/>
          </w:tcPr>
          <w:p w14:paraId="0CC4AD15" w14:textId="77777777" w:rsidR="001C19F3" w:rsidRPr="00C67352" w:rsidRDefault="001C19F3" w:rsidP="00521305">
            <w:pPr>
              <w:spacing w:before="40" w:after="40"/>
              <w:ind w:left="100" w:right="100"/>
              <w:rPr>
                <w:sz w:val="18"/>
                <w:szCs w:val="18"/>
              </w:rPr>
            </w:pPr>
          </w:p>
        </w:tc>
        <w:tc>
          <w:tcPr>
            <w:tcW w:w="1431" w:type="pct"/>
            <w:shd w:val="clear" w:color="auto" w:fill="FFFFFF"/>
            <w:vAlign w:val="center"/>
          </w:tcPr>
          <w:p w14:paraId="7030BBFE"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in practice transformation</w:t>
            </w:r>
          </w:p>
        </w:tc>
        <w:tc>
          <w:tcPr>
            <w:tcW w:w="521" w:type="pct"/>
            <w:shd w:val="clear" w:color="auto" w:fill="FFFFFF"/>
            <w:tcMar>
              <w:top w:w="0" w:type="dxa"/>
              <w:left w:w="0" w:type="dxa"/>
              <w:bottom w:w="0" w:type="dxa"/>
              <w:right w:w="0" w:type="dxa"/>
            </w:tcMar>
            <w:vAlign w:val="center"/>
            <w:hideMark/>
          </w:tcPr>
          <w:p w14:paraId="18A8F66A"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c>
          <w:tcPr>
            <w:tcW w:w="572" w:type="pct"/>
            <w:shd w:val="clear" w:color="auto" w:fill="FFFFFF"/>
            <w:tcMar>
              <w:top w:w="0" w:type="dxa"/>
              <w:left w:w="0" w:type="dxa"/>
              <w:bottom w:w="0" w:type="dxa"/>
              <w:right w:w="0" w:type="dxa"/>
            </w:tcMar>
            <w:vAlign w:val="center"/>
            <w:hideMark/>
          </w:tcPr>
          <w:p w14:paraId="2501ECCB"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3</w:t>
            </w:r>
          </w:p>
        </w:tc>
        <w:tc>
          <w:tcPr>
            <w:tcW w:w="644" w:type="pct"/>
            <w:shd w:val="clear" w:color="auto" w:fill="FFFFFF"/>
            <w:tcMar>
              <w:top w:w="0" w:type="dxa"/>
              <w:left w:w="0" w:type="dxa"/>
              <w:bottom w:w="0" w:type="dxa"/>
              <w:right w:w="0" w:type="dxa"/>
            </w:tcMar>
            <w:vAlign w:val="center"/>
            <w:hideMark/>
          </w:tcPr>
          <w:p w14:paraId="55E5E8A2"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6</w:t>
            </w:r>
          </w:p>
        </w:tc>
        <w:tc>
          <w:tcPr>
            <w:tcW w:w="500" w:type="pct"/>
            <w:shd w:val="clear" w:color="auto" w:fill="FFFFFF"/>
            <w:tcMar>
              <w:top w:w="0" w:type="dxa"/>
              <w:left w:w="0" w:type="dxa"/>
              <w:bottom w:w="0" w:type="dxa"/>
              <w:right w:w="0" w:type="dxa"/>
            </w:tcMar>
            <w:vAlign w:val="center"/>
            <w:hideMark/>
          </w:tcPr>
          <w:p w14:paraId="701A743A"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r>
      <w:tr w:rsidR="001C19F3" w:rsidRPr="00C67352" w14:paraId="3367309B" w14:textId="77777777" w:rsidTr="00521305">
        <w:trPr>
          <w:cantSplit/>
          <w:trHeight w:val="442"/>
          <w:jc w:val="center"/>
        </w:trPr>
        <w:tc>
          <w:tcPr>
            <w:tcW w:w="1332" w:type="pct"/>
            <w:vMerge w:val="restart"/>
            <w:shd w:val="clear" w:color="auto" w:fill="FFFFFF"/>
            <w:tcMar>
              <w:top w:w="0" w:type="dxa"/>
              <w:left w:w="0" w:type="dxa"/>
              <w:bottom w:w="0" w:type="dxa"/>
              <w:right w:w="0" w:type="dxa"/>
            </w:tcMar>
          </w:tcPr>
          <w:p w14:paraId="41462002" w14:textId="77777777" w:rsidR="001C19F3" w:rsidRPr="00C67352" w:rsidRDefault="001C19F3" w:rsidP="00521305">
            <w:pPr>
              <w:spacing w:before="40" w:after="40"/>
              <w:ind w:left="100" w:right="100"/>
              <w:rPr>
                <w:rFonts w:eastAsia="Century Gothic" w:cs="Century Gothic"/>
                <w:color w:val="000000"/>
                <w:sz w:val="18"/>
                <w:szCs w:val="18"/>
              </w:rPr>
            </w:pPr>
            <w:r w:rsidRPr="00C67352">
              <w:rPr>
                <w:rFonts w:eastAsia="Century Gothic" w:cs="Century Gothic"/>
                <w:color w:val="000000"/>
                <w:sz w:val="18"/>
                <w:szCs w:val="18"/>
              </w:rPr>
              <w:t>Practice facilitator coaching webinars</w:t>
            </w:r>
          </w:p>
        </w:tc>
        <w:tc>
          <w:tcPr>
            <w:tcW w:w="1431" w:type="pct"/>
            <w:shd w:val="clear" w:color="auto" w:fill="FFFFFF"/>
            <w:vAlign w:val="center"/>
          </w:tcPr>
          <w:p w14:paraId="3A46CE49"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to get started with HCH</w:t>
            </w:r>
          </w:p>
        </w:tc>
        <w:tc>
          <w:tcPr>
            <w:tcW w:w="521" w:type="pct"/>
            <w:shd w:val="clear" w:color="auto" w:fill="FFFFFF"/>
            <w:tcMar>
              <w:top w:w="0" w:type="dxa"/>
              <w:left w:w="0" w:type="dxa"/>
              <w:bottom w:w="0" w:type="dxa"/>
              <w:right w:w="0" w:type="dxa"/>
            </w:tcMar>
            <w:vAlign w:val="center"/>
          </w:tcPr>
          <w:p w14:paraId="49648D07"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2</w:t>
            </w:r>
          </w:p>
        </w:tc>
        <w:tc>
          <w:tcPr>
            <w:tcW w:w="572" w:type="pct"/>
            <w:shd w:val="clear" w:color="auto" w:fill="FFFFFF"/>
            <w:tcMar>
              <w:top w:w="0" w:type="dxa"/>
              <w:left w:w="0" w:type="dxa"/>
              <w:bottom w:w="0" w:type="dxa"/>
              <w:right w:w="0" w:type="dxa"/>
            </w:tcMar>
            <w:vAlign w:val="center"/>
          </w:tcPr>
          <w:p w14:paraId="31831C76"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5</w:t>
            </w:r>
          </w:p>
        </w:tc>
        <w:tc>
          <w:tcPr>
            <w:tcW w:w="644" w:type="pct"/>
            <w:shd w:val="clear" w:color="auto" w:fill="FFFFFF"/>
            <w:tcMar>
              <w:top w:w="0" w:type="dxa"/>
              <w:left w:w="0" w:type="dxa"/>
              <w:bottom w:w="0" w:type="dxa"/>
              <w:right w:w="0" w:type="dxa"/>
            </w:tcMar>
            <w:vAlign w:val="center"/>
          </w:tcPr>
          <w:p w14:paraId="0DE7A952"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3</w:t>
            </w:r>
          </w:p>
        </w:tc>
        <w:tc>
          <w:tcPr>
            <w:tcW w:w="500" w:type="pct"/>
            <w:shd w:val="clear" w:color="auto" w:fill="FFFFFF"/>
            <w:tcMar>
              <w:top w:w="0" w:type="dxa"/>
              <w:left w:w="0" w:type="dxa"/>
              <w:bottom w:w="0" w:type="dxa"/>
              <w:right w:w="0" w:type="dxa"/>
            </w:tcMar>
            <w:vAlign w:val="center"/>
          </w:tcPr>
          <w:p w14:paraId="0B576916"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r>
      <w:tr w:rsidR="001C19F3" w:rsidRPr="00C67352" w14:paraId="5992A0CB" w14:textId="77777777" w:rsidTr="00521305">
        <w:trPr>
          <w:cantSplit/>
          <w:trHeight w:val="442"/>
          <w:jc w:val="center"/>
        </w:trPr>
        <w:tc>
          <w:tcPr>
            <w:tcW w:w="1332" w:type="pct"/>
            <w:vMerge/>
            <w:shd w:val="clear" w:color="auto" w:fill="FFFFFF"/>
            <w:tcMar>
              <w:top w:w="0" w:type="dxa"/>
              <w:left w:w="0" w:type="dxa"/>
              <w:bottom w:w="0" w:type="dxa"/>
              <w:right w:w="0" w:type="dxa"/>
            </w:tcMar>
            <w:hideMark/>
          </w:tcPr>
          <w:p w14:paraId="18C08C51" w14:textId="77777777" w:rsidR="001C19F3" w:rsidRPr="00C67352" w:rsidRDefault="001C19F3" w:rsidP="00521305">
            <w:pPr>
              <w:spacing w:before="40" w:after="40"/>
              <w:ind w:left="100" w:right="100"/>
              <w:rPr>
                <w:sz w:val="18"/>
                <w:szCs w:val="18"/>
              </w:rPr>
            </w:pPr>
          </w:p>
        </w:tc>
        <w:tc>
          <w:tcPr>
            <w:tcW w:w="1431" w:type="pct"/>
            <w:shd w:val="clear" w:color="auto" w:fill="FFFFFF"/>
            <w:vAlign w:val="center"/>
          </w:tcPr>
          <w:p w14:paraId="2DD3C962"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in practice transformation</w:t>
            </w:r>
          </w:p>
        </w:tc>
        <w:tc>
          <w:tcPr>
            <w:tcW w:w="521" w:type="pct"/>
            <w:shd w:val="clear" w:color="auto" w:fill="FFFFFF"/>
            <w:tcMar>
              <w:top w:w="0" w:type="dxa"/>
              <w:left w:w="0" w:type="dxa"/>
              <w:bottom w:w="0" w:type="dxa"/>
              <w:right w:w="0" w:type="dxa"/>
            </w:tcMar>
            <w:vAlign w:val="center"/>
            <w:hideMark/>
          </w:tcPr>
          <w:p w14:paraId="30E172CB"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2</w:t>
            </w:r>
          </w:p>
        </w:tc>
        <w:tc>
          <w:tcPr>
            <w:tcW w:w="572" w:type="pct"/>
            <w:shd w:val="clear" w:color="auto" w:fill="FFFFFF"/>
            <w:tcMar>
              <w:top w:w="0" w:type="dxa"/>
              <w:left w:w="0" w:type="dxa"/>
              <w:bottom w:w="0" w:type="dxa"/>
              <w:right w:w="0" w:type="dxa"/>
            </w:tcMar>
            <w:vAlign w:val="center"/>
            <w:hideMark/>
          </w:tcPr>
          <w:p w14:paraId="53FDA671"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6</w:t>
            </w:r>
          </w:p>
        </w:tc>
        <w:tc>
          <w:tcPr>
            <w:tcW w:w="644" w:type="pct"/>
            <w:shd w:val="clear" w:color="auto" w:fill="FFFFFF"/>
            <w:tcMar>
              <w:top w:w="0" w:type="dxa"/>
              <w:left w:w="0" w:type="dxa"/>
              <w:bottom w:w="0" w:type="dxa"/>
              <w:right w:w="0" w:type="dxa"/>
            </w:tcMar>
            <w:vAlign w:val="center"/>
            <w:hideMark/>
          </w:tcPr>
          <w:p w14:paraId="44E72EF1"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c>
          <w:tcPr>
            <w:tcW w:w="500" w:type="pct"/>
            <w:shd w:val="clear" w:color="auto" w:fill="FFFFFF"/>
            <w:tcMar>
              <w:top w:w="0" w:type="dxa"/>
              <w:left w:w="0" w:type="dxa"/>
              <w:bottom w:w="0" w:type="dxa"/>
              <w:right w:w="0" w:type="dxa"/>
            </w:tcMar>
            <w:vAlign w:val="center"/>
            <w:hideMark/>
          </w:tcPr>
          <w:p w14:paraId="7400B0FC"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r>
      <w:tr w:rsidR="001C19F3" w:rsidRPr="00C67352" w14:paraId="601CC711" w14:textId="77777777" w:rsidTr="00521305">
        <w:trPr>
          <w:cantSplit/>
          <w:trHeight w:val="442"/>
          <w:jc w:val="center"/>
        </w:trPr>
        <w:tc>
          <w:tcPr>
            <w:tcW w:w="1332" w:type="pct"/>
            <w:vMerge w:val="restart"/>
            <w:shd w:val="clear" w:color="auto" w:fill="FFFFFF"/>
            <w:tcMar>
              <w:top w:w="0" w:type="dxa"/>
              <w:left w:w="0" w:type="dxa"/>
              <w:bottom w:w="0" w:type="dxa"/>
              <w:right w:w="0" w:type="dxa"/>
            </w:tcMar>
          </w:tcPr>
          <w:p w14:paraId="692F5F4A" w14:textId="77777777" w:rsidR="001C19F3" w:rsidRPr="00C67352" w:rsidRDefault="001C19F3" w:rsidP="00521305">
            <w:pPr>
              <w:spacing w:before="40" w:after="40"/>
              <w:ind w:left="100" w:right="100"/>
              <w:rPr>
                <w:rFonts w:eastAsia="Century Gothic" w:cs="Century Gothic"/>
                <w:color w:val="000000"/>
                <w:sz w:val="18"/>
                <w:szCs w:val="18"/>
              </w:rPr>
            </w:pPr>
            <w:r w:rsidRPr="00C67352">
              <w:rPr>
                <w:rFonts w:eastAsia="Century Gothic" w:cs="Century Gothic"/>
                <w:color w:val="000000"/>
                <w:sz w:val="18"/>
                <w:szCs w:val="18"/>
              </w:rPr>
              <w:t>Practice facilitator individual coaching/</w:t>
            </w:r>
            <w:r>
              <w:rPr>
                <w:rFonts w:eastAsia="Century Gothic" w:cs="Century Gothic"/>
                <w:color w:val="000000"/>
                <w:sz w:val="18"/>
                <w:szCs w:val="18"/>
              </w:rPr>
              <w:t xml:space="preserve"> </w:t>
            </w:r>
            <w:r w:rsidRPr="00C67352">
              <w:rPr>
                <w:rFonts w:eastAsia="Century Gothic" w:cs="Century Gothic"/>
                <w:color w:val="000000"/>
                <w:sz w:val="18"/>
                <w:szCs w:val="18"/>
              </w:rPr>
              <w:t>support from National practice facilitator</w:t>
            </w:r>
          </w:p>
        </w:tc>
        <w:tc>
          <w:tcPr>
            <w:tcW w:w="1431" w:type="pct"/>
            <w:shd w:val="clear" w:color="auto" w:fill="FFFFFF"/>
            <w:vAlign w:val="center"/>
          </w:tcPr>
          <w:p w14:paraId="59678807"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to get started with HCH</w:t>
            </w:r>
          </w:p>
        </w:tc>
        <w:tc>
          <w:tcPr>
            <w:tcW w:w="521" w:type="pct"/>
            <w:shd w:val="clear" w:color="auto" w:fill="FFFFFF"/>
            <w:tcMar>
              <w:top w:w="0" w:type="dxa"/>
              <w:left w:w="0" w:type="dxa"/>
              <w:bottom w:w="0" w:type="dxa"/>
              <w:right w:w="0" w:type="dxa"/>
            </w:tcMar>
            <w:vAlign w:val="center"/>
          </w:tcPr>
          <w:p w14:paraId="73DA4ED4"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c>
          <w:tcPr>
            <w:tcW w:w="572" w:type="pct"/>
            <w:shd w:val="clear" w:color="auto" w:fill="FFFFFF"/>
            <w:tcMar>
              <w:top w:w="0" w:type="dxa"/>
              <w:left w:w="0" w:type="dxa"/>
              <w:bottom w:w="0" w:type="dxa"/>
              <w:right w:w="0" w:type="dxa"/>
            </w:tcMar>
            <w:vAlign w:val="center"/>
          </w:tcPr>
          <w:p w14:paraId="190F1680"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5</w:t>
            </w:r>
          </w:p>
        </w:tc>
        <w:tc>
          <w:tcPr>
            <w:tcW w:w="644" w:type="pct"/>
            <w:shd w:val="clear" w:color="auto" w:fill="FFFFFF"/>
            <w:tcMar>
              <w:top w:w="0" w:type="dxa"/>
              <w:left w:w="0" w:type="dxa"/>
              <w:bottom w:w="0" w:type="dxa"/>
              <w:right w:w="0" w:type="dxa"/>
            </w:tcMar>
            <w:vAlign w:val="center"/>
          </w:tcPr>
          <w:p w14:paraId="72DEED29"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4</w:t>
            </w:r>
          </w:p>
        </w:tc>
        <w:tc>
          <w:tcPr>
            <w:tcW w:w="500" w:type="pct"/>
            <w:shd w:val="clear" w:color="auto" w:fill="FFFFFF"/>
            <w:tcMar>
              <w:top w:w="0" w:type="dxa"/>
              <w:left w:w="0" w:type="dxa"/>
              <w:bottom w:w="0" w:type="dxa"/>
              <w:right w:w="0" w:type="dxa"/>
            </w:tcMar>
            <w:vAlign w:val="center"/>
          </w:tcPr>
          <w:p w14:paraId="6D3D34BA"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r>
      <w:tr w:rsidR="001C19F3" w:rsidRPr="00C67352" w14:paraId="1AC91FA0" w14:textId="77777777" w:rsidTr="00521305">
        <w:trPr>
          <w:cantSplit/>
          <w:trHeight w:val="442"/>
          <w:jc w:val="center"/>
        </w:trPr>
        <w:tc>
          <w:tcPr>
            <w:tcW w:w="1332" w:type="pct"/>
            <w:vMerge/>
            <w:shd w:val="clear" w:color="auto" w:fill="FFFFFF"/>
            <w:tcMar>
              <w:top w:w="0" w:type="dxa"/>
              <w:left w:w="0" w:type="dxa"/>
              <w:bottom w:w="0" w:type="dxa"/>
              <w:right w:w="0" w:type="dxa"/>
            </w:tcMar>
            <w:hideMark/>
          </w:tcPr>
          <w:p w14:paraId="4B0DCEFC" w14:textId="77777777" w:rsidR="001C19F3" w:rsidRPr="00C67352" w:rsidRDefault="001C19F3" w:rsidP="00521305">
            <w:pPr>
              <w:spacing w:before="40" w:after="40"/>
              <w:ind w:left="100" w:right="100"/>
              <w:rPr>
                <w:sz w:val="18"/>
                <w:szCs w:val="18"/>
              </w:rPr>
            </w:pPr>
          </w:p>
        </w:tc>
        <w:tc>
          <w:tcPr>
            <w:tcW w:w="1431" w:type="pct"/>
            <w:shd w:val="clear" w:color="auto" w:fill="FFFFFF"/>
            <w:vAlign w:val="center"/>
          </w:tcPr>
          <w:p w14:paraId="6BCA8464"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in practice transformation</w:t>
            </w:r>
          </w:p>
        </w:tc>
        <w:tc>
          <w:tcPr>
            <w:tcW w:w="521" w:type="pct"/>
            <w:shd w:val="clear" w:color="auto" w:fill="FFFFFF"/>
            <w:tcMar>
              <w:top w:w="0" w:type="dxa"/>
              <w:left w:w="0" w:type="dxa"/>
              <w:bottom w:w="0" w:type="dxa"/>
              <w:right w:w="0" w:type="dxa"/>
            </w:tcMar>
            <w:vAlign w:val="center"/>
            <w:hideMark/>
          </w:tcPr>
          <w:p w14:paraId="5345F147"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c>
          <w:tcPr>
            <w:tcW w:w="572" w:type="pct"/>
            <w:shd w:val="clear" w:color="auto" w:fill="FFFFFF"/>
            <w:tcMar>
              <w:top w:w="0" w:type="dxa"/>
              <w:left w:w="0" w:type="dxa"/>
              <w:bottom w:w="0" w:type="dxa"/>
              <w:right w:w="0" w:type="dxa"/>
            </w:tcMar>
            <w:vAlign w:val="center"/>
            <w:hideMark/>
          </w:tcPr>
          <w:p w14:paraId="3D4621DC"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5</w:t>
            </w:r>
          </w:p>
        </w:tc>
        <w:tc>
          <w:tcPr>
            <w:tcW w:w="644" w:type="pct"/>
            <w:shd w:val="clear" w:color="auto" w:fill="FFFFFF"/>
            <w:tcMar>
              <w:top w:w="0" w:type="dxa"/>
              <w:left w:w="0" w:type="dxa"/>
              <w:bottom w:w="0" w:type="dxa"/>
              <w:right w:w="0" w:type="dxa"/>
            </w:tcMar>
            <w:vAlign w:val="center"/>
            <w:hideMark/>
          </w:tcPr>
          <w:p w14:paraId="468DD26F"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4</w:t>
            </w:r>
          </w:p>
        </w:tc>
        <w:tc>
          <w:tcPr>
            <w:tcW w:w="500" w:type="pct"/>
            <w:shd w:val="clear" w:color="auto" w:fill="FFFFFF"/>
            <w:tcMar>
              <w:top w:w="0" w:type="dxa"/>
              <w:left w:w="0" w:type="dxa"/>
              <w:bottom w:w="0" w:type="dxa"/>
              <w:right w:w="0" w:type="dxa"/>
            </w:tcMar>
            <w:vAlign w:val="center"/>
            <w:hideMark/>
          </w:tcPr>
          <w:p w14:paraId="49CEBA2D"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r>
      <w:tr w:rsidR="001C19F3" w:rsidRPr="00C67352" w14:paraId="10D33530" w14:textId="77777777" w:rsidTr="00521305">
        <w:trPr>
          <w:cantSplit/>
          <w:trHeight w:val="442"/>
          <w:jc w:val="center"/>
        </w:trPr>
        <w:tc>
          <w:tcPr>
            <w:tcW w:w="1332" w:type="pct"/>
            <w:vMerge w:val="restart"/>
            <w:shd w:val="clear" w:color="auto" w:fill="FFFFFF"/>
            <w:tcMar>
              <w:top w:w="0" w:type="dxa"/>
              <w:left w:w="0" w:type="dxa"/>
              <w:bottom w:w="0" w:type="dxa"/>
              <w:right w:w="0" w:type="dxa"/>
            </w:tcMar>
          </w:tcPr>
          <w:p w14:paraId="30CEF758" w14:textId="77777777" w:rsidR="001C19F3" w:rsidRPr="00C67352" w:rsidRDefault="001C19F3" w:rsidP="00521305">
            <w:pPr>
              <w:spacing w:before="40" w:after="40"/>
              <w:ind w:left="100" w:right="100"/>
              <w:rPr>
                <w:rFonts w:eastAsia="Century Gothic" w:cs="Century Gothic"/>
                <w:color w:val="000000"/>
                <w:sz w:val="18"/>
                <w:szCs w:val="18"/>
              </w:rPr>
            </w:pPr>
            <w:r w:rsidRPr="00C67352">
              <w:rPr>
                <w:rFonts w:eastAsia="Century Gothic" w:cs="Century Gothic"/>
                <w:color w:val="000000"/>
                <w:sz w:val="18"/>
                <w:szCs w:val="18"/>
              </w:rPr>
              <w:t>Practice facilitator teleconferences</w:t>
            </w:r>
          </w:p>
        </w:tc>
        <w:tc>
          <w:tcPr>
            <w:tcW w:w="1431" w:type="pct"/>
            <w:shd w:val="clear" w:color="auto" w:fill="FFFFFF"/>
            <w:vAlign w:val="center"/>
          </w:tcPr>
          <w:p w14:paraId="0EF3C9FB"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to get started with HCH</w:t>
            </w:r>
          </w:p>
        </w:tc>
        <w:tc>
          <w:tcPr>
            <w:tcW w:w="521" w:type="pct"/>
            <w:shd w:val="clear" w:color="auto" w:fill="FFFFFF"/>
            <w:tcMar>
              <w:top w:w="0" w:type="dxa"/>
              <w:left w:w="0" w:type="dxa"/>
              <w:bottom w:w="0" w:type="dxa"/>
              <w:right w:w="0" w:type="dxa"/>
            </w:tcMar>
            <w:vAlign w:val="center"/>
          </w:tcPr>
          <w:p w14:paraId="399861F3"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c>
          <w:tcPr>
            <w:tcW w:w="572" w:type="pct"/>
            <w:shd w:val="clear" w:color="auto" w:fill="FFFFFF"/>
            <w:tcMar>
              <w:top w:w="0" w:type="dxa"/>
              <w:left w:w="0" w:type="dxa"/>
              <w:bottom w:w="0" w:type="dxa"/>
              <w:right w:w="0" w:type="dxa"/>
            </w:tcMar>
            <w:vAlign w:val="center"/>
          </w:tcPr>
          <w:p w14:paraId="25F270DC"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6</w:t>
            </w:r>
          </w:p>
        </w:tc>
        <w:tc>
          <w:tcPr>
            <w:tcW w:w="644" w:type="pct"/>
            <w:shd w:val="clear" w:color="auto" w:fill="FFFFFF"/>
            <w:tcMar>
              <w:top w:w="0" w:type="dxa"/>
              <w:left w:w="0" w:type="dxa"/>
              <w:bottom w:w="0" w:type="dxa"/>
              <w:right w:w="0" w:type="dxa"/>
            </w:tcMar>
            <w:vAlign w:val="center"/>
          </w:tcPr>
          <w:p w14:paraId="60E069A2"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4</w:t>
            </w:r>
          </w:p>
        </w:tc>
        <w:tc>
          <w:tcPr>
            <w:tcW w:w="500" w:type="pct"/>
            <w:shd w:val="clear" w:color="auto" w:fill="FFFFFF"/>
            <w:tcMar>
              <w:top w:w="0" w:type="dxa"/>
              <w:left w:w="0" w:type="dxa"/>
              <w:bottom w:w="0" w:type="dxa"/>
              <w:right w:w="0" w:type="dxa"/>
            </w:tcMar>
            <w:vAlign w:val="center"/>
          </w:tcPr>
          <w:p w14:paraId="1C415128"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r>
      <w:tr w:rsidR="001C19F3" w:rsidRPr="00C67352" w14:paraId="7EF347CE" w14:textId="77777777" w:rsidTr="00521305">
        <w:trPr>
          <w:cantSplit/>
          <w:trHeight w:val="403"/>
          <w:jc w:val="center"/>
        </w:trPr>
        <w:tc>
          <w:tcPr>
            <w:tcW w:w="1332" w:type="pct"/>
            <w:vMerge/>
            <w:shd w:val="clear" w:color="auto" w:fill="FFFFFF"/>
            <w:tcMar>
              <w:top w:w="0" w:type="dxa"/>
              <w:left w:w="0" w:type="dxa"/>
              <w:bottom w:w="0" w:type="dxa"/>
              <w:right w:w="0" w:type="dxa"/>
            </w:tcMar>
            <w:vAlign w:val="center"/>
            <w:hideMark/>
          </w:tcPr>
          <w:p w14:paraId="11AC3B1F" w14:textId="77777777" w:rsidR="001C19F3" w:rsidRPr="00C67352" w:rsidRDefault="001C19F3" w:rsidP="00521305">
            <w:pPr>
              <w:spacing w:before="40" w:after="40"/>
              <w:ind w:left="100" w:right="100"/>
              <w:rPr>
                <w:sz w:val="18"/>
                <w:szCs w:val="18"/>
              </w:rPr>
            </w:pPr>
          </w:p>
        </w:tc>
        <w:tc>
          <w:tcPr>
            <w:tcW w:w="1431" w:type="pct"/>
            <w:shd w:val="clear" w:color="auto" w:fill="FFFFFF"/>
            <w:vAlign w:val="center"/>
          </w:tcPr>
          <w:p w14:paraId="1764CF15" w14:textId="77777777" w:rsidR="001C19F3" w:rsidRPr="00C67352" w:rsidRDefault="001C19F3" w:rsidP="00521305">
            <w:pPr>
              <w:spacing w:before="40" w:after="40"/>
              <w:ind w:right="100" w:firstLine="10"/>
              <w:rPr>
                <w:rFonts w:eastAsia="Century Gothic" w:cs="Century Gothic"/>
                <w:color w:val="000000"/>
                <w:sz w:val="18"/>
                <w:szCs w:val="18"/>
              </w:rPr>
            </w:pPr>
            <w:r>
              <w:rPr>
                <w:rFonts w:eastAsia="Century Gothic" w:cs="Century Gothic"/>
                <w:color w:val="000000"/>
                <w:sz w:val="18"/>
                <w:szCs w:val="18"/>
              </w:rPr>
              <w:t>...</w:t>
            </w:r>
            <w:r w:rsidRPr="00C67352">
              <w:rPr>
                <w:rFonts w:eastAsia="Century Gothic" w:cs="Century Gothic"/>
                <w:color w:val="000000"/>
                <w:sz w:val="18"/>
                <w:szCs w:val="18"/>
              </w:rPr>
              <w:t>in practice transformation</w:t>
            </w:r>
          </w:p>
        </w:tc>
        <w:tc>
          <w:tcPr>
            <w:tcW w:w="521" w:type="pct"/>
            <w:shd w:val="clear" w:color="auto" w:fill="FFFFFF"/>
            <w:tcMar>
              <w:top w:w="0" w:type="dxa"/>
              <w:left w:w="0" w:type="dxa"/>
              <w:bottom w:w="0" w:type="dxa"/>
              <w:right w:w="0" w:type="dxa"/>
            </w:tcMar>
            <w:vAlign w:val="center"/>
            <w:hideMark/>
          </w:tcPr>
          <w:p w14:paraId="116922A9"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0</w:t>
            </w:r>
          </w:p>
        </w:tc>
        <w:tc>
          <w:tcPr>
            <w:tcW w:w="572" w:type="pct"/>
            <w:shd w:val="clear" w:color="auto" w:fill="FFFFFF"/>
            <w:tcMar>
              <w:top w:w="0" w:type="dxa"/>
              <w:left w:w="0" w:type="dxa"/>
              <w:bottom w:w="0" w:type="dxa"/>
              <w:right w:w="0" w:type="dxa"/>
            </w:tcMar>
            <w:vAlign w:val="center"/>
            <w:hideMark/>
          </w:tcPr>
          <w:p w14:paraId="0963728F"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5</w:t>
            </w:r>
          </w:p>
        </w:tc>
        <w:tc>
          <w:tcPr>
            <w:tcW w:w="644" w:type="pct"/>
            <w:shd w:val="clear" w:color="auto" w:fill="FFFFFF"/>
            <w:tcMar>
              <w:top w:w="0" w:type="dxa"/>
              <w:left w:w="0" w:type="dxa"/>
              <w:bottom w:w="0" w:type="dxa"/>
              <w:right w:w="0" w:type="dxa"/>
            </w:tcMar>
            <w:vAlign w:val="center"/>
            <w:hideMark/>
          </w:tcPr>
          <w:p w14:paraId="472E7E2A"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4</w:t>
            </w:r>
          </w:p>
        </w:tc>
        <w:tc>
          <w:tcPr>
            <w:tcW w:w="500" w:type="pct"/>
            <w:shd w:val="clear" w:color="auto" w:fill="FFFFFF"/>
            <w:tcMar>
              <w:top w:w="0" w:type="dxa"/>
              <w:left w:w="0" w:type="dxa"/>
              <w:bottom w:w="0" w:type="dxa"/>
              <w:right w:w="0" w:type="dxa"/>
            </w:tcMar>
            <w:vAlign w:val="center"/>
            <w:hideMark/>
          </w:tcPr>
          <w:p w14:paraId="5DAADD29" w14:textId="77777777" w:rsidR="001C19F3" w:rsidRPr="00C67352" w:rsidRDefault="001C19F3" w:rsidP="00521305">
            <w:pPr>
              <w:spacing w:before="40" w:after="40"/>
              <w:ind w:left="100" w:right="100"/>
              <w:jc w:val="right"/>
              <w:rPr>
                <w:sz w:val="18"/>
                <w:szCs w:val="18"/>
              </w:rPr>
            </w:pPr>
            <w:r w:rsidRPr="00C67352">
              <w:rPr>
                <w:rFonts w:eastAsia="Century Gothic" w:cs="Century Gothic"/>
                <w:color w:val="000000"/>
                <w:sz w:val="18"/>
                <w:szCs w:val="18"/>
              </w:rPr>
              <w:t>1</w:t>
            </w:r>
          </w:p>
        </w:tc>
      </w:tr>
    </w:tbl>
    <w:p w14:paraId="5616A8D7" w14:textId="77777777" w:rsidR="001C19F3" w:rsidRPr="0024613C" w:rsidRDefault="001C19F3" w:rsidP="001C19F3">
      <w:pPr>
        <w:jc w:val="center"/>
        <w:rPr>
          <w:i/>
          <w:sz w:val="18"/>
          <w:szCs w:val="18"/>
        </w:rPr>
      </w:pPr>
      <w:r w:rsidRPr="0024613C">
        <w:rPr>
          <w:i/>
          <w:sz w:val="18"/>
          <w:szCs w:val="18"/>
        </w:rPr>
        <w:t xml:space="preserve">Source: </w:t>
      </w:r>
      <w:r>
        <w:rPr>
          <w:i/>
          <w:sz w:val="18"/>
          <w:szCs w:val="18"/>
        </w:rPr>
        <w:t>PHN survey R1 March 2018</w:t>
      </w:r>
    </w:p>
    <w:p w14:paraId="3E581573" w14:textId="77777777" w:rsidR="001C19F3" w:rsidRDefault="001C19F3" w:rsidP="001C19F3">
      <w:r>
        <w:lastRenderedPageBreak/>
        <w:t xml:space="preserve">Responses to the PHN survey also identified </w:t>
      </w:r>
      <w:r w:rsidRPr="000111C9">
        <w:t>changes to supp</w:t>
      </w:r>
      <w:r>
        <w:t xml:space="preserve">orts </w:t>
      </w:r>
      <w:r w:rsidRPr="000111C9">
        <w:t>that would improve the development of skills and capabi</w:t>
      </w:r>
      <w:r>
        <w:t>lities of practice facilitators. The most common included:</w:t>
      </w:r>
    </w:p>
    <w:p w14:paraId="543BB258" w14:textId="77777777" w:rsidR="001C19F3" w:rsidRDefault="001C19F3" w:rsidP="001C19F3">
      <w:pPr>
        <w:pStyle w:val="ListParagraph"/>
        <w:numPr>
          <w:ilvl w:val="0"/>
          <w:numId w:val="38"/>
        </w:numPr>
        <w:ind w:left="714" w:hanging="357"/>
        <w:contextualSpacing w:val="0"/>
      </w:pPr>
      <w:r>
        <w:t>More practical support. Practice facilitators thought that the webinars and coaching could have been more action and/ or solution-based, using practical examples from the Australian context and working through solutions to these.</w:t>
      </w:r>
    </w:p>
    <w:p w14:paraId="1135C472" w14:textId="77777777" w:rsidR="001C19F3" w:rsidRDefault="001C19F3" w:rsidP="001C19F3">
      <w:pPr>
        <w:pStyle w:val="ListParagraph"/>
        <w:numPr>
          <w:ilvl w:val="0"/>
          <w:numId w:val="38"/>
        </w:numPr>
        <w:ind w:left="714" w:hanging="357"/>
        <w:contextualSpacing w:val="0"/>
      </w:pPr>
      <w:r>
        <w:t>Provide face-to-face support/mentoring and on-the-ground training for PHN facilitators. Facilitators suggested individual PHN support, for example, through the appointment of a PHN liaison officer at the national level. This would help to focus training to PHNs based on the skills and experiences, where their practices are in terms of readiness and tailored to local issues (e.g. nature of population, rurality/ remoteness).</w:t>
      </w:r>
    </w:p>
    <w:p w14:paraId="56BE0129" w14:textId="77777777" w:rsidR="001C19F3" w:rsidRDefault="001C19F3" w:rsidP="001C19F3">
      <w:pPr>
        <w:pStyle w:val="ListParagraph"/>
        <w:numPr>
          <w:ilvl w:val="0"/>
          <w:numId w:val="38"/>
        </w:numPr>
        <w:ind w:left="714" w:hanging="357"/>
        <w:contextualSpacing w:val="0"/>
      </w:pPr>
      <w:r>
        <w:t>Improved sharing of resources between PHNs and between practices. Facilitators thought that there could have been better mechanisms to share experiences and resources developed during the implementation. One suggestion was for increased face-to-face meeting opportunities.</w:t>
      </w:r>
    </w:p>
    <w:p w14:paraId="523F6121" w14:textId="77777777" w:rsidR="001C19F3" w:rsidRDefault="001C19F3" w:rsidP="001C19F3">
      <w:pPr>
        <w:pStyle w:val="ListParagraph"/>
        <w:numPr>
          <w:ilvl w:val="0"/>
          <w:numId w:val="38"/>
        </w:numPr>
        <w:ind w:left="714" w:right="237" w:hanging="357"/>
        <w:contextualSpacing w:val="0"/>
      </w:pPr>
      <w:r>
        <w:t>Practice facilitators having access to the various HCH software platforms (e.g. ‘sandpit’), in advance of their implementation, so that they can learn to use them and be better equipped to help practices.</w:t>
      </w:r>
    </w:p>
    <w:p w14:paraId="647E03A8" w14:textId="77777777" w:rsidR="001C19F3" w:rsidRDefault="001C19F3" w:rsidP="001C19F3">
      <w:r>
        <w:t>Practice facilitators identified additional topic areas that they thought were missing from the suite of training products or not given enough emphasis in those products. These included:</w:t>
      </w:r>
    </w:p>
    <w:p w14:paraId="515F279C" w14:textId="77777777" w:rsidR="001C19F3" w:rsidRDefault="001C19F3" w:rsidP="001C19F3">
      <w:pPr>
        <w:pStyle w:val="ListParagraph"/>
        <w:numPr>
          <w:ilvl w:val="0"/>
          <w:numId w:val="39"/>
        </w:numPr>
      </w:pPr>
      <w:r>
        <w:t>The practice facilitation role.</w:t>
      </w:r>
    </w:p>
    <w:p w14:paraId="4A7F74DF" w14:textId="77777777" w:rsidR="001C19F3" w:rsidRDefault="001C19F3" w:rsidP="001C19F3">
      <w:pPr>
        <w:pStyle w:val="ListParagraph"/>
        <w:numPr>
          <w:ilvl w:val="0"/>
          <w:numId w:val="39"/>
        </w:numPr>
      </w:pPr>
      <w:r>
        <w:t>Working as a team for practice facilitators (“</w:t>
      </w:r>
      <w:r>
        <w:rPr>
          <w:i/>
        </w:rPr>
        <w:t xml:space="preserve">then we can understand… some of the struggles that </w:t>
      </w:r>
      <w:r>
        <w:t>[practices]</w:t>
      </w:r>
      <w:r>
        <w:rPr>
          <w:i/>
        </w:rPr>
        <w:t xml:space="preserve"> are having with that</w:t>
      </w:r>
      <w:r>
        <w:t>” PHN 5, interview, R1].</w:t>
      </w:r>
    </w:p>
    <w:p w14:paraId="16B369C1" w14:textId="77777777" w:rsidR="001C19F3" w:rsidRDefault="001C19F3" w:rsidP="001C19F3">
      <w:pPr>
        <w:pStyle w:val="ListParagraph"/>
        <w:numPr>
          <w:ilvl w:val="0"/>
          <w:numId w:val="39"/>
        </w:numPr>
      </w:pPr>
      <w:r>
        <w:t>Practical training, particularly having “</w:t>
      </w:r>
      <w:r>
        <w:rPr>
          <w:i/>
        </w:rPr>
        <w:t>dummy access</w:t>
      </w:r>
      <w:r>
        <w:t>” to the RST and other software</w:t>
      </w:r>
      <w:r>
        <w:rPr>
          <w:i/>
        </w:rPr>
        <w:t xml:space="preserve"> </w:t>
      </w:r>
      <w:r>
        <w:t>[PHN 6, interview, R1] or a “</w:t>
      </w:r>
      <w:r>
        <w:rPr>
          <w:i/>
        </w:rPr>
        <w:t>sandpit</w:t>
      </w:r>
      <w:r>
        <w:t>”</w:t>
      </w:r>
      <w:r>
        <w:rPr>
          <w:i/>
        </w:rPr>
        <w:t xml:space="preserve"> </w:t>
      </w:r>
      <w:r>
        <w:t>[PHN 10, survey, R1] that facilitators could experiment with before they went into practices to help them with applying the tools.</w:t>
      </w:r>
    </w:p>
    <w:p w14:paraId="7BECC350" w14:textId="77777777" w:rsidR="001C19F3" w:rsidRDefault="001C19F3" w:rsidP="001C19F3">
      <w:pPr>
        <w:pStyle w:val="ListParagraph"/>
        <w:numPr>
          <w:ilvl w:val="0"/>
          <w:numId w:val="39"/>
        </w:numPr>
      </w:pPr>
      <w:r>
        <w:t>Change management taught “</w:t>
      </w:r>
      <w:r>
        <w:rPr>
          <w:i/>
        </w:rPr>
        <w:t>in a practical way. Not out of a textbook</w:t>
      </w:r>
      <w:r>
        <w:t>” [PHN 6, interview, R1].</w:t>
      </w:r>
    </w:p>
    <w:p w14:paraId="450DC8BA" w14:textId="77777777" w:rsidR="001C19F3" w:rsidRDefault="001C19F3" w:rsidP="001C19F3">
      <w:pPr>
        <w:pStyle w:val="ListParagraph"/>
        <w:numPr>
          <w:ilvl w:val="0"/>
          <w:numId w:val="39"/>
        </w:numPr>
      </w:pPr>
      <w:r>
        <w:t>How alternatives to face-to-face appointments might work (e.g. texting, teleconferencing, shared medical appointments).</w:t>
      </w:r>
    </w:p>
    <w:p w14:paraId="3CDA5A5E" w14:textId="77777777" w:rsidR="001C19F3" w:rsidRDefault="001C19F3" w:rsidP="001C19F3">
      <w:pPr>
        <w:pStyle w:val="ListParagraph"/>
        <w:numPr>
          <w:ilvl w:val="0"/>
          <w:numId w:val="39"/>
        </w:numPr>
      </w:pPr>
      <w:r>
        <w:t>Motivational interviewing.</w:t>
      </w:r>
    </w:p>
    <w:p w14:paraId="1FC996FA" w14:textId="77777777" w:rsidR="001C19F3" w:rsidRDefault="001C19F3" w:rsidP="001C19F3">
      <w:pPr>
        <w:pStyle w:val="ListParagraph"/>
        <w:numPr>
          <w:ilvl w:val="0"/>
          <w:numId w:val="39"/>
        </w:numPr>
      </w:pPr>
      <w:r>
        <w:t>Triaging.</w:t>
      </w:r>
    </w:p>
    <w:p w14:paraId="13B1AB99" w14:textId="77777777" w:rsidR="001C19F3" w:rsidRDefault="001C19F3" w:rsidP="001C19F3">
      <w:pPr>
        <w:pStyle w:val="ListParagraph"/>
        <w:numPr>
          <w:ilvl w:val="0"/>
          <w:numId w:val="39"/>
        </w:numPr>
      </w:pPr>
      <w:r>
        <w:t>Building and managing a community of practice.</w:t>
      </w:r>
    </w:p>
    <w:p w14:paraId="2210B798" w14:textId="77777777" w:rsidR="001C19F3" w:rsidRDefault="001C19F3" w:rsidP="001C19F3">
      <w:pPr>
        <w:pStyle w:val="ListParagraph"/>
        <w:numPr>
          <w:ilvl w:val="0"/>
          <w:numId w:val="39"/>
        </w:numPr>
        <w:contextualSpacing w:val="0"/>
      </w:pPr>
      <w:r>
        <w:t>Building a health care neighbourhood.</w:t>
      </w:r>
    </w:p>
    <w:p w14:paraId="765FFFBB" w14:textId="77777777" w:rsidR="001C19F3" w:rsidRPr="007D379B" w:rsidRDefault="001C19F3" w:rsidP="001C19F3"/>
    <w:p w14:paraId="5BE2AE01" w14:textId="77777777" w:rsidR="001C19F3" w:rsidRPr="007D379B" w:rsidRDefault="001C19F3" w:rsidP="001C19F3">
      <w:pPr>
        <w:sectPr w:rsidR="001C19F3" w:rsidRPr="007D379B" w:rsidSect="00640EFA">
          <w:headerReference w:type="first" r:id="rId157"/>
          <w:pgSz w:w="11906" w:h="16838"/>
          <w:pgMar w:top="1440" w:right="1440" w:bottom="1440" w:left="1440" w:header="708" w:footer="708" w:gutter="0"/>
          <w:cols w:space="708"/>
          <w:titlePg/>
          <w:docGrid w:linePitch="360"/>
        </w:sectPr>
      </w:pPr>
    </w:p>
    <w:p w14:paraId="223A4CFC" w14:textId="77777777" w:rsidR="001C19F3" w:rsidRDefault="001C19F3" w:rsidP="001C19F3">
      <w:pPr>
        <w:pStyle w:val="Heading1withnumber"/>
        <w:ind w:left="0" w:hanging="993"/>
      </w:pPr>
      <w:bookmarkStart w:id="488" w:name="_Toc27058955"/>
      <w:r>
        <w:lastRenderedPageBreak/>
        <w:t>Patient surveys</w:t>
      </w:r>
      <w:bookmarkEnd w:id="488"/>
    </w:p>
    <w:p w14:paraId="31A81340" w14:textId="77777777" w:rsidR="001C19F3" w:rsidRDefault="001C19F3" w:rsidP="001C19F3">
      <w:pPr>
        <w:pStyle w:val="Heading3"/>
        <w:rPr>
          <w:rFonts w:eastAsia="Times New Roman"/>
        </w:rPr>
      </w:pPr>
      <w:bookmarkStart w:id="489" w:name="_Ref474235529"/>
      <w:r>
        <w:rPr>
          <w:rFonts w:eastAsia="Times New Roman"/>
        </w:rPr>
        <w:t>Methods</w:t>
      </w:r>
    </w:p>
    <w:p w14:paraId="17F73E77" w14:textId="77777777" w:rsidR="001C19F3" w:rsidRDefault="001C19F3" w:rsidP="001C19F3">
      <w:bookmarkStart w:id="490" w:name="_Hlk20904792"/>
      <w:r>
        <w:t>Patients are being surveys using c</w:t>
      </w:r>
      <w:r w:rsidRPr="00EF5E78">
        <w:t>omputer assisted telephone interview</w:t>
      </w:r>
      <w:r>
        <w:t>s</w:t>
      </w:r>
      <w:r w:rsidRPr="00EF5E78">
        <w:t xml:space="preserve"> (CATI)</w:t>
      </w:r>
      <w:r>
        <w:t xml:space="preserve">. Health Policy Analysis subcontracted The Social Research Centre (a business unit of the Australian National University) to administer the surveys. The surveys are organised into three waves, as shown in </w:t>
      </w:r>
      <w:r>
        <w:fldChar w:fldCharType="begin"/>
      </w:r>
      <w:r>
        <w:instrText xml:space="preserve"> REF _Ref23345872 \h </w:instrText>
      </w:r>
      <w:r>
        <w:fldChar w:fldCharType="separate"/>
      </w:r>
      <w:r>
        <w:t xml:space="preserve">Table </w:t>
      </w:r>
      <w:r>
        <w:rPr>
          <w:noProof/>
        </w:rPr>
        <w:t>9</w:t>
      </w:r>
      <w:r>
        <w:fldChar w:fldCharType="end"/>
      </w:r>
      <w:r>
        <w:t>.</w:t>
      </w:r>
    </w:p>
    <w:p w14:paraId="03242843" w14:textId="77777777" w:rsidR="001C19F3" w:rsidRDefault="001C19F3" w:rsidP="001C19F3">
      <w:pPr>
        <w:pStyle w:val="Caption"/>
      </w:pPr>
      <w:r>
        <w:t xml:space="preserve">Table </w:t>
      </w:r>
      <w:r>
        <w:fldChar w:fldCharType="begin"/>
      </w:r>
      <w:r>
        <w:rPr>
          <w:noProof/>
        </w:rPr>
        <w:instrText xml:space="preserve"> SEQ Table \* ARABIC </w:instrText>
      </w:r>
      <w:r>
        <w:fldChar w:fldCharType="separate"/>
      </w:r>
      <w:r>
        <w:rPr>
          <w:noProof/>
        </w:rPr>
        <w:t>9</w:t>
      </w:r>
      <w:r>
        <w:fldChar w:fldCharType="end"/>
      </w:r>
      <w:r>
        <w:t xml:space="preserve"> – Patient survey ‘waves’, time frames and targets</w:t>
      </w:r>
    </w:p>
    <w:tbl>
      <w:tblPr>
        <w:tblW w:w="93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988"/>
        <w:gridCol w:w="3118"/>
        <w:gridCol w:w="5246"/>
      </w:tblGrid>
      <w:tr w:rsidR="001C19F3" w14:paraId="33807C98" w14:textId="77777777" w:rsidTr="00521305">
        <w:trPr>
          <w:jc w:val="center"/>
        </w:trPr>
        <w:tc>
          <w:tcPr>
            <w:tcW w:w="988"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003D79"/>
            <w:hideMark/>
          </w:tcPr>
          <w:p w14:paraId="1D293B54" w14:textId="77777777" w:rsidR="001C19F3" w:rsidRDefault="001C19F3" w:rsidP="00521305">
            <w:pPr>
              <w:spacing w:after="0" w:line="240" w:lineRule="auto"/>
              <w:jc w:val="center"/>
              <w:rPr>
                <w:b/>
                <w:color w:val="FFFFFF"/>
                <w:sz w:val="18"/>
                <w:szCs w:val="18"/>
              </w:rPr>
            </w:pPr>
            <w:r>
              <w:rPr>
                <w:b/>
                <w:color w:val="FFFFFF"/>
                <w:sz w:val="18"/>
                <w:szCs w:val="18"/>
              </w:rPr>
              <w:t>Wave</w:t>
            </w:r>
          </w:p>
        </w:tc>
        <w:tc>
          <w:tcPr>
            <w:tcW w:w="3118"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003D79"/>
          </w:tcPr>
          <w:p w14:paraId="51D5C6B4" w14:textId="77777777" w:rsidR="001C19F3" w:rsidRDefault="001C19F3" w:rsidP="00521305">
            <w:pPr>
              <w:spacing w:after="0" w:line="240" w:lineRule="auto"/>
              <w:jc w:val="center"/>
              <w:rPr>
                <w:b/>
                <w:color w:val="FFFFFF"/>
                <w:sz w:val="18"/>
                <w:szCs w:val="18"/>
              </w:rPr>
            </w:pPr>
            <w:r>
              <w:rPr>
                <w:b/>
                <w:color w:val="FFFFFF"/>
                <w:sz w:val="18"/>
                <w:szCs w:val="18"/>
              </w:rPr>
              <w:t>Time frame</w:t>
            </w:r>
          </w:p>
        </w:tc>
        <w:tc>
          <w:tcPr>
            <w:tcW w:w="524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1134D949" w14:textId="77777777" w:rsidR="001C19F3" w:rsidRDefault="001C19F3" w:rsidP="00521305">
            <w:pPr>
              <w:spacing w:after="0" w:line="240" w:lineRule="auto"/>
              <w:jc w:val="center"/>
              <w:rPr>
                <w:b/>
                <w:color w:val="FFFFFF"/>
                <w:sz w:val="18"/>
                <w:szCs w:val="18"/>
              </w:rPr>
            </w:pPr>
            <w:r>
              <w:rPr>
                <w:b/>
                <w:color w:val="FFFFFF"/>
                <w:sz w:val="18"/>
                <w:szCs w:val="18"/>
              </w:rPr>
              <w:t xml:space="preserve">Target </w:t>
            </w:r>
          </w:p>
        </w:tc>
      </w:tr>
      <w:tr w:rsidR="001C19F3" w14:paraId="226E1198" w14:textId="77777777" w:rsidTr="00521305">
        <w:trPr>
          <w:jc w:val="center"/>
        </w:trPr>
        <w:tc>
          <w:tcPr>
            <w:tcW w:w="98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63389A19" w14:textId="77777777" w:rsidR="001C19F3" w:rsidRDefault="001C19F3" w:rsidP="00521305">
            <w:pPr>
              <w:spacing w:after="0"/>
              <w:rPr>
                <w:color w:val="000000"/>
                <w:sz w:val="18"/>
                <w:szCs w:val="18"/>
              </w:rPr>
            </w:pPr>
            <w:r>
              <w:rPr>
                <w:color w:val="000000"/>
                <w:sz w:val="18"/>
                <w:szCs w:val="18"/>
              </w:rPr>
              <w:t>Wave 1</w:t>
            </w:r>
          </w:p>
        </w:tc>
        <w:tc>
          <w:tcPr>
            <w:tcW w:w="311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0D7CAAD8" w14:textId="77777777" w:rsidR="001C19F3" w:rsidRDefault="001C19F3" w:rsidP="00521305">
            <w:pPr>
              <w:spacing w:after="0"/>
              <w:rPr>
                <w:color w:val="000000"/>
                <w:sz w:val="18"/>
                <w:szCs w:val="18"/>
              </w:rPr>
            </w:pPr>
            <w:r>
              <w:rPr>
                <w:color w:val="000000"/>
                <w:sz w:val="18"/>
                <w:szCs w:val="18"/>
              </w:rPr>
              <w:t>December 2017 to March 2019</w:t>
            </w:r>
          </w:p>
        </w:tc>
        <w:tc>
          <w:tcPr>
            <w:tcW w:w="524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B2DA51" w14:textId="77777777" w:rsidR="001C19F3" w:rsidRDefault="001C19F3" w:rsidP="00521305">
            <w:pPr>
              <w:spacing w:after="0"/>
              <w:rPr>
                <w:color w:val="000000"/>
                <w:sz w:val="18"/>
                <w:szCs w:val="18"/>
              </w:rPr>
            </w:pPr>
            <w:r>
              <w:rPr>
                <w:color w:val="000000"/>
                <w:sz w:val="18"/>
                <w:szCs w:val="18"/>
              </w:rPr>
              <w:t>2,000 patients.</w:t>
            </w:r>
          </w:p>
        </w:tc>
      </w:tr>
      <w:tr w:rsidR="001C19F3" w14:paraId="79711786" w14:textId="77777777" w:rsidTr="00521305">
        <w:trPr>
          <w:jc w:val="center"/>
        </w:trPr>
        <w:tc>
          <w:tcPr>
            <w:tcW w:w="98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73A5C896" w14:textId="77777777" w:rsidR="001C19F3" w:rsidRDefault="001C19F3" w:rsidP="00521305">
            <w:pPr>
              <w:spacing w:after="0"/>
              <w:rPr>
                <w:color w:val="000000"/>
                <w:sz w:val="18"/>
                <w:szCs w:val="18"/>
              </w:rPr>
            </w:pPr>
            <w:r>
              <w:rPr>
                <w:color w:val="000000"/>
                <w:sz w:val="18"/>
                <w:szCs w:val="18"/>
              </w:rPr>
              <w:t>Wave 2</w:t>
            </w:r>
          </w:p>
        </w:tc>
        <w:tc>
          <w:tcPr>
            <w:tcW w:w="311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3A0D2791" w14:textId="77777777" w:rsidR="001C19F3" w:rsidRDefault="001C19F3" w:rsidP="00521305">
            <w:pPr>
              <w:spacing w:after="0"/>
              <w:rPr>
                <w:color w:val="000000"/>
                <w:sz w:val="18"/>
                <w:szCs w:val="18"/>
              </w:rPr>
            </w:pPr>
            <w:r>
              <w:rPr>
                <w:color w:val="000000"/>
                <w:sz w:val="18"/>
                <w:szCs w:val="18"/>
              </w:rPr>
              <w:t>December 2019 to March 2020</w:t>
            </w:r>
          </w:p>
        </w:tc>
        <w:tc>
          <w:tcPr>
            <w:tcW w:w="524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25B3AFEF" w14:textId="77777777" w:rsidR="001C19F3" w:rsidRDefault="001C19F3" w:rsidP="00521305">
            <w:pPr>
              <w:spacing w:after="0"/>
              <w:rPr>
                <w:color w:val="000000"/>
                <w:sz w:val="18"/>
                <w:szCs w:val="18"/>
              </w:rPr>
            </w:pPr>
            <w:r>
              <w:rPr>
                <w:color w:val="000000"/>
                <w:sz w:val="18"/>
                <w:szCs w:val="18"/>
              </w:rPr>
              <w:t>Patients interviewed in Wave 1 plus an additional 500 patients referred to a community pharmacy as part of HCH.</w:t>
            </w:r>
          </w:p>
        </w:tc>
      </w:tr>
      <w:tr w:rsidR="001C19F3" w14:paraId="10515691" w14:textId="77777777" w:rsidTr="00521305">
        <w:trPr>
          <w:jc w:val="center"/>
        </w:trPr>
        <w:tc>
          <w:tcPr>
            <w:tcW w:w="98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hideMark/>
          </w:tcPr>
          <w:p w14:paraId="02A05643" w14:textId="77777777" w:rsidR="001C19F3" w:rsidRDefault="001C19F3" w:rsidP="00521305">
            <w:pPr>
              <w:spacing w:after="0"/>
              <w:rPr>
                <w:color w:val="000000"/>
                <w:sz w:val="18"/>
                <w:szCs w:val="18"/>
              </w:rPr>
            </w:pPr>
            <w:r>
              <w:rPr>
                <w:color w:val="000000"/>
                <w:sz w:val="18"/>
                <w:szCs w:val="18"/>
              </w:rPr>
              <w:t>Wave 3</w:t>
            </w:r>
          </w:p>
        </w:tc>
        <w:tc>
          <w:tcPr>
            <w:tcW w:w="3118"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5C19EF14" w14:textId="77777777" w:rsidR="001C19F3" w:rsidRDefault="001C19F3" w:rsidP="00521305">
            <w:pPr>
              <w:spacing w:after="0"/>
              <w:rPr>
                <w:color w:val="000000"/>
                <w:sz w:val="18"/>
                <w:szCs w:val="18"/>
              </w:rPr>
            </w:pPr>
            <w:r>
              <w:rPr>
                <w:color w:val="000000"/>
                <w:sz w:val="18"/>
                <w:szCs w:val="18"/>
              </w:rPr>
              <w:t>December 2020 to March 2021</w:t>
            </w:r>
          </w:p>
        </w:tc>
        <w:tc>
          <w:tcPr>
            <w:tcW w:w="524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69F5A895" w14:textId="77777777" w:rsidR="001C19F3" w:rsidRDefault="001C19F3" w:rsidP="00521305">
            <w:pPr>
              <w:spacing w:after="0"/>
              <w:rPr>
                <w:color w:val="000000"/>
                <w:sz w:val="18"/>
                <w:szCs w:val="18"/>
              </w:rPr>
            </w:pPr>
            <w:r>
              <w:rPr>
                <w:color w:val="000000"/>
                <w:sz w:val="18"/>
                <w:szCs w:val="18"/>
              </w:rPr>
              <w:t>Patients interviewed in waves 1 and 2.</w:t>
            </w:r>
          </w:p>
        </w:tc>
      </w:tr>
    </w:tbl>
    <w:p w14:paraId="1B72A483" w14:textId="77777777" w:rsidR="001C19F3" w:rsidRDefault="001C19F3" w:rsidP="001C19F3">
      <w:pPr>
        <w:spacing w:after="0"/>
      </w:pPr>
    </w:p>
    <w:bookmarkEnd w:id="490"/>
    <w:p w14:paraId="181DF309" w14:textId="77777777" w:rsidR="001C19F3" w:rsidRDefault="001C19F3" w:rsidP="001C19F3">
      <w:r>
        <w:t>This chapter focusses on the results of the Wave 1 survey. The survey aimed to profile patients and their experience of primary health care at the time of enrolment into the HCH program (or shortly after). Subsequent interviews will be used to track changes that have occurred since enrolment. The content of the survey was described in Volume 3, and the complete survey is in the Evaluation plan (</w:t>
      </w:r>
      <w:r>
        <w:fldChar w:fldCharType="begin"/>
      </w:r>
      <w:r>
        <w:instrText xml:space="preserve"> ADDIN EN.CITE &lt;EndNote&gt;&lt;Cite&gt;&lt;Author&gt;Health Policy Analysis&lt;/Author&gt;&lt;Year&gt;2019&lt;/Year&gt;&lt;RecNum&gt;1131&lt;/RecNum&gt;&lt;DisplayText&gt;Health Policy Analysis, 2019&lt;/DisplayText&gt;&lt;record&gt;&lt;rec-number&gt;1131&lt;/rec-number&gt;&lt;foreign-keys&gt;&lt;key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fldChar w:fldCharType="separate"/>
      </w:r>
      <w:r>
        <w:rPr>
          <w:noProof/>
        </w:rPr>
        <w:t>Health Policy Analysis, 2019</w:t>
      </w:r>
      <w:r>
        <w:fldChar w:fldCharType="end"/>
      </w:r>
      <w:r>
        <w:t>)</w:t>
      </w:r>
      <w:r w:rsidRPr="00526D39">
        <w:t>.</w:t>
      </w:r>
    </w:p>
    <w:p w14:paraId="500151A6" w14:textId="77777777" w:rsidR="001C19F3" w:rsidRDefault="001C19F3" w:rsidP="001C19F3">
      <w:r>
        <w:t>A weighted random sample of patients was selected by Health Policy Analysis from patients who had recently enrolled with the HCH program and who had agreed to be contacted to participate in the evaluation. Practices provided contact details for these patients through a specifically designed secure portal established by Health Policy Analysis. Health Policy Analysis regularly drew samples from the patients registered in this system – initially approximately every month then, as enrolments increased, every fortnight. Only patients enrolled in the most recent period of time were included in each sample. The sampling approach aimed to capture a sufficient number of patients from each practice to be able to develop practice level estimates for relevant measures. A maximum number of patients from any practice was also established (100). The sampling approach aimed to ensure patients surveyed were spread across the enrolment period. As enrolment occurred at different rates between practices, the sampling approach needed to be recalibrated over time. The result is a complex survey design. In presenting results in the final evaluation report, estimates will be developed that account for this complex design. However, for this report we have presented estimates for the whole sample without adjustment.</w:t>
      </w:r>
    </w:p>
    <w:p w14:paraId="5DA61BAE" w14:textId="77777777" w:rsidR="001C19F3" w:rsidRDefault="001C19F3" w:rsidP="001C19F3">
      <w:r>
        <w:t xml:space="preserve">Once contact details for patients were received, The Social Research Centre followed a protocol </w:t>
      </w:r>
      <w:bookmarkStart w:id="491" w:name="_Hlk528662693"/>
      <w:r>
        <w:t>developed with Health Policy Analysis, which reflects best practice in conducting surveys (</w:t>
      </w:r>
      <w:r>
        <w:fldChar w:fldCharType="begin"/>
      </w:r>
      <w:r>
        <w:instrText xml:space="preserve"> ADDIN EN.CITE &lt;EndNote&gt;&lt;Cite&gt;&lt;Author&gt;Dillman&lt;/Author&gt;&lt;Year&gt;2014&lt;/Year&gt;&lt;RecNum&gt;1059&lt;/RecNum&gt;&lt;DisplayText&gt;Dillman, Smyth, &amp;amp; Christian, 2014&lt;/DisplayText&gt;&lt;record&gt;&lt;rec-number&gt;1059&lt;/rec-number&gt;&lt;foreign-keys&gt;&lt;key app="EN" db-id="zdz9xax04zr9v0evw2nvrpw9xe9ttzvs5zsv" timestamp="1536731175"&gt;1059&lt;/key&gt;&lt;/foreign-keys&gt;&lt;ref-type name="Book"&gt;6&lt;/ref-type&gt;&lt;contributors&gt;&lt;authors&gt;&lt;author&gt;Dillman, Don A&lt;/author&gt;&lt;author&gt;Smyth, Jolene D&lt;/author&gt;&lt;author&gt;Christian, Leah Melani&lt;/author&gt;&lt;/authors&gt;&lt;/contributors&gt;&lt;titles&gt;&lt;title&gt;Internet, Phone, Mail, and Mixed-Mode Surveys: The Tailored Design Method&lt;/title&gt;&lt;/titles&gt;&lt;edition&gt;4th&lt;/edition&gt;&lt;dates&gt;&lt;year&gt;2014&lt;/year&gt;&lt;/dates&gt;&lt;pub-location&gt;Hoboken, New Jersey&lt;/pub-location&gt;&lt;publisher&gt;Wiley&lt;/publisher&gt;&lt;urls&gt;&lt;/urls&gt;&lt;/record&gt;&lt;/Cite&gt;&lt;/EndNote&gt;</w:instrText>
      </w:r>
      <w:r>
        <w:fldChar w:fldCharType="separate"/>
      </w:r>
      <w:r>
        <w:rPr>
          <w:noProof/>
        </w:rPr>
        <w:t>Dillman, Smyth, &amp; Christian, 2014</w:t>
      </w:r>
      <w:r>
        <w:fldChar w:fldCharType="end"/>
      </w:r>
      <w:r>
        <w:t>):</w:t>
      </w:r>
    </w:p>
    <w:bookmarkEnd w:id="491"/>
    <w:p w14:paraId="4880BBE6" w14:textId="77777777" w:rsidR="001C19F3" w:rsidRDefault="001C19F3" w:rsidP="001C19F3">
      <w:pPr>
        <w:pStyle w:val="ListParagraph"/>
        <w:numPr>
          <w:ilvl w:val="0"/>
          <w:numId w:val="93"/>
        </w:numPr>
        <w:ind w:left="714" w:hanging="357"/>
        <w:contextualSpacing w:val="0"/>
      </w:pPr>
      <w:r>
        <w:t xml:space="preserve">Within seven days of receiving contact details, The Social Research Centre sent enrolees a primary approach letter with a non-contingent incentive of </w:t>
      </w:r>
      <w:r w:rsidRPr="000D10BE">
        <w:t>$10 (in</w:t>
      </w:r>
      <w:r>
        <w:t xml:space="preserve"> the form of a card). Patients could access the voucher regardless of whether or not they agreed to participate in the survey. If only an email address was available, an approach letter was emailed with an electronic voucher.</w:t>
      </w:r>
    </w:p>
    <w:p w14:paraId="0DB550A8" w14:textId="77777777" w:rsidR="001C19F3" w:rsidRDefault="001C19F3" w:rsidP="001C19F3">
      <w:pPr>
        <w:pStyle w:val="ListParagraph"/>
        <w:numPr>
          <w:ilvl w:val="0"/>
          <w:numId w:val="93"/>
        </w:numPr>
        <w:ind w:left="714" w:hanging="357"/>
        <w:contextualSpacing w:val="0"/>
      </w:pPr>
      <w:r>
        <w:lastRenderedPageBreak/>
        <w:t>Telephone contact was then made at least seven days after the initial approach to allow for delivery of the letter.</w:t>
      </w:r>
    </w:p>
    <w:p w14:paraId="7FE3F84C" w14:textId="77777777" w:rsidR="001C19F3" w:rsidRDefault="001C19F3" w:rsidP="001C19F3">
      <w:pPr>
        <w:pStyle w:val="ListParagraph"/>
        <w:numPr>
          <w:ilvl w:val="0"/>
          <w:numId w:val="93"/>
        </w:numPr>
        <w:ind w:left="714" w:hanging="357"/>
        <w:contextualSpacing w:val="0"/>
      </w:pPr>
      <w:r>
        <w:t>An SMS was sent to enrolees with a valid mobile number prior to the initial call to reduce non-contacts.</w:t>
      </w:r>
    </w:p>
    <w:p w14:paraId="67B96F72" w14:textId="77777777" w:rsidR="001C19F3" w:rsidRDefault="001C19F3" w:rsidP="001C19F3">
      <w:pPr>
        <w:pStyle w:val="ListParagraph"/>
        <w:numPr>
          <w:ilvl w:val="0"/>
          <w:numId w:val="93"/>
        </w:numPr>
        <w:ind w:left="714" w:hanging="357"/>
        <w:contextualSpacing w:val="0"/>
      </w:pPr>
      <w:r>
        <w:t>If an enrolee didn’t answer, The Social Research Centre continued to call up to eight times. If the enrolee or a family member answered and hung up or the enrolee declined to participate, then they were not contacted further.</w:t>
      </w:r>
    </w:p>
    <w:p w14:paraId="4FF561B9" w14:textId="77777777" w:rsidR="001C19F3" w:rsidRDefault="001C19F3" w:rsidP="001C19F3">
      <w:pPr>
        <w:pStyle w:val="ListParagraph"/>
        <w:numPr>
          <w:ilvl w:val="0"/>
          <w:numId w:val="93"/>
        </w:numPr>
        <w:ind w:left="714" w:hanging="357"/>
        <w:contextualSpacing w:val="0"/>
      </w:pPr>
      <w:r>
        <w:t>When contacted the interviewee could also choose: (a) not to participate in the survey at the time they received a telephone call from The Social Research Centre interviewer, (b) to stop the interview at any time and/ or (c) not answer any questions.</w:t>
      </w:r>
    </w:p>
    <w:p w14:paraId="13B2D2F9" w14:textId="77777777" w:rsidR="001C19F3" w:rsidRDefault="001C19F3" w:rsidP="001C19F3">
      <w:pPr>
        <w:pStyle w:val="ListParagraph"/>
        <w:numPr>
          <w:ilvl w:val="0"/>
          <w:numId w:val="93"/>
        </w:numPr>
        <w:ind w:left="714" w:hanging="357"/>
        <w:contextualSpacing w:val="0"/>
      </w:pPr>
      <w:r>
        <w:t>The Social Research Centre interviewers followed a script to ensure the same questions were asked of all the participants, subject to the conditional statements within the survey. The interviewee asked the patient which language they would prefer the interview to be conducted in. The interviewer also gave the patient the opportunity to reschedule the interview for a later time. The interviews took 15 to 20 minutes.</w:t>
      </w:r>
    </w:p>
    <w:p w14:paraId="4E5448FD" w14:textId="77777777" w:rsidR="001C19F3" w:rsidRDefault="001C19F3" w:rsidP="001C19F3">
      <w:pPr>
        <w:pStyle w:val="ListParagraph"/>
        <w:numPr>
          <w:ilvl w:val="0"/>
          <w:numId w:val="93"/>
        </w:numPr>
      </w:pPr>
      <w:r>
        <w:t>Respondents were sent a thank you email (or letter if no email address), reminding them that they will be contacted again in late 2019, and allowing an opportunity to opt-out if they didn’t wish to be re-surveyed.</w:t>
      </w:r>
    </w:p>
    <w:p w14:paraId="1280E409" w14:textId="77777777" w:rsidR="001C19F3" w:rsidRDefault="001C19F3" w:rsidP="001C19F3">
      <w:pPr>
        <w:pStyle w:val="Heading3"/>
        <w:rPr>
          <w:rFonts w:eastAsia="Times New Roman"/>
        </w:rPr>
      </w:pPr>
      <w:r>
        <w:rPr>
          <w:rFonts w:eastAsia="Times New Roman"/>
        </w:rPr>
        <w:t>Results</w:t>
      </w:r>
    </w:p>
    <w:p w14:paraId="75B8E3BD" w14:textId="77777777" w:rsidR="001C19F3" w:rsidRDefault="001C19F3" w:rsidP="001C19F3">
      <w:r>
        <w:t xml:space="preserve">Details of 3,125 patients were sent to The Social Research Centre. From these, 2,018 patients completed a survey, which is </w:t>
      </w:r>
      <w:bookmarkStart w:id="492" w:name="_Hlk20905072"/>
      <w:r>
        <w:t>a crude response rate of 64.6%</w:t>
      </w:r>
      <w:bookmarkEnd w:id="492"/>
      <w:r>
        <w:t xml:space="preserve">. For 99 patients, contact information was classified as unusable. If these are excluded from the denominator, the response rate is 66.7%. For a further 551 patients (17.6%), contact could not be made with the patient. Another 225 patients (7.2%) were contacted but did not proceed for the reasons described in </w:t>
      </w:r>
      <w:r>
        <w:fldChar w:fldCharType="begin"/>
      </w:r>
      <w:r>
        <w:instrText xml:space="preserve"> REF _Ref524515919 \h  \* MERGEFORMAT </w:instrText>
      </w:r>
      <w:r>
        <w:fldChar w:fldCharType="separate"/>
      </w:r>
      <w:r w:rsidRPr="008F2809">
        <w:t>Table 10</w:t>
      </w:r>
      <w:r>
        <w:fldChar w:fldCharType="end"/>
      </w:r>
      <w:r>
        <w:t xml:space="preserve">. These included that the patient was </w:t>
      </w:r>
      <w:r w:rsidRPr="001B1DEE">
        <w:t>f</w:t>
      </w:r>
      <w:r>
        <w:t>r</w:t>
      </w:r>
      <w:r w:rsidRPr="001B1DEE">
        <w:t xml:space="preserve">ail or ill </w:t>
      </w:r>
      <w:r>
        <w:t xml:space="preserve">(2.4%). A further 7.4% of patients refused to participate in the survey or withdrew as they were being surveyed. </w:t>
      </w:r>
    </w:p>
    <w:p w14:paraId="5105CBE3" w14:textId="77777777" w:rsidR="001C19F3" w:rsidRDefault="001C19F3" w:rsidP="001C19F3">
      <w:pPr>
        <w:spacing w:after="0"/>
        <w:jc w:val="center"/>
        <w:rPr>
          <w:rFonts w:eastAsia="Times New Roman"/>
          <w:b/>
        </w:rPr>
      </w:pPr>
      <w:bookmarkStart w:id="493" w:name="_Ref524515919"/>
      <w:r>
        <w:rPr>
          <w:rFonts w:eastAsia="Times New Roman"/>
          <w:b/>
        </w:rPr>
        <w:t xml:space="preserve">Table </w:t>
      </w:r>
      <w:r>
        <w:fldChar w:fldCharType="begin"/>
      </w:r>
      <w:r>
        <w:rPr>
          <w:rFonts w:eastAsia="Times New Roman" w:cs="Arial"/>
          <w:b/>
          <w:color w:val="000000" w:themeColor="text1"/>
        </w:rPr>
        <w:instrText xml:space="preserve"> SEQ Table \* ARABIC </w:instrText>
      </w:r>
      <w:r>
        <w:fldChar w:fldCharType="separate"/>
      </w:r>
      <w:r>
        <w:rPr>
          <w:rFonts w:eastAsia="Times New Roman" w:cs="Arial"/>
          <w:b/>
          <w:noProof/>
          <w:color w:val="000000" w:themeColor="text1"/>
        </w:rPr>
        <w:t>10</w:t>
      </w:r>
      <w:r>
        <w:fldChar w:fldCharType="end"/>
      </w:r>
      <w:bookmarkEnd w:id="493"/>
      <w:r>
        <w:rPr>
          <w:rFonts w:eastAsia="Times New Roman"/>
          <w:b/>
        </w:rPr>
        <w:t xml:space="preserve"> – Summary of patient disposition in relation to participation in HCH survey, December 2017 – March 2019 </w:t>
      </w:r>
    </w:p>
    <w:tbl>
      <w:tblPr>
        <w:tblStyle w:val="TableGrid"/>
        <w:tblW w:w="416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6"/>
        <w:gridCol w:w="3661"/>
        <w:gridCol w:w="1270"/>
        <w:gridCol w:w="1264"/>
      </w:tblGrid>
      <w:tr w:rsidR="001C19F3" w14:paraId="2136DFD1" w14:textId="77777777" w:rsidTr="00521305">
        <w:trPr>
          <w:tblHeader/>
          <w:jc w:val="center"/>
        </w:trPr>
        <w:tc>
          <w:tcPr>
            <w:tcW w:w="4967" w:type="dxa"/>
            <w:gridSpan w:val="2"/>
            <w:shd w:val="clear" w:color="auto" w:fill="003D79"/>
            <w:hideMark/>
          </w:tcPr>
          <w:p w14:paraId="666B919D" w14:textId="77777777" w:rsidR="001C19F3" w:rsidRDefault="001C19F3" w:rsidP="00521305">
            <w:pPr>
              <w:spacing w:before="60" w:after="60" w:line="240" w:lineRule="auto"/>
              <w:jc w:val="center"/>
              <w:rPr>
                <w:b/>
                <w:bCs/>
                <w:sz w:val="18"/>
                <w:szCs w:val="18"/>
              </w:rPr>
            </w:pPr>
            <w:r>
              <w:rPr>
                <w:b/>
                <w:bCs/>
                <w:sz w:val="18"/>
                <w:szCs w:val="18"/>
              </w:rPr>
              <w:t>Responses</w:t>
            </w:r>
          </w:p>
        </w:tc>
        <w:tc>
          <w:tcPr>
            <w:tcW w:w="1270" w:type="dxa"/>
            <w:shd w:val="clear" w:color="auto" w:fill="003D79"/>
            <w:hideMark/>
          </w:tcPr>
          <w:p w14:paraId="47BE1F2F" w14:textId="77777777" w:rsidR="001C19F3" w:rsidRDefault="001C19F3" w:rsidP="00521305">
            <w:pPr>
              <w:spacing w:before="60" w:after="60" w:line="240" w:lineRule="auto"/>
              <w:jc w:val="center"/>
              <w:rPr>
                <w:rFonts w:eastAsia="Times New Roman" w:cs="Arial"/>
                <w:b/>
                <w:bCs/>
                <w:color w:val="FFFFFF" w:themeColor="background1"/>
                <w:sz w:val="18"/>
                <w:szCs w:val="18"/>
                <w:lang w:eastAsia="en-AU"/>
              </w:rPr>
            </w:pPr>
            <w:r>
              <w:rPr>
                <w:rFonts w:eastAsia="Times New Roman" w:cs="Arial"/>
                <w:b/>
                <w:bCs/>
                <w:color w:val="FFFFFF" w:themeColor="background1"/>
                <w:sz w:val="18"/>
                <w:szCs w:val="18"/>
                <w:lang w:eastAsia="en-AU"/>
              </w:rPr>
              <w:t>Number of patients</w:t>
            </w:r>
          </w:p>
          <w:p w14:paraId="63BF1E2C" w14:textId="77777777" w:rsidR="001C19F3" w:rsidRDefault="001C19F3" w:rsidP="00521305">
            <w:pPr>
              <w:spacing w:before="60" w:after="60" w:line="240" w:lineRule="auto"/>
              <w:jc w:val="center"/>
              <w:rPr>
                <w:rFonts w:eastAsiaTheme="minorHAnsi" w:cstheme="minorBidi"/>
                <w:sz w:val="18"/>
                <w:szCs w:val="18"/>
              </w:rPr>
            </w:pPr>
            <w:r>
              <w:rPr>
                <w:rFonts w:eastAsia="Times New Roman" w:cs="Arial"/>
                <w:b/>
                <w:bCs/>
                <w:color w:val="FFFFFF" w:themeColor="background1"/>
                <w:sz w:val="18"/>
                <w:szCs w:val="18"/>
                <w:lang w:eastAsia="en-AU"/>
              </w:rPr>
              <w:t>(n = 3,125)</w:t>
            </w:r>
          </w:p>
        </w:tc>
        <w:tc>
          <w:tcPr>
            <w:tcW w:w="1264" w:type="dxa"/>
            <w:shd w:val="clear" w:color="auto" w:fill="003D79"/>
            <w:hideMark/>
          </w:tcPr>
          <w:p w14:paraId="35F55E7E" w14:textId="77777777" w:rsidR="001C19F3" w:rsidRDefault="001C19F3" w:rsidP="00521305">
            <w:pPr>
              <w:spacing w:before="60" w:after="60" w:line="240" w:lineRule="auto"/>
              <w:jc w:val="center"/>
              <w:rPr>
                <w:sz w:val="18"/>
                <w:szCs w:val="18"/>
              </w:rPr>
            </w:pPr>
            <w:r>
              <w:rPr>
                <w:rFonts w:eastAsia="Times New Roman" w:cs="Arial"/>
                <w:b/>
                <w:bCs/>
                <w:color w:val="FFFFFF" w:themeColor="background1"/>
                <w:sz w:val="18"/>
                <w:szCs w:val="18"/>
                <w:lang w:eastAsia="en-AU"/>
              </w:rPr>
              <w:t>Percentage of total</w:t>
            </w:r>
          </w:p>
        </w:tc>
      </w:tr>
      <w:tr w:rsidR="001C19F3" w14:paraId="6DF47A04" w14:textId="77777777" w:rsidTr="00521305">
        <w:trPr>
          <w:jc w:val="center"/>
        </w:trPr>
        <w:tc>
          <w:tcPr>
            <w:tcW w:w="4967" w:type="dxa"/>
            <w:gridSpan w:val="2"/>
            <w:hideMark/>
          </w:tcPr>
          <w:p w14:paraId="513518CF" w14:textId="77777777" w:rsidR="001C19F3" w:rsidRDefault="001C19F3" w:rsidP="00521305">
            <w:pPr>
              <w:spacing w:before="60" w:after="60" w:line="240" w:lineRule="auto"/>
              <w:rPr>
                <w:b/>
                <w:bCs/>
                <w:sz w:val="18"/>
                <w:szCs w:val="18"/>
              </w:rPr>
            </w:pPr>
            <w:r>
              <w:rPr>
                <w:sz w:val="18"/>
                <w:szCs w:val="18"/>
              </w:rPr>
              <w:t>Interviews completed</w:t>
            </w:r>
          </w:p>
        </w:tc>
        <w:tc>
          <w:tcPr>
            <w:tcW w:w="1270" w:type="dxa"/>
            <w:vAlign w:val="center"/>
            <w:hideMark/>
          </w:tcPr>
          <w:p w14:paraId="7D05ACC4" w14:textId="77777777" w:rsidR="001C19F3" w:rsidRDefault="001C19F3" w:rsidP="00521305">
            <w:pPr>
              <w:spacing w:before="60" w:after="60" w:line="240" w:lineRule="auto"/>
              <w:jc w:val="center"/>
              <w:rPr>
                <w:b/>
                <w:bCs/>
                <w:sz w:val="18"/>
                <w:szCs w:val="18"/>
              </w:rPr>
            </w:pPr>
            <w:r>
              <w:rPr>
                <w:rFonts w:eastAsia="Times New Roman" w:cs="Arial"/>
                <w:b/>
                <w:bCs/>
                <w:color w:val="000000" w:themeColor="text1"/>
                <w:sz w:val="18"/>
                <w:szCs w:val="18"/>
                <w:lang w:eastAsia="en-AU"/>
              </w:rPr>
              <w:t>2,018</w:t>
            </w:r>
          </w:p>
        </w:tc>
        <w:tc>
          <w:tcPr>
            <w:tcW w:w="1264" w:type="dxa"/>
            <w:vAlign w:val="center"/>
            <w:hideMark/>
          </w:tcPr>
          <w:p w14:paraId="5DC1C6CC" w14:textId="77777777" w:rsidR="001C19F3" w:rsidRDefault="001C19F3" w:rsidP="00521305">
            <w:pPr>
              <w:spacing w:before="60" w:after="60" w:line="240" w:lineRule="auto"/>
              <w:jc w:val="center"/>
              <w:rPr>
                <w:b/>
                <w:bCs/>
                <w:sz w:val="18"/>
                <w:szCs w:val="18"/>
              </w:rPr>
            </w:pPr>
            <w:r>
              <w:rPr>
                <w:rFonts w:eastAsia="Times New Roman" w:cs="Arial"/>
                <w:b/>
                <w:bCs/>
                <w:color w:val="000000" w:themeColor="text1"/>
                <w:sz w:val="18"/>
                <w:szCs w:val="18"/>
                <w:lang w:eastAsia="en-AU"/>
              </w:rPr>
              <w:t>64.6</w:t>
            </w:r>
          </w:p>
        </w:tc>
      </w:tr>
      <w:tr w:rsidR="001C19F3" w14:paraId="025C2B69" w14:textId="77777777" w:rsidTr="00521305">
        <w:trPr>
          <w:jc w:val="center"/>
        </w:trPr>
        <w:tc>
          <w:tcPr>
            <w:tcW w:w="1306" w:type="dxa"/>
            <w:vMerge w:val="restart"/>
            <w:hideMark/>
          </w:tcPr>
          <w:p w14:paraId="56F9D999" w14:textId="77777777" w:rsidR="001C19F3" w:rsidRDefault="001C19F3" w:rsidP="00521305">
            <w:pPr>
              <w:spacing w:line="240" w:lineRule="auto"/>
              <w:rPr>
                <w:rFonts w:cs="Arial"/>
                <w:color w:val="000000"/>
                <w:sz w:val="18"/>
                <w:szCs w:val="18"/>
              </w:rPr>
            </w:pPr>
            <w:r>
              <w:rPr>
                <w:rFonts w:cs="Arial"/>
                <w:color w:val="000000"/>
                <w:sz w:val="18"/>
                <w:szCs w:val="18"/>
              </w:rPr>
              <w:t>Unusable sample</w:t>
            </w:r>
          </w:p>
        </w:tc>
        <w:tc>
          <w:tcPr>
            <w:tcW w:w="3661" w:type="dxa"/>
            <w:vAlign w:val="center"/>
            <w:hideMark/>
          </w:tcPr>
          <w:p w14:paraId="4A1D9D05" w14:textId="77777777" w:rsidR="001C19F3" w:rsidRDefault="001C19F3" w:rsidP="00521305">
            <w:pPr>
              <w:spacing w:before="60" w:after="60" w:line="240" w:lineRule="auto"/>
              <w:rPr>
                <w:rFonts w:cs="Arial"/>
                <w:b/>
                <w:bCs/>
                <w:color w:val="000000"/>
                <w:sz w:val="18"/>
                <w:szCs w:val="18"/>
              </w:rPr>
            </w:pPr>
            <w:r>
              <w:rPr>
                <w:rFonts w:eastAsia="Times New Roman" w:cs="Arial"/>
                <w:color w:val="000000" w:themeColor="text1"/>
                <w:sz w:val="18"/>
                <w:szCs w:val="18"/>
                <w:lang w:eastAsia="en-AU"/>
              </w:rPr>
              <w:t>Deceased</w:t>
            </w:r>
          </w:p>
        </w:tc>
        <w:tc>
          <w:tcPr>
            <w:tcW w:w="1270" w:type="dxa"/>
            <w:vAlign w:val="center"/>
            <w:hideMark/>
          </w:tcPr>
          <w:p w14:paraId="6D1DABDF"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5</w:t>
            </w:r>
          </w:p>
        </w:tc>
        <w:tc>
          <w:tcPr>
            <w:tcW w:w="1264" w:type="dxa"/>
            <w:vAlign w:val="center"/>
            <w:hideMark/>
          </w:tcPr>
          <w:p w14:paraId="265768CC"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0.2</w:t>
            </w:r>
          </w:p>
        </w:tc>
      </w:tr>
      <w:tr w:rsidR="001C19F3" w14:paraId="45EFB212" w14:textId="77777777" w:rsidTr="00521305">
        <w:trPr>
          <w:jc w:val="center"/>
        </w:trPr>
        <w:tc>
          <w:tcPr>
            <w:tcW w:w="0" w:type="auto"/>
            <w:vMerge/>
            <w:vAlign w:val="center"/>
            <w:hideMark/>
          </w:tcPr>
          <w:p w14:paraId="24FA11B2" w14:textId="77777777" w:rsidR="001C19F3" w:rsidRDefault="001C19F3" w:rsidP="00521305">
            <w:pPr>
              <w:spacing w:line="240" w:lineRule="auto"/>
              <w:rPr>
                <w:rFonts w:cs="Arial"/>
                <w:color w:val="000000"/>
                <w:sz w:val="18"/>
                <w:szCs w:val="18"/>
              </w:rPr>
            </w:pPr>
          </w:p>
        </w:tc>
        <w:tc>
          <w:tcPr>
            <w:tcW w:w="3661" w:type="dxa"/>
            <w:vAlign w:val="center"/>
            <w:hideMark/>
          </w:tcPr>
          <w:p w14:paraId="28859623" w14:textId="77777777" w:rsidR="001C19F3" w:rsidRDefault="001C19F3" w:rsidP="00521305">
            <w:pPr>
              <w:spacing w:before="60" w:after="60" w:line="240" w:lineRule="auto"/>
              <w:rPr>
                <w:rFonts w:cs="Arial"/>
                <w:b/>
                <w:bCs/>
                <w:color w:val="000000"/>
                <w:sz w:val="18"/>
                <w:szCs w:val="18"/>
              </w:rPr>
            </w:pPr>
            <w:r w:rsidRPr="009706BA">
              <w:rPr>
                <w:rFonts w:eastAsia="Times New Roman" w:cs="Arial"/>
                <w:color w:val="000000" w:themeColor="text1"/>
                <w:sz w:val="18"/>
                <w:szCs w:val="18"/>
                <w:lang w:eastAsia="en-AU"/>
              </w:rPr>
              <w:t>Named person not known</w:t>
            </w:r>
          </w:p>
        </w:tc>
        <w:tc>
          <w:tcPr>
            <w:tcW w:w="1270" w:type="dxa"/>
            <w:vAlign w:val="center"/>
            <w:hideMark/>
          </w:tcPr>
          <w:p w14:paraId="27DD773C"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32</w:t>
            </w:r>
          </w:p>
        </w:tc>
        <w:tc>
          <w:tcPr>
            <w:tcW w:w="1264" w:type="dxa"/>
            <w:vAlign w:val="center"/>
            <w:hideMark/>
          </w:tcPr>
          <w:p w14:paraId="76340D50"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1.0</w:t>
            </w:r>
          </w:p>
        </w:tc>
      </w:tr>
      <w:tr w:rsidR="001C19F3" w14:paraId="7C9BD690" w14:textId="77777777" w:rsidTr="00521305">
        <w:trPr>
          <w:jc w:val="center"/>
        </w:trPr>
        <w:tc>
          <w:tcPr>
            <w:tcW w:w="0" w:type="auto"/>
            <w:vMerge/>
            <w:vAlign w:val="center"/>
            <w:hideMark/>
          </w:tcPr>
          <w:p w14:paraId="178F27B2" w14:textId="77777777" w:rsidR="001C19F3" w:rsidRDefault="001C19F3" w:rsidP="00521305">
            <w:pPr>
              <w:spacing w:line="240" w:lineRule="auto"/>
              <w:rPr>
                <w:rFonts w:cs="Arial"/>
                <w:color w:val="000000"/>
                <w:sz w:val="18"/>
                <w:szCs w:val="18"/>
              </w:rPr>
            </w:pPr>
          </w:p>
        </w:tc>
        <w:tc>
          <w:tcPr>
            <w:tcW w:w="3661" w:type="dxa"/>
            <w:vAlign w:val="center"/>
            <w:hideMark/>
          </w:tcPr>
          <w:p w14:paraId="69F29241" w14:textId="77777777" w:rsidR="001C19F3" w:rsidRDefault="001C19F3" w:rsidP="00521305">
            <w:pPr>
              <w:spacing w:before="60" w:after="60" w:line="240" w:lineRule="auto"/>
              <w:rPr>
                <w:rFonts w:cs="Arial"/>
                <w:b/>
                <w:bCs/>
                <w:color w:val="000000"/>
                <w:sz w:val="18"/>
                <w:szCs w:val="18"/>
              </w:rPr>
            </w:pPr>
            <w:r>
              <w:rPr>
                <w:rFonts w:eastAsia="Times New Roman" w:cs="Arial"/>
                <w:color w:val="000000" w:themeColor="text1"/>
                <w:sz w:val="18"/>
                <w:szCs w:val="18"/>
                <w:lang w:eastAsia="en-AU"/>
              </w:rPr>
              <w:t>Not a residential number</w:t>
            </w:r>
          </w:p>
        </w:tc>
        <w:tc>
          <w:tcPr>
            <w:tcW w:w="1270" w:type="dxa"/>
            <w:vAlign w:val="center"/>
            <w:hideMark/>
          </w:tcPr>
          <w:p w14:paraId="19E1C977"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6</w:t>
            </w:r>
          </w:p>
        </w:tc>
        <w:tc>
          <w:tcPr>
            <w:tcW w:w="1264" w:type="dxa"/>
            <w:vAlign w:val="center"/>
            <w:hideMark/>
          </w:tcPr>
          <w:p w14:paraId="05FAABC2"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0.2</w:t>
            </w:r>
          </w:p>
        </w:tc>
      </w:tr>
      <w:tr w:rsidR="001C19F3" w14:paraId="0349C974" w14:textId="77777777" w:rsidTr="00521305">
        <w:trPr>
          <w:jc w:val="center"/>
        </w:trPr>
        <w:tc>
          <w:tcPr>
            <w:tcW w:w="0" w:type="auto"/>
            <w:vMerge/>
            <w:vAlign w:val="center"/>
            <w:hideMark/>
          </w:tcPr>
          <w:p w14:paraId="01834F26" w14:textId="77777777" w:rsidR="001C19F3" w:rsidRDefault="001C19F3" w:rsidP="00521305">
            <w:pPr>
              <w:spacing w:line="240" w:lineRule="auto"/>
              <w:rPr>
                <w:rFonts w:cs="Arial"/>
                <w:color w:val="000000"/>
                <w:sz w:val="18"/>
                <w:szCs w:val="18"/>
              </w:rPr>
            </w:pPr>
          </w:p>
        </w:tc>
        <w:tc>
          <w:tcPr>
            <w:tcW w:w="3661" w:type="dxa"/>
            <w:vAlign w:val="center"/>
            <w:hideMark/>
          </w:tcPr>
          <w:p w14:paraId="25800999" w14:textId="77777777" w:rsidR="001C19F3" w:rsidRDefault="001C19F3" w:rsidP="00521305">
            <w:pPr>
              <w:spacing w:before="60" w:after="60" w:line="240" w:lineRule="auto"/>
              <w:rPr>
                <w:rFonts w:cs="Arial"/>
                <w:b/>
                <w:bCs/>
                <w:color w:val="000000"/>
                <w:sz w:val="18"/>
                <w:szCs w:val="18"/>
              </w:rPr>
            </w:pPr>
            <w:r>
              <w:rPr>
                <w:rFonts w:eastAsia="Times New Roman" w:cs="Arial"/>
                <w:color w:val="000000" w:themeColor="text1"/>
                <w:sz w:val="18"/>
                <w:szCs w:val="18"/>
                <w:lang w:eastAsia="en-AU"/>
              </w:rPr>
              <w:t>Incoming call restriction</w:t>
            </w:r>
          </w:p>
        </w:tc>
        <w:tc>
          <w:tcPr>
            <w:tcW w:w="1270" w:type="dxa"/>
            <w:vAlign w:val="center"/>
            <w:hideMark/>
          </w:tcPr>
          <w:p w14:paraId="3BFCED2D"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1</w:t>
            </w:r>
          </w:p>
        </w:tc>
        <w:tc>
          <w:tcPr>
            <w:tcW w:w="1264" w:type="dxa"/>
            <w:vAlign w:val="center"/>
            <w:hideMark/>
          </w:tcPr>
          <w:p w14:paraId="7123BE55"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0.0</w:t>
            </w:r>
          </w:p>
        </w:tc>
      </w:tr>
      <w:tr w:rsidR="001C19F3" w14:paraId="49942EED" w14:textId="77777777" w:rsidTr="00521305">
        <w:trPr>
          <w:jc w:val="center"/>
        </w:trPr>
        <w:tc>
          <w:tcPr>
            <w:tcW w:w="0" w:type="auto"/>
            <w:vMerge/>
            <w:vAlign w:val="center"/>
            <w:hideMark/>
          </w:tcPr>
          <w:p w14:paraId="40C2234F" w14:textId="77777777" w:rsidR="001C19F3" w:rsidRDefault="001C19F3" w:rsidP="00521305">
            <w:pPr>
              <w:spacing w:line="240" w:lineRule="auto"/>
              <w:rPr>
                <w:rFonts w:cs="Arial"/>
                <w:color w:val="000000"/>
                <w:sz w:val="18"/>
                <w:szCs w:val="18"/>
              </w:rPr>
            </w:pPr>
          </w:p>
        </w:tc>
        <w:tc>
          <w:tcPr>
            <w:tcW w:w="3661" w:type="dxa"/>
            <w:vAlign w:val="center"/>
            <w:hideMark/>
          </w:tcPr>
          <w:p w14:paraId="72D16211" w14:textId="77777777" w:rsidR="001C19F3" w:rsidRDefault="001C19F3" w:rsidP="00521305">
            <w:pPr>
              <w:spacing w:before="60" w:after="60" w:line="240" w:lineRule="auto"/>
              <w:rPr>
                <w:rFonts w:cs="Arial"/>
                <w:b/>
                <w:bCs/>
                <w:color w:val="000000"/>
                <w:sz w:val="18"/>
                <w:szCs w:val="18"/>
              </w:rPr>
            </w:pPr>
            <w:r>
              <w:rPr>
                <w:rFonts w:eastAsia="Times New Roman" w:cs="Arial"/>
                <w:color w:val="000000" w:themeColor="text1"/>
                <w:sz w:val="18"/>
                <w:szCs w:val="18"/>
                <w:lang w:eastAsia="en-AU"/>
              </w:rPr>
              <w:t>Number disconnected</w:t>
            </w:r>
          </w:p>
        </w:tc>
        <w:tc>
          <w:tcPr>
            <w:tcW w:w="1270" w:type="dxa"/>
            <w:vAlign w:val="center"/>
            <w:hideMark/>
          </w:tcPr>
          <w:p w14:paraId="65AC2B3F"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55</w:t>
            </w:r>
          </w:p>
        </w:tc>
        <w:tc>
          <w:tcPr>
            <w:tcW w:w="1264" w:type="dxa"/>
            <w:vAlign w:val="center"/>
            <w:hideMark/>
          </w:tcPr>
          <w:p w14:paraId="19040082" w14:textId="77777777" w:rsidR="001C19F3" w:rsidRDefault="001C19F3" w:rsidP="00521305">
            <w:pPr>
              <w:spacing w:before="60" w:after="60" w:line="240" w:lineRule="auto"/>
              <w:jc w:val="center"/>
              <w:rPr>
                <w:rFonts w:cs="Arial"/>
                <w:b/>
                <w:bCs/>
                <w:color w:val="000000"/>
                <w:sz w:val="18"/>
                <w:szCs w:val="18"/>
              </w:rPr>
            </w:pPr>
            <w:r>
              <w:rPr>
                <w:rFonts w:eastAsia="Times New Roman" w:cs="Arial"/>
                <w:color w:val="000000" w:themeColor="text1"/>
                <w:sz w:val="18"/>
                <w:szCs w:val="18"/>
                <w:lang w:eastAsia="en-AU"/>
              </w:rPr>
              <w:t>1.8</w:t>
            </w:r>
          </w:p>
        </w:tc>
      </w:tr>
      <w:tr w:rsidR="001C19F3" w14:paraId="19622A5F" w14:textId="77777777" w:rsidTr="00521305">
        <w:trPr>
          <w:jc w:val="center"/>
        </w:trPr>
        <w:tc>
          <w:tcPr>
            <w:tcW w:w="0" w:type="auto"/>
            <w:vMerge/>
            <w:vAlign w:val="center"/>
            <w:hideMark/>
          </w:tcPr>
          <w:p w14:paraId="54D920AC" w14:textId="77777777" w:rsidR="001C19F3" w:rsidRDefault="001C19F3" w:rsidP="00521305">
            <w:pPr>
              <w:spacing w:line="240" w:lineRule="auto"/>
              <w:rPr>
                <w:rFonts w:cs="Arial"/>
                <w:color w:val="000000"/>
                <w:sz w:val="18"/>
                <w:szCs w:val="18"/>
              </w:rPr>
            </w:pPr>
          </w:p>
        </w:tc>
        <w:tc>
          <w:tcPr>
            <w:tcW w:w="3661" w:type="dxa"/>
            <w:vAlign w:val="center"/>
            <w:hideMark/>
          </w:tcPr>
          <w:p w14:paraId="28C759E0"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cs="Arial"/>
                <w:b/>
                <w:bCs/>
                <w:color w:val="000000"/>
                <w:sz w:val="18"/>
                <w:szCs w:val="18"/>
              </w:rPr>
              <w:t>Total</w:t>
            </w:r>
          </w:p>
        </w:tc>
        <w:tc>
          <w:tcPr>
            <w:tcW w:w="1270" w:type="dxa"/>
            <w:vAlign w:val="bottom"/>
            <w:hideMark/>
          </w:tcPr>
          <w:p w14:paraId="02CFB5BA" w14:textId="77777777" w:rsidR="001C19F3" w:rsidRDefault="001C19F3" w:rsidP="00521305">
            <w:pPr>
              <w:spacing w:before="60" w:after="60" w:line="240" w:lineRule="auto"/>
              <w:jc w:val="center"/>
              <w:rPr>
                <w:rFonts w:eastAsia="Times New Roman" w:cs="Arial"/>
                <w:color w:val="000000" w:themeColor="text1"/>
                <w:sz w:val="18"/>
                <w:szCs w:val="18"/>
                <w:lang w:eastAsia="en-AU"/>
              </w:rPr>
            </w:pPr>
            <w:r>
              <w:rPr>
                <w:rFonts w:cs="Arial"/>
                <w:b/>
                <w:bCs/>
                <w:color w:val="000000"/>
                <w:sz w:val="18"/>
                <w:szCs w:val="18"/>
              </w:rPr>
              <w:t>99</w:t>
            </w:r>
          </w:p>
        </w:tc>
        <w:tc>
          <w:tcPr>
            <w:tcW w:w="1264" w:type="dxa"/>
            <w:vAlign w:val="bottom"/>
            <w:hideMark/>
          </w:tcPr>
          <w:p w14:paraId="757B61C1" w14:textId="77777777" w:rsidR="001C19F3" w:rsidRDefault="001C19F3" w:rsidP="00521305">
            <w:pPr>
              <w:spacing w:before="60" w:after="60" w:line="240" w:lineRule="auto"/>
              <w:jc w:val="center"/>
              <w:rPr>
                <w:rFonts w:eastAsia="Times New Roman" w:cs="Arial"/>
                <w:color w:val="000000" w:themeColor="text1"/>
                <w:sz w:val="18"/>
                <w:szCs w:val="18"/>
                <w:lang w:eastAsia="en-AU"/>
              </w:rPr>
            </w:pPr>
            <w:r>
              <w:rPr>
                <w:rFonts w:cs="Arial"/>
                <w:b/>
                <w:bCs/>
                <w:color w:val="000000"/>
                <w:sz w:val="18"/>
                <w:szCs w:val="18"/>
              </w:rPr>
              <w:t>3.2</w:t>
            </w:r>
          </w:p>
        </w:tc>
      </w:tr>
      <w:tr w:rsidR="001C19F3" w14:paraId="021B9FF8" w14:textId="77777777" w:rsidTr="00521305">
        <w:trPr>
          <w:jc w:val="center"/>
        </w:trPr>
        <w:tc>
          <w:tcPr>
            <w:tcW w:w="1306" w:type="dxa"/>
            <w:vMerge w:val="restart"/>
            <w:hideMark/>
          </w:tcPr>
          <w:p w14:paraId="66002F4A" w14:textId="77777777" w:rsidR="001C19F3" w:rsidRDefault="001C19F3" w:rsidP="00521305">
            <w:pPr>
              <w:spacing w:before="60" w:after="60" w:line="240" w:lineRule="auto"/>
              <w:rPr>
                <w:rFonts w:eastAsiaTheme="minorHAnsi" w:cstheme="minorBidi"/>
                <w:sz w:val="18"/>
                <w:szCs w:val="18"/>
              </w:rPr>
            </w:pPr>
            <w:r>
              <w:rPr>
                <w:sz w:val="18"/>
                <w:szCs w:val="18"/>
              </w:rPr>
              <w:t>Non contacts</w:t>
            </w:r>
          </w:p>
        </w:tc>
        <w:tc>
          <w:tcPr>
            <w:tcW w:w="3661" w:type="dxa"/>
            <w:vAlign w:val="bottom"/>
            <w:hideMark/>
          </w:tcPr>
          <w:p w14:paraId="30230D3D"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cs="Arial"/>
                <w:color w:val="000000"/>
                <w:sz w:val="18"/>
                <w:szCs w:val="18"/>
              </w:rPr>
              <w:t>Answering machine</w:t>
            </w:r>
          </w:p>
        </w:tc>
        <w:tc>
          <w:tcPr>
            <w:tcW w:w="1270" w:type="dxa"/>
            <w:vAlign w:val="bottom"/>
            <w:hideMark/>
          </w:tcPr>
          <w:p w14:paraId="4BBFB174"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347</w:t>
            </w:r>
          </w:p>
        </w:tc>
        <w:tc>
          <w:tcPr>
            <w:tcW w:w="1264" w:type="dxa"/>
            <w:vAlign w:val="bottom"/>
            <w:hideMark/>
          </w:tcPr>
          <w:p w14:paraId="1407963F"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11.1</w:t>
            </w:r>
          </w:p>
        </w:tc>
      </w:tr>
      <w:tr w:rsidR="001C19F3" w14:paraId="460C3088" w14:textId="77777777" w:rsidTr="00521305">
        <w:trPr>
          <w:jc w:val="center"/>
        </w:trPr>
        <w:tc>
          <w:tcPr>
            <w:tcW w:w="0" w:type="auto"/>
            <w:vMerge/>
            <w:vAlign w:val="center"/>
            <w:hideMark/>
          </w:tcPr>
          <w:p w14:paraId="78D49F98" w14:textId="77777777" w:rsidR="001C19F3" w:rsidRDefault="001C19F3" w:rsidP="00521305">
            <w:pPr>
              <w:spacing w:line="240" w:lineRule="auto"/>
              <w:rPr>
                <w:sz w:val="18"/>
                <w:szCs w:val="18"/>
              </w:rPr>
            </w:pPr>
          </w:p>
        </w:tc>
        <w:tc>
          <w:tcPr>
            <w:tcW w:w="3661" w:type="dxa"/>
            <w:vAlign w:val="bottom"/>
            <w:hideMark/>
          </w:tcPr>
          <w:p w14:paraId="0FFB7466"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cs="Arial"/>
                <w:color w:val="000000"/>
                <w:sz w:val="18"/>
                <w:szCs w:val="18"/>
              </w:rPr>
              <w:t>Answering machine message left</w:t>
            </w:r>
          </w:p>
        </w:tc>
        <w:tc>
          <w:tcPr>
            <w:tcW w:w="1270" w:type="dxa"/>
            <w:vAlign w:val="bottom"/>
            <w:hideMark/>
          </w:tcPr>
          <w:p w14:paraId="3CAD1FEE"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12</w:t>
            </w:r>
          </w:p>
        </w:tc>
        <w:tc>
          <w:tcPr>
            <w:tcW w:w="1264" w:type="dxa"/>
            <w:vAlign w:val="bottom"/>
            <w:hideMark/>
          </w:tcPr>
          <w:p w14:paraId="58AED41D"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0.4</w:t>
            </w:r>
          </w:p>
        </w:tc>
      </w:tr>
      <w:tr w:rsidR="001C19F3" w14:paraId="74B0692D" w14:textId="77777777" w:rsidTr="00521305">
        <w:trPr>
          <w:jc w:val="center"/>
        </w:trPr>
        <w:tc>
          <w:tcPr>
            <w:tcW w:w="0" w:type="auto"/>
            <w:vMerge/>
            <w:vAlign w:val="center"/>
            <w:hideMark/>
          </w:tcPr>
          <w:p w14:paraId="5CAE9CA2" w14:textId="77777777" w:rsidR="001C19F3" w:rsidRDefault="001C19F3" w:rsidP="00521305">
            <w:pPr>
              <w:spacing w:line="240" w:lineRule="auto"/>
              <w:rPr>
                <w:sz w:val="18"/>
                <w:szCs w:val="18"/>
              </w:rPr>
            </w:pPr>
          </w:p>
        </w:tc>
        <w:tc>
          <w:tcPr>
            <w:tcW w:w="3661" w:type="dxa"/>
            <w:vAlign w:val="bottom"/>
            <w:hideMark/>
          </w:tcPr>
          <w:p w14:paraId="31BBDAC7"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cs="Arial"/>
                <w:color w:val="000000"/>
                <w:sz w:val="18"/>
                <w:szCs w:val="18"/>
              </w:rPr>
              <w:t>Engaged</w:t>
            </w:r>
          </w:p>
        </w:tc>
        <w:tc>
          <w:tcPr>
            <w:tcW w:w="1270" w:type="dxa"/>
            <w:vAlign w:val="bottom"/>
            <w:hideMark/>
          </w:tcPr>
          <w:p w14:paraId="0EC4DBAA"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19</w:t>
            </w:r>
          </w:p>
        </w:tc>
        <w:tc>
          <w:tcPr>
            <w:tcW w:w="1264" w:type="dxa"/>
            <w:vAlign w:val="bottom"/>
            <w:hideMark/>
          </w:tcPr>
          <w:p w14:paraId="312BB44B"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0.6</w:t>
            </w:r>
          </w:p>
        </w:tc>
      </w:tr>
      <w:tr w:rsidR="001C19F3" w14:paraId="29E9E9F0" w14:textId="77777777" w:rsidTr="00521305">
        <w:trPr>
          <w:jc w:val="center"/>
        </w:trPr>
        <w:tc>
          <w:tcPr>
            <w:tcW w:w="0" w:type="auto"/>
            <w:vMerge/>
            <w:vAlign w:val="center"/>
            <w:hideMark/>
          </w:tcPr>
          <w:p w14:paraId="2EBFCB93" w14:textId="77777777" w:rsidR="001C19F3" w:rsidRDefault="001C19F3" w:rsidP="00521305">
            <w:pPr>
              <w:spacing w:line="240" w:lineRule="auto"/>
              <w:rPr>
                <w:sz w:val="18"/>
                <w:szCs w:val="18"/>
              </w:rPr>
            </w:pPr>
          </w:p>
        </w:tc>
        <w:tc>
          <w:tcPr>
            <w:tcW w:w="3661" w:type="dxa"/>
            <w:vAlign w:val="bottom"/>
            <w:hideMark/>
          </w:tcPr>
          <w:p w14:paraId="0EF1935B"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cs="Arial"/>
                <w:color w:val="000000"/>
                <w:sz w:val="18"/>
                <w:szCs w:val="18"/>
              </w:rPr>
              <w:t>No answer</w:t>
            </w:r>
          </w:p>
        </w:tc>
        <w:tc>
          <w:tcPr>
            <w:tcW w:w="1270" w:type="dxa"/>
            <w:vAlign w:val="bottom"/>
            <w:hideMark/>
          </w:tcPr>
          <w:p w14:paraId="64AED270"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173</w:t>
            </w:r>
          </w:p>
        </w:tc>
        <w:tc>
          <w:tcPr>
            <w:tcW w:w="1264" w:type="dxa"/>
            <w:vAlign w:val="bottom"/>
            <w:hideMark/>
          </w:tcPr>
          <w:p w14:paraId="21CBFE5D"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cs="Arial"/>
                <w:color w:val="000000"/>
                <w:sz w:val="18"/>
                <w:szCs w:val="18"/>
              </w:rPr>
              <w:t>5.5</w:t>
            </w:r>
          </w:p>
        </w:tc>
      </w:tr>
      <w:tr w:rsidR="001C19F3" w14:paraId="0C587632" w14:textId="77777777" w:rsidTr="00521305">
        <w:trPr>
          <w:jc w:val="center"/>
        </w:trPr>
        <w:tc>
          <w:tcPr>
            <w:tcW w:w="0" w:type="auto"/>
            <w:vMerge/>
            <w:vAlign w:val="center"/>
            <w:hideMark/>
          </w:tcPr>
          <w:p w14:paraId="0DC05FDA" w14:textId="77777777" w:rsidR="001C19F3" w:rsidRDefault="001C19F3" w:rsidP="00521305">
            <w:pPr>
              <w:spacing w:line="240" w:lineRule="auto"/>
              <w:rPr>
                <w:sz w:val="18"/>
                <w:szCs w:val="18"/>
              </w:rPr>
            </w:pPr>
          </w:p>
        </w:tc>
        <w:tc>
          <w:tcPr>
            <w:tcW w:w="3661" w:type="dxa"/>
            <w:vAlign w:val="bottom"/>
            <w:hideMark/>
          </w:tcPr>
          <w:p w14:paraId="2829E27F" w14:textId="77777777" w:rsidR="001C19F3" w:rsidRDefault="001C19F3" w:rsidP="00521305">
            <w:pPr>
              <w:spacing w:before="60" w:after="60" w:line="240" w:lineRule="auto"/>
              <w:rPr>
                <w:rFonts w:eastAsiaTheme="minorHAnsi" w:cs="Arial"/>
                <w:b/>
                <w:bCs/>
                <w:color w:val="000000"/>
                <w:sz w:val="18"/>
                <w:szCs w:val="18"/>
              </w:rPr>
            </w:pPr>
            <w:r>
              <w:rPr>
                <w:rFonts w:cs="Arial"/>
                <w:b/>
                <w:bCs/>
                <w:color w:val="000000"/>
                <w:sz w:val="18"/>
                <w:szCs w:val="18"/>
              </w:rPr>
              <w:t>Total</w:t>
            </w:r>
          </w:p>
        </w:tc>
        <w:tc>
          <w:tcPr>
            <w:tcW w:w="1270" w:type="dxa"/>
            <w:vAlign w:val="bottom"/>
            <w:hideMark/>
          </w:tcPr>
          <w:p w14:paraId="69E2F3BB" w14:textId="77777777" w:rsidR="001C19F3" w:rsidRDefault="001C19F3" w:rsidP="00521305">
            <w:pPr>
              <w:spacing w:before="60" w:after="60" w:line="240" w:lineRule="auto"/>
              <w:jc w:val="center"/>
              <w:rPr>
                <w:rFonts w:cs="Arial"/>
                <w:color w:val="000000"/>
                <w:sz w:val="18"/>
                <w:szCs w:val="18"/>
              </w:rPr>
            </w:pPr>
            <w:r>
              <w:rPr>
                <w:rFonts w:cs="Arial"/>
                <w:b/>
                <w:bCs/>
                <w:color w:val="000000"/>
                <w:sz w:val="18"/>
                <w:szCs w:val="18"/>
              </w:rPr>
              <w:t>551</w:t>
            </w:r>
          </w:p>
        </w:tc>
        <w:tc>
          <w:tcPr>
            <w:tcW w:w="1264" w:type="dxa"/>
            <w:vAlign w:val="bottom"/>
            <w:hideMark/>
          </w:tcPr>
          <w:p w14:paraId="42AD45B8" w14:textId="77777777" w:rsidR="001C19F3" w:rsidRDefault="001C19F3" w:rsidP="00521305">
            <w:pPr>
              <w:spacing w:before="60" w:after="60" w:line="240" w:lineRule="auto"/>
              <w:jc w:val="center"/>
              <w:rPr>
                <w:rFonts w:cs="Arial"/>
                <w:color w:val="000000"/>
                <w:sz w:val="18"/>
                <w:szCs w:val="18"/>
              </w:rPr>
            </w:pPr>
            <w:r>
              <w:rPr>
                <w:rFonts w:cs="Arial"/>
                <w:b/>
                <w:bCs/>
                <w:color w:val="000000"/>
                <w:sz w:val="18"/>
                <w:szCs w:val="18"/>
              </w:rPr>
              <w:t>17.6</w:t>
            </w:r>
          </w:p>
        </w:tc>
      </w:tr>
      <w:tr w:rsidR="001C19F3" w14:paraId="5B94B15F" w14:textId="77777777" w:rsidTr="00521305">
        <w:trPr>
          <w:jc w:val="center"/>
        </w:trPr>
        <w:tc>
          <w:tcPr>
            <w:tcW w:w="1306" w:type="dxa"/>
            <w:vMerge w:val="restart"/>
            <w:hideMark/>
          </w:tcPr>
          <w:p w14:paraId="38BB012E" w14:textId="77777777" w:rsidR="001C19F3" w:rsidRDefault="001C19F3" w:rsidP="00521305">
            <w:pPr>
              <w:spacing w:before="60" w:after="60" w:line="240" w:lineRule="auto"/>
              <w:rPr>
                <w:rFonts w:eastAsiaTheme="minorHAnsi" w:cstheme="minorBidi"/>
                <w:sz w:val="18"/>
                <w:szCs w:val="18"/>
              </w:rPr>
            </w:pPr>
            <w:r>
              <w:rPr>
                <w:sz w:val="18"/>
                <w:szCs w:val="18"/>
              </w:rPr>
              <w:t>Other contacts</w:t>
            </w:r>
          </w:p>
        </w:tc>
        <w:tc>
          <w:tcPr>
            <w:tcW w:w="3661" w:type="dxa"/>
            <w:vAlign w:val="center"/>
            <w:hideMark/>
          </w:tcPr>
          <w:p w14:paraId="79291135" w14:textId="77777777" w:rsidR="001C19F3" w:rsidRDefault="001C19F3" w:rsidP="00521305">
            <w:pPr>
              <w:spacing w:before="60" w:after="60" w:line="240" w:lineRule="auto"/>
              <w:rPr>
                <w:rFonts w:eastAsia="Times New Roman" w:cs="Arial"/>
                <w:color w:val="000000" w:themeColor="text1"/>
                <w:sz w:val="18"/>
                <w:szCs w:val="18"/>
                <w:lang w:eastAsia="en-AU"/>
              </w:rPr>
            </w:pPr>
            <w:r>
              <w:rPr>
                <w:rFonts w:eastAsia="Times New Roman" w:cs="Arial"/>
                <w:color w:val="000000" w:themeColor="text1"/>
                <w:sz w:val="18"/>
                <w:szCs w:val="18"/>
                <w:lang w:eastAsia="en-AU"/>
              </w:rPr>
              <w:t>Re-appointment not completed</w:t>
            </w:r>
          </w:p>
        </w:tc>
        <w:tc>
          <w:tcPr>
            <w:tcW w:w="1270" w:type="dxa"/>
            <w:vAlign w:val="center"/>
            <w:hideMark/>
          </w:tcPr>
          <w:p w14:paraId="378613BE" w14:textId="77777777" w:rsidR="001C19F3" w:rsidRDefault="001C19F3" w:rsidP="00521305">
            <w:pPr>
              <w:spacing w:before="60" w:after="60" w:line="240" w:lineRule="auto"/>
              <w:jc w:val="center"/>
              <w:rPr>
                <w:rFonts w:eastAsia="Times New Roman" w:cs="Arial"/>
                <w:color w:val="000000" w:themeColor="text1"/>
                <w:sz w:val="18"/>
                <w:szCs w:val="18"/>
                <w:lang w:eastAsia="en-AU"/>
              </w:rPr>
            </w:pPr>
            <w:r>
              <w:rPr>
                <w:rFonts w:eastAsia="Times New Roman" w:cs="Arial"/>
                <w:color w:val="000000" w:themeColor="text1"/>
                <w:sz w:val="18"/>
                <w:szCs w:val="18"/>
                <w:lang w:eastAsia="en-AU"/>
              </w:rPr>
              <w:t>67</w:t>
            </w:r>
          </w:p>
        </w:tc>
        <w:tc>
          <w:tcPr>
            <w:tcW w:w="1264" w:type="dxa"/>
            <w:vAlign w:val="center"/>
            <w:hideMark/>
          </w:tcPr>
          <w:p w14:paraId="2DB032AC" w14:textId="77777777" w:rsidR="001C19F3" w:rsidRDefault="001C19F3" w:rsidP="00521305">
            <w:pPr>
              <w:spacing w:before="60" w:after="60" w:line="240" w:lineRule="auto"/>
              <w:jc w:val="center"/>
              <w:rPr>
                <w:rFonts w:eastAsia="Times New Roman" w:cs="Arial"/>
                <w:color w:val="000000" w:themeColor="text1"/>
                <w:sz w:val="18"/>
                <w:szCs w:val="18"/>
                <w:lang w:eastAsia="en-AU"/>
              </w:rPr>
            </w:pPr>
            <w:r>
              <w:rPr>
                <w:rFonts w:eastAsia="Times New Roman" w:cs="Arial"/>
                <w:color w:val="000000" w:themeColor="text1"/>
                <w:sz w:val="18"/>
                <w:szCs w:val="18"/>
                <w:lang w:eastAsia="en-AU"/>
              </w:rPr>
              <w:t>2.1</w:t>
            </w:r>
          </w:p>
        </w:tc>
      </w:tr>
      <w:tr w:rsidR="001C19F3" w14:paraId="55153000" w14:textId="77777777" w:rsidTr="00521305">
        <w:trPr>
          <w:jc w:val="center"/>
        </w:trPr>
        <w:tc>
          <w:tcPr>
            <w:tcW w:w="0" w:type="auto"/>
            <w:vMerge/>
            <w:vAlign w:val="center"/>
            <w:hideMark/>
          </w:tcPr>
          <w:p w14:paraId="72656EE3" w14:textId="77777777" w:rsidR="001C19F3" w:rsidRDefault="001C19F3" w:rsidP="00521305">
            <w:pPr>
              <w:spacing w:line="240" w:lineRule="auto"/>
              <w:rPr>
                <w:sz w:val="18"/>
                <w:szCs w:val="18"/>
              </w:rPr>
            </w:pPr>
          </w:p>
        </w:tc>
        <w:tc>
          <w:tcPr>
            <w:tcW w:w="3661" w:type="dxa"/>
            <w:vAlign w:val="center"/>
            <w:hideMark/>
          </w:tcPr>
          <w:p w14:paraId="385BF174"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Away for duration</w:t>
            </w:r>
          </w:p>
        </w:tc>
        <w:tc>
          <w:tcPr>
            <w:tcW w:w="1270" w:type="dxa"/>
            <w:vAlign w:val="center"/>
            <w:hideMark/>
          </w:tcPr>
          <w:p w14:paraId="3A4AB3B3"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30</w:t>
            </w:r>
          </w:p>
        </w:tc>
        <w:tc>
          <w:tcPr>
            <w:tcW w:w="1264" w:type="dxa"/>
            <w:vAlign w:val="center"/>
            <w:hideMark/>
          </w:tcPr>
          <w:p w14:paraId="5EDCBB95"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1.0</w:t>
            </w:r>
          </w:p>
        </w:tc>
      </w:tr>
      <w:tr w:rsidR="001C19F3" w14:paraId="213448D6" w14:textId="77777777" w:rsidTr="00521305">
        <w:trPr>
          <w:jc w:val="center"/>
        </w:trPr>
        <w:tc>
          <w:tcPr>
            <w:tcW w:w="0" w:type="auto"/>
            <w:vMerge/>
            <w:vAlign w:val="center"/>
            <w:hideMark/>
          </w:tcPr>
          <w:p w14:paraId="28DF46EB" w14:textId="77777777" w:rsidR="001C19F3" w:rsidRDefault="001C19F3" w:rsidP="00521305">
            <w:pPr>
              <w:spacing w:line="240" w:lineRule="auto"/>
              <w:rPr>
                <w:sz w:val="18"/>
                <w:szCs w:val="18"/>
              </w:rPr>
            </w:pPr>
          </w:p>
        </w:tc>
        <w:tc>
          <w:tcPr>
            <w:tcW w:w="3661" w:type="dxa"/>
            <w:vAlign w:val="center"/>
            <w:hideMark/>
          </w:tcPr>
          <w:p w14:paraId="18B073D3"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Claims to have done survey</w:t>
            </w:r>
          </w:p>
        </w:tc>
        <w:tc>
          <w:tcPr>
            <w:tcW w:w="1270" w:type="dxa"/>
            <w:vAlign w:val="center"/>
            <w:hideMark/>
          </w:tcPr>
          <w:p w14:paraId="44581FF2"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4</w:t>
            </w:r>
          </w:p>
        </w:tc>
        <w:tc>
          <w:tcPr>
            <w:tcW w:w="1264" w:type="dxa"/>
            <w:vAlign w:val="center"/>
            <w:hideMark/>
          </w:tcPr>
          <w:p w14:paraId="03CE6CE5"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0.1</w:t>
            </w:r>
          </w:p>
        </w:tc>
      </w:tr>
      <w:tr w:rsidR="001C19F3" w14:paraId="098AB7E6" w14:textId="77777777" w:rsidTr="00521305">
        <w:trPr>
          <w:jc w:val="center"/>
        </w:trPr>
        <w:tc>
          <w:tcPr>
            <w:tcW w:w="0" w:type="auto"/>
            <w:vMerge/>
            <w:vAlign w:val="center"/>
            <w:hideMark/>
          </w:tcPr>
          <w:p w14:paraId="6DDB03B2" w14:textId="77777777" w:rsidR="001C19F3" w:rsidRDefault="001C19F3" w:rsidP="00521305">
            <w:pPr>
              <w:spacing w:line="240" w:lineRule="auto"/>
              <w:rPr>
                <w:sz w:val="18"/>
                <w:szCs w:val="18"/>
              </w:rPr>
            </w:pPr>
          </w:p>
        </w:tc>
        <w:tc>
          <w:tcPr>
            <w:tcW w:w="3661" w:type="dxa"/>
            <w:vAlign w:val="center"/>
            <w:hideMark/>
          </w:tcPr>
          <w:p w14:paraId="0629A839"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 xml:space="preserve">Language difficulty </w:t>
            </w:r>
          </w:p>
        </w:tc>
        <w:tc>
          <w:tcPr>
            <w:tcW w:w="1270" w:type="dxa"/>
            <w:vAlign w:val="center"/>
            <w:hideMark/>
          </w:tcPr>
          <w:p w14:paraId="07273D32"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25</w:t>
            </w:r>
          </w:p>
        </w:tc>
        <w:tc>
          <w:tcPr>
            <w:tcW w:w="1264" w:type="dxa"/>
            <w:vAlign w:val="center"/>
            <w:hideMark/>
          </w:tcPr>
          <w:p w14:paraId="07635A45"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0.8</w:t>
            </w:r>
          </w:p>
        </w:tc>
      </w:tr>
      <w:tr w:rsidR="001C19F3" w14:paraId="7DFE213A" w14:textId="77777777" w:rsidTr="00521305">
        <w:trPr>
          <w:jc w:val="center"/>
        </w:trPr>
        <w:tc>
          <w:tcPr>
            <w:tcW w:w="0" w:type="auto"/>
            <w:vMerge/>
            <w:vAlign w:val="center"/>
            <w:hideMark/>
          </w:tcPr>
          <w:p w14:paraId="29BDBA30" w14:textId="77777777" w:rsidR="001C19F3" w:rsidRDefault="001C19F3" w:rsidP="00521305">
            <w:pPr>
              <w:spacing w:line="240" w:lineRule="auto"/>
              <w:rPr>
                <w:sz w:val="18"/>
                <w:szCs w:val="18"/>
              </w:rPr>
            </w:pPr>
          </w:p>
        </w:tc>
        <w:tc>
          <w:tcPr>
            <w:tcW w:w="3661" w:type="dxa"/>
            <w:vAlign w:val="center"/>
            <w:hideMark/>
          </w:tcPr>
          <w:p w14:paraId="6E9C8FC9"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No longer part of HCH</w:t>
            </w:r>
          </w:p>
        </w:tc>
        <w:tc>
          <w:tcPr>
            <w:tcW w:w="1270" w:type="dxa"/>
            <w:vAlign w:val="center"/>
            <w:hideMark/>
          </w:tcPr>
          <w:p w14:paraId="074515BF"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22</w:t>
            </w:r>
          </w:p>
        </w:tc>
        <w:tc>
          <w:tcPr>
            <w:tcW w:w="1264" w:type="dxa"/>
            <w:vAlign w:val="center"/>
            <w:hideMark/>
          </w:tcPr>
          <w:p w14:paraId="00600074"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0.7</w:t>
            </w:r>
          </w:p>
        </w:tc>
      </w:tr>
      <w:tr w:rsidR="001C19F3" w14:paraId="3B4CF9E9" w14:textId="77777777" w:rsidTr="00521305">
        <w:trPr>
          <w:jc w:val="center"/>
        </w:trPr>
        <w:tc>
          <w:tcPr>
            <w:tcW w:w="0" w:type="auto"/>
            <w:vMerge/>
            <w:vAlign w:val="center"/>
            <w:hideMark/>
          </w:tcPr>
          <w:p w14:paraId="194DAC07" w14:textId="77777777" w:rsidR="001C19F3" w:rsidRDefault="001C19F3" w:rsidP="00521305">
            <w:pPr>
              <w:spacing w:line="240" w:lineRule="auto"/>
              <w:rPr>
                <w:sz w:val="18"/>
                <w:szCs w:val="18"/>
              </w:rPr>
            </w:pPr>
          </w:p>
        </w:tc>
        <w:tc>
          <w:tcPr>
            <w:tcW w:w="3661" w:type="dxa"/>
            <w:vAlign w:val="center"/>
            <w:hideMark/>
          </w:tcPr>
          <w:p w14:paraId="53CD5771"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Too frail / ill-health</w:t>
            </w:r>
          </w:p>
        </w:tc>
        <w:tc>
          <w:tcPr>
            <w:tcW w:w="1270" w:type="dxa"/>
            <w:vAlign w:val="center"/>
            <w:hideMark/>
          </w:tcPr>
          <w:p w14:paraId="07A06E29"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76</w:t>
            </w:r>
          </w:p>
        </w:tc>
        <w:tc>
          <w:tcPr>
            <w:tcW w:w="1264" w:type="dxa"/>
            <w:vAlign w:val="center"/>
            <w:hideMark/>
          </w:tcPr>
          <w:p w14:paraId="30AEC1C9"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2.4</w:t>
            </w:r>
          </w:p>
        </w:tc>
      </w:tr>
      <w:tr w:rsidR="001C19F3" w14:paraId="1A4F4594" w14:textId="77777777" w:rsidTr="00521305">
        <w:trPr>
          <w:jc w:val="center"/>
        </w:trPr>
        <w:tc>
          <w:tcPr>
            <w:tcW w:w="0" w:type="auto"/>
            <w:vMerge/>
            <w:vAlign w:val="center"/>
            <w:hideMark/>
          </w:tcPr>
          <w:p w14:paraId="131C3AD6" w14:textId="77777777" w:rsidR="001C19F3" w:rsidRDefault="001C19F3" w:rsidP="00521305">
            <w:pPr>
              <w:spacing w:line="240" w:lineRule="auto"/>
              <w:rPr>
                <w:sz w:val="18"/>
                <w:szCs w:val="18"/>
              </w:rPr>
            </w:pPr>
          </w:p>
        </w:tc>
        <w:tc>
          <w:tcPr>
            <w:tcW w:w="3661" w:type="dxa"/>
            <w:vAlign w:val="center"/>
            <w:hideMark/>
          </w:tcPr>
          <w:p w14:paraId="3D09D964"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 xml:space="preserve">Intoxicated respondent </w:t>
            </w:r>
          </w:p>
        </w:tc>
        <w:tc>
          <w:tcPr>
            <w:tcW w:w="1270" w:type="dxa"/>
            <w:vAlign w:val="center"/>
            <w:hideMark/>
          </w:tcPr>
          <w:p w14:paraId="3DE5AD44"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1</w:t>
            </w:r>
          </w:p>
        </w:tc>
        <w:tc>
          <w:tcPr>
            <w:tcW w:w="1264" w:type="dxa"/>
            <w:vAlign w:val="center"/>
            <w:hideMark/>
          </w:tcPr>
          <w:p w14:paraId="2F34DEAC"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color w:val="000000" w:themeColor="text1"/>
                <w:sz w:val="18"/>
                <w:szCs w:val="18"/>
                <w:lang w:eastAsia="en-AU"/>
              </w:rPr>
              <w:t>0.0</w:t>
            </w:r>
          </w:p>
        </w:tc>
      </w:tr>
      <w:tr w:rsidR="001C19F3" w14:paraId="6A16D0AC" w14:textId="77777777" w:rsidTr="00521305">
        <w:trPr>
          <w:jc w:val="center"/>
        </w:trPr>
        <w:tc>
          <w:tcPr>
            <w:tcW w:w="0" w:type="auto"/>
            <w:vMerge/>
            <w:vAlign w:val="center"/>
            <w:hideMark/>
          </w:tcPr>
          <w:p w14:paraId="6E2CF11D" w14:textId="77777777" w:rsidR="001C19F3" w:rsidRDefault="001C19F3" w:rsidP="00521305">
            <w:pPr>
              <w:spacing w:line="240" w:lineRule="auto"/>
              <w:rPr>
                <w:sz w:val="18"/>
                <w:szCs w:val="18"/>
              </w:rPr>
            </w:pPr>
          </w:p>
        </w:tc>
        <w:tc>
          <w:tcPr>
            <w:tcW w:w="3661" w:type="dxa"/>
            <w:vAlign w:val="center"/>
            <w:hideMark/>
          </w:tcPr>
          <w:p w14:paraId="4D2AE822" w14:textId="77777777" w:rsidR="001C19F3" w:rsidRDefault="001C19F3" w:rsidP="00521305">
            <w:pPr>
              <w:spacing w:before="60" w:after="60" w:line="240" w:lineRule="auto"/>
              <w:rPr>
                <w:rFonts w:eastAsia="Times New Roman" w:cs="Arial"/>
                <w:b/>
                <w:bCs/>
                <w:color w:val="000000" w:themeColor="text1"/>
                <w:sz w:val="18"/>
                <w:szCs w:val="18"/>
                <w:lang w:eastAsia="en-AU"/>
              </w:rPr>
            </w:pPr>
            <w:r>
              <w:rPr>
                <w:rFonts w:eastAsia="Times New Roman" w:cs="Arial"/>
                <w:b/>
                <w:bCs/>
                <w:color w:val="000000" w:themeColor="text1"/>
                <w:sz w:val="18"/>
                <w:szCs w:val="18"/>
                <w:lang w:eastAsia="en-AU"/>
              </w:rPr>
              <w:t>Total other contacts</w:t>
            </w:r>
          </w:p>
        </w:tc>
        <w:tc>
          <w:tcPr>
            <w:tcW w:w="1270" w:type="dxa"/>
            <w:vAlign w:val="center"/>
            <w:hideMark/>
          </w:tcPr>
          <w:p w14:paraId="02185146"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b/>
                <w:bCs/>
                <w:color w:val="000000" w:themeColor="text1"/>
                <w:sz w:val="18"/>
                <w:szCs w:val="18"/>
                <w:lang w:eastAsia="en-AU"/>
              </w:rPr>
              <w:t>225</w:t>
            </w:r>
          </w:p>
        </w:tc>
        <w:tc>
          <w:tcPr>
            <w:tcW w:w="1264" w:type="dxa"/>
            <w:vAlign w:val="center"/>
            <w:hideMark/>
          </w:tcPr>
          <w:p w14:paraId="79F293A3" w14:textId="77777777" w:rsidR="001C19F3" w:rsidRDefault="001C19F3" w:rsidP="00521305">
            <w:pPr>
              <w:spacing w:before="60" w:after="60" w:line="240" w:lineRule="auto"/>
              <w:jc w:val="center"/>
              <w:rPr>
                <w:rFonts w:eastAsia="Times New Roman" w:cs="Arial"/>
                <w:b/>
                <w:bCs/>
                <w:color w:val="000000" w:themeColor="text1"/>
                <w:sz w:val="18"/>
                <w:szCs w:val="18"/>
                <w:lang w:eastAsia="en-AU"/>
              </w:rPr>
            </w:pPr>
            <w:r>
              <w:rPr>
                <w:rFonts w:eastAsia="Times New Roman" w:cs="Arial"/>
                <w:b/>
                <w:bCs/>
                <w:color w:val="000000" w:themeColor="text1"/>
                <w:sz w:val="18"/>
                <w:szCs w:val="18"/>
                <w:lang w:eastAsia="en-AU"/>
              </w:rPr>
              <w:t>7.2</w:t>
            </w:r>
          </w:p>
        </w:tc>
      </w:tr>
      <w:tr w:rsidR="001C19F3" w:rsidRPr="005D7707" w14:paraId="33206506" w14:textId="77777777" w:rsidTr="00521305">
        <w:trPr>
          <w:jc w:val="center"/>
        </w:trPr>
        <w:tc>
          <w:tcPr>
            <w:tcW w:w="1306" w:type="dxa"/>
            <w:vMerge w:val="restart"/>
            <w:hideMark/>
          </w:tcPr>
          <w:p w14:paraId="08503C04" w14:textId="77777777" w:rsidR="001C19F3" w:rsidRPr="005D7707" w:rsidRDefault="001C19F3" w:rsidP="00521305">
            <w:pPr>
              <w:spacing w:before="60" w:after="60" w:line="240" w:lineRule="auto"/>
              <w:rPr>
                <w:sz w:val="18"/>
                <w:szCs w:val="18"/>
              </w:rPr>
            </w:pPr>
            <w:r w:rsidRPr="005D7707">
              <w:rPr>
                <w:sz w:val="18"/>
                <w:szCs w:val="18"/>
              </w:rPr>
              <w:t>Refusal</w:t>
            </w:r>
          </w:p>
        </w:tc>
        <w:tc>
          <w:tcPr>
            <w:tcW w:w="3661" w:type="dxa"/>
            <w:vAlign w:val="center"/>
            <w:hideMark/>
          </w:tcPr>
          <w:p w14:paraId="091B1DA7" w14:textId="77777777" w:rsidR="001C19F3" w:rsidRPr="005D7707" w:rsidRDefault="001C19F3" w:rsidP="00521305">
            <w:pPr>
              <w:spacing w:before="60" w:after="60" w:line="240" w:lineRule="auto"/>
              <w:rPr>
                <w:sz w:val="18"/>
                <w:szCs w:val="18"/>
              </w:rPr>
            </w:pPr>
            <w:r w:rsidRPr="00925070">
              <w:rPr>
                <w:rFonts w:eastAsia="Times New Roman" w:cs="Arial"/>
                <w:color w:val="000000" w:themeColor="text1"/>
                <w:sz w:val="18"/>
                <w:szCs w:val="18"/>
                <w:lang w:eastAsia="en-AU"/>
              </w:rPr>
              <w:t>Incoming call solution hard refusal</w:t>
            </w:r>
          </w:p>
        </w:tc>
        <w:tc>
          <w:tcPr>
            <w:tcW w:w="1270" w:type="dxa"/>
            <w:vAlign w:val="center"/>
            <w:hideMark/>
          </w:tcPr>
          <w:p w14:paraId="704D4BFC"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42</w:t>
            </w:r>
          </w:p>
        </w:tc>
        <w:tc>
          <w:tcPr>
            <w:tcW w:w="1264" w:type="dxa"/>
            <w:vAlign w:val="center"/>
            <w:hideMark/>
          </w:tcPr>
          <w:p w14:paraId="6068E4DA"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1.3</w:t>
            </w:r>
          </w:p>
        </w:tc>
      </w:tr>
      <w:tr w:rsidR="001C19F3" w:rsidRPr="005D7707" w14:paraId="6EFF3941" w14:textId="77777777" w:rsidTr="00521305">
        <w:trPr>
          <w:jc w:val="center"/>
        </w:trPr>
        <w:tc>
          <w:tcPr>
            <w:tcW w:w="0" w:type="auto"/>
            <w:vMerge/>
            <w:vAlign w:val="center"/>
            <w:hideMark/>
          </w:tcPr>
          <w:p w14:paraId="7CD06B3F" w14:textId="77777777" w:rsidR="001C19F3" w:rsidRPr="005D7707" w:rsidRDefault="001C19F3" w:rsidP="00521305">
            <w:pPr>
              <w:spacing w:line="240" w:lineRule="auto"/>
              <w:rPr>
                <w:sz w:val="18"/>
                <w:szCs w:val="18"/>
              </w:rPr>
            </w:pPr>
          </w:p>
        </w:tc>
        <w:tc>
          <w:tcPr>
            <w:tcW w:w="3661" w:type="dxa"/>
            <w:vAlign w:val="center"/>
            <w:hideMark/>
          </w:tcPr>
          <w:p w14:paraId="62AF4872" w14:textId="77777777" w:rsidR="001C19F3" w:rsidRPr="005D7707" w:rsidRDefault="001C19F3" w:rsidP="00521305">
            <w:pPr>
              <w:spacing w:before="60" w:after="60" w:line="240" w:lineRule="auto"/>
              <w:rPr>
                <w:sz w:val="18"/>
                <w:szCs w:val="18"/>
              </w:rPr>
            </w:pPr>
            <w:r w:rsidRPr="005D7707">
              <w:rPr>
                <w:rFonts w:eastAsia="Times New Roman" w:cs="Arial"/>
                <w:color w:val="000000" w:themeColor="text1"/>
                <w:sz w:val="18"/>
                <w:szCs w:val="18"/>
                <w:lang w:eastAsia="en-AU"/>
              </w:rPr>
              <w:t>Household refusal</w:t>
            </w:r>
          </w:p>
        </w:tc>
        <w:tc>
          <w:tcPr>
            <w:tcW w:w="1270" w:type="dxa"/>
            <w:vAlign w:val="center"/>
            <w:hideMark/>
          </w:tcPr>
          <w:p w14:paraId="797B214A"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47</w:t>
            </w:r>
          </w:p>
        </w:tc>
        <w:tc>
          <w:tcPr>
            <w:tcW w:w="1264" w:type="dxa"/>
            <w:vAlign w:val="center"/>
            <w:hideMark/>
          </w:tcPr>
          <w:p w14:paraId="03B918F6"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1.5</w:t>
            </w:r>
          </w:p>
        </w:tc>
      </w:tr>
      <w:tr w:rsidR="001C19F3" w:rsidRPr="005D7707" w14:paraId="278908A8" w14:textId="77777777" w:rsidTr="00521305">
        <w:trPr>
          <w:jc w:val="center"/>
        </w:trPr>
        <w:tc>
          <w:tcPr>
            <w:tcW w:w="0" w:type="auto"/>
            <w:vMerge/>
            <w:vAlign w:val="center"/>
            <w:hideMark/>
          </w:tcPr>
          <w:p w14:paraId="5044730A" w14:textId="77777777" w:rsidR="001C19F3" w:rsidRPr="005D7707" w:rsidRDefault="001C19F3" w:rsidP="00521305">
            <w:pPr>
              <w:spacing w:line="240" w:lineRule="auto"/>
              <w:rPr>
                <w:sz w:val="18"/>
                <w:szCs w:val="18"/>
              </w:rPr>
            </w:pPr>
          </w:p>
        </w:tc>
        <w:tc>
          <w:tcPr>
            <w:tcW w:w="3661" w:type="dxa"/>
            <w:vAlign w:val="center"/>
            <w:hideMark/>
          </w:tcPr>
          <w:p w14:paraId="6CFE2D5B" w14:textId="77777777" w:rsidR="001C19F3" w:rsidRPr="005D7707" w:rsidRDefault="001C19F3" w:rsidP="00521305">
            <w:pPr>
              <w:spacing w:before="60" w:after="60" w:line="240" w:lineRule="auto"/>
              <w:rPr>
                <w:sz w:val="18"/>
                <w:szCs w:val="18"/>
              </w:rPr>
            </w:pPr>
            <w:r w:rsidRPr="005D7707">
              <w:rPr>
                <w:rFonts w:eastAsia="Times New Roman" w:cs="Arial"/>
                <w:color w:val="000000" w:themeColor="text1"/>
                <w:sz w:val="18"/>
                <w:szCs w:val="18"/>
                <w:lang w:eastAsia="en-AU"/>
              </w:rPr>
              <w:t>Respondent refusal</w:t>
            </w:r>
          </w:p>
        </w:tc>
        <w:tc>
          <w:tcPr>
            <w:tcW w:w="1270" w:type="dxa"/>
            <w:vAlign w:val="center"/>
            <w:hideMark/>
          </w:tcPr>
          <w:p w14:paraId="6E1EFD62"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112</w:t>
            </w:r>
          </w:p>
        </w:tc>
        <w:tc>
          <w:tcPr>
            <w:tcW w:w="1264" w:type="dxa"/>
            <w:vAlign w:val="center"/>
            <w:hideMark/>
          </w:tcPr>
          <w:p w14:paraId="35EB8639"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3.6</w:t>
            </w:r>
          </w:p>
        </w:tc>
      </w:tr>
      <w:tr w:rsidR="001C19F3" w:rsidRPr="005D7707" w14:paraId="734E70F6" w14:textId="77777777" w:rsidTr="00521305">
        <w:trPr>
          <w:jc w:val="center"/>
        </w:trPr>
        <w:tc>
          <w:tcPr>
            <w:tcW w:w="0" w:type="auto"/>
            <w:vMerge/>
            <w:vAlign w:val="center"/>
            <w:hideMark/>
          </w:tcPr>
          <w:p w14:paraId="4F1DE79A" w14:textId="77777777" w:rsidR="001C19F3" w:rsidRPr="005D7707" w:rsidRDefault="001C19F3" w:rsidP="00521305">
            <w:pPr>
              <w:spacing w:line="240" w:lineRule="auto"/>
              <w:rPr>
                <w:sz w:val="18"/>
                <w:szCs w:val="18"/>
              </w:rPr>
            </w:pPr>
          </w:p>
        </w:tc>
        <w:tc>
          <w:tcPr>
            <w:tcW w:w="3661" w:type="dxa"/>
            <w:vAlign w:val="center"/>
            <w:hideMark/>
          </w:tcPr>
          <w:p w14:paraId="494ADF3A" w14:textId="77777777" w:rsidR="001C19F3" w:rsidRPr="005D7707" w:rsidRDefault="001C19F3" w:rsidP="00521305">
            <w:pPr>
              <w:spacing w:before="60" w:after="60" w:line="240" w:lineRule="auto"/>
              <w:rPr>
                <w:sz w:val="18"/>
                <w:szCs w:val="18"/>
              </w:rPr>
            </w:pPr>
            <w:r w:rsidRPr="005D7707">
              <w:rPr>
                <w:rFonts w:eastAsia="Times New Roman" w:cs="Arial"/>
                <w:color w:val="000000" w:themeColor="text1"/>
                <w:sz w:val="18"/>
                <w:szCs w:val="18"/>
                <w:lang w:eastAsia="en-AU"/>
              </w:rPr>
              <w:t>Midway termination</w:t>
            </w:r>
          </w:p>
        </w:tc>
        <w:tc>
          <w:tcPr>
            <w:tcW w:w="1270" w:type="dxa"/>
            <w:vAlign w:val="center"/>
            <w:hideMark/>
          </w:tcPr>
          <w:p w14:paraId="58629D91"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31</w:t>
            </w:r>
          </w:p>
        </w:tc>
        <w:tc>
          <w:tcPr>
            <w:tcW w:w="1264" w:type="dxa"/>
            <w:vAlign w:val="center"/>
            <w:hideMark/>
          </w:tcPr>
          <w:p w14:paraId="5A43BA49" w14:textId="77777777" w:rsidR="001C19F3" w:rsidRPr="005D7707" w:rsidRDefault="001C19F3" w:rsidP="00521305">
            <w:pPr>
              <w:spacing w:before="60" w:after="60" w:line="240" w:lineRule="auto"/>
              <w:jc w:val="center"/>
              <w:rPr>
                <w:sz w:val="18"/>
                <w:szCs w:val="18"/>
              </w:rPr>
            </w:pPr>
            <w:r w:rsidRPr="005D7707">
              <w:rPr>
                <w:rFonts w:eastAsia="Times New Roman" w:cs="Arial"/>
                <w:color w:val="000000" w:themeColor="text1"/>
                <w:sz w:val="18"/>
                <w:szCs w:val="18"/>
                <w:lang w:eastAsia="en-AU"/>
              </w:rPr>
              <w:t>1.0</w:t>
            </w:r>
          </w:p>
        </w:tc>
      </w:tr>
      <w:tr w:rsidR="001C19F3" w:rsidRPr="005D7707" w14:paraId="146935A7" w14:textId="77777777" w:rsidTr="00521305">
        <w:trPr>
          <w:jc w:val="center"/>
        </w:trPr>
        <w:tc>
          <w:tcPr>
            <w:tcW w:w="0" w:type="auto"/>
            <w:vMerge/>
            <w:vAlign w:val="center"/>
            <w:hideMark/>
          </w:tcPr>
          <w:p w14:paraId="23508388" w14:textId="77777777" w:rsidR="001C19F3" w:rsidRPr="005D7707" w:rsidRDefault="001C19F3" w:rsidP="00521305">
            <w:pPr>
              <w:spacing w:line="240" w:lineRule="auto"/>
              <w:rPr>
                <w:sz w:val="18"/>
                <w:szCs w:val="18"/>
              </w:rPr>
            </w:pPr>
          </w:p>
        </w:tc>
        <w:tc>
          <w:tcPr>
            <w:tcW w:w="3661" w:type="dxa"/>
            <w:vAlign w:val="center"/>
            <w:hideMark/>
          </w:tcPr>
          <w:p w14:paraId="62D2BD1D" w14:textId="77777777" w:rsidR="001C19F3" w:rsidRPr="005D7707" w:rsidRDefault="001C19F3" w:rsidP="00521305">
            <w:pPr>
              <w:spacing w:before="60" w:after="60" w:line="240" w:lineRule="auto"/>
              <w:rPr>
                <w:rFonts w:eastAsia="Times New Roman" w:cs="Arial"/>
                <w:b/>
                <w:bCs/>
                <w:color w:val="000000" w:themeColor="text1"/>
                <w:sz w:val="18"/>
                <w:szCs w:val="18"/>
                <w:lang w:eastAsia="en-AU"/>
              </w:rPr>
            </w:pPr>
            <w:r w:rsidRPr="005D7707">
              <w:rPr>
                <w:rFonts w:eastAsia="Times New Roman" w:cs="Arial"/>
                <w:b/>
                <w:bCs/>
                <w:color w:val="000000" w:themeColor="text1"/>
                <w:sz w:val="18"/>
                <w:szCs w:val="18"/>
                <w:lang w:eastAsia="en-AU"/>
              </w:rPr>
              <w:t>Total refusals</w:t>
            </w:r>
          </w:p>
        </w:tc>
        <w:tc>
          <w:tcPr>
            <w:tcW w:w="1270" w:type="dxa"/>
            <w:vAlign w:val="center"/>
            <w:hideMark/>
          </w:tcPr>
          <w:p w14:paraId="49ADF107" w14:textId="77777777" w:rsidR="001C19F3" w:rsidRPr="005D7707" w:rsidRDefault="001C19F3" w:rsidP="00521305">
            <w:pPr>
              <w:spacing w:before="60" w:after="60" w:line="240" w:lineRule="auto"/>
              <w:jc w:val="center"/>
              <w:rPr>
                <w:rFonts w:eastAsia="Times New Roman" w:cs="Arial"/>
                <w:b/>
                <w:bCs/>
                <w:color w:val="000000" w:themeColor="text1"/>
                <w:sz w:val="18"/>
                <w:szCs w:val="18"/>
                <w:lang w:eastAsia="en-AU"/>
              </w:rPr>
            </w:pPr>
            <w:r w:rsidRPr="005D7707">
              <w:rPr>
                <w:rFonts w:eastAsia="Times New Roman" w:cs="Arial"/>
                <w:b/>
                <w:bCs/>
                <w:color w:val="000000" w:themeColor="text1"/>
                <w:sz w:val="18"/>
                <w:szCs w:val="18"/>
                <w:lang w:eastAsia="en-AU"/>
              </w:rPr>
              <w:t>232</w:t>
            </w:r>
          </w:p>
        </w:tc>
        <w:tc>
          <w:tcPr>
            <w:tcW w:w="1264" w:type="dxa"/>
            <w:vAlign w:val="center"/>
            <w:hideMark/>
          </w:tcPr>
          <w:p w14:paraId="31047E2C" w14:textId="77777777" w:rsidR="001C19F3" w:rsidRPr="005D7707" w:rsidRDefault="001C19F3" w:rsidP="00521305">
            <w:pPr>
              <w:spacing w:before="60" w:after="60" w:line="240" w:lineRule="auto"/>
              <w:jc w:val="center"/>
              <w:rPr>
                <w:rFonts w:eastAsia="Times New Roman" w:cs="Arial"/>
                <w:b/>
                <w:bCs/>
                <w:color w:val="000000" w:themeColor="text1"/>
                <w:sz w:val="18"/>
                <w:szCs w:val="18"/>
                <w:lang w:eastAsia="en-AU"/>
              </w:rPr>
            </w:pPr>
            <w:r w:rsidRPr="005D7707">
              <w:rPr>
                <w:rFonts w:eastAsia="Times New Roman" w:cs="Arial"/>
                <w:b/>
                <w:bCs/>
                <w:color w:val="000000" w:themeColor="text1"/>
                <w:sz w:val="18"/>
                <w:szCs w:val="18"/>
                <w:lang w:eastAsia="en-AU"/>
              </w:rPr>
              <w:t>7.4</w:t>
            </w:r>
          </w:p>
        </w:tc>
      </w:tr>
    </w:tbl>
    <w:p w14:paraId="233C0F14" w14:textId="77777777" w:rsidR="001C19F3" w:rsidRPr="005D7707" w:rsidRDefault="001C19F3" w:rsidP="001C19F3">
      <w:pPr>
        <w:pStyle w:val="Chartortablefootnote"/>
      </w:pPr>
      <w:r w:rsidRPr="005D7707">
        <w:t xml:space="preserve">Source: </w:t>
      </w:r>
      <w:r w:rsidRPr="00E229DF">
        <w:t>The Social Research Centre</w:t>
      </w:r>
      <w:r>
        <w:t>.</w:t>
      </w:r>
    </w:p>
    <w:p w14:paraId="521B29B6" w14:textId="77777777" w:rsidR="001C19F3" w:rsidRDefault="001C19F3" w:rsidP="001C19F3">
      <w:r>
        <w:rPr>
          <w:szCs w:val="20"/>
        </w:rPr>
        <w:t xml:space="preserve">Summary tables from the survey are presented in Appendix 3. These provide cross tabulations of responses by the tier of the patient and practice size (Part A), and practice ownership and geographic remoteness (Part B). In </w:t>
      </w:r>
      <w:r>
        <w:rPr>
          <w:szCs w:val="20"/>
        </w:rPr>
        <w:fldChar w:fldCharType="begin"/>
      </w:r>
      <w:r>
        <w:rPr>
          <w:szCs w:val="20"/>
        </w:rPr>
        <w:instrText xml:space="preserve"> REF _Ref20738202 \h  \* MERGEFORMAT </w:instrText>
      </w:r>
      <w:r>
        <w:rPr>
          <w:szCs w:val="20"/>
        </w:rPr>
      </w:r>
      <w:r>
        <w:rPr>
          <w:szCs w:val="20"/>
        </w:rPr>
        <w:fldChar w:fldCharType="separate"/>
      </w:r>
      <w:r w:rsidRPr="008F2809">
        <w:rPr>
          <w:szCs w:val="20"/>
        </w:rPr>
        <w:t>Table 11</w:t>
      </w:r>
      <w:r>
        <w:rPr>
          <w:szCs w:val="20"/>
        </w:rPr>
        <w:fldChar w:fldCharType="end"/>
      </w:r>
      <w:r>
        <w:rPr>
          <w:szCs w:val="20"/>
        </w:rPr>
        <w:t xml:space="preserve">, key socio-demographic characteristics of patients are presented along with how these vary by the tier to which the patient was assigned. </w:t>
      </w:r>
      <w:r>
        <w:t>Key points to note include:</w:t>
      </w:r>
    </w:p>
    <w:p w14:paraId="771C14D7" w14:textId="77777777" w:rsidR="001C19F3" w:rsidRDefault="001C19F3" w:rsidP="001C19F3">
      <w:pPr>
        <w:pStyle w:val="ListParagraph"/>
        <w:numPr>
          <w:ilvl w:val="0"/>
          <w:numId w:val="34"/>
        </w:numPr>
        <w:spacing w:after="120"/>
        <w:ind w:left="714" w:hanging="357"/>
        <w:contextualSpacing w:val="0"/>
        <w:rPr>
          <w:szCs w:val="20"/>
        </w:rPr>
      </w:pPr>
      <w:r>
        <w:rPr>
          <w:szCs w:val="20"/>
        </w:rPr>
        <w:t xml:space="preserve">The age and sex distribution of patients who completed the survey were similar to the population of HCH patients (although only patients aged 18 years and over were approached for the survey). Almost one third of the patients who agreed to participate in the survey were aged 65 to 74 years and there was a fairly even split of participants by gender (males 45.6%, females 54.4%). </w:t>
      </w:r>
    </w:p>
    <w:p w14:paraId="0B586143" w14:textId="77777777" w:rsidR="001C19F3" w:rsidRDefault="001C19F3" w:rsidP="001C19F3">
      <w:pPr>
        <w:pStyle w:val="ListParagraph"/>
        <w:numPr>
          <w:ilvl w:val="0"/>
          <w:numId w:val="34"/>
        </w:numPr>
        <w:spacing w:after="120"/>
        <w:ind w:left="714" w:hanging="357"/>
        <w:contextualSpacing w:val="0"/>
      </w:pPr>
      <w:r>
        <w:t xml:space="preserve">3.3% of patients interviewed identified as </w:t>
      </w:r>
      <w:r w:rsidRPr="00AC7AC6">
        <w:t>Aboriginal or Torres Strait Islander</w:t>
      </w:r>
      <w:r>
        <w:t xml:space="preserve">, even though the </w:t>
      </w:r>
      <w:r w:rsidRPr="00AC7AC6">
        <w:t xml:space="preserve">sample did not include patients enrolled by </w:t>
      </w:r>
      <w:r>
        <w:t>Aboriginal Community Controlled Health Services (</w:t>
      </w:r>
      <w:r w:rsidRPr="00AC7AC6">
        <w:t>ACCHS</w:t>
      </w:r>
      <w:r>
        <w:t>)</w:t>
      </w:r>
      <w:r w:rsidRPr="00AC7AC6">
        <w:t xml:space="preserve"> in the Northern Territory.</w:t>
      </w:r>
    </w:p>
    <w:p w14:paraId="58980335" w14:textId="77777777" w:rsidR="001C19F3" w:rsidRDefault="001C19F3" w:rsidP="001C19F3">
      <w:pPr>
        <w:pStyle w:val="ListParagraph"/>
        <w:numPr>
          <w:ilvl w:val="0"/>
          <w:numId w:val="34"/>
        </w:numPr>
        <w:spacing w:after="120"/>
        <w:ind w:left="714" w:hanging="357"/>
        <w:contextualSpacing w:val="0"/>
      </w:pPr>
      <w:r>
        <w:t xml:space="preserve">68.3% of respondents were born in Australia, 14.4% in the United Kingdom and 17.2% in other countries. </w:t>
      </w:r>
    </w:p>
    <w:p w14:paraId="5ABFE71D" w14:textId="77777777" w:rsidR="001C19F3" w:rsidRPr="00566C95" w:rsidRDefault="001C19F3" w:rsidP="001C19F3">
      <w:pPr>
        <w:pStyle w:val="ListParagraph"/>
        <w:numPr>
          <w:ilvl w:val="0"/>
          <w:numId w:val="34"/>
        </w:numPr>
        <w:spacing w:after="120"/>
        <w:ind w:left="714" w:hanging="357"/>
        <w:contextualSpacing w:val="0"/>
      </w:pPr>
      <w:r>
        <w:t xml:space="preserve">Respondents were offered the opportunity to conduct the interview in several languages as an alternative to English. </w:t>
      </w:r>
      <w:r w:rsidRPr="00BC6FC2">
        <w:rPr>
          <w:szCs w:val="20"/>
        </w:rPr>
        <w:t xml:space="preserve">The vast majority (99%) were conducted in English but 18 were conducted in </w:t>
      </w:r>
      <w:r>
        <w:rPr>
          <w:szCs w:val="20"/>
        </w:rPr>
        <w:t>other</w:t>
      </w:r>
      <w:r w:rsidRPr="00BC6FC2">
        <w:rPr>
          <w:szCs w:val="20"/>
        </w:rPr>
        <w:t xml:space="preserve"> languages (Maltese, Tagalog, Hindi, Filipino, French, Punjabi, Croatian, Romanian and Polish). </w:t>
      </w:r>
    </w:p>
    <w:p w14:paraId="0F121BBB" w14:textId="77777777" w:rsidR="001C19F3" w:rsidRPr="00566C95" w:rsidRDefault="001C19F3" w:rsidP="001C19F3">
      <w:pPr>
        <w:pStyle w:val="ListParagraph"/>
        <w:numPr>
          <w:ilvl w:val="0"/>
          <w:numId w:val="34"/>
        </w:numPr>
        <w:ind w:left="714" w:hanging="357"/>
        <w:contextualSpacing w:val="0"/>
        <w:rPr>
          <w:szCs w:val="20"/>
        </w:rPr>
      </w:pPr>
      <w:bookmarkStart w:id="494" w:name="_Hlk19793040"/>
      <w:r>
        <w:rPr>
          <w:szCs w:val="20"/>
        </w:rPr>
        <w:t>5.6% of</w:t>
      </w:r>
      <w:r w:rsidRPr="00566C95">
        <w:rPr>
          <w:szCs w:val="20"/>
        </w:rPr>
        <w:t xml:space="preserve"> patients had the survey completed by proxy and </w:t>
      </w:r>
      <w:r>
        <w:rPr>
          <w:szCs w:val="20"/>
        </w:rPr>
        <w:t>3.7%</w:t>
      </w:r>
      <w:r w:rsidRPr="00566C95">
        <w:rPr>
          <w:szCs w:val="20"/>
        </w:rPr>
        <w:t xml:space="preserve"> needed help to answer some </w:t>
      </w:r>
      <w:r>
        <w:rPr>
          <w:szCs w:val="20"/>
        </w:rPr>
        <w:t xml:space="preserve">of the </w:t>
      </w:r>
      <w:r w:rsidRPr="00566C95">
        <w:rPr>
          <w:szCs w:val="20"/>
        </w:rPr>
        <w:t>questions</w:t>
      </w:r>
      <w:bookmarkEnd w:id="494"/>
      <w:r>
        <w:rPr>
          <w:szCs w:val="20"/>
        </w:rPr>
        <w:t>.</w:t>
      </w:r>
    </w:p>
    <w:p w14:paraId="44BE8064" w14:textId="77777777" w:rsidR="001C19F3" w:rsidRDefault="001C19F3" w:rsidP="001C19F3">
      <w:pPr>
        <w:pStyle w:val="ListParagraph"/>
        <w:numPr>
          <w:ilvl w:val="0"/>
          <w:numId w:val="34"/>
        </w:numPr>
        <w:ind w:left="714" w:hanging="357"/>
        <w:contextualSpacing w:val="0"/>
      </w:pPr>
      <w:r>
        <w:lastRenderedPageBreak/>
        <w:t xml:space="preserve">The majority of respondents (46.3%) were living in a household consisting of a couple only. A further 24.1% of respondents were living alone. There was a statistically significant difference in household composition between tiers. Specifically, a higher proportion of patients in Tier 1 and </w:t>
      </w:r>
      <w:r w:rsidRPr="00566C95">
        <w:t xml:space="preserve">Tier 2 were living in </w:t>
      </w:r>
      <w:r>
        <w:t>c</w:t>
      </w:r>
      <w:r w:rsidRPr="00566C95">
        <w:t>ouple only households, and a higher proportion of Tier 3 patients were living alone.</w:t>
      </w:r>
    </w:p>
    <w:p w14:paraId="5B5063A7" w14:textId="77777777" w:rsidR="001C19F3" w:rsidRPr="00DD08EB" w:rsidRDefault="001C19F3" w:rsidP="001C19F3">
      <w:pPr>
        <w:spacing w:after="0"/>
        <w:jc w:val="center"/>
        <w:rPr>
          <w:b/>
        </w:rPr>
      </w:pPr>
      <w:bookmarkStart w:id="495" w:name="_Ref20738202"/>
      <w:r w:rsidRPr="00DD08EB">
        <w:rPr>
          <w:b/>
        </w:rPr>
        <w:t xml:space="preserve">Table </w:t>
      </w:r>
      <w:r w:rsidRPr="00DD08EB">
        <w:rPr>
          <w:b/>
        </w:rPr>
        <w:fldChar w:fldCharType="begin"/>
      </w:r>
      <w:r w:rsidRPr="00DD08EB">
        <w:rPr>
          <w:b/>
        </w:rPr>
        <w:instrText>SEQ Table \* ARABIC</w:instrText>
      </w:r>
      <w:r w:rsidRPr="00DD08EB">
        <w:rPr>
          <w:b/>
        </w:rPr>
        <w:fldChar w:fldCharType="separate"/>
      </w:r>
      <w:r>
        <w:rPr>
          <w:b/>
          <w:noProof/>
        </w:rPr>
        <w:t>11</w:t>
      </w:r>
      <w:r w:rsidRPr="00DD08EB">
        <w:rPr>
          <w:b/>
        </w:rPr>
        <w:fldChar w:fldCharType="end"/>
      </w:r>
      <w:bookmarkEnd w:id="495"/>
      <w:r w:rsidRPr="00DD08EB">
        <w:rPr>
          <w:b/>
        </w:rPr>
        <w:t xml:space="preserve"> – </w:t>
      </w:r>
      <w:r>
        <w:rPr>
          <w:b/>
        </w:rPr>
        <w:t>Other socio-demographic characteristics o</w:t>
      </w:r>
      <w:r w:rsidRPr="00DD08EB">
        <w:rPr>
          <w:b/>
        </w:rPr>
        <w:t xml:space="preserve">f </w:t>
      </w:r>
      <w:r>
        <w:rPr>
          <w:b/>
        </w:rPr>
        <w:t xml:space="preserve">HCH </w:t>
      </w:r>
      <w:r w:rsidRPr="00DD08EB">
        <w:rPr>
          <w:b/>
        </w:rPr>
        <w:t>patients</w:t>
      </w:r>
      <w:r>
        <w:rPr>
          <w:b/>
        </w:rPr>
        <w:t xml:space="preserve"> responding to the patient survey</w:t>
      </w:r>
    </w:p>
    <w:tbl>
      <w:tblPr>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3818"/>
        <w:gridCol w:w="1286"/>
        <w:gridCol w:w="1265"/>
        <w:gridCol w:w="1134"/>
        <w:gridCol w:w="1145"/>
      </w:tblGrid>
      <w:tr w:rsidR="001C19F3" w14:paraId="0B8D633A" w14:textId="77777777" w:rsidTr="00521305">
        <w:trPr>
          <w:cantSplit/>
          <w:trHeight w:val="297"/>
          <w:tblHeader/>
          <w:jc w:val="center"/>
        </w:trPr>
        <w:tc>
          <w:tcPr>
            <w:tcW w:w="3818" w:type="dxa"/>
            <w:vMerge w:val="restart"/>
            <w:shd w:val="clear" w:color="auto" w:fill="003D79"/>
            <w:tcMar>
              <w:top w:w="0" w:type="dxa"/>
              <w:left w:w="0" w:type="dxa"/>
              <w:bottom w:w="0" w:type="dxa"/>
              <w:right w:w="0" w:type="dxa"/>
            </w:tcMar>
            <w:vAlign w:val="center"/>
            <w:hideMark/>
          </w:tcPr>
          <w:p w14:paraId="360BEA04" w14:textId="77777777" w:rsidR="001C19F3" w:rsidRPr="00216A96" w:rsidRDefault="001C19F3" w:rsidP="00521305">
            <w:pPr>
              <w:spacing w:after="0"/>
              <w:jc w:val="center"/>
              <w:rPr>
                <w:rFonts w:eastAsiaTheme="minorHAnsi" w:cstheme="minorHAnsi"/>
              </w:rPr>
            </w:pPr>
            <w:r w:rsidRPr="00216A96">
              <w:rPr>
                <w:rFonts w:cstheme="minorHAnsi"/>
                <w:b/>
                <w:color w:val="FFFFFF"/>
                <w:sz w:val="18"/>
                <w:szCs w:val="18"/>
              </w:rPr>
              <w:t>Characteristic</w:t>
            </w:r>
          </w:p>
        </w:tc>
        <w:tc>
          <w:tcPr>
            <w:tcW w:w="1286" w:type="dxa"/>
            <w:vMerge w:val="restart"/>
            <w:shd w:val="clear" w:color="auto" w:fill="003D79"/>
            <w:tcMar>
              <w:top w:w="0" w:type="dxa"/>
              <w:left w:w="0" w:type="dxa"/>
              <w:bottom w:w="0" w:type="dxa"/>
              <w:right w:w="0" w:type="dxa"/>
            </w:tcMar>
            <w:vAlign w:val="center"/>
            <w:hideMark/>
          </w:tcPr>
          <w:p w14:paraId="021D67F6" w14:textId="77777777" w:rsidR="001C19F3" w:rsidRPr="00216A96" w:rsidRDefault="001C19F3" w:rsidP="00521305">
            <w:pPr>
              <w:spacing w:after="0"/>
              <w:jc w:val="center"/>
              <w:rPr>
                <w:rFonts w:cstheme="minorHAnsi"/>
              </w:rPr>
            </w:pPr>
            <w:r w:rsidRPr="00216A96">
              <w:rPr>
                <w:rFonts w:cstheme="minorHAnsi"/>
                <w:b/>
                <w:color w:val="FFFFFF"/>
                <w:sz w:val="18"/>
                <w:szCs w:val="18"/>
              </w:rPr>
              <w:t>Total</w:t>
            </w:r>
          </w:p>
        </w:tc>
        <w:tc>
          <w:tcPr>
            <w:tcW w:w="3544" w:type="dxa"/>
            <w:gridSpan w:val="3"/>
            <w:shd w:val="clear" w:color="auto" w:fill="003D79"/>
            <w:tcMar>
              <w:top w:w="0" w:type="dxa"/>
              <w:left w:w="0" w:type="dxa"/>
              <w:bottom w:w="0" w:type="dxa"/>
              <w:right w:w="0" w:type="dxa"/>
            </w:tcMar>
            <w:vAlign w:val="center"/>
            <w:hideMark/>
          </w:tcPr>
          <w:p w14:paraId="3D29E6F0" w14:textId="77777777" w:rsidR="001C19F3" w:rsidRPr="00216A96" w:rsidRDefault="001C19F3" w:rsidP="00521305">
            <w:pPr>
              <w:spacing w:after="0"/>
              <w:jc w:val="center"/>
              <w:rPr>
                <w:rFonts w:cstheme="minorHAnsi"/>
              </w:rPr>
            </w:pPr>
            <w:r w:rsidRPr="00216A96">
              <w:rPr>
                <w:rFonts w:cstheme="minorHAnsi"/>
                <w:b/>
                <w:color w:val="FFFFFF"/>
                <w:sz w:val="18"/>
                <w:szCs w:val="18"/>
              </w:rPr>
              <w:t>Tier</w:t>
            </w:r>
          </w:p>
        </w:tc>
      </w:tr>
      <w:tr w:rsidR="001C19F3" w14:paraId="49ECAEBF" w14:textId="77777777" w:rsidTr="00521305">
        <w:trPr>
          <w:cantSplit/>
          <w:trHeight w:val="330"/>
          <w:tblHeader/>
          <w:jc w:val="center"/>
        </w:trPr>
        <w:tc>
          <w:tcPr>
            <w:tcW w:w="3818" w:type="dxa"/>
            <w:vMerge/>
            <w:vAlign w:val="center"/>
            <w:hideMark/>
          </w:tcPr>
          <w:p w14:paraId="4A2470FA" w14:textId="77777777" w:rsidR="001C19F3" w:rsidRPr="00216A96" w:rsidRDefault="001C19F3" w:rsidP="00521305">
            <w:pPr>
              <w:spacing w:after="0"/>
              <w:jc w:val="center"/>
              <w:rPr>
                <w:rFonts w:cstheme="minorHAnsi"/>
              </w:rPr>
            </w:pPr>
          </w:p>
        </w:tc>
        <w:tc>
          <w:tcPr>
            <w:tcW w:w="1286" w:type="dxa"/>
            <w:vMerge/>
            <w:vAlign w:val="center"/>
            <w:hideMark/>
          </w:tcPr>
          <w:p w14:paraId="730EF68B" w14:textId="77777777" w:rsidR="001C19F3" w:rsidRPr="00216A96" w:rsidRDefault="001C19F3" w:rsidP="00521305">
            <w:pPr>
              <w:spacing w:after="0"/>
              <w:jc w:val="center"/>
              <w:rPr>
                <w:rFonts w:cstheme="minorHAnsi"/>
              </w:rPr>
            </w:pPr>
          </w:p>
        </w:tc>
        <w:tc>
          <w:tcPr>
            <w:tcW w:w="1265" w:type="dxa"/>
            <w:shd w:val="clear" w:color="auto" w:fill="003D79"/>
            <w:tcMar>
              <w:top w:w="0" w:type="dxa"/>
              <w:left w:w="0" w:type="dxa"/>
              <w:bottom w:w="0" w:type="dxa"/>
              <w:right w:w="0" w:type="dxa"/>
            </w:tcMar>
            <w:vAlign w:val="center"/>
            <w:hideMark/>
          </w:tcPr>
          <w:p w14:paraId="20151687" w14:textId="77777777" w:rsidR="001C19F3" w:rsidRPr="00216A96" w:rsidRDefault="001C19F3" w:rsidP="00521305">
            <w:pPr>
              <w:spacing w:after="0"/>
              <w:jc w:val="center"/>
              <w:rPr>
                <w:rFonts w:cstheme="minorHAnsi"/>
              </w:rPr>
            </w:pPr>
            <w:r w:rsidRPr="00216A96">
              <w:rPr>
                <w:rFonts w:cstheme="minorHAnsi"/>
                <w:b/>
                <w:color w:val="FFFFFF"/>
                <w:sz w:val="18"/>
                <w:szCs w:val="18"/>
              </w:rPr>
              <w:t>Tier</w:t>
            </w:r>
            <w:r>
              <w:rPr>
                <w:rFonts w:cstheme="minorHAnsi"/>
                <w:b/>
                <w:color w:val="FFFFFF"/>
                <w:sz w:val="18"/>
                <w:szCs w:val="18"/>
              </w:rPr>
              <w:t xml:space="preserve"> </w:t>
            </w:r>
            <w:r w:rsidRPr="00216A96">
              <w:rPr>
                <w:rFonts w:cstheme="minorHAnsi"/>
                <w:b/>
                <w:color w:val="FFFFFF"/>
                <w:sz w:val="18"/>
                <w:szCs w:val="18"/>
              </w:rPr>
              <w:t>1</w:t>
            </w:r>
          </w:p>
        </w:tc>
        <w:tc>
          <w:tcPr>
            <w:tcW w:w="1134" w:type="dxa"/>
            <w:shd w:val="clear" w:color="auto" w:fill="003D79"/>
            <w:tcMar>
              <w:top w:w="0" w:type="dxa"/>
              <w:left w:w="0" w:type="dxa"/>
              <w:bottom w:w="0" w:type="dxa"/>
              <w:right w:w="0" w:type="dxa"/>
            </w:tcMar>
            <w:vAlign w:val="center"/>
            <w:hideMark/>
          </w:tcPr>
          <w:p w14:paraId="640DFF66" w14:textId="77777777" w:rsidR="001C19F3" w:rsidRPr="00216A96" w:rsidRDefault="001C19F3" w:rsidP="00521305">
            <w:pPr>
              <w:spacing w:after="0"/>
              <w:jc w:val="center"/>
              <w:rPr>
                <w:rFonts w:cstheme="minorHAnsi"/>
              </w:rPr>
            </w:pPr>
            <w:r w:rsidRPr="00216A96">
              <w:rPr>
                <w:rFonts w:cstheme="minorHAnsi"/>
                <w:b/>
                <w:color w:val="FFFFFF"/>
                <w:sz w:val="18"/>
                <w:szCs w:val="18"/>
              </w:rPr>
              <w:t>Tier</w:t>
            </w:r>
            <w:r>
              <w:rPr>
                <w:rFonts w:cstheme="minorHAnsi"/>
                <w:b/>
                <w:color w:val="FFFFFF"/>
                <w:sz w:val="18"/>
                <w:szCs w:val="18"/>
              </w:rPr>
              <w:t xml:space="preserve"> </w:t>
            </w:r>
            <w:r w:rsidRPr="00216A96">
              <w:rPr>
                <w:rFonts w:cstheme="minorHAnsi"/>
                <w:b/>
                <w:color w:val="FFFFFF"/>
                <w:sz w:val="18"/>
                <w:szCs w:val="18"/>
              </w:rPr>
              <w:t>2</w:t>
            </w:r>
          </w:p>
        </w:tc>
        <w:tc>
          <w:tcPr>
            <w:tcW w:w="1145" w:type="dxa"/>
            <w:shd w:val="clear" w:color="auto" w:fill="003D79"/>
            <w:tcMar>
              <w:top w:w="0" w:type="dxa"/>
              <w:left w:w="0" w:type="dxa"/>
              <w:bottom w:w="0" w:type="dxa"/>
              <w:right w:w="0" w:type="dxa"/>
            </w:tcMar>
            <w:vAlign w:val="center"/>
            <w:hideMark/>
          </w:tcPr>
          <w:p w14:paraId="080BDB67" w14:textId="77777777" w:rsidR="001C19F3" w:rsidRPr="00216A96" w:rsidRDefault="001C19F3" w:rsidP="00521305">
            <w:pPr>
              <w:spacing w:after="0"/>
              <w:jc w:val="center"/>
              <w:rPr>
                <w:rFonts w:cstheme="minorHAnsi"/>
              </w:rPr>
            </w:pPr>
            <w:r w:rsidRPr="00216A96">
              <w:rPr>
                <w:rFonts w:cstheme="minorHAnsi"/>
                <w:b/>
                <w:color w:val="FFFFFF"/>
                <w:sz w:val="18"/>
                <w:szCs w:val="18"/>
              </w:rPr>
              <w:t>Tier</w:t>
            </w:r>
            <w:r>
              <w:rPr>
                <w:rFonts w:cstheme="minorHAnsi"/>
                <w:b/>
                <w:color w:val="FFFFFF"/>
                <w:sz w:val="18"/>
                <w:szCs w:val="18"/>
              </w:rPr>
              <w:t xml:space="preserve"> </w:t>
            </w:r>
            <w:r w:rsidRPr="00216A96">
              <w:rPr>
                <w:rFonts w:cstheme="minorHAnsi"/>
                <w:b/>
                <w:color w:val="FFFFFF"/>
                <w:sz w:val="18"/>
                <w:szCs w:val="18"/>
              </w:rPr>
              <w:t>3</w:t>
            </w:r>
          </w:p>
        </w:tc>
      </w:tr>
      <w:tr w:rsidR="001C19F3" w14:paraId="6B0BF11F" w14:textId="77777777" w:rsidTr="00521305">
        <w:trPr>
          <w:cantSplit/>
          <w:trHeight w:val="288"/>
          <w:jc w:val="center"/>
        </w:trPr>
        <w:tc>
          <w:tcPr>
            <w:tcW w:w="3818" w:type="dxa"/>
            <w:tcMar>
              <w:top w:w="0" w:type="dxa"/>
              <w:left w:w="0" w:type="dxa"/>
              <w:bottom w:w="0" w:type="dxa"/>
              <w:right w:w="0" w:type="dxa"/>
            </w:tcMar>
            <w:vAlign w:val="center"/>
          </w:tcPr>
          <w:p w14:paraId="17F8B54C" w14:textId="77777777" w:rsidR="001C19F3" w:rsidRPr="00216A96" w:rsidRDefault="001C19F3" w:rsidP="00521305">
            <w:pPr>
              <w:spacing w:before="40" w:after="40"/>
              <w:ind w:left="160" w:right="40"/>
              <w:rPr>
                <w:rFonts w:cstheme="minorHAnsi"/>
                <w:b/>
                <w:color w:val="000000"/>
                <w:sz w:val="18"/>
                <w:szCs w:val="18"/>
              </w:rPr>
            </w:pPr>
            <w:r>
              <w:rPr>
                <w:rFonts w:cstheme="minorHAnsi"/>
                <w:b/>
                <w:color w:val="000000"/>
                <w:sz w:val="18"/>
                <w:szCs w:val="18"/>
              </w:rPr>
              <w:t>Sex</w:t>
            </w:r>
          </w:p>
        </w:tc>
        <w:tc>
          <w:tcPr>
            <w:tcW w:w="1286" w:type="dxa"/>
            <w:tcMar>
              <w:top w:w="0" w:type="dxa"/>
              <w:left w:w="0" w:type="dxa"/>
              <w:bottom w:w="0" w:type="dxa"/>
              <w:right w:w="0" w:type="dxa"/>
            </w:tcMar>
            <w:vAlign w:val="center"/>
          </w:tcPr>
          <w:p w14:paraId="3B4FEB44" w14:textId="77777777" w:rsidR="001C19F3" w:rsidRPr="00216A96" w:rsidRDefault="001C19F3" w:rsidP="00521305">
            <w:pPr>
              <w:spacing w:before="40" w:after="40"/>
              <w:ind w:left="40" w:right="40"/>
              <w:jc w:val="center"/>
              <w:rPr>
                <w:rFonts w:cstheme="minorHAnsi"/>
              </w:rPr>
            </w:pPr>
          </w:p>
        </w:tc>
        <w:tc>
          <w:tcPr>
            <w:tcW w:w="1265" w:type="dxa"/>
            <w:tcMar>
              <w:top w:w="0" w:type="dxa"/>
              <w:left w:w="0" w:type="dxa"/>
              <w:bottom w:w="0" w:type="dxa"/>
              <w:right w:w="0" w:type="dxa"/>
            </w:tcMar>
            <w:vAlign w:val="center"/>
          </w:tcPr>
          <w:p w14:paraId="04017490" w14:textId="77777777" w:rsidR="001C19F3" w:rsidRPr="00216A96" w:rsidRDefault="001C19F3" w:rsidP="00521305">
            <w:pPr>
              <w:spacing w:before="40" w:after="40"/>
              <w:ind w:left="40" w:right="40"/>
              <w:jc w:val="center"/>
              <w:rPr>
                <w:rFonts w:cstheme="minorHAnsi"/>
              </w:rPr>
            </w:pPr>
          </w:p>
        </w:tc>
        <w:tc>
          <w:tcPr>
            <w:tcW w:w="1134" w:type="dxa"/>
            <w:tcMar>
              <w:top w:w="0" w:type="dxa"/>
              <w:left w:w="0" w:type="dxa"/>
              <w:bottom w:w="0" w:type="dxa"/>
              <w:right w:w="0" w:type="dxa"/>
            </w:tcMar>
            <w:vAlign w:val="center"/>
          </w:tcPr>
          <w:p w14:paraId="46E15828" w14:textId="77777777" w:rsidR="001C19F3" w:rsidRPr="00216A96" w:rsidRDefault="001C19F3" w:rsidP="00521305">
            <w:pPr>
              <w:spacing w:before="40" w:after="40"/>
              <w:ind w:left="40" w:right="40"/>
              <w:jc w:val="center"/>
              <w:rPr>
                <w:rFonts w:cstheme="minorHAnsi"/>
              </w:rPr>
            </w:pPr>
          </w:p>
        </w:tc>
        <w:tc>
          <w:tcPr>
            <w:tcW w:w="1145" w:type="dxa"/>
            <w:tcMar>
              <w:top w:w="0" w:type="dxa"/>
              <w:left w:w="0" w:type="dxa"/>
              <w:bottom w:w="0" w:type="dxa"/>
              <w:right w:w="0" w:type="dxa"/>
            </w:tcMar>
            <w:vAlign w:val="center"/>
          </w:tcPr>
          <w:p w14:paraId="4DFFD7F0" w14:textId="77777777" w:rsidR="001C19F3" w:rsidRPr="00216A96" w:rsidRDefault="001C19F3" w:rsidP="00521305">
            <w:pPr>
              <w:spacing w:before="40" w:after="40"/>
              <w:ind w:left="40" w:right="40"/>
              <w:jc w:val="center"/>
              <w:rPr>
                <w:rFonts w:cstheme="minorHAnsi"/>
              </w:rPr>
            </w:pPr>
          </w:p>
        </w:tc>
      </w:tr>
      <w:tr w:rsidR="001C19F3" w14:paraId="422D5E0B" w14:textId="77777777" w:rsidTr="00521305">
        <w:trPr>
          <w:cantSplit/>
          <w:trHeight w:val="288"/>
          <w:jc w:val="center"/>
        </w:trPr>
        <w:tc>
          <w:tcPr>
            <w:tcW w:w="3818" w:type="dxa"/>
            <w:tcMar>
              <w:top w:w="0" w:type="dxa"/>
              <w:left w:w="0" w:type="dxa"/>
              <w:bottom w:w="0" w:type="dxa"/>
              <w:right w:w="0" w:type="dxa"/>
            </w:tcMar>
            <w:vAlign w:val="center"/>
          </w:tcPr>
          <w:p w14:paraId="442E116C"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Female</w:t>
            </w:r>
          </w:p>
        </w:tc>
        <w:tc>
          <w:tcPr>
            <w:tcW w:w="1286" w:type="dxa"/>
            <w:tcMar>
              <w:top w:w="0" w:type="dxa"/>
              <w:left w:w="0" w:type="dxa"/>
              <w:bottom w:w="0" w:type="dxa"/>
              <w:right w:w="0" w:type="dxa"/>
            </w:tcMar>
            <w:vAlign w:val="center"/>
          </w:tcPr>
          <w:p w14:paraId="365F2A16"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1,083 (54.4%)</w:t>
            </w:r>
          </w:p>
        </w:tc>
        <w:tc>
          <w:tcPr>
            <w:tcW w:w="1265" w:type="dxa"/>
            <w:tcMar>
              <w:top w:w="0" w:type="dxa"/>
              <w:left w:w="0" w:type="dxa"/>
              <w:bottom w:w="0" w:type="dxa"/>
              <w:right w:w="0" w:type="dxa"/>
            </w:tcMar>
            <w:vAlign w:val="center"/>
          </w:tcPr>
          <w:p w14:paraId="7BDE5D43"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246 (55.8%)</w:t>
            </w:r>
          </w:p>
        </w:tc>
        <w:tc>
          <w:tcPr>
            <w:tcW w:w="1134" w:type="dxa"/>
            <w:tcMar>
              <w:top w:w="0" w:type="dxa"/>
              <w:left w:w="0" w:type="dxa"/>
              <w:bottom w:w="0" w:type="dxa"/>
              <w:right w:w="0" w:type="dxa"/>
            </w:tcMar>
            <w:vAlign w:val="center"/>
          </w:tcPr>
          <w:p w14:paraId="1CACDA4A"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572 (55.5%)</w:t>
            </w:r>
          </w:p>
        </w:tc>
        <w:tc>
          <w:tcPr>
            <w:tcW w:w="1145" w:type="dxa"/>
            <w:tcMar>
              <w:top w:w="0" w:type="dxa"/>
              <w:left w:w="0" w:type="dxa"/>
              <w:bottom w:w="0" w:type="dxa"/>
              <w:right w:w="0" w:type="dxa"/>
            </w:tcMar>
            <w:vAlign w:val="center"/>
          </w:tcPr>
          <w:p w14:paraId="2E3F019B"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239 (51.1%)</w:t>
            </w:r>
          </w:p>
        </w:tc>
      </w:tr>
      <w:tr w:rsidR="001C19F3" w14:paraId="05448D93" w14:textId="77777777" w:rsidTr="00521305">
        <w:trPr>
          <w:cantSplit/>
          <w:trHeight w:val="288"/>
          <w:jc w:val="center"/>
        </w:trPr>
        <w:tc>
          <w:tcPr>
            <w:tcW w:w="3818" w:type="dxa"/>
            <w:tcMar>
              <w:top w:w="0" w:type="dxa"/>
              <w:left w:w="0" w:type="dxa"/>
              <w:bottom w:w="0" w:type="dxa"/>
              <w:right w:w="0" w:type="dxa"/>
            </w:tcMar>
            <w:vAlign w:val="center"/>
          </w:tcPr>
          <w:p w14:paraId="617D9174"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Male</w:t>
            </w:r>
          </w:p>
        </w:tc>
        <w:tc>
          <w:tcPr>
            <w:tcW w:w="1286" w:type="dxa"/>
            <w:tcMar>
              <w:top w:w="0" w:type="dxa"/>
              <w:left w:w="0" w:type="dxa"/>
              <w:bottom w:w="0" w:type="dxa"/>
              <w:right w:w="0" w:type="dxa"/>
            </w:tcMar>
            <w:vAlign w:val="center"/>
          </w:tcPr>
          <w:p w14:paraId="2941F798"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908 (45.6%)</w:t>
            </w:r>
          </w:p>
        </w:tc>
        <w:tc>
          <w:tcPr>
            <w:tcW w:w="1265" w:type="dxa"/>
            <w:tcMar>
              <w:top w:w="0" w:type="dxa"/>
              <w:left w:w="0" w:type="dxa"/>
              <w:bottom w:w="0" w:type="dxa"/>
              <w:right w:w="0" w:type="dxa"/>
            </w:tcMar>
            <w:vAlign w:val="center"/>
          </w:tcPr>
          <w:p w14:paraId="62C43DA3"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195 (44.2%)</w:t>
            </w:r>
          </w:p>
        </w:tc>
        <w:tc>
          <w:tcPr>
            <w:tcW w:w="1134" w:type="dxa"/>
            <w:tcMar>
              <w:top w:w="0" w:type="dxa"/>
              <w:left w:w="0" w:type="dxa"/>
              <w:bottom w:w="0" w:type="dxa"/>
              <w:right w:w="0" w:type="dxa"/>
            </w:tcMar>
            <w:vAlign w:val="center"/>
          </w:tcPr>
          <w:p w14:paraId="1D7D71A1"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459 (44.5%)</w:t>
            </w:r>
          </w:p>
        </w:tc>
        <w:tc>
          <w:tcPr>
            <w:tcW w:w="1145" w:type="dxa"/>
            <w:tcMar>
              <w:top w:w="0" w:type="dxa"/>
              <w:left w:w="0" w:type="dxa"/>
              <w:bottom w:w="0" w:type="dxa"/>
              <w:right w:w="0" w:type="dxa"/>
            </w:tcMar>
            <w:vAlign w:val="center"/>
          </w:tcPr>
          <w:p w14:paraId="707CF80A"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229 (48.9%)</w:t>
            </w:r>
          </w:p>
        </w:tc>
      </w:tr>
      <w:tr w:rsidR="001C19F3" w14:paraId="07C36CE0" w14:textId="77777777" w:rsidTr="00521305">
        <w:trPr>
          <w:cantSplit/>
          <w:trHeight w:val="288"/>
          <w:jc w:val="center"/>
        </w:trPr>
        <w:tc>
          <w:tcPr>
            <w:tcW w:w="3818" w:type="dxa"/>
            <w:tcMar>
              <w:top w:w="0" w:type="dxa"/>
              <w:left w:w="0" w:type="dxa"/>
              <w:bottom w:w="0" w:type="dxa"/>
              <w:right w:w="0" w:type="dxa"/>
            </w:tcMar>
            <w:vAlign w:val="center"/>
          </w:tcPr>
          <w:p w14:paraId="31F7F048" w14:textId="77777777" w:rsidR="001C19F3" w:rsidRPr="00216A96" w:rsidRDefault="001C19F3" w:rsidP="00521305">
            <w:pPr>
              <w:spacing w:before="40" w:after="40"/>
              <w:ind w:left="160" w:right="40"/>
              <w:rPr>
                <w:rFonts w:cstheme="minorHAnsi"/>
                <w:b/>
                <w:color w:val="000000"/>
                <w:sz w:val="18"/>
                <w:szCs w:val="18"/>
              </w:rPr>
            </w:pPr>
            <w:r>
              <w:rPr>
                <w:rFonts w:cstheme="minorHAnsi"/>
                <w:b/>
                <w:color w:val="000000"/>
                <w:sz w:val="18"/>
                <w:szCs w:val="18"/>
              </w:rPr>
              <w:t>Age group</w:t>
            </w:r>
          </w:p>
        </w:tc>
        <w:tc>
          <w:tcPr>
            <w:tcW w:w="1286" w:type="dxa"/>
            <w:tcMar>
              <w:top w:w="0" w:type="dxa"/>
              <w:left w:w="0" w:type="dxa"/>
              <w:bottom w:w="0" w:type="dxa"/>
              <w:right w:w="0" w:type="dxa"/>
            </w:tcMar>
            <w:vAlign w:val="center"/>
          </w:tcPr>
          <w:p w14:paraId="0FC9D69F" w14:textId="77777777" w:rsidR="001C19F3" w:rsidRPr="00216A96" w:rsidRDefault="001C19F3" w:rsidP="00521305">
            <w:pPr>
              <w:spacing w:before="40" w:after="40"/>
              <w:ind w:left="40" w:right="40"/>
              <w:jc w:val="center"/>
              <w:rPr>
                <w:rFonts w:cstheme="minorHAnsi"/>
              </w:rPr>
            </w:pPr>
          </w:p>
        </w:tc>
        <w:tc>
          <w:tcPr>
            <w:tcW w:w="1265" w:type="dxa"/>
            <w:tcMar>
              <w:top w:w="0" w:type="dxa"/>
              <w:left w:w="0" w:type="dxa"/>
              <w:bottom w:w="0" w:type="dxa"/>
              <w:right w:w="0" w:type="dxa"/>
            </w:tcMar>
            <w:vAlign w:val="center"/>
          </w:tcPr>
          <w:p w14:paraId="4D3B4AC8" w14:textId="77777777" w:rsidR="001C19F3" w:rsidRPr="00216A96" w:rsidRDefault="001C19F3" w:rsidP="00521305">
            <w:pPr>
              <w:spacing w:before="40" w:after="40"/>
              <w:ind w:left="40" w:right="40"/>
              <w:jc w:val="center"/>
              <w:rPr>
                <w:rFonts w:cstheme="minorHAnsi"/>
              </w:rPr>
            </w:pPr>
          </w:p>
        </w:tc>
        <w:tc>
          <w:tcPr>
            <w:tcW w:w="1134" w:type="dxa"/>
            <w:tcMar>
              <w:top w:w="0" w:type="dxa"/>
              <w:left w:w="0" w:type="dxa"/>
              <w:bottom w:w="0" w:type="dxa"/>
              <w:right w:w="0" w:type="dxa"/>
            </w:tcMar>
            <w:vAlign w:val="center"/>
          </w:tcPr>
          <w:p w14:paraId="76B0BD42" w14:textId="77777777" w:rsidR="001C19F3" w:rsidRPr="00216A96" w:rsidRDefault="001C19F3" w:rsidP="00521305">
            <w:pPr>
              <w:spacing w:before="40" w:after="40"/>
              <w:ind w:left="40" w:right="40"/>
              <w:jc w:val="center"/>
              <w:rPr>
                <w:rFonts w:cstheme="minorHAnsi"/>
              </w:rPr>
            </w:pPr>
          </w:p>
        </w:tc>
        <w:tc>
          <w:tcPr>
            <w:tcW w:w="1145" w:type="dxa"/>
            <w:tcMar>
              <w:top w:w="0" w:type="dxa"/>
              <w:left w:w="0" w:type="dxa"/>
              <w:bottom w:w="0" w:type="dxa"/>
              <w:right w:w="0" w:type="dxa"/>
            </w:tcMar>
            <w:vAlign w:val="center"/>
          </w:tcPr>
          <w:p w14:paraId="75598EAD" w14:textId="77777777" w:rsidR="001C19F3" w:rsidRPr="00216A96" w:rsidRDefault="001C19F3" w:rsidP="00521305">
            <w:pPr>
              <w:spacing w:before="40" w:after="40"/>
              <w:ind w:left="40" w:right="40"/>
              <w:jc w:val="center"/>
              <w:rPr>
                <w:rFonts w:cstheme="minorHAnsi"/>
              </w:rPr>
            </w:pPr>
          </w:p>
        </w:tc>
      </w:tr>
      <w:tr w:rsidR="001C19F3" w14:paraId="392CD9DA" w14:textId="77777777" w:rsidTr="00521305">
        <w:trPr>
          <w:cantSplit/>
          <w:trHeight w:val="288"/>
          <w:jc w:val="center"/>
        </w:trPr>
        <w:tc>
          <w:tcPr>
            <w:tcW w:w="3818" w:type="dxa"/>
            <w:tcMar>
              <w:top w:w="0" w:type="dxa"/>
              <w:left w:w="0" w:type="dxa"/>
              <w:bottom w:w="0" w:type="dxa"/>
              <w:right w:w="0" w:type="dxa"/>
            </w:tcMar>
            <w:vAlign w:val="center"/>
          </w:tcPr>
          <w:p w14:paraId="6F3481BF"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00-24</w:t>
            </w:r>
          </w:p>
        </w:tc>
        <w:tc>
          <w:tcPr>
            <w:tcW w:w="1286" w:type="dxa"/>
            <w:tcMar>
              <w:top w:w="0" w:type="dxa"/>
              <w:left w:w="0" w:type="dxa"/>
              <w:bottom w:w="0" w:type="dxa"/>
              <w:right w:w="0" w:type="dxa"/>
            </w:tcMar>
            <w:vAlign w:val="center"/>
          </w:tcPr>
          <w:p w14:paraId="4C627B51"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18 (0.9%)</w:t>
            </w:r>
          </w:p>
        </w:tc>
        <w:tc>
          <w:tcPr>
            <w:tcW w:w="1265" w:type="dxa"/>
            <w:tcMar>
              <w:top w:w="0" w:type="dxa"/>
              <w:left w:w="0" w:type="dxa"/>
              <w:bottom w:w="0" w:type="dxa"/>
              <w:right w:w="0" w:type="dxa"/>
            </w:tcMar>
            <w:vAlign w:val="center"/>
          </w:tcPr>
          <w:p w14:paraId="7921A0DF"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 (0.2%)</w:t>
            </w:r>
          </w:p>
        </w:tc>
        <w:tc>
          <w:tcPr>
            <w:tcW w:w="1134" w:type="dxa"/>
            <w:tcMar>
              <w:top w:w="0" w:type="dxa"/>
              <w:left w:w="0" w:type="dxa"/>
              <w:bottom w:w="0" w:type="dxa"/>
              <w:right w:w="0" w:type="dxa"/>
            </w:tcMar>
            <w:vAlign w:val="center"/>
          </w:tcPr>
          <w:p w14:paraId="1A259209"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8 (0.8%)</w:t>
            </w:r>
          </w:p>
        </w:tc>
        <w:tc>
          <w:tcPr>
            <w:tcW w:w="1145" w:type="dxa"/>
            <w:tcMar>
              <w:top w:w="0" w:type="dxa"/>
              <w:left w:w="0" w:type="dxa"/>
              <w:bottom w:w="0" w:type="dxa"/>
              <w:right w:w="0" w:type="dxa"/>
            </w:tcMar>
            <w:vAlign w:val="center"/>
          </w:tcPr>
          <w:p w14:paraId="2E602309"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9 (1.9%)</w:t>
            </w:r>
          </w:p>
        </w:tc>
      </w:tr>
      <w:tr w:rsidR="001C19F3" w14:paraId="5B61C376" w14:textId="77777777" w:rsidTr="00521305">
        <w:trPr>
          <w:cantSplit/>
          <w:trHeight w:val="288"/>
          <w:jc w:val="center"/>
        </w:trPr>
        <w:tc>
          <w:tcPr>
            <w:tcW w:w="3818" w:type="dxa"/>
            <w:tcMar>
              <w:top w:w="0" w:type="dxa"/>
              <w:left w:w="0" w:type="dxa"/>
              <w:bottom w:w="0" w:type="dxa"/>
              <w:right w:w="0" w:type="dxa"/>
            </w:tcMar>
            <w:vAlign w:val="center"/>
          </w:tcPr>
          <w:p w14:paraId="08AE41E9"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25-44</w:t>
            </w:r>
          </w:p>
        </w:tc>
        <w:tc>
          <w:tcPr>
            <w:tcW w:w="1286" w:type="dxa"/>
            <w:tcMar>
              <w:top w:w="0" w:type="dxa"/>
              <w:left w:w="0" w:type="dxa"/>
              <w:bottom w:w="0" w:type="dxa"/>
              <w:right w:w="0" w:type="dxa"/>
            </w:tcMar>
            <w:vAlign w:val="center"/>
          </w:tcPr>
          <w:p w14:paraId="20234696"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128 (6.4%)</w:t>
            </w:r>
          </w:p>
        </w:tc>
        <w:tc>
          <w:tcPr>
            <w:tcW w:w="1265" w:type="dxa"/>
            <w:tcMar>
              <w:top w:w="0" w:type="dxa"/>
              <w:left w:w="0" w:type="dxa"/>
              <w:bottom w:w="0" w:type="dxa"/>
              <w:right w:w="0" w:type="dxa"/>
            </w:tcMar>
            <w:vAlign w:val="center"/>
          </w:tcPr>
          <w:p w14:paraId="0457B227"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26 (5.9%)</w:t>
            </w:r>
          </w:p>
        </w:tc>
        <w:tc>
          <w:tcPr>
            <w:tcW w:w="1134" w:type="dxa"/>
            <w:tcMar>
              <w:top w:w="0" w:type="dxa"/>
              <w:left w:w="0" w:type="dxa"/>
              <w:bottom w:w="0" w:type="dxa"/>
              <w:right w:w="0" w:type="dxa"/>
            </w:tcMar>
            <w:vAlign w:val="center"/>
          </w:tcPr>
          <w:p w14:paraId="335A247C"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67 (6.5%)</w:t>
            </w:r>
          </w:p>
        </w:tc>
        <w:tc>
          <w:tcPr>
            <w:tcW w:w="1145" w:type="dxa"/>
            <w:tcMar>
              <w:top w:w="0" w:type="dxa"/>
              <w:left w:w="0" w:type="dxa"/>
              <w:bottom w:w="0" w:type="dxa"/>
              <w:right w:w="0" w:type="dxa"/>
            </w:tcMar>
            <w:vAlign w:val="center"/>
          </w:tcPr>
          <w:p w14:paraId="24368A3B"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33 (7.0%)</w:t>
            </w:r>
          </w:p>
        </w:tc>
      </w:tr>
      <w:tr w:rsidR="001C19F3" w14:paraId="2D4D297E" w14:textId="77777777" w:rsidTr="00521305">
        <w:trPr>
          <w:cantSplit/>
          <w:trHeight w:val="288"/>
          <w:jc w:val="center"/>
        </w:trPr>
        <w:tc>
          <w:tcPr>
            <w:tcW w:w="3818" w:type="dxa"/>
            <w:tcMar>
              <w:top w:w="0" w:type="dxa"/>
              <w:left w:w="0" w:type="dxa"/>
              <w:bottom w:w="0" w:type="dxa"/>
              <w:right w:w="0" w:type="dxa"/>
            </w:tcMar>
            <w:vAlign w:val="center"/>
          </w:tcPr>
          <w:p w14:paraId="50947163"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45-64</w:t>
            </w:r>
          </w:p>
        </w:tc>
        <w:tc>
          <w:tcPr>
            <w:tcW w:w="1286" w:type="dxa"/>
            <w:tcMar>
              <w:top w:w="0" w:type="dxa"/>
              <w:left w:w="0" w:type="dxa"/>
              <w:bottom w:w="0" w:type="dxa"/>
              <w:right w:w="0" w:type="dxa"/>
            </w:tcMar>
            <w:vAlign w:val="center"/>
          </w:tcPr>
          <w:p w14:paraId="69CED5E7"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551 (27.4%)</w:t>
            </w:r>
          </w:p>
        </w:tc>
        <w:tc>
          <w:tcPr>
            <w:tcW w:w="1265" w:type="dxa"/>
            <w:tcMar>
              <w:top w:w="0" w:type="dxa"/>
              <w:left w:w="0" w:type="dxa"/>
              <w:bottom w:w="0" w:type="dxa"/>
              <w:right w:w="0" w:type="dxa"/>
            </w:tcMar>
            <w:vAlign w:val="center"/>
          </w:tcPr>
          <w:p w14:paraId="3EF0F12F"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124 (28.2%)</w:t>
            </w:r>
          </w:p>
        </w:tc>
        <w:tc>
          <w:tcPr>
            <w:tcW w:w="1134" w:type="dxa"/>
            <w:tcMar>
              <w:top w:w="0" w:type="dxa"/>
              <w:left w:w="0" w:type="dxa"/>
              <w:bottom w:w="0" w:type="dxa"/>
              <w:right w:w="0" w:type="dxa"/>
            </w:tcMar>
            <w:vAlign w:val="center"/>
          </w:tcPr>
          <w:p w14:paraId="3C6171FD"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270 (26.2%)</w:t>
            </w:r>
          </w:p>
        </w:tc>
        <w:tc>
          <w:tcPr>
            <w:tcW w:w="1145" w:type="dxa"/>
            <w:tcMar>
              <w:top w:w="0" w:type="dxa"/>
              <w:left w:w="0" w:type="dxa"/>
              <w:bottom w:w="0" w:type="dxa"/>
              <w:right w:w="0" w:type="dxa"/>
            </w:tcMar>
            <w:vAlign w:val="center"/>
          </w:tcPr>
          <w:p w14:paraId="015ECF8E"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141 (29.9%)</w:t>
            </w:r>
          </w:p>
        </w:tc>
      </w:tr>
      <w:tr w:rsidR="001C19F3" w14:paraId="58BC168C" w14:textId="77777777" w:rsidTr="00521305">
        <w:trPr>
          <w:cantSplit/>
          <w:trHeight w:val="288"/>
          <w:jc w:val="center"/>
        </w:trPr>
        <w:tc>
          <w:tcPr>
            <w:tcW w:w="3818" w:type="dxa"/>
            <w:tcMar>
              <w:top w:w="0" w:type="dxa"/>
              <w:left w:w="0" w:type="dxa"/>
              <w:bottom w:w="0" w:type="dxa"/>
              <w:right w:w="0" w:type="dxa"/>
            </w:tcMar>
            <w:vAlign w:val="center"/>
          </w:tcPr>
          <w:p w14:paraId="043D9561"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65-74</w:t>
            </w:r>
          </w:p>
        </w:tc>
        <w:tc>
          <w:tcPr>
            <w:tcW w:w="1286" w:type="dxa"/>
            <w:tcMar>
              <w:top w:w="0" w:type="dxa"/>
              <w:left w:w="0" w:type="dxa"/>
              <w:bottom w:w="0" w:type="dxa"/>
              <w:right w:w="0" w:type="dxa"/>
            </w:tcMar>
            <w:vAlign w:val="center"/>
          </w:tcPr>
          <w:p w14:paraId="4998579B"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658 (32.7%)</w:t>
            </w:r>
          </w:p>
        </w:tc>
        <w:tc>
          <w:tcPr>
            <w:tcW w:w="1265" w:type="dxa"/>
            <w:tcMar>
              <w:top w:w="0" w:type="dxa"/>
              <w:left w:w="0" w:type="dxa"/>
              <w:bottom w:w="0" w:type="dxa"/>
              <w:right w:w="0" w:type="dxa"/>
            </w:tcMar>
            <w:vAlign w:val="center"/>
          </w:tcPr>
          <w:p w14:paraId="7465C1B1"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156 (35.5%)</w:t>
            </w:r>
          </w:p>
        </w:tc>
        <w:tc>
          <w:tcPr>
            <w:tcW w:w="1134" w:type="dxa"/>
            <w:tcMar>
              <w:top w:w="0" w:type="dxa"/>
              <w:left w:w="0" w:type="dxa"/>
              <w:bottom w:w="0" w:type="dxa"/>
              <w:right w:w="0" w:type="dxa"/>
            </w:tcMar>
            <w:vAlign w:val="center"/>
          </w:tcPr>
          <w:p w14:paraId="7EC48681"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364 (35.3%)</w:t>
            </w:r>
          </w:p>
        </w:tc>
        <w:tc>
          <w:tcPr>
            <w:tcW w:w="1145" w:type="dxa"/>
            <w:tcMar>
              <w:top w:w="0" w:type="dxa"/>
              <w:left w:w="0" w:type="dxa"/>
              <w:bottom w:w="0" w:type="dxa"/>
              <w:right w:w="0" w:type="dxa"/>
            </w:tcMar>
            <w:vAlign w:val="center"/>
          </w:tcPr>
          <w:p w14:paraId="5468EF95"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112 (23.7%)</w:t>
            </w:r>
          </w:p>
        </w:tc>
      </w:tr>
      <w:tr w:rsidR="001C19F3" w14:paraId="2F28CCF3" w14:textId="77777777" w:rsidTr="00521305">
        <w:trPr>
          <w:cantSplit/>
          <w:trHeight w:val="288"/>
          <w:jc w:val="center"/>
        </w:trPr>
        <w:tc>
          <w:tcPr>
            <w:tcW w:w="3818" w:type="dxa"/>
            <w:tcMar>
              <w:top w:w="0" w:type="dxa"/>
              <w:left w:w="0" w:type="dxa"/>
              <w:bottom w:w="0" w:type="dxa"/>
              <w:right w:w="0" w:type="dxa"/>
            </w:tcMar>
            <w:vAlign w:val="center"/>
          </w:tcPr>
          <w:p w14:paraId="42B9D685"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75-84</w:t>
            </w:r>
          </w:p>
        </w:tc>
        <w:tc>
          <w:tcPr>
            <w:tcW w:w="1286" w:type="dxa"/>
            <w:tcMar>
              <w:top w:w="0" w:type="dxa"/>
              <w:left w:w="0" w:type="dxa"/>
              <w:bottom w:w="0" w:type="dxa"/>
              <w:right w:w="0" w:type="dxa"/>
            </w:tcMar>
            <w:vAlign w:val="center"/>
          </w:tcPr>
          <w:p w14:paraId="6E67881A"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513 (25.5%)</w:t>
            </w:r>
          </w:p>
        </w:tc>
        <w:tc>
          <w:tcPr>
            <w:tcW w:w="1265" w:type="dxa"/>
            <w:tcMar>
              <w:top w:w="0" w:type="dxa"/>
              <w:left w:w="0" w:type="dxa"/>
              <w:bottom w:w="0" w:type="dxa"/>
              <w:right w:w="0" w:type="dxa"/>
            </w:tcMar>
            <w:vAlign w:val="center"/>
          </w:tcPr>
          <w:p w14:paraId="14DD3AD8"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112 (25.5%)</w:t>
            </w:r>
          </w:p>
        </w:tc>
        <w:tc>
          <w:tcPr>
            <w:tcW w:w="1134" w:type="dxa"/>
            <w:tcMar>
              <w:top w:w="0" w:type="dxa"/>
              <w:left w:w="0" w:type="dxa"/>
              <w:bottom w:w="0" w:type="dxa"/>
              <w:right w:w="0" w:type="dxa"/>
            </w:tcMar>
            <w:vAlign w:val="center"/>
          </w:tcPr>
          <w:p w14:paraId="06272B71"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256 (24.9%)</w:t>
            </w:r>
          </w:p>
        </w:tc>
        <w:tc>
          <w:tcPr>
            <w:tcW w:w="1145" w:type="dxa"/>
            <w:tcMar>
              <w:top w:w="0" w:type="dxa"/>
              <w:left w:w="0" w:type="dxa"/>
              <w:bottom w:w="0" w:type="dxa"/>
              <w:right w:w="0" w:type="dxa"/>
            </w:tcMar>
            <w:vAlign w:val="center"/>
          </w:tcPr>
          <w:p w14:paraId="27BA3FA8"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128 (27.1%)</w:t>
            </w:r>
          </w:p>
        </w:tc>
      </w:tr>
      <w:tr w:rsidR="001C19F3" w14:paraId="246B3346" w14:textId="77777777" w:rsidTr="00521305">
        <w:trPr>
          <w:cantSplit/>
          <w:trHeight w:val="288"/>
          <w:jc w:val="center"/>
        </w:trPr>
        <w:tc>
          <w:tcPr>
            <w:tcW w:w="3818" w:type="dxa"/>
            <w:tcMar>
              <w:top w:w="0" w:type="dxa"/>
              <w:left w:w="0" w:type="dxa"/>
              <w:bottom w:w="0" w:type="dxa"/>
              <w:right w:w="0" w:type="dxa"/>
            </w:tcMar>
            <w:vAlign w:val="center"/>
          </w:tcPr>
          <w:p w14:paraId="4B4B539A" w14:textId="77777777" w:rsidR="001C19F3" w:rsidRPr="00216A96" w:rsidRDefault="001C19F3" w:rsidP="00521305">
            <w:pPr>
              <w:spacing w:before="40" w:after="40"/>
              <w:ind w:left="160" w:right="40"/>
              <w:rPr>
                <w:rFonts w:cstheme="minorHAnsi"/>
                <w:b/>
                <w:color w:val="000000"/>
                <w:sz w:val="18"/>
                <w:szCs w:val="18"/>
              </w:rPr>
            </w:pPr>
            <w:r>
              <w:rPr>
                <w:rFonts w:eastAsia="Century Gothic" w:cs="Century Gothic"/>
                <w:color w:val="000000"/>
                <w:sz w:val="18"/>
                <w:szCs w:val="18"/>
              </w:rPr>
              <w:t>85+</w:t>
            </w:r>
          </w:p>
        </w:tc>
        <w:tc>
          <w:tcPr>
            <w:tcW w:w="1286" w:type="dxa"/>
            <w:tcMar>
              <w:top w:w="0" w:type="dxa"/>
              <w:left w:w="0" w:type="dxa"/>
              <w:bottom w:w="0" w:type="dxa"/>
              <w:right w:w="0" w:type="dxa"/>
            </w:tcMar>
            <w:vAlign w:val="center"/>
          </w:tcPr>
          <w:p w14:paraId="23D3262B"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144 (7.2%)</w:t>
            </w:r>
          </w:p>
        </w:tc>
        <w:tc>
          <w:tcPr>
            <w:tcW w:w="1265" w:type="dxa"/>
            <w:tcMar>
              <w:top w:w="0" w:type="dxa"/>
              <w:left w:w="0" w:type="dxa"/>
              <w:bottom w:w="0" w:type="dxa"/>
              <w:right w:w="0" w:type="dxa"/>
            </w:tcMar>
            <w:vAlign w:val="center"/>
          </w:tcPr>
          <w:p w14:paraId="766C16AF"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21 (4.8%)</w:t>
            </w:r>
          </w:p>
        </w:tc>
        <w:tc>
          <w:tcPr>
            <w:tcW w:w="1134" w:type="dxa"/>
            <w:tcMar>
              <w:top w:w="0" w:type="dxa"/>
              <w:left w:w="0" w:type="dxa"/>
              <w:bottom w:w="0" w:type="dxa"/>
              <w:right w:w="0" w:type="dxa"/>
            </w:tcMar>
            <w:vAlign w:val="center"/>
          </w:tcPr>
          <w:p w14:paraId="2BAF3A53"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65 (6.3%)</w:t>
            </w:r>
          </w:p>
        </w:tc>
        <w:tc>
          <w:tcPr>
            <w:tcW w:w="1145" w:type="dxa"/>
            <w:tcMar>
              <w:top w:w="0" w:type="dxa"/>
              <w:left w:w="0" w:type="dxa"/>
              <w:bottom w:w="0" w:type="dxa"/>
              <w:right w:w="0" w:type="dxa"/>
            </w:tcMar>
            <w:vAlign w:val="center"/>
          </w:tcPr>
          <w:p w14:paraId="7C5D5AA4" w14:textId="77777777" w:rsidR="001C19F3" w:rsidRPr="00216A96" w:rsidRDefault="001C19F3" w:rsidP="00521305">
            <w:pPr>
              <w:spacing w:before="40" w:after="40"/>
              <w:ind w:left="40" w:right="40"/>
              <w:jc w:val="center"/>
              <w:rPr>
                <w:rFonts w:cstheme="minorHAnsi"/>
              </w:rPr>
            </w:pPr>
            <w:r>
              <w:rPr>
                <w:rFonts w:eastAsia="Century Gothic" w:cs="Century Gothic"/>
                <w:color w:val="000000"/>
                <w:sz w:val="18"/>
                <w:szCs w:val="18"/>
              </w:rPr>
              <w:t>49 (10.4%)</w:t>
            </w:r>
          </w:p>
        </w:tc>
      </w:tr>
      <w:tr w:rsidR="001C19F3" w14:paraId="42E1F2B3" w14:textId="77777777" w:rsidTr="00521305">
        <w:trPr>
          <w:cantSplit/>
          <w:trHeight w:val="288"/>
          <w:jc w:val="center"/>
        </w:trPr>
        <w:tc>
          <w:tcPr>
            <w:tcW w:w="3818" w:type="dxa"/>
            <w:tcMar>
              <w:top w:w="0" w:type="dxa"/>
              <w:left w:w="0" w:type="dxa"/>
              <w:bottom w:w="0" w:type="dxa"/>
              <w:right w:w="0" w:type="dxa"/>
            </w:tcMar>
            <w:vAlign w:val="center"/>
            <w:hideMark/>
          </w:tcPr>
          <w:p w14:paraId="3F9ADB46" w14:textId="77777777" w:rsidR="001C19F3" w:rsidRPr="00216A96" w:rsidRDefault="001C19F3" w:rsidP="00521305">
            <w:pPr>
              <w:spacing w:before="40" w:after="40"/>
              <w:ind w:left="160" w:right="40"/>
              <w:rPr>
                <w:rFonts w:cstheme="minorHAnsi"/>
                <w:b/>
              </w:rPr>
            </w:pPr>
            <w:r w:rsidRPr="00216A96">
              <w:rPr>
                <w:rFonts w:cstheme="minorHAnsi"/>
                <w:b/>
                <w:color w:val="000000"/>
                <w:sz w:val="18"/>
                <w:szCs w:val="18"/>
              </w:rPr>
              <w:t>Indigenous status</w:t>
            </w:r>
          </w:p>
        </w:tc>
        <w:tc>
          <w:tcPr>
            <w:tcW w:w="1286" w:type="dxa"/>
            <w:tcMar>
              <w:top w:w="0" w:type="dxa"/>
              <w:left w:w="0" w:type="dxa"/>
              <w:bottom w:w="0" w:type="dxa"/>
              <w:right w:w="0" w:type="dxa"/>
            </w:tcMar>
            <w:vAlign w:val="center"/>
          </w:tcPr>
          <w:p w14:paraId="32DAD3EA" w14:textId="77777777" w:rsidR="001C19F3" w:rsidRPr="00216A96" w:rsidRDefault="001C19F3" w:rsidP="00521305">
            <w:pPr>
              <w:spacing w:before="40" w:after="40"/>
              <w:ind w:left="40" w:right="40"/>
              <w:jc w:val="center"/>
              <w:rPr>
                <w:rFonts w:cstheme="minorHAnsi"/>
              </w:rPr>
            </w:pPr>
          </w:p>
        </w:tc>
        <w:tc>
          <w:tcPr>
            <w:tcW w:w="1265" w:type="dxa"/>
            <w:tcMar>
              <w:top w:w="0" w:type="dxa"/>
              <w:left w:w="0" w:type="dxa"/>
              <w:bottom w:w="0" w:type="dxa"/>
              <w:right w:w="0" w:type="dxa"/>
            </w:tcMar>
            <w:vAlign w:val="center"/>
          </w:tcPr>
          <w:p w14:paraId="1000766D" w14:textId="77777777" w:rsidR="001C19F3" w:rsidRPr="00216A96" w:rsidRDefault="001C19F3" w:rsidP="00521305">
            <w:pPr>
              <w:spacing w:before="40" w:after="40"/>
              <w:ind w:left="40" w:right="40"/>
              <w:jc w:val="center"/>
              <w:rPr>
                <w:rFonts w:cstheme="minorHAnsi"/>
              </w:rPr>
            </w:pPr>
          </w:p>
        </w:tc>
        <w:tc>
          <w:tcPr>
            <w:tcW w:w="1134" w:type="dxa"/>
            <w:tcMar>
              <w:top w:w="0" w:type="dxa"/>
              <w:left w:w="0" w:type="dxa"/>
              <w:bottom w:w="0" w:type="dxa"/>
              <w:right w:w="0" w:type="dxa"/>
            </w:tcMar>
            <w:vAlign w:val="center"/>
          </w:tcPr>
          <w:p w14:paraId="7CCBF2D5" w14:textId="77777777" w:rsidR="001C19F3" w:rsidRPr="00216A96" w:rsidRDefault="001C19F3" w:rsidP="00521305">
            <w:pPr>
              <w:spacing w:before="40" w:after="40"/>
              <w:ind w:left="40" w:right="40"/>
              <w:jc w:val="center"/>
              <w:rPr>
                <w:rFonts w:cstheme="minorHAnsi"/>
              </w:rPr>
            </w:pPr>
          </w:p>
        </w:tc>
        <w:tc>
          <w:tcPr>
            <w:tcW w:w="1145" w:type="dxa"/>
            <w:tcMar>
              <w:top w:w="0" w:type="dxa"/>
              <w:left w:w="0" w:type="dxa"/>
              <w:bottom w:w="0" w:type="dxa"/>
              <w:right w:w="0" w:type="dxa"/>
            </w:tcMar>
            <w:vAlign w:val="center"/>
          </w:tcPr>
          <w:p w14:paraId="372FE145" w14:textId="77777777" w:rsidR="001C19F3" w:rsidRPr="00216A96" w:rsidRDefault="001C19F3" w:rsidP="00521305">
            <w:pPr>
              <w:spacing w:before="40" w:after="40"/>
              <w:ind w:left="40" w:right="40"/>
              <w:jc w:val="center"/>
              <w:rPr>
                <w:rFonts w:cstheme="minorHAnsi"/>
              </w:rPr>
            </w:pPr>
          </w:p>
        </w:tc>
      </w:tr>
      <w:tr w:rsidR="001C19F3" w14:paraId="07341DFE" w14:textId="77777777" w:rsidTr="00521305">
        <w:trPr>
          <w:cantSplit/>
          <w:trHeight w:val="288"/>
          <w:jc w:val="center"/>
        </w:trPr>
        <w:tc>
          <w:tcPr>
            <w:tcW w:w="3818" w:type="dxa"/>
            <w:tcMar>
              <w:top w:w="0" w:type="dxa"/>
              <w:left w:w="0" w:type="dxa"/>
              <w:bottom w:w="0" w:type="dxa"/>
              <w:right w:w="0" w:type="dxa"/>
            </w:tcMar>
            <w:vAlign w:val="center"/>
            <w:hideMark/>
          </w:tcPr>
          <w:p w14:paraId="7128A6AC" w14:textId="77777777" w:rsidR="001C19F3" w:rsidRPr="00216A96" w:rsidRDefault="001C19F3" w:rsidP="00521305">
            <w:pPr>
              <w:spacing w:before="40" w:after="40"/>
              <w:ind w:left="269" w:right="40"/>
              <w:rPr>
                <w:rFonts w:cstheme="minorHAnsi"/>
              </w:rPr>
            </w:pPr>
            <w:r w:rsidRPr="00216A96">
              <w:rPr>
                <w:rFonts w:cstheme="minorHAnsi"/>
                <w:color w:val="000000"/>
                <w:sz w:val="18"/>
                <w:szCs w:val="18"/>
              </w:rPr>
              <w:t>Aboriginal or Torres Strait Islander</w:t>
            </w:r>
          </w:p>
        </w:tc>
        <w:tc>
          <w:tcPr>
            <w:tcW w:w="1286" w:type="dxa"/>
            <w:tcMar>
              <w:top w:w="0" w:type="dxa"/>
              <w:left w:w="0" w:type="dxa"/>
              <w:bottom w:w="0" w:type="dxa"/>
              <w:right w:w="0" w:type="dxa"/>
            </w:tcMar>
            <w:hideMark/>
          </w:tcPr>
          <w:p w14:paraId="3F8F1908"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66 (3.3%)</w:t>
            </w:r>
          </w:p>
        </w:tc>
        <w:tc>
          <w:tcPr>
            <w:tcW w:w="1265" w:type="dxa"/>
            <w:tcMar>
              <w:top w:w="0" w:type="dxa"/>
              <w:left w:w="0" w:type="dxa"/>
              <w:bottom w:w="0" w:type="dxa"/>
              <w:right w:w="0" w:type="dxa"/>
            </w:tcMar>
            <w:hideMark/>
          </w:tcPr>
          <w:p w14:paraId="6FC02E2E"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8 (1.8%)</w:t>
            </w:r>
          </w:p>
        </w:tc>
        <w:tc>
          <w:tcPr>
            <w:tcW w:w="1134" w:type="dxa"/>
            <w:tcMar>
              <w:top w:w="0" w:type="dxa"/>
              <w:left w:w="0" w:type="dxa"/>
              <w:bottom w:w="0" w:type="dxa"/>
              <w:right w:w="0" w:type="dxa"/>
            </w:tcMar>
            <w:hideMark/>
          </w:tcPr>
          <w:p w14:paraId="3AB89897"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34 (3.3%)</w:t>
            </w:r>
          </w:p>
        </w:tc>
        <w:tc>
          <w:tcPr>
            <w:tcW w:w="1145" w:type="dxa"/>
            <w:tcMar>
              <w:top w:w="0" w:type="dxa"/>
              <w:left w:w="0" w:type="dxa"/>
              <w:bottom w:w="0" w:type="dxa"/>
              <w:right w:w="0" w:type="dxa"/>
            </w:tcMar>
            <w:hideMark/>
          </w:tcPr>
          <w:p w14:paraId="56C2B8B0"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24 (5.1%)</w:t>
            </w:r>
          </w:p>
        </w:tc>
      </w:tr>
      <w:tr w:rsidR="001C19F3" w14:paraId="5CF3CDEE" w14:textId="77777777" w:rsidTr="00521305">
        <w:trPr>
          <w:cantSplit/>
          <w:trHeight w:val="288"/>
          <w:jc w:val="center"/>
        </w:trPr>
        <w:tc>
          <w:tcPr>
            <w:tcW w:w="3818" w:type="dxa"/>
            <w:tcMar>
              <w:top w:w="0" w:type="dxa"/>
              <w:left w:w="0" w:type="dxa"/>
              <w:bottom w:w="0" w:type="dxa"/>
              <w:right w:w="0" w:type="dxa"/>
            </w:tcMar>
            <w:vAlign w:val="center"/>
            <w:hideMark/>
          </w:tcPr>
          <w:p w14:paraId="756F5BE2" w14:textId="77777777" w:rsidR="001C19F3" w:rsidRPr="00216A96" w:rsidRDefault="001C19F3" w:rsidP="00521305">
            <w:pPr>
              <w:spacing w:before="40" w:after="40"/>
              <w:ind w:left="269" w:right="40"/>
              <w:rPr>
                <w:rFonts w:cstheme="minorHAnsi"/>
              </w:rPr>
            </w:pPr>
            <w:r w:rsidRPr="00216A96">
              <w:rPr>
                <w:rFonts w:cstheme="minorHAnsi"/>
                <w:color w:val="000000"/>
                <w:sz w:val="18"/>
                <w:szCs w:val="18"/>
              </w:rPr>
              <w:t>Not Aboriginal or Torres Strait Islander</w:t>
            </w:r>
          </w:p>
        </w:tc>
        <w:tc>
          <w:tcPr>
            <w:tcW w:w="1286" w:type="dxa"/>
            <w:tcMar>
              <w:top w:w="0" w:type="dxa"/>
              <w:left w:w="0" w:type="dxa"/>
              <w:bottom w:w="0" w:type="dxa"/>
              <w:right w:w="0" w:type="dxa"/>
            </w:tcMar>
            <w:hideMark/>
          </w:tcPr>
          <w:p w14:paraId="4C24D94C"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1,936 (95.9%)</w:t>
            </w:r>
          </w:p>
        </w:tc>
        <w:tc>
          <w:tcPr>
            <w:tcW w:w="1265" w:type="dxa"/>
            <w:tcMar>
              <w:top w:w="0" w:type="dxa"/>
              <w:left w:w="0" w:type="dxa"/>
              <w:bottom w:w="0" w:type="dxa"/>
              <w:right w:w="0" w:type="dxa"/>
            </w:tcMar>
            <w:hideMark/>
          </w:tcPr>
          <w:p w14:paraId="3CB11D8A"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432 (98.2%)</w:t>
            </w:r>
          </w:p>
        </w:tc>
        <w:tc>
          <w:tcPr>
            <w:tcW w:w="1134" w:type="dxa"/>
            <w:tcMar>
              <w:top w:w="0" w:type="dxa"/>
              <w:left w:w="0" w:type="dxa"/>
              <w:bottom w:w="0" w:type="dxa"/>
              <w:right w:w="0" w:type="dxa"/>
            </w:tcMar>
            <w:hideMark/>
          </w:tcPr>
          <w:p w14:paraId="71C7044E"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990 (96.7%)</w:t>
            </w:r>
          </w:p>
        </w:tc>
        <w:tc>
          <w:tcPr>
            <w:tcW w:w="1145" w:type="dxa"/>
            <w:tcMar>
              <w:top w:w="0" w:type="dxa"/>
              <w:left w:w="0" w:type="dxa"/>
              <w:bottom w:w="0" w:type="dxa"/>
              <w:right w:w="0" w:type="dxa"/>
            </w:tcMar>
            <w:hideMark/>
          </w:tcPr>
          <w:p w14:paraId="7AFD27F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444 (94.9%)</w:t>
            </w:r>
          </w:p>
        </w:tc>
      </w:tr>
      <w:tr w:rsidR="001C19F3" w14:paraId="2E46D840" w14:textId="77777777" w:rsidTr="00521305">
        <w:trPr>
          <w:cantSplit/>
          <w:trHeight w:val="288"/>
          <w:jc w:val="center"/>
        </w:trPr>
        <w:tc>
          <w:tcPr>
            <w:tcW w:w="3818" w:type="dxa"/>
            <w:tcMar>
              <w:top w:w="0" w:type="dxa"/>
              <w:left w:w="0" w:type="dxa"/>
              <w:bottom w:w="0" w:type="dxa"/>
              <w:right w:w="0" w:type="dxa"/>
            </w:tcMar>
            <w:vAlign w:val="center"/>
            <w:hideMark/>
          </w:tcPr>
          <w:p w14:paraId="10300625" w14:textId="77777777" w:rsidR="001C19F3" w:rsidRPr="00216A96" w:rsidRDefault="001C19F3" w:rsidP="00521305">
            <w:pPr>
              <w:spacing w:before="40" w:after="40"/>
              <w:ind w:left="269" w:right="40"/>
              <w:rPr>
                <w:rFonts w:cstheme="minorHAnsi"/>
              </w:rPr>
            </w:pPr>
            <w:r w:rsidRPr="00216A96">
              <w:rPr>
                <w:rFonts w:cstheme="minorHAnsi"/>
                <w:color w:val="000000"/>
                <w:sz w:val="18"/>
                <w:szCs w:val="18"/>
              </w:rPr>
              <w:t>Don't know/ Refused</w:t>
            </w:r>
          </w:p>
        </w:tc>
        <w:tc>
          <w:tcPr>
            <w:tcW w:w="1286" w:type="dxa"/>
            <w:tcMar>
              <w:top w:w="0" w:type="dxa"/>
              <w:left w:w="0" w:type="dxa"/>
              <w:bottom w:w="0" w:type="dxa"/>
              <w:right w:w="0" w:type="dxa"/>
            </w:tcMar>
            <w:hideMark/>
          </w:tcPr>
          <w:p w14:paraId="1D687563"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16 (0.8%)</w:t>
            </w:r>
          </w:p>
        </w:tc>
        <w:tc>
          <w:tcPr>
            <w:tcW w:w="1265" w:type="dxa"/>
            <w:tcMar>
              <w:top w:w="0" w:type="dxa"/>
              <w:left w:w="0" w:type="dxa"/>
              <w:bottom w:w="0" w:type="dxa"/>
              <w:right w:w="0" w:type="dxa"/>
            </w:tcMar>
            <w:hideMark/>
          </w:tcPr>
          <w:p w14:paraId="4B6C166E" w14:textId="77777777" w:rsidR="001C19F3" w:rsidRPr="008802E9" w:rsidRDefault="001C19F3" w:rsidP="00521305">
            <w:pPr>
              <w:spacing w:before="40" w:after="40"/>
              <w:ind w:left="40" w:right="40"/>
              <w:jc w:val="center"/>
              <w:rPr>
                <w:rFonts w:cstheme="minorHAnsi"/>
                <w:color w:val="000000"/>
                <w:sz w:val="18"/>
                <w:szCs w:val="18"/>
              </w:rPr>
            </w:pPr>
          </w:p>
        </w:tc>
        <w:tc>
          <w:tcPr>
            <w:tcW w:w="1134" w:type="dxa"/>
            <w:tcMar>
              <w:top w:w="0" w:type="dxa"/>
              <w:left w:w="0" w:type="dxa"/>
              <w:bottom w:w="0" w:type="dxa"/>
              <w:right w:w="0" w:type="dxa"/>
            </w:tcMar>
            <w:hideMark/>
          </w:tcPr>
          <w:p w14:paraId="0CA54E09" w14:textId="77777777" w:rsidR="001C19F3" w:rsidRPr="008802E9" w:rsidRDefault="001C19F3" w:rsidP="00521305">
            <w:pPr>
              <w:spacing w:before="40" w:after="40"/>
              <w:ind w:left="40" w:right="40"/>
              <w:jc w:val="center"/>
              <w:rPr>
                <w:rFonts w:cstheme="minorHAnsi"/>
                <w:color w:val="000000"/>
                <w:sz w:val="18"/>
                <w:szCs w:val="18"/>
              </w:rPr>
            </w:pPr>
          </w:p>
        </w:tc>
        <w:tc>
          <w:tcPr>
            <w:tcW w:w="1145" w:type="dxa"/>
            <w:tcMar>
              <w:top w:w="0" w:type="dxa"/>
              <w:left w:w="0" w:type="dxa"/>
              <w:bottom w:w="0" w:type="dxa"/>
              <w:right w:w="0" w:type="dxa"/>
            </w:tcMar>
            <w:hideMark/>
          </w:tcPr>
          <w:p w14:paraId="3CAF5B1A" w14:textId="77777777" w:rsidR="001C19F3" w:rsidRPr="008802E9" w:rsidRDefault="001C19F3" w:rsidP="00521305">
            <w:pPr>
              <w:spacing w:before="40" w:after="40"/>
              <w:ind w:left="40" w:right="40"/>
              <w:jc w:val="center"/>
              <w:rPr>
                <w:rFonts w:cstheme="minorHAnsi"/>
                <w:color w:val="000000"/>
                <w:sz w:val="18"/>
                <w:szCs w:val="18"/>
              </w:rPr>
            </w:pPr>
          </w:p>
        </w:tc>
      </w:tr>
      <w:tr w:rsidR="001C19F3" w:rsidRPr="00216A96" w14:paraId="08A5F254" w14:textId="77777777" w:rsidTr="00521305">
        <w:trPr>
          <w:cantSplit/>
          <w:trHeight w:val="288"/>
          <w:jc w:val="center"/>
        </w:trPr>
        <w:tc>
          <w:tcPr>
            <w:tcW w:w="3818" w:type="dxa"/>
            <w:tcMar>
              <w:top w:w="0" w:type="dxa"/>
              <w:left w:w="0" w:type="dxa"/>
              <w:bottom w:w="0" w:type="dxa"/>
              <w:right w:w="0" w:type="dxa"/>
            </w:tcMar>
            <w:vAlign w:val="center"/>
            <w:hideMark/>
          </w:tcPr>
          <w:p w14:paraId="6EE2E6FD" w14:textId="77777777" w:rsidR="001C19F3" w:rsidRPr="00216A96" w:rsidRDefault="001C19F3" w:rsidP="00521305">
            <w:pPr>
              <w:spacing w:before="40" w:after="40"/>
              <w:ind w:left="160" w:right="40"/>
              <w:rPr>
                <w:rFonts w:cstheme="minorHAnsi"/>
                <w:b/>
              </w:rPr>
            </w:pPr>
            <w:r w:rsidRPr="00216A96">
              <w:rPr>
                <w:rFonts w:cstheme="minorHAnsi"/>
                <w:b/>
                <w:color w:val="000000"/>
                <w:sz w:val="18"/>
                <w:szCs w:val="18"/>
              </w:rPr>
              <w:t>Country of birth</w:t>
            </w:r>
          </w:p>
        </w:tc>
        <w:tc>
          <w:tcPr>
            <w:tcW w:w="1286" w:type="dxa"/>
            <w:tcMar>
              <w:top w:w="0" w:type="dxa"/>
              <w:left w:w="0" w:type="dxa"/>
              <w:bottom w:w="0" w:type="dxa"/>
              <w:right w:w="0" w:type="dxa"/>
            </w:tcMar>
            <w:vAlign w:val="center"/>
          </w:tcPr>
          <w:p w14:paraId="11C46CA7" w14:textId="77777777" w:rsidR="001C19F3" w:rsidRPr="00216A96" w:rsidRDefault="001C19F3" w:rsidP="00521305">
            <w:pPr>
              <w:spacing w:before="40" w:after="40"/>
              <w:ind w:left="40" w:right="40"/>
              <w:jc w:val="center"/>
              <w:rPr>
                <w:rFonts w:cstheme="minorHAnsi"/>
                <w:b/>
              </w:rPr>
            </w:pPr>
          </w:p>
        </w:tc>
        <w:tc>
          <w:tcPr>
            <w:tcW w:w="1265" w:type="dxa"/>
            <w:tcMar>
              <w:top w:w="0" w:type="dxa"/>
              <w:left w:w="0" w:type="dxa"/>
              <w:bottom w:w="0" w:type="dxa"/>
              <w:right w:w="0" w:type="dxa"/>
            </w:tcMar>
            <w:vAlign w:val="center"/>
          </w:tcPr>
          <w:p w14:paraId="3788F625" w14:textId="77777777" w:rsidR="001C19F3" w:rsidRPr="00216A96" w:rsidRDefault="001C19F3" w:rsidP="00521305">
            <w:pPr>
              <w:spacing w:before="40" w:after="40"/>
              <w:ind w:left="40" w:right="40"/>
              <w:jc w:val="center"/>
              <w:rPr>
                <w:rFonts w:cstheme="minorHAnsi"/>
                <w:b/>
              </w:rPr>
            </w:pPr>
          </w:p>
        </w:tc>
        <w:tc>
          <w:tcPr>
            <w:tcW w:w="1134" w:type="dxa"/>
            <w:tcMar>
              <w:top w:w="0" w:type="dxa"/>
              <w:left w:w="0" w:type="dxa"/>
              <w:bottom w:w="0" w:type="dxa"/>
              <w:right w:w="0" w:type="dxa"/>
            </w:tcMar>
            <w:vAlign w:val="center"/>
          </w:tcPr>
          <w:p w14:paraId="1C57BB1E" w14:textId="77777777" w:rsidR="001C19F3" w:rsidRPr="00216A96" w:rsidRDefault="001C19F3" w:rsidP="00521305">
            <w:pPr>
              <w:spacing w:before="40" w:after="40"/>
              <w:ind w:left="40" w:right="40"/>
              <w:jc w:val="center"/>
              <w:rPr>
                <w:rFonts w:cstheme="minorHAnsi"/>
                <w:b/>
              </w:rPr>
            </w:pPr>
          </w:p>
        </w:tc>
        <w:tc>
          <w:tcPr>
            <w:tcW w:w="1145" w:type="dxa"/>
            <w:tcMar>
              <w:top w:w="0" w:type="dxa"/>
              <w:left w:w="0" w:type="dxa"/>
              <w:bottom w:w="0" w:type="dxa"/>
              <w:right w:w="0" w:type="dxa"/>
            </w:tcMar>
            <w:vAlign w:val="center"/>
          </w:tcPr>
          <w:p w14:paraId="6CB220EC" w14:textId="77777777" w:rsidR="001C19F3" w:rsidRPr="00216A96" w:rsidRDefault="001C19F3" w:rsidP="00521305">
            <w:pPr>
              <w:spacing w:before="40" w:after="40"/>
              <w:ind w:left="40" w:right="40"/>
              <w:jc w:val="center"/>
              <w:rPr>
                <w:rFonts w:cstheme="minorHAnsi"/>
                <w:b/>
              </w:rPr>
            </w:pPr>
          </w:p>
        </w:tc>
      </w:tr>
      <w:tr w:rsidR="001C19F3" w14:paraId="0A7B7CBF" w14:textId="77777777" w:rsidTr="00521305">
        <w:trPr>
          <w:cantSplit/>
          <w:trHeight w:val="288"/>
          <w:jc w:val="center"/>
        </w:trPr>
        <w:tc>
          <w:tcPr>
            <w:tcW w:w="3818" w:type="dxa"/>
            <w:tcMar>
              <w:top w:w="0" w:type="dxa"/>
              <w:left w:w="0" w:type="dxa"/>
              <w:bottom w:w="0" w:type="dxa"/>
              <w:right w:w="0" w:type="dxa"/>
            </w:tcMar>
            <w:vAlign w:val="center"/>
            <w:hideMark/>
          </w:tcPr>
          <w:p w14:paraId="614E25E7"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Australia</w:t>
            </w:r>
          </w:p>
        </w:tc>
        <w:tc>
          <w:tcPr>
            <w:tcW w:w="1286" w:type="dxa"/>
            <w:tcMar>
              <w:top w:w="0" w:type="dxa"/>
              <w:left w:w="0" w:type="dxa"/>
              <w:bottom w:w="0" w:type="dxa"/>
              <w:right w:w="0" w:type="dxa"/>
            </w:tcMar>
            <w:hideMark/>
          </w:tcPr>
          <w:p w14:paraId="0E110143"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1,379 (68.3%)</w:t>
            </w:r>
          </w:p>
        </w:tc>
        <w:tc>
          <w:tcPr>
            <w:tcW w:w="1265" w:type="dxa"/>
            <w:tcMar>
              <w:top w:w="0" w:type="dxa"/>
              <w:left w:w="0" w:type="dxa"/>
              <w:bottom w:w="0" w:type="dxa"/>
              <w:right w:w="0" w:type="dxa"/>
            </w:tcMar>
            <w:hideMark/>
          </w:tcPr>
          <w:p w14:paraId="3D6A21DC"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307 (69.6%)</w:t>
            </w:r>
          </w:p>
        </w:tc>
        <w:tc>
          <w:tcPr>
            <w:tcW w:w="1134" w:type="dxa"/>
            <w:tcMar>
              <w:top w:w="0" w:type="dxa"/>
              <w:left w:w="0" w:type="dxa"/>
              <w:bottom w:w="0" w:type="dxa"/>
              <w:right w:w="0" w:type="dxa"/>
            </w:tcMar>
            <w:hideMark/>
          </w:tcPr>
          <w:p w14:paraId="2BA1C971"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686 (66.5%)</w:t>
            </w:r>
          </w:p>
        </w:tc>
        <w:tc>
          <w:tcPr>
            <w:tcW w:w="1145" w:type="dxa"/>
            <w:tcMar>
              <w:top w:w="0" w:type="dxa"/>
              <w:left w:w="0" w:type="dxa"/>
              <w:bottom w:w="0" w:type="dxa"/>
              <w:right w:w="0" w:type="dxa"/>
            </w:tcMar>
            <w:hideMark/>
          </w:tcPr>
          <w:p w14:paraId="78B9C9B1"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335 (71.0%)</w:t>
            </w:r>
          </w:p>
        </w:tc>
      </w:tr>
      <w:tr w:rsidR="001C19F3" w14:paraId="33161F3B" w14:textId="77777777" w:rsidTr="00521305">
        <w:trPr>
          <w:cantSplit/>
          <w:trHeight w:val="288"/>
          <w:jc w:val="center"/>
        </w:trPr>
        <w:tc>
          <w:tcPr>
            <w:tcW w:w="3818" w:type="dxa"/>
            <w:tcMar>
              <w:top w:w="0" w:type="dxa"/>
              <w:left w:w="0" w:type="dxa"/>
              <w:bottom w:w="0" w:type="dxa"/>
              <w:right w:w="0" w:type="dxa"/>
            </w:tcMar>
            <w:vAlign w:val="center"/>
            <w:hideMark/>
          </w:tcPr>
          <w:p w14:paraId="3E6D5F2A"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United Kingdom</w:t>
            </w:r>
          </w:p>
        </w:tc>
        <w:tc>
          <w:tcPr>
            <w:tcW w:w="1286" w:type="dxa"/>
            <w:tcMar>
              <w:top w:w="0" w:type="dxa"/>
              <w:left w:w="0" w:type="dxa"/>
              <w:bottom w:w="0" w:type="dxa"/>
              <w:right w:w="0" w:type="dxa"/>
            </w:tcMar>
            <w:hideMark/>
          </w:tcPr>
          <w:p w14:paraId="04E89572"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291 (14.4%)</w:t>
            </w:r>
          </w:p>
        </w:tc>
        <w:tc>
          <w:tcPr>
            <w:tcW w:w="1265" w:type="dxa"/>
            <w:tcMar>
              <w:top w:w="0" w:type="dxa"/>
              <w:left w:w="0" w:type="dxa"/>
              <w:bottom w:w="0" w:type="dxa"/>
              <w:right w:w="0" w:type="dxa"/>
            </w:tcMar>
            <w:hideMark/>
          </w:tcPr>
          <w:p w14:paraId="69B9D8F4"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65 (14.7%)</w:t>
            </w:r>
          </w:p>
        </w:tc>
        <w:tc>
          <w:tcPr>
            <w:tcW w:w="1134" w:type="dxa"/>
            <w:tcMar>
              <w:top w:w="0" w:type="dxa"/>
              <w:left w:w="0" w:type="dxa"/>
              <w:bottom w:w="0" w:type="dxa"/>
              <w:right w:w="0" w:type="dxa"/>
            </w:tcMar>
            <w:hideMark/>
          </w:tcPr>
          <w:p w14:paraId="19C4FEB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158 (15.3%)</w:t>
            </w:r>
          </w:p>
        </w:tc>
        <w:tc>
          <w:tcPr>
            <w:tcW w:w="1145" w:type="dxa"/>
            <w:tcMar>
              <w:top w:w="0" w:type="dxa"/>
              <w:left w:w="0" w:type="dxa"/>
              <w:bottom w:w="0" w:type="dxa"/>
              <w:right w:w="0" w:type="dxa"/>
            </w:tcMar>
            <w:hideMark/>
          </w:tcPr>
          <w:p w14:paraId="356D099A"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57 (12.1%)</w:t>
            </w:r>
          </w:p>
        </w:tc>
      </w:tr>
      <w:tr w:rsidR="001C19F3" w14:paraId="44866590" w14:textId="77777777" w:rsidTr="00521305">
        <w:trPr>
          <w:cantSplit/>
          <w:trHeight w:val="288"/>
          <w:jc w:val="center"/>
        </w:trPr>
        <w:tc>
          <w:tcPr>
            <w:tcW w:w="3818" w:type="dxa"/>
            <w:tcMar>
              <w:top w:w="0" w:type="dxa"/>
              <w:left w:w="0" w:type="dxa"/>
              <w:bottom w:w="0" w:type="dxa"/>
              <w:right w:w="0" w:type="dxa"/>
            </w:tcMar>
            <w:vAlign w:val="center"/>
          </w:tcPr>
          <w:p w14:paraId="72B8DC71"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India</w:t>
            </w:r>
          </w:p>
        </w:tc>
        <w:tc>
          <w:tcPr>
            <w:tcW w:w="1286" w:type="dxa"/>
            <w:tcMar>
              <w:top w:w="0" w:type="dxa"/>
              <w:left w:w="0" w:type="dxa"/>
              <w:bottom w:w="0" w:type="dxa"/>
              <w:right w:w="0" w:type="dxa"/>
            </w:tcMar>
            <w:vAlign w:val="center"/>
          </w:tcPr>
          <w:p w14:paraId="38EDDC3A"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43 (2.1%)</w:t>
            </w:r>
          </w:p>
        </w:tc>
        <w:tc>
          <w:tcPr>
            <w:tcW w:w="1265" w:type="dxa"/>
            <w:tcMar>
              <w:top w:w="0" w:type="dxa"/>
              <w:left w:w="0" w:type="dxa"/>
              <w:bottom w:w="0" w:type="dxa"/>
              <w:right w:w="0" w:type="dxa"/>
            </w:tcMar>
            <w:vAlign w:val="center"/>
          </w:tcPr>
          <w:p w14:paraId="18267C9B"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7 (1.6%)</w:t>
            </w:r>
          </w:p>
        </w:tc>
        <w:tc>
          <w:tcPr>
            <w:tcW w:w="1134" w:type="dxa"/>
            <w:tcMar>
              <w:top w:w="0" w:type="dxa"/>
              <w:left w:w="0" w:type="dxa"/>
              <w:bottom w:w="0" w:type="dxa"/>
              <w:right w:w="0" w:type="dxa"/>
            </w:tcMar>
            <w:vAlign w:val="center"/>
          </w:tcPr>
          <w:p w14:paraId="1787107E"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26 (2.5%)</w:t>
            </w:r>
          </w:p>
        </w:tc>
        <w:tc>
          <w:tcPr>
            <w:tcW w:w="1145" w:type="dxa"/>
            <w:tcMar>
              <w:top w:w="0" w:type="dxa"/>
              <w:left w:w="0" w:type="dxa"/>
              <w:bottom w:w="0" w:type="dxa"/>
              <w:right w:w="0" w:type="dxa"/>
            </w:tcMar>
            <w:vAlign w:val="center"/>
          </w:tcPr>
          <w:p w14:paraId="33905E82"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9 (1.9%)</w:t>
            </w:r>
          </w:p>
        </w:tc>
      </w:tr>
      <w:tr w:rsidR="001C19F3" w14:paraId="15637AE0" w14:textId="77777777" w:rsidTr="00521305">
        <w:trPr>
          <w:cantSplit/>
          <w:trHeight w:val="288"/>
          <w:jc w:val="center"/>
        </w:trPr>
        <w:tc>
          <w:tcPr>
            <w:tcW w:w="3818" w:type="dxa"/>
            <w:tcMar>
              <w:top w:w="0" w:type="dxa"/>
              <w:left w:w="0" w:type="dxa"/>
              <w:bottom w:w="0" w:type="dxa"/>
              <w:right w:w="0" w:type="dxa"/>
            </w:tcMar>
            <w:vAlign w:val="center"/>
          </w:tcPr>
          <w:p w14:paraId="72F311F6"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New Zealand</w:t>
            </w:r>
          </w:p>
        </w:tc>
        <w:tc>
          <w:tcPr>
            <w:tcW w:w="1286" w:type="dxa"/>
            <w:tcMar>
              <w:top w:w="0" w:type="dxa"/>
              <w:left w:w="0" w:type="dxa"/>
              <w:bottom w:w="0" w:type="dxa"/>
              <w:right w:w="0" w:type="dxa"/>
            </w:tcMar>
            <w:vAlign w:val="center"/>
          </w:tcPr>
          <w:p w14:paraId="72050399"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31 (1.5%)</w:t>
            </w:r>
          </w:p>
        </w:tc>
        <w:tc>
          <w:tcPr>
            <w:tcW w:w="1265" w:type="dxa"/>
            <w:tcMar>
              <w:top w:w="0" w:type="dxa"/>
              <w:left w:w="0" w:type="dxa"/>
              <w:bottom w:w="0" w:type="dxa"/>
              <w:right w:w="0" w:type="dxa"/>
            </w:tcMar>
            <w:vAlign w:val="center"/>
          </w:tcPr>
          <w:p w14:paraId="456800E3"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12 (2.7%)</w:t>
            </w:r>
          </w:p>
        </w:tc>
        <w:tc>
          <w:tcPr>
            <w:tcW w:w="1134" w:type="dxa"/>
            <w:tcMar>
              <w:top w:w="0" w:type="dxa"/>
              <w:left w:w="0" w:type="dxa"/>
              <w:bottom w:w="0" w:type="dxa"/>
              <w:right w:w="0" w:type="dxa"/>
            </w:tcMar>
            <w:vAlign w:val="center"/>
          </w:tcPr>
          <w:p w14:paraId="41F6EB7E"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13 (1.3%)</w:t>
            </w:r>
          </w:p>
        </w:tc>
        <w:tc>
          <w:tcPr>
            <w:tcW w:w="1145" w:type="dxa"/>
            <w:tcMar>
              <w:top w:w="0" w:type="dxa"/>
              <w:left w:w="0" w:type="dxa"/>
              <w:bottom w:w="0" w:type="dxa"/>
              <w:right w:w="0" w:type="dxa"/>
            </w:tcMar>
            <w:vAlign w:val="center"/>
          </w:tcPr>
          <w:p w14:paraId="38B5113F"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6 (1.3%)</w:t>
            </w:r>
          </w:p>
        </w:tc>
      </w:tr>
      <w:tr w:rsidR="001C19F3" w14:paraId="30DA5FE6" w14:textId="77777777" w:rsidTr="00521305">
        <w:trPr>
          <w:cantSplit/>
          <w:trHeight w:val="288"/>
          <w:jc w:val="center"/>
        </w:trPr>
        <w:tc>
          <w:tcPr>
            <w:tcW w:w="3818" w:type="dxa"/>
            <w:tcMar>
              <w:top w:w="0" w:type="dxa"/>
              <w:left w:w="0" w:type="dxa"/>
              <w:bottom w:w="0" w:type="dxa"/>
              <w:right w:w="0" w:type="dxa"/>
            </w:tcMar>
            <w:vAlign w:val="center"/>
          </w:tcPr>
          <w:p w14:paraId="246DA6D0"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Italy</w:t>
            </w:r>
          </w:p>
        </w:tc>
        <w:tc>
          <w:tcPr>
            <w:tcW w:w="1286" w:type="dxa"/>
            <w:tcMar>
              <w:top w:w="0" w:type="dxa"/>
              <w:left w:w="0" w:type="dxa"/>
              <w:bottom w:w="0" w:type="dxa"/>
              <w:right w:w="0" w:type="dxa"/>
            </w:tcMar>
            <w:vAlign w:val="center"/>
          </w:tcPr>
          <w:p w14:paraId="1DA53F53"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18 (0.9%)</w:t>
            </w:r>
          </w:p>
        </w:tc>
        <w:tc>
          <w:tcPr>
            <w:tcW w:w="1265" w:type="dxa"/>
            <w:tcMar>
              <w:top w:w="0" w:type="dxa"/>
              <w:left w:w="0" w:type="dxa"/>
              <w:bottom w:w="0" w:type="dxa"/>
              <w:right w:w="0" w:type="dxa"/>
            </w:tcMar>
            <w:vAlign w:val="center"/>
          </w:tcPr>
          <w:p w14:paraId="677B0ABF"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4 (0.9%)</w:t>
            </w:r>
          </w:p>
        </w:tc>
        <w:tc>
          <w:tcPr>
            <w:tcW w:w="1134" w:type="dxa"/>
            <w:tcMar>
              <w:top w:w="0" w:type="dxa"/>
              <w:left w:w="0" w:type="dxa"/>
              <w:bottom w:w="0" w:type="dxa"/>
              <w:right w:w="0" w:type="dxa"/>
            </w:tcMar>
            <w:vAlign w:val="center"/>
          </w:tcPr>
          <w:p w14:paraId="7658390B"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8 (0.8%)</w:t>
            </w:r>
          </w:p>
        </w:tc>
        <w:tc>
          <w:tcPr>
            <w:tcW w:w="1145" w:type="dxa"/>
            <w:tcMar>
              <w:top w:w="0" w:type="dxa"/>
              <w:left w:w="0" w:type="dxa"/>
              <w:bottom w:w="0" w:type="dxa"/>
              <w:right w:w="0" w:type="dxa"/>
            </w:tcMar>
            <w:vAlign w:val="center"/>
          </w:tcPr>
          <w:p w14:paraId="31915E46"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6 (1.3%)</w:t>
            </w:r>
          </w:p>
        </w:tc>
      </w:tr>
      <w:tr w:rsidR="001C19F3" w14:paraId="1006F750" w14:textId="77777777" w:rsidTr="00521305">
        <w:trPr>
          <w:cantSplit/>
          <w:trHeight w:val="288"/>
          <w:jc w:val="center"/>
        </w:trPr>
        <w:tc>
          <w:tcPr>
            <w:tcW w:w="3818" w:type="dxa"/>
            <w:tcMar>
              <w:top w:w="0" w:type="dxa"/>
              <w:left w:w="0" w:type="dxa"/>
              <w:bottom w:w="0" w:type="dxa"/>
              <w:right w:w="0" w:type="dxa"/>
            </w:tcMar>
            <w:vAlign w:val="center"/>
          </w:tcPr>
          <w:p w14:paraId="449DC46F"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Greece</w:t>
            </w:r>
          </w:p>
        </w:tc>
        <w:tc>
          <w:tcPr>
            <w:tcW w:w="1286" w:type="dxa"/>
            <w:tcMar>
              <w:top w:w="0" w:type="dxa"/>
              <w:left w:w="0" w:type="dxa"/>
              <w:bottom w:w="0" w:type="dxa"/>
              <w:right w:w="0" w:type="dxa"/>
            </w:tcMar>
            <w:vAlign w:val="center"/>
          </w:tcPr>
          <w:p w14:paraId="7385B3E8"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28 (1.4%)</w:t>
            </w:r>
          </w:p>
        </w:tc>
        <w:tc>
          <w:tcPr>
            <w:tcW w:w="1265" w:type="dxa"/>
            <w:tcMar>
              <w:top w:w="0" w:type="dxa"/>
              <w:left w:w="0" w:type="dxa"/>
              <w:bottom w:w="0" w:type="dxa"/>
              <w:right w:w="0" w:type="dxa"/>
            </w:tcMar>
            <w:vAlign w:val="center"/>
          </w:tcPr>
          <w:p w14:paraId="6B53C676"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3 (0.7%)</w:t>
            </w:r>
          </w:p>
        </w:tc>
        <w:tc>
          <w:tcPr>
            <w:tcW w:w="1134" w:type="dxa"/>
            <w:tcMar>
              <w:top w:w="0" w:type="dxa"/>
              <w:left w:w="0" w:type="dxa"/>
              <w:bottom w:w="0" w:type="dxa"/>
              <w:right w:w="0" w:type="dxa"/>
            </w:tcMar>
            <w:vAlign w:val="center"/>
          </w:tcPr>
          <w:p w14:paraId="07F18E63"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20 (1.9%)</w:t>
            </w:r>
          </w:p>
        </w:tc>
        <w:tc>
          <w:tcPr>
            <w:tcW w:w="1145" w:type="dxa"/>
            <w:tcMar>
              <w:top w:w="0" w:type="dxa"/>
              <w:left w:w="0" w:type="dxa"/>
              <w:bottom w:w="0" w:type="dxa"/>
              <w:right w:w="0" w:type="dxa"/>
            </w:tcMar>
            <w:vAlign w:val="center"/>
          </w:tcPr>
          <w:p w14:paraId="58F026A2"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5 (1.1%)</w:t>
            </w:r>
          </w:p>
        </w:tc>
      </w:tr>
      <w:tr w:rsidR="001C19F3" w14:paraId="36B7794B" w14:textId="77777777" w:rsidTr="00521305">
        <w:trPr>
          <w:cantSplit/>
          <w:trHeight w:val="288"/>
          <w:jc w:val="center"/>
        </w:trPr>
        <w:tc>
          <w:tcPr>
            <w:tcW w:w="3818" w:type="dxa"/>
            <w:tcMar>
              <w:top w:w="0" w:type="dxa"/>
              <w:left w:w="0" w:type="dxa"/>
              <w:bottom w:w="0" w:type="dxa"/>
              <w:right w:w="0" w:type="dxa"/>
            </w:tcMar>
            <w:vAlign w:val="center"/>
          </w:tcPr>
          <w:p w14:paraId="764A5F19"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Ireland</w:t>
            </w:r>
          </w:p>
        </w:tc>
        <w:tc>
          <w:tcPr>
            <w:tcW w:w="1286" w:type="dxa"/>
            <w:tcMar>
              <w:top w:w="0" w:type="dxa"/>
              <w:left w:w="0" w:type="dxa"/>
              <w:bottom w:w="0" w:type="dxa"/>
              <w:right w:w="0" w:type="dxa"/>
            </w:tcMar>
            <w:vAlign w:val="center"/>
          </w:tcPr>
          <w:p w14:paraId="1E2F3446"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7 (0.3%)</w:t>
            </w:r>
          </w:p>
        </w:tc>
        <w:tc>
          <w:tcPr>
            <w:tcW w:w="1265" w:type="dxa"/>
            <w:tcMar>
              <w:top w:w="0" w:type="dxa"/>
              <w:left w:w="0" w:type="dxa"/>
              <w:bottom w:w="0" w:type="dxa"/>
              <w:right w:w="0" w:type="dxa"/>
            </w:tcMar>
            <w:vAlign w:val="center"/>
          </w:tcPr>
          <w:p w14:paraId="13F53461" w14:textId="77777777" w:rsidR="001C19F3" w:rsidRPr="00216A96" w:rsidRDefault="001C19F3" w:rsidP="00521305">
            <w:pPr>
              <w:spacing w:before="40" w:after="40"/>
              <w:ind w:left="40" w:right="40"/>
              <w:jc w:val="center"/>
              <w:rPr>
                <w:rFonts w:cstheme="minorHAnsi"/>
                <w:color w:val="000000"/>
                <w:sz w:val="18"/>
                <w:szCs w:val="18"/>
              </w:rPr>
            </w:pPr>
          </w:p>
        </w:tc>
        <w:tc>
          <w:tcPr>
            <w:tcW w:w="1134" w:type="dxa"/>
            <w:tcMar>
              <w:top w:w="0" w:type="dxa"/>
              <w:left w:w="0" w:type="dxa"/>
              <w:bottom w:w="0" w:type="dxa"/>
              <w:right w:w="0" w:type="dxa"/>
            </w:tcMar>
            <w:vAlign w:val="center"/>
          </w:tcPr>
          <w:p w14:paraId="40E723A3"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5 (0.5%)</w:t>
            </w:r>
          </w:p>
        </w:tc>
        <w:tc>
          <w:tcPr>
            <w:tcW w:w="1145" w:type="dxa"/>
            <w:tcMar>
              <w:top w:w="0" w:type="dxa"/>
              <w:left w:w="0" w:type="dxa"/>
              <w:bottom w:w="0" w:type="dxa"/>
              <w:right w:w="0" w:type="dxa"/>
            </w:tcMar>
            <w:vAlign w:val="center"/>
          </w:tcPr>
          <w:p w14:paraId="7E4EF91B"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 (0.2%)</w:t>
            </w:r>
          </w:p>
        </w:tc>
      </w:tr>
      <w:tr w:rsidR="001C19F3" w14:paraId="01C6C1A2" w14:textId="77777777" w:rsidTr="00521305">
        <w:trPr>
          <w:cantSplit/>
          <w:trHeight w:val="288"/>
          <w:jc w:val="center"/>
        </w:trPr>
        <w:tc>
          <w:tcPr>
            <w:tcW w:w="3818" w:type="dxa"/>
            <w:tcMar>
              <w:top w:w="0" w:type="dxa"/>
              <w:left w:w="0" w:type="dxa"/>
              <w:bottom w:w="0" w:type="dxa"/>
              <w:right w:w="0" w:type="dxa"/>
            </w:tcMar>
            <w:vAlign w:val="center"/>
          </w:tcPr>
          <w:p w14:paraId="37B50F15"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China</w:t>
            </w:r>
          </w:p>
        </w:tc>
        <w:tc>
          <w:tcPr>
            <w:tcW w:w="1286" w:type="dxa"/>
            <w:tcMar>
              <w:top w:w="0" w:type="dxa"/>
              <w:left w:w="0" w:type="dxa"/>
              <w:bottom w:w="0" w:type="dxa"/>
              <w:right w:w="0" w:type="dxa"/>
            </w:tcMar>
            <w:vAlign w:val="center"/>
          </w:tcPr>
          <w:p w14:paraId="3810747E"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2 (0.1%)</w:t>
            </w:r>
          </w:p>
        </w:tc>
        <w:tc>
          <w:tcPr>
            <w:tcW w:w="1265" w:type="dxa"/>
            <w:tcMar>
              <w:top w:w="0" w:type="dxa"/>
              <w:left w:w="0" w:type="dxa"/>
              <w:bottom w:w="0" w:type="dxa"/>
              <w:right w:w="0" w:type="dxa"/>
            </w:tcMar>
            <w:vAlign w:val="center"/>
          </w:tcPr>
          <w:p w14:paraId="6A51D3C6" w14:textId="77777777" w:rsidR="001C19F3" w:rsidRPr="00216A96" w:rsidRDefault="001C19F3" w:rsidP="00521305">
            <w:pPr>
              <w:spacing w:before="40" w:after="40"/>
              <w:ind w:left="40" w:right="40"/>
              <w:jc w:val="center"/>
              <w:rPr>
                <w:rFonts w:cstheme="minorHAnsi"/>
                <w:color w:val="000000"/>
                <w:sz w:val="18"/>
                <w:szCs w:val="18"/>
              </w:rPr>
            </w:pPr>
          </w:p>
        </w:tc>
        <w:tc>
          <w:tcPr>
            <w:tcW w:w="1134" w:type="dxa"/>
            <w:tcMar>
              <w:top w:w="0" w:type="dxa"/>
              <w:left w:w="0" w:type="dxa"/>
              <w:bottom w:w="0" w:type="dxa"/>
              <w:right w:w="0" w:type="dxa"/>
            </w:tcMar>
            <w:vAlign w:val="center"/>
          </w:tcPr>
          <w:p w14:paraId="60363024"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 (0.1%)</w:t>
            </w:r>
          </w:p>
        </w:tc>
        <w:tc>
          <w:tcPr>
            <w:tcW w:w="1145" w:type="dxa"/>
            <w:tcMar>
              <w:top w:w="0" w:type="dxa"/>
              <w:left w:w="0" w:type="dxa"/>
              <w:bottom w:w="0" w:type="dxa"/>
              <w:right w:w="0" w:type="dxa"/>
            </w:tcMar>
            <w:vAlign w:val="center"/>
          </w:tcPr>
          <w:p w14:paraId="19E1AD6C"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 (0.2%)</w:t>
            </w:r>
          </w:p>
        </w:tc>
      </w:tr>
      <w:tr w:rsidR="001C19F3" w14:paraId="4E38B778" w14:textId="77777777" w:rsidTr="00521305">
        <w:trPr>
          <w:cantSplit/>
          <w:trHeight w:val="288"/>
          <w:jc w:val="center"/>
        </w:trPr>
        <w:tc>
          <w:tcPr>
            <w:tcW w:w="3818" w:type="dxa"/>
            <w:tcMar>
              <w:top w:w="0" w:type="dxa"/>
              <w:left w:w="0" w:type="dxa"/>
              <w:bottom w:w="0" w:type="dxa"/>
              <w:right w:w="0" w:type="dxa"/>
            </w:tcMar>
            <w:vAlign w:val="center"/>
          </w:tcPr>
          <w:p w14:paraId="40FF1C93" w14:textId="77777777" w:rsidR="001C19F3" w:rsidRPr="00216A96" w:rsidRDefault="001C19F3" w:rsidP="00521305">
            <w:pPr>
              <w:spacing w:before="40" w:after="40"/>
              <w:ind w:left="269" w:right="40"/>
              <w:rPr>
                <w:rFonts w:cstheme="minorHAnsi"/>
                <w:color w:val="000000"/>
                <w:sz w:val="18"/>
                <w:szCs w:val="18"/>
              </w:rPr>
            </w:pPr>
            <w:r>
              <w:rPr>
                <w:rFonts w:eastAsia="Century Gothic" w:cs="Century Gothic"/>
                <w:color w:val="000000"/>
                <w:sz w:val="18"/>
                <w:szCs w:val="18"/>
              </w:rPr>
              <w:t>Other</w:t>
            </w:r>
          </w:p>
        </w:tc>
        <w:tc>
          <w:tcPr>
            <w:tcW w:w="1286" w:type="dxa"/>
            <w:tcMar>
              <w:top w:w="0" w:type="dxa"/>
              <w:left w:w="0" w:type="dxa"/>
              <w:bottom w:w="0" w:type="dxa"/>
              <w:right w:w="0" w:type="dxa"/>
            </w:tcMar>
            <w:vAlign w:val="center"/>
          </w:tcPr>
          <w:p w14:paraId="15F7FA24"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216 (10.7%)</w:t>
            </w:r>
          </w:p>
        </w:tc>
        <w:tc>
          <w:tcPr>
            <w:tcW w:w="1265" w:type="dxa"/>
            <w:tcMar>
              <w:top w:w="0" w:type="dxa"/>
              <w:left w:w="0" w:type="dxa"/>
              <w:bottom w:w="0" w:type="dxa"/>
              <w:right w:w="0" w:type="dxa"/>
            </w:tcMar>
            <w:vAlign w:val="center"/>
          </w:tcPr>
          <w:p w14:paraId="6543ED2D"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43 (9.8%)</w:t>
            </w:r>
          </w:p>
        </w:tc>
        <w:tc>
          <w:tcPr>
            <w:tcW w:w="1134" w:type="dxa"/>
            <w:tcMar>
              <w:top w:w="0" w:type="dxa"/>
              <w:left w:w="0" w:type="dxa"/>
              <w:bottom w:w="0" w:type="dxa"/>
              <w:right w:w="0" w:type="dxa"/>
            </w:tcMar>
            <w:vAlign w:val="center"/>
          </w:tcPr>
          <w:p w14:paraId="79EEB6BA"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115 (11.1%)</w:t>
            </w:r>
          </w:p>
        </w:tc>
        <w:tc>
          <w:tcPr>
            <w:tcW w:w="1145" w:type="dxa"/>
            <w:tcMar>
              <w:top w:w="0" w:type="dxa"/>
              <w:left w:w="0" w:type="dxa"/>
              <w:bottom w:w="0" w:type="dxa"/>
              <w:right w:w="0" w:type="dxa"/>
            </w:tcMar>
            <w:vAlign w:val="center"/>
          </w:tcPr>
          <w:p w14:paraId="55E5068A" w14:textId="77777777" w:rsidR="001C19F3" w:rsidRPr="00216A96" w:rsidRDefault="001C19F3" w:rsidP="00521305">
            <w:pPr>
              <w:spacing w:before="40" w:after="40"/>
              <w:ind w:left="40" w:right="40"/>
              <w:jc w:val="center"/>
              <w:rPr>
                <w:rFonts w:cstheme="minorHAnsi"/>
                <w:color w:val="000000"/>
                <w:sz w:val="18"/>
                <w:szCs w:val="18"/>
              </w:rPr>
            </w:pPr>
            <w:r>
              <w:rPr>
                <w:rFonts w:eastAsia="Century Gothic" w:cs="Century Gothic"/>
                <w:color w:val="000000"/>
                <w:sz w:val="18"/>
                <w:szCs w:val="18"/>
              </w:rPr>
              <w:t>52 (11.0%)</w:t>
            </w:r>
          </w:p>
        </w:tc>
      </w:tr>
      <w:tr w:rsidR="001C19F3" w14:paraId="7A7F70DA" w14:textId="77777777" w:rsidTr="00521305">
        <w:trPr>
          <w:cantSplit/>
          <w:trHeight w:val="288"/>
          <w:jc w:val="center"/>
        </w:trPr>
        <w:tc>
          <w:tcPr>
            <w:tcW w:w="3818" w:type="dxa"/>
            <w:tcMar>
              <w:top w:w="0" w:type="dxa"/>
              <w:left w:w="0" w:type="dxa"/>
              <w:bottom w:w="0" w:type="dxa"/>
              <w:right w:w="0" w:type="dxa"/>
            </w:tcMar>
            <w:vAlign w:val="center"/>
          </w:tcPr>
          <w:p w14:paraId="70E3608A" w14:textId="77777777" w:rsidR="001C19F3" w:rsidRDefault="001C19F3" w:rsidP="00521305">
            <w:pPr>
              <w:spacing w:before="40" w:after="40"/>
              <w:ind w:left="269" w:right="40"/>
              <w:rPr>
                <w:rFonts w:eastAsia="Century Gothic" w:cs="Century Gothic"/>
                <w:color w:val="000000"/>
                <w:sz w:val="18"/>
                <w:szCs w:val="18"/>
              </w:rPr>
            </w:pPr>
            <w:r>
              <w:rPr>
                <w:rFonts w:eastAsia="Century Gothic" w:cs="Century Gothic"/>
                <w:color w:val="000000"/>
                <w:sz w:val="18"/>
                <w:szCs w:val="18"/>
              </w:rPr>
              <w:t>Refused</w:t>
            </w:r>
          </w:p>
        </w:tc>
        <w:tc>
          <w:tcPr>
            <w:tcW w:w="1286" w:type="dxa"/>
            <w:tcMar>
              <w:top w:w="0" w:type="dxa"/>
              <w:left w:w="0" w:type="dxa"/>
              <w:bottom w:w="0" w:type="dxa"/>
              <w:right w:w="0" w:type="dxa"/>
            </w:tcMar>
            <w:vAlign w:val="center"/>
          </w:tcPr>
          <w:p w14:paraId="5DFB8831" w14:textId="77777777" w:rsidR="001C19F3" w:rsidRDefault="001C19F3" w:rsidP="00521305">
            <w:pPr>
              <w:spacing w:before="40" w:after="40"/>
              <w:ind w:left="40" w:right="40"/>
              <w:jc w:val="center"/>
              <w:rPr>
                <w:rFonts w:eastAsia="Century Gothic" w:cs="Century Gothic"/>
                <w:color w:val="000000"/>
                <w:sz w:val="18"/>
                <w:szCs w:val="18"/>
              </w:rPr>
            </w:pPr>
            <w:r>
              <w:rPr>
                <w:rFonts w:eastAsia="Century Gothic" w:cs="Century Gothic"/>
                <w:color w:val="000000"/>
                <w:sz w:val="18"/>
                <w:szCs w:val="18"/>
              </w:rPr>
              <w:t>3 (0.1%)</w:t>
            </w:r>
          </w:p>
        </w:tc>
        <w:tc>
          <w:tcPr>
            <w:tcW w:w="1265" w:type="dxa"/>
            <w:tcMar>
              <w:top w:w="0" w:type="dxa"/>
              <w:left w:w="0" w:type="dxa"/>
              <w:bottom w:w="0" w:type="dxa"/>
              <w:right w:w="0" w:type="dxa"/>
            </w:tcMar>
            <w:vAlign w:val="center"/>
          </w:tcPr>
          <w:p w14:paraId="15A49599" w14:textId="77777777" w:rsidR="001C19F3" w:rsidRDefault="001C19F3" w:rsidP="00521305">
            <w:pPr>
              <w:spacing w:before="40" w:after="40"/>
              <w:ind w:left="40" w:right="40"/>
              <w:jc w:val="center"/>
              <w:rPr>
                <w:rFonts w:eastAsia="Century Gothic" w:cs="Century Gothic"/>
                <w:color w:val="000000"/>
                <w:sz w:val="18"/>
                <w:szCs w:val="18"/>
              </w:rPr>
            </w:pPr>
          </w:p>
        </w:tc>
        <w:tc>
          <w:tcPr>
            <w:tcW w:w="1134" w:type="dxa"/>
            <w:tcMar>
              <w:top w:w="0" w:type="dxa"/>
              <w:left w:w="0" w:type="dxa"/>
              <w:bottom w:w="0" w:type="dxa"/>
              <w:right w:w="0" w:type="dxa"/>
            </w:tcMar>
            <w:vAlign w:val="center"/>
          </w:tcPr>
          <w:p w14:paraId="660BC13B" w14:textId="77777777" w:rsidR="001C19F3" w:rsidRDefault="001C19F3" w:rsidP="00521305">
            <w:pPr>
              <w:spacing w:before="40" w:after="40"/>
              <w:ind w:left="40" w:right="40"/>
              <w:jc w:val="center"/>
              <w:rPr>
                <w:rFonts w:eastAsia="Century Gothic" w:cs="Century Gothic"/>
                <w:color w:val="000000"/>
                <w:sz w:val="18"/>
                <w:szCs w:val="18"/>
              </w:rPr>
            </w:pPr>
          </w:p>
        </w:tc>
        <w:tc>
          <w:tcPr>
            <w:tcW w:w="1145" w:type="dxa"/>
            <w:tcMar>
              <w:top w:w="0" w:type="dxa"/>
              <w:left w:w="0" w:type="dxa"/>
              <w:bottom w:w="0" w:type="dxa"/>
              <w:right w:w="0" w:type="dxa"/>
            </w:tcMar>
            <w:vAlign w:val="center"/>
          </w:tcPr>
          <w:p w14:paraId="6C00EC8B" w14:textId="77777777" w:rsidR="001C19F3" w:rsidRDefault="001C19F3" w:rsidP="00521305">
            <w:pPr>
              <w:spacing w:before="40" w:after="40"/>
              <w:ind w:left="40" w:right="40"/>
              <w:jc w:val="center"/>
              <w:rPr>
                <w:rFonts w:eastAsia="Century Gothic" w:cs="Century Gothic"/>
                <w:color w:val="000000"/>
                <w:sz w:val="18"/>
                <w:szCs w:val="18"/>
              </w:rPr>
            </w:pPr>
          </w:p>
        </w:tc>
      </w:tr>
      <w:tr w:rsidR="001C19F3" w14:paraId="5AD5D522" w14:textId="77777777" w:rsidTr="00521305">
        <w:trPr>
          <w:cantSplit/>
          <w:trHeight w:val="288"/>
          <w:jc w:val="center"/>
        </w:trPr>
        <w:tc>
          <w:tcPr>
            <w:tcW w:w="3818" w:type="dxa"/>
            <w:tcMar>
              <w:top w:w="0" w:type="dxa"/>
              <w:left w:w="0" w:type="dxa"/>
              <w:bottom w:w="0" w:type="dxa"/>
              <w:right w:w="0" w:type="dxa"/>
            </w:tcMar>
            <w:vAlign w:val="center"/>
            <w:hideMark/>
          </w:tcPr>
          <w:p w14:paraId="06194BD1" w14:textId="77777777" w:rsidR="001C19F3" w:rsidRPr="00216A96" w:rsidRDefault="001C19F3" w:rsidP="00521305">
            <w:pPr>
              <w:spacing w:before="40" w:after="40"/>
              <w:ind w:left="160" w:right="40"/>
              <w:rPr>
                <w:rFonts w:cstheme="minorHAnsi"/>
                <w:b/>
              </w:rPr>
            </w:pPr>
            <w:r w:rsidRPr="00216A96">
              <w:rPr>
                <w:rFonts w:cstheme="minorHAnsi"/>
                <w:b/>
                <w:color w:val="000000"/>
                <w:sz w:val="18"/>
                <w:szCs w:val="18"/>
              </w:rPr>
              <w:t>Household composition</w:t>
            </w:r>
          </w:p>
        </w:tc>
        <w:tc>
          <w:tcPr>
            <w:tcW w:w="1286" w:type="dxa"/>
            <w:tcMar>
              <w:top w:w="0" w:type="dxa"/>
              <w:left w:w="0" w:type="dxa"/>
              <w:bottom w:w="0" w:type="dxa"/>
              <w:right w:w="0" w:type="dxa"/>
            </w:tcMar>
            <w:vAlign w:val="center"/>
          </w:tcPr>
          <w:p w14:paraId="137E44B4" w14:textId="77777777" w:rsidR="001C19F3" w:rsidRPr="00216A96" w:rsidRDefault="001C19F3" w:rsidP="00521305">
            <w:pPr>
              <w:spacing w:before="40" w:after="40"/>
              <w:ind w:left="40" w:right="40"/>
              <w:jc w:val="center"/>
              <w:rPr>
                <w:rFonts w:cstheme="minorHAnsi"/>
              </w:rPr>
            </w:pPr>
          </w:p>
        </w:tc>
        <w:tc>
          <w:tcPr>
            <w:tcW w:w="1265" w:type="dxa"/>
            <w:tcMar>
              <w:top w:w="0" w:type="dxa"/>
              <w:left w:w="0" w:type="dxa"/>
              <w:bottom w:w="0" w:type="dxa"/>
              <w:right w:w="0" w:type="dxa"/>
            </w:tcMar>
            <w:vAlign w:val="center"/>
          </w:tcPr>
          <w:p w14:paraId="6E1E7492" w14:textId="77777777" w:rsidR="001C19F3" w:rsidRPr="00216A96" w:rsidRDefault="001C19F3" w:rsidP="00521305">
            <w:pPr>
              <w:spacing w:before="40" w:after="40"/>
              <w:ind w:left="40" w:right="40"/>
              <w:jc w:val="center"/>
              <w:rPr>
                <w:rFonts w:cstheme="minorHAnsi"/>
              </w:rPr>
            </w:pPr>
          </w:p>
        </w:tc>
        <w:tc>
          <w:tcPr>
            <w:tcW w:w="1134" w:type="dxa"/>
            <w:tcMar>
              <w:top w:w="0" w:type="dxa"/>
              <w:left w:w="0" w:type="dxa"/>
              <w:bottom w:w="0" w:type="dxa"/>
              <w:right w:w="0" w:type="dxa"/>
            </w:tcMar>
            <w:vAlign w:val="center"/>
          </w:tcPr>
          <w:p w14:paraId="216AF44F" w14:textId="77777777" w:rsidR="001C19F3" w:rsidRPr="00216A96" w:rsidRDefault="001C19F3" w:rsidP="00521305">
            <w:pPr>
              <w:spacing w:before="40" w:after="40"/>
              <w:ind w:left="40" w:right="40"/>
              <w:jc w:val="center"/>
              <w:rPr>
                <w:rFonts w:cstheme="minorHAnsi"/>
              </w:rPr>
            </w:pPr>
          </w:p>
        </w:tc>
        <w:tc>
          <w:tcPr>
            <w:tcW w:w="1145" w:type="dxa"/>
            <w:tcMar>
              <w:top w:w="0" w:type="dxa"/>
              <w:left w:w="0" w:type="dxa"/>
              <w:bottom w:w="0" w:type="dxa"/>
              <w:right w:w="0" w:type="dxa"/>
            </w:tcMar>
            <w:vAlign w:val="center"/>
          </w:tcPr>
          <w:p w14:paraId="1F2B4A80" w14:textId="77777777" w:rsidR="001C19F3" w:rsidRPr="00216A96" w:rsidRDefault="001C19F3" w:rsidP="00521305">
            <w:pPr>
              <w:spacing w:before="40" w:after="40"/>
              <w:ind w:left="40" w:right="40"/>
              <w:jc w:val="center"/>
              <w:rPr>
                <w:rFonts w:cstheme="minorHAnsi"/>
              </w:rPr>
            </w:pPr>
          </w:p>
        </w:tc>
      </w:tr>
      <w:tr w:rsidR="001C19F3" w14:paraId="5C602F07" w14:textId="77777777" w:rsidTr="00521305">
        <w:trPr>
          <w:cantSplit/>
          <w:trHeight w:val="288"/>
          <w:jc w:val="center"/>
        </w:trPr>
        <w:tc>
          <w:tcPr>
            <w:tcW w:w="3818" w:type="dxa"/>
            <w:tcMar>
              <w:top w:w="0" w:type="dxa"/>
              <w:left w:w="0" w:type="dxa"/>
              <w:bottom w:w="0" w:type="dxa"/>
              <w:right w:w="0" w:type="dxa"/>
            </w:tcMar>
            <w:vAlign w:val="center"/>
            <w:hideMark/>
          </w:tcPr>
          <w:p w14:paraId="585E61E0"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Person living alone</w:t>
            </w:r>
          </w:p>
        </w:tc>
        <w:tc>
          <w:tcPr>
            <w:tcW w:w="1286" w:type="dxa"/>
            <w:tcMar>
              <w:top w:w="0" w:type="dxa"/>
              <w:left w:w="0" w:type="dxa"/>
              <w:bottom w:w="0" w:type="dxa"/>
              <w:right w:w="0" w:type="dxa"/>
            </w:tcMar>
            <w:vAlign w:val="center"/>
            <w:hideMark/>
          </w:tcPr>
          <w:p w14:paraId="37DDB720"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486 (24.1%)</w:t>
            </w:r>
          </w:p>
        </w:tc>
        <w:tc>
          <w:tcPr>
            <w:tcW w:w="1265" w:type="dxa"/>
            <w:tcMar>
              <w:top w:w="0" w:type="dxa"/>
              <w:left w:w="0" w:type="dxa"/>
              <w:bottom w:w="0" w:type="dxa"/>
              <w:right w:w="0" w:type="dxa"/>
            </w:tcMar>
            <w:vAlign w:val="center"/>
            <w:hideMark/>
          </w:tcPr>
          <w:p w14:paraId="4FC71DEA"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77 (17.4%)</w:t>
            </w:r>
          </w:p>
        </w:tc>
        <w:tc>
          <w:tcPr>
            <w:tcW w:w="1134" w:type="dxa"/>
            <w:tcMar>
              <w:top w:w="0" w:type="dxa"/>
              <w:left w:w="0" w:type="dxa"/>
              <w:bottom w:w="0" w:type="dxa"/>
              <w:right w:w="0" w:type="dxa"/>
            </w:tcMar>
            <w:vAlign w:val="center"/>
            <w:hideMark/>
          </w:tcPr>
          <w:p w14:paraId="24D38B4D"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248 (24.0%)</w:t>
            </w:r>
          </w:p>
        </w:tc>
        <w:tc>
          <w:tcPr>
            <w:tcW w:w="1145" w:type="dxa"/>
            <w:tcMar>
              <w:top w:w="0" w:type="dxa"/>
              <w:left w:w="0" w:type="dxa"/>
              <w:bottom w:w="0" w:type="dxa"/>
              <w:right w:w="0" w:type="dxa"/>
            </w:tcMar>
            <w:vAlign w:val="center"/>
            <w:hideMark/>
          </w:tcPr>
          <w:p w14:paraId="6293D506"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138 (29.2%)</w:t>
            </w:r>
          </w:p>
        </w:tc>
      </w:tr>
      <w:tr w:rsidR="001C19F3" w14:paraId="57CBAE9E" w14:textId="77777777" w:rsidTr="00521305">
        <w:trPr>
          <w:cantSplit/>
          <w:trHeight w:val="288"/>
          <w:jc w:val="center"/>
        </w:trPr>
        <w:tc>
          <w:tcPr>
            <w:tcW w:w="3818" w:type="dxa"/>
            <w:tcMar>
              <w:top w:w="0" w:type="dxa"/>
              <w:left w:w="0" w:type="dxa"/>
              <w:bottom w:w="0" w:type="dxa"/>
              <w:right w:w="0" w:type="dxa"/>
            </w:tcMar>
            <w:vAlign w:val="center"/>
            <w:hideMark/>
          </w:tcPr>
          <w:p w14:paraId="70F9164D"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Couple only</w:t>
            </w:r>
          </w:p>
        </w:tc>
        <w:tc>
          <w:tcPr>
            <w:tcW w:w="1286" w:type="dxa"/>
            <w:tcMar>
              <w:top w:w="0" w:type="dxa"/>
              <w:left w:w="0" w:type="dxa"/>
              <w:bottom w:w="0" w:type="dxa"/>
              <w:right w:w="0" w:type="dxa"/>
            </w:tcMar>
            <w:vAlign w:val="center"/>
            <w:hideMark/>
          </w:tcPr>
          <w:p w14:paraId="1ED9845B"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934 (46.3%)</w:t>
            </w:r>
          </w:p>
        </w:tc>
        <w:tc>
          <w:tcPr>
            <w:tcW w:w="1265" w:type="dxa"/>
            <w:tcMar>
              <w:top w:w="0" w:type="dxa"/>
              <w:left w:w="0" w:type="dxa"/>
              <w:bottom w:w="0" w:type="dxa"/>
              <w:right w:w="0" w:type="dxa"/>
            </w:tcMar>
            <w:vAlign w:val="center"/>
            <w:hideMark/>
          </w:tcPr>
          <w:p w14:paraId="19B75E9E"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258 (58.4%)</w:t>
            </w:r>
          </w:p>
        </w:tc>
        <w:tc>
          <w:tcPr>
            <w:tcW w:w="1134" w:type="dxa"/>
            <w:tcMar>
              <w:top w:w="0" w:type="dxa"/>
              <w:left w:w="0" w:type="dxa"/>
              <w:bottom w:w="0" w:type="dxa"/>
              <w:right w:w="0" w:type="dxa"/>
            </w:tcMar>
            <w:vAlign w:val="center"/>
            <w:hideMark/>
          </w:tcPr>
          <w:p w14:paraId="2AB598C9"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494 (47.8%)</w:t>
            </w:r>
          </w:p>
        </w:tc>
        <w:tc>
          <w:tcPr>
            <w:tcW w:w="1145" w:type="dxa"/>
            <w:tcMar>
              <w:top w:w="0" w:type="dxa"/>
              <w:left w:w="0" w:type="dxa"/>
              <w:bottom w:w="0" w:type="dxa"/>
              <w:right w:w="0" w:type="dxa"/>
            </w:tcMar>
            <w:vAlign w:val="center"/>
            <w:hideMark/>
          </w:tcPr>
          <w:p w14:paraId="13B31224"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157 (33.3%)</w:t>
            </w:r>
          </w:p>
        </w:tc>
      </w:tr>
      <w:tr w:rsidR="001C19F3" w14:paraId="369C20FB" w14:textId="77777777" w:rsidTr="00521305">
        <w:trPr>
          <w:cantSplit/>
          <w:trHeight w:val="288"/>
          <w:jc w:val="center"/>
        </w:trPr>
        <w:tc>
          <w:tcPr>
            <w:tcW w:w="3818" w:type="dxa"/>
            <w:tcMar>
              <w:top w:w="0" w:type="dxa"/>
              <w:left w:w="0" w:type="dxa"/>
              <w:bottom w:w="0" w:type="dxa"/>
              <w:right w:w="0" w:type="dxa"/>
            </w:tcMar>
            <w:vAlign w:val="center"/>
            <w:hideMark/>
          </w:tcPr>
          <w:p w14:paraId="3BF6BE70"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Couple</w:t>
            </w:r>
            <w:r>
              <w:rPr>
                <w:rFonts w:cstheme="minorHAnsi"/>
                <w:color w:val="000000"/>
                <w:sz w:val="18"/>
                <w:szCs w:val="18"/>
              </w:rPr>
              <w:t xml:space="preserve">, </w:t>
            </w:r>
            <w:r w:rsidRPr="00216A96">
              <w:rPr>
                <w:rFonts w:cstheme="minorHAnsi"/>
                <w:color w:val="000000"/>
                <w:sz w:val="18"/>
                <w:szCs w:val="18"/>
              </w:rPr>
              <w:t>non-dependent children</w:t>
            </w:r>
          </w:p>
        </w:tc>
        <w:tc>
          <w:tcPr>
            <w:tcW w:w="1286" w:type="dxa"/>
            <w:tcMar>
              <w:top w:w="0" w:type="dxa"/>
              <w:left w:w="0" w:type="dxa"/>
              <w:bottom w:w="0" w:type="dxa"/>
              <w:right w:w="0" w:type="dxa"/>
            </w:tcMar>
            <w:vAlign w:val="center"/>
            <w:hideMark/>
          </w:tcPr>
          <w:p w14:paraId="03F49CC4"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168 (8.3%)</w:t>
            </w:r>
          </w:p>
        </w:tc>
        <w:tc>
          <w:tcPr>
            <w:tcW w:w="1265" w:type="dxa"/>
            <w:tcMar>
              <w:top w:w="0" w:type="dxa"/>
              <w:left w:w="0" w:type="dxa"/>
              <w:bottom w:w="0" w:type="dxa"/>
              <w:right w:w="0" w:type="dxa"/>
            </w:tcMar>
            <w:vAlign w:val="center"/>
            <w:hideMark/>
          </w:tcPr>
          <w:p w14:paraId="5A2EC905"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30 (6.8%)</w:t>
            </w:r>
          </w:p>
        </w:tc>
        <w:tc>
          <w:tcPr>
            <w:tcW w:w="1134" w:type="dxa"/>
            <w:tcMar>
              <w:top w:w="0" w:type="dxa"/>
              <w:left w:w="0" w:type="dxa"/>
              <w:bottom w:w="0" w:type="dxa"/>
              <w:right w:w="0" w:type="dxa"/>
            </w:tcMar>
            <w:vAlign w:val="center"/>
            <w:hideMark/>
          </w:tcPr>
          <w:p w14:paraId="4FE29909"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90 (8.7%)</w:t>
            </w:r>
          </w:p>
        </w:tc>
        <w:tc>
          <w:tcPr>
            <w:tcW w:w="1145" w:type="dxa"/>
            <w:tcMar>
              <w:top w:w="0" w:type="dxa"/>
              <w:left w:w="0" w:type="dxa"/>
              <w:bottom w:w="0" w:type="dxa"/>
              <w:right w:w="0" w:type="dxa"/>
            </w:tcMar>
            <w:vAlign w:val="center"/>
            <w:hideMark/>
          </w:tcPr>
          <w:p w14:paraId="4315CE67"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43 (9.1%)</w:t>
            </w:r>
          </w:p>
        </w:tc>
      </w:tr>
      <w:tr w:rsidR="001C19F3" w14:paraId="2CE56323" w14:textId="77777777" w:rsidTr="00521305">
        <w:trPr>
          <w:cantSplit/>
          <w:trHeight w:val="288"/>
          <w:jc w:val="center"/>
        </w:trPr>
        <w:tc>
          <w:tcPr>
            <w:tcW w:w="3818" w:type="dxa"/>
            <w:tcMar>
              <w:top w:w="0" w:type="dxa"/>
              <w:left w:w="0" w:type="dxa"/>
              <w:bottom w:w="0" w:type="dxa"/>
              <w:right w:w="0" w:type="dxa"/>
            </w:tcMar>
            <w:vAlign w:val="center"/>
            <w:hideMark/>
          </w:tcPr>
          <w:p w14:paraId="1EAA15AD"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Couple</w:t>
            </w:r>
            <w:r>
              <w:rPr>
                <w:rFonts w:cstheme="minorHAnsi"/>
                <w:color w:val="000000"/>
                <w:sz w:val="18"/>
                <w:szCs w:val="18"/>
              </w:rPr>
              <w:t xml:space="preserve">, </w:t>
            </w:r>
            <w:r w:rsidRPr="00216A96">
              <w:rPr>
                <w:rFonts w:cstheme="minorHAnsi"/>
                <w:color w:val="000000"/>
                <w:sz w:val="18"/>
                <w:szCs w:val="18"/>
              </w:rPr>
              <w:t>dependent children</w:t>
            </w:r>
          </w:p>
        </w:tc>
        <w:tc>
          <w:tcPr>
            <w:tcW w:w="1286" w:type="dxa"/>
            <w:tcMar>
              <w:top w:w="0" w:type="dxa"/>
              <w:left w:w="0" w:type="dxa"/>
              <w:bottom w:w="0" w:type="dxa"/>
              <w:right w:w="0" w:type="dxa"/>
            </w:tcMar>
            <w:vAlign w:val="center"/>
            <w:hideMark/>
          </w:tcPr>
          <w:p w14:paraId="7E0E552D"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148 (7.3%)</w:t>
            </w:r>
          </w:p>
        </w:tc>
        <w:tc>
          <w:tcPr>
            <w:tcW w:w="1265" w:type="dxa"/>
            <w:tcMar>
              <w:top w:w="0" w:type="dxa"/>
              <w:left w:w="0" w:type="dxa"/>
              <w:bottom w:w="0" w:type="dxa"/>
              <w:right w:w="0" w:type="dxa"/>
            </w:tcMar>
            <w:vAlign w:val="center"/>
            <w:hideMark/>
          </w:tcPr>
          <w:p w14:paraId="06E69C8F"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39 (8.8%)</w:t>
            </w:r>
          </w:p>
        </w:tc>
        <w:tc>
          <w:tcPr>
            <w:tcW w:w="1134" w:type="dxa"/>
            <w:tcMar>
              <w:top w:w="0" w:type="dxa"/>
              <w:left w:w="0" w:type="dxa"/>
              <w:bottom w:w="0" w:type="dxa"/>
              <w:right w:w="0" w:type="dxa"/>
            </w:tcMar>
            <w:vAlign w:val="center"/>
            <w:hideMark/>
          </w:tcPr>
          <w:p w14:paraId="5810BB24"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75 (7.3%)</w:t>
            </w:r>
          </w:p>
        </w:tc>
        <w:tc>
          <w:tcPr>
            <w:tcW w:w="1145" w:type="dxa"/>
            <w:tcMar>
              <w:top w:w="0" w:type="dxa"/>
              <w:left w:w="0" w:type="dxa"/>
              <w:bottom w:w="0" w:type="dxa"/>
              <w:right w:w="0" w:type="dxa"/>
            </w:tcMar>
            <w:vAlign w:val="center"/>
            <w:hideMark/>
          </w:tcPr>
          <w:p w14:paraId="14E83FD4"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25 (5.3%)</w:t>
            </w:r>
          </w:p>
        </w:tc>
      </w:tr>
      <w:tr w:rsidR="001C19F3" w14:paraId="66963781" w14:textId="77777777" w:rsidTr="00521305">
        <w:trPr>
          <w:cantSplit/>
          <w:trHeight w:val="288"/>
          <w:jc w:val="center"/>
        </w:trPr>
        <w:tc>
          <w:tcPr>
            <w:tcW w:w="3818" w:type="dxa"/>
            <w:tcMar>
              <w:top w:w="0" w:type="dxa"/>
              <w:left w:w="0" w:type="dxa"/>
              <w:bottom w:w="0" w:type="dxa"/>
              <w:right w:w="0" w:type="dxa"/>
            </w:tcMar>
            <w:vAlign w:val="center"/>
            <w:hideMark/>
          </w:tcPr>
          <w:p w14:paraId="7718F540"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lastRenderedPageBreak/>
              <w:t>Single parent</w:t>
            </w:r>
            <w:r>
              <w:rPr>
                <w:rFonts w:cstheme="minorHAnsi"/>
                <w:color w:val="000000"/>
                <w:sz w:val="18"/>
                <w:szCs w:val="18"/>
              </w:rPr>
              <w:t xml:space="preserve">, </w:t>
            </w:r>
            <w:r w:rsidRPr="00216A96">
              <w:rPr>
                <w:rFonts w:cstheme="minorHAnsi"/>
                <w:color w:val="000000"/>
                <w:sz w:val="18"/>
                <w:szCs w:val="18"/>
              </w:rPr>
              <w:t xml:space="preserve">non-dependent </w:t>
            </w:r>
            <w:r>
              <w:rPr>
                <w:rFonts w:cstheme="minorHAnsi"/>
                <w:color w:val="000000"/>
                <w:sz w:val="18"/>
                <w:szCs w:val="18"/>
              </w:rPr>
              <w:t>children</w:t>
            </w:r>
          </w:p>
        </w:tc>
        <w:tc>
          <w:tcPr>
            <w:tcW w:w="1286" w:type="dxa"/>
            <w:tcMar>
              <w:top w:w="0" w:type="dxa"/>
              <w:left w:w="0" w:type="dxa"/>
              <w:bottom w:w="0" w:type="dxa"/>
              <w:right w:w="0" w:type="dxa"/>
            </w:tcMar>
            <w:vAlign w:val="center"/>
            <w:hideMark/>
          </w:tcPr>
          <w:p w14:paraId="138599A7"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85 (4.2%)</w:t>
            </w:r>
          </w:p>
        </w:tc>
        <w:tc>
          <w:tcPr>
            <w:tcW w:w="1265" w:type="dxa"/>
            <w:tcMar>
              <w:top w:w="0" w:type="dxa"/>
              <w:left w:w="0" w:type="dxa"/>
              <w:bottom w:w="0" w:type="dxa"/>
              <w:right w:w="0" w:type="dxa"/>
            </w:tcMar>
            <w:vAlign w:val="center"/>
            <w:hideMark/>
          </w:tcPr>
          <w:p w14:paraId="076469D2"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14 (3.2%)</w:t>
            </w:r>
          </w:p>
        </w:tc>
        <w:tc>
          <w:tcPr>
            <w:tcW w:w="1134" w:type="dxa"/>
            <w:tcMar>
              <w:top w:w="0" w:type="dxa"/>
              <w:left w:w="0" w:type="dxa"/>
              <w:bottom w:w="0" w:type="dxa"/>
              <w:right w:w="0" w:type="dxa"/>
            </w:tcMar>
            <w:vAlign w:val="center"/>
            <w:hideMark/>
          </w:tcPr>
          <w:p w14:paraId="323C6213"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28 (2.7%)</w:t>
            </w:r>
          </w:p>
        </w:tc>
        <w:tc>
          <w:tcPr>
            <w:tcW w:w="1145" w:type="dxa"/>
            <w:tcMar>
              <w:top w:w="0" w:type="dxa"/>
              <w:left w:w="0" w:type="dxa"/>
              <w:bottom w:w="0" w:type="dxa"/>
              <w:right w:w="0" w:type="dxa"/>
            </w:tcMar>
            <w:vAlign w:val="center"/>
            <w:hideMark/>
          </w:tcPr>
          <w:p w14:paraId="518B4300"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39 (8.3%)</w:t>
            </w:r>
          </w:p>
        </w:tc>
      </w:tr>
      <w:tr w:rsidR="001C19F3" w14:paraId="36164AFD" w14:textId="77777777" w:rsidTr="00521305">
        <w:trPr>
          <w:cantSplit/>
          <w:trHeight w:val="288"/>
          <w:jc w:val="center"/>
        </w:trPr>
        <w:tc>
          <w:tcPr>
            <w:tcW w:w="3818" w:type="dxa"/>
            <w:tcMar>
              <w:top w:w="0" w:type="dxa"/>
              <w:left w:w="0" w:type="dxa"/>
              <w:bottom w:w="0" w:type="dxa"/>
              <w:right w:w="0" w:type="dxa"/>
            </w:tcMar>
            <w:vAlign w:val="center"/>
            <w:hideMark/>
          </w:tcPr>
          <w:p w14:paraId="2BDC4E45"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Single parent</w:t>
            </w:r>
            <w:r>
              <w:rPr>
                <w:rFonts w:cstheme="minorHAnsi"/>
                <w:color w:val="000000"/>
                <w:sz w:val="18"/>
                <w:szCs w:val="18"/>
              </w:rPr>
              <w:t xml:space="preserve">, </w:t>
            </w:r>
            <w:r w:rsidRPr="00216A96">
              <w:rPr>
                <w:rFonts w:cstheme="minorHAnsi"/>
                <w:color w:val="000000"/>
                <w:sz w:val="18"/>
                <w:szCs w:val="18"/>
              </w:rPr>
              <w:t xml:space="preserve">dependent </w:t>
            </w:r>
            <w:r>
              <w:rPr>
                <w:rFonts w:cstheme="minorHAnsi"/>
                <w:color w:val="000000"/>
                <w:sz w:val="18"/>
                <w:szCs w:val="18"/>
              </w:rPr>
              <w:t>children</w:t>
            </w:r>
          </w:p>
        </w:tc>
        <w:tc>
          <w:tcPr>
            <w:tcW w:w="1286" w:type="dxa"/>
            <w:tcMar>
              <w:top w:w="0" w:type="dxa"/>
              <w:left w:w="0" w:type="dxa"/>
              <w:bottom w:w="0" w:type="dxa"/>
              <w:right w:w="0" w:type="dxa"/>
            </w:tcMar>
            <w:vAlign w:val="center"/>
            <w:hideMark/>
          </w:tcPr>
          <w:p w14:paraId="3DB370F4"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36 (1.8%)</w:t>
            </w:r>
          </w:p>
        </w:tc>
        <w:tc>
          <w:tcPr>
            <w:tcW w:w="1265" w:type="dxa"/>
            <w:tcMar>
              <w:top w:w="0" w:type="dxa"/>
              <w:left w:w="0" w:type="dxa"/>
              <w:bottom w:w="0" w:type="dxa"/>
              <w:right w:w="0" w:type="dxa"/>
            </w:tcMar>
            <w:vAlign w:val="center"/>
            <w:hideMark/>
          </w:tcPr>
          <w:p w14:paraId="280109D9"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 (0.5%)</w:t>
            </w:r>
          </w:p>
        </w:tc>
        <w:tc>
          <w:tcPr>
            <w:tcW w:w="1134" w:type="dxa"/>
            <w:tcMar>
              <w:top w:w="0" w:type="dxa"/>
              <w:left w:w="0" w:type="dxa"/>
              <w:bottom w:w="0" w:type="dxa"/>
              <w:right w:w="0" w:type="dxa"/>
            </w:tcMar>
            <w:vAlign w:val="center"/>
            <w:hideMark/>
          </w:tcPr>
          <w:p w14:paraId="4AE38F11"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22 (2.1%)</w:t>
            </w:r>
          </w:p>
        </w:tc>
        <w:tc>
          <w:tcPr>
            <w:tcW w:w="1145" w:type="dxa"/>
            <w:tcMar>
              <w:top w:w="0" w:type="dxa"/>
              <w:left w:w="0" w:type="dxa"/>
              <w:bottom w:w="0" w:type="dxa"/>
              <w:right w:w="0" w:type="dxa"/>
            </w:tcMar>
            <w:vAlign w:val="center"/>
            <w:hideMark/>
          </w:tcPr>
          <w:p w14:paraId="16F452B9"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12 (2.5%)</w:t>
            </w:r>
          </w:p>
        </w:tc>
      </w:tr>
      <w:tr w:rsidR="001C19F3" w14:paraId="284EF932" w14:textId="77777777" w:rsidTr="00521305">
        <w:trPr>
          <w:cantSplit/>
          <w:trHeight w:val="288"/>
          <w:jc w:val="center"/>
        </w:trPr>
        <w:tc>
          <w:tcPr>
            <w:tcW w:w="3818" w:type="dxa"/>
            <w:tcMar>
              <w:top w:w="0" w:type="dxa"/>
              <w:left w:w="0" w:type="dxa"/>
              <w:bottom w:w="0" w:type="dxa"/>
              <w:right w:w="0" w:type="dxa"/>
            </w:tcMar>
            <w:vAlign w:val="center"/>
            <w:hideMark/>
          </w:tcPr>
          <w:p w14:paraId="1047A634" w14:textId="77777777" w:rsidR="001C19F3" w:rsidRPr="00216A96" w:rsidRDefault="001C19F3" w:rsidP="00521305">
            <w:pPr>
              <w:spacing w:before="40" w:after="40"/>
              <w:ind w:left="269" w:right="40"/>
              <w:rPr>
                <w:rFonts w:cstheme="minorHAnsi"/>
                <w:color w:val="000000"/>
                <w:sz w:val="18"/>
                <w:szCs w:val="18"/>
              </w:rPr>
            </w:pPr>
            <w:r w:rsidRPr="00216A96">
              <w:rPr>
                <w:rFonts w:cstheme="minorHAnsi"/>
                <w:color w:val="000000"/>
                <w:sz w:val="18"/>
                <w:szCs w:val="18"/>
              </w:rPr>
              <w:t>Other household type</w:t>
            </w:r>
          </w:p>
        </w:tc>
        <w:tc>
          <w:tcPr>
            <w:tcW w:w="1286" w:type="dxa"/>
            <w:tcMar>
              <w:top w:w="0" w:type="dxa"/>
              <w:left w:w="0" w:type="dxa"/>
              <w:bottom w:w="0" w:type="dxa"/>
              <w:right w:w="0" w:type="dxa"/>
            </w:tcMar>
            <w:vAlign w:val="center"/>
            <w:hideMark/>
          </w:tcPr>
          <w:p w14:paraId="27BFC7A6"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161 (8.0%)</w:t>
            </w:r>
          </w:p>
        </w:tc>
        <w:tc>
          <w:tcPr>
            <w:tcW w:w="1265" w:type="dxa"/>
            <w:tcMar>
              <w:top w:w="0" w:type="dxa"/>
              <w:left w:w="0" w:type="dxa"/>
              <w:bottom w:w="0" w:type="dxa"/>
              <w:right w:w="0" w:type="dxa"/>
            </w:tcMar>
            <w:vAlign w:val="center"/>
            <w:hideMark/>
          </w:tcPr>
          <w:p w14:paraId="035AEBF9"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22 (5.0%)</w:t>
            </w:r>
          </w:p>
        </w:tc>
        <w:tc>
          <w:tcPr>
            <w:tcW w:w="1134" w:type="dxa"/>
            <w:tcMar>
              <w:top w:w="0" w:type="dxa"/>
              <w:left w:w="0" w:type="dxa"/>
              <w:bottom w:w="0" w:type="dxa"/>
              <w:right w:w="0" w:type="dxa"/>
            </w:tcMar>
            <w:vAlign w:val="center"/>
            <w:hideMark/>
          </w:tcPr>
          <w:p w14:paraId="521B5991"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77 (7.4%)</w:t>
            </w:r>
          </w:p>
        </w:tc>
        <w:tc>
          <w:tcPr>
            <w:tcW w:w="1145" w:type="dxa"/>
            <w:tcMar>
              <w:top w:w="0" w:type="dxa"/>
              <w:left w:w="0" w:type="dxa"/>
              <w:bottom w:w="0" w:type="dxa"/>
              <w:right w:w="0" w:type="dxa"/>
            </w:tcMar>
            <w:vAlign w:val="center"/>
            <w:hideMark/>
          </w:tcPr>
          <w:p w14:paraId="7E47ECA9" w14:textId="77777777" w:rsidR="001C19F3" w:rsidRPr="00216A96" w:rsidRDefault="001C19F3" w:rsidP="00521305">
            <w:pPr>
              <w:spacing w:before="40" w:after="40"/>
              <w:ind w:left="40" w:right="40"/>
              <w:jc w:val="center"/>
              <w:rPr>
                <w:rFonts w:cstheme="minorHAnsi"/>
              </w:rPr>
            </w:pPr>
            <w:r w:rsidRPr="00216A96">
              <w:rPr>
                <w:rFonts w:cstheme="minorHAnsi"/>
                <w:color w:val="000000"/>
                <w:sz w:val="18"/>
                <w:szCs w:val="18"/>
              </w:rPr>
              <w:t>58 (12.3%)</w:t>
            </w:r>
          </w:p>
        </w:tc>
      </w:tr>
      <w:tr w:rsidR="001C19F3" w:rsidRPr="00216A96" w14:paraId="24111069" w14:textId="77777777" w:rsidTr="00521305">
        <w:trPr>
          <w:cantSplit/>
          <w:trHeight w:val="288"/>
          <w:jc w:val="center"/>
        </w:trPr>
        <w:tc>
          <w:tcPr>
            <w:tcW w:w="3818" w:type="dxa"/>
            <w:tcMar>
              <w:top w:w="0" w:type="dxa"/>
              <w:left w:w="0" w:type="dxa"/>
              <w:bottom w:w="0" w:type="dxa"/>
              <w:right w:w="0" w:type="dxa"/>
            </w:tcMar>
            <w:vAlign w:val="center"/>
            <w:hideMark/>
          </w:tcPr>
          <w:p w14:paraId="78BAB8EB" w14:textId="77777777" w:rsidR="001C19F3" w:rsidRPr="00216A96" w:rsidRDefault="001C19F3" w:rsidP="00521305">
            <w:pPr>
              <w:spacing w:before="40" w:after="40"/>
              <w:ind w:left="160" w:right="40"/>
              <w:rPr>
                <w:rFonts w:cstheme="minorHAnsi"/>
                <w:b/>
              </w:rPr>
            </w:pPr>
            <w:r w:rsidRPr="00216A96">
              <w:rPr>
                <w:rFonts w:cstheme="minorHAnsi"/>
                <w:b/>
                <w:color w:val="000000"/>
                <w:sz w:val="18"/>
                <w:szCs w:val="18"/>
              </w:rPr>
              <w:t>Highest level of education</w:t>
            </w:r>
          </w:p>
        </w:tc>
        <w:tc>
          <w:tcPr>
            <w:tcW w:w="1286" w:type="dxa"/>
            <w:tcMar>
              <w:top w:w="0" w:type="dxa"/>
              <w:left w:w="0" w:type="dxa"/>
              <w:bottom w:w="0" w:type="dxa"/>
              <w:right w:w="0" w:type="dxa"/>
            </w:tcMar>
            <w:vAlign w:val="center"/>
          </w:tcPr>
          <w:p w14:paraId="2E5513B2" w14:textId="77777777" w:rsidR="001C19F3" w:rsidRPr="00216A96" w:rsidRDefault="001C19F3" w:rsidP="00521305">
            <w:pPr>
              <w:spacing w:before="40" w:after="40"/>
              <w:ind w:left="40" w:right="40"/>
              <w:jc w:val="center"/>
              <w:rPr>
                <w:rFonts w:cstheme="minorHAnsi"/>
                <w:b/>
              </w:rPr>
            </w:pPr>
          </w:p>
        </w:tc>
        <w:tc>
          <w:tcPr>
            <w:tcW w:w="1265" w:type="dxa"/>
            <w:tcMar>
              <w:top w:w="0" w:type="dxa"/>
              <w:left w:w="0" w:type="dxa"/>
              <w:bottom w:w="0" w:type="dxa"/>
              <w:right w:w="0" w:type="dxa"/>
            </w:tcMar>
            <w:vAlign w:val="center"/>
          </w:tcPr>
          <w:p w14:paraId="10E1651D" w14:textId="77777777" w:rsidR="001C19F3" w:rsidRPr="00216A96" w:rsidRDefault="001C19F3" w:rsidP="00521305">
            <w:pPr>
              <w:spacing w:before="40" w:after="40"/>
              <w:ind w:left="40" w:right="40"/>
              <w:jc w:val="center"/>
              <w:rPr>
                <w:rFonts w:cstheme="minorHAnsi"/>
                <w:b/>
              </w:rPr>
            </w:pPr>
          </w:p>
        </w:tc>
        <w:tc>
          <w:tcPr>
            <w:tcW w:w="1134" w:type="dxa"/>
            <w:tcMar>
              <w:top w:w="0" w:type="dxa"/>
              <w:left w:w="0" w:type="dxa"/>
              <w:bottom w:w="0" w:type="dxa"/>
              <w:right w:w="0" w:type="dxa"/>
            </w:tcMar>
            <w:vAlign w:val="center"/>
          </w:tcPr>
          <w:p w14:paraId="31F0CE05" w14:textId="77777777" w:rsidR="001C19F3" w:rsidRPr="00216A96" w:rsidRDefault="001C19F3" w:rsidP="00521305">
            <w:pPr>
              <w:spacing w:before="40" w:after="40"/>
              <w:ind w:left="40" w:right="40"/>
              <w:jc w:val="center"/>
              <w:rPr>
                <w:rFonts w:cstheme="minorHAnsi"/>
                <w:b/>
              </w:rPr>
            </w:pPr>
          </w:p>
        </w:tc>
        <w:tc>
          <w:tcPr>
            <w:tcW w:w="1145" w:type="dxa"/>
            <w:tcMar>
              <w:top w:w="0" w:type="dxa"/>
              <w:left w:w="0" w:type="dxa"/>
              <w:bottom w:w="0" w:type="dxa"/>
              <w:right w:w="0" w:type="dxa"/>
            </w:tcMar>
            <w:vAlign w:val="center"/>
          </w:tcPr>
          <w:p w14:paraId="7E1C7067" w14:textId="77777777" w:rsidR="001C19F3" w:rsidRPr="00216A96" w:rsidRDefault="001C19F3" w:rsidP="00521305">
            <w:pPr>
              <w:spacing w:before="40" w:after="40"/>
              <w:ind w:left="40" w:right="40"/>
              <w:jc w:val="center"/>
              <w:rPr>
                <w:rFonts w:cstheme="minorHAnsi"/>
                <w:b/>
              </w:rPr>
            </w:pPr>
          </w:p>
        </w:tc>
      </w:tr>
      <w:tr w:rsidR="001C19F3" w14:paraId="2356EF6C" w14:textId="77777777" w:rsidTr="00521305">
        <w:trPr>
          <w:cantSplit/>
          <w:trHeight w:val="288"/>
          <w:jc w:val="center"/>
        </w:trPr>
        <w:tc>
          <w:tcPr>
            <w:tcW w:w="3818" w:type="dxa"/>
            <w:tcMar>
              <w:top w:w="0" w:type="dxa"/>
              <w:left w:w="0" w:type="dxa"/>
              <w:bottom w:w="0" w:type="dxa"/>
              <w:right w:w="0" w:type="dxa"/>
            </w:tcMar>
            <w:hideMark/>
          </w:tcPr>
          <w:p w14:paraId="3DAF62B0"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Year 9 or below</w:t>
            </w:r>
          </w:p>
        </w:tc>
        <w:tc>
          <w:tcPr>
            <w:tcW w:w="1286" w:type="dxa"/>
            <w:tcMar>
              <w:top w:w="0" w:type="dxa"/>
              <w:left w:w="0" w:type="dxa"/>
              <w:bottom w:w="0" w:type="dxa"/>
              <w:right w:w="0" w:type="dxa"/>
            </w:tcMar>
            <w:hideMark/>
          </w:tcPr>
          <w:p w14:paraId="0C69CBEA"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427 (21.2%)</w:t>
            </w:r>
          </w:p>
        </w:tc>
        <w:tc>
          <w:tcPr>
            <w:tcW w:w="1265" w:type="dxa"/>
            <w:tcMar>
              <w:top w:w="0" w:type="dxa"/>
              <w:left w:w="0" w:type="dxa"/>
              <w:bottom w:w="0" w:type="dxa"/>
              <w:right w:w="0" w:type="dxa"/>
            </w:tcMar>
            <w:hideMark/>
          </w:tcPr>
          <w:p w14:paraId="51C0788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77 (17.6%)</w:t>
            </w:r>
          </w:p>
        </w:tc>
        <w:tc>
          <w:tcPr>
            <w:tcW w:w="1134" w:type="dxa"/>
            <w:tcMar>
              <w:top w:w="0" w:type="dxa"/>
              <w:left w:w="0" w:type="dxa"/>
              <w:bottom w:w="0" w:type="dxa"/>
              <w:right w:w="0" w:type="dxa"/>
            </w:tcMar>
            <w:hideMark/>
          </w:tcPr>
          <w:p w14:paraId="5FDD5099"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215 (21.0%)</w:t>
            </w:r>
          </w:p>
        </w:tc>
        <w:tc>
          <w:tcPr>
            <w:tcW w:w="1145" w:type="dxa"/>
            <w:tcMar>
              <w:top w:w="0" w:type="dxa"/>
              <w:left w:w="0" w:type="dxa"/>
              <w:bottom w:w="0" w:type="dxa"/>
              <w:right w:w="0" w:type="dxa"/>
            </w:tcMar>
            <w:hideMark/>
          </w:tcPr>
          <w:p w14:paraId="4869F132"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124 (26.7%)</w:t>
            </w:r>
          </w:p>
        </w:tc>
      </w:tr>
      <w:tr w:rsidR="001C19F3" w14:paraId="41700257" w14:textId="77777777" w:rsidTr="00521305">
        <w:trPr>
          <w:cantSplit/>
          <w:trHeight w:val="288"/>
          <w:jc w:val="center"/>
        </w:trPr>
        <w:tc>
          <w:tcPr>
            <w:tcW w:w="3818" w:type="dxa"/>
            <w:tcMar>
              <w:top w:w="0" w:type="dxa"/>
              <w:left w:w="0" w:type="dxa"/>
              <w:bottom w:w="0" w:type="dxa"/>
              <w:right w:w="0" w:type="dxa"/>
            </w:tcMar>
            <w:hideMark/>
          </w:tcPr>
          <w:p w14:paraId="592BB70F"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Year 10 or equivalent</w:t>
            </w:r>
          </w:p>
        </w:tc>
        <w:tc>
          <w:tcPr>
            <w:tcW w:w="1286" w:type="dxa"/>
            <w:tcMar>
              <w:top w:w="0" w:type="dxa"/>
              <w:left w:w="0" w:type="dxa"/>
              <w:bottom w:w="0" w:type="dxa"/>
              <w:right w:w="0" w:type="dxa"/>
            </w:tcMar>
            <w:hideMark/>
          </w:tcPr>
          <w:p w14:paraId="7D1A9675"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326 (16.2%)</w:t>
            </w:r>
          </w:p>
        </w:tc>
        <w:tc>
          <w:tcPr>
            <w:tcW w:w="1265" w:type="dxa"/>
            <w:tcMar>
              <w:top w:w="0" w:type="dxa"/>
              <w:left w:w="0" w:type="dxa"/>
              <w:bottom w:w="0" w:type="dxa"/>
              <w:right w:w="0" w:type="dxa"/>
            </w:tcMar>
            <w:hideMark/>
          </w:tcPr>
          <w:p w14:paraId="000B08CF"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75 (17.1%)</w:t>
            </w:r>
          </w:p>
        </w:tc>
        <w:tc>
          <w:tcPr>
            <w:tcW w:w="1134" w:type="dxa"/>
            <w:tcMar>
              <w:top w:w="0" w:type="dxa"/>
              <w:left w:w="0" w:type="dxa"/>
              <w:bottom w:w="0" w:type="dxa"/>
              <w:right w:w="0" w:type="dxa"/>
            </w:tcMar>
            <w:hideMark/>
          </w:tcPr>
          <w:p w14:paraId="425D9BE1"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171 (16.7%)</w:t>
            </w:r>
          </w:p>
        </w:tc>
        <w:tc>
          <w:tcPr>
            <w:tcW w:w="1145" w:type="dxa"/>
            <w:tcMar>
              <w:top w:w="0" w:type="dxa"/>
              <w:left w:w="0" w:type="dxa"/>
              <w:bottom w:w="0" w:type="dxa"/>
              <w:right w:w="0" w:type="dxa"/>
            </w:tcMar>
            <w:hideMark/>
          </w:tcPr>
          <w:p w14:paraId="1C31E6CD"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69 (14.8%)</w:t>
            </w:r>
          </w:p>
        </w:tc>
      </w:tr>
      <w:tr w:rsidR="001C19F3" w14:paraId="4B403B8C" w14:textId="77777777" w:rsidTr="00521305">
        <w:trPr>
          <w:cantSplit/>
          <w:trHeight w:val="288"/>
          <w:jc w:val="center"/>
        </w:trPr>
        <w:tc>
          <w:tcPr>
            <w:tcW w:w="3818" w:type="dxa"/>
            <w:tcMar>
              <w:top w:w="0" w:type="dxa"/>
              <w:left w:w="0" w:type="dxa"/>
              <w:bottom w:w="0" w:type="dxa"/>
              <w:right w:w="0" w:type="dxa"/>
            </w:tcMar>
            <w:hideMark/>
          </w:tcPr>
          <w:p w14:paraId="0116A278"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Year 11 or equivalent</w:t>
            </w:r>
          </w:p>
        </w:tc>
        <w:tc>
          <w:tcPr>
            <w:tcW w:w="1286" w:type="dxa"/>
            <w:tcMar>
              <w:top w:w="0" w:type="dxa"/>
              <w:left w:w="0" w:type="dxa"/>
              <w:bottom w:w="0" w:type="dxa"/>
              <w:right w:w="0" w:type="dxa"/>
            </w:tcMar>
            <w:hideMark/>
          </w:tcPr>
          <w:p w14:paraId="5C63876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112 (5.6%)</w:t>
            </w:r>
          </w:p>
        </w:tc>
        <w:tc>
          <w:tcPr>
            <w:tcW w:w="1265" w:type="dxa"/>
            <w:tcMar>
              <w:top w:w="0" w:type="dxa"/>
              <w:left w:w="0" w:type="dxa"/>
              <w:bottom w:w="0" w:type="dxa"/>
              <w:right w:w="0" w:type="dxa"/>
            </w:tcMar>
            <w:hideMark/>
          </w:tcPr>
          <w:p w14:paraId="714F0C0E"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22 (5.0%)</w:t>
            </w:r>
          </w:p>
        </w:tc>
        <w:tc>
          <w:tcPr>
            <w:tcW w:w="1134" w:type="dxa"/>
            <w:tcMar>
              <w:top w:w="0" w:type="dxa"/>
              <w:left w:w="0" w:type="dxa"/>
              <w:bottom w:w="0" w:type="dxa"/>
              <w:right w:w="0" w:type="dxa"/>
            </w:tcMar>
            <w:hideMark/>
          </w:tcPr>
          <w:p w14:paraId="008E67E1"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65 (6.4%)</w:t>
            </w:r>
          </w:p>
        </w:tc>
        <w:tc>
          <w:tcPr>
            <w:tcW w:w="1145" w:type="dxa"/>
            <w:tcMar>
              <w:top w:w="0" w:type="dxa"/>
              <w:left w:w="0" w:type="dxa"/>
              <w:bottom w:w="0" w:type="dxa"/>
              <w:right w:w="0" w:type="dxa"/>
            </w:tcMar>
            <w:hideMark/>
          </w:tcPr>
          <w:p w14:paraId="7233E0B4"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22 (4.7%)</w:t>
            </w:r>
          </w:p>
        </w:tc>
      </w:tr>
      <w:tr w:rsidR="001C19F3" w14:paraId="427B2A26" w14:textId="77777777" w:rsidTr="00521305">
        <w:trPr>
          <w:cantSplit/>
          <w:trHeight w:val="288"/>
          <w:jc w:val="center"/>
        </w:trPr>
        <w:tc>
          <w:tcPr>
            <w:tcW w:w="3818" w:type="dxa"/>
            <w:tcMar>
              <w:top w:w="0" w:type="dxa"/>
              <w:left w:w="0" w:type="dxa"/>
              <w:bottom w:w="0" w:type="dxa"/>
              <w:right w:w="0" w:type="dxa"/>
            </w:tcMar>
            <w:hideMark/>
          </w:tcPr>
          <w:p w14:paraId="7A394D49"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Year 12 or equivalent</w:t>
            </w:r>
          </w:p>
        </w:tc>
        <w:tc>
          <w:tcPr>
            <w:tcW w:w="1286" w:type="dxa"/>
            <w:tcMar>
              <w:top w:w="0" w:type="dxa"/>
              <w:left w:w="0" w:type="dxa"/>
              <w:bottom w:w="0" w:type="dxa"/>
              <w:right w:w="0" w:type="dxa"/>
            </w:tcMar>
            <w:hideMark/>
          </w:tcPr>
          <w:p w14:paraId="0356EB26"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244 (12.1%)</w:t>
            </w:r>
          </w:p>
        </w:tc>
        <w:tc>
          <w:tcPr>
            <w:tcW w:w="1265" w:type="dxa"/>
            <w:tcMar>
              <w:top w:w="0" w:type="dxa"/>
              <w:left w:w="0" w:type="dxa"/>
              <w:bottom w:w="0" w:type="dxa"/>
              <w:right w:w="0" w:type="dxa"/>
            </w:tcMar>
            <w:hideMark/>
          </w:tcPr>
          <w:p w14:paraId="3887CD93"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59 (13.5%)</w:t>
            </w:r>
          </w:p>
        </w:tc>
        <w:tc>
          <w:tcPr>
            <w:tcW w:w="1134" w:type="dxa"/>
            <w:tcMar>
              <w:top w:w="0" w:type="dxa"/>
              <w:left w:w="0" w:type="dxa"/>
              <w:bottom w:w="0" w:type="dxa"/>
              <w:right w:w="0" w:type="dxa"/>
            </w:tcMar>
            <w:hideMark/>
          </w:tcPr>
          <w:p w14:paraId="4CE63FC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116 (11.4%)</w:t>
            </w:r>
          </w:p>
        </w:tc>
        <w:tc>
          <w:tcPr>
            <w:tcW w:w="1145" w:type="dxa"/>
            <w:tcMar>
              <w:top w:w="0" w:type="dxa"/>
              <w:left w:w="0" w:type="dxa"/>
              <w:bottom w:w="0" w:type="dxa"/>
              <w:right w:w="0" w:type="dxa"/>
            </w:tcMar>
            <w:hideMark/>
          </w:tcPr>
          <w:p w14:paraId="382A1BD9"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60 (12.9%)</w:t>
            </w:r>
          </w:p>
        </w:tc>
      </w:tr>
      <w:tr w:rsidR="001C19F3" w14:paraId="7082F6C8" w14:textId="77777777" w:rsidTr="00521305">
        <w:trPr>
          <w:cantSplit/>
          <w:trHeight w:val="288"/>
          <w:jc w:val="center"/>
        </w:trPr>
        <w:tc>
          <w:tcPr>
            <w:tcW w:w="3818" w:type="dxa"/>
            <w:tcMar>
              <w:top w:w="0" w:type="dxa"/>
              <w:left w:w="0" w:type="dxa"/>
              <w:bottom w:w="0" w:type="dxa"/>
              <w:right w:w="0" w:type="dxa"/>
            </w:tcMar>
            <w:hideMark/>
          </w:tcPr>
          <w:p w14:paraId="0A0CD73D"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Certificate I to IV</w:t>
            </w:r>
            <w:r>
              <w:rPr>
                <w:rFonts w:cstheme="minorHAnsi"/>
                <w:color w:val="000000"/>
                <w:sz w:val="18"/>
                <w:szCs w:val="18"/>
              </w:rPr>
              <w:t>/T</w:t>
            </w:r>
            <w:r w:rsidRPr="008802E9">
              <w:rPr>
                <w:rFonts w:cstheme="minorHAnsi"/>
                <w:color w:val="000000"/>
                <w:sz w:val="18"/>
                <w:szCs w:val="18"/>
              </w:rPr>
              <w:t>rade certificate</w:t>
            </w:r>
          </w:p>
        </w:tc>
        <w:tc>
          <w:tcPr>
            <w:tcW w:w="1286" w:type="dxa"/>
            <w:tcMar>
              <w:top w:w="0" w:type="dxa"/>
              <w:left w:w="0" w:type="dxa"/>
              <w:bottom w:w="0" w:type="dxa"/>
              <w:right w:w="0" w:type="dxa"/>
            </w:tcMar>
            <w:hideMark/>
          </w:tcPr>
          <w:p w14:paraId="29A9F410"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416 (20.6%)</w:t>
            </w:r>
          </w:p>
        </w:tc>
        <w:tc>
          <w:tcPr>
            <w:tcW w:w="1265" w:type="dxa"/>
            <w:tcMar>
              <w:top w:w="0" w:type="dxa"/>
              <w:left w:w="0" w:type="dxa"/>
              <w:bottom w:w="0" w:type="dxa"/>
              <w:right w:w="0" w:type="dxa"/>
            </w:tcMar>
            <w:hideMark/>
          </w:tcPr>
          <w:p w14:paraId="7804C66D"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90 (20.5%)</w:t>
            </w:r>
          </w:p>
        </w:tc>
        <w:tc>
          <w:tcPr>
            <w:tcW w:w="1134" w:type="dxa"/>
            <w:tcMar>
              <w:top w:w="0" w:type="dxa"/>
              <w:left w:w="0" w:type="dxa"/>
              <w:bottom w:w="0" w:type="dxa"/>
              <w:right w:w="0" w:type="dxa"/>
            </w:tcMar>
            <w:hideMark/>
          </w:tcPr>
          <w:p w14:paraId="6A3D41C6"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208 (20.4%)</w:t>
            </w:r>
          </w:p>
        </w:tc>
        <w:tc>
          <w:tcPr>
            <w:tcW w:w="1145" w:type="dxa"/>
            <w:tcMar>
              <w:top w:w="0" w:type="dxa"/>
              <w:left w:w="0" w:type="dxa"/>
              <w:bottom w:w="0" w:type="dxa"/>
              <w:right w:w="0" w:type="dxa"/>
            </w:tcMar>
            <w:hideMark/>
          </w:tcPr>
          <w:p w14:paraId="4B1144A3"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100 (21.5%)</w:t>
            </w:r>
          </w:p>
        </w:tc>
      </w:tr>
      <w:tr w:rsidR="001C19F3" w14:paraId="4D2D4B61" w14:textId="77777777" w:rsidTr="00521305">
        <w:trPr>
          <w:cantSplit/>
          <w:trHeight w:val="288"/>
          <w:jc w:val="center"/>
        </w:trPr>
        <w:tc>
          <w:tcPr>
            <w:tcW w:w="3818" w:type="dxa"/>
            <w:tcMar>
              <w:top w:w="0" w:type="dxa"/>
              <w:left w:w="0" w:type="dxa"/>
              <w:bottom w:w="0" w:type="dxa"/>
              <w:right w:w="0" w:type="dxa"/>
            </w:tcMar>
            <w:hideMark/>
          </w:tcPr>
          <w:p w14:paraId="6B424121"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Advanced diploma/Diploma</w:t>
            </w:r>
          </w:p>
        </w:tc>
        <w:tc>
          <w:tcPr>
            <w:tcW w:w="1286" w:type="dxa"/>
            <w:tcMar>
              <w:top w:w="0" w:type="dxa"/>
              <w:left w:w="0" w:type="dxa"/>
              <w:bottom w:w="0" w:type="dxa"/>
              <w:right w:w="0" w:type="dxa"/>
            </w:tcMar>
            <w:hideMark/>
          </w:tcPr>
          <w:p w14:paraId="67C96D2C"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167 (8.3%)</w:t>
            </w:r>
          </w:p>
        </w:tc>
        <w:tc>
          <w:tcPr>
            <w:tcW w:w="1265" w:type="dxa"/>
            <w:tcMar>
              <w:top w:w="0" w:type="dxa"/>
              <w:left w:w="0" w:type="dxa"/>
              <w:bottom w:w="0" w:type="dxa"/>
              <w:right w:w="0" w:type="dxa"/>
            </w:tcMar>
            <w:hideMark/>
          </w:tcPr>
          <w:p w14:paraId="356E1743"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43 (9.8%)</w:t>
            </w:r>
          </w:p>
        </w:tc>
        <w:tc>
          <w:tcPr>
            <w:tcW w:w="1134" w:type="dxa"/>
            <w:tcMar>
              <w:top w:w="0" w:type="dxa"/>
              <w:left w:w="0" w:type="dxa"/>
              <w:bottom w:w="0" w:type="dxa"/>
              <w:right w:w="0" w:type="dxa"/>
            </w:tcMar>
            <w:hideMark/>
          </w:tcPr>
          <w:p w14:paraId="5B7F3CD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87 (8.5%)</w:t>
            </w:r>
          </w:p>
        </w:tc>
        <w:tc>
          <w:tcPr>
            <w:tcW w:w="1145" w:type="dxa"/>
            <w:tcMar>
              <w:top w:w="0" w:type="dxa"/>
              <w:left w:w="0" w:type="dxa"/>
              <w:bottom w:w="0" w:type="dxa"/>
              <w:right w:w="0" w:type="dxa"/>
            </w:tcMar>
            <w:hideMark/>
          </w:tcPr>
          <w:p w14:paraId="3B4E7D64"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29 (6.2%)</w:t>
            </w:r>
          </w:p>
        </w:tc>
      </w:tr>
      <w:tr w:rsidR="001C19F3" w14:paraId="6C1E7C9E" w14:textId="77777777" w:rsidTr="00521305">
        <w:trPr>
          <w:cantSplit/>
          <w:trHeight w:val="288"/>
          <w:jc w:val="center"/>
        </w:trPr>
        <w:tc>
          <w:tcPr>
            <w:tcW w:w="3818" w:type="dxa"/>
            <w:tcMar>
              <w:top w:w="0" w:type="dxa"/>
              <w:left w:w="0" w:type="dxa"/>
              <w:bottom w:w="0" w:type="dxa"/>
              <w:right w:w="0" w:type="dxa"/>
            </w:tcMar>
            <w:hideMark/>
          </w:tcPr>
          <w:p w14:paraId="5DB1B136"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Bachelor Degree</w:t>
            </w:r>
          </w:p>
        </w:tc>
        <w:tc>
          <w:tcPr>
            <w:tcW w:w="1286" w:type="dxa"/>
            <w:tcMar>
              <w:top w:w="0" w:type="dxa"/>
              <w:left w:w="0" w:type="dxa"/>
              <w:bottom w:w="0" w:type="dxa"/>
              <w:right w:w="0" w:type="dxa"/>
            </w:tcMar>
            <w:hideMark/>
          </w:tcPr>
          <w:p w14:paraId="04E850D1"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187 (9.3%)</w:t>
            </w:r>
          </w:p>
        </w:tc>
        <w:tc>
          <w:tcPr>
            <w:tcW w:w="1265" w:type="dxa"/>
            <w:tcMar>
              <w:top w:w="0" w:type="dxa"/>
              <w:left w:w="0" w:type="dxa"/>
              <w:bottom w:w="0" w:type="dxa"/>
              <w:right w:w="0" w:type="dxa"/>
            </w:tcMar>
            <w:hideMark/>
          </w:tcPr>
          <w:p w14:paraId="5F71207D"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50 (11.4%)</w:t>
            </w:r>
          </w:p>
        </w:tc>
        <w:tc>
          <w:tcPr>
            <w:tcW w:w="1134" w:type="dxa"/>
            <w:tcMar>
              <w:top w:w="0" w:type="dxa"/>
              <w:left w:w="0" w:type="dxa"/>
              <w:bottom w:w="0" w:type="dxa"/>
              <w:right w:w="0" w:type="dxa"/>
            </w:tcMar>
            <w:hideMark/>
          </w:tcPr>
          <w:p w14:paraId="11F84EF4"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96 (9.4%)</w:t>
            </w:r>
          </w:p>
        </w:tc>
        <w:tc>
          <w:tcPr>
            <w:tcW w:w="1145" w:type="dxa"/>
            <w:tcMar>
              <w:top w:w="0" w:type="dxa"/>
              <w:left w:w="0" w:type="dxa"/>
              <w:bottom w:w="0" w:type="dxa"/>
              <w:right w:w="0" w:type="dxa"/>
            </w:tcMar>
            <w:hideMark/>
          </w:tcPr>
          <w:p w14:paraId="7DF99D8F"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36 (7.7%)</w:t>
            </w:r>
          </w:p>
        </w:tc>
      </w:tr>
      <w:tr w:rsidR="001C19F3" w14:paraId="166AFDB4" w14:textId="77777777" w:rsidTr="00521305">
        <w:trPr>
          <w:cantSplit/>
          <w:trHeight w:val="288"/>
          <w:jc w:val="center"/>
        </w:trPr>
        <w:tc>
          <w:tcPr>
            <w:tcW w:w="3818" w:type="dxa"/>
            <w:tcMar>
              <w:top w:w="0" w:type="dxa"/>
              <w:left w:w="0" w:type="dxa"/>
              <w:bottom w:w="0" w:type="dxa"/>
              <w:right w:w="0" w:type="dxa"/>
            </w:tcMar>
            <w:hideMark/>
          </w:tcPr>
          <w:p w14:paraId="689FBB66"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Post-Graduate Degree</w:t>
            </w:r>
          </w:p>
        </w:tc>
        <w:tc>
          <w:tcPr>
            <w:tcW w:w="1286" w:type="dxa"/>
            <w:tcMar>
              <w:top w:w="0" w:type="dxa"/>
              <w:left w:w="0" w:type="dxa"/>
              <w:bottom w:w="0" w:type="dxa"/>
              <w:right w:w="0" w:type="dxa"/>
            </w:tcMar>
            <w:hideMark/>
          </w:tcPr>
          <w:p w14:paraId="52E51796"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66 (3.3%)</w:t>
            </w:r>
          </w:p>
        </w:tc>
        <w:tc>
          <w:tcPr>
            <w:tcW w:w="1265" w:type="dxa"/>
            <w:tcMar>
              <w:top w:w="0" w:type="dxa"/>
              <w:left w:w="0" w:type="dxa"/>
              <w:bottom w:w="0" w:type="dxa"/>
              <w:right w:w="0" w:type="dxa"/>
            </w:tcMar>
            <w:hideMark/>
          </w:tcPr>
          <w:p w14:paraId="39C6C609"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16 (3.7%)</w:t>
            </w:r>
          </w:p>
        </w:tc>
        <w:tc>
          <w:tcPr>
            <w:tcW w:w="1134" w:type="dxa"/>
            <w:tcMar>
              <w:top w:w="0" w:type="dxa"/>
              <w:left w:w="0" w:type="dxa"/>
              <w:bottom w:w="0" w:type="dxa"/>
              <w:right w:w="0" w:type="dxa"/>
            </w:tcMar>
            <w:hideMark/>
          </w:tcPr>
          <w:p w14:paraId="19A81A5E"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36 (3.5%)</w:t>
            </w:r>
          </w:p>
        </w:tc>
        <w:tc>
          <w:tcPr>
            <w:tcW w:w="1145" w:type="dxa"/>
            <w:tcMar>
              <w:top w:w="0" w:type="dxa"/>
              <w:left w:w="0" w:type="dxa"/>
              <w:bottom w:w="0" w:type="dxa"/>
              <w:right w:w="0" w:type="dxa"/>
            </w:tcMar>
            <w:hideMark/>
          </w:tcPr>
          <w:p w14:paraId="61084C7B"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9 (1.9%)</w:t>
            </w:r>
          </w:p>
        </w:tc>
      </w:tr>
      <w:tr w:rsidR="001C19F3" w14:paraId="42CA6D3B" w14:textId="77777777" w:rsidTr="00521305">
        <w:trPr>
          <w:cantSplit/>
          <w:trHeight w:val="288"/>
          <w:jc w:val="center"/>
        </w:trPr>
        <w:tc>
          <w:tcPr>
            <w:tcW w:w="3818" w:type="dxa"/>
            <w:tcMar>
              <w:top w:w="0" w:type="dxa"/>
              <w:left w:w="0" w:type="dxa"/>
              <w:bottom w:w="0" w:type="dxa"/>
              <w:right w:w="0" w:type="dxa"/>
            </w:tcMar>
            <w:hideMark/>
          </w:tcPr>
          <w:p w14:paraId="21938EE6"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Other</w:t>
            </w:r>
          </w:p>
        </w:tc>
        <w:tc>
          <w:tcPr>
            <w:tcW w:w="1286" w:type="dxa"/>
            <w:tcMar>
              <w:top w:w="0" w:type="dxa"/>
              <w:left w:w="0" w:type="dxa"/>
              <w:bottom w:w="0" w:type="dxa"/>
              <w:right w:w="0" w:type="dxa"/>
            </w:tcMar>
            <w:hideMark/>
          </w:tcPr>
          <w:p w14:paraId="34DDE359"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50 (2.5%)</w:t>
            </w:r>
          </w:p>
        </w:tc>
        <w:tc>
          <w:tcPr>
            <w:tcW w:w="1265" w:type="dxa"/>
            <w:tcMar>
              <w:top w:w="0" w:type="dxa"/>
              <w:left w:w="0" w:type="dxa"/>
              <w:bottom w:w="0" w:type="dxa"/>
              <w:right w:w="0" w:type="dxa"/>
            </w:tcMar>
            <w:hideMark/>
          </w:tcPr>
          <w:p w14:paraId="3F67A659"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6 (1.4%)</w:t>
            </w:r>
          </w:p>
        </w:tc>
        <w:tc>
          <w:tcPr>
            <w:tcW w:w="1134" w:type="dxa"/>
            <w:tcMar>
              <w:top w:w="0" w:type="dxa"/>
              <w:left w:w="0" w:type="dxa"/>
              <w:bottom w:w="0" w:type="dxa"/>
              <w:right w:w="0" w:type="dxa"/>
            </w:tcMar>
            <w:hideMark/>
          </w:tcPr>
          <w:p w14:paraId="06657615"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28 (2.7%)</w:t>
            </w:r>
          </w:p>
        </w:tc>
        <w:tc>
          <w:tcPr>
            <w:tcW w:w="1145" w:type="dxa"/>
            <w:tcMar>
              <w:top w:w="0" w:type="dxa"/>
              <w:left w:w="0" w:type="dxa"/>
              <w:bottom w:w="0" w:type="dxa"/>
              <w:right w:w="0" w:type="dxa"/>
            </w:tcMar>
            <w:hideMark/>
          </w:tcPr>
          <w:p w14:paraId="7D6FBD9F"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16 (3.4%)</w:t>
            </w:r>
          </w:p>
        </w:tc>
      </w:tr>
      <w:tr w:rsidR="001C19F3" w14:paraId="48D58EE9" w14:textId="77777777" w:rsidTr="00521305">
        <w:trPr>
          <w:cantSplit/>
          <w:trHeight w:val="288"/>
          <w:jc w:val="center"/>
        </w:trPr>
        <w:tc>
          <w:tcPr>
            <w:tcW w:w="3818" w:type="dxa"/>
            <w:tcMar>
              <w:top w:w="0" w:type="dxa"/>
              <w:left w:w="0" w:type="dxa"/>
              <w:bottom w:w="0" w:type="dxa"/>
              <w:right w:w="0" w:type="dxa"/>
            </w:tcMar>
            <w:hideMark/>
          </w:tcPr>
          <w:p w14:paraId="6ACD3CA2" w14:textId="77777777" w:rsidR="001C19F3" w:rsidRPr="00216A96" w:rsidRDefault="001C19F3" w:rsidP="00521305">
            <w:pPr>
              <w:spacing w:before="40" w:after="40"/>
              <w:ind w:left="269" w:right="40"/>
              <w:rPr>
                <w:rFonts w:cstheme="minorHAnsi"/>
                <w:color w:val="000000"/>
                <w:sz w:val="18"/>
                <w:szCs w:val="18"/>
              </w:rPr>
            </w:pPr>
            <w:r w:rsidRPr="008802E9">
              <w:rPr>
                <w:rFonts w:cstheme="minorHAnsi"/>
                <w:color w:val="000000"/>
                <w:sz w:val="18"/>
                <w:szCs w:val="18"/>
              </w:rPr>
              <w:t>Refused</w:t>
            </w:r>
          </w:p>
        </w:tc>
        <w:tc>
          <w:tcPr>
            <w:tcW w:w="1286" w:type="dxa"/>
            <w:tcMar>
              <w:top w:w="0" w:type="dxa"/>
              <w:left w:w="0" w:type="dxa"/>
              <w:bottom w:w="0" w:type="dxa"/>
              <w:right w:w="0" w:type="dxa"/>
            </w:tcMar>
            <w:hideMark/>
          </w:tcPr>
          <w:p w14:paraId="5E9C08A3" w14:textId="77777777" w:rsidR="001C19F3" w:rsidRPr="008802E9" w:rsidRDefault="001C19F3" w:rsidP="00521305">
            <w:pPr>
              <w:spacing w:before="40" w:after="40"/>
              <w:ind w:left="40" w:right="40"/>
              <w:jc w:val="center"/>
              <w:rPr>
                <w:rFonts w:cstheme="minorHAnsi"/>
                <w:color w:val="000000"/>
                <w:sz w:val="18"/>
                <w:szCs w:val="18"/>
              </w:rPr>
            </w:pPr>
            <w:r w:rsidRPr="008802E9">
              <w:rPr>
                <w:rFonts w:cstheme="minorHAnsi"/>
                <w:color w:val="000000"/>
                <w:sz w:val="18"/>
                <w:szCs w:val="18"/>
              </w:rPr>
              <w:t>23 (1.1%)</w:t>
            </w:r>
          </w:p>
        </w:tc>
        <w:tc>
          <w:tcPr>
            <w:tcW w:w="1265" w:type="dxa"/>
            <w:tcMar>
              <w:top w:w="0" w:type="dxa"/>
              <w:left w:w="0" w:type="dxa"/>
              <w:bottom w:w="0" w:type="dxa"/>
              <w:right w:w="0" w:type="dxa"/>
            </w:tcMar>
            <w:hideMark/>
          </w:tcPr>
          <w:p w14:paraId="230443BC" w14:textId="77777777" w:rsidR="001C19F3" w:rsidRPr="008802E9" w:rsidRDefault="001C19F3" w:rsidP="00521305">
            <w:pPr>
              <w:spacing w:before="40" w:after="40"/>
              <w:ind w:left="40" w:right="40"/>
              <w:jc w:val="center"/>
              <w:rPr>
                <w:rFonts w:cstheme="minorHAnsi"/>
                <w:color w:val="000000"/>
                <w:sz w:val="18"/>
                <w:szCs w:val="18"/>
              </w:rPr>
            </w:pPr>
          </w:p>
        </w:tc>
        <w:tc>
          <w:tcPr>
            <w:tcW w:w="1134" w:type="dxa"/>
            <w:tcMar>
              <w:top w:w="0" w:type="dxa"/>
              <w:left w:w="0" w:type="dxa"/>
              <w:bottom w:w="0" w:type="dxa"/>
              <w:right w:w="0" w:type="dxa"/>
            </w:tcMar>
            <w:hideMark/>
          </w:tcPr>
          <w:p w14:paraId="75A75A10" w14:textId="77777777" w:rsidR="001C19F3" w:rsidRPr="008802E9" w:rsidRDefault="001C19F3" w:rsidP="00521305">
            <w:pPr>
              <w:spacing w:before="40" w:after="40"/>
              <w:ind w:left="40" w:right="40"/>
              <w:jc w:val="center"/>
              <w:rPr>
                <w:rFonts w:cstheme="minorHAnsi"/>
                <w:color w:val="000000"/>
                <w:sz w:val="18"/>
                <w:szCs w:val="18"/>
              </w:rPr>
            </w:pPr>
          </w:p>
        </w:tc>
        <w:tc>
          <w:tcPr>
            <w:tcW w:w="1145" w:type="dxa"/>
            <w:tcMar>
              <w:top w:w="0" w:type="dxa"/>
              <w:left w:w="0" w:type="dxa"/>
              <w:bottom w:w="0" w:type="dxa"/>
              <w:right w:w="0" w:type="dxa"/>
            </w:tcMar>
            <w:hideMark/>
          </w:tcPr>
          <w:p w14:paraId="3036FEB1" w14:textId="77777777" w:rsidR="001C19F3" w:rsidRPr="008802E9" w:rsidRDefault="001C19F3" w:rsidP="00521305">
            <w:pPr>
              <w:spacing w:before="40" w:after="40"/>
              <w:ind w:left="40" w:right="40"/>
              <w:jc w:val="center"/>
              <w:rPr>
                <w:rFonts w:cstheme="minorHAnsi"/>
                <w:color w:val="000000"/>
                <w:sz w:val="18"/>
                <w:szCs w:val="18"/>
              </w:rPr>
            </w:pPr>
          </w:p>
        </w:tc>
      </w:tr>
    </w:tbl>
    <w:p w14:paraId="43D86CD7" w14:textId="77777777" w:rsidR="001C19F3" w:rsidRDefault="001C19F3" w:rsidP="001C19F3">
      <w:pPr>
        <w:pStyle w:val="Chartortablefootnote"/>
      </w:pPr>
      <w:r w:rsidRPr="00DD08EB">
        <w:t xml:space="preserve">Sources: </w:t>
      </w:r>
      <w:r w:rsidRPr="00E229DF">
        <w:t>CATI surveys conducted by The Social Research Centre between December 2017 and March 2019</w:t>
      </w:r>
      <w:r>
        <w:t xml:space="preserve">. </w:t>
      </w:r>
    </w:p>
    <w:p w14:paraId="60D45908" w14:textId="77777777" w:rsidR="001C19F3" w:rsidRDefault="001C19F3" w:rsidP="001C19F3">
      <w:r>
        <w:t>Tables and charts showing survey data are presented in Chapter 5 of Volume 2. Other chapters for Volume 2 also draw on data from the patient surveys. Additional tables are in Appendix 3 of this volume. These present the responses by patients’ tier and by selected practice characteristics (size, ownership and geographic remoteness).</w:t>
      </w:r>
    </w:p>
    <w:p w14:paraId="4D687B72" w14:textId="77777777" w:rsidR="001C19F3" w:rsidRDefault="001C19F3" w:rsidP="001C19F3">
      <w:pPr>
        <w:rPr>
          <w:color w:val="000000"/>
          <w:szCs w:val="20"/>
          <w:shd w:val="clear" w:color="auto" w:fill="FFFFFF"/>
        </w:rPr>
      </w:pPr>
      <w:r>
        <w:t xml:space="preserve">An aim of HCH is to encourage patients to become more informed about their health and, with the help of their practice, to take a more active role in managing it. ‘Patient activation’ is the term used to describe this concept. A validated tool measuring this is the Patient Activation Measure (PAM) </w:t>
      </w:r>
      <w:r w:rsidRPr="005461DE">
        <w:t>(</w:t>
      </w:r>
      <w:r w:rsidRPr="005461DE">
        <w:fldChar w:fldCharType="begin"/>
      </w:r>
      <w:r>
        <w:instrText xml:space="preserve"> ADDIN EN.CITE &lt;EndNote&gt;&lt;Cite&gt;&lt;Author&gt;Hibbard&lt;/Author&gt;&lt;Year&gt;2005&lt;/Year&gt;&lt;RecNum&gt;664&lt;/RecNum&gt;&lt;DisplayText&gt;Hibbard, Mahoney, Stockard, &amp;amp; Tusler, 2005&lt;/DisplayText&gt;&lt;record&gt;&lt;rec-number&gt;664&lt;/rec-number&gt;&lt;foreign-keys&gt;&lt;key app="EN" db-id="zdz9xax04zr9v0evw2nvrpw9xe9ttzvs5zsv" timestamp="1486363634"&gt;664&lt;/key&gt;&lt;/foreign-keys&gt;&lt;ref-type name="Journal Article"&gt;17&lt;/ref-type&gt;&lt;contributors&gt;&lt;authors&gt;&lt;author&gt;Hibbard, J. H.&lt;/author&gt;&lt;author&gt;Mahoney, E. R.&lt;/author&gt;&lt;author&gt;Stockard, J.&lt;/author&gt;&lt;author&gt;Tusler, M.&lt;/author&gt;&lt;/authors&gt;&lt;/contributors&gt;&lt;auth-address&gt;Department of Planning, Publicy, &amp;amp; Management, University of Oregon, Eugene, 97403, USA.&lt;/auth-address&gt;&lt;titles&gt;&lt;title&gt;Development and testing of a short form of the patient activation measure&lt;/title&gt;&lt;secondary-title&gt;Health Serv Res&lt;/secondary-title&gt;&lt;/titles&gt;&lt;periodical&gt;&lt;full-title&gt;Health Serv Res&lt;/full-title&gt;&lt;abbr-1&gt;Health services research&lt;/abbr-1&gt;&lt;/periodical&gt;&lt;pages&gt;1918-30&lt;/pages&gt;&lt;volume&gt;40&lt;/volume&gt;&lt;number&gt;6 Pt 1&lt;/number&gt;&lt;keywords&gt;&lt;keyword&gt;Aged&lt;/keyword&gt;&lt;keyword&gt;Aged, 80 and over&lt;/keyword&gt;&lt;keyword&gt;Chronic Disease&lt;/keyword&gt;&lt;keyword&gt;Female&lt;/keyword&gt;&lt;keyword&gt;*Health Knowledge, Attitudes, Practice&lt;/keyword&gt;&lt;keyword&gt;Humans&lt;/keyword&gt;&lt;keyword&gt;Male&lt;/keyword&gt;&lt;keyword&gt;Middle Aged&lt;/keyword&gt;&lt;keyword&gt;*Patient Participation&lt;/keyword&gt;&lt;keyword&gt;*Patients&lt;/keyword&gt;&lt;keyword&gt;Self Care/*standards&lt;/keyword&gt;&lt;keyword&gt;Socioeconomic Factors&lt;/keyword&gt;&lt;keyword&gt;*Surveys and Questionnaires&lt;/keyword&gt;&lt;/keywords&gt;&lt;dates&gt;&lt;year&gt;2005&lt;/year&gt;&lt;pub-dates&gt;&lt;date&gt;Dec&lt;/date&gt;&lt;/pub-dates&gt;&lt;/dates&gt;&lt;isbn&gt;0017-9124 (Print)&amp;#xD;0017-9124 (Linking)&lt;/isbn&gt;&lt;accession-num&gt;16336556&lt;/accession-num&gt;&lt;urls&gt;&lt;related-urls&gt;&lt;url&gt;https://www.ncbi.nlm.nih.gov/pubmed/16336556&lt;/url&gt;&lt;url&gt;https://www.ncbi.nlm.nih.gov/pmc/articles/PMC1361231/pdf/hesr_438.pdf&lt;/url&gt;&lt;/related-urls&gt;&lt;/urls&gt;&lt;custom2&gt;PMC1361231&lt;/custom2&gt;&lt;electronic-resource-num&gt;10.1111/j.1475-6773.2005.00438.x&lt;/electronic-resource-num&gt;&lt;/record&gt;&lt;/Cite&gt;&lt;/EndNote&gt;</w:instrText>
      </w:r>
      <w:r w:rsidRPr="005461DE">
        <w:fldChar w:fldCharType="separate"/>
      </w:r>
      <w:r>
        <w:rPr>
          <w:noProof/>
        </w:rPr>
        <w:t>Hibbard, Mahoney, Stockard, &amp; Tusler, 2005</w:t>
      </w:r>
      <w:r w:rsidRPr="005461DE">
        <w:fldChar w:fldCharType="end"/>
      </w:r>
      <w:r w:rsidRPr="005461DE">
        <w:t>)</w:t>
      </w:r>
      <w:r>
        <w:t xml:space="preserve">. Survey respondents completed the </w:t>
      </w:r>
      <w:r>
        <w:rPr>
          <w:color w:val="000000"/>
          <w:shd w:val="clear" w:color="auto" w:fill="FFFFFF"/>
        </w:rPr>
        <w:t xml:space="preserve">13-item version of PAM. Valid responses to each item are the patients’ level of agreement with a statement (they can strongly disagree, disagree, agree, or strongly agree). Using the Rasch approach that underpinned the development of the PAM, patients’ responses were transformed to a score ranging from 0 to 100. The score measures the psychometric properties of a patient’s skills, knowledge, and confidence for managing their health. The score out of 100 can then be used to categorise each patient as: </w:t>
      </w:r>
    </w:p>
    <w:p w14:paraId="3C54A1B3" w14:textId="77777777" w:rsidR="001C19F3" w:rsidRPr="00371D82" w:rsidRDefault="001C19F3" w:rsidP="001C19F3">
      <w:pPr>
        <w:pStyle w:val="ListParagraph"/>
        <w:numPr>
          <w:ilvl w:val="0"/>
          <w:numId w:val="113"/>
        </w:numPr>
        <w:rPr>
          <w:szCs w:val="20"/>
          <w:shd w:val="clear" w:color="auto" w:fill="FFFFFF"/>
        </w:rPr>
      </w:pPr>
      <w:r w:rsidRPr="00371D82">
        <w:rPr>
          <w:shd w:val="clear" w:color="auto" w:fill="FFFFFF"/>
        </w:rPr>
        <w:t xml:space="preserve">disengaged and overwhelmed </w:t>
      </w:r>
    </w:p>
    <w:p w14:paraId="15CC2F57" w14:textId="77777777" w:rsidR="001C19F3" w:rsidRPr="00371D82" w:rsidRDefault="001C19F3" w:rsidP="001C19F3">
      <w:pPr>
        <w:pStyle w:val="ListParagraph"/>
        <w:numPr>
          <w:ilvl w:val="0"/>
          <w:numId w:val="113"/>
        </w:numPr>
        <w:rPr>
          <w:shd w:val="clear" w:color="auto" w:fill="FFFFFF"/>
        </w:rPr>
      </w:pPr>
      <w:r w:rsidRPr="00371D82">
        <w:rPr>
          <w:shd w:val="clear" w:color="auto" w:fill="FFFFFF"/>
        </w:rPr>
        <w:t xml:space="preserve">becoming aware but still struggling </w:t>
      </w:r>
    </w:p>
    <w:p w14:paraId="5540D1E1" w14:textId="77777777" w:rsidR="001C19F3" w:rsidRDefault="001C19F3" w:rsidP="001C19F3">
      <w:pPr>
        <w:pStyle w:val="ListParagraph"/>
        <w:numPr>
          <w:ilvl w:val="0"/>
          <w:numId w:val="113"/>
        </w:numPr>
        <w:rPr>
          <w:shd w:val="clear" w:color="auto" w:fill="FFFFFF"/>
        </w:rPr>
      </w:pPr>
      <w:r w:rsidRPr="00371D82">
        <w:rPr>
          <w:shd w:val="clear" w:color="auto" w:fill="FFFFFF"/>
        </w:rPr>
        <w:t>taking action</w:t>
      </w:r>
    </w:p>
    <w:p w14:paraId="32C08433" w14:textId="77777777" w:rsidR="001C19F3" w:rsidRPr="00371D82" w:rsidRDefault="001C19F3" w:rsidP="001C19F3">
      <w:pPr>
        <w:pStyle w:val="ListParagraph"/>
        <w:numPr>
          <w:ilvl w:val="0"/>
          <w:numId w:val="113"/>
        </w:numPr>
        <w:rPr>
          <w:shd w:val="clear" w:color="auto" w:fill="FFFFFF"/>
        </w:rPr>
      </w:pPr>
      <w:r w:rsidRPr="00371D82">
        <w:rPr>
          <w:shd w:val="clear" w:color="auto" w:fill="FFFFFF"/>
        </w:rPr>
        <w:t xml:space="preserve">maintaining behaviours </w:t>
      </w:r>
    </w:p>
    <w:p w14:paraId="1E9C5BBE" w14:textId="77777777" w:rsidR="001C19F3" w:rsidRPr="00371D82" w:rsidRDefault="001C19F3" w:rsidP="001C19F3">
      <w:pPr>
        <w:pStyle w:val="ListParagraph"/>
        <w:numPr>
          <w:ilvl w:val="0"/>
          <w:numId w:val="113"/>
        </w:numPr>
        <w:rPr>
          <w:shd w:val="clear" w:color="auto" w:fill="FFFFFF"/>
        </w:rPr>
      </w:pPr>
      <w:r w:rsidRPr="00371D82">
        <w:rPr>
          <w:shd w:val="clear" w:color="auto" w:fill="FFFFFF"/>
        </w:rPr>
        <w:t xml:space="preserve">pushing further. </w:t>
      </w:r>
    </w:p>
    <w:p w14:paraId="6F7838E0" w14:textId="77777777" w:rsidR="001C19F3" w:rsidRDefault="001C19F3" w:rsidP="001C19F3">
      <w:pPr>
        <w:rPr>
          <w:rFonts w:ascii="Calibri" w:hAnsi="Calibri"/>
        </w:rPr>
      </w:pPr>
      <w:r>
        <w:rPr>
          <w:color w:val="000000"/>
          <w:shd w:val="clear" w:color="auto" w:fill="FFFFFF"/>
        </w:rPr>
        <w:fldChar w:fldCharType="begin"/>
      </w:r>
      <w:r>
        <w:rPr>
          <w:color w:val="000000"/>
          <w:shd w:val="clear" w:color="auto" w:fill="FFFFFF"/>
        </w:rPr>
        <w:instrText xml:space="preserve"> REF _Ref20996247 \h </w:instrText>
      </w:r>
      <w:r>
        <w:rPr>
          <w:color w:val="000000"/>
          <w:shd w:val="clear" w:color="auto" w:fill="FFFFFF"/>
        </w:rPr>
      </w:r>
      <w:r>
        <w:rPr>
          <w:color w:val="000000"/>
          <w:shd w:val="clear" w:color="auto" w:fill="FFFFFF"/>
        </w:rPr>
        <w:fldChar w:fldCharType="separate"/>
      </w:r>
      <w:r>
        <w:t xml:space="preserve">Table </w:t>
      </w:r>
      <w:r>
        <w:rPr>
          <w:noProof/>
        </w:rPr>
        <w:t>67</w:t>
      </w:r>
      <w:r>
        <w:rPr>
          <w:color w:val="000000"/>
          <w:shd w:val="clear" w:color="auto" w:fill="FFFFFF"/>
        </w:rPr>
        <w:fldChar w:fldCharType="end"/>
      </w:r>
      <w:r>
        <w:rPr>
          <w:color w:val="000000"/>
          <w:shd w:val="clear" w:color="auto" w:fill="FFFFFF"/>
        </w:rPr>
        <w:t xml:space="preserve"> and </w:t>
      </w:r>
      <w:r>
        <w:rPr>
          <w:color w:val="000000"/>
          <w:shd w:val="clear" w:color="auto" w:fill="FFFFFF"/>
        </w:rPr>
        <w:fldChar w:fldCharType="begin"/>
      </w:r>
      <w:r>
        <w:rPr>
          <w:color w:val="000000"/>
          <w:shd w:val="clear" w:color="auto" w:fill="FFFFFF"/>
        </w:rPr>
        <w:instrText xml:space="preserve"> REF _Ref20996258 \h </w:instrText>
      </w:r>
      <w:r>
        <w:rPr>
          <w:color w:val="000000"/>
          <w:shd w:val="clear" w:color="auto" w:fill="FFFFFF"/>
        </w:rPr>
      </w:r>
      <w:r>
        <w:rPr>
          <w:color w:val="000000"/>
          <w:shd w:val="clear" w:color="auto" w:fill="FFFFFF"/>
        </w:rPr>
        <w:fldChar w:fldCharType="separate"/>
      </w:r>
      <w:r>
        <w:t xml:space="preserve">Table </w:t>
      </w:r>
      <w:r>
        <w:rPr>
          <w:noProof/>
        </w:rPr>
        <w:t>77</w:t>
      </w:r>
      <w:r>
        <w:rPr>
          <w:color w:val="000000"/>
          <w:shd w:val="clear" w:color="auto" w:fill="FFFFFF"/>
        </w:rPr>
        <w:fldChar w:fldCharType="end"/>
      </w:r>
      <w:r>
        <w:rPr>
          <w:color w:val="000000"/>
          <w:shd w:val="clear" w:color="auto" w:fill="FFFFFF"/>
        </w:rPr>
        <w:t xml:space="preserve"> in Appendix 3 present the PAM results for the first wave of patient surveys. These are the baseline measures and changes in the wave 2 and 3 surveys will be monitored. </w:t>
      </w:r>
    </w:p>
    <w:p w14:paraId="722AD3B2" w14:textId="77777777" w:rsidR="001C19F3" w:rsidRDefault="001C19F3" w:rsidP="001C19F3">
      <w:r>
        <w:t>The EQ-5D-5L is a health-related quality of life measure which can be used to estimate a respondent’s health related quality of life (</w:t>
      </w:r>
      <w:r w:rsidRPr="009245DB">
        <w:fldChar w:fldCharType="begin">
          <w:fldData xml:space="preserve">PEVuZE5vdGU+PENpdGU+PEF1dGhvcj5EZXZsaW48L0F1dGhvcj48WWVhcj4yMDEzPC9ZZWFyPjxS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</w:fldData>
        </w:fldChar>
      </w:r>
      <w:r w:rsidRPr="009245DB">
        <w:instrText xml:space="preserve"> ADDIN EN.CITE </w:instrText>
      </w:r>
      <w:r w:rsidRPr="009245DB">
        <w:fldChar w:fldCharType="begin">
          <w:fldData xml:space="preserve">PEVuZE5vdGU+PENpdGU+PEF1dGhvcj5EZXZsaW48L0F1dGhvcj48WWVhcj4yMDEzPC9ZZWFyPjxS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</w:fldData>
        </w:fldChar>
      </w:r>
      <w:r w:rsidRPr="009245DB">
        <w:instrText xml:space="preserve"> ADDIN EN.CITE.DATA </w:instrText>
      </w:r>
      <w:r w:rsidRPr="009245DB">
        <w:fldChar w:fldCharType="end"/>
      </w:r>
      <w:r w:rsidRPr="009245DB">
        <w:fldChar w:fldCharType="separate"/>
      </w:r>
      <w:r w:rsidRPr="009245DB">
        <w:rPr>
          <w:noProof/>
        </w:rPr>
        <w:t>Devlin &amp; Krabbe, 2013; Herdman et al., 2011</w:t>
      </w:r>
      <w:r w:rsidRPr="009245DB">
        <w:fldChar w:fldCharType="end"/>
      </w:r>
      <w:r w:rsidRPr="009245DB">
        <w:t>).</w:t>
      </w:r>
      <w:r>
        <w:t xml:space="preserve"> It is also used to estimate quality adjusted life years when comparing health interventions. The </w:t>
      </w:r>
      <w:r>
        <w:lastRenderedPageBreak/>
        <w:t xml:space="preserve">EQ-5D-5L has five basic questions about five key dimensions of a patient’s health related quality of life at the time of interview. The dimensions include: mobility, self-care, usual activities, pain and discomfort, and anxiety and depression. Responses reflect the level of difficulty patients experience with these dimensions. Responses to the five questions are mapped to a utility score ranging from just below zero to one, where scores at zero or below represent the worst health related quality of life and a score of one represents the best health related quality of life. </w:t>
      </w:r>
      <w:r>
        <w:fldChar w:fldCharType="begin"/>
      </w:r>
      <w:r>
        <w:instrText xml:space="preserve"> REF _Ref20996706 \h </w:instrText>
      </w:r>
      <w:r>
        <w:fldChar w:fldCharType="separate"/>
      </w:r>
      <w:r>
        <w:t xml:space="preserve">Table </w:t>
      </w:r>
      <w:r>
        <w:rPr>
          <w:noProof/>
        </w:rPr>
        <w:t>66</w:t>
      </w:r>
      <w:r>
        <w:fldChar w:fldCharType="end"/>
      </w:r>
      <w:r>
        <w:t xml:space="preserve"> and </w:t>
      </w:r>
      <w:r>
        <w:fldChar w:fldCharType="begin"/>
      </w:r>
      <w:r>
        <w:instrText xml:space="preserve"> REF _Ref20996685 \h </w:instrText>
      </w:r>
      <w:r>
        <w:fldChar w:fldCharType="separate"/>
      </w:r>
      <w:r>
        <w:t xml:space="preserve">Table </w:t>
      </w:r>
      <w:r>
        <w:rPr>
          <w:noProof/>
        </w:rPr>
        <w:t>76</w:t>
      </w:r>
      <w:r>
        <w:fldChar w:fldCharType="end"/>
      </w:r>
      <w:r>
        <w:t xml:space="preserve"> </w:t>
      </w:r>
      <w:r w:rsidRPr="00371D82">
        <w:t xml:space="preserve">in Appendix 3 present the results related to the </w:t>
      </w:r>
      <w:r>
        <w:t xml:space="preserve">EQ-5D-5L </w:t>
      </w:r>
      <w:r w:rsidRPr="00371D82">
        <w:t>for the wave</w:t>
      </w:r>
      <w:r>
        <w:t xml:space="preserve"> 1</w:t>
      </w:r>
      <w:r w:rsidRPr="00371D82">
        <w:t xml:space="preserve"> of </w:t>
      </w:r>
      <w:r>
        <w:t xml:space="preserve">the </w:t>
      </w:r>
      <w:r w:rsidRPr="00371D82">
        <w:t xml:space="preserve">patient </w:t>
      </w:r>
      <w:r>
        <w:t>surveys</w:t>
      </w:r>
      <w:r w:rsidRPr="00371D82">
        <w:t>.</w:t>
      </w:r>
    </w:p>
    <w:p w14:paraId="70084A46" w14:textId="77777777" w:rsidR="001C19F3" w:rsidRDefault="001C19F3" w:rsidP="001C19F3">
      <w:pPr>
        <w:rPr>
          <w:rFonts w:ascii="Calibri" w:eastAsiaTheme="minorHAnsi" w:hAnsi="Calibri"/>
        </w:rPr>
      </w:pPr>
      <w:r>
        <w:t xml:space="preserve">The PACIC is a validated tool that was designed to assess the implementation of the chronic care model from the patient perspective </w:t>
      </w:r>
      <w:r w:rsidRPr="004D27C9">
        <w:t>(</w:t>
      </w:r>
      <w:r w:rsidRPr="004D27C9">
        <w:fldChar w:fldCharType="begin">
          <w:fldData xml:space="preserve">PEVuZE5vdGU+PENpdGU+PEF1dGhvcj5TY2htaXR0ZGllbDwvQXV0aG9yPjxZZWFyPjIwMDg8L1ll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</w:fldData>
        </w:fldChar>
      </w:r>
      <w:r w:rsidRPr="004D27C9">
        <w:instrText xml:space="preserve"> ADDIN EN.CITE </w:instrText>
      </w:r>
      <w:r w:rsidRPr="004D27C9">
        <w:fldChar w:fldCharType="begin">
          <w:fldData xml:space="preserve">PEVuZE5vdGU+PENpdGU+PEF1dGhvcj5TY2htaXR0ZGllbDwvQXV0aG9yPjxZZWFyPjIwMDg8L1ll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</w:fldData>
        </w:fldChar>
      </w:r>
      <w:r w:rsidRPr="004D27C9">
        <w:instrText xml:space="preserve"> ADDIN EN.CITE.DATA </w:instrText>
      </w:r>
      <w:r w:rsidRPr="004D27C9">
        <w:fldChar w:fldCharType="end"/>
      </w:r>
      <w:r w:rsidRPr="004D27C9">
        <w:fldChar w:fldCharType="separate"/>
      </w:r>
      <w:r w:rsidRPr="004D27C9">
        <w:rPr>
          <w:noProof/>
        </w:rPr>
        <w:t>Gibbons et al., 2017; Glasgow et al., 2005; Schmittdiel et al., 2008</w:t>
      </w:r>
      <w:r w:rsidRPr="004D27C9">
        <w:fldChar w:fldCharType="end"/>
      </w:r>
      <w:r w:rsidRPr="004D27C9">
        <w:t>)</w:t>
      </w:r>
      <w:r>
        <w:t xml:space="preserve">. It focuses on the patient’s perspective of the receipt of patient-centred care and self-management behaviours. The 12-item version of the tool was used in the evaluation, and the possible responses to each item are on a five-point scale from 1 (none of the time) to 5 (always). There are several domains for PACIC. Responses for each question were assigned a score of 1-5, and then averaged across the relevant dimension. A total average score was also calculated. In the next evaluation report, psychometric techniques will be applied to the responses. </w:t>
      </w:r>
      <w:r>
        <w:fldChar w:fldCharType="begin"/>
      </w:r>
      <w:r>
        <w:instrText xml:space="preserve"> REF _Ref22808408 \h </w:instrText>
      </w:r>
      <w:r>
        <w:fldChar w:fldCharType="separate"/>
      </w:r>
      <w:r>
        <w:t xml:space="preserve">Table </w:t>
      </w:r>
      <w:r>
        <w:rPr>
          <w:noProof/>
        </w:rPr>
        <w:t>69</w:t>
      </w:r>
      <w:r>
        <w:fldChar w:fldCharType="end"/>
      </w:r>
      <w:r>
        <w:t xml:space="preserve"> and </w:t>
      </w:r>
      <w:r>
        <w:fldChar w:fldCharType="begin"/>
      </w:r>
      <w:r>
        <w:instrText xml:space="preserve"> REF _Ref22808425 \h </w:instrText>
      </w:r>
      <w:r>
        <w:fldChar w:fldCharType="separate"/>
      </w:r>
      <w:r>
        <w:t xml:space="preserve">Table </w:t>
      </w:r>
      <w:r>
        <w:rPr>
          <w:noProof/>
        </w:rPr>
        <w:t>79</w:t>
      </w:r>
      <w:r>
        <w:fldChar w:fldCharType="end"/>
      </w:r>
      <w:r>
        <w:t xml:space="preserve"> </w:t>
      </w:r>
      <w:r w:rsidRPr="00371D82">
        <w:t xml:space="preserve">in Appendix 3 present the results related to the </w:t>
      </w:r>
      <w:r>
        <w:t xml:space="preserve">PACIC </w:t>
      </w:r>
      <w:r w:rsidRPr="00371D82">
        <w:t>for the wave</w:t>
      </w:r>
      <w:r>
        <w:t xml:space="preserve"> 1</w:t>
      </w:r>
      <w:r w:rsidRPr="00371D82">
        <w:t xml:space="preserve"> of </w:t>
      </w:r>
      <w:r>
        <w:t xml:space="preserve">the </w:t>
      </w:r>
      <w:r w:rsidRPr="00371D82">
        <w:t xml:space="preserve">patient </w:t>
      </w:r>
      <w:r>
        <w:t>surveys</w:t>
      </w:r>
      <w:r w:rsidRPr="00371D82">
        <w:t>.</w:t>
      </w:r>
    </w:p>
    <w:p w14:paraId="09164DF4" w14:textId="77777777" w:rsidR="001C19F3" w:rsidRDefault="001C19F3" w:rsidP="001C19F3">
      <w:pPr>
        <w:pStyle w:val="Heading2"/>
      </w:pPr>
      <w:bookmarkStart w:id="496" w:name="_Toc27058956"/>
      <w:r>
        <w:t>Comparisons of data sources</w:t>
      </w:r>
      <w:bookmarkEnd w:id="496"/>
    </w:p>
    <w:p w14:paraId="37B93A1F" w14:textId="77777777" w:rsidR="001C19F3" w:rsidRPr="00487AE5" w:rsidRDefault="001C19F3" w:rsidP="001C19F3">
      <w:r>
        <w:t xml:space="preserve">The patient survey provides an opportunity to explore the alignment of estimates with other data sources. Table 27 in Volume 2 compares results from the patient survey and practice extracts on the numbers and types of diagnoses reported. </w:t>
      </w:r>
      <w:r>
        <w:fldChar w:fldCharType="begin"/>
      </w:r>
      <w:r>
        <w:instrText xml:space="preserve"> REF _Ref22653872 \h  \* MERGEFORMAT </w:instrText>
      </w:r>
      <w:r>
        <w:fldChar w:fldCharType="separate"/>
      </w:r>
      <w:r w:rsidRPr="008F2809">
        <w:t>Table 12</w:t>
      </w:r>
      <w:r>
        <w:fldChar w:fldCharType="end"/>
      </w:r>
      <w:r>
        <w:t xml:space="preserve"> compares the number of GP consultations/attendance from these two sources.</w:t>
      </w:r>
    </w:p>
    <w:p w14:paraId="57F77EBE" w14:textId="77777777" w:rsidR="001C19F3" w:rsidRDefault="001C19F3" w:rsidP="001C19F3">
      <w:pPr>
        <w:spacing w:after="0"/>
        <w:ind w:left="1560" w:right="1513" w:hanging="567"/>
        <w:jc w:val="center"/>
        <w:rPr>
          <w:b/>
          <w:szCs w:val="20"/>
        </w:rPr>
      </w:pPr>
      <w:bookmarkStart w:id="497" w:name="_Ref22653872"/>
      <w:r>
        <w:rPr>
          <w:b/>
          <w:szCs w:val="20"/>
        </w:rPr>
        <w:t xml:space="preserve">Table </w:t>
      </w:r>
      <w:r>
        <w:fldChar w:fldCharType="begin"/>
      </w:r>
      <w:r>
        <w:rPr>
          <w:b/>
          <w:szCs w:val="20"/>
        </w:rPr>
        <w:instrText xml:space="preserve"> SEQ Table \* ARABIC </w:instrText>
      </w:r>
      <w:r>
        <w:fldChar w:fldCharType="separate"/>
      </w:r>
      <w:r>
        <w:rPr>
          <w:b/>
          <w:noProof/>
          <w:szCs w:val="20"/>
        </w:rPr>
        <w:t>12</w:t>
      </w:r>
      <w:r>
        <w:fldChar w:fldCharType="end"/>
      </w:r>
      <w:bookmarkEnd w:id="497"/>
      <w:r>
        <w:rPr>
          <w:b/>
          <w:szCs w:val="20"/>
        </w:rPr>
        <w:t xml:space="preserve"> – Comparison of patient reported number of GP consultations and practice extract data </w:t>
      </w:r>
    </w:p>
    <w:tbl>
      <w:tblPr>
        <w:tblW w:w="6086"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127"/>
        <w:gridCol w:w="1974"/>
        <w:gridCol w:w="1985"/>
      </w:tblGrid>
      <w:tr w:rsidR="001C19F3" w:rsidRPr="00593D01" w14:paraId="55251D85" w14:textId="77777777" w:rsidTr="00521305">
        <w:trPr>
          <w:trHeight w:val="615"/>
          <w:jc w:val="center"/>
        </w:trPr>
        <w:tc>
          <w:tcPr>
            <w:tcW w:w="2127" w:type="dxa"/>
            <w:shd w:val="clear" w:color="auto" w:fill="003D79"/>
            <w:vAlign w:val="center"/>
            <w:hideMark/>
          </w:tcPr>
          <w:p w14:paraId="4CC623CD" w14:textId="77777777" w:rsidR="001C19F3" w:rsidRPr="00593D01" w:rsidRDefault="001C19F3" w:rsidP="00521305">
            <w:pPr>
              <w:spacing w:after="0" w:line="240" w:lineRule="auto"/>
              <w:jc w:val="center"/>
              <w:rPr>
                <w:b/>
                <w:sz w:val="18"/>
                <w:szCs w:val="18"/>
              </w:rPr>
            </w:pPr>
            <w:r w:rsidRPr="00593D01">
              <w:rPr>
                <w:b/>
                <w:sz w:val="18"/>
                <w:szCs w:val="18"/>
              </w:rPr>
              <w:t>Frequency</w:t>
            </w:r>
            <w:r>
              <w:rPr>
                <w:b/>
                <w:sz w:val="18"/>
                <w:szCs w:val="18"/>
              </w:rPr>
              <w:t xml:space="preserve"> of attendances over the last 6 months</w:t>
            </w:r>
          </w:p>
        </w:tc>
        <w:tc>
          <w:tcPr>
            <w:tcW w:w="1974" w:type="dxa"/>
            <w:shd w:val="clear" w:color="auto" w:fill="003D79"/>
            <w:vAlign w:val="center"/>
            <w:hideMark/>
          </w:tcPr>
          <w:p w14:paraId="68585513" w14:textId="77777777" w:rsidR="001C19F3" w:rsidRPr="00593D01" w:rsidRDefault="001C19F3" w:rsidP="00521305">
            <w:pPr>
              <w:spacing w:after="0" w:line="240" w:lineRule="auto"/>
              <w:jc w:val="center"/>
              <w:rPr>
                <w:b/>
                <w:sz w:val="18"/>
                <w:szCs w:val="18"/>
              </w:rPr>
            </w:pPr>
            <w:r>
              <w:rPr>
                <w:b/>
                <w:sz w:val="18"/>
                <w:szCs w:val="18"/>
              </w:rPr>
              <w:t>Patient survey</w:t>
            </w:r>
            <w:r w:rsidRPr="006E7C8C">
              <w:rPr>
                <w:b/>
                <w:sz w:val="18"/>
                <w:szCs w:val="18"/>
                <w:vertAlign w:val="superscript"/>
              </w:rPr>
              <w:t>1</w:t>
            </w:r>
          </w:p>
        </w:tc>
        <w:tc>
          <w:tcPr>
            <w:tcW w:w="1985" w:type="dxa"/>
            <w:shd w:val="clear" w:color="auto" w:fill="003D79"/>
            <w:vAlign w:val="center"/>
            <w:hideMark/>
          </w:tcPr>
          <w:p w14:paraId="1FC49F6F" w14:textId="77777777" w:rsidR="001C19F3" w:rsidRPr="00593D01" w:rsidRDefault="001C19F3" w:rsidP="00521305">
            <w:pPr>
              <w:spacing w:after="0" w:line="240" w:lineRule="auto"/>
              <w:jc w:val="center"/>
              <w:rPr>
                <w:b/>
                <w:sz w:val="18"/>
                <w:szCs w:val="18"/>
              </w:rPr>
            </w:pPr>
            <w:r w:rsidRPr="00593D01">
              <w:rPr>
                <w:b/>
                <w:sz w:val="18"/>
                <w:szCs w:val="18"/>
              </w:rPr>
              <w:t>Practice extracts</w:t>
            </w:r>
            <w:r w:rsidRPr="006E7C8C">
              <w:rPr>
                <w:b/>
                <w:sz w:val="18"/>
                <w:szCs w:val="18"/>
                <w:vertAlign w:val="superscript"/>
              </w:rPr>
              <w:t>2</w:t>
            </w:r>
          </w:p>
        </w:tc>
      </w:tr>
      <w:tr w:rsidR="001C19F3" w:rsidRPr="00593D01" w14:paraId="6A4D094E" w14:textId="77777777" w:rsidTr="00521305">
        <w:trPr>
          <w:trHeight w:val="315"/>
          <w:jc w:val="center"/>
        </w:trPr>
        <w:tc>
          <w:tcPr>
            <w:tcW w:w="2127" w:type="dxa"/>
            <w:shd w:val="clear" w:color="auto" w:fill="auto"/>
            <w:vAlign w:val="center"/>
            <w:hideMark/>
          </w:tcPr>
          <w:p w14:paraId="0BEA5A00" w14:textId="77777777" w:rsidR="001C19F3" w:rsidRPr="00593D01" w:rsidRDefault="001C19F3" w:rsidP="00521305">
            <w:pPr>
              <w:spacing w:after="0" w:line="240" w:lineRule="auto"/>
              <w:ind w:firstLineChars="100" w:firstLine="180"/>
              <w:rPr>
                <w:rFonts w:eastAsia="Times New Roman"/>
                <w:color w:val="000000"/>
                <w:sz w:val="18"/>
                <w:lang w:eastAsia="en-AU"/>
              </w:rPr>
            </w:pPr>
            <w:r w:rsidRPr="00593D01">
              <w:rPr>
                <w:rFonts w:eastAsia="Times New Roman"/>
                <w:color w:val="000000"/>
                <w:sz w:val="18"/>
                <w:lang w:eastAsia="en-AU"/>
              </w:rPr>
              <w:t>Less than 5</w:t>
            </w:r>
          </w:p>
        </w:tc>
        <w:tc>
          <w:tcPr>
            <w:tcW w:w="1974" w:type="dxa"/>
            <w:shd w:val="clear" w:color="auto" w:fill="auto"/>
            <w:noWrap/>
            <w:hideMark/>
          </w:tcPr>
          <w:p w14:paraId="388B6DF2" w14:textId="77777777" w:rsidR="001C19F3" w:rsidRPr="00593D01" w:rsidRDefault="001C19F3" w:rsidP="00521305">
            <w:pPr>
              <w:spacing w:after="0" w:line="240" w:lineRule="auto"/>
              <w:ind w:firstLineChars="100" w:firstLine="200"/>
              <w:jc w:val="center"/>
              <w:rPr>
                <w:rFonts w:eastAsia="Times New Roman"/>
                <w:color w:val="000000"/>
                <w:sz w:val="18"/>
                <w:lang w:eastAsia="en-AU"/>
              </w:rPr>
            </w:pPr>
            <w:r w:rsidRPr="00B64980">
              <w:t>47.9%</w:t>
            </w:r>
          </w:p>
        </w:tc>
        <w:tc>
          <w:tcPr>
            <w:tcW w:w="1985" w:type="dxa"/>
            <w:shd w:val="clear" w:color="auto" w:fill="auto"/>
            <w:noWrap/>
            <w:hideMark/>
          </w:tcPr>
          <w:p w14:paraId="58059C61" w14:textId="77777777" w:rsidR="001C19F3" w:rsidRPr="00593D01" w:rsidRDefault="001C19F3" w:rsidP="00521305">
            <w:pPr>
              <w:spacing w:after="0" w:line="240" w:lineRule="auto"/>
              <w:ind w:firstLineChars="100" w:firstLine="200"/>
              <w:jc w:val="center"/>
              <w:rPr>
                <w:rFonts w:eastAsia="Times New Roman"/>
                <w:color w:val="000000"/>
                <w:sz w:val="18"/>
                <w:lang w:eastAsia="en-AU"/>
              </w:rPr>
            </w:pPr>
            <w:r w:rsidRPr="00B64980">
              <w:t>38.6%</w:t>
            </w:r>
          </w:p>
        </w:tc>
      </w:tr>
      <w:tr w:rsidR="001C19F3" w:rsidRPr="00593D01" w14:paraId="386DE29D" w14:textId="77777777" w:rsidTr="00521305">
        <w:trPr>
          <w:trHeight w:val="315"/>
          <w:jc w:val="center"/>
        </w:trPr>
        <w:tc>
          <w:tcPr>
            <w:tcW w:w="2127" w:type="dxa"/>
            <w:shd w:val="clear" w:color="auto" w:fill="auto"/>
            <w:vAlign w:val="center"/>
            <w:hideMark/>
          </w:tcPr>
          <w:p w14:paraId="286AEDE6" w14:textId="77777777" w:rsidR="001C19F3" w:rsidRPr="00593D01" w:rsidRDefault="001C19F3" w:rsidP="00521305">
            <w:pPr>
              <w:spacing w:after="0" w:line="240" w:lineRule="auto"/>
              <w:ind w:firstLineChars="100" w:firstLine="180"/>
              <w:rPr>
                <w:rFonts w:eastAsia="Times New Roman"/>
                <w:color w:val="000000"/>
                <w:sz w:val="18"/>
                <w:lang w:eastAsia="en-AU"/>
              </w:rPr>
            </w:pPr>
            <w:r w:rsidRPr="00593D01">
              <w:rPr>
                <w:rFonts w:eastAsia="Times New Roman"/>
                <w:color w:val="000000"/>
                <w:sz w:val="18"/>
                <w:lang w:eastAsia="en-AU"/>
              </w:rPr>
              <w:t>5 to 9</w:t>
            </w:r>
          </w:p>
        </w:tc>
        <w:tc>
          <w:tcPr>
            <w:tcW w:w="1974" w:type="dxa"/>
            <w:shd w:val="clear" w:color="auto" w:fill="auto"/>
            <w:noWrap/>
            <w:hideMark/>
          </w:tcPr>
          <w:p w14:paraId="29354DFF" w14:textId="77777777" w:rsidR="001C19F3" w:rsidRPr="00593D01" w:rsidRDefault="001C19F3" w:rsidP="00521305">
            <w:pPr>
              <w:spacing w:after="0" w:line="240" w:lineRule="auto"/>
              <w:ind w:firstLineChars="100" w:firstLine="200"/>
              <w:jc w:val="center"/>
              <w:rPr>
                <w:rFonts w:eastAsia="Times New Roman"/>
                <w:color w:val="000000"/>
                <w:sz w:val="18"/>
                <w:lang w:eastAsia="en-AU"/>
              </w:rPr>
            </w:pPr>
            <w:r w:rsidRPr="00B64980">
              <w:t>30.2%</w:t>
            </w:r>
          </w:p>
        </w:tc>
        <w:tc>
          <w:tcPr>
            <w:tcW w:w="1985" w:type="dxa"/>
            <w:shd w:val="clear" w:color="auto" w:fill="auto"/>
            <w:noWrap/>
            <w:hideMark/>
          </w:tcPr>
          <w:p w14:paraId="7CFE0760" w14:textId="77777777" w:rsidR="001C19F3" w:rsidRPr="00593D01" w:rsidRDefault="001C19F3" w:rsidP="00521305">
            <w:pPr>
              <w:spacing w:after="0" w:line="240" w:lineRule="auto"/>
              <w:ind w:firstLineChars="100" w:firstLine="200"/>
              <w:jc w:val="center"/>
              <w:rPr>
                <w:rFonts w:eastAsia="Times New Roman"/>
                <w:color w:val="000000"/>
                <w:sz w:val="18"/>
                <w:lang w:eastAsia="en-AU"/>
              </w:rPr>
            </w:pPr>
            <w:r w:rsidRPr="00B64980">
              <w:t>37.7%</w:t>
            </w:r>
          </w:p>
        </w:tc>
      </w:tr>
      <w:tr w:rsidR="001C19F3" w:rsidRPr="00593D01" w14:paraId="29D5A1FA" w14:textId="77777777" w:rsidTr="00521305">
        <w:trPr>
          <w:trHeight w:val="315"/>
          <w:jc w:val="center"/>
        </w:trPr>
        <w:tc>
          <w:tcPr>
            <w:tcW w:w="2127" w:type="dxa"/>
            <w:shd w:val="clear" w:color="auto" w:fill="auto"/>
            <w:vAlign w:val="center"/>
            <w:hideMark/>
          </w:tcPr>
          <w:p w14:paraId="6A9B7ADF" w14:textId="77777777" w:rsidR="001C19F3" w:rsidRPr="00593D01" w:rsidRDefault="001C19F3" w:rsidP="00521305">
            <w:pPr>
              <w:spacing w:after="0" w:line="240" w:lineRule="auto"/>
              <w:ind w:firstLineChars="100" w:firstLine="180"/>
              <w:rPr>
                <w:rFonts w:eastAsia="Times New Roman"/>
                <w:color w:val="000000"/>
                <w:sz w:val="18"/>
                <w:lang w:eastAsia="en-AU"/>
              </w:rPr>
            </w:pPr>
            <w:r w:rsidRPr="00593D01">
              <w:rPr>
                <w:rFonts w:eastAsia="Times New Roman"/>
                <w:color w:val="000000"/>
                <w:sz w:val="18"/>
                <w:lang w:eastAsia="en-AU"/>
              </w:rPr>
              <w:t>10 or more</w:t>
            </w:r>
          </w:p>
        </w:tc>
        <w:tc>
          <w:tcPr>
            <w:tcW w:w="1974" w:type="dxa"/>
            <w:shd w:val="clear" w:color="auto" w:fill="auto"/>
            <w:noWrap/>
            <w:hideMark/>
          </w:tcPr>
          <w:p w14:paraId="69C5B50B" w14:textId="77777777" w:rsidR="001C19F3" w:rsidRPr="00593D01" w:rsidRDefault="001C19F3" w:rsidP="00521305">
            <w:pPr>
              <w:spacing w:after="0" w:line="240" w:lineRule="auto"/>
              <w:ind w:firstLineChars="100" w:firstLine="200"/>
              <w:jc w:val="center"/>
              <w:rPr>
                <w:rFonts w:eastAsia="Times New Roman"/>
                <w:color w:val="000000"/>
                <w:sz w:val="18"/>
                <w:lang w:eastAsia="en-AU"/>
              </w:rPr>
            </w:pPr>
            <w:r w:rsidRPr="00B64980">
              <w:t>22.0%</w:t>
            </w:r>
          </w:p>
        </w:tc>
        <w:tc>
          <w:tcPr>
            <w:tcW w:w="1985" w:type="dxa"/>
            <w:shd w:val="clear" w:color="auto" w:fill="auto"/>
            <w:noWrap/>
            <w:hideMark/>
          </w:tcPr>
          <w:p w14:paraId="60BF66BF" w14:textId="77777777" w:rsidR="001C19F3" w:rsidRPr="00593D01" w:rsidRDefault="001C19F3" w:rsidP="00521305">
            <w:pPr>
              <w:spacing w:after="0" w:line="240" w:lineRule="auto"/>
              <w:ind w:firstLineChars="100" w:firstLine="200"/>
              <w:jc w:val="center"/>
              <w:rPr>
                <w:rFonts w:eastAsia="Times New Roman"/>
                <w:color w:val="000000"/>
                <w:sz w:val="18"/>
                <w:lang w:eastAsia="en-AU"/>
              </w:rPr>
            </w:pPr>
            <w:r w:rsidRPr="00B64980">
              <w:t>23.6%</w:t>
            </w:r>
          </w:p>
        </w:tc>
      </w:tr>
      <w:tr w:rsidR="001C19F3" w:rsidRPr="00593D01" w14:paraId="639C61C7" w14:textId="77777777" w:rsidTr="00521305">
        <w:trPr>
          <w:trHeight w:val="300"/>
          <w:jc w:val="center"/>
        </w:trPr>
        <w:tc>
          <w:tcPr>
            <w:tcW w:w="2127" w:type="dxa"/>
            <w:shd w:val="clear" w:color="auto" w:fill="auto"/>
            <w:vAlign w:val="center"/>
            <w:hideMark/>
          </w:tcPr>
          <w:p w14:paraId="03B3BF94" w14:textId="77777777" w:rsidR="001C19F3" w:rsidRPr="006E7C8C" w:rsidRDefault="001C19F3" w:rsidP="00521305">
            <w:pPr>
              <w:spacing w:after="0" w:line="240" w:lineRule="auto"/>
              <w:ind w:firstLineChars="100" w:firstLine="180"/>
              <w:rPr>
                <w:rFonts w:eastAsia="Times New Roman"/>
                <w:b/>
                <w:color w:val="000000"/>
                <w:sz w:val="18"/>
                <w:lang w:eastAsia="en-AU"/>
              </w:rPr>
            </w:pPr>
            <w:r w:rsidRPr="006E7C8C">
              <w:rPr>
                <w:rFonts w:eastAsia="Times New Roman"/>
                <w:b/>
                <w:color w:val="000000"/>
                <w:sz w:val="18"/>
                <w:lang w:eastAsia="en-AU"/>
              </w:rPr>
              <w:t>Total</w:t>
            </w:r>
          </w:p>
        </w:tc>
        <w:tc>
          <w:tcPr>
            <w:tcW w:w="1974" w:type="dxa"/>
            <w:shd w:val="clear" w:color="auto" w:fill="auto"/>
            <w:noWrap/>
            <w:vAlign w:val="center"/>
            <w:hideMark/>
          </w:tcPr>
          <w:p w14:paraId="21C93662" w14:textId="77777777" w:rsidR="001C19F3" w:rsidRPr="006E7C8C" w:rsidRDefault="001C19F3" w:rsidP="00521305">
            <w:pPr>
              <w:spacing w:after="0" w:line="240" w:lineRule="auto"/>
              <w:ind w:firstLineChars="100" w:firstLine="180"/>
              <w:jc w:val="center"/>
              <w:rPr>
                <w:rFonts w:eastAsia="Times New Roman"/>
                <w:b/>
                <w:color w:val="000000"/>
                <w:sz w:val="18"/>
                <w:lang w:eastAsia="en-AU"/>
              </w:rPr>
            </w:pPr>
            <w:r w:rsidRPr="006E7C8C">
              <w:rPr>
                <w:rFonts w:eastAsia="Times New Roman"/>
                <w:b/>
                <w:color w:val="000000"/>
                <w:sz w:val="18"/>
                <w:lang w:eastAsia="en-AU"/>
              </w:rPr>
              <w:t>100.0%</w:t>
            </w:r>
          </w:p>
        </w:tc>
        <w:tc>
          <w:tcPr>
            <w:tcW w:w="1985" w:type="dxa"/>
            <w:shd w:val="clear" w:color="auto" w:fill="auto"/>
            <w:noWrap/>
            <w:vAlign w:val="center"/>
            <w:hideMark/>
          </w:tcPr>
          <w:p w14:paraId="3F38081F" w14:textId="77777777" w:rsidR="001C19F3" w:rsidRPr="006E7C8C" w:rsidRDefault="001C19F3" w:rsidP="00521305">
            <w:pPr>
              <w:spacing w:after="0" w:line="240" w:lineRule="auto"/>
              <w:ind w:firstLineChars="100" w:firstLine="180"/>
              <w:jc w:val="center"/>
              <w:rPr>
                <w:rFonts w:eastAsia="Times New Roman"/>
                <w:b/>
                <w:color w:val="000000"/>
                <w:sz w:val="18"/>
                <w:lang w:eastAsia="en-AU"/>
              </w:rPr>
            </w:pPr>
            <w:r w:rsidRPr="006E7C8C">
              <w:rPr>
                <w:rFonts w:eastAsia="Times New Roman"/>
                <w:b/>
                <w:color w:val="000000"/>
                <w:sz w:val="18"/>
                <w:lang w:eastAsia="en-AU"/>
              </w:rPr>
              <w:t>100.0%</w:t>
            </w:r>
          </w:p>
        </w:tc>
      </w:tr>
    </w:tbl>
    <w:p w14:paraId="01600B4E" w14:textId="77777777" w:rsidR="001C19F3" w:rsidRDefault="001C19F3" w:rsidP="001C19F3">
      <w:pPr>
        <w:pStyle w:val="Chartortablefootnote"/>
        <w:spacing w:after="0"/>
        <w:ind w:left="1418" w:right="1513"/>
        <w:rPr>
          <w:lang w:eastAsia="en-AU"/>
        </w:rPr>
      </w:pPr>
      <w:r w:rsidRPr="00DE7BA0">
        <w:rPr>
          <w:lang w:eastAsia="en-AU"/>
        </w:rPr>
        <w:t xml:space="preserve">Source: </w:t>
      </w:r>
      <w:r w:rsidRPr="00DE7BA0">
        <w:rPr>
          <w:vertAlign w:val="superscript"/>
          <w:lang w:eastAsia="en-AU"/>
        </w:rPr>
        <w:t>1</w:t>
      </w:r>
      <w:r w:rsidRPr="00DE7BA0">
        <w:rPr>
          <w:lang w:eastAsia="en-AU"/>
        </w:rPr>
        <w:t>CATI surveys conducted by The Social Research Centre between December 2017 and March 2019</w:t>
      </w:r>
      <w:r>
        <w:rPr>
          <w:lang w:eastAsia="en-AU"/>
        </w:rPr>
        <w:t>;</w:t>
      </w:r>
      <w:r w:rsidRPr="00DE7BA0">
        <w:rPr>
          <w:lang w:eastAsia="en-AU"/>
        </w:rPr>
        <w:t xml:space="preserve">  </w:t>
      </w:r>
      <w:r w:rsidRPr="00DE7BA0">
        <w:rPr>
          <w:vertAlign w:val="superscript"/>
          <w:lang w:eastAsia="en-AU"/>
        </w:rPr>
        <w:t>2</w:t>
      </w:r>
      <w:r w:rsidRPr="00DE7BA0">
        <w:rPr>
          <w:lang w:eastAsia="en-AU"/>
        </w:rPr>
        <w:t xml:space="preserve">See </w:t>
      </w:r>
      <w:r w:rsidRPr="00DE7BA0">
        <w:rPr>
          <w:lang w:eastAsia="en-AU"/>
        </w:rPr>
        <w:fldChar w:fldCharType="begin"/>
      </w:r>
      <w:r w:rsidRPr="00DE7BA0">
        <w:rPr>
          <w:lang w:eastAsia="en-AU"/>
        </w:rPr>
        <w:instrText xml:space="preserve"> REF _Ref16341786 \h  \* MERGEFORMAT </w:instrText>
      </w:r>
      <w:r w:rsidRPr="00DE7BA0">
        <w:rPr>
          <w:lang w:eastAsia="en-AU"/>
        </w:rPr>
      </w:r>
      <w:r w:rsidRPr="00DE7BA0">
        <w:rPr>
          <w:lang w:eastAsia="en-AU"/>
        </w:rPr>
        <w:fldChar w:fldCharType="separate"/>
      </w:r>
      <w:r w:rsidRPr="008F2809">
        <w:rPr>
          <w:szCs w:val="22"/>
          <w:lang w:eastAsia="en-AU"/>
        </w:rPr>
        <w:t>Table 22</w:t>
      </w:r>
      <w:r w:rsidRPr="00DE7BA0">
        <w:rPr>
          <w:lang w:eastAsia="en-AU"/>
        </w:rPr>
        <w:fldChar w:fldCharType="end"/>
      </w:r>
      <w:r w:rsidRPr="00DE7BA0">
        <w:rPr>
          <w:lang w:eastAsia="en-AU"/>
        </w:rPr>
        <w:t xml:space="preserve"> for sources.</w:t>
      </w:r>
      <w:bookmarkEnd w:id="489"/>
      <w:r w:rsidRPr="00854F1C">
        <w:rPr>
          <w:lang w:eastAsia="en-AU"/>
        </w:rPr>
        <w:t xml:space="preserve"> </w:t>
      </w:r>
    </w:p>
    <w:p w14:paraId="5C9E540D" w14:textId="77777777" w:rsidR="001C19F3" w:rsidRDefault="001C19F3" w:rsidP="001C19F3">
      <w:pPr>
        <w:pStyle w:val="Chartortablefootnote"/>
        <w:ind w:left="1418" w:right="1513"/>
        <w:rPr>
          <w:lang w:eastAsia="en-AU"/>
        </w:rPr>
      </w:pPr>
      <w:r w:rsidRPr="00DE7BA0">
        <w:rPr>
          <w:lang w:eastAsia="en-AU"/>
        </w:rPr>
        <w:t>Excludes unknown or invalid responses</w:t>
      </w:r>
      <w:r>
        <w:rPr>
          <w:lang w:eastAsia="en-AU"/>
        </w:rPr>
        <w:t>.</w:t>
      </w:r>
    </w:p>
    <w:p w14:paraId="410B50B7" w14:textId="77777777" w:rsidR="001C19F3" w:rsidRPr="00DE7BA0" w:rsidRDefault="001C19F3" w:rsidP="001C19F3">
      <w:pPr>
        <w:pStyle w:val="Chartortablefootnote"/>
        <w:rPr>
          <w:lang w:eastAsia="en-AU"/>
        </w:rPr>
        <w:sectPr w:rsidR="001C19F3" w:rsidRPr="00DE7BA0" w:rsidSect="00640EFA">
          <w:headerReference w:type="first" r:id="rId158"/>
          <w:pgSz w:w="11906" w:h="16838"/>
          <w:pgMar w:top="1440" w:right="1440" w:bottom="1440" w:left="1440" w:header="708" w:footer="708" w:gutter="0"/>
          <w:cols w:space="708"/>
          <w:titlePg/>
          <w:docGrid w:linePitch="360"/>
        </w:sectPr>
      </w:pPr>
    </w:p>
    <w:p w14:paraId="6A244130" w14:textId="77777777" w:rsidR="001C19F3" w:rsidRDefault="001C19F3" w:rsidP="001C19F3">
      <w:pPr>
        <w:pStyle w:val="Heading1withnumber"/>
        <w:ind w:left="0" w:hanging="1134"/>
      </w:pPr>
      <w:bookmarkStart w:id="498" w:name="_Toc27058957"/>
      <w:r>
        <w:lastRenderedPageBreak/>
        <w:t>Practice extracts</w:t>
      </w:r>
      <w:bookmarkEnd w:id="498"/>
    </w:p>
    <w:p w14:paraId="0BE5BDEF" w14:textId="77777777" w:rsidR="001C19F3" w:rsidRDefault="001C19F3" w:rsidP="001C19F3">
      <w:r>
        <w:t xml:space="preserve">Extracts from practice clinical management systems were provided for the HCH evaluation. </w:t>
      </w:r>
    </w:p>
    <w:p w14:paraId="07B43818" w14:textId="77777777" w:rsidR="001C19F3" w:rsidRDefault="001C19F3" w:rsidP="001C19F3">
      <w:r>
        <w:t xml:space="preserve">Practice extracts will be used to evaluate changes in the quality of chronic illness care provided for HCH patients (e.g. recording of HbA1c tests in patients with diabetes) and patient health outcomes (e.g. HbA1c results). Practice data extracts will be used in subsequent reports to compare outcomes in HCH patients with those of non-enrolled counterparts in the same practice and in non-HCH practices. </w:t>
      </w:r>
    </w:p>
    <w:p w14:paraId="27D8A206" w14:textId="77777777" w:rsidR="001C19F3" w:rsidRDefault="001C19F3" w:rsidP="001C19F3">
      <w:r>
        <w:t>This Chapter describes the sources of the practice extracts, how the data are being collated for the evaluation, the patient information that is extracted, and how the capture of patient information varies between data sources. It also examines the extent to which practices flag HCH patients in their clinical management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C19F3" w:rsidRPr="006E7C8C" w14:paraId="0A24074E" w14:textId="77777777" w:rsidTr="00521305">
        <w:tc>
          <w:tcPr>
            <w:tcW w:w="9016" w:type="dxa"/>
            <w:shd w:val="clear" w:color="auto" w:fill="F2F2F2" w:themeFill="background1" w:themeFillShade="F2"/>
          </w:tcPr>
          <w:p w14:paraId="3CCC8796" w14:textId="77777777" w:rsidR="001C19F3" w:rsidRPr="006E7C8C" w:rsidRDefault="001C19F3" w:rsidP="00521305">
            <w:pPr>
              <w:rPr>
                <w:b/>
                <w:sz w:val="18"/>
                <w:szCs w:val="18"/>
              </w:rPr>
            </w:pPr>
            <w:r w:rsidRPr="006E7C8C">
              <w:rPr>
                <w:b/>
                <w:sz w:val="18"/>
                <w:szCs w:val="18"/>
              </w:rPr>
              <w:t>Key points</w:t>
            </w:r>
          </w:p>
          <w:p w14:paraId="0D7A634E" w14:textId="77777777" w:rsidR="001C19F3" w:rsidRPr="006E7C8C" w:rsidRDefault="001C19F3" w:rsidP="001C19F3">
            <w:pPr>
              <w:pStyle w:val="ListParagraph"/>
              <w:numPr>
                <w:ilvl w:val="0"/>
                <w:numId w:val="91"/>
              </w:numPr>
              <w:ind w:left="447" w:hanging="357"/>
              <w:contextualSpacing w:val="0"/>
              <w:rPr>
                <w:sz w:val="18"/>
                <w:szCs w:val="18"/>
              </w:rPr>
            </w:pPr>
            <w:bookmarkStart w:id="499" w:name="_Hlk22484281"/>
            <w:r w:rsidRPr="006E7C8C">
              <w:rPr>
                <w:sz w:val="18"/>
                <w:szCs w:val="18"/>
              </w:rPr>
              <w:t xml:space="preserve">Practice data extracts are being provided for the evaluation from several sources: Pen CS, Population Level Analysis and Reporting (POLAR), </w:t>
            </w:r>
            <w:r w:rsidRPr="006E7C8C">
              <w:rPr>
                <w:rFonts w:eastAsiaTheme="minorHAnsi" w:cs="Century Gothic"/>
                <w:sz w:val="18"/>
                <w:szCs w:val="18"/>
              </w:rPr>
              <w:t>National Prescribing Service (NPS)</w:t>
            </w:r>
            <w:r w:rsidRPr="006E7C8C">
              <w:rPr>
                <w:sz w:val="18"/>
                <w:szCs w:val="18"/>
              </w:rPr>
              <w:t xml:space="preserve"> MedicineInsight and separate extracts from two corporate groups. For the baseline period (October 2017 </w:t>
            </w:r>
            <w:r>
              <w:rPr>
                <w:sz w:val="18"/>
                <w:szCs w:val="18"/>
              </w:rPr>
              <w:t>to</w:t>
            </w:r>
            <w:r w:rsidRPr="006E7C8C">
              <w:rPr>
                <w:sz w:val="18"/>
                <w:szCs w:val="18"/>
              </w:rPr>
              <w:t xml:space="preserve"> June 2019), practice extracts </w:t>
            </w:r>
            <w:r>
              <w:rPr>
                <w:sz w:val="18"/>
                <w:szCs w:val="18"/>
              </w:rPr>
              <w:t>were</w:t>
            </w:r>
            <w:r w:rsidRPr="006E7C8C">
              <w:rPr>
                <w:sz w:val="18"/>
                <w:szCs w:val="18"/>
              </w:rPr>
              <w:t xml:space="preserve"> received from 10</w:t>
            </w:r>
            <w:r>
              <w:rPr>
                <w:sz w:val="18"/>
                <w:szCs w:val="18"/>
              </w:rPr>
              <w:t>8</w:t>
            </w:r>
            <w:r w:rsidRPr="006E7C8C">
              <w:rPr>
                <w:sz w:val="18"/>
                <w:szCs w:val="18"/>
              </w:rPr>
              <w:t xml:space="preserve"> HCH practices (including 12 ACCHS)</w:t>
            </w:r>
            <w:r>
              <w:rPr>
                <w:sz w:val="18"/>
                <w:szCs w:val="18"/>
              </w:rPr>
              <w:t xml:space="preserve"> as at 31 July 2019</w:t>
            </w:r>
            <w:r w:rsidRPr="006E7C8C">
              <w:rPr>
                <w:sz w:val="18"/>
                <w:szCs w:val="18"/>
              </w:rPr>
              <w:t xml:space="preserve"> and 417 non-HCH comparator practices</w:t>
            </w:r>
            <w:r>
              <w:rPr>
                <w:sz w:val="18"/>
                <w:szCs w:val="18"/>
              </w:rPr>
              <w:t xml:space="preserve"> as at 31 August 2019</w:t>
            </w:r>
            <w:r w:rsidRPr="006E7C8C">
              <w:rPr>
                <w:sz w:val="18"/>
                <w:szCs w:val="18"/>
              </w:rPr>
              <w:t>.</w:t>
            </w:r>
          </w:p>
          <w:bookmarkEnd w:id="499"/>
          <w:p w14:paraId="2B406AB3" w14:textId="77777777" w:rsidR="001C19F3" w:rsidRPr="006E7C8C" w:rsidRDefault="001C19F3" w:rsidP="001C19F3">
            <w:pPr>
              <w:pStyle w:val="ListParagraph"/>
              <w:numPr>
                <w:ilvl w:val="0"/>
                <w:numId w:val="91"/>
              </w:numPr>
              <w:ind w:left="447" w:hanging="357"/>
              <w:contextualSpacing w:val="0"/>
              <w:rPr>
                <w:sz w:val="18"/>
                <w:szCs w:val="18"/>
              </w:rPr>
            </w:pPr>
            <w:r w:rsidRPr="006E7C8C">
              <w:rPr>
                <w:sz w:val="18"/>
                <w:szCs w:val="18"/>
              </w:rPr>
              <w:t>Practice extracts from the three data sources contain information about patient demographic characteristics, service encounters, diagnoses, clinical observations, pathology results, prescriptions and MBS billing. However, there are variations between</w:t>
            </w:r>
            <w:r>
              <w:rPr>
                <w:sz w:val="18"/>
                <w:szCs w:val="18"/>
              </w:rPr>
              <w:t xml:space="preserve"> the</w:t>
            </w:r>
            <w:r w:rsidRPr="006E7C8C">
              <w:rPr>
                <w:sz w:val="18"/>
                <w:szCs w:val="18"/>
              </w:rPr>
              <w:t xml:space="preserve"> sources and </w:t>
            </w:r>
            <w:r>
              <w:rPr>
                <w:sz w:val="18"/>
                <w:szCs w:val="18"/>
              </w:rPr>
              <w:t xml:space="preserve">in </w:t>
            </w:r>
            <w:r w:rsidRPr="006E7C8C">
              <w:rPr>
                <w:sz w:val="18"/>
                <w:szCs w:val="18"/>
              </w:rPr>
              <w:t xml:space="preserve">how these are subsequently processed, which could lead to </w:t>
            </w:r>
            <w:r>
              <w:rPr>
                <w:sz w:val="18"/>
                <w:szCs w:val="18"/>
              </w:rPr>
              <w:t>differences in the</w:t>
            </w:r>
            <w:r w:rsidRPr="006E7C8C">
              <w:rPr>
                <w:sz w:val="18"/>
                <w:szCs w:val="18"/>
              </w:rPr>
              <w:t xml:space="preserve"> conditions or clinical </w:t>
            </w:r>
            <w:r>
              <w:rPr>
                <w:sz w:val="18"/>
                <w:szCs w:val="18"/>
              </w:rPr>
              <w:t xml:space="preserve">measures </w:t>
            </w:r>
            <w:r w:rsidRPr="006E7C8C">
              <w:rPr>
                <w:sz w:val="18"/>
                <w:szCs w:val="18"/>
              </w:rPr>
              <w:t>observ</w:t>
            </w:r>
            <w:r>
              <w:rPr>
                <w:sz w:val="18"/>
                <w:szCs w:val="18"/>
              </w:rPr>
              <w:t>ed</w:t>
            </w:r>
            <w:r w:rsidRPr="006E7C8C">
              <w:rPr>
                <w:sz w:val="18"/>
                <w:szCs w:val="18"/>
              </w:rPr>
              <w:t>.</w:t>
            </w:r>
          </w:p>
          <w:p w14:paraId="614A13D1" w14:textId="77777777" w:rsidR="001C19F3" w:rsidRPr="006E7C8C" w:rsidRDefault="001C19F3" w:rsidP="001C19F3">
            <w:pPr>
              <w:pStyle w:val="ListParagraph"/>
              <w:numPr>
                <w:ilvl w:val="0"/>
                <w:numId w:val="91"/>
              </w:numPr>
              <w:ind w:left="447" w:hanging="357"/>
              <w:contextualSpacing w:val="0"/>
              <w:rPr>
                <w:sz w:val="18"/>
                <w:szCs w:val="18"/>
              </w:rPr>
            </w:pPr>
            <w:r w:rsidRPr="006E7C8C">
              <w:rPr>
                <w:sz w:val="18"/>
                <w:szCs w:val="18"/>
              </w:rPr>
              <w:t>Within the same data source, there are also variations between practices in the availability of data items (e.g. some MBS billing, patient conditions and observations are absent from entire extracts provided by several practices).</w:t>
            </w:r>
          </w:p>
          <w:p w14:paraId="71E71B01" w14:textId="77777777" w:rsidR="001C19F3" w:rsidRPr="006E7C8C" w:rsidRDefault="001C19F3" w:rsidP="001C19F3">
            <w:pPr>
              <w:pStyle w:val="ListParagraph"/>
              <w:numPr>
                <w:ilvl w:val="0"/>
                <w:numId w:val="91"/>
              </w:numPr>
              <w:ind w:left="447" w:hanging="357"/>
              <w:contextualSpacing w:val="0"/>
              <w:rPr>
                <w:sz w:val="18"/>
                <w:szCs w:val="18"/>
              </w:rPr>
            </w:pPr>
            <w:r w:rsidRPr="006E7C8C">
              <w:rPr>
                <w:sz w:val="18"/>
                <w:szCs w:val="18"/>
              </w:rPr>
              <w:t xml:space="preserve">As at 30 June 2019, there </w:t>
            </w:r>
            <w:r>
              <w:rPr>
                <w:sz w:val="18"/>
                <w:szCs w:val="18"/>
              </w:rPr>
              <w:t>were</w:t>
            </w:r>
            <w:r w:rsidRPr="006E7C8C">
              <w:rPr>
                <w:sz w:val="18"/>
                <w:szCs w:val="18"/>
              </w:rPr>
              <w:t xml:space="preserve"> discrepancies between the number of HCH patients identified in practice data extracts and the number of enrolled patients registered in HPOS</w:t>
            </w:r>
            <w:r>
              <w:rPr>
                <w:sz w:val="18"/>
                <w:szCs w:val="18"/>
              </w:rPr>
              <w:t>. H</w:t>
            </w:r>
            <w:r w:rsidRPr="006E7C8C">
              <w:rPr>
                <w:sz w:val="18"/>
                <w:szCs w:val="18"/>
              </w:rPr>
              <w:t>owever</w:t>
            </w:r>
            <w:r>
              <w:rPr>
                <w:sz w:val="18"/>
                <w:szCs w:val="18"/>
              </w:rPr>
              <w:t>,</w:t>
            </w:r>
            <w:r w:rsidRPr="006E7C8C">
              <w:rPr>
                <w:sz w:val="18"/>
                <w:szCs w:val="18"/>
              </w:rPr>
              <w:t xml:space="preserve"> the recording of HCH enrolments in practice </w:t>
            </w:r>
            <w:r>
              <w:rPr>
                <w:sz w:val="18"/>
                <w:szCs w:val="18"/>
              </w:rPr>
              <w:t>clinical management systems</w:t>
            </w:r>
            <w:r w:rsidRPr="006E7C8C">
              <w:rPr>
                <w:sz w:val="18"/>
                <w:szCs w:val="18"/>
              </w:rPr>
              <w:t xml:space="preserve"> has been improving over time.</w:t>
            </w:r>
          </w:p>
          <w:p w14:paraId="4A03ECA6" w14:textId="77777777" w:rsidR="001C19F3" w:rsidRPr="006E7C8C" w:rsidRDefault="001C19F3" w:rsidP="001C19F3">
            <w:pPr>
              <w:pStyle w:val="ListParagraph"/>
              <w:numPr>
                <w:ilvl w:val="0"/>
                <w:numId w:val="91"/>
              </w:numPr>
              <w:ind w:left="447" w:hanging="357"/>
              <w:contextualSpacing w:val="0"/>
              <w:rPr>
                <w:sz w:val="18"/>
                <w:szCs w:val="18"/>
              </w:rPr>
            </w:pPr>
            <w:r w:rsidRPr="006E7C8C">
              <w:rPr>
                <w:sz w:val="18"/>
                <w:szCs w:val="18"/>
              </w:rPr>
              <w:t>The top five health conditions flagged in practice extract</w:t>
            </w:r>
            <w:r>
              <w:rPr>
                <w:sz w:val="18"/>
                <w:szCs w:val="18"/>
              </w:rPr>
              <w:t>s</w:t>
            </w:r>
            <w:r w:rsidRPr="006E7C8C">
              <w:rPr>
                <w:sz w:val="18"/>
                <w:szCs w:val="18"/>
              </w:rPr>
              <w:t xml:space="preserve"> for HCH patients were high blood pressure (49.</w:t>
            </w:r>
            <w:r>
              <w:rPr>
                <w:sz w:val="18"/>
                <w:szCs w:val="18"/>
              </w:rPr>
              <w:t>4</w:t>
            </w:r>
            <w:r w:rsidRPr="006E7C8C">
              <w:rPr>
                <w:sz w:val="18"/>
                <w:szCs w:val="18"/>
              </w:rPr>
              <w:t>%), high cholesterol (3</w:t>
            </w:r>
            <w:r>
              <w:rPr>
                <w:sz w:val="18"/>
                <w:szCs w:val="18"/>
              </w:rPr>
              <w:t>9.0</w:t>
            </w:r>
            <w:r w:rsidRPr="006E7C8C">
              <w:rPr>
                <w:sz w:val="18"/>
                <w:szCs w:val="18"/>
              </w:rPr>
              <w:t>%), type 2 diabetes (30.</w:t>
            </w:r>
            <w:r>
              <w:rPr>
                <w:sz w:val="18"/>
                <w:szCs w:val="18"/>
              </w:rPr>
              <w:t>1</w:t>
            </w:r>
            <w:r w:rsidRPr="006E7C8C">
              <w:rPr>
                <w:sz w:val="18"/>
                <w:szCs w:val="18"/>
              </w:rPr>
              <w:t>%), osteoarthritis (25.</w:t>
            </w:r>
            <w:r>
              <w:rPr>
                <w:sz w:val="18"/>
                <w:szCs w:val="18"/>
              </w:rPr>
              <w:t>5</w:t>
            </w:r>
            <w:r w:rsidRPr="006E7C8C">
              <w:rPr>
                <w:sz w:val="18"/>
                <w:szCs w:val="18"/>
              </w:rPr>
              <w:t>%) and depression (22.</w:t>
            </w:r>
            <w:r>
              <w:rPr>
                <w:sz w:val="18"/>
                <w:szCs w:val="18"/>
              </w:rPr>
              <w:t>3</w:t>
            </w:r>
            <w:r w:rsidRPr="006E7C8C">
              <w:rPr>
                <w:sz w:val="18"/>
                <w:szCs w:val="18"/>
              </w:rPr>
              <w:t>%)</w:t>
            </w:r>
            <w:r>
              <w:rPr>
                <w:sz w:val="18"/>
                <w:szCs w:val="18"/>
              </w:rPr>
              <w:t>.</w:t>
            </w:r>
          </w:p>
          <w:p w14:paraId="139A7CBE" w14:textId="77777777" w:rsidR="001C19F3" w:rsidRPr="007703CF" w:rsidRDefault="001C19F3" w:rsidP="001C19F3">
            <w:pPr>
              <w:pStyle w:val="ListParagraph"/>
              <w:numPr>
                <w:ilvl w:val="0"/>
                <w:numId w:val="91"/>
              </w:numPr>
              <w:ind w:left="447" w:hanging="357"/>
              <w:contextualSpacing w:val="0"/>
              <w:rPr>
                <w:sz w:val="18"/>
                <w:szCs w:val="18"/>
              </w:rPr>
            </w:pPr>
            <w:bookmarkStart w:id="500" w:name="_Hlk22484864"/>
            <w:r w:rsidRPr="007703CF">
              <w:rPr>
                <w:sz w:val="18"/>
                <w:szCs w:val="18"/>
              </w:rPr>
              <w:t xml:space="preserve">In the </w:t>
            </w:r>
            <w:r>
              <w:rPr>
                <w:sz w:val="18"/>
                <w:szCs w:val="18"/>
              </w:rPr>
              <w:t>12 months between July 2018 and June 2019</w:t>
            </w:r>
            <w:r w:rsidRPr="007703CF">
              <w:rPr>
                <w:sz w:val="18"/>
                <w:szCs w:val="18"/>
              </w:rPr>
              <w:t>, the proportion of HCH patients who had clinical assessments and measurements recorded was 90.</w:t>
            </w:r>
            <w:r>
              <w:rPr>
                <w:sz w:val="18"/>
                <w:szCs w:val="18"/>
              </w:rPr>
              <w:t>6</w:t>
            </w:r>
            <w:r w:rsidRPr="007703CF">
              <w:rPr>
                <w:sz w:val="18"/>
                <w:szCs w:val="18"/>
              </w:rPr>
              <w:t xml:space="preserve">% for blood pressure, </w:t>
            </w:r>
            <w:r>
              <w:rPr>
                <w:sz w:val="18"/>
                <w:szCs w:val="18"/>
              </w:rPr>
              <w:t>85.3</w:t>
            </w:r>
            <w:r w:rsidRPr="007703CF">
              <w:rPr>
                <w:sz w:val="18"/>
                <w:szCs w:val="18"/>
              </w:rPr>
              <w:t>% for pulse, 83.</w:t>
            </w:r>
            <w:r>
              <w:rPr>
                <w:sz w:val="18"/>
                <w:szCs w:val="18"/>
              </w:rPr>
              <w:t>5</w:t>
            </w:r>
            <w:r w:rsidRPr="007703CF">
              <w:rPr>
                <w:sz w:val="18"/>
                <w:szCs w:val="18"/>
              </w:rPr>
              <w:t>% for kidney functioning, 8</w:t>
            </w:r>
            <w:r>
              <w:rPr>
                <w:sz w:val="18"/>
                <w:szCs w:val="18"/>
              </w:rPr>
              <w:t>1.</w:t>
            </w:r>
            <w:r w:rsidRPr="007703CF">
              <w:rPr>
                <w:sz w:val="18"/>
                <w:szCs w:val="18"/>
              </w:rPr>
              <w:t>0% for body weight, 76.</w:t>
            </w:r>
            <w:r>
              <w:rPr>
                <w:sz w:val="18"/>
                <w:szCs w:val="18"/>
              </w:rPr>
              <w:t>8</w:t>
            </w:r>
            <w:r w:rsidRPr="007703CF">
              <w:rPr>
                <w:sz w:val="18"/>
                <w:szCs w:val="18"/>
              </w:rPr>
              <w:t>% for cholesterol levels, 31.</w:t>
            </w:r>
            <w:r>
              <w:rPr>
                <w:sz w:val="18"/>
                <w:szCs w:val="18"/>
              </w:rPr>
              <w:t>9</w:t>
            </w:r>
            <w:r w:rsidRPr="007703CF">
              <w:rPr>
                <w:sz w:val="18"/>
                <w:szCs w:val="18"/>
              </w:rPr>
              <w:t>% for waist circumference and 6.5% for physical activity. The recording of smoking status and amount of alcohol consumption was 68.</w:t>
            </w:r>
            <w:r>
              <w:rPr>
                <w:sz w:val="18"/>
                <w:szCs w:val="18"/>
              </w:rPr>
              <w:t>8</w:t>
            </w:r>
            <w:r w:rsidRPr="007703CF">
              <w:rPr>
                <w:sz w:val="18"/>
                <w:szCs w:val="18"/>
              </w:rPr>
              <w:t>% and 60.</w:t>
            </w:r>
            <w:r>
              <w:rPr>
                <w:sz w:val="18"/>
                <w:szCs w:val="18"/>
              </w:rPr>
              <w:t>7</w:t>
            </w:r>
            <w:r w:rsidRPr="007703CF">
              <w:rPr>
                <w:sz w:val="18"/>
                <w:szCs w:val="18"/>
              </w:rPr>
              <w:t>% of patients, respectively. In HCH patients with diabetes, 92.</w:t>
            </w:r>
            <w:r>
              <w:rPr>
                <w:sz w:val="18"/>
                <w:szCs w:val="18"/>
              </w:rPr>
              <w:t>2</w:t>
            </w:r>
            <w:r w:rsidRPr="007703CF">
              <w:rPr>
                <w:sz w:val="18"/>
                <w:szCs w:val="18"/>
              </w:rPr>
              <w:t xml:space="preserve">% had a HbA1c test recorded, and in patients with asthma or COPD, </w:t>
            </w:r>
            <w:r>
              <w:rPr>
                <w:sz w:val="18"/>
                <w:szCs w:val="18"/>
              </w:rPr>
              <w:t>5.7</w:t>
            </w:r>
            <w:r w:rsidRPr="007703CF">
              <w:rPr>
                <w:sz w:val="18"/>
                <w:szCs w:val="18"/>
              </w:rPr>
              <w:t>% had a spirometry test recorded.</w:t>
            </w:r>
          </w:p>
          <w:bookmarkEnd w:id="500"/>
          <w:p w14:paraId="28B02FBC" w14:textId="77777777" w:rsidR="001C19F3" w:rsidRPr="006E7C8C" w:rsidRDefault="001C19F3" w:rsidP="001C19F3">
            <w:pPr>
              <w:pStyle w:val="ListParagraph"/>
              <w:numPr>
                <w:ilvl w:val="0"/>
                <w:numId w:val="91"/>
              </w:numPr>
              <w:ind w:left="447" w:hanging="357"/>
              <w:rPr>
                <w:sz w:val="18"/>
                <w:szCs w:val="18"/>
              </w:rPr>
            </w:pPr>
            <w:r>
              <w:rPr>
                <w:sz w:val="18"/>
                <w:szCs w:val="18"/>
              </w:rPr>
              <w:lastRenderedPageBreak/>
              <w:t>In the same 12 months</w:t>
            </w:r>
            <w:r w:rsidRPr="007703CF">
              <w:rPr>
                <w:sz w:val="18"/>
                <w:szCs w:val="18"/>
              </w:rPr>
              <w:t xml:space="preserve">, on average, HCH patients </w:t>
            </w:r>
            <w:r>
              <w:rPr>
                <w:sz w:val="18"/>
                <w:szCs w:val="18"/>
              </w:rPr>
              <w:t>saw</w:t>
            </w:r>
            <w:r w:rsidRPr="007703CF">
              <w:rPr>
                <w:sz w:val="18"/>
                <w:szCs w:val="18"/>
              </w:rPr>
              <w:t xml:space="preserve"> a GP in the practice 13.</w:t>
            </w:r>
            <w:r>
              <w:rPr>
                <w:sz w:val="18"/>
                <w:szCs w:val="18"/>
              </w:rPr>
              <w:t>41</w:t>
            </w:r>
            <w:r w:rsidRPr="007703CF">
              <w:rPr>
                <w:sz w:val="18"/>
                <w:szCs w:val="18"/>
              </w:rPr>
              <w:t xml:space="preserve"> times (standard deviation 9.</w:t>
            </w:r>
            <w:r>
              <w:rPr>
                <w:sz w:val="18"/>
                <w:szCs w:val="18"/>
              </w:rPr>
              <w:t>71</w:t>
            </w:r>
            <w:r w:rsidRPr="007703CF">
              <w:rPr>
                <w:sz w:val="18"/>
                <w:szCs w:val="18"/>
              </w:rPr>
              <w:t>, median 11 times).</w:t>
            </w:r>
          </w:p>
        </w:tc>
      </w:tr>
    </w:tbl>
    <w:p w14:paraId="2339042B" w14:textId="77777777" w:rsidR="001C19F3" w:rsidRDefault="001C19F3" w:rsidP="001C19F3">
      <w:pPr>
        <w:spacing w:after="0"/>
      </w:pPr>
    </w:p>
    <w:p w14:paraId="5D61AE60" w14:textId="77777777" w:rsidR="001C19F3" w:rsidRPr="00BD7C4F" w:rsidRDefault="001C19F3" w:rsidP="001C19F3">
      <w:pPr>
        <w:pStyle w:val="Heading2"/>
      </w:pPr>
      <w:bookmarkStart w:id="501" w:name="_Toc27058958"/>
      <w:r>
        <w:t>Sources of p</w:t>
      </w:r>
      <w:r w:rsidRPr="00BD7C4F">
        <w:t>ractice</w:t>
      </w:r>
      <w:r>
        <w:t xml:space="preserve"> </w:t>
      </w:r>
      <w:r w:rsidRPr="00BD7C4F">
        <w:t>extracts</w:t>
      </w:r>
      <w:bookmarkEnd w:id="501"/>
    </w:p>
    <w:p w14:paraId="076B8107" w14:textId="77777777" w:rsidR="001C19F3" w:rsidRPr="00BB39AF" w:rsidRDefault="001C19F3" w:rsidP="001C19F3">
      <w:pPr>
        <w:rPr>
          <w:rFonts w:eastAsiaTheme="minorHAnsi" w:cs="Century Gothic"/>
          <w:szCs w:val="20"/>
        </w:rPr>
      </w:pPr>
      <w:r>
        <w:t xml:space="preserve">At 31 August </w:t>
      </w:r>
      <w:r w:rsidRPr="0064657C">
        <w:t>2019,</w:t>
      </w:r>
      <w:r>
        <w:t xml:space="preserve"> practice extracts for the evaluation were obtained from three sources: Pen CS, POLAR, and NPS MedicineInsight. At the start of the evaluation, t</w:t>
      </w:r>
      <w:r w:rsidRPr="00BB39AF">
        <w:rPr>
          <w:rFonts w:eastAsiaTheme="minorHAnsi" w:cs="Century Gothic"/>
          <w:szCs w:val="20"/>
        </w:rPr>
        <w:t xml:space="preserve">he Department and the evaluation consortium explored </w:t>
      </w:r>
      <w:r>
        <w:rPr>
          <w:rFonts w:eastAsiaTheme="minorHAnsi" w:cs="Century Gothic"/>
          <w:szCs w:val="20"/>
        </w:rPr>
        <w:t>options for obtaining</w:t>
      </w:r>
      <w:r w:rsidRPr="00BB39AF">
        <w:rPr>
          <w:rFonts w:eastAsiaTheme="minorHAnsi" w:cs="Century Gothic"/>
          <w:szCs w:val="20"/>
        </w:rPr>
        <w:t xml:space="preserve"> extracts from </w:t>
      </w:r>
      <w:r>
        <w:rPr>
          <w:rFonts w:eastAsiaTheme="minorHAnsi" w:cs="Century Gothic"/>
          <w:szCs w:val="20"/>
        </w:rPr>
        <w:t>practice</w:t>
      </w:r>
      <w:r w:rsidRPr="00BB39AF">
        <w:rPr>
          <w:rFonts w:eastAsiaTheme="minorHAnsi" w:cs="Century Gothic"/>
          <w:szCs w:val="20"/>
        </w:rPr>
        <w:t xml:space="preserve"> clinical management systems for the evaluation. The approach in obtaining practice data was guided by three criteria:</w:t>
      </w:r>
    </w:p>
    <w:p w14:paraId="4241AF74" w14:textId="77777777" w:rsidR="001C19F3" w:rsidRPr="00BB39AF" w:rsidRDefault="001C19F3" w:rsidP="001C19F3">
      <w:pPr>
        <w:numPr>
          <w:ilvl w:val="0"/>
          <w:numId w:val="108"/>
        </w:numPr>
        <w:autoSpaceDE w:val="0"/>
        <w:autoSpaceDN w:val="0"/>
        <w:adjustRightInd w:val="0"/>
        <w:ind w:left="1080" w:hanging="720"/>
        <w:rPr>
          <w:rFonts w:eastAsiaTheme="minorHAnsi" w:cs="Century Gothic"/>
          <w:szCs w:val="20"/>
        </w:rPr>
      </w:pPr>
      <w:r w:rsidRPr="00BB39AF">
        <w:rPr>
          <w:rFonts w:eastAsiaTheme="minorHAnsi" w:cs="Century Gothic"/>
          <w:szCs w:val="20"/>
        </w:rPr>
        <w:t xml:space="preserve">Leveraging existing arrangements for data sharing. This was important so as not to introduce new processes for practices, and to use existing licences for data extraction where available so as not to add cost. </w:t>
      </w:r>
    </w:p>
    <w:p w14:paraId="6CF4BAAC" w14:textId="77777777" w:rsidR="001C19F3" w:rsidRPr="00BB39AF" w:rsidRDefault="001C19F3" w:rsidP="001C19F3">
      <w:pPr>
        <w:numPr>
          <w:ilvl w:val="0"/>
          <w:numId w:val="109"/>
        </w:numPr>
        <w:autoSpaceDE w:val="0"/>
        <w:autoSpaceDN w:val="0"/>
        <w:adjustRightInd w:val="0"/>
        <w:ind w:left="720" w:hanging="360"/>
        <w:rPr>
          <w:rFonts w:eastAsiaTheme="minorHAnsi" w:cs="Symbol"/>
          <w:szCs w:val="20"/>
        </w:rPr>
      </w:pPr>
      <w:r w:rsidRPr="00BB39AF">
        <w:rPr>
          <w:rFonts w:eastAsiaTheme="minorHAnsi" w:cs="Symbol"/>
          <w:szCs w:val="20"/>
        </w:rPr>
        <w:t xml:space="preserve">Creating infrastructure or processes </w:t>
      </w:r>
      <w:r>
        <w:rPr>
          <w:rFonts w:eastAsiaTheme="minorHAnsi" w:cs="Symbol"/>
          <w:szCs w:val="20"/>
        </w:rPr>
        <w:t xml:space="preserve">that would have value </w:t>
      </w:r>
      <w:r w:rsidRPr="00BB39AF">
        <w:rPr>
          <w:rFonts w:eastAsiaTheme="minorHAnsi" w:cs="Symbol"/>
          <w:szCs w:val="20"/>
        </w:rPr>
        <w:t>beyond the evaluation.</w:t>
      </w:r>
    </w:p>
    <w:p w14:paraId="03AA47E8" w14:textId="77777777" w:rsidR="001C19F3" w:rsidRPr="00BB39AF" w:rsidRDefault="001C19F3" w:rsidP="001C19F3">
      <w:pPr>
        <w:numPr>
          <w:ilvl w:val="0"/>
          <w:numId w:val="109"/>
        </w:numPr>
        <w:autoSpaceDE w:val="0"/>
        <w:autoSpaceDN w:val="0"/>
        <w:adjustRightInd w:val="0"/>
        <w:ind w:left="720" w:hanging="360"/>
        <w:rPr>
          <w:rFonts w:eastAsiaTheme="minorHAnsi" w:cs="Symbol"/>
          <w:szCs w:val="20"/>
        </w:rPr>
      </w:pPr>
      <w:r w:rsidRPr="00BB39AF">
        <w:rPr>
          <w:rFonts w:eastAsiaTheme="minorHAnsi" w:cs="Century Gothic"/>
          <w:szCs w:val="20"/>
        </w:rPr>
        <w:t xml:space="preserve">Selecting an approach that is compatible with most of </w:t>
      </w:r>
      <w:r>
        <w:rPr>
          <w:rFonts w:eastAsiaTheme="minorHAnsi" w:cs="Century Gothic"/>
          <w:szCs w:val="20"/>
        </w:rPr>
        <w:t xml:space="preserve">the </w:t>
      </w:r>
      <w:r w:rsidRPr="00BB39AF">
        <w:rPr>
          <w:rFonts w:eastAsiaTheme="minorHAnsi" w:cs="Century Gothic"/>
          <w:szCs w:val="20"/>
        </w:rPr>
        <w:t>clinical management systems used by practices.</w:t>
      </w:r>
    </w:p>
    <w:p w14:paraId="369546A7" w14:textId="77777777" w:rsidR="001C19F3" w:rsidRDefault="001C19F3" w:rsidP="001C19F3">
      <w:pPr>
        <w:rPr>
          <w:rFonts w:eastAsiaTheme="minorHAnsi" w:cs="Century Gothic"/>
          <w:szCs w:val="20"/>
        </w:rPr>
      </w:pPr>
      <w:r>
        <w:t>A</w:t>
      </w:r>
      <w:r w:rsidRPr="00BB39AF">
        <w:t xml:space="preserve"> survey of PHNs </w:t>
      </w:r>
      <w:r>
        <w:t>was conducted early in 2017 by t</w:t>
      </w:r>
      <w:r w:rsidRPr="00BB39AF">
        <w:rPr>
          <w:rFonts w:eastAsiaTheme="minorHAnsi" w:cs="Century Gothic"/>
          <w:szCs w:val="20"/>
        </w:rPr>
        <w:t xml:space="preserve">he Department and </w:t>
      </w:r>
      <w:r>
        <w:t>HPA</w:t>
      </w:r>
      <w:r w:rsidRPr="00BB39AF">
        <w:t xml:space="preserve"> to </w:t>
      </w:r>
      <w:r w:rsidRPr="00BB39AF">
        <w:rPr>
          <w:rFonts w:eastAsiaTheme="minorHAnsi" w:cs="Century Gothic"/>
          <w:szCs w:val="20"/>
        </w:rPr>
        <w:t xml:space="preserve">explore the extent to which the practices were already sharing their data with the PHNs. </w:t>
      </w:r>
      <w:r>
        <w:rPr>
          <w:rFonts w:eastAsiaTheme="minorHAnsi" w:cs="Century Gothic"/>
          <w:szCs w:val="20"/>
        </w:rPr>
        <w:t>M</w:t>
      </w:r>
      <w:r w:rsidRPr="00BB39AF">
        <w:rPr>
          <w:rFonts w:eastAsiaTheme="minorHAnsi" w:cs="Century Gothic"/>
          <w:szCs w:val="20"/>
        </w:rPr>
        <w:t>ost of the PHNs were using Pen CS software for the</w:t>
      </w:r>
      <w:r>
        <w:rPr>
          <w:rFonts w:eastAsiaTheme="minorHAnsi" w:cs="Century Gothic"/>
          <w:szCs w:val="20"/>
        </w:rPr>
        <w:t>ir</w:t>
      </w:r>
      <w:r w:rsidRPr="00BB39AF">
        <w:rPr>
          <w:rFonts w:eastAsiaTheme="minorHAnsi" w:cs="Century Gothic"/>
          <w:szCs w:val="20"/>
        </w:rPr>
        <w:t xml:space="preserve"> extracts, covering the licensing costs for their practices. Therefore, Pen CS </w:t>
      </w:r>
      <w:r>
        <w:rPr>
          <w:rFonts w:eastAsiaTheme="minorHAnsi" w:cs="Century Gothic"/>
          <w:szCs w:val="20"/>
        </w:rPr>
        <w:t xml:space="preserve">arrangements </w:t>
      </w:r>
      <w:r w:rsidRPr="00BB39AF">
        <w:rPr>
          <w:rFonts w:eastAsiaTheme="minorHAnsi" w:cs="Century Gothic"/>
          <w:szCs w:val="20"/>
        </w:rPr>
        <w:t>were leveraged for the evaluation.</w:t>
      </w:r>
    </w:p>
    <w:p w14:paraId="17C4576D" w14:textId="77777777" w:rsidR="001C19F3" w:rsidRDefault="001C19F3" w:rsidP="001C19F3">
      <w:pPr>
        <w:rPr>
          <w:rFonts w:eastAsiaTheme="minorHAnsi" w:cs="Century Gothic"/>
          <w:szCs w:val="20"/>
        </w:rPr>
      </w:pPr>
      <w:r w:rsidRPr="00BB39AF">
        <w:rPr>
          <w:rFonts w:eastAsiaTheme="minorHAnsi" w:cs="Century Gothic"/>
          <w:szCs w:val="20"/>
        </w:rPr>
        <w:t xml:space="preserve">Within South East Melbourne PHN, </w:t>
      </w:r>
      <w:r>
        <w:rPr>
          <w:rFonts w:eastAsiaTheme="minorHAnsi" w:cs="Century Gothic"/>
          <w:szCs w:val="20"/>
        </w:rPr>
        <w:t>POLAR, developed by Outcome Health, was being used to share data between GP practices and the PHN. T</w:t>
      </w:r>
      <w:r w:rsidRPr="00BB39AF">
        <w:rPr>
          <w:rFonts w:eastAsiaTheme="minorHAnsi" w:cs="Century Gothic"/>
          <w:szCs w:val="20"/>
        </w:rPr>
        <w:t xml:space="preserve">he </w:t>
      </w:r>
      <w:r>
        <w:rPr>
          <w:rFonts w:eastAsiaTheme="minorHAnsi" w:cs="Century Gothic"/>
          <w:szCs w:val="20"/>
        </w:rPr>
        <w:t>evaluation therefore</w:t>
      </w:r>
      <w:r w:rsidRPr="00BB39AF">
        <w:rPr>
          <w:rFonts w:eastAsiaTheme="minorHAnsi" w:cs="Century Gothic"/>
          <w:szCs w:val="20"/>
        </w:rPr>
        <w:t xml:space="preserve"> leveraged </w:t>
      </w:r>
      <w:r>
        <w:rPr>
          <w:rFonts w:eastAsiaTheme="minorHAnsi" w:cs="Century Gothic"/>
          <w:szCs w:val="20"/>
        </w:rPr>
        <w:t xml:space="preserve">the data extracted through </w:t>
      </w:r>
      <w:r w:rsidRPr="00BB39AF">
        <w:rPr>
          <w:rFonts w:eastAsiaTheme="minorHAnsi" w:cs="Century Gothic"/>
          <w:szCs w:val="20"/>
        </w:rPr>
        <w:t>POLAR</w:t>
      </w:r>
      <w:r>
        <w:rPr>
          <w:rFonts w:eastAsiaTheme="minorHAnsi" w:cs="Century Gothic"/>
          <w:szCs w:val="20"/>
        </w:rPr>
        <w:t xml:space="preserve"> for HCH practices within this PHN</w:t>
      </w:r>
      <w:r w:rsidRPr="00BB39AF">
        <w:rPr>
          <w:rFonts w:eastAsiaTheme="minorHAnsi" w:cs="Century Gothic"/>
          <w:szCs w:val="20"/>
        </w:rPr>
        <w:t>.</w:t>
      </w:r>
    </w:p>
    <w:p w14:paraId="625AB382" w14:textId="77777777" w:rsidR="001C19F3" w:rsidRDefault="001C19F3" w:rsidP="001C19F3">
      <w:pPr>
        <w:rPr>
          <w:rFonts w:eastAsiaTheme="minorHAnsi" w:cs="Century Gothic"/>
          <w:szCs w:val="20"/>
        </w:rPr>
      </w:pPr>
      <w:r w:rsidRPr="00BB39AF">
        <w:rPr>
          <w:rFonts w:eastAsiaTheme="minorHAnsi" w:cs="Century Gothic"/>
          <w:szCs w:val="20"/>
        </w:rPr>
        <w:t xml:space="preserve">NPS MedicineInsight </w:t>
      </w:r>
      <w:r>
        <w:rPr>
          <w:rFonts w:eastAsiaTheme="minorHAnsi" w:cs="Century Gothic"/>
          <w:szCs w:val="20"/>
        </w:rPr>
        <w:t>i</w:t>
      </w:r>
      <w:r w:rsidRPr="00BB39AF">
        <w:rPr>
          <w:rFonts w:eastAsiaTheme="minorHAnsi" w:cs="Century Gothic"/>
          <w:szCs w:val="20"/>
        </w:rPr>
        <w:t xml:space="preserve">s a quality improvement program developed and managed by </w:t>
      </w:r>
      <w:r>
        <w:rPr>
          <w:rFonts w:eastAsiaTheme="minorHAnsi" w:cs="Century Gothic"/>
          <w:szCs w:val="20"/>
        </w:rPr>
        <w:t>NPS</w:t>
      </w:r>
      <w:r w:rsidRPr="00BB39AF">
        <w:rPr>
          <w:rFonts w:eastAsiaTheme="minorHAnsi" w:cs="Century Gothic"/>
          <w:szCs w:val="20"/>
        </w:rPr>
        <w:t xml:space="preserve"> MedicineWise</w:t>
      </w:r>
      <w:r>
        <w:rPr>
          <w:rFonts w:eastAsiaTheme="minorHAnsi" w:cs="Century Gothic"/>
          <w:szCs w:val="20"/>
        </w:rPr>
        <w:t xml:space="preserve">, with </w:t>
      </w:r>
      <w:r w:rsidRPr="00BB39AF">
        <w:rPr>
          <w:rFonts w:eastAsiaTheme="minorHAnsi" w:cs="Century Gothic"/>
          <w:szCs w:val="20"/>
        </w:rPr>
        <w:t>membership of approximately 600 general practices. The initial exploration indicated that about 25 practice</w:t>
      </w:r>
      <w:r>
        <w:rPr>
          <w:rFonts w:eastAsiaTheme="minorHAnsi" w:cs="Century Gothic"/>
          <w:szCs w:val="20"/>
        </w:rPr>
        <w:t>s</w:t>
      </w:r>
      <w:r w:rsidRPr="00BB39AF">
        <w:rPr>
          <w:rFonts w:eastAsiaTheme="minorHAnsi" w:cs="Century Gothic"/>
          <w:szCs w:val="20"/>
        </w:rPr>
        <w:t xml:space="preserve"> </w:t>
      </w:r>
      <w:r>
        <w:rPr>
          <w:rFonts w:eastAsiaTheme="minorHAnsi" w:cs="Century Gothic"/>
          <w:szCs w:val="20"/>
        </w:rPr>
        <w:t xml:space="preserve">participating in </w:t>
      </w:r>
      <w:r w:rsidRPr="00BB39AF">
        <w:rPr>
          <w:rFonts w:eastAsiaTheme="minorHAnsi" w:cs="Century Gothic"/>
          <w:szCs w:val="20"/>
        </w:rPr>
        <w:t>MedicineInsight were also participating in HCH.</w:t>
      </w:r>
      <w:r>
        <w:rPr>
          <w:rFonts w:eastAsiaTheme="minorHAnsi" w:cs="Century Gothic"/>
          <w:szCs w:val="20"/>
        </w:rPr>
        <w:t xml:space="preserve"> T</w:t>
      </w:r>
      <w:r w:rsidRPr="00BB39AF">
        <w:rPr>
          <w:rFonts w:eastAsiaTheme="minorHAnsi" w:cs="Century Gothic"/>
          <w:szCs w:val="20"/>
        </w:rPr>
        <w:t xml:space="preserve">he Department </w:t>
      </w:r>
      <w:r>
        <w:rPr>
          <w:rFonts w:eastAsiaTheme="minorHAnsi" w:cs="Century Gothic"/>
          <w:szCs w:val="20"/>
        </w:rPr>
        <w:t xml:space="preserve">of Health </w:t>
      </w:r>
      <w:r w:rsidRPr="00BB39AF">
        <w:rPr>
          <w:rFonts w:eastAsiaTheme="minorHAnsi" w:cs="Century Gothic"/>
          <w:szCs w:val="20"/>
        </w:rPr>
        <w:t xml:space="preserve">negotiated with NPS to use MedicineInsight data as a source </w:t>
      </w:r>
      <w:r>
        <w:rPr>
          <w:rFonts w:eastAsiaTheme="minorHAnsi" w:cs="Century Gothic"/>
          <w:szCs w:val="20"/>
        </w:rPr>
        <w:t xml:space="preserve">for HCH and </w:t>
      </w:r>
      <w:r w:rsidRPr="00BB39AF">
        <w:rPr>
          <w:rFonts w:eastAsiaTheme="minorHAnsi" w:cs="Century Gothic"/>
          <w:szCs w:val="20"/>
        </w:rPr>
        <w:t xml:space="preserve">comparator practices. NPS obtained consent from </w:t>
      </w:r>
      <w:r>
        <w:rPr>
          <w:rFonts w:eastAsiaTheme="minorHAnsi" w:cs="Century Gothic"/>
          <w:szCs w:val="20"/>
        </w:rPr>
        <w:t xml:space="preserve">member </w:t>
      </w:r>
      <w:r w:rsidRPr="00BB39AF">
        <w:rPr>
          <w:rFonts w:eastAsiaTheme="minorHAnsi" w:cs="Century Gothic"/>
          <w:szCs w:val="20"/>
        </w:rPr>
        <w:t xml:space="preserve">practices for their data to be used for </w:t>
      </w:r>
      <w:r>
        <w:rPr>
          <w:rFonts w:eastAsiaTheme="minorHAnsi" w:cs="Century Gothic"/>
          <w:szCs w:val="20"/>
        </w:rPr>
        <w:t xml:space="preserve">the </w:t>
      </w:r>
      <w:r w:rsidRPr="00BB39AF">
        <w:rPr>
          <w:rFonts w:eastAsiaTheme="minorHAnsi" w:cs="Century Gothic"/>
          <w:szCs w:val="20"/>
        </w:rPr>
        <w:t xml:space="preserve">HCH evaluation. </w:t>
      </w:r>
      <w:r>
        <w:rPr>
          <w:rFonts w:eastAsiaTheme="minorHAnsi" w:cs="Century Gothic"/>
          <w:szCs w:val="20"/>
        </w:rPr>
        <w:t>In t</w:t>
      </w:r>
      <w:r w:rsidRPr="00BB39AF">
        <w:rPr>
          <w:rFonts w:eastAsiaTheme="minorHAnsi" w:cs="Century Gothic"/>
          <w:szCs w:val="20"/>
        </w:rPr>
        <w:t xml:space="preserve">he </w:t>
      </w:r>
      <w:r>
        <w:rPr>
          <w:rFonts w:eastAsiaTheme="minorHAnsi" w:cs="Century Gothic"/>
          <w:szCs w:val="20"/>
        </w:rPr>
        <w:t xml:space="preserve">initial MedicineInsight data extract delivered in September 2018, there were </w:t>
      </w:r>
      <w:r w:rsidRPr="00BB39AF">
        <w:rPr>
          <w:rFonts w:eastAsiaTheme="minorHAnsi" w:cs="Century Gothic"/>
          <w:szCs w:val="20"/>
        </w:rPr>
        <w:t>three HCH practices</w:t>
      </w:r>
      <w:r>
        <w:rPr>
          <w:rFonts w:eastAsiaTheme="minorHAnsi" w:cs="Century Gothic"/>
          <w:szCs w:val="20"/>
        </w:rPr>
        <w:t>. In the second extract delivered in August 2019, there were four HCH practices.</w:t>
      </w:r>
    </w:p>
    <w:p w14:paraId="4CA563EF" w14:textId="77777777" w:rsidR="001C19F3" w:rsidRDefault="001C19F3" w:rsidP="001C19F3">
      <w:pPr>
        <w:pStyle w:val="BodyText"/>
        <w:widowControl/>
        <w:spacing w:after="200" w:line="259" w:lineRule="auto"/>
      </w:pPr>
      <w:r w:rsidRPr="00991631">
        <w:t xml:space="preserve">The </w:t>
      </w:r>
      <w:r>
        <w:t>NT</w:t>
      </w:r>
      <w:r w:rsidRPr="00991631">
        <w:t xml:space="preserve"> ACCHS agreed for their data </w:t>
      </w:r>
      <w:r>
        <w:t xml:space="preserve">related to HCH patients </w:t>
      </w:r>
      <w:r w:rsidRPr="00991631">
        <w:t xml:space="preserve">to be extracted for </w:t>
      </w:r>
      <w:r>
        <w:t xml:space="preserve">the </w:t>
      </w:r>
      <w:r w:rsidRPr="00991631">
        <w:t xml:space="preserve">evaluation. All ACCHS were provided with instructions </w:t>
      </w:r>
      <w:r>
        <w:t>on how to do this</w:t>
      </w:r>
      <w:r w:rsidRPr="00991631">
        <w:t xml:space="preserve">. </w:t>
      </w:r>
      <w:r>
        <w:t>ACCHS</w:t>
      </w:r>
      <w:r w:rsidRPr="00991631">
        <w:t xml:space="preserve"> </w:t>
      </w:r>
      <w:r>
        <w:t>used</w:t>
      </w:r>
      <w:r w:rsidRPr="00991631">
        <w:t xml:space="preserve"> </w:t>
      </w:r>
      <w:r>
        <w:t xml:space="preserve">the </w:t>
      </w:r>
      <w:r w:rsidRPr="00991631">
        <w:t xml:space="preserve">Pen CS </w:t>
      </w:r>
      <w:r>
        <w:t>platform to supply data directly to the evaluators</w:t>
      </w:r>
      <w:r w:rsidRPr="00991631">
        <w:t>.</w:t>
      </w:r>
    </w:p>
    <w:p w14:paraId="7FF79C44" w14:textId="77777777" w:rsidR="001C19F3" w:rsidRDefault="001C19F3" w:rsidP="001C19F3">
      <w:r>
        <w:t>A</w:t>
      </w:r>
      <w:r w:rsidRPr="00C44FB3">
        <w:t xml:space="preserve">s at </w:t>
      </w:r>
      <w:r w:rsidRPr="00C757C6">
        <w:t>3</w:t>
      </w:r>
      <w:r>
        <w:t xml:space="preserve">1 July </w:t>
      </w:r>
      <w:r w:rsidRPr="00C757C6">
        <w:t xml:space="preserve">2019, </w:t>
      </w:r>
      <w:r>
        <w:t xml:space="preserve">the </w:t>
      </w:r>
      <w:r w:rsidRPr="00C757C6">
        <w:t>evaluation</w:t>
      </w:r>
      <w:r>
        <w:t xml:space="preserve"> team </w:t>
      </w:r>
      <w:r w:rsidRPr="00C757C6">
        <w:t xml:space="preserve">received </w:t>
      </w:r>
      <w:r w:rsidRPr="000B21A6">
        <w:t>extracts from 10</w:t>
      </w:r>
      <w:r>
        <w:t>8</w:t>
      </w:r>
      <w:r w:rsidRPr="000B21A6">
        <w:t xml:space="preserve"> </w:t>
      </w:r>
      <w:r>
        <w:t xml:space="preserve">HCH </w:t>
      </w:r>
      <w:r w:rsidRPr="000B21A6">
        <w:t>practices</w:t>
      </w:r>
      <w:r>
        <w:t xml:space="preserve"> (</w:t>
      </w:r>
      <w:r w:rsidRPr="00C757C6">
        <w:fldChar w:fldCharType="begin"/>
      </w:r>
      <w:r w:rsidRPr="00C757C6">
        <w:instrText xml:space="preserve"> REF _Ref17381270 \h  \* MERGEFORMAT </w:instrText>
      </w:r>
      <w:r w:rsidRPr="00C757C6">
        <w:fldChar w:fldCharType="separate"/>
      </w:r>
      <w:r w:rsidRPr="00C2256F">
        <w:t xml:space="preserve">Figure </w:t>
      </w:r>
      <w:r>
        <w:rPr>
          <w:noProof/>
        </w:rPr>
        <w:t>3</w:t>
      </w:r>
      <w:r w:rsidRPr="00C757C6">
        <w:fldChar w:fldCharType="end"/>
      </w:r>
      <w:r>
        <w:t>)</w:t>
      </w:r>
      <w:r w:rsidRPr="000B21A6">
        <w:t>, through eit</w:t>
      </w:r>
      <w:r>
        <w:t xml:space="preserve">her </w:t>
      </w:r>
      <w:r w:rsidRPr="00F805CE">
        <w:t>Pen CS (n=</w:t>
      </w:r>
      <w:r>
        <w:t>85 non-ACCHS practices and n=12 ACCHS</w:t>
      </w:r>
      <w:r w:rsidRPr="00F805CE">
        <w:t xml:space="preserve">), POLAR (n=11) </w:t>
      </w:r>
      <w:r>
        <w:t xml:space="preserve">or NPS </w:t>
      </w:r>
      <w:r w:rsidRPr="00F805CE">
        <w:t>MedicineInsight (n=</w:t>
      </w:r>
      <w:r>
        <w:t>4</w:t>
      </w:r>
      <w:r w:rsidRPr="00F805CE">
        <w:t>),</w:t>
      </w:r>
      <w:r w:rsidRPr="00C44FB3">
        <w:t xml:space="preserve"> noting that </w:t>
      </w:r>
      <w:r>
        <w:t>the four</w:t>
      </w:r>
      <w:r w:rsidRPr="00C44FB3">
        <w:t xml:space="preserve"> MedicineInsight HCH practices also </w:t>
      </w:r>
      <w:r>
        <w:t xml:space="preserve">supplied data via </w:t>
      </w:r>
      <w:r w:rsidRPr="00C44FB3">
        <w:t xml:space="preserve">Pen CS. </w:t>
      </w:r>
      <w:r>
        <w:t xml:space="preserve">Practice data extracts were not available for </w:t>
      </w:r>
      <w:r w:rsidRPr="00F805CE">
        <w:t>2</w:t>
      </w:r>
      <w:r>
        <w:t>4</w:t>
      </w:r>
      <w:r w:rsidRPr="00F805CE">
        <w:t xml:space="preserve"> </w:t>
      </w:r>
      <w:r>
        <w:t xml:space="preserve">HCH </w:t>
      </w:r>
      <w:r w:rsidRPr="00C44FB3">
        <w:t>practices.</w:t>
      </w:r>
      <w:r>
        <w:t xml:space="preserve"> The latest NPS MedicineInsight extract, received by 31 August 2019 also included 417 non-HCH practices.</w:t>
      </w:r>
    </w:p>
    <w:p w14:paraId="5932D1BD" w14:textId="77777777" w:rsidR="001C19F3" w:rsidRDefault="001C19F3" w:rsidP="001C19F3">
      <w:r>
        <w:rPr>
          <w:noProof/>
          <w:lang w:eastAsia="en-AU"/>
        </w:rPr>
        <w:lastRenderedPageBreak/>
        <mc:AlternateContent>
          <mc:Choice Requires="wpc">
            <w:drawing>
              <wp:inline distT="0" distB="0" distL="0" distR="0" wp14:anchorId="57B8931E" wp14:editId="5EF0BAF1">
                <wp:extent cx="5668645" cy="2200275"/>
                <wp:effectExtent l="0" t="0" r="8255" b="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1" name="Group 291"/>
                        <wpg:cNvGrpSpPr/>
                        <wpg:grpSpPr>
                          <a:xfrm>
                            <a:off x="16987" y="156851"/>
                            <a:ext cx="3024422" cy="560022"/>
                            <a:chOff x="16987" y="599042"/>
                            <a:chExt cx="3024422" cy="560022"/>
                          </a:xfrm>
                        </wpg:grpSpPr>
                        <wps:wsp>
                          <wps:cNvPr id="292" name="Rectangle 292"/>
                          <wps:cNvSpPr/>
                          <wps:spPr>
                            <a:xfrm>
                              <a:off x="16987" y="599042"/>
                              <a:ext cx="1371097" cy="560022"/>
                            </a:xfrm>
                            <a:prstGeom prst="rect">
                              <a:avLst/>
                            </a:prstGeom>
                            <a:solidFill>
                              <a:schemeClr val="accent1">
                                <a:lumMod val="60000"/>
                                <a:lumOff val="40000"/>
                              </a:schemeClr>
                            </a:solidFill>
                            <a:ln>
                              <a:solidFill>
                                <a:schemeClr val="accent1">
                                  <a:lumMod val="50000"/>
                                </a:schemeClr>
                              </a:solidFill>
                            </a:ln>
                          </wps:spPr>
                          <wps:txbx>
                            <w:txbxContent>
                              <w:p w14:paraId="18355C41" w14:textId="77777777" w:rsidR="00521305" w:rsidRPr="008D7FAD" w:rsidRDefault="00521305" w:rsidP="001C19F3">
                                <w:pPr>
                                  <w:spacing w:after="0"/>
                                  <w:jc w:val="center"/>
                                  <w:rPr>
                                    <w:b/>
                                    <w:bCs/>
                                    <w:color w:val="FFFFFF" w:themeColor="background1"/>
                                    <w:kern w:val="24"/>
                                    <w:sz w:val="18"/>
                                    <w:szCs w:val="18"/>
                                  </w:rPr>
                                </w:pPr>
                                <w:r w:rsidRPr="00D41937">
                                  <w:rPr>
                                    <w:b/>
                                    <w:bCs/>
                                    <w:kern w:val="24"/>
                                    <w:sz w:val="18"/>
                                    <w:szCs w:val="18"/>
                                  </w:rPr>
                                  <w:t>Pen CS</w:t>
                                </w:r>
                                <w:r w:rsidRPr="00D41937">
                                  <w:rPr>
                                    <w:b/>
                                    <w:bCs/>
                                    <w:kern w:val="24"/>
                                    <w:sz w:val="18"/>
                                    <w:szCs w:val="18"/>
                                  </w:rPr>
                                  <w:br/>
                                </w:r>
                                <w:r>
                                  <w:rPr>
                                    <w:rFonts w:cstheme="minorBidi"/>
                                    <w:kern w:val="24"/>
                                    <w:sz w:val="16"/>
                                    <w:szCs w:val="16"/>
                                  </w:rPr>
                                  <w:t>97</w:t>
                                </w:r>
                                <w:r w:rsidRPr="008D7FAD">
                                  <w:rPr>
                                    <w:rFonts w:cstheme="minorBidi"/>
                                    <w:kern w:val="24"/>
                                    <w:sz w:val="16"/>
                                    <w:szCs w:val="16"/>
                                  </w:rPr>
                                  <w:t xml:space="preserve"> HCH practices (including 12 </w:t>
                                </w:r>
                                <w:r>
                                  <w:rPr>
                                    <w:rFonts w:cstheme="minorBidi"/>
                                    <w:kern w:val="24"/>
                                    <w:sz w:val="16"/>
                                    <w:szCs w:val="16"/>
                                  </w:rPr>
                                  <w:t>ACCHS</w:t>
                                </w:r>
                                <w:r w:rsidRPr="00AC13C2">
                                  <w:rPr>
                                    <w:rFonts w:cstheme="minorBidi"/>
                                    <w:kern w:val="24"/>
                                    <w:sz w:val="16"/>
                                    <w:szCs w:val="16"/>
                                    <w:vertAlign w:val="superscript"/>
                                  </w:rPr>
                                  <w:t>1</w:t>
                                </w:r>
                                <w:r w:rsidRPr="008D7FAD">
                                  <w:rPr>
                                    <w:rFonts w:cstheme="minorBidi"/>
                                    <w:kern w:val="24"/>
                                    <w:sz w:val="16"/>
                                    <w:szCs w:val="16"/>
                                  </w:rPr>
                                  <w:t>)</w:t>
                                </w:r>
                              </w:p>
                            </w:txbxContent>
                          </wps:txbx>
                          <wps:bodyPr wrap="square" anchor="ctr">
                            <a:noAutofit/>
                          </wps:bodyPr>
                        </wps:wsp>
                        <wpg:grpSp>
                          <wpg:cNvPr id="293" name="Group 293"/>
                          <wpg:cNvGrpSpPr/>
                          <wpg:grpSpPr>
                            <a:xfrm>
                              <a:off x="1374437" y="679197"/>
                              <a:ext cx="1666972" cy="453589"/>
                              <a:chOff x="1090754" y="95977"/>
                              <a:chExt cx="1285002" cy="454209"/>
                            </a:xfrm>
                          </wpg:grpSpPr>
                          <wps:wsp>
                            <wps:cNvPr id="294" name="Straight Arrow Connector 294"/>
                            <wps:cNvCnPr/>
                            <wps:spPr>
                              <a:xfrm>
                                <a:off x="1099212" y="319524"/>
                                <a:ext cx="1276544"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95" name="Rectangle 295"/>
                            <wps:cNvSpPr/>
                            <wps:spPr>
                              <a:xfrm>
                                <a:off x="1090754" y="95977"/>
                                <a:ext cx="1073090" cy="454209"/>
                              </a:xfrm>
                              <a:prstGeom prst="rect">
                                <a:avLst/>
                              </a:prstGeom>
                              <a:noFill/>
                              <a:ln>
                                <a:noFill/>
                              </a:ln>
                            </wps:spPr>
                            <wps:txbx>
                              <w:txbxContent>
                                <w:p w14:paraId="5394B898" w14:textId="77777777" w:rsidR="00521305" w:rsidRDefault="00521305" w:rsidP="001C19F3">
                                  <w:pPr>
                                    <w:kinsoku w:val="0"/>
                                    <w:overflowPunct w:val="0"/>
                                    <w:spacing w:after="0" w:line="240" w:lineRule="auto"/>
                                    <w:textAlignment w:val="baseline"/>
                                    <w:rPr>
                                      <w:color w:val="000000"/>
                                      <w:kern w:val="24"/>
                                      <w:sz w:val="16"/>
                                      <w:szCs w:val="16"/>
                                    </w:rPr>
                                  </w:pPr>
                                  <w:r w:rsidRPr="00AB1437">
                                    <w:rPr>
                                      <w:color w:val="000000"/>
                                      <w:kern w:val="24"/>
                                      <w:sz w:val="16"/>
                                      <w:szCs w:val="16"/>
                                    </w:rPr>
                                    <w:t>Monthly snap</w:t>
                                  </w:r>
                                  <w:r>
                                    <w:rPr>
                                      <w:color w:val="000000"/>
                                      <w:kern w:val="24"/>
                                      <w:sz w:val="16"/>
                                      <w:szCs w:val="16"/>
                                    </w:rPr>
                                    <w:t>-</w:t>
                                  </w:r>
                                  <w:r w:rsidRPr="00AB1437">
                                    <w:rPr>
                                      <w:color w:val="000000"/>
                                      <w:kern w:val="24"/>
                                      <w:sz w:val="16"/>
                                      <w:szCs w:val="16"/>
                                    </w:rPr>
                                    <w:t>shot</w:t>
                                  </w:r>
                                  <w:r>
                                    <w:rPr>
                                      <w:color w:val="000000"/>
                                      <w:kern w:val="24"/>
                                      <w:sz w:val="16"/>
                                      <w:szCs w:val="16"/>
                                    </w:rPr>
                                    <w:t xml:space="preserve"> </w:t>
                                  </w:r>
                                </w:p>
                                <w:p w14:paraId="0B7A79A9" w14:textId="77777777" w:rsidR="00521305" w:rsidRPr="00AB1437" w:rsidRDefault="00521305" w:rsidP="001C19F3">
                                  <w:pPr>
                                    <w:kinsoku w:val="0"/>
                                    <w:overflowPunct w:val="0"/>
                                    <w:spacing w:after="0" w:line="240" w:lineRule="auto"/>
                                    <w:textAlignment w:val="baseline"/>
                                    <w:rPr>
                                      <w:sz w:val="16"/>
                                      <w:szCs w:val="16"/>
                                    </w:rPr>
                                  </w:pPr>
                                  <w:r>
                                    <w:rPr>
                                      <w:color w:val="000000"/>
                                      <w:kern w:val="24"/>
                                      <w:sz w:val="16"/>
                                      <w:szCs w:val="16"/>
                                    </w:rPr>
                                    <w:t>Raw &amp; derived variables</w:t>
                                  </w:r>
                                </w:p>
                              </w:txbxContent>
                            </wps:txbx>
                            <wps:bodyPr wrap="square" anchor="ctr">
                              <a:noAutofit/>
                            </wps:bodyPr>
                          </wps:wsp>
                        </wpg:grpSp>
                      </wpg:wgp>
                      <wps:wsp>
                        <wps:cNvPr id="297" name="Rectangle 297"/>
                        <wps:cNvSpPr/>
                        <wps:spPr>
                          <a:xfrm>
                            <a:off x="14146" y="1352038"/>
                            <a:ext cx="1377924" cy="581389"/>
                          </a:xfrm>
                          <a:prstGeom prst="rect">
                            <a:avLst/>
                          </a:prstGeom>
                          <a:solidFill>
                            <a:schemeClr val="accent1">
                              <a:lumMod val="60000"/>
                              <a:lumOff val="40000"/>
                            </a:schemeClr>
                          </a:solidFill>
                          <a:ln>
                            <a:solidFill>
                              <a:schemeClr val="accent1">
                                <a:lumMod val="75000"/>
                              </a:schemeClr>
                            </a:solidFill>
                          </a:ln>
                        </wps:spPr>
                        <wps:txbx>
                          <w:txbxContent>
                            <w:p w14:paraId="53C1FBC7" w14:textId="77777777" w:rsidR="00521305" w:rsidRPr="00D41937" w:rsidRDefault="00521305" w:rsidP="001C19F3">
                              <w:pPr>
                                <w:spacing w:after="0"/>
                                <w:jc w:val="center"/>
                                <w:rPr>
                                  <w:sz w:val="18"/>
                                  <w:szCs w:val="18"/>
                                </w:rPr>
                              </w:pPr>
                              <w:r w:rsidRPr="00D41937">
                                <w:rPr>
                                  <w:b/>
                                  <w:bCs/>
                                  <w:kern w:val="24"/>
                                  <w:sz w:val="18"/>
                                  <w:szCs w:val="18"/>
                                </w:rPr>
                                <w:t>NPS MedicineInsight</w:t>
                              </w:r>
                              <w:r w:rsidRPr="00D41937">
                                <w:rPr>
                                  <w:b/>
                                  <w:bCs/>
                                  <w:kern w:val="24"/>
                                  <w:sz w:val="18"/>
                                  <w:szCs w:val="18"/>
                                </w:rPr>
                                <w:br/>
                              </w:r>
                              <w:r w:rsidRPr="0052629D">
                                <w:rPr>
                                  <w:rFonts w:cstheme="minorBidi"/>
                                  <w:kern w:val="24"/>
                                  <w:sz w:val="16"/>
                                  <w:szCs w:val="16"/>
                                </w:rPr>
                                <w:t>4 HCH practices</w:t>
                              </w:r>
                              <w:r w:rsidRPr="00AC13C2">
                                <w:rPr>
                                  <w:rFonts w:cstheme="minorBidi"/>
                                  <w:kern w:val="24"/>
                                  <w:sz w:val="16"/>
                                  <w:szCs w:val="16"/>
                                  <w:vertAlign w:val="superscript"/>
                                </w:rPr>
                                <w:t>2</w:t>
                              </w:r>
                              <w:r w:rsidRPr="0052629D">
                                <w:rPr>
                                  <w:rFonts w:cstheme="minorBidi"/>
                                  <w:kern w:val="24"/>
                                  <w:sz w:val="16"/>
                                  <w:szCs w:val="16"/>
                                </w:rPr>
                                <w:br/>
                                <w:t>417 non-HCH practices</w:t>
                              </w:r>
                            </w:p>
                            <w:p w14:paraId="53E4D297" w14:textId="77777777" w:rsidR="00521305" w:rsidRPr="00D41937" w:rsidRDefault="00521305" w:rsidP="001C19F3">
                              <w:pPr>
                                <w:kinsoku w:val="0"/>
                                <w:overflowPunct w:val="0"/>
                                <w:spacing w:after="0"/>
                                <w:textAlignment w:val="baseline"/>
                                <w:rPr>
                                  <w:sz w:val="24"/>
                                  <w:szCs w:val="24"/>
                                </w:rPr>
                              </w:pPr>
                            </w:p>
                          </w:txbxContent>
                        </wps:txbx>
                        <wps:bodyPr wrap="square" anchor="ctr">
                          <a:noAutofit/>
                        </wps:bodyPr>
                      </wps:wsp>
                      <wpg:wgp>
                        <wpg:cNvPr id="298" name="Group 298"/>
                        <wpg:cNvGrpSpPr/>
                        <wpg:grpSpPr>
                          <a:xfrm>
                            <a:off x="2909797" y="105476"/>
                            <a:ext cx="2710805" cy="1246562"/>
                            <a:chOff x="2845619" y="265283"/>
                            <a:chExt cx="2467585" cy="1415260"/>
                          </a:xfrm>
                        </wpg:grpSpPr>
                        <wps:wsp>
                          <wps:cNvPr id="299" name="Rectangle 299"/>
                          <wps:cNvSpPr/>
                          <wps:spPr>
                            <a:xfrm>
                              <a:off x="4171375" y="582877"/>
                              <a:ext cx="1035462" cy="928726"/>
                            </a:xfrm>
                            <a:prstGeom prst="rect">
                              <a:avLst/>
                            </a:prstGeom>
                            <a:solidFill>
                              <a:schemeClr val="accent3">
                                <a:lumMod val="40000"/>
                                <a:lumOff val="60000"/>
                              </a:schemeClr>
                            </a:solidFill>
                            <a:ln>
                              <a:solidFill>
                                <a:schemeClr val="accent1">
                                  <a:lumMod val="75000"/>
                                </a:schemeClr>
                              </a:solidFill>
                            </a:ln>
                          </wps:spPr>
                          <wps:txbx>
                            <w:txbxContent>
                              <w:p w14:paraId="374F8D09" w14:textId="77777777" w:rsidR="00521305" w:rsidRPr="006D7F38" w:rsidRDefault="00521305" w:rsidP="001C19F3">
                                <w:pPr>
                                  <w:kinsoku w:val="0"/>
                                  <w:overflowPunct w:val="0"/>
                                  <w:spacing w:after="0" w:line="240" w:lineRule="auto"/>
                                  <w:jc w:val="center"/>
                                  <w:textAlignment w:val="baseline"/>
                                  <w:rPr>
                                    <w:sz w:val="18"/>
                                  </w:rPr>
                                </w:pPr>
                                <w:r w:rsidRPr="006D7F38">
                                  <w:rPr>
                                    <w:bCs/>
                                    <w:color w:val="000000" w:themeColor="text1"/>
                                    <w:kern w:val="24"/>
                                    <w:sz w:val="18"/>
                                  </w:rPr>
                                  <w:t xml:space="preserve">Extract data </w:t>
                                </w:r>
                                <w:r w:rsidRPr="006D7F38">
                                  <w:rPr>
                                    <w:bCs/>
                                    <w:color w:val="000000" w:themeColor="text1"/>
                                    <w:kern w:val="24"/>
                                    <w:sz w:val="18"/>
                                  </w:rPr>
                                  <w:br/>
                                </w:r>
                                <w:r w:rsidRPr="003A7D0D">
                                  <w:rPr>
                                    <w:bCs/>
                                    <w:color w:val="000000" w:themeColor="text1"/>
                                    <w:kern w:val="24"/>
                                    <w:sz w:val="18"/>
                                    <w:u w:val="single"/>
                                  </w:rPr>
                                  <w:t>not</w:t>
                                </w:r>
                                <w:r w:rsidRPr="006D7F38">
                                  <w:rPr>
                                    <w:bCs/>
                                    <w:color w:val="000000" w:themeColor="text1"/>
                                    <w:kern w:val="24"/>
                                    <w:sz w:val="18"/>
                                  </w:rPr>
                                  <w:t xml:space="preserve"> available </w:t>
                                </w:r>
                                <w:r w:rsidRPr="006D7F38">
                                  <w:rPr>
                                    <w:bCs/>
                                    <w:color w:val="000000" w:themeColor="text1"/>
                                    <w:kern w:val="24"/>
                                    <w:sz w:val="18"/>
                                  </w:rPr>
                                  <w:br/>
                                </w:r>
                                <w:r w:rsidRPr="006D7F38">
                                  <w:rPr>
                                    <w:bCs/>
                                    <w:color w:val="000000" w:themeColor="text1"/>
                                    <w:kern w:val="24"/>
                                    <w:sz w:val="18"/>
                                  </w:rPr>
                                  <w:br/>
                                </w:r>
                                <w:r w:rsidRPr="00C757C6">
                                  <w:rPr>
                                    <w:bCs/>
                                    <w:color w:val="000000" w:themeColor="text1"/>
                                    <w:kern w:val="24"/>
                                    <w:sz w:val="18"/>
                                  </w:rPr>
                                  <w:t>2</w:t>
                                </w:r>
                                <w:r>
                                  <w:rPr>
                                    <w:bCs/>
                                    <w:color w:val="000000" w:themeColor="text1"/>
                                    <w:kern w:val="24"/>
                                    <w:sz w:val="18"/>
                                  </w:rPr>
                                  <w:t>4</w:t>
                                </w:r>
                                <w:r w:rsidRPr="00C757C6">
                                  <w:rPr>
                                    <w:bCs/>
                                    <w:color w:val="000000" w:themeColor="text1"/>
                                    <w:kern w:val="24"/>
                                    <w:sz w:val="18"/>
                                  </w:rPr>
                                  <w:t xml:space="preserve"> practices</w:t>
                                </w:r>
                              </w:p>
                            </w:txbxContent>
                          </wps:txbx>
                          <wps:bodyPr wrap="square" lIns="36000" rIns="36000" anchor="ctr">
                            <a:noAutofit/>
                          </wps:bodyPr>
                        </wps:wsp>
                        <wps:wsp>
                          <wps:cNvPr id="300" name="Rectangle 300"/>
                          <wps:cNvSpPr/>
                          <wps:spPr>
                            <a:xfrm>
                              <a:off x="2954538" y="574088"/>
                              <a:ext cx="1140546" cy="955072"/>
                            </a:xfrm>
                            <a:prstGeom prst="rect">
                              <a:avLst/>
                            </a:prstGeom>
                            <a:solidFill>
                              <a:schemeClr val="accent1">
                                <a:lumMod val="60000"/>
                                <a:lumOff val="40000"/>
                              </a:schemeClr>
                            </a:solidFill>
                            <a:ln>
                              <a:solidFill>
                                <a:schemeClr val="accent1">
                                  <a:lumMod val="75000"/>
                                </a:schemeClr>
                              </a:solidFill>
                            </a:ln>
                          </wps:spPr>
                          <wps:txbx>
                            <w:txbxContent>
                              <w:p w14:paraId="63F5FB63" w14:textId="77777777" w:rsidR="00521305" w:rsidRPr="006D7F38" w:rsidRDefault="00521305" w:rsidP="001C19F3">
                                <w:pPr>
                                  <w:kinsoku w:val="0"/>
                                  <w:overflowPunct w:val="0"/>
                                  <w:spacing w:after="0" w:line="240" w:lineRule="auto"/>
                                  <w:jc w:val="center"/>
                                  <w:textAlignment w:val="baseline"/>
                                  <w:rPr>
                                    <w:sz w:val="22"/>
                                    <w:szCs w:val="24"/>
                                  </w:rPr>
                                </w:pPr>
                                <w:r w:rsidRPr="006D7F38">
                                  <w:rPr>
                                    <w:bCs/>
                                    <w:color w:val="000000"/>
                                    <w:kern w:val="24"/>
                                    <w:sz w:val="18"/>
                                    <w:szCs w:val="20"/>
                                  </w:rPr>
                                  <w:t xml:space="preserve">Extract data </w:t>
                                </w:r>
                                <w:r w:rsidRPr="006D7F38">
                                  <w:rPr>
                                    <w:bCs/>
                                    <w:color w:val="000000"/>
                                    <w:kern w:val="24"/>
                                    <w:sz w:val="18"/>
                                    <w:szCs w:val="20"/>
                                  </w:rPr>
                                  <w:br/>
                                  <w:t>available</w:t>
                                </w:r>
                                <w:r w:rsidRPr="006D7F38">
                                  <w:rPr>
                                    <w:bCs/>
                                    <w:color w:val="000000"/>
                                    <w:kern w:val="24"/>
                                    <w:sz w:val="18"/>
                                    <w:szCs w:val="20"/>
                                  </w:rPr>
                                  <w:br/>
                                </w:r>
                                <w:r w:rsidRPr="006D7F38">
                                  <w:rPr>
                                    <w:bCs/>
                                    <w:color w:val="000000"/>
                                    <w:kern w:val="24"/>
                                    <w:sz w:val="18"/>
                                    <w:szCs w:val="20"/>
                                  </w:rPr>
                                  <w:br/>
                                  <w:t>10</w:t>
                                </w:r>
                                <w:r>
                                  <w:rPr>
                                    <w:bCs/>
                                    <w:color w:val="000000"/>
                                    <w:kern w:val="24"/>
                                    <w:sz w:val="18"/>
                                    <w:szCs w:val="20"/>
                                  </w:rPr>
                                  <w:t>8</w:t>
                                </w:r>
                                <w:r w:rsidRPr="006D7F38">
                                  <w:rPr>
                                    <w:bCs/>
                                    <w:color w:val="000000"/>
                                    <w:kern w:val="24"/>
                                    <w:sz w:val="18"/>
                                    <w:szCs w:val="20"/>
                                  </w:rPr>
                                  <w:t xml:space="preserve"> practices</w:t>
                                </w:r>
                              </w:p>
                            </w:txbxContent>
                          </wps:txbx>
                          <wps:bodyPr wrap="square" lIns="36000" rIns="36000" anchor="ctr">
                            <a:noAutofit/>
                          </wps:bodyPr>
                        </wps:wsp>
                        <wps:wsp>
                          <wps:cNvPr id="301" name="Rectangle 301"/>
                          <wps:cNvSpPr/>
                          <wps:spPr>
                            <a:xfrm>
                              <a:off x="2974279" y="323611"/>
                              <a:ext cx="2232557" cy="259266"/>
                            </a:xfrm>
                            <a:prstGeom prst="rect">
                              <a:avLst/>
                            </a:prstGeom>
                            <a:noFill/>
                            <a:ln w="6350">
                              <a:noFill/>
                            </a:ln>
                          </wps:spPr>
                          <wps:txbx>
                            <w:txbxContent>
                              <w:p w14:paraId="70A493F5" w14:textId="77777777" w:rsidR="00521305" w:rsidRPr="00D85528" w:rsidRDefault="00521305" w:rsidP="001C19F3">
                                <w:pPr>
                                  <w:kinsoku w:val="0"/>
                                  <w:overflowPunct w:val="0"/>
                                  <w:spacing w:after="0" w:line="240" w:lineRule="auto"/>
                                  <w:jc w:val="center"/>
                                  <w:textAlignment w:val="baseline"/>
                                  <w:rPr>
                                    <w:b/>
                                    <w:sz w:val="22"/>
                                  </w:rPr>
                                </w:pPr>
                                <w:r w:rsidRPr="00D85528">
                                  <w:rPr>
                                    <w:b/>
                                    <w:color w:val="000000" w:themeColor="text1"/>
                                    <w:kern w:val="24"/>
                                    <w:sz w:val="18"/>
                                    <w:szCs w:val="18"/>
                                  </w:rPr>
                                  <w:t>HCH</w:t>
                                </w:r>
                                <w:r>
                                  <w:rPr>
                                    <w:b/>
                                    <w:color w:val="000000" w:themeColor="text1"/>
                                    <w:kern w:val="24"/>
                                    <w:sz w:val="18"/>
                                    <w:szCs w:val="18"/>
                                  </w:rPr>
                                  <w:t xml:space="preserve"> practices</w:t>
                                </w:r>
                              </w:p>
                            </w:txbxContent>
                          </wps:txbx>
                          <wps:bodyPr wrap="square" anchor="ctr">
                            <a:noAutofit/>
                          </wps:bodyPr>
                        </wps:wsp>
                        <wps:wsp>
                          <wps:cNvPr id="302" name="Rectangle 302"/>
                          <wps:cNvSpPr/>
                          <wps:spPr>
                            <a:xfrm>
                              <a:off x="2845619" y="265283"/>
                              <a:ext cx="2467585" cy="1415260"/>
                            </a:xfrm>
                            <a:prstGeom prst="rect">
                              <a:avLst/>
                            </a:prstGeom>
                            <a:no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03" name="Rectangle 303"/>
                        <wps:cNvSpPr/>
                        <wps:spPr>
                          <a:xfrm>
                            <a:off x="3036409" y="1477174"/>
                            <a:ext cx="1238411" cy="646901"/>
                          </a:xfrm>
                          <a:prstGeom prst="rect">
                            <a:avLst/>
                          </a:prstGeom>
                          <a:solidFill>
                            <a:schemeClr val="accent1">
                              <a:lumMod val="60000"/>
                              <a:lumOff val="40000"/>
                            </a:schemeClr>
                          </a:solidFill>
                          <a:ln>
                            <a:solidFill>
                              <a:schemeClr val="accent1">
                                <a:lumMod val="75000"/>
                              </a:schemeClr>
                            </a:solidFill>
                          </a:ln>
                        </wps:spPr>
                        <wps:txbx>
                          <w:txbxContent>
                            <w:p w14:paraId="7BC7AC1A" w14:textId="77777777" w:rsidR="00521305" w:rsidRPr="00D41937" w:rsidRDefault="00521305" w:rsidP="001C19F3">
                              <w:pPr>
                                <w:kinsoku w:val="0"/>
                                <w:overflowPunct w:val="0"/>
                                <w:spacing w:after="0"/>
                                <w:jc w:val="center"/>
                                <w:textAlignment w:val="baseline"/>
                                <w:rPr>
                                  <w:sz w:val="24"/>
                                  <w:szCs w:val="24"/>
                                </w:rPr>
                              </w:pPr>
                              <w:r w:rsidRPr="006D7F38">
                                <w:rPr>
                                  <w:bCs/>
                                  <w:color w:val="000000"/>
                                  <w:kern w:val="24"/>
                                  <w:sz w:val="18"/>
                                  <w:szCs w:val="20"/>
                                </w:rPr>
                                <w:t>Extract data</w:t>
                              </w:r>
                              <w:r>
                                <w:rPr>
                                  <w:bCs/>
                                  <w:color w:val="000000"/>
                                  <w:kern w:val="24"/>
                                  <w:sz w:val="18"/>
                                  <w:szCs w:val="20"/>
                                </w:rPr>
                                <w:t xml:space="preserve"> </w:t>
                              </w:r>
                              <w:r w:rsidRPr="006D7F38">
                                <w:rPr>
                                  <w:bCs/>
                                  <w:color w:val="000000"/>
                                  <w:kern w:val="24"/>
                                  <w:sz w:val="18"/>
                                  <w:szCs w:val="20"/>
                                </w:rPr>
                                <w:t>available</w:t>
                              </w:r>
                              <w:r>
                                <w:rPr>
                                  <w:bCs/>
                                  <w:color w:val="000000"/>
                                  <w:kern w:val="24"/>
                                  <w:sz w:val="18"/>
                                  <w:szCs w:val="20"/>
                                </w:rPr>
                                <w:t xml:space="preserve"> </w:t>
                              </w:r>
                              <w:r w:rsidRPr="006D7F38">
                                <w:rPr>
                                  <w:bCs/>
                                  <w:color w:val="000000"/>
                                  <w:kern w:val="24"/>
                                  <w:sz w:val="18"/>
                                  <w:szCs w:val="20"/>
                                </w:rPr>
                                <w:br/>
                              </w:r>
                              <w:r w:rsidRPr="007C5EB8">
                                <w:rPr>
                                  <w:color w:val="000000"/>
                                  <w:kern w:val="24"/>
                                  <w:sz w:val="8"/>
                                  <w:szCs w:val="8"/>
                                </w:rPr>
                                <w:br/>
                              </w:r>
                              <w:r w:rsidRPr="00D41937">
                                <w:rPr>
                                  <w:color w:val="000000"/>
                                  <w:kern w:val="24"/>
                                  <w:sz w:val="18"/>
                                  <w:szCs w:val="18"/>
                                </w:rPr>
                                <w:t>417 practices</w:t>
                              </w:r>
                            </w:p>
                          </w:txbxContent>
                        </wps:txbx>
                        <wps:bodyPr wrap="square" anchor="ctr">
                          <a:noAutofit/>
                        </wps:bodyPr>
                      </wps:wsp>
                      <wpg:wgp>
                        <wpg:cNvPr id="304" name="Group 304"/>
                        <wpg:cNvGrpSpPr/>
                        <wpg:grpSpPr>
                          <a:xfrm>
                            <a:off x="14146" y="744246"/>
                            <a:ext cx="3024332" cy="481513"/>
                            <a:chOff x="14146" y="1275149"/>
                            <a:chExt cx="3024332" cy="481513"/>
                          </a:xfrm>
                        </wpg:grpSpPr>
                        <wps:wsp>
                          <wps:cNvPr id="305" name="Rectangle 305"/>
                          <wps:cNvSpPr/>
                          <wps:spPr>
                            <a:xfrm>
                              <a:off x="14146" y="1346879"/>
                              <a:ext cx="1371001" cy="409783"/>
                            </a:xfrm>
                            <a:prstGeom prst="rect">
                              <a:avLst/>
                            </a:prstGeom>
                            <a:solidFill>
                              <a:schemeClr val="accent1">
                                <a:lumMod val="60000"/>
                                <a:lumOff val="40000"/>
                              </a:schemeClr>
                            </a:solidFill>
                            <a:ln>
                              <a:solidFill>
                                <a:schemeClr val="accent1">
                                  <a:lumMod val="75000"/>
                                </a:schemeClr>
                              </a:solidFill>
                            </a:ln>
                          </wps:spPr>
                          <wps:txbx>
                            <w:txbxContent>
                              <w:p w14:paraId="5E98FF9B" w14:textId="77777777" w:rsidR="00521305" w:rsidRPr="0052629D" w:rsidRDefault="00521305" w:rsidP="001C19F3">
                                <w:pPr>
                                  <w:spacing w:after="0"/>
                                  <w:jc w:val="center"/>
                                  <w:rPr>
                                    <w:sz w:val="16"/>
                                    <w:szCs w:val="16"/>
                                  </w:rPr>
                                </w:pPr>
                                <w:r w:rsidRPr="00D41937">
                                  <w:rPr>
                                    <w:b/>
                                    <w:bCs/>
                                    <w:kern w:val="24"/>
                                    <w:sz w:val="18"/>
                                    <w:szCs w:val="18"/>
                                  </w:rPr>
                                  <w:t>P</w:t>
                                </w:r>
                                <w:r>
                                  <w:rPr>
                                    <w:b/>
                                    <w:bCs/>
                                    <w:kern w:val="24"/>
                                    <w:sz w:val="18"/>
                                    <w:szCs w:val="18"/>
                                  </w:rPr>
                                  <w:t>OLAR</w:t>
                                </w:r>
                                <w:r w:rsidRPr="00D41937">
                                  <w:rPr>
                                    <w:b/>
                                    <w:bCs/>
                                    <w:kern w:val="24"/>
                                    <w:sz w:val="18"/>
                                    <w:szCs w:val="18"/>
                                  </w:rPr>
                                  <w:br/>
                                </w:r>
                                <w:r w:rsidRPr="0052629D">
                                  <w:rPr>
                                    <w:rFonts w:cstheme="minorBidi"/>
                                    <w:kern w:val="24"/>
                                    <w:sz w:val="16"/>
                                    <w:szCs w:val="16"/>
                                  </w:rPr>
                                  <w:t>11 HCH practices</w:t>
                                </w:r>
                              </w:p>
                            </w:txbxContent>
                          </wps:txbx>
                          <wps:bodyPr wrap="square" anchor="ctr">
                            <a:noAutofit/>
                          </wps:bodyPr>
                        </wps:wsp>
                        <wpg:grpSp>
                          <wpg:cNvPr id="306" name="Group 306"/>
                          <wpg:cNvGrpSpPr/>
                          <wpg:grpSpPr>
                            <a:xfrm>
                              <a:off x="1382478" y="1275149"/>
                              <a:ext cx="1656000" cy="454209"/>
                              <a:chOff x="-2068" y="-63608"/>
                              <a:chExt cx="1277103" cy="454209"/>
                            </a:xfrm>
                          </wpg:grpSpPr>
                          <wps:wsp>
                            <wps:cNvPr id="308" name="Straight Arrow Connector 308"/>
                            <wps:cNvCnPr/>
                            <wps:spPr>
                              <a:xfrm>
                                <a:off x="-2068" y="144061"/>
                                <a:ext cx="1277103"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09" name="Rectangle 309"/>
                            <wps:cNvSpPr/>
                            <wps:spPr>
                              <a:xfrm>
                                <a:off x="0" y="-63608"/>
                                <a:ext cx="1073090" cy="454209"/>
                              </a:xfrm>
                              <a:prstGeom prst="rect">
                                <a:avLst/>
                              </a:prstGeom>
                              <a:noFill/>
                              <a:ln>
                                <a:noFill/>
                              </a:ln>
                            </wps:spPr>
                            <wps:txbx>
                              <w:txbxContent>
                                <w:p w14:paraId="4D1323C7" w14:textId="77777777" w:rsidR="00521305" w:rsidRDefault="00521305" w:rsidP="001C19F3">
                                  <w:pPr>
                                    <w:kinsoku w:val="0"/>
                                    <w:overflowPunct w:val="0"/>
                                    <w:spacing w:after="0"/>
                                    <w:textAlignment w:val="baseline"/>
                                    <w:rPr>
                                      <w:sz w:val="24"/>
                                      <w:szCs w:val="24"/>
                                    </w:rPr>
                                  </w:pPr>
                                  <w:r>
                                    <w:rPr>
                                      <w:color w:val="000000"/>
                                      <w:kern w:val="24"/>
                                      <w:sz w:val="16"/>
                                      <w:szCs w:val="16"/>
                                    </w:rPr>
                                    <w:t>Monthly full extract</w:t>
                                  </w:r>
                                </w:p>
                                <w:p w14:paraId="72507231" w14:textId="77777777" w:rsidR="00521305" w:rsidRDefault="00521305" w:rsidP="001C19F3">
                                  <w:pPr>
                                    <w:kinsoku w:val="0"/>
                                    <w:overflowPunct w:val="0"/>
                                    <w:spacing w:after="0"/>
                                    <w:textAlignment w:val="baseline"/>
                                  </w:pPr>
                                  <w:r>
                                    <w:rPr>
                                      <w:color w:val="000000"/>
                                      <w:kern w:val="24"/>
                                      <w:sz w:val="16"/>
                                      <w:szCs w:val="16"/>
                                    </w:rPr>
                                    <w:t>Raw &amp; derived variables</w:t>
                                  </w:r>
                                </w:p>
                              </w:txbxContent>
                            </wps:txbx>
                            <wps:bodyPr wrap="square" anchor="ctr">
                              <a:noAutofit/>
                            </wps:bodyPr>
                          </wps:wsp>
                        </wpg:grpSp>
                      </wpg:wgp>
                      <wpg:wgp>
                        <wpg:cNvPr id="310" name="Group 310"/>
                        <wpg:cNvGrpSpPr/>
                        <wpg:grpSpPr>
                          <a:xfrm>
                            <a:off x="1368134" y="1152290"/>
                            <a:ext cx="1678079" cy="660373"/>
                            <a:chOff x="1368134" y="1800204"/>
                            <a:chExt cx="1678079" cy="660373"/>
                          </a:xfrm>
                        </wpg:grpSpPr>
                        <wpg:grpSp>
                          <wpg:cNvPr id="311" name="Group 311"/>
                          <wpg:cNvGrpSpPr/>
                          <wpg:grpSpPr>
                            <a:xfrm>
                              <a:off x="1368134" y="2006368"/>
                              <a:ext cx="1461479" cy="454209"/>
                              <a:chOff x="-13125" y="-103487"/>
                              <a:chExt cx="1127549" cy="454209"/>
                            </a:xfrm>
                          </wpg:grpSpPr>
                          <wps:wsp>
                            <wps:cNvPr id="312" name="Straight Arrow Connector 312"/>
                            <wps:cNvCnPr/>
                            <wps:spPr>
                              <a:xfrm>
                                <a:off x="3446" y="106438"/>
                                <a:ext cx="1110978" cy="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313" name="Rectangle 313"/>
                            <wps:cNvSpPr/>
                            <wps:spPr>
                              <a:xfrm>
                                <a:off x="-13125" y="-103487"/>
                                <a:ext cx="1073090" cy="454209"/>
                              </a:xfrm>
                              <a:prstGeom prst="rect">
                                <a:avLst/>
                              </a:prstGeom>
                              <a:noFill/>
                              <a:ln>
                                <a:noFill/>
                              </a:ln>
                            </wps:spPr>
                            <wps:txbx>
                              <w:txbxContent>
                                <w:p w14:paraId="25C9A0AB" w14:textId="77777777" w:rsidR="00521305" w:rsidRDefault="00521305" w:rsidP="001C19F3">
                                  <w:pPr>
                                    <w:kinsoku w:val="0"/>
                                    <w:overflowPunct w:val="0"/>
                                    <w:spacing w:after="0"/>
                                    <w:textAlignment w:val="baseline"/>
                                    <w:rPr>
                                      <w:sz w:val="24"/>
                                      <w:szCs w:val="24"/>
                                    </w:rPr>
                                  </w:pPr>
                                  <w:r>
                                    <w:rPr>
                                      <w:color w:val="000000"/>
                                      <w:kern w:val="24"/>
                                      <w:sz w:val="16"/>
                                      <w:szCs w:val="16"/>
                                    </w:rPr>
                                    <w:t>Complete full extract</w:t>
                                  </w:r>
                                </w:p>
                                <w:p w14:paraId="432593E4" w14:textId="77777777" w:rsidR="00521305" w:rsidRDefault="00521305" w:rsidP="001C19F3">
                                  <w:pPr>
                                    <w:kinsoku w:val="0"/>
                                    <w:overflowPunct w:val="0"/>
                                    <w:spacing w:after="0"/>
                                    <w:textAlignment w:val="baseline"/>
                                  </w:pPr>
                                  <w:r>
                                    <w:rPr>
                                      <w:color w:val="000000"/>
                                      <w:kern w:val="24"/>
                                      <w:sz w:val="16"/>
                                      <w:szCs w:val="16"/>
                                    </w:rPr>
                                    <w:t>Raw &amp; derived variables</w:t>
                                  </w:r>
                                </w:p>
                              </w:txbxContent>
                            </wps:txbx>
                            <wps:bodyPr wrap="square" anchor="ctr">
                              <a:noAutofit/>
                            </wps:bodyPr>
                          </wps:wsp>
                        </wpg:grpSp>
                        <wpg:grpSp>
                          <wpg:cNvPr id="314" name="Group 314"/>
                          <wpg:cNvGrpSpPr/>
                          <wpg:grpSpPr>
                            <a:xfrm>
                              <a:off x="2825409" y="1800204"/>
                              <a:ext cx="220804" cy="660373"/>
                              <a:chOff x="2820606" y="2094932"/>
                              <a:chExt cx="220804" cy="660373"/>
                            </a:xfrm>
                          </wpg:grpSpPr>
                          <wpg:grpSp>
                            <wpg:cNvPr id="315" name="Group 315"/>
                            <wpg:cNvGrpSpPr/>
                            <wpg:grpSpPr>
                              <a:xfrm>
                                <a:off x="2824810" y="2094932"/>
                                <a:ext cx="216600" cy="660373"/>
                                <a:chOff x="2804019" y="2081284"/>
                                <a:chExt cx="216600" cy="660373"/>
                              </a:xfrm>
                            </wpg:grpSpPr>
                            <wps:wsp>
                              <wps:cNvPr id="316" name="Straight Arrow Connector 316"/>
                              <wps:cNvCnPr/>
                              <wps:spPr>
                                <a:xfrm>
                                  <a:off x="2804619" y="2088108"/>
                                  <a:ext cx="216000" cy="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flipH="1" flipV="1">
                                  <a:off x="2804019" y="2081284"/>
                                  <a:ext cx="600" cy="660373"/>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g:grpSp>
                          <wps:wsp>
                            <wps:cNvPr id="318" name="Straight Arrow Connector 318"/>
                            <wps:cNvCnPr/>
                            <wps:spPr>
                              <a:xfrm>
                                <a:off x="2820606" y="2755305"/>
                                <a:ext cx="2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57B8931E" id="Canvas 85" o:spid="_x0000_s1045" editas="canvas" style="width:446.35pt;height:173.25pt;mso-position-horizontal-relative:char;mso-position-vertical-relative:line" coordsize="56686,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6686;height:22002;visibility:visible;mso-wrap-style:square">
                  <v:fill o:detectmouseclick="t"/>
                  <v:path o:connecttype="none"/>
                </v:shape>
                <v:group id="Group 291" o:spid="_x0000_s1047" style="position:absolute;left:169;top:1568;width:30245;height:5600" coordorigin="169,5990" coordsize="302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292" o:spid="_x0000_s1048" style="position:absolute;left:169;top:5990;width:13711;height: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" fillcolor="#9cc2e5 [1940]" strokecolor="#1f4d78 [1604]">
                    <v:textbox>
                      <w:txbxContent>
                        <w:p w14:paraId="18355C41" w14:textId="77777777" w:rsidR="00521305" w:rsidRPr="008D7FAD" w:rsidRDefault="00521305" w:rsidP="001C19F3">
                          <w:pPr>
                            <w:spacing w:after="0"/>
                            <w:jc w:val="center"/>
                            <w:rPr>
                              <w:b/>
                              <w:bCs/>
                              <w:color w:val="FFFFFF" w:themeColor="background1"/>
                              <w:kern w:val="24"/>
                              <w:sz w:val="18"/>
                              <w:szCs w:val="18"/>
                            </w:rPr>
                          </w:pPr>
                          <w:r w:rsidRPr="00D41937">
                            <w:rPr>
                              <w:b/>
                              <w:bCs/>
                              <w:kern w:val="24"/>
                              <w:sz w:val="18"/>
                              <w:szCs w:val="18"/>
                            </w:rPr>
                            <w:t>Pen CS</w:t>
                          </w:r>
                          <w:r w:rsidRPr="00D41937">
                            <w:rPr>
                              <w:b/>
                              <w:bCs/>
                              <w:kern w:val="24"/>
                              <w:sz w:val="18"/>
                              <w:szCs w:val="18"/>
                            </w:rPr>
                            <w:br/>
                          </w:r>
                          <w:r>
                            <w:rPr>
                              <w:rFonts w:cstheme="minorBidi"/>
                              <w:kern w:val="24"/>
                              <w:sz w:val="16"/>
                              <w:szCs w:val="16"/>
                            </w:rPr>
                            <w:t>97</w:t>
                          </w:r>
                          <w:r w:rsidRPr="008D7FAD">
                            <w:rPr>
                              <w:rFonts w:cstheme="minorBidi"/>
                              <w:kern w:val="24"/>
                              <w:sz w:val="16"/>
                              <w:szCs w:val="16"/>
                            </w:rPr>
                            <w:t xml:space="preserve"> HCH practices (including 12 </w:t>
                          </w:r>
                          <w:r>
                            <w:rPr>
                              <w:rFonts w:cstheme="minorBidi"/>
                              <w:kern w:val="24"/>
                              <w:sz w:val="16"/>
                              <w:szCs w:val="16"/>
                            </w:rPr>
                            <w:t>ACCHS</w:t>
                          </w:r>
                          <w:r w:rsidRPr="00AC13C2">
                            <w:rPr>
                              <w:rFonts w:cstheme="minorBidi"/>
                              <w:kern w:val="24"/>
                              <w:sz w:val="16"/>
                              <w:szCs w:val="16"/>
                              <w:vertAlign w:val="superscript"/>
                            </w:rPr>
                            <w:t>1</w:t>
                          </w:r>
                          <w:r w:rsidRPr="008D7FAD">
                            <w:rPr>
                              <w:rFonts w:cstheme="minorBidi"/>
                              <w:kern w:val="24"/>
                              <w:sz w:val="16"/>
                              <w:szCs w:val="16"/>
                            </w:rPr>
                            <w:t>)</w:t>
                          </w:r>
                        </w:p>
                      </w:txbxContent>
                    </v:textbox>
                  </v:rect>
                  <v:group id="Group 293" o:spid="_x0000_s1049" style="position:absolute;left:13744;top:6791;width:16670;height:4536" coordorigin="10907,959" coordsize="12850,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294" o:spid="_x0000_s1050" type="#_x0000_t32" style="position:absolute;left:10992;top:3195;width:12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" strokecolor="#5b9bd5 [3204]" strokeweight="1.5pt">
                      <v:stroke endarrow="block" joinstyle="miter"/>
                    </v:shape>
                    <v:rect id="Rectangle 295" o:spid="_x0000_s1051" style="position:absolute;left:10907;top:959;width:10731;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" filled="f" stroked="f">
                      <v:textbox>
                        <w:txbxContent>
                          <w:p w14:paraId="5394B898" w14:textId="77777777" w:rsidR="00521305" w:rsidRDefault="00521305" w:rsidP="001C19F3">
                            <w:pPr>
                              <w:kinsoku w:val="0"/>
                              <w:overflowPunct w:val="0"/>
                              <w:spacing w:after="0" w:line="240" w:lineRule="auto"/>
                              <w:textAlignment w:val="baseline"/>
                              <w:rPr>
                                <w:color w:val="000000"/>
                                <w:kern w:val="24"/>
                                <w:sz w:val="16"/>
                                <w:szCs w:val="16"/>
                              </w:rPr>
                            </w:pPr>
                            <w:r w:rsidRPr="00AB1437">
                              <w:rPr>
                                <w:color w:val="000000"/>
                                <w:kern w:val="24"/>
                                <w:sz w:val="16"/>
                                <w:szCs w:val="16"/>
                              </w:rPr>
                              <w:t>Monthly snap</w:t>
                            </w:r>
                            <w:r>
                              <w:rPr>
                                <w:color w:val="000000"/>
                                <w:kern w:val="24"/>
                                <w:sz w:val="16"/>
                                <w:szCs w:val="16"/>
                              </w:rPr>
                              <w:t>-</w:t>
                            </w:r>
                            <w:r w:rsidRPr="00AB1437">
                              <w:rPr>
                                <w:color w:val="000000"/>
                                <w:kern w:val="24"/>
                                <w:sz w:val="16"/>
                                <w:szCs w:val="16"/>
                              </w:rPr>
                              <w:t>shot</w:t>
                            </w:r>
                            <w:r>
                              <w:rPr>
                                <w:color w:val="000000"/>
                                <w:kern w:val="24"/>
                                <w:sz w:val="16"/>
                                <w:szCs w:val="16"/>
                              </w:rPr>
                              <w:t xml:space="preserve"> </w:t>
                            </w:r>
                          </w:p>
                          <w:p w14:paraId="0B7A79A9" w14:textId="77777777" w:rsidR="00521305" w:rsidRPr="00AB1437" w:rsidRDefault="00521305" w:rsidP="001C19F3">
                            <w:pPr>
                              <w:kinsoku w:val="0"/>
                              <w:overflowPunct w:val="0"/>
                              <w:spacing w:after="0" w:line="240" w:lineRule="auto"/>
                              <w:textAlignment w:val="baseline"/>
                              <w:rPr>
                                <w:sz w:val="16"/>
                                <w:szCs w:val="16"/>
                              </w:rPr>
                            </w:pPr>
                            <w:r>
                              <w:rPr>
                                <w:color w:val="000000"/>
                                <w:kern w:val="24"/>
                                <w:sz w:val="16"/>
                                <w:szCs w:val="16"/>
                              </w:rPr>
                              <w:t>Raw &amp; derived variables</w:t>
                            </w:r>
                          </w:p>
                        </w:txbxContent>
                      </v:textbox>
                    </v:rect>
                  </v:group>
                </v:group>
                <v:rect id="Rectangle 297" o:spid="_x0000_s1052" style="position:absolute;left:141;top:13520;width:13779;height: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" fillcolor="#9cc2e5 [1940]" strokecolor="#2e74b5 [2404]">
                  <v:textbox>
                    <w:txbxContent>
                      <w:p w14:paraId="53C1FBC7" w14:textId="77777777" w:rsidR="00521305" w:rsidRPr="00D41937" w:rsidRDefault="00521305" w:rsidP="001C19F3">
                        <w:pPr>
                          <w:spacing w:after="0"/>
                          <w:jc w:val="center"/>
                          <w:rPr>
                            <w:sz w:val="18"/>
                            <w:szCs w:val="18"/>
                          </w:rPr>
                        </w:pPr>
                        <w:r w:rsidRPr="00D41937">
                          <w:rPr>
                            <w:b/>
                            <w:bCs/>
                            <w:kern w:val="24"/>
                            <w:sz w:val="18"/>
                            <w:szCs w:val="18"/>
                          </w:rPr>
                          <w:t xml:space="preserve">NPS </w:t>
                        </w:r>
                        <w:proofErr w:type="spellStart"/>
                        <w:r w:rsidRPr="00D41937">
                          <w:rPr>
                            <w:b/>
                            <w:bCs/>
                            <w:kern w:val="24"/>
                            <w:sz w:val="18"/>
                            <w:szCs w:val="18"/>
                          </w:rPr>
                          <w:t>MedicineInsight</w:t>
                        </w:r>
                        <w:proofErr w:type="spellEnd"/>
                        <w:r w:rsidRPr="00D41937">
                          <w:rPr>
                            <w:b/>
                            <w:bCs/>
                            <w:kern w:val="24"/>
                            <w:sz w:val="18"/>
                            <w:szCs w:val="18"/>
                          </w:rPr>
                          <w:br/>
                        </w:r>
                        <w:r w:rsidRPr="0052629D">
                          <w:rPr>
                            <w:rFonts w:cstheme="minorBidi"/>
                            <w:kern w:val="24"/>
                            <w:sz w:val="16"/>
                            <w:szCs w:val="16"/>
                          </w:rPr>
                          <w:t>4 HCH practices</w:t>
                        </w:r>
                        <w:r w:rsidRPr="00AC13C2">
                          <w:rPr>
                            <w:rFonts w:cstheme="minorBidi"/>
                            <w:kern w:val="24"/>
                            <w:sz w:val="16"/>
                            <w:szCs w:val="16"/>
                            <w:vertAlign w:val="superscript"/>
                          </w:rPr>
                          <w:t>2</w:t>
                        </w:r>
                        <w:r w:rsidRPr="0052629D">
                          <w:rPr>
                            <w:rFonts w:cstheme="minorBidi"/>
                            <w:kern w:val="24"/>
                            <w:sz w:val="16"/>
                            <w:szCs w:val="16"/>
                          </w:rPr>
                          <w:br/>
                          <w:t>417 non-HCH practices</w:t>
                        </w:r>
                      </w:p>
                      <w:p w14:paraId="53E4D297" w14:textId="77777777" w:rsidR="00521305" w:rsidRPr="00D41937" w:rsidRDefault="00521305" w:rsidP="001C19F3">
                        <w:pPr>
                          <w:kinsoku w:val="0"/>
                          <w:overflowPunct w:val="0"/>
                          <w:spacing w:after="0"/>
                          <w:textAlignment w:val="baseline"/>
                          <w:rPr>
                            <w:sz w:val="24"/>
                            <w:szCs w:val="24"/>
                          </w:rPr>
                        </w:pPr>
                      </w:p>
                    </w:txbxContent>
                  </v:textbox>
                </v:rect>
                <v:group id="Group 298" o:spid="_x0000_s1053" style="position:absolute;left:29097;top:1054;width:27109;height:12466" coordorigin="28456,2652" coordsize="24675,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99" o:spid="_x0000_s1054" style="position:absolute;left:41713;top:5828;width:10355;height:9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" fillcolor="#dbdbdb [1302]" strokecolor="#2e74b5 [2404]">
                    <v:textbox inset="1mm,,1mm">
                      <w:txbxContent>
                        <w:p w14:paraId="374F8D09" w14:textId="77777777" w:rsidR="00521305" w:rsidRPr="006D7F38" w:rsidRDefault="00521305" w:rsidP="001C19F3">
                          <w:pPr>
                            <w:kinsoku w:val="0"/>
                            <w:overflowPunct w:val="0"/>
                            <w:spacing w:after="0" w:line="240" w:lineRule="auto"/>
                            <w:jc w:val="center"/>
                            <w:textAlignment w:val="baseline"/>
                            <w:rPr>
                              <w:sz w:val="18"/>
                            </w:rPr>
                          </w:pPr>
                          <w:r w:rsidRPr="006D7F38">
                            <w:rPr>
                              <w:bCs/>
                              <w:color w:val="000000" w:themeColor="text1"/>
                              <w:kern w:val="24"/>
                              <w:sz w:val="18"/>
                            </w:rPr>
                            <w:t xml:space="preserve">Extract data </w:t>
                          </w:r>
                          <w:r w:rsidRPr="006D7F38">
                            <w:rPr>
                              <w:bCs/>
                              <w:color w:val="000000" w:themeColor="text1"/>
                              <w:kern w:val="24"/>
                              <w:sz w:val="18"/>
                            </w:rPr>
                            <w:br/>
                          </w:r>
                          <w:r w:rsidRPr="003A7D0D">
                            <w:rPr>
                              <w:bCs/>
                              <w:color w:val="000000" w:themeColor="text1"/>
                              <w:kern w:val="24"/>
                              <w:sz w:val="18"/>
                              <w:u w:val="single"/>
                            </w:rPr>
                            <w:t>not</w:t>
                          </w:r>
                          <w:r w:rsidRPr="006D7F38">
                            <w:rPr>
                              <w:bCs/>
                              <w:color w:val="000000" w:themeColor="text1"/>
                              <w:kern w:val="24"/>
                              <w:sz w:val="18"/>
                            </w:rPr>
                            <w:t xml:space="preserve"> available </w:t>
                          </w:r>
                          <w:r w:rsidRPr="006D7F38">
                            <w:rPr>
                              <w:bCs/>
                              <w:color w:val="000000" w:themeColor="text1"/>
                              <w:kern w:val="24"/>
                              <w:sz w:val="18"/>
                            </w:rPr>
                            <w:br/>
                          </w:r>
                          <w:r w:rsidRPr="006D7F38">
                            <w:rPr>
                              <w:bCs/>
                              <w:color w:val="000000" w:themeColor="text1"/>
                              <w:kern w:val="24"/>
                              <w:sz w:val="18"/>
                            </w:rPr>
                            <w:br/>
                          </w:r>
                          <w:r w:rsidRPr="00C757C6">
                            <w:rPr>
                              <w:bCs/>
                              <w:color w:val="000000" w:themeColor="text1"/>
                              <w:kern w:val="24"/>
                              <w:sz w:val="18"/>
                            </w:rPr>
                            <w:t>2</w:t>
                          </w:r>
                          <w:r>
                            <w:rPr>
                              <w:bCs/>
                              <w:color w:val="000000" w:themeColor="text1"/>
                              <w:kern w:val="24"/>
                              <w:sz w:val="18"/>
                            </w:rPr>
                            <w:t>4</w:t>
                          </w:r>
                          <w:r w:rsidRPr="00C757C6">
                            <w:rPr>
                              <w:bCs/>
                              <w:color w:val="000000" w:themeColor="text1"/>
                              <w:kern w:val="24"/>
                              <w:sz w:val="18"/>
                            </w:rPr>
                            <w:t xml:space="preserve"> practices</w:t>
                          </w:r>
                        </w:p>
                      </w:txbxContent>
                    </v:textbox>
                  </v:rect>
                  <v:rect id="Rectangle 300" o:spid="_x0000_s1055" style="position:absolute;left:29545;top:5740;width:11405;height:9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" fillcolor="#9cc2e5 [1940]" strokecolor="#2e74b5 [2404]">
                    <v:textbox inset="1mm,,1mm">
                      <w:txbxContent>
                        <w:p w14:paraId="63F5FB63" w14:textId="77777777" w:rsidR="00521305" w:rsidRPr="006D7F38" w:rsidRDefault="00521305" w:rsidP="001C19F3">
                          <w:pPr>
                            <w:kinsoku w:val="0"/>
                            <w:overflowPunct w:val="0"/>
                            <w:spacing w:after="0" w:line="240" w:lineRule="auto"/>
                            <w:jc w:val="center"/>
                            <w:textAlignment w:val="baseline"/>
                            <w:rPr>
                              <w:sz w:val="22"/>
                              <w:szCs w:val="24"/>
                            </w:rPr>
                          </w:pPr>
                          <w:r w:rsidRPr="006D7F38">
                            <w:rPr>
                              <w:bCs/>
                              <w:color w:val="000000"/>
                              <w:kern w:val="24"/>
                              <w:sz w:val="18"/>
                              <w:szCs w:val="20"/>
                            </w:rPr>
                            <w:t xml:space="preserve">Extract data </w:t>
                          </w:r>
                          <w:r w:rsidRPr="006D7F38">
                            <w:rPr>
                              <w:bCs/>
                              <w:color w:val="000000"/>
                              <w:kern w:val="24"/>
                              <w:sz w:val="18"/>
                              <w:szCs w:val="20"/>
                            </w:rPr>
                            <w:br/>
                            <w:t>available</w:t>
                          </w:r>
                          <w:r w:rsidRPr="006D7F38">
                            <w:rPr>
                              <w:bCs/>
                              <w:color w:val="000000"/>
                              <w:kern w:val="24"/>
                              <w:sz w:val="18"/>
                              <w:szCs w:val="20"/>
                            </w:rPr>
                            <w:br/>
                          </w:r>
                          <w:r w:rsidRPr="006D7F38">
                            <w:rPr>
                              <w:bCs/>
                              <w:color w:val="000000"/>
                              <w:kern w:val="24"/>
                              <w:sz w:val="18"/>
                              <w:szCs w:val="20"/>
                            </w:rPr>
                            <w:br/>
                            <w:t>10</w:t>
                          </w:r>
                          <w:r>
                            <w:rPr>
                              <w:bCs/>
                              <w:color w:val="000000"/>
                              <w:kern w:val="24"/>
                              <w:sz w:val="18"/>
                              <w:szCs w:val="20"/>
                            </w:rPr>
                            <w:t>8</w:t>
                          </w:r>
                          <w:r w:rsidRPr="006D7F38">
                            <w:rPr>
                              <w:bCs/>
                              <w:color w:val="000000"/>
                              <w:kern w:val="24"/>
                              <w:sz w:val="18"/>
                              <w:szCs w:val="20"/>
                            </w:rPr>
                            <w:t xml:space="preserve"> practices</w:t>
                          </w:r>
                        </w:p>
                      </w:txbxContent>
                    </v:textbox>
                  </v:rect>
                  <v:rect id="Rectangle 301" o:spid="_x0000_s1056" style="position:absolute;left:29742;top:3236;width:22326;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" filled="f" stroked="f" strokeweight=".5pt">
                    <v:textbox>
                      <w:txbxContent>
                        <w:p w14:paraId="70A493F5" w14:textId="77777777" w:rsidR="00521305" w:rsidRPr="00D85528" w:rsidRDefault="00521305" w:rsidP="001C19F3">
                          <w:pPr>
                            <w:kinsoku w:val="0"/>
                            <w:overflowPunct w:val="0"/>
                            <w:spacing w:after="0" w:line="240" w:lineRule="auto"/>
                            <w:jc w:val="center"/>
                            <w:textAlignment w:val="baseline"/>
                            <w:rPr>
                              <w:b/>
                              <w:sz w:val="22"/>
                            </w:rPr>
                          </w:pPr>
                          <w:r w:rsidRPr="00D85528">
                            <w:rPr>
                              <w:b/>
                              <w:color w:val="000000" w:themeColor="text1"/>
                              <w:kern w:val="24"/>
                              <w:sz w:val="18"/>
                              <w:szCs w:val="18"/>
                            </w:rPr>
                            <w:t>HCH</w:t>
                          </w:r>
                          <w:r>
                            <w:rPr>
                              <w:b/>
                              <w:color w:val="000000" w:themeColor="text1"/>
                              <w:kern w:val="24"/>
                              <w:sz w:val="18"/>
                              <w:szCs w:val="18"/>
                            </w:rPr>
                            <w:t xml:space="preserve"> practices</w:t>
                          </w:r>
                        </w:p>
                      </w:txbxContent>
                    </v:textbox>
                  </v:rect>
                  <v:rect id="Rectangle 302" o:spid="_x0000_s1057" style="position:absolute;left:28456;top:2652;width:24676;height:1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" filled="f" strokecolor="#2e74b5 [2404]" strokeweight="1pt">
                    <v:stroke dashstyle="1 1"/>
                  </v:rect>
                </v:group>
                <v:rect id="Rectangle 303" o:spid="_x0000_s1058" style="position:absolute;left:30364;top:14771;width:12384;height:6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" fillcolor="#9cc2e5 [1940]" strokecolor="#2e74b5 [2404]">
                  <v:textbox>
                    <w:txbxContent>
                      <w:p w14:paraId="7BC7AC1A" w14:textId="77777777" w:rsidR="00521305" w:rsidRPr="00D41937" w:rsidRDefault="00521305" w:rsidP="001C19F3">
                        <w:pPr>
                          <w:kinsoku w:val="0"/>
                          <w:overflowPunct w:val="0"/>
                          <w:spacing w:after="0"/>
                          <w:jc w:val="center"/>
                          <w:textAlignment w:val="baseline"/>
                          <w:rPr>
                            <w:sz w:val="24"/>
                            <w:szCs w:val="24"/>
                          </w:rPr>
                        </w:pPr>
                        <w:r w:rsidRPr="006D7F38">
                          <w:rPr>
                            <w:bCs/>
                            <w:color w:val="000000"/>
                            <w:kern w:val="24"/>
                            <w:sz w:val="18"/>
                            <w:szCs w:val="20"/>
                          </w:rPr>
                          <w:t>Extract data</w:t>
                        </w:r>
                        <w:r>
                          <w:rPr>
                            <w:bCs/>
                            <w:color w:val="000000"/>
                            <w:kern w:val="24"/>
                            <w:sz w:val="18"/>
                            <w:szCs w:val="20"/>
                          </w:rPr>
                          <w:t xml:space="preserve"> </w:t>
                        </w:r>
                        <w:r w:rsidRPr="006D7F38">
                          <w:rPr>
                            <w:bCs/>
                            <w:color w:val="000000"/>
                            <w:kern w:val="24"/>
                            <w:sz w:val="18"/>
                            <w:szCs w:val="20"/>
                          </w:rPr>
                          <w:t>available</w:t>
                        </w:r>
                        <w:r>
                          <w:rPr>
                            <w:bCs/>
                            <w:color w:val="000000"/>
                            <w:kern w:val="24"/>
                            <w:sz w:val="18"/>
                            <w:szCs w:val="20"/>
                          </w:rPr>
                          <w:t xml:space="preserve"> </w:t>
                        </w:r>
                        <w:r w:rsidRPr="006D7F38">
                          <w:rPr>
                            <w:bCs/>
                            <w:color w:val="000000"/>
                            <w:kern w:val="24"/>
                            <w:sz w:val="18"/>
                            <w:szCs w:val="20"/>
                          </w:rPr>
                          <w:br/>
                        </w:r>
                        <w:r w:rsidRPr="007C5EB8">
                          <w:rPr>
                            <w:color w:val="000000"/>
                            <w:kern w:val="24"/>
                            <w:sz w:val="8"/>
                            <w:szCs w:val="8"/>
                          </w:rPr>
                          <w:br/>
                        </w:r>
                        <w:r w:rsidRPr="00D41937">
                          <w:rPr>
                            <w:color w:val="000000"/>
                            <w:kern w:val="24"/>
                            <w:sz w:val="18"/>
                            <w:szCs w:val="18"/>
                          </w:rPr>
                          <w:t>417 practices</w:t>
                        </w:r>
                      </w:p>
                    </w:txbxContent>
                  </v:textbox>
                </v:rect>
                <v:group id="Group 304" o:spid="_x0000_s1059" style="position:absolute;left:141;top:7442;width:30243;height:4815" coordorigin="141,12751" coordsize="30243,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60" style="position:absolute;left:141;top:13468;width:13710;height:4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" fillcolor="#9cc2e5 [1940]" strokecolor="#2e74b5 [2404]">
                    <v:textbox>
                      <w:txbxContent>
                        <w:p w14:paraId="5E98FF9B" w14:textId="77777777" w:rsidR="00521305" w:rsidRPr="0052629D" w:rsidRDefault="00521305" w:rsidP="001C19F3">
                          <w:pPr>
                            <w:spacing w:after="0"/>
                            <w:jc w:val="center"/>
                            <w:rPr>
                              <w:sz w:val="16"/>
                              <w:szCs w:val="16"/>
                            </w:rPr>
                          </w:pPr>
                          <w:r w:rsidRPr="00D41937">
                            <w:rPr>
                              <w:b/>
                              <w:bCs/>
                              <w:kern w:val="24"/>
                              <w:sz w:val="18"/>
                              <w:szCs w:val="18"/>
                            </w:rPr>
                            <w:t>P</w:t>
                          </w:r>
                          <w:r>
                            <w:rPr>
                              <w:b/>
                              <w:bCs/>
                              <w:kern w:val="24"/>
                              <w:sz w:val="18"/>
                              <w:szCs w:val="18"/>
                            </w:rPr>
                            <w:t>OLAR</w:t>
                          </w:r>
                          <w:r w:rsidRPr="00D41937">
                            <w:rPr>
                              <w:b/>
                              <w:bCs/>
                              <w:kern w:val="24"/>
                              <w:sz w:val="18"/>
                              <w:szCs w:val="18"/>
                            </w:rPr>
                            <w:br/>
                          </w:r>
                          <w:r w:rsidRPr="0052629D">
                            <w:rPr>
                              <w:rFonts w:cstheme="minorBidi"/>
                              <w:kern w:val="24"/>
                              <w:sz w:val="16"/>
                              <w:szCs w:val="16"/>
                            </w:rPr>
                            <w:t>11 HCH practices</w:t>
                          </w:r>
                        </w:p>
                      </w:txbxContent>
                    </v:textbox>
                  </v:rect>
                  <v:group id="Group 306" o:spid="_x0000_s1061" style="position:absolute;left:13824;top:12751;width:16560;height:4542" coordorigin="-20,-636" coordsize="1277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Straight Arrow Connector 308" o:spid="_x0000_s1062" type="#_x0000_t32" style="position:absolute;left:-20;top:1440;width:12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" strokecolor="#5b9bd5 [3204]" strokeweight="1.5pt">
                      <v:stroke endarrow="block" joinstyle="miter"/>
                    </v:shape>
                    <v:rect id="Rectangle 309" o:spid="_x0000_s1063" style="position:absolute;top:-636;width:10730;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" filled="f" stroked="f">
                      <v:textbox>
                        <w:txbxContent>
                          <w:p w14:paraId="4D1323C7" w14:textId="77777777" w:rsidR="00521305" w:rsidRDefault="00521305" w:rsidP="001C19F3">
                            <w:pPr>
                              <w:kinsoku w:val="0"/>
                              <w:overflowPunct w:val="0"/>
                              <w:spacing w:after="0"/>
                              <w:textAlignment w:val="baseline"/>
                              <w:rPr>
                                <w:sz w:val="24"/>
                                <w:szCs w:val="24"/>
                              </w:rPr>
                            </w:pPr>
                            <w:r>
                              <w:rPr>
                                <w:color w:val="000000"/>
                                <w:kern w:val="24"/>
                                <w:sz w:val="16"/>
                                <w:szCs w:val="16"/>
                              </w:rPr>
                              <w:t>Monthly full extract</w:t>
                            </w:r>
                          </w:p>
                          <w:p w14:paraId="72507231" w14:textId="77777777" w:rsidR="00521305" w:rsidRDefault="00521305" w:rsidP="001C19F3">
                            <w:pPr>
                              <w:kinsoku w:val="0"/>
                              <w:overflowPunct w:val="0"/>
                              <w:spacing w:after="0"/>
                              <w:textAlignment w:val="baseline"/>
                            </w:pPr>
                            <w:r>
                              <w:rPr>
                                <w:color w:val="000000"/>
                                <w:kern w:val="24"/>
                                <w:sz w:val="16"/>
                                <w:szCs w:val="16"/>
                              </w:rPr>
                              <w:t>Raw &amp; derived variables</w:t>
                            </w:r>
                          </w:p>
                        </w:txbxContent>
                      </v:textbox>
                    </v:rect>
                  </v:group>
                </v:group>
                <v:group id="Group 310" o:spid="_x0000_s1064" style="position:absolute;left:13681;top:11522;width:16781;height:6604" coordorigin="13681,18002" coordsize="16780,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11" o:spid="_x0000_s1065" style="position:absolute;left:13681;top:20063;width:14615;height:4542" coordorigin="-131,-1034" coordsize="11275,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Straight Arrow Connector 312" o:spid="_x0000_s1066" type="#_x0000_t32" style="position:absolute;left:34;top:1064;width:1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" strokecolor="#5b9bd5 [3204]" strokeweight="1.5pt">
                      <v:stroke joinstyle="miter"/>
                    </v:shape>
                    <v:rect id="Rectangle 313" o:spid="_x0000_s1067" style="position:absolute;left:-131;top:-1034;width:10730;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" filled="f" stroked="f">
                      <v:textbox>
                        <w:txbxContent>
                          <w:p w14:paraId="25C9A0AB" w14:textId="77777777" w:rsidR="00521305" w:rsidRDefault="00521305" w:rsidP="001C19F3">
                            <w:pPr>
                              <w:kinsoku w:val="0"/>
                              <w:overflowPunct w:val="0"/>
                              <w:spacing w:after="0"/>
                              <w:textAlignment w:val="baseline"/>
                              <w:rPr>
                                <w:sz w:val="24"/>
                                <w:szCs w:val="24"/>
                              </w:rPr>
                            </w:pPr>
                            <w:r>
                              <w:rPr>
                                <w:color w:val="000000"/>
                                <w:kern w:val="24"/>
                                <w:sz w:val="16"/>
                                <w:szCs w:val="16"/>
                              </w:rPr>
                              <w:t>Complete full extract</w:t>
                            </w:r>
                          </w:p>
                          <w:p w14:paraId="432593E4" w14:textId="77777777" w:rsidR="00521305" w:rsidRDefault="00521305" w:rsidP="001C19F3">
                            <w:pPr>
                              <w:kinsoku w:val="0"/>
                              <w:overflowPunct w:val="0"/>
                              <w:spacing w:after="0"/>
                              <w:textAlignment w:val="baseline"/>
                            </w:pPr>
                            <w:r>
                              <w:rPr>
                                <w:color w:val="000000"/>
                                <w:kern w:val="24"/>
                                <w:sz w:val="16"/>
                                <w:szCs w:val="16"/>
                              </w:rPr>
                              <w:t>Raw &amp; derived variables</w:t>
                            </w:r>
                          </w:p>
                        </w:txbxContent>
                      </v:textbox>
                    </v:rect>
                  </v:group>
                  <v:group id="Group 314" o:spid="_x0000_s1068" style="position:absolute;left:28254;top:18002;width:2208;height:6603" coordorigin="28206,20949" coordsize="2208,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69" style="position:absolute;left:28248;top:20949;width:2166;height:6604" coordorigin="28040,20812" coordsize="2166,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Straight Arrow Connector 316" o:spid="_x0000_s1070" type="#_x0000_t32" style="position:absolute;left:28046;top:20881;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" strokecolor="#5b9bd5 [3204]" strokeweight="1.5pt">
                        <v:stroke endarrow="block" joinstyle="miter"/>
                      </v:shape>
                      <v:shape id="Straight Arrow Connector 317" o:spid="_x0000_s1071" type="#_x0000_t32" style="position:absolute;left:28040;top:20812;width:6;height:66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" strokecolor="#5b9bd5 [3204]" strokeweight="1.5pt">
                        <v:stroke joinstyle="miter"/>
                      </v:shape>
                    </v:group>
                    <v:shape id="Straight Arrow Connector 318" o:spid="_x0000_s1072" type="#_x0000_t32" style="position:absolute;left:28206;top:27553;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" strokecolor="#5b9bd5 [3204]" strokeweight="1.5pt">
                      <v:stroke endarrow="block" joinstyle="miter"/>
                    </v:shape>
                  </v:group>
                </v:group>
                <w10:anchorlock/>
              </v:group>
            </w:pict>
          </mc:Fallback>
        </mc:AlternateContent>
      </w:r>
    </w:p>
    <w:p w14:paraId="0DA53560" w14:textId="77777777" w:rsidR="001C19F3" w:rsidRDefault="001C19F3" w:rsidP="001C19F3">
      <w:pPr>
        <w:pStyle w:val="Caption"/>
        <w:rPr>
          <w:szCs w:val="20"/>
        </w:rPr>
      </w:pPr>
      <w:bookmarkStart w:id="502" w:name="_Ref17381270"/>
      <w:r w:rsidRPr="00C2256F">
        <w:t xml:space="preserve">Figure </w:t>
      </w:r>
      <w:r w:rsidR="00831110">
        <w:fldChar w:fldCharType="begin"/>
      </w:r>
      <w:r w:rsidR="00831110">
        <w:instrText xml:space="preserve"> SEQ Figure \* ARABIC </w:instrText>
      </w:r>
      <w:r w:rsidR="00831110">
        <w:fldChar w:fldCharType="separate"/>
      </w:r>
      <w:r>
        <w:rPr>
          <w:noProof/>
        </w:rPr>
        <w:t>3</w:t>
      </w:r>
      <w:r w:rsidR="00831110">
        <w:rPr>
          <w:noProof/>
        </w:rPr>
        <w:fldChar w:fldCharType="end"/>
      </w:r>
      <w:bookmarkEnd w:id="502"/>
      <w:r w:rsidRPr="00C2256F">
        <w:rPr>
          <w:szCs w:val="20"/>
        </w:rPr>
        <w:t xml:space="preserve"> – </w:t>
      </w:r>
      <w:r>
        <w:rPr>
          <w:szCs w:val="20"/>
        </w:rPr>
        <w:t>Data sources and numbers of p</w:t>
      </w:r>
      <w:r w:rsidRPr="00C2256F">
        <w:rPr>
          <w:szCs w:val="20"/>
        </w:rPr>
        <w:t xml:space="preserve">ractices </w:t>
      </w:r>
      <w:r>
        <w:rPr>
          <w:szCs w:val="20"/>
        </w:rPr>
        <w:t>providing extracts</w:t>
      </w:r>
      <w:r w:rsidRPr="00C2256F">
        <w:rPr>
          <w:szCs w:val="20"/>
        </w:rPr>
        <w:t xml:space="preserve"> for</w:t>
      </w:r>
      <w:r>
        <w:rPr>
          <w:szCs w:val="20"/>
        </w:rPr>
        <w:t xml:space="preserve"> the</w:t>
      </w:r>
      <w:r w:rsidRPr="00C2256F">
        <w:rPr>
          <w:szCs w:val="20"/>
        </w:rPr>
        <w:t xml:space="preserve"> evaluation</w:t>
      </w:r>
    </w:p>
    <w:p w14:paraId="15FD6511" w14:textId="77777777" w:rsidR="001C19F3" w:rsidRPr="00AC13C2" w:rsidRDefault="001C19F3" w:rsidP="001C19F3">
      <w:pPr>
        <w:pStyle w:val="Chartortablefootnote"/>
      </w:pPr>
      <w:r>
        <w:t xml:space="preserve">Pen CS and POLAR data were received 31 July 2019 and NPS MedicineInsight data were received on 31 August 2019. </w:t>
      </w:r>
      <w:r w:rsidRPr="00AC13C2">
        <w:rPr>
          <w:vertAlign w:val="superscript"/>
        </w:rPr>
        <w:t>1</w:t>
      </w:r>
      <w:r>
        <w:t xml:space="preserve">Data </w:t>
      </w:r>
      <w:r w:rsidRPr="00C857D5">
        <w:t xml:space="preserve">from </w:t>
      </w:r>
      <w:r>
        <w:t>ACCHS</w:t>
      </w:r>
      <w:r w:rsidRPr="00C857D5">
        <w:t xml:space="preserve"> relat</w:t>
      </w:r>
      <w:r>
        <w:t>e</w:t>
      </w:r>
      <w:r w:rsidRPr="00C857D5">
        <w:t xml:space="preserve"> to HCH patients only</w:t>
      </w:r>
      <w:r>
        <w:t xml:space="preserve">; </w:t>
      </w:r>
      <w:r w:rsidRPr="00AC13C2">
        <w:rPr>
          <w:vertAlign w:val="superscript"/>
        </w:rPr>
        <w:t>2</w:t>
      </w:r>
      <w:r w:rsidRPr="00596D05">
        <w:rPr>
          <w:iCs/>
          <w:color w:val="000000" w:themeColor="text1"/>
          <w:kern w:val="24"/>
        </w:rPr>
        <w:t xml:space="preserve">The </w:t>
      </w:r>
      <w:r>
        <w:rPr>
          <w:iCs/>
          <w:color w:val="000000" w:themeColor="text1"/>
          <w:kern w:val="24"/>
        </w:rPr>
        <w:t xml:space="preserve">four </w:t>
      </w:r>
      <w:r w:rsidRPr="00596D05">
        <w:rPr>
          <w:iCs/>
          <w:color w:val="000000" w:themeColor="text1"/>
          <w:kern w:val="24"/>
        </w:rPr>
        <w:t>HCH practices</w:t>
      </w:r>
      <w:r>
        <w:rPr>
          <w:iCs/>
          <w:color w:val="000000" w:themeColor="text1"/>
          <w:kern w:val="24"/>
        </w:rPr>
        <w:t xml:space="preserve"> that</w:t>
      </w:r>
      <w:r w:rsidRPr="00596D05">
        <w:rPr>
          <w:iCs/>
          <w:color w:val="000000" w:themeColor="text1"/>
          <w:kern w:val="24"/>
        </w:rPr>
        <w:t xml:space="preserve"> supplied data via MedicineInsight also supplied data through Pen CS</w:t>
      </w:r>
      <w:r>
        <w:rPr>
          <w:iCs/>
          <w:color w:val="000000" w:themeColor="text1"/>
          <w:kern w:val="24"/>
        </w:rPr>
        <w:t>.</w:t>
      </w:r>
    </w:p>
    <w:p w14:paraId="351AF1B4" w14:textId="77777777" w:rsidR="001C19F3" w:rsidRDefault="001C19F3" w:rsidP="001C19F3">
      <w:pPr>
        <w:pStyle w:val="Heading3"/>
      </w:pPr>
      <w:r>
        <w:t>Pen CS extracts</w:t>
      </w:r>
    </w:p>
    <w:p w14:paraId="65B74687" w14:textId="77777777" w:rsidR="001C19F3" w:rsidRDefault="001C19F3" w:rsidP="001C19F3">
      <w:r>
        <w:t>The Pen CS data extraction software c</w:t>
      </w:r>
      <w:r w:rsidRPr="006D7434">
        <w:t>apture</w:t>
      </w:r>
      <w:r>
        <w:t>s</w:t>
      </w:r>
      <w:r w:rsidRPr="00534E37">
        <w:t xml:space="preserve"> a snap-shot of a patient</w:t>
      </w:r>
      <w:r>
        <w:t>’s data from the practice</w:t>
      </w:r>
      <w:r w:rsidRPr="006D7434">
        <w:t xml:space="preserve"> clinical information system </w:t>
      </w:r>
      <w:r>
        <w:t>on a monthly basis. A</w:t>
      </w:r>
      <w:r w:rsidRPr="009F20E7">
        <w:t xml:space="preserve">t the time of the </w:t>
      </w:r>
      <w:r>
        <w:t>e</w:t>
      </w:r>
      <w:r w:rsidRPr="009F20E7">
        <w:t xml:space="preserve">xtraction, </w:t>
      </w:r>
      <w:r>
        <w:t xml:space="preserve">information from </w:t>
      </w:r>
      <w:r w:rsidRPr="009F20E7">
        <w:t xml:space="preserve">the </w:t>
      </w:r>
      <w:r>
        <w:t xml:space="preserve">patients’ </w:t>
      </w:r>
      <w:r w:rsidRPr="009F20E7">
        <w:t xml:space="preserve">most recent record </w:t>
      </w:r>
      <w:r>
        <w:t>is included</w:t>
      </w:r>
      <w:r w:rsidRPr="009F20E7">
        <w:t xml:space="preserve">. For example, if a patient had three GP visits within a data extraction period and had blood pressure measured and recorded in each visit, only the most recent blood pressure measurement </w:t>
      </w:r>
      <w:r>
        <w:t xml:space="preserve">is </w:t>
      </w:r>
      <w:r w:rsidRPr="009F20E7">
        <w:t>included in the data extract. If a patient did not have any contact with the GP within the</w:t>
      </w:r>
      <w:r>
        <w:t xml:space="preserve"> current</w:t>
      </w:r>
      <w:r w:rsidRPr="009F20E7">
        <w:t xml:space="preserve"> extract </w:t>
      </w:r>
      <w:r>
        <w:t>period</w:t>
      </w:r>
      <w:r w:rsidRPr="009F20E7">
        <w:t>, the data included in the extract reflect</w:t>
      </w:r>
      <w:r>
        <w:t>s</w:t>
      </w:r>
      <w:r w:rsidRPr="009F20E7">
        <w:t xml:space="preserve"> the last observed record</w:t>
      </w:r>
      <w:r>
        <w:t xml:space="preserve"> </w:t>
      </w:r>
      <w:r w:rsidRPr="009F20E7">
        <w:t>(</w:t>
      </w:r>
      <w:r>
        <w:t>i.e</w:t>
      </w:r>
      <w:r w:rsidRPr="009F20E7">
        <w:t>. the last recorded blood pressure measurement).</w:t>
      </w:r>
      <w:r w:rsidRPr="003A2926">
        <w:t xml:space="preserve"> </w:t>
      </w:r>
      <w:r w:rsidRPr="006A64EA">
        <w:t>For</w:t>
      </w:r>
      <w:r>
        <w:t xml:space="preserve"> this reason, a single recorded value (e.g. blood pressure, HbA1c result, smoking status) may be duplicated across multiple snap-shot extracts, requiring steps to resolve the duplication.</w:t>
      </w:r>
    </w:p>
    <w:p w14:paraId="43199577" w14:textId="77777777" w:rsidR="001C19F3" w:rsidRDefault="001C19F3" w:rsidP="001C19F3">
      <w:r>
        <w:t>In addition to the extraction of raw information (e.g. patient age, systolic and diastolic blood pressure), Pen CS extraction software derives a range of indicators, such as whether a patient condition is active, and whether a clinical observation or a pathology test has been completed. The software also calculates the number of times that a clinician in the practice has used the practice clinical information system during a defined period. Pen CS software also identifies whether a patient meets criteria for being a ‘practice active patient’ at the time of the extraction.</w:t>
      </w:r>
    </w:p>
    <w:p w14:paraId="4787C9B3" w14:textId="77777777" w:rsidR="001C19F3" w:rsidRDefault="001C19F3" w:rsidP="001C19F3">
      <w:r>
        <w:t>The Pen CS extracts are transferred to a secure server managed by Health Policy Analysis. Each extract is processed to remove duplicate records across data extracts and combined into longitudinal tables</w:t>
      </w:r>
      <w:r w:rsidRPr="008B2069">
        <w:t>.</w:t>
      </w:r>
      <w:r>
        <w:t xml:space="preserve"> The longitudinal tables are updated quarterly and transferred to the </w:t>
      </w:r>
      <w:r w:rsidRPr="0089409C">
        <w:t>Secure Unified Research Environment (SURE)</w:t>
      </w:r>
      <w:r>
        <w:t xml:space="preserve"> environment for data analysis.</w:t>
      </w:r>
    </w:p>
    <w:p w14:paraId="3F51BF34" w14:textId="77777777" w:rsidR="001C19F3" w:rsidRDefault="001C19F3" w:rsidP="001C19F3">
      <w:pPr>
        <w:pStyle w:val="Heading3"/>
      </w:pPr>
      <w:r>
        <w:t>POLAR extracts</w:t>
      </w:r>
    </w:p>
    <w:p w14:paraId="3E210C4D" w14:textId="77777777" w:rsidR="001C19F3" w:rsidRDefault="001C19F3" w:rsidP="001C19F3">
      <w:r>
        <w:t xml:space="preserve">The POLAR software (Outcome Health) extracts data from the practice clinical information systems monthly. The software retrieves patient data recorded in the clinical information system within the extraction period. For example, if a patient had three GP visits during the </w:t>
      </w:r>
      <w:r w:rsidRPr="00067C25">
        <w:t>period</w:t>
      </w:r>
      <w:r w:rsidRPr="00795C53">
        <w:t xml:space="preserve"> and had blood pressure measured and recorded in each visit, </w:t>
      </w:r>
      <w:r>
        <w:t xml:space="preserve">each of the three measurements would be included in the data extract. </w:t>
      </w:r>
      <w:r w:rsidRPr="00795C53">
        <w:t xml:space="preserve">If a patient did not have any contact </w:t>
      </w:r>
      <w:r w:rsidRPr="00795C53">
        <w:lastRenderedPageBreak/>
        <w:t>with the GP within the current extract interval,</w:t>
      </w:r>
      <w:r>
        <w:t xml:space="preserve"> then a record would not be included. For some information, such as smoking status and alcohol use, the </w:t>
      </w:r>
      <w:r w:rsidRPr="0045533C">
        <w:t xml:space="preserve">patient’s last recorded </w:t>
      </w:r>
      <w:r>
        <w:t>value is retrieved.</w:t>
      </w:r>
    </w:p>
    <w:p w14:paraId="14E1BAB8" w14:textId="77777777" w:rsidR="001C19F3" w:rsidRDefault="001C19F3" w:rsidP="001C19F3">
      <w:r>
        <w:t>In addition to the retrieval of raw information (e.g. patient age, systolic and diastolic blood pressure), POLAR also derives variables, such as mapping of patient diagnoses to the Systematized Nomenclature of Medicine-Clinical Terms</w:t>
      </w:r>
      <w:r w:rsidRPr="008D32E8">
        <w:rPr>
          <w:szCs w:val="20"/>
        </w:rPr>
        <w:t xml:space="preserve"> </w:t>
      </w:r>
      <w:r>
        <w:rPr>
          <w:szCs w:val="20"/>
        </w:rPr>
        <w:t>(</w:t>
      </w:r>
      <w:r w:rsidRPr="008D32E8">
        <w:rPr>
          <w:szCs w:val="20"/>
        </w:rPr>
        <w:t>SNOMED</w:t>
      </w:r>
      <w:r>
        <w:rPr>
          <w:szCs w:val="20"/>
        </w:rPr>
        <w:t xml:space="preserve">-CT). The SNOMED-CT coded textual descriptions are </w:t>
      </w:r>
      <w:r>
        <w:t>provided in the data extracts.</w:t>
      </w:r>
    </w:p>
    <w:p w14:paraId="32C4E908" w14:textId="77777777" w:rsidR="001C19F3" w:rsidRDefault="001C19F3" w:rsidP="001C19F3">
      <w:r>
        <w:t>The POLAR data are delivered monthly to South East Melbourne PHN, who then transfer the data directly into the SURE environment for analysis. Within the SURE environment, the monthly extracts are combined to create longitudinal tables.</w:t>
      </w:r>
    </w:p>
    <w:p w14:paraId="472C969F" w14:textId="77777777" w:rsidR="001C19F3" w:rsidRDefault="001C19F3" w:rsidP="001C19F3">
      <w:pPr>
        <w:pStyle w:val="Heading3"/>
      </w:pPr>
      <w:bookmarkStart w:id="503" w:name="_Hlk16069993"/>
      <w:r>
        <w:t>NPS MedicineInsight extracts</w:t>
      </w:r>
    </w:p>
    <w:p w14:paraId="149B2CE1" w14:textId="77777777" w:rsidR="001C19F3" w:rsidRDefault="001C19F3" w:rsidP="001C19F3">
      <w:r>
        <w:t xml:space="preserve">The NPS MedicineInsight software regularly extracts data from practice clinical information systems. The software retrieves patient data recorded in the clinical information system during the period of extraction. For example, if a patient had three GP visits during the </w:t>
      </w:r>
      <w:r w:rsidRPr="00067C25">
        <w:t>period</w:t>
      </w:r>
      <w:r w:rsidRPr="00847DEF">
        <w:t xml:space="preserve"> and had blood pressure measured and recorded in each visit, </w:t>
      </w:r>
      <w:r>
        <w:t xml:space="preserve">each of the three measurements would be included in the data extract. </w:t>
      </w:r>
      <w:r w:rsidRPr="00847DEF">
        <w:t>If a patient did not have any contact with the GP within the current extract interval,</w:t>
      </w:r>
      <w:r>
        <w:t xml:space="preserve"> then no patient records would be included. For some information, such as smoking status and alcohol use, the </w:t>
      </w:r>
      <w:r w:rsidRPr="0045533C">
        <w:t xml:space="preserve">patient’s last recorded </w:t>
      </w:r>
      <w:r>
        <w:t>value is retrieved.</w:t>
      </w:r>
    </w:p>
    <w:p w14:paraId="2015626C" w14:textId="77777777" w:rsidR="001C19F3" w:rsidRDefault="001C19F3" w:rsidP="001C19F3">
      <w:r>
        <w:t>In addition to the extraction of raw information (e.g. patient age, systolic and diastolic blood pressure), MedicineInsight also derives a range of variables, such as multiple patient condition flags, and a flag for whether a patient meets criteria for being a ‘practice active patient’ at the time of extraction.</w:t>
      </w:r>
    </w:p>
    <w:p w14:paraId="6F6D82ED" w14:textId="77777777" w:rsidR="001C19F3" w:rsidRDefault="001C19F3" w:rsidP="001C19F3">
      <w:r>
        <w:t>The initial data extract from NPS MedicineInsight was delivered in September 2018. Subsequently, NPS MedicineWise advised that complete longitudinal data extracts, rather than updates, would facilitate better identification of individual patients over time. In June 2019 a revised agreement between the Department and NPS MedicineWise was executed. A second extract</w:t>
      </w:r>
      <w:r w:rsidRPr="009867FB">
        <w:t xml:space="preserve"> </w:t>
      </w:r>
      <w:r>
        <w:t>was delivered in August 2019, covering December 2015 to June 2019.</w:t>
      </w:r>
      <w:bookmarkEnd w:id="503"/>
    </w:p>
    <w:p w14:paraId="5744B90E" w14:textId="77777777" w:rsidR="001C19F3" w:rsidRDefault="001C19F3" w:rsidP="001C19F3">
      <w:pPr>
        <w:pStyle w:val="Heading2"/>
      </w:pPr>
      <w:bookmarkStart w:id="504" w:name="_Toc27058959"/>
      <w:r>
        <w:t>Patient information within practice extracts</w:t>
      </w:r>
      <w:bookmarkEnd w:id="504"/>
    </w:p>
    <w:p w14:paraId="027C2AC7" w14:textId="77777777" w:rsidR="001C19F3" w:rsidRDefault="001C19F3" w:rsidP="001C19F3">
      <w:r>
        <w:t>All three data sources contain patient demographic information, clinical encounters, diagnoses, clinical observations, pathology results, prescriptions and MBS billing (</w:t>
      </w:r>
      <w:r w:rsidRPr="00534471">
        <w:fldChar w:fldCharType="begin"/>
      </w:r>
      <w:r w:rsidRPr="00534471">
        <w:instrText xml:space="preserve"> REF _Ref12813247 \h  \* MERGEFORMAT </w:instrText>
      </w:r>
      <w:r w:rsidRPr="00534471">
        <w:fldChar w:fldCharType="separate"/>
      </w:r>
      <w:r w:rsidRPr="008F2809">
        <w:rPr>
          <w:szCs w:val="20"/>
        </w:rPr>
        <w:t xml:space="preserve">Table </w:t>
      </w:r>
      <w:r w:rsidRPr="008F2809">
        <w:rPr>
          <w:noProof/>
          <w:szCs w:val="20"/>
        </w:rPr>
        <w:t>13</w:t>
      </w:r>
      <w:r w:rsidRPr="00534471">
        <w:fldChar w:fldCharType="end"/>
      </w:r>
      <w:r>
        <w:t>).</w:t>
      </w:r>
    </w:p>
    <w:p w14:paraId="7081BBDA" w14:textId="77777777" w:rsidR="001C19F3" w:rsidRDefault="001C19F3" w:rsidP="001C19F3">
      <w:pPr>
        <w:spacing w:after="0"/>
        <w:jc w:val="center"/>
        <w:rPr>
          <w:b/>
          <w:szCs w:val="20"/>
        </w:rPr>
      </w:pPr>
      <w:bookmarkStart w:id="505" w:name="_Ref12813247"/>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13</w:t>
      </w:r>
      <w:r w:rsidRPr="00E76010">
        <w:rPr>
          <w:szCs w:val="20"/>
        </w:rPr>
        <w:fldChar w:fldCharType="end"/>
      </w:r>
      <w:bookmarkEnd w:id="505"/>
      <w:r w:rsidRPr="00E76010">
        <w:rPr>
          <w:b/>
          <w:szCs w:val="20"/>
        </w:rPr>
        <w:t xml:space="preserve"> – </w:t>
      </w:r>
      <w:r>
        <w:rPr>
          <w:b/>
          <w:szCs w:val="20"/>
        </w:rPr>
        <w:t>Type of patient information included within practice extracts</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365"/>
        <w:gridCol w:w="1418"/>
        <w:gridCol w:w="1599"/>
        <w:gridCol w:w="13"/>
      </w:tblGrid>
      <w:tr w:rsidR="001C19F3" w:rsidRPr="007C4473" w14:paraId="4733B281" w14:textId="77777777" w:rsidTr="00521305">
        <w:trPr>
          <w:tblHeader/>
          <w:jc w:val="center"/>
        </w:trPr>
        <w:tc>
          <w:tcPr>
            <w:tcW w:w="3964" w:type="dxa"/>
            <w:vMerge w:val="restart"/>
            <w:shd w:val="clear" w:color="auto" w:fill="003D79"/>
            <w:vAlign w:val="center"/>
          </w:tcPr>
          <w:p w14:paraId="3C1096CE" w14:textId="77777777" w:rsidR="001C19F3" w:rsidRPr="007C4473" w:rsidRDefault="001C19F3" w:rsidP="00521305">
            <w:pPr>
              <w:spacing w:after="0" w:line="240" w:lineRule="auto"/>
              <w:jc w:val="center"/>
              <w:rPr>
                <w:b/>
                <w:sz w:val="18"/>
                <w:szCs w:val="18"/>
              </w:rPr>
            </w:pPr>
          </w:p>
        </w:tc>
        <w:tc>
          <w:tcPr>
            <w:tcW w:w="4395" w:type="dxa"/>
            <w:gridSpan w:val="4"/>
            <w:shd w:val="clear" w:color="auto" w:fill="003D79"/>
            <w:vAlign w:val="center"/>
          </w:tcPr>
          <w:p w14:paraId="637629EF" w14:textId="77777777" w:rsidR="001C19F3" w:rsidRPr="007C4473" w:rsidRDefault="001C19F3" w:rsidP="00521305">
            <w:pPr>
              <w:spacing w:after="0" w:line="240" w:lineRule="auto"/>
              <w:jc w:val="center"/>
              <w:rPr>
                <w:b/>
                <w:sz w:val="18"/>
                <w:szCs w:val="18"/>
              </w:rPr>
            </w:pPr>
            <w:r>
              <w:rPr>
                <w:b/>
                <w:sz w:val="18"/>
                <w:szCs w:val="18"/>
              </w:rPr>
              <w:t>Source of practice data extracts</w:t>
            </w:r>
            <w:r w:rsidRPr="002A40CC">
              <w:rPr>
                <w:b/>
                <w:sz w:val="18"/>
                <w:szCs w:val="18"/>
                <w:vertAlign w:val="superscript"/>
              </w:rPr>
              <w:t>1</w:t>
            </w:r>
          </w:p>
        </w:tc>
      </w:tr>
      <w:tr w:rsidR="001C19F3" w:rsidRPr="007C4473" w14:paraId="76E454E1" w14:textId="77777777" w:rsidTr="00521305">
        <w:trPr>
          <w:gridAfter w:val="1"/>
          <w:wAfter w:w="13" w:type="dxa"/>
          <w:tblHeader/>
          <w:jc w:val="center"/>
        </w:trPr>
        <w:tc>
          <w:tcPr>
            <w:tcW w:w="3964" w:type="dxa"/>
            <w:vMerge/>
            <w:shd w:val="clear" w:color="auto" w:fill="003D79"/>
          </w:tcPr>
          <w:p w14:paraId="2553E24C" w14:textId="77777777" w:rsidR="001C19F3" w:rsidRPr="007C4473" w:rsidRDefault="001C19F3" w:rsidP="00521305">
            <w:pPr>
              <w:spacing w:after="0" w:line="240" w:lineRule="auto"/>
              <w:rPr>
                <w:b/>
                <w:sz w:val="18"/>
                <w:szCs w:val="18"/>
              </w:rPr>
            </w:pPr>
          </w:p>
        </w:tc>
        <w:tc>
          <w:tcPr>
            <w:tcW w:w="1365" w:type="dxa"/>
            <w:shd w:val="clear" w:color="auto" w:fill="003D79"/>
            <w:vAlign w:val="center"/>
          </w:tcPr>
          <w:p w14:paraId="1E1D3283" w14:textId="77777777" w:rsidR="001C19F3" w:rsidRPr="007C4473" w:rsidRDefault="001C19F3" w:rsidP="00521305">
            <w:pPr>
              <w:spacing w:after="0" w:line="240" w:lineRule="auto"/>
              <w:jc w:val="center"/>
              <w:rPr>
                <w:b/>
                <w:sz w:val="18"/>
                <w:szCs w:val="18"/>
              </w:rPr>
            </w:pPr>
            <w:r>
              <w:rPr>
                <w:b/>
                <w:sz w:val="18"/>
                <w:szCs w:val="18"/>
              </w:rPr>
              <w:t>Pen CS</w:t>
            </w:r>
          </w:p>
        </w:tc>
        <w:tc>
          <w:tcPr>
            <w:tcW w:w="1418" w:type="dxa"/>
            <w:shd w:val="clear" w:color="auto" w:fill="003D79"/>
            <w:vAlign w:val="center"/>
          </w:tcPr>
          <w:p w14:paraId="61278835" w14:textId="77777777" w:rsidR="001C19F3" w:rsidRPr="007C4473" w:rsidRDefault="001C19F3" w:rsidP="00521305">
            <w:pPr>
              <w:spacing w:after="0" w:line="240" w:lineRule="auto"/>
              <w:jc w:val="center"/>
              <w:rPr>
                <w:b/>
                <w:sz w:val="18"/>
                <w:szCs w:val="18"/>
              </w:rPr>
            </w:pPr>
            <w:r>
              <w:rPr>
                <w:b/>
                <w:sz w:val="18"/>
                <w:szCs w:val="18"/>
              </w:rPr>
              <w:t>POLAR</w:t>
            </w:r>
          </w:p>
        </w:tc>
        <w:tc>
          <w:tcPr>
            <w:tcW w:w="1599" w:type="dxa"/>
            <w:shd w:val="clear" w:color="auto" w:fill="003D79"/>
            <w:vAlign w:val="center"/>
          </w:tcPr>
          <w:p w14:paraId="44A13112" w14:textId="77777777" w:rsidR="001C19F3" w:rsidRPr="007C4473" w:rsidRDefault="001C19F3" w:rsidP="00521305">
            <w:pPr>
              <w:spacing w:after="0" w:line="240" w:lineRule="auto"/>
              <w:jc w:val="center"/>
              <w:rPr>
                <w:b/>
                <w:sz w:val="18"/>
                <w:szCs w:val="18"/>
              </w:rPr>
            </w:pPr>
            <w:r>
              <w:rPr>
                <w:b/>
                <w:sz w:val="18"/>
                <w:szCs w:val="18"/>
              </w:rPr>
              <w:t>MedicineInsight</w:t>
            </w:r>
          </w:p>
        </w:tc>
      </w:tr>
      <w:tr w:rsidR="001C19F3" w:rsidRPr="007C4473" w14:paraId="0FF4ED71" w14:textId="77777777" w:rsidTr="00521305">
        <w:trPr>
          <w:gridAfter w:val="1"/>
          <w:wAfter w:w="13" w:type="dxa"/>
          <w:jc w:val="center"/>
        </w:trPr>
        <w:tc>
          <w:tcPr>
            <w:tcW w:w="3964" w:type="dxa"/>
          </w:tcPr>
          <w:p w14:paraId="309937AC" w14:textId="77777777" w:rsidR="001C19F3" w:rsidRDefault="001C19F3" w:rsidP="00521305">
            <w:pPr>
              <w:spacing w:after="0"/>
              <w:ind w:left="310" w:hanging="310"/>
              <w:rPr>
                <w:sz w:val="18"/>
                <w:szCs w:val="18"/>
              </w:rPr>
            </w:pPr>
            <w:r>
              <w:rPr>
                <w:sz w:val="18"/>
                <w:szCs w:val="18"/>
              </w:rPr>
              <w:t>Demographic characteristics</w:t>
            </w:r>
          </w:p>
        </w:tc>
        <w:tc>
          <w:tcPr>
            <w:tcW w:w="1365" w:type="dxa"/>
          </w:tcPr>
          <w:p w14:paraId="00F985C0" w14:textId="77777777" w:rsidR="001C19F3" w:rsidRDefault="001C19F3" w:rsidP="00521305">
            <w:pPr>
              <w:spacing w:after="0"/>
              <w:jc w:val="center"/>
              <w:rPr>
                <w:sz w:val="18"/>
                <w:szCs w:val="18"/>
              </w:rPr>
            </w:pPr>
            <w:r>
              <w:rPr>
                <w:sz w:val="18"/>
                <w:szCs w:val="18"/>
              </w:rPr>
              <w:t>√</w:t>
            </w:r>
          </w:p>
        </w:tc>
        <w:tc>
          <w:tcPr>
            <w:tcW w:w="1418" w:type="dxa"/>
          </w:tcPr>
          <w:p w14:paraId="7F8CB611" w14:textId="77777777" w:rsidR="001C19F3" w:rsidRDefault="001C19F3" w:rsidP="00521305">
            <w:pPr>
              <w:spacing w:after="0"/>
              <w:jc w:val="center"/>
              <w:rPr>
                <w:sz w:val="18"/>
                <w:szCs w:val="18"/>
              </w:rPr>
            </w:pPr>
            <w:r w:rsidRPr="00B3050C">
              <w:rPr>
                <w:sz w:val="18"/>
                <w:szCs w:val="18"/>
              </w:rPr>
              <w:t>√</w:t>
            </w:r>
          </w:p>
        </w:tc>
        <w:tc>
          <w:tcPr>
            <w:tcW w:w="1599" w:type="dxa"/>
          </w:tcPr>
          <w:p w14:paraId="5431A788" w14:textId="77777777" w:rsidR="001C19F3" w:rsidRDefault="001C19F3" w:rsidP="00521305">
            <w:pPr>
              <w:spacing w:after="0"/>
              <w:jc w:val="center"/>
              <w:rPr>
                <w:sz w:val="18"/>
                <w:szCs w:val="18"/>
              </w:rPr>
            </w:pPr>
            <w:r w:rsidRPr="00B3050C">
              <w:rPr>
                <w:sz w:val="18"/>
                <w:szCs w:val="18"/>
              </w:rPr>
              <w:t>√</w:t>
            </w:r>
          </w:p>
        </w:tc>
      </w:tr>
      <w:tr w:rsidR="001C19F3" w:rsidRPr="007C4473" w14:paraId="2056786D" w14:textId="77777777" w:rsidTr="00521305">
        <w:trPr>
          <w:gridAfter w:val="1"/>
          <w:wAfter w:w="13" w:type="dxa"/>
          <w:jc w:val="center"/>
        </w:trPr>
        <w:tc>
          <w:tcPr>
            <w:tcW w:w="3964" w:type="dxa"/>
          </w:tcPr>
          <w:p w14:paraId="4245C425" w14:textId="77777777" w:rsidR="001C19F3" w:rsidRDefault="001C19F3" w:rsidP="00521305">
            <w:pPr>
              <w:spacing w:after="0"/>
              <w:ind w:left="310" w:hanging="310"/>
              <w:rPr>
                <w:sz w:val="18"/>
                <w:szCs w:val="18"/>
              </w:rPr>
            </w:pPr>
            <w:r>
              <w:rPr>
                <w:sz w:val="18"/>
                <w:szCs w:val="18"/>
              </w:rPr>
              <w:t>Clinical encounters</w:t>
            </w:r>
          </w:p>
        </w:tc>
        <w:tc>
          <w:tcPr>
            <w:tcW w:w="1365" w:type="dxa"/>
          </w:tcPr>
          <w:p w14:paraId="09828CD9" w14:textId="77777777" w:rsidR="001C19F3" w:rsidRDefault="001C19F3" w:rsidP="00521305">
            <w:pPr>
              <w:spacing w:after="0"/>
              <w:jc w:val="center"/>
              <w:rPr>
                <w:sz w:val="18"/>
                <w:szCs w:val="18"/>
              </w:rPr>
            </w:pPr>
            <w:r>
              <w:rPr>
                <w:sz w:val="18"/>
                <w:szCs w:val="18"/>
              </w:rPr>
              <w:t>√</w:t>
            </w:r>
          </w:p>
        </w:tc>
        <w:tc>
          <w:tcPr>
            <w:tcW w:w="1418" w:type="dxa"/>
          </w:tcPr>
          <w:p w14:paraId="7062064B" w14:textId="77777777" w:rsidR="001C19F3" w:rsidRDefault="001C19F3" w:rsidP="00521305">
            <w:pPr>
              <w:spacing w:after="0"/>
              <w:jc w:val="center"/>
              <w:rPr>
                <w:sz w:val="18"/>
                <w:szCs w:val="18"/>
              </w:rPr>
            </w:pPr>
            <w:r w:rsidRPr="00B3050C">
              <w:rPr>
                <w:sz w:val="18"/>
                <w:szCs w:val="18"/>
              </w:rPr>
              <w:t>√</w:t>
            </w:r>
          </w:p>
        </w:tc>
        <w:tc>
          <w:tcPr>
            <w:tcW w:w="1599" w:type="dxa"/>
          </w:tcPr>
          <w:p w14:paraId="7B98648D" w14:textId="77777777" w:rsidR="001C19F3" w:rsidRDefault="001C19F3" w:rsidP="00521305">
            <w:pPr>
              <w:spacing w:after="0"/>
              <w:jc w:val="center"/>
              <w:rPr>
                <w:sz w:val="18"/>
                <w:szCs w:val="18"/>
              </w:rPr>
            </w:pPr>
            <w:r w:rsidRPr="00B3050C">
              <w:rPr>
                <w:sz w:val="18"/>
                <w:szCs w:val="18"/>
              </w:rPr>
              <w:t>√</w:t>
            </w:r>
          </w:p>
        </w:tc>
      </w:tr>
      <w:tr w:rsidR="001C19F3" w:rsidRPr="007C4473" w14:paraId="1F54028B" w14:textId="77777777" w:rsidTr="00521305">
        <w:trPr>
          <w:gridAfter w:val="1"/>
          <w:wAfter w:w="13" w:type="dxa"/>
          <w:jc w:val="center"/>
        </w:trPr>
        <w:tc>
          <w:tcPr>
            <w:tcW w:w="3964" w:type="dxa"/>
          </w:tcPr>
          <w:p w14:paraId="3056A32C" w14:textId="77777777" w:rsidR="001C19F3" w:rsidRDefault="001C19F3" w:rsidP="00521305">
            <w:pPr>
              <w:spacing w:after="0"/>
              <w:ind w:left="310" w:hanging="310"/>
              <w:rPr>
                <w:sz w:val="18"/>
                <w:szCs w:val="18"/>
              </w:rPr>
            </w:pPr>
            <w:r>
              <w:rPr>
                <w:sz w:val="18"/>
                <w:szCs w:val="18"/>
              </w:rPr>
              <w:t>Diagnoses</w:t>
            </w:r>
          </w:p>
        </w:tc>
        <w:tc>
          <w:tcPr>
            <w:tcW w:w="1365" w:type="dxa"/>
          </w:tcPr>
          <w:p w14:paraId="06BEA3F5" w14:textId="77777777" w:rsidR="001C19F3" w:rsidRDefault="001C19F3" w:rsidP="00521305">
            <w:pPr>
              <w:spacing w:after="0"/>
              <w:jc w:val="center"/>
              <w:rPr>
                <w:sz w:val="18"/>
                <w:szCs w:val="18"/>
              </w:rPr>
            </w:pPr>
            <w:r>
              <w:rPr>
                <w:sz w:val="18"/>
                <w:szCs w:val="18"/>
              </w:rPr>
              <w:t>√</w:t>
            </w:r>
          </w:p>
        </w:tc>
        <w:tc>
          <w:tcPr>
            <w:tcW w:w="1418" w:type="dxa"/>
          </w:tcPr>
          <w:p w14:paraId="5AA4A0BB" w14:textId="77777777" w:rsidR="001C19F3" w:rsidRDefault="001C19F3" w:rsidP="00521305">
            <w:pPr>
              <w:spacing w:after="0"/>
              <w:jc w:val="center"/>
              <w:rPr>
                <w:sz w:val="18"/>
                <w:szCs w:val="18"/>
              </w:rPr>
            </w:pPr>
            <w:r w:rsidRPr="00B3050C">
              <w:rPr>
                <w:sz w:val="18"/>
                <w:szCs w:val="18"/>
              </w:rPr>
              <w:t>√</w:t>
            </w:r>
          </w:p>
        </w:tc>
        <w:tc>
          <w:tcPr>
            <w:tcW w:w="1599" w:type="dxa"/>
          </w:tcPr>
          <w:p w14:paraId="78B6FEA5" w14:textId="77777777" w:rsidR="001C19F3" w:rsidRDefault="001C19F3" w:rsidP="00521305">
            <w:pPr>
              <w:spacing w:after="0"/>
              <w:jc w:val="center"/>
              <w:rPr>
                <w:sz w:val="18"/>
                <w:szCs w:val="18"/>
              </w:rPr>
            </w:pPr>
            <w:r w:rsidRPr="00B3050C">
              <w:rPr>
                <w:sz w:val="18"/>
                <w:szCs w:val="18"/>
              </w:rPr>
              <w:t>√</w:t>
            </w:r>
          </w:p>
        </w:tc>
      </w:tr>
      <w:tr w:rsidR="001C19F3" w:rsidRPr="007C4473" w14:paraId="7C574B69" w14:textId="77777777" w:rsidTr="00521305">
        <w:trPr>
          <w:gridAfter w:val="1"/>
          <w:wAfter w:w="13" w:type="dxa"/>
          <w:jc w:val="center"/>
        </w:trPr>
        <w:tc>
          <w:tcPr>
            <w:tcW w:w="3964" w:type="dxa"/>
          </w:tcPr>
          <w:p w14:paraId="74F2590C" w14:textId="77777777" w:rsidR="001C19F3" w:rsidRDefault="001C19F3" w:rsidP="00521305">
            <w:pPr>
              <w:spacing w:after="0"/>
              <w:ind w:left="310" w:hanging="310"/>
              <w:rPr>
                <w:sz w:val="18"/>
                <w:szCs w:val="18"/>
              </w:rPr>
            </w:pPr>
            <w:r>
              <w:rPr>
                <w:sz w:val="18"/>
                <w:szCs w:val="18"/>
              </w:rPr>
              <w:t>Clinical observations</w:t>
            </w:r>
          </w:p>
        </w:tc>
        <w:tc>
          <w:tcPr>
            <w:tcW w:w="1365" w:type="dxa"/>
          </w:tcPr>
          <w:p w14:paraId="104F174D" w14:textId="77777777" w:rsidR="001C19F3" w:rsidRDefault="001C19F3" w:rsidP="00521305">
            <w:pPr>
              <w:spacing w:after="0"/>
              <w:jc w:val="center"/>
              <w:rPr>
                <w:sz w:val="18"/>
                <w:szCs w:val="18"/>
              </w:rPr>
            </w:pPr>
            <w:r>
              <w:rPr>
                <w:sz w:val="18"/>
                <w:szCs w:val="18"/>
              </w:rPr>
              <w:t>√</w:t>
            </w:r>
          </w:p>
        </w:tc>
        <w:tc>
          <w:tcPr>
            <w:tcW w:w="1418" w:type="dxa"/>
          </w:tcPr>
          <w:p w14:paraId="453D94DA" w14:textId="77777777" w:rsidR="001C19F3" w:rsidRDefault="001C19F3" w:rsidP="00521305">
            <w:pPr>
              <w:spacing w:after="0"/>
              <w:jc w:val="center"/>
              <w:rPr>
                <w:sz w:val="18"/>
                <w:szCs w:val="18"/>
              </w:rPr>
            </w:pPr>
            <w:r w:rsidRPr="00B3050C">
              <w:rPr>
                <w:sz w:val="18"/>
                <w:szCs w:val="18"/>
              </w:rPr>
              <w:t>√</w:t>
            </w:r>
          </w:p>
        </w:tc>
        <w:tc>
          <w:tcPr>
            <w:tcW w:w="1599" w:type="dxa"/>
          </w:tcPr>
          <w:p w14:paraId="66844BA8" w14:textId="77777777" w:rsidR="001C19F3" w:rsidRDefault="001C19F3" w:rsidP="00521305">
            <w:pPr>
              <w:spacing w:after="0"/>
              <w:jc w:val="center"/>
              <w:rPr>
                <w:sz w:val="18"/>
                <w:szCs w:val="18"/>
              </w:rPr>
            </w:pPr>
            <w:r w:rsidRPr="00B3050C">
              <w:rPr>
                <w:sz w:val="18"/>
                <w:szCs w:val="18"/>
              </w:rPr>
              <w:t>√</w:t>
            </w:r>
          </w:p>
        </w:tc>
      </w:tr>
      <w:tr w:rsidR="001C19F3" w:rsidRPr="007C4473" w14:paraId="1B98BF9C" w14:textId="77777777" w:rsidTr="00521305">
        <w:trPr>
          <w:gridAfter w:val="1"/>
          <w:wAfter w:w="13" w:type="dxa"/>
          <w:jc w:val="center"/>
        </w:trPr>
        <w:tc>
          <w:tcPr>
            <w:tcW w:w="3964" w:type="dxa"/>
          </w:tcPr>
          <w:p w14:paraId="3BF5041D" w14:textId="77777777" w:rsidR="001C19F3" w:rsidRDefault="001C19F3" w:rsidP="00521305">
            <w:pPr>
              <w:spacing w:after="0"/>
              <w:ind w:left="310" w:hanging="310"/>
              <w:rPr>
                <w:sz w:val="18"/>
                <w:szCs w:val="18"/>
              </w:rPr>
            </w:pPr>
            <w:r>
              <w:rPr>
                <w:sz w:val="18"/>
                <w:szCs w:val="18"/>
              </w:rPr>
              <w:t>Pathology results</w:t>
            </w:r>
          </w:p>
        </w:tc>
        <w:tc>
          <w:tcPr>
            <w:tcW w:w="1365" w:type="dxa"/>
          </w:tcPr>
          <w:p w14:paraId="41ABA7DF" w14:textId="77777777" w:rsidR="001C19F3" w:rsidRDefault="001C19F3" w:rsidP="00521305">
            <w:pPr>
              <w:spacing w:after="0"/>
              <w:jc w:val="center"/>
              <w:rPr>
                <w:sz w:val="18"/>
                <w:szCs w:val="18"/>
              </w:rPr>
            </w:pPr>
            <w:r>
              <w:rPr>
                <w:sz w:val="18"/>
                <w:szCs w:val="18"/>
              </w:rPr>
              <w:t>√</w:t>
            </w:r>
          </w:p>
        </w:tc>
        <w:tc>
          <w:tcPr>
            <w:tcW w:w="1418" w:type="dxa"/>
          </w:tcPr>
          <w:p w14:paraId="7153FFF5" w14:textId="77777777" w:rsidR="001C19F3" w:rsidRDefault="001C19F3" w:rsidP="00521305">
            <w:pPr>
              <w:spacing w:after="0"/>
              <w:jc w:val="center"/>
              <w:rPr>
                <w:sz w:val="18"/>
                <w:szCs w:val="18"/>
              </w:rPr>
            </w:pPr>
            <w:r w:rsidRPr="00B3050C">
              <w:rPr>
                <w:sz w:val="18"/>
                <w:szCs w:val="18"/>
              </w:rPr>
              <w:t>√</w:t>
            </w:r>
          </w:p>
        </w:tc>
        <w:tc>
          <w:tcPr>
            <w:tcW w:w="1599" w:type="dxa"/>
          </w:tcPr>
          <w:p w14:paraId="3E8F5410" w14:textId="77777777" w:rsidR="001C19F3" w:rsidRDefault="001C19F3" w:rsidP="00521305">
            <w:pPr>
              <w:spacing w:after="0"/>
              <w:jc w:val="center"/>
              <w:rPr>
                <w:sz w:val="18"/>
                <w:szCs w:val="18"/>
              </w:rPr>
            </w:pPr>
            <w:r w:rsidRPr="00B3050C">
              <w:rPr>
                <w:sz w:val="18"/>
                <w:szCs w:val="18"/>
              </w:rPr>
              <w:t>√</w:t>
            </w:r>
          </w:p>
        </w:tc>
      </w:tr>
      <w:tr w:rsidR="001C19F3" w:rsidRPr="007C4473" w14:paraId="36679DAA" w14:textId="77777777" w:rsidTr="00521305">
        <w:trPr>
          <w:gridAfter w:val="1"/>
          <w:wAfter w:w="13" w:type="dxa"/>
          <w:jc w:val="center"/>
        </w:trPr>
        <w:tc>
          <w:tcPr>
            <w:tcW w:w="3964" w:type="dxa"/>
          </w:tcPr>
          <w:p w14:paraId="4DFB7653" w14:textId="77777777" w:rsidR="001C19F3" w:rsidRDefault="001C19F3" w:rsidP="00521305">
            <w:pPr>
              <w:spacing w:after="0"/>
              <w:ind w:left="310" w:hanging="310"/>
              <w:rPr>
                <w:sz w:val="18"/>
                <w:szCs w:val="18"/>
              </w:rPr>
            </w:pPr>
            <w:r>
              <w:rPr>
                <w:sz w:val="18"/>
                <w:szCs w:val="18"/>
              </w:rPr>
              <w:t>Prescriptions, including immunisations</w:t>
            </w:r>
          </w:p>
        </w:tc>
        <w:tc>
          <w:tcPr>
            <w:tcW w:w="1365" w:type="dxa"/>
          </w:tcPr>
          <w:p w14:paraId="42F71FE6" w14:textId="77777777" w:rsidR="001C19F3" w:rsidRDefault="001C19F3" w:rsidP="00521305">
            <w:pPr>
              <w:spacing w:after="0"/>
              <w:jc w:val="center"/>
              <w:rPr>
                <w:sz w:val="18"/>
                <w:szCs w:val="18"/>
              </w:rPr>
            </w:pPr>
            <w:r>
              <w:rPr>
                <w:sz w:val="18"/>
                <w:szCs w:val="18"/>
              </w:rPr>
              <w:t>√</w:t>
            </w:r>
          </w:p>
        </w:tc>
        <w:tc>
          <w:tcPr>
            <w:tcW w:w="1418" w:type="dxa"/>
          </w:tcPr>
          <w:p w14:paraId="1D8F9AEA" w14:textId="77777777" w:rsidR="001C19F3" w:rsidRDefault="001C19F3" w:rsidP="00521305">
            <w:pPr>
              <w:spacing w:after="0"/>
              <w:jc w:val="center"/>
              <w:rPr>
                <w:sz w:val="18"/>
                <w:szCs w:val="18"/>
              </w:rPr>
            </w:pPr>
            <w:r w:rsidRPr="00B3050C">
              <w:rPr>
                <w:sz w:val="18"/>
                <w:szCs w:val="18"/>
              </w:rPr>
              <w:t>√</w:t>
            </w:r>
          </w:p>
        </w:tc>
        <w:tc>
          <w:tcPr>
            <w:tcW w:w="1599" w:type="dxa"/>
          </w:tcPr>
          <w:p w14:paraId="2936CD1D" w14:textId="77777777" w:rsidR="001C19F3" w:rsidRDefault="001C19F3" w:rsidP="00521305">
            <w:pPr>
              <w:spacing w:after="0"/>
              <w:jc w:val="center"/>
              <w:rPr>
                <w:sz w:val="18"/>
                <w:szCs w:val="18"/>
              </w:rPr>
            </w:pPr>
            <w:r w:rsidRPr="00B3050C">
              <w:rPr>
                <w:sz w:val="18"/>
                <w:szCs w:val="18"/>
              </w:rPr>
              <w:t>√</w:t>
            </w:r>
          </w:p>
        </w:tc>
      </w:tr>
      <w:tr w:rsidR="001C19F3" w:rsidRPr="007C4473" w14:paraId="775928DE" w14:textId="77777777" w:rsidTr="00521305">
        <w:trPr>
          <w:gridAfter w:val="1"/>
          <w:wAfter w:w="13" w:type="dxa"/>
          <w:jc w:val="center"/>
        </w:trPr>
        <w:tc>
          <w:tcPr>
            <w:tcW w:w="3964" w:type="dxa"/>
          </w:tcPr>
          <w:p w14:paraId="40184B37" w14:textId="77777777" w:rsidR="001C19F3" w:rsidRDefault="001C19F3" w:rsidP="00521305">
            <w:pPr>
              <w:spacing w:after="0"/>
              <w:ind w:left="310" w:hanging="310"/>
              <w:rPr>
                <w:sz w:val="18"/>
                <w:szCs w:val="18"/>
              </w:rPr>
            </w:pPr>
            <w:r>
              <w:rPr>
                <w:sz w:val="18"/>
                <w:szCs w:val="18"/>
              </w:rPr>
              <w:t>MBS billing</w:t>
            </w:r>
          </w:p>
        </w:tc>
        <w:tc>
          <w:tcPr>
            <w:tcW w:w="1365" w:type="dxa"/>
          </w:tcPr>
          <w:p w14:paraId="7F0A4941" w14:textId="77777777" w:rsidR="001C19F3" w:rsidRDefault="001C19F3" w:rsidP="00521305">
            <w:pPr>
              <w:spacing w:after="0"/>
              <w:jc w:val="center"/>
              <w:rPr>
                <w:sz w:val="18"/>
                <w:szCs w:val="18"/>
              </w:rPr>
            </w:pPr>
            <w:r>
              <w:rPr>
                <w:sz w:val="18"/>
                <w:szCs w:val="18"/>
              </w:rPr>
              <w:t>√</w:t>
            </w:r>
          </w:p>
        </w:tc>
        <w:tc>
          <w:tcPr>
            <w:tcW w:w="1418" w:type="dxa"/>
          </w:tcPr>
          <w:p w14:paraId="48A93F5E" w14:textId="77777777" w:rsidR="001C19F3" w:rsidRDefault="001C19F3" w:rsidP="00521305">
            <w:pPr>
              <w:spacing w:after="0"/>
              <w:jc w:val="center"/>
              <w:rPr>
                <w:sz w:val="18"/>
                <w:szCs w:val="18"/>
              </w:rPr>
            </w:pPr>
            <w:r w:rsidRPr="00B3050C">
              <w:rPr>
                <w:sz w:val="18"/>
                <w:szCs w:val="18"/>
              </w:rPr>
              <w:t>√</w:t>
            </w:r>
          </w:p>
        </w:tc>
        <w:tc>
          <w:tcPr>
            <w:tcW w:w="1599" w:type="dxa"/>
          </w:tcPr>
          <w:p w14:paraId="1FF0E3A0" w14:textId="77777777" w:rsidR="001C19F3" w:rsidRDefault="001C19F3" w:rsidP="00521305">
            <w:pPr>
              <w:spacing w:after="0"/>
              <w:jc w:val="center"/>
              <w:rPr>
                <w:sz w:val="18"/>
                <w:szCs w:val="18"/>
              </w:rPr>
            </w:pPr>
            <w:r w:rsidRPr="00B3050C">
              <w:rPr>
                <w:sz w:val="18"/>
                <w:szCs w:val="18"/>
              </w:rPr>
              <w:t>√</w:t>
            </w:r>
          </w:p>
        </w:tc>
      </w:tr>
      <w:tr w:rsidR="001C19F3" w:rsidRPr="007C4473" w14:paraId="6E812584" w14:textId="77777777" w:rsidTr="00521305">
        <w:trPr>
          <w:gridAfter w:val="1"/>
          <w:wAfter w:w="13" w:type="dxa"/>
          <w:jc w:val="center"/>
        </w:trPr>
        <w:tc>
          <w:tcPr>
            <w:tcW w:w="3964" w:type="dxa"/>
          </w:tcPr>
          <w:p w14:paraId="3281D23F" w14:textId="77777777" w:rsidR="001C19F3" w:rsidRPr="007C4473" w:rsidRDefault="001C19F3" w:rsidP="00521305">
            <w:pPr>
              <w:spacing w:after="0"/>
              <w:rPr>
                <w:sz w:val="18"/>
                <w:szCs w:val="18"/>
              </w:rPr>
            </w:pPr>
            <w:bookmarkStart w:id="506" w:name="_Hlk13051248"/>
            <w:r>
              <w:rPr>
                <w:sz w:val="18"/>
                <w:szCs w:val="18"/>
              </w:rPr>
              <w:t xml:space="preserve">Shared care </w:t>
            </w:r>
            <w:bookmarkEnd w:id="506"/>
            <w:r>
              <w:rPr>
                <w:sz w:val="18"/>
                <w:szCs w:val="18"/>
              </w:rPr>
              <w:t>plan created</w:t>
            </w:r>
          </w:p>
        </w:tc>
        <w:tc>
          <w:tcPr>
            <w:tcW w:w="1365" w:type="dxa"/>
          </w:tcPr>
          <w:p w14:paraId="396B8FA2" w14:textId="77777777" w:rsidR="001C19F3" w:rsidRPr="007C4473" w:rsidRDefault="001C19F3" w:rsidP="00521305">
            <w:pPr>
              <w:spacing w:after="0"/>
              <w:jc w:val="center"/>
              <w:rPr>
                <w:sz w:val="18"/>
                <w:szCs w:val="18"/>
              </w:rPr>
            </w:pPr>
          </w:p>
        </w:tc>
        <w:tc>
          <w:tcPr>
            <w:tcW w:w="1418" w:type="dxa"/>
          </w:tcPr>
          <w:p w14:paraId="6E71FE09" w14:textId="77777777" w:rsidR="001C19F3" w:rsidRPr="007C4473" w:rsidRDefault="001C19F3" w:rsidP="00521305">
            <w:pPr>
              <w:spacing w:after="0"/>
              <w:jc w:val="center"/>
              <w:rPr>
                <w:sz w:val="18"/>
                <w:szCs w:val="18"/>
              </w:rPr>
            </w:pPr>
            <w:r>
              <w:rPr>
                <w:sz w:val="18"/>
                <w:szCs w:val="18"/>
              </w:rPr>
              <w:t>√</w:t>
            </w:r>
          </w:p>
        </w:tc>
        <w:tc>
          <w:tcPr>
            <w:tcW w:w="1599" w:type="dxa"/>
          </w:tcPr>
          <w:p w14:paraId="262B845A" w14:textId="77777777" w:rsidR="001C19F3" w:rsidRPr="007C4473" w:rsidRDefault="001C19F3" w:rsidP="00521305">
            <w:pPr>
              <w:spacing w:after="0"/>
              <w:jc w:val="center"/>
              <w:rPr>
                <w:sz w:val="18"/>
                <w:szCs w:val="18"/>
              </w:rPr>
            </w:pPr>
          </w:p>
        </w:tc>
      </w:tr>
    </w:tbl>
    <w:p w14:paraId="6B893B53" w14:textId="77777777" w:rsidR="001C19F3" w:rsidRDefault="001C19F3" w:rsidP="001C19F3">
      <w:pPr>
        <w:pStyle w:val="Chartortablefootnote"/>
      </w:pPr>
      <w:r w:rsidRPr="002A40CC">
        <w:rPr>
          <w:vertAlign w:val="superscript"/>
        </w:rPr>
        <w:t>1</w:t>
      </w:r>
      <w:r w:rsidRPr="002A40CC">
        <w:t>A tick indicates table(s) relating to patient information are present in the practice extract data.</w:t>
      </w:r>
    </w:p>
    <w:p w14:paraId="0AB5E175" w14:textId="77777777" w:rsidR="001C19F3" w:rsidRDefault="001C19F3" w:rsidP="001C19F3">
      <w:pPr>
        <w:rPr>
          <w:b/>
          <w:szCs w:val="20"/>
        </w:rPr>
      </w:pPr>
      <w:r w:rsidRPr="002A40CC">
        <w:rPr>
          <w:b/>
          <w:szCs w:val="18"/>
        </w:rPr>
        <w:lastRenderedPageBreak/>
        <w:t>Patient demographics</w:t>
      </w:r>
      <w:r>
        <w:rPr>
          <w:szCs w:val="18"/>
        </w:rPr>
        <w:t xml:space="preserve"> include age and sex of the patient as well as pensioner, Aboriginal and Torres Strait Islander and deceased status. No personally identifiable information (e.g. name, date of birth, postcode) is included in any of the extracts.</w:t>
      </w:r>
    </w:p>
    <w:p w14:paraId="7E96F42E" w14:textId="77777777" w:rsidR="001C19F3" w:rsidRPr="00C45FCC" w:rsidRDefault="001C19F3" w:rsidP="001C19F3">
      <w:pPr>
        <w:rPr>
          <w:szCs w:val="20"/>
        </w:rPr>
      </w:pPr>
      <w:r w:rsidRPr="00C45FCC">
        <w:rPr>
          <w:b/>
          <w:szCs w:val="20"/>
        </w:rPr>
        <w:t>Clinical encounter</w:t>
      </w:r>
      <w:r w:rsidRPr="00C45FCC">
        <w:rPr>
          <w:szCs w:val="20"/>
        </w:rPr>
        <w:t>, in</w:t>
      </w:r>
      <w:r>
        <w:rPr>
          <w:szCs w:val="20"/>
        </w:rPr>
        <w:t xml:space="preserve"> a</w:t>
      </w:r>
      <w:r w:rsidRPr="00C45FCC">
        <w:rPr>
          <w:szCs w:val="20"/>
        </w:rPr>
        <w:t xml:space="preserve"> general practice setting, refers to an interaction between a patient and the service. However, there is no consistent definition of an encounter for general practice electronic health data in Australia (</w:t>
      </w:r>
      <w:r>
        <w:rPr>
          <w:szCs w:val="20"/>
        </w:rPr>
        <w:fldChar w:fldCharType="begin"/>
      </w:r>
      <w:r>
        <w:rPr>
          <w:szCs w:val="20"/>
        </w:rPr>
        <w:instrText xml:space="preserve"> ADDIN EN.CITE &lt;EndNote&gt;&lt;Cite&gt;&lt;Author&gt;NPS MedicineWise&lt;/Author&gt;&lt;Year&gt;2018&lt;/Year&gt;&lt;RecNum&gt;1136&lt;/RecNum&gt;&lt;DisplayText&gt;NPS MedicineWise, 2018&lt;/DisplayText&gt;&lt;record&gt;&lt;rec-number&gt;1136&lt;/rec-number&gt;&lt;foreign-keys&gt;&lt;key app="EN" db-id="zdz9xax04zr9v0evw2nvrpw9xe9ttzvs5zsv" timestamp="1571722096"&gt;1136&lt;/key&gt;&lt;/foreign-keys&gt;&lt;ref-type name="HPA report"&gt;40&lt;/ref-type&gt;&lt;contributors&gt;&lt;authors&gt;&lt;author&gt;NPS MedicineWise,,&lt;/author&gt;&lt;/authors&gt;&lt;/contributors&gt;&lt;titles&gt;&lt;title&gt;MedicineInsight data book version 2.1&lt;/title&gt;&lt;/titles&gt;&lt;dates&gt;&lt;year&gt;2018&lt;/year&gt;&lt;/dates&gt;&lt;pub-location&gt;Sydney&lt;/pub-location&gt;&lt;publisher&gt;NPS MedicineWise&lt;/publisher&gt;&lt;urls&gt;&lt;/urls&gt;&lt;/record&gt;&lt;/Cite&gt;&lt;/EndNote&gt;</w:instrText>
      </w:r>
      <w:r>
        <w:rPr>
          <w:szCs w:val="20"/>
        </w:rPr>
        <w:fldChar w:fldCharType="separate"/>
      </w:r>
      <w:r>
        <w:rPr>
          <w:noProof/>
          <w:szCs w:val="20"/>
        </w:rPr>
        <w:t>NPS MedicineWise, 2018</w:t>
      </w:r>
      <w:r>
        <w:rPr>
          <w:szCs w:val="20"/>
        </w:rPr>
        <w:fldChar w:fldCharType="end"/>
      </w:r>
      <w:r>
        <w:rPr>
          <w:szCs w:val="20"/>
        </w:rPr>
        <w:t xml:space="preserve">). </w:t>
      </w:r>
      <w:r w:rsidRPr="00C45FCC">
        <w:rPr>
          <w:szCs w:val="20"/>
        </w:rPr>
        <w:t>An encounter record may occur as a result of patient clinical consultation or administrative process</w:t>
      </w:r>
      <w:r>
        <w:rPr>
          <w:szCs w:val="20"/>
        </w:rPr>
        <w:t>, such as</w:t>
      </w:r>
      <w:r w:rsidRPr="00C45FCC">
        <w:rPr>
          <w:szCs w:val="20"/>
        </w:rPr>
        <w:t xml:space="preserve"> reviewing or updating a patient record. Clinical encounter data includes (where available) information on the date of the encounter, a scrambled provider ID, specialty of a provider, type of encounter and reason for encounter.</w:t>
      </w:r>
    </w:p>
    <w:p w14:paraId="00228F23" w14:textId="77777777" w:rsidR="001C19F3" w:rsidRPr="00C45FCC" w:rsidRDefault="001C19F3" w:rsidP="001C19F3">
      <w:pPr>
        <w:rPr>
          <w:sz w:val="22"/>
          <w:szCs w:val="18"/>
        </w:rPr>
      </w:pPr>
      <w:r>
        <w:rPr>
          <w:b/>
          <w:szCs w:val="18"/>
        </w:rPr>
        <w:t>Diagnoses</w:t>
      </w:r>
      <w:r w:rsidRPr="00C45FCC">
        <w:rPr>
          <w:szCs w:val="18"/>
        </w:rPr>
        <w:t xml:space="preserve"> can be entered into the practice clinical information system through several approaches. A clinician can select a relevant term from a structured and pre-coded system, such as </w:t>
      </w:r>
      <w:r>
        <w:rPr>
          <w:szCs w:val="18"/>
        </w:rPr>
        <w:t>‘</w:t>
      </w:r>
      <w:r w:rsidRPr="00C45FCC">
        <w:rPr>
          <w:szCs w:val="18"/>
        </w:rPr>
        <w:t>Docle</w:t>
      </w:r>
      <w:r>
        <w:rPr>
          <w:szCs w:val="18"/>
        </w:rPr>
        <w:t>’</w:t>
      </w:r>
      <w:r w:rsidRPr="00C45FCC">
        <w:rPr>
          <w:szCs w:val="18"/>
        </w:rPr>
        <w:t xml:space="preserve"> in Medical Director or </w:t>
      </w:r>
      <w:r>
        <w:rPr>
          <w:szCs w:val="18"/>
        </w:rPr>
        <w:t>‘</w:t>
      </w:r>
      <w:r w:rsidRPr="00C45FCC">
        <w:rPr>
          <w:szCs w:val="18"/>
        </w:rPr>
        <w:t>Pyefinch</w:t>
      </w:r>
      <w:r>
        <w:rPr>
          <w:szCs w:val="18"/>
        </w:rPr>
        <w:t>’</w:t>
      </w:r>
      <w:r w:rsidRPr="00C45FCC">
        <w:rPr>
          <w:szCs w:val="18"/>
        </w:rPr>
        <w:t xml:space="preserve"> in Best Practice. A clinician can also describe a patient’s diagnos</w:t>
      </w:r>
      <w:r>
        <w:rPr>
          <w:szCs w:val="18"/>
        </w:rPr>
        <w:t>is</w:t>
      </w:r>
      <w:r w:rsidRPr="00C45FCC">
        <w:rPr>
          <w:szCs w:val="18"/>
        </w:rPr>
        <w:t xml:space="preserve"> in the free-text field</w:t>
      </w:r>
      <w:r>
        <w:rPr>
          <w:szCs w:val="18"/>
        </w:rPr>
        <w:t xml:space="preserve"> </w:t>
      </w:r>
      <w:r w:rsidRPr="00C45FCC">
        <w:rPr>
          <w:szCs w:val="18"/>
        </w:rPr>
        <w:t xml:space="preserve">of the diagnosis screen or reason for visit, </w:t>
      </w:r>
      <w:r>
        <w:rPr>
          <w:szCs w:val="18"/>
        </w:rPr>
        <w:t xml:space="preserve">or </w:t>
      </w:r>
      <w:r w:rsidRPr="00C45FCC">
        <w:rPr>
          <w:szCs w:val="18"/>
        </w:rPr>
        <w:t>reason for prescription (</w:t>
      </w:r>
      <w:r>
        <w:rPr>
          <w:szCs w:val="18"/>
        </w:rPr>
        <w:fldChar w:fldCharType="begin"/>
      </w:r>
      <w:r>
        <w:rPr>
          <w:szCs w:val="18"/>
        </w:rPr>
        <w:instrText xml:space="preserve"> ADDIN EN.CITE &lt;EndNote&gt;&lt;Cite&gt;&lt;Author&gt;NPS MedicineWise&lt;/Author&gt;&lt;Year&gt;2018&lt;/Year&gt;&lt;RecNum&gt;1136&lt;/RecNum&gt;&lt;DisplayText&gt;NPS MedicineWise, 2018&lt;/DisplayText&gt;&lt;record&gt;&lt;rec-number&gt;1136&lt;/rec-number&gt;&lt;foreign-keys&gt;&lt;key app="EN" db-id="zdz9xax04zr9v0evw2nvrpw9xe9ttzvs5zsv" timestamp="1571722096"&gt;1136&lt;/key&gt;&lt;/foreign-keys&gt;&lt;ref-type name="HPA report"&gt;40&lt;/ref-type&gt;&lt;contributors&gt;&lt;authors&gt;&lt;author&gt;NPS MedicineWise,,&lt;/author&gt;&lt;/authors&gt;&lt;/contributors&gt;&lt;titles&gt;&lt;title&gt;MedicineInsight data book version 2.1&lt;/title&gt;&lt;/titles&gt;&lt;dates&gt;&lt;year&gt;2018&lt;/year&gt;&lt;/dates&gt;&lt;pub-location&gt;Sydney&lt;/pub-location&gt;&lt;publisher&gt;NPS MedicineWise&lt;/publisher&gt;&lt;urls&gt;&lt;/urls&gt;&lt;/record&gt;&lt;/Cite&gt;&lt;/EndNote&gt;</w:instrText>
      </w:r>
      <w:r>
        <w:rPr>
          <w:szCs w:val="18"/>
        </w:rPr>
        <w:fldChar w:fldCharType="separate"/>
      </w:r>
      <w:r>
        <w:rPr>
          <w:noProof/>
          <w:szCs w:val="18"/>
        </w:rPr>
        <w:t>NPS MedicineWise, 2018</w:t>
      </w:r>
      <w:r>
        <w:rPr>
          <w:szCs w:val="18"/>
        </w:rPr>
        <w:fldChar w:fldCharType="end"/>
      </w:r>
      <w:r w:rsidRPr="00C45FCC">
        <w:rPr>
          <w:noProof/>
          <w:szCs w:val="20"/>
        </w:rPr>
        <w:t>)</w:t>
      </w:r>
      <w:r>
        <w:rPr>
          <w:szCs w:val="18"/>
        </w:rPr>
        <w:t>. P</w:t>
      </w:r>
      <w:r w:rsidRPr="00C45FCC">
        <w:rPr>
          <w:szCs w:val="18"/>
        </w:rPr>
        <w:t>rogress notes may contain further diagnostic information</w:t>
      </w:r>
      <w:r>
        <w:rPr>
          <w:szCs w:val="18"/>
        </w:rPr>
        <w:t xml:space="preserve"> but t</w:t>
      </w:r>
      <w:r w:rsidRPr="00C45FCC">
        <w:rPr>
          <w:szCs w:val="18"/>
        </w:rPr>
        <w:t xml:space="preserve">hese are not extracted </w:t>
      </w:r>
      <w:r>
        <w:rPr>
          <w:szCs w:val="18"/>
        </w:rPr>
        <w:t>as</w:t>
      </w:r>
      <w:r w:rsidRPr="00C45FCC">
        <w:rPr>
          <w:szCs w:val="18"/>
        </w:rPr>
        <w:t xml:space="preserve"> they may contain confidential information.</w:t>
      </w:r>
    </w:p>
    <w:p w14:paraId="48D9E018" w14:textId="77777777" w:rsidR="001C19F3" w:rsidRPr="00C45FCC" w:rsidRDefault="001C19F3" w:rsidP="001C19F3">
      <w:pPr>
        <w:rPr>
          <w:szCs w:val="18"/>
        </w:rPr>
      </w:pPr>
      <w:r w:rsidRPr="00C45FCC">
        <w:rPr>
          <w:b/>
          <w:szCs w:val="18"/>
        </w:rPr>
        <w:t>Clinical observations</w:t>
      </w:r>
      <w:r w:rsidRPr="00C45FCC">
        <w:rPr>
          <w:szCs w:val="18"/>
        </w:rPr>
        <w:t xml:space="preserve"> refer to physiologic measurements at the time of the encounter</w:t>
      </w:r>
      <w:r>
        <w:rPr>
          <w:szCs w:val="18"/>
        </w:rPr>
        <w:t>, such as</w:t>
      </w:r>
      <w:r w:rsidRPr="00C45FCC">
        <w:rPr>
          <w:szCs w:val="18"/>
        </w:rPr>
        <w:t xml:space="preserve"> blood pressure, heart rate, height, weight and waist circumference. There are also assessments of lifestyle (e.g. smoking, alcohol, physical activity), examination of mental health</w:t>
      </w:r>
      <w:r>
        <w:rPr>
          <w:szCs w:val="18"/>
        </w:rPr>
        <w:t xml:space="preserve"> and </w:t>
      </w:r>
      <w:r w:rsidRPr="00C45FCC">
        <w:rPr>
          <w:szCs w:val="18"/>
        </w:rPr>
        <w:t>hearing</w:t>
      </w:r>
      <w:r>
        <w:rPr>
          <w:szCs w:val="18"/>
        </w:rPr>
        <w:t xml:space="preserve">, and </w:t>
      </w:r>
      <w:r w:rsidRPr="00C45FCC">
        <w:rPr>
          <w:szCs w:val="18"/>
        </w:rPr>
        <w:t xml:space="preserve">screening for cardiovascular and diabetes risk. </w:t>
      </w:r>
    </w:p>
    <w:p w14:paraId="6976E344" w14:textId="77777777" w:rsidR="001C19F3" w:rsidRPr="008B1A69" w:rsidRDefault="001C19F3" w:rsidP="001C19F3">
      <w:pPr>
        <w:rPr>
          <w:szCs w:val="18"/>
        </w:rPr>
      </w:pPr>
      <w:r w:rsidRPr="00C45FCC">
        <w:rPr>
          <w:b/>
          <w:szCs w:val="18"/>
        </w:rPr>
        <w:t>Pathology results</w:t>
      </w:r>
      <w:r w:rsidRPr="00C45FCC">
        <w:rPr>
          <w:szCs w:val="18"/>
        </w:rPr>
        <w:t xml:space="preserve"> </w:t>
      </w:r>
      <w:r>
        <w:rPr>
          <w:szCs w:val="18"/>
        </w:rPr>
        <w:t xml:space="preserve">are the </w:t>
      </w:r>
      <w:r w:rsidRPr="00C45FCC">
        <w:rPr>
          <w:szCs w:val="18"/>
        </w:rPr>
        <w:t>results of investigations</w:t>
      </w:r>
      <w:r>
        <w:rPr>
          <w:szCs w:val="18"/>
        </w:rPr>
        <w:t>, such as</w:t>
      </w:r>
      <w:r w:rsidRPr="00C45FCC">
        <w:rPr>
          <w:szCs w:val="18"/>
        </w:rPr>
        <w:t xml:space="preserve"> blood sugar, HbA1c, cholesterol and tests for kidney functioning. Pathology results ordered by the practice or elsewhere (e.g. hospitals, outpatient clinics or specialists) may be manually entered into the practice systems or transferred electronically from pathology labs. Scanned or PDF copies of pathology reports are not extracted </w:t>
      </w:r>
      <w:r>
        <w:rPr>
          <w:szCs w:val="18"/>
        </w:rPr>
        <w:t>(</w:t>
      </w:r>
      <w:r>
        <w:rPr>
          <w:szCs w:val="18"/>
        </w:rPr>
        <w:fldChar w:fldCharType="begin"/>
      </w:r>
      <w:r>
        <w:rPr>
          <w:szCs w:val="18"/>
        </w:rPr>
        <w:instrText xml:space="preserve"> ADDIN EN.CITE &lt;EndNote&gt;&lt;Cite&gt;&lt;Author&gt;NPS MedicineWise&lt;/Author&gt;&lt;Year&gt;2018&lt;/Year&gt;&lt;RecNum&gt;1136&lt;/RecNum&gt;&lt;DisplayText&gt;NPS MedicineWise, 2018; Pen CS, 2019&lt;/DisplayText&gt;&lt;record&gt;&lt;rec-number&gt;1136&lt;/rec-number&gt;&lt;foreign-keys&gt;&lt;key app="EN" db-id="zdz9xax04zr9v0evw2nvrpw9xe9ttzvs5zsv" timestamp="1571722096"&gt;1136&lt;/key&gt;&lt;/foreign-keys&gt;&lt;ref-type name="HPA report"&gt;40&lt;/ref-type&gt;&lt;contributors&gt;&lt;authors&gt;&lt;author&gt;NPS MedicineWise,,&lt;/author&gt;&lt;/authors&gt;&lt;/contributors&gt;&lt;titles&gt;&lt;title&gt;MedicineInsight data book version 2.1&lt;/title&gt;&lt;/titles&gt;&lt;dates&gt;&lt;year&gt;2018&lt;/year&gt;&lt;/dates&gt;&lt;pub-location&gt;Sydney&lt;/pub-location&gt;&lt;publisher&gt;NPS MedicineWise&lt;/publisher&gt;&lt;urls&gt;&lt;/urls&gt;&lt;/record&gt;&lt;/Cite&gt;&lt;Cite&gt;&lt;Author&gt;Pen CS&lt;/Author&gt;&lt;Year&gt;2019&lt;/Year&gt;&lt;RecNum&gt;2&lt;/RecNum&gt;&lt;record&gt;&lt;rec-number&gt;2&lt;/rec-number&gt;&lt;foreign-keys&gt;&lt;key app="EN" db-id="52vwadtv3wdxzmexxzzvta59x22rswv9rxsf" timestamp="1571719551"&gt;2&lt;/key&gt;&lt;/foreign-keys&gt;&lt;ref-type name="Web Page"&gt;12&lt;/ref-type&gt;&lt;contributors&gt;&lt;authors&gt;&lt;author&gt;Pen CS,&lt;/author&gt;&lt;/authors&gt;&lt;/contributors&gt;&lt;titles&gt;&lt;title&gt;Data mapping&lt;/title&gt;&lt;/titles&gt;&lt;volume&gt;2019&lt;/volume&gt;&lt;number&gt;5 July&lt;/number&gt;&lt;dates&gt;&lt;year&gt;2019&lt;/year&gt;&lt;/dates&gt;&lt;urls&gt;&lt;related-urls&gt;&lt;url&gt;https://help.pencs.com.au/display/ADM&lt;/url&gt;&lt;/related-urls&gt;&lt;/urls&gt;&lt;/record&gt;&lt;/Cite&gt;&lt;/EndNote&gt;</w:instrText>
      </w:r>
      <w:r>
        <w:rPr>
          <w:szCs w:val="18"/>
        </w:rPr>
        <w:fldChar w:fldCharType="separate"/>
      </w:r>
      <w:r>
        <w:rPr>
          <w:noProof/>
          <w:szCs w:val="18"/>
        </w:rPr>
        <w:t>NPS MedicineWise, 2018; Pen CS, 2019</w:t>
      </w:r>
      <w:r>
        <w:rPr>
          <w:szCs w:val="18"/>
        </w:rPr>
        <w:fldChar w:fldCharType="end"/>
      </w:r>
      <w:r>
        <w:rPr>
          <w:szCs w:val="18"/>
        </w:rPr>
        <w:t>).</w:t>
      </w:r>
    </w:p>
    <w:p w14:paraId="10F99B2C" w14:textId="77777777" w:rsidR="001C19F3" w:rsidRPr="00C45FCC" w:rsidRDefault="001C19F3" w:rsidP="001C19F3">
      <w:pPr>
        <w:rPr>
          <w:szCs w:val="20"/>
        </w:rPr>
      </w:pPr>
      <w:r w:rsidRPr="00C45FCC">
        <w:rPr>
          <w:b/>
          <w:szCs w:val="18"/>
        </w:rPr>
        <w:t xml:space="preserve">Prescription </w:t>
      </w:r>
      <w:r w:rsidRPr="00321663">
        <w:rPr>
          <w:szCs w:val="18"/>
        </w:rPr>
        <w:t>data</w:t>
      </w:r>
      <w:r w:rsidRPr="00C45FCC">
        <w:rPr>
          <w:szCs w:val="18"/>
        </w:rPr>
        <w:t xml:space="preserve"> contain medicines prescribed by a provider and/or scripts printed out from the practice system. Over the counter medicines and those prescribed by providers elsewhere </w:t>
      </w:r>
      <w:r w:rsidRPr="00C45FCC">
        <w:rPr>
          <w:szCs w:val="20"/>
        </w:rPr>
        <w:t>are only included if manually entered into the practice system (</w:t>
      </w:r>
      <w:r>
        <w:rPr>
          <w:szCs w:val="20"/>
        </w:rPr>
        <w:fldChar w:fldCharType="begin"/>
      </w:r>
      <w:r>
        <w:rPr>
          <w:szCs w:val="20"/>
        </w:rPr>
        <w:instrText xml:space="preserve"> ADDIN EN.CITE &lt;EndNote&gt;&lt;Cite&gt;&lt;Author&gt;NPS MedicineWise&lt;/Author&gt;&lt;Year&gt;2018&lt;/Year&gt;&lt;RecNum&gt;1136&lt;/RecNum&gt;&lt;DisplayText&gt;NPS MedicineWise, 2018&lt;/DisplayText&gt;&lt;record&gt;&lt;rec-number&gt;1136&lt;/rec-number&gt;&lt;foreign-keys&gt;&lt;key app="EN" db-id="zdz9xax04zr9v0evw2nvrpw9xe9ttzvs5zsv" timestamp="1571722096"&gt;1136&lt;/key&gt;&lt;/foreign-keys&gt;&lt;ref-type name="HPA report"&gt;40&lt;/ref-type&gt;&lt;contributors&gt;&lt;authors&gt;&lt;author&gt;NPS MedicineWise,,&lt;/author&gt;&lt;/authors&gt;&lt;/contributors&gt;&lt;titles&gt;&lt;title&gt;MedicineInsight data book version 2.1&lt;/title&gt;&lt;/titles&gt;&lt;dates&gt;&lt;year&gt;2018&lt;/year&gt;&lt;/dates&gt;&lt;pub-location&gt;Sydney&lt;/pub-location&gt;&lt;publisher&gt;NPS MedicineWise&lt;/publisher&gt;&lt;urls&gt;&lt;/urls&gt;&lt;/record&gt;&lt;/Cite&gt;&lt;/EndNote&gt;</w:instrText>
      </w:r>
      <w:r>
        <w:rPr>
          <w:szCs w:val="20"/>
        </w:rPr>
        <w:fldChar w:fldCharType="separate"/>
      </w:r>
      <w:r>
        <w:rPr>
          <w:noProof/>
          <w:szCs w:val="20"/>
        </w:rPr>
        <w:t>NPS MedicineWise, 2018</w:t>
      </w:r>
      <w:r>
        <w:rPr>
          <w:szCs w:val="20"/>
        </w:rPr>
        <w:fldChar w:fldCharType="end"/>
      </w:r>
      <w:r>
        <w:rPr>
          <w:szCs w:val="20"/>
        </w:rPr>
        <w:t>)</w:t>
      </w:r>
      <w:r w:rsidRPr="00C45FCC">
        <w:rPr>
          <w:szCs w:val="20"/>
        </w:rPr>
        <w:t>.</w:t>
      </w:r>
    </w:p>
    <w:p w14:paraId="52C296F0" w14:textId="77777777" w:rsidR="001C19F3" w:rsidRPr="00C45FCC" w:rsidRDefault="001C19F3" w:rsidP="001C19F3">
      <w:pPr>
        <w:rPr>
          <w:szCs w:val="18"/>
        </w:rPr>
      </w:pPr>
      <w:r w:rsidRPr="00C45FCC">
        <w:rPr>
          <w:b/>
          <w:szCs w:val="18"/>
        </w:rPr>
        <w:t xml:space="preserve">MBS billing </w:t>
      </w:r>
      <w:r w:rsidRPr="00321663">
        <w:rPr>
          <w:szCs w:val="18"/>
        </w:rPr>
        <w:t>data</w:t>
      </w:r>
      <w:r w:rsidRPr="00C45FCC">
        <w:rPr>
          <w:szCs w:val="18"/>
        </w:rPr>
        <w:t xml:space="preserve"> contain billing claims from the practice for services provided to the patient. The data includes the MBS item number </w:t>
      </w:r>
      <w:r>
        <w:rPr>
          <w:szCs w:val="18"/>
        </w:rPr>
        <w:t>that</w:t>
      </w:r>
      <w:r w:rsidRPr="00C45FCC">
        <w:rPr>
          <w:szCs w:val="18"/>
        </w:rPr>
        <w:t xml:space="preserve"> was billed.</w:t>
      </w:r>
    </w:p>
    <w:p w14:paraId="0E25589F" w14:textId="77777777" w:rsidR="001C19F3" w:rsidRPr="00C45FCC" w:rsidRDefault="001C19F3" w:rsidP="001C19F3">
      <w:pPr>
        <w:rPr>
          <w:szCs w:val="18"/>
        </w:rPr>
      </w:pPr>
      <w:r w:rsidRPr="00C45FCC">
        <w:t xml:space="preserve">A table containing information about the date (year and month) when a </w:t>
      </w:r>
      <w:r w:rsidRPr="00321663">
        <w:rPr>
          <w:b/>
        </w:rPr>
        <w:t>shared care plan</w:t>
      </w:r>
      <w:r w:rsidRPr="00C45FCC">
        <w:t xml:space="preserve"> was created is available through POLAR, but not through Pen CS or MedicineInsight.</w:t>
      </w:r>
    </w:p>
    <w:p w14:paraId="49C580A9" w14:textId="77777777" w:rsidR="001C19F3" w:rsidRPr="00D00C26" w:rsidRDefault="001C19F3" w:rsidP="001C19F3">
      <w:pPr>
        <w:rPr>
          <w:szCs w:val="20"/>
        </w:rPr>
      </w:pPr>
      <w:r w:rsidRPr="00C45FCC">
        <w:rPr>
          <w:szCs w:val="20"/>
        </w:rPr>
        <w:t xml:space="preserve">All data </w:t>
      </w:r>
      <w:r>
        <w:rPr>
          <w:szCs w:val="20"/>
        </w:rPr>
        <w:t>extracts</w:t>
      </w:r>
      <w:r w:rsidRPr="00C45FCC">
        <w:rPr>
          <w:szCs w:val="20"/>
        </w:rPr>
        <w:t xml:space="preserve"> contain unique IDs for the practice and patient</w:t>
      </w:r>
      <w:r>
        <w:rPr>
          <w:szCs w:val="20"/>
        </w:rPr>
        <w:t>s</w:t>
      </w:r>
      <w:r w:rsidRPr="00C45FCC">
        <w:rPr>
          <w:szCs w:val="20"/>
        </w:rPr>
        <w:t>. Currently, it is not possible for the data extraction software to identify a patient who visited two or more practices (</w:t>
      </w:r>
      <w:r>
        <w:rPr>
          <w:szCs w:val="20"/>
        </w:rPr>
        <w:fldChar w:fldCharType="begin"/>
      </w:r>
      <w:r>
        <w:rPr>
          <w:szCs w:val="20"/>
        </w:rPr>
        <w:instrText xml:space="preserve"> ADDIN EN.CITE &lt;EndNote&gt;&lt;Cite&gt;&lt;Author&gt;NPS MedicineWise&lt;/Author&gt;&lt;Year&gt;2018&lt;/Year&gt;&lt;RecNum&gt;1136&lt;/RecNum&gt;&lt;DisplayText&gt;NPS MedicineWise, 2018&lt;/DisplayText&gt;&lt;record&gt;&lt;rec-number&gt;1136&lt;/rec-number&gt;&lt;foreign-keys&gt;&lt;key app="EN" db-id="zdz9xax04zr9v0evw2nvrpw9xe9ttzvs5zsv" timestamp="1571722096"&gt;1136&lt;/key&gt;&lt;/foreign-keys&gt;&lt;ref-type name="HPA report"&gt;40&lt;/ref-type&gt;&lt;contributors&gt;&lt;authors&gt;&lt;author&gt;NPS MedicineWise,,&lt;/author&gt;&lt;/authors&gt;&lt;/contributors&gt;&lt;titles&gt;&lt;title&gt;MedicineInsight data book version 2.1&lt;/title&gt;&lt;/titles&gt;&lt;dates&gt;&lt;year&gt;2018&lt;/year&gt;&lt;/dates&gt;&lt;pub-location&gt;Sydney&lt;/pub-location&gt;&lt;publisher&gt;NPS MedicineWise&lt;/publisher&gt;&lt;urls&gt;&lt;/urls&gt;&lt;/record&gt;&lt;/Cite&gt;&lt;/EndNote&gt;</w:instrText>
      </w:r>
      <w:r>
        <w:rPr>
          <w:szCs w:val="20"/>
        </w:rPr>
        <w:fldChar w:fldCharType="separate"/>
      </w:r>
      <w:r>
        <w:rPr>
          <w:noProof/>
          <w:szCs w:val="20"/>
        </w:rPr>
        <w:t>NPS MedicineWise, 2018</w:t>
      </w:r>
      <w:r>
        <w:rPr>
          <w:szCs w:val="20"/>
        </w:rPr>
        <w:fldChar w:fldCharType="end"/>
      </w:r>
      <w:r w:rsidRPr="00C45FCC">
        <w:rPr>
          <w:szCs w:val="20"/>
        </w:rPr>
        <w:t xml:space="preserve">). Neither is it possible to identify patients whose records were extracted by different software. Therefore, data for </w:t>
      </w:r>
      <w:r>
        <w:rPr>
          <w:szCs w:val="20"/>
        </w:rPr>
        <w:t>each</w:t>
      </w:r>
      <w:r w:rsidRPr="00C45FCC">
        <w:rPr>
          <w:szCs w:val="20"/>
        </w:rPr>
        <w:t xml:space="preserve"> patient w</w:t>
      </w:r>
      <w:r>
        <w:rPr>
          <w:szCs w:val="20"/>
        </w:rPr>
        <w:t>as</w:t>
      </w:r>
      <w:r w:rsidRPr="00C45FCC">
        <w:rPr>
          <w:szCs w:val="20"/>
        </w:rPr>
        <w:t xml:space="preserve"> analysed within the practice and within the data source. </w:t>
      </w:r>
      <w:r>
        <w:rPr>
          <w:szCs w:val="20"/>
        </w:rPr>
        <w:t>H</w:t>
      </w:r>
      <w:r w:rsidRPr="00C45FCC">
        <w:rPr>
          <w:szCs w:val="20"/>
        </w:rPr>
        <w:t>owever, for the HCH practices it is possible to identify the practices whose data were extracted by two extraction tools (e.g. by both Pen CS and MedicineInsight), using the practice name.</w:t>
      </w:r>
    </w:p>
    <w:p w14:paraId="38E5B660" w14:textId="77777777" w:rsidR="001C19F3" w:rsidRDefault="001C19F3" w:rsidP="001C19F3">
      <w:pPr>
        <w:pStyle w:val="Heading2"/>
      </w:pPr>
      <w:bookmarkStart w:id="507" w:name="_Toc27058960"/>
      <w:r>
        <w:lastRenderedPageBreak/>
        <w:t>Variation in capture of patient information</w:t>
      </w:r>
      <w:bookmarkEnd w:id="507"/>
    </w:p>
    <w:p w14:paraId="5F9258B0" w14:textId="77777777" w:rsidR="001C19F3" w:rsidRDefault="001C19F3" w:rsidP="001C19F3">
      <w:r>
        <w:t xml:space="preserve">Practice data extracts were examined to explore the consistency of patient information between data sources and between practices. Where variation in data capture was observed (e.g. when extracts from a practice did not include a table such as MBS billing, an observation such as pulse measurement or a patient condition such as bipolar, schizophrenia), clarification was sought from Pen CS, South East Melbourne PHN (for the POLAR extracts) and NPS MedicineInsight. </w:t>
      </w:r>
    </w:p>
    <w:p w14:paraId="0C6153A6" w14:textId="77777777" w:rsidR="001C19F3" w:rsidRDefault="001C19F3" w:rsidP="001C19F3">
      <w:r>
        <w:t xml:space="preserve">It is recognised that the capture of patient data is dependent on several factors, including: </w:t>
      </w:r>
    </w:p>
    <w:p w14:paraId="0CD2B683" w14:textId="77777777" w:rsidR="001C19F3" w:rsidRDefault="001C19F3" w:rsidP="001C19F3">
      <w:pPr>
        <w:pStyle w:val="ListParagraph"/>
        <w:numPr>
          <w:ilvl w:val="0"/>
          <w:numId w:val="110"/>
        </w:numPr>
        <w:spacing w:after="120"/>
        <w:ind w:left="714" w:hanging="357"/>
      </w:pPr>
      <w:r>
        <w:t>completeness and quality of data in the source practice clinical management system</w:t>
      </w:r>
    </w:p>
    <w:p w14:paraId="0AB083B4" w14:textId="77777777" w:rsidR="001C19F3" w:rsidRDefault="001C19F3" w:rsidP="001C19F3">
      <w:pPr>
        <w:pStyle w:val="ListParagraph"/>
        <w:numPr>
          <w:ilvl w:val="0"/>
          <w:numId w:val="110"/>
        </w:numPr>
        <w:spacing w:after="120"/>
        <w:ind w:left="714" w:hanging="357"/>
      </w:pPr>
      <w:r>
        <w:t>version and compatibility of the practices’ clinical and billing systems</w:t>
      </w:r>
    </w:p>
    <w:p w14:paraId="30B94823" w14:textId="77777777" w:rsidR="001C19F3" w:rsidRDefault="001C19F3" w:rsidP="001C19F3">
      <w:pPr>
        <w:pStyle w:val="ListParagraph"/>
        <w:numPr>
          <w:ilvl w:val="0"/>
          <w:numId w:val="110"/>
        </w:numPr>
        <w:spacing w:after="120"/>
        <w:ind w:left="714" w:hanging="357"/>
      </w:pPr>
      <w:r>
        <w:t>policies and procedures of the extraction, manipulation and provision of data from the different providers</w:t>
      </w:r>
    </w:p>
    <w:p w14:paraId="4F1145F3" w14:textId="77777777" w:rsidR="001C19F3" w:rsidRDefault="001C19F3" w:rsidP="001C19F3">
      <w:pPr>
        <w:pStyle w:val="ListParagraph"/>
        <w:numPr>
          <w:ilvl w:val="0"/>
          <w:numId w:val="110"/>
        </w:numPr>
        <w:spacing w:after="120"/>
        <w:ind w:left="714" w:hanging="357"/>
      </w:pPr>
      <w:r>
        <w:t>licence coverage of the practice for the data extraction software</w:t>
      </w:r>
    </w:p>
    <w:p w14:paraId="64B54FF2" w14:textId="77777777" w:rsidR="001C19F3" w:rsidRDefault="001C19F3" w:rsidP="001C19F3">
      <w:pPr>
        <w:pStyle w:val="ListParagraph"/>
        <w:numPr>
          <w:ilvl w:val="0"/>
          <w:numId w:val="110"/>
        </w:numPr>
        <w:spacing w:after="120"/>
        <w:ind w:left="714" w:hanging="357"/>
        <w:contextualSpacing w:val="0"/>
      </w:pPr>
      <w:r>
        <w:t>version and compatibility of the extraction software with the practice systems.</w:t>
      </w:r>
    </w:p>
    <w:p w14:paraId="1AC8DA7F" w14:textId="77777777" w:rsidR="001C19F3" w:rsidRDefault="001C19F3" w:rsidP="001C19F3">
      <w:r>
        <w:t>Practices may occasionally experience technical issues in connecting to billing software, resulting in a temporary lack of billing data in the extracts.</w:t>
      </w:r>
    </w:p>
    <w:p w14:paraId="2672FCFA" w14:textId="77777777" w:rsidR="001C19F3" w:rsidRPr="00F23E98" w:rsidRDefault="001C19F3" w:rsidP="001C19F3">
      <w:pPr>
        <w:pStyle w:val="Heading3"/>
      </w:pPr>
      <w:r>
        <w:t>D</w:t>
      </w:r>
      <w:r w:rsidRPr="00F23E98">
        <w:t xml:space="preserve">emographic </w:t>
      </w:r>
      <w:r>
        <w:t>information</w:t>
      </w:r>
    </w:p>
    <w:p w14:paraId="245FB732" w14:textId="77777777" w:rsidR="001C19F3" w:rsidRDefault="001C19F3" w:rsidP="001C19F3">
      <w:pPr>
        <w:rPr>
          <w:color w:val="000000"/>
          <w:shd w:val="clear" w:color="auto" w:fill="FFFFFF"/>
        </w:rPr>
      </w:pPr>
      <w:r w:rsidRPr="00D15717">
        <w:rPr>
          <w:color w:val="000000"/>
          <w:shd w:val="clear" w:color="auto" w:fill="FFFFFF"/>
        </w:rPr>
        <w:t xml:space="preserve">Patient age, gender, Indigenous status and pension status are available across all three data sources. While Pen CS and POLAR data are extracted for patients of all ages, MedicineInsight data are </w:t>
      </w:r>
      <w:r>
        <w:rPr>
          <w:color w:val="000000"/>
          <w:shd w:val="clear" w:color="auto" w:fill="FFFFFF"/>
        </w:rPr>
        <w:t>only extracted</w:t>
      </w:r>
      <w:r w:rsidRPr="00D15717">
        <w:rPr>
          <w:color w:val="000000"/>
          <w:shd w:val="clear" w:color="auto" w:fill="FFFFFF"/>
        </w:rPr>
        <w:t xml:space="preserve"> for patients aged 15 years and older. In the Pen CS data, patient geographic location was mapped to Statistical Area Level 2. In the MedicineInsight data, patient geographic location was mapped to categories of </w:t>
      </w:r>
      <w:r>
        <w:rPr>
          <w:color w:val="000000"/>
          <w:shd w:val="clear" w:color="auto" w:fill="FFFFFF"/>
        </w:rPr>
        <w:t xml:space="preserve">the </w:t>
      </w:r>
      <w:r w:rsidRPr="00D15717">
        <w:rPr>
          <w:color w:val="000000"/>
          <w:shd w:val="clear" w:color="auto" w:fill="FFFFFF"/>
        </w:rPr>
        <w:t xml:space="preserve">Australian Statistical Geography Standard Remoteness Area and deciles of Socio-Economic Indexes for Areas. POLAR data extracts do not include information on patient geographical location. </w:t>
      </w:r>
    </w:p>
    <w:p w14:paraId="0703D1BC" w14:textId="77777777" w:rsidR="001C19F3" w:rsidRPr="00147E37" w:rsidRDefault="001C19F3" w:rsidP="001C19F3">
      <w:pPr>
        <w:pStyle w:val="Heading3"/>
      </w:pPr>
      <w:r>
        <w:t>Patient observation and pathology test information</w:t>
      </w:r>
    </w:p>
    <w:p w14:paraId="3891C13C" w14:textId="77777777" w:rsidR="001C19F3" w:rsidRDefault="001C19F3" w:rsidP="001C19F3">
      <w:r>
        <w:t>The extraction and availability of data items relating to patient clinical observations and pathology tests varies among the data sources. Pen CS extraction software derives a single variable to represent each type of clinical observation or pathology test (e.g. microalbumin creatine ratio, spirometry). Derived variables for measurement of pulse, spirometry, physical activity and amount of alcohol consumption were absent from the entire Pen CS extracts provided by several practices. With POLAR and NPS MedicineInsight extracts, information about patient observations and pathology tests are extracted as they are recorded. Thus a test for microalbumin creatine ratio, for example, could have different labels such as ‘albumin/creatinine’ or ‘albumin/creatine ratio (ACR)’. While Pen CS data contain information about physical activity, and dates of smoking and alcohol consumption reviews, such information is not included in POLAR or NPS MedicineInsight extracts.</w:t>
      </w:r>
    </w:p>
    <w:p w14:paraId="4AAEED84" w14:textId="77777777" w:rsidR="001C19F3" w:rsidRPr="00147E37" w:rsidRDefault="001C19F3" w:rsidP="001C19F3">
      <w:pPr>
        <w:pStyle w:val="Heading3"/>
      </w:pPr>
      <w:r>
        <w:t>P</w:t>
      </w:r>
      <w:r w:rsidRPr="00147E37">
        <w:t>rescription</w:t>
      </w:r>
      <w:r>
        <w:t xml:space="preserve"> medicine information</w:t>
      </w:r>
    </w:p>
    <w:p w14:paraId="33DACF2C" w14:textId="77777777" w:rsidR="001C19F3" w:rsidRPr="002727BB" w:rsidRDefault="001C19F3" w:rsidP="001C19F3">
      <w:pPr>
        <w:rPr>
          <w:szCs w:val="20"/>
        </w:rPr>
      </w:pPr>
      <w:r w:rsidRPr="002727BB">
        <w:rPr>
          <w:szCs w:val="20"/>
        </w:rPr>
        <w:t>T</w:t>
      </w:r>
      <w:r>
        <w:rPr>
          <w:szCs w:val="20"/>
        </w:rPr>
        <w:t xml:space="preserve">he three data sources have different approaches to the extraction and presentation of </w:t>
      </w:r>
      <w:r w:rsidRPr="002727BB">
        <w:rPr>
          <w:szCs w:val="20"/>
        </w:rPr>
        <w:t>prescription data.</w:t>
      </w:r>
      <w:r>
        <w:rPr>
          <w:szCs w:val="20"/>
        </w:rPr>
        <w:t xml:space="preserve"> Within Pen CS, medicines in the current medications list are mapped to categories (e.g. ‘ACE inhibitors’, ‘beta blockers’) and sub-categories (e.g. ‘beta-blockers </w:t>
      </w:r>
      <w:r>
        <w:rPr>
          <w:szCs w:val="20"/>
        </w:rPr>
        <w:lastRenderedPageBreak/>
        <w:t>antihypertensives’ and ‘beta-blockers for myocardial infarction’) (</w:t>
      </w:r>
      <w:r>
        <w:rPr>
          <w:szCs w:val="20"/>
        </w:rPr>
        <w:fldChar w:fldCharType="begin"/>
      </w:r>
      <w:r>
        <w:rPr>
          <w:szCs w:val="20"/>
        </w:rPr>
        <w:instrText xml:space="preserve"> ADDIN EN.CITE &lt;EndNote&gt;&lt;Cite&gt;&lt;Author&gt;Pen CS&lt;/Author&gt;&lt;Year&gt;2019&lt;/Year&gt;&lt;RecNum&gt;2&lt;/RecNum&gt;&lt;DisplayText&gt;Pen CS, 2019&lt;/DisplayText&gt;&lt;record&gt;&lt;rec-number&gt;2&lt;/rec-number&gt;&lt;foreign-keys&gt;&lt;key app="EN" db-id="5dxzsadzad0p2sewrwupswp3fxzdrezrpa2a" timestamp="1562306460"&gt;2&lt;/key&gt;&lt;/foreign-keys&gt;&lt;ref-type name="Web Page"&gt;12&lt;/ref-type&gt;&lt;contributors&gt;&lt;authors&gt;&lt;author&gt;Pen CS,&lt;/author&gt;&lt;/authors&gt;&lt;/contributors&gt;&lt;titles&gt;&lt;title&gt;Data mapping&lt;/title&gt;&lt;/titles&gt;&lt;volume&gt;2019&lt;/volume&gt;&lt;number&gt;5 July&lt;/number&gt;&lt;dates&gt;&lt;year&gt;2019&lt;/year&gt;&lt;/dates&gt;&lt;urls&gt;&lt;related-urls&gt;&lt;url&gt;https://help.pencs.com.au/display/ADM&lt;/url&gt;&lt;/related-urls&gt;&lt;/urls&gt;&lt;/record&gt;&lt;/Cite&gt;&lt;/EndNote&gt;</w:instrText>
      </w:r>
      <w:r>
        <w:rPr>
          <w:szCs w:val="20"/>
        </w:rPr>
        <w:fldChar w:fldCharType="separate"/>
      </w:r>
      <w:r>
        <w:rPr>
          <w:noProof/>
          <w:szCs w:val="20"/>
        </w:rPr>
        <w:t>Pen CS, 2019</w:t>
      </w:r>
      <w:r>
        <w:rPr>
          <w:szCs w:val="20"/>
        </w:rPr>
        <w:fldChar w:fldCharType="end"/>
      </w:r>
      <w:r>
        <w:rPr>
          <w:szCs w:val="20"/>
        </w:rPr>
        <w:t xml:space="preserve">). Pen CS </w:t>
      </w:r>
      <w:r w:rsidRPr="005615C9">
        <w:t xml:space="preserve">has recently </w:t>
      </w:r>
      <w:r>
        <w:rPr>
          <w:szCs w:val="20"/>
        </w:rPr>
        <w:t xml:space="preserve">extracted medicine names (generic and brand </w:t>
      </w:r>
      <w:r w:rsidRPr="005615C9">
        <w:rPr>
          <w:szCs w:val="20"/>
        </w:rPr>
        <w:t>names)</w:t>
      </w:r>
      <w:r>
        <w:rPr>
          <w:szCs w:val="20"/>
        </w:rPr>
        <w:t xml:space="preserve"> </w:t>
      </w:r>
      <w:r>
        <w:t>from</w:t>
      </w:r>
      <w:r w:rsidRPr="005615C9">
        <w:t xml:space="preserve"> practices that </w:t>
      </w:r>
      <w:r>
        <w:t>use</w:t>
      </w:r>
      <w:r w:rsidRPr="005615C9">
        <w:t xml:space="preserve"> Medical Director, Best Practice or Zedmed.</w:t>
      </w:r>
      <w:r>
        <w:t xml:space="preserve"> The </w:t>
      </w:r>
      <w:r w:rsidRPr="002727BB">
        <w:rPr>
          <w:szCs w:val="20"/>
        </w:rPr>
        <w:t>POLAR</w:t>
      </w:r>
      <w:r>
        <w:rPr>
          <w:szCs w:val="20"/>
        </w:rPr>
        <w:t xml:space="preserve"> data provided for the evaluation contain </w:t>
      </w:r>
      <w:r w:rsidRPr="0060656E">
        <w:rPr>
          <w:szCs w:val="20"/>
        </w:rPr>
        <w:t xml:space="preserve">only generic </w:t>
      </w:r>
      <w:r>
        <w:rPr>
          <w:szCs w:val="20"/>
        </w:rPr>
        <w:t>and</w:t>
      </w:r>
      <w:r w:rsidRPr="0060656E">
        <w:rPr>
          <w:szCs w:val="20"/>
        </w:rPr>
        <w:t xml:space="preserve"> brand nam</w:t>
      </w:r>
      <w:r>
        <w:rPr>
          <w:szCs w:val="20"/>
        </w:rPr>
        <w:t>es of prescribed medicines. NPS MedicineInsight data include details of prescribed medicines, including names (generic and brand names), strength, dose, form, quantity, route of administration and repeat status.</w:t>
      </w:r>
    </w:p>
    <w:p w14:paraId="6C4AAC3D" w14:textId="77777777" w:rsidR="001C19F3" w:rsidRPr="00DD2AAF" w:rsidRDefault="001C19F3" w:rsidP="001C19F3">
      <w:pPr>
        <w:pStyle w:val="Heading3"/>
      </w:pPr>
      <w:r w:rsidRPr="00DD2AAF">
        <w:t>MBS billing data</w:t>
      </w:r>
    </w:p>
    <w:p w14:paraId="07BE9786" w14:textId="77777777" w:rsidR="001C19F3" w:rsidRDefault="001C19F3" w:rsidP="001C19F3">
      <w:pPr>
        <w:rPr>
          <w:szCs w:val="18"/>
        </w:rPr>
      </w:pPr>
      <w:r>
        <w:rPr>
          <w:szCs w:val="18"/>
        </w:rPr>
        <w:t xml:space="preserve">The process of extracting </w:t>
      </w:r>
      <w:r w:rsidRPr="00ED461B">
        <w:rPr>
          <w:szCs w:val="18"/>
        </w:rPr>
        <w:t xml:space="preserve">MBS billing data </w:t>
      </w:r>
      <w:r>
        <w:rPr>
          <w:szCs w:val="18"/>
        </w:rPr>
        <w:t xml:space="preserve">is supported </w:t>
      </w:r>
      <w:r w:rsidRPr="00ED461B">
        <w:rPr>
          <w:szCs w:val="18"/>
        </w:rPr>
        <w:t xml:space="preserve">when </w:t>
      </w:r>
      <w:r>
        <w:rPr>
          <w:szCs w:val="18"/>
        </w:rPr>
        <w:t xml:space="preserve">the practice </w:t>
      </w:r>
      <w:r w:rsidRPr="00ED461B">
        <w:rPr>
          <w:szCs w:val="18"/>
        </w:rPr>
        <w:t>use</w:t>
      </w:r>
      <w:r>
        <w:rPr>
          <w:szCs w:val="18"/>
        </w:rPr>
        <w:t>s</w:t>
      </w:r>
      <w:r w:rsidRPr="00ED461B">
        <w:rPr>
          <w:szCs w:val="18"/>
        </w:rPr>
        <w:t xml:space="preserve"> integrated clinical and practice management software from the same vendor</w:t>
      </w:r>
      <w:r>
        <w:rPr>
          <w:szCs w:val="18"/>
        </w:rPr>
        <w:t xml:space="preserve">, and the billing system is compatible with the data extraction software. When </w:t>
      </w:r>
      <w:r w:rsidRPr="00ED461B">
        <w:rPr>
          <w:szCs w:val="18"/>
        </w:rPr>
        <w:t>a practice change</w:t>
      </w:r>
      <w:r>
        <w:rPr>
          <w:szCs w:val="18"/>
        </w:rPr>
        <w:t>s</w:t>
      </w:r>
      <w:r w:rsidRPr="00ED461B">
        <w:rPr>
          <w:szCs w:val="18"/>
        </w:rPr>
        <w:t xml:space="preserve"> </w:t>
      </w:r>
      <w:r>
        <w:rPr>
          <w:szCs w:val="18"/>
        </w:rPr>
        <w:t xml:space="preserve">clinical and/or billing </w:t>
      </w:r>
      <w:r w:rsidRPr="00ED461B">
        <w:rPr>
          <w:szCs w:val="18"/>
        </w:rPr>
        <w:t>software</w:t>
      </w:r>
      <w:r>
        <w:rPr>
          <w:szCs w:val="18"/>
        </w:rPr>
        <w:t>,</w:t>
      </w:r>
      <w:r w:rsidRPr="00ED461B">
        <w:rPr>
          <w:szCs w:val="18"/>
        </w:rPr>
        <w:t xml:space="preserve"> this can affect the completeness of billing data over time. </w:t>
      </w:r>
      <w:r>
        <w:rPr>
          <w:szCs w:val="18"/>
        </w:rPr>
        <w:t>Extracts provided by s</w:t>
      </w:r>
      <w:r w:rsidRPr="00ED461B">
        <w:rPr>
          <w:szCs w:val="18"/>
        </w:rPr>
        <w:t>everal Pen</w:t>
      </w:r>
      <w:r>
        <w:rPr>
          <w:szCs w:val="18"/>
        </w:rPr>
        <w:t xml:space="preserve"> </w:t>
      </w:r>
      <w:r w:rsidRPr="00ED461B">
        <w:rPr>
          <w:szCs w:val="18"/>
        </w:rPr>
        <w:t>CS, POLAR</w:t>
      </w:r>
      <w:r>
        <w:rPr>
          <w:szCs w:val="18"/>
        </w:rPr>
        <w:t xml:space="preserve"> and NPS </w:t>
      </w:r>
      <w:r w:rsidRPr="00ED461B">
        <w:rPr>
          <w:szCs w:val="18"/>
        </w:rPr>
        <w:t xml:space="preserve">MedicineInsight practices </w:t>
      </w:r>
      <w:r>
        <w:rPr>
          <w:szCs w:val="18"/>
        </w:rPr>
        <w:t xml:space="preserve">do not contain </w:t>
      </w:r>
      <w:r w:rsidRPr="00ED461B">
        <w:rPr>
          <w:szCs w:val="18"/>
        </w:rPr>
        <w:t xml:space="preserve">MBS </w:t>
      </w:r>
      <w:r>
        <w:rPr>
          <w:szCs w:val="18"/>
        </w:rPr>
        <w:t xml:space="preserve">billing </w:t>
      </w:r>
      <w:r w:rsidRPr="00ED461B">
        <w:rPr>
          <w:szCs w:val="18"/>
        </w:rPr>
        <w:t xml:space="preserve">data for </w:t>
      </w:r>
      <w:r>
        <w:rPr>
          <w:szCs w:val="18"/>
        </w:rPr>
        <w:t xml:space="preserve">the </w:t>
      </w:r>
      <w:r w:rsidRPr="00ED461B">
        <w:rPr>
          <w:szCs w:val="18"/>
        </w:rPr>
        <w:t xml:space="preserve">entire </w:t>
      </w:r>
      <w:r>
        <w:rPr>
          <w:szCs w:val="18"/>
        </w:rPr>
        <w:t xml:space="preserve">time </w:t>
      </w:r>
      <w:r w:rsidRPr="00ED461B">
        <w:rPr>
          <w:szCs w:val="18"/>
        </w:rPr>
        <w:t>period.</w:t>
      </w:r>
    </w:p>
    <w:p w14:paraId="35C7B0CB" w14:textId="77777777" w:rsidR="001C19F3" w:rsidRPr="0055074D" w:rsidRDefault="001C19F3" w:rsidP="001C19F3">
      <w:pPr>
        <w:pStyle w:val="Heading3"/>
      </w:pPr>
      <w:r>
        <w:t>P</w:t>
      </w:r>
      <w:r w:rsidRPr="0055074D">
        <w:t>atient condition flags</w:t>
      </w:r>
    </w:p>
    <w:p w14:paraId="48D62FAA" w14:textId="77777777" w:rsidR="001C19F3" w:rsidRDefault="001C19F3" w:rsidP="001C19F3">
      <w:pPr>
        <w:rPr>
          <w:szCs w:val="20"/>
        </w:rPr>
      </w:pPr>
      <w:r w:rsidRPr="008D32E8">
        <w:rPr>
          <w:szCs w:val="20"/>
        </w:rPr>
        <w:t>Pen</w:t>
      </w:r>
      <w:r>
        <w:rPr>
          <w:szCs w:val="20"/>
        </w:rPr>
        <w:t xml:space="preserve"> </w:t>
      </w:r>
      <w:r w:rsidRPr="008D32E8">
        <w:rPr>
          <w:szCs w:val="20"/>
        </w:rPr>
        <w:t>CS</w:t>
      </w:r>
      <w:r>
        <w:rPr>
          <w:szCs w:val="20"/>
        </w:rPr>
        <w:t xml:space="preserve"> software extracts patient diagnosis information that is recorded in the </w:t>
      </w:r>
      <w:r w:rsidRPr="008B1A69">
        <w:rPr>
          <w:szCs w:val="18"/>
        </w:rPr>
        <w:t xml:space="preserve">pre-coded </w:t>
      </w:r>
      <w:r>
        <w:rPr>
          <w:szCs w:val="18"/>
        </w:rPr>
        <w:t>system embedded in the GP practice clinical systems (e.g. ‘</w:t>
      </w:r>
      <w:r w:rsidRPr="008B1A69">
        <w:rPr>
          <w:szCs w:val="18"/>
        </w:rPr>
        <w:t>Docle</w:t>
      </w:r>
      <w:r>
        <w:rPr>
          <w:szCs w:val="18"/>
        </w:rPr>
        <w:t>’</w:t>
      </w:r>
      <w:r w:rsidRPr="008B1A69">
        <w:rPr>
          <w:szCs w:val="18"/>
        </w:rPr>
        <w:t xml:space="preserve"> in Medical Director or </w:t>
      </w:r>
      <w:r>
        <w:rPr>
          <w:szCs w:val="18"/>
        </w:rPr>
        <w:t>‘</w:t>
      </w:r>
      <w:r w:rsidRPr="008B1A69">
        <w:rPr>
          <w:szCs w:val="18"/>
        </w:rPr>
        <w:t>Pyefinch</w:t>
      </w:r>
      <w:r>
        <w:rPr>
          <w:szCs w:val="18"/>
        </w:rPr>
        <w:t>’</w:t>
      </w:r>
      <w:r w:rsidRPr="008B1A69">
        <w:rPr>
          <w:szCs w:val="18"/>
        </w:rPr>
        <w:t xml:space="preserve"> in Best Practice</w:t>
      </w:r>
      <w:r>
        <w:rPr>
          <w:szCs w:val="18"/>
        </w:rPr>
        <w:t xml:space="preserve">). The extracted information is then mapped to more than 80 </w:t>
      </w:r>
      <w:r w:rsidRPr="00786AD4">
        <w:rPr>
          <w:szCs w:val="20"/>
        </w:rPr>
        <w:t>categor</w:t>
      </w:r>
      <w:r>
        <w:rPr>
          <w:szCs w:val="20"/>
        </w:rPr>
        <w:t xml:space="preserve">ies. Chronic </w:t>
      </w:r>
      <w:r w:rsidRPr="00786AD4">
        <w:rPr>
          <w:szCs w:val="20"/>
        </w:rPr>
        <w:t xml:space="preserve">conditions </w:t>
      </w:r>
      <w:r>
        <w:rPr>
          <w:szCs w:val="20"/>
        </w:rPr>
        <w:t>(e.g. diabetes, chronic renal failure, COPD) are classified as ‘active’</w:t>
      </w:r>
      <w:r w:rsidRPr="00786AD4">
        <w:rPr>
          <w:szCs w:val="20"/>
        </w:rPr>
        <w:t xml:space="preserve"> </w:t>
      </w:r>
      <w:r>
        <w:rPr>
          <w:szCs w:val="20"/>
        </w:rPr>
        <w:t xml:space="preserve">even if they were flagged as </w:t>
      </w:r>
      <w:r w:rsidRPr="00786AD4">
        <w:rPr>
          <w:szCs w:val="20"/>
        </w:rPr>
        <w:t xml:space="preserve">inactive </w:t>
      </w:r>
      <w:r>
        <w:rPr>
          <w:szCs w:val="20"/>
        </w:rPr>
        <w:t xml:space="preserve">in the practice clinical system. Conditions such as acute renal failure, asthma and cancer are categorised as ‘active’ </w:t>
      </w:r>
      <w:r w:rsidRPr="00786AD4">
        <w:rPr>
          <w:szCs w:val="20"/>
        </w:rPr>
        <w:t xml:space="preserve">only if they </w:t>
      </w:r>
      <w:r>
        <w:rPr>
          <w:szCs w:val="20"/>
        </w:rPr>
        <w:t>were</w:t>
      </w:r>
      <w:r w:rsidRPr="00786AD4">
        <w:rPr>
          <w:szCs w:val="20"/>
        </w:rPr>
        <w:t xml:space="preserve"> </w:t>
      </w:r>
      <w:r>
        <w:rPr>
          <w:szCs w:val="20"/>
        </w:rPr>
        <w:t xml:space="preserve">flagged as </w:t>
      </w:r>
      <w:r w:rsidRPr="00786AD4">
        <w:rPr>
          <w:szCs w:val="20"/>
        </w:rPr>
        <w:t>active</w:t>
      </w:r>
      <w:r>
        <w:rPr>
          <w:szCs w:val="20"/>
        </w:rPr>
        <w:t xml:space="preserve"> within the practice clinical management system (</w:t>
      </w:r>
      <w:r>
        <w:rPr>
          <w:szCs w:val="20"/>
        </w:rPr>
        <w:fldChar w:fldCharType="begin"/>
      </w:r>
      <w:r>
        <w:rPr>
          <w:szCs w:val="20"/>
        </w:rPr>
        <w:instrText xml:space="preserve"> ADDIN EN.CITE &lt;EndNote&gt;&lt;Cite&gt;&lt;Author&gt;Pen CS&lt;/Author&gt;&lt;Year&gt;2019&lt;/Year&gt;&lt;RecNum&gt;2&lt;/RecNum&gt;&lt;DisplayText&gt;Pen CS, 2019&lt;/DisplayText&gt;&lt;record&gt;&lt;rec-number&gt;2&lt;/rec-number&gt;&lt;foreign-keys&gt;&lt;key app="EN" db-id="5dxzsadzad0p2sewrwupswp3fxzdrezrpa2a" timestamp="1562306460"&gt;2&lt;/key&gt;&lt;/foreign-keys&gt;&lt;ref-type name="Web Page"&gt;12&lt;/ref-type&gt;&lt;contributors&gt;&lt;authors&gt;&lt;author&gt;Pen CS,&lt;/author&gt;&lt;/authors&gt;&lt;/contributors&gt;&lt;titles&gt;&lt;title&gt;Data mapping&lt;/title&gt;&lt;/titles&gt;&lt;volume&gt;2019&lt;/volume&gt;&lt;number&gt;5 July&lt;/number&gt;&lt;dates&gt;&lt;year&gt;2019&lt;/year&gt;&lt;/dates&gt;&lt;urls&gt;&lt;related-urls&gt;&lt;url&gt;https://help.pencs.com.au/display/ADM&lt;/url&gt;&lt;/related-urls&gt;&lt;/urls&gt;&lt;/record&gt;&lt;/Cite&gt;&lt;/EndNote&gt;</w:instrText>
      </w:r>
      <w:r>
        <w:rPr>
          <w:szCs w:val="20"/>
        </w:rPr>
        <w:fldChar w:fldCharType="separate"/>
      </w:r>
      <w:r>
        <w:rPr>
          <w:noProof/>
          <w:szCs w:val="20"/>
        </w:rPr>
        <w:t>Pen CS, 2019</w:t>
      </w:r>
      <w:r>
        <w:rPr>
          <w:szCs w:val="20"/>
        </w:rPr>
        <w:fldChar w:fldCharType="end"/>
      </w:r>
      <w:r>
        <w:rPr>
          <w:szCs w:val="20"/>
        </w:rPr>
        <w:t xml:space="preserve">). </w:t>
      </w:r>
    </w:p>
    <w:p w14:paraId="5BEF7761" w14:textId="77777777" w:rsidR="001C19F3" w:rsidRDefault="001C19F3" w:rsidP="001C19F3">
      <w:pPr>
        <w:rPr>
          <w:szCs w:val="20"/>
        </w:rPr>
      </w:pPr>
      <w:r w:rsidRPr="008D32E8">
        <w:rPr>
          <w:szCs w:val="20"/>
        </w:rPr>
        <w:t>With</w:t>
      </w:r>
      <w:r>
        <w:rPr>
          <w:szCs w:val="20"/>
        </w:rPr>
        <w:t>in</w:t>
      </w:r>
      <w:r w:rsidRPr="008D32E8">
        <w:rPr>
          <w:szCs w:val="20"/>
        </w:rPr>
        <w:t xml:space="preserve"> POLAR, </w:t>
      </w:r>
      <w:r>
        <w:rPr>
          <w:szCs w:val="20"/>
        </w:rPr>
        <w:t>pre-</w:t>
      </w:r>
      <w:r>
        <w:t>coded and free-text description of diagnose</w:t>
      </w:r>
      <w:r w:rsidRPr="008D32E8">
        <w:rPr>
          <w:szCs w:val="20"/>
        </w:rPr>
        <w:t xml:space="preserve">s </w:t>
      </w:r>
      <w:r>
        <w:rPr>
          <w:szCs w:val="20"/>
        </w:rPr>
        <w:t xml:space="preserve">are extracted from the practice clinical management system and </w:t>
      </w:r>
      <w:r w:rsidRPr="008D32E8">
        <w:rPr>
          <w:szCs w:val="20"/>
        </w:rPr>
        <w:t>mapped to SNOMED</w:t>
      </w:r>
      <w:r>
        <w:rPr>
          <w:szCs w:val="20"/>
        </w:rPr>
        <w:t>-CT (</w:t>
      </w:r>
      <w:r>
        <w:rPr>
          <w:szCs w:val="20"/>
        </w:rPr>
        <w:fldChar w:fldCharType="begin"/>
      </w:r>
      <w:r>
        <w:rPr>
          <w:szCs w:val="20"/>
        </w:rPr>
        <w:instrText xml:space="preserve"> ADDIN EN.CITE &lt;EndNote&gt;&lt;Cite&gt;&lt;Author&gt;Outcome Health&lt;/Author&gt;&lt;Year&gt;2019&lt;/Year&gt;&lt;RecNum&gt;1138&lt;/RecNum&gt;&lt;DisplayText&gt;Outcome Health, 2019&lt;/DisplayText&gt;&lt;record&gt;&lt;rec-number&gt;1138&lt;/rec-number&gt;&lt;foreign-keys&gt;&lt;key app="EN" db-id="zdz9xax04zr9v0evw2nvrpw9xe9ttzvs5zsv" timestamp="1571722276"&gt;1138&lt;/key&gt;&lt;/foreign-keys&gt;&lt;ref-type name="Web Page"&gt;12&lt;/ref-type&gt;&lt;contributors&gt;&lt;authors&gt;&lt;author&gt;Outcome Health,,&lt;/author&gt;&lt;/authors&gt;&lt;/contributors&gt;&lt;titles&gt;&lt;title&gt;POLAR GP&lt;/title&gt;&lt;/titles&gt;&lt;number&gt;5 July 2019&lt;/number&gt;&lt;dates&gt;&lt;year&gt;2019&lt;/year&gt;&lt;/dates&gt;&lt;urls&gt;&lt;related-urls&gt;&lt;url&gt;https://outcomehealth.org.au/polar.aspx&lt;/url&gt;&lt;/related-urls&gt;&lt;/urls&gt;&lt;/record&gt;&lt;/Cite&gt;&lt;/EndNote&gt;</w:instrText>
      </w:r>
      <w:r>
        <w:rPr>
          <w:szCs w:val="20"/>
        </w:rPr>
        <w:fldChar w:fldCharType="separate"/>
      </w:r>
      <w:r>
        <w:rPr>
          <w:noProof/>
          <w:szCs w:val="20"/>
        </w:rPr>
        <w:t>Outcome Health, 2019</w:t>
      </w:r>
      <w:r>
        <w:rPr>
          <w:szCs w:val="20"/>
        </w:rPr>
        <w:fldChar w:fldCharType="end"/>
      </w:r>
      <w:r>
        <w:rPr>
          <w:szCs w:val="20"/>
        </w:rPr>
        <w:t xml:space="preserve">). The POLAR extract includes a single field containing SNOMED-CT concept textual descriptions (rather than the SNOMED-CT ID codes) and another field indicating whether the </w:t>
      </w:r>
      <w:r w:rsidRPr="00B636D5">
        <w:rPr>
          <w:szCs w:val="20"/>
        </w:rPr>
        <w:t xml:space="preserve">diagnosis </w:t>
      </w:r>
      <w:r>
        <w:rPr>
          <w:szCs w:val="20"/>
        </w:rPr>
        <w:t>i</w:t>
      </w:r>
      <w:r w:rsidRPr="00B636D5">
        <w:rPr>
          <w:szCs w:val="20"/>
        </w:rPr>
        <w:t>s active or inactive</w:t>
      </w:r>
      <w:r>
        <w:rPr>
          <w:szCs w:val="20"/>
        </w:rPr>
        <w:t>.</w:t>
      </w:r>
      <w:r w:rsidRPr="0017518E">
        <w:rPr>
          <w:szCs w:val="20"/>
        </w:rPr>
        <w:t xml:space="preserve"> </w:t>
      </w:r>
      <w:r>
        <w:rPr>
          <w:szCs w:val="20"/>
        </w:rPr>
        <w:t>Because patient condition flags similar to those created by Pen CS and NPS MedicineInsight were not readily available in POLAR extracts, patient condition flags were created by the Centre for Big Data Research in Health based on the SNOMED-CT textual descriptions (Appendix 6).</w:t>
      </w:r>
    </w:p>
    <w:p w14:paraId="0CC3B04A" w14:textId="77777777" w:rsidR="001C19F3" w:rsidRPr="008D32E8" w:rsidRDefault="001C19F3" w:rsidP="001C19F3">
      <w:pPr>
        <w:rPr>
          <w:b/>
          <w:szCs w:val="20"/>
        </w:rPr>
      </w:pPr>
      <w:r>
        <w:rPr>
          <w:szCs w:val="20"/>
        </w:rPr>
        <w:t xml:space="preserve">NPS </w:t>
      </w:r>
      <w:r w:rsidRPr="008D32E8">
        <w:rPr>
          <w:szCs w:val="20"/>
        </w:rPr>
        <w:t>MedicineInsight</w:t>
      </w:r>
      <w:r>
        <w:rPr>
          <w:szCs w:val="20"/>
        </w:rPr>
        <w:t xml:space="preserve"> extracts both</w:t>
      </w:r>
      <w:r w:rsidRPr="008D32E8">
        <w:rPr>
          <w:szCs w:val="20"/>
        </w:rPr>
        <w:t xml:space="preserve"> </w:t>
      </w:r>
      <w:r>
        <w:rPr>
          <w:szCs w:val="20"/>
        </w:rPr>
        <w:t xml:space="preserve">pre-coded diagnoses and free-text fields (description of diagnosis, reasons for encounter and reasons for prescription). Using this </w:t>
      </w:r>
      <w:bookmarkStart w:id="508" w:name="_Hlk19090654"/>
      <w:r>
        <w:rPr>
          <w:szCs w:val="20"/>
        </w:rPr>
        <w:t xml:space="preserve">information, </w:t>
      </w:r>
      <w:bookmarkEnd w:id="508"/>
      <w:r>
        <w:rPr>
          <w:szCs w:val="20"/>
        </w:rPr>
        <w:t>NPS MedicineInsight creates flags for more than 60 different conditions. Both free-text fields and derived patient condition flags are provided for the evaluation (</w:t>
      </w:r>
      <w:r>
        <w:rPr>
          <w:szCs w:val="20"/>
        </w:rPr>
        <w:fldChar w:fldCharType="begin"/>
      </w:r>
      <w:r>
        <w:rPr>
          <w:szCs w:val="20"/>
        </w:rPr>
        <w:instrText xml:space="preserve"> ADDIN EN.CITE &lt;EndNote&gt;&lt;Cite&gt;&lt;Author&gt;NPS MedicineWise&lt;/Author&gt;&lt;Year&gt;2018&lt;/Year&gt;&lt;RecNum&gt;1136&lt;/RecNum&gt;&lt;DisplayText&gt;NPS MedicineWise, 2018&lt;/DisplayText&gt;&lt;record&gt;&lt;rec-number&gt;1136&lt;/rec-number&gt;&lt;foreign-keys&gt;&lt;key app="EN" db-id="zdz9xax04zr9v0evw2nvrpw9xe9ttzvs5zsv" timestamp="1571722096"&gt;1136&lt;/key&gt;&lt;/foreign-keys&gt;&lt;ref-type name="HPA report"&gt;40&lt;/ref-type&gt;&lt;contributors&gt;&lt;authors&gt;&lt;author&gt;NPS MedicineWise,,&lt;/author&gt;&lt;/authors&gt;&lt;/contributors&gt;&lt;titles&gt;&lt;title&gt;MedicineInsight data book version 2.1&lt;/title&gt;&lt;/titles&gt;&lt;dates&gt;&lt;year&gt;2018&lt;/year&gt;&lt;/dates&gt;&lt;pub-location&gt;Sydney&lt;/pub-location&gt;&lt;publisher&gt;NPS MedicineWise&lt;/publisher&gt;&lt;urls&gt;&lt;/urls&gt;&lt;/record&gt;&lt;/Cite&gt;&lt;/EndNote&gt;</w:instrText>
      </w:r>
      <w:r>
        <w:rPr>
          <w:szCs w:val="20"/>
        </w:rPr>
        <w:fldChar w:fldCharType="separate"/>
      </w:r>
      <w:r>
        <w:rPr>
          <w:noProof/>
          <w:szCs w:val="20"/>
        </w:rPr>
        <w:t>NPS MedicineWise, 2018</w:t>
      </w:r>
      <w:r>
        <w:rPr>
          <w:szCs w:val="20"/>
        </w:rPr>
        <w:fldChar w:fldCharType="end"/>
      </w:r>
      <w:r>
        <w:rPr>
          <w:szCs w:val="20"/>
        </w:rPr>
        <w:t>)</w:t>
      </w:r>
      <w:r w:rsidRPr="00C45FCC">
        <w:rPr>
          <w:szCs w:val="20"/>
        </w:rPr>
        <w:t>.</w:t>
      </w:r>
    </w:p>
    <w:p w14:paraId="4A4EB783" w14:textId="77777777" w:rsidR="001C19F3" w:rsidRDefault="001C19F3" w:rsidP="001C19F3">
      <w:pPr>
        <w:spacing w:after="0"/>
        <w:rPr>
          <w:szCs w:val="20"/>
        </w:rPr>
      </w:pPr>
      <w:r>
        <w:rPr>
          <w:szCs w:val="20"/>
        </w:rPr>
        <w:t>The predictive risk model</w:t>
      </w:r>
      <w:r w:rsidRPr="00D76ABF">
        <w:rPr>
          <w:szCs w:val="20"/>
        </w:rPr>
        <w:t xml:space="preserve"> (PRM)</w:t>
      </w:r>
      <w:r>
        <w:rPr>
          <w:szCs w:val="20"/>
        </w:rPr>
        <w:t xml:space="preserve"> that is part of the risk stratification tool (RST) that practices use was reviewed to determine whether patient conditions listed in the PRM could be identified using derived patient condition flags in Pen CS, POLAR and MedicineInsight data. As presented in </w:t>
      </w:r>
      <w:r w:rsidRPr="00EC32DA">
        <w:rPr>
          <w:szCs w:val="20"/>
        </w:rPr>
        <w:fldChar w:fldCharType="begin"/>
      </w:r>
      <w:r w:rsidRPr="00EC32DA">
        <w:rPr>
          <w:szCs w:val="20"/>
        </w:rPr>
        <w:instrText xml:space="preserve"> REF _Ref18851401 \h  \* MERGEFORMAT </w:instrText>
      </w:r>
      <w:r w:rsidRPr="00EC32DA">
        <w:rPr>
          <w:szCs w:val="20"/>
        </w:rPr>
      </w:r>
      <w:r w:rsidRPr="00EC32DA">
        <w:rPr>
          <w:szCs w:val="20"/>
        </w:rPr>
        <w:fldChar w:fldCharType="separate"/>
      </w:r>
      <w:r w:rsidRPr="008F2809">
        <w:rPr>
          <w:szCs w:val="20"/>
        </w:rPr>
        <w:t xml:space="preserve">Table </w:t>
      </w:r>
      <w:r w:rsidRPr="008F2809">
        <w:rPr>
          <w:noProof/>
          <w:szCs w:val="20"/>
        </w:rPr>
        <w:t>14</w:t>
      </w:r>
      <w:r w:rsidRPr="00EC32DA">
        <w:rPr>
          <w:szCs w:val="20"/>
        </w:rPr>
        <w:fldChar w:fldCharType="end"/>
      </w:r>
      <w:r>
        <w:rPr>
          <w:szCs w:val="20"/>
        </w:rPr>
        <w:t xml:space="preserve">, many PRM conditions could be identified from practice extract data, but this varied among sources. Several </w:t>
      </w:r>
      <w:r w:rsidRPr="00D76ABF">
        <w:rPr>
          <w:szCs w:val="20"/>
        </w:rPr>
        <w:t>PRM</w:t>
      </w:r>
      <w:r>
        <w:rPr>
          <w:szCs w:val="20"/>
        </w:rPr>
        <w:t xml:space="preserve"> conditions, particularly conditions of the digestive system, are not captured by patient condition flags in the extracts.</w:t>
      </w:r>
      <w:bookmarkStart w:id="509" w:name="_Ref12974413"/>
    </w:p>
    <w:p w14:paraId="48E2F202" w14:textId="77777777" w:rsidR="001C19F3" w:rsidRDefault="001C19F3" w:rsidP="001C19F3">
      <w:pPr>
        <w:spacing w:after="160" w:line="259" w:lineRule="auto"/>
        <w:rPr>
          <w:szCs w:val="20"/>
        </w:rPr>
      </w:pPr>
      <w:r>
        <w:rPr>
          <w:szCs w:val="20"/>
        </w:rPr>
        <w:br w:type="page"/>
      </w:r>
    </w:p>
    <w:p w14:paraId="456B1343" w14:textId="77777777" w:rsidR="001C19F3" w:rsidRDefault="001C19F3" w:rsidP="001C19F3">
      <w:pPr>
        <w:spacing w:after="0"/>
        <w:jc w:val="center"/>
        <w:rPr>
          <w:b/>
          <w:szCs w:val="20"/>
        </w:rPr>
      </w:pPr>
      <w:bookmarkStart w:id="510" w:name="_Ref18851401"/>
      <w:r w:rsidRPr="00E76010">
        <w:rPr>
          <w:b/>
          <w:szCs w:val="20"/>
        </w:rPr>
        <w:lastRenderedPageBreak/>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14</w:t>
      </w:r>
      <w:r w:rsidRPr="00E76010">
        <w:rPr>
          <w:szCs w:val="20"/>
        </w:rPr>
        <w:fldChar w:fldCharType="end"/>
      </w:r>
      <w:bookmarkEnd w:id="509"/>
      <w:bookmarkEnd w:id="510"/>
      <w:r w:rsidRPr="00E76010">
        <w:rPr>
          <w:b/>
          <w:szCs w:val="20"/>
        </w:rPr>
        <w:t xml:space="preserve"> – </w:t>
      </w:r>
      <w:r>
        <w:rPr>
          <w:b/>
          <w:szCs w:val="20"/>
        </w:rPr>
        <w:t xml:space="preserve">Practice data extract capture of patient conditions </w:t>
      </w:r>
      <w:r w:rsidRPr="003D00C2">
        <w:rPr>
          <w:b/>
          <w:szCs w:val="20"/>
        </w:rPr>
        <w:t xml:space="preserve">contributing to the </w:t>
      </w:r>
      <w:r>
        <w:rPr>
          <w:b/>
          <w:szCs w:val="20"/>
        </w:rPr>
        <w:t>HCH predictive risk model (PRM)</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2"/>
        <w:gridCol w:w="2615"/>
        <w:gridCol w:w="1342"/>
        <w:gridCol w:w="1129"/>
        <w:gridCol w:w="1668"/>
      </w:tblGrid>
      <w:tr w:rsidR="001C19F3" w:rsidRPr="00C17151" w14:paraId="41A5755C" w14:textId="77777777" w:rsidTr="00521305">
        <w:trPr>
          <w:cantSplit/>
          <w:trHeight w:val="284"/>
          <w:tblHeader/>
          <w:jc w:val="center"/>
        </w:trPr>
        <w:tc>
          <w:tcPr>
            <w:tcW w:w="1255" w:type="pct"/>
            <w:vMerge w:val="restart"/>
            <w:shd w:val="clear" w:color="000000" w:fill="003D79"/>
            <w:vAlign w:val="center"/>
          </w:tcPr>
          <w:p w14:paraId="37CED7B1" w14:textId="77777777" w:rsidR="001C19F3" w:rsidRPr="009E7BAF" w:rsidRDefault="001C19F3" w:rsidP="00521305">
            <w:pPr>
              <w:spacing w:after="0" w:line="240" w:lineRule="auto"/>
              <w:rPr>
                <w:rFonts w:eastAsia="Times New Roman" w:cs="Calibri"/>
                <w:b/>
                <w:bCs/>
                <w:color w:val="FFFFFF"/>
                <w:sz w:val="18"/>
                <w:szCs w:val="18"/>
                <w:lang w:eastAsia="en-AU"/>
              </w:rPr>
            </w:pPr>
            <w:r w:rsidRPr="00C17151">
              <w:rPr>
                <w:rFonts w:eastAsia="Times New Roman" w:cs="Calibri"/>
                <w:b/>
                <w:bCs/>
                <w:color w:val="FFFFFF"/>
                <w:sz w:val="18"/>
                <w:szCs w:val="18"/>
                <w:lang w:eastAsia="en-AU"/>
              </w:rPr>
              <w:t>Condition group</w:t>
            </w:r>
          </w:p>
        </w:tc>
        <w:tc>
          <w:tcPr>
            <w:tcW w:w="1450" w:type="pct"/>
            <w:vMerge w:val="restart"/>
            <w:shd w:val="clear" w:color="000000" w:fill="003D79"/>
            <w:vAlign w:val="center"/>
          </w:tcPr>
          <w:p w14:paraId="15357FCA" w14:textId="77777777" w:rsidR="001C19F3" w:rsidRPr="009E7BAF" w:rsidRDefault="001C19F3" w:rsidP="00521305">
            <w:pPr>
              <w:spacing w:after="0" w:line="240" w:lineRule="auto"/>
              <w:rPr>
                <w:rFonts w:eastAsia="Times New Roman" w:cs="Calibri"/>
                <w:b/>
                <w:bCs/>
                <w:color w:val="FFFFFF"/>
                <w:sz w:val="18"/>
                <w:szCs w:val="18"/>
                <w:lang w:eastAsia="en-AU"/>
              </w:rPr>
            </w:pPr>
            <w:r w:rsidRPr="00C17151">
              <w:rPr>
                <w:rFonts w:eastAsia="Times New Roman" w:cs="Calibri"/>
                <w:b/>
                <w:bCs/>
                <w:color w:val="FFFFFF"/>
                <w:sz w:val="18"/>
                <w:szCs w:val="18"/>
                <w:lang w:eastAsia="en-AU"/>
              </w:rPr>
              <w:t>Condition</w:t>
            </w:r>
          </w:p>
        </w:tc>
        <w:tc>
          <w:tcPr>
            <w:tcW w:w="2295" w:type="pct"/>
            <w:gridSpan w:val="3"/>
            <w:shd w:val="clear" w:color="000000" w:fill="003D79"/>
            <w:vAlign w:val="center"/>
          </w:tcPr>
          <w:p w14:paraId="40741DBB" w14:textId="77777777" w:rsidR="001C19F3" w:rsidRPr="009E7BAF" w:rsidRDefault="001C19F3" w:rsidP="00521305">
            <w:pPr>
              <w:spacing w:after="0" w:line="240" w:lineRule="auto"/>
              <w:jc w:val="center"/>
              <w:rPr>
                <w:rFonts w:eastAsia="Times New Roman" w:cs="Calibri"/>
                <w:b/>
                <w:bCs/>
                <w:color w:val="FFFFFF"/>
                <w:sz w:val="18"/>
                <w:szCs w:val="18"/>
                <w:lang w:eastAsia="en-AU"/>
              </w:rPr>
            </w:pPr>
            <w:r>
              <w:rPr>
                <w:rFonts w:eastAsia="Times New Roman" w:cs="Calibri"/>
                <w:b/>
                <w:bCs/>
                <w:color w:val="FFFFFF"/>
                <w:sz w:val="18"/>
                <w:szCs w:val="18"/>
                <w:lang w:eastAsia="en-AU"/>
              </w:rPr>
              <w:t>Source of p</w:t>
            </w:r>
            <w:r w:rsidRPr="009E7BAF">
              <w:rPr>
                <w:rFonts w:eastAsia="Times New Roman" w:cs="Calibri"/>
                <w:b/>
                <w:bCs/>
                <w:color w:val="FFFFFF"/>
                <w:sz w:val="18"/>
                <w:szCs w:val="18"/>
                <w:lang w:eastAsia="en-AU"/>
              </w:rPr>
              <w:t xml:space="preserve">ractice </w:t>
            </w:r>
            <w:r>
              <w:rPr>
                <w:rFonts w:eastAsia="Times New Roman" w:cs="Calibri"/>
                <w:b/>
                <w:bCs/>
                <w:color w:val="FFFFFF"/>
                <w:sz w:val="18"/>
                <w:szCs w:val="18"/>
                <w:lang w:eastAsia="en-AU"/>
              </w:rPr>
              <w:t xml:space="preserve">data </w:t>
            </w:r>
            <w:r w:rsidRPr="009E7BAF">
              <w:rPr>
                <w:rFonts w:eastAsia="Times New Roman" w:cs="Calibri"/>
                <w:b/>
                <w:bCs/>
                <w:color w:val="FFFFFF"/>
                <w:sz w:val="18"/>
                <w:szCs w:val="18"/>
                <w:lang w:eastAsia="en-AU"/>
              </w:rPr>
              <w:t>extract</w:t>
            </w:r>
            <w:r w:rsidRPr="00CF2267">
              <w:rPr>
                <w:rFonts w:eastAsia="Times New Roman" w:cs="Calibri"/>
                <w:b/>
                <w:bCs/>
                <w:color w:val="FFFFFF"/>
                <w:sz w:val="18"/>
                <w:szCs w:val="18"/>
                <w:vertAlign w:val="superscript"/>
                <w:lang w:eastAsia="en-AU"/>
              </w:rPr>
              <w:t>1</w:t>
            </w:r>
          </w:p>
        </w:tc>
      </w:tr>
      <w:tr w:rsidR="001C19F3" w:rsidRPr="00C17151" w14:paraId="76973D87" w14:textId="77777777" w:rsidTr="00521305">
        <w:trPr>
          <w:cantSplit/>
          <w:trHeight w:val="284"/>
          <w:tblHeader/>
          <w:jc w:val="center"/>
        </w:trPr>
        <w:tc>
          <w:tcPr>
            <w:tcW w:w="1255" w:type="pct"/>
            <w:vMerge/>
            <w:shd w:val="clear" w:color="000000" w:fill="003D79"/>
            <w:vAlign w:val="center"/>
            <w:hideMark/>
          </w:tcPr>
          <w:p w14:paraId="03942FE1" w14:textId="77777777" w:rsidR="001C19F3" w:rsidRPr="00C17151" w:rsidRDefault="001C19F3" w:rsidP="00521305">
            <w:pPr>
              <w:spacing w:after="0" w:line="240" w:lineRule="auto"/>
              <w:rPr>
                <w:rFonts w:eastAsia="Times New Roman" w:cs="Calibri"/>
                <w:b/>
                <w:bCs/>
                <w:color w:val="FFFFFF"/>
                <w:sz w:val="18"/>
                <w:szCs w:val="18"/>
                <w:lang w:eastAsia="en-AU"/>
              </w:rPr>
            </w:pPr>
          </w:p>
        </w:tc>
        <w:tc>
          <w:tcPr>
            <w:tcW w:w="1450" w:type="pct"/>
            <w:vMerge/>
            <w:shd w:val="clear" w:color="000000" w:fill="003D79"/>
            <w:vAlign w:val="center"/>
            <w:hideMark/>
          </w:tcPr>
          <w:p w14:paraId="66FD7BF7" w14:textId="77777777" w:rsidR="001C19F3" w:rsidRPr="00C17151" w:rsidRDefault="001C19F3" w:rsidP="00521305">
            <w:pPr>
              <w:spacing w:after="0" w:line="240" w:lineRule="auto"/>
              <w:rPr>
                <w:rFonts w:eastAsia="Times New Roman" w:cs="Calibri"/>
                <w:b/>
                <w:bCs/>
                <w:color w:val="FFFFFF"/>
                <w:sz w:val="18"/>
                <w:szCs w:val="18"/>
                <w:lang w:eastAsia="en-AU"/>
              </w:rPr>
            </w:pPr>
          </w:p>
        </w:tc>
        <w:tc>
          <w:tcPr>
            <w:tcW w:w="744" w:type="pct"/>
            <w:shd w:val="clear" w:color="000000" w:fill="003D79"/>
            <w:vAlign w:val="center"/>
            <w:hideMark/>
          </w:tcPr>
          <w:p w14:paraId="25899989" w14:textId="77777777" w:rsidR="001C19F3" w:rsidRPr="00C17151" w:rsidRDefault="001C19F3" w:rsidP="00521305">
            <w:pPr>
              <w:spacing w:after="0" w:line="240" w:lineRule="auto"/>
              <w:jc w:val="center"/>
              <w:rPr>
                <w:rFonts w:eastAsia="Times New Roman" w:cs="Calibri"/>
                <w:b/>
                <w:bCs/>
                <w:color w:val="FFFFFF"/>
                <w:sz w:val="18"/>
                <w:szCs w:val="18"/>
                <w:lang w:eastAsia="en-AU"/>
              </w:rPr>
            </w:pPr>
            <w:r w:rsidRPr="00C17151">
              <w:rPr>
                <w:rFonts w:eastAsia="Times New Roman" w:cs="Calibri"/>
                <w:b/>
                <w:bCs/>
                <w:color w:val="FFFFFF"/>
                <w:sz w:val="18"/>
                <w:szCs w:val="18"/>
                <w:lang w:eastAsia="en-AU"/>
              </w:rPr>
              <w:t>Pen</w:t>
            </w:r>
            <w:r>
              <w:rPr>
                <w:rFonts w:eastAsia="Times New Roman" w:cs="Calibri"/>
                <w:b/>
                <w:bCs/>
                <w:color w:val="FFFFFF"/>
                <w:sz w:val="18"/>
                <w:szCs w:val="18"/>
                <w:lang w:eastAsia="en-AU"/>
              </w:rPr>
              <w:t xml:space="preserve"> </w:t>
            </w:r>
            <w:r w:rsidRPr="00C17151">
              <w:rPr>
                <w:rFonts w:eastAsia="Times New Roman" w:cs="Calibri"/>
                <w:b/>
                <w:bCs/>
                <w:color w:val="FFFFFF"/>
                <w:sz w:val="18"/>
                <w:szCs w:val="18"/>
                <w:lang w:eastAsia="en-AU"/>
              </w:rPr>
              <w:t>CS</w:t>
            </w:r>
          </w:p>
        </w:tc>
        <w:tc>
          <w:tcPr>
            <w:tcW w:w="626" w:type="pct"/>
            <w:shd w:val="clear" w:color="000000" w:fill="003D79"/>
            <w:vAlign w:val="center"/>
            <w:hideMark/>
          </w:tcPr>
          <w:p w14:paraId="2AD3D857" w14:textId="77777777" w:rsidR="001C19F3" w:rsidRPr="00C17151" w:rsidRDefault="001C19F3" w:rsidP="00521305">
            <w:pPr>
              <w:spacing w:after="0" w:line="240" w:lineRule="auto"/>
              <w:jc w:val="center"/>
              <w:rPr>
                <w:rFonts w:eastAsia="Times New Roman" w:cs="Calibri"/>
                <w:b/>
                <w:bCs/>
                <w:color w:val="FFFFFF"/>
                <w:sz w:val="18"/>
                <w:szCs w:val="18"/>
                <w:lang w:eastAsia="en-AU"/>
              </w:rPr>
            </w:pPr>
            <w:r w:rsidRPr="00C17151">
              <w:rPr>
                <w:rFonts w:eastAsia="Times New Roman" w:cs="Calibri"/>
                <w:b/>
                <w:bCs/>
                <w:color w:val="FFFFFF"/>
                <w:sz w:val="18"/>
                <w:szCs w:val="18"/>
                <w:lang w:eastAsia="en-AU"/>
              </w:rPr>
              <w:t>POLAR</w:t>
            </w:r>
          </w:p>
        </w:tc>
        <w:tc>
          <w:tcPr>
            <w:tcW w:w="925" w:type="pct"/>
            <w:shd w:val="clear" w:color="000000" w:fill="003D79"/>
            <w:vAlign w:val="center"/>
            <w:hideMark/>
          </w:tcPr>
          <w:p w14:paraId="1C1F4498" w14:textId="77777777" w:rsidR="001C19F3" w:rsidRPr="00C17151" w:rsidRDefault="001C19F3" w:rsidP="00521305">
            <w:pPr>
              <w:spacing w:after="0" w:line="240" w:lineRule="auto"/>
              <w:jc w:val="center"/>
              <w:rPr>
                <w:rFonts w:eastAsia="Times New Roman" w:cs="Calibri"/>
                <w:b/>
                <w:bCs/>
                <w:color w:val="FFFFFF"/>
                <w:sz w:val="18"/>
                <w:szCs w:val="18"/>
                <w:lang w:eastAsia="en-AU"/>
              </w:rPr>
            </w:pPr>
            <w:r w:rsidRPr="00C17151">
              <w:rPr>
                <w:rFonts w:eastAsia="Times New Roman" w:cs="Calibri"/>
                <w:b/>
                <w:bCs/>
                <w:color w:val="FFFFFF"/>
                <w:sz w:val="18"/>
                <w:szCs w:val="18"/>
                <w:lang w:eastAsia="en-AU"/>
              </w:rPr>
              <w:t>MedicineInsight</w:t>
            </w:r>
          </w:p>
        </w:tc>
      </w:tr>
      <w:tr w:rsidR="001C19F3" w:rsidRPr="00C17151" w14:paraId="630DD636" w14:textId="77777777" w:rsidTr="00521305">
        <w:trPr>
          <w:cantSplit/>
          <w:trHeight w:val="284"/>
          <w:jc w:val="center"/>
        </w:trPr>
        <w:tc>
          <w:tcPr>
            <w:tcW w:w="1255" w:type="pct"/>
            <w:vMerge w:val="restart"/>
            <w:shd w:val="clear" w:color="auto" w:fill="auto"/>
            <w:vAlign w:val="center"/>
            <w:hideMark/>
          </w:tcPr>
          <w:p w14:paraId="23205ABB"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Respiratory</w:t>
            </w:r>
          </w:p>
        </w:tc>
        <w:tc>
          <w:tcPr>
            <w:tcW w:w="1450" w:type="pct"/>
            <w:shd w:val="clear" w:color="auto" w:fill="auto"/>
            <w:vAlign w:val="center"/>
            <w:hideMark/>
          </w:tcPr>
          <w:p w14:paraId="2B4586FC"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Asthma</w:t>
            </w:r>
          </w:p>
        </w:tc>
        <w:tc>
          <w:tcPr>
            <w:tcW w:w="744" w:type="pct"/>
            <w:shd w:val="clear" w:color="auto" w:fill="auto"/>
            <w:vAlign w:val="center"/>
            <w:hideMark/>
          </w:tcPr>
          <w:p w14:paraId="25583D3A"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45319F1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BB0A74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3038F62A" w14:textId="77777777" w:rsidTr="00521305">
        <w:trPr>
          <w:cantSplit/>
          <w:trHeight w:val="284"/>
          <w:jc w:val="center"/>
        </w:trPr>
        <w:tc>
          <w:tcPr>
            <w:tcW w:w="1255" w:type="pct"/>
            <w:vMerge/>
            <w:vAlign w:val="center"/>
            <w:hideMark/>
          </w:tcPr>
          <w:p w14:paraId="24DFAEC9"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34410E57"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Chronic obstructive pulmonary disease (COPD)</w:t>
            </w:r>
          </w:p>
        </w:tc>
        <w:tc>
          <w:tcPr>
            <w:tcW w:w="744" w:type="pct"/>
            <w:shd w:val="clear" w:color="auto" w:fill="auto"/>
            <w:vAlign w:val="center"/>
            <w:hideMark/>
          </w:tcPr>
          <w:p w14:paraId="3ECFF7B9"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4B5F3F0F"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20030DE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4C6D7268" w14:textId="77777777" w:rsidTr="00521305">
        <w:trPr>
          <w:cantSplit/>
          <w:trHeight w:val="284"/>
          <w:jc w:val="center"/>
        </w:trPr>
        <w:tc>
          <w:tcPr>
            <w:tcW w:w="1255" w:type="pct"/>
            <w:shd w:val="clear" w:color="auto" w:fill="auto"/>
            <w:vAlign w:val="center"/>
            <w:hideMark/>
          </w:tcPr>
          <w:p w14:paraId="14487949"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Atrial fibrillation</w:t>
            </w:r>
          </w:p>
        </w:tc>
        <w:tc>
          <w:tcPr>
            <w:tcW w:w="1450" w:type="pct"/>
            <w:shd w:val="clear" w:color="auto" w:fill="auto"/>
            <w:vAlign w:val="center"/>
            <w:hideMark/>
          </w:tcPr>
          <w:p w14:paraId="3B6198B2"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Atrial fibrillation</w:t>
            </w:r>
          </w:p>
        </w:tc>
        <w:tc>
          <w:tcPr>
            <w:tcW w:w="744" w:type="pct"/>
            <w:shd w:val="clear" w:color="auto" w:fill="auto"/>
            <w:vAlign w:val="center"/>
            <w:hideMark/>
          </w:tcPr>
          <w:p w14:paraId="2A2BC0D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6B91488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3F982FC5"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F7FBFDD" w14:textId="77777777" w:rsidTr="00521305">
        <w:trPr>
          <w:cantSplit/>
          <w:trHeight w:val="284"/>
          <w:jc w:val="center"/>
        </w:trPr>
        <w:tc>
          <w:tcPr>
            <w:tcW w:w="1255" w:type="pct"/>
            <w:vMerge w:val="restart"/>
            <w:shd w:val="clear" w:color="auto" w:fill="auto"/>
            <w:vAlign w:val="center"/>
            <w:hideMark/>
          </w:tcPr>
          <w:p w14:paraId="1DCAD175"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Cardiovascular</w:t>
            </w:r>
          </w:p>
        </w:tc>
        <w:tc>
          <w:tcPr>
            <w:tcW w:w="1450" w:type="pct"/>
            <w:shd w:val="clear" w:color="auto" w:fill="auto"/>
            <w:vAlign w:val="center"/>
            <w:hideMark/>
          </w:tcPr>
          <w:p w14:paraId="08D22889"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Coronary heart disease</w:t>
            </w:r>
          </w:p>
        </w:tc>
        <w:tc>
          <w:tcPr>
            <w:tcW w:w="744" w:type="pct"/>
            <w:shd w:val="clear" w:color="auto" w:fill="auto"/>
            <w:vAlign w:val="center"/>
            <w:hideMark/>
          </w:tcPr>
          <w:p w14:paraId="0169B7A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4FB68D9A"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29633F4A"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DF71C61" w14:textId="77777777" w:rsidTr="00521305">
        <w:trPr>
          <w:cantSplit/>
          <w:trHeight w:val="284"/>
          <w:jc w:val="center"/>
        </w:trPr>
        <w:tc>
          <w:tcPr>
            <w:tcW w:w="1255" w:type="pct"/>
            <w:vMerge/>
            <w:vAlign w:val="center"/>
            <w:hideMark/>
          </w:tcPr>
          <w:p w14:paraId="42F07426"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1DA4C11B"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Stroke</w:t>
            </w:r>
          </w:p>
        </w:tc>
        <w:tc>
          <w:tcPr>
            <w:tcW w:w="744" w:type="pct"/>
            <w:shd w:val="clear" w:color="auto" w:fill="auto"/>
            <w:vAlign w:val="center"/>
            <w:hideMark/>
          </w:tcPr>
          <w:p w14:paraId="5490E07B"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5500A6F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5119112"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49359759" w14:textId="77777777" w:rsidTr="00521305">
        <w:trPr>
          <w:cantSplit/>
          <w:trHeight w:val="284"/>
          <w:jc w:val="center"/>
        </w:trPr>
        <w:tc>
          <w:tcPr>
            <w:tcW w:w="1255" w:type="pct"/>
            <w:vMerge/>
            <w:vAlign w:val="center"/>
            <w:hideMark/>
          </w:tcPr>
          <w:p w14:paraId="6C08A1F5"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223A2359"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Transient ischaemic attack</w:t>
            </w:r>
          </w:p>
        </w:tc>
        <w:tc>
          <w:tcPr>
            <w:tcW w:w="744" w:type="pct"/>
            <w:shd w:val="clear" w:color="auto" w:fill="auto"/>
            <w:vAlign w:val="center"/>
            <w:hideMark/>
          </w:tcPr>
          <w:p w14:paraId="2B6AE42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3EC059D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7442FECB"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C1F6224" w14:textId="77777777" w:rsidTr="00521305">
        <w:trPr>
          <w:cantSplit/>
          <w:trHeight w:val="284"/>
          <w:jc w:val="center"/>
        </w:trPr>
        <w:tc>
          <w:tcPr>
            <w:tcW w:w="1255" w:type="pct"/>
            <w:vMerge/>
            <w:vAlign w:val="center"/>
            <w:hideMark/>
          </w:tcPr>
          <w:p w14:paraId="27FC16DD"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0D05D47C"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Congestive heart failure</w:t>
            </w:r>
          </w:p>
        </w:tc>
        <w:tc>
          <w:tcPr>
            <w:tcW w:w="744" w:type="pct"/>
            <w:shd w:val="clear" w:color="auto" w:fill="auto"/>
            <w:vAlign w:val="center"/>
            <w:hideMark/>
          </w:tcPr>
          <w:p w14:paraId="33B5555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4E98B317"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531B5F2F"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1EA68235" w14:textId="77777777" w:rsidTr="00521305">
        <w:trPr>
          <w:cantSplit/>
          <w:trHeight w:val="284"/>
          <w:jc w:val="center"/>
        </w:trPr>
        <w:tc>
          <w:tcPr>
            <w:tcW w:w="1255" w:type="pct"/>
            <w:vMerge/>
            <w:vAlign w:val="center"/>
            <w:hideMark/>
          </w:tcPr>
          <w:p w14:paraId="3B04F7A3"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489D0C05"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Rheumatic heart disease</w:t>
            </w:r>
          </w:p>
        </w:tc>
        <w:tc>
          <w:tcPr>
            <w:tcW w:w="744" w:type="pct"/>
            <w:shd w:val="clear" w:color="auto" w:fill="auto"/>
            <w:vAlign w:val="center"/>
            <w:hideMark/>
          </w:tcPr>
          <w:p w14:paraId="4BE2F38F"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5CA6835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7B08E0D7"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3AD8B4B1" w14:textId="77777777" w:rsidTr="00521305">
        <w:trPr>
          <w:cantSplit/>
          <w:trHeight w:val="284"/>
          <w:jc w:val="center"/>
        </w:trPr>
        <w:tc>
          <w:tcPr>
            <w:tcW w:w="1255" w:type="pct"/>
            <w:shd w:val="clear" w:color="auto" w:fill="auto"/>
            <w:vAlign w:val="center"/>
            <w:hideMark/>
          </w:tcPr>
          <w:p w14:paraId="74DDE685"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Osteoarthritis</w:t>
            </w:r>
          </w:p>
        </w:tc>
        <w:tc>
          <w:tcPr>
            <w:tcW w:w="1450" w:type="pct"/>
            <w:shd w:val="clear" w:color="auto" w:fill="auto"/>
            <w:vAlign w:val="center"/>
            <w:hideMark/>
          </w:tcPr>
          <w:p w14:paraId="7FE17027"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Osteoarthritis</w:t>
            </w:r>
          </w:p>
        </w:tc>
        <w:tc>
          <w:tcPr>
            <w:tcW w:w="744" w:type="pct"/>
            <w:shd w:val="clear" w:color="auto" w:fill="auto"/>
            <w:vAlign w:val="center"/>
            <w:hideMark/>
          </w:tcPr>
          <w:p w14:paraId="0698817B"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3AC0229"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8DB9465"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7745BD1F" w14:textId="77777777" w:rsidTr="00521305">
        <w:trPr>
          <w:cantSplit/>
          <w:trHeight w:val="284"/>
          <w:jc w:val="center"/>
        </w:trPr>
        <w:tc>
          <w:tcPr>
            <w:tcW w:w="1255" w:type="pct"/>
            <w:shd w:val="clear" w:color="auto" w:fill="auto"/>
            <w:vAlign w:val="center"/>
            <w:hideMark/>
          </w:tcPr>
          <w:p w14:paraId="2698C783"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Osteoporosis</w:t>
            </w:r>
          </w:p>
        </w:tc>
        <w:tc>
          <w:tcPr>
            <w:tcW w:w="1450" w:type="pct"/>
            <w:shd w:val="clear" w:color="auto" w:fill="auto"/>
            <w:vAlign w:val="center"/>
            <w:hideMark/>
          </w:tcPr>
          <w:p w14:paraId="4E2AC4EE"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Osteoporosis</w:t>
            </w:r>
          </w:p>
        </w:tc>
        <w:tc>
          <w:tcPr>
            <w:tcW w:w="744" w:type="pct"/>
            <w:shd w:val="clear" w:color="auto" w:fill="auto"/>
            <w:vAlign w:val="center"/>
            <w:hideMark/>
          </w:tcPr>
          <w:p w14:paraId="59D1BE38"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5E7B496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3ABCC7B2"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771AB283" w14:textId="77777777" w:rsidTr="00521305">
        <w:trPr>
          <w:cantSplit/>
          <w:trHeight w:val="284"/>
          <w:jc w:val="center"/>
        </w:trPr>
        <w:tc>
          <w:tcPr>
            <w:tcW w:w="1255" w:type="pct"/>
            <w:shd w:val="clear" w:color="auto" w:fill="auto"/>
            <w:vAlign w:val="center"/>
            <w:hideMark/>
          </w:tcPr>
          <w:p w14:paraId="497536B6"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Rheumatoid arthritis</w:t>
            </w:r>
          </w:p>
        </w:tc>
        <w:tc>
          <w:tcPr>
            <w:tcW w:w="1450" w:type="pct"/>
            <w:shd w:val="clear" w:color="auto" w:fill="auto"/>
            <w:vAlign w:val="center"/>
            <w:hideMark/>
          </w:tcPr>
          <w:p w14:paraId="30C0C60D"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Rheumatoid arthritis</w:t>
            </w:r>
          </w:p>
        </w:tc>
        <w:tc>
          <w:tcPr>
            <w:tcW w:w="744" w:type="pct"/>
            <w:shd w:val="clear" w:color="auto" w:fill="auto"/>
            <w:vAlign w:val="center"/>
            <w:hideMark/>
          </w:tcPr>
          <w:p w14:paraId="6E7AA3B5"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71E73F6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4F792F5C"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0C46BD12" w14:textId="77777777" w:rsidTr="00521305">
        <w:trPr>
          <w:cantSplit/>
          <w:trHeight w:val="284"/>
          <w:jc w:val="center"/>
        </w:trPr>
        <w:tc>
          <w:tcPr>
            <w:tcW w:w="1255" w:type="pct"/>
            <w:vMerge w:val="restart"/>
            <w:shd w:val="clear" w:color="auto" w:fill="auto"/>
            <w:vAlign w:val="center"/>
            <w:hideMark/>
          </w:tcPr>
          <w:p w14:paraId="563F407A" w14:textId="77777777" w:rsidR="001C19F3" w:rsidRPr="00C17151" w:rsidRDefault="001C19F3" w:rsidP="00521305">
            <w:pPr>
              <w:spacing w:after="0" w:line="240" w:lineRule="auto"/>
              <w:rPr>
                <w:rFonts w:eastAsia="Times New Roman" w:cs="Calibri"/>
                <w:sz w:val="18"/>
                <w:szCs w:val="18"/>
                <w:lang w:eastAsia="en-AU"/>
              </w:rPr>
            </w:pPr>
            <w:r w:rsidRPr="00C17151">
              <w:rPr>
                <w:rFonts w:eastAsia="Times New Roman" w:cs="Calibri"/>
                <w:b/>
                <w:bCs/>
                <w:color w:val="000000"/>
                <w:sz w:val="18"/>
                <w:szCs w:val="18"/>
                <w:lang w:eastAsia="en-AU"/>
              </w:rPr>
              <w:t>Mental health</w:t>
            </w:r>
          </w:p>
        </w:tc>
        <w:tc>
          <w:tcPr>
            <w:tcW w:w="1450" w:type="pct"/>
            <w:shd w:val="clear" w:color="auto" w:fill="auto"/>
            <w:vAlign w:val="center"/>
            <w:hideMark/>
          </w:tcPr>
          <w:p w14:paraId="53996FF2"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Depression</w:t>
            </w:r>
          </w:p>
        </w:tc>
        <w:tc>
          <w:tcPr>
            <w:tcW w:w="744" w:type="pct"/>
            <w:shd w:val="clear" w:color="auto" w:fill="auto"/>
            <w:vAlign w:val="center"/>
            <w:hideMark/>
          </w:tcPr>
          <w:p w14:paraId="406878C5"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02EDFFF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7F80D3B5"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59BAE22" w14:textId="77777777" w:rsidTr="00521305">
        <w:trPr>
          <w:cantSplit/>
          <w:trHeight w:val="284"/>
          <w:jc w:val="center"/>
        </w:trPr>
        <w:tc>
          <w:tcPr>
            <w:tcW w:w="1255" w:type="pct"/>
            <w:vMerge/>
            <w:vAlign w:val="center"/>
            <w:hideMark/>
          </w:tcPr>
          <w:p w14:paraId="10D01EC1"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1B3882F8"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Anxiety</w:t>
            </w:r>
          </w:p>
        </w:tc>
        <w:tc>
          <w:tcPr>
            <w:tcW w:w="744" w:type="pct"/>
            <w:shd w:val="clear" w:color="auto" w:fill="auto"/>
            <w:vAlign w:val="center"/>
            <w:hideMark/>
          </w:tcPr>
          <w:p w14:paraId="6205280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7ADE7142"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42ABD87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0F57FFB7" w14:textId="77777777" w:rsidTr="00521305">
        <w:trPr>
          <w:cantSplit/>
          <w:trHeight w:val="284"/>
          <w:jc w:val="center"/>
        </w:trPr>
        <w:tc>
          <w:tcPr>
            <w:tcW w:w="1255" w:type="pct"/>
            <w:vMerge/>
            <w:vAlign w:val="center"/>
            <w:hideMark/>
          </w:tcPr>
          <w:p w14:paraId="50743FF1"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16C5E87B"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Bipolar</w:t>
            </w:r>
            <w:r>
              <w:rPr>
                <w:rFonts w:eastAsia="Times New Roman" w:cs="Calibri"/>
                <w:color w:val="000000"/>
                <w:sz w:val="18"/>
                <w:szCs w:val="18"/>
                <w:lang w:eastAsia="en-AU"/>
              </w:rPr>
              <w:t xml:space="preserve"> disorder</w:t>
            </w:r>
          </w:p>
        </w:tc>
        <w:tc>
          <w:tcPr>
            <w:tcW w:w="744" w:type="pct"/>
            <w:shd w:val="clear" w:color="auto" w:fill="auto"/>
            <w:vAlign w:val="center"/>
            <w:hideMark/>
          </w:tcPr>
          <w:p w14:paraId="417467B0"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9BA9CD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771F85AC"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3B9269EA" w14:textId="77777777" w:rsidTr="00521305">
        <w:trPr>
          <w:cantSplit/>
          <w:trHeight w:val="284"/>
          <w:jc w:val="center"/>
        </w:trPr>
        <w:tc>
          <w:tcPr>
            <w:tcW w:w="1255" w:type="pct"/>
            <w:vMerge/>
            <w:vAlign w:val="center"/>
            <w:hideMark/>
          </w:tcPr>
          <w:p w14:paraId="3DF9B612"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2FCA98EC"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Schizophrenia</w:t>
            </w:r>
          </w:p>
        </w:tc>
        <w:tc>
          <w:tcPr>
            <w:tcW w:w="744" w:type="pct"/>
            <w:shd w:val="clear" w:color="auto" w:fill="auto"/>
            <w:vAlign w:val="center"/>
            <w:hideMark/>
          </w:tcPr>
          <w:p w14:paraId="0A595B0C"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1068F8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3BC5841"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29593D31" w14:textId="77777777" w:rsidTr="00521305">
        <w:trPr>
          <w:cantSplit/>
          <w:trHeight w:val="284"/>
          <w:jc w:val="center"/>
        </w:trPr>
        <w:tc>
          <w:tcPr>
            <w:tcW w:w="1255" w:type="pct"/>
            <w:vMerge/>
            <w:vAlign w:val="center"/>
            <w:hideMark/>
          </w:tcPr>
          <w:p w14:paraId="7AF6079A"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4B8E97BB"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Dementia</w:t>
            </w:r>
          </w:p>
        </w:tc>
        <w:tc>
          <w:tcPr>
            <w:tcW w:w="744" w:type="pct"/>
            <w:shd w:val="clear" w:color="auto" w:fill="auto"/>
            <w:vAlign w:val="center"/>
            <w:hideMark/>
          </w:tcPr>
          <w:p w14:paraId="385FB348"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4A6D9C89"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6A1B034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3AE837D1" w14:textId="77777777" w:rsidTr="00521305">
        <w:trPr>
          <w:cantSplit/>
          <w:trHeight w:val="284"/>
          <w:jc w:val="center"/>
        </w:trPr>
        <w:tc>
          <w:tcPr>
            <w:tcW w:w="1255" w:type="pct"/>
            <w:vMerge/>
            <w:vAlign w:val="center"/>
            <w:hideMark/>
          </w:tcPr>
          <w:p w14:paraId="5F8D5372"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4BC723AA"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Learning difficulties</w:t>
            </w:r>
          </w:p>
        </w:tc>
        <w:tc>
          <w:tcPr>
            <w:tcW w:w="744" w:type="pct"/>
            <w:shd w:val="clear" w:color="auto" w:fill="auto"/>
            <w:vAlign w:val="center"/>
            <w:hideMark/>
          </w:tcPr>
          <w:p w14:paraId="31B01623"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4B4E0D5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0C62872B" w14:textId="77777777" w:rsidR="001C19F3" w:rsidRPr="00C17151" w:rsidRDefault="001C19F3" w:rsidP="00521305">
            <w:pPr>
              <w:spacing w:after="0" w:line="240" w:lineRule="auto"/>
              <w:jc w:val="center"/>
              <w:rPr>
                <w:rFonts w:eastAsia="Times New Roman" w:cs="Calibri"/>
                <w:color w:val="000000"/>
                <w:sz w:val="18"/>
                <w:szCs w:val="18"/>
                <w:lang w:eastAsia="en-AU"/>
              </w:rPr>
            </w:pPr>
          </w:p>
        </w:tc>
      </w:tr>
      <w:tr w:rsidR="001C19F3" w:rsidRPr="00C17151" w14:paraId="01EA5A9A" w14:textId="77777777" w:rsidTr="00521305">
        <w:trPr>
          <w:cantSplit/>
          <w:trHeight w:val="284"/>
          <w:jc w:val="center"/>
        </w:trPr>
        <w:tc>
          <w:tcPr>
            <w:tcW w:w="1255" w:type="pct"/>
            <w:shd w:val="clear" w:color="auto" w:fill="auto"/>
            <w:vAlign w:val="center"/>
            <w:hideMark/>
          </w:tcPr>
          <w:p w14:paraId="79B2136E"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Cancer</w:t>
            </w:r>
          </w:p>
        </w:tc>
        <w:tc>
          <w:tcPr>
            <w:tcW w:w="1450" w:type="pct"/>
            <w:shd w:val="clear" w:color="auto" w:fill="auto"/>
            <w:vAlign w:val="center"/>
            <w:hideMark/>
          </w:tcPr>
          <w:p w14:paraId="3FA0603E"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Cancer</w:t>
            </w:r>
          </w:p>
        </w:tc>
        <w:tc>
          <w:tcPr>
            <w:tcW w:w="744" w:type="pct"/>
            <w:shd w:val="clear" w:color="auto" w:fill="auto"/>
            <w:vAlign w:val="center"/>
            <w:hideMark/>
          </w:tcPr>
          <w:p w14:paraId="0698F8FA"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Any</w:t>
            </w:r>
          </w:p>
        </w:tc>
        <w:tc>
          <w:tcPr>
            <w:tcW w:w="626" w:type="pct"/>
            <w:shd w:val="clear" w:color="auto" w:fill="auto"/>
            <w:vAlign w:val="center"/>
            <w:hideMark/>
          </w:tcPr>
          <w:p w14:paraId="3594491E" w14:textId="77777777" w:rsidR="001C19F3" w:rsidRPr="00C17151" w:rsidRDefault="001C19F3" w:rsidP="00521305">
            <w:pPr>
              <w:spacing w:after="0" w:line="240" w:lineRule="auto"/>
              <w:jc w:val="center"/>
              <w:rPr>
                <w:rFonts w:eastAsia="Times New Roman" w:cs="Calibri"/>
                <w:color w:val="000000"/>
                <w:sz w:val="18"/>
                <w:szCs w:val="18"/>
                <w:lang w:eastAsia="en-AU"/>
              </w:rPr>
            </w:pPr>
            <w:r>
              <w:rPr>
                <w:rFonts w:eastAsia="Times New Roman" w:cs="Calibri"/>
                <w:color w:val="000000"/>
                <w:sz w:val="18"/>
                <w:szCs w:val="18"/>
                <w:lang w:eastAsia="en-AU"/>
              </w:rPr>
              <w:t>Specific</w:t>
            </w:r>
          </w:p>
        </w:tc>
        <w:tc>
          <w:tcPr>
            <w:tcW w:w="925" w:type="pct"/>
            <w:shd w:val="clear" w:color="auto" w:fill="auto"/>
            <w:vAlign w:val="center"/>
            <w:hideMark/>
          </w:tcPr>
          <w:p w14:paraId="14C5C38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Any</w:t>
            </w:r>
          </w:p>
        </w:tc>
      </w:tr>
      <w:tr w:rsidR="001C19F3" w:rsidRPr="00C17151" w14:paraId="163153F2" w14:textId="77777777" w:rsidTr="00521305">
        <w:trPr>
          <w:cantSplit/>
          <w:trHeight w:val="284"/>
          <w:jc w:val="center"/>
        </w:trPr>
        <w:tc>
          <w:tcPr>
            <w:tcW w:w="1255" w:type="pct"/>
            <w:vMerge w:val="restart"/>
            <w:shd w:val="clear" w:color="auto" w:fill="auto"/>
            <w:vAlign w:val="center"/>
            <w:hideMark/>
          </w:tcPr>
          <w:p w14:paraId="16A2698A"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Digestive</w:t>
            </w:r>
          </w:p>
        </w:tc>
        <w:tc>
          <w:tcPr>
            <w:tcW w:w="1450" w:type="pct"/>
            <w:shd w:val="clear" w:color="auto" w:fill="auto"/>
            <w:vAlign w:val="center"/>
            <w:hideMark/>
          </w:tcPr>
          <w:p w14:paraId="6FB79153"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Crohn’s disease</w:t>
            </w:r>
          </w:p>
        </w:tc>
        <w:tc>
          <w:tcPr>
            <w:tcW w:w="744" w:type="pct"/>
            <w:shd w:val="clear" w:color="auto" w:fill="auto"/>
            <w:vAlign w:val="center"/>
            <w:hideMark/>
          </w:tcPr>
          <w:p w14:paraId="704F04DA"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227A080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3E928627"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05A9EF52" w14:textId="77777777" w:rsidTr="00521305">
        <w:trPr>
          <w:cantSplit/>
          <w:trHeight w:val="284"/>
          <w:jc w:val="center"/>
        </w:trPr>
        <w:tc>
          <w:tcPr>
            <w:tcW w:w="1255" w:type="pct"/>
            <w:vMerge/>
            <w:vAlign w:val="center"/>
            <w:hideMark/>
          </w:tcPr>
          <w:p w14:paraId="7D6E3337"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07AFD00D"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Ulcerative colitis</w:t>
            </w:r>
          </w:p>
        </w:tc>
        <w:tc>
          <w:tcPr>
            <w:tcW w:w="744" w:type="pct"/>
            <w:shd w:val="clear" w:color="auto" w:fill="auto"/>
            <w:vAlign w:val="center"/>
            <w:hideMark/>
          </w:tcPr>
          <w:p w14:paraId="7ECD3AFE"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225D0BE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669F3B11"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3038BDA" w14:textId="77777777" w:rsidTr="00521305">
        <w:trPr>
          <w:cantSplit/>
          <w:trHeight w:val="284"/>
          <w:jc w:val="center"/>
        </w:trPr>
        <w:tc>
          <w:tcPr>
            <w:tcW w:w="1255" w:type="pct"/>
            <w:vMerge/>
            <w:vAlign w:val="center"/>
            <w:hideMark/>
          </w:tcPr>
          <w:p w14:paraId="634EBEBB"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5EF7F0A3"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Coeliac disease</w:t>
            </w:r>
          </w:p>
        </w:tc>
        <w:tc>
          <w:tcPr>
            <w:tcW w:w="744" w:type="pct"/>
            <w:shd w:val="clear" w:color="auto" w:fill="auto"/>
            <w:vAlign w:val="center"/>
            <w:hideMark/>
          </w:tcPr>
          <w:p w14:paraId="68D77BD9"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DB71D7B"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64F2D5DE" w14:textId="77777777" w:rsidR="001C19F3" w:rsidRPr="00C17151" w:rsidRDefault="001C19F3" w:rsidP="00521305">
            <w:pPr>
              <w:spacing w:after="0" w:line="240" w:lineRule="auto"/>
              <w:jc w:val="center"/>
              <w:rPr>
                <w:rFonts w:eastAsia="Times New Roman" w:cs="Calibri"/>
                <w:color w:val="000000"/>
                <w:sz w:val="18"/>
                <w:szCs w:val="18"/>
                <w:lang w:eastAsia="en-AU"/>
              </w:rPr>
            </w:pPr>
          </w:p>
        </w:tc>
      </w:tr>
      <w:tr w:rsidR="001C19F3" w:rsidRPr="00C17151" w14:paraId="4B10E503" w14:textId="77777777" w:rsidTr="00521305">
        <w:trPr>
          <w:cantSplit/>
          <w:trHeight w:val="284"/>
          <w:jc w:val="center"/>
        </w:trPr>
        <w:tc>
          <w:tcPr>
            <w:tcW w:w="1255" w:type="pct"/>
            <w:vMerge/>
            <w:vAlign w:val="center"/>
            <w:hideMark/>
          </w:tcPr>
          <w:p w14:paraId="4A18FABE"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3B582EFA"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Steatorrhea</w:t>
            </w:r>
          </w:p>
        </w:tc>
        <w:tc>
          <w:tcPr>
            <w:tcW w:w="744" w:type="pct"/>
            <w:shd w:val="clear" w:color="auto" w:fill="auto"/>
            <w:vAlign w:val="center"/>
            <w:hideMark/>
          </w:tcPr>
          <w:p w14:paraId="410F1280"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7A457EA1"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925" w:type="pct"/>
            <w:shd w:val="clear" w:color="auto" w:fill="auto"/>
            <w:vAlign w:val="center"/>
            <w:hideMark/>
          </w:tcPr>
          <w:p w14:paraId="5717E74A" w14:textId="77777777" w:rsidR="001C19F3" w:rsidRPr="00C17151" w:rsidRDefault="001C19F3" w:rsidP="00521305">
            <w:pPr>
              <w:spacing w:after="0" w:line="240" w:lineRule="auto"/>
              <w:jc w:val="center"/>
              <w:rPr>
                <w:rFonts w:eastAsia="Times New Roman" w:cs="Calibri"/>
                <w:color w:val="000000"/>
                <w:sz w:val="18"/>
                <w:szCs w:val="18"/>
                <w:lang w:eastAsia="en-AU"/>
              </w:rPr>
            </w:pPr>
          </w:p>
        </w:tc>
      </w:tr>
      <w:tr w:rsidR="001C19F3" w:rsidRPr="00C17151" w14:paraId="6428E076" w14:textId="77777777" w:rsidTr="00521305">
        <w:trPr>
          <w:cantSplit/>
          <w:trHeight w:val="284"/>
          <w:jc w:val="center"/>
        </w:trPr>
        <w:tc>
          <w:tcPr>
            <w:tcW w:w="1255" w:type="pct"/>
            <w:vMerge/>
            <w:vAlign w:val="center"/>
            <w:hideMark/>
          </w:tcPr>
          <w:p w14:paraId="622E89D7"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2E6AF092"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Malabsorption syndrome</w:t>
            </w:r>
          </w:p>
        </w:tc>
        <w:tc>
          <w:tcPr>
            <w:tcW w:w="744" w:type="pct"/>
            <w:shd w:val="clear" w:color="auto" w:fill="auto"/>
            <w:vAlign w:val="center"/>
            <w:hideMark/>
          </w:tcPr>
          <w:p w14:paraId="579BE75B"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1307717E"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F99A3AD" w14:textId="77777777" w:rsidR="001C19F3" w:rsidRPr="00C17151" w:rsidRDefault="001C19F3" w:rsidP="00521305">
            <w:pPr>
              <w:spacing w:after="0" w:line="240" w:lineRule="auto"/>
              <w:jc w:val="center"/>
              <w:rPr>
                <w:rFonts w:eastAsia="Times New Roman" w:cs="Calibri"/>
                <w:color w:val="000000"/>
                <w:sz w:val="18"/>
                <w:szCs w:val="18"/>
                <w:lang w:eastAsia="en-AU"/>
              </w:rPr>
            </w:pPr>
          </w:p>
        </w:tc>
      </w:tr>
      <w:tr w:rsidR="001C19F3" w:rsidRPr="00C17151" w14:paraId="2952E5FA" w14:textId="77777777" w:rsidTr="00521305">
        <w:trPr>
          <w:cantSplit/>
          <w:trHeight w:val="284"/>
          <w:jc w:val="center"/>
        </w:trPr>
        <w:tc>
          <w:tcPr>
            <w:tcW w:w="1255" w:type="pct"/>
            <w:vMerge/>
            <w:vAlign w:val="center"/>
            <w:hideMark/>
          </w:tcPr>
          <w:p w14:paraId="0F380D0D"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74595AB3"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Chronic liver disease</w:t>
            </w:r>
          </w:p>
        </w:tc>
        <w:tc>
          <w:tcPr>
            <w:tcW w:w="744" w:type="pct"/>
            <w:shd w:val="clear" w:color="auto" w:fill="auto"/>
            <w:vAlign w:val="center"/>
            <w:hideMark/>
          </w:tcPr>
          <w:p w14:paraId="22F980F6"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58D521A0"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0377E32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8346913" w14:textId="77777777" w:rsidTr="00521305">
        <w:trPr>
          <w:cantSplit/>
          <w:trHeight w:val="284"/>
          <w:jc w:val="center"/>
        </w:trPr>
        <w:tc>
          <w:tcPr>
            <w:tcW w:w="1255" w:type="pct"/>
            <w:vMerge/>
            <w:vAlign w:val="center"/>
            <w:hideMark/>
          </w:tcPr>
          <w:p w14:paraId="6C4D7D3C"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73CA69B2"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Pancreatitis</w:t>
            </w:r>
          </w:p>
        </w:tc>
        <w:tc>
          <w:tcPr>
            <w:tcW w:w="744" w:type="pct"/>
            <w:shd w:val="clear" w:color="auto" w:fill="auto"/>
            <w:vAlign w:val="center"/>
            <w:hideMark/>
          </w:tcPr>
          <w:p w14:paraId="3745B818"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08B42FE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039DCFAA" w14:textId="77777777" w:rsidR="001C19F3" w:rsidRPr="00C17151" w:rsidRDefault="001C19F3" w:rsidP="00521305">
            <w:pPr>
              <w:spacing w:after="0" w:line="240" w:lineRule="auto"/>
              <w:jc w:val="center"/>
              <w:rPr>
                <w:rFonts w:eastAsia="Times New Roman" w:cs="Calibri"/>
                <w:color w:val="000000"/>
                <w:sz w:val="18"/>
                <w:szCs w:val="18"/>
                <w:lang w:eastAsia="en-AU"/>
              </w:rPr>
            </w:pPr>
          </w:p>
        </w:tc>
      </w:tr>
      <w:tr w:rsidR="001C19F3" w:rsidRPr="00C17151" w14:paraId="652A1088" w14:textId="77777777" w:rsidTr="00521305">
        <w:trPr>
          <w:cantSplit/>
          <w:trHeight w:val="284"/>
          <w:jc w:val="center"/>
        </w:trPr>
        <w:tc>
          <w:tcPr>
            <w:tcW w:w="1255" w:type="pct"/>
            <w:shd w:val="clear" w:color="auto" w:fill="auto"/>
            <w:vAlign w:val="center"/>
            <w:hideMark/>
          </w:tcPr>
          <w:p w14:paraId="6DAFE035"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Hypertension</w:t>
            </w:r>
          </w:p>
        </w:tc>
        <w:tc>
          <w:tcPr>
            <w:tcW w:w="1450" w:type="pct"/>
            <w:shd w:val="clear" w:color="auto" w:fill="auto"/>
            <w:vAlign w:val="center"/>
            <w:hideMark/>
          </w:tcPr>
          <w:p w14:paraId="0F393716"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Hypertension</w:t>
            </w:r>
          </w:p>
        </w:tc>
        <w:tc>
          <w:tcPr>
            <w:tcW w:w="744" w:type="pct"/>
            <w:shd w:val="clear" w:color="auto" w:fill="auto"/>
            <w:vAlign w:val="center"/>
            <w:hideMark/>
          </w:tcPr>
          <w:p w14:paraId="2102F4C7"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09752919"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6EB65D6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41312D23" w14:textId="77777777" w:rsidTr="00521305">
        <w:trPr>
          <w:cantSplit/>
          <w:trHeight w:val="284"/>
          <w:jc w:val="center"/>
        </w:trPr>
        <w:tc>
          <w:tcPr>
            <w:tcW w:w="1255" w:type="pct"/>
            <w:vMerge w:val="restart"/>
            <w:shd w:val="clear" w:color="auto" w:fill="auto"/>
            <w:vAlign w:val="center"/>
            <w:hideMark/>
          </w:tcPr>
          <w:p w14:paraId="19C922A0"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Blood fats</w:t>
            </w:r>
          </w:p>
        </w:tc>
        <w:tc>
          <w:tcPr>
            <w:tcW w:w="1450" w:type="pct"/>
            <w:shd w:val="clear" w:color="auto" w:fill="auto"/>
            <w:vAlign w:val="center"/>
            <w:hideMark/>
          </w:tcPr>
          <w:p w14:paraId="54421935"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Hyperlipidaemia</w:t>
            </w:r>
          </w:p>
        </w:tc>
        <w:tc>
          <w:tcPr>
            <w:tcW w:w="744" w:type="pct"/>
            <w:shd w:val="clear" w:color="auto" w:fill="auto"/>
            <w:vAlign w:val="center"/>
            <w:hideMark/>
          </w:tcPr>
          <w:p w14:paraId="06CDF23B"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5D26B18"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463514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2E826273" w14:textId="77777777" w:rsidTr="00521305">
        <w:trPr>
          <w:cantSplit/>
          <w:trHeight w:val="284"/>
          <w:jc w:val="center"/>
        </w:trPr>
        <w:tc>
          <w:tcPr>
            <w:tcW w:w="1255" w:type="pct"/>
            <w:vMerge/>
            <w:vAlign w:val="center"/>
            <w:hideMark/>
          </w:tcPr>
          <w:p w14:paraId="169D8197"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33814A95"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Hypercholesterolaemia</w:t>
            </w:r>
          </w:p>
        </w:tc>
        <w:tc>
          <w:tcPr>
            <w:tcW w:w="744" w:type="pct"/>
            <w:shd w:val="clear" w:color="auto" w:fill="auto"/>
            <w:vAlign w:val="center"/>
            <w:hideMark/>
          </w:tcPr>
          <w:p w14:paraId="02170FF9"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49CC6EC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42C22E98"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6069B00F" w14:textId="77777777" w:rsidTr="00521305">
        <w:trPr>
          <w:cantSplit/>
          <w:trHeight w:val="284"/>
          <w:jc w:val="center"/>
        </w:trPr>
        <w:tc>
          <w:tcPr>
            <w:tcW w:w="1255" w:type="pct"/>
            <w:vMerge/>
            <w:vAlign w:val="center"/>
            <w:hideMark/>
          </w:tcPr>
          <w:p w14:paraId="5B079876"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4D70DA08"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Hypertriglyceridemia</w:t>
            </w:r>
          </w:p>
        </w:tc>
        <w:tc>
          <w:tcPr>
            <w:tcW w:w="744" w:type="pct"/>
            <w:shd w:val="clear" w:color="auto" w:fill="auto"/>
            <w:vAlign w:val="center"/>
            <w:hideMark/>
          </w:tcPr>
          <w:p w14:paraId="7D6945B6"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4AA44B08"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1BDF4BBF"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022714D2" w14:textId="77777777" w:rsidTr="00521305">
        <w:trPr>
          <w:cantSplit/>
          <w:trHeight w:val="284"/>
          <w:jc w:val="center"/>
        </w:trPr>
        <w:tc>
          <w:tcPr>
            <w:tcW w:w="1255" w:type="pct"/>
            <w:shd w:val="clear" w:color="auto" w:fill="auto"/>
            <w:vAlign w:val="center"/>
            <w:hideMark/>
          </w:tcPr>
          <w:p w14:paraId="519408D7"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Chronic kidney</w:t>
            </w:r>
          </w:p>
        </w:tc>
        <w:tc>
          <w:tcPr>
            <w:tcW w:w="1450" w:type="pct"/>
            <w:shd w:val="clear" w:color="auto" w:fill="auto"/>
            <w:vAlign w:val="center"/>
            <w:hideMark/>
          </w:tcPr>
          <w:p w14:paraId="3723EE55"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Chronic kidney disease</w:t>
            </w:r>
          </w:p>
        </w:tc>
        <w:tc>
          <w:tcPr>
            <w:tcW w:w="744" w:type="pct"/>
            <w:shd w:val="clear" w:color="auto" w:fill="auto"/>
            <w:vAlign w:val="center"/>
            <w:hideMark/>
          </w:tcPr>
          <w:p w14:paraId="787AFEA1"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18758D5"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60679E0C"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316EFD2C" w14:textId="77777777" w:rsidTr="00521305">
        <w:trPr>
          <w:cantSplit/>
          <w:trHeight w:val="284"/>
          <w:jc w:val="center"/>
        </w:trPr>
        <w:tc>
          <w:tcPr>
            <w:tcW w:w="1255" w:type="pct"/>
            <w:shd w:val="clear" w:color="auto" w:fill="auto"/>
            <w:vAlign w:val="center"/>
            <w:hideMark/>
          </w:tcPr>
          <w:p w14:paraId="30566354"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Diabetes type I</w:t>
            </w:r>
          </w:p>
        </w:tc>
        <w:tc>
          <w:tcPr>
            <w:tcW w:w="1450" w:type="pct"/>
            <w:shd w:val="clear" w:color="auto" w:fill="auto"/>
            <w:vAlign w:val="center"/>
            <w:hideMark/>
          </w:tcPr>
          <w:p w14:paraId="7D2D5958"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Diabetes type I</w:t>
            </w:r>
          </w:p>
        </w:tc>
        <w:tc>
          <w:tcPr>
            <w:tcW w:w="744" w:type="pct"/>
            <w:shd w:val="clear" w:color="auto" w:fill="auto"/>
            <w:vAlign w:val="center"/>
            <w:hideMark/>
          </w:tcPr>
          <w:p w14:paraId="4FC96EEB"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7DB1013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0A887EA4"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3D5D8DDE" w14:textId="77777777" w:rsidTr="00521305">
        <w:trPr>
          <w:cantSplit/>
          <w:trHeight w:val="284"/>
          <w:jc w:val="center"/>
        </w:trPr>
        <w:tc>
          <w:tcPr>
            <w:tcW w:w="1255" w:type="pct"/>
            <w:shd w:val="clear" w:color="auto" w:fill="auto"/>
            <w:vAlign w:val="center"/>
            <w:hideMark/>
          </w:tcPr>
          <w:p w14:paraId="09F33F2E"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Diabetes type 2</w:t>
            </w:r>
          </w:p>
        </w:tc>
        <w:tc>
          <w:tcPr>
            <w:tcW w:w="1450" w:type="pct"/>
            <w:shd w:val="clear" w:color="auto" w:fill="auto"/>
            <w:vAlign w:val="center"/>
            <w:hideMark/>
          </w:tcPr>
          <w:p w14:paraId="53CB720B"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Diabetes type 2</w:t>
            </w:r>
          </w:p>
        </w:tc>
        <w:tc>
          <w:tcPr>
            <w:tcW w:w="744" w:type="pct"/>
            <w:shd w:val="clear" w:color="auto" w:fill="auto"/>
            <w:vAlign w:val="center"/>
            <w:hideMark/>
          </w:tcPr>
          <w:p w14:paraId="3EE301E3"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626" w:type="pct"/>
            <w:shd w:val="clear" w:color="auto" w:fill="auto"/>
            <w:vAlign w:val="center"/>
            <w:hideMark/>
          </w:tcPr>
          <w:p w14:paraId="25CC3EE7"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2795EAC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270EF6C7" w14:textId="77777777" w:rsidTr="00521305">
        <w:trPr>
          <w:cantSplit/>
          <w:trHeight w:val="284"/>
          <w:jc w:val="center"/>
        </w:trPr>
        <w:tc>
          <w:tcPr>
            <w:tcW w:w="1255" w:type="pct"/>
            <w:shd w:val="clear" w:color="auto" w:fill="auto"/>
            <w:vAlign w:val="center"/>
            <w:hideMark/>
          </w:tcPr>
          <w:p w14:paraId="49185DDB"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Venous thromboembolism</w:t>
            </w:r>
          </w:p>
        </w:tc>
        <w:tc>
          <w:tcPr>
            <w:tcW w:w="1450" w:type="pct"/>
            <w:shd w:val="clear" w:color="auto" w:fill="auto"/>
            <w:vAlign w:val="center"/>
            <w:hideMark/>
          </w:tcPr>
          <w:p w14:paraId="46D57D17"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Venous thromboembolism</w:t>
            </w:r>
          </w:p>
        </w:tc>
        <w:tc>
          <w:tcPr>
            <w:tcW w:w="744" w:type="pct"/>
            <w:shd w:val="clear" w:color="auto" w:fill="auto"/>
            <w:vAlign w:val="center"/>
            <w:hideMark/>
          </w:tcPr>
          <w:p w14:paraId="072CAFBB"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585E3A47"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31EE891D"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r w:rsidR="001C19F3" w:rsidRPr="00C17151" w14:paraId="51812F89" w14:textId="77777777" w:rsidTr="00521305">
        <w:trPr>
          <w:cantSplit/>
          <w:trHeight w:val="284"/>
          <w:jc w:val="center"/>
        </w:trPr>
        <w:tc>
          <w:tcPr>
            <w:tcW w:w="1255" w:type="pct"/>
            <w:vMerge w:val="restart"/>
            <w:shd w:val="clear" w:color="auto" w:fill="auto"/>
            <w:vAlign w:val="center"/>
            <w:hideMark/>
          </w:tcPr>
          <w:p w14:paraId="041DF096" w14:textId="77777777" w:rsidR="001C19F3" w:rsidRPr="00C17151" w:rsidRDefault="001C19F3" w:rsidP="00521305">
            <w:pPr>
              <w:spacing w:after="0" w:line="240" w:lineRule="auto"/>
              <w:rPr>
                <w:rFonts w:eastAsia="Times New Roman" w:cs="Calibri"/>
                <w:b/>
                <w:bCs/>
                <w:color w:val="000000"/>
                <w:sz w:val="18"/>
                <w:szCs w:val="18"/>
                <w:lang w:eastAsia="en-AU"/>
              </w:rPr>
            </w:pPr>
            <w:r w:rsidRPr="00C17151">
              <w:rPr>
                <w:rFonts w:eastAsia="Times New Roman" w:cs="Calibri"/>
                <w:b/>
                <w:bCs/>
                <w:color w:val="000000"/>
                <w:sz w:val="18"/>
                <w:szCs w:val="18"/>
                <w:lang w:eastAsia="en-AU"/>
              </w:rPr>
              <w:t>Other</w:t>
            </w:r>
          </w:p>
        </w:tc>
        <w:tc>
          <w:tcPr>
            <w:tcW w:w="1450" w:type="pct"/>
            <w:shd w:val="clear" w:color="auto" w:fill="auto"/>
            <w:vAlign w:val="center"/>
            <w:hideMark/>
          </w:tcPr>
          <w:p w14:paraId="0BA35821"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Falls</w:t>
            </w:r>
          </w:p>
        </w:tc>
        <w:tc>
          <w:tcPr>
            <w:tcW w:w="744" w:type="pct"/>
            <w:shd w:val="clear" w:color="auto" w:fill="auto"/>
            <w:vAlign w:val="center"/>
            <w:hideMark/>
          </w:tcPr>
          <w:p w14:paraId="14788EDB"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700D291E"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43EF61A1" w14:textId="77777777" w:rsidR="001C19F3" w:rsidRPr="00C17151" w:rsidRDefault="001C19F3" w:rsidP="00521305">
            <w:pPr>
              <w:spacing w:after="0" w:line="240" w:lineRule="auto"/>
              <w:jc w:val="center"/>
              <w:rPr>
                <w:rFonts w:eastAsia="Times New Roman" w:cs="Calibri"/>
                <w:color w:val="000000"/>
                <w:sz w:val="18"/>
                <w:szCs w:val="18"/>
                <w:lang w:eastAsia="en-AU"/>
              </w:rPr>
            </w:pPr>
          </w:p>
        </w:tc>
      </w:tr>
      <w:tr w:rsidR="001C19F3" w:rsidRPr="00C17151" w14:paraId="4C9B9F89" w14:textId="77777777" w:rsidTr="00521305">
        <w:trPr>
          <w:cantSplit/>
          <w:trHeight w:val="284"/>
          <w:jc w:val="center"/>
        </w:trPr>
        <w:tc>
          <w:tcPr>
            <w:tcW w:w="1255" w:type="pct"/>
            <w:vMerge/>
            <w:vAlign w:val="center"/>
            <w:hideMark/>
          </w:tcPr>
          <w:p w14:paraId="640970A3" w14:textId="77777777" w:rsidR="001C19F3" w:rsidRPr="00C17151" w:rsidRDefault="001C19F3" w:rsidP="00521305">
            <w:pPr>
              <w:spacing w:after="0" w:line="240" w:lineRule="auto"/>
              <w:rPr>
                <w:rFonts w:eastAsia="Times New Roman" w:cs="Calibri"/>
                <w:b/>
                <w:bCs/>
                <w:color w:val="000000"/>
                <w:sz w:val="18"/>
                <w:szCs w:val="18"/>
                <w:lang w:eastAsia="en-AU"/>
              </w:rPr>
            </w:pPr>
          </w:p>
        </w:tc>
        <w:tc>
          <w:tcPr>
            <w:tcW w:w="1450" w:type="pct"/>
            <w:shd w:val="clear" w:color="auto" w:fill="auto"/>
            <w:vAlign w:val="center"/>
            <w:hideMark/>
          </w:tcPr>
          <w:p w14:paraId="5932FD32" w14:textId="77777777" w:rsidR="001C19F3" w:rsidRPr="00C17151" w:rsidRDefault="001C19F3" w:rsidP="00521305">
            <w:pPr>
              <w:spacing w:after="0" w:line="240" w:lineRule="auto"/>
              <w:rPr>
                <w:rFonts w:eastAsia="Times New Roman" w:cs="Calibri"/>
                <w:color w:val="000000"/>
                <w:sz w:val="18"/>
                <w:szCs w:val="18"/>
                <w:lang w:eastAsia="en-AU"/>
              </w:rPr>
            </w:pPr>
            <w:r w:rsidRPr="00C17151">
              <w:rPr>
                <w:rFonts w:eastAsia="Times New Roman" w:cs="Calibri"/>
                <w:color w:val="000000"/>
                <w:sz w:val="18"/>
                <w:szCs w:val="18"/>
                <w:lang w:eastAsia="en-AU"/>
              </w:rPr>
              <w:t>Epilepsy</w:t>
            </w:r>
          </w:p>
        </w:tc>
        <w:tc>
          <w:tcPr>
            <w:tcW w:w="744" w:type="pct"/>
            <w:shd w:val="clear" w:color="auto" w:fill="auto"/>
            <w:vAlign w:val="center"/>
            <w:hideMark/>
          </w:tcPr>
          <w:p w14:paraId="14285B28" w14:textId="77777777" w:rsidR="001C19F3" w:rsidRPr="00C17151" w:rsidRDefault="001C19F3" w:rsidP="00521305">
            <w:pPr>
              <w:spacing w:after="0" w:line="240" w:lineRule="auto"/>
              <w:jc w:val="center"/>
              <w:rPr>
                <w:rFonts w:eastAsia="Times New Roman" w:cs="Calibri"/>
                <w:color w:val="000000"/>
                <w:sz w:val="18"/>
                <w:szCs w:val="18"/>
                <w:lang w:eastAsia="en-AU"/>
              </w:rPr>
            </w:pPr>
          </w:p>
        </w:tc>
        <w:tc>
          <w:tcPr>
            <w:tcW w:w="626" w:type="pct"/>
            <w:shd w:val="clear" w:color="auto" w:fill="auto"/>
            <w:vAlign w:val="center"/>
            <w:hideMark/>
          </w:tcPr>
          <w:p w14:paraId="6B3DC7E6"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c>
          <w:tcPr>
            <w:tcW w:w="925" w:type="pct"/>
            <w:shd w:val="clear" w:color="auto" w:fill="auto"/>
            <w:vAlign w:val="center"/>
            <w:hideMark/>
          </w:tcPr>
          <w:p w14:paraId="3C2AAF80" w14:textId="77777777" w:rsidR="001C19F3" w:rsidRPr="00C17151" w:rsidRDefault="001C19F3" w:rsidP="00521305">
            <w:pPr>
              <w:spacing w:after="0" w:line="240" w:lineRule="auto"/>
              <w:jc w:val="center"/>
              <w:rPr>
                <w:rFonts w:eastAsia="Times New Roman" w:cs="Calibri"/>
                <w:color w:val="000000"/>
                <w:sz w:val="18"/>
                <w:szCs w:val="18"/>
                <w:lang w:eastAsia="en-AU"/>
              </w:rPr>
            </w:pPr>
            <w:r w:rsidRPr="00C17151">
              <w:rPr>
                <w:rFonts w:eastAsia="Times New Roman" w:cs="Calibri"/>
                <w:color w:val="000000"/>
                <w:sz w:val="18"/>
                <w:szCs w:val="18"/>
                <w:lang w:eastAsia="en-AU"/>
              </w:rPr>
              <w:t>√</w:t>
            </w:r>
          </w:p>
        </w:tc>
      </w:tr>
    </w:tbl>
    <w:p w14:paraId="0944230A" w14:textId="77777777" w:rsidR="001C19F3" w:rsidRPr="006C20C8" w:rsidRDefault="001C19F3" w:rsidP="001C19F3">
      <w:pPr>
        <w:pStyle w:val="Chartortablefootnote"/>
      </w:pPr>
      <w:r w:rsidRPr="00CF2267">
        <w:rPr>
          <w:vertAlign w:val="superscript"/>
        </w:rPr>
        <w:t>1</w:t>
      </w:r>
      <w:r w:rsidRPr="006C20C8">
        <w:t xml:space="preserve">A tick indicates a patient with a condition could be identified from the practice extract data based on derived patient condition flags. See Appendix </w:t>
      </w:r>
      <w:r>
        <w:t xml:space="preserve">6 </w:t>
      </w:r>
      <w:r w:rsidRPr="006C20C8">
        <w:t>for the SNOMED-CT concept textual descriptions relating to POLAR data.</w:t>
      </w:r>
    </w:p>
    <w:p w14:paraId="1600E910" w14:textId="77777777" w:rsidR="001C19F3" w:rsidRDefault="001C19F3" w:rsidP="001C19F3">
      <w:r>
        <w:rPr>
          <w:szCs w:val="20"/>
        </w:rPr>
        <w:t>Between-source v</w:t>
      </w:r>
      <w:r w:rsidRPr="00FB7C27">
        <w:rPr>
          <w:szCs w:val="20"/>
        </w:rPr>
        <w:t>ariation</w:t>
      </w:r>
      <w:r>
        <w:rPr>
          <w:szCs w:val="20"/>
        </w:rPr>
        <w:t>s</w:t>
      </w:r>
      <w:r w:rsidRPr="00FB7C27">
        <w:rPr>
          <w:szCs w:val="20"/>
        </w:rPr>
        <w:t xml:space="preserve"> </w:t>
      </w:r>
      <w:r>
        <w:rPr>
          <w:szCs w:val="20"/>
        </w:rPr>
        <w:t xml:space="preserve">may lead to differential identification of patients with a condition, which is likely relevant for the comparisons of evaluation outcomes between enrolled patients and their counterparts in non-HCH comparator practices. To understand the likely implications, we estimated prevalence of 21 conditions that are part of the PRM for HCH and commonly identifiable across the three data sources </w:t>
      </w:r>
      <w:r w:rsidRPr="00967E29">
        <w:rPr>
          <w:szCs w:val="20"/>
        </w:rPr>
        <w:t>(</w:t>
      </w:r>
      <w:r>
        <w:rPr>
          <w:szCs w:val="20"/>
        </w:rPr>
        <w:fldChar w:fldCharType="begin"/>
      </w:r>
      <w:r>
        <w:rPr>
          <w:szCs w:val="20"/>
        </w:rPr>
        <w:instrText xml:space="preserve"> REF _Ref26892892 \h  \* MERGEFORMAT </w:instrText>
      </w:r>
      <w:r>
        <w:rPr>
          <w:szCs w:val="20"/>
        </w:rPr>
      </w:r>
      <w:r>
        <w:rPr>
          <w:szCs w:val="20"/>
        </w:rPr>
        <w:fldChar w:fldCharType="separate"/>
      </w:r>
      <w:r w:rsidRPr="008F2809">
        <w:rPr>
          <w:szCs w:val="20"/>
        </w:rPr>
        <w:t>Table 16</w:t>
      </w:r>
      <w:r>
        <w:rPr>
          <w:szCs w:val="20"/>
        </w:rPr>
        <w:fldChar w:fldCharType="end"/>
      </w:r>
      <w:r w:rsidRPr="00967E29">
        <w:rPr>
          <w:szCs w:val="20"/>
        </w:rPr>
        <w:t>)</w:t>
      </w:r>
      <w:r>
        <w:rPr>
          <w:szCs w:val="20"/>
        </w:rPr>
        <w:t xml:space="preserve">. </w:t>
      </w:r>
      <w:r w:rsidRPr="000A3153">
        <w:rPr>
          <w:szCs w:val="20"/>
        </w:rPr>
        <w:t xml:space="preserve">The analysis was conducted </w:t>
      </w:r>
      <w:r>
        <w:rPr>
          <w:szCs w:val="20"/>
        </w:rPr>
        <w:lastRenderedPageBreak/>
        <w:t>in cohorts of ‘practice active patients’</w:t>
      </w:r>
      <w:r w:rsidRPr="000A3153">
        <w:rPr>
          <w:szCs w:val="20"/>
        </w:rPr>
        <w:t xml:space="preserve"> identified from the three data sources, regardless</w:t>
      </w:r>
      <w:r>
        <w:t xml:space="preserve"> of their HCH enrolment. In this analysis, ACCHS were not included because Pen CS flags for patient mental health conditions, atrial fibrillation and cancer are absent for most ACCHS. </w:t>
      </w:r>
    </w:p>
    <w:p w14:paraId="3BF9C7A8" w14:textId="77777777" w:rsidR="001C19F3" w:rsidRDefault="001C19F3" w:rsidP="001C19F3">
      <w:pPr>
        <w:rPr>
          <w:szCs w:val="18"/>
        </w:rPr>
      </w:pPr>
      <w:r w:rsidRPr="00497B1C">
        <w:t xml:space="preserve">According to </w:t>
      </w:r>
      <w:r>
        <w:t xml:space="preserve">the </w:t>
      </w:r>
      <w:r w:rsidRPr="00F14EC4">
        <w:t>Royal Australian College of General Practitioners</w:t>
      </w:r>
      <w:r>
        <w:t>,</w:t>
      </w:r>
      <w:r w:rsidRPr="00497B1C">
        <w:t xml:space="preserve"> a </w:t>
      </w:r>
      <w:r>
        <w:t>‘</w:t>
      </w:r>
      <w:r w:rsidRPr="00497B1C">
        <w:t>practice active patient</w:t>
      </w:r>
      <w:r>
        <w:t>’</w:t>
      </w:r>
      <w:r w:rsidRPr="00497B1C">
        <w:t xml:space="preserve"> is defined as </w:t>
      </w:r>
      <w:r>
        <w:t>“</w:t>
      </w:r>
      <w:r w:rsidRPr="006E477B">
        <w:rPr>
          <w:i/>
        </w:rPr>
        <w:t>a patient who has attended the practice/service three or more times in the past 2 years</w:t>
      </w:r>
      <w:r w:rsidRPr="00497B1C">
        <w:t>”</w:t>
      </w:r>
      <w:r>
        <w:t xml:space="preserve"> (</w:t>
      </w:r>
      <w:r>
        <w:fldChar w:fldCharType="begin"/>
      </w:r>
      <w:r>
        <w:instrText xml:space="preserve"> ADDIN EN.CITE &lt;EndNote&gt;&lt;Cite&gt;&lt;Author&gt;Royal Australian College of General Practitioners&lt;/Author&gt;&lt;Year&gt;2017&lt;/Year&gt;&lt;RecNum&gt;1139&lt;/RecNum&gt;&lt;DisplayText&gt;Royal Australian College of General Practitioners, 2017&lt;/DisplayText&gt;&lt;record&gt;&lt;rec-number&gt;1139&lt;/rec-number&gt;&lt;foreign-keys&gt;&lt;key app="EN" db-id="zdz9xax04zr9v0evw2nvrpw9xe9ttzvs5zsv" timestamp="1571722381"&gt;1139&lt;/key&gt;&lt;/foreign-keys&gt;&lt;ref-type name="HPA report"&gt;40&lt;/ref-type&gt;&lt;contributors&gt;&lt;authors&gt;&lt;author&gt;Royal Australian College of General Practitioners,,&lt;/author&gt;&lt;/authors&gt;&lt;/contributors&gt;&lt;titles&gt;&lt;title&gt;Standards for general practices 5th edition&lt;/title&gt;&lt;/titles&gt;&lt;dates&gt;&lt;year&gt;2017&lt;/year&gt;&lt;/dates&gt;&lt;pub-location&gt;Melbourne&lt;/pub-location&gt;&lt;publisher&gt;RACGP&lt;/publisher&gt;&lt;urls&gt;&lt;/urls&gt;&lt;/record&gt;&lt;/Cite&gt;&lt;/EndNote&gt;</w:instrText>
      </w:r>
      <w:r>
        <w:fldChar w:fldCharType="separate"/>
      </w:r>
      <w:r>
        <w:rPr>
          <w:noProof/>
        </w:rPr>
        <w:t>Royal Australian College of General Practitioners, 2017</w:t>
      </w:r>
      <w:r>
        <w:fldChar w:fldCharType="end"/>
      </w:r>
      <w:r>
        <w:t>).</w:t>
      </w:r>
      <w:r w:rsidRPr="00BA39C6">
        <w:rPr>
          <w:szCs w:val="18"/>
        </w:rPr>
        <w:t xml:space="preserve"> </w:t>
      </w:r>
      <w:r>
        <w:rPr>
          <w:szCs w:val="18"/>
        </w:rPr>
        <w:t xml:space="preserve">In conversations with NPS MedicineWise, it was realised that defining a GP consultation using information from the practice ‘encounter’ table would be challenging, because an </w:t>
      </w:r>
      <w:r w:rsidRPr="00BA39C6">
        <w:rPr>
          <w:szCs w:val="18"/>
        </w:rPr>
        <w:t xml:space="preserve">encounter record may </w:t>
      </w:r>
      <w:r>
        <w:rPr>
          <w:szCs w:val="18"/>
        </w:rPr>
        <w:t xml:space="preserve">be generated for an </w:t>
      </w:r>
      <w:r w:rsidRPr="00BA39C6">
        <w:rPr>
          <w:szCs w:val="18"/>
        </w:rPr>
        <w:t xml:space="preserve">administrative </w:t>
      </w:r>
      <w:r>
        <w:rPr>
          <w:szCs w:val="18"/>
        </w:rPr>
        <w:t xml:space="preserve">task (e.g. </w:t>
      </w:r>
      <w:r w:rsidRPr="00BA39C6">
        <w:rPr>
          <w:szCs w:val="18"/>
        </w:rPr>
        <w:t>reviewing or updating a patient</w:t>
      </w:r>
      <w:r>
        <w:rPr>
          <w:szCs w:val="18"/>
        </w:rPr>
        <w:t>’s</w:t>
      </w:r>
      <w:r w:rsidRPr="00BA39C6">
        <w:rPr>
          <w:szCs w:val="18"/>
        </w:rPr>
        <w:t xml:space="preserve"> </w:t>
      </w:r>
      <w:r>
        <w:rPr>
          <w:szCs w:val="18"/>
        </w:rPr>
        <w:t>contact details) and multiple encounter records relating to a single GP visit can be generated in a day. Hence, slightly different approaches have been used to flag a patient as ‘practice active patient’ at the time of extraction.</w:t>
      </w:r>
    </w:p>
    <w:p w14:paraId="786D3E63" w14:textId="77777777" w:rsidR="001C19F3" w:rsidRDefault="001C19F3" w:rsidP="001C19F3">
      <w:pPr>
        <w:spacing w:after="0"/>
        <w:jc w:val="center"/>
        <w:rPr>
          <w:b/>
          <w:szCs w:val="20"/>
        </w:rPr>
      </w:pPr>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15</w:t>
      </w:r>
      <w:r w:rsidRPr="00E76010">
        <w:rPr>
          <w:szCs w:val="20"/>
        </w:rPr>
        <w:fldChar w:fldCharType="end"/>
      </w:r>
      <w:r w:rsidRPr="00E76010">
        <w:rPr>
          <w:b/>
          <w:szCs w:val="20"/>
        </w:rPr>
        <w:t xml:space="preserve"> – </w:t>
      </w:r>
      <w:r>
        <w:rPr>
          <w:b/>
          <w:szCs w:val="20"/>
        </w:rPr>
        <w:t>Practice active patient definition by extraction software</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0"/>
        <w:gridCol w:w="3008"/>
        <w:gridCol w:w="3008"/>
      </w:tblGrid>
      <w:tr w:rsidR="001C19F3" w:rsidRPr="009E7BAF" w14:paraId="09F8EC8B" w14:textId="77777777" w:rsidTr="00521305">
        <w:trPr>
          <w:cantSplit/>
          <w:trHeight w:val="284"/>
          <w:tblHeader/>
          <w:jc w:val="center"/>
        </w:trPr>
        <w:tc>
          <w:tcPr>
            <w:tcW w:w="5000" w:type="pct"/>
            <w:gridSpan w:val="3"/>
            <w:shd w:val="clear" w:color="000000" w:fill="003D79"/>
            <w:vAlign w:val="center"/>
          </w:tcPr>
          <w:p w14:paraId="11FF4B50" w14:textId="77777777" w:rsidR="001C19F3" w:rsidRPr="00CF2267" w:rsidRDefault="001C19F3" w:rsidP="00521305">
            <w:pPr>
              <w:spacing w:after="0" w:line="240" w:lineRule="auto"/>
              <w:rPr>
                <w:rFonts w:eastAsia="Times New Roman" w:cs="Calibri"/>
                <w:b/>
                <w:bCs/>
                <w:color w:val="FFFFFF"/>
                <w:sz w:val="18"/>
                <w:szCs w:val="18"/>
                <w:lang w:eastAsia="en-AU"/>
              </w:rPr>
            </w:pPr>
            <w:r w:rsidRPr="00CF2267">
              <w:rPr>
                <w:rFonts w:eastAsia="Times New Roman" w:cs="Calibri"/>
                <w:b/>
                <w:bCs/>
                <w:color w:val="FFFFFF"/>
                <w:sz w:val="18"/>
                <w:szCs w:val="18"/>
                <w:lang w:eastAsia="en-AU"/>
              </w:rPr>
              <w:t>‘Practice active patient’</w:t>
            </w:r>
          </w:p>
        </w:tc>
      </w:tr>
      <w:tr w:rsidR="001C19F3" w:rsidRPr="00C17151" w14:paraId="0A0EBD9B" w14:textId="77777777" w:rsidTr="00521305">
        <w:trPr>
          <w:cantSplit/>
          <w:trHeight w:val="284"/>
          <w:tblHeader/>
          <w:jc w:val="center"/>
        </w:trPr>
        <w:tc>
          <w:tcPr>
            <w:tcW w:w="1664" w:type="pct"/>
            <w:shd w:val="clear" w:color="000000" w:fill="003D79"/>
            <w:vAlign w:val="center"/>
            <w:hideMark/>
          </w:tcPr>
          <w:p w14:paraId="2D9757FB" w14:textId="77777777" w:rsidR="001C19F3" w:rsidRPr="00C17151" w:rsidRDefault="001C19F3" w:rsidP="00521305">
            <w:pPr>
              <w:spacing w:after="0" w:line="240" w:lineRule="auto"/>
              <w:jc w:val="center"/>
              <w:rPr>
                <w:rFonts w:eastAsia="Times New Roman" w:cs="Calibri"/>
                <w:b/>
                <w:bCs/>
                <w:color w:val="FFFFFF"/>
                <w:sz w:val="18"/>
                <w:szCs w:val="18"/>
                <w:lang w:eastAsia="en-AU"/>
              </w:rPr>
            </w:pPr>
            <w:r w:rsidRPr="00C17151">
              <w:rPr>
                <w:rFonts w:eastAsia="Times New Roman" w:cs="Calibri"/>
                <w:b/>
                <w:bCs/>
                <w:color w:val="FFFFFF"/>
                <w:sz w:val="18"/>
                <w:szCs w:val="18"/>
                <w:lang w:eastAsia="en-AU"/>
              </w:rPr>
              <w:t>Pen</w:t>
            </w:r>
            <w:r>
              <w:rPr>
                <w:rFonts w:eastAsia="Times New Roman" w:cs="Calibri"/>
                <w:b/>
                <w:bCs/>
                <w:color w:val="FFFFFF"/>
                <w:sz w:val="18"/>
                <w:szCs w:val="18"/>
                <w:lang w:eastAsia="en-AU"/>
              </w:rPr>
              <w:t xml:space="preserve"> </w:t>
            </w:r>
            <w:r w:rsidRPr="00C17151">
              <w:rPr>
                <w:rFonts w:eastAsia="Times New Roman" w:cs="Calibri"/>
                <w:b/>
                <w:bCs/>
                <w:color w:val="FFFFFF"/>
                <w:sz w:val="18"/>
                <w:szCs w:val="18"/>
                <w:lang w:eastAsia="en-AU"/>
              </w:rPr>
              <w:t>CS</w:t>
            </w:r>
          </w:p>
        </w:tc>
        <w:tc>
          <w:tcPr>
            <w:tcW w:w="1668" w:type="pct"/>
            <w:shd w:val="clear" w:color="000000" w:fill="003D79"/>
            <w:vAlign w:val="center"/>
            <w:hideMark/>
          </w:tcPr>
          <w:p w14:paraId="2216F69A" w14:textId="77777777" w:rsidR="001C19F3" w:rsidRPr="00CF2267" w:rsidRDefault="001C19F3" w:rsidP="00521305">
            <w:pPr>
              <w:spacing w:after="0" w:line="240" w:lineRule="auto"/>
              <w:jc w:val="center"/>
              <w:rPr>
                <w:rFonts w:eastAsia="Times New Roman" w:cs="Calibri"/>
                <w:b/>
                <w:bCs/>
                <w:color w:val="FFFFFF"/>
                <w:sz w:val="18"/>
                <w:szCs w:val="18"/>
                <w:lang w:eastAsia="en-AU"/>
              </w:rPr>
            </w:pPr>
            <w:r w:rsidRPr="00CF2267">
              <w:rPr>
                <w:rFonts w:eastAsia="Times New Roman" w:cs="Calibri"/>
                <w:b/>
                <w:bCs/>
                <w:color w:val="FFFFFF"/>
                <w:sz w:val="18"/>
                <w:szCs w:val="18"/>
                <w:lang w:eastAsia="en-AU"/>
              </w:rPr>
              <w:t>MedicineInsight</w:t>
            </w:r>
          </w:p>
        </w:tc>
        <w:tc>
          <w:tcPr>
            <w:tcW w:w="1668" w:type="pct"/>
            <w:shd w:val="clear" w:color="000000" w:fill="003D79"/>
            <w:vAlign w:val="center"/>
            <w:hideMark/>
          </w:tcPr>
          <w:p w14:paraId="65FF312F" w14:textId="77777777" w:rsidR="001C19F3" w:rsidRPr="00CF2267" w:rsidRDefault="001C19F3" w:rsidP="00521305">
            <w:pPr>
              <w:spacing w:after="0" w:line="240" w:lineRule="auto"/>
              <w:jc w:val="center"/>
              <w:rPr>
                <w:rFonts w:eastAsia="Times New Roman" w:cs="Calibri"/>
                <w:b/>
                <w:bCs/>
                <w:color w:val="FFFFFF"/>
                <w:sz w:val="18"/>
                <w:szCs w:val="18"/>
                <w:lang w:eastAsia="en-AU"/>
              </w:rPr>
            </w:pPr>
            <w:r w:rsidRPr="00CF2267">
              <w:rPr>
                <w:rFonts w:eastAsia="Times New Roman" w:cs="Calibri"/>
                <w:b/>
                <w:bCs/>
                <w:color w:val="FFFFFF"/>
                <w:sz w:val="18"/>
                <w:szCs w:val="18"/>
                <w:lang w:eastAsia="en-AU"/>
              </w:rPr>
              <w:t>POLAR</w:t>
            </w:r>
          </w:p>
        </w:tc>
      </w:tr>
      <w:tr w:rsidR="001C19F3" w:rsidRPr="00C17151" w14:paraId="0253F079" w14:textId="77777777" w:rsidTr="00521305">
        <w:trPr>
          <w:cantSplit/>
          <w:trHeight w:val="284"/>
          <w:jc w:val="center"/>
        </w:trPr>
        <w:tc>
          <w:tcPr>
            <w:tcW w:w="1664" w:type="pct"/>
            <w:shd w:val="clear" w:color="auto" w:fill="auto"/>
          </w:tcPr>
          <w:p w14:paraId="728C9B81" w14:textId="77777777" w:rsidR="001C19F3" w:rsidRDefault="001C19F3" w:rsidP="00521305">
            <w:pPr>
              <w:rPr>
                <w:sz w:val="18"/>
                <w:szCs w:val="18"/>
              </w:rPr>
            </w:pPr>
            <w:r w:rsidRPr="00CF2267">
              <w:rPr>
                <w:sz w:val="18"/>
                <w:szCs w:val="18"/>
              </w:rPr>
              <w:t>A patient who had three or more progress notes recorded in two years.</w:t>
            </w:r>
          </w:p>
          <w:p w14:paraId="1736868C" w14:textId="77777777" w:rsidR="001C19F3" w:rsidRPr="00CF2267" w:rsidRDefault="001C19F3" w:rsidP="00521305">
            <w:pPr>
              <w:rPr>
                <w:rFonts w:eastAsia="Times New Roman" w:cs="Calibri"/>
                <w:color w:val="000000"/>
                <w:sz w:val="18"/>
                <w:szCs w:val="18"/>
                <w:lang w:eastAsia="en-AU"/>
              </w:rPr>
            </w:pPr>
            <w:r w:rsidRPr="00CF2267">
              <w:rPr>
                <w:sz w:val="18"/>
                <w:szCs w:val="18"/>
              </w:rPr>
              <w:t>This flag was provided for evaluation</w:t>
            </w:r>
          </w:p>
        </w:tc>
        <w:tc>
          <w:tcPr>
            <w:tcW w:w="1668" w:type="pct"/>
            <w:shd w:val="clear" w:color="auto" w:fill="auto"/>
          </w:tcPr>
          <w:p w14:paraId="21D464E1" w14:textId="77777777" w:rsidR="001C19F3" w:rsidRDefault="001C19F3" w:rsidP="00521305">
            <w:pPr>
              <w:rPr>
                <w:sz w:val="18"/>
                <w:szCs w:val="18"/>
              </w:rPr>
            </w:pPr>
            <w:r w:rsidRPr="00CF2267">
              <w:rPr>
                <w:sz w:val="18"/>
                <w:szCs w:val="18"/>
              </w:rPr>
              <w:t xml:space="preserve">A patient who had encounters on at least three days in the last two years, who was marked as ‘active’ and not marked as ‘deceased’ in the </w:t>
            </w:r>
            <w:r>
              <w:rPr>
                <w:sz w:val="18"/>
                <w:szCs w:val="18"/>
              </w:rPr>
              <w:t>practice clinical management system</w:t>
            </w:r>
            <w:r w:rsidRPr="00CF2267">
              <w:rPr>
                <w:sz w:val="18"/>
                <w:szCs w:val="18"/>
              </w:rPr>
              <w:t xml:space="preserve">. </w:t>
            </w:r>
          </w:p>
          <w:p w14:paraId="6C2ED22B" w14:textId="77777777" w:rsidR="001C19F3" w:rsidRPr="00CF2267" w:rsidRDefault="001C19F3" w:rsidP="00521305">
            <w:pPr>
              <w:rPr>
                <w:rFonts w:eastAsia="Times New Roman" w:cs="Calibri"/>
                <w:color w:val="000000"/>
                <w:sz w:val="18"/>
                <w:szCs w:val="18"/>
                <w:lang w:eastAsia="en-AU"/>
              </w:rPr>
            </w:pPr>
            <w:r w:rsidRPr="00CF2267">
              <w:rPr>
                <w:sz w:val="18"/>
                <w:szCs w:val="18"/>
              </w:rPr>
              <w:t>This flag was provided for evaluation.</w:t>
            </w:r>
          </w:p>
        </w:tc>
        <w:tc>
          <w:tcPr>
            <w:tcW w:w="1668" w:type="pct"/>
            <w:shd w:val="clear" w:color="auto" w:fill="auto"/>
          </w:tcPr>
          <w:p w14:paraId="5B41B1EE" w14:textId="77777777" w:rsidR="001C19F3" w:rsidRPr="00CF2267" w:rsidRDefault="001C19F3" w:rsidP="00521305">
            <w:pPr>
              <w:rPr>
                <w:rFonts w:eastAsia="Times New Roman" w:cs="Calibri"/>
                <w:color w:val="000000"/>
                <w:sz w:val="18"/>
                <w:szCs w:val="18"/>
                <w:lang w:eastAsia="en-AU"/>
              </w:rPr>
            </w:pPr>
            <w:r w:rsidRPr="00CF2267">
              <w:rPr>
                <w:sz w:val="18"/>
                <w:szCs w:val="18"/>
              </w:rPr>
              <w:t>A ‘practice active patient’ indicator was not included in the data extracts provided for the evaluation. The Centre for Big Data Research in Health identified patients who had at least three different dates recorded as date of encounter, observation, pathology test, prescription or MBS billing, noting that POLAR data were available for 21 months (from October 2017 to June 2019) and not two full years</w:t>
            </w:r>
            <w:r>
              <w:rPr>
                <w:sz w:val="18"/>
                <w:szCs w:val="18"/>
              </w:rPr>
              <w:t>.</w:t>
            </w:r>
          </w:p>
        </w:tc>
      </w:tr>
    </w:tbl>
    <w:p w14:paraId="693D12D8" w14:textId="77777777" w:rsidR="001C19F3" w:rsidRDefault="001C19F3" w:rsidP="001C19F3">
      <w:pPr>
        <w:spacing w:after="0"/>
        <w:rPr>
          <w:szCs w:val="18"/>
        </w:rPr>
      </w:pPr>
    </w:p>
    <w:p w14:paraId="6708CDD9" w14:textId="77777777" w:rsidR="001C19F3" w:rsidRDefault="001C19F3" w:rsidP="001C19F3">
      <w:r>
        <w:rPr>
          <w:szCs w:val="18"/>
        </w:rPr>
        <w:t xml:space="preserve">As the MedicineInsight data are provided for patients aged 15 years and older, we similarly restricted the age of patients in the Pen CS and POLAR data for comparison with the MedicineInsight data. </w:t>
      </w:r>
      <w:r>
        <w:t xml:space="preserve">As seen in </w:t>
      </w:r>
      <w:r>
        <w:rPr>
          <w:szCs w:val="20"/>
        </w:rPr>
        <w:fldChar w:fldCharType="begin"/>
      </w:r>
      <w:r>
        <w:rPr>
          <w:szCs w:val="20"/>
        </w:rPr>
        <w:instrText xml:space="preserve"> REF _Ref26892892 \h  \* MERGEFORMAT </w:instrText>
      </w:r>
      <w:r>
        <w:rPr>
          <w:szCs w:val="20"/>
        </w:rPr>
      </w:r>
      <w:r>
        <w:rPr>
          <w:szCs w:val="20"/>
        </w:rPr>
        <w:fldChar w:fldCharType="separate"/>
      </w:r>
      <w:r w:rsidRPr="008F2809">
        <w:rPr>
          <w:szCs w:val="20"/>
        </w:rPr>
        <w:t>Table 16</w:t>
      </w:r>
      <w:r>
        <w:rPr>
          <w:szCs w:val="20"/>
        </w:rPr>
        <w:fldChar w:fldCharType="end"/>
      </w:r>
      <w:r>
        <w:t>, the prevalence of most conditions was higher among the active patient cohort identified in the NPS MedicineInsight source than the prevalence identified in the Pen CS and POLAR cohorts.</w:t>
      </w:r>
      <w:r>
        <w:br w:type="page"/>
      </w:r>
    </w:p>
    <w:p w14:paraId="57CDE575" w14:textId="77777777" w:rsidR="001C19F3" w:rsidRDefault="001C19F3" w:rsidP="001C19F3">
      <w:pPr>
        <w:spacing w:after="0"/>
        <w:jc w:val="center"/>
        <w:rPr>
          <w:b/>
          <w:szCs w:val="20"/>
        </w:rPr>
      </w:pPr>
      <w:bookmarkStart w:id="511" w:name="_Ref13240420"/>
      <w:bookmarkStart w:id="512" w:name="_Ref26892892"/>
      <w:r w:rsidRPr="00E76010">
        <w:rPr>
          <w:b/>
          <w:szCs w:val="20"/>
        </w:rPr>
        <w:lastRenderedPageBreak/>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16</w:t>
      </w:r>
      <w:r w:rsidRPr="00E76010">
        <w:rPr>
          <w:szCs w:val="20"/>
        </w:rPr>
        <w:fldChar w:fldCharType="end"/>
      </w:r>
      <w:bookmarkEnd w:id="511"/>
      <w:bookmarkEnd w:id="512"/>
      <w:r w:rsidRPr="00E76010">
        <w:rPr>
          <w:b/>
          <w:szCs w:val="20"/>
        </w:rPr>
        <w:t xml:space="preserve"> –</w:t>
      </w:r>
      <w:r>
        <w:rPr>
          <w:b/>
          <w:szCs w:val="20"/>
        </w:rPr>
        <w:t xml:space="preserve"> Prevalence of patient conditions among cohorts of ‘practice active patients’ (HCH and non-HCH) at 30 June 2019</w:t>
      </w:r>
    </w:p>
    <w:tbl>
      <w:tblPr>
        <w:tblStyle w:val="TableGrid"/>
        <w:tblW w:w="878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76"/>
        <w:gridCol w:w="1527"/>
        <w:gridCol w:w="1098"/>
        <w:gridCol w:w="11"/>
        <w:gridCol w:w="1096"/>
        <w:gridCol w:w="1098"/>
        <w:gridCol w:w="1378"/>
      </w:tblGrid>
      <w:tr w:rsidR="001C19F3" w:rsidRPr="007C4473" w14:paraId="50426204" w14:textId="77777777" w:rsidTr="00521305">
        <w:trPr>
          <w:trHeight w:val="340"/>
          <w:tblHeader/>
          <w:jc w:val="center"/>
        </w:trPr>
        <w:tc>
          <w:tcPr>
            <w:tcW w:w="2576" w:type="dxa"/>
            <w:vMerge w:val="restart"/>
            <w:shd w:val="clear" w:color="auto" w:fill="003D79"/>
            <w:vAlign w:val="center"/>
          </w:tcPr>
          <w:p w14:paraId="10E89B5D" w14:textId="77777777" w:rsidR="001C19F3" w:rsidRPr="007C4473" w:rsidRDefault="001C19F3" w:rsidP="00521305">
            <w:pPr>
              <w:spacing w:after="0" w:line="240" w:lineRule="auto"/>
              <w:jc w:val="center"/>
              <w:rPr>
                <w:b/>
                <w:sz w:val="18"/>
                <w:szCs w:val="18"/>
              </w:rPr>
            </w:pPr>
            <w:r>
              <w:rPr>
                <w:b/>
                <w:sz w:val="18"/>
                <w:szCs w:val="18"/>
              </w:rPr>
              <w:t>Measure</w:t>
            </w:r>
          </w:p>
        </w:tc>
        <w:tc>
          <w:tcPr>
            <w:tcW w:w="2636" w:type="dxa"/>
            <w:gridSpan w:val="3"/>
            <w:shd w:val="clear" w:color="auto" w:fill="003D79"/>
            <w:vAlign w:val="center"/>
          </w:tcPr>
          <w:p w14:paraId="469CFACD" w14:textId="77777777" w:rsidR="001C19F3" w:rsidRDefault="001C19F3" w:rsidP="00521305">
            <w:pPr>
              <w:spacing w:after="0" w:line="240" w:lineRule="auto"/>
              <w:jc w:val="center"/>
              <w:rPr>
                <w:b/>
                <w:sz w:val="18"/>
                <w:szCs w:val="18"/>
              </w:rPr>
            </w:pPr>
            <w:r>
              <w:rPr>
                <w:b/>
                <w:sz w:val="18"/>
                <w:szCs w:val="18"/>
              </w:rPr>
              <w:t>Patients of all ages</w:t>
            </w:r>
          </w:p>
        </w:tc>
        <w:tc>
          <w:tcPr>
            <w:tcW w:w="3572" w:type="dxa"/>
            <w:gridSpan w:val="3"/>
            <w:shd w:val="clear" w:color="auto" w:fill="003D79"/>
            <w:vAlign w:val="center"/>
          </w:tcPr>
          <w:p w14:paraId="0F4E7746" w14:textId="77777777" w:rsidR="001C19F3" w:rsidRDefault="001C19F3" w:rsidP="00521305">
            <w:pPr>
              <w:spacing w:after="0" w:line="240" w:lineRule="auto"/>
              <w:jc w:val="center"/>
              <w:rPr>
                <w:b/>
                <w:sz w:val="18"/>
                <w:szCs w:val="18"/>
              </w:rPr>
            </w:pPr>
            <w:r>
              <w:rPr>
                <w:b/>
                <w:sz w:val="18"/>
                <w:szCs w:val="18"/>
              </w:rPr>
              <w:t>Patients aged 15 years and older</w:t>
            </w:r>
            <w:r w:rsidRPr="00CF2267">
              <w:rPr>
                <w:b/>
                <w:sz w:val="18"/>
                <w:szCs w:val="18"/>
                <w:vertAlign w:val="superscript"/>
              </w:rPr>
              <w:t>1</w:t>
            </w:r>
          </w:p>
        </w:tc>
      </w:tr>
      <w:tr w:rsidR="001C19F3" w:rsidRPr="007C4473" w14:paraId="569A7596" w14:textId="77777777" w:rsidTr="00521305">
        <w:trPr>
          <w:trHeight w:val="340"/>
          <w:tblHeader/>
          <w:jc w:val="center"/>
        </w:trPr>
        <w:tc>
          <w:tcPr>
            <w:tcW w:w="2576" w:type="dxa"/>
            <w:vMerge/>
            <w:shd w:val="clear" w:color="auto" w:fill="003D79"/>
            <w:vAlign w:val="center"/>
          </w:tcPr>
          <w:p w14:paraId="1DB70607" w14:textId="77777777" w:rsidR="001C19F3" w:rsidRPr="007C4473" w:rsidRDefault="001C19F3" w:rsidP="00521305">
            <w:pPr>
              <w:spacing w:after="0" w:line="240" w:lineRule="auto"/>
              <w:jc w:val="center"/>
              <w:rPr>
                <w:b/>
                <w:sz w:val="18"/>
                <w:szCs w:val="18"/>
              </w:rPr>
            </w:pPr>
          </w:p>
        </w:tc>
        <w:tc>
          <w:tcPr>
            <w:tcW w:w="1527" w:type="dxa"/>
            <w:shd w:val="clear" w:color="auto" w:fill="003D79"/>
            <w:vAlign w:val="center"/>
          </w:tcPr>
          <w:p w14:paraId="116EF477" w14:textId="77777777" w:rsidR="001C19F3" w:rsidRPr="007C4473" w:rsidRDefault="001C19F3" w:rsidP="00521305">
            <w:pPr>
              <w:spacing w:after="0" w:line="240" w:lineRule="auto"/>
              <w:jc w:val="center"/>
              <w:rPr>
                <w:b/>
                <w:sz w:val="18"/>
                <w:szCs w:val="18"/>
              </w:rPr>
            </w:pPr>
            <w:r>
              <w:rPr>
                <w:b/>
                <w:sz w:val="18"/>
                <w:szCs w:val="18"/>
              </w:rPr>
              <w:t>Pen CS</w:t>
            </w:r>
          </w:p>
        </w:tc>
        <w:tc>
          <w:tcPr>
            <w:tcW w:w="1098" w:type="dxa"/>
            <w:shd w:val="clear" w:color="auto" w:fill="003D79"/>
            <w:vAlign w:val="center"/>
          </w:tcPr>
          <w:p w14:paraId="68A53C5D" w14:textId="77777777" w:rsidR="001C19F3" w:rsidRDefault="001C19F3" w:rsidP="00521305">
            <w:pPr>
              <w:spacing w:after="0" w:line="240" w:lineRule="auto"/>
              <w:jc w:val="center"/>
              <w:rPr>
                <w:b/>
                <w:sz w:val="18"/>
                <w:szCs w:val="18"/>
              </w:rPr>
            </w:pPr>
            <w:r>
              <w:rPr>
                <w:b/>
                <w:sz w:val="18"/>
                <w:szCs w:val="18"/>
              </w:rPr>
              <w:t>POLAR</w:t>
            </w:r>
          </w:p>
        </w:tc>
        <w:tc>
          <w:tcPr>
            <w:tcW w:w="1107" w:type="dxa"/>
            <w:gridSpan w:val="2"/>
            <w:shd w:val="clear" w:color="auto" w:fill="003D79"/>
            <w:vAlign w:val="center"/>
          </w:tcPr>
          <w:p w14:paraId="2609B266" w14:textId="77777777" w:rsidR="001C19F3" w:rsidRDefault="001C19F3" w:rsidP="00521305">
            <w:pPr>
              <w:spacing w:after="0" w:line="240" w:lineRule="auto"/>
              <w:jc w:val="center"/>
              <w:rPr>
                <w:b/>
                <w:sz w:val="18"/>
                <w:szCs w:val="18"/>
              </w:rPr>
            </w:pPr>
            <w:r>
              <w:rPr>
                <w:b/>
                <w:sz w:val="18"/>
                <w:szCs w:val="18"/>
              </w:rPr>
              <w:t>Pen CS</w:t>
            </w:r>
          </w:p>
        </w:tc>
        <w:tc>
          <w:tcPr>
            <w:tcW w:w="1098" w:type="dxa"/>
            <w:shd w:val="clear" w:color="auto" w:fill="003D79"/>
            <w:vAlign w:val="center"/>
          </w:tcPr>
          <w:p w14:paraId="5D0DBB22" w14:textId="77777777" w:rsidR="001C19F3" w:rsidRDefault="001C19F3" w:rsidP="00521305">
            <w:pPr>
              <w:spacing w:after="0" w:line="240" w:lineRule="auto"/>
              <w:jc w:val="center"/>
              <w:rPr>
                <w:b/>
                <w:sz w:val="18"/>
                <w:szCs w:val="18"/>
              </w:rPr>
            </w:pPr>
            <w:r>
              <w:rPr>
                <w:b/>
                <w:sz w:val="18"/>
                <w:szCs w:val="18"/>
              </w:rPr>
              <w:t>POLAR</w:t>
            </w:r>
          </w:p>
        </w:tc>
        <w:tc>
          <w:tcPr>
            <w:tcW w:w="1378" w:type="dxa"/>
            <w:shd w:val="clear" w:color="auto" w:fill="003D79"/>
            <w:vAlign w:val="center"/>
          </w:tcPr>
          <w:p w14:paraId="72D0FD83" w14:textId="77777777" w:rsidR="001C19F3" w:rsidRDefault="001C19F3" w:rsidP="00521305">
            <w:pPr>
              <w:spacing w:after="0" w:line="240" w:lineRule="auto"/>
              <w:jc w:val="center"/>
              <w:rPr>
                <w:b/>
                <w:sz w:val="18"/>
                <w:szCs w:val="18"/>
              </w:rPr>
            </w:pPr>
            <w:r>
              <w:rPr>
                <w:b/>
                <w:sz w:val="18"/>
                <w:szCs w:val="18"/>
              </w:rPr>
              <w:t>Medicine Insight</w:t>
            </w:r>
          </w:p>
        </w:tc>
      </w:tr>
      <w:tr w:rsidR="001C19F3" w:rsidRPr="007C4473" w14:paraId="20E29A6E" w14:textId="77777777" w:rsidTr="00521305">
        <w:trPr>
          <w:jc w:val="center"/>
        </w:trPr>
        <w:tc>
          <w:tcPr>
            <w:tcW w:w="2576" w:type="dxa"/>
          </w:tcPr>
          <w:p w14:paraId="7E9DE403" w14:textId="77777777" w:rsidR="001C19F3" w:rsidRPr="00783A8A" w:rsidRDefault="001C19F3" w:rsidP="00521305">
            <w:pPr>
              <w:spacing w:after="0"/>
              <w:rPr>
                <w:b/>
                <w:sz w:val="18"/>
                <w:szCs w:val="18"/>
              </w:rPr>
            </w:pPr>
            <w:r>
              <w:rPr>
                <w:b/>
                <w:sz w:val="18"/>
                <w:szCs w:val="18"/>
              </w:rPr>
              <w:t>Number of ‘practice active patients’ (n)</w:t>
            </w:r>
            <w:r w:rsidRPr="00CF2267">
              <w:rPr>
                <w:b/>
                <w:sz w:val="18"/>
                <w:szCs w:val="18"/>
                <w:vertAlign w:val="superscript"/>
              </w:rPr>
              <w:t>2</w:t>
            </w:r>
          </w:p>
        </w:tc>
        <w:tc>
          <w:tcPr>
            <w:tcW w:w="1527" w:type="dxa"/>
          </w:tcPr>
          <w:p w14:paraId="0A415635" w14:textId="77777777" w:rsidR="001C19F3" w:rsidRPr="00AA5224" w:rsidRDefault="001C19F3" w:rsidP="00521305">
            <w:pPr>
              <w:spacing w:after="0"/>
              <w:jc w:val="center"/>
              <w:rPr>
                <w:b/>
                <w:bCs/>
                <w:sz w:val="18"/>
                <w:szCs w:val="18"/>
              </w:rPr>
            </w:pPr>
            <w:r w:rsidRPr="00DD7D3B">
              <w:rPr>
                <w:b/>
                <w:bCs/>
                <w:sz w:val="18"/>
                <w:szCs w:val="18"/>
              </w:rPr>
              <w:t>526</w:t>
            </w:r>
            <w:r>
              <w:rPr>
                <w:b/>
                <w:bCs/>
                <w:sz w:val="18"/>
                <w:szCs w:val="18"/>
              </w:rPr>
              <w:t>,</w:t>
            </w:r>
            <w:r w:rsidRPr="00DD7D3B">
              <w:rPr>
                <w:b/>
                <w:bCs/>
                <w:sz w:val="18"/>
                <w:szCs w:val="18"/>
              </w:rPr>
              <w:t>513</w:t>
            </w:r>
          </w:p>
        </w:tc>
        <w:tc>
          <w:tcPr>
            <w:tcW w:w="1098" w:type="dxa"/>
          </w:tcPr>
          <w:p w14:paraId="0794E056" w14:textId="77777777" w:rsidR="001C19F3" w:rsidRPr="00AA5224" w:rsidRDefault="001C19F3" w:rsidP="00521305">
            <w:pPr>
              <w:spacing w:after="0"/>
              <w:jc w:val="center"/>
              <w:rPr>
                <w:b/>
                <w:bCs/>
                <w:sz w:val="18"/>
                <w:szCs w:val="18"/>
              </w:rPr>
            </w:pPr>
            <w:r>
              <w:rPr>
                <w:b/>
                <w:bCs/>
                <w:sz w:val="18"/>
                <w:szCs w:val="18"/>
              </w:rPr>
              <w:t>58,440</w:t>
            </w:r>
          </w:p>
        </w:tc>
        <w:tc>
          <w:tcPr>
            <w:tcW w:w="1107" w:type="dxa"/>
            <w:gridSpan w:val="2"/>
          </w:tcPr>
          <w:p w14:paraId="756EF5BE" w14:textId="77777777" w:rsidR="001C19F3" w:rsidRPr="00AA5224" w:rsidRDefault="001C19F3" w:rsidP="00521305">
            <w:pPr>
              <w:spacing w:after="0"/>
              <w:jc w:val="center"/>
              <w:rPr>
                <w:b/>
                <w:bCs/>
                <w:sz w:val="18"/>
                <w:szCs w:val="18"/>
              </w:rPr>
            </w:pPr>
            <w:r w:rsidRPr="00C34DA6">
              <w:rPr>
                <w:b/>
                <w:bCs/>
                <w:sz w:val="18"/>
                <w:szCs w:val="18"/>
              </w:rPr>
              <w:t>425</w:t>
            </w:r>
            <w:r>
              <w:rPr>
                <w:b/>
                <w:bCs/>
                <w:sz w:val="18"/>
                <w:szCs w:val="18"/>
              </w:rPr>
              <w:t>,</w:t>
            </w:r>
            <w:r w:rsidRPr="00C34DA6">
              <w:rPr>
                <w:b/>
                <w:bCs/>
                <w:sz w:val="18"/>
                <w:szCs w:val="18"/>
              </w:rPr>
              <w:t>787</w:t>
            </w:r>
          </w:p>
        </w:tc>
        <w:tc>
          <w:tcPr>
            <w:tcW w:w="1098" w:type="dxa"/>
          </w:tcPr>
          <w:p w14:paraId="3CD66433" w14:textId="77777777" w:rsidR="001C19F3" w:rsidRPr="00AA5224" w:rsidRDefault="001C19F3" w:rsidP="00521305">
            <w:pPr>
              <w:spacing w:after="0"/>
              <w:jc w:val="center"/>
              <w:rPr>
                <w:b/>
                <w:bCs/>
                <w:sz w:val="18"/>
                <w:szCs w:val="18"/>
              </w:rPr>
            </w:pPr>
            <w:r>
              <w:rPr>
                <w:b/>
                <w:bCs/>
                <w:sz w:val="18"/>
                <w:szCs w:val="18"/>
              </w:rPr>
              <w:t>48,730</w:t>
            </w:r>
          </w:p>
        </w:tc>
        <w:tc>
          <w:tcPr>
            <w:tcW w:w="1378" w:type="dxa"/>
          </w:tcPr>
          <w:p w14:paraId="07CEBAD8" w14:textId="77777777" w:rsidR="001C19F3" w:rsidRPr="00AA5224" w:rsidRDefault="001C19F3" w:rsidP="00521305">
            <w:pPr>
              <w:spacing w:after="0" w:line="240" w:lineRule="auto"/>
              <w:jc w:val="center"/>
              <w:rPr>
                <w:b/>
                <w:bCs/>
                <w:sz w:val="18"/>
                <w:szCs w:val="18"/>
              </w:rPr>
            </w:pPr>
            <w:r w:rsidRPr="00AA5224">
              <w:rPr>
                <w:b/>
                <w:bCs/>
                <w:sz w:val="18"/>
                <w:szCs w:val="18"/>
              </w:rPr>
              <w:t>1,700,590</w:t>
            </w:r>
          </w:p>
        </w:tc>
      </w:tr>
      <w:tr w:rsidR="001C19F3" w:rsidRPr="007C4473" w14:paraId="7B588505" w14:textId="77777777" w:rsidTr="00521305">
        <w:trPr>
          <w:jc w:val="center"/>
        </w:trPr>
        <w:tc>
          <w:tcPr>
            <w:tcW w:w="2576" w:type="dxa"/>
          </w:tcPr>
          <w:p w14:paraId="304B3D03" w14:textId="77777777" w:rsidR="001C19F3" w:rsidRDefault="001C19F3" w:rsidP="00521305">
            <w:pPr>
              <w:spacing w:after="0"/>
              <w:rPr>
                <w:color w:val="231F20"/>
                <w:sz w:val="18"/>
              </w:rPr>
            </w:pPr>
            <w:r>
              <w:rPr>
                <w:b/>
                <w:sz w:val="18"/>
                <w:szCs w:val="18"/>
              </w:rPr>
              <w:t>Prevalence (%)</w:t>
            </w:r>
          </w:p>
        </w:tc>
        <w:tc>
          <w:tcPr>
            <w:tcW w:w="1527" w:type="dxa"/>
          </w:tcPr>
          <w:p w14:paraId="517067C4" w14:textId="77777777" w:rsidR="001C19F3" w:rsidRPr="008A5595" w:rsidRDefault="001C19F3" w:rsidP="00521305">
            <w:pPr>
              <w:spacing w:after="0"/>
              <w:jc w:val="center"/>
              <w:rPr>
                <w:sz w:val="18"/>
                <w:szCs w:val="18"/>
              </w:rPr>
            </w:pPr>
          </w:p>
        </w:tc>
        <w:tc>
          <w:tcPr>
            <w:tcW w:w="1098" w:type="dxa"/>
          </w:tcPr>
          <w:p w14:paraId="6049B593" w14:textId="77777777" w:rsidR="001C19F3" w:rsidRPr="008A5595" w:rsidRDefault="001C19F3" w:rsidP="00521305">
            <w:pPr>
              <w:spacing w:after="0"/>
              <w:jc w:val="center"/>
              <w:rPr>
                <w:sz w:val="18"/>
                <w:szCs w:val="18"/>
              </w:rPr>
            </w:pPr>
          </w:p>
        </w:tc>
        <w:tc>
          <w:tcPr>
            <w:tcW w:w="1107" w:type="dxa"/>
            <w:gridSpan w:val="2"/>
          </w:tcPr>
          <w:p w14:paraId="06C7AD69" w14:textId="77777777" w:rsidR="001C19F3" w:rsidRPr="008A5595" w:rsidRDefault="001C19F3" w:rsidP="00521305">
            <w:pPr>
              <w:spacing w:after="0"/>
              <w:jc w:val="center"/>
              <w:rPr>
                <w:sz w:val="18"/>
                <w:szCs w:val="18"/>
              </w:rPr>
            </w:pPr>
          </w:p>
        </w:tc>
        <w:tc>
          <w:tcPr>
            <w:tcW w:w="1098" w:type="dxa"/>
          </w:tcPr>
          <w:p w14:paraId="355442ED" w14:textId="77777777" w:rsidR="001C19F3" w:rsidRPr="008A5595" w:rsidRDefault="001C19F3" w:rsidP="00521305">
            <w:pPr>
              <w:spacing w:after="0"/>
              <w:jc w:val="center"/>
              <w:rPr>
                <w:sz w:val="18"/>
                <w:szCs w:val="18"/>
              </w:rPr>
            </w:pPr>
          </w:p>
        </w:tc>
        <w:tc>
          <w:tcPr>
            <w:tcW w:w="1378" w:type="dxa"/>
          </w:tcPr>
          <w:p w14:paraId="7C985742" w14:textId="77777777" w:rsidR="001C19F3" w:rsidRPr="008A5595" w:rsidRDefault="001C19F3" w:rsidP="00521305">
            <w:pPr>
              <w:spacing w:after="0"/>
              <w:jc w:val="center"/>
              <w:rPr>
                <w:sz w:val="18"/>
                <w:szCs w:val="18"/>
              </w:rPr>
            </w:pPr>
          </w:p>
        </w:tc>
      </w:tr>
      <w:tr w:rsidR="001C19F3" w:rsidRPr="007C4473" w14:paraId="5EB3813E" w14:textId="77777777" w:rsidTr="00521305">
        <w:trPr>
          <w:jc w:val="center"/>
        </w:trPr>
        <w:tc>
          <w:tcPr>
            <w:tcW w:w="2576" w:type="dxa"/>
          </w:tcPr>
          <w:p w14:paraId="0DF40F60" w14:textId="77777777" w:rsidR="001C19F3" w:rsidRPr="00783A8A" w:rsidRDefault="001C19F3" w:rsidP="00521305">
            <w:pPr>
              <w:spacing w:after="0"/>
              <w:ind w:left="171"/>
              <w:rPr>
                <w:b/>
                <w:sz w:val="18"/>
                <w:szCs w:val="18"/>
              </w:rPr>
            </w:pPr>
            <w:r>
              <w:rPr>
                <w:color w:val="231F20"/>
                <w:sz w:val="18"/>
              </w:rPr>
              <w:t>Asthma</w:t>
            </w:r>
          </w:p>
        </w:tc>
        <w:tc>
          <w:tcPr>
            <w:tcW w:w="1527" w:type="dxa"/>
          </w:tcPr>
          <w:p w14:paraId="66FE8168" w14:textId="77777777" w:rsidR="001C19F3" w:rsidRPr="008A5595" w:rsidRDefault="001C19F3" w:rsidP="00521305">
            <w:pPr>
              <w:spacing w:after="0"/>
              <w:jc w:val="center"/>
              <w:rPr>
                <w:sz w:val="18"/>
                <w:szCs w:val="18"/>
              </w:rPr>
            </w:pPr>
            <w:r w:rsidRPr="008A5595">
              <w:rPr>
                <w:sz w:val="18"/>
                <w:szCs w:val="18"/>
              </w:rPr>
              <w:t>8.</w:t>
            </w:r>
            <w:r>
              <w:rPr>
                <w:sz w:val="18"/>
                <w:szCs w:val="18"/>
              </w:rPr>
              <w:t>5</w:t>
            </w:r>
          </w:p>
        </w:tc>
        <w:tc>
          <w:tcPr>
            <w:tcW w:w="1098" w:type="dxa"/>
          </w:tcPr>
          <w:p w14:paraId="4CB76113" w14:textId="77777777" w:rsidR="001C19F3" w:rsidRPr="008A5595" w:rsidRDefault="001C19F3" w:rsidP="00521305">
            <w:pPr>
              <w:spacing w:after="0"/>
              <w:jc w:val="center"/>
              <w:rPr>
                <w:sz w:val="18"/>
                <w:szCs w:val="18"/>
              </w:rPr>
            </w:pPr>
            <w:r w:rsidRPr="008A5595">
              <w:rPr>
                <w:sz w:val="18"/>
                <w:szCs w:val="18"/>
              </w:rPr>
              <w:t>9.</w:t>
            </w:r>
            <w:r>
              <w:rPr>
                <w:sz w:val="18"/>
                <w:szCs w:val="18"/>
              </w:rPr>
              <w:t>9</w:t>
            </w:r>
          </w:p>
        </w:tc>
        <w:tc>
          <w:tcPr>
            <w:tcW w:w="1107" w:type="dxa"/>
            <w:gridSpan w:val="2"/>
          </w:tcPr>
          <w:p w14:paraId="3213FE21" w14:textId="77777777" w:rsidR="001C19F3" w:rsidRPr="008A5595" w:rsidRDefault="001C19F3" w:rsidP="00521305">
            <w:pPr>
              <w:spacing w:after="0"/>
              <w:jc w:val="center"/>
              <w:rPr>
                <w:sz w:val="18"/>
                <w:szCs w:val="18"/>
              </w:rPr>
            </w:pPr>
            <w:r w:rsidRPr="008A5595">
              <w:rPr>
                <w:sz w:val="18"/>
                <w:szCs w:val="18"/>
              </w:rPr>
              <w:t>8.</w:t>
            </w:r>
            <w:r>
              <w:rPr>
                <w:sz w:val="18"/>
                <w:szCs w:val="18"/>
              </w:rPr>
              <w:t>6</w:t>
            </w:r>
          </w:p>
        </w:tc>
        <w:tc>
          <w:tcPr>
            <w:tcW w:w="1098" w:type="dxa"/>
          </w:tcPr>
          <w:p w14:paraId="440904DD" w14:textId="77777777" w:rsidR="001C19F3" w:rsidRPr="008A5595" w:rsidRDefault="001C19F3" w:rsidP="00521305">
            <w:pPr>
              <w:spacing w:after="0"/>
              <w:jc w:val="center"/>
              <w:rPr>
                <w:sz w:val="18"/>
                <w:szCs w:val="18"/>
              </w:rPr>
            </w:pPr>
            <w:r>
              <w:rPr>
                <w:sz w:val="18"/>
                <w:szCs w:val="18"/>
              </w:rPr>
              <w:t>10.1</w:t>
            </w:r>
          </w:p>
        </w:tc>
        <w:tc>
          <w:tcPr>
            <w:tcW w:w="1378" w:type="dxa"/>
          </w:tcPr>
          <w:p w14:paraId="290C7A10" w14:textId="77777777" w:rsidR="001C19F3" w:rsidRPr="008A5595" w:rsidRDefault="001C19F3" w:rsidP="00521305">
            <w:pPr>
              <w:spacing w:after="0"/>
              <w:jc w:val="center"/>
              <w:rPr>
                <w:sz w:val="18"/>
                <w:szCs w:val="18"/>
              </w:rPr>
            </w:pPr>
            <w:r w:rsidRPr="008A5595">
              <w:rPr>
                <w:sz w:val="18"/>
                <w:szCs w:val="18"/>
              </w:rPr>
              <w:t>13.9</w:t>
            </w:r>
          </w:p>
        </w:tc>
      </w:tr>
      <w:tr w:rsidR="001C19F3" w:rsidRPr="007C4473" w14:paraId="64B4BAF2" w14:textId="77777777" w:rsidTr="00521305">
        <w:trPr>
          <w:jc w:val="center"/>
        </w:trPr>
        <w:tc>
          <w:tcPr>
            <w:tcW w:w="2576" w:type="dxa"/>
          </w:tcPr>
          <w:p w14:paraId="277201AA" w14:textId="77777777" w:rsidR="001C19F3" w:rsidRDefault="001C19F3" w:rsidP="00521305">
            <w:pPr>
              <w:spacing w:after="0"/>
              <w:ind w:left="171"/>
              <w:rPr>
                <w:sz w:val="18"/>
                <w:szCs w:val="18"/>
              </w:rPr>
            </w:pPr>
            <w:r>
              <w:rPr>
                <w:color w:val="231F20"/>
                <w:sz w:val="18"/>
              </w:rPr>
              <w:t>COPD</w:t>
            </w:r>
          </w:p>
        </w:tc>
        <w:tc>
          <w:tcPr>
            <w:tcW w:w="1527" w:type="dxa"/>
          </w:tcPr>
          <w:p w14:paraId="5BB69DF0" w14:textId="77777777" w:rsidR="001C19F3" w:rsidRPr="008A5595" w:rsidRDefault="001C19F3" w:rsidP="00521305">
            <w:pPr>
              <w:spacing w:after="0"/>
              <w:jc w:val="center"/>
              <w:rPr>
                <w:sz w:val="18"/>
                <w:szCs w:val="18"/>
              </w:rPr>
            </w:pPr>
            <w:r w:rsidRPr="008A5595">
              <w:rPr>
                <w:sz w:val="18"/>
                <w:szCs w:val="18"/>
              </w:rPr>
              <w:t>1.</w:t>
            </w:r>
            <w:r>
              <w:rPr>
                <w:sz w:val="18"/>
                <w:szCs w:val="18"/>
              </w:rPr>
              <w:t>8</w:t>
            </w:r>
          </w:p>
        </w:tc>
        <w:tc>
          <w:tcPr>
            <w:tcW w:w="1098" w:type="dxa"/>
          </w:tcPr>
          <w:p w14:paraId="07D5EF76" w14:textId="77777777" w:rsidR="001C19F3" w:rsidRPr="008A5595" w:rsidRDefault="001C19F3" w:rsidP="00521305">
            <w:pPr>
              <w:spacing w:after="0"/>
              <w:jc w:val="center"/>
              <w:rPr>
                <w:sz w:val="18"/>
                <w:szCs w:val="18"/>
              </w:rPr>
            </w:pPr>
            <w:r w:rsidRPr="008A5595">
              <w:rPr>
                <w:sz w:val="18"/>
                <w:szCs w:val="18"/>
              </w:rPr>
              <w:t>1.</w:t>
            </w:r>
            <w:r>
              <w:rPr>
                <w:sz w:val="18"/>
                <w:szCs w:val="18"/>
              </w:rPr>
              <w:t>6</w:t>
            </w:r>
          </w:p>
        </w:tc>
        <w:tc>
          <w:tcPr>
            <w:tcW w:w="1107" w:type="dxa"/>
            <w:gridSpan w:val="2"/>
          </w:tcPr>
          <w:p w14:paraId="35502B3B" w14:textId="77777777" w:rsidR="001C19F3" w:rsidRPr="008A5595" w:rsidRDefault="001C19F3" w:rsidP="00521305">
            <w:pPr>
              <w:spacing w:after="0"/>
              <w:jc w:val="center"/>
              <w:rPr>
                <w:sz w:val="18"/>
                <w:szCs w:val="18"/>
              </w:rPr>
            </w:pPr>
            <w:r w:rsidRPr="008A5595">
              <w:rPr>
                <w:sz w:val="18"/>
                <w:szCs w:val="18"/>
              </w:rPr>
              <w:t>2.3</w:t>
            </w:r>
          </w:p>
        </w:tc>
        <w:tc>
          <w:tcPr>
            <w:tcW w:w="1098" w:type="dxa"/>
          </w:tcPr>
          <w:p w14:paraId="5F973419" w14:textId="77777777" w:rsidR="001C19F3" w:rsidRPr="008A5595" w:rsidRDefault="001C19F3" w:rsidP="00521305">
            <w:pPr>
              <w:spacing w:after="0"/>
              <w:jc w:val="center"/>
              <w:rPr>
                <w:sz w:val="18"/>
                <w:szCs w:val="18"/>
              </w:rPr>
            </w:pPr>
            <w:r w:rsidRPr="008A5595">
              <w:rPr>
                <w:sz w:val="18"/>
                <w:szCs w:val="18"/>
              </w:rPr>
              <w:t>1.</w:t>
            </w:r>
            <w:r>
              <w:rPr>
                <w:sz w:val="18"/>
                <w:szCs w:val="18"/>
              </w:rPr>
              <w:t>9</w:t>
            </w:r>
          </w:p>
        </w:tc>
        <w:tc>
          <w:tcPr>
            <w:tcW w:w="1378" w:type="dxa"/>
          </w:tcPr>
          <w:p w14:paraId="46B68FBA" w14:textId="77777777" w:rsidR="001C19F3" w:rsidRPr="008A5595" w:rsidRDefault="001C19F3" w:rsidP="00521305">
            <w:pPr>
              <w:spacing w:after="0"/>
              <w:jc w:val="center"/>
              <w:rPr>
                <w:sz w:val="18"/>
                <w:szCs w:val="18"/>
              </w:rPr>
            </w:pPr>
            <w:r w:rsidRPr="008A5595">
              <w:rPr>
                <w:sz w:val="18"/>
                <w:szCs w:val="18"/>
              </w:rPr>
              <w:t>3.7</w:t>
            </w:r>
          </w:p>
        </w:tc>
      </w:tr>
      <w:tr w:rsidR="001C19F3" w:rsidRPr="007C4473" w14:paraId="339E2DFE" w14:textId="77777777" w:rsidTr="00521305">
        <w:trPr>
          <w:jc w:val="center"/>
        </w:trPr>
        <w:tc>
          <w:tcPr>
            <w:tcW w:w="2576" w:type="dxa"/>
          </w:tcPr>
          <w:p w14:paraId="0474B0BB" w14:textId="77777777" w:rsidR="001C19F3" w:rsidRDefault="001C19F3" w:rsidP="00521305">
            <w:pPr>
              <w:spacing w:after="0"/>
              <w:ind w:left="171"/>
              <w:rPr>
                <w:sz w:val="18"/>
                <w:szCs w:val="18"/>
              </w:rPr>
            </w:pPr>
            <w:r>
              <w:rPr>
                <w:color w:val="231F20"/>
                <w:sz w:val="18"/>
              </w:rPr>
              <w:t>Atrial fibrillation</w:t>
            </w:r>
          </w:p>
        </w:tc>
        <w:tc>
          <w:tcPr>
            <w:tcW w:w="1527" w:type="dxa"/>
          </w:tcPr>
          <w:p w14:paraId="0BACAF1B" w14:textId="77777777" w:rsidR="001C19F3" w:rsidRPr="008A5595" w:rsidRDefault="001C19F3" w:rsidP="00521305">
            <w:pPr>
              <w:spacing w:after="0"/>
              <w:jc w:val="center"/>
              <w:rPr>
                <w:sz w:val="18"/>
                <w:szCs w:val="18"/>
              </w:rPr>
            </w:pPr>
            <w:r w:rsidRPr="008A5595">
              <w:rPr>
                <w:sz w:val="18"/>
                <w:szCs w:val="18"/>
              </w:rPr>
              <w:t>1.4</w:t>
            </w:r>
          </w:p>
        </w:tc>
        <w:tc>
          <w:tcPr>
            <w:tcW w:w="1098" w:type="dxa"/>
          </w:tcPr>
          <w:p w14:paraId="7AC668FC" w14:textId="77777777" w:rsidR="001C19F3" w:rsidRPr="008A5595" w:rsidRDefault="001C19F3" w:rsidP="00521305">
            <w:pPr>
              <w:spacing w:after="0"/>
              <w:jc w:val="center"/>
              <w:rPr>
                <w:sz w:val="18"/>
                <w:szCs w:val="18"/>
              </w:rPr>
            </w:pPr>
            <w:r w:rsidRPr="008A5595">
              <w:rPr>
                <w:sz w:val="18"/>
                <w:szCs w:val="18"/>
              </w:rPr>
              <w:t>1.</w:t>
            </w:r>
            <w:r>
              <w:rPr>
                <w:sz w:val="18"/>
                <w:szCs w:val="18"/>
              </w:rPr>
              <w:t>6</w:t>
            </w:r>
          </w:p>
        </w:tc>
        <w:tc>
          <w:tcPr>
            <w:tcW w:w="1107" w:type="dxa"/>
            <w:gridSpan w:val="2"/>
          </w:tcPr>
          <w:p w14:paraId="28B68502" w14:textId="77777777" w:rsidR="001C19F3" w:rsidRPr="008A5595" w:rsidRDefault="001C19F3" w:rsidP="00521305">
            <w:pPr>
              <w:spacing w:after="0"/>
              <w:jc w:val="center"/>
              <w:rPr>
                <w:sz w:val="18"/>
                <w:szCs w:val="18"/>
              </w:rPr>
            </w:pPr>
            <w:r w:rsidRPr="008A5595">
              <w:rPr>
                <w:sz w:val="18"/>
                <w:szCs w:val="18"/>
              </w:rPr>
              <w:t>1.</w:t>
            </w:r>
            <w:r>
              <w:rPr>
                <w:sz w:val="18"/>
                <w:szCs w:val="18"/>
              </w:rPr>
              <w:t>8</w:t>
            </w:r>
          </w:p>
        </w:tc>
        <w:tc>
          <w:tcPr>
            <w:tcW w:w="1098" w:type="dxa"/>
          </w:tcPr>
          <w:p w14:paraId="7D196222" w14:textId="77777777" w:rsidR="001C19F3" w:rsidRPr="008A5595" w:rsidRDefault="001C19F3" w:rsidP="00521305">
            <w:pPr>
              <w:spacing w:after="0"/>
              <w:jc w:val="center"/>
              <w:rPr>
                <w:sz w:val="18"/>
                <w:szCs w:val="18"/>
              </w:rPr>
            </w:pPr>
            <w:r w:rsidRPr="008A5595">
              <w:rPr>
                <w:sz w:val="18"/>
                <w:szCs w:val="18"/>
              </w:rPr>
              <w:t>1.</w:t>
            </w:r>
            <w:r>
              <w:rPr>
                <w:sz w:val="18"/>
                <w:szCs w:val="18"/>
              </w:rPr>
              <w:t>9</w:t>
            </w:r>
          </w:p>
        </w:tc>
        <w:tc>
          <w:tcPr>
            <w:tcW w:w="1378" w:type="dxa"/>
          </w:tcPr>
          <w:p w14:paraId="51D6AC56" w14:textId="77777777" w:rsidR="001C19F3" w:rsidRPr="008A5595" w:rsidRDefault="001C19F3" w:rsidP="00521305">
            <w:pPr>
              <w:spacing w:after="0"/>
              <w:jc w:val="center"/>
              <w:rPr>
                <w:sz w:val="18"/>
                <w:szCs w:val="18"/>
              </w:rPr>
            </w:pPr>
            <w:r w:rsidRPr="008A5595">
              <w:rPr>
                <w:sz w:val="18"/>
                <w:szCs w:val="18"/>
              </w:rPr>
              <w:t>3</w:t>
            </w:r>
            <w:r>
              <w:rPr>
                <w:sz w:val="18"/>
                <w:szCs w:val="18"/>
              </w:rPr>
              <w:t>.0</w:t>
            </w:r>
          </w:p>
        </w:tc>
      </w:tr>
      <w:tr w:rsidR="001C19F3" w:rsidRPr="007C4473" w14:paraId="6BF85E82" w14:textId="77777777" w:rsidTr="00521305">
        <w:trPr>
          <w:jc w:val="center"/>
        </w:trPr>
        <w:tc>
          <w:tcPr>
            <w:tcW w:w="2576" w:type="dxa"/>
          </w:tcPr>
          <w:p w14:paraId="56573F71" w14:textId="77777777" w:rsidR="001C19F3" w:rsidRDefault="001C19F3" w:rsidP="00521305">
            <w:pPr>
              <w:spacing w:after="0"/>
              <w:ind w:left="171"/>
              <w:rPr>
                <w:color w:val="231F20"/>
                <w:sz w:val="18"/>
              </w:rPr>
            </w:pPr>
            <w:r>
              <w:rPr>
                <w:color w:val="231F20"/>
                <w:sz w:val="18"/>
              </w:rPr>
              <w:t>Coronary heart disease</w:t>
            </w:r>
          </w:p>
        </w:tc>
        <w:tc>
          <w:tcPr>
            <w:tcW w:w="1527" w:type="dxa"/>
          </w:tcPr>
          <w:p w14:paraId="6C29A78B" w14:textId="77777777" w:rsidR="001C19F3" w:rsidRPr="008A5595" w:rsidRDefault="001C19F3" w:rsidP="00521305">
            <w:pPr>
              <w:spacing w:after="0"/>
              <w:jc w:val="center"/>
              <w:rPr>
                <w:sz w:val="18"/>
                <w:szCs w:val="18"/>
              </w:rPr>
            </w:pPr>
            <w:r w:rsidRPr="008A5595">
              <w:rPr>
                <w:sz w:val="18"/>
                <w:szCs w:val="18"/>
              </w:rPr>
              <w:t>2.5</w:t>
            </w:r>
          </w:p>
        </w:tc>
        <w:tc>
          <w:tcPr>
            <w:tcW w:w="1098" w:type="dxa"/>
          </w:tcPr>
          <w:p w14:paraId="150D6301" w14:textId="77777777" w:rsidR="001C19F3" w:rsidRPr="008A5595" w:rsidRDefault="001C19F3" w:rsidP="00521305">
            <w:pPr>
              <w:spacing w:after="0"/>
              <w:jc w:val="center"/>
              <w:rPr>
                <w:sz w:val="18"/>
                <w:szCs w:val="18"/>
              </w:rPr>
            </w:pPr>
            <w:r w:rsidRPr="008A5595">
              <w:rPr>
                <w:sz w:val="18"/>
                <w:szCs w:val="18"/>
              </w:rPr>
              <w:t>1.</w:t>
            </w:r>
            <w:r>
              <w:rPr>
                <w:sz w:val="18"/>
                <w:szCs w:val="18"/>
              </w:rPr>
              <w:t>7</w:t>
            </w:r>
          </w:p>
        </w:tc>
        <w:tc>
          <w:tcPr>
            <w:tcW w:w="1107" w:type="dxa"/>
            <w:gridSpan w:val="2"/>
          </w:tcPr>
          <w:p w14:paraId="3D9BD93B" w14:textId="77777777" w:rsidR="001C19F3" w:rsidRPr="008A5595" w:rsidRDefault="001C19F3" w:rsidP="00521305">
            <w:pPr>
              <w:spacing w:after="0"/>
              <w:jc w:val="center"/>
              <w:rPr>
                <w:sz w:val="18"/>
                <w:szCs w:val="18"/>
              </w:rPr>
            </w:pPr>
            <w:r w:rsidRPr="008A5595">
              <w:rPr>
                <w:sz w:val="18"/>
                <w:szCs w:val="18"/>
              </w:rPr>
              <w:t>3.1</w:t>
            </w:r>
          </w:p>
        </w:tc>
        <w:tc>
          <w:tcPr>
            <w:tcW w:w="1098" w:type="dxa"/>
          </w:tcPr>
          <w:p w14:paraId="1EE98B4C" w14:textId="77777777" w:rsidR="001C19F3" w:rsidRPr="008A5595" w:rsidRDefault="001C19F3" w:rsidP="00521305">
            <w:pPr>
              <w:spacing w:after="0"/>
              <w:jc w:val="center"/>
              <w:rPr>
                <w:sz w:val="18"/>
                <w:szCs w:val="18"/>
              </w:rPr>
            </w:pPr>
            <w:r>
              <w:rPr>
                <w:sz w:val="18"/>
                <w:szCs w:val="18"/>
              </w:rPr>
              <w:t>2.0</w:t>
            </w:r>
          </w:p>
        </w:tc>
        <w:tc>
          <w:tcPr>
            <w:tcW w:w="1378" w:type="dxa"/>
          </w:tcPr>
          <w:p w14:paraId="00919471" w14:textId="77777777" w:rsidR="001C19F3" w:rsidRPr="008A5595" w:rsidRDefault="001C19F3" w:rsidP="00521305">
            <w:pPr>
              <w:spacing w:after="0"/>
              <w:jc w:val="center"/>
              <w:rPr>
                <w:sz w:val="18"/>
                <w:szCs w:val="18"/>
              </w:rPr>
            </w:pPr>
            <w:r w:rsidRPr="008A5595">
              <w:rPr>
                <w:sz w:val="18"/>
                <w:szCs w:val="18"/>
              </w:rPr>
              <w:t>5.4</w:t>
            </w:r>
          </w:p>
        </w:tc>
      </w:tr>
      <w:tr w:rsidR="001C19F3" w:rsidRPr="007C4473" w14:paraId="241AC50B" w14:textId="77777777" w:rsidTr="00521305">
        <w:trPr>
          <w:jc w:val="center"/>
        </w:trPr>
        <w:tc>
          <w:tcPr>
            <w:tcW w:w="2576" w:type="dxa"/>
          </w:tcPr>
          <w:p w14:paraId="324E888E" w14:textId="77777777" w:rsidR="001C19F3" w:rsidRPr="00783A8A" w:rsidRDefault="001C19F3" w:rsidP="00521305">
            <w:pPr>
              <w:spacing w:after="0"/>
              <w:ind w:left="171"/>
              <w:rPr>
                <w:b/>
                <w:sz w:val="18"/>
                <w:szCs w:val="18"/>
              </w:rPr>
            </w:pPr>
            <w:r>
              <w:rPr>
                <w:color w:val="231F20"/>
                <w:sz w:val="18"/>
              </w:rPr>
              <w:t>Stroke</w:t>
            </w:r>
          </w:p>
        </w:tc>
        <w:tc>
          <w:tcPr>
            <w:tcW w:w="1527" w:type="dxa"/>
          </w:tcPr>
          <w:p w14:paraId="09D98130" w14:textId="77777777" w:rsidR="001C19F3" w:rsidRPr="008A5595" w:rsidRDefault="001C19F3" w:rsidP="00521305">
            <w:pPr>
              <w:spacing w:after="0"/>
              <w:jc w:val="center"/>
              <w:rPr>
                <w:sz w:val="18"/>
                <w:szCs w:val="18"/>
              </w:rPr>
            </w:pPr>
            <w:r>
              <w:rPr>
                <w:sz w:val="18"/>
                <w:szCs w:val="18"/>
              </w:rPr>
              <w:t>1.0</w:t>
            </w:r>
          </w:p>
        </w:tc>
        <w:tc>
          <w:tcPr>
            <w:tcW w:w="1098" w:type="dxa"/>
          </w:tcPr>
          <w:p w14:paraId="783DBA7E" w14:textId="77777777" w:rsidR="001C19F3" w:rsidRPr="008A5595" w:rsidRDefault="001C19F3" w:rsidP="00521305">
            <w:pPr>
              <w:spacing w:after="0"/>
              <w:jc w:val="center"/>
              <w:rPr>
                <w:sz w:val="18"/>
                <w:szCs w:val="18"/>
              </w:rPr>
            </w:pPr>
            <w:r w:rsidRPr="008A5595">
              <w:rPr>
                <w:sz w:val="18"/>
                <w:szCs w:val="18"/>
              </w:rPr>
              <w:t>0</w:t>
            </w:r>
            <w:r>
              <w:rPr>
                <w:sz w:val="18"/>
                <w:szCs w:val="18"/>
              </w:rPr>
              <w:t>.7</w:t>
            </w:r>
          </w:p>
        </w:tc>
        <w:tc>
          <w:tcPr>
            <w:tcW w:w="1107" w:type="dxa"/>
            <w:gridSpan w:val="2"/>
          </w:tcPr>
          <w:p w14:paraId="73286C7B" w14:textId="77777777" w:rsidR="001C19F3" w:rsidRPr="008A5595" w:rsidRDefault="001C19F3" w:rsidP="00521305">
            <w:pPr>
              <w:spacing w:after="0"/>
              <w:jc w:val="center"/>
              <w:rPr>
                <w:sz w:val="18"/>
                <w:szCs w:val="18"/>
              </w:rPr>
            </w:pPr>
            <w:r w:rsidRPr="008A5595">
              <w:rPr>
                <w:sz w:val="18"/>
                <w:szCs w:val="18"/>
              </w:rPr>
              <w:t>1.2</w:t>
            </w:r>
          </w:p>
        </w:tc>
        <w:tc>
          <w:tcPr>
            <w:tcW w:w="1098" w:type="dxa"/>
          </w:tcPr>
          <w:p w14:paraId="70D69C7F" w14:textId="77777777" w:rsidR="001C19F3" w:rsidRPr="008A5595" w:rsidRDefault="001C19F3" w:rsidP="00521305">
            <w:pPr>
              <w:spacing w:after="0"/>
              <w:jc w:val="center"/>
              <w:rPr>
                <w:sz w:val="18"/>
                <w:szCs w:val="18"/>
              </w:rPr>
            </w:pPr>
            <w:r w:rsidRPr="008A5595">
              <w:rPr>
                <w:sz w:val="18"/>
                <w:szCs w:val="18"/>
              </w:rPr>
              <w:t>0.</w:t>
            </w:r>
            <w:r>
              <w:rPr>
                <w:sz w:val="18"/>
                <w:szCs w:val="18"/>
              </w:rPr>
              <w:t>9</w:t>
            </w:r>
          </w:p>
        </w:tc>
        <w:tc>
          <w:tcPr>
            <w:tcW w:w="1378" w:type="dxa"/>
          </w:tcPr>
          <w:p w14:paraId="743EB10A" w14:textId="77777777" w:rsidR="001C19F3" w:rsidRPr="008A5595" w:rsidRDefault="001C19F3" w:rsidP="00521305">
            <w:pPr>
              <w:spacing w:after="0"/>
              <w:jc w:val="center"/>
              <w:rPr>
                <w:sz w:val="18"/>
                <w:szCs w:val="18"/>
              </w:rPr>
            </w:pPr>
            <w:r w:rsidRPr="008A5595">
              <w:rPr>
                <w:sz w:val="18"/>
                <w:szCs w:val="18"/>
              </w:rPr>
              <w:t>1.6</w:t>
            </w:r>
          </w:p>
        </w:tc>
      </w:tr>
      <w:tr w:rsidR="001C19F3" w:rsidRPr="007C4473" w14:paraId="430F851D" w14:textId="77777777" w:rsidTr="00521305">
        <w:trPr>
          <w:jc w:val="center"/>
        </w:trPr>
        <w:tc>
          <w:tcPr>
            <w:tcW w:w="2576" w:type="dxa"/>
          </w:tcPr>
          <w:p w14:paraId="32060CF1" w14:textId="77777777" w:rsidR="001C19F3" w:rsidRDefault="001C19F3" w:rsidP="00521305">
            <w:pPr>
              <w:spacing w:after="0"/>
              <w:ind w:left="171"/>
              <w:rPr>
                <w:sz w:val="18"/>
                <w:szCs w:val="18"/>
              </w:rPr>
            </w:pPr>
            <w:r>
              <w:rPr>
                <w:color w:val="231F20"/>
                <w:sz w:val="18"/>
              </w:rPr>
              <w:t>Congestive heart failure</w:t>
            </w:r>
          </w:p>
        </w:tc>
        <w:tc>
          <w:tcPr>
            <w:tcW w:w="1527" w:type="dxa"/>
          </w:tcPr>
          <w:p w14:paraId="2D2B3A24" w14:textId="77777777" w:rsidR="001C19F3" w:rsidRPr="008A5595" w:rsidRDefault="001C19F3" w:rsidP="00521305">
            <w:pPr>
              <w:spacing w:after="0"/>
              <w:jc w:val="center"/>
              <w:rPr>
                <w:sz w:val="18"/>
                <w:szCs w:val="18"/>
              </w:rPr>
            </w:pPr>
            <w:r w:rsidRPr="008A5595">
              <w:rPr>
                <w:sz w:val="18"/>
                <w:szCs w:val="18"/>
              </w:rPr>
              <w:t>0.6</w:t>
            </w:r>
          </w:p>
        </w:tc>
        <w:tc>
          <w:tcPr>
            <w:tcW w:w="1098" w:type="dxa"/>
          </w:tcPr>
          <w:p w14:paraId="6E624095" w14:textId="77777777" w:rsidR="001C19F3" w:rsidRPr="008A5595" w:rsidRDefault="001C19F3" w:rsidP="00521305">
            <w:pPr>
              <w:spacing w:after="0"/>
              <w:jc w:val="center"/>
              <w:rPr>
                <w:sz w:val="18"/>
                <w:szCs w:val="18"/>
              </w:rPr>
            </w:pPr>
            <w:r w:rsidRPr="008A5595">
              <w:rPr>
                <w:sz w:val="18"/>
                <w:szCs w:val="18"/>
              </w:rPr>
              <w:t>0.</w:t>
            </w:r>
            <w:r>
              <w:rPr>
                <w:sz w:val="18"/>
                <w:szCs w:val="18"/>
              </w:rPr>
              <w:t>7</w:t>
            </w:r>
          </w:p>
        </w:tc>
        <w:tc>
          <w:tcPr>
            <w:tcW w:w="1107" w:type="dxa"/>
            <w:gridSpan w:val="2"/>
          </w:tcPr>
          <w:p w14:paraId="4A54753C" w14:textId="77777777" w:rsidR="001C19F3" w:rsidRPr="008A5595" w:rsidRDefault="001C19F3" w:rsidP="00521305">
            <w:pPr>
              <w:spacing w:after="0"/>
              <w:jc w:val="center"/>
              <w:rPr>
                <w:sz w:val="18"/>
                <w:szCs w:val="18"/>
              </w:rPr>
            </w:pPr>
            <w:r w:rsidRPr="008A5595">
              <w:rPr>
                <w:sz w:val="18"/>
                <w:szCs w:val="18"/>
              </w:rPr>
              <w:t>0.7</w:t>
            </w:r>
          </w:p>
        </w:tc>
        <w:tc>
          <w:tcPr>
            <w:tcW w:w="1098" w:type="dxa"/>
          </w:tcPr>
          <w:p w14:paraId="25226839" w14:textId="77777777" w:rsidR="001C19F3" w:rsidRPr="008A5595" w:rsidRDefault="001C19F3" w:rsidP="00521305">
            <w:pPr>
              <w:spacing w:after="0"/>
              <w:jc w:val="center"/>
              <w:rPr>
                <w:sz w:val="18"/>
                <w:szCs w:val="18"/>
              </w:rPr>
            </w:pPr>
            <w:r w:rsidRPr="008A5595">
              <w:rPr>
                <w:sz w:val="18"/>
                <w:szCs w:val="18"/>
              </w:rPr>
              <w:t>0.</w:t>
            </w:r>
            <w:r>
              <w:rPr>
                <w:sz w:val="18"/>
                <w:szCs w:val="18"/>
              </w:rPr>
              <w:t>9</w:t>
            </w:r>
          </w:p>
        </w:tc>
        <w:tc>
          <w:tcPr>
            <w:tcW w:w="1378" w:type="dxa"/>
          </w:tcPr>
          <w:p w14:paraId="34051BFD" w14:textId="77777777" w:rsidR="001C19F3" w:rsidRPr="008A5595" w:rsidRDefault="001C19F3" w:rsidP="00521305">
            <w:pPr>
              <w:spacing w:after="0"/>
              <w:jc w:val="center"/>
              <w:rPr>
                <w:sz w:val="18"/>
                <w:szCs w:val="18"/>
              </w:rPr>
            </w:pPr>
            <w:r w:rsidRPr="008A5595">
              <w:rPr>
                <w:sz w:val="18"/>
                <w:szCs w:val="18"/>
              </w:rPr>
              <w:t>1.5</w:t>
            </w:r>
          </w:p>
        </w:tc>
      </w:tr>
      <w:tr w:rsidR="001C19F3" w:rsidRPr="007C4473" w14:paraId="59A1F10A" w14:textId="77777777" w:rsidTr="00521305">
        <w:trPr>
          <w:jc w:val="center"/>
        </w:trPr>
        <w:tc>
          <w:tcPr>
            <w:tcW w:w="2576" w:type="dxa"/>
          </w:tcPr>
          <w:p w14:paraId="457278F6" w14:textId="77777777" w:rsidR="001C19F3" w:rsidRDefault="001C19F3" w:rsidP="00521305">
            <w:pPr>
              <w:spacing w:after="0"/>
              <w:ind w:left="171"/>
              <w:rPr>
                <w:sz w:val="18"/>
                <w:szCs w:val="18"/>
              </w:rPr>
            </w:pPr>
            <w:r>
              <w:rPr>
                <w:color w:val="231F20"/>
                <w:sz w:val="18"/>
              </w:rPr>
              <w:t>Osteoarthritis</w:t>
            </w:r>
          </w:p>
        </w:tc>
        <w:tc>
          <w:tcPr>
            <w:tcW w:w="1527" w:type="dxa"/>
          </w:tcPr>
          <w:p w14:paraId="53973D86" w14:textId="77777777" w:rsidR="001C19F3" w:rsidRPr="008A5595" w:rsidRDefault="001C19F3" w:rsidP="00521305">
            <w:pPr>
              <w:spacing w:after="0"/>
              <w:jc w:val="center"/>
              <w:rPr>
                <w:sz w:val="18"/>
                <w:szCs w:val="18"/>
              </w:rPr>
            </w:pPr>
            <w:r>
              <w:rPr>
                <w:sz w:val="18"/>
                <w:szCs w:val="18"/>
              </w:rPr>
              <w:t>6.0</w:t>
            </w:r>
          </w:p>
        </w:tc>
        <w:tc>
          <w:tcPr>
            <w:tcW w:w="1098" w:type="dxa"/>
          </w:tcPr>
          <w:p w14:paraId="6C201472" w14:textId="77777777" w:rsidR="001C19F3" w:rsidRPr="008A5595" w:rsidRDefault="001C19F3" w:rsidP="00521305">
            <w:pPr>
              <w:spacing w:after="0"/>
              <w:jc w:val="center"/>
              <w:rPr>
                <w:sz w:val="18"/>
                <w:szCs w:val="18"/>
              </w:rPr>
            </w:pPr>
            <w:r>
              <w:rPr>
                <w:sz w:val="18"/>
                <w:szCs w:val="18"/>
              </w:rPr>
              <w:t>6.1</w:t>
            </w:r>
          </w:p>
        </w:tc>
        <w:tc>
          <w:tcPr>
            <w:tcW w:w="1107" w:type="dxa"/>
            <w:gridSpan w:val="2"/>
          </w:tcPr>
          <w:p w14:paraId="25BD404B" w14:textId="77777777" w:rsidR="001C19F3" w:rsidRPr="008A5595" w:rsidRDefault="001C19F3" w:rsidP="00521305">
            <w:pPr>
              <w:spacing w:after="0"/>
              <w:jc w:val="center"/>
              <w:rPr>
                <w:sz w:val="18"/>
                <w:szCs w:val="18"/>
              </w:rPr>
            </w:pPr>
            <w:r w:rsidRPr="008A5595">
              <w:rPr>
                <w:sz w:val="18"/>
                <w:szCs w:val="18"/>
              </w:rPr>
              <w:t>7.</w:t>
            </w:r>
            <w:r>
              <w:rPr>
                <w:sz w:val="18"/>
                <w:szCs w:val="18"/>
              </w:rPr>
              <w:t>4</w:t>
            </w:r>
          </w:p>
        </w:tc>
        <w:tc>
          <w:tcPr>
            <w:tcW w:w="1098" w:type="dxa"/>
          </w:tcPr>
          <w:p w14:paraId="68583FDB" w14:textId="77777777" w:rsidR="001C19F3" w:rsidRPr="008A5595" w:rsidRDefault="001C19F3" w:rsidP="00521305">
            <w:pPr>
              <w:spacing w:after="0"/>
              <w:jc w:val="center"/>
              <w:rPr>
                <w:sz w:val="18"/>
                <w:szCs w:val="18"/>
              </w:rPr>
            </w:pPr>
            <w:r>
              <w:rPr>
                <w:sz w:val="18"/>
                <w:szCs w:val="18"/>
              </w:rPr>
              <w:t>7</w:t>
            </w:r>
            <w:r w:rsidRPr="008A5595">
              <w:rPr>
                <w:sz w:val="18"/>
                <w:szCs w:val="18"/>
              </w:rPr>
              <w:t>.4</w:t>
            </w:r>
          </w:p>
        </w:tc>
        <w:tc>
          <w:tcPr>
            <w:tcW w:w="1378" w:type="dxa"/>
          </w:tcPr>
          <w:p w14:paraId="1C96A0C2" w14:textId="77777777" w:rsidR="001C19F3" w:rsidRPr="008A5595" w:rsidRDefault="001C19F3" w:rsidP="00521305">
            <w:pPr>
              <w:spacing w:after="0"/>
              <w:jc w:val="center"/>
              <w:rPr>
                <w:sz w:val="18"/>
                <w:szCs w:val="18"/>
              </w:rPr>
            </w:pPr>
            <w:r w:rsidRPr="008A5595">
              <w:rPr>
                <w:sz w:val="18"/>
                <w:szCs w:val="18"/>
              </w:rPr>
              <w:t>13.7</w:t>
            </w:r>
          </w:p>
        </w:tc>
      </w:tr>
      <w:tr w:rsidR="001C19F3" w:rsidRPr="007C4473" w14:paraId="0B84B8EF" w14:textId="77777777" w:rsidTr="00521305">
        <w:trPr>
          <w:jc w:val="center"/>
        </w:trPr>
        <w:tc>
          <w:tcPr>
            <w:tcW w:w="2576" w:type="dxa"/>
          </w:tcPr>
          <w:p w14:paraId="34A9002C" w14:textId="77777777" w:rsidR="001C19F3" w:rsidRDefault="001C19F3" w:rsidP="00521305">
            <w:pPr>
              <w:spacing w:after="0"/>
              <w:ind w:left="171"/>
              <w:rPr>
                <w:color w:val="231F20"/>
                <w:sz w:val="18"/>
              </w:rPr>
            </w:pPr>
            <w:r>
              <w:rPr>
                <w:color w:val="231F20"/>
                <w:sz w:val="18"/>
              </w:rPr>
              <w:t>Osteoporosis</w:t>
            </w:r>
          </w:p>
        </w:tc>
        <w:tc>
          <w:tcPr>
            <w:tcW w:w="1527" w:type="dxa"/>
          </w:tcPr>
          <w:p w14:paraId="52787545" w14:textId="77777777" w:rsidR="001C19F3" w:rsidRPr="008A5595" w:rsidRDefault="001C19F3" w:rsidP="00521305">
            <w:pPr>
              <w:spacing w:after="0"/>
              <w:jc w:val="center"/>
              <w:rPr>
                <w:sz w:val="18"/>
                <w:szCs w:val="18"/>
              </w:rPr>
            </w:pPr>
            <w:r>
              <w:rPr>
                <w:sz w:val="18"/>
                <w:szCs w:val="18"/>
              </w:rPr>
              <w:t>3.0</w:t>
            </w:r>
          </w:p>
        </w:tc>
        <w:tc>
          <w:tcPr>
            <w:tcW w:w="1098" w:type="dxa"/>
          </w:tcPr>
          <w:p w14:paraId="7237B75F" w14:textId="77777777" w:rsidR="001C19F3" w:rsidRPr="008A5595" w:rsidRDefault="001C19F3" w:rsidP="00521305">
            <w:pPr>
              <w:spacing w:after="0"/>
              <w:jc w:val="center"/>
              <w:rPr>
                <w:sz w:val="18"/>
                <w:szCs w:val="18"/>
              </w:rPr>
            </w:pPr>
            <w:r w:rsidRPr="008A5595">
              <w:rPr>
                <w:sz w:val="18"/>
                <w:szCs w:val="18"/>
              </w:rPr>
              <w:t>1.</w:t>
            </w:r>
            <w:r>
              <w:rPr>
                <w:sz w:val="18"/>
                <w:szCs w:val="18"/>
              </w:rPr>
              <w:t>9</w:t>
            </w:r>
          </w:p>
        </w:tc>
        <w:tc>
          <w:tcPr>
            <w:tcW w:w="1107" w:type="dxa"/>
            <w:gridSpan w:val="2"/>
          </w:tcPr>
          <w:p w14:paraId="5E82B983" w14:textId="77777777" w:rsidR="001C19F3" w:rsidRPr="008A5595" w:rsidRDefault="001C19F3" w:rsidP="00521305">
            <w:pPr>
              <w:spacing w:after="0"/>
              <w:jc w:val="center"/>
              <w:rPr>
                <w:sz w:val="18"/>
                <w:szCs w:val="18"/>
              </w:rPr>
            </w:pPr>
            <w:r w:rsidRPr="008A5595">
              <w:rPr>
                <w:sz w:val="18"/>
                <w:szCs w:val="18"/>
              </w:rPr>
              <w:t>3.</w:t>
            </w:r>
            <w:r>
              <w:rPr>
                <w:sz w:val="18"/>
                <w:szCs w:val="18"/>
              </w:rPr>
              <w:t>8</w:t>
            </w:r>
          </w:p>
        </w:tc>
        <w:tc>
          <w:tcPr>
            <w:tcW w:w="1098" w:type="dxa"/>
          </w:tcPr>
          <w:p w14:paraId="5813B61F" w14:textId="77777777" w:rsidR="001C19F3" w:rsidRPr="008A5595" w:rsidRDefault="001C19F3" w:rsidP="00521305">
            <w:pPr>
              <w:spacing w:after="0"/>
              <w:jc w:val="center"/>
              <w:rPr>
                <w:sz w:val="18"/>
                <w:szCs w:val="18"/>
              </w:rPr>
            </w:pPr>
            <w:r>
              <w:rPr>
                <w:sz w:val="18"/>
                <w:szCs w:val="18"/>
              </w:rPr>
              <w:t>2.2</w:t>
            </w:r>
          </w:p>
        </w:tc>
        <w:tc>
          <w:tcPr>
            <w:tcW w:w="1378" w:type="dxa"/>
          </w:tcPr>
          <w:p w14:paraId="073EB3CF" w14:textId="77777777" w:rsidR="001C19F3" w:rsidRPr="008A5595" w:rsidRDefault="001C19F3" w:rsidP="00521305">
            <w:pPr>
              <w:spacing w:after="0"/>
              <w:jc w:val="center"/>
              <w:rPr>
                <w:sz w:val="18"/>
                <w:szCs w:val="18"/>
              </w:rPr>
            </w:pPr>
            <w:r w:rsidRPr="008A5595">
              <w:rPr>
                <w:sz w:val="18"/>
                <w:szCs w:val="18"/>
              </w:rPr>
              <w:t>4.8</w:t>
            </w:r>
          </w:p>
        </w:tc>
      </w:tr>
      <w:tr w:rsidR="001C19F3" w:rsidRPr="007C4473" w14:paraId="10D0D41B" w14:textId="77777777" w:rsidTr="00521305">
        <w:trPr>
          <w:jc w:val="center"/>
        </w:trPr>
        <w:tc>
          <w:tcPr>
            <w:tcW w:w="2576" w:type="dxa"/>
          </w:tcPr>
          <w:p w14:paraId="7DB76D28" w14:textId="77777777" w:rsidR="001C19F3" w:rsidRPr="00783A8A" w:rsidRDefault="001C19F3" w:rsidP="00521305">
            <w:pPr>
              <w:spacing w:after="0"/>
              <w:ind w:left="171"/>
              <w:rPr>
                <w:b/>
                <w:sz w:val="18"/>
                <w:szCs w:val="18"/>
              </w:rPr>
            </w:pPr>
            <w:r>
              <w:rPr>
                <w:color w:val="231F20"/>
                <w:sz w:val="18"/>
              </w:rPr>
              <w:t>Anxiety</w:t>
            </w:r>
          </w:p>
        </w:tc>
        <w:tc>
          <w:tcPr>
            <w:tcW w:w="1527" w:type="dxa"/>
          </w:tcPr>
          <w:p w14:paraId="00E38A8D" w14:textId="77777777" w:rsidR="001C19F3" w:rsidRPr="008A5595" w:rsidRDefault="001C19F3" w:rsidP="00521305">
            <w:pPr>
              <w:spacing w:after="0"/>
              <w:jc w:val="center"/>
              <w:rPr>
                <w:sz w:val="18"/>
                <w:szCs w:val="18"/>
              </w:rPr>
            </w:pPr>
            <w:r w:rsidRPr="008A5595">
              <w:rPr>
                <w:sz w:val="18"/>
                <w:szCs w:val="18"/>
              </w:rPr>
              <w:t>7.</w:t>
            </w:r>
            <w:r>
              <w:rPr>
                <w:sz w:val="18"/>
                <w:szCs w:val="18"/>
              </w:rPr>
              <w:t>2</w:t>
            </w:r>
          </w:p>
        </w:tc>
        <w:tc>
          <w:tcPr>
            <w:tcW w:w="1098" w:type="dxa"/>
          </w:tcPr>
          <w:p w14:paraId="3446EFCE" w14:textId="77777777" w:rsidR="001C19F3" w:rsidRPr="008A5595" w:rsidRDefault="001C19F3" w:rsidP="00521305">
            <w:pPr>
              <w:spacing w:after="0"/>
              <w:jc w:val="center"/>
              <w:rPr>
                <w:sz w:val="18"/>
                <w:szCs w:val="18"/>
              </w:rPr>
            </w:pPr>
            <w:r>
              <w:rPr>
                <w:sz w:val="18"/>
                <w:szCs w:val="18"/>
              </w:rPr>
              <w:t>7.3</w:t>
            </w:r>
          </w:p>
        </w:tc>
        <w:tc>
          <w:tcPr>
            <w:tcW w:w="1107" w:type="dxa"/>
            <w:gridSpan w:val="2"/>
          </w:tcPr>
          <w:p w14:paraId="206A8E9A" w14:textId="77777777" w:rsidR="001C19F3" w:rsidRPr="008A5595" w:rsidRDefault="001C19F3" w:rsidP="00521305">
            <w:pPr>
              <w:spacing w:after="0"/>
              <w:jc w:val="center"/>
              <w:rPr>
                <w:sz w:val="18"/>
                <w:szCs w:val="18"/>
              </w:rPr>
            </w:pPr>
            <w:r w:rsidRPr="008A5595">
              <w:rPr>
                <w:sz w:val="18"/>
                <w:szCs w:val="18"/>
              </w:rPr>
              <w:t>8.</w:t>
            </w:r>
            <w:r>
              <w:rPr>
                <w:sz w:val="18"/>
                <w:szCs w:val="18"/>
              </w:rPr>
              <w:t>6</w:t>
            </w:r>
          </w:p>
        </w:tc>
        <w:tc>
          <w:tcPr>
            <w:tcW w:w="1098" w:type="dxa"/>
          </w:tcPr>
          <w:p w14:paraId="32ED63FA" w14:textId="77777777" w:rsidR="001C19F3" w:rsidRPr="008A5595" w:rsidRDefault="001C19F3" w:rsidP="00521305">
            <w:pPr>
              <w:spacing w:after="0"/>
              <w:jc w:val="center"/>
              <w:rPr>
                <w:sz w:val="18"/>
                <w:szCs w:val="18"/>
              </w:rPr>
            </w:pPr>
            <w:r>
              <w:rPr>
                <w:sz w:val="18"/>
                <w:szCs w:val="18"/>
              </w:rPr>
              <w:t>8.6</w:t>
            </w:r>
          </w:p>
        </w:tc>
        <w:tc>
          <w:tcPr>
            <w:tcW w:w="1378" w:type="dxa"/>
          </w:tcPr>
          <w:p w14:paraId="58214E97" w14:textId="77777777" w:rsidR="001C19F3" w:rsidRPr="008A5595" w:rsidRDefault="001C19F3" w:rsidP="00521305">
            <w:pPr>
              <w:spacing w:after="0"/>
              <w:jc w:val="center"/>
              <w:rPr>
                <w:sz w:val="18"/>
                <w:szCs w:val="18"/>
              </w:rPr>
            </w:pPr>
            <w:r w:rsidRPr="008A5595">
              <w:rPr>
                <w:sz w:val="18"/>
                <w:szCs w:val="18"/>
              </w:rPr>
              <w:t>16.9</w:t>
            </w:r>
          </w:p>
        </w:tc>
      </w:tr>
      <w:tr w:rsidR="001C19F3" w:rsidRPr="007C4473" w14:paraId="5B5195D3" w14:textId="77777777" w:rsidTr="00521305">
        <w:trPr>
          <w:jc w:val="center"/>
        </w:trPr>
        <w:tc>
          <w:tcPr>
            <w:tcW w:w="2576" w:type="dxa"/>
          </w:tcPr>
          <w:p w14:paraId="3665D87D" w14:textId="77777777" w:rsidR="001C19F3" w:rsidRDefault="001C19F3" w:rsidP="00521305">
            <w:pPr>
              <w:spacing w:after="0"/>
              <w:ind w:left="171"/>
              <w:rPr>
                <w:sz w:val="18"/>
                <w:szCs w:val="18"/>
              </w:rPr>
            </w:pPr>
            <w:r>
              <w:rPr>
                <w:color w:val="231F20"/>
                <w:sz w:val="18"/>
              </w:rPr>
              <w:t>Depression</w:t>
            </w:r>
          </w:p>
        </w:tc>
        <w:tc>
          <w:tcPr>
            <w:tcW w:w="1527" w:type="dxa"/>
          </w:tcPr>
          <w:p w14:paraId="7C2F1497" w14:textId="77777777" w:rsidR="001C19F3" w:rsidRPr="008A5595" w:rsidRDefault="001C19F3" w:rsidP="00521305">
            <w:pPr>
              <w:spacing w:after="0"/>
              <w:jc w:val="center"/>
              <w:rPr>
                <w:sz w:val="18"/>
                <w:szCs w:val="18"/>
              </w:rPr>
            </w:pPr>
            <w:r w:rsidRPr="008A5595">
              <w:rPr>
                <w:sz w:val="18"/>
                <w:szCs w:val="18"/>
              </w:rPr>
              <w:t>9.3</w:t>
            </w:r>
          </w:p>
        </w:tc>
        <w:tc>
          <w:tcPr>
            <w:tcW w:w="1098" w:type="dxa"/>
          </w:tcPr>
          <w:p w14:paraId="3535D540" w14:textId="77777777" w:rsidR="001C19F3" w:rsidRPr="008A5595" w:rsidRDefault="001C19F3" w:rsidP="00521305">
            <w:pPr>
              <w:spacing w:after="0"/>
              <w:jc w:val="center"/>
              <w:rPr>
                <w:sz w:val="18"/>
                <w:szCs w:val="18"/>
              </w:rPr>
            </w:pPr>
            <w:r>
              <w:rPr>
                <w:sz w:val="18"/>
                <w:szCs w:val="18"/>
              </w:rPr>
              <w:t>10.1</w:t>
            </w:r>
          </w:p>
        </w:tc>
        <w:tc>
          <w:tcPr>
            <w:tcW w:w="1107" w:type="dxa"/>
            <w:gridSpan w:val="2"/>
          </w:tcPr>
          <w:p w14:paraId="6D42BD68" w14:textId="77777777" w:rsidR="001C19F3" w:rsidRPr="008A5595" w:rsidRDefault="001C19F3" w:rsidP="00521305">
            <w:pPr>
              <w:spacing w:after="0"/>
              <w:jc w:val="center"/>
              <w:rPr>
                <w:sz w:val="18"/>
                <w:szCs w:val="18"/>
              </w:rPr>
            </w:pPr>
            <w:r w:rsidRPr="008A5595">
              <w:rPr>
                <w:sz w:val="18"/>
                <w:szCs w:val="18"/>
              </w:rPr>
              <w:t>11.4</w:t>
            </w:r>
          </w:p>
        </w:tc>
        <w:tc>
          <w:tcPr>
            <w:tcW w:w="1098" w:type="dxa"/>
          </w:tcPr>
          <w:p w14:paraId="346931B9" w14:textId="77777777" w:rsidR="001C19F3" w:rsidRPr="008A5595" w:rsidRDefault="001C19F3" w:rsidP="00521305">
            <w:pPr>
              <w:spacing w:after="0"/>
              <w:jc w:val="center"/>
              <w:rPr>
                <w:sz w:val="18"/>
                <w:szCs w:val="18"/>
              </w:rPr>
            </w:pPr>
            <w:r w:rsidRPr="008A5595">
              <w:rPr>
                <w:sz w:val="18"/>
                <w:szCs w:val="18"/>
              </w:rPr>
              <w:t>1</w:t>
            </w:r>
            <w:r>
              <w:rPr>
                <w:sz w:val="18"/>
                <w:szCs w:val="18"/>
              </w:rPr>
              <w:t>2.0</w:t>
            </w:r>
          </w:p>
        </w:tc>
        <w:tc>
          <w:tcPr>
            <w:tcW w:w="1378" w:type="dxa"/>
          </w:tcPr>
          <w:p w14:paraId="42A55242" w14:textId="77777777" w:rsidR="001C19F3" w:rsidRPr="008A5595" w:rsidRDefault="001C19F3" w:rsidP="00521305">
            <w:pPr>
              <w:spacing w:after="0"/>
              <w:jc w:val="center"/>
              <w:rPr>
                <w:sz w:val="18"/>
                <w:szCs w:val="18"/>
              </w:rPr>
            </w:pPr>
            <w:r w:rsidRPr="008A5595">
              <w:rPr>
                <w:sz w:val="18"/>
                <w:szCs w:val="18"/>
              </w:rPr>
              <w:t>20.7</w:t>
            </w:r>
          </w:p>
        </w:tc>
      </w:tr>
      <w:tr w:rsidR="001C19F3" w:rsidRPr="007C4473" w14:paraId="1309F4F5" w14:textId="77777777" w:rsidTr="00521305">
        <w:trPr>
          <w:jc w:val="center"/>
        </w:trPr>
        <w:tc>
          <w:tcPr>
            <w:tcW w:w="2576" w:type="dxa"/>
          </w:tcPr>
          <w:p w14:paraId="63EDB669" w14:textId="77777777" w:rsidR="001C19F3" w:rsidRDefault="001C19F3" w:rsidP="00521305">
            <w:pPr>
              <w:spacing w:after="0"/>
              <w:ind w:left="171"/>
              <w:rPr>
                <w:sz w:val="18"/>
                <w:szCs w:val="18"/>
              </w:rPr>
            </w:pPr>
            <w:r>
              <w:rPr>
                <w:color w:val="231F20"/>
                <w:sz w:val="18"/>
              </w:rPr>
              <w:t>Bipolar disorder</w:t>
            </w:r>
          </w:p>
        </w:tc>
        <w:tc>
          <w:tcPr>
            <w:tcW w:w="1527" w:type="dxa"/>
          </w:tcPr>
          <w:p w14:paraId="317BD687" w14:textId="77777777" w:rsidR="001C19F3" w:rsidRPr="008A5595" w:rsidRDefault="001C19F3" w:rsidP="00521305">
            <w:pPr>
              <w:spacing w:after="0"/>
              <w:jc w:val="center"/>
              <w:rPr>
                <w:sz w:val="18"/>
                <w:szCs w:val="18"/>
              </w:rPr>
            </w:pPr>
            <w:r w:rsidRPr="008A5595">
              <w:rPr>
                <w:sz w:val="18"/>
                <w:szCs w:val="18"/>
              </w:rPr>
              <w:t>0.6</w:t>
            </w:r>
          </w:p>
        </w:tc>
        <w:tc>
          <w:tcPr>
            <w:tcW w:w="1098" w:type="dxa"/>
          </w:tcPr>
          <w:p w14:paraId="76E1C099" w14:textId="77777777" w:rsidR="001C19F3" w:rsidRPr="008A5595" w:rsidRDefault="001C19F3" w:rsidP="00521305">
            <w:pPr>
              <w:spacing w:after="0"/>
              <w:jc w:val="center"/>
              <w:rPr>
                <w:sz w:val="18"/>
                <w:szCs w:val="18"/>
              </w:rPr>
            </w:pPr>
            <w:r w:rsidRPr="008A5595">
              <w:rPr>
                <w:sz w:val="18"/>
                <w:szCs w:val="18"/>
              </w:rPr>
              <w:t>0.</w:t>
            </w:r>
            <w:r>
              <w:rPr>
                <w:sz w:val="18"/>
                <w:szCs w:val="18"/>
              </w:rPr>
              <w:t>6</w:t>
            </w:r>
          </w:p>
        </w:tc>
        <w:tc>
          <w:tcPr>
            <w:tcW w:w="1107" w:type="dxa"/>
            <w:gridSpan w:val="2"/>
          </w:tcPr>
          <w:p w14:paraId="4DA69954" w14:textId="77777777" w:rsidR="001C19F3" w:rsidRPr="008A5595" w:rsidRDefault="001C19F3" w:rsidP="00521305">
            <w:pPr>
              <w:spacing w:after="0"/>
              <w:jc w:val="center"/>
              <w:rPr>
                <w:sz w:val="18"/>
                <w:szCs w:val="18"/>
              </w:rPr>
            </w:pPr>
            <w:r w:rsidRPr="008A5595">
              <w:rPr>
                <w:sz w:val="18"/>
                <w:szCs w:val="18"/>
              </w:rPr>
              <w:t>0.8</w:t>
            </w:r>
          </w:p>
        </w:tc>
        <w:tc>
          <w:tcPr>
            <w:tcW w:w="1098" w:type="dxa"/>
          </w:tcPr>
          <w:p w14:paraId="0B550D27" w14:textId="77777777" w:rsidR="001C19F3" w:rsidRPr="008A5595" w:rsidRDefault="001C19F3" w:rsidP="00521305">
            <w:pPr>
              <w:spacing w:after="0"/>
              <w:jc w:val="center"/>
              <w:rPr>
                <w:sz w:val="18"/>
                <w:szCs w:val="18"/>
              </w:rPr>
            </w:pPr>
            <w:r w:rsidRPr="008A5595">
              <w:rPr>
                <w:sz w:val="18"/>
                <w:szCs w:val="18"/>
              </w:rPr>
              <w:t>0.</w:t>
            </w:r>
            <w:r>
              <w:rPr>
                <w:sz w:val="18"/>
                <w:szCs w:val="18"/>
              </w:rPr>
              <w:t>7</w:t>
            </w:r>
          </w:p>
        </w:tc>
        <w:tc>
          <w:tcPr>
            <w:tcW w:w="1378" w:type="dxa"/>
          </w:tcPr>
          <w:p w14:paraId="58E63848" w14:textId="77777777" w:rsidR="001C19F3" w:rsidRPr="008A5595" w:rsidRDefault="001C19F3" w:rsidP="00521305">
            <w:pPr>
              <w:spacing w:after="0"/>
              <w:jc w:val="center"/>
              <w:rPr>
                <w:sz w:val="18"/>
                <w:szCs w:val="18"/>
              </w:rPr>
            </w:pPr>
            <w:r w:rsidRPr="008A5595">
              <w:rPr>
                <w:sz w:val="18"/>
                <w:szCs w:val="18"/>
              </w:rPr>
              <w:t>1.2</w:t>
            </w:r>
          </w:p>
        </w:tc>
      </w:tr>
      <w:tr w:rsidR="001C19F3" w:rsidRPr="007C4473" w14:paraId="0BCB7A5A" w14:textId="77777777" w:rsidTr="00521305">
        <w:trPr>
          <w:jc w:val="center"/>
        </w:trPr>
        <w:tc>
          <w:tcPr>
            <w:tcW w:w="2576" w:type="dxa"/>
          </w:tcPr>
          <w:p w14:paraId="00070378" w14:textId="77777777" w:rsidR="001C19F3" w:rsidRDefault="001C19F3" w:rsidP="00521305">
            <w:pPr>
              <w:spacing w:after="0"/>
              <w:ind w:left="171"/>
              <w:rPr>
                <w:color w:val="231F20"/>
                <w:sz w:val="18"/>
              </w:rPr>
            </w:pPr>
            <w:r>
              <w:rPr>
                <w:color w:val="231F20"/>
                <w:sz w:val="18"/>
              </w:rPr>
              <w:t>Schizophrenia</w:t>
            </w:r>
          </w:p>
        </w:tc>
        <w:tc>
          <w:tcPr>
            <w:tcW w:w="1527" w:type="dxa"/>
          </w:tcPr>
          <w:p w14:paraId="281CC95E" w14:textId="77777777" w:rsidR="001C19F3" w:rsidRPr="008A5595" w:rsidRDefault="001C19F3" w:rsidP="00521305">
            <w:pPr>
              <w:spacing w:after="0"/>
              <w:jc w:val="center"/>
              <w:rPr>
                <w:sz w:val="18"/>
                <w:szCs w:val="18"/>
              </w:rPr>
            </w:pPr>
            <w:r w:rsidRPr="008A5595">
              <w:rPr>
                <w:sz w:val="18"/>
                <w:szCs w:val="18"/>
              </w:rPr>
              <w:t>0.4</w:t>
            </w:r>
          </w:p>
        </w:tc>
        <w:tc>
          <w:tcPr>
            <w:tcW w:w="1098" w:type="dxa"/>
          </w:tcPr>
          <w:p w14:paraId="7365EC85" w14:textId="77777777" w:rsidR="001C19F3" w:rsidRPr="008A5595" w:rsidRDefault="001C19F3" w:rsidP="00521305">
            <w:pPr>
              <w:spacing w:after="0"/>
              <w:jc w:val="center"/>
              <w:rPr>
                <w:sz w:val="18"/>
                <w:szCs w:val="18"/>
              </w:rPr>
            </w:pPr>
            <w:r w:rsidRPr="008A5595">
              <w:rPr>
                <w:sz w:val="18"/>
                <w:szCs w:val="18"/>
              </w:rPr>
              <w:t>0.</w:t>
            </w:r>
            <w:r>
              <w:rPr>
                <w:sz w:val="18"/>
                <w:szCs w:val="18"/>
              </w:rPr>
              <w:t>7</w:t>
            </w:r>
          </w:p>
        </w:tc>
        <w:tc>
          <w:tcPr>
            <w:tcW w:w="1107" w:type="dxa"/>
            <w:gridSpan w:val="2"/>
          </w:tcPr>
          <w:p w14:paraId="282F9BD6" w14:textId="77777777" w:rsidR="001C19F3" w:rsidRPr="008A5595" w:rsidRDefault="001C19F3" w:rsidP="00521305">
            <w:pPr>
              <w:spacing w:after="0"/>
              <w:jc w:val="center"/>
              <w:rPr>
                <w:sz w:val="18"/>
                <w:szCs w:val="18"/>
              </w:rPr>
            </w:pPr>
            <w:r w:rsidRPr="008A5595">
              <w:rPr>
                <w:sz w:val="18"/>
                <w:szCs w:val="18"/>
              </w:rPr>
              <w:t>0.5</w:t>
            </w:r>
          </w:p>
        </w:tc>
        <w:tc>
          <w:tcPr>
            <w:tcW w:w="1098" w:type="dxa"/>
          </w:tcPr>
          <w:p w14:paraId="457A1B69" w14:textId="77777777" w:rsidR="001C19F3" w:rsidRPr="008A5595" w:rsidRDefault="001C19F3" w:rsidP="00521305">
            <w:pPr>
              <w:spacing w:after="0"/>
              <w:jc w:val="center"/>
              <w:rPr>
                <w:sz w:val="18"/>
                <w:szCs w:val="18"/>
              </w:rPr>
            </w:pPr>
            <w:r w:rsidRPr="008A5595">
              <w:rPr>
                <w:sz w:val="18"/>
                <w:szCs w:val="18"/>
              </w:rPr>
              <w:t>0.</w:t>
            </w:r>
            <w:r>
              <w:rPr>
                <w:sz w:val="18"/>
                <w:szCs w:val="18"/>
              </w:rPr>
              <w:t>9</w:t>
            </w:r>
          </w:p>
        </w:tc>
        <w:tc>
          <w:tcPr>
            <w:tcW w:w="1378" w:type="dxa"/>
          </w:tcPr>
          <w:p w14:paraId="787A6D99" w14:textId="77777777" w:rsidR="001C19F3" w:rsidRPr="008A5595" w:rsidRDefault="001C19F3" w:rsidP="00521305">
            <w:pPr>
              <w:spacing w:after="0"/>
              <w:jc w:val="center"/>
              <w:rPr>
                <w:sz w:val="18"/>
                <w:szCs w:val="18"/>
              </w:rPr>
            </w:pPr>
            <w:r w:rsidRPr="008A5595">
              <w:rPr>
                <w:sz w:val="18"/>
                <w:szCs w:val="18"/>
              </w:rPr>
              <w:t>0.8</w:t>
            </w:r>
          </w:p>
        </w:tc>
      </w:tr>
      <w:tr w:rsidR="001C19F3" w:rsidRPr="007C4473" w14:paraId="04A7C1C3" w14:textId="77777777" w:rsidTr="00521305">
        <w:trPr>
          <w:jc w:val="center"/>
        </w:trPr>
        <w:tc>
          <w:tcPr>
            <w:tcW w:w="2576" w:type="dxa"/>
          </w:tcPr>
          <w:p w14:paraId="1821743D" w14:textId="77777777" w:rsidR="001C19F3" w:rsidRDefault="001C19F3" w:rsidP="00521305">
            <w:pPr>
              <w:spacing w:after="0"/>
              <w:ind w:left="171"/>
              <w:rPr>
                <w:color w:val="231F20"/>
                <w:sz w:val="18"/>
              </w:rPr>
            </w:pPr>
            <w:r>
              <w:rPr>
                <w:color w:val="231F20"/>
                <w:sz w:val="18"/>
              </w:rPr>
              <w:t>Dementia</w:t>
            </w:r>
          </w:p>
        </w:tc>
        <w:tc>
          <w:tcPr>
            <w:tcW w:w="1527" w:type="dxa"/>
          </w:tcPr>
          <w:p w14:paraId="5674FBB6" w14:textId="77777777" w:rsidR="001C19F3" w:rsidRPr="008A5595" w:rsidRDefault="001C19F3" w:rsidP="00521305">
            <w:pPr>
              <w:spacing w:after="0"/>
              <w:jc w:val="center"/>
              <w:rPr>
                <w:sz w:val="18"/>
                <w:szCs w:val="18"/>
              </w:rPr>
            </w:pPr>
            <w:r w:rsidRPr="008A5595">
              <w:rPr>
                <w:sz w:val="18"/>
                <w:szCs w:val="18"/>
              </w:rPr>
              <w:t>0.</w:t>
            </w:r>
            <w:r>
              <w:rPr>
                <w:sz w:val="18"/>
                <w:szCs w:val="18"/>
              </w:rPr>
              <w:t>4</w:t>
            </w:r>
          </w:p>
        </w:tc>
        <w:tc>
          <w:tcPr>
            <w:tcW w:w="1098" w:type="dxa"/>
          </w:tcPr>
          <w:p w14:paraId="60E94DC1" w14:textId="77777777" w:rsidR="001C19F3" w:rsidRPr="008A5595" w:rsidRDefault="001C19F3" w:rsidP="00521305">
            <w:pPr>
              <w:spacing w:after="0"/>
              <w:jc w:val="center"/>
              <w:rPr>
                <w:sz w:val="18"/>
                <w:szCs w:val="18"/>
              </w:rPr>
            </w:pPr>
            <w:r w:rsidRPr="008A5595">
              <w:rPr>
                <w:sz w:val="18"/>
                <w:szCs w:val="18"/>
              </w:rPr>
              <w:t>0.</w:t>
            </w:r>
            <w:r>
              <w:rPr>
                <w:sz w:val="18"/>
                <w:szCs w:val="18"/>
              </w:rPr>
              <w:t>3</w:t>
            </w:r>
          </w:p>
        </w:tc>
        <w:tc>
          <w:tcPr>
            <w:tcW w:w="1107" w:type="dxa"/>
            <w:gridSpan w:val="2"/>
          </w:tcPr>
          <w:p w14:paraId="7158E0BE" w14:textId="77777777" w:rsidR="001C19F3" w:rsidRPr="008A5595" w:rsidRDefault="001C19F3" w:rsidP="00521305">
            <w:pPr>
              <w:spacing w:after="0"/>
              <w:jc w:val="center"/>
              <w:rPr>
                <w:sz w:val="18"/>
                <w:szCs w:val="18"/>
              </w:rPr>
            </w:pPr>
            <w:r w:rsidRPr="008A5595">
              <w:rPr>
                <w:sz w:val="18"/>
                <w:szCs w:val="18"/>
              </w:rPr>
              <w:t>0.</w:t>
            </w:r>
            <w:r>
              <w:rPr>
                <w:sz w:val="18"/>
                <w:szCs w:val="18"/>
              </w:rPr>
              <w:t>5</w:t>
            </w:r>
          </w:p>
        </w:tc>
        <w:tc>
          <w:tcPr>
            <w:tcW w:w="1098" w:type="dxa"/>
          </w:tcPr>
          <w:p w14:paraId="79B2CDFC" w14:textId="77777777" w:rsidR="001C19F3" w:rsidRPr="008A5595" w:rsidRDefault="001C19F3" w:rsidP="00521305">
            <w:pPr>
              <w:spacing w:after="0"/>
              <w:jc w:val="center"/>
              <w:rPr>
                <w:sz w:val="18"/>
                <w:szCs w:val="18"/>
              </w:rPr>
            </w:pPr>
            <w:r w:rsidRPr="008A5595">
              <w:rPr>
                <w:sz w:val="18"/>
                <w:szCs w:val="18"/>
              </w:rPr>
              <w:t>0.3</w:t>
            </w:r>
          </w:p>
        </w:tc>
        <w:tc>
          <w:tcPr>
            <w:tcW w:w="1378" w:type="dxa"/>
          </w:tcPr>
          <w:p w14:paraId="5B952B37" w14:textId="77777777" w:rsidR="001C19F3" w:rsidRPr="008A5595" w:rsidRDefault="001C19F3" w:rsidP="00521305">
            <w:pPr>
              <w:spacing w:after="0"/>
              <w:jc w:val="center"/>
              <w:rPr>
                <w:sz w:val="18"/>
                <w:szCs w:val="18"/>
              </w:rPr>
            </w:pPr>
            <w:r w:rsidRPr="008A5595">
              <w:rPr>
                <w:sz w:val="18"/>
                <w:szCs w:val="18"/>
              </w:rPr>
              <w:t>0.6</w:t>
            </w:r>
          </w:p>
        </w:tc>
      </w:tr>
      <w:tr w:rsidR="001C19F3" w:rsidRPr="007C4473" w14:paraId="570D9968" w14:textId="77777777" w:rsidTr="00521305">
        <w:trPr>
          <w:jc w:val="center"/>
        </w:trPr>
        <w:tc>
          <w:tcPr>
            <w:tcW w:w="2576" w:type="dxa"/>
          </w:tcPr>
          <w:p w14:paraId="32C11515" w14:textId="77777777" w:rsidR="001C19F3" w:rsidRDefault="001C19F3" w:rsidP="00521305">
            <w:pPr>
              <w:spacing w:after="0"/>
              <w:ind w:left="171"/>
              <w:rPr>
                <w:color w:val="231F20"/>
                <w:sz w:val="18"/>
              </w:rPr>
            </w:pPr>
            <w:r>
              <w:rPr>
                <w:color w:val="231F20"/>
                <w:sz w:val="18"/>
              </w:rPr>
              <w:t>Cancer (any)</w:t>
            </w:r>
          </w:p>
        </w:tc>
        <w:tc>
          <w:tcPr>
            <w:tcW w:w="1527" w:type="dxa"/>
          </w:tcPr>
          <w:p w14:paraId="345285CB" w14:textId="77777777" w:rsidR="001C19F3" w:rsidRPr="008A5595" w:rsidRDefault="001C19F3" w:rsidP="00521305">
            <w:pPr>
              <w:spacing w:after="0"/>
              <w:jc w:val="center"/>
              <w:rPr>
                <w:sz w:val="18"/>
                <w:szCs w:val="18"/>
              </w:rPr>
            </w:pPr>
            <w:r w:rsidRPr="008A5595">
              <w:rPr>
                <w:sz w:val="18"/>
                <w:szCs w:val="18"/>
              </w:rPr>
              <w:t>2.1</w:t>
            </w:r>
          </w:p>
        </w:tc>
        <w:tc>
          <w:tcPr>
            <w:tcW w:w="1098" w:type="dxa"/>
          </w:tcPr>
          <w:p w14:paraId="5CE39B4E" w14:textId="77777777" w:rsidR="001C19F3" w:rsidRPr="008A5595" w:rsidRDefault="001C19F3" w:rsidP="00521305">
            <w:pPr>
              <w:spacing w:after="0"/>
              <w:jc w:val="center"/>
              <w:rPr>
                <w:sz w:val="18"/>
                <w:szCs w:val="18"/>
              </w:rPr>
            </w:pPr>
            <w:r w:rsidRPr="008A5595">
              <w:rPr>
                <w:sz w:val="18"/>
                <w:szCs w:val="18"/>
              </w:rPr>
              <w:t>2.</w:t>
            </w:r>
            <w:r>
              <w:rPr>
                <w:sz w:val="18"/>
                <w:szCs w:val="18"/>
              </w:rPr>
              <w:t>8</w:t>
            </w:r>
          </w:p>
        </w:tc>
        <w:tc>
          <w:tcPr>
            <w:tcW w:w="1107" w:type="dxa"/>
            <w:gridSpan w:val="2"/>
          </w:tcPr>
          <w:p w14:paraId="22C9E205" w14:textId="77777777" w:rsidR="001C19F3" w:rsidRPr="008A5595" w:rsidRDefault="001C19F3" w:rsidP="00521305">
            <w:pPr>
              <w:spacing w:after="0"/>
              <w:jc w:val="center"/>
              <w:rPr>
                <w:sz w:val="18"/>
                <w:szCs w:val="18"/>
              </w:rPr>
            </w:pPr>
            <w:r w:rsidRPr="008A5595">
              <w:rPr>
                <w:sz w:val="18"/>
                <w:szCs w:val="18"/>
              </w:rPr>
              <w:t>2.</w:t>
            </w:r>
            <w:r>
              <w:rPr>
                <w:sz w:val="18"/>
                <w:szCs w:val="18"/>
              </w:rPr>
              <w:t>5</w:t>
            </w:r>
          </w:p>
        </w:tc>
        <w:tc>
          <w:tcPr>
            <w:tcW w:w="1098" w:type="dxa"/>
          </w:tcPr>
          <w:p w14:paraId="35F095C3" w14:textId="77777777" w:rsidR="001C19F3" w:rsidRPr="008A5595" w:rsidRDefault="001C19F3" w:rsidP="00521305">
            <w:pPr>
              <w:spacing w:after="0"/>
              <w:jc w:val="center"/>
              <w:rPr>
                <w:sz w:val="18"/>
                <w:szCs w:val="18"/>
              </w:rPr>
            </w:pPr>
            <w:r>
              <w:rPr>
                <w:sz w:val="18"/>
                <w:szCs w:val="18"/>
              </w:rPr>
              <w:t>3.3</w:t>
            </w:r>
          </w:p>
        </w:tc>
        <w:tc>
          <w:tcPr>
            <w:tcW w:w="1378" w:type="dxa"/>
          </w:tcPr>
          <w:p w14:paraId="69AE194D" w14:textId="77777777" w:rsidR="001C19F3" w:rsidRPr="008A5595" w:rsidRDefault="001C19F3" w:rsidP="00521305">
            <w:pPr>
              <w:spacing w:after="0"/>
              <w:jc w:val="center"/>
              <w:rPr>
                <w:sz w:val="18"/>
                <w:szCs w:val="18"/>
              </w:rPr>
            </w:pPr>
            <w:r w:rsidRPr="008A5595">
              <w:rPr>
                <w:sz w:val="18"/>
                <w:szCs w:val="18"/>
              </w:rPr>
              <w:t>15.3</w:t>
            </w:r>
          </w:p>
        </w:tc>
      </w:tr>
      <w:tr w:rsidR="001C19F3" w:rsidRPr="007C4473" w14:paraId="4682EFCD" w14:textId="77777777" w:rsidTr="00521305">
        <w:trPr>
          <w:jc w:val="center"/>
        </w:trPr>
        <w:tc>
          <w:tcPr>
            <w:tcW w:w="2576" w:type="dxa"/>
          </w:tcPr>
          <w:p w14:paraId="3FC2FCFA" w14:textId="77777777" w:rsidR="001C19F3" w:rsidRDefault="001C19F3" w:rsidP="00521305">
            <w:pPr>
              <w:spacing w:after="0"/>
              <w:ind w:left="171"/>
              <w:rPr>
                <w:color w:val="231F20"/>
                <w:sz w:val="18"/>
              </w:rPr>
            </w:pPr>
            <w:r>
              <w:rPr>
                <w:color w:val="231F20"/>
                <w:sz w:val="18"/>
              </w:rPr>
              <w:t>High blood pressure</w:t>
            </w:r>
          </w:p>
        </w:tc>
        <w:tc>
          <w:tcPr>
            <w:tcW w:w="1527" w:type="dxa"/>
          </w:tcPr>
          <w:p w14:paraId="366FE6A0" w14:textId="77777777" w:rsidR="001C19F3" w:rsidRPr="008A5595" w:rsidRDefault="001C19F3" w:rsidP="00521305">
            <w:pPr>
              <w:spacing w:after="0"/>
              <w:jc w:val="center"/>
              <w:rPr>
                <w:sz w:val="18"/>
                <w:szCs w:val="18"/>
              </w:rPr>
            </w:pPr>
            <w:r w:rsidRPr="008A5595">
              <w:rPr>
                <w:sz w:val="18"/>
                <w:szCs w:val="18"/>
              </w:rPr>
              <w:t>12.</w:t>
            </w:r>
            <w:r>
              <w:rPr>
                <w:sz w:val="18"/>
                <w:szCs w:val="18"/>
              </w:rPr>
              <w:t>2</w:t>
            </w:r>
          </w:p>
        </w:tc>
        <w:tc>
          <w:tcPr>
            <w:tcW w:w="1098" w:type="dxa"/>
          </w:tcPr>
          <w:p w14:paraId="7DEF5FDD" w14:textId="77777777" w:rsidR="001C19F3" w:rsidRPr="008A5595" w:rsidRDefault="001C19F3" w:rsidP="00521305">
            <w:pPr>
              <w:spacing w:after="0"/>
              <w:jc w:val="center"/>
              <w:rPr>
                <w:sz w:val="18"/>
                <w:szCs w:val="18"/>
              </w:rPr>
            </w:pPr>
            <w:r w:rsidRPr="008A5595">
              <w:rPr>
                <w:sz w:val="18"/>
                <w:szCs w:val="18"/>
              </w:rPr>
              <w:t>1</w:t>
            </w:r>
            <w:r>
              <w:rPr>
                <w:sz w:val="18"/>
                <w:szCs w:val="18"/>
              </w:rPr>
              <w:t>4</w:t>
            </w:r>
            <w:r w:rsidRPr="008A5595">
              <w:rPr>
                <w:sz w:val="18"/>
                <w:szCs w:val="18"/>
              </w:rPr>
              <w:t>.</w:t>
            </w:r>
            <w:r>
              <w:rPr>
                <w:sz w:val="18"/>
                <w:szCs w:val="18"/>
              </w:rPr>
              <w:t>4</w:t>
            </w:r>
          </w:p>
        </w:tc>
        <w:tc>
          <w:tcPr>
            <w:tcW w:w="1107" w:type="dxa"/>
            <w:gridSpan w:val="2"/>
          </w:tcPr>
          <w:p w14:paraId="633D9606" w14:textId="77777777" w:rsidR="001C19F3" w:rsidRPr="008A5595" w:rsidRDefault="001C19F3" w:rsidP="00521305">
            <w:pPr>
              <w:spacing w:after="0"/>
              <w:jc w:val="center"/>
              <w:rPr>
                <w:sz w:val="18"/>
                <w:szCs w:val="18"/>
              </w:rPr>
            </w:pPr>
            <w:r w:rsidRPr="008A5595">
              <w:rPr>
                <w:sz w:val="18"/>
                <w:szCs w:val="18"/>
              </w:rPr>
              <w:t>1</w:t>
            </w:r>
            <w:r>
              <w:rPr>
                <w:sz w:val="18"/>
                <w:szCs w:val="18"/>
              </w:rPr>
              <w:t>5.1</w:t>
            </w:r>
          </w:p>
        </w:tc>
        <w:tc>
          <w:tcPr>
            <w:tcW w:w="1098" w:type="dxa"/>
          </w:tcPr>
          <w:p w14:paraId="4CB13E05" w14:textId="77777777" w:rsidR="001C19F3" w:rsidRPr="008A5595" w:rsidRDefault="001C19F3" w:rsidP="00521305">
            <w:pPr>
              <w:spacing w:after="0"/>
              <w:jc w:val="center"/>
              <w:rPr>
                <w:sz w:val="18"/>
                <w:szCs w:val="18"/>
              </w:rPr>
            </w:pPr>
            <w:r w:rsidRPr="008A5595">
              <w:rPr>
                <w:sz w:val="18"/>
                <w:szCs w:val="18"/>
              </w:rPr>
              <w:t>1</w:t>
            </w:r>
            <w:r>
              <w:rPr>
                <w:sz w:val="18"/>
                <w:szCs w:val="18"/>
              </w:rPr>
              <w:t>7</w:t>
            </w:r>
            <w:r w:rsidRPr="008A5595">
              <w:rPr>
                <w:sz w:val="18"/>
                <w:szCs w:val="18"/>
              </w:rPr>
              <w:t>.</w:t>
            </w:r>
            <w:r>
              <w:rPr>
                <w:sz w:val="18"/>
                <w:szCs w:val="18"/>
              </w:rPr>
              <w:t>3</w:t>
            </w:r>
          </w:p>
        </w:tc>
        <w:tc>
          <w:tcPr>
            <w:tcW w:w="1378" w:type="dxa"/>
          </w:tcPr>
          <w:p w14:paraId="46A5177D" w14:textId="77777777" w:rsidR="001C19F3" w:rsidRPr="008A5595" w:rsidRDefault="001C19F3" w:rsidP="00521305">
            <w:pPr>
              <w:spacing w:after="0"/>
              <w:jc w:val="center"/>
              <w:rPr>
                <w:sz w:val="18"/>
                <w:szCs w:val="18"/>
              </w:rPr>
            </w:pPr>
            <w:r w:rsidRPr="008A5595">
              <w:rPr>
                <w:sz w:val="18"/>
                <w:szCs w:val="18"/>
              </w:rPr>
              <w:t>24.4</w:t>
            </w:r>
          </w:p>
        </w:tc>
      </w:tr>
      <w:tr w:rsidR="001C19F3" w:rsidRPr="007C4473" w14:paraId="16B9FF03" w14:textId="77777777" w:rsidTr="00521305">
        <w:trPr>
          <w:jc w:val="center"/>
        </w:trPr>
        <w:tc>
          <w:tcPr>
            <w:tcW w:w="2576" w:type="dxa"/>
          </w:tcPr>
          <w:p w14:paraId="283659B3" w14:textId="77777777" w:rsidR="001C19F3" w:rsidRDefault="001C19F3" w:rsidP="00521305">
            <w:pPr>
              <w:spacing w:after="0"/>
              <w:ind w:left="171"/>
              <w:rPr>
                <w:color w:val="231F20"/>
                <w:sz w:val="18"/>
              </w:rPr>
            </w:pPr>
            <w:r>
              <w:rPr>
                <w:color w:val="231F20"/>
                <w:sz w:val="18"/>
              </w:rPr>
              <w:t>High cholesterol</w:t>
            </w:r>
          </w:p>
        </w:tc>
        <w:tc>
          <w:tcPr>
            <w:tcW w:w="1527" w:type="dxa"/>
          </w:tcPr>
          <w:p w14:paraId="481BF3C8" w14:textId="77777777" w:rsidR="001C19F3" w:rsidRPr="008A5595" w:rsidRDefault="001C19F3" w:rsidP="00521305">
            <w:pPr>
              <w:spacing w:after="0"/>
              <w:jc w:val="center"/>
              <w:rPr>
                <w:sz w:val="18"/>
                <w:szCs w:val="18"/>
              </w:rPr>
            </w:pPr>
            <w:r w:rsidRPr="008A5595">
              <w:rPr>
                <w:sz w:val="18"/>
                <w:szCs w:val="18"/>
              </w:rPr>
              <w:t>1</w:t>
            </w:r>
            <w:r>
              <w:rPr>
                <w:sz w:val="18"/>
                <w:szCs w:val="18"/>
              </w:rPr>
              <w:t>1</w:t>
            </w:r>
            <w:r w:rsidRPr="008A5595">
              <w:rPr>
                <w:sz w:val="18"/>
                <w:szCs w:val="18"/>
              </w:rPr>
              <w:t>.</w:t>
            </w:r>
            <w:r>
              <w:rPr>
                <w:sz w:val="18"/>
                <w:szCs w:val="18"/>
              </w:rPr>
              <w:t>1</w:t>
            </w:r>
          </w:p>
        </w:tc>
        <w:tc>
          <w:tcPr>
            <w:tcW w:w="1098" w:type="dxa"/>
          </w:tcPr>
          <w:p w14:paraId="73640BA1" w14:textId="77777777" w:rsidR="001C19F3" w:rsidRPr="008A5595" w:rsidRDefault="001C19F3" w:rsidP="00521305">
            <w:pPr>
              <w:spacing w:after="0"/>
              <w:jc w:val="center"/>
              <w:rPr>
                <w:sz w:val="18"/>
                <w:szCs w:val="18"/>
              </w:rPr>
            </w:pPr>
            <w:r w:rsidRPr="008A5595">
              <w:rPr>
                <w:sz w:val="18"/>
                <w:szCs w:val="18"/>
              </w:rPr>
              <w:t>1</w:t>
            </w:r>
            <w:r>
              <w:rPr>
                <w:sz w:val="18"/>
                <w:szCs w:val="18"/>
              </w:rPr>
              <w:t>1</w:t>
            </w:r>
            <w:r w:rsidRPr="008A5595">
              <w:rPr>
                <w:sz w:val="18"/>
                <w:szCs w:val="18"/>
              </w:rPr>
              <w:t>.</w:t>
            </w:r>
            <w:r>
              <w:rPr>
                <w:sz w:val="18"/>
                <w:szCs w:val="18"/>
              </w:rPr>
              <w:t>8</w:t>
            </w:r>
          </w:p>
        </w:tc>
        <w:tc>
          <w:tcPr>
            <w:tcW w:w="1107" w:type="dxa"/>
            <w:gridSpan w:val="2"/>
          </w:tcPr>
          <w:p w14:paraId="601F26BB" w14:textId="77777777" w:rsidR="001C19F3" w:rsidRPr="008A5595" w:rsidRDefault="001C19F3" w:rsidP="00521305">
            <w:pPr>
              <w:spacing w:after="0"/>
              <w:jc w:val="center"/>
              <w:rPr>
                <w:sz w:val="18"/>
                <w:szCs w:val="18"/>
              </w:rPr>
            </w:pPr>
            <w:r w:rsidRPr="008A5595">
              <w:rPr>
                <w:sz w:val="18"/>
                <w:szCs w:val="18"/>
              </w:rPr>
              <w:t>1</w:t>
            </w:r>
            <w:r>
              <w:rPr>
                <w:sz w:val="18"/>
                <w:szCs w:val="18"/>
              </w:rPr>
              <w:t>3</w:t>
            </w:r>
            <w:r w:rsidRPr="008A5595">
              <w:rPr>
                <w:sz w:val="18"/>
                <w:szCs w:val="18"/>
              </w:rPr>
              <w:t>.</w:t>
            </w:r>
            <w:r>
              <w:rPr>
                <w:sz w:val="18"/>
                <w:szCs w:val="18"/>
              </w:rPr>
              <w:t>7</w:t>
            </w:r>
          </w:p>
        </w:tc>
        <w:tc>
          <w:tcPr>
            <w:tcW w:w="1098" w:type="dxa"/>
          </w:tcPr>
          <w:p w14:paraId="261DCEE5" w14:textId="77777777" w:rsidR="001C19F3" w:rsidRPr="008A5595" w:rsidRDefault="001C19F3" w:rsidP="00521305">
            <w:pPr>
              <w:spacing w:after="0"/>
              <w:jc w:val="center"/>
              <w:rPr>
                <w:sz w:val="18"/>
                <w:szCs w:val="18"/>
              </w:rPr>
            </w:pPr>
            <w:r w:rsidRPr="008A5595">
              <w:rPr>
                <w:sz w:val="18"/>
                <w:szCs w:val="18"/>
              </w:rPr>
              <w:t>1</w:t>
            </w:r>
            <w:r>
              <w:rPr>
                <w:sz w:val="18"/>
                <w:szCs w:val="18"/>
              </w:rPr>
              <w:t>4</w:t>
            </w:r>
            <w:r w:rsidRPr="008A5595">
              <w:rPr>
                <w:sz w:val="18"/>
                <w:szCs w:val="18"/>
              </w:rPr>
              <w:t>.</w:t>
            </w:r>
            <w:r>
              <w:rPr>
                <w:sz w:val="18"/>
                <w:szCs w:val="18"/>
              </w:rPr>
              <w:t>2</w:t>
            </w:r>
          </w:p>
        </w:tc>
        <w:tc>
          <w:tcPr>
            <w:tcW w:w="1378" w:type="dxa"/>
          </w:tcPr>
          <w:p w14:paraId="6096DD70" w14:textId="77777777" w:rsidR="001C19F3" w:rsidRPr="008A5595" w:rsidRDefault="001C19F3" w:rsidP="00521305">
            <w:pPr>
              <w:spacing w:after="0"/>
              <w:jc w:val="center"/>
              <w:rPr>
                <w:sz w:val="18"/>
                <w:szCs w:val="18"/>
              </w:rPr>
            </w:pPr>
            <w:r w:rsidRPr="008A5595">
              <w:rPr>
                <w:sz w:val="18"/>
                <w:szCs w:val="18"/>
              </w:rPr>
              <w:t>18.7</w:t>
            </w:r>
          </w:p>
        </w:tc>
      </w:tr>
      <w:tr w:rsidR="001C19F3" w:rsidRPr="007C4473" w14:paraId="3BEB9FDB" w14:textId="77777777" w:rsidTr="00521305">
        <w:trPr>
          <w:jc w:val="center"/>
        </w:trPr>
        <w:tc>
          <w:tcPr>
            <w:tcW w:w="2576" w:type="dxa"/>
          </w:tcPr>
          <w:p w14:paraId="7878CA16" w14:textId="77777777" w:rsidR="001C19F3" w:rsidRDefault="001C19F3" w:rsidP="00521305">
            <w:pPr>
              <w:spacing w:after="0"/>
              <w:ind w:left="171"/>
              <w:rPr>
                <w:color w:val="231F20"/>
                <w:sz w:val="18"/>
              </w:rPr>
            </w:pPr>
            <w:r>
              <w:rPr>
                <w:color w:val="231F20"/>
                <w:sz w:val="18"/>
              </w:rPr>
              <w:t>Diabetes type 1</w:t>
            </w:r>
          </w:p>
        </w:tc>
        <w:tc>
          <w:tcPr>
            <w:tcW w:w="1527" w:type="dxa"/>
          </w:tcPr>
          <w:p w14:paraId="4CEDB071" w14:textId="77777777" w:rsidR="001C19F3" w:rsidRPr="008A5595" w:rsidRDefault="001C19F3" w:rsidP="00521305">
            <w:pPr>
              <w:spacing w:after="0"/>
              <w:jc w:val="center"/>
              <w:rPr>
                <w:sz w:val="18"/>
                <w:szCs w:val="18"/>
              </w:rPr>
            </w:pPr>
            <w:r w:rsidRPr="008A5595">
              <w:rPr>
                <w:sz w:val="18"/>
                <w:szCs w:val="18"/>
              </w:rPr>
              <w:t>0.4</w:t>
            </w:r>
          </w:p>
        </w:tc>
        <w:tc>
          <w:tcPr>
            <w:tcW w:w="1098" w:type="dxa"/>
          </w:tcPr>
          <w:p w14:paraId="5596C208" w14:textId="77777777" w:rsidR="001C19F3" w:rsidRPr="008A5595" w:rsidRDefault="001C19F3" w:rsidP="00521305">
            <w:pPr>
              <w:spacing w:after="0"/>
              <w:jc w:val="center"/>
              <w:rPr>
                <w:sz w:val="18"/>
                <w:szCs w:val="18"/>
              </w:rPr>
            </w:pPr>
            <w:r w:rsidRPr="008A5595">
              <w:rPr>
                <w:sz w:val="18"/>
                <w:szCs w:val="18"/>
              </w:rPr>
              <w:t>0.3</w:t>
            </w:r>
          </w:p>
        </w:tc>
        <w:tc>
          <w:tcPr>
            <w:tcW w:w="1107" w:type="dxa"/>
            <w:gridSpan w:val="2"/>
          </w:tcPr>
          <w:p w14:paraId="139E84BA" w14:textId="77777777" w:rsidR="001C19F3" w:rsidRPr="008A5595" w:rsidRDefault="001C19F3" w:rsidP="00521305">
            <w:pPr>
              <w:spacing w:after="0"/>
              <w:jc w:val="center"/>
              <w:rPr>
                <w:sz w:val="18"/>
                <w:szCs w:val="18"/>
              </w:rPr>
            </w:pPr>
            <w:r w:rsidRPr="008A5595">
              <w:rPr>
                <w:sz w:val="18"/>
                <w:szCs w:val="18"/>
              </w:rPr>
              <w:t>0.5</w:t>
            </w:r>
          </w:p>
        </w:tc>
        <w:tc>
          <w:tcPr>
            <w:tcW w:w="1098" w:type="dxa"/>
          </w:tcPr>
          <w:p w14:paraId="4356828D" w14:textId="77777777" w:rsidR="001C19F3" w:rsidRPr="008A5595" w:rsidRDefault="001C19F3" w:rsidP="00521305">
            <w:pPr>
              <w:spacing w:after="0"/>
              <w:jc w:val="center"/>
              <w:rPr>
                <w:sz w:val="18"/>
                <w:szCs w:val="18"/>
              </w:rPr>
            </w:pPr>
            <w:r w:rsidRPr="008A5595">
              <w:rPr>
                <w:sz w:val="18"/>
                <w:szCs w:val="18"/>
              </w:rPr>
              <w:t>0.4</w:t>
            </w:r>
          </w:p>
        </w:tc>
        <w:tc>
          <w:tcPr>
            <w:tcW w:w="1378" w:type="dxa"/>
          </w:tcPr>
          <w:p w14:paraId="68DB30CA" w14:textId="77777777" w:rsidR="001C19F3" w:rsidRPr="008A5595" w:rsidRDefault="001C19F3" w:rsidP="00521305">
            <w:pPr>
              <w:spacing w:after="0"/>
              <w:jc w:val="center"/>
              <w:rPr>
                <w:sz w:val="18"/>
                <w:szCs w:val="18"/>
              </w:rPr>
            </w:pPr>
            <w:r w:rsidRPr="008A5595">
              <w:rPr>
                <w:sz w:val="18"/>
                <w:szCs w:val="18"/>
              </w:rPr>
              <w:t>0.7</w:t>
            </w:r>
          </w:p>
        </w:tc>
      </w:tr>
      <w:tr w:rsidR="001C19F3" w:rsidRPr="007C4473" w14:paraId="4A8D7916" w14:textId="77777777" w:rsidTr="00521305">
        <w:trPr>
          <w:jc w:val="center"/>
        </w:trPr>
        <w:tc>
          <w:tcPr>
            <w:tcW w:w="2576" w:type="dxa"/>
          </w:tcPr>
          <w:p w14:paraId="596072AB" w14:textId="77777777" w:rsidR="001C19F3" w:rsidRDefault="001C19F3" w:rsidP="00521305">
            <w:pPr>
              <w:spacing w:after="0"/>
              <w:ind w:left="171"/>
              <w:rPr>
                <w:color w:val="231F20"/>
                <w:sz w:val="18"/>
              </w:rPr>
            </w:pPr>
            <w:r>
              <w:rPr>
                <w:color w:val="231F20"/>
                <w:sz w:val="18"/>
              </w:rPr>
              <w:t>Diabetes type 2</w:t>
            </w:r>
          </w:p>
        </w:tc>
        <w:tc>
          <w:tcPr>
            <w:tcW w:w="1527" w:type="dxa"/>
          </w:tcPr>
          <w:p w14:paraId="641BE95A" w14:textId="77777777" w:rsidR="001C19F3" w:rsidRPr="008A5595" w:rsidRDefault="001C19F3" w:rsidP="00521305">
            <w:pPr>
              <w:spacing w:after="0"/>
              <w:jc w:val="center"/>
              <w:rPr>
                <w:sz w:val="18"/>
                <w:szCs w:val="18"/>
              </w:rPr>
            </w:pPr>
            <w:r w:rsidRPr="008A5595">
              <w:rPr>
                <w:sz w:val="18"/>
                <w:szCs w:val="18"/>
              </w:rPr>
              <w:t>4.3</w:t>
            </w:r>
          </w:p>
        </w:tc>
        <w:tc>
          <w:tcPr>
            <w:tcW w:w="1098" w:type="dxa"/>
          </w:tcPr>
          <w:p w14:paraId="1DD41CBB" w14:textId="77777777" w:rsidR="001C19F3" w:rsidRPr="008A5595" w:rsidRDefault="001C19F3" w:rsidP="00521305">
            <w:pPr>
              <w:spacing w:after="0"/>
              <w:jc w:val="center"/>
              <w:rPr>
                <w:sz w:val="18"/>
                <w:szCs w:val="18"/>
              </w:rPr>
            </w:pPr>
            <w:r w:rsidRPr="008A5595">
              <w:rPr>
                <w:sz w:val="18"/>
                <w:szCs w:val="18"/>
              </w:rPr>
              <w:t>2.</w:t>
            </w:r>
            <w:r>
              <w:rPr>
                <w:sz w:val="18"/>
                <w:szCs w:val="18"/>
              </w:rPr>
              <w:t>9</w:t>
            </w:r>
          </w:p>
        </w:tc>
        <w:tc>
          <w:tcPr>
            <w:tcW w:w="1107" w:type="dxa"/>
            <w:gridSpan w:val="2"/>
          </w:tcPr>
          <w:p w14:paraId="6D5EEF26" w14:textId="77777777" w:rsidR="001C19F3" w:rsidRPr="008A5595" w:rsidRDefault="001C19F3" w:rsidP="00521305">
            <w:pPr>
              <w:spacing w:after="0"/>
              <w:jc w:val="center"/>
              <w:rPr>
                <w:sz w:val="18"/>
                <w:szCs w:val="18"/>
              </w:rPr>
            </w:pPr>
            <w:r w:rsidRPr="008A5595">
              <w:rPr>
                <w:sz w:val="18"/>
                <w:szCs w:val="18"/>
              </w:rPr>
              <w:t>5.</w:t>
            </w:r>
            <w:r>
              <w:rPr>
                <w:sz w:val="18"/>
                <w:szCs w:val="18"/>
              </w:rPr>
              <w:t>3</w:t>
            </w:r>
          </w:p>
        </w:tc>
        <w:tc>
          <w:tcPr>
            <w:tcW w:w="1098" w:type="dxa"/>
          </w:tcPr>
          <w:p w14:paraId="6E096E00" w14:textId="77777777" w:rsidR="001C19F3" w:rsidRPr="008A5595" w:rsidRDefault="001C19F3" w:rsidP="00521305">
            <w:pPr>
              <w:spacing w:after="0"/>
              <w:jc w:val="center"/>
              <w:rPr>
                <w:sz w:val="18"/>
                <w:szCs w:val="18"/>
              </w:rPr>
            </w:pPr>
            <w:r w:rsidRPr="008A5595">
              <w:rPr>
                <w:sz w:val="18"/>
                <w:szCs w:val="18"/>
              </w:rPr>
              <w:t>3.</w:t>
            </w:r>
            <w:r>
              <w:rPr>
                <w:sz w:val="18"/>
                <w:szCs w:val="18"/>
              </w:rPr>
              <w:t>5</w:t>
            </w:r>
          </w:p>
        </w:tc>
        <w:tc>
          <w:tcPr>
            <w:tcW w:w="1378" w:type="dxa"/>
          </w:tcPr>
          <w:p w14:paraId="7ACDF719" w14:textId="77777777" w:rsidR="001C19F3" w:rsidRPr="008A5595" w:rsidRDefault="001C19F3" w:rsidP="00521305">
            <w:pPr>
              <w:spacing w:after="0"/>
              <w:jc w:val="center"/>
              <w:rPr>
                <w:sz w:val="18"/>
                <w:szCs w:val="18"/>
              </w:rPr>
            </w:pPr>
            <w:r w:rsidRPr="008A5595">
              <w:rPr>
                <w:sz w:val="18"/>
                <w:szCs w:val="18"/>
              </w:rPr>
              <w:t>6.3</w:t>
            </w:r>
          </w:p>
        </w:tc>
      </w:tr>
      <w:tr w:rsidR="001C19F3" w:rsidRPr="007C4473" w14:paraId="3FE1ADEE" w14:textId="77777777" w:rsidTr="00521305">
        <w:trPr>
          <w:jc w:val="center"/>
        </w:trPr>
        <w:tc>
          <w:tcPr>
            <w:tcW w:w="2576" w:type="dxa"/>
          </w:tcPr>
          <w:p w14:paraId="306B1656" w14:textId="77777777" w:rsidR="001C19F3" w:rsidRDefault="001C19F3" w:rsidP="00521305">
            <w:pPr>
              <w:spacing w:after="0"/>
              <w:ind w:left="171"/>
              <w:rPr>
                <w:color w:val="231F20"/>
                <w:sz w:val="18"/>
              </w:rPr>
            </w:pPr>
            <w:r>
              <w:rPr>
                <w:color w:val="231F20"/>
                <w:sz w:val="18"/>
              </w:rPr>
              <w:t>Chronic kidney disease</w:t>
            </w:r>
          </w:p>
        </w:tc>
        <w:tc>
          <w:tcPr>
            <w:tcW w:w="1527" w:type="dxa"/>
          </w:tcPr>
          <w:p w14:paraId="1744B6D0" w14:textId="77777777" w:rsidR="001C19F3" w:rsidRPr="008A5595" w:rsidRDefault="001C19F3" w:rsidP="00521305">
            <w:pPr>
              <w:spacing w:after="0"/>
              <w:jc w:val="center"/>
              <w:rPr>
                <w:sz w:val="18"/>
                <w:szCs w:val="18"/>
              </w:rPr>
            </w:pPr>
            <w:r w:rsidRPr="008A5595">
              <w:rPr>
                <w:sz w:val="18"/>
                <w:szCs w:val="18"/>
              </w:rPr>
              <w:t>1.1</w:t>
            </w:r>
          </w:p>
        </w:tc>
        <w:tc>
          <w:tcPr>
            <w:tcW w:w="1098" w:type="dxa"/>
          </w:tcPr>
          <w:p w14:paraId="42260DAC" w14:textId="77777777" w:rsidR="001C19F3" w:rsidRPr="008A5595" w:rsidRDefault="001C19F3" w:rsidP="00521305">
            <w:pPr>
              <w:spacing w:after="0"/>
              <w:jc w:val="center"/>
              <w:rPr>
                <w:sz w:val="18"/>
                <w:szCs w:val="18"/>
              </w:rPr>
            </w:pPr>
            <w:r w:rsidRPr="008A5595">
              <w:rPr>
                <w:sz w:val="18"/>
                <w:szCs w:val="18"/>
              </w:rPr>
              <w:t>0.</w:t>
            </w:r>
            <w:r>
              <w:rPr>
                <w:sz w:val="18"/>
                <w:szCs w:val="18"/>
              </w:rPr>
              <w:t>4</w:t>
            </w:r>
          </w:p>
        </w:tc>
        <w:tc>
          <w:tcPr>
            <w:tcW w:w="1107" w:type="dxa"/>
            <w:gridSpan w:val="2"/>
          </w:tcPr>
          <w:p w14:paraId="48E75D98" w14:textId="77777777" w:rsidR="001C19F3" w:rsidRPr="008A5595" w:rsidRDefault="001C19F3" w:rsidP="00521305">
            <w:pPr>
              <w:spacing w:after="0"/>
              <w:jc w:val="center"/>
              <w:rPr>
                <w:sz w:val="18"/>
                <w:szCs w:val="18"/>
              </w:rPr>
            </w:pPr>
            <w:r w:rsidRPr="008A5595">
              <w:rPr>
                <w:sz w:val="18"/>
                <w:szCs w:val="18"/>
              </w:rPr>
              <w:t>1.4</w:t>
            </w:r>
          </w:p>
        </w:tc>
        <w:tc>
          <w:tcPr>
            <w:tcW w:w="1098" w:type="dxa"/>
          </w:tcPr>
          <w:p w14:paraId="6EFE6F73" w14:textId="77777777" w:rsidR="001C19F3" w:rsidRPr="008A5595" w:rsidRDefault="001C19F3" w:rsidP="00521305">
            <w:pPr>
              <w:spacing w:after="0"/>
              <w:jc w:val="center"/>
              <w:rPr>
                <w:sz w:val="18"/>
                <w:szCs w:val="18"/>
              </w:rPr>
            </w:pPr>
            <w:r w:rsidRPr="008A5595">
              <w:rPr>
                <w:sz w:val="18"/>
                <w:szCs w:val="18"/>
              </w:rPr>
              <w:t>0.</w:t>
            </w:r>
            <w:r>
              <w:rPr>
                <w:sz w:val="18"/>
                <w:szCs w:val="18"/>
              </w:rPr>
              <w:t>5</w:t>
            </w:r>
          </w:p>
        </w:tc>
        <w:tc>
          <w:tcPr>
            <w:tcW w:w="1378" w:type="dxa"/>
          </w:tcPr>
          <w:p w14:paraId="320689D0" w14:textId="77777777" w:rsidR="001C19F3" w:rsidRPr="008A5595" w:rsidRDefault="001C19F3" w:rsidP="00521305">
            <w:pPr>
              <w:spacing w:after="0"/>
              <w:jc w:val="center"/>
              <w:rPr>
                <w:sz w:val="18"/>
                <w:szCs w:val="18"/>
              </w:rPr>
            </w:pPr>
            <w:r w:rsidRPr="008A5595">
              <w:rPr>
                <w:sz w:val="18"/>
                <w:szCs w:val="18"/>
              </w:rPr>
              <w:t>1.4</w:t>
            </w:r>
          </w:p>
        </w:tc>
      </w:tr>
    </w:tbl>
    <w:p w14:paraId="4FDA543C" w14:textId="77777777" w:rsidR="001C19F3" w:rsidRPr="006C20C8" w:rsidRDefault="001C19F3" w:rsidP="001C19F3">
      <w:pPr>
        <w:pStyle w:val="Chartortablefootnote"/>
      </w:pPr>
      <w:r w:rsidRPr="006C20C8">
        <w:rPr>
          <w:vertAlign w:val="superscript"/>
        </w:rPr>
        <w:t>1</w:t>
      </w:r>
      <w:r w:rsidRPr="006C20C8">
        <w:t xml:space="preserve">MedicineInsight data are provided for patients aged 15 years and older. </w:t>
      </w:r>
      <w:r w:rsidRPr="006C20C8">
        <w:rPr>
          <w:vertAlign w:val="superscript"/>
        </w:rPr>
        <w:t>2</w:t>
      </w:r>
      <w:r>
        <w:t>‘</w:t>
      </w:r>
      <w:r w:rsidRPr="006C20C8">
        <w:t>Practice active patient</w:t>
      </w:r>
      <w:r>
        <w:t>’</w:t>
      </w:r>
      <w:r w:rsidRPr="006C20C8">
        <w:t xml:space="preserve"> is defined in Pen CS data as having at least three progress notes recorded in two years. In NPS MedicineInsight, it is defined as patient having encounters on at least three days in the last two years, who was marked as </w:t>
      </w:r>
      <w:r>
        <w:t>‘</w:t>
      </w:r>
      <w:r w:rsidRPr="006C20C8">
        <w:t>active</w:t>
      </w:r>
      <w:r>
        <w:t>’</w:t>
      </w:r>
      <w:r w:rsidRPr="006C20C8">
        <w:t xml:space="preserve"> and not marked as </w:t>
      </w:r>
      <w:r>
        <w:t>‘</w:t>
      </w:r>
      <w:r w:rsidRPr="006C20C8">
        <w:t>deceased</w:t>
      </w:r>
      <w:r>
        <w:t>’</w:t>
      </w:r>
      <w:r w:rsidRPr="006C20C8">
        <w:t xml:space="preserve"> in the GP system. In POLAR data, it is defined as patient having at least three different dates recorded in the extract data as of an encounter, observation, pathology test, prescription or MBS billing in 21 months (from October 2017 to June 2019). Deceased patients were excluded.</w:t>
      </w:r>
    </w:p>
    <w:p w14:paraId="05DE544C" w14:textId="77777777" w:rsidR="001C19F3" w:rsidRDefault="001C19F3" w:rsidP="001C19F3">
      <w:pPr>
        <w:pStyle w:val="Heading2"/>
      </w:pPr>
      <w:bookmarkStart w:id="513" w:name="_Toc27058961"/>
      <w:r>
        <w:t>Practice recording of HCH enrolments</w:t>
      </w:r>
      <w:bookmarkEnd w:id="513"/>
    </w:p>
    <w:p w14:paraId="3D549A90" w14:textId="77777777" w:rsidR="001C19F3" w:rsidRDefault="001C19F3" w:rsidP="001C19F3">
      <w:r>
        <w:t>The practice needs to flag HCH enrolled patients</w:t>
      </w:r>
      <w:r w:rsidRPr="00B5455B">
        <w:t xml:space="preserve"> in </w:t>
      </w:r>
      <w:r>
        <w:t>their</w:t>
      </w:r>
      <w:r w:rsidRPr="00B5455B">
        <w:t xml:space="preserve"> clinical management system </w:t>
      </w:r>
      <w:r>
        <w:t xml:space="preserve">to enable </w:t>
      </w:r>
      <w:r w:rsidRPr="00B5455B">
        <w:t xml:space="preserve">clinicians </w:t>
      </w:r>
      <w:r>
        <w:t>in the practice to identify the patients. The</w:t>
      </w:r>
      <w:r w:rsidRPr="00D7324E">
        <w:t xml:space="preserve"> </w:t>
      </w:r>
      <w:r>
        <w:t xml:space="preserve">practice also needs to </w:t>
      </w:r>
      <w:r w:rsidRPr="00D7324E">
        <w:t>flag</w:t>
      </w:r>
      <w:r>
        <w:t xml:space="preserve"> </w:t>
      </w:r>
      <w:r w:rsidRPr="00D7324E">
        <w:t>HCH patients</w:t>
      </w:r>
      <w:r>
        <w:t xml:space="preserve"> </w:t>
      </w:r>
      <w:r w:rsidRPr="00D7324E">
        <w:t xml:space="preserve">in </w:t>
      </w:r>
      <w:r>
        <w:t xml:space="preserve">such a manner that allows the flags to be extracted by the relevant </w:t>
      </w:r>
      <w:r w:rsidRPr="00D7324E">
        <w:t xml:space="preserve">extraction </w:t>
      </w:r>
      <w:r>
        <w:t xml:space="preserve">software. Pen CS practices were instructed to record patient tier and withdrawal status using the TopBar functionality, and for those that don’t have TopBar, using the CAT 4 application. POLAR practices were requested to follow </w:t>
      </w:r>
      <w:r w:rsidRPr="000E1F4B">
        <w:t>Australian Association of Practice Management</w:t>
      </w:r>
      <w:r>
        <w:t xml:space="preserve"> guidance on using practice management software for HCH recording and reporting (</w:t>
      </w:r>
      <w:r>
        <w:fldChar w:fldCharType="begin"/>
      </w:r>
      <w:r>
        <w:instrText xml:space="preserve"> ADDIN EN.CITE &lt;EndNote&gt;&lt;Cite&gt;&lt;Author&gt;Australian Association of Practice Management&lt;/Author&gt;&lt;Year&gt;2017&lt;/Year&gt;&lt;RecNum&gt;1033&lt;/RecNum&gt;&lt;DisplayText&gt;Australian Association of Practice Management, 2017&lt;/DisplayText&gt;&lt;record&gt;&lt;rec-number&gt;1033&lt;/rec-number&gt;&lt;foreign-keys&gt;&lt;key app="EN" db-id="zdz9xax04zr9v0evw2nvrpw9xe9ttzvs5zsv" timestamp="1535440279"&gt;1033&lt;/key&gt;&lt;/foreign-keys&gt;&lt;ref-type name="Report"&gt;27&lt;/ref-type&gt;&lt;contributors&gt;&lt;authors&gt;&lt;author&gt;Australian Association of Practice Management,,&lt;/author&gt;&lt;/authors&gt;&lt;/contributors&gt;&lt;titles&gt;&lt;title&gt;Health Care Home Activity Monitoring Guide October 2017&lt;/title&gt;&lt;/titles&gt;&lt;dates&gt;&lt;year&gt;2017&lt;/year&gt;&lt;/dates&gt;&lt;pub-location&gt;Melbourne&lt;/pub-location&gt;&lt;publisher&gt;AAPM&lt;/publisher&gt;&lt;urls&gt;&lt;related-urls&gt;&lt;url&gt;https://www.aapm.org.au/Portals/1/documents/Health-Care-Homes/HCH_Activity_Monitoring_Guide_Oct_2017.pdf&lt;/url&gt;&lt;/related-urls&gt;&lt;/urls&gt;&lt;/record&gt;&lt;/Cite&gt;&lt;/EndNote&gt;</w:instrText>
      </w:r>
      <w:r>
        <w:fldChar w:fldCharType="separate"/>
      </w:r>
      <w:r>
        <w:rPr>
          <w:noProof/>
        </w:rPr>
        <w:t>Australian Association of Practice Management, 2017</w:t>
      </w:r>
      <w:r>
        <w:fldChar w:fldCharType="end"/>
      </w:r>
      <w:r>
        <w:t>)</w:t>
      </w:r>
      <w:r w:rsidRPr="006C20C8">
        <w:t>.</w:t>
      </w:r>
      <w:r>
        <w:t xml:space="preserve"> MedicineInsight practices were requested to record the HCH risk tier in the patient diagnosis screen of the practice clinical management system using a specific text string.</w:t>
      </w:r>
    </w:p>
    <w:p w14:paraId="71BA4D91" w14:textId="77777777" w:rsidR="001C19F3" w:rsidRDefault="001C19F3" w:rsidP="001C19F3">
      <w:r>
        <w:t>To assess the accuracy of the recording of HCH enrolments, the total number of HCH patients and risk tier identified in practice extracts were compared to the HCH registrations within the HPOS system.</w:t>
      </w:r>
      <w:r w:rsidRPr="006B3FFB">
        <w:t xml:space="preserve"> </w:t>
      </w:r>
      <w:r>
        <w:t xml:space="preserve">HPOS containing age, sex, tier, and dates of enrolment and withdrawal. Data are provided quarterly for the evaluation by the Department of Human Services (through the Department of Health). For the four HCH practices in NPS </w:t>
      </w:r>
      <w:r>
        <w:lastRenderedPageBreak/>
        <w:t>MedicineInsight that also supplied data through Pen CS, in this section their data are reported against Pen CS</w:t>
      </w:r>
      <w:r>
        <w:rPr>
          <w:rStyle w:val="Emphasis"/>
        </w:rPr>
        <w:t>.</w:t>
      </w:r>
    </w:p>
    <w:p w14:paraId="133EA9EA" w14:textId="77777777" w:rsidR="001C19F3" w:rsidRDefault="001C19F3" w:rsidP="001C19F3">
      <w:r>
        <w:t xml:space="preserve">As presented in </w:t>
      </w:r>
      <w:r w:rsidRPr="00EF171C">
        <w:fldChar w:fldCharType="begin"/>
      </w:r>
      <w:r w:rsidRPr="00EF171C">
        <w:instrText xml:space="preserve"> REF _Ref13130507 \h  \* MERGEFORMAT </w:instrText>
      </w:r>
      <w:r w:rsidRPr="00EF171C">
        <w:fldChar w:fldCharType="separate"/>
      </w:r>
      <w:r w:rsidRPr="008F2809">
        <w:rPr>
          <w:szCs w:val="20"/>
        </w:rPr>
        <w:t xml:space="preserve">Table </w:t>
      </w:r>
      <w:r w:rsidRPr="008F2809">
        <w:rPr>
          <w:noProof/>
          <w:szCs w:val="20"/>
        </w:rPr>
        <w:t>17</w:t>
      </w:r>
      <w:r w:rsidRPr="00EF171C">
        <w:fldChar w:fldCharType="end"/>
      </w:r>
      <w:r w:rsidRPr="00EF171C">
        <w:t>,</w:t>
      </w:r>
      <w:r>
        <w:t xml:space="preserve"> 86 practices (81 Pen CS and 5 POLAR) provided data that contained flags for HCH enrolees. Twenty-two practices (16 Pen CS and 6 POLAR) provided data with no flags of HCH enrolees. From the 86 practices with HCH flags, 8,336 HCH patients were identified (8,077 Pen CS and 259 POLAR patients)</w:t>
      </w:r>
      <w:r w:rsidRPr="00EF171C">
        <w:t xml:space="preserve">. </w:t>
      </w:r>
      <w:r>
        <w:t>When counts of HCH patients in the practice data were compared with HPOS registrations, the practice count was lower than HPOS registration for 32</w:t>
      </w:r>
      <w:r w:rsidRPr="00EF171C">
        <w:t xml:space="preserve"> practices</w:t>
      </w:r>
      <w:r>
        <w:t xml:space="preserve"> and higher than </w:t>
      </w:r>
      <w:r w:rsidRPr="00EF171C">
        <w:t xml:space="preserve">HPOS </w:t>
      </w:r>
      <w:r>
        <w:t>registration for</w:t>
      </w:r>
      <w:r w:rsidRPr="00EF171C">
        <w:t xml:space="preserve"> </w:t>
      </w:r>
      <w:r>
        <w:t>38</w:t>
      </w:r>
      <w:r w:rsidRPr="00EF171C">
        <w:t xml:space="preserve"> practices</w:t>
      </w:r>
      <w:r>
        <w:t>, while the counts matched for 16 practices</w:t>
      </w:r>
      <w:r w:rsidRPr="00EF171C">
        <w:t>.</w:t>
      </w:r>
    </w:p>
    <w:p w14:paraId="660941C2" w14:textId="77777777" w:rsidR="001C19F3" w:rsidRDefault="001C19F3" w:rsidP="001C19F3">
      <w:pPr>
        <w:spacing w:after="0"/>
        <w:jc w:val="center"/>
        <w:rPr>
          <w:b/>
          <w:szCs w:val="20"/>
        </w:rPr>
      </w:pPr>
      <w:bookmarkStart w:id="514" w:name="_Ref13130507"/>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17</w:t>
      </w:r>
      <w:r w:rsidRPr="00E76010">
        <w:rPr>
          <w:szCs w:val="20"/>
        </w:rPr>
        <w:fldChar w:fldCharType="end"/>
      </w:r>
      <w:bookmarkEnd w:id="514"/>
      <w:r w:rsidRPr="00E76010">
        <w:rPr>
          <w:b/>
          <w:szCs w:val="20"/>
        </w:rPr>
        <w:t xml:space="preserve"> –</w:t>
      </w:r>
      <w:r>
        <w:rPr>
          <w:b/>
          <w:szCs w:val="20"/>
        </w:rPr>
        <w:t xml:space="preserve"> HCH enrolments identified in practice extracts compared with the HPOS registrations, at 30 June 2019</w:t>
      </w:r>
    </w:p>
    <w:tbl>
      <w:tblPr>
        <w:tblStyle w:val="TableGrid"/>
        <w:tblW w:w="850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48"/>
        <w:gridCol w:w="1417"/>
        <w:gridCol w:w="1418"/>
        <w:gridCol w:w="1417"/>
      </w:tblGrid>
      <w:tr w:rsidR="001C19F3" w:rsidRPr="007C4473" w14:paraId="0E90A47D" w14:textId="77777777" w:rsidTr="00521305">
        <w:trPr>
          <w:trHeight w:val="340"/>
          <w:tblHeader/>
          <w:jc w:val="center"/>
        </w:trPr>
        <w:tc>
          <w:tcPr>
            <w:tcW w:w="4248" w:type="dxa"/>
            <w:vMerge w:val="restart"/>
            <w:shd w:val="clear" w:color="auto" w:fill="003D79"/>
            <w:vAlign w:val="center"/>
          </w:tcPr>
          <w:p w14:paraId="0C2CA1D2" w14:textId="77777777" w:rsidR="001C19F3" w:rsidRPr="007C4473" w:rsidRDefault="001C19F3" w:rsidP="00521305">
            <w:pPr>
              <w:spacing w:after="0" w:line="240" w:lineRule="auto"/>
              <w:jc w:val="center"/>
              <w:rPr>
                <w:b/>
                <w:sz w:val="18"/>
                <w:szCs w:val="18"/>
              </w:rPr>
            </w:pPr>
          </w:p>
        </w:tc>
        <w:tc>
          <w:tcPr>
            <w:tcW w:w="1417" w:type="dxa"/>
            <w:vMerge w:val="restart"/>
            <w:shd w:val="clear" w:color="auto" w:fill="003D79"/>
            <w:vAlign w:val="center"/>
          </w:tcPr>
          <w:p w14:paraId="2748AFCF" w14:textId="77777777" w:rsidR="001C19F3" w:rsidRDefault="001C19F3" w:rsidP="00521305">
            <w:pPr>
              <w:spacing w:after="0" w:line="240" w:lineRule="auto"/>
              <w:jc w:val="center"/>
              <w:rPr>
                <w:b/>
                <w:sz w:val="18"/>
                <w:szCs w:val="18"/>
              </w:rPr>
            </w:pPr>
            <w:r>
              <w:rPr>
                <w:b/>
                <w:sz w:val="18"/>
                <w:szCs w:val="18"/>
              </w:rPr>
              <w:t>No. practices</w:t>
            </w:r>
          </w:p>
        </w:tc>
        <w:tc>
          <w:tcPr>
            <w:tcW w:w="2835" w:type="dxa"/>
            <w:gridSpan w:val="2"/>
            <w:shd w:val="clear" w:color="auto" w:fill="003D79"/>
            <w:vAlign w:val="center"/>
          </w:tcPr>
          <w:p w14:paraId="2A8D6CB8" w14:textId="77777777" w:rsidR="001C19F3" w:rsidRDefault="001C19F3" w:rsidP="00521305">
            <w:pPr>
              <w:spacing w:after="0" w:line="240" w:lineRule="auto"/>
              <w:jc w:val="center"/>
              <w:rPr>
                <w:b/>
                <w:sz w:val="18"/>
                <w:szCs w:val="18"/>
              </w:rPr>
            </w:pPr>
            <w:r>
              <w:rPr>
                <w:b/>
                <w:sz w:val="18"/>
                <w:szCs w:val="18"/>
              </w:rPr>
              <w:t>Total no. patients</w:t>
            </w:r>
          </w:p>
        </w:tc>
      </w:tr>
      <w:tr w:rsidR="001C19F3" w:rsidRPr="007C4473" w14:paraId="54BC0041" w14:textId="77777777" w:rsidTr="00521305">
        <w:trPr>
          <w:trHeight w:val="340"/>
          <w:tblHeader/>
          <w:jc w:val="center"/>
        </w:trPr>
        <w:tc>
          <w:tcPr>
            <w:tcW w:w="4248" w:type="dxa"/>
            <w:vMerge/>
            <w:shd w:val="clear" w:color="auto" w:fill="003D79"/>
            <w:vAlign w:val="center"/>
          </w:tcPr>
          <w:p w14:paraId="5E031A7D" w14:textId="77777777" w:rsidR="001C19F3" w:rsidRPr="007C4473" w:rsidRDefault="001C19F3" w:rsidP="00521305">
            <w:pPr>
              <w:spacing w:after="0" w:line="240" w:lineRule="auto"/>
              <w:jc w:val="center"/>
              <w:rPr>
                <w:b/>
                <w:sz w:val="18"/>
                <w:szCs w:val="18"/>
              </w:rPr>
            </w:pPr>
          </w:p>
        </w:tc>
        <w:tc>
          <w:tcPr>
            <w:tcW w:w="1417" w:type="dxa"/>
            <w:vMerge/>
            <w:shd w:val="clear" w:color="auto" w:fill="003D79"/>
            <w:vAlign w:val="center"/>
          </w:tcPr>
          <w:p w14:paraId="381C0766" w14:textId="77777777" w:rsidR="001C19F3" w:rsidRDefault="001C19F3" w:rsidP="00521305">
            <w:pPr>
              <w:spacing w:after="0" w:line="240" w:lineRule="auto"/>
              <w:jc w:val="center"/>
              <w:rPr>
                <w:b/>
                <w:sz w:val="18"/>
                <w:szCs w:val="18"/>
              </w:rPr>
            </w:pPr>
          </w:p>
        </w:tc>
        <w:tc>
          <w:tcPr>
            <w:tcW w:w="1418" w:type="dxa"/>
            <w:shd w:val="clear" w:color="auto" w:fill="003D79"/>
            <w:vAlign w:val="center"/>
          </w:tcPr>
          <w:p w14:paraId="2654B3AA" w14:textId="77777777" w:rsidR="001C19F3" w:rsidRDefault="001C19F3" w:rsidP="00521305">
            <w:pPr>
              <w:spacing w:after="0" w:line="240" w:lineRule="auto"/>
              <w:jc w:val="center"/>
              <w:rPr>
                <w:b/>
                <w:sz w:val="18"/>
                <w:szCs w:val="18"/>
              </w:rPr>
            </w:pPr>
            <w:r>
              <w:rPr>
                <w:b/>
                <w:sz w:val="18"/>
                <w:szCs w:val="18"/>
              </w:rPr>
              <w:t>Practice extract data</w:t>
            </w:r>
          </w:p>
        </w:tc>
        <w:tc>
          <w:tcPr>
            <w:tcW w:w="1417" w:type="dxa"/>
            <w:shd w:val="clear" w:color="auto" w:fill="003D79"/>
            <w:vAlign w:val="center"/>
          </w:tcPr>
          <w:p w14:paraId="1A7D51E8" w14:textId="77777777" w:rsidR="001C19F3" w:rsidRPr="007C4473" w:rsidRDefault="001C19F3" w:rsidP="00521305">
            <w:pPr>
              <w:spacing w:after="0" w:line="240" w:lineRule="auto"/>
              <w:jc w:val="center"/>
              <w:rPr>
                <w:b/>
                <w:sz w:val="18"/>
                <w:szCs w:val="18"/>
              </w:rPr>
            </w:pPr>
            <w:r>
              <w:rPr>
                <w:b/>
                <w:sz w:val="18"/>
                <w:szCs w:val="18"/>
              </w:rPr>
              <w:t>HPOS registration</w:t>
            </w:r>
          </w:p>
        </w:tc>
      </w:tr>
      <w:tr w:rsidR="001C19F3" w:rsidRPr="004E71A2" w14:paraId="22EE3112" w14:textId="77777777" w:rsidTr="00521305">
        <w:trPr>
          <w:jc w:val="center"/>
        </w:trPr>
        <w:tc>
          <w:tcPr>
            <w:tcW w:w="8500" w:type="dxa"/>
            <w:gridSpan w:val="4"/>
          </w:tcPr>
          <w:p w14:paraId="4B62A8AF" w14:textId="77777777" w:rsidR="001C19F3" w:rsidRPr="004E71A2" w:rsidRDefault="001C19F3" w:rsidP="00521305">
            <w:pPr>
              <w:spacing w:after="0"/>
              <w:rPr>
                <w:b/>
                <w:bCs/>
                <w:sz w:val="18"/>
                <w:szCs w:val="18"/>
              </w:rPr>
            </w:pPr>
            <w:r>
              <w:rPr>
                <w:b/>
                <w:bCs/>
                <w:sz w:val="18"/>
                <w:szCs w:val="18"/>
              </w:rPr>
              <w:t>Presence of f</w:t>
            </w:r>
            <w:r w:rsidRPr="004E71A2">
              <w:rPr>
                <w:b/>
                <w:bCs/>
                <w:sz w:val="18"/>
                <w:szCs w:val="18"/>
              </w:rPr>
              <w:t>lags of HCH enrolments</w:t>
            </w:r>
            <w:r>
              <w:rPr>
                <w:b/>
                <w:bCs/>
                <w:sz w:val="18"/>
                <w:szCs w:val="18"/>
              </w:rPr>
              <w:t xml:space="preserve"> in practice extract data</w:t>
            </w:r>
          </w:p>
        </w:tc>
      </w:tr>
      <w:tr w:rsidR="001C19F3" w:rsidRPr="007C4473" w14:paraId="576AB619" w14:textId="77777777" w:rsidTr="00521305">
        <w:trPr>
          <w:jc w:val="center"/>
        </w:trPr>
        <w:tc>
          <w:tcPr>
            <w:tcW w:w="4248" w:type="dxa"/>
          </w:tcPr>
          <w:p w14:paraId="26DD3DCE" w14:textId="77777777" w:rsidR="001C19F3" w:rsidRPr="004E71A2" w:rsidRDefault="001C19F3" w:rsidP="00521305">
            <w:pPr>
              <w:spacing w:after="0"/>
              <w:rPr>
                <w:bCs/>
                <w:sz w:val="18"/>
                <w:szCs w:val="18"/>
              </w:rPr>
            </w:pPr>
            <w:r w:rsidRPr="004E71A2">
              <w:rPr>
                <w:bCs/>
                <w:sz w:val="18"/>
                <w:szCs w:val="18"/>
              </w:rPr>
              <w:t xml:space="preserve">Practice </w:t>
            </w:r>
            <w:r>
              <w:rPr>
                <w:bCs/>
                <w:sz w:val="18"/>
                <w:szCs w:val="18"/>
              </w:rPr>
              <w:t>data</w:t>
            </w:r>
            <w:r w:rsidRPr="004E71A2">
              <w:rPr>
                <w:bCs/>
                <w:sz w:val="18"/>
                <w:szCs w:val="18"/>
              </w:rPr>
              <w:t xml:space="preserve"> not available for evaluation</w:t>
            </w:r>
          </w:p>
        </w:tc>
        <w:tc>
          <w:tcPr>
            <w:tcW w:w="1417" w:type="dxa"/>
            <w:vAlign w:val="center"/>
          </w:tcPr>
          <w:p w14:paraId="1098DF81" w14:textId="77777777" w:rsidR="001C19F3" w:rsidRDefault="001C19F3" w:rsidP="00521305">
            <w:pPr>
              <w:spacing w:after="0"/>
              <w:jc w:val="center"/>
              <w:rPr>
                <w:sz w:val="18"/>
                <w:szCs w:val="18"/>
              </w:rPr>
            </w:pPr>
            <w:r w:rsidRPr="00A81BBD">
              <w:rPr>
                <w:sz w:val="18"/>
                <w:szCs w:val="18"/>
              </w:rPr>
              <w:t>2</w:t>
            </w:r>
            <w:r>
              <w:rPr>
                <w:sz w:val="18"/>
                <w:szCs w:val="18"/>
              </w:rPr>
              <w:t>4</w:t>
            </w:r>
            <w:r w:rsidRPr="006C20C8">
              <w:rPr>
                <w:bCs/>
                <w:sz w:val="18"/>
                <w:szCs w:val="18"/>
                <w:vertAlign w:val="superscript"/>
              </w:rPr>
              <w:t>1</w:t>
            </w:r>
          </w:p>
        </w:tc>
        <w:tc>
          <w:tcPr>
            <w:tcW w:w="1418" w:type="dxa"/>
            <w:vAlign w:val="center"/>
          </w:tcPr>
          <w:p w14:paraId="53C31F45" w14:textId="77777777" w:rsidR="001C19F3" w:rsidRDefault="001C19F3" w:rsidP="00521305">
            <w:pPr>
              <w:spacing w:after="0"/>
              <w:jc w:val="center"/>
              <w:rPr>
                <w:sz w:val="18"/>
                <w:szCs w:val="18"/>
              </w:rPr>
            </w:pPr>
            <w:r>
              <w:rPr>
                <w:sz w:val="18"/>
                <w:szCs w:val="18"/>
              </w:rPr>
              <w:t>-</w:t>
            </w:r>
          </w:p>
        </w:tc>
        <w:tc>
          <w:tcPr>
            <w:tcW w:w="1417" w:type="dxa"/>
            <w:vAlign w:val="center"/>
          </w:tcPr>
          <w:p w14:paraId="7F9377E0" w14:textId="77777777" w:rsidR="001C19F3" w:rsidRDefault="001C19F3" w:rsidP="00521305">
            <w:pPr>
              <w:spacing w:after="0"/>
              <w:jc w:val="center"/>
              <w:rPr>
                <w:sz w:val="18"/>
                <w:szCs w:val="18"/>
              </w:rPr>
            </w:pPr>
            <w:r>
              <w:rPr>
                <w:sz w:val="18"/>
                <w:szCs w:val="18"/>
              </w:rPr>
              <w:t>1,200</w:t>
            </w:r>
          </w:p>
        </w:tc>
      </w:tr>
      <w:tr w:rsidR="001C19F3" w:rsidRPr="007C4473" w14:paraId="08DA7976" w14:textId="77777777" w:rsidTr="00521305">
        <w:trPr>
          <w:jc w:val="center"/>
        </w:trPr>
        <w:tc>
          <w:tcPr>
            <w:tcW w:w="4248" w:type="dxa"/>
          </w:tcPr>
          <w:p w14:paraId="33D8C250" w14:textId="77777777" w:rsidR="001C19F3" w:rsidRPr="004E71A2" w:rsidRDefault="001C19F3" w:rsidP="00521305">
            <w:pPr>
              <w:spacing w:after="0"/>
              <w:rPr>
                <w:bCs/>
                <w:sz w:val="18"/>
                <w:szCs w:val="18"/>
              </w:rPr>
            </w:pPr>
            <w:r w:rsidRPr="004E71A2">
              <w:rPr>
                <w:bCs/>
                <w:sz w:val="18"/>
                <w:szCs w:val="18"/>
              </w:rPr>
              <w:t xml:space="preserve">Practice </w:t>
            </w:r>
            <w:r>
              <w:rPr>
                <w:bCs/>
                <w:sz w:val="18"/>
                <w:szCs w:val="18"/>
              </w:rPr>
              <w:t>data with no flags for HCH enrolees</w:t>
            </w:r>
            <w:r w:rsidRPr="006C20C8">
              <w:rPr>
                <w:bCs/>
                <w:sz w:val="18"/>
                <w:szCs w:val="18"/>
                <w:vertAlign w:val="superscript"/>
              </w:rPr>
              <w:t>2</w:t>
            </w:r>
          </w:p>
        </w:tc>
        <w:tc>
          <w:tcPr>
            <w:tcW w:w="1417" w:type="dxa"/>
            <w:vAlign w:val="center"/>
          </w:tcPr>
          <w:p w14:paraId="1DA339C0" w14:textId="77777777" w:rsidR="001C19F3" w:rsidRDefault="001C19F3" w:rsidP="00521305">
            <w:pPr>
              <w:spacing w:after="0"/>
              <w:jc w:val="center"/>
              <w:rPr>
                <w:sz w:val="18"/>
                <w:szCs w:val="18"/>
              </w:rPr>
            </w:pPr>
            <w:r>
              <w:rPr>
                <w:sz w:val="18"/>
                <w:szCs w:val="18"/>
              </w:rPr>
              <w:t>22</w:t>
            </w:r>
          </w:p>
        </w:tc>
        <w:tc>
          <w:tcPr>
            <w:tcW w:w="1418" w:type="dxa"/>
            <w:vAlign w:val="center"/>
          </w:tcPr>
          <w:p w14:paraId="19EB478E" w14:textId="77777777" w:rsidR="001C19F3" w:rsidRDefault="001C19F3" w:rsidP="00521305">
            <w:pPr>
              <w:spacing w:after="0"/>
              <w:jc w:val="center"/>
              <w:rPr>
                <w:sz w:val="18"/>
                <w:szCs w:val="18"/>
              </w:rPr>
            </w:pPr>
            <w:r>
              <w:rPr>
                <w:sz w:val="18"/>
                <w:szCs w:val="18"/>
              </w:rPr>
              <w:t>-</w:t>
            </w:r>
          </w:p>
        </w:tc>
        <w:tc>
          <w:tcPr>
            <w:tcW w:w="1417" w:type="dxa"/>
            <w:vAlign w:val="center"/>
          </w:tcPr>
          <w:p w14:paraId="7224CD07" w14:textId="77777777" w:rsidR="001C19F3" w:rsidRDefault="001C19F3" w:rsidP="00521305">
            <w:pPr>
              <w:spacing w:after="0"/>
              <w:jc w:val="center"/>
              <w:rPr>
                <w:sz w:val="18"/>
                <w:szCs w:val="18"/>
              </w:rPr>
            </w:pPr>
            <w:r>
              <w:rPr>
                <w:sz w:val="18"/>
                <w:szCs w:val="18"/>
              </w:rPr>
              <w:t>703</w:t>
            </w:r>
          </w:p>
        </w:tc>
      </w:tr>
      <w:tr w:rsidR="001C19F3" w:rsidRPr="007C4473" w14:paraId="15D4E56A" w14:textId="77777777" w:rsidTr="00521305">
        <w:trPr>
          <w:jc w:val="center"/>
        </w:trPr>
        <w:tc>
          <w:tcPr>
            <w:tcW w:w="4248" w:type="dxa"/>
          </w:tcPr>
          <w:p w14:paraId="40725758" w14:textId="77777777" w:rsidR="001C19F3" w:rsidRDefault="001C19F3" w:rsidP="00521305">
            <w:pPr>
              <w:spacing w:after="0"/>
              <w:rPr>
                <w:sz w:val="18"/>
                <w:szCs w:val="18"/>
              </w:rPr>
            </w:pPr>
            <w:r w:rsidRPr="004E71A2">
              <w:rPr>
                <w:bCs/>
                <w:sz w:val="18"/>
                <w:szCs w:val="18"/>
              </w:rPr>
              <w:t xml:space="preserve">Practice </w:t>
            </w:r>
            <w:r>
              <w:rPr>
                <w:bCs/>
                <w:sz w:val="18"/>
                <w:szCs w:val="18"/>
              </w:rPr>
              <w:t>data with flags for HCH enrolees</w:t>
            </w:r>
            <w:r w:rsidRPr="006C20C8">
              <w:rPr>
                <w:bCs/>
                <w:sz w:val="18"/>
                <w:szCs w:val="18"/>
                <w:vertAlign w:val="superscript"/>
              </w:rPr>
              <w:t>3</w:t>
            </w:r>
          </w:p>
        </w:tc>
        <w:tc>
          <w:tcPr>
            <w:tcW w:w="1417" w:type="dxa"/>
            <w:vAlign w:val="center"/>
          </w:tcPr>
          <w:p w14:paraId="7D8D9CA3" w14:textId="77777777" w:rsidR="001C19F3" w:rsidRDefault="001C19F3" w:rsidP="00521305">
            <w:pPr>
              <w:spacing w:after="0"/>
              <w:jc w:val="center"/>
              <w:rPr>
                <w:sz w:val="18"/>
                <w:szCs w:val="18"/>
              </w:rPr>
            </w:pPr>
            <w:r>
              <w:rPr>
                <w:sz w:val="18"/>
                <w:szCs w:val="18"/>
              </w:rPr>
              <w:t>86</w:t>
            </w:r>
          </w:p>
        </w:tc>
        <w:tc>
          <w:tcPr>
            <w:tcW w:w="1418" w:type="dxa"/>
            <w:vAlign w:val="center"/>
          </w:tcPr>
          <w:p w14:paraId="3CBF18F8" w14:textId="77777777" w:rsidR="001C19F3" w:rsidRDefault="001C19F3" w:rsidP="00521305">
            <w:pPr>
              <w:spacing w:after="0"/>
              <w:jc w:val="center"/>
              <w:rPr>
                <w:sz w:val="18"/>
                <w:szCs w:val="18"/>
              </w:rPr>
            </w:pPr>
            <w:r>
              <w:rPr>
                <w:sz w:val="18"/>
                <w:szCs w:val="18"/>
              </w:rPr>
              <w:t>8,336</w:t>
            </w:r>
          </w:p>
        </w:tc>
        <w:tc>
          <w:tcPr>
            <w:tcW w:w="1417" w:type="dxa"/>
            <w:vAlign w:val="center"/>
          </w:tcPr>
          <w:p w14:paraId="0A2DB066" w14:textId="77777777" w:rsidR="001C19F3" w:rsidRDefault="001C19F3" w:rsidP="00521305">
            <w:pPr>
              <w:spacing w:after="0"/>
              <w:jc w:val="center"/>
              <w:rPr>
                <w:sz w:val="18"/>
                <w:szCs w:val="18"/>
              </w:rPr>
            </w:pPr>
            <w:r>
              <w:rPr>
                <w:sz w:val="18"/>
                <w:szCs w:val="18"/>
              </w:rPr>
              <w:t>8,311</w:t>
            </w:r>
          </w:p>
        </w:tc>
      </w:tr>
      <w:tr w:rsidR="001C19F3" w:rsidRPr="004E71A2" w14:paraId="61F9600A" w14:textId="77777777" w:rsidTr="00521305">
        <w:trPr>
          <w:jc w:val="center"/>
        </w:trPr>
        <w:tc>
          <w:tcPr>
            <w:tcW w:w="8500" w:type="dxa"/>
            <w:gridSpan w:val="4"/>
          </w:tcPr>
          <w:p w14:paraId="2371DB5E" w14:textId="77777777" w:rsidR="001C19F3" w:rsidRPr="004E71A2" w:rsidRDefault="001C19F3" w:rsidP="00521305">
            <w:pPr>
              <w:spacing w:after="0"/>
              <w:rPr>
                <w:b/>
                <w:bCs/>
                <w:sz w:val="18"/>
                <w:szCs w:val="18"/>
              </w:rPr>
            </w:pPr>
            <w:r>
              <w:rPr>
                <w:b/>
                <w:bCs/>
                <w:sz w:val="18"/>
                <w:szCs w:val="18"/>
              </w:rPr>
              <w:t xml:space="preserve">No. of enrolments identified in practice extract data versus HPOS registration </w:t>
            </w:r>
          </w:p>
        </w:tc>
      </w:tr>
      <w:tr w:rsidR="001C19F3" w:rsidRPr="007C4473" w14:paraId="0A9460DF" w14:textId="77777777" w:rsidTr="00521305">
        <w:trPr>
          <w:jc w:val="center"/>
        </w:trPr>
        <w:tc>
          <w:tcPr>
            <w:tcW w:w="4248" w:type="dxa"/>
          </w:tcPr>
          <w:p w14:paraId="36E656FF" w14:textId="77777777" w:rsidR="001C19F3" w:rsidRDefault="001C19F3" w:rsidP="00521305">
            <w:pPr>
              <w:spacing w:after="0"/>
              <w:rPr>
                <w:sz w:val="18"/>
                <w:szCs w:val="18"/>
              </w:rPr>
            </w:pPr>
            <w:r>
              <w:rPr>
                <w:sz w:val="18"/>
                <w:szCs w:val="18"/>
              </w:rPr>
              <w:t>Equal number of enrolments in each source</w:t>
            </w:r>
          </w:p>
        </w:tc>
        <w:tc>
          <w:tcPr>
            <w:tcW w:w="1417" w:type="dxa"/>
            <w:vAlign w:val="center"/>
          </w:tcPr>
          <w:p w14:paraId="3DA435AD" w14:textId="77777777" w:rsidR="001C19F3" w:rsidRDefault="001C19F3" w:rsidP="00521305">
            <w:pPr>
              <w:spacing w:after="0"/>
              <w:jc w:val="center"/>
              <w:rPr>
                <w:sz w:val="18"/>
                <w:szCs w:val="18"/>
              </w:rPr>
            </w:pPr>
            <w:r>
              <w:rPr>
                <w:sz w:val="18"/>
                <w:szCs w:val="18"/>
              </w:rPr>
              <w:t>16</w:t>
            </w:r>
          </w:p>
        </w:tc>
        <w:tc>
          <w:tcPr>
            <w:tcW w:w="1418" w:type="dxa"/>
            <w:vAlign w:val="center"/>
          </w:tcPr>
          <w:p w14:paraId="5FABFACC" w14:textId="77777777" w:rsidR="001C19F3" w:rsidRDefault="001C19F3" w:rsidP="00521305">
            <w:pPr>
              <w:spacing w:after="0"/>
              <w:jc w:val="center"/>
              <w:rPr>
                <w:sz w:val="18"/>
                <w:szCs w:val="18"/>
              </w:rPr>
            </w:pPr>
            <w:r>
              <w:rPr>
                <w:sz w:val="18"/>
                <w:szCs w:val="18"/>
              </w:rPr>
              <w:t>810</w:t>
            </w:r>
          </w:p>
        </w:tc>
        <w:tc>
          <w:tcPr>
            <w:tcW w:w="1417" w:type="dxa"/>
            <w:vAlign w:val="center"/>
          </w:tcPr>
          <w:p w14:paraId="63C152DA" w14:textId="77777777" w:rsidR="001C19F3" w:rsidRDefault="001C19F3" w:rsidP="00521305">
            <w:pPr>
              <w:spacing w:after="0"/>
              <w:jc w:val="center"/>
              <w:rPr>
                <w:sz w:val="18"/>
                <w:szCs w:val="18"/>
              </w:rPr>
            </w:pPr>
            <w:r>
              <w:rPr>
                <w:sz w:val="18"/>
                <w:szCs w:val="18"/>
              </w:rPr>
              <w:t>810</w:t>
            </w:r>
          </w:p>
        </w:tc>
      </w:tr>
      <w:tr w:rsidR="001C19F3" w:rsidRPr="007C4473" w14:paraId="512A59F6" w14:textId="77777777" w:rsidTr="00521305">
        <w:trPr>
          <w:jc w:val="center"/>
        </w:trPr>
        <w:tc>
          <w:tcPr>
            <w:tcW w:w="4248" w:type="dxa"/>
          </w:tcPr>
          <w:p w14:paraId="7954FF29" w14:textId="77777777" w:rsidR="001C19F3" w:rsidRDefault="001C19F3" w:rsidP="00521305">
            <w:pPr>
              <w:spacing w:after="0"/>
              <w:rPr>
                <w:sz w:val="18"/>
                <w:szCs w:val="18"/>
              </w:rPr>
            </w:pPr>
            <w:r>
              <w:rPr>
                <w:sz w:val="18"/>
                <w:szCs w:val="18"/>
              </w:rPr>
              <w:t>Fewer patients in practice data</w:t>
            </w:r>
          </w:p>
        </w:tc>
        <w:tc>
          <w:tcPr>
            <w:tcW w:w="1417" w:type="dxa"/>
            <w:vAlign w:val="center"/>
          </w:tcPr>
          <w:p w14:paraId="4CCDB1EB" w14:textId="77777777" w:rsidR="001C19F3" w:rsidRDefault="001C19F3" w:rsidP="00521305">
            <w:pPr>
              <w:spacing w:after="0"/>
              <w:jc w:val="center"/>
              <w:rPr>
                <w:sz w:val="18"/>
                <w:szCs w:val="18"/>
              </w:rPr>
            </w:pPr>
          </w:p>
        </w:tc>
        <w:tc>
          <w:tcPr>
            <w:tcW w:w="1418" w:type="dxa"/>
            <w:vAlign w:val="center"/>
          </w:tcPr>
          <w:p w14:paraId="0A2F5F1D" w14:textId="77777777" w:rsidR="001C19F3" w:rsidRDefault="001C19F3" w:rsidP="00521305">
            <w:pPr>
              <w:spacing w:after="0"/>
              <w:jc w:val="center"/>
              <w:rPr>
                <w:sz w:val="18"/>
                <w:szCs w:val="18"/>
              </w:rPr>
            </w:pPr>
          </w:p>
        </w:tc>
        <w:tc>
          <w:tcPr>
            <w:tcW w:w="1417" w:type="dxa"/>
            <w:vAlign w:val="center"/>
          </w:tcPr>
          <w:p w14:paraId="56608DBC" w14:textId="77777777" w:rsidR="001C19F3" w:rsidRDefault="001C19F3" w:rsidP="00521305">
            <w:pPr>
              <w:spacing w:after="0"/>
              <w:jc w:val="center"/>
              <w:rPr>
                <w:sz w:val="18"/>
                <w:szCs w:val="18"/>
              </w:rPr>
            </w:pPr>
          </w:p>
        </w:tc>
      </w:tr>
      <w:tr w:rsidR="001C19F3" w:rsidRPr="007C4473" w14:paraId="13A1ACEA" w14:textId="77777777" w:rsidTr="00521305">
        <w:trPr>
          <w:jc w:val="center"/>
        </w:trPr>
        <w:tc>
          <w:tcPr>
            <w:tcW w:w="4248" w:type="dxa"/>
          </w:tcPr>
          <w:p w14:paraId="60CA0516" w14:textId="77777777" w:rsidR="001C19F3" w:rsidRDefault="001C19F3" w:rsidP="00521305">
            <w:pPr>
              <w:spacing w:after="0"/>
              <w:rPr>
                <w:sz w:val="18"/>
                <w:szCs w:val="18"/>
              </w:rPr>
            </w:pPr>
            <w:r>
              <w:rPr>
                <w:sz w:val="18"/>
                <w:szCs w:val="18"/>
              </w:rPr>
              <w:t xml:space="preserve"> Between 1 and 9 patients</w:t>
            </w:r>
          </w:p>
        </w:tc>
        <w:tc>
          <w:tcPr>
            <w:tcW w:w="1417" w:type="dxa"/>
            <w:vAlign w:val="center"/>
          </w:tcPr>
          <w:p w14:paraId="41320B36" w14:textId="77777777" w:rsidR="001C19F3" w:rsidRDefault="001C19F3" w:rsidP="00521305">
            <w:pPr>
              <w:spacing w:after="0"/>
              <w:jc w:val="center"/>
              <w:rPr>
                <w:sz w:val="18"/>
                <w:szCs w:val="18"/>
              </w:rPr>
            </w:pPr>
            <w:r>
              <w:rPr>
                <w:sz w:val="18"/>
                <w:szCs w:val="18"/>
              </w:rPr>
              <w:t>18</w:t>
            </w:r>
          </w:p>
        </w:tc>
        <w:tc>
          <w:tcPr>
            <w:tcW w:w="1418" w:type="dxa"/>
            <w:vAlign w:val="center"/>
          </w:tcPr>
          <w:p w14:paraId="37E4F7E0" w14:textId="77777777" w:rsidR="001C19F3" w:rsidRDefault="001C19F3" w:rsidP="00521305">
            <w:pPr>
              <w:spacing w:after="0"/>
              <w:jc w:val="center"/>
              <w:rPr>
                <w:sz w:val="18"/>
                <w:szCs w:val="18"/>
              </w:rPr>
            </w:pPr>
            <w:r>
              <w:rPr>
                <w:sz w:val="18"/>
                <w:szCs w:val="18"/>
              </w:rPr>
              <w:t>1,778</w:t>
            </w:r>
          </w:p>
        </w:tc>
        <w:tc>
          <w:tcPr>
            <w:tcW w:w="1417" w:type="dxa"/>
            <w:vAlign w:val="center"/>
          </w:tcPr>
          <w:p w14:paraId="66061D5F" w14:textId="77777777" w:rsidR="001C19F3" w:rsidRDefault="001C19F3" w:rsidP="00521305">
            <w:pPr>
              <w:spacing w:after="0"/>
              <w:jc w:val="center"/>
              <w:rPr>
                <w:sz w:val="18"/>
                <w:szCs w:val="18"/>
              </w:rPr>
            </w:pPr>
            <w:r>
              <w:rPr>
                <w:sz w:val="18"/>
                <w:szCs w:val="18"/>
              </w:rPr>
              <w:t>1,840</w:t>
            </w:r>
          </w:p>
        </w:tc>
      </w:tr>
      <w:tr w:rsidR="001C19F3" w:rsidRPr="007C4473" w14:paraId="147BE165" w14:textId="77777777" w:rsidTr="00521305">
        <w:trPr>
          <w:jc w:val="center"/>
        </w:trPr>
        <w:tc>
          <w:tcPr>
            <w:tcW w:w="4248" w:type="dxa"/>
          </w:tcPr>
          <w:p w14:paraId="3C7359F6" w14:textId="77777777" w:rsidR="001C19F3" w:rsidRDefault="001C19F3" w:rsidP="00521305">
            <w:pPr>
              <w:spacing w:after="0"/>
              <w:rPr>
                <w:sz w:val="18"/>
                <w:szCs w:val="18"/>
              </w:rPr>
            </w:pPr>
            <w:r>
              <w:rPr>
                <w:sz w:val="18"/>
                <w:szCs w:val="18"/>
              </w:rPr>
              <w:t xml:space="preserve"> 10 or more patients</w:t>
            </w:r>
          </w:p>
        </w:tc>
        <w:tc>
          <w:tcPr>
            <w:tcW w:w="1417" w:type="dxa"/>
            <w:vAlign w:val="center"/>
          </w:tcPr>
          <w:p w14:paraId="304EFAC0" w14:textId="77777777" w:rsidR="001C19F3" w:rsidRDefault="001C19F3" w:rsidP="00521305">
            <w:pPr>
              <w:spacing w:after="0"/>
              <w:jc w:val="center"/>
              <w:rPr>
                <w:sz w:val="18"/>
                <w:szCs w:val="18"/>
              </w:rPr>
            </w:pPr>
            <w:r>
              <w:rPr>
                <w:sz w:val="18"/>
                <w:szCs w:val="18"/>
              </w:rPr>
              <w:t>14</w:t>
            </w:r>
          </w:p>
        </w:tc>
        <w:tc>
          <w:tcPr>
            <w:tcW w:w="1418" w:type="dxa"/>
            <w:vAlign w:val="center"/>
          </w:tcPr>
          <w:p w14:paraId="60F65D0F" w14:textId="77777777" w:rsidR="001C19F3" w:rsidRDefault="001C19F3" w:rsidP="00521305">
            <w:pPr>
              <w:spacing w:after="0"/>
              <w:jc w:val="center"/>
              <w:rPr>
                <w:sz w:val="18"/>
                <w:szCs w:val="18"/>
              </w:rPr>
            </w:pPr>
            <w:r>
              <w:rPr>
                <w:sz w:val="18"/>
                <w:szCs w:val="18"/>
              </w:rPr>
              <w:t>1367</w:t>
            </w:r>
          </w:p>
        </w:tc>
        <w:tc>
          <w:tcPr>
            <w:tcW w:w="1417" w:type="dxa"/>
            <w:vAlign w:val="center"/>
          </w:tcPr>
          <w:p w14:paraId="665CE2F6" w14:textId="77777777" w:rsidR="001C19F3" w:rsidRDefault="001C19F3" w:rsidP="00521305">
            <w:pPr>
              <w:spacing w:after="0"/>
              <w:jc w:val="center"/>
              <w:rPr>
                <w:sz w:val="18"/>
                <w:szCs w:val="18"/>
              </w:rPr>
            </w:pPr>
            <w:r>
              <w:rPr>
                <w:sz w:val="18"/>
                <w:szCs w:val="18"/>
              </w:rPr>
              <w:t>1,652</w:t>
            </w:r>
          </w:p>
        </w:tc>
      </w:tr>
      <w:tr w:rsidR="001C19F3" w:rsidRPr="007C4473" w14:paraId="6D374C9F" w14:textId="77777777" w:rsidTr="00521305">
        <w:trPr>
          <w:jc w:val="center"/>
        </w:trPr>
        <w:tc>
          <w:tcPr>
            <w:tcW w:w="4248" w:type="dxa"/>
          </w:tcPr>
          <w:p w14:paraId="6F8293FD" w14:textId="77777777" w:rsidR="001C19F3" w:rsidDel="001365DD" w:rsidRDefault="001C19F3" w:rsidP="00521305">
            <w:pPr>
              <w:spacing w:after="0"/>
              <w:rPr>
                <w:sz w:val="18"/>
                <w:szCs w:val="18"/>
              </w:rPr>
            </w:pPr>
            <w:r>
              <w:rPr>
                <w:sz w:val="18"/>
                <w:szCs w:val="18"/>
              </w:rPr>
              <w:t>More patients in practice data</w:t>
            </w:r>
          </w:p>
        </w:tc>
        <w:tc>
          <w:tcPr>
            <w:tcW w:w="1417" w:type="dxa"/>
            <w:vAlign w:val="center"/>
          </w:tcPr>
          <w:p w14:paraId="7F7448DE" w14:textId="77777777" w:rsidR="001C19F3" w:rsidRDefault="001C19F3" w:rsidP="00521305">
            <w:pPr>
              <w:spacing w:after="0"/>
              <w:jc w:val="center"/>
              <w:rPr>
                <w:sz w:val="18"/>
                <w:szCs w:val="18"/>
              </w:rPr>
            </w:pPr>
          </w:p>
        </w:tc>
        <w:tc>
          <w:tcPr>
            <w:tcW w:w="1418" w:type="dxa"/>
            <w:vAlign w:val="center"/>
          </w:tcPr>
          <w:p w14:paraId="2B1C6582" w14:textId="77777777" w:rsidR="001C19F3" w:rsidRDefault="001C19F3" w:rsidP="00521305">
            <w:pPr>
              <w:spacing w:after="0"/>
              <w:jc w:val="center"/>
              <w:rPr>
                <w:sz w:val="18"/>
                <w:szCs w:val="18"/>
              </w:rPr>
            </w:pPr>
          </w:p>
        </w:tc>
        <w:tc>
          <w:tcPr>
            <w:tcW w:w="1417" w:type="dxa"/>
            <w:vAlign w:val="center"/>
          </w:tcPr>
          <w:p w14:paraId="7B6F059D" w14:textId="77777777" w:rsidR="001C19F3" w:rsidRDefault="001C19F3" w:rsidP="00521305">
            <w:pPr>
              <w:spacing w:after="0"/>
              <w:jc w:val="center"/>
              <w:rPr>
                <w:sz w:val="18"/>
                <w:szCs w:val="18"/>
              </w:rPr>
            </w:pPr>
          </w:p>
        </w:tc>
      </w:tr>
      <w:tr w:rsidR="001C19F3" w:rsidRPr="007C4473" w14:paraId="3083A913" w14:textId="77777777" w:rsidTr="00521305">
        <w:trPr>
          <w:jc w:val="center"/>
        </w:trPr>
        <w:tc>
          <w:tcPr>
            <w:tcW w:w="4248" w:type="dxa"/>
          </w:tcPr>
          <w:p w14:paraId="7D8361E0" w14:textId="77777777" w:rsidR="001C19F3" w:rsidRDefault="001C19F3" w:rsidP="00521305">
            <w:pPr>
              <w:spacing w:after="0"/>
              <w:rPr>
                <w:sz w:val="18"/>
                <w:szCs w:val="18"/>
              </w:rPr>
            </w:pPr>
            <w:r>
              <w:rPr>
                <w:sz w:val="18"/>
                <w:szCs w:val="18"/>
              </w:rPr>
              <w:t xml:space="preserve"> Between 1 and 9 patients</w:t>
            </w:r>
          </w:p>
        </w:tc>
        <w:tc>
          <w:tcPr>
            <w:tcW w:w="1417" w:type="dxa"/>
            <w:vAlign w:val="center"/>
          </w:tcPr>
          <w:p w14:paraId="344EC0CB" w14:textId="77777777" w:rsidR="001C19F3" w:rsidRDefault="001C19F3" w:rsidP="00521305">
            <w:pPr>
              <w:spacing w:after="0"/>
              <w:jc w:val="center"/>
              <w:rPr>
                <w:sz w:val="18"/>
                <w:szCs w:val="18"/>
              </w:rPr>
            </w:pPr>
            <w:r>
              <w:rPr>
                <w:sz w:val="18"/>
                <w:szCs w:val="18"/>
              </w:rPr>
              <w:t>31</w:t>
            </w:r>
          </w:p>
        </w:tc>
        <w:tc>
          <w:tcPr>
            <w:tcW w:w="1418" w:type="dxa"/>
            <w:vAlign w:val="center"/>
          </w:tcPr>
          <w:p w14:paraId="4C46ED4F" w14:textId="77777777" w:rsidR="001C19F3" w:rsidRDefault="001C19F3" w:rsidP="00521305">
            <w:pPr>
              <w:spacing w:after="0"/>
              <w:jc w:val="center"/>
              <w:rPr>
                <w:sz w:val="18"/>
                <w:szCs w:val="18"/>
              </w:rPr>
            </w:pPr>
            <w:r>
              <w:rPr>
                <w:sz w:val="18"/>
                <w:szCs w:val="18"/>
              </w:rPr>
              <w:t>3,072</w:t>
            </w:r>
          </w:p>
        </w:tc>
        <w:tc>
          <w:tcPr>
            <w:tcW w:w="1417" w:type="dxa"/>
            <w:vAlign w:val="center"/>
          </w:tcPr>
          <w:p w14:paraId="580AC711" w14:textId="77777777" w:rsidR="001C19F3" w:rsidRDefault="001C19F3" w:rsidP="00521305">
            <w:pPr>
              <w:spacing w:after="0"/>
              <w:jc w:val="center"/>
              <w:rPr>
                <w:sz w:val="18"/>
                <w:szCs w:val="18"/>
              </w:rPr>
            </w:pPr>
            <w:r>
              <w:rPr>
                <w:sz w:val="18"/>
                <w:szCs w:val="18"/>
              </w:rPr>
              <w:t>2,979</w:t>
            </w:r>
          </w:p>
        </w:tc>
      </w:tr>
      <w:tr w:rsidR="001C19F3" w:rsidRPr="007C4473" w14:paraId="57A611A0" w14:textId="77777777" w:rsidTr="00521305">
        <w:trPr>
          <w:jc w:val="center"/>
        </w:trPr>
        <w:tc>
          <w:tcPr>
            <w:tcW w:w="4248" w:type="dxa"/>
          </w:tcPr>
          <w:p w14:paraId="45FA05D5" w14:textId="77777777" w:rsidR="001C19F3" w:rsidRDefault="001C19F3" w:rsidP="00521305">
            <w:pPr>
              <w:spacing w:after="0"/>
              <w:rPr>
                <w:sz w:val="18"/>
                <w:szCs w:val="18"/>
              </w:rPr>
            </w:pPr>
            <w:r>
              <w:rPr>
                <w:sz w:val="18"/>
                <w:szCs w:val="18"/>
              </w:rPr>
              <w:t xml:space="preserve"> 10 or more patients</w:t>
            </w:r>
          </w:p>
        </w:tc>
        <w:tc>
          <w:tcPr>
            <w:tcW w:w="1417" w:type="dxa"/>
            <w:vAlign w:val="center"/>
          </w:tcPr>
          <w:p w14:paraId="23BEA49B" w14:textId="77777777" w:rsidR="001C19F3" w:rsidRDefault="001C19F3" w:rsidP="00521305">
            <w:pPr>
              <w:spacing w:after="0"/>
              <w:jc w:val="center"/>
              <w:rPr>
                <w:sz w:val="18"/>
                <w:szCs w:val="18"/>
              </w:rPr>
            </w:pPr>
            <w:r>
              <w:rPr>
                <w:sz w:val="18"/>
                <w:szCs w:val="18"/>
              </w:rPr>
              <w:t>7</w:t>
            </w:r>
          </w:p>
        </w:tc>
        <w:tc>
          <w:tcPr>
            <w:tcW w:w="1418" w:type="dxa"/>
            <w:vAlign w:val="center"/>
          </w:tcPr>
          <w:p w14:paraId="63BD9B2F" w14:textId="77777777" w:rsidR="001C19F3" w:rsidRDefault="001C19F3" w:rsidP="00521305">
            <w:pPr>
              <w:spacing w:after="0"/>
              <w:jc w:val="center"/>
              <w:rPr>
                <w:sz w:val="18"/>
                <w:szCs w:val="18"/>
              </w:rPr>
            </w:pPr>
            <w:r>
              <w:rPr>
                <w:sz w:val="18"/>
                <w:szCs w:val="18"/>
              </w:rPr>
              <w:t>1,309</w:t>
            </w:r>
          </w:p>
        </w:tc>
        <w:tc>
          <w:tcPr>
            <w:tcW w:w="1417" w:type="dxa"/>
            <w:vAlign w:val="center"/>
          </w:tcPr>
          <w:p w14:paraId="7BF741D9" w14:textId="77777777" w:rsidR="001C19F3" w:rsidRDefault="001C19F3" w:rsidP="00521305">
            <w:pPr>
              <w:spacing w:after="0"/>
              <w:jc w:val="center"/>
              <w:rPr>
                <w:sz w:val="18"/>
                <w:szCs w:val="18"/>
              </w:rPr>
            </w:pPr>
            <w:r>
              <w:rPr>
                <w:sz w:val="18"/>
                <w:szCs w:val="18"/>
              </w:rPr>
              <w:t>1,030</w:t>
            </w:r>
          </w:p>
        </w:tc>
      </w:tr>
    </w:tbl>
    <w:p w14:paraId="18FF0144" w14:textId="77777777" w:rsidR="001C19F3" w:rsidRPr="006C20C8" w:rsidRDefault="001C19F3" w:rsidP="001C19F3">
      <w:pPr>
        <w:pStyle w:val="Chartortablefootnote"/>
      </w:pPr>
      <w:r w:rsidRPr="00232EEB">
        <w:t>Dat</w:t>
      </w:r>
      <w:r>
        <w:t xml:space="preserve">a related to 132 practices participating in the HCH as at 31 July 2019. </w:t>
      </w:r>
      <w:r w:rsidRPr="00232EEB">
        <w:rPr>
          <w:vertAlign w:val="superscript"/>
        </w:rPr>
        <w:t xml:space="preserve"> </w:t>
      </w:r>
      <w:r w:rsidRPr="006C20C8">
        <w:rPr>
          <w:vertAlign w:val="superscript"/>
        </w:rPr>
        <w:t>1</w:t>
      </w:r>
      <w:r w:rsidRPr="006C20C8">
        <w:t xml:space="preserve">This includes a practice </w:t>
      </w:r>
      <w:r>
        <w:t>that</w:t>
      </w:r>
      <w:r w:rsidRPr="006C20C8">
        <w:t xml:space="preserve"> shares Pen CS database with another location</w:t>
      </w:r>
      <w:r>
        <w:t xml:space="preserve">; </w:t>
      </w:r>
      <w:r w:rsidRPr="006C20C8">
        <w:rPr>
          <w:vertAlign w:val="superscript"/>
        </w:rPr>
        <w:t>2</w:t>
      </w:r>
      <w:r w:rsidRPr="006C20C8">
        <w:t>Twenty-two practices without flags of HCH patients include 16 Pen CS and 6 POLAR practices</w:t>
      </w:r>
      <w:r>
        <w:t xml:space="preserve">; </w:t>
      </w:r>
      <w:r w:rsidRPr="006C20C8">
        <w:rPr>
          <w:vertAlign w:val="superscript"/>
        </w:rPr>
        <w:t>3</w:t>
      </w:r>
      <w:r w:rsidRPr="006C20C8">
        <w:t>Eighty-</w:t>
      </w:r>
      <w:r>
        <w:t>six</w:t>
      </w:r>
      <w:r w:rsidRPr="006C20C8">
        <w:t xml:space="preserve"> practices with flags of HCH patients include </w:t>
      </w:r>
      <w:r>
        <w:t>81</w:t>
      </w:r>
      <w:r w:rsidRPr="006C20C8">
        <w:t xml:space="preserve"> Pen CS practices (</w:t>
      </w:r>
      <w:r>
        <w:t>8,077</w:t>
      </w:r>
      <w:r w:rsidRPr="006C20C8">
        <w:t xml:space="preserve"> patients) and 5 POLAR practices (259 patients).</w:t>
      </w:r>
    </w:p>
    <w:p w14:paraId="09E054E3" w14:textId="77777777" w:rsidR="001C19F3" w:rsidRDefault="001C19F3" w:rsidP="001C19F3">
      <w:pPr>
        <w:spacing w:before="200"/>
      </w:pPr>
      <w:r>
        <w:t>The South East Melbourne PHN</w:t>
      </w:r>
      <w:r w:rsidDel="00D02098">
        <w:t xml:space="preserve"> </w:t>
      </w:r>
      <w:r>
        <w:t>advised that the absence of patient enrolment flags in the POLAR extracts for six practices might be due to practices flagging patients in MBS billing software (e.g. Zedmed), which is incompatible with the extraction software, or practices using their own approaches so that flags are not extractable. The evaluation team has proposed that the PHN could facilitate manual collation of de-identified patient unique ID and the most recent patient tier and active/withdrawn status information from the practices. This information could be provided to the evaluation for linkage to the rest of POLAR records. At the time of this report, a spreadsheet template for practices to manually enter the above information was provided to the PHN.</w:t>
      </w:r>
    </w:p>
    <w:p w14:paraId="7E25515E" w14:textId="77777777" w:rsidR="001C19F3" w:rsidRPr="00012C39" w:rsidRDefault="001C19F3" w:rsidP="001C19F3">
      <w:r w:rsidRPr="00D96EEE">
        <w:rPr>
          <w:szCs w:val="20"/>
        </w:rPr>
        <w:fldChar w:fldCharType="begin"/>
      </w:r>
      <w:r w:rsidRPr="00D96EEE">
        <w:rPr>
          <w:szCs w:val="20"/>
        </w:rPr>
        <w:instrText xml:space="preserve"> REF _Ref15674669 \h  \* MERGEFORMAT </w:instrText>
      </w:r>
      <w:r w:rsidRPr="00D96EEE">
        <w:rPr>
          <w:szCs w:val="20"/>
        </w:rPr>
      </w:r>
      <w:r w:rsidRPr="00D96EEE">
        <w:rPr>
          <w:szCs w:val="20"/>
        </w:rPr>
        <w:fldChar w:fldCharType="separate"/>
      </w:r>
      <w:r w:rsidRPr="008F2809">
        <w:rPr>
          <w:szCs w:val="20"/>
        </w:rPr>
        <w:t xml:space="preserve">Figure </w:t>
      </w:r>
      <w:r w:rsidRPr="008F2809">
        <w:rPr>
          <w:noProof/>
          <w:szCs w:val="20"/>
        </w:rPr>
        <w:t>4</w:t>
      </w:r>
      <w:r w:rsidRPr="00D96EEE">
        <w:rPr>
          <w:szCs w:val="20"/>
        </w:rPr>
        <w:fldChar w:fldCharType="end"/>
      </w:r>
      <w:r w:rsidRPr="00D96EEE">
        <w:rPr>
          <w:szCs w:val="20"/>
        </w:rPr>
        <w:t xml:space="preserve"> shows cumulative HCH enrolment</w:t>
      </w:r>
      <w:r>
        <w:rPr>
          <w:szCs w:val="20"/>
        </w:rPr>
        <w:t>s</w:t>
      </w:r>
      <w:r w:rsidRPr="00D96EEE">
        <w:rPr>
          <w:szCs w:val="20"/>
        </w:rPr>
        <w:t xml:space="preserve"> </w:t>
      </w:r>
      <w:r>
        <w:rPr>
          <w:szCs w:val="20"/>
        </w:rPr>
        <w:t xml:space="preserve">and </w:t>
      </w:r>
      <w:r>
        <w:t xml:space="preserve">number of HCH patients in each tier </w:t>
      </w:r>
      <w:r>
        <w:rPr>
          <w:szCs w:val="20"/>
        </w:rPr>
        <w:t>as identified in practice extracts in comparison to HPOS registrations for 84 practices. These include three POLAR practices whose data extracts contain date of enrolment and patient tier, and 81 Pen CS practices whose data extracts contain patient tier and allow estimation of timing of patient enrolment. Data extracts provided by two POLAR practices allow identification of HCH patients but do not contain information about date of patient enrolment and patient tier.</w:t>
      </w:r>
    </w:p>
    <w:p w14:paraId="78AF793B" w14:textId="77777777" w:rsidR="001C19F3" w:rsidRDefault="001C19F3" w:rsidP="001C19F3">
      <w:pPr>
        <w:jc w:val="center"/>
        <w:rPr>
          <w:b/>
          <w:szCs w:val="20"/>
        </w:rPr>
      </w:pPr>
      <w:r>
        <w:rPr>
          <w:noProof/>
          <w:lang w:eastAsia="en-AU"/>
        </w:rPr>
        <w:lastRenderedPageBreak/>
        <mc:AlternateContent>
          <mc:Choice Requires="wpc">
            <w:drawing>
              <wp:inline distT="0" distB="0" distL="0" distR="0" wp14:anchorId="54408F9C" wp14:editId="4BD22844">
                <wp:extent cx="5327015" cy="7238025"/>
                <wp:effectExtent l="0" t="0" r="6985" b="127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 name="Picture 64" descr="A close up of a map&#10;&#10;Description automatically generated"/>
                          <pic:cNvPicPr preferRelativeResize="0">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391415" y="97155"/>
                            <a:ext cx="4701600" cy="3820968"/>
                          </a:xfrm>
                          <a:prstGeom prst="rect">
                            <a:avLst/>
                          </a:prstGeom>
                        </pic:spPr>
                      </pic:pic>
                      <pic:pic xmlns:pic="http://schemas.openxmlformats.org/drawingml/2006/picture">
                        <pic:nvPicPr>
                          <pic:cNvPr id="65" name="Picture 65"/>
                          <pic:cNvPicPr>
                            <a:picLocks noChangeAspect="1"/>
                          </pic:cNvPicPr>
                        </pic:nvPicPr>
                        <pic:blipFill>
                          <a:blip r:embed="rId160"/>
                          <a:stretch>
                            <a:fillRect/>
                          </a:stretch>
                        </pic:blipFill>
                        <pic:spPr>
                          <a:xfrm>
                            <a:off x="391415" y="3751875"/>
                            <a:ext cx="4714875" cy="3486150"/>
                          </a:xfrm>
                          <a:prstGeom prst="rect">
                            <a:avLst/>
                          </a:prstGeom>
                        </pic:spPr>
                      </pic:pic>
                    </wpc:wpc>
                  </a:graphicData>
                </a:graphic>
              </wp:inline>
            </w:drawing>
          </mc:Choice>
          <mc:Fallback>
            <w:pict>
              <v:group w14:anchorId="45EDB9AC" id="Canvas 86" o:spid="_x0000_s1026" editas="canvas" style="width:419.45pt;height:569.9pt;mso-position-horizontal-relative:char;mso-position-vertical-relative:line" coordsize="53270,7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">
                <v:shape id="_x0000_s1027" type="#_x0000_t75" style="position:absolute;width:53270;height:72377;visibility:visible;mso-wrap-style:square" filled="t">
                  <v:fill o:detectmouseclick="t"/>
                  <v:path o:connecttype="none"/>
                </v:shape>
                <v:shape id="Picture 64" o:spid="_x0000_s1028" type="#_x0000_t75" alt="A close up of a map&#10;&#10;Description automatically generated" style="position:absolute;left:3914;top:971;width:47016;height:382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">
                  <v:imagedata r:id="rId164" o:title="A close up of a map&#10;&#10;Description automatically generated"/>
                  <v:path arrowok="t"/>
                </v:shape>
                <v:shape id="Picture 65" o:spid="_x0000_s1029" type="#_x0000_t75" style="position:absolute;left:3914;top:37518;width:47148;height:3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">
                  <v:imagedata r:id="rId165" o:title=""/>
                  <v:path arrowok="t"/>
                </v:shape>
                <w10:anchorlock/>
              </v:group>
            </w:pict>
          </mc:Fallback>
        </mc:AlternateContent>
      </w:r>
    </w:p>
    <w:p w14:paraId="7ECAD6D3" w14:textId="77777777" w:rsidR="001C19F3" w:rsidRDefault="001C19F3" w:rsidP="001C19F3">
      <w:pPr>
        <w:jc w:val="center"/>
        <w:rPr>
          <w:b/>
          <w:szCs w:val="20"/>
        </w:rPr>
      </w:pPr>
      <w:bookmarkStart w:id="515" w:name="_Ref15674669"/>
      <w:bookmarkStart w:id="516" w:name="_Ref15674666"/>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Pr>
          <w:b/>
          <w:noProof/>
          <w:szCs w:val="20"/>
        </w:rPr>
        <w:t>4</w:t>
      </w:r>
      <w:r>
        <w:rPr>
          <w:b/>
          <w:szCs w:val="20"/>
        </w:rPr>
        <w:fldChar w:fldCharType="end"/>
      </w:r>
      <w:bookmarkEnd w:id="515"/>
      <w:r w:rsidRPr="00E76010">
        <w:rPr>
          <w:b/>
          <w:szCs w:val="20"/>
        </w:rPr>
        <w:t xml:space="preserve"> </w:t>
      </w:r>
      <w:bookmarkStart w:id="517" w:name="_Ref16284354"/>
      <w:r w:rsidRPr="00E76010">
        <w:rPr>
          <w:b/>
          <w:szCs w:val="20"/>
        </w:rPr>
        <w:t xml:space="preserve">– </w:t>
      </w:r>
      <w:bookmarkEnd w:id="516"/>
      <w:bookmarkEnd w:id="517"/>
      <w:r>
        <w:rPr>
          <w:b/>
          <w:szCs w:val="20"/>
        </w:rPr>
        <w:t>Cumulative HCH enrolments and number of patients in each tier identified in practice extracts compared with HPOS registrations, at 30 June 2019</w:t>
      </w:r>
    </w:p>
    <w:p w14:paraId="46A04960" w14:textId="77777777" w:rsidR="001C19F3" w:rsidRDefault="001C19F3" w:rsidP="001C19F3">
      <w:pPr>
        <w:spacing w:after="160" w:line="259" w:lineRule="auto"/>
        <w:rPr>
          <w:b/>
          <w:szCs w:val="20"/>
        </w:rPr>
      </w:pPr>
      <w:r>
        <w:rPr>
          <w:b/>
          <w:szCs w:val="20"/>
        </w:rPr>
        <w:br w:type="page"/>
      </w:r>
    </w:p>
    <w:p w14:paraId="0E2BB0EF" w14:textId="77777777" w:rsidR="001C19F3" w:rsidRDefault="001C19F3" w:rsidP="001C19F3">
      <w:pPr>
        <w:pStyle w:val="Heading2"/>
      </w:pPr>
      <w:bookmarkStart w:id="518" w:name="_Toc27058962"/>
      <w:r>
        <w:lastRenderedPageBreak/>
        <w:t>Patient health conditions</w:t>
      </w:r>
      <w:bookmarkEnd w:id="518"/>
    </w:p>
    <w:p w14:paraId="3D2F781F" w14:textId="77777777" w:rsidR="001C19F3" w:rsidRDefault="001C19F3" w:rsidP="001C19F3">
      <w:pPr>
        <w:pStyle w:val="BodyText"/>
        <w:spacing w:after="200" w:line="276" w:lineRule="auto"/>
        <w:rPr>
          <w:rFonts w:eastAsia="Calibri" w:cs="Times New Roman"/>
          <w:szCs w:val="22"/>
          <w:lang w:val="en-AU"/>
        </w:rPr>
      </w:pPr>
      <w:r>
        <w:rPr>
          <w:rFonts w:eastAsia="Calibri" w:cs="Times New Roman"/>
          <w:lang w:val="en-AU"/>
        </w:rPr>
        <w:t xml:space="preserve">The proportion of HCH patients who had a health condition flagged in practice data extracts is presented in </w:t>
      </w:r>
      <w:r w:rsidRPr="00CE0C0C">
        <w:rPr>
          <w:rFonts w:eastAsia="Calibri" w:cs="Times New Roman"/>
          <w:lang w:val="en-AU"/>
        </w:rPr>
        <w:fldChar w:fldCharType="begin"/>
      </w:r>
      <w:r w:rsidRPr="00CE0C0C">
        <w:rPr>
          <w:rFonts w:eastAsia="Calibri" w:cs="Times New Roman"/>
          <w:lang w:val="en-AU"/>
        </w:rPr>
        <w:instrText xml:space="preserve"> REF _Ref18010805 \h  \* MERGEFORMAT </w:instrText>
      </w:r>
      <w:r w:rsidRPr="00CE0C0C">
        <w:rPr>
          <w:rFonts w:eastAsia="Calibri" w:cs="Times New Roman"/>
          <w:lang w:val="en-AU"/>
        </w:rPr>
      </w:r>
      <w:r w:rsidRPr="00CE0C0C">
        <w:rPr>
          <w:rFonts w:eastAsia="Calibri" w:cs="Times New Roman"/>
          <w:lang w:val="en-AU"/>
        </w:rPr>
        <w:fldChar w:fldCharType="separate"/>
      </w:r>
      <w:r w:rsidRPr="008F2809">
        <w:t xml:space="preserve">Table </w:t>
      </w:r>
      <w:r w:rsidRPr="008F2809">
        <w:rPr>
          <w:noProof/>
        </w:rPr>
        <w:t>18</w:t>
      </w:r>
      <w:r w:rsidRPr="00CE0C0C">
        <w:rPr>
          <w:rFonts w:eastAsia="Calibri" w:cs="Times New Roman"/>
          <w:lang w:val="en-AU"/>
        </w:rPr>
        <w:fldChar w:fldCharType="end"/>
      </w:r>
      <w:r>
        <w:rPr>
          <w:rFonts w:eastAsia="Calibri" w:cs="Times New Roman"/>
          <w:szCs w:val="22"/>
          <w:lang w:val="en-AU"/>
        </w:rPr>
        <w:t>. The most common conditions were h</w:t>
      </w:r>
      <w:r w:rsidRPr="00423096">
        <w:rPr>
          <w:rFonts w:eastAsia="Calibri" w:cs="Times New Roman"/>
          <w:szCs w:val="22"/>
          <w:lang w:val="en-AU"/>
        </w:rPr>
        <w:t>igh blood pressure</w:t>
      </w:r>
      <w:r>
        <w:rPr>
          <w:rFonts w:eastAsia="Calibri" w:cs="Times New Roman"/>
          <w:szCs w:val="22"/>
          <w:lang w:val="en-AU"/>
        </w:rPr>
        <w:t xml:space="preserve"> (</w:t>
      </w:r>
      <w:r w:rsidRPr="00423096">
        <w:rPr>
          <w:rFonts w:eastAsia="Calibri" w:cs="Times New Roman"/>
          <w:szCs w:val="22"/>
          <w:lang w:val="en-AU"/>
        </w:rPr>
        <w:t>49</w:t>
      </w:r>
      <w:r>
        <w:rPr>
          <w:rFonts w:eastAsia="Calibri" w:cs="Times New Roman"/>
          <w:szCs w:val="22"/>
          <w:lang w:val="en-AU"/>
        </w:rPr>
        <w:t>.4</w:t>
      </w:r>
      <w:r w:rsidRPr="00423096">
        <w:rPr>
          <w:rFonts w:eastAsia="Calibri" w:cs="Times New Roman"/>
          <w:szCs w:val="22"/>
          <w:lang w:val="en-AU"/>
        </w:rPr>
        <w:t>%</w:t>
      </w:r>
      <w:r>
        <w:rPr>
          <w:rFonts w:eastAsia="Calibri" w:cs="Times New Roman"/>
          <w:szCs w:val="22"/>
          <w:lang w:val="en-AU"/>
        </w:rPr>
        <w:t>), h</w:t>
      </w:r>
      <w:r w:rsidRPr="00423096">
        <w:rPr>
          <w:rFonts w:eastAsia="Calibri" w:cs="Times New Roman"/>
          <w:szCs w:val="22"/>
          <w:lang w:val="en-AU"/>
        </w:rPr>
        <w:t>igh cholesterol</w:t>
      </w:r>
      <w:r>
        <w:rPr>
          <w:rFonts w:eastAsia="Calibri" w:cs="Times New Roman"/>
          <w:szCs w:val="22"/>
          <w:lang w:val="en-AU"/>
        </w:rPr>
        <w:t xml:space="preserve"> (</w:t>
      </w:r>
      <w:r w:rsidRPr="00423096">
        <w:rPr>
          <w:rFonts w:eastAsia="Calibri" w:cs="Times New Roman"/>
          <w:szCs w:val="22"/>
          <w:lang w:val="en-AU"/>
        </w:rPr>
        <w:t>3</w:t>
      </w:r>
      <w:r>
        <w:rPr>
          <w:rFonts w:eastAsia="Calibri" w:cs="Times New Roman"/>
          <w:szCs w:val="22"/>
          <w:lang w:val="en-AU"/>
        </w:rPr>
        <w:t>9.0</w:t>
      </w:r>
      <w:r w:rsidRPr="00423096">
        <w:rPr>
          <w:rFonts w:eastAsia="Calibri" w:cs="Times New Roman"/>
          <w:szCs w:val="22"/>
          <w:lang w:val="en-AU"/>
        </w:rPr>
        <w:t>%</w:t>
      </w:r>
      <w:r>
        <w:rPr>
          <w:rFonts w:eastAsia="Calibri" w:cs="Times New Roman"/>
          <w:szCs w:val="22"/>
          <w:lang w:val="en-AU"/>
        </w:rPr>
        <w:t>) and type 2 diabetes (30.1%) followed by o</w:t>
      </w:r>
      <w:r w:rsidRPr="00423096">
        <w:rPr>
          <w:rFonts w:eastAsia="Calibri" w:cs="Times New Roman"/>
          <w:szCs w:val="22"/>
          <w:lang w:val="en-AU"/>
        </w:rPr>
        <w:t>steoarthritis</w:t>
      </w:r>
      <w:r>
        <w:rPr>
          <w:rFonts w:eastAsia="Calibri" w:cs="Times New Roman"/>
          <w:szCs w:val="22"/>
          <w:lang w:val="en-AU"/>
        </w:rPr>
        <w:t xml:space="preserve"> (25.5%) and depression (22.3%). About 2% of patients had bipolar disorder, s</w:t>
      </w:r>
      <w:r w:rsidRPr="002D140D">
        <w:rPr>
          <w:rFonts w:eastAsia="Calibri" w:cs="Times New Roman"/>
          <w:szCs w:val="22"/>
          <w:lang w:val="en-AU"/>
        </w:rPr>
        <w:t>chizophrenia</w:t>
      </w:r>
      <w:r>
        <w:rPr>
          <w:rFonts w:eastAsia="Calibri" w:cs="Times New Roman"/>
          <w:szCs w:val="22"/>
          <w:lang w:val="en-AU"/>
        </w:rPr>
        <w:t xml:space="preserve"> or d</w:t>
      </w:r>
      <w:r w:rsidRPr="002D140D">
        <w:rPr>
          <w:rFonts w:eastAsia="Calibri" w:cs="Times New Roman"/>
          <w:szCs w:val="22"/>
          <w:lang w:val="en-AU"/>
        </w:rPr>
        <w:t>ementia</w:t>
      </w:r>
      <w:r>
        <w:rPr>
          <w:rFonts w:eastAsia="Calibri" w:cs="Times New Roman"/>
          <w:szCs w:val="22"/>
          <w:lang w:val="en-AU"/>
        </w:rPr>
        <w:t>.</w:t>
      </w:r>
    </w:p>
    <w:p w14:paraId="6120190C" w14:textId="77777777" w:rsidR="001C19F3" w:rsidRDefault="001C19F3" w:rsidP="001C19F3">
      <w:pPr>
        <w:spacing w:after="0"/>
        <w:jc w:val="center"/>
        <w:rPr>
          <w:b/>
          <w:szCs w:val="20"/>
        </w:rPr>
      </w:pPr>
      <w:bookmarkStart w:id="519" w:name="_Ref18010805"/>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18</w:t>
      </w:r>
      <w:r w:rsidRPr="00E76010">
        <w:rPr>
          <w:szCs w:val="20"/>
        </w:rPr>
        <w:fldChar w:fldCharType="end"/>
      </w:r>
      <w:bookmarkEnd w:id="519"/>
      <w:r w:rsidRPr="00E76010">
        <w:rPr>
          <w:b/>
          <w:szCs w:val="20"/>
        </w:rPr>
        <w:t xml:space="preserve"> –</w:t>
      </w:r>
      <w:r>
        <w:rPr>
          <w:b/>
          <w:szCs w:val="20"/>
        </w:rPr>
        <w:t xml:space="preserve"> Health conditions flagged for HCH patients within practice extracts</w:t>
      </w:r>
    </w:p>
    <w:tbl>
      <w:tblPr>
        <w:tblStyle w:val="TableGrid"/>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05"/>
        <w:gridCol w:w="3111"/>
      </w:tblGrid>
      <w:tr w:rsidR="001C19F3" w:rsidRPr="007C4473" w14:paraId="66082461" w14:textId="77777777" w:rsidTr="00521305">
        <w:trPr>
          <w:trHeight w:val="340"/>
          <w:tblHeader/>
          <w:jc w:val="center"/>
        </w:trPr>
        <w:tc>
          <w:tcPr>
            <w:tcW w:w="3275" w:type="pct"/>
            <w:shd w:val="clear" w:color="auto" w:fill="003D79"/>
          </w:tcPr>
          <w:p w14:paraId="276DCEC2" w14:textId="77777777" w:rsidR="001C19F3" w:rsidRPr="007C4473" w:rsidRDefault="001C19F3" w:rsidP="00521305">
            <w:pPr>
              <w:spacing w:after="0" w:line="240" w:lineRule="auto"/>
              <w:rPr>
                <w:b/>
                <w:sz w:val="18"/>
                <w:szCs w:val="18"/>
              </w:rPr>
            </w:pPr>
            <w:r>
              <w:rPr>
                <w:b/>
                <w:sz w:val="18"/>
                <w:szCs w:val="18"/>
              </w:rPr>
              <w:t>Patient condition</w:t>
            </w:r>
            <w:r w:rsidRPr="006C20C8">
              <w:rPr>
                <w:b/>
                <w:sz w:val="18"/>
                <w:szCs w:val="18"/>
                <w:vertAlign w:val="superscript"/>
              </w:rPr>
              <w:t>2</w:t>
            </w:r>
          </w:p>
        </w:tc>
        <w:tc>
          <w:tcPr>
            <w:tcW w:w="1725" w:type="pct"/>
            <w:shd w:val="clear" w:color="auto" w:fill="003D79"/>
            <w:vAlign w:val="center"/>
          </w:tcPr>
          <w:p w14:paraId="3AA1A372" w14:textId="77777777" w:rsidR="001C19F3" w:rsidRPr="007C4473" w:rsidRDefault="001C19F3" w:rsidP="00521305">
            <w:pPr>
              <w:spacing w:after="0" w:line="240" w:lineRule="auto"/>
              <w:jc w:val="center"/>
              <w:rPr>
                <w:b/>
                <w:sz w:val="18"/>
                <w:szCs w:val="18"/>
              </w:rPr>
            </w:pPr>
            <w:r>
              <w:rPr>
                <w:b/>
                <w:sz w:val="18"/>
                <w:szCs w:val="18"/>
              </w:rPr>
              <w:t>No. patients (%)</w:t>
            </w:r>
            <w:r w:rsidRPr="006C20C8">
              <w:rPr>
                <w:b/>
                <w:sz w:val="18"/>
                <w:szCs w:val="18"/>
                <w:vertAlign w:val="superscript"/>
              </w:rPr>
              <w:t>1</w:t>
            </w:r>
          </w:p>
        </w:tc>
      </w:tr>
      <w:tr w:rsidR="001C19F3" w:rsidRPr="007C4473" w14:paraId="7357EDCC" w14:textId="77777777" w:rsidTr="00521305">
        <w:trPr>
          <w:jc w:val="center"/>
        </w:trPr>
        <w:tc>
          <w:tcPr>
            <w:tcW w:w="3275" w:type="pct"/>
          </w:tcPr>
          <w:p w14:paraId="61688084" w14:textId="77777777" w:rsidR="001C19F3" w:rsidRPr="00783A8A" w:rsidRDefault="001C19F3" w:rsidP="00521305">
            <w:pPr>
              <w:spacing w:after="0"/>
              <w:ind w:left="316"/>
              <w:rPr>
                <w:b/>
                <w:sz w:val="18"/>
                <w:szCs w:val="18"/>
              </w:rPr>
            </w:pPr>
            <w:r>
              <w:rPr>
                <w:color w:val="231F20"/>
                <w:sz w:val="18"/>
              </w:rPr>
              <w:t>Asthma</w:t>
            </w:r>
          </w:p>
        </w:tc>
        <w:tc>
          <w:tcPr>
            <w:tcW w:w="1725" w:type="pct"/>
            <w:vAlign w:val="bottom"/>
          </w:tcPr>
          <w:p w14:paraId="01173BA6"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w:t>
            </w:r>
            <w:r>
              <w:rPr>
                <w:rFonts w:eastAsia="Times New Roman" w:cs="Calibri"/>
                <w:color w:val="000000"/>
                <w:sz w:val="18"/>
                <w:szCs w:val="18"/>
                <w:lang w:eastAsia="en-AU"/>
              </w:rPr>
              <w:t>,</w:t>
            </w:r>
            <w:r w:rsidRPr="00D40A12">
              <w:rPr>
                <w:rFonts w:eastAsia="Times New Roman" w:cs="Calibri"/>
                <w:color w:val="000000"/>
                <w:sz w:val="18"/>
                <w:szCs w:val="18"/>
                <w:lang w:eastAsia="en-AU"/>
              </w:rPr>
              <w:t>5</w:t>
            </w:r>
            <w:r>
              <w:rPr>
                <w:rFonts w:eastAsia="Times New Roman" w:cs="Calibri"/>
                <w:color w:val="000000"/>
                <w:sz w:val="18"/>
                <w:szCs w:val="18"/>
                <w:lang w:eastAsia="en-AU"/>
              </w:rPr>
              <w:t>70</w:t>
            </w:r>
            <w:r w:rsidRPr="00D40A12">
              <w:rPr>
                <w:rFonts w:eastAsia="Times New Roman" w:cs="Calibri"/>
                <w:color w:val="000000"/>
                <w:sz w:val="18"/>
                <w:szCs w:val="18"/>
                <w:lang w:eastAsia="en-AU"/>
              </w:rPr>
              <w:t xml:space="preserve"> (18.</w:t>
            </w:r>
            <w:r>
              <w:rPr>
                <w:rFonts w:eastAsia="Times New Roman" w:cs="Calibri"/>
                <w:color w:val="000000"/>
                <w:sz w:val="18"/>
                <w:szCs w:val="18"/>
                <w:lang w:eastAsia="en-AU"/>
              </w:rPr>
              <w:t>8</w:t>
            </w:r>
            <w:r w:rsidRPr="00D40A12">
              <w:rPr>
                <w:rFonts w:eastAsia="Times New Roman" w:cs="Calibri"/>
                <w:color w:val="000000"/>
                <w:sz w:val="18"/>
                <w:szCs w:val="18"/>
                <w:lang w:eastAsia="en-AU"/>
              </w:rPr>
              <w:t>%)</w:t>
            </w:r>
          </w:p>
        </w:tc>
      </w:tr>
      <w:tr w:rsidR="001C19F3" w:rsidRPr="007C4473" w14:paraId="6A2C7CD0" w14:textId="77777777" w:rsidTr="00521305">
        <w:trPr>
          <w:jc w:val="center"/>
        </w:trPr>
        <w:tc>
          <w:tcPr>
            <w:tcW w:w="3275" w:type="pct"/>
          </w:tcPr>
          <w:p w14:paraId="0F4AA88B" w14:textId="77777777" w:rsidR="001C19F3" w:rsidRDefault="001C19F3" w:rsidP="00521305">
            <w:pPr>
              <w:spacing w:after="0"/>
              <w:ind w:left="316"/>
              <w:rPr>
                <w:sz w:val="18"/>
                <w:szCs w:val="18"/>
              </w:rPr>
            </w:pPr>
            <w:r>
              <w:rPr>
                <w:color w:val="231F20"/>
                <w:sz w:val="18"/>
              </w:rPr>
              <w:t>COPD</w:t>
            </w:r>
          </w:p>
        </w:tc>
        <w:tc>
          <w:tcPr>
            <w:tcW w:w="1725" w:type="pct"/>
            <w:vAlign w:val="bottom"/>
          </w:tcPr>
          <w:p w14:paraId="3E309E0F" w14:textId="77777777" w:rsidR="001C19F3" w:rsidRPr="00AB2E0A" w:rsidRDefault="001C19F3" w:rsidP="00521305">
            <w:pPr>
              <w:spacing w:after="0"/>
              <w:jc w:val="center"/>
              <w:rPr>
                <w:sz w:val="18"/>
                <w:szCs w:val="18"/>
              </w:rPr>
            </w:pPr>
            <w:r>
              <w:rPr>
                <w:rFonts w:eastAsia="Times New Roman" w:cs="Calibri"/>
                <w:color w:val="000000"/>
                <w:sz w:val="18"/>
                <w:szCs w:val="18"/>
                <w:lang w:eastAsia="en-AU"/>
              </w:rPr>
              <w:t>1016</w:t>
            </w:r>
            <w:r w:rsidRPr="00D40A12">
              <w:rPr>
                <w:rFonts w:eastAsia="Times New Roman" w:cs="Calibri"/>
                <w:color w:val="000000"/>
                <w:sz w:val="18"/>
                <w:szCs w:val="18"/>
                <w:lang w:eastAsia="en-AU"/>
              </w:rPr>
              <w:t xml:space="preserve"> (12.2%)</w:t>
            </w:r>
          </w:p>
        </w:tc>
      </w:tr>
      <w:tr w:rsidR="001C19F3" w:rsidRPr="007C4473" w14:paraId="21A5315B" w14:textId="77777777" w:rsidTr="00521305">
        <w:trPr>
          <w:jc w:val="center"/>
        </w:trPr>
        <w:tc>
          <w:tcPr>
            <w:tcW w:w="3275" w:type="pct"/>
          </w:tcPr>
          <w:p w14:paraId="47BD2FD2" w14:textId="77777777" w:rsidR="001C19F3" w:rsidRDefault="001C19F3" w:rsidP="00521305">
            <w:pPr>
              <w:spacing w:after="0"/>
              <w:ind w:left="316"/>
              <w:rPr>
                <w:sz w:val="18"/>
                <w:szCs w:val="18"/>
              </w:rPr>
            </w:pPr>
            <w:r>
              <w:rPr>
                <w:color w:val="231F20"/>
                <w:sz w:val="18"/>
              </w:rPr>
              <w:t>Atrial fibrillation</w:t>
            </w:r>
          </w:p>
        </w:tc>
        <w:tc>
          <w:tcPr>
            <w:tcW w:w="1725" w:type="pct"/>
            <w:vAlign w:val="bottom"/>
          </w:tcPr>
          <w:p w14:paraId="3FE07995"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6</w:t>
            </w:r>
            <w:r>
              <w:rPr>
                <w:rFonts w:eastAsia="Times New Roman" w:cs="Calibri"/>
                <w:color w:val="000000"/>
                <w:sz w:val="18"/>
                <w:szCs w:val="18"/>
                <w:lang w:eastAsia="en-AU"/>
              </w:rPr>
              <w:t>41</w:t>
            </w:r>
            <w:r w:rsidRPr="00D40A12">
              <w:rPr>
                <w:rFonts w:eastAsia="Times New Roman" w:cs="Calibri"/>
                <w:color w:val="000000"/>
                <w:sz w:val="18"/>
                <w:szCs w:val="18"/>
                <w:lang w:eastAsia="en-AU"/>
              </w:rPr>
              <w:t xml:space="preserve"> (8.</w:t>
            </w:r>
            <w:r>
              <w:rPr>
                <w:rFonts w:eastAsia="Times New Roman" w:cs="Calibri"/>
                <w:color w:val="000000"/>
                <w:sz w:val="18"/>
                <w:szCs w:val="18"/>
                <w:lang w:eastAsia="en-AU"/>
              </w:rPr>
              <w:t>6</w:t>
            </w:r>
            <w:r w:rsidRPr="00D40A12">
              <w:rPr>
                <w:rFonts w:eastAsia="Times New Roman" w:cs="Calibri"/>
                <w:color w:val="000000"/>
                <w:sz w:val="18"/>
                <w:szCs w:val="18"/>
                <w:lang w:eastAsia="en-AU"/>
              </w:rPr>
              <w:t>%)</w:t>
            </w:r>
            <w:r>
              <w:rPr>
                <w:b/>
                <w:color w:val="231F20"/>
                <w:sz w:val="18"/>
                <w:vertAlign w:val="superscript"/>
              </w:rPr>
              <w:t>3</w:t>
            </w:r>
          </w:p>
        </w:tc>
      </w:tr>
      <w:tr w:rsidR="001C19F3" w:rsidRPr="007C4473" w14:paraId="6D5CD15F" w14:textId="77777777" w:rsidTr="00521305">
        <w:trPr>
          <w:jc w:val="center"/>
        </w:trPr>
        <w:tc>
          <w:tcPr>
            <w:tcW w:w="3275" w:type="pct"/>
          </w:tcPr>
          <w:p w14:paraId="59633CEF" w14:textId="77777777" w:rsidR="001C19F3" w:rsidRDefault="001C19F3" w:rsidP="00521305">
            <w:pPr>
              <w:spacing w:after="0"/>
              <w:ind w:left="316"/>
              <w:rPr>
                <w:color w:val="231F20"/>
                <w:sz w:val="18"/>
              </w:rPr>
            </w:pPr>
            <w:r>
              <w:rPr>
                <w:color w:val="231F20"/>
                <w:sz w:val="18"/>
              </w:rPr>
              <w:t>Coronary heart disease</w:t>
            </w:r>
          </w:p>
        </w:tc>
        <w:tc>
          <w:tcPr>
            <w:tcW w:w="1725" w:type="pct"/>
            <w:vAlign w:val="bottom"/>
          </w:tcPr>
          <w:p w14:paraId="4F258499"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w:t>
            </w:r>
            <w:r>
              <w:rPr>
                <w:rFonts w:eastAsia="Times New Roman" w:cs="Calibri"/>
                <w:color w:val="000000"/>
                <w:sz w:val="18"/>
                <w:szCs w:val="18"/>
                <w:lang w:eastAsia="en-AU"/>
              </w:rPr>
              <w:t>,360</w:t>
            </w:r>
            <w:r w:rsidRPr="00D40A12">
              <w:rPr>
                <w:rFonts w:eastAsia="Times New Roman" w:cs="Calibri"/>
                <w:color w:val="000000"/>
                <w:sz w:val="18"/>
                <w:szCs w:val="18"/>
                <w:lang w:eastAsia="en-AU"/>
              </w:rPr>
              <w:t xml:space="preserve"> (16.</w:t>
            </w:r>
            <w:r>
              <w:rPr>
                <w:rFonts w:eastAsia="Times New Roman" w:cs="Calibri"/>
                <w:color w:val="000000"/>
                <w:sz w:val="18"/>
                <w:szCs w:val="18"/>
                <w:lang w:eastAsia="en-AU"/>
              </w:rPr>
              <w:t>3</w:t>
            </w:r>
            <w:r w:rsidRPr="00D40A12">
              <w:rPr>
                <w:rFonts w:eastAsia="Times New Roman" w:cs="Calibri"/>
                <w:color w:val="000000"/>
                <w:sz w:val="18"/>
                <w:szCs w:val="18"/>
                <w:lang w:eastAsia="en-AU"/>
              </w:rPr>
              <w:t>%)</w:t>
            </w:r>
          </w:p>
        </w:tc>
      </w:tr>
      <w:tr w:rsidR="001C19F3" w:rsidRPr="007C4473" w14:paraId="3BC7EFFE" w14:textId="77777777" w:rsidTr="00521305">
        <w:trPr>
          <w:jc w:val="center"/>
        </w:trPr>
        <w:tc>
          <w:tcPr>
            <w:tcW w:w="3275" w:type="pct"/>
          </w:tcPr>
          <w:p w14:paraId="1CD92A04" w14:textId="77777777" w:rsidR="001C19F3" w:rsidRPr="00783A8A" w:rsidRDefault="001C19F3" w:rsidP="00521305">
            <w:pPr>
              <w:spacing w:after="0"/>
              <w:ind w:left="316"/>
              <w:rPr>
                <w:b/>
                <w:sz w:val="18"/>
                <w:szCs w:val="18"/>
              </w:rPr>
            </w:pPr>
            <w:r>
              <w:rPr>
                <w:color w:val="231F20"/>
                <w:sz w:val="18"/>
              </w:rPr>
              <w:t>Stroke</w:t>
            </w:r>
          </w:p>
        </w:tc>
        <w:tc>
          <w:tcPr>
            <w:tcW w:w="1725" w:type="pct"/>
            <w:vAlign w:val="bottom"/>
          </w:tcPr>
          <w:p w14:paraId="522DA2B6"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4</w:t>
            </w:r>
            <w:r>
              <w:rPr>
                <w:rFonts w:eastAsia="Times New Roman" w:cs="Calibri"/>
                <w:color w:val="000000"/>
                <w:sz w:val="18"/>
                <w:szCs w:val="18"/>
                <w:lang w:eastAsia="en-AU"/>
              </w:rPr>
              <w:t>23</w:t>
            </w:r>
            <w:r w:rsidRPr="00D40A12">
              <w:rPr>
                <w:rFonts w:eastAsia="Times New Roman" w:cs="Calibri"/>
                <w:color w:val="000000"/>
                <w:sz w:val="18"/>
                <w:szCs w:val="18"/>
                <w:lang w:eastAsia="en-AU"/>
              </w:rPr>
              <w:t xml:space="preserve"> (5.</w:t>
            </w:r>
            <w:r>
              <w:rPr>
                <w:rFonts w:eastAsia="Times New Roman" w:cs="Calibri"/>
                <w:color w:val="000000"/>
                <w:sz w:val="18"/>
                <w:szCs w:val="18"/>
                <w:lang w:eastAsia="en-AU"/>
              </w:rPr>
              <w:t>2</w:t>
            </w:r>
            <w:r w:rsidRPr="00D40A12">
              <w:rPr>
                <w:rFonts w:eastAsia="Times New Roman" w:cs="Calibri"/>
                <w:color w:val="000000"/>
                <w:sz w:val="18"/>
                <w:szCs w:val="18"/>
                <w:lang w:eastAsia="en-AU"/>
              </w:rPr>
              <w:t>%)</w:t>
            </w:r>
            <w:r>
              <w:rPr>
                <w:b/>
                <w:color w:val="231F20"/>
                <w:sz w:val="18"/>
                <w:vertAlign w:val="superscript"/>
              </w:rPr>
              <w:t>3</w:t>
            </w:r>
          </w:p>
        </w:tc>
      </w:tr>
      <w:tr w:rsidR="001C19F3" w:rsidRPr="007C4473" w14:paraId="06A5DA6C" w14:textId="77777777" w:rsidTr="00521305">
        <w:trPr>
          <w:jc w:val="center"/>
        </w:trPr>
        <w:tc>
          <w:tcPr>
            <w:tcW w:w="3275" w:type="pct"/>
          </w:tcPr>
          <w:p w14:paraId="004EAEE1" w14:textId="77777777" w:rsidR="001C19F3" w:rsidRDefault="001C19F3" w:rsidP="00521305">
            <w:pPr>
              <w:spacing w:after="0"/>
              <w:ind w:left="316"/>
              <w:rPr>
                <w:sz w:val="18"/>
                <w:szCs w:val="18"/>
              </w:rPr>
            </w:pPr>
            <w:r>
              <w:rPr>
                <w:color w:val="231F20"/>
                <w:sz w:val="18"/>
              </w:rPr>
              <w:t>Congestive heart failure</w:t>
            </w:r>
          </w:p>
        </w:tc>
        <w:tc>
          <w:tcPr>
            <w:tcW w:w="1725" w:type="pct"/>
            <w:vAlign w:val="bottom"/>
          </w:tcPr>
          <w:p w14:paraId="6597ABC7"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3</w:t>
            </w:r>
            <w:r>
              <w:rPr>
                <w:rFonts w:eastAsia="Times New Roman" w:cs="Calibri"/>
                <w:color w:val="000000"/>
                <w:sz w:val="18"/>
                <w:szCs w:val="18"/>
                <w:lang w:eastAsia="en-AU"/>
              </w:rPr>
              <w:t>93</w:t>
            </w:r>
            <w:r w:rsidRPr="00D40A12">
              <w:rPr>
                <w:rFonts w:eastAsia="Times New Roman" w:cs="Calibri"/>
                <w:color w:val="000000"/>
                <w:sz w:val="18"/>
                <w:szCs w:val="18"/>
                <w:lang w:eastAsia="en-AU"/>
              </w:rPr>
              <w:t xml:space="preserve"> (4.</w:t>
            </w:r>
            <w:r>
              <w:rPr>
                <w:rFonts w:eastAsia="Times New Roman" w:cs="Calibri"/>
                <w:color w:val="000000"/>
                <w:sz w:val="18"/>
                <w:szCs w:val="18"/>
                <w:lang w:eastAsia="en-AU"/>
              </w:rPr>
              <w:t>7</w:t>
            </w:r>
            <w:r w:rsidRPr="00D40A12">
              <w:rPr>
                <w:rFonts w:eastAsia="Times New Roman" w:cs="Calibri"/>
                <w:color w:val="000000"/>
                <w:sz w:val="18"/>
                <w:szCs w:val="18"/>
                <w:lang w:eastAsia="en-AU"/>
              </w:rPr>
              <w:t>%)</w:t>
            </w:r>
          </w:p>
        </w:tc>
      </w:tr>
      <w:tr w:rsidR="001C19F3" w:rsidRPr="007C4473" w14:paraId="58C217A2" w14:textId="77777777" w:rsidTr="00521305">
        <w:trPr>
          <w:jc w:val="center"/>
        </w:trPr>
        <w:tc>
          <w:tcPr>
            <w:tcW w:w="3275" w:type="pct"/>
          </w:tcPr>
          <w:p w14:paraId="23B91D07" w14:textId="77777777" w:rsidR="001C19F3" w:rsidRDefault="001C19F3" w:rsidP="00521305">
            <w:pPr>
              <w:spacing w:after="0"/>
              <w:ind w:left="316"/>
              <w:rPr>
                <w:sz w:val="18"/>
                <w:szCs w:val="18"/>
              </w:rPr>
            </w:pPr>
            <w:r>
              <w:rPr>
                <w:color w:val="231F20"/>
                <w:sz w:val="18"/>
              </w:rPr>
              <w:t>Osteoarthritis</w:t>
            </w:r>
          </w:p>
        </w:tc>
        <w:tc>
          <w:tcPr>
            <w:tcW w:w="1725" w:type="pct"/>
            <w:vAlign w:val="bottom"/>
          </w:tcPr>
          <w:p w14:paraId="0F9B6D70"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2</w:t>
            </w:r>
            <w:r>
              <w:rPr>
                <w:rFonts w:eastAsia="Times New Roman" w:cs="Calibri"/>
                <w:color w:val="000000"/>
                <w:sz w:val="18"/>
                <w:szCs w:val="18"/>
                <w:lang w:eastAsia="en-AU"/>
              </w:rPr>
              <w:t>,117</w:t>
            </w:r>
            <w:r w:rsidRPr="00D40A12">
              <w:rPr>
                <w:rFonts w:eastAsia="Times New Roman" w:cs="Calibri"/>
                <w:color w:val="000000"/>
                <w:sz w:val="18"/>
                <w:szCs w:val="18"/>
                <w:lang w:eastAsia="en-AU"/>
              </w:rPr>
              <w:t xml:space="preserve"> (25.</w:t>
            </w:r>
            <w:r>
              <w:rPr>
                <w:rFonts w:eastAsia="Times New Roman" w:cs="Calibri"/>
                <w:color w:val="000000"/>
                <w:sz w:val="18"/>
                <w:szCs w:val="18"/>
                <w:lang w:eastAsia="en-AU"/>
              </w:rPr>
              <w:t>5</w:t>
            </w:r>
            <w:r w:rsidRPr="00D40A12">
              <w:rPr>
                <w:rFonts w:eastAsia="Times New Roman" w:cs="Calibri"/>
                <w:color w:val="000000"/>
                <w:sz w:val="18"/>
                <w:szCs w:val="18"/>
                <w:lang w:eastAsia="en-AU"/>
              </w:rPr>
              <w:t>%)</w:t>
            </w:r>
            <w:r>
              <w:rPr>
                <w:b/>
                <w:color w:val="231F20"/>
                <w:sz w:val="18"/>
                <w:vertAlign w:val="superscript"/>
              </w:rPr>
              <w:t>3</w:t>
            </w:r>
          </w:p>
        </w:tc>
      </w:tr>
      <w:tr w:rsidR="001C19F3" w:rsidRPr="007C4473" w14:paraId="08F4CC1E" w14:textId="77777777" w:rsidTr="00521305">
        <w:trPr>
          <w:jc w:val="center"/>
        </w:trPr>
        <w:tc>
          <w:tcPr>
            <w:tcW w:w="3275" w:type="pct"/>
          </w:tcPr>
          <w:p w14:paraId="291199AA" w14:textId="77777777" w:rsidR="001C19F3" w:rsidRDefault="001C19F3" w:rsidP="00521305">
            <w:pPr>
              <w:spacing w:after="0"/>
              <w:ind w:left="316"/>
              <w:rPr>
                <w:color w:val="231F20"/>
                <w:sz w:val="18"/>
              </w:rPr>
            </w:pPr>
            <w:r>
              <w:rPr>
                <w:color w:val="231F20"/>
                <w:sz w:val="18"/>
              </w:rPr>
              <w:t>Osteoporosis</w:t>
            </w:r>
          </w:p>
        </w:tc>
        <w:tc>
          <w:tcPr>
            <w:tcW w:w="1725" w:type="pct"/>
            <w:vAlign w:val="bottom"/>
          </w:tcPr>
          <w:p w14:paraId="2340D33F"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w:t>
            </w:r>
            <w:r>
              <w:rPr>
                <w:rFonts w:eastAsia="Times New Roman" w:cs="Calibri"/>
                <w:color w:val="000000"/>
                <w:sz w:val="18"/>
                <w:szCs w:val="18"/>
                <w:lang w:eastAsia="en-AU"/>
              </w:rPr>
              <w:t>,249</w:t>
            </w:r>
            <w:r w:rsidRPr="00D40A12">
              <w:rPr>
                <w:rFonts w:eastAsia="Times New Roman" w:cs="Calibri"/>
                <w:color w:val="000000"/>
                <w:sz w:val="18"/>
                <w:szCs w:val="18"/>
                <w:lang w:eastAsia="en-AU"/>
              </w:rPr>
              <w:t xml:space="preserve"> (15.</w:t>
            </w:r>
            <w:r>
              <w:rPr>
                <w:rFonts w:eastAsia="Times New Roman" w:cs="Calibri"/>
                <w:color w:val="000000"/>
                <w:sz w:val="18"/>
                <w:szCs w:val="18"/>
                <w:lang w:eastAsia="en-AU"/>
              </w:rPr>
              <w:t>2</w:t>
            </w:r>
            <w:r w:rsidRPr="00D40A12">
              <w:rPr>
                <w:rFonts w:eastAsia="Times New Roman" w:cs="Calibri"/>
                <w:color w:val="000000"/>
                <w:sz w:val="18"/>
                <w:szCs w:val="18"/>
                <w:lang w:eastAsia="en-AU"/>
              </w:rPr>
              <w:t>%)</w:t>
            </w:r>
            <w:r>
              <w:rPr>
                <w:b/>
                <w:color w:val="231F20"/>
                <w:sz w:val="18"/>
                <w:vertAlign w:val="superscript"/>
              </w:rPr>
              <w:t>3</w:t>
            </w:r>
          </w:p>
        </w:tc>
      </w:tr>
      <w:tr w:rsidR="001C19F3" w:rsidRPr="007C4473" w14:paraId="5C77FE71" w14:textId="77777777" w:rsidTr="00521305">
        <w:trPr>
          <w:jc w:val="center"/>
        </w:trPr>
        <w:tc>
          <w:tcPr>
            <w:tcW w:w="3275" w:type="pct"/>
          </w:tcPr>
          <w:p w14:paraId="32473F2A" w14:textId="77777777" w:rsidR="001C19F3" w:rsidRPr="00783A8A" w:rsidRDefault="001C19F3" w:rsidP="00521305">
            <w:pPr>
              <w:spacing w:after="0"/>
              <w:ind w:left="316"/>
              <w:rPr>
                <w:b/>
                <w:sz w:val="18"/>
                <w:szCs w:val="18"/>
              </w:rPr>
            </w:pPr>
            <w:r>
              <w:rPr>
                <w:color w:val="231F20"/>
                <w:sz w:val="18"/>
              </w:rPr>
              <w:t>Anxiety</w:t>
            </w:r>
          </w:p>
        </w:tc>
        <w:tc>
          <w:tcPr>
            <w:tcW w:w="1725" w:type="pct"/>
            <w:vAlign w:val="bottom"/>
          </w:tcPr>
          <w:p w14:paraId="724F04CC"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w:t>
            </w:r>
            <w:r>
              <w:rPr>
                <w:rFonts w:eastAsia="Times New Roman" w:cs="Calibri"/>
                <w:color w:val="000000"/>
                <w:sz w:val="18"/>
                <w:szCs w:val="18"/>
                <w:lang w:eastAsia="en-AU"/>
              </w:rPr>
              <w:t>,</w:t>
            </w:r>
            <w:r w:rsidRPr="00D40A12">
              <w:rPr>
                <w:rFonts w:eastAsia="Times New Roman" w:cs="Calibri"/>
                <w:color w:val="000000"/>
                <w:sz w:val="18"/>
                <w:szCs w:val="18"/>
                <w:lang w:eastAsia="en-AU"/>
              </w:rPr>
              <w:t>0</w:t>
            </w:r>
            <w:r>
              <w:rPr>
                <w:rFonts w:eastAsia="Times New Roman" w:cs="Calibri"/>
                <w:color w:val="000000"/>
                <w:sz w:val="18"/>
                <w:szCs w:val="18"/>
                <w:lang w:eastAsia="en-AU"/>
              </w:rPr>
              <w:t>81</w:t>
            </w:r>
            <w:r w:rsidRPr="00D40A12">
              <w:rPr>
                <w:rFonts w:eastAsia="Times New Roman" w:cs="Calibri"/>
                <w:color w:val="000000"/>
                <w:sz w:val="18"/>
                <w:szCs w:val="18"/>
                <w:lang w:eastAsia="en-AU"/>
              </w:rPr>
              <w:t xml:space="preserve"> (13.</w:t>
            </w:r>
            <w:r>
              <w:rPr>
                <w:rFonts w:eastAsia="Times New Roman" w:cs="Calibri"/>
                <w:color w:val="000000"/>
                <w:sz w:val="18"/>
                <w:szCs w:val="18"/>
                <w:lang w:eastAsia="en-AU"/>
              </w:rPr>
              <w:t>0</w:t>
            </w:r>
            <w:r w:rsidRPr="00D40A12">
              <w:rPr>
                <w:rFonts w:eastAsia="Times New Roman" w:cs="Calibri"/>
                <w:color w:val="000000"/>
                <w:sz w:val="18"/>
                <w:szCs w:val="18"/>
                <w:lang w:eastAsia="en-AU"/>
              </w:rPr>
              <w:t>%)</w:t>
            </w:r>
          </w:p>
        </w:tc>
      </w:tr>
      <w:tr w:rsidR="001C19F3" w:rsidRPr="007C4473" w14:paraId="5FA3C9A7" w14:textId="77777777" w:rsidTr="00521305">
        <w:trPr>
          <w:jc w:val="center"/>
        </w:trPr>
        <w:tc>
          <w:tcPr>
            <w:tcW w:w="3275" w:type="pct"/>
          </w:tcPr>
          <w:p w14:paraId="02692A78" w14:textId="77777777" w:rsidR="001C19F3" w:rsidRDefault="001C19F3" w:rsidP="00521305">
            <w:pPr>
              <w:spacing w:after="0"/>
              <w:ind w:left="316"/>
              <w:rPr>
                <w:sz w:val="18"/>
                <w:szCs w:val="18"/>
              </w:rPr>
            </w:pPr>
            <w:r>
              <w:rPr>
                <w:color w:val="231F20"/>
                <w:sz w:val="18"/>
              </w:rPr>
              <w:t>Depression</w:t>
            </w:r>
          </w:p>
        </w:tc>
        <w:tc>
          <w:tcPr>
            <w:tcW w:w="1725" w:type="pct"/>
            <w:vAlign w:val="bottom"/>
          </w:tcPr>
          <w:p w14:paraId="178EE2E9"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w:t>
            </w:r>
            <w:r>
              <w:rPr>
                <w:rFonts w:eastAsia="Times New Roman" w:cs="Calibri"/>
                <w:color w:val="000000"/>
                <w:sz w:val="18"/>
                <w:szCs w:val="18"/>
                <w:lang w:eastAsia="en-AU"/>
              </w:rPr>
              <w:t>,862</w:t>
            </w:r>
            <w:r w:rsidRPr="00D40A12">
              <w:rPr>
                <w:rFonts w:eastAsia="Times New Roman" w:cs="Calibri"/>
                <w:color w:val="000000"/>
                <w:sz w:val="18"/>
                <w:szCs w:val="18"/>
                <w:lang w:eastAsia="en-AU"/>
              </w:rPr>
              <w:t xml:space="preserve"> (22.</w:t>
            </w:r>
            <w:r>
              <w:rPr>
                <w:rFonts w:eastAsia="Times New Roman" w:cs="Calibri"/>
                <w:color w:val="000000"/>
                <w:sz w:val="18"/>
                <w:szCs w:val="18"/>
                <w:lang w:eastAsia="en-AU"/>
              </w:rPr>
              <w:t>3</w:t>
            </w:r>
            <w:r w:rsidRPr="00D40A12">
              <w:rPr>
                <w:rFonts w:eastAsia="Times New Roman" w:cs="Calibri"/>
                <w:color w:val="000000"/>
                <w:sz w:val="18"/>
                <w:szCs w:val="18"/>
                <w:lang w:eastAsia="en-AU"/>
              </w:rPr>
              <w:t>%)</w:t>
            </w:r>
          </w:p>
        </w:tc>
      </w:tr>
      <w:tr w:rsidR="001C19F3" w:rsidRPr="007C4473" w14:paraId="13F75817" w14:textId="77777777" w:rsidTr="00521305">
        <w:trPr>
          <w:jc w:val="center"/>
        </w:trPr>
        <w:tc>
          <w:tcPr>
            <w:tcW w:w="3275" w:type="pct"/>
          </w:tcPr>
          <w:p w14:paraId="297C07AD" w14:textId="77777777" w:rsidR="001C19F3" w:rsidRDefault="001C19F3" w:rsidP="00521305">
            <w:pPr>
              <w:spacing w:after="0"/>
              <w:ind w:left="316"/>
              <w:rPr>
                <w:sz w:val="18"/>
                <w:szCs w:val="18"/>
              </w:rPr>
            </w:pPr>
            <w:r>
              <w:rPr>
                <w:color w:val="231F20"/>
                <w:sz w:val="18"/>
              </w:rPr>
              <w:t>Bipolar disorder</w:t>
            </w:r>
          </w:p>
        </w:tc>
        <w:tc>
          <w:tcPr>
            <w:tcW w:w="1725" w:type="pct"/>
            <w:vAlign w:val="bottom"/>
          </w:tcPr>
          <w:p w14:paraId="163F42EE"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13</w:t>
            </w:r>
            <w:r>
              <w:rPr>
                <w:rFonts w:eastAsia="Times New Roman" w:cs="Calibri"/>
                <w:color w:val="000000"/>
                <w:sz w:val="18"/>
                <w:szCs w:val="18"/>
                <w:lang w:eastAsia="en-AU"/>
              </w:rPr>
              <w:t>7</w:t>
            </w:r>
            <w:r w:rsidRPr="00D40A12">
              <w:rPr>
                <w:rFonts w:eastAsia="Times New Roman" w:cs="Calibri"/>
                <w:color w:val="000000"/>
                <w:sz w:val="18"/>
                <w:szCs w:val="18"/>
                <w:lang w:eastAsia="en-AU"/>
              </w:rPr>
              <w:t xml:space="preserve"> (1.8%)</w:t>
            </w:r>
            <w:r>
              <w:rPr>
                <w:b/>
                <w:color w:val="231F20"/>
                <w:sz w:val="18"/>
                <w:vertAlign w:val="superscript"/>
              </w:rPr>
              <w:t>3</w:t>
            </w:r>
          </w:p>
        </w:tc>
      </w:tr>
      <w:tr w:rsidR="001C19F3" w:rsidRPr="007C4473" w14:paraId="381E13B2" w14:textId="77777777" w:rsidTr="00521305">
        <w:trPr>
          <w:jc w:val="center"/>
        </w:trPr>
        <w:tc>
          <w:tcPr>
            <w:tcW w:w="3275" w:type="pct"/>
          </w:tcPr>
          <w:p w14:paraId="12FB239B" w14:textId="77777777" w:rsidR="001C19F3" w:rsidRDefault="001C19F3" w:rsidP="00521305">
            <w:pPr>
              <w:spacing w:after="0"/>
              <w:ind w:left="316"/>
              <w:rPr>
                <w:color w:val="231F20"/>
                <w:sz w:val="18"/>
              </w:rPr>
            </w:pPr>
            <w:r>
              <w:rPr>
                <w:color w:val="231F20"/>
                <w:sz w:val="18"/>
              </w:rPr>
              <w:t>Schizophrenia</w:t>
            </w:r>
          </w:p>
        </w:tc>
        <w:tc>
          <w:tcPr>
            <w:tcW w:w="1725" w:type="pct"/>
            <w:vAlign w:val="bottom"/>
          </w:tcPr>
          <w:p w14:paraId="47919C18"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14</w:t>
            </w:r>
            <w:r>
              <w:rPr>
                <w:rFonts w:eastAsia="Times New Roman" w:cs="Calibri"/>
                <w:color w:val="000000"/>
                <w:sz w:val="18"/>
                <w:szCs w:val="18"/>
                <w:lang w:eastAsia="en-AU"/>
              </w:rPr>
              <w:t>2</w:t>
            </w:r>
            <w:r w:rsidRPr="00D40A12">
              <w:rPr>
                <w:rFonts w:eastAsia="Times New Roman" w:cs="Calibri"/>
                <w:color w:val="000000"/>
                <w:sz w:val="18"/>
                <w:szCs w:val="18"/>
                <w:lang w:eastAsia="en-AU"/>
              </w:rPr>
              <w:t xml:space="preserve"> (1.8%)</w:t>
            </w:r>
            <w:r>
              <w:rPr>
                <w:b/>
                <w:color w:val="231F20"/>
                <w:sz w:val="18"/>
                <w:vertAlign w:val="superscript"/>
              </w:rPr>
              <w:t>3</w:t>
            </w:r>
          </w:p>
        </w:tc>
      </w:tr>
      <w:tr w:rsidR="001C19F3" w:rsidRPr="007C4473" w14:paraId="7C471EFD" w14:textId="77777777" w:rsidTr="00521305">
        <w:trPr>
          <w:jc w:val="center"/>
        </w:trPr>
        <w:tc>
          <w:tcPr>
            <w:tcW w:w="3275" w:type="pct"/>
          </w:tcPr>
          <w:p w14:paraId="74E6585F" w14:textId="77777777" w:rsidR="001C19F3" w:rsidRDefault="001C19F3" w:rsidP="00521305">
            <w:pPr>
              <w:spacing w:after="0"/>
              <w:ind w:left="316"/>
              <w:rPr>
                <w:color w:val="231F20"/>
                <w:sz w:val="18"/>
              </w:rPr>
            </w:pPr>
            <w:r>
              <w:rPr>
                <w:color w:val="231F20"/>
                <w:sz w:val="18"/>
              </w:rPr>
              <w:t>Dementia</w:t>
            </w:r>
          </w:p>
        </w:tc>
        <w:tc>
          <w:tcPr>
            <w:tcW w:w="1725" w:type="pct"/>
            <w:vAlign w:val="bottom"/>
          </w:tcPr>
          <w:p w14:paraId="43D92401"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15</w:t>
            </w:r>
            <w:r>
              <w:rPr>
                <w:rFonts w:eastAsia="Times New Roman" w:cs="Calibri"/>
                <w:color w:val="000000"/>
                <w:sz w:val="18"/>
                <w:szCs w:val="18"/>
                <w:lang w:eastAsia="en-AU"/>
              </w:rPr>
              <w:t>3</w:t>
            </w:r>
            <w:r w:rsidRPr="00D40A12">
              <w:rPr>
                <w:rFonts w:eastAsia="Times New Roman" w:cs="Calibri"/>
                <w:color w:val="000000"/>
                <w:sz w:val="18"/>
                <w:szCs w:val="18"/>
                <w:lang w:eastAsia="en-AU"/>
              </w:rPr>
              <w:t xml:space="preserve"> (2.0%)</w:t>
            </w:r>
            <w:r>
              <w:rPr>
                <w:b/>
                <w:color w:val="231F20"/>
                <w:sz w:val="18"/>
                <w:vertAlign w:val="superscript"/>
              </w:rPr>
              <w:t>3</w:t>
            </w:r>
          </w:p>
        </w:tc>
      </w:tr>
      <w:tr w:rsidR="001C19F3" w:rsidRPr="007C4473" w14:paraId="3D281D8E" w14:textId="77777777" w:rsidTr="00521305">
        <w:trPr>
          <w:jc w:val="center"/>
        </w:trPr>
        <w:tc>
          <w:tcPr>
            <w:tcW w:w="3275" w:type="pct"/>
          </w:tcPr>
          <w:p w14:paraId="4F7CCDF0" w14:textId="77777777" w:rsidR="001C19F3" w:rsidRDefault="001C19F3" w:rsidP="00521305">
            <w:pPr>
              <w:spacing w:after="0"/>
              <w:ind w:left="316"/>
              <w:rPr>
                <w:color w:val="231F20"/>
                <w:sz w:val="18"/>
              </w:rPr>
            </w:pPr>
            <w:r>
              <w:rPr>
                <w:color w:val="231F20"/>
                <w:sz w:val="18"/>
              </w:rPr>
              <w:t>Cancer (any)</w:t>
            </w:r>
          </w:p>
        </w:tc>
        <w:tc>
          <w:tcPr>
            <w:tcW w:w="1725" w:type="pct"/>
            <w:vAlign w:val="bottom"/>
          </w:tcPr>
          <w:p w14:paraId="01F55E1D"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6</w:t>
            </w:r>
            <w:r>
              <w:rPr>
                <w:rFonts w:eastAsia="Times New Roman" w:cs="Calibri"/>
                <w:color w:val="000000"/>
                <w:sz w:val="18"/>
                <w:szCs w:val="18"/>
                <w:lang w:eastAsia="en-AU"/>
              </w:rPr>
              <w:t>7</w:t>
            </w:r>
            <w:r w:rsidRPr="00D40A12">
              <w:rPr>
                <w:rFonts w:eastAsia="Times New Roman" w:cs="Calibri"/>
                <w:color w:val="000000"/>
                <w:sz w:val="18"/>
                <w:szCs w:val="18"/>
                <w:lang w:eastAsia="en-AU"/>
              </w:rPr>
              <w:t>6 (9.</w:t>
            </w:r>
            <w:r>
              <w:rPr>
                <w:rFonts w:eastAsia="Times New Roman" w:cs="Calibri"/>
                <w:color w:val="000000"/>
                <w:sz w:val="18"/>
                <w:szCs w:val="18"/>
                <w:lang w:eastAsia="en-AU"/>
              </w:rPr>
              <w:t>1</w:t>
            </w:r>
            <w:r w:rsidRPr="00D40A12">
              <w:rPr>
                <w:rFonts w:eastAsia="Times New Roman" w:cs="Calibri"/>
                <w:color w:val="000000"/>
                <w:sz w:val="18"/>
                <w:szCs w:val="18"/>
                <w:lang w:eastAsia="en-AU"/>
              </w:rPr>
              <w:t>%)</w:t>
            </w:r>
            <w:r>
              <w:rPr>
                <w:b/>
                <w:color w:val="231F20"/>
                <w:sz w:val="18"/>
                <w:vertAlign w:val="superscript"/>
              </w:rPr>
              <w:t>3</w:t>
            </w:r>
          </w:p>
        </w:tc>
      </w:tr>
      <w:tr w:rsidR="001C19F3" w:rsidRPr="007C4473" w14:paraId="4A927E9A" w14:textId="77777777" w:rsidTr="00521305">
        <w:trPr>
          <w:jc w:val="center"/>
        </w:trPr>
        <w:tc>
          <w:tcPr>
            <w:tcW w:w="3275" w:type="pct"/>
          </w:tcPr>
          <w:p w14:paraId="4702B212" w14:textId="77777777" w:rsidR="001C19F3" w:rsidRDefault="001C19F3" w:rsidP="00521305">
            <w:pPr>
              <w:spacing w:after="0"/>
              <w:ind w:left="316"/>
              <w:rPr>
                <w:color w:val="231F20"/>
                <w:sz w:val="18"/>
              </w:rPr>
            </w:pPr>
            <w:r>
              <w:rPr>
                <w:color w:val="231F20"/>
                <w:sz w:val="18"/>
              </w:rPr>
              <w:t>High blood pressure</w:t>
            </w:r>
          </w:p>
        </w:tc>
        <w:tc>
          <w:tcPr>
            <w:tcW w:w="1725" w:type="pct"/>
            <w:vAlign w:val="bottom"/>
          </w:tcPr>
          <w:p w14:paraId="4D763315" w14:textId="77777777" w:rsidR="001C19F3" w:rsidRPr="00AB2E0A" w:rsidRDefault="001C19F3" w:rsidP="00521305">
            <w:pPr>
              <w:spacing w:after="0"/>
              <w:jc w:val="center"/>
              <w:rPr>
                <w:sz w:val="18"/>
                <w:szCs w:val="18"/>
              </w:rPr>
            </w:pPr>
            <w:r>
              <w:rPr>
                <w:rFonts w:eastAsia="Times New Roman" w:cs="Calibri"/>
                <w:color w:val="000000"/>
                <w:sz w:val="18"/>
                <w:szCs w:val="18"/>
                <w:lang w:eastAsia="en-AU"/>
              </w:rPr>
              <w:t>4,114</w:t>
            </w:r>
            <w:r w:rsidRPr="00D40A12">
              <w:rPr>
                <w:rFonts w:eastAsia="Times New Roman" w:cs="Calibri"/>
                <w:color w:val="000000"/>
                <w:sz w:val="18"/>
                <w:szCs w:val="18"/>
                <w:lang w:eastAsia="en-AU"/>
              </w:rPr>
              <w:t xml:space="preserve"> (49.</w:t>
            </w:r>
            <w:r>
              <w:rPr>
                <w:rFonts w:eastAsia="Times New Roman" w:cs="Calibri"/>
                <w:color w:val="000000"/>
                <w:sz w:val="18"/>
                <w:szCs w:val="18"/>
                <w:lang w:eastAsia="en-AU"/>
              </w:rPr>
              <w:t>4</w:t>
            </w:r>
            <w:r w:rsidRPr="00D40A12">
              <w:rPr>
                <w:rFonts w:eastAsia="Times New Roman" w:cs="Calibri"/>
                <w:color w:val="000000"/>
                <w:sz w:val="18"/>
                <w:szCs w:val="18"/>
                <w:lang w:eastAsia="en-AU"/>
              </w:rPr>
              <w:t>%)</w:t>
            </w:r>
          </w:p>
        </w:tc>
      </w:tr>
      <w:tr w:rsidR="001C19F3" w:rsidRPr="007C4473" w14:paraId="5EB2B6A7" w14:textId="77777777" w:rsidTr="00521305">
        <w:trPr>
          <w:jc w:val="center"/>
        </w:trPr>
        <w:tc>
          <w:tcPr>
            <w:tcW w:w="3275" w:type="pct"/>
          </w:tcPr>
          <w:p w14:paraId="710FA8D8" w14:textId="77777777" w:rsidR="001C19F3" w:rsidRDefault="001C19F3" w:rsidP="00521305">
            <w:pPr>
              <w:spacing w:after="0"/>
              <w:ind w:left="316"/>
              <w:rPr>
                <w:color w:val="231F20"/>
                <w:sz w:val="18"/>
              </w:rPr>
            </w:pPr>
            <w:r>
              <w:rPr>
                <w:color w:val="231F20"/>
                <w:sz w:val="18"/>
              </w:rPr>
              <w:t>High cholesterol</w:t>
            </w:r>
          </w:p>
        </w:tc>
        <w:tc>
          <w:tcPr>
            <w:tcW w:w="1725" w:type="pct"/>
            <w:vAlign w:val="bottom"/>
          </w:tcPr>
          <w:p w14:paraId="00CD4A94"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3</w:t>
            </w:r>
            <w:r>
              <w:rPr>
                <w:rFonts w:eastAsia="Times New Roman" w:cs="Calibri"/>
                <w:color w:val="000000"/>
                <w:sz w:val="18"/>
                <w:szCs w:val="18"/>
                <w:lang w:eastAsia="en-AU"/>
              </w:rPr>
              <w:t>,252</w:t>
            </w:r>
            <w:r w:rsidRPr="00D40A12">
              <w:rPr>
                <w:rFonts w:eastAsia="Times New Roman" w:cs="Calibri"/>
                <w:color w:val="000000"/>
                <w:sz w:val="18"/>
                <w:szCs w:val="18"/>
                <w:lang w:eastAsia="en-AU"/>
              </w:rPr>
              <w:t xml:space="preserve"> (3</w:t>
            </w:r>
            <w:r>
              <w:rPr>
                <w:rFonts w:eastAsia="Times New Roman" w:cs="Calibri"/>
                <w:color w:val="000000"/>
                <w:sz w:val="18"/>
                <w:szCs w:val="18"/>
                <w:lang w:eastAsia="en-AU"/>
              </w:rPr>
              <w:t>9.0</w:t>
            </w:r>
            <w:r w:rsidRPr="00D40A12">
              <w:rPr>
                <w:rFonts w:eastAsia="Times New Roman" w:cs="Calibri"/>
                <w:color w:val="000000"/>
                <w:sz w:val="18"/>
                <w:szCs w:val="18"/>
                <w:lang w:eastAsia="en-AU"/>
              </w:rPr>
              <w:t>%)</w:t>
            </w:r>
          </w:p>
        </w:tc>
      </w:tr>
      <w:tr w:rsidR="001C19F3" w:rsidRPr="007C4473" w14:paraId="03F0A5F7" w14:textId="77777777" w:rsidTr="00521305">
        <w:trPr>
          <w:jc w:val="center"/>
        </w:trPr>
        <w:tc>
          <w:tcPr>
            <w:tcW w:w="3275" w:type="pct"/>
          </w:tcPr>
          <w:p w14:paraId="091608ED" w14:textId="77777777" w:rsidR="001C19F3" w:rsidRDefault="001C19F3" w:rsidP="00521305">
            <w:pPr>
              <w:spacing w:after="0"/>
              <w:ind w:left="316"/>
              <w:rPr>
                <w:color w:val="231F20"/>
                <w:sz w:val="18"/>
              </w:rPr>
            </w:pPr>
            <w:r>
              <w:rPr>
                <w:color w:val="231F20"/>
                <w:sz w:val="18"/>
              </w:rPr>
              <w:t>Diabetes type 1</w:t>
            </w:r>
          </w:p>
        </w:tc>
        <w:tc>
          <w:tcPr>
            <w:tcW w:w="1725" w:type="pct"/>
            <w:vAlign w:val="bottom"/>
          </w:tcPr>
          <w:p w14:paraId="2D612C63"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19</w:t>
            </w:r>
            <w:r>
              <w:rPr>
                <w:rFonts w:eastAsia="Times New Roman" w:cs="Calibri"/>
                <w:color w:val="000000"/>
                <w:sz w:val="18"/>
                <w:szCs w:val="18"/>
                <w:lang w:eastAsia="en-AU"/>
              </w:rPr>
              <w:t>9</w:t>
            </w:r>
            <w:r w:rsidRPr="00D40A12">
              <w:rPr>
                <w:rFonts w:eastAsia="Times New Roman" w:cs="Calibri"/>
                <w:color w:val="000000"/>
                <w:sz w:val="18"/>
                <w:szCs w:val="18"/>
                <w:lang w:eastAsia="en-AU"/>
              </w:rPr>
              <w:t xml:space="preserve"> (2.4%)</w:t>
            </w:r>
          </w:p>
        </w:tc>
      </w:tr>
      <w:tr w:rsidR="001C19F3" w:rsidRPr="007C4473" w14:paraId="31A316CF" w14:textId="77777777" w:rsidTr="00521305">
        <w:trPr>
          <w:jc w:val="center"/>
        </w:trPr>
        <w:tc>
          <w:tcPr>
            <w:tcW w:w="3275" w:type="pct"/>
          </w:tcPr>
          <w:p w14:paraId="421B9998" w14:textId="77777777" w:rsidR="001C19F3" w:rsidRDefault="001C19F3" w:rsidP="00521305">
            <w:pPr>
              <w:spacing w:after="0"/>
              <w:ind w:left="316"/>
              <w:rPr>
                <w:color w:val="231F20"/>
                <w:sz w:val="18"/>
              </w:rPr>
            </w:pPr>
            <w:r>
              <w:rPr>
                <w:color w:val="231F20"/>
                <w:sz w:val="18"/>
              </w:rPr>
              <w:t>Diabetes type 2</w:t>
            </w:r>
          </w:p>
        </w:tc>
        <w:tc>
          <w:tcPr>
            <w:tcW w:w="1725" w:type="pct"/>
            <w:vAlign w:val="bottom"/>
          </w:tcPr>
          <w:p w14:paraId="37E04425"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2</w:t>
            </w:r>
            <w:r>
              <w:rPr>
                <w:rFonts w:eastAsia="Times New Roman" w:cs="Calibri"/>
                <w:color w:val="000000"/>
                <w:sz w:val="18"/>
                <w:szCs w:val="18"/>
                <w:lang w:eastAsia="en-AU"/>
              </w:rPr>
              <w:t>,510</w:t>
            </w:r>
            <w:r w:rsidRPr="00D40A12">
              <w:rPr>
                <w:rFonts w:eastAsia="Times New Roman" w:cs="Calibri"/>
                <w:color w:val="000000"/>
                <w:sz w:val="18"/>
                <w:szCs w:val="18"/>
                <w:lang w:eastAsia="en-AU"/>
              </w:rPr>
              <w:t xml:space="preserve"> (30.</w:t>
            </w:r>
            <w:r>
              <w:rPr>
                <w:rFonts w:eastAsia="Times New Roman" w:cs="Calibri"/>
                <w:color w:val="000000"/>
                <w:sz w:val="18"/>
                <w:szCs w:val="18"/>
                <w:lang w:eastAsia="en-AU"/>
              </w:rPr>
              <w:t>1</w:t>
            </w:r>
            <w:r w:rsidRPr="00D40A12">
              <w:rPr>
                <w:rFonts w:eastAsia="Times New Roman" w:cs="Calibri"/>
                <w:color w:val="000000"/>
                <w:sz w:val="18"/>
                <w:szCs w:val="18"/>
                <w:lang w:eastAsia="en-AU"/>
              </w:rPr>
              <w:t>%)</w:t>
            </w:r>
          </w:p>
        </w:tc>
      </w:tr>
      <w:tr w:rsidR="001C19F3" w:rsidRPr="007C4473" w14:paraId="039EA352" w14:textId="77777777" w:rsidTr="00521305">
        <w:trPr>
          <w:jc w:val="center"/>
        </w:trPr>
        <w:tc>
          <w:tcPr>
            <w:tcW w:w="3275" w:type="pct"/>
          </w:tcPr>
          <w:p w14:paraId="58AED518" w14:textId="77777777" w:rsidR="001C19F3" w:rsidRDefault="001C19F3" w:rsidP="00521305">
            <w:pPr>
              <w:spacing w:after="0"/>
              <w:ind w:left="316"/>
              <w:rPr>
                <w:color w:val="231F20"/>
                <w:sz w:val="18"/>
              </w:rPr>
            </w:pPr>
            <w:r>
              <w:rPr>
                <w:color w:val="231F20"/>
                <w:sz w:val="18"/>
              </w:rPr>
              <w:t>Chronic kidney disease</w:t>
            </w:r>
          </w:p>
        </w:tc>
        <w:tc>
          <w:tcPr>
            <w:tcW w:w="1725" w:type="pct"/>
            <w:vAlign w:val="bottom"/>
          </w:tcPr>
          <w:p w14:paraId="4631E803" w14:textId="77777777" w:rsidR="001C19F3" w:rsidRPr="00AB2E0A" w:rsidRDefault="001C19F3" w:rsidP="00521305">
            <w:pPr>
              <w:spacing w:after="0"/>
              <w:jc w:val="center"/>
              <w:rPr>
                <w:sz w:val="18"/>
                <w:szCs w:val="18"/>
              </w:rPr>
            </w:pPr>
            <w:r w:rsidRPr="00D40A12">
              <w:rPr>
                <w:rFonts w:eastAsia="Times New Roman" w:cs="Calibri"/>
                <w:color w:val="000000"/>
                <w:sz w:val="18"/>
                <w:szCs w:val="18"/>
                <w:lang w:eastAsia="en-AU"/>
              </w:rPr>
              <w:t>1</w:t>
            </w:r>
            <w:r>
              <w:rPr>
                <w:rFonts w:eastAsia="Times New Roman" w:cs="Calibri"/>
                <w:color w:val="000000"/>
                <w:sz w:val="18"/>
                <w:szCs w:val="18"/>
                <w:lang w:eastAsia="en-AU"/>
              </w:rPr>
              <w:t>,</w:t>
            </w:r>
            <w:r w:rsidRPr="00D40A12">
              <w:rPr>
                <w:rFonts w:eastAsia="Times New Roman" w:cs="Calibri"/>
                <w:color w:val="000000"/>
                <w:sz w:val="18"/>
                <w:szCs w:val="18"/>
                <w:lang w:eastAsia="en-AU"/>
              </w:rPr>
              <w:t>1</w:t>
            </w:r>
            <w:r>
              <w:rPr>
                <w:rFonts w:eastAsia="Times New Roman" w:cs="Calibri"/>
                <w:color w:val="000000"/>
                <w:sz w:val="18"/>
                <w:szCs w:val="18"/>
                <w:lang w:eastAsia="en-AU"/>
              </w:rPr>
              <w:t>37</w:t>
            </w:r>
            <w:r w:rsidRPr="00D40A12">
              <w:rPr>
                <w:rFonts w:eastAsia="Times New Roman" w:cs="Calibri"/>
                <w:color w:val="000000"/>
                <w:sz w:val="18"/>
                <w:szCs w:val="18"/>
                <w:lang w:eastAsia="en-AU"/>
              </w:rPr>
              <w:t xml:space="preserve"> (1</w:t>
            </w:r>
            <w:r>
              <w:rPr>
                <w:rFonts w:eastAsia="Times New Roman" w:cs="Calibri"/>
                <w:color w:val="000000"/>
                <w:sz w:val="18"/>
                <w:szCs w:val="18"/>
                <w:lang w:eastAsia="en-AU"/>
              </w:rPr>
              <w:t>3</w:t>
            </w:r>
            <w:r w:rsidRPr="00D40A12">
              <w:rPr>
                <w:rFonts w:eastAsia="Times New Roman" w:cs="Calibri"/>
                <w:color w:val="000000"/>
                <w:sz w:val="18"/>
                <w:szCs w:val="18"/>
                <w:lang w:eastAsia="en-AU"/>
              </w:rPr>
              <w:t>.</w:t>
            </w:r>
            <w:r>
              <w:rPr>
                <w:rFonts w:eastAsia="Times New Roman" w:cs="Calibri"/>
                <w:color w:val="000000"/>
                <w:sz w:val="18"/>
                <w:szCs w:val="18"/>
                <w:lang w:eastAsia="en-AU"/>
              </w:rPr>
              <w:t>6</w:t>
            </w:r>
            <w:r w:rsidRPr="00D40A12">
              <w:rPr>
                <w:rFonts w:eastAsia="Times New Roman" w:cs="Calibri"/>
                <w:color w:val="000000"/>
                <w:sz w:val="18"/>
                <w:szCs w:val="18"/>
                <w:lang w:eastAsia="en-AU"/>
              </w:rPr>
              <w:t>%)</w:t>
            </w:r>
          </w:p>
        </w:tc>
      </w:tr>
      <w:tr w:rsidR="001C19F3" w:rsidRPr="007C4473" w14:paraId="2E063B42" w14:textId="77777777" w:rsidTr="00521305">
        <w:trPr>
          <w:jc w:val="center"/>
        </w:trPr>
        <w:tc>
          <w:tcPr>
            <w:tcW w:w="3275" w:type="pct"/>
          </w:tcPr>
          <w:p w14:paraId="77EC274D" w14:textId="77777777" w:rsidR="001C19F3" w:rsidRPr="005B6703" w:rsidRDefault="001C19F3" w:rsidP="00521305">
            <w:pPr>
              <w:pStyle w:val="TableParagraph"/>
              <w:spacing w:before="72"/>
              <w:rPr>
                <w:rFonts w:ascii="Century Gothic" w:hAnsi="Century Gothic"/>
                <w:color w:val="231F20"/>
                <w:sz w:val="18"/>
              </w:rPr>
            </w:pPr>
            <w:r w:rsidRPr="005B6703">
              <w:rPr>
                <w:rFonts w:ascii="Century Gothic" w:hAnsi="Century Gothic"/>
                <w:b/>
                <w:color w:val="231F20"/>
                <w:sz w:val="18"/>
              </w:rPr>
              <w:t>Number of above morbidities</w:t>
            </w:r>
            <w:r>
              <w:rPr>
                <w:rFonts w:ascii="Century Gothic" w:hAnsi="Century Gothic"/>
                <w:b/>
                <w:color w:val="231F20"/>
                <w:sz w:val="18"/>
                <w:vertAlign w:val="superscript"/>
              </w:rPr>
              <w:t xml:space="preserve"> 4</w:t>
            </w:r>
          </w:p>
        </w:tc>
        <w:tc>
          <w:tcPr>
            <w:tcW w:w="1725" w:type="pct"/>
          </w:tcPr>
          <w:p w14:paraId="39AC9CC0" w14:textId="77777777" w:rsidR="001C19F3" w:rsidRPr="00AB2E0A" w:rsidRDefault="001C19F3" w:rsidP="00521305">
            <w:pPr>
              <w:spacing w:after="0"/>
              <w:jc w:val="center"/>
              <w:rPr>
                <w:sz w:val="18"/>
                <w:szCs w:val="18"/>
              </w:rPr>
            </w:pPr>
          </w:p>
        </w:tc>
      </w:tr>
      <w:tr w:rsidR="001C19F3" w:rsidRPr="007C4473" w14:paraId="39D36159" w14:textId="77777777" w:rsidTr="00521305">
        <w:trPr>
          <w:jc w:val="center"/>
        </w:trPr>
        <w:tc>
          <w:tcPr>
            <w:tcW w:w="3275" w:type="pct"/>
          </w:tcPr>
          <w:p w14:paraId="401C0DB8" w14:textId="77777777" w:rsidR="001C19F3" w:rsidRDefault="001C19F3" w:rsidP="00521305">
            <w:pPr>
              <w:spacing w:after="0"/>
              <w:ind w:left="316"/>
              <w:rPr>
                <w:color w:val="231F20"/>
                <w:sz w:val="18"/>
              </w:rPr>
            </w:pPr>
            <w:r>
              <w:rPr>
                <w:color w:val="231F20"/>
                <w:sz w:val="18"/>
              </w:rPr>
              <w:t>Nil</w:t>
            </w:r>
          </w:p>
        </w:tc>
        <w:tc>
          <w:tcPr>
            <w:tcW w:w="1725" w:type="pct"/>
          </w:tcPr>
          <w:p w14:paraId="0F473545" w14:textId="77777777" w:rsidR="001C19F3" w:rsidRPr="00AB2E0A" w:rsidRDefault="001C19F3" w:rsidP="00521305">
            <w:pPr>
              <w:spacing w:after="0"/>
              <w:jc w:val="center"/>
              <w:rPr>
                <w:sz w:val="18"/>
                <w:szCs w:val="18"/>
              </w:rPr>
            </w:pPr>
            <w:r w:rsidRPr="00AB2E0A">
              <w:rPr>
                <w:sz w:val="18"/>
                <w:szCs w:val="18"/>
              </w:rPr>
              <w:t>7</w:t>
            </w:r>
            <w:r>
              <w:rPr>
                <w:sz w:val="18"/>
                <w:szCs w:val="18"/>
              </w:rPr>
              <w:t>37</w:t>
            </w:r>
            <w:r w:rsidRPr="00AB2E0A">
              <w:rPr>
                <w:sz w:val="18"/>
                <w:szCs w:val="18"/>
              </w:rPr>
              <w:t xml:space="preserve"> (</w:t>
            </w:r>
            <w:r>
              <w:rPr>
                <w:sz w:val="18"/>
                <w:szCs w:val="18"/>
              </w:rPr>
              <w:t>8.8</w:t>
            </w:r>
            <w:r w:rsidRPr="00AB2E0A">
              <w:rPr>
                <w:sz w:val="18"/>
                <w:szCs w:val="18"/>
              </w:rPr>
              <w:t>%)</w:t>
            </w:r>
          </w:p>
        </w:tc>
      </w:tr>
      <w:tr w:rsidR="001C19F3" w:rsidRPr="007C4473" w14:paraId="11A27853" w14:textId="77777777" w:rsidTr="00521305">
        <w:trPr>
          <w:jc w:val="center"/>
        </w:trPr>
        <w:tc>
          <w:tcPr>
            <w:tcW w:w="3275" w:type="pct"/>
          </w:tcPr>
          <w:p w14:paraId="7D4A5F88" w14:textId="77777777" w:rsidR="001C19F3" w:rsidRDefault="001C19F3" w:rsidP="00521305">
            <w:pPr>
              <w:spacing w:after="0"/>
              <w:ind w:left="316"/>
              <w:rPr>
                <w:color w:val="231F20"/>
                <w:sz w:val="18"/>
              </w:rPr>
            </w:pPr>
            <w:r>
              <w:rPr>
                <w:color w:val="231F20"/>
                <w:sz w:val="18"/>
              </w:rPr>
              <w:t>One condition</w:t>
            </w:r>
          </w:p>
        </w:tc>
        <w:tc>
          <w:tcPr>
            <w:tcW w:w="1725" w:type="pct"/>
          </w:tcPr>
          <w:p w14:paraId="293FDA32" w14:textId="77777777" w:rsidR="001C19F3" w:rsidRPr="00AB2E0A" w:rsidRDefault="001C19F3" w:rsidP="00521305">
            <w:pPr>
              <w:spacing w:after="0"/>
              <w:jc w:val="center"/>
              <w:rPr>
                <w:sz w:val="18"/>
                <w:szCs w:val="18"/>
              </w:rPr>
            </w:pPr>
            <w:r w:rsidRPr="00AB2E0A">
              <w:rPr>
                <w:sz w:val="18"/>
                <w:szCs w:val="18"/>
              </w:rPr>
              <w:t>1</w:t>
            </w:r>
            <w:r>
              <w:rPr>
                <w:sz w:val="18"/>
                <w:szCs w:val="18"/>
              </w:rPr>
              <w:t>,</w:t>
            </w:r>
            <w:r w:rsidRPr="00AB2E0A">
              <w:rPr>
                <w:sz w:val="18"/>
                <w:szCs w:val="18"/>
              </w:rPr>
              <w:t>2</w:t>
            </w:r>
            <w:r>
              <w:rPr>
                <w:sz w:val="18"/>
                <w:szCs w:val="18"/>
              </w:rPr>
              <w:t>9</w:t>
            </w:r>
            <w:r w:rsidRPr="00AB2E0A">
              <w:rPr>
                <w:sz w:val="18"/>
                <w:szCs w:val="18"/>
              </w:rPr>
              <w:t>5 (15.</w:t>
            </w:r>
            <w:r>
              <w:rPr>
                <w:sz w:val="18"/>
                <w:szCs w:val="18"/>
              </w:rPr>
              <w:t>5</w:t>
            </w:r>
            <w:r w:rsidRPr="00AB2E0A">
              <w:rPr>
                <w:sz w:val="18"/>
                <w:szCs w:val="18"/>
              </w:rPr>
              <w:t>%)</w:t>
            </w:r>
          </w:p>
        </w:tc>
      </w:tr>
      <w:tr w:rsidR="001C19F3" w:rsidRPr="007C4473" w14:paraId="6AA3C5C4" w14:textId="77777777" w:rsidTr="00521305">
        <w:trPr>
          <w:jc w:val="center"/>
        </w:trPr>
        <w:tc>
          <w:tcPr>
            <w:tcW w:w="3275" w:type="pct"/>
          </w:tcPr>
          <w:p w14:paraId="20EEB88F" w14:textId="77777777" w:rsidR="001C19F3" w:rsidRDefault="001C19F3" w:rsidP="00521305">
            <w:pPr>
              <w:spacing w:after="0"/>
              <w:ind w:left="316"/>
              <w:rPr>
                <w:color w:val="231F20"/>
                <w:sz w:val="18"/>
              </w:rPr>
            </w:pPr>
            <w:r>
              <w:rPr>
                <w:color w:val="231F20"/>
                <w:sz w:val="18"/>
              </w:rPr>
              <w:t>2-4 conditions</w:t>
            </w:r>
          </w:p>
        </w:tc>
        <w:tc>
          <w:tcPr>
            <w:tcW w:w="1725" w:type="pct"/>
          </w:tcPr>
          <w:p w14:paraId="012B0677" w14:textId="77777777" w:rsidR="001C19F3" w:rsidRPr="00AB2E0A" w:rsidRDefault="001C19F3" w:rsidP="00521305">
            <w:pPr>
              <w:spacing w:after="0"/>
              <w:jc w:val="center"/>
              <w:rPr>
                <w:sz w:val="18"/>
                <w:szCs w:val="18"/>
              </w:rPr>
            </w:pPr>
            <w:r w:rsidRPr="00AB2E0A">
              <w:rPr>
                <w:sz w:val="18"/>
                <w:szCs w:val="18"/>
              </w:rPr>
              <w:t>4</w:t>
            </w:r>
            <w:r>
              <w:rPr>
                <w:sz w:val="18"/>
                <w:szCs w:val="18"/>
              </w:rPr>
              <w:t>,775</w:t>
            </w:r>
            <w:r w:rsidRPr="00AB2E0A">
              <w:rPr>
                <w:sz w:val="18"/>
                <w:szCs w:val="18"/>
              </w:rPr>
              <w:t xml:space="preserve"> (57.</w:t>
            </w:r>
            <w:r>
              <w:rPr>
                <w:sz w:val="18"/>
                <w:szCs w:val="18"/>
              </w:rPr>
              <w:t>3</w:t>
            </w:r>
            <w:r w:rsidRPr="00AB2E0A">
              <w:rPr>
                <w:sz w:val="18"/>
                <w:szCs w:val="18"/>
              </w:rPr>
              <w:t>%)</w:t>
            </w:r>
          </w:p>
        </w:tc>
      </w:tr>
      <w:tr w:rsidR="001C19F3" w:rsidRPr="007C4473" w14:paraId="7DEEFA1A" w14:textId="77777777" w:rsidTr="00521305">
        <w:trPr>
          <w:jc w:val="center"/>
        </w:trPr>
        <w:tc>
          <w:tcPr>
            <w:tcW w:w="3275" w:type="pct"/>
          </w:tcPr>
          <w:p w14:paraId="27E6D56F" w14:textId="77777777" w:rsidR="001C19F3" w:rsidRDefault="001C19F3" w:rsidP="00521305">
            <w:pPr>
              <w:spacing w:after="0"/>
              <w:ind w:left="316"/>
              <w:rPr>
                <w:color w:val="231F20"/>
                <w:sz w:val="18"/>
              </w:rPr>
            </w:pPr>
            <w:r>
              <w:rPr>
                <w:color w:val="231F20"/>
                <w:sz w:val="18"/>
              </w:rPr>
              <w:t>5+ conditions</w:t>
            </w:r>
          </w:p>
        </w:tc>
        <w:tc>
          <w:tcPr>
            <w:tcW w:w="1725" w:type="pct"/>
          </w:tcPr>
          <w:p w14:paraId="5D96D179" w14:textId="77777777" w:rsidR="001C19F3" w:rsidRPr="00AB2E0A" w:rsidRDefault="001C19F3" w:rsidP="00521305">
            <w:pPr>
              <w:spacing w:after="0"/>
              <w:jc w:val="center"/>
              <w:rPr>
                <w:sz w:val="18"/>
                <w:szCs w:val="18"/>
              </w:rPr>
            </w:pPr>
            <w:r w:rsidRPr="00AB2E0A">
              <w:rPr>
                <w:sz w:val="18"/>
                <w:szCs w:val="18"/>
              </w:rPr>
              <w:t>1</w:t>
            </w:r>
            <w:r>
              <w:rPr>
                <w:sz w:val="18"/>
                <w:szCs w:val="18"/>
              </w:rPr>
              <w:t>,529</w:t>
            </w:r>
            <w:r w:rsidRPr="00AB2E0A">
              <w:rPr>
                <w:sz w:val="18"/>
                <w:szCs w:val="18"/>
              </w:rPr>
              <w:t xml:space="preserve"> (18.</w:t>
            </w:r>
            <w:r>
              <w:rPr>
                <w:sz w:val="18"/>
                <w:szCs w:val="18"/>
              </w:rPr>
              <w:t>3</w:t>
            </w:r>
            <w:r w:rsidRPr="00AB2E0A">
              <w:rPr>
                <w:sz w:val="18"/>
                <w:szCs w:val="18"/>
              </w:rPr>
              <w:t>%)</w:t>
            </w:r>
          </w:p>
        </w:tc>
      </w:tr>
    </w:tbl>
    <w:p w14:paraId="53FDADE8" w14:textId="77777777" w:rsidR="001C19F3" w:rsidRPr="006C20C8" w:rsidRDefault="001C19F3" w:rsidP="001C19F3">
      <w:pPr>
        <w:pStyle w:val="Chartortablefootnote"/>
      </w:pPr>
      <w:r w:rsidRPr="006C20C8">
        <w:rPr>
          <w:iCs/>
          <w:vertAlign w:val="superscript"/>
        </w:rPr>
        <w:t>1</w:t>
      </w:r>
      <w:r w:rsidRPr="006C20C8">
        <w:rPr>
          <w:iCs/>
        </w:rPr>
        <w:t xml:space="preserve"> </w:t>
      </w:r>
      <w:r w:rsidRPr="006C20C8">
        <w:t>Percentages were calculated for 8</w:t>
      </w:r>
      <w:r>
        <w:t>,336</w:t>
      </w:r>
      <w:r w:rsidRPr="006C20C8">
        <w:t xml:space="preserve"> HCH patients (</w:t>
      </w:r>
      <w:r>
        <w:t>8,077</w:t>
      </w:r>
      <w:r w:rsidRPr="006C20C8">
        <w:t xml:space="preserve"> and 259 patients identified in Pen CS and POLAR extracts respectively), unless indicated otherwise. </w:t>
      </w:r>
      <w:r w:rsidRPr="006C20C8">
        <w:rPr>
          <w:vertAlign w:val="superscript"/>
        </w:rPr>
        <w:t>2</w:t>
      </w:r>
      <w:r w:rsidRPr="006C20C8">
        <w:t xml:space="preserve"> Patient conditions were ascertained based on derived variables in Pen CS extracts and SNOMED-CT textual descriptions in POLAR extracts.</w:t>
      </w:r>
      <w:r>
        <w:t xml:space="preserve"> </w:t>
      </w:r>
      <w:r w:rsidRPr="006C20C8">
        <w:rPr>
          <w:bCs/>
          <w:color w:val="231F20"/>
          <w:vertAlign w:val="superscript"/>
        </w:rPr>
        <w:t xml:space="preserve">3 </w:t>
      </w:r>
      <w:r w:rsidRPr="006C20C8">
        <w:rPr>
          <w:bCs/>
          <w:color w:val="231F20"/>
        </w:rPr>
        <w:t>When de</w:t>
      </w:r>
      <w:r w:rsidRPr="006C20C8">
        <w:t>rived variables relating to the condition were absent from entire Pen CS extracts, HCH patients in the practices with missing data were excluded from the calculation i.e. the denominator was less than 8</w:t>
      </w:r>
      <w:r>
        <w:t>,336</w:t>
      </w:r>
      <w:r w:rsidRPr="006C20C8">
        <w:t>.</w:t>
      </w:r>
      <w:r>
        <w:t xml:space="preserve"> </w:t>
      </w:r>
      <w:r w:rsidRPr="006C20C8">
        <w:rPr>
          <w:b/>
          <w:iCs/>
          <w:color w:val="231F20"/>
          <w:vertAlign w:val="superscript"/>
        </w:rPr>
        <w:t xml:space="preserve">4 </w:t>
      </w:r>
      <w:r w:rsidRPr="006C20C8">
        <w:rPr>
          <w:bCs/>
          <w:color w:val="231F20"/>
        </w:rPr>
        <w:t>Th</w:t>
      </w:r>
      <w:r w:rsidRPr="006C20C8">
        <w:rPr>
          <w:color w:val="231F20"/>
        </w:rPr>
        <w:t>e number of the above-listed conditions identified for a patient, ranging from 0 to 19.</w:t>
      </w:r>
    </w:p>
    <w:p w14:paraId="46057DDD" w14:textId="77777777" w:rsidR="001C19F3" w:rsidRDefault="001C19F3" w:rsidP="001C19F3">
      <w:pPr>
        <w:rPr>
          <w:rFonts w:eastAsiaTheme="majorEastAsia" w:cstheme="majorBidi"/>
          <w:color w:val="003D79"/>
          <w:sz w:val="40"/>
          <w:szCs w:val="26"/>
        </w:rPr>
      </w:pPr>
      <w:r>
        <w:br w:type="page"/>
      </w:r>
    </w:p>
    <w:p w14:paraId="5BBA664B" w14:textId="77777777" w:rsidR="001C19F3" w:rsidRDefault="001C19F3" w:rsidP="001C19F3">
      <w:pPr>
        <w:pStyle w:val="Heading2"/>
      </w:pPr>
      <w:bookmarkStart w:id="520" w:name="_Toc27058963"/>
      <w:r>
        <w:lastRenderedPageBreak/>
        <w:t>Quality of care received by HCH patients</w:t>
      </w:r>
      <w:bookmarkEnd w:id="520"/>
    </w:p>
    <w:p w14:paraId="18F33160" w14:textId="77777777" w:rsidR="001C19F3" w:rsidRDefault="001C19F3" w:rsidP="001C19F3">
      <w:r>
        <w:t xml:space="preserve">To examine the quality of chronic illness care provided for HCH patients, key patient lifestyle factors and physiological and pathological measures recorded in the practice data extracts were assessed. </w:t>
      </w:r>
      <w:r w:rsidRPr="001B0A8D">
        <w:fldChar w:fldCharType="begin"/>
      </w:r>
      <w:r w:rsidRPr="001B0A8D">
        <w:instrText xml:space="preserve"> REF _Ref13141185 \h  \* MERGEFORMAT </w:instrText>
      </w:r>
      <w:r w:rsidRPr="001B0A8D">
        <w:fldChar w:fldCharType="separate"/>
      </w:r>
      <w:r w:rsidRPr="008F2809">
        <w:rPr>
          <w:szCs w:val="20"/>
        </w:rPr>
        <w:t xml:space="preserve">Table </w:t>
      </w:r>
      <w:r w:rsidRPr="008F2809">
        <w:rPr>
          <w:noProof/>
          <w:szCs w:val="20"/>
        </w:rPr>
        <w:t>19</w:t>
      </w:r>
      <w:r w:rsidRPr="001B0A8D">
        <w:fldChar w:fldCharType="end"/>
      </w:r>
      <w:r w:rsidRPr="001B0A8D">
        <w:t xml:space="preserve"> presents</w:t>
      </w:r>
      <w:r>
        <w:t xml:space="preserve"> whether the data were ever recorded and whether they were recorded in the previous year (July 2018 to June 2019).</w:t>
      </w:r>
    </w:p>
    <w:p w14:paraId="44B9F974" w14:textId="77777777" w:rsidR="001C19F3" w:rsidRDefault="001C19F3" w:rsidP="001C19F3">
      <w:pPr>
        <w:spacing w:after="160" w:line="259" w:lineRule="auto"/>
        <w:jc w:val="center"/>
        <w:rPr>
          <w:b/>
          <w:szCs w:val="20"/>
        </w:rPr>
      </w:pPr>
      <w:bookmarkStart w:id="521" w:name="_Ref13141185"/>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19</w:t>
      </w:r>
      <w:r w:rsidRPr="00E76010">
        <w:rPr>
          <w:szCs w:val="20"/>
        </w:rPr>
        <w:fldChar w:fldCharType="end"/>
      </w:r>
      <w:bookmarkEnd w:id="521"/>
      <w:r w:rsidRPr="00E76010">
        <w:rPr>
          <w:b/>
          <w:szCs w:val="20"/>
        </w:rPr>
        <w:t xml:space="preserve"> –</w:t>
      </w:r>
      <w:r>
        <w:rPr>
          <w:b/>
          <w:szCs w:val="20"/>
        </w:rPr>
        <w:t xml:space="preserve"> Recording of assessment of lifestyle factors for HCH patients and whether an assessment was recorded in the previous year </w:t>
      </w:r>
      <w:r w:rsidRPr="00677EF5">
        <w:rPr>
          <w:b/>
          <w:szCs w:val="20"/>
        </w:rPr>
        <w:t>(J</w:t>
      </w:r>
      <w:r>
        <w:rPr>
          <w:b/>
          <w:szCs w:val="20"/>
        </w:rPr>
        <w:t xml:space="preserve">uly </w:t>
      </w:r>
      <w:r w:rsidRPr="00677EF5">
        <w:rPr>
          <w:b/>
          <w:szCs w:val="20"/>
        </w:rPr>
        <w:t>201</w:t>
      </w:r>
      <w:r>
        <w:rPr>
          <w:b/>
          <w:szCs w:val="20"/>
        </w:rPr>
        <w:t>8-J</w:t>
      </w:r>
      <w:r w:rsidRPr="00677EF5">
        <w:rPr>
          <w:b/>
          <w:szCs w:val="20"/>
        </w:rPr>
        <w:t>une 2019)</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24"/>
        <w:gridCol w:w="2409"/>
      </w:tblGrid>
      <w:tr w:rsidR="001C19F3" w:rsidRPr="007C4473" w14:paraId="4F8B682C" w14:textId="77777777" w:rsidTr="00521305">
        <w:trPr>
          <w:trHeight w:val="340"/>
          <w:jc w:val="center"/>
        </w:trPr>
        <w:tc>
          <w:tcPr>
            <w:tcW w:w="5524" w:type="dxa"/>
            <w:shd w:val="clear" w:color="auto" w:fill="003D79"/>
          </w:tcPr>
          <w:p w14:paraId="2DA3BF38" w14:textId="77777777" w:rsidR="001C19F3" w:rsidRPr="007C4473" w:rsidRDefault="001C19F3" w:rsidP="00521305">
            <w:pPr>
              <w:spacing w:after="0" w:line="240" w:lineRule="auto"/>
              <w:rPr>
                <w:b/>
                <w:sz w:val="18"/>
                <w:szCs w:val="18"/>
              </w:rPr>
            </w:pPr>
            <w:r>
              <w:rPr>
                <w:b/>
                <w:sz w:val="18"/>
                <w:szCs w:val="18"/>
              </w:rPr>
              <w:t>Measure</w:t>
            </w:r>
          </w:p>
        </w:tc>
        <w:tc>
          <w:tcPr>
            <w:tcW w:w="2409" w:type="dxa"/>
            <w:shd w:val="clear" w:color="auto" w:fill="003D79"/>
            <w:vAlign w:val="center"/>
          </w:tcPr>
          <w:p w14:paraId="7DEB8648" w14:textId="77777777" w:rsidR="001C19F3" w:rsidRPr="007C4473" w:rsidRDefault="001C19F3" w:rsidP="00521305">
            <w:pPr>
              <w:spacing w:after="0" w:line="240" w:lineRule="auto"/>
              <w:jc w:val="center"/>
              <w:rPr>
                <w:b/>
                <w:sz w:val="18"/>
                <w:szCs w:val="18"/>
              </w:rPr>
            </w:pPr>
            <w:r>
              <w:rPr>
                <w:b/>
                <w:sz w:val="18"/>
                <w:szCs w:val="18"/>
              </w:rPr>
              <w:t>Number (%) of patients</w:t>
            </w:r>
            <w:r w:rsidRPr="000E5BBE">
              <w:rPr>
                <w:b/>
                <w:sz w:val="18"/>
                <w:szCs w:val="18"/>
                <w:vertAlign w:val="superscript"/>
              </w:rPr>
              <w:t>1</w:t>
            </w:r>
          </w:p>
        </w:tc>
      </w:tr>
      <w:tr w:rsidR="001C19F3" w:rsidRPr="007C4473" w14:paraId="03A5337E" w14:textId="77777777" w:rsidTr="00521305">
        <w:trPr>
          <w:jc w:val="center"/>
        </w:trPr>
        <w:tc>
          <w:tcPr>
            <w:tcW w:w="5524" w:type="dxa"/>
          </w:tcPr>
          <w:p w14:paraId="32284F1B" w14:textId="77777777" w:rsidR="001C19F3" w:rsidRPr="00783A8A" w:rsidRDefault="001C19F3" w:rsidP="00521305">
            <w:pPr>
              <w:spacing w:after="0"/>
              <w:rPr>
                <w:b/>
                <w:sz w:val="18"/>
                <w:szCs w:val="18"/>
              </w:rPr>
            </w:pPr>
            <w:r>
              <w:rPr>
                <w:b/>
                <w:sz w:val="18"/>
                <w:szCs w:val="18"/>
              </w:rPr>
              <w:t>Smoking status</w:t>
            </w:r>
            <w:r w:rsidRPr="000E5BBE">
              <w:rPr>
                <w:b/>
                <w:sz w:val="18"/>
                <w:szCs w:val="18"/>
                <w:vertAlign w:val="superscript"/>
              </w:rPr>
              <w:t>2</w:t>
            </w:r>
          </w:p>
        </w:tc>
        <w:tc>
          <w:tcPr>
            <w:tcW w:w="2409" w:type="dxa"/>
          </w:tcPr>
          <w:p w14:paraId="4F6F8098" w14:textId="77777777" w:rsidR="001C19F3" w:rsidRPr="00AB0189" w:rsidRDefault="001C19F3" w:rsidP="00521305">
            <w:pPr>
              <w:spacing w:after="0"/>
              <w:rPr>
                <w:sz w:val="18"/>
                <w:szCs w:val="18"/>
              </w:rPr>
            </w:pPr>
          </w:p>
        </w:tc>
      </w:tr>
      <w:tr w:rsidR="001C19F3" w:rsidRPr="007C4473" w14:paraId="08ECAADA" w14:textId="77777777" w:rsidTr="00521305">
        <w:trPr>
          <w:jc w:val="center"/>
        </w:trPr>
        <w:tc>
          <w:tcPr>
            <w:tcW w:w="5524" w:type="dxa"/>
          </w:tcPr>
          <w:p w14:paraId="73B52E4E" w14:textId="77777777" w:rsidR="001C19F3" w:rsidRDefault="001C19F3" w:rsidP="00521305">
            <w:pPr>
              <w:spacing w:after="0"/>
              <w:ind w:left="457"/>
              <w:rPr>
                <w:sz w:val="18"/>
                <w:szCs w:val="18"/>
              </w:rPr>
            </w:pPr>
            <w:r>
              <w:rPr>
                <w:color w:val="231F20"/>
                <w:sz w:val="18"/>
              </w:rPr>
              <w:t>Ever recorded</w:t>
            </w:r>
          </w:p>
        </w:tc>
        <w:tc>
          <w:tcPr>
            <w:tcW w:w="2409" w:type="dxa"/>
          </w:tcPr>
          <w:p w14:paraId="08BE55C2" w14:textId="77777777" w:rsidR="001C19F3" w:rsidRPr="00AB0189" w:rsidRDefault="001C19F3" w:rsidP="00521305">
            <w:pPr>
              <w:spacing w:after="0"/>
              <w:jc w:val="center"/>
              <w:rPr>
                <w:sz w:val="18"/>
                <w:szCs w:val="18"/>
              </w:rPr>
            </w:pPr>
            <w:r w:rsidRPr="00AB0189">
              <w:rPr>
                <w:sz w:val="18"/>
                <w:szCs w:val="18"/>
              </w:rPr>
              <w:t>7</w:t>
            </w:r>
            <w:r>
              <w:rPr>
                <w:sz w:val="18"/>
                <w:szCs w:val="18"/>
              </w:rPr>
              <w:t>,910</w:t>
            </w:r>
            <w:r w:rsidRPr="00AB0189">
              <w:rPr>
                <w:sz w:val="18"/>
                <w:szCs w:val="18"/>
              </w:rPr>
              <w:t xml:space="preserve"> (94.</w:t>
            </w:r>
            <w:r>
              <w:rPr>
                <w:sz w:val="18"/>
                <w:szCs w:val="18"/>
              </w:rPr>
              <w:t>9</w:t>
            </w:r>
            <w:r w:rsidRPr="00AB0189">
              <w:rPr>
                <w:sz w:val="18"/>
                <w:szCs w:val="18"/>
              </w:rPr>
              <w:t>%)</w:t>
            </w:r>
          </w:p>
        </w:tc>
      </w:tr>
      <w:tr w:rsidR="001C19F3" w:rsidRPr="007C4473" w14:paraId="1BD768FD" w14:textId="77777777" w:rsidTr="00521305">
        <w:trPr>
          <w:jc w:val="center"/>
        </w:trPr>
        <w:tc>
          <w:tcPr>
            <w:tcW w:w="5524" w:type="dxa"/>
          </w:tcPr>
          <w:p w14:paraId="7A632996" w14:textId="77777777" w:rsidR="001C19F3" w:rsidRPr="001D575E" w:rsidRDefault="001C19F3" w:rsidP="00521305">
            <w:pPr>
              <w:spacing w:after="0"/>
              <w:ind w:left="457"/>
              <w:rPr>
                <w:sz w:val="18"/>
                <w:szCs w:val="18"/>
              </w:rPr>
            </w:pPr>
            <w:r>
              <w:rPr>
                <w:color w:val="231F20"/>
                <w:sz w:val="18"/>
              </w:rPr>
              <w:t>Recorded</w:t>
            </w:r>
            <w:r w:rsidRPr="001D575E">
              <w:rPr>
                <w:color w:val="231F20"/>
                <w:sz w:val="18"/>
              </w:rPr>
              <w:t xml:space="preserve"> in previous year</w:t>
            </w:r>
            <w:r>
              <w:rPr>
                <w:color w:val="231F20"/>
                <w:sz w:val="18"/>
              </w:rPr>
              <w:t xml:space="preserve"> </w:t>
            </w:r>
          </w:p>
        </w:tc>
        <w:tc>
          <w:tcPr>
            <w:tcW w:w="2409" w:type="dxa"/>
          </w:tcPr>
          <w:p w14:paraId="493F48C4" w14:textId="77777777" w:rsidR="001C19F3" w:rsidRPr="00AB0189" w:rsidRDefault="001C19F3" w:rsidP="00521305">
            <w:pPr>
              <w:spacing w:after="0"/>
              <w:jc w:val="center"/>
              <w:rPr>
                <w:sz w:val="18"/>
                <w:szCs w:val="18"/>
              </w:rPr>
            </w:pPr>
            <w:r w:rsidRPr="00AB0189">
              <w:rPr>
                <w:sz w:val="18"/>
                <w:szCs w:val="18"/>
              </w:rPr>
              <w:t>5</w:t>
            </w:r>
            <w:r>
              <w:rPr>
                <w:sz w:val="18"/>
                <w:szCs w:val="18"/>
              </w:rPr>
              <w:t>,558</w:t>
            </w:r>
            <w:r w:rsidRPr="00AB0189">
              <w:rPr>
                <w:sz w:val="18"/>
                <w:szCs w:val="18"/>
              </w:rPr>
              <w:t xml:space="preserve"> (68.</w:t>
            </w:r>
            <w:r>
              <w:rPr>
                <w:sz w:val="18"/>
                <w:szCs w:val="18"/>
              </w:rPr>
              <w:t>8</w:t>
            </w:r>
            <w:r w:rsidRPr="00AB0189">
              <w:rPr>
                <w:sz w:val="18"/>
                <w:szCs w:val="18"/>
              </w:rPr>
              <w:t>%)</w:t>
            </w:r>
            <w:r>
              <w:rPr>
                <w:sz w:val="18"/>
                <w:szCs w:val="18"/>
              </w:rPr>
              <w:t xml:space="preserve"> </w:t>
            </w:r>
            <w:r w:rsidRPr="006C20C8">
              <w:rPr>
                <w:szCs w:val="18"/>
                <w:vertAlign w:val="superscript"/>
              </w:rPr>
              <w:t>3</w:t>
            </w:r>
          </w:p>
        </w:tc>
      </w:tr>
      <w:tr w:rsidR="001C19F3" w:rsidRPr="007C4473" w14:paraId="02DCEE50" w14:textId="77777777" w:rsidTr="00521305">
        <w:trPr>
          <w:jc w:val="center"/>
        </w:trPr>
        <w:tc>
          <w:tcPr>
            <w:tcW w:w="5524" w:type="dxa"/>
          </w:tcPr>
          <w:p w14:paraId="31E366F6" w14:textId="77777777" w:rsidR="001C19F3" w:rsidRPr="00783A8A" w:rsidRDefault="001C19F3" w:rsidP="00521305">
            <w:pPr>
              <w:spacing w:after="0"/>
              <w:rPr>
                <w:b/>
                <w:sz w:val="18"/>
                <w:szCs w:val="18"/>
              </w:rPr>
            </w:pPr>
            <w:r>
              <w:rPr>
                <w:b/>
                <w:sz w:val="18"/>
                <w:szCs w:val="18"/>
              </w:rPr>
              <w:t>Alcohol consumption amount</w:t>
            </w:r>
          </w:p>
        </w:tc>
        <w:tc>
          <w:tcPr>
            <w:tcW w:w="2409" w:type="dxa"/>
          </w:tcPr>
          <w:p w14:paraId="7BF1B5EB" w14:textId="77777777" w:rsidR="001C19F3" w:rsidRPr="00AB0189" w:rsidRDefault="001C19F3" w:rsidP="00521305">
            <w:pPr>
              <w:spacing w:after="0"/>
              <w:jc w:val="center"/>
              <w:rPr>
                <w:sz w:val="18"/>
                <w:szCs w:val="18"/>
              </w:rPr>
            </w:pPr>
          </w:p>
        </w:tc>
      </w:tr>
      <w:tr w:rsidR="001C19F3" w:rsidRPr="007C4473" w14:paraId="648FED8D" w14:textId="77777777" w:rsidTr="00521305">
        <w:trPr>
          <w:jc w:val="center"/>
        </w:trPr>
        <w:tc>
          <w:tcPr>
            <w:tcW w:w="5524" w:type="dxa"/>
          </w:tcPr>
          <w:p w14:paraId="70AF22F0" w14:textId="77777777" w:rsidR="001C19F3" w:rsidRDefault="001C19F3" w:rsidP="00521305">
            <w:pPr>
              <w:spacing w:after="0"/>
              <w:ind w:left="457"/>
              <w:rPr>
                <w:sz w:val="18"/>
                <w:szCs w:val="18"/>
              </w:rPr>
            </w:pPr>
            <w:r>
              <w:rPr>
                <w:color w:val="231F20"/>
                <w:sz w:val="18"/>
              </w:rPr>
              <w:t>Ever recorded</w:t>
            </w:r>
          </w:p>
        </w:tc>
        <w:tc>
          <w:tcPr>
            <w:tcW w:w="2409" w:type="dxa"/>
          </w:tcPr>
          <w:p w14:paraId="09DC5405" w14:textId="77777777" w:rsidR="001C19F3" w:rsidRPr="00AB0189" w:rsidRDefault="001C19F3" w:rsidP="00521305">
            <w:pPr>
              <w:spacing w:after="0"/>
              <w:jc w:val="center"/>
              <w:rPr>
                <w:sz w:val="18"/>
                <w:szCs w:val="18"/>
              </w:rPr>
            </w:pPr>
            <w:r w:rsidRPr="00AB0189">
              <w:rPr>
                <w:sz w:val="18"/>
                <w:szCs w:val="18"/>
              </w:rPr>
              <w:t>6</w:t>
            </w:r>
            <w:r>
              <w:rPr>
                <w:sz w:val="18"/>
                <w:szCs w:val="18"/>
              </w:rPr>
              <w:t>,552</w:t>
            </w:r>
            <w:r w:rsidRPr="00AB0189">
              <w:rPr>
                <w:sz w:val="18"/>
                <w:szCs w:val="18"/>
              </w:rPr>
              <w:t xml:space="preserve"> (78.</w:t>
            </w:r>
            <w:r>
              <w:rPr>
                <w:sz w:val="18"/>
                <w:szCs w:val="18"/>
              </w:rPr>
              <w:t>8</w:t>
            </w:r>
            <w:r w:rsidRPr="00AB0189">
              <w:rPr>
                <w:sz w:val="18"/>
                <w:szCs w:val="18"/>
              </w:rPr>
              <w:t>%)</w:t>
            </w:r>
          </w:p>
        </w:tc>
      </w:tr>
      <w:tr w:rsidR="001C19F3" w:rsidRPr="007C4473" w14:paraId="703FEDB4" w14:textId="77777777" w:rsidTr="00521305">
        <w:trPr>
          <w:jc w:val="center"/>
        </w:trPr>
        <w:tc>
          <w:tcPr>
            <w:tcW w:w="5524" w:type="dxa"/>
          </w:tcPr>
          <w:p w14:paraId="00991ABC" w14:textId="77777777" w:rsidR="001C19F3" w:rsidRPr="003119D5" w:rsidRDefault="001C19F3" w:rsidP="00521305">
            <w:pPr>
              <w:spacing w:after="0"/>
              <w:ind w:left="457"/>
              <w:rPr>
                <w:sz w:val="18"/>
                <w:szCs w:val="18"/>
              </w:rPr>
            </w:pPr>
            <w:r>
              <w:rPr>
                <w:color w:val="231F20"/>
                <w:sz w:val="18"/>
              </w:rPr>
              <w:t>Recorded</w:t>
            </w:r>
            <w:r w:rsidRPr="003119D5">
              <w:rPr>
                <w:color w:val="231F20"/>
                <w:sz w:val="18"/>
              </w:rPr>
              <w:t xml:space="preserve"> in previous year</w:t>
            </w:r>
          </w:p>
        </w:tc>
        <w:tc>
          <w:tcPr>
            <w:tcW w:w="2409" w:type="dxa"/>
          </w:tcPr>
          <w:p w14:paraId="0CA34FFA" w14:textId="77777777" w:rsidR="001C19F3" w:rsidRPr="00AB0189" w:rsidRDefault="001C19F3" w:rsidP="00521305">
            <w:pPr>
              <w:spacing w:after="0"/>
              <w:jc w:val="center"/>
              <w:rPr>
                <w:sz w:val="18"/>
                <w:szCs w:val="18"/>
              </w:rPr>
            </w:pPr>
            <w:r w:rsidRPr="00AB0189">
              <w:rPr>
                <w:sz w:val="18"/>
                <w:szCs w:val="18"/>
              </w:rPr>
              <w:t>4</w:t>
            </w:r>
            <w:r>
              <w:rPr>
                <w:sz w:val="18"/>
                <w:szCs w:val="18"/>
              </w:rPr>
              <w:t>,900</w:t>
            </w:r>
            <w:r w:rsidRPr="00AB0189">
              <w:rPr>
                <w:sz w:val="18"/>
                <w:szCs w:val="18"/>
              </w:rPr>
              <w:t xml:space="preserve"> (60.</w:t>
            </w:r>
            <w:r>
              <w:rPr>
                <w:sz w:val="18"/>
                <w:szCs w:val="18"/>
              </w:rPr>
              <w:t>7</w:t>
            </w:r>
            <w:r w:rsidRPr="00AB0189">
              <w:rPr>
                <w:sz w:val="18"/>
                <w:szCs w:val="18"/>
              </w:rPr>
              <w:t>%)</w:t>
            </w:r>
            <w:r w:rsidRPr="006C20C8">
              <w:rPr>
                <w:szCs w:val="18"/>
                <w:vertAlign w:val="superscript"/>
              </w:rPr>
              <w:t>3</w:t>
            </w:r>
          </w:p>
        </w:tc>
      </w:tr>
      <w:tr w:rsidR="001C19F3" w:rsidRPr="007C4473" w14:paraId="53795883" w14:textId="77777777" w:rsidTr="00521305">
        <w:trPr>
          <w:jc w:val="center"/>
        </w:trPr>
        <w:tc>
          <w:tcPr>
            <w:tcW w:w="5524" w:type="dxa"/>
          </w:tcPr>
          <w:p w14:paraId="5F8F0D75" w14:textId="77777777" w:rsidR="001C19F3" w:rsidRPr="00783A8A" w:rsidRDefault="001C19F3" w:rsidP="00521305">
            <w:pPr>
              <w:spacing w:after="0"/>
              <w:rPr>
                <w:b/>
                <w:sz w:val="18"/>
                <w:szCs w:val="18"/>
              </w:rPr>
            </w:pPr>
            <w:r>
              <w:rPr>
                <w:b/>
                <w:sz w:val="18"/>
                <w:szCs w:val="18"/>
              </w:rPr>
              <w:t>Physical activity</w:t>
            </w:r>
            <w:r w:rsidRPr="006C20C8">
              <w:rPr>
                <w:b/>
                <w:szCs w:val="20"/>
                <w:vertAlign w:val="superscript"/>
              </w:rPr>
              <w:t>4</w:t>
            </w:r>
          </w:p>
        </w:tc>
        <w:tc>
          <w:tcPr>
            <w:tcW w:w="2409" w:type="dxa"/>
          </w:tcPr>
          <w:p w14:paraId="0E043BDD" w14:textId="77777777" w:rsidR="001C19F3" w:rsidRPr="00AB0189" w:rsidRDefault="001C19F3" w:rsidP="00521305">
            <w:pPr>
              <w:spacing w:after="0"/>
              <w:jc w:val="center"/>
              <w:rPr>
                <w:sz w:val="18"/>
                <w:szCs w:val="18"/>
              </w:rPr>
            </w:pPr>
          </w:p>
        </w:tc>
      </w:tr>
      <w:tr w:rsidR="001C19F3" w:rsidRPr="007C4473" w14:paraId="4C5C27D6" w14:textId="77777777" w:rsidTr="00521305">
        <w:trPr>
          <w:jc w:val="center"/>
        </w:trPr>
        <w:tc>
          <w:tcPr>
            <w:tcW w:w="5524" w:type="dxa"/>
          </w:tcPr>
          <w:p w14:paraId="71458183" w14:textId="77777777" w:rsidR="001C19F3" w:rsidRDefault="001C19F3" w:rsidP="00521305">
            <w:pPr>
              <w:spacing w:after="0"/>
              <w:ind w:left="457"/>
              <w:rPr>
                <w:sz w:val="18"/>
                <w:szCs w:val="18"/>
              </w:rPr>
            </w:pPr>
            <w:r>
              <w:rPr>
                <w:color w:val="231F20"/>
                <w:sz w:val="18"/>
              </w:rPr>
              <w:t xml:space="preserve">Ever recorded </w:t>
            </w:r>
          </w:p>
        </w:tc>
        <w:tc>
          <w:tcPr>
            <w:tcW w:w="2409" w:type="dxa"/>
          </w:tcPr>
          <w:p w14:paraId="12867C53" w14:textId="77777777" w:rsidR="001C19F3" w:rsidRPr="00AB0189" w:rsidRDefault="001C19F3" w:rsidP="00521305">
            <w:pPr>
              <w:spacing w:after="0"/>
              <w:jc w:val="center"/>
              <w:rPr>
                <w:sz w:val="18"/>
                <w:szCs w:val="18"/>
              </w:rPr>
            </w:pPr>
            <w:r w:rsidRPr="00AB0189">
              <w:rPr>
                <w:sz w:val="18"/>
                <w:szCs w:val="18"/>
              </w:rPr>
              <w:t>1</w:t>
            </w:r>
            <w:r>
              <w:rPr>
                <w:sz w:val="18"/>
                <w:szCs w:val="18"/>
              </w:rPr>
              <w:t>,2</w:t>
            </w:r>
            <w:r w:rsidRPr="00AB0189">
              <w:rPr>
                <w:sz w:val="18"/>
                <w:szCs w:val="18"/>
              </w:rPr>
              <w:t>0</w:t>
            </w:r>
            <w:r>
              <w:rPr>
                <w:sz w:val="18"/>
                <w:szCs w:val="18"/>
              </w:rPr>
              <w:t>9</w:t>
            </w:r>
            <w:r w:rsidRPr="00AB0189">
              <w:rPr>
                <w:sz w:val="18"/>
                <w:szCs w:val="18"/>
              </w:rPr>
              <w:t xml:space="preserve"> (1</w:t>
            </w:r>
            <w:r>
              <w:rPr>
                <w:sz w:val="18"/>
                <w:szCs w:val="18"/>
              </w:rPr>
              <w:t>8</w:t>
            </w:r>
            <w:r w:rsidRPr="00AB0189">
              <w:rPr>
                <w:sz w:val="18"/>
                <w:szCs w:val="18"/>
              </w:rPr>
              <w:t>.</w:t>
            </w:r>
            <w:r>
              <w:rPr>
                <w:sz w:val="18"/>
                <w:szCs w:val="18"/>
              </w:rPr>
              <w:t>1</w:t>
            </w:r>
            <w:r w:rsidRPr="00AB0189">
              <w:rPr>
                <w:sz w:val="18"/>
                <w:szCs w:val="18"/>
              </w:rPr>
              <w:t>%)</w:t>
            </w:r>
            <w:r w:rsidRPr="006C20C8">
              <w:rPr>
                <w:szCs w:val="18"/>
                <w:vertAlign w:val="superscript"/>
              </w:rPr>
              <w:t>3</w:t>
            </w:r>
          </w:p>
        </w:tc>
      </w:tr>
      <w:tr w:rsidR="001C19F3" w:rsidRPr="007C4473" w14:paraId="4FE25CA8" w14:textId="77777777" w:rsidTr="00521305">
        <w:trPr>
          <w:jc w:val="center"/>
        </w:trPr>
        <w:tc>
          <w:tcPr>
            <w:tcW w:w="5524" w:type="dxa"/>
          </w:tcPr>
          <w:p w14:paraId="0671129D" w14:textId="77777777" w:rsidR="001C19F3" w:rsidRDefault="001C19F3" w:rsidP="00521305">
            <w:pPr>
              <w:spacing w:after="0"/>
              <w:ind w:left="457"/>
              <w:rPr>
                <w:sz w:val="18"/>
                <w:szCs w:val="18"/>
              </w:rPr>
            </w:pPr>
            <w:r>
              <w:rPr>
                <w:color w:val="231F20"/>
                <w:sz w:val="18"/>
              </w:rPr>
              <w:t>Recorded in previous year</w:t>
            </w:r>
          </w:p>
        </w:tc>
        <w:tc>
          <w:tcPr>
            <w:tcW w:w="2409" w:type="dxa"/>
          </w:tcPr>
          <w:p w14:paraId="3AE3CAA8" w14:textId="77777777" w:rsidR="001C19F3" w:rsidRPr="00AB0189" w:rsidRDefault="001C19F3" w:rsidP="00521305">
            <w:pPr>
              <w:spacing w:after="0"/>
              <w:jc w:val="center"/>
              <w:rPr>
                <w:sz w:val="18"/>
                <w:szCs w:val="18"/>
              </w:rPr>
            </w:pPr>
            <w:r>
              <w:rPr>
                <w:sz w:val="18"/>
                <w:szCs w:val="18"/>
              </w:rPr>
              <w:t>543</w:t>
            </w:r>
            <w:r w:rsidRPr="00AB0189">
              <w:rPr>
                <w:sz w:val="18"/>
                <w:szCs w:val="18"/>
              </w:rPr>
              <w:t xml:space="preserve"> (6.5%)</w:t>
            </w:r>
            <w:r w:rsidRPr="006C20C8">
              <w:rPr>
                <w:szCs w:val="18"/>
                <w:vertAlign w:val="superscript"/>
              </w:rPr>
              <w:t>3</w:t>
            </w:r>
          </w:p>
        </w:tc>
      </w:tr>
      <w:tr w:rsidR="001C19F3" w:rsidRPr="007C4473" w14:paraId="11BD6EE8" w14:textId="77777777" w:rsidTr="00521305">
        <w:trPr>
          <w:jc w:val="center"/>
        </w:trPr>
        <w:tc>
          <w:tcPr>
            <w:tcW w:w="5524" w:type="dxa"/>
          </w:tcPr>
          <w:p w14:paraId="3A0979C4" w14:textId="77777777" w:rsidR="001C19F3" w:rsidRPr="00783A8A" w:rsidRDefault="001C19F3" w:rsidP="00521305">
            <w:pPr>
              <w:spacing w:after="0"/>
              <w:rPr>
                <w:b/>
                <w:sz w:val="18"/>
                <w:szCs w:val="18"/>
              </w:rPr>
            </w:pPr>
            <w:r>
              <w:rPr>
                <w:b/>
                <w:sz w:val="18"/>
                <w:szCs w:val="18"/>
              </w:rPr>
              <w:t>Body weight</w:t>
            </w:r>
          </w:p>
        </w:tc>
        <w:tc>
          <w:tcPr>
            <w:tcW w:w="2409" w:type="dxa"/>
          </w:tcPr>
          <w:p w14:paraId="18911ACA" w14:textId="77777777" w:rsidR="001C19F3" w:rsidRPr="00AB0189" w:rsidRDefault="001C19F3" w:rsidP="00521305">
            <w:pPr>
              <w:spacing w:after="0"/>
              <w:jc w:val="center"/>
              <w:rPr>
                <w:sz w:val="18"/>
                <w:szCs w:val="18"/>
              </w:rPr>
            </w:pPr>
          </w:p>
        </w:tc>
      </w:tr>
      <w:tr w:rsidR="001C19F3" w:rsidRPr="007C4473" w14:paraId="3FC91CD9" w14:textId="77777777" w:rsidTr="00521305">
        <w:trPr>
          <w:jc w:val="center"/>
        </w:trPr>
        <w:tc>
          <w:tcPr>
            <w:tcW w:w="5524" w:type="dxa"/>
          </w:tcPr>
          <w:p w14:paraId="2B54849D" w14:textId="77777777" w:rsidR="001C19F3" w:rsidRDefault="001C19F3" w:rsidP="00521305">
            <w:pPr>
              <w:spacing w:after="0"/>
              <w:ind w:left="457"/>
              <w:rPr>
                <w:sz w:val="18"/>
                <w:szCs w:val="18"/>
              </w:rPr>
            </w:pPr>
            <w:r>
              <w:rPr>
                <w:color w:val="231F20"/>
                <w:sz w:val="18"/>
              </w:rPr>
              <w:t>Ever recorded</w:t>
            </w:r>
          </w:p>
        </w:tc>
        <w:tc>
          <w:tcPr>
            <w:tcW w:w="2409" w:type="dxa"/>
          </w:tcPr>
          <w:p w14:paraId="647035B4" w14:textId="77777777" w:rsidR="001C19F3" w:rsidRPr="00AB0189" w:rsidRDefault="001C19F3" w:rsidP="00521305">
            <w:pPr>
              <w:spacing w:after="0"/>
              <w:jc w:val="center"/>
              <w:rPr>
                <w:sz w:val="18"/>
                <w:szCs w:val="18"/>
              </w:rPr>
            </w:pPr>
            <w:r w:rsidRPr="00AB0189">
              <w:rPr>
                <w:sz w:val="18"/>
                <w:szCs w:val="18"/>
              </w:rPr>
              <w:t>7</w:t>
            </w:r>
            <w:r>
              <w:rPr>
                <w:sz w:val="18"/>
                <w:szCs w:val="18"/>
              </w:rPr>
              <w:t>,860</w:t>
            </w:r>
            <w:r w:rsidRPr="00AB0189">
              <w:rPr>
                <w:sz w:val="18"/>
                <w:szCs w:val="18"/>
              </w:rPr>
              <w:t xml:space="preserve"> (94.</w:t>
            </w:r>
            <w:r>
              <w:rPr>
                <w:sz w:val="18"/>
                <w:szCs w:val="18"/>
              </w:rPr>
              <w:t>3</w:t>
            </w:r>
            <w:r w:rsidRPr="00AB0189">
              <w:rPr>
                <w:sz w:val="18"/>
                <w:szCs w:val="18"/>
              </w:rPr>
              <w:t>%)</w:t>
            </w:r>
          </w:p>
        </w:tc>
      </w:tr>
      <w:tr w:rsidR="001C19F3" w:rsidRPr="007C4473" w14:paraId="18D1C013" w14:textId="77777777" w:rsidTr="00521305">
        <w:trPr>
          <w:jc w:val="center"/>
        </w:trPr>
        <w:tc>
          <w:tcPr>
            <w:tcW w:w="5524" w:type="dxa"/>
          </w:tcPr>
          <w:p w14:paraId="21647E3C" w14:textId="77777777" w:rsidR="001C19F3" w:rsidRDefault="001C19F3" w:rsidP="00521305">
            <w:pPr>
              <w:spacing w:after="0"/>
              <w:ind w:left="457"/>
              <w:rPr>
                <w:sz w:val="18"/>
                <w:szCs w:val="18"/>
              </w:rPr>
            </w:pPr>
            <w:r>
              <w:rPr>
                <w:color w:val="231F20"/>
                <w:sz w:val="18"/>
              </w:rPr>
              <w:t>Recorded in previous year</w:t>
            </w:r>
          </w:p>
        </w:tc>
        <w:tc>
          <w:tcPr>
            <w:tcW w:w="2409" w:type="dxa"/>
          </w:tcPr>
          <w:p w14:paraId="274B8FA0" w14:textId="77777777" w:rsidR="001C19F3" w:rsidRPr="00AB0189" w:rsidRDefault="001C19F3" w:rsidP="00521305">
            <w:pPr>
              <w:spacing w:after="0"/>
              <w:jc w:val="center"/>
              <w:rPr>
                <w:sz w:val="18"/>
                <w:szCs w:val="18"/>
              </w:rPr>
            </w:pPr>
            <w:r w:rsidRPr="00AB0189">
              <w:rPr>
                <w:sz w:val="18"/>
                <w:szCs w:val="18"/>
              </w:rPr>
              <w:t>6</w:t>
            </w:r>
            <w:r>
              <w:rPr>
                <w:sz w:val="18"/>
                <w:szCs w:val="18"/>
              </w:rPr>
              <w:t>,751</w:t>
            </w:r>
            <w:r w:rsidRPr="00AB0189">
              <w:rPr>
                <w:sz w:val="18"/>
                <w:szCs w:val="18"/>
              </w:rPr>
              <w:t xml:space="preserve"> (8</w:t>
            </w:r>
            <w:r>
              <w:rPr>
                <w:sz w:val="18"/>
                <w:szCs w:val="18"/>
              </w:rPr>
              <w:t>1.</w:t>
            </w:r>
            <w:r w:rsidRPr="00AB0189">
              <w:rPr>
                <w:sz w:val="18"/>
                <w:szCs w:val="18"/>
              </w:rPr>
              <w:t>0%)</w:t>
            </w:r>
          </w:p>
        </w:tc>
      </w:tr>
      <w:tr w:rsidR="001C19F3" w:rsidRPr="007C4473" w14:paraId="17DF43C6" w14:textId="77777777" w:rsidTr="00521305">
        <w:trPr>
          <w:jc w:val="center"/>
        </w:trPr>
        <w:tc>
          <w:tcPr>
            <w:tcW w:w="5524" w:type="dxa"/>
          </w:tcPr>
          <w:p w14:paraId="41C24F4D" w14:textId="77777777" w:rsidR="001C19F3" w:rsidRPr="00783A8A" w:rsidRDefault="001C19F3" w:rsidP="00521305">
            <w:pPr>
              <w:spacing w:after="0"/>
              <w:rPr>
                <w:b/>
                <w:sz w:val="18"/>
                <w:szCs w:val="18"/>
              </w:rPr>
            </w:pPr>
            <w:r>
              <w:rPr>
                <w:b/>
                <w:sz w:val="18"/>
                <w:szCs w:val="18"/>
              </w:rPr>
              <w:t>Body height</w:t>
            </w:r>
          </w:p>
        </w:tc>
        <w:tc>
          <w:tcPr>
            <w:tcW w:w="2409" w:type="dxa"/>
          </w:tcPr>
          <w:p w14:paraId="566911DE" w14:textId="77777777" w:rsidR="001C19F3" w:rsidRPr="00AB0189" w:rsidRDefault="001C19F3" w:rsidP="00521305">
            <w:pPr>
              <w:spacing w:after="0"/>
              <w:jc w:val="center"/>
              <w:rPr>
                <w:sz w:val="18"/>
                <w:szCs w:val="18"/>
              </w:rPr>
            </w:pPr>
          </w:p>
        </w:tc>
      </w:tr>
      <w:tr w:rsidR="001C19F3" w:rsidRPr="007C4473" w14:paraId="00D61850" w14:textId="77777777" w:rsidTr="00521305">
        <w:trPr>
          <w:jc w:val="center"/>
        </w:trPr>
        <w:tc>
          <w:tcPr>
            <w:tcW w:w="5524" w:type="dxa"/>
          </w:tcPr>
          <w:p w14:paraId="6B37B966" w14:textId="77777777" w:rsidR="001C19F3" w:rsidRDefault="001C19F3" w:rsidP="00521305">
            <w:pPr>
              <w:spacing w:after="0"/>
              <w:ind w:left="457"/>
              <w:rPr>
                <w:sz w:val="18"/>
                <w:szCs w:val="18"/>
              </w:rPr>
            </w:pPr>
            <w:r>
              <w:rPr>
                <w:color w:val="231F20"/>
                <w:sz w:val="18"/>
              </w:rPr>
              <w:t>Ever recorded</w:t>
            </w:r>
          </w:p>
        </w:tc>
        <w:tc>
          <w:tcPr>
            <w:tcW w:w="2409" w:type="dxa"/>
          </w:tcPr>
          <w:p w14:paraId="53D08047" w14:textId="77777777" w:rsidR="001C19F3" w:rsidRPr="00AB0189" w:rsidRDefault="001C19F3" w:rsidP="00521305">
            <w:pPr>
              <w:spacing w:after="0"/>
              <w:jc w:val="center"/>
              <w:rPr>
                <w:sz w:val="18"/>
                <w:szCs w:val="18"/>
              </w:rPr>
            </w:pPr>
            <w:r w:rsidRPr="00AB0189">
              <w:rPr>
                <w:sz w:val="18"/>
                <w:szCs w:val="18"/>
              </w:rPr>
              <w:t>7</w:t>
            </w:r>
            <w:r>
              <w:rPr>
                <w:sz w:val="18"/>
                <w:szCs w:val="18"/>
              </w:rPr>
              <w:t>,646</w:t>
            </w:r>
            <w:r w:rsidRPr="00AB0189">
              <w:rPr>
                <w:sz w:val="18"/>
                <w:szCs w:val="18"/>
              </w:rPr>
              <w:t xml:space="preserve"> (91.</w:t>
            </w:r>
            <w:r>
              <w:rPr>
                <w:sz w:val="18"/>
                <w:szCs w:val="18"/>
              </w:rPr>
              <w:t>7</w:t>
            </w:r>
            <w:r w:rsidRPr="00AB0189">
              <w:rPr>
                <w:sz w:val="18"/>
                <w:szCs w:val="18"/>
              </w:rPr>
              <w:t>%)</w:t>
            </w:r>
          </w:p>
        </w:tc>
      </w:tr>
      <w:tr w:rsidR="001C19F3" w:rsidRPr="007C4473" w14:paraId="43275373" w14:textId="77777777" w:rsidTr="00521305">
        <w:trPr>
          <w:jc w:val="center"/>
        </w:trPr>
        <w:tc>
          <w:tcPr>
            <w:tcW w:w="5524" w:type="dxa"/>
          </w:tcPr>
          <w:p w14:paraId="306F537C" w14:textId="77777777" w:rsidR="001C19F3" w:rsidRPr="00783A8A" w:rsidRDefault="001C19F3" w:rsidP="00521305">
            <w:pPr>
              <w:spacing w:after="0"/>
              <w:rPr>
                <w:b/>
                <w:sz w:val="18"/>
                <w:szCs w:val="18"/>
              </w:rPr>
            </w:pPr>
            <w:r>
              <w:rPr>
                <w:b/>
                <w:sz w:val="18"/>
                <w:szCs w:val="18"/>
              </w:rPr>
              <w:t>Waist</w:t>
            </w:r>
          </w:p>
        </w:tc>
        <w:tc>
          <w:tcPr>
            <w:tcW w:w="2409" w:type="dxa"/>
          </w:tcPr>
          <w:p w14:paraId="39E28C26" w14:textId="77777777" w:rsidR="001C19F3" w:rsidRPr="00AB0189" w:rsidRDefault="001C19F3" w:rsidP="00521305">
            <w:pPr>
              <w:spacing w:after="0"/>
              <w:jc w:val="center"/>
              <w:rPr>
                <w:sz w:val="18"/>
                <w:szCs w:val="18"/>
              </w:rPr>
            </w:pPr>
          </w:p>
        </w:tc>
      </w:tr>
      <w:tr w:rsidR="001C19F3" w:rsidRPr="007C4473" w14:paraId="27F0863C" w14:textId="77777777" w:rsidTr="00521305">
        <w:trPr>
          <w:jc w:val="center"/>
        </w:trPr>
        <w:tc>
          <w:tcPr>
            <w:tcW w:w="5524" w:type="dxa"/>
          </w:tcPr>
          <w:p w14:paraId="56B9496E" w14:textId="77777777" w:rsidR="001C19F3" w:rsidRDefault="001C19F3" w:rsidP="00521305">
            <w:pPr>
              <w:spacing w:after="0"/>
              <w:ind w:left="457"/>
              <w:rPr>
                <w:sz w:val="18"/>
                <w:szCs w:val="18"/>
              </w:rPr>
            </w:pPr>
            <w:r>
              <w:rPr>
                <w:color w:val="231F20"/>
                <w:sz w:val="18"/>
              </w:rPr>
              <w:t>Ever recorded</w:t>
            </w:r>
          </w:p>
        </w:tc>
        <w:tc>
          <w:tcPr>
            <w:tcW w:w="2409" w:type="dxa"/>
          </w:tcPr>
          <w:p w14:paraId="1D42D4F5" w14:textId="77777777" w:rsidR="001C19F3" w:rsidRPr="00AB0189" w:rsidRDefault="001C19F3" w:rsidP="00521305">
            <w:pPr>
              <w:spacing w:after="0"/>
              <w:jc w:val="center"/>
              <w:rPr>
                <w:sz w:val="18"/>
                <w:szCs w:val="18"/>
              </w:rPr>
            </w:pPr>
            <w:r w:rsidRPr="00AB0189">
              <w:rPr>
                <w:sz w:val="18"/>
                <w:szCs w:val="18"/>
              </w:rPr>
              <w:t>4</w:t>
            </w:r>
            <w:r>
              <w:rPr>
                <w:sz w:val="18"/>
                <w:szCs w:val="18"/>
              </w:rPr>
              <w:t>,836</w:t>
            </w:r>
            <w:r w:rsidRPr="00AB0189">
              <w:rPr>
                <w:sz w:val="18"/>
                <w:szCs w:val="18"/>
              </w:rPr>
              <w:t xml:space="preserve"> (5</w:t>
            </w:r>
            <w:r>
              <w:rPr>
                <w:sz w:val="18"/>
                <w:szCs w:val="18"/>
              </w:rPr>
              <w:t>8</w:t>
            </w:r>
            <w:r w:rsidRPr="00AB0189">
              <w:rPr>
                <w:sz w:val="18"/>
                <w:szCs w:val="18"/>
              </w:rPr>
              <w:t>.</w:t>
            </w:r>
            <w:r>
              <w:rPr>
                <w:sz w:val="18"/>
                <w:szCs w:val="18"/>
              </w:rPr>
              <w:t>0</w:t>
            </w:r>
            <w:r w:rsidRPr="00AB0189">
              <w:rPr>
                <w:sz w:val="18"/>
                <w:szCs w:val="18"/>
              </w:rPr>
              <w:t>%)</w:t>
            </w:r>
          </w:p>
        </w:tc>
      </w:tr>
      <w:tr w:rsidR="001C19F3" w:rsidRPr="007C4473" w14:paraId="5D0FCC47" w14:textId="77777777" w:rsidTr="00521305">
        <w:trPr>
          <w:jc w:val="center"/>
        </w:trPr>
        <w:tc>
          <w:tcPr>
            <w:tcW w:w="5524" w:type="dxa"/>
          </w:tcPr>
          <w:p w14:paraId="515A6D5C" w14:textId="77777777" w:rsidR="001C19F3" w:rsidRDefault="001C19F3" w:rsidP="00521305">
            <w:pPr>
              <w:spacing w:after="0"/>
              <w:ind w:left="457"/>
              <w:rPr>
                <w:sz w:val="18"/>
                <w:szCs w:val="18"/>
              </w:rPr>
            </w:pPr>
            <w:r>
              <w:rPr>
                <w:color w:val="231F20"/>
                <w:sz w:val="18"/>
              </w:rPr>
              <w:t>Recorded in previous year</w:t>
            </w:r>
          </w:p>
        </w:tc>
        <w:tc>
          <w:tcPr>
            <w:tcW w:w="2409" w:type="dxa"/>
          </w:tcPr>
          <w:p w14:paraId="152239CB" w14:textId="77777777" w:rsidR="001C19F3" w:rsidRPr="00AB0189" w:rsidRDefault="001C19F3" w:rsidP="00521305">
            <w:pPr>
              <w:spacing w:after="0"/>
              <w:jc w:val="center"/>
              <w:rPr>
                <w:sz w:val="18"/>
                <w:szCs w:val="18"/>
              </w:rPr>
            </w:pPr>
            <w:r w:rsidRPr="00AB0189">
              <w:rPr>
                <w:sz w:val="18"/>
                <w:szCs w:val="18"/>
              </w:rPr>
              <w:t>2</w:t>
            </w:r>
            <w:r>
              <w:rPr>
                <w:sz w:val="18"/>
                <w:szCs w:val="18"/>
              </w:rPr>
              <w:t>,65</w:t>
            </w:r>
            <w:r w:rsidRPr="00AB0189">
              <w:rPr>
                <w:sz w:val="18"/>
                <w:szCs w:val="18"/>
              </w:rPr>
              <w:t>5 (31.</w:t>
            </w:r>
            <w:r>
              <w:rPr>
                <w:sz w:val="18"/>
                <w:szCs w:val="18"/>
              </w:rPr>
              <w:t>9</w:t>
            </w:r>
            <w:r w:rsidRPr="00AB0189">
              <w:rPr>
                <w:sz w:val="18"/>
                <w:szCs w:val="18"/>
              </w:rPr>
              <w:t>%)</w:t>
            </w:r>
          </w:p>
        </w:tc>
      </w:tr>
    </w:tbl>
    <w:p w14:paraId="421CAE16" w14:textId="77777777" w:rsidR="001C19F3" w:rsidRPr="006C20C8" w:rsidRDefault="001C19F3" w:rsidP="001C19F3">
      <w:pPr>
        <w:pStyle w:val="Chartortablefootnote"/>
      </w:pPr>
      <w:r w:rsidRPr="006C20C8">
        <w:rPr>
          <w:vertAlign w:val="superscript"/>
        </w:rPr>
        <w:t>1</w:t>
      </w:r>
      <w:r w:rsidRPr="006C20C8">
        <w:t>Percentage were calculated for 8</w:t>
      </w:r>
      <w:r>
        <w:t>,336</w:t>
      </w:r>
      <w:r w:rsidRPr="006C20C8">
        <w:t xml:space="preserve"> HCH patients (</w:t>
      </w:r>
      <w:r>
        <w:t>8,077</w:t>
      </w:r>
      <w:r w:rsidRPr="006C20C8">
        <w:t xml:space="preserve"> and 259 patients identified in Pen CS and POLAR extracts respectively), unless indicated otherwise</w:t>
      </w:r>
      <w:r>
        <w:t xml:space="preserve">; </w:t>
      </w:r>
      <w:r w:rsidRPr="006C20C8">
        <w:rPr>
          <w:vertAlign w:val="superscript"/>
        </w:rPr>
        <w:t>2</w:t>
      </w:r>
      <w:r w:rsidRPr="006C20C8">
        <w:t>Smoking status in PenCS data was categorised as smoker (daily, weekly, irregular), ex-smoker and never smoked and in POLAR data as smoker, ex-smoker and non-smoker</w:t>
      </w:r>
      <w:r>
        <w:t xml:space="preserve">; </w:t>
      </w:r>
      <w:r w:rsidRPr="006C20C8">
        <w:rPr>
          <w:vertAlign w:val="superscript"/>
        </w:rPr>
        <w:t>3</w:t>
      </w:r>
      <w:r w:rsidRPr="006C20C8">
        <w:t>When derived variables relating to patient assessments were absent from entire Pen CS extracts, HCH patients in the practices with missing data were excluded from the calculation i.e. the denominator was less than 8</w:t>
      </w:r>
      <w:r>
        <w:t xml:space="preserve">,336; </w:t>
      </w:r>
      <w:r w:rsidRPr="006C20C8">
        <w:rPr>
          <w:vertAlign w:val="superscript"/>
        </w:rPr>
        <w:t>4</w:t>
      </w:r>
      <w:r w:rsidRPr="006C20C8">
        <w:t>Physical activity was available in Pen CS extracts only and categorised as sufficient, insufficient and sedentary.</w:t>
      </w:r>
    </w:p>
    <w:p w14:paraId="614F6A37" w14:textId="77777777" w:rsidR="001C19F3" w:rsidRDefault="001C19F3" w:rsidP="001C19F3">
      <w:r w:rsidRPr="00833D18">
        <w:fldChar w:fldCharType="begin"/>
      </w:r>
      <w:r w:rsidRPr="00833D18">
        <w:instrText xml:space="preserve"> REF _Ref13143427 \h  \* MERGEFORMAT </w:instrText>
      </w:r>
      <w:r w:rsidRPr="00833D18">
        <w:fldChar w:fldCharType="separate"/>
      </w:r>
      <w:r w:rsidRPr="008F2809">
        <w:rPr>
          <w:szCs w:val="20"/>
        </w:rPr>
        <w:t xml:space="preserve">Table </w:t>
      </w:r>
      <w:r w:rsidRPr="008F2809">
        <w:rPr>
          <w:noProof/>
          <w:szCs w:val="20"/>
        </w:rPr>
        <w:t>20</w:t>
      </w:r>
      <w:r w:rsidRPr="00833D18">
        <w:fldChar w:fldCharType="end"/>
      </w:r>
      <w:r w:rsidRPr="00833D18">
        <w:t xml:space="preserve"> </w:t>
      </w:r>
      <w:r w:rsidRPr="001B0A8D">
        <w:t>presents</w:t>
      </w:r>
      <w:r>
        <w:t xml:space="preserve"> whether a measurement of blood pressure, pulse, cholesterol and kidney function for HCH patients has ever been recorded, was recorded in </w:t>
      </w:r>
      <w:r w:rsidRPr="005E4937">
        <w:t>the previous year</w:t>
      </w:r>
      <w:r>
        <w:t xml:space="preserve"> (July 2018 to June 2019) and in the last six months (Jan 2019 to June 2019).</w:t>
      </w:r>
    </w:p>
    <w:p w14:paraId="3EAAB338" w14:textId="77777777" w:rsidR="001C19F3" w:rsidRDefault="001C19F3" w:rsidP="001C19F3">
      <w:pPr>
        <w:spacing w:after="160" w:line="259" w:lineRule="auto"/>
      </w:pPr>
      <w:r>
        <w:br w:type="page"/>
      </w:r>
    </w:p>
    <w:p w14:paraId="35AA531F" w14:textId="77777777" w:rsidR="001C19F3" w:rsidRDefault="001C19F3" w:rsidP="001C19F3">
      <w:pPr>
        <w:spacing w:after="0"/>
        <w:jc w:val="center"/>
        <w:rPr>
          <w:b/>
          <w:szCs w:val="20"/>
        </w:rPr>
      </w:pPr>
      <w:bookmarkStart w:id="522" w:name="_Ref13143427"/>
      <w:r w:rsidRPr="00E76010">
        <w:rPr>
          <w:b/>
          <w:szCs w:val="20"/>
        </w:rPr>
        <w:lastRenderedPageBreak/>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20</w:t>
      </w:r>
      <w:r w:rsidRPr="00E76010">
        <w:rPr>
          <w:szCs w:val="20"/>
        </w:rPr>
        <w:fldChar w:fldCharType="end"/>
      </w:r>
      <w:bookmarkEnd w:id="522"/>
      <w:r w:rsidRPr="00E76010">
        <w:rPr>
          <w:b/>
          <w:szCs w:val="20"/>
        </w:rPr>
        <w:t xml:space="preserve"> –</w:t>
      </w:r>
      <w:r>
        <w:rPr>
          <w:b/>
          <w:szCs w:val="20"/>
        </w:rPr>
        <w:t xml:space="preserve"> Recording of key measures for HCH patients and whether a measurement was recorded in the previous year (</w:t>
      </w:r>
      <w:r w:rsidRPr="00677EF5">
        <w:rPr>
          <w:b/>
          <w:szCs w:val="20"/>
        </w:rPr>
        <w:t>J</w:t>
      </w:r>
      <w:r>
        <w:rPr>
          <w:b/>
          <w:szCs w:val="20"/>
        </w:rPr>
        <w:t xml:space="preserve">uly </w:t>
      </w:r>
      <w:r w:rsidRPr="00677EF5">
        <w:rPr>
          <w:b/>
          <w:szCs w:val="20"/>
        </w:rPr>
        <w:t>201</w:t>
      </w:r>
      <w:r>
        <w:rPr>
          <w:b/>
          <w:szCs w:val="20"/>
        </w:rPr>
        <w:t>8-</w:t>
      </w:r>
      <w:r w:rsidRPr="00677EF5">
        <w:rPr>
          <w:b/>
          <w:szCs w:val="20"/>
        </w:rPr>
        <w:t>June 2019</w:t>
      </w:r>
      <w:r>
        <w:rPr>
          <w:b/>
          <w:szCs w:val="20"/>
        </w:rPr>
        <w:t xml:space="preserve">) and previous six months </w:t>
      </w:r>
      <w:r w:rsidRPr="00677EF5">
        <w:rPr>
          <w:b/>
          <w:szCs w:val="20"/>
        </w:rPr>
        <w:t>(J</w:t>
      </w:r>
      <w:r>
        <w:rPr>
          <w:b/>
          <w:szCs w:val="20"/>
        </w:rPr>
        <w:t xml:space="preserve">an-June 2019) </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32"/>
        <w:gridCol w:w="1849"/>
      </w:tblGrid>
      <w:tr w:rsidR="001C19F3" w:rsidRPr="007C4473" w14:paraId="07BC933D" w14:textId="77777777" w:rsidTr="00521305">
        <w:trPr>
          <w:trHeight w:val="340"/>
          <w:tblHeader/>
          <w:jc w:val="center"/>
        </w:trPr>
        <w:tc>
          <w:tcPr>
            <w:tcW w:w="6232" w:type="dxa"/>
            <w:shd w:val="clear" w:color="auto" w:fill="003D79"/>
          </w:tcPr>
          <w:p w14:paraId="624395B1" w14:textId="77777777" w:rsidR="001C19F3" w:rsidRPr="007C4473" w:rsidRDefault="001C19F3" w:rsidP="00521305">
            <w:pPr>
              <w:spacing w:after="0" w:line="240" w:lineRule="auto"/>
              <w:rPr>
                <w:b/>
                <w:sz w:val="18"/>
                <w:szCs w:val="18"/>
              </w:rPr>
            </w:pPr>
            <w:r>
              <w:rPr>
                <w:b/>
                <w:sz w:val="18"/>
                <w:szCs w:val="18"/>
              </w:rPr>
              <w:t>Measure</w:t>
            </w:r>
          </w:p>
        </w:tc>
        <w:tc>
          <w:tcPr>
            <w:tcW w:w="1849" w:type="dxa"/>
            <w:shd w:val="clear" w:color="auto" w:fill="003D79"/>
            <w:vAlign w:val="center"/>
          </w:tcPr>
          <w:p w14:paraId="55D28170" w14:textId="77777777" w:rsidR="001C19F3" w:rsidRPr="007C4473" w:rsidRDefault="001C19F3" w:rsidP="00521305">
            <w:pPr>
              <w:spacing w:after="0" w:line="240" w:lineRule="auto"/>
              <w:jc w:val="center"/>
              <w:rPr>
                <w:b/>
                <w:sz w:val="18"/>
                <w:szCs w:val="18"/>
              </w:rPr>
            </w:pPr>
            <w:r>
              <w:rPr>
                <w:b/>
                <w:sz w:val="18"/>
                <w:szCs w:val="18"/>
              </w:rPr>
              <w:t>Number (%) of patients</w:t>
            </w:r>
            <w:r w:rsidRPr="000E5BBE">
              <w:rPr>
                <w:b/>
                <w:sz w:val="18"/>
                <w:szCs w:val="18"/>
                <w:vertAlign w:val="superscript"/>
              </w:rPr>
              <w:t>1</w:t>
            </w:r>
          </w:p>
        </w:tc>
      </w:tr>
      <w:tr w:rsidR="001C19F3" w:rsidRPr="007C4473" w14:paraId="14289691" w14:textId="77777777" w:rsidTr="00521305">
        <w:trPr>
          <w:jc w:val="center"/>
        </w:trPr>
        <w:tc>
          <w:tcPr>
            <w:tcW w:w="6232" w:type="dxa"/>
          </w:tcPr>
          <w:p w14:paraId="68692DB3" w14:textId="77777777" w:rsidR="001C19F3" w:rsidRPr="00783A8A" w:rsidRDefault="001C19F3" w:rsidP="00521305">
            <w:pPr>
              <w:spacing w:after="0"/>
              <w:rPr>
                <w:b/>
                <w:sz w:val="18"/>
                <w:szCs w:val="18"/>
              </w:rPr>
            </w:pPr>
            <w:r>
              <w:rPr>
                <w:b/>
                <w:sz w:val="18"/>
                <w:szCs w:val="18"/>
              </w:rPr>
              <w:t>Blood pressure</w:t>
            </w:r>
            <w:r w:rsidRPr="000E5BBE">
              <w:rPr>
                <w:b/>
                <w:sz w:val="18"/>
                <w:szCs w:val="18"/>
                <w:vertAlign w:val="superscript"/>
              </w:rPr>
              <w:t>2</w:t>
            </w:r>
          </w:p>
        </w:tc>
        <w:tc>
          <w:tcPr>
            <w:tcW w:w="1849" w:type="dxa"/>
          </w:tcPr>
          <w:p w14:paraId="260B221E" w14:textId="77777777" w:rsidR="001C19F3" w:rsidRDefault="001C19F3" w:rsidP="00521305">
            <w:pPr>
              <w:spacing w:after="0"/>
              <w:rPr>
                <w:sz w:val="18"/>
                <w:szCs w:val="18"/>
              </w:rPr>
            </w:pPr>
          </w:p>
        </w:tc>
      </w:tr>
      <w:tr w:rsidR="001C19F3" w:rsidRPr="007C4473" w14:paraId="5C4D9520" w14:textId="77777777" w:rsidTr="00521305">
        <w:trPr>
          <w:jc w:val="center"/>
        </w:trPr>
        <w:tc>
          <w:tcPr>
            <w:tcW w:w="6232" w:type="dxa"/>
          </w:tcPr>
          <w:p w14:paraId="7424FEF5" w14:textId="77777777" w:rsidR="001C19F3" w:rsidRDefault="001C19F3" w:rsidP="00521305">
            <w:pPr>
              <w:spacing w:after="0"/>
              <w:ind w:left="457"/>
              <w:rPr>
                <w:sz w:val="18"/>
                <w:szCs w:val="18"/>
              </w:rPr>
            </w:pPr>
            <w:r>
              <w:rPr>
                <w:color w:val="231F20"/>
                <w:sz w:val="18"/>
              </w:rPr>
              <w:t>Ever recorded</w:t>
            </w:r>
          </w:p>
        </w:tc>
        <w:tc>
          <w:tcPr>
            <w:tcW w:w="1849" w:type="dxa"/>
          </w:tcPr>
          <w:p w14:paraId="4A55E561" w14:textId="77777777" w:rsidR="001C19F3" w:rsidRPr="007F73E8" w:rsidRDefault="001C19F3" w:rsidP="00521305">
            <w:pPr>
              <w:spacing w:after="0"/>
              <w:jc w:val="center"/>
              <w:rPr>
                <w:sz w:val="18"/>
                <w:szCs w:val="18"/>
              </w:rPr>
            </w:pPr>
            <w:r>
              <w:rPr>
                <w:sz w:val="18"/>
                <w:szCs w:val="18"/>
              </w:rPr>
              <w:t>8,079</w:t>
            </w:r>
            <w:r w:rsidRPr="007F73E8">
              <w:rPr>
                <w:sz w:val="18"/>
                <w:szCs w:val="18"/>
              </w:rPr>
              <w:t xml:space="preserve"> (96.</w:t>
            </w:r>
            <w:r>
              <w:rPr>
                <w:sz w:val="18"/>
                <w:szCs w:val="18"/>
              </w:rPr>
              <w:t>9</w:t>
            </w:r>
            <w:r w:rsidRPr="007F73E8">
              <w:rPr>
                <w:sz w:val="18"/>
                <w:szCs w:val="18"/>
              </w:rPr>
              <w:t>%)</w:t>
            </w:r>
          </w:p>
        </w:tc>
      </w:tr>
      <w:tr w:rsidR="001C19F3" w:rsidRPr="007C4473" w14:paraId="6A0922D4" w14:textId="77777777" w:rsidTr="00521305">
        <w:trPr>
          <w:jc w:val="center"/>
        </w:trPr>
        <w:tc>
          <w:tcPr>
            <w:tcW w:w="6232" w:type="dxa"/>
          </w:tcPr>
          <w:p w14:paraId="275ED321" w14:textId="77777777" w:rsidR="001C19F3" w:rsidRDefault="001C19F3" w:rsidP="00521305">
            <w:pPr>
              <w:spacing w:after="0"/>
              <w:ind w:left="457"/>
              <w:rPr>
                <w:sz w:val="18"/>
                <w:szCs w:val="18"/>
              </w:rPr>
            </w:pPr>
            <w:r>
              <w:rPr>
                <w:color w:val="231F20"/>
                <w:sz w:val="18"/>
              </w:rPr>
              <w:t>Recorded in previous year</w:t>
            </w:r>
          </w:p>
        </w:tc>
        <w:tc>
          <w:tcPr>
            <w:tcW w:w="1849" w:type="dxa"/>
          </w:tcPr>
          <w:p w14:paraId="7BD65F0B" w14:textId="77777777" w:rsidR="001C19F3" w:rsidRPr="007F73E8" w:rsidRDefault="001C19F3" w:rsidP="00521305">
            <w:pPr>
              <w:spacing w:after="0"/>
              <w:jc w:val="center"/>
              <w:rPr>
                <w:sz w:val="18"/>
                <w:szCs w:val="18"/>
              </w:rPr>
            </w:pPr>
            <w:r w:rsidRPr="007F73E8">
              <w:rPr>
                <w:sz w:val="18"/>
                <w:szCs w:val="18"/>
              </w:rPr>
              <w:t>7</w:t>
            </w:r>
            <w:r>
              <w:rPr>
                <w:sz w:val="18"/>
                <w:szCs w:val="18"/>
              </w:rPr>
              <w:t>,553</w:t>
            </w:r>
            <w:r w:rsidRPr="007F73E8">
              <w:rPr>
                <w:sz w:val="18"/>
                <w:szCs w:val="18"/>
              </w:rPr>
              <w:t xml:space="preserve"> (90.</w:t>
            </w:r>
            <w:r>
              <w:rPr>
                <w:sz w:val="18"/>
                <w:szCs w:val="18"/>
              </w:rPr>
              <w:t>6</w:t>
            </w:r>
            <w:r w:rsidRPr="007F73E8">
              <w:rPr>
                <w:sz w:val="18"/>
                <w:szCs w:val="18"/>
              </w:rPr>
              <w:t>%)</w:t>
            </w:r>
          </w:p>
        </w:tc>
      </w:tr>
      <w:tr w:rsidR="001C19F3" w:rsidRPr="007C4473" w14:paraId="2DCA144B" w14:textId="77777777" w:rsidTr="00521305">
        <w:trPr>
          <w:jc w:val="center"/>
        </w:trPr>
        <w:tc>
          <w:tcPr>
            <w:tcW w:w="6232" w:type="dxa"/>
          </w:tcPr>
          <w:p w14:paraId="7B8A0657" w14:textId="77777777" w:rsidR="001C19F3" w:rsidRDefault="001C19F3" w:rsidP="00521305">
            <w:pPr>
              <w:spacing w:after="0"/>
              <w:ind w:left="457"/>
              <w:rPr>
                <w:color w:val="231F20"/>
                <w:sz w:val="18"/>
              </w:rPr>
            </w:pPr>
            <w:r>
              <w:rPr>
                <w:color w:val="231F20"/>
                <w:sz w:val="18"/>
              </w:rPr>
              <w:t>Recorded in previous 6 months</w:t>
            </w:r>
          </w:p>
        </w:tc>
        <w:tc>
          <w:tcPr>
            <w:tcW w:w="1849" w:type="dxa"/>
          </w:tcPr>
          <w:p w14:paraId="792223F3" w14:textId="77777777" w:rsidR="001C19F3" w:rsidRPr="007F73E8" w:rsidRDefault="001C19F3" w:rsidP="00521305">
            <w:pPr>
              <w:spacing w:after="0"/>
              <w:jc w:val="center"/>
              <w:rPr>
                <w:sz w:val="18"/>
                <w:szCs w:val="18"/>
              </w:rPr>
            </w:pPr>
            <w:r w:rsidRPr="007F73E8">
              <w:rPr>
                <w:sz w:val="18"/>
                <w:szCs w:val="18"/>
              </w:rPr>
              <w:t>6</w:t>
            </w:r>
            <w:r>
              <w:rPr>
                <w:sz w:val="18"/>
                <w:szCs w:val="18"/>
              </w:rPr>
              <w:t>,667</w:t>
            </w:r>
            <w:r w:rsidRPr="007F73E8">
              <w:rPr>
                <w:sz w:val="18"/>
                <w:szCs w:val="18"/>
              </w:rPr>
              <w:t xml:space="preserve"> (</w:t>
            </w:r>
            <w:r>
              <w:rPr>
                <w:sz w:val="18"/>
                <w:szCs w:val="18"/>
              </w:rPr>
              <w:t>80.0</w:t>
            </w:r>
            <w:r w:rsidRPr="007F73E8">
              <w:rPr>
                <w:sz w:val="18"/>
                <w:szCs w:val="18"/>
              </w:rPr>
              <w:t>%)</w:t>
            </w:r>
          </w:p>
        </w:tc>
      </w:tr>
      <w:tr w:rsidR="001C19F3" w:rsidRPr="007C4473" w14:paraId="2B784135" w14:textId="77777777" w:rsidTr="00521305">
        <w:trPr>
          <w:jc w:val="center"/>
        </w:trPr>
        <w:tc>
          <w:tcPr>
            <w:tcW w:w="6232" w:type="dxa"/>
          </w:tcPr>
          <w:p w14:paraId="3C795431" w14:textId="77777777" w:rsidR="001C19F3" w:rsidRPr="00783A8A" w:rsidRDefault="001C19F3" w:rsidP="00521305">
            <w:pPr>
              <w:spacing w:after="0"/>
              <w:rPr>
                <w:b/>
                <w:sz w:val="18"/>
                <w:szCs w:val="18"/>
              </w:rPr>
            </w:pPr>
            <w:r>
              <w:rPr>
                <w:b/>
                <w:sz w:val="18"/>
                <w:szCs w:val="18"/>
              </w:rPr>
              <w:t>Pulse</w:t>
            </w:r>
          </w:p>
        </w:tc>
        <w:tc>
          <w:tcPr>
            <w:tcW w:w="1849" w:type="dxa"/>
          </w:tcPr>
          <w:p w14:paraId="159FB891" w14:textId="77777777" w:rsidR="001C19F3" w:rsidRPr="007F73E8" w:rsidRDefault="001C19F3" w:rsidP="00521305">
            <w:pPr>
              <w:spacing w:after="0"/>
              <w:jc w:val="center"/>
              <w:rPr>
                <w:sz w:val="18"/>
                <w:szCs w:val="18"/>
              </w:rPr>
            </w:pPr>
          </w:p>
        </w:tc>
      </w:tr>
      <w:tr w:rsidR="001C19F3" w:rsidRPr="007C4473" w14:paraId="72CD64FA" w14:textId="77777777" w:rsidTr="00521305">
        <w:trPr>
          <w:jc w:val="center"/>
        </w:trPr>
        <w:tc>
          <w:tcPr>
            <w:tcW w:w="6232" w:type="dxa"/>
          </w:tcPr>
          <w:p w14:paraId="3F6A6060" w14:textId="77777777" w:rsidR="001C19F3" w:rsidRDefault="001C19F3" w:rsidP="00521305">
            <w:pPr>
              <w:spacing w:after="0"/>
              <w:ind w:left="457"/>
              <w:rPr>
                <w:sz w:val="18"/>
                <w:szCs w:val="18"/>
              </w:rPr>
            </w:pPr>
            <w:r>
              <w:rPr>
                <w:color w:val="231F20"/>
                <w:sz w:val="18"/>
              </w:rPr>
              <w:t>Ever recorded</w:t>
            </w:r>
          </w:p>
        </w:tc>
        <w:tc>
          <w:tcPr>
            <w:tcW w:w="1849" w:type="dxa"/>
            <w:vAlign w:val="bottom"/>
          </w:tcPr>
          <w:p w14:paraId="6F001FB5" w14:textId="77777777" w:rsidR="001C19F3" w:rsidRPr="007F73E8" w:rsidRDefault="001C19F3" w:rsidP="00521305">
            <w:pPr>
              <w:spacing w:after="0"/>
              <w:jc w:val="center"/>
              <w:rPr>
                <w:sz w:val="18"/>
                <w:szCs w:val="18"/>
              </w:rPr>
            </w:pPr>
            <w:r>
              <w:rPr>
                <w:rFonts w:eastAsia="Times New Roman" w:cs="Calibri"/>
                <w:color w:val="000000"/>
                <w:sz w:val="18"/>
                <w:szCs w:val="18"/>
                <w:lang w:eastAsia="en-AU"/>
              </w:rPr>
              <w:t>7,115</w:t>
            </w:r>
            <w:r w:rsidRPr="007F73E8">
              <w:rPr>
                <w:rFonts w:eastAsia="Times New Roman" w:cs="Calibri"/>
                <w:color w:val="000000"/>
                <w:sz w:val="18"/>
                <w:szCs w:val="18"/>
                <w:lang w:eastAsia="en-AU"/>
              </w:rPr>
              <w:t xml:space="preserve"> (95.</w:t>
            </w:r>
            <w:r>
              <w:rPr>
                <w:rFonts w:eastAsia="Times New Roman" w:cs="Calibri"/>
                <w:color w:val="000000"/>
                <w:sz w:val="18"/>
                <w:szCs w:val="18"/>
                <w:lang w:eastAsia="en-AU"/>
              </w:rPr>
              <w:t>4</w:t>
            </w:r>
            <w:r w:rsidRPr="007F73E8">
              <w:rPr>
                <w:rFonts w:eastAsia="Times New Roman" w:cs="Calibri"/>
                <w:color w:val="000000"/>
                <w:sz w:val="18"/>
                <w:szCs w:val="18"/>
                <w:lang w:eastAsia="en-AU"/>
              </w:rPr>
              <w:t>%)</w:t>
            </w:r>
            <w:r w:rsidRPr="000E5BBE">
              <w:rPr>
                <w:szCs w:val="18"/>
                <w:vertAlign w:val="superscript"/>
              </w:rPr>
              <w:t>3</w:t>
            </w:r>
          </w:p>
        </w:tc>
      </w:tr>
      <w:tr w:rsidR="001C19F3" w:rsidRPr="007C4473" w14:paraId="4B0ABB83" w14:textId="77777777" w:rsidTr="00521305">
        <w:trPr>
          <w:jc w:val="center"/>
        </w:trPr>
        <w:tc>
          <w:tcPr>
            <w:tcW w:w="6232" w:type="dxa"/>
          </w:tcPr>
          <w:p w14:paraId="4CA7BF55" w14:textId="77777777" w:rsidR="001C19F3" w:rsidRDefault="001C19F3" w:rsidP="00521305">
            <w:pPr>
              <w:spacing w:after="0"/>
              <w:ind w:left="457"/>
              <w:rPr>
                <w:sz w:val="18"/>
                <w:szCs w:val="18"/>
              </w:rPr>
            </w:pPr>
            <w:r>
              <w:rPr>
                <w:color w:val="231F20"/>
                <w:sz w:val="18"/>
              </w:rPr>
              <w:t>Recorded in previous year</w:t>
            </w:r>
          </w:p>
        </w:tc>
        <w:tc>
          <w:tcPr>
            <w:tcW w:w="1849" w:type="dxa"/>
            <w:vAlign w:val="bottom"/>
          </w:tcPr>
          <w:p w14:paraId="5A640B1A"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6</w:t>
            </w:r>
            <w:r>
              <w:rPr>
                <w:rFonts w:eastAsia="Times New Roman" w:cs="Calibri"/>
                <w:color w:val="000000"/>
                <w:sz w:val="18"/>
                <w:szCs w:val="18"/>
                <w:lang w:eastAsia="en-AU"/>
              </w:rPr>
              <w:t>,361</w:t>
            </w:r>
            <w:r w:rsidRPr="007F73E8">
              <w:rPr>
                <w:rFonts w:eastAsia="Times New Roman" w:cs="Calibri"/>
                <w:color w:val="000000"/>
                <w:sz w:val="18"/>
                <w:szCs w:val="18"/>
                <w:lang w:eastAsia="en-AU"/>
              </w:rPr>
              <w:t xml:space="preserve"> (8</w:t>
            </w:r>
            <w:r>
              <w:rPr>
                <w:rFonts w:eastAsia="Times New Roman" w:cs="Calibri"/>
                <w:color w:val="000000"/>
                <w:sz w:val="18"/>
                <w:szCs w:val="18"/>
                <w:lang w:eastAsia="en-AU"/>
              </w:rPr>
              <w:t>5</w:t>
            </w:r>
            <w:r w:rsidRPr="007F73E8">
              <w:rPr>
                <w:rFonts w:eastAsia="Times New Roman" w:cs="Calibri"/>
                <w:color w:val="000000"/>
                <w:sz w:val="18"/>
                <w:szCs w:val="18"/>
                <w:lang w:eastAsia="en-AU"/>
              </w:rPr>
              <w:t>.</w:t>
            </w:r>
            <w:r>
              <w:rPr>
                <w:rFonts w:eastAsia="Times New Roman" w:cs="Calibri"/>
                <w:color w:val="000000"/>
                <w:sz w:val="18"/>
                <w:szCs w:val="18"/>
                <w:lang w:eastAsia="en-AU"/>
              </w:rPr>
              <w:t>3</w:t>
            </w:r>
            <w:r w:rsidRPr="007F73E8">
              <w:rPr>
                <w:rFonts w:eastAsia="Times New Roman" w:cs="Calibri"/>
                <w:color w:val="000000"/>
                <w:sz w:val="18"/>
                <w:szCs w:val="18"/>
                <w:lang w:eastAsia="en-AU"/>
              </w:rPr>
              <w:t>%)</w:t>
            </w:r>
            <w:r w:rsidRPr="000E5BBE">
              <w:rPr>
                <w:szCs w:val="18"/>
                <w:vertAlign w:val="superscript"/>
              </w:rPr>
              <w:t>3</w:t>
            </w:r>
          </w:p>
        </w:tc>
      </w:tr>
      <w:tr w:rsidR="001C19F3" w:rsidRPr="007C4473" w14:paraId="7A2F6385" w14:textId="77777777" w:rsidTr="00521305">
        <w:trPr>
          <w:jc w:val="center"/>
        </w:trPr>
        <w:tc>
          <w:tcPr>
            <w:tcW w:w="6232" w:type="dxa"/>
          </w:tcPr>
          <w:p w14:paraId="75C86CF9" w14:textId="77777777" w:rsidR="001C19F3" w:rsidRDefault="001C19F3" w:rsidP="00521305">
            <w:pPr>
              <w:spacing w:after="0"/>
              <w:ind w:left="457"/>
              <w:rPr>
                <w:color w:val="231F20"/>
                <w:sz w:val="18"/>
              </w:rPr>
            </w:pPr>
            <w:r>
              <w:rPr>
                <w:color w:val="231F20"/>
                <w:sz w:val="18"/>
              </w:rPr>
              <w:t>Recorded in previous 6 months</w:t>
            </w:r>
          </w:p>
        </w:tc>
        <w:tc>
          <w:tcPr>
            <w:tcW w:w="1849" w:type="dxa"/>
            <w:vAlign w:val="bottom"/>
          </w:tcPr>
          <w:p w14:paraId="25098B3D"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5</w:t>
            </w:r>
            <w:r>
              <w:rPr>
                <w:rFonts w:eastAsia="Times New Roman" w:cs="Calibri"/>
                <w:color w:val="000000"/>
                <w:sz w:val="18"/>
                <w:szCs w:val="18"/>
                <w:lang w:eastAsia="en-AU"/>
              </w:rPr>
              <w:t>,353</w:t>
            </w:r>
            <w:r w:rsidRPr="007F73E8">
              <w:rPr>
                <w:rFonts w:eastAsia="Times New Roman" w:cs="Calibri"/>
                <w:color w:val="000000"/>
                <w:sz w:val="18"/>
                <w:szCs w:val="18"/>
                <w:lang w:eastAsia="en-AU"/>
              </w:rPr>
              <w:t xml:space="preserve"> (7</w:t>
            </w:r>
            <w:r>
              <w:rPr>
                <w:rFonts w:eastAsia="Times New Roman" w:cs="Calibri"/>
                <w:color w:val="000000"/>
                <w:sz w:val="18"/>
                <w:szCs w:val="18"/>
                <w:lang w:eastAsia="en-AU"/>
              </w:rPr>
              <w:t>1.8</w:t>
            </w:r>
            <w:r w:rsidRPr="007F73E8">
              <w:rPr>
                <w:rFonts w:eastAsia="Times New Roman" w:cs="Calibri"/>
                <w:color w:val="000000"/>
                <w:sz w:val="18"/>
                <w:szCs w:val="18"/>
                <w:lang w:eastAsia="en-AU"/>
              </w:rPr>
              <w:t>%</w:t>
            </w:r>
            <w:r>
              <w:rPr>
                <w:rFonts w:eastAsia="Times New Roman" w:cs="Calibri"/>
                <w:color w:val="000000"/>
                <w:sz w:val="18"/>
                <w:szCs w:val="18"/>
                <w:lang w:eastAsia="en-AU"/>
              </w:rPr>
              <w:t>)</w:t>
            </w:r>
            <w:r w:rsidRPr="000E5BBE">
              <w:rPr>
                <w:szCs w:val="18"/>
                <w:vertAlign w:val="superscript"/>
              </w:rPr>
              <w:t>3</w:t>
            </w:r>
          </w:p>
        </w:tc>
      </w:tr>
      <w:tr w:rsidR="001C19F3" w:rsidRPr="007C4473" w14:paraId="786DE766" w14:textId="77777777" w:rsidTr="00521305">
        <w:trPr>
          <w:jc w:val="center"/>
        </w:trPr>
        <w:tc>
          <w:tcPr>
            <w:tcW w:w="6232" w:type="dxa"/>
          </w:tcPr>
          <w:p w14:paraId="0709E6A5" w14:textId="77777777" w:rsidR="001C19F3" w:rsidRPr="00783A8A" w:rsidRDefault="001C19F3" w:rsidP="00521305">
            <w:pPr>
              <w:spacing w:after="0"/>
              <w:rPr>
                <w:b/>
                <w:sz w:val="18"/>
                <w:szCs w:val="18"/>
              </w:rPr>
            </w:pPr>
            <w:r>
              <w:rPr>
                <w:b/>
                <w:sz w:val="18"/>
                <w:szCs w:val="18"/>
              </w:rPr>
              <w:t>Cholesterol</w:t>
            </w:r>
            <w:r w:rsidRPr="000E5BBE">
              <w:rPr>
                <w:b/>
                <w:sz w:val="18"/>
                <w:szCs w:val="18"/>
                <w:vertAlign w:val="superscript"/>
              </w:rPr>
              <w:t>4</w:t>
            </w:r>
          </w:p>
        </w:tc>
        <w:tc>
          <w:tcPr>
            <w:tcW w:w="1849" w:type="dxa"/>
          </w:tcPr>
          <w:p w14:paraId="21E20F33" w14:textId="77777777" w:rsidR="001C19F3" w:rsidRPr="007F73E8" w:rsidRDefault="001C19F3" w:rsidP="00521305">
            <w:pPr>
              <w:spacing w:after="0"/>
              <w:jc w:val="center"/>
              <w:rPr>
                <w:sz w:val="18"/>
                <w:szCs w:val="18"/>
              </w:rPr>
            </w:pPr>
          </w:p>
        </w:tc>
      </w:tr>
      <w:tr w:rsidR="001C19F3" w:rsidRPr="007C4473" w14:paraId="36BB9757" w14:textId="77777777" w:rsidTr="00521305">
        <w:trPr>
          <w:jc w:val="center"/>
        </w:trPr>
        <w:tc>
          <w:tcPr>
            <w:tcW w:w="6232" w:type="dxa"/>
          </w:tcPr>
          <w:p w14:paraId="2B532606" w14:textId="77777777" w:rsidR="001C19F3" w:rsidRDefault="001C19F3" w:rsidP="00521305">
            <w:pPr>
              <w:spacing w:after="0"/>
              <w:ind w:left="457"/>
              <w:rPr>
                <w:sz w:val="18"/>
                <w:szCs w:val="18"/>
              </w:rPr>
            </w:pPr>
            <w:r>
              <w:rPr>
                <w:color w:val="231F20"/>
                <w:sz w:val="18"/>
              </w:rPr>
              <w:t>Ever recorded</w:t>
            </w:r>
          </w:p>
        </w:tc>
        <w:tc>
          <w:tcPr>
            <w:tcW w:w="1849" w:type="dxa"/>
            <w:vAlign w:val="bottom"/>
          </w:tcPr>
          <w:p w14:paraId="2FE6724C"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7</w:t>
            </w:r>
            <w:r>
              <w:rPr>
                <w:rFonts w:eastAsia="Times New Roman" w:cs="Calibri"/>
                <w:color w:val="000000"/>
                <w:sz w:val="18"/>
                <w:szCs w:val="18"/>
                <w:lang w:eastAsia="en-AU"/>
              </w:rPr>
              <w:t>,797</w:t>
            </w:r>
            <w:r w:rsidRPr="007F73E8">
              <w:rPr>
                <w:rFonts w:eastAsia="Times New Roman" w:cs="Calibri"/>
                <w:color w:val="000000"/>
                <w:sz w:val="18"/>
                <w:szCs w:val="18"/>
                <w:lang w:eastAsia="en-AU"/>
              </w:rPr>
              <w:t xml:space="preserve"> (93.</w:t>
            </w:r>
            <w:r>
              <w:rPr>
                <w:rFonts w:eastAsia="Times New Roman" w:cs="Calibri"/>
                <w:color w:val="000000"/>
                <w:sz w:val="18"/>
                <w:szCs w:val="18"/>
                <w:lang w:eastAsia="en-AU"/>
              </w:rPr>
              <w:t>5</w:t>
            </w:r>
            <w:r w:rsidRPr="007F73E8">
              <w:rPr>
                <w:rFonts w:eastAsia="Times New Roman" w:cs="Calibri"/>
                <w:color w:val="000000"/>
                <w:sz w:val="18"/>
                <w:szCs w:val="18"/>
                <w:lang w:eastAsia="en-AU"/>
              </w:rPr>
              <w:t>%)</w:t>
            </w:r>
          </w:p>
        </w:tc>
      </w:tr>
      <w:tr w:rsidR="001C19F3" w:rsidRPr="007C4473" w14:paraId="255AFD41" w14:textId="77777777" w:rsidTr="00521305">
        <w:trPr>
          <w:jc w:val="center"/>
        </w:trPr>
        <w:tc>
          <w:tcPr>
            <w:tcW w:w="6232" w:type="dxa"/>
          </w:tcPr>
          <w:p w14:paraId="55A9B441" w14:textId="77777777" w:rsidR="001C19F3" w:rsidRDefault="001C19F3" w:rsidP="00521305">
            <w:pPr>
              <w:spacing w:after="0"/>
              <w:ind w:left="457"/>
              <w:rPr>
                <w:sz w:val="18"/>
                <w:szCs w:val="18"/>
              </w:rPr>
            </w:pPr>
            <w:r>
              <w:rPr>
                <w:color w:val="231F20"/>
                <w:sz w:val="18"/>
              </w:rPr>
              <w:t>Recorded in previous year</w:t>
            </w:r>
          </w:p>
        </w:tc>
        <w:tc>
          <w:tcPr>
            <w:tcW w:w="1849" w:type="dxa"/>
            <w:vAlign w:val="bottom"/>
          </w:tcPr>
          <w:p w14:paraId="6A74FEAC"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6</w:t>
            </w:r>
            <w:r>
              <w:rPr>
                <w:rFonts w:eastAsia="Times New Roman" w:cs="Calibri"/>
                <w:color w:val="000000"/>
                <w:sz w:val="18"/>
                <w:szCs w:val="18"/>
                <w:lang w:eastAsia="en-AU"/>
              </w:rPr>
              <w:t>,400</w:t>
            </w:r>
            <w:r w:rsidRPr="007F73E8">
              <w:rPr>
                <w:rFonts w:eastAsia="Times New Roman" w:cs="Calibri"/>
                <w:color w:val="000000"/>
                <w:sz w:val="18"/>
                <w:szCs w:val="18"/>
                <w:lang w:eastAsia="en-AU"/>
              </w:rPr>
              <w:t xml:space="preserve"> (76.</w:t>
            </w:r>
            <w:r>
              <w:rPr>
                <w:rFonts w:eastAsia="Times New Roman" w:cs="Calibri"/>
                <w:color w:val="000000"/>
                <w:sz w:val="18"/>
                <w:szCs w:val="18"/>
                <w:lang w:eastAsia="en-AU"/>
              </w:rPr>
              <w:t>8</w:t>
            </w:r>
            <w:r w:rsidRPr="007F73E8">
              <w:rPr>
                <w:rFonts w:eastAsia="Times New Roman" w:cs="Calibri"/>
                <w:color w:val="000000"/>
                <w:sz w:val="18"/>
                <w:szCs w:val="18"/>
                <w:lang w:eastAsia="en-AU"/>
              </w:rPr>
              <w:t>%)</w:t>
            </w:r>
          </w:p>
        </w:tc>
      </w:tr>
      <w:tr w:rsidR="001C19F3" w:rsidRPr="007C4473" w14:paraId="40857145" w14:textId="77777777" w:rsidTr="00521305">
        <w:trPr>
          <w:jc w:val="center"/>
        </w:trPr>
        <w:tc>
          <w:tcPr>
            <w:tcW w:w="6232" w:type="dxa"/>
          </w:tcPr>
          <w:p w14:paraId="2EB26840" w14:textId="77777777" w:rsidR="001C19F3" w:rsidRDefault="001C19F3" w:rsidP="00521305">
            <w:pPr>
              <w:spacing w:after="0"/>
              <w:ind w:left="457"/>
              <w:rPr>
                <w:color w:val="231F20"/>
                <w:sz w:val="18"/>
              </w:rPr>
            </w:pPr>
            <w:r>
              <w:rPr>
                <w:color w:val="231F20"/>
                <w:sz w:val="18"/>
              </w:rPr>
              <w:t>Recorded in previous 6 months</w:t>
            </w:r>
          </w:p>
        </w:tc>
        <w:tc>
          <w:tcPr>
            <w:tcW w:w="1849" w:type="dxa"/>
            <w:vAlign w:val="bottom"/>
          </w:tcPr>
          <w:p w14:paraId="0D563D97"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4</w:t>
            </w:r>
            <w:r>
              <w:rPr>
                <w:rFonts w:eastAsia="Times New Roman" w:cs="Calibri"/>
                <w:color w:val="000000"/>
                <w:sz w:val="18"/>
                <w:szCs w:val="18"/>
                <w:lang w:eastAsia="en-AU"/>
              </w:rPr>
              <w:t>,538</w:t>
            </w:r>
            <w:r w:rsidRPr="007F73E8">
              <w:rPr>
                <w:rFonts w:eastAsia="Times New Roman" w:cs="Calibri"/>
                <w:color w:val="000000"/>
                <w:sz w:val="18"/>
                <w:szCs w:val="18"/>
                <w:lang w:eastAsia="en-AU"/>
              </w:rPr>
              <w:t xml:space="preserve"> (54.4%)</w:t>
            </w:r>
          </w:p>
        </w:tc>
      </w:tr>
      <w:tr w:rsidR="001C19F3" w:rsidRPr="007C4473" w14:paraId="18C3A59E" w14:textId="77777777" w:rsidTr="00521305">
        <w:trPr>
          <w:jc w:val="center"/>
        </w:trPr>
        <w:tc>
          <w:tcPr>
            <w:tcW w:w="6232" w:type="dxa"/>
          </w:tcPr>
          <w:p w14:paraId="5A572C5F" w14:textId="77777777" w:rsidR="001C19F3" w:rsidRPr="00783A8A" w:rsidRDefault="001C19F3" w:rsidP="00521305">
            <w:pPr>
              <w:spacing w:after="0"/>
              <w:rPr>
                <w:b/>
                <w:sz w:val="18"/>
                <w:szCs w:val="18"/>
              </w:rPr>
            </w:pPr>
            <w:r>
              <w:rPr>
                <w:b/>
                <w:sz w:val="18"/>
                <w:szCs w:val="18"/>
              </w:rPr>
              <w:t>Kidney function</w:t>
            </w:r>
            <w:r>
              <w:rPr>
                <w:b/>
                <w:sz w:val="22"/>
                <w:vertAlign w:val="superscript"/>
              </w:rPr>
              <w:t>5</w:t>
            </w:r>
          </w:p>
        </w:tc>
        <w:tc>
          <w:tcPr>
            <w:tcW w:w="1849" w:type="dxa"/>
          </w:tcPr>
          <w:p w14:paraId="5D4E1D37" w14:textId="77777777" w:rsidR="001C19F3" w:rsidRPr="007F73E8" w:rsidRDefault="001C19F3" w:rsidP="00521305">
            <w:pPr>
              <w:spacing w:after="0"/>
              <w:jc w:val="center"/>
              <w:rPr>
                <w:sz w:val="18"/>
                <w:szCs w:val="18"/>
              </w:rPr>
            </w:pPr>
          </w:p>
        </w:tc>
      </w:tr>
      <w:tr w:rsidR="001C19F3" w:rsidRPr="007C4473" w14:paraId="5FCD7CAD" w14:textId="77777777" w:rsidTr="00521305">
        <w:trPr>
          <w:jc w:val="center"/>
        </w:trPr>
        <w:tc>
          <w:tcPr>
            <w:tcW w:w="6232" w:type="dxa"/>
          </w:tcPr>
          <w:p w14:paraId="24B561B0" w14:textId="77777777" w:rsidR="001C19F3" w:rsidRDefault="001C19F3" w:rsidP="00521305">
            <w:pPr>
              <w:spacing w:after="0"/>
              <w:ind w:left="457"/>
              <w:rPr>
                <w:sz w:val="18"/>
                <w:szCs w:val="18"/>
              </w:rPr>
            </w:pPr>
            <w:r>
              <w:rPr>
                <w:color w:val="231F20"/>
                <w:sz w:val="18"/>
              </w:rPr>
              <w:t>Ever recorded</w:t>
            </w:r>
          </w:p>
        </w:tc>
        <w:tc>
          <w:tcPr>
            <w:tcW w:w="1849" w:type="dxa"/>
            <w:vAlign w:val="bottom"/>
          </w:tcPr>
          <w:p w14:paraId="5D7154C2"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7</w:t>
            </w:r>
            <w:r>
              <w:rPr>
                <w:rFonts w:eastAsia="Times New Roman" w:cs="Calibri"/>
                <w:color w:val="000000"/>
                <w:sz w:val="18"/>
                <w:szCs w:val="18"/>
                <w:lang w:eastAsia="en-AU"/>
              </w:rPr>
              <w:t>,921</w:t>
            </w:r>
            <w:r w:rsidRPr="007F73E8">
              <w:rPr>
                <w:rFonts w:eastAsia="Times New Roman" w:cs="Calibri"/>
                <w:color w:val="000000"/>
                <w:sz w:val="18"/>
                <w:szCs w:val="18"/>
                <w:lang w:eastAsia="en-AU"/>
              </w:rPr>
              <w:t xml:space="preserve"> (9</w:t>
            </w:r>
            <w:r>
              <w:rPr>
                <w:rFonts w:eastAsia="Times New Roman" w:cs="Calibri"/>
                <w:color w:val="000000"/>
                <w:sz w:val="18"/>
                <w:szCs w:val="18"/>
                <w:lang w:eastAsia="en-AU"/>
              </w:rPr>
              <w:t>5.0</w:t>
            </w:r>
            <w:r w:rsidRPr="007F73E8">
              <w:rPr>
                <w:rFonts w:eastAsia="Times New Roman" w:cs="Calibri"/>
                <w:color w:val="000000"/>
                <w:sz w:val="18"/>
                <w:szCs w:val="18"/>
                <w:lang w:eastAsia="en-AU"/>
              </w:rPr>
              <w:t>%)</w:t>
            </w:r>
          </w:p>
        </w:tc>
      </w:tr>
      <w:tr w:rsidR="001C19F3" w:rsidRPr="007C4473" w14:paraId="33E266A4" w14:textId="77777777" w:rsidTr="00521305">
        <w:trPr>
          <w:jc w:val="center"/>
        </w:trPr>
        <w:tc>
          <w:tcPr>
            <w:tcW w:w="6232" w:type="dxa"/>
          </w:tcPr>
          <w:p w14:paraId="6934EFC2" w14:textId="77777777" w:rsidR="001C19F3" w:rsidRDefault="001C19F3" w:rsidP="00521305">
            <w:pPr>
              <w:spacing w:after="0"/>
              <w:ind w:left="457"/>
              <w:rPr>
                <w:sz w:val="18"/>
                <w:szCs w:val="18"/>
              </w:rPr>
            </w:pPr>
            <w:r>
              <w:rPr>
                <w:color w:val="231F20"/>
                <w:sz w:val="18"/>
              </w:rPr>
              <w:t>Recorded in previous year</w:t>
            </w:r>
          </w:p>
        </w:tc>
        <w:tc>
          <w:tcPr>
            <w:tcW w:w="1849" w:type="dxa"/>
            <w:vAlign w:val="bottom"/>
          </w:tcPr>
          <w:p w14:paraId="2EDEC96F"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6</w:t>
            </w:r>
            <w:r>
              <w:rPr>
                <w:rFonts w:eastAsia="Times New Roman" w:cs="Calibri"/>
                <w:color w:val="000000"/>
                <w:sz w:val="18"/>
                <w:szCs w:val="18"/>
                <w:lang w:eastAsia="en-AU"/>
              </w:rPr>
              <w:t>,963</w:t>
            </w:r>
            <w:r w:rsidRPr="007F73E8">
              <w:rPr>
                <w:rFonts w:eastAsia="Times New Roman" w:cs="Calibri"/>
                <w:color w:val="000000"/>
                <w:sz w:val="18"/>
                <w:szCs w:val="18"/>
                <w:lang w:eastAsia="en-AU"/>
              </w:rPr>
              <w:t xml:space="preserve"> (83.</w:t>
            </w:r>
            <w:r>
              <w:rPr>
                <w:rFonts w:eastAsia="Times New Roman" w:cs="Calibri"/>
                <w:color w:val="000000"/>
                <w:sz w:val="18"/>
                <w:szCs w:val="18"/>
                <w:lang w:eastAsia="en-AU"/>
              </w:rPr>
              <w:t>5</w:t>
            </w:r>
            <w:r w:rsidRPr="007F73E8">
              <w:rPr>
                <w:rFonts w:eastAsia="Times New Roman" w:cs="Calibri"/>
                <w:color w:val="000000"/>
                <w:sz w:val="18"/>
                <w:szCs w:val="18"/>
                <w:lang w:eastAsia="en-AU"/>
              </w:rPr>
              <w:t>%)</w:t>
            </w:r>
          </w:p>
        </w:tc>
      </w:tr>
      <w:tr w:rsidR="001C19F3" w:rsidRPr="007C4473" w14:paraId="2C99A9A5" w14:textId="77777777" w:rsidTr="00521305">
        <w:trPr>
          <w:jc w:val="center"/>
        </w:trPr>
        <w:tc>
          <w:tcPr>
            <w:tcW w:w="6232" w:type="dxa"/>
          </w:tcPr>
          <w:p w14:paraId="0F8867B7" w14:textId="77777777" w:rsidR="001C19F3" w:rsidRDefault="001C19F3" w:rsidP="00521305">
            <w:pPr>
              <w:spacing w:after="0"/>
              <w:ind w:left="457"/>
              <w:rPr>
                <w:color w:val="231F20"/>
                <w:sz w:val="18"/>
              </w:rPr>
            </w:pPr>
            <w:r>
              <w:rPr>
                <w:color w:val="231F20"/>
                <w:sz w:val="18"/>
              </w:rPr>
              <w:t>Recorded in previous 6 months</w:t>
            </w:r>
          </w:p>
        </w:tc>
        <w:tc>
          <w:tcPr>
            <w:tcW w:w="1849" w:type="dxa"/>
            <w:vAlign w:val="bottom"/>
          </w:tcPr>
          <w:p w14:paraId="7EFF8B8D" w14:textId="77777777" w:rsidR="001C19F3" w:rsidRPr="007F73E8" w:rsidRDefault="001C19F3" w:rsidP="00521305">
            <w:pPr>
              <w:spacing w:after="0"/>
              <w:jc w:val="center"/>
              <w:rPr>
                <w:sz w:val="18"/>
                <w:szCs w:val="18"/>
              </w:rPr>
            </w:pPr>
            <w:r w:rsidRPr="007F73E8">
              <w:rPr>
                <w:rFonts w:eastAsia="Times New Roman" w:cs="Calibri"/>
                <w:color w:val="000000"/>
                <w:sz w:val="18"/>
                <w:szCs w:val="18"/>
                <w:lang w:eastAsia="en-AU"/>
              </w:rPr>
              <w:t>5</w:t>
            </w:r>
            <w:r>
              <w:rPr>
                <w:rFonts w:eastAsia="Times New Roman" w:cs="Calibri"/>
                <w:color w:val="000000"/>
                <w:sz w:val="18"/>
                <w:szCs w:val="18"/>
                <w:lang w:eastAsia="en-AU"/>
              </w:rPr>
              <w:t>,390</w:t>
            </w:r>
            <w:r w:rsidRPr="007F73E8">
              <w:rPr>
                <w:rFonts w:eastAsia="Times New Roman" w:cs="Calibri"/>
                <w:color w:val="000000"/>
                <w:sz w:val="18"/>
                <w:szCs w:val="18"/>
                <w:lang w:eastAsia="en-AU"/>
              </w:rPr>
              <w:t xml:space="preserve"> (64.</w:t>
            </w:r>
            <w:r>
              <w:rPr>
                <w:rFonts w:eastAsia="Times New Roman" w:cs="Calibri"/>
                <w:color w:val="000000"/>
                <w:sz w:val="18"/>
                <w:szCs w:val="18"/>
                <w:lang w:eastAsia="en-AU"/>
              </w:rPr>
              <w:t>7</w:t>
            </w:r>
            <w:r w:rsidRPr="007F73E8">
              <w:rPr>
                <w:rFonts w:eastAsia="Times New Roman" w:cs="Calibri"/>
                <w:color w:val="000000"/>
                <w:sz w:val="18"/>
                <w:szCs w:val="18"/>
                <w:lang w:eastAsia="en-AU"/>
              </w:rPr>
              <w:t>%)</w:t>
            </w:r>
          </w:p>
        </w:tc>
      </w:tr>
    </w:tbl>
    <w:p w14:paraId="1E0DD784" w14:textId="77777777" w:rsidR="001C19F3" w:rsidRPr="0081139F" w:rsidRDefault="001C19F3" w:rsidP="001C19F3">
      <w:pPr>
        <w:pStyle w:val="Chartortablefootnote"/>
        <w:rPr>
          <w:color w:val="231F20"/>
        </w:rPr>
      </w:pPr>
      <w:r w:rsidRPr="0081139F">
        <w:rPr>
          <w:vertAlign w:val="superscript"/>
        </w:rPr>
        <w:t>1</w:t>
      </w:r>
      <w:r w:rsidRPr="0081139F">
        <w:t>Percentages were calculated for 8</w:t>
      </w:r>
      <w:r>
        <w:t>,336</w:t>
      </w:r>
      <w:r w:rsidRPr="0081139F">
        <w:t xml:space="preserve"> HCH patients (</w:t>
      </w:r>
      <w:r>
        <w:t>8,077</w:t>
      </w:r>
      <w:r w:rsidRPr="0081139F">
        <w:t xml:space="preserve"> and 259 patients identified in Pen CS and POLAR extracts respectively), unless indicated otherwise</w:t>
      </w:r>
      <w:r>
        <w:t xml:space="preserve">; </w:t>
      </w:r>
      <w:r w:rsidRPr="0081139F">
        <w:rPr>
          <w:color w:val="231F20"/>
          <w:vertAlign w:val="superscript"/>
        </w:rPr>
        <w:t>2</w:t>
      </w:r>
      <w:r w:rsidRPr="0081139F">
        <w:rPr>
          <w:color w:val="231F20"/>
        </w:rPr>
        <w:t>Systolic or diastolic blood pressure</w:t>
      </w:r>
      <w:r>
        <w:rPr>
          <w:color w:val="231F20"/>
        </w:rPr>
        <w:t xml:space="preserve">; </w:t>
      </w:r>
      <w:r w:rsidRPr="0081139F">
        <w:rPr>
          <w:color w:val="231F20"/>
          <w:vertAlign w:val="superscript"/>
        </w:rPr>
        <w:t>3</w:t>
      </w:r>
      <w:r w:rsidRPr="0081139F">
        <w:rPr>
          <w:color w:val="231F20"/>
        </w:rPr>
        <w:t>When derived variables relating to patient measurements were absent from entire Pen CS extracts, HCH patients in the practices with missing data were excluded from the calculation i.e. the denominator was less than 8</w:t>
      </w:r>
      <w:r>
        <w:rPr>
          <w:color w:val="231F20"/>
        </w:rPr>
        <w:t xml:space="preserve">,336; </w:t>
      </w:r>
      <w:r w:rsidRPr="0081139F">
        <w:rPr>
          <w:color w:val="231F20"/>
          <w:vertAlign w:val="superscript"/>
        </w:rPr>
        <w:t>4</w:t>
      </w:r>
      <w:r w:rsidRPr="0081139F">
        <w:rPr>
          <w:color w:val="231F20"/>
        </w:rPr>
        <w:t>Total cholesterol, HDL, LDL or triglycerides</w:t>
      </w:r>
      <w:r>
        <w:rPr>
          <w:color w:val="231F20"/>
        </w:rPr>
        <w:t xml:space="preserve">; </w:t>
      </w:r>
      <w:r w:rsidRPr="0081139F">
        <w:rPr>
          <w:color w:val="231F20"/>
          <w:vertAlign w:val="superscript"/>
        </w:rPr>
        <w:t>5</w:t>
      </w:r>
      <w:r w:rsidRPr="0081139F">
        <w:rPr>
          <w:color w:val="231F20"/>
        </w:rPr>
        <w:t>eGFR, serum creatinine, urinary creatinine or albumin-creatinine ratio.</w:t>
      </w:r>
    </w:p>
    <w:p w14:paraId="14119BC0" w14:textId="77777777" w:rsidR="001C19F3" w:rsidRDefault="001C19F3" w:rsidP="001C19F3">
      <w:r w:rsidRPr="00686E99">
        <w:fldChar w:fldCharType="begin"/>
      </w:r>
      <w:r w:rsidRPr="00686E99">
        <w:instrText xml:space="preserve"> REF _Ref13144250 \h  \* MERGEFORMAT </w:instrText>
      </w:r>
      <w:r w:rsidRPr="00686E99">
        <w:fldChar w:fldCharType="separate"/>
      </w:r>
      <w:r w:rsidRPr="008F2809">
        <w:rPr>
          <w:szCs w:val="20"/>
        </w:rPr>
        <w:t xml:space="preserve">Table </w:t>
      </w:r>
      <w:r w:rsidRPr="008F2809">
        <w:rPr>
          <w:noProof/>
          <w:szCs w:val="20"/>
        </w:rPr>
        <w:t>21</w:t>
      </w:r>
      <w:r w:rsidRPr="00686E99">
        <w:fldChar w:fldCharType="end"/>
      </w:r>
      <w:r>
        <w:t xml:space="preserve"> </w:t>
      </w:r>
      <w:r w:rsidRPr="00686E99">
        <w:t>presents</w:t>
      </w:r>
      <w:r>
        <w:t xml:space="preserve"> completion and timeliness of HbA1c measurement in patients with a diagnosis of diabetes (type 1 or type 2) and s</w:t>
      </w:r>
      <w:r w:rsidRPr="00686E99">
        <w:t xml:space="preserve">pirometry </w:t>
      </w:r>
      <w:r>
        <w:t xml:space="preserve">in patients with a diagnosis of asthma or COPD. The timeline reflects </w:t>
      </w:r>
      <w:r w:rsidRPr="005E4937">
        <w:t xml:space="preserve">whether </w:t>
      </w:r>
      <w:r>
        <w:t xml:space="preserve">a test has ever been recorded, was recorded in </w:t>
      </w:r>
      <w:r w:rsidRPr="005E4937">
        <w:t>the previous year</w:t>
      </w:r>
      <w:r>
        <w:t xml:space="preserve"> (July 2018 to June 2019) or in the last six months (Jan 2019 to June 2019).</w:t>
      </w:r>
    </w:p>
    <w:p w14:paraId="0290E274" w14:textId="77777777" w:rsidR="001C19F3" w:rsidRDefault="001C19F3" w:rsidP="001C19F3">
      <w:pPr>
        <w:spacing w:after="0"/>
        <w:jc w:val="center"/>
        <w:rPr>
          <w:b/>
          <w:szCs w:val="20"/>
        </w:rPr>
      </w:pPr>
      <w:bookmarkStart w:id="523" w:name="_Ref13144250"/>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21</w:t>
      </w:r>
      <w:r w:rsidRPr="00E76010">
        <w:rPr>
          <w:szCs w:val="20"/>
        </w:rPr>
        <w:fldChar w:fldCharType="end"/>
      </w:r>
      <w:bookmarkEnd w:id="523"/>
      <w:r w:rsidRPr="00E76010">
        <w:rPr>
          <w:b/>
          <w:szCs w:val="20"/>
        </w:rPr>
        <w:t xml:space="preserve"> –</w:t>
      </w:r>
      <w:r>
        <w:rPr>
          <w:b/>
          <w:szCs w:val="20"/>
        </w:rPr>
        <w:t xml:space="preserve"> Recording of HbA1c and spirometry tests for HCH patients and whether a test was recorded in previous year (</w:t>
      </w:r>
      <w:r w:rsidRPr="00677EF5">
        <w:rPr>
          <w:b/>
          <w:szCs w:val="20"/>
        </w:rPr>
        <w:t>J</w:t>
      </w:r>
      <w:r>
        <w:rPr>
          <w:b/>
          <w:szCs w:val="20"/>
        </w:rPr>
        <w:t xml:space="preserve">uly </w:t>
      </w:r>
      <w:r w:rsidRPr="00677EF5">
        <w:rPr>
          <w:b/>
          <w:szCs w:val="20"/>
        </w:rPr>
        <w:t>201</w:t>
      </w:r>
      <w:r>
        <w:rPr>
          <w:b/>
          <w:szCs w:val="20"/>
        </w:rPr>
        <w:t>8-</w:t>
      </w:r>
      <w:r w:rsidRPr="00677EF5">
        <w:rPr>
          <w:b/>
          <w:szCs w:val="20"/>
        </w:rPr>
        <w:t>June 2019</w:t>
      </w:r>
      <w:r>
        <w:rPr>
          <w:b/>
          <w:szCs w:val="20"/>
        </w:rPr>
        <w:t xml:space="preserve">) and previous six months </w:t>
      </w:r>
      <w:r w:rsidRPr="00677EF5">
        <w:rPr>
          <w:b/>
          <w:szCs w:val="20"/>
        </w:rPr>
        <w:t>(J</w:t>
      </w:r>
      <w:r>
        <w:rPr>
          <w:b/>
          <w:szCs w:val="20"/>
        </w:rPr>
        <w:t xml:space="preserve">an-June </w:t>
      </w:r>
      <w:r w:rsidRPr="00677EF5">
        <w:rPr>
          <w:b/>
          <w:szCs w:val="20"/>
        </w:rPr>
        <w:t>2019)</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091"/>
        <w:gridCol w:w="1984"/>
      </w:tblGrid>
      <w:tr w:rsidR="001C19F3" w:rsidRPr="007C4473" w14:paraId="419232B2" w14:textId="77777777" w:rsidTr="00521305">
        <w:trPr>
          <w:trHeight w:val="340"/>
          <w:tblHeader/>
          <w:jc w:val="center"/>
        </w:trPr>
        <w:tc>
          <w:tcPr>
            <w:tcW w:w="6091" w:type="dxa"/>
            <w:shd w:val="clear" w:color="auto" w:fill="003D79"/>
          </w:tcPr>
          <w:p w14:paraId="0B4C3D7B" w14:textId="77777777" w:rsidR="001C19F3" w:rsidRPr="007C4473" w:rsidRDefault="001C19F3" w:rsidP="00521305">
            <w:pPr>
              <w:spacing w:after="0" w:line="240" w:lineRule="auto"/>
              <w:rPr>
                <w:b/>
                <w:sz w:val="18"/>
                <w:szCs w:val="18"/>
              </w:rPr>
            </w:pPr>
          </w:p>
        </w:tc>
        <w:tc>
          <w:tcPr>
            <w:tcW w:w="1984" w:type="dxa"/>
            <w:shd w:val="clear" w:color="auto" w:fill="003D79"/>
            <w:vAlign w:val="center"/>
          </w:tcPr>
          <w:p w14:paraId="06DF5A27" w14:textId="77777777" w:rsidR="001C19F3" w:rsidRPr="007C4473" w:rsidRDefault="001C19F3" w:rsidP="00521305">
            <w:pPr>
              <w:spacing w:after="0" w:line="240" w:lineRule="auto"/>
              <w:jc w:val="center"/>
              <w:rPr>
                <w:b/>
                <w:sz w:val="18"/>
                <w:szCs w:val="18"/>
              </w:rPr>
            </w:pPr>
            <w:r>
              <w:rPr>
                <w:b/>
                <w:sz w:val="18"/>
                <w:szCs w:val="18"/>
              </w:rPr>
              <w:t>Number (%) of patients</w:t>
            </w:r>
          </w:p>
        </w:tc>
      </w:tr>
      <w:tr w:rsidR="001C19F3" w:rsidRPr="007C4473" w14:paraId="37416C2E" w14:textId="77777777" w:rsidTr="00521305">
        <w:trPr>
          <w:jc w:val="center"/>
        </w:trPr>
        <w:tc>
          <w:tcPr>
            <w:tcW w:w="6091" w:type="dxa"/>
          </w:tcPr>
          <w:p w14:paraId="20AFAB83" w14:textId="77777777" w:rsidR="001C19F3" w:rsidRPr="00783A8A" w:rsidRDefault="001C19F3" w:rsidP="00521305">
            <w:pPr>
              <w:spacing w:after="0"/>
              <w:rPr>
                <w:b/>
                <w:sz w:val="18"/>
                <w:szCs w:val="18"/>
              </w:rPr>
            </w:pPr>
            <w:r>
              <w:rPr>
                <w:b/>
                <w:sz w:val="18"/>
                <w:szCs w:val="18"/>
              </w:rPr>
              <w:t>HbA1c</w:t>
            </w:r>
            <w:r w:rsidRPr="00836337">
              <w:rPr>
                <w:b/>
                <w:sz w:val="18"/>
                <w:szCs w:val="18"/>
                <w:vertAlign w:val="superscript"/>
              </w:rPr>
              <w:t>1</w:t>
            </w:r>
          </w:p>
        </w:tc>
        <w:tc>
          <w:tcPr>
            <w:tcW w:w="1984" w:type="dxa"/>
          </w:tcPr>
          <w:p w14:paraId="0E53932A" w14:textId="77777777" w:rsidR="001C19F3" w:rsidRDefault="001C19F3" w:rsidP="00521305">
            <w:pPr>
              <w:spacing w:after="0"/>
              <w:rPr>
                <w:sz w:val="18"/>
                <w:szCs w:val="18"/>
              </w:rPr>
            </w:pPr>
          </w:p>
        </w:tc>
      </w:tr>
      <w:tr w:rsidR="001C19F3" w:rsidRPr="00972D60" w14:paraId="478609B6" w14:textId="77777777" w:rsidTr="00521305">
        <w:trPr>
          <w:jc w:val="center"/>
        </w:trPr>
        <w:tc>
          <w:tcPr>
            <w:tcW w:w="6091" w:type="dxa"/>
          </w:tcPr>
          <w:p w14:paraId="63DFE3D8" w14:textId="77777777" w:rsidR="001C19F3" w:rsidRPr="00972D60" w:rsidRDefault="001C19F3" w:rsidP="00521305">
            <w:pPr>
              <w:spacing w:after="0"/>
              <w:ind w:left="457"/>
              <w:rPr>
                <w:color w:val="231F20"/>
                <w:sz w:val="18"/>
              </w:rPr>
            </w:pPr>
            <w:r w:rsidRPr="00972D60">
              <w:rPr>
                <w:sz w:val="18"/>
                <w:szCs w:val="18"/>
              </w:rPr>
              <w:t xml:space="preserve">Number of </w:t>
            </w:r>
            <w:r>
              <w:rPr>
                <w:sz w:val="18"/>
                <w:szCs w:val="18"/>
              </w:rPr>
              <w:t xml:space="preserve">HCH </w:t>
            </w:r>
            <w:r w:rsidRPr="00972D60">
              <w:rPr>
                <w:sz w:val="18"/>
                <w:szCs w:val="18"/>
              </w:rPr>
              <w:t>patients with diabetes</w:t>
            </w:r>
            <w:r>
              <w:rPr>
                <w:sz w:val="18"/>
                <w:szCs w:val="18"/>
              </w:rPr>
              <w:t xml:space="preserve"> (Type 1 or 2)</w:t>
            </w:r>
          </w:p>
        </w:tc>
        <w:tc>
          <w:tcPr>
            <w:tcW w:w="1984" w:type="dxa"/>
          </w:tcPr>
          <w:p w14:paraId="1F34CC15" w14:textId="77777777" w:rsidR="001C19F3" w:rsidRPr="00972D60" w:rsidRDefault="001C19F3" w:rsidP="00521305">
            <w:pPr>
              <w:spacing w:after="0"/>
              <w:jc w:val="center"/>
              <w:rPr>
                <w:sz w:val="18"/>
                <w:szCs w:val="18"/>
              </w:rPr>
            </w:pPr>
            <w:r w:rsidRPr="00AB0189">
              <w:rPr>
                <w:rFonts w:eastAsia="Times New Roman" w:cs="Calibri"/>
                <w:color w:val="000000"/>
                <w:sz w:val="18"/>
                <w:szCs w:val="18"/>
                <w:lang w:eastAsia="en-AU"/>
              </w:rPr>
              <w:t>2</w:t>
            </w:r>
            <w:r>
              <w:rPr>
                <w:rFonts w:eastAsia="Times New Roman" w:cs="Calibri"/>
                <w:color w:val="000000"/>
                <w:sz w:val="18"/>
                <w:szCs w:val="18"/>
                <w:lang w:eastAsia="en-AU"/>
              </w:rPr>
              <w:t>,630</w:t>
            </w:r>
          </w:p>
        </w:tc>
      </w:tr>
      <w:tr w:rsidR="001C19F3" w:rsidRPr="007C4473" w14:paraId="378344E4" w14:textId="77777777" w:rsidTr="00521305">
        <w:trPr>
          <w:jc w:val="center"/>
        </w:trPr>
        <w:tc>
          <w:tcPr>
            <w:tcW w:w="6091" w:type="dxa"/>
          </w:tcPr>
          <w:p w14:paraId="7C2F5AEA" w14:textId="77777777" w:rsidR="001C19F3" w:rsidRDefault="001C19F3" w:rsidP="00521305">
            <w:pPr>
              <w:spacing w:after="0"/>
              <w:ind w:left="457"/>
              <w:rPr>
                <w:sz w:val="18"/>
                <w:szCs w:val="18"/>
              </w:rPr>
            </w:pPr>
            <w:r>
              <w:rPr>
                <w:color w:val="231F20"/>
                <w:sz w:val="18"/>
              </w:rPr>
              <w:t>HbA1c ever recorded</w:t>
            </w:r>
          </w:p>
        </w:tc>
        <w:tc>
          <w:tcPr>
            <w:tcW w:w="1984" w:type="dxa"/>
            <w:vAlign w:val="bottom"/>
          </w:tcPr>
          <w:p w14:paraId="3FBFAE01" w14:textId="77777777" w:rsidR="001C19F3" w:rsidRDefault="001C19F3" w:rsidP="00521305">
            <w:pPr>
              <w:spacing w:after="0"/>
              <w:jc w:val="center"/>
              <w:rPr>
                <w:sz w:val="18"/>
                <w:szCs w:val="18"/>
              </w:rPr>
            </w:pPr>
            <w:r w:rsidRPr="00AB0189">
              <w:rPr>
                <w:rFonts w:eastAsia="Times New Roman" w:cs="Calibri"/>
                <w:color w:val="000000"/>
                <w:sz w:val="18"/>
                <w:szCs w:val="18"/>
                <w:lang w:eastAsia="en-AU"/>
              </w:rPr>
              <w:t>2</w:t>
            </w:r>
            <w:r>
              <w:rPr>
                <w:rFonts w:eastAsia="Times New Roman" w:cs="Calibri"/>
                <w:color w:val="000000"/>
                <w:sz w:val="18"/>
                <w:szCs w:val="18"/>
                <w:lang w:eastAsia="en-AU"/>
              </w:rPr>
              <w:t>,606</w:t>
            </w:r>
            <w:r w:rsidRPr="00AB0189">
              <w:rPr>
                <w:rFonts w:eastAsia="Times New Roman" w:cs="Calibri"/>
                <w:color w:val="000000"/>
                <w:sz w:val="18"/>
                <w:szCs w:val="18"/>
                <w:lang w:eastAsia="en-AU"/>
              </w:rPr>
              <w:t xml:space="preserve"> (99.1%)</w:t>
            </w:r>
          </w:p>
        </w:tc>
      </w:tr>
      <w:tr w:rsidR="001C19F3" w:rsidRPr="007C4473" w14:paraId="115F525C" w14:textId="77777777" w:rsidTr="00521305">
        <w:trPr>
          <w:jc w:val="center"/>
        </w:trPr>
        <w:tc>
          <w:tcPr>
            <w:tcW w:w="6091" w:type="dxa"/>
          </w:tcPr>
          <w:p w14:paraId="41F6A137" w14:textId="77777777" w:rsidR="001C19F3" w:rsidRDefault="001C19F3" w:rsidP="00521305">
            <w:pPr>
              <w:spacing w:after="0"/>
              <w:ind w:left="457"/>
              <w:rPr>
                <w:sz w:val="18"/>
                <w:szCs w:val="18"/>
              </w:rPr>
            </w:pPr>
            <w:r>
              <w:rPr>
                <w:color w:val="231F20"/>
                <w:sz w:val="18"/>
              </w:rPr>
              <w:t>HbA1c recorded in previous year</w:t>
            </w:r>
          </w:p>
        </w:tc>
        <w:tc>
          <w:tcPr>
            <w:tcW w:w="1984" w:type="dxa"/>
            <w:vAlign w:val="bottom"/>
          </w:tcPr>
          <w:p w14:paraId="2D939246" w14:textId="77777777" w:rsidR="001C19F3" w:rsidRDefault="001C19F3" w:rsidP="00521305">
            <w:pPr>
              <w:spacing w:after="0"/>
              <w:jc w:val="center"/>
              <w:rPr>
                <w:sz w:val="18"/>
                <w:szCs w:val="18"/>
              </w:rPr>
            </w:pPr>
            <w:r w:rsidRPr="00AB0189">
              <w:rPr>
                <w:rFonts w:eastAsia="Times New Roman" w:cs="Calibri"/>
                <w:color w:val="000000"/>
                <w:sz w:val="18"/>
                <w:szCs w:val="18"/>
                <w:lang w:eastAsia="en-AU"/>
              </w:rPr>
              <w:t>2</w:t>
            </w:r>
            <w:r>
              <w:rPr>
                <w:rFonts w:eastAsia="Times New Roman" w:cs="Calibri"/>
                <w:color w:val="000000"/>
                <w:sz w:val="18"/>
                <w:szCs w:val="18"/>
                <w:lang w:eastAsia="en-AU"/>
              </w:rPr>
              <w:t>,424</w:t>
            </w:r>
            <w:r w:rsidRPr="00AB0189">
              <w:rPr>
                <w:rFonts w:eastAsia="Times New Roman" w:cs="Calibri"/>
                <w:color w:val="000000"/>
                <w:sz w:val="18"/>
                <w:szCs w:val="18"/>
                <w:lang w:eastAsia="en-AU"/>
              </w:rPr>
              <w:t xml:space="preserve"> (92.</w:t>
            </w:r>
            <w:r>
              <w:rPr>
                <w:rFonts w:eastAsia="Times New Roman" w:cs="Calibri"/>
                <w:color w:val="000000"/>
                <w:sz w:val="18"/>
                <w:szCs w:val="18"/>
                <w:lang w:eastAsia="en-AU"/>
              </w:rPr>
              <w:t>2</w:t>
            </w:r>
            <w:r w:rsidRPr="00AB0189">
              <w:rPr>
                <w:rFonts w:eastAsia="Times New Roman" w:cs="Calibri"/>
                <w:color w:val="000000"/>
                <w:sz w:val="18"/>
                <w:szCs w:val="18"/>
                <w:lang w:eastAsia="en-AU"/>
              </w:rPr>
              <w:t>%)</w:t>
            </w:r>
          </w:p>
        </w:tc>
      </w:tr>
      <w:tr w:rsidR="001C19F3" w:rsidRPr="007C4473" w14:paraId="0894B19A" w14:textId="77777777" w:rsidTr="00521305">
        <w:trPr>
          <w:jc w:val="center"/>
        </w:trPr>
        <w:tc>
          <w:tcPr>
            <w:tcW w:w="6091" w:type="dxa"/>
          </w:tcPr>
          <w:p w14:paraId="10E75F7A" w14:textId="77777777" w:rsidR="001C19F3" w:rsidRDefault="001C19F3" w:rsidP="00521305">
            <w:pPr>
              <w:spacing w:after="0"/>
              <w:ind w:left="457"/>
              <w:rPr>
                <w:color w:val="231F20"/>
                <w:sz w:val="18"/>
              </w:rPr>
            </w:pPr>
            <w:r>
              <w:rPr>
                <w:color w:val="231F20"/>
                <w:sz w:val="18"/>
              </w:rPr>
              <w:t>HbA1c recorded in previous 6 months</w:t>
            </w:r>
          </w:p>
        </w:tc>
        <w:tc>
          <w:tcPr>
            <w:tcW w:w="1984" w:type="dxa"/>
            <w:vAlign w:val="bottom"/>
          </w:tcPr>
          <w:p w14:paraId="17468CCF" w14:textId="77777777" w:rsidR="001C19F3" w:rsidRDefault="001C19F3" w:rsidP="00521305">
            <w:pPr>
              <w:spacing w:after="0"/>
              <w:jc w:val="center"/>
              <w:rPr>
                <w:sz w:val="18"/>
                <w:szCs w:val="18"/>
              </w:rPr>
            </w:pPr>
            <w:r>
              <w:rPr>
                <w:rFonts w:eastAsia="Times New Roman" w:cs="Calibri"/>
                <w:color w:val="000000"/>
                <w:sz w:val="18"/>
                <w:szCs w:val="18"/>
                <w:lang w:eastAsia="en-AU"/>
              </w:rPr>
              <w:t>2,024</w:t>
            </w:r>
            <w:r w:rsidRPr="00AB0189">
              <w:rPr>
                <w:rFonts w:eastAsia="Times New Roman" w:cs="Calibri"/>
                <w:color w:val="000000"/>
                <w:sz w:val="18"/>
                <w:szCs w:val="18"/>
                <w:lang w:eastAsia="en-AU"/>
              </w:rPr>
              <w:t xml:space="preserve"> (77.</w:t>
            </w:r>
            <w:r>
              <w:rPr>
                <w:rFonts w:eastAsia="Times New Roman" w:cs="Calibri"/>
                <w:color w:val="000000"/>
                <w:sz w:val="18"/>
                <w:szCs w:val="18"/>
                <w:lang w:eastAsia="en-AU"/>
              </w:rPr>
              <w:t>0</w:t>
            </w:r>
            <w:r w:rsidRPr="00AB0189">
              <w:rPr>
                <w:rFonts w:eastAsia="Times New Roman" w:cs="Calibri"/>
                <w:color w:val="000000"/>
                <w:sz w:val="18"/>
                <w:szCs w:val="18"/>
                <w:lang w:eastAsia="en-AU"/>
              </w:rPr>
              <w:t>%)</w:t>
            </w:r>
          </w:p>
        </w:tc>
      </w:tr>
      <w:tr w:rsidR="001C19F3" w:rsidRPr="007C4473" w14:paraId="34E3393F" w14:textId="77777777" w:rsidTr="00521305">
        <w:trPr>
          <w:jc w:val="center"/>
        </w:trPr>
        <w:tc>
          <w:tcPr>
            <w:tcW w:w="6091" w:type="dxa"/>
          </w:tcPr>
          <w:p w14:paraId="4B6E1099" w14:textId="77777777" w:rsidR="001C19F3" w:rsidRPr="00783A8A" w:rsidRDefault="001C19F3" w:rsidP="00521305">
            <w:pPr>
              <w:spacing w:after="0"/>
              <w:rPr>
                <w:b/>
                <w:sz w:val="18"/>
                <w:szCs w:val="18"/>
              </w:rPr>
            </w:pPr>
            <w:r>
              <w:rPr>
                <w:b/>
                <w:sz w:val="18"/>
                <w:szCs w:val="18"/>
              </w:rPr>
              <w:t>Spirometry</w:t>
            </w:r>
            <w:r w:rsidRPr="00836337">
              <w:rPr>
                <w:b/>
                <w:sz w:val="18"/>
                <w:szCs w:val="18"/>
                <w:vertAlign w:val="superscript"/>
              </w:rPr>
              <w:t>2</w:t>
            </w:r>
          </w:p>
        </w:tc>
        <w:tc>
          <w:tcPr>
            <w:tcW w:w="1984" w:type="dxa"/>
          </w:tcPr>
          <w:p w14:paraId="587FAB80" w14:textId="77777777" w:rsidR="001C19F3" w:rsidRDefault="001C19F3" w:rsidP="00521305">
            <w:pPr>
              <w:spacing w:after="0"/>
              <w:jc w:val="center"/>
              <w:rPr>
                <w:sz w:val="18"/>
                <w:szCs w:val="18"/>
              </w:rPr>
            </w:pPr>
          </w:p>
        </w:tc>
      </w:tr>
      <w:tr w:rsidR="001C19F3" w:rsidRPr="00972D60" w14:paraId="6A4CD8C2" w14:textId="77777777" w:rsidTr="00521305">
        <w:trPr>
          <w:jc w:val="center"/>
        </w:trPr>
        <w:tc>
          <w:tcPr>
            <w:tcW w:w="6091" w:type="dxa"/>
          </w:tcPr>
          <w:p w14:paraId="0C18075F" w14:textId="77777777" w:rsidR="001C19F3" w:rsidRPr="00972D60" w:rsidRDefault="001C19F3" w:rsidP="00521305">
            <w:pPr>
              <w:spacing w:after="0"/>
              <w:ind w:left="457"/>
              <w:rPr>
                <w:color w:val="231F20"/>
                <w:sz w:val="18"/>
              </w:rPr>
            </w:pPr>
            <w:r w:rsidRPr="00972D60">
              <w:rPr>
                <w:sz w:val="18"/>
                <w:szCs w:val="18"/>
              </w:rPr>
              <w:t xml:space="preserve">Number of </w:t>
            </w:r>
            <w:r>
              <w:rPr>
                <w:sz w:val="18"/>
                <w:szCs w:val="18"/>
              </w:rPr>
              <w:t xml:space="preserve">HCH </w:t>
            </w:r>
            <w:r w:rsidRPr="00972D60">
              <w:rPr>
                <w:sz w:val="18"/>
                <w:szCs w:val="18"/>
              </w:rPr>
              <w:t>patients with asthma or COPD</w:t>
            </w:r>
          </w:p>
        </w:tc>
        <w:tc>
          <w:tcPr>
            <w:tcW w:w="1984" w:type="dxa"/>
          </w:tcPr>
          <w:p w14:paraId="10DF870E" w14:textId="77777777" w:rsidR="001C19F3" w:rsidRPr="00972D60" w:rsidRDefault="001C19F3" w:rsidP="00521305">
            <w:pPr>
              <w:spacing w:after="0"/>
              <w:jc w:val="center"/>
              <w:rPr>
                <w:sz w:val="18"/>
                <w:szCs w:val="18"/>
              </w:rPr>
            </w:pPr>
            <w:r w:rsidRPr="00AB0189">
              <w:rPr>
                <w:rFonts w:eastAsia="Times New Roman" w:cs="Calibri"/>
                <w:color w:val="000000"/>
                <w:sz w:val="18"/>
                <w:szCs w:val="18"/>
                <w:lang w:eastAsia="en-AU"/>
              </w:rPr>
              <w:t>1</w:t>
            </w:r>
            <w:r>
              <w:rPr>
                <w:rFonts w:eastAsia="Times New Roman" w:cs="Calibri"/>
                <w:color w:val="000000"/>
                <w:sz w:val="18"/>
                <w:szCs w:val="18"/>
                <w:lang w:eastAsia="en-AU"/>
              </w:rPr>
              <w:t>,756</w:t>
            </w:r>
          </w:p>
        </w:tc>
      </w:tr>
      <w:tr w:rsidR="001C19F3" w:rsidRPr="007C4473" w14:paraId="128AF4A9" w14:textId="77777777" w:rsidTr="00521305">
        <w:trPr>
          <w:jc w:val="center"/>
        </w:trPr>
        <w:tc>
          <w:tcPr>
            <w:tcW w:w="6091" w:type="dxa"/>
          </w:tcPr>
          <w:p w14:paraId="21247EEB" w14:textId="77777777" w:rsidR="001C19F3" w:rsidRDefault="001C19F3" w:rsidP="00521305">
            <w:pPr>
              <w:spacing w:after="0"/>
              <w:ind w:left="457"/>
              <w:rPr>
                <w:sz w:val="18"/>
                <w:szCs w:val="18"/>
              </w:rPr>
            </w:pPr>
            <w:r>
              <w:rPr>
                <w:color w:val="231F20"/>
                <w:sz w:val="18"/>
              </w:rPr>
              <w:t>S</w:t>
            </w:r>
            <w:r w:rsidRPr="00BA7155">
              <w:rPr>
                <w:color w:val="231F20"/>
                <w:sz w:val="18"/>
              </w:rPr>
              <w:t xml:space="preserve">pirometry </w:t>
            </w:r>
            <w:r>
              <w:rPr>
                <w:color w:val="231F20"/>
                <w:sz w:val="18"/>
              </w:rPr>
              <w:t>ever recorded</w:t>
            </w:r>
          </w:p>
        </w:tc>
        <w:tc>
          <w:tcPr>
            <w:tcW w:w="1984" w:type="dxa"/>
            <w:vAlign w:val="bottom"/>
          </w:tcPr>
          <w:p w14:paraId="1025BB31" w14:textId="77777777" w:rsidR="001C19F3" w:rsidRDefault="001C19F3" w:rsidP="00521305">
            <w:pPr>
              <w:spacing w:after="0"/>
              <w:jc w:val="center"/>
              <w:rPr>
                <w:sz w:val="18"/>
                <w:szCs w:val="18"/>
              </w:rPr>
            </w:pPr>
            <w:r>
              <w:rPr>
                <w:rFonts w:eastAsia="Times New Roman" w:cs="Calibri"/>
                <w:color w:val="000000"/>
                <w:sz w:val="18"/>
                <w:szCs w:val="18"/>
                <w:lang w:eastAsia="en-AU"/>
              </w:rPr>
              <w:t>401</w:t>
            </w:r>
            <w:r w:rsidRPr="00AB0189">
              <w:rPr>
                <w:rFonts w:eastAsia="Times New Roman" w:cs="Calibri"/>
                <w:color w:val="000000"/>
                <w:sz w:val="18"/>
                <w:szCs w:val="18"/>
                <w:lang w:eastAsia="en-AU"/>
              </w:rPr>
              <w:t xml:space="preserve"> (2</w:t>
            </w:r>
            <w:r>
              <w:rPr>
                <w:rFonts w:eastAsia="Times New Roman" w:cs="Calibri"/>
                <w:color w:val="000000"/>
                <w:sz w:val="18"/>
                <w:szCs w:val="18"/>
                <w:lang w:eastAsia="en-AU"/>
              </w:rPr>
              <w:t>2</w:t>
            </w:r>
            <w:r w:rsidRPr="00AB0189">
              <w:rPr>
                <w:rFonts w:eastAsia="Times New Roman" w:cs="Calibri"/>
                <w:color w:val="000000"/>
                <w:sz w:val="18"/>
                <w:szCs w:val="18"/>
                <w:lang w:eastAsia="en-AU"/>
              </w:rPr>
              <w:t>.</w:t>
            </w:r>
            <w:r>
              <w:rPr>
                <w:rFonts w:eastAsia="Times New Roman" w:cs="Calibri"/>
                <w:color w:val="000000"/>
                <w:sz w:val="18"/>
                <w:szCs w:val="18"/>
                <w:lang w:eastAsia="en-AU"/>
              </w:rPr>
              <w:t>8</w:t>
            </w:r>
            <w:r w:rsidRPr="00AB0189">
              <w:rPr>
                <w:rFonts w:eastAsia="Times New Roman" w:cs="Calibri"/>
                <w:color w:val="000000"/>
                <w:sz w:val="18"/>
                <w:szCs w:val="18"/>
                <w:lang w:eastAsia="en-AU"/>
              </w:rPr>
              <w:t>%)</w:t>
            </w:r>
          </w:p>
        </w:tc>
      </w:tr>
      <w:tr w:rsidR="001C19F3" w:rsidRPr="007C4473" w14:paraId="6B9517ED" w14:textId="77777777" w:rsidTr="00521305">
        <w:trPr>
          <w:jc w:val="center"/>
        </w:trPr>
        <w:tc>
          <w:tcPr>
            <w:tcW w:w="6091" w:type="dxa"/>
          </w:tcPr>
          <w:p w14:paraId="77D8B129" w14:textId="77777777" w:rsidR="001C19F3" w:rsidRDefault="001C19F3" w:rsidP="00521305">
            <w:pPr>
              <w:spacing w:after="0"/>
              <w:ind w:left="457"/>
              <w:rPr>
                <w:sz w:val="18"/>
                <w:szCs w:val="18"/>
              </w:rPr>
            </w:pPr>
            <w:r>
              <w:rPr>
                <w:color w:val="231F20"/>
                <w:sz w:val="18"/>
              </w:rPr>
              <w:t>S</w:t>
            </w:r>
            <w:r w:rsidRPr="00BA7155">
              <w:rPr>
                <w:color w:val="231F20"/>
                <w:sz w:val="18"/>
              </w:rPr>
              <w:t>pirometry</w:t>
            </w:r>
            <w:r>
              <w:rPr>
                <w:color w:val="231F20"/>
                <w:sz w:val="18"/>
              </w:rPr>
              <w:t xml:space="preserve"> recorded in previous year</w:t>
            </w:r>
          </w:p>
        </w:tc>
        <w:tc>
          <w:tcPr>
            <w:tcW w:w="1984" w:type="dxa"/>
            <w:vAlign w:val="bottom"/>
          </w:tcPr>
          <w:p w14:paraId="4F1173D2" w14:textId="77777777" w:rsidR="001C19F3" w:rsidRDefault="001C19F3" w:rsidP="00521305">
            <w:pPr>
              <w:spacing w:after="0"/>
              <w:jc w:val="center"/>
              <w:rPr>
                <w:sz w:val="18"/>
                <w:szCs w:val="18"/>
              </w:rPr>
            </w:pPr>
            <w:r w:rsidRPr="00AB0189">
              <w:rPr>
                <w:rFonts w:eastAsia="Times New Roman" w:cs="Calibri"/>
                <w:color w:val="000000"/>
                <w:sz w:val="18"/>
                <w:szCs w:val="18"/>
                <w:lang w:eastAsia="en-AU"/>
              </w:rPr>
              <w:t>100 (</w:t>
            </w:r>
            <w:r>
              <w:rPr>
                <w:rFonts w:eastAsia="Times New Roman" w:cs="Calibri"/>
                <w:color w:val="000000"/>
                <w:sz w:val="18"/>
                <w:szCs w:val="18"/>
                <w:lang w:eastAsia="en-AU"/>
              </w:rPr>
              <w:t>5.7</w:t>
            </w:r>
            <w:r w:rsidRPr="00AB0189">
              <w:rPr>
                <w:rFonts w:eastAsia="Times New Roman" w:cs="Calibri"/>
                <w:color w:val="000000"/>
                <w:sz w:val="18"/>
                <w:szCs w:val="18"/>
                <w:lang w:eastAsia="en-AU"/>
              </w:rPr>
              <w:t>%)</w:t>
            </w:r>
          </w:p>
        </w:tc>
      </w:tr>
      <w:tr w:rsidR="001C19F3" w:rsidRPr="007C4473" w14:paraId="792C3DBD" w14:textId="77777777" w:rsidTr="00521305">
        <w:trPr>
          <w:jc w:val="center"/>
        </w:trPr>
        <w:tc>
          <w:tcPr>
            <w:tcW w:w="6091" w:type="dxa"/>
          </w:tcPr>
          <w:p w14:paraId="51C3DABB" w14:textId="77777777" w:rsidR="001C19F3" w:rsidRDefault="001C19F3" w:rsidP="00521305">
            <w:pPr>
              <w:spacing w:after="0"/>
              <w:ind w:left="457"/>
              <w:rPr>
                <w:color w:val="231F20"/>
                <w:sz w:val="18"/>
              </w:rPr>
            </w:pPr>
            <w:r>
              <w:rPr>
                <w:color w:val="231F20"/>
                <w:sz w:val="18"/>
              </w:rPr>
              <w:t>S</w:t>
            </w:r>
            <w:r w:rsidRPr="00BA7155">
              <w:rPr>
                <w:color w:val="231F20"/>
                <w:sz w:val="18"/>
              </w:rPr>
              <w:t>pirometry</w:t>
            </w:r>
            <w:r>
              <w:rPr>
                <w:color w:val="231F20"/>
                <w:sz w:val="18"/>
              </w:rPr>
              <w:t xml:space="preserve"> recorded in previous 6 months</w:t>
            </w:r>
          </w:p>
        </w:tc>
        <w:tc>
          <w:tcPr>
            <w:tcW w:w="1984" w:type="dxa"/>
            <w:vAlign w:val="bottom"/>
          </w:tcPr>
          <w:p w14:paraId="61AB06AE" w14:textId="77777777" w:rsidR="001C19F3" w:rsidRDefault="001C19F3" w:rsidP="00521305">
            <w:pPr>
              <w:spacing w:after="0"/>
              <w:jc w:val="center"/>
              <w:rPr>
                <w:sz w:val="18"/>
                <w:szCs w:val="18"/>
              </w:rPr>
            </w:pPr>
            <w:r w:rsidRPr="00AB0189">
              <w:rPr>
                <w:rFonts w:eastAsia="Times New Roman" w:cs="Calibri"/>
                <w:color w:val="000000"/>
                <w:sz w:val="18"/>
                <w:szCs w:val="18"/>
                <w:lang w:eastAsia="en-AU"/>
              </w:rPr>
              <w:t>60 (3.</w:t>
            </w:r>
            <w:r>
              <w:rPr>
                <w:rFonts w:eastAsia="Times New Roman" w:cs="Calibri"/>
                <w:color w:val="000000"/>
                <w:sz w:val="18"/>
                <w:szCs w:val="18"/>
                <w:lang w:eastAsia="en-AU"/>
              </w:rPr>
              <w:t>4</w:t>
            </w:r>
            <w:r w:rsidRPr="00AB0189">
              <w:rPr>
                <w:rFonts w:eastAsia="Times New Roman" w:cs="Calibri"/>
                <w:color w:val="000000"/>
                <w:sz w:val="18"/>
                <w:szCs w:val="18"/>
                <w:lang w:eastAsia="en-AU"/>
              </w:rPr>
              <w:t>%)</w:t>
            </w:r>
          </w:p>
        </w:tc>
      </w:tr>
    </w:tbl>
    <w:p w14:paraId="31497785" w14:textId="77777777" w:rsidR="001C19F3" w:rsidRPr="0081139F" w:rsidRDefault="001C19F3" w:rsidP="001C19F3">
      <w:pPr>
        <w:pStyle w:val="Chartortablefootnote"/>
      </w:pPr>
      <w:r w:rsidRPr="0081139F">
        <w:rPr>
          <w:vertAlign w:val="superscript"/>
        </w:rPr>
        <w:t>1</w:t>
      </w:r>
      <w:r w:rsidRPr="0081139F">
        <w:t>HCH patients with diabetes were identified in practice data extracts provided by 8</w:t>
      </w:r>
      <w:r>
        <w:t>6</w:t>
      </w:r>
      <w:r w:rsidRPr="0081139F">
        <w:t xml:space="preserve"> practices. The recording of HbA1c test was calculated among HCH patients with diabetes</w:t>
      </w:r>
      <w:r>
        <w:t xml:space="preserve">; </w:t>
      </w:r>
      <w:r>
        <w:rPr>
          <w:vertAlign w:val="superscript"/>
        </w:rPr>
        <w:t>3</w:t>
      </w:r>
      <w:r w:rsidRPr="0081139F">
        <w:t xml:space="preserve">Data relating to spirometry (FEV or FVC) were available in practice extracts provided by </w:t>
      </w:r>
      <w:r>
        <w:t>71</w:t>
      </w:r>
      <w:r w:rsidRPr="0081139F">
        <w:t xml:space="preserve"> practices. The recording of s</w:t>
      </w:r>
      <w:r w:rsidRPr="0081139F">
        <w:rPr>
          <w:color w:val="231F20"/>
        </w:rPr>
        <w:t xml:space="preserve">pirometry </w:t>
      </w:r>
      <w:r w:rsidRPr="0081139F">
        <w:t>was examined among HCH patients with asthma or COPD within these practices.</w:t>
      </w:r>
    </w:p>
    <w:p w14:paraId="6A7AE688" w14:textId="77777777" w:rsidR="001C19F3" w:rsidRDefault="001C19F3" w:rsidP="001C19F3">
      <w:pPr>
        <w:pStyle w:val="Heading2"/>
      </w:pPr>
      <w:bookmarkStart w:id="524" w:name="_Toc27058964"/>
      <w:r>
        <w:lastRenderedPageBreak/>
        <w:t>Use of GP services by HCH patients</w:t>
      </w:r>
      <w:bookmarkEnd w:id="524"/>
    </w:p>
    <w:p w14:paraId="07EAD89C" w14:textId="77777777" w:rsidR="001C19F3" w:rsidRDefault="001C19F3" w:rsidP="001C19F3">
      <w:r>
        <w:t>Pen CS extraction software calculates the number of times that a GP in the practice has used the practice clinical information system for a patient in the last three, six and 12 months.</w:t>
      </w:r>
      <w:r w:rsidRPr="0085088B">
        <w:t xml:space="preserve"> </w:t>
      </w:r>
      <w:r>
        <w:t xml:space="preserve">These derived variables potentially provide information on patient utilisation of practice services, based on an assumption that a GP used the clinical information system during a patient consultation. The software also calculates the number of times that other health providers, such as registered nurses, Aboriginal Health Workers, dieticians, psychologists, podiatrists, midwives and medical students, have used the practice clinical information system in the last six months, noting that the designation of the system user is defined by and within the practice. However, derived variables relating to utilisation of non-GP services are absent in entire extracts for a substantial number of practices, which might indicate unavailability of nurses and these allied health providers in the practices. Therefore, this section focuses on the number of patient consultations with a GP in the practice in the last three, six and 12 </w:t>
      </w:r>
      <w:r w:rsidRPr="009775A6">
        <w:t>months (</w:t>
      </w:r>
      <w:r w:rsidRPr="009775A6">
        <w:fldChar w:fldCharType="begin"/>
      </w:r>
      <w:r w:rsidRPr="009775A6">
        <w:instrText xml:space="preserve"> REF _Ref16341786 \h  \* MERGEFORMAT </w:instrText>
      </w:r>
      <w:r w:rsidRPr="009775A6">
        <w:fldChar w:fldCharType="separate"/>
      </w:r>
      <w:r w:rsidRPr="008F2809">
        <w:rPr>
          <w:szCs w:val="20"/>
        </w:rPr>
        <w:t xml:space="preserve">Table </w:t>
      </w:r>
      <w:r w:rsidRPr="008F2809">
        <w:rPr>
          <w:noProof/>
          <w:szCs w:val="20"/>
        </w:rPr>
        <w:t>22</w:t>
      </w:r>
      <w:r w:rsidRPr="009775A6">
        <w:fldChar w:fldCharType="end"/>
      </w:r>
      <w:r w:rsidRPr="009775A6">
        <w:t>).</w:t>
      </w:r>
    </w:p>
    <w:p w14:paraId="57848D0C" w14:textId="77777777" w:rsidR="001C19F3" w:rsidRDefault="001C19F3" w:rsidP="001C19F3">
      <w:r>
        <w:t xml:space="preserve">In POLAR data, derived variables relating to GP service utilisation are not included in the extract data. For HCH patients identified in POLAR data extracts, the number of GP consultations was calculated as the number of patient encounters with a GP provider for any encounter type (e.g. visit, surgery, telephone, non-visit) </w:t>
      </w:r>
      <w:r w:rsidRPr="00A64883">
        <w:t>in the last three, six and 12 months</w:t>
      </w:r>
      <w:r>
        <w:t>.</w:t>
      </w:r>
      <w:r w:rsidRPr="00B83F4B">
        <w:t xml:space="preserve"> In instances where multiple GP</w:t>
      </w:r>
      <w:r>
        <w:t>-provider</w:t>
      </w:r>
      <w:r w:rsidRPr="00B83F4B">
        <w:t xml:space="preserve"> encounter records with the same encounter type were recorded in one day, one encounter record was selected.</w:t>
      </w:r>
      <w:r>
        <w:t xml:space="preserve"> The analysis of GP-provider encounters in POLAR data shows that majority of GP-provider encounters (94%) related to patient consultations (i.e. type of encounter as visit or surgery).</w:t>
      </w:r>
    </w:p>
    <w:p w14:paraId="1323DDED" w14:textId="77777777" w:rsidR="001C19F3" w:rsidRDefault="001C19F3" w:rsidP="001C19F3">
      <w:pPr>
        <w:spacing w:after="0"/>
        <w:jc w:val="center"/>
        <w:rPr>
          <w:b/>
          <w:szCs w:val="20"/>
        </w:rPr>
      </w:pPr>
      <w:bookmarkStart w:id="525" w:name="_Ref16341786"/>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Pr>
          <w:b/>
          <w:noProof/>
          <w:szCs w:val="20"/>
        </w:rPr>
        <w:t>22</w:t>
      </w:r>
      <w:r w:rsidRPr="00E76010">
        <w:rPr>
          <w:szCs w:val="20"/>
        </w:rPr>
        <w:fldChar w:fldCharType="end"/>
      </w:r>
      <w:bookmarkEnd w:id="525"/>
      <w:r w:rsidRPr="00E76010">
        <w:rPr>
          <w:b/>
          <w:szCs w:val="20"/>
        </w:rPr>
        <w:t xml:space="preserve"> –</w:t>
      </w:r>
      <w:r>
        <w:rPr>
          <w:b/>
          <w:szCs w:val="20"/>
        </w:rPr>
        <w:t xml:space="preserve"> Number of GP consultations by HCH patients</w:t>
      </w:r>
      <w:r w:rsidRPr="00805297">
        <w:rPr>
          <w:b/>
          <w:szCs w:val="20"/>
          <w:vertAlign w:val="superscript"/>
        </w:rPr>
        <w:t>1</w:t>
      </w:r>
      <w:r>
        <w:rPr>
          <w:b/>
          <w:szCs w:val="20"/>
        </w:rPr>
        <w:t>, at 30 June 2019</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1559"/>
        <w:gridCol w:w="1560"/>
        <w:gridCol w:w="1417"/>
        <w:gridCol w:w="1559"/>
      </w:tblGrid>
      <w:tr w:rsidR="001C19F3" w:rsidRPr="007C4473" w14:paraId="465A99CF" w14:textId="77777777" w:rsidTr="00521305">
        <w:trPr>
          <w:trHeight w:val="228"/>
          <w:tblHeader/>
          <w:jc w:val="center"/>
        </w:trPr>
        <w:tc>
          <w:tcPr>
            <w:tcW w:w="2405" w:type="dxa"/>
            <w:vMerge w:val="restart"/>
            <w:shd w:val="clear" w:color="auto" w:fill="003D79"/>
            <w:vAlign w:val="center"/>
          </w:tcPr>
          <w:p w14:paraId="62059B65" w14:textId="77777777" w:rsidR="001C19F3" w:rsidRPr="007C4473" w:rsidRDefault="001C19F3" w:rsidP="00521305">
            <w:pPr>
              <w:spacing w:after="0" w:line="240" w:lineRule="auto"/>
              <w:jc w:val="center"/>
              <w:rPr>
                <w:b/>
                <w:sz w:val="18"/>
                <w:szCs w:val="18"/>
              </w:rPr>
            </w:pPr>
            <w:bookmarkStart w:id="526" w:name="_Hlk26972904"/>
            <w:r>
              <w:rPr>
                <w:b/>
                <w:sz w:val="18"/>
                <w:szCs w:val="18"/>
              </w:rPr>
              <w:t>Measure</w:t>
            </w:r>
          </w:p>
        </w:tc>
        <w:tc>
          <w:tcPr>
            <w:tcW w:w="4536" w:type="dxa"/>
            <w:gridSpan w:val="3"/>
            <w:shd w:val="clear" w:color="auto" w:fill="003D79"/>
          </w:tcPr>
          <w:p w14:paraId="0C276AC7" w14:textId="77777777" w:rsidR="001C19F3" w:rsidRDefault="001C19F3" w:rsidP="00521305">
            <w:pPr>
              <w:spacing w:after="0" w:line="240" w:lineRule="auto"/>
              <w:jc w:val="center"/>
              <w:rPr>
                <w:b/>
                <w:sz w:val="18"/>
                <w:szCs w:val="18"/>
              </w:rPr>
            </w:pPr>
            <w:r>
              <w:rPr>
                <w:b/>
                <w:sz w:val="18"/>
                <w:szCs w:val="18"/>
              </w:rPr>
              <w:t>HCH risk tier</w:t>
            </w:r>
            <w:r w:rsidRPr="00805297">
              <w:rPr>
                <w:b/>
                <w:sz w:val="18"/>
                <w:szCs w:val="18"/>
                <w:vertAlign w:val="superscript"/>
              </w:rPr>
              <w:t>2</w:t>
            </w:r>
          </w:p>
        </w:tc>
        <w:tc>
          <w:tcPr>
            <w:tcW w:w="1559" w:type="dxa"/>
            <w:vMerge w:val="restart"/>
            <w:shd w:val="clear" w:color="auto" w:fill="003D79"/>
            <w:vAlign w:val="center"/>
          </w:tcPr>
          <w:p w14:paraId="5F381C26" w14:textId="77777777" w:rsidR="001C19F3" w:rsidRDefault="001C19F3" w:rsidP="00521305">
            <w:pPr>
              <w:spacing w:after="0" w:line="240" w:lineRule="auto"/>
              <w:jc w:val="center"/>
              <w:rPr>
                <w:b/>
                <w:sz w:val="18"/>
                <w:szCs w:val="18"/>
              </w:rPr>
            </w:pPr>
            <w:r>
              <w:rPr>
                <w:b/>
                <w:sz w:val="18"/>
                <w:szCs w:val="18"/>
              </w:rPr>
              <w:t>All HCH patients</w:t>
            </w:r>
            <w:r w:rsidRPr="00805297">
              <w:rPr>
                <w:b/>
                <w:sz w:val="18"/>
                <w:szCs w:val="18"/>
                <w:vertAlign w:val="superscript"/>
              </w:rPr>
              <w:t>3</w:t>
            </w:r>
          </w:p>
          <w:p w14:paraId="069CBF11" w14:textId="77777777" w:rsidR="001C19F3" w:rsidRDefault="001C19F3" w:rsidP="00521305">
            <w:pPr>
              <w:spacing w:after="0" w:line="240" w:lineRule="auto"/>
              <w:jc w:val="center"/>
              <w:rPr>
                <w:b/>
                <w:sz w:val="18"/>
                <w:szCs w:val="18"/>
              </w:rPr>
            </w:pPr>
            <w:r>
              <w:rPr>
                <w:b/>
                <w:sz w:val="18"/>
                <w:szCs w:val="18"/>
              </w:rPr>
              <w:t>n (%)</w:t>
            </w:r>
          </w:p>
        </w:tc>
      </w:tr>
      <w:tr w:rsidR="001C19F3" w:rsidRPr="007C4473" w14:paraId="08070855" w14:textId="77777777" w:rsidTr="00521305">
        <w:trPr>
          <w:trHeight w:val="340"/>
          <w:tblHeader/>
          <w:jc w:val="center"/>
        </w:trPr>
        <w:tc>
          <w:tcPr>
            <w:tcW w:w="2405" w:type="dxa"/>
            <w:vMerge/>
            <w:shd w:val="clear" w:color="auto" w:fill="003D79"/>
          </w:tcPr>
          <w:p w14:paraId="1CCB819A" w14:textId="77777777" w:rsidR="001C19F3" w:rsidRPr="007C4473" w:rsidRDefault="001C19F3" w:rsidP="00521305">
            <w:pPr>
              <w:spacing w:after="0" w:line="240" w:lineRule="auto"/>
              <w:rPr>
                <w:b/>
                <w:sz w:val="18"/>
                <w:szCs w:val="18"/>
              </w:rPr>
            </w:pPr>
          </w:p>
        </w:tc>
        <w:tc>
          <w:tcPr>
            <w:tcW w:w="1559" w:type="dxa"/>
            <w:shd w:val="clear" w:color="auto" w:fill="003D79"/>
          </w:tcPr>
          <w:p w14:paraId="4637BDE6" w14:textId="77777777" w:rsidR="001C19F3" w:rsidRDefault="001C19F3" w:rsidP="00521305">
            <w:pPr>
              <w:spacing w:after="0" w:line="240" w:lineRule="auto"/>
              <w:jc w:val="center"/>
              <w:rPr>
                <w:b/>
                <w:sz w:val="18"/>
                <w:szCs w:val="18"/>
              </w:rPr>
            </w:pPr>
            <w:r>
              <w:rPr>
                <w:b/>
                <w:sz w:val="18"/>
                <w:szCs w:val="18"/>
              </w:rPr>
              <w:t xml:space="preserve">Tier 1 </w:t>
            </w:r>
            <w:r>
              <w:rPr>
                <w:b/>
                <w:sz w:val="18"/>
                <w:szCs w:val="18"/>
              </w:rPr>
              <w:br/>
              <w:t>n (%)</w:t>
            </w:r>
          </w:p>
        </w:tc>
        <w:tc>
          <w:tcPr>
            <w:tcW w:w="1560" w:type="dxa"/>
            <w:shd w:val="clear" w:color="auto" w:fill="003D79"/>
          </w:tcPr>
          <w:p w14:paraId="637CE8EF" w14:textId="77777777" w:rsidR="001C19F3" w:rsidRDefault="001C19F3" w:rsidP="00521305">
            <w:pPr>
              <w:spacing w:after="0" w:line="240" w:lineRule="auto"/>
              <w:jc w:val="center"/>
              <w:rPr>
                <w:b/>
                <w:sz w:val="18"/>
                <w:szCs w:val="18"/>
              </w:rPr>
            </w:pPr>
            <w:r>
              <w:rPr>
                <w:b/>
                <w:sz w:val="18"/>
                <w:szCs w:val="18"/>
              </w:rPr>
              <w:t xml:space="preserve">Tier 2 </w:t>
            </w:r>
            <w:r>
              <w:rPr>
                <w:b/>
                <w:sz w:val="18"/>
                <w:szCs w:val="18"/>
              </w:rPr>
              <w:br/>
              <w:t>n (%)</w:t>
            </w:r>
          </w:p>
        </w:tc>
        <w:tc>
          <w:tcPr>
            <w:tcW w:w="1417" w:type="dxa"/>
            <w:shd w:val="clear" w:color="auto" w:fill="003D79"/>
          </w:tcPr>
          <w:p w14:paraId="4A01047F" w14:textId="77777777" w:rsidR="001C19F3" w:rsidRDefault="001C19F3" w:rsidP="00521305">
            <w:pPr>
              <w:spacing w:after="0" w:line="240" w:lineRule="auto"/>
              <w:jc w:val="center"/>
              <w:rPr>
                <w:b/>
                <w:sz w:val="18"/>
                <w:szCs w:val="18"/>
              </w:rPr>
            </w:pPr>
            <w:r>
              <w:rPr>
                <w:b/>
                <w:sz w:val="18"/>
                <w:szCs w:val="18"/>
              </w:rPr>
              <w:t xml:space="preserve">Tier 3 </w:t>
            </w:r>
            <w:r>
              <w:rPr>
                <w:b/>
                <w:sz w:val="18"/>
                <w:szCs w:val="18"/>
              </w:rPr>
              <w:br/>
              <w:t>n (%)</w:t>
            </w:r>
          </w:p>
        </w:tc>
        <w:tc>
          <w:tcPr>
            <w:tcW w:w="1559" w:type="dxa"/>
            <w:vMerge/>
            <w:shd w:val="clear" w:color="auto" w:fill="003D79"/>
            <w:vAlign w:val="center"/>
          </w:tcPr>
          <w:p w14:paraId="241656A7" w14:textId="77777777" w:rsidR="001C19F3" w:rsidRPr="007C4473" w:rsidRDefault="001C19F3" w:rsidP="00521305">
            <w:pPr>
              <w:spacing w:after="0" w:line="240" w:lineRule="auto"/>
              <w:jc w:val="center"/>
              <w:rPr>
                <w:b/>
                <w:sz w:val="18"/>
                <w:szCs w:val="18"/>
              </w:rPr>
            </w:pPr>
          </w:p>
        </w:tc>
      </w:tr>
      <w:tr w:rsidR="001C19F3" w:rsidRPr="007C4473" w14:paraId="5EDD5517" w14:textId="77777777" w:rsidTr="00521305">
        <w:trPr>
          <w:trHeight w:val="340"/>
          <w:jc w:val="center"/>
        </w:trPr>
        <w:tc>
          <w:tcPr>
            <w:tcW w:w="2405" w:type="dxa"/>
            <w:shd w:val="clear" w:color="auto" w:fill="auto"/>
            <w:vAlign w:val="center"/>
          </w:tcPr>
          <w:p w14:paraId="10D7592F" w14:textId="77777777" w:rsidR="001C19F3" w:rsidRPr="007C4473" w:rsidRDefault="001C19F3" w:rsidP="00521305">
            <w:pPr>
              <w:spacing w:after="0" w:line="240" w:lineRule="auto"/>
              <w:rPr>
                <w:b/>
                <w:sz w:val="18"/>
                <w:szCs w:val="18"/>
              </w:rPr>
            </w:pPr>
            <w:r>
              <w:rPr>
                <w:b/>
                <w:sz w:val="18"/>
                <w:szCs w:val="18"/>
              </w:rPr>
              <w:t>Number of HCH patients</w:t>
            </w:r>
          </w:p>
        </w:tc>
        <w:tc>
          <w:tcPr>
            <w:tcW w:w="1559" w:type="dxa"/>
            <w:shd w:val="clear" w:color="auto" w:fill="auto"/>
            <w:vAlign w:val="center"/>
          </w:tcPr>
          <w:p w14:paraId="30850B4F" w14:textId="77777777" w:rsidR="001C19F3" w:rsidRDefault="001C19F3" w:rsidP="00521305">
            <w:pPr>
              <w:spacing w:after="0" w:line="240" w:lineRule="auto"/>
              <w:jc w:val="center"/>
              <w:rPr>
                <w:b/>
                <w:sz w:val="18"/>
                <w:szCs w:val="18"/>
              </w:rPr>
            </w:pPr>
            <w:r>
              <w:rPr>
                <w:b/>
                <w:sz w:val="18"/>
                <w:szCs w:val="18"/>
              </w:rPr>
              <w:t>1,477</w:t>
            </w:r>
          </w:p>
        </w:tc>
        <w:tc>
          <w:tcPr>
            <w:tcW w:w="1560" w:type="dxa"/>
            <w:shd w:val="clear" w:color="auto" w:fill="auto"/>
            <w:vAlign w:val="center"/>
          </w:tcPr>
          <w:p w14:paraId="7B0FA81E" w14:textId="77777777" w:rsidR="001C19F3" w:rsidRDefault="001C19F3" w:rsidP="00521305">
            <w:pPr>
              <w:spacing w:after="0" w:line="240" w:lineRule="auto"/>
              <w:jc w:val="center"/>
              <w:rPr>
                <w:b/>
                <w:sz w:val="18"/>
                <w:szCs w:val="18"/>
              </w:rPr>
            </w:pPr>
            <w:r>
              <w:rPr>
                <w:b/>
                <w:sz w:val="18"/>
                <w:szCs w:val="18"/>
              </w:rPr>
              <w:t>3,963</w:t>
            </w:r>
          </w:p>
        </w:tc>
        <w:tc>
          <w:tcPr>
            <w:tcW w:w="1417" w:type="dxa"/>
            <w:shd w:val="clear" w:color="auto" w:fill="auto"/>
            <w:vAlign w:val="center"/>
          </w:tcPr>
          <w:p w14:paraId="22B17F9C" w14:textId="77777777" w:rsidR="001C19F3" w:rsidRDefault="001C19F3" w:rsidP="00521305">
            <w:pPr>
              <w:spacing w:after="0" w:line="240" w:lineRule="auto"/>
              <w:jc w:val="center"/>
              <w:rPr>
                <w:b/>
                <w:sz w:val="18"/>
                <w:szCs w:val="18"/>
              </w:rPr>
            </w:pPr>
            <w:r>
              <w:rPr>
                <w:b/>
                <w:sz w:val="18"/>
                <w:szCs w:val="18"/>
              </w:rPr>
              <w:t>2,697</w:t>
            </w:r>
          </w:p>
        </w:tc>
        <w:tc>
          <w:tcPr>
            <w:tcW w:w="1559" w:type="dxa"/>
            <w:shd w:val="clear" w:color="auto" w:fill="auto"/>
            <w:vAlign w:val="center"/>
          </w:tcPr>
          <w:p w14:paraId="0E794F21" w14:textId="77777777" w:rsidR="001C19F3" w:rsidRDefault="001C19F3" w:rsidP="00521305">
            <w:pPr>
              <w:spacing w:after="0" w:line="240" w:lineRule="auto"/>
              <w:jc w:val="center"/>
              <w:rPr>
                <w:b/>
                <w:sz w:val="18"/>
                <w:szCs w:val="18"/>
              </w:rPr>
            </w:pPr>
            <w:r>
              <w:rPr>
                <w:b/>
                <w:sz w:val="18"/>
                <w:szCs w:val="18"/>
              </w:rPr>
              <w:t>8,323</w:t>
            </w:r>
          </w:p>
        </w:tc>
      </w:tr>
      <w:tr w:rsidR="001C19F3" w:rsidRPr="007C4473" w14:paraId="2D57403B" w14:textId="77777777" w:rsidTr="00521305">
        <w:trPr>
          <w:jc w:val="center"/>
        </w:trPr>
        <w:tc>
          <w:tcPr>
            <w:tcW w:w="8500" w:type="dxa"/>
            <w:gridSpan w:val="5"/>
          </w:tcPr>
          <w:p w14:paraId="6C1644B8" w14:textId="77777777" w:rsidR="001C19F3" w:rsidRDefault="001C19F3" w:rsidP="00521305">
            <w:pPr>
              <w:spacing w:after="0"/>
              <w:rPr>
                <w:sz w:val="18"/>
                <w:szCs w:val="18"/>
              </w:rPr>
            </w:pPr>
            <w:r>
              <w:rPr>
                <w:b/>
                <w:bCs/>
                <w:sz w:val="18"/>
                <w:szCs w:val="18"/>
              </w:rPr>
              <w:t>Number of GP consultations in</w:t>
            </w:r>
            <w:r w:rsidRPr="00F278B6">
              <w:rPr>
                <w:b/>
                <w:bCs/>
                <w:sz w:val="18"/>
                <w:szCs w:val="18"/>
              </w:rPr>
              <w:t xml:space="preserve"> the last 3 months</w:t>
            </w:r>
          </w:p>
        </w:tc>
      </w:tr>
      <w:tr w:rsidR="001C19F3" w:rsidRPr="007C4473" w14:paraId="3BEE6A70" w14:textId="77777777" w:rsidTr="00521305">
        <w:trPr>
          <w:jc w:val="center"/>
        </w:trPr>
        <w:tc>
          <w:tcPr>
            <w:tcW w:w="2405" w:type="dxa"/>
          </w:tcPr>
          <w:p w14:paraId="0747D4CE" w14:textId="77777777" w:rsidR="001C19F3" w:rsidRPr="005647EC" w:rsidRDefault="001C19F3" w:rsidP="00521305">
            <w:pPr>
              <w:spacing w:after="0"/>
              <w:ind w:left="174"/>
              <w:rPr>
                <w:bCs/>
                <w:sz w:val="18"/>
                <w:szCs w:val="18"/>
              </w:rPr>
            </w:pPr>
            <w:r>
              <w:rPr>
                <w:bCs/>
                <w:sz w:val="18"/>
                <w:szCs w:val="18"/>
              </w:rPr>
              <w:t>Mean (SD)</w:t>
            </w:r>
            <w:r w:rsidRPr="00805297">
              <w:rPr>
                <w:bCs/>
                <w:sz w:val="18"/>
                <w:szCs w:val="18"/>
                <w:vertAlign w:val="superscript"/>
              </w:rPr>
              <w:t>4</w:t>
            </w:r>
          </w:p>
        </w:tc>
        <w:tc>
          <w:tcPr>
            <w:tcW w:w="1559" w:type="dxa"/>
          </w:tcPr>
          <w:p w14:paraId="69BB8D3E" w14:textId="77777777" w:rsidR="001C19F3" w:rsidRPr="00CD68C9" w:rsidRDefault="001C19F3" w:rsidP="00521305">
            <w:pPr>
              <w:spacing w:after="0"/>
              <w:jc w:val="center"/>
              <w:rPr>
                <w:sz w:val="18"/>
                <w:szCs w:val="18"/>
              </w:rPr>
            </w:pPr>
            <w:r>
              <w:rPr>
                <w:sz w:val="18"/>
                <w:szCs w:val="18"/>
              </w:rPr>
              <w:t>3.04 (2.25)</w:t>
            </w:r>
          </w:p>
        </w:tc>
        <w:tc>
          <w:tcPr>
            <w:tcW w:w="1560" w:type="dxa"/>
          </w:tcPr>
          <w:p w14:paraId="5B267C62" w14:textId="77777777" w:rsidR="001C19F3" w:rsidRPr="00CD68C9" w:rsidRDefault="001C19F3" w:rsidP="00521305">
            <w:pPr>
              <w:spacing w:after="0"/>
              <w:jc w:val="center"/>
              <w:rPr>
                <w:sz w:val="18"/>
                <w:szCs w:val="18"/>
              </w:rPr>
            </w:pPr>
            <w:r>
              <w:rPr>
                <w:sz w:val="18"/>
                <w:szCs w:val="18"/>
              </w:rPr>
              <w:t>3.56 (2.76)</w:t>
            </w:r>
          </w:p>
        </w:tc>
        <w:tc>
          <w:tcPr>
            <w:tcW w:w="1417" w:type="dxa"/>
          </w:tcPr>
          <w:p w14:paraId="6E7E94EA" w14:textId="77777777" w:rsidR="001C19F3" w:rsidRPr="00CD68C9" w:rsidRDefault="001C19F3" w:rsidP="00521305">
            <w:pPr>
              <w:spacing w:after="0"/>
              <w:jc w:val="center"/>
              <w:rPr>
                <w:sz w:val="18"/>
                <w:szCs w:val="18"/>
              </w:rPr>
            </w:pPr>
            <w:r>
              <w:rPr>
                <w:sz w:val="18"/>
                <w:szCs w:val="18"/>
              </w:rPr>
              <w:t>4.14 (3.32)</w:t>
            </w:r>
          </w:p>
        </w:tc>
        <w:tc>
          <w:tcPr>
            <w:tcW w:w="1559" w:type="dxa"/>
          </w:tcPr>
          <w:p w14:paraId="0923C2A2" w14:textId="77777777" w:rsidR="001C19F3" w:rsidRPr="00CD68C9" w:rsidRDefault="001C19F3" w:rsidP="00521305">
            <w:pPr>
              <w:spacing w:after="0"/>
              <w:jc w:val="center"/>
              <w:rPr>
                <w:sz w:val="18"/>
                <w:szCs w:val="18"/>
              </w:rPr>
            </w:pPr>
            <w:r w:rsidRPr="00CD68C9">
              <w:rPr>
                <w:sz w:val="18"/>
                <w:szCs w:val="18"/>
              </w:rPr>
              <w:t>3.6</w:t>
            </w:r>
            <w:r>
              <w:rPr>
                <w:sz w:val="18"/>
                <w:szCs w:val="18"/>
              </w:rPr>
              <w:t>7</w:t>
            </w:r>
            <w:r w:rsidRPr="00CD68C9">
              <w:rPr>
                <w:sz w:val="18"/>
                <w:szCs w:val="18"/>
              </w:rPr>
              <w:t xml:space="preserve"> (2.</w:t>
            </w:r>
            <w:r>
              <w:rPr>
                <w:sz w:val="18"/>
                <w:szCs w:val="18"/>
              </w:rPr>
              <w:t>91</w:t>
            </w:r>
            <w:r w:rsidRPr="00CD68C9">
              <w:rPr>
                <w:sz w:val="18"/>
                <w:szCs w:val="18"/>
              </w:rPr>
              <w:t>)</w:t>
            </w:r>
          </w:p>
        </w:tc>
      </w:tr>
      <w:tr w:rsidR="001C19F3" w:rsidRPr="007C4473" w14:paraId="3104085C" w14:textId="77777777" w:rsidTr="00521305">
        <w:trPr>
          <w:jc w:val="center"/>
        </w:trPr>
        <w:tc>
          <w:tcPr>
            <w:tcW w:w="2405" w:type="dxa"/>
          </w:tcPr>
          <w:p w14:paraId="44761D42" w14:textId="77777777" w:rsidR="001C19F3" w:rsidRPr="005647EC" w:rsidRDefault="001C19F3" w:rsidP="00521305">
            <w:pPr>
              <w:spacing w:after="0"/>
              <w:ind w:left="174"/>
              <w:rPr>
                <w:bCs/>
                <w:sz w:val="18"/>
                <w:szCs w:val="18"/>
              </w:rPr>
            </w:pPr>
            <w:r>
              <w:rPr>
                <w:bCs/>
                <w:sz w:val="18"/>
                <w:szCs w:val="18"/>
              </w:rPr>
              <w:t>Median (IQR)</w:t>
            </w:r>
            <w:r w:rsidRPr="00805297">
              <w:rPr>
                <w:bCs/>
                <w:sz w:val="18"/>
                <w:szCs w:val="18"/>
                <w:vertAlign w:val="superscript"/>
              </w:rPr>
              <w:t>4</w:t>
            </w:r>
          </w:p>
        </w:tc>
        <w:tc>
          <w:tcPr>
            <w:tcW w:w="1559" w:type="dxa"/>
          </w:tcPr>
          <w:p w14:paraId="024D4D43" w14:textId="77777777" w:rsidR="001C19F3" w:rsidRPr="00CD68C9" w:rsidRDefault="001C19F3" w:rsidP="00521305">
            <w:pPr>
              <w:spacing w:after="0"/>
              <w:jc w:val="center"/>
              <w:rPr>
                <w:sz w:val="18"/>
                <w:szCs w:val="18"/>
              </w:rPr>
            </w:pPr>
            <w:r>
              <w:rPr>
                <w:sz w:val="18"/>
                <w:szCs w:val="18"/>
              </w:rPr>
              <w:t>2 (3)</w:t>
            </w:r>
          </w:p>
        </w:tc>
        <w:tc>
          <w:tcPr>
            <w:tcW w:w="1560" w:type="dxa"/>
          </w:tcPr>
          <w:p w14:paraId="6A99C679" w14:textId="77777777" w:rsidR="001C19F3" w:rsidRPr="00CD68C9" w:rsidRDefault="001C19F3" w:rsidP="00521305">
            <w:pPr>
              <w:spacing w:after="0"/>
              <w:jc w:val="center"/>
              <w:rPr>
                <w:sz w:val="18"/>
                <w:szCs w:val="18"/>
              </w:rPr>
            </w:pPr>
            <w:r>
              <w:rPr>
                <w:sz w:val="18"/>
                <w:szCs w:val="18"/>
              </w:rPr>
              <w:t>3 (3)</w:t>
            </w:r>
          </w:p>
        </w:tc>
        <w:tc>
          <w:tcPr>
            <w:tcW w:w="1417" w:type="dxa"/>
          </w:tcPr>
          <w:p w14:paraId="28600693" w14:textId="77777777" w:rsidR="001C19F3" w:rsidRPr="00CD68C9" w:rsidRDefault="001C19F3" w:rsidP="00521305">
            <w:pPr>
              <w:spacing w:after="0"/>
              <w:jc w:val="center"/>
              <w:rPr>
                <w:sz w:val="18"/>
                <w:szCs w:val="18"/>
              </w:rPr>
            </w:pPr>
            <w:r>
              <w:rPr>
                <w:sz w:val="18"/>
                <w:szCs w:val="18"/>
              </w:rPr>
              <w:t>3 (4)</w:t>
            </w:r>
          </w:p>
        </w:tc>
        <w:tc>
          <w:tcPr>
            <w:tcW w:w="1559" w:type="dxa"/>
          </w:tcPr>
          <w:p w14:paraId="06E8EE20" w14:textId="77777777" w:rsidR="001C19F3" w:rsidRPr="00CD68C9" w:rsidRDefault="001C19F3" w:rsidP="00521305">
            <w:pPr>
              <w:spacing w:after="0"/>
              <w:jc w:val="center"/>
              <w:rPr>
                <w:sz w:val="18"/>
                <w:szCs w:val="18"/>
              </w:rPr>
            </w:pPr>
            <w:r w:rsidRPr="00CD68C9">
              <w:rPr>
                <w:sz w:val="18"/>
                <w:szCs w:val="18"/>
              </w:rPr>
              <w:t>3 (</w:t>
            </w:r>
            <w:r>
              <w:rPr>
                <w:sz w:val="18"/>
                <w:szCs w:val="18"/>
              </w:rPr>
              <w:t>3</w:t>
            </w:r>
            <w:r w:rsidRPr="00CD68C9">
              <w:rPr>
                <w:sz w:val="18"/>
                <w:szCs w:val="18"/>
              </w:rPr>
              <w:t>)</w:t>
            </w:r>
          </w:p>
        </w:tc>
      </w:tr>
      <w:tr w:rsidR="001C19F3" w:rsidRPr="007C4473" w14:paraId="0925DBCA" w14:textId="77777777" w:rsidTr="00521305">
        <w:trPr>
          <w:jc w:val="center"/>
        </w:trPr>
        <w:tc>
          <w:tcPr>
            <w:tcW w:w="2405" w:type="dxa"/>
          </w:tcPr>
          <w:p w14:paraId="02C176E2" w14:textId="77777777" w:rsidR="001C19F3" w:rsidRPr="0058112A" w:rsidRDefault="001C19F3" w:rsidP="00521305">
            <w:pPr>
              <w:spacing w:after="0"/>
              <w:ind w:left="174"/>
              <w:rPr>
                <w:sz w:val="18"/>
                <w:szCs w:val="18"/>
              </w:rPr>
            </w:pPr>
            <w:r>
              <w:rPr>
                <w:sz w:val="18"/>
              </w:rPr>
              <w:t>Less than 5</w:t>
            </w:r>
          </w:p>
        </w:tc>
        <w:tc>
          <w:tcPr>
            <w:tcW w:w="1559" w:type="dxa"/>
          </w:tcPr>
          <w:p w14:paraId="52FA7E30" w14:textId="77777777" w:rsidR="001C19F3" w:rsidRPr="00CD68C9" w:rsidRDefault="001C19F3" w:rsidP="00521305">
            <w:pPr>
              <w:spacing w:after="0"/>
              <w:jc w:val="right"/>
              <w:rPr>
                <w:bCs/>
                <w:sz w:val="18"/>
                <w:szCs w:val="18"/>
              </w:rPr>
            </w:pPr>
            <w:r>
              <w:rPr>
                <w:bCs/>
                <w:sz w:val="18"/>
                <w:szCs w:val="18"/>
              </w:rPr>
              <w:t>1,175 (79.6%)</w:t>
            </w:r>
          </w:p>
        </w:tc>
        <w:tc>
          <w:tcPr>
            <w:tcW w:w="1560" w:type="dxa"/>
          </w:tcPr>
          <w:p w14:paraId="6EC7D938" w14:textId="77777777" w:rsidR="001C19F3" w:rsidRPr="00CD68C9" w:rsidRDefault="001C19F3" w:rsidP="00521305">
            <w:pPr>
              <w:spacing w:after="0"/>
              <w:jc w:val="right"/>
              <w:rPr>
                <w:bCs/>
                <w:sz w:val="18"/>
                <w:szCs w:val="18"/>
              </w:rPr>
            </w:pPr>
            <w:r>
              <w:rPr>
                <w:bCs/>
                <w:sz w:val="18"/>
                <w:szCs w:val="18"/>
              </w:rPr>
              <w:t>2,818 (71.1%)</w:t>
            </w:r>
          </w:p>
        </w:tc>
        <w:tc>
          <w:tcPr>
            <w:tcW w:w="1417" w:type="dxa"/>
          </w:tcPr>
          <w:p w14:paraId="03E52BC3" w14:textId="77777777" w:rsidR="001C19F3" w:rsidRPr="00CD68C9" w:rsidRDefault="001C19F3" w:rsidP="00521305">
            <w:pPr>
              <w:spacing w:after="0"/>
              <w:jc w:val="right"/>
              <w:rPr>
                <w:bCs/>
                <w:sz w:val="18"/>
                <w:szCs w:val="18"/>
              </w:rPr>
            </w:pPr>
            <w:r>
              <w:rPr>
                <w:bCs/>
                <w:sz w:val="18"/>
                <w:szCs w:val="18"/>
              </w:rPr>
              <w:t>1,715 (63.6%)</w:t>
            </w:r>
          </w:p>
        </w:tc>
        <w:tc>
          <w:tcPr>
            <w:tcW w:w="1559" w:type="dxa"/>
          </w:tcPr>
          <w:p w14:paraId="09CC9968" w14:textId="77777777" w:rsidR="001C19F3" w:rsidRPr="00CD68C9" w:rsidRDefault="001C19F3" w:rsidP="00521305">
            <w:pPr>
              <w:spacing w:after="0"/>
              <w:jc w:val="right"/>
              <w:rPr>
                <w:sz w:val="18"/>
                <w:szCs w:val="18"/>
              </w:rPr>
            </w:pPr>
            <w:r w:rsidRPr="00CD68C9">
              <w:rPr>
                <w:bCs/>
                <w:sz w:val="18"/>
                <w:szCs w:val="18"/>
              </w:rPr>
              <w:t>5</w:t>
            </w:r>
            <w:r>
              <w:rPr>
                <w:bCs/>
                <w:sz w:val="18"/>
                <w:szCs w:val="18"/>
              </w:rPr>
              <w:t>,826</w:t>
            </w:r>
            <w:r w:rsidRPr="00CD68C9">
              <w:rPr>
                <w:bCs/>
                <w:sz w:val="18"/>
                <w:szCs w:val="18"/>
              </w:rPr>
              <w:t xml:space="preserve"> (</w:t>
            </w:r>
            <w:r>
              <w:rPr>
                <w:bCs/>
                <w:sz w:val="18"/>
                <w:szCs w:val="18"/>
              </w:rPr>
              <w:t>70.0</w:t>
            </w:r>
            <w:r w:rsidRPr="00CD68C9">
              <w:rPr>
                <w:bCs/>
                <w:sz w:val="18"/>
                <w:szCs w:val="18"/>
              </w:rPr>
              <w:t>%)</w:t>
            </w:r>
          </w:p>
        </w:tc>
      </w:tr>
      <w:tr w:rsidR="001C19F3" w:rsidRPr="007C4473" w14:paraId="07BE5757" w14:textId="77777777" w:rsidTr="00521305">
        <w:trPr>
          <w:jc w:val="center"/>
        </w:trPr>
        <w:tc>
          <w:tcPr>
            <w:tcW w:w="2405" w:type="dxa"/>
          </w:tcPr>
          <w:p w14:paraId="0C6D7FEB" w14:textId="77777777" w:rsidR="001C19F3" w:rsidRPr="0058112A" w:rsidRDefault="001C19F3" w:rsidP="00521305">
            <w:pPr>
              <w:spacing w:after="0"/>
              <w:ind w:left="174"/>
              <w:rPr>
                <w:sz w:val="18"/>
                <w:szCs w:val="18"/>
              </w:rPr>
            </w:pPr>
            <w:r w:rsidRPr="0058112A">
              <w:rPr>
                <w:sz w:val="18"/>
              </w:rPr>
              <w:t>5 to 9</w:t>
            </w:r>
          </w:p>
        </w:tc>
        <w:tc>
          <w:tcPr>
            <w:tcW w:w="1559" w:type="dxa"/>
          </w:tcPr>
          <w:p w14:paraId="5FD1224D" w14:textId="77777777" w:rsidR="001C19F3" w:rsidRPr="00CD68C9" w:rsidRDefault="001C19F3" w:rsidP="00521305">
            <w:pPr>
              <w:spacing w:after="0"/>
              <w:jc w:val="right"/>
              <w:rPr>
                <w:bCs/>
                <w:sz w:val="18"/>
                <w:szCs w:val="18"/>
              </w:rPr>
            </w:pPr>
            <w:r>
              <w:rPr>
                <w:bCs/>
                <w:sz w:val="18"/>
                <w:szCs w:val="18"/>
              </w:rPr>
              <w:t>247 (16.7%)</w:t>
            </w:r>
          </w:p>
        </w:tc>
        <w:tc>
          <w:tcPr>
            <w:tcW w:w="1560" w:type="dxa"/>
          </w:tcPr>
          <w:p w14:paraId="751DCC32" w14:textId="77777777" w:rsidR="001C19F3" w:rsidRPr="00CD68C9" w:rsidRDefault="001C19F3" w:rsidP="00521305">
            <w:pPr>
              <w:spacing w:after="0"/>
              <w:jc w:val="right"/>
              <w:rPr>
                <w:bCs/>
                <w:sz w:val="18"/>
                <w:szCs w:val="18"/>
              </w:rPr>
            </w:pPr>
            <w:r>
              <w:rPr>
                <w:bCs/>
                <w:sz w:val="18"/>
                <w:szCs w:val="18"/>
              </w:rPr>
              <w:t>957 (24.1%)</w:t>
            </w:r>
          </w:p>
        </w:tc>
        <w:tc>
          <w:tcPr>
            <w:tcW w:w="1417" w:type="dxa"/>
          </w:tcPr>
          <w:p w14:paraId="132F8D68" w14:textId="77777777" w:rsidR="001C19F3" w:rsidRPr="00CD68C9" w:rsidRDefault="001C19F3" w:rsidP="00521305">
            <w:pPr>
              <w:spacing w:after="0"/>
              <w:jc w:val="right"/>
              <w:rPr>
                <w:bCs/>
                <w:sz w:val="18"/>
                <w:szCs w:val="18"/>
              </w:rPr>
            </w:pPr>
            <w:r>
              <w:rPr>
                <w:bCs/>
                <w:sz w:val="18"/>
                <w:szCs w:val="18"/>
              </w:rPr>
              <w:t>763 (28.3%)</w:t>
            </w:r>
          </w:p>
        </w:tc>
        <w:tc>
          <w:tcPr>
            <w:tcW w:w="1559" w:type="dxa"/>
          </w:tcPr>
          <w:p w14:paraId="22509058" w14:textId="77777777" w:rsidR="001C19F3" w:rsidRPr="00CD68C9" w:rsidRDefault="001C19F3" w:rsidP="00521305">
            <w:pPr>
              <w:spacing w:after="0"/>
              <w:jc w:val="right"/>
              <w:rPr>
                <w:sz w:val="18"/>
                <w:szCs w:val="18"/>
              </w:rPr>
            </w:pPr>
            <w:r>
              <w:rPr>
                <w:bCs/>
                <w:sz w:val="18"/>
                <w:szCs w:val="18"/>
              </w:rPr>
              <w:t>2,024</w:t>
            </w:r>
            <w:r w:rsidRPr="00CD68C9">
              <w:rPr>
                <w:bCs/>
                <w:sz w:val="18"/>
                <w:szCs w:val="18"/>
              </w:rPr>
              <w:t xml:space="preserve"> (24.</w:t>
            </w:r>
            <w:r>
              <w:rPr>
                <w:bCs/>
                <w:sz w:val="18"/>
                <w:szCs w:val="18"/>
              </w:rPr>
              <w:t>3</w:t>
            </w:r>
            <w:r w:rsidRPr="00CD68C9">
              <w:rPr>
                <w:bCs/>
                <w:sz w:val="18"/>
                <w:szCs w:val="18"/>
              </w:rPr>
              <w:t>%)</w:t>
            </w:r>
          </w:p>
        </w:tc>
      </w:tr>
      <w:tr w:rsidR="001C19F3" w:rsidRPr="007C4473" w14:paraId="5545F81B" w14:textId="77777777" w:rsidTr="00521305">
        <w:trPr>
          <w:jc w:val="center"/>
        </w:trPr>
        <w:tc>
          <w:tcPr>
            <w:tcW w:w="2405" w:type="dxa"/>
          </w:tcPr>
          <w:p w14:paraId="2C295024" w14:textId="77777777" w:rsidR="001C19F3" w:rsidRPr="0058112A" w:rsidRDefault="001C19F3" w:rsidP="00521305">
            <w:pPr>
              <w:spacing w:after="0"/>
              <w:ind w:left="174"/>
              <w:rPr>
                <w:sz w:val="18"/>
                <w:szCs w:val="18"/>
              </w:rPr>
            </w:pPr>
            <w:r w:rsidRPr="0058112A">
              <w:rPr>
                <w:sz w:val="18"/>
              </w:rPr>
              <w:t>10 to 14</w:t>
            </w:r>
          </w:p>
        </w:tc>
        <w:tc>
          <w:tcPr>
            <w:tcW w:w="1559" w:type="dxa"/>
          </w:tcPr>
          <w:p w14:paraId="47F43D02" w14:textId="77777777" w:rsidR="001C19F3" w:rsidRPr="00CD68C9" w:rsidRDefault="001C19F3" w:rsidP="00521305">
            <w:pPr>
              <w:spacing w:after="0"/>
              <w:jc w:val="right"/>
              <w:rPr>
                <w:bCs/>
                <w:sz w:val="18"/>
                <w:szCs w:val="18"/>
              </w:rPr>
            </w:pPr>
            <w:r>
              <w:rPr>
                <w:bCs/>
                <w:sz w:val="18"/>
                <w:szCs w:val="18"/>
              </w:rPr>
              <w:t>23 (1.6%)</w:t>
            </w:r>
          </w:p>
        </w:tc>
        <w:tc>
          <w:tcPr>
            <w:tcW w:w="1560" w:type="dxa"/>
          </w:tcPr>
          <w:p w14:paraId="7FD55DF3" w14:textId="77777777" w:rsidR="001C19F3" w:rsidRPr="00CD68C9" w:rsidRDefault="001C19F3" w:rsidP="00521305">
            <w:pPr>
              <w:spacing w:after="0"/>
              <w:jc w:val="right"/>
              <w:rPr>
                <w:bCs/>
                <w:sz w:val="18"/>
                <w:szCs w:val="18"/>
              </w:rPr>
            </w:pPr>
            <w:r>
              <w:rPr>
                <w:bCs/>
                <w:sz w:val="18"/>
                <w:szCs w:val="18"/>
              </w:rPr>
              <w:t>110 (2.8%)</w:t>
            </w:r>
          </w:p>
        </w:tc>
        <w:tc>
          <w:tcPr>
            <w:tcW w:w="1417" w:type="dxa"/>
          </w:tcPr>
          <w:p w14:paraId="37822685" w14:textId="77777777" w:rsidR="001C19F3" w:rsidRPr="00CD68C9" w:rsidRDefault="001C19F3" w:rsidP="00521305">
            <w:pPr>
              <w:spacing w:after="0"/>
              <w:jc w:val="right"/>
              <w:rPr>
                <w:bCs/>
                <w:sz w:val="18"/>
                <w:szCs w:val="18"/>
              </w:rPr>
            </w:pPr>
            <w:r>
              <w:rPr>
                <w:bCs/>
                <w:sz w:val="18"/>
                <w:szCs w:val="18"/>
              </w:rPr>
              <w:t>142 (5.3%)</w:t>
            </w:r>
          </w:p>
        </w:tc>
        <w:tc>
          <w:tcPr>
            <w:tcW w:w="1559" w:type="dxa"/>
          </w:tcPr>
          <w:p w14:paraId="170C7DE2" w14:textId="77777777" w:rsidR="001C19F3" w:rsidRPr="00CD68C9" w:rsidRDefault="001C19F3" w:rsidP="00521305">
            <w:pPr>
              <w:spacing w:after="0"/>
              <w:jc w:val="right"/>
              <w:rPr>
                <w:sz w:val="18"/>
                <w:szCs w:val="18"/>
              </w:rPr>
            </w:pPr>
            <w:r w:rsidRPr="00CD68C9">
              <w:rPr>
                <w:bCs/>
                <w:sz w:val="18"/>
                <w:szCs w:val="18"/>
              </w:rPr>
              <w:t>2</w:t>
            </w:r>
            <w:r>
              <w:rPr>
                <w:bCs/>
                <w:sz w:val="18"/>
                <w:szCs w:val="18"/>
              </w:rPr>
              <w:t>84</w:t>
            </w:r>
            <w:r w:rsidRPr="00CD68C9">
              <w:rPr>
                <w:bCs/>
                <w:sz w:val="18"/>
                <w:szCs w:val="18"/>
              </w:rPr>
              <w:t xml:space="preserve"> (3.4%)</w:t>
            </w:r>
          </w:p>
        </w:tc>
      </w:tr>
      <w:tr w:rsidR="001C19F3" w:rsidRPr="007C4473" w14:paraId="1C77FB9B" w14:textId="77777777" w:rsidTr="00521305">
        <w:trPr>
          <w:jc w:val="center"/>
        </w:trPr>
        <w:tc>
          <w:tcPr>
            <w:tcW w:w="2405" w:type="dxa"/>
          </w:tcPr>
          <w:p w14:paraId="784BF5B4" w14:textId="77777777" w:rsidR="001C19F3" w:rsidRPr="0058112A" w:rsidRDefault="001C19F3" w:rsidP="00521305">
            <w:pPr>
              <w:spacing w:after="0"/>
              <w:ind w:left="174"/>
              <w:rPr>
                <w:sz w:val="18"/>
                <w:szCs w:val="18"/>
              </w:rPr>
            </w:pPr>
            <w:r w:rsidRPr="0058112A">
              <w:rPr>
                <w:sz w:val="18"/>
              </w:rPr>
              <w:t>15 or more</w:t>
            </w:r>
          </w:p>
        </w:tc>
        <w:tc>
          <w:tcPr>
            <w:tcW w:w="1559" w:type="dxa"/>
          </w:tcPr>
          <w:p w14:paraId="151DE8B0" w14:textId="77777777" w:rsidR="001C19F3" w:rsidRPr="00CD68C9" w:rsidRDefault="001C19F3" w:rsidP="00521305">
            <w:pPr>
              <w:spacing w:after="0"/>
              <w:jc w:val="right"/>
              <w:rPr>
                <w:bCs/>
                <w:sz w:val="18"/>
                <w:szCs w:val="18"/>
              </w:rPr>
            </w:pPr>
            <w:r>
              <w:rPr>
                <w:bCs/>
                <w:sz w:val="18"/>
                <w:szCs w:val="18"/>
              </w:rPr>
              <w:t>5 (0.3%)</w:t>
            </w:r>
          </w:p>
        </w:tc>
        <w:tc>
          <w:tcPr>
            <w:tcW w:w="1560" w:type="dxa"/>
          </w:tcPr>
          <w:p w14:paraId="377469CD" w14:textId="77777777" w:rsidR="001C19F3" w:rsidRPr="00CD68C9" w:rsidRDefault="001C19F3" w:rsidP="00521305">
            <w:pPr>
              <w:spacing w:after="0"/>
              <w:jc w:val="right"/>
              <w:rPr>
                <w:bCs/>
                <w:sz w:val="18"/>
                <w:szCs w:val="18"/>
              </w:rPr>
            </w:pPr>
            <w:r>
              <w:rPr>
                <w:bCs/>
                <w:sz w:val="18"/>
                <w:szCs w:val="18"/>
              </w:rPr>
              <w:t>27 (0.7%)</w:t>
            </w:r>
          </w:p>
        </w:tc>
        <w:tc>
          <w:tcPr>
            <w:tcW w:w="1417" w:type="dxa"/>
          </w:tcPr>
          <w:p w14:paraId="080BAA5A" w14:textId="77777777" w:rsidR="001C19F3" w:rsidRPr="00CD68C9" w:rsidRDefault="001C19F3" w:rsidP="00521305">
            <w:pPr>
              <w:spacing w:after="0"/>
              <w:jc w:val="right"/>
              <w:rPr>
                <w:bCs/>
                <w:sz w:val="18"/>
                <w:szCs w:val="18"/>
              </w:rPr>
            </w:pPr>
            <w:r>
              <w:rPr>
                <w:bCs/>
                <w:sz w:val="18"/>
                <w:szCs w:val="18"/>
              </w:rPr>
              <w:t>35 (1.3%)</w:t>
            </w:r>
          </w:p>
        </w:tc>
        <w:tc>
          <w:tcPr>
            <w:tcW w:w="1559" w:type="dxa"/>
          </w:tcPr>
          <w:p w14:paraId="4293001C" w14:textId="77777777" w:rsidR="001C19F3" w:rsidRPr="00CD68C9" w:rsidRDefault="001C19F3" w:rsidP="00521305">
            <w:pPr>
              <w:spacing w:after="0"/>
              <w:jc w:val="right"/>
              <w:rPr>
                <w:sz w:val="18"/>
                <w:szCs w:val="18"/>
              </w:rPr>
            </w:pPr>
            <w:r w:rsidRPr="00CD68C9">
              <w:rPr>
                <w:bCs/>
                <w:sz w:val="18"/>
                <w:szCs w:val="18"/>
              </w:rPr>
              <w:t>6</w:t>
            </w:r>
            <w:r>
              <w:rPr>
                <w:bCs/>
                <w:sz w:val="18"/>
                <w:szCs w:val="18"/>
              </w:rPr>
              <w:t>9</w:t>
            </w:r>
            <w:r w:rsidRPr="00CD68C9">
              <w:rPr>
                <w:bCs/>
                <w:sz w:val="18"/>
                <w:szCs w:val="18"/>
              </w:rPr>
              <w:t xml:space="preserve"> (0.8%)</w:t>
            </w:r>
          </w:p>
        </w:tc>
      </w:tr>
      <w:tr w:rsidR="001C19F3" w:rsidRPr="007C4473" w14:paraId="4263AC9A" w14:textId="77777777" w:rsidTr="00521305">
        <w:trPr>
          <w:jc w:val="center"/>
        </w:trPr>
        <w:tc>
          <w:tcPr>
            <w:tcW w:w="2405" w:type="dxa"/>
          </w:tcPr>
          <w:p w14:paraId="41FC1D16" w14:textId="77777777" w:rsidR="001C19F3" w:rsidRPr="0058112A" w:rsidRDefault="001C19F3" w:rsidP="00521305">
            <w:pPr>
              <w:spacing w:after="0"/>
              <w:ind w:left="174"/>
              <w:rPr>
                <w:sz w:val="18"/>
              </w:rPr>
            </w:pPr>
            <w:r>
              <w:rPr>
                <w:sz w:val="18"/>
              </w:rPr>
              <w:t>Unknown</w:t>
            </w:r>
          </w:p>
        </w:tc>
        <w:tc>
          <w:tcPr>
            <w:tcW w:w="1559" w:type="dxa"/>
          </w:tcPr>
          <w:p w14:paraId="7FF49C2C" w14:textId="77777777" w:rsidR="001C19F3" w:rsidRPr="00CD68C9" w:rsidRDefault="001C19F3" w:rsidP="00521305">
            <w:pPr>
              <w:spacing w:after="0"/>
              <w:jc w:val="right"/>
              <w:rPr>
                <w:bCs/>
                <w:sz w:val="18"/>
                <w:szCs w:val="18"/>
              </w:rPr>
            </w:pPr>
            <w:r>
              <w:rPr>
                <w:bCs/>
                <w:sz w:val="18"/>
                <w:szCs w:val="18"/>
              </w:rPr>
              <w:t>27 (1.8%)</w:t>
            </w:r>
          </w:p>
        </w:tc>
        <w:tc>
          <w:tcPr>
            <w:tcW w:w="1560" w:type="dxa"/>
          </w:tcPr>
          <w:p w14:paraId="66183340" w14:textId="77777777" w:rsidR="001C19F3" w:rsidRPr="00CD68C9" w:rsidRDefault="001C19F3" w:rsidP="00521305">
            <w:pPr>
              <w:spacing w:after="0"/>
              <w:jc w:val="right"/>
              <w:rPr>
                <w:bCs/>
                <w:sz w:val="18"/>
                <w:szCs w:val="18"/>
              </w:rPr>
            </w:pPr>
            <w:r>
              <w:rPr>
                <w:bCs/>
                <w:sz w:val="18"/>
                <w:szCs w:val="18"/>
              </w:rPr>
              <w:t>51 (1.3%)</w:t>
            </w:r>
          </w:p>
        </w:tc>
        <w:tc>
          <w:tcPr>
            <w:tcW w:w="1417" w:type="dxa"/>
          </w:tcPr>
          <w:p w14:paraId="49731469" w14:textId="77777777" w:rsidR="001C19F3" w:rsidRPr="00CD68C9" w:rsidRDefault="001C19F3" w:rsidP="00521305">
            <w:pPr>
              <w:spacing w:after="0"/>
              <w:jc w:val="right"/>
              <w:rPr>
                <w:bCs/>
                <w:sz w:val="18"/>
                <w:szCs w:val="18"/>
              </w:rPr>
            </w:pPr>
            <w:r>
              <w:rPr>
                <w:bCs/>
                <w:sz w:val="18"/>
                <w:szCs w:val="18"/>
              </w:rPr>
              <w:t>42 (1.6%)</w:t>
            </w:r>
          </w:p>
        </w:tc>
        <w:tc>
          <w:tcPr>
            <w:tcW w:w="1559" w:type="dxa"/>
          </w:tcPr>
          <w:p w14:paraId="5EE2EB24" w14:textId="77777777" w:rsidR="001C19F3" w:rsidRPr="00CD68C9" w:rsidRDefault="001C19F3" w:rsidP="00521305">
            <w:pPr>
              <w:spacing w:after="0"/>
              <w:jc w:val="right"/>
              <w:rPr>
                <w:bCs/>
                <w:sz w:val="18"/>
                <w:szCs w:val="18"/>
              </w:rPr>
            </w:pPr>
            <w:r>
              <w:rPr>
                <w:bCs/>
                <w:sz w:val="18"/>
                <w:szCs w:val="18"/>
              </w:rPr>
              <w:t>120 (1.4%)</w:t>
            </w:r>
          </w:p>
        </w:tc>
      </w:tr>
      <w:tr w:rsidR="001C19F3" w:rsidRPr="007C4473" w14:paraId="58E01BF4" w14:textId="77777777" w:rsidTr="00521305">
        <w:trPr>
          <w:jc w:val="center"/>
        </w:trPr>
        <w:tc>
          <w:tcPr>
            <w:tcW w:w="8500" w:type="dxa"/>
            <w:gridSpan w:val="5"/>
          </w:tcPr>
          <w:p w14:paraId="04E178B3" w14:textId="77777777" w:rsidR="001C19F3" w:rsidRPr="00CD68C9" w:rsidRDefault="001C19F3" w:rsidP="00521305">
            <w:pPr>
              <w:spacing w:after="0"/>
              <w:rPr>
                <w:sz w:val="18"/>
                <w:szCs w:val="18"/>
              </w:rPr>
            </w:pPr>
            <w:r>
              <w:rPr>
                <w:b/>
                <w:bCs/>
                <w:sz w:val="18"/>
                <w:szCs w:val="18"/>
              </w:rPr>
              <w:t>Number of GP consultations in</w:t>
            </w:r>
            <w:r w:rsidRPr="00F278B6">
              <w:rPr>
                <w:b/>
                <w:bCs/>
                <w:sz w:val="18"/>
                <w:szCs w:val="18"/>
              </w:rPr>
              <w:t xml:space="preserve"> the last </w:t>
            </w:r>
            <w:r>
              <w:rPr>
                <w:b/>
                <w:bCs/>
                <w:sz w:val="18"/>
                <w:szCs w:val="18"/>
              </w:rPr>
              <w:t>6</w:t>
            </w:r>
            <w:r w:rsidRPr="00F278B6">
              <w:rPr>
                <w:b/>
                <w:bCs/>
                <w:sz w:val="18"/>
                <w:szCs w:val="18"/>
              </w:rPr>
              <w:t xml:space="preserve"> months</w:t>
            </w:r>
          </w:p>
        </w:tc>
      </w:tr>
      <w:tr w:rsidR="001C19F3" w:rsidRPr="007C4473" w14:paraId="3EC24D98" w14:textId="77777777" w:rsidTr="00521305">
        <w:trPr>
          <w:jc w:val="center"/>
        </w:trPr>
        <w:tc>
          <w:tcPr>
            <w:tcW w:w="2405" w:type="dxa"/>
          </w:tcPr>
          <w:p w14:paraId="289D50EF" w14:textId="77777777" w:rsidR="001C19F3" w:rsidRPr="005647EC" w:rsidRDefault="001C19F3" w:rsidP="00521305">
            <w:pPr>
              <w:spacing w:after="0"/>
              <w:ind w:left="174"/>
              <w:rPr>
                <w:bCs/>
                <w:sz w:val="18"/>
                <w:szCs w:val="18"/>
              </w:rPr>
            </w:pPr>
            <w:r>
              <w:rPr>
                <w:bCs/>
                <w:sz w:val="18"/>
                <w:szCs w:val="18"/>
              </w:rPr>
              <w:t>Mean (SD)</w:t>
            </w:r>
            <w:r w:rsidRPr="00805297">
              <w:rPr>
                <w:bCs/>
                <w:sz w:val="18"/>
                <w:szCs w:val="18"/>
                <w:vertAlign w:val="superscript"/>
              </w:rPr>
              <w:t>4</w:t>
            </w:r>
          </w:p>
        </w:tc>
        <w:tc>
          <w:tcPr>
            <w:tcW w:w="1559" w:type="dxa"/>
          </w:tcPr>
          <w:p w14:paraId="3636ACE1" w14:textId="77777777" w:rsidR="001C19F3" w:rsidRPr="00CD68C9" w:rsidRDefault="001C19F3" w:rsidP="00521305">
            <w:pPr>
              <w:spacing w:after="0"/>
              <w:jc w:val="center"/>
              <w:rPr>
                <w:sz w:val="18"/>
                <w:szCs w:val="18"/>
              </w:rPr>
            </w:pPr>
            <w:r>
              <w:rPr>
                <w:sz w:val="18"/>
                <w:szCs w:val="18"/>
              </w:rPr>
              <w:t>5.53 (4.13)</w:t>
            </w:r>
          </w:p>
        </w:tc>
        <w:tc>
          <w:tcPr>
            <w:tcW w:w="1560" w:type="dxa"/>
          </w:tcPr>
          <w:p w14:paraId="6A92F539" w14:textId="77777777" w:rsidR="001C19F3" w:rsidRPr="00CD68C9" w:rsidRDefault="001C19F3" w:rsidP="00521305">
            <w:pPr>
              <w:spacing w:after="0"/>
              <w:jc w:val="center"/>
              <w:rPr>
                <w:sz w:val="18"/>
                <w:szCs w:val="18"/>
              </w:rPr>
            </w:pPr>
            <w:r>
              <w:rPr>
                <w:sz w:val="18"/>
                <w:szCs w:val="18"/>
              </w:rPr>
              <w:t>6.61 (4.89)</w:t>
            </w:r>
          </w:p>
        </w:tc>
        <w:tc>
          <w:tcPr>
            <w:tcW w:w="1417" w:type="dxa"/>
          </w:tcPr>
          <w:p w14:paraId="22D68278" w14:textId="77777777" w:rsidR="001C19F3" w:rsidRPr="00CD68C9" w:rsidRDefault="001C19F3" w:rsidP="00521305">
            <w:pPr>
              <w:spacing w:after="0"/>
              <w:jc w:val="center"/>
              <w:rPr>
                <w:sz w:val="18"/>
                <w:szCs w:val="18"/>
              </w:rPr>
            </w:pPr>
            <w:r>
              <w:rPr>
                <w:sz w:val="18"/>
                <w:szCs w:val="18"/>
              </w:rPr>
              <w:t>8.06 (6.24)</w:t>
            </w:r>
          </w:p>
        </w:tc>
        <w:tc>
          <w:tcPr>
            <w:tcW w:w="1559" w:type="dxa"/>
          </w:tcPr>
          <w:p w14:paraId="1A580B9D" w14:textId="77777777" w:rsidR="001C19F3" w:rsidRPr="00CD68C9" w:rsidRDefault="001C19F3" w:rsidP="00521305">
            <w:pPr>
              <w:spacing w:after="0"/>
              <w:jc w:val="center"/>
              <w:rPr>
                <w:sz w:val="18"/>
                <w:szCs w:val="18"/>
              </w:rPr>
            </w:pPr>
            <w:r w:rsidRPr="00CD68C9">
              <w:rPr>
                <w:sz w:val="18"/>
                <w:szCs w:val="18"/>
              </w:rPr>
              <w:t>6.</w:t>
            </w:r>
            <w:r>
              <w:rPr>
                <w:sz w:val="18"/>
                <w:szCs w:val="18"/>
              </w:rPr>
              <w:t>92</w:t>
            </w:r>
            <w:r w:rsidRPr="00CD68C9">
              <w:rPr>
                <w:sz w:val="18"/>
                <w:szCs w:val="18"/>
              </w:rPr>
              <w:t xml:space="preserve"> (5.</w:t>
            </w:r>
            <w:r>
              <w:rPr>
                <w:sz w:val="18"/>
                <w:szCs w:val="18"/>
              </w:rPr>
              <w:t>34</w:t>
            </w:r>
            <w:r w:rsidRPr="00CD68C9">
              <w:rPr>
                <w:sz w:val="18"/>
                <w:szCs w:val="18"/>
              </w:rPr>
              <w:t>)</w:t>
            </w:r>
          </w:p>
        </w:tc>
      </w:tr>
      <w:tr w:rsidR="001C19F3" w:rsidRPr="007C4473" w14:paraId="3A4D3F6F" w14:textId="77777777" w:rsidTr="00521305">
        <w:trPr>
          <w:jc w:val="center"/>
        </w:trPr>
        <w:tc>
          <w:tcPr>
            <w:tcW w:w="2405" w:type="dxa"/>
          </w:tcPr>
          <w:p w14:paraId="3F27859A" w14:textId="77777777" w:rsidR="001C19F3" w:rsidRPr="005647EC" w:rsidRDefault="001C19F3" w:rsidP="00521305">
            <w:pPr>
              <w:spacing w:after="0"/>
              <w:ind w:left="174"/>
              <w:rPr>
                <w:bCs/>
                <w:sz w:val="18"/>
                <w:szCs w:val="18"/>
              </w:rPr>
            </w:pPr>
            <w:r>
              <w:rPr>
                <w:bCs/>
                <w:sz w:val="18"/>
                <w:szCs w:val="18"/>
              </w:rPr>
              <w:t>Median (IQR)</w:t>
            </w:r>
            <w:r w:rsidRPr="00805297">
              <w:rPr>
                <w:bCs/>
                <w:sz w:val="18"/>
                <w:szCs w:val="18"/>
                <w:vertAlign w:val="superscript"/>
              </w:rPr>
              <w:t>4</w:t>
            </w:r>
          </w:p>
        </w:tc>
        <w:tc>
          <w:tcPr>
            <w:tcW w:w="1559" w:type="dxa"/>
          </w:tcPr>
          <w:p w14:paraId="6A3D466D" w14:textId="77777777" w:rsidR="001C19F3" w:rsidRPr="00CD68C9" w:rsidRDefault="001C19F3" w:rsidP="00521305">
            <w:pPr>
              <w:spacing w:after="0"/>
              <w:jc w:val="center"/>
              <w:rPr>
                <w:sz w:val="18"/>
                <w:szCs w:val="18"/>
              </w:rPr>
            </w:pPr>
            <w:r>
              <w:rPr>
                <w:sz w:val="18"/>
                <w:szCs w:val="18"/>
              </w:rPr>
              <w:t>5 (4)</w:t>
            </w:r>
          </w:p>
        </w:tc>
        <w:tc>
          <w:tcPr>
            <w:tcW w:w="1560" w:type="dxa"/>
          </w:tcPr>
          <w:p w14:paraId="4BC3A980" w14:textId="77777777" w:rsidR="001C19F3" w:rsidRPr="00CD68C9" w:rsidRDefault="001C19F3" w:rsidP="00521305">
            <w:pPr>
              <w:spacing w:after="0"/>
              <w:jc w:val="center"/>
              <w:rPr>
                <w:sz w:val="18"/>
                <w:szCs w:val="18"/>
              </w:rPr>
            </w:pPr>
            <w:r>
              <w:rPr>
                <w:sz w:val="18"/>
                <w:szCs w:val="18"/>
              </w:rPr>
              <w:t>6 (6)</w:t>
            </w:r>
          </w:p>
        </w:tc>
        <w:tc>
          <w:tcPr>
            <w:tcW w:w="1417" w:type="dxa"/>
          </w:tcPr>
          <w:p w14:paraId="2C4A6E8A" w14:textId="77777777" w:rsidR="001C19F3" w:rsidRPr="00CD68C9" w:rsidRDefault="001C19F3" w:rsidP="00521305">
            <w:pPr>
              <w:spacing w:after="0"/>
              <w:jc w:val="center"/>
              <w:rPr>
                <w:sz w:val="18"/>
                <w:szCs w:val="18"/>
              </w:rPr>
            </w:pPr>
            <w:r>
              <w:rPr>
                <w:sz w:val="18"/>
                <w:szCs w:val="18"/>
              </w:rPr>
              <w:t>7 (7)</w:t>
            </w:r>
          </w:p>
        </w:tc>
        <w:tc>
          <w:tcPr>
            <w:tcW w:w="1559" w:type="dxa"/>
          </w:tcPr>
          <w:p w14:paraId="3E7F7235" w14:textId="77777777" w:rsidR="001C19F3" w:rsidRPr="00CD68C9" w:rsidRDefault="001C19F3" w:rsidP="00521305">
            <w:pPr>
              <w:spacing w:after="0"/>
              <w:jc w:val="center"/>
              <w:rPr>
                <w:sz w:val="18"/>
                <w:szCs w:val="18"/>
              </w:rPr>
            </w:pPr>
            <w:r w:rsidRPr="00CD68C9">
              <w:rPr>
                <w:sz w:val="18"/>
                <w:szCs w:val="18"/>
              </w:rPr>
              <w:t>6 (</w:t>
            </w:r>
            <w:r>
              <w:rPr>
                <w:sz w:val="18"/>
                <w:szCs w:val="18"/>
              </w:rPr>
              <w:t>6</w:t>
            </w:r>
            <w:r w:rsidRPr="00CD68C9">
              <w:rPr>
                <w:sz w:val="18"/>
                <w:szCs w:val="18"/>
              </w:rPr>
              <w:t>)</w:t>
            </w:r>
          </w:p>
        </w:tc>
      </w:tr>
      <w:tr w:rsidR="001C19F3" w:rsidRPr="007C4473" w14:paraId="272B2CC7" w14:textId="77777777" w:rsidTr="00521305">
        <w:trPr>
          <w:jc w:val="center"/>
        </w:trPr>
        <w:tc>
          <w:tcPr>
            <w:tcW w:w="2405" w:type="dxa"/>
          </w:tcPr>
          <w:p w14:paraId="4087598B" w14:textId="77777777" w:rsidR="001C19F3" w:rsidRPr="0058112A" w:rsidRDefault="001C19F3" w:rsidP="00521305">
            <w:pPr>
              <w:spacing w:after="0"/>
              <w:ind w:left="174"/>
              <w:rPr>
                <w:sz w:val="18"/>
                <w:szCs w:val="18"/>
              </w:rPr>
            </w:pPr>
            <w:r>
              <w:rPr>
                <w:sz w:val="18"/>
              </w:rPr>
              <w:t>Less than 5</w:t>
            </w:r>
          </w:p>
        </w:tc>
        <w:tc>
          <w:tcPr>
            <w:tcW w:w="1559" w:type="dxa"/>
          </w:tcPr>
          <w:p w14:paraId="238309A2" w14:textId="77777777" w:rsidR="001C19F3" w:rsidRPr="00CD68C9" w:rsidRDefault="001C19F3" w:rsidP="00521305">
            <w:pPr>
              <w:spacing w:after="0"/>
              <w:jc w:val="right"/>
              <w:rPr>
                <w:sz w:val="18"/>
                <w:szCs w:val="18"/>
              </w:rPr>
            </w:pPr>
            <w:r>
              <w:rPr>
                <w:sz w:val="18"/>
                <w:szCs w:val="18"/>
              </w:rPr>
              <w:t>722 (48.9%)</w:t>
            </w:r>
          </w:p>
        </w:tc>
        <w:tc>
          <w:tcPr>
            <w:tcW w:w="1560" w:type="dxa"/>
          </w:tcPr>
          <w:p w14:paraId="7515410C" w14:textId="77777777" w:rsidR="001C19F3" w:rsidRPr="00CD68C9" w:rsidRDefault="001C19F3" w:rsidP="00521305">
            <w:pPr>
              <w:spacing w:after="0"/>
              <w:jc w:val="right"/>
              <w:rPr>
                <w:sz w:val="18"/>
                <w:szCs w:val="18"/>
              </w:rPr>
            </w:pPr>
            <w:r>
              <w:rPr>
                <w:sz w:val="18"/>
                <w:szCs w:val="18"/>
              </w:rPr>
              <w:t>1,527 (38.5%)</w:t>
            </w:r>
          </w:p>
        </w:tc>
        <w:tc>
          <w:tcPr>
            <w:tcW w:w="1417" w:type="dxa"/>
          </w:tcPr>
          <w:p w14:paraId="4B6D6836" w14:textId="77777777" w:rsidR="001C19F3" w:rsidRPr="00CD68C9" w:rsidRDefault="001C19F3" w:rsidP="00521305">
            <w:pPr>
              <w:spacing w:after="0"/>
              <w:jc w:val="right"/>
              <w:rPr>
                <w:sz w:val="18"/>
                <w:szCs w:val="18"/>
              </w:rPr>
            </w:pPr>
            <w:r>
              <w:rPr>
                <w:sz w:val="18"/>
                <w:szCs w:val="18"/>
              </w:rPr>
              <w:t>854 (31.7%)</w:t>
            </w:r>
          </w:p>
        </w:tc>
        <w:tc>
          <w:tcPr>
            <w:tcW w:w="1559" w:type="dxa"/>
          </w:tcPr>
          <w:p w14:paraId="3F43CD63" w14:textId="77777777" w:rsidR="001C19F3" w:rsidRPr="00CD68C9" w:rsidRDefault="001C19F3" w:rsidP="00521305">
            <w:pPr>
              <w:spacing w:after="0"/>
              <w:jc w:val="right"/>
              <w:rPr>
                <w:sz w:val="18"/>
                <w:szCs w:val="18"/>
              </w:rPr>
            </w:pPr>
            <w:r>
              <w:rPr>
                <w:sz w:val="18"/>
                <w:szCs w:val="18"/>
              </w:rPr>
              <w:t>3,161</w:t>
            </w:r>
            <w:r w:rsidRPr="00CD68C9">
              <w:rPr>
                <w:sz w:val="18"/>
                <w:szCs w:val="18"/>
              </w:rPr>
              <w:t xml:space="preserve"> (3</w:t>
            </w:r>
            <w:r>
              <w:rPr>
                <w:sz w:val="18"/>
                <w:szCs w:val="18"/>
              </w:rPr>
              <w:t>8</w:t>
            </w:r>
            <w:r w:rsidRPr="00CD68C9">
              <w:rPr>
                <w:sz w:val="18"/>
                <w:szCs w:val="18"/>
              </w:rPr>
              <w:t>.</w:t>
            </w:r>
            <w:r>
              <w:rPr>
                <w:sz w:val="18"/>
                <w:szCs w:val="18"/>
              </w:rPr>
              <w:t>0</w:t>
            </w:r>
            <w:r w:rsidRPr="00CD68C9">
              <w:rPr>
                <w:sz w:val="18"/>
                <w:szCs w:val="18"/>
              </w:rPr>
              <w:t>%)</w:t>
            </w:r>
          </w:p>
        </w:tc>
      </w:tr>
      <w:tr w:rsidR="001C19F3" w:rsidRPr="001178C4" w14:paraId="66832C8C" w14:textId="77777777" w:rsidTr="00521305">
        <w:trPr>
          <w:jc w:val="center"/>
        </w:trPr>
        <w:tc>
          <w:tcPr>
            <w:tcW w:w="2405" w:type="dxa"/>
          </w:tcPr>
          <w:p w14:paraId="3E6191A7" w14:textId="77777777" w:rsidR="001C19F3" w:rsidRPr="001178C4" w:rsidRDefault="001C19F3" w:rsidP="00521305">
            <w:pPr>
              <w:spacing w:after="0"/>
              <w:ind w:left="174"/>
              <w:rPr>
                <w:sz w:val="18"/>
                <w:szCs w:val="18"/>
              </w:rPr>
            </w:pPr>
            <w:r w:rsidRPr="001178C4">
              <w:rPr>
                <w:sz w:val="18"/>
                <w:szCs w:val="18"/>
              </w:rPr>
              <w:t>5 to 9</w:t>
            </w:r>
          </w:p>
        </w:tc>
        <w:tc>
          <w:tcPr>
            <w:tcW w:w="1559" w:type="dxa"/>
          </w:tcPr>
          <w:p w14:paraId="401D98D2" w14:textId="77777777" w:rsidR="001C19F3" w:rsidRPr="00CD68C9" w:rsidRDefault="001C19F3" w:rsidP="00521305">
            <w:pPr>
              <w:spacing w:after="0"/>
              <w:jc w:val="right"/>
              <w:rPr>
                <w:sz w:val="18"/>
                <w:szCs w:val="18"/>
              </w:rPr>
            </w:pPr>
            <w:r>
              <w:rPr>
                <w:sz w:val="18"/>
                <w:szCs w:val="18"/>
              </w:rPr>
              <w:t>529 (35.8%)</w:t>
            </w:r>
          </w:p>
        </w:tc>
        <w:tc>
          <w:tcPr>
            <w:tcW w:w="1560" w:type="dxa"/>
          </w:tcPr>
          <w:p w14:paraId="4A7C925F" w14:textId="77777777" w:rsidR="001C19F3" w:rsidRPr="00CD68C9" w:rsidRDefault="001C19F3" w:rsidP="00521305">
            <w:pPr>
              <w:spacing w:after="0"/>
              <w:jc w:val="right"/>
              <w:rPr>
                <w:sz w:val="18"/>
                <w:szCs w:val="18"/>
              </w:rPr>
            </w:pPr>
            <w:r>
              <w:rPr>
                <w:sz w:val="18"/>
                <w:szCs w:val="18"/>
              </w:rPr>
              <w:t>1,567 (39.5%)</w:t>
            </w:r>
          </w:p>
        </w:tc>
        <w:tc>
          <w:tcPr>
            <w:tcW w:w="1417" w:type="dxa"/>
          </w:tcPr>
          <w:p w14:paraId="28081770" w14:textId="77777777" w:rsidR="001C19F3" w:rsidRPr="00CD68C9" w:rsidRDefault="001C19F3" w:rsidP="00521305">
            <w:pPr>
              <w:spacing w:after="0"/>
              <w:jc w:val="right"/>
              <w:rPr>
                <w:sz w:val="18"/>
                <w:szCs w:val="18"/>
              </w:rPr>
            </w:pPr>
            <w:r>
              <w:rPr>
                <w:sz w:val="18"/>
                <w:szCs w:val="18"/>
              </w:rPr>
              <w:t>958 (35.5%)</w:t>
            </w:r>
          </w:p>
        </w:tc>
        <w:tc>
          <w:tcPr>
            <w:tcW w:w="1559" w:type="dxa"/>
          </w:tcPr>
          <w:p w14:paraId="5977DDC1" w14:textId="77777777" w:rsidR="001C19F3" w:rsidRPr="00CD68C9" w:rsidRDefault="001C19F3" w:rsidP="00521305">
            <w:pPr>
              <w:spacing w:after="0"/>
              <w:jc w:val="right"/>
              <w:rPr>
                <w:sz w:val="18"/>
                <w:szCs w:val="18"/>
              </w:rPr>
            </w:pPr>
            <w:r>
              <w:rPr>
                <w:sz w:val="18"/>
                <w:szCs w:val="18"/>
              </w:rPr>
              <w:t>3,123</w:t>
            </w:r>
            <w:r w:rsidRPr="00CD68C9">
              <w:rPr>
                <w:sz w:val="18"/>
                <w:szCs w:val="18"/>
              </w:rPr>
              <w:t xml:space="preserve"> (37.</w:t>
            </w:r>
            <w:r>
              <w:rPr>
                <w:sz w:val="18"/>
                <w:szCs w:val="18"/>
              </w:rPr>
              <w:t>5</w:t>
            </w:r>
            <w:r w:rsidRPr="00CD68C9">
              <w:rPr>
                <w:sz w:val="18"/>
                <w:szCs w:val="18"/>
              </w:rPr>
              <w:t>%)</w:t>
            </w:r>
          </w:p>
        </w:tc>
      </w:tr>
      <w:tr w:rsidR="001C19F3" w:rsidRPr="001178C4" w14:paraId="488E3B29" w14:textId="77777777" w:rsidTr="00521305">
        <w:trPr>
          <w:jc w:val="center"/>
        </w:trPr>
        <w:tc>
          <w:tcPr>
            <w:tcW w:w="2405" w:type="dxa"/>
          </w:tcPr>
          <w:p w14:paraId="5150E53A" w14:textId="77777777" w:rsidR="001C19F3" w:rsidRPr="001178C4" w:rsidRDefault="001C19F3" w:rsidP="00521305">
            <w:pPr>
              <w:spacing w:after="0"/>
              <w:ind w:left="174"/>
              <w:rPr>
                <w:sz w:val="18"/>
                <w:szCs w:val="18"/>
              </w:rPr>
            </w:pPr>
            <w:r w:rsidRPr="001178C4">
              <w:rPr>
                <w:sz w:val="18"/>
                <w:szCs w:val="18"/>
              </w:rPr>
              <w:t>10 to 14</w:t>
            </w:r>
          </w:p>
        </w:tc>
        <w:tc>
          <w:tcPr>
            <w:tcW w:w="1559" w:type="dxa"/>
          </w:tcPr>
          <w:p w14:paraId="2776D144" w14:textId="77777777" w:rsidR="001C19F3" w:rsidRPr="00CD68C9" w:rsidRDefault="001C19F3" w:rsidP="00521305">
            <w:pPr>
              <w:spacing w:after="0"/>
              <w:jc w:val="right"/>
              <w:rPr>
                <w:sz w:val="18"/>
                <w:szCs w:val="18"/>
              </w:rPr>
            </w:pPr>
            <w:r>
              <w:rPr>
                <w:sz w:val="18"/>
                <w:szCs w:val="18"/>
              </w:rPr>
              <w:t>155 (10.5%)</w:t>
            </w:r>
          </w:p>
        </w:tc>
        <w:tc>
          <w:tcPr>
            <w:tcW w:w="1560" w:type="dxa"/>
          </w:tcPr>
          <w:p w14:paraId="1446E676" w14:textId="77777777" w:rsidR="001C19F3" w:rsidRPr="00CD68C9" w:rsidRDefault="001C19F3" w:rsidP="00521305">
            <w:pPr>
              <w:spacing w:after="0"/>
              <w:jc w:val="right"/>
              <w:rPr>
                <w:sz w:val="18"/>
                <w:szCs w:val="18"/>
              </w:rPr>
            </w:pPr>
            <w:r>
              <w:rPr>
                <w:sz w:val="18"/>
                <w:szCs w:val="18"/>
              </w:rPr>
              <w:t>583 (14.7%)</w:t>
            </w:r>
          </w:p>
        </w:tc>
        <w:tc>
          <w:tcPr>
            <w:tcW w:w="1417" w:type="dxa"/>
          </w:tcPr>
          <w:p w14:paraId="7F03FEA7" w14:textId="77777777" w:rsidR="001C19F3" w:rsidRPr="00CD68C9" w:rsidRDefault="001C19F3" w:rsidP="00521305">
            <w:pPr>
              <w:spacing w:after="0"/>
              <w:jc w:val="right"/>
              <w:rPr>
                <w:sz w:val="18"/>
                <w:szCs w:val="18"/>
              </w:rPr>
            </w:pPr>
            <w:r>
              <w:rPr>
                <w:sz w:val="18"/>
                <w:szCs w:val="18"/>
              </w:rPr>
              <w:t>527 (19.5%)</w:t>
            </w:r>
          </w:p>
        </w:tc>
        <w:tc>
          <w:tcPr>
            <w:tcW w:w="1559" w:type="dxa"/>
          </w:tcPr>
          <w:p w14:paraId="574D38F0" w14:textId="77777777" w:rsidR="001C19F3" w:rsidRPr="00CD68C9" w:rsidRDefault="001C19F3" w:rsidP="00521305">
            <w:pPr>
              <w:spacing w:after="0"/>
              <w:jc w:val="right"/>
              <w:rPr>
                <w:sz w:val="18"/>
                <w:szCs w:val="18"/>
              </w:rPr>
            </w:pPr>
            <w:r w:rsidRPr="00CD68C9">
              <w:rPr>
                <w:sz w:val="18"/>
                <w:szCs w:val="18"/>
              </w:rPr>
              <w:t>1</w:t>
            </w:r>
            <w:r>
              <w:rPr>
                <w:sz w:val="18"/>
                <w:szCs w:val="18"/>
              </w:rPr>
              <w:t>,303</w:t>
            </w:r>
            <w:r w:rsidRPr="00CD68C9">
              <w:rPr>
                <w:sz w:val="18"/>
                <w:szCs w:val="18"/>
              </w:rPr>
              <w:t xml:space="preserve"> (15.</w:t>
            </w:r>
            <w:r>
              <w:rPr>
                <w:sz w:val="18"/>
                <w:szCs w:val="18"/>
              </w:rPr>
              <w:t>7</w:t>
            </w:r>
            <w:r w:rsidRPr="00CD68C9">
              <w:rPr>
                <w:sz w:val="18"/>
                <w:szCs w:val="18"/>
              </w:rPr>
              <w:t>%)</w:t>
            </w:r>
          </w:p>
        </w:tc>
      </w:tr>
      <w:tr w:rsidR="001C19F3" w:rsidRPr="001178C4" w14:paraId="014B5F50" w14:textId="77777777" w:rsidTr="00521305">
        <w:trPr>
          <w:jc w:val="center"/>
        </w:trPr>
        <w:tc>
          <w:tcPr>
            <w:tcW w:w="2405" w:type="dxa"/>
          </w:tcPr>
          <w:p w14:paraId="138063EC" w14:textId="77777777" w:rsidR="001C19F3" w:rsidRPr="001178C4" w:rsidRDefault="001C19F3" w:rsidP="00521305">
            <w:pPr>
              <w:spacing w:after="0"/>
              <w:ind w:left="174"/>
              <w:rPr>
                <w:sz w:val="18"/>
                <w:szCs w:val="18"/>
              </w:rPr>
            </w:pPr>
            <w:r w:rsidRPr="001178C4">
              <w:rPr>
                <w:sz w:val="18"/>
                <w:szCs w:val="18"/>
              </w:rPr>
              <w:t>15 to 19</w:t>
            </w:r>
          </w:p>
        </w:tc>
        <w:tc>
          <w:tcPr>
            <w:tcW w:w="1559" w:type="dxa"/>
          </w:tcPr>
          <w:p w14:paraId="3F8607E9" w14:textId="77777777" w:rsidR="001C19F3" w:rsidRPr="00CD68C9" w:rsidRDefault="001C19F3" w:rsidP="00521305">
            <w:pPr>
              <w:spacing w:after="0"/>
              <w:jc w:val="right"/>
              <w:rPr>
                <w:sz w:val="18"/>
                <w:szCs w:val="18"/>
              </w:rPr>
            </w:pPr>
            <w:r>
              <w:rPr>
                <w:sz w:val="18"/>
                <w:szCs w:val="18"/>
              </w:rPr>
              <w:t>31 (2.1%)</w:t>
            </w:r>
          </w:p>
        </w:tc>
        <w:tc>
          <w:tcPr>
            <w:tcW w:w="1560" w:type="dxa"/>
          </w:tcPr>
          <w:p w14:paraId="13EA51CF" w14:textId="77777777" w:rsidR="001C19F3" w:rsidRPr="00CD68C9" w:rsidRDefault="001C19F3" w:rsidP="00521305">
            <w:pPr>
              <w:spacing w:after="0"/>
              <w:jc w:val="right"/>
              <w:rPr>
                <w:sz w:val="18"/>
                <w:szCs w:val="18"/>
              </w:rPr>
            </w:pPr>
            <w:r>
              <w:rPr>
                <w:sz w:val="18"/>
                <w:szCs w:val="18"/>
              </w:rPr>
              <w:t>173 (4.4%)</w:t>
            </w:r>
          </w:p>
        </w:tc>
        <w:tc>
          <w:tcPr>
            <w:tcW w:w="1417" w:type="dxa"/>
          </w:tcPr>
          <w:p w14:paraId="1F5135B6" w14:textId="77777777" w:rsidR="001C19F3" w:rsidRPr="00CD68C9" w:rsidRDefault="001C19F3" w:rsidP="00521305">
            <w:pPr>
              <w:spacing w:after="0"/>
              <w:jc w:val="right"/>
              <w:rPr>
                <w:sz w:val="18"/>
                <w:szCs w:val="18"/>
              </w:rPr>
            </w:pPr>
            <w:r>
              <w:rPr>
                <w:sz w:val="18"/>
                <w:szCs w:val="18"/>
              </w:rPr>
              <w:t>196 (7.3%)</w:t>
            </w:r>
          </w:p>
        </w:tc>
        <w:tc>
          <w:tcPr>
            <w:tcW w:w="1559" w:type="dxa"/>
          </w:tcPr>
          <w:p w14:paraId="098653D9" w14:textId="77777777" w:rsidR="001C19F3" w:rsidRPr="00CD68C9" w:rsidRDefault="001C19F3" w:rsidP="00521305">
            <w:pPr>
              <w:spacing w:after="0"/>
              <w:jc w:val="right"/>
              <w:rPr>
                <w:sz w:val="18"/>
                <w:szCs w:val="18"/>
              </w:rPr>
            </w:pPr>
            <w:r>
              <w:rPr>
                <w:sz w:val="18"/>
                <w:szCs w:val="18"/>
              </w:rPr>
              <w:t>412</w:t>
            </w:r>
            <w:r w:rsidRPr="00CD68C9">
              <w:rPr>
                <w:sz w:val="18"/>
                <w:szCs w:val="18"/>
              </w:rPr>
              <w:t xml:space="preserve"> (</w:t>
            </w:r>
            <w:r>
              <w:rPr>
                <w:sz w:val="18"/>
                <w:szCs w:val="18"/>
              </w:rPr>
              <w:t>5</w:t>
            </w:r>
            <w:r w:rsidRPr="00CD68C9">
              <w:rPr>
                <w:sz w:val="18"/>
                <w:szCs w:val="18"/>
              </w:rPr>
              <w:t>.</w:t>
            </w:r>
            <w:r>
              <w:rPr>
                <w:sz w:val="18"/>
                <w:szCs w:val="18"/>
              </w:rPr>
              <w:t>0</w:t>
            </w:r>
            <w:r w:rsidRPr="00CD68C9">
              <w:rPr>
                <w:sz w:val="18"/>
                <w:szCs w:val="18"/>
              </w:rPr>
              <w:t>%)</w:t>
            </w:r>
          </w:p>
        </w:tc>
      </w:tr>
      <w:tr w:rsidR="001C19F3" w:rsidRPr="001178C4" w14:paraId="7A468198" w14:textId="77777777" w:rsidTr="00521305">
        <w:trPr>
          <w:jc w:val="center"/>
        </w:trPr>
        <w:tc>
          <w:tcPr>
            <w:tcW w:w="2405" w:type="dxa"/>
          </w:tcPr>
          <w:p w14:paraId="43942B5F" w14:textId="77777777" w:rsidR="001C19F3" w:rsidRPr="001178C4" w:rsidRDefault="001C19F3" w:rsidP="00521305">
            <w:pPr>
              <w:spacing w:after="0"/>
              <w:ind w:left="174"/>
              <w:rPr>
                <w:sz w:val="18"/>
                <w:szCs w:val="18"/>
              </w:rPr>
            </w:pPr>
            <w:r w:rsidRPr="001178C4">
              <w:rPr>
                <w:sz w:val="18"/>
                <w:szCs w:val="18"/>
              </w:rPr>
              <w:t>20 or more</w:t>
            </w:r>
          </w:p>
        </w:tc>
        <w:tc>
          <w:tcPr>
            <w:tcW w:w="1559" w:type="dxa"/>
          </w:tcPr>
          <w:p w14:paraId="2650B4E7" w14:textId="77777777" w:rsidR="001C19F3" w:rsidRPr="00CD68C9" w:rsidRDefault="001C19F3" w:rsidP="00521305">
            <w:pPr>
              <w:spacing w:after="0"/>
              <w:jc w:val="right"/>
              <w:rPr>
                <w:sz w:val="18"/>
                <w:szCs w:val="18"/>
              </w:rPr>
            </w:pPr>
            <w:r>
              <w:rPr>
                <w:sz w:val="18"/>
                <w:szCs w:val="18"/>
              </w:rPr>
              <w:t>17 (1.2%)</w:t>
            </w:r>
          </w:p>
        </w:tc>
        <w:tc>
          <w:tcPr>
            <w:tcW w:w="1560" w:type="dxa"/>
          </w:tcPr>
          <w:p w14:paraId="0138DB9C" w14:textId="77777777" w:rsidR="001C19F3" w:rsidRPr="00CD68C9" w:rsidRDefault="001C19F3" w:rsidP="00521305">
            <w:pPr>
              <w:spacing w:after="0"/>
              <w:jc w:val="right"/>
              <w:rPr>
                <w:sz w:val="18"/>
                <w:szCs w:val="18"/>
              </w:rPr>
            </w:pPr>
            <w:r>
              <w:rPr>
                <w:sz w:val="18"/>
                <w:szCs w:val="18"/>
              </w:rPr>
              <w:t>83 (2.1%)</w:t>
            </w:r>
          </w:p>
        </w:tc>
        <w:tc>
          <w:tcPr>
            <w:tcW w:w="1417" w:type="dxa"/>
          </w:tcPr>
          <w:p w14:paraId="7D4DB367" w14:textId="77777777" w:rsidR="001C19F3" w:rsidRPr="00CD68C9" w:rsidRDefault="001C19F3" w:rsidP="00521305">
            <w:pPr>
              <w:spacing w:after="0"/>
              <w:jc w:val="right"/>
              <w:rPr>
                <w:sz w:val="18"/>
                <w:szCs w:val="18"/>
              </w:rPr>
            </w:pPr>
            <w:r>
              <w:rPr>
                <w:sz w:val="18"/>
                <w:szCs w:val="18"/>
              </w:rPr>
              <w:t>141 (4.2%)</w:t>
            </w:r>
          </w:p>
        </w:tc>
        <w:tc>
          <w:tcPr>
            <w:tcW w:w="1559" w:type="dxa"/>
          </w:tcPr>
          <w:p w14:paraId="28E87E6A" w14:textId="77777777" w:rsidR="001C19F3" w:rsidRPr="00CD68C9" w:rsidRDefault="001C19F3" w:rsidP="00521305">
            <w:pPr>
              <w:spacing w:after="0"/>
              <w:jc w:val="right"/>
              <w:rPr>
                <w:sz w:val="18"/>
                <w:szCs w:val="18"/>
              </w:rPr>
            </w:pPr>
            <w:r w:rsidRPr="00CD68C9">
              <w:rPr>
                <w:sz w:val="18"/>
                <w:szCs w:val="18"/>
              </w:rPr>
              <w:t>2</w:t>
            </w:r>
            <w:r>
              <w:rPr>
                <w:sz w:val="18"/>
                <w:szCs w:val="18"/>
              </w:rPr>
              <w:t>50</w:t>
            </w:r>
            <w:r w:rsidRPr="00CD68C9">
              <w:rPr>
                <w:sz w:val="18"/>
                <w:szCs w:val="18"/>
              </w:rPr>
              <w:t xml:space="preserve"> (</w:t>
            </w:r>
            <w:r>
              <w:rPr>
                <w:sz w:val="18"/>
                <w:szCs w:val="18"/>
              </w:rPr>
              <w:t>3.0</w:t>
            </w:r>
            <w:r w:rsidRPr="00CD68C9">
              <w:rPr>
                <w:sz w:val="18"/>
                <w:szCs w:val="18"/>
              </w:rPr>
              <w:t>%)</w:t>
            </w:r>
          </w:p>
        </w:tc>
      </w:tr>
      <w:tr w:rsidR="001C19F3" w:rsidRPr="001178C4" w14:paraId="3F57E198" w14:textId="77777777" w:rsidTr="00521305">
        <w:trPr>
          <w:jc w:val="center"/>
        </w:trPr>
        <w:tc>
          <w:tcPr>
            <w:tcW w:w="2405" w:type="dxa"/>
          </w:tcPr>
          <w:p w14:paraId="7DE6A34B" w14:textId="77777777" w:rsidR="001C19F3" w:rsidRPr="001178C4" w:rsidRDefault="001C19F3" w:rsidP="00521305">
            <w:pPr>
              <w:spacing w:after="0"/>
              <w:ind w:left="174"/>
              <w:rPr>
                <w:sz w:val="18"/>
                <w:szCs w:val="18"/>
              </w:rPr>
            </w:pPr>
            <w:r>
              <w:rPr>
                <w:sz w:val="18"/>
              </w:rPr>
              <w:t>Unknown</w:t>
            </w:r>
          </w:p>
        </w:tc>
        <w:tc>
          <w:tcPr>
            <w:tcW w:w="1559" w:type="dxa"/>
          </w:tcPr>
          <w:p w14:paraId="141376D9" w14:textId="77777777" w:rsidR="001C19F3" w:rsidRPr="00CD68C9" w:rsidRDefault="001C19F3" w:rsidP="00521305">
            <w:pPr>
              <w:spacing w:after="0"/>
              <w:jc w:val="right"/>
              <w:rPr>
                <w:sz w:val="18"/>
                <w:szCs w:val="18"/>
              </w:rPr>
            </w:pPr>
            <w:r>
              <w:rPr>
                <w:sz w:val="18"/>
                <w:szCs w:val="18"/>
              </w:rPr>
              <w:t>23 (1.6%)</w:t>
            </w:r>
          </w:p>
        </w:tc>
        <w:tc>
          <w:tcPr>
            <w:tcW w:w="1560" w:type="dxa"/>
          </w:tcPr>
          <w:p w14:paraId="49C32D63" w14:textId="77777777" w:rsidR="001C19F3" w:rsidRPr="00CD68C9" w:rsidRDefault="001C19F3" w:rsidP="00521305">
            <w:pPr>
              <w:spacing w:after="0"/>
              <w:jc w:val="right"/>
              <w:rPr>
                <w:sz w:val="18"/>
                <w:szCs w:val="18"/>
              </w:rPr>
            </w:pPr>
            <w:r>
              <w:rPr>
                <w:sz w:val="18"/>
                <w:szCs w:val="18"/>
              </w:rPr>
              <w:t>30 (0.8%)</w:t>
            </w:r>
          </w:p>
        </w:tc>
        <w:tc>
          <w:tcPr>
            <w:tcW w:w="1417" w:type="dxa"/>
          </w:tcPr>
          <w:p w14:paraId="5FB0FE89" w14:textId="77777777" w:rsidR="001C19F3" w:rsidRPr="00CD68C9" w:rsidRDefault="001C19F3" w:rsidP="00521305">
            <w:pPr>
              <w:spacing w:after="0"/>
              <w:jc w:val="right"/>
              <w:rPr>
                <w:sz w:val="18"/>
                <w:szCs w:val="18"/>
              </w:rPr>
            </w:pPr>
            <w:r>
              <w:rPr>
                <w:sz w:val="18"/>
                <w:szCs w:val="18"/>
              </w:rPr>
              <w:t>21 (0.8%)</w:t>
            </w:r>
          </w:p>
        </w:tc>
        <w:tc>
          <w:tcPr>
            <w:tcW w:w="1559" w:type="dxa"/>
          </w:tcPr>
          <w:p w14:paraId="2421CA3A" w14:textId="77777777" w:rsidR="001C19F3" w:rsidRPr="00CD68C9" w:rsidRDefault="001C19F3" w:rsidP="00521305">
            <w:pPr>
              <w:spacing w:after="0"/>
              <w:jc w:val="right"/>
              <w:rPr>
                <w:sz w:val="18"/>
                <w:szCs w:val="18"/>
              </w:rPr>
            </w:pPr>
            <w:r>
              <w:rPr>
                <w:sz w:val="18"/>
                <w:szCs w:val="18"/>
              </w:rPr>
              <w:t>74 (0.9%)</w:t>
            </w:r>
          </w:p>
        </w:tc>
      </w:tr>
      <w:tr w:rsidR="001C19F3" w:rsidRPr="001178C4" w14:paraId="3F141F53" w14:textId="77777777" w:rsidTr="00521305">
        <w:trPr>
          <w:jc w:val="center"/>
        </w:trPr>
        <w:tc>
          <w:tcPr>
            <w:tcW w:w="8500" w:type="dxa"/>
            <w:gridSpan w:val="5"/>
          </w:tcPr>
          <w:p w14:paraId="29766BD9" w14:textId="77777777" w:rsidR="001C19F3" w:rsidRPr="00CD68C9" w:rsidRDefault="001C19F3" w:rsidP="00521305">
            <w:pPr>
              <w:spacing w:after="0"/>
              <w:rPr>
                <w:sz w:val="18"/>
                <w:szCs w:val="18"/>
              </w:rPr>
            </w:pPr>
            <w:r>
              <w:rPr>
                <w:b/>
                <w:bCs/>
                <w:sz w:val="18"/>
                <w:szCs w:val="18"/>
              </w:rPr>
              <w:t>Number of GP consultations in</w:t>
            </w:r>
            <w:r w:rsidRPr="00F278B6">
              <w:rPr>
                <w:b/>
                <w:bCs/>
                <w:sz w:val="18"/>
                <w:szCs w:val="18"/>
              </w:rPr>
              <w:t xml:space="preserve"> the last </w:t>
            </w:r>
            <w:r>
              <w:rPr>
                <w:b/>
                <w:bCs/>
                <w:sz w:val="18"/>
                <w:szCs w:val="18"/>
              </w:rPr>
              <w:t>12</w:t>
            </w:r>
            <w:r w:rsidRPr="00F278B6">
              <w:rPr>
                <w:b/>
                <w:bCs/>
                <w:sz w:val="18"/>
                <w:szCs w:val="18"/>
              </w:rPr>
              <w:t xml:space="preserve"> months</w:t>
            </w:r>
          </w:p>
        </w:tc>
      </w:tr>
      <w:tr w:rsidR="001C19F3" w:rsidRPr="001178C4" w14:paraId="67E1CBEB" w14:textId="77777777" w:rsidTr="00521305">
        <w:trPr>
          <w:jc w:val="center"/>
        </w:trPr>
        <w:tc>
          <w:tcPr>
            <w:tcW w:w="2405" w:type="dxa"/>
          </w:tcPr>
          <w:p w14:paraId="0202958A" w14:textId="77777777" w:rsidR="001C19F3" w:rsidRPr="001178C4" w:rsidRDefault="001C19F3" w:rsidP="00521305">
            <w:pPr>
              <w:spacing w:after="0"/>
              <w:ind w:left="174"/>
              <w:rPr>
                <w:bCs/>
                <w:sz w:val="18"/>
                <w:szCs w:val="18"/>
              </w:rPr>
            </w:pPr>
            <w:r w:rsidRPr="001178C4">
              <w:rPr>
                <w:bCs/>
                <w:sz w:val="18"/>
                <w:szCs w:val="18"/>
              </w:rPr>
              <w:t>Mean (SD)</w:t>
            </w:r>
            <w:r w:rsidRPr="00805297">
              <w:rPr>
                <w:bCs/>
                <w:sz w:val="18"/>
                <w:szCs w:val="18"/>
                <w:vertAlign w:val="superscript"/>
              </w:rPr>
              <w:t>4</w:t>
            </w:r>
          </w:p>
        </w:tc>
        <w:tc>
          <w:tcPr>
            <w:tcW w:w="1559" w:type="dxa"/>
          </w:tcPr>
          <w:p w14:paraId="382F6F34" w14:textId="77777777" w:rsidR="001C19F3" w:rsidRPr="00CD68C9" w:rsidRDefault="001C19F3" w:rsidP="00521305">
            <w:pPr>
              <w:spacing w:after="0"/>
              <w:jc w:val="center"/>
              <w:rPr>
                <w:sz w:val="18"/>
                <w:szCs w:val="18"/>
              </w:rPr>
            </w:pPr>
            <w:r>
              <w:rPr>
                <w:sz w:val="18"/>
                <w:szCs w:val="18"/>
              </w:rPr>
              <w:t>10.73 (7.34)</w:t>
            </w:r>
          </w:p>
        </w:tc>
        <w:tc>
          <w:tcPr>
            <w:tcW w:w="1560" w:type="dxa"/>
          </w:tcPr>
          <w:p w14:paraId="0EC9EDD8" w14:textId="77777777" w:rsidR="001C19F3" w:rsidRPr="00CD68C9" w:rsidRDefault="001C19F3" w:rsidP="00521305">
            <w:pPr>
              <w:spacing w:after="0"/>
              <w:jc w:val="center"/>
              <w:rPr>
                <w:sz w:val="18"/>
                <w:szCs w:val="18"/>
              </w:rPr>
            </w:pPr>
            <w:r>
              <w:rPr>
                <w:sz w:val="18"/>
                <w:szCs w:val="18"/>
              </w:rPr>
              <w:t>12.80 (8.83)</w:t>
            </w:r>
          </w:p>
        </w:tc>
        <w:tc>
          <w:tcPr>
            <w:tcW w:w="1417" w:type="dxa"/>
          </w:tcPr>
          <w:p w14:paraId="73B63AAD" w14:textId="77777777" w:rsidR="001C19F3" w:rsidRPr="00CD68C9" w:rsidRDefault="001C19F3" w:rsidP="00521305">
            <w:pPr>
              <w:spacing w:after="0"/>
              <w:jc w:val="center"/>
              <w:rPr>
                <w:sz w:val="18"/>
                <w:szCs w:val="18"/>
              </w:rPr>
            </w:pPr>
            <w:r>
              <w:rPr>
                <w:sz w:val="18"/>
                <w:szCs w:val="18"/>
              </w:rPr>
              <w:t>15.65 (11.43)</w:t>
            </w:r>
          </w:p>
        </w:tc>
        <w:tc>
          <w:tcPr>
            <w:tcW w:w="1559" w:type="dxa"/>
          </w:tcPr>
          <w:p w14:paraId="30F5FC6E" w14:textId="77777777" w:rsidR="001C19F3" w:rsidRPr="00CD68C9" w:rsidRDefault="001C19F3" w:rsidP="00521305">
            <w:pPr>
              <w:spacing w:after="0"/>
              <w:jc w:val="center"/>
              <w:rPr>
                <w:sz w:val="18"/>
                <w:szCs w:val="18"/>
              </w:rPr>
            </w:pPr>
            <w:r w:rsidRPr="00CD68C9">
              <w:rPr>
                <w:sz w:val="18"/>
                <w:szCs w:val="18"/>
              </w:rPr>
              <w:t>13.</w:t>
            </w:r>
            <w:r>
              <w:rPr>
                <w:sz w:val="18"/>
                <w:szCs w:val="18"/>
              </w:rPr>
              <w:t>41</w:t>
            </w:r>
            <w:r w:rsidRPr="00CD68C9">
              <w:rPr>
                <w:sz w:val="18"/>
                <w:szCs w:val="18"/>
              </w:rPr>
              <w:t xml:space="preserve"> (9.</w:t>
            </w:r>
            <w:r>
              <w:rPr>
                <w:sz w:val="18"/>
                <w:szCs w:val="18"/>
              </w:rPr>
              <w:t>71</w:t>
            </w:r>
            <w:r w:rsidRPr="00CD68C9">
              <w:rPr>
                <w:sz w:val="18"/>
                <w:szCs w:val="18"/>
              </w:rPr>
              <w:t>)</w:t>
            </w:r>
          </w:p>
        </w:tc>
      </w:tr>
      <w:tr w:rsidR="001C19F3" w:rsidRPr="001178C4" w14:paraId="202E782A" w14:textId="77777777" w:rsidTr="00521305">
        <w:trPr>
          <w:jc w:val="center"/>
        </w:trPr>
        <w:tc>
          <w:tcPr>
            <w:tcW w:w="2405" w:type="dxa"/>
          </w:tcPr>
          <w:p w14:paraId="5C58ECE8" w14:textId="77777777" w:rsidR="001C19F3" w:rsidRPr="001178C4" w:rsidRDefault="001C19F3" w:rsidP="00521305">
            <w:pPr>
              <w:spacing w:after="0"/>
              <w:ind w:left="174"/>
              <w:rPr>
                <w:bCs/>
                <w:sz w:val="18"/>
                <w:szCs w:val="18"/>
              </w:rPr>
            </w:pPr>
            <w:r>
              <w:rPr>
                <w:bCs/>
                <w:sz w:val="18"/>
                <w:szCs w:val="18"/>
              </w:rPr>
              <w:t>Median (IQR)</w:t>
            </w:r>
            <w:r w:rsidRPr="00805297">
              <w:rPr>
                <w:bCs/>
                <w:sz w:val="18"/>
                <w:szCs w:val="18"/>
                <w:vertAlign w:val="superscript"/>
              </w:rPr>
              <w:t>4</w:t>
            </w:r>
          </w:p>
        </w:tc>
        <w:tc>
          <w:tcPr>
            <w:tcW w:w="1559" w:type="dxa"/>
          </w:tcPr>
          <w:p w14:paraId="5A8567C2" w14:textId="77777777" w:rsidR="001C19F3" w:rsidRPr="00CD68C9" w:rsidRDefault="001C19F3" w:rsidP="00521305">
            <w:pPr>
              <w:spacing w:after="0"/>
              <w:jc w:val="center"/>
              <w:rPr>
                <w:sz w:val="18"/>
                <w:szCs w:val="18"/>
              </w:rPr>
            </w:pPr>
            <w:r>
              <w:rPr>
                <w:sz w:val="18"/>
                <w:szCs w:val="18"/>
              </w:rPr>
              <w:t>9 (8)</w:t>
            </w:r>
          </w:p>
        </w:tc>
        <w:tc>
          <w:tcPr>
            <w:tcW w:w="1560" w:type="dxa"/>
          </w:tcPr>
          <w:p w14:paraId="4AEA5165" w14:textId="77777777" w:rsidR="001C19F3" w:rsidRPr="00CD68C9" w:rsidRDefault="001C19F3" w:rsidP="00521305">
            <w:pPr>
              <w:spacing w:after="0"/>
              <w:jc w:val="center"/>
              <w:rPr>
                <w:sz w:val="18"/>
                <w:szCs w:val="18"/>
              </w:rPr>
            </w:pPr>
            <w:r>
              <w:rPr>
                <w:sz w:val="18"/>
                <w:szCs w:val="18"/>
              </w:rPr>
              <w:t>11 (11)</w:t>
            </w:r>
          </w:p>
        </w:tc>
        <w:tc>
          <w:tcPr>
            <w:tcW w:w="1417" w:type="dxa"/>
          </w:tcPr>
          <w:p w14:paraId="1A417A51" w14:textId="77777777" w:rsidR="001C19F3" w:rsidRPr="00CD68C9" w:rsidRDefault="001C19F3" w:rsidP="00521305">
            <w:pPr>
              <w:spacing w:after="0"/>
              <w:jc w:val="center"/>
              <w:rPr>
                <w:sz w:val="18"/>
                <w:szCs w:val="18"/>
              </w:rPr>
            </w:pPr>
            <w:r>
              <w:rPr>
                <w:sz w:val="18"/>
                <w:szCs w:val="18"/>
              </w:rPr>
              <w:t>13 (13)</w:t>
            </w:r>
          </w:p>
        </w:tc>
        <w:tc>
          <w:tcPr>
            <w:tcW w:w="1559" w:type="dxa"/>
          </w:tcPr>
          <w:p w14:paraId="5CFE3B1C" w14:textId="77777777" w:rsidR="001C19F3" w:rsidRPr="00CD68C9" w:rsidRDefault="001C19F3" w:rsidP="00521305">
            <w:pPr>
              <w:spacing w:after="0"/>
              <w:jc w:val="center"/>
              <w:rPr>
                <w:sz w:val="18"/>
                <w:szCs w:val="18"/>
              </w:rPr>
            </w:pPr>
            <w:r w:rsidRPr="00CD68C9">
              <w:rPr>
                <w:sz w:val="18"/>
                <w:szCs w:val="18"/>
              </w:rPr>
              <w:t>11 (</w:t>
            </w:r>
            <w:r>
              <w:rPr>
                <w:sz w:val="18"/>
                <w:szCs w:val="18"/>
              </w:rPr>
              <w:t>11</w:t>
            </w:r>
            <w:r w:rsidRPr="00CD68C9">
              <w:rPr>
                <w:sz w:val="18"/>
                <w:szCs w:val="18"/>
              </w:rPr>
              <w:t>)</w:t>
            </w:r>
          </w:p>
        </w:tc>
      </w:tr>
      <w:tr w:rsidR="001C19F3" w:rsidRPr="001178C4" w14:paraId="1BC9F5AC" w14:textId="77777777" w:rsidTr="00521305">
        <w:trPr>
          <w:jc w:val="center"/>
        </w:trPr>
        <w:tc>
          <w:tcPr>
            <w:tcW w:w="2405" w:type="dxa"/>
          </w:tcPr>
          <w:p w14:paraId="31C4B8AD" w14:textId="77777777" w:rsidR="001C19F3" w:rsidRPr="001178C4" w:rsidRDefault="001C19F3" w:rsidP="00521305">
            <w:pPr>
              <w:spacing w:after="0"/>
              <w:ind w:left="174"/>
              <w:rPr>
                <w:sz w:val="18"/>
                <w:szCs w:val="18"/>
              </w:rPr>
            </w:pPr>
            <w:r>
              <w:rPr>
                <w:sz w:val="18"/>
                <w:szCs w:val="18"/>
              </w:rPr>
              <w:t>Less than 5</w:t>
            </w:r>
          </w:p>
        </w:tc>
        <w:tc>
          <w:tcPr>
            <w:tcW w:w="1559" w:type="dxa"/>
          </w:tcPr>
          <w:p w14:paraId="62EDA162" w14:textId="77777777" w:rsidR="001C19F3" w:rsidRPr="00CD68C9" w:rsidRDefault="001C19F3" w:rsidP="00521305">
            <w:pPr>
              <w:spacing w:after="0"/>
              <w:jc w:val="right"/>
              <w:rPr>
                <w:sz w:val="18"/>
                <w:szCs w:val="18"/>
              </w:rPr>
            </w:pPr>
            <w:r>
              <w:rPr>
                <w:sz w:val="18"/>
                <w:szCs w:val="18"/>
              </w:rPr>
              <w:t>262 (17.7%)</w:t>
            </w:r>
          </w:p>
        </w:tc>
        <w:tc>
          <w:tcPr>
            <w:tcW w:w="1560" w:type="dxa"/>
          </w:tcPr>
          <w:p w14:paraId="515512F4" w14:textId="77777777" w:rsidR="001C19F3" w:rsidRPr="00CD68C9" w:rsidRDefault="001C19F3" w:rsidP="00521305">
            <w:pPr>
              <w:spacing w:after="0"/>
              <w:jc w:val="right"/>
              <w:rPr>
                <w:sz w:val="18"/>
                <w:szCs w:val="18"/>
              </w:rPr>
            </w:pPr>
            <w:r>
              <w:rPr>
                <w:sz w:val="18"/>
                <w:szCs w:val="18"/>
              </w:rPr>
              <w:t>590 (14.9%)</w:t>
            </w:r>
          </w:p>
        </w:tc>
        <w:tc>
          <w:tcPr>
            <w:tcW w:w="1417" w:type="dxa"/>
          </w:tcPr>
          <w:p w14:paraId="47C4F920" w14:textId="77777777" w:rsidR="001C19F3" w:rsidRPr="00CD68C9" w:rsidRDefault="001C19F3" w:rsidP="00521305">
            <w:pPr>
              <w:spacing w:after="0"/>
              <w:jc w:val="right"/>
              <w:rPr>
                <w:sz w:val="18"/>
                <w:szCs w:val="18"/>
              </w:rPr>
            </w:pPr>
            <w:r>
              <w:rPr>
                <w:sz w:val="18"/>
                <w:szCs w:val="18"/>
              </w:rPr>
              <w:t>342 (12.7%)</w:t>
            </w:r>
          </w:p>
        </w:tc>
        <w:tc>
          <w:tcPr>
            <w:tcW w:w="1559" w:type="dxa"/>
          </w:tcPr>
          <w:p w14:paraId="6A961C56" w14:textId="77777777" w:rsidR="001C19F3" w:rsidRPr="00CD68C9" w:rsidRDefault="001C19F3" w:rsidP="00521305">
            <w:pPr>
              <w:spacing w:after="0"/>
              <w:jc w:val="right"/>
              <w:rPr>
                <w:sz w:val="18"/>
                <w:szCs w:val="18"/>
              </w:rPr>
            </w:pPr>
            <w:r w:rsidRPr="00CD68C9">
              <w:rPr>
                <w:sz w:val="18"/>
                <w:szCs w:val="18"/>
              </w:rPr>
              <w:t>1</w:t>
            </w:r>
            <w:r>
              <w:rPr>
                <w:sz w:val="18"/>
                <w:szCs w:val="18"/>
              </w:rPr>
              <w:t>,203</w:t>
            </w:r>
            <w:r w:rsidRPr="00CD68C9">
              <w:rPr>
                <w:sz w:val="18"/>
                <w:szCs w:val="18"/>
              </w:rPr>
              <w:t xml:space="preserve"> (1</w:t>
            </w:r>
            <w:r>
              <w:rPr>
                <w:sz w:val="18"/>
                <w:szCs w:val="18"/>
              </w:rPr>
              <w:t>4</w:t>
            </w:r>
            <w:r w:rsidRPr="00CD68C9">
              <w:rPr>
                <w:sz w:val="18"/>
                <w:szCs w:val="18"/>
              </w:rPr>
              <w:t>.</w:t>
            </w:r>
            <w:r>
              <w:rPr>
                <w:sz w:val="18"/>
                <w:szCs w:val="18"/>
              </w:rPr>
              <w:t>5</w:t>
            </w:r>
            <w:r w:rsidRPr="00CD68C9">
              <w:rPr>
                <w:sz w:val="18"/>
                <w:szCs w:val="18"/>
              </w:rPr>
              <w:t>%)</w:t>
            </w:r>
          </w:p>
        </w:tc>
      </w:tr>
      <w:tr w:rsidR="001C19F3" w:rsidRPr="001178C4" w14:paraId="0972F540" w14:textId="77777777" w:rsidTr="00521305">
        <w:trPr>
          <w:jc w:val="center"/>
        </w:trPr>
        <w:tc>
          <w:tcPr>
            <w:tcW w:w="2405" w:type="dxa"/>
          </w:tcPr>
          <w:p w14:paraId="2DE28693" w14:textId="77777777" w:rsidR="001C19F3" w:rsidRPr="001178C4" w:rsidRDefault="001C19F3" w:rsidP="00521305">
            <w:pPr>
              <w:spacing w:after="0"/>
              <w:ind w:left="174"/>
              <w:rPr>
                <w:sz w:val="18"/>
                <w:szCs w:val="18"/>
              </w:rPr>
            </w:pPr>
            <w:r w:rsidRPr="001178C4">
              <w:rPr>
                <w:sz w:val="18"/>
                <w:szCs w:val="18"/>
              </w:rPr>
              <w:lastRenderedPageBreak/>
              <w:t>5 to 9</w:t>
            </w:r>
          </w:p>
        </w:tc>
        <w:tc>
          <w:tcPr>
            <w:tcW w:w="1559" w:type="dxa"/>
          </w:tcPr>
          <w:p w14:paraId="66518CFE" w14:textId="77777777" w:rsidR="001C19F3" w:rsidRPr="00CD68C9" w:rsidRDefault="001C19F3" w:rsidP="00521305">
            <w:pPr>
              <w:spacing w:after="0"/>
              <w:jc w:val="right"/>
              <w:rPr>
                <w:sz w:val="18"/>
                <w:szCs w:val="18"/>
              </w:rPr>
            </w:pPr>
            <w:r>
              <w:rPr>
                <w:sz w:val="18"/>
                <w:szCs w:val="18"/>
              </w:rPr>
              <w:t>495 (33.5%)</w:t>
            </w:r>
          </w:p>
        </w:tc>
        <w:tc>
          <w:tcPr>
            <w:tcW w:w="1560" w:type="dxa"/>
          </w:tcPr>
          <w:p w14:paraId="619AD313" w14:textId="77777777" w:rsidR="001C19F3" w:rsidRPr="00CD68C9" w:rsidRDefault="001C19F3" w:rsidP="00521305">
            <w:pPr>
              <w:spacing w:after="0"/>
              <w:jc w:val="right"/>
              <w:rPr>
                <w:sz w:val="18"/>
                <w:szCs w:val="18"/>
              </w:rPr>
            </w:pPr>
            <w:r>
              <w:rPr>
                <w:sz w:val="18"/>
                <w:szCs w:val="18"/>
              </w:rPr>
              <w:t>1,040 (26.2%)</w:t>
            </w:r>
          </w:p>
        </w:tc>
        <w:tc>
          <w:tcPr>
            <w:tcW w:w="1417" w:type="dxa"/>
          </w:tcPr>
          <w:p w14:paraId="0BA061D6" w14:textId="77777777" w:rsidR="001C19F3" w:rsidRPr="00CD68C9" w:rsidRDefault="001C19F3" w:rsidP="00521305">
            <w:pPr>
              <w:spacing w:after="0"/>
              <w:jc w:val="right"/>
              <w:rPr>
                <w:sz w:val="18"/>
                <w:szCs w:val="18"/>
              </w:rPr>
            </w:pPr>
            <w:r>
              <w:rPr>
                <w:sz w:val="18"/>
                <w:szCs w:val="18"/>
              </w:rPr>
              <w:t>557 (20.7%)</w:t>
            </w:r>
          </w:p>
        </w:tc>
        <w:tc>
          <w:tcPr>
            <w:tcW w:w="1559" w:type="dxa"/>
          </w:tcPr>
          <w:p w14:paraId="22D611BB" w14:textId="77777777" w:rsidR="001C19F3" w:rsidRPr="00CD68C9" w:rsidRDefault="001C19F3" w:rsidP="00521305">
            <w:pPr>
              <w:spacing w:after="0"/>
              <w:jc w:val="right"/>
              <w:rPr>
                <w:sz w:val="18"/>
                <w:szCs w:val="18"/>
              </w:rPr>
            </w:pPr>
            <w:r>
              <w:rPr>
                <w:sz w:val="18"/>
                <w:szCs w:val="18"/>
              </w:rPr>
              <w:t>2,143</w:t>
            </w:r>
            <w:r w:rsidRPr="00CD68C9">
              <w:rPr>
                <w:sz w:val="18"/>
                <w:szCs w:val="18"/>
              </w:rPr>
              <w:t xml:space="preserve"> (2</w:t>
            </w:r>
            <w:r>
              <w:rPr>
                <w:sz w:val="18"/>
                <w:szCs w:val="18"/>
              </w:rPr>
              <w:t>5</w:t>
            </w:r>
            <w:r w:rsidRPr="00CD68C9">
              <w:rPr>
                <w:sz w:val="18"/>
                <w:szCs w:val="18"/>
              </w:rPr>
              <w:t>.</w:t>
            </w:r>
            <w:r>
              <w:rPr>
                <w:sz w:val="18"/>
                <w:szCs w:val="18"/>
              </w:rPr>
              <w:t>7</w:t>
            </w:r>
            <w:r w:rsidRPr="00CD68C9">
              <w:rPr>
                <w:sz w:val="18"/>
                <w:szCs w:val="18"/>
              </w:rPr>
              <w:t>%)</w:t>
            </w:r>
          </w:p>
        </w:tc>
      </w:tr>
      <w:tr w:rsidR="001C19F3" w:rsidRPr="001178C4" w14:paraId="05DA7716" w14:textId="77777777" w:rsidTr="00521305">
        <w:trPr>
          <w:jc w:val="center"/>
        </w:trPr>
        <w:tc>
          <w:tcPr>
            <w:tcW w:w="2405" w:type="dxa"/>
          </w:tcPr>
          <w:p w14:paraId="1A374236" w14:textId="77777777" w:rsidR="001C19F3" w:rsidRPr="001178C4" w:rsidRDefault="001C19F3" w:rsidP="00521305">
            <w:pPr>
              <w:spacing w:after="0"/>
              <w:ind w:left="174"/>
              <w:rPr>
                <w:sz w:val="18"/>
                <w:szCs w:val="18"/>
              </w:rPr>
            </w:pPr>
            <w:r w:rsidRPr="001178C4">
              <w:rPr>
                <w:sz w:val="18"/>
                <w:szCs w:val="18"/>
              </w:rPr>
              <w:t>10 to 14</w:t>
            </w:r>
          </w:p>
        </w:tc>
        <w:tc>
          <w:tcPr>
            <w:tcW w:w="1559" w:type="dxa"/>
          </w:tcPr>
          <w:p w14:paraId="54F3E0AA" w14:textId="77777777" w:rsidR="001C19F3" w:rsidRPr="00CD68C9" w:rsidRDefault="001C19F3" w:rsidP="00521305">
            <w:pPr>
              <w:spacing w:after="0"/>
              <w:jc w:val="right"/>
              <w:rPr>
                <w:sz w:val="18"/>
                <w:szCs w:val="18"/>
              </w:rPr>
            </w:pPr>
            <w:r>
              <w:rPr>
                <w:sz w:val="18"/>
                <w:szCs w:val="18"/>
              </w:rPr>
              <w:t>382 (25.9%)</w:t>
            </w:r>
          </w:p>
        </w:tc>
        <w:tc>
          <w:tcPr>
            <w:tcW w:w="1560" w:type="dxa"/>
          </w:tcPr>
          <w:p w14:paraId="2AFECBCD" w14:textId="77777777" w:rsidR="001C19F3" w:rsidRPr="00CD68C9" w:rsidRDefault="001C19F3" w:rsidP="00521305">
            <w:pPr>
              <w:spacing w:after="0"/>
              <w:jc w:val="right"/>
              <w:rPr>
                <w:sz w:val="18"/>
                <w:szCs w:val="18"/>
              </w:rPr>
            </w:pPr>
            <w:r>
              <w:rPr>
                <w:sz w:val="18"/>
                <w:szCs w:val="18"/>
              </w:rPr>
              <w:t>957 (24.1%)</w:t>
            </w:r>
          </w:p>
        </w:tc>
        <w:tc>
          <w:tcPr>
            <w:tcW w:w="1417" w:type="dxa"/>
          </w:tcPr>
          <w:p w14:paraId="0BDD3C7C" w14:textId="77777777" w:rsidR="001C19F3" w:rsidRPr="00CD68C9" w:rsidRDefault="001C19F3" w:rsidP="00521305">
            <w:pPr>
              <w:spacing w:after="0"/>
              <w:jc w:val="right"/>
              <w:rPr>
                <w:sz w:val="18"/>
                <w:szCs w:val="18"/>
              </w:rPr>
            </w:pPr>
            <w:r>
              <w:rPr>
                <w:sz w:val="18"/>
                <w:szCs w:val="18"/>
              </w:rPr>
              <w:t>571 (21.2%)</w:t>
            </w:r>
          </w:p>
        </w:tc>
        <w:tc>
          <w:tcPr>
            <w:tcW w:w="1559" w:type="dxa"/>
          </w:tcPr>
          <w:p w14:paraId="41661FB0" w14:textId="77777777" w:rsidR="001C19F3" w:rsidRPr="00CD68C9" w:rsidRDefault="001C19F3" w:rsidP="00521305">
            <w:pPr>
              <w:spacing w:after="0"/>
              <w:jc w:val="right"/>
              <w:rPr>
                <w:sz w:val="18"/>
                <w:szCs w:val="18"/>
              </w:rPr>
            </w:pPr>
            <w:r w:rsidRPr="00CD68C9">
              <w:rPr>
                <w:sz w:val="18"/>
                <w:szCs w:val="18"/>
              </w:rPr>
              <w:t>1</w:t>
            </w:r>
            <w:r>
              <w:rPr>
                <w:sz w:val="18"/>
                <w:szCs w:val="18"/>
              </w:rPr>
              <w:t>,952</w:t>
            </w:r>
            <w:r w:rsidRPr="00CD68C9">
              <w:rPr>
                <w:sz w:val="18"/>
                <w:szCs w:val="18"/>
              </w:rPr>
              <w:t xml:space="preserve"> (23.</w:t>
            </w:r>
            <w:r>
              <w:rPr>
                <w:sz w:val="18"/>
                <w:szCs w:val="18"/>
              </w:rPr>
              <w:t>5</w:t>
            </w:r>
            <w:r w:rsidRPr="00CD68C9">
              <w:rPr>
                <w:sz w:val="18"/>
                <w:szCs w:val="18"/>
              </w:rPr>
              <w:t>%)</w:t>
            </w:r>
          </w:p>
        </w:tc>
      </w:tr>
      <w:tr w:rsidR="001C19F3" w:rsidRPr="001178C4" w14:paraId="20C4DC18" w14:textId="77777777" w:rsidTr="00521305">
        <w:trPr>
          <w:jc w:val="center"/>
        </w:trPr>
        <w:tc>
          <w:tcPr>
            <w:tcW w:w="2405" w:type="dxa"/>
          </w:tcPr>
          <w:p w14:paraId="291739CC" w14:textId="77777777" w:rsidR="001C19F3" w:rsidRPr="001178C4" w:rsidRDefault="001C19F3" w:rsidP="00521305">
            <w:pPr>
              <w:spacing w:after="0"/>
              <w:ind w:left="174"/>
              <w:rPr>
                <w:sz w:val="18"/>
                <w:szCs w:val="18"/>
              </w:rPr>
            </w:pPr>
            <w:r w:rsidRPr="001178C4">
              <w:rPr>
                <w:sz w:val="18"/>
                <w:szCs w:val="18"/>
              </w:rPr>
              <w:t>15 to 19</w:t>
            </w:r>
          </w:p>
        </w:tc>
        <w:tc>
          <w:tcPr>
            <w:tcW w:w="1559" w:type="dxa"/>
          </w:tcPr>
          <w:p w14:paraId="7B11006D" w14:textId="77777777" w:rsidR="001C19F3" w:rsidRPr="00CD68C9" w:rsidRDefault="001C19F3" w:rsidP="00521305">
            <w:pPr>
              <w:spacing w:after="0"/>
              <w:jc w:val="right"/>
              <w:rPr>
                <w:sz w:val="18"/>
                <w:szCs w:val="18"/>
              </w:rPr>
            </w:pPr>
            <w:r>
              <w:rPr>
                <w:sz w:val="18"/>
                <w:szCs w:val="18"/>
              </w:rPr>
              <w:t>164 (11.1%)</w:t>
            </w:r>
          </w:p>
        </w:tc>
        <w:tc>
          <w:tcPr>
            <w:tcW w:w="1560" w:type="dxa"/>
          </w:tcPr>
          <w:p w14:paraId="564A5413" w14:textId="77777777" w:rsidR="001C19F3" w:rsidRPr="00CD68C9" w:rsidRDefault="001C19F3" w:rsidP="00521305">
            <w:pPr>
              <w:spacing w:after="0"/>
              <w:jc w:val="right"/>
              <w:rPr>
                <w:sz w:val="18"/>
                <w:szCs w:val="18"/>
              </w:rPr>
            </w:pPr>
            <w:r>
              <w:rPr>
                <w:sz w:val="18"/>
                <w:szCs w:val="18"/>
              </w:rPr>
              <w:t>616 (15.5%)</w:t>
            </w:r>
          </w:p>
        </w:tc>
        <w:tc>
          <w:tcPr>
            <w:tcW w:w="1417" w:type="dxa"/>
          </w:tcPr>
          <w:p w14:paraId="7C884E1E" w14:textId="77777777" w:rsidR="001C19F3" w:rsidRPr="00CD68C9" w:rsidRDefault="001C19F3" w:rsidP="00521305">
            <w:pPr>
              <w:spacing w:after="0"/>
              <w:jc w:val="right"/>
              <w:rPr>
                <w:sz w:val="18"/>
                <w:szCs w:val="18"/>
              </w:rPr>
            </w:pPr>
            <w:r>
              <w:rPr>
                <w:sz w:val="18"/>
                <w:szCs w:val="18"/>
              </w:rPr>
              <w:t>415 (15.4%)</w:t>
            </w:r>
          </w:p>
        </w:tc>
        <w:tc>
          <w:tcPr>
            <w:tcW w:w="1559" w:type="dxa"/>
          </w:tcPr>
          <w:p w14:paraId="1429C059" w14:textId="77777777" w:rsidR="001C19F3" w:rsidRPr="00CD68C9" w:rsidRDefault="001C19F3" w:rsidP="00521305">
            <w:pPr>
              <w:spacing w:after="0"/>
              <w:jc w:val="right"/>
              <w:rPr>
                <w:sz w:val="18"/>
                <w:szCs w:val="18"/>
              </w:rPr>
            </w:pPr>
            <w:r w:rsidRPr="00CD68C9">
              <w:rPr>
                <w:sz w:val="18"/>
                <w:szCs w:val="18"/>
              </w:rPr>
              <w:t>1</w:t>
            </w:r>
            <w:r>
              <w:rPr>
                <w:sz w:val="18"/>
                <w:szCs w:val="18"/>
              </w:rPr>
              <w:t>,228</w:t>
            </w:r>
            <w:r w:rsidRPr="00CD68C9">
              <w:rPr>
                <w:sz w:val="18"/>
                <w:szCs w:val="18"/>
              </w:rPr>
              <w:t xml:space="preserve"> (14.</w:t>
            </w:r>
            <w:r>
              <w:rPr>
                <w:sz w:val="18"/>
                <w:szCs w:val="18"/>
              </w:rPr>
              <w:t>8</w:t>
            </w:r>
            <w:r w:rsidRPr="00CD68C9">
              <w:rPr>
                <w:sz w:val="18"/>
                <w:szCs w:val="18"/>
              </w:rPr>
              <w:t>%)</w:t>
            </w:r>
          </w:p>
        </w:tc>
      </w:tr>
      <w:tr w:rsidR="001C19F3" w:rsidRPr="001178C4" w14:paraId="5F551325" w14:textId="77777777" w:rsidTr="00521305">
        <w:trPr>
          <w:jc w:val="center"/>
        </w:trPr>
        <w:tc>
          <w:tcPr>
            <w:tcW w:w="2405" w:type="dxa"/>
          </w:tcPr>
          <w:p w14:paraId="3B3C3C51" w14:textId="77777777" w:rsidR="001C19F3" w:rsidRPr="001178C4" w:rsidRDefault="001C19F3" w:rsidP="00521305">
            <w:pPr>
              <w:spacing w:after="0"/>
              <w:ind w:left="174"/>
              <w:rPr>
                <w:sz w:val="18"/>
                <w:szCs w:val="18"/>
              </w:rPr>
            </w:pPr>
            <w:r w:rsidRPr="001178C4">
              <w:rPr>
                <w:rFonts w:eastAsia="Times New Roman" w:cs="Arial"/>
                <w:bCs/>
                <w:color w:val="000000"/>
                <w:sz w:val="18"/>
                <w:szCs w:val="18"/>
                <w:lang w:eastAsia="en-AU"/>
              </w:rPr>
              <w:t>20 to 24</w:t>
            </w:r>
          </w:p>
        </w:tc>
        <w:tc>
          <w:tcPr>
            <w:tcW w:w="1559" w:type="dxa"/>
          </w:tcPr>
          <w:p w14:paraId="10E2C0BA" w14:textId="77777777" w:rsidR="001C19F3" w:rsidRPr="00CD68C9" w:rsidRDefault="001C19F3" w:rsidP="00521305">
            <w:pPr>
              <w:spacing w:after="0"/>
              <w:jc w:val="right"/>
              <w:rPr>
                <w:sz w:val="18"/>
                <w:szCs w:val="18"/>
              </w:rPr>
            </w:pPr>
            <w:r>
              <w:rPr>
                <w:sz w:val="18"/>
                <w:szCs w:val="18"/>
              </w:rPr>
              <w:t>98 (6.6%)</w:t>
            </w:r>
          </w:p>
        </w:tc>
        <w:tc>
          <w:tcPr>
            <w:tcW w:w="1560" w:type="dxa"/>
          </w:tcPr>
          <w:p w14:paraId="6608561E" w14:textId="77777777" w:rsidR="001C19F3" w:rsidRPr="00CD68C9" w:rsidRDefault="001C19F3" w:rsidP="00521305">
            <w:pPr>
              <w:spacing w:after="0"/>
              <w:jc w:val="right"/>
              <w:rPr>
                <w:sz w:val="18"/>
                <w:szCs w:val="18"/>
              </w:rPr>
            </w:pPr>
            <w:r>
              <w:rPr>
                <w:sz w:val="18"/>
                <w:szCs w:val="18"/>
              </w:rPr>
              <w:t>372 (9.4%)</w:t>
            </w:r>
          </w:p>
        </w:tc>
        <w:tc>
          <w:tcPr>
            <w:tcW w:w="1417" w:type="dxa"/>
          </w:tcPr>
          <w:p w14:paraId="68DC9FBA" w14:textId="77777777" w:rsidR="001C19F3" w:rsidRPr="00CD68C9" w:rsidRDefault="001C19F3" w:rsidP="00521305">
            <w:pPr>
              <w:spacing w:after="0"/>
              <w:jc w:val="right"/>
              <w:rPr>
                <w:sz w:val="18"/>
                <w:szCs w:val="18"/>
              </w:rPr>
            </w:pPr>
            <w:r>
              <w:rPr>
                <w:sz w:val="18"/>
                <w:szCs w:val="18"/>
              </w:rPr>
              <w:t>333 (12.3%)</w:t>
            </w:r>
          </w:p>
        </w:tc>
        <w:tc>
          <w:tcPr>
            <w:tcW w:w="1559" w:type="dxa"/>
          </w:tcPr>
          <w:p w14:paraId="72E892CF" w14:textId="77777777" w:rsidR="001C19F3" w:rsidRPr="00CD68C9" w:rsidRDefault="001C19F3" w:rsidP="00521305">
            <w:pPr>
              <w:spacing w:after="0"/>
              <w:jc w:val="right"/>
              <w:rPr>
                <w:sz w:val="18"/>
                <w:szCs w:val="18"/>
              </w:rPr>
            </w:pPr>
            <w:r>
              <w:rPr>
                <w:sz w:val="18"/>
                <w:szCs w:val="18"/>
              </w:rPr>
              <w:t>828</w:t>
            </w:r>
            <w:r w:rsidRPr="00CD68C9">
              <w:rPr>
                <w:sz w:val="18"/>
                <w:szCs w:val="18"/>
              </w:rPr>
              <w:t xml:space="preserve"> (9.9%)</w:t>
            </w:r>
          </w:p>
        </w:tc>
      </w:tr>
      <w:tr w:rsidR="001C19F3" w:rsidRPr="001178C4" w14:paraId="7E9C03EE" w14:textId="77777777" w:rsidTr="00521305">
        <w:trPr>
          <w:jc w:val="center"/>
        </w:trPr>
        <w:tc>
          <w:tcPr>
            <w:tcW w:w="2405" w:type="dxa"/>
          </w:tcPr>
          <w:p w14:paraId="5DCC6DB2" w14:textId="77777777" w:rsidR="001C19F3" w:rsidRPr="001178C4" w:rsidRDefault="001C19F3" w:rsidP="00521305">
            <w:pPr>
              <w:spacing w:after="0"/>
              <w:ind w:left="174"/>
              <w:rPr>
                <w:sz w:val="18"/>
                <w:szCs w:val="18"/>
              </w:rPr>
            </w:pPr>
            <w:r w:rsidRPr="001178C4">
              <w:rPr>
                <w:rFonts w:eastAsia="Times New Roman" w:cs="Arial"/>
                <w:bCs/>
                <w:color w:val="000000"/>
                <w:sz w:val="18"/>
                <w:szCs w:val="18"/>
                <w:lang w:eastAsia="en-AU"/>
              </w:rPr>
              <w:t>25 or more</w:t>
            </w:r>
          </w:p>
        </w:tc>
        <w:tc>
          <w:tcPr>
            <w:tcW w:w="1559" w:type="dxa"/>
          </w:tcPr>
          <w:p w14:paraId="06993E27" w14:textId="77777777" w:rsidR="001C19F3" w:rsidRPr="00CD68C9" w:rsidRDefault="001C19F3" w:rsidP="00521305">
            <w:pPr>
              <w:spacing w:after="0"/>
              <w:jc w:val="right"/>
              <w:rPr>
                <w:sz w:val="18"/>
                <w:szCs w:val="18"/>
              </w:rPr>
            </w:pPr>
            <w:r>
              <w:rPr>
                <w:sz w:val="18"/>
                <w:szCs w:val="18"/>
              </w:rPr>
              <w:t>64 (4.3%)</w:t>
            </w:r>
          </w:p>
        </w:tc>
        <w:tc>
          <w:tcPr>
            <w:tcW w:w="1560" w:type="dxa"/>
          </w:tcPr>
          <w:p w14:paraId="3FF214A4" w14:textId="77777777" w:rsidR="001C19F3" w:rsidRPr="00CD68C9" w:rsidRDefault="001C19F3" w:rsidP="00521305">
            <w:pPr>
              <w:spacing w:after="0"/>
              <w:jc w:val="right"/>
              <w:rPr>
                <w:sz w:val="18"/>
                <w:szCs w:val="18"/>
              </w:rPr>
            </w:pPr>
            <w:r>
              <w:rPr>
                <w:sz w:val="18"/>
                <w:szCs w:val="18"/>
              </w:rPr>
              <w:t>367 (9.3%)</w:t>
            </w:r>
          </w:p>
        </w:tc>
        <w:tc>
          <w:tcPr>
            <w:tcW w:w="1417" w:type="dxa"/>
          </w:tcPr>
          <w:p w14:paraId="450EB371" w14:textId="77777777" w:rsidR="001C19F3" w:rsidRPr="00CD68C9" w:rsidRDefault="001C19F3" w:rsidP="00521305">
            <w:pPr>
              <w:spacing w:after="0"/>
              <w:jc w:val="right"/>
              <w:rPr>
                <w:sz w:val="18"/>
                <w:szCs w:val="18"/>
              </w:rPr>
            </w:pPr>
            <w:r>
              <w:rPr>
                <w:sz w:val="18"/>
                <w:szCs w:val="18"/>
              </w:rPr>
              <w:t>468 (17.4%)</w:t>
            </w:r>
          </w:p>
        </w:tc>
        <w:tc>
          <w:tcPr>
            <w:tcW w:w="1559" w:type="dxa"/>
          </w:tcPr>
          <w:p w14:paraId="6006C40D" w14:textId="77777777" w:rsidR="001C19F3" w:rsidRPr="00CD68C9" w:rsidRDefault="001C19F3" w:rsidP="00521305">
            <w:pPr>
              <w:spacing w:after="0"/>
              <w:jc w:val="right"/>
              <w:rPr>
                <w:sz w:val="18"/>
                <w:szCs w:val="18"/>
              </w:rPr>
            </w:pPr>
            <w:r>
              <w:rPr>
                <w:sz w:val="18"/>
                <w:szCs w:val="18"/>
              </w:rPr>
              <w:t>925</w:t>
            </w:r>
            <w:r w:rsidRPr="00CD68C9">
              <w:rPr>
                <w:sz w:val="18"/>
                <w:szCs w:val="18"/>
              </w:rPr>
              <w:t xml:space="preserve"> (1</w:t>
            </w:r>
            <w:r>
              <w:rPr>
                <w:sz w:val="18"/>
                <w:szCs w:val="18"/>
              </w:rPr>
              <w:t>1</w:t>
            </w:r>
            <w:r w:rsidRPr="00CD68C9">
              <w:rPr>
                <w:sz w:val="18"/>
                <w:szCs w:val="18"/>
              </w:rPr>
              <w:t>.</w:t>
            </w:r>
            <w:r>
              <w:rPr>
                <w:sz w:val="18"/>
                <w:szCs w:val="18"/>
              </w:rPr>
              <w:t>1</w:t>
            </w:r>
            <w:r w:rsidRPr="00CD68C9">
              <w:rPr>
                <w:sz w:val="18"/>
                <w:szCs w:val="18"/>
              </w:rPr>
              <w:t>%)</w:t>
            </w:r>
          </w:p>
        </w:tc>
      </w:tr>
      <w:tr w:rsidR="001C19F3" w:rsidRPr="001178C4" w14:paraId="7D9D947F" w14:textId="77777777" w:rsidTr="00521305">
        <w:trPr>
          <w:jc w:val="center"/>
        </w:trPr>
        <w:tc>
          <w:tcPr>
            <w:tcW w:w="2405" w:type="dxa"/>
          </w:tcPr>
          <w:p w14:paraId="424FC02A" w14:textId="77777777" w:rsidR="001C19F3" w:rsidRPr="001178C4" w:rsidRDefault="001C19F3" w:rsidP="00521305">
            <w:pPr>
              <w:spacing w:after="0"/>
              <w:ind w:left="174"/>
              <w:rPr>
                <w:rFonts w:eastAsia="Times New Roman" w:cs="Arial"/>
                <w:bCs/>
                <w:color w:val="000000"/>
                <w:sz w:val="18"/>
                <w:szCs w:val="18"/>
                <w:lang w:eastAsia="en-AU"/>
              </w:rPr>
            </w:pPr>
            <w:r>
              <w:rPr>
                <w:sz w:val="18"/>
              </w:rPr>
              <w:t>Unknown</w:t>
            </w:r>
          </w:p>
        </w:tc>
        <w:tc>
          <w:tcPr>
            <w:tcW w:w="1559" w:type="dxa"/>
          </w:tcPr>
          <w:p w14:paraId="088BEB18" w14:textId="77777777" w:rsidR="001C19F3" w:rsidRPr="00CD68C9" w:rsidRDefault="001C19F3" w:rsidP="00521305">
            <w:pPr>
              <w:spacing w:after="0"/>
              <w:jc w:val="right"/>
              <w:rPr>
                <w:sz w:val="18"/>
                <w:szCs w:val="18"/>
              </w:rPr>
            </w:pPr>
            <w:r>
              <w:rPr>
                <w:sz w:val="18"/>
                <w:szCs w:val="18"/>
              </w:rPr>
              <w:t>12 (0.8%)</w:t>
            </w:r>
          </w:p>
        </w:tc>
        <w:tc>
          <w:tcPr>
            <w:tcW w:w="1560" w:type="dxa"/>
          </w:tcPr>
          <w:p w14:paraId="7AC6B768" w14:textId="77777777" w:rsidR="001C19F3" w:rsidRPr="00CD68C9" w:rsidRDefault="001C19F3" w:rsidP="00521305">
            <w:pPr>
              <w:spacing w:after="0"/>
              <w:jc w:val="right"/>
              <w:rPr>
                <w:sz w:val="18"/>
                <w:szCs w:val="18"/>
              </w:rPr>
            </w:pPr>
            <w:r>
              <w:rPr>
                <w:sz w:val="18"/>
                <w:szCs w:val="18"/>
              </w:rPr>
              <w:t>21 (0.5%)</w:t>
            </w:r>
          </w:p>
        </w:tc>
        <w:tc>
          <w:tcPr>
            <w:tcW w:w="1417" w:type="dxa"/>
          </w:tcPr>
          <w:p w14:paraId="3476F9C2" w14:textId="77777777" w:rsidR="001C19F3" w:rsidRPr="00CD68C9" w:rsidRDefault="001C19F3" w:rsidP="00521305">
            <w:pPr>
              <w:spacing w:after="0"/>
              <w:jc w:val="right"/>
              <w:rPr>
                <w:sz w:val="18"/>
                <w:szCs w:val="18"/>
              </w:rPr>
            </w:pPr>
            <w:r>
              <w:rPr>
                <w:sz w:val="18"/>
                <w:szCs w:val="18"/>
              </w:rPr>
              <w:t>11 (0.4%)</w:t>
            </w:r>
          </w:p>
        </w:tc>
        <w:tc>
          <w:tcPr>
            <w:tcW w:w="1559" w:type="dxa"/>
          </w:tcPr>
          <w:p w14:paraId="53584D62" w14:textId="77777777" w:rsidR="001C19F3" w:rsidRPr="00CD68C9" w:rsidRDefault="001C19F3" w:rsidP="00521305">
            <w:pPr>
              <w:spacing w:after="0"/>
              <w:jc w:val="right"/>
              <w:rPr>
                <w:sz w:val="18"/>
                <w:szCs w:val="18"/>
              </w:rPr>
            </w:pPr>
            <w:r>
              <w:rPr>
                <w:sz w:val="18"/>
                <w:szCs w:val="18"/>
              </w:rPr>
              <w:t>44 (0.5%)</w:t>
            </w:r>
          </w:p>
        </w:tc>
      </w:tr>
    </w:tbl>
    <w:bookmarkEnd w:id="526"/>
    <w:p w14:paraId="2156BB8F" w14:textId="77777777" w:rsidR="001C19F3" w:rsidRPr="00836337" w:rsidRDefault="001C19F3" w:rsidP="001C19F3">
      <w:pPr>
        <w:pStyle w:val="Chartortablefootnote"/>
        <w:rPr>
          <w:iCs/>
        </w:rPr>
        <w:sectPr w:rsidR="001C19F3" w:rsidRPr="00836337" w:rsidSect="001C5D9E">
          <w:headerReference w:type="even" r:id="rId166"/>
          <w:headerReference w:type="first" r:id="rId167"/>
          <w:pgSz w:w="11906" w:h="16838"/>
          <w:pgMar w:top="1440" w:right="1440" w:bottom="1440" w:left="1440" w:header="708" w:footer="708" w:gutter="0"/>
          <w:cols w:space="708"/>
          <w:titlePg/>
          <w:docGrid w:linePitch="360"/>
        </w:sectPr>
      </w:pPr>
      <w:r w:rsidRPr="00805297">
        <w:rPr>
          <w:iCs/>
          <w:vertAlign w:val="superscript"/>
        </w:rPr>
        <w:t>1</w:t>
      </w:r>
      <w:r w:rsidRPr="0081139F">
        <w:rPr>
          <w:iCs/>
        </w:rPr>
        <w:t>T</w:t>
      </w:r>
      <w:r w:rsidRPr="0081139F">
        <w:t>h</w:t>
      </w:r>
      <w:r w:rsidRPr="0081139F">
        <w:rPr>
          <w:iCs/>
        </w:rPr>
        <w:t>e</w:t>
      </w:r>
      <w:r w:rsidRPr="0081139F">
        <w:t xml:space="preserve"> number of GP consultations for patients in </w:t>
      </w:r>
      <w:r w:rsidRPr="0081139F">
        <w:rPr>
          <w:iCs/>
        </w:rPr>
        <w:t>Pen CS practices</w:t>
      </w:r>
      <w:r w:rsidRPr="0081139F">
        <w:t xml:space="preserve"> was estimated based on derived variables that indicate the number of times any GP in the practice used the practice’s clinical information system within the defined period. For patients in POLAR practices, the number of GP consultations was calculated as the number of patient encounters with a GP provider for any encounter type (e.g. visit, surgery, telephone, non-visit) within the define period. In instances where multiple GP</w:t>
      </w:r>
      <w:r>
        <w:t xml:space="preserve"> </w:t>
      </w:r>
      <w:r w:rsidRPr="0081139F">
        <w:t>provider encounter records with the same encounter type were recorded in one day, one encounter record was selected. The analysis of GP</w:t>
      </w:r>
      <w:r>
        <w:t xml:space="preserve"> </w:t>
      </w:r>
      <w:r w:rsidRPr="0081139F">
        <w:t xml:space="preserve">provider encounters in POLAR data shows that </w:t>
      </w:r>
      <w:r>
        <w:t xml:space="preserve">the </w:t>
      </w:r>
      <w:r w:rsidRPr="0081139F">
        <w:t>majority of GP</w:t>
      </w:r>
      <w:r>
        <w:t xml:space="preserve"> </w:t>
      </w:r>
      <w:r w:rsidRPr="0081139F">
        <w:t>provider encounters (94%) related to patient consultations (i.e. type of encounter as visit or surgery)</w:t>
      </w:r>
      <w:r>
        <w:t xml:space="preserve">; </w:t>
      </w:r>
      <w:r>
        <w:rPr>
          <w:vertAlign w:val="superscript"/>
        </w:rPr>
        <w:t>2</w:t>
      </w:r>
      <w:r w:rsidRPr="0081139F">
        <w:t>GP consultations for patients in each risk tier were calculated for 8</w:t>
      </w:r>
      <w:r>
        <w:t>1</w:t>
      </w:r>
      <w:r w:rsidRPr="0081139F">
        <w:t xml:space="preserve"> Pen CS practices whose extract data contain the GP utilisation derived variables and patient risk tier and 2 POLAR practices whose extract data contain patient encounters and risk tier</w:t>
      </w:r>
      <w:r>
        <w:t xml:space="preserve">; </w:t>
      </w:r>
      <w:r>
        <w:rPr>
          <w:iCs/>
          <w:vertAlign w:val="superscript"/>
        </w:rPr>
        <w:t>3</w:t>
      </w:r>
      <w:r w:rsidRPr="0081139F">
        <w:t>GP consultations for all HCH patients were calculated for 8</w:t>
      </w:r>
      <w:r>
        <w:t>1</w:t>
      </w:r>
      <w:r w:rsidRPr="0081139F">
        <w:t xml:space="preserve"> Pen CS practices whose extract data contain the GP utilisation derived variables and patient risk tier and 4 POLAR practices whose extract data contain patient encounters</w:t>
      </w:r>
      <w:r>
        <w:t xml:space="preserve">; </w:t>
      </w:r>
      <w:r w:rsidRPr="00836337">
        <w:rPr>
          <w:bCs/>
          <w:vertAlign w:val="superscript"/>
        </w:rPr>
        <w:t>4</w:t>
      </w:r>
      <w:r>
        <w:rPr>
          <w:bCs/>
        </w:rPr>
        <w:t>SD=</w:t>
      </w:r>
      <w:r w:rsidRPr="00836337">
        <w:rPr>
          <w:iCs/>
        </w:rPr>
        <w:t>Standard</w:t>
      </w:r>
      <w:r w:rsidRPr="0081139F">
        <w:rPr>
          <w:iCs/>
        </w:rPr>
        <w:t xml:space="preserve"> deviation</w:t>
      </w:r>
      <w:r>
        <w:rPr>
          <w:iCs/>
        </w:rPr>
        <w:t>,</w:t>
      </w:r>
      <w:r w:rsidRPr="0081139F">
        <w:rPr>
          <w:iCs/>
        </w:rPr>
        <w:t xml:space="preserve"> IQR</w:t>
      </w:r>
      <w:r>
        <w:rPr>
          <w:iCs/>
        </w:rPr>
        <w:t>=</w:t>
      </w:r>
      <w:r w:rsidRPr="0081139F">
        <w:rPr>
          <w:iCs/>
        </w:rPr>
        <w:t>Interquartile range</w:t>
      </w:r>
      <w:r>
        <w:rPr>
          <w:iCs/>
        </w:rPr>
        <w:t>.</w:t>
      </w:r>
    </w:p>
    <w:p w14:paraId="17661453" w14:textId="77777777" w:rsidR="001C19F3" w:rsidRDefault="001C19F3" w:rsidP="001C19F3">
      <w:pPr>
        <w:pStyle w:val="Heading1withnumber"/>
        <w:ind w:left="0" w:hanging="1134"/>
      </w:pPr>
      <w:bookmarkStart w:id="527" w:name="_Toc27058965"/>
      <w:r>
        <w:lastRenderedPageBreak/>
        <w:t>Risk stratification</w:t>
      </w:r>
      <w:bookmarkEnd w:id="527"/>
    </w:p>
    <w:p w14:paraId="4226708B" w14:textId="77777777" w:rsidR="001C19F3" w:rsidRDefault="001C19F3" w:rsidP="001C19F3">
      <w:pPr>
        <w:rPr>
          <w:rFonts w:cstheme="minorHAnsi"/>
          <w:szCs w:val="20"/>
        </w:rPr>
      </w:pPr>
      <w:bookmarkStart w:id="528" w:name="_Toc16433072"/>
      <w:bookmarkEnd w:id="528"/>
      <w:r>
        <w:rPr>
          <w:rFonts w:cstheme="minorHAnsi"/>
          <w:szCs w:val="20"/>
        </w:rPr>
        <w:t xml:space="preserve">The HCH risk stratification tool was developed by </w:t>
      </w:r>
      <w:r w:rsidRPr="00EF65CA">
        <w:rPr>
          <w:rFonts w:cstheme="minorHAnsi"/>
          <w:szCs w:val="20"/>
        </w:rPr>
        <w:t>Precedence Health Care</w:t>
      </w:r>
      <w:r>
        <w:rPr>
          <w:rFonts w:cstheme="minorHAnsi"/>
          <w:szCs w:val="20"/>
        </w:rPr>
        <w:t xml:space="preserve"> in collaboration with the </w:t>
      </w:r>
      <w:r w:rsidRPr="00E229DF">
        <w:rPr>
          <w:rFonts w:cstheme="minorHAnsi"/>
          <w:szCs w:val="20"/>
        </w:rPr>
        <w:t xml:space="preserve">Commonwealth Scientific and Industrial Research Organisation </w:t>
      </w:r>
      <w:r>
        <w:rPr>
          <w:rFonts w:cstheme="minorHAnsi"/>
          <w:szCs w:val="20"/>
        </w:rPr>
        <w:t>(CSIRO) (</w:t>
      </w:r>
      <w:r>
        <w:rPr>
          <w:rFonts w:cstheme="minorHAnsi"/>
          <w:szCs w:val="20"/>
        </w:rPr>
        <w:fldChar w:fldCharType="begin"/>
      </w:r>
      <w:r>
        <w:rPr>
          <w:rFonts w:cstheme="minorHAnsi"/>
          <w:szCs w:val="20"/>
        </w:rPr>
        <w:instrText xml:space="preserve"> ADDIN EN.CITE &lt;EndNote&gt;&lt;Cite&gt;&lt;Author&gt;Khanna&lt;/Author&gt;&lt;Year&gt;2019&lt;/Year&gt;&lt;RecNum&gt;1124&lt;/RecNum&gt;&lt;DisplayText&gt;Khanna et al., 2019&lt;/DisplayText&gt;&lt;record&gt;&lt;rec-number&gt;1124&lt;/rec-number&gt;&lt;foreign-keys&gt;&lt;key app="EN" db-id="zdz9xax04zr9v0evw2nvrpw9xe9ttzvs5zsv" timestamp="1570081645"&gt;1124&lt;/key&gt;&lt;/foreign-keys&gt;&lt;ref-type name="Journal Article"&gt;17&lt;/ref-type&gt;&lt;contributors&gt;&lt;authors&gt;&lt;author&gt;Khanna, S.&lt;/author&gt;&lt;author&gt;Rolls, D. A.&lt;/author&gt;&lt;author&gt;Boyle, J.&lt;/author&gt;&lt;author&gt;Xie, Y.&lt;/author&gt;&lt;author&gt;Jayasena, R.&lt;/author&gt;&lt;author&gt;Hibbert, M.&lt;/author&gt;&lt;author&gt;Georgeff, M.&lt;/author&gt;&lt;/authors&gt;&lt;/contributors&gt;&lt;auth-address&gt;CSIRO Australian e-Health Research Centre, Brisbane, QLD 4029, Australia. Sankalp.Khanna@csiro.au.&amp;#xD;CSIRO Australian e-Health Research Centre, Melbourne, VIC 3052, Australia.&amp;#xD;CSIRO Australian e-Health Research Centre, Brisbane, QLD 4029, Australia.&amp;#xD;CSIRO Australian e-Health Research Centre, Sydney, NSW 2122, Australia.&amp;#xD;Precedence Health Care, Melbourne, VIC 3000, Australia.&lt;/auth-address&gt;&lt;titles&gt;&lt;title&gt;A risk stratification tool for hospitalisation in Australia using primary care data&lt;/title&gt;&lt;secondary-title&gt;Sci Rep&lt;/secondary-title&gt;&lt;/titles&gt;&lt;periodical&gt;&lt;full-title&gt;Sci Rep&lt;/full-title&gt;&lt;/periodical&gt;&lt;pages&gt;5011&lt;/pages&gt;&lt;volume&gt;9&lt;/volume&gt;&lt;number&gt;1&lt;/number&gt;&lt;dates&gt;&lt;year&gt;2019&lt;/year&gt;&lt;pub-dates&gt;&lt;date&gt;Mar 21&lt;/date&gt;&lt;/pub-dates&gt;&lt;/dates&gt;&lt;isbn&gt;2045-2322 (Electronic)&amp;#xD;2045-2322 (Linking)&lt;/isbn&gt;&lt;accession-num&gt;30899054&lt;/accession-num&gt;&lt;urls&gt;&lt;related-urls&gt;&lt;url&gt;https://www.ncbi.nlm.nih.gov/pubmed/30899054&lt;/url&gt;&lt;/related-urls&gt;&lt;/urls&gt;&lt;custom2&gt;PMC6428894&lt;/custom2&gt;&lt;electronic-resource-num&gt;10.1038/s41598-019-41383-y&lt;/electronic-resource-num&gt;&lt;/record&gt;&lt;/Cite&gt;&lt;/EndNote&gt;</w:instrText>
      </w:r>
      <w:r>
        <w:rPr>
          <w:rFonts w:cstheme="minorHAnsi"/>
          <w:szCs w:val="20"/>
        </w:rPr>
        <w:fldChar w:fldCharType="separate"/>
      </w:r>
      <w:r>
        <w:rPr>
          <w:rFonts w:cstheme="minorHAnsi"/>
          <w:noProof/>
          <w:szCs w:val="20"/>
        </w:rPr>
        <w:t>Khanna et al., 2019</w:t>
      </w:r>
      <w:r>
        <w:rPr>
          <w:rFonts w:cstheme="minorHAnsi"/>
          <w:szCs w:val="20"/>
        </w:rPr>
        <w:fldChar w:fldCharType="end"/>
      </w:r>
      <w:r>
        <w:rPr>
          <w:rFonts w:cstheme="minorHAnsi"/>
          <w:szCs w:val="20"/>
        </w:rPr>
        <w:t xml:space="preserve">). The tool involves passing de-identified and encrypted data to a portal where the relevant algorithms are applied. Subsequently a digital certificate and information, including risk scores are passed back to the participating practice. Precedence </w:t>
      </w:r>
      <w:r w:rsidRPr="00EF65CA">
        <w:rPr>
          <w:rFonts w:cstheme="minorHAnsi"/>
          <w:szCs w:val="20"/>
        </w:rPr>
        <w:t>Health Care</w:t>
      </w:r>
      <w:r>
        <w:rPr>
          <w:rFonts w:cstheme="minorHAnsi"/>
          <w:szCs w:val="20"/>
        </w:rPr>
        <w:t xml:space="preserve"> have accumulated de-identified data that includes the predictor items used in the models, the risk scores assigned, and tiers. </w:t>
      </w:r>
    </w:p>
    <w:p w14:paraId="57B86DC5" w14:textId="77777777" w:rsidR="001C19F3" w:rsidRDefault="001C19F3" w:rsidP="001C19F3">
      <w:pPr>
        <w:rPr>
          <w:rFonts w:cstheme="minorHAnsi"/>
          <w:szCs w:val="20"/>
        </w:rPr>
      </w:pPr>
      <w:r>
        <w:rPr>
          <w:rFonts w:cstheme="minorHAnsi"/>
          <w:szCs w:val="20"/>
        </w:rPr>
        <w:t xml:space="preserve">A copy </w:t>
      </w:r>
      <w:bookmarkStart w:id="529" w:name="_Hlk21012663"/>
      <w:r>
        <w:rPr>
          <w:rFonts w:cstheme="minorHAnsi"/>
          <w:szCs w:val="20"/>
        </w:rPr>
        <w:t xml:space="preserve">of the de-identified data was provided to the evaluation team in early September 2019 for analysis. The data relate to items and risk scores for the two stages of the risk stratification process, the </w:t>
      </w:r>
      <w:r>
        <w:rPr>
          <w:szCs w:val="20"/>
        </w:rPr>
        <w:t xml:space="preserve">predictive risk model (PRM) and the Western HARP Risk Calculator (the HARP) </w:t>
      </w:r>
      <w:r>
        <w:t>(</w:t>
      </w:r>
      <w:r>
        <w:fldChar w:fldCharType="begin"/>
      </w:r>
      <w:r>
        <w:instrText xml:space="preserve"> ADDIN EN.CITE &lt;EndNote&gt;&lt;Cite&gt;&lt;Author&gt;HARP&lt;/Author&gt;&lt;Year&gt;2009&lt;/Year&gt;&lt;RecNum&gt;1051&lt;/RecNum&gt;&lt;DisplayText&gt;HARP, 2009&lt;/DisplayText&gt;&lt;record&gt;&lt;rec-number&gt;1051&lt;/rec-number&gt;&lt;foreign-keys&gt;&lt;key app="EN" db-id="zdz9xax04zr9v0evw2nvrpw9xe9ttzvs5zsv" timestamp="1536537172"&gt;1051&lt;/key&gt;&lt;/foreign-keys&gt;&lt;ref-type name="Web Page"&gt;12&lt;/ref-type&gt;&lt;contributors&gt;&lt;authors&gt;&lt;author&gt;HARP&lt;/author&gt;&lt;/authors&gt;&lt;/contributors&gt;&lt;titles&gt;&lt;title&gt;Summary: HARP risk calculator&lt;/title&gt;&lt;/titles&gt;&lt;volume&gt;2018&lt;/volume&gt;&lt;number&gt;10 September&lt;/number&gt;&lt;dates&gt;&lt;year&gt;2009&lt;/year&gt;&lt;/dates&gt;&lt;urls&gt;&lt;related-urls&gt;&lt;url&gt;https://adma.org.au/download/western-harp-risk-calculator/&lt;/url&gt;&lt;/related-urls&gt;&lt;/urls&gt;&lt;/record&gt;&lt;/Cite&gt;&lt;/EndNote&gt;</w:instrText>
      </w:r>
      <w:r>
        <w:fldChar w:fldCharType="separate"/>
      </w:r>
      <w:r>
        <w:rPr>
          <w:noProof/>
        </w:rPr>
        <w:t>HARP, 2009</w:t>
      </w:r>
      <w:r>
        <w:fldChar w:fldCharType="end"/>
      </w:r>
      <w:r>
        <w:t>)</w:t>
      </w:r>
      <w:r>
        <w:rPr>
          <w:szCs w:val="20"/>
        </w:rPr>
        <w:t>. These reflect the two stages of the process involved in determining eligibility for HCH and assigning a tier.</w:t>
      </w:r>
    </w:p>
    <w:bookmarkEnd w:id="529"/>
    <w:p w14:paraId="59580046" w14:textId="77777777" w:rsidR="001C19F3" w:rsidRDefault="001C19F3" w:rsidP="001C19F3">
      <w:pPr>
        <w:rPr>
          <w:szCs w:val="20"/>
        </w:rPr>
      </w:pPr>
      <w:r>
        <w:rPr>
          <w:szCs w:val="20"/>
        </w:rPr>
        <w:t>In the first stage, the PRM uses data from the practice clinical management system to populate 50 predictor variables, including: demographic characteristics, observations, diagnoses and medications. The PRM estimates the risk of a patient being hospitalised in the next 12 months. If the score is above 9.7%, the patient is flagged as potentially eligible for enrolment.</w:t>
      </w:r>
      <w:r>
        <w:t xml:space="preserve"> GPs can override the recommendation based on the PRM risk score and invite patients with a risk score below the threshold to undertake the second stage assessment</w:t>
      </w:r>
      <w:r w:rsidRPr="0081139F">
        <w:rPr>
          <w:szCs w:val="20"/>
        </w:rPr>
        <w:t xml:space="preserve">. </w:t>
      </w:r>
    </w:p>
    <w:p w14:paraId="200F51E0" w14:textId="77777777" w:rsidR="001C19F3" w:rsidRPr="008F2809" w:rsidRDefault="001C19F3" w:rsidP="001C19F3">
      <w:pPr>
        <w:rPr>
          <w:szCs w:val="20"/>
        </w:rPr>
      </w:pPr>
      <w:r>
        <w:rPr>
          <w:szCs w:val="20"/>
        </w:rPr>
        <w:t xml:space="preserve">The next stage of risk assessment involves the HARP. The HARP includes additional predictor variables that may not be readily available in the practice clinical management system, so are gathered through a clinician assessing the patient. These include </w:t>
      </w:r>
      <w:r w:rsidRPr="0081139F">
        <w:rPr>
          <w:szCs w:val="20"/>
        </w:rPr>
        <w:t>presenting clinical symptoms, service access profile, risk factors, complications, psycho-social issues and</w:t>
      </w:r>
      <w:r>
        <w:rPr>
          <w:szCs w:val="20"/>
        </w:rPr>
        <w:t xml:space="preserve"> the patient’s level of</w:t>
      </w:r>
      <w:r w:rsidRPr="0081139F">
        <w:rPr>
          <w:szCs w:val="20"/>
        </w:rPr>
        <w:t xml:space="preserve"> self-management.</w:t>
      </w:r>
      <w:r>
        <w:rPr>
          <w:szCs w:val="20"/>
        </w:rPr>
        <w:t xml:space="preserve"> </w:t>
      </w:r>
      <w:r w:rsidRPr="0081139F">
        <w:rPr>
          <w:szCs w:val="20"/>
        </w:rPr>
        <w:t xml:space="preserve">Ultimately the patient is allocated a score out of 49, with higher scores indicating higher risk of being hospitalised. Scores on the HARP are used to allocate patients to </w:t>
      </w:r>
      <w:r>
        <w:rPr>
          <w:szCs w:val="20"/>
        </w:rPr>
        <w:t>a</w:t>
      </w:r>
      <w:r w:rsidRPr="0081139F">
        <w:rPr>
          <w:szCs w:val="20"/>
        </w:rPr>
        <w:t xml:space="preserve"> HCH </w:t>
      </w:r>
      <w:r>
        <w:rPr>
          <w:szCs w:val="20"/>
        </w:rPr>
        <w:t>t</w:t>
      </w:r>
      <w:r w:rsidRPr="0081139F">
        <w:rPr>
          <w:szCs w:val="20"/>
        </w:rPr>
        <w:t xml:space="preserve">ier. A patient is not eligible if they score between zero and 4; they are allocated to Tier 1 with a score of 5 to 12, to Tier 2 with a score of 13 to 23, and to Tier 3 if they score 24 or greater. </w:t>
      </w:r>
      <w:bookmarkStart w:id="530" w:name="_Hlk21012796"/>
      <w:r w:rsidRPr="0081139F">
        <w:rPr>
          <w:szCs w:val="20"/>
        </w:rPr>
        <w:fldChar w:fldCharType="begin"/>
      </w:r>
      <w:r w:rsidRPr="0081139F">
        <w:rPr>
          <w:szCs w:val="20"/>
        </w:rPr>
        <w:instrText xml:space="preserve"> REF _Ref21007966 \h  \* MERGEFORMAT </w:instrText>
      </w:r>
      <w:r w:rsidRPr="0081139F">
        <w:rPr>
          <w:szCs w:val="20"/>
        </w:rPr>
      </w:r>
      <w:r w:rsidRPr="0081139F">
        <w:rPr>
          <w:szCs w:val="20"/>
        </w:rPr>
        <w:fldChar w:fldCharType="separate"/>
      </w:r>
    </w:p>
    <w:p w14:paraId="06C4CD0E" w14:textId="77777777" w:rsidR="001C19F3" w:rsidRPr="0081139F" w:rsidRDefault="001C19F3" w:rsidP="001C19F3">
      <w:pPr>
        <w:rPr>
          <w:szCs w:val="20"/>
        </w:rPr>
      </w:pPr>
      <w:r w:rsidRPr="008F2809">
        <w:rPr>
          <w:szCs w:val="20"/>
        </w:rPr>
        <w:t>Figure 5</w:t>
      </w:r>
      <w:r w:rsidRPr="0081139F">
        <w:rPr>
          <w:szCs w:val="20"/>
        </w:rPr>
        <w:fldChar w:fldCharType="end"/>
      </w:r>
      <w:r w:rsidRPr="0081139F">
        <w:rPr>
          <w:szCs w:val="20"/>
        </w:rPr>
        <w:t xml:space="preserve"> shows density plots for the PRM scores for HCH patients</w:t>
      </w:r>
      <w:r>
        <w:rPr>
          <w:szCs w:val="20"/>
        </w:rPr>
        <w:t>.</w:t>
      </w:r>
      <w:r w:rsidRPr="0081139F">
        <w:rPr>
          <w:szCs w:val="20"/>
        </w:rPr>
        <w:t xml:space="preserve"> Most patients ha</w:t>
      </w:r>
      <w:r>
        <w:rPr>
          <w:szCs w:val="20"/>
        </w:rPr>
        <w:t>d</w:t>
      </w:r>
      <w:r w:rsidRPr="0081139F">
        <w:rPr>
          <w:szCs w:val="20"/>
        </w:rPr>
        <w:t xml:space="preserve"> a risk of 0.25 or below (25% chance) of being hospitalised in the next 12 months. There is a substantial overlap across the tiers, with patients in the higher tiers more likely to have a higher risk.</w:t>
      </w:r>
    </w:p>
    <w:p w14:paraId="46FB3AEC" w14:textId="77777777" w:rsidR="001C19F3" w:rsidRDefault="001C19F3" w:rsidP="001C19F3">
      <w:pPr>
        <w:spacing w:after="160" w:line="259" w:lineRule="auto"/>
        <w:rPr>
          <w:rFonts w:asciiTheme="minorHAnsi" w:hAnsiTheme="minorHAnsi" w:cstheme="minorHAnsi"/>
          <w:b/>
          <w:bCs/>
          <w:color w:val="000000" w:themeColor="text1"/>
          <w:sz w:val="18"/>
          <w:szCs w:val="18"/>
        </w:rPr>
      </w:pPr>
    </w:p>
    <w:p w14:paraId="2F10495A" w14:textId="77777777" w:rsidR="001C19F3" w:rsidRDefault="001C19F3" w:rsidP="001C19F3">
      <w:pPr>
        <w:spacing w:after="0"/>
        <w:jc w:val="center"/>
        <w:rPr>
          <w:b/>
          <w:szCs w:val="20"/>
        </w:rPr>
      </w:pPr>
      <w:r w:rsidRPr="00B35200">
        <w:rPr>
          <w:rFonts w:cstheme="minorHAnsi"/>
          <w:noProof/>
          <w:szCs w:val="20"/>
          <w:lang w:eastAsia="en-AU"/>
        </w:rPr>
        <w:lastRenderedPageBreak/>
        <w:drawing>
          <wp:inline distT="0" distB="0" distL="0" distR="0" wp14:anchorId="585F9550" wp14:editId="65F00B62">
            <wp:extent cx="4752975" cy="3429000"/>
            <wp:effectExtent l="0" t="0" r="9525" b="0"/>
            <wp:docPr id="89" name="Picture 89" descr="S:\Consultancy Projects\Finalised projects 2017\2016-046 DoH Evaluation of Health Care Homes\13.0 Data\R_HCH\output\Figures\Interim2019\RST_PRMscore_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nsultancy Projects\Finalised projects 2017\2016-046 DoH Evaluation of Health Care Homes\13.0 Data\R_HCH\output\Figures\Interim2019\RST_PRMscore_density.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52975" cy="3429000"/>
                    </a:xfrm>
                    <a:prstGeom prst="rect">
                      <a:avLst/>
                    </a:prstGeom>
                    <a:noFill/>
                    <a:ln>
                      <a:noFill/>
                    </a:ln>
                  </pic:spPr>
                </pic:pic>
              </a:graphicData>
            </a:graphic>
          </wp:inline>
        </w:drawing>
      </w:r>
    </w:p>
    <w:p w14:paraId="1EDABE77" w14:textId="77777777" w:rsidR="001C19F3" w:rsidRPr="003B2714" w:rsidRDefault="001C19F3" w:rsidP="001C19F3">
      <w:pPr>
        <w:spacing w:after="0"/>
        <w:jc w:val="center"/>
        <w:rPr>
          <w:b/>
          <w:szCs w:val="20"/>
        </w:rPr>
      </w:pPr>
      <w:r w:rsidRPr="003B2714">
        <w:rPr>
          <w:b/>
          <w:szCs w:val="20"/>
        </w:rPr>
        <w:t xml:space="preserve">Figure </w:t>
      </w:r>
      <w:r w:rsidRPr="003B2714">
        <w:rPr>
          <w:b/>
          <w:szCs w:val="20"/>
        </w:rPr>
        <w:fldChar w:fldCharType="begin"/>
      </w:r>
      <w:r w:rsidRPr="003B2714">
        <w:rPr>
          <w:b/>
          <w:szCs w:val="20"/>
        </w:rPr>
        <w:instrText xml:space="preserve"> SEQ Figure \* ARABIC </w:instrText>
      </w:r>
      <w:r w:rsidRPr="003B2714">
        <w:rPr>
          <w:b/>
          <w:szCs w:val="20"/>
        </w:rPr>
        <w:fldChar w:fldCharType="separate"/>
      </w:r>
      <w:r>
        <w:rPr>
          <w:b/>
          <w:noProof/>
          <w:szCs w:val="20"/>
        </w:rPr>
        <w:t>5</w:t>
      </w:r>
      <w:r w:rsidRPr="003B2714">
        <w:rPr>
          <w:b/>
          <w:szCs w:val="20"/>
        </w:rPr>
        <w:fldChar w:fldCharType="end"/>
      </w:r>
      <w:r w:rsidRPr="003B2714">
        <w:rPr>
          <w:b/>
          <w:szCs w:val="20"/>
        </w:rPr>
        <w:t xml:space="preserve"> – Distribution of PRM risk scores by HCH tier</w:t>
      </w:r>
    </w:p>
    <w:p w14:paraId="48C99A9F" w14:textId="77777777" w:rsidR="001C19F3" w:rsidRDefault="001C19F3" w:rsidP="001C19F3">
      <w:pPr>
        <w:pStyle w:val="Chartortablefootnote"/>
      </w:pPr>
      <w:r w:rsidRPr="003B2714">
        <w:t>Source: Risk stratification data provided by Precedence Health Care, to June 2019.</w:t>
      </w:r>
    </w:p>
    <w:p w14:paraId="793D92DC" w14:textId="77777777" w:rsidR="001C19F3" w:rsidRDefault="001C19F3" w:rsidP="001C19F3">
      <w:pPr>
        <w:rPr>
          <w:rFonts w:cstheme="minorHAnsi"/>
          <w:szCs w:val="20"/>
        </w:rPr>
      </w:pPr>
      <w:bookmarkStart w:id="531" w:name="_Hlk21012715"/>
      <w:bookmarkEnd w:id="530"/>
      <w:r>
        <w:rPr>
          <w:rFonts w:cstheme="minorHAnsi"/>
          <w:szCs w:val="20"/>
        </w:rPr>
        <w:t xml:space="preserve">More </w:t>
      </w:r>
      <w:r w:rsidRPr="00EF65CA">
        <w:rPr>
          <w:rFonts w:cstheme="minorHAnsi"/>
          <w:szCs w:val="20"/>
        </w:rPr>
        <w:t>detailed summar</w:t>
      </w:r>
      <w:r>
        <w:rPr>
          <w:rFonts w:cstheme="minorHAnsi"/>
          <w:szCs w:val="20"/>
        </w:rPr>
        <w:t>ies</w:t>
      </w:r>
      <w:r w:rsidRPr="00EF65CA">
        <w:rPr>
          <w:rFonts w:cstheme="minorHAnsi"/>
          <w:szCs w:val="20"/>
        </w:rPr>
        <w:t xml:space="preserve"> of </w:t>
      </w:r>
      <w:r>
        <w:rPr>
          <w:rFonts w:cstheme="minorHAnsi"/>
          <w:szCs w:val="20"/>
        </w:rPr>
        <w:t xml:space="preserve">the HARP data are </w:t>
      </w:r>
      <w:r w:rsidRPr="00EF65CA">
        <w:rPr>
          <w:rFonts w:cstheme="minorHAnsi"/>
          <w:szCs w:val="20"/>
        </w:rPr>
        <w:t xml:space="preserve">presented in </w:t>
      </w:r>
      <w:r w:rsidRPr="00DD0409">
        <w:rPr>
          <w:rFonts w:cstheme="minorHAnsi"/>
          <w:szCs w:val="20"/>
        </w:rPr>
        <w:t xml:space="preserve">Appendix </w:t>
      </w:r>
      <w:r>
        <w:rPr>
          <w:rFonts w:cstheme="minorHAnsi"/>
          <w:szCs w:val="20"/>
        </w:rPr>
        <w:t xml:space="preserve">4. These tables present summary scores on each item in the HARP tool for the whole patient population, as well as by HCH tier. There is also an analysis on whether the GP overrode the patients PRM score. </w:t>
      </w:r>
    </w:p>
    <w:p w14:paraId="4A37FE9A" w14:textId="77777777" w:rsidR="001C19F3" w:rsidRDefault="001C19F3" w:rsidP="001C19F3">
      <w:pPr>
        <w:rPr>
          <w:rFonts w:cs="Calibri (Body)"/>
          <w:color w:val="000000"/>
          <w:szCs w:val="20"/>
        </w:rPr>
      </w:pPr>
      <w:bookmarkStart w:id="532" w:name="_Hlk21013372"/>
      <w:bookmarkEnd w:id="531"/>
      <w:r>
        <w:rPr>
          <w:rFonts w:cstheme="minorHAnsi"/>
          <w:szCs w:val="20"/>
        </w:rPr>
        <w:t xml:space="preserve">In relation to the HCH tier, </w:t>
      </w:r>
      <w:r w:rsidRPr="00EF65CA">
        <w:rPr>
          <w:rFonts w:cstheme="minorHAnsi"/>
          <w:szCs w:val="20"/>
        </w:rPr>
        <w:t>the results are consistent with expectations</w:t>
      </w:r>
      <w:r>
        <w:rPr>
          <w:rFonts w:cstheme="minorHAnsi"/>
          <w:szCs w:val="20"/>
        </w:rPr>
        <w:t xml:space="preserve"> because tier is completely determined by the HARP tool</w:t>
      </w:r>
      <w:r w:rsidRPr="00EF65CA">
        <w:rPr>
          <w:rFonts w:cstheme="minorHAnsi"/>
          <w:szCs w:val="20"/>
        </w:rPr>
        <w:t>.</w:t>
      </w:r>
      <w:r>
        <w:rPr>
          <w:rFonts w:cstheme="minorHAnsi"/>
          <w:szCs w:val="20"/>
        </w:rPr>
        <w:t xml:space="preserve"> </w:t>
      </w:r>
      <w:r w:rsidRPr="00EF65CA">
        <w:rPr>
          <w:rFonts w:cstheme="minorHAnsi"/>
          <w:szCs w:val="20"/>
        </w:rPr>
        <w:t xml:space="preserve">Patients </w:t>
      </w:r>
      <w:r>
        <w:rPr>
          <w:rFonts w:cstheme="minorHAnsi"/>
          <w:szCs w:val="20"/>
        </w:rPr>
        <w:t xml:space="preserve">were </w:t>
      </w:r>
      <w:r w:rsidRPr="00EF65CA">
        <w:rPr>
          <w:rFonts w:cstheme="minorHAnsi"/>
          <w:szCs w:val="20"/>
        </w:rPr>
        <w:t>more</w:t>
      </w:r>
      <w:r>
        <w:rPr>
          <w:rFonts w:cstheme="minorHAnsi"/>
          <w:szCs w:val="20"/>
        </w:rPr>
        <w:t xml:space="preserve"> likely to have</w:t>
      </w:r>
      <w:r w:rsidRPr="00EF65CA">
        <w:rPr>
          <w:rFonts w:cstheme="minorHAnsi"/>
          <w:szCs w:val="20"/>
        </w:rPr>
        <w:t xml:space="preserve"> chronic conditions and more social problems with increasing tier</w:t>
      </w:r>
      <w:r>
        <w:rPr>
          <w:rFonts w:cstheme="minorHAnsi"/>
          <w:szCs w:val="20"/>
        </w:rPr>
        <w:t xml:space="preserve"> (</w:t>
      </w:r>
      <w:r>
        <w:rPr>
          <w:rFonts w:cstheme="minorHAnsi"/>
          <w:szCs w:val="20"/>
        </w:rPr>
        <w:fldChar w:fldCharType="begin"/>
      </w:r>
      <w:r>
        <w:rPr>
          <w:rFonts w:cstheme="minorHAnsi"/>
          <w:szCs w:val="20"/>
        </w:rPr>
        <w:instrText xml:space="preserve"> REF _Ref22829973 \h  \* MERGEFORMAT </w:instrText>
      </w:r>
      <w:r>
        <w:rPr>
          <w:rFonts w:cstheme="minorHAnsi"/>
          <w:szCs w:val="20"/>
        </w:rPr>
      </w:r>
      <w:r>
        <w:rPr>
          <w:rFonts w:cstheme="minorHAnsi"/>
          <w:szCs w:val="20"/>
        </w:rPr>
        <w:fldChar w:fldCharType="separate"/>
      </w:r>
      <w:r w:rsidRPr="008F2809">
        <w:rPr>
          <w:rFonts w:cstheme="minorHAnsi"/>
          <w:szCs w:val="20"/>
        </w:rPr>
        <w:t>Table 81</w:t>
      </w:r>
      <w:r>
        <w:rPr>
          <w:rFonts w:cstheme="minorHAnsi"/>
          <w:szCs w:val="20"/>
        </w:rPr>
        <w:fldChar w:fldCharType="end"/>
      </w:r>
      <w:r>
        <w:rPr>
          <w:rFonts w:cstheme="minorHAnsi"/>
          <w:szCs w:val="20"/>
        </w:rPr>
        <w:t>)</w:t>
      </w:r>
      <w:r w:rsidRPr="00EF65CA">
        <w:rPr>
          <w:rFonts w:cstheme="minorHAnsi"/>
          <w:szCs w:val="20"/>
        </w:rPr>
        <w:t>.</w:t>
      </w:r>
      <w:r>
        <w:rPr>
          <w:rFonts w:cstheme="minorHAnsi"/>
          <w:szCs w:val="20"/>
        </w:rPr>
        <w:t xml:space="preserve"> </w:t>
      </w:r>
      <w:r w:rsidRPr="00EF65CA">
        <w:rPr>
          <w:rFonts w:cstheme="minorHAnsi"/>
          <w:szCs w:val="20"/>
        </w:rPr>
        <w:t>The most common chronic disease group was ‘</w:t>
      </w:r>
      <w:r w:rsidRPr="00EF65CA">
        <w:rPr>
          <w:rFonts w:cs="Calibri (Body)"/>
          <w:color w:val="000000"/>
          <w:szCs w:val="20"/>
        </w:rPr>
        <w:t>Co-morbid diagnosis of diabetes and/or renal failure and/or liver disease’ with a prevalence of 43.1%</w:t>
      </w:r>
      <w:r>
        <w:rPr>
          <w:rFonts w:cs="Calibri (Body)"/>
          <w:color w:val="000000"/>
          <w:szCs w:val="20"/>
        </w:rPr>
        <w:t xml:space="preserve"> (36.6% in Tier 1, 41.9% in Tier 2, </w:t>
      </w:r>
      <w:r w:rsidRPr="00EF65CA">
        <w:rPr>
          <w:rFonts w:cs="Calibri (Body)"/>
          <w:color w:val="000000"/>
          <w:szCs w:val="20"/>
        </w:rPr>
        <w:t xml:space="preserve">and 48.8% in </w:t>
      </w:r>
      <w:r>
        <w:rPr>
          <w:rFonts w:cs="Calibri (Body)"/>
          <w:color w:val="000000"/>
          <w:szCs w:val="20"/>
        </w:rPr>
        <w:t>T</w:t>
      </w:r>
      <w:r w:rsidRPr="00EF65CA">
        <w:rPr>
          <w:rFonts w:cs="Calibri (Body)"/>
          <w:color w:val="000000"/>
          <w:szCs w:val="20"/>
        </w:rPr>
        <w:t>ier 3</w:t>
      </w:r>
      <w:r>
        <w:rPr>
          <w:rFonts w:cs="Calibri (Body)"/>
          <w:color w:val="000000"/>
          <w:szCs w:val="20"/>
        </w:rPr>
        <w:t>)</w:t>
      </w:r>
      <w:r w:rsidRPr="00EF65CA">
        <w:rPr>
          <w:rFonts w:cs="Calibri (Body)"/>
          <w:color w:val="000000"/>
          <w:szCs w:val="20"/>
        </w:rPr>
        <w:t>.</w:t>
      </w:r>
      <w:r>
        <w:rPr>
          <w:rFonts w:cs="Calibri (Body)"/>
          <w:color w:val="000000"/>
          <w:szCs w:val="20"/>
        </w:rPr>
        <w:t xml:space="preserve"> </w:t>
      </w:r>
      <w:r w:rsidRPr="00EF65CA">
        <w:rPr>
          <w:rFonts w:cs="Calibri (Body)"/>
          <w:color w:val="000000"/>
          <w:szCs w:val="20"/>
        </w:rPr>
        <w:t xml:space="preserve">Cardiac conditions such as CHF or angina </w:t>
      </w:r>
      <w:r>
        <w:rPr>
          <w:rFonts w:cs="Calibri (Body)"/>
          <w:color w:val="000000"/>
          <w:szCs w:val="20"/>
        </w:rPr>
        <w:t>were</w:t>
      </w:r>
      <w:r w:rsidRPr="00EF65CA">
        <w:rPr>
          <w:rFonts w:cs="Calibri (Body)"/>
          <w:color w:val="000000"/>
          <w:szCs w:val="20"/>
        </w:rPr>
        <w:t xml:space="preserve"> also common, with 33.2% of patients having the</w:t>
      </w:r>
      <w:r>
        <w:rPr>
          <w:rFonts w:cs="Calibri (Body)"/>
          <w:color w:val="000000"/>
          <w:szCs w:val="20"/>
        </w:rPr>
        <w:t>se</w:t>
      </w:r>
      <w:r w:rsidRPr="00EF65CA">
        <w:rPr>
          <w:rFonts w:cs="Calibri (Body)"/>
          <w:color w:val="000000"/>
          <w:szCs w:val="20"/>
        </w:rPr>
        <w:t xml:space="preserve"> condition</w:t>
      </w:r>
      <w:r>
        <w:rPr>
          <w:rFonts w:cs="Calibri (Body)"/>
          <w:color w:val="000000"/>
          <w:szCs w:val="20"/>
        </w:rPr>
        <w:t>s</w:t>
      </w:r>
      <w:r w:rsidRPr="00EF65CA">
        <w:rPr>
          <w:rFonts w:cs="Calibri (Body)"/>
          <w:color w:val="000000"/>
          <w:szCs w:val="20"/>
        </w:rPr>
        <w:t xml:space="preserve"> and 33.7% of patients had a chronic respirator</w:t>
      </w:r>
      <w:r>
        <w:rPr>
          <w:rFonts w:cs="Calibri (Body)"/>
          <w:color w:val="000000"/>
          <w:szCs w:val="20"/>
        </w:rPr>
        <w:t>y</w:t>
      </w:r>
      <w:r w:rsidRPr="00EF65CA">
        <w:rPr>
          <w:rFonts w:cs="Calibri (Body)"/>
          <w:color w:val="000000"/>
          <w:szCs w:val="20"/>
        </w:rPr>
        <w:t xml:space="preserve"> condition.</w:t>
      </w:r>
      <w:r>
        <w:rPr>
          <w:rFonts w:cs="Calibri (Body)"/>
          <w:color w:val="000000"/>
          <w:szCs w:val="20"/>
        </w:rPr>
        <w:t xml:space="preserve"> Possibly the greatest gradient in the prevalence of a condition across tiers was for diagnosis of complex care needs in frail aged patients, such as dementia, falls, incontinence, with a prevalence of 4.7% in Tier 1, 11.6% in Tier 2, and 34.5% in Tier 3.</w:t>
      </w:r>
    </w:p>
    <w:p w14:paraId="612F3D60" w14:textId="77777777" w:rsidR="001C19F3" w:rsidRDefault="001C19F3" w:rsidP="001C19F3">
      <w:pPr>
        <w:rPr>
          <w:rFonts w:cs="Calibri (Body)"/>
          <w:color w:val="000000"/>
          <w:szCs w:val="20"/>
        </w:rPr>
      </w:pPr>
      <w:r>
        <w:rPr>
          <w:rFonts w:cs="Calibri (Body)"/>
          <w:color w:val="000000"/>
          <w:szCs w:val="20"/>
        </w:rPr>
        <w:t>Within the service access profile category patients in Tier 3 were more likely to have been in hospital more than once in the last 12 months (41.3% in Tier 3, 18.5% in Tier 2, 7.4% in Tier 1) and more likely to have a reduced ability to self-care (62.5% in Tier 3, 12.8% in Tier 2, 1.5% in Tier 1) (</w:t>
      </w:r>
      <w:r>
        <w:rPr>
          <w:rFonts w:cs="Calibri (Body)"/>
          <w:color w:val="000000"/>
          <w:szCs w:val="20"/>
        </w:rPr>
        <w:fldChar w:fldCharType="begin"/>
      </w:r>
      <w:r>
        <w:rPr>
          <w:rFonts w:cs="Calibri (Body)"/>
          <w:color w:val="000000"/>
          <w:szCs w:val="20"/>
        </w:rPr>
        <w:instrText xml:space="preserve"> REF _Ref22830059 \h </w:instrText>
      </w:r>
      <w:r>
        <w:rPr>
          <w:rFonts w:cs="Calibri (Body)"/>
          <w:color w:val="000000"/>
          <w:szCs w:val="20"/>
        </w:rPr>
      </w:r>
      <w:r>
        <w:rPr>
          <w:rFonts w:cs="Calibri (Body)"/>
          <w:color w:val="000000"/>
          <w:szCs w:val="20"/>
        </w:rPr>
        <w:fldChar w:fldCharType="separate"/>
      </w:r>
      <w:r>
        <w:t xml:space="preserve">Table </w:t>
      </w:r>
      <w:r>
        <w:rPr>
          <w:noProof/>
        </w:rPr>
        <w:t>82</w:t>
      </w:r>
      <w:r>
        <w:rPr>
          <w:rFonts w:cs="Calibri (Body)"/>
          <w:color w:val="000000"/>
          <w:szCs w:val="20"/>
        </w:rPr>
        <w:fldChar w:fldCharType="end"/>
      </w:r>
      <w:r>
        <w:rPr>
          <w:rFonts w:cs="Calibri (Body)"/>
          <w:color w:val="000000"/>
          <w:szCs w:val="20"/>
        </w:rPr>
        <w:t>). Sixteen per cent of patients had regular medical checks, with the highest rate among patients in Tier 2 (13.5% in Tier 3, 19.9% in Tier 2, 10% in Tier 1). There were high levels (&gt;50%) of all the lifestyle risk factors except smoking, which had a prevalence of 18.0%. The prevalence of high blood pressure, high cholesterol and overweight/obese were highest among patients in Tier 3 but patients in Tier 3 had substantially higher levels of physical inactivity (73.8% in Tier 3, 53.3% in Tier 2, 29.8% in Tier 1) and polypharmacy (79.5% in Tier 3, 63.3% in Tier 2, 46.6% in Tier 1) (</w:t>
      </w:r>
      <w:r>
        <w:rPr>
          <w:rFonts w:cs="Calibri (Body)"/>
          <w:color w:val="000000"/>
          <w:szCs w:val="20"/>
        </w:rPr>
        <w:fldChar w:fldCharType="begin"/>
      </w:r>
      <w:r>
        <w:rPr>
          <w:rFonts w:cs="Calibri (Body)"/>
          <w:color w:val="000000"/>
          <w:szCs w:val="20"/>
        </w:rPr>
        <w:instrText xml:space="preserve"> REF _Ref22830185 \h </w:instrText>
      </w:r>
      <w:r>
        <w:rPr>
          <w:rFonts w:cs="Calibri (Body)"/>
          <w:color w:val="000000"/>
          <w:szCs w:val="20"/>
        </w:rPr>
      </w:r>
      <w:r>
        <w:rPr>
          <w:rFonts w:cs="Calibri (Body)"/>
          <w:color w:val="000000"/>
          <w:szCs w:val="20"/>
        </w:rPr>
        <w:fldChar w:fldCharType="separate"/>
      </w:r>
      <w:r>
        <w:t xml:space="preserve">Table </w:t>
      </w:r>
      <w:r>
        <w:rPr>
          <w:noProof/>
        </w:rPr>
        <w:t>83</w:t>
      </w:r>
      <w:r>
        <w:rPr>
          <w:rFonts w:cs="Calibri (Body)"/>
          <w:color w:val="000000"/>
          <w:szCs w:val="20"/>
        </w:rPr>
        <w:fldChar w:fldCharType="end"/>
      </w:r>
      <w:r>
        <w:rPr>
          <w:rFonts w:cs="Calibri (Body)"/>
          <w:color w:val="000000"/>
          <w:szCs w:val="20"/>
        </w:rPr>
        <w:t>).</w:t>
      </w:r>
    </w:p>
    <w:p w14:paraId="6C526723" w14:textId="77777777" w:rsidR="001C19F3" w:rsidRDefault="001C19F3" w:rsidP="001C19F3">
      <w:pPr>
        <w:rPr>
          <w:rFonts w:cs="Calibri (Body)"/>
          <w:color w:val="000000"/>
          <w:szCs w:val="20"/>
        </w:rPr>
      </w:pPr>
      <w:r>
        <w:rPr>
          <w:rFonts w:cs="Calibri (Body)"/>
          <w:color w:val="000000"/>
          <w:szCs w:val="20"/>
        </w:rPr>
        <w:lastRenderedPageBreak/>
        <w:t>There are eight items in the category of complications with each item being allocated a score of one if the patient has that complication. The prevalence of complications are 17.8% for carer stress issues, 16.5% for change in drug regime, 43.6% for chronic pain, 10.8% for cognitive impairment, 10.9% for compromised skin integrity, 13.5% for triggers for asthma, 10.0% for no carer available, and 37.4% of use of services previously (</w:t>
      </w:r>
      <w:r>
        <w:rPr>
          <w:rFonts w:cs="Calibri (Body)"/>
          <w:color w:val="000000"/>
          <w:szCs w:val="20"/>
        </w:rPr>
        <w:fldChar w:fldCharType="begin"/>
      </w:r>
      <w:r>
        <w:rPr>
          <w:rFonts w:cs="Calibri (Body)"/>
          <w:color w:val="000000"/>
          <w:szCs w:val="20"/>
        </w:rPr>
        <w:instrText xml:space="preserve"> REF _Ref22830225 \h </w:instrText>
      </w:r>
      <w:r>
        <w:rPr>
          <w:rFonts w:cs="Calibri (Body)"/>
          <w:color w:val="000000"/>
          <w:szCs w:val="20"/>
        </w:rPr>
      </w:r>
      <w:r>
        <w:rPr>
          <w:rFonts w:cs="Calibri (Body)"/>
          <w:color w:val="000000"/>
          <w:szCs w:val="20"/>
        </w:rPr>
        <w:fldChar w:fldCharType="separate"/>
      </w:r>
      <w:r>
        <w:t xml:space="preserve">Table </w:t>
      </w:r>
      <w:r>
        <w:rPr>
          <w:noProof/>
        </w:rPr>
        <w:t>84</w:t>
      </w:r>
      <w:r>
        <w:rPr>
          <w:rFonts w:cs="Calibri (Body)"/>
          <w:color w:val="000000"/>
          <w:szCs w:val="20"/>
        </w:rPr>
        <w:fldChar w:fldCharType="end"/>
      </w:r>
      <w:r>
        <w:rPr>
          <w:rFonts w:cs="Calibri (Body)"/>
          <w:color w:val="000000"/>
          <w:szCs w:val="20"/>
        </w:rPr>
        <w:t>). Each of the eight complications were more common among patients in Tier 3 with only 26.6% having none or one of the complications compared with 60.8% in Tier 2 and 80.7% in Tier 1. Potentially the biggest discriminator of patients across the tiers was on the psycho-social category, with 92.7% of patients in Tier 3 being allocated a score of 15 (possible scores are 0, 7, and 15) (</w:t>
      </w:r>
      <w:r>
        <w:rPr>
          <w:rFonts w:cs="Calibri (Body)"/>
          <w:color w:val="000000"/>
          <w:szCs w:val="20"/>
        </w:rPr>
        <w:fldChar w:fldCharType="begin"/>
      </w:r>
      <w:r>
        <w:rPr>
          <w:rFonts w:cs="Calibri (Body)"/>
          <w:color w:val="000000"/>
          <w:szCs w:val="20"/>
        </w:rPr>
        <w:instrText xml:space="preserve"> REF _Ref22830334 \h </w:instrText>
      </w:r>
      <w:r>
        <w:rPr>
          <w:rFonts w:cs="Calibri (Body)"/>
          <w:color w:val="000000"/>
          <w:szCs w:val="20"/>
        </w:rPr>
      </w:r>
      <w:r>
        <w:rPr>
          <w:rFonts w:cs="Calibri (Body)"/>
          <w:color w:val="000000"/>
          <w:szCs w:val="20"/>
        </w:rPr>
        <w:fldChar w:fldCharType="separate"/>
      </w:r>
      <w:r>
        <w:t xml:space="preserve">Table </w:t>
      </w:r>
      <w:r>
        <w:rPr>
          <w:noProof/>
        </w:rPr>
        <w:t>85</w:t>
      </w:r>
      <w:r>
        <w:rPr>
          <w:rFonts w:cs="Calibri (Body)"/>
          <w:color w:val="000000"/>
          <w:szCs w:val="20"/>
        </w:rPr>
        <w:fldChar w:fldCharType="end"/>
      </w:r>
      <w:r>
        <w:rPr>
          <w:rFonts w:cs="Calibri (Body)"/>
          <w:color w:val="000000"/>
          <w:szCs w:val="20"/>
        </w:rPr>
        <w:t>). Only 8% of patients in Tier 2 were allocated a score of 15 and no patients in Tier 1 were allocated a score of 15.</w:t>
      </w:r>
    </w:p>
    <w:p w14:paraId="304B8CB2" w14:textId="77777777" w:rsidR="001C19F3" w:rsidRDefault="001C19F3" w:rsidP="001C19F3">
      <w:pPr>
        <w:rPr>
          <w:rFonts w:cs="Calibri (Body)"/>
          <w:color w:val="000000"/>
          <w:szCs w:val="20"/>
        </w:rPr>
      </w:pPr>
      <w:bookmarkStart w:id="533" w:name="_Hlk21013109"/>
      <w:bookmarkEnd w:id="532"/>
      <w:r>
        <w:t xml:space="preserve">As indicated above, the factors influencing patient selection are not fully available in the practice clinical management system alone, so GPs could override the score and invite patients to undertake the HARP assessment. </w:t>
      </w:r>
      <w:r>
        <w:rPr>
          <w:rFonts w:cs="Calibri (Body)"/>
          <w:color w:val="000000"/>
          <w:szCs w:val="20"/>
        </w:rPr>
        <w:t xml:space="preserve">Of the 12,448 patients for whom data were available, 30% (3,674) were included in the next phase of risk assessment because the GP overrode their PRM score. The distribution of PRM scores by tier and whether or not the GP overrode the PRM score are presented in </w:t>
      </w:r>
      <w:r>
        <w:rPr>
          <w:rFonts w:cs="Calibri (Body)"/>
          <w:color w:val="000000"/>
          <w:szCs w:val="20"/>
        </w:rPr>
        <w:fldChar w:fldCharType="begin"/>
      </w:r>
      <w:r>
        <w:rPr>
          <w:rFonts w:cs="Calibri (Body)"/>
          <w:color w:val="000000"/>
          <w:szCs w:val="20"/>
        </w:rPr>
        <w:instrText xml:space="preserve"> REF _Ref22830598 \h  \* MERGEFORMAT </w:instrText>
      </w:r>
      <w:r>
        <w:rPr>
          <w:rFonts w:cs="Calibri (Body)"/>
          <w:color w:val="000000"/>
          <w:szCs w:val="20"/>
        </w:rPr>
      </w:r>
      <w:r>
        <w:rPr>
          <w:rFonts w:cs="Calibri (Body)"/>
          <w:color w:val="000000"/>
          <w:szCs w:val="20"/>
        </w:rPr>
        <w:fldChar w:fldCharType="separate"/>
      </w:r>
      <w:r w:rsidRPr="008F2809">
        <w:rPr>
          <w:rFonts w:cs="Calibri (Body)"/>
          <w:color w:val="000000"/>
          <w:szCs w:val="20"/>
        </w:rPr>
        <w:t>Figure 6</w:t>
      </w:r>
      <w:r>
        <w:rPr>
          <w:rFonts w:cs="Calibri (Body)"/>
          <w:color w:val="000000"/>
          <w:szCs w:val="20"/>
        </w:rPr>
        <w:fldChar w:fldCharType="end"/>
      </w:r>
      <w:r>
        <w:rPr>
          <w:rFonts w:cs="Calibri (Body)"/>
          <w:color w:val="000000"/>
          <w:szCs w:val="20"/>
        </w:rPr>
        <w:t xml:space="preserve">. For those patients whose score was overridden, 25.4% (935) were then allocated to Tier 1, 52.6% (1,931) were allocated to Tier 2, and 22.0% (808) were allocated to Tier 3 (see </w:t>
      </w:r>
      <w:r>
        <w:rPr>
          <w:rFonts w:cs="Calibri (Body)"/>
          <w:color w:val="000000"/>
          <w:szCs w:val="20"/>
        </w:rPr>
        <w:fldChar w:fldCharType="begin"/>
      </w:r>
      <w:r>
        <w:rPr>
          <w:rFonts w:cs="Calibri (Body)"/>
          <w:color w:val="000000"/>
          <w:szCs w:val="20"/>
        </w:rPr>
        <w:instrText xml:space="preserve"> REF _Ref22657315 \h </w:instrText>
      </w:r>
      <w:r>
        <w:rPr>
          <w:rFonts w:cs="Calibri (Body)"/>
          <w:color w:val="000000"/>
          <w:szCs w:val="20"/>
        </w:rPr>
      </w:r>
      <w:r>
        <w:rPr>
          <w:rFonts w:cs="Calibri (Body)"/>
          <w:color w:val="000000"/>
          <w:szCs w:val="20"/>
        </w:rPr>
        <w:fldChar w:fldCharType="separate"/>
      </w:r>
      <w:r>
        <w:t xml:space="preserve">Table </w:t>
      </w:r>
      <w:r>
        <w:rPr>
          <w:noProof/>
        </w:rPr>
        <w:t>23</w:t>
      </w:r>
      <w:r>
        <w:rPr>
          <w:rFonts w:cs="Calibri (Body)"/>
          <w:color w:val="000000"/>
          <w:szCs w:val="20"/>
        </w:rPr>
        <w:fldChar w:fldCharType="end"/>
      </w:r>
      <w:r>
        <w:rPr>
          <w:rFonts w:cs="Calibri (Body)"/>
          <w:color w:val="000000"/>
          <w:szCs w:val="20"/>
        </w:rPr>
        <w:t xml:space="preserve">). </w:t>
      </w:r>
    </w:p>
    <w:p w14:paraId="5D61608E" w14:textId="77777777" w:rsidR="001C19F3" w:rsidRDefault="001C19F3" w:rsidP="001C19F3">
      <w:pPr>
        <w:pStyle w:val="Caption1"/>
      </w:pPr>
      <w:bookmarkStart w:id="534" w:name="_Ref22657315"/>
      <w:bookmarkEnd w:id="533"/>
      <w:r>
        <w:t xml:space="preserve">Table </w:t>
      </w:r>
      <w:r>
        <w:fldChar w:fldCharType="begin"/>
      </w:r>
      <w:r>
        <w:instrText>SEQ Table \* ARABIC</w:instrText>
      </w:r>
      <w:r>
        <w:fldChar w:fldCharType="separate"/>
      </w:r>
      <w:r>
        <w:rPr>
          <w:noProof/>
        </w:rPr>
        <w:t>23</w:t>
      </w:r>
      <w:r>
        <w:fldChar w:fldCharType="end"/>
      </w:r>
      <w:bookmarkEnd w:id="534"/>
      <w:r>
        <w:t xml:space="preserve"> – Selected features of patients where the GP overrode the </w:t>
      </w:r>
      <w:r w:rsidRPr="00095CA7">
        <w:t xml:space="preserve">predictive risk model </w:t>
      </w:r>
      <w:r>
        <w:t>(PRM)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824"/>
        <w:gridCol w:w="2552"/>
        <w:gridCol w:w="1843"/>
        <w:gridCol w:w="1787"/>
      </w:tblGrid>
      <w:tr w:rsidR="001C19F3" w14:paraId="249BCAED" w14:textId="77777777" w:rsidTr="00521305">
        <w:trPr>
          <w:cantSplit/>
          <w:trHeight w:val="333"/>
          <w:tblHeader/>
          <w:jc w:val="center"/>
        </w:trPr>
        <w:tc>
          <w:tcPr>
            <w:tcW w:w="1568" w:type="pct"/>
            <w:vMerge w:val="restart"/>
            <w:shd w:val="clear" w:color="auto" w:fill="003D79"/>
            <w:tcMar>
              <w:top w:w="0" w:type="dxa"/>
              <w:left w:w="0" w:type="dxa"/>
              <w:bottom w:w="0" w:type="dxa"/>
              <w:right w:w="0" w:type="dxa"/>
            </w:tcMar>
            <w:vAlign w:val="center"/>
          </w:tcPr>
          <w:p w14:paraId="7BC203E5" w14:textId="77777777" w:rsidR="001C19F3" w:rsidRPr="00836337" w:rsidRDefault="001C19F3" w:rsidP="00521305">
            <w:pPr>
              <w:spacing w:after="0"/>
              <w:jc w:val="center"/>
              <w:rPr>
                <w:b/>
                <w:sz w:val="18"/>
                <w:szCs w:val="18"/>
              </w:rPr>
            </w:pPr>
            <w:r w:rsidRPr="00836337">
              <w:rPr>
                <w:b/>
                <w:sz w:val="18"/>
                <w:szCs w:val="18"/>
              </w:rPr>
              <w:t>Result</w:t>
            </w:r>
          </w:p>
        </w:tc>
        <w:tc>
          <w:tcPr>
            <w:tcW w:w="3432" w:type="pct"/>
            <w:gridSpan w:val="3"/>
            <w:shd w:val="clear" w:color="auto" w:fill="003D79"/>
            <w:tcMar>
              <w:top w:w="0" w:type="dxa"/>
              <w:left w:w="0" w:type="dxa"/>
              <w:bottom w:w="0" w:type="dxa"/>
              <w:right w:w="0" w:type="dxa"/>
            </w:tcMar>
            <w:vAlign w:val="center"/>
            <w:hideMark/>
          </w:tcPr>
          <w:p w14:paraId="5D1C6000" w14:textId="77777777" w:rsidR="001C19F3" w:rsidRPr="00836337" w:rsidRDefault="001C19F3" w:rsidP="00521305">
            <w:pPr>
              <w:spacing w:after="0"/>
              <w:jc w:val="center"/>
              <w:rPr>
                <w:sz w:val="18"/>
                <w:szCs w:val="18"/>
              </w:rPr>
            </w:pPr>
            <w:r w:rsidRPr="00836337">
              <w:rPr>
                <w:rFonts w:cs="Century Gothic"/>
                <w:b/>
                <w:color w:val="FFFFFF"/>
                <w:sz w:val="18"/>
                <w:szCs w:val="18"/>
              </w:rPr>
              <w:t>Was patients score overridden?</w:t>
            </w:r>
          </w:p>
        </w:tc>
      </w:tr>
      <w:tr w:rsidR="001C19F3" w14:paraId="00367BB8" w14:textId="77777777" w:rsidTr="00521305">
        <w:trPr>
          <w:cantSplit/>
          <w:trHeight w:val="330"/>
          <w:tblHeader/>
          <w:jc w:val="center"/>
        </w:trPr>
        <w:tc>
          <w:tcPr>
            <w:tcW w:w="1568" w:type="pct"/>
            <w:vMerge/>
            <w:vAlign w:val="center"/>
            <w:hideMark/>
          </w:tcPr>
          <w:p w14:paraId="07C4A14B" w14:textId="77777777" w:rsidR="001C19F3" w:rsidRPr="00836337" w:rsidRDefault="001C19F3" w:rsidP="00521305">
            <w:pPr>
              <w:spacing w:after="0"/>
              <w:rPr>
                <w:sz w:val="18"/>
                <w:szCs w:val="18"/>
              </w:rPr>
            </w:pPr>
          </w:p>
        </w:tc>
        <w:tc>
          <w:tcPr>
            <w:tcW w:w="1417" w:type="pct"/>
            <w:shd w:val="clear" w:color="auto" w:fill="003D79"/>
            <w:tcMar>
              <w:top w:w="0" w:type="dxa"/>
              <w:left w:w="0" w:type="dxa"/>
              <w:bottom w:w="0" w:type="dxa"/>
              <w:right w:w="0" w:type="dxa"/>
            </w:tcMar>
            <w:vAlign w:val="center"/>
            <w:hideMark/>
          </w:tcPr>
          <w:p w14:paraId="1D6C80C2" w14:textId="77777777" w:rsidR="001C19F3" w:rsidRPr="00836337" w:rsidRDefault="001C19F3" w:rsidP="00521305">
            <w:pPr>
              <w:spacing w:after="0"/>
              <w:jc w:val="center"/>
              <w:rPr>
                <w:sz w:val="18"/>
                <w:szCs w:val="18"/>
              </w:rPr>
            </w:pPr>
            <w:r w:rsidRPr="00836337">
              <w:rPr>
                <w:rFonts w:cs="Century Gothic"/>
                <w:b/>
                <w:color w:val="FFFFFF"/>
                <w:sz w:val="18"/>
                <w:szCs w:val="18"/>
              </w:rPr>
              <w:t>No</w:t>
            </w:r>
          </w:p>
        </w:tc>
        <w:tc>
          <w:tcPr>
            <w:tcW w:w="1023" w:type="pct"/>
            <w:shd w:val="clear" w:color="auto" w:fill="003D79"/>
            <w:tcMar>
              <w:top w:w="0" w:type="dxa"/>
              <w:left w:w="0" w:type="dxa"/>
              <w:bottom w:w="0" w:type="dxa"/>
              <w:right w:w="0" w:type="dxa"/>
            </w:tcMar>
            <w:vAlign w:val="center"/>
            <w:hideMark/>
          </w:tcPr>
          <w:p w14:paraId="66944307" w14:textId="77777777" w:rsidR="001C19F3" w:rsidRPr="00836337" w:rsidRDefault="001C19F3" w:rsidP="00521305">
            <w:pPr>
              <w:spacing w:after="0"/>
              <w:jc w:val="center"/>
              <w:rPr>
                <w:sz w:val="18"/>
                <w:szCs w:val="18"/>
              </w:rPr>
            </w:pPr>
            <w:r w:rsidRPr="00836337">
              <w:rPr>
                <w:rFonts w:cs="Century Gothic"/>
                <w:b/>
                <w:color w:val="FFFFFF"/>
                <w:sz w:val="18"/>
                <w:szCs w:val="18"/>
              </w:rPr>
              <w:t>Yes</w:t>
            </w:r>
          </w:p>
        </w:tc>
        <w:tc>
          <w:tcPr>
            <w:tcW w:w="992" w:type="pct"/>
            <w:shd w:val="clear" w:color="auto" w:fill="003D79"/>
            <w:tcMar>
              <w:top w:w="0" w:type="dxa"/>
              <w:left w:w="0" w:type="dxa"/>
              <w:bottom w:w="0" w:type="dxa"/>
              <w:right w:w="0" w:type="dxa"/>
            </w:tcMar>
            <w:vAlign w:val="center"/>
            <w:hideMark/>
          </w:tcPr>
          <w:p w14:paraId="60DC585B" w14:textId="77777777" w:rsidR="001C19F3" w:rsidRPr="00836337" w:rsidRDefault="001C19F3" w:rsidP="00521305">
            <w:pPr>
              <w:spacing w:after="0"/>
              <w:jc w:val="center"/>
              <w:rPr>
                <w:sz w:val="18"/>
                <w:szCs w:val="18"/>
              </w:rPr>
            </w:pPr>
            <w:r w:rsidRPr="00836337">
              <w:rPr>
                <w:rFonts w:cs="Century Gothic"/>
                <w:b/>
                <w:color w:val="FFFFFF"/>
                <w:sz w:val="18"/>
                <w:szCs w:val="18"/>
              </w:rPr>
              <w:t xml:space="preserve">p </w:t>
            </w:r>
            <w:r w:rsidRPr="00836337">
              <w:rPr>
                <w:rFonts w:cs="Century Gothic"/>
                <w:b/>
                <w:color w:val="FFFFFF"/>
                <w:sz w:val="18"/>
                <w:szCs w:val="18"/>
              </w:rPr>
              <w:br/>
              <w:t xml:space="preserve"> value</w:t>
            </w:r>
          </w:p>
        </w:tc>
      </w:tr>
      <w:tr w:rsidR="001C19F3" w14:paraId="1D85C784" w14:textId="77777777" w:rsidTr="00521305">
        <w:trPr>
          <w:cantSplit/>
          <w:trHeight w:val="288"/>
          <w:jc w:val="center"/>
        </w:trPr>
        <w:tc>
          <w:tcPr>
            <w:tcW w:w="5000" w:type="pct"/>
            <w:gridSpan w:val="4"/>
            <w:shd w:val="clear" w:color="auto" w:fill="FFFFFF"/>
            <w:tcMar>
              <w:top w:w="0" w:type="dxa"/>
              <w:left w:w="0" w:type="dxa"/>
              <w:bottom w:w="0" w:type="dxa"/>
              <w:right w:w="0" w:type="dxa"/>
            </w:tcMar>
            <w:vAlign w:val="center"/>
            <w:hideMark/>
          </w:tcPr>
          <w:p w14:paraId="45350175" w14:textId="77777777" w:rsidR="001C19F3" w:rsidRPr="00836337" w:rsidRDefault="001C19F3" w:rsidP="00521305">
            <w:pPr>
              <w:spacing w:before="40" w:after="40"/>
              <w:ind w:left="40" w:right="40"/>
              <w:rPr>
                <w:b/>
                <w:bCs/>
                <w:sz w:val="18"/>
                <w:szCs w:val="18"/>
              </w:rPr>
            </w:pPr>
            <w:r w:rsidRPr="00836337">
              <w:rPr>
                <w:b/>
                <w:bCs/>
                <w:sz w:val="18"/>
                <w:szCs w:val="18"/>
              </w:rPr>
              <w:t>Score from PRM</w:t>
            </w:r>
          </w:p>
        </w:tc>
      </w:tr>
      <w:tr w:rsidR="001C19F3" w14:paraId="1CAEBD20" w14:textId="77777777" w:rsidTr="00521305">
        <w:trPr>
          <w:cantSplit/>
          <w:trHeight w:val="288"/>
          <w:jc w:val="center"/>
        </w:trPr>
        <w:tc>
          <w:tcPr>
            <w:tcW w:w="1568" w:type="pct"/>
            <w:shd w:val="clear" w:color="auto" w:fill="FFFFFF"/>
            <w:tcMar>
              <w:top w:w="0" w:type="dxa"/>
              <w:left w:w="0" w:type="dxa"/>
              <w:bottom w:w="0" w:type="dxa"/>
              <w:right w:w="0" w:type="dxa"/>
            </w:tcMar>
            <w:vAlign w:val="center"/>
            <w:hideMark/>
          </w:tcPr>
          <w:p w14:paraId="3043C4EE" w14:textId="77777777" w:rsidR="001C19F3" w:rsidRPr="00836337" w:rsidRDefault="001C19F3" w:rsidP="00521305">
            <w:pPr>
              <w:spacing w:before="40" w:after="40"/>
              <w:ind w:left="40" w:right="40"/>
              <w:rPr>
                <w:rFonts w:cs="Century Gothic"/>
                <w:color w:val="000000"/>
                <w:sz w:val="18"/>
                <w:szCs w:val="18"/>
              </w:rPr>
            </w:pPr>
            <w:r w:rsidRPr="00836337">
              <w:rPr>
                <w:rFonts w:cs="Century Gothic"/>
                <w:color w:val="000000"/>
                <w:sz w:val="18"/>
                <w:szCs w:val="18"/>
              </w:rPr>
              <w:t>Median (min, max)</w:t>
            </w:r>
          </w:p>
        </w:tc>
        <w:tc>
          <w:tcPr>
            <w:tcW w:w="1417" w:type="pct"/>
            <w:shd w:val="clear" w:color="auto" w:fill="FFFFFF"/>
            <w:tcMar>
              <w:top w:w="0" w:type="dxa"/>
              <w:left w:w="0" w:type="dxa"/>
              <w:bottom w:w="0" w:type="dxa"/>
              <w:right w:w="0" w:type="dxa"/>
            </w:tcMar>
            <w:vAlign w:val="center"/>
            <w:hideMark/>
          </w:tcPr>
          <w:p w14:paraId="32E6BE38" w14:textId="77777777" w:rsidR="001C19F3" w:rsidRPr="00836337" w:rsidRDefault="001C19F3" w:rsidP="00521305">
            <w:pPr>
              <w:spacing w:after="0" w:line="240" w:lineRule="auto"/>
              <w:ind w:left="40"/>
              <w:jc w:val="center"/>
              <w:rPr>
                <w:rFonts w:cs="Century Gothic"/>
                <w:color w:val="000000"/>
                <w:sz w:val="18"/>
                <w:szCs w:val="18"/>
              </w:rPr>
            </w:pPr>
            <w:r w:rsidRPr="00836337">
              <w:rPr>
                <w:rFonts w:cs="Century Gothic"/>
                <w:color w:val="000000"/>
                <w:sz w:val="18"/>
                <w:szCs w:val="18"/>
              </w:rPr>
              <w:t>0.18 (0.10, 1.00)</w:t>
            </w:r>
          </w:p>
        </w:tc>
        <w:tc>
          <w:tcPr>
            <w:tcW w:w="1023" w:type="pct"/>
            <w:shd w:val="clear" w:color="auto" w:fill="FFFFFF"/>
            <w:tcMar>
              <w:top w:w="0" w:type="dxa"/>
              <w:left w:w="0" w:type="dxa"/>
              <w:bottom w:w="0" w:type="dxa"/>
              <w:right w:w="0" w:type="dxa"/>
            </w:tcMar>
            <w:vAlign w:val="center"/>
            <w:hideMark/>
          </w:tcPr>
          <w:p w14:paraId="591C496D" w14:textId="77777777" w:rsidR="001C19F3" w:rsidRPr="00836337" w:rsidRDefault="001C19F3" w:rsidP="00521305">
            <w:pPr>
              <w:spacing w:before="40" w:after="40"/>
              <w:ind w:left="40" w:right="40"/>
              <w:jc w:val="center"/>
              <w:rPr>
                <w:rFonts w:cs="Century Gothic"/>
                <w:color w:val="000000"/>
                <w:sz w:val="18"/>
                <w:szCs w:val="18"/>
              </w:rPr>
            </w:pPr>
            <w:r w:rsidRPr="00836337">
              <w:rPr>
                <w:rFonts w:cs="Century Gothic"/>
                <w:color w:val="000000"/>
                <w:sz w:val="18"/>
                <w:szCs w:val="18"/>
              </w:rPr>
              <w:t>0.07 (0.00, 0.10)</w:t>
            </w:r>
          </w:p>
        </w:tc>
        <w:tc>
          <w:tcPr>
            <w:tcW w:w="992" w:type="pct"/>
            <w:shd w:val="clear" w:color="auto" w:fill="FFFFFF"/>
            <w:tcMar>
              <w:top w:w="0" w:type="dxa"/>
              <w:left w:w="0" w:type="dxa"/>
              <w:bottom w:w="0" w:type="dxa"/>
              <w:right w:w="0" w:type="dxa"/>
            </w:tcMar>
            <w:vAlign w:val="center"/>
            <w:hideMark/>
          </w:tcPr>
          <w:p w14:paraId="2D39C7B2" w14:textId="77777777" w:rsidR="001C19F3" w:rsidRPr="00836337" w:rsidRDefault="001C19F3" w:rsidP="00521305">
            <w:pPr>
              <w:spacing w:before="40" w:after="40"/>
              <w:ind w:left="40" w:right="40"/>
              <w:jc w:val="center"/>
              <w:rPr>
                <w:rFonts w:cs="Century Gothic"/>
                <w:color w:val="000000"/>
                <w:sz w:val="18"/>
                <w:szCs w:val="18"/>
              </w:rPr>
            </w:pPr>
            <w:r w:rsidRPr="00836337">
              <w:rPr>
                <w:rFonts w:cs="Century Gothic"/>
                <w:color w:val="000000"/>
                <w:sz w:val="18"/>
                <w:szCs w:val="18"/>
              </w:rPr>
              <w:t>&lt;0.001</w:t>
            </w:r>
          </w:p>
        </w:tc>
      </w:tr>
      <w:tr w:rsidR="001C19F3" w14:paraId="1531C5E7" w14:textId="77777777" w:rsidTr="00521305">
        <w:trPr>
          <w:cantSplit/>
          <w:trHeight w:val="288"/>
          <w:jc w:val="center"/>
        </w:trPr>
        <w:tc>
          <w:tcPr>
            <w:tcW w:w="5000" w:type="pct"/>
            <w:gridSpan w:val="4"/>
            <w:shd w:val="clear" w:color="auto" w:fill="FFFFFF"/>
            <w:tcMar>
              <w:top w:w="0" w:type="dxa"/>
              <w:left w:w="0" w:type="dxa"/>
              <w:bottom w:w="0" w:type="dxa"/>
              <w:right w:w="0" w:type="dxa"/>
            </w:tcMar>
            <w:vAlign w:val="center"/>
            <w:hideMark/>
          </w:tcPr>
          <w:p w14:paraId="769A36B5" w14:textId="77777777" w:rsidR="001C19F3" w:rsidRPr="00836337" w:rsidRDefault="001C19F3" w:rsidP="00521305">
            <w:pPr>
              <w:spacing w:before="40" w:after="40"/>
              <w:ind w:left="40" w:right="40"/>
              <w:rPr>
                <w:rFonts w:asciiTheme="minorHAnsi" w:hAnsiTheme="minorHAnsi" w:cstheme="minorBidi"/>
                <w:b/>
                <w:sz w:val="18"/>
                <w:szCs w:val="18"/>
              </w:rPr>
            </w:pPr>
            <w:r w:rsidRPr="00836337">
              <w:rPr>
                <w:rFonts w:cs="Century Gothic"/>
                <w:b/>
                <w:color w:val="000000"/>
                <w:sz w:val="18"/>
                <w:szCs w:val="18"/>
              </w:rPr>
              <w:t>HARP risk profile</w:t>
            </w:r>
          </w:p>
        </w:tc>
      </w:tr>
      <w:tr w:rsidR="001C19F3" w14:paraId="5667486C" w14:textId="77777777" w:rsidTr="00521305">
        <w:trPr>
          <w:cantSplit/>
          <w:trHeight w:val="288"/>
          <w:jc w:val="center"/>
        </w:trPr>
        <w:tc>
          <w:tcPr>
            <w:tcW w:w="1568" w:type="pct"/>
            <w:shd w:val="clear" w:color="auto" w:fill="FFFFFF"/>
            <w:tcMar>
              <w:top w:w="0" w:type="dxa"/>
              <w:left w:w="0" w:type="dxa"/>
              <w:bottom w:w="0" w:type="dxa"/>
              <w:right w:w="0" w:type="dxa"/>
            </w:tcMar>
            <w:vAlign w:val="center"/>
            <w:hideMark/>
          </w:tcPr>
          <w:p w14:paraId="3181E40B" w14:textId="77777777" w:rsidR="001C19F3" w:rsidRPr="00836337" w:rsidRDefault="001C19F3" w:rsidP="00521305">
            <w:pPr>
              <w:spacing w:before="40" w:after="40"/>
              <w:ind w:left="160" w:right="40"/>
              <w:rPr>
                <w:sz w:val="18"/>
                <w:szCs w:val="18"/>
              </w:rPr>
            </w:pPr>
            <w:r w:rsidRPr="00836337">
              <w:rPr>
                <w:rFonts w:cs="Century Gothic"/>
                <w:color w:val="000000"/>
                <w:sz w:val="18"/>
                <w:szCs w:val="18"/>
              </w:rPr>
              <w:t>Low (risk score 1 to 10)</w:t>
            </w:r>
          </w:p>
        </w:tc>
        <w:tc>
          <w:tcPr>
            <w:tcW w:w="1417" w:type="pct"/>
            <w:shd w:val="clear" w:color="auto" w:fill="FFFFFF"/>
            <w:tcMar>
              <w:top w:w="0" w:type="dxa"/>
              <w:left w:w="0" w:type="dxa"/>
              <w:bottom w:w="0" w:type="dxa"/>
              <w:right w:w="0" w:type="dxa"/>
            </w:tcMar>
            <w:vAlign w:val="center"/>
            <w:hideMark/>
          </w:tcPr>
          <w:p w14:paraId="5F164B84" w14:textId="77777777" w:rsidR="001C19F3" w:rsidRPr="00836337" w:rsidRDefault="001C19F3" w:rsidP="00521305">
            <w:pPr>
              <w:spacing w:before="40" w:after="40"/>
              <w:ind w:left="40" w:right="40"/>
              <w:jc w:val="center"/>
              <w:rPr>
                <w:sz w:val="18"/>
                <w:szCs w:val="18"/>
              </w:rPr>
            </w:pPr>
            <w:r w:rsidRPr="00836337">
              <w:rPr>
                <w:rFonts w:cs="Century Gothic"/>
                <w:color w:val="000000"/>
                <w:sz w:val="18"/>
                <w:szCs w:val="18"/>
              </w:rPr>
              <w:t>861 (9.8%)</w:t>
            </w:r>
          </w:p>
        </w:tc>
        <w:tc>
          <w:tcPr>
            <w:tcW w:w="1023" w:type="pct"/>
            <w:shd w:val="clear" w:color="auto" w:fill="FFFFFF"/>
            <w:tcMar>
              <w:top w:w="0" w:type="dxa"/>
              <w:left w:w="0" w:type="dxa"/>
              <w:bottom w:w="0" w:type="dxa"/>
              <w:right w:w="0" w:type="dxa"/>
            </w:tcMar>
            <w:vAlign w:val="center"/>
            <w:hideMark/>
          </w:tcPr>
          <w:p w14:paraId="755BF8C4" w14:textId="77777777" w:rsidR="001C19F3" w:rsidRPr="00836337" w:rsidRDefault="001C19F3" w:rsidP="00521305">
            <w:pPr>
              <w:spacing w:before="40" w:after="40"/>
              <w:ind w:left="40" w:right="40"/>
              <w:jc w:val="center"/>
              <w:rPr>
                <w:sz w:val="18"/>
                <w:szCs w:val="18"/>
              </w:rPr>
            </w:pPr>
            <w:r w:rsidRPr="00836337">
              <w:rPr>
                <w:rFonts w:cs="Century Gothic"/>
                <w:color w:val="000000"/>
                <w:sz w:val="18"/>
                <w:szCs w:val="18"/>
              </w:rPr>
              <w:t>609 (16.6%)</w:t>
            </w:r>
          </w:p>
        </w:tc>
        <w:tc>
          <w:tcPr>
            <w:tcW w:w="992" w:type="pct"/>
            <w:vMerge w:val="restart"/>
            <w:shd w:val="clear" w:color="auto" w:fill="FFFFFF"/>
            <w:tcMar>
              <w:top w:w="0" w:type="dxa"/>
              <w:left w:w="0" w:type="dxa"/>
              <w:bottom w:w="0" w:type="dxa"/>
              <w:right w:w="0" w:type="dxa"/>
            </w:tcMar>
            <w:vAlign w:val="center"/>
            <w:hideMark/>
          </w:tcPr>
          <w:p w14:paraId="64637408" w14:textId="77777777" w:rsidR="001C19F3" w:rsidRPr="00836337" w:rsidRDefault="001C19F3" w:rsidP="00521305">
            <w:pPr>
              <w:spacing w:before="40" w:after="40"/>
              <w:ind w:left="40" w:right="40"/>
              <w:jc w:val="center"/>
              <w:rPr>
                <w:sz w:val="18"/>
                <w:szCs w:val="18"/>
              </w:rPr>
            </w:pPr>
            <w:r w:rsidRPr="00836337">
              <w:rPr>
                <w:rFonts w:cs="Century Gothic"/>
                <w:color w:val="000000"/>
                <w:sz w:val="18"/>
                <w:szCs w:val="18"/>
              </w:rPr>
              <w:t>&lt;0.001</w:t>
            </w:r>
          </w:p>
        </w:tc>
      </w:tr>
      <w:tr w:rsidR="001C19F3" w14:paraId="21BCF044" w14:textId="77777777" w:rsidTr="00521305">
        <w:trPr>
          <w:cantSplit/>
          <w:trHeight w:val="288"/>
          <w:jc w:val="center"/>
        </w:trPr>
        <w:tc>
          <w:tcPr>
            <w:tcW w:w="1568" w:type="pct"/>
            <w:shd w:val="clear" w:color="auto" w:fill="FFFFFF"/>
            <w:tcMar>
              <w:top w:w="0" w:type="dxa"/>
              <w:left w:w="0" w:type="dxa"/>
              <w:bottom w:w="0" w:type="dxa"/>
              <w:right w:w="0" w:type="dxa"/>
            </w:tcMar>
            <w:vAlign w:val="center"/>
            <w:hideMark/>
          </w:tcPr>
          <w:p w14:paraId="53523831" w14:textId="77777777" w:rsidR="001C19F3" w:rsidRDefault="001C19F3" w:rsidP="00521305">
            <w:pPr>
              <w:spacing w:before="40" w:after="40"/>
              <w:ind w:left="160" w:right="40"/>
            </w:pPr>
            <w:r>
              <w:rPr>
                <w:rFonts w:cs="Century Gothic"/>
                <w:color w:val="000000"/>
                <w:sz w:val="18"/>
                <w:szCs w:val="18"/>
              </w:rPr>
              <w:t>Medium (risk score 11 to 23)</w:t>
            </w:r>
          </w:p>
        </w:tc>
        <w:tc>
          <w:tcPr>
            <w:tcW w:w="1417" w:type="pct"/>
            <w:shd w:val="clear" w:color="auto" w:fill="FFFFFF"/>
            <w:tcMar>
              <w:top w:w="0" w:type="dxa"/>
              <w:left w:w="0" w:type="dxa"/>
              <w:bottom w:w="0" w:type="dxa"/>
              <w:right w:w="0" w:type="dxa"/>
            </w:tcMar>
            <w:vAlign w:val="center"/>
            <w:hideMark/>
          </w:tcPr>
          <w:p w14:paraId="14428B4B" w14:textId="77777777" w:rsidR="001C19F3" w:rsidRDefault="001C19F3" w:rsidP="00521305">
            <w:pPr>
              <w:spacing w:before="40" w:after="40"/>
              <w:ind w:left="40" w:right="40"/>
              <w:jc w:val="center"/>
            </w:pPr>
            <w:r>
              <w:rPr>
                <w:rFonts w:cs="Century Gothic"/>
                <w:color w:val="000000"/>
                <w:sz w:val="18"/>
                <w:szCs w:val="18"/>
              </w:rPr>
              <w:t>4,669 (53.2%)</w:t>
            </w:r>
          </w:p>
        </w:tc>
        <w:tc>
          <w:tcPr>
            <w:tcW w:w="1023" w:type="pct"/>
            <w:shd w:val="clear" w:color="auto" w:fill="FFFFFF"/>
            <w:tcMar>
              <w:top w:w="0" w:type="dxa"/>
              <w:left w:w="0" w:type="dxa"/>
              <w:bottom w:w="0" w:type="dxa"/>
              <w:right w:w="0" w:type="dxa"/>
            </w:tcMar>
            <w:vAlign w:val="center"/>
            <w:hideMark/>
          </w:tcPr>
          <w:p w14:paraId="57E66767" w14:textId="77777777" w:rsidR="001C19F3" w:rsidRDefault="001C19F3" w:rsidP="00521305">
            <w:pPr>
              <w:spacing w:before="40" w:after="40"/>
              <w:ind w:left="40" w:right="40"/>
              <w:jc w:val="center"/>
            </w:pPr>
            <w:r>
              <w:rPr>
                <w:rFonts w:cs="Century Gothic"/>
                <w:color w:val="000000"/>
                <w:sz w:val="18"/>
                <w:szCs w:val="18"/>
              </w:rPr>
              <w:t>2,257 (61.4%)</w:t>
            </w:r>
          </w:p>
        </w:tc>
        <w:tc>
          <w:tcPr>
            <w:tcW w:w="992" w:type="pct"/>
            <w:vMerge/>
            <w:vAlign w:val="center"/>
            <w:hideMark/>
          </w:tcPr>
          <w:p w14:paraId="3D19CC3C" w14:textId="77777777" w:rsidR="001C19F3" w:rsidRDefault="001C19F3" w:rsidP="00521305">
            <w:pPr>
              <w:spacing w:after="0"/>
              <w:rPr>
                <w:sz w:val="22"/>
              </w:rPr>
            </w:pPr>
          </w:p>
        </w:tc>
      </w:tr>
      <w:tr w:rsidR="001C19F3" w14:paraId="1E057445" w14:textId="77777777" w:rsidTr="00521305">
        <w:trPr>
          <w:cantSplit/>
          <w:trHeight w:val="288"/>
          <w:jc w:val="center"/>
        </w:trPr>
        <w:tc>
          <w:tcPr>
            <w:tcW w:w="1568" w:type="pct"/>
            <w:shd w:val="clear" w:color="auto" w:fill="FFFFFF"/>
            <w:tcMar>
              <w:top w:w="0" w:type="dxa"/>
              <w:left w:w="0" w:type="dxa"/>
              <w:bottom w:w="0" w:type="dxa"/>
              <w:right w:w="0" w:type="dxa"/>
            </w:tcMar>
            <w:vAlign w:val="center"/>
            <w:hideMark/>
          </w:tcPr>
          <w:p w14:paraId="685A2BB4" w14:textId="77777777" w:rsidR="001C19F3" w:rsidRDefault="001C19F3" w:rsidP="00521305">
            <w:pPr>
              <w:spacing w:before="40" w:after="40"/>
              <w:ind w:left="160" w:right="40"/>
            </w:pPr>
            <w:r>
              <w:rPr>
                <w:rFonts w:cs="Century Gothic"/>
                <w:color w:val="000000"/>
                <w:sz w:val="18"/>
                <w:szCs w:val="18"/>
              </w:rPr>
              <w:t>High (risk score 24 to 38)</w:t>
            </w:r>
          </w:p>
        </w:tc>
        <w:tc>
          <w:tcPr>
            <w:tcW w:w="1417" w:type="pct"/>
            <w:shd w:val="clear" w:color="auto" w:fill="FFFFFF"/>
            <w:tcMar>
              <w:top w:w="0" w:type="dxa"/>
              <w:left w:w="0" w:type="dxa"/>
              <w:bottom w:w="0" w:type="dxa"/>
              <w:right w:w="0" w:type="dxa"/>
            </w:tcMar>
            <w:vAlign w:val="center"/>
            <w:hideMark/>
          </w:tcPr>
          <w:p w14:paraId="664B91C6" w14:textId="77777777" w:rsidR="001C19F3" w:rsidRDefault="001C19F3" w:rsidP="00521305">
            <w:pPr>
              <w:spacing w:before="40" w:after="40"/>
              <w:ind w:left="40" w:right="40"/>
              <w:jc w:val="center"/>
            </w:pPr>
            <w:r>
              <w:rPr>
                <w:rFonts w:cs="Century Gothic"/>
                <w:color w:val="000000"/>
                <w:sz w:val="18"/>
                <w:szCs w:val="18"/>
              </w:rPr>
              <w:t>3,206 (36.5%)</w:t>
            </w:r>
          </w:p>
        </w:tc>
        <w:tc>
          <w:tcPr>
            <w:tcW w:w="1023" w:type="pct"/>
            <w:shd w:val="clear" w:color="auto" w:fill="FFFFFF"/>
            <w:tcMar>
              <w:top w:w="0" w:type="dxa"/>
              <w:left w:w="0" w:type="dxa"/>
              <w:bottom w:w="0" w:type="dxa"/>
              <w:right w:w="0" w:type="dxa"/>
            </w:tcMar>
            <w:vAlign w:val="center"/>
            <w:hideMark/>
          </w:tcPr>
          <w:p w14:paraId="7C243CA8" w14:textId="77777777" w:rsidR="001C19F3" w:rsidRDefault="001C19F3" w:rsidP="00521305">
            <w:pPr>
              <w:spacing w:before="40" w:after="40"/>
              <w:ind w:left="40" w:right="40"/>
              <w:jc w:val="center"/>
            </w:pPr>
            <w:r>
              <w:rPr>
                <w:rFonts w:cs="Century Gothic"/>
                <w:color w:val="000000"/>
                <w:sz w:val="18"/>
                <w:szCs w:val="18"/>
              </w:rPr>
              <w:t>805 (21.9%)</w:t>
            </w:r>
          </w:p>
        </w:tc>
        <w:tc>
          <w:tcPr>
            <w:tcW w:w="992" w:type="pct"/>
            <w:vMerge/>
            <w:vAlign w:val="center"/>
            <w:hideMark/>
          </w:tcPr>
          <w:p w14:paraId="1537F02C" w14:textId="77777777" w:rsidR="001C19F3" w:rsidRDefault="001C19F3" w:rsidP="00521305">
            <w:pPr>
              <w:spacing w:after="0"/>
              <w:rPr>
                <w:sz w:val="22"/>
              </w:rPr>
            </w:pPr>
          </w:p>
        </w:tc>
      </w:tr>
      <w:tr w:rsidR="001C19F3" w14:paraId="68F4D23A" w14:textId="77777777" w:rsidTr="00521305">
        <w:trPr>
          <w:cantSplit/>
          <w:trHeight w:val="288"/>
          <w:jc w:val="center"/>
        </w:trPr>
        <w:tc>
          <w:tcPr>
            <w:tcW w:w="1568" w:type="pct"/>
            <w:shd w:val="clear" w:color="auto" w:fill="FFFFFF"/>
            <w:tcMar>
              <w:top w:w="0" w:type="dxa"/>
              <w:left w:w="0" w:type="dxa"/>
              <w:bottom w:w="0" w:type="dxa"/>
              <w:right w:w="0" w:type="dxa"/>
            </w:tcMar>
            <w:vAlign w:val="center"/>
            <w:hideMark/>
          </w:tcPr>
          <w:p w14:paraId="524A3BF4" w14:textId="77777777" w:rsidR="001C19F3" w:rsidRDefault="001C19F3" w:rsidP="00521305">
            <w:pPr>
              <w:spacing w:before="40" w:after="40"/>
              <w:ind w:left="160" w:right="40"/>
            </w:pPr>
            <w:r>
              <w:rPr>
                <w:rFonts w:cs="Century Gothic"/>
                <w:color w:val="000000"/>
                <w:sz w:val="18"/>
                <w:szCs w:val="18"/>
              </w:rPr>
              <w:t>Urgent (risk score 39 to 49)</w:t>
            </w:r>
          </w:p>
        </w:tc>
        <w:tc>
          <w:tcPr>
            <w:tcW w:w="1417" w:type="pct"/>
            <w:shd w:val="clear" w:color="auto" w:fill="FFFFFF"/>
            <w:tcMar>
              <w:top w:w="0" w:type="dxa"/>
              <w:left w:w="0" w:type="dxa"/>
              <w:bottom w:w="0" w:type="dxa"/>
              <w:right w:w="0" w:type="dxa"/>
            </w:tcMar>
            <w:vAlign w:val="center"/>
            <w:hideMark/>
          </w:tcPr>
          <w:p w14:paraId="04EAE506" w14:textId="77777777" w:rsidR="001C19F3" w:rsidRDefault="001C19F3" w:rsidP="00521305">
            <w:pPr>
              <w:spacing w:before="40" w:after="40"/>
              <w:ind w:left="40" w:right="40"/>
              <w:jc w:val="center"/>
            </w:pPr>
            <w:r>
              <w:rPr>
                <w:rFonts w:cs="Century Gothic"/>
                <w:color w:val="000000"/>
                <w:sz w:val="18"/>
                <w:szCs w:val="18"/>
              </w:rPr>
              <w:t>38 (0.4%)</w:t>
            </w:r>
          </w:p>
        </w:tc>
        <w:tc>
          <w:tcPr>
            <w:tcW w:w="1023" w:type="pct"/>
            <w:shd w:val="clear" w:color="auto" w:fill="FFFFFF"/>
            <w:tcMar>
              <w:top w:w="0" w:type="dxa"/>
              <w:left w:w="0" w:type="dxa"/>
              <w:bottom w:w="0" w:type="dxa"/>
              <w:right w:w="0" w:type="dxa"/>
            </w:tcMar>
            <w:vAlign w:val="center"/>
            <w:hideMark/>
          </w:tcPr>
          <w:p w14:paraId="4260C170" w14:textId="77777777" w:rsidR="001C19F3" w:rsidRDefault="001C19F3" w:rsidP="00521305">
            <w:pPr>
              <w:spacing w:before="40" w:after="40"/>
              <w:ind w:left="40" w:right="40"/>
              <w:jc w:val="center"/>
            </w:pPr>
            <w:r>
              <w:rPr>
                <w:rFonts w:cs="Century Gothic"/>
                <w:color w:val="000000"/>
                <w:sz w:val="18"/>
                <w:szCs w:val="18"/>
              </w:rPr>
              <w:t>3 (0.1%)</w:t>
            </w:r>
          </w:p>
        </w:tc>
        <w:tc>
          <w:tcPr>
            <w:tcW w:w="992" w:type="pct"/>
            <w:vMerge/>
            <w:vAlign w:val="center"/>
            <w:hideMark/>
          </w:tcPr>
          <w:p w14:paraId="14E9D09D" w14:textId="77777777" w:rsidR="001C19F3" w:rsidRDefault="001C19F3" w:rsidP="00521305">
            <w:pPr>
              <w:spacing w:after="0"/>
              <w:rPr>
                <w:sz w:val="22"/>
              </w:rPr>
            </w:pPr>
          </w:p>
        </w:tc>
      </w:tr>
    </w:tbl>
    <w:p w14:paraId="1331E7F2" w14:textId="77777777" w:rsidR="001C19F3" w:rsidRDefault="001C19F3" w:rsidP="001C19F3">
      <w:pPr>
        <w:pStyle w:val="Chartortablefootnote"/>
      </w:pPr>
      <w:r>
        <w:t>Source: Risk stratification data provided by Precedence Health Care, to June 2019.</w:t>
      </w:r>
    </w:p>
    <w:p w14:paraId="7C9BDF77" w14:textId="77777777" w:rsidR="001C19F3" w:rsidRDefault="001C19F3" w:rsidP="001C19F3">
      <w:pPr>
        <w:rPr>
          <w:rFonts w:cs="Calibri (Body)"/>
          <w:color w:val="000000"/>
          <w:szCs w:val="20"/>
        </w:rPr>
      </w:pPr>
      <w:r w:rsidRPr="00784890">
        <w:rPr>
          <w:rFonts w:cs="Calibri (Body)"/>
          <w:color w:val="000000"/>
          <w:szCs w:val="20"/>
        </w:rPr>
        <w:t xml:space="preserve">Patients whose PRM score was overridden were less likely to have a chronic disease (26.4% </w:t>
      </w:r>
      <w:r>
        <w:rPr>
          <w:rFonts w:cs="Calibri (Body)"/>
          <w:color w:val="000000"/>
          <w:szCs w:val="20"/>
        </w:rPr>
        <w:t>vs.</w:t>
      </w:r>
      <w:r w:rsidRPr="00784890">
        <w:rPr>
          <w:rFonts w:cs="Calibri (Body)"/>
          <w:color w:val="000000"/>
          <w:szCs w:val="20"/>
        </w:rPr>
        <w:t xml:space="preserve"> 50.1% for diabetes, renal failure or liver disease, 15.5% </w:t>
      </w:r>
      <w:r>
        <w:rPr>
          <w:rFonts w:cs="Calibri (Body)"/>
          <w:color w:val="000000"/>
          <w:szCs w:val="20"/>
        </w:rPr>
        <w:t>vs.</w:t>
      </w:r>
      <w:r w:rsidRPr="00784890">
        <w:rPr>
          <w:rFonts w:cs="Calibri (Body)"/>
          <w:color w:val="000000"/>
          <w:szCs w:val="20"/>
        </w:rPr>
        <w:t xml:space="preserve"> 40.7% for cardiac conditions, 25.4% </w:t>
      </w:r>
      <w:r>
        <w:rPr>
          <w:rFonts w:cs="Calibri (Body)"/>
          <w:color w:val="000000"/>
          <w:szCs w:val="20"/>
        </w:rPr>
        <w:t>vs.</w:t>
      </w:r>
      <w:r w:rsidRPr="00784890">
        <w:rPr>
          <w:rFonts w:cs="Calibri (Body)"/>
          <w:color w:val="000000"/>
          <w:szCs w:val="20"/>
        </w:rPr>
        <w:t xml:space="preserve"> 37.1% for respiratory disease) and less likely to have a diagnosis of complex care needs in frail aged</w:t>
      </w:r>
      <w:r>
        <w:rPr>
          <w:rFonts w:cs="Calibri (Body)"/>
          <w:color w:val="000000"/>
          <w:szCs w:val="20"/>
        </w:rPr>
        <w:t>, such as</w:t>
      </w:r>
      <w:r w:rsidRPr="00784890">
        <w:rPr>
          <w:rFonts w:cs="Calibri (Body)"/>
          <w:color w:val="000000"/>
          <w:szCs w:val="20"/>
        </w:rPr>
        <w:t xml:space="preserve"> dementia, falls and incontinence (8.7% </w:t>
      </w:r>
      <w:r>
        <w:rPr>
          <w:rFonts w:cs="Calibri (Body)"/>
          <w:color w:val="000000"/>
          <w:szCs w:val="20"/>
        </w:rPr>
        <w:t>vs.</w:t>
      </w:r>
      <w:r w:rsidRPr="00784890">
        <w:rPr>
          <w:rFonts w:cs="Calibri (Body)"/>
          <w:color w:val="000000"/>
          <w:szCs w:val="20"/>
        </w:rPr>
        <w:t xml:space="preserve"> 21.6%). They were more likely to have a diagnosis of complex care needs in people under 55 years, such as mental health issues (26.5% </w:t>
      </w:r>
      <w:r>
        <w:rPr>
          <w:rFonts w:cs="Calibri (Body)"/>
          <w:color w:val="000000"/>
          <w:szCs w:val="20"/>
        </w:rPr>
        <w:t>vs.</w:t>
      </w:r>
      <w:r w:rsidRPr="00784890">
        <w:rPr>
          <w:rFonts w:cs="Calibri (Body)"/>
          <w:color w:val="000000"/>
          <w:szCs w:val="20"/>
        </w:rPr>
        <w:t xml:space="preserve"> 11.7%). </w:t>
      </w:r>
    </w:p>
    <w:p w14:paraId="02D8CD0C" w14:textId="77777777" w:rsidR="001C19F3" w:rsidRPr="00784890" w:rsidRDefault="001C19F3" w:rsidP="001C19F3">
      <w:pPr>
        <w:rPr>
          <w:rFonts w:cs="Calibri (Body)"/>
          <w:color w:val="000000"/>
          <w:szCs w:val="20"/>
        </w:rPr>
      </w:pPr>
      <w:r w:rsidRPr="00784890">
        <w:rPr>
          <w:rFonts w:cs="Calibri (Body)"/>
          <w:color w:val="000000"/>
          <w:szCs w:val="20"/>
        </w:rPr>
        <w:t>Among the other domains, patients who were included after having their PRM overridden tended to be less likely to have health problems and less likely to have poor lifestyle risk factors</w:t>
      </w:r>
      <w:r>
        <w:rPr>
          <w:rFonts w:cs="Calibri (Body)"/>
          <w:color w:val="000000"/>
          <w:szCs w:val="20"/>
        </w:rPr>
        <w:t>,</w:t>
      </w:r>
      <w:r w:rsidRPr="00784890">
        <w:rPr>
          <w:rFonts w:cs="Calibri (Body)"/>
          <w:color w:val="000000"/>
          <w:szCs w:val="20"/>
        </w:rPr>
        <w:t xml:space="preserve"> but they were more likely to have regular medical checks (22.2% </w:t>
      </w:r>
      <w:r>
        <w:rPr>
          <w:rFonts w:cs="Calibri (Body)"/>
          <w:color w:val="000000"/>
          <w:szCs w:val="20"/>
        </w:rPr>
        <w:t>vs.</w:t>
      </w:r>
      <w:r w:rsidRPr="00784890">
        <w:rPr>
          <w:rFonts w:cs="Calibri (Body)"/>
          <w:color w:val="000000"/>
          <w:szCs w:val="20"/>
        </w:rPr>
        <w:t xml:space="preserve"> 13.3%) and possibly cognitive impairment (12.0% </w:t>
      </w:r>
      <w:r>
        <w:rPr>
          <w:rFonts w:cs="Calibri (Body)"/>
          <w:color w:val="000000"/>
          <w:szCs w:val="20"/>
        </w:rPr>
        <w:t>vs.</w:t>
      </w:r>
      <w:r w:rsidRPr="00784890">
        <w:rPr>
          <w:rFonts w:cs="Calibri (Body)"/>
          <w:color w:val="000000"/>
          <w:szCs w:val="20"/>
        </w:rPr>
        <w:t xml:space="preserve"> 10.2%). But they weren’t more likely to have mental health problems (44.5% </w:t>
      </w:r>
      <w:r>
        <w:rPr>
          <w:rFonts w:cs="Calibri (Body)"/>
          <w:color w:val="000000"/>
          <w:szCs w:val="20"/>
        </w:rPr>
        <w:t>vs.</w:t>
      </w:r>
      <w:r w:rsidRPr="00784890">
        <w:rPr>
          <w:rFonts w:cs="Calibri (Body)"/>
          <w:color w:val="000000"/>
          <w:szCs w:val="20"/>
        </w:rPr>
        <w:t xml:space="preserve"> 43.8%) or drug and alcohol problems (5.8% </w:t>
      </w:r>
      <w:r>
        <w:rPr>
          <w:rFonts w:cs="Calibri (Body)"/>
          <w:color w:val="000000"/>
          <w:szCs w:val="20"/>
        </w:rPr>
        <w:t>vs.</w:t>
      </w:r>
      <w:r w:rsidRPr="00784890">
        <w:rPr>
          <w:rFonts w:cs="Calibri (Body)"/>
          <w:color w:val="000000"/>
          <w:szCs w:val="20"/>
        </w:rPr>
        <w:t xml:space="preserve"> 5.7%).</w:t>
      </w:r>
    </w:p>
    <w:p w14:paraId="523EFFBA" w14:textId="77777777" w:rsidR="001C19F3" w:rsidRDefault="001C19F3" w:rsidP="001C19F3">
      <w:pPr>
        <w:jc w:val="center"/>
        <w:rPr>
          <w:rStyle w:val="Heading2Char"/>
          <w:rFonts w:eastAsia="MS Gothic" w:cs="Arial"/>
          <w:color w:val="auto"/>
          <w:sz w:val="20"/>
          <w:szCs w:val="20"/>
        </w:rPr>
      </w:pPr>
      <w:r>
        <w:rPr>
          <w:rFonts w:eastAsia="MS Gothic" w:cs="Arial"/>
          <w:noProof/>
          <w:szCs w:val="20"/>
          <w:lang w:eastAsia="en-AU"/>
        </w:rPr>
        <w:lastRenderedPageBreak/>
        <w:drawing>
          <wp:inline distT="0" distB="0" distL="0" distR="0" wp14:anchorId="44F188F7" wp14:editId="012047D2">
            <wp:extent cx="3574803" cy="3524250"/>
            <wp:effectExtent l="0" t="0" r="6985" b="0"/>
            <wp:docPr id="91" name="Picture 9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T_Override_PRMscore_barchart.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592375" cy="3541573"/>
                    </a:xfrm>
                    <a:prstGeom prst="rect">
                      <a:avLst/>
                    </a:prstGeom>
                  </pic:spPr>
                </pic:pic>
              </a:graphicData>
            </a:graphic>
          </wp:inline>
        </w:drawing>
      </w:r>
    </w:p>
    <w:p w14:paraId="55E56F84" w14:textId="77777777" w:rsidR="001C19F3" w:rsidRPr="00476E9E" w:rsidRDefault="001C19F3" w:rsidP="001C19F3">
      <w:pPr>
        <w:spacing w:after="60" w:line="240" w:lineRule="auto"/>
        <w:jc w:val="center"/>
        <w:rPr>
          <w:b/>
          <w:szCs w:val="20"/>
        </w:rPr>
      </w:pPr>
      <w:bookmarkStart w:id="535" w:name="_Ref22830598"/>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Pr>
          <w:b/>
          <w:noProof/>
          <w:szCs w:val="20"/>
        </w:rPr>
        <w:t>6</w:t>
      </w:r>
      <w:r>
        <w:rPr>
          <w:b/>
          <w:szCs w:val="20"/>
        </w:rPr>
        <w:fldChar w:fldCharType="end"/>
      </w:r>
      <w:bookmarkEnd w:id="535"/>
      <w:r w:rsidRPr="00E76010">
        <w:rPr>
          <w:b/>
          <w:szCs w:val="20"/>
        </w:rPr>
        <w:t xml:space="preserve"> – </w:t>
      </w:r>
      <w:r w:rsidRPr="00235FA8">
        <w:rPr>
          <w:b/>
          <w:szCs w:val="20"/>
        </w:rPr>
        <w:t>Distribution of scores on the PRM by the override flag and HCH tier</w:t>
      </w:r>
    </w:p>
    <w:p w14:paraId="5DF40FD7" w14:textId="77777777" w:rsidR="001C19F3" w:rsidRDefault="001C19F3" w:rsidP="001C19F3">
      <w:pPr>
        <w:pStyle w:val="Chartortablefootnote"/>
      </w:pPr>
      <w:r>
        <w:t>Source: Risk stratification data provided by Precedence Health Care, to June 2019.</w:t>
      </w:r>
    </w:p>
    <w:p w14:paraId="771092BA" w14:textId="77777777" w:rsidR="001C19F3" w:rsidRPr="00095CA7" w:rsidRDefault="001C19F3" w:rsidP="001C19F3">
      <w:pPr>
        <w:sectPr w:rsidR="001C19F3" w:rsidRPr="00095CA7" w:rsidSect="001C5D9E">
          <w:headerReference w:type="first" r:id="rId169"/>
          <w:pgSz w:w="11906" w:h="16838"/>
          <w:pgMar w:top="1440" w:right="1440" w:bottom="1440" w:left="1440" w:header="708" w:footer="708" w:gutter="0"/>
          <w:cols w:space="708"/>
          <w:titlePg/>
          <w:docGrid w:linePitch="360"/>
        </w:sectPr>
      </w:pPr>
    </w:p>
    <w:p w14:paraId="51D9F1CA" w14:textId="77777777" w:rsidR="001C19F3" w:rsidRDefault="001C19F3" w:rsidP="001C19F3">
      <w:pPr>
        <w:pStyle w:val="Heading1withnumber"/>
        <w:ind w:left="0" w:hanging="1134"/>
      </w:pPr>
      <w:bookmarkStart w:id="536" w:name="_Toc27058966"/>
      <w:r w:rsidRPr="0029242A">
        <w:lastRenderedPageBreak/>
        <w:t>Community pharmacy in HCH</w:t>
      </w:r>
      <w:bookmarkEnd w:id="536"/>
    </w:p>
    <w:p w14:paraId="311DB4EA" w14:textId="77777777" w:rsidR="001C19F3" w:rsidRDefault="001C19F3" w:rsidP="001C19F3">
      <w:pPr>
        <w:widowControl w:val="0"/>
        <w:autoSpaceDE w:val="0"/>
        <w:autoSpaceDN w:val="0"/>
        <w:adjustRightInd w:val="0"/>
        <w:ind w:right="-11"/>
        <w:rPr>
          <w:rFonts w:eastAsiaTheme="minorHAnsi"/>
        </w:rPr>
      </w:pPr>
      <w:r>
        <w:t>Community pharmacists are collecting data for the HCH patients who are referred to them at the following time points:</w:t>
      </w:r>
    </w:p>
    <w:p w14:paraId="5BB24960" w14:textId="77777777" w:rsidR="001C19F3" w:rsidRDefault="001C19F3" w:rsidP="001C19F3">
      <w:pPr>
        <w:pStyle w:val="ListParagraph"/>
        <w:widowControl w:val="0"/>
        <w:numPr>
          <w:ilvl w:val="0"/>
          <w:numId w:val="114"/>
        </w:numPr>
        <w:autoSpaceDE w:val="0"/>
        <w:autoSpaceDN w:val="0"/>
        <w:adjustRightInd w:val="0"/>
        <w:ind w:left="714" w:right="-11" w:hanging="357"/>
        <w:contextualSpacing w:val="0"/>
      </w:pPr>
      <w:r>
        <w:t>At the initial review. The initial review involves medication reconciliation and the development of a collaborative medication management plan (MMP). The MMP forms part of the patient’s shared care plan developed by the HCH with the patient.</w:t>
      </w:r>
    </w:p>
    <w:p w14:paraId="61B5D5F1" w14:textId="77777777" w:rsidR="001C19F3" w:rsidRDefault="001C19F3" w:rsidP="001C19F3">
      <w:pPr>
        <w:pStyle w:val="ListParagraph"/>
        <w:widowControl w:val="0"/>
        <w:numPr>
          <w:ilvl w:val="0"/>
          <w:numId w:val="114"/>
        </w:numPr>
        <w:autoSpaceDE w:val="0"/>
        <w:autoSpaceDN w:val="0"/>
        <w:adjustRightInd w:val="0"/>
        <w:ind w:right="-11"/>
      </w:pPr>
      <w:r>
        <w:t>At each subsequent review. Observations reported during subsequent reviews reported to the patient/carer and the HCH through the patient’s shared care plan.</w:t>
      </w:r>
    </w:p>
    <w:p w14:paraId="17DD783D" w14:textId="77777777" w:rsidR="001C19F3" w:rsidRDefault="001C19F3" w:rsidP="001C19F3">
      <w:pPr>
        <w:rPr>
          <w:rFonts w:eastAsia="MS Gothic" w:cs="Arial"/>
        </w:rPr>
      </w:pPr>
      <w:r>
        <w:rPr>
          <w:rFonts w:eastAsia="MS Gothic" w:cs="Arial"/>
        </w:rPr>
        <w:t xml:space="preserve">The Pharmacy Guild collates a Health Outcomes data set on behalf of the pharmacists, and for this report, transferred data for 468 HCH enrolees who were referred to and seen by a community pharmacist by the end of June 2019 and had an initial review. The 468 patients are from a small number of practices, with 399 (85.3 %) of the patients coming from seven practices. At this stage most of the patients have only had an initial review and this report concentrates on data from that review. However, 141 (30.1%) of the patients have had a second review. </w:t>
      </w:r>
      <w:r>
        <w:rPr>
          <w:rFonts w:cstheme="minorHAnsi"/>
          <w:szCs w:val="20"/>
        </w:rPr>
        <w:t xml:space="preserve">A summary of the data are </w:t>
      </w:r>
      <w:r w:rsidRPr="00EF65CA">
        <w:rPr>
          <w:rFonts w:cstheme="minorHAnsi"/>
          <w:szCs w:val="20"/>
        </w:rPr>
        <w:t xml:space="preserve">presented in </w:t>
      </w:r>
      <w:r w:rsidRPr="00DD0409">
        <w:rPr>
          <w:rFonts w:cstheme="minorHAnsi"/>
          <w:szCs w:val="20"/>
        </w:rPr>
        <w:t xml:space="preserve">Appendix </w:t>
      </w:r>
      <w:r>
        <w:rPr>
          <w:rFonts w:cstheme="minorHAnsi"/>
          <w:szCs w:val="20"/>
        </w:rPr>
        <w:t>5.</w:t>
      </w:r>
    </w:p>
    <w:p w14:paraId="265A6F0A" w14:textId="77777777" w:rsidR="001C19F3" w:rsidRDefault="001C19F3" w:rsidP="001C19F3">
      <w:pPr>
        <w:rPr>
          <w:rFonts w:eastAsia="MS Gothic" w:cs="Arial"/>
        </w:rPr>
      </w:pPr>
      <w:r>
        <w:rPr>
          <w:rFonts w:eastAsia="MS Gothic" w:cs="Arial"/>
        </w:rPr>
        <w:t>Of the 468 patients who had an initial review, 44 (9.4%) are in Tier 1, 235 (50.2%) in Tier 2, and the remaining 189 (40.4%) in Tier 3 (</w:t>
      </w:r>
      <w:r>
        <w:rPr>
          <w:rFonts w:eastAsia="MS Gothic" w:cs="Arial"/>
        </w:rPr>
        <w:fldChar w:fldCharType="begin"/>
      </w:r>
      <w:r>
        <w:rPr>
          <w:rFonts w:eastAsia="MS Gothic" w:cs="Arial"/>
        </w:rPr>
        <w:instrText xml:space="preserve"> REF _Ref22831147 \h </w:instrText>
      </w:r>
      <w:r>
        <w:rPr>
          <w:rFonts w:eastAsia="MS Gothic" w:cs="Arial"/>
        </w:rPr>
      </w:r>
      <w:r>
        <w:rPr>
          <w:rFonts w:eastAsia="MS Gothic" w:cs="Arial"/>
        </w:rPr>
        <w:fldChar w:fldCharType="separate"/>
      </w:r>
      <w:r>
        <w:t xml:space="preserve">Table </w:t>
      </w:r>
      <w:r>
        <w:rPr>
          <w:noProof/>
        </w:rPr>
        <w:t>87</w:t>
      </w:r>
      <w:r>
        <w:rPr>
          <w:rFonts w:eastAsia="MS Gothic" w:cs="Arial"/>
        </w:rPr>
        <w:fldChar w:fldCharType="end"/>
      </w:r>
      <w:r>
        <w:rPr>
          <w:rFonts w:eastAsia="MS Gothic" w:cs="Arial"/>
        </w:rPr>
        <w:t xml:space="preserve">). The characteristics of patients were similar across tiers; 57.5% were female, 90% were English speaking at home, and patients scored relatively high on the MedsIndex score (74% scored above 80), which is a measure of  medication adherence. Patients in Tier 3 were slightly younger with 53% of patients being less than 65 years old compared with 41% in Tier 1 and 35% in Tier 2. Patients in Tier 3 were more likely to have attended hospital in the past 6 months (26% compared with 11.4% in Tier 1 and 8.5% in Tier 2). </w:t>
      </w:r>
    </w:p>
    <w:p w14:paraId="766292EB" w14:textId="77777777" w:rsidR="001C19F3" w:rsidRDefault="001C19F3" w:rsidP="001C19F3">
      <w:pPr>
        <w:rPr>
          <w:rFonts w:eastAsia="MS Gothic" w:cs="Arial"/>
        </w:rPr>
      </w:pPr>
      <w:r>
        <w:rPr>
          <w:rFonts w:eastAsia="MS Gothic" w:cs="Arial"/>
        </w:rPr>
        <w:t>Patients were taking medicines for a wide range of conditions (</w:t>
      </w:r>
      <w:r>
        <w:rPr>
          <w:rFonts w:eastAsia="MS Gothic" w:cs="Arial"/>
        </w:rPr>
        <w:fldChar w:fldCharType="begin"/>
      </w:r>
      <w:r>
        <w:rPr>
          <w:rFonts w:eastAsia="MS Gothic" w:cs="Arial"/>
        </w:rPr>
        <w:instrText xml:space="preserve"> REF _Ref22831193 \h </w:instrText>
      </w:r>
      <w:r>
        <w:rPr>
          <w:rFonts w:eastAsia="MS Gothic" w:cs="Arial"/>
        </w:rPr>
      </w:r>
      <w:r>
        <w:rPr>
          <w:rFonts w:eastAsia="MS Gothic" w:cs="Arial"/>
        </w:rPr>
        <w:fldChar w:fldCharType="separate"/>
      </w:r>
      <w:r>
        <w:t xml:space="preserve">Table </w:t>
      </w:r>
      <w:r>
        <w:rPr>
          <w:noProof/>
        </w:rPr>
        <w:t>88</w:t>
      </w:r>
      <w:r>
        <w:rPr>
          <w:rFonts w:eastAsia="MS Gothic" w:cs="Arial"/>
        </w:rPr>
        <w:fldChar w:fldCharType="end"/>
      </w:r>
      <w:r>
        <w:rPr>
          <w:rFonts w:eastAsia="MS Gothic" w:cs="Arial"/>
        </w:rPr>
        <w:t xml:space="preserve">). The most commonly prescribed medicines among this group of patients were antihypertensives and lipid lowering drugs, with 72.4% and 52.8% patients prescribed these respective medicines. Prescription of medicines for these conditions were similar across tiers. Medicines were also commonly prescribed for heart disease (40.6%), depression and anxiety (26.9%), arthritis (32.1%), diabetes (43.8%), pain (26.1%), digestive disorders (24.8%), and respiratory conditions (32.5%). Prescription of medicines for depression and anxiety appear to increase with tier, as does the prescription of medicine for diabetes, kidney disease, respiratory disease, and the category of other conditions. </w:t>
      </w:r>
    </w:p>
    <w:p w14:paraId="3EAB3BBB" w14:textId="77777777" w:rsidR="001C19F3" w:rsidRDefault="001C19F3" w:rsidP="001C19F3">
      <w:pPr>
        <w:rPr>
          <w:rFonts w:eastAsia="MS Gothic" w:cs="Arial"/>
          <w:szCs w:val="20"/>
        </w:rPr>
      </w:pPr>
      <w:r>
        <w:rPr>
          <w:rFonts w:eastAsia="MS Gothic" w:cs="Arial"/>
          <w:szCs w:val="20"/>
        </w:rPr>
        <w:t>The most common goals agreed to in the patients’ medication management plan were ‘Improved medication adherence’ (42%) and ‘Improved patient knowledge about their medicines leading to improved medication use and disease self-management’ (51%), but these varied substantially between tiers (</w:t>
      </w:r>
      <w:r>
        <w:rPr>
          <w:rFonts w:eastAsia="MS Gothic" w:cs="Arial"/>
          <w:szCs w:val="20"/>
        </w:rPr>
        <w:fldChar w:fldCharType="begin"/>
      </w:r>
      <w:r>
        <w:rPr>
          <w:rFonts w:eastAsia="MS Gothic" w:cs="Arial"/>
          <w:szCs w:val="20"/>
        </w:rPr>
        <w:instrText xml:space="preserve"> REF _Ref22831289 \h </w:instrText>
      </w:r>
      <w:r>
        <w:rPr>
          <w:rFonts w:eastAsia="MS Gothic" w:cs="Arial"/>
          <w:szCs w:val="20"/>
        </w:rPr>
      </w:r>
      <w:r>
        <w:rPr>
          <w:rFonts w:eastAsia="MS Gothic" w:cs="Arial"/>
          <w:szCs w:val="20"/>
        </w:rPr>
        <w:fldChar w:fldCharType="separate"/>
      </w:r>
      <w:r>
        <w:t xml:space="preserve">Table </w:t>
      </w:r>
      <w:r>
        <w:rPr>
          <w:noProof/>
        </w:rPr>
        <w:t>89</w:t>
      </w:r>
      <w:r>
        <w:rPr>
          <w:rFonts w:eastAsia="MS Gothic" w:cs="Arial"/>
          <w:szCs w:val="20"/>
        </w:rPr>
        <w:fldChar w:fldCharType="end"/>
      </w:r>
      <w:r>
        <w:rPr>
          <w:rFonts w:eastAsia="MS Gothic" w:cs="Arial"/>
          <w:szCs w:val="20"/>
        </w:rPr>
        <w:t xml:space="preserve">). Patients in tiers 1 and 2 were much more likely to have the goal of ‘improved patient knowledge’ than patients in Tier 3 (73% in Tier 1, 63% in Tier 2 and 30% in Tier 3), but patients in Tier 3 were far more likely to have the goal of </w:t>
      </w:r>
      <w:r>
        <w:rPr>
          <w:rFonts w:eastAsia="MS Gothic" w:cs="Arial"/>
          <w:szCs w:val="20"/>
        </w:rPr>
        <w:lastRenderedPageBreak/>
        <w:t>‘Improved medication adherence’ (68% in Tier 1, 32% in Tier 2 and 61% in Tier 3s). The goals of ‘Improved technique/usage of medication devices’ (15%), ‘Optimise the medication dose’ (18%), and ‘Reduced medication side effects’ (8%) were less common.</w:t>
      </w:r>
    </w:p>
    <w:p w14:paraId="4A1F403C" w14:textId="77777777" w:rsidR="001C19F3" w:rsidRDefault="001C19F3" w:rsidP="001C19F3">
      <w:pPr>
        <w:rPr>
          <w:rFonts w:eastAsia="MS Gothic" w:cs="Arial"/>
          <w:szCs w:val="20"/>
        </w:rPr>
      </w:pPr>
      <w:r>
        <w:rPr>
          <w:rFonts w:eastAsia="MS Gothic" w:cs="Arial"/>
          <w:szCs w:val="20"/>
        </w:rPr>
        <w:t>For most conditions, at least two people were responsible for the patient achieving their goals and in general it was most likely to be the carer/patient and pharmacist (</w:t>
      </w:r>
      <w:r>
        <w:rPr>
          <w:rFonts w:eastAsia="MS Gothic" w:cs="Arial"/>
          <w:szCs w:val="20"/>
        </w:rPr>
        <w:fldChar w:fldCharType="begin"/>
      </w:r>
      <w:r>
        <w:rPr>
          <w:rFonts w:eastAsia="MS Gothic" w:cs="Arial"/>
          <w:szCs w:val="20"/>
        </w:rPr>
        <w:instrText xml:space="preserve"> REF _Ref22831346 \h </w:instrText>
      </w:r>
      <w:r>
        <w:rPr>
          <w:rFonts w:eastAsia="MS Gothic" w:cs="Arial"/>
          <w:szCs w:val="20"/>
        </w:rPr>
      </w:r>
      <w:r>
        <w:rPr>
          <w:rFonts w:eastAsia="MS Gothic" w:cs="Arial"/>
          <w:szCs w:val="20"/>
        </w:rPr>
        <w:fldChar w:fldCharType="separate"/>
      </w:r>
      <w:r>
        <w:t xml:space="preserve">Table </w:t>
      </w:r>
      <w:r>
        <w:rPr>
          <w:noProof/>
        </w:rPr>
        <w:t>90</w:t>
      </w:r>
      <w:r>
        <w:rPr>
          <w:rFonts w:eastAsia="MS Gothic" w:cs="Arial"/>
          <w:szCs w:val="20"/>
        </w:rPr>
        <w:fldChar w:fldCharType="end"/>
      </w:r>
      <w:r>
        <w:rPr>
          <w:rFonts w:eastAsia="MS Gothic" w:cs="Arial"/>
          <w:szCs w:val="20"/>
        </w:rPr>
        <w:t>). For the five pre-defined patient goals, both carer/patient and pharmacist were reported as being responsible in over 60% of cases. Pharmacists were considered responsible for improved medication adherence for 88% of patients who set this goal and responsible for improved knowledge for 87% of patients. Carer/patients were considered responsible in 84% of cases where the goal was to improve technique of medication devices. Although GPs were less likely to be considered responsible for a goal, GPs were considered responsible for goals relating to optimising dose (57%) and reducing side effects (61%).</w:t>
      </w:r>
    </w:p>
    <w:p w14:paraId="2BF02CB1" w14:textId="77777777" w:rsidR="001C19F3" w:rsidRDefault="001C19F3" w:rsidP="001C19F3">
      <w:pPr>
        <w:rPr>
          <w:rFonts w:eastAsia="MS Gothic" w:cs="Arial"/>
          <w:szCs w:val="20"/>
        </w:rPr>
      </w:pPr>
      <w:r>
        <w:rPr>
          <w:rFonts w:eastAsia="MS Gothic" w:cs="Arial"/>
          <w:szCs w:val="20"/>
        </w:rPr>
        <w:t>Patients were offered services to assistant them in achieving the goals they agreed to in the MMP (</w:t>
      </w:r>
      <w:r>
        <w:rPr>
          <w:rFonts w:eastAsia="MS Gothic" w:cs="Arial"/>
          <w:szCs w:val="20"/>
        </w:rPr>
        <w:fldChar w:fldCharType="begin"/>
      </w:r>
      <w:r>
        <w:rPr>
          <w:rFonts w:eastAsia="MS Gothic" w:cs="Arial"/>
          <w:szCs w:val="20"/>
        </w:rPr>
        <w:instrText xml:space="preserve"> REF _Ref22831442 \h </w:instrText>
      </w:r>
      <w:r>
        <w:rPr>
          <w:rFonts w:eastAsia="MS Gothic" w:cs="Arial"/>
          <w:szCs w:val="20"/>
        </w:rPr>
      </w:r>
      <w:r>
        <w:rPr>
          <w:rFonts w:eastAsia="MS Gothic" w:cs="Arial"/>
          <w:szCs w:val="20"/>
        </w:rPr>
        <w:fldChar w:fldCharType="separate"/>
      </w:r>
      <w:r>
        <w:t xml:space="preserve">Table </w:t>
      </w:r>
      <w:r>
        <w:rPr>
          <w:noProof/>
        </w:rPr>
        <w:t>91</w:t>
      </w:r>
      <w:r>
        <w:rPr>
          <w:rFonts w:eastAsia="MS Gothic" w:cs="Arial"/>
          <w:szCs w:val="20"/>
        </w:rPr>
        <w:fldChar w:fldCharType="end"/>
      </w:r>
      <w:r>
        <w:rPr>
          <w:rFonts w:eastAsia="MS Gothic" w:cs="Arial"/>
          <w:szCs w:val="20"/>
        </w:rPr>
        <w:t>). The most common service offered was blood pressure monitoring (31% of patients), followed by dose administration aid (25%).</w:t>
      </w:r>
    </w:p>
    <w:p w14:paraId="37EF558C" w14:textId="77777777" w:rsidR="001C19F3" w:rsidRDefault="001C19F3" w:rsidP="001C19F3">
      <w:pPr>
        <w:rPr>
          <w:rFonts w:eastAsia="MS Gothic" w:cs="Arial"/>
          <w:szCs w:val="20"/>
        </w:rPr>
      </w:pPr>
      <w:r>
        <w:rPr>
          <w:rFonts w:eastAsia="MS Gothic" w:cs="Arial"/>
          <w:szCs w:val="20"/>
        </w:rPr>
        <w:t>The pharmacist updating reconciled medication list (98.3%), the pharmacist providing the patient with medicine education (88.9%), and the pharmacist providing the patient with disease state-state information (75.2%) were very common outcomes of the medication management plan reported at the initial review (</w:t>
      </w:r>
      <w:r>
        <w:rPr>
          <w:rFonts w:eastAsia="MS Gothic" w:cs="Arial"/>
          <w:szCs w:val="20"/>
        </w:rPr>
        <w:fldChar w:fldCharType="begin"/>
      </w:r>
      <w:r>
        <w:rPr>
          <w:rFonts w:eastAsia="MS Gothic" w:cs="Arial"/>
          <w:szCs w:val="20"/>
        </w:rPr>
        <w:instrText xml:space="preserve"> REF _Ref22831500 \h </w:instrText>
      </w:r>
      <w:r>
        <w:rPr>
          <w:rFonts w:eastAsia="MS Gothic" w:cs="Arial"/>
          <w:szCs w:val="20"/>
        </w:rPr>
      </w:r>
      <w:r>
        <w:rPr>
          <w:rFonts w:eastAsia="MS Gothic" w:cs="Arial"/>
          <w:szCs w:val="20"/>
        </w:rPr>
        <w:fldChar w:fldCharType="separate"/>
      </w:r>
      <w:r>
        <w:t xml:space="preserve">Table </w:t>
      </w:r>
      <w:r>
        <w:rPr>
          <w:noProof/>
        </w:rPr>
        <w:t>92</w:t>
      </w:r>
      <w:r>
        <w:rPr>
          <w:rFonts w:eastAsia="MS Gothic" w:cs="Arial"/>
          <w:szCs w:val="20"/>
        </w:rPr>
        <w:fldChar w:fldCharType="end"/>
      </w:r>
      <w:r>
        <w:rPr>
          <w:rFonts w:eastAsia="MS Gothic" w:cs="Arial"/>
          <w:szCs w:val="20"/>
        </w:rPr>
        <w:t xml:space="preserve">). </w:t>
      </w:r>
    </w:p>
    <w:p w14:paraId="73B1AE21" w14:textId="77777777" w:rsidR="001C19F3" w:rsidRDefault="001C19F3" w:rsidP="001C19F3"/>
    <w:p w14:paraId="027212C4" w14:textId="77777777" w:rsidR="001C19F3" w:rsidRPr="004D0069" w:rsidRDefault="001C19F3" w:rsidP="001C19F3">
      <w:pPr>
        <w:sectPr w:rsidR="001C19F3" w:rsidRPr="004D0069" w:rsidSect="001C5D9E">
          <w:headerReference w:type="even" r:id="rId170"/>
          <w:headerReference w:type="default" r:id="rId171"/>
          <w:headerReference w:type="first" r:id="rId172"/>
          <w:pgSz w:w="11906" w:h="16838"/>
          <w:pgMar w:top="1440" w:right="1440" w:bottom="1440" w:left="1440" w:header="708" w:footer="708" w:gutter="0"/>
          <w:cols w:space="708"/>
          <w:titlePg/>
          <w:docGrid w:linePitch="360"/>
        </w:sectPr>
      </w:pPr>
    </w:p>
    <w:p w14:paraId="6D469688" w14:textId="77777777" w:rsidR="001C19F3" w:rsidRDefault="001C19F3" w:rsidP="001C19F3">
      <w:pPr>
        <w:pStyle w:val="Heading1nonumber"/>
      </w:pPr>
      <w:bookmarkStart w:id="537" w:name="_Toc27058967"/>
      <w:r>
        <w:lastRenderedPageBreak/>
        <w:t>References</w:t>
      </w:r>
      <w:bookmarkEnd w:id="537"/>
    </w:p>
    <w:p w14:paraId="4809DB7D" w14:textId="77777777" w:rsidR="001C19F3" w:rsidRPr="006C20C8" w:rsidRDefault="001C19F3" w:rsidP="001C19F3">
      <w:pPr>
        <w:pStyle w:val="EndNoteBibliography"/>
        <w:spacing w:after="0"/>
      </w:pPr>
      <w:r>
        <w:fldChar w:fldCharType="begin"/>
      </w:r>
      <w:r>
        <w:instrText xml:space="preserve"> ADDIN EN.REFLIST </w:instrText>
      </w:r>
      <w:r>
        <w:fldChar w:fldCharType="separate"/>
      </w:r>
      <w:r w:rsidRPr="006C20C8">
        <w:t>Australian Association of Practice Management. (2017). Health Care Home Activity Monitoring Guide October 2017. Melbourne: AAPM.</w:t>
      </w:r>
    </w:p>
    <w:p w14:paraId="3D363389" w14:textId="77777777" w:rsidR="001C19F3" w:rsidRPr="006C20C8" w:rsidRDefault="001C19F3" w:rsidP="001C19F3">
      <w:pPr>
        <w:pStyle w:val="EndNoteBibliography"/>
        <w:spacing w:after="0"/>
      </w:pPr>
      <w:r w:rsidRPr="006C20C8">
        <w:t xml:space="preserve">Devlin, N. J., &amp; Krabbe, P. F. (2013). The development of new research methods for the valuation of EQ-5D-5L. </w:t>
      </w:r>
      <w:r w:rsidRPr="006C20C8">
        <w:rPr>
          <w:i/>
        </w:rPr>
        <w:t>Eur J Health Econ, 14 Suppl 1</w:t>
      </w:r>
      <w:r w:rsidRPr="006C20C8">
        <w:t>, S1-3. doi: 10.1007/s10198-013-0502-3</w:t>
      </w:r>
    </w:p>
    <w:p w14:paraId="6363E28A" w14:textId="77777777" w:rsidR="001C19F3" w:rsidRPr="006C20C8" w:rsidRDefault="001C19F3" w:rsidP="001C19F3">
      <w:pPr>
        <w:pStyle w:val="EndNoteBibliography"/>
        <w:spacing w:after="0"/>
      </w:pPr>
      <w:r w:rsidRPr="006C20C8">
        <w:t xml:space="preserve">Dillman, D. A., Smyth, J. D., &amp; Christian, L. M. (2014). </w:t>
      </w:r>
      <w:r w:rsidRPr="006C20C8">
        <w:rPr>
          <w:i/>
        </w:rPr>
        <w:t>Internet, Phone, Mail, and Mixed-Mode Surveys: The Tailored Design Method</w:t>
      </w:r>
      <w:r w:rsidRPr="006C20C8">
        <w:t xml:space="preserve"> (4th ed.). Hoboken, New Jersey: Wiley.</w:t>
      </w:r>
    </w:p>
    <w:p w14:paraId="09F6A4D3" w14:textId="77777777" w:rsidR="001C19F3" w:rsidRPr="006C20C8" w:rsidRDefault="001C19F3" w:rsidP="001C19F3">
      <w:pPr>
        <w:pStyle w:val="EndNoteBibliography"/>
        <w:spacing w:after="0"/>
      </w:pPr>
      <w:r w:rsidRPr="006C20C8">
        <w:t xml:space="preserve">Gibbons, C. J., Small, N., Rick, J., Burt, J., Hann, M., &amp; Bower, P. (2017). The Patient Assessment of Chronic Illness Care produces measurements along a single dimension: results from a Mokken analysis. </w:t>
      </w:r>
      <w:r w:rsidRPr="006C20C8">
        <w:rPr>
          <w:i/>
        </w:rPr>
        <w:t>Health Qual Life Outcomes, 15</w:t>
      </w:r>
      <w:r w:rsidRPr="006C20C8">
        <w:t>(1), 61. doi: 10.1186/s12955-017-0638-4</w:t>
      </w:r>
    </w:p>
    <w:p w14:paraId="561DDA37" w14:textId="77777777" w:rsidR="001C19F3" w:rsidRPr="006C20C8" w:rsidRDefault="001C19F3" w:rsidP="001C19F3">
      <w:pPr>
        <w:pStyle w:val="EndNoteBibliography"/>
        <w:spacing w:after="0"/>
      </w:pPr>
      <w:r w:rsidRPr="006C20C8">
        <w:t xml:space="preserve">Glasgow, R. E., Wagner, E. H., Schaefer, J., Mahoney, L. D., Reid, R. J., &amp; Greene, S. M. (2005). Development and Validation of the Patient Assessment of Chronic Illness Care (PACIC). </w:t>
      </w:r>
      <w:r w:rsidRPr="006C20C8">
        <w:rPr>
          <w:i/>
        </w:rPr>
        <w:t>Medical Care, 43</w:t>
      </w:r>
      <w:r w:rsidRPr="006C20C8">
        <w:t xml:space="preserve">, 436-444. </w:t>
      </w:r>
    </w:p>
    <w:p w14:paraId="52494639" w14:textId="77777777" w:rsidR="001C19F3" w:rsidRPr="006C20C8" w:rsidRDefault="001C19F3" w:rsidP="001C19F3">
      <w:pPr>
        <w:pStyle w:val="EndNoteBibliography"/>
        <w:spacing w:after="0"/>
      </w:pPr>
      <w:r w:rsidRPr="006C20C8">
        <w:t xml:space="preserve">Graf, C. L. (2008). The hospital admission risk profile: the HARP helps to determine a patient's risk of functional decline. </w:t>
      </w:r>
      <w:r w:rsidRPr="006C20C8">
        <w:rPr>
          <w:i/>
        </w:rPr>
        <w:t>Am J Nurs, 108</w:t>
      </w:r>
      <w:r w:rsidRPr="006C20C8">
        <w:t>(8), 62-71; quiz 72. doi: 10.1097/01.NAJ.0000327832.59406.26</w:t>
      </w:r>
    </w:p>
    <w:p w14:paraId="6017D52B" w14:textId="77777777" w:rsidR="001C19F3" w:rsidRPr="006C20C8" w:rsidRDefault="001C19F3" w:rsidP="001C19F3">
      <w:pPr>
        <w:pStyle w:val="EndNoteBibliography"/>
        <w:spacing w:after="0"/>
      </w:pPr>
      <w:r w:rsidRPr="006C20C8">
        <w:t xml:space="preserve">Graf, C. L. (2010). The Hospital Admission Risk Profile (HARP). </w:t>
      </w:r>
      <w:r w:rsidRPr="006C20C8">
        <w:rPr>
          <w:i/>
        </w:rPr>
        <w:t>Medsurg Nurs, 19</w:t>
      </w:r>
      <w:r w:rsidRPr="006C20C8">
        <w:t xml:space="preserve">(2), 133-134. </w:t>
      </w:r>
    </w:p>
    <w:p w14:paraId="0D59B202" w14:textId="77777777" w:rsidR="001C19F3" w:rsidRPr="006C20C8" w:rsidRDefault="001C19F3" w:rsidP="001C19F3">
      <w:pPr>
        <w:pStyle w:val="EndNoteBibliography"/>
        <w:spacing w:after="0"/>
      </w:pPr>
      <w:r w:rsidRPr="006C20C8">
        <w:t>Health Policy Analysis. (2019). Evaluation of the Health Care Homes program – Evaluation plan (Updated 2019). Canberra: Department of Health.</w:t>
      </w:r>
    </w:p>
    <w:p w14:paraId="450EB2F8" w14:textId="77777777" w:rsidR="001C19F3" w:rsidRPr="006C20C8" w:rsidRDefault="001C19F3" w:rsidP="001C19F3">
      <w:pPr>
        <w:pStyle w:val="EndNoteBibliography"/>
        <w:spacing w:after="0"/>
      </w:pPr>
      <w:r w:rsidRPr="006C20C8">
        <w:t xml:space="preserve">Herdman, M., Gudex, C., Lloyd, A., Janssen, M., Kind, P., Parkin, D., Bonsel, G., &amp; Badia, X. (2011). Development and preliminary testing of the new five-level version of EQ-5D (EQ-5D-5L). </w:t>
      </w:r>
      <w:r w:rsidRPr="006C20C8">
        <w:rPr>
          <w:i/>
        </w:rPr>
        <w:t>Qual Life Res, 20</w:t>
      </w:r>
      <w:r w:rsidRPr="006C20C8">
        <w:t>(10), 1727-1736. doi: 10.1007/s11136-011-9903-x</w:t>
      </w:r>
    </w:p>
    <w:p w14:paraId="5FF4AF6E" w14:textId="77777777" w:rsidR="001C19F3" w:rsidRPr="006C20C8" w:rsidRDefault="001C19F3" w:rsidP="001C19F3">
      <w:pPr>
        <w:pStyle w:val="EndNoteBibliography"/>
        <w:spacing w:after="0"/>
      </w:pPr>
      <w:r w:rsidRPr="006C20C8">
        <w:t xml:space="preserve">Hibbard, J. H., Mahoney, E. R., Stockard, J., &amp; Tusler, M. (2005). Development and testing of a short form of the patient activation measure. </w:t>
      </w:r>
      <w:r w:rsidRPr="006C20C8">
        <w:rPr>
          <w:i/>
        </w:rPr>
        <w:t>Health Serv Res, 40</w:t>
      </w:r>
      <w:r w:rsidRPr="006C20C8">
        <w:t>(6 Pt 1), 1918-1930. doi: 10.1111/j.1475-6773.2005.00438.x</w:t>
      </w:r>
    </w:p>
    <w:p w14:paraId="48FAF8E9" w14:textId="77777777" w:rsidR="001C19F3" w:rsidRPr="006C20C8" w:rsidRDefault="001C19F3" w:rsidP="001C19F3">
      <w:pPr>
        <w:pStyle w:val="EndNoteBibliography"/>
        <w:spacing w:after="0"/>
      </w:pPr>
      <w:r w:rsidRPr="006C20C8">
        <w:t xml:space="preserve">Khanna, S., Rolls, D. A., Boyle, J., Xie, Y., Jayasena, R., Hibbert, M., &amp; Georgeff, M. (2019). A risk stratification tool for hospitalisation in Australia using primary care data. </w:t>
      </w:r>
      <w:r w:rsidRPr="006C20C8">
        <w:rPr>
          <w:i/>
        </w:rPr>
        <w:t>Sci Rep, 9</w:t>
      </w:r>
      <w:r w:rsidRPr="006C20C8">
        <w:t>(1), 5011. doi: 10.1038/s41598-019-41383-y</w:t>
      </w:r>
    </w:p>
    <w:p w14:paraId="5F2BD656" w14:textId="77777777" w:rsidR="001C19F3" w:rsidRPr="006C20C8" w:rsidRDefault="001C19F3" w:rsidP="001C19F3">
      <w:pPr>
        <w:pStyle w:val="EndNoteBibliography"/>
        <w:spacing w:after="0"/>
      </w:pPr>
      <w:r w:rsidRPr="006C20C8">
        <w:t>NPS MedicineWise. (2018). MedicineInsight data book version 2.1. Sydney: NPS MedicineWise.</w:t>
      </w:r>
    </w:p>
    <w:p w14:paraId="2FCA9D53" w14:textId="77777777" w:rsidR="001C19F3" w:rsidRPr="006C20C8" w:rsidRDefault="001C19F3" w:rsidP="001C19F3">
      <w:pPr>
        <w:pStyle w:val="EndNoteBibliography"/>
        <w:spacing w:after="0"/>
      </w:pPr>
      <w:r w:rsidRPr="006C20C8">
        <w:t>Outcome Health. (2019). POLAR GP.</w:t>
      </w:r>
      <w:r>
        <w:t xml:space="preserve"> </w:t>
      </w:r>
      <w:r w:rsidRPr="006C20C8">
        <w:t xml:space="preserve">Retrieved 5 July 2019, from </w:t>
      </w:r>
      <w:hyperlink r:id="rId173" w:history="1">
        <w:r w:rsidRPr="006C20C8">
          <w:rPr>
            <w:rStyle w:val="Hyperlink"/>
          </w:rPr>
          <w:t>https://outcomehealth.org.au/polar.aspx</w:t>
        </w:r>
      </w:hyperlink>
    </w:p>
    <w:p w14:paraId="0B024B34" w14:textId="77777777" w:rsidR="001C19F3" w:rsidRPr="006C20C8" w:rsidRDefault="001C19F3" w:rsidP="001C19F3">
      <w:pPr>
        <w:pStyle w:val="EndNoteBibliography"/>
        <w:spacing w:after="0"/>
      </w:pPr>
      <w:r w:rsidRPr="006C20C8">
        <w:t>Pen CS. (2019). Data mapping.</w:t>
      </w:r>
      <w:r>
        <w:t xml:space="preserve"> </w:t>
      </w:r>
      <w:r w:rsidRPr="006C20C8">
        <w:t xml:space="preserve">Retrieved 5 July, 2019, from </w:t>
      </w:r>
      <w:hyperlink r:id="rId174" w:history="1">
        <w:r w:rsidRPr="006C20C8">
          <w:rPr>
            <w:rStyle w:val="Hyperlink"/>
          </w:rPr>
          <w:t>https://help.pencs.com.au/display/ADM</w:t>
        </w:r>
      </w:hyperlink>
    </w:p>
    <w:p w14:paraId="720BB964" w14:textId="77777777" w:rsidR="001C19F3" w:rsidRPr="006C20C8" w:rsidRDefault="001C19F3" w:rsidP="001C19F3">
      <w:pPr>
        <w:pStyle w:val="EndNoteBibliography"/>
        <w:spacing w:after="0"/>
      </w:pPr>
      <w:r w:rsidRPr="006C20C8">
        <w:t>Royal Australian College of General Practitioners. (2017). Standards for general practices 5th edition. Melbourne: RACGP.</w:t>
      </w:r>
    </w:p>
    <w:p w14:paraId="46D437AD" w14:textId="77777777" w:rsidR="001C19F3" w:rsidRPr="006C20C8" w:rsidRDefault="001C19F3" w:rsidP="001C19F3">
      <w:pPr>
        <w:pStyle w:val="EndNoteBibliography"/>
      </w:pPr>
      <w:r w:rsidRPr="006C20C8">
        <w:t xml:space="preserve">Schmittdiel, J., Mosen, D. M., Glasgow, R. E., Hibbard, J., Remmers, C., &amp; Bellows, J. (2008). Patient Assessment of Chronic Illness Care (PACIC) and improved patient-centered outcomes for chronic conditions. </w:t>
      </w:r>
      <w:r w:rsidRPr="006C20C8">
        <w:rPr>
          <w:i/>
        </w:rPr>
        <w:t>J Gen Intern Med, 23</w:t>
      </w:r>
      <w:r w:rsidRPr="006C20C8">
        <w:t xml:space="preserve">, 77-80. </w:t>
      </w:r>
    </w:p>
    <w:p w14:paraId="5668B58C" w14:textId="77777777" w:rsidR="001C19F3" w:rsidRPr="001C5D9E" w:rsidRDefault="001C19F3" w:rsidP="001C19F3">
      <w:r>
        <w:fldChar w:fldCharType="end"/>
      </w:r>
    </w:p>
    <w:p w14:paraId="0A09A390" w14:textId="77777777" w:rsidR="001C19F3" w:rsidRDefault="001C19F3" w:rsidP="001C19F3">
      <w:pPr>
        <w:sectPr w:rsidR="001C19F3" w:rsidSect="001C5D9E">
          <w:headerReference w:type="even" r:id="rId175"/>
          <w:headerReference w:type="default" r:id="rId176"/>
          <w:headerReference w:type="first" r:id="rId177"/>
          <w:pgSz w:w="11906" w:h="16838"/>
          <w:pgMar w:top="1440" w:right="1440" w:bottom="1440" w:left="1440" w:header="708" w:footer="708" w:gutter="0"/>
          <w:cols w:space="708"/>
          <w:titlePg/>
          <w:docGrid w:linePitch="360"/>
        </w:sectPr>
      </w:pPr>
    </w:p>
    <w:p w14:paraId="2ED48DC6" w14:textId="77777777" w:rsidR="001C19F3" w:rsidRDefault="001C19F3" w:rsidP="001C19F3">
      <w:pPr>
        <w:pStyle w:val="Appendix"/>
      </w:pPr>
      <w:bookmarkStart w:id="538" w:name="_Toc27058968"/>
      <w:r>
        <w:lastRenderedPageBreak/>
        <w:t>Appendix 1 – Practice surveys: Additional tables</w:t>
      </w:r>
      <w:bookmarkEnd w:id="538"/>
    </w:p>
    <w:p w14:paraId="2B4FC331" w14:textId="77777777" w:rsidR="001C19F3" w:rsidRDefault="001C19F3" w:rsidP="001C19F3">
      <w:pPr>
        <w:pStyle w:val="Caption1"/>
      </w:pPr>
      <w:bookmarkStart w:id="539" w:name="_Ref22638392"/>
      <w:r>
        <w:t xml:space="preserve">Table </w:t>
      </w:r>
      <w:r>
        <w:fldChar w:fldCharType="begin"/>
      </w:r>
      <w:r>
        <w:instrText>SEQ Table \* ARABIC</w:instrText>
      </w:r>
      <w:r>
        <w:fldChar w:fldCharType="separate"/>
      </w:r>
      <w:r>
        <w:rPr>
          <w:noProof/>
        </w:rPr>
        <w:t>24</w:t>
      </w:r>
      <w:r>
        <w:fldChar w:fldCharType="end"/>
      </w:r>
      <w:r>
        <w:t xml:space="preserve"> – Do GPs in the practice have formal arrangements for working with/in local hospitals, baseline</w:t>
      </w:r>
      <w:bookmarkEnd w:id="539"/>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27BE0299"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DFFF59C"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7E2E19"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6BB5969"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61F34D"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4BFA8DD" w14:textId="77777777" w:rsidR="001C19F3" w:rsidRDefault="001C19F3" w:rsidP="00521305">
            <w:pPr>
              <w:spacing w:after="0"/>
              <w:jc w:val="center"/>
            </w:pPr>
            <w:r>
              <w:rPr>
                <w:rFonts w:eastAsia="Century Gothic" w:cs="Century Gothic"/>
                <w:b/>
                <w:color w:val="FFFFFF"/>
                <w:sz w:val="18"/>
                <w:szCs w:val="18"/>
              </w:rPr>
              <w:t>Location</w:t>
            </w:r>
          </w:p>
        </w:tc>
      </w:tr>
      <w:tr w:rsidR="001C19F3" w14:paraId="0F27365B"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3F767908"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3F0DEC64"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43292EB"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33B0BFF"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48328B"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C7D08B"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B983A5E"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03E1C5"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1F91031"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AEF0889" w14:textId="77777777" w:rsidR="001C19F3" w:rsidRDefault="001C19F3" w:rsidP="00521305">
            <w:pPr>
              <w:spacing w:after="0"/>
              <w:jc w:val="center"/>
            </w:pPr>
            <w:r>
              <w:rPr>
                <w:rFonts w:eastAsia="Century Gothic" w:cs="Century Gothic"/>
                <w:b/>
                <w:color w:val="FFFFFF"/>
                <w:sz w:val="18"/>
                <w:szCs w:val="18"/>
              </w:rPr>
              <w:t>MMM 4+</w:t>
            </w:r>
          </w:p>
        </w:tc>
      </w:tr>
      <w:tr w:rsidR="001C19F3" w14:paraId="0B7F25A5"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5CF894"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B93674" w14:textId="77777777" w:rsidR="001C19F3" w:rsidRDefault="001C19F3" w:rsidP="00521305">
            <w:pPr>
              <w:spacing w:after="0"/>
              <w:ind w:left="100" w:right="100"/>
              <w:jc w:val="right"/>
            </w:pPr>
            <w:r>
              <w:rPr>
                <w:rFonts w:eastAsia="Century Gothic" w:cs="Century Gothic"/>
                <w:color w:val="000000"/>
                <w:sz w:val="18"/>
                <w:szCs w:val="18"/>
              </w:rPr>
              <w:t>21 (17.5%)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6B0788" w14:textId="77777777" w:rsidR="001C19F3" w:rsidRDefault="001C19F3" w:rsidP="00521305">
            <w:pPr>
              <w:spacing w:after="0"/>
              <w:ind w:left="100" w:right="100"/>
              <w:jc w:val="right"/>
            </w:pPr>
            <w:r>
              <w:rPr>
                <w:rFonts w:eastAsia="Century Gothic" w:cs="Century Gothic"/>
                <w:color w:val="000000"/>
                <w:sz w:val="18"/>
                <w:szCs w:val="18"/>
              </w:rPr>
              <w:t>13 (27.7%)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0CF54D" w14:textId="77777777" w:rsidR="001C19F3" w:rsidRDefault="001C19F3" w:rsidP="00521305">
            <w:pPr>
              <w:spacing w:after="0"/>
              <w:ind w:left="100" w:right="100"/>
              <w:jc w:val="right"/>
            </w:pPr>
            <w:r>
              <w:rPr>
                <w:rFonts w:eastAsia="Century Gothic" w:cs="Century Gothic"/>
                <w:color w:val="000000"/>
                <w:sz w:val="18"/>
                <w:szCs w:val="18"/>
              </w:rPr>
              <w:t>8 (11.1%)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2B5F6B" w14:textId="77777777" w:rsidR="001C19F3" w:rsidRDefault="001C19F3" w:rsidP="00521305">
            <w:pPr>
              <w:spacing w:after="0"/>
              <w:ind w:left="100" w:right="100"/>
              <w:jc w:val="right"/>
            </w:pPr>
            <w:r>
              <w:rPr>
                <w:rFonts w:eastAsia="Century Gothic" w:cs="Century Gothic"/>
                <w:color w:val="000000"/>
                <w:sz w:val="18"/>
                <w:szCs w:val="18"/>
              </w:rPr>
              <w:t>4 (23.5%)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F85A8B" w14:textId="77777777" w:rsidR="001C19F3" w:rsidRDefault="001C19F3" w:rsidP="00521305">
            <w:pPr>
              <w:spacing w:after="0"/>
              <w:ind w:left="100" w:right="100"/>
              <w:jc w:val="right"/>
            </w:pPr>
            <w:r>
              <w:rPr>
                <w:rFonts w:eastAsia="Century Gothic" w:cs="Century Gothic"/>
                <w:color w:val="000000"/>
                <w:sz w:val="18"/>
                <w:szCs w:val="18"/>
              </w:rPr>
              <w:t>3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B67C10" w14:textId="77777777" w:rsidR="001C19F3" w:rsidRDefault="001C19F3" w:rsidP="00521305">
            <w:pPr>
              <w:spacing w:after="0"/>
              <w:ind w:left="100" w:right="100"/>
              <w:jc w:val="right"/>
            </w:pPr>
            <w:r>
              <w:rPr>
                <w:rFonts w:eastAsia="Century Gothic" w:cs="Century Gothic"/>
                <w:color w:val="000000"/>
                <w:sz w:val="18"/>
                <w:szCs w:val="18"/>
              </w:rPr>
              <w:t>14 (16.1%)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22524" w14:textId="77777777" w:rsidR="001C19F3" w:rsidRDefault="001C19F3" w:rsidP="00521305">
            <w:pPr>
              <w:spacing w:after="0"/>
              <w:ind w:left="100" w:right="100"/>
              <w:jc w:val="right"/>
            </w:pPr>
            <w:r>
              <w:rPr>
                <w:rFonts w:eastAsia="Century Gothic" w:cs="Century Gothic"/>
                <w:color w:val="000000"/>
                <w:sz w:val="18"/>
                <w:szCs w:val="18"/>
              </w:rPr>
              <w:t>9 (11.0%)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1799D0" w14:textId="77777777" w:rsidR="001C19F3" w:rsidRDefault="001C19F3" w:rsidP="00521305">
            <w:pPr>
              <w:spacing w:after="0"/>
              <w:ind w:left="100" w:right="100"/>
              <w:jc w:val="right"/>
            </w:pPr>
            <w:r>
              <w:rPr>
                <w:rFonts w:eastAsia="Century Gothic" w:cs="Century Gothic"/>
                <w:color w:val="000000"/>
                <w:sz w:val="18"/>
                <w:szCs w:val="18"/>
              </w:rPr>
              <w:t>8 (42.1%)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74A231" w14:textId="77777777" w:rsidR="001C19F3" w:rsidRDefault="001C19F3" w:rsidP="00521305">
            <w:pPr>
              <w:spacing w:after="0"/>
              <w:ind w:left="100" w:right="100"/>
              <w:jc w:val="right"/>
            </w:pPr>
            <w:r>
              <w:rPr>
                <w:rFonts w:eastAsia="Century Gothic" w:cs="Century Gothic"/>
                <w:color w:val="000000"/>
                <w:sz w:val="18"/>
                <w:szCs w:val="18"/>
              </w:rPr>
              <w:t>4 (22.2%)</w:t>
            </w:r>
          </w:p>
        </w:tc>
      </w:tr>
      <w:tr w:rsidR="001C19F3" w14:paraId="44BD192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D3D787"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00C72" w14:textId="77777777" w:rsidR="001C19F3" w:rsidRDefault="001C19F3" w:rsidP="00521305">
            <w:pPr>
              <w:spacing w:after="0"/>
              <w:ind w:left="100" w:right="100"/>
              <w:jc w:val="right"/>
            </w:pPr>
            <w:r>
              <w:rPr>
                <w:rFonts w:eastAsia="Century Gothic" w:cs="Century Gothic"/>
                <w:color w:val="000000"/>
                <w:sz w:val="18"/>
                <w:szCs w:val="18"/>
              </w:rPr>
              <w:t>98 (81.7%)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EA1FF1" w14:textId="77777777" w:rsidR="001C19F3" w:rsidRDefault="001C19F3" w:rsidP="00521305">
            <w:pPr>
              <w:spacing w:after="0"/>
              <w:ind w:left="100" w:right="100"/>
              <w:jc w:val="right"/>
            </w:pPr>
            <w:r>
              <w:rPr>
                <w:rFonts w:eastAsia="Century Gothic" w:cs="Century Gothic"/>
                <w:color w:val="000000"/>
                <w:sz w:val="18"/>
                <w:szCs w:val="18"/>
              </w:rPr>
              <w:t>34 (72.3%)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D85909" w14:textId="77777777" w:rsidR="001C19F3" w:rsidRDefault="001C19F3" w:rsidP="00521305">
            <w:pPr>
              <w:spacing w:after="0"/>
              <w:ind w:left="100" w:right="100"/>
              <w:jc w:val="right"/>
            </w:pPr>
            <w:r>
              <w:rPr>
                <w:rFonts w:eastAsia="Century Gothic" w:cs="Century Gothic"/>
                <w:color w:val="000000"/>
                <w:sz w:val="18"/>
                <w:szCs w:val="18"/>
              </w:rPr>
              <w:t>64 (88.9%)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DC8B1C" w14:textId="77777777" w:rsidR="001C19F3" w:rsidRDefault="001C19F3" w:rsidP="00521305">
            <w:pPr>
              <w:spacing w:after="0"/>
              <w:ind w:left="100" w:right="100"/>
              <w:jc w:val="right"/>
            </w:pPr>
            <w:r>
              <w:rPr>
                <w:rFonts w:eastAsia="Century Gothic" w:cs="Century Gothic"/>
                <w:color w:val="000000"/>
                <w:sz w:val="18"/>
                <w:szCs w:val="18"/>
              </w:rPr>
              <w:t>13 (76.5%)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D166AC" w14:textId="77777777" w:rsidR="001C19F3" w:rsidRDefault="001C19F3" w:rsidP="00521305">
            <w:pPr>
              <w:spacing w:after="0"/>
              <w:ind w:left="100" w:right="100"/>
              <w:jc w:val="right"/>
            </w:pPr>
            <w:r>
              <w:rPr>
                <w:rFonts w:eastAsia="Century Gothic" w:cs="Century Gothic"/>
                <w:color w:val="000000"/>
                <w:sz w:val="18"/>
                <w:szCs w:val="18"/>
              </w:rPr>
              <w:t>12 (80.0%)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5CA27C" w14:textId="77777777" w:rsidR="001C19F3" w:rsidRDefault="001C19F3" w:rsidP="00521305">
            <w:pPr>
              <w:spacing w:after="0"/>
              <w:ind w:left="100" w:right="100"/>
              <w:jc w:val="right"/>
            </w:pPr>
            <w:r>
              <w:rPr>
                <w:rFonts w:eastAsia="Century Gothic" w:cs="Century Gothic"/>
                <w:color w:val="000000"/>
                <w:sz w:val="18"/>
                <w:szCs w:val="18"/>
              </w:rPr>
              <w:t>73 (83.9%)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D24C42" w14:textId="77777777" w:rsidR="001C19F3" w:rsidRDefault="001C19F3" w:rsidP="00521305">
            <w:pPr>
              <w:spacing w:after="0"/>
              <w:ind w:left="100" w:right="100"/>
              <w:jc w:val="right"/>
            </w:pPr>
            <w:r>
              <w:rPr>
                <w:rFonts w:eastAsia="Century Gothic" w:cs="Century Gothic"/>
                <w:color w:val="000000"/>
                <w:sz w:val="18"/>
                <w:szCs w:val="18"/>
              </w:rPr>
              <w:t>73 (89.0%)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C45851" w14:textId="77777777" w:rsidR="001C19F3" w:rsidRDefault="001C19F3" w:rsidP="00521305">
            <w:pPr>
              <w:spacing w:after="0"/>
              <w:ind w:left="100" w:right="100"/>
              <w:jc w:val="right"/>
            </w:pPr>
            <w:r>
              <w:rPr>
                <w:rFonts w:eastAsia="Century Gothic" w:cs="Century Gothic"/>
                <w:color w:val="000000"/>
                <w:sz w:val="18"/>
                <w:szCs w:val="18"/>
              </w:rPr>
              <w:t>11 (57.9%)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CFB2F" w14:textId="77777777" w:rsidR="001C19F3" w:rsidRDefault="001C19F3" w:rsidP="00521305">
            <w:pPr>
              <w:spacing w:after="0"/>
              <w:ind w:left="100" w:right="100"/>
              <w:jc w:val="right"/>
            </w:pPr>
            <w:r>
              <w:rPr>
                <w:rFonts w:eastAsia="Century Gothic" w:cs="Century Gothic"/>
                <w:color w:val="000000"/>
                <w:sz w:val="18"/>
                <w:szCs w:val="18"/>
              </w:rPr>
              <w:t>14 (77.8%)</w:t>
            </w:r>
          </w:p>
        </w:tc>
      </w:tr>
      <w:tr w:rsidR="001C19F3" w14:paraId="3573883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7B00A1"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D3E5F2" w14:textId="77777777" w:rsidR="001C19F3" w:rsidRDefault="001C19F3" w:rsidP="00521305">
            <w:pPr>
              <w:spacing w:after="0"/>
              <w:ind w:left="100" w:right="100"/>
              <w:jc w:val="right"/>
            </w:pPr>
            <w:r>
              <w:rPr>
                <w:rFonts w:eastAsia="Century Gothic" w:cs="Century Gothic"/>
                <w:color w:val="000000"/>
                <w:sz w:val="18"/>
                <w:szCs w:val="18"/>
              </w:rPr>
              <w:t>1 (0.8%)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295D5E"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EF9AB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0F47D5"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4378B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79EEA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43F2D"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B86D0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3B6A8D" w14:textId="77777777" w:rsidR="001C19F3" w:rsidRDefault="001C19F3" w:rsidP="00521305">
            <w:pPr>
              <w:spacing w:after="0"/>
              <w:ind w:left="100" w:right="100"/>
              <w:jc w:val="right"/>
            </w:pPr>
          </w:p>
        </w:tc>
      </w:tr>
    </w:tbl>
    <w:p w14:paraId="2C3DED37" w14:textId="77777777" w:rsidR="001C19F3" w:rsidRDefault="001C19F3" w:rsidP="001C19F3">
      <w:pPr>
        <w:pStyle w:val="Chartortablefootnote"/>
        <w:rPr>
          <w:rFonts w:cstheme="minorBidi"/>
          <w:szCs w:val="20"/>
        </w:rPr>
      </w:pPr>
      <w:r>
        <w:t>Source: Practice survey R1 Part A, Mar-Jun 2018, question 12.</w:t>
      </w:r>
    </w:p>
    <w:p w14:paraId="5EC23025" w14:textId="77777777" w:rsidR="001C19F3" w:rsidRDefault="001C19F3" w:rsidP="001C19F3">
      <w:pPr>
        <w:pStyle w:val="Caption1"/>
      </w:pPr>
      <w:bookmarkStart w:id="540" w:name="_Ref22638492"/>
      <w:r>
        <w:t xml:space="preserve">Table </w:t>
      </w:r>
      <w:r>
        <w:fldChar w:fldCharType="begin"/>
      </w:r>
      <w:r>
        <w:instrText>SEQ Table \* ARABIC</w:instrText>
      </w:r>
      <w:r>
        <w:fldChar w:fldCharType="separate"/>
      </w:r>
      <w:r>
        <w:rPr>
          <w:noProof/>
        </w:rPr>
        <w:t>25</w:t>
      </w:r>
      <w:r>
        <w:fldChar w:fldCharType="end"/>
      </w:r>
      <w:r>
        <w:t xml:space="preserve"> – Practice assessment of access to the selected health services within the local community, baseline</w:t>
      </w:r>
      <w:bookmarkEnd w:id="540"/>
    </w:p>
    <w:tbl>
      <w:tblPr>
        <w:tblW w:w="0" w:type="auto"/>
        <w:jc w:val="center"/>
        <w:tblLayout w:type="fixed"/>
        <w:tblLook w:val="04A0" w:firstRow="1" w:lastRow="0" w:firstColumn="1" w:lastColumn="0" w:noHBand="0" w:noVBand="1"/>
      </w:tblPr>
      <w:tblGrid>
        <w:gridCol w:w="3002"/>
        <w:gridCol w:w="1866"/>
        <w:gridCol w:w="1866"/>
        <w:gridCol w:w="1866"/>
        <w:gridCol w:w="1866"/>
      </w:tblGrid>
      <w:tr w:rsidR="001C19F3" w14:paraId="15D3AB5E" w14:textId="77777777" w:rsidTr="00521305">
        <w:trPr>
          <w:cantSplit/>
          <w:trHeight w:val="20"/>
          <w:tblHeader/>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ABDDB20" w14:textId="77777777" w:rsidR="001C19F3" w:rsidRDefault="001C19F3" w:rsidP="00521305">
            <w:pPr>
              <w:spacing w:after="0"/>
              <w:jc w:val="center"/>
            </w:pPr>
            <w:r>
              <w:rPr>
                <w:rFonts w:eastAsia="Century Gothic" w:cs="Century Gothic"/>
                <w:b/>
                <w:color w:val="FFFFFF"/>
                <w:sz w:val="18"/>
                <w:szCs w:val="18"/>
              </w:rPr>
              <w:t>Response</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08C32BE" w14:textId="77777777" w:rsidR="001C19F3" w:rsidRDefault="001C19F3" w:rsidP="00521305">
            <w:pPr>
              <w:spacing w:after="0"/>
              <w:jc w:val="center"/>
            </w:pPr>
            <w:r>
              <w:rPr>
                <w:rFonts w:eastAsia="Century Gothic" w:cs="Century Gothic"/>
                <w:b/>
                <w:color w:val="FFFFFF"/>
                <w:sz w:val="18"/>
                <w:szCs w:val="18"/>
              </w:rPr>
              <w:t>Usually available</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D836DE0" w14:textId="77777777" w:rsidR="001C19F3" w:rsidRDefault="001C19F3" w:rsidP="00521305">
            <w:pPr>
              <w:spacing w:after="0"/>
              <w:jc w:val="center"/>
            </w:pPr>
            <w:r>
              <w:rPr>
                <w:rFonts w:eastAsia="Century Gothic" w:cs="Century Gothic"/>
                <w:b/>
                <w:color w:val="FFFFFF"/>
                <w:sz w:val="18"/>
                <w:szCs w:val="18"/>
              </w:rPr>
              <w:t>Sometimes available</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61B15D3" w14:textId="77777777" w:rsidR="001C19F3" w:rsidRDefault="001C19F3" w:rsidP="00521305">
            <w:pPr>
              <w:spacing w:after="0"/>
              <w:jc w:val="center"/>
            </w:pPr>
            <w:r>
              <w:rPr>
                <w:rFonts w:eastAsia="Century Gothic" w:cs="Century Gothic"/>
                <w:b/>
                <w:color w:val="FFFFFF"/>
                <w:sz w:val="18"/>
                <w:szCs w:val="18"/>
              </w:rPr>
              <w:t>Not usually available</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8210543"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12DEAFAC"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61E852" w14:textId="77777777" w:rsidR="001C19F3" w:rsidRDefault="001C19F3" w:rsidP="00521305">
            <w:pPr>
              <w:spacing w:after="0"/>
              <w:ind w:left="100" w:right="100"/>
            </w:pPr>
            <w:r>
              <w:rPr>
                <w:rFonts w:eastAsia="Century Gothic" w:cs="Century Gothic"/>
                <w:color w:val="000000"/>
                <w:sz w:val="18"/>
                <w:szCs w:val="18"/>
              </w:rPr>
              <w:t>Pharmacy</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1A9450" w14:textId="77777777" w:rsidR="001C19F3" w:rsidRDefault="001C19F3" w:rsidP="00521305">
            <w:pPr>
              <w:spacing w:after="0"/>
              <w:ind w:left="100" w:right="100"/>
              <w:jc w:val="right"/>
            </w:pPr>
            <w:r>
              <w:rPr>
                <w:rFonts w:eastAsia="Century Gothic" w:cs="Century Gothic"/>
                <w:color w:val="000000"/>
                <w:sz w:val="18"/>
                <w:szCs w:val="18"/>
              </w:rPr>
              <w:t>111 (94.1%)</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B8AB15" w14:textId="77777777" w:rsidR="001C19F3" w:rsidRDefault="001C19F3" w:rsidP="00521305">
            <w:pPr>
              <w:spacing w:after="0"/>
              <w:ind w:left="100" w:right="100"/>
              <w:jc w:val="right"/>
            </w:pPr>
            <w:r>
              <w:rPr>
                <w:rFonts w:eastAsia="Century Gothic" w:cs="Century Gothic"/>
                <w:color w:val="000000"/>
                <w:sz w:val="18"/>
                <w:szCs w:val="18"/>
              </w:rPr>
              <w:t>7 (5.9%)</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8845BB" w14:textId="77777777" w:rsidR="001C19F3" w:rsidRDefault="001C19F3" w:rsidP="00521305">
            <w:pPr>
              <w:spacing w:after="0"/>
              <w:ind w:left="100" w:right="100"/>
              <w:jc w:val="right"/>
            </w:pP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E7EF93" w14:textId="77777777" w:rsidR="001C19F3" w:rsidRDefault="001C19F3" w:rsidP="00521305">
            <w:pPr>
              <w:spacing w:after="0"/>
              <w:ind w:left="100" w:right="100"/>
              <w:jc w:val="right"/>
            </w:pPr>
            <w:r>
              <w:rPr>
                <w:rFonts w:eastAsia="Century Gothic" w:cs="Century Gothic"/>
                <w:color w:val="000000"/>
                <w:sz w:val="18"/>
                <w:szCs w:val="18"/>
              </w:rPr>
              <w:t>2</w:t>
            </w:r>
          </w:p>
        </w:tc>
      </w:tr>
      <w:tr w:rsidR="001C19F3" w14:paraId="1C8FA2C6"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062817" w14:textId="77777777" w:rsidR="001C19F3" w:rsidRDefault="001C19F3" w:rsidP="00521305">
            <w:pPr>
              <w:spacing w:after="0"/>
              <w:ind w:left="100" w:right="100"/>
            </w:pPr>
            <w:r>
              <w:rPr>
                <w:rFonts w:eastAsia="Century Gothic" w:cs="Century Gothic"/>
                <w:color w:val="000000"/>
                <w:sz w:val="18"/>
                <w:szCs w:val="18"/>
              </w:rPr>
              <w:t>Physiotherapist</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3C9C38" w14:textId="77777777" w:rsidR="001C19F3" w:rsidRDefault="001C19F3" w:rsidP="00521305">
            <w:pPr>
              <w:spacing w:after="0"/>
              <w:ind w:left="100" w:right="100"/>
              <w:jc w:val="right"/>
            </w:pPr>
            <w:r>
              <w:rPr>
                <w:rFonts w:eastAsia="Century Gothic" w:cs="Century Gothic"/>
                <w:color w:val="000000"/>
                <w:sz w:val="18"/>
                <w:szCs w:val="18"/>
              </w:rPr>
              <w:t>100 (84.7%)</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21471" w14:textId="77777777" w:rsidR="001C19F3" w:rsidRDefault="001C19F3" w:rsidP="00521305">
            <w:pPr>
              <w:spacing w:after="0"/>
              <w:ind w:left="100" w:right="100"/>
              <w:jc w:val="right"/>
            </w:pPr>
            <w:r>
              <w:rPr>
                <w:rFonts w:eastAsia="Century Gothic" w:cs="Century Gothic"/>
                <w:color w:val="000000"/>
                <w:sz w:val="18"/>
                <w:szCs w:val="18"/>
              </w:rPr>
              <w:t>15 (12.7%)</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1715E3" w14:textId="77777777" w:rsidR="001C19F3" w:rsidRDefault="001C19F3" w:rsidP="00521305">
            <w:pPr>
              <w:spacing w:after="0"/>
              <w:ind w:left="100" w:right="100"/>
              <w:jc w:val="right"/>
            </w:pPr>
            <w:r>
              <w:rPr>
                <w:rFonts w:eastAsia="Century Gothic" w:cs="Century Gothic"/>
                <w:color w:val="000000"/>
                <w:sz w:val="18"/>
                <w:szCs w:val="18"/>
              </w:rPr>
              <w:t>3 (2.5%)</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AF48FB" w14:textId="77777777" w:rsidR="001C19F3" w:rsidRDefault="001C19F3" w:rsidP="00521305">
            <w:pPr>
              <w:spacing w:after="0"/>
              <w:ind w:left="100" w:right="100"/>
              <w:jc w:val="right"/>
            </w:pPr>
            <w:r>
              <w:rPr>
                <w:rFonts w:eastAsia="Century Gothic" w:cs="Century Gothic"/>
                <w:color w:val="000000"/>
                <w:sz w:val="18"/>
                <w:szCs w:val="18"/>
              </w:rPr>
              <w:t>2</w:t>
            </w:r>
          </w:p>
        </w:tc>
      </w:tr>
      <w:tr w:rsidR="001C19F3" w14:paraId="1739F78F"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43462" w14:textId="77777777" w:rsidR="001C19F3" w:rsidRDefault="001C19F3" w:rsidP="00521305">
            <w:pPr>
              <w:spacing w:after="0"/>
              <w:ind w:left="100" w:right="100"/>
            </w:pPr>
            <w:r>
              <w:rPr>
                <w:rFonts w:eastAsia="Century Gothic" w:cs="Century Gothic"/>
                <w:color w:val="000000"/>
                <w:sz w:val="18"/>
                <w:szCs w:val="18"/>
              </w:rPr>
              <w:t>Dietitian</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3A851F" w14:textId="77777777" w:rsidR="001C19F3" w:rsidRDefault="001C19F3" w:rsidP="00521305">
            <w:pPr>
              <w:spacing w:after="0"/>
              <w:ind w:left="100" w:right="100"/>
              <w:jc w:val="right"/>
            </w:pPr>
            <w:r>
              <w:rPr>
                <w:rFonts w:eastAsia="Century Gothic" w:cs="Century Gothic"/>
                <w:color w:val="000000"/>
                <w:sz w:val="18"/>
                <w:szCs w:val="18"/>
              </w:rPr>
              <w:t>94 (79.7%)</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11B0DC" w14:textId="77777777" w:rsidR="001C19F3" w:rsidRDefault="001C19F3" w:rsidP="00521305">
            <w:pPr>
              <w:spacing w:after="0"/>
              <w:ind w:left="100" w:right="100"/>
              <w:jc w:val="right"/>
            </w:pPr>
            <w:r>
              <w:rPr>
                <w:rFonts w:eastAsia="Century Gothic" w:cs="Century Gothic"/>
                <w:color w:val="000000"/>
                <w:sz w:val="18"/>
                <w:szCs w:val="18"/>
              </w:rPr>
              <w:t>19 (16.1%)</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BA9D0B" w14:textId="77777777" w:rsidR="001C19F3" w:rsidRDefault="001C19F3" w:rsidP="00521305">
            <w:pPr>
              <w:spacing w:after="0"/>
              <w:ind w:left="100" w:right="100"/>
              <w:jc w:val="right"/>
            </w:pPr>
            <w:r>
              <w:rPr>
                <w:rFonts w:eastAsia="Century Gothic" w:cs="Century Gothic"/>
                <w:color w:val="000000"/>
                <w:sz w:val="18"/>
                <w:szCs w:val="18"/>
              </w:rPr>
              <w:t>5 (4.2%)</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27A6E3" w14:textId="77777777" w:rsidR="001C19F3" w:rsidRDefault="001C19F3" w:rsidP="00521305">
            <w:pPr>
              <w:spacing w:after="0"/>
              <w:ind w:left="100" w:right="100"/>
              <w:jc w:val="right"/>
            </w:pPr>
            <w:r>
              <w:rPr>
                <w:rFonts w:eastAsia="Century Gothic" w:cs="Century Gothic"/>
                <w:color w:val="000000"/>
                <w:sz w:val="18"/>
                <w:szCs w:val="18"/>
              </w:rPr>
              <w:t>2</w:t>
            </w:r>
          </w:p>
        </w:tc>
      </w:tr>
      <w:tr w:rsidR="001C19F3" w14:paraId="67F64F1F"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DAD90E" w14:textId="77777777" w:rsidR="001C19F3" w:rsidRDefault="001C19F3" w:rsidP="00521305">
            <w:pPr>
              <w:spacing w:after="0"/>
              <w:ind w:left="100" w:right="100"/>
            </w:pPr>
            <w:r>
              <w:rPr>
                <w:rFonts w:eastAsia="Century Gothic" w:cs="Century Gothic"/>
                <w:color w:val="000000"/>
                <w:sz w:val="18"/>
                <w:szCs w:val="18"/>
              </w:rPr>
              <w:t>Psychologist</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C5B917" w14:textId="77777777" w:rsidR="001C19F3" w:rsidRDefault="001C19F3" w:rsidP="00521305">
            <w:pPr>
              <w:spacing w:after="0"/>
              <w:ind w:left="100" w:right="100"/>
              <w:jc w:val="right"/>
            </w:pPr>
            <w:r>
              <w:rPr>
                <w:rFonts w:eastAsia="Century Gothic" w:cs="Century Gothic"/>
                <w:color w:val="000000"/>
                <w:sz w:val="18"/>
                <w:szCs w:val="18"/>
              </w:rPr>
              <w:t>96 (81.4%)</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5A7A60" w14:textId="77777777" w:rsidR="001C19F3" w:rsidRDefault="001C19F3" w:rsidP="00521305">
            <w:pPr>
              <w:spacing w:after="0"/>
              <w:ind w:left="100" w:right="100"/>
              <w:jc w:val="right"/>
            </w:pPr>
            <w:r>
              <w:rPr>
                <w:rFonts w:eastAsia="Century Gothic" w:cs="Century Gothic"/>
                <w:color w:val="000000"/>
                <w:sz w:val="18"/>
                <w:szCs w:val="18"/>
              </w:rPr>
              <w:t>14 (11.9%)</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5989B" w14:textId="77777777" w:rsidR="001C19F3" w:rsidRDefault="001C19F3" w:rsidP="00521305">
            <w:pPr>
              <w:spacing w:after="0"/>
              <w:ind w:left="100" w:right="100"/>
              <w:jc w:val="right"/>
            </w:pPr>
            <w:r>
              <w:rPr>
                <w:rFonts w:eastAsia="Century Gothic" w:cs="Century Gothic"/>
                <w:color w:val="000000"/>
                <w:sz w:val="18"/>
                <w:szCs w:val="18"/>
              </w:rPr>
              <w:t>8 (6.8%)</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8C4314" w14:textId="77777777" w:rsidR="001C19F3" w:rsidRDefault="001C19F3" w:rsidP="00521305">
            <w:pPr>
              <w:spacing w:after="0"/>
              <w:ind w:left="100" w:right="100"/>
              <w:jc w:val="right"/>
            </w:pPr>
            <w:r>
              <w:rPr>
                <w:rFonts w:eastAsia="Century Gothic" w:cs="Century Gothic"/>
                <w:color w:val="000000"/>
                <w:sz w:val="18"/>
                <w:szCs w:val="18"/>
              </w:rPr>
              <w:t>2</w:t>
            </w:r>
          </w:p>
        </w:tc>
      </w:tr>
      <w:tr w:rsidR="001C19F3" w14:paraId="591F04CA"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4657F0" w14:textId="77777777" w:rsidR="001C19F3" w:rsidRDefault="001C19F3" w:rsidP="00521305">
            <w:pPr>
              <w:spacing w:after="0"/>
              <w:ind w:left="100" w:right="100"/>
            </w:pPr>
            <w:r>
              <w:rPr>
                <w:rFonts w:eastAsia="Century Gothic" w:cs="Century Gothic"/>
                <w:color w:val="000000"/>
                <w:sz w:val="18"/>
                <w:szCs w:val="18"/>
              </w:rPr>
              <w:t>Social Worker</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A87FCE" w14:textId="77777777" w:rsidR="001C19F3" w:rsidRDefault="001C19F3" w:rsidP="00521305">
            <w:pPr>
              <w:spacing w:after="0"/>
              <w:ind w:left="100" w:right="100"/>
              <w:jc w:val="right"/>
            </w:pPr>
            <w:r>
              <w:rPr>
                <w:rFonts w:eastAsia="Century Gothic" w:cs="Century Gothic"/>
                <w:color w:val="000000"/>
                <w:sz w:val="18"/>
                <w:szCs w:val="18"/>
              </w:rPr>
              <w:t>64 (55.2%)</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3BF825" w14:textId="77777777" w:rsidR="001C19F3" w:rsidRDefault="001C19F3" w:rsidP="00521305">
            <w:pPr>
              <w:spacing w:after="0"/>
              <w:ind w:left="100" w:right="100"/>
              <w:jc w:val="right"/>
            </w:pPr>
            <w:r>
              <w:rPr>
                <w:rFonts w:eastAsia="Century Gothic" w:cs="Century Gothic"/>
                <w:color w:val="000000"/>
                <w:sz w:val="18"/>
                <w:szCs w:val="18"/>
              </w:rPr>
              <w:t>33 (28.4%)</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AB9C73" w14:textId="77777777" w:rsidR="001C19F3" w:rsidRDefault="001C19F3" w:rsidP="00521305">
            <w:pPr>
              <w:spacing w:after="0"/>
              <w:ind w:left="100" w:right="100"/>
              <w:jc w:val="right"/>
            </w:pPr>
            <w:r>
              <w:rPr>
                <w:rFonts w:eastAsia="Century Gothic" w:cs="Century Gothic"/>
                <w:color w:val="000000"/>
                <w:sz w:val="18"/>
                <w:szCs w:val="18"/>
              </w:rPr>
              <w:t>19 (16.4%)</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9DCF1A" w14:textId="77777777" w:rsidR="001C19F3" w:rsidRDefault="001C19F3" w:rsidP="00521305">
            <w:pPr>
              <w:spacing w:after="0"/>
              <w:ind w:left="100" w:right="100"/>
              <w:jc w:val="right"/>
            </w:pPr>
            <w:r>
              <w:rPr>
                <w:rFonts w:eastAsia="Century Gothic" w:cs="Century Gothic"/>
                <w:color w:val="000000"/>
                <w:sz w:val="18"/>
                <w:szCs w:val="18"/>
              </w:rPr>
              <w:t>4</w:t>
            </w:r>
          </w:p>
        </w:tc>
      </w:tr>
      <w:tr w:rsidR="001C19F3" w14:paraId="6272ED56"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07AC67" w14:textId="77777777" w:rsidR="001C19F3" w:rsidRDefault="001C19F3" w:rsidP="00521305">
            <w:pPr>
              <w:spacing w:after="0"/>
              <w:ind w:left="100" w:right="100"/>
            </w:pPr>
            <w:r>
              <w:rPr>
                <w:rFonts w:eastAsia="Century Gothic" w:cs="Century Gothic"/>
                <w:color w:val="000000"/>
                <w:sz w:val="18"/>
                <w:szCs w:val="18"/>
              </w:rPr>
              <w:t>Dentist</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6D97ED" w14:textId="77777777" w:rsidR="001C19F3" w:rsidRDefault="001C19F3" w:rsidP="00521305">
            <w:pPr>
              <w:spacing w:after="0"/>
              <w:ind w:left="100" w:right="100"/>
              <w:jc w:val="right"/>
            </w:pPr>
            <w:r>
              <w:rPr>
                <w:rFonts w:eastAsia="Century Gothic" w:cs="Century Gothic"/>
                <w:color w:val="000000"/>
                <w:sz w:val="18"/>
                <w:szCs w:val="18"/>
              </w:rPr>
              <w:t>98 (83.1%)</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6A34E3" w14:textId="77777777" w:rsidR="001C19F3" w:rsidRDefault="001C19F3" w:rsidP="00521305">
            <w:pPr>
              <w:spacing w:after="0"/>
              <w:ind w:left="100" w:right="100"/>
              <w:jc w:val="right"/>
            </w:pPr>
            <w:r>
              <w:rPr>
                <w:rFonts w:eastAsia="Century Gothic" w:cs="Century Gothic"/>
                <w:color w:val="000000"/>
                <w:sz w:val="18"/>
                <w:szCs w:val="18"/>
              </w:rPr>
              <w:t>16 (13.6%)</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7BE7D9" w14:textId="77777777" w:rsidR="001C19F3" w:rsidRDefault="001C19F3" w:rsidP="00521305">
            <w:pPr>
              <w:spacing w:after="0"/>
              <w:ind w:left="100" w:right="100"/>
              <w:jc w:val="right"/>
            </w:pPr>
            <w:r>
              <w:rPr>
                <w:rFonts w:eastAsia="Century Gothic" w:cs="Century Gothic"/>
                <w:color w:val="000000"/>
                <w:sz w:val="18"/>
                <w:szCs w:val="18"/>
              </w:rPr>
              <w:t>4 (3.4%)</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7A1B37" w14:textId="77777777" w:rsidR="001C19F3" w:rsidRDefault="001C19F3" w:rsidP="00521305">
            <w:pPr>
              <w:spacing w:after="0"/>
              <w:ind w:left="100" w:right="100"/>
              <w:jc w:val="right"/>
            </w:pPr>
            <w:r>
              <w:rPr>
                <w:rFonts w:eastAsia="Century Gothic" w:cs="Century Gothic"/>
                <w:color w:val="000000"/>
                <w:sz w:val="18"/>
                <w:szCs w:val="18"/>
              </w:rPr>
              <w:t>2</w:t>
            </w:r>
          </w:p>
        </w:tc>
      </w:tr>
      <w:tr w:rsidR="001C19F3" w14:paraId="3BBD8044" w14:textId="77777777" w:rsidTr="00521305">
        <w:trPr>
          <w:cantSplit/>
          <w:trHeight w:val="20"/>
          <w:jc w:val="center"/>
        </w:trPr>
        <w:tc>
          <w:tcPr>
            <w:tcW w:w="300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07ECB5" w14:textId="77777777" w:rsidR="001C19F3" w:rsidRDefault="001C19F3" w:rsidP="00521305">
            <w:pPr>
              <w:spacing w:after="0"/>
              <w:ind w:left="100" w:right="100"/>
            </w:pPr>
            <w:r>
              <w:rPr>
                <w:rFonts w:eastAsia="Century Gothic" w:cs="Century Gothic"/>
                <w:color w:val="000000"/>
                <w:sz w:val="18"/>
                <w:szCs w:val="18"/>
              </w:rPr>
              <w:t>Optometrist</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10CE3F" w14:textId="77777777" w:rsidR="001C19F3" w:rsidRDefault="001C19F3" w:rsidP="00521305">
            <w:pPr>
              <w:spacing w:after="0"/>
              <w:ind w:left="100" w:right="100"/>
              <w:jc w:val="right"/>
            </w:pPr>
            <w:r>
              <w:rPr>
                <w:rFonts w:eastAsia="Century Gothic" w:cs="Century Gothic"/>
                <w:color w:val="000000"/>
                <w:sz w:val="18"/>
                <w:szCs w:val="18"/>
              </w:rPr>
              <w:t>94 (79.7%)</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C50F58" w14:textId="77777777" w:rsidR="001C19F3" w:rsidRDefault="001C19F3" w:rsidP="00521305">
            <w:pPr>
              <w:spacing w:after="0"/>
              <w:ind w:left="100" w:right="100"/>
              <w:jc w:val="right"/>
            </w:pPr>
            <w:r>
              <w:rPr>
                <w:rFonts w:eastAsia="Century Gothic" w:cs="Century Gothic"/>
                <w:color w:val="000000"/>
                <w:sz w:val="18"/>
                <w:szCs w:val="18"/>
              </w:rPr>
              <w:t>17 (14.4%)</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EA6F3E" w14:textId="77777777" w:rsidR="001C19F3" w:rsidRDefault="001C19F3" w:rsidP="00521305">
            <w:pPr>
              <w:spacing w:after="0"/>
              <w:ind w:left="100" w:right="100"/>
              <w:jc w:val="right"/>
            </w:pPr>
            <w:r>
              <w:rPr>
                <w:rFonts w:eastAsia="Century Gothic" w:cs="Century Gothic"/>
                <w:color w:val="000000"/>
                <w:sz w:val="18"/>
                <w:szCs w:val="18"/>
              </w:rPr>
              <w:t>7 (5.9%)</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BA9A48" w14:textId="77777777" w:rsidR="001C19F3" w:rsidRDefault="001C19F3" w:rsidP="00521305">
            <w:pPr>
              <w:spacing w:after="0"/>
              <w:ind w:left="100" w:right="100"/>
              <w:jc w:val="right"/>
            </w:pPr>
            <w:r>
              <w:rPr>
                <w:rFonts w:eastAsia="Century Gothic" w:cs="Century Gothic"/>
                <w:color w:val="000000"/>
                <w:sz w:val="18"/>
                <w:szCs w:val="18"/>
              </w:rPr>
              <w:t>2</w:t>
            </w:r>
          </w:p>
        </w:tc>
      </w:tr>
    </w:tbl>
    <w:p w14:paraId="6FEE8ECF" w14:textId="77777777" w:rsidR="001C19F3" w:rsidRDefault="001C19F3" w:rsidP="001C19F3">
      <w:pPr>
        <w:pStyle w:val="Chartortablefootnote"/>
        <w:rPr>
          <w:rFonts w:cstheme="minorBidi"/>
          <w:szCs w:val="20"/>
        </w:rPr>
      </w:pPr>
      <w:r>
        <w:t>Source: Practice survey R1 Part A, Mar-Jun 2018, question 13. (a) Sometimes available: For example, visiting services. (b) Not usually available: Patients have to travel to another town, or a large distance to access these services.</w:t>
      </w:r>
    </w:p>
    <w:p w14:paraId="2DE9A0CC" w14:textId="77777777" w:rsidR="001C19F3" w:rsidRDefault="001C19F3" w:rsidP="001C19F3">
      <w:pPr>
        <w:spacing w:after="0"/>
      </w:pPr>
    </w:p>
    <w:p w14:paraId="76CA86DA" w14:textId="77777777" w:rsidR="001C19F3" w:rsidRDefault="001C19F3" w:rsidP="001C19F3">
      <w:pPr>
        <w:spacing w:after="160" w:line="259" w:lineRule="auto"/>
        <w:rPr>
          <w:rFonts w:eastAsiaTheme="minorEastAsia" w:cstheme="minorBidi"/>
          <w:b/>
          <w:szCs w:val="24"/>
          <w:lang w:val="en-US"/>
        </w:rPr>
      </w:pPr>
      <w:r>
        <w:br w:type="page"/>
      </w:r>
    </w:p>
    <w:p w14:paraId="52A443BE" w14:textId="77777777" w:rsidR="001C19F3" w:rsidRDefault="001C19F3" w:rsidP="001C19F3">
      <w:pPr>
        <w:pStyle w:val="Caption1"/>
      </w:pPr>
      <w:bookmarkStart w:id="541" w:name="_Ref22638496"/>
      <w:r>
        <w:lastRenderedPageBreak/>
        <w:t xml:space="preserve">Table </w:t>
      </w:r>
      <w:r>
        <w:fldChar w:fldCharType="begin"/>
      </w:r>
      <w:r>
        <w:instrText>SEQ Table \* ARABIC</w:instrText>
      </w:r>
      <w:r>
        <w:fldChar w:fldCharType="separate"/>
      </w:r>
      <w:r>
        <w:rPr>
          <w:noProof/>
        </w:rPr>
        <w:t>26</w:t>
      </w:r>
      <w:r>
        <w:fldChar w:fldCharType="end"/>
      </w:r>
      <w:r>
        <w:t xml:space="preserve"> – Arrangements for patient attending the practice to access after hours general practice services, baseline</w:t>
      </w:r>
      <w:bookmarkEnd w:id="541"/>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5D5418AF"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2C7B541"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81414D"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3B2F3C6"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33EEABE"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FC03F96" w14:textId="77777777" w:rsidR="001C19F3" w:rsidRDefault="001C19F3" w:rsidP="00521305">
            <w:pPr>
              <w:spacing w:after="0"/>
              <w:jc w:val="center"/>
            </w:pPr>
            <w:r>
              <w:rPr>
                <w:rFonts w:eastAsia="Century Gothic" w:cs="Century Gothic"/>
                <w:b/>
                <w:color w:val="FFFFFF"/>
                <w:sz w:val="18"/>
                <w:szCs w:val="18"/>
              </w:rPr>
              <w:t>Location</w:t>
            </w:r>
          </w:p>
        </w:tc>
      </w:tr>
      <w:tr w:rsidR="001C19F3" w14:paraId="7269A6DF"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7E43DE71"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0CB99256"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62F9554"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A80982D"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5AB5F7"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D038060"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A60ACD4"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9D32592"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5522BD"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227831" w14:textId="77777777" w:rsidR="001C19F3" w:rsidRDefault="001C19F3" w:rsidP="00521305">
            <w:pPr>
              <w:spacing w:after="0"/>
              <w:jc w:val="center"/>
            </w:pPr>
            <w:r>
              <w:rPr>
                <w:rFonts w:eastAsia="Century Gothic" w:cs="Century Gothic"/>
                <w:b/>
                <w:color w:val="FFFFFF"/>
                <w:sz w:val="18"/>
                <w:szCs w:val="18"/>
              </w:rPr>
              <w:t>MMM 4+</w:t>
            </w:r>
          </w:p>
        </w:tc>
      </w:tr>
      <w:tr w:rsidR="001C19F3" w14:paraId="2B77C4F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33A642" w14:textId="77777777" w:rsidR="001C19F3" w:rsidRDefault="001C19F3" w:rsidP="00521305">
            <w:pPr>
              <w:spacing w:after="0"/>
              <w:ind w:left="100" w:right="100"/>
            </w:pPr>
            <w:r>
              <w:rPr>
                <w:rFonts w:eastAsia="Century Gothic" w:cs="Century Gothic"/>
                <w:color w:val="000000"/>
                <w:sz w:val="18"/>
                <w:szCs w:val="18"/>
              </w:rPr>
              <w:t>Doctor in practice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7E0586" w14:textId="77777777" w:rsidR="001C19F3" w:rsidRDefault="001C19F3" w:rsidP="00521305">
            <w:pPr>
              <w:spacing w:after="0"/>
              <w:ind w:left="100" w:right="100"/>
              <w:jc w:val="right"/>
            </w:pPr>
            <w:r>
              <w:rPr>
                <w:rFonts w:eastAsia="Century Gothic" w:cs="Century Gothic"/>
                <w:color w:val="000000"/>
                <w:sz w:val="18"/>
                <w:szCs w:val="18"/>
              </w:rPr>
              <w:t>22 (18.3%)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A6AD77" w14:textId="77777777" w:rsidR="001C19F3" w:rsidRDefault="001C19F3" w:rsidP="00521305">
            <w:pPr>
              <w:spacing w:after="0"/>
              <w:ind w:left="100" w:right="100"/>
              <w:jc w:val="right"/>
            </w:pPr>
            <w:r>
              <w:rPr>
                <w:rFonts w:eastAsia="Century Gothic" w:cs="Century Gothic"/>
                <w:color w:val="000000"/>
                <w:sz w:val="18"/>
                <w:szCs w:val="18"/>
              </w:rPr>
              <w:t>10 (22.2%)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596228" w14:textId="77777777" w:rsidR="001C19F3" w:rsidRDefault="001C19F3" w:rsidP="00521305">
            <w:pPr>
              <w:spacing w:after="0"/>
              <w:ind w:left="100" w:right="100"/>
              <w:jc w:val="right"/>
            </w:pPr>
            <w:r>
              <w:rPr>
                <w:rFonts w:eastAsia="Century Gothic" w:cs="Century Gothic"/>
                <w:color w:val="000000"/>
                <w:sz w:val="18"/>
                <w:szCs w:val="18"/>
              </w:rPr>
              <w:t>12 (17.4%)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176DA6" w14:textId="77777777" w:rsidR="001C19F3" w:rsidRDefault="001C19F3" w:rsidP="00521305">
            <w:pPr>
              <w:spacing w:after="0"/>
              <w:ind w:left="100" w:right="100"/>
              <w:jc w:val="right"/>
            </w:pPr>
            <w:r>
              <w:rPr>
                <w:rFonts w:eastAsia="Century Gothic" w:cs="Century Gothic"/>
                <w:color w:val="000000"/>
                <w:sz w:val="18"/>
                <w:szCs w:val="18"/>
              </w:rPr>
              <w:t>4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D66055" w14:textId="77777777" w:rsidR="001C19F3" w:rsidRDefault="001C19F3" w:rsidP="00521305">
            <w:pPr>
              <w:spacing w:after="0"/>
              <w:ind w:left="100" w:right="100"/>
              <w:jc w:val="right"/>
            </w:pPr>
            <w:r>
              <w:rPr>
                <w:rFonts w:eastAsia="Century Gothic" w:cs="Century Gothic"/>
                <w:color w:val="000000"/>
                <w:sz w:val="18"/>
                <w:szCs w:val="18"/>
              </w:rPr>
              <w:t>4 (26.7%)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3A6D6C" w14:textId="77777777" w:rsidR="001C19F3" w:rsidRDefault="001C19F3" w:rsidP="00521305">
            <w:pPr>
              <w:spacing w:after="0"/>
              <w:ind w:left="100" w:right="100"/>
              <w:jc w:val="right"/>
            </w:pPr>
            <w:r>
              <w:rPr>
                <w:rFonts w:eastAsia="Century Gothic" w:cs="Century Gothic"/>
                <w:color w:val="000000"/>
                <w:sz w:val="18"/>
                <w:szCs w:val="18"/>
              </w:rPr>
              <w:t>14 (16.9%)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84D28D" w14:textId="77777777" w:rsidR="001C19F3" w:rsidRDefault="001C19F3" w:rsidP="00521305">
            <w:pPr>
              <w:spacing w:after="0"/>
              <w:ind w:left="100" w:right="100"/>
              <w:jc w:val="right"/>
            </w:pPr>
            <w:r>
              <w:rPr>
                <w:rFonts w:eastAsia="Century Gothic" w:cs="Century Gothic"/>
                <w:color w:val="000000"/>
                <w:sz w:val="18"/>
                <w:szCs w:val="18"/>
              </w:rPr>
              <w:t>12 (15.2%)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8E510D" w14:textId="77777777" w:rsidR="001C19F3" w:rsidRDefault="001C19F3" w:rsidP="00521305">
            <w:pPr>
              <w:spacing w:after="0"/>
              <w:ind w:left="100" w:right="100"/>
              <w:jc w:val="right"/>
            </w:pPr>
            <w:r>
              <w:rPr>
                <w:rFonts w:eastAsia="Century Gothic" w:cs="Century Gothic"/>
                <w:color w:val="000000"/>
                <w:sz w:val="18"/>
                <w:szCs w:val="18"/>
              </w:rPr>
              <w:t>5 (29.4%)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C833CB" w14:textId="77777777" w:rsidR="001C19F3" w:rsidRDefault="001C19F3" w:rsidP="00521305">
            <w:pPr>
              <w:spacing w:after="0"/>
              <w:ind w:left="100" w:right="100"/>
              <w:jc w:val="right"/>
            </w:pPr>
            <w:r>
              <w:rPr>
                <w:rFonts w:eastAsia="Century Gothic" w:cs="Century Gothic"/>
                <w:color w:val="000000"/>
                <w:sz w:val="18"/>
                <w:szCs w:val="18"/>
              </w:rPr>
              <w:t>5 (27.8%)</w:t>
            </w:r>
          </w:p>
        </w:tc>
      </w:tr>
      <w:tr w:rsidR="001C19F3" w14:paraId="333540AC"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CB355B" w14:textId="77777777" w:rsidR="001C19F3" w:rsidRDefault="001C19F3" w:rsidP="00521305">
            <w:pPr>
              <w:spacing w:after="0"/>
              <w:ind w:left="100" w:right="100"/>
            </w:pPr>
            <w:r>
              <w:rPr>
                <w:rFonts w:eastAsia="Century Gothic" w:cs="Century Gothic"/>
                <w:color w:val="000000"/>
                <w:sz w:val="18"/>
                <w:szCs w:val="18"/>
              </w:rPr>
              <w:t>Nurse Triage + Doctor in practice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ABBCE" w14:textId="77777777" w:rsidR="001C19F3" w:rsidRDefault="001C19F3" w:rsidP="00521305">
            <w:pPr>
              <w:spacing w:after="0"/>
              <w:ind w:left="100" w:right="100"/>
              <w:jc w:val="right"/>
            </w:pPr>
            <w:r>
              <w:rPr>
                <w:rFonts w:eastAsia="Century Gothic" w:cs="Century Gothic"/>
                <w:color w:val="000000"/>
                <w:sz w:val="18"/>
                <w:szCs w:val="18"/>
              </w:rPr>
              <w:t>4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9375D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1CDF86" w14:textId="77777777" w:rsidR="001C19F3" w:rsidRDefault="001C19F3" w:rsidP="00521305">
            <w:pPr>
              <w:spacing w:after="0"/>
              <w:ind w:left="100" w:right="100"/>
              <w:jc w:val="right"/>
            </w:pPr>
            <w:r>
              <w:rPr>
                <w:rFonts w:eastAsia="Century Gothic" w:cs="Century Gothic"/>
                <w:color w:val="000000"/>
                <w:sz w:val="18"/>
                <w:szCs w:val="18"/>
              </w:rPr>
              <w:t>4 (5.8%)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B7DB6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95325" w14:textId="77777777" w:rsidR="001C19F3" w:rsidRDefault="001C19F3" w:rsidP="00521305">
            <w:pPr>
              <w:spacing w:after="0"/>
              <w:ind w:left="100" w:right="100"/>
              <w:jc w:val="right"/>
            </w:pPr>
            <w:r>
              <w:rPr>
                <w:rFonts w:eastAsia="Century Gothic" w:cs="Century Gothic"/>
                <w:color w:val="000000"/>
                <w:sz w:val="18"/>
                <w:szCs w:val="18"/>
              </w:rPr>
              <w:t>4 (26.7%)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A7598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236F6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74D16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31FBB" w14:textId="77777777" w:rsidR="001C19F3" w:rsidRDefault="001C19F3" w:rsidP="00521305">
            <w:pPr>
              <w:spacing w:after="0"/>
              <w:ind w:left="100" w:right="100"/>
              <w:jc w:val="right"/>
            </w:pPr>
            <w:r>
              <w:rPr>
                <w:rFonts w:eastAsia="Century Gothic" w:cs="Century Gothic"/>
                <w:color w:val="000000"/>
                <w:sz w:val="18"/>
                <w:szCs w:val="18"/>
              </w:rPr>
              <w:t>4 (22.2%)</w:t>
            </w:r>
          </w:p>
        </w:tc>
      </w:tr>
      <w:tr w:rsidR="001C19F3" w14:paraId="717B80C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FEC427" w14:textId="77777777" w:rsidR="001C19F3" w:rsidRDefault="001C19F3" w:rsidP="00521305">
            <w:pPr>
              <w:spacing w:after="0"/>
              <w:ind w:left="100" w:right="100"/>
            </w:pPr>
            <w:r>
              <w:rPr>
                <w:rFonts w:eastAsia="Century Gothic" w:cs="Century Gothic"/>
                <w:color w:val="000000"/>
                <w:sz w:val="18"/>
                <w:szCs w:val="18"/>
              </w:rPr>
              <w:t>Doctor in Practice + After hours service/deputising service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B7D273" w14:textId="77777777" w:rsidR="001C19F3" w:rsidRDefault="001C19F3" w:rsidP="00521305">
            <w:pPr>
              <w:spacing w:after="0"/>
              <w:ind w:left="100" w:right="100"/>
              <w:jc w:val="right"/>
            </w:pPr>
            <w:r>
              <w:rPr>
                <w:rFonts w:eastAsia="Century Gothic" w:cs="Century Gothic"/>
                <w:color w:val="000000"/>
                <w:sz w:val="18"/>
                <w:szCs w:val="18"/>
              </w:rPr>
              <w:t>6 (5.0%)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116E27" w14:textId="77777777" w:rsidR="001C19F3" w:rsidRDefault="001C19F3" w:rsidP="00521305">
            <w:pPr>
              <w:spacing w:after="0"/>
              <w:ind w:left="100" w:right="100"/>
              <w:jc w:val="right"/>
            </w:pPr>
            <w:r>
              <w:rPr>
                <w:rFonts w:eastAsia="Century Gothic" w:cs="Century Gothic"/>
                <w:color w:val="000000"/>
                <w:sz w:val="18"/>
                <w:szCs w:val="18"/>
              </w:rPr>
              <w:t>3 (6.7%)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BBA90E" w14:textId="77777777" w:rsidR="001C19F3" w:rsidRDefault="001C19F3" w:rsidP="00521305">
            <w:pPr>
              <w:spacing w:after="0"/>
              <w:ind w:left="100" w:right="100"/>
              <w:jc w:val="right"/>
            </w:pPr>
            <w:r>
              <w:rPr>
                <w:rFonts w:eastAsia="Century Gothic" w:cs="Century Gothic"/>
                <w:color w:val="000000"/>
                <w:sz w:val="18"/>
                <w:szCs w:val="18"/>
              </w:rPr>
              <w:t>3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51649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8CBAE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EB767B" w14:textId="77777777" w:rsidR="001C19F3" w:rsidRDefault="001C19F3" w:rsidP="00521305">
            <w:pPr>
              <w:spacing w:after="0"/>
              <w:ind w:left="100" w:right="100"/>
              <w:jc w:val="right"/>
            </w:pPr>
            <w:r>
              <w:rPr>
                <w:rFonts w:eastAsia="Century Gothic" w:cs="Century Gothic"/>
                <w:color w:val="000000"/>
                <w:sz w:val="18"/>
                <w:szCs w:val="18"/>
              </w:rPr>
              <w:t>6 (7.2%)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2D0D80" w14:textId="77777777" w:rsidR="001C19F3" w:rsidRDefault="001C19F3" w:rsidP="00521305">
            <w:pPr>
              <w:spacing w:after="0"/>
              <w:ind w:left="100" w:right="100"/>
              <w:jc w:val="right"/>
            </w:pPr>
            <w:r>
              <w:rPr>
                <w:rFonts w:eastAsia="Century Gothic" w:cs="Century Gothic"/>
                <w:color w:val="000000"/>
                <w:sz w:val="18"/>
                <w:szCs w:val="18"/>
              </w:rPr>
              <w:t>4 (5.1%)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6B9F8D" w14:textId="77777777" w:rsidR="001C19F3" w:rsidRDefault="001C19F3" w:rsidP="00521305">
            <w:pPr>
              <w:spacing w:after="0"/>
              <w:ind w:left="100" w:right="100"/>
              <w:jc w:val="right"/>
            </w:pPr>
            <w:r>
              <w:rPr>
                <w:rFonts w:eastAsia="Century Gothic" w:cs="Century Gothic"/>
                <w:color w:val="000000"/>
                <w:sz w:val="18"/>
                <w:szCs w:val="18"/>
              </w:rPr>
              <w:t>1 (5.9%)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4A99B" w14:textId="77777777" w:rsidR="001C19F3" w:rsidRDefault="001C19F3" w:rsidP="00521305">
            <w:pPr>
              <w:spacing w:after="0"/>
              <w:ind w:left="100" w:right="100"/>
              <w:jc w:val="right"/>
            </w:pPr>
            <w:r>
              <w:rPr>
                <w:rFonts w:eastAsia="Century Gothic" w:cs="Century Gothic"/>
                <w:color w:val="000000"/>
                <w:sz w:val="18"/>
                <w:szCs w:val="18"/>
              </w:rPr>
              <w:t>1 (5.6%)</w:t>
            </w:r>
          </w:p>
        </w:tc>
      </w:tr>
      <w:tr w:rsidR="001C19F3" w14:paraId="348A4E3B"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08AB49" w14:textId="77777777" w:rsidR="001C19F3" w:rsidRDefault="001C19F3" w:rsidP="00521305">
            <w:pPr>
              <w:spacing w:after="0"/>
              <w:ind w:left="100" w:right="100"/>
            </w:pPr>
            <w:r>
              <w:rPr>
                <w:rFonts w:eastAsia="Century Gothic" w:cs="Century Gothic"/>
                <w:color w:val="000000"/>
                <w:sz w:val="18"/>
                <w:szCs w:val="18"/>
              </w:rPr>
              <w:t>After hours service/deputising service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9FEA8F" w14:textId="77777777" w:rsidR="001C19F3" w:rsidRDefault="001C19F3" w:rsidP="00521305">
            <w:pPr>
              <w:spacing w:after="0"/>
              <w:ind w:left="100" w:right="100"/>
              <w:jc w:val="right"/>
            </w:pPr>
            <w:r>
              <w:rPr>
                <w:rFonts w:eastAsia="Century Gothic" w:cs="Century Gothic"/>
                <w:color w:val="000000"/>
                <w:sz w:val="18"/>
                <w:szCs w:val="18"/>
              </w:rPr>
              <w:t>63 (52.5%)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F63E05" w14:textId="77777777" w:rsidR="001C19F3" w:rsidRDefault="001C19F3" w:rsidP="00521305">
            <w:pPr>
              <w:spacing w:after="0"/>
              <w:ind w:left="100" w:right="100"/>
              <w:jc w:val="right"/>
            </w:pPr>
            <w:r>
              <w:rPr>
                <w:rFonts w:eastAsia="Century Gothic" w:cs="Century Gothic"/>
                <w:color w:val="000000"/>
                <w:sz w:val="18"/>
                <w:szCs w:val="18"/>
              </w:rPr>
              <w:t>25 (55.6%)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B6505B" w14:textId="77777777" w:rsidR="001C19F3" w:rsidRDefault="001C19F3" w:rsidP="00521305">
            <w:pPr>
              <w:spacing w:after="0"/>
              <w:ind w:left="100" w:right="100"/>
              <w:jc w:val="right"/>
            </w:pPr>
            <w:r>
              <w:rPr>
                <w:rFonts w:eastAsia="Century Gothic" w:cs="Century Gothic"/>
                <w:color w:val="000000"/>
                <w:sz w:val="18"/>
                <w:szCs w:val="18"/>
              </w:rPr>
              <w:t>38 (55.1%)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5ADB7" w14:textId="77777777" w:rsidR="001C19F3" w:rsidRDefault="001C19F3" w:rsidP="00521305">
            <w:pPr>
              <w:spacing w:after="0"/>
              <w:ind w:left="100" w:right="100"/>
              <w:jc w:val="right"/>
            </w:pPr>
            <w:r>
              <w:rPr>
                <w:rFonts w:eastAsia="Century Gothic" w:cs="Century Gothic"/>
                <w:color w:val="000000"/>
                <w:sz w:val="18"/>
                <w:szCs w:val="18"/>
              </w:rPr>
              <w:t>12 (75.0%)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562C95" w14:textId="77777777" w:rsidR="001C19F3" w:rsidRDefault="001C19F3" w:rsidP="00521305">
            <w:pPr>
              <w:spacing w:after="0"/>
              <w:ind w:left="100" w:right="100"/>
              <w:jc w:val="right"/>
            </w:pPr>
            <w:r>
              <w:rPr>
                <w:rFonts w:eastAsia="Century Gothic" w:cs="Century Gothic"/>
                <w:color w:val="000000"/>
                <w:sz w:val="18"/>
                <w:szCs w:val="18"/>
              </w:rPr>
              <w:t>1 (6.7%)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F92792" w14:textId="77777777" w:rsidR="001C19F3" w:rsidRDefault="001C19F3" w:rsidP="00521305">
            <w:pPr>
              <w:spacing w:after="0"/>
              <w:ind w:left="100" w:right="100"/>
              <w:jc w:val="right"/>
            </w:pPr>
            <w:r>
              <w:rPr>
                <w:rFonts w:eastAsia="Century Gothic" w:cs="Century Gothic"/>
                <w:color w:val="000000"/>
                <w:sz w:val="18"/>
                <w:szCs w:val="18"/>
              </w:rPr>
              <w:t>50 (60.2%)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6FE4E7" w14:textId="77777777" w:rsidR="001C19F3" w:rsidRDefault="001C19F3" w:rsidP="00521305">
            <w:pPr>
              <w:spacing w:after="0"/>
              <w:ind w:left="100" w:right="100"/>
              <w:jc w:val="right"/>
            </w:pPr>
            <w:r>
              <w:rPr>
                <w:rFonts w:eastAsia="Century Gothic" w:cs="Century Gothic"/>
                <w:color w:val="000000"/>
                <w:sz w:val="18"/>
                <w:szCs w:val="18"/>
              </w:rPr>
              <w:t>59 (74.7%)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AD5C17" w14:textId="77777777" w:rsidR="001C19F3" w:rsidRDefault="001C19F3" w:rsidP="00521305">
            <w:pPr>
              <w:spacing w:after="0"/>
              <w:ind w:left="100" w:right="100"/>
              <w:jc w:val="right"/>
            </w:pPr>
            <w:r>
              <w:rPr>
                <w:rFonts w:eastAsia="Century Gothic" w:cs="Century Gothic"/>
                <w:color w:val="000000"/>
                <w:sz w:val="18"/>
                <w:szCs w:val="18"/>
              </w:rPr>
              <w:t>4 (23.5%)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B2C708" w14:textId="77777777" w:rsidR="001C19F3" w:rsidRDefault="001C19F3" w:rsidP="00521305">
            <w:pPr>
              <w:spacing w:after="0"/>
              <w:ind w:left="100" w:right="100"/>
              <w:jc w:val="right"/>
            </w:pPr>
          </w:p>
        </w:tc>
      </w:tr>
      <w:tr w:rsidR="001C19F3" w14:paraId="44AFF7D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E7FC7C" w14:textId="77777777" w:rsidR="001C19F3" w:rsidRDefault="001C19F3" w:rsidP="00521305">
            <w:pPr>
              <w:spacing w:after="0"/>
              <w:ind w:left="100" w:right="100"/>
            </w:pPr>
            <w:r>
              <w:rPr>
                <w:rFonts w:eastAsia="Century Gothic" w:cs="Century Gothic"/>
                <w:color w:val="000000"/>
                <w:sz w:val="18"/>
                <w:szCs w:val="18"/>
              </w:rPr>
              <w:t>Local ED/Hospital</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CDECBA" w14:textId="77777777" w:rsidR="001C19F3" w:rsidRDefault="001C19F3" w:rsidP="00521305">
            <w:pPr>
              <w:spacing w:after="0"/>
              <w:ind w:left="100" w:right="100"/>
              <w:jc w:val="right"/>
            </w:pPr>
            <w:r>
              <w:rPr>
                <w:rFonts w:eastAsia="Century Gothic" w:cs="Century Gothic"/>
                <w:color w:val="000000"/>
                <w:sz w:val="18"/>
                <w:szCs w:val="18"/>
              </w:rPr>
              <w:t>16 (13.3%)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F6095" w14:textId="77777777" w:rsidR="001C19F3" w:rsidRDefault="001C19F3" w:rsidP="00521305">
            <w:pPr>
              <w:spacing w:after="0"/>
              <w:ind w:left="100" w:right="100"/>
              <w:jc w:val="right"/>
            </w:pPr>
            <w:r>
              <w:rPr>
                <w:rFonts w:eastAsia="Century Gothic" w:cs="Century Gothic"/>
                <w:color w:val="000000"/>
                <w:sz w:val="18"/>
                <w:szCs w:val="18"/>
              </w:rPr>
              <w:t>6 (13.3%)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28F2C5" w14:textId="77777777" w:rsidR="001C19F3" w:rsidRDefault="001C19F3" w:rsidP="00521305">
            <w:pPr>
              <w:spacing w:after="0"/>
              <w:ind w:left="100" w:right="100"/>
              <w:jc w:val="right"/>
            </w:pPr>
            <w:r>
              <w:rPr>
                <w:rFonts w:eastAsia="Century Gothic" w:cs="Century Gothic"/>
                <w:color w:val="000000"/>
                <w:sz w:val="18"/>
                <w:szCs w:val="18"/>
              </w:rPr>
              <w:t>10 (14.5%)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F643B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907647" w14:textId="77777777" w:rsidR="001C19F3" w:rsidRDefault="001C19F3" w:rsidP="00521305">
            <w:pPr>
              <w:spacing w:after="0"/>
              <w:ind w:left="100" w:right="100"/>
              <w:jc w:val="right"/>
            </w:pPr>
            <w:r>
              <w:rPr>
                <w:rFonts w:eastAsia="Century Gothic" w:cs="Century Gothic"/>
                <w:color w:val="000000"/>
                <w:sz w:val="18"/>
                <w:szCs w:val="18"/>
              </w:rPr>
              <w:t>5 (33.3%)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1687D8" w14:textId="77777777" w:rsidR="001C19F3" w:rsidRDefault="001C19F3" w:rsidP="00521305">
            <w:pPr>
              <w:spacing w:after="0"/>
              <w:ind w:left="100" w:right="100"/>
              <w:jc w:val="right"/>
            </w:pPr>
            <w:r>
              <w:rPr>
                <w:rFonts w:eastAsia="Century Gothic" w:cs="Century Gothic"/>
                <w:color w:val="000000"/>
                <w:sz w:val="18"/>
                <w:szCs w:val="18"/>
              </w:rPr>
              <w:t>11 (13.3%)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661B4C" w14:textId="77777777" w:rsidR="001C19F3" w:rsidRDefault="001C19F3" w:rsidP="00521305">
            <w:pPr>
              <w:spacing w:after="0"/>
              <w:ind w:left="100" w:right="100"/>
              <w:jc w:val="right"/>
            </w:pPr>
            <w:r>
              <w:rPr>
                <w:rFonts w:eastAsia="Century Gothic" w:cs="Century Gothic"/>
                <w:color w:val="000000"/>
                <w:sz w:val="18"/>
                <w:szCs w:val="18"/>
              </w:rPr>
              <w:t>3 (3.8%)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32046E" w14:textId="77777777" w:rsidR="001C19F3" w:rsidRDefault="001C19F3" w:rsidP="00521305">
            <w:pPr>
              <w:spacing w:after="0"/>
              <w:ind w:left="100" w:right="100"/>
              <w:jc w:val="right"/>
            </w:pPr>
            <w:r>
              <w:rPr>
                <w:rFonts w:eastAsia="Century Gothic" w:cs="Century Gothic"/>
                <w:color w:val="000000"/>
                <w:sz w:val="18"/>
                <w:szCs w:val="18"/>
              </w:rPr>
              <w:t>7 (41.2%)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E0D749" w14:textId="77777777" w:rsidR="001C19F3" w:rsidRDefault="001C19F3" w:rsidP="00521305">
            <w:pPr>
              <w:spacing w:after="0"/>
              <w:ind w:left="100" w:right="100"/>
              <w:jc w:val="right"/>
            </w:pPr>
            <w:r>
              <w:rPr>
                <w:rFonts w:eastAsia="Century Gothic" w:cs="Century Gothic"/>
                <w:color w:val="000000"/>
                <w:sz w:val="18"/>
                <w:szCs w:val="18"/>
              </w:rPr>
              <w:t>6 (33.3%)</w:t>
            </w:r>
          </w:p>
        </w:tc>
      </w:tr>
      <w:tr w:rsidR="001C19F3" w14:paraId="036BAFA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4CC27" w14:textId="77777777" w:rsidR="001C19F3" w:rsidRDefault="001C19F3" w:rsidP="00521305">
            <w:pPr>
              <w:spacing w:after="0"/>
              <w:ind w:left="100" w:right="100"/>
            </w:pPr>
            <w:r>
              <w:rPr>
                <w:rFonts w:eastAsia="Century Gothic" w:cs="Century Gothic"/>
                <w:color w:val="000000"/>
                <w:sz w:val="18"/>
                <w:szCs w:val="18"/>
              </w:rPr>
              <w:t>Other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D8B919" w14:textId="77777777" w:rsidR="001C19F3" w:rsidRDefault="001C19F3" w:rsidP="00521305">
            <w:pPr>
              <w:spacing w:after="0"/>
              <w:ind w:left="100" w:right="100"/>
              <w:jc w:val="right"/>
            </w:pPr>
            <w:r>
              <w:rPr>
                <w:rFonts w:eastAsia="Century Gothic" w:cs="Century Gothic"/>
                <w:color w:val="000000"/>
                <w:sz w:val="18"/>
                <w:szCs w:val="18"/>
              </w:rPr>
              <w:t>3 (2.5%)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41F87C" w14:textId="77777777" w:rsidR="001C19F3" w:rsidRDefault="001C19F3" w:rsidP="00521305">
            <w:pPr>
              <w:spacing w:after="0"/>
              <w:ind w:left="100" w:right="100"/>
              <w:jc w:val="right"/>
            </w:pPr>
            <w:r>
              <w:rPr>
                <w:rFonts w:eastAsia="Century Gothic" w:cs="Century Gothic"/>
                <w:color w:val="000000"/>
                <w:sz w:val="18"/>
                <w:szCs w:val="18"/>
              </w:rPr>
              <w:t>1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E65F06"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D848F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72FE45" w14:textId="77777777" w:rsidR="001C19F3" w:rsidRDefault="001C19F3" w:rsidP="00521305">
            <w:pPr>
              <w:spacing w:after="0"/>
              <w:ind w:left="100" w:right="100"/>
              <w:jc w:val="right"/>
            </w:pPr>
            <w:r>
              <w:rPr>
                <w:rFonts w:eastAsia="Century Gothic" w:cs="Century Gothic"/>
                <w:color w:val="000000"/>
                <w:sz w:val="18"/>
                <w:szCs w:val="18"/>
              </w:rPr>
              <w:t>1 (6.7%)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918A2A" w14:textId="77777777" w:rsidR="001C19F3" w:rsidRDefault="001C19F3" w:rsidP="00521305">
            <w:pPr>
              <w:spacing w:after="0"/>
              <w:ind w:left="100" w:right="100"/>
              <w:jc w:val="right"/>
            </w:pPr>
            <w:r>
              <w:rPr>
                <w:rFonts w:eastAsia="Century Gothic" w:cs="Century Gothic"/>
                <w:color w:val="000000"/>
                <w:sz w:val="18"/>
                <w:szCs w:val="18"/>
              </w:rPr>
              <w:t>2 (2.4%)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6E32B7" w14:textId="77777777" w:rsidR="001C19F3" w:rsidRDefault="001C19F3" w:rsidP="00521305">
            <w:pPr>
              <w:spacing w:after="0"/>
              <w:ind w:left="100" w:right="100"/>
              <w:jc w:val="right"/>
            </w:pPr>
            <w:r>
              <w:rPr>
                <w:rFonts w:eastAsia="Century Gothic" w:cs="Century Gothic"/>
                <w:color w:val="000000"/>
                <w:sz w:val="18"/>
                <w:szCs w:val="18"/>
              </w:rPr>
              <w:t>1 (1.3%)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9C7EE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BE5264" w14:textId="77777777" w:rsidR="001C19F3" w:rsidRDefault="001C19F3" w:rsidP="00521305">
            <w:pPr>
              <w:spacing w:after="0"/>
              <w:ind w:left="100" w:right="100"/>
              <w:jc w:val="right"/>
            </w:pPr>
            <w:r>
              <w:rPr>
                <w:rFonts w:eastAsia="Century Gothic" w:cs="Century Gothic"/>
                <w:color w:val="000000"/>
                <w:sz w:val="18"/>
                <w:szCs w:val="18"/>
              </w:rPr>
              <w:t>2 (11.1%)</w:t>
            </w:r>
          </w:p>
        </w:tc>
      </w:tr>
      <w:tr w:rsidR="001C19F3" w14:paraId="2307B3AB"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3F6886"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9AD00" w14:textId="77777777" w:rsidR="001C19F3" w:rsidRDefault="001C19F3" w:rsidP="00521305">
            <w:pPr>
              <w:spacing w:after="0"/>
              <w:ind w:left="100" w:right="100"/>
              <w:jc w:val="right"/>
            </w:pPr>
            <w:r>
              <w:rPr>
                <w:rFonts w:eastAsia="Century Gothic" w:cs="Century Gothic"/>
                <w:color w:val="000000"/>
                <w:sz w:val="18"/>
                <w:szCs w:val="18"/>
              </w:rPr>
              <w:t>6 (5.0%)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8ECE6A"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918443"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8BCA51"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DD664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AAB939" w14:textId="77777777" w:rsidR="001C19F3" w:rsidRDefault="001C19F3" w:rsidP="00521305">
            <w:pPr>
              <w:spacing w:after="0"/>
              <w:ind w:left="100" w:right="100"/>
              <w:jc w:val="right"/>
            </w:pPr>
            <w:r>
              <w:rPr>
                <w:rFonts w:eastAsia="Century Gothic" w:cs="Century Gothic"/>
                <w:color w:val="000000"/>
                <w:sz w:val="18"/>
                <w:szCs w:val="18"/>
              </w:rPr>
              <w:t>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06EFE" w14:textId="77777777" w:rsidR="001C19F3" w:rsidRDefault="001C19F3" w:rsidP="00521305">
            <w:pPr>
              <w:spacing w:after="0"/>
              <w:ind w:left="100" w:right="100"/>
              <w:jc w:val="right"/>
            </w:pPr>
            <w:r>
              <w:rPr>
                <w:rFonts w:eastAsia="Century Gothic" w:cs="Century Gothic"/>
                <w:color w:val="000000"/>
                <w:sz w:val="18"/>
                <w:szCs w:val="18"/>
              </w:rPr>
              <w:t>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FEAAFE"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F285E6" w14:textId="77777777" w:rsidR="001C19F3" w:rsidRDefault="001C19F3" w:rsidP="00521305">
            <w:pPr>
              <w:spacing w:after="0"/>
              <w:ind w:left="100" w:right="100"/>
              <w:jc w:val="right"/>
            </w:pPr>
          </w:p>
        </w:tc>
      </w:tr>
    </w:tbl>
    <w:p w14:paraId="79846097" w14:textId="77777777" w:rsidR="001C19F3" w:rsidRDefault="001C19F3" w:rsidP="001C19F3">
      <w:pPr>
        <w:pStyle w:val="Chartortablefootnote"/>
        <w:rPr>
          <w:rFonts w:cstheme="minorBidi"/>
          <w:szCs w:val="20"/>
        </w:rPr>
      </w:pPr>
      <w:r>
        <w:t>Source: Practice survey R1 Part A, Mar-Jun 2018, question 23.</w:t>
      </w:r>
    </w:p>
    <w:p w14:paraId="667A66E8" w14:textId="77777777" w:rsidR="001C19F3" w:rsidRDefault="001C19F3" w:rsidP="001C19F3">
      <w:pPr>
        <w:pStyle w:val="Caption1"/>
      </w:pPr>
      <w:bookmarkStart w:id="542" w:name="_Ref22638500"/>
      <w:r>
        <w:t xml:space="preserve">Table </w:t>
      </w:r>
      <w:r>
        <w:fldChar w:fldCharType="begin"/>
      </w:r>
      <w:r>
        <w:instrText>SEQ Table \* ARABIC</w:instrText>
      </w:r>
      <w:r>
        <w:fldChar w:fldCharType="separate"/>
      </w:r>
      <w:r>
        <w:rPr>
          <w:noProof/>
        </w:rPr>
        <w:t>27</w:t>
      </w:r>
      <w:r>
        <w:fldChar w:fldCharType="end"/>
      </w:r>
      <w:r>
        <w:t xml:space="preserve"> – How long (in days) does the patient have to wait before seeing a GP, baseline</w:t>
      </w:r>
      <w:bookmarkEnd w:id="542"/>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41985F8B"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CABB69"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C84588C"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C45F5E8"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F7C530"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6547850" w14:textId="77777777" w:rsidR="001C19F3" w:rsidRDefault="001C19F3" w:rsidP="00521305">
            <w:pPr>
              <w:spacing w:after="0"/>
              <w:jc w:val="center"/>
            </w:pPr>
            <w:r>
              <w:rPr>
                <w:rFonts w:eastAsia="Century Gothic" w:cs="Century Gothic"/>
                <w:b/>
                <w:color w:val="FFFFFF"/>
                <w:sz w:val="18"/>
                <w:szCs w:val="18"/>
              </w:rPr>
              <w:t>Location</w:t>
            </w:r>
          </w:p>
        </w:tc>
      </w:tr>
      <w:tr w:rsidR="001C19F3" w14:paraId="0D0031B3" w14:textId="77777777" w:rsidTr="00521305">
        <w:trPr>
          <w:cantSplit/>
          <w:trHeight w:val="20"/>
          <w:tblHeader/>
          <w:jc w:val="center"/>
        </w:trPr>
        <w:tc>
          <w:tcPr>
            <w:tcW w:w="13826" w:type="dxa"/>
            <w:vMerge/>
            <w:tcBorders>
              <w:top w:val="single" w:sz="8" w:space="0" w:color="BFBFBF"/>
              <w:left w:val="single" w:sz="8" w:space="0" w:color="BFBFBF"/>
              <w:bottom w:val="single" w:sz="8" w:space="0" w:color="BFBFBF"/>
              <w:right w:val="single" w:sz="8" w:space="0" w:color="BFBFBF"/>
            </w:tcBorders>
            <w:vAlign w:val="center"/>
            <w:hideMark/>
          </w:tcPr>
          <w:p w14:paraId="0D96201B"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535A5FA8"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14A48B"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BF953A5"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70AB10B"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036AD25"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C9D161F"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1666725"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08FE602"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77C654" w14:textId="77777777" w:rsidR="001C19F3" w:rsidRDefault="001C19F3" w:rsidP="00521305">
            <w:pPr>
              <w:spacing w:after="0"/>
              <w:jc w:val="center"/>
            </w:pPr>
            <w:r>
              <w:rPr>
                <w:rFonts w:eastAsia="Century Gothic" w:cs="Century Gothic"/>
                <w:b/>
                <w:color w:val="FFFFFF"/>
                <w:sz w:val="18"/>
                <w:szCs w:val="18"/>
              </w:rPr>
              <w:t>MMM 4+</w:t>
            </w:r>
          </w:p>
        </w:tc>
      </w:tr>
      <w:tr w:rsidR="001C19F3" w14:paraId="41BE4A7D" w14:textId="77777777" w:rsidTr="00521305">
        <w:trPr>
          <w:cantSplit/>
          <w:trHeight w:val="20"/>
          <w:jc w:val="center"/>
        </w:trPr>
        <w:tc>
          <w:tcPr>
            <w:tcW w:w="13826" w:type="dxa"/>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F67CF" w14:textId="77777777" w:rsidR="001C19F3" w:rsidRDefault="001C19F3" w:rsidP="00521305">
            <w:pPr>
              <w:spacing w:after="0"/>
              <w:ind w:left="100" w:right="100"/>
            </w:pPr>
            <w:r>
              <w:rPr>
                <w:rFonts w:eastAsia="Century Gothic" w:cs="Century Gothic"/>
                <w:b/>
                <w:color w:val="000000"/>
                <w:sz w:val="18"/>
                <w:szCs w:val="18"/>
              </w:rPr>
              <w:t>In an emergency</w:t>
            </w:r>
          </w:p>
        </w:tc>
      </w:tr>
      <w:tr w:rsidR="001C19F3" w14:paraId="751E668B"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C7287" w14:textId="77777777" w:rsidR="001C19F3" w:rsidRDefault="001C19F3" w:rsidP="00521305">
            <w:pPr>
              <w:spacing w:after="0"/>
              <w:ind w:left="160" w:right="100"/>
            </w:pPr>
            <w:r>
              <w:rPr>
                <w:rFonts w:eastAsia="Century Gothic" w:cs="Century Gothic"/>
                <w:color w:val="000000"/>
                <w:sz w:val="18"/>
                <w:szCs w:val="18"/>
              </w:rPr>
              <w:t>Same day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028C11" w14:textId="77777777" w:rsidR="001C19F3" w:rsidRDefault="001C19F3" w:rsidP="00521305">
            <w:pPr>
              <w:spacing w:after="0"/>
              <w:ind w:left="100" w:right="100"/>
              <w:jc w:val="right"/>
            </w:pPr>
            <w:r>
              <w:rPr>
                <w:rFonts w:eastAsia="Century Gothic" w:cs="Century Gothic"/>
                <w:color w:val="000000"/>
                <w:sz w:val="18"/>
                <w:szCs w:val="18"/>
              </w:rPr>
              <w:t>107 (89.2%)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45F03" w14:textId="77777777" w:rsidR="001C19F3" w:rsidRDefault="001C19F3" w:rsidP="00521305">
            <w:pPr>
              <w:spacing w:after="0"/>
              <w:ind w:left="100" w:right="100"/>
              <w:jc w:val="right"/>
            </w:pPr>
            <w:r>
              <w:rPr>
                <w:rFonts w:eastAsia="Century Gothic" w:cs="Century Gothic"/>
                <w:color w:val="000000"/>
                <w:sz w:val="18"/>
                <w:szCs w:val="18"/>
              </w:rPr>
              <w:t>47 (97.9%)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DD33A" w14:textId="77777777" w:rsidR="001C19F3" w:rsidRDefault="001C19F3" w:rsidP="00521305">
            <w:pPr>
              <w:spacing w:after="0"/>
              <w:ind w:left="100" w:right="100"/>
              <w:jc w:val="right"/>
            </w:pPr>
            <w:r>
              <w:rPr>
                <w:rFonts w:eastAsia="Century Gothic" w:cs="Century Gothic"/>
                <w:color w:val="000000"/>
                <w:sz w:val="18"/>
                <w:szCs w:val="18"/>
              </w:rPr>
              <w:t>60 (83.3%)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D2972" w14:textId="77777777" w:rsidR="001C19F3" w:rsidRDefault="001C19F3" w:rsidP="00521305">
            <w:pPr>
              <w:spacing w:after="0"/>
              <w:ind w:left="100" w:right="100"/>
              <w:jc w:val="right"/>
            </w:pPr>
            <w:r>
              <w:rPr>
                <w:rFonts w:eastAsia="Century Gothic" w:cs="Century Gothic"/>
                <w:color w:val="000000"/>
                <w:sz w:val="18"/>
                <w:szCs w:val="18"/>
              </w:rPr>
              <w:t>18 (100.0%)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CBB7EE" w14:textId="77777777" w:rsidR="001C19F3" w:rsidRDefault="001C19F3" w:rsidP="00521305">
            <w:pPr>
              <w:spacing w:after="0"/>
              <w:ind w:left="100" w:right="100"/>
              <w:jc w:val="right"/>
            </w:pPr>
            <w:r>
              <w:rPr>
                <w:rFonts w:eastAsia="Century Gothic" w:cs="Century Gothic"/>
                <w:color w:val="000000"/>
                <w:sz w:val="18"/>
                <w:szCs w:val="18"/>
              </w:rPr>
              <w:t>15 (100.0%)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C042B" w14:textId="77777777" w:rsidR="001C19F3" w:rsidRDefault="001C19F3" w:rsidP="00521305">
            <w:pPr>
              <w:spacing w:after="0"/>
              <w:ind w:left="100" w:right="100"/>
              <w:jc w:val="right"/>
            </w:pPr>
            <w:r>
              <w:rPr>
                <w:rFonts w:eastAsia="Century Gothic" w:cs="Century Gothic"/>
                <w:color w:val="000000"/>
                <w:sz w:val="18"/>
                <w:szCs w:val="18"/>
              </w:rPr>
              <w:t>74 (85.1%)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18D63C" w14:textId="77777777" w:rsidR="001C19F3" w:rsidRDefault="001C19F3" w:rsidP="00521305">
            <w:pPr>
              <w:spacing w:after="0"/>
              <w:ind w:left="100" w:right="100"/>
              <w:jc w:val="right"/>
            </w:pPr>
            <w:r>
              <w:rPr>
                <w:rFonts w:eastAsia="Century Gothic" w:cs="Century Gothic"/>
                <w:color w:val="000000"/>
                <w:sz w:val="18"/>
                <w:szCs w:val="18"/>
              </w:rPr>
              <w:t>73 (88.0%)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DFBC3A" w14:textId="77777777" w:rsidR="001C19F3" w:rsidRDefault="001C19F3" w:rsidP="00521305">
            <w:pPr>
              <w:spacing w:after="0"/>
              <w:ind w:left="100" w:right="100"/>
              <w:jc w:val="right"/>
            </w:pPr>
            <w:r>
              <w:rPr>
                <w:rFonts w:eastAsia="Century Gothic" w:cs="Century Gothic"/>
                <w:color w:val="000000"/>
                <w:sz w:val="18"/>
                <w:szCs w:val="18"/>
              </w:rPr>
              <w:t>16 (84.2%)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44BD48" w14:textId="77777777" w:rsidR="001C19F3" w:rsidRDefault="001C19F3" w:rsidP="00521305">
            <w:pPr>
              <w:spacing w:after="0"/>
              <w:ind w:left="100" w:right="100"/>
              <w:jc w:val="right"/>
            </w:pPr>
            <w:r>
              <w:rPr>
                <w:rFonts w:eastAsia="Century Gothic" w:cs="Century Gothic"/>
                <w:color w:val="000000"/>
                <w:sz w:val="18"/>
                <w:szCs w:val="18"/>
              </w:rPr>
              <w:t>18 (100.0%)</w:t>
            </w:r>
          </w:p>
        </w:tc>
      </w:tr>
      <w:tr w:rsidR="001C19F3" w14:paraId="4675129B"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0D836" w14:textId="77777777" w:rsidR="001C19F3" w:rsidRDefault="001C19F3" w:rsidP="00521305">
            <w:pPr>
              <w:spacing w:after="0"/>
              <w:ind w:left="160" w:right="100"/>
            </w:pPr>
            <w:r>
              <w:rPr>
                <w:rFonts w:eastAsia="Century Gothic" w:cs="Century Gothic"/>
                <w:color w:val="000000"/>
                <w:sz w:val="18"/>
                <w:szCs w:val="18"/>
              </w:rPr>
              <w:t>Around 1 day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8350E0" w14:textId="77777777" w:rsidR="001C19F3" w:rsidRDefault="001C19F3" w:rsidP="00521305">
            <w:pPr>
              <w:spacing w:after="0"/>
              <w:ind w:left="100" w:right="100"/>
              <w:jc w:val="right"/>
            </w:pPr>
            <w:r>
              <w:rPr>
                <w:rFonts w:eastAsia="Century Gothic" w:cs="Century Gothic"/>
                <w:color w:val="000000"/>
                <w:sz w:val="18"/>
                <w:szCs w:val="18"/>
              </w:rPr>
              <w:t>13 (10.8%)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C2A999" w14:textId="77777777" w:rsidR="001C19F3" w:rsidRDefault="001C19F3" w:rsidP="00521305">
            <w:pPr>
              <w:spacing w:after="0"/>
              <w:ind w:left="100" w:right="100"/>
              <w:jc w:val="right"/>
            </w:pPr>
            <w:r>
              <w:rPr>
                <w:rFonts w:eastAsia="Century Gothic" w:cs="Century Gothic"/>
                <w:color w:val="000000"/>
                <w:sz w:val="18"/>
                <w:szCs w:val="18"/>
              </w:rPr>
              <w:t>1 (2.1%)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F10EC0" w14:textId="77777777" w:rsidR="001C19F3" w:rsidRDefault="001C19F3" w:rsidP="00521305">
            <w:pPr>
              <w:spacing w:after="0"/>
              <w:ind w:left="100" w:right="100"/>
              <w:jc w:val="right"/>
            </w:pPr>
            <w:r>
              <w:rPr>
                <w:rFonts w:eastAsia="Century Gothic" w:cs="Century Gothic"/>
                <w:color w:val="000000"/>
                <w:sz w:val="18"/>
                <w:szCs w:val="18"/>
              </w:rPr>
              <w:t>12 (16.7%)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CFB01F"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A45CF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8F6969" w14:textId="77777777" w:rsidR="001C19F3" w:rsidRDefault="001C19F3" w:rsidP="00521305">
            <w:pPr>
              <w:spacing w:after="0"/>
              <w:ind w:left="100" w:right="100"/>
              <w:jc w:val="right"/>
            </w:pPr>
            <w:r>
              <w:rPr>
                <w:rFonts w:eastAsia="Century Gothic" w:cs="Century Gothic"/>
                <w:color w:val="000000"/>
                <w:sz w:val="18"/>
                <w:szCs w:val="18"/>
              </w:rPr>
              <w:t>13 (14.9%)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CBE0BF" w14:textId="77777777" w:rsidR="001C19F3" w:rsidRDefault="001C19F3" w:rsidP="00521305">
            <w:pPr>
              <w:spacing w:after="0"/>
              <w:ind w:left="100" w:right="100"/>
              <w:jc w:val="right"/>
            </w:pPr>
            <w:r>
              <w:rPr>
                <w:rFonts w:eastAsia="Century Gothic" w:cs="Century Gothic"/>
                <w:color w:val="000000"/>
                <w:sz w:val="18"/>
                <w:szCs w:val="18"/>
              </w:rPr>
              <w:t>10 (12.0%)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79E61D" w14:textId="77777777" w:rsidR="001C19F3" w:rsidRDefault="001C19F3" w:rsidP="00521305">
            <w:pPr>
              <w:spacing w:after="0"/>
              <w:ind w:left="100" w:right="100"/>
              <w:jc w:val="right"/>
            </w:pPr>
            <w:r>
              <w:rPr>
                <w:rFonts w:eastAsia="Century Gothic" w:cs="Century Gothic"/>
                <w:color w:val="000000"/>
                <w:sz w:val="18"/>
                <w:szCs w:val="18"/>
              </w:rPr>
              <w:t>3 (15.8%)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7DC17F" w14:textId="77777777" w:rsidR="001C19F3" w:rsidRDefault="001C19F3" w:rsidP="00521305">
            <w:pPr>
              <w:spacing w:after="0"/>
              <w:ind w:left="100" w:right="100"/>
              <w:jc w:val="right"/>
            </w:pPr>
          </w:p>
        </w:tc>
      </w:tr>
      <w:tr w:rsidR="001C19F3" w14:paraId="02889064" w14:textId="77777777" w:rsidTr="00521305">
        <w:trPr>
          <w:cantSplit/>
          <w:trHeight w:val="20"/>
          <w:jc w:val="center"/>
        </w:trPr>
        <w:tc>
          <w:tcPr>
            <w:tcW w:w="13826" w:type="dxa"/>
            <w:gridSpan w:val="10"/>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57ACB0" w14:textId="77777777" w:rsidR="001C19F3" w:rsidRDefault="001C19F3" w:rsidP="00521305">
            <w:pPr>
              <w:spacing w:after="0"/>
              <w:ind w:left="100" w:right="100"/>
            </w:pPr>
            <w:r>
              <w:rPr>
                <w:rFonts w:eastAsia="Century Gothic" w:cs="Century Gothic"/>
                <w:b/>
                <w:color w:val="000000"/>
                <w:sz w:val="18"/>
                <w:szCs w:val="18"/>
              </w:rPr>
              <w:t>Other appointment</w:t>
            </w:r>
          </w:p>
        </w:tc>
      </w:tr>
      <w:tr w:rsidR="001C19F3" w14:paraId="5941CF1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18057F" w14:textId="77777777" w:rsidR="001C19F3" w:rsidRDefault="001C19F3" w:rsidP="00521305">
            <w:pPr>
              <w:spacing w:after="0"/>
              <w:ind w:left="160" w:right="100"/>
            </w:pPr>
            <w:r>
              <w:rPr>
                <w:rFonts w:eastAsia="Century Gothic" w:cs="Century Gothic"/>
                <w:color w:val="000000"/>
                <w:sz w:val="18"/>
                <w:szCs w:val="18"/>
              </w:rPr>
              <w:t>Same day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97C9AE" w14:textId="77777777" w:rsidR="001C19F3" w:rsidRDefault="001C19F3" w:rsidP="00521305">
            <w:pPr>
              <w:spacing w:after="0"/>
              <w:ind w:left="100" w:right="100"/>
              <w:jc w:val="right"/>
            </w:pPr>
            <w:r>
              <w:rPr>
                <w:rFonts w:eastAsia="Century Gothic" w:cs="Century Gothic"/>
                <w:color w:val="000000"/>
                <w:sz w:val="18"/>
                <w:szCs w:val="18"/>
              </w:rPr>
              <w:t>52 (43.3%)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21024F" w14:textId="77777777" w:rsidR="001C19F3" w:rsidRDefault="001C19F3" w:rsidP="00521305">
            <w:pPr>
              <w:spacing w:after="0"/>
              <w:ind w:left="100" w:right="100"/>
              <w:jc w:val="right"/>
            </w:pPr>
            <w:r>
              <w:rPr>
                <w:rFonts w:eastAsia="Century Gothic" w:cs="Century Gothic"/>
                <w:color w:val="000000"/>
                <w:sz w:val="18"/>
                <w:szCs w:val="18"/>
              </w:rPr>
              <w:t>17 (35.4%)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627256" w14:textId="77777777" w:rsidR="001C19F3" w:rsidRDefault="001C19F3" w:rsidP="00521305">
            <w:pPr>
              <w:spacing w:after="0"/>
              <w:ind w:left="100" w:right="100"/>
              <w:jc w:val="right"/>
            </w:pPr>
            <w:r>
              <w:rPr>
                <w:rFonts w:eastAsia="Century Gothic" w:cs="Century Gothic"/>
                <w:color w:val="000000"/>
                <w:sz w:val="18"/>
                <w:szCs w:val="18"/>
              </w:rPr>
              <w:t>35 (48.6%)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C8F45B" w14:textId="77777777" w:rsidR="001C19F3" w:rsidRDefault="001C19F3" w:rsidP="00521305">
            <w:pPr>
              <w:spacing w:after="0"/>
              <w:ind w:left="100" w:right="100"/>
              <w:jc w:val="right"/>
            </w:pPr>
            <w:r>
              <w:rPr>
                <w:rFonts w:eastAsia="Century Gothic" w:cs="Century Gothic"/>
                <w:color w:val="000000"/>
                <w:sz w:val="18"/>
                <w:szCs w:val="18"/>
              </w:rPr>
              <w:t>9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5319DC" w14:textId="77777777" w:rsidR="001C19F3" w:rsidRDefault="001C19F3" w:rsidP="00521305">
            <w:pPr>
              <w:spacing w:after="0"/>
              <w:ind w:left="100" w:right="100"/>
              <w:jc w:val="right"/>
            </w:pPr>
            <w:r>
              <w:rPr>
                <w:rFonts w:eastAsia="Century Gothic" w:cs="Century Gothic"/>
                <w:color w:val="000000"/>
                <w:sz w:val="18"/>
                <w:szCs w:val="18"/>
              </w:rPr>
              <w:t>12 (80.0%)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13B563" w14:textId="77777777" w:rsidR="001C19F3" w:rsidRDefault="001C19F3" w:rsidP="00521305">
            <w:pPr>
              <w:spacing w:after="0"/>
              <w:ind w:left="100" w:right="100"/>
              <w:jc w:val="right"/>
            </w:pPr>
            <w:r>
              <w:rPr>
                <w:rFonts w:eastAsia="Century Gothic" w:cs="Century Gothic"/>
                <w:color w:val="000000"/>
                <w:sz w:val="18"/>
                <w:szCs w:val="18"/>
              </w:rPr>
              <w:t>31 (35.6%)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224DBE" w14:textId="77777777" w:rsidR="001C19F3" w:rsidRDefault="001C19F3" w:rsidP="00521305">
            <w:pPr>
              <w:spacing w:after="0"/>
              <w:ind w:left="100" w:right="100"/>
              <w:jc w:val="right"/>
            </w:pPr>
            <w:r>
              <w:rPr>
                <w:rFonts w:eastAsia="Century Gothic" w:cs="Century Gothic"/>
                <w:color w:val="000000"/>
                <w:sz w:val="18"/>
                <w:szCs w:val="18"/>
              </w:rPr>
              <w:t>36 (43.4%)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0D1D08" w14:textId="77777777" w:rsidR="001C19F3" w:rsidRDefault="001C19F3" w:rsidP="00521305">
            <w:pPr>
              <w:spacing w:after="0"/>
              <w:ind w:left="100" w:right="100"/>
              <w:jc w:val="right"/>
            </w:pPr>
            <w:r>
              <w:rPr>
                <w:rFonts w:eastAsia="Century Gothic" w:cs="Century Gothic"/>
                <w:color w:val="000000"/>
                <w:sz w:val="18"/>
                <w:szCs w:val="18"/>
              </w:rPr>
              <w:t>4 (21.1%)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1F9FC9" w14:textId="77777777" w:rsidR="001C19F3" w:rsidRDefault="001C19F3" w:rsidP="00521305">
            <w:pPr>
              <w:spacing w:after="0"/>
              <w:ind w:left="100" w:right="100"/>
              <w:jc w:val="right"/>
            </w:pPr>
            <w:r>
              <w:rPr>
                <w:rFonts w:eastAsia="Century Gothic" w:cs="Century Gothic"/>
                <w:color w:val="000000"/>
                <w:sz w:val="18"/>
                <w:szCs w:val="18"/>
              </w:rPr>
              <w:t>12 (66.7%)</w:t>
            </w:r>
          </w:p>
        </w:tc>
      </w:tr>
      <w:tr w:rsidR="001C19F3" w14:paraId="1666D314"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B3775B" w14:textId="77777777" w:rsidR="001C19F3" w:rsidRDefault="001C19F3" w:rsidP="00521305">
            <w:pPr>
              <w:spacing w:after="0"/>
              <w:ind w:left="160" w:right="100"/>
            </w:pPr>
            <w:r>
              <w:rPr>
                <w:rFonts w:eastAsia="Century Gothic" w:cs="Century Gothic"/>
                <w:color w:val="000000"/>
                <w:sz w:val="18"/>
                <w:szCs w:val="18"/>
              </w:rPr>
              <w:t>Around 1 day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F6C683" w14:textId="77777777" w:rsidR="001C19F3" w:rsidRDefault="001C19F3" w:rsidP="00521305">
            <w:pPr>
              <w:spacing w:after="0"/>
              <w:ind w:left="100" w:right="100"/>
              <w:jc w:val="right"/>
            </w:pPr>
            <w:r>
              <w:rPr>
                <w:rFonts w:eastAsia="Century Gothic" w:cs="Century Gothic"/>
                <w:color w:val="000000"/>
                <w:sz w:val="18"/>
                <w:szCs w:val="18"/>
              </w:rPr>
              <w:t>51 (42.5%)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2A4B02" w14:textId="77777777" w:rsidR="001C19F3" w:rsidRDefault="001C19F3" w:rsidP="00521305">
            <w:pPr>
              <w:spacing w:after="0"/>
              <w:ind w:left="100" w:right="100"/>
              <w:jc w:val="right"/>
            </w:pPr>
            <w:r>
              <w:rPr>
                <w:rFonts w:eastAsia="Century Gothic" w:cs="Century Gothic"/>
                <w:color w:val="000000"/>
                <w:sz w:val="18"/>
                <w:szCs w:val="18"/>
              </w:rPr>
              <w:t>26 (54.2%)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8C6724" w14:textId="77777777" w:rsidR="001C19F3" w:rsidRDefault="001C19F3" w:rsidP="00521305">
            <w:pPr>
              <w:spacing w:after="0"/>
              <w:ind w:left="100" w:right="100"/>
              <w:jc w:val="right"/>
            </w:pPr>
            <w:r>
              <w:rPr>
                <w:rFonts w:eastAsia="Century Gothic" w:cs="Century Gothic"/>
                <w:color w:val="000000"/>
                <w:sz w:val="18"/>
                <w:szCs w:val="18"/>
              </w:rPr>
              <w:t>25 (34.7%)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5D9AA1" w14:textId="77777777" w:rsidR="001C19F3" w:rsidRDefault="001C19F3" w:rsidP="00521305">
            <w:pPr>
              <w:spacing w:after="0"/>
              <w:ind w:left="100" w:right="100"/>
              <w:jc w:val="right"/>
            </w:pPr>
            <w:r>
              <w:rPr>
                <w:rFonts w:eastAsia="Century Gothic" w:cs="Century Gothic"/>
                <w:color w:val="000000"/>
                <w:sz w:val="18"/>
                <w:szCs w:val="18"/>
              </w:rPr>
              <w:t>9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02086D" w14:textId="77777777" w:rsidR="001C19F3" w:rsidRDefault="001C19F3" w:rsidP="00521305">
            <w:pPr>
              <w:spacing w:after="0"/>
              <w:ind w:left="100" w:right="100"/>
              <w:jc w:val="right"/>
            </w:pPr>
            <w:r>
              <w:rPr>
                <w:rFonts w:eastAsia="Century Gothic" w:cs="Century Gothic"/>
                <w:color w:val="000000"/>
                <w:sz w:val="18"/>
                <w:szCs w:val="18"/>
              </w:rPr>
              <w:t>2 (13.3%)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A13D6" w14:textId="77777777" w:rsidR="001C19F3" w:rsidRDefault="001C19F3" w:rsidP="00521305">
            <w:pPr>
              <w:spacing w:after="0"/>
              <w:ind w:left="100" w:right="100"/>
              <w:jc w:val="right"/>
            </w:pPr>
            <w:r>
              <w:rPr>
                <w:rFonts w:eastAsia="Century Gothic" w:cs="Century Gothic"/>
                <w:color w:val="000000"/>
                <w:sz w:val="18"/>
                <w:szCs w:val="18"/>
              </w:rPr>
              <w:t>40 (46.0%)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A7FB90" w14:textId="77777777" w:rsidR="001C19F3" w:rsidRDefault="001C19F3" w:rsidP="00521305">
            <w:pPr>
              <w:spacing w:after="0"/>
              <w:ind w:left="100" w:right="100"/>
              <w:jc w:val="right"/>
            </w:pPr>
            <w:r>
              <w:rPr>
                <w:rFonts w:eastAsia="Century Gothic" w:cs="Century Gothic"/>
                <w:color w:val="000000"/>
                <w:sz w:val="18"/>
                <w:szCs w:val="18"/>
              </w:rPr>
              <w:t>35 (42.2%)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6AC936" w14:textId="77777777" w:rsidR="001C19F3" w:rsidRDefault="001C19F3" w:rsidP="00521305">
            <w:pPr>
              <w:spacing w:after="0"/>
              <w:ind w:left="100" w:right="100"/>
              <w:jc w:val="right"/>
            </w:pPr>
            <w:r>
              <w:rPr>
                <w:rFonts w:eastAsia="Century Gothic" w:cs="Century Gothic"/>
                <w:color w:val="000000"/>
                <w:sz w:val="18"/>
                <w:szCs w:val="18"/>
              </w:rPr>
              <w:t>11 (57.9%)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5E6E0" w14:textId="77777777" w:rsidR="001C19F3" w:rsidRDefault="001C19F3" w:rsidP="00521305">
            <w:pPr>
              <w:spacing w:after="0"/>
              <w:ind w:left="100" w:right="100"/>
              <w:jc w:val="right"/>
            </w:pPr>
            <w:r>
              <w:rPr>
                <w:rFonts w:eastAsia="Century Gothic" w:cs="Century Gothic"/>
                <w:color w:val="000000"/>
                <w:sz w:val="18"/>
                <w:szCs w:val="18"/>
              </w:rPr>
              <w:t>5 (27.8%)</w:t>
            </w:r>
          </w:p>
        </w:tc>
      </w:tr>
      <w:tr w:rsidR="001C19F3" w14:paraId="02C8EE35"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C667C" w14:textId="77777777" w:rsidR="001C19F3" w:rsidRDefault="001C19F3" w:rsidP="00521305">
            <w:pPr>
              <w:spacing w:after="0"/>
              <w:ind w:left="160" w:right="100"/>
            </w:pPr>
            <w:r>
              <w:rPr>
                <w:rFonts w:eastAsia="Century Gothic" w:cs="Century Gothic"/>
                <w:color w:val="000000"/>
                <w:sz w:val="18"/>
                <w:szCs w:val="18"/>
              </w:rPr>
              <w:t>Around 2 days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B449B6" w14:textId="77777777" w:rsidR="001C19F3" w:rsidRDefault="001C19F3" w:rsidP="00521305">
            <w:pPr>
              <w:spacing w:after="0"/>
              <w:ind w:left="100" w:right="100"/>
              <w:jc w:val="right"/>
            </w:pPr>
            <w:r>
              <w:rPr>
                <w:rFonts w:eastAsia="Century Gothic" w:cs="Century Gothic"/>
                <w:color w:val="000000"/>
                <w:sz w:val="18"/>
                <w:szCs w:val="18"/>
              </w:rPr>
              <w:t>6 (5.0%)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C9A78" w14:textId="77777777" w:rsidR="001C19F3" w:rsidRDefault="001C19F3" w:rsidP="00521305">
            <w:pPr>
              <w:spacing w:after="0"/>
              <w:ind w:left="100" w:right="100"/>
              <w:jc w:val="right"/>
            </w:pPr>
            <w:r>
              <w:rPr>
                <w:rFonts w:eastAsia="Century Gothic" w:cs="Century Gothic"/>
                <w:color w:val="000000"/>
                <w:sz w:val="18"/>
                <w:szCs w:val="18"/>
              </w:rPr>
              <w:t>1 (2.1%)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EC5CA" w14:textId="77777777" w:rsidR="001C19F3" w:rsidRDefault="001C19F3" w:rsidP="00521305">
            <w:pPr>
              <w:spacing w:after="0"/>
              <w:ind w:left="100" w:right="100"/>
              <w:jc w:val="right"/>
            </w:pPr>
            <w:r>
              <w:rPr>
                <w:rFonts w:eastAsia="Century Gothic" w:cs="Century Gothic"/>
                <w:color w:val="000000"/>
                <w:sz w:val="18"/>
                <w:szCs w:val="18"/>
              </w:rPr>
              <w:t>5 (6.9%)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3681D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1FFC6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3F44F" w14:textId="77777777" w:rsidR="001C19F3" w:rsidRDefault="001C19F3" w:rsidP="00521305">
            <w:pPr>
              <w:spacing w:after="0"/>
              <w:ind w:left="100" w:right="100"/>
              <w:jc w:val="right"/>
            </w:pPr>
            <w:r>
              <w:rPr>
                <w:rFonts w:eastAsia="Century Gothic" w:cs="Century Gothic"/>
                <w:color w:val="000000"/>
                <w:sz w:val="18"/>
                <w:szCs w:val="18"/>
              </w:rPr>
              <w:t>6 (6.9%)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604734" w14:textId="77777777" w:rsidR="001C19F3" w:rsidRDefault="001C19F3" w:rsidP="00521305">
            <w:pPr>
              <w:spacing w:after="0"/>
              <w:ind w:left="100" w:right="100"/>
              <w:jc w:val="right"/>
            </w:pPr>
            <w:r>
              <w:rPr>
                <w:rFonts w:eastAsia="Century Gothic" w:cs="Century Gothic"/>
                <w:color w:val="000000"/>
                <w:sz w:val="18"/>
                <w:szCs w:val="18"/>
              </w:rPr>
              <w:t>6 (7.2%)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985AD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E12EB0" w14:textId="77777777" w:rsidR="001C19F3" w:rsidRDefault="001C19F3" w:rsidP="00521305">
            <w:pPr>
              <w:spacing w:after="0"/>
              <w:ind w:left="100" w:right="100"/>
              <w:jc w:val="right"/>
            </w:pPr>
          </w:p>
        </w:tc>
      </w:tr>
      <w:tr w:rsidR="001C19F3" w14:paraId="754A5E2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6719AE" w14:textId="77777777" w:rsidR="001C19F3" w:rsidRDefault="001C19F3" w:rsidP="00521305">
            <w:pPr>
              <w:spacing w:after="0"/>
              <w:ind w:left="160" w:right="100"/>
            </w:pPr>
            <w:r>
              <w:rPr>
                <w:rFonts w:eastAsia="Century Gothic" w:cs="Century Gothic"/>
                <w:color w:val="000000"/>
                <w:sz w:val="18"/>
                <w:szCs w:val="18"/>
              </w:rPr>
              <w:t>Other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510B6C" w14:textId="77777777" w:rsidR="001C19F3" w:rsidRDefault="001C19F3" w:rsidP="00521305">
            <w:pPr>
              <w:spacing w:after="0"/>
              <w:ind w:left="100" w:right="100"/>
              <w:jc w:val="right"/>
            </w:pPr>
            <w:r>
              <w:rPr>
                <w:rFonts w:eastAsia="Century Gothic" w:cs="Century Gothic"/>
                <w:color w:val="000000"/>
                <w:sz w:val="18"/>
                <w:szCs w:val="18"/>
              </w:rPr>
              <w:t>11 (9.2%)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2FE54F" w14:textId="77777777" w:rsidR="001C19F3" w:rsidRDefault="001C19F3" w:rsidP="00521305">
            <w:pPr>
              <w:spacing w:after="0"/>
              <w:ind w:left="100" w:right="100"/>
              <w:jc w:val="right"/>
            </w:pPr>
            <w:r>
              <w:rPr>
                <w:rFonts w:eastAsia="Century Gothic" w:cs="Century Gothic"/>
                <w:color w:val="000000"/>
                <w:sz w:val="18"/>
                <w:szCs w:val="18"/>
              </w:rPr>
              <w:t>4 (8.3%)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CCE95" w14:textId="77777777" w:rsidR="001C19F3" w:rsidRDefault="001C19F3" w:rsidP="00521305">
            <w:pPr>
              <w:spacing w:after="0"/>
              <w:ind w:left="100" w:right="100"/>
              <w:jc w:val="right"/>
            </w:pPr>
            <w:r>
              <w:rPr>
                <w:rFonts w:eastAsia="Century Gothic" w:cs="Century Gothic"/>
                <w:color w:val="000000"/>
                <w:sz w:val="18"/>
                <w:szCs w:val="18"/>
              </w:rPr>
              <w:t>7 (9.7%)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0DFD8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C3DDE3" w14:textId="77777777" w:rsidR="001C19F3" w:rsidRDefault="001C19F3" w:rsidP="00521305">
            <w:pPr>
              <w:spacing w:after="0"/>
              <w:ind w:left="100" w:right="100"/>
              <w:jc w:val="right"/>
            </w:pPr>
            <w:r>
              <w:rPr>
                <w:rFonts w:eastAsia="Century Gothic" w:cs="Century Gothic"/>
                <w:color w:val="000000"/>
                <w:sz w:val="18"/>
                <w:szCs w:val="18"/>
              </w:rPr>
              <w:t>1 (6.7%)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242FFF" w14:textId="77777777" w:rsidR="001C19F3" w:rsidRDefault="001C19F3" w:rsidP="00521305">
            <w:pPr>
              <w:spacing w:after="0"/>
              <w:ind w:left="100" w:right="100"/>
              <w:jc w:val="right"/>
            </w:pPr>
            <w:r>
              <w:rPr>
                <w:rFonts w:eastAsia="Century Gothic" w:cs="Century Gothic"/>
                <w:color w:val="000000"/>
                <w:sz w:val="18"/>
                <w:szCs w:val="18"/>
              </w:rPr>
              <w:t>10 (11.5%)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521E01" w14:textId="77777777" w:rsidR="001C19F3" w:rsidRDefault="001C19F3" w:rsidP="00521305">
            <w:pPr>
              <w:spacing w:after="0"/>
              <w:ind w:left="100" w:right="100"/>
              <w:jc w:val="right"/>
            </w:pPr>
            <w:r>
              <w:rPr>
                <w:rFonts w:eastAsia="Century Gothic" w:cs="Century Gothic"/>
                <w:color w:val="000000"/>
                <w:sz w:val="18"/>
                <w:szCs w:val="18"/>
              </w:rPr>
              <w:t>6 (7.2%)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55FA6E" w14:textId="77777777" w:rsidR="001C19F3" w:rsidRDefault="001C19F3" w:rsidP="00521305">
            <w:pPr>
              <w:spacing w:after="0"/>
              <w:ind w:left="100" w:right="100"/>
              <w:jc w:val="right"/>
            </w:pPr>
            <w:r>
              <w:rPr>
                <w:rFonts w:eastAsia="Century Gothic" w:cs="Century Gothic"/>
                <w:color w:val="000000"/>
                <w:sz w:val="18"/>
                <w:szCs w:val="18"/>
              </w:rPr>
              <w:t>4 (21.1%)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7547A4" w14:textId="77777777" w:rsidR="001C19F3" w:rsidRDefault="001C19F3" w:rsidP="00521305">
            <w:pPr>
              <w:spacing w:after="0"/>
              <w:ind w:left="100" w:right="100"/>
              <w:jc w:val="right"/>
            </w:pPr>
            <w:r>
              <w:rPr>
                <w:rFonts w:eastAsia="Century Gothic" w:cs="Century Gothic"/>
                <w:color w:val="000000"/>
                <w:sz w:val="18"/>
                <w:szCs w:val="18"/>
              </w:rPr>
              <w:t>1 (5.6%)</w:t>
            </w:r>
          </w:p>
        </w:tc>
      </w:tr>
    </w:tbl>
    <w:p w14:paraId="410BF170" w14:textId="77777777" w:rsidR="001C19F3" w:rsidRDefault="001C19F3" w:rsidP="001C19F3">
      <w:pPr>
        <w:pStyle w:val="Chartortablefootnote"/>
        <w:rPr>
          <w:rFonts w:cstheme="minorBidi"/>
          <w:szCs w:val="20"/>
        </w:rPr>
      </w:pPr>
      <w:r>
        <w:t>Source: Practice survey R1 Part A, Mar-Jun 2018, question 24.</w:t>
      </w:r>
    </w:p>
    <w:p w14:paraId="0D6C1DA6" w14:textId="77777777" w:rsidR="001C19F3" w:rsidRDefault="001C19F3" w:rsidP="001C19F3">
      <w:pPr>
        <w:spacing w:after="160" w:line="259" w:lineRule="auto"/>
        <w:rPr>
          <w:rFonts w:eastAsiaTheme="minorEastAsia" w:cstheme="minorBidi"/>
          <w:b/>
          <w:szCs w:val="24"/>
          <w:lang w:val="en-US"/>
        </w:rPr>
      </w:pPr>
      <w:r>
        <w:br w:type="page"/>
      </w:r>
    </w:p>
    <w:p w14:paraId="07BA2720" w14:textId="77777777" w:rsidR="001C19F3" w:rsidRDefault="001C19F3" w:rsidP="001C19F3">
      <w:pPr>
        <w:pStyle w:val="Caption1"/>
      </w:pPr>
      <w:bookmarkStart w:id="543" w:name="_Ref22638502"/>
      <w:r>
        <w:lastRenderedPageBreak/>
        <w:t xml:space="preserve">Table </w:t>
      </w:r>
      <w:r>
        <w:fldChar w:fldCharType="begin"/>
      </w:r>
      <w:r>
        <w:instrText>SEQ Table \* ARABIC</w:instrText>
      </w:r>
      <w:r>
        <w:fldChar w:fldCharType="separate"/>
      </w:r>
      <w:r>
        <w:rPr>
          <w:noProof/>
        </w:rPr>
        <w:t>28</w:t>
      </w:r>
      <w:r>
        <w:fldChar w:fldCharType="end"/>
      </w:r>
      <w:r>
        <w:t xml:space="preserve"> – Option available for patients to interact with practice/GP, baseline</w:t>
      </w:r>
      <w:bookmarkEnd w:id="543"/>
    </w:p>
    <w:tbl>
      <w:tblPr>
        <w:tblW w:w="0" w:type="auto"/>
        <w:jc w:val="center"/>
        <w:tblLayout w:type="fixed"/>
        <w:tblLook w:val="04A0" w:firstRow="1" w:lastRow="0" w:firstColumn="1" w:lastColumn="0" w:noHBand="0" w:noVBand="1"/>
      </w:tblPr>
      <w:tblGrid>
        <w:gridCol w:w="5460"/>
        <w:gridCol w:w="1382"/>
        <w:gridCol w:w="138"/>
        <w:gridCol w:w="5460"/>
        <w:gridCol w:w="1382"/>
      </w:tblGrid>
      <w:tr w:rsidR="001C19F3" w14:paraId="241C4060" w14:textId="77777777" w:rsidTr="00521305">
        <w:trPr>
          <w:cantSplit/>
          <w:trHeight w:val="336"/>
          <w:tblHeader/>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7BBB7D"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4D45B1E" w14:textId="77777777" w:rsidR="001C19F3" w:rsidRDefault="001C19F3" w:rsidP="00521305">
            <w:pPr>
              <w:spacing w:after="0"/>
              <w:jc w:val="center"/>
            </w:pPr>
            <w:r>
              <w:rPr>
                <w:rFonts w:eastAsia="Century Gothic" w:cs="Century Gothic"/>
                <w:b/>
                <w:color w:val="FFFFFF"/>
                <w:sz w:val="18"/>
                <w:szCs w:val="18"/>
              </w:rPr>
              <w:t>n (%)</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hideMark/>
          </w:tcPr>
          <w:p w14:paraId="01B843ED" w14:textId="77777777" w:rsidR="001C19F3" w:rsidRDefault="001C19F3" w:rsidP="00521305">
            <w:pPr>
              <w:spacing w:after="0"/>
              <w:jc w:val="center"/>
            </w:pPr>
            <w:r>
              <w:rPr>
                <w:rFonts w:eastAsia="Century Gothic" w:cs="Century Gothic"/>
                <w:b/>
                <w:color w:val="FFFFFF"/>
                <w:sz w:val="18"/>
                <w:szCs w:val="18"/>
              </w:rPr>
              <w:t xml:space="preserve"> </w:t>
            </w:r>
          </w:p>
        </w:tc>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128D27"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BDD18A" w14:textId="77777777" w:rsidR="001C19F3" w:rsidRDefault="001C19F3" w:rsidP="00521305">
            <w:pPr>
              <w:spacing w:after="0"/>
              <w:jc w:val="center"/>
            </w:pPr>
            <w:r>
              <w:rPr>
                <w:rFonts w:eastAsia="Century Gothic" w:cs="Century Gothic"/>
                <w:b/>
                <w:color w:val="FFFFFF"/>
                <w:sz w:val="18"/>
                <w:szCs w:val="18"/>
              </w:rPr>
              <w:t>n (%)</w:t>
            </w:r>
          </w:p>
        </w:tc>
      </w:tr>
      <w:tr w:rsidR="001C19F3" w14:paraId="71AD9239" w14:textId="77777777" w:rsidTr="00521305">
        <w:trPr>
          <w:cantSplit/>
          <w:trHeight w:val="227"/>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DE60EA" w14:textId="77777777" w:rsidR="001C19F3" w:rsidRDefault="001C19F3" w:rsidP="00521305">
            <w:pPr>
              <w:spacing w:after="0"/>
              <w:ind w:left="100" w:right="100"/>
            </w:pPr>
            <w:r>
              <w:rPr>
                <w:rFonts w:eastAsia="Century Gothic" w:cs="Century Gothic"/>
                <w:color w:val="000000"/>
                <w:sz w:val="18"/>
                <w:szCs w:val="18"/>
              </w:rPr>
              <w:t>Contact a doctor or nurse by telephone during the practice/ service's hours of operation?</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8DA21" w14:textId="77777777" w:rsidR="001C19F3" w:rsidRDefault="001C19F3" w:rsidP="00521305">
            <w:pPr>
              <w:spacing w:after="0"/>
              <w:ind w:left="100" w:right="100"/>
              <w:jc w:val="right"/>
            </w:pPr>
            <w:r>
              <w:rPr>
                <w:rFonts w:eastAsia="Century Gothic" w:cs="Century Gothic"/>
                <w:color w:val="000000"/>
                <w:sz w:val="18"/>
                <w:szCs w:val="18"/>
              </w:rPr>
              <w:t>102 (85.0%)</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50151E32"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3447E5" w14:textId="77777777" w:rsidR="001C19F3" w:rsidRDefault="001C19F3" w:rsidP="00521305">
            <w:pPr>
              <w:spacing w:after="0"/>
              <w:ind w:left="100" w:right="100"/>
            </w:pPr>
            <w:r>
              <w:rPr>
                <w:rFonts w:eastAsia="Century Gothic" w:cs="Century Gothic"/>
                <w:color w:val="000000"/>
                <w:sz w:val="18"/>
                <w:szCs w:val="18"/>
              </w:rPr>
              <w:t>Review letters from specialists/ hospital discharge summarised on a patient portal?</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B6ECF7" w14:textId="77777777" w:rsidR="001C19F3" w:rsidRDefault="001C19F3" w:rsidP="00521305">
            <w:pPr>
              <w:spacing w:after="0"/>
              <w:ind w:left="100" w:right="100"/>
              <w:jc w:val="right"/>
            </w:pPr>
            <w:r>
              <w:rPr>
                <w:rFonts w:eastAsia="Century Gothic" w:cs="Century Gothic"/>
                <w:color w:val="000000"/>
                <w:sz w:val="18"/>
                <w:szCs w:val="18"/>
              </w:rPr>
              <w:t>11 (9.2%)</w:t>
            </w:r>
          </w:p>
        </w:tc>
      </w:tr>
      <w:tr w:rsidR="001C19F3" w14:paraId="3202EC26" w14:textId="77777777" w:rsidTr="00521305">
        <w:trPr>
          <w:cantSplit/>
          <w:trHeight w:val="227"/>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F9463" w14:textId="77777777" w:rsidR="001C19F3" w:rsidRDefault="001C19F3" w:rsidP="00521305">
            <w:pPr>
              <w:spacing w:after="0"/>
              <w:ind w:left="100" w:right="100"/>
            </w:pPr>
            <w:r>
              <w:rPr>
                <w:rFonts w:eastAsia="Century Gothic" w:cs="Century Gothic"/>
                <w:color w:val="000000"/>
                <w:sz w:val="18"/>
                <w:szCs w:val="18"/>
              </w:rPr>
              <w:t>Request appointments online?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7C6138" w14:textId="77777777" w:rsidR="001C19F3" w:rsidRDefault="001C19F3" w:rsidP="00521305">
            <w:pPr>
              <w:spacing w:after="0"/>
              <w:ind w:left="100" w:right="100"/>
              <w:jc w:val="right"/>
            </w:pPr>
            <w:r>
              <w:rPr>
                <w:rFonts w:eastAsia="Century Gothic" w:cs="Century Gothic"/>
                <w:color w:val="000000"/>
                <w:sz w:val="18"/>
                <w:szCs w:val="18"/>
              </w:rPr>
              <w:t>85 (70.8%)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56AA9794"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85FAE1" w14:textId="77777777" w:rsidR="001C19F3" w:rsidRDefault="001C19F3" w:rsidP="00521305">
            <w:pPr>
              <w:spacing w:after="0"/>
              <w:ind w:left="100" w:right="100"/>
            </w:pPr>
            <w:r>
              <w:rPr>
                <w:rFonts w:eastAsia="Century Gothic" w:cs="Century Gothic"/>
                <w:color w:val="000000"/>
                <w:sz w:val="18"/>
                <w:szCs w:val="18"/>
              </w:rPr>
              <w:t>View test results on a patient portal?</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F67C14" w14:textId="77777777" w:rsidR="001C19F3" w:rsidRDefault="001C19F3" w:rsidP="00521305">
            <w:pPr>
              <w:spacing w:after="0"/>
              <w:ind w:left="100" w:right="100"/>
              <w:jc w:val="right"/>
            </w:pPr>
            <w:r>
              <w:rPr>
                <w:rFonts w:eastAsia="Century Gothic" w:cs="Century Gothic"/>
                <w:color w:val="000000"/>
                <w:sz w:val="18"/>
                <w:szCs w:val="18"/>
              </w:rPr>
              <w:t>7 (5.8%)</w:t>
            </w:r>
          </w:p>
        </w:tc>
      </w:tr>
      <w:tr w:rsidR="001C19F3" w14:paraId="24E6E667" w14:textId="77777777" w:rsidTr="00521305">
        <w:trPr>
          <w:cantSplit/>
          <w:trHeight w:val="227"/>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2A4253" w14:textId="77777777" w:rsidR="001C19F3" w:rsidRDefault="001C19F3" w:rsidP="00521305">
            <w:pPr>
              <w:spacing w:after="0"/>
              <w:ind w:left="100" w:right="100"/>
            </w:pPr>
            <w:r>
              <w:rPr>
                <w:rFonts w:eastAsia="Century Gothic" w:cs="Century Gothic"/>
                <w:color w:val="000000"/>
                <w:sz w:val="18"/>
                <w:szCs w:val="18"/>
              </w:rPr>
              <w:t>Describe the problems they wish to discuss with the GP prior to the appointment?</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3F3FCC" w14:textId="77777777" w:rsidR="001C19F3" w:rsidRDefault="001C19F3" w:rsidP="00521305">
            <w:pPr>
              <w:spacing w:after="0"/>
              <w:ind w:left="100" w:right="100"/>
              <w:jc w:val="right"/>
            </w:pPr>
            <w:r>
              <w:rPr>
                <w:rFonts w:eastAsia="Century Gothic" w:cs="Century Gothic"/>
                <w:color w:val="000000"/>
                <w:sz w:val="18"/>
                <w:szCs w:val="18"/>
              </w:rPr>
              <w:t>75 (62.5%)</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627F4030"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CE4B6D" w14:textId="77777777" w:rsidR="001C19F3" w:rsidRDefault="001C19F3" w:rsidP="00521305">
            <w:pPr>
              <w:spacing w:after="0"/>
              <w:ind w:left="100" w:right="100"/>
            </w:pPr>
            <w:r>
              <w:rPr>
                <w:rFonts w:eastAsia="Century Gothic" w:cs="Century Gothic"/>
                <w:color w:val="000000"/>
                <w:sz w:val="18"/>
                <w:szCs w:val="18"/>
              </w:rPr>
              <w:t>Request refills for prescriptions online?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307434" w14:textId="77777777" w:rsidR="001C19F3" w:rsidRDefault="001C19F3" w:rsidP="00521305">
            <w:pPr>
              <w:spacing w:after="0"/>
              <w:ind w:left="100" w:right="100"/>
              <w:jc w:val="right"/>
            </w:pPr>
            <w:r>
              <w:rPr>
                <w:rFonts w:eastAsia="Century Gothic" w:cs="Century Gothic"/>
                <w:color w:val="000000"/>
                <w:sz w:val="18"/>
                <w:szCs w:val="18"/>
              </w:rPr>
              <w:t>6 (5.0%)</w:t>
            </w:r>
          </w:p>
        </w:tc>
      </w:tr>
      <w:tr w:rsidR="001C19F3" w14:paraId="431B1294" w14:textId="77777777" w:rsidTr="00521305">
        <w:trPr>
          <w:cantSplit/>
          <w:trHeight w:val="227"/>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1CC78" w14:textId="77777777" w:rsidR="001C19F3" w:rsidRDefault="001C19F3" w:rsidP="00521305">
            <w:pPr>
              <w:spacing w:after="0"/>
              <w:ind w:left="100" w:right="100"/>
            </w:pPr>
            <w:r>
              <w:rPr>
                <w:rFonts w:eastAsia="Century Gothic" w:cs="Century Gothic"/>
                <w:color w:val="000000"/>
                <w:sz w:val="18"/>
                <w:szCs w:val="18"/>
              </w:rPr>
              <w:t>Send a medical question or concern via email or electronic message?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ADE346" w14:textId="77777777" w:rsidR="001C19F3" w:rsidRDefault="001C19F3" w:rsidP="00521305">
            <w:pPr>
              <w:spacing w:after="0"/>
              <w:ind w:left="100" w:right="100"/>
              <w:jc w:val="right"/>
            </w:pPr>
            <w:r>
              <w:rPr>
                <w:rFonts w:eastAsia="Century Gothic" w:cs="Century Gothic"/>
                <w:color w:val="000000"/>
                <w:sz w:val="18"/>
                <w:szCs w:val="18"/>
              </w:rPr>
              <w:t>48 (40.0%)</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19F4B971"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7AE2B0"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577471" w14:textId="77777777" w:rsidR="001C19F3" w:rsidRDefault="001C19F3" w:rsidP="00521305">
            <w:pPr>
              <w:spacing w:after="0"/>
              <w:ind w:left="100" w:right="100"/>
              <w:jc w:val="right"/>
            </w:pPr>
            <w:r>
              <w:rPr>
                <w:rFonts w:eastAsia="Century Gothic" w:cs="Century Gothic"/>
                <w:color w:val="000000"/>
                <w:sz w:val="18"/>
                <w:szCs w:val="18"/>
              </w:rPr>
              <w:t>3 (2.5%)</w:t>
            </w:r>
          </w:p>
        </w:tc>
      </w:tr>
      <w:tr w:rsidR="001C19F3" w14:paraId="2B0BA729" w14:textId="77777777" w:rsidTr="00521305">
        <w:trPr>
          <w:cantSplit/>
          <w:trHeight w:val="227"/>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A4979A" w14:textId="77777777" w:rsidR="001C19F3" w:rsidRDefault="001C19F3" w:rsidP="00521305">
            <w:pPr>
              <w:spacing w:after="0"/>
              <w:ind w:left="100" w:right="100"/>
            </w:pPr>
            <w:r>
              <w:rPr>
                <w:rFonts w:eastAsia="Century Gothic" w:cs="Century Gothic"/>
                <w:color w:val="000000"/>
                <w:sz w:val="18"/>
                <w:szCs w:val="18"/>
              </w:rPr>
              <w:t>Leave a voice message and get a return call from a doctor or nurse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58AEA2" w14:textId="77777777" w:rsidR="001C19F3" w:rsidRDefault="001C19F3" w:rsidP="00521305">
            <w:pPr>
              <w:spacing w:after="0"/>
              <w:ind w:left="100" w:right="100"/>
              <w:jc w:val="right"/>
            </w:pPr>
            <w:r>
              <w:rPr>
                <w:rFonts w:eastAsia="Century Gothic" w:cs="Century Gothic"/>
                <w:color w:val="000000"/>
                <w:sz w:val="18"/>
                <w:szCs w:val="18"/>
              </w:rPr>
              <w:t>39 (32.5%)</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763065D3"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BF4750" w14:textId="77777777" w:rsidR="001C19F3" w:rsidRDefault="001C19F3" w:rsidP="00521305">
            <w:pPr>
              <w:spacing w:after="0"/>
              <w:ind w:left="100" w:right="100"/>
            </w:pP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1FA50C" w14:textId="77777777" w:rsidR="001C19F3" w:rsidRDefault="001C19F3" w:rsidP="00521305">
            <w:pPr>
              <w:spacing w:after="0"/>
              <w:ind w:left="100" w:right="100"/>
              <w:jc w:val="right"/>
            </w:pPr>
          </w:p>
        </w:tc>
      </w:tr>
    </w:tbl>
    <w:p w14:paraId="791895A6" w14:textId="77777777" w:rsidR="001C19F3" w:rsidRDefault="001C19F3" w:rsidP="001C19F3">
      <w:pPr>
        <w:pStyle w:val="Chartortablefootnote"/>
        <w:rPr>
          <w:rFonts w:cstheme="minorBidi"/>
          <w:szCs w:val="20"/>
        </w:rPr>
      </w:pPr>
      <w:r>
        <w:t>Source: Practice survey R1 Part A, Mar-Jun 2018, question 25.</w:t>
      </w:r>
    </w:p>
    <w:p w14:paraId="3F3205A1" w14:textId="77777777" w:rsidR="001C19F3" w:rsidRDefault="001C19F3" w:rsidP="001C19F3">
      <w:pPr>
        <w:pStyle w:val="Caption1"/>
      </w:pPr>
      <w:bookmarkStart w:id="544" w:name="_Ref22638506"/>
      <w:r>
        <w:t xml:space="preserve">Table </w:t>
      </w:r>
      <w:r>
        <w:fldChar w:fldCharType="begin"/>
      </w:r>
      <w:r>
        <w:instrText>SEQ Table \* ARABIC</w:instrText>
      </w:r>
      <w:r>
        <w:fldChar w:fldCharType="separate"/>
      </w:r>
      <w:r>
        <w:rPr>
          <w:noProof/>
        </w:rPr>
        <w:t>29</w:t>
      </w:r>
      <w:r>
        <w:fldChar w:fldCharType="end"/>
      </w:r>
      <w:r>
        <w:t xml:space="preserve"> – At least one GP in the practice who makes home visits</w:t>
      </w:r>
      <w:bookmarkEnd w:id="544"/>
      <w:r>
        <w:t>, baseline</w:t>
      </w:r>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62533CBA"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0EC2EF"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5935AC"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6CE23A"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B2F7D45"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7E5B4BC" w14:textId="77777777" w:rsidR="001C19F3" w:rsidRDefault="001C19F3" w:rsidP="00521305">
            <w:pPr>
              <w:spacing w:after="0"/>
              <w:jc w:val="center"/>
            </w:pPr>
            <w:r>
              <w:rPr>
                <w:rFonts w:eastAsia="Century Gothic" w:cs="Century Gothic"/>
                <w:b/>
                <w:color w:val="FFFFFF"/>
                <w:sz w:val="18"/>
                <w:szCs w:val="18"/>
              </w:rPr>
              <w:t>Location</w:t>
            </w:r>
          </w:p>
        </w:tc>
      </w:tr>
      <w:tr w:rsidR="001C19F3" w14:paraId="2FBEEEFE"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2E4DA0C2"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731D0F9C"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CECCB68"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34438CF"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B4449D8"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D1CBD9"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85F849"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A92C1B1"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1D6D7A"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2FDDAC8" w14:textId="77777777" w:rsidR="001C19F3" w:rsidRDefault="001C19F3" w:rsidP="00521305">
            <w:pPr>
              <w:spacing w:after="0"/>
              <w:jc w:val="center"/>
            </w:pPr>
            <w:r>
              <w:rPr>
                <w:rFonts w:eastAsia="Century Gothic" w:cs="Century Gothic"/>
                <w:b/>
                <w:color w:val="FFFFFF"/>
                <w:sz w:val="18"/>
                <w:szCs w:val="18"/>
              </w:rPr>
              <w:t>MMM 4+</w:t>
            </w:r>
          </w:p>
        </w:tc>
      </w:tr>
      <w:tr w:rsidR="001C19F3" w14:paraId="4E4DBB63"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352ED"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F120F9" w14:textId="77777777" w:rsidR="001C19F3" w:rsidRDefault="001C19F3" w:rsidP="00521305">
            <w:pPr>
              <w:spacing w:after="0"/>
              <w:ind w:left="100" w:right="100"/>
              <w:jc w:val="right"/>
            </w:pPr>
            <w:r>
              <w:rPr>
                <w:rFonts w:eastAsia="Century Gothic" w:cs="Century Gothic"/>
                <w:color w:val="000000"/>
                <w:sz w:val="18"/>
                <w:szCs w:val="18"/>
              </w:rPr>
              <w:t>105 (87.5%)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8A9FE2" w14:textId="77777777" w:rsidR="001C19F3" w:rsidRDefault="001C19F3" w:rsidP="00521305">
            <w:pPr>
              <w:spacing w:after="0"/>
              <w:ind w:left="100" w:right="100"/>
              <w:jc w:val="right"/>
            </w:pPr>
            <w:r>
              <w:rPr>
                <w:rFonts w:eastAsia="Century Gothic" w:cs="Century Gothic"/>
                <w:color w:val="000000"/>
                <w:sz w:val="18"/>
                <w:szCs w:val="18"/>
              </w:rPr>
              <w:t>45 (93.8%)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24A07B" w14:textId="77777777" w:rsidR="001C19F3" w:rsidRDefault="001C19F3" w:rsidP="00521305">
            <w:pPr>
              <w:spacing w:after="0"/>
              <w:ind w:left="100" w:right="100"/>
              <w:jc w:val="right"/>
            </w:pPr>
            <w:r>
              <w:rPr>
                <w:rFonts w:eastAsia="Century Gothic" w:cs="Century Gothic"/>
                <w:color w:val="000000"/>
                <w:sz w:val="18"/>
                <w:szCs w:val="18"/>
              </w:rPr>
              <w:t>60 (83.3%)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2D606D" w14:textId="77777777" w:rsidR="001C19F3" w:rsidRDefault="001C19F3" w:rsidP="00521305">
            <w:pPr>
              <w:spacing w:after="0"/>
              <w:ind w:left="100" w:right="100"/>
              <w:jc w:val="right"/>
            </w:pPr>
            <w:r>
              <w:rPr>
                <w:rFonts w:eastAsia="Century Gothic" w:cs="Century Gothic"/>
                <w:color w:val="000000"/>
                <w:sz w:val="18"/>
                <w:szCs w:val="18"/>
              </w:rPr>
              <w:t>16 (88.9%)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D93C52" w14:textId="77777777" w:rsidR="001C19F3" w:rsidRDefault="001C19F3" w:rsidP="00521305">
            <w:pPr>
              <w:spacing w:after="0"/>
              <w:ind w:left="100" w:right="100"/>
              <w:jc w:val="right"/>
            </w:pPr>
            <w:r>
              <w:rPr>
                <w:rFonts w:eastAsia="Century Gothic" w:cs="Century Gothic"/>
                <w:color w:val="000000"/>
                <w:sz w:val="18"/>
                <w:szCs w:val="18"/>
              </w:rPr>
              <w:t>12 (80.0%)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EBE00B" w14:textId="77777777" w:rsidR="001C19F3" w:rsidRDefault="001C19F3" w:rsidP="00521305">
            <w:pPr>
              <w:spacing w:after="0"/>
              <w:ind w:left="100" w:right="100"/>
              <w:jc w:val="right"/>
            </w:pPr>
            <w:r>
              <w:rPr>
                <w:rFonts w:eastAsia="Century Gothic" w:cs="Century Gothic"/>
                <w:color w:val="000000"/>
                <w:sz w:val="18"/>
                <w:szCs w:val="18"/>
              </w:rPr>
              <w:t>77 (88.5%)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FEE00F" w14:textId="77777777" w:rsidR="001C19F3" w:rsidRDefault="001C19F3" w:rsidP="00521305">
            <w:pPr>
              <w:spacing w:after="0"/>
              <w:ind w:left="100" w:right="100"/>
              <w:jc w:val="right"/>
            </w:pPr>
            <w:r>
              <w:rPr>
                <w:rFonts w:eastAsia="Century Gothic" w:cs="Century Gothic"/>
                <w:color w:val="000000"/>
                <w:sz w:val="18"/>
                <w:szCs w:val="18"/>
              </w:rPr>
              <w:t>74 (89.2%)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E68606" w14:textId="77777777" w:rsidR="001C19F3" w:rsidRDefault="001C19F3" w:rsidP="00521305">
            <w:pPr>
              <w:spacing w:after="0"/>
              <w:ind w:left="100" w:right="100"/>
              <w:jc w:val="right"/>
            </w:pPr>
            <w:r>
              <w:rPr>
                <w:rFonts w:eastAsia="Century Gothic" w:cs="Century Gothic"/>
                <w:color w:val="000000"/>
                <w:sz w:val="18"/>
                <w:szCs w:val="18"/>
              </w:rPr>
              <w:t>17 (89.5%)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B08792" w14:textId="77777777" w:rsidR="001C19F3" w:rsidRDefault="001C19F3" w:rsidP="00521305">
            <w:pPr>
              <w:spacing w:after="0"/>
              <w:ind w:left="100" w:right="100"/>
              <w:jc w:val="right"/>
            </w:pPr>
            <w:r>
              <w:rPr>
                <w:rFonts w:eastAsia="Century Gothic" w:cs="Century Gothic"/>
                <w:color w:val="000000"/>
                <w:sz w:val="18"/>
                <w:szCs w:val="18"/>
              </w:rPr>
              <w:t>14 (77.8%)</w:t>
            </w:r>
          </w:p>
        </w:tc>
      </w:tr>
      <w:tr w:rsidR="001C19F3" w14:paraId="696A6968"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1AAC85"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591ED7" w14:textId="77777777" w:rsidR="001C19F3" w:rsidRDefault="001C19F3" w:rsidP="00521305">
            <w:pPr>
              <w:spacing w:after="0"/>
              <w:ind w:left="100" w:right="100"/>
              <w:jc w:val="right"/>
            </w:pPr>
            <w:r>
              <w:rPr>
                <w:rFonts w:eastAsia="Century Gothic" w:cs="Century Gothic"/>
                <w:color w:val="000000"/>
                <w:sz w:val="18"/>
                <w:szCs w:val="18"/>
              </w:rPr>
              <w:t>15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01049B" w14:textId="77777777" w:rsidR="001C19F3" w:rsidRDefault="001C19F3" w:rsidP="00521305">
            <w:pPr>
              <w:spacing w:after="0"/>
              <w:ind w:left="100" w:right="100"/>
              <w:jc w:val="right"/>
            </w:pPr>
            <w:r>
              <w:rPr>
                <w:rFonts w:eastAsia="Century Gothic" w:cs="Century Gothic"/>
                <w:color w:val="000000"/>
                <w:sz w:val="18"/>
                <w:szCs w:val="18"/>
              </w:rPr>
              <w:t>3 (6.2%)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1A9ABA" w14:textId="77777777" w:rsidR="001C19F3" w:rsidRDefault="001C19F3" w:rsidP="00521305">
            <w:pPr>
              <w:spacing w:after="0"/>
              <w:ind w:left="100" w:right="100"/>
              <w:jc w:val="right"/>
            </w:pPr>
            <w:r>
              <w:rPr>
                <w:rFonts w:eastAsia="Century Gothic" w:cs="Century Gothic"/>
                <w:color w:val="000000"/>
                <w:sz w:val="18"/>
                <w:szCs w:val="18"/>
              </w:rPr>
              <w:t>12 (16.7%)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AECB7C" w14:textId="77777777" w:rsidR="001C19F3" w:rsidRDefault="001C19F3" w:rsidP="00521305">
            <w:pPr>
              <w:spacing w:after="0"/>
              <w:ind w:left="100" w:right="100"/>
              <w:jc w:val="right"/>
            </w:pPr>
            <w:r>
              <w:rPr>
                <w:rFonts w:eastAsia="Century Gothic" w:cs="Century Gothic"/>
                <w:color w:val="000000"/>
                <w:sz w:val="18"/>
                <w:szCs w:val="18"/>
              </w:rPr>
              <w:t>2 (11.1%)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C0F58A" w14:textId="77777777" w:rsidR="001C19F3" w:rsidRDefault="001C19F3" w:rsidP="00521305">
            <w:pPr>
              <w:spacing w:after="0"/>
              <w:ind w:left="100" w:right="100"/>
              <w:jc w:val="right"/>
            </w:pPr>
            <w:r>
              <w:rPr>
                <w:rFonts w:eastAsia="Century Gothic" w:cs="Century Gothic"/>
                <w:color w:val="000000"/>
                <w:sz w:val="18"/>
                <w:szCs w:val="18"/>
              </w:rPr>
              <w:t>3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89065" w14:textId="77777777" w:rsidR="001C19F3" w:rsidRDefault="001C19F3" w:rsidP="00521305">
            <w:pPr>
              <w:spacing w:after="0"/>
              <w:ind w:left="100" w:right="100"/>
              <w:jc w:val="right"/>
            </w:pPr>
            <w:r>
              <w:rPr>
                <w:rFonts w:eastAsia="Century Gothic" w:cs="Century Gothic"/>
                <w:color w:val="000000"/>
                <w:sz w:val="18"/>
                <w:szCs w:val="18"/>
              </w:rPr>
              <w:t>10 (11.5%)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E828C9" w14:textId="77777777" w:rsidR="001C19F3" w:rsidRDefault="001C19F3" w:rsidP="00521305">
            <w:pPr>
              <w:spacing w:after="0"/>
              <w:ind w:left="100" w:right="100"/>
              <w:jc w:val="right"/>
            </w:pPr>
            <w:r>
              <w:rPr>
                <w:rFonts w:eastAsia="Century Gothic" w:cs="Century Gothic"/>
                <w:color w:val="000000"/>
                <w:sz w:val="18"/>
                <w:szCs w:val="18"/>
              </w:rPr>
              <w:t>9 (10.8%)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71ACC5" w14:textId="77777777" w:rsidR="001C19F3" w:rsidRDefault="001C19F3" w:rsidP="00521305">
            <w:pPr>
              <w:spacing w:after="0"/>
              <w:ind w:left="100" w:right="100"/>
              <w:jc w:val="right"/>
            </w:pPr>
            <w:r>
              <w:rPr>
                <w:rFonts w:eastAsia="Century Gothic" w:cs="Century Gothic"/>
                <w:color w:val="000000"/>
                <w:sz w:val="18"/>
                <w:szCs w:val="18"/>
              </w:rPr>
              <w:t>2 (10.5%)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FDBDE2" w14:textId="77777777" w:rsidR="001C19F3" w:rsidRDefault="001C19F3" w:rsidP="00521305">
            <w:pPr>
              <w:spacing w:after="0"/>
              <w:ind w:left="100" w:right="100"/>
              <w:jc w:val="right"/>
            </w:pPr>
            <w:r>
              <w:rPr>
                <w:rFonts w:eastAsia="Century Gothic" w:cs="Century Gothic"/>
                <w:color w:val="000000"/>
                <w:sz w:val="18"/>
                <w:szCs w:val="18"/>
              </w:rPr>
              <w:t>4 (22.2%)</w:t>
            </w:r>
          </w:p>
        </w:tc>
      </w:tr>
    </w:tbl>
    <w:p w14:paraId="325AA09C" w14:textId="77777777" w:rsidR="001C19F3" w:rsidRDefault="001C19F3" w:rsidP="001C19F3">
      <w:pPr>
        <w:pStyle w:val="Chartortablefootnote"/>
      </w:pPr>
      <w:r>
        <w:t>Source: Practice survey R1 Part A, Mar-Jun 2018, question 26.</w:t>
      </w:r>
    </w:p>
    <w:p w14:paraId="59D054BD" w14:textId="77777777" w:rsidR="001C19F3" w:rsidRDefault="001C19F3" w:rsidP="001C19F3">
      <w:pPr>
        <w:spacing w:after="160" w:line="259" w:lineRule="auto"/>
        <w:rPr>
          <w:i/>
          <w:sz w:val="16"/>
          <w:szCs w:val="18"/>
        </w:rPr>
      </w:pPr>
      <w:r>
        <w:br w:type="page"/>
      </w:r>
    </w:p>
    <w:p w14:paraId="284FCF39" w14:textId="77777777" w:rsidR="001C19F3" w:rsidRDefault="001C19F3" w:rsidP="001C19F3">
      <w:pPr>
        <w:pStyle w:val="Caption1"/>
      </w:pPr>
      <w:bookmarkStart w:id="545" w:name="_Ref22638589"/>
      <w:bookmarkStart w:id="546" w:name="_Hlk21022571"/>
      <w:r>
        <w:lastRenderedPageBreak/>
        <w:t xml:space="preserve">Table </w:t>
      </w:r>
      <w:r>
        <w:fldChar w:fldCharType="begin"/>
      </w:r>
      <w:r>
        <w:instrText>SEQ Table \* ARABIC</w:instrText>
      </w:r>
      <w:r>
        <w:fldChar w:fldCharType="separate"/>
      </w:r>
      <w:r>
        <w:rPr>
          <w:noProof/>
        </w:rPr>
        <w:t>30</w:t>
      </w:r>
      <w:r>
        <w:fldChar w:fldCharType="end"/>
      </w:r>
      <w:r>
        <w:t xml:space="preserve"> – Difficulty in generating information from current systems, baseline</w:t>
      </w:r>
      <w:bookmarkEnd w:id="545"/>
    </w:p>
    <w:tbl>
      <w:tblPr>
        <w:tblW w:w="5000" w:type="pct"/>
        <w:jc w:val="center"/>
        <w:tblLook w:val="04A0" w:firstRow="1" w:lastRow="0" w:firstColumn="1" w:lastColumn="0" w:noHBand="0" w:noVBand="1"/>
      </w:tblPr>
      <w:tblGrid>
        <w:gridCol w:w="5574"/>
        <w:gridCol w:w="1672"/>
        <w:gridCol w:w="1673"/>
        <w:gridCol w:w="1673"/>
        <w:gridCol w:w="1673"/>
        <w:gridCol w:w="1673"/>
      </w:tblGrid>
      <w:tr w:rsidR="001C19F3" w14:paraId="370C1A61" w14:textId="77777777" w:rsidTr="00521305">
        <w:trPr>
          <w:cantSplit/>
          <w:trHeight w:val="20"/>
          <w:tblHeader/>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8CD7B27" w14:textId="77777777" w:rsidR="001C19F3" w:rsidRDefault="001C19F3" w:rsidP="00521305">
            <w:pPr>
              <w:spacing w:after="0"/>
              <w:jc w:val="center"/>
            </w:pPr>
            <w:r>
              <w:rPr>
                <w:rFonts w:eastAsia="Century Gothic" w:cs="Century Gothic"/>
                <w:b/>
                <w:color w:val="FFFFFF"/>
                <w:sz w:val="18"/>
                <w:szCs w:val="18"/>
              </w:rPr>
              <w:t>Response</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DFA388C" w14:textId="77777777" w:rsidR="001C19F3" w:rsidRDefault="001C19F3" w:rsidP="00521305">
            <w:pPr>
              <w:spacing w:after="0"/>
              <w:jc w:val="center"/>
            </w:pPr>
            <w:r>
              <w:rPr>
                <w:rFonts w:eastAsia="Century Gothic" w:cs="Century Gothic"/>
                <w:b/>
                <w:color w:val="FFFFFF"/>
                <w:sz w:val="18"/>
                <w:szCs w:val="18"/>
              </w:rPr>
              <w:t>Easy</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358213D" w14:textId="77777777" w:rsidR="001C19F3" w:rsidRDefault="001C19F3" w:rsidP="00521305">
            <w:pPr>
              <w:spacing w:after="0"/>
              <w:jc w:val="center"/>
            </w:pPr>
            <w:r>
              <w:rPr>
                <w:rFonts w:eastAsia="Century Gothic" w:cs="Century Gothic"/>
                <w:b/>
                <w:color w:val="FFFFFF"/>
                <w:sz w:val="18"/>
                <w:szCs w:val="18"/>
              </w:rPr>
              <w:t>Somewhat difficult</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FFD47D" w14:textId="77777777" w:rsidR="001C19F3" w:rsidRDefault="001C19F3" w:rsidP="00521305">
            <w:pPr>
              <w:spacing w:after="0"/>
              <w:jc w:val="center"/>
            </w:pPr>
            <w:r>
              <w:rPr>
                <w:rFonts w:eastAsia="Century Gothic" w:cs="Century Gothic"/>
                <w:b/>
                <w:color w:val="FFFFFF"/>
                <w:sz w:val="18"/>
                <w:szCs w:val="18"/>
              </w:rPr>
              <w:t>Difficult</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F878326" w14:textId="77777777" w:rsidR="001C19F3" w:rsidRDefault="001C19F3" w:rsidP="00521305">
            <w:pPr>
              <w:spacing w:after="0"/>
              <w:jc w:val="center"/>
            </w:pPr>
            <w:r>
              <w:rPr>
                <w:rFonts w:eastAsia="Century Gothic" w:cs="Century Gothic"/>
                <w:b/>
                <w:color w:val="FFFFFF"/>
                <w:sz w:val="18"/>
                <w:szCs w:val="18"/>
              </w:rPr>
              <w:t>Not Possible</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BF0413"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09C988AF"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5CCE08" w14:textId="77777777" w:rsidR="001C19F3" w:rsidRDefault="001C19F3" w:rsidP="00521305">
            <w:pPr>
              <w:spacing w:after="0"/>
              <w:ind w:left="100" w:right="100"/>
            </w:pPr>
            <w:r>
              <w:rPr>
                <w:rFonts w:eastAsia="Century Gothic" w:cs="Century Gothic"/>
                <w:color w:val="000000"/>
                <w:sz w:val="18"/>
                <w:szCs w:val="18"/>
              </w:rPr>
              <w:t>List of patients by diagnosis or health problems (e.g. diabetes, cancer)</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58FE19" w14:textId="77777777" w:rsidR="001C19F3" w:rsidRDefault="001C19F3" w:rsidP="00521305">
            <w:pPr>
              <w:spacing w:after="0"/>
              <w:ind w:left="100" w:right="100"/>
              <w:jc w:val="right"/>
            </w:pPr>
            <w:r>
              <w:rPr>
                <w:rFonts w:eastAsia="Century Gothic" w:cs="Century Gothic"/>
                <w:color w:val="000000"/>
                <w:sz w:val="18"/>
                <w:szCs w:val="18"/>
              </w:rPr>
              <w:t>109 (90.8%)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18BBDB" w14:textId="77777777" w:rsidR="001C19F3" w:rsidRDefault="001C19F3" w:rsidP="00521305">
            <w:pPr>
              <w:spacing w:after="0"/>
              <w:ind w:left="100" w:right="100"/>
              <w:jc w:val="right"/>
            </w:pPr>
            <w:r>
              <w:rPr>
                <w:rFonts w:eastAsia="Century Gothic" w:cs="Century Gothic"/>
                <w:color w:val="000000"/>
                <w:sz w:val="18"/>
                <w:szCs w:val="18"/>
              </w:rPr>
              <w:t>11 (9.2%)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EB91EF" w14:textId="77777777" w:rsidR="001C19F3" w:rsidRDefault="001C19F3" w:rsidP="00521305">
            <w:pPr>
              <w:spacing w:after="0"/>
              <w:ind w:left="100" w:right="100"/>
              <w:jc w:val="right"/>
            </w:pP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4A3B58" w14:textId="77777777" w:rsidR="001C19F3" w:rsidRDefault="001C19F3" w:rsidP="00521305">
            <w:pPr>
              <w:spacing w:after="0"/>
              <w:ind w:left="100" w:right="100"/>
              <w:jc w:val="right"/>
            </w:pP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D35751" w14:textId="77777777" w:rsidR="001C19F3" w:rsidRDefault="001C19F3" w:rsidP="00521305">
            <w:pPr>
              <w:spacing w:after="0"/>
              <w:ind w:left="100" w:right="100"/>
              <w:jc w:val="right"/>
            </w:pPr>
          </w:p>
        </w:tc>
      </w:tr>
      <w:tr w:rsidR="001C19F3" w14:paraId="66BA26FA"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D5547" w14:textId="77777777" w:rsidR="001C19F3" w:rsidRDefault="001C19F3" w:rsidP="00521305">
            <w:pPr>
              <w:spacing w:after="0"/>
              <w:ind w:left="100" w:right="100"/>
            </w:pPr>
            <w:r>
              <w:rPr>
                <w:rFonts w:eastAsia="Century Gothic" w:cs="Century Gothic"/>
                <w:color w:val="000000"/>
                <w:sz w:val="18"/>
                <w:szCs w:val="18"/>
              </w:rPr>
              <w:t>List of patients by laboratory result (e.g. HbA1C &gt; 9.0)</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0D4502" w14:textId="77777777" w:rsidR="001C19F3" w:rsidRDefault="001C19F3" w:rsidP="00521305">
            <w:pPr>
              <w:spacing w:after="0"/>
              <w:ind w:left="100" w:right="100"/>
              <w:jc w:val="right"/>
            </w:pPr>
            <w:r>
              <w:rPr>
                <w:rFonts w:eastAsia="Century Gothic" w:cs="Century Gothic"/>
                <w:color w:val="000000"/>
                <w:sz w:val="18"/>
                <w:szCs w:val="18"/>
              </w:rPr>
              <w:t>90 (75.0%)</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D2AC2" w14:textId="77777777" w:rsidR="001C19F3" w:rsidRDefault="001C19F3" w:rsidP="00521305">
            <w:pPr>
              <w:spacing w:after="0"/>
              <w:ind w:left="100" w:right="100"/>
              <w:jc w:val="right"/>
            </w:pPr>
            <w:r>
              <w:rPr>
                <w:rFonts w:eastAsia="Century Gothic" w:cs="Century Gothic"/>
                <w:color w:val="000000"/>
                <w:sz w:val="18"/>
                <w:szCs w:val="18"/>
              </w:rPr>
              <w:t>23 (19.2%)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DFD76" w14:textId="77777777" w:rsidR="001C19F3" w:rsidRDefault="001C19F3" w:rsidP="00521305">
            <w:pPr>
              <w:spacing w:after="0"/>
              <w:ind w:left="100" w:right="100"/>
              <w:jc w:val="right"/>
            </w:pPr>
            <w:r>
              <w:rPr>
                <w:rFonts w:eastAsia="Century Gothic" w:cs="Century Gothic"/>
                <w:color w:val="000000"/>
                <w:sz w:val="18"/>
                <w:szCs w:val="18"/>
              </w:rPr>
              <w:t>4 (3.3%)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F17F6A" w14:textId="77777777" w:rsidR="001C19F3" w:rsidRDefault="001C19F3" w:rsidP="00521305">
            <w:pPr>
              <w:spacing w:after="0"/>
              <w:ind w:left="100" w:right="100"/>
              <w:jc w:val="right"/>
            </w:pPr>
            <w:r>
              <w:rPr>
                <w:rFonts w:eastAsia="Century Gothic" w:cs="Century Gothic"/>
                <w:color w:val="000000"/>
                <w:sz w:val="18"/>
                <w:szCs w:val="18"/>
              </w:rPr>
              <w:t>3 (2.5%)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B206C3" w14:textId="77777777" w:rsidR="001C19F3" w:rsidRDefault="001C19F3" w:rsidP="00521305">
            <w:pPr>
              <w:spacing w:after="0"/>
              <w:ind w:left="100" w:right="100"/>
              <w:jc w:val="right"/>
            </w:pPr>
          </w:p>
        </w:tc>
      </w:tr>
      <w:tr w:rsidR="001C19F3" w14:paraId="642C7D0E"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76313F" w14:textId="77777777" w:rsidR="001C19F3" w:rsidRDefault="001C19F3" w:rsidP="00521305">
            <w:pPr>
              <w:spacing w:after="0"/>
              <w:ind w:left="100" w:right="100"/>
            </w:pPr>
            <w:r>
              <w:rPr>
                <w:rFonts w:eastAsia="Century Gothic" w:cs="Century Gothic"/>
                <w:color w:val="000000"/>
                <w:sz w:val="18"/>
                <w:szCs w:val="18"/>
              </w:rPr>
              <w:t>List of patients who are due or overdue for tests or preventive care (e.g. flu vaccine)</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4BEAFE" w14:textId="77777777" w:rsidR="001C19F3" w:rsidRDefault="001C19F3" w:rsidP="00521305">
            <w:pPr>
              <w:spacing w:after="0"/>
              <w:ind w:left="100" w:right="100"/>
              <w:jc w:val="right"/>
            </w:pPr>
            <w:r>
              <w:rPr>
                <w:rFonts w:eastAsia="Century Gothic" w:cs="Century Gothic"/>
                <w:color w:val="000000"/>
                <w:sz w:val="18"/>
                <w:szCs w:val="18"/>
              </w:rPr>
              <w:t>101 (84.2%)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82F973" w14:textId="77777777" w:rsidR="001C19F3" w:rsidRDefault="001C19F3" w:rsidP="00521305">
            <w:pPr>
              <w:spacing w:after="0"/>
              <w:ind w:left="100" w:right="100"/>
              <w:jc w:val="right"/>
            </w:pPr>
            <w:r>
              <w:rPr>
                <w:rFonts w:eastAsia="Century Gothic" w:cs="Century Gothic"/>
                <w:color w:val="000000"/>
                <w:sz w:val="18"/>
                <w:szCs w:val="18"/>
              </w:rPr>
              <w:t>17 (14.2%)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A88F30" w14:textId="77777777" w:rsidR="001C19F3" w:rsidRDefault="001C19F3" w:rsidP="00521305">
            <w:pPr>
              <w:spacing w:after="0"/>
              <w:ind w:left="100" w:right="100"/>
              <w:jc w:val="right"/>
            </w:pPr>
            <w:r>
              <w:rPr>
                <w:rFonts w:eastAsia="Century Gothic" w:cs="Century Gothic"/>
                <w:color w:val="000000"/>
                <w:sz w:val="18"/>
                <w:szCs w:val="18"/>
              </w:rPr>
              <w:t>1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89F92E" w14:textId="77777777" w:rsidR="001C19F3" w:rsidRDefault="001C19F3" w:rsidP="00521305">
            <w:pPr>
              <w:spacing w:after="0"/>
              <w:ind w:left="100" w:right="100"/>
              <w:jc w:val="right"/>
            </w:pPr>
            <w:r>
              <w:rPr>
                <w:rFonts w:eastAsia="Century Gothic" w:cs="Century Gothic"/>
                <w:color w:val="000000"/>
                <w:sz w:val="18"/>
                <w:szCs w:val="18"/>
              </w:rPr>
              <w:t>1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294442" w14:textId="77777777" w:rsidR="001C19F3" w:rsidRDefault="001C19F3" w:rsidP="00521305">
            <w:pPr>
              <w:spacing w:after="0"/>
              <w:ind w:left="100" w:right="100"/>
              <w:jc w:val="right"/>
            </w:pPr>
          </w:p>
        </w:tc>
      </w:tr>
      <w:tr w:rsidR="001C19F3" w14:paraId="25645505"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C65D34" w14:textId="77777777" w:rsidR="001C19F3" w:rsidRDefault="001C19F3" w:rsidP="00521305">
            <w:pPr>
              <w:spacing w:after="0"/>
              <w:ind w:left="100" w:right="100"/>
            </w:pPr>
            <w:r>
              <w:rPr>
                <w:rFonts w:eastAsia="Century Gothic" w:cs="Century Gothic"/>
                <w:color w:val="000000"/>
                <w:sz w:val="18"/>
                <w:szCs w:val="18"/>
              </w:rPr>
              <w:t>List of all laboratory results for an individual patient (including those ordered by other doctors).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F24292" w14:textId="77777777" w:rsidR="001C19F3" w:rsidRDefault="001C19F3" w:rsidP="00521305">
            <w:pPr>
              <w:spacing w:after="0"/>
              <w:ind w:left="100" w:right="100"/>
              <w:jc w:val="right"/>
            </w:pPr>
            <w:r>
              <w:rPr>
                <w:rFonts w:eastAsia="Century Gothic" w:cs="Century Gothic"/>
                <w:color w:val="000000"/>
                <w:sz w:val="18"/>
                <w:szCs w:val="18"/>
              </w:rPr>
              <w:t>81 (67.5%)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F0BB1A" w14:textId="77777777" w:rsidR="001C19F3" w:rsidRDefault="001C19F3" w:rsidP="00521305">
            <w:pPr>
              <w:spacing w:after="0"/>
              <w:ind w:left="100" w:right="100"/>
              <w:jc w:val="right"/>
            </w:pPr>
            <w:r>
              <w:rPr>
                <w:rFonts w:eastAsia="Century Gothic" w:cs="Century Gothic"/>
                <w:color w:val="000000"/>
                <w:sz w:val="18"/>
                <w:szCs w:val="18"/>
              </w:rPr>
              <w:t>28 (23.3%)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4682AD" w14:textId="77777777" w:rsidR="001C19F3" w:rsidRDefault="001C19F3" w:rsidP="00521305">
            <w:pPr>
              <w:spacing w:after="0"/>
              <w:ind w:left="100" w:right="100"/>
              <w:jc w:val="right"/>
            </w:pPr>
            <w:r>
              <w:rPr>
                <w:rFonts w:eastAsia="Century Gothic" w:cs="Century Gothic"/>
                <w:color w:val="000000"/>
                <w:sz w:val="18"/>
                <w:szCs w:val="18"/>
              </w:rPr>
              <w:t>8 (6.7%)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100376" w14:textId="77777777" w:rsidR="001C19F3" w:rsidRDefault="001C19F3" w:rsidP="00521305">
            <w:pPr>
              <w:spacing w:after="0"/>
              <w:ind w:left="100" w:right="100"/>
              <w:jc w:val="right"/>
            </w:pPr>
            <w:r>
              <w:rPr>
                <w:rFonts w:eastAsia="Century Gothic" w:cs="Century Gothic"/>
                <w:color w:val="000000"/>
                <w:sz w:val="18"/>
                <w:szCs w:val="18"/>
              </w:rPr>
              <w:t>3 (2.5%)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618CD3" w14:textId="77777777" w:rsidR="001C19F3" w:rsidRDefault="001C19F3" w:rsidP="00521305">
            <w:pPr>
              <w:spacing w:after="0"/>
              <w:ind w:left="100" w:right="100"/>
              <w:jc w:val="right"/>
            </w:pPr>
          </w:p>
        </w:tc>
      </w:tr>
      <w:tr w:rsidR="001C19F3" w14:paraId="5BABB834"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E568B" w14:textId="77777777" w:rsidR="001C19F3" w:rsidRDefault="001C19F3" w:rsidP="00521305">
            <w:pPr>
              <w:spacing w:after="0"/>
              <w:ind w:left="100" w:right="100"/>
            </w:pPr>
            <w:r>
              <w:rPr>
                <w:rFonts w:eastAsia="Century Gothic" w:cs="Century Gothic"/>
                <w:color w:val="000000"/>
                <w:sz w:val="18"/>
                <w:szCs w:val="18"/>
              </w:rPr>
              <w:t>List of all patients taking a particular medication</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EACF0A" w14:textId="77777777" w:rsidR="001C19F3" w:rsidRDefault="001C19F3" w:rsidP="00521305">
            <w:pPr>
              <w:spacing w:after="0"/>
              <w:ind w:left="100" w:right="100"/>
              <w:jc w:val="right"/>
            </w:pPr>
            <w:r>
              <w:rPr>
                <w:rFonts w:eastAsia="Century Gothic" w:cs="Century Gothic"/>
                <w:color w:val="000000"/>
                <w:sz w:val="18"/>
                <w:szCs w:val="18"/>
              </w:rPr>
              <w:t>96 (80.7%)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15837C" w14:textId="77777777" w:rsidR="001C19F3" w:rsidRDefault="001C19F3" w:rsidP="00521305">
            <w:pPr>
              <w:spacing w:after="0"/>
              <w:ind w:left="100" w:right="100"/>
              <w:jc w:val="right"/>
            </w:pPr>
            <w:r>
              <w:rPr>
                <w:rFonts w:eastAsia="Century Gothic" w:cs="Century Gothic"/>
                <w:color w:val="000000"/>
                <w:sz w:val="18"/>
                <w:szCs w:val="18"/>
              </w:rPr>
              <w:t>20 (16.8%)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61DF26" w14:textId="77777777" w:rsidR="001C19F3" w:rsidRDefault="001C19F3" w:rsidP="00521305">
            <w:pPr>
              <w:spacing w:after="0"/>
              <w:ind w:left="100" w:right="100"/>
              <w:jc w:val="right"/>
            </w:pPr>
            <w:r>
              <w:rPr>
                <w:rFonts w:eastAsia="Century Gothic" w:cs="Century Gothic"/>
                <w:color w:val="000000"/>
                <w:sz w:val="18"/>
                <w:szCs w:val="18"/>
              </w:rPr>
              <w:t>2 (1.7%)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BA8A00" w14:textId="77777777" w:rsidR="001C19F3" w:rsidRDefault="001C19F3" w:rsidP="00521305">
            <w:pPr>
              <w:spacing w:after="0"/>
              <w:ind w:left="100" w:right="100"/>
              <w:jc w:val="right"/>
            </w:pPr>
            <w:r>
              <w:rPr>
                <w:rFonts w:eastAsia="Century Gothic" w:cs="Century Gothic"/>
                <w:color w:val="000000"/>
                <w:sz w:val="18"/>
                <w:szCs w:val="18"/>
              </w:rPr>
              <w:t>1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4CE9A3" w14:textId="77777777" w:rsidR="001C19F3" w:rsidRDefault="001C19F3" w:rsidP="00521305">
            <w:pPr>
              <w:spacing w:after="0"/>
              <w:ind w:left="100" w:right="100"/>
              <w:jc w:val="right"/>
            </w:pPr>
            <w:r>
              <w:rPr>
                <w:rFonts w:eastAsia="Century Gothic" w:cs="Century Gothic"/>
                <w:color w:val="000000"/>
                <w:sz w:val="18"/>
                <w:szCs w:val="18"/>
              </w:rPr>
              <w:t>1</w:t>
            </w:r>
          </w:p>
        </w:tc>
      </w:tr>
      <w:tr w:rsidR="001C19F3" w14:paraId="1E25AA0C"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C68040" w14:textId="77777777" w:rsidR="001C19F3" w:rsidRDefault="001C19F3" w:rsidP="00521305">
            <w:pPr>
              <w:spacing w:after="0"/>
              <w:ind w:left="100" w:right="100"/>
            </w:pPr>
            <w:r>
              <w:rPr>
                <w:rFonts w:eastAsia="Century Gothic" w:cs="Century Gothic"/>
                <w:color w:val="000000"/>
                <w:sz w:val="18"/>
                <w:szCs w:val="18"/>
              </w:rPr>
              <w:t>List of all medications taken by an individual patient (including those that may have been prescribed by other doctors)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331489" w14:textId="77777777" w:rsidR="001C19F3" w:rsidRDefault="001C19F3" w:rsidP="00521305">
            <w:pPr>
              <w:spacing w:after="0"/>
              <w:ind w:left="100" w:right="100"/>
              <w:jc w:val="right"/>
            </w:pPr>
            <w:r>
              <w:rPr>
                <w:rFonts w:eastAsia="Century Gothic" w:cs="Century Gothic"/>
                <w:color w:val="000000"/>
                <w:sz w:val="18"/>
                <w:szCs w:val="18"/>
              </w:rPr>
              <w:t>87 (72.5%)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A773DB" w14:textId="77777777" w:rsidR="001C19F3" w:rsidRDefault="001C19F3" w:rsidP="00521305">
            <w:pPr>
              <w:spacing w:after="0"/>
              <w:ind w:left="100" w:right="100"/>
              <w:jc w:val="right"/>
            </w:pPr>
            <w:r>
              <w:rPr>
                <w:rFonts w:eastAsia="Century Gothic" w:cs="Century Gothic"/>
                <w:color w:val="000000"/>
                <w:sz w:val="18"/>
                <w:szCs w:val="18"/>
              </w:rPr>
              <w:t>24 (20.0%)</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147937" w14:textId="77777777" w:rsidR="001C19F3" w:rsidRDefault="001C19F3" w:rsidP="00521305">
            <w:pPr>
              <w:spacing w:after="0"/>
              <w:ind w:left="100" w:right="100"/>
              <w:jc w:val="right"/>
            </w:pPr>
            <w:r>
              <w:rPr>
                <w:rFonts w:eastAsia="Century Gothic" w:cs="Century Gothic"/>
                <w:color w:val="000000"/>
                <w:sz w:val="18"/>
                <w:szCs w:val="18"/>
              </w:rPr>
              <w:t>8 (6.7%)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7B18F5" w14:textId="77777777" w:rsidR="001C19F3" w:rsidRDefault="001C19F3" w:rsidP="00521305">
            <w:pPr>
              <w:spacing w:after="0"/>
              <w:ind w:left="100" w:right="100"/>
              <w:jc w:val="right"/>
            </w:pPr>
            <w:r>
              <w:rPr>
                <w:rFonts w:eastAsia="Century Gothic" w:cs="Century Gothic"/>
                <w:color w:val="000000"/>
                <w:sz w:val="18"/>
                <w:szCs w:val="18"/>
              </w:rPr>
              <w:t>1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795102" w14:textId="77777777" w:rsidR="001C19F3" w:rsidRDefault="001C19F3" w:rsidP="00521305">
            <w:pPr>
              <w:spacing w:after="0"/>
              <w:ind w:left="100" w:right="100"/>
              <w:jc w:val="right"/>
            </w:pPr>
          </w:p>
        </w:tc>
      </w:tr>
      <w:tr w:rsidR="001C19F3" w14:paraId="63736BF9" w14:textId="77777777" w:rsidTr="00521305">
        <w:trPr>
          <w:cantSplit/>
          <w:trHeight w:val="2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F94C8D" w14:textId="77777777" w:rsidR="001C19F3" w:rsidRDefault="001C19F3" w:rsidP="00521305">
            <w:pPr>
              <w:spacing w:after="0"/>
              <w:ind w:left="100" w:right="100"/>
            </w:pPr>
            <w:r>
              <w:rPr>
                <w:rFonts w:eastAsia="Century Gothic" w:cs="Century Gothic"/>
                <w:color w:val="000000"/>
                <w:sz w:val="18"/>
                <w:szCs w:val="18"/>
              </w:rPr>
              <w:t>Clinical summaries to give patients after each visit.</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FA8DEB" w14:textId="77777777" w:rsidR="001C19F3" w:rsidRDefault="001C19F3" w:rsidP="00521305">
            <w:pPr>
              <w:spacing w:after="0"/>
              <w:ind w:left="100" w:right="100"/>
              <w:jc w:val="right"/>
            </w:pPr>
            <w:r>
              <w:rPr>
                <w:rFonts w:eastAsia="Century Gothic" w:cs="Century Gothic"/>
                <w:color w:val="000000"/>
                <w:sz w:val="18"/>
                <w:szCs w:val="18"/>
              </w:rPr>
              <w:t>104 (86.7%)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236244" w14:textId="77777777" w:rsidR="001C19F3" w:rsidRDefault="001C19F3" w:rsidP="00521305">
            <w:pPr>
              <w:spacing w:after="0"/>
              <w:ind w:left="100" w:right="100"/>
              <w:jc w:val="right"/>
            </w:pPr>
            <w:r>
              <w:rPr>
                <w:rFonts w:eastAsia="Century Gothic" w:cs="Century Gothic"/>
                <w:color w:val="000000"/>
                <w:sz w:val="18"/>
                <w:szCs w:val="18"/>
              </w:rPr>
              <w:t>14 (11.7%)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D81C6" w14:textId="77777777" w:rsidR="001C19F3" w:rsidRDefault="001C19F3" w:rsidP="00521305">
            <w:pPr>
              <w:spacing w:after="0"/>
              <w:ind w:left="100" w:right="100"/>
              <w:jc w:val="right"/>
            </w:pPr>
            <w:r>
              <w:rPr>
                <w:rFonts w:eastAsia="Century Gothic" w:cs="Century Gothic"/>
                <w:color w:val="000000"/>
                <w:sz w:val="18"/>
                <w:szCs w:val="18"/>
              </w:rPr>
              <w:t>1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E8762D" w14:textId="77777777" w:rsidR="001C19F3" w:rsidRDefault="001C19F3" w:rsidP="00521305">
            <w:pPr>
              <w:spacing w:after="0"/>
              <w:ind w:left="100" w:right="100"/>
              <w:jc w:val="right"/>
            </w:pPr>
            <w:r>
              <w:rPr>
                <w:rFonts w:eastAsia="Century Gothic" w:cs="Century Gothic"/>
                <w:color w:val="000000"/>
                <w:sz w:val="18"/>
                <w:szCs w:val="18"/>
              </w:rPr>
              <w:t>1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0A6FE5" w14:textId="77777777" w:rsidR="001C19F3" w:rsidRDefault="001C19F3" w:rsidP="00521305">
            <w:pPr>
              <w:spacing w:after="0"/>
              <w:ind w:left="100" w:right="100"/>
              <w:jc w:val="right"/>
            </w:pPr>
          </w:p>
        </w:tc>
      </w:tr>
    </w:tbl>
    <w:p w14:paraId="5E0209BE" w14:textId="77777777" w:rsidR="001C19F3" w:rsidRDefault="001C19F3" w:rsidP="001C19F3">
      <w:pPr>
        <w:pStyle w:val="Chartortablefootnote"/>
        <w:rPr>
          <w:rFonts w:cstheme="minorBidi"/>
          <w:szCs w:val="20"/>
        </w:rPr>
      </w:pPr>
      <w:r>
        <w:t>Source: Practice survey R1 Part A, Mar-Jun 2018, question 30.</w:t>
      </w:r>
    </w:p>
    <w:p w14:paraId="0F3CB982" w14:textId="77777777" w:rsidR="001C19F3" w:rsidRDefault="001C19F3" w:rsidP="001C19F3">
      <w:pPr>
        <w:pStyle w:val="Caption1"/>
      </w:pPr>
      <w:bookmarkStart w:id="547" w:name="_Ref22638594"/>
      <w:bookmarkEnd w:id="546"/>
      <w:r>
        <w:t xml:space="preserve">Table </w:t>
      </w:r>
      <w:r>
        <w:fldChar w:fldCharType="begin"/>
      </w:r>
      <w:r>
        <w:instrText>SEQ Table \* ARABIC</w:instrText>
      </w:r>
      <w:r>
        <w:fldChar w:fldCharType="separate"/>
      </w:r>
      <w:r>
        <w:rPr>
          <w:noProof/>
        </w:rPr>
        <w:t>31</w:t>
      </w:r>
      <w:r>
        <w:fldChar w:fldCharType="end"/>
      </w:r>
      <w:r>
        <w:t xml:space="preserve"> – GPs routinely receive and review data on selected aspects of patient care, baseline</w:t>
      </w:r>
      <w:bookmarkEnd w:id="547"/>
    </w:p>
    <w:tbl>
      <w:tblPr>
        <w:tblW w:w="5000" w:type="pct"/>
        <w:jc w:val="center"/>
        <w:tblLook w:val="04A0" w:firstRow="1" w:lastRow="0" w:firstColumn="1" w:lastColumn="0" w:noHBand="0" w:noVBand="1"/>
      </w:tblPr>
      <w:tblGrid>
        <w:gridCol w:w="5574"/>
        <w:gridCol w:w="2788"/>
        <w:gridCol w:w="2788"/>
        <w:gridCol w:w="2788"/>
      </w:tblGrid>
      <w:tr w:rsidR="001C19F3" w14:paraId="488C3198" w14:textId="77777777" w:rsidTr="00521305">
        <w:trPr>
          <w:cantSplit/>
          <w:trHeight w:val="331"/>
          <w:tblHeader/>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7A570E4" w14:textId="77777777" w:rsidR="001C19F3" w:rsidRDefault="001C19F3" w:rsidP="00521305">
            <w:pPr>
              <w:spacing w:after="0"/>
              <w:jc w:val="center"/>
            </w:pPr>
            <w:r>
              <w:rPr>
                <w:rFonts w:eastAsia="Century Gothic" w:cs="Century Gothic"/>
                <w:b/>
                <w:color w:val="FFFFFF"/>
                <w:sz w:val="18"/>
                <w:szCs w:val="18"/>
              </w:rPr>
              <w:t>Response</w:t>
            </w:r>
          </w:p>
        </w:tc>
        <w:tc>
          <w:tcPr>
            <w:tcW w:w="1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0E8AB4E" w14:textId="77777777" w:rsidR="001C19F3" w:rsidRDefault="001C19F3" w:rsidP="00521305">
            <w:pPr>
              <w:spacing w:after="0"/>
              <w:jc w:val="center"/>
            </w:pPr>
            <w:r>
              <w:rPr>
                <w:rFonts w:eastAsia="Century Gothic" w:cs="Century Gothic"/>
                <w:b/>
                <w:color w:val="FFFFFF"/>
                <w:sz w:val="18"/>
                <w:szCs w:val="18"/>
              </w:rPr>
              <w:t>Yes</w:t>
            </w:r>
          </w:p>
        </w:tc>
        <w:tc>
          <w:tcPr>
            <w:tcW w:w="1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90085F5" w14:textId="77777777" w:rsidR="001C19F3" w:rsidRDefault="001C19F3" w:rsidP="00521305">
            <w:pPr>
              <w:spacing w:after="0"/>
              <w:jc w:val="center"/>
            </w:pPr>
            <w:r>
              <w:rPr>
                <w:rFonts w:eastAsia="Century Gothic" w:cs="Century Gothic"/>
                <w:b/>
                <w:color w:val="FFFFFF"/>
                <w:sz w:val="18"/>
                <w:szCs w:val="18"/>
              </w:rPr>
              <w:t>No</w:t>
            </w:r>
          </w:p>
        </w:tc>
        <w:tc>
          <w:tcPr>
            <w:tcW w:w="1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41FF1CE"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07EB7751" w14:textId="77777777" w:rsidTr="00521305">
        <w:trPr>
          <w:cantSplit/>
          <w:trHeight w:val="17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57722E" w14:textId="77777777" w:rsidR="001C19F3" w:rsidRDefault="001C19F3" w:rsidP="00521305">
            <w:pPr>
              <w:spacing w:after="0"/>
              <w:ind w:left="100" w:right="100"/>
            </w:pPr>
            <w:r>
              <w:rPr>
                <w:rFonts w:eastAsia="Century Gothic" w:cs="Century Gothic"/>
                <w:color w:val="000000"/>
                <w:sz w:val="18"/>
                <w:szCs w:val="18"/>
              </w:rPr>
              <w:t>Clinical outcomes (e.g. percentage of patients with diabetes or asthma with good control)</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C42002" w14:textId="77777777" w:rsidR="001C19F3" w:rsidRDefault="001C19F3" w:rsidP="00521305">
            <w:pPr>
              <w:spacing w:after="0"/>
              <w:ind w:left="100" w:right="100"/>
              <w:jc w:val="right"/>
            </w:pPr>
            <w:r>
              <w:rPr>
                <w:rFonts w:eastAsia="Century Gothic" w:cs="Century Gothic"/>
                <w:color w:val="000000"/>
                <w:sz w:val="18"/>
                <w:szCs w:val="18"/>
              </w:rPr>
              <w:t>74 (62.2%)</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0CC9A3" w14:textId="77777777" w:rsidR="001C19F3" w:rsidRDefault="001C19F3" w:rsidP="00521305">
            <w:pPr>
              <w:spacing w:after="0"/>
              <w:ind w:left="100" w:right="100"/>
              <w:jc w:val="right"/>
            </w:pPr>
            <w:r>
              <w:rPr>
                <w:rFonts w:eastAsia="Century Gothic" w:cs="Century Gothic"/>
                <w:color w:val="000000"/>
                <w:sz w:val="18"/>
                <w:szCs w:val="18"/>
              </w:rPr>
              <w:t>45 (37.8%)</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A0550C" w14:textId="77777777" w:rsidR="001C19F3" w:rsidRDefault="001C19F3" w:rsidP="00521305">
            <w:pPr>
              <w:spacing w:after="0"/>
              <w:ind w:left="100" w:right="100"/>
              <w:jc w:val="right"/>
            </w:pPr>
            <w:r>
              <w:rPr>
                <w:rFonts w:eastAsia="Century Gothic" w:cs="Century Gothic"/>
                <w:color w:val="000000"/>
                <w:sz w:val="18"/>
                <w:szCs w:val="18"/>
              </w:rPr>
              <w:t>1</w:t>
            </w:r>
          </w:p>
        </w:tc>
      </w:tr>
      <w:tr w:rsidR="001C19F3" w14:paraId="7AF574D0" w14:textId="77777777" w:rsidTr="00521305">
        <w:trPr>
          <w:cantSplit/>
          <w:trHeight w:val="17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4D1C9D" w14:textId="77777777" w:rsidR="001C19F3" w:rsidRDefault="001C19F3" w:rsidP="00521305">
            <w:pPr>
              <w:spacing w:after="0"/>
              <w:ind w:left="100" w:right="100"/>
            </w:pPr>
            <w:r>
              <w:rPr>
                <w:rFonts w:eastAsia="Century Gothic" w:cs="Century Gothic"/>
                <w:color w:val="000000"/>
                <w:sz w:val="18"/>
                <w:szCs w:val="18"/>
              </w:rPr>
              <w:t>Frequency of ordering diagnostic tests</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4FAA18" w14:textId="77777777" w:rsidR="001C19F3" w:rsidRDefault="001C19F3" w:rsidP="00521305">
            <w:pPr>
              <w:spacing w:after="0"/>
              <w:ind w:left="100" w:right="100"/>
              <w:jc w:val="right"/>
            </w:pPr>
            <w:r>
              <w:rPr>
                <w:rFonts w:eastAsia="Century Gothic" w:cs="Century Gothic"/>
                <w:color w:val="000000"/>
                <w:sz w:val="18"/>
                <w:szCs w:val="18"/>
              </w:rPr>
              <w:t>69 (57.5%)</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3D4CB0" w14:textId="77777777" w:rsidR="001C19F3" w:rsidRDefault="001C19F3" w:rsidP="00521305">
            <w:pPr>
              <w:spacing w:after="0"/>
              <w:ind w:left="100" w:right="100"/>
              <w:jc w:val="right"/>
            </w:pPr>
            <w:r>
              <w:rPr>
                <w:rFonts w:eastAsia="Century Gothic" w:cs="Century Gothic"/>
                <w:color w:val="000000"/>
                <w:sz w:val="18"/>
                <w:szCs w:val="18"/>
              </w:rPr>
              <w:t>51 (42.5%)</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B3BA0E" w14:textId="77777777" w:rsidR="001C19F3" w:rsidRDefault="001C19F3" w:rsidP="00521305">
            <w:pPr>
              <w:spacing w:after="0"/>
              <w:ind w:left="100" w:right="100"/>
              <w:jc w:val="right"/>
            </w:pPr>
          </w:p>
        </w:tc>
      </w:tr>
      <w:tr w:rsidR="001C19F3" w14:paraId="3BC62FCF" w14:textId="77777777" w:rsidTr="00521305">
        <w:trPr>
          <w:cantSplit/>
          <w:trHeight w:val="17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8F4593" w14:textId="77777777" w:rsidR="001C19F3" w:rsidRDefault="001C19F3" w:rsidP="00521305">
            <w:pPr>
              <w:spacing w:after="0"/>
              <w:ind w:left="100" w:right="100"/>
            </w:pPr>
            <w:r>
              <w:rPr>
                <w:rFonts w:eastAsia="Century Gothic" w:cs="Century Gothic"/>
                <w:color w:val="000000"/>
                <w:sz w:val="18"/>
                <w:szCs w:val="18"/>
              </w:rPr>
              <w:t>Patients' hospital admissions or emergency department use</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6CF58A" w14:textId="77777777" w:rsidR="001C19F3" w:rsidRDefault="001C19F3" w:rsidP="00521305">
            <w:pPr>
              <w:spacing w:after="0"/>
              <w:ind w:left="100" w:right="100"/>
              <w:jc w:val="right"/>
            </w:pPr>
            <w:r>
              <w:rPr>
                <w:rFonts w:eastAsia="Century Gothic" w:cs="Century Gothic"/>
                <w:color w:val="000000"/>
                <w:sz w:val="18"/>
                <w:szCs w:val="18"/>
              </w:rPr>
              <w:t>92 (76.7%)</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148081" w14:textId="77777777" w:rsidR="001C19F3" w:rsidRDefault="001C19F3" w:rsidP="00521305">
            <w:pPr>
              <w:spacing w:after="0"/>
              <w:ind w:left="100" w:right="100"/>
              <w:jc w:val="right"/>
            </w:pPr>
            <w:r>
              <w:rPr>
                <w:rFonts w:eastAsia="Century Gothic" w:cs="Century Gothic"/>
                <w:color w:val="000000"/>
                <w:sz w:val="18"/>
                <w:szCs w:val="18"/>
              </w:rPr>
              <w:t>28 (23.3%)</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92B8BD" w14:textId="77777777" w:rsidR="001C19F3" w:rsidRDefault="001C19F3" w:rsidP="00521305">
            <w:pPr>
              <w:spacing w:after="0"/>
              <w:ind w:left="100" w:right="100"/>
              <w:jc w:val="right"/>
            </w:pPr>
          </w:p>
        </w:tc>
      </w:tr>
      <w:tr w:rsidR="001C19F3" w14:paraId="2B8006CC" w14:textId="77777777" w:rsidTr="00521305">
        <w:trPr>
          <w:cantSplit/>
          <w:trHeight w:val="17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24E97F" w14:textId="77777777" w:rsidR="001C19F3" w:rsidRDefault="001C19F3" w:rsidP="00521305">
            <w:pPr>
              <w:spacing w:after="0"/>
              <w:ind w:left="100" w:right="100"/>
            </w:pPr>
            <w:r>
              <w:rPr>
                <w:rFonts w:eastAsia="Century Gothic" w:cs="Century Gothic"/>
                <w:color w:val="000000"/>
                <w:sz w:val="18"/>
                <w:szCs w:val="18"/>
              </w:rPr>
              <w:t>Prescribing practices</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1E8A0C" w14:textId="77777777" w:rsidR="001C19F3" w:rsidRDefault="001C19F3" w:rsidP="00521305">
            <w:pPr>
              <w:spacing w:after="0"/>
              <w:ind w:left="100" w:right="100"/>
              <w:jc w:val="right"/>
            </w:pPr>
            <w:r>
              <w:rPr>
                <w:rFonts w:eastAsia="Century Gothic" w:cs="Century Gothic"/>
                <w:color w:val="000000"/>
                <w:sz w:val="18"/>
                <w:szCs w:val="18"/>
              </w:rPr>
              <w:t>82 (68.3%)</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A2D131" w14:textId="77777777" w:rsidR="001C19F3" w:rsidRDefault="001C19F3" w:rsidP="00521305">
            <w:pPr>
              <w:spacing w:after="0"/>
              <w:ind w:left="100" w:right="100"/>
              <w:jc w:val="right"/>
            </w:pPr>
            <w:r>
              <w:rPr>
                <w:rFonts w:eastAsia="Century Gothic" w:cs="Century Gothic"/>
                <w:color w:val="000000"/>
                <w:sz w:val="18"/>
                <w:szCs w:val="18"/>
              </w:rPr>
              <w:t>38 (31.7%)</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400EAE" w14:textId="77777777" w:rsidR="001C19F3" w:rsidRDefault="001C19F3" w:rsidP="00521305">
            <w:pPr>
              <w:spacing w:after="0"/>
              <w:ind w:left="100" w:right="100"/>
              <w:jc w:val="right"/>
            </w:pPr>
          </w:p>
        </w:tc>
      </w:tr>
      <w:tr w:rsidR="001C19F3" w14:paraId="28EB6570" w14:textId="77777777" w:rsidTr="00521305">
        <w:trPr>
          <w:cantSplit/>
          <w:trHeight w:val="170"/>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9194ED" w14:textId="77777777" w:rsidR="001C19F3" w:rsidRDefault="001C19F3" w:rsidP="00521305">
            <w:pPr>
              <w:spacing w:after="0"/>
              <w:ind w:left="100" w:right="100"/>
            </w:pPr>
            <w:r>
              <w:rPr>
                <w:rFonts w:eastAsia="Century Gothic" w:cs="Century Gothic"/>
                <w:color w:val="000000"/>
                <w:sz w:val="18"/>
                <w:szCs w:val="18"/>
              </w:rPr>
              <w:t>Surveys of patient satisfaction and experiences with care</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0B399E" w14:textId="77777777" w:rsidR="001C19F3" w:rsidRDefault="001C19F3" w:rsidP="00521305">
            <w:pPr>
              <w:spacing w:after="0"/>
              <w:ind w:left="100" w:right="100"/>
              <w:jc w:val="right"/>
            </w:pPr>
            <w:r>
              <w:rPr>
                <w:rFonts w:eastAsia="Century Gothic" w:cs="Century Gothic"/>
                <w:color w:val="000000"/>
                <w:sz w:val="18"/>
                <w:szCs w:val="18"/>
              </w:rPr>
              <w:t>74 (62.2%)</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AE1CFD" w14:textId="77777777" w:rsidR="001C19F3" w:rsidRDefault="001C19F3" w:rsidP="00521305">
            <w:pPr>
              <w:spacing w:after="0"/>
              <w:ind w:left="100" w:right="100"/>
              <w:jc w:val="right"/>
            </w:pPr>
            <w:r>
              <w:rPr>
                <w:rFonts w:eastAsia="Century Gothic" w:cs="Century Gothic"/>
                <w:color w:val="000000"/>
                <w:sz w:val="18"/>
                <w:szCs w:val="18"/>
              </w:rPr>
              <w:t>45 (37.8%)</w:t>
            </w:r>
          </w:p>
        </w:tc>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9B17C4" w14:textId="77777777" w:rsidR="001C19F3" w:rsidRDefault="001C19F3" w:rsidP="00521305">
            <w:pPr>
              <w:spacing w:after="0"/>
              <w:ind w:left="100" w:right="100"/>
              <w:jc w:val="right"/>
            </w:pPr>
            <w:r>
              <w:rPr>
                <w:rFonts w:eastAsia="Century Gothic" w:cs="Century Gothic"/>
                <w:color w:val="000000"/>
                <w:sz w:val="18"/>
                <w:szCs w:val="18"/>
              </w:rPr>
              <w:t>1</w:t>
            </w:r>
          </w:p>
        </w:tc>
      </w:tr>
    </w:tbl>
    <w:p w14:paraId="699F4C1B" w14:textId="77777777" w:rsidR="001C19F3" w:rsidRDefault="001C19F3" w:rsidP="001C19F3">
      <w:pPr>
        <w:pStyle w:val="Chartortablefootnote"/>
        <w:rPr>
          <w:rFonts w:cstheme="minorBidi"/>
          <w:szCs w:val="20"/>
        </w:rPr>
      </w:pPr>
      <w:r>
        <w:t>Source: Practice survey R1 Part A, Mar-Jun 2018, question 31.</w:t>
      </w:r>
    </w:p>
    <w:p w14:paraId="1F37A085" w14:textId="77777777" w:rsidR="001C19F3" w:rsidRDefault="001C19F3" w:rsidP="001C19F3">
      <w:pPr>
        <w:spacing w:after="160" w:line="259" w:lineRule="auto"/>
      </w:pPr>
      <w:r>
        <w:br w:type="page"/>
      </w:r>
    </w:p>
    <w:p w14:paraId="3415D9B2" w14:textId="77777777" w:rsidR="001C19F3" w:rsidRDefault="001C19F3" w:rsidP="001C19F3">
      <w:pPr>
        <w:pStyle w:val="Caption1"/>
      </w:pPr>
      <w:bookmarkStart w:id="548" w:name="_Ref22638608"/>
      <w:r>
        <w:lastRenderedPageBreak/>
        <w:t xml:space="preserve">Table </w:t>
      </w:r>
      <w:r>
        <w:fldChar w:fldCharType="begin"/>
      </w:r>
      <w:r>
        <w:instrText>SEQ Table \* ARABIC</w:instrText>
      </w:r>
      <w:r>
        <w:fldChar w:fldCharType="separate"/>
      </w:r>
      <w:r>
        <w:rPr>
          <w:noProof/>
        </w:rPr>
        <w:t>32</w:t>
      </w:r>
      <w:r>
        <w:fldChar w:fldCharType="end"/>
      </w:r>
      <w:r>
        <w:t xml:space="preserve"> – Selected processes/systems in place, baseline</w:t>
      </w:r>
      <w:bookmarkEnd w:id="548"/>
    </w:p>
    <w:tbl>
      <w:tblPr>
        <w:tblW w:w="5000" w:type="pct"/>
        <w:jc w:val="center"/>
        <w:tblLook w:val="04A0" w:firstRow="1" w:lastRow="0" w:firstColumn="1" w:lastColumn="0" w:noHBand="0" w:noVBand="1"/>
      </w:tblPr>
      <w:tblGrid>
        <w:gridCol w:w="8778"/>
        <w:gridCol w:w="1720"/>
        <w:gridCol w:w="1720"/>
        <w:gridCol w:w="1720"/>
      </w:tblGrid>
      <w:tr w:rsidR="001C19F3" w14:paraId="0A38D119" w14:textId="77777777" w:rsidTr="00521305">
        <w:trPr>
          <w:cantSplit/>
          <w:trHeight w:val="331"/>
          <w:tblHeader/>
          <w:jc w:val="center"/>
        </w:trPr>
        <w:tc>
          <w:tcPr>
            <w:tcW w:w="3149"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4D512A" w14:textId="77777777" w:rsidR="001C19F3" w:rsidRDefault="001C19F3" w:rsidP="00521305">
            <w:pPr>
              <w:spacing w:after="0"/>
              <w:jc w:val="center"/>
            </w:pPr>
            <w:r>
              <w:rPr>
                <w:rFonts w:eastAsia="Century Gothic" w:cs="Century Gothic"/>
                <w:b/>
                <w:color w:val="FFFFFF"/>
                <w:sz w:val="18"/>
                <w:szCs w:val="18"/>
              </w:rPr>
              <w:t>Response</w:t>
            </w:r>
          </w:p>
        </w:tc>
        <w:tc>
          <w:tcPr>
            <w:tcW w:w="61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2F8762" w14:textId="77777777" w:rsidR="001C19F3" w:rsidRDefault="001C19F3" w:rsidP="00521305">
            <w:pPr>
              <w:spacing w:after="0"/>
              <w:jc w:val="center"/>
            </w:pPr>
            <w:r>
              <w:rPr>
                <w:rFonts w:eastAsia="Century Gothic" w:cs="Century Gothic"/>
                <w:b/>
                <w:color w:val="FFFFFF"/>
                <w:sz w:val="18"/>
                <w:szCs w:val="18"/>
              </w:rPr>
              <w:t>Yes</w:t>
            </w:r>
          </w:p>
        </w:tc>
        <w:tc>
          <w:tcPr>
            <w:tcW w:w="61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4698D40" w14:textId="77777777" w:rsidR="001C19F3" w:rsidRDefault="001C19F3" w:rsidP="00521305">
            <w:pPr>
              <w:spacing w:after="0"/>
              <w:jc w:val="center"/>
            </w:pPr>
            <w:r>
              <w:rPr>
                <w:rFonts w:eastAsia="Century Gothic" w:cs="Century Gothic"/>
                <w:b/>
                <w:color w:val="FFFFFF"/>
                <w:sz w:val="18"/>
                <w:szCs w:val="18"/>
              </w:rPr>
              <w:t>No</w:t>
            </w:r>
          </w:p>
        </w:tc>
        <w:tc>
          <w:tcPr>
            <w:tcW w:w="61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5C9123"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6707610E" w14:textId="77777777" w:rsidTr="00521305">
        <w:trPr>
          <w:cantSplit/>
          <w:trHeight w:val="283"/>
          <w:jc w:val="center"/>
        </w:trPr>
        <w:tc>
          <w:tcPr>
            <w:tcW w:w="31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BA5658" w14:textId="77777777" w:rsidR="001C19F3" w:rsidRDefault="001C19F3" w:rsidP="00521305">
            <w:pPr>
              <w:spacing w:after="0"/>
              <w:ind w:left="100" w:right="100"/>
            </w:pPr>
            <w:r>
              <w:rPr>
                <w:rFonts w:eastAsia="Century Gothic" w:cs="Century Gothic"/>
                <w:color w:val="000000"/>
                <w:sz w:val="18"/>
                <w:szCs w:val="18"/>
              </w:rPr>
              <w:t>A checklist for preventive clinical practices (counselling, screening, immunisation) to carry out with patients, according to guidelines?</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8F3287" w14:textId="77777777" w:rsidR="001C19F3" w:rsidRDefault="001C19F3" w:rsidP="00521305">
            <w:pPr>
              <w:spacing w:after="0"/>
              <w:ind w:left="100" w:right="100"/>
              <w:jc w:val="right"/>
            </w:pPr>
            <w:r>
              <w:rPr>
                <w:rFonts w:eastAsia="Century Gothic" w:cs="Century Gothic"/>
                <w:color w:val="000000"/>
                <w:sz w:val="18"/>
                <w:szCs w:val="18"/>
              </w:rPr>
              <w:t>104 (86.7%)</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924699" w14:textId="77777777" w:rsidR="001C19F3" w:rsidRDefault="001C19F3" w:rsidP="00521305">
            <w:pPr>
              <w:spacing w:after="0"/>
              <w:ind w:left="100" w:right="100"/>
              <w:jc w:val="right"/>
            </w:pPr>
            <w:r>
              <w:rPr>
                <w:rFonts w:eastAsia="Century Gothic" w:cs="Century Gothic"/>
                <w:color w:val="000000"/>
                <w:sz w:val="18"/>
                <w:szCs w:val="18"/>
              </w:rPr>
              <w:t>16 (13.3%)</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AB4875" w14:textId="77777777" w:rsidR="001C19F3" w:rsidRDefault="001C19F3" w:rsidP="00521305">
            <w:pPr>
              <w:spacing w:after="0"/>
              <w:ind w:left="100" w:right="100"/>
              <w:jc w:val="right"/>
            </w:pPr>
          </w:p>
        </w:tc>
      </w:tr>
      <w:tr w:rsidR="001C19F3" w14:paraId="54A5A706" w14:textId="77777777" w:rsidTr="00521305">
        <w:trPr>
          <w:cantSplit/>
          <w:trHeight w:val="283"/>
          <w:jc w:val="center"/>
        </w:trPr>
        <w:tc>
          <w:tcPr>
            <w:tcW w:w="31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234AE7" w14:textId="77777777" w:rsidR="001C19F3" w:rsidRDefault="001C19F3" w:rsidP="00521305">
            <w:pPr>
              <w:spacing w:after="0"/>
              <w:ind w:left="100" w:right="100"/>
            </w:pPr>
            <w:r>
              <w:rPr>
                <w:rFonts w:eastAsia="Century Gothic" w:cs="Century Gothic"/>
                <w:color w:val="000000"/>
                <w:sz w:val="18"/>
                <w:szCs w:val="18"/>
              </w:rPr>
              <w:t>A reminder system to invite patients to recommend screening tests (e.g. Pap test, mammogram)?</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D3A36" w14:textId="77777777" w:rsidR="001C19F3" w:rsidRDefault="001C19F3" w:rsidP="00521305">
            <w:pPr>
              <w:spacing w:after="0"/>
              <w:ind w:left="100" w:right="100"/>
              <w:jc w:val="right"/>
            </w:pPr>
            <w:r>
              <w:rPr>
                <w:rFonts w:eastAsia="Century Gothic" w:cs="Century Gothic"/>
                <w:color w:val="000000"/>
                <w:sz w:val="18"/>
                <w:szCs w:val="18"/>
              </w:rPr>
              <w:t>119 (99.2%)</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AF0F98" w14:textId="77777777" w:rsidR="001C19F3" w:rsidRDefault="001C19F3" w:rsidP="00521305">
            <w:pPr>
              <w:spacing w:after="0"/>
              <w:ind w:left="100" w:right="100"/>
              <w:jc w:val="right"/>
            </w:pPr>
            <w:r>
              <w:rPr>
                <w:rFonts w:eastAsia="Century Gothic" w:cs="Century Gothic"/>
                <w:color w:val="000000"/>
                <w:sz w:val="18"/>
                <w:szCs w:val="18"/>
              </w:rPr>
              <w:t>1 (0.8%)</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F61C3A" w14:textId="77777777" w:rsidR="001C19F3" w:rsidRDefault="001C19F3" w:rsidP="00521305">
            <w:pPr>
              <w:spacing w:after="0"/>
              <w:ind w:left="100" w:right="100"/>
              <w:jc w:val="right"/>
            </w:pPr>
          </w:p>
        </w:tc>
      </w:tr>
      <w:tr w:rsidR="001C19F3" w14:paraId="620E686F" w14:textId="77777777" w:rsidTr="00521305">
        <w:trPr>
          <w:cantSplit/>
          <w:trHeight w:val="283"/>
          <w:jc w:val="center"/>
        </w:trPr>
        <w:tc>
          <w:tcPr>
            <w:tcW w:w="31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575BB" w14:textId="77777777" w:rsidR="001C19F3" w:rsidRDefault="001C19F3" w:rsidP="00521305">
            <w:pPr>
              <w:spacing w:after="0"/>
              <w:ind w:left="100" w:right="100"/>
            </w:pPr>
            <w:r>
              <w:rPr>
                <w:rFonts w:eastAsia="Century Gothic" w:cs="Century Gothic"/>
                <w:color w:val="000000"/>
                <w:sz w:val="18"/>
                <w:szCs w:val="18"/>
              </w:rPr>
              <w:t>A system to track laboratory tests ordered until results reach clinicians?</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827DFE" w14:textId="77777777" w:rsidR="001C19F3" w:rsidRDefault="001C19F3" w:rsidP="00521305">
            <w:pPr>
              <w:spacing w:after="0"/>
              <w:ind w:left="100" w:right="100"/>
              <w:jc w:val="right"/>
            </w:pPr>
            <w:r>
              <w:rPr>
                <w:rFonts w:eastAsia="Century Gothic" w:cs="Century Gothic"/>
                <w:color w:val="000000"/>
                <w:sz w:val="18"/>
                <w:szCs w:val="18"/>
              </w:rPr>
              <w:t>88 (73.3%)</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286B3D" w14:textId="77777777" w:rsidR="001C19F3" w:rsidRDefault="001C19F3" w:rsidP="00521305">
            <w:pPr>
              <w:spacing w:after="0"/>
              <w:ind w:left="100" w:right="100"/>
              <w:jc w:val="right"/>
            </w:pPr>
            <w:r>
              <w:rPr>
                <w:rFonts w:eastAsia="Century Gothic" w:cs="Century Gothic"/>
                <w:color w:val="000000"/>
                <w:sz w:val="18"/>
                <w:szCs w:val="18"/>
              </w:rPr>
              <w:t>32 (26.7%)</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A6E791" w14:textId="77777777" w:rsidR="001C19F3" w:rsidRDefault="001C19F3" w:rsidP="00521305">
            <w:pPr>
              <w:spacing w:after="0"/>
              <w:ind w:left="100" w:right="100"/>
              <w:jc w:val="right"/>
            </w:pPr>
          </w:p>
        </w:tc>
      </w:tr>
      <w:tr w:rsidR="001C19F3" w14:paraId="5F1C7306" w14:textId="77777777" w:rsidTr="00521305">
        <w:trPr>
          <w:cantSplit/>
          <w:trHeight w:val="283"/>
          <w:jc w:val="center"/>
        </w:trPr>
        <w:tc>
          <w:tcPr>
            <w:tcW w:w="314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C96475" w14:textId="77777777" w:rsidR="001C19F3" w:rsidRDefault="001C19F3" w:rsidP="00521305">
            <w:pPr>
              <w:spacing w:after="0"/>
              <w:ind w:left="100" w:right="100"/>
            </w:pPr>
            <w:r>
              <w:rPr>
                <w:rFonts w:eastAsia="Century Gothic" w:cs="Century Gothic"/>
                <w:color w:val="000000"/>
                <w:sz w:val="18"/>
                <w:szCs w:val="18"/>
              </w:rPr>
              <w:t>A tool to assist lifestyle counselling or to help modify behaviours (e.g. smoking cessation program, health education program)?</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1FB931" w14:textId="77777777" w:rsidR="001C19F3" w:rsidRDefault="001C19F3" w:rsidP="00521305">
            <w:pPr>
              <w:spacing w:after="0"/>
              <w:ind w:left="100" w:right="100"/>
              <w:jc w:val="right"/>
            </w:pPr>
            <w:r>
              <w:rPr>
                <w:rFonts w:eastAsia="Century Gothic" w:cs="Century Gothic"/>
                <w:color w:val="000000"/>
                <w:sz w:val="18"/>
                <w:szCs w:val="18"/>
              </w:rPr>
              <w:t>86 (72.3%)</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105AB9" w14:textId="77777777" w:rsidR="001C19F3" w:rsidRDefault="001C19F3" w:rsidP="00521305">
            <w:pPr>
              <w:spacing w:after="0"/>
              <w:ind w:left="100" w:right="100"/>
              <w:jc w:val="right"/>
            </w:pPr>
            <w:r>
              <w:rPr>
                <w:rFonts w:eastAsia="Century Gothic" w:cs="Century Gothic"/>
                <w:color w:val="000000"/>
                <w:sz w:val="18"/>
                <w:szCs w:val="18"/>
              </w:rPr>
              <w:t>33 (27.7%)</w:t>
            </w:r>
          </w:p>
        </w:tc>
        <w:tc>
          <w:tcPr>
            <w:tcW w:w="61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7567D1" w14:textId="77777777" w:rsidR="001C19F3" w:rsidRDefault="001C19F3" w:rsidP="00521305">
            <w:pPr>
              <w:spacing w:after="0"/>
              <w:ind w:left="100" w:right="100"/>
              <w:jc w:val="right"/>
            </w:pPr>
            <w:r>
              <w:rPr>
                <w:rFonts w:eastAsia="Century Gothic" w:cs="Century Gothic"/>
                <w:color w:val="000000"/>
                <w:sz w:val="18"/>
                <w:szCs w:val="18"/>
              </w:rPr>
              <w:t>1</w:t>
            </w:r>
          </w:p>
        </w:tc>
      </w:tr>
    </w:tbl>
    <w:p w14:paraId="61758C90" w14:textId="77777777" w:rsidR="001C19F3" w:rsidRDefault="001C19F3" w:rsidP="001C19F3">
      <w:pPr>
        <w:pStyle w:val="Chartortablefootnote"/>
        <w:rPr>
          <w:rFonts w:cstheme="minorBidi"/>
          <w:szCs w:val="20"/>
        </w:rPr>
      </w:pPr>
      <w:r>
        <w:t>Source: Practice survey R1 Part A, Mar-Jun 2018, question 32.</w:t>
      </w:r>
    </w:p>
    <w:p w14:paraId="759E52EA" w14:textId="77777777" w:rsidR="001C19F3" w:rsidRDefault="001C19F3" w:rsidP="001C19F3">
      <w:pPr>
        <w:pStyle w:val="Caption1"/>
      </w:pPr>
      <w:bookmarkStart w:id="549" w:name="_Ref22638685"/>
      <w:r>
        <w:t xml:space="preserve">Table </w:t>
      </w:r>
      <w:r>
        <w:fldChar w:fldCharType="begin"/>
      </w:r>
      <w:r>
        <w:instrText>SEQ Table \* ARABIC</w:instrText>
      </w:r>
      <w:r>
        <w:fldChar w:fldCharType="separate"/>
      </w:r>
      <w:r>
        <w:rPr>
          <w:noProof/>
        </w:rPr>
        <w:t>33</w:t>
      </w:r>
      <w:r>
        <w:fldChar w:fldCharType="end"/>
      </w:r>
      <w:r>
        <w:t xml:space="preserve"> – Practice Incentive Program (PIP) participation, baseline</w:t>
      </w:r>
      <w:bookmarkEnd w:id="549"/>
    </w:p>
    <w:tbl>
      <w:tblPr>
        <w:tblW w:w="5000" w:type="pct"/>
        <w:jc w:val="center"/>
        <w:tblLook w:val="04A0" w:firstRow="1" w:lastRow="0" w:firstColumn="1" w:lastColumn="0" w:noHBand="0" w:noVBand="1"/>
      </w:tblPr>
      <w:tblGrid>
        <w:gridCol w:w="2789"/>
        <w:gridCol w:w="1239"/>
        <w:gridCol w:w="1238"/>
        <w:gridCol w:w="1240"/>
        <w:gridCol w:w="1238"/>
        <w:gridCol w:w="1238"/>
        <w:gridCol w:w="1240"/>
        <w:gridCol w:w="1238"/>
        <w:gridCol w:w="1238"/>
        <w:gridCol w:w="1240"/>
      </w:tblGrid>
      <w:tr w:rsidR="001C19F3" w14:paraId="25E79F7F" w14:textId="77777777" w:rsidTr="00521305">
        <w:trPr>
          <w:cantSplit/>
          <w:trHeight w:val="20"/>
          <w:tblHeader/>
          <w:jc w:val="center"/>
        </w:trPr>
        <w:tc>
          <w:tcPr>
            <w:tcW w:w="1000"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5DFDCB5" w14:textId="77777777" w:rsidR="001C19F3" w:rsidRDefault="001C19F3" w:rsidP="00521305">
            <w:pPr>
              <w:spacing w:after="0"/>
              <w:jc w:val="center"/>
            </w:pPr>
            <w:r>
              <w:rPr>
                <w:rFonts w:eastAsia="Century Gothic" w:cs="Century Gothic"/>
                <w:b/>
                <w:color w:val="FFFFFF"/>
                <w:sz w:val="18"/>
                <w:szCs w:val="18"/>
              </w:rPr>
              <w:t>Response</w:t>
            </w:r>
          </w:p>
        </w:tc>
        <w:tc>
          <w:tcPr>
            <w:tcW w:w="444"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22F5C8" w14:textId="77777777" w:rsidR="001C19F3" w:rsidRDefault="001C19F3" w:rsidP="00521305">
            <w:pPr>
              <w:spacing w:after="0"/>
              <w:jc w:val="center"/>
            </w:pPr>
            <w:r>
              <w:rPr>
                <w:rFonts w:eastAsia="Century Gothic" w:cs="Century Gothic"/>
                <w:b/>
                <w:color w:val="FFFFFF"/>
                <w:sz w:val="18"/>
                <w:szCs w:val="18"/>
              </w:rPr>
              <w:t>Total</w:t>
            </w:r>
          </w:p>
        </w:tc>
        <w:tc>
          <w:tcPr>
            <w:tcW w:w="889" w:type="pct"/>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03BADF5" w14:textId="77777777" w:rsidR="001C19F3" w:rsidRDefault="001C19F3" w:rsidP="00521305">
            <w:pPr>
              <w:spacing w:after="0"/>
              <w:jc w:val="center"/>
            </w:pPr>
            <w:r>
              <w:rPr>
                <w:rFonts w:eastAsia="Century Gothic" w:cs="Century Gothic"/>
                <w:b/>
                <w:color w:val="FFFFFF"/>
                <w:sz w:val="18"/>
                <w:szCs w:val="18"/>
              </w:rPr>
              <w:t>Size</w:t>
            </w:r>
          </w:p>
        </w:tc>
        <w:tc>
          <w:tcPr>
            <w:tcW w:w="1333"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8D619A" w14:textId="77777777" w:rsidR="001C19F3" w:rsidRDefault="001C19F3" w:rsidP="00521305">
            <w:pPr>
              <w:spacing w:after="0"/>
              <w:jc w:val="center"/>
            </w:pPr>
            <w:r>
              <w:rPr>
                <w:rFonts w:eastAsia="Century Gothic" w:cs="Century Gothic"/>
                <w:b/>
                <w:color w:val="FFFFFF"/>
                <w:sz w:val="18"/>
                <w:szCs w:val="18"/>
              </w:rPr>
              <w:t>Type</w:t>
            </w:r>
          </w:p>
        </w:tc>
        <w:tc>
          <w:tcPr>
            <w:tcW w:w="1333"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E6235D" w14:textId="77777777" w:rsidR="001C19F3" w:rsidRDefault="001C19F3" w:rsidP="00521305">
            <w:pPr>
              <w:spacing w:after="0"/>
              <w:jc w:val="center"/>
            </w:pPr>
            <w:r>
              <w:rPr>
                <w:rFonts w:eastAsia="Century Gothic" w:cs="Century Gothic"/>
                <w:b/>
                <w:color w:val="FFFFFF"/>
                <w:sz w:val="18"/>
                <w:szCs w:val="18"/>
              </w:rPr>
              <w:t>Location</w:t>
            </w:r>
          </w:p>
        </w:tc>
      </w:tr>
      <w:tr w:rsidR="001C19F3" w14:paraId="54482944" w14:textId="77777777" w:rsidTr="00521305">
        <w:trPr>
          <w:cantSplit/>
          <w:trHeight w:val="20"/>
          <w:tblHeader/>
          <w:jc w:val="center"/>
        </w:trPr>
        <w:tc>
          <w:tcPr>
            <w:tcW w:w="1000" w:type="pct"/>
            <w:vMerge/>
            <w:tcBorders>
              <w:top w:val="single" w:sz="8" w:space="0" w:color="BFBFBF"/>
              <w:left w:val="single" w:sz="8" w:space="0" w:color="BFBFBF"/>
              <w:bottom w:val="single" w:sz="8" w:space="0" w:color="BFBFBF"/>
              <w:right w:val="single" w:sz="8" w:space="0" w:color="BFBFBF"/>
            </w:tcBorders>
            <w:vAlign w:val="center"/>
            <w:hideMark/>
          </w:tcPr>
          <w:p w14:paraId="41DE9684" w14:textId="77777777" w:rsidR="001C19F3" w:rsidRDefault="001C19F3" w:rsidP="00521305">
            <w:pPr>
              <w:spacing w:after="0"/>
            </w:pPr>
          </w:p>
        </w:tc>
        <w:tc>
          <w:tcPr>
            <w:tcW w:w="444" w:type="pct"/>
            <w:vMerge/>
            <w:tcBorders>
              <w:top w:val="single" w:sz="8" w:space="0" w:color="BFBFBF"/>
              <w:left w:val="single" w:sz="8" w:space="0" w:color="BFBFBF"/>
              <w:bottom w:val="single" w:sz="8" w:space="0" w:color="BFBFBF"/>
              <w:right w:val="single" w:sz="8" w:space="0" w:color="BFBFBF"/>
            </w:tcBorders>
            <w:vAlign w:val="center"/>
            <w:hideMark/>
          </w:tcPr>
          <w:p w14:paraId="13411575" w14:textId="77777777" w:rsidR="001C19F3" w:rsidRDefault="001C19F3" w:rsidP="00521305">
            <w:pPr>
              <w:spacing w:after="0"/>
            </w:pP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E0D244" w14:textId="77777777" w:rsidR="001C19F3" w:rsidRDefault="001C19F3" w:rsidP="00521305">
            <w:pPr>
              <w:spacing w:after="0"/>
              <w:jc w:val="center"/>
            </w:pPr>
            <w:r>
              <w:rPr>
                <w:rFonts w:eastAsia="Century Gothic" w:cs="Century Gothic"/>
                <w:b/>
                <w:color w:val="FFFFFF"/>
                <w:sz w:val="18"/>
                <w:szCs w:val="18"/>
              </w:rPr>
              <w:t>Large/ medium</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EF4D59" w14:textId="77777777" w:rsidR="001C19F3" w:rsidRDefault="001C19F3" w:rsidP="00521305">
            <w:pPr>
              <w:spacing w:after="0"/>
              <w:jc w:val="center"/>
            </w:pPr>
            <w:r>
              <w:rPr>
                <w:rFonts w:eastAsia="Century Gothic" w:cs="Century Gothic"/>
                <w:b/>
                <w:color w:val="FFFFFF"/>
                <w:sz w:val="18"/>
                <w:szCs w:val="18"/>
              </w:rPr>
              <w:t>Small/sole</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773696" w14:textId="77777777" w:rsidR="001C19F3" w:rsidRDefault="001C19F3" w:rsidP="00521305">
            <w:pPr>
              <w:spacing w:after="0"/>
              <w:jc w:val="center"/>
            </w:pPr>
            <w:r>
              <w:rPr>
                <w:rFonts w:eastAsia="Century Gothic" w:cs="Century Gothic"/>
                <w:b/>
                <w:color w:val="FFFFFF"/>
                <w:sz w:val="18"/>
                <w:szCs w:val="18"/>
              </w:rPr>
              <w:t>Corporate</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075D781" w14:textId="77777777" w:rsidR="001C19F3" w:rsidRDefault="001C19F3" w:rsidP="00521305">
            <w:pPr>
              <w:spacing w:after="0"/>
              <w:jc w:val="center"/>
            </w:pPr>
            <w:r>
              <w:rPr>
                <w:rFonts w:eastAsia="Century Gothic" w:cs="Century Gothic"/>
                <w:b/>
                <w:color w:val="FFFFFF"/>
                <w:sz w:val="18"/>
                <w:szCs w:val="18"/>
              </w:rPr>
              <w:t>AMS</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3D966DA" w14:textId="77777777" w:rsidR="001C19F3" w:rsidRDefault="001C19F3" w:rsidP="00521305">
            <w:pPr>
              <w:spacing w:after="0"/>
              <w:jc w:val="center"/>
            </w:pPr>
            <w:r>
              <w:rPr>
                <w:rFonts w:eastAsia="Century Gothic" w:cs="Century Gothic"/>
                <w:b/>
                <w:color w:val="FFFFFF"/>
                <w:sz w:val="18"/>
                <w:szCs w:val="18"/>
              </w:rPr>
              <w:t>Independent</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4B7DC1" w14:textId="77777777" w:rsidR="001C19F3" w:rsidRDefault="001C19F3" w:rsidP="00521305">
            <w:pPr>
              <w:spacing w:after="0"/>
              <w:jc w:val="center"/>
            </w:pPr>
            <w:r>
              <w:rPr>
                <w:rFonts w:eastAsia="Century Gothic" w:cs="Century Gothic"/>
                <w:b/>
                <w:color w:val="FFFFFF"/>
                <w:sz w:val="18"/>
                <w:szCs w:val="18"/>
              </w:rPr>
              <w:t>MMM 1</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92436AB" w14:textId="77777777" w:rsidR="001C19F3" w:rsidRDefault="001C19F3" w:rsidP="00521305">
            <w:pPr>
              <w:spacing w:after="0"/>
              <w:jc w:val="center"/>
            </w:pPr>
            <w:r>
              <w:rPr>
                <w:rFonts w:eastAsia="Century Gothic" w:cs="Century Gothic"/>
                <w:b/>
                <w:color w:val="FFFFFF"/>
                <w:sz w:val="18"/>
                <w:szCs w:val="18"/>
              </w:rPr>
              <w:t>MMM 2/3</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522AFD" w14:textId="77777777" w:rsidR="001C19F3" w:rsidRDefault="001C19F3" w:rsidP="00521305">
            <w:pPr>
              <w:spacing w:after="0"/>
              <w:jc w:val="center"/>
            </w:pPr>
            <w:r>
              <w:rPr>
                <w:rFonts w:eastAsia="Century Gothic" w:cs="Century Gothic"/>
                <w:b/>
                <w:color w:val="FFFFFF"/>
                <w:sz w:val="18"/>
                <w:szCs w:val="18"/>
              </w:rPr>
              <w:t>MMM 4+</w:t>
            </w:r>
          </w:p>
        </w:tc>
      </w:tr>
      <w:tr w:rsidR="001C19F3" w14:paraId="1EE7517F"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63EB32" w14:textId="77777777" w:rsidR="001C19F3" w:rsidRDefault="001C19F3" w:rsidP="00521305">
            <w:pPr>
              <w:spacing w:after="0"/>
              <w:ind w:left="100" w:right="100"/>
            </w:pPr>
            <w:r>
              <w:rPr>
                <w:rFonts w:eastAsia="Century Gothic" w:cs="Century Gothic"/>
                <w:color w:val="000000"/>
                <w:sz w:val="18"/>
                <w:szCs w:val="18"/>
              </w:rPr>
              <w:t>Diabetes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42C0AB" w14:textId="77777777" w:rsidR="001C19F3" w:rsidRDefault="001C19F3" w:rsidP="00521305">
            <w:pPr>
              <w:spacing w:after="0"/>
              <w:ind w:left="100" w:right="100"/>
              <w:jc w:val="right"/>
            </w:pPr>
            <w:r>
              <w:rPr>
                <w:rFonts w:eastAsia="Century Gothic" w:cs="Century Gothic"/>
                <w:color w:val="000000"/>
                <w:sz w:val="18"/>
                <w:szCs w:val="18"/>
              </w:rPr>
              <w:t>114 (95.0%)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E6425B" w14:textId="77777777" w:rsidR="001C19F3" w:rsidRDefault="001C19F3" w:rsidP="00521305">
            <w:pPr>
              <w:spacing w:after="0"/>
              <w:ind w:left="100" w:right="100"/>
              <w:jc w:val="right"/>
            </w:pPr>
            <w:r>
              <w:rPr>
                <w:rFonts w:eastAsia="Century Gothic" w:cs="Century Gothic"/>
                <w:color w:val="000000"/>
                <w:sz w:val="18"/>
                <w:szCs w:val="18"/>
              </w:rPr>
              <w:t>44 (93.6%)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8C558E" w14:textId="77777777" w:rsidR="001C19F3" w:rsidRDefault="001C19F3" w:rsidP="00521305">
            <w:pPr>
              <w:spacing w:after="0"/>
              <w:ind w:left="100" w:right="100"/>
              <w:jc w:val="right"/>
            </w:pPr>
            <w:r>
              <w:rPr>
                <w:rFonts w:eastAsia="Century Gothic" w:cs="Century Gothic"/>
                <w:color w:val="000000"/>
                <w:sz w:val="18"/>
                <w:szCs w:val="18"/>
              </w:rPr>
              <w:t>70 (97.2%)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BB00C8" w14:textId="77777777" w:rsidR="001C19F3" w:rsidRDefault="001C19F3" w:rsidP="00521305">
            <w:pPr>
              <w:spacing w:after="0"/>
              <w:ind w:left="100" w:right="100"/>
              <w:jc w:val="right"/>
            </w:pPr>
            <w:r>
              <w:rPr>
                <w:rFonts w:eastAsia="Century Gothic" w:cs="Century Gothic"/>
                <w:color w:val="000000"/>
                <w:sz w:val="18"/>
                <w:szCs w:val="18"/>
              </w:rPr>
              <w:t>17 (100.0%)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9A41E" w14:textId="77777777" w:rsidR="001C19F3" w:rsidRDefault="001C19F3" w:rsidP="00521305">
            <w:pPr>
              <w:spacing w:after="0"/>
              <w:ind w:left="100" w:right="100"/>
              <w:jc w:val="right"/>
            </w:pPr>
            <w:r>
              <w:rPr>
                <w:rFonts w:eastAsia="Century Gothic" w:cs="Century Gothic"/>
                <w:color w:val="000000"/>
                <w:sz w:val="18"/>
                <w:szCs w:val="18"/>
              </w:rPr>
              <w:t>15 (100.0%)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9D3DD" w14:textId="77777777" w:rsidR="001C19F3" w:rsidRDefault="001C19F3" w:rsidP="00521305">
            <w:pPr>
              <w:spacing w:after="0"/>
              <w:ind w:left="100" w:right="100"/>
              <w:jc w:val="right"/>
            </w:pPr>
            <w:r>
              <w:rPr>
                <w:rFonts w:eastAsia="Century Gothic" w:cs="Century Gothic"/>
                <w:color w:val="000000"/>
                <w:sz w:val="18"/>
                <w:szCs w:val="18"/>
              </w:rPr>
              <w:t>82 (94.3%)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018B44" w14:textId="77777777" w:rsidR="001C19F3" w:rsidRDefault="001C19F3" w:rsidP="00521305">
            <w:pPr>
              <w:spacing w:after="0"/>
              <w:ind w:left="100" w:right="100"/>
              <w:jc w:val="right"/>
            </w:pPr>
            <w:r>
              <w:rPr>
                <w:rFonts w:eastAsia="Century Gothic" w:cs="Century Gothic"/>
                <w:color w:val="000000"/>
                <w:sz w:val="18"/>
                <w:szCs w:val="18"/>
              </w:rPr>
              <w:t>77 (93.9%)</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48A291" w14:textId="77777777" w:rsidR="001C19F3" w:rsidRDefault="001C19F3" w:rsidP="00521305">
            <w:pPr>
              <w:spacing w:after="0"/>
              <w:ind w:left="100" w:right="100"/>
              <w:jc w:val="right"/>
            </w:pPr>
            <w:r>
              <w:rPr>
                <w:rFonts w:eastAsia="Century Gothic" w:cs="Century Gothic"/>
                <w:color w:val="000000"/>
                <w:sz w:val="18"/>
                <w:szCs w:val="18"/>
              </w:rPr>
              <w:t>19 (100.0%)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917FF9" w14:textId="77777777" w:rsidR="001C19F3" w:rsidRDefault="001C19F3" w:rsidP="00521305">
            <w:pPr>
              <w:spacing w:after="0"/>
              <w:ind w:left="100" w:right="100"/>
              <w:jc w:val="right"/>
            </w:pPr>
            <w:r>
              <w:rPr>
                <w:rFonts w:eastAsia="Century Gothic" w:cs="Century Gothic"/>
                <w:color w:val="000000"/>
                <w:sz w:val="18"/>
                <w:szCs w:val="18"/>
              </w:rPr>
              <w:t>18 (100.0%)</w:t>
            </w:r>
          </w:p>
        </w:tc>
      </w:tr>
      <w:tr w:rsidR="001C19F3" w14:paraId="7A62674D"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2E270A" w14:textId="77777777" w:rsidR="001C19F3" w:rsidRDefault="001C19F3" w:rsidP="00521305">
            <w:pPr>
              <w:spacing w:after="0"/>
              <w:ind w:left="100" w:right="100"/>
            </w:pPr>
            <w:r>
              <w:rPr>
                <w:rFonts w:eastAsia="Century Gothic" w:cs="Century Gothic"/>
                <w:color w:val="000000"/>
                <w:sz w:val="18"/>
                <w:szCs w:val="18"/>
              </w:rPr>
              <w:t>eHealth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9C836D" w14:textId="77777777" w:rsidR="001C19F3" w:rsidRDefault="001C19F3" w:rsidP="00521305">
            <w:pPr>
              <w:spacing w:after="0"/>
              <w:ind w:left="100" w:right="100"/>
              <w:jc w:val="right"/>
            </w:pPr>
            <w:r>
              <w:rPr>
                <w:rFonts w:eastAsia="Century Gothic" w:cs="Century Gothic"/>
                <w:color w:val="000000"/>
                <w:sz w:val="18"/>
                <w:szCs w:val="18"/>
              </w:rPr>
              <w:t>110 (91.7%)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6AA971" w14:textId="77777777" w:rsidR="001C19F3" w:rsidRDefault="001C19F3" w:rsidP="00521305">
            <w:pPr>
              <w:spacing w:after="0"/>
              <w:ind w:left="100" w:right="100"/>
              <w:jc w:val="right"/>
            </w:pPr>
            <w:r>
              <w:rPr>
                <w:rFonts w:eastAsia="Century Gothic" w:cs="Century Gothic"/>
                <w:color w:val="000000"/>
                <w:sz w:val="18"/>
                <w:szCs w:val="18"/>
              </w:rPr>
              <w:t>44 (93.6%)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31A68" w14:textId="77777777" w:rsidR="001C19F3" w:rsidRDefault="001C19F3" w:rsidP="00521305">
            <w:pPr>
              <w:spacing w:after="0"/>
              <w:ind w:left="100" w:right="100"/>
              <w:jc w:val="right"/>
            </w:pPr>
            <w:r>
              <w:rPr>
                <w:rFonts w:eastAsia="Century Gothic" w:cs="Century Gothic"/>
                <w:color w:val="000000"/>
                <w:sz w:val="18"/>
                <w:szCs w:val="18"/>
              </w:rPr>
              <w:t>66 (91.7%)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48F721" w14:textId="77777777" w:rsidR="001C19F3" w:rsidRDefault="001C19F3" w:rsidP="00521305">
            <w:pPr>
              <w:spacing w:after="0"/>
              <w:ind w:left="100" w:right="100"/>
              <w:jc w:val="right"/>
            </w:pPr>
            <w:r>
              <w:rPr>
                <w:rFonts w:eastAsia="Century Gothic" w:cs="Century Gothic"/>
                <w:color w:val="000000"/>
                <w:sz w:val="18"/>
                <w:szCs w:val="18"/>
              </w:rPr>
              <w:t>14 (82.4%)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D5D51" w14:textId="77777777" w:rsidR="001C19F3" w:rsidRDefault="001C19F3" w:rsidP="00521305">
            <w:pPr>
              <w:spacing w:after="0"/>
              <w:ind w:left="100" w:right="100"/>
              <w:jc w:val="right"/>
            </w:pPr>
            <w:r>
              <w:rPr>
                <w:rFonts w:eastAsia="Century Gothic" w:cs="Century Gothic"/>
                <w:color w:val="000000"/>
                <w:sz w:val="18"/>
                <w:szCs w:val="18"/>
              </w:rPr>
              <w:t>14 (93.3%)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31CC57" w14:textId="77777777" w:rsidR="001C19F3" w:rsidRDefault="001C19F3" w:rsidP="00521305">
            <w:pPr>
              <w:spacing w:after="0"/>
              <w:ind w:left="100" w:right="100"/>
              <w:jc w:val="right"/>
            </w:pPr>
            <w:r>
              <w:rPr>
                <w:rFonts w:eastAsia="Century Gothic" w:cs="Century Gothic"/>
                <w:color w:val="000000"/>
                <w:sz w:val="18"/>
                <w:szCs w:val="18"/>
              </w:rPr>
              <w:t>82 (94.3%)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78DCE6" w14:textId="77777777" w:rsidR="001C19F3" w:rsidRDefault="001C19F3" w:rsidP="00521305">
            <w:pPr>
              <w:spacing w:after="0"/>
              <w:ind w:left="100" w:right="100"/>
              <w:jc w:val="right"/>
            </w:pPr>
            <w:r>
              <w:rPr>
                <w:rFonts w:eastAsia="Century Gothic" w:cs="Century Gothic"/>
                <w:color w:val="000000"/>
                <w:sz w:val="18"/>
                <w:szCs w:val="18"/>
              </w:rPr>
              <w:t>76 (92.7%)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BF65B5" w14:textId="77777777" w:rsidR="001C19F3" w:rsidRDefault="001C19F3" w:rsidP="00521305">
            <w:pPr>
              <w:spacing w:after="0"/>
              <w:ind w:left="100" w:right="100"/>
              <w:jc w:val="right"/>
            </w:pPr>
            <w:r>
              <w:rPr>
                <w:rFonts w:eastAsia="Century Gothic" w:cs="Century Gothic"/>
                <w:color w:val="000000"/>
                <w:sz w:val="18"/>
                <w:szCs w:val="18"/>
              </w:rPr>
              <w:t>18 (94.7%)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ADA367" w14:textId="77777777" w:rsidR="001C19F3" w:rsidRDefault="001C19F3" w:rsidP="00521305">
            <w:pPr>
              <w:spacing w:after="0"/>
              <w:ind w:left="100" w:right="100"/>
              <w:jc w:val="right"/>
            </w:pPr>
            <w:r>
              <w:rPr>
                <w:rFonts w:eastAsia="Century Gothic" w:cs="Century Gothic"/>
                <w:color w:val="000000"/>
                <w:sz w:val="18"/>
                <w:szCs w:val="18"/>
              </w:rPr>
              <w:t>16 (88.9%)</w:t>
            </w:r>
          </w:p>
        </w:tc>
      </w:tr>
      <w:tr w:rsidR="001C19F3" w14:paraId="28C1E8CB"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2200B7" w14:textId="77777777" w:rsidR="001C19F3" w:rsidRDefault="001C19F3" w:rsidP="00521305">
            <w:pPr>
              <w:spacing w:after="0"/>
              <w:ind w:left="100" w:right="100"/>
            </w:pPr>
            <w:r>
              <w:rPr>
                <w:rFonts w:eastAsia="Century Gothic" w:cs="Century Gothic"/>
                <w:color w:val="000000"/>
                <w:sz w:val="18"/>
                <w:szCs w:val="18"/>
              </w:rPr>
              <w:t>Asthma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823D2E" w14:textId="77777777" w:rsidR="001C19F3" w:rsidRDefault="001C19F3" w:rsidP="00521305">
            <w:pPr>
              <w:spacing w:after="0"/>
              <w:ind w:left="100" w:right="100"/>
              <w:jc w:val="right"/>
            </w:pPr>
            <w:r>
              <w:rPr>
                <w:rFonts w:eastAsia="Century Gothic" w:cs="Century Gothic"/>
                <w:color w:val="000000"/>
                <w:sz w:val="18"/>
                <w:szCs w:val="18"/>
              </w:rPr>
              <w:t>108 (90.0%)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71D93D" w14:textId="77777777" w:rsidR="001C19F3" w:rsidRDefault="001C19F3" w:rsidP="00521305">
            <w:pPr>
              <w:spacing w:after="0"/>
              <w:ind w:left="100" w:right="100"/>
              <w:jc w:val="right"/>
            </w:pPr>
            <w:r>
              <w:rPr>
                <w:rFonts w:eastAsia="Century Gothic" w:cs="Century Gothic"/>
                <w:color w:val="000000"/>
                <w:sz w:val="18"/>
                <w:szCs w:val="18"/>
              </w:rPr>
              <w:t>43 (91.5%)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A7D698" w14:textId="77777777" w:rsidR="001C19F3" w:rsidRDefault="001C19F3" w:rsidP="00521305">
            <w:pPr>
              <w:spacing w:after="0"/>
              <w:ind w:left="100" w:right="100"/>
              <w:jc w:val="right"/>
            </w:pPr>
            <w:r>
              <w:rPr>
                <w:rFonts w:eastAsia="Century Gothic" w:cs="Century Gothic"/>
                <w:color w:val="000000"/>
                <w:sz w:val="18"/>
                <w:szCs w:val="18"/>
              </w:rPr>
              <w:t>65 (90.3%)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07277" w14:textId="77777777" w:rsidR="001C19F3" w:rsidRDefault="001C19F3" w:rsidP="00521305">
            <w:pPr>
              <w:spacing w:after="0"/>
              <w:ind w:left="100" w:right="100"/>
              <w:jc w:val="right"/>
            </w:pPr>
            <w:r>
              <w:rPr>
                <w:rFonts w:eastAsia="Century Gothic" w:cs="Century Gothic"/>
                <w:color w:val="000000"/>
                <w:sz w:val="18"/>
                <w:szCs w:val="18"/>
              </w:rPr>
              <w:t>15 (88.2%)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9412A0" w14:textId="77777777" w:rsidR="001C19F3" w:rsidRDefault="001C19F3" w:rsidP="00521305">
            <w:pPr>
              <w:spacing w:after="0"/>
              <w:ind w:left="100" w:right="100"/>
              <w:jc w:val="right"/>
            </w:pPr>
            <w:r>
              <w:rPr>
                <w:rFonts w:eastAsia="Century Gothic" w:cs="Century Gothic"/>
                <w:color w:val="000000"/>
                <w:sz w:val="18"/>
                <w:szCs w:val="18"/>
              </w:rPr>
              <w:t>14 (93.3%)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B6456" w14:textId="77777777" w:rsidR="001C19F3" w:rsidRDefault="001C19F3" w:rsidP="00521305">
            <w:pPr>
              <w:spacing w:after="0"/>
              <w:ind w:left="100" w:right="100"/>
              <w:jc w:val="right"/>
            </w:pPr>
            <w:r>
              <w:rPr>
                <w:rFonts w:eastAsia="Century Gothic" w:cs="Century Gothic"/>
                <w:color w:val="000000"/>
                <w:sz w:val="18"/>
                <w:szCs w:val="18"/>
              </w:rPr>
              <w:t>79 (90.8%)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64F368" w14:textId="77777777" w:rsidR="001C19F3" w:rsidRDefault="001C19F3" w:rsidP="00521305">
            <w:pPr>
              <w:spacing w:after="0"/>
              <w:ind w:left="100" w:right="100"/>
              <w:jc w:val="right"/>
            </w:pPr>
            <w:r>
              <w:rPr>
                <w:rFonts w:eastAsia="Century Gothic" w:cs="Century Gothic"/>
                <w:color w:val="000000"/>
                <w:sz w:val="18"/>
                <w:szCs w:val="18"/>
              </w:rPr>
              <w:t>74 (90.2%)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DAD783" w14:textId="77777777" w:rsidR="001C19F3" w:rsidRDefault="001C19F3" w:rsidP="00521305">
            <w:pPr>
              <w:spacing w:after="0"/>
              <w:ind w:left="100" w:right="100"/>
              <w:jc w:val="right"/>
            </w:pPr>
            <w:r>
              <w:rPr>
                <w:rFonts w:eastAsia="Century Gothic" w:cs="Century Gothic"/>
                <w:color w:val="000000"/>
                <w:sz w:val="18"/>
                <w:szCs w:val="18"/>
              </w:rPr>
              <w:t>16 (84.2%)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8AAAA8" w14:textId="77777777" w:rsidR="001C19F3" w:rsidRDefault="001C19F3" w:rsidP="00521305">
            <w:pPr>
              <w:spacing w:after="0"/>
              <w:ind w:left="100" w:right="100"/>
              <w:jc w:val="right"/>
            </w:pPr>
            <w:r>
              <w:rPr>
                <w:rFonts w:eastAsia="Century Gothic" w:cs="Century Gothic"/>
                <w:color w:val="000000"/>
                <w:sz w:val="18"/>
                <w:szCs w:val="18"/>
              </w:rPr>
              <w:t>18 (100.0%)</w:t>
            </w:r>
          </w:p>
        </w:tc>
      </w:tr>
      <w:tr w:rsidR="001C19F3" w14:paraId="53F6230D"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0C6DAB" w14:textId="77777777" w:rsidR="001C19F3" w:rsidRDefault="001C19F3" w:rsidP="00521305">
            <w:pPr>
              <w:spacing w:after="0"/>
              <w:ind w:left="100" w:right="100"/>
            </w:pPr>
            <w:r>
              <w:rPr>
                <w:rFonts w:eastAsia="Century Gothic" w:cs="Century Gothic"/>
                <w:color w:val="000000"/>
                <w:sz w:val="18"/>
                <w:szCs w:val="18"/>
              </w:rPr>
              <w:t>Cervical Screening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D7FC42" w14:textId="77777777" w:rsidR="001C19F3" w:rsidRDefault="001C19F3" w:rsidP="00521305">
            <w:pPr>
              <w:spacing w:after="0"/>
              <w:ind w:left="100" w:right="100"/>
              <w:jc w:val="right"/>
            </w:pPr>
            <w:r>
              <w:rPr>
                <w:rFonts w:eastAsia="Century Gothic" w:cs="Century Gothic"/>
                <w:color w:val="000000"/>
                <w:sz w:val="18"/>
                <w:szCs w:val="18"/>
              </w:rPr>
              <w:t>105 (87.5%)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F54039" w14:textId="77777777" w:rsidR="001C19F3" w:rsidRDefault="001C19F3" w:rsidP="00521305">
            <w:pPr>
              <w:spacing w:after="0"/>
              <w:ind w:left="100" w:right="100"/>
              <w:jc w:val="right"/>
            </w:pPr>
            <w:r>
              <w:rPr>
                <w:rFonts w:eastAsia="Century Gothic" w:cs="Century Gothic"/>
                <w:color w:val="000000"/>
                <w:sz w:val="18"/>
                <w:szCs w:val="18"/>
              </w:rPr>
              <w:t>43 (91.5%)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DB926" w14:textId="77777777" w:rsidR="001C19F3" w:rsidRDefault="001C19F3" w:rsidP="00521305">
            <w:pPr>
              <w:spacing w:after="0"/>
              <w:ind w:left="100" w:right="100"/>
              <w:jc w:val="right"/>
            </w:pPr>
            <w:r>
              <w:rPr>
                <w:rFonts w:eastAsia="Century Gothic" w:cs="Century Gothic"/>
                <w:color w:val="000000"/>
                <w:sz w:val="18"/>
                <w:szCs w:val="18"/>
              </w:rPr>
              <w:t>62 (86.1%)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A4DD1F" w14:textId="77777777" w:rsidR="001C19F3" w:rsidRDefault="001C19F3" w:rsidP="00521305">
            <w:pPr>
              <w:spacing w:after="0"/>
              <w:ind w:left="100" w:right="100"/>
              <w:jc w:val="right"/>
            </w:pPr>
            <w:r>
              <w:rPr>
                <w:rFonts w:eastAsia="Century Gothic" w:cs="Century Gothic"/>
                <w:color w:val="000000"/>
                <w:sz w:val="18"/>
                <w:szCs w:val="18"/>
              </w:rPr>
              <w:t>16 (94.1%)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C39A78" w14:textId="77777777" w:rsidR="001C19F3" w:rsidRDefault="001C19F3" w:rsidP="00521305">
            <w:pPr>
              <w:spacing w:after="0"/>
              <w:ind w:left="100" w:right="100"/>
              <w:jc w:val="right"/>
            </w:pPr>
            <w:r>
              <w:rPr>
                <w:rFonts w:eastAsia="Century Gothic" w:cs="Century Gothic"/>
                <w:color w:val="000000"/>
                <w:sz w:val="18"/>
                <w:szCs w:val="18"/>
              </w:rPr>
              <w:t>15 (100.0%)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9CDE0" w14:textId="77777777" w:rsidR="001C19F3" w:rsidRDefault="001C19F3" w:rsidP="00521305">
            <w:pPr>
              <w:spacing w:after="0"/>
              <w:ind w:left="100" w:right="100"/>
              <w:jc w:val="right"/>
            </w:pPr>
            <w:r>
              <w:rPr>
                <w:rFonts w:eastAsia="Century Gothic" w:cs="Century Gothic"/>
                <w:color w:val="000000"/>
                <w:sz w:val="18"/>
                <w:szCs w:val="18"/>
              </w:rPr>
              <w:t>74 (85.1%)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2BF3E0" w14:textId="77777777" w:rsidR="001C19F3" w:rsidRDefault="001C19F3" w:rsidP="00521305">
            <w:pPr>
              <w:spacing w:after="0"/>
              <w:ind w:left="100" w:right="100"/>
              <w:jc w:val="right"/>
            </w:pPr>
            <w:r>
              <w:rPr>
                <w:rFonts w:eastAsia="Century Gothic" w:cs="Century Gothic"/>
                <w:color w:val="000000"/>
                <w:sz w:val="18"/>
                <w:szCs w:val="18"/>
              </w:rPr>
              <w:t>70 (85.4%)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37A89F" w14:textId="77777777" w:rsidR="001C19F3" w:rsidRDefault="001C19F3" w:rsidP="00521305">
            <w:pPr>
              <w:spacing w:after="0"/>
              <w:ind w:left="100" w:right="100"/>
              <w:jc w:val="right"/>
            </w:pPr>
            <w:r>
              <w:rPr>
                <w:rFonts w:eastAsia="Century Gothic" w:cs="Century Gothic"/>
                <w:color w:val="000000"/>
                <w:sz w:val="18"/>
                <w:szCs w:val="18"/>
              </w:rPr>
              <w:t>17 (89.5%)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4CCA35" w14:textId="77777777" w:rsidR="001C19F3" w:rsidRDefault="001C19F3" w:rsidP="00521305">
            <w:pPr>
              <w:spacing w:after="0"/>
              <w:ind w:left="100" w:right="100"/>
              <w:jc w:val="right"/>
            </w:pPr>
            <w:r>
              <w:rPr>
                <w:rFonts w:eastAsia="Century Gothic" w:cs="Century Gothic"/>
                <w:color w:val="000000"/>
                <w:sz w:val="18"/>
                <w:szCs w:val="18"/>
              </w:rPr>
              <w:t>18 (100.0%)</w:t>
            </w:r>
          </w:p>
        </w:tc>
      </w:tr>
      <w:tr w:rsidR="001C19F3" w14:paraId="534C8F4E"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AB94B9" w14:textId="77777777" w:rsidR="001C19F3" w:rsidRDefault="001C19F3" w:rsidP="00521305">
            <w:pPr>
              <w:spacing w:after="0"/>
              <w:ind w:left="100" w:right="100"/>
            </w:pPr>
            <w:r>
              <w:rPr>
                <w:rFonts w:eastAsia="Century Gothic" w:cs="Century Gothic"/>
                <w:color w:val="000000"/>
                <w:sz w:val="18"/>
                <w:szCs w:val="18"/>
              </w:rPr>
              <w:t>Practice Incentive Program After Hours Initiative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753F5E" w14:textId="77777777" w:rsidR="001C19F3" w:rsidRDefault="001C19F3" w:rsidP="00521305">
            <w:pPr>
              <w:spacing w:after="0"/>
              <w:ind w:left="100" w:right="100"/>
              <w:jc w:val="right"/>
            </w:pPr>
            <w:r>
              <w:rPr>
                <w:rFonts w:eastAsia="Century Gothic" w:cs="Century Gothic"/>
                <w:color w:val="000000"/>
                <w:sz w:val="18"/>
                <w:szCs w:val="18"/>
              </w:rPr>
              <w:t>86 (71.7%)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0CE1E6" w14:textId="77777777" w:rsidR="001C19F3" w:rsidRDefault="001C19F3" w:rsidP="00521305">
            <w:pPr>
              <w:spacing w:after="0"/>
              <w:ind w:left="100" w:right="100"/>
              <w:jc w:val="right"/>
            </w:pPr>
            <w:r>
              <w:rPr>
                <w:rFonts w:eastAsia="Century Gothic" w:cs="Century Gothic"/>
                <w:color w:val="000000"/>
                <w:sz w:val="18"/>
                <w:szCs w:val="18"/>
              </w:rPr>
              <w:t>41 (87.2%)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430BD9" w14:textId="77777777" w:rsidR="001C19F3" w:rsidRDefault="001C19F3" w:rsidP="00521305">
            <w:pPr>
              <w:spacing w:after="0"/>
              <w:ind w:left="100" w:right="100"/>
              <w:jc w:val="right"/>
            </w:pPr>
            <w:r>
              <w:rPr>
                <w:rFonts w:eastAsia="Century Gothic" w:cs="Century Gothic"/>
                <w:color w:val="000000"/>
                <w:sz w:val="18"/>
                <w:szCs w:val="18"/>
              </w:rPr>
              <w:t>45 (62.5%)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2A4EC3" w14:textId="77777777" w:rsidR="001C19F3" w:rsidRDefault="001C19F3" w:rsidP="00521305">
            <w:pPr>
              <w:spacing w:after="0"/>
              <w:ind w:left="100" w:right="100"/>
              <w:jc w:val="right"/>
            </w:pPr>
            <w:r>
              <w:rPr>
                <w:rFonts w:eastAsia="Century Gothic" w:cs="Century Gothic"/>
                <w:color w:val="000000"/>
                <w:sz w:val="18"/>
                <w:szCs w:val="18"/>
              </w:rPr>
              <w:t>12 (70.6%)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1C5AE5" w14:textId="77777777" w:rsidR="001C19F3" w:rsidRDefault="001C19F3" w:rsidP="00521305">
            <w:pPr>
              <w:spacing w:after="0"/>
              <w:ind w:left="100" w:right="100"/>
              <w:jc w:val="right"/>
            </w:pPr>
            <w:r>
              <w:rPr>
                <w:rFonts w:eastAsia="Century Gothic" w:cs="Century Gothic"/>
                <w:color w:val="000000"/>
                <w:sz w:val="18"/>
                <w:szCs w:val="18"/>
              </w:rPr>
              <w:t>7 (46.7%)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D7C4AE" w14:textId="77777777" w:rsidR="001C19F3" w:rsidRDefault="001C19F3" w:rsidP="00521305">
            <w:pPr>
              <w:spacing w:after="0"/>
              <w:ind w:left="100" w:right="100"/>
              <w:jc w:val="right"/>
            </w:pPr>
            <w:r>
              <w:rPr>
                <w:rFonts w:eastAsia="Century Gothic" w:cs="Century Gothic"/>
                <w:color w:val="000000"/>
                <w:sz w:val="18"/>
                <w:szCs w:val="18"/>
              </w:rPr>
              <w:t>67 (77.0%)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A1179C" w14:textId="77777777" w:rsidR="001C19F3" w:rsidRDefault="001C19F3" w:rsidP="00521305">
            <w:pPr>
              <w:spacing w:after="0"/>
              <w:ind w:left="100" w:right="100"/>
              <w:jc w:val="right"/>
            </w:pPr>
            <w:r>
              <w:rPr>
                <w:rFonts w:eastAsia="Century Gothic" w:cs="Century Gothic"/>
                <w:color w:val="000000"/>
                <w:sz w:val="18"/>
                <w:szCs w:val="18"/>
              </w:rPr>
              <w:t>59 (72.0%)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391B1" w14:textId="77777777" w:rsidR="001C19F3" w:rsidRDefault="001C19F3" w:rsidP="00521305">
            <w:pPr>
              <w:spacing w:after="0"/>
              <w:ind w:left="100" w:right="100"/>
              <w:jc w:val="right"/>
            </w:pPr>
            <w:r>
              <w:rPr>
                <w:rFonts w:eastAsia="Century Gothic" w:cs="Century Gothic"/>
                <w:color w:val="000000"/>
                <w:sz w:val="18"/>
                <w:szCs w:val="18"/>
              </w:rPr>
              <w:t>17 (89.5%)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C8FADB" w14:textId="77777777" w:rsidR="001C19F3" w:rsidRDefault="001C19F3" w:rsidP="00521305">
            <w:pPr>
              <w:spacing w:after="0"/>
              <w:ind w:left="100" w:right="100"/>
              <w:jc w:val="right"/>
            </w:pPr>
            <w:r>
              <w:rPr>
                <w:rFonts w:eastAsia="Century Gothic" w:cs="Century Gothic"/>
                <w:color w:val="000000"/>
                <w:sz w:val="18"/>
                <w:szCs w:val="18"/>
              </w:rPr>
              <w:t>10 (55.6%)</w:t>
            </w:r>
          </w:p>
        </w:tc>
      </w:tr>
      <w:tr w:rsidR="001C19F3" w14:paraId="6CF15060"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2284D1" w14:textId="77777777" w:rsidR="001C19F3" w:rsidRDefault="001C19F3" w:rsidP="00521305">
            <w:pPr>
              <w:spacing w:after="0"/>
              <w:ind w:left="100" w:right="100"/>
            </w:pPr>
            <w:r>
              <w:rPr>
                <w:rFonts w:eastAsia="Century Gothic" w:cs="Century Gothic"/>
                <w:color w:val="000000"/>
                <w:sz w:val="18"/>
                <w:szCs w:val="18"/>
              </w:rPr>
              <w:t>Indigenous Health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E2BD4" w14:textId="77777777" w:rsidR="001C19F3" w:rsidRDefault="001C19F3" w:rsidP="00521305">
            <w:pPr>
              <w:spacing w:after="0"/>
              <w:ind w:left="100" w:right="100"/>
              <w:jc w:val="right"/>
            </w:pPr>
            <w:r>
              <w:rPr>
                <w:rFonts w:eastAsia="Century Gothic" w:cs="Century Gothic"/>
                <w:color w:val="000000"/>
                <w:sz w:val="18"/>
                <w:szCs w:val="18"/>
              </w:rPr>
              <w:t>83 (69.2%)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43F0D" w14:textId="77777777" w:rsidR="001C19F3" w:rsidRDefault="001C19F3" w:rsidP="00521305">
            <w:pPr>
              <w:spacing w:after="0"/>
              <w:ind w:left="100" w:right="100"/>
              <w:jc w:val="right"/>
            </w:pPr>
            <w:r>
              <w:rPr>
                <w:rFonts w:eastAsia="Century Gothic" w:cs="Century Gothic"/>
                <w:color w:val="000000"/>
                <w:sz w:val="18"/>
                <w:szCs w:val="18"/>
              </w:rPr>
              <w:t>35 (74.5%)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3CA2A" w14:textId="77777777" w:rsidR="001C19F3" w:rsidRDefault="001C19F3" w:rsidP="00521305">
            <w:pPr>
              <w:spacing w:after="0"/>
              <w:ind w:left="100" w:right="100"/>
              <w:jc w:val="right"/>
            </w:pPr>
            <w:r>
              <w:rPr>
                <w:rFonts w:eastAsia="Century Gothic" w:cs="Century Gothic"/>
                <w:color w:val="000000"/>
                <w:sz w:val="18"/>
                <w:szCs w:val="18"/>
              </w:rPr>
              <w:t>48 (66.7%)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0F6B39" w14:textId="77777777" w:rsidR="001C19F3" w:rsidRDefault="001C19F3" w:rsidP="00521305">
            <w:pPr>
              <w:spacing w:after="0"/>
              <w:ind w:left="100" w:right="100"/>
              <w:jc w:val="right"/>
            </w:pPr>
            <w:r>
              <w:rPr>
                <w:rFonts w:eastAsia="Century Gothic" w:cs="Century Gothic"/>
                <w:color w:val="000000"/>
                <w:sz w:val="18"/>
                <w:szCs w:val="18"/>
              </w:rPr>
              <w:t>13 (76.5%)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14BDD" w14:textId="77777777" w:rsidR="001C19F3" w:rsidRDefault="001C19F3" w:rsidP="00521305">
            <w:pPr>
              <w:spacing w:after="0"/>
              <w:ind w:left="100" w:right="100"/>
              <w:jc w:val="right"/>
            </w:pPr>
            <w:r>
              <w:rPr>
                <w:rFonts w:eastAsia="Century Gothic" w:cs="Century Gothic"/>
                <w:color w:val="000000"/>
                <w:sz w:val="18"/>
                <w:szCs w:val="18"/>
              </w:rPr>
              <w:t>11 (73.3%)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18352D" w14:textId="77777777" w:rsidR="001C19F3" w:rsidRDefault="001C19F3" w:rsidP="00521305">
            <w:pPr>
              <w:spacing w:after="0"/>
              <w:ind w:left="100" w:right="100"/>
              <w:jc w:val="right"/>
            </w:pPr>
            <w:r>
              <w:rPr>
                <w:rFonts w:eastAsia="Century Gothic" w:cs="Century Gothic"/>
                <w:color w:val="000000"/>
                <w:sz w:val="18"/>
                <w:szCs w:val="18"/>
              </w:rPr>
              <w:t>59 (67.8%)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BCDBAA" w14:textId="77777777" w:rsidR="001C19F3" w:rsidRDefault="001C19F3" w:rsidP="00521305">
            <w:pPr>
              <w:spacing w:after="0"/>
              <w:ind w:left="100" w:right="100"/>
              <w:jc w:val="right"/>
            </w:pPr>
            <w:r>
              <w:rPr>
                <w:rFonts w:eastAsia="Century Gothic" w:cs="Century Gothic"/>
                <w:color w:val="000000"/>
                <w:sz w:val="18"/>
                <w:szCs w:val="18"/>
              </w:rPr>
              <w:t>50 (61.0%)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43B3D7" w14:textId="77777777" w:rsidR="001C19F3" w:rsidRDefault="001C19F3" w:rsidP="00521305">
            <w:pPr>
              <w:spacing w:after="0"/>
              <w:ind w:left="100" w:right="100"/>
              <w:jc w:val="right"/>
            </w:pPr>
            <w:r>
              <w:rPr>
                <w:rFonts w:eastAsia="Century Gothic" w:cs="Century Gothic"/>
                <w:color w:val="000000"/>
                <w:sz w:val="18"/>
                <w:szCs w:val="18"/>
              </w:rPr>
              <w:t>19 (100.0%)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729F4" w14:textId="77777777" w:rsidR="001C19F3" w:rsidRDefault="001C19F3" w:rsidP="00521305">
            <w:pPr>
              <w:spacing w:after="0"/>
              <w:ind w:left="100" w:right="100"/>
              <w:jc w:val="right"/>
            </w:pPr>
            <w:r>
              <w:rPr>
                <w:rFonts w:eastAsia="Century Gothic" w:cs="Century Gothic"/>
                <w:color w:val="000000"/>
                <w:sz w:val="18"/>
                <w:szCs w:val="18"/>
              </w:rPr>
              <w:t>14 (77.8%)</w:t>
            </w:r>
          </w:p>
        </w:tc>
      </w:tr>
      <w:tr w:rsidR="001C19F3" w14:paraId="4C72036E"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A571CF" w14:textId="77777777" w:rsidR="001C19F3" w:rsidRDefault="001C19F3" w:rsidP="00521305">
            <w:pPr>
              <w:spacing w:after="0"/>
              <w:ind w:left="100" w:right="100"/>
            </w:pPr>
            <w:r>
              <w:rPr>
                <w:rFonts w:eastAsia="Century Gothic" w:cs="Century Gothic"/>
                <w:color w:val="000000"/>
                <w:sz w:val="18"/>
                <w:szCs w:val="18"/>
              </w:rPr>
              <w:t>Teaching Payment</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0BBA49" w14:textId="77777777" w:rsidR="001C19F3" w:rsidRDefault="001C19F3" w:rsidP="00521305">
            <w:pPr>
              <w:spacing w:after="0"/>
              <w:ind w:left="100" w:right="100"/>
              <w:jc w:val="right"/>
            </w:pPr>
            <w:r>
              <w:rPr>
                <w:rFonts w:eastAsia="Century Gothic" w:cs="Century Gothic"/>
                <w:color w:val="000000"/>
                <w:sz w:val="18"/>
                <w:szCs w:val="18"/>
              </w:rPr>
              <w:t>58 (48.3%)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F6632D" w14:textId="77777777" w:rsidR="001C19F3" w:rsidRDefault="001C19F3" w:rsidP="00521305">
            <w:pPr>
              <w:spacing w:after="0"/>
              <w:ind w:left="100" w:right="100"/>
              <w:jc w:val="right"/>
            </w:pPr>
            <w:r>
              <w:rPr>
                <w:rFonts w:eastAsia="Century Gothic" w:cs="Century Gothic"/>
                <w:color w:val="000000"/>
                <w:sz w:val="18"/>
                <w:szCs w:val="18"/>
              </w:rPr>
              <w:t>28 (59.6%)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47A6CB" w14:textId="77777777" w:rsidR="001C19F3" w:rsidRDefault="001C19F3" w:rsidP="00521305">
            <w:pPr>
              <w:spacing w:after="0"/>
              <w:ind w:left="100" w:right="100"/>
              <w:jc w:val="right"/>
            </w:pPr>
            <w:r>
              <w:rPr>
                <w:rFonts w:eastAsia="Century Gothic" w:cs="Century Gothic"/>
                <w:color w:val="000000"/>
                <w:sz w:val="18"/>
                <w:szCs w:val="18"/>
              </w:rPr>
              <w:t>30 (41.7%)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D66D86" w14:textId="77777777" w:rsidR="001C19F3" w:rsidRDefault="001C19F3" w:rsidP="00521305">
            <w:pPr>
              <w:spacing w:after="0"/>
              <w:ind w:left="100" w:right="100"/>
              <w:jc w:val="right"/>
            </w:pPr>
            <w:r>
              <w:rPr>
                <w:rFonts w:eastAsia="Century Gothic" w:cs="Century Gothic"/>
                <w:color w:val="000000"/>
                <w:sz w:val="18"/>
                <w:szCs w:val="18"/>
              </w:rPr>
              <w:t>5 (29.4%)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3474DC" w14:textId="77777777" w:rsidR="001C19F3" w:rsidRDefault="001C19F3" w:rsidP="00521305">
            <w:pPr>
              <w:spacing w:after="0"/>
              <w:ind w:left="100" w:right="100"/>
              <w:jc w:val="right"/>
            </w:pPr>
            <w:r>
              <w:rPr>
                <w:rFonts w:eastAsia="Century Gothic" w:cs="Century Gothic"/>
                <w:color w:val="000000"/>
                <w:sz w:val="18"/>
                <w:szCs w:val="18"/>
              </w:rPr>
              <w:t>7 (46.7%)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740B31" w14:textId="77777777" w:rsidR="001C19F3" w:rsidRDefault="001C19F3" w:rsidP="00521305">
            <w:pPr>
              <w:spacing w:after="0"/>
              <w:ind w:left="100" w:right="100"/>
              <w:jc w:val="right"/>
            </w:pPr>
            <w:r>
              <w:rPr>
                <w:rFonts w:eastAsia="Century Gothic" w:cs="Century Gothic"/>
                <w:color w:val="000000"/>
                <w:sz w:val="18"/>
                <w:szCs w:val="18"/>
              </w:rPr>
              <w:t>46 (52.9%)</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DE2687" w14:textId="77777777" w:rsidR="001C19F3" w:rsidRDefault="001C19F3" w:rsidP="00521305">
            <w:pPr>
              <w:spacing w:after="0"/>
              <w:ind w:left="100" w:right="100"/>
              <w:jc w:val="right"/>
            </w:pPr>
            <w:r>
              <w:rPr>
                <w:rFonts w:eastAsia="Century Gothic" w:cs="Century Gothic"/>
                <w:color w:val="000000"/>
                <w:sz w:val="18"/>
                <w:szCs w:val="18"/>
              </w:rPr>
              <w:t>38 (46.3%)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78C6B6" w14:textId="77777777" w:rsidR="001C19F3" w:rsidRDefault="001C19F3" w:rsidP="00521305">
            <w:pPr>
              <w:spacing w:after="0"/>
              <w:ind w:left="100" w:right="100"/>
              <w:jc w:val="right"/>
            </w:pPr>
            <w:r>
              <w:rPr>
                <w:rFonts w:eastAsia="Century Gothic" w:cs="Century Gothic"/>
                <w:color w:val="000000"/>
                <w:sz w:val="18"/>
                <w:szCs w:val="18"/>
              </w:rPr>
              <w:t>10 (52.6%)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6BFA66" w14:textId="77777777" w:rsidR="001C19F3" w:rsidRDefault="001C19F3" w:rsidP="00521305">
            <w:pPr>
              <w:spacing w:after="0"/>
              <w:ind w:left="100" w:right="100"/>
              <w:jc w:val="right"/>
            </w:pPr>
            <w:r>
              <w:rPr>
                <w:rFonts w:eastAsia="Century Gothic" w:cs="Century Gothic"/>
                <w:color w:val="000000"/>
                <w:sz w:val="18"/>
                <w:szCs w:val="18"/>
              </w:rPr>
              <w:t>10 (55.6%)</w:t>
            </w:r>
          </w:p>
        </w:tc>
      </w:tr>
      <w:tr w:rsidR="001C19F3" w14:paraId="0A74C9CE"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FA6DC6" w14:textId="77777777" w:rsidR="001C19F3" w:rsidRDefault="001C19F3" w:rsidP="00521305">
            <w:pPr>
              <w:spacing w:after="0"/>
              <w:ind w:left="100" w:right="100"/>
            </w:pPr>
            <w:r>
              <w:rPr>
                <w:rFonts w:eastAsia="Century Gothic" w:cs="Century Gothic"/>
                <w:color w:val="000000"/>
                <w:sz w:val="18"/>
                <w:szCs w:val="18"/>
              </w:rPr>
              <w:t>Quality Prescribing Incentive (QPI)</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522477" w14:textId="77777777" w:rsidR="001C19F3" w:rsidRDefault="001C19F3" w:rsidP="00521305">
            <w:pPr>
              <w:spacing w:after="0"/>
              <w:ind w:left="100" w:right="100"/>
              <w:jc w:val="right"/>
            </w:pPr>
            <w:r>
              <w:rPr>
                <w:rFonts w:eastAsia="Century Gothic" w:cs="Century Gothic"/>
                <w:color w:val="000000"/>
                <w:sz w:val="18"/>
                <w:szCs w:val="18"/>
              </w:rPr>
              <w:t>52 (43.3%)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4DB368" w14:textId="77777777" w:rsidR="001C19F3" w:rsidRDefault="001C19F3" w:rsidP="00521305">
            <w:pPr>
              <w:spacing w:after="0"/>
              <w:ind w:left="100" w:right="100"/>
              <w:jc w:val="right"/>
            </w:pPr>
            <w:r>
              <w:rPr>
                <w:rFonts w:eastAsia="Century Gothic" w:cs="Century Gothic"/>
                <w:color w:val="000000"/>
                <w:sz w:val="18"/>
                <w:szCs w:val="18"/>
              </w:rPr>
              <w:t>18 (38.3%)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E8963D" w14:textId="77777777" w:rsidR="001C19F3" w:rsidRDefault="001C19F3" w:rsidP="00521305">
            <w:pPr>
              <w:spacing w:after="0"/>
              <w:ind w:left="100" w:right="100"/>
              <w:jc w:val="right"/>
            </w:pPr>
            <w:r>
              <w:rPr>
                <w:rFonts w:eastAsia="Century Gothic" w:cs="Century Gothic"/>
                <w:color w:val="000000"/>
                <w:sz w:val="18"/>
                <w:szCs w:val="18"/>
              </w:rPr>
              <w:t>34 (47.2%)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D88CEF" w14:textId="77777777" w:rsidR="001C19F3" w:rsidRDefault="001C19F3" w:rsidP="00521305">
            <w:pPr>
              <w:spacing w:after="0"/>
              <w:ind w:left="100" w:right="100"/>
              <w:jc w:val="right"/>
            </w:pPr>
            <w:r>
              <w:rPr>
                <w:rFonts w:eastAsia="Century Gothic" w:cs="Century Gothic"/>
                <w:color w:val="000000"/>
                <w:sz w:val="18"/>
                <w:szCs w:val="18"/>
              </w:rPr>
              <w:t>6 (35.3%)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A38085" w14:textId="77777777" w:rsidR="001C19F3" w:rsidRDefault="001C19F3" w:rsidP="00521305">
            <w:pPr>
              <w:spacing w:after="0"/>
              <w:ind w:left="100" w:right="100"/>
              <w:jc w:val="right"/>
            </w:pPr>
            <w:r>
              <w:rPr>
                <w:rFonts w:eastAsia="Century Gothic" w:cs="Century Gothic"/>
                <w:color w:val="000000"/>
                <w:sz w:val="18"/>
                <w:szCs w:val="18"/>
              </w:rPr>
              <w:t>2 (13.3%)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864409" w14:textId="77777777" w:rsidR="001C19F3" w:rsidRDefault="001C19F3" w:rsidP="00521305">
            <w:pPr>
              <w:spacing w:after="0"/>
              <w:ind w:left="100" w:right="100"/>
              <w:jc w:val="right"/>
            </w:pPr>
            <w:r>
              <w:rPr>
                <w:rFonts w:eastAsia="Century Gothic" w:cs="Century Gothic"/>
                <w:color w:val="000000"/>
                <w:sz w:val="18"/>
                <w:szCs w:val="18"/>
              </w:rPr>
              <w:t>44 (50.6%)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ECDF50" w14:textId="77777777" w:rsidR="001C19F3" w:rsidRDefault="001C19F3" w:rsidP="00521305">
            <w:pPr>
              <w:spacing w:after="0"/>
              <w:ind w:left="100" w:right="100"/>
              <w:jc w:val="right"/>
            </w:pPr>
            <w:r>
              <w:rPr>
                <w:rFonts w:eastAsia="Century Gothic" w:cs="Century Gothic"/>
                <w:color w:val="000000"/>
                <w:sz w:val="18"/>
                <w:szCs w:val="18"/>
              </w:rPr>
              <w:t>34 (41.5%)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3FFC4C" w14:textId="77777777" w:rsidR="001C19F3" w:rsidRDefault="001C19F3" w:rsidP="00521305">
            <w:pPr>
              <w:spacing w:after="0"/>
              <w:ind w:left="100" w:right="100"/>
              <w:jc w:val="right"/>
            </w:pPr>
            <w:r>
              <w:rPr>
                <w:rFonts w:eastAsia="Century Gothic" w:cs="Century Gothic"/>
                <w:color w:val="000000"/>
                <w:sz w:val="18"/>
                <w:szCs w:val="18"/>
              </w:rPr>
              <w:t>12 (63.2%)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EA962" w14:textId="77777777" w:rsidR="001C19F3" w:rsidRDefault="001C19F3" w:rsidP="00521305">
            <w:pPr>
              <w:spacing w:after="0"/>
              <w:ind w:left="100" w:right="100"/>
              <w:jc w:val="right"/>
            </w:pPr>
            <w:r>
              <w:rPr>
                <w:rFonts w:eastAsia="Century Gothic" w:cs="Century Gothic"/>
                <w:color w:val="000000"/>
                <w:sz w:val="18"/>
                <w:szCs w:val="18"/>
              </w:rPr>
              <w:t>6 (33.3%)</w:t>
            </w:r>
          </w:p>
        </w:tc>
      </w:tr>
      <w:tr w:rsidR="001C19F3" w14:paraId="6C90AEE8"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6E95F7" w14:textId="77777777" w:rsidR="001C19F3" w:rsidRDefault="001C19F3" w:rsidP="00521305">
            <w:pPr>
              <w:spacing w:after="0"/>
              <w:ind w:left="100" w:right="100"/>
            </w:pPr>
            <w:r>
              <w:rPr>
                <w:rFonts w:eastAsia="Century Gothic" w:cs="Century Gothic"/>
                <w:color w:val="000000"/>
                <w:sz w:val="18"/>
                <w:szCs w:val="18"/>
              </w:rPr>
              <w:t>General Practitioner Aged Care Access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C030E" w14:textId="77777777" w:rsidR="001C19F3" w:rsidRDefault="001C19F3" w:rsidP="00521305">
            <w:pPr>
              <w:spacing w:after="0"/>
              <w:ind w:left="100" w:right="100"/>
              <w:jc w:val="right"/>
            </w:pPr>
            <w:r>
              <w:rPr>
                <w:rFonts w:eastAsia="Century Gothic" w:cs="Century Gothic"/>
                <w:color w:val="000000"/>
                <w:sz w:val="18"/>
                <w:szCs w:val="18"/>
              </w:rPr>
              <w:t>49 (40.8%)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8E14F0" w14:textId="77777777" w:rsidR="001C19F3" w:rsidRDefault="001C19F3" w:rsidP="00521305">
            <w:pPr>
              <w:spacing w:after="0"/>
              <w:ind w:left="100" w:right="100"/>
              <w:jc w:val="right"/>
            </w:pPr>
            <w:r>
              <w:rPr>
                <w:rFonts w:eastAsia="Century Gothic" w:cs="Century Gothic"/>
                <w:color w:val="000000"/>
                <w:sz w:val="18"/>
                <w:szCs w:val="18"/>
              </w:rPr>
              <w:t>22 (46.8%)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C627C2" w14:textId="77777777" w:rsidR="001C19F3" w:rsidRDefault="001C19F3" w:rsidP="00521305">
            <w:pPr>
              <w:spacing w:after="0"/>
              <w:ind w:left="100" w:right="100"/>
              <w:jc w:val="right"/>
            </w:pPr>
            <w:r>
              <w:rPr>
                <w:rFonts w:eastAsia="Century Gothic" w:cs="Century Gothic"/>
                <w:color w:val="000000"/>
                <w:sz w:val="18"/>
                <w:szCs w:val="18"/>
              </w:rPr>
              <w:t>27 (37.5%)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F01EF5" w14:textId="77777777" w:rsidR="001C19F3" w:rsidRDefault="001C19F3" w:rsidP="00521305">
            <w:pPr>
              <w:spacing w:after="0"/>
              <w:ind w:left="100" w:right="100"/>
              <w:jc w:val="right"/>
            </w:pPr>
            <w:r>
              <w:rPr>
                <w:rFonts w:eastAsia="Century Gothic" w:cs="Century Gothic"/>
                <w:color w:val="000000"/>
                <w:sz w:val="18"/>
                <w:szCs w:val="18"/>
              </w:rPr>
              <w:t>8 (47.1%)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E082E9" w14:textId="77777777" w:rsidR="001C19F3" w:rsidRDefault="001C19F3" w:rsidP="00521305">
            <w:pPr>
              <w:spacing w:after="0"/>
              <w:ind w:left="100" w:right="100"/>
              <w:jc w:val="right"/>
            </w:pPr>
            <w:r>
              <w:rPr>
                <w:rFonts w:eastAsia="Century Gothic" w:cs="Century Gothic"/>
                <w:color w:val="000000"/>
                <w:sz w:val="18"/>
                <w:szCs w:val="18"/>
              </w:rPr>
              <w:t>4 (26.7%)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0AD952" w14:textId="77777777" w:rsidR="001C19F3" w:rsidRDefault="001C19F3" w:rsidP="00521305">
            <w:pPr>
              <w:spacing w:after="0"/>
              <w:ind w:left="100" w:right="100"/>
              <w:jc w:val="right"/>
            </w:pPr>
            <w:r>
              <w:rPr>
                <w:rFonts w:eastAsia="Century Gothic" w:cs="Century Gothic"/>
                <w:color w:val="000000"/>
                <w:sz w:val="18"/>
                <w:szCs w:val="18"/>
              </w:rPr>
              <w:t>37 (42.5%)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3FECDE" w14:textId="77777777" w:rsidR="001C19F3" w:rsidRDefault="001C19F3" w:rsidP="00521305">
            <w:pPr>
              <w:spacing w:after="0"/>
              <w:ind w:left="100" w:right="100"/>
              <w:jc w:val="right"/>
            </w:pPr>
            <w:r>
              <w:rPr>
                <w:rFonts w:eastAsia="Century Gothic" w:cs="Century Gothic"/>
                <w:color w:val="000000"/>
                <w:sz w:val="18"/>
                <w:szCs w:val="18"/>
              </w:rPr>
              <w:t>28 (34.1%)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EBE78" w14:textId="77777777" w:rsidR="001C19F3" w:rsidRDefault="001C19F3" w:rsidP="00521305">
            <w:pPr>
              <w:spacing w:after="0"/>
              <w:ind w:left="100" w:right="100"/>
              <w:jc w:val="right"/>
            </w:pPr>
            <w:r>
              <w:rPr>
                <w:rFonts w:eastAsia="Century Gothic" w:cs="Century Gothic"/>
                <w:color w:val="000000"/>
                <w:sz w:val="18"/>
                <w:szCs w:val="18"/>
              </w:rPr>
              <w:t>13 (68.4%)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8DAF74" w14:textId="77777777" w:rsidR="001C19F3" w:rsidRDefault="001C19F3" w:rsidP="00521305">
            <w:pPr>
              <w:spacing w:after="0"/>
              <w:ind w:left="100" w:right="100"/>
              <w:jc w:val="right"/>
            </w:pPr>
            <w:r>
              <w:rPr>
                <w:rFonts w:eastAsia="Century Gothic" w:cs="Century Gothic"/>
                <w:color w:val="000000"/>
                <w:sz w:val="18"/>
                <w:szCs w:val="18"/>
              </w:rPr>
              <w:t>8 (44.4%)</w:t>
            </w:r>
          </w:p>
        </w:tc>
      </w:tr>
      <w:tr w:rsidR="001C19F3" w14:paraId="65D86DC9"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92FC36" w14:textId="77777777" w:rsidR="001C19F3" w:rsidRDefault="001C19F3" w:rsidP="00521305">
            <w:pPr>
              <w:spacing w:after="0"/>
              <w:ind w:left="100" w:right="100"/>
            </w:pPr>
            <w:r>
              <w:rPr>
                <w:rFonts w:eastAsia="Century Gothic" w:cs="Century Gothic"/>
                <w:color w:val="000000"/>
                <w:sz w:val="18"/>
                <w:szCs w:val="18"/>
              </w:rPr>
              <w:t>Rural Loading Incentive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E255E4" w14:textId="77777777" w:rsidR="001C19F3" w:rsidRDefault="001C19F3" w:rsidP="00521305">
            <w:pPr>
              <w:spacing w:after="0"/>
              <w:ind w:left="100" w:right="100"/>
              <w:jc w:val="right"/>
            </w:pPr>
            <w:r>
              <w:rPr>
                <w:rFonts w:eastAsia="Century Gothic" w:cs="Century Gothic"/>
                <w:color w:val="000000"/>
                <w:sz w:val="18"/>
                <w:szCs w:val="18"/>
              </w:rPr>
              <w:t>23 (19.2%)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060775" w14:textId="77777777" w:rsidR="001C19F3" w:rsidRDefault="001C19F3" w:rsidP="00521305">
            <w:pPr>
              <w:spacing w:after="0"/>
              <w:ind w:left="100" w:right="100"/>
              <w:jc w:val="right"/>
            </w:pPr>
            <w:r>
              <w:rPr>
                <w:rFonts w:eastAsia="Century Gothic" w:cs="Century Gothic"/>
                <w:color w:val="000000"/>
                <w:sz w:val="18"/>
                <w:szCs w:val="18"/>
              </w:rPr>
              <w:t>7 (14.9%)</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59089E" w14:textId="77777777" w:rsidR="001C19F3" w:rsidRDefault="001C19F3" w:rsidP="00521305">
            <w:pPr>
              <w:spacing w:after="0"/>
              <w:ind w:left="100" w:right="100"/>
              <w:jc w:val="right"/>
            </w:pPr>
            <w:r>
              <w:rPr>
                <w:rFonts w:eastAsia="Century Gothic" w:cs="Century Gothic"/>
                <w:color w:val="000000"/>
                <w:sz w:val="18"/>
                <w:szCs w:val="18"/>
              </w:rPr>
              <w:t>16 (22.2%)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C6BA5" w14:textId="77777777" w:rsidR="001C19F3" w:rsidRDefault="001C19F3" w:rsidP="00521305">
            <w:pPr>
              <w:spacing w:after="0"/>
              <w:ind w:left="100" w:right="100"/>
              <w:jc w:val="right"/>
            </w:pPr>
            <w:r>
              <w:rPr>
                <w:rFonts w:eastAsia="Century Gothic" w:cs="Century Gothic"/>
                <w:color w:val="000000"/>
                <w:sz w:val="18"/>
                <w:szCs w:val="18"/>
              </w:rPr>
              <w:t>1 (5.9%)</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AA4F0B" w14:textId="77777777" w:rsidR="001C19F3" w:rsidRDefault="001C19F3" w:rsidP="00521305">
            <w:pPr>
              <w:spacing w:after="0"/>
              <w:ind w:left="100" w:right="100"/>
              <w:jc w:val="right"/>
            </w:pPr>
            <w:r>
              <w:rPr>
                <w:rFonts w:eastAsia="Century Gothic" w:cs="Century Gothic"/>
                <w:color w:val="000000"/>
                <w:sz w:val="18"/>
                <w:szCs w:val="18"/>
              </w:rPr>
              <w:t>8 (53.3%)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A71205" w14:textId="77777777" w:rsidR="001C19F3" w:rsidRDefault="001C19F3" w:rsidP="00521305">
            <w:pPr>
              <w:spacing w:after="0"/>
              <w:ind w:left="100" w:right="100"/>
              <w:jc w:val="right"/>
            </w:pPr>
            <w:r>
              <w:rPr>
                <w:rFonts w:eastAsia="Century Gothic" w:cs="Century Gothic"/>
                <w:color w:val="000000"/>
                <w:sz w:val="18"/>
                <w:szCs w:val="18"/>
              </w:rPr>
              <w:t>14 (16.1%)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6B0610" w14:textId="77777777" w:rsidR="001C19F3" w:rsidRDefault="001C19F3" w:rsidP="00521305">
            <w:pPr>
              <w:spacing w:after="0"/>
              <w:ind w:left="100" w:right="100"/>
              <w:jc w:val="right"/>
            </w:pPr>
            <w:r>
              <w:rPr>
                <w:rFonts w:eastAsia="Century Gothic" w:cs="Century Gothic"/>
                <w:color w:val="000000"/>
                <w:sz w:val="18"/>
                <w:szCs w:val="18"/>
              </w:rPr>
              <w:t>2 (2.4%)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448C9" w14:textId="77777777" w:rsidR="001C19F3" w:rsidRDefault="001C19F3" w:rsidP="00521305">
            <w:pPr>
              <w:spacing w:after="0"/>
              <w:ind w:left="100" w:right="100"/>
              <w:jc w:val="right"/>
            </w:pPr>
            <w:r>
              <w:rPr>
                <w:rFonts w:eastAsia="Century Gothic" w:cs="Century Gothic"/>
                <w:color w:val="000000"/>
                <w:sz w:val="18"/>
                <w:szCs w:val="18"/>
              </w:rPr>
              <w:t>9 (47.4%)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F930F9" w14:textId="77777777" w:rsidR="001C19F3" w:rsidRDefault="001C19F3" w:rsidP="00521305">
            <w:pPr>
              <w:spacing w:after="0"/>
              <w:ind w:left="100" w:right="100"/>
              <w:jc w:val="right"/>
            </w:pPr>
            <w:r>
              <w:rPr>
                <w:rFonts w:eastAsia="Century Gothic" w:cs="Century Gothic"/>
                <w:color w:val="000000"/>
                <w:sz w:val="18"/>
                <w:szCs w:val="18"/>
              </w:rPr>
              <w:t>12 (66.7%)</w:t>
            </w:r>
          </w:p>
        </w:tc>
      </w:tr>
      <w:tr w:rsidR="001C19F3" w14:paraId="6E742FB9"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F8B41A" w14:textId="77777777" w:rsidR="001C19F3" w:rsidRDefault="001C19F3" w:rsidP="00521305">
            <w:pPr>
              <w:spacing w:after="0"/>
              <w:ind w:left="100" w:right="100"/>
            </w:pPr>
            <w:r>
              <w:rPr>
                <w:rFonts w:eastAsia="Century Gothic" w:cs="Century Gothic"/>
                <w:color w:val="000000"/>
                <w:sz w:val="18"/>
                <w:szCs w:val="18"/>
              </w:rPr>
              <w:t>Procedural General Practitioner Payment</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221B7D" w14:textId="77777777" w:rsidR="001C19F3" w:rsidRDefault="001C19F3" w:rsidP="00521305">
            <w:pPr>
              <w:spacing w:after="0"/>
              <w:ind w:left="100" w:right="100"/>
              <w:jc w:val="right"/>
            </w:pPr>
            <w:r>
              <w:rPr>
                <w:rFonts w:eastAsia="Century Gothic" w:cs="Century Gothic"/>
                <w:color w:val="000000"/>
                <w:sz w:val="18"/>
                <w:szCs w:val="18"/>
              </w:rPr>
              <w:t>16 (13.3%)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8586A5" w14:textId="77777777" w:rsidR="001C19F3" w:rsidRDefault="001C19F3" w:rsidP="00521305">
            <w:pPr>
              <w:spacing w:after="0"/>
              <w:ind w:left="100" w:right="100"/>
              <w:jc w:val="right"/>
            </w:pPr>
            <w:r>
              <w:rPr>
                <w:rFonts w:eastAsia="Century Gothic" w:cs="Century Gothic"/>
                <w:color w:val="000000"/>
                <w:sz w:val="18"/>
                <w:szCs w:val="18"/>
              </w:rPr>
              <w:t>8 (17.0%)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8B21B7" w14:textId="77777777" w:rsidR="001C19F3" w:rsidRDefault="001C19F3" w:rsidP="00521305">
            <w:pPr>
              <w:spacing w:after="0"/>
              <w:ind w:left="100" w:right="100"/>
              <w:jc w:val="right"/>
            </w:pPr>
            <w:r>
              <w:rPr>
                <w:rFonts w:eastAsia="Century Gothic" w:cs="Century Gothic"/>
                <w:color w:val="000000"/>
                <w:sz w:val="18"/>
                <w:szCs w:val="18"/>
              </w:rPr>
              <w:t>8 (11.1%)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991EAD" w14:textId="77777777" w:rsidR="001C19F3" w:rsidRDefault="001C19F3" w:rsidP="00521305">
            <w:pPr>
              <w:spacing w:after="0"/>
              <w:ind w:left="100" w:right="100"/>
              <w:jc w:val="right"/>
            </w:pPr>
            <w:r>
              <w:rPr>
                <w:rFonts w:eastAsia="Century Gothic" w:cs="Century Gothic"/>
                <w:color w:val="000000"/>
                <w:sz w:val="18"/>
                <w:szCs w:val="18"/>
              </w:rPr>
              <w:t>3 (17.6%)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3AD1B4" w14:textId="77777777" w:rsidR="001C19F3" w:rsidRDefault="001C19F3" w:rsidP="00521305">
            <w:pPr>
              <w:spacing w:after="0"/>
              <w:ind w:left="100" w:right="100"/>
              <w:jc w:val="right"/>
            </w:pPr>
            <w:r>
              <w:rPr>
                <w:rFonts w:eastAsia="Century Gothic" w:cs="Century Gothic"/>
                <w:color w:val="000000"/>
                <w:sz w:val="18"/>
                <w:szCs w:val="18"/>
              </w:rPr>
              <w:t>3 (20.0%)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8BADB9" w14:textId="77777777" w:rsidR="001C19F3" w:rsidRDefault="001C19F3" w:rsidP="00521305">
            <w:pPr>
              <w:spacing w:after="0"/>
              <w:ind w:left="100" w:right="100"/>
              <w:jc w:val="right"/>
            </w:pPr>
            <w:r>
              <w:rPr>
                <w:rFonts w:eastAsia="Century Gothic" w:cs="Century Gothic"/>
                <w:color w:val="000000"/>
                <w:sz w:val="18"/>
                <w:szCs w:val="18"/>
              </w:rPr>
              <w:t>10 (11.5%)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94690D" w14:textId="77777777" w:rsidR="001C19F3" w:rsidRDefault="001C19F3" w:rsidP="00521305">
            <w:pPr>
              <w:spacing w:after="0"/>
              <w:ind w:left="100" w:right="100"/>
              <w:jc w:val="right"/>
            </w:pPr>
            <w:r>
              <w:rPr>
                <w:rFonts w:eastAsia="Century Gothic" w:cs="Century Gothic"/>
                <w:color w:val="000000"/>
                <w:sz w:val="18"/>
                <w:szCs w:val="18"/>
              </w:rPr>
              <w:t>5 (6.1%)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8EDF35" w14:textId="77777777" w:rsidR="001C19F3" w:rsidRDefault="001C19F3" w:rsidP="00521305">
            <w:pPr>
              <w:spacing w:after="0"/>
              <w:ind w:left="100" w:right="100"/>
              <w:jc w:val="right"/>
            </w:pPr>
            <w:r>
              <w:rPr>
                <w:rFonts w:eastAsia="Century Gothic" w:cs="Century Gothic"/>
                <w:color w:val="000000"/>
                <w:sz w:val="18"/>
                <w:szCs w:val="18"/>
              </w:rPr>
              <w:t>6 (31.6%)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5B2AC" w14:textId="77777777" w:rsidR="001C19F3" w:rsidRDefault="001C19F3" w:rsidP="00521305">
            <w:pPr>
              <w:spacing w:after="0"/>
              <w:ind w:left="100" w:right="100"/>
              <w:jc w:val="right"/>
            </w:pPr>
            <w:r>
              <w:rPr>
                <w:rFonts w:eastAsia="Century Gothic" w:cs="Century Gothic"/>
                <w:color w:val="000000"/>
                <w:sz w:val="18"/>
                <w:szCs w:val="18"/>
              </w:rPr>
              <w:t>5 (27.8%)</w:t>
            </w:r>
          </w:p>
        </w:tc>
      </w:tr>
      <w:tr w:rsidR="001C19F3" w14:paraId="7E00394C"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57B1BB"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4A57EF" w14:textId="77777777" w:rsidR="001C19F3" w:rsidRDefault="001C19F3" w:rsidP="00521305">
            <w:pPr>
              <w:spacing w:after="0"/>
              <w:ind w:left="100" w:right="100"/>
              <w:jc w:val="right"/>
            </w:pPr>
            <w:r>
              <w:rPr>
                <w:rFonts w:eastAsia="Century Gothic" w:cs="Century Gothic"/>
                <w:color w:val="000000"/>
                <w:sz w:val="18"/>
                <w:szCs w:val="18"/>
              </w:rPr>
              <w:t>1 (0.8%)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1C2F2F" w14:textId="77777777" w:rsidR="001C19F3" w:rsidRDefault="001C19F3" w:rsidP="00521305">
            <w:pPr>
              <w:spacing w:after="0"/>
              <w:ind w:left="100" w:right="100"/>
              <w:jc w:val="right"/>
            </w:pPr>
            <w:r>
              <w:rPr>
                <w:rFonts w:eastAsia="Century Gothic" w:cs="Century Gothic"/>
                <w:color w:val="000000"/>
                <w:sz w:val="18"/>
                <w:szCs w:val="18"/>
              </w:rPr>
              <w:t>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4B033B"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C7AA4E" w14:textId="77777777" w:rsidR="001C19F3" w:rsidRDefault="001C19F3" w:rsidP="00521305">
            <w:pPr>
              <w:spacing w:after="0"/>
              <w:ind w:left="100" w:right="100"/>
              <w:jc w:val="right"/>
            </w:pPr>
            <w:r>
              <w:rPr>
                <w:rFonts w:eastAsia="Century Gothic" w:cs="Century Gothic"/>
                <w:color w:val="000000"/>
                <w:sz w:val="18"/>
                <w:szCs w:val="18"/>
              </w:rPr>
              <w:t>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DD2AD6"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C10592"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FF83DC" w14:textId="77777777" w:rsidR="001C19F3" w:rsidRDefault="001C19F3" w:rsidP="00521305">
            <w:pPr>
              <w:spacing w:after="0"/>
              <w:ind w:left="100" w:right="100"/>
              <w:jc w:val="right"/>
            </w:pPr>
            <w:r>
              <w:rPr>
                <w:rFonts w:eastAsia="Century Gothic" w:cs="Century Gothic"/>
                <w:color w:val="000000"/>
                <w:sz w:val="18"/>
                <w:szCs w:val="18"/>
              </w:rPr>
              <w:t>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727640"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2F3B3C" w14:textId="77777777" w:rsidR="001C19F3" w:rsidRDefault="001C19F3" w:rsidP="00521305">
            <w:pPr>
              <w:spacing w:after="0"/>
              <w:ind w:left="100" w:right="100"/>
              <w:jc w:val="right"/>
            </w:pPr>
          </w:p>
        </w:tc>
      </w:tr>
    </w:tbl>
    <w:p w14:paraId="69A303E8" w14:textId="77777777" w:rsidR="001C19F3" w:rsidRDefault="001C19F3" w:rsidP="001C19F3">
      <w:pPr>
        <w:pStyle w:val="Chartortablefootnote"/>
        <w:rPr>
          <w:rFonts w:cstheme="minorBidi"/>
          <w:szCs w:val="20"/>
        </w:rPr>
      </w:pPr>
      <w:r>
        <w:t>Source: Practice survey R1 Part A, Mar-Jun 2018, question 16.</w:t>
      </w:r>
    </w:p>
    <w:p w14:paraId="14A730B2" w14:textId="77777777" w:rsidR="001C19F3" w:rsidRDefault="001C19F3" w:rsidP="00EE4B33">
      <w:pPr>
        <w:pStyle w:val="Caption1"/>
        <w:spacing w:after="0"/>
      </w:pPr>
      <w:bookmarkStart w:id="550" w:name="_Ref22647927"/>
      <w:bookmarkStart w:id="551" w:name="_Ref22638723"/>
      <w:r>
        <w:lastRenderedPageBreak/>
        <w:t xml:space="preserve">Table </w:t>
      </w:r>
      <w:r>
        <w:fldChar w:fldCharType="begin"/>
      </w:r>
      <w:r>
        <w:instrText>SEQ Table \* ARABIC</w:instrText>
      </w:r>
      <w:r>
        <w:fldChar w:fldCharType="separate"/>
      </w:r>
      <w:r>
        <w:rPr>
          <w:noProof/>
        </w:rPr>
        <w:t>34</w:t>
      </w:r>
      <w:r>
        <w:fldChar w:fldCharType="end"/>
      </w:r>
      <w:bookmarkEnd w:id="550"/>
      <w:r>
        <w:t xml:space="preserve"> – Consensus score agreed for each item of the HCH-A, baseline</w:t>
      </w:r>
      <w:bookmarkEnd w:id="551"/>
    </w:p>
    <w:tbl>
      <w:tblPr>
        <w:tblW w:w="5000" w:type="pct"/>
        <w:jc w:val="center"/>
        <w:tblLook w:val="04A0" w:firstRow="1" w:lastRow="0" w:firstColumn="1" w:lastColumn="0" w:noHBand="0" w:noVBand="1"/>
      </w:tblPr>
      <w:tblGrid>
        <w:gridCol w:w="6086"/>
        <w:gridCol w:w="1310"/>
        <w:gridCol w:w="1310"/>
        <w:gridCol w:w="1310"/>
        <w:gridCol w:w="1310"/>
        <w:gridCol w:w="1310"/>
        <w:gridCol w:w="1302"/>
      </w:tblGrid>
      <w:tr w:rsidR="001C19F3" w14:paraId="3557B3A6" w14:textId="77777777" w:rsidTr="00521305">
        <w:trPr>
          <w:cantSplit/>
          <w:trHeight w:val="333"/>
          <w:tblHeader/>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D03CF17" w14:textId="77777777" w:rsidR="001C19F3" w:rsidRDefault="001C19F3" w:rsidP="00521305">
            <w:pPr>
              <w:spacing w:after="0"/>
              <w:jc w:val="center"/>
            </w:pPr>
            <w:r>
              <w:rPr>
                <w:rFonts w:eastAsia="Century Gothic" w:cs="Century Gothic"/>
                <w:b/>
                <w:color w:val="FFFFFF"/>
                <w:sz w:val="18"/>
                <w:szCs w:val="18"/>
              </w:rPr>
              <w:t>Response</w:t>
            </w:r>
          </w:p>
        </w:tc>
        <w:tc>
          <w:tcPr>
            <w:tcW w:w="4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62C888F" w14:textId="77777777" w:rsidR="001C19F3" w:rsidRDefault="001C19F3" w:rsidP="00521305">
            <w:pPr>
              <w:spacing w:after="0"/>
              <w:jc w:val="center"/>
            </w:pPr>
            <w:r>
              <w:rPr>
                <w:rFonts w:eastAsia="Century Gothic" w:cs="Century Gothic"/>
                <w:b/>
                <w:color w:val="FFFFFF"/>
                <w:sz w:val="18"/>
                <w:szCs w:val="18"/>
              </w:rPr>
              <w:t>Min</w:t>
            </w:r>
          </w:p>
        </w:tc>
        <w:tc>
          <w:tcPr>
            <w:tcW w:w="4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57FC2AC" w14:textId="77777777" w:rsidR="001C19F3" w:rsidRDefault="001C19F3" w:rsidP="00521305">
            <w:pPr>
              <w:spacing w:after="0"/>
              <w:jc w:val="center"/>
            </w:pPr>
            <w:r>
              <w:rPr>
                <w:rFonts w:eastAsia="Century Gothic" w:cs="Century Gothic"/>
                <w:b/>
                <w:color w:val="FFFFFF"/>
                <w:sz w:val="18"/>
                <w:szCs w:val="18"/>
              </w:rPr>
              <w:t>25</w:t>
            </w:r>
            <w:r w:rsidRPr="009A45A0">
              <w:rPr>
                <w:rFonts w:eastAsia="Century Gothic" w:cs="Century Gothic"/>
                <w:b/>
                <w:color w:val="FFFFFF"/>
                <w:sz w:val="18"/>
                <w:szCs w:val="18"/>
                <w:vertAlign w:val="superscript"/>
              </w:rPr>
              <w:t>th</w:t>
            </w:r>
            <w:r>
              <w:rPr>
                <w:rFonts w:eastAsia="Century Gothic" w:cs="Century Gothic"/>
                <w:b/>
                <w:color w:val="FFFFFF"/>
                <w:sz w:val="18"/>
                <w:szCs w:val="18"/>
              </w:rPr>
              <w:t xml:space="preserve">  percentile</w:t>
            </w:r>
          </w:p>
        </w:tc>
        <w:tc>
          <w:tcPr>
            <w:tcW w:w="4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15C0978" w14:textId="77777777" w:rsidR="001C19F3" w:rsidRDefault="001C19F3" w:rsidP="00521305">
            <w:pPr>
              <w:spacing w:after="0"/>
              <w:jc w:val="center"/>
            </w:pPr>
            <w:r>
              <w:rPr>
                <w:rFonts w:eastAsia="Century Gothic" w:cs="Century Gothic"/>
                <w:b/>
                <w:color w:val="FFFFFF"/>
                <w:sz w:val="18"/>
                <w:szCs w:val="18"/>
              </w:rPr>
              <w:t>Median</w:t>
            </w:r>
          </w:p>
        </w:tc>
        <w:tc>
          <w:tcPr>
            <w:tcW w:w="4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E3F0EC" w14:textId="77777777" w:rsidR="001C19F3" w:rsidRDefault="001C19F3" w:rsidP="00521305">
            <w:pPr>
              <w:spacing w:after="0"/>
              <w:jc w:val="center"/>
            </w:pPr>
            <w:r>
              <w:rPr>
                <w:rFonts w:eastAsia="Century Gothic" w:cs="Century Gothic"/>
                <w:b/>
                <w:color w:val="FFFFFF"/>
                <w:sz w:val="18"/>
                <w:szCs w:val="18"/>
              </w:rPr>
              <w:t>Mean</w:t>
            </w:r>
          </w:p>
        </w:tc>
        <w:tc>
          <w:tcPr>
            <w:tcW w:w="4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D9E6DA5" w14:textId="77777777" w:rsidR="001C19F3" w:rsidRDefault="001C19F3" w:rsidP="00521305">
            <w:pPr>
              <w:spacing w:after="0"/>
              <w:jc w:val="center"/>
            </w:pPr>
            <w:r>
              <w:rPr>
                <w:rFonts w:eastAsia="Century Gothic" w:cs="Century Gothic"/>
                <w:b/>
                <w:color w:val="FFFFFF"/>
                <w:sz w:val="18"/>
                <w:szCs w:val="18"/>
              </w:rPr>
              <w:t>75</w:t>
            </w:r>
            <w:r w:rsidRPr="009A45A0">
              <w:rPr>
                <w:rFonts w:eastAsia="Century Gothic" w:cs="Century Gothic"/>
                <w:b/>
                <w:color w:val="FFFFFF"/>
                <w:sz w:val="18"/>
                <w:szCs w:val="18"/>
                <w:vertAlign w:val="superscript"/>
              </w:rPr>
              <w:t>th</w:t>
            </w:r>
            <w:r>
              <w:rPr>
                <w:rFonts w:eastAsia="Century Gothic" w:cs="Century Gothic"/>
                <w:b/>
                <w:color w:val="FFFFFF"/>
                <w:sz w:val="18"/>
                <w:szCs w:val="18"/>
              </w:rPr>
              <w:t xml:space="preserve">  percentile</w:t>
            </w:r>
          </w:p>
        </w:tc>
        <w:tc>
          <w:tcPr>
            <w:tcW w:w="47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1E12511" w14:textId="77777777" w:rsidR="001C19F3" w:rsidRDefault="001C19F3" w:rsidP="00521305">
            <w:pPr>
              <w:spacing w:after="0"/>
              <w:jc w:val="center"/>
            </w:pPr>
            <w:r>
              <w:rPr>
                <w:rFonts w:eastAsia="Century Gothic" w:cs="Century Gothic"/>
                <w:b/>
                <w:color w:val="FFFFFF"/>
                <w:sz w:val="18"/>
                <w:szCs w:val="18"/>
              </w:rPr>
              <w:t>Max</w:t>
            </w:r>
          </w:p>
        </w:tc>
      </w:tr>
      <w:tr w:rsidR="001C19F3" w14:paraId="3FB32DA0"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93C32C" w14:textId="77777777" w:rsidR="001C19F3" w:rsidRDefault="001C19F3" w:rsidP="00521305">
            <w:pPr>
              <w:spacing w:after="0"/>
              <w:ind w:left="100" w:right="100"/>
            </w:pPr>
            <w:r>
              <w:rPr>
                <w:rFonts w:eastAsia="Century Gothic" w:cs="Century Gothic"/>
                <w:b/>
                <w:color w:val="000000"/>
                <w:sz w:val="18"/>
                <w:szCs w:val="18"/>
              </w:rPr>
              <w:t>Engaged leadership</w:t>
            </w:r>
          </w:p>
        </w:tc>
      </w:tr>
      <w:tr w:rsidR="001C19F3" w14:paraId="2545984C"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EA2745" w14:textId="77777777" w:rsidR="001C19F3" w:rsidRDefault="001C19F3" w:rsidP="00521305">
            <w:pPr>
              <w:spacing w:after="0"/>
              <w:ind w:left="160" w:right="100"/>
            </w:pPr>
            <w:r>
              <w:rPr>
                <w:rFonts w:eastAsia="Century Gothic" w:cs="Century Gothic"/>
                <w:color w:val="000000"/>
                <w:sz w:val="18"/>
                <w:szCs w:val="18"/>
              </w:rPr>
              <w:t>Practice principals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F166B2"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FD9254"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E38E4A" w14:textId="77777777" w:rsidR="001C19F3" w:rsidRDefault="001C19F3" w:rsidP="00521305">
            <w:pPr>
              <w:spacing w:after="0"/>
              <w:ind w:left="100" w:right="100"/>
              <w:jc w:val="right"/>
            </w:pPr>
            <w:r>
              <w:rPr>
                <w:rFonts w:eastAsia="Century Gothic" w:cs="Century Gothic"/>
                <w:color w:val="000000"/>
                <w:sz w:val="18"/>
                <w:szCs w:val="18"/>
              </w:rPr>
              <w:t>7.8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D66454" w14:textId="77777777" w:rsidR="001C19F3" w:rsidRDefault="001C19F3" w:rsidP="00521305">
            <w:pPr>
              <w:spacing w:after="0"/>
              <w:ind w:left="100" w:right="100"/>
              <w:jc w:val="right"/>
            </w:pPr>
            <w:r>
              <w:rPr>
                <w:rFonts w:eastAsia="Century Gothic" w:cs="Century Gothic"/>
                <w:color w:val="000000"/>
                <w:sz w:val="18"/>
                <w:szCs w:val="18"/>
              </w:rPr>
              <w:t>7.6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D3D43C"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820D50"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1504E8CC"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F0542D" w14:textId="77777777" w:rsidR="001C19F3" w:rsidRDefault="001C19F3" w:rsidP="00521305">
            <w:pPr>
              <w:spacing w:after="0"/>
              <w:ind w:left="160" w:right="100"/>
            </w:pPr>
            <w:r>
              <w:rPr>
                <w:rFonts w:eastAsia="Century Gothic" w:cs="Century Gothic"/>
                <w:color w:val="000000"/>
                <w:sz w:val="18"/>
                <w:szCs w:val="18"/>
              </w:rPr>
              <w:t>Clinical leaders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DA47DF"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0403DD"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150490"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5CC287" w14:textId="77777777" w:rsidR="001C19F3" w:rsidRDefault="001C19F3" w:rsidP="00521305">
            <w:pPr>
              <w:spacing w:after="0"/>
              <w:ind w:left="100" w:right="100"/>
              <w:jc w:val="right"/>
            </w:pPr>
            <w:r>
              <w:rPr>
                <w:rFonts w:eastAsia="Century Gothic" w:cs="Century Gothic"/>
                <w:color w:val="000000"/>
                <w:sz w:val="18"/>
                <w:szCs w:val="18"/>
              </w:rPr>
              <w:t>7.6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9FBA6A"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BF5AA3"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796E6C2C"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639BD2" w14:textId="77777777" w:rsidR="001C19F3" w:rsidRDefault="001C19F3" w:rsidP="00521305">
            <w:pPr>
              <w:spacing w:after="0"/>
              <w:ind w:left="160" w:right="100"/>
            </w:pPr>
            <w:r>
              <w:rPr>
                <w:rFonts w:eastAsia="Century Gothic" w:cs="Century Gothic"/>
                <w:color w:val="000000"/>
                <w:sz w:val="18"/>
                <w:szCs w:val="18"/>
              </w:rPr>
              <w:t>The practice's recruitment and training processes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5DAC98"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B30CE0"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01B60F"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B21844" w14:textId="77777777" w:rsidR="001C19F3" w:rsidRDefault="001C19F3" w:rsidP="00521305">
            <w:pPr>
              <w:spacing w:after="0"/>
              <w:ind w:left="100" w:right="100"/>
              <w:jc w:val="right"/>
            </w:pPr>
            <w:r>
              <w:rPr>
                <w:rFonts w:eastAsia="Century Gothic" w:cs="Century Gothic"/>
                <w:color w:val="000000"/>
                <w:sz w:val="18"/>
                <w:szCs w:val="18"/>
              </w:rPr>
              <w:t>7.2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9D918"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EA593E"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2D8C13CE"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38CD39" w14:textId="77777777" w:rsidR="001C19F3" w:rsidRDefault="001C19F3" w:rsidP="00521305">
            <w:pPr>
              <w:spacing w:after="0"/>
              <w:ind w:left="160" w:right="100"/>
            </w:pPr>
            <w:r>
              <w:rPr>
                <w:rFonts w:eastAsia="Century Gothic" w:cs="Century Gothic"/>
                <w:color w:val="000000"/>
                <w:sz w:val="18"/>
                <w:szCs w:val="18"/>
              </w:rPr>
              <w:t>The responsibility for conducting quality improvement activities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25B349"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5BDE79" w14:textId="77777777" w:rsidR="001C19F3" w:rsidRDefault="001C19F3" w:rsidP="00521305">
            <w:pPr>
              <w:spacing w:after="0"/>
              <w:ind w:left="100" w:right="100"/>
              <w:jc w:val="right"/>
            </w:pPr>
            <w:r>
              <w:rPr>
                <w:rFonts w:eastAsia="Century Gothic" w:cs="Century Gothic"/>
                <w:color w:val="000000"/>
                <w:sz w:val="18"/>
                <w:szCs w:val="18"/>
              </w:rPr>
              <w:t>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729177"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433CF9" w14:textId="77777777" w:rsidR="001C19F3" w:rsidRDefault="001C19F3" w:rsidP="00521305">
            <w:pPr>
              <w:spacing w:after="0"/>
              <w:ind w:left="100" w:right="100"/>
              <w:jc w:val="right"/>
            </w:pPr>
            <w:r>
              <w:rPr>
                <w:rFonts w:eastAsia="Century Gothic" w:cs="Century Gothic"/>
                <w:color w:val="000000"/>
                <w:sz w:val="18"/>
                <w:szCs w:val="18"/>
              </w:rPr>
              <w:t>6.9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8705E1" w14:textId="77777777" w:rsidR="001C19F3" w:rsidRDefault="001C19F3" w:rsidP="00521305">
            <w:pPr>
              <w:spacing w:after="0"/>
              <w:ind w:left="100" w:right="100"/>
              <w:jc w:val="right"/>
            </w:pPr>
            <w:r>
              <w:rPr>
                <w:rFonts w:eastAsia="Century Gothic" w:cs="Century Gothic"/>
                <w:color w:val="000000"/>
                <w:sz w:val="18"/>
                <w:szCs w:val="18"/>
              </w:rPr>
              <w:t>8.5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F97861"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4FCDD35E"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E09555" w14:textId="77777777" w:rsidR="001C19F3" w:rsidRDefault="001C19F3" w:rsidP="00521305">
            <w:pPr>
              <w:spacing w:after="0"/>
              <w:ind w:left="100" w:right="100"/>
            </w:pPr>
            <w:r>
              <w:rPr>
                <w:rFonts w:eastAsia="Century Gothic" w:cs="Century Gothic"/>
                <w:b/>
                <w:color w:val="000000"/>
                <w:sz w:val="18"/>
                <w:szCs w:val="18"/>
              </w:rPr>
              <w:t>Patient enrolment</w:t>
            </w:r>
          </w:p>
        </w:tc>
      </w:tr>
      <w:tr w:rsidR="001C19F3" w14:paraId="7CEEA1E8"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328FCC" w14:textId="77777777" w:rsidR="001C19F3" w:rsidRDefault="001C19F3" w:rsidP="00521305">
            <w:pPr>
              <w:spacing w:after="0"/>
              <w:ind w:left="160" w:right="100"/>
            </w:pPr>
            <w:r>
              <w:rPr>
                <w:rFonts w:eastAsia="Century Gothic" w:cs="Century Gothic"/>
                <w:color w:val="000000"/>
                <w:sz w:val="18"/>
                <w:szCs w:val="18"/>
              </w:rPr>
              <w:t>Patients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C345FE"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612D03"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08C327" w14:textId="77777777" w:rsidR="001C19F3" w:rsidRDefault="001C19F3" w:rsidP="00521305">
            <w:pPr>
              <w:spacing w:after="0"/>
              <w:ind w:left="100" w:right="100"/>
              <w:jc w:val="right"/>
            </w:pPr>
            <w:r>
              <w:rPr>
                <w:rFonts w:eastAsia="Century Gothic" w:cs="Century Gothic"/>
                <w:color w:val="000000"/>
                <w:sz w:val="18"/>
                <w:szCs w:val="18"/>
              </w:rPr>
              <w:t>7.6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37AB2" w14:textId="77777777" w:rsidR="001C19F3" w:rsidRDefault="001C19F3" w:rsidP="00521305">
            <w:pPr>
              <w:spacing w:after="0"/>
              <w:ind w:left="100" w:right="100"/>
              <w:jc w:val="right"/>
            </w:pPr>
            <w:r>
              <w:rPr>
                <w:rFonts w:eastAsia="Century Gothic" w:cs="Century Gothic"/>
                <w:color w:val="000000"/>
                <w:sz w:val="18"/>
                <w:szCs w:val="18"/>
              </w:rPr>
              <w:t>7.4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F6DC1A"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669853"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48DEF53E"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C647DA" w14:textId="77777777" w:rsidR="001C19F3" w:rsidRDefault="001C19F3" w:rsidP="00521305">
            <w:pPr>
              <w:spacing w:after="0"/>
              <w:ind w:left="160" w:right="100"/>
            </w:pPr>
            <w:r>
              <w:rPr>
                <w:rFonts w:eastAsia="Century Gothic" w:cs="Century Gothic"/>
                <w:color w:val="000000"/>
                <w:sz w:val="18"/>
                <w:szCs w:val="18"/>
              </w:rPr>
              <w:t>Practice data</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BF58B9"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BBABF1"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00469"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75EB0B" w14:textId="77777777" w:rsidR="001C19F3" w:rsidRDefault="001C19F3" w:rsidP="00521305">
            <w:pPr>
              <w:spacing w:after="0"/>
              <w:ind w:left="100" w:right="100"/>
              <w:jc w:val="right"/>
            </w:pPr>
            <w:r>
              <w:rPr>
                <w:rFonts w:eastAsia="Century Gothic" w:cs="Century Gothic"/>
                <w:color w:val="000000"/>
                <w:sz w:val="18"/>
                <w:szCs w:val="18"/>
              </w:rPr>
              <w:t>7.7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C6AFA1" w14:textId="77777777" w:rsidR="001C19F3" w:rsidRDefault="001C19F3" w:rsidP="00521305">
            <w:pPr>
              <w:spacing w:after="0"/>
              <w:ind w:left="100" w:right="100"/>
              <w:jc w:val="right"/>
            </w:pPr>
            <w:r>
              <w:rPr>
                <w:rFonts w:eastAsia="Century Gothic" w:cs="Century Gothic"/>
                <w:color w:val="000000"/>
                <w:sz w:val="18"/>
                <w:szCs w:val="18"/>
              </w:rPr>
              <w:t>9.3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4C9AE4"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09F21FD0"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733240" w14:textId="77777777" w:rsidR="001C19F3" w:rsidRDefault="001C19F3" w:rsidP="00521305">
            <w:pPr>
              <w:spacing w:after="0"/>
              <w:ind w:left="160" w:right="100"/>
            </w:pPr>
            <w:r>
              <w:rPr>
                <w:rFonts w:eastAsia="Century Gothic" w:cs="Century Gothic"/>
                <w:color w:val="000000"/>
                <w:sz w:val="18"/>
                <w:szCs w:val="18"/>
              </w:rPr>
              <w:t>Patient records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5B9C36"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84B117"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A814C"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8EEE17"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50CC03"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AF58E5"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0B0EF327"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B2124" w14:textId="77777777" w:rsidR="001C19F3" w:rsidRDefault="001C19F3" w:rsidP="00521305">
            <w:pPr>
              <w:spacing w:after="0"/>
              <w:ind w:left="160" w:right="100"/>
            </w:pPr>
            <w:r>
              <w:rPr>
                <w:rFonts w:eastAsia="Century Gothic" w:cs="Century Gothic"/>
                <w:color w:val="000000"/>
                <w:sz w:val="18"/>
                <w:szCs w:val="18"/>
              </w:rPr>
              <w:t>Reports on care processes or outcomes of care</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F32CDC"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CB209" w14:textId="77777777" w:rsidR="001C19F3" w:rsidRDefault="001C19F3" w:rsidP="00521305">
            <w:pPr>
              <w:spacing w:after="0"/>
              <w:ind w:left="100" w:right="100"/>
              <w:jc w:val="right"/>
            </w:pPr>
            <w:r>
              <w:rPr>
                <w:rFonts w:eastAsia="Century Gothic" w:cs="Century Gothic"/>
                <w:color w:val="000000"/>
                <w:sz w:val="18"/>
                <w:szCs w:val="18"/>
              </w:rPr>
              <w:t>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16F35D" w14:textId="77777777" w:rsidR="001C19F3" w:rsidRDefault="001C19F3" w:rsidP="00521305">
            <w:pPr>
              <w:spacing w:after="0"/>
              <w:ind w:left="100" w:right="100"/>
              <w:jc w:val="right"/>
            </w:pPr>
            <w:r>
              <w:rPr>
                <w:rFonts w:eastAsia="Century Gothic" w:cs="Century Gothic"/>
                <w:color w:val="000000"/>
                <w:sz w:val="18"/>
                <w:szCs w:val="18"/>
              </w:rPr>
              <w:t>6.2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830670" w14:textId="77777777" w:rsidR="001C19F3" w:rsidRDefault="001C19F3" w:rsidP="00521305">
            <w:pPr>
              <w:spacing w:after="0"/>
              <w:ind w:left="100" w:right="100"/>
              <w:jc w:val="right"/>
            </w:pPr>
            <w:r>
              <w:rPr>
                <w:rFonts w:eastAsia="Century Gothic" w:cs="Century Gothic"/>
                <w:color w:val="000000"/>
                <w:sz w:val="18"/>
                <w:szCs w:val="18"/>
              </w:rPr>
              <w:t>6.7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AAD63" w14:textId="77777777" w:rsidR="001C19F3" w:rsidRDefault="001C19F3" w:rsidP="00521305">
            <w:pPr>
              <w:spacing w:after="0"/>
              <w:ind w:left="100" w:right="100"/>
              <w:jc w:val="right"/>
            </w:pPr>
            <w:r>
              <w:rPr>
                <w:rFonts w:eastAsia="Century Gothic" w:cs="Century Gothic"/>
                <w:color w:val="000000"/>
                <w:sz w:val="18"/>
                <w:szCs w:val="18"/>
              </w:rPr>
              <w:t>8.2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FA795F"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37544DDB"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92D723" w14:textId="77777777" w:rsidR="001C19F3" w:rsidRDefault="001C19F3" w:rsidP="00521305">
            <w:pPr>
              <w:spacing w:after="0"/>
              <w:ind w:left="100" w:right="100"/>
            </w:pPr>
            <w:r>
              <w:rPr>
                <w:rFonts w:eastAsia="Century Gothic" w:cs="Century Gothic"/>
                <w:b/>
                <w:color w:val="000000"/>
                <w:sz w:val="18"/>
                <w:szCs w:val="18"/>
              </w:rPr>
              <w:t>Quality improvement strategy</w:t>
            </w:r>
          </w:p>
        </w:tc>
      </w:tr>
      <w:tr w:rsidR="001C19F3" w14:paraId="4B3C13C4"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3B92DD" w14:textId="77777777" w:rsidR="001C19F3" w:rsidRDefault="001C19F3" w:rsidP="00521305">
            <w:pPr>
              <w:spacing w:after="0"/>
              <w:ind w:left="160" w:right="100"/>
            </w:pPr>
            <w:r>
              <w:rPr>
                <w:rFonts w:eastAsia="Century Gothic" w:cs="Century Gothic"/>
                <w:color w:val="000000"/>
                <w:sz w:val="18"/>
                <w:szCs w:val="18"/>
              </w:rPr>
              <w:t>Quality improvement activities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7E0CFD" w14:textId="77777777" w:rsidR="001C19F3" w:rsidRDefault="001C19F3" w:rsidP="00521305">
            <w:pPr>
              <w:spacing w:after="0"/>
              <w:ind w:left="100" w:right="100"/>
              <w:jc w:val="right"/>
            </w:pPr>
            <w:r>
              <w:rPr>
                <w:rFonts w:eastAsia="Century Gothic" w:cs="Century Gothic"/>
                <w:color w:val="000000"/>
                <w:sz w:val="18"/>
                <w:szCs w:val="18"/>
              </w:rPr>
              <w:t>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C5248B" w14:textId="77777777" w:rsidR="001C19F3" w:rsidRDefault="001C19F3" w:rsidP="00521305">
            <w:pPr>
              <w:spacing w:after="0"/>
              <w:ind w:left="100" w:right="100"/>
              <w:jc w:val="right"/>
            </w:pPr>
            <w:r>
              <w:rPr>
                <w:rFonts w:eastAsia="Century Gothic" w:cs="Century Gothic"/>
                <w:color w:val="000000"/>
                <w:sz w:val="18"/>
                <w:szCs w:val="18"/>
              </w:rPr>
              <w:t>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17D225"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E5B3A0" w14:textId="77777777" w:rsidR="001C19F3" w:rsidRDefault="001C19F3" w:rsidP="00521305">
            <w:pPr>
              <w:spacing w:after="0"/>
              <w:ind w:left="100" w:right="100"/>
              <w:jc w:val="right"/>
            </w:pPr>
            <w:r>
              <w:rPr>
                <w:rFonts w:eastAsia="Century Gothic" w:cs="Century Gothic"/>
                <w:color w:val="000000"/>
                <w:sz w:val="18"/>
                <w:szCs w:val="18"/>
              </w:rPr>
              <w:t>6.9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28E754" w14:textId="77777777" w:rsidR="001C19F3" w:rsidRDefault="001C19F3" w:rsidP="00521305">
            <w:pPr>
              <w:spacing w:after="0"/>
              <w:ind w:left="100" w:right="100"/>
              <w:jc w:val="right"/>
            </w:pPr>
            <w:r>
              <w:rPr>
                <w:rFonts w:eastAsia="Century Gothic" w:cs="Century Gothic"/>
                <w:color w:val="000000"/>
                <w:sz w:val="18"/>
                <w:szCs w:val="18"/>
              </w:rPr>
              <w:t>8.4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3F5210"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53FDED28"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F2BE1" w14:textId="77777777" w:rsidR="001C19F3" w:rsidRDefault="001C19F3" w:rsidP="00521305">
            <w:pPr>
              <w:spacing w:after="0"/>
              <w:ind w:left="160" w:right="100"/>
            </w:pPr>
            <w:r>
              <w:rPr>
                <w:rFonts w:eastAsia="Century Gothic" w:cs="Century Gothic"/>
                <w:color w:val="000000"/>
                <w:sz w:val="18"/>
                <w:szCs w:val="18"/>
              </w:rPr>
              <w:t>Performance measures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3433C"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C72F3C" w14:textId="77777777" w:rsidR="001C19F3" w:rsidRDefault="001C19F3" w:rsidP="00521305">
            <w:pPr>
              <w:spacing w:after="0"/>
              <w:ind w:left="100" w:right="100"/>
              <w:jc w:val="right"/>
            </w:pPr>
            <w:r>
              <w:rPr>
                <w:rFonts w:eastAsia="Century Gothic" w:cs="Century Gothic"/>
                <w:color w:val="000000"/>
                <w:sz w:val="18"/>
                <w:szCs w:val="18"/>
              </w:rPr>
              <w:t>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6BF3DA"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76D0FB" w14:textId="77777777" w:rsidR="001C19F3" w:rsidRDefault="001C19F3" w:rsidP="00521305">
            <w:pPr>
              <w:spacing w:after="0"/>
              <w:ind w:left="100" w:right="100"/>
              <w:jc w:val="right"/>
            </w:pPr>
            <w:r>
              <w:rPr>
                <w:rFonts w:eastAsia="Century Gothic" w:cs="Century Gothic"/>
                <w:color w:val="000000"/>
                <w:sz w:val="18"/>
                <w:szCs w:val="18"/>
              </w:rPr>
              <w:t>6.6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3BFE68"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9BB1BA"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7C0CB9F5"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800766" w14:textId="77777777" w:rsidR="001C19F3" w:rsidRDefault="001C19F3" w:rsidP="00521305">
            <w:pPr>
              <w:spacing w:after="0"/>
              <w:ind w:left="160" w:right="100"/>
            </w:pPr>
            <w:r>
              <w:rPr>
                <w:rFonts w:eastAsia="Century Gothic" w:cs="Century Gothic"/>
                <w:color w:val="000000"/>
                <w:sz w:val="18"/>
                <w:szCs w:val="18"/>
              </w:rPr>
              <w:t>Quality improvement activities are conducted by</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A8B529"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3ACF51" w14:textId="77777777" w:rsidR="001C19F3" w:rsidRDefault="001C19F3" w:rsidP="00521305">
            <w:pPr>
              <w:spacing w:after="0"/>
              <w:ind w:left="100" w:right="100"/>
              <w:jc w:val="right"/>
            </w:pPr>
            <w:r>
              <w:rPr>
                <w:rFonts w:eastAsia="Century Gothic" w:cs="Century Gothic"/>
                <w:color w:val="000000"/>
                <w:sz w:val="18"/>
                <w:szCs w:val="18"/>
              </w:rPr>
              <w:t>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304626"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FCC9C" w14:textId="77777777" w:rsidR="001C19F3" w:rsidRDefault="001C19F3" w:rsidP="00521305">
            <w:pPr>
              <w:spacing w:after="0"/>
              <w:ind w:left="100" w:right="100"/>
              <w:jc w:val="right"/>
            </w:pPr>
            <w:r>
              <w:rPr>
                <w:rFonts w:eastAsia="Century Gothic" w:cs="Century Gothic"/>
                <w:color w:val="000000"/>
                <w:sz w:val="18"/>
                <w:szCs w:val="18"/>
              </w:rPr>
              <w:t>6.1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596E57"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EAC822" w14:textId="77777777" w:rsidR="001C19F3" w:rsidRDefault="001C19F3" w:rsidP="00521305">
            <w:pPr>
              <w:spacing w:after="0"/>
              <w:ind w:left="100" w:right="100"/>
              <w:jc w:val="right"/>
            </w:pPr>
            <w:r>
              <w:rPr>
                <w:rFonts w:eastAsia="Century Gothic" w:cs="Century Gothic"/>
                <w:color w:val="000000"/>
                <w:sz w:val="18"/>
                <w:szCs w:val="18"/>
              </w:rPr>
              <w:t>11</w:t>
            </w:r>
          </w:p>
        </w:tc>
      </w:tr>
      <w:tr w:rsidR="001C19F3" w14:paraId="716C8007"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46E4A4" w14:textId="77777777" w:rsidR="001C19F3" w:rsidRDefault="001C19F3" w:rsidP="00521305">
            <w:pPr>
              <w:spacing w:after="0"/>
              <w:ind w:left="160" w:right="100"/>
            </w:pPr>
            <w:r>
              <w:rPr>
                <w:rFonts w:eastAsia="Century Gothic" w:cs="Century Gothic"/>
                <w:color w:val="000000"/>
                <w:sz w:val="18"/>
                <w:szCs w:val="18"/>
              </w:rPr>
              <w:t>Clinical information systems that optimise use of information</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BE2C24"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B01C45" w14:textId="77777777" w:rsidR="001C19F3" w:rsidRDefault="001C19F3" w:rsidP="00521305">
            <w:pPr>
              <w:spacing w:after="0"/>
              <w:ind w:left="100" w:right="100"/>
              <w:jc w:val="right"/>
            </w:pPr>
            <w:r>
              <w:rPr>
                <w:rFonts w:eastAsia="Century Gothic" w:cs="Century Gothic"/>
                <w:color w:val="000000"/>
                <w:sz w:val="18"/>
                <w:szCs w:val="18"/>
              </w:rPr>
              <w:t>5.6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96FF0"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88212E" w14:textId="77777777" w:rsidR="001C19F3" w:rsidRDefault="001C19F3" w:rsidP="00521305">
            <w:pPr>
              <w:spacing w:after="0"/>
              <w:ind w:left="100" w:right="100"/>
              <w:jc w:val="right"/>
            </w:pPr>
            <w:r>
              <w:rPr>
                <w:rFonts w:eastAsia="Century Gothic" w:cs="Century Gothic"/>
                <w:color w:val="000000"/>
                <w:sz w:val="18"/>
                <w:szCs w:val="18"/>
              </w:rPr>
              <w:t>7.3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6DB722"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74987"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2E6E851E"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789163" w14:textId="77777777" w:rsidR="001C19F3" w:rsidRDefault="001C19F3" w:rsidP="00521305">
            <w:pPr>
              <w:spacing w:after="0"/>
              <w:ind w:left="100" w:right="100"/>
            </w:pPr>
            <w:r>
              <w:rPr>
                <w:rFonts w:eastAsia="Century Gothic" w:cs="Century Gothic"/>
                <w:b/>
                <w:color w:val="000000"/>
                <w:sz w:val="18"/>
                <w:szCs w:val="18"/>
              </w:rPr>
              <w:t>Continuous &amp; team based healing relationships</w:t>
            </w:r>
          </w:p>
        </w:tc>
      </w:tr>
      <w:tr w:rsidR="001C19F3" w14:paraId="289CC115"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F596EE" w14:textId="77777777" w:rsidR="001C19F3" w:rsidRDefault="001C19F3" w:rsidP="00521305">
            <w:pPr>
              <w:spacing w:after="0"/>
              <w:ind w:left="160" w:right="100"/>
            </w:pPr>
            <w:r>
              <w:rPr>
                <w:rFonts w:eastAsia="Century Gothic" w:cs="Century Gothic"/>
                <w:color w:val="000000"/>
                <w:sz w:val="18"/>
                <w:szCs w:val="18"/>
              </w:rPr>
              <w:t>Patients are encouraged to see their nominated GP &amp; care team</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AC09CB" w14:textId="77777777" w:rsidR="001C19F3" w:rsidRDefault="001C19F3" w:rsidP="00521305">
            <w:pPr>
              <w:spacing w:after="0"/>
              <w:ind w:left="100" w:right="100"/>
              <w:jc w:val="right"/>
            </w:pPr>
            <w:r>
              <w:rPr>
                <w:rFonts w:eastAsia="Century Gothic" w:cs="Century Gothic"/>
                <w:color w:val="000000"/>
                <w:sz w:val="18"/>
                <w:szCs w:val="18"/>
              </w:rPr>
              <w:t>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0088B7"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899166"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9BC361" w14:textId="77777777" w:rsidR="001C19F3" w:rsidRDefault="001C19F3" w:rsidP="00521305">
            <w:pPr>
              <w:spacing w:after="0"/>
              <w:ind w:left="100" w:right="100"/>
              <w:jc w:val="right"/>
            </w:pPr>
            <w:r>
              <w:rPr>
                <w:rFonts w:eastAsia="Century Gothic" w:cs="Century Gothic"/>
                <w:color w:val="000000"/>
                <w:sz w:val="18"/>
                <w:szCs w:val="18"/>
              </w:rPr>
              <w:t>8.6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A34B75"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92C502"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0D293A18"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A816ED" w14:textId="77777777" w:rsidR="001C19F3" w:rsidRDefault="001C19F3" w:rsidP="00521305">
            <w:pPr>
              <w:spacing w:after="0"/>
              <w:ind w:left="160" w:right="100"/>
            </w:pPr>
            <w:r>
              <w:rPr>
                <w:rFonts w:eastAsia="Century Gothic" w:cs="Century Gothic"/>
                <w:color w:val="000000"/>
                <w:sz w:val="18"/>
                <w:szCs w:val="18"/>
              </w:rPr>
              <w:t>Non-GP care team members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8442D5"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04E32F"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8C5B03"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8C733C" w14:textId="77777777" w:rsidR="001C19F3" w:rsidRDefault="001C19F3" w:rsidP="00521305">
            <w:pPr>
              <w:spacing w:after="0"/>
              <w:ind w:left="100" w:right="100"/>
              <w:jc w:val="right"/>
            </w:pPr>
            <w:r>
              <w:rPr>
                <w:rFonts w:eastAsia="Century Gothic" w:cs="Century Gothic"/>
                <w:color w:val="000000"/>
                <w:sz w:val="18"/>
                <w:szCs w:val="18"/>
              </w:rPr>
              <w:t>8.4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2D8310"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09D47A"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7279522F"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A6622B" w14:textId="77777777" w:rsidR="001C19F3" w:rsidRDefault="001C19F3" w:rsidP="00521305">
            <w:pPr>
              <w:spacing w:after="0"/>
              <w:ind w:left="160" w:right="100"/>
            </w:pPr>
            <w:r>
              <w:rPr>
                <w:rFonts w:eastAsia="Century Gothic" w:cs="Century Gothic"/>
                <w:color w:val="000000"/>
                <w:sz w:val="18"/>
                <w:szCs w:val="18"/>
              </w:rPr>
              <w:t>The practice</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10CEFB"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E15857"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06C8CB" w14:textId="77777777" w:rsidR="001C19F3" w:rsidRDefault="001C19F3" w:rsidP="00521305">
            <w:pPr>
              <w:spacing w:after="0"/>
              <w:ind w:left="100" w:right="100"/>
              <w:jc w:val="right"/>
            </w:pPr>
            <w:r>
              <w:rPr>
                <w:rFonts w:eastAsia="Century Gothic" w:cs="Century Gothic"/>
                <w:color w:val="000000"/>
                <w:sz w:val="18"/>
                <w:szCs w:val="18"/>
              </w:rPr>
              <w:t>7.8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51B649" w14:textId="77777777" w:rsidR="001C19F3" w:rsidRDefault="001C19F3" w:rsidP="00521305">
            <w:pPr>
              <w:spacing w:after="0"/>
              <w:ind w:left="100" w:right="100"/>
              <w:jc w:val="right"/>
            </w:pPr>
            <w:r>
              <w:rPr>
                <w:rFonts w:eastAsia="Century Gothic" w:cs="Century Gothic"/>
                <w:color w:val="000000"/>
                <w:sz w:val="18"/>
                <w:szCs w:val="18"/>
              </w:rPr>
              <w:t>7.6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B049C"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7CA957"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085A5E2C"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52BE46" w14:textId="77777777" w:rsidR="001C19F3" w:rsidRDefault="001C19F3" w:rsidP="00521305">
            <w:pPr>
              <w:spacing w:after="0"/>
              <w:ind w:left="100" w:right="100"/>
            </w:pPr>
            <w:r>
              <w:rPr>
                <w:rFonts w:eastAsia="Century Gothic" w:cs="Century Gothic"/>
                <w:b/>
                <w:color w:val="000000"/>
                <w:sz w:val="18"/>
                <w:szCs w:val="18"/>
              </w:rPr>
              <w:t>Organised, evidence-based care</w:t>
            </w:r>
          </w:p>
        </w:tc>
      </w:tr>
      <w:tr w:rsidR="001C19F3" w14:paraId="59E96A64"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DB7031" w14:textId="77777777" w:rsidR="001C19F3" w:rsidRDefault="001C19F3" w:rsidP="00521305">
            <w:pPr>
              <w:spacing w:after="0"/>
              <w:ind w:left="160" w:right="100"/>
            </w:pPr>
            <w:r>
              <w:rPr>
                <w:rFonts w:eastAsia="Century Gothic" w:cs="Century Gothic"/>
                <w:color w:val="000000"/>
                <w:sz w:val="18"/>
                <w:szCs w:val="18"/>
              </w:rPr>
              <w:t>Comprehensive, guideline-based information on prevention or chronic illness treatment</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6BAFBD" w14:textId="77777777" w:rsidR="001C19F3" w:rsidRDefault="001C19F3" w:rsidP="00521305">
            <w:pPr>
              <w:spacing w:after="0"/>
              <w:ind w:left="100" w:right="100"/>
              <w:jc w:val="right"/>
            </w:pPr>
            <w:r>
              <w:rPr>
                <w:rFonts w:eastAsia="Century Gothic" w:cs="Century Gothic"/>
                <w:color w:val="000000"/>
                <w:sz w:val="18"/>
                <w:szCs w:val="18"/>
              </w:rPr>
              <w:t>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41B861"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4B4F75" w14:textId="77777777" w:rsidR="001C19F3" w:rsidRDefault="001C19F3" w:rsidP="00521305">
            <w:pPr>
              <w:spacing w:after="0"/>
              <w:ind w:left="100" w:right="100"/>
              <w:jc w:val="right"/>
            </w:pPr>
            <w:r>
              <w:rPr>
                <w:rFonts w:eastAsia="Century Gothic" w:cs="Century Gothic"/>
                <w:color w:val="000000"/>
                <w:sz w:val="18"/>
                <w:szCs w:val="18"/>
              </w:rPr>
              <w:t>8.4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41CC3" w14:textId="77777777" w:rsidR="001C19F3" w:rsidRDefault="001C19F3" w:rsidP="00521305">
            <w:pPr>
              <w:spacing w:after="0"/>
              <w:ind w:left="100" w:right="100"/>
              <w:jc w:val="right"/>
            </w:pPr>
            <w:r>
              <w:rPr>
                <w:rFonts w:eastAsia="Century Gothic" w:cs="Century Gothic"/>
                <w:color w:val="000000"/>
                <w:sz w:val="18"/>
                <w:szCs w:val="18"/>
              </w:rPr>
              <w:t>8.3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4035D7" w14:textId="77777777" w:rsidR="001C19F3" w:rsidRDefault="001C19F3" w:rsidP="00521305">
            <w:pPr>
              <w:spacing w:after="0"/>
              <w:ind w:left="100" w:right="100"/>
              <w:jc w:val="right"/>
            </w:pPr>
            <w:r>
              <w:rPr>
                <w:rFonts w:eastAsia="Century Gothic" w:cs="Century Gothic"/>
                <w:color w:val="000000"/>
                <w:sz w:val="18"/>
                <w:szCs w:val="18"/>
              </w:rPr>
              <w:t>9.6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5E3A25"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4B6D73AE"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A36D12" w14:textId="77777777" w:rsidR="001C19F3" w:rsidRDefault="001C19F3" w:rsidP="00521305">
            <w:pPr>
              <w:spacing w:after="0"/>
              <w:ind w:left="160" w:right="100"/>
            </w:pPr>
            <w:r>
              <w:rPr>
                <w:rFonts w:eastAsia="Century Gothic" w:cs="Century Gothic"/>
                <w:color w:val="000000"/>
                <w:sz w:val="18"/>
                <w:szCs w:val="18"/>
              </w:rPr>
              <w:t>Visits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9C3737"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FEED21"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DBF503" w14:textId="77777777" w:rsidR="001C19F3" w:rsidRDefault="001C19F3" w:rsidP="00521305">
            <w:pPr>
              <w:spacing w:after="0"/>
              <w:ind w:left="100" w:right="100"/>
              <w:jc w:val="right"/>
            </w:pPr>
            <w:r>
              <w:rPr>
                <w:rFonts w:eastAsia="Century Gothic" w:cs="Century Gothic"/>
                <w:color w:val="000000"/>
                <w:sz w:val="18"/>
                <w:szCs w:val="18"/>
              </w:rPr>
              <w:t>8.4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534ED4" w14:textId="77777777" w:rsidR="001C19F3" w:rsidRDefault="001C19F3" w:rsidP="00521305">
            <w:pPr>
              <w:spacing w:after="0"/>
              <w:ind w:left="100" w:right="100"/>
              <w:jc w:val="right"/>
            </w:pPr>
            <w:r>
              <w:rPr>
                <w:rFonts w:eastAsia="Century Gothic" w:cs="Century Gothic"/>
                <w:color w:val="000000"/>
                <w:sz w:val="18"/>
                <w:szCs w:val="18"/>
              </w:rPr>
              <w:t>8.3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03F395"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A4696D"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374DB0A2"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FBC86E" w14:textId="77777777" w:rsidR="001C19F3" w:rsidRDefault="001C19F3" w:rsidP="00521305">
            <w:pPr>
              <w:spacing w:after="0"/>
              <w:ind w:left="160" w:right="100"/>
            </w:pPr>
            <w:r>
              <w:rPr>
                <w:rFonts w:eastAsia="Century Gothic" w:cs="Century Gothic"/>
                <w:color w:val="000000"/>
                <w:sz w:val="18"/>
                <w:szCs w:val="18"/>
              </w:rPr>
              <w:t>Care plans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450539" w14:textId="77777777" w:rsidR="001C19F3" w:rsidRDefault="001C19F3" w:rsidP="00521305">
            <w:pPr>
              <w:spacing w:after="0"/>
              <w:ind w:left="100" w:right="100"/>
              <w:jc w:val="right"/>
            </w:pPr>
            <w:r>
              <w:rPr>
                <w:rFonts w:eastAsia="Century Gothic" w:cs="Century Gothic"/>
                <w:color w:val="000000"/>
                <w:sz w:val="18"/>
                <w:szCs w:val="18"/>
              </w:rPr>
              <w:t>3.2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E60657"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8E1F02"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485CAE" w14:textId="77777777" w:rsidR="001C19F3" w:rsidRDefault="001C19F3" w:rsidP="00521305">
            <w:pPr>
              <w:spacing w:after="0"/>
              <w:ind w:left="100" w:right="100"/>
              <w:jc w:val="right"/>
            </w:pPr>
            <w:r>
              <w:rPr>
                <w:rFonts w:eastAsia="Century Gothic" w:cs="Century Gothic"/>
                <w:color w:val="000000"/>
                <w:sz w:val="18"/>
                <w:szCs w:val="18"/>
              </w:rPr>
              <w:t>8.7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184797"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7F5787"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39800BB0"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E017B" w14:textId="77777777" w:rsidR="001C19F3" w:rsidRDefault="001C19F3" w:rsidP="00521305">
            <w:pPr>
              <w:spacing w:after="0"/>
              <w:ind w:left="160" w:right="100"/>
            </w:pPr>
            <w:r>
              <w:rPr>
                <w:rFonts w:eastAsia="Century Gothic" w:cs="Century Gothic"/>
                <w:color w:val="000000"/>
                <w:sz w:val="18"/>
                <w:szCs w:val="18"/>
              </w:rPr>
              <w:t>Coordinated care management services for high-risk patients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0BA23B"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5B5D0B" w14:textId="77777777" w:rsidR="001C19F3" w:rsidRDefault="001C19F3" w:rsidP="00521305">
            <w:pPr>
              <w:spacing w:after="0"/>
              <w:ind w:left="100" w:right="100"/>
              <w:jc w:val="right"/>
            </w:pPr>
            <w:r>
              <w:rPr>
                <w:rFonts w:eastAsia="Century Gothic" w:cs="Century Gothic"/>
                <w:color w:val="000000"/>
                <w:sz w:val="18"/>
                <w:szCs w:val="18"/>
              </w:rPr>
              <w:t>6.1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0D3DE5"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0C5E4B" w14:textId="77777777" w:rsidR="001C19F3" w:rsidRDefault="001C19F3" w:rsidP="00521305">
            <w:pPr>
              <w:spacing w:after="0"/>
              <w:ind w:left="100" w:right="100"/>
              <w:jc w:val="right"/>
            </w:pPr>
            <w:r>
              <w:rPr>
                <w:rFonts w:eastAsia="Century Gothic" w:cs="Century Gothic"/>
                <w:color w:val="000000"/>
                <w:sz w:val="18"/>
                <w:szCs w:val="18"/>
              </w:rPr>
              <w:t>7.7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8A56DB"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331A2C"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14161E2E"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4D229A" w14:textId="77777777" w:rsidR="001C19F3" w:rsidRDefault="001C19F3" w:rsidP="00521305">
            <w:pPr>
              <w:spacing w:after="0"/>
              <w:ind w:left="160" w:right="100"/>
            </w:pPr>
            <w:r>
              <w:rPr>
                <w:rFonts w:eastAsia="Century Gothic" w:cs="Century Gothic"/>
                <w:color w:val="000000"/>
                <w:sz w:val="18"/>
                <w:szCs w:val="18"/>
              </w:rPr>
              <w:t>Mental health, alcohol abuse and behaviour change outcomes such as improvement in depression</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35223F"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6F9C7C"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D321DA" w14:textId="77777777" w:rsidR="001C19F3" w:rsidRDefault="001C19F3" w:rsidP="00521305">
            <w:pPr>
              <w:spacing w:after="0"/>
              <w:ind w:left="100" w:right="100"/>
              <w:jc w:val="right"/>
            </w:pPr>
            <w:r>
              <w:rPr>
                <w:rFonts w:eastAsia="Century Gothic" w:cs="Century Gothic"/>
                <w:color w:val="000000"/>
                <w:sz w:val="18"/>
                <w:szCs w:val="18"/>
              </w:rPr>
              <w:t>7.8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C69C1B" w14:textId="77777777" w:rsidR="001C19F3" w:rsidRDefault="001C19F3" w:rsidP="00521305">
            <w:pPr>
              <w:spacing w:after="0"/>
              <w:ind w:left="100" w:right="100"/>
              <w:jc w:val="right"/>
            </w:pPr>
            <w:r>
              <w:rPr>
                <w:rFonts w:eastAsia="Century Gothic" w:cs="Century Gothic"/>
                <w:color w:val="000000"/>
                <w:sz w:val="18"/>
                <w:szCs w:val="18"/>
              </w:rPr>
              <w:t>7.3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5FB802"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231CD7" w14:textId="77777777" w:rsidR="001C19F3" w:rsidRDefault="001C19F3" w:rsidP="00521305">
            <w:pPr>
              <w:spacing w:after="0"/>
              <w:ind w:left="100" w:right="100"/>
              <w:jc w:val="right"/>
            </w:pPr>
            <w:r>
              <w:rPr>
                <w:rFonts w:eastAsia="Century Gothic" w:cs="Century Gothic"/>
                <w:color w:val="000000"/>
                <w:sz w:val="18"/>
                <w:szCs w:val="18"/>
              </w:rPr>
              <w:t>11</w:t>
            </w:r>
          </w:p>
        </w:tc>
      </w:tr>
      <w:tr w:rsidR="001C19F3" w14:paraId="53F5783D"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90756C" w14:textId="77777777" w:rsidR="001C19F3" w:rsidRDefault="001C19F3" w:rsidP="00521305">
            <w:pPr>
              <w:spacing w:after="0"/>
              <w:ind w:left="100" w:right="100"/>
            </w:pPr>
            <w:r>
              <w:rPr>
                <w:rFonts w:eastAsia="Century Gothic" w:cs="Century Gothic"/>
                <w:b/>
                <w:color w:val="000000"/>
                <w:sz w:val="18"/>
                <w:szCs w:val="18"/>
              </w:rPr>
              <w:t>Patient-centred interactions</w:t>
            </w:r>
          </w:p>
        </w:tc>
      </w:tr>
      <w:tr w:rsidR="001C19F3" w14:paraId="12804EB2"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12AB5B" w14:textId="77777777" w:rsidR="001C19F3" w:rsidRDefault="001C19F3" w:rsidP="00521305">
            <w:pPr>
              <w:spacing w:after="0"/>
              <w:ind w:left="160" w:right="100"/>
            </w:pPr>
            <w:r>
              <w:rPr>
                <w:rFonts w:eastAsia="Century Gothic" w:cs="Century Gothic"/>
                <w:color w:val="000000"/>
                <w:sz w:val="18"/>
                <w:szCs w:val="18"/>
              </w:rPr>
              <w:t>Assessing and respecting patient and family values &amp; preferences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448AD0" w14:textId="77777777" w:rsidR="001C19F3" w:rsidRDefault="001C19F3" w:rsidP="00521305">
            <w:pPr>
              <w:spacing w:after="0"/>
              <w:ind w:left="100" w:right="100"/>
              <w:jc w:val="right"/>
            </w:pPr>
            <w:r>
              <w:rPr>
                <w:rFonts w:eastAsia="Century Gothic" w:cs="Century Gothic"/>
                <w:color w:val="000000"/>
                <w:sz w:val="18"/>
                <w:szCs w:val="18"/>
              </w:rPr>
              <w:t>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8E35B6"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AF7363" w14:textId="77777777" w:rsidR="001C19F3" w:rsidRDefault="001C19F3" w:rsidP="00521305">
            <w:pPr>
              <w:spacing w:after="0"/>
              <w:ind w:left="100" w:right="100"/>
              <w:jc w:val="right"/>
            </w:pPr>
            <w:r>
              <w:rPr>
                <w:rFonts w:eastAsia="Century Gothic" w:cs="Century Gothic"/>
                <w:color w:val="000000"/>
                <w:sz w:val="18"/>
                <w:szCs w:val="18"/>
              </w:rPr>
              <w:t>8.9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A88F0" w14:textId="77777777" w:rsidR="001C19F3" w:rsidRDefault="001C19F3" w:rsidP="00521305">
            <w:pPr>
              <w:spacing w:after="0"/>
              <w:ind w:left="100" w:right="100"/>
              <w:jc w:val="right"/>
            </w:pPr>
            <w:r>
              <w:rPr>
                <w:rFonts w:eastAsia="Century Gothic" w:cs="Century Gothic"/>
                <w:color w:val="000000"/>
                <w:sz w:val="18"/>
                <w:szCs w:val="18"/>
              </w:rPr>
              <w:t>8.5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42F36"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E40428"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5271DEE6"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7C62C" w14:textId="77777777" w:rsidR="001C19F3" w:rsidRDefault="001C19F3" w:rsidP="00521305">
            <w:pPr>
              <w:spacing w:after="0"/>
              <w:ind w:left="160" w:right="100"/>
            </w:pPr>
            <w:r>
              <w:rPr>
                <w:rFonts w:eastAsia="Century Gothic" w:cs="Century Gothic"/>
                <w:color w:val="000000"/>
                <w:sz w:val="18"/>
                <w:szCs w:val="18"/>
              </w:rPr>
              <w:t>Involving patients in decision-making and care</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5A7913"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E3A7BE" w14:textId="77777777" w:rsidR="001C19F3" w:rsidRDefault="001C19F3" w:rsidP="00521305">
            <w:pPr>
              <w:spacing w:after="0"/>
              <w:ind w:left="100" w:right="100"/>
              <w:jc w:val="right"/>
            </w:pPr>
            <w:r>
              <w:rPr>
                <w:rFonts w:eastAsia="Century Gothic" w:cs="Century Gothic"/>
                <w:color w:val="000000"/>
                <w:sz w:val="18"/>
                <w:szCs w:val="18"/>
              </w:rPr>
              <w:t>6.8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A6F5B2"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2C870F" w14:textId="77777777" w:rsidR="001C19F3" w:rsidRDefault="001C19F3" w:rsidP="00521305">
            <w:pPr>
              <w:spacing w:after="0"/>
              <w:ind w:left="100" w:right="100"/>
              <w:jc w:val="right"/>
            </w:pPr>
            <w:r>
              <w:rPr>
                <w:rFonts w:eastAsia="Century Gothic" w:cs="Century Gothic"/>
                <w:color w:val="000000"/>
                <w:sz w:val="18"/>
                <w:szCs w:val="18"/>
              </w:rPr>
              <w:t>7.9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45F251" w14:textId="77777777" w:rsidR="001C19F3" w:rsidRDefault="001C19F3" w:rsidP="00521305">
            <w:pPr>
              <w:spacing w:after="0"/>
              <w:ind w:left="100" w:right="100"/>
              <w:jc w:val="right"/>
            </w:pPr>
            <w:r>
              <w:rPr>
                <w:rFonts w:eastAsia="Century Gothic" w:cs="Century Gothic"/>
                <w:color w:val="000000"/>
                <w:sz w:val="18"/>
                <w:szCs w:val="18"/>
              </w:rPr>
              <w:t>9.1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6DB2D1"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11A87157"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8108A0" w14:textId="77777777" w:rsidR="001C19F3" w:rsidRDefault="001C19F3" w:rsidP="00521305">
            <w:pPr>
              <w:spacing w:after="0"/>
              <w:ind w:left="160" w:right="100"/>
            </w:pPr>
            <w:r>
              <w:rPr>
                <w:rFonts w:eastAsia="Century Gothic" w:cs="Century Gothic"/>
                <w:color w:val="000000"/>
                <w:sz w:val="18"/>
                <w:szCs w:val="18"/>
              </w:rPr>
              <w:lastRenderedPageBreak/>
              <w:t>Patient comprehension of verbal and written materials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34D19E"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5A7F06"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C80748"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CC49F7" w14:textId="77777777" w:rsidR="001C19F3" w:rsidRDefault="001C19F3" w:rsidP="00521305">
            <w:pPr>
              <w:spacing w:after="0"/>
              <w:ind w:left="100" w:right="100"/>
              <w:jc w:val="right"/>
            </w:pPr>
            <w:r>
              <w:rPr>
                <w:rFonts w:eastAsia="Century Gothic" w:cs="Century Gothic"/>
                <w:color w:val="000000"/>
                <w:sz w:val="18"/>
                <w:szCs w:val="18"/>
              </w:rPr>
              <w:t>7.4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3E8FD4"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207EAB"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529B74C0"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10DCF8" w14:textId="77777777" w:rsidR="001C19F3" w:rsidRDefault="001C19F3" w:rsidP="00521305">
            <w:pPr>
              <w:spacing w:after="0"/>
              <w:ind w:left="160" w:right="100"/>
            </w:pPr>
            <w:r>
              <w:rPr>
                <w:rFonts w:eastAsia="Century Gothic" w:cs="Century Gothic"/>
                <w:color w:val="000000"/>
                <w:sz w:val="18"/>
                <w:szCs w:val="18"/>
              </w:rPr>
              <w:t>Self-management support</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F9B8B6" w14:textId="77777777" w:rsidR="001C19F3" w:rsidRDefault="001C19F3" w:rsidP="00521305">
            <w:pPr>
              <w:spacing w:after="0"/>
              <w:ind w:left="100" w:right="100"/>
              <w:jc w:val="right"/>
            </w:pPr>
            <w:r>
              <w:rPr>
                <w:rFonts w:eastAsia="Century Gothic" w:cs="Century Gothic"/>
                <w:color w:val="000000"/>
                <w:sz w:val="18"/>
                <w:szCs w:val="18"/>
              </w:rPr>
              <w:t>1.8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2FF4CF"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CF891B"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CBBDD5" w14:textId="77777777" w:rsidR="001C19F3" w:rsidRDefault="001C19F3" w:rsidP="00521305">
            <w:pPr>
              <w:spacing w:after="0"/>
              <w:ind w:left="100" w:right="100"/>
              <w:jc w:val="right"/>
            </w:pPr>
            <w:r>
              <w:rPr>
                <w:rFonts w:eastAsia="Century Gothic" w:cs="Century Gothic"/>
                <w:color w:val="000000"/>
                <w:sz w:val="18"/>
                <w:szCs w:val="18"/>
              </w:rPr>
              <w:t>7.2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3E52DF"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FDFB38"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48E7C090"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DAC8AF" w14:textId="77777777" w:rsidR="001C19F3" w:rsidRDefault="001C19F3" w:rsidP="00521305">
            <w:pPr>
              <w:spacing w:after="0"/>
              <w:ind w:left="160" w:right="100"/>
            </w:pPr>
            <w:r>
              <w:rPr>
                <w:rFonts w:eastAsia="Century Gothic" w:cs="Century Gothic"/>
                <w:color w:val="000000"/>
                <w:sz w:val="18"/>
                <w:szCs w:val="18"/>
              </w:rPr>
              <w:t>The principles of patient-centred care</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51C0BB"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BB9FF" w14:textId="77777777" w:rsidR="001C19F3" w:rsidRDefault="001C19F3" w:rsidP="00521305">
            <w:pPr>
              <w:spacing w:after="0"/>
              <w:ind w:left="100" w:right="100"/>
              <w:jc w:val="right"/>
            </w:pPr>
            <w:r>
              <w:rPr>
                <w:rFonts w:eastAsia="Century Gothic" w:cs="Century Gothic"/>
                <w:color w:val="000000"/>
                <w:sz w:val="18"/>
                <w:szCs w:val="18"/>
              </w:rPr>
              <w:t>5.9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FB5356"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B8F311" w14:textId="77777777" w:rsidR="001C19F3" w:rsidRDefault="001C19F3" w:rsidP="00521305">
            <w:pPr>
              <w:spacing w:after="0"/>
              <w:ind w:left="100" w:right="100"/>
              <w:jc w:val="right"/>
            </w:pPr>
            <w:r>
              <w:rPr>
                <w:rFonts w:eastAsia="Century Gothic" w:cs="Century Gothic"/>
                <w:color w:val="000000"/>
                <w:sz w:val="18"/>
                <w:szCs w:val="18"/>
              </w:rPr>
              <w:t>7.2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51B170"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0DC7E"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35A6808B"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D338A3" w14:textId="77777777" w:rsidR="001C19F3" w:rsidRDefault="001C19F3" w:rsidP="00521305">
            <w:pPr>
              <w:spacing w:after="0"/>
              <w:ind w:left="160" w:right="100"/>
            </w:pPr>
            <w:r>
              <w:rPr>
                <w:rFonts w:eastAsia="Century Gothic" w:cs="Century Gothic"/>
                <w:color w:val="000000"/>
                <w:sz w:val="18"/>
                <w:szCs w:val="18"/>
              </w:rPr>
              <w:t>Measurement of patient-centred interactions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30CDBC"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517D57" w14:textId="77777777" w:rsidR="001C19F3" w:rsidRDefault="001C19F3" w:rsidP="00521305">
            <w:pPr>
              <w:spacing w:after="0"/>
              <w:ind w:left="100" w:right="100"/>
              <w:jc w:val="right"/>
            </w:pPr>
            <w:r>
              <w:rPr>
                <w:rFonts w:eastAsia="Century Gothic" w:cs="Century Gothic"/>
                <w:color w:val="000000"/>
                <w:sz w:val="18"/>
                <w:szCs w:val="18"/>
              </w:rPr>
              <w:t>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42367D" w14:textId="77777777" w:rsidR="001C19F3" w:rsidRDefault="001C19F3" w:rsidP="00521305">
            <w:pPr>
              <w:spacing w:after="0"/>
              <w:ind w:left="100" w:right="100"/>
              <w:jc w:val="right"/>
            </w:pPr>
            <w:r>
              <w:rPr>
                <w:rFonts w:eastAsia="Century Gothic" w:cs="Century Gothic"/>
                <w:color w:val="000000"/>
                <w:sz w:val="18"/>
                <w:szCs w:val="18"/>
              </w:rPr>
              <w:t>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3148FA" w14:textId="77777777" w:rsidR="001C19F3" w:rsidRDefault="001C19F3" w:rsidP="00521305">
            <w:pPr>
              <w:spacing w:after="0"/>
              <w:ind w:left="100" w:right="100"/>
              <w:jc w:val="right"/>
            </w:pPr>
            <w:r>
              <w:rPr>
                <w:rFonts w:eastAsia="Century Gothic" w:cs="Century Gothic"/>
                <w:color w:val="000000"/>
                <w:sz w:val="18"/>
                <w:szCs w:val="18"/>
              </w:rPr>
              <w:t>5.5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C98A7E"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D2DE49"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0286E95E"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9E2F3C" w14:textId="77777777" w:rsidR="001C19F3" w:rsidRDefault="001C19F3" w:rsidP="00521305">
            <w:pPr>
              <w:spacing w:after="0"/>
              <w:ind w:left="100" w:right="100"/>
            </w:pPr>
            <w:r>
              <w:rPr>
                <w:rFonts w:eastAsia="Century Gothic" w:cs="Century Gothic"/>
                <w:b/>
                <w:color w:val="000000"/>
                <w:sz w:val="18"/>
                <w:szCs w:val="18"/>
              </w:rPr>
              <w:t>Care coordination</w:t>
            </w:r>
          </w:p>
        </w:tc>
      </w:tr>
      <w:tr w:rsidR="001C19F3" w14:paraId="1376BD87"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B36317" w14:textId="77777777" w:rsidR="001C19F3" w:rsidRDefault="001C19F3" w:rsidP="00521305">
            <w:pPr>
              <w:spacing w:after="0"/>
              <w:ind w:left="160" w:right="100"/>
            </w:pPr>
            <w:r>
              <w:rPr>
                <w:rFonts w:eastAsia="Century Gothic" w:cs="Century Gothic"/>
                <w:color w:val="000000"/>
                <w:sz w:val="18"/>
                <w:szCs w:val="18"/>
              </w:rPr>
              <w:t>Medical and surgical specialty services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ED15B7"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66EC55"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8541C8"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398BBF" w14:textId="77777777" w:rsidR="001C19F3" w:rsidRDefault="001C19F3" w:rsidP="00521305">
            <w:pPr>
              <w:spacing w:after="0"/>
              <w:ind w:left="100" w:right="100"/>
              <w:jc w:val="right"/>
            </w:pPr>
            <w:r>
              <w:rPr>
                <w:rFonts w:eastAsia="Century Gothic" w:cs="Century Gothic"/>
                <w:color w:val="000000"/>
                <w:sz w:val="18"/>
                <w:szCs w:val="18"/>
              </w:rPr>
              <w:t>7.2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B2DC0E"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B0CB5E"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3EAF6E51"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51987E" w14:textId="77777777" w:rsidR="001C19F3" w:rsidRDefault="001C19F3" w:rsidP="00521305">
            <w:pPr>
              <w:spacing w:after="0"/>
              <w:ind w:left="160" w:right="100"/>
            </w:pPr>
            <w:r>
              <w:rPr>
                <w:rFonts w:eastAsia="Century Gothic" w:cs="Century Gothic"/>
                <w:color w:val="000000"/>
                <w:sz w:val="18"/>
                <w:szCs w:val="18"/>
              </w:rPr>
              <w:t>Mental health services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53F94E"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015E2"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A42BD5"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27514"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24CEB"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0DA63D"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19998454"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27F283" w14:textId="77777777" w:rsidR="001C19F3" w:rsidRDefault="001C19F3" w:rsidP="00521305">
            <w:pPr>
              <w:spacing w:after="0"/>
              <w:ind w:left="160" w:right="100"/>
            </w:pPr>
            <w:r>
              <w:rPr>
                <w:rFonts w:eastAsia="Century Gothic" w:cs="Century Gothic"/>
                <w:color w:val="000000"/>
                <w:sz w:val="18"/>
                <w:szCs w:val="18"/>
              </w:rPr>
              <w:t>Patients in need of specialty care, hospital care, or supportive community- based resources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8F8AAA" w14:textId="77777777" w:rsidR="001C19F3" w:rsidRDefault="001C19F3" w:rsidP="00521305">
            <w:pPr>
              <w:spacing w:after="0"/>
              <w:ind w:left="100" w:right="100"/>
              <w:jc w:val="right"/>
            </w:pPr>
            <w:r>
              <w:rPr>
                <w:rFonts w:eastAsia="Century Gothic" w:cs="Century Gothic"/>
                <w:color w:val="000000"/>
                <w:sz w:val="18"/>
                <w:szCs w:val="18"/>
              </w:rPr>
              <w:t>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C79E5B"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12F9FA"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0CBB78" w14:textId="77777777" w:rsidR="001C19F3" w:rsidRDefault="001C19F3" w:rsidP="00521305">
            <w:pPr>
              <w:spacing w:after="0"/>
              <w:ind w:left="100" w:right="100"/>
              <w:jc w:val="right"/>
            </w:pPr>
            <w:r>
              <w:rPr>
                <w:rFonts w:eastAsia="Century Gothic" w:cs="Century Gothic"/>
                <w:color w:val="000000"/>
                <w:sz w:val="18"/>
                <w:szCs w:val="18"/>
              </w:rPr>
              <w:t>7.9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80C7A8"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78426F"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18B79685"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76427D" w14:textId="77777777" w:rsidR="001C19F3" w:rsidRDefault="001C19F3" w:rsidP="00521305">
            <w:pPr>
              <w:spacing w:after="0"/>
              <w:ind w:left="160" w:right="100"/>
            </w:pPr>
            <w:r>
              <w:rPr>
                <w:rFonts w:eastAsia="Century Gothic" w:cs="Century Gothic"/>
                <w:color w:val="000000"/>
                <w:sz w:val="18"/>
                <w:szCs w:val="18"/>
              </w:rPr>
              <w:t>Follow-up by the practice and care team with patients seen in the emergency department or hospital</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E18330"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7290BF"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27ADB9"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409735"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F58F9E"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935F31"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6120E4D6"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163D3D" w14:textId="77777777" w:rsidR="001C19F3" w:rsidRDefault="001C19F3" w:rsidP="00521305">
            <w:pPr>
              <w:spacing w:after="0"/>
              <w:ind w:left="160" w:right="100"/>
            </w:pPr>
            <w:r>
              <w:rPr>
                <w:rFonts w:eastAsia="Century Gothic" w:cs="Century Gothic"/>
                <w:color w:val="000000"/>
                <w:sz w:val="18"/>
                <w:szCs w:val="18"/>
              </w:rPr>
              <w:t>Linking patients to supportive community- based resources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382D98"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9F14B"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EA9241"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F99071" w14:textId="77777777" w:rsidR="001C19F3" w:rsidRDefault="001C19F3" w:rsidP="00521305">
            <w:pPr>
              <w:spacing w:after="0"/>
              <w:ind w:left="100" w:right="100"/>
              <w:jc w:val="right"/>
            </w:pPr>
            <w:r>
              <w:rPr>
                <w:rFonts w:eastAsia="Century Gothic" w:cs="Century Gothic"/>
                <w:color w:val="000000"/>
                <w:sz w:val="18"/>
                <w:szCs w:val="18"/>
              </w:rPr>
              <w:t>7.5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272E2C" w14:textId="77777777" w:rsidR="001C19F3" w:rsidRDefault="001C19F3" w:rsidP="00521305">
            <w:pPr>
              <w:spacing w:after="0"/>
              <w:ind w:left="100" w:right="100"/>
              <w:jc w:val="right"/>
            </w:pPr>
            <w:r>
              <w:rPr>
                <w:rFonts w:eastAsia="Century Gothic" w:cs="Century Gothic"/>
                <w:color w:val="000000"/>
                <w:sz w:val="18"/>
                <w:szCs w:val="18"/>
              </w:rPr>
              <w:t>8.9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30FC5" w14:textId="77777777" w:rsidR="001C19F3" w:rsidRDefault="001C19F3" w:rsidP="00521305">
            <w:pPr>
              <w:spacing w:after="0"/>
              <w:ind w:left="100" w:right="100"/>
              <w:jc w:val="right"/>
            </w:pPr>
            <w:r>
              <w:rPr>
                <w:rFonts w:eastAsia="Century Gothic" w:cs="Century Gothic"/>
                <w:color w:val="000000"/>
                <w:sz w:val="18"/>
                <w:szCs w:val="18"/>
              </w:rPr>
              <w:t>54</w:t>
            </w:r>
          </w:p>
        </w:tc>
      </w:tr>
      <w:tr w:rsidR="001C19F3" w14:paraId="5CA3AA18"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F7D1A4" w14:textId="77777777" w:rsidR="001C19F3" w:rsidRDefault="001C19F3" w:rsidP="00521305">
            <w:pPr>
              <w:spacing w:after="0"/>
              <w:ind w:left="160" w:right="100"/>
            </w:pPr>
            <w:r>
              <w:rPr>
                <w:rFonts w:eastAsia="Century Gothic" w:cs="Century Gothic"/>
                <w:color w:val="000000"/>
                <w:sz w:val="18"/>
                <w:szCs w:val="18"/>
              </w:rPr>
              <w:t>Test results and care plans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3249A2" w14:textId="77777777" w:rsidR="001C19F3" w:rsidRDefault="001C19F3" w:rsidP="00521305">
            <w:pPr>
              <w:spacing w:after="0"/>
              <w:ind w:left="100" w:right="100"/>
              <w:jc w:val="right"/>
            </w:pPr>
            <w:r>
              <w:rPr>
                <w:rFonts w:eastAsia="Century Gothic" w:cs="Century Gothic"/>
                <w:color w:val="000000"/>
                <w:sz w:val="18"/>
                <w:szCs w:val="18"/>
              </w:rPr>
              <w:t>5</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3FA983"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56E261"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376A45" w14:textId="77777777" w:rsidR="001C19F3" w:rsidRDefault="001C19F3" w:rsidP="00521305">
            <w:pPr>
              <w:spacing w:after="0"/>
              <w:ind w:left="100" w:right="100"/>
              <w:jc w:val="right"/>
            </w:pPr>
            <w:r>
              <w:rPr>
                <w:rFonts w:eastAsia="Century Gothic" w:cs="Century Gothic"/>
                <w:color w:val="000000"/>
                <w:sz w:val="18"/>
                <w:szCs w:val="18"/>
              </w:rPr>
              <w:t>8.9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F4BA66" w14:textId="77777777" w:rsidR="001C19F3" w:rsidRDefault="001C19F3" w:rsidP="00521305">
            <w:pPr>
              <w:spacing w:after="0"/>
              <w:ind w:left="100" w:right="100"/>
              <w:jc w:val="right"/>
            </w:pPr>
            <w:r>
              <w:rPr>
                <w:rFonts w:eastAsia="Century Gothic" w:cs="Century Gothic"/>
                <w:color w:val="000000"/>
                <w:sz w:val="18"/>
                <w:szCs w:val="18"/>
              </w:rPr>
              <w:t>10</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9FB305"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4BECB6E0" w14:textId="77777777" w:rsidTr="00521305">
        <w:trPr>
          <w:cantSplit/>
          <w:trHeight w:val="20"/>
          <w:jc w:val="center"/>
        </w:trPr>
        <w:tc>
          <w:tcPr>
            <w:tcW w:w="5000" w:type="pct"/>
            <w:gridSpan w:val="7"/>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14E7D" w14:textId="77777777" w:rsidR="001C19F3" w:rsidRDefault="001C19F3" w:rsidP="00521305">
            <w:pPr>
              <w:spacing w:after="0"/>
              <w:ind w:left="100" w:right="100"/>
            </w:pPr>
            <w:r>
              <w:rPr>
                <w:rFonts w:eastAsia="Century Gothic" w:cs="Century Gothic"/>
                <w:b/>
                <w:color w:val="000000"/>
                <w:sz w:val="18"/>
                <w:szCs w:val="18"/>
              </w:rPr>
              <w:t>Enhanced access</w:t>
            </w:r>
          </w:p>
        </w:tc>
      </w:tr>
      <w:tr w:rsidR="001C19F3" w14:paraId="182142FF"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308252" w14:textId="77777777" w:rsidR="001C19F3" w:rsidRDefault="001C19F3" w:rsidP="00521305">
            <w:pPr>
              <w:spacing w:after="0"/>
              <w:ind w:left="160" w:right="100"/>
            </w:pPr>
            <w:r>
              <w:rPr>
                <w:rFonts w:eastAsia="Century Gothic" w:cs="Century Gothic"/>
                <w:color w:val="000000"/>
                <w:sz w:val="18"/>
                <w:szCs w:val="18"/>
              </w:rPr>
              <w:t>Appointment systems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04608E" w14:textId="77777777" w:rsidR="001C19F3" w:rsidRDefault="001C19F3" w:rsidP="00521305">
            <w:pPr>
              <w:spacing w:after="0"/>
              <w:ind w:left="100" w:right="100"/>
              <w:jc w:val="right"/>
            </w:pPr>
            <w:r>
              <w:rPr>
                <w:rFonts w:eastAsia="Century Gothic" w:cs="Century Gothic"/>
                <w:color w:val="000000"/>
                <w:sz w:val="18"/>
                <w:szCs w:val="18"/>
              </w:rPr>
              <w:t>2</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8D61E"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3B0F05" w14:textId="77777777" w:rsidR="001C19F3" w:rsidRDefault="001C19F3" w:rsidP="00521305">
            <w:pPr>
              <w:spacing w:after="0"/>
              <w:ind w:left="100" w:right="100"/>
              <w:jc w:val="right"/>
            </w:pPr>
            <w:r>
              <w:rPr>
                <w:rFonts w:eastAsia="Century Gothic" w:cs="Century Gothic"/>
                <w:color w:val="000000"/>
                <w:sz w:val="18"/>
                <w:szCs w:val="18"/>
              </w:rPr>
              <w:t>9.8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BC0FA8" w14:textId="77777777" w:rsidR="001C19F3" w:rsidRDefault="001C19F3" w:rsidP="00521305">
            <w:pPr>
              <w:spacing w:after="0"/>
              <w:ind w:left="100" w:right="100"/>
              <w:jc w:val="right"/>
            </w:pPr>
            <w:r>
              <w:rPr>
                <w:rFonts w:eastAsia="Century Gothic" w:cs="Century Gothic"/>
                <w:color w:val="000000"/>
                <w:sz w:val="18"/>
                <w:szCs w:val="18"/>
              </w:rPr>
              <w:t>9.3</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B15588" w14:textId="77777777" w:rsidR="001C19F3" w:rsidRDefault="001C19F3" w:rsidP="00521305">
            <w:pPr>
              <w:spacing w:after="0"/>
              <w:ind w:left="100" w:right="100"/>
              <w:jc w:val="right"/>
            </w:pPr>
            <w:r>
              <w:rPr>
                <w:rFonts w:eastAsia="Century Gothic" w:cs="Century Gothic"/>
                <w:color w:val="000000"/>
                <w:sz w:val="18"/>
                <w:szCs w:val="18"/>
              </w:rPr>
              <w:t>11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2B1069"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50431423"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13E29D" w14:textId="77777777" w:rsidR="001C19F3" w:rsidRDefault="001C19F3" w:rsidP="00521305">
            <w:pPr>
              <w:spacing w:after="0"/>
              <w:ind w:left="160" w:right="100"/>
            </w:pPr>
            <w:r>
              <w:rPr>
                <w:rFonts w:eastAsia="Century Gothic" w:cs="Century Gothic"/>
                <w:color w:val="000000"/>
                <w:sz w:val="18"/>
                <w:szCs w:val="18"/>
              </w:rPr>
              <w:t>Contacting the care team during regular business hours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E980CB"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FECAD5"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B8141D"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E861FE" w14:textId="77777777" w:rsidR="001C19F3" w:rsidRDefault="001C19F3" w:rsidP="00521305">
            <w:pPr>
              <w:spacing w:after="0"/>
              <w:ind w:left="100" w:right="100"/>
              <w:jc w:val="right"/>
            </w:pPr>
            <w:r>
              <w:rPr>
                <w:rFonts w:eastAsia="Century Gothic" w:cs="Century Gothic"/>
                <w:color w:val="000000"/>
                <w:sz w:val="18"/>
                <w:szCs w:val="18"/>
              </w:rPr>
              <w:t>8.4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0435B9" w14:textId="77777777" w:rsidR="001C19F3" w:rsidRDefault="001C19F3" w:rsidP="00521305">
            <w:pPr>
              <w:spacing w:after="0"/>
              <w:ind w:left="100" w:right="100"/>
              <w:jc w:val="right"/>
            </w:pPr>
            <w:r>
              <w:rPr>
                <w:rFonts w:eastAsia="Century Gothic" w:cs="Century Gothic"/>
                <w:color w:val="000000"/>
                <w:sz w:val="18"/>
                <w:szCs w:val="18"/>
              </w:rPr>
              <w:t>9.4</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8DDC24"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06E127AE"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8725C" w14:textId="77777777" w:rsidR="001C19F3" w:rsidRDefault="001C19F3" w:rsidP="00521305">
            <w:pPr>
              <w:spacing w:after="0"/>
              <w:ind w:left="160" w:right="100"/>
            </w:pPr>
            <w:r>
              <w:rPr>
                <w:rFonts w:eastAsia="Century Gothic" w:cs="Century Gothic"/>
                <w:color w:val="000000"/>
                <w:sz w:val="18"/>
                <w:szCs w:val="18"/>
              </w:rPr>
              <w:t>After-hours access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7FFA0" w14:textId="77777777" w:rsidR="001C19F3" w:rsidRDefault="001C19F3" w:rsidP="00521305">
            <w:pPr>
              <w:spacing w:after="0"/>
              <w:ind w:left="100" w:right="100"/>
              <w:jc w:val="right"/>
            </w:pPr>
            <w:r>
              <w:rPr>
                <w:rFonts w:eastAsia="Century Gothic" w:cs="Century Gothic"/>
                <w:color w:val="000000"/>
                <w:sz w:val="18"/>
                <w:szCs w:val="18"/>
              </w:rPr>
              <w:t>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166C8C" w14:textId="77777777" w:rsidR="001C19F3" w:rsidRDefault="001C19F3" w:rsidP="00521305">
            <w:pPr>
              <w:spacing w:after="0"/>
              <w:ind w:left="100" w:right="100"/>
              <w:jc w:val="right"/>
            </w:pPr>
            <w:r>
              <w:rPr>
                <w:rFonts w:eastAsia="Century Gothic" w:cs="Century Gothic"/>
                <w:color w:val="000000"/>
                <w:sz w:val="18"/>
                <w:szCs w:val="18"/>
              </w:rPr>
              <w:t>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4F2561"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9D101" w14:textId="77777777" w:rsidR="001C19F3" w:rsidRDefault="001C19F3" w:rsidP="00521305">
            <w:pPr>
              <w:spacing w:after="0"/>
              <w:ind w:left="100" w:right="100"/>
              <w:jc w:val="right"/>
            </w:pPr>
            <w:r>
              <w:rPr>
                <w:rFonts w:eastAsia="Century Gothic" w:cs="Century Gothic"/>
                <w:color w:val="000000"/>
                <w:sz w:val="18"/>
                <w:szCs w:val="18"/>
              </w:rPr>
              <w:t>7.6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B3FA3D" w14:textId="77777777" w:rsidR="001C19F3" w:rsidRDefault="001C19F3" w:rsidP="00521305">
            <w:pPr>
              <w:spacing w:after="0"/>
              <w:ind w:left="100" w:right="100"/>
              <w:jc w:val="right"/>
            </w:pPr>
            <w:r>
              <w:rPr>
                <w:rFonts w:eastAsia="Century Gothic" w:cs="Century Gothic"/>
                <w:color w:val="000000"/>
                <w:sz w:val="18"/>
                <w:szCs w:val="18"/>
              </w:rPr>
              <w:t>9</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3DF10"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745E703B" w14:textId="77777777" w:rsidTr="00521305">
        <w:trPr>
          <w:cantSplit/>
          <w:trHeight w:val="20"/>
          <w:jc w:val="center"/>
        </w:trPr>
        <w:tc>
          <w:tcPr>
            <w:tcW w:w="21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BC00E7" w14:textId="77777777" w:rsidR="001C19F3" w:rsidRDefault="001C19F3" w:rsidP="00521305">
            <w:pPr>
              <w:spacing w:after="0"/>
              <w:ind w:left="160" w:right="100"/>
            </w:pPr>
            <w:r>
              <w:rPr>
                <w:rFonts w:eastAsia="Century Gothic" w:cs="Century Gothic"/>
                <w:color w:val="000000"/>
                <w:sz w:val="18"/>
                <w:szCs w:val="18"/>
              </w:rPr>
              <w:t>A patient's out of pocket expenses</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7B445A" w14:textId="77777777" w:rsidR="001C19F3" w:rsidRDefault="001C19F3" w:rsidP="00521305">
            <w:pPr>
              <w:spacing w:after="0"/>
              <w:ind w:left="100" w:right="100"/>
              <w:jc w:val="right"/>
            </w:pPr>
            <w:r>
              <w:rPr>
                <w:rFonts w:eastAsia="Century Gothic" w:cs="Century Gothic"/>
                <w:color w:val="000000"/>
                <w:sz w:val="18"/>
                <w:szCs w:val="18"/>
              </w:rPr>
              <w:t>2.6</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A37DE" w14:textId="77777777" w:rsidR="001C19F3" w:rsidRDefault="001C19F3" w:rsidP="00521305">
            <w:pPr>
              <w:spacing w:after="0"/>
              <w:ind w:left="100" w:right="100"/>
              <w:jc w:val="right"/>
            </w:pPr>
            <w:r>
              <w:rPr>
                <w:rFonts w:eastAsia="Century Gothic" w:cs="Century Gothic"/>
                <w:color w:val="000000"/>
                <w:sz w:val="18"/>
                <w:szCs w:val="18"/>
              </w:rPr>
              <w:t>7</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3E0D33" w14:textId="77777777" w:rsidR="001C19F3" w:rsidRDefault="001C19F3" w:rsidP="00521305">
            <w:pPr>
              <w:spacing w:after="0"/>
              <w:ind w:left="100" w:right="100"/>
              <w:jc w:val="right"/>
            </w:pPr>
            <w:r>
              <w:rPr>
                <w:rFonts w:eastAsia="Century Gothic" w:cs="Century Gothic"/>
                <w:color w:val="000000"/>
                <w:sz w:val="18"/>
                <w:szCs w:val="18"/>
              </w:rPr>
              <w:t>8</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8D374B" w14:textId="77777777" w:rsidR="001C19F3" w:rsidRDefault="001C19F3" w:rsidP="00521305">
            <w:pPr>
              <w:spacing w:after="0"/>
              <w:ind w:left="100" w:right="100"/>
              <w:jc w:val="right"/>
            </w:pPr>
            <w:r>
              <w:rPr>
                <w:rFonts w:eastAsia="Century Gothic" w:cs="Century Gothic"/>
                <w:color w:val="000000"/>
                <w:sz w:val="18"/>
                <w:szCs w:val="18"/>
              </w:rPr>
              <w:t>8.1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8F02F2" w14:textId="77777777" w:rsidR="001C19F3" w:rsidRDefault="001C19F3" w:rsidP="00521305">
            <w:pPr>
              <w:spacing w:after="0"/>
              <w:ind w:left="100" w:right="100"/>
              <w:jc w:val="right"/>
            </w:pPr>
            <w:r>
              <w:rPr>
                <w:rFonts w:eastAsia="Century Gothic" w:cs="Century Gothic"/>
                <w:color w:val="000000"/>
                <w:sz w:val="18"/>
                <w:szCs w:val="18"/>
              </w:rPr>
              <w:t>9.1</w:t>
            </w:r>
          </w:p>
        </w:tc>
        <w:tc>
          <w:tcPr>
            <w:tcW w:w="47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101C9" w14:textId="77777777" w:rsidR="001C19F3" w:rsidRDefault="001C19F3" w:rsidP="00521305">
            <w:pPr>
              <w:spacing w:after="0"/>
              <w:ind w:left="100" w:right="100"/>
              <w:jc w:val="right"/>
            </w:pPr>
            <w:r>
              <w:rPr>
                <w:rFonts w:eastAsia="Century Gothic" w:cs="Century Gothic"/>
                <w:color w:val="000000"/>
                <w:sz w:val="18"/>
                <w:szCs w:val="18"/>
              </w:rPr>
              <w:t>12</w:t>
            </w:r>
          </w:p>
        </w:tc>
      </w:tr>
    </w:tbl>
    <w:p w14:paraId="66047D25" w14:textId="77777777" w:rsidR="001C19F3" w:rsidRDefault="001C19F3" w:rsidP="001C19F3">
      <w:pPr>
        <w:pStyle w:val="Chartortablefootnote"/>
        <w:rPr>
          <w:rFonts w:cstheme="minorBidi"/>
          <w:szCs w:val="20"/>
        </w:rPr>
      </w:pPr>
      <w:r>
        <w:t>Source: Practice survey R1 Part A, Mar-Jun 2018, question 1.</w:t>
      </w:r>
    </w:p>
    <w:p w14:paraId="5541DC11" w14:textId="77777777" w:rsidR="001C19F3" w:rsidRDefault="001C19F3" w:rsidP="00EE4B33">
      <w:pPr>
        <w:pStyle w:val="Caption1"/>
        <w:spacing w:after="0"/>
      </w:pPr>
      <w:bookmarkStart w:id="552" w:name="_Ref22647883"/>
      <w:bookmarkStart w:id="553" w:name="_Ref22638727"/>
      <w:r>
        <w:t xml:space="preserve">Table </w:t>
      </w:r>
      <w:r>
        <w:fldChar w:fldCharType="begin"/>
      </w:r>
      <w:r>
        <w:instrText>SEQ Table \* ARABIC</w:instrText>
      </w:r>
      <w:r>
        <w:fldChar w:fldCharType="separate"/>
      </w:r>
      <w:r>
        <w:rPr>
          <w:noProof/>
        </w:rPr>
        <w:t>35</w:t>
      </w:r>
      <w:r>
        <w:fldChar w:fldCharType="end"/>
      </w:r>
      <w:bookmarkEnd w:id="552"/>
      <w:r>
        <w:t xml:space="preserve"> – Number of people who participated in HCH-A, baseline</w:t>
      </w:r>
      <w:bookmarkEnd w:id="553"/>
    </w:p>
    <w:tbl>
      <w:tblPr>
        <w:tblW w:w="0" w:type="auto"/>
        <w:jc w:val="center"/>
        <w:tblLayout w:type="fixed"/>
        <w:tblLook w:val="04A0" w:firstRow="1" w:lastRow="0" w:firstColumn="1" w:lastColumn="0" w:noHBand="0" w:noVBand="1"/>
      </w:tblPr>
      <w:tblGrid>
        <w:gridCol w:w="3251"/>
        <w:gridCol w:w="4394"/>
        <w:gridCol w:w="4394"/>
      </w:tblGrid>
      <w:tr w:rsidR="001C19F3" w14:paraId="25A77B60" w14:textId="77777777" w:rsidTr="00521305">
        <w:trPr>
          <w:cantSplit/>
          <w:trHeight w:val="336"/>
          <w:tblHeader/>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AA45A08" w14:textId="77777777" w:rsidR="001C19F3" w:rsidRDefault="001C19F3" w:rsidP="00521305">
            <w:pPr>
              <w:spacing w:after="0"/>
              <w:jc w:val="center"/>
            </w:pPr>
            <w:r>
              <w:rPr>
                <w:rFonts w:eastAsia="Century Gothic" w:cs="Century Gothic"/>
                <w:b/>
                <w:color w:val="FFFFFF"/>
                <w:sz w:val="18"/>
                <w:szCs w:val="18"/>
              </w:rPr>
              <w:t>Response</w:t>
            </w:r>
          </w:p>
        </w:tc>
        <w:tc>
          <w:tcPr>
            <w:tcW w:w="439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1EC749" w14:textId="77777777" w:rsidR="001C19F3" w:rsidRDefault="001C19F3" w:rsidP="00521305">
            <w:pPr>
              <w:spacing w:after="0"/>
              <w:jc w:val="center"/>
            </w:pPr>
            <w:r>
              <w:rPr>
                <w:rFonts w:eastAsia="Century Gothic" w:cs="Century Gothic"/>
                <w:b/>
                <w:color w:val="FFFFFF"/>
                <w:sz w:val="18"/>
                <w:szCs w:val="18"/>
              </w:rPr>
              <w:t>Total staff participating in HCH-A</w:t>
            </w:r>
          </w:p>
        </w:tc>
        <w:tc>
          <w:tcPr>
            <w:tcW w:w="439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DD02851" w14:textId="77777777" w:rsidR="001C19F3" w:rsidRDefault="001C19F3" w:rsidP="00521305">
            <w:pPr>
              <w:spacing w:after="0"/>
              <w:jc w:val="center"/>
            </w:pPr>
            <w:r>
              <w:rPr>
                <w:rFonts w:eastAsia="Century Gothic" w:cs="Century Gothic"/>
                <w:b/>
                <w:color w:val="FFFFFF"/>
                <w:sz w:val="18"/>
                <w:szCs w:val="18"/>
              </w:rPr>
              <w:t>Mean staff per practice (practices responding)</w:t>
            </w:r>
          </w:p>
        </w:tc>
      </w:tr>
      <w:tr w:rsidR="001C19F3" w14:paraId="04476A83"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34E473" w14:textId="77777777" w:rsidR="001C19F3" w:rsidRDefault="001C19F3" w:rsidP="00521305">
            <w:pPr>
              <w:spacing w:after="0"/>
              <w:ind w:left="100" w:right="100"/>
            </w:pPr>
            <w:r>
              <w:rPr>
                <w:rFonts w:eastAsia="Century Gothic" w:cs="Century Gothic"/>
                <w:color w:val="000000"/>
                <w:sz w:val="18"/>
                <w:szCs w:val="18"/>
              </w:rPr>
              <w:t>GPs</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2CC9B2" w14:textId="77777777" w:rsidR="001C19F3" w:rsidRDefault="001C19F3" w:rsidP="00521305">
            <w:pPr>
              <w:spacing w:after="0"/>
              <w:ind w:left="100" w:right="100"/>
              <w:jc w:val="right"/>
            </w:pPr>
            <w:r>
              <w:rPr>
                <w:rFonts w:eastAsia="Century Gothic" w:cs="Century Gothic"/>
                <w:color w:val="000000"/>
                <w:sz w:val="18"/>
                <w:szCs w:val="18"/>
              </w:rPr>
              <w:t>185</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429B2A" w14:textId="77777777" w:rsidR="001C19F3" w:rsidRDefault="001C19F3" w:rsidP="00521305">
            <w:pPr>
              <w:spacing w:after="0"/>
              <w:ind w:left="100" w:right="100"/>
              <w:jc w:val="right"/>
            </w:pPr>
            <w:r>
              <w:rPr>
                <w:rFonts w:eastAsia="Century Gothic" w:cs="Century Gothic"/>
                <w:color w:val="000000"/>
                <w:sz w:val="18"/>
                <w:szCs w:val="18"/>
              </w:rPr>
              <w:t>1.57</w:t>
            </w:r>
          </w:p>
        </w:tc>
      </w:tr>
      <w:tr w:rsidR="001C19F3" w14:paraId="759476E0"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CDC54F" w14:textId="77777777" w:rsidR="001C19F3" w:rsidRDefault="001C19F3" w:rsidP="00521305">
            <w:pPr>
              <w:spacing w:after="0"/>
              <w:ind w:left="100" w:right="100"/>
            </w:pPr>
            <w:r>
              <w:rPr>
                <w:rFonts w:eastAsia="Century Gothic" w:cs="Century Gothic"/>
                <w:color w:val="000000"/>
                <w:sz w:val="18"/>
                <w:szCs w:val="18"/>
              </w:rPr>
              <w:t>Nurses</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17377F" w14:textId="77777777" w:rsidR="001C19F3" w:rsidRDefault="001C19F3" w:rsidP="00521305">
            <w:pPr>
              <w:spacing w:after="0"/>
              <w:ind w:left="100" w:right="100"/>
              <w:jc w:val="right"/>
            </w:pPr>
            <w:r>
              <w:rPr>
                <w:rFonts w:eastAsia="Century Gothic" w:cs="Century Gothic"/>
                <w:color w:val="000000"/>
                <w:sz w:val="18"/>
                <w:szCs w:val="18"/>
              </w:rPr>
              <w:t>160</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B8EE22" w14:textId="77777777" w:rsidR="001C19F3" w:rsidRDefault="001C19F3" w:rsidP="00521305">
            <w:pPr>
              <w:spacing w:after="0"/>
              <w:ind w:left="100" w:right="100"/>
              <w:jc w:val="right"/>
            </w:pPr>
            <w:r>
              <w:rPr>
                <w:rFonts w:eastAsia="Century Gothic" w:cs="Century Gothic"/>
                <w:color w:val="000000"/>
                <w:sz w:val="18"/>
                <w:szCs w:val="18"/>
              </w:rPr>
              <w:t>1.36</w:t>
            </w:r>
          </w:p>
        </w:tc>
      </w:tr>
      <w:tr w:rsidR="001C19F3" w14:paraId="0FC0B41F"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A15833" w14:textId="77777777" w:rsidR="001C19F3" w:rsidRDefault="001C19F3" w:rsidP="00521305">
            <w:pPr>
              <w:spacing w:after="0"/>
              <w:ind w:left="100" w:right="100"/>
            </w:pPr>
            <w:r>
              <w:rPr>
                <w:rFonts w:eastAsia="Century Gothic" w:cs="Century Gothic"/>
                <w:color w:val="000000"/>
                <w:sz w:val="18"/>
                <w:szCs w:val="18"/>
              </w:rPr>
              <w:t>Practice managers</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C17ADC" w14:textId="77777777" w:rsidR="001C19F3" w:rsidRDefault="001C19F3" w:rsidP="00521305">
            <w:pPr>
              <w:spacing w:after="0"/>
              <w:ind w:left="100" w:right="100"/>
              <w:jc w:val="right"/>
            </w:pPr>
            <w:r>
              <w:rPr>
                <w:rFonts w:eastAsia="Century Gothic" w:cs="Century Gothic"/>
                <w:color w:val="000000"/>
                <w:sz w:val="18"/>
                <w:szCs w:val="18"/>
              </w:rPr>
              <w:t>92</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933E10" w14:textId="77777777" w:rsidR="001C19F3" w:rsidRDefault="001C19F3" w:rsidP="00521305">
            <w:pPr>
              <w:spacing w:after="0"/>
              <w:ind w:left="100" w:right="100"/>
              <w:jc w:val="right"/>
            </w:pPr>
            <w:r>
              <w:rPr>
                <w:rFonts w:eastAsia="Century Gothic" w:cs="Century Gothic"/>
                <w:color w:val="000000"/>
                <w:sz w:val="18"/>
                <w:szCs w:val="18"/>
              </w:rPr>
              <w:t>0.78</w:t>
            </w:r>
          </w:p>
        </w:tc>
      </w:tr>
      <w:tr w:rsidR="001C19F3" w14:paraId="2D99E0A4"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CAC799" w14:textId="77777777" w:rsidR="001C19F3" w:rsidRDefault="001C19F3" w:rsidP="00521305">
            <w:pPr>
              <w:spacing w:after="0"/>
              <w:ind w:left="100" w:right="100"/>
            </w:pPr>
            <w:r>
              <w:rPr>
                <w:rFonts w:eastAsia="Century Gothic" w:cs="Century Gothic"/>
                <w:color w:val="000000"/>
                <w:sz w:val="18"/>
                <w:szCs w:val="18"/>
              </w:rPr>
              <w:t>Aboriginal health practitioners</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583D94" w14:textId="77777777" w:rsidR="001C19F3" w:rsidRDefault="001C19F3" w:rsidP="00521305">
            <w:pPr>
              <w:spacing w:after="0"/>
              <w:ind w:left="100" w:right="100"/>
              <w:jc w:val="right"/>
            </w:pPr>
            <w:r>
              <w:rPr>
                <w:rFonts w:eastAsia="Century Gothic" w:cs="Century Gothic"/>
                <w:color w:val="000000"/>
                <w:sz w:val="18"/>
                <w:szCs w:val="18"/>
              </w:rPr>
              <w:t>12</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3F407D" w14:textId="77777777" w:rsidR="001C19F3" w:rsidRDefault="001C19F3" w:rsidP="00521305">
            <w:pPr>
              <w:spacing w:after="0"/>
              <w:ind w:left="100" w:right="100"/>
              <w:jc w:val="right"/>
            </w:pPr>
            <w:r>
              <w:rPr>
                <w:rFonts w:eastAsia="Century Gothic" w:cs="Century Gothic"/>
                <w:color w:val="000000"/>
                <w:sz w:val="18"/>
                <w:szCs w:val="18"/>
              </w:rPr>
              <w:t>0.10</w:t>
            </w:r>
          </w:p>
        </w:tc>
      </w:tr>
      <w:tr w:rsidR="001C19F3" w14:paraId="7A846F3A"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4BB658" w14:textId="77777777" w:rsidR="001C19F3" w:rsidRDefault="001C19F3" w:rsidP="00521305">
            <w:pPr>
              <w:spacing w:after="0"/>
              <w:ind w:left="100" w:right="100"/>
            </w:pPr>
            <w:r>
              <w:rPr>
                <w:rFonts w:eastAsia="Century Gothic" w:cs="Century Gothic"/>
                <w:color w:val="000000"/>
                <w:sz w:val="18"/>
                <w:szCs w:val="18"/>
              </w:rPr>
              <w:t>Allied health</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9EFB61" w14:textId="77777777" w:rsidR="001C19F3" w:rsidRDefault="001C19F3" w:rsidP="00521305">
            <w:pPr>
              <w:spacing w:after="0"/>
              <w:ind w:left="100" w:right="100"/>
              <w:jc w:val="right"/>
            </w:pPr>
            <w:r>
              <w:rPr>
                <w:rFonts w:eastAsia="Century Gothic" w:cs="Century Gothic"/>
                <w:color w:val="000000"/>
                <w:sz w:val="18"/>
                <w:szCs w:val="18"/>
              </w:rPr>
              <w:t>13</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1E6E91" w14:textId="77777777" w:rsidR="001C19F3" w:rsidRDefault="001C19F3" w:rsidP="00521305">
            <w:pPr>
              <w:spacing w:after="0"/>
              <w:ind w:left="100" w:right="100"/>
              <w:jc w:val="right"/>
            </w:pPr>
            <w:r>
              <w:rPr>
                <w:rFonts w:eastAsia="Century Gothic" w:cs="Century Gothic"/>
                <w:color w:val="000000"/>
                <w:sz w:val="18"/>
                <w:szCs w:val="18"/>
              </w:rPr>
              <w:t>0.11</w:t>
            </w:r>
          </w:p>
        </w:tc>
      </w:tr>
      <w:tr w:rsidR="001C19F3" w14:paraId="15115418"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AC0EBA" w14:textId="77777777" w:rsidR="001C19F3" w:rsidRDefault="001C19F3" w:rsidP="00521305">
            <w:pPr>
              <w:spacing w:after="0"/>
              <w:ind w:left="100" w:right="100"/>
            </w:pPr>
            <w:r>
              <w:rPr>
                <w:rFonts w:eastAsia="Century Gothic" w:cs="Century Gothic"/>
                <w:color w:val="000000"/>
                <w:sz w:val="18"/>
                <w:szCs w:val="18"/>
              </w:rPr>
              <w:t>Reception/admin</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BDC12C" w14:textId="77777777" w:rsidR="001C19F3" w:rsidRDefault="001C19F3" w:rsidP="00521305">
            <w:pPr>
              <w:spacing w:after="0"/>
              <w:ind w:left="100" w:right="100"/>
              <w:jc w:val="right"/>
            </w:pPr>
            <w:r>
              <w:rPr>
                <w:rFonts w:eastAsia="Century Gothic" w:cs="Century Gothic"/>
                <w:color w:val="000000"/>
                <w:sz w:val="18"/>
                <w:szCs w:val="18"/>
              </w:rPr>
              <w:t>159</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A89964" w14:textId="77777777" w:rsidR="001C19F3" w:rsidRDefault="001C19F3" w:rsidP="00521305">
            <w:pPr>
              <w:spacing w:after="0"/>
              <w:ind w:left="100" w:right="100"/>
              <w:jc w:val="right"/>
            </w:pPr>
            <w:r>
              <w:rPr>
                <w:rFonts w:eastAsia="Century Gothic" w:cs="Century Gothic"/>
                <w:color w:val="000000"/>
                <w:sz w:val="18"/>
                <w:szCs w:val="18"/>
              </w:rPr>
              <w:t>1.35</w:t>
            </w:r>
          </w:p>
        </w:tc>
      </w:tr>
      <w:tr w:rsidR="001C19F3" w14:paraId="5F07FC27"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D3CA20" w14:textId="77777777" w:rsidR="001C19F3" w:rsidRDefault="001C19F3" w:rsidP="00521305">
            <w:pPr>
              <w:spacing w:after="0"/>
              <w:ind w:left="100" w:right="100"/>
            </w:pPr>
            <w:r>
              <w:rPr>
                <w:rFonts w:eastAsia="Century Gothic" w:cs="Century Gothic"/>
                <w:color w:val="000000"/>
                <w:sz w:val="18"/>
                <w:szCs w:val="18"/>
              </w:rPr>
              <w:t>Other</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FE0A4F" w14:textId="77777777" w:rsidR="001C19F3" w:rsidRDefault="001C19F3" w:rsidP="00521305">
            <w:pPr>
              <w:spacing w:after="0"/>
              <w:ind w:left="100" w:right="100"/>
              <w:jc w:val="right"/>
            </w:pPr>
            <w:r>
              <w:rPr>
                <w:rFonts w:eastAsia="Century Gothic" w:cs="Century Gothic"/>
                <w:color w:val="000000"/>
                <w:sz w:val="18"/>
                <w:szCs w:val="18"/>
              </w:rPr>
              <w:t>32</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DE6CFD" w14:textId="77777777" w:rsidR="001C19F3" w:rsidRDefault="001C19F3" w:rsidP="00521305">
            <w:pPr>
              <w:spacing w:after="0"/>
              <w:ind w:left="100" w:right="100"/>
              <w:jc w:val="right"/>
            </w:pPr>
            <w:r>
              <w:rPr>
                <w:rFonts w:eastAsia="Century Gothic" w:cs="Century Gothic"/>
                <w:color w:val="000000"/>
                <w:sz w:val="18"/>
                <w:szCs w:val="18"/>
              </w:rPr>
              <w:t>0.27</w:t>
            </w:r>
          </w:p>
        </w:tc>
      </w:tr>
      <w:tr w:rsidR="001C19F3" w14:paraId="0799F8BD" w14:textId="77777777" w:rsidTr="00521305">
        <w:trPr>
          <w:cantSplit/>
          <w:trHeight w:val="20"/>
          <w:jc w:val="center"/>
        </w:trPr>
        <w:tc>
          <w:tcPr>
            <w:tcW w:w="32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6140A1" w14:textId="77777777" w:rsidR="001C19F3" w:rsidRDefault="001C19F3" w:rsidP="00521305">
            <w:pPr>
              <w:spacing w:after="0"/>
              <w:ind w:left="100" w:right="100"/>
              <w:rPr>
                <w:rFonts w:eastAsia="Century Gothic" w:cs="Century Gothic"/>
                <w:color w:val="000000"/>
                <w:sz w:val="18"/>
                <w:szCs w:val="18"/>
              </w:rPr>
            </w:pPr>
            <w:r w:rsidRPr="00E13D16">
              <w:rPr>
                <w:rFonts w:eastAsia="Century Gothic" w:cs="Century Gothic"/>
                <w:b/>
                <w:bCs/>
                <w:color w:val="000000"/>
                <w:sz w:val="18"/>
                <w:szCs w:val="18"/>
              </w:rPr>
              <w:t>Total</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F93FDF" w14:textId="77777777" w:rsidR="001C19F3" w:rsidRDefault="001C19F3" w:rsidP="00521305">
            <w:pPr>
              <w:spacing w:after="0"/>
              <w:ind w:left="100" w:right="100"/>
              <w:jc w:val="right"/>
              <w:rPr>
                <w:rFonts w:eastAsia="Century Gothic" w:cs="Century Gothic"/>
                <w:color w:val="000000"/>
                <w:sz w:val="18"/>
                <w:szCs w:val="18"/>
              </w:rPr>
            </w:pPr>
            <w:r w:rsidRPr="00E13D16">
              <w:rPr>
                <w:rFonts w:eastAsia="Century Gothic" w:cs="Century Gothic"/>
                <w:b/>
                <w:bCs/>
                <w:color w:val="000000"/>
                <w:sz w:val="18"/>
                <w:szCs w:val="18"/>
              </w:rPr>
              <w:t>653</w:t>
            </w:r>
          </w:p>
        </w:tc>
        <w:tc>
          <w:tcPr>
            <w:tcW w:w="43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14309F" w14:textId="77777777" w:rsidR="001C19F3" w:rsidRDefault="001C19F3" w:rsidP="00521305">
            <w:pPr>
              <w:spacing w:after="0"/>
              <w:ind w:left="100" w:right="100"/>
              <w:jc w:val="right"/>
              <w:rPr>
                <w:rFonts w:eastAsia="Century Gothic" w:cs="Century Gothic"/>
                <w:color w:val="000000"/>
                <w:sz w:val="18"/>
                <w:szCs w:val="18"/>
              </w:rPr>
            </w:pPr>
            <w:r>
              <w:rPr>
                <w:rFonts w:eastAsia="Century Gothic" w:cs="Century Gothic"/>
                <w:b/>
                <w:bCs/>
                <w:color w:val="000000"/>
                <w:sz w:val="18"/>
                <w:szCs w:val="18"/>
              </w:rPr>
              <w:t>5.53</w:t>
            </w:r>
          </w:p>
        </w:tc>
      </w:tr>
    </w:tbl>
    <w:p w14:paraId="38E82E3F" w14:textId="77777777" w:rsidR="001C19F3" w:rsidRDefault="001C19F3" w:rsidP="001C19F3">
      <w:pPr>
        <w:pStyle w:val="Chartortablefootnote"/>
      </w:pPr>
      <w:r>
        <w:t>Source: Practice survey R1 Part A, Mar-Jun 2018, question 2.</w:t>
      </w:r>
      <w:r>
        <w:br w:type="page"/>
      </w:r>
    </w:p>
    <w:p w14:paraId="3E42FA95" w14:textId="77777777" w:rsidR="001C19F3" w:rsidRDefault="001C19F3" w:rsidP="001C19F3">
      <w:pPr>
        <w:pStyle w:val="Caption1"/>
      </w:pPr>
      <w:bookmarkStart w:id="554" w:name="_Ref22638729"/>
      <w:r>
        <w:lastRenderedPageBreak/>
        <w:t xml:space="preserve">Table </w:t>
      </w:r>
      <w:r>
        <w:fldChar w:fldCharType="begin"/>
      </w:r>
      <w:r>
        <w:instrText>SEQ Table \* ARABIC</w:instrText>
      </w:r>
      <w:r>
        <w:fldChar w:fldCharType="separate"/>
      </w:r>
      <w:r>
        <w:rPr>
          <w:noProof/>
        </w:rPr>
        <w:t>36</w:t>
      </w:r>
      <w:r>
        <w:fldChar w:fldCharType="end"/>
      </w:r>
      <w:r>
        <w:t xml:space="preserve"> – PHN practice facilitator assisted practice in the reaching consensus on HCH-A, baseline</w:t>
      </w:r>
      <w:bookmarkEnd w:id="554"/>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5CF1ADBE"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A93FBD9"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A3185E2"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8E9DE9C"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F0DC04B"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D96CADF" w14:textId="77777777" w:rsidR="001C19F3" w:rsidRDefault="001C19F3" w:rsidP="00521305">
            <w:pPr>
              <w:spacing w:after="0"/>
              <w:jc w:val="center"/>
            </w:pPr>
            <w:r>
              <w:rPr>
                <w:rFonts w:eastAsia="Century Gothic" w:cs="Century Gothic"/>
                <w:b/>
                <w:color w:val="FFFFFF"/>
                <w:sz w:val="18"/>
                <w:szCs w:val="18"/>
              </w:rPr>
              <w:t>Location</w:t>
            </w:r>
          </w:p>
        </w:tc>
      </w:tr>
      <w:tr w:rsidR="001C19F3" w14:paraId="029677CB"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3EA33EF8"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17B38DFB"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5AA083"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5CCA29F"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6879038"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B481BF"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CE24836"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FF938EC"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709B8DC"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05A4F7" w14:textId="77777777" w:rsidR="001C19F3" w:rsidRDefault="001C19F3" w:rsidP="00521305">
            <w:pPr>
              <w:spacing w:after="0"/>
              <w:jc w:val="center"/>
            </w:pPr>
            <w:r>
              <w:rPr>
                <w:rFonts w:eastAsia="Century Gothic" w:cs="Century Gothic"/>
                <w:b/>
                <w:color w:val="FFFFFF"/>
                <w:sz w:val="18"/>
                <w:szCs w:val="18"/>
              </w:rPr>
              <w:t>MMM 4+</w:t>
            </w:r>
          </w:p>
        </w:tc>
      </w:tr>
      <w:tr w:rsidR="001C19F3" w14:paraId="146464E0"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7E54FA"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ED76F" w14:textId="77777777" w:rsidR="001C19F3" w:rsidRDefault="001C19F3" w:rsidP="00521305">
            <w:pPr>
              <w:spacing w:after="0"/>
              <w:ind w:left="100" w:right="100"/>
              <w:jc w:val="right"/>
            </w:pPr>
            <w:r>
              <w:rPr>
                <w:rFonts w:eastAsia="Century Gothic" w:cs="Century Gothic"/>
                <w:color w:val="000000"/>
                <w:sz w:val="18"/>
                <w:szCs w:val="18"/>
              </w:rPr>
              <w:t>51 (43.2%)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EB9B48" w14:textId="77777777" w:rsidR="001C19F3" w:rsidRDefault="001C19F3" w:rsidP="00521305">
            <w:pPr>
              <w:spacing w:after="0"/>
              <w:ind w:left="100" w:right="100"/>
              <w:jc w:val="right"/>
            </w:pPr>
            <w:r>
              <w:rPr>
                <w:rFonts w:eastAsia="Century Gothic" w:cs="Century Gothic"/>
                <w:color w:val="000000"/>
                <w:sz w:val="18"/>
                <w:szCs w:val="18"/>
              </w:rPr>
              <w:t>19 (41.3%)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B110D2" w14:textId="77777777" w:rsidR="001C19F3" w:rsidRDefault="001C19F3" w:rsidP="00521305">
            <w:pPr>
              <w:spacing w:after="0"/>
              <w:ind w:left="100" w:right="100"/>
              <w:jc w:val="right"/>
            </w:pPr>
            <w:r>
              <w:rPr>
                <w:rFonts w:eastAsia="Century Gothic" w:cs="Century Gothic"/>
                <w:color w:val="000000"/>
                <w:sz w:val="18"/>
                <w:szCs w:val="18"/>
              </w:rPr>
              <w:t>32 (44.4%)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DEFEEA" w14:textId="77777777" w:rsidR="001C19F3" w:rsidRDefault="001C19F3" w:rsidP="00521305">
            <w:pPr>
              <w:spacing w:after="0"/>
              <w:ind w:left="100" w:right="100"/>
              <w:jc w:val="right"/>
            </w:pPr>
            <w:r>
              <w:rPr>
                <w:rFonts w:eastAsia="Century Gothic" w:cs="Century Gothic"/>
                <w:color w:val="000000"/>
                <w:sz w:val="18"/>
                <w:szCs w:val="18"/>
              </w:rPr>
              <w:t>7 (38.9%)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61A71" w14:textId="77777777" w:rsidR="001C19F3" w:rsidRDefault="001C19F3" w:rsidP="00521305">
            <w:pPr>
              <w:spacing w:after="0"/>
              <w:ind w:left="100" w:right="100"/>
              <w:jc w:val="right"/>
            </w:pPr>
            <w:r>
              <w:rPr>
                <w:rFonts w:eastAsia="Century Gothic" w:cs="Century Gothic"/>
                <w:color w:val="000000"/>
                <w:sz w:val="18"/>
                <w:szCs w:val="18"/>
              </w:rPr>
              <w:t>5 (33.3%)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914D2C" w14:textId="77777777" w:rsidR="001C19F3" w:rsidRDefault="001C19F3" w:rsidP="00521305">
            <w:pPr>
              <w:spacing w:after="0"/>
              <w:ind w:left="100" w:right="100"/>
              <w:jc w:val="right"/>
            </w:pPr>
            <w:r>
              <w:rPr>
                <w:rFonts w:eastAsia="Century Gothic" w:cs="Century Gothic"/>
                <w:color w:val="000000"/>
                <w:sz w:val="18"/>
                <w:szCs w:val="18"/>
              </w:rPr>
              <w:t>39 (45.9%)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4A6EF1" w14:textId="77777777" w:rsidR="001C19F3" w:rsidRDefault="001C19F3" w:rsidP="00521305">
            <w:pPr>
              <w:spacing w:after="0"/>
              <w:ind w:left="100" w:right="100"/>
              <w:jc w:val="right"/>
            </w:pPr>
            <w:r>
              <w:rPr>
                <w:rFonts w:eastAsia="Century Gothic" w:cs="Century Gothic"/>
                <w:color w:val="000000"/>
                <w:sz w:val="18"/>
                <w:szCs w:val="18"/>
              </w:rPr>
              <w:t>37 (44.6%)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8F0B37" w14:textId="77777777" w:rsidR="001C19F3" w:rsidRDefault="001C19F3" w:rsidP="00521305">
            <w:pPr>
              <w:spacing w:after="0"/>
              <w:ind w:left="100" w:right="100"/>
              <w:jc w:val="right"/>
            </w:pPr>
            <w:r>
              <w:rPr>
                <w:rFonts w:eastAsia="Century Gothic" w:cs="Century Gothic"/>
                <w:color w:val="000000"/>
                <w:sz w:val="18"/>
                <w:szCs w:val="18"/>
              </w:rPr>
              <w:t>8 (47.1%)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ADF388" w14:textId="77777777" w:rsidR="001C19F3" w:rsidRDefault="001C19F3" w:rsidP="00521305">
            <w:pPr>
              <w:spacing w:after="0"/>
              <w:ind w:left="100" w:right="100"/>
              <w:jc w:val="right"/>
            </w:pPr>
            <w:r>
              <w:rPr>
                <w:rFonts w:eastAsia="Century Gothic" w:cs="Century Gothic"/>
                <w:color w:val="000000"/>
                <w:sz w:val="18"/>
                <w:szCs w:val="18"/>
              </w:rPr>
              <w:t>6 (33.3%)</w:t>
            </w:r>
          </w:p>
        </w:tc>
      </w:tr>
      <w:tr w:rsidR="001C19F3" w14:paraId="68B21B5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7EAF41"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162E34" w14:textId="77777777" w:rsidR="001C19F3" w:rsidRDefault="001C19F3" w:rsidP="00521305">
            <w:pPr>
              <w:spacing w:after="0"/>
              <w:ind w:left="100" w:right="100"/>
              <w:jc w:val="right"/>
            </w:pPr>
            <w:r>
              <w:rPr>
                <w:rFonts w:eastAsia="Century Gothic" w:cs="Century Gothic"/>
                <w:color w:val="000000"/>
                <w:sz w:val="18"/>
                <w:szCs w:val="18"/>
              </w:rPr>
              <w:t>67 (56.8%)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F72F5A" w14:textId="77777777" w:rsidR="001C19F3" w:rsidRDefault="001C19F3" w:rsidP="00521305">
            <w:pPr>
              <w:spacing w:after="0"/>
              <w:ind w:left="100" w:right="100"/>
              <w:jc w:val="right"/>
            </w:pPr>
            <w:r>
              <w:rPr>
                <w:rFonts w:eastAsia="Century Gothic" w:cs="Century Gothic"/>
                <w:color w:val="000000"/>
                <w:sz w:val="18"/>
                <w:szCs w:val="18"/>
              </w:rPr>
              <w:t>27 (58.7%)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E0347C" w14:textId="77777777" w:rsidR="001C19F3" w:rsidRDefault="001C19F3" w:rsidP="00521305">
            <w:pPr>
              <w:spacing w:after="0"/>
              <w:ind w:left="100" w:right="100"/>
              <w:jc w:val="right"/>
            </w:pPr>
            <w:r>
              <w:rPr>
                <w:rFonts w:eastAsia="Century Gothic" w:cs="Century Gothic"/>
                <w:color w:val="000000"/>
                <w:sz w:val="18"/>
                <w:szCs w:val="18"/>
              </w:rPr>
              <w:t>40 (55.6%)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4A5A02" w14:textId="77777777" w:rsidR="001C19F3" w:rsidRDefault="001C19F3" w:rsidP="00521305">
            <w:pPr>
              <w:spacing w:after="0"/>
              <w:ind w:left="100" w:right="100"/>
              <w:jc w:val="right"/>
            </w:pPr>
            <w:r>
              <w:rPr>
                <w:rFonts w:eastAsia="Century Gothic" w:cs="Century Gothic"/>
                <w:color w:val="000000"/>
                <w:sz w:val="18"/>
                <w:szCs w:val="18"/>
              </w:rPr>
              <w:t>11 (61.1%)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6BCADB" w14:textId="77777777" w:rsidR="001C19F3" w:rsidRDefault="001C19F3" w:rsidP="00521305">
            <w:pPr>
              <w:spacing w:after="0"/>
              <w:ind w:left="100" w:right="100"/>
              <w:jc w:val="right"/>
            </w:pPr>
            <w:r>
              <w:rPr>
                <w:rFonts w:eastAsia="Century Gothic" w:cs="Century Gothic"/>
                <w:color w:val="000000"/>
                <w:sz w:val="18"/>
                <w:szCs w:val="18"/>
              </w:rPr>
              <w:t>10 (66.7%)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51FC03" w14:textId="77777777" w:rsidR="001C19F3" w:rsidRDefault="001C19F3" w:rsidP="00521305">
            <w:pPr>
              <w:spacing w:after="0"/>
              <w:ind w:left="100" w:right="100"/>
              <w:jc w:val="right"/>
            </w:pPr>
            <w:r>
              <w:rPr>
                <w:rFonts w:eastAsia="Century Gothic" w:cs="Century Gothic"/>
                <w:color w:val="000000"/>
                <w:sz w:val="18"/>
                <w:szCs w:val="18"/>
              </w:rPr>
              <w:t>46 (54.1%)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3DF1BA" w14:textId="77777777" w:rsidR="001C19F3" w:rsidRDefault="001C19F3" w:rsidP="00521305">
            <w:pPr>
              <w:spacing w:after="0"/>
              <w:ind w:left="100" w:right="100"/>
              <w:jc w:val="right"/>
            </w:pPr>
            <w:r>
              <w:rPr>
                <w:rFonts w:eastAsia="Century Gothic" w:cs="Century Gothic"/>
                <w:color w:val="000000"/>
                <w:sz w:val="18"/>
                <w:szCs w:val="18"/>
              </w:rPr>
              <w:t>46 (55.4%)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6F6954" w14:textId="77777777" w:rsidR="001C19F3" w:rsidRDefault="001C19F3" w:rsidP="00521305">
            <w:pPr>
              <w:spacing w:after="0"/>
              <w:ind w:left="100" w:right="100"/>
              <w:jc w:val="right"/>
            </w:pPr>
            <w:r>
              <w:rPr>
                <w:rFonts w:eastAsia="Century Gothic" w:cs="Century Gothic"/>
                <w:color w:val="000000"/>
                <w:sz w:val="18"/>
                <w:szCs w:val="18"/>
              </w:rPr>
              <w:t>9 (52.9%)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287F8C" w14:textId="77777777" w:rsidR="001C19F3" w:rsidRDefault="001C19F3" w:rsidP="00521305">
            <w:pPr>
              <w:spacing w:after="0"/>
              <w:ind w:left="100" w:right="100"/>
              <w:jc w:val="right"/>
            </w:pPr>
            <w:r>
              <w:rPr>
                <w:rFonts w:eastAsia="Century Gothic" w:cs="Century Gothic"/>
                <w:color w:val="000000"/>
                <w:sz w:val="18"/>
                <w:szCs w:val="18"/>
              </w:rPr>
              <w:t>12 (66.7%)</w:t>
            </w:r>
          </w:p>
        </w:tc>
      </w:tr>
    </w:tbl>
    <w:p w14:paraId="13D0A238" w14:textId="77777777" w:rsidR="001C19F3" w:rsidRDefault="001C19F3" w:rsidP="001C19F3">
      <w:pPr>
        <w:pStyle w:val="Chartortablefootnote"/>
        <w:rPr>
          <w:rFonts w:cstheme="minorBidi"/>
          <w:szCs w:val="20"/>
        </w:rPr>
      </w:pPr>
      <w:r>
        <w:t>Source: Practice survey R1 Part A, Mar-Jun 2018, question 3.</w:t>
      </w:r>
    </w:p>
    <w:p w14:paraId="45EBF33E" w14:textId="77777777" w:rsidR="001C19F3" w:rsidRDefault="001C19F3" w:rsidP="001C19F3">
      <w:pPr>
        <w:pStyle w:val="Caption1"/>
      </w:pPr>
      <w:bookmarkStart w:id="555" w:name="_Ref22638786"/>
      <w:r>
        <w:t xml:space="preserve">Table </w:t>
      </w:r>
      <w:r>
        <w:fldChar w:fldCharType="begin"/>
      </w:r>
      <w:r>
        <w:instrText>SEQ Table \* ARABIC</w:instrText>
      </w:r>
      <w:r>
        <w:fldChar w:fldCharType="separate"/>
      </w:r>
      <w:r>
        <w:rPr>
          <w:noProof/>
        </w:rPr>
        <w:t>37</w:t>
      </w:r>
      <w:r>
        <w:fldChar w:fldCharType="end"/>
      </w:r>
      <w:r>
        <w:t xml:space="preserve"> – Practice focused on enrolling patients in HCH with specific chronic illnesses</w:t>
      </w:r>
      <w:bookmarkEnd w:id="555"/>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51024881"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7DF7482"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8550AE"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F74F88D"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5703527"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CB403CA" w14:textId="77777777" w:rsidR="001C19F3" w:rsidRDefault="001C19F3" w:rsidP="00521305">
            <w:pPr>
              <w:spacing w:after="0"/>
              <w:jc w:val="center"/>
            </w:pPr>
            <w:r>
              <w:rPr>
                <w:rFonts w:eastAsia="Century Gothic" w:cs="Century Gothic"/>
                <w:b/>
                <w:color w:val="FFFFFF"/>
                <w:sz w:val="18"/>
                <w:szCs w:val="18"/>
              </w:rPr>
              <w:t>Location</w:t>
            </w:r>
          </w:p>
        </w:tc>
      </w:tr>
      <w:tr w:rsidR="001C19F3" w14:paraId="4F734602"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5FA45AE6"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3F4001D2"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92AE15"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72D1879"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810A050"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0E30C69"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15FC878"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29AA9DF"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273704F"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1A84532" w14:textId="77777777" w:rsidR="001C19F3" w:rsidRDefault="001C19F3" w:rsidP="00521305">
            <w:pPr>
              <w:spacing w:after="0"/>
              <w:jc w:val="center"/>
            </w:pPr>
            <w:r>
              <w:rPr>
                <w:rFonts w:eastAsia="Century Gothic" w:cs="Century Gothic"/>
                <w:b/>
                <w:color w:val="FFFFFF"/>
                <w:sz w:val="18"/>
                <w:szCs w:val="18"/>
              </w:rPr>
              <w:t>MMM 4+</w:t>
            </w:r>
          </w:p>
        </w:tc>
      </w:tr>
      <w:tr w:rsidR="001C19F3" w14:paraId="50C1526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518B6D" w14:textId="77777777" w:rsidR="001C19F3" w:rsidRDefault="001C19F3" w:rsidP="00521305">
            <w:pPr>
              <w:spacing w:after="0"/>
              <w:ind w:left="100" w:right="100"/>
            </w:pPr>
            <w:r>
              <w:rPr>
                <w:rFonts w:eastAsia="Century Gothic" w:cs="Century Gothic"/>
                <w:b/>
                <w:color w:val="000000"/>
                <w:sz w:val="18"/>
                <w:szCs w:val="18"/>
              </w:rPr>
              <w:t>Yes - focused chronic illnesses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5EA021" w14:textId="77777777" w:rsidR="001C19F3" w:rsidRDefault="001C19F3" w:rsidP="00521305">
            <w:pPr>
              <w:spacing w:after="0"/>
              <w:ind w:left="100" w:right="100"/>
              <w:jc w:val="right"/>
            </w:pPr>
            <w:r>
              <w:rPr>
                <w:rFonts w:eastAsia="Century Gothic" w:cs="Century Gothic"/>
                <w:b/>
                <w:color w:val="000000"/>
                <w:sz w:val="18"/>
                <w:szCs w:val="18"/>
              </w:rPr>
              <w:t>23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31C910" w14:textId="77777777" w:rsidR="001C19F3" w:rsidRDefault="001C19F3" w:rsidP="00521305">
            <w:pPr>
              <w:spacing w:after="0"/>
              <w:ind w:left="100" w:right="100"/>
              <w:jc w:val="right"/>
            </w:pPr>
            <w:r>
              <w:rPr>
                <w:rFonts w:eastAsia="Century Gothic" w:cs="Century Gothic"/>
                <w:b/>
                <w:color w:val="000000"/>
                <w:sz w:val="18"/>
                <w:szCs w:val="18"/>
              </w:rPr>
              <w:t>12 (30.8%)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FB31B2" w14:textId="77777777" w:rsidR="001C19F3" w:rsidRDefault="001C19F3" w:rsidP="00521305">
            <w:pPr>
              <w:spacing w:after="0"/>
              <w:ind w:left="100" w:right="100"/>
              <w:jc w:val="right"/>
            </w:pPr>
            <w:r>
              <w:rPr>
                <w:rFonts w:eastAsia="Century Gothic" w:cs="Century Gothic"/>
                <w:b/>
                <w:color w:val="000000"/>
                <w:sz w:val="18"/>
                <w:szCs w:val="18"/>
              </w:rPr>
              <w:t>11 (21.2%)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AE4D0F" w14:textId="77777777" w:rsidR="001C19F3" w:rsidRDefault="001C19F3" w:rsidP="00521305">
            <w:pPr>
              <w:spacing w:after="0"/>
              <w:ind w:left="100" w:right="100"/>
              <w:jc w:val="right"/>
            </w:pPr>
            <w:r>
              <w:rPr>
                <w:rFonts w:eastAsia="Century Gothic" w:cs="Century Gothic"/>
                <w:b/>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CF18A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F1C791" w14:textId="77777777" w:rsidR="001C19F3" w:rsidRDefault="001C19F3" w:rsidP="00521305">
            <w:pPr>
              <w:spacing w:after="0"/>
              <w:ind w:left="100" w:right="100"/>
              <w:jc w:val="right"/>
            </w:pPr>
            <w:r>
              <w:rPr>
                <w:rFonts w:eastAsia="Century Gothic" w:cs="Century Gothic"/>
                <w:b/>
                <w:color w:val="000000"/>
                <w:sz w:val="18"/>
                <w:szCs w:val="18"/>
              </w:rPr>
              <w:t>22 (31.0%)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81B3AE" w14:textId="77777777" w:rsidR="001C19F3" w:rsidRDefault="001C19F3" w:rsidP="00521305">
            <w:pPr>
              <w:spacing w:after="0"/>
              <w:ind w:left="100" w:right="100"/>
              <w:jc w:val="right"/>
            </w:pPr>
            <w:r>
              <w:rPr>
                <w:rFonts w:eastAsia="Century Gothic" w:cs="Century Gothic"/>
                <w:b/>
                <w:color w:val="000000"/>
                <w:sz w:val="18"/>
                <w:szCs w:val="18"/>
              </w:rPr>
              <w:t>19 (26.0%)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D70848" w14:textId="77777777" w:rsidR="001C19F3" w:rsidRDefault="001C19F3" w:rsidP="00521305">
            <w:pPr>
              <w:spacing w:after="0"/>
              <w:ind w:left="100" w:right="100"/>
              <w:jc w:val="right"/>
            </w:pPr>
            <w:r>
              <w:rPr>
                <w:rFonts w:eastAsia="Century Gothic" w:cs="Century Gothic"/>
                <w:b/>
                <w:color w:val="000000"/>
                <w:sz w:val="18"/>
                <w:szCs w:val="18"/>
              </w:rPr>
              <w:t>3 (37.5%)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65858E" w14:textId="77777777" w:rsidR="001C19F3" w:rsidRDefault="001C19F3" w:rsidP="00521305">
            <w:pPr>
              <w:spacing w:after="0"/>
              <w:ind w:left="100" w:right="100"/>
              <w:jc w:val="right"/>
            </w:pPr>
            <w:r>
              <w:rPr>
                <w:rFonts w:eastAsia="Century Gothic" w:cs="Century Gothic"/>
                <w:b/>
                <w:color w:val="000000"/>
                <w:sz w:val="18"/>
                <w:szCs w:val="18"/>
              </w:rPr>
              <w:t>1 (10.0%)</w:t>
            </w:r>
          </w:p>
        </w:tc>
      </w:tr>
      <w:tr w:rsidR="001C19F3" w14:paraId="080041A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84287E" w14:textId="77777777" w:rsidR="001C19F3" w:rsidRDefault="001C19F3" w:rsidP="00521305">
            <w:pPr>
              <w:spacing w:after="0"/>
              <w:ind w:left="160" w:right="100"/>
            </w:pPr>
            <w:r>
              <w:rPr>
                <w:rFonts w:eastAsia="Century Gothic" w:cs="Century Gothic"/>
                <w:color w:val="000000"/>
                <w:sz w:val="18"/>
                <w:szCs w:val="18"/>
              </w:rPr>
              <w:t>Diabetes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123E25" w14:textId="77777777" w:rsidR="001C19F3" w:rsidRDefault="001C19F3" w:rsidP="00521305">
            <w:pPr>
              <w:spacing w:after="0"/>
              <w:ind w:left="100" w:right="100"/>
              <w:jc w:val="right"/>
            </w:pPr>
            <w:r>
              <w:rPr>
                <w:rFonts w:eastAsia="Century Gothic" w:cs="Century Gothic"/>
                <w:color w:val="000000"/>
                <w:sz w:val="18"/>
                <w:szCs w:val="18"/>
              </w:rPr>
              <w:t>15 (16.3%)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E6D925" w14:textId="77777777" w:rsidR="001C19F3" w:rsidRDefault="001C19F3" w:rsidP="00521305">
            <w:pPr>
              <w:spacing w:after="0"/>
              <w:ind w:left="100" w:right="100"/>
              <w:jc w:val="right"/>
            </w:pPr>
            <w:r>
              <w:rPr>
                <w:rFonts w:eastAsia="Century Gothic" w:cs="Century Gothic"/>
                <w:color w:val="000000"/>
                <w:sz w:val="18"/>
                <w:szCs w:val="18"/>
              </w:rPr>
              <w:t>9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255A21" w14:textId="77777777" w:rsidR="001C19F3" w:rsidRDefault="001C19F3" w:rsidP="00521305">
            <w:pPr>
              <w:spacing w:after="0"/>
              <w:ind w:left="100" w:right="100"/>
              <w:jc w:val="right"/>
            </w:pPr>
            <w:r>
              <w:rPr>
                <w:rFonts w:eastAsia="Century Gothic" w:cs="Century Gothic"/>
                <w:color w:val="000000"/>
                <w:sz w:val="18"/>
                <w:szCs w:val="18"/>
              </w:rPr>
              <w:t>6 (11.5%)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FF56DD"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B442F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78C52F" w14:textId="77777777" w:rsidR="001C19F3" w:rsidRDefault="001C19F3" w:rsidP="00521305">
            <w:pPr>
              <w:spacing w:after="0"/>
              <w:ind w:left="100" w:right="100"/>
              <w:jc w:val="right"/>
            </w:pPr>
            <w:r>
              <w:rPr>
                <w:rFonts w:eastAsia="Century Gothic" w:cs="Century Gothic"/>
                <w:color w:val="000000"/>
                <w:sz w:val="18"/>
                <w:szCs w:val="18"/>
              </w:rPr>
              <w:t>14 (19.7%)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31674D" w14:textId="77777777" w:rsidR="001C19F3" w:rsidRDefault="001C19F3" w:rsidP="00521305">
            <w:pPr>
              <w:spacing w:after="0"/>
              <w:ind w:left="100" w:right="100"/>
              <w:jc w:val="right"/>
            </w:pPr>
            <w:r>
              <w:rPr>
                <w:rFonts w:eastAsia="Century Gothic" w:cs="Century Gothic"/>
                <w:color w:val="000000"/>
                <w:sz w:val="18"/>
                <w:szCs w:val="18"/>
              </w:rPr>
              <w:t>13 (17.8%)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4DCE6" w14:textId="77777777" w:rsidR="001C19F3" w:rsidRDefault="001C19F3" w:rsidP="00521305">
            <w:pPr>
              <w:spacing w:after="0"/>
              <w:ind w:left="100" w:right="100"/>
              <w:jc w:val="right"/>
            </w:pPr>
            <w:r>
              <w:rPr>
                <w:rFonts w:eastAsia="Century Gothic" w:cs="Century Gothic"/>
                <w:color w:val="000000"/>
                <w:sz w:val="18"/>
                <w:szCs w:val="18"/>
              </w:rPr>
              <w:t>2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AB3AED" w14:textId="77777777" w:rsidR="001C19F3" w:rsidRDefault="001C19F3" w:rsidP="00521305">
            <w:pPr>
              <w:spacing w:after="0"/>
              <w:ind w:left="100" w:right="100"/>
              <w:jc w:val="right"/>
            </w:pPr>
          </w:p>
        </w:tc>
      </w:tr>
      <w:tr w:rsidR="001C19F3" w14:paraId="04F95CD1"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2ABC9" w14:textId="77777777" w:rsidR="001C19F3" w:rsidRDefault="001C19F3" w:rsidP="00521305">
            <w:pPr>
              <w:spacing w:after="0"/>
              <w:ind w:left="160" w:right="100"/>
            </w:pPr>
            <w:r>
              <w:rPr>
                <w:rFonts w:eastAsia="Century Gothic" w:cs="Century Gothic"/>
                <w:color w:val="000000"/>
                <w:sz w:val="18"/>
                <w:szCs w:val="18"/>
              </w:rPr>
              <w:t>COPD</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E4FFE1" w14:textId="77777777" w:rsidR="001C19F3" w:rsidRDefault="001C19F3" w:rsidP="00521305">
            <w:pPr>
              <w:spacing w:after="0"/>
              <w:ind w:left="100" w:right="100"/>
              <w:jc w:val="right"/>
            </w:pPr>
            <w:r>
              <w:rPr>
                <w:rFonts w:eastAsia="Century Gothic" w:cs="Century Gothic"/>
                <w:color w:val="000000"/>
                <w:sz w:val="18"/>
                <w:szCs w:val="18"/>
              </w:rPr>
              <w:t>9 (9.8%)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394DFA" w14:textId="77777777" w:rsidR="001C19F3" w:rsidRDefault="001C19F3" w:rsidP="00521305">
            <w:pPr>
              <w:spacing w:after="0"/>
              <w:ind w:left="100" w:right="100"/>
              <w:jc w:val="right"/>
            </w:pPr>
            <w:r>
              <w:rPr>
                <w:rFonts w:eastAsia="Century Gothic" w:cs="Century Gothic"/>
                <w:color w:val="000000"/>
                <w:sz w:val="18"/>
                <w:szCs w:val="18"/>
              </w:rPr>
              <w:t>6 (15.4%)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157BF" w14:textId="77777777" w:rsidR="001C19F3" w:rsidRDefault="001C19F3" w:rsidP="00521305">
            <w:pPr>
              <w:spacing w:after="0"/>
              <w:ind w:left="100" w:right="100"/>
              <w:jc w:val="right"/>
            </w:pPr>
            <w:r>
              <w:rPr>
                <w:rFonts w:eastAsia="Century Gothic" w:cs="Century Gothic"/>
                <w:color w:val="000000"/>
                <w:sz w:val="18"/>
                <w:szCs w:val="18"/>
              </w:rPr>
              <w:t>3 (5.8%)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4011C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F5EB0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59A05" w14:textId="77777777" w:rsidR="001C19F3" w:rsidRDefault="001C19F3" w:rsidP="00521305">
            <w:pPr>
              <w:spacing w:after="0"/>
              <w:ind w:left="100" w:right="100"/>
              <w:jc w:val="right"/>
            </w:pPr>
            <w:r>
              <w:rPr>
                <w:rFonts w:eastAsia="Century Gothic" w:cs="Century Gothic"/>
                <w:color w:val="000000"/>
                <w:sz w:val="18"/>
                <w:szCs w:val="18"/>
              </w:rPr>
              <w:t>9 (12.7%)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329A0C" w14:textId="77777777" w:rsidR="001C19F3" w:rsidRDefault="001C19F3" w:rsidP="00521305">
            <w:pPr>
              <w:spacing w:after="0"/>
              <w:ind w:left="100" w:right="100"/>
              <w:jc w:val="right"/>
            </w:pPr>
            <w:r>
              <w:rPr>
                <w:rFonts w:eastAsia="Century Gothic" w:cs="Century Gothic"/>
                <w:color w:val="000000"/>
                <w:sz w:val="18"/>
                <w:szCs w:val="18"/>
              </w:rPr>
              <w:t>6 (8.2%)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C64E0" w14:textId="77777777" w:rsidR="001C19F3" w:rsidRDefault="001C19F3" w:rsidP="00521305">
            <w:pPr>
              <w:spacing w:after="0"/>
              <w:ind w:left="100" w:right="100"/>
              <w:jc w:val="right"/>
            </w:pPr>
            <w:r>
              <w:rPr>
                <w:rFonts w:eastAsia="Century Gothic" w:cs="Century Gothic"/>
                <w:color w:val="000000"/>
                <w:sz w:val="18"/>
                <w:szCs w:val="18"/>
              </w:rPr>
              <w:t>2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C6A6C9" w14:textId="77777777" w:rsidR="001C19F3" w:rsidRDefault="001C19F3" w:rsidP="00521305">
            <w:pPr>
              <w:spacing w:after="0"/>
              <w:ind w:left="100" w:right="100"/>
              <w:jc w:val="right"/>
            </w:pPr>
            <w:r>
              <w:rPr>
                <w:rFonts w:eastAsia="Century Gothic" w:cs="Century Gothic"/>
                <w:color w:val="000000"/>
                <w:sz w:val="18"/>
                <w:szCs w:val="18"/>
              </w:rPr>
              <w:t>1 (10.0%)</w:t>
            </w:r>
          </w:p>
        </w:tc>
      </w:tr>
      <w:tr w:rsidR="001C19F3" w14:paraId="5306059C"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6A71B3" w14:textId="77777777" w:rsidR="001C19F3" w:rsidRDefault="001C19F3" w:rsidP="00521305">
            <w:pPr>
              <w:spacing w:after="0"/>
              <w:ind w:left="160" w:right="100"/>
            </w:pPr>
            <w:r>
              <w:rPr>
                <w:rFonts w:eastAsia="Century Gothic" w:cs="Century Gothic"/>
                <w:color w:val="000000"/>
                <w:sz w:val="18"/>
                <w:szCs w:val="18"/>
              </w:rPr>
              <w:t>CHD</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98CD93" w14:textId="77777777" w:rsidR="001C19F3" w:rsidRDefault="001C19F3" w:rsidP="00521305">
            <w:pPr>
              <w:spacing w:after="0"/>
              <w:ind w:left="100" w:right="100"/>
              <w:jc w:val="right"/>
            </w:pPr>
            <w:r>
              <w:rPr>
                <w:rFonts w:eastAsia="Century Gothic" w:cs="Century Gothic"/>
                <w:color w:val="000000"/>
                <w:sz w:val="18"/>
                <w:szCs w:val="18"/>
              </w:rPr>
              <w:t>7 (7.6%)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134975" w14:textId="77777777" w:rsidR="001C19F3" w:rsidRDefault="001C19F3" w:rsidP="00521305">
            <w:pPr>
              <w:spacing w:after="0"/>
              <w:ind w:left="100" w:right="100"/>
              <w:jc w:val="right"/>
            </w:pPr>
            <w:r>
              <w:rPr>
                <w:rFonts w:eastAsia="Century Gothic" w:cs="Century Gothic"/>
                <w:color w:val="000000"/>
                <w:sz w:val="18"/>
                <w:szCs w:val="18"/>
              </w:rPr>
              <w:t>3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5EB29" w14:textId="77777777" w:rsidR="001C19F3" w:rsidRDefault="001C19F3" w:rsidP="00521305">
            <w:pPr>
              <w:spacing w:after="0"/>
              <w:ind w:left="100" w:right="100"/>
              <w:jc w:val="right"/>
            </w:pPr>
            <w:r>
              <w:rPr>
                <w:rFonts w:eastAsia="Century Gothic" w:cs="Century Gothic"/>
                <w:color w:val="000000"/>
                <w:sz w:val="18"/>
                <w:szCs w:val="18"/>
              </w:rPr>
              <w:t>4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B860B"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62417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765A88" w14:textId="77777777" w:rsidR="001C19F3" w:rsidRDefault="001C19F3" w:rsidP="00521305">
            <w:pPr>
              <w:spacing w:after="0"/>
              <w:ind w:left="100" w:right="100"/>
              <w:jc w:val="right"/>
            </w:pPr>
            <w:r>
              <w:rPr>
                <w:rFonts w:eastAsia="Century Gothic" w:cs="Century Gothic"/>
                <w:color w:val="000000"/>
                <w:sz w:val="18"/>
                <w:szCs w:val="18"/>
              </w:rPr>
              <w:t>6 (8.5%)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7BE741" w14:textId="77777777" w:rsidR="001C19F3" w:rsidRDefault="001C19F3" w:rsidP="00521305">
            <w:pPr>
              <w:spacing w:after="0"/>
              <w:ind w:left="100" w:right="100"/>
              <w:jc w:val="right"/>
            </w:pPr>
            <w:r>
              <w:rPr>
                <w:rFonts w:eastAsia="Century Gothic" w:cs="Century Gothic"/>
                <w:color w:val="000000"/>
                <w:sz w:val="18"/>
                <w:szCs w:val="18"/>
              </w:rPr>
              <w:t>6 (8.2%)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365E7"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493F16" w14:textId="77777777" w:rsidR="001C19F3" w:rsidRDefault="001C19F3" w:rsidP="00521305">
            <w:pPr>
              <w:spacing w:after="0"/>
              <w:ind w:left="100" w:right="100"/>
              <w:jc w:val="right"/>
            </w:pPr>
          </w:p>
        </w:tc>
      </w:tr>
      <w:tr w:rsidR="001C19F3" w14:paraId="7A57477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120A9D" w14:textId="77777777" w:rsidR="001C19F3" w:rsidRDefault="001C19F3" w:rsidP="00521305">
            <w:pPr>
              <w:spacing w:after="0"/>
              <w:ind w:left="160" w:right="100"/>
            </w:pPr>
            <w:r>
              <w:rPr>
                <w:rFonts w:eastAsia="Century Gothic" w:cs="Century Gothic"/>
                <w:color w:val="000000"/>
                <w:sz w:val="18"/>
                <w:szCs w:val="18"/>
              </w:rPr>
              <w:t>Asthma</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2DF3D1"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EF570A" w14:textId="77777777" w:rsidR="001C19F3" w:rsidRDefault="001C19F3" w:rsidP="00521305">
            <w:pPr>
              <w:spacing w:after="0"/>
              <w:ind w:left="100" w:right="100"/>
              <w:jc w:val="right"/>
            </w:pPr>
            <w:r>
              <w:rPr>
                <w:rFonts w:eastAsia="Century Gothic" w:cs="Century Gothic"/>
                <w:color w:val="000000"/>
                <w:sz w:val="18"/>
                <w:szCs w:val="18"/>
              </w:rPr>
              <w:t>3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EB0AB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07513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C3AE6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6962F" w14:textId="77777777" w:rsidR="001C19F3" w:rsidRDefault="001C19F3" w:rsidP="00521305">
            <w:pPr>
              <w:spacing w:after="0"/>
              <w:ind w:left="100" w:right="100"/>
              <w:jc w:val="right"/>
            </w:pPr>
            <w:r>
              <w:rPr>
                <w:rFonts w:eastAsia="Century Gothic" w:cs="Century Gothic"/>
                <w:color w:val="000000"/>
                <w:sz w:val="18"/>
                <w:szCs w:val="18"/>
              </w:rPr>
              <w:t>3 (4.2%)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C7114" w14:textId="77777777" w:rsidR="001C19F3" w:rsidRDefault="001C19F3" w:rsidP="00521305">
            <w:pPr>
              <w:spacing w:after="0"/>
              <w:ind w:left="100" w:right="100"/>
              <w:jc w:val="right"/>
            </w:pPr>
            <w:r>
              <w:rPr>
                <w:rFonts w:eastAsia="Century Gothic" w:cs="Century Gothic"/>
                <w:color w:val="000000"/>
                <w:sz w:val="18"/>
                <w:szCs w:val="18"/>
              </w:rPr>
              <w:t>3 (4.1%)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4AC43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5725F1" w14:textId="77777777" w:rsidR="001C19F3" w:rsidRDefault="001C19F3" w:rsidP="00521305">
            <w:pPr>
              <w:spacing w:after="0"/>
              <w:ind w:left="100" w:right="100"/>
              <w:jc w:val="right"/>
            </w:pPr>
          </w:p>
        </w:tc>
      </w:tr>
      <w:tr w:rsidR="001C19F3" w14:paraId="237B9E1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5EAEC7" w14:textId="77777777" w:rsidR="001C19F3" w:rsidRDefault="001C19F3" w:rsidP="00521305">
            <w:pPr>
              <w:spacing w:after="0"/>
              <w:ind w:left="160" w:right="100"/>
            </w:pPr>
            <w:r>
              <w:rPr>
                <w:rFonts w:eastAsia="Century Gothic" w:cs="Century Gothic"/>
                <w:color w:val="000000"/>
                <w:sz w:val="18"/>
                <w:szCs w:val="18"/>
              </w:rPr>
              <w:t>Arthritis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63C177"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01BC6A" w14:textId="77777777" w:rsidR="001C19F3" w:rsidRDefault="001C19F3" w:rsidP="00521305">
            <w:pPr>
              <w:spacing w:after="0"/>
              <w:ind w:left="100" w:right="100"/>
              <w:jc w:val="right"/>
            </w:pPr>
            <w:r>
              <w:rPr>
                <w:rFonts w:eastAsia="Century Gothic" w:cs="Century Gothic"/>
                <w:color w:val="000000"/>
                <w:sz w:val="18"/>
                <w:szCs w:val="18"/>
              </w:rPr>
              <w:t>2 (5.1%)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A5E6B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1DA03"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654BC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17FA76"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F0686A" w14:textId="77777777" w:rsidR="001C19F3" w:rsidRDefault="001C19F3" w:rsidP="00521305">
            <w:pPr>
              <w:spacing w:after="0"/>
              <w:ind w:left="100" w:right="100"/>
              <w:jc w:val="right"/>
            </w:pPr>
            <w:r>
              <w:rPr>
                <w:rFonts w:eastAsia="Century Gothic" w:cs="Century Gothic"/>
                <w:color w:val="000000"/>
                <w:sz w:val="18"/>
                <w:szCs w:val="18"/>
              </w:rPr>
              <w:t>2 (2.7%)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E2ABC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E4180E" w14:textId="77777777" w:rsidR="001C19F3" w:rsidRDefault="001C19F3" w:rsidP="00521305">
            <w:pPr>
              <w:spacing w:after="0"/>
              <w:ind w:left="100" w:right="100"/>
              <w:jc w:val="right"/>
            </w:pPr>
          </w:p>
        </w:tc>
      </w:tr>
      <w:tr w:rsidR="001C19F3" w14:paraId="60AFED56"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6D8DE2" w14:textId="77777777" w:rsidR="001C19F3" w:rsidRDefault="001C19F3" w:rsidP="00521305">
            <w:pPr>
              <w:spacing w:after="0"/>
              <w:ind w:left="160" w:right="100"/>
            </w:pPr>
            <w:r>
              <w:rPr>
                <w:rFonts w:eastAsia="Century Gothic" w:cs="Century Gothic"/>
                <w:color w:val="000000"/>
                <w:sz w:val="18"/>
                <w:szCs w:val="18"/>
              </w:rPr>
              <w:t>Hyperlipidaemia</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E8FEA6"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7E278E"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05929"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296D5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5538D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16DF6" w14:textId="77777777" w:rsidR="001C19F3" w:rsidRDefault="001C19F3" w:rsidP="00521305">
            <w:pPr>
              <w:spacing w:after="0"/>
              <w:ind w:left="100" w:right="100"/>
              <w:jc w:val="right"/>
            </w:pPr>
            <w:r>
              <w:rPr>
                <w:rFonts w:eastAsia="Century Gothic" w:cs="Century Gothic"/>
                <w:color w:val="000000"/>
                <w:sz w:val="18"/>
                <w:szCs w:val="18"/>
              </w:rPr>
              <w:t>2 (2.8%)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944D82" w14:textId="77777777" w:rsidR="001C19F3" w:rsidRDefault="001C19F3" w:rsidP="00521305">
            <w:pPr>
              <w:spacing w:after="0"/>
              <w:ind w:left="100" w:right="100"/>
              <w:jc w:val="right"/>
            </w:pPr>
            <w:r>
              <w:rPr>
                <w:rFonts w:eastAsia="Century Gothic" w:cs="Century Gothic"/>
                <w:color w:val="000000"/>
                <w:sz w:val="18"/>
                <w:szCs w:val="18"/>
              </w:rPr>
              <w:t>2 (2.7%)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6E579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22C36C" w14:textId="77777777" w:rsidR="001C19F3" w:rsidRDefault="001C19F3" w:rsidP="00521305">
            <w:pPr>
              <w:spacing w:after="0"/>
              <w:ind w:left="100" w:right="100"/>
              <w:jc w:val="right"/>
            </w:pPr>
          </w:p>
        </w:tc>
      </w:tr>
      <w:tr w:rsidR="001C19F3" w14:paraId="1CEDE841"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30D3AF" w14:textId="77777777" w:rsidR="001C19F3" w:rsidRDefault="001C19F3" w:rsidP="00521305">
            <w:pPr>
              <w:spacing w:after="0"/>
              <w:ind w:left="160" w:right="100"/>
            </w:pPr>
            <w:r>
              <w:rPr>
                <w:rFonts w:eastAsia="Century Gothic" w:cs="Century Gothic"/>
                <w:color w:val="000000"/>
                <w:sz w:val="18"/>
                <w:szCs w:val="18"/>
              </w:rPr>
              <w:t>Hypertension</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35B970"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17E7DC"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26CB86"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5A9D0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47357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D9FB5B" w14:textId="77777777" w:rsidR="001C19F3" w:rsidRDefault="001C19F3" w:rsidP="00521305">
            <w:pPr>
              <w:spacing w:after="0"/>
              <w:ind w:left="100" w:right="100"/>
              <w:jc w:val="right"/>
            </w:pPr>
            <w:r>
              <w:rPr>
                <w:rFonts w:eastAsia="Century Gothic" w:cs="Century Gothic"/>
                <w:color w:val="000000"/>
                <w:sz w:val="18"/>
                <w:szCs w:val="18"/>
              </w:rPr>
              <w:t>2 (2.8%)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8C9A97" w14:textId="77777777" w:rsidR="001C19F3" w:rsidRDefault="001C19F3" w:rsidP="00521305">
            <w:pPr>
              <w:spacing w:after="0"/>
              <w:ind w:left="100" w:right="100"/>
              <w:jc w:val="right"/>
            </w:pPr>
            <w:r>
              <w:rPr>
                <w:rFonts w:eastAsia="Century Gothic" w:cs="Century Gothic"/>
                <w:color w:val="000000"/>
                <w:sz w:val="18"/>
                <w:szCs w:val="18"/>
              </w:rPr>
              <w:t>2 (2.7%)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13661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40C5B8" w14:textId="77777777" w:rsidR="001C19F3" w:rsidRDefault="001C19F3" w:rsidP="00521305">
            <w:pPr>
              <w:spacing w:after="0"/>
              <w:ind w:left="100" w:right="100"/>
              <w:jc w:val="right"/>
            </w:pPr>
          </w:p>
        </w:tc>
      </w:tr>
      <w:tr w:rsidR="001C19F3" w14:paraId="6485980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F3D93B" w14:textId="77777777" w:rsidR="001C19F3" w:rsidRDefault="001C19F3" w:rsidP="00521305">
            <w:pPr>
              <w:spacing w:after="0"/>
              <w:ind w:left="160" w:right="100"/>
            </w:pPr>
            <w:r>
              <w:rPr>
                <w:rFonts w:eastAsia="Century Gothic" w:cs="Century Gothic"/>
                <w:color w:val="000000"/>
                <w:sz w:val="18"/>
                <w:szCs w:val="18"/>
              </w:rPr>
              <w:t>CHF</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E1A18C"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FF4E1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6417E9"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F5FED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3D621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E978E8"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0209D"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801A0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743797" w14:textId="77777777" w:rsidR="001C19F3" w:rsidRDefault="001C19F3" w:rsidP="00521305">
            <w:pPr>
              <w:spacing w:after="0"/>
              <w:ind w:left="100" w:right="100"/>
              <w:jc w:val="right"/>
            </w:pPr>
          </w:p>
        </w:tc>
      </w:tr>
      <w:tr w:rsidR="001C19F3" w14:paraId="176586C0"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25842D" w14:textId="77777777" w:rsidR="001C19F3" w:rsidRDefault="001C19F3" w:rsidP="00521305">
            <w:pPr>
              <w:spacing w:after="0"/>
              <w:ind w:left="160" w:right="100"/>
            </w:pPr>
            <w:r>
              <w:rPr>
                <w:rFonts w:eastAsia="Century Gothic" w:cs="Century Gothic"/>
                <w:color w:val="000000"/>
                <w:sz w:val="18"/>
                <w:szCs w:val="18"/>
              </w:rPr>
              <w:t>Dementia</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CB16D"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3F7ED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F1A23A"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E92D5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7C304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54F8F2"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DF3DFF"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5A308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05BE62" w14:textId="77777777" w:rsidR="001C19F3" w:rsidRDefault="001C19F3" w:rsidP="00521305">
            <w:pPr>
              <w:spacing w:after="0"/>
              <w:ind w:left="100" w:right="100"/>
              <w:jc w:val="right"/>
            </w:pPr>
          </w:p>
        </w:tc>
      </w:tr>
      <w:tr w:rsidR="001C19F3" w14:paraId="46A3E066"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EF42BA" w14:textId="77777777" w:rsidR="001C19F3" w:rsidRDefault="001C19F3" w:rsidP="00521305">
            <w:pPr>
              <w:spacing w:after="0"/>
              <w:ind w:left="160" w:right="100"/>
            </w:pPr>
            <w:r>
              <w:rPr>
                <w:rFonts w:eastAsia="Century Gothic" w:cs="Century Gothic"/>
                <w:color w:val="000000"/>
                <w:sz w:val="18"/>
                <w:szCs w:val="18"/>
              </w:rPr>
              <w:t>Lung cancer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DF9E47"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C7F94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B34A26"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306B7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97C85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EE75AB"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2511D0"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29399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935EAE" w14:textId="77777777" w:rsidR="001C19F3" w:rsidRDefault="001C19F3" w:rsidP="00521305">
            <w:pPr>
              <w:spacing w:after="0"/>
              <w:ind w:left="100" w:right="100"/>
              <w:jc w:val="right"/>
            </w:pPr>
          </w:p>
        </w:tc>
      </w:tr>
      <w:tr w:rsidR="001C19F3" w14:paraId="62E5405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E482D2" w14:textId="77777777" w:rsidR="001C19F3" w:rsidRDefault="001C19F3" w:rsidP="00521305">
            <w:pPr>
              <w:spacing w:after="0"/>
              <w:ind w:left="160" w:right="100"/>
            </w:pPr>
            <w:r>
              <w:rPr>
                <w:rFonts w:eastAsia="Century Gothic" w:cs="Century Gothic"/>
                <w:color w:val="000000"/>
                <w:sz w:val="18"/>
                <w:szCs w:val="18"/>
              </w:rPr>
              <w:t>Mental illness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B7CFE"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76F9C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5961DE"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0C774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4917A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CCC8A"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DF9B6D"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5AA7DF"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E6F8D8" w14:textId="77777777" w:rsidR="001C19F3" w:rsidRDefault="001C19F3" w:rsidP="00521305">
            <w:pPr>
              <w:spacing w:after="0"/>
              <w:ind w:left="100" w:right="100"/>
              <w:jc w:val="right"/>
            </w:pPr>
          </w:p>
        </w:tc>
      </w:tr>
      <w:tr w:rsidR="001C19F3" w14:paraId="5234201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E273EC" w14:textId="77777777" w:rsidR="001C19F3" w:rsidRDefault="001C19F3" w:rsidP="00521305">
            <w:pPr>
              <w:spacing w:after="0"/>
              <w:ind w:left="160" w:right="100"/>
            </w:pPr>
            <w:r>
              <w:rPr>
                <w:rFonts w:eastAsia="Century Gothic" w:cs="Century Gothic"/>
                <w:color w:val="000000"/>
                <w:sz w:val="18"/>
                <w:szCs w:val="18"/>
              </w:rPr>
              <w:t>Obesity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85D330"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03C9F5"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6776A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4086F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8598F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499479"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D1928A"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EF94E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2FEA16" w14:textId="77777777" w:rsidR="001C19F3" w:rsidRDefault="001C19F3" w:rsidP="00521305">
            <w:pPr>
              <w:spacing w:after="0"/>
              <w:ind w:left="100" w:right="100"/>
              <w:jc w:val="right"/>
            </w:pPr>
          </w:p>
        </w:tc>
      </w:tr>
      <w:tr w:rsidR="001C19F3" w14:paraId="7F6F7FC4"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C0D55F" w14:textId="77777777" w:rsidR="001C19F3" w:rsidRDefault="001C19F3" w:rsidP="00521305">
            <w:pPr>
              <w:spacing w:after="0"/>
              <w:ind w:left="160" w:right="100"/>
            </w:pPr>
            <w:r>
              <w:rPr>
                <w:rFonts w:eastAsia="Century Gothic" w:cs="Century Gothic"/>
                <w:color w:val="000000"/>
                <w:sz w:val="18"/>
                <w:szCs w:val="18"/>
              </w:rPr>
              <w:t>Stroke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C6795F"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2B25E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58DF95" w14:textId="77777777" w:rsidR="001C19F3" w:rsidRDefault="001C19F3" w:rsidP="00521305">
            <w:pPr>
              <w:spacing w:after="0"/>
              <w:ind w:left="100" w:right="100"/>
              <w:jc w:val="right"/>
            </w:pPr>
            <w:r>
              <w:rPr>
                <w:rFonts w:eastAsia="Century Gothic" w:cs="Century Gothic"/>
                <w:color w:val="000000"/>
                <w:sz w:val="18"/>
                <w:szCs w:val="18"/>
              </w:rPr>
              <w:t>1 (1.9%)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8655D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97AC3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B679AC"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667E3E"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060AA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D3ABB8" w14:textId="77777777" w:rsidR="001C19F3" w:rsidRDefault="001C19F3" w:rsidP="00521305">
            <w:pPr>
              <w:spacing w:after="0"/>
              <w:ind w:left="100" w:right="100"/>
              <w:jc w:val="right"/>
            </w:pPr>
          </w:p>
        </w:tc>
      </w:tr>
      <w:tr w:rsidR="001C19F3" w14:paraId="2186817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857ECE" w14:textId="77777777" w:rsidR="001C19F3" w:rsidRDefault="001C19F3" w:rsidP="00521305">
            <w:pPr>
              <w:spacing w:after="0"/>
              <w:ind w:left="100" w:right="100"/>
            </w:pPr>
            <w:r>
              <w:rPr>
                <w:rFonts w:eastAsia="Century Gothic" w:cs="Century Gothic"/>
                <w:b/>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5EA7BC" w14:textId="77777777" w:rsidR="001C19F3" w:rsidRDefault="001C19F3" w:rsidP="00521305">
            <w:pPr>
              <w:spacing w:after="0"/>
              <w:ind w:left="100" w:right="100"/>
              <w:jc w:val="right"/>
            </w:pPr>
            <w:r>
              <w:rPr>
                <w:rFonts w:eastAsia="Century Gothic" w:cs="Century Gothic"/>
                <w:b/>
                <w:color w:val="000000"/>
                <w:sz w:val="18"/>
                <w:szCs w:val="18"/>
              </w:rPr>
              <w:t>68 (73.9%)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55BDB9" w14:textId="77777777" w:rsidR="001C19F3" w:rsidRDefault="001C19F3" w:rsidP="00521305">
            <w:pPr>
              <w:spacing w:after="0"/>
              <w:ind w:left="100" w:right="100"/>
              <w:jc w:val="right"/>
            </w:pPr>
            <w:r>
              <w:rPr>
                <w:rFonts w:eastAsia="Century Gothic" w:cs="Century Gothic"/>
                <w:b/>
                <w:color w:val="000000"/>
                <w:sz w:val="18"/>
                <w:szCs w:val="18"/>
              </w:rPr>
              <w:t>27 (69.2%)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5C47AA" w14:textId="77777777" w:rsidR="001C19F3" w:rsidRDefault="001C19F3" w:rsidP="00521305">
            <w:pPr>
              <w:spacing w:after="0"/>
              <w:ind w:left="100" w:right="100"/>
              <w:jc w:val="right"/>
            </w:pPr>
            <w:r>
              <w:rPr>
                <w:rFonts w:eastAsia="Century Gothic" w:cs="Century Gothic"/>
                <w:b/>
                <w:color w:val="000000"/>
                <w:sz w:val="18"/>
                <w:szCs w:val="18"/>
              </w:rPr>
              <w:t>41 (78.8%)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35F5FD" w14:textId="77777777" w:rsidR="001C19F3" w:rsidRDefault="001C19F3" w:rsidP="00521305">
            <w:pPr>
              <w:spacing w:after="0"/>
              <w:ind w:left="100" w:right="100"/>
              <w:jc w:val="right"/>
            </w:pPr>
            <w:r>
              <w:rPr>
                <w:rFonts w:eastAsia="Century Gothic" w:cs="Century Gothic"/>
                <w:b/>
                <w:color w:val="000000"/>
                <w:sz w:val="18"/>
                <w:szCs w:val="18"/>
              </w:rPr>
              <w:t>12 (92.3%)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2AAB59" w14:textId="77777777" w:rsidR="001C19F3" w:rsidRDefault="001C19F3" w:rsidP="00521305">
            <w:pPr>
              <w:spacing w:after="0"/>
              <w:ind w:left="100" w:right="100"/>
              <w:jc w:val="right"/>
            </w:pPr>
            <w:r>
              <w:rPr>
                <w:rFonts w:eastAsia="Century Gothic" w:cs="Century Gothic"/>
                <w:b/>
                <w:color w:val="000000"/>
                <w:sz w:val="18"/>
                <w:szCs w:val="18"/>
              </w:rPr>
              <w:t>7 (100.0%)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FC5743" w14:textId="77777777" w:rsidR="001C19F3" w:rsidRDefault="001C19F3" w:rsidP="00521305">
            <w:pPr>
              <w:spacing w:after="0"/>
              <w:ind w:left="100" w:right="100"/>
              <w:jc w:val="right"/>
            </w:pPr>
            <w:r>
              <w:rPr>
                <w:rFonts w:eastAsia="Century Gothic" w:cs="Century Gothic"/>
                <w:b/>
                <w:color w:val="000000"/>
                <w:sz w:val="18"/>
                <w:szCs w:val="18"/>
              </w:rPr>
              <w:t>49 (69.0%)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C8EB1" w14:textId="77777777" w:rsidR="001C19F3" w:rsidRDefault="001C19F3" w:rsidP="00521305">
            <w:pPr>
              <w:spacing w:after="0"/>
              <w:ind w:left="100" w:right="100"/>
              <w:jc w:val="right"/>
            </w:pPr>
            <w:r>
              <w:rPr>
                <w:rFonts w:eastAsia="Century Gothic" w:cs="Century Gothic"/>
                <w:b/>
                <w:color w:val="000000"/>
                <w:sz w:val="18"/>
                <w:szCs w:val="18"/>
              </w:rPr>
              <w:t>54 (74.0%)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ADE9C" w14:textId="77777777" w:rsidR="001C19F3" w:rsidRDefault="001C19F3" w:rsidP="00521305">
            <w:pPr>
              <w:spacing w:after="0"/>
              <w:ind w:left="100" w:right="100"/>
              <w:jc w:val="right"/>
            </w:pPr>
            <w:r>
              <w:rPr>
                <w:rFonts w:eastAsia="Century Gothic" w:cs="Century Gothic"/>
                <w:b/>
                <w:color w:val="000000"/>
                <w:sz w:val="18"/>
                <w:szCs w:val="18"/>
              </w:rPr>
              <w:t>5 (62.5%)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6AFD5C" w14:textId="77777777" w:rsidR="001C19F3" w:rsidRDefault="001C19F3" w:rsidP="00521305">
            <w:pPr>
              <w:spacing w:after="0"/>
              <w:ind w:left="100" w:right="100"/>
              <w:jc w:val="right"/>
            </w:pPr>
            <w:r>
              <w:rPr>
                <w:rFonts w:eastAsia="Century Gothic" w:cs="Century Gothic"/>
                <w:b/>
                <w:color w:val="000000"/>
                <w:sz w:val="18"/>
                <w:szCs w:val="18"/>
              </w:rPr>
              <w:t>9 (90.0%)</w:t>
            </w:r>
          </w:p>
        </w:tc>
      </w:tr>
      <w:tr w:rsidR="001C19F3" w14:paraId="629AE4A6"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21CAA3" w14:textId="77777777" w:rsidR="001C19F3" w:rsidRDefault="001C19F3" w:rsidP="00521305">
            <w:pPr>
              <w:spacing w:after="0"/>
              <w:ind w:left="100" w:right="100"/>
            </w:pPr>
            <w:r>
              <w:rPr>
                <w:rFonts w:eastAsia="Century Gothic" w:cs="Century Gothic"/>
                <w:b/>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679439" w14:textId="77777777" w:rsidR="001C19F3" w:rsidRDefault="001C19F3" w:rsidP="00521305">
            <w:pPr>
              <w:spacing w:after="0"/>
              <w:ind w:left="100" w:right="100"/>
              <w:jc w:val="right"/>
            </w:pPr>
            <w:r>
              <w:rPr>
                <w:rFonts w:eastAsia="Century Gothic" w:cs="Century Gothic"/>
                <w:b/>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AE33B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2A143" w14:textId="77777777" w:rsidR="001C19F3" w:rsidRDefault="001C19F3" w:rsidP="00521305">
            <w:pPr>
              <w:spacing w:after="0"/>
              <w:ind w:left="100" w:right="100"/>
              <w:jc w:val="right"/>
            </w:pPr>
            <w:r>
              <w:rPr>
                <w:rFonts w:eastAsia="Century Gothic" w:cs="Century Gothic"/>
                <w:b/>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F1609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12F46B" w14:textId="77777777" w:rsidR="001C19F3" w:rsidRDefault="001C19F3" w:rsidP="00521305">
            <w:pPr>
              <w:spacing w:after="0"/>
              <w:ind w:left="100" w:right="100"/>
              <w:jc w:val="right"/>
            </w:pPr>
            <w:r>
              <w:rPr>
                <w:rFonts w:eastAsia="Century Gothic" w:cs="Century Gothic"/>
                <w:b/>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3780D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578FE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376C4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429D57" w14:textId="77777777" w:rsidR="001C19F3" w:rsidRDefault="001C19F3" w:rsidP="00521305">
            <w:pPr>
              <w:spacing w:after="0"/>
              <w:ind w:left="100" w:right="100"/>
              <w:jc w:val="right"/>
            </w:pPr>
            <w:r>
              <w:rPr>
                <w:rFonts w:eastAsia="Century Gothic" w:cs="Century Gothic"/>
                <w:b/>
                <w:color w:val="000000"/>
                <w:sz w:val="18"/>
                <w:szCs w:val="18"/>
              </w:rPr>
              <w:t>1</w:t>
            </w:r>
          </w:p>
        </w:tc>
      </w:tr>
    </w:tbl>
    <w:p w14:paraId="787B57C0" w14:textId="60CA7796" w:rsidR="001C19F3" w:rsidRDefault="001C19F3" w:rsidP="00EE4B33">
      <w:pPr>
        <w:pStyle w:val="Chartortablefootnote"/>
        <w:rPr>
          <w:i w:val="0"/>
        </w:rPr>
      </w:pPr>
      <w:r>
        <w:t>Source: Practice survey R2, Nov 2018-Mar 2019, question 1.</w:t>
      </w:r>
      <w:bookmarkStart w:id="556" w:name="_Ref22638793"/>
      <w:r>
        <w:br w:type="page"/>
      </w:r>
    </w:p>
    <w:p w14:paraId="2EE254D1" w14:textId="77777777" w:rsidR="001C19F3" w:rsidRDefault="001C19F3" w:rsidP="001C19F3">
      <w:pPr>
        <w:pStyle w:val="Caption1"/>
      </w:pPr>
      <w:bookmarkStart w:id="557" w:name="_Ref27057443"/>
      <w:r>
        <w:lastRenderedPageBreak/>
        <w:t xml:space="preserve">Table </w:t>
      </w:r>
      <w:r>
        <w:fldChar w:fldCharType="begin"/>
      </w:r>
      <w:r>
        <w:instrText>SEQ Table \* ARABIC</w:instrText>
      </w:r>
      <w:r>
        <w:fldChar w:fldCharType="separate"/>
      </w:r>
      <w:r>
        <w:rPr>
          <w:noProof/>
        </w:rPr>
        <w:t>38</w:t>
      </w:r>
      <w:r>
        <w:fldChar w:fldCharType="end"/>
      </w:r>
      <w:r>
        <w:t xml:space="preserve"> – Ease of use of the risk stratification software/ patient enrolment</w:t>
      </w:r>
      <w:bookmarkEnd w:id="556"/>
      <w:bookmarkEnd w:id="557"/>
    </w:p>
    <w:tbl>
      <w:tblPr>
        <w:tblW w:w="0" w:type="auto"/>
        <w:jc w:val="center"/>
        <w:tblLayout w:type="fixed"/>
        <w:tblLook w:val="04A0" w:firstRow="1" w:lastRow="0" w:firstColumn="1" w:lastColumn="0" w:noHBand="0" w:noVBand="1"/>
      </w:tblPr>
      <w:tblGrid>
        <w:gridCol w:w="4977"/>
        <w:gridCol w:w="1866"/>
        <w:gridCol w:w="1866"/>
        <w:gridCol w:w="1866"/>
        <w:gridCol w:w="1866"/>
      </w:tblGrid>
      <w:tr w:rsidR="001C19F3" w14:paraId="62BD69F5" w14:textId="77777777" w:rsidTr="00521305">
        <w:trPr>
          <w:cantSplit/>
          <w:trHeight w:val="336"/>
          <w:tblHeader/>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DC9757" w14:textId="77777777" w:rsidR="001C19F3" w:rsidRDefault="001C19F3" w:rsidP="00521305">
            <w:pPr>
              <w:spacing w:after="0"/>
              <w:jc w:val="center"/>
            </w:pPr>
            <w:r>
              <w:rPr>
                <w:rFonts w:eastAsia="Century Gothic" w:cs="Century Gothic"/>
                <w:b/>
                <w:color w:val="FFFFFF"/>
                <w:sz w:val="18"/>
                <w:szCs w:val="18"/>
              </w:rPr>
              <w:t>Response by practice status</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8A6AE0A" w14:textId="77777777" w:rsidR="001C19F3" w:rsidRDefault="001C19F3" w:rsidP="00521305">
            <w:pPr>
              <w:spacing w:after="0"/>
              <w:jc w:val="center"/>
            </w:pPr>
            <w:r>
              <w:rPr>
                <w:rFonts w:eastAsia="Century Gothic" w:cs="Century Gothic"/>
                <w:b/>
                <w:color w:val="FFFFFF"/>
                <w:sz w:val="18"/>
                <w:szCs w:val="18"/>
              </w:rPr>
              <w:t>The process was very smooth</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6F6968" w14:textId="77777777" w:rsidR="001C19F3" w:rsidRDefault="001C19F3" w:rsidP="00521305">
            <w:pPr>
              <w:spacing w:after="0"/>
              <w:jc w:val="center"/>
            </w:pPr>
            <w:r>
              <w:rPr>
                <w:rFonts w:eastAsia="Century Gothic" w:cs="Century Gothic"/>
                <w:b/>
                <w:color w:val="FFFFFF"/>
                <w:sz w:val="18"/>
                <w:szCs w:val="18"/>
              </w:rPr>
              <w:t>We had some challenges, but we overcame them</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62BA854" w14:textId="77777777" w:rsidR="001C19F3" w:rsidRDefault="001C19F3" w:rsidP="00521305">
            <w:pPr>
              <w:spacing w:after="0"/>
              <w:jc w:val="center"/>
            </w:pPr>
            <w:r>
              <w:rPr>
                <w:rFonts w:eastAsia="Century Gothic" w:cs="Century Gothic"/>
                <w:b/>
                <w:color w:val="FFFFFF"/>
                <w:sz w:val="18"/>
                <w:szCs w:val="18"/>
              </w:rPr>
              <w:t>We experienced ongoing difficulties</w:t>
            </w:r>
          </w:p>
        </w:tc>
        <w:tc>
          <w:tcPr>
            <w:tcW w:w="186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3E5676D"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0D51DF8E" w14:textId="77777777" w:rsidTr="00521305">
        <w:trPr>
          <w:cantSplit/>
          <w:trHeight w:val="20"/>
          <w:jc w:val="center"/>
        </w:trPr>
        <w:tc>
          <w:tcPr>
            <w:tcW w:w="12441" w:type="dxa"/>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96C009" w14:textId="77777777" w:rsidR="001C19F3" w:rsidRDefault="001C19F3" w:rsidP="00521305">
            <w:pPr>
              <w:spacing w:after="0"/>
              <w:ind w:left="100" w:right="100"/>
            </w:pPr>
            <w:r>
              <w:rPr>
                <w:rFonts w:eastAsia="Century Gothic" w:cs="Century Gothic"/>
                <w:b/>
                <w:color w:val="000000"/>
                <w:sz w:val="18"/>
                <w:szCs w:val="18"/>
              </w:rPr>
              <w:t>Ease of use of the risk stratification software and associated processes</w:t>
            </w:r>
          </w:p>
        </w:tc>
      </w:tr>
      <w:tr w:rsidR="001C19F3" w14:paraId="2FC45D69"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FA0C9A" w14:textId="77777777" w:rsidR="001C19F3" w:rsidRDefault="001C19F3" w:rsidP="00521305">
            <w:pPr>
              <w:spacing w:after="0"/>
              <w:ind w:left="160" w:right="100"/>
            </w:pPr>
            <w:r>
              <w:rPr>
                <w:rFonts w:eastAsia="Century Gothic" w:cs="Century Gothic"/>
                <w:color w:val="000000"/>
                <w:sz w:val="18"/>
                <w:szCs w:val="18"/>
              </w:rPr>
              <w:t>Active</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22465" w14:textId="77777777" w:rsidR="001C19F3" w:rsidRDefault="001C19F3" w:rsidP="00521305">
            <w:pPr>
              <w:spacing w:after="0"/>
              <w:ind w:left="100" w:right="100"/>
              <w:jc w:val="right"/>
            </w:pPr>
            <w:r>
              <w:rPr>
                <w:rFonts w:eastAsia="Century Gothic" w:cs="Century Gothic"/>
                <w:color w:val="000000"/>
                <w:sz w:val="18"/>
                <w:szCs w:val="18"/>
              </w:rPr>
              <w:t>17 (18.7%)</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FB1639" w14:textId="77777777" w:rsidR="001C19F3" w:rsidRDefault="001C19F3" w:rsidP="00521305">
            <w:pPr>
              <w:spacing w:after="0"/>
              <w:ind w:left="100" w:right="100"/>
              <w:jc w:val="right"/>
            </w:pPr>
            <w:r>
              <w:rPr>
                <w:rFonts w:eastAsia="Century Gothic" w:cs="Century Gothic"/>
                <w:color w:val="000000"/>
                <w:sz w:val="18"/>
                <w:szCs w:val="18"/>
              </w:rPr>
              <w:t>61 (67.0%)</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907940" w14:textId="77777777" w:rsidR="001C19F3" w:rsidRDefault="001C19F3" w:rsidP="00521305">
            <w:pPr>
              <w:spacing w:after="0"/>
              <w:ind w:left="100" w:right="100"/>
              <w:jc w:val="right"/>
            </w:pPr>
            <w:r>
              <w:rPr>
                <w:rFonts w:eastAsia="Century Gothic" w:cs="Century Gothic"/>
                <w:color w:val="000000"/>
                <w:sz w:val="18"/>
                <w:szCs w:val="18"/>
              </w:rPr>
              <w:t>13 (14.3%)</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885F7E" w14:textId="77777777" w:rsidR="001C19F3" w:rsidRDefault="001C19F3" w:rsidP="00521305">
            <w:pPr>
              <w:spacing w:after="0"/>
              <w:ind w:left="100" w:right="100"/>
              <w:jc w:val="right"/>
            </w:pPr>
            <w:r>
              <w:rPr>
                <w:rFonts w:eastAsia="Century Gothic" w:cs="Century Gothic"/>
                <w:color w:val="000000"/>
                <w:sz w:val="18"/>
                <w:szCs w:val="18"/>
              </w:rPr>
              <w:t>1</w:t>
            </w:r>
          </w:p>
        </w:tc>
      </w:tr>
      <w:tr w:rsidR="001C19F3" w14:paraId="06BE3510"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0498E" w14:textId="77777777" w:rsidR="001C19F3" w:rsidRDefault="001C19F3" w:rsidP="00521305">
            <w:pPr>
              <w:spacing w:after="0"/>
              <w:ind w:left="160" w:right="100"/>
            </w:pPr>
            <w:r>
              <w:rPr>
                <w:rFonts w:eastAsia="Century Gothic" w:cs="Century Gothic"/>
                <w:color w:val="000000"/>
                <w:sz w:val="18"/>
                <w:szCs w:val="18"/>
              </w:rPr>
              <w:t>Withdrawn</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52A036" w14:textId="77777777" w:rsidR="001C19F3" w:rsidRDefault="001C19F3" w:rsidP="00521305">
            <w:pPr>
              <w:spacing w:after="0"/>
              <w:ind w:left="100" w:right="100"/>
              <w:jc w:val="right"/>
            </w:pPr>
            <w:r>
              <w:rPr>
                <w:rFonts w:eastAsia="Century Gothic" w:cs="Century Gothic"/>
                <w:color w:val="000000"/>
                <w:sz w:val="18"/>
                <w:szCs w:val="18"/>
              </w:rPr>
              <w:t>5 (38.5%)</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8E001" w14:textId="77777777" w:rsidR="001C19F3" w:rsidRDefault="001C19F3" w:rsidP="00521305">
            <w:pPr>
              <w:spacing w:after="0"/>
              <w:ind w:left="100" w:right="100"/>
              <w:jc w:val="right"/>
            </w:pPr>
            <w:r>
              <w:rPr>
                <w:rFonts w:eastAsia="Century Gothic" w:cs="Century Gothic"/>
                <w:color w:val="000000"/>
                <w:sz w:val="18"/>
                <w:szCs w:val="18"/>
              </w:rPr>
              <w:t>4 (30.8%)</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165C89" w14:textId="77777777" w:rsidR="001C19F3" w:rsidRDefault="001C19F3" w:rsidP="00521305">
            <w:pPr>
              <w:spacing w:after="0"/>
              <w:ind w:left="100" w:right="100"/>
              <w:jc w:val="right"/>
            </w:pPr>
            <w:r>
              <w:rPr>
                <w:rFonts w:eastAsia="Century Gothic" w:cs="Century Gothic"/>
                <w:color w:val="000000"/>
                <w:sz w:val="18"/>
                <w:szCs w:val="18"/>
              </w:rPr>
              <w:t>4 (30.8%)</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E8A2E6" w14:textId="77777777" w:rsidR="001C19F3" w:rsidRDefault="001C19F3" w:rsidP="00521305">
            <w:pPr>
              <w:spacing w:after="0"/>
              <w:ind w:left="100" w:right="100"/>
              <w:jc w:val="right"/>
            </w:pPr>
          </w:p>
        </w:tc>
      </w:tr>
      <w:tr w:rsidR="001C19F3" w14:paraId="72048C11" w14:textId="77777777" w:rsidTr="00521305">
        <w:trPr>
          <w:cantSplit/>
          <w:trHeight w:val="20"/>
          <w:jc w:val="center"/>
        </w:trPr>
        <w:tc>
          <w:tcPr>
            <w:tcW w:w="12441" w:type="dxa"/>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0662AE" w14:textId="77777777" w:rsidR="001C19F3" w:rsidRDefault="001C19F3" w:rsidP="00521305">
            <w:pPr>
              <w:spacing w:after="0"/>
              <w:ind w:left="100" w:right="100"/>
            </w:pPr>
            <w:r>
              <w:rPr>
                <w:rFonts w:eastAsia="Century Gothic" w:cs="Century Gothic"/>
                <w:b/>
                <w:color w:val="000000"/>
                <w:sz w:val="18"/>
                <w:szCs w:val="18"/>
              </w:rPr>
              <w:t>Rating of the administrative processes for enrolling patients in HCH</w:t>
            </w:r>
          </w:p>
        </w:tc>
      </w:tr>
      <w:tr w:rsidR="001C19F3" w14:paraId="3ECEEA3C"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7E66BB" w14:textId="77777777" w:rsidR="001C19F3" w:rsidRDefault="001C19F3" w:rsidP="00521305">
            <w:pPr>
              <w:spacing w:after="0"/>
              <w:ind w:left="160" w:right="100"/>
            </w:pPr>
            <w:r>
              <w:rPr>
                <w:rFonts w:eastAsia="Century Gothic" w:cs="Century Gothic"/>
                <w:color w:val="000000"/>
                <w:sz w:val="18"/>
                <w:szCs w:val="18"/>
              </w:rPr>
              <w:t>Active</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37E5D5" w14:textId="77777777" w:rsidR="001C19F3" w:rsidRDefault="001C19F3" w:rsidP="00521305">
            <w:pPr>
              <w:spacing w:after="0"/>
              <w:ind w:left="100" w:right="100"/>
              <w:jc w:val="right"/>
            </w:pPr>
            <w:r>
              <w:rPr>
                <w:rFonts w:eastAsia="Century Gothic" w:cs="Century Gothic"/>
                <w:color w:val="000000"/>
                <w:sz w:val="18"/>
                <w:szCs w:val="18"/>
              </w:rPr>
              <w:t>21 (23.1%)</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78E44F" w14:textId="77777777" w:rsidR="001C19F3" w:rsidRDefault="001C19F3" w:rsidP="00521305">
            <w:pPr>
              <w:spacing w:after="0"/>
              <w:ind w:left="100" w:right="100"/>
              <w:jc w:val="right"/>
            </w:pPr>
            <w:r>
              <w:rPr>
                <w:rFonts w:eastAsia="Century Gothic" w:cs="Century Gothic"/>
                <w:color w:val="000000"/>
                <w:sz w:val="18"/>
                <w:szCs w:val="18"/>
              </w:rPr>
              <w:t>57 (62.6%)</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DB92EC" w14:textId="77777777" w:rsidR="001C19F3" w:rsidRDefault="001C19F3" w:rsidP="00521305">
            <w:pPr>
              <w:spacing w:after="0"/>
              <w:ind w:left="100" w:right="100"/>
              <w:jc w:val="right"/>
            </w:pPr>
            <w:r>
              <w:rPr>
                <w:rFonts w:eastAsia="Century Gothic" w:cs="Century Gothic"/>
                <w:color w:val="000000"/>
                <w:sz w:val="18"/>
                <w:szCs w:val="18"/>
              </w:rPr>
              <w:t>13 (14.3%)</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A05AF9" w14:textId="77777777" w:rsidR="001C19F3" w:rsidRDefault="001C19F3" w:rsidP="00521305">
            <w:pPr>
              <w:spacing w:after="0"/>
              <w:ind w:left="100" w:right="100"/>
              <w:jc w:val="right"/>
            </w:pPr>
            <w:r>
              <w:rPr>
                <w:rFonts w:eastAsia="Century Gothic" w:cs="Century Gothic"/>
                <w:color w:val="000000"/>
                <w:sz w:val="18"/>
                <w:szCs w:val="18"/>
              </w:rPr>
              <w:t>1</w:t>
            </w:r>
          </w:p>
        </w:tc>
      </w:tr>
      <w:tr w:rsidR="001C19F3" w14:paraId="5193E865"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CC93B" w14:textId="77777777" w:rsidR="001C19F3" w:rsidRDefault="001C19F3" w:rsidP="00521305">
            <w:pPr>
              <w:spacing w:after="0"/>
              <w:ind w:left="160" w:right="100"/>
            </w:pPr>
            <w:r>
              <w:rPr>
                <w:rFonts w:eastAsia="Century Gothic" w:cs="Century Gothic"/>
                <w:color w:val="000000"/>
                <w:sz w:val="18"/>
                <w:szCs w:val="18"/>
              </w:rPr>
              <w:t>Withdrawn</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C09035" w14:textId="77777777" w:rsidR="001C19F3" w:rsidRDefault="001C19F3" w:rsidP="00521305">
            <w:pPr>
              <w:spacing w:after="0"/>
              <w:ind w:left="100" w:right="100"/>
              <w:jc w:val="right"/>
            </w:pPr>
            <w:r>
              <w:rPr>
                <w:rFonts w:eastAsia="Century Gothic" w:cs="Century Gothic"/>
                <w:color w:val="000000"/>
                <w:sz w:val="18"/>
                <w:szCs w:val="18"/>
              </w:rPr>
              <w:t>2 (16.7%)</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692ECD" w14:textId="77777777" w:rsidR="001C19F3" w:rsidRDefault="001C19F3" w:rsidP="00521305">
            <w:pPr>
              <w:spacing w:after="0"/>
              <w:ind w:left="100" w:right="100"/>
              <w:jc w:val="right"/>
            </w:pPr>
            <w:r>
              <w:rPr>
                <w:rFonts w:eastAsia="Century Gothic" w:cs="Century Gothic"/>
                <w:color w:val="000000"/>
                <w:sz w:val="18"/>
                <w:szCs w:val="18"/>
              </w:rPr>
              <w:t>7 (58.3%)</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353761" w14:textId="77777777" w:rsidR="001C19F3" w:rsidRDefault="001C19F3" w:rsidP="00521305">
            <w:pPr>
              <w:spacing w:after="0"/>
              <w:ind w:left="100" w:right="100"/>
              <w:jc w:val="right"/>
            </w:pPr>
            <w:r>
              <w:rPr>
                <w:rFonts w:eastAsia="Century Gothic" w:cs="Century Gothic"/>
                <w:color w:val="000000"/>
                <w:sz w:val="18"/>
                <w:szCs w:val="18"/>
              </w:rPr>
              <w:t>3 (25.0%)</w:t>
            </w:r>
          </w:p>
        </w:tc>
        <w:tc>
          <w:tcPr>
            <w:tcW w:w="186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9A53F7" w14:textId="77777777" w:rsidR="001C19F3" w:rsidRDefault="001C19F3" w:rsidP="00521305">
            <w:pPr>
              <w:spacing w:after="0"/>
              <w:ind w:left="100" w:right="100"/>
              <w:jc w:val="right"/>
            </w:pPr>
            <w:r>
              <w:rPr>
                <w:rFonts w:eastAsia="Century Gothic" w:cs="Century Gothic"/>
                <w:color w:val="000000"/>
                <w:sz w:val="18"/>
                <w:szCs w:val="18"/>
              </w:rPr>
              <w:t>1</w:t>
            </w:r>
          </w:p>
        </w:tc>
      </w:tr>
    </w:tbl>
    <w:p w14:paraId="32475757" w14:textId="77777777" w:rsidR="001C19F3" w:rsidRDefault="001C19F3" w:rsidP="001C19F3">
      <w:pPr>
        <w:pStyle w:val="Chartortablefootnote"/>
        <w:rPr>
          <w:rFonts w:cstheme="minorBidi"/>
          <w:szCs w:val="20"/>
        </w:rPr>
      </w:pPr>
      <w:r>
        <w:t>Source: Practice survey R2, Nov 2018-Mar 2019, questions 2 &amp; 13.</w:t>
      </w:r>
    </w:p>
    <w:p w14:paraId="75EE669D" w14:textId="77777777" w:rsidR="001C19F3" w:rsidRDefault="001C19F3" w:rsidP="001C19F3">
      <w:pPr>
        <w:pStyle w:val="Caption1"/>
      </w:pPr>
      <w:bookmarkStart w:id="558" w:name="_Ref22638805"/>
      <w:r>
        <w:t xml:space="preserve">Table </w:t>
      </w:r>
      <w:r>
        <w:fldChar w:fldCharType="begin"/>
      </w:r>
      <w:r>
        <w:instrText>SEQ Table \* ARABIC</w:instrText>
      </w:r>
      <w:r>
        <w:fldChar w:fldCharType="separate"/>
      </w:r>
      <w:r>
        <w:rPr>
          <w:noProof/>
        </w:rPr>
        <w:t>39</w:t>
      </w:r>
      <w:r>
        <w:fldChar w:fldCharType="end"/>
      </w:r>
      <w:r>
        <w:t xml:space="preserve"> – Did the practice use the GP override function</w:t>
      </w:r>
      <w:bookmarkEnd w:id="558"/>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1C503022"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5E39636"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7067527"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DC92358"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85DE06D"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477A05F" w14:textId="77777777" w:rsidR="001C19F3" w:rsidRDefault="001C19F3" w:rsidP="00521305">
            <w:pPr>
              <w:spacing w:after="0"/>
              <w:jc w:val="center"/>
            </w:pPr>
            <w:r>
              <w:rPr>
                <w:rFonts w:eastAsia="Century Gothic" w:cs="Century Gothic"/>
                <w:b/>
                <w:color w:val="FFFFFF"/>
                <w:sz w:val="18"/>
                <w:szCs w:val="18"/>
              </w:rPr>
              <w:t>Location</w:t>
            </w:r>
          </w:p>
        </w:tc>
      </w:tr>
      <w:tr w:rsidR="001C19F3" w14:paraId="57919BB6"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4B53571A"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5741569D"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A49A88"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C9108C"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8CAD17"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8D935AE"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FED2463"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799AB14"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D44F230"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90BDFB2" w14:textId="77777777" w:rsidR="001C19F3" w:rsidRDefault="001C19F3" w:rsidP="00521305">
            <w:pPr>
              <w:spacing w:after="0"/>
              <w:jc w:val="center"/>
            </w:pPr>
            <w:r>
              <w:rPr>
                <w:rFonts w:eastAsia="Century Gothic" w:cs="Century Gothic"/>
                <w:b/>
                <w:color w:val="FFFFFF"/>
                <w:sz w:val="18"/>
                <w:szCs w:val="18"/>
              </w:rPr>
              <w:t>MMM 4+</w:t>
            </w:r>
          </w:p>
        </w:tc>
      </w:tr>
      <w:tr w:rsidR="001C19F3" w14:paraId="528CB7F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0F6C43" w14:textId="77777777" w:rsidR="001C19F3" w:rsidRDefault="001C19F3" w:rsidP="00521305">
            <w:pPr>
              <w:spacing w:after="0"/>
              <w:ind w:left="100" w:right="100"/>
            </w:pPr>
            <w:r>
              <w:rPr>
                <w:rFonts w:eastAsia="Century Gothic" w:cs="Century Gothic"/>
                <w:b/>
                <w:color w:val="000000"/>
                <w:sz w:val="18"/>
                <w:szCs w:val="18"/>
              </w:rPr>
              <w:t>Yes - reason for using this function</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B90355" w14:textId="77777777" w:rsidR="001C19F3" w:rsidRDefault="001C19F3" w:rsidP="00521305">
            <w:pPr>
              <w:spacing w:after="0"/>
              <w:ind w:left="100" w:right="100"/>
              <w:jc w:val="right"/>
            </w:pPr>
            <w:r>
              <w:rPr>
                <w:rFonts w:eastAsia="Century Gothic" w:cs="Century Gothic"/>
                <w:b/>
                <w:color w:val="000000"/>
                <w:sz w:val="18"/>
                <w:szCs w:val="18"/>
              </w:rPr>
              <w:t>53 (57.6%)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C1A82D" w14:textId="77777777" w:rsidR="001C19F3" w:rsidRDefault="001C19F3" w:rsidP="00521305">
            <w:pPr>
              <w:spacing w:after="0"/>
              <w:ind w:left="100" w:right="100"/>
              <w:jc w:val="right"/>
            </w:pPr>
            <w:r>
              <w:rPr>
                <w:rFonts w:eastAsia="Century Gothic" w:cs="Century Gothic"/>
                <w:b/>
                <w:color w:val="000000"/>
                <w:sz w:val="18"/>
                <w:szCs w:val="18"/>
              </w:rPr>
              <w:t>24 (63.2%)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5D8717" w14:textId="77777777" w:rsidR="001C19F3" w:rsidRDefault="001C19F3" w:rsidP="00521305">
            <w:pPr>
              <w:spacing w:after="0"/>
              <w:ind w:left="100" w:right="100"/>
              <w:jc w:val="right"/>
            </w:pPr>
            <w:r>
              <w:rPr>
                <w:rFonts w:eastAsia="Century Gothic" w:cs="Century Gothic"/>
                <w:b/>
                <w:color w:val="000000"/>
                <w:sz w:val="18"/>
                <w:szCs w:val="18"/>
              </w:rPr>
              <w:t>29 (58.0%)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142E6F" w14:textId="77777777" w:rsidR="001C19F3" w:rsidRDefault="001C19F3" w:rsidP="00521305">
            <w:pPr>
              <w:spacing w:after="0"/>
              <w:ind w:left="100" w:right="100"/>
              <w:jc w:val="right"/>
            </w:pPr>
            <w:r>
              <w:rPr>
                <w:rFonts w:eastAsia="Century Gothic" w:cs="Century Gothic"/>
                <w:b/>
                <w:color w:val="000000"/>
                <w:sz w:val="18"/>
                <w:szCs w:val="18"/>
              </w:rPr>
              <w:t>10 (76.9%)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463131" w14:textId="77777777" w:rsidR="001C19F3" w:rsidRDefault="001C19F3" w:rsidP="00521305">
            <w:pPr>
              <w:spacing w:after="0"/>
              <w:ind w:left="100" w:right="100"/>
              <w:jc w:val="right"/>
            </w:pPr>
            <w:r>
              <w:rPr>
                <w:rFonts w:eastAsia="Century Gothic" w:cs="Century Gothic"/>
                <w:b/>
                <w:color w:val="000000"/>
                <w:sz w:val="18"/>
                <w:szCs w:val="18"/>
              </w:rPr>
              <w:t>5 (71.4%)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D9E89D" w14:textId="77777777" w:rsidR="001C19F3" w:rsidRDefault="001C19F3" w:rsidP="00521305">
            <w:pPr>
              <w:spacing w:after="0"/>
              <w:ind w:left="100" w:right="100"/>
              <w:jc w:val="right"/>
            </w:pPr>
            <w:r>
              <w:rPr>
                <w:rFonts w:eastAsia="Century Gothic" w:cs="Century Gothic"/>
                <w:b/>
                <w:color w:val="000000"/>
                <w:sz w:val="18"/>
                <w:szCs w:val="18"/>
              </w:rPr>
              <w:t>38 (55.9%)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BD9145" w14:textId="77777777" w:rsidR="001C19F3" w:rsidRDefault="001C19F3" w:rsidP="00521305">
            <w:pPr>
              <w:spacing w:after="0"/>
              <w:ind w:left="100" w:right="100"/>
              <w:jc w:val="right"/>
            </w:pPr>
            <w:r>
              <w:rPr>
                <w:rFonts w:eastAsia="Century Gothic" w:cs="Century Gothic"/>
                <w:b/>
                <w:color w:val="000000"/>
                <w:sz w:val="18"/>
                <w:szCs w:val="18"/>
              </w:rPr>
              <w:t>44 (62.9%)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AF3C9" w14:textId="77777777" w:rsidR="001C19F3" w:rsidRDefault="001C19F3" w:rsidP="00521305">
            <w:pPr>
              <w:spacing w:after="0"/>
              <w:ind w:left="100" w:right="100"/>
              <w:jc w:val="right"/>
            </w:pPr>
            <w:r>
              <w:rPr>
                <w:rFonts w:eastAsia="Century Gothic" w:cs="Century Gothic"/>
                <w:b/>
                <w:color w:val="000000"/>
                <w:sz w:val="18"/>
                <w:szCs w:val="18"/>
              </w:rPr>
              <w:t>3 (37.5%)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73944" w14:textId="77777777" w:rsidR="001C19F3" w:rsidRDefault="001C19F3" w:rsidP="00521305">
            <w:pPr>
              <w:spacing w:after="0"/>
              <w:ind w:left="100" w:right="100"/>
              <w:jc w:val="right"/>
            </w:pPr>
            <w:r>
              <w:rPr>
                <w:rFonts w:eastAsia="Century Gothic" w:cs="Century Gothic"/>
                <w:b/>
                <w:color w:val="000000"/>
                <w:sz w:val="18"/>
                <w:szCs w:val="18"/>
              </w:rPr>
              <w:t>6 (60.0%)</w:t>
            </w:r>
          </w:p>
        </w:tc>
      </w:tr>
      <w:tr w:rsidR="001C19F3" w14:paraId="77792E93"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7AB63A" w14:textId="77777777" w:rsidR="001C19F3" w:rsidRDefault="001C19F3" w:rsidP="00521305">
            <w:pPr>
              <w:spacing w:after="0"/>
              <w:ind w:left="160" w:right="100"/>
            </w:pPr>
            <w:r>
              <w:rPr>
                <w:rFonts w:eastAsia="Century Gothic" w:cs="Century Gothic"/>
                <w:color w:val="000000"/>
                <w:sz w:val="18"/>
                <w:szCs w:val="18"/>
              </w:rPr>
              <w:t>Missed by PRM</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ADC90E" w14:textId="77777777" w:rsidR="001C19F3" w:rsidRDefault="001C19F3" w:rsidP="00521305">
            <w:pPr>
              <w:spacing w:after="0"/>
              <w:ind w:left="100" w:right="100"/>
              <w:jc w:val="right"/>
            </w:pPr>
            <w:r>
              <w:rPr>
                <w:rFonts w:eastAsia="Century Gothic" w:cs="Century Gothic"/>
                <w:color w:val="000000"/>
                <w:sz w:val="18"/>
                <w:szCs w:val="18"/>
              </w:rPr>
              <w:t>15 (16.3%)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06ECD5" w14:textId="77777777" w:rsidR="001C19F3" w:rsidRDefault="001C19F3" w:rsidP="00521305">
            <w:pPr>
              <w:spacing w:after="0"/>
              <w:ind w:left="100" w:right="100"/>
              <w:jc w:val="right"/>
            </w:pPr>
            <w:r>
              <w:rPr>
                <w:rFonts w:eastAsia="Century Gothic" w:cs="Century Gothic"/>
                <w:color w:val="000000"/>
                <w:sz w:val="18"/>
                <w:szCs w:val="18"/>
              </w:rPr>
              <w:t>9 (23.7%)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B8A3E9" w14:textId="77777777" w:rsidR="001C19F3" w:rsidRDefault="001C19F3" w:rsidP="00521305">
            <w:pPr>
              <w:spacing w:after="0"/>
              <w:ind w:left="100" w:right="100"/>
              <w:jc w:val="right"/>
            </w:pPr>
            <w:r>
              <w:rPr>
                <w:rFonts w:eastAsia="Century Gothic" w:cs="Century Gothic"/>
                <w:color w:val="000000"/>
                <w:sz w:val="18"/>
                <w:szCs w:val="18"/>
              </w:rPr>
              <w:t>6 (12.0%)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74F74A" w14:textId="77777777" w:rsidR="001C19F3" w:rsidRDefault="001C19F3" w:rsidP="00521305">
            <w:pPr>
              <w:spacing w:after="0"/>
              <w:ind w:left="100" w:right="100"/>
              <w:jc w:val="right"/>
            </w:pPr>
            <w:r>
              <w:rPr>
                <w:rFonts w:eastAsia="Century Gothic" w:cs="Century Gothic"/>
                <w:color w:val="000000"/>
                <w:sz w:val="18"/>
                <w:szCs w:val="18"/>
              </w:rPr>
              <w:t>6 (46.2%)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3F9CF6" w14:textId="77777777" w:rsidR="001C19F3" w:rsidRDefault="001C19F3" w:rsidP="00521305">
            <w:pPr>
              <w:spacing w:after="0"/>
              <w:ind w:left="100" w:right="100"/>
              <w:jc w:val="right"/>
            </w:pPr>
            <w:r>
              <w:rPr>
                <w:rFonts w:eastAsia="Century Gothic" w:cs="Century Gothic"/>
                <w:color w:val="000000"/>
                <w:sz w:val="18"/>
                <w:szCs w:val="18"/>
              </w:rPr>
              <w:t>2 (28.6%)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5635B" w14:textId="77777777" w:rsidR="001C19F3" w:rsidRDefault="001C19F3" w:rsidP="00521305">
            <w:pPr>
              <w:spacing w:after="0"/>
              <w:ind w:left="100" w:right="100"/>
              <w:jc w:val="right"/>
            </w:pPr>
            <w:r>
              <w:rPr>
                <w:rFonts w:eastAsia="Century Gothic" w:cs="Century Gothic"/>
                <w:color w:val="000000"/>
                <w:sz w:val="18"/>
                <w:szCs w:val="18"/>
              </w:rPr>
              <w:t>7 (10.3%)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7179AA" w14:textId="77777777" w:rsidR="001C19F3" w:rsidRDefault="001C19F3" w:rsidP="00521305">
            <w:pPr>
              <w:spacing w:after="0"/>
              <w:ind w:left="100" w:right="100"/>
              <w:jc w:val="right"/>
            </w:pPr>
            <w:r>
              <w:rPr>
                <w:rFonts w:eastAsia="Century Gothic" w:cs="Century Gothic"/>
                <w:color w:val="000000"/>
                <w:sz w:val="18"/>
                <w:szCs w:val="18"/>
              </w:rPr>
              <w:t>12 (17.1%)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55664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41341F" w14:textId="77777777" w:rsidR="001C19F3" w:rsidRDefault="001C19F3" w:rsidP="00521305">
            <w:pPr>
              <w:spacing w:after="0"/>
              <w:ind w:left="100" w:right="100"/>
              <w:jc w:val="right"/>
            </w:pPr>
            <w:r>
              <w:rPr>
                <w:rFonts w:eastAsia="Century Gothic" w:cs="Century Gothic"/>
                <w:color w:val="000000"/>
                <w:sz w:val="18"/>
                <w:szCs w:val="18"/>
              </w:rPr>
              <w:t>3 (30.0%)</w:t>
            </w:r>
          </w:p>
        </w:tc>
      </w:tr>
      <w:tr w:rsidR="001C19F3" w14:paraId="0AE5E75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FCA8C6" w14:textId="77777777" w:rsidR="001C19F3" w:rsidRDefault="001C19F3" w:rsidP="00521305">
            <w:pPr>
              <w:spacing w:after="0"/>
              <w:ind w:left="160" w:right="100"/>
            </w:pPr>
            <w:r>
              <w:rPr>
                <w:rFonts w:eastAsia="Century Gothic" w:cs="Century Gothic"/>
                <w:color w:val="000000"/>
                <w:sz w:val="18"/>
                <w:szCs w:val="18"/>
              </w:rPr>
              <w:t>Psychosocial</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3AFF0" w14:textId="77777777" w:rsidR="001C19F3" w:rsidRDefault="001C19F3" w:rsidP="00521305">
            <w:pPr>
              <w:spacing w:after="0"/>
              <w:ind w:left="100" w:right="100"/>
              <w:jc w:val="right"/>
            </w:pPr>
            <w:r>
              <w:rPr>
                <w:rFonts w:eastAsia="Century Gothic" w:cs="Century Gothic"/>
                <w:color w:val="000000"/>
                <w:sz w:val="18"/>
                <w:szCs w:val="18"/>
              </w:rPr>
              <w:t>11 (12.0%)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E15557" w14:textId="77777777" w:rsidR="001C19F3" w:rsidRDefault="001C19F3" w:rsidP="00521305">
            <w:pPr>
              <w:spacing w:after="0"/>
              <w:ind w:left="100" w:right="100"/>
              <w:jc w:val="right"/>
            </w:pPr>
            <w:r>
              <w:rPr>
                <w:rFonts w:eastAsia="Century Gothic" w:cs="Century Gothic"/>
                <w:color w:val="000000"/>
                <w:sz w:val="18"/>
                <w:szCs w:val="18"/>
              </w:rPr>
              <w:t>5 (13.2%)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93CB8F" w14:textId="77777777" w:rsidR="001C19F3" w:rsidRDefault="001C19F3" w:rsidP="00521305">
            <w:pPr>
              <w:spacing w:after="0"/>
              <w:ind w:left="100" w:right="100"/>
              <w:jc w:val="right"/>
            </w:pPr>
            <w:r>
              <w:rPr>
                <w:rFonts w:eastAsia="Century Gothic" w:cs="Century Gothic"/>
                <w:color w:val="000000"/>
                <w:sz w:val="18"/>
                <w:szCs w:val="18"/>
              </w:rPr>
              <w:t>6 (12.0%)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F52EC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11401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D3C4F6" w14:textId="77777777" w:rsidR="001C19F3" w:rsidRDefault="001C19F3" w:rsidP="00521305">
            <w:pPr>
              <w:spacing w:after="0"/>
              <w:ind w:left="100" w:right="100"/>
              <w:jc w:val="right"/>
            </w:pPr>
            <w:r>
              <w:rPr>
                <w:rFonts w:eastAsia="Century Gothic" w:cs="Century Gothic"/>
                <w:color w:val="000000"/>
                <w:sz w:val="18"/>
                <w:szCs w:val="18"/>
              </w:rPr>
              <w:t>11 (16.2%)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37E3B7" w14:textId="77777777" w:rsidR="001C19F3" w:rsidRDefault="001C19F3" w:rsidP="00521305">
            <w:pPr>
              <w:spacing w:after="0"/>
              <w:ind w:left="100" w:right="100"/>
              <w:jc w:val="right"/>
            </w:pPr>
            <w:r>
              <w:rPr>
                <w:rFonts w:eastAsia="Century Gothic" w:cs="Century Gothic"/>
                <w:color w:val="000000"/>
                <w:sz w:val="18"/>
                <w:szCs w:val="18"/>
              </w:rPr>
              <w:t>8 (11.4%)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27AEDC" w14:textId="77777777" w:rsidR="001C19F3" w:rsidRDefault="001C19F3" w:rsidP="00521305">
            <w:pPr>
              <w:spacing w:after="0"/>
              <w:ind w:left="100" w:right="100"/>
              <w:jc w:val="right"/>
            </w:pPr>
            <w:r>
              <w:rPr>
                <w:rFonts w:eastAsia="Century Gothic" w:cs="Century Gothic"/>
                <w:color w:val="000000"/>
                <w:sz w:val="18"/>
                <w:szCs w:val="18"/>
              </w:rPr>
              <w:t>2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6BFD6C" w14:textId="77777777" w:rsidR="001C19F3" w:rsidRDefault="001C19F3" w:rsidP="00521305">
            <w:pPr>
              <w:spacing w:after="0"/>
              <w:ind w:left="100" w:right="100"/>
              <w:jc w:val="right"/>
            </w:pPr>
            <w:r>
              <w:rPr>
                <w:rFonts w:eastAsia="Century Gothic" w:cs="Century Gothic"/>
                <w:color w:val="000000"/>
                <w:sz w:val="18"/>
                <w:szCs w:val="18"/>
              </w:rPr>
              <w:t>1 (10.0%)</w:t>
            </w:r>
          </w:p>
        </w:tc>
      </w:tr>
      <w:tr w:rsidR="001C19F3" w14:paraId="47FEDCB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E98712" w14:textId="77777777" w:rsidR="001C19F3" w:rsidRDefault="001C19F3" w:rsidP="00521305">
            <w:pPr>
              <w:spacing w:after="0"/>
              <w:ind w:left="160" w:right="100"/>
            </w:pPr>
            <w:r>
              <w:rPr>
                <w:rFonts w:eastAsia="Century Gothic" w:cs="Century Gothic"/>
                <w:color w:val="000000"/>
                <w:sz w:val="18"/>
                <w:szCs w:val="18"/>
              </w:rPr>
              <w:t>Multiple diseases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F7E6E" w14:textId="77777777" w:rsidR="001C19F3" w:rsidRDefault="001C19F3" w:rsidP="00521305">
            <w:pPr>
              <w:spacing w:after="0"/>
              <w:ind w:left="100" w:right="100"/>
              <w:jc w:val="right"/>
            </w:pPr>
            <w:r>
              <w:rPr>
                <w:rFonts w:eastAsia="Century Gothic" w:cs="Century Gothic"/>
                <w:color w:val="000000"/>
                <w:sz w:val="18"/>
                <w:szCs w:val="18"/>
              </w:rPr>
              <w:t>4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D200FA"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7C4771" w14:textId="77777777" w:rsidR="001C19F3" w:rsidRDefault="001C19F3" w:rsidP="00521305">
            <w:pPr>
              <w:spacing w:after="0"/>
              <w:ind w:left="100" w:right="100"/>
              <w:jc w:val="right"/>
            </w:pPr>
            <w:r>
              <w:rPr>
                <w:rFonts w:eastAsia="Century Gothic" w:cs="Century Gothic"/>
                <w:color w:val="000000"/>
                <w:sz w:val="18"/>
                <w:szCs w:val="18"/>
              </w:rPr>
              <w:t>3 (6.0%)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CDA4F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3EC60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3F4DF6" w14:textId="77777777" w:rsidR="001C19F3" w:rsidRDefault="001C19F3" w:rsidP="00521305">
            <w:pPr>
              <w:spacing w:after="0"/>
              <w:ind w:left="100" w:right="100"/>
              <w:jc w:val="right"/>
            </w:pPr>
            <w:r>
              <w:rPr>
                <w:rFonts w:eastAsia="Century Gothic" w:cs="Century Gothic"/>
                <w:color w:val="000000"/>
                <w:sz w:val="18"/>
                <w:szCs w:val="18"/>
              </w:rPr>
              <w:t>4 (5.9%)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9EAD49" w14:textId="77777777" w:rsidR="001C19F3" w:rsidRDefault="001C19F3" w:rsidP="00521305">
            <w:pPr>
              <w:spacing w:after="0"/>
              <w:ind w:left="100" w:right="100"/>
              <w:jc w:val="right"/>
            </w:pPr>
            <w:r>
              <w:rPr>
                <w:rFonts w:eastAsia="Century Gothic" w:cs="Century Gothic"/>
                <w:color w:val="000000"/>
                <w:sz w:val="18"/>
                <w:szCs w:val="18"/>
              </w:rPr>
              <w:t>3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6A97F9"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54E5C1" w14:textId="77777777" w:rsidR="001C19F3" w:rsidRDefault="001C19F3" w:rsidP="00521305">
            <w:pPr>
              <w:spacing w:after="0"/>
              <w:ind w:left="100" w:right="100"/>
              <w:jc w:val="right"/>
            </w:pPr>
          </w:p>
        </w:tc>
      </w:tr>
      <w:tr w:rsidR="001C19F3" w14:paraId="5AF4B39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6AD94" w14:textId="77777777" w:rsidR="001C19F3" w:rsidRDefault="001C19F3" w:rsidP="00521305">
            <w:pPr>
              <w:spacing w:after="0"/>
              <w:ind w:left="160" w:right="100"/>
            </w:pPr>
            <w:r>
              <w:rPr>
                <w:rFonts w:eastAsia="Century Gothic" w:cs="Century Gothic"/>
                <w:color w:val="000000"/>
                <w:sz w:val="18"/>
                <w:szCs w:val="18"/>
              </w:rPr>
              <w:t>Cancer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1DD0B8"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D0765"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71A4C1" w14:textId="77777777" w:rsidR="001C19F3" w:rsidRDefault="001C19F3" w:rsidP="00521305">
            <w:pPr>
              <w:spacing w:after="0"/>
              <w:ind w:left="100" w:right="100"/>
              <w:jc w:val="right"/>
            </w:pPr>
            <w:r>
              <w:rPr>
                <w:rFonts w:eastAsia="Century Gothic" w:cs="Century Gothic"/>
                <w:color w:val="000000"/>
                <w:sz w:val="18"/>
                <w:szCs w:val="18"/>
              </w:rPr>
              <w:t>2 (4.0%)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CA4BA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C4B00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A15055" w14:textId="77777777" w:rsidR="001C19F3" w:rsidRDefault="001C19F3" w:rsidP="00521305">
            <w:pPr>
              <w:spacing w:after="0"/>
              <w:ind w:left="100" w:right="100"/>
              <w:jc w:val="right"/>
            </w:pPr>
            <w:r>
              <w:rPr>
                <w:rFonts w:eastAsia="Century Gothic" w:cs="Century Gothic"/>
                <w:color w:val="000000"/>
                <w:sz w:val="18"/>
                <w:szCs w:val="18"/>
              </w:rPr>
              <w:t>3 (4.4%)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93C6A3"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383B6C"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4C80C3" w14:textId="77777777" w:rsidR="001C19F3" w:rsidRDefault="001C19F3" w:rsidP="00521305">
            <w:pPr>
              <w:spacing w:after="0"/>
              <w:ind w:left="100" w:right="100"/>
              <w:jc w:val="right"/>
            </w:pPr>
          </w:p>
        </w:tc>
      </w:tr>
      <w:tr w:rsidR="001C19F3" w14:paraId="137C42C8"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99D61B" w14:textId="77777777" w:rsidR="001C19F3" w:rsidRDefault="001C19F3" w:rsidP="00521305">
            <w:pPr>
              <w:spacing w:after="0"/>
              <w:ind w:left="160" w:right="100"/>
            </w:pPr>
            <w:r>
              <w:rPr>
                <w:rFonts w:eastAsia="Century Gothic" w:cs="Century Gothic"/>
                <w:color w:val="000000"/>
                <w:sz w:val="18"/>
                <w:szCs w:val="18"/>
              </w:rPr>
              <w:t>Carer stress/availability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B7C37E"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D39203"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9563BE" w14:textId="77777777" w:rsidR="001C19F3" w:rsidRDefault="001C19F3" w:rsidP="00521305">
            <w:pPr>
              <w:spacing w:after="0"/>
              <w:ind w:left="100" w:right="100"/>
              <w:jc w:val="right"/>
            </w:pPr>
            <w:r>
              <w:rPr>
                <w:rFonts w:eastAsia="Century Gothic" w:cs="Century Gothic"/>
                <w:color w:val="000000"/>
                <w:sz w:val="18"/>
                <w:szCs w:val="18"/>
              </w:rPr>
              <w:t>2 (4.0%)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20440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DE3F0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2570EC" w14:textId="77777777" w:rsidR="001C19F3" w:rsidRDefault="001C19F3" w:rsidP="00521305">
            <w:pPr>
              <w:spacing w:after="0"/>
              <w:ind w:left="100" w:right="100"/>
              <w:jc w:val="right"/>
            </w:pPr>
            <w:r>
              <w:rPr>
                <w:rFonts w:eastAsia="Century Gothic" w:cs="Century Gothic"/>
                <w:color w:val="000000"/>
                <w:sz w:val="18"/>
                <w:szCs w:val="18"/>
              </w:rPr>
              <w:t>3 (4.4%)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69E51A"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86E857"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8C3FE7" w14:textId="77777777" w:rsidR="001C19F3" w:rsidRDefault="001C19F3" w:rsidP="00521305">
            <w:pPr>
              <w:spacing w:after="0"/>
              <w:ind w:left="100" w:right="100"/>
              <w:jc w:val="right"/>
            </w:pPr>
          </w:p>
        </w:tc>
      </w:tr>
      <w:tr w:rsidR="001C19F3" w14:paraId="5C14AEE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1ABF89" w14:textId="77777777" w:rsidR="001C19F3" w:rsidRDefault="001C19F3" w:rsidP="00521305">
            <w:pPr>
              <w:spacing w:after="0"/>
              <w:ind w:left="160" w:right="100"/>
            </w:pPr>
            <w:r>
              <w:rPr>
                <w:rFonts w:eastAsia="Century Gothic" w:cs="Century Gothic"/>
                <w:color w:val="000000"/>
                <w:sz w:val="18"/>
                <w:szCs w:val="18"/>
              </w:rPr>
              <w:t>Auto immune diseases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32AC2F"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045082"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913F01" w14:textId="77777777" w:rsidR="001C19F3" w:rsidRDefault="001C19F3" w:rsidP="00521305">
            <w:pPr>
              <w:spacing w:after="0"/>
              <w:ind w:left="100" w:right="100"/>
              <w:jc w:val="right"/>
            </w:pPr>
            <w:r>
              <w:rPr>
                <w:rFonts w:eastAsia="Century Gothic" w:cs="Century Gothic"/>
                <w:color w:val="000000"/>
                <w:sz w:val="18"/>
                <w:szCs w:val="18"/>
              </w:rPr>
              <w:t>1 (2.0%)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2AD08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8F53C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8D55ED"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264921"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D048E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88F465" w14:textId="77777777" w:rsidR="001C19F3" w:rsidRDefault="001C19F3" w:rsidP="00521305">
            <w:pPr>
              <w:spacing w:after="0"/>
              <w:ind w:left="100" w:right="100"/>
              <w:jc w:val="right"/>
            </w:pPr>
            <w:r>
              <w:rPr>
                <w:rFonts w:eastAsia="Century Gothic" w:cs="Century Gothic"/>
                <w:color w:val="000000"/>
                <w:sz w:val="18"/>
                <w:szCs w:val="18"/>
              </w:rPr>
              <w:t>1 (10.0%)</w:t>
            </w:r>
          </w:p>
        </w:tc>
      </w:tr>
      <w:tr w:rsidR="001C19F3" w14:paraId="7357A1D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873A53" w14:textId="77777777" w:rsidR="001C19F3" w:rsidRDefault="001C19F3" w:rsidP="00521305">
            <w:pPr>
              <w:spacing w:after="0"/>
              <w:ind w:left="160" w:right="100"/>
            </w:pPr>
            <w:r>
              <w:rPr>
                <w:rFonts w:eastAsia="Century Gothic" w:cs="Century Gothic"/>
                <w:color w:val="000000"/>
                <w:sz w:val="18"/>
                <w:szCs w:val="18"/>
              </w:rPr>
              <w:t>Disability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D54A88"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992F1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FECDB" w14:textId="77777777" w:rsidR="001C19F3" w:rsidRDefault="001C19F3" w:rsidP="00521305">
            <w:pPr>
              <w:spacing w:after="0"/>
              <w:ind w:left="100" w:right="100"/>
              <w:jc w:val="right"/>
            </w:pPr>
            <w:r>
              <w:rPr>
                <w:rFonts w:eastAsia="Century Gothic" w:cs="Century Gothic"/>
                <w:color w:val="000000"/>
                <w:sz w:val="18"/>
                <w:szCs w:val="18"/>
              </w:rPr>
              <w:t>2 (4.0%)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1E583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29FFF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E1228"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1B576F"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F5FB1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AD886D" w14:textId="77777777" w:rsidR="001C19F3" w:rsidRDefault="001C19F3" w:rsidP="00521305">
            <w:pPr>
              <w:spacing w:after="0"/>
              <w:ind w:left="100" w:right="100"/>
              <w:jc w:val="right"/>
            </w:pPr>
          </w:p>
        </w:tc>
      </w:tr>
      <w:tr w:rsidR="001C19F3" w14:paraId="2DF3BA1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E90363" w14:textId="77777777" w:rsidR="001C19F3" w:rsidRDefault="001C19F3" w:rsidP="00521305">
            <w:pPr>
              <w:spacing w:after="0"/>
              <w:ind w:left="160" w:right="100"/>
            </w:pPr>
            <w:r>
              <w:rPr>
                <w:rFonts w:eastAsia="Century Gothic" w:cs="Century Gothic"/>
                <w:color w:val="000000"/>
                <w:sz w:val="18"/>
                <w:szCs w:val="18"/>
              </w:rPr>
              <w:t>Financial</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33A2B1"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F51CD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605B51" w14:textId="77777777" w:rsidR="001C19F3" w:rsidRDefault="001C19F3" w:rsidP="00521305">
            <w:pPr>
              <w:spacing w:after="0"/>
              <w:ind w:left="100" w:right="100"/>
              <w:jc w:val="right"/>
            </w:pPr>
            <w:r>
              <w:rPr>
                <w:rFonts w:eastAsia="Century Gothic" w:cs="Century Gothic"/>
                <w:color w:val="000000"/>
                <w:sz w:val="18"/>
                <w:szCs w:val="18"/>
              </w:rPr>
              <w:t>2 (4.0%)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9C0BE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80FF0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C450D1"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5D07EA"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05795E"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0DF16D" w14:textId="77777777" w:rsidR="001C19F3" w:rsidRDefault="001C19F3" w:rsidP="00521305">
            <w:pPr>
              <w:spacing w:after="0"/>
              <w:ind w:left="100" w:right="100"/>
              <w:jc w:val="right"/>
            </w:pPr>
          </w:p>
        </w:tc>
      </w:tr>
      <w:tr w:rsidR="001C19F3" w14:paraId="797A2A6F"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37CA5D" w14:textId="77777777" w:rsidR="001C19F3" w:rsidRDefault="001C19F3" w:rsidP="00521305">
            <w:pPr>
              <w:spacing w:after="0"/>
              <w:ind w:left="160" w:right="100"/>
            </w:pPr>
            <w:r>
              <w:rPr>
                <w:rFonts w:eastAsia="Century Gothic" w:cs="Century Gothic"/>
                <w:color w:val="000000"/>
                <w:sz w:val="18"/>
                <w:szCs w:val="18"/>
              </w:rPr>
              <w:t>Osteoporosis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5B5E33"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39B3A7" w14:textId="77777777" w:rsidR="001C19F3" w:rsidRDefault="001C19F3" w:rsidP="00521305">
            <w:pPr>
              <w:spacing w:after="0"/>
              <w:ind w:left="100" w:right="100"/>
              <w:jc w:val="right"/>
            </w:pPr>
            <w:r>
              <w:rPr>
                <w:rFonts w:eastAsia="Century Gothic" w:cs="Century Gothic"/>
                <w:color w:val="000000"/>
                <w:sz w:val="18"/>
                <w:szCs w:val="18"/>
              </w:rPr>
              <w:t>2 (5.3%)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ADE17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E6261"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00CAC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70F0B7"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F8FF2"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D20D4E"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5553BD" w14:textId="77777777" w:rsidR="001C19F3" w:rsidRDefault="001C19F3" w:rsidP="00521305">
            <w:pPr>
              <w:spacing w:after="0"/>
              <w:ind w:left="100" w:right="100"/>
              <w:jc w:val="right"/>
            </w:pPr>
          </w:p>
        </w:tc>
      </w:tr>
      <w:tr w:rsidR="001C19F3" w14:paraId="1030C350"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BAEE0A" w14:textId="77777777" w:rsidR="001C19F3" w:rsidRDefault="001C19F3" w:rsidP="00521305">
            <w:pPr>
              <w:spacing w:after="0"/>
              <w:ind w:left="160" w:right="100"/>
            </w:pPr>
            <w:r>
              <w:rPr>
                <w:rFonts w:eastAsia="Century Gothic" w:cs="Century Gothic"/>
                <w:color w:val="000000"/>
                <w:sz w:val="18"/>
                <w:szCs w:val="18"/>
              </w:rPr>
              <w:t>Other heart</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4AF071"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F6EDBB" w14:textId="77777777" w:rsidR="001C19F3" w:rsidRDefault="001C19F3" w:rsidP="00521305">
            <w:pPr>
              <w:spacing w:after="0"/>
              <w:ind w:left="100" w:right="100"/>
              <w:jc w:val="right"/>
            </w:pPr>
            <w:r>
              <w:rPr>
                <w:rFonts w:eastAsia="Century Gothic" w:cs="Century Gothic"/>
                <w:color w:val="000000"/>
                <w:sz w:val="18"/>
                <w:szCs w:val="18"/>
              </w:rPr>
              <w:t>2 (5.3%)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0AC7C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9EAA2D"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F389D7" w14:textId="77777777" w:rsidR="001C19F3" w:rsidRDefault="001C19F3" w:rsidP="00521305">
            <w:pPr>
              <w:spacing w:after="0"/>
              <w:ind w:left="100" w:right="100"/>
              <w:jc w:val="right"/>
            </w:pPr>
            <w:r>
              <w:rPr>
                <w:rFonts w:eastAsia="Century Gothic" w:cs="Century Gothic"/>
                <w:color w:val="000000"/>
                <w:sz w:val="18"/>
                <w:szCs w:val="18"/>
              </w:rPr>
              <w:t>1 (14.3%)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FBE2EF"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3DBEE4"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D1296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2D9EC5" w14:textId="77777777" w:rsidR="001C19F3" w:rsidRDefault="001C19F3" w:rsidP="00521305">
            <w:pPr>
              <w:spacing w:after="0"/>
              <w:ind w:left="100" w:right="100"/>
              <w:jc w:val="right"/>
            </w:pPr>
            <w:r>
              <w:rPr>
                <w:rFonts w:eastAsia="Century Gothic" w:cs="Century Gothic"/>
                <w:color w:val="000000"/>
                <w:sz w:val="18"/>
                <w:szCs w:val="18"/>
              </w:rPr>
              <w:t>1 (10.0%)</w:t>
            </w:r>
          </w:p>
        </w:tc>
      </w:tr>
      <w:tr w:rsidR="001C19F3" w14:paraId="6E006EA7"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C17C13" w14:textId="77777777" w:rsidR="001C19F3" w:rsidRDefault="001C19F3" w:rsidP="00521305">
            <w:pPr>
              <w:spacing w:after="0"/>
              <w:ind w:left="160" w:right="100"/>
            </w:pPr>
            <w:r>
              <w:rPr>
                <w:rFonts w:eastAsia="Century Gothic" w:cs="Century Gothic"/>
                <w:color w:val="000000"/>
                <w:sz w:val="18"/>
                <w:szCs w:val="18"/>
              </w:rPr>
              <w:t>Age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C1BE97"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B990F3"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FAC24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FBC4FB"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C0AAF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6AF6F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91D8B1"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32F28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8E813A" w14:textId="77777777" w:rsidR="001C19F3" w:rsidRDefault="001C19F3" w:rsidP="00521305">
            <w:pPr>
              <w:spacing w:after="0"/>
              <w:ind w:left="100" w:right="100"/>
              <w:jc w:val="right"/>
            </w:pPr>
          </w:p>
        </w:tc>
      </w:tr>
      <w:tr w:rsidR="001C19F3" w14:paraId="22A8A995"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A1DBAE" w14:textId="77777777" w:rsidR="001C19F3" w:rsidRDefault="001C19F3" w:rsidP="00521305">
            <w:pPr>
              <w:spacing w:after="0"/>
              <w:ind w:left="160" w:right="100"/>
            </w:pPr>
            <w:r>
              <w:rPr>
                <w:rFonts w:eastAsia="Century Gothic" w:cs="Century Gothic"/>
                <w:color w:val="000000"/>
                <w:sz w:val="18"/>
                <w:szCs w:val="18"/>
              </w:rPr>
              <w:t>Acromegaly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7561F9"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3C7D67"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A39A2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5CC94B"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A30BE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0C659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A27FC3"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0C4C3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D55EF4" w14:textId="77777777" w:rsidR="001C19F3" w:rsidRDefault="001C19F3" w:rsidP="00521305">
            <w:pPr>
              <w:spacing w:after="0"/>
              <w:ind w:left="100" w:right="100"/>
              <w:jc w:val="right"/>
            </w:pPr>
          </w:p>
        </w:tc>
      </w:tr>
      <w:tr w:rsidR="001C19F3" w14:paraId="4415BC14"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E8508" w14:textId="77777777" w:rsidR="001C19F3" w:rsidRDefault="001C19F3" w:rsidP="00521305">
            <w:pPr>
              <w:spacing w:after="0"/>
              <w:ind w:left="160" w:right="100"/>
            </w:pPr>
            <w:r>
              <w:rPr>
                <w:rFonts w:eastAsia="Century Gothic" w:cs="Century Gothic"/>
                <w:color w:val="000000"/>
                <w:sz w:val="18"/>
                <w:szCs w:val="18"/>
              </w:rPr>
              <w:lastRenderedPageBreak/>
              <w:t>Dementia</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C25DD1"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9619ED"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6D94C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F27867"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01F1E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A995F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E9F76B"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C5BEE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3987A7" w14:textId="77777777" w:rsidR="001C19F3" w:rsidRDefault="001C19F3" w:rsidP="00521305">
            <w:pPr>
              <w:spacing w:after="0"/>
              <w:ind w:left="100" w:right="100"/>
              <w:jc w:val="right"/>
            </w:pPr>
          </w:p>
        </w:tc>
      </w:tr>
      <w:tr w:rsidR="001C19F3" w14:paraId="04F01150"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DD1DC4" w14:textId="77777777" w:rsidR="001C19F3" w:rsidRDefault="001C19F3" w:rsidP="00521305">
            <w:pPr>
              <w:spacing w:after="0"/>
              <w:ind w:left="160" w:right="100"/>
            </w:pPr>
            <w:r>
              <w:rPr>
                <w:rFonts w:eastAsia="Century Gothic" w:cs="Century Gothic"/>
                <w:color w:val="000000"/>
                <w:sz w:val="18"/>
                <w:szCs w:val="18"/>
              </w:rPr>
              <w:t>Haematological</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B9B28"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0C14C9"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86594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1B049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8B862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A708BF"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075B29"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40EA3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663444" w14:textId="77777777" w:rsidR="001C19F3" w:rsidRDefault="001C19F3" w:rsidP="00521305">
            <w:pPr>
              <w:spacing w:after="0"/>
              <w:ind w:left="100" w:right="100"/>
              <w:jc w:val="right"/>
            </w:pPr>
          </w:p>
        </w:tc>
      </w:tr>
      <w:tr w:rsidR="001C19F3" w14:paraId="3D64AAA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D4E03D" w14:textId="77777777" w:rsidR="001C19F3" w:rsidRDefault="001C19F3" w:rsidP="00521305">
            <w:pPr>
              <w:spacing w:after="0"/>
              <w:ind w:left="160" w:right="100"/>
            </w:pPr>
            <w:r>
              <w:rPr>
                <w:rFonts w:eastAsia="Century Gothic" w:cs="Century Gothic"/>
                <w:color w:val="000000"/>
                <w:sz w:val="18"/>
                <w:szCs w:val="18"/>
              </w:rPr>
              <w:t>Health literacy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AB4426"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624449"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E2A69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1DFBA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4BCE6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39D048"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F840F6"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E0D8F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EF322C" w14:textId="77777777" w:rsidR="001C19F3" w:rsidRDefault="001C19F3" w:rsidP="00521305">
            <w:pPr>
              <w:spacing w:after="0"/>
              <w:ind w:left="100" w:right="100"/>
              <w:jc w:val="right"/>
            </w:pPr>
          </w:p>
        </w:tc>
      </w:tr>
      <w:tr w:rsidR="001C19F3" w14:paraId="2299545F"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F3E5B7" w14:textId="77777777" w:rsidR="001C19F3" w:rsidRDefault="001C19F3" w:rsidP="00521305">
            <w:pPr>
              <w:spacing w:after="0"/>
              <w:ind w:left="160" w:right="100"/>
            </w:pPr>
            <w:r>
              <w:rPr>
                <w:rFonts w:eastAsia="Century Gothic" w:cs="Century Gothic"/>
                <w:color w:val="000000"/>
                <w:sz w:val="18"/>
                <w:szCs w:val="18"/>
              </w:rPr>
              <w:t>Homelessness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C092E4"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D026E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6FFE2D" w14:textId="77777777" w:rsidR="001C19F3" w:rsidRDefault="001C19F3" w:rsidP="00521305">
            <w:pPr>
              <w:spacing w:after="0"/>
              <w:ind w:left="100" w:right="100"/>
              <w:jc w:val="right"/>
            </w:pPr>
            <w:r>
              <w:rPr>
                <w:rFonts w:eastAsia="Century Gothic" w:cs="Century Gothic"/>
                <w:color w:val="000000"/>
                <w:sz w:val="18"/>
                <w:szCs w:val="18"/>
              </w:rPr>
              <w:t>1 (2.0%)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76AA9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7A393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18E38"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E9C203"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C4D02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71FA3B" w14:textId="77777777" w:rsidR="001C19F3" w:rsidRDefault="001C19F3" w:rsidP="00521305">
            <w:pPr>
              <w:spacing w:after="0"/>
              <w:ind w:left="100" w:right="100"/>
              <w:jc w:val="right"/>
            </w:pPr>
          </w:p>
        </w:tc>
      </w:tr>
      <w:tr w:rsidR="001C19F3" w14:paraId="447FD8A7"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46770F" w14:textId="77777777" w:rsidR="001C19F3" w:rsidRDefault="001C19F3" w:rsidP="00521305">
            <w:pPr>
              <w:spacing w:after="0"/>
              <w:ind w:left="160" w:right="100"/>
            </w:pPr>
            <w:r>
              <w:rPr>
                <w:rFonts w:eastAsia="Century Gothic" w:cs="Century Gothic"/>
                <w:color w:val="000000"/>
                <w:sz w:val="18"/>
                <w:szCs w:val="18"/>
              </w:rPr>
              <w:t>MS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525D47"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D15D1C"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EDDFC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AF932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AC937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A2D9DB"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8C9049"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87FF4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5A5BC8" w14:textId="77777777" w:rsidR="001C19F3" w:rsidRDefault="001C19F3" w:rsidP="00521305">
            <w:pPr>
              <w:spacing w:after="0"/>
              <w:ind w:left="100" w:right="100"/>
              <w:jc w:val="right"/>
            </w:pPr>
          </w:p>
        </w:tc>
      </w:tr>
      <w:tr w:rsidR="001C19F3" w14:paraId="4D7AE8E1"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76611" w14:textId="77777777" w:rsidR="001C19F3" w:rsidRDefault="001C19F3" w:rsidP="00521305">
            <w:pPr>
              <w:spacing w:after="0"/>
              <w:ind w:left="160" w:right="100"/>
            </w:pPr>
            <w:r>
              <w:rPr>
                <w:rFonts w:eastAsia="Century Gothic" w:cs="Century Gothic"/>
                <w:color w:val="000000"/>
                <w:sz w:val="18"/>
                <w:szCs w:val="18"/>
              </w:rPr>
              <w:t>Obesity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38D7D"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57E33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B51AC9" w14:textId="77777777" w:rsidR="001C19F3" w:rsidRDefault="001C19F3" w:rsidP="00521305">
            <w:pPr>
              <w:spacing w:after="0"/>
              <w:ind w:left="100" w:right="100"/>
              <w:jc w:val="right"/>
            </w:pPr>
            <w:r>
              <w:rPr>
                <w:rFonts w:eastAsia="Century Gothic" w:cs="Century Gothic"/>
                <w:color w:val="000000"/>
                <w:sz w:val="18"/>
                <w:szCs w:val="18"/>
              </w:rPr>
              <w:t>1 (2.0%)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D16E6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84658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375077"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16EB6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529AB9"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069B27" w14:textId="77777777" w:rsidR="001C19F3" w:rsidRDefault="001C19F3" w:rsidP="00521305">
            <w:pPr>
              <w:spacing w:after="0"/>
              <w:ind w:left="100" w:right="100"/>
              <w:jc w:val="right"/>
            </w:pPr>
          </w:p>
        </w:tc>
      </w:tr>
      <w:tr w:rsidR="001C19F3" w14:paraId="6FA16C7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4E50A" w14:textId="77777777" w:rsidR="001C19F3" w:rsidRDefault="001C19F3" w:rsidP="00521305">
            <w:pPr>
              <w:spacing w:after="0"/>
              <w:ind w:left="160" w:right="100"/>
            </w:pPr>
            <w:r>
              <w:rPr>
                <w:rFonts w:eastAsia="Century Gothic" w:cs="Century Gothic"/>
                <w:color w:val="000000"/>
                <w:sz w:val="18"/>
                <w:szCs w:val="18"/>
              </w:rPr>
              <w:t>Rheumatological</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13A0A7"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06EF6D"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1BEA62"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FB9DDF"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E45FE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4036B4" w14:textId="77777777" w:rsidR="001C19F3" w:rsidRDefault="001C19F3" w:rsidP="00521305">
            <w:pPr>
              <w:spacing w:after="0"/>
              <w:ind w:left="100" w:right="100"/>
              <w:jc w:val="right"/>
            </w:pPr>
            <w:r>
              <w:rPr>
                <w:rFonts w:eastAsia="Century Gothic" w:cs="Century Gothic"/>
                <w:color w:val="000000"/>
                <w:sz w:val="18"/>
                <w:szCs w:val="18"/>
              </w:rPr>
              <w:t>1 (1.5%)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7F4EC4"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FD719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FBBD7E" w14:textId="77777777" w:rsidR="001C19F3" w:rsidRDefault="001C19F3" w:rsidP="00521305">
            <w:pPr>
              <w:spacing w:after="0"/>
              <w:ind w:left="100" w:right="100"/>
              <w:jc w:val="right"/>
            </w:pPr>
          </w:p>
        </w:tc>
      </w:tr>
      <w:tr w:rsidR="001C19F3" w14:paraId="71671BE5"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CB7F21" w14:textId="77777777" w:rsidR="001C19F3" w:rsidRDefault="001C19F3" w:rsidP="00521305">
            <w:pPr>
              <w:spacing w:after="0"/>
              <w:ind w:left="160" w:right="100"/>
            </w:pPr>
            <w:r>
              <w:rPr>
                <w:rFonts w:eastAsia="Century Gothic" w:cs="Century Gothic"/>
                <w:color w:val="000000"/>
                <w:sz w:val="18"/>
                <w:szCs w:val="18"/>
              </w:rPr>
              <w:t>Sleep apnoea</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D8E3BC" w14:textId="77777777" w:rsidR="001C19F3" w:rsidRDefault="001C19F3" w:rsidP="00521305">
            <w:pPr>
              <w:spacing w:after="0"/>
              <w:ind w:left="100" w:right="100"/>
              <w:jc w:val="right"/>
            </w:pPr>
            <w:r>
              <w:rPr>
                <w:rFonts w:eastAsia="Century Gothic" w:cs="Century Gothic"/>
                <w:color w:val="000000"/>
                <w:sz w:val="18"/>
                <w:szCs w:val="18"/>
              </w:rPr>
              <w:t>1 (1.1%)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A59FD4"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F15DA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A2E779"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96E71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2C714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0206C2"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CA1E2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F30080" w14:textId="77777777" w:rsidR="001C19F3" w:rsidRDefault="001C19F3" w:rsidP="00521305">
            <w:pPr>
              <w:spacing w:after="0"/>
              <w:ind w:left="100" w:right="100"/>
              <w:jc w:val="right"/>
            </w:pPr>
          </w:p>
        </w:tc>
      </w:tr>
      <w:tr w:rsidR="001C19F3" w14:paraId="60B70135"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A60187" w14:textId="77777777" w:rsidR="001C19F3" w:rsidRDefault="001C19F3" w:rsidP="00521305">
            <w:pPr>
              <w:spacing w:after="0"/>
              <w:ind w:left="100" w:right="100"/>
            </w:pPr>
            <w:r>
              <w:rPr>
                <w:rFonts w:eastAsia="Century Gothic" w:cs="Century Gothic"/>
                <w:b/>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549B8" w14:textId="77777777" w:rsidR="001C19F3" w:rsidRDefault="001C19F3" w:rsidP="00521305">
            <w:pPr>
              <w:spacing w:after="0"/>
              <w:ind w:left="100" w:right="100"/>
              <w:jc w:val="right"/>
            </w:pPr>
            <w:r>
              <w:rPr>
                <w:rFonts w:eastAsia="Century Gothic" w:cs="Century Gothic"/>
                <w:b/>
                <w:color w:val="000000"/>
                <w:sz w:val="18"/>
                <w:szCs w:val="18"/>
              </w:rPr>
              <w:t>35 (38.0%)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3A0217" w14:textId="77777777" w:rsidR="001C19F3" w:rsidRDefault="001C19F3" w:rsidP="00521305">
            <w:pPr>
              <w:spacing w:after="0"/>
              <w:ind w:left="100" w:right="100"/>
              <w:jc w:val="right"/>
            </w:pPr>
            <w:r>
              <w:rPr>
                <w:rFonts w:eastAsia="Century Gothic" w:cs="Century Gothic"/>
                <w:b/>
                <w:color w:val="000000"/>
                <w:sz w:val="18"/>
                <w:szCs w:val="18"/>
              </w:rPr>
              <w:t>14 (36.8%)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F1BED" w14:textId="77777777" w:rsidR="001C19F3" w:rsidRDefault="001C19F3" w:rsidP="00521305">
            <w:pPr>
              <w:spacing w:after="0"/>
              <w:ind w:left="100" w:right="100"/>
              <w:jc w:val="right"/>
            </w:pPr>
            <w:r>
              <w:rPr>
                <w:rFonts w:eastAsia="Century Gothic" w:cs="Century Gothic"/>
                <w:b/>
                <w:color w:val="000000"/>
                <w:sz w:val="18"/>
                <w:szCs w:val="18"/>
              </w:rPr>
              <w:t>21 (42.0%)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8F1856" w14:textId="77777777" w:rsidR="001C19F3" w:rsidRDefault="001C19F3" w:rsidP="00521305">
            <w:pPr>
              <w:spacing w:after="0"/>
              <w:ind w:left="100" w:right="100"/>
              <w:jc w:val="right"/>
            </w:pPr>
            <w:r>
              <w:rPr>
                <w:rFonts w:eastAsia="Century Gothic" w:cs="Century Gothic"/>
                <w:b/>
                <w:color w:val="000000"/>
                <w:sz w:val="18"/>
                <w:szCs w:val="18"/>
              </w:rPr>
              <w:t>3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A5486D" w14:textId="77777777" w:rsidR="001C19F3" w:rsidRDefault="001C19F3" w:rsidP="00521305">
            <w:pPr>
              <w:spacing w:after="0"/>
              <w:ind w:left="100" w:right="100"/>
              <w:jc w:val="right"/>
            </w:pPr>
            <w:r>
              <w:rPr>
                <w:rFonts w:eastAsia="Century Gothic" w:cs="Century Gothic"/>
                <w:b/>
                <w:color w:val="000000"/>
                <w:sz w:val="18"/>
                <w:szCs w:val="18"/>
              </w:rPr>
              <w:t>2 (28.6%)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D84561" w14:textId="77777777" w:rsidR="001C19F3" w:rsidRDefault="001C19F3" w:rsidP="00521305">
            <w:pPr>
              <w:spacing w:after="0"/>
              <w:ind w:left="100" w:right="100"/>
              <w:jc w:val="right"/>
            </w:pPr>
            <w:r>
              <w:rPr>
                <w:rFonts w:eastAsia="Century Gothic" w:cs="Century Gothic"/>
                <w:b/>
                <w:color w:val="000000"/>
                <w:sz w:val="18"/>
                <w:szCs w:val="18"/>
              </w:rPr>
              <w:t>30 (44.1%)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EA7486" w14:textId="77777777" w:rsidR="001C19F3" w:rsidRDefault="001C19F3" w:rsidP="00521305">
            <w:pPr>
              <w:spacing w:after="0"/>
              <w:ind w:left="100" w:right="100"/>
              <w:jc w:val="right"/>
            </w:pPr>
            <w:r>
              <w:rPr>
                <w:rFonts w:eastAsia="Century Gothic" w:cs="Century Gothic"/>
                <w:b/>
                <w:color w:val="000000"/>
                <w:sz w:val="18"/>
                <w:szCs w:val="18"/>
              </w:rPr>
              <w:t>26 (37.1%)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85342A" w14:textId="77777777" w:rsidR="001C19F3" w:rsidRDefault="001C19F3" w:rsidP="00521305">
            <w:pPr>
              <w:spacing w:after="0"/>
              <w:ind w:left="100" w:right="100"/>
              <w:jc w:val="right"/>
            </w:pPr>
            <w:r>
              <w:rPr>
                <w:rFonts w:eastAsia="Century Gothic" w:cs="Century Gothic"/>
                <w:b/>
                <w:color w:val="000000"/>
                <w:sz w:val="18"/>
                <w:szCs w:val="18"/>
              </w:rPr>
              <w:t>5 (62.5%)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2EEFEB" w14:textId="77777777" w:rsidR="001C19F3" w:rsidRDefault="001C19F3" w:rsidP="00521305">
            <w:pPr>
              <w:spacing w:after="0"/>
              <w:ind w:left="100" w:right="100"/>
              <w:jc w:val="right"/>
            </w:pPr>
            <w:r>
              <w:rPr>
                <w:rFonts w:eastAsia="Century Gothic" w:cs="Century Gothic"/>
                <w:b/>
                <w:color w:val="000000"/>
                <w:sz w:val="18"/>
                <w:szCs w:val="18"/>
              </w:rPr>
              <w:t>4 (40.0%)</w:t>
            </w:r>
          </w:p>
        </w:tc>
      </w:tr>
      <w:tr w:rsidR="001C19F3" w14:paraId="0FA1F2B9" w14:textId="77777777" w:rsidTr="00521305">
        <w:trPr>
          <w:cantSplit/>
          <w:trHeight w:val="442"/>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B62B3D" w14:textId="77777777" w:rsidR="001C19F3" w:rsidRDefault="001C19F3" w:rsidP="00521305">
            <w:pPr>
              <w:spacing w:after="0"/>
              <w:ind w:left="100" w:right="100"/>
            </w:pPr>
            <w:r>
              <w:rPr>
                <w:rFonts w:eastAsia="Century Gothic" w:cs="Century Gothic"/>
                <w:b/>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A5ACF5" w14:textId="77777777" w:rsidR="001C19F3" w:rsidRDefault="001C19F3" w:rsidP="00521305">
            <w:pPr>
              <w:spacing w:after="0"/>
              <w:ind w:left="100" w:right="100"/>
              <w:jc w:val="right"/>
            </w:pPr>
            <w:r>
              <w:rPr>
                <w:rFonts w:eastAsia="Century Gothic" w:cs="Century Gothic"/>
                <w:b/>
                <w:color w:val="000000"/>
                <w:sz w:val="18"/>
                <w:szCs w:val="18"/>
              </w:rPr>
              <w:t>4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E91F20" w14:textId="77777777" w:rsidR="001C19F3" w:rsidRDefault="001C19F3" w:rsidP="00521305">
            <w:pPr>
              <w:spacing w:after="0"/>
              <w:ind w:left="100" w:right="100"/>
              <w:jc w:val="right"/>
            </w:pPr>
            <w:r>
              <w:rPr>
                <w:rFonts w:eastAsia="Century Gothic" w:cs="Century Gothic"/>
                <w:b/>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5BEC95" w14:textId="77777777" w:rsidR="001C19F3" w:rsidRDefault="001C19F3" w:rsidP="00521305">
            <w:pPr>
              <w:spacing w:after="0"/>
              <w:ind w:left="100" w:right="100"/>
              <w:jc w:val="right"/>
            </w:pPr>
            <w:r>
              <w:rPr>
                <w:rFonts w:eastAsia="Century Gothic" w:cs="Century Gothic"/>
                <w:b/>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9007C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87AD4B" w14:textId="77777777" w:rsidR="001C19F3" w:rsidRDefault="001C19F3" w:rsidP="00521305">
            <w:pPr>
              <w:spacing w:after="0"/>
              <w:ind w:left="100" w:right="100"/>
              <w:jc w:val="right"/>
            </w:pPr>
            <w:r>
              <w:rPr>
                <w:rFonts w:eastAsia="Century Gothic" w:cs="Century Gothic"/>
                <w:b/>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FF913" w14:textId="77777777" w:rsidR="001C19F3" w:rsidRDefault="001C19F3" w:rsidP="00521305">
            <w:pPr>
              <w:spacing w:after="0"/>
              <w:ind w:left="100" w:right="100"/>
              <w:jc w:val="right"/>
            </w:pPr>
            <w:r>
              <w:rPr>
                <w:rFonts w:eastAsia="Century Gothic" w:cs="Century Gothic"/>
                <w:b/>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D33E25" w14:textId="77777777" w:rsidR="001C19F3" w:rsidRDefault="001C19F3" w:rsidP="00521305">
            <w:pPr>
              <w:spacing w:after="0"/>
              <w:ind w:left="100" w:right="100"/>
              <w:jc w:val="right"/>
            </w:pPr>
            <w:r>
              <w:rPr>
                <w:rFonts w:eastAsia="Century Gothic" w:cs="Century Gothic"/>
                <w:b/>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03EF2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FB741A" w14:textId="77777777" w:rsidR="001C19F3" w:rsidRDefault="001C19F3" w:rsidP="00521305">
            <w:pPr>
              <w:spacing w:after="0"/>
              <w:ind w:left="100" w:right="100"/>
              <w:jc w:val="right"/>
            </w:pPr>
            <w:r>
              <w:rPr>
                <w:rFonts w:eastAsia="Century Gothic" w:cs="Century Gothic"/>
                <w:b/>
                <w:color w:val="000000"/>
                <w:sz w:val="18"/>
                <w:szCs w:val="18"/>
              </w:rPr>
              <w:t>1</w:t>
            </w:r>
          </w:p>
        </w:tc>
      </w:tr>
    </w:tbl>
    <w:p w14:paraId="52E95EA0" w14:textId="77777777" w:rsidR="001C19F3" w:rsidRDefault="001C19F3" w:rsidP="001C19F3">
      <w:pPr>
        <w:pStyle w:val="Chartortablefootnote"/>
        <w:rPr>
          <w:rFonts w:cstheme="minorBidi"/>
          <w:szCs w:val="20"/>
        </w:rPr>
      </w:pPr>
      <w:r>
        <w:t>Source: Practice survey R2, Nov 2018-Mar 2019, question 4.</w:t>
      </w:r>
    </w:p>
    <w:p w14:paraId="5DDFFB89" w14:textId="77777777" w:rsidR="001C19F3" w:rsidRDefault="001C19F3" w:rsidP="001C19F3">
      <w:pPr>
        <w:pStyle w:val="Caption1"/>
      </w:pPr>
      <w:bookmarkStart w:id="559" w:name="_Ref22638826"/>
      <w:r>
        <w:t xml:space="preserve">Table </w:t>
      </w:r>
      <w:r>
        <w:fldChar w:fldCharType="begin"/>
      </w:r>
      <w:r>
        <w:instrText>SEQ Table \* ARABIC</w:instrText>
      </w:r>
      <w:r>
        <w:fldChar w:fldCharType="separate"/>
      </w:r>
      <w:r>
        <w:rPr>
          <w:noProof/>
        </w:rPr>
        <w:t>40</w:t>
      </w:r>
      <w:r>
        <w:fldChar w:fldCharType="end"/>
      </w:r>
      <w:r>
        <w:t xml:space="preserve"> – Usefulness of the HARP tool/ My Health Record</w:t>
      </w:r>
      <w:bookmarkEnd w:id="559"/>
    </w:p>
    <w:tbl>
      <w:tblPr>
        <w:tblW w:w="0" w:type="auto"/>
        <w:jc w:val="center"/>
        <w:tblLayout w:type="fixed"/>
        <w:tblLook w:val="04A0" w:firstRow="1" w:lastRow="0" w:firstColumn="1" w:lastColumn="0" w:noHBand="0" w:noVBand="1"/>
      </w:tblPr>
      <w:tblGrid>
        <w:gridCol w:w="4977"/>
        <w:gridCol w:w="1493"/>
        <w:gridCol w:w="1493"/>
        <w:gridCol w:w="1493"/>
        <w:gridCol w:w="1493"/>
        <w:gridCol w:w="1493"/>
      </w:tblGrid>
      <w:tr w:rsidR="001C19F3" w14:paraId="6B7DC5CA" w14:textId="77777777" w:rsidTr="00521305">
        <w:trPr>
          <w:cantSplit/>
          <w:trHeight w:val="333"/>
          <w:tblHeader/>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4C1A7AF" w14:textId="77777777" w:rsidR="001C19F3" w:rsidRDefault="001C19F3" w:rsidP="00521305">
            <w:pPr>
              <w:spacing w:after="0"/>
              <w:jc w:val="center"/>
            </w:pPr>
            <w:r>
              <w:rPr>
                <w:rFonts w:eastAsia="Century Gothic" w:cs="Century Gothic"/>
                <w:b/>
                <w:color w:val="FFFFFF"/>
                <w:sz w:val="18"/>
                <w:szCs w:val="18"/>
              </w:rPr>
              <w:t>Response</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4ADA83" w14:textId="77777777" w:rsidR="001C19F3" w:rsidRDefault="001C19F3" w:rsidP="00521305">
            <w:pPr>
              <w:spacing w:after="0"/>
              <w:jc w:val="center"/>
            </w:pPr>
            <w:r>
              <w:rPr>
                <w:rFonts w:eastAsia="Century Gothic" w:cs="Century Gothic"/>
                <w:b/>
                <w:color w:val="FFFFFF"/>
                <w:sz w:val="18"/>
                <w:szCs w:val="18"/>
              </w:rPr>
              <w:t>Very useful</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ADA9D6" w14:textId="77777777" w:rsidR="001C19F3" w:rsidRDefault="001C19F3" w:rsidP="00521305">
            <w:pPr>
              <w:spacing w:after="0"/>
              <w:jc w:val="center"/>
            </w:pPr>
            <w:r>
              <w:rPr>
                <w:rFonts w:eastAsia="Century Gothic" w:cs="Century Gothic"/>
                <w:b/>
                <w:color w:val="FFFFFF"/>
                <w:sz w:val="18"/>
                <w:szCs w:val="18"/>
              </w:rPr>
              <w:t>Moderately useful</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592CD7" w14:textId="77777777" w:rsidR="001C19F3" w:rsidRDefault="001C19F3" w:rsidP="00521305">
            <w:pPr>
              <w:spacing w:after="0"/>
              <w:jc w:val="center"/>
            </w:pPr>
            <w:r>
              <w:rPr>
                <w:rFonts w:eastAsia="Century Gothic" w:cs="Century Gothic"/>
                <w:b/>
                <w:color w:val="FFFFFF"/>
                <w:sz w:val="18"/>
                <w:szCs w:val="18"/>
              </w:rPr>
              <w:t>Limited usefulness</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B1A137E" w14:textId="77777777" w:rsidR="001C19F3" w:rsidRDefault="001C19F3" w:rsidP="00521305">
            <w:pPr>
              <w:spacing w:after="0"/>
              <w:jc w:val="center"/>
            </w:pPr>
            <w:r>
              <w:rPr>
                <w:rFonts w:eastAsia="Century Gothic" w:cs="Century Gothic"/>
                <w:b/>
                <w:color w:val="FFFFFF"/>
                <w:sz w:val="18"/>
                <w:szCs w:val="18"/>
              </w:rPr>
              <w:t>Not useful</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6A8505"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115A74D6" w14:textId="77777777" w:rsidTr="00521305">
        <w:trPr>
          <w:cantSplit/>
          <w:trHeight w:val="442"/>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9C055" w14:textId="77777777" w:rsidR="001C19F3" w:rsidRDefault="001C19F3" w:rsidP="00521305">
            <w:pPr>
              <w:spacing w:after="0"/>
              <w:ind w:left="100" w:right="100"/>
            </w:pPr>
            <w:r>
              <w:rPr>
                <w:rFonts w:eastAsia="Century Gothic" w:cs="Century Gothic"/>
                <w:color w:val="000000"/>
                <w:sz w:val="18"/>
                <w:szCs w:val="18"/>
              </w:rPr>
              <w:t>Usefulness of the HARP tool for assessing the care needs of patients</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450BA" w14:textId="77777777" w:rsidR="001C19F3" w:rsidRDefault="001C19F3" w:rsidP="00521305">
            <w:pPr>
              <w:spacing w:after="0"/>
              <w:ind w:left="100" w:right="100"/>
              <w:jc w:val="right"/>
            </w:pPr>
            <w:r>
              <w:rPr>
                <w:rFonts w:eastAsia="Century Gothic" w:cs="Century Gothic"/>
                <w:color w:val="000000"/>
                <w:sz w:val="18"/>
                <w:szCs w:val="18"/>
              </w:rPr>
              <w:t>13 (14.6%)</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C9ACDD" w14:textId="77777777" w:rsidR="001C19F3" w:rsidRDefault="001C19F3" w:rsidP="00521305">
            <w:pPr>
              <w:spacing w:after="0"/>
              <w:ind w:left="100" w:right="100"/>
              <w:jc w:val="right"/>
            </w:pPr>
            <w:r>
              <w:rPr>
                <w:rFonts w:eastAsia="Century Gothic" w:cs="Century Gothic"/>
                <w:color w:val="000000"/>
                <w:sz w:val="18"/>
                <w:szCs w:val="18"/>
              </w:rPr>
              <w:t>36 (40.4%)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F96418" w14:textId="77777777" w:rsidR="001C19F3" w:rsidRDefault="001C19F3" w:rsidP="00521305">
            <w:pPr>
              <w:spacing w:after="0"/>
              <w:ind w:left="100" w:right="100"/>
              <w:jc w:val="right"/>
            </w:pPr>
            <w:r>
              <w:rPr>
                <w:rFonts w:eastAsia="Century Gothic" w:cs="Century Gothic"/>
                <w:color w:val="000000"/>
                <w:sz w:val="18"/>
                <w:szCs w:val="18"/>
              </w:rPr>
              <w:t>30 (33.7%)</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819CF9" w14:textId="77777777" w:rsidR="001C19F3" w:rsidRDefault="001C19F3" w:rsidP="00521305">
            <w:pPr>
              <w:spacing w:after="0"/>
              <w:ind w:left="100" w:right="100"/>
              <w:jc w:val="right"/>
            </w:pPr>
            <w:r>
              <w:rPr>
                <w:rFonts w:eastAsia="Century Gothic" w:cs="Century Gothic"/>
                <w:color w:val="000000"/>
                <w:sz w:val="18"/>
                <w:szCs w:val="18"/>
              </w:rPr>
              <w:t>10 (11.2%)</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6FD566"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6541E4A5" w14:textId="77777777" w:rsidTr="00521305">
        <w:trPr>
          <w:cantSplit/>
          <w:trHeight w:val="442"/>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40F3DB" w14:textId="77777777" w:rsidR="001C19F3" w:rsidRDefault="001C19F3" w:rsidP="00521305">
            <w:pPr>
              <w:spacing w:after="0"/>
              <w:ind w:left="100" w:right="100"/>
            </w:pPr>
            <w:r>
              <w:rPr>
                <w:rFonts w:eastAsia="Century Gothic" w:cs="Century Gothic"/>
                <w:color w:val="000000"/>
                <w:sz w:val="18"/>
                <w:szCs w:val="18"/>
              </w:rPr>
              <w:t>Usefulness of My Health Record for sharing care plans with patients and/ or their carer/ family</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D808A7" w14:textId="77777777" w:rsidR="001C19F3" w:rsidRDefault="001C19F3" w:rsidP="00521305">
            <w:pPr>
              <w:spacing w:after="0"/>
              <w:ind w:left="100" w:right="100"/>
              <w:jc w:val="right"/>
            </w:pPr>
            <w:r>
              <w:rPr>
                <w:rFonts w:eastAsia="Century Gothic" w:cs="Century Gothic"/>
                <w:color w:val="000000"/>
                <w:sz w:val="18"/>
                <w:szCs w:val="18"/>
              </w:rPr>
              <w:t>9 (14.8%)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D0BE51" w14:textId="77777777" w:rsidR="001C19F3" w:rsidRDefault="001C19F3" w:rsidP="00521305">
            <w:pPr>
              <w:spacing w:after="0"/>
              <w:ind w:left="100" w:right="100"/>
              <w:jc w:val="right"/>
            </w:pPr>
            <w:r>
              <w:rPr>
                <w:rFonts w:eastAsia="Century Gothic" w:cs="Century Gothic"/>
                <w:color w:val="000000"/>
                <w:sz w:val="18"/>
                <w:szCs w:val="18"/>
              </w:rPr>
              <w:t>9 (14.8%)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22067C" w14:textId="77777777" w:rsidR="001C19F3" w:rsidRDefault="001C19F3" w:rsidP="00521305">
            <w:pPr>
              <w:spacing w:after="0"/>
              <w:ind w:left="100" w:right="100"/>
              <w:jc w:val="right"/>
            </w:pPr>
            <w:r>
              <w:rPr>
                <w:rFonts w:eastAsia="Century Gothic" w:cs="Century Gothic"/>
                <w:color w:val="000000"/>
                <w:sz w:val="18"/>
                <w:szCs w:val="18"/>
              </w:rPr>
              <w:t>20 (32.8%)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5FB3D0" w14:textId="77777777" w:rsidR="001C19F3" w:rsidRDefault="001C19F3" w:rsidP="00521305">
            <w:pPr>
              <w:spacing w:after="0"/>
              <w:ind w:left="100" w:right="100"/>
              <w:jc w:val="right"/>
            </w:pPr>
            <w:r>
              <w:rPr>
                <w:rFonts w:eastAsia="Century Gothic" w:cs="Century Gothic"/>
                <w:color w:val="000000"/>
                <w:sz w:val="18"/>
                <w:szCs w:val="18"/>
              </w:rPr>
              <w:t>23 (37.7%)</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821A90" w14:textId="77777777" w:rsidR="001C19F3" w:rsidRDefault="001C19F3" w:rsidP="00521305">
            <w:pPr>
              <w:spacing w:after="0"/>
              <w:ind w:left="100" w:right="100"/>
              <w:jc w:val="right"/>
            </w:pPr>
            <w:r>
              <w:rPr>
                <w:rFonts w:eastAsia="Century Gothic" w:cs="Century Gothic"/>
                <w:color w:val="000000"/>
                <w:sz w:val="18"/>
                <w:szCs w:val="18"/>
              </w:rPr>
              <w:t>31</w:t>
            </w:r>
          </w:p>
        </w:tc>
      </w:tr>
    </w:tbl>
    <w:p w14:paraId="2BED8215" w14:textId="77777777" w:rsidR="001C19F3" w:rsidRDefault="001C19F3" w:rsidP="001C19F3">
      <w:pPr>
        <w:pStyle w:val="Chartortablefootnote"/>
        <w:rPr>
          <w:rFonts w:cstheme="minorBidi"/>
          <w:szCs w:val="20"/>
        </w:rPr>
      </w:pPr>
      <w:r>
        <w:t>Source: Practice survey R2, Nov 2018-Mar 2019, questions 8 &amp; 17.</w:t>
      </w:r>
    </w:p>
    <w:p w14:paraId="51A427EF" w14:textId="77777777" w:rsidR="001C19F3" w:rsidRDefault="001C19F3" w:rsidP="001C19F3">
      <w:pPr>
        <w:spacing w:after="0"/>
      </w:pPr>
    </w:p>
    <w:p w14:paraId="219CE088" w14:textId="77777777" w:rsidR="001C19F3" w:rsidRDefault="001C19F3" w:rsidP="001C19F3">
      <w:pPr>
        <w:pStyle w:val="Caption1"/>
      </w:pPr>
      <w:bookmarkStart w:id="560" w:name="_Ref22638854"/>
      <w:r>
        <w:t xml:space="preserve">Table </w:t>
      </w:r>
      <w:r>
        <w:fldChar w:fldCharType="begin"/>
      </w:r>
      <w:r>
        <w:instrText>SEQ Table \* ARABIC</w:instrText>
      </w:r>
      <w:r>
        <w:fldChar w:fldCharType="separate"/>
      </w:r>
      <w:r>
        <w:rPr>
          <w:noProof/>
        </w:rPr>
        <w:t>41</w:t>
      </w:r>
      <w:r>
        <w:fldChar w:fldCharType="end"/>
      </w:r>
      <w:r>
        <w:t xml:space="preserve"> – Percentage of patients approached to enroll in HCH who actually enrolled (including responses from withdrawn practices)</w:t>
      </w:r>
      <w:bookmarkEnd w:id="560"/>
    </w:p>
    <w:tbl>
      <w:tblPr>
        <w:tblW w:w="0" w:type="auto"/>
        <w:jc w:val="center"/>
        <w:tblLayout w:type="fixed"/>
        <w:tblLook w:val="04A0" w:firstRow="1" w:lastRow="0" w:firstColumn="1" w:lastColumn="0" w:noHBand="0" w:noVBand="1"/>
      </w:tblPr>
      <w:tblGrid>
        <w:gridCol w:w="4977"/>
        <w:gridCol w:w="1244"/>
        <w:gridCol w:w="1244"/>
        <w:gridCol w:w="1244"/>
        <w:gridCol w:w="1244"/>
        <w:gridCol w:w="1244"/>
        <w:gridCol w:w="1244"/>
      </w:tblGrid>
      <w:tr w:rsidR="001C19F3" w14:paraId="10ACBD07" w14:textId="77777777" w:rsidTr="00521305">
        <w:trPr>
          <w:cantSplit/>
          <w:trHeight w:val="20"/>
          <w:tblHeader/>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A5E79AE" w14:textId="77777777" w:rsidR="001C19F3" w:rsidRDefault="001C19F3" w:rsidP="00521305">
            <w:pPr>
              <w:spacing w:after="0"/>
              <w:jc w:val="center"/>
            </w:pPr>
            <w:r>
              <w:rPr>
                <w:rFonts w:eastAsia="Century Gothic" w:cs="Century Gothic"/>
                <w:b/>
                <w:color w:val="FFFFFF"/>
                <w:sz w:val="18"/>
                <w:szCs w:val="18"/>
              </w:rPr>
              <w:t>Response by practice status</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56ECB7F" w14:textId="77777777" w:rsidR="001C19F3" w:rsidRDefault="001C19F3" w:rsidP="00521305">
            <w:pPr>
              <w:spacing w:after="0"/>
              <w:jc w:val="center"/>
            </w:pPr>
            <w:r>
              <w:rPr>
                <w:rFonts w:eastAsia="Century Gothic" w:cs="Century Gothic"/>
                <w:b/>
                <w:color w:val="FFFFFF"/>
                <w:sz w:val="18"/>
                <w:szCs w:val="18"/>
              </w:rPr>
              <w:t>0% - 20%</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681A552" w14:textId="77777777" w:rsidR="001C19F3" w:rsidRDefault="001C19F3" w:rsidP="00521305">
            <w:pPr>
              <w:spacing w:after="0"/>
              <w:jc w:val="center"/>
            </w:pPr>
            <w:r>
              <w:rPr>
                <w:rFonts w:eastAsia="Century Gothic" w:cs="Century Gothic"/>
                <w:b/>
                <w:color w:val="FFFFFF"/>
                <w:sz w:val="18"/>
                <w:szCs w:val="18"/>
              </w:rPr>
              <w:t>20% - 40%</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B020FD" w14:textId="77777777" w:rsidR="001C19F3" w:rsidRDefault="001C19F3" w:rsidP="00521305">
            <w:pPr>
              <w:spacing w:after="0"/>
              <w:jc w:val="center"/>
            </w:pPr>
            <w:r>
              <w:rPr>
                <w:rFonts w:eastAsia="Century Gothic" w:cs="Century Gothic"/>
                <w:b/>
                <w:color w:val="FFFFFF"/>
                <w:sz w:val="18"/>
                <w:szCs w:val="18"/>
              </w:rPr>
              <w:t>40% - 60%</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DEE80D3" w14:textId="77777777" w:rsidR="001C19F3" w:rsidRDefault="001C19F3" w:rsidP="00521305">
            <w:pPr>
              <w:spacing w:after="0"/>
              <w:jc w:val="center"/>
            </w:pPr>
            <w:r>
              <w:rPr>
                <w:rFonts w:eastAsia="Century Gothic" w:cs="Century Gothic"/>
                <w:b/>
                <w:color w:val="FFFFFF"/>
                <w:sz w:val="18"/>
                <w:szCs w:val="18"/>
              </w:rPr>
              <w:t>60% - 80%</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D0DC3F" w14:textId="77777777" w:rsidR="001C19F3" w:rsidRDefault="001C19F3" w:rsidP="00521305">
            <w:pPr>
              <w:spacing w:after="0"/>
              <w:jc w:val="center"/>
            </w:pPr>
            <w:r>
              <w:rPr>
                <w:rFonts w:eastAsia="Century Gothic" w:cs="Century Gothic"/>
                <w:b/>
                <w:color w:val="FFFFFF"/>
                <w:sz w:val="18"/>
                <w:szCs w:val="18"/>
              </w:rPr>
              <w:t>80% - 100%</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49E1C34"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57B12717"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DC699E" w14:textId="77777777" w:rsidR="001C19F3" w:rsidRDefault="001C19F3" w:rsidP="00521305">
            <w:pPr>
              <w:spacing w:after="0"/>
              <w:ind w:left="100" w:right="100"/>
            </w:pPr>
            <w:r>
              <w:rPr>
                <w:rFonts w:eastAsia="Century Gothic" w:cs="Century Gothic"/>
                <w:color w:val="000000"/>
                <w:sz w:val="18"/>
                <w:szCs w:val="18"/>
              </w:rPr>
              <w:t>Active</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CCB575" w14:textId="77777777" w:rsidR="001C19F3" w:rsidRDefault="001C19F3" w:rsidP="00521305">
            <w:pPr>
              <w:spacing w:after="0"/>
              <w:ind w:left="100" w:right="100"/>
              <w:jc w:val="right"/>
            </w:pPr>
            <w:r>
              <w:rPr>
                <w:rFonts w:eastAsia="Century Gothic" w:cs="Century Gothic"/>
                <w:color w:val="000000"/>
                <w:sz w:val="18"/>
                <w:szCs w:val="18"/>
              </w:rPr>
              <w:t>15 (16.7%)</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5A01ED" w14:textId="77777777" w:rsidR="001C19F3" w:rsidRDefault="001C19F3" w:rsidP="00521305">
            <w:pPr>
              <w:spacing w:after="0"/>
              <w:ind w:left="100" w:right="100"/>
              <w:jc w:val="right"/>
            </w:pPr>
            <w:r>
              <w:rPr>
                <w:rFonts w:eastAsia="Century Gothic" w:cs="Century Gothic"/>
                <w:color w:val="000000"/>
                <w:sz w:val="18"/>
                <w:szCs w:val="18"/>
              </w:rPr>
              <w:t>7 (7.8%)</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8B251" w14:textId="77777777" w:rsidR="001C19F3" w:rsidRDefault="001C19F3" w:rsidP="00521305">
            <w:pPr>
              <w:spacing w:after="0"/>
              <w:ind w:left="100" w:right="100"/>
              <w:jc w:val="right"/>
            </w:pPr>
            <w:r>
              <w:rPr>
                <w:rFonts w:eastAsia="Century Gothic" w:cs="Century Gothic"/>
                <w:color w:val="000000"/>
                <w:sz w:val="18"/>
                <w:szCs w:val="18"/>
              </w:rPr>
              <w:t>11 (12.2%)</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ADC9BC" w14:textId="77777777" w:rsidR="001C19F3" w:rsidRDefault="001C19F3" w:rsidP="00521305">
            <w:pPr>
              <w:spacing w:after="0"/>
              <w:ind w:left="100" w:right="100"/>
              <w:jc w:val="right"/>
            </w:pPr>
            <w:r>
              <w:rPr>
                <w:rFonts w:eastAsia="Century Gothic" w:cs="Century Gothic"/>
                <w:color w:val="000000"/>
                <w:sz w:val="18"/>
                <w:szCs w:val="18"/>
              </w:rPr>
              <w:t>16 (17.8%)</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20F1F6" w14:textId="77777777" w:rsidR="001C19F3" w:rsidRDefault="001C19F3" w:rsidP="00521305">
            <w:pPr>
              <w:spacing w:after="0"/>
              <w:ind w:left="100" w:right="100"/>
              <w:jc w:val="right"/>
            </w:pPr>
            <w:r>
              <w:rPr>
                <w:rFonts w:eastAsia="Century Gothic" w:cs="Century Gothic"/>
                <w:color w:val="000000"/>
                <w:sz w:val="18"/>
                <w:szCs w:val="18"/>
              </w:rPr>
              <w:t>41 (45.6%)</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EF3AD7" w14:textId="77777777" w:rsidR="001C19F3" w:rsidRDefault="001C19F3" w:rsidP="00521305">
            <w:pPr>
              <w:spacing w:after="0"/>
              <w:ind w:left="100" w:right="100"/>
              <w:jc w:val="right"/>
            </w:pPr>
            <w:r>
              <w:rPr>
                <w:rFonts w:eastAsia="Century Gothic" w:cs="Century Gothic"/>
                <w:color w:val="000000"/>
                <w:sz w:val="18"/>
                <w:szCs w:val="18"/>
              </w:rPr>
              <w:t>2</w:t>
            </w:r>
          </w:p>
        </w:tc>
      </w:tr>
      <w:tr w:rsidR="001C19F3" w14:paraId="5A729354"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358728" w14:textId="77777777" w:rsidR="001C19F3" w:rsidRDefault="001C19F3" w:rsidP="00521305">
            <w:pPr>
              <w:spacing w:after="0"/>
              <w:ind w:left="100" w:right="100"/>
            </w:pPr>
            <w:r>
              <w:rPr>
                <w:rFonts w:eastAsia="Century Gothic" w:cs="Century Gothic"/>
                <w:color w:val="000000"/>
                <w:sz w:val="18"/>
                <w:szCs w:val="18"/>
              </w:rPr>
              <w:t>Withdrawn</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8ECF4B" w14:textId="77777777" w:rsidR="001C19F3" w:rsidRDefault="001C19F3" w:rsidP="00521305">
            <w:pPr>
              <w:spacing w:after="0"/>
              <w:ind w:left="100" w:right="100"/>
              <w:jc w:val="right"/>
            </w:pPr>
            <w:r>
              <w:rPr>
                <w:rFonts w:eastAsia="Century Gothic" w:cs="Century Gothic"/>
                <w:color w:val="000000"/>
                <w:sz w:val="18"/>
                <w:szCs w:val="18"/>
              </w:rPr>
              <w:t>4 (33.3%)</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B327D7" w14:textId="77777777" w:rsidR="001C19F3" w:rsidRDefault="001C19F3" w:rsidP="00521305">
            <w:pPr>
              <w:spacing w:after="0"/>
              <w:ind w:left="100" w:right="100"/>
              <w:jc w:val="right"/>
            </w:pPr>
            <w:r>
              <w:rPr>
                <w:rFonts w:eastAsia="Century Gothic" w:cs="Century Gothic"/>
                <w:color w:val="000000"/>
                <w:sz w:val="18"/>
                <w:szCs w:val="18"/>
              </w:rPr>
              <w:t>1 (8.3%)</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0C5AC4" w14:textId="77777777" w:rsidR="001C19F3" w:rsidRDefault="001C19F3" w:rsidP="00521305">
            <w:pPr>
              <w:spacing w:after="0"/>
              <w:ind w:left="100" w:right="100"/>
              <w:jc w:val="right"/>
            </w:pPr>
            <w:r>
              <w:rPr>
                <w:rFonts w:eastAsia="Century Gothic" w:cs="Century Gothic"/>
                <w:color w:val="000000"/>
                <w:sz w:val="18"/>
                <w:szCs w:val="18"/>
              </w:rPr>
              <w:t>1 (8.3%)</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02EE30" w14:textId="77777777" w:rsidR="001C19F3" w:rsidRDefault="001C19F3" w:rsidP="00521305">
            <w:pPr>
              <w:spacing w:after="0"/>
              <w:ind w:left="100" w:right="100"/>
              <w:jc w:val="right"/>
            </w:pPr>
            <w:r>
              <w:rPr>
                <w:rFonts w:eastAsia="Century Gothic" w:cs="Century Gothic"/>
                <w:color w:val="000000"/>
                <w:sz w:val="18"/>
                <w:szCs w:val="18"/>
              </w:rPr>
              <w:t>3 (25.0%)</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78913C" w14:textId="77777777" w:rsidR="001C19F3" w:rsidRDefault="001C19F3" w:rsidP="00521305">
            <w:pPr>
              <w:spacing w:after="0"/>
              <w:ind w:left="100" w:right="100"/>
              <w:jc w:val="right"/>
            </w:pPr>
            <w:r>
              <w:rPr>
                <w:rFonts w:eastAsia="Century Gothic" w:cs="Century Gothic"/>
                <w:color w:val="000000"/>
                <w:sz w:val="18"/>
                <w:szCs w:val="18"/>
              </w:rPr>
              <w:t>3 (25.0%)</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6896EB" w14:textId="77777777" w:rsidR="001C19F3" w:rsidRDefault="001C19F3" w:rsidP="00521305">
            <w:pPr>
              <w:spacing w:after="0"/>
              <w:ind w:left="100" w:right="100"/>
              <w:jc w:val="right"/>
            </w:pPr>
            <w:r>
              <w:rPr>
                <w:rFonts w:eastAsia="Century Gothic" w:cs="Century Gothic"/>
                <w:color w:val="000000"/>
                <w:sz w:val="18"/>
                <w:szCs w:val="18"/>
              </w:rPr>
              <w:t>1</w:t>
            </w:r>
          </w:p>
        </w:tc>
      </w:tr>
    </w:tbl>
    <w:p w14:paraId="05EC9C43" w14:textId="03CAC54E" w:rsidR="001C19F3" w:rsidRDefault="001C19F3" w:rsidP="00EE4B33">
      <w:pPr>
        <w:pStyle w:val="Chartortablefootnote"/>
      </w:pPr>
      <w:r>
        <w:t>Source: Practice survey R2, Nov 2018-Mar 2019, question 11.</w:t>
      </w:r>
      <w:r>
        <w:br w:type="page"/>
      </w:r>
    </w:p>
    <w:p w14:paraId="613372CE" w14:textId="77777777" w:rsidR="001C19F3" w:rsidRDefault="001C19F3" w:rsidP="001C19F3">
      <w:pPr>
        <w:pStyle w:val="Caption1"/>
      </w:pPr>
      <w:bookmarkStart w:id="561" w:name="_Ref22640134"/>
      <w:r>
        <w:lastRenderedPageBreak/>
        <w:t xml:space="preserve">Table </w:t>
      </w:r>
      <w:r>
        <w:fldChar w:fldCharType="begin"/>
      </w:r>
      <w:r>
        <w:instrText>SEQ Table \* ARABIC</w:instrText>
      </w:r>
      <w:r>
        <w:fldChar w:fldCharType="separate"/>
      </w:r>
      <w:r>
        <w:rPr>
          <w:noProof/>
        </w:rPr>
        <w:t>42</w:t>
      </w:r>
      <w:r>
        <w:fldChar w:fldCharType="end"/>
      </w:r>
      <w:r>
        <w:t xml:space="preserve"> – Did processes for shared care planning and review change from before HCH</w:t>
      </w:r>
      <w:bookmarkEnd w:id="561"/>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27242010"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DC83915"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54291DA"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5E22D03"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E5BD9C"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A7C458" w14:textId="77777777" w:rsidR="001C19F3" w:rsidRDefault="001C19F3" w:rsidP="00521305">
            <w:pPr>
              <w:spacing w:after="0"/>
              <w:jc w:val="center"/>
            </w:pPr>
            <w:r>
              <w:rPr>
                <w:rFonts w:eastAsia="Century Gothic" w:cs="Century Gothic"/>
                <w:b/>
                <w:color w:val="FFFFFF"/>
                <w:sz w:val="18"/>
                <w:szCs w:val="18"/>
              </w:rPr>
              <w:t>Location</w:t>
            </w:r>
          </w:p>
        </w:tc>
      </w:tr>
      <w:tr w:rsidR="001C19F3" w14:paraId="3D470D83"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2FEEDEB7"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79E2ECF4"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A9465D"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5FD2771"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DEE2BA"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0AD011E"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10A600"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BD407E"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5FEA3B"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EA9A5B6" w14:textId="77777777" w:rsidR="001C19F3" w:rsidRDefault="001C19F3" w:rsidP="00521305">
            <w:pPr>
              <w:spacing w:after="0"/>
              <w:jc w:val="center"/>
            </w:pPr>
            <w:r>
              <w:rPr>
                <w:rFonts w:eastAsia="Century Gothic" w:cs="Century Gothic"/>
                <w:b/>
                <w:color w:val="FFFFFF"/>
                <w:sz w:val="18"/>
                <w:szCs w:val="18"/>
              </w:rPr>
              <w:t>MMM 4+</w:t>
            </w:r>
          </w:p>
        </w:tc>
      </w:tr>
      <w:tr w:rsidR="001C19F3" w14:paraId="465C6176"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E1E9F"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49B745" w14:textId="77777777" w:rsidR="001C19F3" w:rsidRDefault="001C19F3" w:rsidP="00521305">
            <w:pPr>
              <w:spacing w:after="0"/>
              <w:ind w:left="100" w:right="100"/>
              <w:jc w:val="right"/>
            </w:pPr>
            <w:r>
              <w:rPr>
                <w:rFonts w:eastAsia="Century Gothic" w:cs="Century Gothic"/>
                <w:color w:val="000000"/>
                <w:sz w:val="18"/>
                <w:szCs w:val="18"/>
              </w:rPr>
              <w:t>34 (37.0%)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88F0E" w14:textId="77777777" w:rsidR="001C19F3" w:rsidRDefault="001C19F3" w:rsidP="00521305">
            <w:pPr>
              <w:spacing w:after="0"/>
              <w:ind w:left="100" w:right="100"/>
              <w:jc w:val="right"/>
            </w:pPr>
            <w:r>
              <w:rPr>
                <w:rFonts w:eastAsia="Century Gothic" w:cs="Century Gothic"/>
                <w:color w:val="000000"/>
                <w:sz w:val="18"/>
                <w:szCs w:val="18"/>
              </w:rPr>
              <w:t>9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6506BF" w14:textId="77777777" w:rsidR="001C19F3" w:rsidRDefault="001C19F3" w:rsidP="00521305">
            <w:pPr>
              <w:spacing w:after="0"/>
              <w:ind w:left="100" w:right="100"/>
              <w:jc w:val="right"/>
            </w:pPr>
            <w:r>
              <w:rPr>
                <w:rFonts w:eastAsia="Century Gothic" w:cs="Century Gothic"/>
                <w:color w:val="000000"/>
                <w:sz w:val="18"/>
                <w:szCs w:val="18"/>
              </w:rPr>
              <w:t>25 (49.0%)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C08E34" w14:textId="77777777" w:rsidR="001C19F3" w:rsidRDefault="001C19F3" w:rsidP="00521305">
            <w:pPr>
              <w:spacing w:after="0"/>
              <w:ind w:left="100" w:right="100"/>
              <w:jc w:val="right"/>
            </w:pPr>
            <w:r>
              <w:rPr>
                <w:rFonts w:eastAsia="Century Gothic" w:cs="Century Gothic"/>
                <w:color w:val="000000"/>
                <w:sz w:val="18"/>
                <w:szCs w:val="18"/>
              </w:rPr>
              <w:t>3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C18F0" w14:textId="77777777" w:rsidR="001C19F3" w:rsidRDefault="001C19F3" w:rsidP="00521305">
            <w:pPr>
              <w:spacing w:after="0"/>
              <w:ind w:left="100" w:right="100"/>
              <w:jc w:val="right"/>
            </w:pPr>
            <w:r>
              <w:rPr>
                <w:rFonts w:eastAsia="Century Gothic" w:cs="Century Gothic"/>
                <w:color w:val="000000"/>
                <w:sz w:val="18"/>
                <w:szCs w:val="18"/>
              </w:rPr>
              <w:t>3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F583EE" w14:textId="77777777" w:rsidR="001C19F3" w:rsidRDefault="001C19F3" w:rsidP="00521305">
            <w:pPr>
              <w:spacing w:after="0"/>
              <w:ind w:left="100" w:right="100"/>
              <w:jc w:val="right"/>
            </w:pPr>
            <w:r>
              <w:rPr>
                <w:rFonts w:eastAsia="Century Gothic" w:cs="Century Gothic"/>
                <w:color w:val="000000"/>
                <w:sz w:val="18"/>
                <w:szCs w:val="18"/>
              </w:rPr>
              <w:t>28 (39.4%)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D34304" w14:textId="77777777" w:rsidR="001C19F3" w:rsidRDefault="001C19F3" w:rsidP="00521305">
            <w:pPr>
              <w:spacing w:after="0"/>
              <w:ind w:left="100" w:right="100"/>
              <w:jc w:val="right"/>
            </w:pPr>
            <w:r>
              <w:rPr>
                <w:rFonts w:eastAsia="Century Gothic" w:cs="Century Gothic"/>
                <w:color w:val="000000"/>
                <w:sz w:val="18"/>
                <w:szCs w:val="18"/>
              </w:rPr>
              <w:t>26 (35.6%)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BEA62D" w14:textId="77777777" w:rsidR="001C19F3" w:rsidRDefault="001C19F3" w:rsidP="00521305">
            <w:pPr>
              <w:spacing w:after="0"/>
              <w:ind w:left="100" w:right="100"/>
              <w:jc w:val="right"/>
            </w:pPr>
            <w:r>
              <w:rPr>
                <w:rFonts w:eastAsia="Century Gothic" w:cs="Century Gothic"/>
                <w:color w:val="000000"/>
                <w:sz w:val="18"/>
                <w:szCs w:val="18"/>
              </w:rPr>
              <w:t>2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F9EF41" w14:textId="77777777" w:rsidR="001C19F3" w:rsidRDefault="001C19F3" w:rsidP="00521305">
            <w:pPr>
              <w:spacing w:after="0"/>
              <w:ind w:left="100" w:right="100"/>
              <w:jc w:val="right"/>
            </w:pPr>
            <w:r>
              <w:rPr>
                <w:rFonts w:eastAsia="Century Gothic" w:cs="Century Gothic"/>
                <w:color w:val="000000"/>
                <w:sz w:val="18"/>
                <w:szCs w:val="18"/>
              </w:rPr>
              <w:t>6 (66.7%)</w:t>
            </w:r>
          </w:p>
        </w:tc>
      </w:tr>
      <w:tr w:rsidR="001C19F3" w14:paraId="74E1740B"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13C554"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862312" w14:textId="77777777" w:rsidR="001C19F3" w:rsidRDefault="001C19F3" w:rsidP="00521305">
            <w:pPr>
              <w:spacing w:after="0"/>
              <w:ind w:left="100" w:right="100"/>
              <w:jc w:val="right"/>
            </w:pPr>
            <w:r>
              <w:rPr>
                <w:rFonts w:eastAsia="Century Gothic" w:cs="Century Gothic"/>
                <w:color w:val="000000"/>
                <w:sz w:val="18"/>
                <w:szCs w:val="18"/>
              </w:rPr>
              <w:t>56 (60.9%)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C578A" w14:textId="77777777" w:rsidR="001C19F3" w:rsidRDefault="001C19F3" w:rsidP="00521305">
            <w:pPr>
              <w:spacing w:after="0"/>
              <w:ind w:left="100" w:right="100"/>
              <w:jc w:val="right"/>
            </w:pPr>
            <w:r>
              <w:rPr>
                <w:rFonts w:eastAsia="Century Gothic" w:cs="Century Gothic"/>
                <w:color w:val="000000"/>
                <w:sz w:val="18"/>
                <w:szCs w:val="18"/>
              </w:rPr>
              <w:t>30 (76.9%)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6EF20" w14:textId="77777777" w:rsidR="001C19F3" w:rsidRDefault="001C19F3" w:rsidP="00521305">
            <w:pPr>
              <w:spacing w:after="0"/>
              <w:ind w:left="100" w:right="100"/>
              <w:jc w:val="right"/>
            </w:pPr>
            <w:r>
              <w:rPr>
                <w:rFonts w:eastAsia="Century Gothic" w:cs="Century Gothic"/>
                <w:color w:val="000000"/>
                <w:sz w:val="18"/>
                <w:szCs w:val="18"/>
              </w:rPr>
              <w:t>26 (51.0%)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00559F" w14:textId="77777777" w:rsidR="001C19F3" w:rsidRDefault="001C19F3" w:rsidP="00521305">
            <w:pPr>
              <w:spacing w:after="0"/>
              <w:ind w:left="100" w:right="100"/>
              <w:jc w:val="right"/>
            </w:pPr>
            <w:r>
              <w:rPr>
                <w:rFonts w:eastAsia="Century Gothic" w:cs="Century Gothic"/>
                <w:color w:val="000000"/>
                <w:sz w:val="18"/>
                <w:szCs w:val="18"/>
              </w:rPr>
              <w:t>10 (76.9%)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E19B0A" w14:textId="77777777" w:rsidR="001C19F3" w:rsidRDefault="001C19F3" w:rsidP="00521305">
            <w:pPr>
              <w:spacing w:after="0"/>
              <w:ind w:left="100" w:right="100"/>
              <w:jc w:val="right"/>
            </w:pPr>
            <w:r>
              <w:rPr>
                <w:rFonts w:eastAsia="Century Gothic" w:cs="Century Gothic"/>
                <w:color w:val="000000"/>
                <w:sz w:val="18"/>
                <w:szCs w:val="18"/>
              </w:rPr>
              <w:t>3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05A626" w14:textId="77777777" w:rsidR="001C19F3" w:rsidRDefault="001C19F3" w:rsidP="00521305">
            <w:pPr>
              <w:spacing w:after="0"/>
              <w:ind w:left="100" w:right="100"/>
              <w:jc w:val="right"/>
            </w:pPr>
            <w:r>
              <w:rPr>
                <w:rFonts w:eastAsia="Century Gothic" w:cs="Century Gothic"/>
                <w:color w:val="000000"/>
                <w:sz w:val="18"/>
                <w:szCs w:val="18"/>
              </w:rPr>
              <w:t>43 (60.6%)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C3DFA3" w14:textId="77777777" w:rsidR="001C19F3" w:rsidRDefault="001C19F3" w:rsidP="00521305">
            <w:pPr>
              <w:spacing w:after="0"/>
              <w:ind w:left="100" w:right="100"/>
              <w:jc w:val="right"/>
            </w:pPr>
            <w:r>
              <w:rPr>
                <w:rFonts w:eastAsia="Century Gothic" w:cs="Century Gothic"/>
                <w:color w:val="000000"/>
                <w:sz w:val="18"/>
                <w:szCs w:val="18"/>
              </w:rPr>
              <w:t>47 (64.4%)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675644" w14:textId="77777777" w:rsidR="001C19F3" w:rsidRDefault="001C19F3" w:rsidP="00521305">
            <w:pPr>
              <w:spacing w:after="0"/>
              <w:ind w:left="100" w:right="100"/>
              <w:jc w:val="right"/>
            </w:pPr>
            <w:r>
              <w:rPr>
                <w:rFonts w:eastAsia="Century Gothic" w:cs="Century Gothic"/>
                <w:color w:val="000000"/>
                <w:sz w:val="18"/>
                <w:szCs w:val="18"/>
              </w:rPr>
              <w:t>6 (75.0%)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6557AE" w14:textId="77777777" w:rsidR="001C19F3" w:rsidRDefault="001C19F3" w:rsidP="00521305">
            <w:pPr>
              <w:spacing w:after="0"/>
              <w:ind w:left="100" w:right="100"/>
              <w:jc w:val="right"/>
            </w:pPr>
            <w:r>
              <w:rPr>
                <w:rFonts w:eastAsia="Century Gothic" w:cs="Century Gothic"/>
                <w:color w:val="000000"/>
                <w:sz w:val="18"/>
                <w:szCs w:val="18"/>
              </w:rPr>
              <w:t>3 (33.3%)</w:t>
            </w:r>
          </w:p>
        </w:tc>
      </w:tr>
      <w:tr w:rsidR="001C19F3" w14:paraId="1F1BB85E"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DAEEE"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9C8759"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01459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D766AF"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8AFD3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214FA6"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F941F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65409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6C4EE7"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BD088" w14:textId="77777777" w:rsidR="001C19F3" w:rsidRDefault="001C19F3" w:rsidP="00521305">
            <w:pPr>
              <w:spacing w:after="0"/>
              <w:ind w:left="100" w:right="100"/>
              <w:jc w:val="right"/>
            </w:pPr>
            <w:r>
              <w:rPr>
                <w:rFonts w:eastAsia="Century Gothic" w:cs="Century Gothic"/>
                <w:color w:val="000000"/>
                <w:sz w:val="18"/>
                <w:szCs w:val="18"/>
              </w:rPr>
              <w:t>2</w:t>
            </w:r>
          </w:p>
        </w:tc>
      </w:tr>
    </w:tbl>
    <w:p w14:paraId="057CA227" w14:textId="77777777" w:rsidR="001C19F3" w:rsidRDefault="001C19F3" w:rsidP="001C19F3">
      <w:pPr>
        <w:pStyle w:val="Chartortablefootnote"/>
        <w:rPr>
          <w:rFonts w:cstheme="minorBidi"/>
          <w:szCs w:val="20"/>
        </w:rPr>
      </w:pPr>
      <w:r>
        <w:t>Source: Practice survey R2, Nov 2018-Mar 2019, question 15.</w:t>
      </w:r>
    </w:p>
    <w:p w14:paraId="196567E5" w14:textId="77777777" w:rsidR="001C19F3" w:rsidRDefault="001C19F3" w:rsidP="001C19F3">
      <w:pPr>
        <w:pStyle w:val="Caption1"/>
      </w:pPr>
      <w:bookmarkStart w:id="562" w:name="_Ref22640141"/>
      <w:r>
        <w:t xml:space="preserve">Table </w:t>
      </w:r>
      <w:r>
        <w:fldChar w:fldCharType="begin"/>
      </w:r>
      <w:r>
        <w:instrText>SEQ Table \* ARABIC</w:instrText>
      </w:r>
      <w:r>
        <w:fldChar w:fldCharType="separate"/>
      </w:r>
      <w:r>
        <w:rPr>
          <w:noProof/>
        </w:rPr>
        <w:t>43</w:t>
      </w:r>
      <w:r>
        <w:fldChar w:fldCharType="end"/>
      </w:r>
      <w:r>
        <w:t xml:space="preserve"> – Main ways in which shared care planning and review processes changed following HCH implementation</w:t>
      </w:r>
      <w:bookmarkEnd w:id="562"/>
    </w:p>
    <w:tbl>
      <w:tblPr>
        <w:tblW w:w="0" w:type="auto"/>
        <w:jc w:val="center"/>
        <w:tblLayout w:type="fixed"/>
        <w:tblLook w:val="04A0" w:firstRow="1" w:lastRow="0" w:firstColumn="1" w:lastColumn="0" w:noHBand="0" w:noVBand="1"/>
      </w:tblPr>
      <w:tblGrid>
        <w:gridCol w:w="5460"/>
        <w:gridCol w:w="1382"/>
        <w:gridCol w:w="138"/>
        <w:gridCol w:w="5460"/>
        <w:gridCol w:w="1382"/>
      </w:tblGrid>
      <w:tr w:rsidR="001C19F3" w14:paraId="407A69F0" w14:textId="77777777" w:rsidTr="00521305">
        <w:trPr>
          <w:cantSplit/>
          <w:trHeight w:val="20"/>
          <w:tblHeader/>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24F78BB"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DD79526" w14:textId="77777777" w:rsidR="001C19F3" w:rsidRDefault="001C19F3" w:rsidP="00521305">
            <w:pPr>
              <w:spacing w:after="0"/>
              <w:jc w:val="center"/>
            </w:pPr>
            <w:r>
              <w:rPr>
                <w:rFonts w:eastAsia="Century Gothic" w:cs="Century Gothic"/>
                <w:b/>
                <w:color w:val="FFFFFF"/>
                <w:sz w:val="18"/>
                <w:szCs w:val="18"/>
              </w:rPr>
              <w:t>n (%)</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hideMark/>
          </w:tcPr>
          <w:p w14:paraId="728185E7" w14:textId="77777777" w:rsidR="001C19F3" w:rsidRDefault="001C19F3" w:rsidP="00521305">
            <w:pPr>
              <w:spacing w:after="0"/>
              <w:jc w:val="center"/>
            </w:pPr>
            <w:r>
              <w:rPr>
                <w:rFonts w:eastAsia="Century Gothic" w:cs="Century Gothic"/>
                <w:b/>
                <w:color w:val="FFFFFF"/>
                <w:sz w:val="18"/>
                <w:szCs w:val="18"/>
              </w:rPr>
              <w:t xml:space="preserve"> </w:t>
            </w:r>
          </w:p>
        </w:tc>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DFAEA79"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E021207" w14:textId="77777777" w:rsidR="001C19F3" w:rsidRDefault="001C19F3" w:rsidP="00521305">
            <w:pPr>
              <w:spacing w:after="0"/>
              <w:jc w:val="center"/>
            </w:pPr>
            <w:r>
              <w:rPr>
                <w:rFonts w:eastAsia="Century Gothic" w:cs="Century Gothic"/>
                <w:b/>
                <w:color w:val="FFFFFF"/>
                <w:sz w:val="18"/>
                <w:szCs w:val="18"/>
              </w:rPr>
              <w:t>n (%)</w:t>
            </w:r>
          </w:p>
        </w:tc>
      </w:tr>
      <w:tr w:rsidR="001C19F3" w14:paraId="15091489"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3EFC66" w14:textId="77777777" w:rsidR="001C19F3" w:rsidRDefault="001C19F3" w:rsidP="00521305">
            <w:pPr>
              <w:spacing w:after="0"/>
              <w:ind w:left="100" w:right="100"/>
            </w:pPr>
            <w:r>
              <w:rPr>
                <w:rFonts w:eastAsia="Century Gothic" w:cs="Century Gothic"/>
                <w:color w:val="000000"/>
                <w:sz w:val="18"/>
                <w:szCs w:val="18"/>
              </w:rPr>
              <w:t>Share care plans are more detailed</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65913A" w14:textId="77777777" w:rsidR="001C19F3" w:rsidRDefault="001C19F3" w:rsidP="00521305">
            <w:pPr>
              <w:spacing w:after="0"/>
              <w:ind w:left="100" w:right="100"/>
              <w:jc w:val="right"/>
            </w:pPr>
            <w:r>
              <w:rPr>
                <w:rFonts w:eastAsia="Century Gothic" w:cs="Century Gothic"/>
                <w:color w:val="000000"/>
                <w:sz w:val="18"/>
                <w:szCs w:val="18"/>
              </w:rPr>
              <w:t>8 (8.7%)</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5D810C13"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B922F9" w14:textId="77777777" w:rsidR="001C19F3" w:rsidRDefault="001C19F3" w:rsidP="00521305">
            <w:pPr>
              <w:spacing w:after="0"/>
              <w:ind w:left="100" w:right="100"/>
            </w:pPr>
            <w:r>
              <w:rPr>
                <w:rFonts w:eastAsia="Century Gothic" w:cs="Century Gothic"/>
                <w:color w:val="000000"/>
                <w:sz w:val="18"/>
                <w:szCs w:val="18"/>
              </w:rPr>
              <w:t>Patient reviews can be done by phone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7F7DC6" w14:textId="77777777" w:rsidR="001C19F3" w:rsidRDefault="001C19F3" w:rsidP="00521305">
            <w:pPr>
              <w:spacing w:after="0"/>
              <w:ind w:left="100" w:right="100"/>
              <w:jc w:val="right"/>
            </w:pPr>
            <w:r>
              <w:rPr>
                <w:rFonts w:eastAsia="Century Gothic" w:cs="Century Gothic"/>
                <w:color w:val="000000"/>
                <w:sz w:val="18"/>
                <w:szCs w:val="18"/>
              </w:rPr>
              <w:t>2 (2.2%)</w:t>
            </w:r>
          </w:p>
        </w:tc>
      </w:tr>
      <w:tr w:rsidR="001C19F3" w14:paraId="1D4BFA3D"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658C23" w14:textId="77777777" w:rsidR="001C19F3" w:rsidRDefault="001C19F3" w:rsidP="00521305">
            <w:pPr>
              <w:spacing w:after="0"/>
              <w:ind w:left="100" w:right="100"/>
            </w:pPr>
            <w:r>
              <w:rPr>
                <w:rFonts w:eastAsia="Century Gothic" w:cs="Century Gothic"/>
                <w:color w:val="000000"/>
                <w:sz w:val="18"/>
                <w:szCs w:val="18"/>
              </w:rPr>
              <w:t>Implemented electronic shared care / went online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BDCF51" w14:textId="77777777" w:rsidR="001C19F3" w:rsidRDefault="001C19F3" w:rsidP="00521305">
            <w:pPr>
              <w:spacing w:after="0"/>
              <w:ind w:left="100" w:right="100"/>
              <w:jc w:val="right"/>
            </w:pPr>
            <w:r>
              <w:rPr>
                <w:rFonts w:eastAsia="Century Gothic" w:cs="Century Gothic"/>
                <w:color w:val="000000"/>
                <w:sz w:val="18"/>
                <w:szCs w:val="18"/>
              </w:rPr>
              <w:t>6 (6.5%)</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EC71D89"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C4D2B5" w14:textId="77777777" w:rsidR="001C19F3" w:rsidRDefault="001C19F3" w:rsidP="00521305">
            <w:pPr>
              <w:spacing w:after="0"/>
              <w:ind w:left="100" w:right="100"/>
            </w:pPr>
            <w:r>
              <w:rPr>
                <w:rFonts w:eastAsia="Century Gothic" w:cs="Century Gothic"/>
                <w:color w:val="000000"/>
                <w:sz w:val="18"/>
                <w:szCs w:val="18"/>
              </w:rPr>
              <w:t>More regular reviews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D43D99"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2F4F9707"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CBBFF8" w14:textId="77777777" w:rsidR="001C19F3" w:rsidRDefault="001C19F3" w:rsidP="00521305">
            <w:pPr>
              <w:spacing w:after="0"/>
              <w:ind w:left="100" w:right="100"/>
            </w:pPr>
            <w:r>
              <w:rPr>
                <w:rFonts w:eastAsia="Century Gothic" w:cs="Century Gothic"/>
                <w:color w:val="000000"/>
                <w:sz w:val="18"/>
                <w:szCs w:val="18"/>
              </w:rPr>
              <w:t>Shared care planning can be more easily forwarded to specialist and AH workers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03D59" w14:textId="77777777" w:rsidR="001C19F3" w:rsidRDefault="001C19F3" w:rsidP="00521305">
            <w:pPr>
              <w:spacing w:after="0"/>
              <w:ind w:left="100" w:right="100"/>
              <w:jc w:val="right"/>
            </w:pPr>
            <w:r>
              <w:rPr>
                <w:rFonts w:eastAsia="Century Gothic" w:cs="Century Gothic"/>
                <w:color w:val="000000"/>
                <w:sz w:val="18"/>
                <w:szCs w:val="18"/>
              </w:rPr>
              <w:t>3 (3.3%)</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58E5846"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DD4035" w14:textId="77777777" w:rsidR="001C19F3" w:rsidRDefault="001C19F3" w:rsidP="00521305">
            <w:pPr>
              <w:spacing w:after="0"/>
              <w:ind w:left="100" w:right="100"/>
            </w:pPr>
            <w:r>
              <w:rPr>
                <w:rFonts w:eastAsia="Century Gothic" w:cs="Century Gothic"/>
                <w:color w:val="000000"/>
                <w:sz w:val="18"/>
                <w:szCs w:val="18"/>
              </w:rPr>
              <w:t>Use of a patient centred measure to add more patient goals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515BC"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5D286987"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61B732" w14:textId="77777777" w:rsidR="001C19F3" w:rsidRDefault="001C19F3" w:rsidP="00521305">
            <w:pPr>
              <w:spacing w:after="0"/>
              <w:ind w:left="100" w:right="100"/>
            </w:pPr>
            <w:r>
              <w:rPr>
                <w:rFonts w:eastAsia="Century Gothic" w:cs="Century Gothic"/>
                <w:color w:val="000000"/>
                <w:sz w:val="18"/>
                <w:szCs w:val="18"/>
              </w:rPr>
              <w:t>Patient had more input</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BDAFDD" w14:textId="77777777" w:rsidR="001C19F3" w:rsidRDefault="001C19F3" w:rsidP="00521305">
            <w:pPr>
              <w:spacing w:after="0"/>
              <w:ind w:left="100" w:right="100"/>
              <w:jc w:val="right"/>
            </w:pPr>
            <w:r>
              <w:rPr>
                <w:rFonts w:eastAsia="Century Gothic" w:cs="Century Gothic"/>
                <w:color w:val="000000"/>
                <w:sz w:val="18"/>
                <w:szCs w:val="18"/>
              </w:rPr>
              <w:t>2 (2.2%)</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1E107BB1"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65F6EF" w14:textId="77777777" w:rsidR="001C19F3" w:rsidRDefault="001C19F3" w:rsidP="00521305">
            <w:pPr>
              <w:spacing w:after="0"/>
              <w:ind w:left="100" w:right="100"/>
            </w:pP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BF3385" w14:textId="77777777" w:rsidR="001C19F3" w:rsidRDefault="001C19F3" w:rsidP="00521305">
            <w:pPr>
              <w:spacing w:after="0"/>
              <w:ind w:left="100" w:right="100"/>
              <w:jc w:val="right"/>
            </w:pPr>
          </w:p>
        </w:tc>
      </w:tr>
    </w:tbl>
    <w:p w14:paraId="726555AD" w14:textId="77777777" w:rsidR="001C19F3" w:rsidRDefault="001C19F3" w:rsidP="001C19F3">
      <w:pPr>
        <w:pStyle w:val="Chartortablefootnote"/>
        <w:rPr>
          <w:rFonts w:cstheme="minorBidi"/>
          <w:szCs w:val="20"/>
        </w:rPr>
      </w:pPr>
      <w:r>
        <w:t>Source: Practice survey R2, Nov 2018-Mar 2019, question 15.</w:t>
      </w:r>
    </w:p>
    <w:p w14:paraId="3494D4CB" w14:textId="77777777" w:rsidR="001C19F3" w:rsidRDefault="001C19F3" w:rsidP="001C19F3">
      <w:pPr>
        <w:pStyle w:val="Caption1"/>
      </w:pPr>
      <w:bookmarkStart w:id="563" w:name="_Ref22640148"/>
      <w:r>
        <w:t xml:space="preserve">Table </w:t>
      </w:r>
      <w:r>
        <w:fldChar w:fldCharType="begin"/>
      </w:r>
      <w:r>
        <w:instrText>SEQ Table \* ARABIC</w:instrText>
      </w:r>
      <w:r>
        <w:fldChar w:fldCharType="separate"/>
      </w:r>
      <w:r>
        <w:rPr>
          <w:noProof/>
        </w:rPr>
        <w:t>44</w:t>
      </w:r>
      <w:r>
        <w:fldChar w:fldCharType="end"/>
      </w:r>
      <w:r>
        <w:t xml:space="preserve"> – Main ways that the practice shares care plans with HCH patients and their carers or family (multiple may apply)</w:t>
      </w:r>
      <w:bookmarkEnd w:id="563"/>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2C388853"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B44ED4"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C41081D"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5E105FF"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AFC9B9"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6DA9FFE" w14:textId="77777777" w:rsidR="001C19F3" w:rsidRDefault="001C19F3" w:rsidP="00521305">
            <w:pPr>
              <w:spacing w:after="0"/>
              <w:jc w:val="center"/>
            </w:pPr>
            <w:r>
              <w:rPr>
                <w:rFonts w:eastAsia="Century Gothic" w:cs="Century Gothic"/>
                <w:b/>
                <w:color w:val="FFFFFF"/>
                <w:sz w:val="18"/>
                <w:szCs w:val="18"/>
              </w:rPr>
              <w:t>Location</w:t>
            </w:r>
          </w:p>
        </w:tc>
      </w:tr>
      <w:tr w:rsidR="001C19F3" w14:paraId="5CE778C3"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0FD2A2B6"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1EB8C955"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10719C"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E33C33"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78931CB"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547F43E"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471AA8B"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7A85CEF"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101E668"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0F11CB8" w14:textId="77777777" w:rsidR="001C19F3" w:rsidRDefault="001C19F3" w:rsidP="00521305">
            <w:pPr>
              <w:spacing w:after="0"/>
              <w:jc w:val="center"/>
            </w:pPr>
            <w:r>
              <w:rPr>
                <w:rFonts w:eastAsia="Century Gothic" w:cs="Century Gothic"/>
                <w:b/>
                <w:color w:val="FFFFFF"/>
                <w:sz w:val="18"/>
                <w:szCs w:val="18"/>
              </w:rPr>
              <w:t>MMM 4+</w:t>
            </w:r>
          </w:p>
        </w:tc>
      </w:tr>
      <w:tr w:rsidR="001C19F3" w14:paraId="7EB8208F"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10BA57" w14:textId="77777777" w:rsidR="001C19F3" w:rsidRDefault="001C19F3" w:rsidP="00521305">
            <w:pPr>
              <w:spacing w:after="0"/>
              <w:ind w:left="100" w:right="100"/>
            </w:pPr>
            <w:r>
              <w:rPr>
                <w:rFonts w:eastAsia="Century Gothic" w:cs="Century Gothic"/>
                <w:color w:val="000000"/>
                <w:sz w:val="18"/>
                <w:szCs w:val="18"/>
              </w:rPr>
              <w:t>We give a printed version of the care plan to the patient and/or their carer/ family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C96BDB" w14:textId="77777777" w:rsidR="001C19F3" w:rsidRDefault="001C19F3" w:rsidP="00521305">
            <w:pPr>
              <w:spacing w:after="0"/>
              <w:ind w:left="100" w:right="100"/>
              <w:jc w:val="right"/>
            </w:pPr>
            <w:r>
              <w:rPr>
                <w:rFonts w:eastAsia="Century Gothic" w:cs="Century Gothic"/>
                <w:color w:val="000000"/>
                <w:sz w:val="18"/>
                <w:szCs w:val="18"/>
              </w:rPr>
              <w:t>58 (63.0%)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3B78A4" w14:textId="77777777" w:rsidR="001C19F3" w:rsidRDefault="001C19F3" w:rsidP="00521305">
            <w:pPr>
              <w:spacing w:after="0"/>
              <w:ind w:left="100" w:right="100"/>
              <w:jc w:val="right"/>
            </w:pPr>
            <w:r>
              <w:rPr>
                <w:rFonts w:eastAsia="Century Gothic" w:cs="Century Gothic"/>
                <w:color w:val="000000"/>
                <w:sz w:val="18"/>
                <w:szCs w:val="18"/>
              </w:rPr>
              <w:t>25 (64.1%)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8FFB60" w14:textId="77777777" w:rsidR="001C19F3" w:rsidRDefault="001C19F3" w:rsidP="00521305">
            <w:pPr>
              <w:spacing w:after="0"/>
              <w:ind w:left="100" w:right="100"/>
              <w:jc w:val="right"/>
            </w:pPr>
            <w:r>
              <w:rPr>
                <w:rFonts w:eastAsia="Century Gothic" w:cs="Century Gothic"/>
                <w:color w:val="000000"/>
                <w:sz w:val="18"/>
                <w:szCs w:val="18"/>
              </w:rPr>
              <w:t>33 (67.3%)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AB7CE0" w14:textId="77777777" w:rsidR="001C19F3" w:rsidRDefault="001C19F3" w:rsidP="00521305">
            <w:pPr>
              <w:spacing w:after="0"/>
              <w:ind w:left="100" w:right="100"/>
              <w:jc w:val="right"/>
            </w:pPr>
            <w:r>
              <w:rPr>
                <w:rFonts w:eastAsia="Century Gothic" w:cs="Century Gothic"/>
                <w:color w:val="000000"/>
                <w:sz w:val="18"/>
                <w:szCs w:val="18"/>
              </w:rPr>
              <w:t>9 (69.2%)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E25F89" w14:textId="77777777" w:rsidR="001C19F3" w:rsidRDefault="001C19F3" w:rsidP="00521305">
            <w:pPr>
              <w:spacing w:after="0"/>
              <w:ind w:left="100" w:right="100"/>
              <w:jc w:val="right"/>
            </w:pPr>
            <w:r>
              <w:rPr>
                <w:rFonts w:eastAsia="Century Gothic" w:cs="Century Gothic"/>
                <w:color w:val="000000"/>
                <w:sz w:val="18"/>
                <w:szCs w:val="18"/>
              </w:rPr>
              <w:t>4 (66.7%)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77F384" w14:textId="77777777" w:rsidR="001C19F3" w:rsidRDefault="001C19F3" w:rsidP="00521305">
            <w:pPr>
              <w:spacing w:after="0"/>
              <w:ind w:left="100" w:right="100"/>
              <w:jc w:val="right"/>
            </w:pPr>
            <w:r>
              <w:rPr>
                <w:rFonts w:eastAsia="Century Gothic" w:cs="Century Gothic"/>
                <w:color w:val="000000"/>
                <w:sz w:val="18"/>
                <w:szCs w:val="18"/>
              </w:rPr>
              <w:t>45 (65.2%)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C60C9B" w14:textId="77777777" w:rsidR="001C19F3" w:rsidRDefault="001C19F3" w:rsidP="00521305">
            <w:pPr>
              <w:spacing w:after="0"/>
              <w:ind w:left="100" w:right="100"/>
              <w:jc w:val="right"/>
            </w:pPr>
            <w:r>
              <w:rPr>
                <w:rFonts w:eastAsia="Century Gothic" w:cs="Century Gothic"/>
                <w:color w:val="000000"/>
                <w:sz w:val="18"/>
                <w:szCs w:val="18"/>
              </w:rPr>
              <w:t>47 (66.2%)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DE8799" w14:textId="77777777" w:rsidR="001C19F3" w:rsidRDefault="001C19F3" w:rsidP="00521305">
            <w:pPr>
              <w:spacing w:after="0"/>
              <w:ind w:left="100" w:right="100"/>
              <w:jc w:val="right"/>
            </w:pPr>
            <w:r>
              <w:rPr>
                <w:rFonts w:eastAsia="Century Gothic" w:cs="Century Gothic"/>
                <w:color w:val="000000"/>
                <w:sz w:val="18"/>
                <w:szCs w:val="18"/>
              </w:rPr>
              <w:t>6 (75.0%)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04EAFF" w14:textId="77777777" w:rsidR="001C19F3" w:rsidRDefault="001C19F3" w:rsidP="00521305">
            <w:pPr>
              <w:spacing w:after="0"/>
              <w:ind w:left="100" w:right="100"/>
              <w:jc w:val="right"/>
            </w:pPr>
            <w:r>
              <w:rPr>
                <w:rFonts w:eastAsia="Century Gothic" w:cs="Century Gothic"/>
                <w:color w:val="000000"/>
                <w:sz w:val="18"/>
                <w:szCs w:val="18"/>
              </w:rPr>
              <w:t>5 (55.6%)</w:t>
            </w:r>
          </w:p>
        </w:tc>
      </w:tr>
      <w:tr w:rsidR="001C19F3" w14:paraId="7615A3AF"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60BAD" w14:textId="77777777" w:rsidR="001C19F3" w:rsidRDefault="001C19F3" w:rsidP="00521305">
            <w:pPr>
              <w:spacing w:after="0"/>
              <w:ind w:left="100" w:right="100"/>
            </w:pPr>
            <w:r>
              <w:rPr>
                <w:rFonts w:eastAsia="Century Gothic" w:cs="Century Gothic"/>
                <w:color w:val="000000"/>
                <w:sz w:val="18"/>
                <w:szCs w:val="18"/>
              </w:rPr>
              <w:t>We email an electronic version of the care plan to the patient and/or their carer/ family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BAE441" w14:textId="77777777" w:rsidR="001C19F3" w:rsidRDefault="001C19F3" w:rsidP="00521305">
            <w:pPr>
              <w:spacing w:after="0"/>
              <w:ind w:left="100" w:right="100"/>
              <w:jc w:val="right"/>
            </w:pPr>
            <w:r>
              <w:rPr>
                <w:rFonts w:eastAsia="Century Gothic" w:cs="Century Gothic"/>
                <w:color w:val="000000"/>
                <w:sz w:val="18"/>
                <w:szCs w:val="18"/>
              </w:rPr>
              <w:t>7 (7.6%)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D38DEA" w14:textId="77777777" w:rsidR="001C19F3" w:rsidRDefault="001C19F3" w:rsidP="00521305">
            <w:pPr>
              <w:spacing w:after="0"/>
              <w:ind w:left="100" w:right="100"/>
              <w:jc w:val="right"/>
            </w:pPr>
            <w:r>
              <w:rPr>
                <w:rFonts w:eastAsia="Century Gothic" w:cs="Century Gothic"/>
                <w:color w:val="000000"/>
                <w:sz w:val="18"/>
                <w:szCs w:val="18"/>
              </w:rPr>
              <w:t>2 (5.1%)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F85752" w14:textId="77777777" w:rsidR="001C19F3" w:rsidRDefault="001C19F3" w:rsidP="00521305">
            <w:pPr>
              <w:spacing w:after="0"/>
              <w:ind w:left="100" w:right="100"/>
              <w:jc w:val="right"/>
            </w:pPr>
            <w:r>
              <w:rPr>
                <w:rFonts w:eastAsia="Century Gothic" w:cs="Century Gothic"/>
                <w:color w:val="000000"/>
                <w:sz w:val="18"/>
                <w:szCs w:val="18"/>
              </w:rPr>
              <w:t>5 (10.2%)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3AD4D0"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02D1E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3A85EB" w14:textId="77777777" w:rsidR="001C19F3" w:rsidRDefault="001C19F3" w:rsidP="00521305">
            <w:pPr>
              <w:spacing w:after="0"/>
              <w:ind w:left="100" w:right="100"/>
              <w:jc w:val="right"/>
            </w:pPr>
            <w:r>
              <w:rPr>
                <w:rFonts w:eastAsia="Century Gothic" w:cs="Century Gothic"/>
                <w:color w:val="000000"/>
                <w:sz w:val="18"/>
                <w:szCs w:val="18"/>
              </w:rPr>
              <w:t>6 (8.7%)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3078C3" w14:textId="77777777" w:rsidR="001C19F3" w:rsidRDefault="001C19F3" w:rsidP="00521305">
            <w:pPr>
              <w:spacing w:after="0"/>
              <w:ind w:left="100" w:right="100"/>
              <w:jc w:val="right"/>
            </w:pPr>
            <w:r>
              <w:rPr>
                <w:rFonts w:eastAsia="Century Gothic" w:cs="Century Gothic"/>
                <w:color w:val="000000"/>
                <w:sz w:val="18"/>
                <w:szCs w:val="18"/>
              </w:rPr>
              <w:t>7 (9.9%)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95BC5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68085D" w14:textId="77777777" w:rsidR="001C19F3" w:rsidRDefault="001C19F3" w:rsidP="00521305">
            <w:pPr>
              <w:spacing w:after="0"/>
              <w:ind w:left="100" w:right="100"/>
              <w:jc w:val="right"/>
            </w:pPr>
          </w:p>
        </w:tc>
      </w:tr>
      <w:tr w:rsidR="001C19F3" w14:paraId="19F6CA77"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3570DA" w14:textId="77777777" w:rsidR="001C19F3" w:rsidRDefault="001C19F3" w:rsidP="00521305">
            <w:pPr>
              <w:spacing w:after="0"/>
              <w:ind w:left="100" w:right="100"/>
            </w:pPr>
            <w:r>
              <w:rPr>
                <w:rFonts w:eastAsia="Century Gothic" w:cs="Century Gothic"/>
                <w:color w:val="000000"/>
                <w:sz w:val="18"/>
                <w:szCs w:val="18"/>
              </w:rPr>
              <w:lastRenderedPageBreak/>
              <w:t>We give the patient and/ or their carer/ family access to the care plan via a patient portal or through shared care planning software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3733D7" w14:textId="77777777" w:rsidR="001C19F3" w:rsidRDefault="001C19F3" w:rsidP="00521305">
            <w:pPr>
              <w:spacing w:after="0"/>
              <w:ind w:left="100" w:right="100"/>
              <w:jc w:val="right"/>
            </w:pPr>
            <w:r>
              <w:rPr>
                <w:rFonts w:eastAsia="Century Gothic" w:cs="Century Gothic"/>
                <w:color w:val="000000"/>
                <w:sz w:val="18"/>
                <w:szCs w:val="18"/>
              </w:rPr>
              <w:t>23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CC6E03" w14:textId="77777777" w:rsidR="001C19F3" w:rsidRDefault="001C19F3" w:rsidP="00521305">
            <w:pPr>
              <w:spacing w:after="0"/>
              <w:ind w:left="100" w:right="100"/>
              <w:jc w:val="right"/>
            </w:pPr>
            <w:r>
              <w:rPr>
                <w:rFonts w:eastAsia="Century Gothic" w:cs="Century Gothic"/>
                <w:color w:val="000000"/>
                <w:sz w:val="18"/>
                <w:szCs w:val="18"/>
              </w:rPr>
              <w:t>9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537B0" w14:textId="77777777" w:rsidR="001C19F3" w:rsidRDefault="001C19F3" w:rsidP="00521305">
            <w:pPr>
              <w:spacing w:after="0"/>
              <w:ind w:left="100" w:right="100"/>
              <w:jc w:val="right"/>
            </w:pPr>
            <w:r>
              <w:rPr>
                <w:rFonts w:eastAsia="Century Gothic" w:cs="Century Gothic"/>
                <w:color w:val="000000"/>
                <w:sz w:val="18"/>
                <w:szCs w:val="18"/>
              </w:rPr>
              <w:t>14 (28.6%)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564988" w14:textId="77777777" w:rsidR="001C19F3" w:rsidRDefault="001C19F3" w:rsidP="00521305">
            <w:pPr>
              <w:spacing w:after="0"/>
              <w:ind w:left="100" w:right="100"/>
              <w:jc w:val="right"/>
            </w:pPr>
            <w:r>
              <w:rPr>
                <w:rFonts w:eastAsia="Century Gothic" w:cs="Century Gothic"/>
                <w:color w:val="000000"/>
                <w:sz w:val="18"/>
                <w:szCs w:val="18"/>
              </w:rPr>
              <w:t>4 (30.8%)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4FC42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247BD6" w14:textId="77777777" w:rsidR="001C19F3" w:rsidRDefault="001C19F3" w:rsidP="00521305">
            <w:pPr>
              <w:spacing w:after="0"/>
              <w:ind w:left="100" w:right="100"/>
              <w:jc w:val="right"/>
            </w:pPr>
            <w:r>
              <w:rPr>
                <w:rFonts w:eastAsia="Century Gothic" w:cs="Century Gothic"/>
                <w:color w:val="000000"/>
                <w:sz w:val="18"/>
                <w:szCs w:val="18"/>
              </w:rPr>
              <w:t>19 (27.5%)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AF83A7" w14:textId="77777777" w:rsidR="001C19F3" w:rsidRDefault="001C19F3" w:rsidP="00521305">
            <w:pPr>
              <w:spacing w:after="0"/>
              <w:ind w:left="100" w:right="100"/>
              <w:jc w:val="right"/>
            </w:pPr>
            <w:r>
              <w:rPr>
                <w:rFonts w:eastAsia="Century Gothic" w:cs="Century Gothic"/>
                <w:color w:val="000000"/>
                <w:sz w:val="18"/>
                <w:szCs w:val="18"/>
              </w:rPr>
              <w:t>19 (26.8%)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5A7F60" w14:textId="77777777" w:rsidR="001C19F3" w:rsidRDefault="001C19F3" w:rsidP="00521305">
            <w:pPr>
              <w:spacing w:after="0"/>
              <w:ind w:left="100" w:right="100"/>
              <w:jc w:val="right"/>
            </w:pPr>
            <w:r>
              <w:rPr>
                <w:rFonts w:eastAsia="Century Gothic" w:cs="Century Gothic"/>
                <w:color w:val="000000"/>
                <w:sz w:val="18"/>
                <w:szCs w:val="18"/>
              </w:rPr>
              <w:t>2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D55A52" w14:textId="77777777" w:rsidR="001C19F3" w:rsidRDefault="001C19F3" w:rsidP="00521305">
            <w:pPr>
              <w:spacing w:after="0"/>
              <w:ind w:left="100" w:right="100"/>
              <w:jc w:val="right"/>
            </w:pPr>
            <w:r>
              <w:rPr>
                <w:rFonts w:eastAsia="Century Gothic" w:cs="Century Gothic"/>
                <w:color w:val="000000"/>
                <w:sz w:val="18"/>
                <w:szCs w:val="18"/>
              </w:rPr>
              <w:t>2 (22.2%)</w:t>
            </w:r>
          </w:p>
        </w:tc>
      </w:tr>
      <w:tr w:rsidR="001C19F3" w14:paraId="47A50259"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2066E" w14:textId="77777777" w:rsidR="001C19F3" w:rsidRDefault="001C19F3" w:rsidP="00521305">
            <w:pPr>
              <w:spacing w:after="0"/>
              <w:ind w:left="100" w:right="100"/>
            </w:pPr>
            <w:r>
              <w:rPr>
                <w:rFonts w:eastAsia="Century Gothic" w:cs="Century Gothic"/>
                <w:color w:val="000000"/>
                <w:sz w:val="18"/>
                <w:szCs w:val="18"/>
              </w:rPr>
              <w:t>We load the patient's care plan into their My Health Record</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7D8393" w14:textId="77777777" w:rsidR="001C19F3" w:rsidRDefault="001C19F3" w:rsidP="00521305">
            <w:pPr>
              <w:spacing w:after="0"/>
              <w:ind w:left="100" w:right="100"/>
              <w:jc w:val="right"/>
            </w:pPr>
            <w:r>
              <w:rPr>
                <w:rFonts w:eastAsia="Century Gothic" w:cs="Century Gothic"/>
                <w:color w:val="000000"/>
                <w:sz w:val="18"/>
                <w:szCs w:val="18"/>
              </w:rPr>
              <w:t>23 (25.0%)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2D8188" w14:textId="77777777" w:rsidR="001C19F3" w:rsidRDefault="001C19F3" w:rsidP="00521305">
            <w:pPr>
              <w:spacing w:after="0"/>
              <w:ind w:left="100" w:right="100"/>
              <w:jc w:val="right"/>
            </w:pPr>
            <w:r>
              <w:rPr>
                <w:rFonts w:eastAsia="Century Gothic" w:cs="Century Gothic"/>
                <w:color w:val="000000"/>
                <w:sz w:val="18"/>
                <w:szCs w:val="18"/>
              </w:rPr>
              <w:t>9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CF2428" w14:textId="77777777" w:rsidR="001C19F3" w:rsidRDefault="001C19F3" w:rsidP="00521305">
            <w:pPr>
              <w:spacing w:after="0"/>
              <w:ind w:left="100" w:right="100"/>
              <w:jc w:val="right"/>
            </w:pPr>
            <w:r>
              <w:rPr>
                <w:rFonts w:eastAsia="Century Gothic" w:cs="Century Gothic"/>
                <w:color w:val="000000"/>
                <w:sz w:val="18"/>
                <w:szCs w:val="18"/>
              </w:rPr>
              <w:t>14 (28.6%)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B0600" w14:textId="77777777" w:rsidR="001C19F3" w:rsidRDefault="001C19F3" w:rsidP="00521305">
            <w:pPr>
              <w:spacing w:after="0"/>
              <w:ind w:left="100" w:right="100"/>
              <w:jc w:val="right"/>
            </w:pPr>
            <w:r>
              <w:rPr>
                <w:rFonts w:eastAsia="Century Gothic" w:cs="Century Gothic"/>
                <w:color w:val="000000"/>
                <w:sz w:val="18"/>
                <w:szCs w:val="18"/>
              </w:rPr>
              <w:t>3 (23.1%)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11DDF4" w14:textId="77777777" w:rsidR="001C19F3" w:rsidRDefault="001C19F3" w:rsidP="00521305">
            <w:pPr>
              <w:spacing w:after="0"/>
              <w:ind w:left="100" w:right="100"/>
              <w:jc w:val="right"/>
            </w:pPr>
            <w:r>
              <w:rPr>
                <w:rFonts w:eastAsia="Century Gothic" w:cs="Century Gothic"/>
                <w:color w:val="000000"/>
                <w:sz w:val="18"/>
                <w:szCs w:val="18"/>
              </w:rPr>
              <w:t>3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7CBD13" w14:textId="77777777" w:rsidR="001C19F3" w:rsidRDefault="001C19F3" w:rsidP="00521305">
            <w:pPr>
              <w:spacing w:after="0"/>
              <w:ind w:left="100" w:right="100"/>
              <w:jc w:val="right"/>
            </w:pPr>
            <w:r>
              <w:rPr>
                <w:rFonts w:eastAsia="Century Gothic" w:cs="Century Gothic"/>
                <w:color w:val="000000"/>
                <w:sz w:val="18"/>
                <w:szCs w:val="18"/>
              </w:rPr>
              <w:t>17 (24.6%)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6E36CE" w14:textId="77777777" w:rsidR="001C19F3" w:rsidRDefault="001C19F3" w:rsidP="00521305">
            <w:pPr>
              <w:spacing w:after="0"/>
              <w:ind w:left="100" w:right="100"/>
              <w:jc w:val="right"/>
            </w:pPr>
            <w:r>
              <w:rPr>
                <w:rFonts w:eastAsia="Century Gothic" w:cs="Century Gothic"/>
                <w:color w:val="000000"/>
                <w:sz w:val="18"/>
                <w:szCs w:val="18"/>
              </w:rPr>
              <w:t>18 (25.4%)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393974" w14:textId="77777777" w:rsidR="001C19F3" w:rsidRDefault="001C19F3" w:rsidP="00521305">
            <w:pPr>
              <w:spacing w:after="0"/>
              <w:ind w:left="100" w:right="100"/>
              <w:jc w:val="right"/>
            </w:pPr>
            <w:r>
              <w:rPr>
                <w:rFonts w:eastAsia="Century Gothic" w:cs="Century Gothic"/>
                <w:color w:val="000000"/>
                <w:sz w:val="18"/>
                <w:szCs w:val="18"/>
              </w:rPr>
              <w:t>3 (37.5%)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5DEEF4" w14:textId="77777777" w:rsidR="001C19F3" w:rsidRDefault="001C19F3" w:rsidP="00521305">
            <w:pPr>
              <w:spacing w:after="0"/>
              <w:ind w:left="100" w:right="100"/>
              <w:jc w:val="right"/>
            </w:pPr>
            <w:r>
              <w:rPr>
                <w:rFonts w:eastAsia="Century Gothic" w:cs="Century Gothic"/>
                <w:color w:val="000000"/>
                <w:sz w:val="18"/>
                <w:szCs w:val="18"/>
              </w:rPr>
              <w:t>2 (22.2%)</w:t>
            </w:r>
          </w:p>
        </w:tc>
      </w:tr>
      <w:tr w:rsidR="001C19F3" w14:paraId="7780296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57E5FA" w14:textId="77777777" w:rsidR="001C19F3" w:rsidRDefault="001C19F3" w:rsidP="00521305">
            <w:pPr>
              <w:spacing w:after="0"/>
              <w:ind w:left="100" w:right="100"/>
            </w:pPr>
            <w:r>
              <w:rPr>
                <w:rFonts w:eastAsia="Century Gothic" w:cs="Century Gothic"/>
                <w:color w:val="000000"/>
                <w:sz w:val="18"/>
                <w:szCs w:val="18"/>
              </w:rPr>
              <w:t>Other: Link it to the EHR/ allow patient to access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1E72E5" w14:textId="77777777" w:rsidR="001C19F3" w:rsidRDefault="001C19F3" w:rsidP="00521305">
            <w:pPr>
              <w:spacing w:after="0"/>
              <w:ind w:left="100" w:right="100"/>
              <w:jc w:val="right"/>
            </w:pPr>
            <w:r>
              <w:rPr>
                <w:rFonts w:eastAsia="Century Gothic" w:cs="Century Gothic"/>
                <w:color w:val="000000"/>
                <w:sz w:val="18"/>
                <w:szCs w:val="18"/>
              </w:rPr>
              <w:t>4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2ABB8C"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69A31C" w14:textId="77777777" w:rsidR="001C19F3" w:rsidRDefault="001C19F3" w:rsidP="00521305">
            <w:pPr>
              <w:spacing w:after="0"/>
              <w:ind w:left="100" w:right="100"/>
              <w:jc w:val="right"/>
            </w:pPr>
            <w:r>
              <w:rPr>
                <w:rFonts w:eastAsia="Century Gothic" w:cs="Century Gothic"/>
                <w:color w:val="000000"/>
                <w:sz w:val="18"/>
                <w:szCs w:val="18"/>
              </w:rPr>
              <w:t>3 (6.1%)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A313F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416CF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FEAC48" w14:textId="77777777" w:rsidR="001C19F3" w:rsidRDefault="001C19F3" w:rsidP="00521305">
            <w:pPr>
              <w:spacing w:after="0"/>
              <w:ind w:left="100" w:right="100"/>
              <w:jc w:val="right"/>
            </w:pPr>
            <w:r>
              <w:rPr>
                <w:rFonts w:eastAsia="Century Gothic" w:cs="Century Gothic"/>
                <w:color w:val="000000"/>
                <w:sz w:val="18"/>
                <w:szCs w:val="18"/>
              </w:rPr>
              <w:t>4 (5.8%)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240A7D" w14:textId="77777777" w:rsidR="001C19F3" w:rsidRDefault="001C19F3" w:rsidP="00521305">
            <w:pPr>
              <w:spacing w:after="0"/>
              <w:ind w:left="100" w:right="100"/>
              <w:jc w:val="right"/>
            </w:pPr>
            <w:r>
              <w:rPr>
                <w:rFonts w:eastAsia="Century Gothic" w:cs="Century Gothic"/>
                <w:color w:val="000000"/>
                <w:sz w:val="18"/>
                <w:szCs w:val="18"/>
              </w:rPr>
              <w:t>4 (5.6%)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B3506E"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213878" w14:textId="77777777" w:rsidR="001C19F3" w:rsidRDefault="001C19F3" w:rsidP="00521305">
            <w:pPr>
              <w:spacing w:after="0"/>
              <w:ind w:left="100" w:right="100"/>
              <w:jc w:val="right"/>
            </w:pPr>
          </w:p>
        </w:tc>
      </w:tr>
      <w:tr w:rsidR="001C19F3" w14:paraId="069BE1A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093FC" w14:textId="77777777" w:rsidR="001C19F3" w:rsidRDefault="001C19F3" w:rsidP="00521305">
            <w:pPr>
              <w:spacing w:after="0"/>
              <w:ind w:left="100" w:right="100"/>
            </w:pPr>
            <w:r>
              <w:rPr>
                <w:rFonts w:eastAsia="Century Gothic" w:cs="Century Gothic"/>
                <w:color w:val="000000"/>
                <w:sz w:val="18"/>
                <w:szCs w:val="18"/>
              </w:rPr>
              <w:t>Other: Patient can have hard copy if they request it</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F9D5EF"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90EBD2" w14:textId="77777777" w:rsidR="001C19F3" w:rsidRDefault="001C19F3" w:rsidP="00521305">
            <w:pPr>
              <w:spacing w:after="0"/>
              <w:ind w:left="100" w:right="100"/>
              <w:jc w:val="right"/>
            </w:pPr>
            <w:r>
              <w:rPr>
                <w:rFonts w:eastAsia="Century Gothic" w:cs="Century Gothic"/>
                <w:color w:val="000000"/>
                <w:sz w:val="18"/>
                <w:szCs w:val="18"/>
              </w:rPr>
              <w:t>2 (5.1%)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B3A16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436BD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8C1FBF" w14:textId="77777777" w:rsidR="001C19F3" w:rsidRDefault="001C19F3" w:rsidP="00521305">
            <w:pPr>
              <w:spacing w:after="0"/>
              <w:ind w:left="100" w:right="100"/>
              <w:jc w:val="right"/>
            </w:pPr>
            <w:r>
              <w:rPr>
                <w:rFonts w:eastAsia="Century Gothic" w:cs="Century Gothic"/>
                <w:color w:val="000000"/>
                <w:sz w:val="18"/>
                <w:szCs w:val="18"/>
              </w:rPr>
              <w:t>1 (16.7%)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AAAEBD"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FE6605"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9CB41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5D43D" w14:textId="77777777" w:rsidR="001C19F3" w:rsidRDefault="001C19F3" w:rsidP="00521305">
            <w:pPr>
              <w:spacing w:after="0"/>
              <w:ind w:left="100" w:right="100"/>
              <w:jc w:val="right"/>
            </w:pPr>
            <w:r>
              <w:rPr>
                <w:rFonts w:eastAsia="Century Gothic" w:cs="Century Gothic"/>
                <w:color w:val="000000"/>
                <w:sz w:val="18"/>
                <w:szCs w:val="18"/>
              </w:rPr>
              <w:t>1 (11.1%)</w:t>
            </w:r>
          </w:p>
        </w:tc>
      </w:tr>
      <w:tr w:rsidR="001C19F3" w14:paraId="713CA471"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2BC38B" w14:textId="77777777" w:rsidR="001C19F3" w:rsidRDefault="001C19F3" w:rsidP="00521305">
            <w:pPr>
              <w:spacing w:after="0"/>
              <w:ind w:left="100" w:right="100"/>
            </w:pPr>
            <w:r>
              <w:rPr>
                <w:rFonts w:eastAsia="Century Gothic" w:cs="Century Gothic"/>
                <w:color w:val="000000"/>
                <w:sz w:val="18"/>
                <w:szCs w:val="18"/>
              </w:rPr>
              <w:t>Other: Verbally</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F96E1C" w14:textId="77777777" w:rsidR="001C19F3" w:rsidRDefault="001C19F3" w:rsidP="00521305">
            <w:pPr>
              <w:spacing w:after="0"/>
              <w:ind w:left="100" w:right="100"/>
              <w:jc w:val="right"/>
            </w:pPr>
            <w:r>
              <w:rPr>
                <w:rFonts w:eastAsia="Century Gothic" w:cs="Century Gothic"/>
                <w:color w:val="000000"/>
                <w:sz w:val="18"/>
                <w:szCs w:val="18"/>
              </w:rPr>
              <w:t>2 (2.2%)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01EE01" w14:textId="77777777" w:rsidR="001C19F3" w:rsidRDefault="001C19F3" w:rsidP="00521305">
            <w:pPr>
              <w:spacing w:after="0"/>
              <w:ind w:left="100" w:right="100"/>
              <w:jc w:val="right"/>
            </w:pPr>
            <w:r>
              <w:rPr>
                <w:rFonts w:eastAsia="Century Gothic" w:cs="Century Gothic"/>
                <w:color w:val="000000"/>
                <w:sz w:val="18"/>
                <w:szCs w:val="18"/>
              </w:rPr>
              <w:t>1 (2.6%)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14814A" w14:textId="77777777" w:rsidR="001C19F3" w:rsidRDefault="001C19F3" w:rsidP="00521305">
            <w:pPr>
              <w:spacing w:after="0"/>
              <w:ind w:left="100" w:right="100"/>
              <w:jc w:val="right"/>
            </w:pPr>
            <w:r>
              <w:rPr>
                <w:rFonts w:eastAsia="Century Gothic" w:cs="Century Gothic"/>
                <w:color w:val="000000"/>
                <w:sz w:val="18"/>
                <w:szCs w:val="18"/>
              </w:rPr>
              <w:t>1 (2.0%)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B0E77F"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ADD76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2CF284"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608DF7" w14:textId="77777777" w:rsidR="001C19F3" w:rsidRDefault="001C19F3" w:rsidP="00521305">
            <w:pPr>
              <w:spacing w:after="0"/>
              <w:ind w:left="100" w:right="100"/>
              <w:jc w:val="right"/>
            </w:pPr>
            <w:r>
              <w:rPr>
                <w:rFonts w:eastAsia="Century Gothic" w:cs="Century Gothic"/>
                <w:color w:val="000000"/>
                <w:sz w:val="18"/>
                <w:szCs w:val="18"/>
              </w:rPr>
              <w:t>1 (1.4%)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3318AB"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62D16" w14:textId="77777777" w:rsidR="001C19F3" w:rsidRDefault="001C19F3" w:rsidP="00521305">
            <w:pPr>
              <w:spacing w:after="0"/>
              <w:ind w:left="100" w:right="100"/>
              <w:jc w:val="right"/>
            </w:pPr>
          </w:p>
        </w:tc>
      </w:tr>
      <w:tr w:rsidR="001C19F3" w14:paraId="0CFA9942"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7D8234" w14:textId="77777777" w:rsidR="001C19F3" w:rsidRDefault="001C19F3" w:rsidP="00521305">
            <w:pPr>
              <w:spacing w:after="0"/>
              <w:ind w:left="100" w:right="100"/>
            </w:pPr>
            <w:r>
              <w:rPr>
                <w:rFonts w:eastAsia="Century Gothic" w:cs="Century Gothic"/>
                <w:color w:val="000000"/>
                <w:sz w:val="18"/>
                <w:szCs w:val="18"/>
              </w:rPr>
              <w:t>Other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8E82B" w14:textId="77777777" w:rsidR="001C19F3" w:rsidRDefault="001C19F3" w:rsidP="00521305">
            <w:pPr>
              <w:spacing w:after="0"/>
              <w:ind w:left="100" w:right="100"/>
              <w:jc w:val="right"/>
            </w:pPr>
            <w:r>
              <w:rPr>
                <w:rFonts w:eastAsia="Century Gothic" w:cs="Century Gothic"/>
                <w:color w:val="000000"/>
                <w:sz w:val="18"/>
                <w:szCs w:val="18"/>
              </w:rPr>
              <w:t>7 (7.6%)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EFAD50" w14:textId="77777777" w:rsidR="001C19F3" w:rsidRDefault="001C19F3" w:rsidP="00521305">
            <w:pPr>
              <w:spacing w:after="0"/>
              <w:ind w:left="100" w:right="100"/>
              <w:jc w:val="right"/>
            </w:pPr>
            <w:r>
              <w:rPr>
                <w:rFonts w:eastAsia="Century Gothic" w:cs="Century Gothic"/>
                <w:color w:val="000000"/>
                <w:sz w:val="18"/>
                <w:szCs w:val="18"/>
              </w:rPr>
              <w:t>5 (12.8%)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D89AED" w14:textId="77777777" w:rsidR="001C19F3" w:rsidRDefault="001C19F3" w:rsidP="00521305">
            <w:pPr>
              <w:spacing w:after="0"/>
              <w:ind w:left="100" w:right="100"/>
              <w:jc w:val="right"/>
            </w:pPr>
            <w:r>
              <w:rPr>
                <w:rFonts w:eastAsia="Century Gothic" w:cs="Century Gothic"/>
                <w:color w:val="000000"/>
                <w:sz w:val="18"/>
                <w:szCs w:val="18"/>
              </w:rPr>
              <w:t>2 (4.1%)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BC26CC" w14:textId="77777777" w:rsidR="001C19F3" w:rsidRDefault="001C19F3" w:rsidP="00521305">
            <w:pPr>
              <w:spacing w:after="0"/>
              <w:ind w:left="100" w:right="100"/>
              <w:jc w:val="right"/>
            </w:pPr>
            <w:r>
              <w:rPr>
                <w:rFonts w:eastAsia="Century Gothic" w:cs="Century Gothic"/>
                <w:color w:val="000000"/>
                <w:sz w:val="18"/>
                <w:szCs w:val="18"/>
              </w:rPr>
              <w:t>2 (15.4%)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2962D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C26A69" w14:textId="77777777" w:rsidR="001C19F3" w:rsidRDefault="001C19F3" w:rsidP="00521305">
            <w:pPr>
              <w:spacing w:after="0"/>
              <w:ind w:left="100" w:right="100"/>
              <w:jc w:val="right"/>
            </w:pPr>
            <w:r>
              <w:rPr>
                <w:rFonts w:eastAsia="Century Gothic" w:cs="Century Gothic"/>
                <w:color w:val="000000"/>
                <w:sz w:val="18"/>
                <w:szCs w:val="18"/>
              </w:rPr>
              <w:t>5 (7.2%)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792BD8" w14:textId="77777777" w:rsidR="001C19F3" w:rsidRDefault="001C19F3" w:rsidP="00521305">
            <w:pPr>
              <w:spacing w:after="0"/>
              <w:ind w:left="100" w:right="100"/>
              <w:jc w:val="right"/>
            </w:pPr>
            <w:r>
              <w:rPr>
                <w:rFonts w:eastAsia="Century Gothic" w:cs="Century Gothic"/>
                <w:color w:val="000000"/>
                <w:sz w:val="18"/>
                <w:szCs w:val="18"/>
              </w:rPr>
              <w:t>6 (8.5%)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93ADF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850AC2" w14:textId="77777777" w:rsidR="001C19F3" w:rsidRDefault="001C19F3" w:rsidP="00521305">
            <w:pPr>
              <w:spacing w:after="0"/>
              <w:ind w:left="100" w:right="100"/>
              <w:jc w:val="right"/>
            </w:pPr>
            <w:r>
              <w:rPr>
                <w:rFonts w:eastAsia="Century Gothic" w:cs="Century Gothic"/>
                <w:color w:val="000000"/>
                <w:sz w:val="18"/>
                <w:szCs w:val="18"/>
              </w:rPr>
              <w:t>1 (11.1%)</w:t>
            </w:r>
          </w:p>
        </w:tc>
      </w:tr>
      <w:tr w:rsidR="001C19F3" w14:paraId="06AC0FC0"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D63838"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377B83" w14:textId="77777777" w:rsidR="001C19F3" w:rsidRDefault="001C19F3" w:rsidP="00521305">
            <w:pPr>
              <w:spacing w:after="0"/>
              <w:ind w:left="100" w:right="100"/>
              <w:jc w:val="right"/>
            </w:pPr>
            <w:r>
              <w:rPr>
                <w:rFonts w:eastAsia="Century Gothic" w:cs="Century Gothic"/>
                <w:color w:val="000000"/>
                <w:sz w:val="18"/>
                <w:szCs w:val="18"/>
              </w:rPr>
              <w:t>4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8A08C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7FE9B3" w14:textId="77777777" w:rsidR="001C19F3" w:rsidRDefault="001C19F3" w:rsidP="00521305">
            <w:pPr>
              <w:spacing w:after="0"/>
              <w:ind w:left="100" w:right="100"/>
              <w:jc w:val="right"/>
            </w:pPr>
            <w:r>
              <w:rPr>
                <w:rFonts w:eastAsia="Century Gothic" w:cs="Century Gothic"/>
                <w:color w:val="000000"/>
                <w:sz w:val="18"/>
                <w:szCs w:val="18"/>
              </w:rPr>
              <w:t>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355A55"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D754B5"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D977E6"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98BB9"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D1F18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2BA029" w14:textId="77777777" w:rsidR="001C19F3" w:rsidRDefault="001C19F3" w:rsidP="00521305">
            <w:pPr>
              <w:spacing w:after="0"/>
              <w:ind w:left="100" w:right="100"/>
              <w:jc w:val="right"/>
            </w:pPr>
            <w:r>
              <w:rPr>
                <w:rFonts w:eastAsia="Century Gothic" w:cs="Century Gothic"/>
                <w:color w:val="000000"/>
                <w:sz w:val="18"/>
                <w:szCs w:val="18"/>
              </w:rPr>
              <w:t>2</w:t>
            </w:r>
          </w:p>
        </w:tc>
      </w:tr>
    </w:tbl>
    <w:p w14:paraId="11E4FDD6" w14:textId="77777777" w:rsidR="001C19F3" w:rsidRDefault="001C19F3" w:rsidP="001C19F3">
      <w:pPr>
        <w:pStyle w:val="Chartortablefootnote"/>
      </w:pPr>
      <w:r>
        <w:t>Source: Practice survey R2, Nov 2018-Mar 2019, question 16.</w:t>
      </w:r>
      <w:r>
        <w:br w:type="page"/>
      </w:r>
    </w:p>
    <w:p w14:paraId="18EAC05A" w14:textId="77777777" w:rsidR="001C19F3" w:rsidRDefault="001C19F3" w:rsidP="001C19F3">
      <w:pPr>
        <w:pStyle w:val="Caption1"/>
      </w:pPr>
      <w:bookmarkStart w:id="564" w:name="_Ref22640154"/>
      <w:r>
        <w:lastRenderedPageBreak/>
        <w:t xml:space="preserve">Table </w:t>
      </w:r>
      <w:r>
        <w:fldChar w:fldCharType="begin"/>
      </w:r>
      <w:r>
        <w:instrText>SEQ Table \* ARABIC</w:instrText>
      </w:r>
      <w:r>
        <w:fldChar w:fldCharType="separate"/>
      </w:r>
      <w:r>
        <w:rPr>
          <w:noProof/>
        </w:rPr>
        <w:t>45</w:t>
      </w:r>
      <w:r>
        <w:fldChar w:fldCharType="end"/>
      </w:r>
      <w:r>
        <w:t xml:space="preserve"> – Main ways that the practice shares care plans with clinicians outside the practice involved in the care of the patient (multiple may apply)</w:t>
      </w:r>
      <w:bookmarkEnd w:id="564"/>
    </w:p>
    <w:tbl>
      <w:tblPr>
        <w:tblW w:w="5000" w:type="pct"/>
        <w:jc w:val="center"/>
        <w:tblLook w:val="04A0" w:firstRow="1" w:lastRow="0" w:firstColumn="1" w:lastColumn="0" w:noHBand="0" w:noVBand="1"/>
      </w:tblPr>
      <w:tblGrid>
        <w:gridCol w:w="2789"/>
        <w:gridCol w:w="1239"/>
        <w:gridCol w:w="1238"/>
        <w:gridCol w:w="1240"/>
        <w:gridCol w:w="1238"/>
        <w:gridCol w:w="1238"/>
        <w:gridCol w:w="1240"/>
        <w:gridCol w:w="1238"/>
        <w:gridCol w:w="1238"/>
        <w:gridCol w:w="1240"/>
      </w:tblGrid>
      <w:tr w:rsidR="001C19F3" w14:paraId="1B5CEFB9" w14:textId="77777777" w:rsidTr="00521305">
        <w:trPr>
          <w:cantSplit/>
          <w:trHeight w:val="20"/>
          <w:tblHeader/>
          <w:jc w:val="center"/>
        </w:trPr>
        <w:tc>
          <w:tcPr>
            <w:tcW w:w="1000"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E20CB9" w14:textId="77777777" w:rsidR="001C19F3" w:rsidRDefault="001C19F3" w:rsidP="00521305">
            <w:pPr>
              <w:spacing w:after="0"/>
              <w:jc w:val="center"/>
            </w:pPr>
            <w:r>
              <w:rPr>
                <w:rFonts w:eastAsia="Century Gothic" w:cs="Century Gothic"/>
                <w:b/>
                <w:color w:val="FFFFFF"/>
                <w:sz w:val="18"/>
                <w:szCs w:val="18"/>
              </w:rPr>
              <w:t>Response</w:t>
            </w:r>
          </w:p>
        </w:tc>
        <w:tc>
          <w:tcPr>
            <w:tcW w:w="444"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0EC861" w14:textId="77777777" w:rsidR="001C19F3" w:rsidRDefault="001C19F3" w:rsidP="00521305">
            <w:pPr>
              <w:spacing w:after="0"/>
              <w:jc w:val="center"/>
            </w:pPr>
            <w:r>
              <w:rPr>
                <w:rFonts w:eastAsia="Century Gothic" w:cs="Century Gothic"/>
                <w:b/>
                <w:color w:val="FFFFFF"/>
                <w:sz w:val="18"/>
                <w:szCs w:val="18"/>
              </w:rPr>
              <w:t>Total</w:t>
            </w:r>
          </w:p>
        </w:tc>
        <w:tc>
          <w:tcPr>
            <w:tcW w:w="889" w:type="pct"/>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12A33C5" w14:textId="77777777" w:rsidR="001C19F3" w:rsidRDefault="001C19F3" w:rsidP="00521305">
            <w:pPr>
              <w:spacing w:after="0"/>
              <w:jc w:val="center"/>
            </w:pPr>
            <w:r>
              <w:rPr>
                <w:rFonts w:eastAsia="Century Gothic" w:cs="Century Gothic"/>
                <w:b/>
                <w:color w:val="FFFFFF"/>
                <w:sz w:val="18"/>
                <w:szCs w:val="18"/>
              </w:rPr>
              <w:t>Size</w:t>
            </w:r>
          </w:p>
        </w:tc>
        <w:tc>
          <w:tcPr>
            <w:tcW w:w="1333"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B10B541" w14:textId="77777777" w:rsidR="001C19F3" w:rsidRDefault="001C19F3" w:rsidP="00521305">
            <w:pPr>
              <w:spacing w:after="0"/>
              <w:jc w:val="center"/>
            </w:pPr>
            <w:r>
              <w:rPr>
                <w:rFonts w:eastAsia="Century Gothic" w:cs="Century Gothic"/>
                <w:b/>
                <w:color w:val="FFFFFF"/>
                <w:sz w:val="18"/>
                <w:szCs w:val="18"/>
              </w:rPr>
              <w:t>Type</w:t>
            </w:r>
          </w:p>
        </w:tc>
        <w:tc>
          <w:tcPr>
            <w:tcW w:w="1333"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064A4A" w14:textId="77777777" w:rsidR="001C19F3" w:rsidRDefault="001C19F3" w:rsidP="00521305">
            <w:pPr>
              <w:spacing w:after="0"/>
              <w:jc w:val="center"/>
            </w:pPr>
            <w:r>
              <w:rPr>
                <w:rFonts w:eastAsia="Century Gothic" w:cs="Century Gothic"/>
                <w:b/>
                <w:color w:val="FFFFFF"/>
                <w:sz w:val="18"/>
                <w:szCs w:val="18"/>
              </w:rPr>
              <w:t>Location</w:t>
            </w:r>
          </w:p>
        </w:tc>
      </w:tr>
      <w:tr w:rsidR="001C19F3" w14:paraId="1C764F20" w14:textId="77777777" w:rsidTr="00521305">
        <w:trPr>
          <w:cantSplit/>
          <w:trHeight w:val="20"/>
          <w:tblHeader/>
          <w:jc w:val="center"/>
        </w:trPr>
        <w:tc>
          <w:tcPr>
            <w:tcW w:w="1000" w:type="pct"/>
            <w:vMerge/>
            <w:tcBorders>
              <w:top w:val="single" w:sz="8" w:space="0" w:color="BFBFBF"/>
              <w:left w:val="single" w:sz="8" w:space="0" w:color="BFBFBF"/>
              <w:bottom w:val="single" w:sz="8" w:space="0" w:color="BFBFBF"/>
              <w:right w:val="single" w:sz="8" w:space="0" w:color="BFBFBF"/>
            </w:tcBorders>
            <w:vAlign w:val="center"/>
            <w:hideMark/>
          </w:tcPr>
          <w:p w14:paraId="576542D4" w14:textId="77777777" w:rsidR="001C19F3" w:rsidRDefault="001C19F3" w:rsidP="00521305">
            <w:pPr>
              <w:spacing w:after="0"/>
            </w:pPr>
          </w:p>
        </w:tc>
        <w:tc>
          <w:tcPr>
            <w:tcW w:w="444" w:type="pct"/>
            <w:vMerge/>
            <w:tcBorders>
              <w:top w:val="single" w:sz="8" w:space="0" w:color="BFBFBF"/>
              <w:left w:val="single" w:sz="8" w:space="0" w:color="BFBFBF"/>
              <w:bottom w:val="single" w:sz="8" w:space="0" w:color="BFBFBF"/>
              <w:right w:val="single" w:sz="8" w:space="0" w:color="BFBFBF"/>
            </w:tcBorders>
            <w:vAlign w:val="center"/>
            <w:hideMark/>
          </w:tcPr>
          <w:p w14:paraId="62C1A8D0" w14:textId="77777777" w:rsidR="001C19F3" w:rsidRDefault="001C19F3" w:rsidP="00521305">
            <w:pPr>
              <w:spacing w:after="0"/>
            </w:pP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761FAF" w14:textId="77777777" w:rsidR="001C19F3" w:rsidRDefault="001C19F3" w:rsidP="00521305">
            <w:pPr>
              <w:spacing w:after="0"/>
              <w:jc w:val="center"/>
            </w:pPr>
            <w:r>
              <w:rPr>
                <w:rFonts w:eastAsia="Century Gothic" w:cs="Century Gothic"/>
                <w:b/>
                <w:color w:val="FFFFFF"/>
                <w:sz w:val="18"/>
                <w:szCs w:val="18"/>
              </w:rPr>
              <w:t>Large/ medium</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0AA5A88" w14:textId="77777777" w:rsidR="001C19F3" w:rsidRDefault="001C19F3" w:rsidP="00521305">
            <w:pPr>
              <w:spacing w:after="0"/>
              <w:jc w:val="center"/>
            </w:pPr>
            <w:r>
              <w:rPr>
                <w:rFonts w:eastAsia="Century Gothic" w:cs="Century Gothic"/>
                <w:b/>
                <w:color w:val="FFFFFF"/>
                <w:sz w:val="18"/>
                <w:szCs w:val="18"/>
              </w:rPr>
              <w:t>Small/sole</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2600B12" w14:textId="77777777" w:rsidR="001C19F3" w:rsidRDefault="001C19F3" w:rsidP="00521305">
            <w:pPr>
              <w:spacing w:after="0"/>
              <w:jc w:val="center"/>
            </w:pPr>
            <w:r>
              <w:rPr>
                <w:rFonts w:eastAsia="Century Gothic" w:cs="Century Gothic"/>
                <w:b/>
                <w:color w:val="FFFFFF"/>
                <w:sz w:val="18"/>
                <w:szCs w:val="18"/>
              </w:rPr>
              <w:t>Corporate</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956816" w14:textId="77777777" w:rsidR="001C19F3" w:rsidRDefault="001C19F3" w:rsidP="00521305">
            <w:pPr>
              <w:spacing w:after="0"/>
              <w:jc w:val="center"/>
            </w:pPr>
            <w:r>
              <w:rPr>
                <w:rFonts w:eastAsia="Century Gothic" w:cs="Century Gothic"/>
                <w:b/>
                <w:color w:val="FFFFFF"/>
                <w:sz w:val="18"/>
                <w:szCs w:val="18"/>
              </w:rPr>
              <w:t>AMS</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3C6F6D3" w14:textId="77777777" w:rsidR="001C19F3" w:rsidRDefault="001C19F3" w:rsidP="00521305">
            <w:pPr>
              <w:spacing w:after="0"/>
              <w:jc w:val="center"/>
            </w:pPr>
            <w:r>
              <w:rPr>
                <w:rFonts w:eastAsia="Century Gothic" w:cs="Century Gothic"/>
                <w:b/>
                <w:color w:val="FFFFFF"/>
                <w:sz w:val="18"/>
                <w:szCs w:val="18"/>
              </w:rPr>
              <w:t>Independent</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2F7DD88" w14:textId="77777777" w:rsidR="001C19F3" w:rsidRDefault="001C19F3" w:rsidP="00521305">
            <w:pPr>
              <w:spacing w:after="0"/>
              <w:jc w:val="center"/>
            </w:pPr>
            <w:r>
              <w:rPr>
                <w:rFonts w:eastAsia="Century Gothic" w:cs="Century Gothic"/>
                <w:b/>
                <w:color w:val="FFFFFF"/>
                <w:sz w:val="18"/>
                <w:szCs w:val="18"/>
              </w:rPr>
              <w:t>MMM 1</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9FAA54A" w14:textId="77777777" w:rsidR="001C19F3" w:rsidRDefault="001C19F3" w:rsidP="00521305">
            <w:pPr>
              <w:spacing w:after="0"/>
              <w:jc w:val="center"/>
            </w:pPr>
            <w:r>
              <w:rPr>
                <w:rFonts w:eastAsia="Century Gothic" w:cs="Century Gothic"/>
                <w:b/>
                <w:color w:val="FFFFFF"/>
                <w:sz w:val="18"/>
                <w:szCs w:val="18"/>
              </w:rPr>
              <w:t>MMM 2/3</w:t>
            </w:r>
          </w:p>
        </w:tc>
        <w:tc>
          <w:tcPr>
            <w:tcW w:w="4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FA3DD87" w14:textId="77777777" w:rsidR="001C19F3" w:rsidRDefault="001C19F3" w:rsidP="00521305">
            <w:pPr>
              <w:spacing w:after="0"/>
              <w:jc w:val="center"/>
            </w:pPr>
            <w:r>
              <w:rPr>
                <w:rFonts w:eastAsia="Century Gothic" w:cs="Century Gothic"/>
                <w:b/>
                <w:color w:val="FFFFFF"/>
                <w:sz w:val="18"/>
                <w:szCs w:val="18"/>
              </w:rPr>
              <w:t>MMM 4+</w:t>
            </w:r>
          </w:p>
        </w:tc>
      </w:tr>
      <w:tr w:rsidR="001C19F3" w14:paraId="601F96E7"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C63241" w14:textId="77777777" w:rsidR="001C19F3" w:rsidRDefault="001C19F3" w:rsidP="00521305">
            <w:pPr>
              <w:spacing w:after="0"/>
              <w:ind w:left="100" w:right="100"/>
            </w:pPr>
            <w:r>
              <w:rPr>
                <w:rFonts w:eastAsia="Century Gothic" w:cs="Century Gothic"/>
                <w:color w:val="000000"/>
                <w:sz w:val="18"/>
                <w:szCs w:val="18"/>
              </w:rPr>
              <w:t>We send a paper version of the shared care plan to relevant clinicians</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82A0DC" w14:textId="77777777" w:rsidR="001C19F3" w:rsidRDefault="001C19F3" w:rsidP="00521305">
            <w:pPr>
              <w:spacing w:after="0"/>
              <w:ind w:left="100" w:right="100"/>
              <w:jc w:val="right"/>
            </w:pPr>
            <w:r>
              <w:rPr>
                <w:rFonts w:eastAsia="Century Gothic" w:cs="Century Gothic"/>
                <w:color w:val="000000"/>
                <w:sz w:val="18"/>
                <w:szCs w:val="18"/>
              </w:rPr>
              <w:t>50 (54.3%)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1E912" w14:textId="77777777" w:rsidR="001C19F3" w:rsidRDefault="001C19F3" w:rsidP="00521305">
            <w:pPr>
              <w:spacing w:after="0"/>
              <w:ind w:left="100" w:right="100"/>
              <w:jc w:val="right"/>
            </w:pPr>
            <w:r>
              <w:rPr>
                <w:rFonts w:eastAsia="Century Gothic" w:cs="Century Gothic"/>
                <w:color w:val="000000"/>
                <w:sz w:val="18"/>
                <w:szCs w:val="18"/>
              </w:rPr>
              <w:t>24 (61.5%)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373D84" w14:textId="77777777" w:rsidR="001C19F3" w:rsidRDefault="001C19F3" w:rsidP="00521305">
            <w:pPr>
              <w:spacing w:after="0"/>
              <w:ind w:left="100" w:right="100"/>
              <w:jc w:val="right"/>
            </w:pPr>
            <w:r>
              <w:rPr>
                <w:rFonts w:eastAsia="Century Gothic" w:cs="Century Gothic"/>
                <w:color w:val="000000"/>
                <w:sz w:val="18"/>
                <w:szCs w:val="18"/>
              </w:rPr>
              <w:t>26 (52.0%)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3FD2F6" w14:textId="77777777" w:rsidR="001C19F3" w:rsidRDefault="001C19F3" w:rsidP="00521305">
            <w:pPr>
              <w:spacing w:after="0"/>
              <w:ind w:left="100" w:right="100"/>
              <w:jc w:val="right"/>
            </w:pPr>
            <w:r>
              <w:rPr>
                <w:rFonts w:eastAsia="Century Gothic" w:cs="Century Gothic"/>
                <w:color w:val="000000"/>
                <w:sz w:val="18"/>
                <w:szCs w:val="18"/>
              </w:rPr>
              <w:t>7 (53.8%)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8CF153"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12BB59" w14:textId="77777777" w:rsidR="001C19F3" w:rsidRDefault="001C19F3" w:rsidP="00521305">
            <w:pPr>
              <w:spacing w:after="0"/>
              <w:ind w:left="100" w:right="100"/>
              <w:jc w:val="right"/>
            </w:pPr>
            <w:r>
              <w:rPr>
                <w:rFonts w:eastAsia="Century Gothic" w:cs="Century Gothic"/>
                <w:color w:val="000000"/>
                <w:sz w:val="18"/>
                <w:szCs w:val="18"/>
              </w:rPr>
              <w:t>43 (61.4%)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A9EFAA" w14:textId="77777777" w:rsidR="001C19F3" w:rsidRDefault="001C19F3" w:rsidP="00521305">
            <w:pPr>
              <w:spacing w:after="0"/>
              <w:ind w:left="100" w:right="100"/>
              <w:jc w:val="right"/>
            </w:pPr>
            <w:r>
              <w:rPr>
                <w:rFonts w:eastAsia="Century Gothic" w:cs="Century Gothic"/>
                <w:color w:val="000000"/>
                <w:sz w:val="18"/>
                <w:szCs w:val="18"/>
              </w:rPr>
              <w:t>44 (61.1%)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5C3EA6" w14:textId="77777777" w:rsidR="001C19F3" w:rsidRDefault="001C19F3" w:rsidP="00521305">
            <w:pPr>
              <w:spacing w:after="0"/>
              <w:ind w:left="100" w:right="100"/>
              <w:jc w:val="right"/>
            </w:pPr>
            <w:r>
              <w:rPr>
                <w:rFonts w:eastAsia="Century Gothic" w:cs="Century Gothic"/>
                <w:color w:val="000000"/>
                <w:sz w:val="18"/>
                <w:szCs w:val="18"/>
              </w:rPr>
              <w:t>5 (62.5%)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DC43BE" w14:textId="77777777" w:rsidR="001C19F3" w:rsidRDefault="001C19F3" w:rsidP="00521305">
            <w:pPr>
              <w:spacing w:after="0"/>
              <w:ind w:left="100" w:right="100"/>
              <w:jc w:val="right"/>
            </w:pPr>
            <w:r>
              <w:rPr>
                <w:rFonts w:eastAsia="Century Gothic" w:cs="Century Gothic"/>
                <w:color w:val="000000"/>
                <w:sz w:val="18"/>
                <w:szCs w:val="18"/>
              </w:rPr>
              <w:t>1 (11.1%)</w:t>
            </w:r>
          </w:p>
        </w:tc>
      </w:tr>
      <w:tr w:rsidR="001C19F3" w14:paraId="44F7482D"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ED15AD" w14:textId="77777777" w:rsidR="001C19F3" w:rsidRDefault="001C19F3" w:rsidP="00521305">
            <w:pPr>
              <w:spacing w:after="0"/>
              <w:ind w:left="100" w:right="100"/>
            </w:pPr>
            <w:r>
              <w:rPr>
                <w:rFonts w:eastAsia="Century Gothic" w:cs="Century Gothic"/>
                <w:color w:val="000000"/>
                <w:sz w:val="18"/>
                <w:szCs w:val="18"/>
              </w:rPr>
              <w:t>Clinicians outside of the practice/ service can access a patient's plan by logging into a common shared care planning software application</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656E0E" w14:textId="77777777" w:rsidR="001C19F3" w:rsidRDefault="001C19F3" w:rsidP="00521305">
            <w:pPr>
              <w:spacing w:after="0"/>
              <w:ind w:left="100" w:right="100"/>
              <w:jc w:val="right"/>
            </w:pPr>
            <w:r>
              <w:rPr>
                <w:rFonts w:eastAsia="Century Gothic" w:cs="Century Gothic"/>
                <w:color w:val="000000"/>
                <w:sz w:val="18"/>
                <w:szCs w:val="18"/>
              </w:rPr>
              <w:t>24 (26.1%)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3BF19F" w14:textId="77777777" w:rsidR="001C19F3" w:rsidRDefault="001C19F3" w:rsidP="00521305">
            <w:pPr>
              <w:spacing w:after="0"/>
              <w:ind w:left="100" w:right="100"/>
              <w:jc w:val="right"/>
            </w:pPr>
            <w:r>
              <w:rPr>
                <w:rFonts w:eastAsia="Century Gothic" w:cs="Century Gothic"/>
                <w:color w:val="000000"/>
                <w:sz w:val="18"/>
                <w:szCs w:val="18"/>
              </w:rPr>
              <w:t>11 (28.2%)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B10EC5" w14:textId="77777777" w:rsidR="001C19F3" w:rsidRDefault="001C19F3" w:rsidP="00521305">
            <w:pPr>
              <w:spacing w:after="0"/>
              <w:ind w:left="100" w:right="100"/>
              <w:jc w:val="right"/>
            </w:pPr>
            <w:r>
              <w:rPr>
                <w:rFonts w:eastAsia="Century Gothic" w:cs="Century Gothic"/>
                <w:color w:val="000000"/>
                <w:sz w:val="18"/>
                <w:szCs w:val="18"/>
              </w:rPr>
              <w:t>13 (26.0%)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06346" w14:textId="77777777" w:rsidR="001C19F3" w:rsidRDefault="001C19F3" w:rsidP="00521305">
            <w:pPr>
              <w:spacing w:after="0"/>
              <w:ind w:left="100" w:right="100"/>
              <w:jc w:val="right"/>
            </w:pPr>
            <w:r>
              <w:rPr>
                <w:rFonts w:eastAsia="Century Gothic" w:cs="Century Gothic"/>
                <w:color w:val="000000"/>
                <w:sz w:val="18"/>
                <w:szCs w:val="18"/>
              </w:rPr>
              <w:t>4 (30.8%)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3D47C1" w14:textId="77777777" w:rsidR="001C19F3" w:rsidRDefault="001C19F3" w:rsidP="00521305">
            <w:pPr>
              <w:spacing w:after="0"/>
              <w:ind w:left="100" w:right="100"/>
              <w:jc w:val="right"/>
            </w:pPr>
            <w:r>
              <w:rPr>
                <w:rFonts w:eastAsia="Century Gothic" w:cs="Century Gothic"/>
                <w:color w:val="000000"/>
                <w:sz w:val="18"/>
                <w:szCs w:val="18"/>
              </w:rPr>
              <w:t>2 (33.3%)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669FE" w14:textId="77777777" w:rsidR="001C19F3" w:rsidRDefault="001C19F3" w:rsidP="00521305">
            <w:pPr>
              <w:spacing w:after="0"/>
              <w:ind w:left="100" w:right="100"/>
              <w:jc w:val="right"/>
            </w:pPr>
            <w:r>
              <w:rPr>
                <w:rFonts w:eastAsia="Century Gothic" w:cs="Century Gothic"/>
                <w:color w:val="000000"/>
                <w:sz w:val="18"/>
                <w:szCs w:val="18"/>
              </w:rPr>
              <w:t>18 (25.7%)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4CF590" w14:textId="77777777" w:rsidR="001C19F3" w:rsidRDefault="001C19F3" w:rsidP="00521305">
            <w:pPr>
              <w:spacing w:after="0"/>
              <w:ind w:left="100" w:right="100"/>
              <w:jc w:val="right"/>
            </w:pPr>
            <w:r>
              <w:rPr>
                <w:rFonts w:eastAsia="Century Gothic" w:cs="Century Gothic"/>
                <w:color w:val="000000"/>
                <w:sz w:val="18"/>
                <w:szCs w:val="18"/>
              </w:rPr>
              <w:t>20 (27.8%)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7574CF" w14:textId="77777777" w:rsidR="001C19F3" w:rsidRDefault="001C19F3" w:rsidP="00521305">
            <w:pPr>
              <w:spacing w:after="0"/>
              <w:ind w:left="100" w:right="100"/>
              <w:jc w:val="right"/>
            </w:pPr>
            <w:r>
              <w:rPr>
                <w:rFonts w:eastAsia="Century Gothic" w:cs="Century Gothic"/>
                <w:color w:val="000000"/>
                <w:sz w:val="18"/>
                <w:szCs w:val="18"/>
              </w:rPr>
              <w:t>1 (12.5%)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F031C" w14:textId="77777777" w:rsidR="001C19F3" w:rsidRDefault="001C19F3" w:rsidP="00521305">
            <w:pPr>
              <w:spacing w:after="0"/>
              <w:ind w:left="100" w:right="100"/>
              <w:jc w:val="right"/>
            </w:pPr>
            <w:r>
              <w:rPr>
                <w:rFonts w:eastAsia="Century Gothic" w:cs="Century Gothic"/>
                <w:color w:val="000000"/>
                <w:sz w:val="18"/>
                <w:szCs w:val="18"/>
              </w:rPr>
              <w:t>3 (33.3%)</w:t>
            </w:r>
          </w:p>
        </w:tc>
      </w:tr>
      <w:tr w:rsidR="001C19F3" w14:paraId="7B2ED227"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98BBB1" w14:textId="77777777" w:rsidR="001C19F3" w:rsidRDefault="001C19F3" w:rsidP="00521305">
            <w:pPr>
              <w:spacing w:after="0"/>
              <w:ind w:left="100" w:right="100"/>
            </w:pPr>
            <w:r>
              <w:rPr>
                <w:rFonts w:eastAsia="Century Gothic" w:cs="Century Gothic"/>
                <w:color w:val="000000"/>
                <w:sz w:val="18"/>
                <w:szCs w:val="18"/>
              </w:rPr>
              <w:t>We email an electronic copy of the plan to relevant clinicians</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654ADE" w14:textId="77777777" w:rsidR="001C19F3" w:rsidRDefault="001C19F3" w:rsidP="00521305">
            <w:pPr>
              <w:spacing w:after="0"/>
              <w:ind w:left="100" w:right="100"/>
              <w:jc w:val="right"/>
            </w:pPr>
            <w:r>
              <w:rPr>
                <w:rFonts w:eastAsia="Century Gothic" w:cs="Century Gothic"/>
                <w:color w:val="000000"/>
                <w:sz w:val="18"/>
                <w:szCs w:val="18"/>
              </w:rPr>
              <w:t>14 (15.2%)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F61120" w14:textId="77777777" w:rsidR="001C19F3" w:rsidRDefault="001C19F3" w:rsidP="00521305">
            <w:pPr>
              <w:spacing w:after="0"/>
              <w:ind w:left="100" w:right="100"/>
              <w:jc w:val="right"/>
            </w:pPr>
            <w:r>
              <w:rPr>
                <w:rFonts w:eastAsia="Century Gothic" w:cs="Century Gothic"/>
                <w:color w:val="000000"/>
                <w:sz w:val="18"/>
                <w:szCs w:val="18"/>
              </w:rPr>
              <w:t>7 (17.9%)</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BB05F" w14:textId="77777777" w:rsidR="001C19F3" w:rsidRDefault="001C19F3" w:rsidP="00521305">
            <w:pPr>
              <w:spacing w:after="0"/>
              <w:ind w:left="100" w:right="100"/>
              <w:jc w:val="right"/>
            </w:pPr>
            <w:r>
              <w:rPr>
                <w:rFonts w:eastAsia="Century Gothic" w:cs="Century Gothic"/>
                <w:color w:val="000000"/>
                <w:sz w:val="18"/>
                <w:szCs w:val="18"/>
              </w:rPr>
              <w:t>7 (14.0%)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AA0BC0"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91730F"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7C3AB" w14:textId="77777777" w:rsidR="001C19F3" w:rsidRDefault="001C19F3" w:rsidP="00521305">
            <w:pPr>
              <w:spacing w:after="0"/>
              <w:ind w:left="100" w:right="100"/>
              <w:jc w:val="right"/>
            </w:pPr>
            <w:r>
              <w:rPr>
                <w:rFonts w:eastAsia="Century Gothic" w:cs="Century Gothic"/>
                <w:color w:val="000000"/>
                <w:sz w:val="18"/>
                <w:szCs w:val="18"/>
              </w:rPr>
              <w:t>14 (20.0%)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1A39F5" w14:textId="77777777" w:rsidR="001C19F3" w:rsidRDefault="001C19F3" w:rsidP="00521305">
            <w:pPr>
              <w:spacing w:after="0"/>
              <w:ind w:left="100" w:right="100"/>
              <w:jc w:val="right"/>
            </w:pPr>
            <w:r>
              <w:rPr>
                <w:rFonts w:eastAsia="Century Gothic" w:cs="Century Gothic"/>
                <w:color w:val="000000"/>
                <w:sz w:val="18"/>
                <w:szCs w:val="18"/>
              </w:rPr>
              <w:t>11 (15.3%)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E46BF" w14:textId="77777777" w:rsidR="001C19F3" w:rsidRDefault="001C19F3" w:rsidP="00521305">
            <w:pPr>
              <w:spacing w:after="0"/>
              <w:ind w:left="100" w:right="100"/>
              <w:jc w:val="right"/>
            </w:pPr>
            <w:r>
              <w:rPr>
                <w:rFonts w:eastAsia="Century Gothic" w:cs="Century Gothic"/>
                <w:color w:val="000000"/>
                <w:sz w:val="18"/>
                <w:szCs w:val="18"/>
              </w:rPr>
              <w:t>1 (12.5%)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5CBF97" w14:textId="77777777" w:rsidR="001C19F3" w:rsidRDefault="001C19F3" w:rsidP="00521305">
            <w:pPr>
              <w:spacing w:after="0"/>
              <w:ind w:left="100" w:right="100"/>
              <w:jc w:val="right"/>
            </w:pPr>
            <w:r>
              <w:rPr>
                <w:rFonts w:eastAsia="Century Gothic" w:cs="Century Gothic"/>
                <w:color w:val="000000"/>
                <w:sz w:val="18"/>
                <w:szCs w:val="18"/>
              </w:rPr>
              <w:t>2 (22.2%)</w:t>
            </w:r>
          </w:p>
        </w:tc>
      </w:tr>
      <w:tr w:rsidR="001C19F3" w14:paraId="096C293F"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411B40" w14:textId="77777777" w:rsidR="001C19F3" w:rsidRDefault="001C19F3" w:rsidP="00521305">
            <w:pPr>
              <w:spacing w:after="0"/>
              <w:ind w:left="100" w:right="100"/>
            </w:pPr>
            <w:r>
              <w:rPr>
                <w:rFonts w:eastAsia="Century Gothic" w:cs="Century Gothic"/>
                <w:color w:val="000000"/>
                <w:sz w:val="18"/>
                <w:szCs w:val="18"/>
              </w:rPr>
              <w:t>We load the plan into the patient's My Health Record</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BF5478" w14:textId="77777777" w:rsidR="001C19F3" w:rsidRDefault="001C19F3" w:rsidP="00521305">
            <w:pPr>
              <w:spacing w:after="0"/>
              <w:ind w:left="100" w:right="100"/>
              <w:jc w:val="right"/>
            </w:pPr>
            <w:r>
              <w:rPr>
                <w:rFonts w:eastAsia="Century Gothic" w:cs="Century Gothic"/>
                <w:color w:val="000000"/>
                <w:sz w:val="18"/>
                <w:szCs w:val="18"/>
              </w:rPr>
              <w:t>14 (15.2%)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1860D9" w14:textId="77777777" w:rsidR="001C19F3" w:rsidRDefault="001C19F3" w:rsidP="00521305">
            <w:pPr>
              <w:spacing w:after="0"/>
              <w:ind w:left="100" w:right="100"/>
              <w:jc w:val="right"/>
            </w:pPr>
            <w:r>
              <w:rPr>
                <w:rFonts w:eastAsia="Century Gothic" w:cs="Century Gothic"/>
                <w:color w:val="000000"/>
                <w:sz w:val="18"/>
                <w:szCs w:val="18"/>
              </w:rPr>
              <w:t>7 (17.9%)</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485C31" w14:textId="77777777" w:rsidR="001C19F3" w:rsidRDefault="001C19F3" w:rsidP="00521305">
            <w:pPr>
              <w:spacing w:after="0"/>
              <w:ind w:left="100" w:right="100"/>
              <w:jc w:val="right"/>
            </w:pPr>
            <w:r>
              <w:rPr>
                <w:rFonts w:eastAsia="Century Gothic" w:cs="Century Gothic"/>
                <w:color w:val="000000"/>
                <w:sz w:val="18"/>
                <w:szCs w:val="18"/>
              </w:rPr>
              <w:t>7 (14.0%)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05AB47" w14:textId="77777777" w:rsidR="001C19F3" w:rsidRDefault="001C19F3" w:rsidP="00521305">
            <w:pPr>
              <w:spacing w:after="0"/>
              <w:ind w:left="100" w:right="100"/>
              <w:jc w:val="right"/>
            </w:pPr>
            <w:r>
              <w:rPr>
                <w:rFonts w:eastAsia="Century Gothic" w:cs="Century Gothic"/>
                <w:color w:val="000000"/>
                <w:sz w:val="18"/>
                <w:szCs w:val="18"/>
              </w:rPr>
              <w:t>2 (15.4%)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8896B6" w14:textId="77777777" w:rsidR="001C19F3" w:rsidRDefault="001C19F3" w:rsidP="00521305">
            <w:pPr>
              <w:spacing w:after="0"/>
              <w:ind w:left="100" w:right="100"/>
              <w:jc w:val="right"/>
            </w:pPr>
            <w:r>
              <w:rPr>
                <w:rFonts w:eastAsia="Century Gothic" w:cs="Century Gothic"/>
                <w:color w:val="000000"/>
                <w:sz w:val="18"/>
                <w:szCs w:val="18"/>
              </w:rPr>
              <w:t>2 (33.3%)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0AAEBE" w14:textId="77777777" w:rsidR="001C19F3" w:rsidRDefault="001C19F3" w:rsidP="00521305">
            <w:pPr>
              <w:spacing w:after="0"/>
              <w:ind w:left="100" w:right="100"/>
              <w:jc w:val="right"/>
            </w:pPr>
            <w:r>
              <w:rPr>
                <w:rFonts w:eastAsia="Century Gothic" w:cs="Century Gothic"/>
                <w:color w:val="000000"/>
                <w:sz w:val="18"/>
                <w:szCs w:val="18"/>
              </w:rPr>
              <w:t>10 (14.3%)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DE74B4" w14:textId="77777777" w:rsidR="001C19F3" w:rsidRDefault="001C19F3" w:rsidP="00521305">
            <w:pPr>
              <w:spacing w:after="0"/>
              <w:ind w:left="100" w:right="100"/>
              <w:jc w:val="right"/>
            </w:pPr>
            <w:r>
              <w:rPr>
                <w:rFonts w:eastAsia="Century Gothic" w:cs="Century Gothic"/>
                <w:color w:val="000000"/>
                <w:sz w:val="18"/>
                <w:szCs w:val="18"/>
              </w:rPr>
              <w:t>12 (16.7%)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01AC0"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EE6E1" w14:textId="77777777" w:rsidR="001C19F3" w:rsidRDefault="001C19F3" w:rsidP="00521305">
            <w:pPr>
              <w:spacing w:after="0"/>
              <w:ind w:left="100" w:right="100"/>
              <w:jc w:val="right"/>
            </w:pPr>
            <w:r>
              <w:rPr>
                <w:rFonts w:eastAsia="Century Gothic" w:cs="Century Gothic"/>
                <w:color w:val="000000"/>
                <w:sz w:val="18"/>
                <w:szCs w:val="18"/>
              </w:rPr>
              <w:t>2 (22.2%)</w:t>
            </w:r>
          </w:p>
        </w:tc>
      </w:tr>
      <w:tr w:rsidR="001C19F3" w14:paraId="590859AB"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7711C2" w14:textId="77777777" w:rsidR="001C19F3" w:rsidRDefault="001C19F3" w:rsidP="00521305">
            <w:pPr>
              <w:spacing w:after="0"/>
              <w:ind w:left="100" w:right="100"/>
            </w:pPr>
            <w:r>
              <w:rPr>
                <w:rFonts w:eastAsia="Century Gothic" w:cs="Century Gothic"/>
                <w:color w:val="000000"/>
                <w:sz w:val="18"/>
                <w:szCs w:val="18"/>
              </w:rPr>
              <w:t>Other: Fax</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F0F7FA" w14:textId="77777777" w:rsidR="001C19F3" w:rsidRDefault="001C19F3" w:rsidP="00521305">
            <w:pPr>
              <w:spacing w:after="0"/>
              <w:ind w:left="100" w:right="100"/>
              <w:jc w:val="right"/>
            </w:pPr>
            <w:r>
              <w:rPr>
                <w:rFonts w:eastAsia="Century Gothic" w:cs="Century Gothic"/>
                <w:color w:val="000000"/>
                <w:sz w:val="18"/>
                <w:szCs w:val="18"/>
              </w:rPr>
              <w:t>9 (9.8%)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65E3A6" w14:textId="77777777" w:rsidR="001C19F3" w:rsidRDefault="001C19F3" w:rsidP="00521305">
            <w:pPr>
              <w:spacing w:after="0"/>
              <w:ind w:left="100" w:right="100"/>
              <w:jc w:val="right"/>
            </w:pPr>
            <w:r>
              <w:rPr>
                <w:rFonts w:eastAsia="Century Gothic" w:cs="Century Gothic"/>
                <w:color w:val="000000"/>
                <w:sz w:val="18"/>
                <w:szCs w:val="18"/>
              </w:rPr>
              <w:t>6 (15.4%)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DB2920" w14:textId="77777777" w:rsidR="001C19F3" w:rsidRDefault="001C19F3" w:rsidP="00521305">
            <w:pPr>
              <w:spacing w:after="0"/>
              <w:ind w:left="100" w:right="100"/>
              <w:jc w:val="right"/>
            </w:pPr>
            <w:r>
              <w:rPr>
                <w:rFonts w:eastAsia="Century Gothic" w:cs="Century Gothic"/>
                <w:color w:val="000000"/>
                <w:sz w:val="18"/>
                <w:szCs w:val="18"/>
              </w:rPr>
              <w:t>3 (6.0%)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C597F5" w14:textId="77777777" w:rsidR="001C19F3" w:rsidRDefault="001C19F3" w:rsidP="00521305">
            <w:pPr>
              <w:spacing w:after="0"/>
              <w:ind w:left="100" w:right="100"/>
              <w:jc w:val="right"/>
            </w:pPr>
            <w:r>
              <w:rPr>
                <w:rFonts w:eastAsia="Century Gothic" w:cs="Century Gothic"/>
                <w:color w:val="000000"/>
                <w:sz w:val="18"/>
                <w:szCs w:val="18"/>
              </w:rPr>
              <w:t>4 (30.8%)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331A0" w14:textId="77777777" w:rsidR="001C19F3" w:rsidRDefault="001C19F3" w:rsidP="00521305">
            <w:pPr>
              <w:spacing w:after="0"/>
              <w:ind w:left="100" w:right="100"/>
              <w:jc w:val="right"/>
            </w:pPr>
            <w:r>
              <w:rPr>
                <w:rFonts w:eastAsia="Century Gothic" w:cs="Century Gothic"/>
                <w:color w:val="000000"/>
                <w:sz w:val="18"/>
                <w:szCs w:val="18"/>
              </w:rPr>
              <w:t>1 (16.7%)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7393A0" w14:textId="77777777" w:rsidR="001C19F3" w:rsidRDefault="001C19F3" w:rsidP="00521305">
            <w:pPr>
              <w:spacing w:after="0"/>
              <w:ind w:left="100" w:right="100"/>
              <w:jc w:val="right"/>
            </w:pPr>
            <w:r>
              <w:rPr>
                <w:rFonts w:eastAsia="Century Gothic" w:cs="Century Gothic"/>
                <w:color w:val="000000"/>
                <w:sz w:val="18"/>
                <w:szCs w:val="18"/>
              </w:rPr>
              <w:t>4 (5.7%)</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F34C6C" w14:textId="77777777" w:rsidR="001C19F3" w:rsidRDefault="001C19F3" w:rsidP="00521305">
            <w:pPr>
              <w:spacing w:after="0"/>
              <w:ind w:left="100" w:right="100"/>
              <w:jc w:val="right"/>
            </w:pPr>
            <w:r>
              <w:rPr>
                <w:rFonts w:eastAsia="Century Gothic" w:cs="Century Gothic"/>
                <w:color w:val="000000"/>
                <w:sz w:val="18"/>
                <w:szCs w:val="18"/>
              </w:rPr>
              <w:t>8 (11.1%)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7A946" w14:textId="77777777" w:rsidR="001C19F3" w:rsidRDefault="001C19F3" w:rsidP="00521305">
            <w:pPr>
              <w:spacing w:after="0"/>
              <w:ind w:left="100" w:right="100"/>
              <w:jc w:val="right"/>
            </w:pPr>
            <w:r>
              <w:rPr>
                <w:rFonts w:eastAsia="Century Gothic" w:cs="Century Gothic"/>
                <w:color w:val="000000"/>
                <w:sz w:val="18"/>
                <w:szCs w:val="18"/>
              </w:rPr>
              <w:t>1 (12.5%)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B59455" w14:textId="77777777" w:rsidR="001C19F3" w:rsidRDefault="001C19F3" w:rsidP="00521305">
            <w:pPr>
              <w:spacing w:after="0"/>
              <w:ind w:left="100" w:right="100"/>
              <w:jc w:val="right"/>
            </w:pPr>
          </w:p>
        </w:tc>
      </w:tr>
      <w:tr w:rsidR="001C19F3" w14:paraId="34DB6F44"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64D854" w14:textId="77777777" w:rsidR="001C19F3" w:rsidRDefault="001C19F3" w:rsidP="00521305">
            <w:pPr>
              <w:spacing w:after="0"/>
              <w:ind w:left="100" w:right="100"/>
            </w:pPr>
            <w:r>
              <w:rPr>
                <w:rFonts w:eastAsia="Century Gothic" w:cs="Century Gothic"/>
                <w:color w:val="000000"/>
                <w:sz w:val="18"/>
                <w:szCs w:val="18"/>
              </w:rPr>
              <w:t>Other: Linked HER</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CBD4E0" w14:textId="77777777" w:rsidR="001C19F3" w:rsidRDefault="001C19F3" w:rsidP="00521305">
            <w:pPr>
              <w:spacing w:after="0"/>
              <w:ind w:left="100" w:right="100"/>
              <w:jc w:val="right"/>
            </w:pPr>
            <w:r>
              <w:rPr>
                <w:rFonts w:eastAsia="Century Gothic" w:cs="Century Gothic"/>
                <w:color w:val="000000"/>
                <w:sz w:val="18"/>
                <w:szCs w:val="18"/>
              </w:rPr>
              <w:t>9 (9.8%)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B25E5B" w14:textId="77777777" w:rsidR="001C19F3" w:rsidRDefault="001C19F3" w:rsidP="00521305">
            <w:pPr>
              <w:spacing w:after="0"/>
              <w:ind w:left="100" w:right="100"/>
              <w:jc w:val="right"/>
            </w:pPr>
            <w:r>
              <w:rPr>
                <w:rFonts w:eastAsia="Century Gothic" w:cs="Century Gothic"/>
                <w:color w:val="000000"/>
                <w:sz w:val="18"/>
                <w:szCs w:val="18"/>
              </w:rPr>
              <w:t>5 (12.8%)</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DA9FC0" w14:textId="77777777" w:rsidR="001C19F3" w:rsidRDefault="001C19F3" w:rsidP="00521305">
            <w:pPr>
              <w:spacing w:after="0"/>
              <w:ind w:left="100" w:right="100"/>
              <w:jc w:val="right"/>
            </w:pPr>
            <w:r>
              <w:rPr>
                <w:rFonts w:eastAsia="Century Gothic" w:cs="Century Gothic"/>
                <w:color w:val="000000"/>
                <w:sz w:val="18"/>
                <w:szCs w:val="18"/>
              </w:rPr>
              <w:t>4 (8.0%)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2F68A8" w14:textId="77777777" w:rsidR="001C19F3" w:rsidRDefault="001C19F3" w:rsidP="00521305">
            <w:pPr>
              <w:spacing w:after="0"/>
              <w:ind w:left="100" w:right="100"/>
              <w:jc w:val="right"/>
            </w:pPr>
            <w:r>
              <w:rPr>
                <w:rFonts w:eastAsia="Century Gothic" w:cs="Century Gothic"/>
                <w:color w:val="000000"/>
                <w:sz w:val="18"/>
                <w:szCs w:val="18"/>
              </w:rPr>
              <w:t>2 (15.4%)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CEE20E"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C2F193" w14:textId="77777777" w:rsidR="001C19F3" w:rsidRDefault="001C19F3" w:rsidP="00521305">
            <w:pPr>
              <w:spacing w:after="0"/>
              <w:ind w:left="100" w:right="100"/>
              <w:jc w:val="right"/>
            </w:pPr>
            <w:r>
              <w:rPr>
                <w:rFonts w:eastAsia="Century Gothic" w:cs="Century Gothic"/>
                <w:color w:val="000000"/>
                <w:sz w:val="18"/>
                <w:szCs w:val="18"/>
              </w:rPr>
              <w:t>7 (10.0%)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BA80F8" w14:textId="77777777" w:rsidR="001C19F3" w:rsidRDefault="001C19F3" w:rsidP="00521305">
            <w:pPr>
              <w:spacing w:after="0"/>
              <w:ind w:left="100" w:right="100"/>
              <w:jc w:val="right"/>
            </w:pPr>
            <w:r>
              <w:rPr>
                <w:rFonts w:eastAsia="Century Gothic" w:cs="Century Gothic"/>
                <w:color w:val="000000"/>
                <w:sz w:val="18"/>
                <w:szCs w:val="18"/>
              </w:rPr>
              <w:t>9 (12.5%)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F2B1F1"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A12A2B" w14:textId="77777777" w:rsidR="001C19F3" w:rsidRDefault="001C19F3" w:rsidP="00521305">
            <w:pPr>
              <w:spacing w:after="0"/>
              <w:ind w:left="100" w:right="100"/>
              <w:jc w:val="right"/>
            </w:pPr>
          </w:p>
        </w:tc>
      </w:tr>
      <w:tr w:rsidR="001C19F3" w14:paraId="686B34BF"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484DA8" w14:textId="77777777" w:rsidR="001C19F3" w:rsidRDefault="001C19F3" w:rsidP="00521305">
            <w:pPr>
              <w:spacing w:after="0"/>
              <w:ind w:left="100" w:right="100"/>
            </w:pPr>
            <w:r>
              <w:rPr>
                <w:rFonts w:eastAsia="Century Gothic" w:cs="Century Gothic"/>
                <w:color w:val="000000"/>
                <w:sz w:val="18"/>
                <w:szCs w:val="18"/>
              </w:rPr>
              <w:t>Other: Patient passes it on</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80A96" w14:textId="77777777" w:rsidR="001C19F3" w:rsidRDefault="001C19F3" w:rsidP="00521305">
            <w:pPr>
              <w:spacing w:after="0"/>
              <w:ind w:left="100" w:right="100"/>
              <w:jc w:val="right"/>
            </w:pPr>
            <w:r>
              <w:rPr>
                <w:rFonts w:eastAsia="Century Gothic" w:cs="Century Gothic"/>
                <w:color w:val="000000"/>
                <w:sz w:val="18"/>
                <w:szCs w:val="18"/>
              </w:rPr>
              <w:t>1 (1.1%)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1AED30"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0A3C55" w14:textId="77777777" w:rsidR="001C19F3" w:rsidRDefault="001C19F3" w:rsidP="00521305">
            <w:pPr>
              <w:spacing w:after="0"/>
              <w:ind w:left="100" w:right="100"/>
              <w:jc w:val="right"/>
            </w:pPr>
            <w:r>
              <w:rPr>
                <w:rFonts w:eastAsia="Century Gothic" w:cs="Century Gothic"/>
                <w:color w:val="000000"/>
                <w:sz w:val="18"/>
                <w:szCs w:val="18"/>
              </w:rPr>
              <w:t>1 (2.0%)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B93FF4"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D73A85"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ECFA13" w14:textId="77777777" w:rsidR="001C19F3" w:rsidRDefault="001C19F3" w:rsidP="00521305">
            <w:pPr>
              <w:spacing w:after="0"/>
              <w:ind w:left="100" w:right="100"/>
              <w:jc w:val="right"/>
            </w:pPr>
            <w:r>
              <w:rPr>
                <w:rFonts w:eastAsia="Century Gothic" w:cs="Century Gothic"/>
                <w:color w:val="000000"/>
                <w:sz w:val="18"/>
                <w:szCs w:val="18"/>
              </w:rPr>
              <w:t>1 (1.4%)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428B30" w14:textId="77777777" w:rsidR="001C19F3" w:rsidRDefault="001C19F3" w:rsidP="00521305">
            <w:pPr>
              <w:spacing w:after="0"/>
              <w:ind w:left="100" w:right="100"/>
              <w:jc w:val="right"/>
            </w:pPr>
            <w:r>
              <w:rPr>
                <w:rFonts w:eastAsia="Century Gothic" w:cs="Century Gothic"/>
                <w:color w:val="000000"/>
                <w:sz w:val="18"/>
                <w:szCs w:val="18"/>
              </w:rPr>
              <w:t>1 (1.4%)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E27392"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789EA8" w14:textId="77777777" w:rsidR="001C19F3" w:rsidRDefault="001C19F3" w:rsidP="00521305">
            <w:pPr>
              <w:spacing w:after="0"/>
              <w:ind w:left="100" w:right="100"/>
              <w:jc w:val="right"/>
            </w:pPr>
          </w:p>
        </w:tc>
      </w:tr>
      <w:tr w:rsidR="001C19F3" w14:paraId="2793F17B"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D3798C" w14:textId="77777777" w:rsidR="001C19F3" w:rsidRDefault="001C19F3" w:rsidP="00521305">
            <w:pPr>
              <w:spacing w:after="0"/>
              <w:ind w:left="100" w:right="100"/>
            </w:pPr>
            <w:r>
              <w:rPr>
                <w:rFonts w:eastAsia="Century Gothic" w:cs="Century Gothic"/>
                <w:color w:val="000000"/>
                <w:sz w:val="18"/>
                <w:szCs w:val="18"/>
              </w:rPr>
              <w:t>Other</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EAF1DD" w14:textId="77777777" w:rsidR="001C19F3" w:rsidRDefault="001C19F3" w:rsidP="00521305">
            <w:pPr>
              <w:spacing w:after="0"/>
              <w:ind w:left="100" w:right="100"/>
              <w:jc w:val="right"/>
            </w:pPr>
            <w:r>
              <w:rPr>
                <w:rFonts w:eastAsia="Century Gothic" w:cs="Century Gothic"/>
                <w:color w:val="000000"/>
                <w:sz w:val="18"/>
                <w:szCs w:val="18"/>
              </w:rPr>
              <w:t>5 (5.4%)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4D6474" w14:textId="77777777" w:rsidR="001C19F3" w:rsidRDefault="001C19F3" w:rsidP="00521305">
            <w:pPr>
              <w:spacing w:after="0"/>
              <w:ind w:left="100" w:right="100"/>
              <w:jc w:val="right"/>
            </w:pPr>
            <w:r>
              <w:rPr>
                <w:rFonts w:eastAsia="Century Gothic" w:cs="Century Gothic"/>
                <w:color w:val="000000"/>
                <w:sz w:val="18"/>
                <w:szCs w:val="18"/>
              </w:rPr>
              <w:t>1 (2.6%)</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13A6AE" w14:textId="77777777" w:rsidR="001C19F3" w:rsidRDefault="001C19F3" w:rsidP="00521305">
            <w:pPr>
              <w:spacing w:after="0"/>
              <w:ind w:left="100" w:right="100"/>
              <w:jc w:val="right"/>
            </w:pPr>
            <w:r>
              <w:rPr>
                <w:rFonts w:eastAsia="Century Gothic" w:cs="Century Gothic"/>
                <w:color w:val="000000"/>
                <w:sz w:val="18"/>
                <w:szCs w:val="18"/>
              </w:rPr>
              <w:t>4 (8.0%)</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EE5AAC"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93CD2" w14:textId="77777777" w:rsidR="001C19F3" w:rsidRDefault="001C19F3" w:rsidP="00521305">
            <w:pPr>
              <w:spacing w:after="0"/>
              <w:ind w:left="100" w:right="100"/>
              <w:jc w:val="right"/>
            </w:pPr>
            <w:r>
              <w:rPr>
                <w:rFonts w:eastAsia="Century Gothic" w:cs="Century Gothic"/>
                <w:color w:val="000000"/>
                <w:sz w:val="18"/>
                <w:szCs w:val="18"/>
              </w:rPr>
              <w:t>2 (33.3%)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3F10F0" w14:textId="77777777" w:rsidR="001C19F3" w:rsidRDefault="001C19F3" w:rsidP="00521305">
            <w:pPr>
              <w:spacing w:after="0"/>
              <w:ind w:left="100" w:right="100"/>
              <w:jc w:val="right"/>
            </w:pPr>
            <w:r>
              <w:rPr>
                <w:rFonts w:eastAsia="Century Gothic" w:cs="Century Gothic"/>
                <w:color w:val="000000"/>
                <w:sz w:val="18"/>
                <w:szCs w:val="18"/>
              </w:rPr>
              <w:t>3 (4.3%)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79C06C" w14:textId="77777777" w:rsidR="001C19F3" w:rsidRDefault="001C19F3" w:rsidP="00521305">
            <w:pPr>
              <w:spacing w:after="0"/>
              <w:ind w:left="100" w:right="100"/>
              <w:jc w:val="right"/>
            </w:pPr>
            <w:r>
              <w:rPr>
                <w:rFonts w:eastAsia="Century Gothic" w:cs="Century Gothic"/>
                <w:color w:val="000000"/>
                <w:sz w:val="18"/>
                <w:szCs w:val="18"/>
              </w:rPr>
              <w:t>1 (1.4%)</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7C52E" w14:textId="77777777" w:rsidR="001C19F3" w:rsidRDefault="001C19F3" w:rsidP="00521305">
            <w:pPr>
              <w:spacing w:after="0"/>
              <w:ind w:left="100" w:right="100"/>
              <w:jc w:val="right"/>
            </w:pPr>
            <w:r>
              <w:rPr>
                <w:rFonts w:eastAsia="Century Gothic" w:cs="Century Gothic"/>
                <w:color w:val="000000"/>
                <w:sz w:val="18"/>
                <w:szCs w:val="18"/>
              </w:rPr>
              <w:t>1 (12.5%)</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B4364E" w14:textId="77777777" w:rsidR="001C19F3" w:rsidRDefault="001C19F3" w:rsidP="00521305">
            <w:pPr>
              <w:spacing w:after="0"/>
              <w:ind w:left="100" w:right="100"/>
              <w:jc w:val="right"/>
            </w:pPr>
            <w:r>
              <w:rPr>
                <w:rFonts w:eastAsia="Century Gothic" w:cs="Century Gothic"/>
                <w:color w:val="000000"/>
                <w:sz w:val="18"/>
                <w:szCs w:val="18"/>
              </w:rPr>
              <w:t>3 (33.3%)</w:t>
            </w:r>
          </w:p>
        </w:tc>
      </w:tr>
      <w:tr w:rsidR="001C19F3" w14:paraId="629FAFB1" w14:textId="77777777" w:rsidTr="00521305">
        <w:trPr>
          <w:cantSplit/>
          <w:trHeight w:val="20"/>
          <w:jc w:val="center"/>
        </w:trPr>
        <w:tc>
          <w:tcPr>
            <w:tcW w:w="1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A3B66D"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9A5D06" w14:textId="77777777" w:rsidR="001C19F3" w:rsidRDefault="001C19F3" w:rsidP="00521305">
            <w:pPr>
              <w:spacing w:after="0"/>
              <w:ind w:left="100" w:right="100"/>
              <w:jc w:val="right"/>
            </w:pPr>
            <w:r>
              <w:rPr>
                <w:rFonts w:eastAsia="Century Gothic" w:cs="Century Gothic"/>
                <w:color w:val="000000"/>
                <w:sz w:val="18"/>
                <w:szCs w:val="18"/>
              </w:rPr>
              <w:t>3 (3.3%)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EF7889"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EFF2F0" w14:textId="77777777" w:rsidR="001C19F3" w:rsidRDefault="001C19F3" w:rsidP="00521305">
            <w:pPr>
              <w:spacing w:after="0"/>
              <w:ind w:left="100" w:right="100"/>
              <w:jc w:val="right"/>
            </w:pPr>
            <w:r>
              <w:rPr>
                <w:rFonts w:eastAsia="Century Gothic" w:cs="Century Gothic"/>
                <w:color w:val="000000"/>
                <w:sz w:val="18"/>
                <w:szCs w:val="18"/>
              </w:rPr>
              <w:t>3</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47D2DC"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70E42A" w14:textId="77777777" w:rsidR="001C19F3" w:rsidRDefault="001C19F3" w:rsidP="00521305">
            <w:pPr>
              <w:spacing w:after="0"/>
              <w:ind w:left="100" w:right="100"/>
              <w:jc w:val="right"/>
            </w:pPr>
            <w:r>
              <w:rPr>
                <w:rFonts w:eastAsia="Century Gothic" w:cs="Century Gothic"/>
                <w:color w:val="000000"/>
                <w:sz w:val="18"/>
                <w:szCs w:val="18"/>
              </w:rPr>
              <w:t>2</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EDF979" w14:textId="77777777" w:rsidR="001C19F3" w:rsidRDefault="001C19F3" w:rsidP="00521305">
            <w:pPr>
              <w:spacing w:after="0"/>
              <w:ind w:left="100" w:right="100"/>
              <w:jc w:val="right"/>
            </w:pPr>
            <w:r>
              <w:rPr>
                <w:rFonts w:eastAsia="Century Gothic" w:cs="Century Gothic"/>
                <w:color w:val="000000"/>
                <w:sz w:val="18"/>
                <w:szCs w:val="18"/>
              </w:rPr>
              <w:t>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88651B" w14:textId="77777777" w:rsidR="001C19F3" w:rsidRDefault="001C19F3" w:rsidP="00521305">
            <w:pPr>
              <w:spacing w:after="0"/>
              <w:ind w:left="100" w:right="100"/>
              <w:jc w:val="right"/>
            </w:pPr>
            <w:r>
              <w:rPr>
                <w:rFonts w:eastAsia="Century Gothic" w:cs="Century Gothic"/>
                <w:color w:val="000000"/>
                <w:sz w:val="18"/>
                <w:szCs w:val="18"/>
              </w:rPr>
              <w:t>1</w:t>
            </w: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9BA7F5" w14:textId="77777777" w:rsidR="001C19F3" w:rsidRDefault="001C19F3" w:rsidP="00521305">
            <w:pPr>
              <w:spacing w:after="0"/>
              <w:ind w:left="100" w:right="100"/>
              <w:jc w:val="right"/>
            </w:pPr>
          </w:p>
        </w:tc>
        <w:tc>
          <w:tcPr>
            <w:tcW w:w="4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873240" w14:textId="77777777" w:rsidR="001C19F3" w:rsidRDefault="001C19F3" w:rsidP="00521305">
            <w:pPr>
              <w:spacing w:after="0"/>
              <w:ind w:left="100" w:right="100"/>
              <w:jc w:val="right"/>
            </w:pPr>
            <w:r>
              <w:rPr>
                <w:rFonts w:eastAsia="Century Gothic" w:cs="Century Gothic"/>
                <w:color w:val="000000"/>
                <w:sz w:val="18"/>
                <w:szCs w:val="18"/>
              </w:rPr>
              <w:t>2</w:t>
            </w:r>
          </w:p>
        </w:tc>
      </w:tr>
    </w:tbl>
    <w:p w14:paraId="23240F77" w14:textId="77777777" w:rsidR="001C19F3" w:rsidRDefault="001C19F3" w:rsidP="001C19F3">
      <w:pPr>
        <w:pStyle w:val="Chartortablefootnote"/>
        <w:rPr>
          <w:rFonts w:cstheme="minorBidi"/>
          <w:szCs w:val="20"/>
        </w:rPr>
      </w:pPr>
      <w:r>
        <w:t>Source: Practice survey R2, Nov 2018-Mar 2019, question 18.</w:t>
      </w:r>
    </w:p>
    <w:p w14:paraId="39720CDE" w14:textId="77777777" w:rsidR="001C19F3" w:rsidRDefault="001C19F3" w:rsidP="001C19F3">
      <w:pPr>
        <w:spacing w:after="160" w:line="259" w:lineRule="auto"/>
      </w:pPr>
      <w:bookmarkStart w:id="565" w:name="_Hlk22645788"/>
      <w:r>
        <w:br w:type="page"/>
      </w:r>
    </w:p>
    <w:p w14:paraId="676462CF" w14:textId="77777777" w:rsidR="001C19F3" w:rsidRDefault="001C19F3" w:rsidP="001C19F3">
      <w:pPr>
        <w:pStyle w:val="Caption1"/>
      </w:pPr>
      <w:bookmarkStart w:id="566" w:name="_Ref22640160"/>
      <w:bookmarkEnd w:id="565"/>
      <w:r>
        <w:lastRenderedPageBreak/>
        <w:t xml:space="preserve">Table </w:t>
      </w:r>
      <w:r>
        <w:fldChar w:fldCharType="begin"/>
      </w:r>
      <w:r>
        <w:instrText>SEQ Table \* ARABIC</w:instrText>
      </w:r>
      <w:r>
        <w:fldChar w:fldCharType="separate"/>
      </w:r>
      <w:r>
        <w:rPr>
          <w:noProof/>
        </w:rPr>
        <w:t>46</w:t>
      </w:r>
      <w:r>
        <w:fldChar w:fldCharType="end"/>
      </w:r>
      <w:r>
        <w:t xml:space="preserve"> – Shared care planning software implemented by practice</w:t>
      </w:r>
      <w:bookmarkEnd w:id="566"/>
    </w:p>
    <w:tbl>
      <w:tblPr>
        <w:tblW w:w="0" w:type="auto"/>
        <w:jc w:val="center"/>
        <w:tblLayout w:type="fixed"/>
        <w:tblLook w:val="04A0" w:firstRow="1" w:lastRow="0" w:firstColumn="1" w:lastColumn="0" w:noHBand="0" w:noVBand="1"/>
      </w:tblPr>
      <w:tblGrid>
        <w:gridCol w:w="5460"/>
        <w:gridCol w:w="1382"/>
        <w:gridCol w:w="138"/>
        <w:gridCol w:w="5460"/>
        <w:gridCol w:w="1382"/>
      </w:tblGrid>
      <w:tr w:rsidR="001C19F3" w14:paraId="397C5DA5" w14:textId="77777777" w:rsidTr="00521305">
        <w:trPr>
          <w:cantSplit/>
          <w:trHeight w:val="20"/>
          <w:tblHeader/>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2F87F4"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77F4C91" w14:textId="77777777" w:rsidR="001C19F3" w:rsidRDefault="001C19F3" w:rsidP="00521305">
            <w:pPr>
              <w:spacing w:after="0"/>
              <w:jc w:val="center"/>
            </w:pPr>
            <w:r>
              <w:rPr>
                <w:rFonts w:eastAsia="Century Gothic" w:cs="Century Gothic"/>
                <w:b/>
                <w:color w:val="FFFFFF"/>
                <w:sz w:val="18"/>
                <w:szCs w:val="18"/>
              </w:rPr>
              <w:t>n (%)</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hideMark/>
          </w:tcPr>
          <w:p w14:paraId="19A947F8" w14:textId="77777777" w:rsidR="001C19F3" w:rsidRDefault="001C19F3" w:rsidP="00521305">
            <w:pPr>
              <w:spacing w:after="0"/>
              <w:jc w:val="center"/>
            </w:pPr>
            <w:r>
              <w:rPr>
                <w:rFonts w:eastAsia="Century Gothic" w:cs="Century Gothic"/>
                <w:b/>
                <w:color w:val="FFFFFF"/>
                <w:sz w:val="18"/>
                <w:szCs w:val="18"/>
              </w:rPr>
              <w:t xml:space="preserve"> </w:t>
            </w:r>
          </w:p>
        </w:tc>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E3AC126"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F10904A" w14:textId="77777777" w:rsidR="001C19F3" w:rsidRDefault="001C19F3" w:rsidP="00521305">
            <w:pPr>
              <w:spacing w:after="0"/>
              <w:jc w:val="center"/>
            </w:pPr>
            <w:r>
              <w:rPr>
                <w:rFonts w:eastAsia="Century Gothic" w:cs="Century Gothic"/>
                <w:b/>
                <w:color w:val="FFFFFF"/>
                <w:sz w:val="18"/>
                <w:szCs w:val="18"/>
              </w:rPr>
              <w:t>n (%)</w:t>
            </w:r>
          </w:p>
        </w:tc>
      </w:tr>
      <w:tr w:rsidR="001C19F3" w14:paraId="275E6895"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215908" w14:textId="77777777" w:rsidR="001C19F3" w:rsidRDefault="001C19F3" w:rsidP="00521305">
            <w:pPr>
              <w:spacing w:after="0"/>
              <w:ind w:left="100" w:right="100"/>
            </w:pPr>
            <w:r>
              <w:rPr>
                <w:rFonts w:eastAsia="Century Gothic" w:cs="Century Gothic"/>
                <w:color w:val="000000"/>
                <w:sz w:val="18"/>
                <w:szCs w:val="18"/>
              </w:rPr>
              <w:t>cdmNet Coordinated Care Platform (Precedence Health Care)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617CCB" w14:textId="77777777" w:rsidR="001C19F3" w:rsidRDefault="001C19F3" w:rsidP="00521305">
            <w:pPr>
              <w:spacing w:after="0"/>
              <w:ind w:left="100" w:right="100"/>
              <w:jc w:val="right"/>
            </w:pPr>
            <w:r>
              <w:rPr>
                <w:rFonts w:eastAsia="Century Gothic" w:cs="Century Gothic"/>
                <w:color w:val="000000"/>
                <w:sz w:val="18"/>
                <w:szCs w:val="18"/>
              </w:rPr>
              <w:t>52 (56.5%)</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73FD5F5E"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40A15E" w14:textId="77777777" w:rsidR="001C19F3" w:rsidRDefault="001C19F3" w:rsidP="00521305">
            <w:pPr>
              <w:spacing w:after="0"/>
              <w:ind w:left="100" w:right="100"/>
            </w:pPr>
            <w:r>
              <w:rPr>
                <w:rFonts w:eastAsia="Century Gothic" w:cs="Century Gothic"/>
                <w:color w:val="000000"/>
                <w:sz w:val="18"/>
                <w:szCs w:val="18"/>
              </w:rPr>
              <w:t>Other: PCEHR</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7B75AD"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44B1B275"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DEE3FC" w14:textId="77777777" w:rsidR="001C19F3" w:rsidRDefault="001C19F3" w:rsidP="00521305">
            <w:pPr>
              <w:spacing w:after="0"/>
              <w:ind w:left="100" w:right="100"/>
            </w:pPr>
            <w:r>
              <w:rPr>
                <w:rFonts w:eastAsia="Century Gothic" w:cs="Century Gothic"/>
                <w:color w:val="000000"/>
                <w:sz w:val="18"/>
                <w:szCs w:val="18"/>
              </w:rPr>
              <w:t>LinkedEHR</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DD1BCD" w14:textId="77777777" w:rsidR="001C19F3" w:rsidRDefault="001C19F3" w:rsidP="00521305">
            <w:pPr>
              <w:spacing w:after="0"/>
              <w:ind w:left="100" w:right="100"/>
              <w:jc w:val="right"/>
            </w:pPr>
            <w:r>
              <w:rPr>
                <w:rFonts w:eastAsia="Century Gothic" w:cs="Century Gothic"/>
                <w:color w:val="000000"/>
                <w:sz w:val="18"/>
                <w:szCs w:val="18"/>
              </w:rPr>
              <w:t>24 (26.1%)</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1D807EFC"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945885" w14:textId="77777777" w:rsidR="001C19F3" w:rsidRDefault="001C19F3" w:rsidP="00521305">
            <w:pPr>
              <w:spacing w:after="0"/>
              <w:ind w:left="100" w:right="100"/>
            </w:pPr>
            <w:r>
              <w:rPr>
                <w:rFonts w:eastAsia="Century Gothic" w:cs="Century Gothic"/>
                <w:color w:val="000000"/>
                <w:sz w:val="18"/>
                <w:szCs w:val="18"/>
              </w:rPr>
              <w:t>Other: Purpose built / their own</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14D165"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489E457B"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181721" w14:textId="77777777" w:rsidR="001C19F3" w:rsidRDefault="001C19F3" w:rsidP="00521305">
            <w:pPr>
              <w:spacing w:after="0"/>
              <w:ind w:left="100" w:right="100"/>
            </w:pPr>
            <w:r>
              <w:rPr>
                <w:rFonts w:eastAsia="Century Gothic" w:cs="Century Gothic"/>
                <w:color w:val="000000"/>
                <w:sz w:val="18"/>
                <w:szCs w:val="18"/>
              </w:rPr>
              <w:t>Other: Care monitor app</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3C4B04" w14:textId="77777777" w:rsidR="001C19F3" w:rsidRDefault="001C19F3" w:rsidP="00521305">
            <w:pPr>
              <w:spacing w:after="0"/>
              <w:ind w:left="100" w:right="100"/>
              <w:jc w:val="right"/>
            </w:pPr>
            <w:r>
              <w:rPr>
                <w:rFonts w:eastAsia="Century Gothic" w:cs="Century Gothic"/>
                <w:color w:val="000000"/>
                <w:sz w:val="18"/>
                <w:szCs w:val="18"/>
              </w:rPr>
              <w:t>1 (1.1%)</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0F16C660"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C51641" w14:textId="77777777" w:rsidR="001C19F3" w:rsidRDefault="001C19F3" w:rsidP="00521305">
            <w:pPr>
              <w:spacing w:after="0"/>
              <w:ind w:left="100" w:right="100"/>
            </w:pPr>
            <w:r>
              <w:rPr>
                <w:rFonts w:eastAsia="Century Gothic" w:cs="Century Gothic"/>
                <w:color w:val="000000"/>
                <w:sz w:val="18"/>
                <w:szCs w:val="18"/>
              </w:rPr>
              <w:t>Other</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3C375" w14:textId="77777777" w:rsidR="001C19F3" w:rsidRDefault="001C19F3" w:rsidP="00521305">
            <w:pPr>
              <w:spacing w:after="0"/>
              <w:ind w:left="100" w:right="100"/>
              <w:jc w:val="right"/>
            </w:pPr>
            <w:r>
              <w:rPr>
                <w:rFonts w:eastAsia="Century Gothic" w:cs="Century Gothic"/>
                <w:color w:val="000000"/>
                <w:sz w:val="18"/>
                <w:szCs w:val="18"/>
              </w:rPr>
              <w:t>11 (12.0%)</w:t>
            </w:r>
          </w:p>
        </w:tc>
      </w:tr>
      <w:tr w:rsidR="001C19F3" w14:paraId="114A74F5"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DC61B0" w14:textId="77777777" w:rsidR="001C19F3" w:rsidRDefault="001C19F3" w:rsidP="00521305">
            <w:pPr>
              <w:spacing w:after="0"/>
              <w:ind w:left="100" w:right="100"/>
            </w:pPr>
            <w:r>
              <w:rPr>
                <w:rFonts w:eastAsia="Century Gothic" w:cs="Century Gothic"/>
                <w:color w:val="000000"/>
                <w:sz w:val="18"/>
                <w:szCs w:val="18"/>
              </w:rPr>
              <w:t>Other: Communicate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9C8D41" w14:textId="77777777" w:rsidR="001C19F3" w:rsidRDefault="001C19F3" w:rsidP="00521305">
            <w:pPr>
              <w:spacing w:after="0"/>
              <w:ind w:left="100" w:right="100"/>
              <w:jc w:val="right"/>
            </w:pPr>
            <w:r>
              <w:rPr>
                <w:rFonts w:eastAsia="Century Gothic" w:cs="Century Gothic"/>
                <w:color w:val="000000"/>
                <w:sz w:val="18"/>
                <w:szCs w:val="18"/>
              </w:rPr>
              <w:t>1 (1.1%)</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57E3DB3E"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5EB143"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34C14" w14:textId="77777777" w:rsidR="001C19F3" w:rsidRDefault="001C19F3" w:rsidP="00521305">
            <w:pPr>
              <w:spacing w:after="0"/>
              <w:ind w:left="100" w:right="100"/>
              <w:jc w:val="right"/>
            </w:pPr>
            <w:r>
              <w:rPr>
                <w:rFonts w:eastAsia="Century Gothic" w:cs="Century Gothic"/>
                <w:color w:val="000000"/>
                <w:sz w:val="18"/>
                <w:szCs w:val="18"/>
              </w:rPr>
              <w:t>3 (3.3%)</w:t>
            </w:r>
          </w:p>
        </w:tc>
      </w:tr>
    </w:tbl>
    <w:p w14:paraId="70759EBD" w14:textId="77777777" w:rsidR="001C19F3" w:rsidRDefault="001C19F3" w:rsidP="001C19F3">
      <w:pPr>
        <w:pStyle w:val="Chartortablefootnote"/>
        <w:rPr>
          <w:rFonts w:cstheme="minorBidi"/>
          <w:szCs w:val="20"/>
        </w:rPr>
      </w:pPr>
      <w:r>
        <w:t>Source: Practice survey R2, Nov 2018-Mar 2019, question 19.</w:t>
      </w:r>
    </w:p>
    <w:p w14:paraId="6B579A4A" w14:textId="77777777" w:rsidR="001C19F3" w:rsidRDefault="001C19F3" w:rsidP="001C19F3">
      <w:pPr>
        <w:spacing w:after="0"/>
      </w:pPr>
    </w:p>
    <w:p w14:paraId="1AC6FCCD" w14:textId="77777777" w:rsidR="001C19F3" w:rsidRDefault="001C19F3" w:rsidP="00EE4B33">
      <w:pPr>
        <w:pStyle w:val="Caption1"/>
        <w:spacing w:after="0"/>
      </w:pPr>
      <w:bookmarkStart w:id="567" w:name="_Ref22640168"/>
      <w:r>
        <w:t xml:space="preserve">Table </w:t>
      </w:r>
      <w:r>
        <w:fldChar w:fldCharType="begin"/>
      </w:r>
      <w:r>
        <w:instrText>SEQ Table \* ARABIC</w:instrText>
      </w:r>
      <w:r>
        <w:fldChar w:fldCharType="separate"/>
      </w:r>
      <w:r>
        <w:rPr>
          <w:noProof/>
        </w:rPr>
        <w:t>47</w:t>
      </w:r>
      <w:r>
        <w:fldChar w:fldCharType="end"/>
      </w:r>
      <w:r>
        <w:t xml:space="preserve"> – Ease of using My Health Record for sharing care plans with other clinicians outside the practice </w:t>
      </w:r>
      <w:bookmarkEnd w:id="567"/>
    </w:p>
    <w:p w14:paraId="5EDCF7F2" w14:textId="77777777" w:rsidR="001C19F3" w:rsidRPr="00487AE5" w:rsidRDefault="001C19F3" w:rsidP="00EE4B33">
      <w:pPr>
        <w:pStyle w:val="Caption1"/>
        <w:spacing w:after="0"/>
        <w:rPr>
          <w:szCs w:val="20"/>
        </w:rPr>
      </w:pPr>
      <w:r w:rsidRPr="00487AE5">
        <w:rPr>
          <w:rFonts w:eastAsia="Century Gothic" w:cs="Century Gothic"/>
          <w:color w:val="000000"/>
          <w:szCs w:val="20"/>
        </w:rPr>
        <w:t>(including responses from withdrawn practices)</w:t>
      </w:r>
    </w:p>
    <w:tbl>
      <w:tblPr>
        <w:tblW w:w="0" w:type="auto"/>
        <w:jc w:val="center"/>
        <w:tblLayout w:type="fixed"/>
        <w:tblLook w:val="04A0" w:firstRow="1" w:lastRow="0" w:firstColumn="1" w:lastColumn="0" w:noHBand="0" w:noVBand="1"/>
      </w:tblPr>
      <w:tblGrid>
        <w:gridCol w:w="4977"/>
        <w:gridCol w:w="1244"/>
        <w:gridCol w:w="1244"/>
        <w:gridCol w:w="1244"/>
        <w:gridCol w:w="1244"/>
        <w:gridCol w:w="1244"/>
        <w:gridCol w:w="1244"/>
      </w:tblGrid>
      <w:tr w:rsidR="001C19F3" w14:paraId="28B2BC40" w14:textId="77777777" w:rsidTr="00521305">
        <w:trPr>
          <w:cantSplit/>
          <w:trHeight w:val="20"/>
          <w:tblHeader/>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20F6F3" w14:textId="77777777" w:rsidR="001C19F3" w:rsidRDefault="001C19F3" w:rsidP="00521305">
            <w:pPr>
              <w:spacing w:after="0"/>
              <w:jc w:val="center"/>
            </w:pPr>
            <w:r>
              <w:rPr>
                <w:rFonts w:eastAsia="Century Gothic" w:cs="Century Gothic"/>
                <w:b/>
                <w:color w:val="FFFFFF"/>
                <w:sz w:val="18"/>
                <w:szCs w:val="18"/>
              </w:rPr>
              <w:t>Response by practice status</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AEA1AB" w14:textId="77777777" w:rsidR="001C19F3" w:rsidRDefault="001C19F3" w:rsidP="00521305">
            <w:pPr>
              <w:spacing w:after="0"/>
              <w:jc w:val="center"/>
            </w:pPr>
            <w:r>
              <w:rPr>
                <w:rFonts w:eastAsia="Century Gothic" w:cs="Century Gothic"/>
                <w:b/>
                <w:color w:val="FFFFFF"/>
                <w:sz w:val="18"/>
                <w:szCs w:val="18"/>
              </w:rPr>
              <w:t>Very easy</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37CEB59" w14:textId="77777777" w:rsidR="001C19F3" w:rsidRDefault="001C19F3" w:rsidP="00521305">
            <w:pPr>
              <w:spacing w:after="0"/>
              <w:jc w:val="center"/>
            </w:pPr>
            <w:r>
              <w:rPr>
                <w:rFonts w:eastAsia="Century Gothic" w:cs="Century Gothic"/>
                <w:b/>
                <w:color w:val="FFFFFF"/>
                <w:sz w:val="18"/>
                <w:szCs w:val="18"/>
              </w:rPr>
              <w:t>Easy</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5D8116" w14:textId="77777777" w:rsidR="001C19F3" w:rsidRDefault="001C19F3" w:rsidP="00521305">
            <w:pPr>
              <w:spacing w:after="0"/>
              <w:jc w:val="center"/>
            </w:pPr>
            <w:r>
              <w:rPr>
                <w:rFonts w:eastAsia="Century Gothic" w:cs="Century Gothic"/>
                <w:b/>
                <w:color w:val="FFFFFF"/>
                <w:sz w:val="18"/>
                <w:szCs w:val="18"/>
              </w:rPr>
              <w:t>Neutral</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02DF4F9" w14:textId="77777777" w:rsidR="001C19F3" w:rsidRDefault="001C19F3" w:rsidP="00521305">
            <w:pPr>
              <w:spacing w:after="0"/>
              <w:jc w:val="center"/>
            </w:pPr>
            <w:r>
              <w:rPr>
                <w:rFonts w:eastAsia="Century Gothic" w:cs="Century Gothic"/>
                <w:b/>
                <w:color w:val="FFFFFF"/>
                <w:sz w:val="18"/>
                <w:szCs w:val="18"/>
              </w:rPr>
              <w:t>Difficult</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1BAEF9" w14:textId="77777777" w:rsidR="001C19F3" w:rsidRDefault="001C19F3" w:rsidP="00521305">
            <w:pPr>
              <w:spacing w:after="0"/>
              <w:jc w:val="center"/>
            </w:pPr>
            <w:r>
              <w:rPr>
                <w:rFonts w:eastAsia="Century Gothic" w:cs="Century Gothic"/>
                <w:b/>
                <w:color w:val="FFFFFF"/>
                <w:sz w:val="18"/>
                <w:szCs w:val="18"/>
              </w:rPr>
              <w:t>Very difficult</w:t>
            </w:r>
          </w:p>
        </w:tc>
        <w:tc>
          <w:tcPr>
            <w:tcW w:w="124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7148157"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092CD1B8"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ECAE53" w14:textId="77777777" w:rsidR="001C19F3" w:rsidRDefault="001C19F3" w:rsidP="00521305">
            <w:pPr>
              <w:spacing w:after="0"/>
              <w:ind w:left="100" w:right="100"/>
            </w:pPr>
            <w:r>
              <w:rPr>
                <w:rFonts w:eastAsia="Century Gothic" w:cs="Century Gothic"/>
                <w:color w:val="000000"/>
                <w:sz w:val="18"/>
                <w:szCs w:val="18"/>
              </w:rPr>
              <w:t>Active</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E8A680" w14:textId="77777777" w:rsidR="001C19F3" w:rsidRDefault="001C19F3" w:rsidP="00521305">
            <w:pPr>
              <w:spacing w:after="0"/>
              <w:ind w:left="100" w:right="100"/>
              <w:jc w:val="right"/>
            </w:pPr>
            <w:r>
              <w:rPr>
                <w:rFonts w:eastAsia="Century Gothic" w:cs="Century Gothic"/>
                <w:color w:val="000000"/>
                <w:sz w:val="18"/>
                <w:szCs w:val="18"/>
              </w:rPr>
              <w:t>6 (7.1%)</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48828D" w14:textId="77777777" w:rsidR="001C19F3" w:rsidRDefault="001C19F3" w:rsidP="00521305">
            <w:pPr>
              <w:spacing w:after="0"/>
              <w:ind w:left="100" w:right="100"/>
              <w:jc w:val="right"/>
            </w:pPr>
            <w:r>
              <w:rPr>
                <w:rFonts w:eastAsia="Century Gothic" w:cs="Century Gothic"/>
                <w:color w:val="000000"/>
                <w:sz w:val="18"/>
                <w:szCs w:val="18"/>
              </w:rPr>
              <w:t>13 (15.3%)</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C50D0D" w14:textId="77777777" w:rsidR="001C19F3" w:rsidRDefault="001C19F3" w:rsidP="00521305">
            <w:pPr>
              <w:spacing w:after="0"/>
              <w:ind w:left="100" w:right="100"/>
              <w:jc w:val="right"/>
            </w:pPr>
            <w:r>
              <w:rPr>
                <w:rFonts w:eastAsia="Century Gothic" w:cs="Century Gothic"/>
                <w:color w:val="000000"/>
                <w:sz w:val="18"/>
                <w:szCs w:val="18"/>
              </w:rPr>
              <w:t>48 (56.5%)</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927D8C" w14:textId="77777777" w:rsidR="001C19F3" w:rsidRDefault="001C19F3" w:rsidP="00521305">
            <w:pPr>
              <w:spacing w:after="0"/>
              <w:ind w:left="100" w:right="100"/>
              <w:jc w:val="right"/>
            </w:pPr>
            <w:r>
              <w:rPr>
                <w:rFonts w:eastAsia="Century Gothic" w:cs="Century Gothic"/>
                <w:color w:val="000000"/>
                <w:sz w:val="18"/>
                <w:szCs w:val="18"/>
              </w:rPr>
              <w:t>9 (10.6%)</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E724D3" w14:textId="77777777" w:rsidR="001C19F3" w:rsidRDefault="001C19F3" w:rsidP="00521305">
            <w:pPr>
              <w:spacing w:after="0"/>
              <w:ind w:left="100" w:right="100"/>
              <w:jc w:val="right"/>
            </w:pPr>
            <w:r>
              <w:rPr>
                <w:rFonts w:eastAsia="Century Gothic" w:cs="Century Gothic"/>
                <w:color w:val="000000"/>
                <w:sz w:val="18"/>
                <w:szCs w:val="18"/>
              </w:rPr>
              <w:t>9 (10.6%)</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7C78A2" w14:textId="77777777" w:rsidR="001C19F3" w:rsidRDefault="001C19F3" w:rsidP="00521305">
            <w:pPr>
              <w:spacing w:after="0"/>
              <w:ind w:left="100" w:right="100"/>
              <w:jc w:val="right"/>
            </w:pPr>
            <w:r>
              <w:rPr>
                <w:rFonts w:eastAsia="Century Gothic" w:cs="Century Gothic"/>
                <w:color w:val="000000"/>
                <w:sz w:val="18"/>
                <w:szCs w:val="18"/>
              </w:rPr>
              <w:t>7</w:t>
            </w:r>
          </w:p>
        </w:tc>
      </w:tr>
      <w:tr w:rsidR="001C19F3" w14:paraId="27CCC124"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7644DB" w14:textId="77777777" w:rsidR="001C19F3" w:rsidRDefault="001C19F3" w:rsidP="00521305">
            <w:pPr>
              <w:spacing w:after="0"/>
              <w:ind w:left="100" w:right="100"/>
            </w:pPr>
            <w:r>
              <w:rPr>
                <w:rFonts w:eastAsia="Century Gothic" w:cs="Century Gothic"/>
                <w:color w:val="000000"/>
                <w:sz w:val="18"/>
                <w:szCs w:val="18"/>
              </w:rPr>
              <w:t>Withdrawn</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3C4433" w14:textId="77777777" w:rsidR="001C19F3" w:rsidRDefault="001C19F3" w:rsidP="00521305">
            <w:pPr>
              <w:spacing w:after="0"/>
              <w:ind w:left="100" w:right="100"/>
              <w:jc w:val="right"/>
            </w:pP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112CAC" w14:textId="77777777" w:rsidR="001C19F3" w:rsidRDefault="001C19F3" w:rsidP="00521305">
            <w:pPr>
              <w:spacing w:after="0"/>
              <w:ind w:left="100" w:right="100"/>
              <w:jc w:val="right"/>
            </w:pPr>
            <w:r>
              <w:rPr>
                <w:rFonts w:eastAsia="Century Gothic" w:cs="Century Gothic"/>
                <w:color w:val="000000"/>
                <w:sz w:val="18"/>
                <w:szCs w:val="18"/>
              </w:rPr>
              <w:t>2 (18.2%)</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EB9BA6" w14:textId="77777777" w:rsidR="001C19F3" w:rsidRDefault="001C19F3" w:rsidP="00521305">
            <w:pPr>
              <w:spacing w:after="0"/>
              <w:ind w:left="100" w:right="100"/>
              <w:jc w:val="right"/>
            </w:pPr>
            <w:r>
              <w:rPr>
                <w:rFonts w:eastAsia="Century Gothic" w:cs="Century Gothic"/>
                <w:color w:val="000000"/>
                <w:sz w:val="18"/>
                <w:szCs w:val="18"/>
              </w:rPr>
              <w:t>9 (81.8%)</w:t>
            </w: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BF0EFD" w14:textId="77777777" w:rsidR="001C19F3" w:rsidRDefault="001C19F3" w:rsidP="00521305">
            <w:pPr>
              <w:spacing w:after="0"/>
              <w:ind w:left="100" w:right="100"/>
              <w:jc w:val="right"/>
            </w:pP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AED807" w14:textId="77777777" w:rsidR="001C19F3" w:rsidRDefault="001C19F3" w:rsidP="00521305">
            <w:pPr>
              <w:spacing w:after="0"/>
              <w:ind w:left="100" w:right="100"/>
              <w:jc w:val="right"/>
            </w:pPr>
          </w:p>
        </w:tc>
        <w:tc>
          <w:tcPr>
            <w:tcW w:w="124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24F67" w14:textId="77777777" w:rsidR="001C19F3" w:rsidRDefault="001C19F3" w:rsidP="00521305">
            <w:pPr>
              <w:spacing w:after="0"/>
              <w:ind w:left="100" w:right="100"/>
              <w:jc w:val="right"/>
            </w:pPr>
            <w:r>
              <w:rPr>
                <w:rFonts w:eastAsia="Century Gothic" w:cs="Century Gothic"/>
                <w:color w:val="000000"/>
                <w:sz w:val="18"/>
                <w:szCs w:val="18"/>
              </w:rPr>
              <w:t>2</w:t>
            </w:r>
          </w:p>
        </w:tc>
      </w:tr>
    </w:tbl>
    <w:p w14:paraId="751A47B0" w14:textId="77777777" w:rsidR="001C19F3" w:rsidRDefault="001C19F3" w:rsidP="001C19F3">
      <w:pPr>
        <w:pStyle w:val="Chartortablefootnote"/>
        <w:rPr>
          <w:rFonts w:cstheme="minorBidi"/>
          <w:szCs w:val="20"/>
        </w:rPr>
      </w:pPr>
      <w:r>
        <w:t>Source: Practice survey R2, Nov 2018-Mar 2019, question 20.</w:t>
      </w:r>
    </w:p>
    <w:p w14:paraId="0C3D11F8" w14:textId="77777777" w:rsidR="001C19F3" w:rsidRDefault="001C19F3" w:rsidP="00EE4B33">
      <w:pPr>
        <w:spacing w:after="0"/>
      </w:pPr>
    </w:p>
    <w:p w14:paraId="1DE70148" w14:textId="77777777" w:rsidR="001C19F3" w:rsidRDefault="001C19F3" w:rsidP="00EE4B33">
      <w:pPr>
        <w:pStyle w:val="Caption1"/>
        <w:spacing w:after="0"/>
      </w:pPr>
      <w:bookmarkStart w:id="568" w:name="_Ref22640241"/>
      <w:r>
        <w:t xml:space="preserve">Table </w:t>
      </w:r>
      <w:r>
        <w:fldChar w:fldCharType="begin"/>
      </w:r>
      <w:r>
        <w:instrText>SEQ Table \* ARABIC</w:instrText>
      </w:r>
      <w:r>
        <w:fldChar w:fldCharType="separate"/>
      </w:r>
      <w:r>
        <w:rPr>
          <w:noProof/>
        </w:rPr>
        <w:t>48</w:t>
      </w:r>
      <w:r>
        <w:fldChar w:fldCharType="end"/>
      </w:r>
      <w:r>
        <w:t xml:space="preserve"> – Practice has a standardised tool for assessing level of activation for HCH patients</w:t>
      </w:r>
      <w:bookmarkEnd w:id="568"/>
    </w:p>
    <w:tbl>
      <w:tblPr>
        <w:tblW w:w="0" w:type="auto"/>
        <w:jc w:val="center"/>
        <w:tblLayout w:type="fixed"/>
        <w:tblLook w:val="04A0" w:firstRow="1" w:lastRow="0" w:firstColumn="1" w:lastColumn="0" w:noHBand="0" w:noVBand="1"/>
      </w:tblPr>
      <w:tblGrid>
        <w:gridCol w:w="3175"/>
        <w:gridCol w:w="1382"/>
      </w:tblGrid>
      <w:tr w:rsidR="001C19F3" w14:paraId="6151A74F" w14:textId="77777777" w:rsidTr="00521305">
        <w:trPr>
          <w:cantSplit/>
          <w:trHeight w:val="425"/>
          <w:tblHeader/>
          <w:jc w:val="center"/>
        </w:trPr>
        <w:tc>
          <w:tcPr>
            <w:tcW w:w="317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28E4BF" w14:textId="77777777" w:rsidR="001C19F3" w:rsidRDefault="001C19F3" w:rsidP="00521305">
            <w:pPr>
              <w:spacing w:after="0"/>
              <w:jc w:val="center"/>
            </w:pPr>
            <w:r>
              <w:rPr>
                <w:rFonts w:eastAsia="Century Gothic" w:cs="Century Gothic"/>
                <w:b/>
                <w:color w:val="FFFFFF"/>
                <w:sz w:val="18"/>
                <w:szCs w:val="18"/>
              </w:rPr>
              <w:t>Response</w:t>
            </w:r>
          </w:p>
        </w:tc>
        <w:tc>
          <w:tcPr>
            <w:tcW w:w="1382"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5DC5911" w14:textId="77777777" w:rsidR="001C19F3" w:rsidRDefault="001C19F3" w:rsidP="00521305">
            <w:pPr>
              <w:spacing w:after="0"/>
              <w:jc w:val="center"/>
            </w:pPr>
            <w:r>
              <w:rPr>
                <w:rFonts w:eastAsia="Century Gothic" w:cs="Century Gothic"/>
                <w:b/>
                <w:color w:val="FFFFFF"/>
                <w:sz w:val="18"/>
                <w:szCs w:val="18"/>
              </w:rPr>
              <w:t>n (%)</w:t>
            </w:r>
          </w:p>
        </w:tc>
      </w:tr>
      <w:tr w:rsidR="001C19F3" w14:paraId="07C69D5B" w14:textId="77777777" w:rsidTr="00521305">
        <w:trPr>
          <w:cantSplit/>
          <w:trHeight w:val="425"/>
          <w:tblHeader/>
          <w:jc w:val="center"/>
        </w:trPr>
        <w:tc>
          <w:tcPr>
            <w:tcW w:w="3175" w:type="dxa"/>
            <w:vMerge/>
            <w:tcBorders>
              <w:top w:val="single" w:sz="8" w:space="0" w:color="BFBFBF"/>
              <w:left w:val="single" w:sz="8" w:space="0" w:color="BFBFBF"/>
              <w:bottom w:val="single" w:sz="8" w:space="0" w:color="BFBFBF"/>
              <w:right w:val="single" w:sz="8" w:space="0" w:color="BFBFBF"/>
            </w:tcBorders>
            <w:vAlign w:val="center"/>
            <w:hideMark/>
          </w:tcPr>
          <w:p w14:paraId="148C5C24" w14:textId="77777777" w:rsidR="001C19F3" w:rsidRDefault="001C19F3" w:rsidP="00521305">
            <w:pPr>
              <w:spacing w:after="0"/>
            </w:pPr>
          </w:p>
        </w:tc>
        <w:tc>
          <w:tcPr>
            <w:tcW w:w="1382" w:type="dxa"/>
            <w:vMerge/>
            <w:tcBorders>
              <w:top w:val="single" w:sz="8" w:space="0" w:color="BFBFBF"/>
              <w:left w:val="single" w:sz="8" w:space="0" w:color="BFBFBF"/>
              <w:bottom w:val="single" w:sz="8" w:space="0" w:color="BFBFBF"/>
              <w:right w:val="single" w:sz="8" w:space="0" w:color="BFBFBF"/>
            </w:tcBorders>
            <w:vAlign w:val="center"/>
            <w:hideMark/>
          </w:tcPr>
          <w:p w14:paraId="67B78DC5" w14:textId="77777777" w:rsidR="001C19F3" w:rsidRDefault="001C19F3" w:rsidP="00521305">
            <w:pPr>
              <w:spacing w:after="0"/>
            </w:pPr>
          </w:p>
        </w:tc>
      </w:tr>
      <w:tr w:rsidR="001C19F3" w14:paraId="7B842303" w14:textId="77777777" w:rsidTr="00521305">
        <w:trPr>
          <w:cantSplit/>
          <w:trHeight w:val="20"/>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8F56EA" w14:textId="77777777" w:rsidR="001C19F3" w:rsidRDefault="001C19F3" w:rsidP="00521305">
            <w:pPr>
              <w:spacing w:after="0"/>
              <w:ind w:left="100" w:right="100"/>
            </w:pPr>
            <w:r>
              <w:rPr>
                <w:rFonts w:eastAsia="Century Gothic" w:cs="Century Gothic"/>
                <w:b/>
                <w:color w:val="000000"/>
                <w:sz w:val="18"/>
                <w:szCs w:val="18"/>
              </w:rPr>
              <w:t>Yes - used tool</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064B51" w14:textId="77777777" w:rsidR="001C19F3" w:rsidRDefault="001C19F3" w:rsidP="00521305">
            <w:pPr>
              <w:spacing w:after="0"/>
              <w:ind w:left="100" w:right="100"/>
              <w:jc w:val="right"/>
            </w:pPr>
            <w:r>
              <w:rPr>
                <w:rFonts w:eastAsia="Century Gothic" w:cs="Century Gothic"/>
                <w:b/>
                <w:color w:val="000000"/>
                <w:sz w:val="18"/>
                <w:szCs w:val="18"/>
              </w:rPr>
              <w:t>16 (17.4%)</w:t>
            </w:r>
          </w:p>
        </w:tc>
      </w:tr>
      <w:tr w:rsidR="001C19F3" w14:paraId="1370D478" w14:textId="77777777" w:rsidTr="00521305">
        <w:trPr>
          <w:cantSplit/>
          <w:trHeight w:val="20"/>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4019F6" w14:textId="77777777" w:rsidR="001C19F3" w:rsidRDefault="001C19F3" w:rsidP="00521305">
            <w:pPr>
              <w:spacing w:after="0"/>
              <w:ind w:left="160" w:right="100"/>
            </w:pPr>
            <w:r>
              <w:rPr>
                <w:rFonts w:eastAsia="Century Gothic" w:cs="Century Gothic"/>
                <w:color w:val="000000"/>
                <w:sz w:val="18"/>
                <w:szCs w:val="18"/>
              </w:rPr>
              <w:t>Clinic developed tool</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30AD30"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2C580E34" w14:textId="77777777" w:rsidTr="00521305">
        <w:trPr>
          <w:cantSplit/>
          <w:trHeight w:val="20"/>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93C4C0" w14:textId="77777777" w:rsidR="001C19F3" w:rsidRDefault="001C19F3" w:rsidP="00521305">
            <w:pPr>
              <w:spacing w:after="0"/>
              <w:ind w:left="160" w:right="100"/>
            </w:pPr>
            <w:r>
              <w:rPr>
                <w:rFonts w:eastAsia="Century Gothic" w:cs="Century Gothic"/>
                <w:color w:val="000000"/>
                <w:sz w:val="18"/>
                <w:szCs w:val="18"/>
              </w:rPr>
              <w:t>HappyOrNot</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FECB1"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061BA298" w14:textId="77777777" w:rsidTr="00521305">
        <w:trPr>
          <w:cantSplit/>
          <w:trHeight w:val="20"/>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5BACE" w14:textId="77777777" w:rsidR="001C19F3" w:rsidRDefault="001C19F3" w:rsidP="00521305">
            <w:pPr>
              <w:spacing w:after="0"/>
              <w:ind w:left="160" w:right="100"/>
            </w:pPr>
            <w:r>
              <w:rPr>
                <w:rFonts w:eastAsia="Century Gothic" w:cs="Century Gothic"/>
                <w:color w:val="000000"/>
                <w:sz w:val="18"/>
                <w:szCs w:val="18"/>
              </w:rPr>
              <w:t>HARP</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7C497A"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78EB6B07" w14:textId="77777777" w:rsidTr="00521305">
        <w:trPr>
          <w:cantSplit/>
          <w:trHeight w:val="20"/>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394974" w14:textId="77777777" w:rsidR="001C19F3" w:rsidRDefault="001C19F3" w:rsidP="00521305">
            <w:pPr>
              <w:spacing w:after="0"/>
              <w:ind w:left="160" w:right="100"/>
            </w:pPr>
            <w:r>
              <w:rPr>
                <w:rFonts w:eastAsia="Century Gothic" w:cs="Century Gothic"/>
                <w:color w:val="000000"/>
                <w:sz w:val="18"/>
                <w:szCs w:val="18"/>
              </w:rPr>
              <w:t>PAM</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C3D5BC"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6CB8A1A4" w14:textId="77777777" w:rsidTr="00521305">
        <w:trPr>
          <w:cantSplit/>
          <w:trHeight w:val="20"/>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75F4A9" w14:textId="77777777" w:rsidR="001C19F3" w:rsidRDefault="001C19F3" w:rsidP="00521305">
            <w:pPr>
              <w:spacing w:after="0"/>
              <w:ind w:left="160" w:right="100"/>
            </w:pPr>
            <w:r>
              <w:rPr>
                <w:rFonts w:eastAsia="Century Gothic" w:cs="Century Gothic"/>
                <w:color w:val="000000"/>
                <w:sz w:val="18"/>
                <w:szCs w:val="18"/>
              </w:rPr>
              <w:t>PCMH tool</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37E0D2"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48965161" w14:textId="77777777" w:rsidTr="00521305">
        <w:trPr>
          <w:cantSplit/>
          <w:trHeight w:val="283"/>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1E0A1E" w14:textId="77777777" w:rsidR="001C19F3" w:rsidRDefault="001C19F3" w:rsidP="00521305">
            <w:pPr>
              <w:spacing w:after="0"/>
              <w:ind w:left="100" w:right="100"/>
            </w:pPr>
            <w:r>
              <w:rPr>
                <w:rFonts w:eastAsia="Century Gothic" w:cs="Century Gothic"/>
                <w:b/>
                <w:color w:val="000000"/>
                <w:sz w:val="18"/>
                <w:szCs w:val="18"/>
              </w:rPr>
              <w:t>No</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76C5FD" w14:textId="77777777" w:rsidR="001C19F3" w:rsidRDefault="001C19F3" w:rsidP="00521305">
            <w:pPr>
              <w:spacing w:after="0"/>
              <w:ind w:left="100" w:right="100"/>
              <w:jc w:val="right"/>
            </w:pPr>
            <w:r>
              <w:rPr>
                <w:rFonts w:eastAsia="Century Gothic" w:cs="Century Gothic"/>
                <w:b/>
                <w:color w:val="000000"/>
                <w:sz w:val="18"/>
                <w:szCs w:val="18"/>
              </w:rPr>
              <w:t>72 (78.3%)</w:t>
            </w:r>
          </w:p>
        </w:tc>
      </w:tr>
      <w:tr w:rsidR="001C19F3" w14:paraId="3799C6A9" w14:textId="77777777" w:rsidTr="00521305">
        <w:trPr>
          <w:cantSplit/>
          <w:trHeight w:val="283"/>
          <w:jc w:val="center"/>
        </w:trPr>
        <w:tc>
          <w:tcPr>
            <w:tcW w:w="31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BCD83F" w14:textId="77777777" w:rsidR="001C19F3" w:rsidRDefault="001C19F3" w:rsidP="00521305">
            <w:pPr>
              <w:spacing w:after="0"/>
              <w:ind w:left="100" w:right="100"/>
            </w:pPr>
            <w:r>
              <w:rPr>
                <w:rFonts w:eastAsia="Century Gothic" w:cs="Century Gothic"/>
                <w:b/>
                <w:color w:val="000000"/>
                <w:sz w:val="18"/>
                <w:szCs w:val="18"/>
              </w:rPr>
              <w:t>Don't know/ no response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C0B2D7" w14:textId="77777777" w:rsidR="001C19F3" w:rsidRDefault="001C19F3" w:rsidP="00521305">
            <w:pPr>
              <w:spacing w:after="0"/>
              <w:ind w:left="100" w:right="100"/>
              <w:jc w:val="right"/>
            </w:pPr>
            <w:r>
              <w:rPr>
                <w:rFonts w:eastAsia="Century Gothic" w:cs="Century Gothic"/>
                <w:b/>
                <w:color w:val="000000"/>
                <w:sz w:val="18"/>
                <w:szCs w:val="18"/>
              </w:rPr>
              <w:t>4 (4.3%)</w:t>
            </w:r>
          </w:p>
        </w:tc>
      </w:tr>
    </w:tbl>
    <w:p w14:paraId="2167123F" w14:textId="77777777" w:rsidR="001C19F3" w:rsidRDefault="001C19F3" w:rsidP="001C19F3">
      <w:pPr>
        <w:pStyle w:val="Chartortablefootnote"/>
        <w:rPr>
          <w:rFonts w:eastAsia="Century Gothic" w:cs="Century Gothic"/>
          <w:i w:val="0"/>
          <w:color w:val="000000"/>
          <w:sz w:val="18"/>
        </w:rPr>
      </w:pPr>
      <w:r>
        <w:t>Source: Practice survey R2, Nov 2018-Mar 2019, question 21.</w:t>
      </w:r>
      <w:r>
        <w:rPr>
          <w:rFonts w:eastAsia="Century Gothic" w:cs="Century Gothic"/>
          <w:i w:val="0"/>
          <w:color w:val="000000"/>
          <w:sz w:val="18"/>
        </w:rPr>
        <w:br w:type="page"/>
      </w:r>
    </w:p>
    <w:p w14:paraId="0A33ADFE" w14:textId="77777777" w:rsidR="001C19F3" w:rsidRDefault="001C19F3" w:rsidP="00EE4B33">
      <w:pPr>
        <w:pStyle w:val="Caption1"/>
        <w:spacing w:after="0"/>
      </w:pPr>
      <w:bookmarkStart w:id="569" w:name="_Ref22640254"/>
      <w:r>
        <w:lastRenderedPageBreak/>
        <w:t xml:space="preserve">Table </w:t>
      </w:r>
      <w:r>
        <w:fldChar w:fldCharType="begin"/>
      </w:r>
      <w:r>
        <w:instrText>SEQ Table \* ARABIC</w:instrText>
      </w:r>
      <w:r>
        <w:fldChar w:fldCharType="separate"/>
      </w:r>
      <w:r>
        <w:rPr>
          <w:noProof/>
        </w:rPr>
        <w:t>49</w:t>
      </w:r>
      <w:r>
        <w:fldChar w:fldCharType="end"/>
      </w:r>
      <w:r>
        <w:t xml:space="preserve"> – Processes for providing care to patients with chronic illnesses changed following HCH implementation</w:t>
      </w:r>
      <w:bookmarkEnd w:id="569"/>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73799E4B"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A6981A"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1260B71"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B91BA66"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A8DEC7"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9775EB7" w14:textId="77777777" w:rsidR="001C19F3" w:rsidRDefault="001C19F3" w:rsidP="00521305">
            <w:pPr>
              <w:spacing w:after="0"/>
              <w:jc w:val="center"/>
            </w:pPr>
            <w:r>
              <w:rPr>
                <w:rFonts w:eastAsia="Century Gothic" w:cs="Century Gothic"/>
                <w:b/>
                <w:color w:val="FFFFFF"/>
                <w:sz w:val="18"/>
                <w:szCs w:val="18"/>
              </w:rPr>
              <w:t>Location</w:t>
            </w:r>
          </w:p>
        </w:tc>
      </w:tr>
      <w:tr w:rsidR="001C19F3" w14:paraId="07752EB8"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1BBAA15A"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61CCC825"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27141A"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3AE90F"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0BC675"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FC94074"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BAAD0E"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8DE94D"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3BE213"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95CC818" w14:textId="77777777" w:rsidR="001C19F3" w:rsidRDefault="001C19F3" w:rsidP="00521305">
            <w:pPr>
              <w:spacing w:after="0"/>
              <w:jc w:val="center"/>
            </w:pPr>
            <w:r>
              <w:rPr>
                <w:rFonts w:eastAsia="Century Gothic" w:cs="Century Gothic"/>
                <w:b/>
                <w:color w:val="FFFFFF"/>
                <w:sz w:val="18"/>
                <w:szCs w:val="18"/>
              </w:rPr>
              <w:t>MMM 4+</w:t>
            </w:r>
          </w:p>
        </w:tc>
      </w:tr>
      <w:tr w:rsidR="001C19F3" w14:paraId="78F70983"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8DEED5"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103EBE" w14:textId="77777777" w:rsidR="001C19F3" w:rsidRDefault="001C19F3" w:rsidP="00521305">
            <w:pPr>
              <w:spacing w:after="0"/>
              <w:ind w:left="100" w:right="100"/>
              <w:jc w:val="right"/>
            </w:pPr>
            <w:r>
              <w:rPr>
                <w:rFonts w:eastAsia="Century Gothic" w:cs="Century Gothic"/>
                <w:color w:val="000000"/>
                <w:sz w:val="18"/>
                <w:szCs w:val="18"/>
              </w:rPr>
              <w:t>50 (54.3%)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43BEF1" w14:textId="77777777" w:rsidR="001C19F3" w:rsidRDefault="001C19F3" w:rsidP="00521305">
            <w:pPr>
              <w:spacing w:after="0"/>
              <w:ind w:left="100" w:right="100"/>
              <w:jc w:val="right"/>
            </w:pPr>
            <w:r>
              <w:rPr>
                <w:rFonts w:eastAsia="Century Gothic" w:cs="Century Gothic"/>
                <w:color w:val="000000"/>
                <w:sz w:val="18"/>
                <w:szCs w:val="18"/>
              </w:rPr>
              <w:t>23 (59.0%)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00D4B4" w14:textId="77777777" w:rsidR="001C19F3" w:rsidRDefault="001C19F3" w:rsidP="00521305">
            <w:pPr>
              <w:spacing w:after="0"/>
              <w:ind w:left="100" w:right="100"/>
              <w:jc w:val="right"/>
            </w:pPr>
            <w:r>
              <w:rPr>
                <w:rFonts w:eastAsia="Century Gothic" w:cs="Century Gothic"/>
                <w:color w:val="000000"/>
                <w:sz w:val="18"/>
                <w:szCs w:val="18"/>
              </w:rPr>
              <w:t>27 (54.0%)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CDD3A" w14:textId="77777777" w:rsidR="001C19F3" w:rsidRDefault="001C19F3" w:rsidP="00521305">
            <w:pPr>
              <w:spacing w:after="0"/>
              <w:ind w:left="100" w:right="100"/>
              <w:jc w:val="right"/>
            </w:pPr>
            <w:r>
              <w:rPr>
                <w:rFonts w:eastAsia="Century Gothic" w:cs="Century Gothic"/>
                <w:color w:val="000000"/>
                <w:sz w:val="18"/>
                <w:szCs w:val="18"/>
              </w:rPr>
              <w:t>7 (53.8%)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EFB9C3" w14:textId="77777777" w:rsidR="001C19F3" w:rsidRDefault="001C19F3" w:rsidP="00521305">
            <w:pPr>
              <w:spacing w:after="0"/>
              <w:ind w:left="100" w:right="100"/>
              <w:jc w:val="right"/>
            </w:pPr>
            <w:r>
              <w:rPr>
                <w:rFonts w:eastAsia="Century Gothic" w:cs="Century Gothic"/>
                <w:color w:val="000000"/>
                <w:sz w:val="18"/>
                <w:szCs w:val="18"/>
              </w:rPr>
              <w:t>2 (33.3%)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B63074" w14:textId="77777777" w:rsidR="001C19F3" w:rsidRDefault="001C19F3" w:rsidP="00521305">
            <w:pPr>
              <w:spacing w:after="0"/>
              <w:ind w:left="100" w:right="100"/>
              <w:jc w:val="right"/>
            </w:pPr>
            <w:r>
              <w:rPr>
                <w:rFonts w:eastAsia="Century Gothic" w:cs="Century Gothic"/>
                <w:color w:val="000000"/>
                <w:sz w:val="18"/>
                <w:szCs w:val="18"/>
              </w:rPr>
              <w:t>41 (58.6%)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6D97FA" w14:textId="77777777" w:rsidR="001C19F3" w:rsidRDefault="001C19F3" w:rsidP="00521305">
            <w:pPr>
              <w:spacing w:after="0"/>
              <w:ind w:left="100" w:right="100"/>
              <w:jc w:val="right"/>
            </w:pPr>
            <w:r>
              <w:rPr>
                <w:rFonts w:eastAsia="Century Gothic" w:cs="Century Gothic"/>
                <w:color w:val="000000"/>
                <w:sz w:val="18"/>
                <w:szCs w:val="18"/>
              </w:rPr>
              <w:t>40 (55.6%)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6C1062" w14:textId="77777777" w:rsidR="001C19F3" w:rsidRDefault="001C19F3" w:rsidP="00521305">
            <w:pPr>
              <w:spacing w:after="0"/>
              <w:ind w:left="100" w:right="100"/>
              <w:jc w:val="right"/>
            </w:pPr>
            <w:r>
              <w:rPr>
                <w:rFonts w:eastAsia="Century Gothic" w:cs="Century Gothic"/>
                <w:color w:val="000000"/>
                <w:sz w:val="18"/>
                <w:szCs w:val="18"/>
              </w:rPr>
              <w:t>5 (62.5%)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BD7324" w14:textId="77777777" w:rsidR="001C19F3" w:rsidRDefault="001C19F3" w:rsidP="00521305">
            <w:pPr>
              <w:spacing w:after="0"/>
              <w:ind w:left="100" w:right="100"/>
              <w:jc w:val="right"/>
            </w:pPr>
            <w:r>
              <w:rPr>
                <w:rFonts w:eastAsia="Century Gothic" w:cs="Century Gothic"/>
                <w:color w:val="000000"/>
                <w:sz w:val="18"/>
                <w:szCs w:val="18"/>
              </w:rPr>
              <w:t>5 (55.6%)</w:t>
            </w:r>
          </w:p>
        </w:tc>
      </w:tr>
      <w:tr w:rsidR="001C19F3" w14:paraId="50E9477F"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34D3D6"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AF8C49" w14:textId="77777777" w:rsidR="001C19F3" w:rsidRDefault="001C19F3" w:rsidP="00521305">
            <w:pPr>
              <w:spacing w:after="0"/>
              <w:ind w:left="100" w:right="100"/>
              <w:jc w:val="right"/>
            </w:pPr>
            <w:r>
              <w:rPr>
                <w:rFonts w:eastAsia="Century Gothic" w:cs="Century Gothic"/>
                <w:color w:val="000000"/>
                <w:sz w:val="18"/>
                <w:szCs w:val="18"/>
              </w:rPr>
              <w:t>39 (42.4%)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A5BAAA" w14:textId="77777777" w:rsidR="001C19F3" w:rsidRDefault="001C19F3" w:rsidP="00521305">
            <w:pPr>
              <w:spacing w:after="0"/>
              <w:ind w:left="100" w:right="100"/>
              <w:jc w:val="right"/>
            </w:pPr>
            <w:r>
              <w:rPr>
                <w:rFonts w:eastAsia="Century Gothic" w:cs="Century Gothic"/>
                <w:color w:val="000000"/>
                <w:sz w:val="18"/>
                <w:szCs w:val="18"/>
              </w:rPr>
              <w:t>16 (41.0%)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F6E60D" w14:textId="77777777" w:rsidR="001C19F3" w:rsidRDefault="001C19F3" w:rsidP="00521305">
            <w:pPr>
              <w:spacing w:after="0"/>
              <w:ind w:left="100" w:right="100"/>
              <w:jc w:val="right"/>
            </w:pPr>
            <w:r>
              <w:rPr>
                <w:rFonts w:eastAsia="Century Gothic" w:cs="Century Gothic"/>
                <w:color w:val="000000"/>
                <w:sz w:val="18"/>
                <w:szCs w:val="18"/>
              </w:rPr>
              <w:t>23 (46.0%)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42F7B" w14:textId="77777777" w:rsidR="001C19F3" w:rsidRDefault="001C19F3" w:rsidP="00521305">
            <w:pPr>
              <w:spacing w:after="0"/>
              <w:ind w:left="100" w:right="100"/>
              <w:jc w:val="right"/>
            </w:pPr>
            <w:r>
              <w:rPr>
                <w:rFonts w:eastAsia="Century Gothic" w:cs="Century Gothic"/>
                <w:color w:val="000000"/>
                <w:sz w:val="18"/>
                <w:szCs w:val="18"/>
              </w:rPr>
              <w:t>6 (46.2%)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FE4259" w14:textId="77777777" w:rsidR="001C19F3" w:rsidRDefault="001C19F3" w:rsidP="00521305">
            <w:pPr>
              <w:spacing w:after="0"/>
              <w:ind w:left="100" w:right="100"/>
              <w:jc w:val="right"/>
            </w:pPr>
            <w:r>
              <w:rPr>
                <w:rFonts w:eastAsia="Century Gothic" w:cs="Century Gothic"/>
                <w:color w:val="000000"/>
                <w:sz w:val="18"/>
                <w:szCs w:val="18"/>
              </w:rPr>
              <w:t>4 (66.7%)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4420CE" w14:textId="77777777" w:rsidR="001C19F3" w:rsidRDefault="001C19F3" w:rsidP="00521305">
            <w:pPr>
              <w:spacing w:after="0"/>
              <w:ind w:left="100" w:right="100"/>
              <w:jc w:val="right"/>
            </w:pPr>
            <w:r>
              <w:rPr>
                <w:rFonts w:eastAsia="Century Gothic" w:cs="Century Gothic"/>
                <w:color w:val="000000"/>
                <w:sz w:val="18"/>
                <w:szCs w:val="18"/>
              </w:rPr>
              <w:t>29 (41.4%)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B5BD2" w14:textId="77777777" w:rsidR="001C19F3" w:rsidRDefault="001C19F3" w:rsidP="00521305">
            <w:pPr>
              <w:spacing w:after="0"/>
              <w:ind w:left="100" w:right="100"/>
              <w:jc w:val="right"/>
            </w:pPr>
            <w:r>
              <w:rPr>
                <w:rFonts w:eastAsia="Century Gothic" w:cs="Century Gothic"/>
                <w:color w:val="000000"/>
                <w:sz w:val="18"/>
                <w:szCs w:val="18"/>
              </w:rPr>
              <w:t>32 (44.4%)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E7117" w14:textId="77777777" w:rsidR="001C19F3" w:rsidRDefault="001C19F3" w:rsidP="00521305">
            <w:pPr>
              <w:spacing w:after="0"/>
              <w:ind w:left="100" w:right="100"/>
              <w:jc w:val="right"/>
            </w:pPr>
            <w:r>
              <w:rPr>
                <w:rFonts w:eastAsia="Century Gothic" w:cs="Century Gothic"/>
                <w:color w:val="000000"/>
                <w:sz w:val="18"/>
                <w:szCs w:val="18"/>
              </w:rPr>
              <w:t>3 (37.5%)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75451C" w14:textId="77777777" w:rsidR="001C19F3" w:rsidRDefault="001C19F3" w:rsidP="00521305">
            <w:pPr>
              <w:spacing w:after="0"/>
              <w:ind w:left="100" w:right="100"/>
              <w:jc w:val="right"/>
            </w:pPr>
            <w:r>
              <w:rPr>
                <w:rFonts w:eastAsia="Century Gothic" w:cs="Century Gothic"/>
                <w:color w:val="000000"/>
                <w:sz w:val="18"/>
                <w:szCs w:val="18"/>
              </w:rPr>
              <w:t>4 (44.4%)</w:t>
            </w:r>
          </w:p>
        </w:tc>
      </w:tr>
      <w:tr w:rsidR="001C19F3" w14:paraId="47BCA853"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68A496"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7ED2F9"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709B6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06D5C7"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43E378"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7A6AEE"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64FB5D"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0BDC88"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17F44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03C580" w14:textId="77777777" w:rsidR="001C19F3" w:rsidRDefault="001C19F3" w:rsidP="00521305">
            <w:pPr>
              <w:spacing w:after="0"/>
              <w:ind w:left="100" w:right="100"/>
              <w:jc w:val="right"/>
            </w:pPr>
            <w:r>
              <w:rPr>
                <w:rFonts w:eastAsia="Century Gothic" w:cs="Century Gothic"/>
                <w:color w:val="000000"/>
                <w:sz w:val="18"/>
                <w:szCs w:val="18"/>
              </w:rPr>
              <w:t>2</w:t>
            </w:r>
          </w:p>
        </w:tc>
      </w:tr>
    </w:tbl>
    <w:p w14:paraId="2B92566A" w14:textId="77777777" w:rsidR="001C19F3" w:rsidRDefault="001C19F3" w:rsidP="001C19F3">
      <w:pPr>
        <w:pStyle w:val="Chartortablefootnote"/>
        <w:rPr>
          <w:rFonts w:cstheme="minorBidi"/>
          <w:szCs w:val="20"/>
        </w:rPr>
      </w:pPr>
      <w:r>
        <w:t>Source: Practice survey R2, Nov 2018-Mar 2019, question 23.</w:t>
      </w:r>
    </w:p>
    <w:p w14:paraId="2809E751" w14:textId="77777777" w:rsidR="001C19F3" w:rsidRDefault="001C19F3" w:rsidP="00EE4B33">
      <w:pPr>
        <w:pStyle w:val="Caption1"/>
        <w:spacing w:after="0"/>
      </w:pPr>
      <w:bookmarkStart w:id="570" w:name="_Ref22640259"/>
      <w:r>
        <w:t xml:space="preserve">Table </w:t>
      </w:r>
      <w:r>
        <w:fldChar w:fldCharType="begin"/>
      </w:r>
      <w:r>
        <w:instrText>SEQ Table \* ARABIC</w:instrText>
      </w:r>
      <w:r>
        <w:fldChar w:fldCharType="separate"/>
      </w:r>
      <w:r>
        <w:rPr>
          <w:noProof/>
        </w:rPr>
        <w:t>50</w:t>
      </w:r>
      <w:r>
        <w:fldChar w:fldCharType="end"/>
      </w:r>
      <w:r>
        <w:t xml:space="preserve"> – Main ways in which processes for providing care to patients with chronic illnesses changed following HCH implementation</w:t>
      </w:r>
      <w:bookmarkEnd w:id="570"/>
    </w:p>
    <w:tbl>
      <w:tblPr>
        <w:tblW w:w="0" w:type="auto"/>
        <w:jc w:val="center"/>
        <w:tblLayout w:type="fixed"/>
        <w:tblLook w:val="04A0" w:firstRow="1" w:lastRow="0" w:firstColumn="1" w:lastColumn="0" w:noHBand="0" w:noVBand="1"/>
      </w:tblPr>
      <w:tblGrid>
        <w:gridCol w:w="5460"/>
        <w:gridCol w:w="1382"/>
        <w:gridCol w:w="138"/>
        <w:gridCol w:w="5460"/>
        <w:gridCol w:w="1382"/>
      </w:tblGrid>
      <w:tr w:rsidR="001C19F3" w14:paraId="0DDB23B5" w14:textId="77777777" w:rsidTr="00521305">
        <w:trPr>
          <w:cantSplit/>
          <w:trHeight w:val="20"/>
          <w:tblHeader/>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EFBDADB"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F07C186" w14:textId="77777777" w:rsidR="001C19F3" w:rsidRDefault="001C19F3" w:rsidP="00521305">
            <w:pPr>
              <w:spacing w:after="0"/>
              <w:jc w:val="center"/>
            </w:pPr>
            <w:r>
              <w:rPr>
                <w:rFonts w:eastAsia="Century Gothic" w:cs="Century Gothic"/>
                <w:b/>
                <w:color w:val="FFFFFF"/>
                <w:sz w:val="18"/>
                <w:szCs w:val="18"/>
              </w:rPr>
              <w:t>n (%)</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hideMark/>
          </w:tcPr>
          <w:p w14:paraId="279813D6" w14:textId="77777777" w:rsidR="001C19F3" w:rsidRDefault="001C19F3" w:rsidP="00521305">
            <w:pPr>
              <w:spacing w:after="0"/>
              <w:jc w:val="center"/>
            </w:pPr>
            <w:r>
              <w:rPr>
                <w:rFonts w:eastAsia="Century Gothic" w:cs="Century Gothic"/>
                <w:b/>
                <w:color w:val="FFFFFF"/>
                <w:sz w:val="18"/>
                <w:szCs w:val="18"/>
              </w:rPr>
              <w:t xml:space="preserve"> </w:t>
            </w:r>
          </w:p>
        </w:tc>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03DD0A3"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E79B32A" w14:textId="77777777" w:rsidR="001C19F3" w:rsidRDefault="001C19F3" w:rsidP="00521305">
            <w:pPr>
              <w:spacing w:after="0"/>
              <w:jc w:val="center"/>
            </w:pPr>
            <w:r>
              <w:rPr>
                <w:rFonts w:eastAsia="Century Gothic" w:cs="Century Gothic"/>
                <w:b/>
                <w:color w:val="FFFFFF"/>
                <w:sz w:val="18"/>
                <w:szCs w:val="18"/>
              </w:rPr>
              <w:t>n (%)</w:t>
            </w:r>
          </w:p>
        </w:tc>
      </w:tr>
      <w:tr w:rsidR="001C19F3" w14:paraId="15F79564"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F59B3D" w14:textId="77777777" w:rsidR="001C19F3" w:rsidRDefault="001C19F3" w:rsidP="00521305">
            <w:pPr>
              <w:spacing w:after="0"/>
              <w:ind w:left="100" w:right="100"/>
            </w:pPr>
            <w:r>
              <w:rPr>
                <w:rFonts w:eastAsia="Century Gothic" w:cs="Century Gothic"/>
                <w:color w:val="000000"/>
                <w:sz w:val="18"/>
                <w:szCs w:val="18"/>
              </w:rPr>
              <w:t>Nurses have more responsibility: patients can see the nurse for routine health checks, care planning, education, goals, and care monitoring</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514DC0" w14:textId="77777777" w:rsidR="001C19F3" w:rsidRDefault="001C19F3" w:rsidP="00521305">
            <w:pPr>
              <w:spacing w:after="0"/>
              <w:ind w:left="100" w:right="100"/>
              <w:jc w:val="right"/>
            </w:pPr>
            <w:r>
              <w:rPr>
                <w:rFonts w:eastAsia="Century Gothic" w:cs="Century Gothic"/>
                <w:color w:val="000000"/>
                <w:sz w:val="18"/>
                <w:szCs w:val="18"/>
              </w:rPr>
              <w:t>18 (19.6%)</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69208960"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4324C8" w14:textId="77777777" w:rsidR="001C19F3" w:rsidRDefault="001C19F3" w:rsidP="00521305">
            <w:pPr>
              <w:spacing w:after="0"/>
              <w:ind w:left="100" w:right="100"/>
            </w:pPr>
            <w:r>
              <w:rPr>
                <w:rFonts w:eastAsia="Century Gothic" w:cs="Century Gothic"/>
                <w:color w:val="000000"/>
                <w:sz w:val="18"/>
                <w:szCs w:val="18"/>
              </w:rPr>
              <w:t>More comprehensive care plans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6DEA1" w14:textId="77777777" w:rsidR="001C19F3" w:rsidRDefault="001C19F3" w:rsidP="00521305">
            <w:pPr>
              <w:spacing w:after="0"/>
              <w:ind w:left="100" w:right="100"/>
              <w:jc w:val="right"/>
            </w:pPr>
            <w:r>
              <w:rPr>
                <w:rFonts w:eastAsia="Century Gothic" w:cs="Century Gothic"/>
                <w:color w:val="000000"/>
                <w:sz w:val="18"/>
                <w:szCs w:val="18"/>
              </w:rPr>
              <w:t>2 (2.2%)</w:t>
            </w:r>
          </w:p>
        </w:tc>
      </w:tr>
      <w:tr w:rsidR="001C19F3" w14:paraId="0D1739D9"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ADB11" w14:textId="77777777" w:rsidR="001C19F3" w:rsidRDefault="001C19F3" w:rsidP="00521305">
            <w:pPr>
              <w:spacing w:after="0"/>
              <w:ind w:left="100" w:right="100"/>
            </w:pPr>
            <w:r>
              <w:rPr>
                <w:rFonts w:eastAsia="Century Gothic" w:cs="Century Gothic"/>
                <w:color w:val="000000"/>
                <w:sz w:val="18"/>
                <w:szCs w:val="18"/>
              </w:rPr>
              <w:t>Additional contact/access to the practice nurse or admin staff through phone and email</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230ECA" w14:textId="77777777" w:rsidR="001C19F3" w:rsidRDefault="001C19F3" w:rsidP="00521305">
            <w:pPr>
              <w:spacing w:after="0"/>
              <w:ind w:left="100" w:right="100"/>
              <w:jc w:val="right"/>
            </w:pPr>
            <w:r>
              <w:rPr>
                <w:rFonts w:eastAsia="Century Gothic" w:cs="Century Gothic"/>
                <w:color w:val="000000"/>
                <w:sz w:val="18"/>
                <w:szCs w:val="18"/>
              </w:rPr>
              <w:t>11 (12.0%)</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6CFB3FA2"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C52B66" w14:textId="77777777" w:rsidR="001C19F3" w:rsidRDefault="001C19F3" w:rsidP="00521305">
            <w:pPr>
              <w:spacing w:after="0"/>
              <w:ind w:left="100" w:right="100"/>
            </w:pPr>
            <w:r>
              <w:rPr>
                <w:rFonts w:eastAsia="Century Gothic" w:cs="Century Gothic"/>
                <w:color w:val="000000"/>
                <w:sz w:val="18"/>
                <w:szCs w:val="18"/>
              </w:rPr>
              <w:t>More proactive rather than reactive model of care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1EEA82" w14:textId="77777777" w:rsidR="001C19F3" w:rsidRDefault="001C19F3" w:rsidP="00521305">
            <w:pPr>
              <w:spacing w:after="0"/>
              <w:ind w:left="100" w:right="100"/>
              <w:jc w:val="right"/>
            </w:pPr>
            <w:r>
              <w:rPr>
                <w:rFonts w:eastAsia="Century Gothic" w:cs="Century Gothic"/>
                <w:color w:val="000000"/>
                <w:sz w:val="18"/>
                <w:szCs w:val="18"/>
              </w:rPr>
              <w:t>2 (2.2%)</w:t>
            </w:r>
          </w:p>
        </w:tc>
      </w:tr>
      <w:tr w:rsidR="001C19F3" w14:paraId="30109CAB"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12EB49" w14:textId="77777777" w:rsidR="001C19F3" w:rsidRDefault="001C19F3" w:rsidP="00521305">
            <w:pPr>
              <w:spacing w:after="0"/>
              <w:ind w:left="100" w:right="100"/>
            </w:pPr>
            <w:r>
              <w:rPr>
                <w:rFonts w:eastAsia="Century Gothic" w:cs="Century Gothic"/>
                <w:color w:val="000000"/>
                <w:sz w:val="18"/>
                <w:szCs w:val="18"/>
              </w:rPr>
              <w:t>Improved external and/or internal team care involvement and communication</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D924DD" w14:textId="77777777" w:rsidR="001C19F3" w:rsidRDefault="001C19F3" w:rsidP="00521305">
            <w:pPr>
              <w:spacing w:after="0"/>
              <w:ind w:left="100" w:right="100"/>
              <w:jc w:val="right"/>
            </w:pPr>
            <w:r>
              <w:rPr>
                <w:rFonts w:eastAsia="Century Gothic" w:cs="Century Gothic"/>
                <w:color w:val="000000"/>
                <w:sz w:val="18"/>
                <w:szCs w:val="18"/>
              </w:rPr>
              <w:t>11 (12.0%)</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5C6807DA"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0220AC" w14:textId="77777777" w:rsidR="001C19F3" w:rsidRDefault="001C19F3" w:rsidP="00521305">
            <w:pPr>
              <w:spacing w:after="0"/>
              <w:ind w:left="100" w:right="100"/>
            </w:pPr>
            <w:r>
              <w:rPr>
                <w:rFonts w:eastAsia="Century Gothic" w:cs="Century Gothic"/>
                <w:color w:val="000000"/>
                <w:sz w:val="18"/>
                <w:szCs w:val="18"/>
              </w:rPr>
              <w:t>New payment structure that compensates for more chronic care services and additional health professionals beyond GPs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AC1E3B" w14:textId="77777777" w:rsidR="001C19F3" w:rsidRDefault="001C19F3" w:rsidP="00521305">
            <w:pPr>
              <w:spacing w:after="0"/>
              <w:ind w:left="100" w:right="100"/>
              <w:jc w:val="right"/>
            </w:pPr>
            <w:r>
              <w:rPr>
                <w:rFonts w:eastAsia="Century Gothic" w:cs="Century Gothic"/>
                <w:color w:val="000000"/>
                <w:sz w:val="18"/>
                <w:szCs w:val="18"/>
              </w:rPr>
              <w:t>2 (2.2%)</w:t>
            </w:r>
          </w:p>
        </w:tc>
      </w:tr>
      <w:tr w:rsidR="001C19F3" w14:paraId="558EB934"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5720CB" w14:textId="77777777" w:rsidR="001C19F3" w:rsidRDefault="001C19F3" w:rsidP="00521305">
            <w:pPr>
              <w:spacing w:after="0"/>
              <w:ind w:left="100" w:right="100"/>
            </w:pPr>
            <w:r>
              <w:rPr>
                <w:rFonts w:eastAsia="Century Gothic" w:cs="Century Gothic"/>
                <w:color w:val="000000"/>
                <w:sz w:val="18"/>
                <w:szCs w:val="18"/>
              </w:rPr>
              <w:t>Office contacting patients more via phone/email to discuss condition, recall, results, etc.</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91C8F7" w14:textId="77777777" w:rsidR="001C19F3" w:rsidRDefault="001C19F3" w:rsidP="00521305">
            <w:pPr>
              <w:spacing w:after="0"/>
              <w:ind w:left="100" w:right="100"/>
              <w:jc w:val="right"/>
            </w:pPr>
            <w:r>
              <w:rPr>
                <w:rFonts w:eastAsia="Century Gothic" w:cs="Century Gothic"/>
                <w:color w:val="000000"/>
                <w:sz w:val="18"/>
                <w:szCs w:val="18"/>
              </w:rPr>
              <w:t>9 (9.8%)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0D76E92"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B98B6B" w14:textId="77777777" w:rsidR="001C19F3" w:rsidRDefault="001C19F3" w:rsidP="00521305">
            <w:pPr>
              <w:spacing w:after="0"/>
              <w:ind w:left="100" w:right="100"/>
            </w:pPr>
            <w:r>
              <w:rPr>
                <w:rFonts w:eastAsia="Century Gothic" w:cs="Century Gothic"/>
                <w:color w:val="000000"/>
                <w:sz w:val="18"/>
                <w:szCs w:val="18"/>
              </w:rPr>
              <w:t>Upskilling staff members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263A14" w14:textId="77777777" w:rsidR="001C19F3" w:rsidRDefault="001C19F3" w:rsidP="00521305">
            <w:pPr>
              <w:spacing w:after="0"/>
              <w:ind w:left="100" w:right="100"/>
              <w:jc w:val="right"/>
            </w:pPr>
            <w:r>
              <w:rPr>
                <w:rFonts w:eastAsia="Century Gothic" w:cs="Century Gothic"/>
                <w:color w:val="000000"/>
                <w:sz w:val="18"/>
                <w:szCs w:val="18"/>
              </w:rPr>
              <w:t>2 (2.2%)</w:t>
            </w:r>
          </w:p>
        </w:tc>
      </w:tr>
      <w:tr w:rsidR="001C19F3" w14:paraId="137A8DDD"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63D29D" w14:textId="77777777" w:rsidR="001C19F3" w:rsidRDefault="001C19F3" w:rsidP="00521305">
            <w:pPr>
              <w:spacing w:after="0"/>
              <w:ind w:left="100" w:right="100"/>
            </w:pPr>
            <w:r>
              <w:rPr>
                <w:rFonts w:eastAsia="Century Gothic" w:cs="Century Gothic"/>
                <w:color w:val="000000"/>
                <w:sz w:val="18"/>
                <w:szCs w:val="18"/>
              </w:rPr>
              <w:t>Nurses or HCH coordinator performing recall duties to monitor patients' conditions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93A748" w14:textId="77777777" w:rsidR="001C19F3" w:rsidRDefault="001C19F3" w:rsidP="00521305">
            <w:pPr>
              <w:spacing w:after="0"/>
              <w:ind w:left="100" w:right="100"/>
              <w:jc w:val="right"/>
            </w:pPr>
            <w:r>
              <w:rPr>
                <w:rFonts w:eastAsia="Century Gothic" w:cs="Century Gothic"/>
                <w:color w:val="000000"/>
                <w:sz w:val="18"/>
                <w:szCs w:val="18"/>
              </w:rPr>
              <w:t>8 (8.7%)</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2852B42"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93BFF" w14:textId="77777777" w:rsidR="001C19F3" w:rsidRDefault="001C19F3" w:rsidP="00521305">
            <w:pPr>
              <w:spacing w:after="0"/>
              <w:ind w:left="100" w:right="100"/>
            </w:pPr>
            <w:r>
              <w:rPr>
                <w:rFonts w:eastAsia="Century Gothic" w:cs="Century Gothic"/>
                <w:color w:val="000000"/>
                <w:sz w:val="18"/>
                <w:szCs w:val="18"/>
              </w:rPr>
              <w:t>Care reviews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DF883E"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4AC6506B"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A11ADE" w14:textId="77777777" w:rsidR="001C19F3" w:rsidRDefault="001C19F3" w:rsidP="00521305">
            <w:pPr>
              <w:spacing w:after="0"/>
              <w:ind w:left="100" w:right="100"/>
            </w:pPr>
            <w:r>
              <w:rPr>
                <w:rFonts w:eastAsia="Century Gothic" w:cs="Century Gothic"/>
                <w:color w:val="000000"/>
                <w:sz w:val="18"/>
                <w:szCs w:val="18"/>
              </w:rPr>
              <w:t>Patients can request prescription refills and/or referrals without seeing the GP</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90B0B5" w14:textId="77777777" w:rsidR="001C19F3" w:rsidRDefault="001C19F3" w:rsidP="00521305">
            <w:pPr>
              <w:spacing w:after="0"/>
              <w:ind w:left="100" w:right="100"/>
              <w:jc w:val="right"/>
            </w:pPr>
            <w:r>
              <w:rPr>
                <w:rFonts w:eastAsia="Century Gothic" w:cs="Century Gothic"/>
                <w:color w:val="000000"/>
                <w:sz w:val="18"/>
                <w:szCs w:val="18"/>
              </w:rPr>
              <w:t>7 (7.6%)</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43D7E579"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8B2501" w14:textId="77777777" w:rsidR="001C19F3" w:rsidRDefault="001C19F3" w:rsidP="00521305">
            <w:pPr>
              <w:spacing w:after="0"/>
              <w:ind w:left="100" w:right="100"/>
            </w:pPr>
            <w:r>
              <w:rPr>
                <w:rFonts w:eastAsia="Century Gothic" w:cs="Century Gothic"/>
                <w:color w:val="000000"/>
                <w:sz w:val="18"/>
                <w:szCs w:val="18"/>
              </w:rPr>
              <w:t>Clinicians able to do administrative work offsite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176D3C"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608CB5BF"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07E67F" w14:textId="77777777" w:rsidR="001C19F3" w:rsidRDefault="001C19F3" w:rsidP="00521305">
            <w:pPr>
              <w:spacing w:after="0"/>
              <w:ind w:left="100" w:right="100"/>
            </w:pPr>
            <w:r>
              <w:rPr>
                <w:rFonts w:eastAsia="Century Gothic" w:cs="Century Gothic"/>
                <w:color w:val="000000"/>
                <w:sz w:val="18"/>
                <w:szCs w:val="18"/>
              </w:rPr>
              <w:t>Additional contact/access to the GP</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2276DF" w14:textId="77777777" w:rsidR="001C19F3" w:rsidRDefault="001C19F3" w:rsidP="00521305">
            <w:pPr>
              <w:spacing w:after="0"/>
              <w:ind w:left="100" w:right="100"/>
              <w:jc w:val="right"/>
            </w:pPr>
            <w:r>
              <w:rPr>
                <w:rFonts w:eastAsia="Century Gothic" w:cs="Century Gothic"/>
                <w:color w:val="000000"/>
                <w:sz w:val="18"/>
                <w:szCs w:val="18"/>
              </w:rPr>
              <w:t>6 (6.5%)</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44370F98"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5E181B" w14:textId="77777777" w:rsidR="001C19F3" w:rsidRDefault="001C19F3" w:rsidP="00521305">
            <w:pPr>
              <w:spacing w:after="0"/>
              <w:ind w:left="100" w:right="100"/>
            </w:pPr>
            <w:r>
              <w:rPr>
                <w:rFonts w:eastAsia="Century Gothic" w:cs="Century Gothic"/>
                <w:color w:val="000000"/>
                <w:sz w:val="18"/>
                <w:szCs w:val="18"/>
              </w:rPr>
              <w:t>Dedicated email, phone line to HCH patients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CF8E24"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66F18317"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2542D8" w14:textId="77777777" w:rsidR="001C19F3" w:rsidRDefault="001C19F3" w:rsidP="00521305">
            <w:pPr>
              <w:spacing w:after="0"/>
              <w:ind w:left="100" w:right="100"/>
            </w:pPr>
            <w:r>
              <w:rPr>
                <w:rFonts w:eastAsia="Century Gothic" w:cs="Century Gothic"/>
                <w:color w:val="000000"/>
                <w:sz w:val="18"/>
                <w:szCs w:val="18"/>
              </w:rPr>
              <w:t>Enhanced IT systems and new applications/services to improve quality of patient care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8225DE" w14:textId="77777777" w:rsidR="001C19F3" w:rsidRDefault="001C19F3" w:rsidP="00521305">
            <w:pPr>
              <w:spacing w:after="0"/>
              <w:ind w:left="100" w:right="100"/>
              <w:jc w:val="right"/>
            </w:pPr>
            <w:r>
              <w:rPr>
                <w:rFonts w:eastAsia="Century Gothic" w:cs="Century Gothic"/>
                <w:color w:val="000000"/>
                <w:sz w:val="18"/>
                <w:szCs w:val="18"/>
              </w:rPr>
              <w:t>5 (5.4%)</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64F3A7D6"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AB60C" w14:textId="77777777" w:rsidR="001C19F3" w:rsidRDefault="001C19F3" w:rsidP="00521305">
            <w:pPr>
              <w:spacing w:after="0"/>
              <w:ind w:left="100" w:right="100"/>
            </w:pPr>
            <w:r>
              <w:rPr>
                <w:rFonts w:eastAsia="Century Gothic" w:cs="Century Gothic"/>
                <w:color w:val="000000"/>
                <w:sz w:val="18"/>
                <w:szCs w:val="18"/>
              </w:rPr>
              <w:t>Improved care management of chronic disease patients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A6ED7B"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2F90B388"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3EE96A" w14:textId="77777777" w:rsidR="001C19F3" w:rsidRDefault="001C19F3" w:rsidP="00521305">
            <w:pPr>
              <w:spacing w:after="0"/>
              <w:ind w:left="100" w:right="100"/>
            </w:pPr>
            <w:r>
              <w:rPr>
                <w:rFonts w:eastAsia="Century Gothic" w:cs="Century Gothic"/>
                <w:color w:val="000000"/>
                <w:sz w:val="18"/>
                <w:szCs w:val="18"/>
              </w:rPr>
              <w:t>New patient activities such as clinics, meetings, groups, education sessions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8D5C1A" w14:textId="77777777" w:rsidR="001C19F3" w:rsidRDefault="001C19F3" w:rsidP="00521305">
            <w:pPr>
              <w:spacing w:after="0"/>
              <w:ind w:left="100" w:right="100"/>
              <w:jc w:val="right"/>
            </w:pPr>
            <w:r>
              <w:rPr>
                <w:rFonts w:eastAsia="Century Gothic" w:cs="Century Gothic"/>
                <w:color w:val="000000"/>
                <w:sz w:val="18"/>
                <w:szCs w:val="18"/>
              </w:rPr>
              <w:t>5 (5.4%)</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5C132E0E"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ABC67" w14:textId="77777777" w:rsidR="001C19F3" w:rsidRDefault="001C19F3" w:rsidP="00521305">
            <w:pPr>
              <w:spacing w:after="0"/>
              <w:ind w:left="100" w:right="100"/>
            </w:pPr>
            <w:r>
              <w:rPr>
                <w:rFonts w:eastAsia="Century Gothic" w:cs="Century Gothic"/>
                <w:color w:val="000000"/>
                <w:sz w:val="18"/>
                <w:szCs w:val="18"/>
              </w:rPr>
              <w:t>Introduction of new team members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7ABC24"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103B9FD2"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442506" w14:textId="77777777" w:rsidR="001C19F3" w:rsidRDefault="001C19F3" w:rsidP="00521305">
            <w:pPr>
              <w:spacing w:after="0"/>
              <w:ind w:left="100" w:right="100"/>
            </w:pPr>
            <w:r>
              <w:rPr>
                <w:rFonts w:eastAsia="Century Gothic" w:cs="Century Gothic"/>
                <w:color w:val="000000"/>
                <w:sz w:val="18"/>
                <w:szCs w:val="18"/>
              </w:rPr>
              <w:t>Generally improved patient access to care/resources and continuity of care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4D2F00" w14:textId="77777777" w:rsidR="001C19F3" w:rsidRDefault="001C19F3" w:rsidP="00521305">
            <w:pPr>
              <w:spacing w:after="0"/>
              <w:ind w:left="100" w:right="100"/>
              <w:jc w:val="right"/>
            </w:pPr>
            <w:r>
              <w:rPr>
                <w:rFonts w:eastAsia="Century Gothic" w:cs="Century Gothic"/>
                <w:color w:val="000000"/>
                <w:sz w:val="18"/>
                <w:szCs w:val="18"/>
              </w:rPr>
              <w:t>3 (3.3%)</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1E10C1FC"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EE8FC1" w14:textId="77777777" w:rsidR="001C19F3" w:rsidRDefault="001C19F3" w:rsidP="00521305">
            <w:pPr>
              <w:spacing w:after="0"/>
              <w:ind w:left="100" w:right="100"/>
            </w:pPr>
            <w:r>
              <w:rPr>
                <w:rFonts w:eastAsia="Century Gothic" w:cs="Century Gothic"/>
                <w:color w:val="000000"/>
                <w:sz w:val="18"/>
                <w:szCs w:val="18"/>
              </w:rPr>
              <w:t>More regular patient check-ups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DA338" w14:textId="77777777" w:rsidR="001C19F3" w:rsidRDefault="001C19F3" w:rsidP="00521305">
            <w:pPr>
              <w:spacing w:after="0"/>
              <w:ind w:left="100" w:right="100"/>
              <w:jc w:val="right"/>
            </w:pPr>
            <w:r>
              <w:rPr>
                <w:rFonts w:eastAsia="Century Gothic" w:cs="Century Gothic"/>
                <w:color w:val="000000"/>
                <w:sz w:val="18"/>
                <w:szCs w:val="18"/>
              </w:rPr>
              <w:t>1 (1.1%)</w:t>
            </w:r>
          </w:p>
        </w:tc>
      </w:tr>
      <w:tr w:rsidR="001C19F3" w14:paraId="65A82B9C"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6EF429" w14:textId="77777777" w:rsidR="001C19F3" w:rsidRDefault="001C19F3" w:rsidP="00521305">
            <w:pPr>
              <w:spacing w:after="0"/>
              <w:ind w:left="100" w:right="100"/>
            </w:pPr>
            <w:r>
              <w:rPr>
                <w:rFonts w:eastAsia="Century Gothic" w:cs="Century Gothic"/>
                <w:color w:val="000000"/>
                <w:sz w:val="18"/>
                <w:szCs w:val="18"/>
              </w:rPr>
              <w:t>Additional patient time with staff members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999D90" w14:textId="77777777" w:rsidR="001C19F3" w:rsidRDefault="001C19F3" w:rsidP="00521305">
            <w:pPr>
              <w:spacing w:after="0"/>
              <w:ind w:left="100" w:right="100"/>
              <w:jc w:val="right"/>
            </w:pPr>
            <w:r>
              <w:rPr>
                <w:rFonts w:eastAsia="Century Gothic" w:cs="Century Gothic"/>
                <w:color w:val="000000"/>
                <w:sz w:val="18"/>
                <w:szCs w:val="18"/>
              </w:rPr>
              <w:t>2 (2.2%)</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393E80E5"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E3941B" w14:textId="77777777" w:rsidR="001C19F3" w:rsidRDefault="001C19F3" w:rsidP="00521305">
            <w:pPr>
              <w:spacing w:after="0"/>
              <w:ind w:left="100" w:right="100"/>
            </w:pP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B58B28" w14:textId="77777777" w:rsidR="001C19F3" w:rsidRDefault="001C19F3" w:rsidP="00521305">
            <w:pPr>
              <w:spacing w:after="0"/>
              <w:ind w:left="100" w:right="100"/>
              <w:jc w:val="right"/>
            </w:pPr>
          </w:p>
        </w:tc>
      </w:tr>
    </w:tbl>
    <w:p w14:paraId="7F9DF4B5" w14:textId="77777777" w:rsidR="001C19F3" w:rsidRDefault="001C19F3" w:rsidP="001C19F3">
      <w:pPr>
        <w:pStyle w:val="Chartortablefootnote"/>
        <w:rPr>
          <w:rFonts w:cstheme="minorBidi"/>
          <w:szCs w:val="20"/>
        </w:rPr>
      </w:pPr>
      <w:r>
        <w:t>Source: Practice survey R2, Nov 2018-Mar 2019, question 23.</w:t>
      </w:r>
    </w:p>
    <w:p w14:paraId="69C1B950" w14:textId="77777777" w:rsidR="001C19F3" w:rsidRDefault="001C19F3" w:rsidP="001C19F3">
      <w:pPr>
        <w:pStyle w:val="Caption1"/>
      </w:pPr>
      <w:bookmarkStart w:id="571" w:name="_Ref22640265"/>
      <w:r>
        <w:lastRenderedPageBreak/>
        <w:t xml:space="preserve">Table </w:t>
      </w:r>
      <w:r>
        <w:fldChar w:fldCharType="begin"/>
      </w:r>
      <w:r>
        <w:instrText>SEQ Table \* ARABIC</w:instrText>
      </w:r>
      <w:r>
        <w:fldChar w:fldCharType="separate"/>
      </w:r>
      <w:r>
        <w:rPr>
          <w:noProof/>
        </w:rPr>
        <w:t>51</w:t>
      </w:r>
      <w:r>
        <w:fldChar w:fldCharType="end"/>
      </w:r>
      <w:r>
        <w:t xml:space="preserve"> – Improvements in clinical care/chronic disease management that will be a focus during HCH implementation</w:t>
      </w:r>
      <w:bookmarkEnd w:id="571"/>
    </w:p>
    <w:tbl>
      <w:tblPr>
        <w:tblW w:w="0" w:type="auto"/>
        <w:jc w:val="center"/>
        <w:tblLayout w:type="fixed"/>
        <w:tblLook w:val="04A0" w:firstRow="1" w:lastRow="0" w:firstColumn="1" w:lastColumn="0" w:noHBand="0" w:noVBand="1"/>
      </w:tblPr>
      <w:tblGrid>
        <w:gridCol w:w="2967"/>
        <w:gridCol w:w="1134"/>
        <w:gridCol w:w="1134"/>
        <w:gridCol w:w="8589"/>
      </w:tblGrid>
      <w:tr w:rsidR="001C19F3" w14:paraId="55140579" w14:textId="77777777" w:rsidTr="00521305">
        <w:trPr>
          <w:cantSplit/>
          <w:trHeight w:val="20"/>
          <w:tblHeader/>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7EF321D" w14:textId="77777777" w:rsidR="001C19F3" w:rsidRDefault="001C19F3" w:rsidP="00521305">
            <w:pPr>
              <w:spacing w:after="0"/>
              <w:jc w:val="center"/>
            </w:pPr>
            <w:r>
              <w:rPr>
                <w:rFonts w:eastAsia="Century Gothic" w:cs="Century Gothic"/>
                <w:b/>
                <w:color w:val="FFFFFF"/>
                <w:sz w:val="18"/>
                <w:szCs w:val="18"/>
              </w:rPr>
              <w:t>Response</w:t>
            </w:r>
          </w:p>
        </w:tc>
        <w:tc>
          <w:tcPr>
            <w:tcW w:w="113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626CA2" w14:textId="77777777" w:rsidR="001C19F3" w:rsidRDefault="001C19F3" w:rsidP="00521305">
            <w:pPr>
              <w:spacing w:after="0"/>
              <w:jc w:val="center"/>
            </w:pPr>
            <w:r>
              <w:rPr>
                <w:rFonts w:eastAsia="Century Gothic" w:cs="Century Gothic"/>
                <w:b/>
                <w:color w:val="FFFFFF"/>
                <w:sz w:val="18"/>
                <w:szCs w:val="18"/>
              </w:rPr>
              <w:t>n (%)</w:t>
            </w:r>
          </w:p>
        </w:tc>
        <w:tc>
          <w:tcPr>
            <w:tcW w:w="113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0EE647B" w14:textId="77777777" w:rsidR="001C19F3" w:rsidRDefault="001C19F3" w:rsidP="00521305">
            <w:pPr>
              <w:spacing w:after="0"/>
              <w:jc w:val="center"/>
            </w:pPr>
            <w:r>
              <w:rPr>
                <w:rFonts w:eastAsia="Century Gothic" w:cs="Century Gothic"/>
                <w:b/>
                <w:color w:val="FFFFFF"/>
                <w:sz w:val="18"/>
                <w:szCs w:val="18"/>
              </w:rPr>
              <w:t>Worked prior to HCH</w:t>
            </w:r>
          </w:p>
        </w:tc>
        <w:tc>
          <w:tcPr>
            <w:tcW w:w="858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491B686" w14:textId="77777777" w:rsidR="001C19F3" w:rsidRDefault="001C19F3" w:rsidP="00521305">
            <w:pPr>
              <w:spacing w:after="0"/>
              <w:jc w:val="center"/>
            </w:pPr>
            <w:r>
              <w:rPr>
                <w:rFonts w:eastAsia="Century Gothic" w:cs="Century Gothic"/>
                <w:b/>
                <w:color w:val="FFFFFF"/>
                <w:sz w:val="18"/>
                <w:szCs w:val="18"/>
              </w:rPr>
              <w:t>Monitoring measures (in order of frequency)</w:t>
            </w:r>
          </w:p>
        </w:tc>
      </w:tr>
      <w:tr w:rsidR="001C19F3" w14:paraId="7A3D10D1"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C22E824"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30B093" w14:textId="77777777" w:rsidR="001C19F3" w:rsidRDefault="001C19F3" w:rsidP="00521305">
            <w:pPr>
              <w:spacing w:after="0"/>
              <w:ind w:left="100" w:right="100"/>
              <w:jc w:val="right"/>
            </w:pPr>
            <w:r>
              <w:rPr>
                <w:rFonts w:eastAsia="Century Gothic" w:cs="Century Gothic"/>
                <w:color w:val="000000"/>
                <w:sz w:val="18"/>
                <w:szCs w:val="18"/>
              </w:rPr>
              <w:t>28 (30.4%)</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F2EF38" w14:textId="77777777" w:rsidR="001C19F3" w:rsidRDefault="001C19F3" w:rsidP="00521305">
            <w:pPr>
              <w:spacing w:after="0"/>
              <w:ind w:left="100" w:right="100"/>
              <w:jc w:val="right"/>
            </w:pPr>
            <w:r>
              <w:rPr>
                <w:rFonts w:eastAsia="Century Gothic" w:cs="Century Gothic"/>
                <w:color w:val="000000"/>
                <w:sz w:val="18"/>
                <w:szCs w:val="18"/>
              </w:rPr>
              <w:t>17 (18.5%)</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CFD578"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Generally improved care management/model of care; Improved practice recall processes; Improved care planning; Improving patient education, involvement, knowledge, and self-management; Increased practice-patient contact and access to GP/nurses through electronic communication, email, and phone; Nurses have more responsibility or involvement in patient care; Patient feedback; Patient satisfaction/experience; Regular patient assessments, reviews, and/or check-ups.</w:t>
            </w:r>
          </w:p>
        </w:tc>
      </w:tr>
      <w:tr w:rsidR="001C19F3" w14:paraId="7BCB17ED"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13BB1E6B" w14:textId="77777777" w:rsidR="001C19F3" w:rsidRDefault="001C19F3" w:rsidP="00521305">
            <w:pPr>
              <w:spacing w:after="0"/>
              <w:ind w:left="100" w:right="100"/>
            </w:pPr>
            <w:r>
              <w:rPr>
                <w:rFonts w:eastAsia="Century Gothic" w:cs="Century Gothic"/>
                <w:color w:val="000000"/>
                <w:sz w:val="18"/>
                <w:szCs w:val="18"/>
              </w:rPr>
              <w:t>More external and internal integrated team care and communication</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8ABD2D" w14:textId="77777777" w:rsidR="001C19F3" w:rsidRDefault="001C19F3" w:rsidP="00521305">
            <w:pPr>
              <w:spacing w:after="0"/>
              <w:ind w:left="100" w:right="100"/>
              <w:jc w:val="right"/>
            </w:pPr>
            <w:r>
              <w:rPr>
                <w:rFonts w:eastAsia="Century Gothic" w:cs="Century Gothic"/>
                <w:color w:val="000000"/>
                <w:sz w:val="18"/>
                <w:szCs w:val="18"/>
              </w:rPr>
              <w:t>23 (25.0%)</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8813B5" w14:textId="77777777" w:rsidR="001C19F3" w:rsidRDefault="001C19F3" w:rsidP="00521305">
            <w:pPr>
              <w:spacing w:after="0"/>
              <w:ind w:left="100" w:right="100"/>
              <w:jc w:val="right"/>
            </w:pPr>
            <w:r>
              <w:rPr>
                <w:rFonts w:eastAsia="Century Gothic" w:cs="Century Gothic"/>
                <w:color w:val="000000"/>
                <w:sz w:val="18"/>
                <w:szCs w:val="18"/>
              </w:rPr>
              <w:t>7 (7.6%)</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68CE9D"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Improved care planning; Increased practice-patient contact and access to GP/nurses through electronic communication, email, and phone; Improved billing services; More external and internal integrated team care and communication; More patient and/or practice staff feedback; Patient satisfaction/experience; Improved health outcomes; Improving patient education, involvement, knowledge, and self-management; Nurses have more responsibility or involvement in patient care; Pharmacist medication reviews/monitoring.</w:t>
            </w:r>
          </w:p>
        </w:tc>
      </w:tr>
      <w:tr w:rsidR="001C19F3" w14:paraId="175CA24D"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3961D676" w14:textId="77777777" w:rsidR="001C19F3" w:rsidRDefault="001C19F3" w:rsidP="00521305">
            <w:pPr>
              <w:spacing w:after="0"/>
              <w:ind w:left="100" w:right="100"/>
            </w:pPr>
            <w:r>
              <w:rPr>
                <w:rFonts w:eastAsia="Century Gothic" w:cs="Century Gothic"/>
                <w:color w:val="000000"/>
                <w:sz w:val="18"/>
                <w:szCs w:val="18"/>
              </w:rPr>
              <w:t>Increased practice-patient contact and access to GP/nurses through electronic communication, email, and phone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6D2DFA" w14:textId="77777777" w:rsidR="001C19F3" w:rsidRDefault="001C19F3" w:rsidP="00521305">
            <w:pPr>
              <w:spacing w:after="0"/>
              <w:ind w:left="100" w:right="100"/>
              <w:jc w:val="right"/>
            </w:pPr>
            <w:r>
              <w:rPr>
                <w:rFonts w:eastAsia="Century Gothic" w:cs="Century Gothic"/>
                <w:color w:val="000000"/>
                <w:sz w:val="18"/>
                <w:szCs w:val="18"/>
              </w:rPr>
              <w:t>19 (20.7%)</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89CA1A" w14:textId="77777777" w:rsidR="001C19F3" w:rsidRDefault="001C19F3" w:rsidP="00521305">
            <w:pPr>
              <w:spacing w:after="0"/>
              <w:ind w:left="100" w:right="100"/>
              <w:jc w:val="right"/>
            </w:pPr>
            <w:r>
              <w:rPr>
                <w:rFonts w:eastAsia="Century Gothic" w:cs="Century Gothic"/>
                <w:color w:val="000000"/>
                <w:sz w:val="18"/>
                <w:szCs w:val="18"/>
              </w:rPr>
              <w:t>4 (4.3%)</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1B3211"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Additional time for GPs; Generally improved care management/model of care; Improved billing services; Increased practice-patient contact and access to GP/nurses through electronic communication, email, and phone; More patient and/or practice staff feedback; Nurses have more responsibility or involvement in patient care; Patient satisfaction/experience.</w:t>
            </w:r>
          </w:p>
        </w:tc>
      </w:tr>
      <w:tr w:rsidR="001C19F3" w14:paraId="66A0D53F"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57CB1BA5" w14:textId="77777777" w:rsidR="001C19F3" w:rsidRDefault="001C19F3" w:rsidP="00521305">
            <w:pPr>
              <w:spacing w:after="0"/>
              <w:ind w:left="100" w:right="100"/>
            </w:pPr>
            <w:r>
              <w:rPr>
                <w:rFonts w:eastAsia="Century Gothic" w:cs="Century Gothic"/>
                <w:color w:val="000000"/>
                <w:sz w:val="18"/>
                <w:szCs w:val="18"/>
              </w:rPr>
              <w:t>Nurses have more responsibility or involvement in patient care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F06135" w14:textId="77777777" w:rsidR="001C19F3" w:rsidRDefault="001C19F3" w:rsidP="00521305">
            <w:pPr>
              <w:spacing w:after="0"/>
              <w:ind w:left="100" w:right="100"/>
              <w:jc w:val="right"/>
            </w:pPr>
            <w:r>
              <w:rPr>
                <w:rFonts w:eastAsia="Century Gothic" w:cs="Century Gothic"/>
                <w:color w:val="000000"/>
                <w:sz w:val="18"/>
                <w:szCs w:val="18"/>
              </w:rPr>
              <w:t>16 (17.4%)</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CE070C" w14:textId="77777777" w:rsidR="001C19F3" w:rsidRDefault="001C19F3" w:rsidP="00521305">
            <w:pPr>
              <w:spacing w:after="0"/>
              <w:ind w:left="100" w:right="100"/>
              <w:jc w:val="right"/>
            </w:pPr>
            <w:r>
              <w:rPr>
                <w:rFonts w:eastAsia="Century Gothic" w:cs="Century Gothic"/>
                <w:color w:val="000000"/>
                <w:sz w:val="18"/>
                <w:szCs w:val="18"/>
              </w:rPr>
              <w:t>7 (7.6%)</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F11434"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Increased practice-patient contact and access to GP/nurses through electronic communication, email, and phone; Use of self-reporting methods (i.e. surveys); Additional time for GPs; Improved billing services; Improved care planning; Improved practice recall processes; More external and internal integrated team care and communication; New patient activities such as clinics, meetings, groups, education sessions; Nurses have more responsibility or involvement in patient care; Patients able to request referrals or prescriptions without seeing the GP; Regular patient assessments, reviews, and/or checkups.</w:t>
            </w:r>
          </w:p>
        </w:tc>
      </w:tr>
      <w:tr w:rsidR="001C19F3" w14:paraId="2D7AD5EB"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4321C13B" w14:textId="77777777" w:rsidR="001C19F3" w:rsidRDefault="001C19F3" w:rsidP="00521305">
            <w:pPr>
              <w:spacing w:after="0"/>
              <w:ind w:left="100" w:right="100"/>
            </w:pPr>
            <w:r>
              <w:rPr>
                <w:rFonts w:eastAsia="Century Gothic" w:cs="Century Gothic"/>
                <w:color w:val="000000"/>
                <w:sz w:val="18"/>
                <w:szCs w:val="18"/>
              </w:rPr>
              <w:lastRenderedPageBreak/>
              <w:t>Improving patient education, involvement, knowledge, and self-management</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FECB21" w14:textId="77777777" w:rsidR="001C19F3" w:rsidRDefault="001C19F3" w:rsidP="00521305">
            <w:pPr>
              <w:spacing w:after="0"/>
              <w:ind w:left="100" w:right="100"/>
              <w:jc w:val="right"/>
            </w:pPr>
            <w:r>
              <w:rPr>
                <w:rFonts w:eastAsia="Century Gothic" w:cs="Century Gothic"/>
                <w:color w:val="000000"/>
                <w:sz w:val="18"/>
                <w:szCs w:val="18"/>
              </w:rPr>
              <w:t>14 (15.2%)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C36A88" w14:textId="77777777" w:rsidR="001C19F3" w:rsidRDefault="001C19F3" w:rsidP="00521305">
            <w:pPr>
              <w:spacing w:after="0"/>
              <w:ind w:left="100" w:right="100"/>
              <w:jc w:val="right"/>
            </w:pPr>
            <w:r>
              <w:rPr>
                <w:rFonts w:eastAsia="Century Gothic" w:cs="Century Gothic"/>
                <w:color w:val="000000"/>
                <w:sz w:val="18"/>
                <w:szCs w:val="18"/>
              </w:rPr>
              <w:t>5 (5.4%)</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DAD06D"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Improving patient education, involvement, knowledge, and self-management; Increased practice-patient contact and access to GP/nurses through electronic communication, email, and phone; Nurses have more responsibility or involvement in patient care; Patient satisfaction/experience; Patients able to request referrals or prescriptions without seeing the GP; Patients able to see the nurse for general care management without seeing the GP; Use of self-reporting methods (i.e. surveys).</w:t>
            </w:r>
          </w:p>
        </w:tc>
      </w:tr>
      <w:tr w:rsidR="001C19F3" w14:paraId="028BD7A1"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5C6D568F" w14:textId="77777777" w:rsidR="001C19F3" w:rsidRDefault="001C19F3" w:rsidP="00521305">
            <w:pPr>
              <w:spacing w:after="0"/>
              <w:ind w:left="100" w:right="100"/>
            </w:pPr>
            <w:r>
              <w:rPr>
                <w:rFonts w:eastAsia="Century Gothic" w:cs="Century Gothic"/>
                <w:color w:val="000000"/>
                <w:sz w:val="18"/>
                <w:szCs w:val="18"/>
              </w:rPr>
              <w:t>New patient activities such as clinics, meetings, groups, education sessions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9EA302" w14:textId="77777777" w:rsidR="001C19F3" w:rsidRDefault="001C19F3" w:rsidP="00521305">
            <w:pPr>
              <w:spacing w:after="0"/>
              <w:ind w:left="100" w:right="100"/>
              <w:jc w:val="right"/>
            </w:pPr>
            <w:r>
              <w:rPr>
                <w:rFonts w:eastAsia="Century Gothic" w:cs="Century Gothic"/>
                <w:color w:val="000000"/>
                <w:sz w:val="18"/>
                <w:szCs w:val="18"/>
              </w:rPr>
              <w:t>14 (15.2%)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E0759F" w14:textId="77777777" w:rsidR="001C19F3" w:rsidRDefault="001C19F3" w:rsidP="00521305">
            <w:pPr>
              <w:spacing w:after="0"/>
              <w:ind w:left="100" w:right="100"/>
              <w:jc w:val="right"/>
            </w:pPr>
            <w:r>
              <w:rPr>
                <w:rFonts w:eastAsia="Century Gothic" w:cs="Century Gothic"/>
                <w:color w:val="000000"/>
                <w:sz w:val="18"/>
                <w:szCs w:val="18"/>
              </w:rPr>
              <w:t>5 (5.4%)</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0D0BD6"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Use of self-reporting methods (i.e. surveys); Generally improved care management/model of care; Improved care planning; More team meetings/case conferencing; Patient feedback; Regular patient assessments, reviews, and/or check-ups.</w:t>
            </w:r>
          </w:p>
        </w:tc>
      </w:tr>
      <w:tr w:rsidR="001C19F3" w14:paraId="70D06A0C"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49DBE885" w14:textId="77777777" w:rsidR="001C19F3" w:rsidRDefault="001C19F3" w:rsidP="00521305">
            <w:pPr>
              <w:spacing w:after="0"/>
              <w:ind w:left="100" w:right="100"/>
            </w:pPr>
            <w:r>
              <w:rPr>
                <w:rFonts w:eastAsia="Century Gothic" w:cs="Century Gothic"/>
                <w:color w:val="000000"/>
                <w:sz w:val="18"/>
                <w:szCs w:val="18"/>
              </w:rPr>
              <w:t>Improved practice recall processes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741688" w14:textId="77777777" w:rsidR="001C19F3" w:rsidRDefault="001C19F3" w:rsidP="00521305">
            <w:pPr>
              <w:spacing w:after="0"/>
              <w:ind w:left="100" w:right="100"/>
              <w:jc w:val="right"/>
            </w:pPr>
            <w:r>
              <w:rPr>
                <w:rFonts w:eastAsia="Century Gothic" w:cs="Century Gothic"/>
                <w:color w:val="000000"/>
                <w:sz w:val="18"/>
                <w:szCs w:val="18"/>
              </w:rPr>
              <w:t>13 (14.1%)</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910C37" w14:textId="77777777" w:rsidR="001C19F3" w:rsidRDefault="001C19F3" w:rsidP="00521305">
            <w:pPr>
              <w:spacing w:after="0"/>
              <w:ind w:left="100" w:right="100"/>
              <w:jc w:val="right"/>
            </w:pPr>
            <w:r>
              <w:rPr>
                <w:rFonts w:eastAsia="Century Gothic" w:cs="Century Gothic"/>
                <w:color w:val="000000"/>
                <w:sz w:val="18"/>
                <w:szCs w:val="18"/>
              </w:rPr>
              <w:t>6 (6.5%)</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8E6549" w14:textId="77777777" w:rsidR="001C19F3" w:rsidRDefault="001C19F3" w:rsidP="00521305">
            <w:pPr>
              <w:spacing w:after="0"/>
              <w:ind w:left="100" w:right="100"/>
            </w:pPr>
            <w:r>
              <w:rPr>
                <w:rFonts w:eastAsia="Century Gothic" w:cs="Century Gothic"/>
                <w:color w:val="000000"/>
                <w:sz w:val="18"/>
                <w:szCs w:val="18"/>
              </w:rPr>
              <w:t>Improved practice recall processes; Improved IT practice systems and data tracking or more accurate patient data collection, monitoring, and records; Improved care planning; Nurses have more responsibility or involvement in patient care.</w:t>
            </w:r>
          </w:p>
        </w:tc>
      </w:tr>
      <w:tr w:rsidR="001C19F3" w14:paraId="4C83AA11"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68147F9" w14:textId="77777777" w:rsidR="001C19F3" w:rsidRDefault="001C19F3" w:rsidP="00521305">
            <w:pPr>
              <w:spacing w:after="0"/>
              <w:ind w:left="100" w:right="100"/>
            </w:pPr>
            <w:r>
              <w:rPr>
                <w:rFonts w:eastAsia="Century Gothic" w:cs="Century Gothic"/>
                <w:color w:val="000000"/>
                <w:sz w:val="18"/>
                <w:szCs w:val="18"/>
              </w:rPr>
              <w:t>Improved care planning</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2C771" w14:textId="77777777" w:rsidR="001C19F3" w:rsidRDefault="001C19F3" w:rsidP="00521305">
            <w:pPr>
              <w:spacing w:after="0"/>
              <w:ind w:left="100" w:right="100"/>
              <w:jc w:val="right"/>
            </w:pPr>
            <w:r>
              <w:rPr>
                <w:rFonts w:eastAsia="Century Gothic" w:cs="Century Gothic"/>
                <w:color w:val="000000"/>
                <w:sz w:val="18"/>
                <w:szCs w:val="18"/>
              </w:rPr>
              <w:t>12 (13.0%)</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9A056D" w14:textId="77777777" w:rsidR="001C19F3" w:rsidRDefault="001C19F3" w:rsidP="00521305">
            <w:pPr>
              <w:spacing w:after="0"/>
              <w:ind w:left="100" w:right="100"/>
              <w:jc w:val="right"/>
            </w:pPr>
            <w:r>
              <w:rPr>
                <w:rFonts w:eastAsia="Century Gothic" w:cs="Century Gothic"/>
                <w:color w:val="000000"/>
                <w:sz w:val="18"/>
                <w:szCs w:val="18"/>
              </w:rPr>
              <w:t>4 (4.3%)</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CF1C76"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Improved care planning; Improved health outcomes; Generally improved care management/model of care; Improved practice recall processes; More patient and/or practice staff feedback; New patient activities such as clinics, meetings, groups, education sessions; Nurses have more responsibility or involvement in patient care.</w:t>
            </w:r>
          </w:p>
        </w:tc>
      </w:tr>
      <w:tr w:rsidR="001C19F3" w14:paraId="799279BE"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22027CA" w14:textId="77777777" w:rsidR="001C19F3" w:rsidRDefault="001C19F3" w:rsidP="00521305">
            <w:pPr>
              <w:spacing w:after="0"/>
              <w:ind w:left="100" w:right="100"/>
            </w:pPr>
            <w:r>
              <w:rPr>
                <w:rFonts w:eastAsia="Century Gothic" w:cs="Century Gothic"/>
                <w:color w:val="000000"/>
                <w:sz w:val="18"/>
                <w:szCs w:val="18"/>
              </w:rPr>
              <w:t>Generally improved care management/model of care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35383" w14:textId="77777777" w:rsidR="001C19F3" w:rsidRDefault="001C19F3" w:rsidP="00521305">
            <w:pPr>
              <w:spacing w:after="0"/>
              <w:ind w:left="100" w:right="100"/>
              <w:jc w:val="right"/>
            </w:pPr>
            <w:r>
              <w:rPr>
                <w:rFonts w:eastAsia="Century Gothic" w:cs="Century Gothic"/>
                <w:color w:val="000000"/>
                <w:sz w:val="18"/>
                <w:szCs w:val="18"/>
              </w:rPr>
              <w:t>10 (10.9%)</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C7AE6B" w14:textId="77777777" w:rsidR="001C19F3" w:rsidRDefault="001C19F3" w:rsidP="00521305">
            <w:pPr>
              <w:spacing w:after="0"/>
              <w:ind w:left="100" w:right="100"/>
              <w:jc w:val="right"/>
            </w:pPr>
            <w:r>
              <w:rPr>
                <w:rFonts w:eastAsia="Century Gothic" w:cs="Century Gothic"/>
                <w:color w:val="000000"/>
                <w:sz w:val="18"/>
                <w:szCs w:val="18"/>
              </w:rPr>
              <w:t>6 (6.5%)</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7B12F1" w14:textId="77777777" w:rsidR="001C19F3" w:rsidRDefault="001C19F3" w:rsidP="00521305">
            <w:pPr>
              <w:spacing w:after="0"/>
              <w:ind w:left="100" w:right="100"/>
            </w:pPr>
            <w:r>
              <w:rPr>
                <w:rFonts w:eastAsia="Century Gothic" w:cs="Century Gothic"/>
                <w:color w:val="000000"/>
                <w:sz w:val="18"/>
                <w:szCs w:val="18"/>
              </w:rPr>
              <w:t>Improved practice recall processes; Improved IT practice systems and data tracking or more accurate patient data collection, monitoring, and records; New patient activities such as clinics, meetings, groups, education sessions; Improved health outcomes; Improving patient education, involvement, knowledge, and self-management.</w:t>
            </w:r>
          </w:p>
        </w:tc>
      </w:tr>
      <w:tr w:rsidR="001C19F3" w14:paraId="7E3C91A0"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3557832" w14:textId="77777777" w:rsidR="001C19F3" w:rsidRDefault="001C19F3" w:rsidP="00521305">
            <w:pPr>
              <w:spacing w:after="0"/>
              <w:ind w:left="100" w:right="100"/>
            </w:pPr>
            <w:r>
              <w:rPr>
                <w:rFonts w:eastAsia="Century Gothic" w:cs="Century Gothic"/>
                <w:color w:val="000000"/>
                <w:sz w:val="18"/>
                <w:szCs w:val="18"/>
              </w:rPr>
              <w:t>Regular patient assessments, reviews, and/or check-ups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F0C78C" w14:textId="77777777" w:rsidR="001C19F3" w:rsidRDefault="001C19F3" w:rsidP="00521305">
            <w:pPr>
              <w:spacing w:after="0"/>
              <w:ind w:left="100" w:right="100"/>
              <w:jc w:val="right"/>
            </w:pPr>
            <w:r>
              <w:rPr>
                <w:rFonts w:eastAsia="Century Gothic" w:cs="Century Gothic"/>
                <w:color w:val="000000"/>
                <w:sz w:val="18"/>
                <w:szCs w:val="18"/>
              </w:rPr>
              <w:t>9 (9.8%)</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23EDDF" w14:textId="77777777" w:rsidR="001C19F3" w:rsidRDefault="001C19F3" w:rsidP="00521305">
            <w:pPr>
              <w:spacing w:after="0"/>
              <w:ind w:left="100" w:right="100"/>
              <w:jc w:val="right"/>
            </w:pPr>
            <w:r>
              <w:rPr>
                <w:rFonts w:eastAsia="Century Gothic" w:cs="Century Gothic"/>
                <w:color w:val="000000"/>
                <w:sz w:val="18"/>
                <w:szCs w:val="18"/>
              </w:rPr>
              <w:t>5 (5.4%)</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695DB3"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Improved practice recall processes; Improved care planning</w:t>
            </w:r>
          </w:p>
        </w:tc>
      </w:tr>
      <w:tr w:rsidR="001C19F3" w14:paraId="59ADF603"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4AB9771" w14:textId="77777777" w:rsidR="001C19F3" w:rsidRDefault="001C19F3" w:rsidP="00521305">
            <w:pPr>
              <w:spacing w:after="0"/>
              <w:ind w:left="100" w:right="100"/>
            </w:pPr>
            <w:r>
              <w:rPr>
                <w:rFonts w:eastAsia="Century Gothic" w:cs="Century Gothic"/>
                <w:color w:val="000000"/>
                <w:sz w:val="18"/>
                <w:szCs w:val="18"/>
              </w:rPr>
              <w:t>More team meetings/case conferencing</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DDAEAD" w14:textId="77777777" w:rsidR="001C19F3" w:rsidRDefault="001C19F3" w:rsidP="00521305">
            <w:pPr>
              <w:spacing w:after="0"/>
              <w:ind w:left="100" w:right="100"/>
              <w:jc w:val="right"/>
            </w:pPr>
            <w:r>
              <w:rPr>
                <w:rFonts w:eastAsia="Century Gothic" w:cs="Century Gothic"/>
                <w:color w:val="000000"/>
                <w:sz w:val="18"/>
                <w:szCs w:val="18"/>
              </w:rPr>
              <w:t>6 (6.5%)</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8320F3" w14:textId="77777777" w:rsidR="001C19F3" w:rsidRDefault="001C19F3" w:rsidP="00521305">
            <w:pPr>
              <w:spacing w:after="0"/>
              <w:ind w:left="100" w:right="100"/>
              <w:jc w:val="right"/>
            </w:pPr>
            <w:r>
              <w:rPr>
                <w:rFonts w:eastAsia="Century Gothic" w:cs="Century Gothic"/>
                <w:color w:val="000000"/>
                <w:sz w:val="18"/>
                <w:szCs w:val="18"/>
              </w:rPr>
              <w:t>4 (4.3%)</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93FF17" w14:textId="77777777" w:rsidR="001C19F3" w:rsidRDefault="001C19F3" w:rsidP="00521305">
            <w:pPr>
              <w:spacing w:after="0"/>
              <w:ind w:left="100" w:right="100"/>
            </w:pPr>
            <w:r>
              <w:rPr>
                <w:rFonts w:eastAsia="Century Gothic" w:cs="Century Gothic"/>
                <w:color w:val="000000"/>
                <w:sz w:val="18"/>
                <w:szCs w:val="18"/>
              </w:rPr>
              <w:t>More team meetings/case conferencing; Generally improved care management/model of care; Patient satisfaction/experience.</w:t>
            </w:r>
          </w:p>
        </w:tc>
      </w:tr>
      <w:tr w:rsidR="001C19F3" w14:paraId="24D35F14"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1C3B712" w14:textId="77777777" w:rsidR="001C19F3" w:rsidRDefault="001C19F3" w:rsidP="00521305">
            <w:pPr>
              <w:spacing w:after="0"/>
              <w:ind w:left="100" w:right="100"/>
            </w:pPr>
            <w:r>
              <w:rPr>
                <w:rFonts w:eastAsia="Century Gothic" w:cs="Century Gothic"/>
                <w:color w:val="000000"/>
                <w:sz w:val="18"/>
                <w:szCs w:val="18"/>
              </w:rPr>
              <w:t>Patients able to request referrals or prescriptions without seeing the GP</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52E92E" w14:textId="77777777" w:rsidR="001C19F3" w:rsidRDefault="001C19F3" w:rsidP="00521305">
            <w:pPr>
              <w:spacing w:after="0"/>
              <w:ind w:left="100" w:right="100"/>
              <w:jc w:val="right"/>
            </w:pPr>
            <w:r>
              <w:rPr>
                <w:rFonts w:eastAsia="Century Gothic" w:cs="Century Gothic"/>
                <w:color w:val="000000"/>
                <w:sz w:val="18"/>
                <w:szCs w:val="18"/>
              </w:rPr>
              <w:t>6 (6.5%)</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C87A08" w14:textId="77777777" w:rsidR="001C19F3" w:rsidRDefault="001C19F3" w:rsidP="00521305">
            <w:pPr>
              <w:spacing w:after="0"/>
              <w:ind w:left="100" w:right="100"/>
              <w:jc w:val="right"/>
            </w:pPr>
            <w:r>
              <w:rPr>
                <w:rFonts w:eastAsia="Century Gothic" w:cs="Century Gothic"/>
                <w:color w:val="000000"/>
                <w:sz w:val="18"/>
                <w:szCs w:val="18"/>
              </w:rPr>
              <w:t>1 (1.1%)</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FE5A19" w14:textId="77777777" w:rsidR="001C19F3" w:rsidRDefault="001C19F3" w:rsidP="00521305">
            <w:pPr>
              <w:spacing w:after="0"/>
              <w:ind w:left="100" w:right="100"/>
            </w:pPr>
            <w:r>
              <w:rPr>
                <w:rFonts w:eastAsia="Century Gothic" w:cs="Century Gothic"/>
                <w:color w:val="000000"/>
                <w:sz w:val="18"/>
                <w:szCs w:val="18"/>
              </w:rPr>
              <w:t>Improved practice recall processes; Additional time for GPs; Nurses have more responsibility or involvement in patient care; Patients able to request referrals or prescriptions without seeing the GP; Regular patient assessments, reviews, and/or check-ups.</w:t>
            </w:r>
          </w:p>
        </w:tc>
      </w:tr>
      <w:tr w:rsidR="001C19F3" w14:paraId="0BD9EF53"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5BF34E9E" w14:textId="77777777" w:rsidR="001C19F3" w:rsidRDefault="001C19F3" w:rsidP="00521305">
            <w:pPr>
              <w:spacing w:after="0"/>
              <w:ind w:left="100" w:right="100"/>
            </w:pPr>
            <w:r>
              <w:rPr>
                <w:rFonts w:eastAsia="Century Gothic" w:cs="Century Gothic"/>
                <w:color w:val="000000"/>
                <w:sz w:val="18"/>
                <w:szCs w:val="18"/>
              </w:rPr>
              <w:lastRenderedPageBreak/>
              <w:t>Patients able to see the nurse for general care management without seeing the GP</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1BE0C3" w14:textId="77777777" w:rsidR="001C19F3" w:rsidRDefault="001C19F3" w:rsidP="00521305">
            <w:pPr>
              <w:spacing w:after="0"/>
              <w:ind w:left="100" w:right="100"/>
              <w:jc w:val="right"/>
            </w:pPr>
            <w:r>
              <w:rPr>
                <w:rFonts w:eastAsia="Century Gothic" w:cs="Century Gothic"/>
                <w:color w:val="000000"/>
                <w:sz w:val="18"/>
                <w:szCs w:val="18"/>
              </w:rPr>
              <w:t>6 (6.5%)</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8A58C0" w14:textId="77777777" w:rsidR="001C19F3" w:rsidRDefault="001C19F3" w:rsidP="00521305">
            <w:pPr>
              <w:spacing w:after="0"/>
              <w:ind w:left="100" w:right="100"/>
              <w:jc w:val="right"/>
            </w:pPr>
            <w:r>
              <w:rPr>
                <w:rFonts w:eastAsia="Century Gothic" w:cs="Century Gothic"/>
                <w:color w:val="000000"/>
                <w:sz w:val="18"/>
                <w:szCs w:val="18"/>
              </w:rPr>
              <w:t>2 (2.2%)</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7BBBA2" w14:textId="77777777" w:rsidR="001C19F3" w:rsidRDefault="001C19F3" w:rsidP="00521305">
            <w:pPr>
              <w:spacing w:after="0"/>
              <w:ind w:left="100" w:right="100"/>
            </w:pPr>
            <w:r>
              <w:rPr>
                <w:rFonts w:eastAsia="Century Gothic" w:cs="Century Gothic"/>
                <w:color w:val="000000"/>
                <w:sz w:val="18"/>
                <w:szCs w:val="18"/>
              </w:rPr>
              <w:t>Regular patient assessments, reviews, and/or check-ups; Nurses have more responsibility or involvement in patient care; Patients able to request referrals or prescriptions without seeing the GP; Use of self-reporting methods (i.e. surveys).</w:t>
            </w:r>
          </w:p>
        </w:tc>
      </w:tr>
      <w:tr w:rsidR="001C19F3" w14:paraId="687F9049"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42BF02D7" w14:textId="77777777" w:rsidR="001C19F3" w:rsidRDefault="001C19F3" w:rsidP="00521305">
            <w:pPr>
              <w:spacing w:after="0"/>
              <w:ind w:left="100" w:right="100"/>
            </w:pPr>
            <w:r>
              <w:rPr>
                <w:rFonts w:eastAsia="Century Gothic" w:cs="Century Gothic"/>
                <w:color w:val="000000"/>
                <w:sz w:val="18"/>
                <w:szCs w:val="18"/>
              </w:rPr>
              <w:t>Reduction in patient waiting times and increased flexibility for patients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DCDB15" w14:textId="77777777" w:rsidR="001C19F3" w:rsidRDefault="001C19F3" w:rsidP="00521305">
            <w:pPr>
              <w:spacing w:after="0"/>
              <w:ind w:left="100" w:right="100"/>
              <w:jc w:val="right"/>
            </w:pPr>
            <w:r>
              <w:rPr>
                <w:rFonts w:eastAsia="Century Gothic" w:cs="Century Gothic"/>
                <w:color w:val="000000"/>
                <w:sz w:val="18"/>
                <w:szCs w:val="18"/>
              </w:rPr>
              <w:t>5 (5.4%)</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CD7A77" w14:textId="77777777" w:rsidR="001C19F3" w:rsidRDefault="001C19F3" w:rsidP="00521305">
            <w:pPr>
              <w:spacing w:after="0"/>
              <w:ind w:left="100" w:right="100"/>
              <w:jc w:val="right"/>
            </w:pPr>
            <w:r>
              <w:rPr>
                <w:rFonts w:eastAsia="Century Gothic" w:cs="Century Gothic"/>
                <w:color w:val="000000"/>
                <w:sz w:val="18"/>
                <w:szCs w:val="18"/>
              </w:rPr>
              <w:t>2 (2.2%)</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DFE5CC"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Increased practice-patient contact and access to GP/nurses through electronic communication, email, and phone; Reduction in patient waiting times and increased flexibility for patients.</w:t>
            </w:r>
          </w:p>
        </w:tc>
      </w:tr>
      <w:tr w:rsidR="001C19F3" w14:paraId="6923C6ED"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0CF1DCF" w14:textId="77777777" w:rsidR="001C19F3" w:rsidRDefault="001C19F3" w:rsidP="00521305">
            <w:pPr>
              <w:spacing w:after="0"/>
              <w:ind w:left="100" w:right="100"/>
            </w:pPr>
            <w:r>
              <w:rPr>
                <w:rFonts w:eastAsia="Century Gothic" w:cs="Century Gothic"/>
                <w:color w:val="000000"/>
                <w:sz w:val="18"/>
                <w:szCs w:val="18"/>
              </w:rPr>
              <w:t>Upskilling staff members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B74726" w14:textId="77777777" w:rsidR="001C19F3" w:rsidRDefault="001C19F3" w:rsidP="00521305">
            <w:pPr>
              <w:spacing w:after="0"/>
              <w:ind w:left="100" w:right="100"/>
              <w:jc w:val="right"/>
            </w:pPr>
            <w:r>
              <w:rPr>
                <w:rFonts w:eastAsia="Century Gothic" w:cs="Century Gothic"/>
                <w:color w:val="000000"/>
                <w:sz w:val="18"/>
                <w:szCs w:val="18"/>
              </w:rPr>
              <w:t>4 (4.3%)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313215" w14:textId="77777777" w:rsidR="001C19F3" w:rsidRDefault="001C19F3" w:rsidP="00521305">
            <w:pPr>
              <w:spacing w:after="0"/>
              <w:ind w:left="100" w:right="100"/>
              <w:jc w:val="right"/>
            </w:pPr>
            <w:r>
              <w:rPr>
                <w:rFonts w:eastAsia="Century Gothic" w:cs="Century Gothic"/>
                <w:color w:val="000000"/>
                <w:sz w:val="18"/>
                <w:szCs w:val="18"/>
              </w:rPr>
              <w:t>3 (3.3%)</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5B143A" w14:textId="77777777" w:rsidR="001C19F3" w:rsidRDefault="001C19F3" w:rsidP="00521305">
            <w:pPr>
              <w:spacing w:after="0"/>
              <w:ind w:left="100" w:right="100"/>
            </w:pPr>
            <w:r>
              <w:rPr>
                <w:rFonts w:eastAsia="Century Gothic" w:cs="Century Gothic"/>
                <w:color w:val="000000"/>
                <w:sz w:val="18"/>
                <w:szCs w:val="18"/>
              </w:rPr>
              <w:t>Improved care planning; Improved IT practice systems and data tracking or more accurate patient data collection, monitoring, and records; Improved practice recall processes; More external and internal integrated team care and communication; Upskilling staff members.</w:t>
            </w:r>
          </w:p>
        </w:tc>
      </w:tr>
      <w:tr w:rsidR="001C19F3" w14:paraId="2F9934F0"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1C937021" w14:textId="77777777" w:rsidR="001C19F3" w:rsidRDefault="001C19F3" w:rsidP="00521305">
            <w:pPr>
              <w:spacing w:after="0"/>
              <w:ind w:left="100" w:right="100"/>
            </w:pPr>
            <w:r>
              <w:rPr>
                <w:rFonts w:eastAsia="Century Gothic" w:cs="Century Gothic"/>
                <w:color w:val="000000"/>
                <w:sz w:val="18"/>
                <w:szCs w:val="18"/>
              </w:rPr>
              <w:t>Additional time for GPs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16965" w14:textId="77777777" w:rsidR="001C19F3" w:rsidRDefault="001C19F3" w:rsidP="00521305">
            <w:pPr>
              <w:spacing w:after="0"/>
              <w:ind w:left="100" w:right="100"/>
              <w:jc w:val="right"/>
            </w:pPr>
            <w:r>
              <w:rPr>
                <w:rFonts w:eastAsia="Century Gothic" w:cs="Century Gothic"/>
                <w:color w:val="000000"/>
                <w:sz w:val="18"/>
                <w:szCs w:val="18"/>
              </w:rPr>
              <w:t>3 (3.3%)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752580" w14:textId="77777777" w:rsidR="001C19F3" w:rsidRDefault="001C19F3" w:rsidP="00521305">
            <w:pPr>
              <w:spacing w:after="0"/>
              <w:ind w:left="100" w:right="100"/>
              <w:jc w:val="right"/>
            </w:pPr>
            <w:r>
              <w:rPr>
                <w:rFonts w:eastAsia="Century Gothic" w:cs="Century Gothic"/>
                <w:color w:val="000000"/>
                <w:sz w:val="18"/>
                <w:szCs w:val="18"/>
              </w:rPr>
              <w:t>0 (0.0%)</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C893A" w14:textId="77777777" w:rsidR="001C19F3" w:rsidRDefault="001C19F3" w:rsidP="00521305">
            <w:pPr>
              <w:spacing w:after="0"/>
              <w:ind w:left="100" w:right="100"/>
            </w:pPr>
            <w:r>
              <w:rPr>
                <w:rFonts w:eastAsia="Century Gothic" w:cs="Century Gothic"/>
                <w:color w:val="000000"/>
                <w:sz w:val="18"/>
                <w:szCs w:val="18"/>
              </w:rPr>
              <w:t>Improved practice recall processes; Increased practice-patient contact and access to GP/nurses through electronic communication, email, and phone; More external and internal integrated team care and communication; Nurses have more responsibility or involvement in patient care.</w:t>
            </w:r>
          </w:p>
        </w:tc>
      </w:tr>
      <w:tr w:rsidR="001C19F3" w14:paraId="2E89F565"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3909DE0" w14:textId="77777777" w:rsidR="001C19F3" w:rsidRDefault="001C19F3" w:rsidP="00521305">
            <w:pPr>
              <w:spacing w:after="0"/>
              <w:ind w:left="100" w:right="100"/>
            </w:pPr>
            <w:r>
              <w:rPr>
                <w:rFonts w:eastAsia="Century Gothic" w:cs="Century Gothic"/>
                <w:color w:val="000000"/>
                <w:sz w:val="18"/>
                <w:szCs w:val="18"/>
              </w:rPr>
              <w:t>Improved billing services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05672C" w14:textId="77777777" w:rsidR="001C19F3" w:rsidRDefault="001C19F3" w:rsidP="00521305">
            <w:pPr>
              <w:spacing w:after="0"/>
              <w:ind w:left="100" w:right="100"/>
              <w:jc w:val="right"/>
            </w:pPr>
            <w:r>
              <w:rPr>
                <w:rFonts w:eastAsia="Century Gothic" w:cs="Century Gothic"/>
                <w:color w:val="000000"/>
                <w:sz w:val="18"/>
                <w:szCs w:val="18"/>
              </w:rPr>
              <w:t>3 (3.3%)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540A28" w14:textId="77777777" w:rsidR="001C19F3" w:rsidRDefault="001C19F3" w:rsidP="00521305">
            <w:pPr>
              <w:spacing w:after="0"/>
              <w:ind w:left="100" w:right="100"/>
              <w:jc w:val="right"/>
            </w:pPr>
            <w:r>
              <w:rPr>
                <w:rFonts w:eastAsia="Century Gothic" w:cs="Century Gothic"/>
                <w:color w:val="000000"/>
                <w:sz w:val="18"/>
                <w:szCs w:val="18"/>
              </w:rPr>
              <w:t>2 (2.2%)</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166E16" w14:textId="77777777" w:rsidR="001C19F3" w:rsidRDefault="001C19F3" w:rsidP="00521305">
            <w:pPr>
              <w:spacing w:after="0"/>
              <w:ind w:left="100" w:right="100"/>
            </w:pPr>
            <w:r>
              <w:rPr>
                <w:rFonts w:eastAsia="Century Gothic" w:cs="Century Gothic"/>
                <w:color w:val="000000"/>
                <w:sz w:val="18"/>
                <w:szCs w:val="18"/>
              </w:rPr>
              <w:t>Improved billing services; More external and internal integrated team care and communication.</w:t>
            </w:r>
          </w:p>
        </w:tc>
      </w:tr>
      <w:tr w:rsidR="001C19F3" w14:paraId="4A821257"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D97EE64" w14:textId="77777777" w:rsidR="001C19F3" w:rsidRDefault="001C19F3" w:rsidP="00521305">
            <w:pPr>
              <w:spacing w:after="0"/>
              <w:ind w:left="100" w:right="100"/>
            </w:pPr>
            <w:r>
              <w:rPr>
                <w:rFonts w:eastAsia="Century Gothic" w:cs="Century Gothic"/>
                <w:color w:val="000000"/>
                <w:sz w:val="18"/>
                <w:szCs w:val="18"/>
              </w:rPr>
              <w:t>Patient satisfaction/experience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A17634" w14:textId="77777777" w:rsidR="001C19F3" w:rsidRDefault="001C19F3" w:rsidP="00521305">
            <w:pPr>
              <w:spacing w:after="0"/>
              <w:ind w:left="100" w:right="100"/>
              <w:jc w:val="right"/>
            </w:pPr>
            <w:r>
              <w:rPr>
                <w:rFonts w:eastAsia="Century Gothic" w:cs="Century Gothic"/>
                <w:color w:val="000000"/>
                <w:sz w:val="18"/>
                <w:szCs w:val="18"/>
              </w:rPr>
              <w:t>3 (3.3%)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4076BD" w14:textId="77777777" w:rsidR="001C19F3" w:rsidRDefault="001C19F3" w:rsidP="00521305">
            <w:pPr>
              <w:spacing w:after="0"/>
              <w:ind w:left="100" w:right="100"/>
              <w:jc w:val="right"/>
            </w:pPr>
            <w:r>
              <w:rPr>
                <w:rFonts w:eastAsia="Century Gothic" w:cs="Century Gothic"/>
                <w:color w:val="000000"/>
                <w:sz w:val="18"/>
                <w:szCs w:val="18"/>
              </w:rPr>
              <w:t>1 (1.1%)</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8264C" w14:textId="77777777" w:rsidR="001C19F3" w:rsidRDefault="001C19F3" w:rsidP="00521305">
            <w:pPr>
              <w:spacing w:after="0"/>
              <w:ind w:left="100" w:right="100"/>
            </w:pPr>
            <w:r>
              <w:rPr>
                <w:rFonts w:eastAsia="Century Gothic" w:cs="Century Gothic"/>
                <w:color w:val="000000"/>
                <w:sz w:val="18"/>
                <w:szCs w:val="18"/>
              </w:rPr>
              <w:t>Use of self-reporting methods (i.e. surveys).</w:t>
            </w:r>
          </w:p>
        </w:tc>
      </w:tr>
      <w:tr w:rsidR="001C19F3" w14:paraId="465977C1"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B06808C" w14:textId="77777777" w:rsidR="001C19F3" w:rsidRDefault="001C19F3" w:rsidP="00521305">
            <w:pPr>
              <w:spacing w:after="0"/>
              <w:ind w:left="100" w:right="100"/>
            </w:pPr>
            <w:r>
              <w:rPr>
                <w:rFonts w:eastAsia="Century Gothic" w:cs="Century Gothic"/>
                <w:color w:val="000000"/>
                <w:sz w:val="18"/>
                <w:szCs w:val="18"/>
              </w:rPr>
              <w:t>Pharmacist medication reviews/monitoring</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7E7F1C" w14:textId="77777777" w:rsidR="001C19F3" w:rsidRDefault="001C19F3" w:rsidP="00521305">
            <w:pPr>
              <w:spacing w:after="0"/>
              <w:ind w:left="100" w:right="100"/>
              <w:jc w:val="right"/>
            </w:pPr>
            <w:r>
              <w:rPr>
                <w:rFonts w:eastAsia="Century Gothic" w:cs="Century Gothic"/>
                <w:color w:val="000000"/>
                <w:sz w:val="18"/>
                <w:szCs w:val="18"/>
              </w:rPr>
              <w:t>3 (3.3%)</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F1F93" w14:textId="77777777" w:rsidR="001C19F3" w:rsidRDefault="001C19F3" w:rsidP="00521305">
            <w:pPr>
              <w:spacing w:after="0"/>
              <w:ind w:left="100" w:right="100"/>
              <w:jc w:val="right"/>
            </w:pPr>
            <w:r>
              <w:rPr>
                <w:rFonts w:eastAsia="Century Gothic" w:cs="Century Gothic"/>
                <w:color w:val="000000"/>
                <w:sz w:val="18"/>
                <w:szCs w:val="18"/>
              </w:rPr>
              <w:t>1 (1.1%)</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CB3268"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More team meetings/case conferencing.</w:t>
            </w:r>
          </w:p>
        </w:tc>
      </w:tr>
      <w:tr w:rsidR="001C19F3" w14:paraId="2DEA3962"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153F4E3" w14:textId="77777777" w:rsidR="001C19F3" w:rsidRDefault="001C19F3" w:rsidP="00521305">
            <w:pPr>
              <w:spacing w:after="0"/>
              <w:ind w:left="100" w:right="100"/>
            </w:pPr>
            <w:r>
              <w:rPr>
                <w:rFonts w:eastAsia="Century Gothic" w:cs="Century Gothic"/>
                <w:color w:val="000000"/>
                <w:sz w:val="18"/>
                <w:szCs w:val="18"/>
              </w:rPr>
              <w:t>Improved continuity of care</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E69722" w14:textId="77777777" w:rsidR="001C19F3" w:rsidRDefault="001C19F3" w:rsidP="00521305">
            <w:pPr>
              <w:spacing w:after="0"/>
              <w:ind w:left="100" w:right="100"/>
              <w:jc w:val="right"/>
            </w:pPr>
            <w:r>
              <w:rPr>
                <w:rFonts w:eastAsia="Century Gothic" w:cs="Century Gothic"/>
                <w:color w:val="000000"/>
                <w:sz w:val="18"/>
                <w:szCs w:val="18"/>
              </w:rPr>
              <w:t>2 (2.2%)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40D821" w14:textId="77777777" w:rsidR="001C19F3" w:rsidRDefault="001C19F3" w:rsidP="00521305">
            <w:pPr>
              <w:spacing w:after="0"/>
              <w:ind w:left="100" w:right="100"/>
              <w:jc w:val="right"/>
            </w:pPr>
            <w:r>
              <w:rPr>
                <w:rFonts w:eastAsia="Century Gothic" w:cs="Century Gothic"/>
                <w:color w:val="000000"/>
                <w:sz w:val="18"/>
                <w:szCs w:val="18"/>
              </w:rPr>
              <w:t>2 (2.2%)</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B04F97"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w:t>
            </w:r>
          </w:p>
        </w:tc>
      </w:tr>
      <w:tr w:rsidR="001C19F3" w14:paraId="3803C033"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DA8432A" w14:textId="77777777" w:rsidR="001C19F3" w:rsidRDefault="001C19F3" w:rsidP="00521305">
            <w:pPr>
              <w:spacing w:after="0"/>
              <w:ind w:left="100" w:right="100"/>
            </w:pPr>
            <w:r>
              <w:rPr>
                <w:rFonts w:eastAsia="Century Gothic" w:cs="Century Gothic"/>
                <w:color w:val="000000"/>
                <w:sz w:val="18"/>
                <w:szCs w:val="18"/>
              </w:rPr>
              <w:t>Improved health outcomes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255E94" w14:textId="77777777" w:rsidR="001C19F3" w:rsidRDefault="001C19F3" w:rsidP="00521305">
            <w:pPr>
              <w:spacing w:after="0"/>
              <w:ind w:left="100" w:right="100"/>
              <w:jc w:val="right"/>
            </w:pPr>
            <w:r>
              <w:rPr>
                <w:rFonts w:eastAsia="Century Gothic" w:cs="Century Gothic"/>
                <w:color w:val="000000"/>
                <w:sz w:val="18"/>
                <w:szCs w:val="18"/>
              </w:rPr>
              <w:t>2 (2.2%)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AA0FB6" w14:textId="77777777" w:rsidR="001C19F3" w:rsidRDefault="001C19F3" w:rsidP="00521305">
            <w:pPr>
              <w:spacing w:after="0"/>
              <w:ind w:left="100" w:right="100"/>
              <w:jc w:val="right"/>
            </w:pPr>
            <w:r>
              <w:rPr>
                <w:rFonts w:eastAsia="Century Gothic" w:cs="Century Gothic"/>
                <w:color w:val="000000"/>
                <w:sz w:val="18"/>
                <w:szCs w:val="18"/>
              </w:rPr>
              <w:t>0 (0.0%)</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297895" w14:textId="77777777" w:rsidR="001C19F3" w:rsidRDefault="001C19F3" w:rsidP="00521305">
            <w:pPr>
              <w:spacing w:after="0"/>
              <w:ind w:left="100" w:right="100"/>
            </w:pPr>
            <w:r>
              <w:rPr>
                <w:rFonts w:eastAsia="Century Gothic" w:cs="Century Gothic"/>
                <w:color w:val="000000"/>
                <w:sz w:val="18"/>
                <w:szCs w:val="18"/>
              </w:rPr>
              <w:t>Improved care planning; Improved health outcomes.</w:t>
            </w:r>
          </w:p>
        </w:tc>
      </w:tr>
      <w:tr w:rsidR="001C19F3" w14:paraId="417CB41A"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2F136BA" w14:textId="77777777" w:rsidR="001C19F3" w:rsidRDefault="001C19F3" w:rsidP="00521305">
            <w:pPr>
              <w:spacing w:after="0"/>
              <w:ind w:left="100" w:right="100"/>
            </w:pPr>
            <w:r>
              <w:rPr>
                <w:rFonts w:eastAsia="Century Gothic" w:cs="Century Gothic"/>
                <w:color w:val="000000"/>
                <w:sz w:val="18"/>
                <w:szCs w:val="18"/>
              </w:rPr>
              <w:t>Improved patient identification methods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CD3B02" w14:textId="77777777" w:rsidR="001C19F3" w:rsidRDefault="001C19F3" w:rsidP="00521305">
            <w:pPr>
              <w:spacing w:after="0"/>
              <w:ind w:left="100" w:right="100"/>
              <w:jc w:val="right"/>
            </w:pPr>
            <w:r>
              <w:rPr>
                <w:rFonts w:eastAsia="Century Gothic" w:cs="Century Gothic"/>
                <w:color w:val="000000"/>
                <w:sz w:val="18"/>
                <w:szCs w:val="18"/>
              </w:rPr>
              <w:t>2 (2.2%)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DB9D6" w14:textId="77777777" w:rsidR="001C19F3" w:rsidRDefault="001C19F3" w:rsidP="00521305">
            <w:pPr>
              <w:spacing w:after="0"/>
              <w:ind w:left="100" w:right="100"/>
              <w:jc w:val="right"/>
            </w:pPr>
            <w:r>
              <w:rPr>
                <w:rFonts w:eastAsia="Century Gothic" w:cs="Century Gothic"/>
                <w:color w:val="000000"/>
                <w:sz w:val="18"/>
                <w:szCs w:val="18"/>
              </w:rPr>
              <w:t>1 (1.1%)</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F05C1" w14:textId="77777777" w:rsidR="001C19F3" w:rsidRDefault="001C19F3" w:rsidP="00521305">
            <w:pPr>
              <w:spacing w:after="0"/>
              <w:ind w:left="100" w:right="100"/>
            </w:pPr>
            <w:r>
              <w:rPr>
                <w:rFonts w:eastAsia="Century Gothic" w:cs="Century Gothic"/>
                <w:color w:val="000000"/>
                <w:sz w:val="18"/>
                <w:szCs w:val="18"/>
              </w:rPr>
              <w:t>Regular patient assessments, reviews, and/or check-ups.</w:t>
            </w:r>
          </w:p>
        </w:tc>
      </w:tr>
      <w:tr w:rsidR="001C19F3" w14:paraId="0DCA8F81"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8160E01" w14:textId="77777777" w:rsidR="001C19F3" w:rsidRDefault="001C19F3" w:rsidP="00521305">
            <w:pPr>
              <w:spacing w:after="0"/>
              <w:ind w:left="100" w:right="100"/>
            </w:pPr>
            <w:r>
              <w:rPr>
                <w:rFonts w:eastAsia="Century Gothic" w:cs="Century Gothic"/>
                <w:color w:val="000000"/>
                <w:sz w:val="18"/>
                <w:szCs w:val="18"/>
              </w:rPr>
              <w:t>Use of self-reporting methods (i.e. surveys)</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241DEC" w14:textId="77777777" w:rsidR="001C19F3" w:rsidRDefault="001C19F3" w:rsidP="00521305">
            <w:pPr>
              <w:spacing w:after="0"/>
              <w:ind w:left="100" w:right="100"/>
              <w:jc w:val="right"/>
            </w:pPr>
            <w:r>
              <w:rPr>
                <w:rFonts w:eastAsia="Century Gothic" w:cs="Century Gothic"/>
                <w:color w:val="000000"/>
                <w:sz w:val="18"/>
                <w:szCs w:val="18"/>
              </w:rPr>
              <w:t>2 (2.2%)</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CAD3E" w14:textId="77777777" w:rsidR="001C19F3" w:rsidRDefault="001C19F3" w:rsidP="00521305">
            <w:pPr>
              <w:spacing w:after="0"/>
              <w:ind w:left="100" w:right="100"/>
              <w:jc w:val="right"/>
            </w:pPr>
            <w:r>
              <w:rPr>
                <w:rFonts w:eastAsia="Century Gothic" w:cs="Century Gothic"/>
                <w:color w:val="000000"/>
                <w:sz w:val="18"/>
                <w:szCs w:val="18"/>
              </w:rPr>
              <w:t>1 (1.1%)</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EFA72" w14:textId="77777777" w:rsidR="001C19F3" w:rsidRDefault="001C19F3" w:rsidP="00521305">
            <w:pPr>
              <w:spacing w:after="0"/>
              <w:ind w:left="100" w:right="100"/>
            </w:pPr>
            <w:r>
              <w:rPr>
                <w:rFonts w:eastAsia="Century Gothic" w:cs="Century Gothic"/>
                <w:color w:val="000000"/>
                <w:sz w:val="18"/>
                <w:szCs w:val="18"/>
              </w:rPr>
              <w:t>Improved IT practice systems and data tracking or more accurate patient data collection, monitoring, and records; Improved health outcomes.</w:t>
            </w:r>
          </w:p>
        </w:tc>
      </w:tr>
      <w:tr w:rsidR="001C19F3" w14:paraId="0E713E8E" w14:textId="77777777" w:rsidTr="00521305">
        <w:trPr>
          <w:cantSplit/>
          <w:trHeight w:val="20"/>
          <w:jc w:val="center"/>
        </w:trPr>
        <w:tc>
          <w:tcPr>
            <w:tcW w:w="296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EF00229" w14:textId="77777777" w:rsidR="001C19F3" w:rsidRDefault="001C19F3" w:rsidP="00521305">
            <w:pPr>
              <w:spacing w:after="0"/>
              <w:ind w:left="100" w:right="100"/>
            </w:pPr>
            <w:r>
              <w:rPr>
                <w:rFonts w:eastAsia="Century Gothic" w:cs="Century Gothic"/>
                <w:color w:val="000000"/>
                <w:sz w:val="18"/>
                <w:szCs w:val="18"/>
              </w:rPr>
              <w:t>More patient and/or practice staff feedback</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8FB583" w14:textId="77777777" w:rsidR="001C19F3" w:rsidRDefault="001C19F3" w:rsidP="00521305">
            <w:pPr>
              <w:spacing w:after="0"/>
              <w:ind w:left="100" w:right="100"/>
              <w:jc w:val="right"/>
            </w:pPr>
            <w:r>
              <w:rPr>
                <w:rFonts w:eastAsia="Century Gothic" w:cs="Century Gothic"/>
                <w:color w:val="000000"/>
                <w:sz w:val="18"/>
                <w:szCs w:val="18"/>
              </w:rPr>
              <w:t>1 (1.1%)</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333B88" w14:textId="77777777" w:rsidR="001C19F3" w:rsidRDefault="001C19F3" w:rsidP="00521305">
            <w:pPr>
              <w:spacing w:after="0"/>
              <w:ind w:left="100" w:right="100"/>
              <w:jc w:val="right"/>
            </w:pPr>
            <w:r>
              <w:rPr>
                <w:rFonts w:eastAsia="Century Gothic" w:cs="Century Gothic"/>
                <w:color w:val="000000"/>
                <w:sz w:val="18"/>
                <w:szCs w:val="18"/>
              </w:rPr>
              <w:t>0 (0.0%)</w:t>
            </w:r>
          </w:p>
        </w:tc>
        <w:tc>
          <w:tcPr>
            <w:tcW w:w="858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7F9B2F" w14:textId="77777777" w:rsidR="001C19F3" w:rsidRDefault="001C19F3" w:rsidP="00521305">
            <w:pPr>
              <w:spacing w:after="0"/>
              <w:ind w:left="100" w:right="100"/>
            </w:pPr>
            <w:r>
              <w:rPr>
                <w:rFonts w:eastAsia="Century Gothic" w:cs="Century Gothic"/>
                <w:color w:val="000000"/>
                <w:sz w:val="18"/>
                <w:szCs w:val="18"/>
              </w:rPr>
              <w:t>Improving patient education, involvement, knowledge, and self-management.</w:t>
            </w:r>
          </w:p>
        </w:tc>
      </w:tr>
    </w:tbl>
    <w:p w14:paraId="29799751" w14:textId="77777777" w:rsidR="001C19F3" w:rsidRDefault="001C19F3" w:rsidP="001C19F3">
      <w:pPr>
        <w:pStyle w:val="Chartortablefootnote"/>
      </w:pPr>
      <w:r>
        <w:t>Source: Practice survey R2, Nov 2018-Mar 2019, question 24.</w:t>
      </w:r>
    </w:p>
    <w:p w14:paraId="38AECE13" w14:textId="77777777" w:rsidR="001C19F3" w:rsidRDefault="001C19F3" w:rsidP="001C19F3">
      <w:pPr>
        <w:spacing w:after="160" w:line="259" w:lineRule="auto"/>
        <w:rPr>
          <w:i/>
          <w:sz w:val="16"/>
          <w:szCs w:val="18"/>
        </w:rPr>
      </w:pPr>
      <w:r>
        <w:br w:type="page"/>
      </w:r>
    </w:p>
    <w:p w14:paraId="25248BF7" w14:textId="77777777" w:rsidR="001C19F3" w:rsidRDefault="001C19F3" w:rsidP="001C19F3">
      <w:pPr>
        <w:pStyle w:val="Caption1"/>
      </w:pPr>
      <w:bookmarkStart w:id="572" w:name="_Ref22640301"/>
      <w:r>
        <w:lastRenderedPageBreak/>
        <w:t xml:space="preserve">Table </w:t>
      </w:r>
      <w:r>
        <w:fldChar w:fldCharType="begin"/>
      </w:r>
      <w:r>
        <w:instrText>SEQ Table \* ARABIC</w:instrText>
      </w:r>
      <w:r>
        <w:fldChar w:fldCharType="separate"/>
      </w:r>
      <w:r>
        <w:rPr>
          <w:noProof/>
        </w:rPr>
        <w:t>52</w:t>
      </w:r>
      <w:r>
        <w:fldChar w:fldCharType="end"/>
      </w:r>
      <w:r>
        <w:t xml:space="preserve"> – Rating of the effectiveness of the HCH online training modules</w:t>
      </w:r>
      <w:bookmarkEnd w:id="572"/>
      <w:r>
        <w:t xml:space="preserve"> </w:t>
      </w:r>
    </w:p>
    <w:tbl>
      <w:tblPr>
        <w:tblW w:w="0" w:type="auto"/>
        <w:jc w:val="center"/>
        <w:tblLayout w:type="fixed"/>
        <w:tblLook w:val="04A0" w:firstRow="1" w:lastRow="0" w:firstColumn="1" w:lastColumn="0" w:noHBand="0" w:noVBand="1"/>
      </w:tblPr>
      <w:tblGrid>
        <w:gridCol w:w="4977"/>
        <w:gridCol w:w="1493"/>
        <w:gridCol w:w="1493"/>
        <w:gridCol w:w="1493"/>
        <w:gridCol w:w="1493"/>
        <w:gridCol w:w="1493"/>
      </w:tblGrid>
      <w:tr w:rsidR="001C19F3" w14:paraId="14C412B0" w14:textId="77777777" w:rsidTr="00521305">
        <w:trPr>
          <w:cantSplit/>
          <w:trHeight w:val="20"/>
          <w:tblHeader/>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1A4D23" w14:textId="77777777" w:rsidR="001C19F3" w:rsidRDefault="001C19F3" w:rsidP="00521305">
            <w:pPr>
              <w:spacing w:after="0"/>
              <w:jc w:val="center"/>
            </w:pPr>
            <w:r>
              <w:rPr>
                <w:rFonts w:eastAsia="Century Gothic" w:cs="Century Gothic"/>
                <w:b/>
                <w:color w:val="FFFFFF"/>
                <w:sz w:val="18"/>
                <w:szCs w:val="18"/>
              </w:rPr>
              <w:t>Response by practice status</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0DF95A" w14:textId="77777777" w:rsidR="001C19F3" w:rsidRDefault="001C19F3" w:rsidP="00521305">
            <w:pPr>
              <w:spacing w:after="0"/>
              <w:jc w:val="center"/>
            </w:pPr>
            <w:r>
              <w:rPr>
                <w:rFonts w:eastAsia="Century Gothic" w:cs="Century Gothic"/>
                <w:b/>
                <w:color w:val="FFFFFF"/>
                <w:sz w:val="18"/>
                <w:szCs w:val="18"/>
              </w:rPr>
              <w:t>Very effective</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23D008" w14:textId="77777777" w:rsidR="001C19F3" w:rsidRDefault="001C19F3" w:rsidP="00521305">
            <w:pPr>
              <w:spacing w:after="0"/>
              <w:jc w:val="center"/>
            </w:pPr>
            <w:r>
              <w:rPr>
                <w:rFonts w:eastAsia="Century Gothic" w:cs="Century Gothic"/>
                <w:b/>
                <w:color w:val="FFFFFF"/>
                <w:sz w:val="18"/>
                <w:szCs w:val="18"/>
              </w:rPr>
              <w:t>Moderately effective</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9F090AF" w14:textId="77777777" w:rsidR="001C19F3" w:rsidRDefault="001C19F3" w:rsidP="00521305">
            <w:pPr>
              <w:spacing w:after="0"/>
              <w:jc w:val="center"/>
            </w:pPr>
            <w:r>
              <w:rPr>
                <w:rFonts w:eastAsia="Century Gothic" w:cs="Century Gothic"/>
                <w:b/>
                <w:color w:val="FFFFFF"/>
                <w:sz w:val="18"/>
                <w:szCs w:val="18"/>
              </w:rPr>
              <w:t>A little effective</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CEB51E1" w14:textId="77777777" w:rsidR="001C19F3" w:rsidRDefault="001C19F3" w:rsidP="00521305">
            <w:pPr>
              <w:spacing w:after="0"/>
              <w:jc w:val="center"/>
            </w:pPr>
            <w:r>
              <w:rPr>
                <w:rFonts w:eastAsia="Century Gothic" w:cs="Century Gothic"/>
                <w:b/>
                <w:color w:val="FFFFFF"/>
                <w:sz w:val="18"/>
                <w:szCs w:val="18"/>
              </w:rPr>
              <w:t>Ineffective</w:t>
            </w:r>
          </w:p>
        </w:tc>
        <w:tc>
          <w:tcPr>
            <w:tcW w:w="149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AB10972"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44BB41E4"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0DAD39" w14:textId="77777777" w:rsidR="001C19F3" w:rsidRDefault="001C19F3" w:rsidP="00521305">
            <w:pPr>
              <w:spacing w:after="0"/>
              <w:ind w:left="100" w:right="100"/>
            </w:pPr>
            <w:r>
              <w:rPr>
                <w:rFonts w:eastAsia="Century Gothic" w:cs="Century Gothic"/>
                <w:b/>
                <w:color w:val="000000"/>
                <w:sz w:val="18"/>
                <w:szCs w:val="18"/>
              </w:rPr>
              <w:t>Module 1: Overview of the HCH model</w:t>
            </w:r>
          </w:p>
        </w:tc>
      </w:tr>
      <w:tr w:rsidR="001C19F3" w14:paraId="671E0552"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DBAE07"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B03975" w14:textId="77777777" w:rsidR="001C19F3" w:rsidRDefault="001C19F3" w:rsidP="00521305">
            <w:pPr>
              <w:spacing w:after="0"/>
              <w:ind w:left="100" w:right="100"/>
              <w:jc w:val="right"/>
            </w:pPr>
            <w:r>
              <w:rPr>
                <w:rFonts w:eastAsia="Century Gothic" w:cs="Century Gothic"/>
                <w:color w:val="000000"/>
                <w:sz w:val="18"/>
                <w:szCs w:val="18"/>
              </w:rPr>
              <w:t>12 (15.6%)</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98FB17" w14:textId="77777777" w:rsidR="001C19F3" w:rsidRDefault="001C19F3" w:rsidP="00521305">
            <w:pPr>
              <w:spacing w:after="0"/>
              <w:ind w:left="100" w:right="100"/>
              <w:jc w:val="right"/>
            </w:pPr>
            <w:r>
              <w:rPr>
                <w:rFonts w:eastAsia="Century Gothic" w:cs="Century Gothic"/>
                <w:color w:val="000000"/>
                <w:sz w:val="18"/>
                <w:szCs w:val="18"/>
              </w:rPr>
              <w:t>34 (44.2%)</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E5AD66" w14:textId="77777777" w:rsidR="001C19F3" w:rsidRDefault="001C19F3" w:rsidP="00521305">
            <w:pPr>
              <w:spacing w:after="0"/>
              <w:ind w:left="100" w:right="100"/>
              <w:jc w:val="right"/>
            </w:pPr>
            <w:r>
              <w:rPr>
                <w:rFonts w:eastAsia="Century Gothic" w:cs="Century Gothic"/>
                <w:color w:val="000000"/>
                <w:sz w:val="18"/>
                <w:szCs w:val="18"/>
              </w:rPr>
              <w:t>23 (29.9%)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39E843" w14:textId="77777777" w:rsidR="001C19F3" w:rsidRDefault="001C19F3" w:rsidP="00521305">
            <w:pPr>
              <w:spacing w:after="0"/>
              <w:ind w:left="100" w:right="100"/>
              <w:jc w:val="right"/>
            </w:pPr>
            <w:r>
              <w:rPr>
                <w:rFonts w:eastAsia="Century Gothic" w:cs="Century Gothic"/>
                <w:color w:val="000000"/>
                <w:sz w:val="18"/>
                <w:szCs w:val="18"/>
              </w:rPr>
              <w:t>8 (10.4%)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9033BE" w14:textId="77777777" w:rsidR="001C19F3" w:rsidRDefault="001C19F3" w:rsidP="00521305">
            <w:pPr>
              <w:spacing w:after="0"/>
              <w:ind w:left="100" w:right="100"/>
              <w:jc w:val="right"/>
            </w:pPr>
            <w:r>
              <w:rPr>
                <w:rFonts w:eastAsia="Century Gothic" w:cs="Century Gothic"/>
                <w:color w:val="000000"/>
                <w:sz w:val="18"/>
                <w:szCs w:val="18"/>
              </w:rPr>
              <w:t>15</w:t>
            </w:r>
          </w:p>
        </w:tc>
      </w:tr>
      <w:tr w:rsidR="001C19F3" w14:paraId="65DEAE68"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BEFA07"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8A8CDA" w14:textId="77777777" w:rsidR="001C19F3" w:rsidRDefault="001C19F3" w:rsidP="00521305">
            <w:pPr>
              <w:spacing w:after="0"/>
              <w:ind w:left="100" w:right="100"/>
              <w:jc w:val="right"/>
            </w:pPr>
            <w:r>
              <w:rPr>
                <w:rFonts w:eastAsia="Century Gothic" w:cs="Century Gothic"/>
                <w:color w:val="000000"/>
                <w:sz w:val="18"/>
                <w:szCs w:val="18"/>
              </w:rPr>
              <w:t>1 (10.0%)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4A446A" w14:textId="77777777" w:rsidR="001C19F3" w:rsidRDefault="001C19F3" w:rsidP="00521305">
            <w:pPr>
              <w:spacing w:after="0"/>
              <w:ind w:left="100" w:right="100"/>
              <w:jc w:val="right"/>
            </w:pPr>
            <w:r>
              <w:rPr>
                <w:rFonts w:eastAsia="Century Gothic" w:cs="Century Gothic"/>
                <w:color w:val="000000"/>
                <w:sz w:val="18"/>
                <w:szCs w:val="18"/>
              </w:rPr>
              <w:t>5 (50.0%)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2F5958" w14:textId="77777777" w:rsidR="001C19F3" w:rsidRDefault="001C19F3" w:rsidP="00521305">
            <w:pPr>
              <w:spacing w:after="0"/>
              <w:ind w:left="100" w:right="100"/>
              <w:jc w:val="right"/>
            </w:pPr>
            <w:r>
              <w:rPr>
                <w:rFonts w:eastAsia="Century Gothic" w:cs="Century Gothic"/>
                <w:color w:val="000000"/>
                <w:sz w:val="18"/>
                <w:szCs w:val="18"/>
              </w:rPr>
              <w:t>4 (40.0%)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835FB4"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FB89B4"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646FF1B4"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D5BAE7" w14:textId="77777777" w:rsidR="001C19F3" w:rsidRDefault="001C19F3" w:rsidP="00521305">
            <w:pPr>
              <w:spacing w:after="0"/>
              <w:ind w:left="100" w:right="100"/>
            </w:pPr>
            <w:r>
              <w:rPr>
                <w:rFonts w:eastAsia="Century Gothic" w:cs="Century Gothic"/>
                <w:b/>
                <w:color w:val="000000"/>
                <w:sz w:val="18"/>
                <w:szCs w:val="18"/>
              </w:rPr>
              <w:t>Module 2: Engaged leadership</w:t>
            </w:r>
          </w:p>
        </w:tc>
      </w:tr>
      <w:tr w:rsidR="001C19F3" w14:paraId="7E7C0400"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9872AA"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3A94B" w14:textId="77777777" w:rsidR="001C19F3" w:rsidRDefault="001C19F3" w:rsidP="00521305">
            <w:pPr>
              <w:spacing w:after="0"/>
              <w:ind w:left="100" w:right="100"/>
              <w:jc w:val="right"/>
            </w:pPr>
            <w:r>
              <w:rPr>
                <w:rFonts w:eastAsia="Century Gothic" w:cs="Century Gothic"/>
                <w:color w:val="000000"/>
                <w:sz w:val="18"/>
                <w:szCs w:val="18"/>
              </w:rPr>
              <w:t>11 (14.9%)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326B4D" w14:textId="77777777" w:rsidR="001C19F3" w:rsidRDefault="001C19F3" w:rsidP="00521305">
            <w:pPr>
              <w:spacing w:after="0"/>
              <w:ind w:left="100" w:right="100"/>
              <w:jc w:val="right"/>
            </w:pPr>
            <w:r>
              <w:rPr>
                <w:rFonts w:eastAsia="Century Gothic" w:cs="Century Gothic"/>
                <w:color w:val="000000"/>
                <w:sz w:val="18"/>
                <w:szCs w:val="18"/>
              </w:rPr>
              <w:t>32 (43.2%)</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4B46A2" w14:textId="77777777" w:rsidR="001C19F3" w:rsidRDefault="001C19F3" w:rsidP="00521305">
            <w:pPr>
              <w:spacing w:after="0"/>
              <w:ind w:left="100" w:right="100"/>
              <w:jc w:val="right"/>
            </w:pPr>
            <w:r>
              <w:rPr>
                <w:rFonts w:eastAsia="Century Gothic" w:cs="Century Gothic"/>
                <w:color w:val="000000"/>
                <w:sz w:val="18"/>
                <w:szCs w:val="18"/>
              </w:rPr>
              <w:t>20 (27.0%)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E190A4" w14:textId="77777777" w:rsidR="001C19F3" w:rsidRDefault="001C19F3" w:rsidP="00521305">
            <w:pPr>
              <w:spacing w:after="0"/>
              <w:ind w:left="100" w:right="100"/>
              <w:jc w:val="right"/>
            </w:pPr>
            <w:r>
              <w:rPr>
                <w:rFonts w:eastAsia="Century Gothic" w:cs="Century Gothic"/>
                <w:color w:val="000000"/>
                <w:sz w:val="18"/>
                <w:szCs w:val="18"/>
              </w:rPr>
              <w:t>11 (14.9%)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76AA9C" w14:textId="77777777" w:rsidR="001C19F3" w:rsidRDefault="001C19F3" w:rsidP="00521305">
            <w:pPr>
              <w:spacing w:after="0"/>
              <w:ind w:left="100" w:right="100"/>
              <w:jc w:val="right"/>
            </w:pPr>
            <w:r>
              <w:rPr>
                <w:rFonts w:eastAsia="Century Gothic" w:cs="Century Gothic"/>
                <w:color w:val="000000"/>
                <w:sz w:val="18"/>
                <w:szCs w:val="18"/>
              </w:rPr>
              <w:t>18</w:t>
            </w:r>
          </w:p>
        </w:tc>
      </w:tr>
      <w:tr w:rsidR="001C19F3" w14:paraId="23153AA5"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B27253"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D8E3F2"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AD9641" w14:textId="77777777" w:rsidR="001C19F3" w:rsidRDefault="001C19F3" w:rsidP="00521305">
            <w:pPr>
              <w:spacing w:after="0"/>
              <w:ind w:left="100" w:right="100"/>
              <w:jc w:val="right"/>
            </w:pPr>
            <w:r>
              <w:rPr>
                <w:rFonts w:eastAsia="Century Gothic" w:cs="Century Gothic"/>
                <w:color w:val="000000"/>
                <w:sz w:val="18"/>
                <w:szCs w:val="18"/>
              </w:rPr>
              <w:t>5 (50.0%)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69FF33" w14:textId="77777777" w:rsidR="001C19F3" w:rsidRDefault="001C19F3" w:rsidP="00521305">
            <w:pPr>
              <w:spacing w:after="0"/>
              <w:ind w:left="100" w:right="100"/>
              <w:jc w:val="right"/>
            </w:pPr>
            <w:r>
              <w:rPr>
                <w:rFonts w:eastAsia="Century Gothic" w:cs="Century Gothic"/>
                <w:color w:val="000000"/>
                <w:sz w:val="18"/>
                <w:szCs w:val="18"/>
              </w:rPr>
              <w:t>5 (50.0%)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701B39"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D12F6C"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088A420F"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77A1E3" w14:textId="77777777" w:rsidR="001C19F3" w:rsidRDefault="001C19F3" w:rsidP="00521305">
            <w:pPr>
              <w:spacing w:after="0"/>
              <w:ind w:left="100" w:right="100"/>
            </w:pPr>
            <w:r>
              <w:rPr>
                <w:rFonts w:eastAsia="Century Gothic" w:cs="Century Gothic"/>
                <w:b/>
                <w:color w:val="000000"/>
                <w:sz w:val="18"/>
                <w:szCs w:val="18"/>
              </w:rPr>
              <w:t>Module 3: Patient enrolment (incl. risk stratification) and payment processes</w:t>
            </w:r>
          </w:p>
        </w:tc>
      </w:tr>
      <w:tr w:rsidR="001C19F3" w14:paraId="7AD4CC3F"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14DC98"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F7977" w14:textId="77777777" w:rsidR="001C19F3" w:rsidRDefault="001C19F3" w:rsidP="00521305">
            <w:pPr>
              <w:spacing w:after="0"/>
              <w:ind w:left="100" w:right="100"/>
              <w:jc w:val="right"/>
            </w:pPr>
            <w:r>
              <w:rPr>
                <w:rFonts w:eastAsia="Century Gothic" w:cs="Century Gothic"/>
                <w:color w:val="000000"/>
                <w:sz w:val="18"/>
                <w:szCs w:val="18"/>
              </w:rPr>
              <w:t>14 (18.9%)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39BE7" w14:textId="77777777" w:rsidR="001C19F3" w:rsidRDefault="001C19F3" w:rsidP="00521305">
            <w:pPr>
              <w:spacing w:after="0"/>
              <w:ind w:left="100" w:right="100"/>
              <w:jc w:val="right"/>
            </w:pPr>
            <w:r>
              <w:rPr>
                <w:rFonts w:eastAsia="Century Gothic" w:cs="Century Gothic"/>
                <w:color w:val="000000"/>
                <w:sz w:val="18"/>
                <w:szCs w:val="18"/>
              </w:rPr>
              <w:t>31 (41.9%)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40C650" w14:textId="77777777" w:rsidR="001C19F3" w:rsidRDefault="001C19F3" w:rsidP="00521305">
            <w:pPr>
              <w:spacing w:after="0"/>
              <w:ind w:left="100" w:right="100"/>
              <w:jc w:val="right"/>
            </w:pPr>
            <w:r>
              <w:rPr>
                <w:rFonts w:eastAsia="Century Gothic" w:cs="Century Gothic"/>
                <w:color w:val="000000"/>
                <w:sz w:val="18"/>
                <w:szCs w:val="18"/>
              </w:rPr>
              <w:t>18 (24.3%)</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492EC" w14:textId="77777777" w:rsidR="001C19F3" w:rsidRDefault="001C19F3" w:rsidP="00521305">
            <w:pPr>
              <w:spacing w:after="0"/>
              <w:ind w:left="100" w:right="100"/>
              <w:jc w:val="right"/>
            </w:pPr>
            <w:r>
              <w:rPr>
                <w:rFonts w:eastAsia="Century Gothic" w:cs="Century Gothic"/>
                <w:color w:val="000000"/>
                <w:sz w:val="18"/>
                <w:szCs w:val="18"/>
              </w:rPr>
              <w:t>11 (14.9%)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8559DA" w14:textId="77777777" w:rsidR="001C19F3" w:rsidRDefault="001C19F3" w:rsidP="00521305">
            <w:pPr>
              <w:spacing w:after="0"/>
              <w:ind w:left="100" w:right="100"/>
              <w:jc w:val="right"/>
            </w:pPr>
            <w:r>
              <w:rPr>
                <w:rFonts w:eastAsia="Century Gothic" w:cs="Century Gothic"/>
                <w:color w:val="000000"/>
                <w:sz w:val="18"/>
                <w:szCs w:val="18"/>
              </w:rPr>
              <w:t>18</w:t>
            </w:r>
          </w:p>
        </w:tc>
      </w:tr>
      <w:tr w:rsidR="001C19F3" w14:paraId="6E280F89"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AC74BD"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074736"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43A035" w14:textId="77777777" w:rsidR="001C19F3" w:rsidRDefault="001C19F3" w:rsidP="00521305">
            <w:pPr>
              <w:spacing w:after="0"/>
              <w:ind w:left="100" w:right="100"/>
              <w:jc w:val="right"/>
            </w:pPr>
            <w:r>
              <w:rPr>
                <w:rFonts w:eastAsia="Century Gothic" w:cs="Century Gothic"/>
                <w:color w:val="000000"/>
                <w:sz w:val="18"/>
                <w:szCs w:val="18"/>
              </w:rPr>
              <w:t>6 (60.0%)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65F6EF" w14:textId="77777777" w:rsidR="001C19F3" w:rsidRDefault="001C19F3" w:rsidP="00521305">
            <w:pPr>
              <w:spacing w:after="0"/>
              <w:ind w:left="100" w:right="100"/>
              <w:jc w:val="right"/>
            </w:pPr>
            <w:r>
              <w:rPr>
                <w:rFonts w:eastAsia="Century Gothic" w:cs="Century Gothic"/>
                <w:color w:val="000000"/>
                <w:sz w:val="18"/>
                <w:szCs w:val="18"/>
              </w:rPr>
              <w:t>4 (40.0%)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BF0BF5"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3AADBE"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32ABCBB9"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E8FFD8" w14:textId="77777777" w:rsidR="001C19F3" w:rsidRDefault="001C19F3" w:rsidP="00521305">
            <w:pPr>
              <w:spacing w:after="0"/>
              <w:ind w:left="100" w:right="100"/>
            </w:pPr>
            <w:r>
              <w:rPr>
                <w:rFonts w:eastAsia="Century Gothic" w:cs="Century Gothic"/>
                <w:b/>
                <w:color w:val="000000"/>
                <w:sz w:val="18"/>
                <w:szCs w:val="18"/>
              </w:rPr>
              <w:t>Module 4: Data-driven improvement</w:t>
            </w:r>
          </w:p>
        </w:tc>
      </w:tr>
      <w:tr w:rsidR="001C19F3" w14:paraId="5C7A0BE1"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B35246"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6807A5" w14:textId="77777777" w:rsidR="001C19F3" w:rsidRDefault="001C19F3" w:rsidP="00521305">
            <w:pPr>
              <w:spacing w:after="0"/>
              <w:ind w:left="100" w:right="100"/>
              <w:jc w:val="right"/>
            </w:pPr>
            <w:r>
              <w:rPr>
                <w:rFonts w:eastAsia="Century Gothic" w:cs="Century Gothic"/>
                <w:color w:val="000000"/>
                <w:sz w:val="18"/>
                <w:szCs w:val="18"/>
              </w:rPr>
              <w:t>14 (19.4%)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A11F7" w14:textId="77777777" w:rsidR="001C19F3" w:rsidRDefault="001C19F3" w:rsidP="00521305">
            <w:pPr>
              <w:spacing w:after="0"/>
              <w:ind w:left="100" w:right="100"/>
              <w:jc w:val="right"/>
            </w:pPr>
            <w:r>
              <w:rPr>
                <w:rFonts w:eastAsia="Century Gothic" w:cs="Century Gothic"/>
                <w:color w:val="000000"/>
                <w:sz w:val="18"/>
                <w:szCs w:val="18"/>
              </w:rPr>
              <w:t>28 (38.9%)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902672" w14:textId="77777777" w:rsidR="001C19F3" w:rsidRDefault="001C19F3" w:rsidP="00521305">
            <w:pPr>
              <w:spacing w:after="0"/>
              <w:ind w:left="100" w:right="100"/>
              <w:jc w:val="right"/>
            </w:pPr>
            <w:r>
              <w:rPr>
                <w:rFonts w:eastAsia="Century Gothic" w:cs="Century Gothic"/>
                <w:color w:val="000000"/>
                <w:sz w:val="18"/>
                <w:szCs w:val="18"/>
              </w:rPr>
              <w:t>21 (29.2%)</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1FA49A" w14:textId="77777777" w:rsidR="001C19F3" w:rsidRDefault="001C19F3" w:rsidP="00521305">
            <w:pPr>
              <w:spacing w:after="0"/>
              <w:ind w:left="100" w:right="100"/>
              <w:jc w:val="right"/>
            </w:pPr>
            <w:r>
              <w:rPr>
                <w:rFonts w:eastAsia="Century Gothic" w:cs="Century Gothic"/>
                <w:color w:val="000000"/>
                <w:sz w:val="18"/>
                <w:szCs w:val="18"/>
              </w:rPr>
              <w:t>9 (12.5%)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FA82D6" w14:textId="77777777" w:rsidR="001C19F3" w:rsidRDefault="001C19F3" w:rsidP="00521305">
            <w:pPr>
              <w:spacing w:after="0"/>
              <w:ind w:left="100" w:right="100"/>
              <w:jc w:val="right"/>
            </w:pPr>
            <w:r>
              <w:rPr>
                <w:rFonts w:eastAsia="Century Gothic" w:cs="Century Gothic"/>
                <w:color w:val="000000"/>
                <w:sz w:val="18"/>
                <w:szCs w:val="18"/>
              </w:rPr>
              <w:t>20</w:t>
            </w:r>
          </w:p>
        </w:tc>
      </w:tr>
      <w:tr w:rsidR="001C19F3" w14:paraId="370D8D01"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26A329"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4E2F5D"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7BE9F7" w14:textId="77777777" w:rsidR="001C19F3" w:rsidRDefault="001C19F3" w:rsidP="00521305">
            <w:pPr>
              <w:spacing w:after="0"/>
              <w:ind w:left="100" w:right="100"/>
              <w:jc w:val="right"/>
            </w:pPr>
            <w:r>
              <w:rPr>
                <w:rFonts w:eastAsia="Century Gothic" w:cs="Century Gothic"/>
                <w:color w:val="000000"/>
                <w:sz w:val="18"/>
                <w:szCs w:val="18"/>
              </w:rPr>
              <w:t>4 (40.0%)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CB60C7" w14:textId="77777777" w:rsidR="001C19F3" w:rsidRDefault="001C19F3" w:rsidP="00521305">
            <w:pPr>
              <w:spacing w:after="0"/>
              <w:ind w:left="100" w:right="100"/>
              <w:jc w:val="right"/>
            </w:pPr>
            <w:r>
              <w:rPr>
                <w:rFonts w:eastAsia="Century Gothic" w:cs="Century Gothic"/>
                <w:color w:val="000000"/>
                <w:sz w:val="18"/>
                <w:szCs w:val="18"/>
              </w:rPr>
              <w:t>6 (60.0%)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4C870A"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E54ED1"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4ABB2F5D"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73A7A" w14:textId="77777777" w:rsidR="001C19F3" w:rsidRDefault="001C19F3" w:rsidP="00521305">
            <w:pPr>
              <w:spacing w:after="0"/>
              <w:ind w:left="100" w:right="100"/>
            </w:pPr>
            <w:r>
              <w:rPr>
                <w:rFonts w:eastAsia="Century Gothic" w:cs="Century Gothic"/>
                <w:b/>
                <w:color w:val="000000"/>
                <w:sz w:val="18"/>
                <w:szCs w:val="18"/>
              </w:rPr>
              <w:t>Module 5: Team-based care</w:t>
            </w:r>
          </w:p>
        </w:tc>
      </w:tr>
      <w:tr w:rsidR="001C19F3" w14:paraId="21F8E0B1"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14E2D9"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F4D10" w14:textId="77777777" w:rsidR="001C19F3" w:rsidRDefault="001C19F3" w:rsidP="00521305">
            <w:pPr>
              <w:spacing w:after="0"/>
              <w:ind w:left="100" w:right="100"/>
              <w:jc w:val="right"/>
            </w:pPr>
            <w:r>
              <w:rPr>
                <w:rFonts w:eastAsia="Century Gothic" w:cs="Century Gothic"/>
                <w:color w:val="000000"/>
                <w:sz w:val="18"/>
                <w:szCs w:val="18"/>
              </w:rPr>
              <w:t>15 (21.1%)</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4C3B6D" w14:textId="77777777" w:rsidR="001C19F3" w:rsidRDefault="001C19F3" w:rsidP="00521305">
            <w:pPr>
              <w:spacing w:after="0"/>
              <w:ind w:left="100" w:right="100"/>
              <w:jc w:val="right"/>
            </w:pPr>
            <w:r>
              <w:rPr>
                <w:rFonts w:eastAsia="Century Gothic" w:cs="Century Gothic"/>
                <w:color w:val="000000"/>
                <w:sz w:val="18"/>
                <w:szCs w:val="18"/>
              </w:rPr>
              <w:t>29 (40.8%)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908B8E" w14:textId="77777777" w:rsidR="001C19F3" w:rsidRDefault="001C19F3" w:rsidP="00521305">
            <w:pPr>
              <w:spacing w:after="0"/>
              <w:ind w:left="100" w:right="100"/>
              <w:jc w:val="right"/>
            </w:pPr>
            <w:r>
              <w:rPr>
                <w:rFonts w:eastAsia="Century Gothic" w:cs="Century Gothic"/>
                <w:color w:val="000000"/>
                <w:sz w:val="18"/>
                <w:szCs w:val="18"/>
              </w:rPr>
              <w:t>19 (26.8%)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46A0F3" w14:textId="77777777" w:rsidR="001C19F3" w:rsidRDefault="001C19F3" w:rsidP="00521305">
            <w:pPr>
              <w:spacing w:after="0"/>
              <w:ind w:left="100" w:right="100"/>
              <w:jc w:val="right"/>
            </w:pPr>
            <w:r>
              <w:rPr>
                <w:rFonts w:eastAsia="Century Gothic" w:cs="Century Gothic"/>
                <w:color w:val="000000"/>
                <w:sz w:val="18"/>
                <w:szCs w:val="18"/>
              </w:rPr>
              <w:t>8 (11.3%)</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99665E" w14:textId="77777777" w:rsidR="001C19F3" w:rsidRDefault="001C19F3" w:rsidP="00521305">
            <w:pPr>
              <w:spacing w:after="0"/>
              <w:ind w:left="100" w:right="100"/>
              <w:jc w:val="right"/>
            </w:pPr>
            <w:r>
              <w:rPr>
                <w:rFonts w:eastAsia="Century Gothic" w:cs="Century Gothic"/>
                <w:color w:val="000000"/>
                <w:sz w:val="18"/>
                <w:szCs w:val="18"/>
              </w:rPr>
              <w:t>21</w:t>
            </w:r>
          </w:p>
        </w:tc>
      </w:tr>
      <w:tr w:rsidR="001C19F3" w14:paraId="584CF960"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0B726"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0F0645"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705A43" w14:textId="77777777" w:rsidR="001C19F3" w:rsidRDefault="001C19F3" w:rsidP="00521305">
            <w:pPr>
              <w:spacing w:after="0"/>
              <w:ind w:left="100" w:right="100"/>
              <w:jc w:val="right"/>
            </w:pPr>
            <w:r>
              <w:rPr>
                <w:rFonts w:eastAsia="Century Gothic" w:cs="Century Gothic"/>
                <w:color w:val="000000"/>
                <w:sz w:val="18"/>
                <w:szCs w:val="18"/>
              </w:rPr>
              <w:t>7 (70.0%)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4383F8" w14:textId="77777777" w:rsidR="001C19F3" w:rsidRDefault="001C19F3" w:rsidP="00521305">
            <w:pPr>
              <w:spacing w:after="0"/>
              <w:ind w:left="100" w:right="100"/>
              <w:jc w:val="right"/>
            </w:pPr>
            <w:r>
              <w:rPr>
                <w:rFonts w:eastAsia="Century Gothic" w:cs="Century Gothic"/>
                <w:color w:val="000000"/>
                <w:sz w:val="18"/>
                <w:szCs w:val="18"/>
              </w:rPr>
              <w:t>3 (30.0%)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2AB3CE"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0E98F"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6FF7171B"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07BD55" w14:textId="77777777" w:rsidR="001C19F3" w:rsidRDefault="001C19F3" w:rsidP="00521305">
            <w:pPr>
              <w:spacing w:after="0"/>
              <w:ind w:left="100" w:right="100"/>
            </w:pPr>
            <w:r>
              <w:rPr>
                <w:rFonts w:eastAsia="Century Gothic" w:cs="Century Gothic"/>
                <w:b/>
                <w:color w:val="000000"/>
                <w:sz w:val="18"/>
                <w:szCs w:val="18"/>
              </w:rPr>
              <w:t>Module 6: Developing and implementing the shared care plan</w:t>
            </w:r>
          </w:p>
        </w:tc>
      </w:tr>
      <w:tr w:rsidR="001C19F3" w14:paraId="489F3AC0"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3E4D9B"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343B9A" w14:textId="77777777" w:rsidR="001C19F3" w:rsidRDefault="001C19F3" w:rsidP="00521305">
            <w:pPr>
              <w:spacing w:after="0"/>
              <w:ind w:left="100" w:right="100"/>
              <w:jc w:val="right"/>
            </w:pPr>
            <w:r>
              <w:rPr>
                <w:rFonts w:eastAsia="Century Gothic" w:cs="Century Gothic"/>
                <w:color w:val="000000"/>
                <w:sz w:val="18"/>
                <w:szCs w:val="18"/>
              </w:rPr>
              <w:t>12 (17.9%)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F6C5E" w14:textId="77777777" w:rsidR="001C19F3" w:rsidRDefault="001C19F3" w:rsidP="00521305">
            <w:pPr>
              <w:spacing w:after="0"/>
              <w:ind w:left="100" w:right="100"/>
              <w:jc w:val="right"/>
            </w:pPr>
            <w:r>
              <w:rPr>
                <w:rFonts w:eastAsia="Century Gothic" w:cs="Century Gothic"/>
                <w:color w:val="000000"/>
                <w:sz w:val="18"/>
                <w:szCs w:val="18"/>
              </w:rPr>
              <w:t>28 (41.8%)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4D41DF" w14:textId="77777777" w:rsidR="001C19F3" w:rsidRDefault="001C19F3" w:rsidP="00521305">
            <w:pPr>
              <w:spacing w:after="0"/>
              <w:ind w:left="100" w:right="100"/>
              <w:jc w:val="right"/>
            </w:pPr>
            <w:r>
              <w:rPr>
                <w:rFonts w:eastAsia="Century Gothic" w:cs="Century Gothic"/>
                <w:color w:val="000000"/>
                <w:sz w:val="18"/>
                <w:szCs w:val="18"/>
              </w:rPr>
              <w:t>16 (23.9%)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E4B4D2" w14:textId="77777777" w:rsidR="001C19F3" w:rsidRDefault="001C19F3" w:rsidP="00521305">
            <w:pPr>
              <w:spacing w:after="0"/>
              <w:ind w:left="100" w:right="100"/>
              <w:jc w:val="right"/>
            </w:pPr>
            <w:r>
              <w:rPr>
                <w:rFonts w:eastAsia="Century Gothic" w:cs="Century Gothic"/>
                <w:color w:val="000000"/>
                <w:sz w:val="18"/>
                <w:szCs w:val="18"/>
              </w:rPr>
              <w:t>11 (16.4%)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9A798" w14:textId="77777777" w:rsidR="001C19F3" w:rsidRDefault="001C19F3" w:rsidP="00521305">
            <w:pPr>
              <w:spacing w:after="0"/>
              <w:ind w:left="100" w:right="100"/>
              <w:jc w:val="right"/>
            </w:pPr>
            <w:r>
              <w:rPr>
                <w:rFonts w:eastAsia="Century Gothic" w:cs="Century Gothic"/>
                <w:color w:val="000000"/>
                <w:sz w:val="18"/>
                <w:szCs w:val="18"/>
              </w:rPr>
              <w:t>25</w:t>
            </w:r>
          </w:p>
        </w:tc>
      </w:tr>
      <w:tr w:rsidR="001C19F3" w14:paraId="2E21529B"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DAAFF"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B5CAE8"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36110E" w14:textId="77777777" w:rsidR="001C19F3" w:rsidRDefault="001C19F3" w:rsidP="00521305">
            <w:pPr>
              <w:spacing w:after="0"/>
              <w:ind w:left="100" w:right="100"/>
              <w:jc w:val="right"/>
            </w:pPr>
            <w:r>
              <w:rPr>
                <w:rFonts w:eastAsia="Century Gothic" w:cs="Century Gothic"/>
                <w:color w:val="000000"/>
                <w:sz w:val="18"/>
                <w:szCs w:val="18"/>
              </w:rPr>
              <w:t>6 (60.0%)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3919C7" w14:textId="77777777" w:rsidR="001C19F3" w:rsidRDefault="001C19F3" w:rsidP="00521305">
            <w:pPr>
              <w:spacing w:after="0"/>
              <w:ind w:left="100" w:right="100"/>
              <w:jc w:val="right"/>
            </w:pPr>
            <w:r>
              <w:rPr>
                <w:rFonts w:eastAsia="Century Gothic" w:cs="Century Gothic"/>
                <w:color w:val="000000"/>
                <w:sz w:val="18"/>
                <w:szCs w:val="18"/>
              </w:rPr>
              <w:t>4 (40.0%)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9EE360"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85ABED" w14:textId="77777777" w:rsidR="001C19F3" w:rsidRDefault="001C19F3" w:rsidP="00521305">
            <w:pPr>
              <w:spacing w:after="0"/>
              <w:ind w:left="100" w:right="100"/>
              <w:jc w:val="right"/>
            </w:pPr>
            <w:r>
              <w:rPr>
                <w:rFonts w:eastAsia="Century Gothic" w:cs="Century Gothic"/>
                <w:color w:val="000000"/>
                <w:sz w:val="18"/>
                <w:szCs w:val="18"/>
              </w:rPr>
              <w:t>3</w:t>
            </w:r>
          </w:p>
        </w:tc>
      </w:tr>
      <w:tr w:rsidR="001C19F3" w14:paraId="4D052116"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ABDEE" w14:textId="77777777" w:rsidR="001C19F3" w:rsidRDefault="001C19F3" w:rsidP="00521305">
            <w:pPr>
              <w:spacing w:after="0"/>
              <w:ind w:left="100" w:right="100"/>
            </w:pPr>
            <w:r>
              <w:rPr>
                <w:rFonts w:eastAsia="Century Gothic" w:cs="Century Gothic"/>
                <w:b/>
                <w:color w:val="000000"/>
                <w:sz w:val="18"/>
                <w:szCs w:val="18"/>
              </w:rPr>
              <w:t>Module 7: Patient-team partnership</w:t>
            </w:r>
          </w:p>
        </w:tc>
      </w:tr>
      <w:tr w:rsidR="001C19F3" w14:paraId="74DC8D41"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D329B9"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F48B27" w14:textId="77777777" w:rsidR="001C19F3" w:rsidRDefault="001C19F3" w:rsidP="00521305">
            <w:pPr>
              <w:spacing w:after="0"/>
              <w:ind w:left="100" w:right="100"/>
              <w:jc w:val="right"/>
            </w:pPr>
            <w:r>
              <w:rPr>
                <w:rFonts w:eastAsia="Century Gothic" w:cs="Century Gothic"/>
                <w:color w:val="000000"/>
                <w:sz w:val="18"/>
                <w:szCs w:val="18"/>
              </w:rPr>
              <w:t>12 (17.9%)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8B350E" w14:textId="77777777" w:rsidR="001C19F3" w:rsidRDefault="001C19F3" w:rsidP="00521305">
            <w:pPr>
              <w:spacing w:after="0"/>
              <w:ind w:left="100" w:right="100"/>
              <w:jc w:val="right"/>
            </w:pPr>
            <w:r>
              <w:rPr>
                <w:rFonts w:eastAsia="Century Gothic" w:cs="Century Gothic"/>
                <w:color w:val="000000"/>
                <w:sz w:val="18"/>
                <w:szCs w:val="18"/>
              </w:rPr>
              <w:t>24 (35.8%)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7F246A" w14:textId="77777777" w:rsidR="001C19F3" w:rsidRDefault="001C19F3" w:rsidP="00521305">
            <w:pPr>
              <w:spacing w:after="0"/>
              <w:ind w:left="100" w:right="100"/>
              <w:jc w:val="right"/>
            </w:pPr>
            <w:r>
              <w:rPr>
                <w:rFonts w:eastAsia="Century Gothic" w:cs="Century Gothic"/>
                <w:color w:val="000000"/>
                <w:sz w:val="18"/>
                <w:szCs w:val="18"/>
              </w:rPr>
              <w:t>22 (32.8%)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A4D78A" w14:textId="77777777" w:rsidR="001C19F3" w:rsidRDefault="001C19F3" w:rsidP="00521305">
            <w:pPr>
              <w:spacing w:after="0"/>
              <w:ind w:left="100" w:right="100"/>
              <w:jc w:val="right"/>
            </w:pPr>
            <w:r>
              <w:rPr>
                <w:rFonts w:eastAsia="Century Gothic" w:cs="Century Gothic"/>
                <w:color w:val="000000"/>
                <w:sz w:val="18"/>
                <w:szCs w:val="18"/>
              </w:rPr>
              <w:t>9 (13.4%)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EDAB96" w14:textId="77777777" w:rsidR="001C19F3" w:rsidRDefault="001C19F3" w:rsidP="00521305">
            <w:pPr>
              <w:spacing w:after="0"/>
              <w:ind w:left="100" w:right="100"/>
              <w:jc w:val="right"/>
            </w:pPr>
            <w:r>
              <w:rPr>
                <w:rFonts w:eastAsia="Century Gothic" w:cs="Century Gothic"/>
                <w:color w:val="000000"/>
                <w:sz w:val="18"/>
                <w:szCs w:val="18"/>
              </w:rPr>
              <w:t>25</w:t>
            </w:r>
          </w:p>
        </w:tc>
      </w:tr>
      <w:tr w:rsidR="001C19F3" w14:paraId="75C798D5"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23E8E1"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A9D9BB" w14:textId="77777777" w:rsidR="001C19F3" w:rsidRDefault="001C19F3" w:rsidP="00521305">
            <w:pPr>
              <w:spacing w:after="0"/>
              <w:ind w:left="100" w:right="100"/>
              <w:jc w:val="right"/>
            </w:pPr>
            <w:r>
              <w:rPr>
                <w:rFonts w:eastAsia="Century Gothic" w:cs="Century Gothic"/>
                <w:color w:val="000000"/>
                <w:sz w:val="18"/>
                <w:szCs w:val="18"/>
              </w:rPr>
              <w:t>1 (11.1%)</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12942E" w14:textId="77777777" w:rsidR="001C19F3" w:rsidRDefault="001C19F3" w:rsidP="00521305">
            <w:pPr>
              <w:spacing w:after="0"/>
              <w:ind w:left="100" w:right="100"/>
              <w:jc w:val="right"/>
            </w:pPr>
            <w:r>
              <w:rPr>
                <w:rFonts w:eastAsia="Century Gothic" w:cs="Century Gothic"/>
                <w:color w:val="000000"/>
                <w:sz w:val="18"/>
                <w:szCs w:val="18"/>
              </w:rPr>
              <w:t>4 (44.4%)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B79DC" w14:textId="77777777" w:rsidR="001C19F3" w:rsidRDefault="001C19F3" w:rsidP="00521305">
            <w:pPr>
              <w:spacing w:after="0"/>
              <w:ind w:left="100" w:right="100"/>
              <w:jc w:val="right"/>
            </w:pPr>
            <w:r>
              <w:rPr>
                <w:rFonts w:eastAsia="Century Gothic" w:cs="Century Gothic"/>
                <w:color w:val="000000"/>
                <w:sz w:val="18"/>
                <w:szCs w:val="18"/>
              </w:rPr>
              <w:t>4 (44.4%)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0EBBE5"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4B2B45" w14:textId="77777777" w:rsidR="001C19F3" w:rsidRDefault="001C19F3" w:rsidP="00521305">
            <w:pPr>
              <w:spacing w:after="0"/>
              <w:ind w:left="100" w:right="100"/>
              <w:jc w:val="right"/>
            </w:pPr>
            <w:r>
              <w:rPr>
                <w:rFonts w:eastAsia="Century Gothic" w:cs="Century Gothic"/>
                <w:color w:val="000000"/>
                <w:sz w:val="18"/>
                <w:szCs w:val="18"/>
              </w:rPr>
              <w:t>4</w:t>
            </w:r>
          </w:p>
        </w:tc>
      </w:tr>
      <w:tr w:rsidR="001C19F3" w14:paraId="5E232365"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3F0804" w14:textId="77777777" w:rsidR="001C19F3" w:rsidRDefault="001C19F3" w:rsidP="00521305">
            <w:pPr>
              <w:spacing w:after="0"/>
              <w:ind w:left="100" w:right="100"/>
            </w:pPr>
            <w:r>
              <w:rPr>
                <w:rFonts w:eastAsia="Century Gothic" w:cs="Century Gothic"/>
                <w:b/>
                <w:color w:val="000000"/>
                <w:sz w:val="18"/>
                <w:szCs w:val="18"/>
              </w:rPr>
              <w:t>Module 8: Comprehensiveness and care coordination</w:t>
            </w:r>
          </w:p>
        </w:tc>
      </w:tr>
      <w:tr w:rsidR="001C19F3" w14:paraId="571E30AF"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11BE66"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C20754" w14:textId="77777777" w:rsidR="001C19F3" w:rsidRDefault="001C19F3" w:rsidP="00521305">
            <w:pPr>
              <w:spacing w:after="0"/>
              <w:ind w:left="100" w:right="100"/>
              <w:jc w:val="right"/>
            </w:pPr>
            <w:r>
              <w:rPr>
                <w:rFonts w:eastAsia="Century Gothic" w:cs="Century Gothic"/>
                <w:color w:val="000000"/>
                <w:sz w:val="18"/>
                <w:szCs w:val="18"/>
              </w:rPr>
              <w:t>10 (15.4%)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9FE4CC" w14:textId="77777777" w:rsidR="001C19F3" w:rsidRDefault="001C19F3" w:rsidP="00521305">
            <w:pPr>
              <w:spacing w:after="0"/>
              <w:ind w:left="100" w:right="100"/>
              <w:jc w:val="right"/>
            </w:pPr>
            <w:r>
              <w:rPr>
                <w:rFonts w:eastAsia="Century Gothic" w:cs="Century Gothic"/>
                <w:color w:val="000000"/>
                <w:sz w:val="18"/>
                <w:szCs w:val="18"/>
              </w:rPr>
              <w:t>25 (38.5%)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196AA7" w14:textId="77777777" w:rsidR="001C19F3" w:rsidRDefault="001C19F3" w:rsidP="00521305">
            <w:pPr>
              <w:spacing w:after="0"/>
              <w:ind w:left="100" w:right="100"/>
              <w:jc w:val="right"/>
            </w:pPr>
            <w:r>
              <w:rPr>
                <w:rFonts w:eastAsia="Century Gothic" w:cs="Century Gothic"/>
                <w:color w:val="000000"/>
                <w:sz w:val="18"/>
                <w:szCs w:val="18"/>
              </w:rPr>
              <w:t>19 (29.2%)</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1D9550" w14:textId="77777777" w:rsidR="001C19F3" w:rsidRDefault="001C19F3" w:rsidP="00521305">
            <w:pPr>
              <w:spacing w:after="0"/>
              <w:ind w:left="100" w:right="100"/>
              <w:jc w:val="right"/>
            </w:pPr>
            <w:r>
              <w:rPr>
                <w:rFonts w:eastAsia="Century Gothic" w:cs="Century Gothic"/>
                <w:color w:val="000000"/>
                <w:sz w:val="18"/>
                <w:szCs w:val="18"/>
              </w:rPr>
              <w:t>11 (16.9%)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F5CF4B" w14:textId="77777777" w:rsidR="001C19F3" w:rsidRDefault="001C19F3" w:rsidP="00521305">
            <w:pPr>
              <w:spacing w:after="0"/>
              <w:ind w:left="100" w:right="100"/>
              <w:jc w:val="right"/>
            </w:pPr>
            <w:r>
              <w:rPr>
                <w:rFonts w:eastAsia="Century Gothic" w:cs="Century Gothic"/>
                <w:color w:val="000000"/>
                <w:sz w:val="18"/>
                <w:szCs w:val="18"/>
              </w:rPr>
              <w:t>27</w:t>
            </w:r>
          </w:p>
        </w:tc>
      </w:tr>
      <w:tr w:rsidR="001C19F3" w14:paraId="03870E48"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E8B82"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7ABD36" w14:textId="77777777" w:rsidR="001C19F3" w:rsidRDefault="001C19F3" w:rsidP="00521305">
            <w:pPr>
              <w:spacing w:after="0"/>
              <w:ind w:left="100" w:right="100"/>
              <w:jc w:val="right"/>
            </w:pPr>
            <w:r>
              <w:rPr>
                <w:rFonts w:eastAsia="Century Gothic" w:cs="Century Gothic"/>
                <w:color w:val="000000"/>
                <w:sz w:val="18"/>
                <w:szCs w:val="18"/>
              </w:rPr>
              <w:t>1 (11.1%)</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B9A94A" w14:textId="77777777" w:rsidR="001C19F3" w:rsidRDefault="001C19F3" w:rsidP="00521305">
            <w:pPr>
              <w:spacing w:after="0"/>
              <w:ind w:left="100" w:right="100"/>
              <w:jc w:val="right"/>
            </w:pPr>
            <w:r>
              <w:rPr>
                <w:rFonts w:eastAsia="Century Gothic" w:cs="Century Gothic"/>
                <w:color w:val="000000"/>
                <w:sz w:val="18"/>
                <w:szCs w:val="18"/>
              </w:rPr>
              <w:t>5 (55.6%)</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A07293" w14:textId="77777777" w:rsidR="001C19F3" w:rsidRDefault="001C19F3" w:rsidP="00521305">
            <w:pPr>
              <w:spacing w:after="0"/>
              <w:ind w:left="100" w:right="100"/>
              <w:jc w:val="right"/>
            </w:pPr>
            <w:r>
              <w:rPr>
                <w:rFonts w:eastAsia="Century Gothic" w:cs="Century Gothic"/>
                <w:color w:val="000000"/>
                <w:sz w:val="18"/>
                <w:szCs w:val="18"/>
              </w:rPr>
              <w:t>3 (33.3%)</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581A16"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EDB008" w14:textId="77777777" w:rsidR="001C19F3" w:rsidRDefault="001C19F3" w:rsidP="00521305">
            <w:pPr>
              <w:spacing w:after="0"/>
              <w:ind w:left="100" w:right="100"/>
              <w:jc w:val="right"/>
            </w:pPr>
            <w:r>
              <w:rPr>
                <w:rFonts w:eastAsia="Century Gothic" w:cs="Century Gothic"/>
                <w:color w:val="000000"/>
                <w:sz w:val="18"/>
                <w:szCs w:val="18"/>
              </w:rPr>
              <w:t>4</w:t>
            </w:r>
          </w:p>
        </w:tc>
      </w:tr>
      <w:tr w:rsidR="001C19F3" w14:paraId="5D47CC41"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3B9ECB" w14:textId="77777777" w:rsidR="001C19F3" w:rsidRDefault="001C19F3" w:rsidP="00521305">
            <w:pPr>
              <w:spacing w:after="0"/>
              <w:ind w:left="100" w:right="100"/>
            </w:pPr>
            <w:r>
              <w:rPr>
                <w:rFonts w:eastAsia="Century Gothic" w:cs="Century Gothic"/>
                <w:b/>
                <w:color w:val="000000"/>
                <w:sz w:val="18"/>
                <w:szCs w:val="18"/>
              </w:rPr>
              <w:t>Module 9: Prompt access to care</w:t>
            </w:r>
          </w:p>
        </w:tc>
      </w:tr>
      <w:tr w:rsidR="001C19F3" w14:paraId="418BCD57"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3B2DB"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A13BD9" w14:textId="77777777" w:rsidR="001C19F3" w:rsidRDefault="001C19F3" w:rsidP="00521305">
            <w:pPr>
              <w:spacing w:after="0"/>
              <w:ind w:left="100" w:right="100"/>
              <w:jc w:val="right"/>
            </w:pPr>
            <w:r>
              <w:rPr>
                <w:rFonts w:eastAsia="Century Gothic" w:cs="Century Gothic"/>
                <w:color w:val="000000"/>
                <w:sz w:val="18"/>
                <w:szCs w:val="18"/>
              </w:rPr>
              <w:t>12 (18.5%)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81C7D4" w14:textId="77777777" w:rsidR="001C19F3" w:rsidRDefault="001C19F3" w:rsidP="00521305">
            <w:pPr>
              <w:spacing w:after="0"/>
              <w:ind w:left="100" w:right="100"/>
              <w:jc w:val="right"/>
            </w:pPr>
            <w:r>
              <w:rPr>
                <w:rFonts w:eastAsia="Century Gothic" w:cs="Century Gothic"/>
                <w:color w:val="000000"/>
                <w:sz w:val="18"/>
                <w:szCs w:val="18"/>
              </w:rPr>
              <w:t>24 (36.9%)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DBDB3F" w14:textId="77777777" w:rsidR="001C19F3" w:rsidRDefault="001C19F3" w:rsidP="00521305">
            <w:pPr>
              <w:spacing w:after="0"/>
              <w:ind w:left="100" w:right="100"/>
              <w:jc w:val="right"/>
            </w:pPr>
            <w:r>
              <w:rPr>
                <w:rFonts w:eastAsia="Century Gothic" w:cs="Century Gothic"/>
                <w:color w:val="000000"/>
                <w:sz w:val="18"/>
                <w:szCs w:val="18"/>
              </w:rPr>
              <w:t>20 (30.8%)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76C172" w14:textId="77777777" w:rsidR="001C19F3" w:rsidRDefault="001C19F3" w:rsidP="00521305">
            <w:pPr>
              <w:spacing w:after="0"/>
              <w:ind w:left="100" w:right="100"/>
              <w:jc w:val="right"/>
            </w:pPr>
            <w:r>
              <w:rPr>
                <w:rFonts w:eastAsia="Century Gothic" w:cs="Century Gothic"/>
                <w:color w:val="000000"/>
                <w:sz w:val="18"/>
                <w:szCs w:val="18"/>
              </w:rPr>
              <w:t>9 (13.8%)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E83026" w14:textId="77777777" w:rsidR="001C19F3" w:rsidRDefault="001C19F3" w:rsidP="00521305">
            <w:pPr>
              <w:spacing w:after="0"/>
              <w:ind w:left="100" w:right="100"/>
              <w:jc w:val="right"/>
            </w:pPr>
            <w:r>
              <w:rPr>
                <w:rFonts w:eastAsia="Century Gothic" w:cs="Century Gothic"/>
                <w:color w:val="000000"/>
                <w:sz w:val="18"/>
                <w:szCs w:val="18"/>
              </w:rPr>
              <w:t>27</w:t>
            </w:r>
          </w:p>
        </w:tc>
      </w:tr>
      <w:tr w:rsidR="001C19F3" w14:paraId="78BC4A76"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514A8A"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A551FE" w14:textId="77777777" w:rsidR="001C19F3" w:rsidRDefault="001C19F3" w:rsidP="00521305">
            <w:pPr>
              <w:spacing w:after="0"/>
              <w:ind w:left="100" w:right="100"/>
              <w:jc w:val="right"/>
            </w:pPr>
            <w:r>
              <w:rPr>
                <w:rFonts w:eastAsia="Century Gothic" w:cs="Century Gothic"/>
                <w:color w:val="000000"/>
                <w:sz w:val="18"/>
                <w:szCs w:val="18"/>
              </w:rPr>
              <w:t>1 (12.5%)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477084" w14:textId="77777777" w:rsidR="001C19F3" w:rsidRDefault="001C19F3" w:rsidP="00521305">
            <w:pPr>
              <w:spacing w:after="0"/>
              <w:ind w:left="100" w:right="100"/>
              <w:jc w:val="right"/>
            </w:pPr>
            <w:r>
              <w:rPr>
                <w:rFonts w:eastAsia="Century Gothic" w:cs="Century Gothic"/>
                <w:color w:val="000000"/>
                <w:sz w:val="18"/>
                <w:szCs w:val="18"/>
              </w:rPr>
              <w:t>4 (50.0%)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4395E" w14:textId="77777777" w:rsidR="001C19F3" w:rsidRDefault="001C19F3" w:rsidP="00521305">
            <w:pPr>
              <w:spacing w:after="0"/>
              <w:ind w:left="100" w:right="100"/>
              <w:jc w:val="right"/>
            </w:pPr>
            <w:r>
              <w:rPr>
                <w:rFonts w:eastAsia="Century Gothic" w:cs="Century Gothic"/>
                <w:color w:val="000000"/>
                <w:sz w:val="18"/>
                <w:szCs w:val="18"/>
              </w:rPr>
              <w:t>3 (37.5%)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099495"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95CBE7" w14:textId="77777777" w:rsidR="001C19F3" w:rsidRDefault="001C19F3" w:rsidP="00521305">
            <w:pPr>
              <w:spacing w:after="0"/>
              <w:ind w:left="100" w:right="100"/>
              <w:jc w:val="right"/>
            </w:pPr>
            <w:r>
              <w:rPr>
                <w:rFonts w:eastAsia="Century Gothic" w:cs="Century Gothic"/>
                <w:color w:val="000000"/>
                <w:sz w:val="18"/>
                <w:szCs w:val="18"/>
              </w:rPr>
              <w:t>5</w:t>
            </w:r>
          </w:p>
        </w:tc>
      </w:tr>
      <w:tr w:rsidR="001C19F3" w14:paraId="06D55ACE"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818B99" w14:textId="77777777" w:rsidR="001C19F3" w:rsidRDefault="001C19F3" w:rsidP="00521305">
            <w:pPr>
              <w:spacing w:after="0"/>
              <w:ind w:left="100" w:right="100"/>
            </w:pPr>
            <w:r>
              <w:rPr>
                <w:rFonts w:eastAsia="Century Gothic" w:cs="Century Gothic"/>
                <w:b/>
                <w:color w:val="000000"/>
                <w:sz w:val="18"/>
                <w:szCs w:val="18"/>
              </w:rPr>
              <w:t>Module 10: Prompt access to care</w:t>
            </w:r>
          </w:p>
        </w:tc>
      </w:tr>
      <w:tr w:rsidR="001C19F3" w14:paraId="7CD20359"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094BBB" w14:textId="77777777" w:rsidR="001C19F3" w:rsidRDefault="001C19F3" w:rsidP="00521305">
            <w:pPr>
              <w:spacing w:after="0"/>
              <w:ind w:left="160" w:right="100"/>
            </w:pPr>
            <w:r>
              <w:rPr>
                <w:rFonts w:eastAsia="Century Gothic" w:cs="Century Gothic"/>
                <w:color w:val="000000"/>
                <w:sz w:val="18"/>
                <w:szCs w:val="18"/>
              </w:rPr>
              <w:lastRenderedPageBreak/>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B15EE" w14:textId="77777777" w:rsidR="001C19F3" w:rsidRDefault="001C19F3" w:rsidP="00521305">
            <w:pPr>
              <w:spacing w:after="0"/>
              <w:ind w:left="100" w:right="100"/>
              <w:jc w:val="right"/>
            </w:pPr>
            <w:r>
              <w:rPr>
                <w:rFonts w:eastAsia="Century Gothic" w:cs="Century Gothic"/>
                <w:color w:val="000000"/>
                <w:sz w:val="18"/>
                <w:szCs w:val="18"/>
              </w:rPr>
              <w:t>12 (18.5%)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7532DD" w14:textId="77777777" w:rsidR="001C19F3" w:rsidRDefault="001C19F3" w:rsidP="00521305">
            <w:pPr>
              <w:spacing w:after="0"/>
              <w:ind w:left="100" w:right="100"/>
              <w:jc w:val="right"/>
            </w:pPr>
            <w:r>
              <w:rPr>
                <w:rFonts w:eastAsia="Century Gothic" w:cs="Century Gothic"/>
                <w:color w:val="000000"/>
                <w:sz w:val="18"/>
                <w:szCs w:val="18"/>
              </w:rPr>
              <w:t>24 (36.9%)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2D153D" w14:textId="77777777" w:rsidR="001C19F3" w:rsidRDefault="001C19F3" w:rsidP="00521305">
            <w:pPr>
              <w:spacing w:after="0"/>
              <w:ind w:left="100" w:right="100"/>
              <w:jc w:val="right"/>
            </w:pPr>
            <w:r>
              <w:rPr>
                <w:rFonts w:eastAsia="Century Gothic" w:cs="Century Gothic"/>
                <w:color w:val="000000"/>
                <w:sz w:val="18"/>
                <w:szCs w:val="18"/>
              </w:rPr>
              <w:t>19 (29.2%)</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48D8B" w14:textId="77777777" w:rsidR="001C19F3" w:rsidRDefault="001C19F3" w:rsidP="00521305">
            <w:pPr>
              <w:spacing w:after="0"/>
              <w:ind w:left="100" w:right="100"/>
              <w:jc w:val="right"/>
            </w:pPr>
            <w:r>
              <w:rPr>
                <w:rFonts w:eastAsia="Century Gothic" w:cs="Century Gothic"/>
                <w:color w:val="000000"/>
                <w:sz w:val="18"/>
                <w:szCs w:val="18"/>
              </w:rPr>
              <w:t>10 (15.4%)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06D2CF" w14:textId="77777777" w:rsidR="001C19F3" w:rsidRDefault="001C19F3" w:rsidP="00521305">
            <w:pPr>
              <w:spacing w:after="0"/>
              <w:ind w:left="100" w:right="100"/>
              <w:jc w:val="right"/>
            </w:pPr>
            <w:r>
              <w:rPr>
                <w:rFonts w:eastAsia="Century Gothic" w:cs="Century Gothic"/>
                <w:color w:val="000000"/>
                <w:sz w:val="18"/>
                <w:szCs w:val="18"/>
              </w:rPr>
              <w:t>27</w:t>
            </w:r>
          </w:p>
        </w:tc>
      </w:tr>
      <w:tr w:rsidR="001C19F3" w14:paraId="5D711FE3"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D7575C"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3F18CD" w14:textId="77777777" w:rsidR="001C19F3" w:rsidRDefault="001C19F3" w:rsidP="00521305">
            <w:pPr>
              <w:spacing w:after="0"/>
              <w:ind w:left="100" w:right="100"/>
              <w:jc w:val="right"/>
            </w:pPr>
            <w:r>
              <w:rPr>
                <w:rFonts w:eastAsia="Century Gothic" w:cs="Century Gothic"/>
                <w:color w:val="000000"/>
                <w:sz w:val="18"/>
                <w:szCs w:val="18"/>
              </w:rPr>
              <w:t>1 (12.5%)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A722AD" w14:textId="77777777" w:rsidR="001C19F3" w:rsidRDefault="001C19F3" w:rsidP="00521305">
            <w:pPr>
              <w:spacing w:after="0"/>
              <w:ind w:left="100" w:right="100"/>
              <w:jc w:val="right"/>
            </w:pPr>
            <w:r>
              <w:rPr>
                <w:rFonts w:eastAsia="Century Gothic" w:cs="Century Gothic"/>
                <w:color w:val="000000"/>
                <w:sz w:val="18"/>
                <w:szCs w:val="18"/>
              </w:rPr>
              <w:t>4 (50.0%)</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EA1527" w14:textId="77777777" w:rsidR="001C19F3" w:rsidRDefault="001C19F3" w:rsidP="00521305">
            <w:pPr>
              <w:spacing w:after="0"/>
              <w:ind w:left="100" w:right="100"/>
              <w:jc w:val="right"/>
            </w:pPr>
            <w:r>
              <w:rPr>
                <w:rFonts w:eastAsia="Century Gothic" w:cs="Century Gothic"/>
                <w:color w:val="000000"/>
                <w:sz w:val="18"/>
                <w:szCs w:val="18"/>
              </w:rPr>
              <w:t>3 (37.5%)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3A2586"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BE73E7" w14:textId="77777777" w:rsidR="001C19F3" w:rsidRDefault="001C19F3" w:rsidP="00521305">
            <w:pPr>
              <w:spacing w:after="0"/>
              <w:ind w:left="100" w:right="100"/>
              <w:jc w:val="right"/>
            </w:pPr>
            <w:r>
              <w:rPr>
                <w:rFonts w:eastAsia="Century Gothic" w:cs="Century Gothic"/>
                <w:color w:val="000000"/>
                <w:sz w:val="18"/>
                <w:szCs w:val="18"/>
              </w:rPr>
              <w:t>5</w:t>
            </w:r>
          </w:p>
        </w:tc>
      </w:tr>
      <w:tr w:rsidR="001C19F3" w14:paraId="727FA23D"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E11F6E" w14:textId="77777777" w:rsidR="001C19F3" w:rsidRDefault="001C19F3" w:rsidP="00521305">
            <w:pPr>
              <w:spacing w:after="0"/>
              <w:ind w:left="100" w:right="100"/>
            </w:pPr>
            <w:r>
              <w:rPr>
                <w:rFonts w:eastAsia="Century Gothic" w:cs="Century Gothic"/>
                <w:b/>
                <w:color w:val="000000"/>
                <w:sz w:val="18"/>
                <w:szCs w:val="18"/>
              </w:rPr>
              <w:t>Module 11: Population management</w:t>
            </w:r>
          </w:p>
        </w:tc>
      </w:tr>
      <w:tr w:rsidR="001C19F3" w14:paraId="3A0F5F4C"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7FF1DA"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DFD0E" w14:textId="77777777" w:rsidR="001C19F3" w:rsidRDefault="001C19F3" w:rsidP="00521305">
            <w:pPr>
              <w:spacing w:after="0"/>
              <w:ind w:left="100" w:right="100"/>
              <w:jc w:val="right"/>
            </w:pPr>
            <w:r>
              <w:rPr>
                <w:rFonts w:eastAsia="Century Gothic" w:cs="Century Gothic"/>
                <w:color w:val="000000"/>
                <w:sz w:val="18"/>
                <w:szCs w:val="18"/>
              </w:rPr>
              <w:t>9 (13.8%)</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91D926" w14:textId="77777777" w:rsidR="001C19F3" w:rsidRDefault="001C19F3" w:rsidP="00521305">
            <w:pPr>
              <w:spacing w:after="0"/>
              <w:ind w:left="100" w:right="100"/>
              <w:jc w:val="right"/>
            </w:pPr>
            <w:r>
              <w:rPr>
                <w:rFonts w:eastAsia="Century Gothic" w:cs="Century Gothic"/>
                <w:color w:val="000000"/>
                <w:sz w:val="18"/>
                <w:szCs w:val="18"/>
              </w:rPr>
              <w:t>27 (41.5%)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44898D" w14:textId="77777777" w:rsidR="001C19F3" w:rsidRDefault="001C19F3" w:rsidP="00521305">
            <w:pPr>
              <w:spacing w:after="0"/>
              <w:ind w:left="100" w:right="100"/>
              <w:jc w:val="right"/>
            </w:pPr>
            <w:r>
              <w:rPr>
                <w:rFonts w:eastAsia="Century Gothic" w:cs="Century Gothic"/>
                <w:color w:val="000000"/>
                <w:sz w:val="18"/>
                <w:szCs w:val="18"/>
              </w:rPr>
              <w:t>18 (27.7%)</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5DE514" w14:textId="77777777" w:rsidR="001C19F3" w:rsidRDefault="001C19F3" w:rsidP="00521305">
            <w:pPr>
              <w:spacing w:after="0"/>
              <w:ind w:left="100" w:right="100"/>
              <w:jc w:val="right"/>
            </w:pPr>
            <w:r>
              <w:rPr>
                <w:rFonts w:eastAsia="Century Gothic" w:cs="Century Gothic"/>
                <w:color w:val="000000"/>
                <w:sz w:val="18"/>
                <w:szCs w:val="18"/>
              </w:rPr>
              <w:t>11 (16.9%)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29F7AC" w14:textId="77777777" w:rsidR="001C19F3" w:rsidRDefault="001C19F3" w:rsidP="00521305">
            <w:pPr>
              <w:spacing w:after="0"/>
              <w:ind w:left="100" w:right="100"/>
              <w:jc w:val="right"/>
            </w:pPr>
            <w:r>
              <w:rPr>
                <w:rFonts w:eastAsia="Century Gothic" w:cs="Century Gothic"/>
                <w:color w:val="000000"/>
                <w:sz w:val="18"/>
                <w:szCs w:val="18"/>
              </w:rPr>
              <w:t>27</w:t>
            </w:r>
          </w:p>
        </w:tc>
      </w:tr>
      <w:tr w:rsidR="001C19F3" w14:paraId="6664A3BF"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C7A9F7"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D0743F"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08771E" w14:textId="77777777" w:rsidR="001C19F3" w:rsidRDefault="001C19F3" w:rsidP="00521305">
            <w:pPr>
              <w:spacing w:after="0"/>
              <w:ind w:left="100" w:right="100"/>
              <w:jc w:val="right"/>
            </w:pPr>
            <w:r>
              <w:rPr>
                <w:rFonts w:eastAsia="Century Gothic" w:cs="Century Gothic"/>
                <w:color w:val="000000"/>
                <w:sz w:val="18"/>
                <w:szCs w:val="18"/>
              </w:rPr>
              <w:t>3 (42.9%)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CE98C1" w14:textId="77777777" w:rsidR="001C19F3" w:rsidRDefault="001C19F3" w:rsidP="00521305">
            <w:pPr>
              <w:spacing w:after="0"/>
              <w:ind w:left="100" w:right="100"/>
              <w:jc w:val="right"/>
            </w:pPr>
            <w:r>
              <w:rPr>
                <w:rFonts w:eastAsia="Century Gothic" w:cs="Century Gothic"/>
                <w:color w:val="000000"/>
                <w:sz w:val="18"/>
                <w:szCs w:val="18"/>
              </w:rPr>
              <w:t>4 (57.1%)</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C722AA"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89CC04" w14:textId="77777777" w:rsidR="001C19F3" w:rsidRDefault="001C19F3" w:rsidP="00521305">
            <w:pPr>
              <w:spacing w:after="0"/>
              <w:ind w:left="100" w:right="100"/>
              <w:jc w:val="right"/>
            </w:pPr>
            <w:r>
              <w:rPr>
                <w:rFonts w:eastAsia="Century Gothic" w:cs="Century Gothic"/>
                <w:color w:val="000000"/>
                <w:sz w:val="18"/>
                <w:szCs w:val="18"/>
              </w:rPr>
              <w:t>6</w:t>
            </w:r>
          </w:p>
        </w:tc>
      </w:tr>
      <w:tr w:rsidR="001C19F3" w14:paraId="719F59E9" w14:textId="77777777" w:rsidTr="00521305">
        <w:trPr>
          <w:cantSplit/>
          <w:trHeight w:val="20"/>
          <w:jc w:val="center"/>
        </w:trPr>
        <w:tc>
          <w:tcPr>
            <w:tcW w:w="12442" w:type="dxa"/>
            <w:gridSpan w:val="6"/>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ABE9D" w14:textId="77777777" w:rsidR="001C19F3" w:rsidRDefault="001C19F3" w:rsidP="00521305">
            <w:pPr>
              <w:spacing w:after="0"/>
              <w:ind w:left="100" w:right="100"/>
            </w:pPr>
            <w:r>
              <w:rPr>
                <w:rFonts w:eastAsia="Century Gothic" w:cs="Century Gothic"/>
                <w:b/>
                <w:color w:val="000000"/>
                <w:sz w:val="18"/>
                <w:szCs w:val="18"/>
              </w:rPr>
              <w:t>Module 12: Quality primary care and the future</w:t>
            </w:r>
          </w:p>
        </w:tc>
      </w:tr>
      <w:tr w:rsidR="001C19F3" w14:paraId="3B912511"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49276D" w14:textId="77777777" w:rsidR="001C19F3" w:rsidRDefault="001C19F3" w:rsidP="00521305">
            <w:pPr>
              <w:spacing w:after="0"/>
              <w:ind w:left="160" w:right="100"/>
            </w:pPr>
            <w:r>
              <w:rPr>
                <w:rFonts w:eastAsia="Century Gothic" w:cs="Century Gothic"/>
                <w:color w:val="000000"/>
                <w:sz w:val="18"/>
                <w:szCs w:val="18"/>
              </w:rPr>
              <w:t>Active</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A23BD" w14:textId="77777777" w:rsidR="001C19F3" w:rsidRDefault="001C19F3" w:rsidP="00521305">
            <w:pPr>
              <w:spacing w:after="0"/>
              <w:ind w:left="100" w:right="100"/>
              <w:jc w:val="right"/>
            </w:pPr>
            <w:r>
              <w:rPr>
                <w:rFonts w:eastAsia="Century Gothic" w:cs="Century Gothic"/>
                <w:color w:val="000000"/>
                <w:sz w:val="18"/>
                <w:szCs w:val="18"/>
              </w:rPr>
              <w:t>11 (17.5%)</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B9EAC5" w14:textId="77777777" w:rsidR="001C19F3" w:rsidRDefault="001C19F3" w:rsidP="00521305">
            <w:pPr>
              <w:spacing w:after="0"/>
              <w:ind w:left="100" w:right="100"/>
              <w:jc w:val="right"/>
            </w:pPr>
            <w:r>
              <w:rPr>
                <w:rFonts w:eastAsia="Century Gothic" w:cs="Century Gothic"/>
                <w:color w:val="000000"/>
                <w:sz w:val="18"/>
                <w:szCs w:val="18"/>
              </w:rPr>
              <w:t>26 (41.3%)</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704AA1" w14:textId="77777777" w:rsidR="001C19F3" w:rsidRDefault="001C19F3" w:rsidP="00521305">
            <w:pPr>
              <w:spacing w:after="0"/>
              <w:ind w:left="100" w:right="100"/>
              <w:jc w:val="right"/>
            </w:pPr>
            <w:r>
              <w:rPr>
                <w:rFonts w:eastAsia="Century Gothic" w:cs="Century Gothic"/>
                <w:color w:val="000000"/>
                <w:sz w:val="18"/>
                <w:szCs w:val="18"/>
              </w:rPr>
              <w:t>16 (25.4%)</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EBCBC4" w14:textId="77777777" w:rsidR="001C19F3" w:rsidRDefault="001C19F3" w:rsidP="00521305">
            <w:pPr>
              <w:spacing w:after="0"/>
              <w:ind w:left="100" w:right="100"/>
              <w:jc w:val="right"/>
            </w:pPr>
            <w:r>
              <w:rPr>
                <w:rFonts w:eastAsia="Century Gothic" w:cs="Century Gothic"/>
                <w:color w:val="000000"/>
                <w:sz w:val="18"/>
                <w:szCs w:val="18"/>
              </w:rPr>
              <w:t>10 (15.9%)</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F510C6" w14:textId="77777777" w:rsidR="001C19F3" w:rsidRDefault="001C19F3" w:rsidP="00521305">
            <w:pPr>
              <w:spacing w:after="0"/>
              <w:ind w:left="100" w:right="100"/>
              <w:jc w:val="right"/>
            </w:pPr>
            <w:r>
              <w:rPr>
                <w:rFonts w:eastAsia="Century Gothic" w:cs="Century Gothic"/>
                <w:color w:val="000000"/>
                <w:sz w:val="18"/>
                <w:szCs w:val="18"/>
              </w:rPr>
              <w:t>29</w:t>
            </w:r>
          </w:p>
        </w:tc>
      </w:tr>
      <w:tr w:rsidR="001C19F3" w14:paraId="7006F18C" w14:textId="77777777" w:rsidTr="00521305">
        <w:trPr>
          <w:cantSplit/>
          <w:trHeight w:val="20"/>
          <w:jc w:val="center"/>
        </w:trPr>
        <w:tc>
          <w:tcPr>
            <w:tcW w:w="49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47CC4D" w14:textId="77777777" w:rsidR="001C19F3" w:rsidRDefault="001C19F3" w:rsidP="00521305">
            <w:pPr>
              <w:spacing w:after="0"/>
              <w:ind w:left="160" w:right="100"/>
            </w:pPr>
            <w:r>
              <w:rPr>
                <w:rFonts w:eastAsia="Century Gothic" w:cs="Century Gothic"/>
                <w:color w:val="000000"/>
                <w:sz w:val="18"/>
                <w:szCs w:val="18"/>
              </w:rPr>
              <w:t>Withdrawn</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75789E" w14:textId="77777777" w:rsidR="001C19F3" w:rsidRDefault="001C19F3" w:rsidP="00521305">
            <w:pPr>
              <w:spacing w:after="0"/>
              <w:ind w:left="100" w:right="100"/>
              <w:jc w:val="right"/>
            </w:pPr>
            <w:r>
              <w:rPr>
                <w:rFonts w:eastAsia="Century Gothic" w:cs="Century Gothic"/>
                <w:color w:val="000000"/>
                <w:sz w:val="18"/>
                <w:szCs w:val="18"/>
              </w:rPr>
              <w:t>1 (14.3%)</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A12CA7" w14:textId="77777777" w:rsidR="001C19F3" w:rsidRDefault="001C19F3" w:rsidP="00521305">
            <w:pPr>
              <w:spacing w:after="0"/>
              <w:ind w:left="100" w:right="100"/>
              <w:jc w:val="right"/>
            </w:pPr>
            <w:r>
              <w:rPr>
                <w:rFonts w:eastAsia="Century Gothic" w:cs="Century Gothic"/>
                <w:color w:val="000000"/>
                <w:sz w:val="18"/>
                <w:szCs w:val="18"/>
              </w:rPr>
              <w:t>2 (28.6%)</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3AC1AE" w14:textId="77777777" w:rsidR="001C19F3" w:rsidRDefault="001C19F3" w:rsidP="00521305">
            <w:pPr>
              <w:spacing w:after="0"/>
              <w:ind w:left="100" w:right="100"/>
              <w:jc w:val="right"/>
            </w:pPr>
            <w:r>
              <w:rPr>
                <w:rFonts w:eastAsia="Century Gothic" w:cs="Century Gothic"/>
                <w:color w:val="000000"/>
                <w:sz w:val="18"/>
                <w:szCs w:val="18"/>
              </w:rPr>
              <w:t>4 (57.1%)</w:t>
            </w: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252733" w14:textId="77777777" w:rsidR="001C19F3" w:rsidRDefault="001C19F3" w:rsidP="00521305">
            <w:pPr>
              <w:spacing w:after="0"/>
              <w:ind w:left="100" w:right="100"/>
              <w:jc w:val="right"/>
            </w:pPr>
          </w:p>
        </w:tc>
        <w:tc>
          <w:tcPr>
            <w:tcW w:w="149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5D9417" w14:textId="77777777" w:rsidR="001C19F3" w:rsidRDefault="001C19F3" w:rsidP="00521305">
            <w:pPr>
              <w:spacing w:after="0"/>
              <w:ind w:left="100" w:right="100"/>
              <w:jc w:val="right"/>
            </w:pPr>
            <w:r>
              <w:rPr>
                <w:rFonts w:eastAsia="Century Gothic" w:cs="Century Gothic"/>
                <w:color w:val="000000"/>
                <w:sz w:val="18"/>
                <w:szCs w:val="18"/>
              </w:rPr>
              <w:t>6</w:t>
            </w:r>
          </w:p>
        </w:tc>
      </w:tr>
    </w:tbl>
    <w:p w14:paraId="556D74BB" w14:textId="77777777" w:rsidR="001C19F3" w:rsidRDefault="001C19F3" w:rsidP="001C19F3">
      <w:pPr>
        <w:pStyle w:val="Chartortablefootnote"/>
      </w:pPr>
      <w:r>
        <w:t>Source: Practice survey R2, Nov 2018-Mar 2019, question 25.</w:t>
      </w:r>
    </w:p>
    <w:p w14:paraId="632400EC" w14:textId="77777777" w:rsidR="001C19F3" w:rsidRDefault="001C19F3" w:rsidP="001C19F3">
      <w:pPr>
        <w:pStyle w:val="Caption1"/>
      </w:pPr>
      <w:bookmarkStart w:id="573" w:name="_Ref22640311"/>
      <w:r>
        <w:t xml:space="preserve">Table </w:t>
      </w:r>
      <w:r>
        <w:fldChar w:fldCharType="begin"/>
      </w:r>
      <w:r>
        <w:instrText>SEQ Table \* ARABIC</w:instrText>
      </w:r>
      <w:r>
        <w:fldChar w:fldCharType="separate"/>
      </w:r>
      <w:r>
        <w:rPr>
          <w:noProof/>
        </w:rPr>
        <w:t>53</w:t>
      </w:r>
      <w:r>
        <w:fldChar w:fldCharType="end"/>
      </w:r>
      <w:r>
        <w:t xml:space="preserve"> – A PHN practice facilitator helped the practice prepare for HCH and/or provided ongoing support for HCH implementation</w:t>
      </w:r>
      <w:bookmarkEnd w:id="573"/>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197E10FE"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7445983"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42AF97E"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B216D6"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E22F531"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E2556C2" w14:textId="77777777" w:rsidR="001C19F3" w:rsidRDefault="001C19F3" w:rsidP="00521305">
            <w:pPr>
              <w:spacing w:after="0"/>
              <w:jc w:val="center"/>
            </w:pPr>
            <w:r>
              <w:rPr>
                <w:rFonts w:eastAsia="Century Gothic" w:cs="Century Gothic"/>
                <w:b/>
                <w:color w:val="FFFFFF"/>
                <w:sz w:val="18"/>
                <w:szCs w:val="18"/>
              </w:rPr>
              <w:t>Location</w:t>
            </w:r>
          </w:p>
        </w:tc>
      </w:tr>
      <w:tr w:rsidR="001C19F3" w14:paraId="3EFE06D2"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145EA2D0"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0D98C46E"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8B472A6"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9F171A"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46479D"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3645F3"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726550A"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9951B3"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E01D8A"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8DA04FB" w14:textId="77777777" w:rsidR="001C19F3" w:rsidRDefault="001C19F3" w:rsidP="00521305">
            <w:pPr>
              <w:spacing w:after="0"/>
              <w:jc w:val="center"/>
            </w:pPr>
            <w:r>
              <w:rPr>
                <w:rFonts w:eastAsia="Century Gothic" w:cs="Century Gothic"/>
                <w:b/>
                <w:color w:val="FFFFFF"/>
                <w:sz w:val="18"/>
                <w:szCs w:val="18"/>
              </w:rPr>
              <w:t>MMM 4+</w:t>
            </w:r>
          </w:p>
        </w:tc>
      </w:tr>
      <w:tr w:rsidR="001C19F3" w14:paraId="773475EC"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5886DF"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AF806" w14:textId="77777777" w:rsidR="001C19F3" w:rsidRDefault="001C19F3" w:rsidP="00521305">
            <w:pPr>
              <w:spacing w:after="0"/>
              <w:ind w:left="100" w:right="100"/>
              <w:jc w:val="right"/>
            </w:pPr>
            <w:r>
              <w:rPr>
                <w:rFonts w:eastAsia="Century Gothic" w:cs="Century Gothic"/>
                <w:color w:val="000000"/>
                <w:sz w:val="18"/>
                <w:szCs w:val="18"/>
              </w:rPr>
              <w:t>86 (93.5%)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9BDF2" w14:textId="77777777" w:rsidR="001C19F3" w:rsidRDefault="001C19F3" w:rsidP="00521305">
            <w:pPr>
              <w:spacing w:after="0"/>
              <w:ind w:left="100" w:right="100"/>
              <w:jc w:val="right"/>
            </w:pPr>
            <w:r>
              <w:rPr>
                <w:rFonts w:eastAsia="Century Gothic" w:cs="Century Gothic"/>
                <w:color w:val="000000"/>
                <w:sz w:val="18"/>
                <w:szCs w:val="18"/>
              </w:rPr>
              <w:t>37 (94.9%)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08B67E" w14:textId="77777777" w:rsidR="001C19F3" w:rsidRDefault="001C19F3" w:rsidP="00521305">
            <w:pPr>
              <w:spacing w:after="0"/>
              <w:ind w:left="100" w:right="100"/>
              <w:jc w:val="right"/>
            </w:pPr>
            <w:r>
              <w:rPr>
                <w:rFonts w:eastAsia="Century Gothic" w:cs="Century Gothic"/>
                <w:color w:val="000000"/>
                <w:sz w:val="18"/>
                <w:szCs w:val="18"/>
              </w:rPr>
              <w:t>49 (98.0%)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4DE7D9" w14:textId="77777777" w:rsidR="001C19F3" w:rsidRDefault="001C19F3" w:rsidP="00521305">
            <w:pPr>
              <w:spacing w:after="0"/>
              <w:ind w:left="100" w:right="100"/>
              <w:jc w:val="right"/>
            </w:pPr>
            <w:r>
              <w:rPr>
                <w:rFonts w:eastAsia="Century Gothic" w:cs="Century Gothic"/>
                <w:color w:val="000000"/>
                <w:sz w:val="18"/>
                <w:szCs w:val="18"/>
              </w:rPr>
              <w:t>12 (92.3%)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C45522" w14:textId="77777777" w:rsidR="001C19F3" w:rsidRDefault="001C19F3" w:rsidP="00521305">
            <w:pPr>
              <w:spacing w:after="0"/>
              <w:ind w:left="100" w:right="100"/>
              <w:jc w:val="right"/>
            </w:pPr>
            <w:r>
              <w:rPr>
                <w:rFonts w:eastAsia="Century Gothic" w:cs="Century Gothic"/>
                <w:color w:val="000000"/>
                <w:sz w:val="18"/>
                <w:szCs w:val="18"/>
              </w:rPr>
              <w:t>6 (100.0%)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02E95F" w14:textId="77777777" w:rsidR="001C19F3" w:rsidRDefault="001C19F3" w:rsidP="00521305">
            <w:pPr>
              <w:spacing w:after="0"/>
              <w:ind w:left="100" w:right="100"/>
              <w:jc w:val="right"/>
            </w:pPr>
            <w:r>
              <w:rPr>
                <w:rFonts w:eastAsia="Century Gothic" w:cs="Century Gothic"/>
                <w:color w:val="000000"/>
                <w:sz w:val="18"/>
                <w:szCs w:val="18"/>
              </w:rPr>
              <w:t>68 (97.1%)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BFAA32" w14:textId="77777777" w:rsidR="001C19F3" w:rsidRDefault="001C19F3" w:rsidP="00521305">
            <w:pPr>
              <w:spacing w:after="0"/>
              <w:ind w:left="100" w:right="100"/>
              <w:jc w:val="right"/>
            </w:pPr>
            <w:r>
              <w:rPr>
                <w:rFonts w:eastAsia="Century Gothic" w:cs="Century Gothic"/>
                <w:color w:val="000000"/>
                <w:sz w:val="18"/>
                <w:szCs w:val="18"/>
              </w:rPr>
              <w:t>70 (97.2%)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0FAFB" w14:textId="77777777" w:rsidR="001C19F3" w:rsidRDefault="001C19F3" w:rsidP="00521305">
            <w:pPr>
              <w:spacing w:after="0"/>
              <w:ind w:left="100" w:right="100"/>
              <w:jc w:val="right"/>
            </w:pPr>
            <w:r>
              <w:rPr>
                <w:rFonts w:eastAsia="Century Gothic" w:cs="Century Gothic"/>
                <w:color w:val="000000"/>
                <w:sz w:val="18"/>
                <w:szCs w:val="18"/>
              </w:rPr>
              <w:t>7 (87.5%)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D95F93" w14:textId="77777777" w:rsidR="001C19F3" w:rsidRDefault="001C19F3" w:rsidP="00521305">
            <w:pPr>
              <w:spacing w:after="0"/>
              <w:ind w:left="100" w:right="100"/>
              <w:jc w:val="right"/>
            </w:pPr>
            <w:r>
              <w:rPr>
                <w:rFonts w:eastAsia="Century Gothic" w:cs="Century Gothic"/>
                <w:color w:val="000000"/>
                <w:sz w:val="18"/>
                <w:szCs w:val="18"/>
              </w:rPr>
              <w:t>9 (100.0%)</w:t>
            </w:r>
          </w:p>
        </w:tc>
      </w:tr>
      <w:tr w:rsidR="001C19F3" w14:paraId="224F9A37"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9CD1AD"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24A5E6"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FD5068" w14:textId="77777777" w:rsidR="001C19F3" w:rsidRDefault="001C19F3" w:rsidP="00521305">
            <w:pPr>
              <w:spacing w:after="0"/>
              <w:ind w:left="100" w:right="100"/>
              <w:jc w:val="right"/>
            </w:pPr>
            <w:r>
              <w:rPr>
                <w:rFonts w:eastAsia="Century Gothic" w:cs="Century Gothic"/>
                <w:color w:val="000000"/>
                <w:sz w:val="18"/>
                <w:szCs w:val="18"/>
              </w:rPr>
              <w:t>2 (5.1%)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02762D" w14:textId="77777777" w:rsidR="001C19F3" w:rsidRDefault="001C19F3" w:rsidP="00521305">
            <w:pPr>
              <w:spacing w:after="0"/>
              <w:ind w:left="100" w:right="100"/>
              <w:jc w:val="right"/>
            </w:pPr>
            <w:r>
              <w:rPr>
                <w:rFonts w:eastAsia="Century Gothic" w:cs="Century Gothic"/>
                <w:color w:val="000000"/>
                <w:sz w:val="18"/>
                <w:szCs w:val="18"/>
              </w:rPr>
              <w:t>1 (2.0%)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7C98BA" w14:textId="77777777" w:rsidR="001C19F3" w:rsidRDefault="001C19F3" w:rsidP="00521305">
            <w:pPr>
              <w:spacing w:after="0"/>
              <w:ind w:left="100" w:right="100"/>
              <w:jc w:val="right"/>
            </w:pPr>
            <w:r>
              <w:rPr>
                <w:rFonts w:eastAsia="Century Gothic" w:cs="Century Gothic"/>
                <w:color w:val="000000"/>
                <w:sz w:val="18"/>
                <w:szCs w:val="18"/>
              </w:rPr>
              <w:t>1 (7.7%)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FC057D"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6B7829" w14:textId="77777777" w:rsidR="001C19F3" w:rsidRDefault="001C19F3" w:rsidP="00521305">
            <w:pPr>
              <w:spacing w:after="0"/>
              <w:ind w:left="100" w:right="100"/>
              <w:jc w:val="right"/>
            </w:pPr>
            <w:r>
              <w:rPr>
                <w:rFonts w:eastAsia="Century Gothic" w:cs="Century Gothic"/>
                <w:color w:val="000000"/>
                <w:sz w:val="18"/>
                <w:szCs w:val="18"/>
              </w:rPr>
              <w:t>2 (2.9%)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ED7803" w14:textId="77777777" w:rsidR="001C19F3" w:rsidRDefault="001C19F3" w:rsidP="00521305">
            <w:pPr>
              <w:spacing w:after="0"/>
              <w:ind w:left="100" w:right="100"/>
              <w:jc w:val="right"/>
            </w:pPr>
            <w:r>
              <w:rPr>
                <w:rFonts w:eastAsia="Century Gothic" w:cs="Century Gothic"/>
                <w:color w:val="000000"/>
                <w:sz w:val="18"/>
                <w:szCs w:val="18"/>
              </w:rPr>
              <w:t>2 (2.8%)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21F0FD" w14:textId="77777777" w:rsidR="001C19F3" w:rsidRDefault="001C19F3" w:rsidP="00521305">
            <w:pPr>
              <w:spacing w:after="0"/>
              <w:ind w:left="100" w:right="100"/>
              <w:jc w:val="right"/>
            </w:pPr>
            <w:r>
              <w:rPr>
                <w:rFonts w:eastAsia="Century Gothic" w:cs="Century Gothic"/>
                <w:color w:val="000000"/>
                <w:sz w:val="18"/>
                <w:szCs w:val="18"/>
              </w:rPr>
              <w:t>1 (12.5%)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271B50" w14:textId="77777777" w:rsidR="001C19F3" w:rsidRDefault="001C19F3" w:rsidP="00521305">
            <w:pPr>
              <w:spacing w:after="0"/>
              <w:ind w:left="100" w:right="100"/>
              <w:jc w:val="right"/>
            </w:pPr>
          </w:p>
        </w:tc>
      </w:tr>
      <w:tr w:rsidR="001C19F3" w14:paraId="06F7981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DBF4C3"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49D34E"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3C117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773B9"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9F6A7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C3D3DD"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A37217"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5CCE05"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589053"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A59951" w14:textId="77777777" w:rsidR="001C19F3" w:rsidRDefault="001C19F3" w:rsidP="00521305">
            <w:pPr>
              <w:spacing w:after="0"/>
              <w:ind w:left="100" w:right="100"/>
              <w:jc w:val="right"/>
            </w:pPr>
            <w:r>
              <w:rPr>
                <w:rFonts w:eastAsia="Century Gothic" w:cs="Century Gothic"/>
                <w:color w:val="000000"/>
                <w:sz w:val="18"/>
                <w:szCs w:val="18"/>
              </w:rPr>
              <w:t>2</w:t>
            </w:r>
          </w:p>
        </w:tc>
      </w:tr>
    </w:tbl>
    <w:p w14:paraId="63934249" w14:textId="77777777" w:rsidR="001C19F3" w:rsidRPr="00651645" w:rsidRDefault="001C19F3" w:rsidP="001C19F3">
      <w:pPr>
        <w:pStyle w:val="Chartortablefootnote"/>
      </w:pPr>
      <w:r w:rsidRPr="00651645">
        <w:t>Source: Practice survey R2, Nov 2018-Mar 2019, question 27.</w:t>
      </w:r>
    </w:p>
    <w:p w14:paraId="2362DBBD" w14:textId="77777777" w:rsidR="001C19F3" w:rsidRDefault="001C19F3" w:rsidP="001C19F3">
      <w:pPr>
        <w:pStyle w:val="Caption1"/>
      </w:pPr>
      <w:bookmarkStart w:id="574" w:name="_Ref22640383"/>
      <w:r>
        <w:t xml:space="preserve">Table </w:t>
      </w:r>
      <w:r>
        <w:fldChar w:fldCharType="begin"/>
      </w:r>
      <w:r>
        <w:instrText>SEQ Table \* ARABIC</w:instrText>
      </w:r>
      <w:r>
        <w:fldChar w:fldCharType="separate"/>
      </w:r>
      <w:r>
        <w:rPr>
          <w:noProof/>
        </w:rPr>
        <w:t>54</w:t>
      </w:r>
      <w:r>
        <w:fldChar w:fldCharType="end"/>
      </w:r>
      <w:r>
        <w:t xml:space="preserve"> – Staff from the practice participated in training workshops organised by the PHN</w:t>
      </w:r>
      <w:bookmarkEnd w:id="574"/>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3519256C"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94A6BF"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CDB2FF"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D58B0A9"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E7E1CEF"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728D8FD" w14:textId="77777777" w:rsidR="001C19F3" w:rsidRDefault="001C19F3" w:rsidP="00521305">
            <w:pPr>
              <w:spacing w:after="0"/>
              <w:jc w:val="center"/>
            </w:pPr>
            <w:r>
              <w:rPr>
                <w:rFonts w:eastAsia="Century Gothic" w:cs="Century Gothic"/>
                <w:b/>
                <w:color w:val="FFFFFF"/>
                <w:sz w:val="18"/>
                <w:szCs w:val="18"/>
              </w:rPr>
              <w:t>Location</w:t>
            </w:r>
          </w:p>
        </w:tc>
      </w:tr>
      <w:tr w:rsidR="001C19F3" w14:paraId="647D4DB5"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20BD6CF7"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1E09F335"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EC409EC"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1BDA27D"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30F63B6"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0710FD7"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7972F7"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A3C28A0"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EF5320"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54B3A9" w14:textId="77777777" w:rsidR="001C19F3" w:rsidRDefault="001C19F3" w:rsidP="00521305">
            <w:pPr>
              <w:spacing w:after="0"/>
              <w:jc w:val="center"/>
            </w:pPr>
            <w:r>
              <w:rPr>
                <w:rFonts w:eastAsia="Century Gothic" w:cs="Century Gothic"/>
                <w:b/>
                <w:color w:val="FFFFFF"/>
                <w:sz w:val="18"/>
                <w:szCs w:val="18"/>
              </w:rPr>
              <w:t>MMM 4+</w:t>
            </w:r>
          </w:p>
        </w:tc>
      </w:tr>
      <w:tr w:rsidR="001C19F3" w14:paraId="4C9607C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1B131D"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B90AC3" w14:textId="77777777" w:rsidR="001C19F3" w:rsidRDefault="001C19F3" w:rsidP="00521305">
            <w:pPr>
              <w:spacing w:after="0"/>
              <w:ind w:left="100" w:right="100"/>
              <w:jc w:val="right"/>
            </w:pPr>
            <w:r>
              <w:rPr>
                <w:rFonts w:eastAsia="Century Gothic" w:cs="Century Gothic"/>
                <w:color w:val="000000"/>
                <w:sz w:val="18"/>
                <w:szCs w:val="18"/>
              </w:rPr>
              <w:t>67 (72.8%)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DEC2C5" w14:textId="77777777" w:rsidR="001C19F3" w:rsidRDefault="001C19F3" w:rsidP="00521305">
            <w:pPr>
              <w:spacing w:after="0"/>
              <w:ind w:left="100" w:right="100"/>
              <w:jc w:val="right"/>
            </w:pPr>
            <w:r>
              <w:rPr>
                <w:rFonts w:eastAsia="Century Gothic" w:cs="Century Gothic"/>
                <w:color w:val="000000"/>
                <w:sz w:val="18"/>
                <w:szCs w:val="18"/>
              </w:rPr>
              <w:t>27 (69.2%)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E2B092" w14:textId="77777777" w:rsidR="001C19F3" w:rsidRDefault="001C19F3" w:rsidP="00521305">
            <w:pPr>
              <w:spacing w:after="0"/>
              <w:ind w:left="100" w:right="100"/>
              <w:jc w:val="right"/>
            </w:pPr>
            <w:r>
              <w:rPr>
                <w:rFonts w:eastAsia="Century Gothic" w:cs="Century Gothic"/>
                <w:color w:val="000000"/>
                <w:sz w:val="18"/>
                <w:szCs w:val="18"/>
              </w:rPr>
              <w:t>40 (80.0%)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9CA2F0" w14:textId="77777777" w:rsidR="001C19F3" w:rsidRDefault="001C19F3" w:rsidP="00521305">
            <w:pPr>
              <w:spacing w:after="0"/>
              <w:ind w:left="100" w:right="100"/>
              <w:jc w:val="right"/>
            </w:pPr>
            <w:r>
              <w:rPr>
                <w:rFonts w:eastAsia="Century Gothic" w:cs="Century Gothic"/>
                <w:color w:val="000000"/>
                <w:sz w:val="18"/>
                <w:szCs w:val="18"/>
              </w:rPr>
              <w:t>8 (61.5%)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23991E" w14:textId="77777777" w:rsidR="001C19F3" w:rsidRDefault="001C19F3" w:rsidP="00521305">
            <w:pPr>
              <w:spacing w:after="0"/>
              <w:ind w:left="100" w:right="100"/>
              <w:jc w:val="right"/>
            </w:pPr>
            <w:r>
              <w:rPr>
                <w:rFonts w:eastAsia="Century Gothic" w:cs="Century Gothic"/>
                <w:color w:val="000000"/>
                <w:sz w:val="18"/>
                <w:szCs w:val="18"/>
              </w:rPr>
              <w:t>4 (66.7%)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B5FC20" w14:textId="77777777" w:rsidR="001C19F3" w:rsidRDefault="001C19F3" w:rsidP="00521305">
            <w:pPr>
              <w:spacing w:after="0"/>
              <w:ind w:left="100" w:right="100"/>
              <w:jc w:val="right"/>
            </w:pPr>
            <w:r>
              <w:rPr>
                <w:rFonts w:eastAsia="Century Gothic" w:cs="Century Gothic"/>
                <w:color w:val="000000"/>
                <w:sz w:val="18"/>
                <w:szCs w:val="18"/>
              </w:rPr>
              <w:t>55 (78.6%)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962493" w14:textId="77777777" w:rsidR="001C19F3" w:rsidRDefault="001C19F3" w:rsidP="00521305">
            <w:pPr>
              <w:spacing w:after="0"/>
              <w:ind w:left="100" w:right="100"/>
              <w:jc w:val="right"/>
            </w:pPr>
            <w:r>
              <w:rPr>
                <w:rFonts w:eastAsia="Century Gothic" w:cs="Century Gothic"/>
                <w:color w:val="000000"/>
                <w:sz w:val="18"/>
                <w:szCs w:val="18"/>
              </w:rPr>
              <w:t>57 (79.2%)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060A26" w14:textId="77777777" w:rsidR="001C19F3" w:rsidRDefault="001C19F3" w:rsidP="00521305">
            <w:pPr>
              <w:spacing w:after="0"/>
              <w:ind w:left="100" w:right="100"/>
              <w:jc w:val="right"/>
            </w:pPr>
            <w:r>
              <w:rPr>
                <w:rFonts w:eastAsia="Century Gothic" w:cs="Century Gothic"/>
                <w:color w:val="000000"/>
                <w:sz w:val="18"/>
                <w:szCs w:val="18"/>
              </w:rPr>
              <w:t>4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C01944" w14:textId="77777777" w:rsidR="001C19F3" w:rsidRDefault="001C19F3" w:rsidP="00521305">
            <w:pPr>
              <w:spacing w:after="0"/>
              <w:ind w:left="100" w:right="100"/>
              <w:jc w:val="right"/>
            </w:pPr>
            <w:r>
              <w:rPr>
                <w:rFonts w:eastAsia="Century Gothic" w:cs="Century Gothic"/>
                <w:color w:val="000000"/>
                <w:sz w:val="18"/>
                <w:szCs w:val="18"/>
              </w:rPr>
              <w:t>6 (66.7%)</w:t>
            </w:r>
          </w:p>
        </w:tc>
      </w:tr>
      <w:tr w:rsidR="001C19F3" w14:paraId="70EA7E87"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B5B22A"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80D0AB" w14:textId="77777777" w:rsidR="001C19F3" w:rsidRDefault="001C19F3" w:rsidP="00521305">
            <w:pPr>
              <w:spacing w:after="0"/>
              <w:ind w:left="100" w:right="100"/>
              <w:jc w:val="right"/>
            </w:pPr>
            <w:r>
              <w:rPr>
                <w:rFonts w:eastAsia="Century Gothic" w:cs="Century Gothic"/>
                <w:color w:val="000000"/>
                <w:sz w:val="18"/>
                <w:szCs w:val="18"/>
              </w:rPr>
              <w:t>22 (23.9%)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D2210B" w14:textId="77777777" w:rsidR="001C19F3" w:rsidRDefault="001C19F3" w:rsidP="00521305">
            <w:pPr>
              <w:spacing w:after="0"/>
              <w:ind w:left="100" w:right="100"/>
              <w:jc w:val="right"/>
            </w:pPr>
            <w:r>
              <w:rPr>
                <w:rFonts w:eastAsia="Century Gothic" w:cs="Century Gothic"/>
                <w:color w:val="000000"/>
                <w:sz w:val="18"/>
                <w:szCs w:val="18"/>
              </w:rPr>
              <w:t>12 (30.8%)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4A4C49" w14:textId="77777777" w:rsidR="001C19F3" w:rsidRDefault="001C19F3" w:rsidP="00521305">
            <w:pPr>
              <w:spacing w:after="0"/>
              <w:ind w:left="100" w:right="100"/>
              <w:jc w:val="right"/>
            </w:pPr>
            <w:r>
              <w:rPr>
                <w:rFonts w:eastAsia="Century Gothic" w:cs="Century Gothic"/>
                <w:color w:val="000000"/>
                <w:sz w:val="18"/>
                <w:szCs w:val="18"/>
              </w:rPr>
              <w:t>10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5D4338" w14:textId="77777777" w:rsidR="001C19F3" w:rsidRDefault="001C19F3" w:rsidP="00521305">
            <w:pPr>
              <w:spacing w:after="0"/>
              <w:ind w:left="100" w:right="100"/>
              <w:jc w:val="right"/>
            </w:pPr>
            <w:r>
              <w:rPr>
                <w:rFonts w:eastAsia="Century Gothic" w:cs="Century Gothic"/>
                <w:color w:val="000000"/>
                <w:sz w:val="18"/>
                <w:szCs w:val="18"/>
              </w:rPr>
              <w:t>5 (38.5%)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E885BF" w14:textId="77777777" w:rsidR="001C19F3" w:rsidRDefault="001C19F3" w:rsidP="00521305">
            <w:pPr>
              <w:spacing w:after="0"/>
              <w:ind w:left="100" w:right="100"/>
              <w:jc w:val="right"/>
            </w:pPr>
            <w:r>
              <w:rPr>
                <w:rFonts w:eastAsia="Century Gothic" w:cs="Century Gothic"/>
                <w:color w:val="000000"/>
                <w:sz w:val="18"/>
                <w:szCs w:val="18"/>
              </w:rPr>
              <w:t>2 (33.3%)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5FD864" w14:textId="77777777" w:rsidR="001C19F3" w:rsidRDefault="001C19F3" w:rsidP="00521305">
            <w:pPr>
              <w:spacing w:after="0"/>
              <w:ind w:left="100" w:right="100"/>
              <w:jc w:val="right"/>
            </w:pPr>
            <w:r>
              <w:rPr>
                <w:rFonts w:eastAsia="Century Gothic" w:cs="Century Gothic"/>
                <w:color w:val="000000"/>
                <w:sz w:val="18"/>
                <w:szCs w:val="18"/>
              </w:rPr>
              <w:t>15 (21.4%)</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FD2C4C" w14:textId="77777777" w:rsidR="001C19F3" w:rsidRDefault="001C19F3" w:rsidP="00521305">
            <w:pPr>
              <w:spacing w:after="0"/>
              <w:ind w:left="100" w:right="100"/>
              <w:jc w:val="right"/>
            </w:pPr>
            <w:r>
              <w:rPr>
                <w:rFonts w:eastAsia="Century Gothic" w:cs="Century Gothic"/>
                <w:color w:val="000000"/>
                <w:sz w:val="18"/>
                <w:szCs w:val="18"/>
              </w:rPr>
              <w:t>15 (20.8%)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9953C0" w14:textId="77777777" w:rsidR="001C19F3" w:rsidRDefault="001C19F3" w:rsidP="00521305">
            <w:pPr>
              <w:spacing w:after="0"/>
              <w:ind w:left="100" w:right="100"/>
              <w:jc w:val="right"/>
            </w:pPr>
            <w:r>
              <w:rPr>
                <w:rFonts w:eastAsia="Century Gothic" w:cs="Century Gothic"/>
                <w:color w:val="000000"/>
                <w:sz w:val="18"/>
                <w:szCs w:val="18"/>
              </w:rPr>
              <w:t>4 (50.0%)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2EB535" w14:textId="77777777" w:rsidR="001C19F3" w:rsidRDefault="001C19F3" w:rsidP="00521305">
            <w:pPr>
              <w:spacing w:after="0"/>
              <w:ind w:left="100" w:right="100"/>
              <w:jc w:val="right"/>
            </w:pPr>
            <w:r>
              <w:rPr>
                <w:rFonts w:eastAsia="Century Gothic" w:cs="Century Gothic"/>
                <w:color w:val="000000"/>
                <w:sz w:val="18"/>
                <w:szCs w:val="18"/>
              </w:rPr>
              <w:t>3 (33.3%)</w:t>
            </w:r>
          </w:p>
        </w:tc>
      </w:tr>
      <w:tr w:rsidR="001C19F3" w14:paraId="1D492E9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04FDCC"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896595"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0AE35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BF5A44"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F6B340"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478235"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5AEA92"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E5A92B"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97D76C"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302D5D" w14:textId="77777777" w:rsidR="001C19F3" w:rsidRDefault="001C19F3" w:rsidP="00521305">
            <w:pPr>
              <w:spacing w:after="0"/>
              <w:ind w:left="100" w:right="100"/>
              <w:jc w:val="right"/>
            </w:pPr>
            <w:r>
              <w:rPr>
                <w:rFonts w:eastAsia="Century Gothic" w:cs="Century Gothic"/>
                <w:color w:val="000000"/>
                <w:sz w:val="18"/>
                <w:szCs w:val="18"/>
              </w:rPr>
              <w:t>2</w:t>
            </w:r>
          </w:p>
        </w:tc>
      </w:tr>
    </w:tbl>
    <w:p w14:paraId="1B8E111B" w14:textId="77777777" w:rsidR="001C19F3" w:rsidRDefault="001C19F3" w:rsidP="001C19F3">
      <w:pPr>
        <w:pStyle w:val="Chartortablefootnote"/>
        <w:rPr>
          <w:rFonts w:cstheme="minorBidi"/>
          <w:szCs w:val="20"/>
        </w:rPr>
      </w:pPr>
      <w:r>
        <w:t>Source: Practice survey R2, Nov 2018-Mar 2019, question 28.</w:t>
      </w:r>
    </w:p>
    <w:p w14:paraId="34330B02" w14:textId="77777777" w:rsidR="001C19F3" w:rsidRDefault="001C19F3" w:rsidP="001C19F3">
      <w:pPr>
        <w:spacing w:after="160" w:line="259" w:lineRule="auto"/>
      </w:pPr>
      <w:r>
        <w:br w:type="page"/>
      </w:r>
    </w:p>
    <w:p w14:paraId="253A092B" w14:textId="77777777" w:rsidR="001C19F3" w:rsidRDefault="001C19F3" w:rsidP="001C19F3">
      <w:pPr>
        <w:pStyle w:val="Caption1"/>
      </w:pPr>
      <w:bookmarkStart w:id="575" w:name="_Ref22640449"/>
      <w:r>
        <w:lastRenderedPageBreak/>
        <w:t xml:space="preserve">Table </w:t>
      </w:r>
      <w:r>
        <w:fldChar w:fldCharType="begin"/>
      </w:r>
      <w:r>
        <w:instrText>SEQ Table \* ARABIC</w:instrText>
      </w:r>
      <w:r>
        <w:fldChar w:fldCharType="separate"/>
      </w:r>
      <w:r>
        <w:rPr>
          <w:noProof/>
        </w:rPr>
        <w:t>55</w:t>
      </w:r>
      <w:r>
        <w:fldChar w:fldCharType="end"/>
      </w:r>
      <w:r>
        <w:t xml:space="preserve"> – Pharmacist who visits/works in the practice</w:t>
      </w:r>
      <w:bookmarkEnd w:id="575"/>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65A308DD"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7E8E5D"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828542A"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318295"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6B783B"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F02AB4" w14:textId="77777777" w:rsidR="001C19F3" w:rsidRDefault="001C19F3" w:rsidP="00521305">
            <w:pPr>
              <w:spacing w:after="0"/>
              <w:jc w:val="center"/>
            </w:pPr>
            <w:r>
              <w:rPr>
                <w:rFonts w:eastAsia="Century Gothic" w:cs="Century Gothic"/>
                <w:b/>
                <w:color w:val="FFFFFF"/>
                <w:sz w:val="18"/>
                <w:szCs w:val="18"/>
              </w:rPr>
              <w:t>Location</w:t>
            </w:r>
          </w:p>
        </w:tc>
      </w:tr>
      <w:tr w:rsidR="001C19F3" w14:paraId="553470D2"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3A97FF72"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742F873C"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640C4B"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F38910F"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21B0EE"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F8D9B6A"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68FFC36"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CB8121"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6259CD7"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FEB361" w14:textId="77777777" w:rsidR="001C19F3" w:rsidRDefault="001C19F3" w:rsidP="00521305">
            <w:pPr>
              <w:spacing w:after="0"/>
              <w:jc w:val="center"/>
            </w:pPr>
            <w:r>
              <w:rPr>
                <w:rFonts w:eastAsia="Century Gothic" w:cs="Century Gothic"/>
                <w:b/>
                <w:color w:val="FFFFFF"/>
                <w:sz w:val="18"/>
                <w:szCs w:val="18"/>
              </w:rPr>
              <w:t>MMM 4+</w:t>
            </w:r>
          </w:p>
        </w:tc>
      </w:tr>
      <w:tr w:rsidR="001C19F3" w14:paraId="482E3AF3"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D9074C" w14:textId="77777777" w:rsidR="001C19F3" w:rsidRDefault="001C19F3" w:rsidP="00521305">
            <w:pPr>
              <w:spacing w:after="0"/>
              <w:ind w:left="100" w:right="100"/>
            </w:pPr>
            <w:r>
              <w:rPr>
                <w:rFonts w:eastAsia="Century Gothic" w:cs="Century Gothic"/>
                <w:color w:val="000000"/>
                <w:sz w:val="18"/>
                <w:szCs w:val="18"/>
              </w:rPr>
              <w:t>Yes</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9D4BD" w14:textId="77777777" w:rsidR="001C19F3" w:rsidRDefault="001C19F3" w:rsidP="00521305">
            <w:pPr>
              <w:spacing w:after="0"/>
              <w:ind w:left="100" w:right="100"/>
              <w:jc w:val="right"/>
            </w:pPr>
            <w:r>
              <w:rPr>
                <w:rFonts w:eastAsia="Century Gothic" w:cs="Century Gothic"/>
                <w:color w:val="000000"/>
                <w:sz w:val="18"/>
                <w:szCs w:val="18"/>
              </w:rPr>
              <w:t>42 (45.7%)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63203D" w14:textId="77777777" w:rsidR="001C19F3" w:rsidRDefault="001C19F3" w:rsidP="00521305">
            <w:pPr>
              <w:spacing w:after="0"/>
              <w:ind w:left="100" w:right="100"/>
              <w:jc w:val="right"/>
            </w:pPr>
            <w:r>
              <w:rPr>
                <w:rFonts w:eastAsia="Century Gothic" w:cs="Century Gothic"/>
                <w:color w:val="000000"/>
                <w:sz w:val="18"/>
                <w:szCs w:val="18"/>
              </w:rPr>
              <w:t>20 (51.3%)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D8AC3C" w14:textId="77777777" w:rsidR="001C19F3" w:rsidRDefault="001C19F3" w:rsidP="00521305">
            <w:pPr>
              <w:spacing w:after="0"/>
              <w:ind w:left="100" w:right="100"/>
              <w:jc w:val="right"/>
            </w:pPr>
            <w:r>
              <w:rPr>
                <w:rFonts w:eastAsia="Century Gothic" w:cs="Century Gothic"/>
                <w:color w:val="000000"/>
                <w:sz w:val="18"/>
                <w:szCs w:val="18"/>
              </w:rPr>
              <w:t>22 (44.0%)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545F2C" w14:textId="77777777" w:rsidR="001C19F3" w:rsidRDefault="001C19F3" w:rsidP="00521305">
            <w:pPr>
              <w:spacing w:after="0"/>
              <w:ind w:left="100" w:right="100"/>
              <w:jc w:val="right"/>
            </w:pPr>
            <w:r>
              <w:rPr>
                <w:rFonts w:eastAsia="Century Gothic" w:cs="Century Gothic"/>
                <w:color w:val="000000"/>
                <w:sz w:val="18"/>
                <w:szCs w:val="18"/>
              </w:rPr>
              <w:t>4 (30.8%)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D411F8" w14:textId="77777777" w:rsidR="001C19F3" w:rsidRDefault="001C19F3" w:rsidP="00521305">
            <w:pPr>
              <w:spacing w:after="0"/>
              <w:ind w:left="100" w:right="100"/>
              <w:jc w:val="right"/>
            </w:pPr>
            <w:r>
              <w:rPr>
                <w:rFonts w:eastAsia="Century Gothic" w:cs="Century Gothic"/>
                <w:color w:val="000000"/>
                <w:sz w:val="18"/>
                <w:szCs w:val="18"/>
              </w:rPr>
              <w:t>5 (83.3%)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C24205" w14:textId="77777777" w:rsidR="001C19F3" w:rsidRDefault="001C19F3" w:rsidP="00521305">
            <w:pPr>
              <w:spacing w:after="0"/>
              <w:ind w:left="100" w:right="100"/>
              <w:jc w:val="right"/>
            </w:pPr>
            <w:r>
              <w:rPr>
                <w:rFonts w:eastAsia="Century Gothic" w:cs="Century Gothic"/>
                <w:color w:val="000000"/>
                <w:sz w:val="18"/>
                <w:szCs w:val="18"/>
              </w:rPr>
              <w:t>33 (47.1%)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6B7503" w14:textId="77777777" w:rsidR="001C19F3" w:rsidRDefault="001C19F3" w:rsidP="00521305">
            <w:pPr>
              <w:spacing w:after="0"/>
              <w:ind w:left="100" w:right="100"/>
              <w:jc w:val="right"/>
            </w:pPr>
            <w:r>
              <w:rPr>
                <w:rFonts w:eastAsia="Century Gothic" w:cs="Century Gothic"/>
                <w:color w:val="000000"/>
                <w:sz w:val="18"/>
                <w:szCs w:val="18"/>
              </w:rPr>
              <w:t>33 (45.8%)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74BA9A" w14:textId="77777777" w:rsidR="001C19F3" w:rsidRDefault="001C19F3" w:rsidP="00521305">
            <w:pPr>
              <w:spacing w:after="0"/>
              <w:ind w:left="100" w:right="100"/>
              <w:jc w:val="right"/>
            </w:pPr>
            <w:r>
              <w:rPr>
                <w:rFonts w:eastAsia="Century Gothic" w:cs="Century Gothic"/>
                <w:color w:val="000000"/>
                <w:sz w:val="18"/>
                <w:szCs w:val="18"/>
              </w:rPr>
              <w:t>5 (62.5%)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27567F" w14:textId="77777777" w:rsidR="001C19F3" w:rsidRDefault="001C19F3" w:rsidP="00521305">
            <w:pPr>
              <w:spacing w:after="0"/>
              <w:ind w:left="100" w:right="100"/>
              <w:jc w:val="right"/>
            </w:pPr>
            <w:r>
              <w:rPr>
                <w:rFonts w:eastAsia="Century Gothic" w:cs="Century Gothic"/>
                <w:color w:val="000000"/>
                <w:sz w:val="18"/>
                <w:szCs w:val="18"/>
              </w:rPr>
              <w:t>4 (44.4%)</w:t>
            </w:r>
          </w:p>
        </w:tc>
      </w:tr>
      <w:tr w:rsidR="001C19F3" w14:paraId="63027ADA"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985CF0" w14:textId="77777777" w:rsidR="001C19F3" w:rsidRDefault="001C19F3" w:rsidP="00521305">
            <w:pPr>
              <w:spacing w:after="0"/>
              <w:ind w:left="100" w:right="100"/>
            </w:pPr>
            <w:r>
              <w:rPr>
                <w:rFonts w:eastAsia="Century Gothic" w:cs="Century Gothic"/>
                <w:color w:val="000000"/>
                <w:sz w:val="18"/>
                <w:szCs w:val="18"/>
              </w:rPr>
              <w:t>No</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3222CD" w14:textId="77777777" w:rsidR="001C19F3" w:rsidRDefault="001C19F3" w:rsidP="00521305">
            <w:pPr>
              <w:spacing w:after="0"/>
              <w:ind w:left="100" w:right="100"/>
              <w:jc w:val="right"/>
            </w:pPr>
            <w:r>
              <w:rPr>
                <w:rFonts w:eastAsia="Century Gothic" w:cs="Century Gothic"/>
                <w:color w:val="000000"/>
                <w:sz w:val="18"/>
                <w:szCs w:val="18"/>
              </w:rPr>
              <w:t>47 (51.1%)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6DF47A" w14:textId="77777777" w:rsidR="001C19F3" w:rsidRDefault="001C19F3" w:rsidP="00521305">
            <w:pPr>
              <w:spacing w:after="0"/>
              <w:ind w:left="100" w:right="100"/>
              <w:jc w:val="right"/>
            </w:pPr>
            <w:r>
              <w:rPr>
                <w:rFonts w:eastAsia="Century Gothic" w:cs="Century Gothic"/>
                <w:color w:val="000000"/>
                <w:sz w:val="18"/>
                <w:szCs w:val="18"/>
              </w:rPr>
              <w:t>19 (48.7%)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48DCA3" w14:textId="77777777" w:rsidR="001C19F3" w:rsidRDefault="001C19F3" w:rsidP="00521305">
            <w:pPr>
              <w:spacing w:after="0"/>
              <w:ind w:left="100" w:right="100"/>
              <w:jc w:val="right"/>
            </w:pPr>
            <w:r>
              <w:rPr>
                <w:rFonts w:eastAsia="Century Gothic" w:cs="Century Gothic"/>
                <w:color w:val="000000"/>
                <w:sz w:val="18"/>
                <w:szCs w:val="18"/>
              </w:rPr>
              <w:t>28 (56.0%)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453DD9" w14:textId="77777777" w:rsidR="001C19F3" w:rsidRDefault="001C19F3" w:rsidP="00521305">
            <w:pPr>
              <w:spacing w:after="0"/>
              <w:ind w:left="100" w:right="100"/>
              <w:jc w:val="right"/>
            </w:pPr>
            <w:r>
              <w:rPr>
                <w:rFonts w:eastAsia="Century Gothic" w:cs="Century Gothic"/>
                <w:color w:val="000000"/>
                <w:sz w:val="18"/>
                <w:szCs w:val="18"/>
              </w:rPr>
              <w:t>9 (69.2%)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625F23" w14:textId="77777777" w:rsidR="001C19F3" w:rsidRDefault="001C19F3" w:rsidP="00521305">
            <w:pPr>
              <w:spacing w:after="0"/>
              <w:ind w:left="100" w:right="100"/>
              <w:jc w:val="right"/>
            </w:pPr>
            <w:r>
              <w:rPr>
                <w:rFonts w:eastAsia="Century Gothic" w:cs="Century Gothic"/>
                <w:color w:val="000000"/>
                <w:sz w:val="18"/>
                <w:szCs w:val="18"/>
              </w:rPr>
              <w:t>1 (16.7%)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E88920" w14:textId="77777777" w:rsidR="001C19F3" w:rsidRDefault="001C19F3" w:rsidP="00521305">
            <w:pPr>
              <w:spacing w:after="0"/>
              <w:ind w:left="100" w:right="100"/>
              <w:jc w:val="right"/>
            </w:pPr>
            <w:r>
              <w:rPr>
                <w:rFonts w:eastAsia="Century Gothic" w:cs="Century Gothic"/>
                <w:color w:val="000000"/>
                <w:sz w:val="18"/>
                <w:szCs w:val="18"/>
              </w:rPr>
              <w:t>37 (52.9%)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E14812" w14:textId="77777777" w:rsidR="001C19F3" w:rsidRDefault="001C19F3" w:rsidP="00521305">
            <w:pPr>
              <w:spacing w:after="0"/>
              <w:ind w:left="100" w:right="100"/>
              <w:jc w:val="right"/>
            </w:pPr>
            <w:r>
              <w:rPr>
                <w:rFonts w:eastAsia="Century Gothic" w:cs="Century Gothic"/>
                <w:color w:val="000000"/>
                <w:sz w:val="18"/>
                <w:szCs w:val="18"/>
              </w:rPr>
              <w:t>39 (54.2%)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96C443" w14:textId="77777777" w:rsidR="001C19F3" w:rsidRDefault="001C19F3" w:rsidP="00521305">
            <w:pPr>
              <w:spacing w:after="0"/>
              <w:ind w:left="100" w:right="100"/>
              <w:jc w:val="right"/>
            </w:pPr>
            <w:r>
              <w:rPr>
                <w:rFonts w:eastAsia="Century Gothic" w:cs="Century Gothic"/>
                <w:color w:val="000000"/>
                <w:sz w:val="18"/>
                <w:szCs w:val="18"/>
              </w:rPr>
              <w:t>3 (37.5%)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F4237E" w14:textId="77777777" w:rsidR="001C19F3" w:rsidRDefault="001C19F3" w:rsidP="00521305">
            <w:pPr>
              <w:spacing w:after="0"/>
              <w:ind w:left="100" w:right="100"/>
              <w:jc w:val="right"/>
            </w:pPr>
            <w:r>
              <w:rPr>
                <w:rFonts w:eastAsia="Century Gothic" w:cs="Century Gothic"/>
                <w:color w:val="000000"/>
                <w:sz w:val="18"/>
                <w:szCs w:val="18"/>
              </w:rPr>
              <w:t>5 (55.6%)</w:t>
            </w:r>
          </w:p>
        </w:tc>
      </w:tr>
      <w:tr w:rsidR="001C19F3" w14:paraId="0B12120D"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2FF47A"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C2F31D"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F5970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B07656"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B8861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D6A83" w14:textId="77777777" w:rsidR="001C19F3" w:rsidRDefault="001C19F3" w:rsidP="00521305">
            <w:pPr>
              <w:spacing w:after="0"/>
              <w:ind w:left="100" w:right="100"/>
              <w:jc w:val="right"/>
            </w:pPr>
            <w:r>
              <w:rPr>
                <w:rFonts w:eastAsia="Century Gothic" w:cs="Century Gothic"/>
                <w:color w:val="000000"/>
                <w:sz w:val="18"/>
                <w:szCs w:val="18"/>
              </w:rPr>
              <w:t>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EBFFFA"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C7F23C" w14:textId="77777777" w:rsidR="001C19F3" w:rsidRDefault="001C19F3" w:rsidP="00521305">
            <w:pPr>
              <w:spacing w:after="0"/>
              <w:ind w:left="100" w:right="100"/>
              <w:jc w:val="right"/>
            </w:pPr>
            <w:r>
              <w:rPr>
                <w:rFonts w:eastAsia="Century Gothic" w:cs="Century Gothic"/>
                <w:color w:val="000000"/>
                <w:sz w:val="18"/>
                <w:szCs w:val="18"/>
              </w:rPr>
              <w:t>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A4CE8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3C5A4" w14:textId="77777777" w:rsidR="001C19F3" w:rsidRDefault="001C19F3" w:rsidP="00521305">
            <w:pPr>
              <w:spacing w:after="0"/>
              <w:ind w:left="100" w:right="100"/>
              <w:jc w:val="right"/>
            </w:pPr>
            <w:r>
              <w:rPr>
                <w:rFonts w:eastAsia="Century Gothic" w:cs="Century Gothic"/>
                <w:color w:val="000000"/>
                <w:sz w:val="18"/>
                <w:szCs w:val="18"/>
              </w:rPr>
              <w:t>2</w:t>
            </w:r>
          </w:p>
        </w:tc>
      </w:tr>
    </w:tbl>
    <w:p w14:paraId="4F4B3EA9" w14:textId="77777777" w:rsidR="001C19F3" w:rsidRDefault="001C19F3" w:rsidP="001C19F3">
      <w:pPr>
        <w:pStyle w:val="Chartortablefootnote"/>
      </w:pPr>
      <w:r>
        <w:t>Source: Practice survey R2, Nov 2018-Mar 2019, question 31.</w:t>
      </w:r>
    </w:p>
    <w:p w14:paraId="14AFAD3E" w14:textId="77777777" w:rsidR="001C19F3" w:rsidRDefault="001C19F3" w:rsidP="001C19F3">
      <w:pPr>
        <w:pStyle w:val="Caption1"/>
      </w:pPr>
      <w:bookmarkStart w:id="576" w:name="_Ref22640454"/>
      <w:r>
        <w:t xml:space="preserve">Table </w:t>
      </w:r>
      <w:r>
        <w:fldChar w:fldCharType="begin"/>
      </w:r>
      <w:r>
        <w:instrText>SEQ Table \* ARABIC</w:instrText>
      </w:r>
      <w:r>
        <w:fldChar w:fldCharType="separate"/>
      </w:r>
      <w:r>
        <w:rPr>
          <w:noProof/>
        </w:rPr>
        <w:t>56</w:t>
      </w:r>
      <w:r>
        <w:fldChar w:fldCharType="end"/>
      </w:r>
      <w:r>
        <w:t xml:space="preserve"> – Relationship does the pharmacist has with the practice</w:t>
      </w:r>
      <w:bookmarkEnd w:id="576"/>
    </w:p>
    <w:tbl>
      <w:tblPr>
        <w:tblW w:w="0" w:type="auto"/>
        <w:jc w:val="center"/>
        <w:tblLayout w:type="fixed"/>
        <w:tblLook w:val="04A0" w:firstRow="1" w:lastRow="0" w:firstColumn="1" w:lastColumn="0" w:noHBand="0" w:noVBand="1"/>
      </w:tblPr>
      <w:tblGrid>
        <w:gridCol w:w="2765"/>
        <w:gridCol w:w="1229"/>
        <w:gridCol w:w="1229"/>
        <w:gridCol w:w="1229"/>
        <w:gridCol w:w="1229"/>
        <w:gridCol w:w="1229"/>
        <w:gridCol w:w="1229"/>
        <w:gridCol w:w="1229"/>
        <w:gridCol w:w="1229"/>
        <w:gridCol w:w="1229"/>
      </w:tblGrid>
      <w:tr w:rsidR="001C19F3" w14:paraId="6A4C3CBF" w14:textId="77777777" w:rsidTr="00521305">
        <w:trPr>
          <w:cantSplit/>
          <w:trHeight w:val="20"/>
          <w:tblHeader/>
          <w:jc w:val="center"/>
        </w:trPr>
        <w:tc>
          <w:tcPr>
            <w:tcW w:w="2765"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95E0D1" w14:textId="77777777" w:rsidR="001C19F3" w:rsidRDefault="001C19F3" w:rsidP="00521305">
            <w:pPr>
              <w:spacing w:after="0"/>
              <w:jc w:val="center"/>
            </w:pPr>
            <w:r>
              <w:rPr>
                <w:rFonts w:eastAsia="Century Gothic" w:cs="Century Gothic"/>
                <w:b/>
                <w:color w:val="FFFFFF"/>
                <w:sz w:val="18"/>
                <w:szCs w:val="18"/>
              </w:rPr>
              <w:t>Response</w:t>
            </w:r>
          </w:p>
        </w:tc>
        <w:tc>
          <w:tcPr>
            <w:tcW w:w="122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DE7BBB" w14:textId="77777777" w:rsidR="001C19F3" w:rsidRDefault="001C19F3" w:rsidP="00521305">
            <w:pPr>
              <w:spacing w:after="0"/>
              <w:jc w:val="center"/>
            </w:pPr>
            <w:r>
              <w:rPr>
                <w:rFonts w:eastAsia="Century Gothic" w:cs="Century Gothic"/>
                <w:b/>
                <w:color w:val="FFFFFF"/>
                <w:sz w:val="18"/>
                <w:szCs w:val="18"/>
              </w:rPr>
              <w:t>Total</w:t>
            </w:r>
          </w:p>
        </w:tc>
        <w:tc>
          <w:tcPr>
            <w:tcW w:w="245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43D8B8E" w14:textId="77777777" w:rsidR="001C19F3" w:rsidRDefault="001C19F3" w:rsidP="00521305">
            <w:pPr>
              <w:spacing w:after="0"/>
              <w:jc w:val="center"/>
            </w:pPr>
            <w:r>
              <w:rPr>
                <w:rFonts w:eastAsia="Century Gothic" w:cs="Century Gothic"/>
                <w:b/>
                <w:color w:val="FFFFFF"/>
                <w:sz w:val="18"/>
                <w:szCs w:val="18"/>
              </w:rPr>
              <w:t>Size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1F792A" w14:textId="77777777" w:rsidR="001C19F3" w:rsidRDefault="001C19F3" w:rsidP="00521305">
            <w:pPr>
              <w:spacing w:after="0"/>
              <w:jc w:val="center"/>
            </w:pPr>
            <w:r>
              <w:rPr>
                <w:rFonts w:eastAsia="Century Gothic" w:cs="Century Gothic"/>
                <w:b/>
                <w:color w:val="FFFFFF"/>
                <w:sz w:val="18"/>
                <w:szCs w:val="18"/>
              </w:rPr>
              <w:t>Type</w:t>
            </w:r>
          </w:p>
        </w:tc>
        <w:tc>
          <w:tcPr>
            <w:tcW w:w="3687"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A780B08" w14:textId="77777777" w:rsidR="001C19F3" w:rsidRDefault="001C19F3" w:rsidP="00521305">
            <w:pPr>
              <w:spacing w:after="0"/>
              <w:jc w:val="center"/>
            </w:pPr>
            <w:r>
              <w:rPr>
                <w:rFonts w:eastAsia="Century Gothic" w:cs="Century Gothic"/>
                <w:b/>
                <w:color w:val="FFFFFF"/>
                <w:sz w:val="18"/>
                <w:szCs w:val="18"/>
              </w:rPr>
              <w:t>Location</w:t>
            </w:r>
          </w:p>
        </w:tc>
      </w:tr>
      <w:tr w:rsidR="001C19F3" w14:paraId="6AA65974" w14:textId="77777777" w:rsidTr="00521305">
        <w:trPr>
          <w:cantSplit/>
          <w:trHeight w:val="20"/>
          <w:tblHeader/>
          <w:jc w:val="center"/>
        </w:trPr>
        <w:tc>
          <w:tcPr>
            <w:tcW w:w="2765" w:type="dxa"/>
            <w:vMerge/>
            <w:tcBorders>
              <w:top w:val="single" w:sz="8" w:space="0" w:color="BFBFBF"/>
              <w:left w:val="single" w:sz="8" w:space="0" w:color="BFBFBF"/>
              <w:bottom w:val="single" w:sz="8" w:space="0" w:color="BFBFBF"/>
              <w:right w:val="single" w:sz="8" w:space="0" w:color="BFBFBF"/>
            </w:tcBorders>
            <w:vAlign w:val="center"/>
            <w:hideMark/>
          </w:tcPr>
          <w:p w14:paraId="09C35B8F" w14:textId="77777777" w:rsidR="001C19F3" w:rsidRDefault="001C19F3" w:rsidP="00521305">
            <w:pPr>
              <w:spacing w:after="0"/>
            </w:pPr>
          </w:p>
        </w:tc>
        <w:tc>
          <w:tcPr>
            <w:tcW w:w="1229" w:type="dxa"/>
            <w:vMerge/>
            <w:tcBorders>
              <w:top w:val="single" w:sz="8" w:space="0" w:color="BFBFBF"/>
              <w:left w:val="single" w:sz="8" w:space="0" w:color="BFBFBF"/>
              <w:bottom w:val="single" w:sz="8" w:space="0" w:color="BFBFBF"/>
              <w:right w:val="single" w:sz="8" w:space="0" w:color="BFBFBF"/>
            </w:tcBorders>
            <w:vAlign w:val="center"/>
            <w:hideMark/>
          </w:tcPr>
          <w:p w14:paraId="269C2D34" w14:textId="77777777" w:rsidR="001C19F3" w:rsidRDefault="001C19F3" w:rsidP="00521305">
            <w:pPr>
              <w:spacing w:after="0"/>
            </w:pP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7EFCD4" w14:textId="77777777" w:rsidR="001C19F3" w:rsidRDefault="001C19F3" w:rsidP="00521305">
            <w:pPr>
              <w:spacing w:after="0"/>
              <w:jc w:val="center"/>
            </w:pPr>
            <w:r>
              <w:rPr>
                <w:rFonts w:eastAsia="Century Gothic" w:cs="Century Gothic"/>
                <w:b/>
                <w:color w:val="FFFFFF"/>
                <w:sz w:val="18"/>
                <w:szCs w:val="18"/>
              </w:rPr>
              <w:t>Large/ medium</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B64229" w14:textId="77777777" w:rsidR="001C19F3" w:rsidRDefault="001C19F3" w:rsidP="00521305">
            <w:pPr>
              <w:spacing w:after="0"/>
              <w:jc w:val="center"/>
            </w:pPr>
            <w:r>
              <w:rPr>
                <w:rFonts w:eastAsia="Century Gothic" w:cs="Century Gothic"/>
                <w:b/>
                <w:color w:val="FFFFFF"/>
                <w:sz w:val="18"/>
                <w:szCs w:val="18"/>
              </w:rPr>
              <w:t>Small/sole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14DD03" w14:textId="77777777" w:rsidR="001C19F3" w:rsidRDefault="001C19F3" w:rsidP="00521305">
            <w:pPr>
              <w:spacing w:after="0"/>
              <w:jc w:val="center"/>
            </w:pPr>
            <w:r>
              <w:rPr>
                <w:rFonts w:eastAsia="Century Gothic" w:cs="Century Gothic"/>
                <w:b/>
                <w:color w:val="FFFFFF"/>
                <w:sz w:val="18"/>
                <w:szCs w:val="18"/>
              </w:rPr>
              <w:t>Corporate</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C6F85D1" w14:textId="77777777" w:rsidR="001C19F3" w:rsidRDefault="001C19F3" w:rsidP="00521305">
            <w:pPr>
              <w:spacing w:after="0"/>
              <w:jc w:val="center"/>
            </w:pPr>
            <w:r>
              <w:rPr>
                <w:rFonts w:eastAsia="Century Gothic" w:cs="Century Gothic"/>
                <w:b/>
                <w:color w:val="FFFFFF"/>
                <w:sz w:val="18"/>
                <w:szCs w:val="18"/>
              </w:rPr>
              <w:t>AMS</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D6D98F0" w14:textId="77777777" w:rsidR="001C19F3" w:rsidRDefault="001C19F3" w:rsidP="00521305">
            <w:pPr>
              <w:spacing w:after="0"/>
              <w:jc w:val="center"/>
            </w:pPr>
            <w:r>
              <w:rPr>
                <w:rFonts w:eastAsia="Century Gothic" w:cs="Century Gothic"/>
                <w:b/>
                <w:color w:val="FFFFFF"/>
                <w:sz w:val="18"/>
                <w:szCs w:val="18"/>
              </w:rPr>
              <w:t>Independent</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0910C40" w14:textId="77777777" w:rsidR="001C19F3" w:rsidRDefault="001C19F3" w:rsidP="00521305">
            <w:pPr>
              <w:spacing w:after="0"/>
              <w:jc w:val="center"/>
            </w:pPr>
            <w:r>
              <w:rPr>
                <w:rFonts w:eastAsia="Century Gothic" w:cs="Century Gothic"/>
                <w:b/>
                <w:color w:val="FFFFFF"/>
                <w:sz w:val="18"/>
                <w:szCs w:val="18"/>
              </w:rPr>
              <w:t>MMM 1</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78FBDA7" w14:textId="77777777" w:rsidR="001C19F3" w:rsidRDefault="001C19F3" w:rsidP="00521305">
            <w:pPr>
              <w:spacing w:after="0"/>
              <w:jc w:val="center"/>
            </w:pPr>
            <w:r>
              <w:rPr>
                <w:rFonts w:eastAsia="Century Gothic" w:cs="Century Gothic"/>
                <w:b/>
                <w:color w:val="FFFFFF"/>
                <w:sz w:val="18"/>
                <w:szCs w:val="18"/>
              </w:rPr>
              <w:t>MMM 2/3</w:t>
            </w:r>
          </w:p>
        </w:tc>
        <w:tc>
          <w:tcPr>
            <w:tcW w:w="122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06B97AA" w14:textId="77777777" w:rsidR="001C19F3" w:rsidRDefault="001C19F3" w:rsidP="00521305">
            <w:pPr>
              <w:spacing w:after="0"/>
              <w:jc w:val="center"/>
            </w:pPr>
            <w:r>
              <w:rPr>
                <w:rFonts w:eastAsia="Century Gothic" w:cs="Century Gothic"/>
                <w:b/>
                <w:color w:val="FFFFFF"/>
                <w:sz w:val="18"/>
                <w:szCs w:val="18"/>
              </w:rPr>
              <w:t>MMM 4+</w:t>
            </w:r>
          </w:p>
        </w:tc>
      </w:tr>
      <w:tr w:rsidR="001C19F3" w14:paraId="6BF313AF"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2AB5C" w14:textId="77777777" w:rsidR="001C19F3" w:rsidRDefault="001C19F3" w:rsidP="00521305">
            <w:pPr>
              <w:spacing w:after="0"/>
              <w:ind w:left="100" w:right="100"/>
            </w:pPr>
            <w:r>
              <w:rPr>
                <w:rFonts w:eastAsia="Century Gothic" w:cs="Century Gothic"/>
                <w:color w:val="000000"/>
                <w:sz w:val="18"/>
                <w:szCs w:val="18"/>
              </w:rPr>
              <w:t>Community pharmacist who works closely with the practice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349155" w14:textId="77777777" w:rsidR="001C19F3" w:rsidRDefault="001C19F3" w:rsidP="00521305">
            <w:pPr>
              <w:spacing w:after="0"/>
              <w:ind w:left="100" w:right="100"/>
              <w:jc w:val="right"/>
            </w:pPr>
            <w:r>
              <w:rPr>
                <w:rFonts w:eastAsia="Century Gothic" w:cs="Century Gothic"/>
                <w:color w:val="000000"/>
                <w:sz w:val="18"/>
                <w:szCs w:val="18"/>
              </w:rPr>
              <w:t>27 (29.3%)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B84A77" w14:textId="77777777" w:rsidR="001C19F3" w:rsidRDefault="001C19F3" w:rsidP="00521305">
            <w:pPr>
              <w:spacing w:after="0"/>
              <w:ind w:left="100" w:right="100"/>
              <w:jc w:val="right"/>
            </w:pPr>
            <w:r>
              <w:rPr>
                <w:rFonts w:eastAsia="Century Gothic" w:cs="Century Gothic"/>
                <w:color w:val="000000"/>
                <w:sz w:val="18"/>
                <w:szCs w:val="18"/>
              </w:rPr>
              <w:t>16 (69.6%)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D6FE0" w14:textId="77777777" w:rsidR="001C19F3" w:rsidRDefault="001C19F3" w:rsidP="00521305">
            <w:pPr>
              <w:spacing w:after="0"/>
              <w:ind w:left="100" w:right="100"/>
              <w:jc w:val="right"/>
            </w:pPr>
            <w:r>
              <w:rPr>
                <w:rFonts w:eastAsia="Century Gothic" w:cs="Century Gothic"/>
                <w:color w:val="000000"/>
                <w:sz w:val="18"/>
                <w:szCs w:val="18"/>
              </w:rPr>
              <w:t>11 (44.0%)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89CA80" w14:textId="77777777" w:rsidR="001C19F3" w:rsidRDefault="001C19F3" w:rsidP="00521305">
            <w:pPr>
              <w:spacing w:after="0"/>
              <w:ind w:left="100" w:right="100"/>
              <w:jc w:val="right"/>
            </w:pPr>
            <w:r>
              <w:rPr>
                <w:rFonts w:eastAsia="Century Gothic" w:cs="Century Gothic"/>
                <w:color w:val="000000"/>
                <w:sz w:val="18"/>
                <w:szCs w:val="18"/>
              </w:rPr>
              <w:t>3 (60.0%)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A8072" w14:textId="77777777" w:rsidR="001C19F3" w:rsidRDefault="001C19F3" w:rsidP="00521305">
            <w:pPr>
              <w:spacing w:after="0"/>
              <w:ind w:left="100" w:right="100"/>
              <w:jc w:val="right"/>
            </w:pPr>
            <w:r>
              <w:rPr>
                <w:rFonts w:eastAsia="Century Gothic" w:cs="Century Gothic"/>
                <w:color w:val="000000"/>
                <w:sz w:val="18"/>
                <w:szCs w:val="18"/>
              </w:rPr>
              <w:t>1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8E5746" w14:textId="77777777" w:rsidR="001C19F3" w:rsidRDefault="001C19F3" w:rsidP="00521305">
            <w:pPr>
              <w:spacing w:after="0"/>
              <w:ind w:left="100" w:right="100"/>
              <w:jc w:val="right"/>
            </w:pPr>
            <w:r>
              <w:rPr>
                <w:rFonts w:eastAsia="Century Gothic" w:cs="Century Gothic"/>
                <w:color w:val="000000"/>
                <w:sz w:val="18"/>
                <w:szCs w:val="18"/>
              </w:rPr>
              <w:t>23 (60.5%)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B70BAC" w14:textId="77777777" w:rsidR="001C19F3" w:rsidRDefault="001C19F3" w:rsidP="00521305">
            <w:pPr>
              <w:spacing w:after="0"/>
              <w:ind w:left="100" w:right="100"/>
              <w:jc w:val="right"/>
            </w:pPr>
            <w:r>
              <w:rPr>
                <w:rFonts w:eastAsia="Century Gothic" w:cs="Century Gothic"/>
                <w:color w:val="000000"/>
                <w:sz w:val="18"/>
                <w:szCs w:val="18"/>
              </w:rPr>
              <w:t>20 (54.1%)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4786E7" w14:textId="77777777" w:rsidR="001C19F3" w:rsidRDefault="001C19F3" w:rsidP="00521305">
            <w:pPr>
              <w:spacing w:after="0"/>
              <w:ind w:left="100" w:right="100"/>
              <w:jc w:val="right"/>
            </w:pPr>
            <w:r>
              <w:rPr>
                <w:rFonts w:eastAsia="Century Gothic" w:cs="Century Gothic"/>
                <w:color w:val="000000"/>
                <w:sz w:val="18"/>
                <w:szCs w:val="18"/>
              </w:rPr>
              <w:t>4 (80.0%)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0EEEFD" w14:textId="77777777" w:rsidR="001C19F3" w:rsidRDefault="001C19F3" w:rsidP="00521305">
            <w:pPr>
              <w:spacing w:after="0"/>
              <w:ind w:left="100" w:right="100"/>
              <w:jc w:val="right"/>
            </w:pPr>
            <w:r>
              <w:rPr>
                <w:rFonts w:eastAsia="Century Gothic" w:cs="Century Gothic"/>
                <w:color w:val="000000"/>
                <w:sz w:val="18"/>
                <w:szCs w:val="18"/>
              </w:rPr>
              <w:t>3 (50.0%)</w:t>
            </w:r>
          </w:p>
        </w:tc>
      </w:tr>
      <w:tr w:rsidR="001C19F3" w14:paraId="1C9553F7"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470E1E" w14:textId="77777777" w:rsidR="001C19F3" w:rsidRDefault="001C19F3" w:rsidP="00521305">
            <w:pPr>
              <w:spacing w:after="0"/>
              <w:ind w:left="100" w:right="100"/>
            </w:pPr>
            <w:r>
              <w:rPr>
                <w:rFonts w:eastAsia="Century Gothic" w:cs="Century Gothic"/>
                <w:color w:val="000000"/>
                <w:sz w:val="18"/>
                <w:szCs w:val="18"/>
              </w:rPr>
              <w:t>Pharmacist supported under another arrangement (e.g. hospital clinical pharmacist integrated with/ visiting the practice)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58451" w14:textId="77777777" w:rsidR="001C19F3" w:rsidRDefault="001C19F3" w:rsidP="00521305">
            <w:pPr>
              <w:spacing w:after="0"/>
              <w:ind w:left="100" w:right="100"/>
              <w:jc w:val="right"/>
            </w:pPr>
            <w:r>
              <w:rPr>
                <w:rFonts w:eastAsia="Century Gothic" w:cs="Century Gothic"/>
                <w:color w:val="000000"/>
                <w:sz w:val="18"/>
                <w:szCs w:val="18"/>
              </w:rPr>
              <w:t>8 (8.7%)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E1F517" w14:textId="77777777" w:rsidR="001C19F3" w:rsidRDefault="001C19F3" w:rsidP="00521305">
            <w:pPr>
              <w:spacing w:after="0"/>
              <w:ind w:left="100" w:right="100"/>
              <w:jc w:val="right"/>
            </w:pPr>
            <w:r>
              <w:rPr>
                <w:rFonts w:eastAsia="Century Gothic" w:cs="Century Gothic"/>
                <w:color w:val="000000"/>
                <w:sz w:val="18"/>
                <w:szCs w:val="18"/>
              </w:rPr>
              <w:t>2 (8.7%)</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8428C7" w14:textId="77777777" w:rsidR="001C19F3" w:rsidRDefault="001C19F3" w:rsidP="00521305">
            <w:pPr>
              <w:spacing w:after="0"/>
              <w:ind w:left="100" w:right="100"/>
              <w:jc w:val="right"/>
            </w:pPr>
            <w:r>
              <w:rPr>
                <w:rFonts w:eastAsia="Century Gothic" w:cs="Century Gothic"/>
                <w:color w:val="000000"/>
                <w:sz w:val="18"/>
                <w:szCs w:val="18"/>
              </w:rPr>
              <w:t>6 (24.0%)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1D47B0" w14:textId="77777777" w:rsidR="001C19F3" w:rsidRDefault="001C19F3" w:rsidP="00521305">
            <w:pPr>
              <w:spacing w:after="0"/>
              <w:ind w:left="100" w:right="100"/>
              <w:jc w:val="right"/>
            </w:pPr>
            <w:r>
              <w:rPr>
                <w:rFonts w:eastAsia="Century Gothic" w:cs="Century Gothic"/>
                <w:color w:val="000000"/>
                <w:sz w:val="18"/>
                <w:szCs w:val="18"/>
              </w:rPr>
              <w:t>1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540C45" w14:textId="77777777" w:rsidR="001C19F3" w:rsidRDefault="001C19F3" w:rsidP="00521305">
            <w:pPr>
              <w:spacing w:after="0"/>
              <w:ind w:left="100" w:right="100"/>
              <w:jc w:val="right"/>
            </w:pPr>
            <w:r>
              <w:rPr>
                <w:rFonts w:eastAsia="Century Gothic" w:cs="Century Gothic"/>
                <w:color w:val="000000"/>
                <w:sz w:val="18"/>
                <w:szCs w:val="18"/>
              </w:rPr>
              <w:t>2 (40.0%)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678B09" w14:textId="77777777" w:rsidR="001C19F3" w:rsidRDefault="001C19F3" w:rsidP="00521305">
            <w:pPr>
              <w:spacing w:after="0"/>
              <w:ind w:left="100" w:right="100"/>
              <w:jc w:val="right"/>
            </w:pPr>
            <w:r>
              <w:rPr>
                <w:rFonts w:eastAsia="Century Gothic" w:cs="Century Gothic"/>
                <w:color w:val="000000"/>
                <w:sz w:val="18"/>
                <w:szCs w:val="18"/>
              </w:rPr>
              <w:t>5 (13.2%)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4D952F" w14:textId="77777777" w:rsidR="001C19F3" w:rsidRDefault="001C19F3" w:rsidP="00521305">
            <w:pPr>
              <w:spacing w:after="0"/>
              <w:ind w:left="100" w:right="100"/>
              <w:jc w:val="right"/>
            </w:pPr>
            <w:r>
              <w:rPr>
                <w:rFonts w:eastAsia="Century Gothic" w:cs="Century Gothic"/>
                <w:color w:val="000000"/>
                <w:sz w:val="18"/>
                <w:szCs w:val="18"/>
              </w:rPr>
              <w:t>6 (16.2%)</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611FC4"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0C7299" w14:textId="77777777" w:rsidR="001C19F3" w:rsidRDefault="001C19F3" w:rsidP="00521305">
            <w:pPr>
              <w:spacing w:after="0"/>
              <w:ind w:left="100" w:right="100"/>
              <w:jc w:val="right"/>
            </w:pPr>
            <w:r>
              <w:rPr>
                <w:rFonts w:eastAsia="Century Gothic" w:cs="Century Gothic"/>
                <w:color w:val="000000"/>
                <w:sz w:val="18"/>
                <w:szCs w:val="18"/>
              </w:rPr>
              <w:t>2 (33.3%)</w:t>
            </w:r>
          </w:p>
        </w:tc>
      </w:tr>
      <w:tr w:rsidR="001C19F3" w14:paraId="40A78250"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C2F24A" w14:textId="77777777" w:rsidR="001C19F3" w:rsidRDefault="001C19F3" w:rsidP="00521305">
            <w:pPr>
              <w:spacing w:after="0"/>
              <w:ind w:left="100" w:right="100"/>
            </w:pPr>
            <w:r>
              <w:rPr>
                <w:rFonts w:eastAsia="Century Gothic" w:cs="Century Gothic"/>
                <w:color w:val="000000"/>
                <w:sz w:val="18"/>
                <w:szCs w:val="18"/>
              </w:rPr>
              <w:t>Pharmacist employed by the practice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D5C643" w14:textId="77777777" w:rsidR="001C19F3" w:rsidRDefault="001C19F3" w:rsidP="00521305">
            <w:pPr>
              <w:spacing w:after="0"/>
              <w:ind w:left="100" w:right="100"/>
              <w:jc w:val="right"/>
            </w:pPr>
            <w:r>
              <w:rPr>
                <w:rFonts w:eastAsia="Century Gothic" w:cs="Century Gothic"/>
                <w:color w:val="000000"/>
                <w:sz w:val="18"/>
                <w:szCs w:val="18"/>
              </w:rPr>
              <w:t>6 (6.5%)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240030" w14:textId="77777777" w:rsidR="001C19F3" w:rsidRDefault="001C19F3" w:rsidP="00521305">
            <w:pPr>
              <w:spacing w:after="0"/>
              <w:ind w:left="100" w:right="100"/>
              <w:jc w:val="right"/>
            </w:pPr>
            <w:r>
              <w:rPr>
                <w:rFonts w:eastAsia="Century Gothic" w:cs="Century Gothic"/>
                <w:color w:val="000000"/>
                <w:sz w:val="18"/>
                <w:szCs w:val="18"/>
              </w:rPr>
              <w:t>3 (13.0%)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27F10D" w14:textId="77777777" w:rsidR="001C19F3" w:rsidRDefault="001C19F3" w:rsidP="00521305">
            <w:pPr>
              <w:spacing w:after="0"/>
              <w:ind w:left="100" w:right="100"/>
              <w:jc w:val="right"/>
            </w:pPr>
            <w:r>
              <w:rPr>
                <w:rFonts w:eastAsia="Century Gothic" w:cs="Century Gothic"/>
                <w:color w:val="000000"/>
                <w:sz w:val="18"/>
                <w:szCs w:val="18"/>
              </w:rPr>
              <w:t>3 (12.0%)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5761BB"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4D0CE2" w14:textId="77777777" w:rsidR="001C19F3" w:rsidRDefault="001C19F3" w:rsidP="00521305">
            <w:pPr>
              <w:spacing w:after="0"/>
              <w:ind w:left="100" w:right="100"/>
              <w:jc w:val="right"/>
            </w:pPr>
            <w:r>
              <w:rPr>
                <w:rFonts w:eastAsia="Century Gothic" w:cs="Century Gothic"/>
                <w:color w:val="000000"/>
                <w:sz w:val="18"/>
                <w:szCs w:val="18"/>
              </w:rPr>
              <w:t>2 (40.0%)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F44504" w14:textId="77777777" w:rsidR="001C19F3" w:rsidRDefault="001C19F3" w:rsidP="00521305">
            <w:pPr>
              <w:spacing w:after="0"/>
              <w:ind w:left="100" w:right="100"/>
              <w:jc w:val="right"/>
            </w:pPr>
            <w:r>
              <w:rPr>
                <w:rFonts w:eastAsia="Century Gothic" w:cs="Century Gothic"/>
                <w:color w:val="000000"/>
                <w:sz w:val="18"/>
                <w:szCs w:val="18"/>
              </w:rPr>
              <w:t>4 (10.5%)</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8A1A9" w14:textId="77777777" w:rsidR="001C19F3" w:rsidRDefault="001C19F3" w:rsidP="00521305">
            <w:pPr>
              <w:spacing w:after="0"/>
              <w:ind w:left="100" w:right="100"/>
              <w:jc w:val="right"/>
            </w:pPr>
            <w:r>
              <w:rPr>
                <w:rFonts w:eastAsia="Century Gothic" w:cs="Century Gothic"/>
                <w:color w:val="000000"/>
                <w:sz w:val="18"/>
                <w:szCs w:val="18"/>
              </w:rPr>
              <w:t>4 (10.8%)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2ED04C" w14:textId="77777777" w:rsidR="001C19F3" w:rsidRDefault="001C19F3" w:rsidP="00521305">
            <w:pPr>
              <w:spacing w:after="0"/>
              <w:ind w:left="100" w:right="100"/>
              <w:jc w:val="right"/>
            </w:pPr>
            <w:r>
              <w:rPr>
                <w:rFonts w:eastAsia="Century Gothic" w:cs="Century Gothic"/>
                <w:color w:val="000000"/>
                <w:sz w:val="18"/>
                <w:szCs w:val="18"/>
              </w:rPr>
              <w:t>1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9CFD9" w14:textId="77777777" w:rsidR="001C19F3" w:rsidRDefault="001C19F3" w:rsidP="00521305">
            <w:pPr>
              <w:spacing w:after="0"/>
              <w:ind w:left="100" w:right="100"/>
              <w:jc w:val="right"/>
            </w:pPr>
            <w:r>
              <w:rPr>
                <w:rFonts w:eastAsia="Century Gothic" w:cs="Century Gothic"/>
                <w:color w:val="000000"/>
                <w:sz w:val="18"/>
                <w:szCs w:val="18"/>
              </w:rPr>
              <w:t>1 (16.7%)</w:t>
            </w:r>
          </w:p>
        </w:tc>
      </w:tr>
      <w:tr w:rsidR="001C19F3" w14:paraId="47BB422C"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3EFFAA" w14:textId="77777777" w:rsidR="001C19F3" w:rsidRDefault="001C19F3" w:rsidP="00521305">
            <w:pPr>
              <w:spacing w:after="0"/>
              <w:ind w:left="100" w:right="100"/>
            </w:pPr>
            <w:r>
              <w:rPr>
                <w:rFonts w:eastAsia="Century Gothic" w:cs="Century Gothic"/>
                <w:color w:val="000000"/>
                <w:sz w:val="18"/>
                <w:szCs w:val="18"/>
              </w:rPr>
              <w:t>PHN grant or support</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31D57" w14:textId="77777777" w:rsidR="001C19F3" w:rsidRDefault="001C19F3" w:rsidP="00521305">
            <w:pPr>
              <w:spacing w:after="0"/>
              <w:ind w:left="100" w:right="100"/>
              <w:jc w:val="right"/>
            </w:pPr>
            <w:r>
              <w:rPr>
                <w:rFonts w:eastAsia="Century Gothic" w:cs="Century Gothic"/>
                <w:color w:val="000000"/>
                <w:sz w:val="18"/>
                <w:szCs w:val="18"/>
              </w:rPr>
              <w:t>3 (3.3%)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E93A64" w14:textId="77777777" w:rsidR="001C19F3" w:rsidRDefault="001C19F3" w:rsidP="00521305">
            <w:pPr>
              <w:spacing w:after="0"/>
              <w:ind w:left="100" w:right="100"/>
              <w:jc w:val="right"/>
            </w:pPr>
            <w:r>
              <w:rPr>
                <w:rFonts w:eastAsia="Century Gothic" w:cs="Century Gothic"/>
                <w:color w:val="000000"/>
                <w:sz w:val="18"/>
                <w:szCs w:val="18"/>
              </w:rPr>
              <w:t>1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71F97A" w14:textId="77777777" w:rsidR="001C19F3" w:rsidRDefault="001C19F3" w:rsidP="00521305">
            <w:pPr>
              <w:spacing w:after="0"/>
              <w:ind w:left="100" w:right="100"/>
              <w:jc w:val="right"/>
            </w:pPr>
            <w:r>
              <w:rPr>
                <w:rFonts w:eastAsia="Century Gothic" w:cs="Century Gothic"/>
                <w:color w:val="000000"/>
                <w:sz w:val="18"/>
                <w:szCs w:val="18"/>
              </w:rPr>
              <w:t>2 (8.0%)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7C8D91"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4FE21F"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A28F37" w14:textId="77777777" w:rsidR="001C19F3" w:rsidRDefault="001C19F3" w:rsidP="00521305">
            <w:pPr>
              <w:spacing w:after="0"/>
              <w:ind w:left="100" w:right="100"/>
              <w:jc w:val="right"/>
            </w:pPr>
            <w:r>
              <w:rPr>
                <w:rFonts w:eastAsia="Century Gothic" w:cs="Century Gothic"/>
                <w:color w:val="000000"/>
                <w:sz w:val="18"/>
                <w:szCs w:val="18"/>
              </w:rPr>
              <w:t>3 (7.9%)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5CDD2F" w14:textId="77777777" w:rsidR="001C19F3" w:rsidRDefault="001C19F3" w:rsidP="00521305">
            <w:pPr>
              <w:spacing w:after="0"/>
              <w:ind w:left="100" w:right="100"/>
              <w:jc w:val="right"/>
            </w:pPr>
            <w:r>
              <w:rPr>
                <w:rFonts w:eastAsia="Century Gothic" w:cs="Century Gothic"/>
                <w:color w:val="000000"/>
                <w:sz w:val="18"/>
                <w:szCs w:val="18"/>
              </w:rPr>
              <w:t>3 (8.1%)</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9E5AB9"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0B39F6" w14:textId="77777777" w:rsidR="001C19F3" w:rsidRDefault="001C19F3" w:rsidP="00521305">
            <w:pPr>
              <w:spacing w:after="0"/>
              <w:ind w:left="100" w:right="100"/>
              <w:jc w:val="right"/>
            </w:pPr>
          </w:p>
        </w:tc>
      </w:tr>
      <w:tr w:rsidR="001C19F3" w14:paraId="6924A306"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E66779" w14:textId="77777777" w:rsidR="001C19F3" w:rsidRDefault="001C19F3" w:rsidP="00521305">
            <w:pPr>
              <w:spacing w:after="0"/>
              <w:ind w:left="100" w:right="100"/>
            </w:pPr>
            <w:r>
              <w:rPr>
                <w:rFonts w:eastAsia="Century Gothic" w:cs="Century Gothic"/>
                <w:color w:val="000000"/>
                <w:sz w:val="18"/>
                <w:szCs w:val="18"/>
              </w:rPr>
              <w:t>Other</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1C96D4" w14:textId="77777777" w:rsidR="001C19F3" w:rsidRDefault="001C19F3" w:rsidP="00521305">
            <w:pPr>
              <w:spacing w:after="0"/>
              <w:ind w:left="100" w:right="100"/>
              <w:jc w:val="right"/>
            </w:pPr>
            <w:r>
              <w:rPr>
                <w:rFonts w:eastAsia="Century Gothic" w:cs="Century Gothic"/>
                <w:color w:val="000000"/>
                <w:sz w:val="18"/>
                <w:szCs w:val="18"/>
              </w:rPr>
              <w:t>4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D2FEE3" w14:textId="77777777" w:rsidR="001C19F3" w:rsidRDefault="001C19F3" w:rsidP="00521305">
            <w:pPr>
              <w:spacing w:after="0"/>
              <w:ind w:left="100" w:right="100"/>
              <w:jc w:val="right"/>
            </w:pPr>
            <w:r>
              <w:rPr>
                <w:rFonts w:eastAsia="Century Gothic" w:cs="Century Gothic"/>
                <w:color w:val="000000"/>
                <w:sz w:val="18"/>
                <w:szCs w:val="18"/>
              </w:rPr>
              <w:t>1 (4.3%)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8902F6" w14:textId="77777777" w:rsidR="001C19F3" w:rsidRDefault="001C19F3" w:rsidP="00521305">
            <w:pPr>
              <w:spacing w:after="0"/>
              <w:ind w:left="100" w:right="100"/>
              <w:jc w:val="right"/>
            </w:pPr>
            <w:r>
              <w:rPr>
                <w:rFonts w:eastAsia="Century Gothic" w:cs="Century Gothic"/>
                <w:color w:val="000000"/>
                <w:sz w:val="18"/>
                <w:szCs w:val="18"/>
              </w:rPr>
              <w:t>3 (12.0%)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36F8F" w14:textId="77777777" w:rsidR="001C19F3" w:rsidRDefault="001C19F3" w:rsidP="00521305">
            <w:pPr>
              <w:spacing w:after="0"/>
              <w:ind w:left="100" w:right="100"/>
              <w:jc w:val="right"/>
            </w:pPr>
            <w:r>
              <w:rPr>
                <w:rFonts w:eastAsia="Century Gothic" w:cs="Century Gothic"/>
                <w:color w:val="000000"/>
                <w:sz w:val="18"/>
                <w:szCs w:val="18"/>
              </w:rPr>
              <w:t>1 (20.0%)</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1B92C6"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DA76E5" w14:textId="77777777" w:rsidR="001C19F3" w:rsidRDefault="001C19F3" w:rsidP="00521305">
            <w:pPr>
              <w:spacing w:after="0"/>
              <w:ind w:left="100" w:right="100"/>
              <w:jc w:val="right"/>
            </w:pPr>
            <w:r>
              <w:rPr>
                <w:rFonts w:eastAsia="Century Gothic" w:cs="Century Gothic"/>
                <w:color w:val="000000"/>
                <w:sz w:val="18"/>
                <w:szCs w:val="18"/>
              </w:rPr>
              <w:t>3 (7.9%)</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0FF52C" w14:textId="77777777" w:rsidR="001C19F3" w:rsidRDefault="001C19F3" w:rsidP="00521305">
            <w:pPr>
              <w:spacing w:after="0"/>
              <w:ind w:left="100" w:right="100"/>
              <w:jc w:val="right"/>
            </w:pPr>
            <w:r>
              <w:rPr>
                <w:rFonts w:eastAsia="Century Gothic" w:cs="Century Gothic"/>
                <w:color w:val="000000"/>
                <w:sz w:val="18"/>
                <w:szCs w:val="18"/>
              </w:rPr>
              <w:t>4 (10.8%)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3D8BDA" w14:textId="77777777" w:rsidR="001C19F3" w:rsidRDefault="001C19F3" w:rsidP="00521305">
            <w:pPr>
              <w:spacing w:after="0"/>
              <w:ind w:left="100" w:right="100"/>
              <w:jc w:val="right"/>
            </w:pP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2AEF21" w14:textId="77777777" w:rsidR="001C19F3" w:rsidRDefault="001C19F3" w:rsidP="00521305">
            <w:pPr>
              <w:spacing w:after="0"/>
              <w:ind w:left="100" w:right="100"/>
              <w:jc w:val="right"/>
            </w:pPr>
          </w:p>
        </w:tc>
      </w:tr>
      <w:tr w:rsidR="001C19F3" w14:paraId="5A15CAA4" w14:textId="77777777" w:rsidTr="00521305">
        <w:trPr>
          <w:cantSplit/>
          <w:trHeight w:val="20"/>
          <w:jc w:val="center"/>
        </w:trPr>
        <w:tc>
          <w:tcPr>
            <w:tcW w:w="276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8F0C73" w14:textId="77777777" w:rsidR="001C19F3" w:rsidRDefault="001C19F3" w:rsidP="00521305">
            <w:pPr>
              <w:spacing w:after="0"/>
              <w:ind w:left="100" w:right="100"/>
            </w:pPr>
            <w:r>
              <w:rPr>
                <w:rFonts w:eastAsia="Century Gothic" w:cs="Century Gothic"/>
                <w:color w:val="000000"/>
                <w:sz w:val="18"/>
                <w:szCs w:val="18"/>
              </w:rPr>
              <w:t>Don't know/ no response</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DD6781" w14:textId="77777777" w:rsidR="001C19F3" w:rsidRDefault="001C19F3" w:rsidP="00521305">
            <w:pPr>
              <w:spacing w:after="0"/>
              <w:ind w:left="100" w:right="100"/>
              <w:jc w:val="right"/>
            </w:pPr>
            <w:r>
              <w:rPr>
                <w:rFonts w:eastAsia="Century Gothic" w:cs="Century Gothic"/>
                <w:color w:val="000000"/>
                <w:sz w:val="18"/>
                <w:szCs w:val="18"/>
              </w:rPr>
              <w:t>44 (47.8%)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D87D87" w14:textId="77777777" w:rsidR="001C19F3" w:rsidRDefault="001C19F3" w:rsidP="00521305">
            <w:pPr>
              <w:spacing w:after="0"/>
              <w:ind w:left="100" w:right="100"/>
              <w:jc w:val="right"/>
            </w:pPr>
            <w:r>
              <w:rPr>
                <w:rFonts w:eastAsia="Century Gothic" w:cs="Century Gothic"/>
                <w:color w:val="000000"/>
                <w:sz w:val="18"/>
                <w:szCs w:val="18"/>
              </w:rPr>
              <w:t>16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5490B0" w14:textId="77777777" w:rsidR="001C19F3" w:rsidRDefault="001C19F3" w:rsidP="00521305">
            <w:pPr>
              <w:spacing w:after="0"/>
              <w:ind w:left="100" w:right="100"/>
              <w:jc w:val="right"/>
            </w:pPr>
            <w:r>
              <w:rPr>
                <w:rFonts w:eastAsia="Century Gothic" w:cs="Century Gothic"/>
                <w:color w:val="000000"/>
                <w:sz w:val="18"/>
                <w:szCs w:val="18"/>
              </w:rPr>
              <w:t>28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3F9850" w14:textId="77777777" w:rsidR="001C19F3" w:rsidRDefault="001C19F3" w:rsidP="00521305">
            <w:pPr>
              <w:spacing w:after="0"/>
              <w:ind w:left="100" w:right="100"/>
              <w:jc w:val="right"/>
            </w:pPr>
            <w:r>
              <w:rPr>
                <w:rFonts w:eastAsia="Century Gothic" w:cs="Century Gothic"/>
                <w:color w:val="000000"/>
                <w:sz w:val="18"/>
                <w:szCs w:val="18"/>
              </w:rPr>
              <w:t>8</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C30FE0"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44E3E9" w14:textId="77777777" w:rsidR="001C19F3" w:rsidRDefault="001C19F3" w:rsidP="00521305">
            <w:pPr>
              <w:spacing w:after="0"/>
              <w:ind w:left="100" w:right="100"/>
              <w:jc w:val="right"/>
            </w:pPr>
            <w:r>
              <w:rPr>
                <w:rFonts w:eastAsia="Century Gothic" w:cs="Century Gothic"/>
                <w:color w:val="000000"/>
                <w:sz w:val="18"/>
                <w:szCs w:val="18"/>
              </w:rPr>
              <w:t>33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E82BD3" w14:textId="77777777" w:rsidR="001C19F3" w:rsidRDefault="001C19F3" w:rsidP="00521305">
            <w:pPr>
              <w:spacing w:after="0"/>
              <w:ind w:left="100" w:right="100"/>
              <w:jc w:val="right"/>
            </w:pPr>
            <w:r>
              <w:rPr>
                <w:rFonts w:eastAsia="Century Gothic" w:cs="Century Gothic"/>
                <w:color w:val="000000"/>
                <w:sz w:val="18"/>
                <w:szCs w:val="18"/>
              </w:rPr>
              <w:t>36</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E610BF" w14:textId="77777777" w:rsidR="001C19F3" w:rsidRDefault="001C19F3" w:rsidP="00521305">
            <w:pPr>
              <w:spacing w:after="0"/>
              <w:ind w:left="100" w:right="100"/>
              <w:jc w:val="right"/>
            </w:pPr>
            <w:r>
              <w:rPr>
                <w:rFonts w:eastAsia="Century Gothic" w:cs="Century Gothic"/>
                <w:color w:val="000000"/>
                <w:sz w:val="18"/>
                <w:szCs w:val="18"/>
              </w:rPr>
              <w:t>3</w:t>
            </w:r>
          </w:p>
        </w:tc>
        <w:tc>
          <w:tcPr>
            <w:tcW w:w="122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D5A16" w14:textId="77777777" w:rsidR="001C19F3" w:rsidRDefault="001C19F3" w:rsidP="00521305">
            <w:pPr>
              <w:spacing w:after="0"/>
              <w:ind w:left="100" w:right="100"/>
              <w:jc w:val="right"/>
            </w:pPr>
            <w:r>
              <w:rPr>
                <w:rFonts w:eastAsia="Century Gothic" w:cs="Century Gothic"/>
                <w:color w:val="000000"/>
                <w:sz w:val="18"/>
                <w:szCs w:val="18"/>
              </w:rPr>
              <w:t>5</w:t>
            </w:r>
          </w:p>
        </w:tc>
      </w:tr>
    </w:tbl>
    <w:p w14:paraId="110BEED1" w14:textId="77777777" w:rsidR="001C19F3" w:rsidRDefault="001C19F3" w:rsidP="001C19F3">
      <w:pPr>
        <w:pStyle w:val="Chartortablefootnote"/>
        <w:rPr>
          <w:rFonts w:cstheme="minorBidi"/>
          <w:szCs w:val="20"/>
        </w:rPr>
      </w:pPr>
      <w:r>
        <w:t>Source: Practice survey R2, Nov 2018-Mar 2019, question 31.</w:t>
      </w:r>
    </w:p>
    <w:p w14:paraId="11D5775C" w14:textId="77777777" w:rsidR="001C19F3" w:rsidRDefault="001C19F3" w:rsidP="001C19F3">
      <w:pPr>
        <w:spacing w:after="160" w:line="259" w:lineRule="auto"/>
      </w:pPr>
      <w:r>
        <w:br w:type="page"/>
      </w:r>
    </w:p>
    <w:p w14:paraId="4550B713" w14:textId="77777777" w:rsidR="001C19F3" w:rsidRDefault="001C19F3" w:rsidP="001C19F3">
      <w:pPr>
        <w:pStyle w:val="Caption1"/>
      </w:pPr>
      <w:bookmarkStart w:id="577" w:name="_Ref22640462"/>
      <w:r>
        <w:lastRenderedPageBreak/>
        <w:t xml:space="preserve">Table </w:t>
      </w:r>
      <w:r>
        <w:fldChar w:fldCharType="begin"/>
      </w:r>
      <w:r>
        <w:instrText>SEQ Table \* ARABIC</w:instrText>
      </w:r>
      <w:r>
        <w:fldChar w:fldCharType="separate"/>
      </w:r>
      <w:r>
        <w:rPr>
          <w:noProof/>
        </w:rPr>
        <w:t>57</w:t>
      </w:r>
      <w:r>
        <w:fldChar w:fldCharType="end"/>
      </w:r>
      <w:r>
        <w:t xml:space="preserve"> – Other comments about implementing HCH in the practice (including responses from withdrawn practices)</w:t>
      </w:r>
      <w:bookmarkEnd w:id="577"/>
    </w:p>
    <w:tbl>
      <w:tblPr>
        <w:tblW w:w="0" w:type="auto"/>
        <w:jc w:val="center"/>
        <w:tblLayout w:type="fixed"/>
        <w:tblLook w:val="04A0" w:firstRow="1" w:lastRow="0" w:firstColumn="1" w:lastColumn="0" w:noHBand="0" w:noVBand="1"/>
      </w:tblPr>
      <w:tblGrid>
        <w:gridCol w:w="5460"/>
        <w:gridCol w:w="1382"/>
        <w:gridCol w:w="138"/>
        <w:gridCol w:w="5460"/>
        <w:gridCol w:w="1382"/>
      </w:tblGrid>
      <w:tr w:rsidR="001C19F3" w14:paraId="0EB99C03" w14:textId="77777777" w:rsidTr="00521305">
        <w:trPr>
          <w:cantSplit/>
          <w:trHeight w:val="20"/>
          <w:tblHeader/>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48C25A6"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8D31A9" w14:textId="77777777" w:rsidR="001C19F3" w:rsidRDefault="001C19F3" w:rsidP="00521305">
            <w:pPr>
              <w:spacing w:after="0"/>
              <w:jc w:val="center"/>
            </w:pPr>
            <w:r>
              <w:rPr>
                <w:rFonts w:eastAsia="Century Gothic" w:cs="Century Gothic"/>
                <w:b/>
                <w:color w:val="FFFFFF"/>
                <w:sz w:val="18"/>
                <w:szCs w:val="18"/>
              </w:rPr>
              <w:t>n (%)</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hideMark/>
          </w:tcPr>
          <w:p w14:paraId="76B710DC" w14:textId="77777777" w:rsidR="001C19F3" w:rsidRDefault="001C19F3" w:rsidP="00521305">
            <w:pPr>
              <w:spacing w:after="0"/>
              <w:jc w:val="center"/>
            </w:pPr>
            <w:r>
              <w:rPr>
                <w:rFonts w:eastAsia="Century Gothic" w:cs="Century Gothic"/>
                <w:b/>
                <w:color w:val="FFFFFF"/>
                <w:sz w:val="18"/>
                <w:szCs w:val="18"/>
              </w:rPr>
              <w:t xml:space="preserve"> </w:t>
            </w:r>
          </w:p>
        </w:tc>
        <w:tc>
          <w:tcPr>
            <w:tcW w:w="546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80EBA69" w14:textId="77777777" w:rsidR="001C19F3" w:rsidRDefault="001C19F3" w:rsidP="00521305">
            <w:pPr>
              <w:spacing w:after="0"/>
              <w:jc w:val="center"/>
            </w:pPr>
            <w:r>
              <w:rPr>
                <w:rFonts w:eastAsia="Century Gothic" w:cs="Century Gothic"/>
                <w:b/>
                <w:color w:val="FFFFFF"/>
                <w:sz w:val="18"/>
                <w:szCs w:val="18"/>
              </w:rPr>
              <w:t>Response</w:t>
            </w:r>
          </w:p>
        </w:tc>
        <w:tc>
          <w:tcPr>
            <w:tcW w:w="138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8123CF7" w14:textId="77777777" w:rsidR="001C19F3" w:rsidRDefault="001C19F3" w:rsidP="00521305">
            <w:pPr>
              <w:spacing w:after="0"/>
              <w:jc w:val="center"/>
            </w:pPr>
            <w:r>
              <w:rPr>
                <w:rFonts w:eastAsia="Century Gothic" w:cs="Century Gothic"/>
                <w:b/>
                <w:color w:val="FFFFFF"/>
                <w:sz w:val="18"/>
                <w:szCs w:val="18"/>
              </w:rPr>
              <w:t>n (%)</w:t>
            </w:r>
          </w:p>
        </w:tc>
      </w:tr>
      <w:tr w:rsidR="001C19F3" w14:paraId="490184B0"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A2CF1F" w14:textId="77777777" w:rsidR="001C19F3" w:rsidRDefault="001C19F3" w:rsidP="00521305">
            <w:pPr>
              <w:spacing w:after="0"/>
              <w:ind w:left="100" w:right="100"/>
            </w:pPr>
            <w:r>
              <w:rPr>
                <w:rFonts w:eastAsia="Century Gothic" w:cs="Century Gothic"/>
                <w:color w:val="000000"/>
                <w:sz w:val="18"/>
                <w:szCs w:val="18"/>
              </w:rPr>
              <w:t>Reduce general administrative burden and streamline program processes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F09C4C" w14:textId="77777777" w:rsidR="001C19F3" w:rsidRDefault="001C19F3" w:rsidP="00521305">
            <w:pPr>
              <w:spacing w:after="0"/>
              <w:ind w:left="100" w:right="100"/>
              <w:jc w:val="right"/>
            </w:pPr>
            <w:r>
              <w:rPr>
                <w:rFonts w:eastAsia="Century Gothic" w:cs="Century Gothic"/>
                <w:color w:val="000000"/>
                <w:sz w:val="18"/>
                <w:szCs w:val="18"/>
              </w:rPr>
              <w:t>12 (11.4%)</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72A8E6C0"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A94291" w14:textId="77777777" w:rsidR="001C19F3" w:rsidRDefault="001C19F3" w:rsidP="00521305">
            <w:pPr>
              <w:spacing w:after="0"/>
              <w:ind w:left="100" w:right="100"/>
            </w:pPr>
            <w:r>
              <w:rPr>
                <w:rFonts w:eastAsia="Century Gothic" w:cs="Century Gothic"/>
                <w:color w:val="000000"/>
                <w:sz w:val="18"/>
                <w:szCs w:val="18"/>
              </w:rPr>
              <w:t>Simplify care planning process and/or make care plans more accessible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6BA763" w14:textId="77777777" w:rsidR="001C19F3" w:rsidRDefault="001C19F3" w:rsidP="00521305">
            <w:pPr>
              <w:spacing w:after="0"/>
              <w:ind w:left="100" w:right="100"/>
              <w:jc w:val="right"/>
            </w:pPr>
            <w:r>
              <w:rPr>
                <w:rFonts w:eastAsia="Century Gothic" w:cs="Century Gothic"/>
                <w:color w:val="000000"/>
                <w:sz w:val="18"/>
                <w:szCs w:val="18"/>
              </w:rPr>
              <w:t>4 (3.8%)</w:t>
            </w:r>
          </w:p>
        </w:tc>
      </w:tr>
      <w:tr w:rsidR="001C19F3" w14:paraId="0EDE6285"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4C3A5D" w14:textId="77777777" w:rsidR="001C19F3" w:rsidRDefault="001C19F3" w:rsidP="00521305">
            <w:pPr>
              <w:spacing w:after="0"/>
              <w:ind w:left="100" w:right="100"/>
            </w:pPr>
            <w:r>
              <w:rPr>
                <w:rFonts w:eastAsia="Century Gothic" w:cs="Century Gothic"/>
                <w:color w:val="000000"/>
                <w:sz w:val="18"/>
                <w:szCs w:val="18"/>
              </w:rPr>
              <w:t>Additional support around IT software and troubleshooting and better integrated/implement IT software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67E73D" w14:textId="77777777" w:rsidR="001C19F3" w:rsidRDefault="001C19F3" w:rsidP="00521305">
            <w:pPr>
              <w:spacing w:after="0"/>
              <w:ind w:left="100" w:right="100"/>
              <w:jc w:val="right"/>
            </w:pPr>
            <w:r>
              <w:rPr>
                <w:rFonts w:eastAsia="Century Gothic" w:cs="Century Gothic"/>
                <w:color w:val="000000"/>
                <w:sz w:val="18"/>
                <w:szCs w:val="18"/>
              </w:rPr>
              <w:t>8 (7.6%)</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621EE6C0"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873A8D" w14:textId="77777777" w:rsidR="001C19F3" w:rsidRDefault="001C19F3" w:rsidP="00521305">
            <w:pPr>
              <w:spacing w:after="0"/>
              <w:ind w:left="100" w:right="100"/>
            </w:pPr>
            <w:r>
              <w:rPr>
                <w:rFonts w:eastAsia="Century Gothic" w:cs="Century Gothic"/>
                <w:color w:val="000000"/>
                <w:sz w:val="18"/>
                <w:szCs w:val="18"/>
              </w:rPr>
              <w:t>Additional training</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DE1528" w14:textId="77777777" w:rsidR="001C19F3" w:rsidRDefault="001C19F3" w:rsidP="00521305">
            <w:pPr>
              <w:spacing w:after="0"/>
              <w:ind w:left="100" w:right="100"/>
              <w:jc w:val="right"/>
            </w:pPr>
            <w:r>
              <w:rPr>
                <w:rFonts w:eastAsia="Century Gothic" w:cs="Century Gothic"/>
                <w:color w:val="000000"/>
                <w:sz w:val="18"/>
                <w:szCs w:val="18"/>
              </w:rPr>
              <w:t>3 (2.9%)</w:t>
            </w:r>
          </w:p>
        </w:tc>
      </w:tr>
      <w:tr w:rsidR="001C19F3" w14:paraId="00D1E329"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764AA2" w14:textId="77777777" w:rsidR="001C19F3" w:rsidRDefault="001C19F3" w:rsidP="00521305">
            <w:pPr>
              <w:spacing w:after="0"/>
              <w:ind w:left="100" w:right="100"/>
            </w:pPr>
            <w:r>
              <w:rPr>
                <w:rFonts w:eastAsia="Century Gothic" w:cs="Century Gothic"/>
                <w:color w:val="000000"/>
                <w:sz w:val="18"/>
                <w:szCs w:val="18"/>
              </w:rPr>
              <w:t>Simplify enrolment process and provide additional training/support</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19D2D0" w14:textId="77777777" w:rsidR="001C19F3" w:rsidRDefault="001C19F3" w:rsidP="00521305">
            <w:pPr>
              <w:spacing w:after="0"/>
              <w:ind w:left="100" w:right="100"/>
              <w:jc w:val="right"/>
            </w:pPr>
            <w:r>
              <w:rPr>
                <w:rFonts w:eastAsia="Century Gothic" w:cs="Century Gothic"/>
                <w:color w:val="000000"/>
                <w:sz w:val="18"/>
                <w:szCs w:val="18"/>
              </w:rPr>
              <w:t>8 (7.6%)</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7EB9449C"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8A06B7" w14:textId="77777777" w:rsidR="001C19F3" w:rsidRDefault="001C19F3" w:rsidP="00521305">
            <w:pPr>
              <w:spacing w:after="0"/>
              <w:ind w:left="100" w:right="100"/>
            </w:pPr>
            <w:r>
              <w:rPr>
                <w:rFonts w:eastAsia="Century Gothic" w:cs="Century Gothic"/>
                <w:color w:val="000000"/>
                <w:sz w:val="18"/>
                <w:szCs w:val="18"/>
              </w:rPr>
              <w:t>Improve communication and accessibility between practices and the PHN facilitators, IT vendors, and/or government</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305FA3" w14:textId="77777777" w:rsidR="001C19F3" w:rsidRDefault="001C19F3" w:rsidP="00521305">
            <w:pPr>
              <w:spacing w:after="0"/>
              <w:ind w:left="100" w:right="100"/>
              <w:jc w:val="right"/>
            </w:pPr>
            <w:r>
              <w:rPr>
                <w:rFonts w:eastAsia="Century Gothic" w:cs="Century Gothic"/>
                <w:color w:val="000000"/>
                <w:sz w:val="18"/>
                <w:szCs w:val="18"/>
              </w:rPr>
              <w:t>3 (2.9%)</w:t>
            </w:r>
          </w:p>
        </w:tc>
      </w:tr>
      <w:tr w:rsidR="001C19F3" w14:paraId="20293EB3"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044170" w14:textId="77777777" w:rsidR="001C19F3" w:rsidRDefault="001C19F3" w:rsidP="00521305">
            <w:pPr>
              <w:spacing w:after="0"/>
              <w:ind w:left="100" w:right="100"/>
            </w:pPr>
            <w:r>
              <w:rPr>
                <w:rFonts w:eastAsia="Century Gothic" w:cs="Century Gothic"/>
                <w:color w:val="000000"/>
                <w:sz w:val="18"/>
                <w:szCs w:val="18"/>
              </w:rPr>
              <w:t>More guidance, structure, and/or organization around the program</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4F193E" w14:textId="77777777" w:rsidR="001C19F3" w:rsidRDefault="001C19F3" w:rsidP="00521305">
            <w:pPr>
              <w:spacing w:after="0"/>
              <w:ind w:left="100" w:right="100"/>
              <w:jc w:val="right"/>
            </w:pPr>
            <w:r>
              <w:rPr>
                <w:rFonts w:eastAsia="Century Gothic" w:cs="Century Gothic"/>
                <w:color w:val="000000"/>
                <w:sz w:val="18"/>
                <w:szCs w:val="18"/>
              </w:rPr>
              <w:t>5 (4.8%)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42881D4D"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D8F6E3" w14:textId="77777777" w:rsidR="001C19F3" w:rsidRDefault="001C19F3" w:rsidP="00521305">
            <w:pPr>
              <w:spacing w:after="0"/>
              <w:ind w:left="100" w:right="100"/>
            </w:pPr>
            <w:r>
              <w:rPr>
                <w:rFonts w:eastAsia="Century Gothic" w:cs="Century Gothic"/>
                <w:color w:val="000000"/>
                <w:sz w:val="18"/>
                <w:szCs w:val="18"/>
              </w:rPr>
              <w:t>Additional focus on GP education and engagement</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8457CD" w14:textId="77777777" w:rsidR="001C19F3" w:rsidRDefault="001C19F3" w:rsidP="00521305">
            <w:pPr>
              <w:spacing w:after="0"/>
              <w:ind w:left="100" w:right="100"/>
              <w:jc w:val="right"/>
            </w:pPr>
            <w:r>
              <w:rPr>
                <w:rFonts w:eastAsia="Century Gothic" w:cs="Century Gothic"/>
                <w:color w:val="000000"/>
                <w:sz w:val="18"/>
                <w:szCs w:val="18"/>
              </w:rPr>
              <w:t>2 (1.9%)</w:t>
            </w:r>
          </w:p>
        </w:tc>
      </w:tr>
      <w:tr w:rsidR="001C19F3" w14:paraId="626DDBCC"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5709CE" w14:textId="77777777" w:rsidR="001C19F3" w:rsidRDefault="001C19F3" w:rsidP="00521305">
            <w:pPr>
              <w:spacing w:after="0"/>
              <w:ind w:left="100" w:right="100"/>
            </w:pPr>
            <w:r>
              <w:rPr>
                <w:rFonts w:eastAsia="Century Gothic" w:cs="Century Gothic"/>
                <w:color w:val="000000"/>
                <w:sz w:val="18"/>
                <w:szCs w:val="18"/>
              </w:rPr>
              <w:t>Provide additional funding</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200731" w14:textId="77777777" w:rsidR="001C19F3" w:rsidRDefault="001C19F3" w:rsidP="00521305">
            <w:pPr>
              <w:spacing w:after="0"/>
              <w:ind w:left="100" w:right="100"/>
              <w:jc w:val="right"/>
            </w:pPr>
            <w:r>
              <w:rPr>
                <w:rFonts w:eastAsia="Century Gothic" w:cs="Century Gothic"/>
                <w:color w:val="000000"/>
                <w:sz w:val="18"/>
                <w:szCs w:val="18"/>
              </w:rPr>
              <w:t>5 (4.8%)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6C0B719"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3CFAD2" w14:textId="77777777" w:rsidR="001C19F3" w:rsidRDefault="001C19F3" w:rsidP="00521305">
            <w:pPr>
              <w:spacing w:after="0"/>
              <w:ind w:left="100" w:right="100"/>
            </w:pPr>
            <w:r>
              <w:rPr>
                <w:rFonts w:eastAsia="Century Gothic" w:cs="Century Gothic"/>
                <w:color w:val="000000"/>
                <w:sz w:val="18"/>
                <w:szCs w:val="18"/>
              </w:rPr>
              <w:t>Increase awareness and knowledge of the program</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6F21BC" w14:textId="77777777" w:rsidR="001C19F3" w:rsidRDefault="001C19F3" w:rsidP="00521305">
            <w:pPr>
              <w:spacing w:after="0"/>
              <w:ind w:left="100" w:right="100"/>
              <w:jc w:val="right"/>
            </w:pPr>
            <w:r>
              <w:rPr>
                <w:rFonts w:eastAsia="Century Gothic" w:cs="Century Gothic"/>
                <w:color w:val="000000"/>
                <w:sz w:val="18"/>
                <w:szCs w:val="18"/>
              </w:rPr>
              <w:t>2 (1.9%)</w:t>
            </w:r>
          </w:p>
        </w:tc>
      </w:tr>
      <w:tr w:rsidR="001C19F3" w14:paraId="46BEB593"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960B49" w14:textId="77777777" w:rsidR="001C19F3" w:rsidRDefault="001C19F3" w:rsidP="00521305">
            <w:pPr>
              <w:spacing w:after="0"/>
              <w:ind w:left="100" w:right="100"/>
            </w:pPr>
            <w:r>
              <w:rPr>
                <w:rFonts w:eastAsia="Century Gothic" w:cs="Century Gothic"/>
                <w:color w:val="000000"/>
                <w:sz w:val="18"/>
                <w:szCs w:val="18"/>
              </w:rPr>
              <w:t>Simplify information, implementation process, and make training/education more concise</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3BB1C2" w14:textId="77777777" w:rsidR="001C19F3" w:rsidRDefault="001C19F3" w:rsidP="00521305">
            <w:pPr>
              <w:spacing w:after="0"/>
              <w:ind w:left="100" w:right="100"/>
              <w:jc w:val="right"/>
            </w:pPr>
            <w:r>
              <w:rPr>
                <w:rFonts w:eastAsia="Century Gothic" w:cs="Century Gothic"/>
                <w:color w:val="000000"/>
                <w:sz w:val="18"/>
                <w:szCs w:val="18"/>
              </w:rPr>
              <w:t>5 (4.8%)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B1F28D5"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6E468C" w14:textId="77777777" w:rsidR="001C19F3" w:rsidRDefault="001C19F3" w:rsidP="00521305">
            <w:pPr>
              <w:spacing w:after="0"/>
              <w:ind w:left="100" w:right="100"/>
            </w:pPr>
            <w:r>
              <w:rPr>
                <w:rFonts w:eastAsia="Century Gothic" w:cs="Century Gothic"/>
                <w:color w:val="000000"/>
                <w:sz w:val="18"/>
                <w:szCs w:val="18"/>
              </w:rPr>
              <w:t>More time reserved for clinicians and health professionals for program education, recruitment, implementation, etc.</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955A86" w14:textId="77777777" w:rsidR="001C19F3" w:rsidRDefault="001C19F3" w:rsidP="00521305">
            <w:pPr>
              <w:spacing w:after="0"/>
              <w:ind w:left="100" w:right="100"/>
              <w:jc w:val="right"/>
            </w:pPr>
            <w:r>
              <w:rPr>
                <w:rFonts w:eastAsia="Century Gothic" w:cs="Century Gothic"/>
                <w:color w:val="000000"/>
                <w:sz w:val="18"/>
                <w:szCs w:val="18"/>
              </w:rPr>
              <w:t>2 (1.9%)</w:t>
            </w:r>
          </w:p>
        </w:tc>
      </w:tr>
      <w:tr w:rsidR="001C19F3" w14:paraId="71BCB0A2"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489BA6" w14:textId="77777777" w:rsidR="001C19F3" w:rsidRDefault="001C19F3" w:rsidP="00521305">
            <w:pPr>
              <w:spacing w:after="0"/>
              <w:ind w:left="100" w:right="100"/>
            </w:pPr>
            <w:r>
              <w:rPr>
                <w:rFonts w:eastAsia="Century Gothic" w:cs="Century Gothic"/>
                <w:color w:val="000000"/>
                <w:sz w:val="18"/>
                <w:szCs w:val="18"/>
              </w:rPr>
              <w:t>Focus on individual practice issues, size, and specific patient population in order to successfully implement HCH</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880194" w14:textId="77777777" w:rsidR="001C19F3" w:rsidRDefault="001C19F3" w:rsidP="00521305">
            <w:pPr>
              <w:spacing w:after="0"/>
              <w:ind w:left="100" w:right="100"/>
              <w:jc w:val="right"/>
            </w:pPr>
            <w:r>
              <w:rPr>
                <w:rFonts w:eastAsia="Century Gothic" w:cs="Century Gothic"/>
                <w:color w:val="000000"/>
                <w:sz w:val="18"/>
                <w:szCs w:val="18"/>
              </w:rPr>
              <w:t>4 (3.8%)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4DB14F2D"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3744F8" w14:textId="77777777" w:rsidR="001C19F3" w:rsidRDefault="001C19F3" w:rsidP="00521305">
            <w:pPr>
              <w:spacing w:after="0"/>
              <w:ind w:left="100" w:right="100"/>
            </w:pPr>
            <w:r>
              <w:rPr>
                <w:rFonts w:eastAsia="Century Gothic" w:cs="Century Gothic"/>
                <w:color w:val="000000"/>
                <w:sz w:val="18"/>
                <w:szCs w:val="18"/>
              </w:rPr>
              <w:t>Lower enrolment requirements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5DACD8" w14:textId="77777777" w:rsidR="001C19F3" w:rsidRDefault="001C19F3" w:rsidP="00521305">
            <w:pPr>
              <w:spacing w:after="0"/>
              <w:ind w:left="100" w:right="100"/>
              <w:jc w:val="right"/>
            </w:pPr>
            <w:r>
              <w:rPr>
                <w:rFonts w:eastAsia="Century Gothic" w:cs="Century Gothic"/>
                <w:color w:val="000000"/>
                <w:sz w:val="18"/>
                <w:szCs w:val="18"/>
              </w:rPr>
              <w:t>1 (1.0%)</w:t>
            </w:r>
          </w:p>
        </w:tc>
      </w:tr>
      <w:tr w:rsidR="001C19F3" w14:paraId="35C033F7" w14:textId="77777777" w:rsidTr="00521305">
        <w:trPr>
          <w:cantSplit/>
          <w:trHeight w:val="20"/>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D132B5" w14:textId="77777777" w:rsidR="001C19F3" w:rsidRDefault="001C19F3" w:rsidP="00521305">
            <w:pPr>
              <w:spacing w:after="0"/>
              <w:ind w:left="100" w:right="100"/>
            </w:pPr>
            <w:r>
              <w:rPr>
                <w:rFonts w:eastAsia="Century Gothic" w:cs="Century Gothic"/>
                <w:color w:val="000000"/>
                <w:sz w:val="18"/>
                <w:szCs w:val="18"/>
              </w:rPr>
              <w:t>More transparency and guidance around requirements, program purpose, additional work required to implement HCH, updates, deadlines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932D55" w14:textId="77777777" w:rsidR="001C19F3" w:rsidRDefault="001C19F3" w:rsidP="00521305">
            <w:pPr>
              <w:spacing w:after="0"/>
              <w:ind w:left="100" w:right="100"/>
              <w:jc w:val="right"/>
            </w:pPr>
            <w:r>
              <w:rPr>
                <w:rFonts w:eastAsia="Century Gothic" w:cs="Century Gothic"/>
                <w:color w:val="000000"/>
                <w:sz w:val="18"/>
                <w:szCs w:val="18"/>
              </w:rPr>
              <w:t>4 (3.8%)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2B3EFF28"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F5CE0" w14:textId="77777777" w:rsidR="001C19F3" w:rsidRDefault="001C19F3" w:rsidP="00521305">
            <w:pPr>
              <w:spacing w:after="0"/>
              <w:ind w:left="100" w:right="100"/>
            </w:pPr>
            <w:r>
              <w:rPr>
                <w:rFonts w:eastAsia="Century Gothic" w:cs="Century Gothic"/>
                <w:color w:val="000000"/>
                <w:sz w:val="18"/>
                <w:szCs w:val="18"/>
              </w:rPr>
              <w:t>More initial support and training implementing the program</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2AD1D1" w14:textId="77777777" w:rsidR="001C19F3" w:rsidRDefault="001C19F3" w:rsidP="00521305">
            <w:pPr>
              <w:spacing w:after="0"/>
              <w:ind w:left="100" w:right="100"/>
              <w:jc w:val="right"/>
            </w:pPr>
            <w:r>
              <w:rPr>
                <w:rFonts w:eastAsia="Century Gothic" w:cs="Century Gothic"/>
                <w:color w:val="000000"/>
                <w:sz w:val="18"/>
                <w:szCs w:val="18"/>
              </w:rPr>
              <w:t>1 (1.0%)</w:t>
            </w:r>
          </w:p>
        </w:tc>
      </w:tr>
      <w:tr w:rsidR="001C19F3" w14:paraId="24C1B145" w14:textId="77777777" w:rsidTr="00521305">
        <w:trPr>
          <w:cantSplit/>
          <w:trHeight w:val="283"/>
          <w:jc w:val="center"/>
        </w:trPr>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965A15" w14:textId="77777777" w:rsidR="001C19F3" w:rsidRDefault="001C19F3" w:rsidP="00521305">
            <w:pPr>
              <w:spacing w:after="0"/>
              <w:ind w:left="100" w:right="100"/>
            </w:pPr>
            <w:r>
              <w:rPr>
                <w:rFonts w:eastAsia="Century Gothic" w:cs="Century Gothic"/>
                <w:color w:val="000000"/>
                <w:sz w:val="18"/>
                <w:szCs w:val="18"/>
              </w:rPr>
              <w:t>Simplify and improve payment processes</w:t>
            </w: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0A98D2" w14:textId="77777777" w:rsidR="001C19F3" w:rsidRDefault="001C19F3" w:rsidP="00521305">
            <w:pPr>
              <w:spacing w:after="0"/>
              <w:ind w:left="100" w:right="100"/>
              <w:jc w:val="right"/>
            </w:pPr>
            <w:r>
              <w:rPr>
                <w:rFonts w:eastAsia="Century Gothic" w:cs="Century Gothic"/>
                <w:color w:val="000000"/>
                <w:sz w:val="18"/>
                <w:szCs w:val="18"/>
              </w:rPr>
              <w:t>4 (3.8%)</w:t>
            </w:r>
          </w:p>
        </w:tc>
        <w:tc>
          <w:tcPr>
            <w:tcW w:w="138" w:type="dxa"/>
            <w:tcBorders>
              <w:left w:val="single" w:sz="8" w:space="0" w:color="BFBFBF"/>
              <w:right w:val="single" w:sz="8" w:space="0" w:color="BFBFBF"/>
            </w:tcBorders>
            <w:shd w:val="clear" w:color="auto" w:fill="auto"/>
            <w:tcMar>
              <w:top w:w="0" w:type="dxa"/>
              <w:left w:w="0" w:type="dxa"/>
              <w:bottom w:w="0" w:type="dxa"/>
              <w:right w:w="0" w:type="dxa"/>
            </w:tcMar>
            <w:vAlign w:val="center"/>
          </w:tcPr>
          <w:p w14:paraId="199564D1" w14:textId="77777777" w:rsidR="001C19F3" w:rsidRDefault="001C19F3" w:rsidP="00521305">
            <w:pPr>
              <w:spacing w:after="0"/>
              <w:ind w:left="100" w:right="100"/>
              <w:jc w:val="right"/>
            </w:pPr>
          </w:p>
        </w:tc>
        <w:tc>
          <w:tcPr>
            <w:tcW w:w="54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496611" w14:textId="77777777" w:rsidR="001C19F3" w:rsidRDefault="001C19F3" w:rsidP="00521305">
            <w:pPr>
              <w:spacing w:after="0"/>
              <w:ind w:left="100" w:right="100"/>
            </w:pPr>
          </w:p>
        </w:tc>
        <w:tc>
          <w:tcPr>
            <w:tcW w:w="138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DD603D" w14:textId="77777777" w:rsidR="001C19F3" w:rsidRDefault="001C19F3" w:rsidP="00521305">
            <w:pPr>
              <w:spacing w:after="0"/>
              <w:ind w:left="100" w:right="100"/>
              <w:jc w:val="right"/>
            </w:pPr>
          </w:p>
        </w:tc>
      </w:tr>
    </w:tbl>
    <w:p w14:paraId="35BA64E2" w14:textId="77777777" w:rsidR="001C19F3" w:rsidRDefault="001C19F3" w:rsidP="001C19F3">
      <w:pPr>
        <w:pStyle w:val="Chartortablefootnote"/>
        <w:rPr>
          <w:rFonts w:cstheme="minorBidi"/>
          <w:szCs w:val="20"/>
        </w:rPr>
      </w:pPr>
      <w:r>
        <w:t>Source: Practice survey R2, Nov 2018-Mar 2019, question 32.</w:t>
      </w:r>
    </w:p>
    <w:p w14:paraId="4ABD0127" w14:textId="77777777" w:rsidR="001C19F3" w:rsidRDefault="001C19F3" w:rsidP="001C19F3">
      <w:pPr>
        <w:spacing w:after="0" w:line="259" w:lineRule="auto"/>
        <w:rPr>
          <w:rFonts w:eastAsiaTheme="majorEastAsia" w:cstheme="majorBidi"/>
          <w:color w:val="003D79"/>
          <w:sz w:val="60"/>
          <w:szCs w:val="32"/>
        </w:rPr>
      </w:pPr>
      <w:r>
        <w:br w:type="page"/>
      </w:r>
    </w:p>
    <w:p w14:paraId="4FE200D8" w14:textId="77777777" w:rsidR="001C19F3" w:rsidRDefault="001C19F3" w:rsidP="001C19F3">
      <w:pPr>
        <w:pStyle w:val="Appendix"/>
        <w:spacing w:after="0"/>
        <w:sectPr w:rsidR="001C19F3" w:rsidSect="00521305">
          <w:footerReference w:type="default" r:id="rId178"/>
          <w:footerReference w:type="first" r:id="rId179"/>
          <w:pgSz w:w="16838" w:h="11906" w:orient="landscape"/>
          <w:pgMar w:top="1440" w:right="1440" w:bottom="1440" w:left="1440" w:header="708" w:footer="708" w:gutter="0"/>
          <w:cols w:space="708"/>
          <w:titlePg/>
          <w:docGrid w:linePitch="360"/>
        </w:sectPr>
      </w:pPr>
      <w:bookmarkStart w:id="578" w:name="_Toc27058969"/>
    </w:p>
    <w:p w14:paraId="2C4749D8" w14:textId="77777777" w:rsidR="001C19F3" w:rsidRPr="00EC447D" w:rsidRDefault="001C19F3" w:rsidP="001C19F3">
      <w:pPr>
        <w:pStyle w:val="Appendix"/>
        <w:spacing w:after="0"/>
        <w:rPr>
          <w:i/>
          <w:sz w:val="16"/>
          <w:szCs w:val="16"/>
        </w:rPr>
      </w:pPr>
      <w:r>
        <w:lastRenderedPageBreak/>
        <w:t>Appendix 2 – Practice staff surveys: Additional tables and figures</w:t>
      </w:r>
      <w:bookmarkEnd w:id="578"/>
    </w:p>
    <w:p w14:paraId="45E8A21C" w14:textId="77777777" w:rsidR="001C19F3" w:rsidRDefault="001C19F3" w:rsidP="001C19F3">
      <w:pPr>
        <w:spacing w:after="0"/>
      </w:pPr>
    </w:p>
    <w:p w14:paraId="089FE052" w14:textId="77777777" w:rsidR="001C19F3" w:rsidRDefault="001C19F3" w:rsidP="001C19F3">
      <w:pPr>
        <w:pStyle w:val="Caption1"/>
      </w:pPr>
      <w:bookmarkStart w:id="579" w:name="_Ref22650925"/>
      <w:bookmarkStart w:id="580" w:name="_Ref22640701"/>
      <w:r>
        <w:t xml:space="preserve">Table </w:t>
      </w:r>
      <w:r>
        <w:fldChar w:fldCharType="begin"/>
      </w:r>
      <w:r>
        <w:instrText>SEQ Table \* ARABIC</w:instrText>
      </w:r>
      <w:r>
        <w:fldChar w:fldCharType="separate"/>
      </w:r>
      <w:r>
        <w:rPr>
          <w:noProof/>
        </w:rPr>
        <w:t>58</w:t>
      </w:r>
      <w:r>
        <w:fldChar w:fldCharType="end"/>
      </w:r>
      <w:bookmarkEnd w:id="579"/>
      <w:r>
        <w:t xml:space="preserve"> – Agreement with statements about the primary care team, baseline</w:t>
      </w:r>
      <w:bookmarkEnd w:id="580"/>
    </w:p>
    <w:tbl>
      <w:tblPr>
        <w:tblW w:w="5000" w:type="pct"/>
        <w:jc w:val="center"/>
        <w:tblLook w:val="04A0" w:firstRow="1" w:lastRow="0" w:firstColumn="1" w:lastColumn="0" w:noHBand="0" w:noVBand="1"/>
      </w:tblPr>
      <w:tblGrid>
        <w:gridCol w:w="5574"/>
        <w:gridCol w:w="1394"/>
        <w:gridCol w:w="1394"/>
        <w:gridCol w:w="1394"/>
        <w:gridCol w:w="1394"/>
        <w:gridCol w:w="1394"/>
        <w:gridCol w:w="1394"/>
      </w:tblGrid>
      <w:tr w:rsidR="001C19F3" w14:paraId="2589FE96" w14:textId="77777777" w:rsidTr="00521305">
        <w:trPr>
          <w:cantSplit/>
          <w:trHeight w:val="336"/>
          <w:tblHeader/>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6D5C96" w14:textId="77777777" w:rsidR="001C19F3" w:rsidRDefault="001C19F3" w:rsidP="00521305">
            <w:pPr>
              <w:spacing w:after="0"/>
              <w:jc w:val="center"/>
            </w:pPr>
            <w:r>
              <w:rPr>
                <w:rFonts w:eastAsia="Century Gothic" w:cs="Century Gothic"/>
                <w:b/>
                <w:color w:val="FFFFFF"/>
                <w:sz w:val="18"/>
                <w:szCs w:val="18"/>
              </w:rPr>
              <w:t>Response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685EC8B" w14:textId="77777777" w:rsidR="001C19F3" w:rsidRDefault="001C19F3" w:rsidP="00521305">
            <w:pPr>
              <w:spacing w:after="0"/>
              <w:jc w:val="center"/>
            </w:pPr>
            <w:r>
              <w:rPr>
                <w:rFonts w:eastAsia="Century Gothic" w:cs="Century Gothic"/>
                <w:b/>
                <w:color w:val="FFFFFF"/>
                <w:sz w:val="18"/>
                <w:szCs w:val="18"/>
              </w:rPr>
              <w:t>Agree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AD04253" w14:textId="77777777" w:rsidR="001C19F3" w:rsidRDefault="001C19F3" w:rsidP="00521305">
            <w:pPr>
              <w:spacing w:after="0"/>
              <w:jc w:val="center"/>
            </w:pPr>
            <w:r>
              <w:rPr>
                <w:rFonts w:eastAsia="Century Gothic" w:cs="Century Gothic"/>
                <w:b/>
                <w:color w:val="FFFFFF"/>
                <w:sz w:val="18"/>
                <w:szCs w:val="18"/>
              </w:rPr>
              <w:t>Somewhat agree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28D3BFA" w14:textId="77777777" w:rsidR="001C19F3" w:rsidRDefault="001C19F3" w:rsidP="00521305">
            <w:pPr>
              <w:spacing w:after="0"/>
              <w:jc w:val="center"/>
            </w:pPr>
            <w:r>
              <w:rPr>
                <w:rFonts w:eastAsia="Century Gothic" w:cs="Century Gothic"/>
                <w:b/>
                <w:color w:val="FFFFFF"/>
                <w:sz w:val="18"/>
                <w:szCs w:val="18"/>
              </w:rPr>
              <w:t>Neither agree nor disagree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42A6C8" w14:textId="77777777" w:rsidR="001C19F3" w:rsidRDefault="001C19F3" w:rsidP="00521305">
            <w:pPr>
              <w:spacing w:after="0"/>
              <w:jc w:val="center"/>
            </w:pPr>
            <w:r>
              <w:rPr>
                <w:rFonts w:eastAsia="Century Gothic" w:cs="Century Gothic"/>
                <w:b/>
                <w:color w:val="FFFFFF"/>
                <w:sz w:val="18"/>
                <w:szCs w:val="18"/>
              </w:rPr>
              <w:t>Somewhat disagree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B053301" w14:textId="77777777" w:rsidR="001C19F3" w:rsidRDefault="001C19F3" w:rsidP="00521305">
            <w:pPr>
              <w:spacing w:after="0"/>
              <w:jc w:val="center"/>
            </w:pPr>
            <w:r>
              <w:rPr>
                <w:rFonts w:eastAsia="Century Gothic" w:cs="Century Gothic"/>
                <w:b/>
                <w:color w:val="FFFFFF"/>
                <w:sz w:val="18"/>
                <w:szCs w:val="18"/>
              </w:rPr>
              <w:t>Disagree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18279DE"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68424897"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F8782A" w14:textId="77777777" w:rsidR="001C19F3" w:rsidRDefault="001C19F3" w:rsidP="00521305">
            <w:pPr>
              <w:spacing w:after="0"/>
              <w:ind w:left="100" w:right="100"/>
            </w:pPr>
            <w:r>
              <w:rPr>
                <w:rFonts w:eastAsia="Century Gothic" w:cs="Century Gothic"/>
                <w:color w:val="000000"/>
                <w:sz w:val="18"/>
                <w:szCs w:val="18"/>
              </w:rPr>
              <w:t>... agrees with statements about the primary care team and patients sharing responsibility for managing patients' health</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26BB87" w14:textId="77777777" w:rsidR="001C19F3" w:rsidRDefault="001C19F3" w:rsidP="00521305">
            <w:pPr>
              <w:spacing w:after="0"/>
              <w:ind w:left="100" w:right="100"/>
              <w:jc w:val="right"/>
            </w:pPr>
            <w:r>
              <w:rPr>
                <w:rFonts w:eastAsia="Century Gothic" w:cs="Century Gothic"/>
                <w:color w:val="000000"/>
                <w:sz w:val="18"/>
                <w:szCs w:val="18"/>
              </w:rPr>
              <w:t>313 (75.8%)</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F4DC78" w14:textId="77777777" w:rsidR="001C19F3" w:rsidRDefault="001C19F3" w:rsidP="00521305">
            <w:pPr>
              <w:spacing w:after="0"/>
              <w:ind w:left="100" w:right="100"/>
              <w:jc w:val="right"/>
            </w:pPr>
            <w:r>
              <w:rPr>
                <w:rFonts w:eastAsia="Century Gothic" w:cs="Century Gothic"/>
                <w:color w:val="000000"/>
                <w:sz w:val="18"/>
                <w:szCs w:val="18"/>
              </w:rPr>
              <w:t>76 (18.4%)</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BACACE" w14:textId="77777777" w:rsidR="001C19F3" w:rsidRDefault="001C19F3" w:rsidP="00521305">
            <w:pPr>
              <w:spacing w:after="0"/>
              <w:ind w:left="100" w:right="100"/>
              <w:jc w:val="right"/>
            </w:pPr>
            <w:r>
              <w:rPr>
                <w:rFonts w:eastAsia="Century Gothic" w:cs="Century Gothic"/>
                <w:color w:val="000000"/>
                <w:sz w:val="18"/>
                <w:szCs w:val="18"/>
              </w:rPr>
              <w:t>16 (3.9%)</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02E0D5" w14:textId="77777777" w:rsidR="001C19F3" w:rsidRDefault="001C19F3" w:rsidP="00521305">
            <w:pPr>
              <w:spacing w:after="0"/>
              <w:ind w:left="100" w:right="100"/>
              <w:jc w:val="right"/>
            </w:pPr>
            <w:r>
              <w:rPr>
                <w:rFonts w:eastAsia="Century Gothic" w:cs="Century Gothic"/>
                <w:color w:val="000000"/>
                <w:sz w:val="18"/>
                <w:szCs w:val="18"/>
              </w:rPr>
              <w:t>7 (1.7%)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78145D" w14:textId="77777777" w:rsidR="001C19F3" w:rsidRDefault="001C19F3" w:rsidP="00521305">
            <w:pPr>
              <w:spacing w:after="0"/>
              <w:ind w:left="100" w:right="100"/>
              <w:jc w:val="right"/>
            </w:pPr>
            <w:r>
              <w:rPr>
                <w:rFonts w:eastAsia="Century Gothic" w:cs="Century Gothic"/>
                <w:color w:val="000000"/>
                <w:sz w:val="18"/>
                <w:szCs w:val="18"/>
              </w:rPr>
              <w:t>1 (0.2%)</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B1EF9D" w14:textId="77777777" w:rsidR="001C19F3" w:rsidRDefault="001C19F3" w:rsidP="00521305">
            <w:pPr>
              <w:spacing w:after="0"/>
              <w:ind w:left="100" w:right="100"/>
              <w:jc w:val="right"/>
            </w:pPr>
            <w:r>
              <w:rPr>
                <w:rFonts w:eastAsia="Century Gothic" w:cs="Century Gothic"/>
                <w:color w:val="000000"/>
                <w:sz w:val="18"/>
                <w:szCs w:val="18"/>
              </w:rPr>
              <w:t>12</w:t>
            </w:r>
          </w:p>
        </w:tc>
      </w:tr>
      <w:tr w:rsidR="001C19F3" w14:paraId="3A306DDC"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E7B653" w14:textId="77777777" w:rsidR="001C19F3" w:rsidRDefault="001C19F3" w:rsidP="00521305">
            <w:pPr>
              <w:spacing w:after="0"/>
              <w:ind w:left="100" w:right="100"/>
            </w:pPr>
            <w:r>
              <w:rPr>
                <w:rFonts w:eastAsia="Century Gothic" w:cs="Century Gothic"/>
                <w:color w:val="000000"/>
                <w:sz w:val="18"/>
                <w:szCs w:val="18"/>
              </w:rPr>
              <w:t>... is made up of members with clearly defined roles, such as responsibility for patient self-management education, proactive follow up, and resource coordination</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4A7674" w14:textId="77777777" w:rsidR="001C19F3" w:rsidRDefault="001C19F3" w:rsidP="00521305">
            <w:pPr>
              <w:spacing w:after="0"/>
              <w:ind w:left="100" w:right="100"/>
              <w:jc w:val="right"/>
            </w:pPr>
            <w:r>
              <w:rPr>
                <w:rFonts w:eastAsia="Century Gothic" w:cs="Century Gothic"/>
                <w:color w:val="000000"/>
                <w:sz w:val="18"/>
                <w:szCs w:val="18"/>
              </w:rPr>
              <w:t>280 (68.3%)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AF13FC" w14:textId="77777777" w:rsidR="001C19F3" w:rsidRDefault="001C19F3" w:rsidP="00521305">
            <w:pPr>
              <w:spacing w:after="0"/>
              <w:ind w:left="100" w:right="100"/>
              <w:jc w:val="right"/>
            </w:pPr>
            <w:r>
              <w:rPr>
                <w:rFonts w:eastAsia="Century Gothic" w:cs="Century Gothic"/>
                <w:color w:val="000000"/>
                <w:sz w:val="18"/>
                <w:szCs w:val="18"/>
              </w:rPr>
              <w:t>98 (23.9%)</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9E8E34" w14:textId="77777777" w:rsidR="001C19F3" w:rsidRDefault="001C19F3" w:rsidP="00521305">
            <w:pPr>
              <w:spacing w:after="0"/>
              <w:ind w:left="100" w:right="100"/>
              <w:jc w:val="right"/>
            </w:pPr>
            <w:r>
              <w:rPr>
                <w:rFonts w:eastAsia="Century Gothic" w:cs="Century Gothic"/>
                <w:color w:val="000000"/>
                <w:sz w:val="18"/>
                <w:szCs w:val="18"/>
              </w:rPr>
              <w:t>13 (3.2%)</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C22AB2" w14:textId="77777777" w:rsidR="001C19F3" w:rsidRDefault="001C19F3" w:rsidP="00521305">
            <w:pPr>
              <w:spacing w:after="0"/>
              <w:ind w:left="100" w:right="100"/>
              <w:jc w:val="right"/>
            </w:pPr>
            <w:r>
              <w:rPr>
                <w:rFonts w:eastAsia="Century Gothic" w:cs="Century Gothic"/>
                <w:color w:val="000000"/>
                <w:sz w:val="18"/>
                <w:szCs w:val="18"/>
              </w:rPr>
              <w:t>15 (3.7%)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ECC548" w14:textId="77777777" w:rsidR="001C19F3" w:rsidRDefault="001C19F3" w:rsidP="00521305">
            <w:pPr>
              <w:spacing w:after="0"/>
              <w:ind w:left="100" w:right="100"/>
              <w:jc w:val="right"/>
            </w:pPr>
            <w:r>
              <w:rPr>
                <w:rFonts w:eastAsia="Century Gothic" w:cs="Century Gothic"/>
                <w:color w:val="000000"/>
                <w:sz w:val="18"/>
                <w:szCs w:val="18"/>
              </w:rPr>
              <w:t>4 (1.0%)</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593419" w14:textId="77777777" w:rsidR="001C19F3" w:rsidRDefault="001C19F3" w:rsidP="00521305">
            <w:pPr>
              <w:spacing w:after="0"/>
              <w:ind w:left="100" w:right="100"/>
              <w:jc w:val="right"/>
            </w:pPr>
            <w:r>
              <w:rPr>
                <w:rFonts w:eastAsia="Century Gothic" w:cs="Century Gothic"/>
                <w:color w:val="000000"/>
                <w:sz w:val="18"/>
                <w:szCs w:val="18"/>
              </w:rPr>
              <w:t>15</w:t>
            </w:r>
          </w:p>
        </w:tc>
      </w:tr>
      <w:tr w:rsidR="001C19F3" w14:paraId="510C077B"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F37566" w14:textId="77777777" w:rsidR="001C19F3" w:rsidRDefault="001C19F3" w:rsidP="00521305">
            <w:pPr>
              <w:spacing w:after="0"/>
              <w:ind w:left="100" w:right="100"/>
            </w:pPr>
            <w:r>
              <w:rPr>
                <w:rFonts w:eastAsia="Century Gothic" w:cs="Century Gothic"/>
                <w:color w:val="000000"/>
                <w:sz w:val="18"/>
                <w:szCs w:val="18"/>
              </w:rPr>
              <w:t>... works with patients to help them understand their roles and responsibilities in care</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BBA27" w14:textId="77777777" w:rsidR="001C19F3" w:rsidRDefault="001C19F3" w:rsidP="00521305">
            <w:pPr>
              <w:spacing w:after="0"/>
              <w:ind w:left="100" w:right="100"/>
              <w:jc w:val="right"/>
            </w:pPr>
            <w:r>
              <w:rPr>
                <w:rFonts w:eastAsia="Century Gothic" w:cs="Century Gothic"/>
                <w:color w:val="000000"/>
                <w:sz w:val="18"/>
                <w:szCs w:val="18"/>
              </w:rPr>
              <w:t>318 (77.8%)</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511374" w14:textId="77777777" w:rsidR="001C19F3" w:rsidRDefault="001C19F3" w:rsidP="00521305">
            <w:pPr>
              <w:spacing w:after="0"/>
              <w:ind w:left="100" w:right="100"/>
              <w:jc w:val="right"/>
            </w:pPr>
            <w:r>
              <w:rPr>
                <w:rFonts w:eastAsia="Century Gothic" w:cs="Century Gothic"/>
                <w:color w:val="000000"/>
                <w:sz w:val="18"/>
                <w:szCs w:val="18"/>
              </w:rPr>
              <w:t>72 (17.6%)</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642634" w14:textId="77777777" w:rsidR="001C19F3" w:rsidRDefault="001C19F3" w:rsidP="00521305">
            <w:pPr>
              <w:spacing w:after="0"/>
              <w:ind w:left="100" w:right="100"/>
              <w:jc w:val="right"/>
            </w:pPr>
            <w:r>
              <w:rPr>
                <w:rFonts w:eastAsia="Century Gothic" w:cs="Century Gothic"/>
                <w:color w:val="000000"/>
                <w:sz w:val="18"/>
                <w:szCs w:val="18"/>
              </w:rPr>
              <w:t>15 (3.7%)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1A634B" w14:textId="77777777" w:rsidR="001C19F3" w:rsidRDefault="001C19F3" w:rsidP="00521305">
            <w:pPr>
              <w:spacing w:after="0"/>
              <w:ind w:left="100" w:right="100"/>
              <w:jc w:val="right"/>
            </w:pPr>
            <w:r>
              <w:rPr>
                <w:rFonts w:eastAsia="Century Gothic" w:cs="Century Gothic"/>
                <w:color w:val="000000"/>
                <w:sz w:val="18"/>
                <w:szCs w:val="18"/>
              </w:rPr>
              <w:t>3 (0.7%)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601C40" w14:textId="77777777" w:rsidR="001C19F3" w:rsidRDefault="001C19F3" w:rsidP="00521305">
            <w:pPr>
              <w:spacing w:after="0"/>
              <w:ind w:left="100" w:right="100"/>
              <w:jc w:val="right"/>
            </w:pPr>
            <w:r>
              <w:rPr>
                <w:rFonts w:eastAsia="Century Gothic" w:cs="Century Gothic"/>
                <w:color w:val="000000"/>
                <w:sz w:val="18"/>
                <w:szCs w:val="18"/>
              </w:rPr>
              <w:t>1 (0.2%)</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287B38" w14:textId="77777777" w:rsidR="001C19F3" w:rsidRDefault="001C19F3" w:rsidP="00521305">
            <w:pPr>
              <w:spacing w:after="0"/>
              <w:ind w:left="100" w:right="100"/>
              <w:jc w:val="right"/>
            </w:pPr>
            <w:r>
              <w:rPr>
                <w:rFonts w:eastAsia="Century Gothic" w:cs="Century Gothic"/>
                <w:color w:val="000000"/>
                <w:sz w:val="18"/>
                <w:szCs w:val="18"/>
              </w:rPr>
              <w:t>16</w:t>
            </w:r>
          </w:p>
        </w:tc>
      </w:tr>
      <w:tr w:rsidR="001C19F3" w14:paraId="0AF94A6E"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87E85A" w14:textId="77777777" w:rsidR="001C19F3" w:rsidRDefault="001C19F3" w:rsidP="00521305">
            <w:pPr>
              <w:spacing w:after="0"/>
              <w:ind w:left="100" w:right="100"/>
            </w:pPr>
            <w:r>
              <w:rPr>
                <w:rFonts w:eastAsia="Century Gothic" w:cs="Century Gothic"/>
                <w:color w:val="000000"/>
                <w:sz w:val="18"/>
                <w:szCs w:val="18"/>
              </w:rPr>
              <w:t>...is characterised by collaboration and trust.</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E9A966" w14:textId="77777777" w:rsidR="001C19F3" w:rsidRDefault="001C19F3" w:rsidP="00521305">
            <w:pPr>
              <w:spacing w:after="0"/>
              <w:ind w:left="100" w:right="100"/>
              <w:jc w:val="right"/>
            </w:pPr>
            <w:r>
              <w:rPr>
                <w:rFonts w:eastAsia="Century Gothic" w:cs="Century Gothic"/>
                <w:color w:val="000000"/>
                <w:sz w:val="18"/>
                <w:szCs w:val="18"/>
              </w:rPr>
              <w:t>326 (79.7%)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148CB0" w14:textId="77777777" w:rsidR="001C19F3" w:rsidRDefault="001C19F3" w:rsidP="00521305">
            <w:pPr>
              <w:spacing w:after="0"/>
              <w:ind w:left="100" w:right="100"/>
              <w:jc w:val="right"/>
            </w:pPr>
            <w:r>
              <w:rPr>
                <w:rFonts w:eastAsia="Century Gothic" w:cs="Century Gothic"/>
                <w:color w:val="000000"/>
                <w:sz w:val="18"/>
                <w:szCs w:val="18"/>
              </w:rPr>
              <w:t>63 (15.4%)</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662596" w14:textId="77777777" w:rsidR="001C19F3" w:rsidRDefault="001C19F3" w:rsidP="00521305">
            <w:pPr>
              <w:spacing w:after="0"/>
              <w:ind w:left="100" w:right="100"/>
              <w:jc w:val="right"/>
            </w:pPr>
            <w:r>
              <w:rPr>
                <w:rFonts w:eastAsia="Century Gothic" w:cs="Century Gothic"/>
                <w:color w:val="000000"/>
                <w:sz w:val="18"/>
                <w:szCs w:val="18"/>
              </w:rPr>
              <w:t>11 (2.7%)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BCC9D5" w14:textId="77777777" w:rsidR="001C19F3" w:rsidRDefault="001C19F3" w:rsidP="00521305">
            <w:pPr>
              <w:spacing w:after="0"/>
              <w:ind w:left="100" w:right="100"/>
              <w:jc w:val="right"/>
            </w:pPr>
            <w:r>
              <w:rPr>
                <w:rFonts w:eastAsia="Century Gothic" w:cs="Century Gothic"/>
                <w:color w:val="000000"/>
                <w:sz w:val="18"/>
                <w:szCs w:val="18"/>
              </w:rPr>
              <w:t>8 (2.0%)</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9797CB" w14:textId="77777777" w:rsidR="001C19F3" w:rsidRDefault="001C19F3" w:rsidP="00521305">
            <w:pPr>
              <w:spacing w:after="0"/>
              <w:ind w:left="100" w:right="100"/>
              <w:jc w:val="right"/>
            </w:pPr>
            <w:r>
              <w:rPr>
                <w:rFonts w:eastAsia="Century Gothic" w:cs="Century Gothic"/>
                <w:color w:val="000000"/>
                <w:sz w:val="18"/>
                <w:szCs w:val="18"/>
              </w:rPr>
              <w:t>1 (0.2%)</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70F0E" w14:textId="77777777" w:rsidR="001C19F3" w:rsidRDefault="001C19F3" w:rsidP="00521305">
            <w:pPr>
              <w:spacing w:after="0"/>
              <w:ind w:left="100" w:right="100"/>
              <w:jc w:val="right"/>
            </w:pPr>
            <w:r>
              <w:rPr>
                <w:rFonts w:eastAsia="Century Gothic" w:cs="Century Gothic"/>
                <w:color w:val="000000"/>
                <w:sz w:val="18"/>
                <w:szCs w:val="18"/>
              </w:rPr>
              <w:t>16</w:t>
            </w:r>
          </w:p>
        </w:tc>
      </w:tr>
    </w:tbl>
    <w:p w14:paraId="18A9163C" w14:textId="77777777" w:rsidR="001C19F3" w:rsidRDefault="001C19F3" w:rsidP="001C19F3">
      <w:pPr>
        <w:pStyle w:val="Chartortablefootnote"/>
        <w:rPr>
          <w:rFonts w:cstheme="minorBidi"/>
          <w:szCs w:val="20"/>
        </w:rPr>
      </w:pPr>
      <w:r>
        <w:t>Source: Practice staff survey R1, Mar-Jun 2018, question 5.</w:t>
      </w:r>
    </w:p>
    <w:p w14:paraId="29C6BF16" w14:textId="77777777" w:rsidR="001C19F3" w:rsidRDefault="001C19F3" w:rsidP="001C19F3">
      <w:pPr>
        <w:pStyle w:val="Caption1"/>
      </w:pPr>
      <w:bookmarkStart w:id="581" w:name="_Ref22650905"/>
      <w:bookmarkStart w:id="582" w:name="_Ref22640637"/>
      <w:r>
        <w:t xml:space="preserve">Table </w:t>
      </w:r>
      <w:r>
        <w:fldChar w:fldCharType="begin"/>
      </w:r>
      <w:r>
        <w:instrText>SEQ Table \* ARABIC</w:instrText>
      </w:r>
      <w:r>
        <w:fldChar w:fldCharType="separate"/>
      </w:r>
      <w:r>
        <w:rPr>
          <w:noProof/>
        </w:rPr>
        <w:t>59</w:t>
      </w:r>
      <w:r>
        <w:fldChar w:fldCharType="end"/>
      </w:r>
      <w:bookmarkEnd w:id="581"/>
      <w:r>
        <w:t xml:space="preserve"> – Difficulty in using practice clinical management system or ancillary systems to undertake selected tasks, baseline</w:t>
      </w:r>
      <w:bookmarkEnd w:id="582"/>
    </w:p>
    <w:tbl>
      <w:tblPr>
        <w:tblW w:w="5000" w:type="pct"/>
        <w:jc w:val="center"/>
        <w:tblLook w:val="04A0" w:firstRow="1" w:lastRow="0" w:firstColumn="1" w:lastColumn="0" w:noHBand="0" w:noVBand="1"/>
      </w:tblPr>
      <w:tblGrid>
        <w:gridCol w:w="5574"/>
        <w:gridCol w:w="1672"/>
        <w:gridCol w:w="1673"/>
        <w:gridCol w:w="1673"/>
        <w:gridCol w:w="1673"/>
        <w:gridCol w:w="1673"/>
      </w:tblGrid>
      <w:tr w:rsidR="001C19F3" w14:paraId="4E3EAEEC" w14:textId="77777777" w:rsidTr="00521305">
        <w:trPr>
          <w:cantSplit/>
          <w:trHeight w:val="333"/>
          <w:tblHeader/>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9D66D0" w14:textId="77777777" w:rsidR="001C19F3" w:rsidRDefault="001C19F3" w:rsidP="00521305">
            <w:pPr>
              <w:spacing w:after="0"/>
              <w:jc w:val="center"/>
            </w:pPr>
            <w:r>
              <w:rPr>
                <w:rFonts w:eastAsia="Century Gothic" w:cs="Century Gothic"/>
                <w:b/>
                <w:color w:val="FFFFFF"/>
                <w:sz w:val="18"/>
                <w:szCs w:val="18"/>
              </w:rPr>
              <w:t>Response</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97E1FC3" w14:textId="77777777" w:rsidR="001C19F3" w:rsidRDefault="001C19F3" w:rsidP="00521305">
            <w:pPr>
              <w:spacing w:after="0"/>
              <w:jc w:val="center"/>
            </w:pPr>
            <w:r>
              <w:rPr>
                <w:rFonts w:eastAsia="Century Gothic" w:cs="Century Gothic"/>
                <w:b/>
                <w:color w:val="FFFFFF"/>
                <w:sz w:val="18"/>
                <w:szCs w:val="18"/>
              </w:rPr>
              <w:t>Very easy</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69572C0" w14:textId="77777777" w:rsidR="001C19F3" w:rsidRDefault="001C19F3" w:rsidP="00521305">
            <w:pPr>
              <w:spacing w:after="0"/>
              <w:jc w:val="center"/>
            </w:pPr>
            <w:r>
              <w:rPr>
                <w:rFonts w:eastAsia="Century Gothic" w:cs="Century Gothic"/>
                <w:b/>
                <w:color w:val="FFFFFF"/>
                <w:sz w:val="18"/>
                <w:szCs w:val="18"/>
              </w:rPr>
              <w:t>Somewhat easy</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6013B4" w14:textId="77777777" w:rsidR="001C19F3" w:rsidRDefault="001C19F3" w:rsidP="00521305">
            <w:pPr>
              <w:spacing w:after="0"/>
              <w:jc w:val="center"/>
            </w:pPr>
            <w:r>
              <w:rPr>
                <w:rFonts w:eastAsia="Century Gothic" w:cs="Century Gothic"/>
                <w:b/>
                <w:color w:val="FFFFFF"/>
                <w:sz w:val="18"/>
                <w:szCs w:val="18"/>
              </w:rPr>
              <w:t>Somewhat difficult</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E0C612" w14:textId="77777777" w:rsidR="001C19F3" w:rsidRDefault="001C19F3" w:rsidP="00521305">
            <w:pPr>
              <w:spacing w:after="0"/>
              <w:jc w:val="center"/>
            </w:pPr>
            <w:r>
              <w:rPr>
                <w:rFonts w:eastAsia="Century Gothic" w:cs="Century Gothic"/>
                <w:b/>
                <w:color w:val="FFFFFF"/>
                <w:sz w:val="18"/>
                <w:szCs w:val="18"/>
              </w:rPr>
              <w:t>Very difficult</w:t>
            </w:r>
          </w:p>
        </w:tc>
        <w:tc>
          <w:tcPr>
            <w:tcW w:w="6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1B66AB"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64F23EC0"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976DD" w14:textId="77777777" w:rsidR="001C19F3" w:rsidRDefault="001C19F3" w:rsidP="00521305">
            <w:pPr>
              <w:spacing w:after="0"/>
              <w:ind w:left="100" w:right="100"/>
            </w:pPr>
            <w:r>
              <w:rPr>
                <w:rFonts w:eastAsia="Century Gothic" w:cs="Century Gothic"/>
                <w:color w:val="000000"/>
                <w:sz w:val="18"/>
                <w:szCs w:val="18"/>
              </w:rPr>
              <w:t>Review basic pathology results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E1E20A" w14:textId="77777777" w:rsidR="001C19F3" w:rsidRDefault="001C19F3" w:rsidP="00521305">
            <w:pPr>
              <w:spacing w:after="0"/>
              <w:ind w:left="100" w:right="100"/>
              <w:jc w:val="right"/>
            </w:pPr>
            <w:r>
              <w:rPr>
                <w:rFonts w:eastAsia="Century Gothic" w:cs="Century Gothic"/>
                <w:color w:val="000000"/>
                <w:sz w:val="18"/>
                <w:szCs w:val="18"/>
              </w:rPr>
              <w:t>244 (74.6%)</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A966BB" w14:textId="77777777" w:rsidR="001C19F3" w:rsidRDefault="001C19F3" w:rsidP="00521305">
            <w:pPr>
              <w:spacing w:after="0"/>
              <w:ind w:left="100" w:right="100"/>
              <w:jc w:val="right"/>
            </w:pPr>
            <w:r>
              <w:rPr>
                <w:rFonts w:eastAsia="Century Gothic" w:cs="Century Gothic"/>
                <w:color w:val="000000"/>
                <w:sz w:val="18"/>
                <w:szCs w:val="18"/>
              </w:rPr>
              <w:t>68 (20.8%)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7109E" w14:textId="77777777" w:rsidR="001C19F3" w:rsidRDefault="001C19F3" w:rsidP="00521305">
            <w:pPr>
              <w:spacing w:after="0"/>
              <w:ind w:left="100" w:right="100"/>
              <w:jc w:val="right"/>
            </w:pPr>
            <w:r>
              <w:rPr>
                <w:rFonts w:eastAsia="Century Gothic" w:cs="Century Gothic"/>
                <w:color w:val="000000"/>
                <w:sz w:val="18"/>
                <w:szCs w:val="18"/>
              </w:rPr>
              <w:t>12 (3.7%)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A53A77" w14:textId="77777777" w:rsidR="001C19F3" w:rsidRDefault="001C19F3" w:rsidP="00521305">
            <w:pPr>
              <w:spacing w:after="0"/>
              <w:ind w:left="100" w:right="100"/>
              <w:jc w:val="right"/>
            </w:pPr>
            <w:r>
              <w:rPr>
                <w:rFonts w:eastAsia="Century Gothic" w:cs="Century Gothic"/>
                <w:color w:val="000000"/>
                <w:sz w:val="18"/>
                <w:szCs w:val="18"/>
              </w:rPr>
              <w:t>3 (0.9%)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C0C27F" w14:textId="77777777" w:rsidR="001C19F3" w:rsidRDefault="001C19F3" w:rsidP="00521305">
            <w:pPr>
              <w:spacing w:after="0"/>
              <w:ind w:left="100" w:right="100"/>
              <w:jc w:val="right"/>
            </w:pPr>
            <w:r>
              <w:rPr>
                <w:rFonts w:eastAsia="Century Gothic" w:cs="Century Gothic"/>
                <w:color w:val="000000"/>
                <w:sz w:val="18"/>
                <w:szCs w:val="18"/>
              </w:rPr>
              <w:t>98</w:t>
            </w:r>
          </w:p>
        </w:tc>
      </w:tr>
      <w:tr w:rsidR="001C19F3" w14:paraId="19526EFB"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5E49EE" w14:textId="77777777" w:rsidR="001C19F3" w:rsidRDefault="001C19F3" w:rsidP="00521305">
            <w:pPr>
              <w:spacing w:after="0"/>
              <w:ind w:left="100" w:right="100"/>
            </w:pPr>
            <w:r>
              <w:rPr>
                <w:rFonts w:eastAsia="Century Gothic" w:cs="Century Gothic"/>
                <w:color w:val="000000"/>
                <w:sz w:val="18"/>
                <w:szCs w:val="18"/>
              </w:rPr>
              <w:t>Update medication list and drug allergies for patients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4704CF" w14:textId="77777777" w:rsidR="001C19F3" w:rsidRDefault="001C19F3" w:rsidP="00521305">
            <w:pPr>
              <w:spacing w:after="0"/>
              <w:ind w:left="100" w:right="100"/>
              <w:jc w:val="right"/>
            </w:pPr>
            <w:r>
              <w:rPr>
                <w:rFonts w:eastAsia="Century Gothic" w:cs="Century Gothic"/>
                <w:color w:val="000000"/>
                <w:sz w:val="18"/>
                <w:szCs w:val="18"/>
              </w:rPr>
              <w:t>166 (66.9%)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902868" w14:textId="77777777" w:rsidR="001C19F3" w:rsidRDefault="001C19F3" w:rsidP="00521305">
            <w:pPr>
              <w:spacing w:after="0"/>
              <w:ind w:left="100" w:right="100"/>
              <w:jc w:val="right"/>
            </w:pPr>
            <w:r>
              <w:rPr>
                <w:rFonts w:eastAsia="Century Gothic" w:cs="Century Gothic"/>
                <w:color w:val="000000"/>
                <w:sz w:val="18"/>
                <w:szCs w:val="18"/>
              </w:rPr>
              <w:t>68 (27.4%)</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6AE1E4" w14:textId="77777777" w:rsidR="001C19F3" w:rsidRDefault="001C19F3" w:rsidP="00521305">
            <w:pPr>
              <w:spacing w:after="0"/>
              <w:ind w:left="100" w:right="100"/>
              <w:jc w:val="right"/>
            </w:pPr>
            <w:r>
              <w:rPr>
                <w:rFonts w:eastAsia="Century Gothic" w:cs="Century Gothic"/>
                <w:color w:val="000000"/>
                <w:sz w:val="18"/>
                <w:szCs w:val="18"/>
              </w:rPr>
              <w:t>12 (4.8%)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68C5EF" w14:textId="77777777" w:rsidR="001C19F3" w:rsidRDefault="001C19F3" w:rsidP="00521305">
            <w:pPr>
              <w:spacing w:after="0"/>
              <w:ind w:left="100" w:right="100"/>
              <w:jc w:val="right"/>
            </w:pPr>
            <w:r>
              <w:rPr>
                <w:rFonts w:eastAsia="Century Gothic" w:cs="Century Gothic"/>
                <w:color w:val="000000"/>
                <w:sz w:val="18"/>
                <w:szCs w:val="18"/>
              </w:rPr>
              <w:t>2 (0.8%)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7E676B" w14:textId="77777777" w:rsidR="001C19F3" w:rsidRDefault="001C19F3" w:rsidP="00521305">
            <w:pPr>
              <w:spacing w:after="0"/>
              <w:ind w:left="100" w:right="100"/>
              <w:jc w:val="right"/>
            </w:pPr>
            <w:r>
              <w:rPr>
                <w:rFonts w:eastAsia="Century Gothic" w:cs="Century Gothic"/>
                <w:color w:val="000000"/>
                <w:sz w:val="18"/>
                <w:szCs w:val="18"/>
              </w:rPr>
              <w:t>177</w:t>
            </w:r>
          </w:p>
        </w:tc>
      </w:tr>
      <w:tr w:rsidR="001C19F3" w14:paraId="7EF06158"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785772" w14:textId="77777777" w:rsidR="001C19F3" w:rsidRDefault="001C19F3" w:rsidP="00521305">
            <w:pPr>
              <w:spacing w:after="0"/>
              <w:ind w:left="100" w:right="100"/>
            </w:pPr>
            <w:r>
              <w:rPr>
                <w:rFonts w:eastAsia="Century Gothic" w:cs="Century Gothic"/>
                <w:color w:val="000000"/>
                <w:sz w:val="18"/>
                <w:szCs w:val="18"/>
              </w:rPr>
              <w:t>Review information from hospital discharge summaries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BF7619" w14:textId="77777777" w:rsidR="001C19F3" w:rsidRDefault="001C19F3" w:rsidP="00521305">
            <w:pPr>
              <w:spacing w:after="0"/>
              <w:ind w:left="100" w:right="100"/>
              <w:jc w:val="right"/>
            </w:pPr>
            <w:r>
              <w:rPr>
                <w:rFonts w:eastAsia="Century Gothic" w:cs="Century Gothic"/>
                <w:color w:val="000000"/>
                <w:sz w:val="18"/>
                <w:szCs w:val="18"/>
              </w:rPr>
              <w:t>156 (47.9%)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227413" w14:textId="77777777" w:rsidR="001C19F3" w:rsidRDefault="001C19F3" w:rsidP="00521305">
            <w:pPr>
              <w:spacing w:after="0"/>
              <w:ind w:left="100" w:right="100"/>
              <w:jc w:val="right"/>
            </w:pPr>
            <w:r>
              <w:rPr>
                <w:rFonts w:eastAsia="Century Gothic" w:cs="Century Gothic"/>
                <w:color w:val="000000"/>
                <w:sz w:val="18"/>
                <w:szCs w:val="18"/>
              </w:rPr>
              <w:t>115 (35.3%)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BD253" w14:textId="77777777" w:rsidR="001C19F3" w:rsidRDefault="001C19F3" w:rsidP="00521305">
            <w:pPr>
              <w:spacing w:after="0"/>
              <w:ind w:left="100" w:right="100"/>
              <w:jc w:val="right"/>
            </w:pPr>
            <w:r>
              <w:rPr>
                <w:rFonts w:eastAsia="Century Gothic" w:cs="Century Gothic"/>
                <w:color w:val="000000"/>
                <w:sz w:val="18"/>
                <w:szCs w:val="18"/>
              </w:rPr>
              <w:t>52 (16.0%)</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07053" w14:textId="77777777" w:rsidR="001C19F3" w:rsidRDefault="001C19F3" w:rsidP="00521305">
            <w:pPr>
              <w:spacing w:after="0"/>
              <w:ind w:left="100" w:right="100"/>
              <w:jc w:val="right"/>
            </w:pPr>
            <w:r>
              <w:rPr>
                <w:rFonts w:eastAsia="Century Gothic" w:cs="Century Gothic"/>
                <w:color w:val="000000"/>
                <w:sz w:val="18"/>
                <w:szCs w:val="18"/>
              </w:rPr>
              <w:t>3 (0.9%)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20682" w14:textId="77777777" w:rsidR="001C19F3" w:rsidRDefault="001C19F3" w:rsidP="00521305">
            <w:pPr>
              <w:spacing w:after="0"/>
              <w:ind w:left="100" w:right="100"/>
              <w:jc w:val="right"/>
            </w:pPr>
            <w:r>
              <w:rPr>
                <w:rFonts w:eastAsia="Century Gothic" w:cs="Century Gothic"/>
                <w:color w:val="000000"/>
                <w:sz w:val="18"/>
                <w:szCs w:val="18"/>
              </w:rPr>
              <w:t>99</w:t>
            </w:r>
          </w:p>
        </w:tc>
      </w:tr>
      <w:tr w:rsidR="001C19F3" w14:paraId="4C0F3567"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36F0B" w14:textId="77777777" w:rsidR="001C19F3" w:rsidRDefault="001C19F3" w:rsidP="00521305">
            <w:pPr>
              <w:spacing w:after="0"/>
              <w:ind w:left="100" w:right="100"/>
            </w:pPr>
            <w:r>
              <w:rPr>
                <w:rFonts w:eastAsia="Century Gothic" w:cs="Century Gothic"/>
                <w:color w:val="000000"/>
                <w:sz w:val="18"/>
                <w:szCs w:val="18"/>
              </w:rPr>
              <w:t>Review notes about patients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57DF6C" w14:textId="77777777" w:rsidR="001C19F3" w:rsidRDefault="001C19F3" w:rsidP="00521305">
            <w:pPr>
              <w:spacing w:after="0"/>
              <w:ind w:left="100" w:right="100"/>
              <w:jc w:val="right"/>
            </w:pPr>
            <w:r>
              <w:rPr>
                <w:rFonts w:eastAsia="Century Gothic" w:cs="Century Gothic"/>
                <w:color w:val="000000"/>
                <w:sz w:val="18"/>
                <w:szCs w:val="18"/>
              </w:rPr>
              <w:t>249 (74.3%)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317B0" w14:textId="77777777" w:rsidR="001C19F3" w:rsidRDefault="001C19F3" w:rsidP="00521305">
            <w:pPr>
              <w:spacing w:after="0"/>
              <w:ind w:left="100" w:right="100"/>
              <w:jc w:val="right"/>
            </w:pPr>
            <w:r>
              <w:rPr>
                <w:rFonts w:eastAsia="Century Gothic" w:cs="Century Gothic"/>
                <w:color w:val="000000"/>
                <w:sz w:val="18"/>
                <w:szCs w:val="18"/>
              </w:rPr>
              <w:t>79 (23.6%)</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509287" w14:textId="77777777" w:rsidR="001C19F3" w:rsidRDefault="001C19F3" w:rsidP="00521305">
            <w:pPr>
              <w:spacing w:after="0"/>
              <w:ind w:left="100" w:right="100"/>
              <w:jc w:val="right"/>
            </w:pPr>
            <w:r>
              <w:rPr>
                <w:rFonts w:eastAsia="Century Gothic" w:cs="Century Gothic"/>
                <w:color w:val="000000"/>
                <w:sz w:val="18"/>
                <w:szCs w:val="18"/>
              </w:rPr>
              <w:t>6 (1.8%)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122BD9" w14:textId="77777777" w:rsidR="001C19F3" w:rsidRDefault="001C19F3" w:rsidP="00521305">
            <w:pPr>
              <w:spacing w:after="0"/>
              <w:ind w:left="100" w:right="100"/>
              <w:jc w:val="right"/>
            </w:pPr>
            <w:r>
              <w:rPr>
                <w:rFonts w:eastAsia="Century Gothic" w:cs="Century Gothic"/>
                <w:color w:val="000000"/>
                <w:sz w:val="18"/>
                <w:szCs w:val="18"/>
              </w:rPr>
              <w:t>1 (0.3%)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28DF66" w14:textId="77777777" w:rsidR="001C19F3" w:rsidRDefault="001C19F3" w:rsidP="00521305">
            <w:pPr>
              <w:spacing w:after="0"/>
              <w:ind w:left="100" w:right="100"/>
              <w:jc w:val="right"/>
            </w:pPr>
            <w:r>
              <w:rPr>
                <w:rFonts w:eastAsia="Century Gothic" w:cs="Century Gothic"/>
                <w:color w:val="000000"/>
                <w:sz w:val="18"/>
                <w:szCs w:val="18"/>
              </w:rPr>
              <w:t>90</w:t>
            </w:r>
          </w:p>
        </w:tc>
      </w:tr>
      <w:tr w:rsidR="001C19F3" w14:paraId="150CC747"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809917" w14:textId="77777777" w:rsidR="001C19F3" w:rsidRDefault="001C19F3" w:rsidP="00521305">
            <w:pPr>
              <w:spacing w:after="0"/>
              <w:ind w:left="100" w:right="100"/>
            </w:pPr>
            <w:r>
              <w:rPr>
                <w:rFonts w:eastAsia="Century Gothic" w:cs="Century Gothic"/>
                <w:color w:val="000000"/>
                <w:sz w:val="18"/>
                <w:szCs w:val="18"/>
              </w:rPr>
              <w:t>Order new patient pathology tests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DFE0B" w14:textId="77777777" w:rsidR="001C19F3" w:rsidRDefault="001C19F3" w:rsidP="00521305">
            <w:pPr>
              <w:spacing w:after="0"/>
              <w:ind w:left="100" w:right="100"/>
              <w:jc w:val="right"/>
            </w:pPr>
            <w:r>
              <w:rPr>
                <w:rFonts w:eastAsia="Century Gothic" w:cs="Century Gothic"/>
                <w:color w:val="000000"/>
                <w:sz w:val="18"/>
                <w:szCs w:val="18"/>
              </w:rPr>
              <w:t>149 (77.2%)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87BB0C" w14:textId="77777777" w:rsidR="001C19F3" w:rsidRDefault="001C19F3" w:rsidP="00521305">
            <w:pPr>
              <w:spacing w:after="0"/>
              <w:ind w:left="100" w:right="100"/>
              <w:jc w:val="right"/>
            </w:pPr>
            <w:r>
              <w:rPr>
                <w:rFonts w:eastAsia="Century Gothic" w:cs="Century Gothic"/>
                <w:color w:val="000000"/>
                <w:sz w:val="18"/>
                <w:szCs w:val="18"/>
              </w:rPr>
              <w:t>38 (19.7%)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1F8709" w14:textId="77777777" w:rsidR="001C19F3" w:rsidRDefault="001C19F3" w:rsidP="00521305">
            <w:pPr>
              <w:spacing w:after="0"/>
              <w:ind w:left="100" w:right="100"/>
              <w:jc w:val="right"/>
            </w:pPr>
            <w:r>
              <w:rPr>
                <w:rFonts w:eastAsia="Century Gothic" w:cs="Century Gothic"/>
                <w:color w:val="000000"/>
                <w:sz w:val="18"/>
                <w:szCs w:val="18"/>
              </w:rPr>
              <w:t>5 (2.6%)</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C4FA4" w14:textId="77777777" w:rsidR="001C19F3" w:rsidRDefault="001C19F3" w:rsidP="00521305">
            <w:pPr>
              <w:spacing w:after="0"/>
              <w:ind w:left="100" w:right="100"/>
              <w:jc w:val="right"/>
            </w:pPr>
            <w:r>
              <w:rPr>
                <w:rFonts w:eastAsia="Century Gothic" w:cs="Century Gothic"/>
                <w:color w:val="000000"/>
                <w:sz w:val="18"/>
                <w:szCs w:val="18"/>
              </w:rPr>
              <w:t>1 (0.5%)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D82B96" w14:textId="77777777" w:rsidR="001C19F3" w:rsidRDefault="001C19F3" w:rsidP="00521305">
            <w:pPr>
              <w:spacing w:after="0"/>
              <w:ind w:left="100" w:right="100"/>
              <w:jc w:val="right"/>
            </w:pPr>
            <w:r>
              <w:rPr>
                <w:rFonts w:eastAsia="Century Gothic" w:cs="Century Gothic"/>
                <w:color w:val="000000"/>
                <w:sz w:val="18"/>
                <w:szCs w:val="18"/>
              </w:rPr>
              <w:t>232</w:t>
            </w:r>
          </w:p>
        </w:tc>
      </w:tr>
      <w:tr w:rsidR="001C19F3" w14:paraId="72962F97"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45A199" w14:textId="77777777" w:rsidR="001C19F3" w:rsidRDefault="001C19F3" w:rsidP="00521305">
            <w:pPr>
              <w:spacing w:after="0"/>
              <w:ind w:left="100" w:right="100"/>
            </w:pPr>
            <w:r>
              <w:rPr>
                <w:rFonts w:eastAsia="Century Gothic" w:cs="Century Gothic"/>
                <w:color w:val="000000"/>
                <w:sz w:val="18"/>
                <w:szCs w:val="18"/>
              </w:rPr>
              <w:lastRenderedPageBreak/>
              <w:t>Prescribe medications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5523E7" w14:textId="77777777" w:rsidR="001C19F3" w:rsidRDefault="001C19F3" w:rsidP="00521305">
            <w:pPr>
              <w:spacing w:after="0"/>
              <w:ind w:left="100" w:right="100"/>
              <w:jc w:val="right"/>
            </w:pPr>
            <w:r>
              <w:rPr>
                <w:rFonts w:eastAsia="Century Gothic" w:cs="Century Gothic"/>
                <w:color w:val="000000"/>
                <w:sz w:val="18"/>
                <w:szCs w:val="18"/>
              </w:rPr>
              <w:t>134 (77.9%)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4F2D08" w14:textId="77777777" w:rsidR="001C19F3" w:rsidRDefault="001C19F3" w:rsidP="00521305">
            <w:pPr>
              <w:spacing w:after="0"/>
              <w:ind w:left="100" w:right="100"/>
              <w:jc w:val="right"/>
            </w:pPr>
            <w:r>
              <w:rPr>
                <w:rFonts w:eastAsia="Century Gothic" w:cs="Century Gothic"/>
                <w:color w:val="000000"/>
                <w:sz w:val="18"/>
                <w:szCs w:val="18"/>
              </w:rPr>
              <w:t>32 (18.6%)</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7F7D1F" w14:textId="77777777" w:rsidR="001C19F3" w:rsidRDefault="001C19F3" w:rsidP="00521305">
            <w:pPr>
              <w:spacing w:after="0"/>
              <w:ind w:left="100" w:right="100"/>
              <w:jc w:val="right"/>
            </w:pPr>
            <w:r>
              <w:rPr>
                <w:rFonts w:eastAsia="Century Gothic" w:cs="Century Gothic"/>
                <w:color w:val="000000"/>
                <w:sz w:val="18"/>
                <w:szCs w:val="18"/>
              </w:rPr>
              <w:t>4 (2.3%)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EFF9B6" w14:textId="77777777" w:rsidR="001C19F3" w:rsidRDefault="001C19F3" w:rsidP="00521305">
            <w:pPr>
              <w:spacing w:after="0"/>
              <w:ind w:left="100" w:right="100"/>
              <w:jc w:val="right"/>
            </w:pPr>
            <w:r>
              <w:rPr>
                <w:rFonts w:eastAsia="Century Gothic" w:cs="Century Gothic"/>
                <w:color w:val="000000"/>
                <w:sz w:val="18"/>
                <w:szCs w:val="18"/>
              </w:rPr>
              <w:t>2 (1.2%)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4B80BA" w14:textId="77777777" w:rsidR="001C19F3" w:rsidRDefault="001C19F3" w:rsidP="00521305">
            <w:pPr>
              <w:spacing w:after="0"/>
              <w:ind w:left="100" w:right="100"/>
              <w:jc w:val="right"/>
            </w:pPr>
            <w:r>
              <w:rPr>
                <w:rFonts w:eastAsia="Century Gothic" w:cs="Century Gothic"/>
                <w:color w:val="000000"/>
                <w:sz w:val="18"/>
                <w:szCs w:val="18"/>
              </w:rPr>
              <w:t>253</w:t>
            </w:r>
          </w:p>
        </w:tc>
      </w:tr>
      <w:tr w:rsidR="001C19F3" w14:paraId="6F2179E3"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ACB3C3" w14:textId="77777777" w:rsidR="001C19F3" w:rsidRDefault="001C19F3" w:rsidP="00521305">
            <w:pPr>
              <w:spacing w:after="0"/>
              <w:ind w:left="100" w:right="100"/>
            </w:pPr>
            <w:r>
              <w:rPr>
                <w:rFonts w:eastAsia="Century Gothic" w:cs="Century Gothic"/>
                <w:color w:val="000000"/>
                <w:sz w:val="18"/>
                <w:szCs w:val="18"/>
              </w:rPr>
              <w:t>Communicate electronically with other providers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78F5B7" w14:textId="77777777" w:rsidR="001C19F3" w:rsidRDefault="001C19F3" w:rsidP="00521305">
            <w:pPr>
              <w:spacing w:after="0"/>
              <w:ind w:left="100" w:right="100"/>
              <w:jc w:val="right"/>
            </w:pPr>
            <w:r>
              <w:rPr>
                <w:rFonts w:eastAsia="Century Gothic" w:cs="Century Gothic"/>
                <w:color w:val="000000"/>
                <w:sz w:val="18"/>
                <w:szCs w:val="18"/>
              </w:rPr>
              <w:t>104 (33.2%)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737F5" w14:textId="77777777" w:rsidR="001C19F3" w:rsidRDefault="001C19F3" w:rsidP="00521305">
            <w:pPr>
              <w:spacing w:after="0"/>
              <w:ind w:left="100" w:right="100"/>
              <w:jc w:val="right"/>
            </w:pPr>
            <w:r>
              <w:rPr>
                <w:rFonts w:eastAsia="Century Gothic" w:cs="Century Gothic"/>
                <w:color w:val="000000"/>
                <w:sz w:val="18"/>
                <w:szCs w:val="18"/>
              </w:rPr>
              <w:t>118 (37.7%)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AAA0F9" w14:textId="77777777" w:rsidR="001C19F3" w:rsidRDefault="001C19F3" w:rsidP="00521305">
            <w:pPr>
              <w:spacing w:after="0"/>
              <w:ind w:left="100" w:right="100"/>
              <w:jc w:val="right"/>
            </w:pPr>
            <w:r>
              <w:rPr>
                <w:rFonts w:eastAsia="Century Gothic" w:cs="Century Gothic"/>
                <w:color w:val="000000"/>
                <w:sz w:val="18"/>
                <w:szCs w:val="18"/>
              </w:rPr>
              <w:t>58 (18.5%)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EE4ABE" w14:textId="77777777" w:rsidR="001C19F3" w:rsidRDefault="001C19F3" w:rsidP="00521305">
            <w:pPr>
              <w:spacing w:after="0"/>
              <w:ind w:left="100" w:right="100"/>
              <w:jc w:val="right"/>
            </w:pPr>
            <w:r>
              <w:rPr>
                <w:rFonts w:eastAsia="Century Gothic" w:cs="Century Gothic"/>
                <w:color w:val="000000"/>
                <w:sz w:val="18"/>
                <w:szCs w:val="18"/>
              </w:rPr>
              <w:t>33 (10.5%)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B65681" w14:textId="77777777" w:rsidR="001C19F3" w:rsidRDefault="001C19F3" w:rsidP="00521305">
            <w:pPr>
              <w:spacing w:after="0"/>
              <w:ind w:left="100" w:right="100"/>
              <w:jc w:val="right"/>
            </w:pPr>
            <w:r>
              <w:rPr>
                <w:rFonts w:eastAsia="Century Gothic" w:cs="Century Gothic"/>
                <w:color w:val="000000"/>
                <w:sz w:val="18"/>
                <w:szCs w:val="18"/>
              </w:rPr>
              <w:t>112</w:t>
            </w:r>
          </w:p>
        </w:tc>
      </w:tr>
      <w:tr w:rsidR="001C19F3" w14:paraId="5B1C6111"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4DF060" w14:textId="77777777" w:rsidR="001C19F3" w:rsidRDefault="001C19F3" w:rsidP="00521305">
            <w:pPr>
              <w:spacing w:after="0"/>
              <w:ind w:left="100" w:right="100"/>
            </w:pPr>
            <w:r>
              <w:rPr>
                <w:rFonts w:eastAsia="Century Gothic" w:cs="Century Gothic"/>
                <w:color w:val="000000"/>
                <w:sz w:val="18"/>
                <w:szCs w:val="18"/>
              </w:rPr>
              <w:t>Send or print after-visit summaries, instructions, educational information for patients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0B76E8" w14:textId="77777777" w:rsidR="001C19F3" w:rsidRDefault="001C19F3" w:rsidP="00521305">
            <w:pPr>
              <w:spacing w:after="0"/>
              <w:ind w:left="100" w:right="100"/>
              <w:jc w:val="right"/>
            </w:pPr>
            <w:r>
              <w:rPr>
                <w:rFonts w:eastAsia="Century Gothic" w:cs="Century Gothic"/>
                <w:color w:val="000000"/>
                <w:sz w:val="18"/>
                <w:szCs w:val="18"/>
              </w:rPr>
              <w:t>164 (50.2%)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DD68A3" w14:textId="77777777" w:rsidR="001C19F3" w:rsidRDefault="001C19F3" w:rsidP="00521305">
            <w:pPr>
              <w:spacing w:after="0"/>
              <w:ind w:left="100" w:right="100"/>
              <w:jc w:val="right"/>
            </w:pPr>
            <w:r>
              <w:rPr>
                <w:rFonts w:eastAsia="Century Gothic" w:cs="Century Gothic"/>
                <w:color w:val="000000"/>
                <w:sz w:val="18"/>
                <w:szCs w:val="18"/>
              </w:rPr>
              <w:t>124 (37.9%)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042490" w14:textId="77777777" w:rsidR="001C19F3" w:rsidRDefault="001C19F3" w:rsidP="00521305">
            <w:pPr>
              <w:spacing w:after="0"/>
              <w:ind w:left="100" w:right="100"/>
              <w:jc w:val="right"/>
            </w:pPr>
            <w:r>
              <w:rPr>
                <w:rFonts w:eastAsia="Century Gothic" w:cs="Century Gothic"/>
                <w:color w:val="000000"/>
                <w:sz w:val="18"/>
                <w:szCs w:val="18"/>
              </w:rPr>
              <w:t>30 (9.2%)</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FB58A5" w14:textId="77777777" w:rsidR="001C19F3" w:rsidRDefault="001C19F3" w:rsidP="00521305">
            <w:pPr>
              <w:spacing w:after="0"/>
              <w:ind w:left="100" w:right="100"/>
              <w:jc w:val="right"/>
            </w:pPr>
            <w:r>
              <w:rPr>
                <w:rFonts w:eastAsia="Century Gothic" w:cs="Century Gothic"/>
                <w:color w:val="000000"/>
                <w:sz w:val="18"/>
                <w:szCs w:val="18"/>
              </w:rPr>
              <w:t>9 (2.8%)</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46B7D" w14:textId="77777777" w:rsidR="001C19F3" w:rsidRDefault="001C19F3" w:rsidP="00521305">
            <w:pPr>
              <w:spacing w:after="0"/>
              <w:ind w:left="100" w:right="100"/>
              <w:jc w:val="right"/>
            </w:pPr>
            <w:r>
              <w:rPr>
                <w:rFonts w:eastAsia="Century Gothic" w:cs="Century Gothic"/>
                <w:color w:val="000000"/>
                <w:sz w:val="18"/>
                <w:szCs w:val="18"/>
              </w:rPr>
              <w:t>98</w:t>
            </w:r>
          </w:p>
        </w:tc>
      </w:tr>
      <w:tr w:rsidR="001C19F3" w14:paraId="721C4194"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C4AE07" w14:textId="77777777" w:rsidR="001C19F3" w:rsidRDefault="001C19F3" w:rsidP="00521305">
            <w:pPr>
              <w:spacing w:after="0"/>
              <w:ind w:left="100" w:right="100"/>
            </w:pPr>
            <w:r>
              <w:rPr>
                <w:rFonts w:eastAsia="Century Gothic" w:cs="Century Gothic"/>
                <w:color w:val="000000"/>
                <w:sz w:val="18"/>
                <w:szCs w:val="18"/>
              </w:rPr>
              <w:t>Send or receive messages from patients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552F1E" w14:textId="77777777" w:rsidR="001C19F3" w:rsidRDefault="001C19F3" w:rsidP="00521305">
            <w:pPr>
              <w:spacing w:after="0"/>
              <w:ind w:left="100" w:right="100"/>
              <w:jc w:val="right"/>
            </w:pPr>
            <w:r>
              <w:rPr>
                <w:rFonts w:eastAsia="Century Gothic" w:cs="Century Gothic"/>
                <w:color w:val="000000"/>
                <w:sz w:val="18"/>
                <w:szCs w:val="18"/>
              </w:rPr>
              <w:t>120 (38.0%)</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FD4D04" w14:textId="77777777" w:rsidR="001C19F3" w:rsidRDefault="001C19F3" w:rsidP="00521305">
            <w:pPr>
              <w:spacing w:after="0"/>
              <w:ind w:left="100" w:right="100"/>
              <w:jc w:val="right"/>
            </w:pPr>
            <w:r>
              <w:rPr>
                <w:rFonts w:eastAsia="Century Gothic" w:cs="Century Gothic"/>
                <w:color w:val="000000"/>
                <w:sz w:val="18"/>
                <w:szCs w:val="18"/>
              </w:rPr>
              <w:t>107 (33.9%)</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80785A" w14:textId="77777777" w:rsidR="001C19F3" w:rsidRDefault="001C19F3" w:rsidP="00521305">
            <w:pPr>
              <w:spacing w:after="0"/>
              <w:ind w:left="100" w:right="100"/>
              <w:jc w:val="right"/>
            </w:pPr>
            <w:r>
              <w:rPr>
                <w:rFonts w:eastAsia="Century Gothic" w:cs="Century Gothic"/>
                <w:color w:val="000000"/>
                <w:sz w:val="18"/>
                <w:szCs w:val="18"/>
              </w:rPr>
              <w:t>56 (17.7%)</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961618" w14:textId="77777777" w:rsidR="001C19F3" w:rsidRDefault="001C19F3" w:rsidP="00521305">
            <w:pPr>
              <w:spacing w:after="0"/>
              <w:ind w:left="100" w:right="100"/>
              <w:jc w:val="right"/>
            </w:pPr>
            <w:r>
              <w:rPr>
                <w:rFonts w:eastAsia="Century Gothic" w:cs="Century Gothic"/>
                <w:color w:val="000000"/>
                <w:sz w:val="18"/>
                <w:szCs w:val="18"/>
              </w:rPr>
              <w:t>33 (10.4%)</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A8B3C" w14:textId="77777777" w:rsidR="001C19F3" w:rsidRDefault="001C19F3" w:rsidP="00521305">
            <w:pPr>
              <w:spacing w:after="0"/>
              <w:ind w:left="100" w:right="100"/>
              <w:jc w:val="right"/>
            </w:pPr>
            <w:r>
              <w:rPr>
                <w:rFonts w:eastAsia="Century Gothic" w:cs="Century Gothic"/>
                <w:color w:val="000000"/>
                <w:sz w:val="18"/>
                <w:szCs w:val="18"/>
              </w:rPr>
              <w:t>109</w:t>
            </w:r>
          </w:p>
        </w:tc>
      </w:tr>
      <w:tr w:rsidR="001C19F3" w14:paraId="45B1094B"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0CC13A" w14:textId="77777777" w:rsidR="001C19F3" w:rsidRDefault="001C19F3" w:rsidP="00521305">
            <w:pPr>
              <w:spacing w:after="0"/>
              <w:ind w:left="100" w:right="100"/>
            </w:pPr>
            <w:r>
              <w:rPr>
                <w:rFonts w:eastAsia="Century Gothic" w:cs="Century Gothic"/>
                <w:color w:val="000000"/>
                <w:sz w:val="18"/>
                <w:szCs w:val="18"/>
              </w:rPr>
              <w:t>Develop a care plan/shared care plan for patients</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5DAEA8" w14:textId="77777777" w:rsidR="001C19F3" w:rsidRDefault="001C19F3" w:rsidP="00521305">
            <w:pPr>
              <w:spacing w:after="0"/>
              <w:ind w:left="100" w:right="100"/>
              <w:jc w:val="right"/>
            </w:pPr>
            <w:r>
              <w:rPr>
                <w:rFonts w:eastAsia="Century Gothic" w:cs="Century Gothic"/>
                <w:color w:val="000000"/>
                <w:sz w:val="18"/>
                <w:szCs w:val="18"/>
              </w:rPr>
              <w:t>117 (45.3%)</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021BAE" w14:textId="77777777" w:rsidR="001C19F3" w:rsidRDefault="001C19F3" w:rsidP="00521305">
            <w:pPr>
              <w:spacing w:after="0"/>
              <w:ind w:left="100" w:right="100"/>
              <w:jc w:val="right"/>
            </w:pPr>
            <w:r>
              <w:rPr>
                <w:rFonts w:eastAsia="Century Gothic" w:cs="Century Gothic"/>
                <w:color w:val="000000"/>
                <w:sz w:val="18"/>
                <w:szCs w:val="18"/>
              </w:rPr>
              <w:t>101 (39.1%)</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CA1FA" w14:textId="77777777" w:rsidR="001C19F3" w:rsidRDefault="001C19F3" w:rsidP="00521305">
            <w:pPr>
              <w:spacing w:after="0"/>
              <w:ind w:left="100" w:right="100"/>
              <w:jc w:val="right"/>
            </w:pPr>
            <w:r>
              <w:rPr>
                <w:rFonts w:eastAsia="Century Gothic" w:cs="Century Gothic"/>
                <w:color w:val="000000"/>
                <w:sz w:val="18"/>
                <w:szCs w:val="18"/>
              </w:rPr>
              <w:t>31 (12.0%)</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0EBD67" w14:textId="77777777" w:rsidR="001C19F3" w:rsidRDefault="001C19F3" w:rsidP="00521305">
            <w:pPr>
              <w:spacing w:after="0"/>
              <w:ind w:left="100" w:right="100"/>
              <w:jc w:val="right"/>
            </w:pPr>
            <w:r>
              <w:rPr>
                <w:rFonts w:eastAsia="Century Gothic" w:cs="Century Gothic"/>
                <w:color w:val="000000"/>
                <w:sz w:val="18"/>
                <w:szCs w:val="18"/>
              </w:rPr>
              <w:t>9 (3.5%)</w:t>
            </w:r>
          </w:p>
        </w:tc>
        <w:tc>
          <w:tcPr>
            <w:tcW w:w="6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84DA22" w14:textId="77777777" w:rsidR="001C19F3" w:rsidRDefault="001C19F3" w:rsidP="00521305">
            <w:pPr>
              <w:spacing w:after="0"/>
              <w:ind w:left="100" w:right="100"/>
              <w:jc w:val="right"/>
            </w:pPr>
            <w:r>
              <w:rPr>
                <w:rFonts w:eastAsia="Century Gothic" w:cs="Century Gothic"/>
                <w:color w:val="000000"/>
                <w:sz w:val="18"/>
                <w:szCs w:val="18"/>
              </w:rPr>
              <w:t>167</w:t>
            </w:r>
          </w:p>
        </w:tc>
      </w:tr>
    </w:tbl>
    <w:p w14:paraId="33BE4BE7" w14:textId="77777777" w:rsidR="001C19F3" w:rsidRDefault="001C19F3" w:rsidP="001C19F3">
      <w:pPr>
        <w:pStyle w:val="Chartortablefootnote"/>
        <w:rPr>
          <w:rFonts w:cstheme="minorBidi"/>
          <w:szCs w:val="20"/>
        </w:rPr>
      </w:pPr>
      <w:r>
        <w:t>Source: Practice staff survey R1, Mar-Jun 2018, question 7.</w:t>
      </w:r>
    </w:p>
    <w:p w14:paraId="2672A59A" w14:textId="77777777" w:rsidR="001C19F3" w:rsidRDefault="001C19F3" w:rsidP="001C19F3">
      <w:pPr>
        <w:pStyle w:val="Caption1"/>
      </w:pPr>
      <w:bookmarkStart w:id="583" w:name="_Ref22650962"/>
      <w:bookmarkStart w:id="584" w:name="_Ref22640708"/>
      <w:r>
        <w:t xml:space="preserve">Table </w:t>
      </w:r>
      <w:r>
        <w:fldChar w:fldCharType="begin"/>
      </w:r>
      <w:r>
        <w:instrText>SEQ Table \* ARABIC</w:instrText>
      </w:r>
      <w:r>
        <w:fldChar w:fldCharType="separate"/>
      </w:r>
      <w:r>
        <w:rPr>
          <w:noProof/>
        </w:rPr>
        <w:t>60</w:t>
      </w:r>
      <w:r>
        <w:fldChar w:fldCharType="end"/>
      </w:r>
      <w:bookmarkEnd w:id="583"/>
      <w:r>
        <w:t xml:space="preserve"> – Agreement with statements about the primary care team using electronic data, baseline</w:t>
      </w:r>
      <w:bookmarkEnd w:id="584"/>
    </w:p>
    <w:tbl>
      <w:tblPr>
        <w:tblW w:w="5000" w:type="pct"/>
        <w:jc w:val="center"/>
        <w:tblLook w:val="04A0" w:firstRow="1" w:lastRow="0" w:firstColumn="1" w:lastColumn="0" w:noHBand="0" w:noVBand="1"/>
      </w:tblPr>
      <w:tblGrid>
        <w:gridCol w:w="5574"/>
        <w:gridCol w:w="1394"/>
        <w:gridCol w:w="1394"/>
        <w:gridCol w:w="1394"/>
        <w:gridCol w:w="1394"/>
        <w:gridCol w:w="1394"/>
        <w:gridCol w:w="1394"/>
      </w:tblGrid>
      <w:tr w:rsidR="001C19F3" w14:paraId="29547523" w14:textId="77777777" w:rsidTr="00521305">
        <w:trPr>
          <w:cantSplit/>
          <w:trHeight w:val="331"/>
          <w:tblHeader/>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747BFC4" w14:textId="77777777" w:rsidR="001C19F3" w:rsidRDefault="001C19F3" w:rsidP="00521305">
            <w:pPr>
              <w:spacing w:after="0"/>
              <w:jc w:val="center"/>
            </w:pPr>
            <w:r>
              <w:rPr>
                <w:rFonts w:eastAsia="Century Gothic" w:cs="Century Gothic"/>
                <w:b/>
                <w:color w:val="FFFFFF"/>
                <w:sz w:val="18"/>
                <w:szCs w:val="18"/>
              </w:rPr>
              <w:t>Response</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6948C3C" w14:textId="77777777" w:rsidR="001C19F3" w:rsidRDefault="001C19F3" w:rsidP="00521305">
            <w:pPr>
              <w:spacing w:after="0"/>
              <w:jc w:val="center"/>
            </w:pPr>
            <w:r>
              <w:rPr>
                <w:rFonts w:eastAsia="Century Gothic" w:cs="Century Gothic"/>
                <w:b/>
                <w:color w:val="FFFFFF"/>
                <w:sz w:val="18"/>
                <w:szCs w:val="18"/>
              </w:rPr>
              <w:t>Always</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D49EF4" w14:textId="77777777" w:rsidR="001C19F3" w:rsidRDefault="001C19F3" w:rsidP="00521305">
            <w:pPr>
              <w:spacing w:after="0"/>
              <w:jc w:val="center"/>
            </w:pPr>
            <w:r>
              <w:rPr>
                <w:rFonts w:eastAsia="Century Gothic" w:cs="Century Gothic"/>
                <w:b/>
                <w:color w:val="FFFFFF"/>
                <w:sz w:val="18"/>
                <w:szCs w:val="18"/>
              </w:rPr>
              <w:t>Usually</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6E2E995" w14:textId="77777777" w:rsidR="001C19F3" w:rsidRDefault="001C19F3" w:rsidP="00521305">
            <w:pPr>
              <w:spacing w:after="0"/>
              <w:jc w:val="center"/>
            </w:pPr>
            <w:r>
              <w:rPr>
                <w:rFonts w:eastAsia="Century Gothic" w:cs="Century Gothic"/>
                <w:b/>
                <w:color w:val="FFFFFF"/>
                <w:sz w:val="18"/>
                <w:szCs w:val="18"/>
              </w:rPr>
              <w:t>Sometimes</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A27C52E" w14:textId="77777777" w:rsidR="001C19F3" w:rsidRDefault="001C19F3" w:rsidP="00521305">
            <w:pPr>
              <w:spacing w:after="0"/>
              <w:jc w:val="center"/>
            </w:pPr>
            <w:r>
              <w:rPr>
                <w:rFonts w:eastAsia="Century Gothic" w:cs="Century Gothic"/>
                <w:b/>
                <w:color w:val="FFFFFF"/>
                <w:sz w:val="18"/>
                <w:szCs w:val="18"/>
              </w:rPr>
              <w:t>Rarely</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2C45D91" w14:textId="77777777" w:rsidR="001C19F3" w:rsidRDefault="001C19F3" w:rsidP="00521305">
            <w:pPr>
              <w:spacing w:after="0"/>
              <w:jc w:val="center"/>
            </w:pPr>
            <w:r>
              <w:rPr>
                <w:rFonts w:eastAsia="Century Gothic" w:cs="Century Gothic"/>
                <w:b/>
                <w:color w:val="FFFFFF"/>
                <w:sz w:val="18"/>
                <w:szCs w:val="18"/>
              </w:rPr>
              <w:t>Never</w:t>
            </w:r>
          </w:p>
        </w:tc>
        <w:tc>
          <w:tcPr>
            <w:tcW w:w="50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2462DB7" w14:textId="77777777" w:rsidR="001C19F3" w:rsidRDefault="001C19F3" w:rsidP="00521305">
            <w:pPr>
              <w:spacing w:after="0"/>
              <w:jc w:val="center"/>
            </w:pPr>
            <w:r>
              <w:rPr>
                <w:rFonts w:eastAsia="Century Gothic" w:cs="Century Gothic"/>
                <w:b/>
                <w:color w:val="FFFFFF"/>
                <w:sz w:val="18"/>
                <w:szCs w:val="18"/>
              </w:rPr>
              <w:t>Don't know/ no response</w:t>
            </w:r>
          </w:p>
        </w:tc>
      </w:tr>
      <w:tr w:rsidR="001C19F3" w14:paraId="0FE4C6D2"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1E8746" w14:textId="77777777" w:rsidR="001C19F3" w:rsidRDefault="001C19F3" w:rsidP="00521305">
            <w:pPr>
              <w:spacing w:after="0"/>
              <w:ind w:left="100" w:right="100"/>
            </w:pPr>
            <w:r>
              <w:rPr>
                <w:rFonts w:eastAsia="Century Gothic" w:cs="Century Gothic"/>
                <w:color w:val="000000"/>
                <w:sz w:val="18"/>
                <w:szCs w:val="18"/>
              </w:rPr>
              <w:t>... identify patients with complex health needs.</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384DD0" w14:textId="77777777" w:rsidR="001C19F3" w:rsidRDefault="001C19F3" w:rsidP="00521305">
            <w:pPr>
              <w:spacing w:after="0"/>
              <w:ind w:left="100" w:right="100"/>
              <w:jc w:val="right"/>
            </w:pPr>
            <w:r>
              <w:rPr>
                <w:rFonts w:eastAsia="Century Gothic" w:cs="Century Gothic"/>
                <w:color w:val="000000"/>
                <w:sz w:val="18"/>
                <w:szCs w:val="18"/>
              </w:rPr>
              <w:t>154 (40.6%)</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0E060C" w14:textId="77777777" w:rsidR="001C19F3" w:rsidRDefault="001C19F3" w:rsidP="00521305">
            <w:pPr>
              <w:spacing w:after="0"/>
              <w:ind w:left="100" w:right="100"/>
              <w:jc w:val="right"/>
            </w:pPr>
            <w:r>
              <w:rPr>
                <w:rFonts w:eastAsia="Century Gothic" w:cs="Century Gothic"/>
                <w:color w:val="000000"/>
                <w:sz w:val="18"/>
                <w:szCs w:val="18"/>
              </w:rPr>
              <w:t>150 (39.6%)</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0AB9E7" w14:textId="77777777" w:rsidR="001C19F3" w:rsidRDefault="001C19F3" w:rsidP="00521305">
            <w:pPr>
              <w:spacing w:after="0"/>
              <w:ind w:left="100" w:right="100"/>
              <w:jc w:val="right"/>
            </w:pPr>
            <w:r>
              <w:rPr>
                <w:rFonts w:eastAsia="Century Gothic" w:cs="Century Gothic"/>
                <w:color w:val="000000"/>
                <w:sz w:val="18"/>
                <w:szCs w:val="18"/>
              </w:rPr>
              <w:t>52 (13.7%)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8A8798" w14:textId="77777777" w:rsidR="001C19F3" w:rsidRDefault="001C19F3" w:rsidP="00521305">
            <w:pPr>
              <w:spacing w:after="0"/>
              <w:ind w:left="100" w:right="100"/>
              <w:jc w:val="right"/>
            </w:pPr>
            <w:r>
              <w:rPr>
                <w:rFonts w:eastAsia="Century Gothic" w:cs="Century Gothic"/>
                <w:color w:val="000000"/>
                <w:sz w:val="18"/>
                <w:szCs w:val="18"/>
              </w:rPr>
              <w:t>22 (5.8%)</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80A04B" w14:textId="77777777" w:rsidR="001C19F3" w:rsidRDefault="001C19F3" w:rsidP="00521305">
            <w:pPr>
              <w:spacing w:after="0"/>
              <w:ind w:left="100" w:right="100"/>
              <w:jc w:val="right"/>
            </w:pPr>
            <w:r>
              <w:rPr>
                <w:rFonts w:eastAsia="Century Gothic" w:cs="Century Gothic"/>
                <w:color w:val="000000"/>
                <w:sz w:val="18"/>
                <w:szCs w:val="18"/>
              </w:rPr>
              <w:t>1 (0.3%)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92416E" w14:textId="77777777" w:rsidR="001C19F3" w:rsidRDefault="001C19F3" w:rsidP="00521305">
            <w:pPr>
              <w:spacing w:after="0"/>
              <w:ind w:left="100" w:right="100"/>
              <w:jc w:val="right"/>
            </w:pPr>
            <w:r>
              <w:rPr>
                <w:rFonts w:eastAsia="Century Gothic" w:cs="Century Gothic"/>
                <w:color w:val="000000"/>
                <w:sz w:val="18"/>
                <w:szCs w:val="18"/>
              </w:rPr>
              <w:t>46</w:t>
            </w:r>
          </w:p>
        </w:tc>
      </w:tr>
      <w:tr w:rsidR="001C19F3" w14:paraId="676CEDEA"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C200F" w14:textId="77777777" w:rsidR="001C19F3" w:rsidRDefault="001C19F3" w:rsidP="00521305">
            <w:pPr>
              <w:spacing w:after="0"/>
              <w:ind w:left="100" w:right="100"/>
            </w:pPr>
            <w:r>
              <w:rPr>
                <w:rFonts w:eastAsia="Century Gothic" w:cs="Century Gothic"/>
                <w:color w:val="000000"/>
                <w:sz w:val="18"/>
                <w:szCs w:val="18"/>
              </w:rPr>
              <w:t>... monitor and track patient health indicators and outcomes.</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56BB03" w14:textId="77777777" w:rsidR="001C19F3" w:rsidRDefault="001C19F3" w:rsidP="00521305">
            <w:pPr>
              <w:spacing w:after="0"/>
              <w:ind w:left="100" w:right="100"/>
              <w:jc w:val="right"/>
            </w:pPr>
            <w:r>
              <w:rPr>
                <w:rFonts w:eastAsia="Century Gothic" w:cs="Century Gothic"/>
                <w:color w:val="000000"/>
                <w:sz w:val="18"/>
                <w:szCs w:val="18"/>
              </w:rPr>
              <w:t>143 (39.6%)</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13A95" w14:textId="77777777" w:rsidR="001C19F3" w:rsidRDefault="001C19F3" w:rsidP="00521305">
            <w:pPr>
              <w:spacing w:after="0"/>
              <w:ind w:left="100" w:right="100"/>
              <w:jc w:val="right"/>
            </w:pPr>
            <w:r>
              <w:rPr>
                <w:rFonts w:eastAsia="Century Gothic" w:cs="Century Gothic"/>
                <w:color w:val="000000"/>
                <w:sz w:val="18"/>
                <w:szCs w:val="18"/>
              </w:rPr>
              <w:t>136 (37.7%)</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412D75" w14:textId="77777777" w:rsidR="001C19F3" w:rsidRDefault="001C19F3" w:rsidP="00521305">
            <w:pPr>
              <w:spacing w:after="0"/>
              <w:ind w:left="100" w:right="100"/>
              <w:jc w:val="right"/>
            </w:pPr>
            <w:r>
              <w:rPr>
                <w:rFonts w:eastAsia="Century Gothic" w:cs="Century Gothic"/>
                <w:color w:val="000000"/>
                <w:sz w:val="18"/>
                <w:szCs w:val="18"/>
              </w:rPr>
              <w:t>62 (17.2%)</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79DEB5" w14:textId="77777777" w:rsidR="001C19F3" w:rsidRDefault="001C19F3" w:rsidP="00521305">
            <w:pPr>
              <w:spacing w:after="0"/>
              <w:ind w:left="100" w:right="100"/>
              <w:jc w:val="right"/>
            </w:pPr>
            <w:r>
              <w:rPr>
                <w:rFonts w:eastAsia="Century Gothic" w:cs="Century Gothic"/>
                <w:color w:val="000000"/>
                <w:sz w:val="18"/>
                <w:szCs w:val="18"/>
              </w:rPr>
              <w:t>19 (5.3%)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61B3AD" w14:textId="77777777" w:rsidR="001C19F3" w:rsidRDefault="001C19F3" w:rsidP="00521305">
            <w:pPr>
              <w:spacing w:after="0"/>
              <w:ind w:left="100" w:right="100"/>
              <w:jc w:val="right"/>
            </w:pPr>
            <w:r>
              <w:rPr>
                <w:rFonts w:eastAsia="Century Gothic" w:cs="Century Gothic"/>
                <w:color w:val="000000"/>
                <w:sz w:val="18"/>
                <w:szCs w:val="18"/>
              </w:rPr>
              <w:t>1 (0.3%)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36B93B" w14:textId="77777777" w:rsidR="001C19F3" w:rsidRDefault="001C19F3" w:rsidP="00521305">
            <w:pPr>
              <w:spacing w:after="0"/>
              <w:ind w:left="100" w:right="100"/>
              <w:jc w:val="right"/>
            </w:pPr>
            <w:r>
              <w:rPr>
                <w:rFonts w:eastAsia="Century Gothic" w:cs="Century Gothic"/>
                <w:color w:val="000000"/>
                <w:sz w:val="18"/>
                <w:szCs w:val="18"/>
              </w:rPr>
              <w:t>64</w:t>
            </w:r>
          </w:p>
        </w:tc>
      </w:tr>
      <w:tr w:rsidR="001C19F3" w14:paraId="643BE2D3"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F00FFC" w14:textId="77777777" w:rsidR="001C19F3" w:rsidRDefault="001C19F3" w:rsidP="00521305">
            <w:pPr>
              <w:spacing w:after="0"/>
              <w:ind w:left="100" w:right="100"/>
            </w:pPr>
            <w:r>
              <w:rPr>
                <w:rFonts w:eastAsia="Century Gothic" w:cs="Century Gothic"/>
                <w:color w:val="000000"/>
                <w:sz w:val="18"/>
                <w:szCs w:val="18"/>
              </w:rPr>
              <w:t>... support the documentation of patient needs.</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A2188E" w14:textId="77777777" w:rsidR="001C19F3" w:rsidRDefault="001C19F3" w:rsidP="00521305">
            <w:pPr>
              <w:spacing w:after="0"/>
              <w:ind w:left="100" w:right="100"/>
              <w:jc w:val="right"/>
            </w:pPr>
            <w:r>
              <w:rPr>
                <w:rFonts w:eastAsia="Century Gothic" w:cs="Century Gothic"/>
                <w:color w:val="000000"/>
                <w:sz w:val="18"/>
                <w:szCs w:val="18"/>
              </w:rPr>
              <w:t>229 (59.5%)</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94C98A" w14:textId="77777777" w:rsidR="001C19F3" w:rsidRDefault="001C19F3" w:rsidP="00521305">
            <w:pPr>
              <w:spacing w:after="0"/>
              <w:ind w:left="100" w:right="100"/>
              <w:jc w:val="right"/>
            </w:pPr>
            <w:r>
              <w:rPr>
                <w:rFonts w:eastAsia="Century Gothic" w:cs="Century Gothic"/>
                <w:color w:val="000000"/>
                <w:sz w:val="18"/>
                <w:szCs w:val="18"/>
              </w:rPr>
              <w:t>114 (29.6%)</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0497B1" w14:textId="77777777" w:rsidR="001C19F3" w:rsidRDefault="001C19F3" w:rsidP="00521305">
            <w:pPr>
              <w:spacing w:after="0"/>
              <w:ind w:left="100" w:right="100"/>
              <w:jc w:val="right"/>
            </w:pPr>
            <w:r>
              <w:rPr>
                <w:rFonts w:eastAsia="Century Gothic" w:cs="Century Gothic"/>
                <w:color w:val="000000"/>
                <w:sz w:val="18"/>
                <w:szCs w:val="18"/>
              </w:rPr>
              <w:t>32 (8.3%)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3C0BA3" w14:textId="77777777" w:rsidR="001C19F3" w:rsidRDefault="001C19F3" w:rsidP="00521305">
            <w:pPr>
              <w:spacing w:after="0"/>
              <w:ind w:left="100" w:right="100"/>
              <w:jc w:val="right"/>
            </w:pPr>
            <w:r>
              <w:rPr>
                <w:rFonts w:eastAsia="Century Gothic" w:cs="Century Gothic"/>
                <w:color w:val="000000"/>
                <w:sz w:val="18"/>
                <w:szCs w:val="18"/>
              </w:rPr>
              <w:t>7 (1.8%)</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9737BD" w14:textId="77777777" w:rsidR="001C19F3" w:rsidRDefault="001C19F3" w:rsidP="00521305">
            <w:pPr>
              <w:spacing w:after="0"/>
              <w:ind w:left="100" w:right="100"/>
              <w:jc w:val="right"/>
            </w:pPr>
            <w:r>
              <w:rPr>
                <w:rFonts w:eastAsia="Century Gothic" w:cs="Century Gothic"/>
                <w:color w:val="000000"/>
                <w:sz w:val="18"/>
                <w:szCs w:val="18"/>
              </w:rPr>
              <w:t>3 (0.8%)</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425176" w14:textId="77777777" w:rsidR="001C19F3" w:rsidRDefault="001C19F3" w:rsidP="00521305">
            <w:pPr>
              <w:spacing w:after="0"/>
              <w:ind w:left="100" w:right="100"/>
              <w:jc w:val="right"/>
            </w:pPr>
            <w:r>
              <w:rPr>
                <w:rFonts w:eastAsia="Century Gothic" w:cs="Century Gothic"/>
                <w:color w:val="000000"/>
                <w:sz w:val="18"/>
                <w:szCs w:val="18"/>
              </w:rPr>
              <w:t>40</w:t>
            </w:r>
          </w:p>
        </w:tc>
      </w:tr>
      <w:tr w:rsidR="001C19F3" w14:paraId="6A8BCE34"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799304" w14:textId="77777777" w:rsidR="001C19F3" w:rsidRDefault="001C19F3" w:rsidP="00521305">
            <w:pPr>
              <w:spacing w:after="0"/>
              <w:ind w:left="100" w:right="100"/>
            </w:pPr>
            <w:r>
              <w:rPr>
                <w:rFonts w:eastAsia="Century Gothic" w:cs="Century Gothic"/>
                <w:color w:val="000000"/>
                <w:sz w:val="18"/>
                <w:szCs w:val="18"/>
              </w:rPr>
              <w:t>... develop care plans.</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09DC8B" w14:textId="77777777" w:rsidR="001C19F3" w:rsidRDefault="001C19F3" w:rsidP="00521305">
            <w:pPr>
              <w:spacing w:after="0"/>
              <w:ind w:left="100" w:right="100"/>
              <w:jc w:val="right"/>
            </w:pPr>
            <w:r>
              <w:rPr>
                <w:rFonts w:eastAsia="Century Gothic" w:cs="Century Gothic"/>
                <w:color w:val="000000"/>
                <w:sz w:val="18"/>
                <w:szCs w:val="18"/>
              </w:rPr>
              <w:t>266 (68.0%)</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5E7D09" w14:textId="77777777" w:rsidR="001C19F3" w:rsidRDefault="001C19F3" w:rsidP="00521305">
            <w:pPr>
              <w:spacing w:after="0"/>
              <w:ind w:left="100" w:right="100"/>
              <w:jc w:val="right"/>
            </w:pPr>
            <w:r>
              <w:rPr>
                <w:rFonts w:eastAsia="Century Gothic" w:cs="Century Gothic"/>
                <w:color w:val="000000"/>
                <w:sz w:val="18"/>
                <w:szCs w:val="18"/>
              </w:rPr>
              <w:t>90 (23.0%)</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EFB97C" w14:textId="77777777" w:rsidR="001C19F3" w:rsidRDefault="001C19F3" w:rsidP="00521305">
            <w:pPr>
              <w:spacing w:after="0"/>
              <w:ind w:left="100" w:right="100"/>
              <w:jc w:val="right"/>
            </w:pPr>
            <w:r>
              <w:rPr>
                <w:rFonts w:eastAsia="Century Gothic" w:cs="Century Gothic"/>
                <w:color w:val="000000"/>
                <w:sz w:val="18"/>
                <w:szCs w:val="18"/>
              </w:rPr>
              <w:t>25 (6.4%)</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AB7D25" w14:textId="77777777" w:rsidR="001C19F3" w:rsidRDefault="001C19F3" w:rsidP="00521305">
            <w:pPr>
              <w:spacing w:after="0"/>
              <w:ind w:left="100" w:right="100"/>
              <w:jc w:val="right"/>
            </w:pPr>
            <w:r>
              <w:rPr>
                <w:rFonts w:eastAsia="Century Gothic" w:cs="Century Gothic"/>
                <w:color w:val="000000"/>
                <w:sz w:val="18"/>
                <w:szCs w:val="18"/>
              </w:rPr>
              <w:t>5 (1.3%)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ECEFFF" w14:textId="77777777" w:rsidR="001C19F3" w:rsidRDefault="001C19F3" w:rsidP="00521305">
            <w:pPr>
              <w:spacing w:after="0"/>
              <w:ind w:left="100" w:right="100"/>
              <w:jc w:val="right"/>
            </w:pPr>
            <w:r>
              <w:rPr>
                <w:rFonts w:eastAsia="Century Gothic" w:cs="Century Gothic"/>
                <w:color w:val="000000"/>
                <w:sz w:val="18"/>
                <w:szCs w:val="18"/>
              </w:rPr>
              <w:t>5 (1.3%)</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BFF7A3" w14:textId="77777777" w:rsidR="001C19F3" w:rsidRDefault="001C19F3" w:rsidP="00521305">
            <w:pPr>
              <w:spacing w:after="0"/>
              <w:ind w:left="100" w:right="100"/>
              <w:jc w:val="right"/>
            </w:pPr>
            <w:r>
              <w:rPr>
                <w:rFonts w:eastAsia="Century Gothic" w:cs="Century Gothic"/>
                <w:color w:val="000000"/>
                <w:sz w:val="18"/>
                <w:szCs w:val="18"/>
              </w:rPr>
              <w:t>34</w:t>
            </w:r>
          </w:p>
        </w:tc>
      </w:tr>
      <w:tr w:rsidR="001C19F3" w14:paraId="1F94B322" w14:textId="77777777" w:rsidTr="00521305">
        <w:trPr>
          <w:cantSplit/>
          <w:trHeight w:val="442"/>
          <w:jc w:val="center"/>
        </w:trPr>
        <w:tc>
          <w:tcPr>
            <w:tcW w:w="20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727E41" w14:textId="77777777" w:rsidR="001C19F3" w:rsidRDefault="001C19F3" w:rsidP="00521305">
            <w:pPr>
              <w:spacing w:after="0"/>
              <w:ind w:left="100" w:right="100"/>
            </w:pPr>
            <w:r>
              <w:rPr>
                <w:rFonts w:eastAsia="Century Gothic" w:cs="Century Gothic"/>
                <w:color w:val="000000"/>
                <w:sz w:val="18"/>
                <w:szCs w:val="18"/>
              </w:rPr>
              <w:t>... determine clinical outcomes.</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624388" w14:textId="77777777" w:rsidR="001C19F3" w:rsidRDefault="001C19F3" w:rsidP="00521305">
            <w:pPr>
              <w:spacing w:after="0"/>
              <w:ind w:left="100" w:right="100"/>
              <w:jc w:val="right"/>
            </w:pPr>
            <w:r>
              <w:rPr>
                <w:rFonts w:eastAsia="Century Gothic" w:cs="Century Gothic"/>
                <w:color w:val="000000"/>
                <w:sz w:val="18"/>
                <w:szCs w:val="18"/>
              </w:rPr>
              <w:t>189 (52.4%)</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C5698F" w14:textId="77777777" w:rsidR="001C19F3" w:rsidRDefault="001C19F3" w:rsidP="00521305">
            <w:pPr>
              <w:spacing w:after="0"/>
              <w:ind w:left="100" w:right="100"/>
              <w:jc w:val="right"/>
            </w:pPr>
            <w:r>
              <w:rPr>
                <w:rFonts w:eastAsia="Century Gothic" w:cs="Century Gothic"/>
                <w:color w:val="000000"/>
                <w:sz w:val="18"/>
                <w:szCs w:val="18"/>
              </w:rPr>
              <w:t>119 (33.0%)</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6F72C9" w14:textId="77777777" w:rsidR="001C19F3" w:rsidRDefault="001C19F3" w:rsidP="00521305">
            <w:pPr>
              <w:spacing w:after="0"/>
              <w:ind w:left="100" w:right="100"/>
              <w:jc w:val="right"/>
            </w:pPr>
            <w:r>
              <w:rPr>
                <w:rFonts w:eastAsia="Century Gothic" w:cs="Century Gothic"/>
                <w:color w:val="000000"/>
                <w:sz w:val="18"/>
                <w:szCs w:val="18"/>
              </w:rPr>
              <w:t>38 (10.5%)</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9348B6" w14:textId="77777777" w:rsidR="001C19F3" w:rsidRDefault="001C19F3" w:rsidP="00521305">
            <w:pPr>
              <w:spacing w:after="0"/>
              <w:ind w:left="100" w:right="100"/>
              <w:jc w:val="right"/>
            </w:pPr>
            <w:r>
              <w:rPr>
                <w:rFonts w:eastAsia="Century Gothic" w:cs="Century Gothic"/>
                <w:color w:val="000000"/>
                <w:sz w:val="18"/>
                <w:szCs w:val="18"/>
              </w:rPr>
              <w:t>8 (2.2%)</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5930BA" w14:textId="77777777" w:rsidR="001C19F3" w:rsidRDefault="001C19F3" w:rsidP="00521305">
            <w:pPr>
              <w:spacing w:after="0"/>
              <w:ind w:left="100" w:right="100"/>
              <w:jc w:val="right"/>
            </w:pPr>
            <w:r>
              <w:rPr>
                <w:rFonts w:eastAsia="Century Gothic" w:cs="Century Gothic"/>
                <w:color w:val="000000"/>
                <w:sz w:val="18"/>
                <w:szCs w:val="18"/>
              </w:rPr>
              <w:t>7 (1.9%)</w:t>
            </w:r>
          </w:p>
        </w:tc>
        <w:tc>
          <w:tcPr>
            <w:tcW w:w="50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F3BC5" w14:textId="77777777" w:rsidR="001C19F3" w:rsidRDefault="001C19F3" w:rsidP="00521305">
            <w:pPr>
              <w:spacing w:after="0"/>
              <w:ind w:left="100" w:right="100"/>
              <w:jc w:val="right"/>
            </w:pPr>
            <w:r>
              <w:rPr>
                <w:rFonts w:eastAsia="Century Gothic" w:cs="Century Gothic"/>
                <w:color w:val="000000"/>
                <w:sz w:val="18"/>
                <w:szCs w:val="18"/>
              </w:rPr>
              <w:t>64</w:t>
            </w:r>
          </w:p>
        </w:tc>
      </w:tr>
    </w:tbl>
    <w:p w14:paraId="26A8EC88" w14:textId="77777777" w:rsidR="001C19F3" w:rsidRDefault="001C19F3" w:rsidP="001C19F3">
      <w:pPr>
        <w:pStyle w:val="Chartortablefootnote"/>
      </w:pPr>
      <w:r>
        <w:t>Source: Practice staff survey R1, Mar-Jun 2018, question 8.</w:t>
      </w:r>
    </w:p>
    <w:p w14:paraId="3986D454" w14:textId="77777777" w:rsidR="001C19F3" w:rsidRDefault="001C19F3" w:rsidP="001C19F3">
      <w:pPr>
        <w:spacing w:after="160" w:line="259" w:lineRule="auto"/>
        <w:rPr>
          <w:rFonts w:eastAsia="Century Gothic" w:cs="Century Gothic"/>
          <w:i/>
          <w:color w:val="000000"/>
          <w:sz w:val="18"/>
          <w:szCs w:val="18"/>
        </w:rPr>
        <w:sectPr w:rsidR="001C19F3" w:rsidSect="00521305">
          <w:pgSz w:w="16838" w:h="11906" w:orient="landscape"/>
          <w:pgMar w:top="1440" w:right="1440" w:bottom="1440" w:left="1440" w:header="708" w:footer="708" w:gutter="0"/>
          <w:cols w:space="708"/>
          <w:titlePg/>
          <w:docGrid w:linePitch="360"/>
        </w:sectPr>
      </w:pPr>
      <w:r>
        <w:rPr>
          <w:rFonts w:eastAsia="Century Gothic" w:cs="Century Gothic"/>
          <w:i/>
          <w:color w:val="000000"/>
          <w:sz w:val="18"/>
          <w:szCs w:val="18"/>
        </w:rPr>
        <w:br w:type="page"/>
      </w:r>
    </w:p>
    <w:p w14:paraId="048C79D4" w14:textId="77777777" w:rsidR="001C19F3" w:rsidRPr="005356D1" w:rsidRDefault="001C19F3" w:rsidP="001C19F3">
      <w:pPr>
        <w:spacing w:after="0"/>
        <w:jc w:val="center"/>
        <w:rPr>
          <w:b/>
        </w:rPr>
      </w:pPr>
      <w:r>
        <w:rPr>
          <w:noProof/>
          <w:lang w:eastAsia="en-AU"/>
        </w:rPr>
        <w:lastRenderedPageBreak/>
        <w:drawing>
          <wp:inline distT="0" distB="0" distL="0" distR="0" wp14:anchorId="4E6FFFD5" wp14:editId="39B65F3A">
            <wp:extent cx="6295685" cy="6724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339859" cy="6771834"/>
                    </a:xfrm>
                    <a:prstGeom prst="rect">
                      <a:avLst/>
                    </a:prstGeom>
                  </pic:spPr>
                </pic:pic>
              </a:graphicData>
            </a:graphic>
          </wp:inline>
        </w:drawing>
      </w:r>
    </w:p>
    <w:p w14:paraId="1C2A6F4B" w14:textId="77777777" w:rsidR="001C19F3" w:rsidRDefault="001C19F3" w:rsidP="001C19F3">
      <w:pPr>
        <w:spacing w:after="0"/>
        <w:jc w:val="center"/>
        <w:rPr>
          <w:b/>
        </w:rPr>
      </w:pPr>
      <w:bookmarkStart w:id="585" w:name="_Ref22650262"/>
      <w:bookmarkStart w:id="586" w:name="_Ref22650237"/>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7</w:t>
      </w:r>
      <w:r w:rsidRPr="005356D1">
        <w:rPr>
          <w:rFonts w:cs="Arial"/>
          <w:b/>
          <w:color w:val="000000" w:themeColor="text1"/>
        </w:rPr>
        <w:fldChar w:fldCharType="end"/>
      </w:r>
      <w:bookmarkEnd w:id="585"/>
      <w:r w:rsidRPr="005356D1">
        <w:rPr>
          <w:b/>
        </w:rPr>
        <w:t xml:space="preserve"> – Staff perspectives</w:t>
      </w:r>
      <w:r>
        <w:rPr>
          <w:b/>
        </w:rPr>
        <w:t>,</w:t>
      </w:r>
      <w:r w:rsidRPr="005356D1">
        <w:rPr>
          <w:b/>
        </w:rPr>
        <w:t xml:space="preserve"> </w:t>
      </w:r>
      <w:r>
        <w:rPr>
          <w:b/>
        </w:rPr>
        <w:t xml:space="preserve">by type of staff, on the use of electronic health records and other electronic systems to </w:t>
      </w:r>
      <w:r w:rsidRPr="005356D1">
        <w:rPr>
          <w:b/>
        </w:rPr>
        <w:t xml:space="preserve">identify patients with complex health needs, monitor patient outcomes, document </w:t>
      </w:r>
      <w:r>
        <w:rPr>
          <w:b/>
        </w:rPr>
        <w:t xml:space="preserve">patients’ </w:t>
      </w:r>
      <w:r w:rsidRPr="005356D1">
        <w:rPr>
          <w:b/>
        </w:rPr>
        <w:t>needs</w:t>
      </w:r>
      <w:r>
        <w:rPr>
          <w:b/>
        </w:rPr>
        <w:t xml:space="preserve">, </w:t>
      </w:r>
      <w:r w:rsidRPr="005356D1">
        <w:rPr>
          <w:b/>
        </w:rPr>
        <w:t>develop care plans</w:t>
      </w:r>
      <w:r>
        <w:rPr>
          <w:b/>
        </w:rPr>
        <w:t xml:space="preserve"> and determine clinical outcomes, baseline: Active practices at 31 August 2019</w:t>
      </w:r>
      <w:bookmarkEnd w:id="586"/>
      <w:r>
        <w:rPr>
          <w:b/>
        </w:rPr>
        <w:t xml:space="preserve"> </w:t>
      </w:r>
    </w:p>
    <w:p w14:paraId="22FC4958" w14:textId="77777777" w:rsidR="001C19F3" w:rsidRDefault="001C19F3" w:rsidP="001C19F3">
      <w:pPr>
        <w:pStyle w:val="Chartortablefootnote"/>
      </w:pPr>
      <w:r w:rsidRPr="005356D1">
        <w:t xml:space="preserve">Source: </w:t>
      </w:r>
      <w:r>
        <w:t>Practice staff survey R1, Mar-Jun 2018.</w:t>
      </w:r>
    </w:p>
    <w:p w14:paraId="4396782E" w14:textId="77777777" w:rsidR="001C19F3" w:rsidRDefault="001C19F3" w:rsidP="001C19F3">
      <w:pPr>
        <w:spacing w:after="160" w:line="259" w:lineRule="auto"/>
        <w:rPr>
          <w:i/>
          <w:sz w:val="18"/>
          <w:szCs w:val="18"/>
        </w:rPr>
      </w:pPr>
      <w:r>
        <w:rPr>
          <w:i/>
          <w:sz w:val="18"/>
          <w:szCs w:val="18"/>
        </w:rPr>
        <w:br w:type="page"/>
      </w:r>
    </w:p>
    <w:p w14:paraId="7E8D53ED" w14:textId="77777777" w:rsidR="001C19F3" w:rsidRPr="005356D1" w:rsidRDefault="001C19F3" w:rsidP="001C19F3"/>
    <w:p w14:paraId="0ED9956D" w14:textId="77777777" w:rsidR="001C19F3" w:rsidRPr="005356D1" w:rsidRDefault="001C19F3" w:rsidP="001C19F3">
      <w:pPr>
        <w:jc w:val="center"/>
      </w:pPr>
      <w:r>
        <w:rPr>
          <w:noProof/>
          <w:lang w:eastAsia="en-AU"/>
        </w:rPr>
        <w:drawing>
          <wp:inline distT="0" distB="0" distL="0" distR="0" wp14:anchorId="24701900" wp14:editId="7B7BE22C">
            <wp:extent cx="5731510" cy="3808095"/>
            <wp:effectExtent l="0" t="0" r="254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731510" cy="3808095"/>
                    </a:xfrm>
                    <a:prstGeom prst="rect">
                      <a:avLst/>
                    </a:prstGeom>
                  </pic:spPr>
                </pic:pic>
              </a:graphicData>
            </a:graphic>
          </wp:inline>
        </w:drawing>
      </w:r>
    </w:p>
    <w:p w14:paraId="4C46207B" w14:textId="77777777" w:rsidR="001C19F3" w:rsidRPr="005356D1" w:rsidRDefault="001C19F3" w:rsidP="001C19F3">
      <w:pPr>
        <w:spacing w:after="0"/>
        <w:jc w:val="center"/>
        <w:rPr>
          <w:b/>
        </w:rPr>
      </w:pPr>
      <w:bookmarkStart w:id="587" w:name="_Ref527998214"/>
      <w:bookmarkStart w:id="588" w:name="_Ref527998210"/>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8</w:t>
      </w:r>
      <w:r w:rsidRPr="005356D1">
        <w:rPr>
          <w:rFonts w:cs="Arial"/>
          <w:b/>
          <w:color w:val="000000" w:themeColor="text1"/>
        </w:rPr>
        <w:fldChar w:fldCharType="end"/>
      </w:r>
      <w:bookmarkEnd w:id="587"/>
      <w:r w:rsidRPr="005356D1">
        <w:rPr>
          <w:b/>
        </w:rPr>
        <w:t xml:space="preserve"> – Staff perspectives on </w:t>
      </w:r>
      <w:r>
        <w:rPr>
          <w:b/>
        </w:rPr>
        <w:t xml:space="preserve">working </w:t>
      </w:r>
      <w:r w:rsidRPr="005356D1">
        <w:rPr>
          <w:b/>
        </w:rPr>
        <w:t>as a team</w:t>
      </w:r>
      <w:bookmarkEnd w:id="588"/>
    </w:p>
    <w:p w14:paraId="3958FD21" w14:textId="77777777" w:rsidR="001C19F3" w:rsidRDefault="001C19F3" w:rsidP="001C19F3">
      <w:pPr>
        <w:pStyle w:val="Chartortablefootnote"/>
      </w:pPr>
      <w:r w:rsidRPr="005356D1">
        <w:t>Source: Practice staff survey Round 1</w:t>
      </w:r>
    </w:p>
    <w:p w14:paraId="25F3AACA" w14:textId="77777777" w:rsidR="001C19F3" w:rsidRPr="005356D1" w:rsidRDefault="001C19F3" w:rsidP="001C19F3">
      <w:pPr>
        <w:jc w:val="center"/>
      </w:pPr>
      <w:r>
        <w:rPr>
          <w:noProof/>
          <w:lang w:eastAsia="en-AU"/>
        </w:rPr>
        <w:drawing>
          <wp:inline distT="0" distB="0" distL="0" distR="0" wp14:anchorId="5AA0B5A2" wp14:editId="6264E73C">
            <wp:extent cx="5731510" cy="2966085"/>
            <wp:effectExtent l="0" t="0" r="254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731510" cy="2966085"/>
                    </a:xfrm>
                    <a:prstGeom prst="rect">
                      <a:avLst/>
                    </a:prstGeom>
                  </pic:spPr>
                </pic:pic>
              </a:graphicData>
            </a:graphic>
          </wp:inline>
        </w:drawing>
      </w:r>
    </w:p>
    <w:p w14:paraId="0FEBCC05" w14:textId="77777777" w:rsidR="001C19F3" w:rsidRPr="005356D1" w:rsidRDefault="001C19F3" w:rsidP="001C19F3">
      <w:pPr>
        <w:spacing w:after="0"/>
        <w:jc w:val="center"/>
        <w:rPr>
          <w:b/>
        </w:rPr>
      </w:pPr>
      <w:bookmarkStart w:id="589" w:name="_Ref527999047"/>
      <w:bookmarkStart w:id="590" w:name="_Ref22650536"/>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9</w:t>
      </w:r>
      <w:r w:rsidRPr="005356D1">
        <w:rPr>
          <w:rFonts w:cs="Arial"/>
          <w:b/>
          <w:color w:val="000000" w:themeColor="text1"/>
        </w:rPr>
        <w:fldChar w:fldCharType="end"/>
      </w:r>
      <w:bookmarkEnd w:id="589"/>
      <w:r w:rsidRPr="005356D1">
        <w:rPr>
          <w:b/>
        </w:rPr>
        <w:t xml:space="preserve"> – Staff perspectives </w:t>
      </w:r>
      <w:r>
        <w:rPr>
          <w:b/>
        </w:rPr>
        <w:t xml:space="preserve">on </w:t>
      </w:r>
      <w:r w:rsidRPr="005356D1">
        <w:rPr>
          <w:b/>
        </w:rPr>
        <w:t>aspects of communicating and working with patients</w:t>
      </w:r>
      <w:bookmarkEnd w:id="590"/>
    </w:p>
    <w:p w14:paraId="63FE9DFA" w14:textId="77777777" w:rsidR="001C19F3" w:rsidRPr="005356D1" w:rsidRDefault="001C19F3" w:rsidP="001C19F3">
      <w:pPr>
        <w:jc w:val="center"/>
        <w:rPr>
          <w:i/>
          <w:sz w:val="18"/>
          <w:szCs w:val="18"/>
        </w:rPr>
      </w:pPr>
      <w:r w:rsidRPr="0061478E">
        <w:rPr>
          <w:rStyle w:val="ChartortablefootnoteChar"/>
        </w:rPr>
        <w:t>Source: Practice staff survey R1, Mar-Jun 2018.</w:t>
      </w:r>
    </w:p>
    <w:p w14:paraId="39FF6892" w14:textId="77777777" w:rsidR="001C19F3" w:rsidRPr="005356D1" w:rsidRDefault="001C19F3" w:rsidP="001C19F3">
      <w:pPr>
        <w:jc w:val="center"/>
        <w:rPr>
          <w:i/>
          <w:sz w:val="18"/>
          <w:szCs w:val="18"/>
        </w:rPr>
      </w:pPr>
    </w:p>
    <w:p w14:paraId="165B8055" w14:textId="77777777" w:rsidR="001C19F3" w:rsidRPr="005356D1" w:rsidRDefault="001C19F3" w:rsidP="001C19F3">
      <w:pPr>
        <w:jc w:val="center"/>
      </w:pPr>
      <w:r>
        <w:rPr>
          <w:noProof/>
          <w:lang w:eastAsia="en-AU"/>
        </w:rPr>
        <w:lastRenderedPageBreak/>
        <w:drawing>
          <wp:inline distT="0" distB="0" distL="0" distR="0" wp14:anchorId="5407CB67" wp14:editId="4A1309C1">
            <wp:extent cx="5731510" cy="625284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731510" cy="6252845"/>
                    </a:xfrm>
                    <a:prstGeom prst="rect">
                      <a:avLst/>
                    </a:prstGeom>
                  </pic:spPr>
                </pic:pic>
              </a:graphicData>
            </a:graphic>
          </wp:inline>
        </w:drawing>
      </w:r>
    </w:p>
    <w:p w14:paraId="4F5707CE" w14:textId="77777777" w:rsidR="001C19F3" w:rsidRPr="005356D1" w:rsidRDefault="001C19F3" w:rsidP="001C19F3">
      <w:pPr>
        <w:spacing w:after="0"/>
        <w:jc w:val="center"/>
        <w:rPr>
          <w:b/>
        </w:rPr>
      </w:pPr>
      <w:bookmarkStart w:id="591" w:name="_Ref527999077"/>
      <w:bookmarkStart w:id="592" w:name="_Ref22650539"/>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10</w:t>
      </w:r>
      <w:r w:rsidRPr="005356D1">
        <w:rPr>
          <w:rFonts w:cs="Arial"/>
          <w:b/>
          <w:color w:val="000000" w:themeColor="text1"/>
        </w:rPr>
        <w:fldChar w:fldCharType="end"/>
      </w:r>
      <w:bookmarkEnd w:id="591"/>
      <w:r w:rsidRPr="005356D1">
        <w:rPr>
          <w:b/>
        </w:rPr>
        <w:t xml:space="preserve"> – Staff perspectives </w:t>
      </w:r>
      <w:r>
        <w:rPr>
          <w:b/>
        </w:rPr>
        <w:t xml:space="preserve">on </w:t>
      </w:r>
      <w:r w:rsidRPr="005356D1">
        <w:rPr>
          <w:b/>
        </w:rPr>
        <w:t xml:space="preserve">planning care </w:t>
      </w:r>
      <w:r>
        <w:rPr>
          <w:b/>
        </w:rPr>
        <w:t xml:space="preserve">for and </w:t>
      </w:r>
      <w:r w:rsidRPr="005356D1">
        <w:rPr>
          <w:b/>
        </w:rPr>
        <w:t>with patients</w:t>
      </w:r>
      <w:bookmarkEnd w:id="592"/>
    </w:p>
    <w:p w14:paraId="58D35C40" w14:textId="77777777" w:rsidR="001C19F3" w:rsidRPr="005356D1" w:rsidRDefault="001C19F3" w:rsidP="001C19F3">
      <w:pPr>
        <w:pStyle w:val="Chartortablefootnote"/>
      </w:pPr>
      <w:r w:rsidRPr="005356D1">
        <w:t xml:space="preserve">Source: </w:t>
      </w:r>
      <w:r>
        <w:t>Practice staff survey R1, Mar-Jun 2018.</w:t>
      </w:r>
    </w:p>
    <w:p w14:paraId="3F86EB1A" w14:textId="77777777" w:rsidR="001C19F3" w:rsidRPr="005356D1" w:rsidRDefault="001C19F3" w:rsidP="001C19F3">
      <w:pPr>
        <w:jc w:val="center"/>
        <w:rPr>
          <w:i/>
          <w:sz w:val="18"/>
          <w:szCs w:val="18"/>
        </w:rPr>
      </w:pPr>
    </w:p>
    <w:p w14:paraId="35F614D8" w14:textId="77777777" w:rsidR="001C19F3" w:rsidRPr="005356D1" w:rsidRDefault="001C19F3" w:rsidP="001C19F3">
      <w:pPr>
        <w:jc w:val="center"/>
      </w:pPr>
      <w:r>
        <w:rPr>
          <w:noProof/>
          <w:lang w:eastAsia="en-AU"/>
        </w:rPr>
        <w:lastRenderedPageBreak/>
        <w:drawing>
          <wp:inline distT="0" distB="0" distL="0" distR="0" wp14:anchorId="576A1B10" wp14:editId="1C9D0883">
            <wp:extent cx="5731510" cy="4360545"/>
            <wp:effectExtent l="0" t="0" r="254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731510" cy="4360545"/>
                    </a:xfrm>
                    <a:prstGeom prst="rect">
                      <a:avLst/>
                    </a:prstGeom>
                  </pic:spPr>
                </pic:pic>
              </a:graphicData>
            </a:graphic>
          </wp:inline>
        </w:drawing>
      </w:r>
    </w:p>
    <w:p w14:paraId="3C8A787D" w14:textId="77777777" w:rsidR="001C19F3" w:rsidRPr="005356D1" w:rsidRDefault="001C19F3" w:rsidP="001C19F3">
      <w:pPr>
        <w:spacing w:after="0"/>
        <w:jc w:val="center"/>
        <w:rPr>
          <w:b/>
        </w:rPr>
      </w:pPr>
      <w:bookmarkStart w:id="593" w:name="_Ref527999080"/>
      <w:bookmarkStart w:id="594" w:name="_Ref22650542"/>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11</w:t>
      </w:r>
      <w:r w:rsidRPr="005356D1">
        <w:rPr>
          <w:rFonts w:cs="Arial"/>
          <w:b/>
          <w:color w:val="000000" w:themeColor="text1"/>
        </w:rPr>
        <w:fldChar w:fldCharType="end"/>
      </w:r>
      <w:bookmarkEnd w:id="593"/>
      <w:r w:rsidRPr="005356D1">
        <w:rPr>
          <w:b/>
        </w:rPr>
        <w:t xml:space="preserve"> – Staff perspectives </w:t>
      </w:r>
      <w:r>
        <w:rPr>
          <w:b/>
        </w:rPr>
        <w:t xml:space="preserve">on use of additional supportive services for </w:t>
      </w:r>
      <w:r w:rsidRPr="005356D1">
        <w:rPr>
          <w:b/>
        </w:rPr>
        <w:t>patients</w:t>
      </w:r>
      <w:bookmarkEnd w:id="594"/>
    </w:p>
    <w:p w14:paraId="273D1AF8" w14:textId="77777777" w:rsidR="001C19F3" w:rsidRPr="005356D1" w:rsidRDefault="001C19F3" w:rsidP="001C19F3">
      <w:pPr>
        <w:jc w:val="center"/>
        <w:rPr>
          <w:i/>
          <w:sz w:val="18"/>
          <w:szCs w:val="18"/>
        </w:rPr>
      </w:pPr>
      <w:r w:rsidRPr="005356D1">
        <w:rPr>
          <w:i/>
          <w:sz w:val="18"/>
          <w:szCs w:val="18"/>
        </w:rPr>
        <w:t xml:space="preserve">Source: </w:t>
      </w:r>
      <w:r>
        <w:rPr>
          <w:rFonts w:eastAsia="Century Gothic" w:cs="Century Gothic"/>
          <w:i/>
          <w:color w:val="000000"/>
          <w:sz w:val="18"/>
          <w:szCs w:val="18"/>
        </w:rPr>
        <w:t>Practice staff survey R1, Mar-Jun 2018.</w:t>
      </w:r>
    </w:p>
    <w:p w14:paraId="6E40617A" w14:textId="77777777" w:rsidR="001C19F3" w:rsidRPr="005356D1" w:rsidRDefault="001C19F3" w:rsidP="001C19F3">
      <w:pPr>
        <w:jc w:val="center"/>
        <w:rPr>
          <w:i/>
          <w:sz w:val="18"/>
          <w:szCs w:val="18"/>
        </w:rPr>
      </w:pPr>
      <w:r>
        <w:rPr>
          <w:noProof/>
          <w:lang w:eastAsia="en-AU"/>
        </w:rPr>
        <w:drawing>
          <wp:inline distT="0" distB="0" distL="0" distR="0" wp14:anchorId="4F5C38F2" wp14:editId="20016DF6">
            <wp:extent cx="5731510" cy="3286760"/>
            <wp:effectExtent l="0" t="0" r="254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731510" cy="3286760"/>
                    </a:xfrm>
                    <a:prstGeom prst="rect">
                      <a:avLst/>
                    </a:prstGeom>
                  </pic:spPr>
                </pic:pic>
              </a:graphicData>
            </a:graphic>
          </wp:inline>
        </w:drawing>
      </w:r>
    </w:p>
    <w:p w14:paraId="36E866CE" w14:textId="77777777" w:rsidR="001C19F3" w:rsidRPr="005356D1" w:rsidRDefault="001C19F3" w:rsidP="001C19F3">
      <w:pPr>
        <w:spacing w:after="0"/>
        <w:jc w:val="center"/>
        <w:rPr>
          <w:b/>
        </w:rPr>
      </w:pPr>
      <w:bookmarkStart w:id="595" w:name="_Ref527999126"/>
      <w:bookmarkStart w:id="596" w:name="_Ref22650552"/>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12</w:t>
      </w:r>
      <w:r w:rsidRPr="005356D1">
        <w:rPr>
          <w:rFonts w:cs="Arial"/>
          <w:b/>
          <w:color w:val="000000" w:themeColor="text1"/>
        </w:rPr>
        <w:fldChar w:fldCharType="end"/>
      </w:r>
      <w:bookmarkEnd w:id="595"/>
      <w:r w:rsidRPr="005356D1">
        <w:rPr>
          <w:b/>
        </w:rPr>
        <w:t xml:space="preserve"> – Staff perspectives </w:t>
      </w:r>
      <w:r>
        <w:rPr>
          <w:b/>
        </w:rPr>
        <w:t xml:space="preserve">on </w:t>
      </w:r>
      <w:r w:rsidRPr="005356D1">
        <w:rPr>
          <w:b/>
        </w:rPr>
        <w:t>communications with medical specialists</w:t>
      </w:r>
      <w:bookmarkEnd w:id="596"/>
    </w:p>
    <w:p w14:paraId="0CBCAC74" w14:textId="77777777" w:rsidR="001C19F3" w:rsidRPr="005356D1" w:rsidRDefault="001C19F3" w:rsidP="001C19F3">
      <w:pPr>
        <w:pStyle w:val="Chartortablefootnote"/>
      </w:pPr>
      <w:r w:rsidRPr="005356D1">
        <w:t>Source</w:t>
      </w:r>
      <w:r w:rsidRPr="00896C6C">
        <w:t xml:space="preserve"> </w:t>
      </w:r>
      <w:r>
        <w:t>Practice staff survey R1, Mar-Jun 2018.</w:t>
      </w:r>
    </w:p>
    <w:p w14:paraId="3D3099C9" w14:textId="77777777" w:rsidR="001C19F3" w:rsidRPr="005356D1" w:rsidRDefault="001C19F3" w:rsidP="001C19F3">
      <w:pPr>
        <w:jc w:val="center"/>
      </w:pPr>
      <w:r>
        <w:rPr>
          <w:noProof/>
          <w:lang w:eastAsia="en-AU"/>
        </w:rPr>
        <w:lastRenderedPageBreak/>
        <w:drawing>
          <wp:inline distT="0" distB="0" distL="0" distR="0" wp14:anchorId="71E44C3B" wp14:editId="5E4D79C7">
            <wp:extent cx="5426710" cy="3111971"/>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34857" cy="3116643"/>
                    </a:xfrm>
                    <a:prstGeom prst="rect">
                      <a:avLst/>
                    </a:prstGeom>
                  </pic:spPr>
                </pic:pic>
              </a:graphicData>
            </a:graphic>
          </wp:inline>
        </w:drawing>
      </w:r>
    </w:p>
    <w:p w14:paraId="0C887DFA" w14:textId="77777777" w:rsidR="001C19F3" w:rsidRPr="005356D1" w:rsidRDefault="001C19F3" w:rsidP="001C19F3">
      <w:pPr>
        <w:spacing w:after="0"/>
        <w:jc w:val="center"/>
        <w:rPr>
          <w:b/>
        </w:rPr>
      </w:pPr>
      <w:bookmarkStart w:id="597" w:name="_Ref527999162"/>
      <w:bookmarkStart w:id="598" w:name="_Ref22650555"/>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13</w:t>
      </w:r>
      <w:r w:rsidRPr="005356D1">
        <w:rPr>
          <w:rFonts w:cs="Arial"/>
          <w:b/>
          <w:color w:val="000000" w:themeColor="text1"/>
        </w:rPr>
        <w:fldChar w:fldCharType="end"/>
      </w:r>
      <w:bookmarkEnd w:id="597"/>
      <w:r w:rsidRPr="005356D1">
        <w:rPr>
          <w:b/>
        </w:rPr>
        <w:t xml:space="preserve"> – Staff perspectives </w:t>
      </w:r>
      <w:r>
        <w:rPr>
          <w:b/>
        </w:rPr>
        <w:t>on processes following hospital discharge</w:t>
      </w:r>
      <w:bookmarkEnd w:id="598"/>
    </w:p>
    <w:p w14:paraId="6B559E02" w14:textId="77777777" w:rsidR="001C19F3" w:rsidRDefault="001C19F3" w:rsidP="001C19F3">
      <w:pPr>
        <w:pStyle w:val="Chartortablefootnote"/>
      </w:pPr>
      <w:r w:rsidRPr="005356D1">
        <w:t xml:space="preserve">Source: </w:t>
      </w:r>
      <w:r>
        <w:t>Practice staff survey R1, Mar-Jun 2018.</w:t>
      </w:r>
    </w:p>
    <w:p w14:paraId="4E9BA9C9" w14:textId="77777777" w:rsidR="001C19F3" w:rsidRPr="005356D1" w:rsidRDefault="001C19F3" w:rsidP="001C19F3">
      <w:pPr>
        <w:jc w:val="center"/>
      </w:pPr>
      <w:r>
        <w:rPr>
          <w:noProof/>
          <w:lang w:eastAsia="en-AU"/>
        </w:rPr>
        <w:drawing>
          <wp:inline distT="0" distB="0" distL="0" distR="0" wp14:anchorId="5D45BB5B" wp14:editId="573179C2">
            <wp:extent cx="5417185" cy="4432297"/>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427072" cy="4440386"/>
                    </a:xfrm>
                    <a:prstGeom prst="rect">
                      <a:avLst/>
                    </a:prstGeom>
                  </pic:spPr>
                </pic:pic>
              </a:graphicData>
            </a:graphic>
          </wp:inline>
        </w:drawing>
      </w:r>
    </w:p>
    <w:p w14:paraId="44CD75FC" w14:textId="77777777" w:rsidR="001C19F3" w:rsidRPr="005356D1" w:rsidRDefault="001C19F3" w:rsidP="001C19F3">
      <w:pPr>
        <w:spacing w:after="0"/>
        <w:jc w:val="center"/>
        <w:rPr>
          <w:b/>
        </w:rPr>
      </w:pPr>
      <w:bookmarkStart w:id="599" w:name="_Ref527999234"/>
      <w:bookmarkStart w:id="600" w:name="_Ref22650808"/>
      <w:r w:rsidRPr="005356D1">
        <w:rPr>
          <w:b/>
        </w:rPr>
        <w:t xml:space="preserve">Figure </w:t>
      </w:r>
      <w:r w:rsidRPr="005356D1">
        <w:rPr>
          <w:rFonts w:cs="Arial"/>
          <w:b/>
          <w:color w:val="000000" w:themeColor="text1"/>
        </w:rPr>
        <w:fldChar w:fldCharType="begin"/>
      </w:r>
      <w:r w:rsidRPr="005356D1">
        <w:rPr>
          <w:rFonts w:cs="Arial"/>
          <w:b/>
          <w:color w:val="000000" w:themeColor="text1"/>
        </w:rPr>
        <w:instrText xml:space="preserve"> SEQ Figure \* ARABIC </w:instrText>
      </w:r>
      <w:r w:rsidRPr="005356D1">
        <w:rPr>
          <w:rFonts w:cs="Arial"/>
          <w:b/>
          <w:color w:val="000000" w:themeColor="text1"/>
        </w:rPr>
        <w:fldChar w:fldCharType="separate"/>
      </w:r>
      <w:r>
        <w:rPr>
          <w:rFonts w:cs="Arial"/>
          <w:b/>
          <w:noProof/>
          <w:color w:val="000000" w:themeColor="text1"/>
        </w:rPr>
        <w:t>14</w:t>
      </w:r>
      <w:r w:rsidRPr="005356D1">
        <w:rPr>
          <w:rFonts w:cs="Arial"/>
          <w:b/>
          <w:color w:val="000000" w:themeColor="text1"/>
        </w:rPr>
        <w:fldChar w:fldCharType="end"/>
      </w:r>
      <w:bookmarkEnd w:id="599"/>
      <w:r w:rsidRPr="005356D1">
        <w:rPr>
          <w:b/>
        </w:rPr>
        <w:t xml:space="preserve"> – Staff responses to question</w:t>
      </w:r>
      <w:r>
        <w:rPr>
          <w:b/>
        </w:rPr>
        <w:t>s</w:t>
      </w:r>
      <w:r w:rsidRPr="005356D1">
        <w:rPr>
          <w:b/>
        </w:rPr>
        <w:t xml:space="preserve"> about their experience </w:t>
      </w:r>
      <w:r>
        <w:rPr>
          <w:b/>
        </w:rPr>
        <w:t>of</w:t>
      </w:r>
      <w:r w:rsidRPr="005356D1">
        <w:rPr>
          <w:b/>
        </w:rPr>
        <w:t xml:space="preserve"> </w:t>
      </w:r>
      <w:r>
        <w:rPr>
          <w:b/>
        </w:rPr>
        <w:t xml:space="preserve">their </w:t>
      </w:r>
      <w:r w:rsidRPr="005356D1">
        <w:rPr>
          <w:b/>
        </w:rPr>
        <w:t>work</w:t>
      </w:r>
      <w:bookmarkEnd w:id="600"/>
      <w:r w:rsidRPr="005356D1">
        <w:rPr>
          <w:b/>
        </w:rPr>
        <w:t xml:space="preserve"> </w:t>
      </w:r>
    </w:p>
    <w:p w14:paraId="193428F4" w14:textId="77777777" w:rsidR="001C19F3" w:rsidRPr="005356D1" w:rsidRDefault="001C19F3" w:rsidP="001C19F3">
      <w:pPr>
        <w:spacing w:after="0"/>
        <w:jc w:val="center"/>
        <w:rPr>
          <w:b/>
        </w:rPr>
      </w:pPr>
      <w:r w:rsidRPr="005356D1">
        <w:rPr>
          <w:b/>
        </w:rPr>
        <w:t>and the work environment</w:t>
      </w:r>
    </w:p>
    <w:p w14:paraId="0113DB68" w14:textId="77777777" w:rsidR="001C19F3" w:rsidRPr="00EC447D" w:rsidRDefault="001C19F3" w:rsidP="001C19F3">
      <w:pPr>
        <w:pStyle w:val="Chartortablefootnote"/>
      </w:pPr>
      <w:r w:rsidRPr="005356D1">
        <w:t xml:space="preserve">Source: </w:t>
      </w:r>
      <w:r>
        <w:t>Practice staff survey R1, Mar-Jun 2018.</w:t>
      </w:r>
    </w:p>
    <w:p w14:paraId="71D4D22F" w14:textId="77777777" w:rsidR="001C19F3" w:rsidRDefault="001C19F3" w:rsidP="001C19F3">
      <w:pPr>
        <w:spacing w:after="160" w:line="259" w:lineRule="auto"/>
        <w:sectPr w:rsidR="001C19F3" w:rsidSect="00521305">
          <w:footerReference w:type="default" r:id="rId188"/>
          <w:footerReference w:type="first" r:id="rId189"/>
          <w:pgSz w:w="11906" w:h="16838"/>
          <w:pgMar w:top="1440" w:right="1440" w:bottom="1440" w:left="1440" w:header="708" w:footer="708" w:gutter="0"/>
          <w:cols w:space="708"/>
          <w:titlePg/>
          <w:docGrid w:linePitch="360"/>
        </w:sectPr>
      </w:pPr>
    </w:p>
    <w:p w14:paraId="0C905821" w14:textId="77777777" w:rsidR="001C19F3" w:rsidRDefault="001C19F3" w:rsidP="001C19F3">
      <w:pPr>
        <w:pStyle w:val="Appendix"/>
      </w:pPr>
      <w:bookmarkStart w:id="601" w:name="_Toc27058970"/>
      <w:r>
        <w:lastRenderedPageBreak/>
        <w:t>Appendix 3 – Patient surveys: Additional tables</w:t>
      </w:r>
      <w:bookmarkEnd w:id="601"/>
    </w:p>
    <w:p w14:paraId="18919D2B" w14:textId="77777777" w:rsidR="001C19F3" w:rsidRDefault="001C19F3" w:rsidP="001C19F3">
      <w:pPr>
        <w:pStyle w:val="Heading2"/>
        <w:jc w:val="center"/>
      </w:pPr>
      <w:bookmarkStart w:id="602" w:name="_Toc27058971"/>
      <w:r>
        <w:t>Part A: Cross tabulations by patient tier and practice size</w:t>
      </w:r>
      <w:bookmarkEnd w:id="602"/>
    </w:p>
    <w:p w14:paraId="2547306C" w14:textId="77777777" w:rsidR="001C19F3" w:rsidRDefault="001C19F3" w:rsidP="001C19F3">
      <w:pPr>
        <w:pStyle w:val="Caption1"/>
      </w:pPr>
      <w:r>
        <w:t xml:space="preserve">Table </w:t>
      </w:r>
      <w:r>
        <w:fldChar w:fldCharType="begin"/>
      </w:r>
      <w:r>
        <w:instrText>SEQ Table \* ARABIC</w:instrText>
      </w:r>
      <w:r>
        <w:fldChar w:fldCharType="separate"/>
      </w:r>
      <w:r>
        <w:rPr>
          <w:noProof/>
        </w:rPr>
        <w:t>61</w:t>
      </w:r>
      <w:r>
        <w:fldChar w:fldCharType="end"/>
      </w:r>
      <w:r>
        <w:t xml:space="preserve"> – Respondent characteristics by patient HCH tier and practice size</w:t>
      </w:r>
    </w:p>
    <w:tbl>
      <w:tblPr>
        <w:tblW w:w="5000" w:type="pct"/>
        <w:jc w:val="center"/>
        <w:tblLook w:val="04A0" w:firstRow="1" w:lastRow="0" w:firstColumn="1" w:lastColumn="0" w:noHBand="0" w:noVBand="1"/>
      </w:tblPr>
      <w:tblGrid>
        <w:gridCol w:w="3108"/>
        <w:gridCol w:w="1536"/>
        <w:gridCol w:w="1327"/>
        <w:gridCol w:w="1327"/>
        <w:gridCol w:w="1483"/>
        <w:gridCol w:w="1176"/>
        <w:gridCol w:w="1327"/>
        <w:gridCol w:w="1327"/>
        <w:gridCol w:w="1327"/>
      </w:tblGrid>
      <w:tr w:rsidR="001C19F3" w14:paraId="187C1840" w14:textId="77777777" w:rsidTr="00521305">
        <w:trPr>
          <w:cantSplit/>
          <w:trHeight w:val="20"/>
          <w:tblHeader/>
          <w:jc w:val="center"/>
        </w:trPr>
        <w:tc>
          <w:tcPr>
            <w:tcW w:w="1115"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71962BF" w14:textId="77777777" w:rsidR="001C19F3" w:rsidRDefault="001C19F3" w:rsidP="00521305">
            <w:pPr>
              <w:spacing w:after="0"/>
              <w:jc w:val="center"/>
            </w:pPr>
            <w:r>
              <w:rPr>
                <w:rFonts w:eastAsia="Century Gothic" w:cs="Century Gothic"/>
                <w:b/>
                <w:color w:val="FFFFFF"/>
                <w:sz w:val="18"/>
                <w:szCs w:val="18"/>
              </w:rPr>
              <w:t>Respondents’ characteristics</w:t>
            </w:r>
          </w:p>
        </w:tc>
        <w:tc>
          <w:tcPr>
            <w:tcW w:w="551"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3EE061D" w14:textId="77777777" w:rsidR="001C19F3" w:rsidRDefault="001C19F3" w:rsidP="00521305">
            <w:pPr>
              <w:spacing w:after="0"/>
              <w:jc w:val="center"/>
            </w:pPr>
            <w:r>
              <w:rPr>
                <w:rFonts w:eastAsia="Century Gothic" w:cs="Century Gothic"/>
                <w:b/>
                <w:color w:val="FFFFFF"/>
                <w:sz w:val="18"/>
                <w:szCs w:val="18"/>
              </w:rPr>
              <w:t>Total</w:t>
            </w:r>
          </w:p>
        </w:tc>
        <w:tc>
          <w:tcPr>
            <w:tcW w:w="1906" w:type="pct"/>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D6D6060" w14:textId="77777777" w:rsidR="001C19F3" w:rsidRDefault="001C19F3" w:rsidP="00521305">
            <w:pPr>
              <w:spacing w:after="0"/>
              <w:jc w:val="center"/>
            </w:pPr>
            <w:r>
              <w:rPr>
                <w:rFonts w:eastAsia="Century Gothic" w:cs="Century Gothic"/>
                <w:b/>
                <w:color w:val="FFFFFF"/>
                <w:sz w:val="18"/>
                <w:szCs w:val="18"/>
              </w:rPr>
              <w:t>Tier</w:t>
            </w:r>
          </w:p>
        </w:tc>
        <w:tc>
          <w:tcPr>
            <w:tcW w:w="1428"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817148C" w14:textId="77777777" w:rsidR="001C19F3" w:rsidRDefault="001C19F3" w:rsidP="00521305">
            <w:pPr>
              <w:spacing w:after="0"/>
              <w:jc w:val="center"/>
            </w:pPr>
            <w:r>
              <w:rPr>
                <w:rFonts w:eastAsia="Century Gothic" w:cs="Century Gothic"/>
                <w:b/>
                <w:color w:val="FFFFFF"/>
                <w:sz w:val="18"/>
                <w:szCs w:val="18"/>
              </w:rPr>
              <w:t>Size</w:t>
            </w:r>
          </w:p>
        </w:tc>
      </w:tr>
      <w:tr w:rsidR="001C19F3" w14:paraId="3131DBD8" w14:textId="77777777" w:rsidTr="00521305">
        <w:trPr>
          <w:cantSplit/>
          <w:trHeight w:val="20"/>
          <w:tblHeader/>
          <w:jc w:val="center"/>
        </w:trPr>
        <w:tc>
          <w:tcPr>
            <w:tcW w:w="1115" w:type="pct"/>
            <w:vMerge/>
            <w:tcBorders>
              <w:top w:val="single" w:sz="8" w:space="0" w:color="BFBFBF"/>
              <w:left w:val="single" w:sz="8" w:space="0" w:color="BFBFBF"/>
              <w:bottom w:val="single" w:sz="8" w:space="0" w:color="BFBFBF"/>
              <w:right w:val="single" w:sz="8" w:space="0" w:color="BFBFBF"/>
            </w:tcBorders>
            <w:vAlign w:val="center"/>
            <w:hideMark/>
          </w:tcPr>
          <w:p w14:paraId="6BBB1D79" w14:textId="77777777" w:rsidR="001C19F3" w:rsidRDefault="001C19F3" w:rsidP="00521305">
            <w:pPr>
              <w:spacing w:after="0"/>
              <w:rPr>
                <w:sz w:val="22"/>
              </w:rPr>
            </w:pPr>
          </w:p>
        </w:tc>
        <w:tc>
          <w:tcPr>
            <w:tcW w:w="551" w:type="pct"/>
            <w:vMerge/>
            <w:tcBorders>
              <w:top w:val="single" w:sz="8" w:space="0" w:color="BFBFBF"/>
              <w:left w:val="single" w:sz="8" w:space="0" w:color="BFBFBF"/>
              <w:bottom w:val="single" w:sz="8" w:space="0" w:color="BFBFBF"/>
              <w:right w:val="single" w:sz="8" w:space="0" w:color="BFBFBF"/>
            </w:tcBorders>
            <w:vAlign w:val="center"/>
            <w:hideMark/>
          </w:tcPr>
          <w:p w14:paraId="04669D14"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FA4ADF4" w14:textId="77777777" w:rsidR="001C19F3" w:rsidRDefault="001C19F3" w:rsidP="00521305">
            <w:pPr>
              <w:spacing w:after="0"/>
              <w:jc w:val="center"/>
            </w:pPr>
            <w:r>
              <w:rPr>
                <w:rFonts w:eastAsia="Century Gothic" w:cs="Century Gothic"/>
                <w:b/>
                <w:color w:val="FFFFFF"/>
                <w:sz w:val="18"/>
                <w:szCs w:val="18"/>
              </w:rPr>
              <w:t>Tier 1</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BB2517E" w14:textId="77777777" w:rsidR="001C19F3" w:rsidRDefault="001C19F3" w:rsidP="00521305">
            <w:pPr>
              <w:spacing w:after="0"/>
              <w:jc w:val="center"/>
            </w:pPr>
            <w:r>
              <w:rPr>
                <w:rFonts w:eastAsia="Century Gothic" w:cs="Century Gothic"/>
                <w:b/>
                <w:color w:val="FFFFFF"/>
                <w:sz w:val="18"/>
                <w:szCs w:val="18"/>
              </w:rPr>
              <w:t>Tier 2</w:t>
            </w:r>
          </w:p>
        </w:tc>
        <w:tc>
          <w:tcPr>
            <w:tcW w:w="53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ED1F53" w14:textId="77777777" w:rsidR="001C19F3" w:rsidRDefault="001C19F3" w:rsidP="00521305">
            <w:pPr>
              <w:spacing w:after="0"/>
              <w:jc w:val="center"/>
            </w:pPr>
            <w:r>
              <w:rPr>
                <w:rFonts w:eastAsia="Century Gothic" w:cs="Century Gothic"/>
                <w:b/>
                <w:color w:val="FFFFFF"/>
                <w:sz w:val="18"/>
                <w:szCs w:val="18"/>
              </w:rPr>
              <w:t>Tier 3</w:t>
            </w:r>
          </w:p>
        </w:tc>
        <w:tc>
          <w:tcPr>
            <w:tcW w:w="42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D770BD"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0D0EB3"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F9D59A"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3842FFC"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578EA10"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CBCCB3" w14:textId="77777777" w:rsidR="001C19F3" w:rsidRDefault="001C19F3" w:rsidP="00521305">
            <w:pPr>
              <w:spacing w:before="40" w:after="40"/>
              <w:ind w:left="100" w:right="100"/>
            </w:pPr>
            <w:r>
              <w:rPr>
                <w:rFonts w:eastAsia="Century Gothic" w:cs="Century Gothic"/>
                <w:b/>
                <w:color w:val="000000"/>
                <w:sz w:val="18"/>
                <w:szCs w:val="18"/>
              </w:rPr>
              <w:t>A1 Sex</w:t>
            </w:r>
          </w:p>
        </w:tc>
      </w:tr>
      <w:tr w:rsidR="001C19F3" w14:paraId="1E4FF36D"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B82508" w14:textId="77777777" w:rsidR="001C19F3" w:rsidRDefault="001C19F3" w:rsidP="00521305">
            <w:pPr>
              <w:spacing w:before="40" w:after="40"/>
              <w:ind w:left="160" w:right="100"/>
            </w:pPr>
            <w:r>
              <w:rPr>
                <w:rFonts w:eastAsia="Century Gothic" w:cs="Century Gothic"/>
                <w:color w:val="000000"/>
                <w:sz w:val="18"/>
                <w:szCs w:val="18"/>
              </w:rPr>
              <w:t>Female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7166BE" w14:textId="77777777" w:rsidR="001C19F3" w:rsidRDefault="001C19F3" w:rsidP="00521305">
            <w:pPr>
              <w:spacing w:before="40" w:after="40"/>
              <w:ind w:left="100" w:right="100"/>
              <w:jc w:val="center"/>
            </w:pPr>
            <w:r>
              <w:rPr>
                <w:rFonts w:eastAsia="Century Gothic" w:cs="Century Gothic"/>
                <w:color w:val="000000"/>
                <w:sz w:val="18"/>
                <w:szCs w:val="18"/>
              </w:rPr>
              <w:t>1,083 (54.4%)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7F61C2" w14:textId="77777777" w:rsidR="001C19F3" w:rsidRDefault="001C19F3" w:rsidP="00521305">
            <w:pPr>
              <w:spacing w:before="40" w:after="40"/>
              <w:ind w:left="100" w:right="100"/>
              <w:jc w:val="center"/>
            </w:pPr>
            <w:r>
              <w:rPr>
                <w:rFonts w:eastAsia="Century Gothic" w:cs="Century Gothic"/>
                <w:color w:val="000000"/>
                <w:sz w:val="18"/>
                <w:szCs w:val="18"/>
              </w:rPr>
              <w:t>246 (55.8%)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64E69" w14:textId="77777777" w:rsidR="001C19F3" w:rsidRDefault="001C19F3" w:rsidP="00521305">
            <w:pPr>
              <w:spacing w:before="40" w:after="40"/>
              <w:ind w:left="100" w:right="100"/>
              <w:jc w:val="center"/>
            </w:pPr>
            <w:r>
              <w:rPr>
                <w:rFonts w:eastAsia="Century Gothic" w:cs="Century Gothic"/>
                <w:color w:val="000000"/>
                <w:sz w:val="18"/>
                <w:szCs w:val="18"/>
              </w:rPr>
              <w:t>572 (55.5%)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8ABA3B" w14:textId="77777777" w:rsidR="001C19F3" w:rsidRDefault="001C19F3" w:rsidP="00521305">
            <w:pPr>
              <w:spacing w:before="40" w:after="40"/>
              <w:ind w:left="100" w:right="100"/>
              <w:jc w:val="center"/>
            </w:pPr>
            <w:r>
              <w:rPr>
                <w:rFonts w:eastAsia="Century Gothic" w:cs="Century Gothic"/>
                <w:color w:val="000000"/>
                <w:sz w:val="18"/>
                <w:szCs w:val="18"/>
              </w:rPr>
              <w:t>239 (51.1%)</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174A18" w14:textId="77777777" w:rsidR="001C19F3" w:rsidRDefault="001C19F3" w:rsidP="00521305">
            <w:pPr>
              <w:spacing w:before="40" w:after="40"/>
              <w:ind w:left="100" w:right="100"/>
              <w:jc w:val="center"/>
            </w:pPr>
            <w:r>
              <w:rPr>
                <w:rFonts w:eastAsia="Century Gothic" w:cs="Century Gothic"/>
                <w:color w:val="000000"/>
                <w:sz w:val="18"/>
                <w:szCs w:val="18"/>
              </w:rPr>
              <w:t>0.233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823A55" w14:textId="77777777" w:rsidR="001C19F3" w:rsidRDefault="001C19F3" w:rsidP="00521305">
            <w:pPr>
              <w:spacing w:before="40" w:after="40"/>
              <w:ind w:left="100" w:right="100"/>
              <w:jc w:val="right"/>
            </w:pPr>
            <w:r>
              <w:rPr>
                <w:rFonts w:eastAsia="Century Gothic" w:cs="Century Gothic"/>
                <w:color w:val="000000"/>
                <w:sz w:val="18"/>
                <w:szCs w:val="18"/>
              </w:rPr>
              <w:t>642 (54.2%)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04B0E3" w14:textId="77777777" w:rsidR="001C19F3" w:rsidRDefault="001C19F3" w:rsidP="00521305">
            <w:pPr>
              <w:spacing w:before="40" w:after="40"/>
              <w:ind w:left="100" w:right="100"/>
              <w:jc w:val="right"/>
            </w:pPr>
            <w:r>
              <w:rPr>
                <w:rFonts w:eastAsia="Century Gothic" w:cs="Century Gothic"/>
                <w:color w:val="000000"/>
                <w:sz w:val="18"/>
                <w:szCs w:val="18"/>
              </w:rPr>
              <w:t>441 (54.7%)</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02BE6B" w14:textId="77777777" w:rsidR="001C19F3" w:rsidRDefault="001C19F3" w:rsidP="00521305">
            <w:pPr>
              <w:spacing w:before="40" w:after="40"/>
              <w:ind w:left="100" w:right="100"/>
              <w:jc w:val="right"/>
            </w:pPr>
            <w:r>
              <w:rPr>
                <w:rFonts w:eastAsia="Century Gothic" w:cs="Century Gothic"/>
                <w:color w:val="000000"/>
                <w:sz w:val="18"/>
                <w:szCs w:val="18"/>
              </w:rPr>
              <w:t>0.849</w:t>
            </w:r>
          </w:p>
        </w:tc>
      </w:tr>
      <w:tr w:rsidR="001C19F3" w14:paraId="5112F72E"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3A6D4B" w14:textId="77777777" w:rsidR="001C19F3" w:rsidRDefault="001C19F3" w:rsidP="00521305">
            <w:pPr>
              <w:spacing w:before="40" w:after="40"/>
              <w:ind w:left="160" w:right="100"/>
            </w:pPr>
            <w:r>
              <w:rPr>
                <w:rFonts w:eastAsia="Century Gothic" w:cs="Century Gothic"/>
                <w:color w:val="000000"/>
                <w:sz w:val="18"/>
                <w:szCs w:val="18"/>
              </w:rPr>
              <w:t>Male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7FC823" w14:textId="77777777" w:rsidR="001C19F3" w:rsidRDefault="001C19F3" w:rsidP="00521305">
            <w:pPr>
              <w:spacing w:before="40" w:after="40"/>
              <w:ind w:left="100" w:right="100"/>
              <w:jc w:val="center"/>
            </w:pPr>
            <w:r>
              <w:rPr>
                <w:rFonts w:eastAsia="Century Gothic" w:cs="Century Gothic"/>
                <w:color w:val="000000"/>
                <w:sz w:val="18"/>
                <w:szCs w:val="18"/>
              </w:rPr>
              <w:t>908 (45.6%)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2DC427" w14:textId="77777777" w:rsidR="001C19F3" w:rsidRDefault="001C19F3" w:rsidP="00521305">
            <w:pPr>
              <w:spacing w:before="40" w:after="40"/>
              <w:ind w:left="100" w:right="100"/>
              <w:jc w:val="center"/>
            </w:pPr>
            <w:r>
              <w:rPr>
                <w:rFonts w:eastAsia="Century Gothic" w:cs="Century Gothic"/>
                <w:color w:val="000000"/>
                <w:sz w:val="18"/>
                <w:szCs w:val="18"/>
              </w:rPr>
              <w:t>195 (44.2%)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CAD30D" w14:textId="77777777" w:rsidR="001C19F3" w:rsidRDefault="001C19F3" w:rsidP="00521305">
            <w:pPr>
              <w:spacing w:before="40" w:after="40"/>
              <w:ind w:left="100" w:right="100"/>
              <w:jc w:val="center"/>
            </w:pPr>
            <w:r>
              <w:rPr>
                <w:rFonts w:eastAsia="Century Gothic" w:cs="Century Gothic"/>
                <w:color w:val="000000"/>
                <w:sz w:val="18"/>
                <w:szCs w:val="18"/>
              </w:rPr>
              <w:t>459 (44.5%)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0F6D1E" w14:textId="77777777" w:rsidR="001C19F3" w:rsidRDefault="001C19F3" w:rsidP="00521305">
            <w:pPr>
              <w:spacing w:before="40" w:after="40"/>
              <w:ind w:left="100" w:right="100"/>
              <w:jc w:val="center"/>
            </w:pPr>
            <w:r>
              <w:rPr>
                <w:rFonts w:eastAsia="Century Gothic" w:cs="Century Gothic"/>
                <w:color w:val="000000"/>
                <w:sz w:val="18"/>
                <w:szCs w:val="18"/>
              </w:rPr>
              <w:t>229 (48.9%)</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3DD9F81B"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100656" w14:textId="77777777" w:rsidR="001C19F3" w:rsidRDefault="001C19F3" w:rsidP="00521305">
            <w:pPr>
              <w:spacing w:before="40" w:after="40"/>
              <w:ind w:left="100" w:right="100"/>
              <w:jc w:val="right"/>
            </w:pPr>
            <w:r>
              <w:rPr>
                <w:rFonts w:eastAsia="Century Gothic" w:cs="Century Gothic"/>
                <w:color w:val="000000"/>
                <w:sz w:val="18"/>
                <w:szCs w:val="18"/>
              </w:rPr>
              <w:t>543 (45.8%)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D00BF9" w14:textId="77777777" w:rsidR="001C19F3" w:rsidRDefault="001C19F3" w:rsidP="00521305">
            <w:pPr>
              <w:spacing w:before="40" w:after="40"/>
              <w:ind w:left="100" w:right="100"/>
              <w:jc w:val="right"/>
            </w:pPr>
            <w:r>
              <w:rPr>
                <w:rFonts w:eastAsia="Century Gothic" w:cs="Century Gothic"/>
                <w:color w:val="000000"/>
                <w:sz w:val="18"/>
                <w:szCs w:val="18"/>
              </w:rPr>
              <w:t>365 (45.3%)</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03683DAE" w14:textId="77777777" w:rsidR="001C19F3" w:rsidRDefault="001C19F3" w:rsidP="00521305">
            <w:pPr>
              <w:spacing w:after="0"/>
              <w:rPr>
                <w:sz w:val="22"/>
              </w:rPr>
            </w:pPr>
          </w:p>
        </w:tc>
      </w:tr>
      <w:tr w:rsidR="001C19F3" w14:paraId="50790B21"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A177AD" w14:textId="77777777" w:rsidR="001C19F3" w:rsidRDefault="001C19F3" w:rsidP="00521305">
            <w:pPr>
              <w:spacing w:before="40" w:after="40"/>
              <w:ind w:left="100" w:right="100"/>
            </w:pPr>
            <w:r>
              <w:rPr>
                <w:rFonts w:eastAsia="Century Gothic" w:cs="Century Gothic"/>
                <w:b/>
                <w:color w:val="000000"/>
                <w:sz w:val="18"/>
                <w:szCs w:val="18"/>
              </w:rPr>
              <w:t>A2 Age group</w:t>
            </w:r>
          </w:p>
        </w:tc>
      </w:tr>
      <w:tr w:rsidR="001C19F3" w14:paraId="56A4DACC"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ACBE50" w14:textId="77777777" w:rsidR="001C19F3" w:rsidRDefault="001C19F3" w:rsidP="00521305">
            <w:pPr>
              <w:spacing w:before="40" w:after="40"/>
              <w:ind w:left="160" w:right="100"/>
            </w:pPr>
            <w:r>
              <w:rPr>
                <w:rFonts w:eastAsia="Century Gothic" w:cs="Century Gothic"/>
                <w:color w:val="000000"/>
                <w:sz w:val="18"/>
                <w:szCs w:val="18"/>
              </w:rPr>
              <w:t>00-24</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0DEE49"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7B3D96"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F67FE1" w14:textId="77777777" w:rsidR="001C19F3" w:rsidRDefault="001C19F3" w:rsidP="00521305">
            <w:pPr>
              <w:spacing w:before="40" w:after="40"/>
              <w:ind w:left="100" w:right="100"/>
              <w:jc w:val="center"/>
            </w:pPr>
            <w:r>
              <w:rPr>
                <w:rFonts w:eastAsia="Century Gothic" w:cs="Century Gothic"/>
                <w:color w:val="000000"/>
                <w:sz w:val="18"/>
                <w:szCs w:val="18"/>
              </w:rPr>
              <w:t>8 (0.8%)</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94B328" w14:textId="77777777" w:rsidR="001C19F3" w:rsidRDefault="001C19F3" w:rsidP="00521305">
            <w:pPr>
              <w:spacing w:before="40" w:after="40"/>
              <w:ind w:left="100" w:right="100"/>
              <w:jc w:val="center"/>
            </w:pPr>
            <w:r>
              <w:rPr>
                <w:rFonts w:eastAsia="Century Gothic" w:cs="Century Gothic"/>
                <w:color w:val="000000"/>
                <w:sz w:val="18"/>
                <w:szCs w:val="18"/>
              </w:rPr>
              <w:t>9 (1.9%)</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A9C5E6"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9BD28" w14:textId="77777777" w:rsidR="001C19F3" w:rsidRDefault="001C19F3" w:rsidP="00521305">
            <w:pPr>
              <w:spacing w:before="40" w:after="40"/>
              <w:ind w:left="100" w:right="100"/>
              <w:jc w:val="right"/>
            </w:pPr>
            <w:r>
              <w:rPr>
                <w:rFonts w:eastAsia="Century Gothic" w:cs="Century Gothic"/>
                <w:color w:val="000000"/>
                <w:sz w:val="18"/>
                <w:szCs w:val="18"/>
              </w:rPr>
              <w:t>3 (0.2%)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7A6EA4" w14:textId="77777777" w:rsidR="001C19F3" w:rsidRDefault="001C19F3" w:rsidP="00521305">
            <w:pPr>
              <w:spacing w:before="40" w:after="40"/>
              <w:ind w:left="100" w:right="100"/>
              <w:jc w:val="right"/>
            </w:pPr>
            <w:r>
              <w:rPr>
                <w:rFonts w:eastAsia="Century Gothic" w:cs="Century Gothic"/>
                <w:color w:val="000000"/>
                <w:sz w:val="18"/>
                <w:szCs w:val="18"/>
              </w:rPr>
              <w:t>15 (1.8%)</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F34B83"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F4294F9"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6AA7D8" w14:textId="77777777" w:rsidR="001C19F3" w:rsidRDefault="001C19F3" w:rsidP="00521305">
            <w:pPr>
              <w:spacing w:before="40" w:after="40"/>
              <w:ind w:left="160" w:right="100"/>
            </w:pPr>
            <w:r>
              <w:rPr>
                <w:rFonts w:eastAsia="Century Gothic" w:cs="Century Gothic"/>
                <w:color w:val="000000"/>
                <w:sz w:val="18"/>
                <w:szCs w:val="18"/>
              </w:rPr>
              <w:t>25-44</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B5B3E1" w14:textId="77777777" w:rsidR="001C19F3" w:rsidRDefault="001C19F3" w:rsidP="00521305">
            <w:pPr>
              <w:spacing w:before="40" w:after="40"/>
              <w:ind w:left="100" w:right="100"/>
              <w:jc w:val="center"/>
            </w:pPr>
            <w:r>
              <w:rPr>
                <w:rFonts w:eastAsia="Century Gothic" w:cs="Century Gothic"/>
                <w:color w:val="000000"/>
                <w:sz w:val="18"/>
                <w:szCs w:val="18"/>
              </w:rPr>
              <w:t>128 (6.4%)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C2913D" w14:textId="77777777" w:rsidR="001C19F3" w:rsidRDefault="001C19F3" w:rsidP="00521305">
            <w:pPr>
              <w:spacing w:before="40" w:after="40"/>
              <w:ind w:left="100" w:right="100"/>
              <w:jc w:val="center"/>
            </w:pPr>
            <w:r>
              <w:rPr>
                <w:rFonts w:eastAsia="Century Gothic" w:cs="Century Gothic"/>
                <w:color w:val="000000"/>
                <w:sz w:val="18"/>
                <w:szCs w:val="18"/>
              </w:rPr>
              <w:t>26 (5.9%)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4A841D" w14:textId="77777777" w:rsidR="001C19F3" w:rsidRDefault="001C19F3" w:rsidP="00521305">
            <w:pPr>
              <w:spacing w:before="40" w:after="40"/>
              <w:ind w:left="100" w:right="100"/>
              <w:jc w:val="center"/>
            </w:pPr>
            <w:r>
              <w:rPr>
                <w:rFonts w:eastAsia="Century Gothic" w:cs="Century Gothic"/>
                <w:color w:val="000000"/>
                <w:sz w:val="18"/>
                <w:szCs w:val="18"/>
              </w:rPr>
              <w:t>67 (6.5%)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BB13CA" w14:textId="77777777" w:rsidR="001C19F3" w:rsidRDefault="001C19F3" w:rsidP="00521305">
            <w:pPr>
              <w:spacing w:before="40" w:after="40"/>
              <w:ind w:left="100" w:right="100"/>
              <w:jc w:val="center"/>
            </w:pPr>
            <w:r>
              <w:rPr>
                <w:rFonts w:eastAsia="Century Gothic" w:cs="Century Gothic"/>
                <w:color w:val="000000"/>
                <w:sz w:val="18"/>
                <w:szCs w:val="18"/>
              </w:rPr>
              <w:t>33 (7.0%)</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77F3229E"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83F95D" w14:textId="77777777" w:rsidR="001C19F3" w:rsidRDefault="001C19F3" w:rsidP="00521305">
            <w:pPr>
              <w:spacing w:before="40" w:after="40"/>
              <w:ind w:left="100" w:right="100"/>
              <w:jc w:val="right"/>
            </w:pPr>
            <w:r>
              <w:rPr>
                <w:rFonts w:eastAsia="Century Gothic" w:cs="Century Gothic"/>
                <w:color w:val="000000"/>
                <w:sz w:val="18"/>
                <w:szCs w:val="18"/>
              </w:rPr>
              <w:t>37 (3.1%)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24943" w14:textId="77777777" w:rsidR="001C19F3" w:rsidRDefault="001C19F3" w:rsidP="00521305">
            <w:pPr>
              <w:spacing w:before="40" w:after="40"/>
              <w:ind w:left="100" w:right="100"/>
              <w:jc w:val="right"/>
            </w:pPr>
            <w:r>
              <w:rPr>
                <w:rFonts w:eastAsia="Century Gothic" w:cs="Century Gothic"/>
                <w:color w:val="000000"/>
                <w:sz w:val="18"/>
                <w:szCs w:val="18"/>
              </w:rPr>
              <w:t>91 (11.2%)</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39C17F6F" w14:textId="77777777" w:rsidR="001C19F3" w:rsidRDefault="001C19F3" w:rsidP="00521305">
            <w:pPr>
              <w:spacing w:after="0"/>
              <w:rPr>
                <w:sz w:val="22"/>
              </w:rPr>
            </w:pPr>
          </w:p>
        </w:tc>
      </w:tr>
      <w:tr w:rsidR="001C19F3" w14:paraId="4FB42861"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59F185" w14:textId="77777777" w:rsidR="001C19F3" w:rsidRDefault="001C19F3" w:rsidP="00521305">
            <w:pPr>
              <w:spacing w:before="40" w:after="40"/>
              <w:ind w:left="160" w:right="100"/>
            </w:pPr>
            <w:r>
              <w:rPr>
                <w:rFonts w:eastAsia="Century Gothic" w:cs="Century Gothic"/>
                <w:color w:val="000000"/>
                <w:sz w:val="18"/>
                <w:szCs w:val="18"/>
              </w:rPr>
              <w:t>45-64</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9345B8" w14:textId="77777777" w:rsidR="001C19F3" w:rsidRDefault="001C19F3" w:rsidP="00521305">
            <w:pPr>
              <w:spacing w:before="40" w:after="40"/>
              <w:ind w:left="100" w:right="100"/>
              <w:jc w:val="center"/>
            </w:pPr>
            <w:r>
              <w:rPr>
                <w:rFonts w:eastAsia="Century Gothic" w:cs="Century Gothic"/>
                <w:color w:val="000000"/>
                <w:sz w:val="18"/>
                <w:szCs w:val="18"/>
              </w:rPr>
              <w:t>551 (27.4%)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E68BD8" w14:textId="77777777" w:rsidR="001C19F3" w:rsidRDefault="001C19F3" w:rsidP="00521305">
            <w:pPr>
              <w:spacing w:before="40" w:after="40"/>
              <w:ind w:left="100" w:right="100"/>
              <w:jc w:val="center"/>
            </w:pPr>
            <w:r>
              <w:rPr>
                <w:rFonts w:eastAsia="Century Gothic" w:cs="Century Gothic"/>
                <w:color w:val="000000"/>
                <w:sz w:val="18"/>
                <w:szCs w:val="18"/>
              </w:rPr>
              <w:t>124 (28.2%)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FBBCF" w14:textId="77777777" w:rsidR="001C19F3" w:rsidRDefault="001C19F3" w:rsidP="00521305">
            <w:pPr>
              <w:spacing w:before="40" w:after="40"/>
              <w:ind w:left="100" w:right="100"/>
              <w:jc w:val="center"/>
            </w:pPr>
            <w:r>
              <w:rPr>
                <w:rFonts w:eastAsia="Century Gothic" w:cs="Century Gothic"/>
                <w:color w:val="000000"/>
                <w:sz w:val="18"/>
                <w:szCs w:val="18"/>
              </w:rPr>
              <w:t>270 (26.2%)</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249B9D" w14:textId="77777777" w:rsidR="001C19F3" w:rsidRDefault="001C19F3" w:rsidP="00521305">
            <w:pPr>
              <w:spacing w:before="40" w:after="40"/>
              <w:ind w:left="100" w:right="100"/>
              <w:jc w:val="center"/>
            </w:pPr>
            <w:r>
              <w:rPr>
                <w:rFonts w:eastAsia="Century Gothic" w:cs="Century Gothic"/>
                <w:color w:val="000000"/>
                <w:sz w:val="18"/>
                <w:szCs w:val="18"/>
              </w:rPr>
              <w:t>141 (29.9%)</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50729E57"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31544F" w14:textId="77777777" w:rsidR="001C19F3" w:rsidRDefault="001C19F3" w:rsidP="00521305">
            <w:pPr>
              <w:spacing w:before="40" w:after="40"/>
              <w:ind w:left="100" w:right="100"/>
              <w:jc w:val="right"/>
            </w:pPr>
            <w:r>
              <w:rPr>
                <w:rFonts w:eastAsia="Century Gothic" w:cs="Century Gothic"/>
                <w:color w:val="000000"/>
                <w:sz w:val="18"/>
                <w:szCs w:val="18"/>
              </w:rPr>
              <w:t>313 (26.1%)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7C3955" w14:textId="77777777" w:rsidR="001C19F3" w:rsidRDefault="001C19F3" w:rsidP="00521305">
            <w:pPr>
              <w:spacing w:before="40" w:after="40"/>
              <w:ind w:left="100" w:right="100"/>
              <w:jc w:val="right"/>
            </w:pPr>
            <w:r>
              <w:rPr>
                <w:rFonts w:eastAsia="Century Gothic" w:cs="Century Gothic"/>
                <w:color w:val="000000"/>
                <w:sz w:val="18"/>
                <w:szCs w:val="18"/>
              </w:rPr>
              <w:t>238 (29.3%)</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73B05B86" w14:textId="77777777" w:rsidR="001C19F3" w:rsidRDefault="001C19F3" w:rsidP="00521305">
            <w:pPr>
              <w:spacing w:after="0"/>
              <w:rPr>
                <w:sz w:val="22"/>
              </w:rPr>
            </w:pPr>
          </w:p>
        </w:tc>
      </w:tr>
      <w:tr w:rsidR="001C19F3" w14:paraId="2F607861"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7DDF17" w14:textId="77777777" w:rsidR="001C19F3" w:rsidRDefault="001C19F3" w:rsidP="00521305">
            <w:pPr>
              <w:spacing w:before="40" w:after="40"/>
              <w:ind w:left="160" w:right="100"/>
            </w:pPr>
            <w:r>
              <w:rPr>
                <w:rFonts w:eastAsia="Century Gothic" w:cs="Century Gothic"/>
                <w:color w:val="000000"/>
                <w:sz w:val="18"/>
                <w:szCs w:val="18"/>
              </w:rPr>
              <w:t>65-74</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E444A0" w14:textId="77777777" w:rsidR="001C19F3" w:rsidRDefault="001C19F3" w:rsidP="00521305">
            <w:pPr>
              <w:spacing w:before="40" w:after="40"/>
              <w:ind w:left="100" w:right="100"/>
              <w:jc w:val="center"/>
            </w:pPr>
            <w:r>
              <w:rPr>
                <w:rFonts w:eastAsia="Century Gothic" w:cs="Century Gothic"/>
                <w:color w:val="000000"/>
                <w:sz w:val="18"/>
                <w:szCs w:val="18"/>
              </w:rPr>
              <w:t>658 (32.7%)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29B513" w14:textId="77777777" w:rsidR="001C19F3" w:rsidRDefault="001C19F3" w:rsidP="00521305">
            <w:pPr>
              <w:spacing w:before="40" w:after="40"/>
              <w:ind w:left="100" w:right="100"/>
              <w:jc w:val="center"/>
            </w:pPr>
            <w:r>
              <w:rPr>
                <w:rFonts w:eastAsia="Century Gothic" w:cs="Century Gothic"/>
                <w:color w:val="000000"/>
                <w:sz w:val="18"/>
                <w:szCs w:val="18"/>
              </w:rPr>
              <w:t>156 (35.5%)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14529F" w14:textId="77777777" w:rsidR="001C19F3" w:rsidRDefault="001C19F3" w:rsidP="00521305">
            <w:pPr>
              <w:spacing w:before="40" w:after="40"/>
              <w:ind w:left="100" w:right="100"/>
              <w:jc w:val="center"/>
            </w:pPr>
            <w:r>
              <w:rPr>
                <w:rFonts w:eastAsia="Century Gothic" w:cs="Century Gothic"/>
                <w:color w:val="000000"/>
                <w:sz w:val="18"/>
                <w:szCs w:val="18"/>
              </w:rPr>
              <w:t>364 (35.3%)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B28ADC" w14:textId="77777777" w:rsidR="001C19F3" w:rsidRDefault="001C19F3" w:rsidP="00521305">
            <w:pPr>
              <w:spacing w:before="40" w:after="40"/>
              <w:ind w:left="100" w:right="100"/>
              <w:jc w:val="center"/>
            </w:pPr>
            <w:r>
              <w:rPr>
                <w:rFonts w:eastAsia="Century Gothic" w:cs="Century Gothic"/>
                <w:color w:val="000000"/>
                <w:sz w:val="18"/>
                <w:szCs w:val="18"/>
              </w:rPr>
              <w:t>112 (23.7%)</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1D85EDC5"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FF5BDC" w14:textId="77777777" w:rsidR="001C19F3" w:rsidRDefault="001C19F3" w:rsidP="00521305">
            <w:pPr>
              <w:spacing w:before="40" w:after="40"/>
              <w:ind w:left="100" w:right="100"/>
              <w:jc w:val="right"/>
            </w:pPr>
            <w:r>
              <w:rPr>
                <w:rFonts w:eastAsia="Century Gothic" w:cs="Century Gothic"/>
                <w:color w:val="000000"/>
                <w:sz w:val="18"/>
                <w:szCs w:val="18"/>
              </w:rPr>
              <w:t>383 (31.9%)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73D0BA" w14:textId="77777777" w:rsidR="001C19F3" w:rsidRDefault="001C19F3" w:rsidP="00521305">
            <w:pPr>
              <w:spacing w:before="40" w:after="40"/>
              <w:ind w:left="100" w:right="100"/>
              <w:jc w:val="right"/>
            </w:pPr>
            <w:r>
              <w:rPr>
                <w:rFonts w:eastAsia="Century Gothic" w:cs="Century Gothic"/>
                <w:color w:val="000000"/>
                <w:sz w:val="18"/>
                <w:szCs w:val="18"/>
              </w:rPr>
              <w:t>275 (33.9%)</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61B4631" w14:textId="77777777" w:rsidR="001C19F3" w:rsidRDefault="001C19F3" w:rsidP="00521305">
            <w:pPr>
              <w:spacing w:after="0"/>
              <w:rPr>
                <w:sz w:val="22"/>
              </w:rPr>
            </w:pPr>
          </w:p>
        </w:tc>
      </w:tr>
      <w:tr w:rsidR="001C19F3" w14:paraId="4B134F85"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6EC05" w14:textId="77777777" w:rsidR="001C19F3" w:rsidRDefault="001C19F3" w:rsidP="00521305">
            <w:pPr>
              <w:spacing w:before="40" w:after="40"/>
              <w:ind w:left="160" w:right="100"/>
            </w:pPr>
            <w:r>
              <w:rPr>
                <w:rFonts w:eastAsia="Century Gothic" w:cs="Century Gothic"/>
                <w:color w:val="000000"/>
                <w:sz w:val="18"/>
                <w:szCs w:val="18"/>
              </w:rPr>
              <w:t>75-84</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C939EE" w14:textId="77777777" w:rsidR="001C19F3" w:rsidRDefault="001C19F3" w:rsidP="00521305">
            <w:pPr>
              <w:spacing w:before="40" w:after="40"/>
              <w:ind w:left="100" w:right="100"/>
              <w:jc w:val="center"/>
            </w:pPr>
            <w:r>
              <w:rPr>
                <w:rFonts w:eastAsia="Century Gothic" w:cs="Century Gothic"/>
                <w:color w:val="000000"/>
                <w:sz w:val="18"/>
                <w:szCs w:val="18"/>
              </w:rPr>
              <w:t>513 (25.5%)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C04F8E" w14:textId="77777777" w:rsidR="001C19F3" w:rsidRDefault="001C19F3" w:rsidP="00521305">
            <w:pPr>
              <w:spacing w:before="40" w:after="40"/>
              <w:ind w:left="100" w:right="100"/>
              <w:jc w:val="center"/>
            </w:pPr>
            <w:r>
              <w:rPr>
                <w:rFonts w:eastAsia="Century Gothic" w:cs="Century Gothic"/>
                <w:color w:val="000000"/>
                <w:sz w:val="18"/>
                <w:szCs w:val="18"/>
              </w:rPr>
              <w:t>112 (25.5%)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B8CA3C" w14:textId="77777777" w:rsidR="001C19F3" w:rsidRDefault="001C19F3" w:rsidP="00521305">
            <w:pPr>
              <w:spacing w:before="40" w:after="40"/>
              <w:ind w:left="100" w:right="100"/>
              <w:jc w:val="center"/>
            </w:pPr>
            <w:r>
              <w:rPr>
                <w:rFonts w:eastAsia="Century Gothic" w:cs="Century Gothic"/>
                <w:color w:val="000000"/>
                <w:sz w:val="18"/>
                <w:szCs w:val="18"/>
              </w:rPr>
              <w:t>256 (24.9%)</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333CDC" w14:textId="77777777" w:rsidR="001C19F3" w:rsidRDefault="001C19F3" w:rsidP="00521305">
            <w:pPr>
              <w:spacing w:before="40" w:after="40"/>
              <w:ind w:left="100" w:right="100"/>
              <w:jc w:val="center"/>
            </w:pPr>
            <w:r>
              <w:rPr>
                <w:rFonts w:eastAsia="Century Gothic" w:cs="Century Gothic"/>
                <w:color w:val="000000"/>
                <w:sz w:val="18"/>
                <w:szCs w:val="18"/>
              </w:rPr>
              <w:t>128 (27.1%)</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7FB28E52"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0AEE28" w14:textId="77777777" w:rsidR="001C19F3" w:rsidRDefault="001C19F3" w:rsidP="00521305">
            <w:pPr>
              <w:spacing w:before="40" w:after="40"/>
              <w:ind w:left="100" w:right="100"/>
              <w:jc w:val="right"/>
            </w:pPr>
            <w:r>
              <w:rPr>
                <w:rFonts w:eastAsia="Century Gothic" w:cs="Century Gothic"/>
                <w:color w:val="000000"/>
                <w:sz w:val="18"/>
                <w:szCs w:val="18"/>
              </w:rPr>
              <w:t>364 (30.3%)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5F2C81" w14:textId="77777777" w:rsidR="001C19F3" w:rsidRDefault="001C19F3" w:rsidP="00521305">
            <w:pPr>
              <w:spacing w:before="40" w:after="40"/>
              <w:ind w:left="100" w:right="100"/>
              <w:jc w:val="right"/>
            </w:pPr>
            <w:r>
              <w:rPr>
                <w:rFonts w:eastAsia="Century Gothic" w:cs="Century Gothic"/>
                <w:color w:val="000000"/>
                <w:sz w:val="18"/>
                <w:szCs w:val="18"/>
              </w:rPr>
              <w:t>149 (18.3%)</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643B1EA3" w14:textId="77777777" w:rsidR="001C19F3" w:rsidRDefault="001C19F3" w:rsidP="00521305">
            <w:pPr>
              <w:spacing w:after="0"/>
              <w:rPr>
                <w:sz w:val="22"/>
              </w:rPr>
            </w:pPr>
          </w:p>
        </w:tc>
      </w:tr>
      <w:tr w:rsidR="001C19F3" w14:paraId="5FE7ED25"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DE8845" w14:textId="77777777" w:rsidR="001C19F3" w:rsidRDefault="001C19F3" w:rsidP="00521305">
            <w:pPr>
              <w:spacing w:before="40" w:after="40"/>
              <w:ind w:left="160" w:right="100"/>
            </w:pPr>
            <w:r>
              <w:rPr>
                <w:rFonts w:eastAsia="Century Gothic" w:cs="Century Gothic"/>
                <w:color w:val="000000"/>
                <w:sz w:val="18"/>
                <w:szCs w:val="18"/>
              </w:rPr>
              <w:t>85+</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1E8891" w14:textId="77777777" w:rsidR="001C19F3" w:rsidRDefault="001C19F3" w:rsidP="00521305">
            <w:pPr>
              <w:spacing w:before="40" w:after="40"/>
              <w:ind w:left="100" w:right="100"/>
              <w:jc w:val="center"/>
            </w:pPr>
            <w:r>
              <w:rPr>
                <w:rFonts w:eastAsia="Century Gothic" w:cs="Century Gothic"/>
                <w:color w:val="000000"/>
                <w:sz w:val="18"/>
                <w:szCs w:val="18"/>
              </w:rPr>
              <w:t>144 (7.2%)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6A2A26" w14:textId="77777777" w:rsidR="001C19F3" w:rsidRDefault="001C19F3" w:rsidP="00521305">
            <w:pPr>
              <w:spacing w:before="40" w:after="40"/>
              <w:ind w:left="100" w:right="100"/>
              <w:jc w:val="center"/>
            </w:pPr>
            <w:r>
              <w:rPr>
                <w:rFonts w:eastAsia="Century Gothic" w:cs="Century Gothic"/>
                <w:color w:val="000000"/>
                <w:sz w:val="18"/>
                <w:szCs w:val="18"/>
              </w:rPr>
              <w:t>21 (4.8%)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FB6DF" w14:textId="77777777" w:rsidR="001C19F3" w:rsidRDefault="001C19F3" w:rsidP="00521305">
            <w:pPr>
              <w:spacing w:before="40" w:after="40"/>
              <w:ind w:left="100" w:right="100"/>
              <w:jc w:val="center"/>
            </w:pPr>
            <w:r>
              <w:rPr>
                <w:rFonts w:eastAsia="Century Gothic" w:cs="Century Gothic"/>
                <w:color w:val="000000"/>
                <w:sz w:val="18"/>
                <w:szCs w:val="18"/>
              </w:rPr>
              <w:t>65 (6.3%)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772BEE" w14:textId="77777777" w:rsidR="001C19F3" w:rsidRDefault="001C19F3" w:rsidP="00521305">
            <w:pPr>
              <w:spacing w:before="40" w:after="40"/>
              <w:ind w:left="100" w:right="100"/>
              <w:jc w:val="center"/>
            </w:pPr>
            <w:r>
              <w:rPr>
                <w:rFonts w:eastAsia="Century Gothic" w:cs="Century Gothic"/>
                <w:color w:val="000000"/>
                <w:sz w:val="18"/>
                <w:szCs w:val="18"/>
              </w:rPr>
              <w:t>49 (10.4%)</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4EDD2129"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4DF85D" w14:textId="77777777" w:rsidR="001C19F3" w:rsidRDefault="001C19F3" w:rsidP="00521305">
            <w:pPr>
              <w:spacing w:before="40" w:after="40"/>
              <w:ind w:left="100" w:right="100"/>
              <w:jc w:val="right"/>
            </w:pPr>
            <w:r>
              <w:rPr>
                <w:rFonts w:eastAsia="Century Gothic" w:cs="Century Gothic"/>
                <w:color w:val="000000"/>
                <w:sz w:val="18"/>
                <w:szCs w:val="18"/>
              </w:rPr>
              <w:t>100 (8.3%)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3DD2CB" w14:textId="77777777" w:rsidR="001C19F3" w:rsidRDefault="001C19F3" w:rsidP="00521305">
            <w:pPr>
              <w:spacing w:before="40" w:after="40"/>
              <w:ind w:left="100" w:right="100"/>
              <w:jc w:val="right"/>
            </w:pPr>
            <w:r>
              <w:rPr>
                <w:rFonts w:eastAsia="Century Gothic" w:cs="Century Gothic"/>
                <w:color w:val="000000"/>
                <w:sz w:val="18"/>
                <w:szCs w:val="18"/>
              </w:rPr>
              <w:t>44 (5.4%)</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74CC6267" w14:textId="77777777" w:rsidR="001C19F3" w:rsidRDefault="001C19F3" w:rsidP="00521305">
            <w:pPr>
              <w:spacing w:after="0"/>
              <w:rPr>
                <w:sz w:val="22"/>
              </w:rPr>
            </w:pPr>
          </w:p>
        </w:tc>
      </w:tr>
      <w:tr w:rsidR="001C19F3" w14:paraId="0A3D2F23"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819BA7" w14:textId="77777777" w:rsidR="001C19F3" w:rsidRDefault="001C19F3" w:rsidP="00521305">
            <w:pPr>
              <w:spacing w:before="40" w:after="40"/>
              <w:ind w:left="100" w:right="100"/>
            </w:pPr>
            <w:r>
              <w:rPr>
                <w:rFonts w:eastAsia="Century Gothic" w:cs="Century Gothic"/>
                <w:b/>
                <w:color w:val="000000"/>
                <w:sz w:val="18"/>
                <w:szCs w:val="18"/>
              </w:rPr>
              <w:t>A3 Indigenous status (Q34)</w:t>
            </w:r>
          </w:p>
        </w:tc>
      </w:tr>
      <w:tr w:rsidR="001C19F3" w14:paraId="03037021"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46008B" w14:textId="77777777" w:rsidR="001C19F3" w:rsidRDefault="001C19F3" w:rsidP="00521305">
            <w:pPr>
              <w:spacing w:before="40" w:after="40"/>
              <w:ind w:left="160" w:right="100"/>
            </w:pPr>
            <w:r>
              <w:rPr>
                <w:rFonts w:eastAsia="Century Gothic" w:cs="Century Gothic"/>
                <w:color w:val="000000"/>
                <w:sz w:val="18"/>
                <w:szCs w:val="18"/>
              </w:rPr>
              <w:t>Yes - Aboriginal or Torres Strait Islander</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8FC27D" w14:textId="77777777" w:rsidR="001C19F3" w:rsidRDefault="001C19F3" w:rsidP="00521305">
            <w:pPr>
              <w:spacing w:before="40" w:after="40"/>
              <w:ind w:left="100" w:right="100"/>
              <w:jc w:val="center"/>
            </w:pPr>
            <w:r>
              <w:rPr>
                <w:rFonts w:eastAsia="Century Gothic" w:cs="Century Gothic"/>
                <w:color w:val="000000"/>
                <w:sz w:val="18"/>
                <w:szCs w:val="18"/>
              </w:rPr>
              <w:t>66 (3.3%)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252821" w14:textId="77777777" w:rsidR="001C19F3" w:rsidRDefault="001C19F3" w:rsidP="00521305">
            <w:pPr>
              <w:spacing w:before="40" w:after="40"/>
              <w:ind w:left="100" w:right="100"/>
              <w:jc w:val="center"/>
            </w:pPr>
            <w:r>
              <w:rPr>
                <w:rFonts w:eastAsia="Century Gothic" w:cs="Century Gothic"/>
                <w:color w:val="000000"/>
                <w:sz w:val="18"/>
                <w:szCs w:val="18"/>
              </w:rPr>
              <w:t>8 (1.8%)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8130FC" w14:textId="77777777" w:rsidR="001C19F3" w:rsidRDefault="001C19F3" w:rsidP="00521305">
            <w:pPr>
              <w:spacing w:before="40" w:after="40"/>
              <w:ind w:left="100" w:right="100"/>
              <w:jc w:val="center"/>
            </w:pPr>
            <w:r>
              <w:rPr>
                <w:rFonts w:eastAsia="Century Gothic" w:cs="Century Gothic"/>
                <w:color w:val="000000"/>
                <w:sz w:val="18"/>
                <w:szCs w:val="18"/>
              </w:rPr>
              <w:t>34 (3.3%)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4119D3" w14:textId="77777777" w:rsidR="001C19F3" w:rsidRDefault="001C19F3" w:rsidP="00521305">
            <w:pPr>
              <w:spacing w:before="40" w:after="40"/>
              <w:ind w:left="100" w:right="100"/>
              <w:jc w:val="center"/>
            </w:pPr>
            <w:r>
              <w:rPr>
                <w:rFonts w:eastAsia="Century Gothic" w:cs="Century Gothic"/>
                <w:color w:val="000000"/>
                <w:sz w:val="18"/>
                <w:szCs w:val="18"/>
              </w:rPr>
              <w:t>24 (5.1%)</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888B2B" w14:textId="77777777" w:rsidR="001C19F3" w:rsidRDefault="001C19F3" w:rsidP="00521305">
            <w:pPr>
              <w:spacing w:before="40" w:after="40"/>
              <w:ind w:left="100" w:right="100"/>
              <w:jc w:val="center"/>
            </w:pPr>
            <w:r>
              <w:rPr>
                <w:rFonts w:eastAsia="Century Gothic" w:cs="Century Gothic"/>
                <w:color w:val="000000"/>
                <w:sz w:val="18"/>
                <w:szCs w:val="18"/>
              </w:rPr>
              <w:t>0.022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4FD075" w14:textId="77777777" w:rsidR="001C19F3" w:rsidRDefault="001C19F3" w:rsidP="00521305">
            <w:pPr>
              <w:spacing w:before="40" w:after="40"/>
              <w:ind w:left="100" w:right="100"/>
              <w:jc w:val="right"/>
            </w:pPr>
            <w:r>
              <w:rPr>
                <w:rFonts w:eastAsia="Century Gothic" w:cs="Century Gothic"/>
                <w:color w:val="000000"/>
                <w:sz w:val="18"/>
                <w:szCs w:val="18"/>
              </w:rPr>
              <w:t>18 (1.5%)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FCD831" w14:textId="77777777" w:rsidR="001C19F3" w:rsidRDefault="001C19F3" w:rsidP="00521305">
            <w:pPr>
              <w:spacing w:before="40" w:after="40"/>
              <w:ind w:left="100" w:right="100"/>
              <w:jc w:val="right"/>
            </w:pPr>
            <w:r>
              <w:rPr>
                <w:rFonts w:eastAsia="Century Gothic" w:cs="Century Gothic"/>
                <w:color w:val="000000"/>
                <w:sz w:val="18"/>
                <w:szCs w:val="18"/>
              </w:rPr>
              <w:t>48 (5.9%)</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FEB8C6"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52EF4D89"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F1608E" w14:textId="77777777" w:rsidR="001C19F3" w:rsidRDefault="001C19F3" w:rsidP="00521305">
            <w:pPr>
              <w:spacing w:before="40" w:after="40"/>
              <w:ind w:left="160" w:right="100"/>
            </w:pPr>
            <w:r>
              <w:rPr>
                <w:rFonts w:eastAsia="Century Gothic" w:cs="Century Gothic"/>
                <w:color w:val="000000"/>
                <w:sz w:val="18"/>
                <w:szCs w:val="18"/>
              </w:rPr>
              <w:t>No</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1F4C5" w14:textId="77777777" w:rsidR="001C19F3" w:rsidRDefault="001C19F3" w:rsidP="00521305">
            <w:pPr>
              <w:spacing w:before="40" w:after="40"/>
              <w:ind w:left="100" w:right="100"/>
              <w:jc w:val="center"/>
            </w:pPr>
            <w:r>
              <w:rPr>
                <w:rFonts w:eastAsia="Century Gothic" w:cs="Century Gothic"/>
                <w:color w:val="000000"/>
                <w:sz w:val="18"/>
                <w:szCs w:val="18"/>
              </w:rPr>
              <w:t>1,936 (95.9%)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7D121" w14:textId="77777777" w:rsidR="001C19F3" w:rsidRDefault="001C19F3" w:rsidP="00521305">
            <w:pPr>
              <w:spacing w:before="40" w:after="40"/>
              <w:ind w:left="100" w:right="100"/>
              <w:jc w:val="center"/>
            </w:pPr>
            <w:r>
              <w:rPr>
                <w:rFonts w:eastAsia="Century Gothic" w:cs="Century Gothic"/>
                <w:color w:val="000000"/>
                <w:sz w:val="18"/>
                <w:szCs w:val="18"/>
              </w:rPr>
              <w:t>432 (98.2%)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EB53B" w14:textId="77777777" w:rsidR="001C19F3" w:rsidRDefault="001C19F3" w:rsidP="00521305">
            <w:pPr>
              <w:spacing w:before="40" w:after="40"/>
              <w:ind w:left="100" w:right="100"/>
              <w:jc w:val="center"/>
            </w:pPr>
            <w:r>
              <w:rPr>
                <w:rFonts w:eastAsia="Century Gothic" w:cs="Century Gothic"/>
                <w:color w:val="000000"/>
                <w:sz w:val="18"/>
                <w:szCs w:val="18"/>
              </w:rPr>
              <w:t>990 (96.7%)</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8B74E5" w14:textId="77777777" w:rsidR="001C19F3" w:rsidRDefault="001C19F3" w:rsidP="00521305">
            <w:pPr>
              <w:spacing w:before="40" w:after="40"/>
              <w:ind w:left="100" w:right="100"/>
              <w:jc w:val="center"/>
            </w:pPr>
            <w:r>
              <w:rPr>
                <w:rFonts w:eastAsia="Century Gothic" w:cs="Century Gothic"/>
                <w:color w:val="000000"/>
                <w:sz w:val="18"/>
                <w:szCs w:val="18"/>
              </w:rPr>
              <w:t>444 (94.9%)</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26105494"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896E02" w14:textId="77777777" w:rsidR="001C19F3" w:rsidRDefault="001C19F3" w:rsidP="00521305">
            <w:pPr>
              <w:spacing w:before="40" w:after="40"/>
              <w:ind w:left="100" w:right="100"/>
              <w:jc w:val="right"/>
            </w:pPr>
            <w:r>
              <w:rPr>
                <w:rFonts w:eastAsia="Century Gothic" w:cs="Century Gothic"/>
                <w:color w:val="000000"/>
                <w:sz w:val="18"/>
                <w:szCs w:val="18"/>
              </w:rPr>
              <w:t>1,177 (98.5%)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E1E10" w14:textId="77777777" w:rsidR="001C19F3" w:rsidRDefault="001C19F3" w:rsidP="00521305">
            <w:pPr>
              <w:spacing w:before="40" w:after="40"/>
              <w:ind w:left="100" w:right="100"/>
              <w:jc w:val="right"/>
            </w:pPr>
            <w:r>
              <w:rPr>
                <w:rFonts w:eastAsia="Century Gothic" w:cs="Century Gothic"/>
                <w:color w:val="000000"/>
                <w:sz w:val="18"/>
                <w:szCs w:val="18"/>
              </w:rPr>
              <w:t>759 (94.1%)</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49E435C3" w14:textId="77777777" w:rsidR="001C19F3" w:rsidRDefault="001C19F3" w:rsidP="00521305">
            <w:pPr>
              <w:spacing w:after="0"/>
              <w:rPr>
                <w:sz w:val="22"/>
              </w:rPr>
            </w:pPr>
          </w:p>
        </w:tc>
      </w:tr>
      <w:tr w:rsidR="001C19F3" w14:paraId="65469F54"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7E567D" w14:textId="77777777" w:rsidR="001C19F3" w:rsidRDefault="001C19F3" w:rsidP="00521305">
            <w:pPr>
              <w:spacing w:before="40" w:after="40"/>
              <w:ind w:left="160" w:right="100"/>
            </w:pPr>
            <w:r>
              <w:rPr>
                <w:rFonts w:eastAsia="Century Gothic" w:cs="Century Gothic"/>
                <w:color w:val="000000"/>
                <w:sz w:val="18"/>
                <w:szCs w:val="18"/>
              </w:rPr>
              <w:t>Don't know/ Refused</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C8CB75" w14:textId="77777777" w:rsidR="001C19F3" w:rsidRDefault="001C19F3" w:rsidP="00521305">
            <w:pPr>
              <w:spacing w:before="40" w:after="40"/>
              <w:ind w:left="100" w:right="100"/>
              <w:jc w:val="center"/>
            </w:pPr>
            <w:r>
              <w:rPr>
                <w:rFonts w:eastAsia="Century Gothic" w:cs="Century Gothic"/>
                <w:color w:val="000000"/>
                <w:sz w:val="18"/>
                <w:szCs w:val="18"/>
              </w:rPr>
              <w:t>16 (0.8%)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321D60"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9DA57F" w14:textId="77777777" w:rsidR="001C19F3" w:rsidRDefault="001C19F3" w:rsidP="00521305">
            <w:pPr>
              <w:spacing w:before="40" w:after="40"/>
              <w:ind w:left="100" w:right="100"/>
              <w:jc w:val="center"/>
            </w:pP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E2C6C4" w14:textId="77777777" w:rsidR="001C19F3" w:rsidRDefault="001C19F3" w:rsidP="00521305">
            <w:pPr>
              <w:spacing w:before="40" w:after="40"/>
              <w:ind w:left="100" w:right="100"/>
              <w:jc w:val="center"/>
            </w:pPr>
          </w:p>
        </w:tc>
        <w:tc>
          <w:tcPr>
            <w:tcW w:w="4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F015F5"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874028"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B50498"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7DE853" w14:textId="77777777" w:rsidR="001C19F3" w:rsidRDefault="001C19F3" w:rsidP="00521305">
            <w:pPr>
              <w:spacing w:before="40" w:after="40"/>
              <w:ind w:left="100" w:right="100"/>
              <w:jc w:val="right"/>
            </w:pPr>
          </w:p>
        </w:tc>
      </w:tr>
      <w:tr w:rsidR="001C19F3" w14:paraId="037D53D8"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5B37EC" w14:textId="77777777" w:rsidR="001C19F3" w:rsidRDefault="001C19F3" w:rsidP="00521305">
            <w:pPr>
              <w:spacing w:before="40" w:after="40"/>
              <w:ind w:left="100" w:right="100"/>
            </w:pPr>
            <w:r>
              <w:rPr>
                <w:rFonts w:eastAsia="Century Gothic" w:cs="Century Gothic"/>
                <w:b/>
                <w:color w:val="000000"/>
                <w:sz w:val="18"/>
                <w:szCs w:val="18"/>
              </w:rPr>
              <w:t>A4 Country of birth (Q35)</w:t>
            </w:r>
          </w:p>
        </w:tc>
      </w:tr>
      <w:tr w:rsidR="001C19F3" w14:paraId="7946E435"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649A6" w14:textId="77777777" w:rsidR="001C19F3" w:rsidRDefault="001C19F3" w:rsidP="00521305">
            <w:pPr>
              <w:spacing w:before="40" w:after="40"/>
              <w:ind w:left="160" w:right="100"/>
            </w:pPr>
            <w:r>
              <w:rPr>
                <w:rFonts w:eastAsia="Century Gothic" w:cs="Century Gothic"/>
                <w:color w:val="000000"/>
                <w:sz w:val="18"/>
                <w:szCs w:val="18"/>
              </w:rPr>
              <w:lastRenderedPageBreak/>
              <w:t>Australia</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470BF" w14:textId="77777777" w:rsidR="001C19F3" w:rsidRDefault="001C19F3" w:rsidP="00521305">
            <w:pPr>
              <w:spacing w:before="40" w:after="40"/>
              <w:ind w:left="100" w:right="100"/>
              <w:jc w:val="center"/>
            </w:pPr>
            <w:r>
              <w:rPr>
                <w:rFonts w:eastAsia="Century Gothic" w:cs="Century Gothic"/>
                <w:color w:val="000000"/>
                <w:sz w:val="18"/>
                <w:szCs w:val="18"/>
              </w:rPr>
              <w:t>1,379 (68.3%)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62A94" w14:textId="77777777" w:rsidR="001C19F3" w:rsidRDefault="001C19F3" w:rsidP="00521305">
            <w:pPr>
              <w:spacing w:before="40" w:after="40"/>
              <w:ind w:left="100" w:right="100"/>
              <w:jc w:val="center"/>
            </w:pPr>
            <w:r>
              <w:rPr>
                <w:rFonts w:eastAsia="Century Gothic" w:cs="Century Gothic"/>
                <w:color w:val="000000"/>
                <w:sz w:val="18"/>
                <w:szCs w:val="18"/>
              </w:rPr>
              <w:t>307 (69.6%)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BC256A" w14:textId="77777777" w:rsidR="001C19F3" w:rsidRDefault="001C19F3" w:rsidP="00521305">
            <w:pPr>
              <w:spacing w:before="40" w:after="40"/>
              <w:ind w:left="100" w:right="100"/>
              <w:jc w:val="center"/>
            </w:pPr>
            <w:r>
              <w:rPr>
                <w:rFonts w:eastAsia="Century Gothic" w:cs="Century Gothic"/>
                <w:color w:val="000000"/>
                <w:sz w:val="18"/>
                <w:szCs w:val="18"/>
              </w:rPr>
              <w:t>686 (66.5%)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42F73" w14:textId="77777777" w:rsidR="001C19F3" w:rsidRDefault="001C19F3" w:rsidP="00521305">
            <w:pPr>
              <w:spacing w:before="40" w:after="40"/>
              <w:ind w:left="100" w:right="100"/>
              <w:jc w:val="center"/>
            </w:pPr>
            <w:r>
              <w:rPr>
                <w:rFonts w:eastAsia="Century Gothic" w:cs="Century Gothic"/>
                <w:color w:val="000000"/>
                <w:sz w:val="18"/>
                <w:szCs w:val="18"/>
              </w:rPr>
              <w:t>335 (71.0%)</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CD1463" w14:textId="77777777" w:rsidR="001C19F3" w:rsidRDefault="001C19F3" w:rsidP="00521305">
            <w:pPr>
              <w:spacing w:before="40" w:after="40"/>
              <w:ind w:left="100" w:right="100"/>
              <w:jc w:val="center"/>
            </w:pPr>
            <w:r>
              <w:rPr>
                <w:rFonts w:eastAsia="Century Gothic" w:cs="Century Gothic"/>
                <w:color w:val="000000"/>
                <w:sz w:val="18"/>
                <w:szCs w:val="18"/>
              </w:rPr>
              <w:t>0.296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93E9FD" w14:textId="77777777" w:rsidR="001C19F3" w:rsidRDefault="001C19F3" w:rsidP="00521305">
            <w:pPr>
              <w:spacing w:before="40" w:after="40"/>
              <w:ind w:left="100" w:right="100"/>
              <w:jc w:val="right"/>
            </w:pPr>
            <w:r>
              <w:rPr>
                <w:rFonts w:eastAsia="Century Gothic" w:cs="Century Gothic"/>
                <w:color w:val="000000"/>
                <w:sz w:val="18"/>
                <w:szCs w:val="18"/>
              </w:rPr>
              <w:t>805 (66.9%)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846872" w14:textId="77777777" w:rsidR="001C19F3" w:rsidRDefault="001C19F3" w:rsidP="00521305">
            <w:pPr>
              <w:spacing w:before="40" w:after="40"/>
              <w:ind w:left="100" w:right="100"/>
              <w:jc w:val="right"/>
            </w:pPr>
            <w:r>
              <w:rPr>
                <w:rFonts w:eastAsia="Century Gothic" w:cs="Century Gothic"/>
                <w:color w:val="000000"/>
                <w:sz w:val="18"/>
                <w:szCs w:val="18"/>
              </w:rPr>
              <w:t>574 (70.8%)</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A7DFF1" w14:textId="77777777" w:rsidR="001C19F3" w:rsidRDefault="001C19F3" w:rsidP="00521305">
            <w:pPr>
              <w:spacing w:before="40" w:after="40"/>
              <w:ind w:left="100" w:right="100"/>
              <w:jc w:val="right"/>
            </w:pPr>
            <w:r>
              <w:rPr>
                <w:rFonts w:eastAsia="Century Gothic" w:cs="Century Gothic"/>
                <w:color w:val="000000"/>
                <w:sz w:val="18"/>
                <w:szCs w:val="18"/>
              </w:rPr>
              <w:t>0.002</w:t>
            </w:r>
          </w:p>
        </w:tc>
      </w:tr>
      <w:tr w:rsidR="001C19F3" w14:paraId="7F27CBA0"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ADC648" w14:textId="77777777" w:rsidR="001C19F3" w:rsidRDefault="001C19F3" w:rsidP="00521305">
            <w:pPr>
              <w:spacing w:before="40" w:after="40"/>
              <w:ind w:left="160" w:right="100"/>
            </w:pPr>
            <w:r>
              <w:rPr>
                <w:rFonts w:eastAsia="Century Gothic" w:cs="Century Gothic"/>
                <w:color w:val="000000"/>
                <w:sz w:val="18"/>
                <w:szCs w:val="18"/>
              </w:rPr>
              <w:t>UK (including England, Scotland, Northern Ireland, Wales)</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9C89E7" w14:textId="77777777" w:rsidR="001C19F3" w:rsidRDefault="001C19F3" w:rsidP="00521305">
            <w:pPr>
              <w:spacing w:before="40" w:after="40"/>
              <w:ind w:left="100" w:right="100"/>
              <w:jc w:val="center"/>
            </w:pPr>
            <w:r>
              <w:rPr>
                <w:rFonts w:eastAsia="Century Gothic" w:cs="Century Gothic"/>
                <w:color w:val="000000"/>
                <w:sz w:val="18"/>
                <w:szCs w:val="18"/>
              </w:rPr>
              <w:t>291 (14.4%)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634346" w14:textId="77777777" w:rsidR="001C19F3" w:rsidRDefault="001C19F3" w:rsidP="00521305">
            <w:pPr>
              <w:spacing w:before="40" w:after="40"/>
              <w:ind w:left="100" w:right="100"/>
              <w:jc w:val="center"/>
            </w:pPr>
            <w:r>
              <w:rPr>
                <w:rFonts w:eastAsia="Century Gothic" w:cs="Century Gothic"/>
                <w:color w:val="000000"/>
                <w:sz w:val="18"/>
                <w:szCs w:val="18"/>
              </w:rPr>
              <w:t>65 (14.7%)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18C4E6" w14:textId="77777777" w:rsidR="001C19F3" w:rsidRDefault="001C19F3" w:rsidP="00521305">
            <w:pPr>
              <w:spacing w:before="40" w:after="40"/>
              <w:ind w:left="100" w:right="100"/>
              <w:jc w:val="center"/>
            </w:pPr>
            <w:r>
              <w:rPr>
                <w:rFonts w:eastAsia="Century Gothic" w:cs="Century Gothic"/>
                <w:color w:val="000000"/>
                <w:sz w:val="18"/>
                <w:szCs w:val="18"/>
              </w:rPr>
              <w:t>158 (15.3%)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4677AF" w14:textId="77777777" w:rsidR="001C19F3" w:rsidRDefault="001C19F3" w:rsidP="00521305">
            <w:pPr>
              <w:spacing w:before="40" w:after="40"/>
              <w:ind w:left="100" w:right="100"/>
              <w:jc w:val="center"/>
            </w:pPr>
            <w:r>
              <w:rPr>
                <w:rFonts w:eastAsia="Century Gothic" w:cs="Century Gothic"/>
                <w:color w:val="000000"/>
                <w:sz w:val="18"/>
                <w:szCs w:val="18"/>
              </w:rPr>
              <w:t>57 (12.1%)</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326A3D08"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B4282F" w14:textId="77777777" w:rsidR="001C19F3" w:rsidRDefault="001C19F3" w:rsidP="00521305">
            <w:pPr>
              <w:spacing w:before="40" w:after="40"/>
              <w:ind w:left="100" w:right="100"/>
              <w:jc w:val="right"/>
            </w:pPr>
            <w:r>
              <w:rPr>
                <w:rFonts w:eastAsia="Century Gothic" w:cs="Century Gothic"/>
                <w:color w:val="000000"/>
                <w:sz w:val="18"/>
                <w:szCs w:val="18"/>
              </w:rPr>
              <w:t>198 (16.4%)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766978" w14:textId="77777777" w:rsidR="001C19F3" w:rsidRDefault="001C19F3" w:rsidP="00521305">
            <w:pPr>
              <w:spacing w:before="40" w:after="40"/>
              <w:ind w:left="100" w:right="100"/>
              <w:jc w:val="right"/>
            </w:pPr>
            <w:r>
              <w:rPr>
                <w:rFonts w:eastAsia="Century Gothic" w:cs="Century Gothic"/>
                <w:color w:val="000000"/>
                <w:sz w:val="18"/>
                <w:szCs w:val="18"/>
              </w:rPr>
              <w:t>93 (11.5%)</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7BB8E4A0" w14:textId="77777777" w:rsidR="001C19F3" w:rsidRDefault="001C19F3" w:rsidP="00521305">
            <w:pPr>
              <w:spacing w:after="0"/>
              <w:rPr>
                <w:sz w:val="22"/>
              </w:rPr>
            </w:pPr>
          </w:p>
        </w:tc>
      </w:tr>
      <w:tr w:rsidR="001C19F3" w14:paraId="13B0D558"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BC2EB" w14:textId="77777777" w:rsidR="001C19F3" w:rsidRDefault="001C19F3" w:rsidP="00521305">
            <w:pPr>
              <w:spacing w:before="40" w:after="40"/>
              <w:ind w:left="160" w:right="100"/>
            </w:pPr>
            <w:r>
              <w:rPr>
                <w:rFonts w:eastAsia="Century Gothic" w:cs="Century Gothic"/>
                <w:color w:val="000000"/>
                <w:sz w:val="18"/>
                <w:szCs w:val="18"/>
              </w:rPr>
              <w:t>India</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318CB6" w14:textId="77777777" w:rsidR="001C19F3" w:rsidRDefault="001C19F3" w:rsidP="00521305">
            <w:pPr>
              <w:spacing w:before="40" w:after="40"/>
              <w:ind w:left="100" w:right="100"/>
              <w:jc w:val="center"/>
            </w:pPr>
            <w:r>
              <w:rPr>
                <w:rFonts w:eastAsia="Century Gothic" w:cs="Century Gothic"/>
                <w:color w:val="000000"/>
                <w:sz w:val="18"/>
                <w:szCs w:val="18"/>
              </w:rPr>
              <w:t>43 (2.1%)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EFE5B3"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BFE16" w14:textId="77777777" w:rsidR="001C19F3" w:rsidRDefault="001C19F3" w:rsidP="00521305">
            <w:pPr>
              <w:spacing w:before="40" w:after="40"/>
              <w:ind w:left="100" w:right="100"/>
              <w:jc w:val="center"/>
            </w:pPr>
            <w:r>
              <w:rPr>
                <w:rFonts w:eastAsia="Century Gothic" w:cs="Century Gothic"/>
                <w:color w:val="000000"/>
                <w:sz w:val="18"/>
                <w:szCs w:val="18"/>
              </w:rPr>
              <w:t>26 (2.5%)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5F67B6" w14:textId="77777777" w:rsidR="001C19F3" w:rsidRDefault="001C19F3" w:rsidP="00521305">
            <w:pPr>
              <w:spacing w:before="40" w:after="40"/>
              <w:ind w:left="100" w:right="100"/>
              <w:jc w:val="center"/>
            </w:pPr>
            <w:r>
              <w:rPr>
                <w:rFonts w:eastAsia="Century Gothic" w:cs="Century Gothic"/>
                <w:color w:val="000000"/>
                <w:sz w:val="18"/>
                <w:szCs w:val="18"/>
              </w:rPr>
              <w:t>9 (1.9%)</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101A832B"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26B820" w14:textId="77777777" w:rsidR="001C19F3" w:rsidRDefault="001C19F3" w:rsidP="00521305">
            <w:pPr>
              <w:spacing w:before="40" w:after="40"/>
              <w:ind w:left="100" w:right="100"/>
              <w:jc w:val="right"/>
            </w:pPr>
            <w:r>
              <w:rPr>
                <w:rFonts w:eastAsia="Century Gothic" w:cs="Century Gothic"/>
                <w:color w:val="000000"/>
                <w:sz w:val="18"/>
                <w:szCs w:val="18"/>
              </w:rPr>
              <w:t>23 (1.9%)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72839C" w14:textId="77777777" w:rsidR="001C19F3" w:rsidRDefault="001C19F3" w:rsidP="00521305">
            <w:pPr>
              <w:spacing w:before="40" w:after="40"/>
              <w:ind w:left="100" w:right="100"/>
              <w:jc w:val="right"/>
            </w:pPr>
            <w:r>
              <w:rPr>
                <w:rFonts w:eastAsia="Century Gothic" w:cs="Century Gothic"/>
                <w:color w:val="000000"/>
                <w:sz w:val="18"/>
                <w:szCs w:val="18"/>
              </w:rPr>
              <w:t>20 (2.5%)</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02FC54D" w14:textId="77777777" w:rsidR="001C19F3" w:rsidRDefault="001C19F3" w:rsidP="00521305">
            <w:pPr>
              <w:spacing w:after="0"/>
              <w:rPr>
                <w:sz w:val="22"/>
              </w:rPr>
            </w:pPr>
          </w:p>
        </w:tc>
      </w:tr>
      <w:tr w:rsidR="001C19F3" w14:paraId="3DBD8CFD"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F5578E" w14:textId="77777777" w:rsidR="001C19F3" w:rsidRDefault="001C19F3" w:rsidP="00521305">
            <w:pPr>
              <w:spacing w:before="40" w:after="40"/>
              <w:ind w:left="160" w:right="100"/>
            </w:pPr>
            <w:r>
              <w:rPr>
                <w:rFonts w:eastAsia="Century Gothic" w:cs="Century Gothic"/>
                <w:color w:val="000000"/>
                <w:sz w:val="18"/>
                <w:szCs w:val="18"/>
              </w:rPr>
              <w:t>New Zealand</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2C9A1C" w14:textId="77777777" w:rsidR="001C19F3" w:rsidRDefault="001C19F3" w:rsidP="00521305">
            <w:pPr>
              <w:spacing w:before="40" w:after="40"/>
              <w:ind w:left="100" w:right="100"/>
              <w:jc w:val="center"/>
            </w:pPr>
            <w:r>
              <w:rPr>
                <w:rFonts w:eastAsia="Century Gothic" w:cs="Century Gothic"/>
                <w:color w:val="000000"/>
                <w:sz w:val="18"/>
                <w:szCs w:val="18"/>
              </w:rPr>
              <w:t>31 (1.5%)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20EE82" w14:textId="77777777" w:rsidR="001C19F3" w:rsidRDefault="001C19F3" w:rsidP="00521305">
            <w:pPr>
              <w:spacing w:before="40" w:after="40"/>
              <w:ind w:left="100" w:right="100"/>
              <w:jc w:val="center"/>
            </w:pPr>
            <w:r>
              <w:rPr>
                <w:rFonts w:eastAsia="Century Gothic" w:cs="Century Gothic"/>
                <w:color w:val="000000"/>
                <w:sz w:val="18"/>
                <w:szCs w:val="18"/>
              </w:rPr>
              <w:t>12 (2.7%)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A9C8A" w14:textId="77777777" w:rsidR="001C19F3" w:rsidRDefault="001C19F3" w:rsidP="00521305">
            <w:pPr>
              <w:spacing w:before="40" w:after="40"/>
              <w:ind w:left="100" w:right="100"/>
              <w:jc w:val="center"/>
            </w:pPr>
            <w:r>
              <w:rPr>
                <w:rFonts w:eastAsia="Century Gothic" w:cs="Century Gothic"/>
                <w:color w:val="000000"/>
                <w:sz w:val="18"/>
                <w:szCs w:val="18"/>
              </w:rPr>
              <w:t>13 (1.3%)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040D28" w14:textId="77777777" w:rsidR="001C19F3" w:rsidRDefault="001C19F3" w:rsidP="00521305">
            <w:pPr>
              <w:spacing w:before="40" w:after="40"/>
              <w:ind w:left="100" w:right="100"/>
              <w:jc w:val="center"/>
            </w:pPr>
            <w:r>
              <w:rPr>
                <w:rFonts w:eastAsia="Century Gothic" w:cs="Century Gothic"/>
                <w:color w:val="000000"/>
                <w:sz w:val="18"/>
                <w:szCs w:val="18"/>
              </w:rPr>
              <w:t>6 (1.3%)</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1F79AC1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CCED04" w14:textId="77777777" w:rsidR="001C19F3" w:rsidRDefault="001C19F3" w:rsidP="00521305">
            <w:pPr>
              <w:spacing w:before="40" w:after="40"/>
              <w:ind w:left="100" w:right="100"/>
              <w:jc w:val="right"/>
            </w:pPr>
            <w:r>
              <w:rPr>
                <w:rFonts w:eastAsia="Century Gothic" w:cs="Century Gothic"/>
                <w:color w:val="000000"/>
                <w:sz w:val="18"/>
                <w:szCs w:val="18"/>
              </w:rPr>
              <w:t>23 (1.9%)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AD7E6E" w14:textId="77777777" w:rsidR="001C19F3" w:rsidRDefault="001C19F3" w:rsidP="00521305">
            <w:pPr>
              <w:spacing w:before="40" w:after="40"/>
              <w:ind w:left="100" w:right="100"/>
              <w:jc w:val="right"/>
            </w:pPr>
            <w:r>
              <w:rPr>
                <w:rFonts w:eastAsia="Century Gothic" w:cs="Century Gothic"/>
                <w:color w:val="000000"/>
                <w:sz w:val="18"/>
                <w:szCs w:val="18"/>
              </w:rPr>
              <w:t>8 (1.0%)</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4BD822D8" w14:textId="77777777" w:rsidR="001C19F3" w:rsidRDefault="001C19F3" w:rsidP="00521305">
            <w:pPr>
              <w:spacing w:after="0"/>
              <w:rPr>
                <w:sz w:val="22"/>
              </w:rPr>
            </w:pPr>
          </w:p>
        </w:tc>
      </w:tr>
      <w:tr w:rsidR="001C19F3" w14:paraId="19EF9ACE"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D69B8E" w14:textId="77777777" w:rsidR="001C19F3" w:rsidRDefault="001C19F3" w:rsidP="00521305">
            <w:pPr>
              <w:spacing w:before="40" w:after="40"/>
              <w:ind w:left="160" w:right="100"/>
            </w:pPr>
            <w:r>
              <w:rPr>
                <w:rFonts w:eastAsia="Century Gothic" w:cs="Century Gothic"/>
                <w:color w:val="000000"/>
                <w:sz w:val="18"/>
                <w:szCs w:val="18"/>
              </w:rPr>
              <w:t>Italy</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1A61AA"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2190C0" w14:textId="77777777" w:rsidR="001C19F3" w:rsidRDefault="001C19F3" w:rsidP="00521305">
            <w:pPr>
              <w:spacing w:before="40" w:after="40"/>
              <w:ind w:left="100" w:right="100"/>
              <w:jc w:val="center"/>
            </w:pPr>
            <w:r>
              <w:rPr>
                <w:rFonts w:eastAsia="Century Gothic" w:cs="Century Gothic"/>
                <w:color w:val="000000"/>
                <w:sz w:val="18"/>
                <w:szCs w:val="18"/>
              </w:rPr>
              <w:t>4 (0.9%)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BACEFF" w14:textId="77777777" w:rsidR="001C19F3" w:rsidRDefault="001C19F3" w:rsidP="00521305">
            <w:pPr>
              <w:spacing w:before="40" w:after="40"/>
              <w:ind w:left="100" w:right="100"/>
              <w:jc w:val="center"/>
            </w:pPr>
            <w:r>
              <w:rPr>
                <w:rFonts w:eastAsia="Century Gothic" w:cs="Century Gothic"/>
                <w:color w:val="000000"/>
                <w:sz w:val="18"/>
                <w:szCs w:val="18"/>
              </w:rPr>
              <w:t>8 (0.8%)</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A3DDC9" w14:textId="77777777" w:rsidR="001C19F3" w:rsidRDefault="001C19F3" w:rsidP="00521305">
            <w:pPr>
              <w:spacing w:before="40" w:after="40"/>
              <w:ind w:left="100" w:right="100"/>
              <w:jc w:val="center"/>
            </w:pPr>
            <w:r>
              <w:rPr>
                <w:rFonts w:eastAsia="Century Gothic" w:cs="Century Gothic"/>
                <w:color w:val="000000"/>
                <w:sz w:val="18"/>
                <w:szCs w:val="18"/>
              </w:rPr>
              <w:t>6 (1.3%)</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0E8036F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CA9958" w14:textId="77777777" w:rsidR="001C19F3" w:rsidRDefault="001C19F3" w:rsidP="00521305">
            <w:pPr>
              <w:spacing w:before="40" w:after="40"/>
              <w:ind w:left="100" w:right="100"/>
              <w:jc w:val="right"/>
            </w:pPr>
            <w:r>
              <w:rPr>
                <w:rFonts w:eastAsia="Century Gothic" w:cs="Century Gothic"/>
                <w:color w:val="000000"/>
                <w:sz w:val="18"/>
                <w:szCs w:val="18"/>
              </w:rPr>
              <w:t>9 (0.7%)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69B476" w14:textId="77777777" w:rsidR="001C19F3" w:rsidRDefault="001C19F3" w:rsidP="00521305">
            <w:pPr>
              <w:spacing w:before="40" w:after="40"/>
              <w:ind w:left="100" w:right="100"/>
              <w:jc w:val="right"/>
            </w:pPr>
            <w:r>
              <w:rPr>
                <w:rFonts w:eastAsia="Century Gothic" w:cs="Century Gothic"/>
                <w:color w:val="000000"/>
                <w:sz w:val="18"/>
                <w:szCs w:val="18"/>
              </w:rPr>
              <w:t>9 (1.1%)</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0C3CF780" w14:textId="77777777" w:rsidR="001C19F3" w:rsidRDefault="001C19F3" w:rsidP="00521305">
            <w:pPr>
              <w:spacing w:after="0"/>
              <w:rPr>
                <w:sz w:val="22"/>
              </w:rPr>
            </w:pPr>
          </w:p>
        </w:tc>
      </w:tr>
      <w:tr w:rsidR="001C19F3" w14:paraId="6429B518"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12983F" w14:textId="77777777" w:rsidR="001C19F3" w:rsidRDefault="001C19F3" w:rsidP="00521305">
            <w:pPr>
              <w:spacing w:before="40" w:after="40"/>
              <w:ind w:left="160" w:right="100"/>
            </w:pPr>
            <w:r>
              <w:rPr>
                <w:rFonts w:eastAsia="Century Gothic" w:cs="Century Gothic"/>
                <w:color w:val="000000"/>
                <w:sz w:val="18"/>
                <w:szCs w:val="18"/>
              </w:rPr>
              <w:t>Greece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676056"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E7869A"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23A71A" w14:textId="77777777" w:rsidR="001C19F3" w:rsidRDefault="001C19F3" w:rsidP="00521305">
            <w:pPr>
              <w:spacing w:before="40" w:after="40"/>
              <w:ind w:left="100" w:right="100"/>
              <w:jc w:val="center"/>
            </w:pPr>
            <w:r>
              <w:rPr>
                <w:rFonts w:eastAsia="Century Gothic" w:cs="Century Gothic"/>
                <w:color w:val="000000"/>
                <w:sz w:val="18"/>
                <w:szCs w:val="18"/>
              </w:rPr>
              <w:t>20 (1.9%)</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CE4C2A" w14:textId="77777777" w:rsidR="001C19F3" w:rsidRDefault="001C19F3" w:rsidP="00521305">
            <w:pPr>
              <w:spacing w:before="40" w:after="40"/>
              <w:ind w:left="100" w:right="100"/>
              <w:jc w:val="center"/>
            </w:pPr>
            <w:r>
              <w:rPr>
                <w:rFonts w:eastAsia="Century Gothic" w:cs="Century Gothic"/>
                <w:color w:val="000000"/>
                <w:sz w:val="18"/>
                <w:szCs w:val="18"/>
              </w:rPr>
              <w:t>5 (1.1%)</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384CB82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42A89B" w14:textId="77777777" w:rsidR="001C19F3" w:rsidRDefault="001C19F3" w:rsidP="00521305">
            <w:pPr>
              <w:spacing w:before="40" w:after="40"/>
              <w:ind w:left="100" w:right="100"/>
              <w:jc w:val="right"/>
            </w:pPr>
            <w:r>
              <w:rPr>
                <w:rFonts w:eastAsia="Century Gothic" w:cs="Century Gothic"/>
                <w:color w:val="000000"/>
                <w:sz w:val="18"/>
                <w:szCs w:val="18"/>
              </w:rPr>
              <w:t>24 (2.0%)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4B31BB" w14:textId="77777777" w:rsidR="001C19F3" w:rsidRDefault="001C19F3" w:rsidP="00521305">
            <w:pPr>
              <w:spacing w:before="40" w:after="40"/>
              <w:ind w:left="100" w:right="100"/>
              <w:jc w:val="right"/>
            </w:pPr>
            <w:r>
              <w:rPr>
                <w:rFonts w:eastAsia="Century Gothic" w:cs="Century Gothic"/>
                <w:color w:val="000000"/>
                <w:sz w:val="18"/>
                <w:szCs w:val="18"/>
              </w:rPr>
              <w:t>4 (0.5%)</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9BF8A4F" w14:textId="77777777" w:rsidR="001C19F3" w:rsidRDefault="001C19F3" w:rsidP="00521305">
            <w:pPr>
              <w:spacing w:after="0"/>
              <w:rPr>
                <w:sz w:val="22"/>
              </w:rPr>
            </w:pPr>
          </w:p>
        </w:tc>
      </w:tr>
      <w:tr w:rsidR="001C19F3" w14:paraId="1F5635FA"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533A2" w14:textId="77777777" w:rsidR="001C19F3" w:rsidRDefault="001C19F3" w:rsidP="00521305">
            <w:pPr>
              <w:spacing w:before="40" w:after="40"/>
              <w:ind w:left="160" w:right="100"/>
            </w:pPr>
            <w:r>
              <w:rPr>
                <w:rFonts w:eastAsia="Century Gothic" w:cs="Century Gothic"/>
                <w:color w:val="000000"/>
                <w:sz w:val="18"/>
                <w:szCs w:val="18"/>
              </w:rPr>
              <w:t>Ireland</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6AA67E"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82050B"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08459A" w14:textId="77777777" w:rsidR="001C19F3" w:rsidRDefault="001C19F3" w:rsidP="00521305">
            <w:pPr>
              <w:spacing w:before="40" w:after="40"/>
              <w:ind w:left="100" w:right="100"/>
              <w:jc w:val="center"/>
            </w:pPr>
            <w:r>
              <w:rPr>
                <w:rFonts w:eastAsia="Century Gothic" w:cs="Century Gothic"/>
                <w:color w:val="000000"/>
                <w:sz w:val="18"/>
                <w:szCs w:val="18"/>
              </w:rPr>
              <w:t>5 (0.5%)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62C6D0"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2871F74D"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29015E" w14:textId="77777777" w:rsidR="001C19F3" w:rsidRDefault="001C19F3" w:rsidP="00521305">
            <w:pPr>
              <w:spacing w:before="40" w:after="40"/>
              <w:ind w:left="100" w:right="100"/>
              <w:jc w:val="right"/>
            </w:pPr>
            <w:r>
              <w:rPr>
                <w:rFonts w:eastAsia="Century Gothic" w:cs="Century Gothic"/>
                <w:color w:val="000000"/>
                <w:sz w:val="18"/>
                <w:szCs w:val="18"/>
              </w:rPr>
              <w:t>4 (0.3%)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26360F" w14:textId="77777777" w:rsidR="001C19F3" w:rsidRDefault="001C19F3" w:rsidP="00521305">
            <w:pPr>
              <w:spacing w:before="40" w:after="40"/>
              <w:ind w:left="100" w:right="100"/>
              <w:jc w:val="right"/>
            </w:pPr>
            <w:r>
              <w:rPr>
                <w:rFonts w:eastAsia="Century Gothic" w:cs="Century Gothic"/>
                <w:color w:val="000000"/>
                <w:sz w:val="18"/>
                <w:szCs w:val="18"/>
              </w:rPr>
              <w:t>3 (0.4%)</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43F4BF28" w14:textId="77777777" w:rsidR="001C19F3" w:rsidRDefault="001C19F3" w:rsidP="00521305">
            <w:pPr>
              <w:spacing w:after="0"/>
              <w:rPr>
                <w:sz w:val="22"/>
              </w:rPr>
            </w:pPr>
          </w:p>
        </w:tc>
      </w:tr>
      <w:tr w:rsidR="001C19F3" w14:paraId="3453C95C"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61867F" w14:textId="77777777" w:rsidR="001C19F3" w:rsidRDefault="001C19F3" w:rsidP="00521305">
            <w:pPr>
              <w:spacing w:before="40" w:after="40"/>
              <w:ind w:left="160" w:right="100"/>
            </w:pPr>
            <w:r>
              <w:rPr>
                <w:rFonts w:eastAsia="Century Gothic" w:cs="Century Gothic"/>
                <w:color w:val="000000"/>
                <w:sz w:val="18"/>
                <w:szCs w:val="18"/>
              </w:rPr>
              <w:t>China</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718556" w14:textId="77777777" w:rsidR="001C19F3" w:rsidRDefault="001C19F3" w:rsidP="00521305">
            <w:pPr>
              <w:spacing w:before="40" w:after="40"/>
              <w:ind w:left="100" w:right="100"/>
              <w:jc w:val="center"/>
            </w:pPr>
            <w:r>
              <w:rPr>
                <w:rFonts w:eastAsia="Century Gothic" w:cs="Century Gothic"/>
                <w:color w:val="000000"/>
                <w:sz w:val="18"/>
                <w:szCs w:val="18"/>
              </w:rPr>
              <w:t>2 (0.1%)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150DDB"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16DB1" w14:textId="77777777" w:rsidR="001C19F3" w:rsidRDefault="001C19F3" w:rsidP="00521305">
            <w:pPr>
              <w:spacing w:before="40" w:after="40"/>
              <w:ind w:left="100" w:right="100"/>
              <w:jc w:val="center"/>
            </w:pPr>
            <w:r>
              <w:rPr>
                <w:rFonts w:eastAsia="Century Gothic" w:cs="Century Gothic"/>
                <w:color w:val="000000"/>
                <w:sz w:val="18"/>
                <w:szCs w:val="18"/>
              </w:rPr>
              <w:t>1 (0.1%)</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99DEB0"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3A00F967"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6CBABC" w14:textId="77777777" w:rsidR="001C19F3" w:rsidRDefault="001C19F3" w:rsidP="00521305">
            <w:pPr>
              <w:spacing w:before="40" w:after="40"/>
              <w:ind w:left="100" w:right="100"/>
              <w:jc w:val="right"/>
            </w:pPr>
            <w:r>
              <w:rPr>
                <w:rFonts w:eastAsia="Century Gothic" w:cs="Century Gothic"/>
                <w:color w:val="000000"/>
                <w:sz w:val="18"/>
                <w:szCs w:val="18"/>
              </w:rPr>
              <w:t>1 (0.1%)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44A1BA" w14:textId="77777777" w:rsidR="001C19F3" w:rsidRDefault="001C19F3" w:rsidP="00521305">
            <w:pPr>
              <w:spacing w:before="40" w:after="40"/>
              <w:ind w:left="100" w:right="100"/>
              <w:jc w:val="right"/>
            </w:pPr>
            <w:r>
              <w:rPr>
                <w:rFonts w:eastAsia="Century Gothic" w:cs="Century Gothic"/>
                <w:color w:val="000000"/>
                <w:sz w:val="18"/>
                <w:szCs w:val="18"/>
              </w:rPr>
              <w:t>1 (0.1%)</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53FD37D5" w14:textId="77777777" w:rsidR="001C19F3" w:rsidRDefault="001C19F3" w:rsidP="00521305">
            <w:pPr>
              <w:spacing w:after="0"/>
              <w:rPr>
                <w:sz w:val="22"/>
              </w:rPr>
            </w:pPr>
          </w:p>
        </w:tc>
      </w:tr>
      <w:tr w:rsidR="001C19F3" w14:paraId="06B78857"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60A63E" w14:textId="77777777" w:rsidR="001C19F3" w:rsidRDefault="001C19F3" w:rsidP="00521305">
            <w:pPr>
              <w:spacing w:before="40" w:after="40"/>
              <w:ind w:left="160" w:right="100"/>
            </w:pPr>
            <w:r>
              <w:rPr>
                <w:rFonts w:eastAsia="Century Gothic" w:cs="Century Gothic"/>
                <w:color w:val="000000"/>
                <w:sz w:val="18"/>
                <w:szCs w:val="18"/>
              </w:rPr>
              <w:t>Other (please specify)</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D64781" w14:textId="77777777" w:rsidR="001C19F3" w:rsidRDefault="001C19F3" w:rsidP="00521305">
            <w:pPr>
              <w:spacing w:before="40" w:after="40"/>
              <w:ind w:left="100" w:right="100"/>
              <w:jc w:val="center"/>
            </w:pPr>
            <w:r>
              <w:rPr>
                <w:rFonts w:eastAsia="Century Gothic" w:cs="Century Gothic"/>
                <w:color w:val="000000"/>
                <w:sz w:val="18"/>
                <w:szCs w:val="18"/>
              </w:rPr>
              <w:t>216 (10.7%)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81F56E" w14:textId="77777777" w:rsidR="001C19F3" w:rsidRDefault="001C19F3" w:rsidP="00521305">
            <w:pPr>
              <w:spacing w:before="40" w:after="40"/>
              <w:ind w:left="100" w:right="100"/>
              <w:jc w:val="center"/>
            </w:pPr>
            <w:r>
              <w:rPr>
                <w:rFonts w:eastAsia="Century Gothic" w:cs="Century Gothic"/>
                <w:color w:val="000000"/>
                <w:sz w:val="18"/>
                <w:szCs w:val="18"/>
              </w:rPr>
              <w:t>43 (9.8%)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B16770" w14:textId="77777777" w:rsidR="001C19F3" w:rsidRDefault="001C19F3" w:rsidP="00521305">
            <w:pPr>
              <w:spacing w:before="40" w:after="40"/>
              <w:ind w:left="100" w:right="100"/>
              <w:jc w:val="center"/>
            </w:pPr>
            <w:r>
              <w:rPr>
                <w:rFonts w:eastAsia="Century Gothic" w:cs="Century Gothic"/>
                <w:color w:val="000000"/>
                <w:sz w:val="18"/>
                <w:szCs w:val="18"/>
              </w:rPr>
              <w:t>115 (11.1%)</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D9EB6F" w14:textId="77777777" w:rsidR="001C19F3" w:rsidRDefault="001C19F3" w:rsidP="00521305">
            <w:pPr>
              <w:spacing w:before="40" w:after="40"/>
              <w:ind w:left="100" w:right="100"/>
              <w:jc w:val="center"/>
            </w:pPr>
            <w:r>
              <w:rPr>
                <w:rFonts w:eastAsia="Century Gothic" w:cs="Century Gothic"/>
                <w:color w:val="000000"/>
                <w:sz w:val="18"/>
                <w:szCs w:val="18"/>
              </w:rPr>
              <w:t>52 (11.0%)</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7929E08E"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98A29E" w14:textId="77777777" w:rsidR="001C19F3" w:rsidRDefault="001C19F3" w:rsidP="00521305">
            <w:pPr>
              <w:spacing w:before="40" w:after="40"/>
              <w:ind w:left="100" w:right="100"/>
              <w:jc w:val="right"/>
            </w:pPr>
            <w:r>
              <w:rPr>
                <w:rFonts w:eastAsia="Century Gothic" w:cs="Century Gothic"/>
                <w:color w:val="000000"/>
                <w:sz w:val="18"/>
                <w:szCs w:val="18"/>
              </w:rPr>
              <w:t>117 (9.7%)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A36B21" w14:textId="77777777" w:rsidR="001C19F3" w:rsidRDefault="001C19F3" w:rsidP="00521305">
            <w:pPr>
              <w:spacing w:before="40" w:after="40"/>
              <w:ind w:left="100" w:right="100"/>
              <w:jc w:val="right"/>
            </w:pPr>
            <w:r>
              <w:rPr>
                <w:rFonts w:eastAsia="Century Gothic" w:cs="Century Gothic"/>
                <w:color w:val="000000"/>
                <w:sz w:val="18"/>
                <w:szCs w:val="18"/>
              </w:rPr>
              <w:t>99 (12.2%)</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7051A1C2" w14:textId="77777777" w:rsidR="001C19F3" w:rsidRDefault="001C19F3" w:rsidP="00521305">
            <w:pPr>
              <w:spacing w:after="0"/>
              <w:rPr>
                <w:sz w:val="22"/>
              </w:rPr>
            </w:pPr>
          </w:p>
        </w:tc>
      </w:tr>
      <w:tr w:rsidR="001C19F3" w14:paraId="5E022D49"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F624A2" w14:textId="77777777" w:rsidR="001C19F3" w:rsidRDefault="001C19F3" w:rsidP="00521305">
            <w:pPr>
              <w:spacing w:before="40" w:after="40"/>
              <w:ind w:left="160" w:right="100"/>
            </w:pPr>
            <w:r>
              <w:rPr>
                <w:rFonts w:eastAsia="Century Gothic" w:cs="Century Gothic"/>
                <w:color w:val="000000"/>
                <w:sz w:val="18"/>
                <w:szCs w:val="18"/>
              </w:rPr>
              <w:t>Refused</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E82915" w14:textId="77777777" w:rsidR="001C19F3" w:rsidRDefault="001C19F3" w:rsidP="00521305">
            <w:pPr>
              <w:spacing w:before="40" w:after="40"/>
              <w:ind w:left="100" w:right="100"/>
              <w:jc w:val="center"/>
            </w:pPr>
            <w:r>
              <w:rPr>
                <w:rFonts w:eastAsia="Century Gothic" w:cs="Century Gothic"/>
                <w:color w:val="000000"/>
                <w:sz w:val="18"/>
                <w:szCs w:val="18"/>
              </w:rPr>
              <w:t>3 (0.1%)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7CB005"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797BCD" w14:textId="77777777" w:rsidR="001C19F3" w:rsidRDefault="001C19F3" w:rsidP="00521305">
            <w:pPr>
              <w:spacing w:before="40" w:after="40"/>
              <w:ind w:left="100" w:right="100"/>
              <w:jc w:val="center"/>
            </w:pP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8F12A3" w14:textId="77777777" w:rsidR="001C19F3" w:rsidRDefault="001C19F3" w:rsidP="00521305">
            <w:pPr>
              <w:spacing w:before="40" w:after="40"/>
              <w:ind w:left="100" w:right="100"/>
              <w:jc w:val="center"/>
            </w:pPr>
          </w:p>
        </w:tc>
        <w:tc>
          <w:tcPr>
            <w:tcW w:w="4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CA9C4D"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DB32CE"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38D3FC"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2971DD" w14:textId="77777777" w:rsidR="001C19F3" w:rsidRDefault="001C19F3" w:rsidP="00521305">
            <w:pPr>
              <w:spacing w:before="40" w:after="40"/>
              <w:ind w:left="100" w:right="100"/>
              <w:jc w:val="right"/>
            </w:pPr>
          </w:p>
        </w:tc>
      </w:tr>
      <w:tr w:rsidR="001C19F3" w14:paraId="7983C843"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90290E" w14:textId="77777777" w:rsidR="001C19F3" w:rsidRDefault="001C19F3" w:rsidP="00521305">
            <w:pPr>
              <w:spacing w:before="40" w:after="40"/>
              <w:ind w:left="100" w:right="100"/>
            </w:pPr>
            <w:r>
              <w:rPr>
                <w:rFonts w:eastAsia="Century Gothic" w:cs="Century Gothic"/>
                <w:b/>
                <w:color w:val="000000"/>
                <w:sz w:val="18"/>
                <w:szCs w:val="18"/>
              </w:rPr>
              <w:t>A5 Highest level of education (Q36)</w:t>
            </w:r>
          </w:p>
        </w:tc>
      </w:tr>
      <w:tr w:rsidR="001C19F3" w14:paraId="10D8ED82"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A6ABCC" w14:textId="77777777" w:rsidR="001C19F3" w:rsidRDefault="001C19F3" w:rsidP="00521305">
            <w:pPr>
              <w:spacing w:before="40" w:after="40"/>
              <w:ind w:left="160" w:right="100"/>
            </w:pPr>
            <w:r>
              <w:rPr>
                <w:rFonts w:eastAsia="Century Gothic" w:cs="Century Gothic"/>
                <w:color w:val="000000"/>
                <w:sz w:val="18"/>
                <w:szCs w:val="18"/>
              </w:rPr>
              <w:t>Year 9 or below</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199BE2" w14:textId="77777777" w:rsidR="001C19F3" w:rsidRDefault="001C19F3" w:rsidP="00521305">
            <w:pPr>
              <w:spacing w:before="40" w:after="40"/>
              <w:ind w:left="100" w:right="100"/>
              <w:jc w:val="center"/>
            </w:pPr>
            <w:r>
              <w:rPr>
                <w:rFonts w:eastAsia="Century Gothic" w:cs="Century Gothic"/>
                <w:color w:val="000000"/>
                <w:sz w:val="18"/>
                <w:szCs w:val="18"/>
              </w:rPr>
              <w:t>427 (21.2%)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7E00B9" w14:textId="77777777" w:rsidR="001C19F3" w:rsidRDefault="001C19F3" w:rsidP="00521305">
            <w:pPr>
              <w:spacing w:before="40" w:after="40"/>
              <w:ind w:left="100" w:right="100"/>
              <w:jc w:val="center"/>
            </w:pPr>
            <w:r>
              <w:rPr>
                <w:rFonts w:eastAsia="Century Gothic" w:cs="Century Gothic"/>
                <w:color w:val="000000"/>
                <w:sz w:val="18"/>
                <w:szCs w:val="18"/>
              </w:rPr>
              <w:t>77 (17.6%)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EE87F6" w14:textId="77777777" w:rsidR="001C19F3" w:rsidRDefault="001C19F3" w:rsidP="00521305">
            <w:pPr>
              <w:spacing w:before="40" w:after="40"/>
              <w:ind w:left="100" w:right="100"/>
              <w:jc w:val="center"/>
            </w:pPr>
            <w:r>
              <w:rPr>
                <w:rFonts w:eastAsia="Century Gothic" w:cs="Century Gothic"/>
                <w:color w:val="000000"/>
                <w:sz w:val="18"/>
                <w:szCs w:val="18"/>
              </w:rPr>
              <w:t>215 (21.0%)</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E2982D" w14:textId="77777777" w:rsidR="001C19F3" w:rsidRDefault="001C19F3" w:rsidP="00521305">
            <w:pPr>
              <w:spacing w:before="40" w:after="40"/>
              <w:ind w:left="100" w:right="100"/>
              <w:jc w:val="center"/>
            </w:pPr>
            <w:r>
              <w:rPr>
                <w:rFonts w:eastAsia="Century Gothic" w:cs="Century Gothic"/>
                <w:color w:val="000000"/>
                <w:sz w:val="18"/>
                <w:szCs w:val="18"/>
              </w:rPr>
              <w:t>124 (26.7%)</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F4A57A" w14:textId="77777777" w:rsidR="001C19F3" w:rsidRDefault="001C19F3" w:rsidP="00521305">
            <w:pPr>
              <w:spacing w:before="40" w:after="40"/>
              <w:ind w:left="100" w:right="100"/>
              <w:jc w:val="center"/>
            </w:pPr>
            <w:r>
              <w:rPr>
                <w:rFonts w:eastAsia="Century Gothic" w:cs="Century Gothic"/>
                <w:color w:val="000000"/>
                <w:sz w:val="18"/>
                <w:szCs w:val="18"/>
              </w:rPr>
              <w:t>0.040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7D1CD3" w14:textId="77777777" w:rsidR="001C19F3" w:rsidRDefault="001C19F3" w:rsidP="00521305">
            <w:pPr>
              <w:spacing w:before="40" w:after="40"/>
              <w:ind w:left="100" w:right="100"/>
              <w:jc w:val="right"/>
            </w:pPr>
            <w:r>
              <w:rPr>
                <w:rFonts w:eastAsia="Century Gothic" w:cs="Century Gothic"/>
                <w:color w:val="000000"/>
                <w:sz w:val="18"/>
                <w:szCs w:val="18"/>
              </w:rPr>
              <w:t>261 (21.9%)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C7ACE1" w14:textId="77777777" w:rsidR="001C19F3" w:rsidRDefault="001C19F3" w:rsidP="00521305">
            <w:pPr>
              <w:spacing w:before="40" w:after="40"/>
              <w:ind w:left="100" w:right="100"/>
              <w:jc w:val="right"/>
            </w:pPr>
            <w:r>
              <w:rPr>
                <w:rFonts w:eastAsia="Century Gothic" w:cs="Century Gothic"/>
                <w:color w:val="000000"/>
                <w:sz w:val="18"/>
                <w:szCs w:val="18"/>
              </w:rPr>
              <w:t>166 (20.7%)</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403909" w14:textId="77777777" w:rsidR="001C19F3" w:rsidRDefault="001C19F3" w:rsidP="00521305">
            <w:pPr>
              <w:spacing w:before="40" w:after="40"/>
              <w:ind w:left="100" w:right="100"/>
              <w:jc w:val="right"/>
            </w:pPr>
            <w:r>
              <w:rPr>
                <w:rFonts w:eastAsia="Century Gothic" w:cs="Century Gothic"/>
                <w:color w:val="000000"/>
                <w:sz w:val="18"/>
                <w:szCs w:val="18"/>
              </w:rPr>
              <w:t>0.142</w:t>
            </w:r>
          </w:p>
        </w:tc>
      </w:tr>
      <w:tr w:rsidR="001C19F3" w14:paraId="4B2287D7"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1C4288" w14:textId="77777777" w:rsidR="001C19F3" w:rsidRDefault="001C19F3" w:rsidP="00521305">
            <w:pPr>
              <w:spacing w:before="40" w:after="40"/>
              <w:ind w:left="160" w:right="100"/>
            </w:pPr>
            <w:r>
              <w:rPr>
                <w:rFonts w:eastAsia="Century Gothic" w:cs="Century Gothic"/>
                <w:color w:val="000000"/>
                <w:sz w:val="18"/>
                <w:szCs w:val="18"/>
              </w:rPr>
              <w:t>Year 10 or equivalent</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13EFC" w14:textId="77777777" w:rsidR="001C19F3" w:rsidRDefault="001C19F3" w:rsidP="00521305">
            <w:pPr>
              <w:spacing w:before="40" w:after="40"/>
              <w:ind w:left="100" w:right="100"/>
              <w:jc w:val="center"/>
            </w:pPr>
            <w:r>
              <w:rPr>
                <w:rFonts w:eastAsia="Century Gothic" w:cs="Century Gothic"/>
                <w:color w:val="000000"/>
                <w:sz w:val="18"/>
                <w:szCs w:val="18"/>
              </w:rPr>
              <w:t>326 (16.2%)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A32D3" w14:textId="77777777" w:rsidR="001C19F3" w:rsidRDefault="001C19F3" w:rsidP="00521305">
            <w:pPr>
              <w:spacing w:before="40" w:after="40"/>
              <w:ind w:left="100" w:right="100"/>
              <w:jc w:val="center"/>
            </w:pPr>
            <w:r>
              <w:rPr>
                <w:rFonts w:eastAsia="Century Gothic" w:cs="Century Gothic"/>
                <w:color w:val="000000"/>
                <w:sz w:val="18"/>
                <w:szCs w:val="18"/>
              </w:rPr>
              <w:t>75 (17.1%)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8C8412" w14:textId="77777777" w:rsidR="001C19F3" w:rsidRDefault="001C19F3" w:rsidP="00521305">
            <w:pPr>
              <w:spacing w:before="40" w:after="40"/>
              <w:ind w:left="100" w:right="100"/>
              <w:jc w:val="center"/>
            </w:pPr>
            <w:r>
              <w:rPr>
                <w:rFonts w:eastAsia="Century Gothic" w:cs="Century Gothic"/>
                <w:color w:val="000000"/>
                <w:sz w:val="18"/>
                <w:szCs w:val="18"/>
              </w:rPr>
              <w:t>171 (16.7%)</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B381F3" w14:textId="77777777" w:rsidR="001C19F3" w:rsidRDefault="001C19F3" w:rsidP="00521305">
            <w:pPr>
              <w:spacing w:before="40" w:after="40"/>
              <w:ind w:left="100" w:right="100"/>
              <w:jc w:val="center"/>
            </w:pPr>
            <w:r>
              <w:rPr>
                <w:rFonts w:eastAsia="Century Gothic" w:cs="Century Gothic"/>
                <w:color w:val="000000"/>
                <w:sz w:val="18"/>
                <w:szCs w:val="18"/>
              </w:rPr>
              <w:t>69 (14.8%)</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038D3833"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B1A5BD" w14:textId="77777777" w:rsidR="001C19F3" w:rsidRDefault="001C19F3" w:rsidP="00521305">
            <w:pPr>
              <w:spacing w:before="40" w:after="40"/>
              <w:ind w:left="100" w:right="100"/>
              <w:jc w:val="right"/>
            </w:pPr>
            <w:r>
              <w:rPr>
                <w:rFonts w:eastAsia="Century Gothic" w:cs="Century Gothic"/>
                <w:color w:val="000000"/>
                <w:sz w:val="18"/>
                <w:szCs w:val="18"/>
              </w:rPr>
              <w:t>204 (17.1%)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3019C1" w14:textId="77777777" w:rsidR="001C19F3" w:rsidRDefault="001C19F3" w:rsidP="00521305">
            <w:pPr>
              <w:spacing w:before="40" w:after="40"/>
              <w:ind w:left="100" w:right="100"/>
              <w:jc w:val="right"/>
            </w:pPr>
            <w:r>
              <w:rPr>
                <w:rFonts w:eastAsia="Century Gothic" w:cs="Century Gothic"/>
                <w:color w:val="000000"/>
                <w:sz w:val="18"/>
                <w:szCs w:val="18"/>
              </w:rPr>
              <w:t>122 (15.2%)</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5558CFA3" w14:textId="77777777" w:rsidR="001C19F3" w:rsidRDefault="001C19F3" w:rsidP="00521305">
            <w:pPr>
              <w:spacing w:after="0"/>
              <w:rPr>
                <w:sz w:val="22"/>
              </w:rPr>
            </w:pPr>
          </w:p>
        </w:tc>
      </w:tr>
      <w:tr w:rsidR="001C19F3" w14:paraId="0EDA9DB6"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C224F7" w14:textId="77777777" w:rsidR="001C19F3" w:rsidRDefault="001C19F3" w:rsidP="00521305">
            <w:pPr>
              <w:spacing w:before="40" w:after="40"/>
              <w:ind w:left="160" w:right="100"/>
            </w:pPr>
            <w:r>
              <w:rPr>
                <w:rFonts w:eastAsia="Century Gothic" w:cs="Century Gothic"/>
                <w:color w:val="000000"/>
                <w:sz w:val="18"/>
                <w:szCs w:val="18"/>
              </w:rPr>
              <w:t>Year 11 or equivalent</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10D3BF" w14:textId="77777777" w:rsidR="001C19F3" w:rsidRDefault="001C19F3" w:rsidP="00521305">
            <w:pPr>
              <w:spacing w:before="40" w:after="40"/>
              <w:ind w:left="100" w:right="100"/>
              <w:jc w:val="center"/>
            </w:pPr>
            <w:r>
              <w:rPr>
                <w:rFonts w:eastAsia="Century Gothic" w:cs="Century Gothic"/>
                <w:color w:val="000000"/>
                <w:sz w:val="18"/>
                <w:szCs w:val="18"/>
              </w:rPr>
              <w:t>112 (5.6%)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98332E" w14:textId="77777777" w:rsidR="001C19F3" w:rsidRDefault="001C19F3" w:rsidP="00521305">
            <w:pPr>
              <w:spacing w:before="40" w:after="40"/>
              <w:ind w:left="100" w:right="100"/>
              <w:jc w:val="center"/>
            </w:pPr>
            <w:r>
              <w:rPr>
                <w:rFonts w:eastAsia="Century Gothic" w:cs="Century Gothic"/>
                <w:color w:val="000000"/>
                <w:sz w:val="18"/>
                <w:szCs w:val="18"/>
              </w:rPr>
              <w:t>22 (5.0%)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F06206" w14:textId="77777777" w:rsidR="001C19F3" w:rsidRDefault="001C19F3" w:rsidP="00521305">
            <w:pPr>
              <w:spacing w:before="40" w:after="40"/>
              <w:ind w:left="100" w:right="100"/>
              <w:jc w:val="center"/>
            </w:pPr>
            <w:r>
              <w:rPr>
                <w:rFonts w:eastAsia="Century Gothic" w:cs="Century Gothic"/>
                <w:color w:val="000000"/>
                <w:sz w:val="18"/>
                <w:szCs w:val="18"/>
              </w:rPr>
              <w:t>65 (6.4%)</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D52C0" w14:textId="77777777" w:rsidR="001C19F3" w:rsidRDefault="001C19F3" w:rsidP="00521305">
            <w:pPr>
              <w:spacing w:before="40" w:after="40"/>
              <w:ind w:left="100" w:right="100"/>
              <w:jc w:val="center"/>
            </w:pPr>
            <w:r>
              <w:rPr>
                <w:rFonts w:eastAsia="Century Gothic" w:cs="Century Gothic"/>
                <w:color w:val="000000"/>
                <w:sz w:val="18"/>
                <w:szCs w:val="18"/>
              </w:rPr>
              <w:t>22 (4.7%)</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0D8C7009"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B2CC67" w14:textId="77777777" w:rsidR="001C19F3" w:rsidRDefault="001C19F3" w:rsidP="00521305">
            <w:pPr>
              <w:spacing w:before="40" w:after="40"/>
              <w:ind w:left="100" w:right="100"/>
              <w:jc w:val="right"/>
            </w:pPr>
            <w:r>
              <w:rPr>
                <w:rFonts w:eastAsia="Century Gothic" w:cs="Century Gothic"/>
                <w:color w:val="000000"/>
                <w:sz w:val="18"/>
                <w:szCs w:val="18"/>
              </w:rPr>
              <w:t>66 (5.5%)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588207" w14:textId="77777777" w:rsidR="001C19F3" w:rsidRDefault="001C19F3" w:rsidP="00521305">
            <w:pPr>
              <w:spacing w:before="40" w:after="40"/>
              <w:ind w:left="100" w:right="100"/>
              <w:jc w:val="right"/>
            </w:pPr>
            <w:r>
              <w:rPr>
                <w:rFonts w:eastAsia="Century Gothic" w:cs="Century Gothic"/>
                <w:color w:val="000000"/>
                <w:sz w:val="18"/>
                <w:szCs w:val="18"/>
              </w:rPr>
              <w:t>46 (5.7%)</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038134FE" w14:textId="77777777" w:rsidR="001C19F3" w:rsidRDefault="001C19F3" w:rsidP="00521305">
            <w:pPr>
              <w:spacing w:after="0"/>
              <w:rPr>
                <w:sz w:val="22"/>
              </w:rPr>
            </w:pPr>
          </w:p>
        </w:tc>
      </w:tr>
      <w:tr w:rsidR="001C19F3" w14:paraId="392194E8"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E113C0" w14:textId="77777777" w:rsidR="001C19F3" w:rsidRDefault="001C19F3" w:rsidP="00521305">
            <w:pPr>
              <w:spacing w:before="40" w:after="40"/>
              <w:ind w:left="160" w:right="100"/>
            </w:pPr>
            <w:r>
              <w:rPr>
                <w:rFonts w:eastAsia="Century Gothic" w:cs="Century Gothic"/>
                <w:color w:val="000000"/>
                <w:sz w:val="18"/>
                <w:szCs w:val="18"/>
              </w:rPr>
              <w:t>Year 12 or equivalent</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F9547" w14:textId="77777777" w:rsidR="001C19F3" w:rsidRDefault="001C19F3" w:rsidP="00521305">
            <w:pPr>
              <w:spacing w:before="40" w:after="40"/>
              <w:ind w:left="100" w:right="100"/>
              <w:jc w:val="center"/>
            </w:pPr>
            <w:r>
              <w:rPr>
                <w:rFonts w:eastAsia="Century Gothic" w:cs="Century Gothic"/>
                <w:color w:val="000000"/>
                <w:sz w:val="18"/>
                <w:szCs w:val="18"/>
              </w:rPr>
              <w:t>244 (12.1%)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CE8740" w14:textId="77777777" w:rsidR="001C19F3" w:rsidRDefault="001C19F3" w:rsidP="00521305">
            <w:pPr>
              <w:spacing w:before="40" w:after="40"/>
              <w:ind w:left="100" w:right="100"/>
              <w:jc w:val="center"/>
            </w:pPr>
            <w:r>
              <w:rPr>
                <w:rFonts w:eastAsia="Century Gothic" w:cs="Century Gothic"/>
                <w:color w:val="000000"/>
                <w:sz w:val="18"/>
                <w:szCs w:val="18"/>
              </w:rPr>
              <w:t>59 (13.5%)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27A6E0" w14:textId="77777777" w:rsidR="001C19F3" w:rsidRDefault="001C19F3" w:rsidP="00521305">
            <w:pPr>
              <w:spacing w:before="40" w:after="40"/>
              <w:ind w:left="100" w:right="100"/>
              <w:jc w:val="center"/>
            </w:pPr>
            <w:r>
              <w:rPr>
                <w:rFonts w:eastAsia="Century Gothic" w:cs="Century Gothic"/>
                <w:color w:val="000000"/>
                <w:sz w:val="18"/>
                <w:szCs w:val="18"/>
              </w:rPr>
              <w:t>116 (11.4%)</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39A654" w14:textId="77777777" w:rsidR="001C19F3" w:rsidRDefault="001C19F3" w:rsidP="00521305">
            <w:pPr>
              <w:spacing w:before="40" w:after="40"/>
              <w:ind w:left="100" w:right="100"/>
              <w:jc w:val="center"/>
            </w:pPr>
            <w:r>
              <w:rPr>
                <w:rFonts w:eastAsia="Century Gothic" w:cs="Century Gothic"/>
                <w:color w:val="000000"/>
                <w:sz w:val="18"/>
                <w:szCs w:val="18"/>
              </w:rPr>
              <w:t>60 (12.9%)</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04AEE53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9D57C3" w14:textId="77777777" w:rsidR="001C19F3" w:rsidRDefault="001C19F3" w:rsidP="00521305">
            <w:pPr>
              <w:spacing w:before="40" w:after="40"/>
              <w:ind w:left="100" w:right="100"/>
              <w:jc w:val="right"/>
            </w:pPr>
            <w:r>
              <w:rPr>
                <w:rFonts w:eastAsia="Century Gothic" w:cs="Century Gothic"/>
                <w:color w:val="000000"/>
                <w:sz w:val="18"/>
                <w:szCs w:val="18"/>
              </w:rPr>
              <w:t>147 (12.3%)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3C9E51" w14:textId="77777777" w:rsidR="001C19F3" w:rsidRDefault="001C19F3" w:rsidP="00521305">
            <w:pPr>
              <w:spacing w:before="40" w:after="40"/>
              <w:ind w:left="100" w:right="100"/>
              <w:jc w:val="right"/>
            </w:pPr>
            <w:r>
              <w:rPr>
                <w:rFonts w:eastAsia="Century Gothic" w:cs="Century Gothic"/>
                <w:color w:val="000000"/>
                <w:sz w:val="18"/>
                <w:szCs w:val="18"/>
              </w:rPr>
              <w:t>97 (12.1%)</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27927865" w14:textId="77777777" w:rsidR="001C19F3" w:rsidRDefault="001C19F3" w:rsidP="00521305">
            <w:pPr>
              <w:spacing w:after="0"/>
              <w:rPr>
                <w:sz w:val="22"/>
              </w:rPr>
            </w:pPr>
          </w:p>
        </w:tc>
      </w:tr>
      <w:tr w:rsidR="001C19F3" w14:paraId="3B54B6CD"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5A566E" w14:textId="77777777" w:rsidR="001C19F3" w:rsidRDefault="001C19F3" w:rsidP="00521305">
            <w:pPr>
              <w:spacing w:before="40" w:after="40"/>
              <w:ind w:left="160" w:right="100"/>
            </w:pPr>
            <w:r>
              <w:rPr>
                <w:rFonts w:eastAsia="Century Gothic" w:cs="Century Gothic"/>
                <w:color w:val="000000"/>
                <w:sz w:val="18"/>
                <w:szCs w:val="18"/>
              </w:rPr>
              <w:t>Certificate I to IV (including trade certificate)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2A51C" w14:textId="77777777" w:rsidR="001C19F3" w:rsidRDefault="001C19F3" w:rsidP="00521305">
            <w:pPr>
              <w:spacing w:before="40" w:after="40"/>
              <w:ind w:left="100" w:right="100"/>
              <w:jc w:val="center"/>
            </w:pPr>
            <w:r>
              <w:rPr>
                <w:rFonts w:eastAsia="Century Gothic" w:cs="Century Gothic"/>
                <w:color w:val="000000"/>
                <w:sz w:val="18"/>
                <w:szCs w:val="18"/>
              </w:rPr>
              <w:t>416 (20.6%)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74F346" w14:textId="77777777" w:rsidR="001C19F3" w:rsidRDefault="001C19F3" w:rsidP="00521305">
            <w:pPr>
              <w:spacing w:before="40" w:after="40"/>
              <w:ind w:left="100" w:right="100"/>
              <w:jc w:val="center"/>
            </w:pPr>
            <w:r>
              <w:rPr>
                <w:rFonts w:eastAsia="Century Gothic" w:cs="Century Gothic"/>
                <w:color w:val="000000"/>
                <w:sz w:val="18"/>
                <w:szCs w:val="18"/>
              </w:rPr>
              <w:t>90 (20.5%)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A57E92" w14:textId="77777777" w:rsidR="001C19F3" w:rsidRDefault="001C19F3" w:rsidP="00521305">
            <w:pPr>
              <w:spacing w:before="40" w:after="40"/>
              <w:ind w:left="100" w:right="100"/>
              <w:jc w:val="center"/>
            </w:pPr>
            <w:r>
              <w:rPr>
                <w:rFonts w:eastAsia="Century Gothic" w:cs="Century Gothic"/>
                <w:color w:val="000000"/>
                <w:sz w:val="18"/>
                <w:szCs w:val="18"/>
              </w:rPr>
              <w:t>208 (20.4%)</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F5A571" w14:textId="77777777" w:rsidR="001C19F3" w:rsidRDefault="001C19F3" w:rsidP="00521305">
            <w:pPr>
              <w:spacing w:before="40" w:after="40"/>
              <w:ind w:left="100" w:right="100"/>
              <w:jc w:val="center"/>
            </w:pPr>
            <w:r>
              <w:rPr>
                <w:rFonts w:eastAsia="Century Gothic" w:cs="Century Gothic"/>
                <w:color w:val="000000"/>
                <w:sz w:val="18"/>
                <w:szCs w:val="18"/>
              </w:rPr>
              <w:t>100 (21.5%)</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7AD8CA5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8950C" w14:textId="77777777" w:rsidR="001C19F3" w:rsidRDefault="001C19F3" w:rsidP="00521305">
            <w:pPr>
              <w:spacing w:before="40" w:after="40"/>
              <w:ind w:left="100" w:right="100"/>
              <w:jc w:val="right"/>
            </w:pPr>
            <w:r>
              <w:rPr>
                <w:rFonts w:eastAsia="Century Gothic" w:cs="Century Gothic"/>
                <w:color w:val="000000"/>
                <w:sz w:val="18"/>
                <w:szCs w:val="18"/>
              </w:rPr>
              <w:t>251 (21.0%)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DAD4FC" w14:textId="77777777" w:rsidR="001C19F3" w:rsidRDefault="001C19F3" w:rsidP="00521305">
            <w:pPr>
              <w:spacing w:before="40" w:after="40"/>
              <w:ind w:left="100" w:right="100"/>
              <w:jc w:val="right"/>
            </w:pPr>
            <w:r>
              <w:rPr>
                <w:rFonts w:eastAsia="Century Gothic" w:cs="Century Gothic"/>
                <w:color w:val="000000"/>
                <w:sz w:val="18"/>
                <w:szCs w:val="18"/>
              </w:rPr>
              <w:t>165 (20.6%)</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4A29A967" w14:textId="77777777" w:rsidR="001C19F3" w:rsidRDefault="001C19F3" w:rsidP="00521305">
            <w:pPr>
              <w:spacing w:after="0"/>
              <w:rPr>
                <w:sz w:val="22"/>
              </w:rPr>
            </w:pPr>
          </w:p>
        </w:tc>
      </w:tr>
      <w:tr w:rsidR="001C19F3" w14:paraId="31271C8D"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59CE8" w14:textId="77777777" w:rsidR="001C19F3" w:rsidRDefault="001C19F3" w:rsidP="00521305">
            <w:pPr>
              <w:spacing w:before="40" w:after="40"/>
              <w:ind w:left="160" w:right="100"/>
            </w:pPr>
            <w:r>
              <w:rPr>
                <w:rFonts w:eastAsia="Century Gothic" w:cs="Century Gothic"/>
                <w:color w:val="000000"/>
                <w:sz w:val="18"/>
                <w:szCs w:val="18"/>
              </w:rPr>
              <w:t>Advanced diploma/Diploma</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91403B" w14:textId="77777777" w:rsidR="001C19F3" w:rsidRDefault="001C19F3" w:rsidP="00521305">
            <w:pPr>
              <w:spacing w:before="40" w:after="40"/>
              <w:ind w:left="100" w:right="100"/>
              <w:jc w:val="center"/>
            </w:pPr>
            <w:r>
              <w:rPr>
                <w:rFonts w:eastAsia="Century Gothic" w:cs="Century Gothic"/>
                <w:color w:val="000000"/>
                <w:sz w:val="18"/>
                <w:szCs w:val="18"/>
              </w:rPr>
              <w:t>167 (8.3%)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59EA01" w14:textId="77777777" w:rsidR="001C19F3" w:rsidRDefault="001C19F3" w:rsidP="00521305">
            <w:pPr>
              <w:spacing w:before="40" w:after="40"/>
              <w:ind w:left="100" w:right="100"/>
              <w:jc w:val="center"/>
            </w:pPr>
            <w:r>
              <w:rPr>
                <w:rFonts w:eastAsia="Century Gothic" w:cs="Century Gothic"/>
                <w:color w:val="000000"/>
                <w:sz w:val="18"/>
                <w:szCs w:val="18"/>
              </w:rPr>
              <w:t>43 (9.8%)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7308A6" w14:textId="77777777" w:rsidR="001C19F3" w:rsidRDefault="001C19F3" w:rsidP="00521305">
            <w:pPr>
              <w:spacing w:before="40" w:after="40"/>
              <w:ind w:left="100" w:right="100"/>
              <w:jc w:val="center"/>
            </w:pPr>
            <w:r>
              <w:rPr>
                <w:rFonts w:eastAsia="Century Gothic" w:cs="Century Gothic"/>
                <w:color w:val="000000"/>
                <w:sz w:val="18"/>
                <w:szCs w:val="18"/>
              </w:rPr>
              <w:t>87 (8.5%)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1F8B70" w14:textId="77777777" w:rsidR="001C19F3" w:rsidRDefault="001C19F3" w:rsidP="00521305">
            <w:pPr>
              <w:spacing w:before="40" w:after="40"/>
              <w:ind w:left="100" w:right="100"/>
              <w:jc w:val="center"/>
            </w:pPr>
            <w:r>
              <w:rPr>
                <w:rFonts w:eastAsia="Century Gothic" w:cs="Century Gothic"/>
                <w:color w:val="000000"/>
                <w:sz w:val="18"/>
                <w:szCs w:val="18"/>
              </w:rPr>
              <w:t>29 (6.2%)</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34353E4D"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3D820" w14:textId="77777777" w:rsidR="001C19F3" w:rsidRDefault="001C19F3" w:rsidP="00521305">
            <w:pPr>
              <w:spacing w:before="40" w:after="40"/>
              <w:ind w:left="100" w:right="100"/>
              <w:jc w:val="right"/>
            </w:pPr>
            <w:r>
              <w:rPr>
                <w:rFonts w:eastAsia="Century Gothic" w:cs="Century Gothic"/>
                <w:color w:val="000000"/>
                <w:sz w:val="18"/>
                <w:szCs w:val="18"/>
              </w:rPr>
              <w:t>101 (8.5%)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A740C2" w14:textId="77777777" w:rsidR="001C19F3" w:rsidRDefault="001C19F3" w:rsidP="00521305">
            <w:pPr>
              <w:spacing w:before="40" w:after="40"/>
              <w:ind w:left="100" w:right="100"/>
              <w:jc w:val="right"/>
            </w:pPr>
            <w:r>
              <w:rPr>
                <w:rFonts w:eastAsia="Century Gothic" w:cs="Century Gothic"/>
                <w:color w:val="000000"/>
                <w:sz w:val="18"/>
                <w:szCs w:val="18"/>
              </w:rPr>
              <w:t>66 (8.2%)</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346C1324" w14:textId="77777777" w:rsidR="001C19F3" w:rsidRDefault="001C19F3" w:rsidP="00521305">
            <w:pPr>
              <w:spacing w:after="0"/>
              <w:rPr>
                <w:sz w:val="22"/>
              </w:rPr>
            </w:pPr>
          </w:p>
        </w:tc>
      </w:tr>
      <w:tr w:rsidR="001C19F3" w14:paraId="11C64AD4"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7F2A35" w14:textId="77777777" w:rsidR="001C19F3" w:rsidRDefault="001C19F3" w:rsidP="00521305">
            <w:pPr>
              <w:spacing w:before="40" w:after="40"/>
              <w:ind w:left="160" w:right="100"/>
            </w:pPr>
            <w:r>
              <w:rPr>
                <w:rFonts w:eastAsia="Century Gothic" w:cs="Century Gothic"/>
                <w:color w:val="000000"/>
                <w:sz w:val="18"/>
                <w:szCs w:val="18"/>
              </w:rPr>
              <w:t>Bachelor Degree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831D0D" w14:textId="77777777" w:rsidR="001C19F3" w:rsidRDefault="001C19F3" w:rsidP="00521305">
            <w:pPr>
              <w:spacing w:before="40" w:after="40"/>
              <w:ind w:left="100" w:right="100"/>
              <w:jc w:val="center"/>
            </w:pPr>
            <w:r>
              <w:rPr>
                <w:rFonts w:eastAsia="Century Gothic" w:cs="Century Gothic"/>
                <w:color w:val="000000"/>
                <w:sz w:val="18"/>
                <w:szCs w:val="18"/>
              </w:rPr>
              <w:t>187 (9.3%)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FE67D9" w14:textId="77777777" w:rsidR="001C19F3" w:rsidRDefault="001C19F3" w:rsidP="00521305">
            <w:pPr>
              <w:spacing w:before="40" w:after="40"/>
              <w:ind w:left="100" w:right="100"/>
              <w:jc w:val="center"/>
            </w:pPr>
            <w:r>
              <w:rPr>
                <w:rFonts w:eastAsia="Century Gothic" w:cs="Century Gothic"/>
                <w:color w:val="000000"/>
                <w:sz w:val="18"/>
                <w:szCs w:val="18"/>
              </w:rPr>
              <w:t>50 (11.4%)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E2A76D" w14:textId="77777777" w:rsidR="001C19F3" w:rsidRDefault="001C19F3" w:rsidP="00521305">
            <w:pPr>
              <w:spacing w:before="40" w:after="40"/>
              <w:ind w:left="100" w:right="100"/>
              <w:jc w:val="center"/>
            </w:pPr>
            <w:r>
              <w:rPr>
                <w:rFonts w:eastAsia="Century Gothic" w:cs="Century Gothic"/>
                <w:color w:val="000000"/>
                <w:sz w:val="18"/>
                <w:szCs w:val="18"/>
              </w:rPr>
              <w:t>96 (9.4%)</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3DF842" w14:textId="77777777" w:rsidR="001C19F3" w:rsidRDefault="001C19F3" w:rsidP="00521305">
            <w:pPr>
              <w:spacing w:before="40" w:after="40"/>
              <w:ind w:left="100" w:right="100"/>
              <w:jc w:val="center"/>
            </w:pPr>
            <w:r>
              <w:rPr>
                <w:rFonts w:eastAsia="Century Gothic" w:cs="Century Gothic"/>
                <w:color w:val="000000"/>
                <w:sz w:val="18"/>
                <w:szCs w:val="18"/>
              </w:rPr>
              <w:t>36 (7.7%)</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2569D8F7"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B53F2A" w14:textId="77777777" w:rsidR="001C19F3" w:rsidRDefault="001C19F3" w:rsidP="00521305">
            <w:pPr>
              <w:spacing w:before="40" w:after="40"/>
              <w:ind w:left="100" w:right="100"/>
              <w:jc w:val="right"/>
            </w:pPr>
            <w:r>
              <w:rPr>
                <w:rFonts w:eastAsia="Century Gothic" w:cs="Century Gothic"/>
                <w:color w:val="000000"/>
                <w:sz w:val="18"/>
                <w:szCs w:val="18"/>
              </w:rPr>
              <w:t>99 (8.3%)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51A62" w14:textId="77777777" w:rsidR="001C19F3" w:rsidRDefault="001C19F3" w:rsidP="00521305">
            <w:pPr>
              <w:spacing w:before="40" w:after="40"/>
              <w:ind w:left="100" w:right="100"/>
              <w:jc w:val="right"/>
            </w:pPr>
            <w:r>
              <w:rPr>
                <w:rFonts w:eastAsia="Century Gothic" w:cs="Century Gothic"/>
                <w:color w:val="000000"/>
                <w:sz w:val="18"/>
                <w:szCs w:val="18"/>
              </w:rPr>
              <w:t>88 (11.0%)</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5211D933" w14:textId="77777777" w:rsidR="001C19F3" w:rsidRDefault="001C19F3" w:rsidP="00521305">
            <w:pPr>
              <w:spacing w:after="0"/>
              <w:rPr>
                <w:sz w:val="22"/>
              </w:rPr>
            </w:pPr>
          </w:p>
        </w:tc>
      </w:tr>
      <w:tr w:rsidR="001C19F3" w14:paraId="5E662A81"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315D8F" w14:textId="77777777" w:rsidR="001C19F3" w:rsidRDefault="001C19F3" w:rsidP="00521305">
            <w:pPr>
              <w:spacing w:before="40" w:after="40"/>
              <w:ind w:left="160" w:right="100"/>
            </w:pPr>
            <w:r>
              <w:rPr>
                <w:rFonts w:eastAsia="Century Gothic" w:cs="Century Gothic"/>
                <w:color w:val="000000"/>
                <w:sz w:val="18"/>
                <w:szCs w:val="18"/>
              </w:rPr>
              <w:t>Post-Graduate Degree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DF4025" w14:textId="77777777" w:rsidR="001C19F3" w:rsidRDefault="001C19F3" w:rsidP="00521305">
            <w:pPr>
              <w:spacing w:before="40" w:after="40"/>
              <w:ind w:left="100" w:right="100"/>
              <w:jc w:val="center"/>
            </w:pPr>
            <w:r>
              <w:rPr>
                <w:rFonts w:eastAsia="Century Gothic" w:cs="Century Gothic"/>
                <w:color w:val="000000"/>
                <w:sz w:val="18"/>
                <w:szCs w:val="18"/>
              </w:rPr>
              <w:t>66 (3.3%)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AC9565" w14:textId="77777777" w:rsidR="001C19F3" w:rsidRDefault="001C19F3" w:rsidP="00521305">
            <w:pPr>
              <w:spacing w:before="40" w:after="40"/>
              <w:ind w:left="100" w:right="100"/>
              <w:jc w:val="center"/>
            </w:pPr>
            <w:r>
              <w:rPr>
                <w:rFonts w:eastAsia="Century Gothic" w:cs="Century Gothic"/>
                <w:color w:val="000000"/>
                <w:sz w:val="18"/>
                <w:szCs w:val="18"/>
              </w:rPr>
              <w:t>16 (3.7%)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EC283E" w14:textId="77777777" w:rsidR="001C19F3" w:rsidRDefault="001C19F3" w:rsidP="00521305">
            <w:pPr>
              <w:spacing w:before="40" w:after="40"/>
              <w:ind w:left="100" w:right="100"/>
              <w:jc w:val="center"/>
            </w:pPr>
            <w:r>
              <w:rPr>
                <w:rFonts w:eastAsia="Century Gothic" w:cs="Century Gothic"/>
                <w:color w:val="000000"/>
                <w:sz w:val="18"/>
                <w:szCs w:val="18"/>
              </w:rPr>
              <w:t>36 (3.5%)</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D0C996" w14:textId="77777777" w:rsidR="001C19F3" w:rsidRDefault="001C19F3" w:rsidP="00521305">
            <w:pPr>
              <w:spacing w:before="40" w:after="40"/>
              <w:ind w:left="100" w:right="100"/>
              <w:jc w:val="center"/>
            </w:pPr>
            <w:r>
              <w:rPr>
                <w:rFonts w:eastAsia="Century Gothic" w:cs="Century Gothic"/>
                <w:color w:val="000000"/>
                <w:sz w:val="18"/>
                <w:szCs w:val="18"/>
              </w:rPr>
              <w:t>9 (1.9%)</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77D24B04"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94DC40" w14:textId="77777777" w:rsidR="001C19F3" w:rsidRDefault="001C19F3" w:rsidP="00521305">
            <w:pPr>
              <w:spacing w:before="40" w:after="40"/>
              <w:ind w:left="100" w:right="100"/>
              <w:jc w:val="right"/>
            </w:pPr>
            <w:r>
              <w:rPr>
                <w:rFonts w:eastAsia="Century Gothic" w:cs="Century Gothic"/>
                <w:color w:val="000000"/>
                <w:sz w:val="18"/>
                <w:szCs w:val="18"/>
              </w:rPr>
              <w:t>30 (2.5%)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D27092" w14:textId="77777777" w:rsidR="001C19F3" w:rsidRDefault="001C19F3" w:rsidP="00521305">
            <w:pPr>
              <w:spacing w:before="40" w:after="40"/>
              <w:ind w:left="100" w:right="100"/>
              <w:jc w:val="right"/>
            </w:pPr>
            <w:r>
              <w:rPr>
                <w:rFonts w:eastAsia="Century Gothic" w:cs="Century Gothic"/>
                <w:color w:val="000000"/>
                <w:sz w:val="18"/>
                <w:szCs w:val="18"/>
              </w:rPr>
              <w:t>36 (4.5%)</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2A356B67" w14:textId="77777777" w:rsidR="001C19F3" w:rsidRDefault="001C19F3" w:rsidP="00521305">
            <w:pPr>
              <w:spacing w:after="0"/>
              <w:rPr>
                <w:sz w:val="22"/>
              </w:rPr>
            </w:pPr>
          </w:p>
        </w:tc>
      </w:tr>
      <w:tr w:rsidR="001C19F3" w14:paraId="39F4E217"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7979C6" w14:textId="77777777" w:rsidR="001C19F3" w:rsidRDefault="001C19F3" w:rsidP="00521305">
            <w:pPr>
              <w:spacing w:before="40" w:after="40"/>
              <w:ind w:left="160" w:right="100"/>
            </w:pPr>
            <w:r>
              <w:rPr>
                <w:rFonts w:eastAsia="Century Gothic" w:cs="Century Gothic"/>
                <w:color w:val="000000"/>
                <w:sz w:val="18"/>
                <w:szCs w:val="18"/>
              </w:rPr>
              <w:t>Other</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14B6B" w14:textId="77777777" w:rsidR="001C19F3" w:rsidRDefault="001C19F3" w:rsidP="00521305">
            <w:pPr>
              <w:spacing w:before="40" w:after="40"/>
              <w:ind w:left="100" w:right="100"/>
              <w:jc w:val="center"/>
            </w:pPr>
            <w:r>
              <w:rPr>
                <w:rFonts w:eastAsia="Century Gothic" w:cs="Century Gothic"/>
                <w:color w:val="000000"/>
                <w:sz w:val="18"/>
                <w:szCs w:val="18"/>
              </w:rPr>
              <w:t>50 (2.5%)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6FAF9" w14:textId="77777777" w:rsidR="001C19F3" w:rsidRDefault="001C19F3" w:rsidP="00521305">
            <w:pPr>
              <w:spacing w:before="40" w:after="40"/>
              <w:ind w:left="100" w:right="100"/>
              <w:jc w:val="center"/>
            </w:pPr>
            <w:r>
              <w:rPr>
                <w:rFonts w:eastAsia="Century Gothic" w:cs="Century Gothic"/>
                <w:color w:val="000000"/>
                <w:sz w:val="18"/>
                <w:szCs w:val="18"/>
              </w:rPr>
              <w:t>6 (1.4%)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6F7A6" w14:textId="77777777" w:rsidR="001C19F3" w:rsidRDefault="001C19F3" w:rsidP="00521305">
            <w:pPr>
              <w:spacing w:before="40" w:after="40"/>
              <w:ind w:left="100" w:right="100"/>
              <w:jc w:val="center"/>
            </w:pPr>
            <w:r>
              <w:rPr>
                <w:rFonts w:eastAsia="Century Gothic" w:cs="Century Gothic"/>
                <w:color w:val="000000"/>
                <w:sz w:val="18"/>
                <w:szCs w:val="18"/>
              </w:rPr>
              <w:t>28 (2.7%)</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57894C" w14:textId="77777777" w:rsidR="001C19F3" w:rsidRDefault="001C19F3" w:rsidP="00521305">
            <w:pPr>
              <w:spacing w:before="40" w:after="40"/>
              <w:ind w:left="100" w:right="100"/>
              <w:jc w:val="center"/>
            </w:pPr>
            <w:r>
              <w:rPr>
                <w:rFonts w:eastAsia="Century Gothic" w:cs="Century Gothic"/>
                <w:color w:val="000000"/>
                <w:sz w:val="18"/>
                <w:szCs w:val="18"/>
              </w:rPr>
              <w:t>16 (3.4%)</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533B1B53"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941C84" w14:textId="77777777" w:rsidR="001C19F3" w:rsidRDefault="001C19F3" w:rsidP="00521305">
            <w:pPr>
              <w:spacing w:before="40" w:after="40"/>
              <w:ind w:left="100" w:right="100"/>
              <w:jc w:val="right"/>
            </w:pPr>
            <w:r>
              <w:rPr>
                <w:rFonts w:eastAsia="Century Gothic" w:cs="Century Gothic"/>
                <w:color w:val="000000"/>
                <w:sz w:val="18"/>
                <w:szCs w:val="18"/>
              </w:rPr>
              <w:t>34 (2.8%)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16B3DE" w14:textId="77777777" w:rsidR="001C19F3" w:rsidRDefault="001C19F3" w:rsidP="00521305">
            <w:pPr>
              <w:spacing w:before="40" w:after="40"/>
              <w:ind w:left="100" w:right="100"/>
              <w:jc w:val="right"/>
            </w:pPr>
            <w:r>
              <w:rPr>
                <w:rFonts w:eastAsia="Century Gothic" w:cs="Century Gothic"/>
                <w:color w:val="000000"/>
                <w:sz w:val="18"/>
                <w:szCs w:val="18"/>
              </w:rPr>
              <w:t>16 (2.0%)</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3FFF232A" w14:textId="77777777" w:rsidR="001C19F3" w:rsidRDefault="001C19F3" w:rsidP="00521305">
            <w:pPr>
              <w:spacing w:after="0"/>
              <w:rPr>
                <w:sz w:val="22"/>
              </w:rPr>
            </w:pPr>
          </w:p>
        </w:tc>
      </w:tr>
      <w:tr w:rsidR="001C19F3" w14:paraId="00B0B393"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927269" w14:textId="77777777" w:rsidR="001C19F3" w:rsidRDefault="001C19F3" w:rsidP="00521305">
            <w:pPr>
              <w:spacing w:before="40" w:after="40"/>
              <w:ind w:left="160" w:right="100"/>
            </w:pPr>
            <w:r>
              <w:rPr>
                <w:rFonts w:eastAsia="Century Gothic" w:cs="Century Gothic"/>
                <w:color w:val="000000"/>
                <w:sz w:val="18"/>
                <w:szCs w:val="18"/>
              </w:rPr>
              <w:lastRenderedPageBreak/>
              <w:t>Refused</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3BE8C1" w14:textId="77777777" w:rsidR="001C19F3" w:rsidRDefault="001C19F3" w:rsidP="00521305">
            <w:pPr>
              <w:spacing w:before="40" w:after="40"/>
              <w:ind w:left="100" w:right="100"/>
              <w:jc w:val="center"/>
            </w:pPr>
            <w:r>
              <w:rPr>
                <w:rFonts w:eastAsia="Century Gothic" w:cs="Century Gothic"/>
                <w:color w:val="000000"/>
                <w:sz w:val="18"/>
                <w:szCs w:val="18"/>
              </w:rPr>
              <w:t>23 (1.1%)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5D204F"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AD72A1" w14:textId="77777777" w:rsidR="001C19F3" w:rsidRDefault="001C19F3" w:rsidP="00521305">
            <w:pPr>
              <w:spacing w:before="40" w:after="40"/>
              <w:ind w:left="100" w:right="100"/>
              <w:jc w:val="center"/>
            </w:pP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1374F6" w14:textId="77777777" w:rsidR="001C19F3" w:rsidRDefault="001C19F3" w:rsidP="00521305">
            <w:pPr>
              <w:spacing w:before="40" w:after="40"/>
              <w:ind w:left="100" w:right="100"/>
              <w:jc w:val="center"/>
            </w:pPr>
          </w:p>
        </w:tc>
        <w:tc>
          <w:tcPr>
            <w:tcW w:w="4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7ADF8D"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DF0A80"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A2A805"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148149" w14:textId="77777777" w:rsidR="001C19F3" w:rsidRDefault="001C19F3" w:rsidP="00521305">
            <w:pPr>
              <w:spacing w:before="40" w:after="40"/>
              <w:ind w:left="100" w:right="100"/>
              <w:jc w:val="right"/>
            </w:pPr>
          </w:p>
        </w:tc>
      </w:tr>
      <w:tr w:rsidR="001C19F3" w14:paraId="2C960C08"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E5D12B" w14:textId="77777777" w:rsidR="001C19F3" w:rsidRDefault="001C19F3" w:rsidP="00521305">
            <w:pPr>
              <w:spacing w:before="40" w:after="40"/>
              <w:ind w:left="100" w:right="100"/>
            </w:pPr>
            <w:r>
              <w:rPr>
                <w:rFonts w:eastAsia="Century Gothic" w:cs="Century Gothic"/>
                <w:b/>
                <w:color w:val="000000"/>
                <w:sz w:val="18"/>
                <w:szCs w:val="18"/>
              </w:rPr>
              <w:t>A6 Household composition (Q33)</w:t>
            </w:r>
          </w:p>
        </w:tc>
      </w:tr>
      <w:tr w:rsidR="001C19F3" w14:paraId="3C132DB0"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5850BC" w14:textId="77777777" w:rsidR="001C19F3" w:rsidRDefault="001C19F3" w:rsidP="00521305">
            <w:pPr>
              <w:spacing w:before="40" w:after="40"/>
              <w:ind w:left="160" w:right="100"/>
            </w:pPr>
            <w:r>
              <w:rPr>
                <w:rFonts w:eastAsia="Century Gothic" w:cs="Century Gothic"/>
                <w:color w:val="000000"/>
                <w:sz w:val="18"/>
                <w:szCs w:val="18"/>
              </w:rPr>
              <w:t>Person living alone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1DF282" w14:textId="77777777" w:rsidR="001C19F3" w:rsidRDefault="001C19F3" w:rsidP="00521305">
            <w:pPr>
              <w:spacing w:before="40" w:after="40"/>
              <w:ind w:left="100" w:right="100"/>
              <w:jc w:val="center"/>
            </w:pPr>
            <w:r>
              <w:rPr>
                <w:rFonts w:eastAsia="Century Gothic" w:cs="Century Gothic"/>
                <w:color w:val="000000"/>
                <w:sz w:val="18"/>
                <w:szCs w:val="18"/>
              </w:rPr>
              <w:t>486 (24.1%)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D3BE2" w14:textId="77777777" w:rsidR="001C19F3" w:rsidRDefault="001C19F3" w:rsidP="00521305">
            <w:pPr>
              <w:spacing w:before="40" w:after="40"/>
              <w:ind w:left="100" w:right="100"/>
              <w:jc w:val="center"/>
            </w:pPr>
            <w:r>
              <w:rPr>
                <w:rFonts w:eastAsia="Century Gothic" w:cs="Century Gothic"/>
                <w:color w:val="000000"/>
                <w:sz w:val="18"/>
                <w:szCs w:val="18"/>
              </w:rPr>
              <w:t>77 (17.4%)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1F1662" w14:textId="77777777" w:rsidR="001C19F3" w:rsidRDefault="001C19F3" w:rsidP="00521305">
            <w:pPr>
              <w:spacing w:before="40" w:after="40"/>
              <w:ind w:left="100" w:right="100"/>
              <w:jc w:val="center"/>
            </w:pPr>
            <w:r>
              <w:rPr>
                <w:rFonts w:eastAsia="Century Gothic" w:cs="Century Gothic"/>
                <w:color w:val="000000"/>
                <w:sz w:val="18"/>
                <w:szCs w:val="18"/>
              </w:rPr>
              <w:t>248 (24.0%)</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AA79CF" w14:textId="77777777" w:rsidR="001C19F3" w:rsidRDefault="001C19F3" w:rsidP="00521305">
            <w:pPr>
              <w:spacing w:before="40" w:after="40"/>
              <w:ind w:left="100" w:right="100"/>
              <w:jc w:val="center"/>
            </w:pPr>
            <w:r>
              <w:rPr>
                <w:rFonts w:eastAsia="Century Gothic" w:cs="Century Gothic"/>
                <w:color w:val="000000"/>
                <w:sz w:val="18"/>
                <w:szCs w:val="18"/>
              </w:rPr>
              <w:t>138 (29.2%)</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0FA342"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F7097F" w14:textId="77777777" w:rsidR="001C19F3" w:rsidRDefault="001C19F3" w:rsidP="00521305">
            <w:pPr>
              <w:spacing w:before="40" w:after="40"/>
              <w:ind w:left="100" w:right="100"/>
              <w:jc w:val="right"/>
            </w:pPr>
            <w:r>
              <w:rPr>
                <w:rFonts w:eastAsia="Century Gothic" w:cs="Century Gothic"/>
                <w:color w:val="000000"/>
                <w:sz w:val="18"/>
                <w:szCs w:val="18"/>
              </w:rPr>
              <w:t>283 (23.5%)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3423FA" w14:textId="77777777" w:rsidR="001C19F3" w:rsidRDefault="001C19F3" w:rsidP="00521305">
            <w:pPr>
              <w:spacing w:before="40" w:after="40"/>
              <w:ind w:left="100" w:right="100"/>
              <w:jc w:val="right"/>
            </w:pPr>
            <w:r>
              <w:rPr>
                <w:rFonts w:eastAsia="Century Gothic" w:cs="Century Gothic"/>
                <w:color w:val="000000"/>
                <w:sz w:val="18"/>
                <w:szCs w:val="18"/>
              </w:rPr>
              <w:t>203 (25.0%)</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551BAA"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3DDB2BA6"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CC861D" w14:textId="77777777" w:rsidR="001C19F3" w:rsidRDefault="001C19F3" w:rsidP="00521305">
            <w:pPr>
              <w:spacing w:before="40" w:after="40"/>
              <w:ind w:left="160" w:right="100"/>
            </w:pPr>
            <w:r>
              <w:rPr>
                <w:rFonts w:eastAsia="Century Gothic" w:cs="Century Gothic"/>
                <w:color w:val="000000"/>
                <w:sz w:val="18"/>
                <w:szCs w:val="18"/>
              </w:rPr>
              <w:t>Couple only</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41E3D2" w14:textId="77777777" w:rsidR="001C19F3" w:rsidRDefault="001C19F3" w:rsidP="00521305">
            <w:pPr>
              <w:spacing w:before="40" w:after="40"/>
              <w:ind w:left="100" w:right="100"/>
              <w:jc w:val="center"/>
            </w:pPr>
            <w:r>
              <w:rPr>
                <w:rFonts w:eastAsia="Century Gothic" w:cs="Century Gothic"/>
                <w:color w:val="000000"/>
                <w:sz w:val="18"/>
                <w:szCs w:val="18"/>
              </w:rPr>
              <w:t>934 (46.3%)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DCE9A" w14:textId="77777777" w:rsidR="001C19F3" w:rsidRDefault="001C19F3" w:rsidP="00521305">
            <w:pPr>
              <w:spacing w:before="40" w:after="40"/>
              <w:ind w:left="100" w:right="100"/>
              <w:jc w:val="center"/>
            </w:pPr>
            <w:r>
              <w:rPr>
                <w:rFonts w:eastAsia="Century Gothic" w:cs="Century Gothic"/>
                <w:color w:val="000000"/>
                <w:sz w:val="18"/>
                <w:szCs w:val="18"/>
              </w:rPr>
              <w:t>258 (58.4%)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7B9F39" w14:textId="77777777" w:rsidR="001C19F3" w:rsidRDefault="001C19F3" w:rsidP="00521305">
            <w:pPr>
              <w:spacing w:before="40" w:after="40"/>
              <w:ind w:left="100" w:right="100"/>
              <w:jc w:val="center"/>
            </w:pPr>
            <w:r>
              <w:rPr>
                <w:rFonts w:eastAsia="Century Gothic" w:cs="Century Gothic"/>
                <w:color w:val="000000"/>
                <w:sz w:val="18"/>
                <w:szCs w:val="18"/>
              </w:rPr>
              <w:t>494 (47.8%)</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9806CD" w14:textId="77777777" w:rsidR="001C19F3" w:rsidRDefault="001C19F3" w:rsidP="00521305">
            <w:pPr>
              <w:spacing w:before="40" w:after="40"/>
              <w:ind w:left="100" w:right="100"/>
              <w:jc w:val="center"/>
            </w:pPr>
            <w:r>
              <w:rPr>
                <w:rFonts w:eastAsia="Century Gothic" w:cs="Century Gothic"/>
                <w:color w:val="000000"/>
                <w:sz w:val="18"/>
                <w:szCs w:val="18"/>
              </w:rPr>
              <w:t>157 (33.3%)</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2349D00C"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BF3393" w14:textId="77777777" w:rsidR="001C19F3" w:rsidRDefault="001C19F3" w:rsidP="00521305">
            <w:pPr>
              <w:spacing w:before="40" w:after="40"/>
              <w:ind w:left="100" w:right="100"/>
              <w:jc w:val="right"/>
            </w:pPr>
            <w:r>
              <w:rPr>
                <w:rFonts w:eastAsia="Century Gothic" w:cs="Century Gothic"/>
                <w:color w:val="000000"/>
                <w:sz w:val="18"/>
                <w:szCs w:val="18"/>
              </w:rPr>
              <w:t>618 (51.2%)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2A78B9" w14:textId="77777777" w:rsidR="001C19F3" w:rsidRDefault="001C19F3" w:rsidP="00521305">
            <w:pPr>
              <w:spacing w:before="40" w:after="40"/>
              <w:ind w:left="100" w:right="100"/>
              <w:jc w:val="right"/>
            </w:pPr>
            <w:r>
              <w:rPr>
                <w:rFonts w:eastAsia="Century Gothic" w:cs="Century Gothic"/>
                <w:color w:val="000000"/>
                <w:sz w:val="18"/>
                <w:szCs w:val="18"/>
              </w:rPr>
              <w:t>316 (38.9%)</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B6647BF" w14:textId="77777777" w:rsidR="001C19F3" w:rsidRDefault="001C19F3" w:rsidP="00521305">
            <w:pPr>
              <w:spacing w:after="0"/>
              <w:rPr>
                <w:sz w:val="22"/>
              </w:rPr>
            </w:pPr>
          </w:p>
        </w:tc>
      </w:tr>
      <w:tr w:rsidR="001C19F3" w14:paraId="2C89498E"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26612A" w14:textId="77777777" w:rsidR="001C19F3" w:rsidRDefault="001C19F3" w:rsidP="00521305">
            <w:pPr>
              <w:spacing w:before="40" w:after="40"/>
              <w:ind w:left="160" w:right="100"/>
            </w:pPr>
            <w:r>
              <w:rPr>
                <w:rFonts w:eastAsia="Century Gothic" w:cs="Century Gothic"/>
                <w:color w:val="000000"/>
                <w:sz w:val="18"/>
                <w:szCs w:val="18"/>
              </w:rPr>
              <w:t>Couple with non-dependent child or children</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6A4447" w14:textId="77777777" w:rsidR="001C19F3" w:rsidRDefault="001C19F3" w:rsidP="00521305">
            <w:pPr>
              <w:spacing w:before="40" w:after="40"/>
              <w:ind w:left="100" w:right="100"/>
              <w:jc w:val="center"/>
            </w:pPr>
            <w:r>
              <w:rPr>
                <w:rFonts w:eastAsia="Century Gothic" w:cs="Century Gothic"/>
                <w:color w:val="000000"/>
                <w:sz w:val="18"/>
                <w:szCs w:val="18"/>
              </w:rPr>
              <w:t>168 (8.3%)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CA1E3B" w14:textId="77777777" w:rsidR="001C19F3" w:rsidRDefault="001C19F3" w:rsidP="00521305">
            <w:pPr>
              <w:spacing w:before="40" w:after="40"/>
              <w:ind w:left="100" w:right="100"/>
              <w:jc w:val="center"/>
            </w:pPr>
            <w:r>
              <w:rPr>
                <w:rFonts w:eastAsia="Century Gothic" w:cs="Century Gothic"/>
                <w:color w:val="000000"/>
                <w:sz w:val="18"/>
                <w:szCs w:val="18"/>
              </w:rPr>
              <w:t>30 (6.8%)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F66704" w14:textId="77777777" w:rsidR="001C19F3" w:rsidRDefault="001C19F3" w:rsidP="00521305">
            <w:pPr>
              <w:spacing w:before="40" w:after="40"/>
              <w:ind w:left="100" w:right="100"/>
              <w:jc w:val="center"/>
            </w:pPr>
            <w:r>
              <w:rPr>
                <w:rFonts w:eastAsia="Century Gothic" w:cs="Century Gothic"/>
                <w:color w:val="000000"/>
                <w:sz w:val="18"/>
                <w:szCs w:val="18"/>
              </w:rPr>
              <w:t>90 (8.7%)</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DAFD62" w14:textId="77777777" w:rsidR="001C19F3" w:rsidRDefault="001C19F3" w:rsidP="00521305">
            <w:pPr>
              <w:spacing w:before="40" w:after="40"/>
              <w:ind w:left="100" w:right="100"/>
              <w:jc w:val="center"/>
            </w:pPr>
            <w:r>
              <w:rPr>
                <w:rFonts w:eastAsia="Century Gothic" w:cs="Century Gothic"/>
                <w:color w:val="000000"/>
                <w:sz w:val="18"/>
                <w:szCs w:val="18"/>
              </w:rPr>
              <w:t>43 (9.1%)</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55379F66"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EADD34" w14:textId="77777777" w:rsidR="001C19F3" w:rsidRDefault="001C19F3" w:rsidP="00521305">
            <w:pPr>
              <w:spacing w:before="40" w:after="40"/>
              <w:ind w:left="100" w:right="100"/>
              <w:jc w:val="right"/>
            </w:pPr>
            <w:r>
              <w:rPr>
                <w:rFonts w:eastAsia="Century Gothic" w:cs="Century Gothic"/>
                <w:color w:val="000000"/>
                <w:sz w:val="18"/>
                <w:szCs w:val="18"/>
              </w:rPr>
              <w:t>102 (8.5%)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34E2DE" w14:textId="77777777" w:rsidR="001C19F3" w:rsidRDefault="001C19F3" w:rsidP="00521305">
            <w:pPr>
              <w:spacing w:before="40" w:after="40"/>
              <w:ind w:left="100" w:right="100"/>
              <w:jc w:val="right"/>
            </w:pPr>
            <w:r>
              <w:rPr>
                <w:rFonts w:eastAsia="Century Gothic" w:cs="Century Gothic"/>
                <w:color w:val="000000"/>
                <w:sz w:val="18"/>
                <w:szCs w:val="18"/>
              </w:rPr>
              <w:t>66 (8.1%)</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9F0235C" w14:textId="77777777" w:rsidR="001C19F3" w:rsidRDefault="001C19F3" w:rsidP="00521305">
            <w:pPr>
              <w:spacing w:after="0"/>
              <w:rPr>
                <w:sz w:val="22"/>
              </w:rPr>
            </w:pPr>
          </w:p>
        </w:tc>
      </w:tr>
      <w:tr w:rsidR="001C19F3" w14:paraId="58B460F2"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D78ADA" w14:textId="77777777" w:rsidR="001C19F3" w:rsidRDefault="001C19F3" w:rsidP="00521305">
            <w:pPr>
              <w:spacing w:before="40" w:after="40"/>
              <w:ind w:left="160" w:right="100"/>
            </w:pPr>
            <w:r>
              <w:rPr>
                <w:rFonts w:eastAsia="Century Gothic" w:cs="Century Gothic"/>
                <w:color w:val="000000"/>
                <w:sz w:val="18"/>
                <w:szCs w:val="18"/>
              </w:rPr>
              <w:t>Couple with dependent child or children</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F6A4DC" w14:textId="77777777" w:rsidR="001C19F3" w:rsidRDefault="001C19F3" w:rsidP="00521305">
            <w:pPr>
              <w:spacing w:before="40" w:after="40"/>
              <w:ind w:left="100" w:right="100"/>
              <w:jc w:val="center"/>
            </w:pPr>
            <w:r>
              <w:rPr>
                <w:rFonts w:eastAsia="Century Gothic" w:cs="Century Gothic"/>
                <w:color w:val="000000"/>
                <w:sz w:val="18"/>
                <w:szCs w:val="18"/>
              </w:rPr>
              <w:t>148 (7.3%)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F79B1" w14:textId="77777777" w:rsidR="001C19F3" w:rsidRDefault="001C19F3" w:rsidP="00521305">
            <w:pPr>
              <w:spacing w:before="40" w:after="40"/>
              <w:ind w:left="100" w:right="100"/>
              <w:jc w:val="center"/>
            </w:pPr>
            <w:r>
              <w:rPr>
                <w:rFonts w:eastAsia="Century Gothic" w:cs="Century Gothic"/>
                <w:color w:val="000000"/>
                <w:sz w:val="18"/>
                <w:szCs w:val="18"/>
              </w:rPr>
              <w:t>39 (8.8%)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8C591D" w14:textId="77777777" w:rsidR="001C19F3" w:rsidRDefault="001C19F3" w:rsidP="00521305">
            <w:pPr>
              <w:spacing w:before="40" w:after="40"/>
              <w:ind w:left="100" w:right="100"/>
              <w:jc w:val="center"/>
            </w:pPr>
            <w:r>
              <w:rPr>
                <w:rFonts w:eastAsia="Century Gothic" w:cs="Century Gothic"/>
                <w:color w:val="000000"/>
                <w:sz w:val="18"/>
                <w:szCs w:val="18"/>
              </w:rPr>
              <w:t>75 (7.3%)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370E5" w14:textId="77777777" w:rsidR="001C19F3" w:rsidRDefault="001C19F3" w:rsidP="00521305">
            <w:pPr>
              <w:spacing w:before="40" w:after="40"/>
              <w:ind w:left="100" w:right="100"/>
              <w:jc w:val="center"/>
            </w:pPr>
            <w:r>
              <w:rPr>
                <w:rFonts w:eastAsia="Century Gothic" w:cs="Century Gothic"/>
                <w:color w:val="000000"/>
                <w:sz w:val="18"/>
                <w:szCs w:val="18"/>
              </w:rPr>
              <w:t>25 (5.3%)</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304EE659"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7A00C" w14:textId="77777777" w:rsidR="001C19F3" w:rsidRDefault="001C19F3" w:rsidP="00521305">
            <w:pPr>
              <w:spacing w:before="40" w:after="40"/>
              <w:ind w:left="100" w:right="100"/>
              <w:jc w:val="right"/>
            </w:pPr>
            <w:r>
              <w:rPr>
                <w:rFonts w:eastAsia="Century Gothic" w:cs="Century Gothic"/>
                <w:color w:val="000000"/>
                <w:sz w:val="18"/>
                <w:szCs w:val="18"/>
              </w:rPr>
              <w:t>75 (6.2%)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3E3A6" w14:textId="77777777" w:rsidR="001C19F3" w:rsidRDefault="001C19F3" w:rsidP="00521305">
            <w:pPr>
              <w:spacing w:before="40" w:after="40"/>
              <w:ind w:left="100" w:right="100"/>
              <w:jc w:val="right"/>
            </w:pPr>
            <w:r>
              <w:rPr>
                <w:rFonts w:eastAsia="Century Gothic" w:cs="Century Gothic"/>
                <w:color w:val="000000"/>
                <w:sz w:val="18"/>
                <w:szCs w:val="18"/>
              </w:rPr>
              <w:t>73 (9.0%)</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3C711160" w14:textId="77777777" w:rsidR="001C19F3" w:rsidRDefault="001C19F3" w:rsidP="00521305">
            <w:pPr>
              <w:spacing w:after="0"/>
              <w:rPr>
                <w:sz w:val="22"/>
              </w:rPr>
            </w:pPr>
          </w:p>
        </w:tc>
      </w:tr>
      <w:tr w:rsidR="001C19F3" w14:paraId="18721812"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F81249" w14:textId="77777777" w:rsidR="001C19F3" w:rsidRDefault="001C19F3" w:rsidP="00521305">
            <w:pPr>
              <w:spacing w:before="40" w:after="40"/>
              <w:ind w:left="160" w:right="100"/>
            </w:pPr>
            <w:r>
              <w:rPr>
                <w:rFonts w:eastAsia="Century Gothic" w:cs="Century Gothic"/>
                <w:color w:val="000000"/>
                <w:sz w:val="18"/>
                <w:szCs w:val="18"/>
              </w:rPr>
              <w:t>Single parent with non-dependent child or children</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E2435A" w14:textId="77777777" w:rsidR="001C19F3" w:rsidRDefault="001C19F3" w:rsidP="00521305">
            <w:pPr>
              <w:spacing w:before="40" w:after="40"/>
              <w:ind w:left="100" w:right="100"/>
              <w:jc w:val="center"/>
            </w:pPr>
            <w:r>
              <w:rPr>
                <w:rFonts w:eastAsia="Century Gothic" w:cs="Century Gothic"/>
                <w:color w:val="000000"/>
                <w:sz w:val="18"/>
                <w:szCs w:val="18"/>
              </w:rPr>
              <w:t>85 (4.2%)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3E9C74" w14:textId="77777777" w:rsidR="001C19F3" w:rsidRDefault="001C19F3" w:rsidP="00521305">
            <w:pPr>
              <w:spacing w:before="40" w:after="40"/>
              <w:ind w:left="100" w:right="100"/>
              <w:jc w:val="center"/>
            </w:pPr>
            <w:r>
              <w:rPr>
                <w:rFonts w:eastAsia="Century Gothic" w:cs="Century Gothic"/>
                <w:color w:val="000000"/>
                <w:sz w:val="18"/>
                <w:szCs w:val="18"/>
              </w:rPr>
              <w:t>14 (3.2%)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04CFED" w14:textId="77777777" w:rsidR="001C19F3" w:rsidRDefault="001C19F3" w:rsidP="00521305">
            <w:pPr>
              <w:spacing w:before="40" w:after="40"/>
              <w:ind w:left="100" w:right="100"/>
              <w:jc w:val="center"/>
            </w:pPr>
            <w:r>
              <w:rPr>
                <w:rFonts w:eastAsia="Century Gothic" w:cs="Century Gothic"/>
                <w:color w:val="000000"/>
                <w:sz w:val="18"/>
                <w:szCs w:val="18"/>
              </w:rPr>
              <w:t>28 (2.7%)</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A9A35F" w14:textId="77777777" w:rsidR="001C19F3" w:rsidRDefault="001C19F3" w:rsidP="00521305">
            <w:pPr>
              <w:spacing w:before="40" w:after="40"/>
              <w:ind w:left="100" w:right="100"/>
              <w:jc w:val="center"/>
            </w:pPr>
            <w:r>
              <w:rPr>
                <w:rFonts w:eastAsia="Century Gothic" w:cs="Century Gothic"/>
                <w:color w:val="000000"/>
                <w:sz w:val="18"/>
                <w:szCs w:val="18"/>
              </w:rPr>
              <w:t>39 (8.3%)</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6AED390B"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B24A6B" w14:textId="77777777" w:rsidR="001C19F3" w:rsidRDefault="001C19F3" w:rsidP="00521305">
            <w:pPr>
              <w:spacing w:before="40" w:after="40"/>
              <w:ind w:left="100" w:right="100"/>
              <w:jc w:val="right"/>
            </w:pPr>
            <w:r>
              <w:rPr>
                <w:rFonts w:eastAsia="Century Gothic" w:cs="Century Gothic"/>
                <w:color w:val="000000"/>
                <w:sz w:val="18"/>
                <w:szCs w:val="18"/>
              </w:rPr>
              <w:t>38 (3.2%)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DDA23E" w14:textId="77777777" w:rsidR="001C19F3" w:rsidRDefault="001C19F3" w:rsidP="00521305">
            <w:pPr>
              <w:spacing w:before="40" w:after="40"/>
              <w:ind w:left="100" w:right="100"/>
              <w:jc w:val="right"/>
            </w:pPr>
            <w:r>
              <w:rPr>
                <w:rFonts w:eastAsia="Century Gothic" w:cs="Century Gothic"/>
                <w:color w:val="000000"/>
                <w:sz w:val="18"/>
                <w:szCs w:val="18"/>
              </w:rPr>
              <w:t>47 (5.8%)</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4CA60747" w14:textId="77777777" w:rsidR="001C19F3" w:rsidRDefault="001C19F3" w:rsidP="00521305">
            <w:pPr>
              <w:spacing w:after="0"/>
              <w:rPr>
                <w:sz w:val="22"/>
              </w:rPr>
            </w:pPr>
          </w:p>
        </w:tc>
      </w:tr>
      <w:tr w:rsidR="001C19F3" w14:paraId="662BE778"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1225E1" w14:textId="77777777" w:rsidR="001C19F3" w:rsidRDefault="001C19F3" w:rsidP="00521305">
            <w:pPr>
              <w:spacing w:before="40" w:after="40"/>
              <w:ind w:left="160" w:right="100"/>
            </w:pPr>
            <w:r>
              <w:rPr>
                <w:rFonts w:eastAsia="Century Gothic" w:cs="Century Gothic"/>
                <w:color w:val="000000"/>
                <w:sz w:val="18"/>
                <w:szCs w:val="18"/>
              </w:rPr>
              <w:t>Single parent with dependent child or children</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44238D" w14:textId="77777777" w:rsidR="001C19F3" w:rsidRDefault="001C19F3" w:rsidP="00521305">
            <w:pPr>
              <w:spacing w:before="40" w:after="40"/>
              <w:ind w:left="100" w:right="100"/>
              <w:jc w:val="center"/>
            </w:pPr>
            <w:r>
              <w:rPr>
                <w:rFonts w:eastAsia="Century Gothic" w:cs="Century Gothic"/>
                <w:color w:val="000000"/>
                <w:sz w:val="18"/>
                <w:szCs w:val="18"/>
              </w:rPr>
              <w:t>36 (1.8%)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14809C"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96B6D6" w14:textId="77777777" w:rsidR="001C19F3" w:rsidRDefault="001C19F3" w:rsidP="00521305">
            <w:pPr>
              <w:spacing w:before="40" w:after="40"/>
              <w:ind w:left="100" w:right="100"/>
              <w:jc w:val="center"/>
            </w:pPr>
            <w:r>
              <w:rPr>
                <w:rFonts w:eastAsia="Century Gothic" w:cs="Century Gothic"/>
                <w:color w:val="000000"/>
                <w:sz w:val="18"/>
                <w:szCs w:val="18"/>
              </w:rPr>
              <w:t>22 (2.1%)</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F12B99" w14:textId="77777777" w:rsidR="001C19F3" w:rsidRDefault="001C19F3" w:rsidP="00521305">
            <w:pPr>
              <w:spacing w:before="40" w:after="40"/>
              <w:ind w:left="100" w:right="100"/>
              <w:jc w:val="center"/>
            </w:pPr>
            <w:r>
              <w:rPr>
                <w:rFonts w:eastAsia="Century Gothic" w:cs="Century Gothic"/>
                <w:color w:val="000000"/>
                <w:sz w:val="18"/>
                <w:szCs w:val="18"/>
              </w:rPr>
              <w:t>12 (2.5%)</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58227016"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2DE39" w14:textId="77777777" w:rsidR="001C19F3" w:rsidRDefault="001C19F3" w:rsidP="00521305">
            <w:pPr>
              <w:spacing w:before="40" w:after="40"/>
              <w:ind w:left="100" w:right="100"/>
              <w:jc w:val="right"/>
            </w:pPr>
            <w:r>
              <w:rPr>
                <w:rFonts w:eastAsia="Century Gothic" w:cs="Century Gothic"/>
                <w:color w:val="000000"/>
                <w:sz w:val="18"/>
                <w:szCs w:val="18"/>
              </w:rPr>
              <w:t>14 (1.2%)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840F92" w14:textId="77777777" w:rsidR="001C19F3" w:rsidRDefault="001C19F3" w:rsidP="00521305">
            <w:pPr>
              <w:spacing w:before="40" w:after="40"/>
              <w:ind w:left="100" w:right="100"/>
              <w:jc w:val="right"/>
            </w:pPr>
            <w:r>
              <w:rPr>
                <w:rFonts w:eastAsia="Century Gothic" w:cs="Century Gothic"/>
                <w:color w:val="000000"/>
                <w:sz w:val="18"/>
                <w:szCs w:val="18"/>
              </w:rPr>
              <w:t>22 (2.7%)</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35605DF" w14:textId="77777777" w:rsidR="001C19F3" w:rsidRDefault="001C19F3" w:rsidP="00521305">
            <w:pPr>
              <w:spacing w:after="0"/>
              <w:rPr>
                <w:sz w:val="22"/>
              </w:rPr>
            </w:pPr>
          </w:p>
        </w:tc>
      </w:tr>
      <w:tr w:rsidR="001C19F3" w14:paraId="189D02E6"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5BCDEC" w14:textId="77777777" w:rsidR="001C19F3" w:rsidRDefault="001C19F3" w:rsidP="00521305">
            <w:pPr>
              <w:spacing w:before="40" w:after="40"/>
              <w:ind w:left="160" w:right="100"/>
            </w:pPr>
            <w:r>
              <w:rPr>
                <w:rFonts w:eastAsia="Century Gothic" w:cs="Century Gothic"/>
                <w:color w:val="000000"/>
                <w:sz w:val="18"/>
                <w:szCs w:val="18"/>
              </w:rPr>
              <w:t>Other household type</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F79CB9" w14:textId="77777777" w:rsidR="001C19F3" w:rsidRDefault="001C19F3" w:rsidP="00521305">
            <w:pPr>
              <w:spacing w:before="40" w:after="40"/>
              <w:ind w:left="100" w:right="100"/>
              <w:jc w:val="center"/>
            </w:pPr>
            <w:r>
              <w:rPr>
                <w:rFonts w:eastAsia="Century Gothic" w:cs="Century Gothic"/>
                <w:color w:val="000000"/>
                <w:sz w:val="18"/>
                <w:szCs w:val="18"/>
              </w:rPr>
              <w:t>161 (8.0%)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440B59" w14:textId="77777777" w:rsidR="001C19F3" w:rsidRDefault="001C19F3" w:rsidP="00521305">
            <w:pPr>
              <w:spacing w:before="40" w:after="40"/>
              <w:ind w:left="100" w:right="100"/>
              <w:jc w:val="center"/>
            </w:pPr>
            <w:r>
              <w:rPr>
                <w:rFonts w:eastAsia="Century Gothic" w:cs="Century Gothic"/>
                <w:color w:val="000000"/>
                <w:sz w:val="18"/>
                <w:szCs w:val="18"/>
              </w:rPr>
              <w:t>22 (5.0%)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741A44" w14:textId="77777777" w:rsidR="001C19F3" w:rsidRDefault="001C19F3" w:rsidP="00521305">
            <w:pPr>
              <w:spacing w:before="40" w:after="40"/>
              <w:ind w:left="100" w:right="100"/>
              <w:jc w:val="center"/>
            </w:pPr>
            <w:r>
              <w:rPr>
                <w:rFonts w:eastAsia="Century Gothic" w:cs="Century Gothic"/>
                <w:color w:val="000000"/>
                <w:sz w:val="18"/>
                <w:szCs w:val="18"/>
              </w:rPr>
              <w:t>77 (7.4%)</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2080BC" w14:textId="77777777" w:rsidR="001C19F3" w:rsidRDefault="001C19F3" w:rsidP="00521305">
            <w:pPr>
              <w:spacing w:before="40" w:after="40"/>
              <w:ind w:left="100" w:right="100"/>
              <w:jc w:val="center"/>
            </w:pPr>
            <w:r>
              <w:rPr>
                <w:rFonts w:eastAsia="Century Gothic" w:cs="Century Gothic"/>
                <w:color w:val="000000"/>
                <w:sz w:val="18"/>
                <w:szCs w:val="18"/>
              </w:rPr>
              <w:t>58 (12.3%)</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6EF7AAEC"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651F0A" w14:textId="77777777" w:rsidR="001C19F3" w:rsidRDefault="001C19F3" w:rsidP="00521305">
            <w:pPr>
              <w:spacing w:before="40" w:after="40"/>
              <w:ind w:left="100" w:right="100"/>
              <w:jc w:val="right"/>
            </w:pPr>
            <w:r>
              <w:rPr>
                <w:rFonts w:eastAsia="Century Gothic" w:cs="Century Gothic"/>
                <w:color w:val="000000"/>
                <w:sz w:val="18"/>
                <w:szCs w:val="18"/>
              </w:rPr>
              <w:t>76 (6.3%)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648D7C" w14:textId="77777777" w:rsidR="001C19F3" w:rsidRDefault="001C19F3" w:rsidP="00521305">
            <w:pPr>
              <w:spacing w:before="40" w:after="40"/>
              <w:ind w:left="100" w:right="100"/>
              <w:jc w:val="right"/>
            </w:pPr>
            <w:r>
              <w:rPr>
                <w:rFonts w:eastAsia="Century Gothic" w:cs="Century Gothic"/>
                <w:color w:val="000000"/>
                <w:sz w:val="18"/>
                <w:szCs w:val="18"/>
              </w:rPr>
              <w:t>85 (10.5%)</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4494B97E" w14:textId="77777777" w:rsidR="001C19F3" w:rsidRDefault="001C19F3" w:rsidP="00521305">
            <w:pPr>
              <w:spacing w:after="0"/>
              <w:rPr>
                <w:sz w:val="22"/>
              </w:rPr>
            </w:pPr>
          </w:p>
        </w:tc>
      </w:tr>
      <w:tr w:rsidR="001C19F3" w14:paraId="37F14E77" w14:textId="77777777" w:rsidTr="00521305">
        <w:trPr>
          <w:cantSplit/>
          <w:trHeight w:val="20"/>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84E926" w14:textId="77777777" w:rsidR="001C19F3" w:rsidRDefault="001C19F3" w:rsidP="00521305">
            <w:pPr>
              <w:spacing w:before="40" w:after="40"/>
              <w:ind w:left="100" w:right="100"/>
            </w:pPr>
            <w:r>
              <w:rPr>
                <w:rFonts w:eastAsia="Century Gothic" w:cs="Century Gothic"/>
                <w:b/>
                <w:color w:val="000000"/>
                <w:sz w:val="18"/>
                <w:szCs w:val="18"/>
              </w:rPr>
              <w:t>A9 Help provided to patient and answering the survey</w:t>
            </w:r>
          </w:p>
        </w:tc>
      </w:tr>
      <w:tr w:rsidR="001C19F3" w14:paraId="06893DF6" w14:textId="77777777" w:rsidTr="00521305">
        <w:trPr>
          <w:cantSplit/>
          <w:trHeight w:val="20"/>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5C0824" w14:textId="77777777" w:rsidR="001C19F3" w:rsidRDefault="001C19F3" w:rsidP="00521305">
            <w:pPr>
              <w:spacing w:before="40" w:after="40"/>
              <w:ind w:left="160" w:right="100"/>
            </w:pPr>
            <w:r>
              <w:rPr>
                <w:rFonts w:eastAsia="Century Gothic" w:cs="Century Gothic"/>
                <w:color w:val="000000"/>
                <w:sz w:val="18"/>
                <w:szCs w:val="18"/>
              </w:rPr>
              <w:t>Yes - answered for them (proxy)</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B12FE9" w14:textId="77777777" w:rsidR="001C19F3" w:rsidRDefault="001C19F3" w:rsidP="00521305">
            <w:pPr>
              <w:spacing w:before="40" w:after="40"/>
              <w:ind w:left="100" w:right="100"/>
              <w:jc w:val="center"/>
            </w:pPr>
            <w:r>
              <w:rPr>
                <w:rFonts w:eastAsia="Century Gothic" w:cs="Century Gothic"/>
                <w:color w:val="000000"/>
                <w:sz w:val="18"/>
                <w:szCs w:val="18"/>
              </w:rPr>
              <w:t>113 (5.6%)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87C786"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FE3D45" w14:textId="77777777" w:rsidR="001C19F3" w:rsidRDefault="001C19F3" w:rsidP="00521305">
            <w:pPr>
              <w:spacing w:before="40" w:after="40"/>
              <w:ind w:left="100" w:right="100"/>
              <w:jc w:val="center"/>
            </w:pPr>
            <w:r>
              <w:rPr>
                <w:rFonts w:eastAsia="Century Gothic" w:cs="Century Gothic"/>
                <w:color w:val="000000"/>
                <w:sz w:val="18"/>
                <w:szCs w:val="18"/>
              </w:rPr>
              <w:t>34 (3.3%)</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812E86" w14:textId="77777777" w:rsidR="001C19F3" w:rsidRDefault="001C19F3" w:rsidP="00521305">
            <w:pPr>
              <w:spacing w:before="40" w:after="40"/>
              <w:ind w:left="100" w:right="100"/>
              <w:jc w:val="center"/>
            </w:pPr>
            <w:r>
              <w:rPr>
                <w:rFonts w:eastAsia="Century Gothic" w:cs="Century Gothic"/>
                <w:color w:val="000000"/>
                <w:sz w:val="18"/>
                <w:szCs w:val="18"/>
              </w:rPr>
              <w:t>65 (13.8%)</w:t>
            </w:r>
          </w:p>
        </w:tc>
        <w:tc>
          <w:tcPr>
            <w:tcW w:w="422"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E295D5"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9AED56" w14:textId="77777777" w:rsidR="001C19F3" w:rsidRDefault="001C19F3" w:rsidP="00521305">
            <w:pPr>
              <w:spacing w:before="40" w:after="40"/>
              <w:ind w:left="100" w:right="100"/>
              <w:jc w:val="right"/>
            </w:pPr>
            <w:r>
              <w:rPr>
                <w:rFonts w:eastAsia="Century Gothic" w:cs="Century Gothic"/>
                <w:color w:val="000000"/>
                <w:sz w:val="18"/>
                <w:szCs w:val="18"/>
              </w:rPr>
              <w:t>72 (6.0%)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8FD7BA" w14:textId="77777777" w:rsidR="001C19F3" w:rsidRDefault="001C19F3" w:rsidP="00521305">
            <w:pPr>
              <w:spacing w:before="40" w:after="40"/>
              <w:ind w:left="100" w:right="100"/>
              <w:jc w:val="right"/>
            </w:pPr>
            <w:r>
              <w:rPr>
                <w:rFonts w:eastAsia="Century Gothic" w:cs="Century Gothic"/>
                <w:color w:val="000000"/>
                <w:sz w:val="18"/>
                <w:szCs w:val="18"/>
              </w:rPr>
              <w:t>41 (5.0%)</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53F275" w14:textId="77777777" w:rsidR="001C19F3" w:rsidRDefault="001C19F3" w:rsidP="00521305">
            <w:pPr>
              <w:spacing w:before="40" w:after="40"/>
              <w:ind w:left="100" w:right="100"/>
              <w:jc w:val="right"/>
            </w:pPr>
            <w:r>
              <w:rPr>
                <w:rFonts w:eastAsia="Century Gothic" w:cs="Century Gothic"/>
                <w:color w:val="000000"/>
                <w:sz w:val="18"/>
                <w:szCs w:val="18"/>
              </w:rPr>
              <w:t>0.211</w:t>
            </w:r>
          </w:p>
        </w:tc>
      </w:tr>
      <w:tr w:rsidR="001C19F3" w14:paraId="342861C1" w14:textId="77777777" w:rsidTr="00521305">
        <w:trPr>
          <w:cantSplit/>
          <w:trHeight w:val="227"/>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1AB678" w14:textId="77777777" w:rsidR="001C19F3" w:rsidRDefault="001C19F3" w:rsidP="00521305">
            <w:pPr>
              <w:spacing w:before="40" w:after="40"/>
              <w:ind w:left="160" w:right="100"/>
            </w:pPr>
            <w:r>
              <w:rPr>
                <w:rFonts w:eastAsia="Century Gothic" w:cs="Century Gothic"/>
                <w:color w:val="000000"/>
                <w:sz w:val="18"/>
                <w:szCs w:val="18"/>
              </w:rPr>
              <w:t>Yes - helped them answer some questions</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D70AF6" w14:textId="77777777" w:rsidR="001C19F3" w:rsidRDefault="001C19F3" w:rsidP="00521305">
            <w:pPr>
              <w:spacing w:before="40" w:after="40"/>
              <w:ind w:left="100" w:right="100"/>
              <w:jc w:val="center"/>
            </w:pPr>
            <w:r>
              <w:rPr>
                <w:rFonts w:eastAsia="Century Gothic" w:cs="Century Gothic"/>
                <w:color w:val="000000"/>
                <w:sz w:val="18"/>
                <w:szCs w:val="18"/>
              </w:rPr>
              <w:t>75 (3.7%)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CC5263" w14:textId="77777777" w:rsidR="001C19F3" w:rsidRDefault="001C19F3" w:rsidP="00521305">
            <w:pPr>
              <w:spacing w:before="40" w:after="40"/>
              <w:ind w:left="100" w:right="100"/>
              <w:jc w:val="center"/>
            </w:pPr>
            <w:r>
              <w:rPr>
                <w:rFonts w:eastAsia="Century Gothic" w:cs="Century Gothic"/>
                <w:color w:val="000000"/>
                <w:sz w:val="18"/>
                <w:szCs w:val="18"/>
              </w:rPr>
              <w:t>11 (2.5%)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8183B2" w14:textId="77777777" w:rsidR="001C19F3" w:rsidRDefault="001C19F3" w:rsidP="00521305">
            <w:pPr>
              <w:spacing w:before="40" w:after="40"/>
              <w:ind w:left="100" w:right="100"/>
              <w:jc w:val="center"/>
            </w:pPr>
            <w:r>
              <w:rPr>
                <w:rFonts w:eastAsia="Century Gothic" w:cs="Century Gothic"/>
                <w:color w:val="000000"/>
                <w:sz w:val="18"/>
                <w:szCs w:val="18"/>
              </w:rPr>
              <w:t>37 (3.6%)</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A61470" w14:textId="77777777" w:rsidR="001C19F3" w:rsidRDefault="001C19F3" w:rsidP="00521305">
            <w:pPr>
              <w:spacing w:before="40" w:after="40"/>
              <w:ind w:left="100" w:right="100"/>
              <w:jc w:val="center"/>
            </w:pPr>
            <w:r>
              <w:rPr>
                <w:rFonts w:eastAsia="Century Gothic" w:cs="Century Gothic"/>
                <w:color w:val="000000"/>
                <w:sz w:val="18"/>
                <w:szCs w:val="18"/>
              </w:rPr>
              <w:t>22 (4.7%)</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576ADF2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00E764" w14:textId="77777777" w:rsidR="001C19F3" w:rsidRDefault="001C19F3" w:rsidP="00521305">
            <w:pPr>
              <w:spacing w:before="40" w:after="40"/>
              <w:ind w:left="100" w:right="100"/>
              <w:jc w:val="right"/>
            </w:pPr>
            <w:r>
              <w:rPr>
                <w:rFonts w:eastAsia="Century Gothic" w:cs="Century Gothic"/>
                <w:color w:val="000000"/>
                <w:sz w:val="18"/>
                <w:szCs w:val="18"/>
              </w:rPr>
              <w:t>51 (4.2%)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B9AE96" w14:textId="77777777" w:rsidR="001C19F3" w:rsidRDefault="001C19F3" w:rsidP="00521305">
            <w:pPr>
              <w:spacing w:before="40" w:after="40"/>
              <w:ind w:left="100" w:right="100"/>
              <w:jc w:val="right"/>
            </w:pPr>
            <w:r>
              <w:rPr>
                <w:rFonts w:eastAsia="Century Gothic" w:cs="Century Gothic"/>
                <w:color w:val="000000"/>
                <w:sz w:val="18"/>
                <w:szCs w:val="18"/>
              </w:rPr>
              <w:t>24 (3.0%)</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216B805E" w14:textId="77777777" w:rsidR="001C19F3" w:rsidRDefault="001C19F3" w:rsidP="00521305">
            <w:pPr>
              <w:spacing w:after="0"/>
              <w:rPr>
                <w:sz w:val="22"/>
              </w:rPr>
            </w:pPr>
          </w:p>
        </w:tc>
      </w:tr>
      <w:tr w:rsidR="001C19F3" w14:paraId="67EEA1A4" w14:textId="77777777" w:rsidTr="00521305">
        <w:trPr>
          <w:cantSplit/>
          <w:trHeight w:val="227"/>
          <w:jc w:val="center"/>
        </w:trPr>
        <w:tc>
          <w:tcPr>
            <w:tcW w:w="111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3AE728" w14:textId="77777777" w:rsidR="001C19F3" w:rsidRDefault="001C19F3" w:rsidP="00521305">
            <w:pPr>
              <w:spacing w:before="40" w:after="40"/>
              <w:ind w:left="160" w:right="100"/>
            </w:pPr>
            <w:r>
              <w:rPr>
                <w:rFonts w:eastAsia="Century Gothic" w:cs="Century Gothic"/>
                <w:color w:val="000000"/>
                <w:sz w:val="18"/>
                <w:szCs w:val="18"/>
              </w:rPr>
              <w:t>No - did not need any help</w:t>
            </w:r>
          </w:p>
        </w:tc>
        <w:tc>
          <w:tcPr>
            <w:tcW w:w="55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C2AC4B" w14:textId="77777777" w:rsidR="001C19F3" w:rsidRDefault="001C19F3" w:rsidP="00521305">
            <w:pPr>
              <w:spacing w:before="40" w:after="40"/>
              <w:ind w:left="100" w:right="100"/>
              <w:jc w:val="center"/>
            </w:pPr>
            <w:r>
              <w:rPr>
                <w:rFonts w:eastAsia="Century Gothic" w:cs="Century Gothic"/>
                <w:color w:val="000000"/>
                <w:sz w:val="18"/>
                <w:szCs w:val="18"/>
              </w:rPr>
              <w:t>1,830 (90.7%)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588D05" w14:textId="77777777" w:rsidR="001C19F3" w:rsidRDefault="001C19F3" w:rsidP="00521305">
            <w:pPr>
              <w:spacing w:before="40" w:after="40"/>
              <w:ind w:left="100" w:right="100"/>
              <w:jc w:val="center"/>
            </w:pPr>
            <w:r>
              <w:rPr>
                <w:rFonts w:eastAsia="Century Gothic" w:cs="Century Gothic"/>
                <w:color w:val="000000"/>
                <w:sz w:val="18"/>
                <w:szCs w:val="18"/>
              </w:rPr>
              <w:t>424 (95.9%)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26AF24" w14:textId="77777777" w:rsidR="001C19F3" w:rsidRDefault="001C19F3" w:rsidP="00521305">
            <w:pPr>
              <w:spacing w:before="40" w:after="40"/>
              <w:ind w:left="100" w:right="100"/>
              <w:jc w:val="center"/>
            </w:pPr>
            <w:r>
              <w:rPr>
                <w:rFonts w:eastAsia="Century Gothic" w:cs="Century Gothic"/>
                <w:color w:val="000000"/>
                <w:sz w:val="18"/>
                <w:szCs w:val="18"/>
              </w:rPr>
              <w:t>963 (93.1%)</w:t>
            </w:r>
          </w:p>
        </w:tc>
        <w:tc>
          <w:tcPr>
            <w:tcW w:w="53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19C600" w14:textId="77777777" w:rsidR="001C19F3" w:rsidRDefault="001C19F3" w:rsidP="00521305">
            <w:pPr>
              <w:spacing w:before="40" w:after="40"/>
              <w:ind w:left="100" w:right="100"/>
              <w:jc w:val="center"/>
            </w:pPr>
            <w:r>
              <w:rPr>
                <w:rFonts w:eastAsia="Century Gothic" w:cs="Century Gothic"/>
                <w:color w:val="000000"/>
                <w:sz w:val="18"/>
                <w:szCs w:val="18"/>
              </w:rPr>
              <w:t>385 (81.6%)</w:t>
            </w:r>
          </w:p>
        </w:tc>
        <w:tc>
          <w:tcPr>
            <w:tcW w:w="422" w:type="pct"/>
            <w:vMerge/>
            <w:tcBorders>
              <w:top w:val="single" w:sz="8" w:space="0" w:color="BFBFBF"/>
              <w:left w:val="single" w:sz="8" w:space="0" w:color="BFBFBF"/>
              <w:bottom w:val="single" w:sz="8" w:space="0" w:color="BFBFBF"/>
              <w:right w:val="single" w:sz="8" w:space="0" w:color="BFBFBF"/>
            </w:tcBorders>
            <w:vAlign w:val="center"/>
            <w:hideMark/>
          </w:tcPr>
          <w:p w14:paraId="0FCDEA9C"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AE18D8" w14:textId="77777777" w:rsidR="001C19F3" w:rsidRDefault="001C19F3" w:rsidP="00521305">
            <w:pPr>
              <w:spacing w:before="40" w:after="40"/>
              <w:ind w:left="100" w:right="100"/>
              <w:jc w:val="right"/>
            </w:pPr>
            <w:r>
              <w:rPr>
                <w:rFonts w:eastAsia="Century Gothic" w:cs="Century Gothic"/>
                <w:color w:val="000000"/>
                <w:sz w:val="18"/>
                <w:szCs w:val="18"/>
              </w:rPr>
              <w:t>1,083 (89.8%)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BFCD2" w14:textId="77777777" w:rsidR="001C19F3" w:rsidRDefault="001C19F3" w:rsidP="00521305">
            <w:pPr>
              <w:spacing w:before="40" w:after="40"/>
              <w:ind w:left="100" w:right="100"/>
              <w:jc w:val="right"/>
            </w:pPr>
            <w:r>
              <w:rPr>
                <w:rFonts w:eastAsia="Century Gothic" w:cs="Century Gothic"/>
                <w:color w:val="000000"/>
                <w:sz w:val="18"/>
                <w:szCs w:val="18"/>
              </w:rPr>
              <w:t>747 (92.0%)</w:t>
            </w: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C1EE2C7" w14:textId="77777777" w:rsidR="001C19F3" w:rsidRDefault="001C19F3" w:rsidP="00521305">
            <w:pPr>
              <w:spacing w:after="0"/>
              <w:rPr>
                <w:sz w:val="22"/>
              </w:rPr>
            </w:pPr>
          </w:p>
        </w:tc>
      </w:tr>
    </w:tbl>
    <w:p w14:paraId="48BBF701" w14:textId="77777777" w:rsidR="001C19F3" w:rsidRDefault="001C19F3" w:rsidP="001C19F3">
      <w:pPr>
        <w:pStyle w:val="Chartortablefootnote"/>
      </w:pPr>
      <w:r>
        <w:t>Source: CATI surveys conducted by The Social Research Centre between December 2017 and March 2019.</w:t>
      </w:r>
    </w:p>
    <w:p w14:paraId="6DFFC6D0" w14:textId="77777777" w:rsidR="001C19F3" w:rsidRDefault="001C19F3" w:rsidP="001C19F3">
      <w:pPr>
        <w:spacing w:after="160" w:line="259" w:lineRule="auto"/>
        <w:rPr>
          <w:i/>
          <w:sz w:val="16"/>
          <w:szCs w:val="18"/>
        </w:rPr>
      </w:pPr>
      <w:r>
        <w:br w:type="page"/>
      </w:r>
    </w:p>
    <w:p w14:paraId="087B1785" w14:textId="77777777" w:rsidR="001C19F3" w:rsidRDefault="001C19F3" w:rsidP="001C19F3">
      <w:pPr>
        <w:pStyle w:val="Caption1"/>
      </w:pPr>
      <w:r>
        <w:lastRenderedPageBreak/>
        <w:t xml:space="preserve">Table </w:t>
      </w:r>
      <w:r>
        <w:fldChar w:fldCharType="begin"/>
      </w:r>
      <w:r>
        <w:instrText>SEQ Table \* ARABIC</w:instrText>
      </w:r>
      <w:r>
        <w:fldChar w:fldCharType="separate"/>
      </w:r>
      <w:r>
        <w:rPr>
          <w:noProof/>
        </w:rPr>
        <w:t>62</w:t>
      </w:r>
      <w:r>
        <w:fldChar w:fldCharType="end"/>
      </w:r>
      <w:r>
        <w:t xml:space="preserve"> – Patient use of HCH practice by patient HCH tier and practice size</w:t>
      </w:r>
    </w:p>
    <w:tbl>
      <w:tblPr>
        <w:tblW w:w="5000" w:type="pct"/>
        <w:jc w:val="center"/>
        <w:tblLook w:val="04A0" w:firstRow="1" w:lastRow="0" w:firstColumn="1" w:lastColumn="0" w:noHBand="0" w:noVBand="1"/>
      </w:tblPr>
      <w:tblGrid>
        <w:gridCol w:w="3316"/>
        <w:gridCol w:w="1327"/>
        <w:gridCol w:w="1327"/>
        <w:gridCol w:w="1327"/>
        <w:gridCol w:w="1327"/>
        <w:gridCol w:w="1330"/>
        <w:gridCol w:w="1327"/>
        <w:gridCol w:w="1327"/>
        <w:gridCol w:w="1330"/>
      </w:tblGrid>
      <w:tr w:rsidR="001C19F3" w14:paraId="701BCB22" w14:textId="77777777" w:rsidTr="00521305">
        <w:trPr>
          <w:cantSplit/>
          <w:trHeight w:val="333"/>
          <w:tblHeader/>
          <w:jc w:val="center"/>
        </w:trPr>
        <w:tc>
          <w:tcPr>
            <w:tcW w:w="1190"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54209D4" w14:textId="77777777" w:rsidR="001C19F3" w:rsidRDefault="001C19F3" w:rsidP="00521305">
            <w:pPr>
              <w:spacing w:after="0"/>
              <w:jc w:val="center"/>
            </w:pPr>
            <w:r>
              <w:rPr>
                <w:rFonts w:eastAsia="Century Gothic" w:cs="Century Gothic"/>
                <w:b/>
                <w:color w:val="FFFFFF"/>
                <w:sz w:val="18"/>
                <w:szCs w:val="18"/>
              </w:rPr>
              <w:t>Patient use of HCH practice</w:t>
            </w:r>
          </w:p>
        </w:tc>
        <w:tc>
          <w:tcPr>
            <w:tcW w:w="476"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17FF2EB" w14:textId="77777777" w:rsidR="001C19F3" w:rsidRDefault="001C19F3" w:rsidP="00521305">
            <w:pPr>
              <w:spacing w:after="0"/>
              <w:jc w:val="center"/>
            </w:pPr>
            <w:r>
              <w:rPr>
                <w:rFonts w:eastAsia="Century Gothic" w:cs="Century Gothic"/>
                <w:b/>
                <w:color w:val="FFFFFF"/>
                <w:sz w:val="18"/>
                <w:szCs w:val="18"/>
              </w:rPr>
              <w:t>Total</w:t>
            </w:r>
          </w:p>
        </w:tc>
        <w:tc>
          <w:tcPr>
            <w:tcW w:w="1905" w:type="pct"/>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496E03D" w14:textId="77777777" w:rsidR="001C19F3" w:rsidRDefault="001C19F3" w:rsidP="00521305">
            <w:pPr>
              <w:spacing w:after="0"/>
              <w:jc w:val="center"/>
            </w:pPr>
            <w:r>
              <w:rPr>
                <w:rFonts w:eastAsia="Century Gothic" w:cs="Century Gothic"/>
                <w:b/>
                <w:color w:val="FFFFFF"/>
                <w:sz w:val="18"/>
                <w:szCs w:val="18"/>
              </w:rPr>
              <w:t>Tier</w:t>
            </w:r>
          </w:p>
        </w:tc>
        <w:tc>
          <w:tcPr>
            <w:tcW w:w="1429"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B2546D9" w14:textId="77777777" w:rsidR="001C19F3" w:rsidRDefault="001C19F3" w:rsidP="00521305">
            <w:pPr>
              <w:spacing w:after="0"/>
              <w:jc w:val="center"/>
            </w:pPr>
            <w:r>
              <w:rPr>
                <w:rFonts w:eastAsia="Century Gothic" w:cs="Century Gothic"/>
                <w:b/>
                <w:color w:val="FFFFFF"/>
                <w:sz w:val="18"/>
                <w:szCs w:val="18"/>
              </w:rPr>
              <w:t>Size</w:t>
            </w:r>
          </w:p>
        </w:tc>
      </w:tr>
      <w:tr w:rsidR="001C19F3" w14:paraId="2ED273EB" w14:textId="77777777" w:rsidTr="00521305">
        <w:trPr>
          <w:cantSplit/>
          <w:trHeight w:val="336"/>
          <w:tblHeader/>
          <w:jc w:val="center"/>
        </w:trPr>
        <w:tc>
          <w:tcPr>
            <w:tcW w:w="1190" w:type="pct"/>
            <w:vMerge/>
            <w:tcBorders>
              <w:top w:val="single" w:sz="8" w:space="0" w:color="BFBFBF"/>
              <w:left w:val="single" w:sz="8" w:space="0" w:color="BFBFBF"/>
              <w:bottom w:val="single" w:sz="8" w:space="0" w:color="BFBFBF"/>
              <w:right w:val="single" w:sz="8" w:space="0" w:color="BFBFBF"/>
            </w:tcBorders>
            <w:vAlign w:val="center"/>
            <w:hideMark/>
          </w:tcPr>
          <w:p w14:paraId="754CC6D8" w14:textId="77777777" w:rsidR="001C19F3" w:rsidRDefault="001C19F3" w:rsidP="00521305">
            <w:pPr>
              <w:spacing w:after="0"/>
              <w:rPr>
                <w:sz w:val="22"/>
              </w:rPr>
            </w:pPr>
          </w:p>
        </w:tc>
        <w:tc>
          <w:tcPr>
            <w:tcW w:w="476" w:type="pct"/>
            <w:vMerge/>
            <w:tcBorders>
              <w:top w:val="single" w:sz="8" w:space="0" w:color="BFBFBF"/>
              <w:left w:val="single" w:sz="8" w:space="0" w:color="BFBFBF"/>
              <w:bottom w:val="single" w:sz="8" w:space="0" w:color="BFBFBF"/>
              <w:right w:val="single" w:sz="8" w:space="0" w:color="BFBFBF"/>
            </w:tcBorders>
            <w:vAlign w:val="center"/>
            <w:hideMark/>
          </w:tcPr>
          <w:p w14:paraId="1D75311A"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3E963D3" w14:textId="77777777" w:rsidR="001C19F3" w:rsidRDefault="001C19F3" w:rsidP="00521305">
            <w:pPr>
              <w:spacing w:after="0"/>
              <w:jc w:val="center"/>
            </w:pPr>
            <w:r>
              <w:rPr>
                <w:rFonts w:eastAsia="Century Gothic" w:cs="Century Gothic"/>
                <w:b/>
                <w:color w:val="FFFFFF"/>
                <w:sz w:val="18"/>
                <w:szCs w:val="18"/>
              </w:rPr>
              <w:t>Tier 1</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BA76408" w14:textId="77777777" w:rsidR="001C19F3" w:rsidRDefault="001C19F3" w:rsidP="00521305">
            <w:pPr>
              <w:spacing w:after="0"/>
              <w:jc w:val="center"/>
            </w:pPr>
            <w:r>
              <w:rPr>
                <w:rFonts w:eastAsia="Century Gothic" w:cs="Century Gothic"/>
                <w:b/>
                <w:color w:val="FFFFFF"/>
                <w:sz w:val="18"/>
                <w:szCs w:val="18"/>
              </w:rPr>
              <w:t>Tier 2</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FB53A3B" w14:textId="77777777" w:rsidR="001C19F3" w:rsidRDefault="001C19F3" w:rsidP="00521305">
            <w:pPr>
              <w:spacing w:after="0"/>
              <w:jc w:val="center"/>
            </w:pPr>
            <w:r>
              <w:rPr>
                <w:rFonts w:eastAsia="Century Gothic" w:cs="Century Gothic"/>
                <w:b/>
                <w:color w:val="FFFFFF"/>
                <w:sz w:val="18"/>
                <w:szCs w:val="18"/>
              </w:rPr>
              <w:t>Tier 3</w:t>
            </w:r>
          </w:p>
        </w:tc>
        <w:tc>
          <w:tcPr>
            <w:tcW w:w="4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687D388"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CAEA0B"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47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A814F1C"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4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DC4B7F7"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DB2DB9A" w14:textId="77777777" w:rsidTr="00521305">
        <w:trPr>
          <w:cantSplit/>
          <w:trHeight w:val="288"/>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B5DB81" w14:textId="77777777" w:rsidR="001C19F3" w:rsidRDefault="001C19F3" w:rsidP="00521305">
            <w:pPr>
              <w:spacing w:before="40" w:after="40"/>
              <w:ind w:left="100" w:right="100"/>
            </w:pPr>
            <w:r>
              <w:rPr>
                <w:rFonts w:eastAsia="Century Gothic" w:cs="Century Gothic"/>
                <w:b/>
                <w:color w:val="000000"/>
                <w:sz w:val="18"/>
                <w:szCs w:val="18"/>
              </w:rPr>
              <w:t>B1 HCH practice is the GP practice that patient usually attends (Q2)</w:t>
            </w:r>
          </w:p>
        </w:tc>
      </w:tr>
      <w:tr w:rsidR="001C19F3" w14:paraId="71CFF1F0"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F6077" w14:textId="77777777" w:rsidR="001C19F3" w:rsidRDefault="001C19F3" w:rsidP="00521305">
            <w:pPr>
              <w:spacing w:before="40" w:after="40"/>
              <w:ind w:left="160" w:right="100"/>
            </w:pPr>
            <w:r>
              <w:rPr>
                <w:rFonts w:eastAsia="Century Gothic" w:cs="Century Gothic"/>
                <w:color w:val="000000"/>
                <w:sz w:val="18"/>
                <w:szCs w:val="18"/>
              </w:rPr>
              <w:t>Yes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446D93" w14:textId="77777777" w:rsidR="001C19F3" w:rsidRDefault="001C19F3" w:rsidP="00521305">
            <w:pPr>
              <w:spacing w:before="40" w:after="40"/>
              <w:ind w:left="100" w:right="100"/>
              <w:jc w:val="center"/>
            </w:pPr>
            <w:r>
              <w:rPr>
                <w:rFonts w:eastAsia="Century Gothic" w:cs="Century Gothic"/>
                <w:color w:val="000000"/>
                <w:sz w:val="18"/>
                <w:szCs w:val="18"/>
              </w:rPr>
              <w:t>1,983 (98.3%)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2C9105" w14:textId="77777777" w:rsidR="001C19F3" w:rsidRDefault="001C19F3" w:rsidP="00521305">
            <w:pPr>
              <w:spacing w:before="40" w:after="40"/>
              <w:ind w:left="100" w:right="100"/>
              <w:jc w:val="center"/>
            </w:pPr>
            <w:r>
              <w:rPr>
                <w:rFonts w:eastAsia="Century Gothic" w:cs="Century Gothic"/>
                <w:color w:val="000000"/>
                <w:sz w:val="18"/>
                <w:szCs w:val="18"/>
              </w:rPr>
              <w:t>434 (98.2%)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446F4" w14:textId="77777777" w:rsidR="001C19F3" w:rsidRDefault="001C19F3" w:rsidP="00521305">
            <w:pPr>
              <w:spacing w:before="40" w:after="40"/>
              <w:ind w:left="100" w:right="100"/>
              <w:jc w:val="center"/>
            </w:pPr>
            <w:r>
              <w:rPr>
                <w:rFonts w:eastAsia="Century Gothic" w:cs="Century Gothic"/>
                <w:color w:val="000000"/>
                <w:sz w:val="18"/>
                <w:szCs w:val="18"/>
              </w:rPr>
              <w:t>1,017 (98.5%)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2EC2F" w14:textId="77777777" w:rsidR="001C19F3" w:rsidRDefault="001C19F3" w:rsidP="00521305">
            <w:pPr>
              <w:spacing w:before="40" w:after="40"/>
              <w:ind w:left="100" w:right="100"/>
              <w:jc w:val="center"/>
            </w:pPr>
            <w:r>
              <w:rPr>
                <w:rFonts w:eastAsia="Century Gothic" w:cs="Century Gothic"/>
                <w:color w:val="000000"/>
                <w:sz w:val="18"/>
                <w:szCs w:val="18"/>
              </w:rPr>
              <w:t>462 (98.1%)</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8BB67D" w14:textId="77777777" w:rsidR="001C19F3" w:rsidRDefault="001C19F3" w:rsidP="00521305">
            <w:pPr>
              <w:spacing w:before="40" w:after="40"/>
              <w:ind w:left="100" w:right="100"/>
              <w:jc w:val="center"/>
            </w:pPr>
            <w:r>
              <w:rPr>
                <w:rFonts w:eastAsia="Century Gothic" w:cs="Century Gothic"/>
                <w:color w:val="000000"/>
                <w:sz w:val="18"/>
                <w:szCs w:val="18"/>
              </w:rPr>
              <w:t>0.773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E4DD6F" w14:textId="77777777" w:rsidR="001C19F3" w:rsidRDefault="001C19F3" w:rsidP="00521305">
            <w:pPr>
              <w:spacing w:before="40" w:after="40"/>
              <w:ind w:left="100" w:right="100"/>
              <w:jc w:val="right"/>
            </w:pPr>
            <w:r>
              <w:rPr>
                <w:rFonts w:eastAsia="Century Gothic" w:cs="Century Gothic"/>
                <w:color w:val="000000"/>
                <w:sz w:val="18"/>
                <w:szCs w:val="18"/>
              </w:rPr>
              <w:t>1,184 (98.2%)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0FC742" w14:textId="77777777" w:rsidR="001C19F3" w:rsidRDefault="001C19F3" w:rsidP="00521305">
            <w:pPr>
              <w:spacing w:before="40" w:after="40"/>
              <w:ind w:left="100" w:right="100"/>
              <w:jc w:val="right"/>
            </w:pPr>
            <w:r>
              <w:rPr>
                <w:rFonts w:eastAsia="Century Gothic" w:cs="Century Gothic"/>
                <w:color w:val="000000"/>
                <w:sz w:val="18"/>
                <w:szCs w:val="18"/>
              </w:rPr>
              <w:t>799 (98.8%)</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5C2A4F" w14:textId="77777777" w:rsidR="001C19F3" w:rsidRDefault="001C19F3" w:rsidP="00521305">
            <w:pPr>
              <w:spacing w:before="40" w:after="40"/>
              <w:ind w:left="100" w:right="100"/>
              <w:jc w:val="right"/>
            </w:pPr>
            <w:r>
              <w:rPr>
                <w:rFonts w:eastAsia="Century Gothic" w:cs="Century Gothic"/>
                <w:color w:val="000000"/>
                <w:sz w:val="18"/>
                <w:szCs w:val="18"/>
              </w:rPr>
              <w:t>0.393</w:t>
            </w:r>
          </w:p>
        </w:tc>
      </w:tr>
      <w:tr w:rsidR="001C19F3" w14:paraId="0362272B"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816AD7" w14:textId="77777777" w:rsidR="001C19F3" w:rsidRDefault="001C19F3" w:rsidP="00521305">
            <w:pPr>
              <w:spacing w:before="40" w:after="40"/>
              <w:ind w:left="160" w:right="100"/>
            </w:pPr>
            <w:r>
              <w:rPr>
                <w:rFonts w:eastAsia="Century Gothic" w:cs="Century Gothic"/>
                <w:color w:val="000000"/>
                <w:sz w:val="18"/>
                <w:szCs w:val="18"/>
              </w:rPr>
              <w:t>No</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EC8E3F" w14:textId="77777777" w:rsidR="001C19F3" w:rsidRDefault="001C19F3" w:rsidP="00521305">
            <w:pPr>
              <w:spacing w:before="40" w:after="40"/>
              <w:ind w:left="100" w:right="100"/>
              <w:jc w:val="center"/>
            </w:pPr>
            <w:r>
              <w:rPr>
                <w:rFonts w:eastAsia="Century Gothic" w:cs="Century Gothic"/>
                <w:color w:val="000000"/>
                <w:sz w:val="18"/>
                <w:szCs w:val="18"/>
              </w:rPr>
              <w:t>32 (1.6%)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1A066A" w14:textId="77777777" w:rsidR="001C19F3" w:rsidRDefault="001C19F3" w:rsidP="00521305">
            <w:pPr>
              <w:spacing w:before="40" w:after="40"/>
              <w:ind w:left="100" w:right="100"/>
              <w:jc w:val="center"/>
            </w:pPr>
            <w:r>
              <w:rPr>
                <w:rFonts w:eastAsia="Century Gothic" w:cs="Century Gothic"/>
                <w:color w:val="000000"/>
                <w:sz w:val="18"/>
                <w:szCs w:val="18"/>
              </w:rPr>
              <w:t>8 (1.8%)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74F057" w14:textId="77777777" w:rsidR="001C19F3" w:rsidRDefault="001C19F3" w:rsidP="00521305">
            <w:pPr>
              <w:spacing w:before="40" w:after="40"/>
              <w:ind w:left="100" w:right="100"/>
              <w:jc w:val="center"/>
            </w:pPr>
            <w:r>
              <w:rPr>
                <w:rFonts w:eastAsia="Century Gothic" w:cs="Century Gothic"/>
                <w:color w:val="000000"/>
                <w:sz w:val="18"/>
                <w:szCs w:val="18"/>
              </w:rPr>
              <w:t>15 (1.5%)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351FA9" w14:textId="77777777" w:rsidR="001C19F3" w:rsidRDefault="001C19F3" w:rsidP="00521305">
            <w:pPr>
              <w:spacing w:before="40" w:after="40"/>
              <w:ind w:left="100" w:right="100"/>
              <w:jc w:val="center"/>
            </w:pPr>
            <w:r>
              <w:rPr>
                <w:rFonts w:eastAsia="Century Gothic" w:cs="Century Gothic"/>
                <w:color w:val="000000"/>
                <w:sz w:val="18"/>
                <w:szCs w:val="18"/>
              </w:rPr>
              <w:t>9 (1.9%)</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490C5901"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BF678E" w14:textId="77777777" w:rsidR="001C19F3" w:rsidRDefault="001C19F3" w:rsidP="00521305">
            <w:pPr>
              <w:spacing w:before="40" w:after="40"/>
              <w:ind w:left="100" w:right="100"/>
              <w:jc w:val="right"/>
            </w:pPr>
            <w:r>
              <w:rPr>
                <w:rFonts w:eastAsia="Century Gothic" w:cs="Century Gothic"/>
                <w:color w:val="000000"/>
                <w:sz w:val="18"/>
                <w:szCs w:val="18"/>
              </w:rPr>
              <w:t>22 (1.8%)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F4BDE1" w14:textId="77777777" w:rsidR="001C19F3" w:rsidRDefault="001C19F3" w:rsidP="00521305">
            <w:pPr>
              <w:spacing w:before="40" w:after="40"/>
              <w:ind w:left="100" w:right="100"/>
              <w:jc w:val="right"/>
            </w:pPr>
            <w:r>
              <w:rPr>
                <w:rFonts w:eastAsia="Century Gothic" w:cs="Century Gothic"/>
                <w:color w:val="000000"/>
                <w:sz w:val="18"/>
                <w:szCs w:val="18"/>
              </w:rPr>
              <w:t>10 (1.2%)</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4E252DFD" w14:textId="77777777" w:rsidR="001C19F3" w:rsidRDefault="001C19F3" w:rsidP="00521305">
            <w:pPr>
              <w:spacing w:after="0"/>
              <w:rPr>
                <w:sz w:val="22"/>
              </w:rPr>
            </w:pPr>
          </w:p>
        </w:tc>
      </w:tr>
      <w:tr w:rsidR="001C19F3" w14:paraId="6F4F0AA1"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855172" w14:textId="77777777" w:rsidR="001C19F3" w:rsidRDefault="001C19F3" w:rsidP="00521305">
            <w:pPr>
              <w:spacing w:before="40" w:after="40"/>
              <w:ind w:left="160" w:right="100"/>
            </w:pPr>
            <w:r>
              <w:rPr>
                <w:rFonts w:eastAsia="Century Gothic" w:cs="Century Gothic"/>
                <w:color w:val="000000"/>
                <w:sz w:val="18"/>
                <w:szCs w:val="18"/>
              </w:rPr>
              <w:t>Refused</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925E6E" w14:textId="77777777" w:rsidR="001C19F3" w:rsidRDefault="001C19F3" w:rsidP="00521305">
            <w:pPr>
              <w:spacing w:before="40" w:after="40"/>
              <w:ind w:left="100" w:right="100"/>
              <w:jc w:val="center"/>
            </w:pPr>
            <w:r>
              <w:rPr>
                <w:rFonts w:eastAsia="Century Gothic" w:cs="Century Gothic"/>
                <w:color w:val="000000"/>
                <w:sz w:val="18"/>
                <w:szCs w:val="18"/>
              </w:rPr>
              <w:t>3 (0.1%)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D578A"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53F7BD"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53F241" w14:textId="77777777" w:rsidR="001C19F3" w:rsidRDefault="001C19F3" w:rsidP="00521305">
            <w:pPr>
              <w:spacing w:before="40" w:after="40"/>
              <w:ind w:left="100" w:right="100"/>
              <w:jc w:val="center"/>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8168B9"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9B7B7D"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DD5509" w14:textId="77777777" w:rsidR="001C19F3" w:rsidRDefault="001C19F3" w:rsidP="00521305">
            <w:pPr>
              <w:spacing w:before="40" w:after="40"/>
              <w:ind w:left="100" w:right="100"/>
              <w:jc w:val="right"/>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13FFF4" w14:textId="77777777" w:rsidR="001C19F3" w:rsidRDefault="001C19F3" w:rsidP="00521305">
            <w:pPr>
              <w:spacing w:before="40" w:after="40"/>
              <w:ind w:left="100" w:right="100"/>
              <w:jc w:val="right"/>
            </w:pPr>
          </w:p>
        </w:tc>
      </w:tr>
      <w:tr w:rsidR="001C19F3" w14:paraId="2F2B399B" w14:textId="77777777" w:rsidTr="00521305">
        <w:trPr>
          <w:cantSplit/>
          <w:trHeight w:val="288"/>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57BE45" w14:textId="77777777" w:rsidR="001C19F3" w:rsidRDefault="001C19F3" w:rsidP="00521305">
            <w:pPr>
              <w:spacing w:before="40" w:after="40"/>
              <w:ind w:left="100" w:right="100"/>
            </w:pPr>
            <w:r>
              <w:rPr>
                <w:rFonts w:eastAsia="Century Gothic" w:cs="Century Gothic"/>
                <w:b/>
                <w:color w:val="000000"/>
                <w:sz w:val="18"/>
                <w:szCs w:val="18"/>
              </w:rPr>
              <w:t>B2 Length of time the patient has been attending the HCH practice (Q3)</w:t>
            </w:r>
          </w:p>
        </w:tc>
      </w:tr>
      <w:tr w:rsidR="001C19F3" w14:paraId="2F738C37"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4DAF4D" w14:textId="77777777" w:rsidR="001C19F3" w:rsidRDefault="001C19F3" w:rsidP="00521305">
            <w:pPr>
              <w:spacing w:before="40" w:after="40"/>
              <w:ind w:left="160" w:right="100"/>
            </w:pPr>
            <w:r>
              <w:rPr>
                <w:rFonts w:eastAsia="Century Gothic" w:cs="Century Gothic"/>
                <w:color w:val="000000"/>
                <w:sz w:val="18"/>
                <w:szCs w:val="18"/>
              </w:rPr>
              <w:t>Less than 6 months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AD518" w14:textId="77777777" w:rsidR="001C19F3" w:rsidRDefault="001C19F3" w:rsidP="00521305">
            <w:pPr>
              <w:spacing w:before="40" w:after="40"/>
              <w:ind w:left="100" w:right="100"/>
              <w:jc w:val="center"/>
            </w:pPr>
            <w:r>
              <w:rPr>
                <w:rFonts w:eastAsia="Century Gothic" w:cs="Century Gothic"/>
                <w:color w:val="000000"/>
                <w:sz w:val="18"/>
                <w:szCs w:val="18"/>
              </w:rPr>
              <w:t>34 (1.7%)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DDD56F"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51C364" w14:textId="77777777" w:rsidR="001C19F3" w:rsidRDefault="001C19F3" w:rsidP="00521305">
            <w:pPr>
              <w:spacing w:before="40" w:after="40"/>
              <w:ind w:left="100" w:right="100"/>
              <w:jc w:val="center"/>
            </w:pPr>
            <w:r>
              <w:rPr>
                <w:rFonts w:eastAsia="Century Gothic" w:cs="Century Gothic"/>
                <w:color w:val="000000"/>
                <w:sz w:val="18"/>
                <w:szCs w:val="18"/>
              </w:rPr>
              <w:t>9 (0.9%)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C1926B" w14:textId="77777777" w:rsidR="001C19F3" w:rsidRDefault="001C19F3" w:rsidP="00521305">
            <w:pPr>
              <w:spacing w:before="40" w:after="40"/>
              <w:ind w:left="100" w:right="100"/>
              <w:jc w:val="center"/>
            </w:pPr>
            <w:r>
              <w:rPr>
                <w:rFonts w:eastAsia="Century Gothic" w:cs="Century Gothic"/>
                <w:color w:val="000000"/>
                <w:sz w:val="18"/>
                <w:szCs w:val="18"/>
              </w:rPr>
              <w:t>20 (4.3%)</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1AEA77"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A197AB" w14:textId="77777777" w:rsidR="001C19F3" w:rsidRDefault="001C19F3" w:rsidP="00521305">
            <w:pPr>
              <w:spacing w:before="40" w:after="40"/>
              <w:ind w:left="100" w:right="100"/>
              <w:jc w:val="right"/>
            </w:pPr>
            <w:r>
              <w:rPr>
                <w:rFonts w:eastAsia="Century Gothic" w:cs="Century Gothic"/>
                <w:color w:val="000000"/>
                <w:sz w:val="18"/>
                <w:szCs w:val="18"/>
              </w:rPr>
              <w:t>12 (1.0%)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445D0E" w14:textId="77777777" w:rsidR="001C19F3" w:rsidRDefault="001C19F3" w:rsidP="00521305">
            <w:pPr>
              <w:spacing w:before="40" w:after="40"/>
              <w:ind w:left="100" w:right="100"/>
              <w:jc w:val="right"/>
            </w:pPr>
            <w:r>
              <w:rPr>
                <w:rFonts w:eastAsia="Century Gothic" w:cs="Century Gothic"/>
                <w:color w:val="000000"/>
                <w:sz w:val="18"/>
                <w:szCs w:val="18"/>
              </w:rPr>
              <w:t>22 (2.7%)</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B2A513"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692FD492"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D6EA4D" w14:textId="77777777" w:rsidR="001C19F3" w:rsidRDefault="001C19F3" w:rsidP="00521305">
            <w:pPr>
              <w:spacing w:before="40" w:after="40"/>
              <w:ind w:left="160" w:right="100"/>
            </w:pPr>
            <w:r>
              <w:rPr>
                <w:rFonts w:eastAsia="Century Gothic" w:cs="Century Gothic"/>
                <w:color w:val="000000"/>
                <w:sz w:val="18"/>
                <w:szCs w:val="18"/>
              </w:rPr>
              <w:t>At least 6 months but less than 1 year</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E78163"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5B7EB7"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1924D2" w14:textId="77777777" w:rsidR="001C19F3" w:rsidRDefault="001C19F3" w:rsidP="00521305">
            <w:pPr>
              <w:spacing w:before="40" w:after="40"/>
              <w:ind w:left="100" w:right="100"/>
              <w:jc w:val="center"/>
            </w:pPr>
            <w:r>
              <w:rPr>
                <w:rFonts w:eastAsia="Century Gothic" w:cs="Century Gothic"/>
                <w:color w:val="000000"/>
                <w:sz w:val="18"/>
                <w:szCs w:val="18"/>
              </w:rPr>
              <w:t>19 (1.8%)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A66D52" w14:textId="77777777" w:rsidR="001C19F3" w:rsidRDefault="001C19F3" w:rsidP="00521305">
            <w:pPr>
              <w:spacing w:before="40" w:after="40"/>
              <w:ind w:left="100" w:right="100"/>
              <w:jc w:val="center"/>
            </w:pPr>
            <w:r>
              <w:rPr>
                <w:rFonts w:eastAsia="Century Gothic" w:cs="Century Gothic"/>
                <w:color w:val="000000"/>
                <w:sz w:val="18"/>
                <w:szCs w:val="18"/>
              </w:rPr>
              <w:t>25 (5.3%)</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48BCC53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7CF4B" w14:textId="77777777" w:rsidR="001C19F3" w:rsidRDefault="001C19F3" w:rsidP="00521305">
            <w:pPr>
              <w:spacing w:before="40" w:after="40"/>
              <w:ind w:left="100" w:right="100"/>
              <w:jc w:val="right"/>
            </w:pPr>
            <w:r>
              <w:rPr>
                <w:rFonts w:eastAsia="Century Gothic" w:cs="Century Gothic"/>
                <w:color w:val="000000"/>
                <w:sz w:val="18"/>
                <w:szCs w:val="18"/>
              </w:rPr>
              <w:t>12 (1.0%)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0815B6" w14:textId="77777777" w:rsidR="001C19F3" w:rsidRDefault="001C19F3" w:rsidP="00521305">
            <w:pPr>
              <w:spacing w:before="40" w:after="40"/>
              <w:ind w:left="100" w:right="100"/>
              <w:jc w:val="right"/>
            </w:pPr>
            <w:r>
              <w:rPr>
                <w:rFonts w:eastAsia="Century Gothic" w:cs="Century Gothic"/>
                <w:color w:val="000000"/>
                <w:sz w:val="18"/>
                <w:szCs w:val="18"/>
              </w:rPr>
              <w:t>40 (4.9%)</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3535BA10" w14:textId="77777777" w:rsidR="001C19F3" w:rsidRDefault="001C19F3" w:rsidP="00521305">
            <w:pPr>
              <w:spacing w:after="0"/>
              <w:rPr>
                <w:sz w:val="22"/>
              </w:rPr>
            </w:pPr>
          </w:p>
        </w:tc>
      </w:tr>
      <w:tr w:rsidR="001C19F3" w14:paraId="40DD33F1"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FAE04B" w14:textId="77777777" w:rsidR="001C19F3" w:rsidRDefault="001C19F3" w:rsidP="00521305">
            <w:pPr>
              <w:spacing w:before="40" w:after="40"/>
              <w:ind w:left="160" w:right="100"/>
            </w:pPr>
            <w:r>
              <w:rPr>
                <w:rFonts w:eastAsia="Century Gothic" w:cs="Century Gothic"/>
                <w:color w:val="000000"/>
                <w:sz w:val="18"/>
                <w:szCs w:val="18"/>
              </w:rPr>
              <w:t>At least 1 year but less than 3 years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7B95BB" w14:textId="77777777" w:rsidR="001C19F3" w:rsidRDefault="001C19F3" w:rsidP="00521305">
            <w:pPr>
              <w:spacing w:before="40" w:after="40"/>
              <w:ind w:left="100" w:right="100"/>
              <w:jc w:val="center"/>
            </w:pPr>
            <w:r>
              <w:rPr>
                <w:rFonts w:eastAsia="Century Gothic" w:cs="Century Gothic"/>
                <w:color w:val="000000"/>
                <w:sz w:val="18"/>
                <w:szCs w:val="18"/>
              </w:rPr>
              <w:t>297 (14.7%)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2C03C5" w14:textId="77777777" w:rsidR="001C19F3" w:rsidRDefault="001C19F3" w:rsidP="00521305">
            <w:pPr>
              <w:spacing w:before="40" w:after="40"/>
              <w:ind w:left="100" w:right="100"/>
              <w:jc w:val="center"/>
            </w:pPr>
            <w:r>
              <w:rPr>
                <w:rFonts w:eastAsia="Century Gothic" w:cs="Century Gothic"/>
                <w:color w:val="000000"/>
                <w:sz w:val="18"/>
                <w:szCs w:val="18"/>
              </w:rPr>
              <w:t>59 (13.3%)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99786D" w14:textId="77777777" w:rsidR="001C19F3" w:rsidRDefault="001C19F3" w:rsidP="00521305">
            <w:pPr>
              <w:spacing w:before="40" w:after="40"/>
              <w:ind w:left="100" w:right="100"/>
              <w:jc w:val="center"/>
            </w:pPr>
            <w:r>
              <w:rPr>
                <w:rFonts w:eastAsia="Century Gothic" w:cs="Century Gothic"/>
                <w:color w:val="000000"/>
                <w:sz w:val="18"/>
                <w:szCs w:val="18"/>
              </w:rPr>
              <w:t>150 (14.5%)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ADE1F6" w14:textId="77777777" w:rsidR="001C19F3" w:rsidRDefault="001C19F3" w:rsidP="00521305">
            <w:pPr>
              <w:spacing w:before="40" w:after="40"/>
              <w:ind w:left="100" w:right="100"/>
              <w:jc w:val="center"/>
            </w:pPr>
            <w:r>
              <w:rPr>
                <w:rFonts w:eastAsia="Century Gothic" w:cs="Century Gothic"/>
                <w:color w:val="000000"/>
                <w:sz w:val="18"/>
                <w:szCs w:val="18"/>
              </w:rPr>
              <w:t>82 (17.4%)</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0BC277A8"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7520FA" w14:textId="77777777" w:rsidR="001C19F3" w:rsidRDefault="001C19F3" w:rsidP="00521305">
            <w:pPr>
              <w:spacing w:before="40" w:after="40"/>
              <w:ind w:left="100" w:right="100"/>
              <w:jc w:val="right"/>
            </w:pPr>
            <w:r>
              <w:rPr>
                <w:rFonts w:eastAsia="Century Gothic" w:cs="Century Gothic"/>
                <w:color w:val="000000"/>
                <w:sz w:val="18"/>
                <w:szCs w:val="18"/>
              </w:rPr>
              <w:t>140 (11.6%)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7EF276" w14:textId="77777777" w:rsidR="001C19F3" w:rsidRDefault="001C19F3" w:rsidP="00521305">
            <w:pPr>
              <w:spacing w:before="40" w:after="40"/>
              <w:ind w:left="100" w:right="100"/>
              <w:jc w:val="right"/>
            </w:pPr>
            <w:r>
              <w:rPr>
                <w:rFonts w:eastAsia="Century Gothic" w:cs="Century Gothic"/>
                <w:color w:val="000000"/>
                <w:sz w:val="18"/>
                <w:szCs w:val="18"/>
              </w:rPr>
              <w:t>157 (19.4%)</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572851F6" w14:textId="77777777" w:rsidR="001C19F3" w:rsidRDefault="001C19F3" w:rsidP="00521305">
            <w:pPr>
              <w:spacing w:after="0"/>
              <w:rPr>
                <w:sz w:val="22"/>
              </w:rPr>
            </w:pPr>
          </w:p>
        </w:tc>
      </w:tr>
      <w:tr w:rsidR="001C19F3" w14:paraId="5C70D007"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1E7BC5" w14:textId="77777777" w:rsidR="001C19F3" w:rsidRDefault="001C19F3" w:rsidP="00521305">
            <w:pPr>
              <w:spacing w:before="40" w:after="40"/>
              <w:ind w:left="160" w:right="100"/>
            </w:pPr>
            <w:r>
              <w:rPr>
                <w:rFonts w:eastAsia="Century Gothic" w:cs="Century Gothic"/>
                <w:color w:val="000000"/>
                <w:sz w:val="18"/>
                <w:szCs w:val="18"/>
              </w:rPr>
              <w:t>At least 3 years but less than 5 years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7EF888" w14:textId="77777777" w:rsidR="001C19F3" w:rsidRDefault="001C19F3" w:rsidP="00521305">
            <w:pPr>
              <w:spacing w:before="40" w:after="40"/>
              <w:ind w:left="100" w:right="100"/>
              <w:jc w:val="center"/>
            </w:pPr>
            <w:r>
              <w:rPr>
                <w:rFonts w:eastAsia="Century Gothic" w:cs="Century Gothic"/>
                <w:color w:val="000000"/>
                <w:sz w:val="18"/>
                <w:szCs w:val="18"/>
              </w:rPr>
              <w:t>315 (15.6%)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112337" w14:textId="77777777" w:rsidR="001C19F3" w:rsidRDefault="001C19F3" w:rsidP="00521305">
            <w:pPr>
              <w:spacing w:before="40" w:after="40"/>
              <w:ind w:left="100" w:right="100"/>
              <w:jc w:val="center"/>
            </w:pPr>
            <w:r>
              <w:rPr>
                <w:rFonts w:eastAsia="Century Gothic" w:cs="Century Gothic"/>
                <w:color w:val="000000"/>
                <w:sz w:val="18"/>
                <w:szCs w:val="18"/>
              </w:rPr>
              <w:t>66 (14.9%)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80E7F6" w14:textId="77777777" w:rsidR="001C19F3" w:rsidRDefault="001C19F3" w:rsidP="00521305">
            <w:pPr>
              <w:spacing w:before="40" w:after="40"/>
              <w:ind w:left="100" w:right="100"/>
              <w:jc w:val="center"/>
            </w:pPr>
            <w:r>
              <w:rPr>
                <w:rFonts w:eastAsia="Century Gothic" w:cs="Century Gothic"/>
                <w:color w:val="000000"/>
                <w:sz w:val="18"/>
                <w:szCs w:val="18"/>
              </w:rPr>
              <w:t>172 (16.7%)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F849C" w14:textId="77777777" w:rsidR="001C19F3" w:rsidRDefault="001C19F3" w:rsidP="00521305">
            <w:pPr>
              <w:spacing w:before="40" w:after="40"/>
              <w:ind w:left="100" w:right="100"/>
              <w:jc w:val="center"/>
            </w:pPr>
            <w:r>
              <w:rPr>
                <w:rFonts w:eastAsia="Century Gothic" w:cs="Century Gothic"/>
                <w:color w:val="000000"/>
                <w:sz w:val="18"/>
                <w:szCs w:val="18"/>
              </w:rPr>
              <w:t>72 (15.3%)</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509F3002"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1A6AE" w14:textId="77777777" w:rsidR="001C19F3" w:rsidRDefault="001C19F3" w:rsidP="00521305">
            <w:pPr>
              <w:spacing w:before="40" w:after="40"/>
              <w:ind w:left="100" w:right="100"/>
              <w:jc w:val="right"/>
            </w:pPr>
            <w:r>
              <w:rPr>
                <w:rFonts w:eastAsia="Century Gothic" w:cs="Century Gothic"/>
                <w:color w:val="000000"/>
                <w:sz w:val="18"/>
                <w:szCs w:val="18"/>
              </w:rPr>
              <w:t>147 (12.2%)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40E8C" w14:textId="77777777" w:rsidR="001C19F3" w:rsidRDefault="001C19F3" w:rsidP="00521305">
            <w:pPr>
              <w:spacing w:before="40" w:after="40"/>
              <w:ind w:left="100" w:right="100"/>
              <w:jc w:val="right"/>
            </w:pPr>
            <w:r>
              <w:rPr>
                <w:rFonts w:eastAsia="Century Gothic" w:cs="Century Gothic"/>
                <w:color w:val="000000"/>
                <w:sz w:val="18"/>
                <w:szCs w:val="18"/>
              </w:rPr>
              <w:t>168 (20.7%)</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018EC038" w14:textId="77777777" w:rsidR="001C19F3" w:rsidRDefault="001C19F3" w:rsidP="00521305">
            <w:pPr>
              <w:spacing w:after="0"/>
              <w:rPr>
                <w:sz w:val="22"/>
              </w:rPr>
            </w:pPr>
          </w:p>
        </w:tc>
      </w:tr>
      <w:tr w:rsidR="001C19F3" w14:paraId="5F40AE51"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E97269" w14:textId="77777777" w:rsidR="001C19F3" w:rsidRDefault="001C19F3" w:rsidP="00521305">
            <w:pPr>
              <w:spacing w:before="40" w:after="40"/>
              <w:ind w:left="160" w:right="100"/>
            </w:pPr>
            <w:r>
              <w:rPr>
                <w:rFonts w:eastAsia="Century Gothic" w:cs="Century Gothic"/>
                <w:color w:val="000000"/>
                <w:sz w:val="18"/>
                <w:szCs w:val="18"/>
              </w:rPr>
              <w:t>5 years or more</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D71198" w14:textId="77777777" w:rsidR="001C19F3" w:rsidRDefault="001C19F3" w:rsidP="00521305">
            <w:pPr>
              <w:spacing w:before="40" w:after="40"/>
              <w:ind w:left="100" w:right="100"/>
              <w:jc w:val="center"/>
            </w:pPr>
            <w:r>
              <w:rPr>
                <w:rFonts w:eastAsia="Century Gothic" w:cs="Century Gothic"/>
                <w:color w:val="000000"/>
                <w:sz w:val="18"/>
                <w:szCs w:val="18"/>
              </w:rPr>
              <w:t>1,315 (65.2%)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CAB9FA" w14:textId="77777777" w:rsidR="001C19F3" w:rsidRDefault="001C19F3" w:rsidP="00521305">
            <w:pPr>
              <w:spacing w:before="40" w:after="40"/>
              <w:ind w:left="100" w:right="100"/>
              <w:jc w:val="center"/>
            </w:pPr>
            <w:r>
              <w:rPr>
                <w:rFonts w:eastAsia="Century Gothic" w:cs="Century Gothic"/>
                <w:color w:val="000000"/>
                <w:sz w:val="18"/>
                <w:szCs w:val="18"/>
              </w:rPr>
              <w:t>307 (69.5%)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4D89C8" w14:textId="77777777" w:rsidR="001C19F3" w:rsidRDefault="001C19F3" w:rsidP="00521305">
            <w:pPr>
              <w:spacing w:before="40" w:after="40"/>
              <w:ind w:left="100" w:right="100"/>
              <w:jc w:val="center"/>
            </w:pPr>
            <w:r>
              <w:rPr>
                <w:rFonts w:eastAsia="Century Gothic" w:cs="Century Gothic"/>
                <w:color w:val="000000"/>
                <w:sz w:val="18"/>
                <w:szCs w:val="18"/>
              </w:rPr>
              <w:t>681 (66.1%)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AB8EF4" w14:textId="77777777" w:rsidR="001C19F3" w:rsidRDefault="001C19F3" w:rsidP="00521305">
            <w:pPr>
              <w:spacing w:before="40" w:after="40"/>
              <w:ind w:left="100" w:right="100"/>
              <w:jc w:val="center"/>
            </w:pPr>
            <w:r>
              <w:rPr>
                <w:rFonts w:eastAsia="Century Gothic" w:cs="Century Gothic"/>
                <w:color w:val="000000"/>
                <w:sz w:val="18"/>
                <w:szCs w:val="18"/>
              </w:rPr>
              <w:t>271 (57.7%)</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5698038D"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CD1B0E" w14:textId="77777777" w:rsidR="001C19F3" w:rsidRDefault="001C19F3" w:rsidP="00521305">
            <w:pPr>
              <w:spacing w:before="40" w:after="40"/>
              <w:ind w:left="100" w:right="100"/>
              <w:jc w:val="right"/>
            </w:pPr>
            <w:r>
              <w:rPr>
                <w:rFonts w:eastAsia="Century Gothic" w:cs="Century Gothic"/>
                <w:color w:val="000000"/>
                <w:sz w:val="18"/>
                <w:szCs w:val="18"/>
              </w:rPr>
              <w:t>892 (74.1%)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93B1F6" w14:textId="77777777" w:rsidR="001C19F3" w:rsidRDefault="001C19F3" w:rsidP="00521305">
            <w:pPr>
              <w:spacing w:before="40" w:after="40"/>
              <w:ind w:left="100" w:right="100"/>
              <w:jc w:val="right"/>
            </w:pPr>
            <w:r>
              <w:rPr>
                <w:rFonts w:eastAsia="Century Gothic" w:cs="Century Gothic"/>
                <w:color w:val="000000"/>
                <w:sz w:val="18"/>
                <w:szCs w:val="18"/>
              </w:rPr>
              <w:t>423 (52.2%)</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781F2E50" w14:textId="77777777" w:rsidR="001C19F3" w:rsidRDefault="001C19F3" w:rsidP="00521305">
            <w:pPr>
              <w:spacing w:after="0"/>
              <w:rPr>
                <w:sz w:val="22"/>
              </w:rPr>
            </w:pPr>
          </w:p>
        </w:tc>
      </w:tr>
      <w:tr w:rsidR="001C19F3" w14:paraId="6D5537DF"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C51FC" w14:textId="77777777" w:rsidR="001C19F3" w:rsidRDefault="001C19F3" w:rsidP="00521305">
            <w:pPr>
              <w:spacing w:before="40" w:after="40"/>
              <w:ind w:left="160" w:right="100"/>
            </w:pPr>
            <w:r>
              <w:rPr>
                <w:rFonts w:eastAsia="Century Gothic" w:cs="Century Gothic"/>
                <w:color w:val="000000"/>
                <w:sz w:val="18"/>
                <w:szCs w:val="18"/>
              </w:rPr>
              <w:t>Don't know</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92145B" w14:textId="77777777" w:rsidR="001C19F3" w:rsidRDefault="001C19F3" w:rsidP="00521305">
            <w:pPr>
              <w:spacing w:before="40" w:after="40"/>
              <w:ind w:left="100" w:right="100"/>
              <w:jc w:val="center"/>
            </w:pPr>
            <w:r>
              <w:rPr>
                <w:rFonts w:eastAsia="Century Gothic" w:cs="Century Gothic"/>
                <w:color w:val="000000"/>
                <w:sz w:val="18"/>
                <w:szCs w:val="18"/>
              </w:rPr>
              <w:t>5 (0.2%)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239870"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9BCF11"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637281" w14:textId="77777777" w:rsidR="001C19F3" w:rsidRDefault="001C19F3" w:rsidP="00521305">
            <w:pPr>
              <w:spacing w:before="40" w:after="40"/>
              <w:ind w:left="100" w:right="100"/>
              <w:jc w:val="center"/>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2C8299"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9B0937"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BD5074" w14:textId="77777777" w:rsidR="001C19F3" w:rsidRDefault="001C19F3" w:rsidP="00521305">
            <w:pPr>
              <w:spacing w:before="40" w:after="40"/>
              <w:ind w:left="100" w:right="100"/>
              <w:jc w:val="right"/>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C46B4D" w14:textId="77777777" w:rsidR="001C19F3" w:rsidRDefault="001C19F3" w:rsidP="00521305">
            <w:pPr>
              <w:spacing w:before="40" w:after="40"/>
              <w:ind w:left="100" w:right="100"/>
              <w:jc w:val="right"/>
            </w:pPr>
          </w:p>
        </w:tc>
      </w:tr>
      <w:tr w:rsidR="001C19F3" w14:paraId="25212E27" w14:textId="77777777" w:rsidTr="00521305">
        <w:trPr>
          <w:cantSplit/>
          <w:trHeight w:val="288"/>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4D4A1D" w14:textId="77777777" w:rsidR="001C19F3" w:rsidRDefault="001C19F3" w:rsidP="00521305">
            <w:pPr>
              <w:spacing w:before="40" w:after="40"/>
              <w:ind w:left="100" w:right="100"/>
            </w:pPr>
            <w:r>
              <w:rPr>
                <w:rFonts w:eastAsia="Century Gothic" w:cs="Century Gothic"/>
                <w:b/>
                <w:color w:val="000000"/>
                <w:sz w:val="18"/>
                <w:szCs w:val="18"/>
              </w:rPr>
              <w:t>B3 Number of times the patient attending the HCH practice in the last six months (Q4)</w:t>
            </w:r>
          </w:p>
        </w:tc>
      </w:tr>
      <w:tr w:rsidR="001C19F3" w14:paraId="75ADADC4"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F44C23" w14:textId="77777777" w:rsidR="001C19F3" w:rsidRDefault="001C19F3" w:rsidP="00521305">
            <w:pPr>
              <w:spacing w:before="40" w:after="40"/>
              <w:ind w:left="160" w:right="100"/>
            </w:pPr>
            <w:r>
              <w:rPr>
                <w:rFonts w:eastAsia="Century Gothic" w:cs="Century Gothic"/>
                <w:color w:val="000000"/>
                <w:sz w:val="18"/>
                <w:szCs w:val="18"/>
              </w:rPr>
              <w:t>Once</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199682" w14:textId="77777777" w:rsidR="001C19F3" w:rsidRDefault="001C19F3" w:rsidP="00521305">
            <w:pPr>
              <w:spacing w:before="40" w:after="40"/>
              <w:ind w:left="100" w:right="100"/>
              <w:jc w:val="center"/>
            </w:pPr>
            <w:r>
              <w:rPr>
                <w:rFonts w:eastAsia="Century Gothic" w:cs="Century Gothic"/>
                <w:color w:val="000000"/>
                <w:sz w:val="18"/>
                <w:szCs w:val="18"/>
              </w:rPr>
              <w:t>82 (4.1%)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AFD11F" w14:textId="77777777" w:rsidR="001C19F3" w:rsidRDefault="001C19F3" w:rsidP="00521305">
            <w:pPr>
              <w:spacing w:before="40" w:after="40"/>
              <w:ind w:left="100" w:right="100"/>
              <w:jc w:val="center"/>
            </w:pPr>
            <w:r>
              <w:rPr>
                <w:rFonts w:eastAsia="Century Gothic" w:cs="Century Gothic"/>
                <w:color w:val="000000"/>
                <w:sz w:val="18"/>
                <w:szCs w:val="18"/>
              </w:rPr>
              <w:t>21 (4.8%)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F64835" w14:textId="77777777" w:rsidR="001C19F3" w:rsidRDefault="001C19F3" w:rsidP="00521305">
            <w:pPr>
              <w:spacing w:before="40" w:after="40"/>
              <w:ind w:left="100" w:right="100"/>
              <w:jc w:val="center"/>
            </w:pPr>
            <w:r>
              <w:rPr>
                <w:rFonts w:eastAsia="Century Gothic" w:cs="Century Gothic"/>
                <w:color w:val="000000"/>
                <w:sz w:val="18"/>
                <w:szCs w:val="18"/>
              </w:rPr>
              <w:t>42 (4.1%)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3D1111" w14:textId="77777777" w:rsidR="001C19F3" w:rsidRDefault="001C19F3" w:rsidP="00521305">
            <w:pPr>
              <w:spacing w:before="40" w:after="40"/>
              <w:ind w:left="100" w:right="100"/>
              <w:jc w:val="center"/>
            </w:pPr>
            <w:r>
              <w:rPr>
                <w:rFonts w:eastAsia="Century Gothic" w:cs="Century Gothic"/>
                <w:color w:val="000000"/>
                <w:sz w:val="18"/>
                <w:szCs w:val="18"/>
              </w:rPr>
              <w:t>16 (3.4%)</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C47DA8"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1596FD" w14:textId="77777777" w:rsidR="001C19F3" w:rsidRDefault="001C19F3" w:rsidP="00521305">
            <w:pPr>
              <w:spacing w:before="40" w:after="40"/>
              <w:ind w:left="100" w:right="100"/>
              <w:jc w:val="right"/>
            </w:pPr>
            <w:r>
              <w:rPr>
                <w:rFonts w:eastAsia="Century Gothic" w:cs="Century Gothic"/>
                <w:color w:val="000000"/>
                <w:sz w:val="18"/>
                <w:szCs w:val="18"/>
              </w:rPr>
              <w:t>46 (3.9%)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4E0C3F" w14:textId="77777777" w:rsidR="001C19F3" w:rsidRDefault="001C19F3" w:rsidP="00521305">
            <w:pPr>
              <w:spacing w:before="40" w:after="40"/>
              <w:ind w:left="100" w:right="100"/>
              <w:jc w:val="right"/>
            </w:pPr>
            <w:r>
              <w:rPr>
                <w:rFonts w:eastAsia="Century Gothic" w:cs="Century Gothic"/>
                <w:color w:val="000000"/>
                <w:sz w:val="18"/>
                <w:szCs w:val="18"/>
              </w:rPr>
              <w:t>36 (4.5%)</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38D0C3" w14:textId="77777777" w:rsidR="001C19F3" w:rsidRDefault="001C19F3" w:rsidP="00521305">
            <w:pPr>
              <w:spacing w:before="40" w:after="40"/>
              <w:ind w:left="100" w:right="100"/>
              <w:jc w:val="right"/>
            </w:pPr>
            <w:r>
              <w:rPr>
                <w:rFonts w:eastAsia="Century Gothic" w:cs="Century Gothic"/>
                <w:color w:val="000000"/>
                <w:sz w:val="18"/>
                <w:szCs w:val="18"/>
              </w:rPr>
              <w:t>0.381</w:t>
            </w:r>
          </w:p>
        </w:tc>
      </w:tr>
      <w:tr w:rsidR="001C19F3" w14:paraId="796E3C37"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02BBF" w14:textId="77777777" w:rsidR="001C19F3" w:rsidRDefault="001C19F3" w:rsidP="00521305">
            <w:pPr>
              <w:spacing w:before="40" w:after="40"/>
              <w:ind w:left="160" w:right="100"/>
            </w:pPr>
            <w:r>
              <w:rPr>
                <w:rFonts w:eastAsia="Century Gothic" w:cs="Century Gothic"/>
                <w:color w:val="000000"/>
                <w:sz w:val="18"/>
                <w:szCs w:val="18"/>
              </w:rPr>
              <w:t>Twice</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CAF575" w14:textId="77777777" w:rsidR="001C19F3" w:rsidRDefault="001C19F3" w:rsidP="00521305">
            <w:pPr>
              <w:spacing w:before="40" w:after="40"/>
              <w:ind w:left="100" w:right="100"/>
              <w:jc w:val="center"/>
            </w:pPr>
            <w:r>
              <w:rPr>
                <w:rFonts w:eastAsia="Century Gothic" w:cs="Century Gothic"/>
                <w:color w:val="000000"/>
                <w:sz w:val="18"/>
                <w:szCs w:val="18"/>
              </w:rPr>
              <w:t>244 (12.1%)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3776BF" w14:textId="77777777" w:rsidR="001C19F3" w:rsidRDefault="001C19F3" w:rsidP="00521305">
            <w:pPr>
              <w:spacing w:before="40" w:after="40"/>
              <w:ind w:left="100" w:right="100"/>
              <w:jc w:val="center"/>
            </w:pPr>
            <w:r>
              <w:rPr>
                <w:rFonts w:eastAsia="Century Gothic" w:cs="Century Gothic"/>
                <w:color w:val="000000"/>
                <w:sz w:val="18"/>
                <w:szCs w:val="18"/>
              </w:rPr>
              <w:t>82 (18.9%)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D3774C" w14:textId="77777777" w:rsidR="001C19F3" w:rsidRDefault="001C19F3" w:rsidP="00521305">
            <w:pPr>
              <w:spacing w:before="40" w:after="40"/>
              <w:ind w:left="100" w:right="100"/>
              <w:jc w:val="center"/>
            </w:pPr>
            <w:r>
              <w:rPr>
                <w:rFonts w:eastAsia="Century Gothic" w:cs="Century Gothic"/>
                <w:color w:val="000000"/>
                <w:sz w:val="18"/>
                <w:szCs w:val="18"/>
              </w:rPr>
              <w:t>114 (11.2%)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946676" w14:textId="77777777" w:rsidR="001C19F3" w:rsidRDefault="001C19F3" w:rsidP="00521305">
            <w:pPr>
              <w:spacing w:before="40" w:after="40"/>
              <w:ind w:left="100" w:right="100"/>
              <w:jc w:val="center"/>
            </w:pPr>
            <w:r>
              <w:rPr>
                <w:rFonts w:eastAsia="Century Gothic" w:cs="Century Gothic"/>
                <w:color w:val="000000"/>
                <w:sz w:val="18"/>
                <w:szCs w:val="18"/>
              </w:rPr>
              <w:t>44 (9.4%)</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7C2BC47C"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1DC08F" w14:textId="77777777" w:rsidR="001C19F3" w:rsidRDefault="001C19F3" w:rsidP="00521305">
            <w:pPr>
              <w:spacing w:before="40" w:after="40"/>
              <w:ind w:left="100" w:right="100"/>
              <w:jc w:val="right"/>
            </w:pPr>
            <w:r>
              <w:rPr>
                <w:rFonts w:eastAsia="Century Gothic" w:cs="Century Gothic"/>
                <w:color w:val="000000"/>
                <w:sz w:val="18"/>
                <w:szCs w:val="18"/>
              </w:rPr>
              <w:t>141 (11.8%)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70FD00" w14:textId="77777777" w:rsidR="001C19F3" w:rsidRDefault="001C19F3" w:rsidP="00521305">
            <w:pPr>
              <w:spacing w:before="40" w:after="40"/>
              <w:ind w:left="100" w:right="100"/>
              <w:jc w:val="right"/>
            </w:pPr>
            <w:r>
              <w:rPr>
                <w:rFonts w:eastAsia="Century Gothic" w:cs="Century Gothic"/>
                <w:color w:val="000000"/>
                <w:sz w:val="18"/>
                <w:szCs w:val="18"/>
              </w:rPr>
              <w:t>103 (12.8%)</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3FA6B4AE" w14:textId="77777777" w:rsidR="001C19F3" w:rsidRDefault="001C19F3" w:rsidP="00521305">
            <w:pPr>
              <w:spacing w:after="0"/>
              <w:rPr>
                <w:sz w:val="22"/>
              </w:rPr>
            </w:pPr>
          </w:p>
        </w:tc>
      </w:tr>
      <w:tr w:rsidR="001C19F3" w14:paraId="1756EC1E"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09155A" w14:textId="77777777" w:rsidR="001C19F3" w:rsidRDefault="001C19F3" w:rsidP="00521305">
            <w:pPr>
              <w:spacing w:before="40" w:after="40"/>
              <w:ind w:left="160" w:right="100"/>
            </w:pPr>
            <w:r>
              <w:rPr>
                <w:rFonts w:eastAsia="Century Gothic" w:cs="Century Gothic"/>
                <w:color w:val="000000"/>
                <w:sz w:val="18"/>
                <w:szCs w:val="18"/>
              </w:rPr>
              <w:t>3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84CB7B" w14:textId="77777777" w:rsidR="001C19F3" w:rsidRDefault="001C19F3" w:rsidP="00521305">
            <w:pPr>
              <w:spacing w:before="40" w:after="40"/>
              <w:ind w:left="100" w:right="100"/>
              <w:jc w:val="center"/>
            </w:pPr>
            <w:r>
              <w:rPr>
                <w:rFonts w:eastAsia="Century Gothic" w:cs="Century Gothic"/>
                <w:color w:val="000000"/>
                <w:sz w:val="18"/>
                <w:szCs w:val="18"/>
              </w:rPr>
              <w:t>324 (16.1%)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7EE07C" w14:textId="77777777" w:rsidR="001C19F3" w:rsidRDefault="001C19F3" w:rsidP="00521305">
            <w:pPr>
              <w:spacing w:before="40" w:after="40"/>
              <w:ind w:left="100" w:right="100"/>
              <w:jc w:val="center"/>
            </w:pPr>
            <w:r>
              <w:rPr>
                <w:rFonts w:eastAsia="Century Gothic" w:cs="Century Gothic"/>
                <w:color w:val="000000"/>
                <w:sz w:val="18"/>
                <w:szCs w:val="18"/>
              </w:rPr>
              <w:t>90 (20.7%)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76D4BB" w14:textId="77777777" w:rsidR="001C19F3" w:rsidRDefault="001C19F3" w:rsidP="00521305">
            <w:pPr>
              <w:spacing w:before="40" w:after="40"/>
              <w:ind w:left="100" w:right="100"/>
              <w:jc w:val="center"/>
            </w:pPr>
            <w:r>
              <w:rPr>
                <w:rFonts w:eastAsia="Century Gothic" w:cs="Century Gothic"/>
                <w:color w:val="000000"/>
                <w:sz w:val="18"/>
                <w:szCs w:val="18"/>
              </w:rPr>
              <w:t>158 (15.5%)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BE20D" w14:textId="77777777" w:rsidR="001C19F3" w:rsidRDefault="001C19F3" w:rsidP="00521305">
            <w:pPr>
              <w:spacing w:before="40" w:after="40"/>
              <w:ind w:left="100" w:right="100"/>
              <w:jc w:val="center"/>
            </w:pPr>
            <w:r>
              <w:rPr>
                <w:rFonts w:eastAsia="Century Gothic" w:cs="Century Gothic"/>
                <w:color w:val="000000"/>
                <w:sz w:val="18"/>
                <w:szCs w:val="18"/>
              </w:rPr>
              <w:t>65 (13.9%)</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78ABD793"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7A0DD9" w14:textId="77777777" w:rsidR="001C19F3" w:rsidRDefault="001C19F3" w:rsidP="00521305">
            <w:pPr>
              <w:spacing w:before="40" w:after="40"/>
              <w:ind w:left="100" w:right="100"/>
              <w:jc w:val="right"/>
            </w:pPr>
            <w:r>
              <w:rPr>
                <w:rFonts w:eastAsia="Century Gothic" w:cs="Century Gothic"/>
                <w:color w:val="000000"/>
                <w:sz w:val="18"/>
                <w:szCs w:val="18"/>
              </w:rPr>
              <w:t>207 (17.4%)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7229F5" w14:textId="77777777" w:rsidR="001C19F3" w:rsidRDefault="001C19F3" w:rsidP="00521305">
            <w:pPr>
              <w:spacing w:before="40" w:after="40"/>
              <w:ind w:left="100" w:right="100"/>
              <w:jc w:val="right"/>
            </w:pPr>
            <w:r>
              <w:rPr>
                <w:rFonts w:eastAsia="Century Gothic" w:cs="Century Gothic"/>
                <w:color w:val="000000"/>
                <w:sz w:val="18"/>
                <w:szCs w:val="18"/>
              </w:rPr>
              <w:t>117 (14.6%)</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32C053AD" w14:textId="77777777" w:rsidR="001C19F3" w:rsidRDefault="001C19F3" w:rsidP="00521305">
            <w:pPr>
              <w:spacing w:after="0"/>
              <w:rPr>
                <w:sz w:val="22"/>
              </w:rPr>
            </w:pPr>
          </w:p>
        </w:tc>
      </w:tr>
      <w:tr w:rsidR="001C19F3" w14:paraId="2C384AA3"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ACED52" w14:textId="77777777" w:rsidR="001C19F3" w:rsidRDefault="001C19F3" w:rsidP="00521305">
            <w:pPr>
              <w:spacing w:before="40" w:after="40"/>
              <w:ind w:left="160" w:right="100"/>
            </w:pPr>
            <w:r>
              <w:rPr>
                <w:rFonts w:eastAsia="Century Gothic" w:cs="Century Gothic"/>
                <w:color w:val="000000"/>
                <w:sz w:val="18"/>
                <w:szCs w:val="18"/>
              </w:rPr>
              <w:t>4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196C5C" w14:textId="77777777" w:rsidR="001C19F3" w:rsidRDefault="001C19F3" w:rsidP="00521305">
            <w:pPr>
              <w:spacing w:before="40" w:after="40"/>
              <w:ind w:left="100" w:right="100"/>
              <w:jc w:val="center"/>
            </w:pPr>
            <w:r>
              <w:rPr>
                <w:rFonts w:eastAsia="Century Gothic" w:cs="Century Gothic"/>
                <w:color w:val="000000"/>
                <w:sz w:val="18"/>
                <w:szCs w:val="18"/>
              </w:rPr>
              <w:t>296 (14.7%)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5ECBC8" w14:textId="77777777" w:rsidR="001C19F3" w:rsidRDefault="001C19F3" w:rsidP="00521305">
            <w:pPr>
              <w:spacing w:before="40" w:after="40"/>
              <w:ind w:left="100" w:right="100"/>
              <w:jc w:val="center"/>
            </w:pPr>
            <w:r>
              <w:rPr>
                <w:rFonts w:eastAsia="Century Gothic" w:cs="Century Gothic"/>
                <w:color w:val="000000"/>
                <w:sz w:val="18"/>
                <w:szCs w:val="18"/>
              </w:rPr>
              <w:t>62 (14.3%)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BC80A3" w14:textId="77777777" w:rsidR="001C19F3" w:rsidRDefault="001C19F3" w:rsidP="00521305">
            <w:pPr>
              <w:spacing w:before="40" w:after="40"/>
              <w:ind w:left="100" w:right="100"/>
              <w:jc w:val="center"/>
            </w:pPr>
            <w:r>
              <w:rPr>
                <w:rFonts w:eastAsia="Century Gothic" w:cs="Century Gothic"/>
                <w:color w:val="000000"/>
                <w:sz w:val="18"/>
                <w:szCs w:val="18"/>
              </w:rPr>
              <w:t>165 (16.2%)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9FC3E9" w14:textId="77777777" w:rsidR="001C19F3" w:rsidRDefault="001C19F3" w:rsidP="00521305">
            <w:pPr>
              <w:spacing w:before="40" w:after="40"/>
              <w:ind w:left="100" w:right="100"/>
              <w:jc w:val="center"/>
            </w:pPr>
            <w:r>
              <w:rPr>
                <w:rFonts w:eastAsia="Century Gothic" w:cs="Century Gothic"/>
                <w:color w:val="000000"/>
                <w:sz w:val="18"/>
                <w:szCs w:val="18"/>
              </w:rPr>
              <w:t>57 (12.2%)</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382B7B31"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21CD75" w14:textId="77777777" w:rsidR="001C19F3" w:rsidRDefault="001C19F3" w:rsidP="00521305">
            <w:pPr>
              <w:spacing w:before="40" w:after="40"/>
              <w:ind w:left="100" w:right="100"/>
              <w:jc w:val="right"/>
            </w:pPr>
            <w:r>
              <w:rPr>
                <w:rFonts w:eastAsia="Century Gothic" w:cs="Century Gothic"/>
                <w:color w:val="000000"/>
                <w:sz w:val="18"/>
                <w:szCs w:val="18"/>
              </w:rPr>
              <w:t>166 (13.9%)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3E65B" w14:textId="77777777" w:rsidR="001C19F3" w:rsidRDefault="001C19F3" w:rsidP="00521305">
            <w:pPr>
              <w:spacing w:before="40" w:after="40"/>
              <w:ind w:left="100" w:right="100"/>
              <w:jc w:val="right"/>
            </w:pPr>
            <w:r>
              <w:rPr>
                <w:rFonts w:eastAsia="Century Gothic" w:cs="Century Gothic"/>
                <w:color w:val="000000"/>
                <w:sz w:val="18"/>
                <w:szCs w:val="18"/>
              </w:rPr>
              <w:t>130 (16.2%)</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6A391DC7" w14:textId="77777777" w:rsidR="001C19F3" w:rsidRDefault="001C19F3" w:rsidP="00521305">
            <w:pPr>
              <w:spacing w:after="0"/>
              <w:rPr>
                <w:sz w:val="22"/>
              </w:rPr>
            </w:pPr>
          </w:p>
        </w:tc>
      </w:tr>
      <w:tr w:rsidR="001C19F3" w14:paraId="254234E7"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425E9" w14:textId="77777777" w:rsidR="001C19F3" w:rsidRDefault="001C19F3" w:rsidP="00521305">
            <w:pPr>
              <w:spacing w:before="40" w:after="40"/>
              <w:ind w:left="160" w:right="100"/>
            </w:pPr>
            <w:r>
              <w:rPr>
                <w:rFonts w:eastAsia="Century Gothic" w:cs="Century Gothic"/>
                <w:color w:val="000000"/>
                <w:sz w:val="18"/>
                <w:szCs w:val="18"/>
              </w:rPr>
              <w:t>5 to 9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7F1530" w14:textId="77777777" w:rsidR="001C19F3" w:rsidRDefault="001C19F3" w:rsidP="00521305">
            <w:pPr>
              <w:spacing w:before="40" w:after="40"/>
              <w:ind w:left="100" w:right="100"/>
              <w:jc w:val="center"/>
            </w:pPr>
            <w:r>
              <w:rPr>
                <w:rFonts w:eastAsia="Century Gothic" w:cs="Century Gothic"/>
                <w:color w:val="000000"/>
                <w:sz w:val="18"/>
                <w:szCs w:val="18"/>
              </w:rPr>
              <w:t>596 (29.5%)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5CBF76" w14:textId="77777777" w:rsidR="001C19F3" w:rsidRDefault="001C19F3" w:rsidP="00521305">
            <w:pPr>
              <w:spacing w:before="40" w:after="40"/>
              <w:ind w:left="100" w:right="100"/>
              <w:jc w:val="center"/>
            </w:pPr>
            <w:r>
              <w:rPr>
                <w:rFonts w:eastAsia="Century Gothic" w:cs="Century Gothic"/>
                <w:color w:val="000000"/>
                <w:sz w:val="18"/>
                <w:szCs w:val="18"/>
              </w:rPr>
              <w:t>112 (25.7%)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29D06F" w14:textId="77777777" w:rsidR="001C19F3" w:rsidRDefault="001C19F3" w:rsidP="00521305">
            <w:pPr>
              <w:spacing w:before="40" w:after="40"/>
              <w:ind w:left="100" w:right="100"/>
              <w:jc w:val="center"/>
            </w:pPr>
            <w:r>
              <w:rPr>
                <w:rFonts w:eastAsia="Century Gothic" w:cs="Century Gothic"/>
                <w:color w:val="000000"/>
                <w:sz w:val="18"/>
                <w:szCs w:val="18"/>
              </w:rPr>
              <w:t>318 (31.2%)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2DFF7F" w14:textId="77777777" w:rsidR="001C19F3" w:rsidRDefault="001C19F3" w:rsidP="00521305">
            <w:pPr>
              <w:spacing w:before="40" w:after="40"/>
              <w:ind w:left="100" w:right="100"/>
              <w:jc w:val="center"/>
            </w:pPr>
            <w:r>
              <w:rPr>
                <w:rFonts w:eastAsia="Century Gothic" w:cs="Century Gothic"/>
                <w:color w:val="000000"/>
                <w:sz w:val="18"/>
                <w:szCs w:val="18"/>
              </w:rPr>
              <w:t>146 (31.2%)</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45AFAEC9"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D13466" w14:textId="77777777" w:rsidR="001C19F3" w:rsidRDefault="001C19F3" w:rsidP="00521305">
            <w:pPr>
              <w:spacing w:before="40" w:after="40"/>
              <w:ind w:left="100" w:right="100"/>
              <w:jc w:val="right"/>
            </w:pPr>
            <w:r>
              <w:rPr>
                <w:rFonts w:eastAsia="Century Gothic" w:cs="Century Gothic"/>
                <w:color w:val="000000"/>
                <w:sz w:val="18"/>
                <w:szCs w:val="18"/>
              </w:rPr>
              <w:t>358 (30.1%)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D43607" w14:textId="77777777" w:rsidR="001C19F3" w:rsidRDefault="001C19F3" w:rsidP="00521305">
            <w:pPr>
              <w:spacing w:before="40" w:after="40"/>
              <w:ind w:left="100" w:right="100"/>
              <w:jc w:val="right"/>
            </w:pPr>
            <w:r>
              <w:rPr>
                <w:rFonts w:eastAsia="Century Gothic" w:cs="Century Gothic"/>
                <w:color w:val="000000"/>
                <w:sz w:val="18"/>
                <w:szCs w:val="18"/>
              </w:rPr>
              <w:t>238 (29.7%)</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43295F84" w14:textId="77777777" w:rsidR="001C19F3" w:rsidRDefault="001C19F3" w:rsidP="00521305">
            <w:pPr>
              <w:spacing w:after="0"/>
              <w:rPr>
                <w:sz w:val="22"/>
              </w:rPr>
            </w:pPr>
          </w:p>
        </w:tc>
      </w:tr>
      <w:tr w:rsidR="001C19F3" w14:paraId="4A6D9393"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F4559C" w14:textId="77777777" w:rsidR="001C19F3" w:rsidRDefault="001C19F3" w:rsidP="00521305">
            <w:pPr>
              <w:spacing w:before="40" w:after="40"/>
              <w:ind w:left="160" w:right="100"/>
            </w:pPr>
            <w:r>
              <w:rPr>
                <w:rFonts w:eastAsia="Century Gothic" w:cs="Century Gothic"/>
                <w:color w:val="000000"/>
                <w:sz w:val="18"/>
                <w:szCs w:val="18"/>
              </w:rPr>
              <w:lastRenderedPageBreak/>
              <w:t>10 or more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853DC0" w14:textId="77777777" w:rsidR="001C19F3" w:rsidRDefault="001C19F3" w:rsidP="00521305">
            <w:pPr>
              <w:spacing w:before="40" w:after="40"/>
              <w:ind w:left="100" w:right="100"/>
              <w:jc w:val="center"/>
            </w:pPr>
            <w:r>
              <w:rPr>
                <w:rFonts w:eastAsia="Century Gothic" w:cs="Century Gothic"/>
                <w:color w:val="000000"/>
                <w:sz w:val="18"/>
                <w:szCs w:val="18"/>
              </w:rPr>
              <w:t>434 (21.5%)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9EE729" w14:textId="77777777" w:rsidR="001C19F3" w:rsidRDefault="001C19F3" w:rsidP="00521305">
            <w:pPr>
              <w:spacing w:before="40" w:after="40"/>
              <w:ind w:left="100" w:right="100"/>
              <w:jc w:val="center"/>
            </w:pPr>
            <w:r>
              <w:rPr>
                <w:rFonts w:eastAsia="Century Gothic" w:cs="Century Gothic"/>
                <w:color w:val="000000"/>
                <w:sz w:val="18"/>
                <w:szCs w:val="18"/>
              </w:rPr>
              <w:t>63 (14.5%)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16E5D6" w14:textId="77777777" w:rsidR="001C19F3" w:rsidRDefault="001C19F3" w:rsidP="00521305">
            <w:pPr>
              <w:spacing w:before="40" w:after="40"/>
              <w:ind w:left="100" w:right="100"/>
              <w:jc w:val="center"/>
            </w:pPr>
            <w:r>
              <w:rPr>
                <w:rFonts w:eastAsia="Century Gothic" w:cs="Century Gothic"/>
                <w:color w:val="000000"/>
                <w:sz w:val="18"/>
                <w:szCs w:val="18"/>
              </w:rPr>
              <w:t>218 (21.4%)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7C29B2" w14:textId="77777777" w:rsidR="001C19F3" w:rsidRDefault="001C19F3" w:rsidP="00521305">
            <w:pPr>
              <w:spacing w:before="40" w:after="40"/>
              <w:ind w:left="100" w:right="100"/>
              <w:jc w:val="center"/>
            </w:pPr>
            <w:r>
              <w:rPr>
                <w:rFonts w:eastAsia="Century Gothic" w:cs="Century Gothic"/>
                <w:color w:val="000000"/>
                <w:sz w:val="18"/>
                <w:szCs w:val="18"/>
              </w:rPr>
              <w:t>136 (29.1%)</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3B585B2B"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AE61BA" w14:textId="77777777" w:rsidR="001C19F3" w:rsidRDefault="001C19F3" w:rsidP="00521305">
            <w:pPr>
              <w:spacing w:before="40" w:after="40"/>
              <w:ind w:left="100" w:right="100"/>
              <w:jc w:val="right"/>
            </w:pPr>
            <w:r>
              <w:rPr>
                <w:rFonts w:eastAsia="Century Gothic" w:cs="Century Gothic"/>
                <w:color w:val="000000"/>
                <w:sz w:val="18"/>
                <w:szCs w:val="18"/>
              </w:rPr>
              <w:t>260 (21.8%)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E80600" w14:textId="77777777" w:rsidR="001C19F3" w:rsidRDefault="001C19F3" w:rsidP="00521305">
            <w:pPr>
              <w:spacing w:before="40" w:after="40"/>
              <w:ind w:left="100" w:right="100"/>
              <w:jc w:val="right"/>
            </w:pPr>
            <w:r>
              <w:rPr>
                <w:rFonts w:eastAsia="Century Gothic" w:cs="Century Gothic"/>
                <w:color w:val="000000"/>
                <w:sz w:val="18"/>
                <w:szCs w:val="18"/>
              </w:rPr>
              <w:t>174 (21.7%)</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6B3AD0EA" w14:textId="77777777" w:rsidR="001C19F3" w:rsidRDefault="001C19F3" w:rsidP="00521305">
            <w:pPr>
              <w:spacing w:after="0"/>
              <w:rPr>
                <w:sz w:val="22"/>
              </w:rPr>
            </w:pPr>
          </w:p>
        </w:tc>
      </w:tr>
      <w:tr w:rsidR="001C19F3" w14:paraId="1BD7B728"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C33DE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2A960B" w14:textId="77777777" w:rsidR="001C19F3" w:rsidRDefault="001C19F3" w:rsidP="00521305">
            <w:pPr>
              <w:spacing w:before="40" w:after="40"/>
              <w:ind w:left="100" w:right="100"/>
              <w:jc w:val="center"/>
            </w:pPr>
            <w:r>
              <w:rPr>
                <w:rFonts w:eastAsia="Century Gothic" w:cs="Century Gothic"/>
                <w:color w:val="000000"/>
                <w:sz w:val="18"/>
                <w:szCs w:val="18"/>
              </w:rPr>
              <w:t>26 (1.3%)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CAF6A4"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64D8D5"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DF228C" w14:textId="77777777" w:rsidR="001C19F3" w:rsidRDefault="001C19F3" w:rsidP="00521305">
            <w:pPr>
              <w:spacing w:before="40" w:after="40"/>
              <w:ind w:left="100" w:right="100"/>
              <w:jc w:val="center"/>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3D0D0F"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2AB4C5"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65A582" w14:textId="77777777" w:rsidR="001C19F3" w:rsidRDefault="001C19F3" w:rsidP="00521305">
            <w:pPr>
              <w:spacing w:before="40" w:after="40"/>
              <w:ind w:left="100" w:right="100"/>
              <w:jc w:val="right"/>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8B520E" w14:textId="77777777" w:rsidR="001C19F3" w:rsidRDefault="001C19F3" w:rsidP="00521305">
            <w:pPr>
              <w:spacing w:before="40" w:after="40"/>
              <w:ind w:left="100" w:right="100"/>
              <w:jc w:val="right"/>
            </w:pPr>
          </w:p>
        </w:tc>
      </w:tr>
      <w:tr w:rsidR="001C19F3" w14:paraId="6358025F" w14:textId="77777777" w:rsidTr="00521305">
        <w:trPr>
          <w:cantSplit/>
          <w:trHeight w:val="288"/>
          <w:jc w:val="center"/>
        </w:trPr>
        <w:tc>
          <w:tcPr>
            <w:tcW w:w="5000" w:type="pct"/>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9A4BBA" w14:textId="77777777" w:rsidR="001C19F3" w:rsidRDefault="001C19F3" w:rsidP="00521305">
            <w:pPr>
              <w:spacing w:before="40" w:after="40"/>
              <w:ind w:left="100" w:right="100"/>
            </w:pPr>
            <w:r>
              <w:rPr>
                <w:rFonts w:eastAsia="Century Gothic" w:cs="Century Gothic"/>
                <w:b/>
                <w:color w:val="000000"/>
                <w:sz w:val="18"/>
                <w:szCs w:val="18"/>
              </w:rPr>
              <w:t>B4 Number of times the patient contacted their GP or other professional at the HCH practice by email or telephone about their health in the last six months (apart from scheduling appointments) (Q5)</w:t>
            </w:r>
          </w:p>
        </w:tc>
      </w:tr>
      <w:tr w:rsidR="001C19F3" w14:paraId="5F2AAAA7"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5FF49E" w14:textId="77777777" w:rsidR="001C19F3" w:rsidRDefault="001C19F3" w:rsidP="00521305">
            <w:pPr>
              <w:spacing w:before="40" w:after="40"/>
              <w:ind w:left="160" w:right="100"/>
            </w:pPr>
            <w:r>
              <w:rPr>
                <w:rFonts w:eastAsia="Century Gothic" w:cs="Century Gothic"/>
                <w:color w:val="000000"/>
                <w:sz w:val="18"/>
                <w:szCs w:val="18"/>
              </w:rPr>
              <w:t>Once</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381FC5" w14:textId="77777777" w:rsidR="001C19F3" w:rsidRDefault="001C19F3" w:rsidP="00521305">
            <w:pPr>
              <w:spacing w:before="40" w:after="40"/>
              <w:ind w:left="100" w:right="100"/>
              <w:jc w:val="center"/>
            </w:pPr>
            <w:r>
              <w:rPr>
                <w:rFonts w:eastAsia="Century Gothic" w:cs="Century Gothic"/>
                <w:color w:val="000000"/>
                <w:sz w:val="18"/>
                <w:szCs w:val="18"/>
              </w:rPr>
              <w:t>121 (6.0%)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27C89E" w14:textId="77777777" w:rsidR="001C19F3" w:rsidRDefault="001C19F3" w:rsidP="00521305">
            <w:pPr>
              <w:spacing w:before="40" w:after="40"/>
              <w:ind w:left="100" w:right="100"/>
              <w:jc w:val="center"/>
            </w:pPr>
            <w:r>
              <w:rPr>
                <w:rFonts w:eastAsia="Century Gothic" w:cs="Century Gothic"/>
                <w:color w:val="000000"/>
                <w:sz w:val="18"/>
                <w:szCs w:val="18"/>
              </w:rPr>
              <w:t>26 (5.9%)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483F93" w14:textId="77777777" w:rsidR="001C19F3" w:rsidRDefault="001C19F3" w:rsidP="00521305">
            <w:pPr>
              <w:spacing w:before="40" w:after="40"/>
              <w:ind w:left="100" w:right="100"/>
              <w:jc w:val="center"/>
            </w:pPr>
            <w:r>
              <w:rPr>
                <w:rFonts w:eastAsia="Century Gothic" w:cs="Century Gothic"/>
                <w:color w:val="000000"/>
                <w:sz w:val="18"/>
                <w:szCs w:val="18"/>
              </w:rPr>
              <w:t>68 (6.6%)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BACA4" w14:textId="77777777" w:rsidR="001C19F3" w:rsidRDefault="001C19F3" w:rsidP="00521305">
            <w:pPr>
              <w:spacing w:before="40" w:after="40"/>
              <w:ind w:left="100" w:right="100"/>
              <w:jc w:val="center"/>
            </w:pPr>
            <w:r>
              <w:rPr>
                <w:rFonts w:eastAsia="Century Gothic" w:cs="Century Gothic"/>
                <w:color w:val="000000"/>
                <w:sz w:val="18"/>
                <w:szCs w:val="18"/>
              </w:rPr>
              <w:t>24 (5.2%)</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DAD8EE"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11BFF" w14:textId="77777777" w:rsidR="001C19F3" w:rsidRDefault="001C19F3" w:rsidP="00521305">
            <w:pPr>
              <w:spacing w:before="40" w:after="40"/>
              <w:ind w:left="100" w:right="100"/>
              <w:jc w:val="right"/>
            </w:pPr>
            <w:r>
              <w:rPr>
                <w:rFonts w:eastAsia="Century Gothic" w:cs="Century Gothic"/>
                <w:color w:val="000000"/>
                <w:sz w:val="18"/>
                <w:szCs w:val="18"/>
              </w:rPr>
              <w:t>71 (6.0%)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5BD116" w14:textId="77777777" w:rsidR="001C19F3" w:rsidRDefault="001C19F3" w:rsidP="00521305">
            <w:pPr>
              <w:spacing w:before="40" w:after="40"/>
              <w:ind w:left="100" w:right="100"/>
              <w:jc w:val="right"/>
            </w:pPr>
            <w:r>
              <w:rPr>
                <w:rFonts w:eastAsia="Century Gothic" w:cs="Century Gothic"/>
                <w:color w:val="000000"/>
                <w:sz w:val="18"/>
                <w:szCs w:val="18"/>
              </w:rPr>
              <w:t>50 (6.2%)</w:t>
            </w:r>
          </w:p>
        </w:tc>
        <w:tc>
          <w:tcPr>
            <w:tcW w:w="477" w:type="pct"/>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7135D3" w14:textId="77777777" w:rsidR="001C19F3" w:rsidRDefault="001C19F3" w:rsidP="00521305">
            <w:pPr>
              <w:spacing w:before="40" w:after="40"/>
              <w:ind w:left="100" w:right="100"/>
              <w:jc w:val="right"/>
            </w:pPr>
            <w:r>
              <w:rPr>
                <w:rFonts w:eastAsia="Century Gothic" w:cs="Century Gothic"/>
                <w:color w:val="000000"/>
                <w:sz w:val="18"/>
                <w:szCs w:val="18"/>
              </w:rPr>
              <w:t>0.440</w:t>
            </w:r>
          </w:p>
        </w:tc>
      </w:tr>
      <w:tr w:rsidR="001C19F3" w14:paraId="78896E45"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E1C20E" w14:textId="77777777" w:rsidR="001C19F3" w:rsidRDefault="001C19F3" w:rsidP="00521305">
            <w:pPr>
              <w:spacing w:before="40" w:after="40"/>
              <w:ind w:left="160" w:right="100"/>
            </w:pPr>
            <w:r>
              <w:rPr>
                <w:rFonts w:eastAsia="Century Gothic" w:cs="Century Gothic"/>
                <w:color w:val="000000"/>
                <w:sz w:val="18"/>
                <w:szCs w:val="18"/>
              </w:rPr>
              <w:t>Twice</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DE5074" w14:textId="77777777" w:rsidR="001C19F3" w:rsidRDefault="001C19F3" w:rsidP="00521305">
            <w:pPr>
              <w:spacing w:before="40" w:after="40"/>
              <w:ind w:left="100" w:right="100"/>
              <w:jc w:val="center"/>
            </w:pPr>
            <w:r>
              <w:rPr>
                <w:rFonts w:eastAsia="Century Gothic" w:cs="Century Gothic"/>
                <w:color w:val="000000"/>
                <w:sz w:val="18"/>
                <w:szCs w:val="18"/>
              </w:rPr>
              <w:t>155 (7.7%)</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C142EA" w14:textId="77777777" w:rsidR="001C19F3" w:rsidRDefault="001C19F3" w:rsidP="00521305">
            <w:pPr>
              <w:spacing w:before="40" w:after="40"/>
              <w:ind w:left="100" w:right="100"/>
              <w:jc w:val="center"/>
            </w:pPr>
            <w:r>
              <w:rPr>
                <w:rFonts w:eastAsia="Century Gothic" w:cs="Century Gothic"/>
                <w:color w:val="000000"/>
                <w:sz w:val="18"/>
                <w:szCs w:val="18"/>
              </w:rPr>
              <w:t>22 (5.0%)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30F482" w14:textId="77777777" w:rsidR="001C19F3" w:rsidRDefault="001C19F3" w:rsidP="00521305">
            <w:pPr>
              <w:spacing w:before="40" w:after="40"/>
              <w:ind w:left="100" w:right="100"/>
              <w:jc w:val="center"/>
            </w:pPr>
            <w:r>
              <w:rPr>
                <w:rFonts w:eastAsia="Century Gothic" w:cs="Century Gothic"/>
                <w:color w:val="000000"/>
                <w:sz w:val="18"/>
                <w:szCs w:val="18"/>
              </w:rPr>
              <w:t>87 (8.5%)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20EF79" w14:textId="77777777" w:rsidR="001C19F3" w:rsidRDefault="001C19F3" w:rsidP="00521305">
            <w:pPr>
              <w:spacing w:before="40" w:after="40"/>
              <w:ind w:left="100" w:right="100"/>
              <w:jc w:val="center"/>
            </w:pPr>
            <w:r>
              <w:rPr>
                <w:rFonts w:eastAsia="Century Gothic" w:cs="Century Gothic"/>
                <w:color w:val="000000"/>
                <w:sz w:val="18"/>
                <w:szCs w:val="18"/>
              </w:rPr>
              <w:t>41 (8.9%)</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008FE368"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13B65E" w14:textId="77777777" w:rsidR="001C19F3" w:rsidRDefault="001C19F3" w:rsidP="00521305">
            <w:pPr>
              <w:spacing w:before="40" w:after="40"/>
              <w:ind w:left="100" w:right="100"/>
              <w:jc w:val="right"/>
            </w:pPr>
            <w:r>
              <w:rPr>
                <w:rFonts w:eastAsia="Century Gothic" w:cs="Century Gothic"/>
                <w:color w:val="000000"/>
                <w:sz w:val="18"/>
                <w:szCs w:val="18"/>
              </w:rPr>
              <w:t>99 (8.3%)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4806B9" w14:textId="77777777" w:rsidR="001C19F3" w:rsidRDefault="001C19F3" w:rsidP="00521305">
            <w:pPr>
              <w:spacing w:before="40" w:after="40"/>
              <w:ind w:left="100" w:right="100"/>
              <w:jc w:val="right"/>
            </w:pPr>
            <w:r>
              <w:rPr>
                <w:rFonts w:eastAsia="Century Gothic" w:cs="Century Gothic"/>
                <w:color w:val="000000"/>
                <w:sz w:val="18"/>
                <w:szCs w:val="18"/>
              </w:rPr>
              <w:t>56 (7.0%)</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1C36ACA1" w14:textId="77777777" w:rsidR="001C19F3" w:rsidRDefault="001C19F3" w:rsidP="00521305">
            <w:pPr>
              <w:spacing w:after="0"/>
              <w:rPr>
                <w:sz w:val="22"/>
              </w:rPr>
            </w:pPr>
          </w:p>
        </w:tc>
      </w:tr>
      <w:tr w:rsidR="001C19F3" w14:paraId="44B4E7B2"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584417" w14:textId="77777777" w:rsidR="001C19F3" w:rsidRDefault="001C19F3" w:rsidP="00521305">
            <w:pPr>
              <w:spacing w:before="40" w:after="40"/>
              <w:ind w:left="160" w:right="100"/>
            </w:pPr>
            <w:r>
              <w:rPr>
                <w:rFonts w:eastAsia="Century Gothic" w:cs="Century Gothic"/>
                <w:color w:val="000000"/>
                <w:sz w:val="18"/>
                <w:szCs w:val="18"/>
              </w:rPr>
              <w:t>3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3901B2" w14:textId="77777777" w:rsidR="001C19F3" w:rsidRDefault="001C19F3" w:rsidP="00521305">
            <w:pPr>
              <w:spacing w:before="40" w:after="40"/>
              <w:ind w:left="100" w:right="100"/>
              <w:jc w:val="center"/>
            </w:pPr>
            <w:r>
              <w:rPr>
                <w:rFonts w:eastAsia="Century Gothic" w:cs="Century Gothic"/>
                <w:color w:val="000000"/>
                <w:sz w:val="18"/>
                <w:szCs w:val="18"/>
              </w:rPr>
              <w:t>99 (4.9%)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02CD3F" w14:textId="77777777" w:rsidR="001C19F3" w:rsidRDefault="001C19F3" w:rsidP="00521305">
            <w:pPr>
              <w:spacing w:before="40" w:after="40"/>
              <w:ind w:left="100" w:right="100"/>
              <w:jc w:val="center"/>
            </w:pPr>
            <w:r>
              <w:rPr>
                <w:rFonts w:eastAsia="Century Gothic" w:cs="Century Gothic"/>
                <w:color w:val="000000"/>
                <w:sz w:val="18"/>
                <w:szCs w:val="18"/>
              </w:rPr>
              <w:t>24 (5.5%)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8E3F3" w14:textId="77777777" w:rsidR="001C19F3" w:rsidRDefault="001C19F3" w:rsidP="00521305">
            <w:pPr>
              <w:spacing w:before="40" w:after="40"/>
              <w:ind w:left="100" w:right="100"/>
              <w:jc w:val="center"/>
            </w:pPr>
            <w:r>
              <w:rPr>
                <w:rFonts w:eastAsia="Century Gothic" w:cs="Century Gothic"/>
                <w:color w:val="000000"/>
                <w:sz w:val="18"/>
                <w:szCs w:val="18"/>
              </w:rPr>
              <w:t>45 (4.4%)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D90A3" w14:textId="77777777" w:rsidR="001C19F3" w:rsidRDefault="001C19F3" w:rsidP="00521305">
            <w:pPr>
              <w:spacing w:before="40" w:after="40"/>
              <w:ind w:left="100" w:right="100"/>
              <w:jc w:val="center"/>
            </w:pPr>
            <w:r>
              <w:rPr>
                <w:rFonts w:eastAsia="Century Gothic" w:cs="Century Gothic"/>
                <w:color w:val="000000"/>
                <w:sz w:val="18"/>
                <w:szCs w:val="18"/>
              </w:rPr>
              <w:t>29 (6.3%)</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65C268E5"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3F156C" w14:textId="77777777" w:rsidR="001C19F3" w:rsidRDefault="001C19F3" w:rsidP="00521305">
            <w:pPr>
              <w:spacing w:before="40" w:after="40"/>
              <w:ind w:left="100" w:right="100"/>
              <w:jc w:val="right"/>
            </w:pPr>
            <w:r>
              <w:rPr>
                <w:rFonts w:eastAsia="Century Gothic" w:cs="Century Gothic"/>
                <w:color w:val="000000"/>
                <w:sz w:val="18"/>
                <w:szCs w:val="18"/>
              </w:rPr>
              <w:t>52 (4.4%)</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25B039" w14:textId="77777777" w:rsidR="001C19F3" w:rsidRDefault="001C19F3" w:rsidP="00521305">
            <w:pPr>
              <w:spacing w:before="40" w:after="40"/>
              <w:ind w:left="100" w:right="100"/>
              <w:jc w:val="right"/>
            </w:pPr>
            <w:r>
              <w:rPr>
                <w:rFonts w:eastAsia="Century Gothic" w:cs="Century Gothic"/>
                <w:color w:val="000000"/>
                <w:sz w:val="18"/>
                <w:szCs w:val="18"/>
              </w:rPr>
              <w:t>47 (5.9%)</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11E6220C" w14:textId="77777777" w:rsidR="001C19F3" w:rsidRDefault="001C19F3" w:rsidP="00521305">
            <w:pPr>
              <w:spacing w:after="0"/>
              <w:rPr>
                <w:sz w:val="22"/>
              </w:rPr>
            </w:pPr>
          </w:p>
        </w:tc>
      </w:tr>
      <w:tr w:rsidR="001C19F3" w14:paraId="64DBA28E"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29807D" w14:textId="77777777" w:rsidR="001C19F3" w:rsidRDefault="001C19F3" w:rsidP="00521305">
            <w:pPr>
              <w:spacing w:before="40" w:after="40"/>
              <w:ind w:left="160" w:right="100"/>
            </w:pPr>
            <w:r>
              <w:rPr>
                <w:rFonts w:eastAsia="Century Gothic" w:cs="Century Gothic"/>
                <w:color w:val="000000"/>
                <w:sz w:val="18"/>
                <w:szCs w:val="18"/>
              </w:rPr>
              <w:t>4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3319AC" w14:textId="77777777" w:rsidR="001C19F3" w:rsidRDefault="001C19F3" w:rsidP="00521305">
            <w:pPr>
              <w:spacing w:before="40" w:after="40"/>
              <w:ind w:left="100" w:right="100"/>
              <w:jc w:val="center"/>
            </w:pPr>
            <w:r>
              <w:rPr>
                <w:rFonts w:eastAsia="Century Gothic" w:cs="Century Gothic"/>
                <w:color w:val="000000"/>
                <w:sz w:val="18"/>
                <w:szCs w:val="18"/>
              </w:rPr>
              <w:t>70 (3.5%)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6CA270" w14:textId="77777777" w:rsidR="001C19F3" w:rsidRDefault="001C19F3" w:rsidP="00521305">
            <w:pPr>
              <w:spacing w:before="40" w:after="40"/>
              <w:ind w:left="100" w:right="100"/>
              <w:jc w:val="center"/>
            </w:pPr>
            <w:r>
              <w:rPr>
                <w:rFonts w:eastAsia="Century Gothic" w:cs="Century Gothic"/>
                <w:color w:val="000000"/>
                <w:sz w:val="18"/>
                <w:szCs w:val="18"/>
              </w:rPr>
              <w:t>9 (2.1%)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0A369" w14:textId="77777777" w:rsidR="001C19F3" w:rsidRDefault="001C19F3" w:rsidP="00521305">
            <w:pPr>
              <w:spacing w:before="40" w:after="40"/>
              <w:ind w:left="100" w:right="100"/>
              <w:jc w:val="center"/>
            </w:pPr>
            <w:r>
              <w:rPr>
                <w:rFonts w:eastAsia="Century Gothic" w:cs="Century Gothic"/>
                <w:color w:val="000000"/>
                <w:sz w:val="18"/>
                <w:szCs w:val="18"/>
              </w:rPr>
              <w:t>39 (3.8%)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9F5BE" w14:textId="77777777" w:rsidR="001C19F3" w:rsidRDefault="001C19F3" w:rsidP="00521305">
            <w:pPr>
              <w:spacing w:before="40" w:after="40"/>
              <w:ind w:left="100" w:right="100"/>
              <w:jc w:val="center"/>
            </w:pPr>
            <w:r>
              <w:rPr>
                <w:rFonts w:eastAsia="Century Gothic" w:cs="Century Gothic"/>
                <w:color w:val="000000"/>
                <w:sz w:val="18"/>
                <w:szCs w:val="18"/>
              </w:rPr>
              <w:t>16 (3.5%)</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7F456AF0"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246F20" w14:textId="77777777" w:rsidR="001C19F3" w:rsidRDefault="001C19F3" w:rsidP="00521305">
            <w:pPr>
              <w:spacing w:before="40" w:after="40"/>
              <w:ind w:left="100" w:right="100"/>
              <w:jc w:val="right"/>
            </w:pPr>
            <w:r>
              <w:rPr>
                <w:rFonts w:eastAsia="Century Gothic" w:cs="Century Gothic"/>
                <w:color w:val="000000"/>
                <w:sz w:val="18"/>
                <w:szCs w:val="18"/>
              </w:rPr>
              <w:t>45 (3.8%)</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C7F4DF" w14:textId="77777777" w:rsidR="001C19F3" w:rsidRDefault="001C19F3" w:rsidP="00521305">
            <w:pPr>
              <w:spacing w:before="40" w:after="40"/>
              <w:ind w:left="100" w:right="100"/>
              <w:jc w:val="right"/>
            </w:pPr>
            <w:r>
              <w:rPr>
                <w:rFonts w:eastAsia="Century Gothic" w:cs="Century Gothic"/>
                <w:color w:val="000000"/>
                <w:sz w:val="18"/>
                <w:szCs w:val="18"/>
              </w:rPr>
              <w:t>25 (3.1%)</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6F09C51B" w14:textId="77777777" w:rsidR="001C19F3" w:rsidRDefault="001C19F3" w:rsidP="00521305">
            <w:pPr>
              <w:spacing w:after="0"/>
              <w:rPr>
                <w:sz w:val="22"/>
              </w:rPr>
            </w:pPr>
          </w:p>
        </w:tc>
      </w:tr>
      <w:tr w:rsidR="001C19F3" w14:paraId="64F67A78"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F81B31" w14:textId="77777777" w:rsidR="001C19F3" w:rsidRDefault="001C19F3" w:rsidP="00521305">
            <w:pPr>
              <w:spacing w:before="40" w:after="40"/>
              <w:ind w:left="160" w:right="100"/>
            </w:pPr>
            <w:r>
              <w:rPr>
                <w:rFonts w:eastAsia="Century Gothic" w:cs="Century Gothic"/>
                <w:color w:val="000000"/>
                <w:sz w:val="18"/>
                <w:szCs w:val="18"/>
              </w:rPr>
              <w:t>5 to 9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381F70" w14:textId="77777777" w:rsidR="001C19F3" w:rsidRDefault="001C19F3" w:rsidP="00521305">
            <w:pPr>
              <w:spacing w:before="40" w:after="40"/>
              <w:ind w:left="100" w:right="100"/>
              <w:jc w:val="center"/>
            </w:pPr>
            <w:r>
              <w:rPr>
                <w:rFonts w:eastAsia="Century Gothic" w:cs="Century Gothic"/>
                <w:color w:val="000000"/>
                <w:sz w:val="18"/>
                <w:szCs w:val="18"/>
              </w:rPr>
              <w:t>128 (6.3%)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1AD019" w14:textId="77777777" w:rsidR="001C19F3" w:rsidRDefault="001C19F3" w:rsidP="00521305">
            <w:pPr>
              <w:spacing w:before="40" w:after="40"/>
              <w:ind w:left="100" w:right="100"/>
              <w:jc w:val="center"/>
            </w:pPr>
            <w:r>
              <w:rPr>
                <w:rFonts w:eastAsia="Century Gothic" w:cs="Century Gothic"/>
                <w:color w:val="000000"/>
                <w:sz w:val="18"/>
                <w:szCs w:val="18"/>
              </w:rPr>
              <w:t>18 (4.1%)</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E22B4" w14:textId="77777777" w:rsidR="001C19F3" w:rsidRDefault="001C19F3" w:rsidP="00521305">
            <w:pPr>
              <w:spacing w:before="40" w:after="40"/>
              <w:ind w:left="100" w:right="100"/>
              <w:jc w:val="center"/>
            </w:pPr>
            <w:r>
              <w:rPr>
                <w:rFonts w:eastAsia="Century Gothic" w:cs="Century Gothic"/>
                <w:color w:val="000000"/>
                <w:sz w:val="18"/>
                <w:szCs w:val="18"/>
              </w:rPr>
              <w:t>60 (5.9%)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762223" w14:textId="77777777" w:rsidR="001C19F3" w:rsidRDefault="001C19F3" w:rsidP="00521305">
            <w:pPr>
              <w:spacing w:before="40" w:after="40"/>
              <w:ind w:left="100" w:right="100"/>
              <w:jc w:val="center"/>
            </w:pPr>
            <w:r>
              <w:rPr>
                <w:rFonts w:eastAsia="Century Gothic" w:cs="Century Gothic"/>
                <w:color w:val="000000"/>
                <w:sz w:val="18"/>
                <w:szCs w:val="18"/>
              </w:rPr>
              <w:t>45 (9.7%)</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5208953F"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26762" w14:textId="77777777" w:rsidR="001C19F3" w:rsidRDefault="001C19F3" w:rsidP="00521305">
            <w:pPr>
              <w:spacing w:before="40" w:after="40"/>
              <w:ind w:left="100" w:right="100"/>
              <w:jc w:val="right"/>
            </w:pPr>
            <w:r>
              <w:rPr>
                <w:rFonts w:eastAsia="Century Gothic" w:cs="Century Gothic"/>
                <w:color w:val="000000"/>
                <w:sz w:val="18"/>
                <w:szCs w:val="18"/>
              </w:rPr>
              <w:t>74 (6.2%)</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4D7BF" w14:textId="77777777" w:rsidR="001C19F3" w:rsidRDefault="001C19F3" w:rsidP="00521305">
            <w:pPr>
              <w:spacing w:before="40" w:after="40"/>
              <w:ind w:left="100" w:right="100"/>
              <w:jc w:val="right"/>
            </w:pPr>
            <w:r>
              <w:rPr>
                <w:rFonts w:eastAsia="Century Gothic" w:cs="Century Gothic"/>
                <w:color w:val="000000"/>
                <w:sz w:val="18"/>
                <w:szCs w:val="18"/>
              </w:rPr>
              <w:t>54 (6.7%)</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13E57642" w14:textId="77777777" w:rsidR="001C19F3" w:rsidRDefault="001C19F3" w:rsidP="00521305">
            <w:pPr>
              <w:spacing w:after="0"/>
              <w:rPr>
                <w:sz w:val="22"/>
              </w:rPr>
            </w:pPr>
          </w:p>
        </w:tc>
      </w:tr>
      <w:tr w:rsidR="001C19F3" w14:paraId="2199DC2B"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C54C25" w14:textId="77777777" w:rsidR="001C19F3" w:rsidRDefault="001C19F3" w:rsidP="00521305">
            <w:pPr>
              <w:spacing w:before="40" w:after="40"/>
              <w:ind w:left="160" w:right="100"/>
            </w:pPr>
            <w:r>
              <w:rPr>
                <w:rFonts w:eastAsia="Century Gothic" w:cs="Century Gothic"/>
                <w:color w:val="000000"/>
                <w:sz w:val="18"/>
                <w:szCs w:val="18"/>
              </w:rPr>
              <w:t>10 or more times</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071FA0" w14:textId="77777777" w:rsidR="001C19F3" w:rsidRDefault="001C19F3" w:rsidP="00521305">
            <w:pPr>
              <w:spacing w:before="40" w:after="40"/>
              <w:ind w:left="100" w:right="100"/>
              <w:jc w:val="center"/>
            </w:pPr>
            <w:r>
              <w:rPr>
                <w:rFonts w:eastAsia="Century Gothic" w:cs="Century Gothic"/>
                <w:color w:val="000000"/>
                <w:sz w:val="18"/>
                <w:szCs w:val="18"/>
              </w:rPr>
              <w:t>78 (3.9%)</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552473" w14:textId="77777777" w:rsidR="001C19F3" w:rsidRDefault="001C19F3" w:rsidP="00521305">
            <w:pPr>
              <w:spacing w:before="40" w:after="40"/>
              <w:ind w:left="100" w:right="100"/>
              <w:jc w:val="center"/>
            </w:pPr>
            <w:r>
              <w:rPr>
                <w:rFonts w:eastAsia="Century Gothic" w:cs="Century Gothic"/>
                <w:color w:val="000000"/>
                <w:sz w:val="18"/>
                <w:szCs w:val="18"/>
              </w:rPr>
              <w:t>13 (3.0%)</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643C20" w14:textId="77777777" w:rsidR="001C19F3" w:rsidRDefault="001C19F3" w:rsidP="00521305">
            <w:pPr>
              <w:spacing w:before="40" w:after="40"/>
              <w:ind w:left="100" w:right="100"/>
              <w:jc w:val="center"/>
            </w:pPr>
            <w:r>
              <w:rPr>
                <w:rFonts w:eastAsia="Century Gothic" w:cs="Century Gothic"/>
                <w:color w:val="000000"/>
                <w:sz w:val="18"/>
                <w:szCs w:val="18"/>
              </w:rPr>
              <w:t>27 (2.6%)</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636448" w14:textId="77777777" w:rsidR="001C19F3" w:rsidRDefault="001C19F3" w:rsidP="00521305">
            <w:pPr>
              <w:spacing w:before="40" w:after="40"/>
              <w:ind w:left="100" w:right="100"/>
              <w:jc w:val="center"/>
            </w:pPr>
            <w:r>
              <w:rPr>
                <w:rFonts w:eastAsia="Century Gothic" w:cs="Century Gothic"/>
                <w:color w:val="000000"/>
                <w:sz w:val="18"/>
                <w:szCs w:val="18"/>
              </w:rPr>
              <w:t>34 (7.4%)</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730ACAA9" w14:textId="77777777" w:rsidR="001C19F3" w:rsidRDefault="001C19F3" w:rsidP="00521305">
            <w:pPr>
              <w:spacing w:after="0"/>
              <w:rPr>
                <w:sz w:val="22"/>
              </w:rP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0DB18E" w14:textId="77777777" w:rsidR="001C19F3" w:rsidRDefault="001C19F3" w:rsidP="00521305">
            <w:pPr>
              <w:spacing w:before="40" w:after="40"/>
              <w:ind w:left="100" w:right="100"/>
              <w:jc w:val="right"/>
            </w:pPr>
            <w:r>
              <w:rPr>
                <w:rFonts w:eastAsia="Century Gothic" w:cs="Century Gothic"/>
                <w:color w:val="000000"/>
                <w:sz w:val="18"/>
                <w:szCs w:val="18"/>
              </w:rPr>
              <w:t>41 (3.5%)</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614750" w14:textId="77777777" w:rsidR="001C19F3" w:rsidRDefault="001C19F3" w:rsidP="00521305">
            <w:pPr>
              <w:spacing w:before="40" w:after="40"/>
              <w:ind w:left="100" w:right="100"/>
              <w:jc w:val="right"/>
            </w:pPr>
            <w:r>
              <w:rPr>
                <w:rFonts w:eastAsia="Century Gothic" w:cs="Century Gothic"/>
                <w:color w:val="000000"/>
                <w:sz w:val="18"/>
                <w:szCs w:val="18"/>
              </w:rPr>
              <w:t>37 (4.6%)</w:t>
            </w:r>
          </w:p>
        </w:tc>
        <w:tc>
          <w:tcPr>
            <w:tcW w:w="477" w:type="pct"/>
            <w:vMerge/>
            <w:tcBorders>
              <w:top w:val="single" w:sz="8" w:space="0" w:color="BFBFBF"/>
              <w:left w:val="single" w:sz="8" w:space="0" w:color="BFBFBF"/>
              <w:bottom w:val="single" w:sz="8" w:space="0" w:color="BFBFBF"/>
              <w:right w:val="single" w:sz="8" w:space="0" w:color="BFBFBF"/>
            </w:tcBorders>
            <w:vAlign w:val="center"/>
            <w:hideMark/>
          </w:tcPr>
          <w:p w14:paraId="36F9A0C8" w14:textId="77777777" w:rsidR="001C19F3" w:rsidRDefault="001C19F3" w:rsidP="00521305">
            <w:pPr>
              <w:spacing w:after="0"/>
              <w:rPr>
                <w:sz w:val="22"/>
              </w:rPr>
            </w:pPr>
          </w:p>
        </w:tc>
      </w:tr>
      <w:tr w:rsidR="001C19F3" w14:paraId="452585E1" w14:textId="77777777" w:rsidTr="00521305">
        <w:trPr>
          <w:cantSplit/>
          <w:trHeight w:val="288"/>
          <w:jc w:val="center"/>
        </w:trPr>
        <w:tc>
          <w:tcPr>
            <w:tcW w:w="119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A02A59" w14:textId="77777777" w:rsidR="001C19F3" w:rsidRDefault="001C19F3" w:rsidP="00521305">
            <w:pPr>
              <w:spacing w:before="40" w:after="40"/>
              <w:ind w:left="160" w:right="100"/>
            </w:pPr>
            <w:r>
              <w:rPr>
                <w:rFonts w:eastAsia="Century Gothic" w:cs="Century Gothic"/>
                <w:color w:val="000000"/>
                <w:sz w:val="18"/>
                <w:szCs w:val="18"/>
              </w:rPr>
              <w:t>Don't know</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85722B" w14:textId="77777777" w:rsidR="001C19F3" w:rsidRDefault="001C19F3" w:rsidP="00521305">
            <w:pPr>
              <w:spacing w:before="40" w:after="40"/>
              <w:ind w:left="100" w:right="100"/>
              <w:jc w:val="center"/>
            </w:pPr>
            <w:r>
              <w:rPr>
                <w:rFonts w:eastAsia="Century Gothic" w:cs="Century Gothic"/>
                <w:color w:val="000000"/>
                <w:sz w:val="18"/>
                <w:szCs w:val="18"/>
              </w:rPr>
              <w:t>27 (1.3%)</w:t>
            </w: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79D3A8"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B9AD6C"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3ED675" w14:textId="77777777" w:rsidR="001C19F3" w:rsidRDefault="001C19F3" w:rsidP="00521305">
            <w:pPr>
              <w:spacing w:before="40" w:after="40"/>
              <w:ind w:left="100" w:right="100"/>
              <w:jc w:val="center"/>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B6389E" w14:textId="77777777" w:rsidR="001C19F3" w:rsidRDefault="001C19F3" w:rsidP="00521305">
            <w:pPr>
              <w:spacing w:before="40" w:after="40"/>
              <w:ind w:left="100" w:right="100"/>
              <w:jc w:val="center"/>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A6F7BD" w14:textId="77777777" w:rsidR="001C19F3" w:rsidRDefault="001C19F3" w:rsidP="00521305">
            <w:pPr>
              <w:spacing w:before="40" w:after="40"/>
              <w:ind w:left="100" w:right="100"/>
              <w:jc w:val="right"/>
            </w:pPr>
          </w:p>
        </w:tc>
        <w:tc>
          <w:tcPr>
            <w:tcW w:w="47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7AEEB1" w14:textId="77777777" w:rsidR="001C19F3" w:rsidRDefault="001C19F3" w:rsidP="00521305">
            <w:pPr>
              <w:spacing w:before="40" w:after="40"/>
              <w:ind w:left="100" w:right="100"/>
              <w:jc w:val="right"/>
            </w:pPr>
          </w:p>
        </w:tc>
        <w:tc>
          <w:tcPr>
            <w:tcW w:w="4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23DEC1" w14:textId="77777777" w:rsidR="001C19F3" w:rsidRDefault="001C19F3" w:rsidP="00521305">
            <w:pPr>
              <w:spacing w:before="40" w:after="40"/>
              <w:ind w:left="100" w:right="100"/>
              <w:jc w:val="right"/>
            </w:pPr>
          </w:p>
        </w:tc>
      </w:tr>
    </w:tbl>
    <w:p w14:paraId="4B8DD491" w14:textId="77777777" w:rsidR="001C19F3" w:rsidRPr="009A45A0" w:rsidRDefault="001C19F3" w:rsidP="001C19F3">
      <w:pPr>
        <w:pStyle w:val="Chartortablefootnote"/>
      </w:pPr>
      <w:r>
        <w:t>Source: CATI surveys conducted by The Social Research Centre between December 2017 and March 2019.</w:t>
      </w:r>
    </w:p>
    <w:p w14:paraId="1B2091A0" w14:textId="77777777" w:rsidR="001C19F3" w:rsidRDefault="001C19F3" w:rsidP="001C19F3">
      <w:pPr>
        <w:pStyle w:val="Caption1"/>
      </w:pPr>
      <w:r>
        <w:t xml:space="preserve">Table </w:t>
      </w:r>
      <w:r>
        <w:fldChar w:fldCharType="begin"/>
      </w:r>
      <w:r>
        <w:instrText>SEQ Table \* ARABIC</w:instrText>
      </w:r>
      <w:r>
        <w:fldChar w:fldCharType="separate"/>
      </w:r>
      <w:r>
        <w:rPr>
          <w:noProof/>
        </w:rPr>
        <w:t>63</w:t>
      </w:r>
      <w:r>
        <w:fldChar w:fldCharType="end"/>
      </w:r>
      <w:r>
        <w:t xml:space="preserve"> – Access measures by patient HCH tier and practice size</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13820BD1" w14:textId="77777777" w:rsidTr="00521305">
        <w:trPr>
          <w:cantSplit/>
          <w:trHeight w:val="298"/>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B7F5D86" w14:textId="77777777" w:rsidR="001C19F3" w:rsidRDefault="001C19F3" w:rsidP="00521305">
            <w:pPr>
              <w:spacing w:after="0"/>
              <w:jc w:val="center"/>
            </w:pPr>
            <w:r>
              <w:rPr>
                <w:rFonts w:eastAsia="Century Gothic" w:cs="Century Gothic"/>
                <w:b/>
                <w:color w:val="FFFFFF"/>
                <w:sz w:val="18"/>
                <w:szCs w:val="18"/>
              </w:rPr>
              <w:t>Access</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033B292"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A568387"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4008884" w14:textId="77777777" w:rsidR="001C19F3" w:rsidRDefault="001C19F3" w:rsidP="00521305">
            <w:pPr>
              <w:spacing w:after="0"/>
              <w:jc w:val="center"/>
            </w:pPr>
            <w:r>
              <w:rPr>
                <w:rFonts w:eastAsia="Century Gothic" w:cs="Century Gothic"/>
                <w:b/>
                <w:color w:val="FFFFFF"/>
                <w:sz w:val="18"/>
                <w:szCs w:val="18"/>
              </w:rPr>
              <w:t>Size</w:t>
            </w:r>
          </w:p>
        </w:tc>
      </w:tr>
      <w:tr w:rsidR="001C19F3" w14:paraId="5C376356" w14:textId="77777777" w:rsidTr="00521305">
        <w:trPr>
          <w:cantSplit/>
          <w:trHeight w:val="336"/>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7F0C1EEC"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F0B475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BB7A0A"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45B164" w14:textId="77777777" w:rsidR="001C19F3" w:rsidRDefault="001C19F3" w:rsidP="00521305">
            <w:pPr>
              <w:spacing w:after="0"/>
              <w:jc w:val="center"/>
            </w:pPr>
            <w:r>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1B3286A" w14:textId="77777777" w:rsidR="001C19F3" w:rsidRDefault="001C19F3" w:rsidP="00521305">
            <w:pPr>
              <w:spacing w:after="0"/>
              <w:jc w:val="center"/>
            </w:pPr>
            <w:r>
              <w:rPr>
                <w:rFonts w:eastAsia="Century Gothic" w:cs="Century Gothic"/>
                <w:b/>
                <w:color w:val="FFFFFF"/>
                <w:sz w:val="18"/>
                <w:szCs w:val="18"/>
              </w:rPr>
              <w:t>Tier 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22313E"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7C7DCFB"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97571A1"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99535A2"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728C077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EAD220" w14:textId="77777777" w:rsidR="001C19F3" w:rsidRDefault="001C19F3" w:rsidP="00521305">
            <w:pPr>
              <w:spacing w:before="40" w:after="40"/>
              <w:ind w:left="100" w:right="100"/>
            </w:pPr>
            <w:r>
              <w:rPr>
                <w:rFonts w:eastAsia="Century Gothic" w:cs="Century Gothic"/>
                <w:b/>
                <w:color w:val="000000"/>
                <w:sz w:val="18"/>
                <w:szCs w:val="18"/>
              </w:rPr>
              <w:t>C1 Over the last 6 months, that patient contacted the HCH to get an appointment for an illness, injury, or condition that needed care right away (Q14)</w:t>
            </w:r>
          </w:p>
        </w:tc>
      </w:tr>
      <w:tr w:rsidR="001C19F3" w14:paraId="3D1AE2A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065086"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4BC978" w14:textId="77777777" w:rsidR="001C19F3" w:rsidRDefault="001C19F3" w:rsidP="00521305">
            <w:pPr>
              <w:spacing w:before="40" w:after="40"/>
              <w:ind w:left="100" w:right="100"/>
              <w:jc w:val="center"/>
            </w:pPr>
            <w:r>
              <w:rPr>
                <w:rFonts w:eastAsia="Century Gothic" w:cs="Century Gothic"/>
                <w:color w:val="000000"/>
                <w:sz w:val="18"/>
                <w:szCs w:val="18"/>
              </w:rPr>
              <w:t>973 (48.2%)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7CE18D" w14:textId="77777777" w:rsidR="001C19F3" w:rsidRDefault="001C19F3" w:rsidP="00521305">
            <w:pPr>
              <w:spacing w:before="40" w:after="40"/>
              <w:ind w:left="100" w:right="100"/>
              <w:jc w:val="center"/>
            </w:pPr>
            <w:r>
              <w:rPr>
                <w:rFonts w:eastAsia="Century Gothic" w:cs="Century Gothic"/>
                <w:color w:val="000000"/>
                <w:sz w:val="18"/>
                <w:szCs w:val="18"/>
              </w:rPr>
              <w:t>184 (42.1%)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E5C52C" w14:textId="77777777" w:rsidR="001C19F3" w:rsidRDefault="001C19F3" w:rsidP="00521305">
            <w:pPr>
              <w:spacing w:before="40" w:after="40"/>
              <w:ind w:left="100" w:right="100"/>
              <w:jc w:val="center"/>
            </w:pPr>
            <w:r>
              <w:rPr>
                <w:rFonts w:eastAsia="Century Gothic" w:cs="Century Gothic"/>
                <w:color w:val="000000"/>
                <w:sz w:val="18"/>
                <w:szCs w:val="18"/>
              </w:rPr>
              <w:t>496 (48.5%)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A1901" w14:textId="77777777" w:rsidR="001C19F3" w:rsidRDefault="001C19F3" w:rsidP="00521305">
            <w:pPr>
              <w:spacing w:before="40" w:after="40"/>
              <w:ind w:left="100" w:right="100"/>
              <w:jc w:val="center"/>
            </w:pPr>
            <w:r>
              <w:rPr>
                <w:rFonts w:eastAsia="Century Gothic" w:cs="Century Gothic"/>
                <w:color w:val="000000"/>
                <w:sz w:val="18"/>
                <w:szCs w:val="18"/>
              </w:rPr>
              <w:t>257 (55.0%)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2E040C"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5DFB2D" w14:textId="77777777" w:rsidR="001C19F3" w:rsidRDefault="001C19F3" w:rsidP="00521305">
            <w:pPr>
              <w:spacing w:before="40" w:after="40"/>
              <w:ind w:left="100" w:right="100"/>
              <w:jc w:val="right"/>
            </w:pPr>
            <w:r>
              <w:rPr>
                <w:rFonts w:eastAsia="Century Gothic" w:cs="Century Gothic"/>
                <w:color w:val="000000"/>
                <w:sz w:val="18"/>
                <w:szCs w:val="18"/>
              </w:rPr>
              <w:t>571 (47.9%)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79DDBE" w14:textId="77777777" w:rsidR="001C19F3" w:rsidRDefault="001C19F3" w:rsidP="00521305">
            <w:pPr>
              <w:spacing w:before="40" w:after="40"/>
              <w:ind w:left="100" w:right="100"/>
              <w:jc w:val="right"/>
            </w:pPr>
            <w:r>
              <w:rPr>
                <w:rFonts w:eastAsia="Century Gothic" w:cs="Century Gothic"/>
                <w:color w:val="000000"/>
                <w:sz w:val="18"/>
                <w:szCs w:val="18"/>
              </w:rPr>
              <w:t>402 (50.1%)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3C872E" w14:textId="77777777" w:rsidR="001C19F3" w:rsidRDefault="001C19F3" w:rsidP="00521305">
            <w:pPr>
              <w:spacing w:before="40" w:after="40"/>
              <w:ind w:left="100" w:right="100"/>
              <w:jc w:val="right"/>
            </w:pPr>
            <w:r>
              <w:rPr>
                <w:rFonts w:eastAsia="Century Gothic" w:cs="Century Gothic"/>
                <w:color w:val="000000"/>
                <w:sz w:val="18"/>
                <w:szCs w:val="18"/>
              </w:rPr>
              <w:t>0.368</w:t>
            </w:r>
          </w:p>
        </w:tc>
      </w:tr>
      <w:tr w:rsidR="001C19F3" w14:paraId="1649F8E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5EC92"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176F5" w14:textId="77777777" w:rsidR="001C19F3" w:rsidRDefault="001C19F3" w:rsidP="00521305">
            <w:pPr>
              <w:spacing w:before="40" w:after="40"/>
              <w:ind w:left="100" w:right="100"/>
              <w:jc w:val="center"/>
            </w:pPr>
            <w:r>
              <w:rPr>
                <w:rFonts w:eastAsia="Century Gothic" w:cs="Century Gothic"/>
                <w:color w:val="000000"/>
                <w:sz w:val="18"/>
                <w:szCs w:val="18"/>
              </w:rPr>
              <w:t>1,022 (50.6%)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3D4749" w14:textId="77777777" w:rsidR="001C19F3" w:rsidRDefault="001C19F3" w:rsidP="00521305">
            <w:pPr>
              <w:spacing w:before="40" w:after="40"/>
              <w:ind w:left="100" w:right="100"/>
              <w:jc w:val="center"/>
            </w:pPr>
            <w:r>
              <w:rPr>
                <w:rFonts w:eastAsia="Century Gothic" w:cs="Century Gothic"/>
                <w:color w:val="000000"/>
                <w:sz w:val="18"/>
                <w:szCs w:val="18"/>
              </w:rPr>
              <w:t>253 (57.9%)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E46A6D" w14:textId="77777777" w:rsidR="001C19F3" w:rsidRDefault="001C19F3" w:rsidP="00521305">
            <w:pPr>
              <w:spacing w:before="40" w:after="40"/>
              <w:ind w:left="100" w:right="100"/>
              <w:jc w:val="center"/>
            </w:pPr>
            <w:r>
              <w:rPr>
                <w:rFonts w:eastAsia="Century Gothic" w:cs="Century Gothic"/>
                <w:color w:val="000000"/>
                <w:sz w:val="18"/>
                <w:szCs w:val="18"/>
              </w:rPr>
              <w:t>527 (51.5%)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D3A633" w14:textId="77777777" w:rsidR="001C19F3" w:rsidRDefault="001C19F3" w:rsidP="00521305">
            <w:pPr>
              <w:spacing w:before="40" w:after="40"/>
              <w:ind w:left="100" w:right="100"/>
              <w:jc w:val="center"/>
            </w:pPr>
            <w:r>
              <w:rPr>
                <w:rFonts w:eastAsia="Century Gothic" w:cs="Century Gothic"/>
                <w:color w:val="000000"/>
                <w:sz w:val="18"/>
                <w:szCs w:val="18"/>
              </w:rPr>
              <w:t>210 (45.0%)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99BC64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11BE5C" w14:textId="77777777" w:rsidR="001C19F3" w:rsidRDefault="001C19F3" w:rsidP="00521305">
            <w:pPr>
              <w:spacing w:before="40" w:after="40"/>
              <w:ind w:left="100" w:right="100"/>
              <w:jc w:val="right"/>
            </w:pPr>
            <w:r>
              <w:rPr>
                <w:rFonts w:eastAsia="Century Gothic" w:cs="Century Gothic"/>
                <w:color w:val="000000"/>
                <w:sz w:val="18"/>
                <w:szCs w:val="18"/>
              </w:rPr>
              <w:t>621 (52.1%)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C0B298" w14:textId="77777777" w:rsidR="001C19F3" w:rsidRDefault="001C19F3" w:rsidP="00521305">
            <w:pPr>
              <w:spacing w:before="40" w:after="40"/>
              <w:ind w:left="100" w:right="100"/>
              <w:jc w:val="right"/>
            </w:pPr>
            <w:r>
              <w:rPr>
                <w:rFonts w:eastAsia="Century Gothic" w:cs="Century Gothic"/>
                <w:color w:val="000000"/>
                <w:sz w:val="18"/>
                <w:szCs w:val="18"/>
              </w:rPr>
              <w:t>401 (49.9%)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A9020DF" w14:textId="77777777" w:rsidR="001C19F3" w:rsidRDefault="001C19F3" w:rsidP="00521305">
            <w:pPr>
              <w:spacing w:after="0"/>
              <w:rPr>
                <w:sz w:val="22"/>
              </w:rPr>
            </w:pPr>
          </w:p>
        </w:tc>
      </w:tr>
      <w:tr w:rsidR="001C19F3" w14:paraId="76EC42D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DFAE3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B08BC" w14:textId="77777777" w:rsidR="001C19F3" w:rsidRDefault="001C19F3" w:rsidP="00521305">
            <w:pPr>
              <w:spacing w:before="40" w:after="40"/>
              <w:ind w:left="100" w:right="100"/>
              <w:jc w:val="center"/>
            </w:pPr>
            <w:r>
              <w:rPr>
                <w:rFonts w:eastAsia="Century Gothic" w:cs="Century Gothic"/>
                <w:color w:val="000000"/>
                <w:sz w:val="18"/>
                <w:szCs w:val="18"/>
              </w:rPr>
              <w:t>23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FAFA3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5D519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0EF5C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F6AB1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0E007F"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35E70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EB9CD3" w14:textId="77777777" w:rsidR="001C19F3" w:rsidRDefault="001C19F3" w:rsidP="00521305">
            <w:pPr>
              <w:spacing w:before="40" w:after="40"/>
              <w:ind w:left="100" w:right="100"/>
              <w:jc w:val="right"/>
            </w:pPr>
          </w:p>
        </w:tc>
      </w:tr>
      <w:tr w:rsidR="001C19F3" w14:paraId="3195BF9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CCF311" w14:textId="77777777" w:rsidR="001C19F3" w:rsidRDefault="001C19F3" w:rsidP="00521305">
            <w:pPr>
              <w:spacing w:before="40" w:after="40"/>
              <w:ind w:left="100" w:right="100"/>
            </w:pPr>
            <w:r>
              <w:rPr>
                <w:rFonts w:eastAsia="Century Gothic" w:cs="Century Gothic"/>
                <w:b/>
                <w:color w:val="000000"/>
                <w:sz w:val="18"/>
                <w:szCs w:val="18"/>
              </w:rPr>
              <w:t>C2 When requesting an appointment for care needed right away, how often the patient get an appointment as soon as required (Q15)</w:t>
            </w:r>
          </w:p>
        </w:tc>
      </w:tr>
      <w:tr w:rsidR="001C19F3" w14:paraId="47F5E0F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E4240D"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47EDE6" w14:textId="77777777" w:rsidR="001C19F3" w:rsidRDefault="001C19F3" w:rsidP="00521305">
            <w:pPr>
              <w:spacing w:before="40" w:after="40"/>
              <w:ind w:left="100" w:right="100"/>
              <w:jc w:val="center"/>
            </w:pPr>
            <w:r>
              <w:rPr>
                <w:rFonts w:eastAsia="Century Gothic" w:cs="Century Gothic"/>
                <w:color w:val="000000"/>
                <w:sz w:val="18"/>
                <w:szCs w:val="18"/>
              </w:rPr>
              <w:t>19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7E6EF7" w14:textId="77777777" w:rsidR="001C19F3" w:rsidRDefault="001C19F3" w:rsidP="00521305">
            <w:pPr>
              <w:spacing w:before="40" w:after="40"/>
              <w:ind w:left="100" w:right="100"/>
              <w:jc w:val="center"/>
            </w:pPr>
            <w:r>
              <w:rPr>
                <w:rFonts w:eastAsia="Century Gothic" w:cs="Century Gothic"/>
                <w:color w:val="000000"/>
                <w:sz w:val="18"/>
                <w:szCs w:val="18"/>
              </w:rPr>
              <w:t>4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73CE79" w14:textId="77777777" w:rsidR="001C19F3" w:rsidRDefault="001C19F3" w:rsidP="00521305">
            <w:pPr>
              <w:spacing w:before="40" w:after="40"/>
              <w:ind w:left="100" w:right="100"/>
              <w:jc w:val="center"/>
            </w:pPr>
            <w:r>
              <w:rPr>
                <w:rFonts w:eastAsia="Century Gothic" w:cs="Century Gothic"/>
                <w:color w:val="000000"/>
                <w:sz w:val="18"/>
                <w:szCs w:val="18"/>
              </w:rPr>
              <w:t>10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C4E281" w14:textId="77777777" w:rsidR="001C19F3" w:rsidRDefault="001C19F3" w:rsidP="00521305">
            <w:pPr>
              <w:spacing w:before="40" w:after="40"/>
              <w:ind w:left="100" w:right="100"/>
              <w:jc w:val="center"/>
            </w:pPr>
            <w:r>
              <w:rPr>
                <w:rFonts w:eastAsia="Century Gothic" w:cs="Century Gothic"/>
                <w:color w:val="000000"/>
                <w:sz w:val="18"/>
                <w:szCs w:val="18"/>
              </w:rPr>
              <w:t>4 (1.6%)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3253F0" w14:textId="77777777" w:rsidR="001C19F3" w:rsidRDefault="001C19F3" w:rsidP="00521305">
            <w:pPr>
              <w:spacing w:before="40" w:after="40"/>
              <w:ind w:left="100" w:right="100"/>
              <w:jc w:val="center"/>
            </w:pPr>
            <w:r>
              <w:rPr>
                <w:rFonts w:eastAsia="Century Gothic" w:cs="Century Gothic"/>
                <w:color w:val="000000"/>
                <w:sz w:val="18"/>
                <w:szCs w:val="18"/>
              </w:rPr>
              <w:t>0.512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B1FBC" w14:textId="77777777" w:rsidR="001C19F3" w:rsidRDefault="001C19F3" w:rsidP="00521305">
            <w:pPr>
              <w:spacing w:before="40" w:after="40"/>
              <w:ind w:left="100" w:right="100"/>
              <w:jc w:val="right"/>
            </w:pPr>
            <w:r>
              <w:rPr>
                <w:rFonts w:eastAsia="Century Gothic" w:cs="Century Gothic"/>
                <w:color w:val="000000"/>
                <w:sz w:val="18"/>
                <w:szCs w:val="18"/>
              </w:rPr>
              <w:t>13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8D71C0" w14:textId="77777777" w:rsidR="001C19F3" w:rsidRDefault="001C19F3" w:rsidP="00521305">
            <w:pPr>
              <w:spacing w:before="40" w:after="40"/>
              <w:ind w:left="100" w:right="100"/>
              <w:jc w:val="right"/>
            </w:pPr>
            <w:r>
              <w:rPr>
                <w:rFonts w:eastAsia="Century Gothic" w:cs="Century Gothic"/>
                <w:color w:val="000000"/>
                <w:sz w:val="18"/>
                <w:szCs w:val="18"/>
              </w:rPr>
              <w:t>6 (1.5%)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518F5F" w14:textId="77777777" w:rsidR="001C19F3" w:rsidRDefault="001C19F3" w:rsidP="00521305">
            <w:pPr>
              <w:spacing w:before="40" w:after="40"/>
              <w:ind w:left="100" w:right="100"/>
              <w:jc w:val="right"/>
            </w:pPr>
            <w:r>
              <w:rPr>
                <w:rFonts w:eastAsia="Century Gothic" w:cs="Century Gothic"/>
                <w:color w:val="000000"/>
                <w:sz w:val="18"/>
                <w:szCs w:val="18"/>
              </w:rPr>
              <w:t>0.074</w:t>
            </w:r>
          </w:p>
        </w:tc>
      </w:tr>
      <w:tr w:rsidR="001C19F3" w14:paraId="4C59C8D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C43913"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CE6379" w14:textId="77777777" w:rsidR="001C19F3" w:rsidRDefault="001C19F3" w:rsidP="00521305">
            <w:pPr>
              <w:spacing w:before="40" w:after="40"/>
              <w:ind w:left="100" w:right="100"/>
              <w:jc w:val="center"/>
            </w:pPr>
            <w:r>
              <w:rPr>
                <w:rFonts w:eastAsia="Century Gothic" w:cs="Century Gothic"/>
                <w:color w:val="000000"/>
                <w:sz w:val="18"/>
                <w:szCs w:val="18"/>
              </w:rPr>
              <w:t>37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CADD10" w14:textId="77777777" w:rsidR="001C19F3" w:rsidRDefault="001C19F3" w:rsidP="00521305">
            <w:pPr>
              <w:spacing w:before="40" w:after="40"/>
              <w:ind w:left="100" w:right="100"/>
              <w:jc w:val="center"/>
            </w:pPr>
            <w:r>
              <w:rPr>
                <w:rFonts w:eastAsia="Century Gothic" w:cs="Century Gothic"/>
                <w:color w:val="000000"/>
                <w:sz w:val="18"/>
                <w:szCs w:val="18"/>
              </w:rPr>
              <w:t>5 (2.8%)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8FB349" w14:textId="77777777" w:rsidR="001C19F3" w:rsidRDefault="001C19F3" w:rsidP="00521305">
            <w:pPr>
              <w:spacing w:before="40" w:after="40"/>
              <w:ind w:left="100" w:right="100"/>
              <w:jc w:val="center"/>
            </w:pPr>
            <w:r>
              <w:rPr>
                <w:rFonts w:eastAsia="Century Gothic" w:cs="Century Gothic"/>
                <w:color w:val="000000"/>
                <w:sz w:val="18"/>
                <w:szCs w:val="18"/>
              </w:rPr>
              <w:t>21 (4.3%)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DDD6C0" w14:textId="77777777" w:rsidR="001C19F3" w:rsidRDefault="001C19F3" w:rsidP="00521305">
            <w:pPr>
              <w:spacing w:before="40" w:after="40"/>
              <w:ind w:left="100" w:right="100"/>
              <w:jc w:val="center"/>
            </w:pPr>
            <w:r>
              <w:rPr>
                <w:rFonts w:eastAsia="Century Gothic" w:cs="Century Gothic"/>
                <w:color w:val="000000"/>
                <w:sz w:val="18"/>
                <w:szCs w:val="18"/>
              </w:rPr>
              <w:t>10 (4.0%)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9847EC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00A263" w14:textId="77777777" w:rsidR="001C19F3" w:rsidRDefault="001C19F3" w:rsidP="00521305">
            <w:pPr>
              <w:spacing w:before="40" w:after="40"/>
              <w:ind w:left="100" w:right="100"/>
              <w:jc w:val="right"/>
            </w:pPr>
            <w:r>
              <w:rPr>
                <w:rFonts w:eastAsia="Century Gothic" w:cs="Century Gothic"/>
                <w:color w:val="000000"/>
                <w:sz w:val="18"/>
                <w:szCs w:val="18"/>
              </w:rPr>
              <w:t>25 (4.5%)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6280BD" w14:textId="77777777" w:rsidR="001C19F3" w:rsidRDefault="001C19F3" w:rsidP="00521305">
            <w:pPr>
              <w:spacing w:before="40" w:after="40"/>
              <w:ind w:left="100" w:right="100"/>
              <w:jc w:val="right"/>
            </w:pPr>
            <w:r>
              <w:rPr>
                <w:rFonts w:eastAsia="Century Gothic" w:cs="Century Gothic"/>
                <w:color w:val="000000"/>
                <w:sz w:val="18"/>
                <w:szCs w:val="18"/>
              </w:rPr>
              <w:t>12 (3.0%)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7F1A528" w14:textId="77777777" w:rsidR="001C19F3" w:rsidRDefault="001C19F3" w:rsidP="00521305">
            <w:pPr>
              <w:spacing w:after="0"/>
              <w:rPr>
                <w:sz w:val="22"/>
              </w:rPr>
            </w:pPr>
          </w:p>
        </w:tc>
      </w:tr>
      <w:tr w:rsidR="001C19F3" w14:paraId="5535412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7AF417" w14:textId="77777777" w:rsidR="001C19F3" w:rsidRDefault="001C19F3" w:rsidP="00521305">
            <w:pPr>
              <w:spacing w:before="40" w:after="40"/>
              <w:ind w:left="160" w:right="100"/>
            </w:pPr>
            <w:r>
              <w:rPr>
                <w:rFonts w:eastAsia="Century Gothic" w:cs="Century Gothic"/>
                <w:color w:val="000000"/>
                <w:sz w:val="18"/>
                <w:szCs w:val="18"/>
              </w:rPr>
              <w:lastRenderedPageBreak/>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2E63B" w14:textId="77777777" w:rsidR="001C19F3" w:rsidRDefault="001C19F3" w:rsidP="00521305">
            <w:pPr>
              <w:spacing w:before="40" w:after="40"/>
              <w:ind w:left="100" w:right="100"/>
              <w:jc w:val="center"/>
            </w:pPr>
            <w:r>
              <w:rPr>
                <w:rFonts w:eastAsia="Century Gothic" w:cs="Century Gothic"/>
                <w:color w:val="000000"/>
                <w:sz w:val="18"/>
                <w:szCs w:val="18"/>
              </w:rPr>
              <w:t>85 (8.7%)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773109" w14:textId="77777777" w:rsidR="001C19F3" w:rsidRDefault="001C19F3" w:rsidP="00521305">
            <w:pPr>
              <w:spacing w:before="40" w:after="40"/>
              <w:ind w:left="100" w:right="100"/>
              <w:jc w:val="center"/>
            </w:pPr>
            <w:r>
              <w:rPr>
                <w:rFonts w:eastAsia="Century Gothic" w:cs="Century Gothic"/>
                <w:color w:val="000000"/>
                <w:sz w:val="18"/>
                <w:szCs w:val="18"/>
              </w:rPr>
              <w:t>23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10AAD" w14:textId="77777777" w:rsidR="001C19F3" w:rsidRDefault="001C19F3" w:rsidP="00521305">
            <w:pPr>
              <w:spacing w:before="40" w:after="40"/>
              <w:ind w:left="100" w:right="100"/>
              <w:jc w:val="center"/>
            </w:pPr>
            <w:r>
              <w:rPr>
                <w:rFonts w:eastAsia="Century Gothic" w:cs="Century Gothic"/>
                <w:color w:val="000000"/>
                <w:sz w:val="18"/>
                <w:szCs w:val="18"/>
              </w:rPr>
              <w:t>42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23519B" w14:textId="77777777" w:rsidR="001C19F3" w:rsidRDefault="001C19F3" w:rsidP="00521305">
            <w:pPr>
              <w:spacing w:before="40" w:after="40"/>
              <w:ind w:left="100" w:right="100"/>
              <w:jc w:val="center"/>
            </w:pPr>
            <w:r>
              <w:rPr>
                <w:rFonts w:eastAsia="Century Gothic" w:cs="Century Gothic"/>
                <w:color w:val="000000"/>
                <w:sz w:val="18"/>
                <w:szCs w:val="18"/>
              </w:rPr>
              <w:t>19 (7.6%)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8FEA17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8448E3" w14:textId="77777777" w:rsidR="001C19F3" w:rsidRDefault="001C19F3" w:rsidP="00521305">
            <w:pPr>
              <w:spacing w:before="40" w:after="40"/>
              <w:ind w:left="100" w:right="100"/>
              <w:jc w:val="right"/>
            </w:pPr>
            <w:r>
              <w:rPr>
                <w:rFonts w:eastAsia="Century Gothic" w:cs="Century Gothic"/>
                <w:color w:val="000000"/>
                <w:sz w:val="18"/>
                <w:szCs w:val="18"/>
              </w:rPr>
              <w:t>54 (9.6%)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D0855" w14:textId="77777777" w:rsidR="001C19F3" w:rsidRDefault="001C19F3" w:rsidP="00521305">
            <w:pPr>
              <w:spacing w:before="40" w:after="40"/>
              <w:ind w:left="100" w:right="100"/>
              <w:jc w:val="right"/>
            </w:pPr>
            <w:r>
              <w:rPr>
                <w:rFonts w:eastAsia="Century Gothic" w:cs="Century Gothic"/>
                <w:color w:val="000000"/>
                <w:sz w:val="18"/>
                <w:szCs w:val="18"/>
              </w:rPr>
              <w:t>31 (7.8%)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C654C83" w14:textId="77777777" w:rsidR="001C19F3" w:rsidRDefault="001C19F3" w:rsidP="00521305">
            <w:pPr>
              <w:spacing w:after="0"/>
              <w:rPr>
                <w:sz w:val="22"/>
              </w:rPr>
            </w:pPr>
          </w:p>
        </w:tc>
      </w:tr>
      <w:tr w:rsidR="001C19F3" w14:paraId="2C77D20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11C098"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168D56" w14:textId="77777777" w:rsidR="001C19F3" w:rsidRDefault="001C19F3" w:rsidP="00521305">
            <w:pPr>
              <w:spacing w:before="40" w:after="40"/>
              <w:ind w:left="100" w:right="100"/>
              <w:jc w:val="center"/>
            </w:pPr>
            <w:r>
              <w:rPr>
                <w:rFonts w:eastAsia="Century Gothic" w:cs="Century Gothic"/>
                <w:color w:val="000000"/>
                <w:sz w:val="18"/>
                <w:szCs w:val="18"/>
              </w:rPr>
              <w:t>300 (30.8%)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3921D7" w14:textId="77777777" w:rsidR="001C19F3" w:rsidRDefault="001C19F3" w:rsidP="00521305">
            <w:pPr>
              <w:spacing w:before="40" w:after="40"/>
              <w:ind w:left="100" w:right="100"/>
              <w:jc w:val="center"/>
            </w:pPr>
            <w:r>
              <w:rPr>
                <w:rFonts w:eastAsia="Century Gothic" w:cs="Century Gothic"/>
                <w:color w:val="000000"/>
                <w:sz w:val="18"/>
                <w:szCs w:val="18"/>
              </w:rPr>
              <w:t>51 (28.2%)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D409D9" w14:textId="77777777" w:rsidR="001C19F3" w:rsidRDefault="001C19F3" w:rsidP="00521305">
            <w:pPr>
              <w:spacing w:before="40" w:after="40"/>
              <w:ind w:left="100" w:right="100"/>
              <w:jc w:val="center"/>
            </w:pPr>
            <w:r>
              <w:rPr>
                <w:rFonts w:eastAsia="Century Gothic" w:cs="Century Gothic"/>
                <w:color w:val="000000"/>
                <w:sz w:val="18"/>
                <w:szCs w:val="18"/>
              </w:rPr>
              <w:t>167 (34.2%)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8AB460" w14:textId="77777777" w:rsidR="001C19F3" w:rsidRDefault="001C19F3" w:rsidP="00521305">
            <w:pPr>
              <w:spacing w:before="40" w:after="40"/>
              <w:ind w:left="100" w:right="100"/>
              <w:jc w:val="center"/>
            </w:pPr>
            <w:r>
              <w:rPr>
                <w:rFonts w:eastAsia="Century Gothic" w:cs="Century Gothic"/>
                <w:color w:val="000000"/>
                <w:sz w:val="18"/>
                <w:szCs w:val="18"/>
              </w:rPr>
              <w:t>76 (30.3%)</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3636D27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5085A" w14:textId="77777777" w:rsidR="001C19F3" w:rsidRDefault="001C19F3" w:rsidP="00521305">
            <w:pPr>
              <w:spacing w:before="40" w:after="40"/>
              <w:ind w:left="100" w:right="100"/>
              <w:jc w:val="right"/>
            </w:pPr>
            <w:r>
              <w:rPr>
                <w:rFonts w:eastAsia="Century Gothic" w:cs="Century Gothic"/>
                <w:color w:val="000000"/>
                <w:sz w:val="18"/>
                <w:szCs w:val="18"/>
              </w:rPr>
              <w:t>188 (33.5%)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8E5ED4" w14:textId="77777777" w:rsidR="001C19F3" w:rsidRDefault="001C19F3" w:rsidP="00521305">
            <w:pPr>
              <w:spacing w:before="40" w:after="40"/>
              <w:ind w:left="100" w:right="100"/>
              <w:jc w:val="right"/>
            </w:pPr>
            <w:r>
              <w:rPr>
                <w:rFonts w:eastAsia="Century Gothic" w:cs="Century Gothic"/>
                <w:color w:val="000000"/>
                <w:sz w:val="18"/>
                <w:szCs w:val="18"/>
              </w:rPr>
              <w:t>112 (28.3%)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9D8C7DB" w14:textId="77777777" w:rsidR="001C19F3" w:rsidRDefault="001C19F3" w:rsidP="00521305">
            <w:pPr>
              <w:spacing w:after="0"/>
              <w:rPr>
                <w:sz w:val="22"/>
              </w:rPr>
            </w:pPr>
          </w:p>
        </w:tc>
      </w:tr>
      <w:tr w:rsidR="001C19F3" w14:paraId="6B028CC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C25774"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A1B3FD" w14:textId="77777777" w:rsidR="001C19F3" w:rsidRDefault="001C19F3" w:rsidP="00521305">
            <w:pPr>
              <w:spacing w:before="40" w:after="40"/>
              <w:ind w:left="100" w:right="100"/>
              <w:jc w:val="center"/>
            </w:pPr>
            <w:r>
              <w:rPr>
                <w:rFonts w:eastAsia="Century Gothic" w:cs="Century Gothic"/>
                <w:color w:val="000000"/>
                <w:sz w:val="18"/>
                <w:szCs w:val="18"/>
              </w:rPr>
              <w:t>516 (53.0%)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82C941" w14:textId="77777777" w:rsidR="001C19F3" w:rsidRDefault="001C19F3" w:rsidP="00521305">
            <w:pPr>
              <w:spacing w:before="40" w:after="40"/>
              <w:ind w:left="100" w:right="100"/>
              <w:jc w:val="center"/>
            </w:pPr>
            <w:r>
              <w:rPr>
                <w:rFonts w:eastAsia="Century Gothic" w:cs="Century Gothic"/>
                <w:color w:val="000000"/>
                <w:sz w:val="18"/>
                <w:szCs w:val="18"/>
              </w:rPr>
              <w:t>98 (54.1%)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6F7C02" w14:textId="77777777" w:rsidR="001C19F3" w:rsidRDefault="001C19F3" w:rsidP="00521305">
            <w:pPr>
              <w:spacing w:before="40" w:after="40"/>
              <w:ind w:left="100" w:right="100"/>
              <w:jc w:val="center"/>
            </w:pPr>
            <w:r>
              <w:rPr>
                <w:rFonts w:eastAsia="Century Gothic" w:cs="Century Gothic"/>
                <w:color w:val="000000"/>
                <w:sz w:val="18"/>
                <w:szCs w:val="18"/>
              </w:rPr>
              <w:t>249 (50.9%)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537CF" w14:textId="77777777" w:rsidR="001C19F3" w:rsidRDefault="001C19F3" w:rsidP="00521305">
            <w:pPr>
              <w:spacing w:before="40" w:after="40"/>
              <w:ind w:left="100" w:right="100"/>
              <w:jc w:val="center"/>
            </w:pPr>
            <w:r>
              <w:rPr>
                <w:rFonts w:eastAsia="Century Gothic" w:cs="Century Gothic"/>
                <w:color w:val="000000"/>
                <w:sz w:val="18"/>
                <w:szCs w:val="18"/>
              </w:rPr>
              <w:t>142 (56.6%)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86AED4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1E4211" w14:textId="77777777" w:rsidR="001C19F3" w:rsidRDefault="001C19F3" w:rsidP="00521305">
            <w:pPr>
              <w:spacing w:before="40" w:after="40"/>
              <w:ind w:left="100" w:right="100"/>
              <w:jc w:val="right"/>
            </w:pPr>
            <w:r>
              <w:rPr>
                <w:rFonts w:eastAsia="Century Gothic" w:cs="Century Gothic"/>
                <w:color w:val="000000"/>
                <w:sz w:val="18"/>
                <w:szCs w:val="18"/>
              </w:rPr>
              <w:t>281 (50.1%)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D96E9F" w14:textId="77777777" w:rsidR="001C19F3" w:rsidRDefault="001C19F3" w:rsidP="00521305">
            <w:pPr>
              <w:spacing w:before="40" w:after="40"/>
              <w:ind w:left="100" w:right="100"/>
              <w:jc w:val="right"/>
            </w:pPr>
            <w:r>
              <w:rPr>
                <w:rFonts w:eastAsia="Century Gothic" w:cs="Century Gothic"/>
                <w:color w:val="000000"/>
                <w:sz w:val="18"/>
                <w:szCs w:val="18"/>
              </w:rPr>
              <w:t>235 (59.3%)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875D1E8" w14:textId="77777777" w:rsidR="001C19F3" w:rsidRDefault="001C19F3" w:rsidP="00521305">
            <w:pPr>
              <w:spacing w:after="0"/>
              <w:rPr>
                <w:sz w:val="22"/>
              </w:rPr>
            </w:pPr>
          </w:p>
        </w:tc>
      </w:tr>
      <w:tr w:rsidR="001C19F3" w14:paraId="4FDABDE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DF331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7C4D0" w14:textId="77777777" w:rsidR="001C19F3" w:rsidRDefault="001C19F3" w:rsidP="00521305">
            <w:pPr>
              <w:spacing w:before="40" w:after="40"/>
              <w:ind w:left="100" w:right="100"/>
              <w:jc w:val="center"/>
            </w:pPr>
            <w:r>
              <w:rPr>
                <w:rFonts w:eastAsia="Century Gothic" w:cs="Century Gothic"/>
                <w:color w:val="000000"/>
                <w:sz w:val="18"/>
                <w:szCs w:val="18"/>
              </w:rPr>
              <w:t>16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60FA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93DE1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BD44A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FF51A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ED045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CC0A5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B5A72A" w14:textId="77777777" w:rsidR="001C19F3" w:rsidRDefault="001C19F3" w:rsidP="00521305">
            <w:pPr>
              <w:spacing w:before="40" w:after="40"/>
              <w:ind w:left="100" w:right="100"/>
              <w:jc w:val="right"/>
            </w:pPr>
          </w:p>
        </w:tc>
      </w:tr>
      <w:tr w:rsidR="001C19F3" w14:paraId="2714E21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B3A02F" w14:textId="77777777" w:rsidR="001C19F3" w:rsidRDefault="001C19F3" w:rsidP="00521305">
            <w:pPr>
              <w:spacing w:before="40" w:after="40"/>
              <w:ind w:left="100" w:right="100"/>
            </w:pPr>
            <w:r>
              <w:rPr>
                <w:rFonts w:eastAsia="Century Gothic" w:cs="Century Gothic"/>
                <w:b/>
                <w:color w:val="000000"/>
                <w:sz w:val="18"/>
                <w:szCs w:val="18"/>
              </w:rPr>
              <w:t>C3 Over the last 6 months, that patient contacted the HCH to get an appointment for a check-up or routine care (Q16)</w:t>
            </w:r>
          </w:p>
        </w:tc>
      </w:tr>
      <w:tr w:rsidR="001C19F3" w14:paraId="397B03C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31B2D0"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A5D370" w14:textId="77777777" w:rsidR="001C19F3" w:rsidRDefault="001C19F3" w:rsidP="00521305">
            <w:pPr>
              <w:spacing w:before="40" w:after="40"/>
              <w:ind w:left="100" w:right="100"/>
              <w:jc w:val="center"/>
            </w:pPr>
            <w:r>
              <w:rPr>
                <w:rFonts w:eastAsia="Century Gothic" w:cs="Century Gothic"/>
                <w:color w:val="000000"/>
                <w:sz w:val="18"/>
                <w:szCs w:val="18"/>
              </w:rPr>
              <w:t>1,521 (75.4%)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AD75E3" w14:textId="77777777" w:rsidR="001C19F3" w:rsidRDefault="001C19F3" w:rsidP="00521305">
            <w:pPr>
              <w:spacing w:before="40" w:after="40"/>
              <w:ind w:left="100" w:right="100"/>
              <w:jc w:val="center"/>
            </w:pPr>
            <w:r>
              <w:rPr>
                <w:rFonts w:eastAsia="Century Gothic" w:cs="Century Gothic"/>
                <w:color w:val="000000"/>
                <w:sz w:val="18"/>
                <w:szCs w:val="18"/>
              </w:rPr>
              <w:t>332 (76.7%)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90453A" w14:textId="77777777" w:rsidR="001C19F3" w:rsidRDefault="001C19F3" w:rsidP="00521305">
            <w:pPr>
              <w:spacing w:before="40" w:after="40"/>
              <w:ind w:left="100" w:right="100"/>
              <w:jc w:val="center"/>
            </w:pPr>
            <w:r>
              <w:rPr>
                <w:rFonts w:eastAsia="Century Gothic" w:cs="Century Gothic"/>
                <w:color w:val="000000"/>
                <w:sz w:val="18"/>
                <w:szCs w:val="18"/>
              </w:rPr>
              <w:t>789 (77.3%)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BCB204" w14:textId="77777777" w:rsidR="001C19F3" w:rsidRDefault="001C19F3" w:rsidP="00521305">
            <w:pPr>
              <w:spacing w:before="40" w:after="40"/>
              <w:ind w:left="100" w:right="100"/>
              <w:jc w:val="center"/>
            </w:pPr>
            <w:r>
              <w:rPr>
                <w:rFonts w:eastAsia="Century Gothic" w:cs="Century Gothic"/>
                <w:color w:val="000000"/>
                <w:sz w:val="18"/>
                <w:szCs w:val="18"/>
              </w:rPr>
              <w:t>343 (75.1%)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060550" w14:textId="77777777" w:rsidR="001C19F3" w:rsidRDefault="001C19F3" w:rsidP="00521305">
            <w:pPr>
              <w:spacing w:before="40" w:after="40"/>
              <w:ind w:left="100" w:right="100"/>
              <w:jc w:val="center"/>
            </w:pPr>
            <w:r>
              <w:rPr>
                <w:rFonts w:eastAsia="Century Gothic" w:cs="Century Gothic"/>
                <w:color w:val="000000"/>
                <w:sz w:val="18"/>
                <w:szCs w:val="18"/>
              </w:rPr>
              <w:t>0.647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06C14E" w14:textId="77777777" w:rsidR="001C19F3" w:rsidRDefault="001C19F3" w:rsidP="00521305">
            <w:pPr>
              <w:spacing w:before="40" w:after="40"/>
              <w:ind w:left="100" w:right="100"/>
              <w:jc w:val="right"/>
            </w:pPr>
            <w:r>
              <w:rPr>
                <w:rFonts w:eastAsia="Century Gothic" w:cs="Century Gothic"/>
                <w:color w:val="000000"/>
                <w:sz w:val="18"/>
                <w:szCs w:val="18"/>
              </w:rPr>
              <w:t>869 (73.3%)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328EE5" w14:textId="77777777" w:rsidR="001C19F3" w:rsidRDefault="001C19F3" w:rsidP="00521305">
            <w:pPr>
              <w:spacing w:before="40" w:after="40"/>
              <w:ind w:left="100" w:right="100"/>
              <w:jc w:val="right"/>
            </w:pPr>
            <w:r>
              <w:rPr>
                <w:rFonts w:eastAsia="Century Gothic" w:cs="Century Gothic"/>
                <w:color w:val="000000"/>
                <w:sz w:val="18"/>
                <w:szCs w:val="18"/>
              </w:rPr>
              <w:t>652 (82.0%)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A0E4EB"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3836A7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4CE586"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0E25AB" w14:textId="77777777" w:rsidR="001C19F3" w:rsidRDefault="001C19F3" w:rsidP="00521305">
            <w:pPr>
              <w:spacing w:before="40" w:after="40"/>
              <w:ind w:left="100" w:right="100"/>
              <w:jc w:val="center"/>
            </w:pPr>
            <w:r>
              <w:rPr>
                <w:rFonts w:eastAsia="Century Gothic" w:cs="Century Gothic"/>
                <w:color w:val="000000"/>
                <w:sz w:val="18"/>
                <w:szCs w:val="18"/>
              </w:rPr>
              <w:t>460 (22.8%)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7B863" w14:textId="77777777" w:rsidR="001C19F3" w:rsidRDefault="001C19F3" w:rsidP="00521305">
            <w:pPr>
              <w:spacing w:before="40" w:after="40"/>
              <w:ind w:left="100" w:right="100"/>
              <w:jc w:val="center"/>
            </w:pPr>
            <w:r>
              <w:rPr>
                <w:rFonts w:eastAsia="Century Gothic" w:cs="Century Gothic"/>
                <w:color w:val="000000"/>
                <w:sz w:val="18"/>
                <w:szCs w:val="18"/>
              </w:rPr>
              <w:t>101 (23.3%)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96855" w14:textId="77777777" w:rsidR="001C19F3" w:rsidRDefault="001C19F3" w:rsidP="00521305">
            <w:pPr>
              <w:spacing w:before="40" w:after="40"/>
              <w:ind w:left="100" w:right="100"/>
              <w:jc w:val="center"/>
            </w:pPr>
            <w:r>
              <w:rPr>
                <w:rFonts w:eastAsia="Century Gothic" w:cs="Century Gothic"/>
                <w:color w:val="000000"/>
                <w:sz w:val="18"/>
                <w:szCs w:val="18"/>
              </w:rPr>
              <w:t>232 (22.7%)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2471D3" w14:textId="77777777" w:rsidR="001C19F3" w:rsidRDefault="001C19F3" w:rsidP="00521305">
            <w:pPr>
              <w:spacing w:before="40" w:after="40"/>
              <w:ind w:left="100" w:right="100"/>
              <w:jc w:val="center"/>
            </w:pPr>
            <w:r>
              <w:rPr>
                <w:rFonts w:eastAsia="Century Gothic" w:cs="Century Gothic"/>
                <w:color w:val="000000"/>
                <w:sz w:val="18"/>
                <w:szCs w:val="18"/>
              </w:rPr>
              <w:t>114 (24.9%)</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92F898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BC3D76" w14:textId="77777777" w:rsidR="001C19F3" w:rsidRDefault="001C19F3" w:rsidP="00521305">
            <w:pPr>
              <w:spacing w:before="40" w:after="40"/>
              <w:ind w:left="100" w:right="100"/>
              <w:jc w:val="right"/>
            </w:pPr>
            <w:r>
              <w:rPr>
                <w:rFonts w:eastAsia="Century Gothic" w:cs="Century Gothic"/>
                <w:color w:val="000000"/>
                <w:sz w:val="18"/>
                <w:szCs w:val="18"/>
              </w:rPr>
              <w:t>317 (26.7%)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8EB8E6" w14:textId="77777777" w:rsidR="001C19F3" w:rsidRDefault="001C19F3" w:rsidP="00521305">
            <w:pPr>
              <w:spacing w:before="40" w:after="40"/>
              <w:ind w:left="100" w:right="100"/>
              <w:jc w:val="right"/>
            </w:pPr>
            <w:r>
              <w:rPr>
                <w:rFonts w:eastAsia="Century Gothic" w:cs="Century Gothic"/>
                <w:color w:val="000000"/>
                <w:sz w:val="18"/>
                <w:szCs w:val="18"/>
              </w:rPr>
              <w:t>143 (18.0%)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5583203" w14:textId="77777777" w:rsidR="001C19F3" w:rsidRDefault="001C19F3" w:rsidP="00521305">
            <w:pPr>
              <w:spacing w:after="0"/>
              <w:rPr>
                <w:sz w:val="22"/>
              </w:rPr>
            </w:pPr>
          </w:p>
        </w:tc>
      </w:tr>
      <w:tr w:rsidR="001C19F3" w14:paraId="2B77457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992F9A"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C3F9E4" w14:textId="77777777" w:rsidR="001C19F3" w:rsidRDefault="001C19F3" w:rsidP="00521305">
            <w:pPr>
              <w:spacing w:before="40" w:after="40"/>
              <w:ind w:left="100" w:right="100"/>
              <w:jc w:val="center"/>
            </w:pPr>
            <w:r>
              <w:rPr>
                <w:rFonts w:eastAsia="Century Gothic" w:cs="Century Gothic"/>
                <w:color w:val="000000"/>
                <w:sz w:val="18"/>
                <w:szCs w:val="18"/>
              </w:rPr>
              <w:t>37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567C9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F681B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DC74D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7C6BD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423FB1"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925DA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201FF8" w14:textId="77777777" w:rsidR="001C19F3" w:rsidRDefault="001C19F3" w:rsidP="00521305">
            <w:pPr>
              <w:spacing w:before="40" w:after="40"/>
              <w:ind w:left="100" w:right="100"/>
              <w:jc w:val="right"/>
            </w:pPr>
          </w:p>
        </w:tc>
      </w:tr>
      <w:tr w:rsidR="001C19F3" w14:paraId="7FAA6BB6"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AF9316" w14:textId="77777777" w:rsidR="001C19F3" w:rsidRDefault="001C19F3" w:rsidP="00521305">
            <w:pPr>
              <w:spacing w:before="40" w:after="40"/>
              <w:ind w:left="100" w:right="100"/>
            </w:pPr>
            <w:r>
              <w:rPr>
                <w:rFonts w:eastAsia="Century Gothic" w:cs="Century Gothic"/>
                <w:b/>
                <w:color w:val="000000"/>
                <w:sz w:val="18"/>
                <w:szCs w:val="18"/>
              </w:rPr>
              <w:t>C4 When requesting an appointment for a check-up or routine care, how often the patient get an appointment as soon as required (Q17)</w:t>
            </w:r>
          </w:p>
        </w:tc>
      </w:tr>
      <w:tr w:rsidR="001C19F3" w14:paraId="187BD36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F31236"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0E8D70" w14:textId="77777777" w:rsidR="001C19F3" w:rsidRDefault="001C19F3" w:rsidP="00521305">
            <w:pPr>
              <w:spacing w:before="40" w:after="40"/>
              <w:ind w:left="100" w:right="100"/>
              <w:jc w:val="center"/>
            </w:pPr>
            <w:r>
              <w:rPr>
                <w:rFonts w:eastAsia="Century Gothic" w:cs="Century Gothic"/>
                <w:color w:val="000000"/>
                <w:sz w:val="18"/>
                <w:szCs w:val="18"/>
              </w:rPr>
              <w:t>20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54EA23" w14:textId="77777777" w:rsidR="001C19F3" w:rsidRDefault="001C19F3" w:rsidP="00521305">
            <w:pPr>
              <w:spacing w:before="40" w:after="40"/>
              <w:ind w:left="100" w:right="100"/>
              <w:jc w:val="center"/>
            </w:pPr>
            <w:r>
              <w:rPr>
                <w:rFonts w:eastAsia="Century Gothic" w:cs="Century Gothic"/>
                <w:color w:val="000000"/>
                <w:sz w:val="18"/>
                <w:szCs w:val="18"/>
              </w:rPr>
              <w:t>3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A72280" w14:textId="77777777" w:rsidR="001C19F3" w:rsidRDefault="001C19F3" w:rsidP="00521305">
            <w:pPr>
              <w:spacing w:before="40" w:after="40"/>
              <w:ind w:left="100" w:right="100"/>
              <w:jc w:val="center"/>
            </w:pPr>
            <w:r>
              <w:rPr>
                <w:rFonts w:eastAsia="Century Gothic" w:cs="Century Gothic"/>
                <w:color w:val="000000"/>
                <w:sz w:val="18"/>
                <w:szCs w:val="18"/>
              </w:rPr>
              <w:t>13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E33DA0" w14:textId="77777777" w:rsidR="001C19F3" w:rsidRDefault="001C19F3" w:rsidP="00521305">
            <w:pPr>
              <w:spacing w:before="40" w:after="40"/>
              <w:ind w:left="100" w:right="100"/>
              <w:jc w:val="center"/>
            </w:pPr>
            <w:r>
              <w:rPr>
                <w:rFonts w:eastAsia="Century Gothic" w:cs="Century Gothic"/>
                <w:color w:val="000000"/>
                <w:sz w:val="18"/>
                <w:szCs w:val="18"/>
              </w:rPr>
              <w:t>3 (0.9%)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BFF4A6" w14:textId="77777777" w:rsidR="001C19F3" w:rsidRDefault="001C19F3" w:rsidP="00521305">
            <w:pPr>
              <w:spacing w:before="40" w:after="40"/>
              <w:ind w:left="100" w:right="100"/>
              <w:jc w:val="center"/>
            </w:pPr>
            <w:r>
              <w:rPr>
                <w:rFonts w:eastAsia="Century Gothic" w:cs="Century Gothic"/>
                <w:color w:val="000000"/>
                <w:sz w:val="18"/>
                <w:szCs w:val="18"/>
              </w:rPr>
              <w:t>0.334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194FC2" w14:textId="77777777" w:rsidR="001C19F3" w:rsidRDefault="001C19F3" w:rsidP="00521305">
            <w:pPr>
              <w:spacing w:before="40" w:after="40"/>
              <w:ind w:left="100" w:right="100"/>
              <w:jc w:val="right"/>
            </w:pPr>
            <w:r>
              <w:rPr>
                <w:rFonts w:eastAsia="Century Gothic" w:cs="Century Gothic"/>
                <w:color w:val="000000"/>
                <w:sz w:val="18"/>
                <w:szCs w:val="18"/>
              </w:rPr>
              <w:t>14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59BF1" w14:textId="77777777" w:rsidR="001C19F3" w:rsidRDefault="001C19F3" w:rsidP="00521305">
            <w:pPr>
              <w:spacing w:before="40" w:after="40"/>
              <w:ind w:left="100" w:right="100"/>
              <w:jc w:val="right"/>
            </w:pPr>
            <w:r>
              <w:rPr>
                <w:rFonts w:eastAsia="Century Gothic" w:cs="Century Gothic"/>
                <w:color w:val="000000"/>
                <w:sz w:val="18"/>
                <w:szCs w:val="18"/>
              </w:rPr>
              <w:t>6 (0.9%)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0C5DEA" w14:textId="77777777" w:rsidR="001C19F3" w:rsidRDefault="001C19F3" w:rsidP="00521305">
            <w:pPr>
              <w:spacing w:before="40" w:after="40"/>
              <w:ind w:left="100" w:right="100"/>
              <w:jc w:val="right"/>
            </w:pPr>
            <w:r>
              <w:rPr>
                <w:rFonts w:eastAsia="Century Gothic" w:cs="Century Gothic"/>
                <w:color w:val="000000"/>
                <w:sz w:val="18"/>
                <w:szCs w:val="18"/>
              </w:rPr>
              <w:t>0.006</w:t>
            </w:r>
          </w:p>
        </w:tc>
      </w:tr>
      <w:tr w:rsidR="001C19F3" w14:paraId="3260696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69870E"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6F1B39" w14:textId="77777777" w:rsidR="001C19F3" w:rsidRDefault="001C19F3" w:rsidP="00521305">
            <w:pPr>
              <w:spacing w:before="40" w:after="40"/>
              <w:ind w:left="100" w:right="100"/>
              <w:jc w:val="center"/>
            </w:pPr>
            <w:r>
              <w:rPr>
                <w:rFonts w:eastAsia="Century Gothic" w:cs="Century Gothic"/>
                <w:color w:val="000000"/>
                <w:sz w:val="18"/>
                <w:szCs w:val="18"/>
              </w:rPr>
              <w:t>42 (2.8%)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742C34" w14:textId="77777777" w:rsidR="001C19F3" w:rsidRDefault="001C19F3" w:rsidP="00521305">
            <w:pPr>
              <w:spacing w:before="40" w:after="40"/>
              <w:ind w:left="100" w:right="100"/>
              <w:jc w:val="center"/>
            </w:pPr>
            <w:r>
              <w:rPr>
                <w:rFonts w:eastAsia="Century Gothic" w:cs="Century Gothic"/>
                <w:color w:val="000000"/>
                <w:sz w:val="18"/>
                <w:szCs w:val="18"/>
              </w:rPr>
              <w:t>9 (2.8%)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D0A035" w14:textId="77777777" w:rsidR="001C19F3" w:rsidRDefault="001C19F3" w:rsidP="00521305">
            <w:pPr>
              <w:spacing w:before="40" w:after="40"/>
              <w:ind w:left="100" w:right="100"/>
              <w:jc w:val="center"/>
            </w:pPr>
            <w:r>
              <w:rPr>
                <w:rFonts w:eastAsia="Century Gothic" w:cs="Century Gothic"/>
                <w:color w:val="000000"/>
                <w:sz w:val="18"/>
                <w:szCs w:val="18"/>
              </w:rPr>
              <w:t>21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9ED883" w14:textId="77777777" w:rsidR="001C19F3" w:rsidRDefault="001C19F3" w:rsidP="00521305">
            <w:pPr>
              <w:spacing w:before="40" w:after="40"/>
              <w:ind w:left="100" w:right="100"/>
              <w:jc w:val="center"/>
            </w:pPr>
            <w:r>
              <w:rPr>
                <w:rFonts w:eastAsia="Century Gothic" w:cs="Century Gothic"/>
                <w:color w:val="000000"/>
                <w:sz w:val="18"/>
                <w:szCs w:val="18"/>
              </w:rPr>
              <w:t>12 (3.6%)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6E4E97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DD45D6" w14:textId="77777777" w:rsidR="001C19F3" w:rsidRDefault="001C19F3" w:rsidP="00521305">
            <w:pPr>
              <w:spacing w:before="40" w:after="40"/>
              <w:ind w:left="100" w:right="100"/>
              <w:jc w:val="right"/>
            </w:pPr>
            <w:r>
              <w:rPr>
                <w:rFonts w:eastAsia="Century Gothic" w:cs="Century Gothic"/>
                <w:color w:val="000000"/>
                <w:sz w:val="18"/>
                <w:szCs w:val="18"/>
              </w:rPr>
              <w:t>27 (3.2%)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CCE0C9" w14:textId="77777777" w:rsidR="001C19F3" w:rsidRDefault="001C19F3" w:rsidP="00521305">
            <w:pPr>
              <w:spacing w:before="40" w:after="40"/>
              <w:ind w:left="100" w:right="100"/>
              <w:jc w:val="right"/>
            </w:pPr>
            <w:r>
              <w:rPr>
                <w:rFonts w:eastAsia="Century Gothic" w:cs="Century Gothic"/>
                <w:color w:val="000000"/>
                <w:sz w:val="18"/>
                <w:szCs w:val="18"/>
              </w:rPr>
              <w:t>15 (2.3%)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BD841C7" w14:textId="77777777" w:rsidR="001C19F3" w:rsidRDefault="001C19F3" w:rsidP="00521305">
            <w:pPr>
              <w:spacing w:after="0"/>
              <w:rPr>
                <w:sz w:val="22"/>
              </w:rPr>
            </w:pPr>
          </w:p>
        </w:tc>
      </w:tr>
      <w:tr w:rsidR="001C19F3" w14:paraId="737FA2D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B9576F"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C192F" w14:textId="77777777" w:rsidR="001C19F3" w:rsidRDefault="001C19F3" w:rsidP="00521305">
            <w:pPr>
              <w:spacing w:before="40" w:after="40"/>
              <w:ind w:left="100" w:right="100"/>
              <w:jc w:val="center"/>
            </w:pPr>
            <w:r>
              <w:rPr>
                <w:rFonts w:eastAsia="Century Gothic" w:cs="Century Gothic"/>
                <w:color w:val="000000"/>
                <w:sz w:val="18"/>
                <w:szCs w:val="18"/>
              </w:rPr>
              <w:t>143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3F1470" w14:textId="77777777" w:rsidR="001C19F3" w:rsidRDefault="001C19F3" w:rsidP="00521305">
            <w:pPr>
              <w:spacing w:before="40" w:after="40"/>
              <w:ind w:left="100" w:right="100"/>
              <w:jc w:val="center"/>
            </w:pPr>
            <w:r>
              <w:rPr>
                <w:rFonts w:eastAsia="Century Gothic" w:cs="Century Gothic"/>
                <w:color w:val="000000"/>
                <w:sz w:val="18"/>
                <w:szCs w:val="18"/>
              </w:rPr>
              <w:t>43 (13.2%)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FFE9E7" w14:textId="77777777" w:rsidR="001C19F3" w:rsidRDefault="001C19F3" w:rsidP="00521305">
            <w:pPr>
              <w:spacing w:before="40" w:after="40"/>
              <w:ind w:left="100" w:right="100"/>
              <w:jc w:val="center"/>
            </w:pPr>
            <w:r>
              <w:rPr>
                <w:rFonts w:eastAsia="Century Gothic" w:cs="Century Gothic"/>
                <w:color w:val="000000"/>
                <w:sz w:val="18"/>
                <w:szCs w:val="18"/>
              </w:rPr>
              <w:t>63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BCF4E4" w14:textId="77777777" w:rsidR="001C19F3" w:rsidRDefault="001C19F3" w:rsidP="00521305">
            <w:pPr>
              <w:spacing w:before="40" w:after="40"/>
              <w:ind w:left="100" w:right="100"/>
              <w:jc w:val="center"/>
            </w:pPr>
            <w:r>
              <w:rPr>
                <w:rFonts w:eastAsia="Century Gothic" w:cs="Century Gothic"/>
                <w:color w:val="000000"/>
                <w:sz w:val="18"/>
                <w:szCs w:val="18"/>
              </w:rPr>
              <w:t>34 (10.1%)</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320BD4F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54D84" w14:textId="77777777" w:rsidR="001C19F3" w:rsidRDefault="001C19F3" w:rsidP="00521305">
            <w:pPr>
              <w:spacing w:before="40" w:after="40"/>
              <w:ind w:left="100" w:right="100"/>
              <w:jc w:val="right"/>
            </w:pPr>
            <w:r>
              <w:rPr>
                <w:rFonts w:eastAsia="Century Gothic" w:cs="Century Gothic"/>
                <w:color w:val="000000"/>
                <w:sz w:val="18"/>
                <w:szCs w:val="18"/>
              </w:rPr>
              <w:t>93 (10.9%)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AB6F41" w14:textId="77777777" w:rsidR="001C19F3" w:rsidRDefault="001C19F3" w:rsidP="00521305">
            <w:pPr>
              <w:spacing w:before="40" w:after="40"/>
              <w:ind w:left="100" w:right="100"/>
              <w:jc w:val="right"/>
            </w:pPr>
            <w:r>
              <w:rPr>
                <w:rFonts w:eastAsia="Century Gothic" w:cs="Century Gothic"/>
                <w:color w:val="000000"/>
                <w:sz w:val="18"/>
                <w:szCs w:val="18"/>
              </w:rPr>
              <w:t>50 (7.8%)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ED81A8E" w14:textId="77777777" w:rsidR="001C19F3" w:rsidRDefault="001C19F3" w:rsidP="00521305">
            <w:pPr>
              <w:spacing w:after="0"/>
              <w:rPr>
                <w:sz w:val="22"/>
              </w:rPr>
            </w:pPr>
          </w:p>
        </w:tc>
      </w:tr>
      <w:tr w:rsidR="001C19F3" w14:paraId="3AD8805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97B3B5"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D5DBE2" w14:textId="77777777" w:rsidR="001C19F3" w:rsidRDefault="001C19F3" w:rsidP="00521305">
            <w:pPr>
              <w:spacing w:before="40" w:after="40"/>
              <w:ind w:left="100" w:right="100"/>
              <w:jc w:val="center"/>
            </w:pPr>
            <w:r>
              <w:rPr>
                <w:rFonts w:eastAsia="Century Gothic" w:cs="Century Gothic"/>
                <w:color w:val="000000"/>
                <w:sz w:val="18"/>
                <w:szCs w:val="18"/>
              </w:rPr>
              <w:t>550 (36.2%)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611842" w14:textId="77777777" w:rsidR="001C19F3" w:rsidRDefault="001C19F3" w:rsidP="00521305">
            <w:pPr>
              <w:spacing w:before="40" w:after="40"/>
              <w:ind w:left="100" w:right="100"/>
              <w:jc w:val="center"/>
            </w:pPr>
            <w:r>
              <w:rPr>
                <w:rFonts w:eastAsia="Century Gothic" w:cs="Century Gothic"/>
                <w:color w:val="000000"/>
                <w:sz w:val="18"/>
                <w:szCs w:val="18"/>
              </w:rPr>
              <w:t>116 (35.7%)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ECA4CB" w14:textId="77777777" w:rsidR="001C19F3" w:rsidRDefault="001C19F3" w:rsidP="00521305">
            <w:pPr>
              <w:spacing w:before="40" w:after="40"/>
              <w:ind w:left="100" w:right="100"/>
              <w:jc w:val="center"/>
            </w:pPr>
            <w:r>
              <w:rPr>
                <w:rFonts w:eastAsia="Century Gothic" w:cs="Century Gothic"/>
                <w:color w:val="000000"/>
                <w:sz w:val="18"/>
                <w:szCs w:val="18"/>
              </w:rPr>
              <w:t>292 (37.6%)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7AF3A9" w14:textId="77777777" w:rsidR="001C19F3" w:rsidRDefault="001C19F3" w:rsidP="00521305">
            <w:pPr>
              <w:spacing w:before="40" w:after="40"/>
              <w:ind w:left="100" w:right="100"/>
              <w:jc w:val="center"/>
            </w:pPr>
            <w:r>
              <w:rPr>
                <w:rFonts w:eastAsia="Century Gothic" w:cs="Century Gothic"/>
                <w:color w:val="000000"/>
                <w:sz w:val="18"/>
                <w:szCs w:val="18"/>
              </w:rPr>
              <w:t>121 (35.8%)</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26E2742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F1399" w14:textId="77777777" w:rsidR="001C19F3" w:rsidRDefault="001C19F3" w:rsidP="00521305">
            <w:pPr>
              <w:spacing w:before="40" w:after="40"/>
              <w:ind w:left="100" w:right="100"/>
              <w:jc w:val="right"/>
            </w:pPr>
            <w:r>
              <w:rPr>
                <w:rFonts w:eastAsia="Century Gothic" w:cs="Century Gothic"/>
                <w:color w:val="000000"/>
                <w:sz w:val="18"/>
                <w:szCs w:val="18"/>
              </w:rPr>
              <w:t>331 (38.7%)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EFB219" w14:textId="77777777" w:rsidR="001C19F3" w:rsidRDefault="001C19F3" w:rsidP="00521305">
            <w:pPr>
              <w:spacing w:before="40" w:after="40"/>
              <w:ind w:left="100" w:right="100"/>
              <w:jc w:val="right"/>
            </w:pPr>
            <w:r>
              <w:rPr>
                <w:rFonts w:eastAsia="Century Gothic" w:cs="Century Gothic"/>
                <w:color w:val="000000"/>
                <w:sz w:val="18"/>
                <w:szCs w:val="18"/>
              </w:rPr>
              <w:t>219 (34.1%)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D901092" w14:textId="77777777" w:rsidR="001C19F3" w:rsidRDefault="001C19F3" w:rsidP="00521305">
            <w:pPr>
              <w:spacing w:after="0"/>
              <w:rPr>
                <w:sz w:val="22"/>
              </w:rPr>
            </w:pPr>
          </w:p>
        </w:tc>
      </w:tr>
      <w:tr w:rsidR="001C19F3" w14:paraId="4097CE4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BF5DA6"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7861F4" w14:textId="77777777" w:rsidR="001C19F3" w:rsidRDefault="001C19F3" w:rsidP="00521305">
            <w:pPr>
              <w:spacing w:before="40" w:after="40"/>
              <w:ind w:left="100" w:right="100"/>
              <w:jc w:val="center"/>
            </w:pPr>
            <w:r>
              <w:rPr>
                <w:rFonts w:eastAsia="Century Gothic" w:cs="Century Gothic"/>
                <w:color w:val="000000"/>
                <w:sz w:val="18"/>
                <w:szCs w:val="18"/>
              </w:rPr>
              <w:t>742 (48.8%)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528D67" w14:textId="77777777" w:rsidR="001C19F3" w:rsidRDefault="001C19F3" w:rsidP="00521305">
            <w:pPr>
              <w:spacing w:before="40" w:after="40"/>
              <w:ind w:left="100" w:right="100"/>
              <w:jc w:val="center"/>
            </w:pPr>
            <w:r>
              <w:rPr>
                <w:rFonts w:eastAsia="Century Gothic" w:cs="Century Gothic"/>
                <w:color w:val="000000"/>
                <w:sz w:val="18"/>
                <w:szCs w:val="18"/>
              </w:rPr>
              <w:t>154 (47.4%)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07985D" w14:textId="77777777" w:rsidR="001C19F3" w:rsidRDefault="001C19F3" w:rsidP="00521305">
            <w:pPr>
              <w:spacing w:before="40" w:after="40"/>
              <w:ind w:left="100" w:right="100"/>
              <w:jc w:val="center"/>
            </w:pPr>
            <w:r>
              <w:rPr>
                <w:rFonts w:eastAsia="Century Gothic" w:cs="Century Gothic"/>
                <w:color w:val="000000"/>
                <w:sz w:val="18"/>
                <w:szCs w:val="18"/>
              </w:rPr>
              <w:t>388 (49.9%)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6CE980" w14:textId="77777777" w:rsidR="001C19F3" w:rsidRDefault="001C19F3" w:rsidP="00521305">
            <w:pPr>
              <w:spacing w:before="40" w:after="40"/>
              <w:ind w:left="100" w:right="100"/>
              <w:jc w:val="center"/>
            </w:pPr>
            <w:r>
              <w:rPr>
                <w:rFonts w:eastAsia="Century Gothic" w:cs="Century Gothic"/>
                <w:color w:val="000000"/>
                <w:sz w:val="18"/>
                <w:szCs w:val="18"/>
              </w:rPr>
              <w:t>168 (49.7%)</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446927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6CC2B5" w14:textId="77777777" w:rsidR="001C19F3" w:rsidRDefault="001C19F3" w:rsidP="00521305">
            <w:pPr>
              <w:spacing w:before="40" w:after="40"/>
              <w:ind w:left="100" w:right="100"/>
              <w:jc w:val="right"/>
            </w:pPr>
            <w:r>
              <w:rPr>
                <w:rFonts w:eastAsia="Century Gothic" w:cs="Century Gothic"/>
                <w:color w:val="000000"/>
                <w:sz w:val="18"/>
                <w:szCs w:val="18"/>
              </w:rPr>
              <w:t>390 (45.6%)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76626F" w14:textId="77777777" w:rsidR="001C19F3" w:rsidRDefault="001C19F3" w:rsidP="00521305">
            <w:pPr>
              <w:spacing w:before="40" w:after="40"/>
              <w:ind w:left="100" w:right="100"/>
              <w:jc w:val="right"/>
            </w:pPr>
            <w:r>
              <w:rPr>
                <w:rFonts w:eastAsia="Century Gothic" w:cs="Century Gothic"/>
                <w:color w:val="000000"/>
                <w:sz w:val="18"/>
                <w:szCs w:val="18"/>
              </w:rPr>
              <w:t>352 (54.8%)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5AB1D81" w14:textId="77777777" w:rsidR="001C19F3" w:rsidRDefault="001C19F3" w:rsidP="00521305">
            <w:pPr>
              <w:spacing w:after="0"/>
              <w:rPr>
                <w:sz w:val="22"/>
              </w:rPr>
            </w:pPr>
          </w:p>
        </w:tc>
      </w:tr>
      <w:tr w:rsidR="001C19F3" w14:paraId="347D268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D07F23"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AA2E4B" w14:textId="77777777" w:rsidR="001C19F3" w:rsidRDefault="001C19F3" w:rsidP="00521305">
            <w:pPr>
              <w:spacing w:before="40" w:after="40"/>
              <w:ind w:left="100" w:right="100"/>
              <w:jc w:val="center"/>
            </w:pPr>
            <w:r>
              <w:rPr>
                <w:rFonts w:eastAsia="Century Gothic" w:cs="Century Gothic"/>
                <w:color w:val="000000"/>
                <w:sz w:val="18"/>
                <w:szCs w:val="18"/>
              </w:rPr>
              <w:t>24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BEBF2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B7EEB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4DE17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D0275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811D0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435DC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7152AA" w14:textId="77777777" w:rsidR="001C19F3" w:rsidRDefault="001C19F3" w:rsidP="00521305">
            <w:pPr>
              <w:spacing w:before="40" w:after="40"/>
              <w:ind w:left="100" w:right="100"/>
              <w:jc w:val="right"/>
            </w:pPr>
          </w:p>
        </w:tc>
      </w:tr>
      <w:tr w:rsidR="001C19F3" w14:paraId="3FCCF7F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3B58DD" w14:textId="77777777" w:rsidR="001C19F3" w:rsidRDefault="001C19F3" w:rsidP="00521305">
            <w:pPr>
              <w:spacing w:before="40" w:after="40"/>
              <w:ind w:left="100" w:right="100"/>
            </w:pPr>
            <w:r>
              <w:rPr>
                <w:rFonts w:eastAsia="Century Gothic" w:cs="Century Gothic"/>
                <w:b/>
                <w:color w:val="000000"/>
                <w:sz w:val="18"/>
                <w:szCs w:val="18"/>
              </w:rPr>
              <w:t>C5 When requesting an appointment or attending for any reason, how often did the patient see their own personal GP (Q18)</w:t>
            </w:r>
          </w:p>
        </w:tc>
      </w:tr>
      <w:tr w:rsidR="001C19F3" w14:paraId="209CD12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529FB8"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C62485" w14:textId="77777777" w:rsidR="001C19F3" w:rsidRDefault="001C19F3" w:rsidP="00521305">
            <w:pPr>
              <w:spacing w:before="40" w:after="40"/>
              <w:ind w:left="100" w:right="100"/>
              <w:jc w:val="center"/>
            </w:pPr>
            <w:r>
              <w:rPr>
                <w:rFonts w:eastAsia="Century Gothic" w:cs="Century Gothic"/>
                <w:color w:val="000000"/>
                <w:sz w:val="18"/>
                <w:szCs w:val="18"/>
              </w:rPr>
              <w:t>21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73D183"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398E90" w14:textId="77777777" w:rsidR="001C19F3" w:rsidRDefault="001C19F3" w:rsidP="00521305">
            <w:pPr>
              <w:spacing w:before="40" w:after="40"/>
              <w:ind w:left="100" w:right="100"/>
              <w:jc w:val="center"/>
            </w:pPr>
            <w:r>
              <w:rPr>
                <w:rFonts w:eastAsia="Century Gothic" w:cs="Century Gothic"/>
                <w:color w:val="000000"/>
                <w:sz w:val="18"/>
                <w:szCs w:val="18"/>
              </w:rPr>
              <w:t>10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1F33CE" w14:textId="77777777" w:rsidR="001C19F3" w:rsidRDefault="001C19F3" w:rsidP="00521305">
            <w:pPr>
              <w:spacing w:before="40" w:after="40"/>
              <w:ind w:left="100" w:right="100"/>
              <w:jc w:val="center"/>
            </w:pPr>
            <w:r>
              <w:rPr>
                <w:rFonts w:eastAsia="Century Gothic" w:cs="Century Gothic"/>
                <w:color w:val="000000"/>
                <w:sz w:val="18"/>
                <w:szCs w:val="18"/>
              </w:rPr>
              <w:t>4 (0.9%)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134BAA" w14:textId="77777777" w:rsidR="001C19F3" w:rsidRDefault="001C19F3" w:rsidP="00521305">
            <w:pPr>
              <w:spacing w:before="40" w:after="40"/>
              <w:ind w:left="100" w:right="100"/>
              <w:jc w:val="center"/>
            </w:pPr>
            <w:r>
              <w:rPr>
                <w:rFonts w:eastAsia="Century Gothic" w:cs="Century Gothic"/>
                <w:color w:val="000000"/>
                <w:sz w:val="18"/>
                <w:szCs w:val="18"/>
              </w:rPr>
              <w:t>0.016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4A8CE7" w14:textId="77777777" w:rsidR="001C19F3" w:rsidRDefault="001C19F3" w:rsidP="00521305">
            <w:pPr>
              <w:spacing w:before="40" w:after="40"/>
              <w:ind w:left="100" w:right="100"/>
              <w:jc w:val="right"/>
            </w:pPr>
            <w:r>
              <w:rPr>
                <w:rFonts w:eastAsia="Century Gothic" w:cs="Century Gothic"/>
                <w:color w:val="000000"/>
                <w:sz w:val="18"/>
                <w:szCs w:val="18"/>
              </w:rPr>
              <w:t>16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0C5315" w14:textId="77777777" w:rsidR="001C19F3" w:rsidRDefault="001C19F3" w:rsidP="00521305">
            <w:pPr>
              <w:spacing w:before="40" w:after="40"/>
              <w:ind w:left="100" w:right="100"/>
              <w:jc w:val="right"/>
            </w:pPr>
            <w:r>
              <w:rPr>
                <w:rFonts w:eastAsia="Century Gothic" w:cs="Century Gothic"/>
                <w:color w:val="000000"/>
                <w:sz w:val="18"/>
                <w:szCs w:val="18"/>
              </w:rPr>
              <w:t>5 (0.6%)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DC2C50"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6DB2117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119C91"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B02BC3"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8B9D72" w14:textId="77777777" w:rsidR="001C19F3" w:rsidRDefault="001C19F3" w:rsidP="00521305">
            <w:pPr>
              <w:spacing w:before="40" w:after="40"/>
              <w:ind w:left="100" w:right="100"/>
              <w:jc w:val="center"/>
            </w:pPr>
            <w:r>
              <w:rPr>
                <w:rFonts w:eastAsia="Century Gothic" w:cs="Century Gothic"/>
                <w:color w:val="000000"/>
                <w:sz w:val="18"/>
                <w:szCs w:val="18"/>
              </w:rPr>
              <w:t>13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2414CD" w14:textId="77777777" w:rsidR="001C19F3" w:rsidRDefault="001C19F3" w:rsidP="00521305">
            <w:pPr>
              <w:spacing w:before="40" w:after="40"/>
              <w:ind w:left="100" w:right="100"/>
              <w:jc w:val="center"/>
            </w:pPr>
            <w:r>
              <w:rPr>
                <w:rFonts w:eastAsia="Century Gothic" w:cs="Century Gothic"/>
                <w:color w:val="000000"/>
                <w:sz w:val="18"/>
                <w:szCs w:val="18"/>
              </w:rPr>
              <w:t>32 (3.1%)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3ED603" w14:textId="77777777" w:rsidR="001C19F3" w:rsidRDefault="001C19F3" w:rsidP="00521305">
            <w:pPr>
              <w:spacing w:before="40" w:after="40"/>
              <w:ind w:left="100" w:right="100"/>
              <w:jc w:val="center"/>
            </w:pPr>
            <w:r>
              <w:rPr>
                <w:rFonts w:eastAsia="Century Gothic" w:cs="Century Gothic"/>
                <w:color w:val="000000"/>
                <w:sz w:val="18"/>
                <w:szCs w:val="18"/>
              </w:rPr>
              <w:t>7 (1.5%)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DA50D4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FA3A20" w14:textId="77777777" w:rsidR="001C19F3" w:rsidRDefault="001C19F3" w:rsidP="00521305">
            <w:pPr>
              <w:spacing w:before="40" w:after="40"/>
              <w:ind w:left="100" w:right="100"/>
              <w:jc w:val="right"/>
            </w:pPr>
            <w:r>
              <w:rPr>
                <w:rFonts w:eastAsia="Century Gothic" w:cs="Century Gothic"/>
                <w:color w:val="000000"/>
                <w:sz w:val="18"/>
                <w:szCs w:val="18"/>
              </w:rPr>
              <w:t>39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94AA5A" w14:textId="77777777" w:rsidR="001C19F3" w:rsidRDefault="001C19F3" w:rsidP="00521305">
            <w:pPr>
              <w:spacing w:before="40" w:after="40"/>
              <w:ind w:left="100" w:right="100"/>
              <w:jc w:val="right"/>
            </w:pPr>
            <w:r>
              <w:rPr>
                <w:rFonts w:eastAsia="Century Gothic" w:cs="Century Gothic"/>
                <w:color w:val="000000"/>
                <w:sz w:val="18"/>
                <w:szCs w:val="18"/>
              </w:rPr>
              <w:t>13 (1.6%)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581889" w14:textId="77777777" w:rsidR="001C19F3" w:rsidRDefault="001C19F3" w:rsidP="00521305">
            <w:pPr>
              <w:spacing w:after="0"/>
              <w:rPr>
                <w:sz w:val="22"/>
              </w:rPr>
            </w:pPr>
          </w:p>
        </w:tc>
      </w:tr>
      <w:tr w:rsidR="001C19F3" w14:paraId="0921BFD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53F570"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BBE5A" w14:textId="77777777" w:rsidR="001C19F3" w:rsidRDefault="001C19F3" w:rsidP="00521305">
            <w:pPr>
              <w:spacing w:before="40" w:after="40"/>
              <w:ind w:left="100" w:right="100"/>
              <w:jc w:val="center"/>
            </w:pPr>
            <w:r>
              <w:rPr>
                <w:rFonts w:eastAsia="Century Gothic" w:cs="Century Gothic"/>
                <w:color w:val="000000"/>
                <w:sz w:val="18"/>
                <w:szCs w:val="18"/>
              </w:rPr>
              <w:t>106 (5.3%)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C2556B" w14:textId="77777777" w:rsidR="001C19F3" w:rsidRDefault="001C19F3" w:rsidP="00521305">
            <w:pPr>
              <w:spacing w:before="40" w:after="40"/>
              <w:ind w:left="100" w:right="100"/>
              <w:jc w:val="center"/>
            </w:pPr>
            <w:r>
              <w:rPr>
                <w:rFonts w:eastAsia="Century Gothic" w:cs="Century Gothic"/>
                <w:color w:val="000000"/>
                <w:sz w:val="18"/>
                <w:szCs w:val="18"/>
              </w:rPr>
              <w:t>28 (6.5%)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53B1BB" w14:textId="77777777" w:rsidR="001C19F3" w:rsidRDefault="001C19F3" w:rsidP="00521305">
            <w:pPr>
              <w:spacing w:before="40" w:after="40"/>
              <w:ind w:left="100" w:right="100"/>
              <w:jc w:val="center"/>
            </w:pPr>
            <w:r>
              <w:rPr>
                <w:rFonts w:eastAsia="Century Gothic" w:cs="Century Gothic"/>
                <w:color w:val="000000"/>
                <w:sz w:val="18"/>
                <w:szCs w:val="18"/>
              </w:rPr>
              <w:t>49 (4.8%)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60DD3" w14:textId="77777777" w:rsidR="001C19F3" w:rsidRDefault="001C19F3" w:rsidP="00521305">
            <w:pPr>
              <w:spacing w:before="40" w:after="40"/>
              <w:ind w:left="100" w:right="100"/>
              <w:jc w:val="center"/>
            </w:pPr>
            <w:r>
              <w:rPr>
                <w:rFonts w:eastAsia="Century Gothic" w:cs="Century Gothic"/>
                <w:color w:val="000000"/>
                <w:sz w:val="18"/>
                <w:szCs w:val="18"/>
              </w:rPr>
              <w:t>25 (5.4%)</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3DD4F0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2D0D7D" w14:textId="77777777" w:rsidR="001C19F3" w:rsidRDefault="001C19F3" w:rsidP="00521305">
            <w:pPr>
              <w:spacing w:before="40" w:after="40"/>
              <w:ind w:left="100" w:right="100"/>
              <w:jc w:val="right"/>
            </w:pPr>
            <w:r>
              <w:rPr>
                <w:rFonts w:eastAsia="Century Gothic" w:cs="Century Gothic"/>
                <w:color w:val="000000"/>
                <w:sz w:val="18"/>
                <w:szCs w:val="18"/>
              </w:rPr>
              <w:t>71 (6.0%)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B67BA" w14:textId="77777777" w:rsidR="001C19F3" w:rsidRDefault="001C19F3" w:rsidP="00521305">
            <w:pPr>
              <w:spacing w:before="40" w:after="40"/>
              <w:ind w:left="100" w:right="100"/>
              <w:jc w:val="right"/>
            </w:pPr>
            <w:r>
              <w:rPr>
                <w:rFonts w:eastAsia="Century Gothic" w:cs="Century Gothic"/>
                <w:color w:val="000000"/>
                <w:sz w:val="18"/>
                <w:szCs w:val="18"/>
              </w:rPr>
              <w:t>35 (4.4%)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E771308" w14:textId="77777777" w:rsidR="001C19F3" w:rsidRDefault="001C19F3" w:rsidP="00521305">
            <w:pPr>
              <w:spacing w:after="0"/>
              <w:rPr>
                <w:sz w:val="22"/>
              </w:rPr>
            </w:pPr>
          </w:p>
        </w:tc>
      </w:tr>
      <w:tr w:rsidR="001C19F3" w14:paraId="11BBC62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C8B1AE"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554A9C" w14:textId="77777777" w:rsidR="001C19F3" w:rsidRDefault="001C19F3" w:rsidP="00521305">
            <w:pPr>
              <w:spacing w:before="40" w:after="40"/>
              <w:ind w:left="100" w:right="100"/>
              <w:jc w:val="center"/>
            </w:pPr>
            <w:r>
              <w:rPr>
                <w:rFonts w:eastAsia="Century Gothic" w:cs="Century Gothic"/>
                <w:color w:val="000000"/>
                <w:sz w:val="18"/>
                <w:szCs w:val="18"/>
              </w:rPr>
              <w:t>633 (31.4%)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1C19CF" w14:textId="77777777" w:rsidR="001C19F3" w:rsidRDefault="001C19F3" w:rsidP="00521305">
            <w:pPr>
              <w:spacing w:before="40" w:after="40"/>
              <w:ind w:left="100" w:right="100"/>
              <w:jc w:val="center"/>
            </w:pPr>
            <w:r>
              <w:rPr>
                <w:rFonts w:eastAsia="Century Gothic" w:cs="Century Gothic"/>
                <w:color w:val="000000"/>
                <w:sz w:val="18"/>
                <w:szCs w:val="18"/>
              </w:rPr>
              <w:t>155 (35.8%)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1723EC" w14:textId="77777777" w:rsidR="001C19F3" w:rsidRDefault="001C19F3" w:rsidP="00521305">
            <w:pPr>
              <w:spacing w:before="40" w:after="40"/>
              <w:ind w:left="100" w:right="100"/>
              <w:jc w:val="center"/>
            </w:pPr>
            <w:r>
              <w:rPr>
                <w:rFonts w:eastAsia="Century Gothic" w:cs="Century Gothic"/>
                <w:color w:val="000000"/>
                <w:sz w:val="18"/>
                <w:szCs w:val="18"/>
              </w:rPr>
              <w:t>329 (32.1%)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C9C2D0" w14:textId="77777777" w:rsidR="001C19F3" w:rsidRDefault="001C19F3" w:rsidP="00521305">
            <w:pPr>
              <w:spacing w:before="40" w:after="40"/>
              <w:ind w:left="100" w:right="100"/>
              <w:jc w:val="center"/>
            </w:pPr>
            <w:r>
              <w:rPr>
                <w:rFonts w:eastAsia="Century Gothic" w:cs="Century Gothic"/>
                <w:color w:val="000000"/>
                <w:sz w:val="18"/>
                <w:szCs w:val="18"/>
              </w:rPr>
              <w:t>123 (26.5%)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4D439A9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8ED54C" w14:textId="77777777" w:rsidR="001C19F3" w:rsidRDefault="001C19F3" w:rsidP="00521305">
            <w:pPr>
              <w:spacing w:before="40" w:after="40"/>
              <w:ind w:left="100" w:right="100"/>
              <w:jc w:val="right"/>
            </w:pPr>
            <w:r>
              <w:rPr>
                <w:rFonts w:eastAsia="Century Gothic" w:cs="Century Gothic"/>
                <w:color w:val="000000"/>
                <w:sz w:val="18"/>
                <w:szCs w:val="18"/>
              </w:rPr>
              <w:t>413 (34.6%)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9985CC" w14:textId="77777777" w:rsidR="001C19F3" w:rsidRDefault="001C19F3" w:rsidP="00521305">
            <w:pPr>
              <w:spacing w:before="40" w:after="40"/>
              <w:ind w:left="100" w:right="100"/>
              <w:jc w:val="right"/>
            </w:pPr>
            <w:r>
              <w:rPr>
                <w:rFonts w:eastAsia="Century Gothic" w:cs="Century Gothic"/>
                <w:color w:val="000000"/>
                <w:sz w:val="18"/>
                <w:szCs w:val="18"/>
              </w:rPr>
              <w:t>220 (27.4%)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3AEBDFF" w14:textId="77777777" w:rsidR="001C19F3" w:rsidRDefault="001C19F3" w:rsidP="00521305">
            <w:pPr>
              <w:spacing w:after="0"/>
              <w:rPr>
                <w:sz w:val="22"/>
              </w:rPr>
            </w:pPr>
          </w:p>
        </w:tc>
      </w:tr>
      <w:tr w:rsidR="001C19F3" w14:paraId="212647C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AD1922"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AA272F" w14:textId="77777777" w:rsidR="001C19F3" w:rsidRDefault="001C19F3" w:rsidP="00521305">
            <w:pPr>
              <w:spacing w:before="40" w:after="40"/>
              <w:ind w:left="100" w:right="100"/>
              <w:jc w:val="center"/>
            </w:pPr>
            <w:r>
              <w:rPr>
                <w:rFonts w:eastAsia="Century Gothic" w:cs="Century Gothic"/>
                <w:color w:val="000000"/>
                <w:sz w:val="18"/>
                <w:szCs w:val="18"/>
              </w:rPr>
              <w:t>1,182 (58.6%)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E1D67" w14:textId="77777777" w:rsidR="001C19F3" w:rsidRDefault="001C19F3" w:rsidP="00521305">
            <w:pPr>
              <w:spacing w:before="40" w:after="40"/>
              <w:ind w:left="100" w:right="100"/>
              <w:jc w:val="center"/>
            </w:pPr>
            <w:r>
              <w:rPr>
                <w:rFonts w:eastAsia="Century Gothic" w:cs="Century Gothic"/>
                <w:color w:val="000000"/>
                <w:sz w:val="18"/>
                <w:szCs w:val="18"/>
              </w:rPr>
              <w:t>230 (53.1%)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AABE66" w14:textId="77777777" w:rsidR="001C19F3" w:rsidRDefault="001C19F3" w:rsidP="00521305">
            <w:pPr>
              <w:spacing w:before="40" w:after="40"/>
              <w:ind w:left="100" w:right="100"/>
              <w:jc w:val="center"/>
            </w:pPr>
            <w:r>
              <w:rPr>
                <w:rFonts w:eastAsia="Century Gothic" w:cs="Century Gothic"/>
                <w:color w:val="000000"/>
                <w:sz w:val="18"/>
                <w:szCs w:val="18"/>
              </w:rPr>
              <w:t>606 (59.1%)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5741EB" w14:textId="77777777" w:rsidR="001C19F3" w:rsidRDefault="001C19F3" w:rsidP="00521305">
            <w:pPr>
              <w:spacing w:before="40" w:after="40"/>
              <w:ind w:left="100" w:right="100"/>
              <w:jc w:val="center"/>
            </w:pPr>
            <w:r>
              <w:rPr>
                <w:rFonts w:eastAsia="Century Gothic" w:cs="Century Gothic"/>
                <w:color w:val="000000"/>
                <w:sz w:val="18"/>
                <w:szCs w:val="18"/>
              </w:rPr>
              <w:t>306 (65.8%)</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4988BFA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2DE129" w14:textId="77777777" w:rsidR="001C19F3" w:rsidRDefault="001C19F3" w:rsidP="00521305">
            <w:pPr>
              <w:spacing w:before="40" w:after="40"/>
              <w:ind w:left="100" w:right="100"/>
              <w:jc w:val="right"/>
            </w:pPr>
            <w:r>
              <w:rPr>
                <w:rFonts w:eastAsia="Century Gothic" w:cs="Century Gothic"/>
                <w:color w:val="000000"/>
                <w:sz w:val="18"/>
                <w:szCs w:val="18"/>
              </w:rPr>
              <w:t>653 (54.8%)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2393CC" w14:textId="77777777" w:rsidR="001C19F3" w:rsidRDefault="001C19F3" w:rsidP="00521305">
            <w:pPr>
              <w:spacing w:before="40" w:after="40"/>
              <w:ind w:left="100" w:right="100"/>
              <w:jc w:val="right"/>
            </w:pPr>
            <w:r>
              <w:rPr>
                <w:rFonts w:eastAsia="Century Gothic" w:cs="Century Gothic"/>
                <w:color w:val="000000"/>
                <w:sz w:val="18"/>
                <w:szCs w:val="18"/>
              </w:rPr>
              <w:t>529 (66.0%)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CE9D1E7" w14:textId="77777777" w:rsidR="001C19F3" w:rsidRDefault="001C19F3" w:rsidP="00521305">
            <w:pPr>
              <w:spacing w:after="0"/>
              <w:rPr>
                <w:sz w:val="22"/>
              </w:rPr>
            </w:pPr>
          </w:p>
        </w:tc>
      </w:tr>
      <w:tr w:rsidR="001C19F3" w14:paraId="20ABF73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9BCA3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8CF81" w14:textId="77777777" w:rsidR="001C19F3" w:rsidRDefault="001C19F3" w:rsidP="00521305">
            <w:pPr>
              <w:spacing w:before="40" w:after="40"/>
              <w:ind w:left="100" w:right="100"/>
              <w:jc w:val="center"/>
            </w:pPr>
            <w:r>
              <w:rPr>
                <w:rFonts w:eastAsia="Century Gothic" w:cs="Century Gothic"/>
                <w:color w:val="000000"/>
                <w:sz w:val="18"/>
                <w:szCs w:val="18"/>
              </w:rPr>
              <w:t>24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2D84E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510B5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2D6FB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226D4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C8364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D7460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A6DE53" w14:textId="77777777" w:rsidR="001C19F3" w:rsidRDefault="001C19F3" w:rsidP="00521305">
            <w:pPr>
              <w:spacing w:before="40" w:after="40"/>
              <w:ind w:left="100" w:right="100"/>
              <w:jc w:val="right"/>
            </w:pPr>
          </w:p>
        </w:tc>
      </w:tr>
    </w:tbl>
    <w:p w14:paraId="0036A889"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4BEC36CF" w14:textId="77777777" w:rsidR="001C19F3" w:rsidRDefault="001C19F3" w:rsidP="00EE4B33">
      <w:pPr>
        <w:pStyle w:val="Caption1"/>
        <w:spacing w:after="0"/>
      </w:pPr>
      <w:r>
        <w:lastRenderedPageBreak/>
        <w:t xml:space="preserve">Table </w:t>
      </w:r>
      <w:r>
        <w:fldChar w:fldCharType="begin"/>
      </w:r>
      <w:r>
        <w:instrText>SEQ Table \* ARABIC</w:instrText>
      </w:r>
      <w:r>
        <w:fldChar w:fldCharType="separate"/>
      </w:r>
      <w:r>
        <w:rPr>
          <w:noProof/>
        </w:rPr>
        <w:t>64</w:t>
      </w:r>
      <w:r>
        <w:fldChar w:fldCharType="end"/>
      </w:r>
      <w:r>
        <w:t xml:space="preserve"> – Care planning question by patient HCH tier and practice size</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63373ECA"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FFF6F07" w14:textId="77777777" w:rsidR="001C19F3" w:rsidRDefault="001C19F3" w:rsidP="00521305">
            <w:pPr>
              <w:spacing w:after="0"/>
              <w:jc w:val="center"/>
            </w:pPr>
            <w:r>
              <w:rPr>
                <w:rFonts w:eastAsia="Century Gothic" w:cs="Century Gothic"/>
                <w:b/>
                <w:color w:val="FFFFFF"/>
                <w:sz w:val="18"/>
                <w:szCs w:val="18"/>
              </w:rPr>
              <w:t>Care planning</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5340E0"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5ECA958"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2951E4" w14:textId="77777777" w:rsidR="001C19F3" w:rsidRDefault="001C19F3" w:rsidP="00521305">
            <w:pPr>
              <w:spacing w:after="0"/>
              <w:jc w:val="center"/>
            </w:pPr>
            <w:r>
              <w:rPr>
                <w:rFonts w:eastAsia="Century Gothic" w:cs="Century Gothic"/>
                <w:b/>
                <w:color w:val="FFFFFF"/>
                <w:sz w:val="18"/>
                <w:szCs w:val="18"/>
              </w:rPr>
              <w:t>Size</w:t>
            </w:r>
          </w:p>
        </w:tc>
      </w:tr>
      <w:tr w:rsidR="001C19F3" w14:paraId="2804BBBD" w14:textId="77777777" w:rsidTr="00521305">
        <w:trPr>
          <w:cantSplit/>
          <w:trHeight w:val="336"/>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970B69B"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41A466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F0ACA90"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C09A931" w14:textId="77777777" w:rsidR="001C19F3" w:rsidRDefault="001C19F3" w:rsidP="00521305">
            <w:pPr>
              <w:spacing w:after="0"/>
              <w:jc w:val="center"/>
            </w:pPr>
            <w:r>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9AC7D18" w14:textId="77777777" w:rsidR="001C19F3" w:rsidRDefault="001C19F3" w:rsidP="00521305">
            <w:pPr>
              <w:spacing w:after="0"/>
              <w:jc w:val="center"/>
            </w:pPr>
            <w:r>
              <w:rPr>
                <w:rFonts w:eastAsia="Century Gothic" w:cs="Century Gothic"/>
                <w:b/>
                <w:color w:val="FFFFFF"/>
                <w:sz w:val="18"/>
                <w:szCs w:val="18"/>
              </w:rPr>
              <w:t>Tier 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47AF5A"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E1EDAED"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C177A9"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91865C3"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1B3CE16"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A30997" w14:textId="77777777" w:rsidR="001C19F3" w:rsidRDefault="001C19F3" w:rsidP="00521305">
            <w:pPr>
              <w:spacing w:before="40" w:after="40"/>
              <w:ind w:left="100" w:right="100"/>
            </w:pPr>
            <w:r>
              <w:rPr>
                <w:rFonts w:eastAsia="Century Gothic" w:cs="Century Gothic"/>
                <w:b/>
                <w:color w:val="000000"/>
                <w:sz w:val="18"/>
                <w:szCs w:val="18"/>
              </w:rPr>
              <w:t>D1 Patient has registered for My Health Record (Q6)</w:t>
            </w:r>
          </w:p>
        </w:tc>
      </w:tr>
      <w:tr w:rsidR="001C19F3" w14:paraId="2852017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F5C881"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9E4A5" w14:textId="77777777" w:rsidR="001C19F3" w:rsidRDefault="001C19F3" w:rsidP="00521305">
            <w:pPr>
              <w:spacing w:before="40" w:after="40"/>
              <w:ind w:left="100" w:right="100"/>
              <w:jc w:val="center"/>
            </w:pPr>
            <w:r>
              <w:rPr>
                <w:rFonts w:eastAsia="Century Gothic" w:cs="Century Gothic"/>
                <w:color w:val="000000"/>
                <w:sz w:val="18"/>
                <w:szCs w:val="18"/>
              </w:rPr>
              <w:t>1,449 (71.8%)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654803" w14:textId="77777777" w:rsidR="001C19F3" w:rsidRDefault="001C19F3" w:rsidP="00521305">
            <w:pPr>
              <w:spacing w:before="40" w:after="40"/>
              <w:ind w:left="100" w:right="100"/>
              <w:jc w:val="center"/>
            </w:pPr>
            <w:r>
              <w:rPr>
                <w:rFonts w:eastAsia="Century Gothic" w:cs="Century Gothic"/>
                <w:color w:val="000000"/>
                <w:sz w:val="18"/>
                <w:szCs w:val="18"/>
              </w:rPr>
              <w:t>344 (87.3%)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886C29" w14:textId="77777777" w:rsidR="001C19F3" w:rsidRDefault="001C19F3" w:rsidP="00521305">
            <w:pPr>
              <w:spacing w:before="40" w:after="40"/>
              <w:ind w:left="100" w:right="100"/>
              <w:jc w:val="center"/>
            </w:pPr>
            <w:r>
              <w:rPr>
                <w:rFonts w:eastAsia="Century Gothic" w:cs="Century Gothic"/>
                <w:color w:val="000000"/>
                <w:sz w:val="18"/>
                <w:szCs w:val="18"/>
              </w:rPr>
              <w:t>760 (81.8%)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A4F43" w14:textId="77777777" w:rsidR="001C19F3" w:rsidRDefault="001C19F3" w:rsidP="00521305">
            <w:pPr>
              <w:spacing w:before="40" w:after="40"/>
              <w:ind w:left="100" w:right="100"/>
              <w:jc w:val="center"/>
            </w:pPr>
            <w:r>
              <w:rPr>
                <w:rFonts w:eastAsia="Century Gothic" w:cs="Century Gothic"/>
                <w:color w:val="000000"/>
                <w:sz w:val="18"/>
                <w:szCs w:val="18"/>
              </w:rPr>
              <w:t>300 (73.9%)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AFAC89"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7ACC87" w14:textId="77777777" w:rsidR="001C19F3" w:rsidRDefault="001C19F3" w:rsidP="00521305">
            <w:pPr>
              <w:spacing w:before="40" w:after="40"/>
              <w:ind w:left="100" w:right="100"/>
              <w:jc w:val="right"/>
            </w:pPr>
            <w:r>
              <w:rPr>
                <w:rFonts w:eastAsia="Century Gothic" w:cs="Century Gothic"/>
                <w:color w:val="000000"/>
                <w:sz w:val="18"/>
                <w:szCs w:val="18"/>
              </w:rPr>
              <w:t>902 (82.8%)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0518D4" w14:textId="77777777" w:rsidR="001C19F3" w:rsidRDefault="001C19F3" w:rsidP="00521305">
            <w:pPr>
              <w:spacing w:before="40" w:after="40"/>
              <w:ind w:left="100" w:right="100"/>
              <w:jc w:val="right"/>
            </w:pPr>
            <w:r>
              <w:rPr>
                <w:rFonts w:eastAsia="Century Gothic" w:cs="Century Gothic"/>
                <w:color w:val="000000"/>
                <w:sz w:val="18"/>
                <w:szCs w:val="18"/>
              </w:rPr>
              <w:t>547 (78.5%)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966949" w14:textId="77777777" w:rsidR="001C19F3" w:rsidRDefault="001C19F3" w:rsidP="00521305">
            <w:pPr>
              <w:spacing w:before="40" w:after="40"/>
              <w:ind w:left="100" w:right="100"/>
              <w:jc w:val="right"/>
            </w:pPr>
            <w:r>
              <w:rPr>
                <w:rFonts w:eastAsia="Century Gothic" w:cs="Century Gothic"/>
                <w:color w:val="000000"/>
                <w:sz w:val="18"/>
                <w:szCs w:val="18"/>
              </w:rPr>
              <w:t>0.029</w:t>
            </w:r>
          </w:p>
        </w:tc>
      </w:tr>
      <w:tr w:rsidR="001C19F3" w14:paraId="40EDA0E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100ECB"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1481A7" w14:textId="77777777" w:rsidR="001C19F3" w:rsidRDefault="001C19F3" w:rsidP="00521305">
            <w:pPr>
              <w:spacing w:before="40" w:after="40"/>
              <w:ind w:left="100" w:right="100"/>
              <w:jc w:val="center"/>
            </w:pPr>
            <w:r>
              <w:rPr>
                <w:rFonts w:eastAsia="Century Gothic" w:cs="Century Gothic"/>
                <w:color w:val="000000"/>
                <w:sz w:val="18"/>
                <w:szCs w:val="18"/>
              </w:rPr>
              <w:t>338 (16.7%)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BE998A" w14:textId="77777777" w:rsidR="001C19F3" w:rsidRDefault="001C19F3" w:rsidP="00521305">
            <w:pPr>
              <w:spacing w:before="40" w:after="40"/>
              <w:ind w:left="100" w:right="100"/>
              <w:jc w:val="center"/>
            </w:pPr>
            <w:r>
              <w:rPr>
                <w:rFonts w:eastAsia="Century Gothic" w:cs="Century Gothic"/>
                <w:color w:val="000000"/>
                <w:sz w:val="18"/>
                <w:szCs w:val="18"/>
              </w:rPr>
              <w:t>50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1533FB" w14:textId="77777777" w:rsidR="001C19F3" w:rsidRDefault="001C19F3" w:rsidP="00521305">
            <w:pPr>
              <w:spacing w:before="40" w:after="40"/>
              <w:ind w:left="100" w:right="100"/>
              <w:jc w:val="center"/>
            </w:pPr>
            <w:r>
              <w:rPr>
                <w:rFonts w:eastAsia="Century Gothic" w:cs="Century Gothic"/>
                <w:color w:val="000000"/>
                <w:sz w:val="18"/>
                <w:szCs w:val="18"/>
              </w:rPr>
              <w:t>169 (18.2%)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77C66D" w14:textId="77777777" w:rsidR="001C19F3" w:rsidRDefault="001C19F3" w:rsidP="00521305">
            <w:pPr>
              <w:spacing w:before="40" w:after="40"/>
              <w:ind w:left="100" w:right="100"/>
              <w:jc w:val="center"/>
            </w:pPr>
            <w:r>
              <w:rPr>
                <w:rFonts w:eastAsia="Century Gothic" w:cs="Century Gothic"/>
                <w:color w:val="000000"/>
                <w:sz w:val="18"/>
                <w:szCs w:val="18"/>
              </w:rPr>
              <w:t>106 (26.1%)</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36041DD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89059" w14:textId="77777777" w:rsidR="001C19F3" w:rsidRDefault="001C19F3" w:rsidP="00521305">
            <w:pPr>
              <w:spacing w:before="40" w:after="40"/>
              <w:ind w:left="100" w:right="100"/>
              <w:jc w:val="right"/>
            </w:pPr>
            <w:r>
              <w:rPr>
                <w:rFonts w:eastAsia="Century Gothic" w:cs="Century Gothic"/>
                <w:color w:val="000000"/>
                <w:sz w:val="18"/>
                <w:szCs w:val="18"/>
              </w:rPr>
              <w:t>188 (17.2%)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C693BB" w14:textId="77777777" w:rsidR="001C19F3" w:rsidRDefault="001C19F3" w:rsidP="00521305">
            <w:pPr>
              <w:spacing w:before="40" w:after="40"/>
              <w:ind w:left="100" w:right="100"/>
              <w:jc w:val="right"/>
            </w:pPr>
            <w:r>
              <w:rPr>
                <w:rFonts w:eastAsia="Century Gothic" w:cs="Century Gothic"/>
                <w:color w:val="000000"/>
                <w:sz w:val="18"/>
                <w:szCs w:val="18"/>
              </w:rPr>
              <w:t>150 (21.5%)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51E27E8" w14:textId="77777777" w:rsidR="001C19F3" w:rsidRDefault="001C19F3" w:rsidP="00521305">
            <w:pPr>
              <w:spacing w:after="0"/>
              <w:rPr>
                <w:sz w:val="22"/>
              </w:rPr>
            </w:pPr>
          </w:p>
        </w:tc>
      </w:tr>
      <w:tr w:rsidR="001C19F3" w14:paraId="0149AF8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41E161"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7039EE" w14:textId="77777777" w:rsidR="001C19F3" w:rsidRDefault="001C19F3" w:rsidP="00521305">
            <w:pPr>
              <w:spacing w:before="40" w:after="40"/>
              <w:ind w:left="100" w:right="100"/>
              <w:jc w:val="center"/>
            </w:pPr>
            <w:r>
              <w:rPr>
                <w:rFonts w:eastAsia="Century Gothic" w:cs="Century Gothic"/>
                <w:color w:val="000000"/>
                <w:sz w:val="18"/>
                <w:szCs w:val="18"/>
              </w:rPr>
              <w:t>231 (11.4%)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6B245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5D34D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C191F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08C95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20993F"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A3D7C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9A01F3" w14:textId="77777777" w:rsidR="001C19F3" w:rsidRDefault="001C19F3" w:rsidP="00521305">
            <w:pPr>
              <w:spacing w:before="40" w:after="40"/>
              <w:ind w:left="100" w:right="100"/>
              <w:jc w:val="right"/>
            </w:pPr>
          </w:p>
        </w:tc>
      </w:tr>
      <w:tr w:rsidR="001C19F3" w14:paraId="34CB7E4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DEB4D2" w14:textId="77777777" w:rsidR="001C19F3" w:rsidRDefault="001C19F3" w:rsidP="00521305">
            <w:pPr>
              <w:spacing w:before="40" w:after="40"/>
              <w:ind w:left="100" w:right="100"/>
            </w:pPr>
            <w:r>
              <w:rPr>
                <w:rFonts w:eastAsia="Century Gothic" w:cs="Century Gothic"/>
                <w:b/>
                <w:color w:val="000000"/>
                <w:sz w:val="18"/>
                <w:szCs w:val="18"/>
              </w:rPr>
              <w:t>D2 Before enrolling in HCH, patient had a treatment/shared care plan which their GP or practice staff developed with them (Q7)</w:t>
            </w:r>
          </w:p>
        </w:tc>
      </w:tr>
      <w:tr w:rsidR="001C19F3" w14:paraId="41BD15F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B96D81"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AAE663" w14:textId="77777777" w:rsidR="001C19F3" w:rsidRDefault="001C19F3" w:rsidP="00521305">
            <w:pPr>
              <w:spacing w:before="40" w:after="40"/>
              <w:ind w:left="100" w:right="100"/>
              <w:jc w:val="center"/>
            </w:pPr>
            <w:r>
              <w:rPr>
                <w:rFonts w:eastAsia="Century Gothic" w:cs="Century Gothic"/>
                <w:color w:val="000000"/>
                <w:sz w:val="18"/>
                <w:szCs w:val="18"/>
              </w:rPr>
              <w:t>1,159 (57.4%)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553138" w14:textId="77777777" w:rsidR="001C19F3" w:rsidRDefault="001C19F3" w:rsidP="00521305">
            <w:pPr>
              <w:spacing w:before="40" w:after="40"/>
              <w:ind w:left="100" w:right="100"/>
              <w:jc w:val="center"/>
            </w:pPr>
            <w:r>
              <w:rPr>
                <w:rFonts w:eastAsia="Century Gothic" w:cs="Century Gothic"/>
                <w:color w:val="000000"/>
                <w:sz w:val="18"/>
                <w:szCs w:val="18"/>
              </w:rPr>
              <w:t>242 (56.9%)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4DEF3C" w14:textId="77777777" w:rsidR="001C19F3" w:rsidRDefault="001C19F3" w:rsidP="00521305">
            <w:pPr>
              <w:spacing w:before="40" w:after="40"/>
              <w:ind w:left="100" w:right="100"/>
              <w:jc w:val="center"/>
            </w:pPr>
            <w:r>
              <w:rPr>
                <w:rFonts w:eastAsia="Century Gothic" w:cs="Century Gothic"/>
                <w:color w:val="000000"/>
                <w:sz w:val="18"/>
                <w:szCs w:val="18"/>
              </w:rPr>
              <w:t>607 (62.0%)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DFABFB" w14:textId="77777777" w:rsidR="001C19F3" w:rsidRDefault="001C19F3" w:rsidP="00521305">
            <w:pPr>
              <w:spacing w:before="40" w:after="40"/>
              <w:ind w:left="100" w:right="100"/>
              <w:jc w:val="center"/>
            </w:pPr>
            <w:r>
              <w:rPr>
                <w:rFonts w:eastAsia="Century Gothic" w:cs="Century Gothic"/>
                <w:color w:val="000000"/>
                <w:sz w:val="18"/>
                <w:szCs w:val="18"/>
              </w:rPr>
              <w:t>268 (61.9%)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D5BE8F" w14:textId="77777777" w:rsidR="001C19F3" w:rsidRDefault="001C19F3" w:rsidP="00521305">
            <w:pPr>
              <w:spacing w:before="40" w:after="40"/>
              <w:ind w:left="100" w:right="100"/>
              <w:jc w:val="center"/>
            </w:pPr>
            <w:r>
              <w:rPr>
                <w:rFonts w:eastAsia="Century Gothic" w:cs="Century Gothic"/>
                <w:color w:val="000000"/>
                <w:sz w:val="18"/>
                <w:szCs w:val="18"/>
              </w:rPr>
              <w:t>0.177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FC4FE2" w14:textId="77777777" w:rsidR="001C19F3" w:rsidRDefault="001C19F3" w:rsidP="00521305">
            <w:pPr>
              <w:spacing w:before="40" w:after="40"/>
              <w:ind w:left="100" w:right="100"/>
              <w:jc w:val="right"/>
            </w:pPr>
            <w:r>
              <w:rPr>
                <w:rFonts w:eastAsia="Century Gothic" w:cs="Century Gothic"/>
                <w:color w:val="000000"/>
                <w:sz w:val="18"/>
                <w:szCs w:val="18"/>
              </w:rPr>
              <w:t>703 (61.1%)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918C70" w14:textId="77777777" w:rsidR="001C19F3" w:rsidRDefault="001C19F3" w:rsidP="00521305">
            <w:pPr>
              <w:spacing w:before="40" w:after="40"/>
              <w:ind w:left="100" w:right="100"/>
              <w:jc w:val="right"/>
            </w:pPr>
            <w:r>
              <w:rPr>
                <w:rFonts w:eastAsia="Century Gothic" w:cs="Century Gothic"/>
                <w:color w:val="000000"/>
                <w:sz w:val="18"/>
                <w:szCs w:val="18"/>
              </w:rPr>
              <w:t>456 (60.3%)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C55791" w14:textId="77777777" w:rsidR="001C19F3" w:rsidRDefault="001C19F3" w:rsidP="00521305">
            <w:pPr>
              <w:spacing w:before="40" w:after="40"/>
              <w:ind w:left="100" w:right="100"/>
              <w:jc w:val="right"/>
            </w:pPr>
            <w:r>
              <w:rPr>
                <w:rFonts w:eastAsia="Century Gothic" w:cs="Century Gothic"/>
                <w:color w:val="000000"/>
                <w:sz w:val="18"/>
                <w:szCs w:val="18"/>
              </w:rPr>
              <w:t>0.758</w:t>
            </w:r>
          </w:p>
        </w:tc>
      </w:tr>
      <w:tr w:rsidR="001C19F3" w14:paraId="46330B1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008FBB"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96BB18" w14:textId="77777777" w:rsidR="001C19F3" w:rsidRDefault="001C19F3" w:rsidP="00521305">
            <w:pPr>
              <w:spacing w:before="40" w:after="40"/>
              <w:ind w:left="100" w:right="100"/>
              <w:jc w:val="center"/>
            </w:pPr>
            <w:r>
              <w:rPr>
                <w:rFonts w:eastAsia="Century Gothic" w:cs="Century Gothic"/>
                <w:color w:val="000000"/>
                <w:sz w:val="18"/>
                <w:szCs w:val="18"/>
              </w:rPr>
              <w:t>747 (37.0%)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47079" w14:textId="77777777" w:rsidR="001C19F3" w:rsidRDefault="001C19F3" w:rsidP="00521305">
            <w:pPr>
              <w:spacing w:before="40" w:after="40"/>
              <w:ind w:left="100" w:right="100"/>
              <w:jc w:val="center"/>
            </w:pPr>
            <w:r>
              <w:rPr>
                <w:rFonts w:eastAsia="Century Gothic" w:cs="Century Gothic"/>
                <w:color w:val="000000"/>
                <w:sz w:val="18"/>
                <w:szCs w:val="18"/>
              </w:rPr>
              <w:t>183 (43.1%)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B82E3" w14:textId="77777777" w:rsidR="001C19F3" w:rsidRDefault="001C19F3" w:rsidP="00521305">
            <w:pPr>
              <w:spacing w:before="40" w:after="40"/>
              <w:ind w:left="100" w:right="100"/>
              <w:jc w:val="center"/>
            </w:pPr>
            <w:r>
              <w:rPr>
                <w:rFonts w:eastAsia="Century Gothic" w:cs="Century Gothic"/>
                <w:color w:val="000000"/>
                <w:sz w:val="18"/>
                <w:szCs w:val="18"/>
              </w:rPr>
              <w:t>372 (38.0%)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C90964" w14:textId="77777777" w:rsidR="001C19F3" w:rsidRDefault="001C19F3" w:rsidP="00521305">
            <w:pPr>
              <w:spacing w:before="40" w:after="40"/>
              <w:ind w:left="100" w:right="100"/>
              <w:jc w:val="center"/>
            </w:pPr>
            <w:r>
              <w:rPr>
                <w:rFonts w:eastAsia="Century Gothic" w:cs="Century Gothic"/>
                <w:color w:val="000000"/>
                <w:sz w:val="18"/>
                <w:szCs w:val="18"/>
              </w:rPr>
              <w:t>165 (38.1%)</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D7A33B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1FE7F3" w14:textId="77777777" w:rsidR="001C19F3" w:rsidRDefault="001C19F3" w:rsidP="00521305">
            <w:pPr>
              <w:spacing w:before="40" w:after="40"/>
              <w:ind w:left="100" w:right="100"/>
              <w:jc w:val="right"/>
            </w:pPr>
            <w:r>
              <w:rPr>
                <w:rFonts w:eastAsia="Century Gothic" w:cs="Century Gothic"/>
                <w:color w:val="000000"/>
                <w:sz w:val="18"/>
                <w:szCs w:val="18"/>
              </w:rPr>
              <w:t>447 (38.9%)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122CA4" w14:textId="77777777" w:rsidR="001C19F3" w:rsidRDefault="001C19F3" w:rsidP="00521305">
            <w:pPr>
              <w:spacing w:before="40" w:after="40"/>
              <w:ind w:left="100" w:right="100"/>
              <w:jc w:val="right"/>
            </w:pPr>
            <w:r>
              <w:rPr>
                <w:rFonts w:eastAsia="Century Gothic" w:cs="Century Gothic"/>
                <w:color w:val="000000"/>
                <w:sz w:val="18"/>
                <w:szCs w:val="18"/>
              </w:rPr>
              <w:t>300 (39.7%)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4787D7" w14:textId="77777777" w:rsidR="001C19F3" w:rsidRDefault="001C19F3" w:rsidP="00521305">
            <w:pPr>
              <w:spacing w:after="0"/>
              <w:rPr>
                <w:sz w:val="22"/>
              </w:rPr>
            </w:pPr>
          </w:p>
        </w:tc>
      </w:tr>
      <w:tr w:rsidR="001C19F3" w14:paraId="5E30A11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3E205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6C7EE6" w14:textId="77777777" w:rsidR="001C19F3" w:rsidRDefault="001C19F3" w:rsidP="00521305">
            <w:pPr>
              <w:spacing w:before="40" w:after="40"/>
              <w:ind w:left="100" w:right="100"/>
              <w:jc w:val="center"/>
            </w:pPr>
            <w:r>
              <w:rPr>
                <w:rFonts w:eastAsia="Century Gothic" w:cs="Century Gothic"/>
                <w:color w:val="000000"/>
                <w:sz w:val="18"/>
                <w:szCs w:val="18"/>
              </w:rPr>
              <w:t>112 (5.6%)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4D4C1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6C149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5F050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51AAE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1617F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A2337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9D9381" w14:textId="77777777" w:rsidR="001C19F3" w:rsidRDefault="001C19F3" w:rsidP="00521305">
            <w:pPr>
              <w:spacing w:before="40" w:after="40"/>
              <w:ind w:left="100" w:right="100"/>
              <w:jc w:val="right"/>
            </w:pPr>
          </w:p>
        </w:tc>
      </w:tr>
      <w:tr w:rsidR="001C19F3" w14:paraId="579ADA9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A0D869" w14:textId="77777777" w:rsidR="001C19F3" w:rsidRDefault="001C19F3" w:rsidP="00521305">
            <w:pPr>
              <w:spacing w:before="40" w:after="40"/>
              <w:ind w:left="100" w:right="100"/>
            </w:pPr>
            <w:r>
              <w:rPr>
                <w:rFonts w:eastAsia="Century Gothic" w:cs="Century Gothic"/>
                <w:b/>
                <w:color w:val="000000"/>
                <w:sz w:val="18"/>
                <w:szCs w:val="18"/>
              </w:rPr>
              <w:t>D3 Before enrolling in HCH, frequency the patient discussed their treatment/shared care plan with their GP or practice staff (Q8)</w:t>
            </w:r>
          </w:p>
        </w:tc>
      </w:tr>
      <w:tr w:rsidR="001C19F3" w14:paraId="55B3397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C066EF" w14:textId="77777777" w:rsidR="001C19F3" w:rsidRDefault="001C19F3" w:rsidP="00521305">
            <w:pPr>
              <w:spacing w:before="40" w:after="40"/>
              <w:ind w:left="160" w:right="100"/>
            </w:pPr>
            <w:r>
              <w:rPr>
                <w:rFonts w:eastAsia="Century Gothic" w:cs="Century Gothic"/>
                <w:color w:val="000000"/>
                <w:sz w:val="18"/>
                <w:szCs w:val="18"/>
              </w:rPr>
              <w:t>At most or all consultations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39D2BC" w14:textId="77777777" w:rsidR="001C19F3" w:rsidRDefault="001C19F3" w:rsidP="00521305">
            <w:pPr>
              <w:spacing w:before="40" w:after="40"/>
              <w:ind w:left="100" w:right="100"/>
              <w:jc w:val="center"/>
            </w:pPr>
            <w:r>
              <w:rPr>
                <w:rFonts w:eastAsia="Century Gothic" w:cs="Century Gothic"/>
                <w:color w:val="000000"/>
                <w:sz w:val="18"/>
                <w:szCs w:val="18"/>
              </w:rPr>
              <w:t>485 (41.8%)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56766D" w14:textId="77777777" w:rsidR="001C19F3" w:rsidRDefault="001C19F3" w:rsidP="00521305">
            <w:pPr>
              <w:spacing w:before="40" w:after="40"/>
              <w:ind w:left="100" w:right="100"/>
              <w:jc w:val="center"/>
            </w:pPr>
            <w:r>
              <w:rPr>
                <w:rFonts w:eastAsia="Century Gothic" w:cs="Century Gothic"/>
                <w:color w:val="000000"/>
                <w:sz w:val="18"/>
                <w:szCs w:val="18"/>
              </w:rPr>
              <w:t>90 (41.7%)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09FE74" w14:textId="77777777" w:rsidR="001C19F3" w:rsidRDefault="001C19F3" w:rsidP="00521305">
            <w:pPr>
              <w:spacing w:before="40" w:after="40"/>
              <w:ind w:left="100" w:right="100"/>
              <w:jc w:val="center"/>
            </w:pPr>
            <w:r>
              <w:rPr>
                <w:rFonts w:eastAsia="Century Gothic" w:cs="Century Gothic"/>
                <w:color w:val="000000"/>
                <w:sz w:val="18"/>
                <w:szCs w:val="18"/>
              </w:rPr>
              <w:t>244 (43.3%)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736D39" w14:textId="77777777" w:rsidR="001C19F3" w:rsidRDefault="001C19F3" w:rsidP="00521305">
            <w:pPr>
              <w:spacing w:before="40" w:after="40"/>
              <w:ind w:left="100" w:right="100"/>
              <w:jc w:val="center"/>
            </w:pPr>
            <w:r>
              <w:rPr>
                <w:rFonts w:eastAsia="Century Gothic" w:cs="Century Gothic"/>
                <w:color w:val="000000"/>
                <w:sz w:val="18"/>
                <w:szCs w:val="18"/>
              </w:rPr>
              <w:t>130 (53.3%)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320FAE" w14:textId="77777777" w:rsidR="001C19F3" w:rsidRDefault="001C19F3" w:rsidP="00521305">
            <w:pPr>
              <w:spacing w:before="40" w:after="40"/>
              <w:ind w:left="100" w:right="100"/>
              <w:jc w:val="center"/>
            </w:pPr>
            <w:r>
              <w:rPr>
                <w:rFonts w:eastAsia="Century Gothic" w:cs="Century Gothic"/>
                <w:color w:val="000000"/>
                <w:sz w:val="18"/>
                <w:szCs w:val="18"/>
              </w:rPr>
              <w:t>0.030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0563D" w14:textId="77777777" w:rsidR="001C19F3" w:rsidRDefault="001C19F3" w:rsidP="00521305">
            <w:pPr>
              <w:spacing w:before="40" w:after="40"/>
              <w:ind w:left="100" w:right="100"/>
              <w:jc w:val="right"/>
            </w:pPr>
            <w:r>
              <w:rPr>
                <w:rFonts w:eastAsia="Century Gothic" w:cs="Century Gothic"/>
                <w:color w:val="000000"/>
                <w:sz w:val="18"/>
                <w:szCs w:val="18"/>
              </w:rPr>
              <w:t>247 (38.8%)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91555" w14:textId="77777777" w:rsidR="001C19F3" w:rsidRDefault="001C19F3" w:rsidP="00521305">
            <w:pPr>
              <w:spacing w:before="40" w:after="40"/>
              <w:ind w:left="100" w:right="100"/>
              <w:jc w:val="right"/>
            </w:pPr>
            <w:r>
              <w:rPr>
                <w:rFonts w:eastAsia="Century Gothic" w:cs="Century Gothic"/>
                <w:color w:val="000000"/>
                <w:sz w:val="18"/>
                <w:szCs w:val="18"/>
              </w:rPr>
              <w:t>238 (55.6%)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C46068"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287F1AB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AF7EB7" w14:textId="77777777" w:rsidR="001C19F3" w:rsidRDefault="001C19F3" w:rsidP="00521305">
            <w:pPr>
              <w:spacing w:before="40" w:after="40"/>
              <w:ind w:left="160" w:right="100"/>
            </w:pPr>
            <w:r>
              <w:rPr>
                <w:rFonts w:eastAsia="Century Gothic" w:cs="Century Gothic"/>
                <w:color w:val="000000"/>
                <w:sz w:val="18"/>
                <w:szCs w:val="18"/>
              </w:rPr>
              <w:t>It was sometimes discussed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9D0415" w14:textId="77777777" w:rsidR="001C19F3" w:rsidRDefault="001C19F3" w:rsidP="00521305">
            <w:pPr>
              <w:spacing w:before="40" w:after="40"/>
              <w:ind w:left="100" w:right="100"/>
              <w:jc w:val="center"/>
            </w:pPr>
            <w:r>
              <w:rPr>
                <w:rFonts w:eastAsia="Century Gothic" w:cs="Century Gothic"/>
                <w:color w:val="000000"/>
                <w:sz w:val="18"/>
                <w:szCs w:val="18"/>
              </w:rPr>
              <w:t>500 (43.1%)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B245AF" w14:textId="77777777" w:rsidR="001C19F3" w:rsidRDefault="001C19F3" w:rsidP="00521305">
            <w:pPr>
              <w:spacing w:before="40" w:after="40"/>
              <w:ind w:left="100" w:right="100"/>
              <w:jc w:val="center"/>
            </w:pPr>
            <w:r>
              <w:rPr>
                <w:rFonts w:eastAsia="Century Gothic" w:cs="Century Gothic"/>
                <w:color w:val="000000"/>
                <w:sz w:val="18"/>
                <w:szCs w:val="18"/>
              </w:rPr>
              <w:t>105 (48.6%)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84349" w14:textId="77777777" w:rsidR="001C19F3" w:rsidRDefault="001C19F3" w:rsidP="00521305">
            <w:pPr>
              <w:spacing w:before="40" w:after="40"/>
              <w:ind w:left="100" w:right="100"/>
              <w:jc w:val="center"/>
            </w:pPr>
            <w:r>
              <w:rPr>
                <w:rFonts w:eastAsia="Century Gothic" w:cs="Century Gothic"/>
                <w:color w:val="000000"/>
                <w:sz w:val="18"/>
                <w:szCs w:val="18"/>
              </w:rPr>
              <w:t>274 (48.6%)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AA29E7" w14:textId="77777777" w:rsidR="001C19F3" w:rsidRDefault="001C19F3" w:rsidP="00521305">
            <w:pPr>
              <w:spacing w:before="40" w:after="40"/>
              <w:ind w:left="100" w:right="100"/>
              <w:jc w:val="center"/>
            </w:pPr>
            <w:r>
              <w:rPr>
                <w:rFonts w:eastAsia="Century Gothic" w:cs="Century Gothic"/>
                <w:color w:val="000000"/>
                <w:sz w:val="18"/>
                <w:szCs w:val="18"/>
              </w:rPr>
              <w:t>103 (42.2%)</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016495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8D1A4" w14:textId="77777777" w:rsidR="001C19F3" w:rsidRDefault="001C19F3" w:rsidP="00521305">
            <w:pPr>
              <w:spacing w:before="40" w:after="40"/>
              <w:ind w:left="100" w:right="100"/>
              <w:jc w:val="right"/>
            </w:pPr>
            <w:r>
              <w:rPr>
                <w:rFonts w:eastAsia="Century Gothic" w:cs="Century Gothic"/>
                <w:color w:val="000000"/>
                <w:sz w:val="18"/>
                <w:szCs w:val="18"/>
              </w:rPr>
              <w:t>334 (52.5%)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5F7983" w14:textId="77777777" w:rsidR="001C19F3" w:rsidRDefault="001C19F3" w:rsidP="00521305">
            <w:pPr>
              <w:spacing w:before="40" w:after="40"/>
              <w:ind w:left="100" w:right="100"/>
              <w:jc w:val="right"/>
            </w:pPr>
            <w:r>
              <w:rPr>
                <w:rFonts w:eastAsia="Century Gothic" w:cs="Century Gothic"/>
                <w:color w:val="000000"/>
                <w:sz w:val="18"/>
                <w:szCs w:val="18"/>
              </w:rPr>
              <w:t>166 (38.8%)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4C584AA" w14:textId="77777777" w:rsidR="001C19F3" w:rsidRDefault="001C19F3" w:rsidP="00521305">
            <w:pPr>
              <w:spacing w:after="0"/>
              <w:rPr>
                <w:sz w:val="22"/>
              </w:rPr>
            </w:pPr>
          </w:p>
        </w:tc>
      </w:tr>
      <w:tr w:rsidR="001C19F3" w14:paraId="70E1B14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30B7B9" w14:textId="77777777" w:rsidR="001C19F3" w:rsidRDefault="001C19F3" w:rsidP="00521305">
            <w:pPr>
              <w:spacing w:before="40" w:after="40"/>
              <w:ind w:left="160" w:right="100"/>
            </w:pPr>
            <w:r>
              <w:rPr>
                <w:rFonts w:eastAsia="Century Gothic" w:cs="Century Gothic"/>
                <w:color w:val="000000"/>
                <w:sz w:val="18"/>
                <w:szCs w:val="18"/>
              </w:rPr>
              <w:t>It was never discussed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04F47E" w14:textId="77777777" w:rsidR="001C19F3" w:rsidRDefault="001C19F3" w:rsidP="00521305">
            <w:pPr>
              <w:spacing w:before="40" w:after="40"/>
              <w:ind w:left="100" w:right="100"/>
              <w:jc w:val="center"/>
            </w:pPr>
            <w:r>
              <w:rPr>
                <w:rFonts w:eastAsia="Century Gothic" w:cs="Century Gothic"/>
                <w:color w:val="000000"/>
                <w:sz w:val="18"/>
                <w:szCs w:val="18"/>
              </w:rPr>
              <w:t>79 (6.8%)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48023" w14:textId="77777777" w:rsidR="001C19F3" w:rsidRDefault="001C19F3" w:rsidP="00521305">
            <w:pPr>
              <w:spacing w:before="40" w:after="40"/>
              <w:ind w:left="100" w:right="100"/>
              <w:jc w:val="center"/>
            </w:pPr>
            <w:r>
              <w:rPr>
                <w:rFonts w:eastAsia="Century Gothic" w:cs="Century Gothic"/>
                <w:color w:val="000000"/>
                <w:sz w:val="18"/>
                <w:szCs w:val="18"/>
              </w:rPr>
              <w:t>21 (9.7%)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463A7" w14:textId="77777777" w:rsidR="001C19F3" w:rsidRDefault="001C19F3" w:rsidP="00521305">
            <w:pPr>
              <w:spacing w:before="40" w:after="40"/>
              <w:ind w:left="100" w:right="100"/>
              <w:jc w:val="center"/>
            </w:pPr>
            <w:r>
              <w:rPr>
                <w:rFonts w:eastAsia="Century Gothic" w:cs="Century Gothic"/>
                <w:color w:val="000000"/>
                <w:sz w:val="18"/>
                <w:szCs w:val="18"/>
              </w:rPr>
              <w:t>46 (8.2%)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7FEC8F" w14:textId="77777777" w:rsidR="001C19F3" w:rsidRDefault="001C19F3" w:rsidP="00521305">
            <w:pPr>
              <w:spacing w:before="40" w:after="40"/>
              <w:ind w:left="100" w:right="100"/>
              <w:jc w:val="center"/>
            </w:pPr>
            <w:r>
              <w:rPr>
                <w:rFonts w:eastAsia="Century Gothic" w:cs="Century Gothic"/>
                <w:color w:val="000000"/>
                <w:sz w:val="18"/>
                <w:szCs w:val="18"/>
              </w:rPr>
              <w:t>11 (4.5%)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9A3238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97F74C" w14:textId="77777777" w:rsidR="001C19F3" w:rsidRDefault="001C19F3" w:rsidP="00521305">
            <w:pPr>
              <w:spacing w:before="40" w:after="40"/>
              <w:ind w:left="100" w:right="100"/>
              <w:jc w:val="right"/>
            </w:pPr>
            <w:r>
              <w:rPr>
                <w:rFonts w:eastAsia="Century Gothic" w:cs="Century Gothic"/>
                <w:color w:val="000000"/>
                <w:sz w:val="18"/>
                <w:szCs w:val="18"/>
              </w:rPr>
              <w:t>55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F6E9FD" w14:textId="77777777" w:rsidR="001C19F3" w:rsidRDefault="001C19F3" w:rsidP="00521305">
            <w:pPr>
              <w:spacing w:before="40" w:after="40"/>
              <w:ind w:left="100" w:right="100"/>
              <w:jc w:val="right"/>
            </w:pPr>
            <w:r>
              <w:rPr>
                <w:rFonts w:eastAsia="Century Gothic" w:cs="Century Gothic"/>
                <w:color w:val="000000"/>
                <w:sz w:val="18"/>
                <w:szCs w:val="18"/>
              </w:rPr>
              <w:t>24 (5.6%)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D7B5E69" w14:textId="77777777" w:rsidR="001C19F3" w:rsidRDefault="001C19F3" w:rsidP="00521305">
            <w:pPr>
              <w:spacing w:after="0"/>
              <w:rPr>
                <w:sz w:val="22"/>
              </w:rPr>
            </w:pPr>
          </w:p>
        </w:tc>
      </w:tr>
      <w:tr w:rsidR="001C19F3" w14:paraId="6649D70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5A76B7"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890B72" w14:textId="77777777" w:rsidR="001C19F3" w:rsidRDefault="001C19F3" w:rsidP="00521305">
            <w:pPr>
              <w:spacing w:before="40" w:after="40"/>
              <w:ind w:left="100" w:right="100"/>
              <w:jc w:val="center"/>
            </w:pPr>
            <w:r>
              <w:rPr>
                <w:rFonts w:eastAsia="Century Gothic" w:cs="Century Gothic"/>
                <w:color w:val="000000"/>
                <w:sz w:val="18"/>
                <w:szCs w:val="18"/>
              </w:rPr>
              <w:t>95 (8.2%)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88DA6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2F478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D8FDE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90A52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1C080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6DE0D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579DB4" w14:textId="77777777" w:rsidR="001C19F3" w:rsidRDefault="001C19F3" w:rsidP="00521305">
            <w:pPr>
              <w:spacing w:before="40" w:after="40"/>
              <w:ind w:left="100" w:right="100"/>
              <w:jc w:val="right"/>
            </w:pPr>
          </w:p>
        </w:tc>
      </w:tr>
      <w:tr w:rsidR="001C19F3" w14:paraId="6B747BB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CC3E08" w14:textId="77777777" w:rsidR="001C19F3" w:rsidRDefault="001C19F3" w:rsidP="00521305">
            <w:pPr>
              <w:spacing w:before="40" w:after="40"/>
              <w:ind w:left="100" w:right="100"/>
            </w:pPr>
            <w:r>
              <w:rPr>
                <w:rFonts w:eastAsia="Century Gothic" w:cs="Century Gothic"/>
                <w:b/>
                <w:color w:val="000000"/>
                <w:sz w:val="18"/>
                <w:szCs w:val="18"/>
              </w:rPr>
              <w:t>D4 Patient was given a copy of their treatment plan/shared care plan in the last 6 months (Q9)</w:t>
            </w:r>
          </w:p>
        </w:tc>
      </w:tr>
      <w:tr w:rsidR="001C19F3" w14:paraId="32CC23D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BC02C2"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C2CB7B" w14:textId="77777777" w:rsidR="001C19F3" w:rsidRDefault="001C19F3" w:rsidP="00521305">
            <w:pPr>
              <w:spacing w:before="40" w:after="40"/>
              <w:ind w:left="100" w:right="100"/>
              <w:jc w:val="center"/>
            </w:pPr>
            <w:r>
              <w:rPr>
                <w:rFonts w:eastAsia="Century Gothic" w:cs="Century Gothic"/>
                <w:color w:val="000000"/>
                <w:sz w:val="18"/>
                <w:szCs w:val="18"/>
              </w:rPr>
              <w:t>850 (73.3%)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050306" w14:textId="77777777" w:rsidR="001C19F3" w:rsidRDefault="001C19F3" w:rsidP="00521305">
            <w:pPr>
              <w:spacing w:before="40" w:after="40"/>
              <w:ind w:left="100" w:right="100"/>
              <w:jc w:val="center"/>
            </w:pPr>
            <w:r>
              <w:rPr>
                <w:rFonts w:eastAsia="Century Gothic" w:cs="Century Gothic"/>
                <w:color w:val="000000"/>
                <w:sz w:val="18"/>
                <w:szCs w:val="18"/>
              </w:rPr>
              <w:t>181 (76.7%)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1F91C" w14:textId="77777777" w:rsidR="001C19F3" w:rsidRDefault="001C19F3" w:rsidP="00521305">
            <w:pPr>
              <w:spacing w:before="40" w:after="40"/>
              <w:ind w:left="100" w:right="100"/>
              <w:jc w:val="center"/>
            </w:pPr>
            <w:r>
              <w:rPr>
                <w:rFonts w:eastAsia="Century Gothic" w:cs="Century Gothic"/>
                <w:color w:val="000000"/>
                <w:sz w:val="18"/>
                <w:szCs w:val="18"/>
              </w:rPr>
              <w:t>452 (77.1%)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CE91CB" w14:textId="77777777" w:rsidR="001C19F3" w:rsidRDefault="001C19F3" w:rsidP="00521305">
            <w:pPr>
              <w:spacing w:before="40" w:after="40"/>
              <w:ind w:left="100" w:right="100"/>
              <w:jc w:val="center"/>
            </w:pPr>
            <w:r>
              <w:rPr>
                <w:rFonts w:eastAsia="Century Gothic" w:cs="Century Gothic"/>
                <w:color w:val="000000"/>
                <w:sz w:val="18"/>
                <w:szCs w:val="18"/>
              </w:rPr>
              <w:t>188 (75.2%)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BC04CB" w14:textId="77777777" w:rsidR="001C19F3" w:rsidRDefault="001C19F3" w:rsidP="00521305">
            <w:pPr>
              <w:spacing w:before="40" w:after="40"/>
              <w:ind w:left="100" w:right="100"/>
              <w:jc w:val="center"/>
            </w:pPr>
            <w:r>
              <w:rPr>
                <w:rFonts w:eastAsia="Century Gothic" w:cs="Century Gothic"/>
                <w:color w:val="000000"/>
                <w:sz w:val="18"/>
                <w:szCs w:val="18"/>
              </w:rPr>
              <w:t>0.832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10B6BD" w14:textId="77777777" w:rsidR="001C19F3" w:rsidRDefault="001C19F3" w:rsidP="00521305">
            <w:pPr>
              <w:spacing w:before="40" w:after="40"/>
              <w:ind w:left="100" w:right="100"/>
              <w:jc w:val="right"/>
            </w:pPr>
            <w:r>
              <w:rPr>
                <w:rFonts w:eastAsia="Century Gothic" w:cs="Century Gothic"/>
                <w:color w:val="000000"/>
                <w:sz w:val="18"/>
                <w:szCs w:val="18"/>
              </w:rPr>
              <w:t>532 (78.8%)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3F4615" w14:textId="77777777" w:rsidR="001C19F3" w:rsidRDefault="001C19F3" w:rsidP="00521305">
            <w:pPr>
              <w:spacing w:before="40" w:after="40"/>
              <w:ind w:left="100" w:right="100"/>
              <w:jc w:val="right"/>
            </w:pPr>
            <w:r>
              <w:rPr>
                <w:rFonts w:eastAsia="Century Gothic" w:cs="Century Gothic"/>
                <w:color w:val="000000"/>
                <w:sz w:val="18"/>
                <w:szCs w:val="18"/>
              </w:rPr>
              <w:t>318 (73.1%)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7049CE" w14:textId="77777777" w:rsidR="001C19F3" w:rsidRDefault="001C19F3" w:rsidP="00521305">
            <w:pPr>
              <w:spacing w:before="40" w:after="40"/>
              <w:ind w:left="100" w:right="100"/>
              <w:jc w:val="right"/>
            </w:pPr>
            <w:r>
              <w:rPr>
                <w:rFonts w:eastAsia="Century Gothic" w:cs="Century Gothic"/>
                <w:color w:val="000000"/>
                <w:sz w:val="18"/>
                <w:szCs w:val="18"/>
              </w:rPr>
              <w:t>0.034</w:t>
            </w:r>
          </w:p>
        </w:tc>
      </w:tr>
      <w:tr w:rsidR="001C19F3" w14:paraId="067E9A6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873423"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E7FE6D" w14:textId="77777777" w:rsidR="001C19F3" w:rsidRDefault="001C19F3" w:rsidP="00521305">
            <w:pPr>
              <w:spacing w:before="40" w:after="40"/>
              <w:ind w:left="100" w:right="100"/>
              <w:jc w:val="center"/>
            </w:pPr>
            <w:r>
              <w:rPr>
                <w:rFonts w:eastAsia="Century Gothic" w:cs="Century Gothic"/>
                <w:color w:val="000000"/>
                <w:sz w:val="18"/>
                <w:szCs w:val="18"/>
              </w:rPr>
              <w:t>260 (22.4%)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188206" w14:textId="77777777" w:rsidR="001C19F3" w:rsidRDefault="001C19F3" w:rsidP="00521305">
            <w:pPr>
              <w:spacing w:before="40" w:after="40"/>
              <w:ind w:left="100" w:right="100"/>
              <w:jc w:val="center"/>
            </w:pPr>
            <w:r>
              <w:rPr>
                <w:rFonts w:eastAsia="Century Gothic" w:cs="Century Gothic"/>
                <w:color w:val="000000"/>
                <w:sz w:val="18"/>
                <w:szCs w:val="18"/>
              </w:rPr>
              <w:t>55 (23.3%)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105A3" w14:textId="77777777" w:rsidR="001C19F3" w:rsidRDefault="001C19F3" w:rsidP="00521305">
            <w:pPr>
              <w:spacing w:before="40" w:after="40"/>
              <w:ind w:left="100" w:right="100"/>
              <w:jc w:val="center"/>
            </w:pPr>
            <w:r>
              <w:rPr>
                <w:rFonts w:eastAsia="Century Gothic" w:cs="Century Gothic"/>
                <w:color w:val="000000"/>
                <w:sz w:val="18"/>
                <w:szCs w:val="18"/>
              </w:rPr>
              <w:t>134 (22.9%)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81EF72" w14:textId="77777777" w:rsidR="001C19F3" w:rsidRDefault="001C19F3" w:rsidP="00521305">
            <w:pPr>
              <w:spacing w:before="40" w:after="40"/>
              <w:ind w:left="100" w:right="100"/>
              <w:jc w:val="center"/>
            </w:pPr>
            <w:r>
              <w:rPr>
                <w:rFonts w:eastAsia="Century Gothic" w:cs="Century Gothic"/>
                <w:color w:val="000000"/>
                <w:sz w:val="18"/>
                <w:szCs w:val="18"/>
              </w:rPr>
              <w:t>62 (24.8%)</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BCBA8D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199520" w14:textId="77777777" w:rsidR="001C19F3" w:rsidRDefault="001C19F3" w:rsidP="00521305">
            <w:pPr>
              <w:spacing w:before="40" w:after="40"/>
              <w:ind w:left="100" w:right="100"/>
              <w:jc w:val="right"/>
            </w:pPr>
            <w:r>
              <w:rPr>
                <w:rFonts w:eastAsia="Century Gothic" w:cs="Century Gothic"/>
                <w:color w:val="000000"/>
                <w:sz w:val="18"/>
                <w:szCs w:val="18"/>
              </w:rPr>
              <w:t>143 (21.2%)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7AD5F9" w14:textId="77777777" w:rsidR="001C19F3" w:rsidRDefault="001C19F3" w:rsidP="00521305">
            <w:pPr>
              <w:spacing w:before="40" w:after="40"/>
              <w:ind w:left="100" w:right="100"/>
              <w:jc w:val="right"/>
            </w:pPr>
            <w:r>
              <w:rPr>
                <w:rFonts w:eastAsia="Century Gothic" w:cs="Century Gothic"/>
                <w:color w:val="000000"/>
                <w:sz w:val="18"/>
                <w:szCs w:val="18"/>
              </w:rPr>
              <w:t>117 (26.9%)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A6F9A48" w14:textId="77777777" w:rsidR="001C19F3" w:rsidRDefault="001C19F3" w:rsidP="00521305">
            <w:pPr>
              <w:spacing w:after="0"/>
              <w:rPr>
                <w:sz w:val="22"/>
              </w:rPr>
            </w:pPr>
          </w:p>
        </w:tc>
      </w:tr>
      <w:tr w:rsidR="001C19F3" w14:paraId="102D60D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F6C1A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70FCA4" w14:textId="77777777" w:rsidR="001C19F3" w:rsidRDefault="001C19F3" w:rsidP="00521305">
            <w:pPr>
              <w:spacing w:before="40" w:after="40"/>
              <w:ind w:left="100" w:right="100"/>
              <w:jc w:val="center"/>
            </w:pPr>
            <w:r>
              <w:rPr>
                <w:rFonts w:eastAsia="Century Gothic" w:cs="Century Gothic"/>
                <w:color w:val="000000"/>
                <w:sz w:val="18"/>
                <w:szCs w:val="18"/>
              </w:rPr>
              <w:t>49 (4.2%)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98DD8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77FFA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97818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52274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B906C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4637D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DA1A3C" w14:textId="77777777" w:rsidR="001C19F3" w:rsidRDefault="001C19F3" w:rsidP="00521305">
            <w:pPr>
              <w:spacing w:before="40" w:after="40"/>
              <w:ind w:left="100" w:right="100"/>
              <w:jc w:val="right"/>
            </w:pPr>
          </w:p>
        </w:tc>
      </w:tr>
      <w:tr w:rsidR="001C19F3" w14:paraId="21A4CED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E9DBDF" w14:textId="77777777" w:rsidR="001C19F3" w:rsidRDefault="001C19F3" w:rsidP="00521305">
            <w:pPr>
              <w:spacing w:before="40" w:after="40"/>
              <w:ind w:left="100" w:right="100"/>
            </w:pPr>
            <w:r>
              <w:rPr>
                <w:rFonts w:eastAsia="Century Gothic" w:cs="Century Gothic"/>
                <w:b/>
                <w:color w:val="000000"/>
                <w:sz w:val="18"/>
                <w:szCs w:val="18"/>
              </w:rPr>
              <w:t>D5 A copy of the patient's treatment plan/shared care plan was included in My Health Record (Q10)</w:t>
            </w:r>
          </w:p>
        </w:tc>
      </w:tr>
      <w:tr w:rsidR="001C19F3" w14:paraId="7034DC2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F8C88"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DF1E5D" w14:textId="77777777" w:rsidR="001C19F3" w:rsidRDefault="001C19F3" w:rsidP="00521305">
            <w:pPr>
              <w:spacing w:before="40" w:after="40"/>
              <w:ind w:left="100" w:right="100"/>
              <w:jc w:val="center"/>
            </w:pPr>
            <w:r>
              <w:rPr>
                <w:rFonts w:eastAsia="Century Gothic" w:cs="Century Gothic"/>
                <w:color w:val="000000"/>
                <w:sz w:val="18"/>
                <w:szCs w:val="18"/>
              </w:rPr>
              <w:t>420 (47.4%)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9CB146" w14:textId="77777777" w:rsidR="001C19F3" w:rsidRDefault="001C19F3" w:rsidP="00521305">
            <w:pPr>
              <w:spacing w:before="40" w:after="40"/>
              <w:ind w:left="100" w:right="100"/>
              <w:jc w:val="center"/>
            </w:pPr>
            <w:r>
              <w:rPr>
                <w:rFonts w:eastAsia="Century Gothic" w:cs="Century Gothic"/>
                <w:color w:val="000000"/>
                <w:sz w:val="18"/>
                <w:szCs w:val="18"/>
              </w:rPr>
              <w:t>104 (91.2%)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499BF5" w14:textId="77777777" w:rsidR="001C19F3" w:rsidRDefault="001C19F3" w:rsidP="00521305">
            <w:pPr>
              <w:spacing w:before="40" w:after="40"/>
              <w:ind w:left="100" w:right="100"/>
              <w:jc w:val="center"/>
            </w:pPr>
            <w:r>
              <w:rPr>
                <w:rFonts w:eastAsia="Century Gothic" w:cs="Century Gothic"/>
                <w:color w:val="000000"/>
                <w:sz w:val="18"/>
                <w:szCs w:val="18"/>
              </w:rPr>
              <w:t>221 (86.0%)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F0AB17" w14:textId="77777777" w:rsidR="001C19F3" w:rsidRDefault="001C19F3" w:rsidP="00521305">
            <w:pPr>
              <w:spacing w:before="40" w:after="40"/>
              <w:ind w:left="100" w:right="100"/>
              <w:jc w:val="center"/>
            </w:pPr>
            <w:r>
              <w:rPr>
                <w:rFonts w:eastAsia="Century Gothic" w:cs="Century Gothic"/>
                <w:color w:val="000000"/>
                <w:sz w:val="18"/>
                <w:szCs w:val="18"/>
              </w:rPr>
              <w:t>76 (85.4%)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E08E2F" w14:textId="77777777" w:rsidR="001C19F3" w:rsidRDefault="001C19F3" w:rsidP="00521305">
            <w:pPr>
              <w:spacing w:before="40" w:after="40"/>
              <w:ind w:left="100" w:right="100"/>
              <w:jc w:val="center"/>
            </w:pPr>
            <w:r>
              <w:rPr>
                <w:rFonts w:eastAsia="Century Gothic" w:cs="Century Gothic"/>
                <w:color w:val="000000"/>
                <w:sz w:val="18"/>
                <w:szCs w:val="18"/>
              </w:rPr>
              <w:t>0.325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BB9298" w14:textId="77777777" w:rsidR="001C19F3" w:rsidRDefault="001C19F3" w:rsidP="00521305">
            <w:pPr>
              <w:spacing w:before="40" w:after="40"/>
              <w:ind w:left="100" w:right="100"/>
              <w:jc w:val="right"/>
            </w:pPr>
            <w:r>
              <w:rPr>
                <w:rFonts w:eastAsia="Century Gothic" w:cs="Century Gothic"/>
                <w:color w:val="000000"/>
                <w:sz w:val="18"/>
                <w:szCs w:val="18"/>
              </w:rPr>
              <w:t>276 (89.0%)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F38BE3" w14:textId="77777777" w:rsidR="001C19F3" w:rsidRDefault="001C19F3" w:rsidP="00521305">
            <w:pPr>
              <w:spacing w:before="40" w:after="40"/>
              <w:ind w:left="100" w:right="100"/>
              <w:jc w:val="right"/>
            </w:pPr>
            <w:r>
              <w:rPr>
                <w:rFonts w:eastAsia="Century Gothic" w:cs="Century Gothic"/>
                <w:color w:val="000000"/>
                <w:sz w:val="18"/>
                <w:szCs w:val="18"/>
              </w:rPr>
              <w:t>144 (85.2%)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4A65EB" w14:textId="77777777" w:rsidR="001C19F3" w:rsidRDefault="001C19F3" w:rsidP="00521305">
            <w:pPr>
              <w:spacing w:before="40" w:after="40"/>
              <w:ind w:left="100" w:right="100"/>
              <w:jc w:val="right"/>
            </w:pPr>
            <w:r>
              <w:rPr>
                <w:rFonts w:eastAsia="Century Gothic" w:cs="Century Gothic"/>
                <w:color w:val="000000"/>
                <w:sz w:val="18"/>
                <w:szCs w:val="18"/>
              </w:rPr>
              <w:t>0.284</w:t>
            </w:r>
          </w:p>
        </w:tc>
      </w:tr>
      <w:tr w:rsidR="001C19F3" w14:paraId="184F336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EDF69E"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1AE563" w14:textId="77777777" w:rsidR="001C19F3" w:rsidRDefault="001C19F3" w:rsidP="00521305">
            <w:pPr>
              <w:spacing w:before="40" w:after="40"/>
              <w:ind w:left="100" w:right="100"/>
              <w:jc w:val="center"/>
            </w:pPr>
            <w:r>
              <w:rPr>
                <w:rFonts w:eastAsia="Century Gothic" w:cs="Century Gothic"/>
                <w:color w:val="000000"/>
                <w:sz w:val="18"/>
                <w:szCs w:val="18"/>
              </w:rPr>
              <w:t>59 (6.7%)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DEE693" w14:textId="77777777" w:rsidR="001C19F3" w:rsidRDefault="001C19F3" w:rsidP="00521305">
            <w:pPr>
              <w:spacing w:before="40" w:after="40"/>
              <w:ind w:left="100" w:right="100"/>
              <w:jc w:val="center"/>
            </w:pPr>
            <w:r>
              <w:rPr>
                <w:rFonts w:eastAsia="Century Gothic" w:cs="Century Gothic"/>
                <w:color w:val="000000"/>
                <w:sz w:val="18"/>
                <w:szCs w:val="18"/>
              </w:rPr>
              <w:t>10 (8.8%)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40668D" w14:textId="77777777" w:rsidR="001C19F3" w:rsidRDefault="001C19F3" w:rsidP="00521305">
            <w:pPr>
              <w:spacing w:before="40" w:after="40"/>
              <w:ind w:left="100" w:right="100"/>
              <w:jc w:val="center"/>
            </w:pPr>
            <w:r>
              <w:rPr>
                <w:rFonts w:eastAsia="Century Gothic" w:cs="Century Gothic"/>
                <w:color w:val="000000"/>
                <w:sz w:val="18"/>
                <w:szCs w:val="18"/>
              </w:rPr>
              <w:t>36 (14.0%)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AAFE33" w14:textId="77777777" w:rsidR="001C19F3" w:rsidRDefault="001C19F3" w:rsidP="00521305">
            <w:pPr>
              <w:spacing w:before="40" w:after="40"/>
              <w:ind w:left="100" w:right="100"/>
              <w:jc w:val="center"/>
            </w:pPr>
            <w:r>
              <w:rPr>
                <w:rFonts w:eastAsia="Century Gothic" w:cs="Century Gothic"/>
                <w:color w:val="000000"/>
                <w:sz w:val="18"/>
                <w:szCs w:val="18"/>
              </w:rPr>
              <w:t>13 (14.6%)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5E6AF3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DD804A" w14:textId="77777777" w:rsidR="001C19F3" w:rsidRDefault="001C19F3" w:rsidP="00521305">
            <w:pPr>
              <w:spacing w:before="40" w:after="40"/>
              <w:ind w:left="100" w:right="100"/>
              <w:jc w:val="right"/>
            </w:pPr>
            <w:r>
              <w:rPr>
                <w:rFonts w:eastAsia="Century Gothic" w:cs="Century Gothic"/>
                <w:color w:val="000000"/>
                <w:sz w:val="18"/>
                <w:szCs w:val="18"/>
              </w:rPr>
              <w:t>34 (11.0%)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8F7B83" w14:textId="77777777" w:rsidR="001C19F3" w:rsidRDefault="001C19F3" w:rsidP="00521305">
            <w:pPr>
              <w:spacing w:before="40" w:after="40"/>
              <w:ind w:left="100" w:right="100"/>
              <w:jc w:val="right"/>
            </w:pPr>
            <w:r>
              <w:rPr>
                <w:rFonts w:eastAsia="Century Gothic" w:cs="Century Gothic"/>
                <w:color w:val="000000"/>
                <w:sz w:val="18"/>
                <w:szCs w:val="18"/>
              </w:rPr>
              <w:t>25 (14.8%)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C822842" w14:textId="77777777" w:rsidR="001C19F3" w:rsidRDefault="001C19F3" w:rsidP="00521305">
            <w:pPr>
              <w:spacing w:after="0"/>
              <w:rPr>
                <w:sz w:val="22"/>
              </w:rPr>
            </w:pPr>
          </w:p>
        </w:tc>
      </w:tr>
      <w:tr w:rsidR="001C19F3" w14:paraId="20B99CD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73146A"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E2E9DF" w14:textId="77777777" w:rsidR="001C19F3" w:rsidRDefault="001C19F3" w:rsidP="00521305">
            <w:pPr>
              <w:spacing w:before="40" w:after="40"/>
              <w:ind w:left="100" w:right="100"/>
              <w:jc w:val="center"/>
            </w:pPr>
            <w:r>
              <w:rPr>
                <w:rFonts w:eastAsia="Century Gothic" w:cs="Century Gothic"/>
                <w:color w:val="000000"/>
                <w:sz w:val="18"/>
                <w:szCs w:val="18"/>
              </w:rPr>
              <w:t>408 (46.0%)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32CEC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34708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CEC88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EF03A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6C3B7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3232C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D1C685" w14:textId="77777777" w:rsidR="001C19F3" w:rsidRDefault="001C19F3" w:rsidP="00521305">
            <w:pPr>
              <w:spacing w:before="40" w:after="40"/>
              <w:ind w:left="100" w:right="100"/>
              <w:jc w:val="right"/>
            </w:pPr>
          </w:p>
        </w:tc>
      </w:tr>
    </w:tbl>
    <w:p w14:paraId="0BC259EB"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3A004B3D" w14:textId="77777777" w:rsidR="001C19F3" w:rsidRDefault="001C19F3" w:rsidP="001C19F3">
      <w:pPr>
        <w:pStyle w:val="Caption1"/>
      </w:pPr>
      <w:r>
        <w:lastRenderedPageBreak/>
        <w:t xml:space="preserve">Table </w:t>
      </w:r>
      <w:r>
        <w:fldChar w:fldCharType="begin"/>
      </w:r>
      <w:r>
        <w:instrText>SEQ Table \* ARABIC</w:instrText>
      </w:r>
      <w:r>
        <w:fldChar w:fldCharType="separate"/>
      </w:r>
      <w:r>
        <w:rPr>
          <w:noProof/>
        </w:rPr>
        <w:t>65</w:t>
      </w:r>
      <w:r>
        <w:fldChar w:fldCharType="end"/>
      </w:r>
      <w:r>
        <w:t xml:space="preserve"> – Medications review question by patient HCH tier and practice size</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39B026C1" w14:textId="77777777" w:rsidTr="00521305">
        <w:trPr>
          <w:cantSplit/>
          <w:trHeight w:val="298"/>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85325D9" w14:textId="77777777" w:rsidR="001C19F3" w:rsidRDefault="001C19F3" w:rsidP="00521305">
            <w:pPr>
              <w:spacing w:after="0"/>
              <w:jc w:val="center"/>
            </w:pPr>
            <w:r>
              <w:rPr>
                <w:rFonts w:eastAsia="Century Gothic" w:cs="Century Gothic"/>
                <w:b/>
                <w:color w:val="FFFFFF"/>
                <w:sz w:val="18"/>
                <w:szCs w:val="18"/>
              </w:rPr>
              <w:t>Medications review</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8DFC2A2"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B3AA1A8"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3589DF2" w14:textId="77777777" w:rsidR="001C19F3" w:rsidRDefault="001C19F3" w:rsidP="00521305">
            <w:pPr>
              <w:spacing w:after="0"/>
              <w:jc w:val="center"/>
            </w:pPr>
            <w:r>
              <w:rPr>
                <w:rFonts w:eastAsia="Century Gothic" w:cs="Century Gothic"/>
                <w:b/>
                <w:color w:val="FFFFFF"/>
                <w:sz w:val="18"/>
                <w:szCs w:val="18"/>
              </w:rPr>
              <w:t>Size</w:t>
            </w:r>
          </w:p>
        </w:tc>
      </w:tr>
      <w:tr w:rsidR="001C19F3" w14:paraId="3790B333" w14:textId="77777777" w:rsidTr="00521305">
        <w:trPr>
          <w:cantSplit/>
          <w:trHeight w:val="336"/>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35CB8BC9"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CBE776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F7C55F"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95B9943" w14:textId="77777777" w:rsidR="001C19F3" w:rsidRDefault="001C19F3" w:rsidP="00521305">
            <w:pPr>
              <w:spacing w:after="0"/>
              <w:jc w:val="center"/>
            </w:pPr>
            <w:r>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A1391AD" w14:textId="77777777" w:rsidR="001C19F3" w:rsidRDefault="001C19F3" w:rsidP="00521305">
            <w:pPr>
              <w:spacing w:after="0"/>
              <w:jc w:val="center"/>
            </w:pPr>
            <w:r>
              <w:rPr>
                <w:rFonts w:eastAsia="Century Gothic" w:cs="Century Gothic"/>
                <w:b/>
                <w:color w:val="FFFFFF"/>
                <w:sz w:val="18"/>
                <w:szCs w:val="18"/>
              </w:rPr>
              <w:t>Tier 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C8A118"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D8EA50"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EA1DBAD"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27542CF"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7E5A74F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37879D" w14:textId="77777777" w:rsidR="001C19F3" w:rsidRDefault="001C19F3" w:rsidP="00521305">
            <w:pPr>
              <w:spacing w:before="40" w:after="40"/>
              <w:ind w:left="100" w:right="100"/>
            </w:pPr>
            <w:r>
              <w:rPr>
                <w:rFonts w:eastAsia="Century Gothic" w:cs="Century Gothic"/>
                <w:b/>
                <w:color w:val="000000"/>
                <w:sz w:val="18"/>
                <w:szCs w:val="18"/>
              </w:rPr>
              <w:t>E1 Over the last six months, how often did the GP, or someone from the HCH , talk to the patient about all the prescription medicines they were taking (Q13)</w:t>
            </w:r>
          </w:p>
        </w:tc>
      </w:tr>
      <w:tr w:rsidR="001C19F3" w14:paraId="2C9D53F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451265" w14:textId="77777777" w:rsidR="001C19F3" w:rsidRDefault="001C19F3" w:rsidP="00521305">
            <w:pPr>
              <w:spacing w:before="40" w:after="40"/>
              <w:ind w:left="160" w:right="100"/>
            </w:pPr>
            <w:r>
              <w:rPr>
                <w:rFonts w:eastAsia="Century Gothic" w:cs="Century Gothic"/>
                <w:color w:val="000000"/>
                <w:sz w:val="18"/>
                <w:szCs w:val="18"/>
              </w:rPr>
              <w:t>Never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DFAC98" w14:textId="77777777" w:rsidR="001C19F3" w:rsidRDefault="001C19F3" w:rsidP="00521305">
            <w:pPr>
              <w:spacing w:before="40" w:after="40"/>
              <w:ind w:left="100" w:right="100"/>
              <w:jc w:val="center"/>
            </w:pPr>
            <w:r>
              <w:rPr>
                <w:rFonts w:eastAsia="Century Gothic" w:cs="Century Gothic"/>
                <w:color w:val="000000"/>
                <w:sz w:val="18"/>
                <w:szCs w:val="18"/>
              </w:rPr>
              <w:t>231 (11.4%)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ED1F74" w14:textId="77777777" w:rsidR="001C19F3" w:rsidRDefault="001C19F3" w:rsidP="00521305">
            <w:pPr>
              <w:spacing w:before="40" w:after="40"/>
              <w:ind w:left="100" w:right="100"/>
              <w:jc w:val="center"/>
            </w:pPr>
            <w:r>
              <w:rPr>
                <w:rFonts w:eastAsia="Century Gothic" w:cs="Century Gothic"/>
                <w:color w:val="000000"/>
                <w:sz w:val="18"/>
                <w:szCs w:val="18"/>
              </w:rPr>
              <w:t>61 (14.6%)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DC95FC" w14:textId="77777777" w:rsidR="001C19F3" w:rsidRDefault="001C19F3" w:rsidP="00521305">
            <w:pPr>
              <w:spacing w:before="40" w:after="40"/>
              <w:ind w:left="100" w:right="100"/>
              <w:jc w:val="center"/>
            </w:pPr>
            <w:r>
              <w:rPr>
                <w:rFonts w:eastAsia="Century Gothic" w:cs="Century Gothic"/>
                <w:color w:val="000000"/>
                <w:sz w:val="18"/>
                <w:szCs w:val="18"/>
              </w:rPr>
              <w:t>115 (11.5%)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72AD4E" w14:textId="77777777" w:rsidR="001C19F3" w:rsidRDefault="001C19F3" w:rsidP="00521305">
            <w:pPr>
              <w:spacing w:before="40" w:after="40"/>
              <w:ind w:left="100" w:right="100"/>
              <w:jc w:val="center"/>
            </w:pPr>
            <w:r>
              <w:rPr>
                <w:rFonts w:eastAsia="Century Gothic" w:cs="Century Gothic"/>
                <w:color w:val="000000"/>
                <w:sz w:val="18"/>
                <w:szCs w:val="18"/>
              </w:rPr>
              <w:t>50 (11.0%)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6F4B20" w14:textId="77777777" w:rsidR="001C19F3" w:rsidRDefault="001C19F3" w:rsidP="00521305">
            <w:pPr>
              <w:spacing w:before="40" w:after="40"/>
              <w:ind w:left="100" w:right="100"/>
              <w:jc w:val="center"/>
            </w:pPr>
            <w:r>
              <w:rPr>
                <w:rFonts w:eastAsia="Century Gothic" w:cs="Century Gothic"/>
                <w:color w:val="000000"/>
                <w:sz w:val="18"/>
                <w:szCs w:val="18"/>
              </w:rPr>
              <w:t>0.351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A1D089" w14:textId="77777777" w:rsidR="001C19F3" w:rsidRDefault="001C19F3" w:rsidP="00521305">
            <w:pPr>
              <w:spacing w:before="40" w:after="40"/>
              <w:ind w:left="100" w:right="100"/>
              <w:jc w:val="right"/>
            </w:pPr>
            <w:r>
              <w:rPr>
                <w:rFonts w:eastAsia="Century Gothic" w:cs="Century Gothic"/>
                <w:color w:val="000000"/>
                <w:sz w:val="18"/>
                <w:szCs w:val="18"/>
              </w:rPr>
              <w:t>162 (14.0%)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C9DD4E" w14:textId="77777777" w:rsidR="001C19F3" w:rsidRDefault="001C19F3" w:rsidP="00521305">
            <w:pPr>
              <w:spacing w:before="40" w:after="40"/>
              <w:ind w:left="100" w:right="100"/>
              <w:jc w:val="right"/>
            </w:pPr>
            <w:r>
              <w:rPr>
                <w:rFonts w:eastAsia="Century Gothic" w:cs="Century Gothic"/>
                <w:color w:val="000000"/>
                <w:sz w:val="18"/>
                <w:szCs w:val="18"/>
              </w:rPr>
              <w:t>69 (8.9%)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3BC264"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220A788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BECB3" w14:textId="77777777" w:rsidR="001C19F3" w:rsidRDefault="001C19F3" w:rsidP="00521305">
            <w:pPr>
              <w:spacing w:before="40" w:after="40"/>
              <w:ind w:left="160" w:right="100"/>
            </w:pPr>
            <w:r>
              <w:rPr>
                <w:rFonts w:eastAsia="Century Gothic" w:cs="Century Gothic"/>
                <w:color w:val="000000"/>
                <w:sz w:val="18"/>
                <w:szCs w:val="18"/>
              </w:rPr>
              <w:t>Some of the times patient attended the practice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A45610" w14:textId="77777777" w:rsidR="001C19F3" w:rsidRDefault="001C19F3" w:rsidP="00521305">
            <w:pPr>
              <w:spacing w:before="40" w:after="40"/>
              <w:ind w:left="100" w:right="100"/>
              <w:jc w:val="center"/>
            </w:pPr>
            <w:r>
              <w:rPr>
                <w:rFonts w:eastAsia="Century Gothic" w:cs="Century Gothic"/>
                <w:color w:val="000000"/>
                <w:sz w:val="18"/>
                <w:szCs w:val="18"/>
              </w:rPr>
              <w:t>577 (28.6%)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865EC8" w14:textId="77777777" w:rsidR="001C19F3" w:rsidRDefault="001C19F3" w:rsidP="00521305">
            <w:pPr>
              <w:spacing w:before="40" w:after="40"/>
              <w:ind w:left="100" w:right="100"/>
              <w:jc w:val="center"/>
            </w:pPr>
            <w:r>
              <w:rPr>
                <w:rFonts w:eastAsia="Century Gothic" w:cs="Century Gothic"/>
                <w:color w:val="000000"/>
                <w:sz w:val="18"/>
                <w:szCs w:val="18"/>
              </w:rPr>
              <w:t>118 (28.2%)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EEF69F" w14:textId="77777777" w:rsidR="001C19F3" w:rsidRDefault="001C19F3" w:rsidP="00521305">
            <w:pPr>
              <w:spacing w:before="40" w:after="40"/>
              <w:ind w:left="100" w:right="100"/>
              <w:jc w:val="center"/>
            </w:pPr>
            <w:r>
              <w:rPr>
                <w:rFonts w:eastAsia="Century Gothic" w:cs="Century Gothic"/>
                <w:color w:val="000000"/>
                <w:sz w:val="18"/>
                <w:szCs w:val="18"/>
              </w:rPr>
              <w:t>310 (31.0%)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78150C" w14:textId="77777777" w:rsidR="001C19F3" w:rsidRDefault="001C19F3" w:rsidP="00521305">
            <w:pPr>
              <w:spacing w:before="40" w:after="40"/>
              <w:ind w:left="100" w:right="100"/>
              <w:jc w:val="center"/>
            </w:pPr>
            <w:r>
              <w:rPr>
                <w:rFonts w:eastAsia="Century Gothic" w:cs="Century Gothic"/>
                <w:color w:val="000000"/>
                <w:sz w:val="18"/>
                <w:szCs w:val="18"/>
              </w:rPr>
              <w:t>130 (28.6%)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47CC145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347902" w14:textId="77777777" w:rsidR="001C19F3" w:rsidRDefault="001C19F3" w:rsidP="00521305">
            <w:pPr>
              <w:spacing w:before="40" w:after="40"/>
              <w:ind w:left="100" w:right="100"/>
              <w:jc w:val="right"/>
            </w:pPr>
            <w:r>
              <w:rPr>
                <w:rFonts w:eastAsia="Century Gothic" w:cs="Century Gothic"/>
                <w:color w:val="000000"/>
                <w:sz w:val="18"/>
                <w:szCs w:val="18"/>
              </w:rPr>
              <w:t>374 (32.2%)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133F29" w14:textId="77777777" w:rsidR="001C19F3" w:rsidRDefault="001C19F3" w:rsidP="00521305">
            <w:pPr>
              <w:spacing w:before="40" w:after="40"/>
              <w:ind w:left="100" w:right="100"/>
              <w:jc w:val="right"/>
            </w:pPr>
            <w:r>
              <w:rPr>
                <w:rFonts w:eastAsia="Century Gothic" w:cs="Century Gothic"/>
                <w:color w:val="000000"/>
                <w:sz w:val="18"/>
                <w:szCs w:val="18"/>
              </w:rPr>
              <w:t>203 (26.2%)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86ABE12" w14:textId="77777777" w:rsidR="001C19F3" w:rsidRDefault="001C19F3" w:rsidP="00521305">
            <w:pPr>
              <w:spacing w:after="0"/>
              <w:rPr>
                <w:sz w:val="22"/>
              </w:rPr>
            </w:pPr>
          </w:p>
        </w:tc>
      </w:tr>
      <w:tr w:rsidR="001C19F3" w14:paraId="3B359AA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BEB188" w14:textId="77777777" w:rsidR="001C19F3" w:rsidRDefault="001C19F3" w:rsidP="00521305">
            <w:pPr>
              <w:spacing w:before="40" w:after="40"/>
              <w:ind w:left="160" w:right="100"/>
            </w:pPr>
            <w:r>
              <w:rPr>
                <w:rFonts w:eastAsia="Century Gothic" w:cs="Century Gothic"/>
                <w:color w:val="000000"/>
                <w:sz w:val="18"/>
                <w:szCs w:val="18"/>
              </w:rPr>
              <w:t>Most of times patient attended the practice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D63C1" w14:textId="77777777" w:rsidR="001C19F3" w:rsidRDefault="001C19F3" w:rsidP="00521305">
            <w:pPr>
              <w:spacing w:before="40" w:after="40"/>
              <w:ind w:left="100" w:right="100"/>
              <w:jc w:val="center"/>
            </w:pPr>
            <w:r>
              <w:rPr>
                <w:rFonts w:eastAsia="Century Gothic" w:cs="Century Gothic"/>
                <w:color w:val="000000"/>
                <w:sz w:val="18"/>
                <w:szCs w:val="18"/>
              </w:rPr>
              <w:t>1,128 (55.9%)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D8C98B" w14:textId="77777777" w:rsidR="001C19F3" w:rsidRDefault="001C19F3" w:rsidP="00521305">
            <w:pPr>
              <w:spacing w:before="40" w:after="40"/>
              <w:ind w:left="100" w:right="100"/>
              <w:jc w:val="center"/>
            </w:pPr>
            <w:r>
              <w:rPr>
                <w:rFonts w:eastAsia="Century Gothic" w:cs="Century Gothic"/>
                <w:color w:val="000000"/>
                <w:sz w:val="18"/>
                <w:szCs w:val="18"/>
              </w:rPr>
              <w:t>239 (57.2%)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B89896" w14:textId="77777777" w:rsidR="001C19F3" w:rsidRDefault="001C19F3" w:rsidP="00521305">
            <w:pPr>
              <w:spacing w:before="40" w:after="40"/>
              <w:ind w:left="100" w:right="100"/>
              <w:jc w:val="center"/>
            </w:pPr>
            <w:r>
              <w:rPr>
                <w:rFonts w:eastAsia="Century Gothic" w:cs="Century Gothic"/>
                <w:color w:val="000000"/>
                <w:sz w:val="18"/>
                <w:szCs w:val="18"/>
              </w:rPr>
              <w:t>576 (57.5%)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C28A16" w14:textId="77777777" w:rsidR="001C19F3" w:rsidRDefault="001C19F3" w:rsidP="00521305">
            <w:pPr>
              <w:spacing w:before="40" w:after="40"/>
              <w:ind w:left="100" w:right="100"/>
              <w:jc w:val="center"/>
            </w:pPr>
            <w:r>
              <w:rPr>
                <w:rFonts w:eastAsia="Century Gothic" w:cs="Century Gothic"/>
                <w:color w:val="000000"/>
                <w:sz w:val="18"/>
                <w:szCs w:val="18"/>
              </w:rPr>
              <w:t>274 (60.4%)</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F38457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CC8C30" w14:textId="77777777" w:rsidR="001C19F3" w:rsidRDefault="001C19F3" w:rsidP="00521305">
            <w:pPr>
              <w:spacing w:before="40" w:after="40"/>
              <w:ind w:left="100" w:right="100"/>
              <w:jc w:val="right"/>
            </w:pPr>
            <w:r>
              <w:rPr>
                <w:rFonts w:eastAsia="Century Gothic" w:cs="Century Gothic"/>
                <w:color w:val="000000"/>
                <w:sz w:val="18"/>
                <w:szCs w:val="18"/>
              </w:rPr>
              <w:t>625 (53.8%)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2AF79C" w14:textId="77777777" w:rsidR="001C19F3" w:rsidRDefault="001C19F3" w:rsidP="00521305">
            <w:pPr>
              <w:spacing w:before="40" w:after="40"/>
              <w:ind w:left="100" w:right="100"/>
              <w:jc w:val="right"/>
            </w:pPr>
            <w:r>
              <w:rPr>
                <w:rFonts w:eastAsia="Century Gothic" w:cs="Century Gothic"/>
                <w:color w:val="000000"/>
                <w:sz w:val="18"/>
                <w:szCs w:val="18"/>
              </w:rPr>
              <w:t>503 (64.9%)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6A0458" w14:textId="77777777" w:rsidR="001C19F3" w:rsidRDefault="001C19F3" w:rsidP="00521305">
            <w:pPr>
              <w:spacing w:after="0"/>
              <w:rPr>
                <w:sz w:val="22"/>
              </w:rPr>
            </w:pPr>
          </w:p>
        </w:tc>
      </w:tr>
      <w:tr w:rsidR="001C19F3" w14:paraId="12C1147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7AEE15" w14:textId="77777777" w:rsidR="001C19F3" w:rsidRDefault="001C19F3" w:rsidP="00521305">
            <w:pPr>
              <w:spacing w:before="40" w:after="40"/>
              <w:ind w:left="160" w:right="100"/>
            </w:pPr>
            <w:r>
              <w:rPr>
                <w:rFonts w:eastAsia="Century Gothic" w:cs="Century Gothic"/>
                <w:color w:val="000000"/>
                <w:sz w:val="18"/>
                <w:szCs w:val="18"/>
              </w:rPr>
              <w:t>Not taking prescription medication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0C674F" w14:textId="77777777" w:rsidR="001C19F3" w:rsidRDefault="001C19F3" w:rsidP="00521305">
            <w:pPr>
              <w:spacing w:before="40" w:after="40"/>
              <w:ind w:left="100" w:right="100"/>
              <w:jc w:val="center"/>
            </w:pPr>
            <w:r>
              <w:rPr>
                <w:rFonts w:eastAsia="Century Gothic" w:cs="Century Gothic"/>
                <w:color w:val="000000"/>
                <w:sz w:val="18"/>
                <w:szCs w:val="18"/>
              </w:rPr>
              <w:t>30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E406B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E232C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C2109E"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047D0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3C4FA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C88DAA"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EF7DFD" w14:textId="77777777" w:rsidR="001C19F3" w:rsidRDefault="001C19F3" w:rsidP="00521305">
            <w:pPr>
              <w:spacing w:before="40" w:after="40"/>
              <w:ind w:left="100" w:right="100"/>
              <w:jc w:val="right"/>
            </w:pPr>
          </w:p>
        </w:tc>
      </w:tr>
      <w:tr w:rsidR="001C19F3" w14:paraId="205C3F9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3B3D54"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AC6B0D"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9399A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7A83E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22B512" w14:textId="77777777" w:rsidR="001C19F3" w:rsidRDefault="001C19F3" w:rsidP="00521305">
            <w:pPr>
              <w:spacing w:before="40" w:after="40"/>
              <w:ind w:left="100" w:right="100"/>
              <w:jc w:val="cente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E8934F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C13E13"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7712AE"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3146464" w14:textId="77777777" w:rsidR="001C19F3" w:rsidRDefault="001C19F3" w:rsidP="00521305">
            <w:pPr>
              <w:spacing w:after="0"/>
              <w:rPr>
                <w:sz w:val="22"/>
              </w:rPr>
            </w:pPr>
          </w:p>
        </w:tc>
      </w:tr>
    </w:tbl>
    <w:p w14:paraId="0E00A04F"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4912B45D" w14:textId="77777777" w:rsidR="001C19F3" w:rsidRDefault="001C19F3" w:rsidP="001C19F3">
      <w:pPr>
        <w:pStyle w:val="Caption1"/>
      </w:pPr>
      <w:bookmarkStart w:id="603" w:name="_Ref20996706"/>
      <w:r>
        <w:t xml:space="preserve">Table </w:t>
      </w:r>
      <w:r>
        <w:fldChar w:fldCharType="begin"/>
      </w:r>
      <w:r>
        <w:instrText>SEQ Table \* ARABIC</w:instrText>
      </w:r>
      <w:r>
        <w:fldChar w:fldCharType="separate"/>
      </w:r>
      <w:r>
        <w:rPr>
          <w:noProof/>
        </w:rPr>
        <w:t>66</w:t>
      </w:r>
      <w:r>
        <w:fldChar w:fldCharType="end"/>
      </w:r>
      <w:bookmarkEnd w:id="603"/>
      <w:r>
        <w:t xml:space="preserve"> – Health and health conditions by patient HCH tier and practice size</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34CF61C7" w14:textId="77777777" w:rsidTr="00521305">
        <w:trPr>
          <w:cantSplit/>
          <w:trHeight w:val="298"/>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D9E406E" w14:textId="77777777" w:rsidR="001C19F3" w:rsidRDefault="001C19F3" w:rsidP="00521305">
            <w:pPr>
              <w:spacing w:after="0"/>
              <w:jc w:val="center"/>
            </w:pPr>
            <w:r>
              <w:rPr>
                <w:rFonts w:eastAsia="Century Gothic" w:cs="Century Gothic"/>
                <w:b/>
                <w:color w:val="FFFFFF"/>
                <w:sz w:val="18"/>
                <w:szCs w:val="18"/>
              </w:rPr>
              <w:t>Health and health conditions</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B1AA455"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1F5221"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49EA290" w14:textId="77777777" w:rsidR="001C19F3" w:rsidRDefault="001C19F3" w:rsidP="00521305">
            <w:pPr>
              <w:spacing w:after="0"/>
              <w:jc w:val="center"/>
            </w:pPr>
            <w:r>
              <w:rPr>
                <w:rFonts w:eastAsia="Century Gothic" w:cs="Century Gothic"/>
                <w:b/>
                <w:color w:val="FFFFFF"/>
                <w:sz w:val="18"/>
                <w:szCs w:val="18"/>
              </w:rPr>
              <w:t>Size</w:t>
            </w:r>
          </w:p>
        </w:tc>
      </w:tr>
      <w:tr w:rsidR="001C19F3" w14:paraId="50C81637" w14:textId="77777777" w:rsidTr="00521305">
        <w:trPr>
          <w:cantSplit/>
          <w:trHeight w:val="336"/>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12E6E59D"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03751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2B041B6"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D59FBC" w14:textId="77777777" w:rsidR="001C19F3" w:rsidRDefault="001C19F3" w:rsidP="00521305">
            <w:pPr>
              <w:spacing w:after="0"/>
              <w:jc w:val="center"/>
            </w:pPr>
            <w:r>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45DC71E" w14:textId="77777777" w:rsidR="001C19F3" w:rsidRDefault="001C19F3" w:rsidP="00521305">
            <w:pPr>
              <w:spacing w:after="0"/>
              <w:jc w:val="center"/>
            </w:pPr>
            <w:r>
              <w:rPr>
                <w:rFonts w:eastAsia="Century Gothic" w:cs="Century Gothic"/>
                <w:b/>
                <w:color w:val="FFFFFF"/>
                <w:sz w:val="18"/>
                <w:szCs w:val="18"/>
              </w:rPr>
              <w:t>Tier 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CAC8FE2"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3189D9A"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63083F"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40108F"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226EACC6"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0914C6" w14:textId="77777777" w:rsidR="001C19F3" w:rsidRDefault="001C19F3" w:rsidP="00521305">
            <w:pPr>
              <w:spacing w:before="40" w:after="40"/>
              <w:ind w:left="100" w:right="100"/>
            </w:pPr>
            <w:r>
              <w:rPr>
                <w:rFonts w:eastAsia="Century Gothic" w:cs="Century Gothic"/>
                <w:b/>
                <w:color w:val="000000"/>
                <w:sz w:val="18"/>
                <w:szCs w:val="18"/>
              </w:rPr>
              <w:t>F01 Patient rating of overall health (Q25)</w:t>
            </w:r>
          </w:p>
        </w:tc>
      </w:tr>
      <w:tr w:rsidR="001C19F3" w14:paraId="02F27E4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E6EE4A" w14:textId="77777777" w:rsidR="001C19F3" w:rsidRDefault="001C19F3" w:rsidP="00521305">
            <w:pPr>
              <w:spacing w:before="40" w:after="40"/>
              <w:ind w:left="160" w:right="100"/>
            </w:pPr>
            <w:r>
              <w:rPr>
                <w:rFonts w:eastAsia="Century Gothic" w:cs="Century Gothic"/>
                <w:color w:val="000000"/>
                <w:sz w:val="18"/>
                <w:szCs w:val="18"/>
              </w:rPr>
              <w:t>Excellent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5055DD" w14:textId="77777777" w:rsidR="001C19F3" w:rsidRDefault="001C19F3" w:rsidP="00521305">
            <w:pPr>
              <w:spacing w:before="40" w:after="40"/>
              <w:ind w:left="100" w:right="100"/>
              <w:jc w:val="center"/>
            </w:pPr>
            <w:r>
              <w:rPr>
                <w:rFonts w:eastAsia="Century Gothic" w:cs="Century Gothic"/>
                <w:color w:val="000000"/>
                <w:sz w:val="18"/>
                <w:szCs w:val="18"/>
              </w:rPr>
              <w:t>77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FAD5FB" w14:textId="77777777" w:rsidR="001C19F3" w:rsidRDefault="001C19F3" w:rsidP="00521305">
            <w:pPr>
              <w:spacing w:before="40" w:after="40"/>
              <w:ind w:left="100" w:right="100"/>
              <w:jc w:val="center"/>
            </w:pPr>
            <w:r>
              <w:rPr>
                <w:rFonts w:eastAsia="Century Gothic" w:cs="Century Gothic"/>
                <w:color w:val="000000"/>
                <w:sz w:val="18"/>
                <w:szCs w:val="18"/>
              </w:rPr>
              <w:t>22 (5.1%)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FB7BA" w14:textId="77777777" w:rsidR="001C19F3" w:rsidRDefault="001C19F3" w:rsidP="00521305">
            <w:pPr>
              <w:spacing w:before="40" w:after="40"/>
              <w:ind w:left="100" w:right="100"/>
              <w:jc w:val="center"/>
            </w:pPr>
            <w:r>
              <w:rPr>
                <w:rFonts w:eastAsia="Century Gothic" w:cs="Century Gothic"/>
                <w:color w:val="000000"/>
                <w:sz w:val="18"/>
                <w:szCs w:val="18"/>
              </w:rPr>
              <w:t>38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684797" w14:textId="77777777" w:rsidR="001C19F3" w:rsidRDefault="001C19F3" w:rsidP="00521305">
            <w:pPr>
              <w:spacing w:before="40" w:after="40"/>
              <w:ind w:left="100" w:right="100"/>
              <w:jc w:val="center"/>
            </w:pPr>
            <w:r>
              <w:rPr>
                <w:rFonts w:eastAsia="Century Gothic" w:cs="Century Gothic"/>
                <w:color w:val="000000"/>
                <w:sz w:val="18"/>
                <w:szCs w:val="18"/>
              </w:rPr>
              <w:t>12 (2.6%)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8F50B5"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181C53" w14:textId="77777777" w:rsidR="001C19F3" w:rsidRDefault="001C19F3" w:rsidP="00521305">
            <w:pPr>
              <w:spacing w:before="40" w:after="40"/>
              <w:ind w:left="100" w:right="100"/>
              <w:jc w:val="center"/>
            </w:pPr>
            <w:r>
              <w:rPr>
                <w:rFonts w:eastAsia="Century Gothic" w:cs="Century Gothic"/>
                <w:color w:val="000000"/>
                <w:sz w:val="18"/>
                <w:szCs w:val="18"/>
              </w:rPr>
              <w:t>43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037D8F" w14:textId="77777777" w:rsidR="001C19F3" w:rsidRDefault="001C19F3" w:rsidP="00521305">
            <w:pPr>
              <w:spacing w:before="40" w:after="40"/>
              <w:ind w:left="100" w:right="100"/>
              <w:jc w:val="center"/>
            </w:pPr>
            <w:r>
              <w:rPr>
                <w:rFonts w:eastAsia="Century Gothic" w:cs="Century Gothic"/>
                <w:color w:val="000000"/>
                <w:sz w:val="18"/>
                <w:szCs w:val="18"/>
              </w:rPr>
              <w:t>34 (4.2%)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F4B5E2" w14:textId="77777777" w:rsidR="001C19F3" w:rsidRDefault="001C19F3" w:rsidP="00521305">
            <w:pPr>
              <w:spacing w:before="40" w:after="40"/>
              <w:ind w:left="100" w:right="100"/>
              <w:jc w:val="right"/>
            </w:pPr>
            <w:r>
              <w:rPr>
                <w:rFonts w:eastAsia="Century Gothic" w:cs="Century Gothic"/>
                <w:color w:val="000000"/>
                <w:sz w:val="18"/>
                <w:szCs w:val="18"/>
              </w:rPr>
              <w:t>0.906</w:t>
            </w:r>
          </w:p>
        </w:tc>
      </w:tr>
      <w:tr w:rsidR="001C19F3" w14:paraId="00C16CE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E29E31" w14:textId="77777777" w:rsidR="001C19F3" w:rsidRDefault="001C19F3" w:rsidP="00521305">
            <w:pPr>
              <w:spacing w:before="40" w:after="40"/>
              <w:ind w:left="160" w:right="100"/>
            </w:pPr>
            <w:r>
              <w:rPr>
                <w:rFonts w:eastAsia="Century Gothic" w:cs="Century Gothic"/>
                <w:color w:val="000000"/>
                <w:sz w:val="18"/>
                <w:szCs w:val="18"/>
              </w:rPr>
              <w:t>Very 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DB8D14" w14:textId="77777777" w:rsidR="001C19F3" w:rsidRDefault="001C19F3" w:rsidP="00521305">
            <w:pPr>
              <w:spacing w:before="40" w:after="40"/>
              <w:ind w:left="100" w:right="100"/>
              <w:jc w:val="center"/>
            </w:pPr>
            <w:r>
              <w:rPr>
                <w:rFonts w:eastAsia="Century Gothic" w:cs="Century Gothic"/>
                <w:color w:val="000000"/>
                <w:sz w:val="18"/>
                <w:szCs w:val="18"/>
              </w:rPr>
              <w:t>413 (20.5%)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C0097E" w14:textId="77777777" w:rsidR="001C19F3" w:rsidRDefault="001C19F3" w:rsidP="00521305">
            <w:pPr>
              <w:spacing w:before="40" w:after="40"/>
              <w:ind w:left="100" w:right="100"/>
              <w:jc w:val="center"/>
            </w:pPr>
            <w:r>
              <w:rPr>
                <w:rFonts w:eastAsia="Century Gothic" w:cs="Century Gothic"/>
                <w:color w:val="000000"/>
                <w:sz w:val="18"/>
                <w:szCs w:val="18"/>
              </w:rPr>
              <w:t>135 (31.0%)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38D65B" w14:textId="77777777" w:rsidR="001C19F3" w:rsidRDefault="001C19F3" w:rsidP="00521305">
            <w:pPr>
              <w:spacing w:before="40" w:after="40"/>
              <w:ind w:left="100" w:right="100"/>
              <w:jc w:val="center"/>
            </w:pPr>
            <w:r>
              <w:rPr>
                <w:rFonts w:eastAsia="Century Gothic" w:cs="Century Gothic"/>
                <w:color w:val="000000"/>
                <w:sz w:val="18"/>
                <w:szCs w:val="18"/>
              </w:rPr>
              <w:t>210 (20.4%)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8421A5" w14:textId="77777777" w:rsidR="001C19F3" w:rsidRDefault="001C19F3" w:rsidP="00521305">
            <w:pPr>
              <w:spacing w:before="40" w:after="40"/>
              <w:ind w:left="100" w:right="100"/>
              <w:jc w:val="center"/>
            </w:pPr>
            <w:r>
              <w:rPr>
                <w:rFonts w:eastAsia="Century Gothic" w:cs="Century Gothic"/>
                <w:color w:val="000000"/>
                <w:sz w:val="18"/>
                <w:szCs w:val="18"/>
              </w:rPr>
              <w:t>48 (10.3%)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10BA6D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0B3462" w14:textId="77777777" w:rsidR="001C19F3" w:rsidRDefault="001C19F3" w:rsidP="00521305">
            <w:pPr>
              <w:spacing w:before="40" w:after="40"/>
              <w:ind w:left="100" w:right="100"/>
              <w:jc w:val="center"/>
            </w:pPr>
            <w:r>
              <w:rPr>
                <w:rFonts w:eastAsia="Century Gothic" w:cs="Century Gothic"/>
                <w:color w:val="000000"/>
                <w:sz w:val="18"/>
                <w:szCs w:val="18"/>
              </w:rPr>
              <w:t>249 (20.9%)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E55DA2" w14:textId="77777777" w:rsidR="001C19F3" w:rsidRDefault="001C19F3" w:rsidP="00521305">
            <w:pPr>
              <w:spacing w:before="40" w:after="40"/>
              <w:ind w:left="100" w:right="100"/>
              <w:jc w:val="center"/>
            </w:pPr>
            <w:r>
              <w:rPr>
                <w:rFonts w:eastAsia="Century Gothic" w:cs="Century Gothic"/>
                <w:color w:val="000000"/>
                <w:sz w:val="18"/>
                <w:szCs w:val="18"/>
              </w:rPr>
              <w:t>164 (20.3%)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145E079" w14:textId="77777777" w:rsidR="001C19F3" w:rsidRDefault="001C19F3" w:rsidP="00521305">
            <w:pPr>
              <w:spacing w:after="0"/>
              <w:rPr>
                <w:sz w:val="22"/>
              </w:rPr>
            </w:pPr>
          </w:p>
        </w:tc>
      </w:tr>
      <w:tr w:rsidR="001C19F3" w14:paraId="7FEC81E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7AD54C" w14:textId="77777777" w:rsidR="001C19F3" w:rsidRDefault="001C19F3" w:rsidP="00521305">
            <w:pPr>
              <w:spacing w:before="40" w:after="40"/>
              <w:ind w:left="160" w:right="100"/>
            </w:pPr>
            <w:r>
              <w:rPr>
                <w:rFonts w:eastAsia="Century Gothic" w:cs="Century Gothic"/>
                <w:color w:val="000000"/>
                <w:sz w:val="18"/>
                <w:szCs w:val="18"/>
              </w:rPr>
              <w:t>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558B1E" w14:textId="77777777" w:rsidR="001C19F3" w:rsidRDefault="001C19F3" w:rsidP="00521305">
            <w:pPr>
              <w:spacing w:before="40" w:after="40"/>
              <w:ind w:left="100" w:right="100"/>
              <w:jc w:val="center"/>
            </w:pPr>
            <w:r>
              <w:rPr>
                <w:rFonts w:eastAsia="Century Gothic" w:cs="Century Gothic"/>
                <w:color w:val="000000"/>
                <w:sz w:val="18"/>
                <w:szCs w:val="18"/>
              </w:rPr>
              <w:t>763 (37.8%)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C6E052" w14:textId="77777777" w:rsidR="001C19F3" w:rsidRDefault="001C19F3" w:rsidP="00521305">
            <w:pPr>
              <w:spacing w:before="40" w:after="40"/>
              <w:ind w:left="100" w:right="100"/>
              <w:jc w:val="center"/>
            </w:pPr>
            <w:r>
              <w:rPr>
                <w:rFonts w:eastAsia="Century Gothic" w:cs="Century Gothic"/>
                <w:color w:val="000000"/>
                <w:sz w:val="18"/>
                <w:szCs w:val="18"/>
              </w:rPr>
              <w:t>186 (42.8%)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98607C" w14:textId="77777777" w:rsidR="001C19F3" w:rsidRDefault="001C19F3" w:rsidP="00521305">
            <w:pPr>
              <w:spacing w:before="40" w:after="40"/>
              <w:ind w:left="100" w:right="100"/>
              <w:jc w:val="center"/>
            </w:pPr>
            <w:r>
              <w:rPr>
                <w:rFonts w:eastAsia="Century Gothic" w:cs="Century Gothic"/>
                <w:color w:val="000000"/>
                <w:sz w:val="18"/>
                <w:szCs w:val="18"/>
              </w:rPr>
              <w:t>402 (39.1%)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BA65D0" w14:textId="77777777" w:rsidR="001C19F3" w:rsidRDefault="001C19F3" w:rsidP="00521305">
            <w:pPr>
              <w:spacing w:before="40" w:after="40"/>
              <w:ind w:left="100" w:right="100"/>
              <w:jc w:val="center"/>
            </w:pPr>
            <w:r>
              <w:rPr>
                <w:rFonts w:eastAsia="Century Gothic" w:cs="Century Gothic"/>
                <w:color w:val="000000"/>
                <w:sz w:val="18"/>
                <w:szCs w:val="18"/>
              </w:rPr>
              <w:t>151 (32.5%)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E0C4A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E48685" w14:textId="77777777" w:rsidR="001C19F3" w:rsidRDefault="001C19F3" w:rsidP="00521305">
            <w:pPr>
              <w:spacing w:before="40" w:after="40"/>
              <w:ind w:left="100" w:right="100"/>
              <w:jc w:val="center"/>
            </w:pPr>
            <w:r>
              <w:rPr>
                <w:rFonts w:eastAsia="Century Gothic" w:cs="Century Gothic"/>
                <w:color w:val="000000"/>
                <w:sz w:val="18"/>
                <w:szCs w:val="18"/>
              </w:rPr>
              <w:t>458 (38.4%)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0965F9" w14:textId="77777777" w:rsidR="001C19F3" w:rsidRDefault="001C19F3" w:rsidP="00521305">
            <w:pPr>
              <w:spacing w:before="40" w:after="40"/>
              <w:ind w:left="100" w:right="100"/>
              <w:jc w:val="center"/>
            </w:pPr>
            <w:r>
              <w:rPr>
                <w:rFonts w:eastAsia="Century Gothic" w:cs="Century Gothic"/>
                <w:color w:val="000000"/>
                <w:sz w:val="18"/>
                <w:szCs w:val="18"/>
              </w:rPr>
              <w:t>305 (37.8%)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D99CA24" w14:textId="77777777" w:rsidR="001C19F3" w:rsidRDefault="001C19F3" w:rsidP="00521305">
            <w:pPr>
              <w:spacing w:after="0"/>
              <w:rPr>
                <w:sz w:val="22"/>
              </w:rPr>
            </w:pPr>
          </w:p>
        </w:tc>
      </w:tr>
      <w:tr w:rsidR="001C19F3" w14:paraId="14EE6BA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401E96" w14:textId="77777777" w:rsidR="001C19F3" w:rsidRDefault="001C19F3" w:rsidP="00521305">
            <w:pPr>
              <w:spacing w:before="40" w:after="40"/>
              <w:ind w:left="160" w:right="100"/>
            </w:pPr>
            <w:r>
              <w:rPr>
                <w:rFonts w:eastAsia="Century Gothic" w:cs="Century Gothic"/>
                <w:color w:val="000000"/>
                <w:sz w:val="18"/>
                <w:szCs w:val="18"/>
              </w:rPr>
              <w:t>Fair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E225A7" w14:textId="77777777" w:rsidR="001C19F3" w:rsidRDefault="001C19F3" w:rsidP="00521305">
            <w:pPr>
              <w:spacing w:before="40" w:after="40"/>
              <w:ind w:left="100" w:right="100"/>
              <w:jc w:val="center"/>
            </w:pPr>
            <w:r>
              <w:rPr>
                <w:rFonts w:eastAsia="Century Gothic" w:cs="Century Gothic"/>
                <w:color w:val="000000"/>
                <w:sz w:val="18"/>
                <w:szCs w:val="18"/>
              </w:rPr>
              <w:t>543 (26.9%)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CB4440" w14:textId="77777777" w:rsidR="001C19F3" w:rsidRDefault="001C19F3" w:rsidP="00521305">
            <w:pPr>
              <w:spacing w:before="40" w:after="40"/>
              <w:ind w:left="100" w:right="100"/>
              <w:jc w:val="center"/>
            </w:pPr>
            <w:r>
              <w:rPr>
                <w:rFonts w:eastAsia="Century Gothic" w:cs="Century Gothic"/>
                <w:color w:val="000000"/>
                <w:sz w:val="18"/>
                <w:szCs w:val="18"/>
              </w:rPr>
              <w:t>74 (17.0%)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05F0CA" w14:textId="77777777" w:rsidR="001C19F3" w:rsidRDefault="001C19F3" w:rsidP="00521305">
            <w:pPr>
              <w:spacing w:before="40" w:after="40"/>
              <w:ind w:left="100" w:right="100"/>
              <w:jc w:val="center"/>
            </w:pPr>
            <w:r>
              <w:rPr>
                <w:rFonts w:eastAsia="Century Gothic" w:cs="Century Gothic"/>
                <w:color w:val="000000"/>
                <w:sz w:val="18"/>
                <w:szCs w:val="18"/>
              </w:rPr>
              <w:t>289 (28.1%)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F34F4D" w14:textId="77777777" w:rsidR="001C19F3" w:rsidRDefault="001C19F3" w:rsidP="00521305">
            <w:pPr>
              <w:spacing w:before="40" w:after="40"/>
              <w:ind w:left="100" w:right="100"/>
              <w:jc w:val="center"/>
            </w:pPr>
            <w:r>
              <w:rPr>
                <w:rFonts w:eastAsia="Century Gothic" w:cs="Century Gothic"/>
                <w:color w:val="000000"/>
                <w:sz w:val="18"/>
                <w:szCs w:val="18"/>
              </w:rPr>
              <w:t>168 (36.2%)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35EF4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283F85" w14:textId="77777777" w:rsidR="001C19F3" w:rsidRDefault="001C19F3" w:rsidP="00521305">
            <w:pPr>
              <w:spacing w:before="40" w:after="40"/>
              <w:ind w:left="100" w:right="100"/>
              <w:jc w:val="center"/>
            </w:pPr>
            <w:r>
              <w:rPr>
                <w:rFonts w:eastAsia="Century Gothic" w:cs="Century Gothic"/>
                <w:color w:val="000000"/>
                <w:sz w:val="18"/>
                <w:szCs w:val="18"/>
              </w:rPr>
              <w:t>326 (27.3%)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199FEB" w14:textId="77777777" w:rsidR="001C19F3" w:rsidRDefault="001C19F3" w:rsidP="00521305">
            <w:pPr>
              <w:spacing w:before="40" w:after="40"/>
              <w:ind w:left="100" w:right="100"/>
              <w:jc w:val="center"/>
            </w:pPr>
            <w:r>
              <w:rPr>
                <w:rFonts w:eastAsia="Century Gothic" w:cs="Century Gothic"/>
                <w:color w:val="000000"/>
                <w:sz w:val="18"/>
                <w:szCs w:val="18"/>
              </w:rPr>
              <w:t>217 (26.9%)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418C29B" w14:textId="77777777" w:rsidR="001C19F3" w:rsidRDefault="001C19F3" w:rsidP="00521305">
            <w:pPr>
              <w:spacing w:after="0"/>
              <w:rPr>
                <w:sz w:val="22"/>
              </w:rPr>
            </w:pPr>
          </w:p>
        </w:tc>
      </w:tr>
      <w:tr w:rsidR="001C19F3" w14:paraId="072833E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A5D4F8" w14:textId="77777777" w:rsidR="001C19F3" w:rsidRDefault="001C19F3" w:rsidP="00521305">
            <w:pPr>
              <w:spacing w:before="40" w:after="40"/>
              <w:ind w:left="160" w:right="100"/>
            </w:pPr>
            <w:r>
              <w:rPr>
                <w:rFonts w:eastAsia="Century Gothic" w:cs="Century Gothic"/>
                <w:color w:val="000000"/>
                <w:sz w:val="18"/>
                <w:szCs w:val="18"/>
              </w:rPr>
              <w:t>Poor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7F102" w14:textId="77777777" w:rsidR="001C19F3" w:rsidRDefault="001C19F3" w:rsidP="00521305">
            <w:pPr>
              <w:spacing w:before="40" w:after="40"/>
              <w:ind w:left="100" w:right="100"/>
              <w:jc w:val="center"/>
            </w:pPr>
            <w:r>
              <w:rPr>
                <w:rFonts w:eastAsia="Century Gothic" w:cs="Century Gothic"/>
                <w:color w:val="000000"/>
                <w:sz w:val="18"/>
                <w:szCs w:val="18"/>
              </w:rPr>
              <w:t>202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159512" w14:textId="77777777" w:rsidR="001C19F3" w:rsidRDefault="001C19F3" w:rsidP="00521305">
            <w:pPr>
              <w:spacing w:before="40" w:after="40"/>
              <w:ind w:left="100" w:right="100"/>
              <w:jc w:val="center"/>
            </w:pPr>
            <w:r>
              <w:rPr>
                <w:rFonts w:eastAsia="Century Gothic" w:cs="Century Gothic"/>
                <w:color w:val="000000"/>
                <w:sz w:val="18"/>
                <w:szCs w:val="18"/>
              </w:rPr>
              <w:t>18 (4.1%)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04A7FC" w14:textId="77777777" w:rsidR="001C19F3" w:rsidRDefault="001C19F3" w:rsidP="00521305">
            <w:pPr>
              <w:spacing w:before="40" w:after="40"/>
              <w:ind w:left="100" w:right="100"/>
              <w:jc w:val="center"/>
            </w:pPr>
            <w:r>
              <w:rPr>
                <w:rFonts w:eastAsia="Century Gothic" w:cs="Century Gothic"/>
                <w:color w:val="000000"/>
                <w:sz w:val="18"/>
                <w:szCs w:val="18"/>
              </w:rPr>
              <w:t>90 (8.7%)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AD3D39" w14:textId="77777777" w:rsidR="001C19F3" w:rsidRDefault="001C19F3" w:rsidP="00521305">
            <w:pPr>
              <w:spacing w:before="40" w:after="40"/>
              <w:ind w:left="100" w:right="100"/>
              <w:jc w:val="center"/>
            </w:pPr>
            <w:r>
              <w:rPr>
                <w:rFonts w:eastAsia="Century Gothic" w:cs="Century Gothic"/>
                <w:color w:val="000000"/>
                <w:sz w:val="18"/>
                <w:szCs w:val="18"/>
              </w:rPr>
              <w:t>85 (18.3%)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31282E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34D7E4" w14:textId="77777777" w:rsidR="001C19F3" w:rsidRDefault="001C19F3" w:rsidP="00521305">
            <w:pPr>
              <w:spacing w:before="40" w:after="40"/>
              <w:ind w:left="100" w:right="100"/>
              <w:jc w:val="center"/>
            </w:pPr>
            <w:r>
              <w:rPr>
                <w:rFonts w:eastAsia="Century Gothic" w:cs="Century Gothic"/>
                <w:color w:val="000000"/>
                <w:sz w:val="18"/>
                <w:szCs w:val="18"/>
              </w:rPr>
              <w:t>116 (9.7%)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4B4F54" w14:textId="77777777" w:rsidR="001C19F3" w:rsidRDefault="001C19F3" w:rsidP="00521305">
            <w:pPr>
              <w:spacing w:before="40" w:after="40"/>
              <w:ind w:left="100" w:right="100"/>
              <w:jc w:val="center"/>
            </w:pPr>
            <w:r>
              <w:rPr>
                <w:rFonts w:eastAsia="Century Gothic" w:cs="Century Gothic"/>
                <w:color w:val="000000"/>
                <w:sz w:val="18"/>
                <w:szCs w:val="18"/>
              </w:rPr>
              <w:t>86 (10.7%)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A2EF98B" w14:textId="77777777" w:rsidR="001C19F3" w:rsidRDefault="001C19F3" w:rsidP="00521305">
            <w:pPr>
              <w:spacing w:after="0"/>
              <w:rPr>
                <w:sz w:val="22"/>
              </w:rPr>
            </w:pPr>
          </w:p>
        </w:tc>
      </w:tr>
      <w:tr w:rsidR="001C19F3" w14:paraId="38A918D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5BAF5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62333C" w14:textId="77777777" w:rsidR="001C19F3" w:rsidRDefault="001C19F3" w:rsidP="00521305">
            <w:pPr>
              <w:spacing w:before="40" w:after="40"/>
              <w:ind w:left="100" w:right="100"/>
              <w:jc w:val="center"/>
            </w:pPr>
            <w:r>
              <w:rPr>
                <w:rFonts w:eastAsia="Century Gothic" w:cs="Century Gothic"/>
                <w:color w:val="000000"/>
                <w:sz w:val="18"/>
                <w:szCs w:val="18"/>
              </w:rPr>
              <w:t>20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54591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EAAE7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3395F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0C3DD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ADC55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7858B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F07AF0" w14:textId="77777777" w:rsidR="001C19F3" w:rsidRDefault="001C19F3" w:rsidP="00521305">
            <w:pPr>
              <w:spacing w:before="40" w:after="40"/>
              <w:ind w:left="100" w:right="100"/>
              <w:jc w:val="right"/>
            </w:pPr>
          </w:p>
        </w:tc>
      </w:tr>
      <w:tr w:rsidR="001C19F3" w14:paraId="614DF73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2AA6CE" w14:textId="77777777" w:rsidR="001C19F3" w:rsidRDefault="001C19F3" w:rsidP="00521305">
            <w:pPr>
              <w:spacing w:before="40" w:after="40"/>
              <w:ind w:left="100" w:right="100"/>
            </w:pPr>
            <w:r>
              <w:rPr>
                <w:rFonts w:eastAsia="Century Gothic" w:cs="Century Gothic"/>
                <w:b/>
                <w:color w:val="000000"/>
                <w:sz w:val="18"/>
                <w:szCs w:val="18"/>
              </w:rPr>
              <w:t>F02 Patient rating of overall mental or emotional health (Q26)</w:t>
            </w:r>
          </w:p>
        </w:tc>
      </w:tr>
      <w:tr w:rsidR="001C19F3" w14:paraId="65D6700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12C72A" w14:textId="77777777" w:rsidR="001C19F3" w:rsidRDefault="001C19F3" w:rsidP="00521305">
            <w:pPr>
              <w:spacing w:before="40" w:after="40"/>
              <w:ind w:left="160" w:right="100"/>
            </w:pPr>
            <w:r>
              <w:rPr>
                <w:rFonts w:eastAsia="Century Gothic" w:cs="Century Gothic"/>
                <w:color w:val="000000"/>
                <w:sz w:val="18"/>
                <w:szCs w:val="18"/>
              </w:rPr>
              <w:t>Excellent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6F4E3A" w14:textId="77777777" w:rsidR="001C19F3" w:rsidRDefault="001C19F3" w:rsidP="00521305">
            <w:pPr>
              <w:spacing w:before="40" w:after="40"/>
              <w:ind w:left="100" w:right="100"/>
              <w:jc w:val="center"/>
            </w:pPr>
            <w:r>
              <w:rPr>
                <w:rFonts w:eastAsia="Century Gothic" w:cs="Century Gothic"/>
                <w:color w:val="000000"/>
                <w:sz w:val="18"/>
                <w:szCs w:val="18"/>
              </w:rPr>
              <w:t>288 (14.3%)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18FB36" w14:textId="77777777" w:rsidR="001C19F3" w:rsidRDefault="001C19F3" w:rsidP="00521305">
            <w:pPr>
              <w:spacing w:before="40" w:after="40"/>
              <w:ind w:left="100" w:right="100"/>
              <w:jc w:val="center"/>
            </w:pPr>
            <w:r>
              <w:rPr>
                <w:rFonts w:eastAsia="Century Gothic" w:cs="Century Gothic"/>
                <w:color w:val="000000"/>
                <w:sz w:val="18"/>
                <w:szCs w:val="18"/>
              </w:rPr>
              <w:t>94 (21.3%)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6A0F14" w14:textId="77777777" w:rsidR="001C19F3" w:rsidRDefault="001C19F3" w:rsidP="00521305">
            <w:pPr>
              <w:spacing w:before="40" w:after="40"/>
              <w:ind w:left="100" w:right="100"/>
              <w:jc w:val="center"/>
            </w:pPr>
            <w:r>
              <w:rPr>
                <w:rFonts w:eastAsia="Century Gothic" w:cs="Century Gothic"/>
                <w:color w:val="000000"/>
                <w:sz w:val="18"/>
                <w:szCs w:val="18"/>
              </w:rPr>
              <w:t>141 (13.7%)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D1182D" w14:textId="77777777" w:rsidR="001C19F3" w:rsidRDefault="001C19F3" w:rsidP="00521305">
            <w:pPr>
              <w:spacing w:before="40" w:after="40"/>
              <w:ind w:left="100" w:right="100"/>
              <w:jc w:val="center"/>
            </w:pPr>
            <w:r>
              <w:rPr>
                <w:rFonts w:eastAsia="Century Gothic" w:cs="Century Gothic"/>
                <w:color w:val="000000"/>
                <w:sz w:val="18"/>
                <w:szCs w:val="18"/>
              </w:rPr>
              <w:t>41 (8.8%)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99731B"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E196EC" w14:textId="77777777" w:rsidR="001C19F3" w:rsidRDefault="001C19F3" w:rsidP="00521305">
            <w:pPr>
              <w:spacing w:before="40" w:after="40"/>
              <w:ind w:left="100" w:right="100"/>
              <w:jc w:val="center"/>
            </w:pPr>
            <w:r>
              <w:rPr>
                <w:rFonts w:eastAsia="Century Gothic" w:cs="Century Gothic"/>
                <w:color w:val="000000"/>
                <w:sz w:val="18"/>
                <w:szCs w:val="18"/>
              </w:rPr>
              <w:t>182 (15.2%)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67937C" w14:textId="77777777" w:rsidR="001C19F3" w:rsidRDefault="001C19F3" w:rsidP="00521305">
            <w:pPr>
              <w:spacing w:before="40" w:after="40"/>
              <w:ind w:left="100" w:right="100"/>
              <w:jc w:val="center"/>
            </w:pPr>
            <w:r>
              <w:rPr>
                <w:rFonts w:eastAsia="Century Gothic" w:cs="Century Gothic"/>
                <w:color w:val="000000"/>
                <w:sz w:val="18"/>
                <w:szCs w:val="18"/>
              </w:rPr>
              <w:t>106 (13.1%)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91B4EA" w14:textId="77777777" w:rsidR="001C19F3" w:rsidRDefault="001C19F3" w:rsidP="00521305">
            <w:pPr>
              <w:spacing w:before="40" w:after="40"/>
              <w:ind w:left="100" w:right="100"/>
              <w:jc w:val="right"/>
            </w:pPr>
            <w:r>
              <w:rPr>
                <w:rFonts w:eastAsia="Century Gothic" w:cs="Century Gothic"/>
                <w:color w:val="000000"/>
                <w:sz w:val="18"/>
                <w:szCs w:val="18"/>
              </w:rPr>
              <w:t>0.154</w:t>
            </w:r>
          </w:p>
        </w:tc>
      </w:tr>
      <w:tr w:rsidR="001C19F3" w14:paraId="42B81B2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95135C" w14:textId="77777777" w:rsidR="001C19F3" w:rsidRDefault="001C19F3" w:rsidP="00521305">
            <w:pPr>
              <w:spacing w:before="40" w:after="40"/>
              <w:ind w:left="160" w:right="100"/>
            </w:pPr>
            <w:r>
              <w:rPr>
                <w:rFonts w:eastAsia="Century Gothic" w:cs="Century Gothic"/>
                <w:color w:val="000000"/>
                <w:sz w:val="18"/>
                <w:szCs w:val="18"/>
              </w:rPr>
              <w:lastRenderedPageBreak/>
              <w:t>Very 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14A78E" w14:textId="77777777" w:rsidR="001C19F3" w:rsidRDefault="001C19F3" w:rsidP="00521305">
            <w:pPr>
              <w:spacing w:before="40" w:after="40"/>
              <w:ind w:left="100" w:right="100"/>
              <w:jc w:val="center"/>
            </w:pPr>
            <w:r>
              <w:rPr>
                <w:rFonts w:eastAsia="Century Gothic" w:cs="Century Gothic"/>
                <w:color w:val="000000"/>
                <w:sz w:val="18"/>
                <w:szCs w:val="18"/>
              </w:rPr>
              <w:t>530 (26.3%)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6CEB98" w14:textId="77777777" w:rsidR="001C19F3" w:rsidRDefault="001C19F3" w:rsidP="00521305">
            <w:pPr>
              <w:spacing w:before="40" w:after="40"/>
              <w:ind w:left="100" w:right="100"/>
              <w:jc w:val="center"/>
            </w:pPr>
            <w:r>
              <w:rPr>
                <w:rFonts w:eastAsia="Century Gothic" w:cs="Century Gothic"/>
                <w:color w:val="000000"/>
                <w:sz w:val="18"/>
                <w:szCs w:val="18"/>
              </w:rPr>
              <w:t>144 (32.7%)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970D79" w14:textId="77777777" w:rsidR="001C19F3" w:rsidRDefault="001C19F3" w:rsidP="00521305">
            <w:pPr>
              <w:spacing w:before="40" w:after="40"/>
              <w:ind w:left="100" w:right="100"/>
              <w:jc w:val="center"/>
            </w:pPr>
            <w:r>
              <w:rPr>
                <w:rFonts w:eastAsia="Century Gothic" w:cs="Century Gothic"/>
                <w:color w:val="000000"/>
                <w:sz w:val="18"/>
                <w:szCs w:val="18"/>
              </w:rPr>
              <w:t>270 (26.3%)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EC9A1F" w14:textId="77777777" w:rsidR="001C19F3" w:rsidRDefault="001C19F3" w:rsidP="00521305">
            <w:pPr>
              <w:spacing w:before="40" w:after="40"/>
              <w:ind w:left="100" w:right="100"/>
              <w:jc w:val="center"/>
            </w:pPr>
            <w:r>
              <w:rPr>
                <w:rFonts w:eastAsia="Century Gothic" w:cs="Century Gothic"/>
                <w:color w:val="000000"/>
                <w:sz w:val="18"/>
                <w:szCs w:val="18"/>
              </w:rPr>
              <w:t>93 (19.9%)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4E175D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71DBF8" w14:textId="77777777" w:rsidR="001C19F3" w:rsidRDefault="001C19F3" w:rsidP="00521305">
            <w:pPr>
              <w:spacing w:before="40" w:after="40"/>
              <w:ind w:left="100" w:right="100"/>
              <w:jc w:val="center"/>
            </w:pPr>
            <w:r>
              <w:rPr>
                <w:rFonts w:eastAsia="Century Gothic" w:cs="Century Gothic"/>
                <w:color w:val="000000"/>
                <w:sz w:val="18"/>
                <w:szCs w:val="18"/>
              </w:rPr>
              <w:t>325 (27.1%)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09B66" w14:textId="77777777" w:rsidR="001C19F3" w:rsidRDefault="001C19F3" w:rsidP="00521305">
            <w:pPr>
              <w:spacing w:before="40" w:after="40"/>
              <w:ind w:left="100" w:right="100"/>
              <w:jc w:val="center"/>
            </w:pPr>
            <w:r>
              <w:rPr>
                <w:rFonts w:eastAsia="Century Gothic" w:cs="Century Gothic"/>
                <w:color w:val="000000"/>
                <w:sz w:val="18"/>
                <w:szCs w:val="18"/>
              </w:rPr>
              <w:t>205 (25.4%)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267DE2" w14:textId="77777777" w:rsidR="001C19F3" w:rsidRDefault="001C19F3" w:rsidP="00521305">
            <w:pPr>
              <w:spacing w:after="0"/>
              <w:rPr>
                <w:sz w:val="22"/>
              </w:rPr>
            </w:pPr>
          </w:p>
        </w:tc>
      </w:tr>
      <w:tr w:rsidR="001C19F3" w14:paraId="0C299AC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7392F" w14:textId="77777777" w:rsidR="001C19F3" w:rsidRDefault="001C19F3" w:rsidP="00521305">
            <w:pPr>
              <w:spacing w:before="40" w:after="40"/>
              <w:ind w:left="160" w:right="100"/>
            </w:pPr>
            <w:r>
              <w:rPr>
                <w:rFonts w:eastAsia="Century Gothic" w:cs="Century Gothic"/>
                <w:color w:val="000000"/>
                <w:sz w:val="18"/>
                <w:szCs w:val="18"/>
              </w:rPr>
              <w:t>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597D84" w14:textId="77777777" w:rsidR="001C19F3" w:rsidRDefault="001C19F3" w:rsidP="00521305">
            <w:pPr>
              <w:spacing w:before="40" w:after="40"/>
              <w:ind w:left="100" w:right="100"/>
              <w:jc w:val="center"/>
            </w:pPr>
            <w:r>
              <w:rPr>
                <w:rFonts w:eastAsia="Century Gothic" w:cs="Century Gothic"/>
                <w:color w:val="000000"/>
                <w:sz w:val="18"/>
                <w:szCs w:val="18"/>
              </w:rPr>
              <w:t>717 (35.5%)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3108B1" w14:textId="77777777" w:rsidR="001C19F3" w:rsidRDefault="001C19F3" w:rsidP="00521305">
            <w:pPr>
              <w:spacing w:before="40" w:after="40"/>
              <w:ind w:left="100" w:right="100"/>
              <w:jc w:val="center"/>
            </w:pPr>
            <w:r>
              <w:rPr>
                <w:rFonts w:eastAsia="Century Gothic" w:cs="Century Gothic"/>
                <w:color w:val="000000"/>
                <w:sz w:val="18"/>
                <w:szCs w:val="18"/>
              </w:rPr>
              <w:t>147 (33.3%)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27630A" w14:textId="77777777" w:rsidR="001C19F3" w:rsidRDefault="001C19F3" w:rsidP="00521305">
            <w:pPr>
              <w:spacing w:before="40" w:after="40"/>
              <w:ind w:left="100" w:right="100"/>
              <w:jc w:val="center"/>
            </w:pPr>
            <w:r>
              <w:rPr>
                <w:rFonts w:eastAsia="Century Gothic" w:cs="Century Gothic"/>
                <w:color w:val="000000"/>
                <w:sz w:val="18"/>
                <w:szCs w:val="18"/>
              </w:rPr>
              <w:t>388 (37.8%)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0F5079" w14:textId="77777777" w:rsidR="001C19F3" w:rsidRDefault="001C19F3" w:rsidP="00521305">
            <w:pPr>
              <w:spacing w:before="40" w:after="40"/>
              <w:ind w:left="100" w:right="100"/>
              <w:jc w:val="center"/>
            </w:pPr>
            <w:r>
              <w:rPr>
                <w:rFonts w:eastAsia="Century Gothic" w:cs="Century Gothic"/>
                <w:color w:val="000000"/>
                <w:sz w:val="18"/>
                <w:szCs w:val="18"/>
              </w:rPr>
              <w:t>157 (33.5%)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E8F03A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8B10E0" w14:textId="77777777" w:rsidR="001C19F3" w:rsidRDefault="001C19F3" w:rsidP="00521305">
            <w:pPr>
              <w:spacing w:before="40" w:after="40"/>
              <w:ind w:left="100" w:right="100"/>
              <w:jc w:val="center"/>
            </w:pPr>
            <w:r>
              <w:rPr>
                <w:rFonts w:eastAsia="Century Gothic" w:cs="Century Gothic"/>
                <w:color w:val="000000"/>
                <w:sz w:val="18"/>
                <w:szCs w:val="18"/>
              </w:rPr>
              <w:t>425 (35.5%)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3560B" w14:textId="77777777" w:rsidR="001C19F3" w:rsidRDefault="001C19F3" w:rsidP="00521305">
            <w:pPr>
              <w:spacing w:before="40" w:after="40"/>
              <w:ind w:left="100" w:right="100"/>
              <w:jc w:val="center"/>
            </w:pPr>
            <w:r>
              <w:rPr>
                <w:rFonts w:eastAsia="Century Gothic" w:cs="Century Gothic"/>
                <w:color w:val="000000"/>
                <w:sz w:val="18"/>
                <w:szCs w:val="18"/>
              </w:rPr>
              <w:t>292 (36.1%)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D8906E" w14:textId="77777777" w:rsidR="001C19F3" w:rsidRDefault="001C19F3" w:rsidP="00521305">
            <w:pPr>
              <w:spacing w:after="0"/>
              <w:rPr>
                <w:sz w:val="22"/>
              </w:rPr>
            </w:pPr>
          </w:p>
        </w:tc>
      </w:tr>
      <w:tr w:rsidR="001C19F3" w14:paraId="5C55C70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23EE28" w14:textId="77777777" w:rsidR="001C19F3" w:rsidRDefault="001C19F3" w:rsidP="00521305">
            <w:pPr>
              <w:spacing w:before="40" w:after="40"/>
              <w:ind w:left="160" w:right="100"/>
            </w:pPr>
            <w:r>
              <w:rPr>
                <w:rFonts w:eastAsia="Century Gothic" w:cs="Century Gothic"/>
                <w:color w:val="000000"/>
                <w:sz w:val="18"/>
                <w:szCs w:val="18"/>
              </w:rPr>
              <w:t>Fair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7445E8" w14:textId="77777777" w:rsidR="001C19F3" w:rsidRDefault="001C19F3" w:rsidP="00521305">
            <w:pPr>
              <w:spacing w:before="40" w:after="40"/>
              <w:ind w:left="100" w:right="100"/>
              <w:jc w:val="center"/>
            </w:pPr>
            <w:r>
              <w:rPr>
                <w:rFonts w:eastAsia="Century Gothic" w:cs="Century Gothic"/>
                <w:color w:val="000000"/>
                <w:sz w:val="18"/>
                <w:szCs w:val="18"/>
              </w:rPr>
              <w:t>372 (18.4%)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A92CB" w14:textId="77777777" w:rsidR="001C19F3" w:rsidRDefault="001C19F3" w:rsidP="00521305">
            <w:pPr>
              <w:spacing w:before="40" w:after="40"/>
              <w:ind w:left="100" w:right="100"/>
              <w:jc w:val="center"/>
            </w:pPr>
            <w:r>
              <w:rPr>
                <w:rFonts w:eastAsia="Century Gothic" w:cs="Century Gothic"/>
                <w:color w:val="000000"/>
                <w:sz w:val="18"/>
                <w:szCs w:val="18"/>
              </w:rPr>
              <w:t>48 (10.9%)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CE7AD1" w14:textId="77777777" w:rsidR="001C19F3" w:rsidRDefault="001C19F3" w:rsidP="00521305">
            <w:pPr>
              <w:spacing w:before="40" w:after="40"/>
              <w:ind w:left="100" w:right="100"/>
              <w:jc w:val="center"/>
            </w:pPr>
            <w:r>
              <w:rPr>
                <w:rFonts w:eastAsia="Century Gothic" w:cs="Century Gothic"/>
                <w:color w:val="000000"/>
                <w:sz w:val="18"/>
                <w:szCs w:val="18"/>
              </w:rPr>
              <w:t>191 (18.6%)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4A948B" w14:textId="77777777" w:rsidR="001C19F3" w:rsidRDefault="001C19F3" w:rsidP="00521305">
            <w:pPr>
              <w:spacing w:before="40" w:after="40"/>
              <w:ind w:left="100" w:right="100"/>
              <w:jc w:val="center"/>
            </w:pPr>
            <w:r>
              <w:rPr>
                <w:rFonts w:eastAsia="Century Gothic" w:cs="Century Gothic"/>
                <w:color w:val="000000"/>
                <w:sz w:val="18"/>
                <w:szCs w:val="18"/>
              </w:rPr>
              <w:t>128 (27.4%)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531729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04BE86" w14:textId="77777777" w:rsidR="001C19F3" w:rsidRDefault="001C19F3" w:rsidP="00521305">
            <w:pPr>
              <w:spacing w:before="40" w:after="40"/>
              <w:ind w:left="100" w:right="100"/>
              <w:jc w:val="center"/>
            </w:pPr>
            <w:r>
              <w:rPr>
                <w:rFonts w:eastAsia="Century Gothic" w:cs="Century Gothic"/>
                <w:color w:val="000000"/>
                <w:sz w:val="18"/>
                <w:szCs w:val="18"/>
              </w:rPr>
              <w:t>217 (18.1%)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0E0E12" w14:textId="77777777" w:rsidR="001C19F3" w:rsidRDefault="001C19F3" w:rsidP="00521305">
            <w:pPr>
              <w:spacing w:before="40" w:after="40"/>
              <w:ind w:left="100" w:right="100"/>
              <w:jc w:val="center"/>
            </w:pPr>
            <w:r>
              <w:rPr>
                <w:rFonts w:eastAsia="Century Gothic" w:cs="Century Gothic"/>
                <w:color w:val="000000"/>
                <w:sz w:val="18"/>
                <w:szCs w:val="18"/>
              </w:rPr>
              <w:t>155 (19.2%)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03E97E3" w14:textId="77777777" w:rsidR="001C19F3" w:rsidRDefault="001C19F3" w:rsidP="00521305">
            <w:pPr>
              <w:spacing w:after="0"/>
              <w:rPr>
                <w:sz w:val="22"/>
              </w:rPr>
            </w:pPr>
          </w:p>
        </w:tc>
      </w:tr>
      <w:tr w:rsidR="001C19F3" w14:paraId="68B5F5F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C0BF57" w14:textId="77777777" w:rsidR="001C19F3" w:rsidRDefault="001C19F3" w:rsidP="00521305">
            <w:pPr>
              <w:spacing w:before="40" w:after="40"/>
              <w:ind w:left="160" w:right="100"/>
            </w:pPr>
            <w:r>
              <w:rPr>
                <w:rFonts w:eastAsia="Century Gothic" w:cs="Century Gothic"/>
                <w:color w:val="000000"/>
                <w:sz w:val="18"/>
                <w:szCs w:val="18"/>
              </w:rPr>
              <w:t>Poor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9531C" w14:textId="77777777" w:rsidR="001C19F3" w:rsidRDefault="001C19F3" w:rsidP="00521305">
            <w:pPr>
              <w:spacing w:before="40" w:after="40"/>
              <w:ind w:left="100" w:right="100"/>
              <w:jc w:val="center"/>
            </w:pPr>
            <w:r>
              <w:rPr>
                <w:rFonts w:eastAsia="Century Gothic" w:cs="Century Gothic"/>
                <w:color w:val="000000"/>
                <w:sz w:val="18"/>
                <w:szCs w:val="18"/>
              </w:rPr>
              <w:t>99 (4.9%)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61F3A" w14:textId="77777777" w:rsidR="001C19F3" w:rsidRDefault="001C19F3" w:rsidP="00521305">
            <w:pPr>
              <w:spacing w:before="40" w:after="40"/>
              <w:ind w:left="100" w:right="100"/>
              <w:jc w:val="center"/>
            </w:pPr>
            <w:r>
              <w:rPr>
                <w:rFonts w:eastAsia="Century Gothic" w:cs="Century Gothic"/>
                <w:color w:val="000000"/>
                <w:sz w:val="18"/>
                <w:szCs w:val="18"/>
              </w:rPr>
              <w:t>8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98EDE7" w14:textId="77777777" w:rsidR="001C19F3" w:rsidRDefault="001C19F3" w:rsidP="00521305">
            <w:pPr>
              <w:spacing w:before="40" w:after="40"/>
              <w:ind w:left="100" w:right="100"/>
              <w:jc w:val="center"/>
            </w:pPr>
            <w:r>
              <w:rPr>
                <w:rFonts w:eastAsia="Century Gothic" w:cs="Century Gothic"/>
                <w:color w:val="000000"/>
                <w:sz w:val="18"/>
                <w:szCs w:val="18"/>
              </w:rPr>
              <w:t>37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EB9E18" w14:textId="77777777" w:rsidR="001C19F3" w:rsidRDefault="001C19F3" w:rsidP="00521305">
            <w:pPr>
              <w:spacing w:before="40" w:after="40"/>
              <w:ind w:left="100" w:right="100"/>
              <w:jc w:val="center"/>
            </w:pPr>
            <w:r>
              <w:rPr>
                <w:rFonts w:eastAsia="Century Gothic" w:cs="Century Gothic"/>
                <w:color w:val="000000"/>
                <w:sz w:val="18"/>
                <w:szCs w:val="18"/>
              </w:rPr>
              <w:t>49 (10.5%)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01CDD2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C0FBC" w14:textId="77777777" w:rsidR="001C19F3" w:rsidRDefault="001C19F3" w:rsidP="00521305">
            <w:pPr>
              <w:spacing w:before="40" w:after="40"/>
              <w:ind w:left="100" w:right="100"/>
              <w:jc w:val="center"/>
            </w:pPr>
            <w:r>
              <w:rPr>
                <w:rFonts w:eastAsia="Century Gothic" w:cs="Century Gothic"/>
                <w:color w:val="000000"/>
                <w:sz w:val="18"/>
                <w:szCs w:val="18"/>
              </w:rPr>
              <w:t>49 (4.1%)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D4637C" w14:textId="77777777" w:rsidR="001C19F3" w:rsidRDefault="001C19F3" w:rsidP="00521305">
            <w:pPr>
              <w:spacing w:before="40" w:after="40"/>
              <w:ind w:left="100" w:right="100"/>
              <w:jc w:val="center"/>
            </w:pPr>
            <w:r>
              <w:rPr>
                <w:rFonts w:eastAsia="Century Gothic" w:cs="Century Gothic"/>
                <w:color w:val="000000"/>
                <w:sz w:val="18"/>
                <w:szCs w:val="18"/>
              </w:rPr>
              <w:t>50 (6.2%)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AF94AC4" w14:textId="77777777" w:rsidR="001C19F3" w:rsidRDefault="001C19F3" w:rsidP="00521305">
            <w:pPr>
              <w:spacing w:after="0"/>
              <w:rPr>
                <w:sz w:val="22"/>
              </w:rPr>
            </w:pPr>
          </w:p>
        </w:tc>
      </w:tr>
      <w:tr w:rsidR="001C19F3" w14:paraId="50DF90A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A966B0"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D527A2" w14:textId="77777777" w:rsidR="001C19F3" w:rsidRDefault="001C19F3" w:rsidP="00521305">
            <w:pPr>
              <w:spacing w:before="40" w:after="40"/>
              <w:ind w:left="100" w:right="100"/>
              <w:jc w:val="center"/>
            </w:pPr>
            <w:r>
              <w:rPr>
                <w:rFonts w:eastAsia="Century Gothic" w:cs="Century Gothic"/>
                <w:color w:val="000000"/>
                <w:sz w:val="18"/>
                <w:szCs w:val="18"/>
              </w:rPr>
              <w:t>12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5E467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C1600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8DB38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2C0FF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6C4D3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DC224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1D01ED" w14:textId="77777777" w:rsidR="001C19F3" w:rsidRDefault="001C19F3" w:rsidP="00521305">
            <w:pPr>
              <w:spacing w:before="40" w:after="40"/>
              <w:ind w:left="100" w:right="100"/>
              <w:jc w:val="right"/>
            </w:pPr>
          </w:p>
        </w:tc>
      </w:tr>
      <w:tr w:rsidR="001C19F3" w14:paraId="38704471"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BE23CD" w14:textId="77777777" w:rsidR="001C19F3" w:rsidRDefault="001C19F3" w:rsidP="00521305">
            <w:pPr>
              <w:spacing w:before="40" w:after="40"/>
              <w:ind w:left="100" w:right="100"/>
            </w:pPr>
            <w:r>
              <w:rPr>
                <w:rFonts w:eastAsia="Century Gothic" w:cs="Century Gothic"/>
                <w:b/>
                <w:color w:val="000000"/>
                <w:sz w:val="18"/>
                <w:szCs w:val="18"/>
              </w:rPr>
              <w:t>F03 Number of chronic conditions</w:t>
            </w:r>
          </w:p>
        </w:tc>
      </w:tr>
      <w:tr w:rsidR="001C19F3" w14:paraId="1E4CB0E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FE7C24" w14:textId="77777777" w:rsidR="001C19F3" w:rsidRDefault="001C19F3" w:rsidP="00521305">
            <w:pPr>
              <w:spacing w:before="40" w:after="40"/>
              <w:ind w:left="160" w:right="100"/>
            </w:pPr>
            <w:r>
              <w:rPr>
                <w:rFonts w:eastAsia="Century Gothic" w:cs="Century Gothic"/>
                <w:color w:val="000000"/>
                <w:sz w:val="18"/>
                <w:szCs w:val="18"/>
              </w:rPr>
              <w:t>None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ED49CB"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34CCFD" w14:textId="77777777" w:rsidR="001C19F3" w:rsidRDefault="001C19F3" w:rsidP="00521305">
            <w:pPr>
              <w:spacing w:before="40" w:after="40"/>
              <w:ind w:left="100" w:right="100"/>
              <w:jc w:val="center"/>
            </w:pPr>
            <w:r>
              <w:rPr>
                <w:rFonts w:eastAsia="Century Gothic" w:cs="Century Gothic"/>
                <w:color w:val="000000"/>
                <w:sz w:val="18"/>
                <w:szCs w:val="18"/>
              </w:rPr>
              <w:t>11 (2.5%)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A8AA08" w14:textId="77777777" w:rsidR="001C19F3" w:rsidRDefault="001C19F3" w:rsidP="00521305">
            <w:pPr>
              <w:spacing w:before="40" w:after="40"/>
              <w:ind w:left="100" w:right="100"/>
              <w:jc w:val="center"/>
            </w:pPr>
            <w:r>
              <w:rPr>
                <w:rFonts w:eastAsia="Century Gothic" w:cs="Century Gothic"/>
                <w:color w:val="000000"/>
                <w:sz w:val="18"/>
                <w:szCs w:val="18"/>
              </w:rPr>
              <w:t>9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8F9726" w14:textId="77777777" w:rsidR="001C19F3" w:rsidRDefault="001C19F3" w:rsidP="00521305">
            <w:pPr>
              <w:spacing w:before="40" w:after="40"/>
              <w:ind w:left="100" w:right="100"/>
              <w:jc w:val="center"/>
            </w:pPr>
            <w:r>
              <w:rPr>
                <w:rFonts w:eastAsia="Century Gothic" w:cs="Century Gothic"/>
                <w:color w:val="000000"/>
                <w:sz w:val="18"/>
                <w:szCs w:val="18"/>
              </w:rPr>
              <w:t>7 (1.5%)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A67565"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F25632" w14:textId="77777777" w:rsidR="001C19F3" w:rsidRDefault="001C19F3" w:rsidP="00521305">
            <w:pPr>
              <w:spacing w:before="40" w:after="40"/>
              <w:ind w:left="100" w:right="100"/>
              <w:jc w:val="center"/>
            </w:pPr>
            <w:r>
              <w:rPr>
                <w:rFonts w:eastAsia="Century Gothic" w:cs="Century Gothic"/>
                <w:color w:val="000000"/>
                <w:sz w:val="18"/>
                <w:szCs w:val="18"/>
              </w:rPr>
              <w:t>10 (0.8%)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E17FFA" w14:textId="77777777" w:rsidR="001C19F3" w:rsidRDefault="001C19F3" w:rsidP="00521305">
            <w:pPr>
              <w:spacing w:before="40" w:after="40"/>
              <w:ind w:left="100" w:right="100"/>
              <w:jc w:val="center"/>
            </w:pPr>
            <w:r>
              <w:rPr>
                <w:rFonts w:eastAsia="Century Gothic" w:cs="Century Gothic"/>
                <w:color w:val="000000"/>
                <w:sz w:val="18"/>
                <w:szCs w:val="18"/>
              </w:rPr>
              <w:t>18 (2.2%)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F7678F"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51C06C5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2BE449" w14:textId="77777777" w:rsidR="001C19F3" w:rsidRDefault="001C19F3" w:rsidP="00521305">
            <w:pPr>
              <w:spacing w:before="40" w:after="40"/>
              <w:ind w:left="160" w:right="100"/>
            </w:pPr>
            <w:r>
              <w:rPr>
                <w:rFonts w:eastAsia="Century Gothic" w:cs="Century Gothic"/>
                <w:color w:val="000000"/>
                <w:sz w:val="18"/>
                <w:szCs w:val="18"/>
              </w:rPr>
              <w:t>One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E1B835" w14:textId="77777777" w:rsidR="001C19F3" w:rsidRDefault="001C19F3" w:rsidP="00521305">
            <w:pPr>
              <w:spacing w:before="40" w:after="40"/>
              <w:ind w:left="100" w:right="100"/>
              <w:jc w:val="center"/>
            </w:pPr>
            <w:r>
              <w:rPr>
                <w:rFonts w:eastAsia="Century Gothic" w:cs="Century Gothic"/>
                <w:color w:val="000000"/>
                <w:sz w:val="18"/>
                <w:szCs w:val="18"/>
              </w:rPr>
              <w:t>173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64B47A" w14:textId="77777777" w:rsidR="001C19F3" w:rsidRDefault="001C19F3" w:rsidP="00521305">
            <w:pPr>
              <w:spacing w:before="40" w:after="40"/>
              <w:ind w:left="100" w:right="100"/>
              <w:jc w:val="center"/>
            </w:pPr>
            <w:r>
              <w:rPr>
                <w:rFonts w:eastAsia="Century Gothic" w:cs="Century Gothic"/>
                <w:color w:val="000000"/>
                <w:sz w:val="18"/>
                <w:szCs w:val="18"/>
              </w:rPr>
              <w:t>60 (13.6%)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6C8363" w14:textId="77777777" w:rsidR="001C19F3" w:rsidRDefault="001C19F3" w:rsidP="00521305">
            <w:pPr>
              <w:spacing w:before="40" w:after="40"/>
              <w:ind w:left="100" w:right="100"/>
              <w:jc w:val="center"/>
            </w:pPr>
            <w:r>
              <w:rPr>
                <w:rFonts w:eastAsia="Century Gothic" w:cs="Century Gothic"/>
                <w:color w:val="000000"/>
                <w:sz w:val="18"/>
                <w:szCs w:val="18"/>
              </w:rPr>
              <w:t>74 (7.2%)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94959" w14:textId="77777777" w:rsidR="001C19F3" w:rsidRDefault="001C19F3" w:rsidP="00521305">
            <w:pPr>
              <w:spacing w:before="40" w:after="40"/>
              <w:ind w:left="100" w:right="100"/>
              <w:jc w:val="center"/>
            </w:pPr>
            <w:r>
              <w:rPr>
                <w:rFonts w:eastAsia="Century Gothic" w:cs="Century Gothic"/>
                <w:color w:val="000000"/>
                <w:sz w:val="18"/>
                <w:szCs w:val="18"/>
              </w:rPr>
              <w:t>33 (7.0%)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87FDA1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DF4AE5" w14:textId="77777777" w:rsidR="001C19F3" w:rsidRDefault="001C19F3" w:rsidP="00521305">
            <w:pPr>
              <w:spacing w:before="40" w:after="40"/>
              <w:ind w:left="100" w:right="100"/>
              <w:jc w:val="center"/>
            </w:pPr>
            <w:r>
              <w:rPr>
                <w:rFonts w:eastAsia="Century Gothic" w:cs="Century Gothic"/>
                <w:color w:val="000000"/>
                <w:sz w:val="18"/>
                <w:szCs w:val="18"/>
              </w:rPr>
              <w:t>83 (6.9%)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493484" w14:textId="77777777" w:rsidR="001C19F3" w:rsidRDefault="001C19F3" w:rsidP="00521305">
            <w:pPr>
              <w:spacing w:before="40" w:after="40"/>
              <w:ind w:left="100" w:right="100"/>
              <w:jc w:val="center"/>
            </w:pPr>
            <w:r>
              <w:rPr>
                <w:rFonts w:eastAsia="Century Gothic" w:cs="Century Gothic"/>
                <w:color w:val="000000"/>
                <w:sz w:val="18"/>
                <w:szCs w:val="18"/>
              </w:rPr>
              <w:t>90 (11.1%)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3709993" w14:textId="77777777" w:rsidR="001C19F3" w:rsidRDefault="001C19F3" w:rsidP="00521305">
            <w:pPr>
              <w:spacing w:after="0"/>
              <w:rPr>
                <w:sz w:val="22"/>
              </w:rPr>
            </w:pPr>
          </w:p>
        </w:tc>
      </w:tr>
      <w:tr w:rsidR="001C19F3" w14:paraId="2D8D025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098B44" w14:textId="77777777" w:rsidR="001C19F3" w:rsidRDefault="001C19F3" w:rsidP="00521305">
            <w:pPr>
              <w:spacing w:before="40" w:after="40"/>
              <w:ind w:left="160" w:right="100"/>
            </w:pPr>
            <w:r>
              <w:rPr>
                <w:rFonts w:eastAsia="Century Gothic" w:cs="Century Gothic"/>
                <w:color w:val="000000"/>
                <w:sz w:val="18"/>
                <w:szCs w:val="18"/>
              </w:rPr>
              <w:t>Two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308FFD" w14:textId="77777777" w:rsidR="001C19F3" w:rsidRDefault="001C19F3" w:rsidP="00521305">
            <w:pPr>
              <w:spacing w:before="40" w:after="40"/>
              <w:ind w:left="100" w:right="100"/>
              <w:jc w:val="center"/>
            </w:pPr>
            <w:r>
              <w:rPr>
                <w:rFonts w:eastAsia="Century Gothic" w:cs="Century Gothic"/>
                <w:color w:val="000000"/>
                <w:sz w:val="18"/>
                <w:szCs w:val="18"/>
              </w:rPr>
              <w:t>329 (16.3%)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10A00B" w14:textId="77777777" w:rsidR="001C19F3" w:rsidRDefault="001C19F3" w:rsidP="00521305">
            <w:pPr>
              <w:spacing w:before="40" w:after="40"/>
              <w:ind w:left="100" w:right="100"/>
              <w:jc w:val="center"/>
            </w:pPr>
            <w:r>
              <w:rPr>
                <w:rFonts w:eastAsia="Century Gothic" w:cs="Century Gothic"/>
                <w:color w:val="000000"/>
                <w:sz w:val="18"/>
                <w:szCs w:val="18"/>
              </w:rPr>
              <w:t>84 (19.0%)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D8BC9C" w14:textId="77777777" w:rsidR="001C19F3" w:rsidRDefault="001C19F3" w:rsidP="00521305">
            <w:pPr>
              <w:spacing w:before="40" w:after="40"/>
              <w:ind w:left="100" w:right="100"/>
              <w:jc w:val="center"/>
            </w:pPr>
            <w:r>
              <w:rPr>
                <w:rFonts w:eastAsia="Century Gothic" w:cs="Century Gothic"/>
                <w:color w:val="000000"/>
                <w:sz w:val="18"/>
                <w:szCs w:val="18"/>
              </w:rPr>
              <w:t>168 (16.2%)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874D4" w14:textId="77777777" w:rsidR="001C19F3" w:rsidRDefault="001C19F3" w:rsidP="00521305">
            <w:pPr>
              <w:spacing w:before="40" w:after="40"/>
              <w:ind w:left="100" w:right="100"/>
              <w:jc w:val="center"/>
            </w:pPr>
            <w:r>
              <w:rPr>
                <w:rFonts w:eastAsia="Century Gothic" w:cs="Century Gothic"/>
                <w:color w:val="000000"/>
                <w:sz w:val="18"/>
                <w:szCs w:val="18"/>
              </w:rPr>
              <w:t>65 (13.8%)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736BFC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684289" w14:textId="77777777" w:rsidR="001C19F3" w:rsidRDefault="001C19F3" w:rsidP="00521305">
            <w:pPr>
              <w:spacing w:before="40" w:after="40"/>
              <w:ind w:left="100" w:right="100"/>
              <w:jc w:val="center"/>
            </w:pPr>
            <w:r>
              <w:rPr>
                <w:rFonts w:eastAsia="Century Gothic" w:cs="Century Gothic"/>
                <w:color w:val="000000"/>
                <w:sz w:val="18"/>
                <w:szCs w:val="18"/>
              </w:rPr>
              <w:t>185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CD444E" w14:textId="77777777" w:rsidR="001C19F3" w:rsidRDefault="001C19F3" w:rsidP="00521305">
            <w:pPr>
              <w:spacing w:before="40" w:after="40"/>
              <w:ind w:left="100" w:right="100"/>
              <w:jc w:val="center"/>
            </w:pPr>
            <w:r>
              <w:rPr>
                <w:rFonts w:eastAsia="Century Gothic" w:cs="Century Gothic"/>
                <w:color w:val="000000"/>
                <w:sz w:val="18"/>
                <w:szCs w:val="18"/>
              </w:rPr>
              <w:t>144 (17.7%)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C24990" w14:textId="77777777" w:rsidR="001C19F3" w:rsidRDefault="001C19F3" w:rsidP="00521305">
            <w:pPr>
              <w:spacing w:after="0"/>
              <w:rPr>
                <w:sz w:val="22"/>
              </w:rPr>
            </w:pPr>
          </w:p>
        </w:tc>
      </w:tr>
      <w:tr w:rsidR="001C19F3" w14:paraId="7A790F6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A076BD" w14:textId="77777777" w:rsidR="001C19F3" w:rsidRDefault="001C19F3" w:rsidP="00521305">
            <w:pPr>
              <w:spacing w:before="40" w:after="40"/>
              <w:ind w:left="160" w:right="100"/>
            </w:pPr>
            <w:r>
              <w:rPr>
                <w:rFonts w:eastAsia="Century Gothic" w:cs="Century Gothic"/>
                <w:color w:val="000000"/>
                <w:sz w:val="18"/>
                <w:szCs w:val="18"/>
              </w:rPr>
              <w:t>Three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F7F90A" w14:textId="77777777" w:rsidR="001C19F3" w:rsidRDefault="001C19F3" w:rsidP="00521305">
            <w:pPr>
              <w:spacing w:before="40" w:after="40"/>
              <w:ind w:left="100" w:right="100"/>
              <w:jc w:val="center"/>
            </w:pPr>
            <w:r>
              <w:rPr>
                <w:rFonts w:eastAsia="Century Gothic" w:cs="Century Gothic"/>
                <w:color w:val="000000"/>
                <w:sz w:val="18"/>
                <w:szCs w:val="18"/>
              </w:rPr>
              <w:t>492 (24.4%)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9E04F" w14:textId="77777777" w:rsidR="001C19F3" w:rsidRDefault="001C19F3" w:rsidP="00521305">
            <w:pPr>
              <w:spacing w:before="40" w:after="40"/>
              <w:ind w:left="100" w:right="100"/>
              <w:jc w:val="center"/>
            </w:pPr>
            <w:r>
              <w:rPr>
                <w:rFonts w:eastAsia="Century Gothic" w:cs="Century Gothic"/>
                <w:color w:val="000000"/>
                <w:sz w:val="18"/>
                <w:szCs w:val="18"/>
              </w:rPr>
              <w:t>101 (22.9%)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BEEAD9" w14:textId="77777777" w:rsidR="001C19F3" w:rsidRDefault="001C19F3" w:rsidP="00521305">
            <w:pPr>
              <w:spacing w:before="40" w:after="40"/>
              <w:ind w:left="100" w:right="100"/>
              <w:jc w:val="center"/>
            </w:pPr>
            <w:r>
              <w:rPr>
                <w:rFonts w:eastAsia="Century Gothic" w:cs="Century Gothic"/>
                <w:color w:val="000000"/>
                <w:sz w:val="18"/>
                <w:szCs w:val="18"/>
              </w:rPr>
              <w:t>270 (26.1%)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4470DB" w14:textId="77777777" w:rsidR="001C19F3" w:rsidRDefault="001C19F3" w:rsidP="00521305">
            <w:pPr>
              <w:spacing w:before="40" w:after="40"/>
              <w:ind w:left="100" w:right="100"/>
              <w:jc w:val="center"/>
            </w:pPr>
            <w:r>
              <w:rPr>
                <w:rFonts w:eastAsia="Century Gothic" w:cs="Century Gothic"/>
                <w:color w:val="000000"/>
                <w:sz w:val="18"/>
                <w:szCs w:val="18"/>
              </w:rPr>
              <w:t>102 (21.6%)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5AA5C4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A3A82C" w14:textId="77777777" w:rsidR="001C19F3" w:rsidRDefault="001C19F3" w:rsidP="00521305">
            <w:pPr>
              <w:spacing w:before="40" w:after="40"/>
              <w:ind w:left="100" w:right="100"/>
              <w:jc w:val="center"/>
            </w:pPr>
            <w:r>
              <w:rPr>
                <w:rFonts w:eastAsia="Century Gothic" w:cs="Century Gothic"/>
                <w:color w:val="000000"/>
                <w:sz w:val="18"/>
                <w:szCs w:val="18"/>
              </w:rPr>
              <w:t>295 (24.5%)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7794A7" w14:textId="77777777" w:rsidR="001C19F3" w:rsidRDefault="001C19F3" w:rsidP="00521305">
            <w:pPr>
              <w:spacing w:before="40" w:after="40"/>
              <w:ind w:left="100" w:right="100"/>
              <w:jc w:val="center"/>
            </w:pPr>
            <w:r>
              <w:rPr>
                <w:rFonts w:eastAsia="Century Gothic" w:cs="Century Gothic"/>
                <w:color w:val="000000"/>
                <w:sz w:val="18"/>
                <w:szCs w:val="18"/>
              </w:rPr>
              <w:t>197 (24.3%)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E8E7707" w14:textId="77777777" w:rsidR="001C19F3" w:rsidRDefault="001C19F3" w:rsidP="00521305">
            <w:pPr>
              <w:spacing w:after="0"/>
              <w:rPr>
                <w:sz w:val="22"/>
              </w:rPr>
            </w:pPr>
          </w:p>
        </w:tc>
      </w:tr>
      <w:tr w:rsidR="001C19F3" w14:paraId="6714AC5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509D51" w14:textId="77777777" w:rsidR="001C19F3" w:rsidRDefault="001C19F3" w:rsidP="00521305">
            <w:pPr>
              <w:spacing w:before="40" w:after="40"/>
              <w:ind w:left="160" w:right="100"/>
            </w:pPr>
            <w:r>
              <w:rPr>
                <w:rFonts w:eastAsia="Century Gothic" w:cs="Century Gothic"/>
                <w:color w:val="000000"/>
                <w:sz w:val="18"/>
                <w:szCs w:val="18"/>
              </w:rPr>
              <w:t>Four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FD735" w14:textId="77777777" w:rsidR="001C19F3" w:rsidRDefault="001C19F3" w:rsidP="00521305">
            <w:pPr>
              <w:spacing w:before="40" w:after="40"/>
              <w:ind w:left="100" w:right="100"/>
              <w:jc w:val="center"/>
            </w:pPr>
            <w:r>
              <w:rPr>
                <w:rFonts w:eastAsia="Century Gothic" w:cs="Century Gothic"/>
                <w:color w:val="000000"/>
                <w:sz w:val="18"/>
                <w:szCs w:val="18"/>
              </w:rPr>
              <w:t>436 (21.6%)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E00197" w14:textId="77777777" w:rsidR="001C19F3" w:rsidRDefault="001C19F3" w:rsidP="00521305">
            <w:pPr>
              <w:spacing w:before="40" w:after="40"/>
              <w:ind w:left="100" w:right="100"/>
              <w:jc w:val="center"/>
            </w:pPr>
            <w:r>
              <w:rPr>
                <w:rFonts w:eastAsia="Century Gothic" w:cs="Century Gothic"/>
                <w:color w:val="000000"/>
                <w:sz w:val="18"/>
                <w:szCs w:val="18"/>
              </w:rPr>
              <w:t>99 (22.4%)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A9E8EE" w14:textId="77777777" w:rsidR="001C19F3" w:rsidRDefault="001C19F3" w:rsidP="00521305">
            <w:pPr>
              <w:spacing w:before="40" w:after="40"/>
              <w:ind w:left="100" w:right="100"/>
              <w:jc w:val="center"/>
            </w:pPr>
            <w:r>
              <w:rPr>
                <w:rFonts w:eastAsia="Century Gothic" w:cs="Century Gothic"/>
                <w:color w:val="000000"/>
                <w:sz w:val="18"/>
                <w:szCs w:val="18"/>
              </w:rPr>
              <w:t>232 (22.4%)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59BB97" w14:textId="77777777" w:rsidR="001C19F3" w:rsidRDefault="001C19F3" w:rsidP="00521305">
            <w:pPr>
              <w:spacing w:before="40" w:after="40"/>
              <w:ind w:left="100" w:right="100"/>
              <w:jc w:val="center"/>
            </w:pPr>
            <w:r>
              <w:rPr>
                <w:rFonts w:eastAsia="Century Gothic" w:cs="Century Gothic"/>
                <w:color w:val="000000"/>
                <w:sz w:val="18"/>
                <w:szCs w:val="18"/>
              </w:rPr>
              <w:t>90 (19.1%)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67E747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4790C9" w14:textId="77777777" w:rsidR="001C19F3" w:rsidRDefault="001C19F3" w:rsidP="00521305">
            <w:pPr>
              <w:spacing w:before="40" w:after="40"/>
              <w:ind w:left="100" w:right="100"/>
              <w:jc w:val="right"/>
            </w:pPr>
            <w:r>
              <w:rPr>
                <w:rFonts w:eastAsia="Century Gothic" w:cs="Century Gothic"/>
                <w:color w:val="000000"/>
                <w:sz w:val="18"/>
                <w:szCs w:val="18"/>
              </w:rPr>
              <w:t>279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8A63C2" w14:textId="77777777" w:rsidR="001C19F3" w:rsidRDefault="001C19F3" w:rsidP="00521305">
            <w:pPr>
              <w:spacing w:before="40" w:after="40"/>
              <w:ind w:left="100" w:right="100"/>
              <w:jc w:val="right"/>
            </w:pPr>
            <w:r>
              <w:rPr>
                <w:rFonts w:eastAsia="Century Gothic" w:cs="Century Gothic"/>
                <w:color w:val="000000"/>
                <w:sz w:val="18"/>
                <w:szCs w:val="18"/>
              </w:rPr>
              <w:t>157 (19.3%)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821E32B" w14:textId="77777777" w:rsidR="001C19F3" w:rsidRDefault="001C19F3" w:rsidP="00521305">
            <w:pPr>
              <w:spacing w:after="0"/>
              <w:rPr>
                <w:sz w:val="22"/>
              </w:rPr>
            </w:pPr>
          </w:p>
        </w:tc>
      </w:tr>
      <w:tr w:rsidR="001C19F3" w14:paraId="7CA17E6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2500B1" w14:textId="77777777" w:rsidR="001C19F3" w:rsidRDefault="001C19F3" w:rsidP="00521305">
            <w:pPr>
              <w:spacing w:before="40" w:after="40"/>
              <w:ind w:left="160" w:right="100"/>
            </w:pPr>
            <w:r>
              <w:rPr>
                <w:rFonts w:eastAsia="Century Gothic" w:cs="Century Gothic"/>
                <w:color w:val="000000"/>
                <w:sz w:val="18"/>
                <w:szCs w:val="18"/>
              </w:rPr>
              <w:t>Five or more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9853C6" w14:textId="77777777" w:rsidR="001C19F3" w:rsidRDefault="001C19F3" w:rsidP="00521305">
            <w:pPr>
              <w:spacing w:before="40" w:after="40"/>
              <w:ind w:left="100" w:right="100"/>
              <w:jc w:val="center"/>
            </w:pPr>
            <w:r>
              <w:rPr>
                <w:rFonts w:eastAsia="Century Gothic" w:cs="Century Gothic"/>
                <w:color w:val="000000"/>
                <w:sz w:val="18"/>
                <w:szCs w:val="18"/>
              </w:rPr>
              <w:t>560 (27.8%)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D2CC17" w14:textId="77777777" w:rsidR="001C19F3" w:rsidRDefault="001C19F3" w:rsidP="00521305">
            <w:pPr>
              <w:spacing w:before="40" w:after="40"/>
              <w:ind w:left="100" w:right="100"/>
              <w:jc w:val="center"/>
            </w:pPr>
            <w:r>
              <w:rPr>
                <w:rFonts w:eastAsia="Century Gothic" w:cs="Century Gothic"/>
                <w:color w:val="000000"/>
                <w:sz w:val="18"/>
                <w:szCs w:val="18"/>
              </w:rPr>
              <w:t>87 (19.7%)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EC5D2F" w14:textId="77777777" w:rsidR="001C19F3" w:rsidRDefault="001C19F3" w:rsidP="00521305">
            <w:pPr>
              <w:spacing w:before="40" w:after="40"/>
              <w:ind w:left="100" w:right="100"/>
              <w:jc w:val="center"/>
            </w:pPr>
            <w:r>
              <w:rPr>
                <w:rFonts w:eastAsia="Century Gothic" w:cs="Century Gothic"/>
                <w:color w:val="000000"/>
                <w:sz w:val="18"/>
                <w:szCs w:val="18"/>
              </w:rPr>
              <w:t>281 (27.2%)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BF8AD9" w14:textId="77777777" w:rsidR="001C19F3" w:rsidRDefault="001C19F3" w:rsidP="00521305">
            <w:pPr>
              <w:spacing w:before="40" w:after="40"/>
              <w:ind w:left="100" w:right="100"/>
              <w:jc w:val="center"/>
            </w:pPr>
            <w:r>
              <w:rPr>
                <w:rFonts w:eastAsia="Century Gothic" w:cs="Century Gothic"/>
                <w:color w:val="000000"/>
                <w:sz w:val="18"/>
                <w:szCs w:val="18"/>
              </w:rPr>
              <w:t>175 (37.1%)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3E783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9646C5" w14:textId="77777777" w:rsidR="001C19F3" w:rsidRDefault="001C19F3" w:rsidP="00521305">
            <w:pPr>
              <w:spacing w:before="40" w:after="40"/>
              <w:ind w:left="100" w:right="100"/>
              <w:jc w:val="right"/>
            </w:pPr>
            <w:r>
              <w:rPr>
                <w:rFonts w:eastAsia="Century Gothic" w:cs="Century Gothic"/>
                <w:color w:val="000000"/>
                <w:sz w:val="18"/>
                <w:szCs w:val="18"/>
              </w:rPr>
              <w:t>354 (29.4%)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5D247" w14:textId="77777777" w:rsidR="001C19F3" w:rsidRDefault="001C19F3" w:rsidP="00521305">
            <w:pPr>
              <w:spacing w:before="40" w:after="40"/>
              <w:ind w:left="100" w:right="100"/>
              <w:jc w:val="right"/>
            </w:pPr>
            <w:r>
              <w:rPr>
                <w:rFonts w:eastAsia="Century Gothic" w:cs="Century Gothic"/>
                <w:color w:val="000000"/>
                <w:sz w:val="18"/>
                <w:szCs w:val="18"/>
              </w:rPr>
              <w:t>206 (25.4%)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E00B80B" w14:textId="77777777" w:rsidR="001C19F3" w:rsidRDefault="001C19F3" w:rsidP="00521305">
            <w:pPr>
              <w:spacing w:after="0"/>
              <w:rPr>
                <w:sz w:val="22"/>
              </w:rPr>
            </w:pPr>
          </w:p>
        </w:tc>
      </w:tr>
      <w:tr w:rsidR="001C19F3" w14:paraId="5CB24767"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7BDBF6" w14:textId="77777777" w:rsidR="001C19F3" w:rsidRDefault="001C19F3" w:rsidP="00521305">
            <w:pPr>
              <w:spacing w:before="40" w:after="40"/>
              <w:ind w:left="100" w:right="100"/>
            </w:pPr>
            <w:r>
              <w:rPr>
                <w:rFonts w:eastAsia="Century Gothic" w:cs="Century Gothic"/>
                <w:b/>
                <w:color w:val="000000"/>
                <w:sz w:val="18"/>
                <w:szCs w:val="18"/>
              </w:rPr>
              <w:t>F04 Heart disease (Q22)</w:t>
            </w:r>
          </w:p>
        </w:tc>
      </w:tr>
      <w:tr w:rsidR="001C19F3" w14:paraId="56C0A27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6A2EDB"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946BBE" w14:textId="77777777" w:rsidR="001C19F3" w:rsidRDefault="001C19F3" w:rsidP="00521305">
            <w:pPr>
              <w:spacing w:before="40" w:after="40"/>
              <w:ind w:left="100" w:right="100"/>
              <w:jc w:val="center"/>
            </w:pPr>
            <w:r>
              <w:rPr>
                <w:rFonts w:eastAsia="Century Gothic" w:cs="Century Gothic"/>
                <w:color w:val="000000"/>
                <w:sz w:val="18"/>
                <w:szCs w:val="18"/>
              </w:rPr>
              <w:t>653 (32.4%)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605E0" w14:textId="77777777" w:rsidR="001C19F3" w:rsidRDefault="001C19F3" w:rsidP="00521305">
            <w:pPr>
              <w:spacing w:before="40" w:after="40"/>
              <w:ind w:left="100" w:right="100"/>
              <w:jc w:val="center"/>
            </w:pPr>
            <w:r>
              <w:rPr>
                <w:rFonts w:eastAsia="Century Gothic" w:cs="Century Gothic"/>
                <w:color w:val="000000"/>
                <w:sz w:val="18"/>
                <w:szCs w:val="18"/>
              </w:rPr>
              <w:t>133 (30.4%)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C68DF" w14:textId="77777777" w:rsidR="001C19F3" w:rsidRDefault="001C19F3" w:rsidP="00521305">
            <w:pPr>
              <w:spacing w:before="40" w:after="40"/>
              <w:ind w:left="100" w:right="100"/>
              <w:jc w:val="center"/>
            </w:pPr>
            <w:r>
              <w:rPr>
                <w:rFonts w:eastAsia="Century Gothic" w:cs="Century Gothic"/>
                <w:color w:val="000000"/>
                <w:sz w:val="18"/>
                <w:szCs w:val="18"/>
              </w:rPr>
              <w:t>325 (32.2%)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00EA6" w14:textId="77777777" w:rsidR="001C19F3" w:rsidRDefault="001C19F3" w:rsidP="00521305">
            <w:pPr>
              <w:spacing w:before="40" w:after="40"/>
              <w:ind w:left="100" w:right="100"/>
              <w:jc w:val="center"/>
            </w:pPr>
            <w:r>
              <w:rPr>
                <w:rFonts w:eastAsia="Century Gothic" w:cs="Century Gothic"/>
                <w:color w:val="000000"/>
                <w:sz w:val="18"/>
                <w:szCs w:val="18"/>
              </w:rPr>
              <w:t>172 (37.6%)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1ED5C3" w14:textId="77777777" w:rsidR="001C19F3" w:rsidRDefault="001C19F3" w:rsidP="00521305">
            <w:pPr>
              <w:spacing w:before="40" w:after="40"/>
              <w:ind w:left="100" w:right="100"/>
              <w:jc w:val="center"/>
            </w:pPr>
            <w:r>
              <w:rPr>
                <w:rFonts w:eastAsia="Century Gothic" w:cs="Century Gothic"/>
                <w:color w:val="000000"/>
                <w:sz w:val="18"/>
                <w:szCs w:val="18"/>
              </w:rPr>
              <w:t>0.050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B836A" w14:textId="77777777" w:rsidR="001C19F3" w:rsidRDefault="001C19F3" w:rsidP="00521305">
            <w:pPr>
              <w:spacing w:before="40" w:after="40"/>
              <w:ind w:left="100" w:right="100"/>
              <w:jc w:val="center"/>
            </w:pPr>
            <w:r>
              <w:rPr>
                <w:rFonts w:eastAsia="Century Gothic" w:cs="Century Gothic"/>
                <w:color w:val="000000"/>
                <w:sz w:val="18"/>
                <w:szCs w:val="18"/>
              </w:rPr>
              <w:t>415 (35.1%)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ED50CE" w14:textId="77777777" w:rsidR="001C19F3" w:rsidRDefault="001C19F3" w:rsidP="00521305">
            <w:pPr>
              <w:spacing w:before="40" w:after="40"/>
              <w:ind w:left="100" w:right="100"/>
              <w:jc w:val="center"/>
            </w:pPr>
            <w:r>
              <w:rPr>
                <w:rFonts w:eastAsia="Century Gothic" w:cs="Century Gothic"/>
                <w:color w:val="000000"/>
                <w:sz w:val="18"/>
                <w:szCs w:val="18"/>
              </w:rPr>
              <w:t>238 (30.1%)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419368" w14:textId="77777777" w:rsidR="001C19F3" w:rsidRDefault="001C19F3" w:rsidP="00521305">
            <w:pPr>
              <w:spacing w:before="40" w:after="40"/>
              <w:ind w:left="100" w:right="100"/>
              <w:jc w:val="right"/>
            </w:pPr>
            <w:r>
              <w:rPr>
                <w:rFonts w:eastAsia="Century Gothic" w:cs="Century Gothic"/>
                <w:color w:val="000000"/>
                <w:sz w:val="18"/>
                <w:szCs w:val="18"/>
              </w:rPr>
              <w:t>0.023</w:t>
            </w:r>
          </w:p>
        </w:tc>
      </w:tr>
      <w:tr w:rsidR="001C19F3" w14:paraId="128372D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25D470"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53AB19" w14:textId="77777777" w:rsidR="001C19F3" w:rsidRDefault="001C19F3" w:rsidP="00521305">
            <w:pPr>
              <w:spacing w:before="40" w:after="40"/>
              <w:ind w:left="100" w:right="100"/>
              <w:jc w:val="center"/>
            </w:pPr>
            <w:r>
              <w:rPr>
                <w:rFonts w:eastAsia="Century Gothic" w:cs="Century Gothic"/>
                <w:color w:val="000000"/>
                <w:sz w:val="18"/>
                <w:szCs w:val="18"/>
              </w:rPr>
              <w:t>1,322 (65.5%)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D7B2D3" w14:textId="77777777" w:rsidR="001C19F3" w:rsidRDefault="001C19F3" w:rsidP="00521305">
            <w:pPr>
              <w:spacing w:before="40" w:after="40"/>
              <w:ind w:left="100" w:right="100"/>
              <w:jc w:val="center"/>
            </w:pPr>
            <w:r>
              <w:rPr>
                <w:rFonts w:eastAsia="Century Gothic" w:cs="Century Gothic"/>
                <w:color w:val="000000"/>
                <w:sz w:val="18"/>
                <w:szCs w:val="18"/>
              </w:rPr>
              <w:t>305 (69.6%)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43334" w14:textId="77777777" w:rsidR="001C19F3" w:rsidRDefault="001C19F3" w:rsidP="00521305">
            <w:pPr>
              <w:spacing w:before="40" w:after="40"/>
              <w:ind w:left="100" w:right="100"/>
              <w:jc w:val="center"/>
            </w:pPr>
            <w:r>
              <w:rPr>
                <w:rFonts w:eastAsia="Century Gothic" w:cs="Century Gothic"/>
                <w:color w:val="000000"/>
                <w:sz w:val="18"/>
                <w:szCs w:val="18"/>
              </w:rPr>
              <w:t>685 (67.8%)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5D109B" w14:textId="77777777" w:rsidR="001C19F3" w:rsidRDefault="001C19F3" w:rsidP="00521305">
            <w:pPr>
              <w:spacing w:before="40" w:after="40"/>
              <w:ind w:left="100" w:right="100"/>
              <w:jc w:val="center"/>
            </w:pPr>
            <w:r>
              <w:rPr>
                <w:rFonts w:eastAsia="Century Gothic" w:cs="Century Gothic"/>
                <w:color w:val="000000"/>
                <w:sz w:val="18"/>
                <w:szCs w:val="18"/>
              </w:rPr>
              <w:t>286 (62.4%)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E52E56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383546" w14:textId="77777777" w:rsidR="001C19F3" w:rsidRDefault="001C19F3" w:rsidP="00521305">
            <w:pPr>
              <w:spacing w:before="40" w:after="40"/>
              <w:ind w:left="100" w:right="100"/>
              <w:jc w:val="center"/>
            </w:pPr>
            <w:r>
              <w:rPr>
                <w:rFonts w:eastAsia="Century Gothic" w:cs="Century Gothic"/>
                <w:color w:val="000000"/>
                <w:sz w:val="18"/>
                <w:szCs w:val="18"/>
              </w:rPr>
              <w:t>768 (64.9%)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60C4EC" w14:textId="77777777" w:rsidR="001C19F3" w:rsidRDefault="001C19F3" w:rsidP="00521305">
            <w:pPr>
              <w:spacing w:before="40" w:after="40"/>
              <w:ind w:left="100" w:right="100"/>
              <w:jc w:val="center"/>
            </w:pPr>
            <w:r>
              <w:rPr>
                <w:rFonts w:eastAsia="Century Gothic" w:cs="Century Gothic"/>
                <w:color w:val="000000"/>
                <w:sz w:val="18"/>
                <w:szCs w:val="18"/>
              </w:rPr>
              <w:t>554 (69.9%)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B6F93BC" w14:textId="77777777" w:rsidR="001C19F3" w:rsidRDefault="001C19F3" w:rsidP="00521305">
            <w:pPr>
              <w:spacing w:after="0"/>
              <w:rPr>
                <w:sz w:val="22"/>
              </w:rPr>
            </w:pPr>
          </w:p>
        </w:tc>
      </w:tr>
      <w:tr w:rsidR="001C19F3" w14:paraId="728FF69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D91F8F"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9C840C" w14:textId="77777777" w:rsidR="001C19F3" w:rsidRDefault="001C19F3" w:rsidP="00521305">
            <w:pPr>
              <w:spacing w:before="40" w:after="40"/>
              <w:ind w:left="100" w:right="100"/>
              <w:jc w:val="center"/>
            </w:pPr>
            <w:r>
              <w:rPr>
                <w:rFonts w:eastAsia="Century Gothic" w:cs="Century Gothic"/>
                <w:color w:val="000000"/>
                <w:sz w:val="18"/>
                <w:szCs w:val="18"/>
              </w:rPr>
              <w:t>43 (2.1%)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8284B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296D5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538F6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B00C4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D3AE53"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D3784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B9F244" w14:textId="77777777" w:rsidR="001C19F3" w:rsidRDefault="001C19F3" w:rsidP="00521305">
            <w:pPr>
              <w:spacing w:before="40" w:after="40"/>
              <w:ind w:left="100" w:right="100"/>
              <w:jc w:val="right"/>
            </w:pPr>
          </w:p>
        </w:tc>
      </w:tr>
      <w:tr w:rsidR="001C19F3" w14:paraId="5C88582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F2E6AE" w14:textId="77777777" w:rsidR="001C19F3" w:rsidRDefault="001C19F3" w:rsidP="00521305">
            <w:pPr>
              <w:spacing w:before="40" w:after="40"/>
              <w:ind w:left="100" w:right="100"/>
            </w:pPr>
            <w:r>
              <w:rPr>
                <w:rFonts w:eastAsia="Century Gothic" w:cs="Century Gothic"/>
                <w:b/>
                <w:color w:val="000000"/>
                <w:sz w:val="18"/>
                <w:szCs w:val="18"/>
              </w:rPr>
              <w:t>F05 Stroke (includes mini strokes, TIA, aneurisms) (Q22)</w:t>
            </w:r>
          </w:p>
        </w:tc>
      </w:tr>
      <w:tr w:rsidR="001C19F3" w14:paraId="27BAC23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9EFA8"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5C0209" w14:textId="77777777" w:rsidR="001C19F3" w:rsidRDefault="001C19F3" w:rsidP="00521305">
            <w:pPr>
              <w:spacing w:before="40" w:after="40"/>
              <w:ind w:left="100" w:right="100"/>
              <w:jc w:val="center"/>
            </w:pPr>
            <w:r>
              <w:rPr>
                <w:rFonts w:eastAsia="Century Gothic" w:cs="Century Gothic"/>
                <w:color w:val="000000"/>
                <w:sz w:val="18"/>
                <w:szCs w:val="18"/>
              </w:rPr>
              <w:t>216 (10.7%)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6CC70" w14:textId="77777777" w:rsidR="001C19F3" w:rsidRDefault="001C19F3" w:rsidP="00521305">
            <w:pPr>
              <w:spacing w:before="40" w:after="40"/>
              <w:ind w:left="100" w:right="100"/>
              <w:jc w:val="center"/>
            </w:pPr>
            <w:r>
              <w:rPr>
                <w:rFonts w:eastAsia="Century Gothic" w:cs="Century Gothic"/>
                <w:color w:val="000000"/>
                <w:sz w:val="18"/>
                <w:szCs w:val="18"/>
              </w:rPr>
              <w:t>35 (7.9%)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9DD53B" w14:textId="77777777" w:rsidR="001C19F3" w:rsidRDefault="001C19F3" w:rsidP="00521305">
            <w:pPr>
              <w:spacing w:before="40" w:after="40"/>
              <w:ind w:left="100" w:right="100"/>
              <w:jc w:val="center"/>
            </w:pPr>
            <w:r>
              <w:rPr>
                <w:rFonts w:eastAsia="Century Gothic" w:cs="Century Gothic"/>
                <w:color w:val="000000"/>
                <w:sz w:val="18"/>
                <w:szCs w:val="18"/>
              </w:rPr>
              <w:t>95 (9.3%)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0A0B87" w14:textId="77777777" w:rsidR="001C19F3" w:rsidRDefault="001C19F3" w:rsidP="00521305">
            <w:pPr>
              <w:spacing w:before="40" w:after="40"/>
              <w:ind w:left="100" w:right="100"/>
              <w:jc w:val="center"/>
            </w:pPr>
            <w:r>
              <w:rPr>
                <w:rFonts w:eastAsia="Century Gothic" w:cs="Century Gothic"/>
                <w:color w:val="000000"/>
                <w:sz w:val="18"/>
                <w:szCs w:val="18"/>
              </w:rPr>
              <w:t>76 (16.2%)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6924BD"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B359AE" w14:textId="77777777" w:rsidR="001C19F3" w:rsidRDefault="001C19F3" w:rsidP="00521305">
            <w:pPr>
              <w:spacing w:before="40" w:after="40"/>
              <w:ind w:left="100" w:right="100"/>
              <w:jc w:val="center"/>
            </w:pPr>
            <w:r>
              <w:rPr>
                <w:rFonts w:eastAsia="Century Gothic" w:cs="Century Gothic"/>
                <w:color w:val="000000"/>
                <w:sz w:val="18"/>
                <w:szCs w:val="18"/>
              </w:rPr>
              <w:t>151 (12.6%)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8414B9" w14:textId="77777777" w:rsidR="001C19F3" w:rsidRDefault="001C19F3" w:rsidP="00521305">
            <w:pPr>
              <w:spacing w:before="40" w:after="40"/>
              <w:ind w:left="100" w:right="100"/>
              <w:jc w:val="center"/>
            </w:pPr>
            <w:r>
              <w:rPr>
                <w:rFonts w:eastAsia="Century Gothic" w:cs="Century Gothic"/>
                <w:color w:val="000000"/>
                <w:sz w:val="18"/>
                <w:szCs w:val="18"/>
              </w:rPr>
              <w:t>65 (8.1%)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1BACA4" w14:textId="77777777" w:rsidR="001C19F3" w:rsidRDefault="001C19F3" w:rsidP="00521305">
            <w:pPr>
              <w:spacing w:before="40" w:after="40"/>
              <w:ind w:left="100" w:right="100"/>
              <w:jc w:val="right"/>
            </w:pPr>
            <w:r>
              <w:rPr>
                <w:rFonts w:eastAsia="Century Gothic" w:cs="Century Gothic"/>
                <w:color w:val="000000"/>
                <w:sz w:val="18"/>
                <w:szCs w:val="18"/>
              </w:rPr>
              <w:t>0.002</w:t>
            </w:r>
          </w:p>
        </w:tc>
      </w:tr>
      <w:tr w:rsidR="001C19F3" w14:paraId="6A20569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BA232E"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E47C11" w14:textId="77777777" w:rsidR="001C19F3" w:rsidRDefault="001C19F3" w:rsidP="00521305">
            <w:pPr>
              <w:spacing w:before="40" w:after="40"/>
              <w:ind w:left="100" w:right="100"/>
              <w:jc w:val="center"/>
            </w:pPr>
            <w:r>
              <w:rPr>
                <w:rFonts w:eastAsia="Century Gothic" w:cs="Century Gothic"/>
                <w:color w:val="000000"/>
                <w:sz w:val="18"/>
                <w:szCs w:val="18"/>
              </w:rPr>
              <w:t>1,787 (88.6%)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7888A5" w14:textId="77777777" w:rsidR="001C19F3" w:rsidRDefault="001C19F3" w:rsidP="00521305">
            <w:pPr>
              <w:spacing w:before="40" w:after="40"/>
              <w:ind w:left="100" w:right="100"/>
              <w:jc w:val="center"/>
            </w:pPr>
            <w:r>
              <w:rPr>
                <w:rFonts w:eastAsia="Century Gothic" w:cs="Century Gothic"/>
                <w:color w:val="000000"/>
                <w:sz w:val="18"/>
                <w:szCs w:val="18"/>
              </w:rPr>
              <w:t>406 (92.1%)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1EEE25" w14:textId="77777777" w:rsidR="001C19F3" w:rsidRDefault="001C19F3" w:rsidP="00521305">
            <w:pPr>
              <w:spacing w:before="40" w:after="40"/>
              <w:ind w:left="100" w:right="100"/>
              <w:jc w:val="center"/>
            </w:pPr>
            <w:r>
              <w:rPr>
                <w:rFonts w:eastAsia="Century Gothic" w:cs="Century Gothic"/>
                <w:color w:val="000000"/>
                <w:sz w:val="18"/>
                <w:szCs w:val="18"/>
              </w:rPr>
              <w:t>930 (90.7%)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A2D0DD" w14:textId="77777777" w:rsidR="001C19F3" w:rsidRDefault="001C19F3" w:rsidP="00521305">
            <w:pPr>
              <w:spacing w:before="40" w:after="40"/>
              <w:ind w:left="100" w:right="100"/>
              <w:jc w:val="center"/>
            </w:pPr>
            <w:r>
              <w:rPr>
                <w:rFonts w:eastAsia="Century Gothic" w:cs="Century Gothic"/>
                <w:color w:val="000000"/>
                <w:sz w:val="18"/>
                <w:szCs w:val="18"/>
              </w:rPr>
              <w:t>392 (83.8%)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E339CC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13619A" w14:textId="77777777" w:rsidR="001C19F3" w:rsidRDefault="001C19F3" w:rsidP="00521305">
            <w:pPr>
              <w:spacing w:before="40" w:after="40"/>
              <w:ind w:left="100" w:right="100"/>
              <w:jc w:val="center"/>
            </w:pPr>
            <w:r>
              <w:rPr>
                <w:rFonts w:eastAsia="Century Gothic" w:cs="Century Gothic"/>
                <w:color w:val="000000"/>
                <w:sz w:val="18"/>
                <w:szCs w:val="18"/>
              </w:rPr>
              <w:t>1,045 (87.4%)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9437F8" w14:textId="77777777" w:rsidR="001C19F3" w:rsidRDefault="001C19F3" w:rsidP="00521305">
            <w:pPr>
              <w:spacing w:before="40" w:after="40"/>
              <w:ind w:left="100" w:right="100"/>
              <w:jc w:val="center"/>
            </w:pPr>
            <w:r>
              <w:rPr>
                <w:rFonts w:eastAsia="Century Gothic" w:cs="Century Gothic"/>
                <w:color w:val="000000"/>
                <w:sz w:val="18"/>
                <w:szCs w:val="18"/>
              </w:rPr>
              <w:t>742 (91.9%)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0341BEF" w14:textId="77777777" w:rsidR="001C19F3" w:rsidRDefault="001C19F3" w:rsidP="00521305">
            <w:pPr>
              <w:spacing w:after="0"/>
              <w:rPr>
                <w:sz w:val="22"/>
              </w:rPr>
            </w:pPr>
          </w:p>
        </w:tc>
      </w:tr>
      <w:tr w:rsidR="001C19F3" w14:paraId="575F964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6FCF4"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430EE9" w14:textId="77777777" w:rsidR="001C19F3" w:rsidRDefault="001C19F3" w:rsidP="00521305">
            <w:pPr>
              <w:spacing w:before="40" w:after="40"/>
              <w:ind w:left="100" w:right="100"/>
              <w:jc w:val="center"/>
            </w:pPr>
            <w:r>
              <w:rPr>
                <w:rFonts w:eastAsia="Century Gothic" w:cs="Century Gothic"/>
                <w:color w:val="000000"/>
                <w:sz w:val="18"/>
                <w:szCs w:val="18"/>
              </w:rPr>
              <w:t>15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9FB44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D39AA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E1AFF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29A41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884FF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7048C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A53E9B" w14:textId="77777777" w:rsidR="001C19F3" w:rsidRDefault="001C19F3" w:rsidP="00521305">
            <w:pPr>
              <w:spacing w:before="40" w:after="40"/>
              <w:ind w:left="100" w:right="100"/>
              <w:jc w:val="right"/>
            </w:pPr>
          </w:p>
        </w:tc>
      </w:tr>
      <w:tr w:rsidR="001C19F3" w14:paraId="5EBF206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13FC35" w14:textId="77777777" w:rsidR="001C19F3" w:rsidRDefault="001C19F3" w:rsidP="00521305">
            <w:pPr>
              <w:spacing w:before="40" w:after="40"/>
              <w:ind w:left="100" w:right="100"/>
            </w:pPr>
            <w:r>
              <w:rPr>
                <w:rFonts w:eastAsia="Century Gothic" w:cs="Century Gothic"/>
                <w:b/>
                <w:color w:val="000000"/>
                <w:sz w:val="18"/>
                <w:szCs w:val="18"/>
              </w:rPr>
              <w:t>F06 Cancer (includes skin cancer) (Q22)</w:t>
            </w:r>
          </w:p>
        </w:tc>
      </w:tr>
      <w:tr w:rsidR="001C19F3" w14:paraId="6813CDB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4AA3CC"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7AB288" w14:textId="77777777" w:rsidR="001C19F3" w:rsidRDefault="001C19F3" w:rsidP="00521305">
            <w:pPr>
              <w:spacing w:before="40" w:after="40"/>
              <w:ind w:left="100" w:right="100"/>
              <w:jc w:val="center"/>
            </w:pPr>
            <w:r>
              <w:rPr>
                <w:rFonts w:eastAsia="Century Gothic" w:cs="Century Gothic"/>
                <w:color w:val="000000"/>
                <w:sz w:val="18"/>
                <w:szCs w:val="18"/>
              </w:rPr>
              <w:t>490 (24.3%)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1FFB0D" w14:textId="77777777" w:rsidR="001C19F3" w:rsidRDefault="001C19F3" w:rsidP="00521305">
            <w:pPr>
              <w:spacing w:before="40" w:after="40"/>
              <w:ind w:left="100" w:right="100"/>
              <w:jc w:val="center"/>
            </w:pPr>
            <w:r>
              <w:rPr>
                <w:rFonts w:eastAsia="Century Gothic" w:cs="Century Gothic"/>
                <w:color w:val="000000"/>
                <w:sz w:val="18"/>
                <w:szCs w:val="18"/>
              </w:rPr>
              <w:t>107 (24.3%)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EEEE13" w14:textId="77777777" w:rsidR="001C19F3" w:rsidRDefault="001C19F3" w:rsidP="00521305">
            <w:pPr>
              <w:spacing w:before="40" w:after="40"/>
              <w:ind w:left="100" w:right="100"/>
              <w:jc w:val="center"/>
            </w:pPr>
            <w:r>
              <w:rPr>
                <w:rFonts w:eastAsia="Century Gothic" w:cs="Century Gothic"/>
                <w:color w:val="000000"/>
                <w:sz w:val="18"/>
                <w:szCs w:val="18"/>
              </w:rPr>
              <w:t>259 (25.3%)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302C43" w14:textId="77777777" w:rsidR="001C19F3" w:rsidRDefault="001C19F3" w:rsidP="00521305">
            <w:pPr>
              <w:spacing w:before="40" w:after="40"/>
              <w:ind w:left="100" w:right="100"/>
              <w:jc w:val="center"/>
            </w:pPr>
            <w:r>
              <w:rPr>
                <w:rFonts w:eastAsia="Century Gothic" w:cs="Century Gothic"/>
                <w:color w:val="000000"/>
                <w:sz w:val="18"/>
                <w:szCs w:val="18"/>
              </w:rPr>
              <w:t>102 (21.7%)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1EEC9E" w14:textId="77777777" w:rsidR="001C19F3" w:rsidRDefault="001C19F3" w:rsidP="00521305">
            <w:pPr>
              <w:spacing w:before="40" w:after="40"/>
              <w:ind w:left="100" w:right="100"/>
              <w:jc w:val="center"/>
            </w:pPr>
            <w:r>
              <w:rPr>
                <w:rFonts w:eastAsia="Century Gothic" w:cs="Century Gothic"/>
                <w:color w:val="000000"/>
                <w:sz w:val="18"/>
                <w:szCs w:val="18"/>
              </w:rPr>
              <w:t>0.337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6840FE" w14:textId="77777777" w:rsidR="001C19F3" w:rsidRDefault="001C19F3" w:rsidP="00521305">
            <w:pPr>
              <w:spacing w:before="40" w:after="40"/>
              <w:ind w:left="100" w:right="100"/>
              <w:jc w:val="center"/>
            </w:pPr>
            <w:r>
              <w:rPr>
                <w:rFonts w:eastAsia="Century Gothic" w:cs="Century Gothic"/>
                <w:color w:val="000000"/>
                <w:sz w:val="18"/>
                <w:szCs w:val="18"/>
              </w:rPr>
              <w:t>307 (25.6%)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9210B6" w14:textId="77777777" w:rsidR="001C19F3" w:rsidRDefault="001C19F3" w:rsidP="00521305">
            <w:pPr>
              <w:spacing w:before="40" w:after="40"/>
              <w:ind w:left="100" w:right="100"/>
              <w:jc w:val="center"/>
            </w:pPr>
            <w:r>
              <w:rPr>
                <w:rFonts w:eastAsia="Century Gothic" w:cs="Century Gothic"/>
                <w:color w:val="000000"/>
                <w:sz w:val="18"/>
                <w:szCs w:val="18"/>
              </w:rPr>
              <w:t>183 (22.7%)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97F80D" w14:textId="77777777" w:rsidR="001C19F3" w:rsidRDefault="001C19F3" w:rsidP="00521305">
            <w:pPr>
              <w:spacing w:before="40" w:after="40"/>
              <w:ind w:left="100" w:right="100"/>
              <w:jc w:val="right"/>
            </w:pPr>
            <w:r>
              <w:rPr>
                <w:rFonts w:eastAsia="Century Gothic" w:cs="Century Gothic"/>
                <w:color w:val="000000"/>
                <w:sz w:val="18"/>
                <w:szCs w:val="18"/>
              </w:rPr>
              <w:t>0.158</w:t>
            </w:r>
          </w:p>
        </w:tc>
      </w:tr>
      <w:tr w:rsidR="001C19F3" w14:paraId="60196EC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7816D" w14:textId="77777777" w:rsidR="001C19F3" w:rsidRDefault="001C19F3" w:rsidP="00521305">
            <w:pPr>
              <w:spacing w:before="40" w:after="40"/>
              <w:ind w:left="160" w:right="100"/>
            </w:pPr>
            <w:r>
              <w:rPr>
                <w:rFonts w:eastAsia="Century Gothic" w:cs="Century Gothic"/>
                <w:color w:val="000000"/>
                <w:sz w:val="18"/>
                <w:szCs w:val="18"/>
              </w:rPr>
              <w:lastRenderedPageBreak/>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BD2949" w14:textId="77777777" w:rsidR="001C19F3" w:rsidRDefault="001C19F3" w:rsidP="00521305">
            <w:pPr>
              <w:spacing w:before="40" w:after="40"/>
              <w:ind w:left="100" w:right="100"/>
              <w:jc w:val="center"/>
            </w:pPr>
            <w:r>
              <w:rPr>
                <w:rFonts w:eastAsia="Century Gothic" w:cs="Century Gothic"/>
                <w:color w:val="000000"/>
                <w:sz w:val="18"/>
                <w:szCs w:val="18"/>
              </w:rPr>
              <w:t>1,514 (75.0%)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5A492" w14:textId="77777777" w:rsidR="001C19F3" w:rsidRDefault="001C19F3" w:rsidP="00521305">
            <w:pPr>
              <w:spacing w:before="40" w:after="40"/>
              <w:ind w:left="100" w:right="100"/>
              <w:jc w:val="center"/>
            </w:pPr>
            <w:r>
              <w:rPr>
                <w:rFonts w:eastAsia="Century Gothic" w:cs="Century Gothic"/>
                <w:color w:val="000000"/>
                <w:sz w:val="18"/>
                <w:szCs w:val="18"/>
              </w:rPr>
              <w:t>333 (75.7%)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E740B8" w14:textId="77777777" w:rsidR="001C19F3" w:rsidRDefault="001C19F3" w:rsidP="00521305">
            <w:pPr>
              <w:spacing w:before="40" w:after="40"/>
              <w:ind w:left="100" w:right="100"/>
              <w:jc w:val="center"/>
            </w:pPr>
            <w:r>
              <w:rPr>
                <w:rFonts w:eastAsia="Century Gothic" w:cs="Century Gothic"/>
                <w:color w:val="000000"/>
                <w:sz w:val="18"/>
                <w:szCs w:val="18"/>
              </w:rPr>
              <w:t>766 (74.7%)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A97D9" w14:textId="77777777" w:rsidR="001C19F3" w:rsidRDefault="001C19F3" w:rsidP="00521305">
            <w:pPr>
              <w:spacing w:before="40" w:after="40"/>
              <w:ind w:left="100" w:right="100"/>
              <w:jc w:val="center"/>
            </w:pPr>
            <w:r>
              <w:rPr>
                <w:rFonts w:eastAsia="Century Gothic" w:cs="Century Gothic"/>
                <w:color w:val="000000"/>
                <w:sz w:val="18"/>
                <w:szCs w:val="18"/>
              </w:rPr>
              <w:t>367 (78.3%)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A906B3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6D57AB" w14:textId="77777777" w:rsidR="001C19F3" w:rsidRDefault="001C19F3" w:rsidP="00521305">
            <w:pPr>
              <w:spacing w:before="40" w:after="40"/>
              <w:ind w:left="100" w:right="100"/>
              <w:jc w:val="center"/>
            </w:pPr>
            <w:r>
              <w:rPr>
                <w:rFonts w:eastAsia="Century Gothic" w:cs="Century Gothic"/>
                <w:color w:val="000000"/>
                <w:sz w:val="18"/>
                <w:szCs w:val="18"/>
              </w:rPr>
              <w:t>892 (74.4%)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93AA7" w14:textId="77777777" w:rsidR="001C19F3" w:rsidRDefault="001C19F3" w:rsidP="00521305">
            <w:pPr>
              <w:spacing w:before="40" w:after="40"/>
              <w:ind w:left="100" w:right="100"/>
              <w:jc w:val="center"/>
            </w:pPr>
            <w:r>
              <w:rPr>
                <w:rFonts w:eastAsia="Century Gothic" w:cs="Century Gothic"/>
                <w:color w:val="000000"/>
                <w:sz w:val="18"/>
                <w:szCs w:val="18"/>
              </w:rPr>
              <w:t>622 (77.3%)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4DBD223" w14:textId="77777777" w:rsidR="001C19F3" w:rsidRDefault="001C19F3" w:rsidP="00521305">
            <w:pPr>
              <w:spacing w:after="0"/>
              <w:rPr>
                <w:sz w:val="22"/>
              </w:rPr>
            </w:pPr>
          </w:p>
        </w:tc>
      </w:tr>
      <w:tr w:rsidR="001C19F3" w14:paraId="623C047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BB3E2D"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D308C" w14:textId="77777777" w:rsidR="001C19F3" w:rsidRDefault="001C19F3" w:rsidP="00521305">
            <w:pPr>
              <w:spacing w:before="40" w:after="40"/>
              <w:ind w:left="100" w:right="100"/>
              <w:jc w:val="center"/>
            </w:pPr>
            <w:r>
              <w:rPr>
                <w:rFonts w:eastAsia="Century Gothic" w:cs="Century Gothic"/>
                <w:color w:val="000000"/>
                <w:sz w:val="18"/>
                <w:szCs w:val="18"/>
              </w:rPr>
              <w:t>14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4C296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DE07C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DD143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5D615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6D0F6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F44AAB"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E145B5" w14:textId="77777777" w:rsidR="001C19F3" w:rsidRDefault="001C19F3" w:rsidP="00521305">
            <w:pPr>
              <w:spacing w:before="40" w:after="40"/>
              <w:ind w:left="100" w:right="100"/>
              <w:jc w:val="right"/>
            </w:pPr>
          </w:p>
        </w:tc>
      </w:tr>
      <w:tr w:rsidR="001C19F3" w14:paraId="57A52B2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83857F" w14:textId="77777777" w:rsidR="001C19F3" w:rsidRDefault="001C19F3" w:rsidP="00521305">
            <w:pPr>
              <w:spacing w:before="40" w:after="40"/>
              <w:ind w:left="100" w:right="100"/>
            </w:pPr>
            <w:r>
              <w:rPr>
                <w:rFonts w:eastAsia="Century Gothic" w:cs="Century Gothic"/>
                <w:b/>
                <w:color w:val="000000"/>
                <w:sz w:val="18"/>
                <w:szCs w:val="18"/>
              </w:rPr>
              <w:t>F07 Osteoporosis (Q22)</w:t>
            </w:r>
          </w:p>
        </w:tc>
      </w:tr>
      <w:tr w:rsidR="001C19F3" w14:paraId="70D90D5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67FF0"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172089" w14:textId="77777777" w:rsidR="001C19F3" w:rsidRDefault="001C19F3" w:rsidP="00521305">
            <w:pPr>
              <w:spacing w:before="40" w:after="40"/>
              <w:ind w:left="100" w:right="100"/>
              <w:jc w:val="center"/>
            </w:pPr>
            <w:r>
              <w:rPr>
                <w:rFonts w:eastAsia="Century Gothic" w:cs="Century Gothic"/>
                <w:color w:val="000000"/>
                <w:sz w:val="18"/>
                <w:szCs w:val="18"/>
              </w:rPr>
              <w:t>495 (24.5%)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47F579" w14:textId="77777777" w:rsidR="001C19F3" w:rsidRDefault="001C19F3" w:rsidP="00521305">
            <w:pPr>
              <w:spacing w:before="40" w:after="40"/>
              <w:ind w:left="100" w:right="100"/>
              <w:jc w:val="center"/>
            </w:pPr>
            <w:r>
              <w:rPr>
                <w:rFonts w:eastAsia="Century Gothic" w:cs="Century Gothic"/>
                <w:color w:val="000000"/>
                <w:sz w:val="18"/>
                <w:szCs w:val="18"/>
              </w:rPr>
              <w:t>98 (22.7%)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A0E44B" w14:textId="77777777" w:rsidR="001C19F3" w:rsidRDefault="001C19F3" w:rsidP="00521305">
            <w:pPr>
              <w:spacing w:before="40" w:after="40"/>
              <w:ind w:left="100" w:right="100"/>
              <w:jc w:val="center"/>
            </w:pPr>
            <w:r>
              <w:rPr>
                <w:rFonts w:eastAsia="Century Gothic" w:cs="Century Gothic"/>
                <w:color w:val="000000"/>
                <w:sz w:val="18"/>
                <w:szCs w:val="18"/>
              </w:rPr>
              <w:t>258 (25.5%)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62FA12" w14:textId="77777777" w:rsidR="001C19F3" w:rsidRDefault="001C19F3" w:rsidP="00521305">
            <w:pPr>
              <w:spacing w:before="40" w:after="40"/>
              <w:ind w:left="100" w:right="100"/>
              <w:jc w:val="center"/>
            </w:pPr>
            <w:r>
              <w:rPr>
                <w:rFonts w:eastAsia="Century Gothic" w:cs="Century Gothic"/>
                <w:color w:val="000000"/>
                <w:sz w:val="18"/>
                <w:szCs w:val="18"/>
              </w:rPr>
              <w:t>125 (27.4%)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206E44" w14:textId="77777777" w:rsidR="001C19F3" w:rsidRDefault="001C19F3" w:rsidP="00521305">
            <w:pPr>
              <w:spacing w:before="40" w:after="40"/>
              <w:ind w:left="100" w:right="100"/>
              <w:jc w:val="center"/>
            </w:pPr>
            <w:r>
              <w:rPr>
                <w:rFonts w:eastAsia="Century Gothic" w:cs="Century Gothic"/>
                <w:color w:val="000000"/>
                <w:sz w:val="18"/>
                <w:szCs w:val="18"/>
              </w:rPr>
              <w:t>0.272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32E592" w14:textId="77777777" w:rsidR="001C19F3" w:rsidRDefault="001C19F3" w:rsidP="00521305">
            <w:pPr>
              <w:spacing w:before="40" w:after="40"/>
              <w:ind w:left="100" w:right="100"/>
              <w:jc w:val="center"/>
            </w:pPr>
            <w:r>
              <w:rPr>
                <w:rFonts w:eastAsia="Century Gothic" w:cs="Century Gothic"/>
                <w:color w:val="000000"/>
                <w:sz w:val="18"/>
                <w:szCs w:val="18"/>
              </w:rPr>
              <w:t>313 (26.6%)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9DD4BA" w14:textId="77777777" w:rsidR="001C19F3" w:rsidRDefault="001C19F3" w:rsidP="00521305">
            <w:pPr>
              <w:spacing w:before="40" w:after="40"/>
              <w:ind w:left="100" w:right="100"/>
              <w:jc w:val="center"/>
            </w:pPr>
            <w:r>
              <w:rPr>
                <w:rFonts w:eastAsia="Century Gothic" w:cs="Century Gothic"/>
                <w:color w:val="000000"/>
                <w:sz w:val="18"/>
                <w:szCs w:val="18"/>
              </w:rPr>
              <w:t>182 (22.9%)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F6B05E" w14:textId="77777777" w:rsidR="001C19F3" w:rsidRDefault="001C19F3" w:rsidP="00521305">
            <w:pPr>
              <w:spacing w:before="40" w:after="40"/>
              <w:ind w:left="100" w:right="100"/>
              <w:jc w:val="right"/>
            </w:pPr>
            <w:r>
              <w:rPr>
                <w:rFonts w:eastAsia="Century Gothic" w:cs="Century Gothic"/>
                <w:color w:val="000000"/>
                <w:sz w:val="18"/>
                <w:szCs w:val="18"/>
              </w:rPr>
              <w:t>0.070</w:t>
            </w:r>
          </w:p>
        </w:tc>
      </w:tr>
      <w:tr w:rsidR="001C19F3" w14:paraId="18228F1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E0D057"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A57372" w14:textId="77777777" w:rsidR="001C19F3" w:rsidRDefault="001C19F3" w:rsidP="00521305">
            <w:pPr>
              <w:spacing w:before="40" w:after="40"/>
              <w:ind w:left="100" w:right="100"/>
              <w:jc w:val="center"/>
            </w:pPr>
            <w:r>
              <w:rPr>
                <w:rFonts w:eastAsia="Century Gothic" w:cs="Century Gothic"/>
                <w:color w:val="000000"/>
                <w:sz w:val="18"/>
                <w:szCs w:val="18"/>
              </w:rPr>
              <w:t>1,474 (73.0%)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4AAE16" w14:textId="77777777" w:rsidR="001C19F3" w:rsidRDefault="001C19F3" w:rsidP="00521305">
            <w:pPr>
              <w:spacing w:before="40" w:after="40"/>
              <w:ind w:left="100" w:right="100"/>
              <w:jc w:val="center"/>
            </w:pPr>
            <w:r>
              <w:rPr>
                <w:rFonts w:eastAsia="Century Gothic" w:cs="Century Gothic"/>
                <w:color w:val="000000"/>
                <w:sz w:val="18"/>
                <w:szCs w:val="18"/>
              </w:rPr>
              <w:t>334 (77.3%)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055B62" w14:textId="77777777" w:rsidR="001C19F3" w:rsidRDefault="001C19F3" w:rsidP="00521305">
            <w:pPr>
              <w:spacing w:before="40" w:after="40"/>
              <w:ind w:left="100" w:right="100"/>
              <w:jc w:val="center"/>
            </w:pPr>
            <w:r>
              <w:rPr>
                <w:rFonts w:eastAsia="Century Gothic" w:cs="Century Gothic"/>
                <w:color w:val="000000"/>
                <w:sz w:val="18"/>
                <w:szCs w:val="18"/>
              </w:rPr>
              <w:t>754 (74.5%)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8F8CD4" w14:textId="77777777" w:rsidR="001C19F3" w:rsidRDefault="001C19F3" w:rsidP="00521305">
            <w:pPr>
              <w:spacing w:before="40" w:after="40"/>
              <w:ind w:left="100" w:right="100"/>
              <w:jc w:val="center"/>
            </w:pPr>
            <w:r>
              <w:rPr>
                <w:rFonts w:eastAsia="Century Gothic" w:cs="Century Gothic"/>
                <w:color w:val="000000"/>
                <w:sz w:val="18"/>
                <w:szCs w:val="18"/>
              </w:rPr>
              <w:t>332 (72.6%)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81A6CC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CB8D8B" w14:textId="77777777" w:rsidR="001C19F3" w:rsidRDefault="001C19F3" w:rsidP="00521305">
            <w:pPr>
              <w:spacing w:before="40" w:after="40"/>
              <w:ind w:left="100" w:right="100"/>
              <w:jc w:val="center"/>
            </w:pPr>
            <w:r>
              <w:rPr>
                <w:rFonts w:eastAsia="Century Gothic" w:cs="Century Gothic"/>
                <w:color w:val="000000"/>
                <w:sz w:val="18"/>
                <w:szCs w:val="18"/>
              </w:rPr>
              <w:t>862 (73.4%)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01EE60" w14:textId="77777777" w:rsidR="001C19F3" w:rsidRDefault="001C19F3" w:rsidP="00521305">
            <w:pPr>
              <w:spacing w:before="40" w:after="40"/>
              <w:ind w:left="100" w:right="100"/>
              <w:jc w:val="center"/>
            </w:pPr>
            <w:r>
              <w:rPr>
                <w:rFonts w:eastAsia="Century Gothic" w:cs="Century Gothic"/>
                <w:color w:val="000000"/>
                <w:sz w:val="18"/>
                <w:szCs w:val="18"/>
              </w:rPr>
              <w:t>612 (77.1%)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922D3C3" w14:textId="77777777" w:rsidR="001C19F3" w:rsidRDefault="001C19F3" w:rsidP="00521305">
            <w:pPr>
              <w:spacing w:after="0"/>
              <w:rPr>
                <w:sz w:val="22"/>
              </w:rPr>
            </w:pPr>
          </w:p>
        </w:tc>
      </w:tr>
      <w:tr w:rsidR="001C19F3" w14:paraId="623679D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D96358"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4DA99" w14:textId="77777777" w:rsidR="001C19F3" w:rsidRDefault="001C19F3" w:rsidP="00521305">
            <w:pPr>
              <w:spacing w:before="40" w:after="40"/>
              <w:ind w:left="100" w:right="100"/>
              <w:jc w:val="center"/>
            </w:pPr>
            <w:r>
              <w:rPr>
                <w:rFonts w:eastAsia="Century Gothic" w:cs="Century Gothic"/>
                <w:color w:val="000000"/>
                <w:sz w:val="18"/>
                <w:szCs w:val="18"/>
              </w:rPr>
              <w:t>49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2D8D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4519A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F66C6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AA20C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B97A3F"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937C9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1F34B9" w14:textId="77777777" w:rsidR="001C19F3" w:rsidRDefault="001C19F3" w:rsidP="00521305">
            <w:pPr>
              <w:spacing w:before="40" w:after="40"/>
              <w:ind w:left="100" w:right="100"/>
              <w:jc w:val="right"/>
            </w:pPr>
          </w:p>
        </w:tc>
      </w:tr>
      <w:tr w:rsidR="001C19F3" w14:paraId="269D2F41"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EC343F" w14:textId="77777777" w:rsidR="001C19F3" w:rsidRDefault="001C19F3" w:rsidP="00521305">
            <w:pPr>
              <w:spacing w:before="40" w:after="40"/>
              <w:ind w:left="100" w:right="100"/>
            </w:pPr>
            <w:r>
              <w:rPr>
                <w:rFonts w:eastAsia="Century Gothic" w:cs="Century Gothic"/>
                <w:b/>
                <w:color w:val="000000"/>
                <w:sz w:val="18"/>
                <w:szCs w:val="18"/>
              </w:rPr>
              <w:t>F08 Depression or anxiety (Q22)</w:t>
            </w:r>
          </w:p>
        </w:tc>
      </w:tr>
      <w:tr w:rsidR="001C19F3" w14:paraId="5DF48D6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2A8655"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707426" w14:textId="77777777" w:rsidR="001C19F3" w:rsidRDefault="001C19F3" w:rsidP="00521305">
            <w:pPr>
              <w:spacing w:before="40" w:after="40"/>
              <w:ind w:left="100" w:right="100"/>
              <w:jc w:val="center"/>
            </w:pPr>
            <w:r>
              <w:rPr>
                <w:rFonts w:eastAsia="Century Gothic" w:cs="Century Gothic"/>
                <w:color w:val="000000"/>
                <w:sz w:val="18"/>
                <w:szCs w:val="18"/>
              </w:rPr>
              <w:t>828 (41.0%)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24A6A7" w14:textId="77777777" w:rsidR="001C19F3" w:rsidRDefault="001C19F3" w:rsidP="00521305">
            <w:pPr>
              <w:spacing w:before="40" w:after="40"/>
              <w:ind w:left="100" w:right="100"/>
              <w:jc w:val="center"/>
            </w:pPr>
            <w:r>
              <w:rPr>
                <w:rFonts w:eastAsia="Century Gothic" w:cs="Century Gothic"/>
                <w:color w:val="000000"/>
                <w:sz w:val="18"/>
                <w:szCs w:val="18"/>
              </w:rPr>
              <w:t>135 (30.9%)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1A2E22" w14:textId="77777777" w:rsidR="001C19F3" w:rsidRDefault="001C19F3" w:rsidP="00521305">
            <w:pPr>
              <w:spacing w:before="40" w:after="40"/>
              <w:ind w:left="100" w:right="100"/>
              <w:jc w:val="center"/>
            </w:pPr>
            <w:r>
              <w:rPr>
                <w:rFonts w:eastAsia="Century Gothic" w:cs="Century Gothic"/>
                <w:color w:val="000000"/>
                <w:sz w:val="18"/>
                <w:szCs w:val="18"/>
              </w:rPr>
              <w:t>419 (40.8%)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8A38D" w14:textId="77777777" w:rsidR="001C19F3" w:rsidRDefault="001C19F3" w:rsidP="00521305">
            <w:pPr>
              <w:spacing w:before="40" w:after="40"/>
              <w:ind w:left="100" w:right="100"/>
              <w:jc w:val="center"/>
            </w:pPr>
            <w:r>
              <w:rPr>
                <w:rFonts w:eastAsia="Century Gothic" w:cs="Century Gothic"/>
                <w:color w:val="000000"/>
                <w:sz w:val="18"/>
                <w:szCs w:val="18"/>
              </w:rPr>
              <w:t>244 (52.0%)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56F97F"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AE2321" w14:textId="77777777" w:rsidR="001C19F3" w:rsidRDefault="001C19F3" w:rsidP="00521305">
            <w:pPr>
              <w:spacing w:before="40" w:after="40"/>
              <w:ind w:left="100" w:right="100"/>
              <w:jc w:val="center"/>
            </w:pPr>
            <w:r>
              <w:rPr>
                <w:rFonts w:eastAsia="Century Gothic" w:cs="Century Gothic"/>
                <w:color w:val="000000"/>
                <w:sz w:val="18"/>
                <w:szCs w:val="18"/>
              </w:rPr>
              <w:t>449 (37.5%)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8676FB" w14:textId="77777777" w:rsidR="001C19F3" w:rsidRDefault="001C19F3" w:rsidP="00521305">
            <w:pPr>
              <w:spacing w:before="40" w:after="40"/>
              <w:ind w:left="100" w:right="100"/>
              <w:jc w:val="center"/>
            </w:pPr>
            <w:r>
              <w:rPr>
                <w:rFonts w:eastAsia="Century Gothic" w:cs="Century Gothic"/>
                <w:color w:val="000000"/>
                <w:sz w:val="18"/>
                <w:szCs w:val="18"/>
              </w:rPr>
              <w:t>379 (47.0%)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8F491C"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70C2CDA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1F7F9"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2C47A" w14:textId="77777777" w:rsidR="001C19F3" w:rsidRDefault="001C19F3" w:rsidP="00521305">
            <w:pPr>
              <w:spacing w:before="40" w:after="40"/>
              <w:ind w:left="100" w:right="100"/>
              <w:jc w:val="center"/>
            </w:pPr>
            <w:r>
              <w:rPr>
                <w:rFonts w:eastAsia="Century Gothic" w:cs="Century Gothic"/>
                <w:color w:val="000000"/>
                <w:sz w:val="18"/>
                <w:szCs w:val="18"/>
              </w:rPr>
              <w:t>1,176 (58.3%)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85EED" w14:textId="77777777" w:rsidR="001C19F3" w:rsidRDefault="001C19F3" w:rsidP="00521305">
            <w:pPr>
              <w:spacing w:before="40" w:after="40"/>
              <w:ind w:left="100" w:right="100"/>
              <w:jc w:val="center"/>
            </w:pPr>
            <w:r>
              <w:rPr>
                <w:rFonts w:eastAsia="Century Gothic" w:cs="Century Gothic"/>
                <w:color w:val="000000"/>
                <w:sz w:val="18"/>
                <w:szCs w:val="18"/>
              </w:rPr>
              <w:t>302 (69.1%)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0E856F" w14:textId="77777777" w:rsidR="001C19F3" w:rsidRDefault="001C19F3" w:rsidP="00521305">
            <w:pPr>
              <w:spacing w:before="40" w:after="40"/>
              <w:ind w:left="100" w:right="100"/>
              <w:jc w:val="center"/>
            </w:pPr>
            <w:r>
              <w:rPr>
                <w:rFonts w:eastAsia="Century Gothic" w:cs="Century Gothic"/>
                <w:color w:val="000000"/>
                <w:sz w:val="18"/>
                <w:szCs w:val="18"/>
              </w:rPr>
              <w:t>609 (59.2%)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21DD46" w14:textId="77777777" w:rsidR="001C19F3" w:rsidRDefault="001C19F3" w:rsidP="00521305">
            <w:pPr>
              <w:spacing w:before="40" w:after="40"/>
              <w:ind w:left="100" w:right="100"/>
              <w:jc w:val="center"/>
            </w:pPr>
            <w:r>
              <w:rPr>
                <w:rFonts w:eastAsia="Century Gothic" w:cs="Century Gothic"/>
                <w:color w:val="000000"/>
                <w:sz w:val="18"/>
                <w:szCs w:val="18"/>
              </w:rPr>
              <w:t>225 (48.0%)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5329A2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4F9357" w14:textId="77777777" w:rsidR="001C19F3" w:rsidRDefault="001C19F3" w:rsidP="00521305">
            <w:pPr>
              <w:spacing w:before="40" w:after="40"/>
              <w:ind w:left="100" w:right="100"/>
              <w:jc w:val="center"/>
            </w:pPr>
            <w:r>
              <w:rPr>
                <w:rFonts w:eastAsia="Century Gothic" w:cs="Century Gothic"/>
                <w:color w:val="000000"/>
                <w:sz w:val="18"/>
                <w:szCs w:val="18"/>
              </w:rPr>
              <w:t>749 (62.5%)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D46905" w14:textId="77777777" w:rsidR="001C19F3" w:rsidRDefault="001C19F3" w:rsidP="00521305">
            <w:pPr>
              <w:spacing w:before="40" w:after="40"/>
              <w:ind w:left="100" w:right="100"/>
              <w:jc w:val="center"/>
            </w:pPr>
            <w:r>
              <w:rPr>
                <w:rFonts w:eastAsia="Century Gothic" w:cs="Century Gothic"/>
                <w:color w:val="000000"/>
                <w:sz w:val="18"/>
                <w:szCs w:val="18"/>
              </w:rPr>
              <w:t>427 (53.0%)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3CD9466" w14:textId="77777777" w:rsidR="001C19F3" w:rsidRDefault="001C19F3" w:rsidP="00521305">
            <w:pPr>
              <w:spacing w:after="0"/>
              <w:rPr>
                <w:sz w:val="22"/>
              </w:rPr>
            </w:pPr>
          </w:p>
        </w:tc>
      </w:tr>
      <w:tr w:rsidR="001C19F3" w14:paraId="246E0BB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57FC71"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C8298" w14:textId="77777777" w:rsidR="001C19F3" w:rsidRDefault="001C19F3" w:rsidP="00521305">
            <w:pPr>
              <w:spacing w:before="40" w:after="40"/>
              <w:ind w:left="100" w:right="100"/>
              <w:jc w:val="center"/>
            </w:pPr>
            <w:r>
              <w:rPr>
                <w:rFonts w:eastAsia="Century Gothic" w:cs="Century Gothic"/>
                <w:color w:val="000000"/>
                <w:sz w:val="18"/>
                <w:szCs w:val="18"/>
              </w:rPr>
              <w:t>14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AAF1B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06B91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F689A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0AEF2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84B8A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ADB01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48799C" w14:textId="77777777" w:rsidR="001C19F3" w:rsidRDefault="001C19F3" w:rsidP="00521305">
            <w:pPr>
              <w:spacing w:before="40" w:after="40"/>
              <w:ind w:left="100" w:right="100"/>
              <w:jc w:val="right"/>
            </w:pPr>
          </w:p>
        </w:tc>
      </w:tr>
      <w:tr w:rsidR="001C19F3" w14:paraId="63AED9F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C38415" w14:textId="77777777" w:rsidR="001C19F3" w:rsidRDefault="001C19F3" w:rsidP="00521305">
            <w:pPr>
              <w:spacing w:before="40" w:after="40"/>
              <w:ind w:left="100" w:right="100"/>
            </w:pPr>
            <w:r>
              <w:rPr>
                <w:rFonts w:eastAsia="Century Gothic" w:cs="Century Gothic"/>
                <w:b/>
                <w:color w:val="000000"/>
                <w:sz w:val="18"/>
                <w:szCs w:val="18"/>
              </w:rPr>
              <w:t>F09 Arthritis (Q22)</w:t>
            </w:r>
          </w:p>
        </w:tc>
      </w:tr>
      <w:tr w:rsidR="001C19F3" w14:paraId="1ADA292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DC03D"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F4AB44" w14:textId="77777777" w:rsidR="001C19F3" w:rsidRDefault="001C19F3" w:rsidP="00521305">
            <w:pPr>
              <w:spacing w:before="40" w:after="40"/>
              <w:ind w:left="100" w:right="100"/>
              <w:jc w:val="center"/>
            </w:pPr>
            <w:r>
              <w:rPr>
                <w:rFonts w:eastAsia="Century Gothic" w:cs="Century Gothic"/>
                <w:color w:val="000000"/>
                <w:sz w:val="18"/>
                <w:szCs w:val="18"/>
              </w:rPr>
              <w:t>1,170 (58.0%)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5B3800" w14:textId="77777777" w:rsidR="001C19F3" w:rsidRDefault="001C19F3" w:rsidP="00521305">
            <w:pPr>
              <w:spacing w:before="40" w:after="40"/>
              <w:ind w:left="100" w:right="100"/>
              <w:jc w:val="center"/>
            </w:pPr>
            <w:r>
              <w:rPr>
                <w:rFonts w:eastAsia="Century Gothic" w:cs="Century Gothic"/>
                <w:color w:val="000000"/>
                <w:sz w:val="18"/>
                <w:szCs w:val="18"/>
              </w:rPr>
              <w:t>230 (52.6%)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805236" w14:textId="77777777" w:rsidR="001C19F3" w:rsidRDefault="001C19F3" w:rsidP="00521305">
            <w:pPr>
              <w:spacing w:before="40" w:after="40"/>
              <w:ind w:left="100" w:right="100"/>
              <w:jc w:val="center"/>
            </w:pPr>
            <w:r>
              <w:rPr>
                <w:rFonts w:eastAsia="Century Gothic" w:cs="Century Gothic"/>
                <w:color w:val="000000"/>
                <w:sz w:val="18"/>
                <w:szCs w:val="18"/>
              </w:rPr>
              <w:t>620 (60.4%)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DE9EE8" w14:textId="77777777" w:rsidR="001C19F3" w:rsidRDefault="001C19F3" w:rsidP="00521305">
            <w:pPr>
              <w:spacing w:before="40" w:after="40"/>
              <w:ind w:left="100" w:right="100"/>
              <w:jc w:val="center"/>
            </w:pPr>
            <w:r>
              <w:rPr>
                <w:rFonts w:eastAsia="Century Gothic" w:cs="Century Gothic"/>
                <w:color w:val="000000"/>
                <w:sz w:val="18"/>
                <w:szCs w:val="18"/>
              </w:rPr>
              <w:t>281 (60.6%)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831A73" w14:textId="77777777" w:rsidR="001C19F3" w:rsidRDefault="001C19F3" w:rsidP="00521305">
            <w:pPr>
              <w:spacing w:before="40" w:after="40"/>
              <w:ind w:left="100" w:right="100"/>
              <w:jc w:val="center"/>
            </w:pPr>
            <w:r>
              <w:rPr>
                <w:rFonts w:eastAsia="Century Gothic" w:cs="Century Gothic"/>
                <w:color w:val="000000"/>
                <w:sz w:val="18"/>
                <w:szCs w:val="18"/>
              </w:rPr>
              <w:t>0.014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A8478" w14:textId="77777777" w:rsidR="001C19F3" w:rsidRDefault="001C19F3" w:rsidP="00521305">
            <w:pPr>
              <w:spacing w:before="40" w:after="40"/>
              <w:ind w:left="100" w:right="100"/>
              <w:jc w:val="center"/>
            </w:pPr>
            <w:r>
              <w:rPr>
                <w:rFonts w:eastAsia="Century Gothic" w:cs="Century Gothic"/>
                <w:color w:val="000000"/>
                <w:sz w:val="18"/>
                <w:szCs w:val="18"/>
              </w:rPr>
              <w:t>758 (63.5%)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D8CF81" w14:textId="77777777" w:rsidR="001C19F3" w:rsidRDefault="001C19F3" w:rsidP="00521305">
            <w:pPr>
              <w:spacing w:before="40" w:after="40"/>
              <w:ind w:left="100" w:right="100"/>
              <w:jc w:val="center"/>
            </w:pPr>
            <w:r>
              <w:rPr>
                <w:rFonts w:eastAsia="Century Gothic" w:cs="Century Gothic"/>
                <w:color w:val="000000"/>
                <w:sz w:val="18"/>
                <w:szCs w:val="18"/>
              </w:rPr>
              <w:t>412 (51.2%)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D4E85"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6CFB7CE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6A4331"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A09036" w14:textId="77777777" w:rsidR="001C19F3" w:rsidRDefault="001C19F3" w:rsidP="00521305">
            <w:pPr>
              <w:spacing w:before="40" w:after="40"/>
              <w:ind w:left="100" w:right="100"/>
              <w:jc w:val="center"/>
            </w:pPr>
            <w:r>
              <w:rPr>
                <w:rFonts w:eastAsia="Century Gothic" w:cs="Century Gothic"/>
                <w:color w:val="000000"/>
                <w:sz w:val="18"/>
                <w:szCs w:val="18"/>
              </w:rPr>
              <w:t>828 (41.0%)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C92030" w14:textId="77777777" w:rsidR="001C19F3" w:rsidRDefault="001C19F3" w:rsidP="00521305">
            <w:pPr>
              <w:spacing w:before="40" w:after="40"/>
              <w:ind w:left="100" w:right="100"/>
              <w:jc w:val="center"/>
            </w:pPr>
            <w:r>
              <w:rPr>
                <w:rFonts w:eastAsia="Century Gothic" w:cs="Century Gothic"/>
                <w:color w:val="000000"/>
                <w:sz w:val="18"/>
                <w:szCs w:val="18"/>
              </w:rPr>
              <w:t>207 (47.4%)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E4B099" w14:textId="77777777" w:rsidR="001C19F3" w:rsidRDefault="001C19F3" w:rsidP="00521305">
            <w:pPr>
              <w:spacing w:before="40" w:after="40"/>
              <w:ind w:left="100" w:right="100"/>
              <w:jc w:val="center"/>
            </w:pPr>
            <w:r>
              <w:rPr>
                <w:rFonts w:eastAsia="Century Gothic" w:cs="Century Gothic"/>
                <w:color w:val="000000"/>
                <w:sz w:val="18"/>
                <w:szCs w:val="18"/>
              </w:rPr>
              <w:t>407 (39.6%)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57AB49" w14:textId="77777777" w:rsidR="001C19F3" w:rsidRDefault="001C19F3" w:rsidP="00521305">
            <w:pPr>
              <w:spacing w:before="40" w:after="40"/>
              <w:ind w:left="100" w:right="100"/>
              <w:jc w:val="center"/>
            </w:pPr>
            <w:r>
              <w:rPr>
                <w:rFonts w:eastAsia="Century Gothic" w:cs="Century Gothic"/>
                <w:color w:val="000000"/>
                <w:sz w:val="18"/>
                <w:szCs w:val="18"/>
              </w:rPr>
              <w:t>183 (39.4%)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52D0D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234A61" w14:textId="77777777" w:rsidR="001C19F3" w:rsidRDefault="001C19F3" w:rsidP="00521305">
            <w:pPr>
              <w:spacing w:before="40" w:after="40"/>
              <w:ind w:left="100" w:right="100"/>
              <w:jc w:val="center"/>
            </w:pPr>
            <w:r>
              <w:rPr>
                <w:rFonts w:eastAsia="Century Gothic" w:cs="Century Gothic"/>
                <w:color w:val="000000"/>
                <w:sz w:val="18"/>
                <w:szCs w:val="18"/>
              </w:rPr>
              <w:t>436 (36.5%)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E96FDD" w14:textId="77777777" w:rsidR="001C19F3" w:rsidRDefault="001C19F3" w:rsidP="00521305">
            <w:pPr>
              <w:spacing w:before="40" w:after="40"/>
              <w:ind w:left="100" w:right="100"/>
              <w:jc w:val="center"/>
            </w:pPr>
            <w:r>
              <w:rPr>
                <w:rFonts w:eastAsia="Century Gothic" w:cs="Century Gothic"/>
                <w:color w:val="000000"/>
                <w:sz w:val="18"/>
                <w:szCs w:val="18"/>
              </w:rPr>
              <w:t>392 (48.8%)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575383E" w14:textId="77777777" w:rsidR="001C19F3" w:rsidRDefault="001C19F3" w:rsidP="00521305">
            <w:pPr>
              <w:spacing w:after="0"/>
              <w:rPr>
                <w:sz w:val="22"/>
              </w:rPr>
            </w:pPr>
          </w:p>
        </w:tc>
      </w:tr>
      <w:tr w:rsidR="001C19F3" w14:paraId="43D1E8D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F2EC8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69C034" w14:textId="77777777" w:rsidR="001C19F3" w:rsidRDefault="001C19F3" w:rsidP="00521305">
            <w:pPr>
              <w:spacing w:before="40" w:after="40"/>
              <w:ind w:left="100" w:right="100"/>
              <w:jc w:val="center"/>
            </w:pPr>
            <w:r>
              <w:rPr>
                <w:rFonts w:eastAsia="Century Gothic" w:cs="Century Gothic"/>
                <w:color w:val="000000"/>
                <w:sz w:val="18"/>
                <w:szCs w:val="18"/>
              </w:rPr>
              <w:t>20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FF62B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7A8F1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D087A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F0D5C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46116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167BA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928A56" w14:textId="77777777" w:rsidR="001C19F3" w:rsidRDefault="001C19F3" w:rsidP="00521305">
            <w:pPr>
              <w:spacing w:before="40" w:after="40"/>
              <w:ind w:left="100" w:right="100"/>
              <w:jc w:val="right"/>
            </w:pPr>
          </w:p>
        </w:tc>
      </w:tr>
      <w:tr w:rsidR="001C19F3" w14:paraId="60BBFB26"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DA97D" w14:textId="77777777" w:rsidR="001C19F3" w:rsidRDefault="001C19F3" w:rsidP="00521305">
            <w:pPr>
              <w:spacing w:before="40" w:after="40"/>
              <w:ind w:left="100" w:right="100"/>
            </w:pPr>
            <w:r>
              <w:rPr>
                <w:rFonts w:eastAsia="Century Gothic" w:cs="Century Gothic"/>
                <w:b/>
                <w:color w:val="000000"/>
                <w:sz w:val="18"/>
                <w:szCs w:val="18"/>
              </w:rPr>
              <w:t>F10 Diabetes (Q22)</w:t>
            </w:r>
          </w:p>
        </w:tc>
      </w:tr>
      <w:tr w:rsidR="001C19F3" w14:paraId="73B6F56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9EB95F"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3A3FD0" w14:textId="77777777" w:rsidR="001C19F3" w:rsidRDefault="001C19F3" w:rsidP="00521305">
            <w:pPr>
              <w:spacing w:before="40" w:after="40"/>
              <w:ind w:left="100" w:right="100"/>
              <w:jc w:val="center"/>
            </w:pPr>
            <w:r>
              <w:rPr>
                <w:rFonts w:eastAsia="Century Gothic" w:cs="Century Gothic"/>
                <w:color w:val="000000"/>
                <w:sz w:val="18"/>
                <w:szCs w:val="18"/>
              </w:rPr>
              <w:t>703 (34.8%)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AEE148" w14:textId="77777777" w:rsidR="001C19F3" w:rsidRDefault="001C19F3" w:rsidP="00521305">
            <w:pPr>
              <w:spacing w:before="40" w:after="40"/>
              <w:ind w:left="100" w:right="100"/>
              <w:jc w:val="center"/>
            </w:pPr>
            <w:r>
              <w:rPr>
                <w:rFonts w:eastAsia="Century Gothic" w:cs="Century Gothic"/>
                <w:color w:val="000000"/>
                <w:sz w:val="18"/>
                <w:szCs w:val="18"/>
              </w:rPr>
              <w:t>141 (32.1%)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5755F" w14:textId="77777777" w:rsidR="001C19F3" w:rsidRDefault="001C19F3" w:rsidP="00521305">
            <w:pPr>
              <w:spacing w:before="40" w:after="40"/>
              <w:ind w:left="100" w:right="100"/>
              <w:jc w:val="center"/>
            </w:pPr>
            <w:r>
              <w:rPr>
                <w:rFonts w:eastAsia="Century Gothic" w:cs="Century Gothic"/>
                <w:color w:val="000000"/>
                <w:sz w:val="18"/>
                <w:szCs w:val="18"/>
              </w:rPr>
              <w:t>359 (34.9%)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74C535" w14:textId="77777777" w:rsidR="001C19F3" w:rsidRDefault="001C19F3" w:rsidP="00521305">
            <w:pPr>
              <w:spacing w:before="40" w:after="40"/>
              <w:ind w:left="100" w:right="100"/>
              <w:jc w:val="center"/>
            </w:pPr>
            <w:r>
              <w:rPr>
                <w:rFonts w:eastAsia="Century Gothic" w:cs="Century Gothic"/>
                <w:color w:val="000000"/>
                <w:sz w:val="18"/>
                <w:szCs w:val="18"/>
              </w:rPr>
              <w:t>179 (38.1%)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BE5A4C" w14:textId="77777777" w:rsidR="001C19F3" w:rsidRDefault="001C19F3" w:rsidP="00521305">
            <w:pPr>
              <w:spacing w:before="40" w:after="40"/>
              <w:ind w:left="100" w:right="100"/>
              <w:jc w:val="center"/>
            </w:pPr>
            <w:r>
              <w:rPr>
                <w:rFonts w:eastAsia="Century Gothic" w:cs="Century Gothic"/>
                <w:color w:val="000000"/>
                <w:sz w:val="18"/>
                <w:szCs w:val="18"/>
              </w:rPr>
              <w:t>0.168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9AD97F" w14:textId="77777777" w:rsidR="001C19F3" w:rsidRDefault="001C19F3" w:rsidP="00521305">
            <w:pPr>
              <w:spacing w:before="40" w:after="40"/>
              <w:ind w:left="100" w:right="100"/>
              <w:jc w:val="center"/>
            </w:pPr>
            <w:r>
              <w:rPr>
                <w:rFonts w:eastAsia="Century Gothic" w:cs="Century Gothic"/>
                <w:color w:val="000000"/>
                <w:sz w:val="18"/>
                <w:szCs w:val="18"/>
              </w:rPr>
              <w:t>458 (38.1%)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96A658" w14:textId="77777777" w:rsidR="001C19F3" w:rsidRDefault="001C19F3" w:rsidP="00521305">
            <w:pPr>
              <w:spacing w:before="40" w:after="40"/>
              <w:ind w:left="100" w:right="100"/>
              <w:jc w:val="center"/>
            </w:pPr>
            <w:r>
              <w:rPr>
                <w:rFonts w:eastAsia="Century Gothic" w:cs="Century Gothic"/>
                <w:color w:val="000000"/>
                <w:sz w:val="18"/>
                <w:szCs w:val="18"/>
              </w:rPr>
              <w:t>245 (30.4%)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784333"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070A894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F2918B"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662D5" w14:textId="77777777" w:rsidR="001C19F3" w:rsidRDefault="001C19F3" w:rsidP="00521305">
            <w:pPr>
              <w:spacing w:before="40" w:after="40"/>
              <w:ind w:left="100" w:right="100"/>
              <w:jc w:val="center"/>
            </w:pPr>
            <w:r>
              <w:rPr>
                <w:rFonts w:eastAsia="Century Gothic" w:cs="Century Gothic"/>
                <w:color w:val="000000"/>
                <w:sz w:val="18"/>
                <w:szCs w:val="18"/>
              </w:rPr>
              <w:t>1,305 (64.7%)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CA36FC" w14:textId="77777777" w:rsidR="001C19F3" w:rsidRDefault="001C19F3" w:rsidP="00521305">
            <w:pPr>
              <w:spacing w:before="40" w:after="40"/>
              <w:ind w:left="100" w:right="100"/>
              <w:jc w:val="center"/>
            </w:pPr>
            <w:r>
              <w:rPr>
                <w:rFonts w:eastAsia="Century Gothic" w:cs="Century Gothic"/>
                <w:color w:val="000000"/>
                <w:sz w:val="18"/>
                <w:szCs w:val="18"/>
              </w:rPr>
              <w:t>298 (67.9%)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AC1E76" w14:textId="77777777" w:rsidR="001C19F3" w:rsidRDefault="001C19F3" w:rsidP="00521305">
            <w:pPr>
              <w:spacing w:before="40" w:after="40"/>
              <w:ind w:left="100" w:right="100"/>
              <w:jc w:val="center"/>
            </w:pPr>
            <w:r>
              <w:rPr>
                <w:rFonts w:eastAsia="Century Gothic" w:cs="Century Gothic"/>
                <w:color w:val="000000"/>
                <w:sz w:val="18"/>
                <w:szCs w:val="18"/>
              </w:rPr>
              <w:t>670 (65.1%)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19888F" w14:textId="77777777" w:rsidR="001C19F3" w:rsidRDefault="001C19F3" w:rsidP="00521305">
            <w:pPr>
              <w:spacing w:before="40" w:after="40"/>
              <w:ind w:left="100" w:right="100"/>
              <w:jc w:val="center"/>
            </w:pPr>
            <w:r>
              <w:rPr>
                <w:rFonts w:eastAsia="Century Gothic" w:cs="Century Gothic"/>
                <w:color w:val="000000"/>
                <w:sz w:val="18"/>
                <w:szCs w:val="18"/>
              </w:rPr>
              <w:t>291 (61.9%)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989AC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77CE44" w14:textId="77777777" w:rsidR="001C19F3" w:rsidRDefault="001C19F3" w:rsidP="00521305">
            <w:pPr>
              <w:spacing w:before="40" w:after="40"/>
              <w:ind w:left="100" w:right="100"/>
              <w:jc w:val="center"/>
            </w:pPr>
            <w:r>
              <w:rPr>
                <w:rFonts w:eastAsia="Century Gothic" w:cs="Century Gothic"/>
                <w:color w:val="000000"/>
                <w:sz w:val="18"/>
                <w:szCs w:val="18"/>
              </w:rPr>
              <w:t>743 (61.9%)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0E318" w14:textId="77777777" w:rsidR="001C19F3" w:rsidRDefault="001C19F3" w:rsidP="00521305">
            <w:pPr>
              <w:spacing w:before="40" w:after="40"/>
              <w:ind w:left="100" w:right="100"/>
              <w:jc w:val="center"/>
            </w:pPr>
            <w:r>
              <w:rPr>
                <w:rFonts w:eastAsia="Century Gothic" w:cs="Century Gothic"/>
                <w:color w:val="000000"/>
                <w:sz w:val="18"/>
                <w:szCs w:val="18"/>
              </w:rPr>
              <w:t>562 (69.6%)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384C1C6" w14:textId="77777777" w:rsidR="001C19F3" w:rsidRDefault="001C19F3" w:rsidP="00521305">
            <w:pPr>
              <w:spacing w:after="0"/>
              <w:rPr>
                <w:sz w:val="22"/>
              </w:rPr>
            </w:pPr>
          </w:p>
        </w:tc>
      </w:tr>
      <w:tr w:rsidR="001C19F3" w14:paraId="4049B67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41DD3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D027BA" w14:textId="77777777" w:rsidR="001C19F3" w:rsidRDefault="001C19F3" w:rsidP="00521305">
            <w:pPr>
              <w:spacing w:before="40" w:after="40"/>
              <w:ind w:left="100" w:right="100"/>
              <w:jc w:val="center"/>
            </w:pPr>
            <w:r>
              <w:rPr>
                <w:rFonts w:eastAsia="Century Gothic" w:cs="Century Gothic"/>
                <w:color w:val="000000"/>
                <w:sz w:val="18"/>
                <w:szCs w:val="18"/>
              </w:rPr>
              <w:t>10 (0.5%)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90CC8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026B1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D2753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E6C8F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B8A8B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2D270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40354E" w14:textId="77777777" w:rsidR="001C19F3" w:rsidRDefault="001C19F3" w:rsidP="00521305">
            <w:pPr>
              <w:spacing w:before="40" w:after="40"/>
              <w:ind w:left="100" w:right="100"/>
              <w:jc w:val="right"/>
            </w:pPr>
          </w:p>
        </w:tc>
      </w:tr>
      <w:tr w:rsidR="001C19F3" w14:paraId="5E6E226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EAF2B6" w14:textId="77777777" w:rsidR="001C19F3" w:rsidRDefault="001C19F3" w:rsidP="00521305">
            <w:pPr>
              <w:spacing w:before="40" w:after="40"/>
              <w:ind w:left="100" w:right="100"/>
            </w:pPr>
            <w:r>
              <w:rPr>
                <w:rFonts w:eastAsia="Century Gothic" w:cs="Century Gothic"/>
                <w:b/>
                <w:color w:val="000000"/>
                <w:sz w:val="18"/>
                <w:szCs w:val="18"/>
              </w:rPr>
              <w:t>F11 High blood pressure (Q22)</w:t>
            </w:r>
          </w:p>
        </w:tc>
      </w:tr>
      <w:tr w:rsidR="001C19F3" w14:paraId="5FA11B1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29E384"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0A1798" w14:textId="77777777" w:rsidR="001C19F3" w:rsidRDefault="001C19F3" w:rsidP="00521305">
            <w:pPr>
              <w:spacing w:before="40" w:after="40"/>
              <w:ind w:left="100" w:right="100"/>
              <w:jc w:val="center"/>
            </w:pPr>
            <w:r>
              <w:rPr>
                <w:rFonts w:eastAsia="Century Gothic" w:cs="Century Gothic"/>
                <w:color w:val="000000"/>
                <w:sz w:val="18"/>
                <w:szCs w:val="18"/>
              </w:rPr>
              <w:t>1,230 (61.0%)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37F77E" w14:textId="77777777" w:rsidR="001C19F3" w:rsidRDefault="001C19F3" w:rsidP="00521305">
            <w:pPr>
              <w:spacing w:before="40" w:after="40"/>
              <w:ind w:left="100" w:right="100"/>
              <w:jc w:val="center"/>
            </w:pPr>
            <w:r>
              <w:rPr>
                <w:rFonts w:eastAsia="Century Gothic" w:cs="Century Gothic"/>
                <w:color w:val="000000"/>
                <w:sz w:val="18"/>
                <w:szCs w:val="18"/>
              </w:rPr>
              <w:t>252 (57.5%)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1E4503" w14:textId="77777777" w:rsidR="001C19F3" w:rsidRDefault="001C19F3" w:rsidP="00521305">
            <w:pPr>
              <w:spacing w:before="40" w:after="40"/>
              <w:ind w:left="100" w:right="100"/>
              <w:jc w:val="center"/>
            </w:pPr>
            <w:r>
              <w:rPr>
                <w:rFonts w:eastAsia="Century Gothic" w:cs="Century Gothic"/>
                <w:color w:val="000000"/>
                <w:sz w:val="18"/>
                <w:szCs w:val="18"/>
              </w:rPr>
              <w:t>649 (63.9%)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4A4C52" w14:textId="77777777" w:rsidR="001C19F3" w:rsidRDefault="001C19F3" w:rsidP="00521305">
            <w:pPr>
              <w:spacing w:before="40" w:after="40"/>
              <w:ind w:left="100" w:right="100"/>
              <w:jc w:val="center"/>
            </w:pPr>
            <w:r>
              <w:rPr>
                <w:rFonts w:eastAsia="Century Gothic" w:cs="Century Gothic"/>
                <w:color w:val="000000"/>
                <w:sz w:val="18"/>
                <w:szCs w:val="18"/>
              </w:rPr>
              <w:t>287 (61.9%)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5EC386" w14:textId="77777777" w:rsidR="001C19F3" w:rsidRDefault="001C19F3" w:rsidP="00521305">
            <w:pPr>
              <w:spacing w:before="40" w:after="40"/>
              <w:ind w:left="100" w:right="100"/>
              <w:jc w:val="center"/>
            </w:pPr>
            <w:r>
              <w:rPr>
                <w:rFonts w:eastAsia="Century Gothic" w:cs="Century Gothic"/>
                <w:color w:val="000000"/>
                <w:sz w:val="18"/>
                <w:szCs w:val="18"/>
              </w:rPr>
              <w:t>0.073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FCE6F" w14:textId="77777777" w:rsidR="001C19F3" w:rsidRDefault="001C19F3" w:rsidP="00521305">
            <w:pPr>
              <w:spacing w:before="40" w:after="40"/>
              <w:ind w:left="100" w:right="100"/>
              <w:jc w:val="center"/>
            </w:pPr>
            <w:r>
              <w:rPr>
                <w:rFonts w:eastAsia="Century Gothic" w:cs="Century Gothic"/>
                <w:color w:val="000000"/>
                <w:sz w:val="18"/>
                <w:szCs w:val="18"/>
              </w:rPr>
              <w:t>772 (64.9%)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1F61BF" w14:textId="77777777" w:rsidR="001C19F3" w:rsidRDefault="001C19F3" w:rsidP="00521305">
            <w:pPr>
              <w:spacing w:before="40" w:after="40"/>
              <w:ind w:left="100" w:right="100"/>
              <w:jc w:val="center"/>
            </w:pPr>
            <w:r>
              <w:rPr>
                <w:rFonts w:eastAsia="Century Gothic" w:cs="Century Gothic"/>
                <w:color w:val="000000"/>
                <w:sz w:val="18"/>
                <w:szCs w:val="18"/>
              </w:rPr>
              <w:t>458 (57.5%)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5CC08"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6E9D574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99D099"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E445BD" w14:textId="77777777" w:rsidR="001C19F3" w:rsidRDefault="001C19F3" w:rsidP="00521305">
            <w:pPr>
              <w:spacing w:before="40" w:after="40"/>
              <w:ind w:left="100" w:right="100"/>
              <w:jc w:val="center"/>
            </w:pPr>
            <w:r>
              <w:rPr>
                <w:rFonts w:eastAsia="Century Gothic" w:cs="Century Gothic"/>
                <w:color w:val="000000"/>
                <w:sz w:val="18"/>
                <w:szCs w:val="18"/>
              </w:rPr>
              <w:t>756 (37.5%)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543A6D" w14:textId="77777777" w:rsidR="001C19F3" w:rsidRDefault="001C19F3" w:rsidP="00521305">
            <w:pPr>
              <w:spacing w:before="40" w:after="40"/>
              <w:ind w:left="100" w:right="100"/>
              <w:jc w:val="center"/>
            </w:pPr>
            <w:r>
              <w:rPr>
                <w:rFonts w:eastAsia="Century Gothic" w:cs="Century Gothic"/>
                <w:color w:val="000000"/>
                <w:sz w:val="18"/>
                <w:szCs w:val="18"/>
              </w:rPr>
              <w:t>186 (42.5%)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524E7A" w14:textId="77777777" w:rsidR="001C19F3" w:rsidRDefault="001C19F3" w:rsidP="00521305">
            <w:pPr>
              <w:spacing w:before="40" w:after="40"/>
              <w:ind w:left="100" w:right="100"/>
              <w:jc w:val="center"/>
            </w:pPr>
            <w:r>
              <w:rPr>
                <w:rFonts w:eastAsia="Century Gothic" w:cs="Century Gothic"/>
                <w:color w:val="000000"/>
                <w:sz w:val="18"/>
                <w:szCs w:val="18"/>
              </w:rPr>
              <w:t>367 (36.1%)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9960DB" w14:textId="77777777" w:rsidR="001C19F3" w:rsidRDefault="001C19F3" w:rsidP="00521305">
            <w:pPr>
              <w:spacing w:before="40" w:after="40"/>
              <w:ind w:left="100" w:right="100"/>
              <w:jc w:val="center"/>
            </w:pPr>
            <w:r>
              <w:rPr>
                <w:rFonts w:eastAsia="Century Gothic" w:cs="Century Gothic"/>
                <w:color w:val="000000"/>
                <w:sz w:val="18"/>
                <w:szCs w:val="18"/>
              </w:rPr>
              <w:t>177 (38.1%)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22596C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168626" w14:textId="77777777" w:rsidR="001C19F3" w:rsidRDefault="001C19F3" w:rsidP="00521305">
            <w:pPr>
              <w:spacing w:before="40" w:after="40"/>
              <w:ind w:left="100" w:right="100"/>
              <w:jc w:val="center"/>
            </w:pPr>
            <w:r>
              <w:rPr>
                <w:rFonts w:eastAsia="Century Gothic" w:cs="Century Gothic"/>
                <w:color w:val="000000"/>
                <w:sz w:val="18"/>
                <w:szCs w:val="18"/>
              </w:rPr>
              <w:t>417 (35.1%)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250D37" w14:textId="77777777" w:rsidR="001C19F3" w:rsidRDefault="001C19F3" w:rsidP="00521305">
            <w:pPr>
              <w:spacing w:before="40" w:after="40"/>
              <w:ind w:left="100" w:right="100"/>
              <w:jc w:val="center"/>
            </w:pPr>
            <w:r>
              <w:rPr>
                <w:rFonts w:eastAsia="Century Gothic" w:cs="Century Gothic"/>
                <w:color w:val="000000"/>
                <w:sz w:val="18"/>
                <w:szCs w:val="18"/>
              </w:rPr>
              <w:t>339 (42.5%)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678AD4D" w14:textId="77777777" w:rsidR="001C19F3" w:rsidRDefault="001C19F3" w:rsidP="00521305">
            <w:pPr>
              <w:spacing w:after="0"/>
              <w:rPr>
                <w:sz w:val="22"/>
              </w:rPr>
            </w:pPr>
          </w:p>
        </w:tc>
      </w:tr>
      <w:tr w:rsidR="001C19F3" w14:paraId="6D882CF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297B9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76DFAA" w14:textId="77777777" w:rsidR="001C19F3" w:rsidRDefault="001C19F3" w:rsidP="00521305">
            <w:pPr>
              <w:spacing w:before="40" w:after="40"/>
              <w:ind w:left="100" w:right="100"/>
              <w:jc w:val="center"/>
            </w:pPr>
            <w:r>
              <w:rPr>
                <w:rFonts w:eastAsia="Century Gothic" w:cs="Century Gothic"/>
                <w:color w:val="000000"/>
                <w:sz w:val="18"/>
                <w:szCs w:val="18"/>
              </w:rPr>
              <w:t>32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6F631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3A07A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4493B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E4C67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9E0F3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BB220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15270E" w14:textId="77777777" w:rsidR="001C19F3" w:rsidRDefault="001C19F3" w:rsidP="00521305">
            <w:pPr>
              <w:spacing w:before="40" w:after="40"/>
              <w:ind w:left="100" w:right="100"/>
              <w:jc w:val="right"/>
            </w:pPr>
          </w:p>
        </w:tc>
      </w:tr>
      <w:tr w:rsidR="001C19F3" w14:paraId="5DE8290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32A4C7" w14:textId="77777777" w:rsidR="001C19F3" w:rsidRDefault="001C19F3" w:rsidP="00521305">
            <w:pPr>
              <w:spacing w:before="40" w:after="40"/>
              <w:ind w:left="100" w:right="100"/>
            </w:pPr>
            <w:r>
              <w:rPr>
                <w:rFonts w:eastAsia="Century Gothic" w:cs="Century Gothic"/>
                <w:b/>
                <w:color w:val="000000"/>
                <w:sz w:val="18"/>
                <w:szCs w:val="18"/>
              </w:rPr>
              <w:lastRenderedPageBreak/>
              <w:t>F12 Asthma (Q22)</w:t>
            </w:r>
          </w:p>
        </w:tc>
      </w:tr>
      <w:tr w:rsidR="001C19F3" w14:paraId="117B191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7BD1DB"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2E9B3E" w14:textId="77777777" w:rsidR="001C19F3" w:rsidRDefault="001C19F3" w:rsidP="00521305">
            <w:pPr>
              <w:spacing w:before="40" w:after="40"/>
              <w:ind w:left="100" w:right="100"/>
              <w:jc w:val="center"/>
            </w:pPr>
            <w:r>
              <w:rPr>
                <w:rFonts w:eastAsia="Century Gothic" w:cs="Century Gothic"/>
                <w:color w:val="000000"/>
                <w:sz w:val="18"/>
                <w:szCs w:val="18"/>
              </w:rPr>
              <w:t>546 (27.1%)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068DD1" w14:textId="77777777" w:rsidR="001C19F3" w:rsidRDefault="001C19F3" w:rsidP="00521305">
            <w:pPr>
              <w:spacing w:before="40" w:after="40"/>
              <w:ind w:left="100" w:right="100"/>
              <w:jc w:val="center"/>
            </w:pPr>
            <w:r>
              <w:rPr>
                <w:rFonts w:eastAsia="Century Gothic" w:cs="Century Gothic"/>
                <w:color w:val="000000"/>
                <w:sz w:val="18"/>
                <w:szCs w:val="18"/>
              </w:rPr>
              <w:t>109 (24.7%)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7B3ACF" w14:textId="77777777" w:rsidR="001C19F3" w:rsidRDefault="001C19F3" w:rsidP="00521305">
            <w:pPr>
              <w:spacing w:before="40" w:after="40"/>
              <w:ind w:left="100" w:right="100"/>
              <w:jc w:val="center"/>
            </w:pPr>
            <w:r>
              <w:rPr>
                <w:rFonts w:eastAsia="Century Gothic" w:cs="Century Gothic"/>
                <w:color w:val="000000"/>
                <w:sz w:val="18"/>
                <w:szCs w:val="18"/>
              </w:rPr>
              <w:t>276 (27.0%)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8BCD4B" w14:textId="77777777" w:rsidR="001C19F3" w:rsidRDefault="001C19F3" w:rsidP="00521305">
            <w:pPr>
              <w:spacing w:before="40" w:after="40"/>
              <w:ind w:left="100" w:right="100"/>
              <w:jc w:val="center"/>
            </w:pPr>
            <w:r>
              <w:rPr>
                <w:rFonts w:eastAsia="Century Gothic" w:cs="Century Gothic"/>
                <w:color w:val="000000"/>
                <w:sz w:val="18"/>
                <w:szCs w:val="18"/>
              </w:rPr>
              <w:t>143 (30.6%)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4FBBFE" w14:textId="77777777" w:rsidR="001C19F3" w:rsidRDefault="001C19F3" w:rsidP="00521305">
            <w:pPr>
              <w:spacing w:before="40" w:after="40"/>
              <w:ind w:left="100" w:right="100"/>
              <w:jc w:val="center"/>
            </w:pPr>
            <w:r>
              <w:rPr>
                <w:rFonts w:eastAsia="Century Gothic" w:cs="Century Gothic"/>
                <w:color w:val="000000"/>
                <w:sz w:val="18"/>
                <w:szCs w:val="18"/>
              </w:rPr>
              <w:t>0.135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EBE1F4" w14:textId="77777777" w:rsidR="001C19F3" w:rsidRDefault="001C19F3" w:rsidP="00521305">
            <w:pPr>
              <w:spacing w:before="40" w:after="40"/>
              <w:ind w:left="100" w:right="100"/>
              <w:jc w:val="center"/>
            </w:pPr>
            <w:r>
              <w:rPr>
                <w:rFonts w:eastAsia="Century Gothic" w:cs="Century Gothic"/>
                <w:color w:val="000000"/>
                <w:sz w:val="18"/>
                <w:szCs w:val="18"/>
              </w:rPr>
              <w:t>332 (27.8%)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482FF3" w14:textId="77777777" w:rsidR="001C19F3" w:rsidRDefault="001C19F3" w:rsidP="00521305">
            <w:pPr>
              <w:spacing w:before="40" w:after="40"/>
              <w:ind w:left="100" w:right="100"/>
              <w:jc w:val="center"/>
            </w:pPr>
            <w:r>
              <w:rPr>
                <w:rFonts w:eastAsia="Century Gothic" w:cs="Century Gothic"/>
                <w:color w:val="000000"/>
                <w:sz w:val="18"/>
                <w:szCs w:val="18"/>
              </w:rPr>
              <w:t>214 (26.6%)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643CBE" w14:textId="77777777" w:rsidR="001C19F3" w:rsidRDefault="001C19F3" w:rsidP="00521305">
            <w:pPr>
              <w:spacing w:before="40" w:after="40"/>
              <w:ind w:left="100" w:right="100"/>
              <w:jc w:val="right"/>
            </w:pPr>
            <w:r>
              <w:rPr>
                <w:rFonts w:eastAsia="Century Gothic" w:cs="Century Gothic"/>
                <w:color w:val="000000"/>
                <w:sz w:val="18"/>
                <w:szCs w:val="18"/>
              </w:rPr>
              <w:t>0.571</w:t>
            </w:r>
          </w:p>
        </w:tc>
      </w:tr>
      <w:tr w:rsidR="001C19F3" w14:paraId="70D5CC6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E7FEA"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FE17D1" w14:textId="77777777" w:rsidR="001C19F3" w:rsidRDefault="001C19F3" w:rsidP="00521305">
            <w:pPr>
              <w:spacing w:before="40" w:after="40"/>
              <w:ind w:left="100" w:right="100"/>
              <w:jc w:val="center"/>
            </w:pPr>
            <w:r>
              <w:rPr>
                <w:rFonts w:eastAsia="Century Gothic" w:cs="Century Gothic"/>
                <w:color w:val="000000"/>
                <w:sz w:val="18"/>
                <w:szCs w:val="18"/>
              </w:rPr>
              <w:t>1,454 (72.1%)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E45E4E" w14:textId="77777777" w:rsidR="001C19F3" w:rsidRDefault="001C19F3" w:rsidP="00521305">
            <w:pPr>
              <w:spacing w:before="40" w:after="40"/>
              <w:ind w:left="100" w:right="100"/>
              <w:jc w:val="center"/>
            </w:pPr>
            <w:r>
              <w:rPr>
                <w:rFonts w:eastAsia="Century Gothic" w:cs="Century Gothic"/>
                <w:color w:val="000000"/>
                <w:sz w:val="18"/>
                <w:szCs w:val="18"/>
              </w:rPr>
              <w:t>332 (75.3%)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2A4B5" w14:textId="77777777" w:rsidR="001C19F3" w:rsidRDefault="001C19F3" w:rsidP="00521305">
            <w:pPr>
              <w:spacing w:before="40" w:after="40"/>
              <w:ind w:left="100" w:right="100"/>
              <w:jc w:val="center"/>
            </w:pPr>
            <w:r>
              <w:rPr>
                <w:rFonts w:eastAsia="Century Gothic" w:cs="Century Gothic"/>
                <w:color w:val="000000"/>
                <w:sz w:val="18"/>
                <w:szCs w:val="18"/>
              </w:rPr>
              <w:t>745 (73.0%)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75B3CE" w14:textId="77777777" w:rsidR="001C19F3" w:rsidRDefault="001C19F3" w:rsidP="00521305">
            <w:pPr>
              <w:spacing w:before="40" w:after="40"/>
              <w:ind w:left="100" w:right="100"/>
              <w:jc w:val="center"/>
            </w:pPr>
            <w:r>
              <w:rPr>
                <w:rFonts w:eastAsia="Century Gothic" w:cs="Century Gothic"/>
                <w:color w:val="000000"/>
                <w:sz w:val="18"/>
                <w:szCs w:val="18"/>
              </w:rPr>
              <w:t>325 (69.4%)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97FD00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5BC555" w14:textId="77777777" w:rsidR="001C19F3" w:rsidRDefault="001C19F3" w:rsidP="00521305">
            <w:pPr>
              <w:spacing w:before="40" w:after="40"/>
              <w:ind w:left="100" w:right="100"/>
              <w:jc w:val="center"/>
            </w:pPr>
            <w:r>
              <w:rPr>
                <w:rFonts w:eastAsia="Century Gothic" w:cs="Century Gothic"/>
                <w:color w:val="000000"/>
                <w:sz w:val="18"/>
                <w:szCs w:val="18"/>
              </w:rPr>
              <w:t>862 (72.2%)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ADF0DE" w14:textId="77777777" w:rsidR="001C19F3" w:rsidRDefault="001C19F3" w:rsidP="00521305">
            <w:pPr>
              <w:spacing w:before="40" w:after="40"/>
              <w:ind w:left="100" w:right="100"/>
              <w:jc w:val="center"/>
            </w:pPr>
            <w:r>
              <w:rPr>
                <w:rFonts w:eastAsia="Century Gothic" w:cs="Century Gothic"/>
                <w:color w:val="000000"/>
                <w:sz w:val="18"/>
                <w:szCs w:val="18"/>
              </w:rPr>
              <w:t>592 (73.4%)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9FE6E2F" w14:textId="77777777" w:rsidR="001C19F3" w:rsidRDefault="001C19F3" w:rsidP="00521305">
            <w:pPr>
              <w:spacing w:after="0"/>
              <w:rPr>
                <w:sz w:val="22"/>
              </w:rPr>
            </w:pPr>
          </w:p>
        </w:tc>
      </w:tr>
      <w:tr w:rsidR="001C19F3" w14:paraId="2F2CBF9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0E6DC5"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95F1D0"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6A8AD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5CF82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A8C3C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6BEB2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284D8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32BCCF"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8234B4" w14:textId="77777777" w:rsidR="001C19F3" w:rsidRDefault="001C19F3" w:rsidP="00521305">
            <w:pPr>
              <w:spacing w:before="40" w:after="40"/>
              <w:ind w:left="100" w:right="100"/>
              <w:jc w:val="right"/>
            </w:pPr>
          </w:p>
        </w:tc>
      </w:tr>
      <w:tr w:rsidR="001C19F3" w14:paraId="7E0A4CF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C0159E" w14:textId="77777777" w:rsidR="001C19F3" w:rsidRDefault="001C19F3" w:rsidP="00521305">
            <w:pPr>
              <w:spacing w:before="40" w:after="40"/>
              <w:ind w:left="100" w:right="100"/>
            </w:pPr>
            <w:r>
              <w:rPr>
                <w:rFonts w:eastAsia="Century Gothic" w:cs="Century Gothic"/>
                <w:b/>
                <w:color w:val="000000"/>
                <w:sz w:val="18"/>
                <w:szCs w:val="18"/>
              </w:rPr>
              <w:t>F13 Another chronic health condition (Q22)</w:t>
            </w:r>
          </w:p>
        </w:tc>
      </w:tr>
      <w:tr w:rsidR="001C19F3" w14:paraId="058FBCC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36FE76"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CCDC32" w14:textId="77777777" w:rsidR="001C19F3" w:rsidRDefault="001C19F3" w:rsidP="00521305">
            <w:pPr>
              <w:spacing w:before="40" w:after="40"/>
              <w:ind w:left="100" w:right="100"/>
              <w:jc w:val="center"/>
            </w:pPr>
            <w:r>
              <w:rPr>
                <w:rFonts w:eastAsia="Century Gothic" w:cs="Century Gothic"/>
                <w:color w:val="000000"/>
                <w:sz w:val="18"/>
                <w:szCs w:val="18"/>
              </w:rPr>
              <w:t>912 (45.2%)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28303A" w14:textId="77777777" w:rsidR="001C19F3" w:rsidRDefault="001C19F3" w:rsidP="00521305">
            <w:pPr>
              <w:spacing w:before="40" w:after="40"/>
              <w:ind w:left="100" w:right="100"/>
              <w:jc w:val="center"/>
            </w:pPr>
            <w:r>
              <w:rPr>
                <w:rFonts w:eastAsia="Century Gothic" w:cs="Century Gothic"/>
                <w:color w:val="000000"/>
                <w:sz w:val="18"/>
                <w:szCs w:val="18"/>
              </w:rPr>
              <w:t>178 (41.2%)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ECE2E" w14:textId="77777777" w:rsidR="001C19F3" w:rsidRDefault="001C19F3" w:rsidP="00521305">
            <w:pPr>
              <w:spacing w:before="40" w:after="40"/>
              <w:ind w:left="100" w:right="100"/>
              <w:jc w:val="center"/>
            </w:pPr>
            <w:r>
              <w:rPr>
                <w:rFonts w:eastAsia="Century Gothic" w:cs="Century Gothic"/>
                <w:color w:val="000000"/>
                <w:sz w:val="18"/>
                <w:szCs w:val="18"/>
              </w:rPr>
              <w:t>455 (45.3%)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87B86" w14:textId="77777777" w:rsidR="001C19F3" w:rsidRDefault="001C19F3" w:rsidP="00521305">
            <w:pPr>
              <w:spacing w:before="40" w:after="40"/>
              <w:ind w:left="100" w:right="100"/>
              <w:jc w:val="center"/>
            </w:pPr>
            <w:r>
              <w:rPr>
                <w:rFonts w:eastAsia="Century Gothic" w:cs="Century Gothic"/>
                <w:color w:val="000000"/>
                <w:sz w:val="18"/>
                <w:szCs w:val="18"/>
              </w:rPr>
              <w:t>255 (55.2%)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37A217"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522119" w14:textId="77777777" w:rsidR="001C19F3" w:rsidRDefault="001C19F3" w:rsidP="00521305">
            <w:pPr>
              <w:spacing w:before="40" w:after="40"/>
              <w:ind w:left="100" w:right="100"/>
              <w:jc w:val="center"/>
            </w:pPr>
            <w:r>
              <w:rPr>
                <w:rFonts w:eastAsia="Century Gothic" w:cs="Century Gothic"/>
                <w:color w:val="000000"/>
                <w:sz w:val="18"/>
                <w:szCs w:val="18"/>
              </w:rPr>
              <w:t>531 (45.2%)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CCA6A2" w14:textId="77777777" w:rsidR="001C19F3" w:rsidRDefault="001C19F3" w:rsidP="00521305">
            <w:pPr>
              <w:spacing w:before="40" w:after="40"/>
              <w:ind w:left="100" w:right="100"/>
              <w:jc w:val="center"/>
            </w:pPr>
            <w:r>
              <w:rPr>
                <w:rFonts w:eastAsia="Century Gothic" w:cs="Century Gothic"/>
                <w:color w:val="000000"/>
                <w:sz w:val="18"/>
                <w:szCs w:val="18"/>
              </w:rPr>
              <w:t>381 (48.1%)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215391" w14:textId="77777777" w:rsidR="001C19F3" w:rsidRDefault="001C19F3" w:rsidP="00521305">
            <w:pPr>
              <w:spacing w:before="40" w:after="40"/>
              <w:ind w:left="100" w:right="100"/>
              <w:jc w:val="right"/>
            </w:pPr>
            <w:r>
              <w:rPr>
                <w:rFonts w:eastAsia="Century Gothic" w:cs="Century Gothic"/>
                <w:color w:val="000000"/>
                <w:sz w:val="18"/>
                <w:szCs w:val="18"/>
              </w:rPr>
              <w:t>0.227</w:t>
            </w:r>
          </w:p>
        </w:tc>
      </w:tr>
      <w:tr w:rsidR="001C19F3" w14:paraId="6B01F12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4A666C"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843A8" w14:textId="77777777" w:rsidR="001C19F3" w:rsidRDefault="001C19F3" w:rsidP="00521305">
            <w:pPr>
              <w:spacing w:before="40" w:after="40"/>
              <w:ind w:left="100" w:right="100"/>
              <w:jc w:val="center"/>
            </w:pPr>
            <w:r>
              <w:rPr>
                <w:rFonts w:eastAsia="Century Gothic" w:cs="Century Gothic"/>
                <w:color w:val="000000"/>
                <w:sz w:val="18"/>
                <w:szCs w:val="18"/>
              </w:rPr>
              <w:t>1,054 (52.2%)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5858C7" w14:textId="77777777" w:rsidR="001C19F3" w:rsidRDefault="001C19F3" w:rsidP="00521305">
            <w:pPr>
              <w:spacing w:before="40" w:after="40"/>
              <w:ind w:left="100" w:right="100"/>
              <w:jc w:val="center"/>
            </w:pPr>
            <w:r>
              <w:rPr>
                <w:rFonts w:eastAsia="Century Gothic" w:cs="Century Gothic"/>
                <w:color w:val="000000"/>
                <w:sz w:val="18"/>
                <w:szCs w:val="18"/>
              </w:rPr>
              <w:t>254 (58.8%)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528E7B" w14:textId="77777777" w:rsidR="001C19F3" w:rsidRDefault="001C19F3" w:rsidP="00521305">
            <w:pPr>
              <w:spacing w:before="40" w:after="40"/>
              <w:ind w:left="100" w:right="100"/>
              <w:jc w:val="center"/>
            </w:pPr>
            <w:r>
              <w:rPr>
                <w:rFonts w:eastAsia="Century Gothic" w:cs="Century Gothic"/>
                <w:color w:val="000000"/>
                <w:sz w:val="18"/>
                <w:szCs w:val="18"/>
              </w:rPr>
              <w:t>549 (54.7%)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30C366" w14:textId="77777777" w:rsidR="001C19F3" w:rsidRDefault="001C19F3" w:rsidP="00521305">
            <w:pPr>
              <w:spacing w:before="40" w:after="40"/>
              <w:ind w:left="100" w:right="100"/>
              <w:jc w:val="center"/>
            </w:pPr>
            <w:r>
              <w:rPr>
                <w:rFonts w:eastAsia="Century Gothic" w:cs="Century Gothic"/>
                <w:color w:val="000000"/>
                <w:sz w:val="18"/>
                <w:szCs w:val="18"/>
              </w:rPr>
              <w:t>207 (44.8%)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DC4FB2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E48CAC" w14:textId="77777777" w:rsidR="001C19F3" w:rsidRDefault="001C19F3" w:rsidP="00521305">
            <w:pPr>
              <w:spacing w:before="40" w:after="40"/>
              <w:ind w:left="100" w:right="100"/>
              <w:jc w:val="center"/>
            </w:pPr>
            <w:r>
              <w:rPr>
                <w:rFonts w:eastAsia="Century Gothic" w:cs="Century Gothic"/>
                <w:color w:val="000000"/>
                <w:sz w:val="18"/>
                <w:szCs w:val="18"/>
              </w:rPr>
              <w:t>643 (54.8%)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F5531E" w14:textId="77777777" w:rsidR="001C19F3" w:rsidRDefault="001C19F3" w:rsidP="00521305">
            <w:pPr>
              <w:spacing w:before="40" w:after="40"/>
              <w:ind w:left="100" w:right="100"/>
              <w:jc w:val="center"/>
            </w:pPr>
            <w:r>
              <w:rPr>
                <w:rFonts w:eastAsia="Century Gothic" w:cs="Century Gothic"/>
                <w:color w:val="000000"/>
                <w:sz w:val="18"/>
                <w:szCs w:val="18"/>
              </w:rPr>
              <w:t>411 (51.9%)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88254F4" w14:textId="77777777" w:rsidR="001C19F3" w:rsidRDefault="001C19F3" w:rsidP="00521305">
            <w:pPr>
              <w:spacing w:after="0"/>
              <w:rPr>
                <w:sz w:val="22"/>
              </w:rPr>
            </w:pPr>
          </w:p>
        </w:tc>
      </w:tr>
      <w:tr w:rsidR="001C19F3" w14:paraId="2C53FFE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8E31B3"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157EAA"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A9030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E69B2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DC19E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DAF68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1898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658F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3FA970" w14:textId="77777777" w:rsidR="001C19F3" w:rsidRDefault="001C19F3" w:rsidP="00521305">
            <w:pPr>
              <w:spacing w:before="40" w:after="40"/>
              <w:ind w:left="100" w:right="100"/>
              <w:jc w:val="right"/>
            </w:pPr>
          </w:p>
        </w:tc>
      </w:tr>
      <w:tr w:rsidR="001C19F3" w14:paraId="7E07F00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8C64E8" w14:textId="77777777" w:rsidR="001C19F3" w:rsidRDefault="001C19F3" w:rsidP="00521305">
            <w:pPr>
              <w:spacing w:before="40" w:after="40"/>
              <w:ind w:left="100" w:right="100"/>
            </w:pPr>
            <w:r>
              <w:rPr>
                <w:rFonts w:eastAsia="Century Gothic" w:cs="Century Gothic"/>
                <w:b/>
                <w:color w:val="000000"/>
                <w:sz w:val="18"/>
                <w:szCs w:val="18"/>
              </w:rPr>
              <w:t>F15 Mobility today (Q27)</w:t>
            </w:r>
          </w:p>
        </w:tc>
      </w:tr>
      <w:tr w:rsidR="001C19F3" w14:paraId="6E89662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8FE48F" w14:textId="77777777" w:rsidR="001C19F3" w:rsidRDefault="001C19F3" w:rsidP="00521305">
            <w:pPr>
              <w:spacing w:before="40" w:after="40"/>
              <w:ind w:left="160" w:right="100"/>
            </w:pPr>
            <w:r>
              <w:rPr>
                <w:rFonts w:eastAsia="Century Gothic" w:cs="Century Gothic"/>
                <w:color w:val="000000"/>
                <w:sz w:val="18"/>
                <w:szCs w:val="18"/>
              </w:rPr>
              <w:t>No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3FF56C" w14:textId="77777777" w:rsidR="001C19F3" w:rsidRDefault="001C19F3" w:rsidP="00521305">
            <w:pPr>
              <w:spacing w:before="40" w:after="40"/>
              <w:ind w:left="100" w:right="100"/>
              <w:jc w:val="center"/>
            </w:pPr>
            <w:r>
              <w:rPr>
                <w:rFonts w:eastAsia="Century Gothic" w:cs="Century Gothic"/>
                <w:color w:val="000000"/>
                <w:sz w:val="18"/>
                <w:szCs w:val="18"/>
              </w:rPr>
              <w:t>840 (42.1%)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72845" w14:textId="77777777" w:rsidR="001C19F3" w:rsidRDefault="001C19F3" w:rsidP="00521305">
            <w:pPr>
              <w:spacing w:before="40" w:after="40"/>
              <w:ind w:left="100" w:right="100"/>
              <w:jc w:val="center"/>
            </w:pPr>
            <w:r>
              <w:rPr>
                <w:rFonts w:eastAsia="Century Gothic" w:cs="Century Gothic"/>
                <w:color w:val="000000"/>
                <w:sz w:val="18"/>
                <w:szCs w:val="18"/>
              </w:rPr>
              <w:t>260 (59.5%)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90B875" w14:textId="77777777" w:rsidR="001C19F3" w:rsidRDefault="001C19F3" w:rsidP="00521305">
            <w:pPr>
              <w:spacing w:before="40" w:after="40"/>
              <w:ind w:left="100" w:right="100"/>
              <w:jc w:val="center"/>
            </w:pPr>
            <w:r>
              <w:rPr>
                <w:rFonts w:eastAsia="Century Gothic" w:cs="Century Gothic"/>
                <w:color w:val="000000"/>
                <w:sz w:val="18"/>
                <w:szCs w:val="18"/>
              </w:rPr>
              <w:t>441 (42.9%)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12EBA" w14:textId="77777777" w:rsidR="001C19F3" w:rsidRDefault="001C19F3" w:rsidP="00521305">
            <w:pPr>
              <w:spacing w:before="40" w:after="40"/>
              <w:ind w:left="100" w:right="100"/>
              <w:jc w:val="center"/>
            </w:pPr>
            <w:r>
              <w:rPr>
                <w:rFonts w:eastAsia="Century Gothic" w:cs="Century Gothic"/>
                <w:color w:val="000000"/>
                <w:sz w:val="18"/>
                <w:szCs w:val="18"/>
              </w:rPr>
              <w:t>116 (25.1%)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6A87B1"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E436FE" w14:textId="77777777" w:rsidR="001C19F3" w:rsidRDefault="001C19F3" w:rsidP="00521305">
            <w:pPr>
              <w:spacing w:before="40" w:after="40"/>
              <w:ind w:left="100" w:right="100"/>
              <w:jc w:val="center"/>
            </w:pPr>
            <w:r>
              <w:rPr>
                <w:rFonts w:eastAsia="Century Gothic" w:cs="Century Gothic"/>
                <w:color w:val="000000"/>
                <w:sz w:val="18"/>
                <w:szCs w:val="18"/>
              </w:rPr>
              <w:t>477 (39.8%)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1E6FC3" w14:textId="77777777" w:rsidR="001C19F3" w:rsidRDefault="001C19F3" w:rsidP="00521305">
            <w:pPr>
              <w:spacing w:before="40" w:after="40"/>
              <w:ind w:left="100" w:right="100"/>
              <w:jc w:val="center"/>
            </w:pPr>
            <w:r>
              <w:rPr>
                <w:rFonts w:eastAsia="Century Gothic" w:cs="Century Gothic"/>
                <w:color w:val="000000"/>
                <w:sz w:val="18"/>
                <w:szCs w:val="18"/>
              </w:rPr>
              <w:t>363 (45.4%)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B25C3C" w14:textId="77777777" w:rsidR="001C19F3" w:rsidRDefault="001C19F3" w:rsidP="00521305">
            <w:pPr>
              <w:spacing w:before="40" w:after="40"/>
              <w:ind w:left="100" w:right="100"/>
              <w:jc w:val="right"/>
            </w:pPr>
            <w:r>
              <w:rPr>
                <w:rFonts w:eastAsia="Century Gothic" w:cs="Century Gothic"/>
                <w:color w:val="000000"/>
                <w:sz w:val="18"/>
                <w:szCs w:val="18"/>
              </w:rPr>
              <w:t>0.081</w:t>
            </w:r>
          </w:p>
        </w:tc>
      </w:tr>
      <w:tr w:rsidR="001C19F3" w14:paraId="5BBFEF5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21BA45" w14:textId="77777777" w:rsidR="001C19F3" w:rsidRDefault="001C19F3" w:rsidP="00521305">
            <w:pPr>
              <w:spacing w:before="40" w:after="40"/>
              <w:ind w:left="160" w:right="100"/>
            </w:pPr>
            <w:r>
              <w:rPr>
                <w:rFonts w:eastAsia="Century Gothic" w:cs="Century Gothic"/>
                <w:color w:val="000000"/>
                <w:sz w:val="18"/>
                <w:szCs w:val="18"/>
              </w:rPr>
              <w:t>Slight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F3AE87" w14:textId="77777777" w:rsidR="001C19F3" w:rsidRDefault="001C19F3" w:rsidP="00521305">
            <w:pPr>
              <w:spacing w:before="40" w:after="40"/>
              <w:ind w:left="100" w:right="100"/>
              <w:jc w:val="center"/>
            </w:pPr>
            <w:r>
              <w:rPr>
                <w:rFonts w:eastAsia="Century Gothic" w:cs="Century Gothic"/>
                <w:color w:val="000000"/>
                <w:sz w:val="18"/>
                <w:szCs w:val="18"/>
              </w:rPr>
              <w:t>474 (23.7%)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7B3322" w14:textId="77777777" w:rsidR="001C19F3" w:rsidRDefault="001C19F3" w:rsidP="00521305">
            <w:pPr>
              <w:spacing w:before="40" w:after="40"/>
              <w:ind w:left="100" w:right="100"/>
              <w:jc w:val="center"/>
            </w:pPr>
            <w:r>
              <w:rPr>
                <w:rFonts w:eastAsia="Century Gothic" w:cs="Century Gothic"/>
                <w:color w:val="000000"/>
                <w:sz w:val="18"/>
                <w:szCs w:val="18"/>
              </w:rPr>
              <w:t>100 (22.9%)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655AC6" w14:textId="77777777" w:rsidR="001C19F3" w:rsidRDefault="001C19F3" w:rsidP="00521305">
            <w:pPr>
              <w:spacing w:before="40" w:after="40"/>
              <w:ind w:left="100" w:right="100"/>
              <w:jc w:val="center"/>
            </w:pPr>
            <w:r>
              <w:rPr>
                <w:rFonts w:eastAsia="Century Gothic" w:cs="Century Gothic"/>
                <w:color w:val="000000"/>
                <w:sz w:val="18"/>
                <w:szCs w:val="18"/>
              </w:rPr>
              <w:t>251 (24.4%)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5812FB" w14:textId="77777777" w:rsidR="001C19F3" w:rsidRDefault="001C19F3" w:rsidP="00521305">
            <w:pPr>
              <w:spacing w:before="40" w:after="40"/>
              <w:ind w:left="100" w:right="100"/>
              <w:jc w:val="center"/>
            </w:pPr>
            <w:r>
              <w:rPr>
                <w:rFonts w:eastAsia="Century Gothic" w:cs="Century Gothic"/>
                <w:color w:val="000000"/>
                <w:sz w:val="18"/>
                <w:szCs w:val="18"/>
              </w:rPr>
              <w:t>106 (22.9%)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0DCF1B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32AF3C" w14:textId="77777777" w:rsidR="001C19F3" w:rsidRDefault="001C19F3" w:rsidP="00521305">
            <w:pPr>
              <w:spacing w:before="40" w:after="40"/>
              <w:ind w:left="100" w:right="100"/>
              <w:jc w:val="center"/>
            </w:pPr>
            <w:r>
              <w:rPr>
                <w:rFonts w:eastAsia="Century Gothic" w:cs="Century Gothic"/>
                <w:color w:val="000000"/>
                <w:sz w:val="18"/>
                <w:szCs w:val="18"/>
              </w:rPr>
              <w:t>283 (23.6%)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966E3" w14:textId="77777777" w:rsidR="001C19F3" w:rsidRDefault="001C19F3" w:rsidP="00521305">
            <w:pPr>
              <w:spacing w:before="40" w:after="40"/>
              <w:ind w:left="100" w:right="100"/>
              <w:jc w:val="center"/>
            </w:pPr>
            <w:r>
              <w:rPr>
                <w:rFonts w:eastAsia="Century Gothic" w:cs="Century Gothic"/>
                <w:color w:val="000000"/>
                <w:sz w:val="18"/>
                <w:szCs w:val="18"/>
              </w:rPr>
              <w:t>191 (23.9%)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26D075A" w14:textId="77777777" w:rsidR="001C19F3" w:rsidRDefault="001C19F3" w:rsidP="00521305">
            <w:pPr>
              <w:spacing w:after="0"/>
              <w:rPr>
                <w:sz w:val="22"/>
              </w:rPr>
            </w:pPr>
          </w:p>
        </w:tc>
      </w:tr>
      <w:tr w:rsidR="001C19F3" w14:paraId="60A6F67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4CFEB8" w14:textId="77777777" w:rsidR="001C19F3" w:rsidRDefault="001C19F3" w:rsidP="00521305">
            <w:pPr>
              <w:spacing w:before="40" w:after="40"/>
              <w:ind w:left="160" w:right="100"/>
            </w:pPr>
            <w:r>
              <w:rPr>
                <w:rFonts w:eastAsia="Century Gothic" w:cs="Century Gothic"/>
                <w:color w:val="000000"/>
                <w:sz w:val="18"/>
                <w:szCs w:val="18"/>
              </w:rPr>
              <w:t>Moderate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D4C232" w14:textId="77777777" w:rsidR="001C19F3" w:rsidRDefault="001C19F3" w:rsidP="00521305">
            <w:pPr>
              <w:spacing w:before="40" w:after="40"/>
              <w:ind w:left="100" w:right="100"/>
              <w:jc w:val="center"/>
            </w:pPr>
            <w:r>
              <w:rPr>
                <w:rFonts w:eastAsia="Century Gothic" w:cs="Century Gothic"/>
                <w:color w:val="000000"/>
                <w:sz w:val="18"/>
                <w:szCs w:val="18"/>
              </w:rPr>
              <w:t>467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2ABAA1" w14:textId="77777777" w:rsidR="001C19F3" w:rsidRDefault="001C19F3" w:rsidP="00521305">
            <w:pPr>
              <w:spacing w:before="40" w:after="40"/>
              <w:ind w:left="100" w:right="100"/>
              <w:jc w:val="center"/>
            </w:pPr>
            <w:r>
              <w:rPr>
                <w:rFonts w:eastAsia="Century Gothic" w:cs="Century Gothic"/>
                <w:color w:val="000000"/>
                <w:sz w:val="18"/>
                <w:szCs w:val="18"/>
              </w:rPr>
              <w:t>72 (16.5%)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466A62" w14:textId="77777777" w:rsidR="001C19F3" w:rsidRDefault="001C19F3" w:rsidP="00521305">
            <w:pPr>
              <w:spacing w:before="40" w:after="40"/>
              <w:ind w:left="100" w:right="100"/>
              <w:jc w:val="center"/>
            </w:pPr>
            <w:r>
              <w:rPr>
                <w:rFonts w:eastAsia="Century Gothic" w:cs="Century Gothic"/>
                <w:color w:val="000000"/>
                <w:sz w:val="18"/>
                <w:szCs w:val="18"/>
              </w:rPr>
              <w:t>248 (24.1%)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C1EC6" w14:textId="77777777" w:rsidR="001C19F3" w:rsidRDefault="001C19F3" w:rsidP="00521305">
            <w:pPr>
              <w:spacing w:before="40" w:after="40"/>
              <w:ind w:left="100" w:right="100"/>
              <w:jc w:val="center"/>
            </w:pPr>
            <w:r>
              <w:rPr>
                <w:rFonts w:eastAsia="Century Gothic" w:cs="Century Gothic"/>
                <w:color w:val="000000"/>
                <w:sz w:val="18"/>
                <w:szCs w:val="18"/>
              </w:rPr>
              <w:t>126 (27.2%)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6E55E5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1AD63" w14:textId="77777777" w:rsidR="001C19F3" w:rsidRDefault="001C19F3" w:rsidP="00521305">
            <w:pPr>
              <w:spacing w:before="40" w:after="40"/>
              <w:ind w:left="100" w:right="100"/>
              <w:jc w:val="center"/>
            </w:pPr>
            <w:r>
              <w:rPr>
                <w:rFonts w:eastAsia="Century Gothic" w:cs="Century Gothic"/>
                <w:color w:val="000000"/>
                <w:sz w:val="18"/>
                <w:szCs w:val="18"/>
              </w:rPr>
              <w:t>299 (25.0%)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45911E" w14:textId="77777777" w:rsidR="001C19F3" w:rsidRDefault="001C19F3" w:rsidP="00521305">
            <w:pPr>
              <w:spacing w:before="40" w:after="40"/>
              <w:ind w:left="100" w:right="100"/>
              <w:jc w:val="center"/>
            </w:pPr>
            <w:r>
              <w:rPr>
                <w:rFonts w:eastAsia="Century Gothic" w:cs="Century Gothic"/>
                <w:color w:val="000000"/>
                <w:sz w:val="18"/>
                <w:szCs w:val="18"/>
              </w:rPr>
              <w:t>168 (21.0%)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5DD2A28" w14:textId="77777777" w:rsidR="001C19F3" w:rsidRDefault="001C19F3" w:rsidP="00521305">
            <w:pPr>
              <w:spacing w:after="0"/>
              <w:rPr>
                <w:sz w:val="22"/>
              </w:rPr>
            </w:pPr>
          </w:p>
        </w:tc>
      </w:tr>
      <w:tr w:rsidR="001C19F3" w14:paraId="2719DC8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4A9E23" w14:textId="77777777" w:rsidR="001C19F3" w:rsidRDefault="001C19F3" w:rsidP="00521305">
            <w:pPr>
              <w:spacing w:before="40" w:after="40"/>
              <w:ind w:left="160" w:right="100"/>
            </w:pPr>
            <w:r>
              <w:rPr>
                <w:rFonts w:eastAsia="Century Gothic" w:cs="Century Gothic"/>
                <w:color w:val="000000"/>
                <w:sz w:val="18"/>
                <w:szCs w:val="18"/>
              </w:rPr>
              <w:t>Severe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A142D6" w14:textId="77777777" w:rsidR="001C19F3" w:rsidRDefault="001C19F3" w:rsidP="00521305">
            <w:pPr>
              <w:spacing w:before="40" w:after="40"/>
              <w:ind w:left="100" w:right="100"/>
              <w:jc w:val="center"/>
            </w:pPr>
            <w:r>
              <w:rPr>
                <w:rFonts w:eastAsia="Century Gothic" w:cs="Century Gothic"/>
                <w:color w:val="000000"/>
                <w:sz w:val="18"/>
                <w:szCs w:val="18"/>
              </w:rPr>
              <w:t>177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8DE655" w14:textId="77777777" w:rsidR="001C19F3" w:rsidRDefault="001C19F3" w:rsidP="00521305">
            <w:pPr>
              <w:spacing w:before="40" w:after="40"/>
              <w:ind w:left="100" w:right="100"/>
              <w:jc w:val="center"/>
            </w:pPr>
            <w:r>
              <w:rPr>
                <w:rFonts w:eastAsia="Century Gothic" w:cs="Century Gothic"/>
                <w:color w:val="000000"/>
                <w:sz w:val="18"/>
                <w:szCs w:val="18"/>
              </w:rPr>
              <w:t>5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CA23E5" w14:textId="77777777" w:rsidR="001C19F3" w:rsidRDefault="001C19F3" w:rsidP="00521305">
            <w:pPr>
              <w:spacing w:before="40" w:after="40"/>
              <w:ind w:left="100" w:right="100"/>
              <w:jc w:val="center"/>
            </w:pPr>
            <w:r>
              <w:rPr>
                <w:rFonts w:eastAsia="Century Gothic" w:cs="Century Gothic"/>
                <w:color w:val="000000"/>
                <w:sz w:val="18"/>
                <w:szCs w:val="18"/>
              </w:rPr>
              <w:t>80 (7.8%)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CFD9F1" w14:textId="77777777" w:rsidR="001C19F3" w:rsidRDefault="001C19F3" w:rsidP="00521305">
            <w:pPr>
              <w:spacing w:before="40" w:after="40"/>
              <w:ind w:left="100" w:right="100"/>
              <w:jc w:val="center"/>
            </w:pPr>
            <w:r>
              <w:rPr>
                <w:rFonts w:eastAsia="Century Gothic" w:cs="Century Gothic"/>
                <w:color w:val="000000"/>
                <w:sz w:val="18"/>
                <w:szCs w:val="18"/>
              </w:rPr>
              <w:t>88 (19.0%)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1E8AC8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040F7" w14:textId="77777777" w:rsidR="001C19F3" w:rsidRDefault="001C19F3" w:rsidP="00521305">
            <w:pPr>
              <w:spacing w:before="40" w:after="40"/>
              <w:ind w:left="100" w:right="100"/>
              <w:jc w:val="center"/>
            </w:pPr>
            <w:r>
              <w:rPr>
                <w:rFonts w:eastAsia="Century Gothic" w:cs="Century Gothic"/>
                <w:color w:val="000000"/>
                <w:sz w:val="18"/>
                <w:szCs w:val="18"/>
              </w:rPr>
              <w:t>112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90FDC" w14:textId="77777777" w:rsidR="001C19F3" w:rsidRDefault="001C19F3" w:rsidP="00521305">
            <w:pPr>
              <w:spacing w:before="40" w:after="40"/>
              <w:ind w:left="100" w:right="100"/>
              <w:jc w:val="center"/>
            </w:pPr>
            <w:r>
              <w:rPr>
                <w:rFonts w:eastAsia="Century Gothic" w:cs="Century Gothic"/>
                <w:color w:val="000000"/>
                <w:sz w:val="18"/>
                <w:szCs w:val="18"/>
              </w:rPr>
              <w:t>65 (8.1%)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C223360" w14:textId="77777777" w:rsidR="001C19F3" w:rsidRDefault="001C19F3" w:rsidP="00521305">
            <w:pPr>
              <w:spacing w:after="0"/>
              <w:rPr>
                <w:sz w:val="22"/>
              </w:rPr>
            </w:pPr>
          </w:p>
        </w:tc>
      </w:tr>
      <w:tr w:rsidR="001C19F3" w14:paraId="16A8324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2D8A59" w14:textId="77777777" w:rsidR="001C19F3" w:rsidRDefault="001C19F3" w:rsidP="00521305">
            <w:pPr>
              <w:spacing w:before="40" w:after="40"/>
              <w:ind w:left="160" w:right="100"/>
            </w:pPr>
            <w:r>
              <w:rPr>
                <w:rFonts w:eastAsia="Century Gothic" w:cs="Century Gothic"/>
                <w:color w:val="000000"/>
                <w:sz w:val="18"/>
                <w:szCs w:val="18"/>
              </w:rPr>
              <w:t>Unable to walk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213C5E" w14:textId="77777777" w:rsidR="001C19F3" w:rsidRDefault="001C19F3" w:rsidP="00521305">
            <w:pPr>
              <w:spacing w:before="40" w:after="40"/>
              <w:ind w:left="100" w:right="100"/>
              <w:jc w:val="center"/>
            </w:pPr>
            <w:r>
              <w:rPr>
                <w:rFonts w:eastAsia="Century Gothic" w:cs="Century Gothic"/>
                <w:color w:val="000000"/>
                <w:sz w:val="18"/>
                <w:szCs w:val="18"/>
              </w:rPr>
              <w:t>39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15B94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22F3C" w14:textId="77777777" w:rsidR="001C19F3" w:rsidRDefault="001C19F3" w:rsidP="00521305">
            <w:pPr>
              <w:spacing w:before="40" w:after="40"/>
              <w:ind w:left="100" w:right="100"/>
              <w:jc w:val="center"/>
            </w:pPr>
            <w:r>
              <w:rPr>
                <w:rFonts w:eastAsia="Century Gothic" w:cs="Century Gothic"/>
                <w:color w:val="000000"/>
                <w:sz w:val="18"/>
                <w:szCs w:val="18"/>
              </w:rPr>
              <w:t>7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8B0B75" w14:textId="77777777" w:rsidR="001C19F3" w:rsidRDefault="001C19F3" w:rsidP="00521305">
            <w:pPr>
              <w:spacing w:before="40" w:after="40"/>
              <w:ind w:left="100" w:right="100"/>
              <w:jc w:val="center"/>
            </w:pPr>
            <w:r>
              <w:rPr>
                <w:rFonts w:eastAsia="Century Gothic" w:cs="Century Gothic"/>
                <w:color w:val="000000"/>
                <w:sz w:val="18"/>
                <w:szCs w:val="18"/>
              </w:rPr>
              <w:t>27 (5.8%)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243485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3A29D6" w14:textId="77777777" w:rsidR="001C19F3" w:rsidRDefault="001C19F3" w:rsidP="00521305">
            <w:pPr>
              <w:spacing w:before="40" w:after="40"/>
              <w:ind w:left="100" w:right="100"/>
              <w:jc w:val="center"/>
            </w:pPr>
            <w:r>
              <w:rPr>
                <w:rFonts w:eastAsia="Century Gothic" w:cs="Century Gothic"/>
                <w:color w:val="000000"/>
                <w:sz w:val="18"/>
                <w:szCs w:val="18"/>
              </w:rPr>
              <w:t>26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63CB7C" w14:textId="77777777" w:rsidR="001C19F3" w:rsidRDefault="001C19F3" w:rsidP="00521305">
            <w:pPr>
              <w:spacing w:before="40" w:after="40"/>
              <w:ind w:left="100" w:right="100"/>
              <w:jc w:val="center"/>
            </w:pPr>
            <w:r>
              <w:rPr>
                <w:rFonts w:eastAsia="Century Gothic" w:cs="Century Gothic"/>
                <w:color w:val="000000"/>
                <w:sz w:val="18"/>
                <w:szCs w:val="18"/>
              </w:rPr>
              <w:t>13 (1.6%)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3823E98" w14:textId="77777777" w:rsidR="001C19F3" w:rsidRDefault="001C19F3" w:rsidP="00521305">
            <w:pPr>
              <w:spacing w:after="0"/>
              <w:rPr>
                <w:sz w:val="22"/>
              </w:rPr>
            </w:pPr>
          </w:p>
        </w:tc>
      </w:tr>
      <w:tr w:rsidR="001C19F3" w14:paraId="5124564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9E68B9" w14:textId="77777777" w:rsidR="001C19F3" w:rsidRDefault="001C19F3" w:rsidP="00521305">
            <w:pPr>
              <w:spacing w:before="40" w:after="40"/>
              <w:ind w:left="100" w:right="100"/>
            </w:pPr>
            <w:r>
              <w:rPr>
                <w:rFonts w:eastAsia="Century Gothic" w:cs="Century Gothic"/>
                <w:b/>
                <w:color w:val="000000"/>
                <w:sz w:val="18"/>
                <w:szCs w:val="18"/>
              </w:rPr>
              <w:t>F16 Self-care today (Q27)</w:t>
            </w:r>
          </w:p>
        </w:tc>
      </w:tr>
      <w:tr w:rsidR="001C19F3" w14:paraId="46B9437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DB54E" w14:textId="77777777" w:rsidR="001C19F3" w:rsidRDefault="001C19F3" w:rsidP="00521305">
            <w:pPr>
              <w:spacing w:before="40" w:after="40"/>
              <w:ind w:left="160" w:right="100"/>
            </w:pPr>
            <w:r>
              <w:rPr>
                <w:rFonts w:eastAsia="Century Gothic" w:cs="Century Gothic"/>
                <w:color w:val="000000"/>
                <w:sz w:val="18"/>
                <w:szCs w:val="18"/>
              </w:rPr>
              <w:t>No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16C4A" w14:textId="77777777" w:rsidR="001C19F3" w:rsidRDefault="001C19F3" w:rsidP="00521305">
            <w:pPr>
              <w:spacing w:before="40" w:after="40"/>
              <w:ind w:left="100" w:right="100"/>
              <w:jc w:val="center"/>
            </w:pPr>
            <w:r>
              <w:rPr>
                <w:rFonts w:eastAsia="Century Gothic" w:cs="Century Gothic"/>
                <w:color w:val="000000"/>
                <w:sz w:val="18"/>
                <w:szCs w:val="18"/>
              </w:rPr>
              <w:t>1,637 (81.4%)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D455EF" w14:textId="77777777" w:rsidR="001C19F3" w:rsidRDefault="001C19F3" w:rsidP="00521305">
            <w:pPr>
              <w:spacing w:before="40" w:after="40"/>
              <w:ind w:left="100" w:right="100"/>
              <w:jc w:val="center"/>
            </w:pPr>
            <w:r>
              <w:rPr>
                <w:rFonts w:eastAsia="Century Gothic" w:cs="Century Gothic"/>
                <w:color w:val="000000"/>
                <w:sz w:val="18"/>
                <w:szCs w:val="18"/>
              </w:rPr>
              <w:t>407 (92.1%)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17FD3" w14:textId="77777777" w:rsidR="001C19F3" w:rsidRDefault="001C19F3" w:rsidP="00521305">
            <w:pPr>
              <w:spacing w:before="40" w:after="40"/>
              <w:ind w:left="100" w:right="100"/>
              <w:jc w:val="center"/>
            </w:pPr>
            <w:r>
              <w:rPr>
                <w:rFonts w:eastAsia="Century Gothic" w:cs="Century Gothic"/>
                <w:color w:val="000000"/>
                <w:sz w:val="18"/>
                <w:szCs w:val="18"/>
              </w:rPr>
              <w:t>872 (84.6%)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C19EDC" w14:textId="77777777" w:rsidR="001C19F3" w:rsidRDefault="001C19F3" w:rsidP="00521305">
            <w:pPr>
              <w:spacing w:before="40" w:after="40"/>
              <w:ind w:left="100" w:right="100"/>
              <w:jc w:val="center"/>
            </w:pPr>
            <w:r>
              <w:rPr>
                <w:rFonts w:eastAsia="Century Gothic" w:cs="Century Gothic"/>
                <w:color w:val="000000"/>
                <w:sz w:val="18"/>
                <w:szCs w:val="18"/>
              </w:rPr>
              <w:t>308 (66.0%)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85CA1"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645F5" w14:textId="77777777" w:rsidR="001C19F3" w:rsidRDefault="001C19F3" w:rsidP="00521305">
            <w:pPr>
              <w:spacing w:before="40" w:after="40"/>
              <w:ind w:left="100" w:right="100"/>
              <w:jc w:val="center"/>
            </w:pPr>
            <w:r>
              <w:rPr>
                <w:rFonts w:eastAsia="Century Gothic" w:cs="Century Gothic"/>
                <w:color w:val="000000"/>
                <w:sz w:val="18"/>
                <w:szCs w:val="18"/>
              </w:rPr>
              <w:t>961 (80.0%)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B6AE0E" w14:textId="77777777" w:rsidR="001C19F3" w:rsidRDefault="001C19F3" w:rsidP="00521305">
            <w:pPr>
              <w:spacing w:before="40" w:after="40"/>
              <w:ind w:left="100" w:right="100"/>
              <w:jc w:val="center"/>
            </w:pPr>
            <w:r>
              <w:rPr>
                <w:rFonts w:eastAsia="Century Gothic" w:cs="Century Gothic"/>
                <w:color w:val="000000"/>
                <w:sz w:val="18"/>
                <w:szCs w:val="18"/>
              </w:rPr>
              <w:t>676 (83.6%)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403835" w14:textId="77777777" w:rsidR="001C19F3" w:rsidRDefault="001C19F3" w:rsidP="00521305">
            <w:pPr>
              <w:spacing w:before="40" w:after="40"/>
              <w:ind w:left="100" w:right="100"/>
              <w:jc w:val="right"/>
            </w:pPr>
            <w:r>
              <w:rPr>
                <w:rFonts w:eastAsia="Century Gothic" w:cs="Century Gothic"/>
                <w:color w:val="000000"/>
                <w:sz w:val="18"/>
                <w:szCs w:val="18"/>
              </w:rPr>
              <w:t>0.239</w:t>
            </w:r>
          </w:p>
        </w:tc>
      </w:tr>
      <w:tr w:rsidR="001C19F3" w14:paraId="6A3D173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5DE999" w14:textId="77777777" w:rsidR="001C19F3" w:rsidRDefault="001C19F3" w:rsidP="00521305">
            <w:pPr>
              <w:spacing w:before="40" w:after="40"/>
              <w:ind w:left="160" w:right="100"/>
            </w:pPr>
            <w:r>
              <w:rPr>
                <w:rFonts w:eastAsia="Century Gothic" w:cs="Century Gothic"/>
                <w:color w:val="000000"/>
                <w:sz w:val="18"/>
                <w:szCs w:val="18"/>
              </w:rPr>
              <w:t>Slight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D7635B" w14:textId="77777777" w:rsidR="001C19F3" w:rsidRDefault="001C19F3" w:rsidP="00521305">
            <w:pPr>
              <w:spacing w:before="40" w:after="40"/>
              <w:ind w:left="100" w:right="100"/>
              <w:jc w:val="center"/>
            </w:pPr>
            <w:r>
              <w:rPr>
                <w:rFonts w:eastAsia="Century Gothic" w:cs="Century Gothic"/>
                <w:color w:val="000000"/>
                <w:sz w:val="18"/>
                <w:szCs w:val="18"/>
              </w:rPr>
              <w:t>182 (9.1%)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0B6C8D" w14:textId="77777777" w:rsidR="001C19F3" w:rsidRDefault="001C19F3" w:rsidP="00521305">
            <w:pPr>
              <w:spacing w:before="40" w:after="40"/>
              <w:ind w:left="100" w:right="100"/>
              <w:jc w:val="center"/>
            </w:pPr>
            <w:r>
              <w:rPr>
                <w:rFonts w:eastAsia="Century Gothic" w:cs="Century Gothic"/>
                <w:color w:val="000000"/>
                <w:sz w:val="18"/>
                <w:szCs w:val="18"/>
              </w:rPr>
              <w:t>21 (4.8%)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505CE7" w14:textId="77777777" w:rsidR="001C19F3" w:rsidRDefault="001C19F3" w:rsidP="00521305">
            <w:pPr>
              <w:spacing w:before="40" w:after="40"/>
              <w:ind w:left="100" w:right="100"/>
              <w:jc w:val="center"/>
            </w:pPr>
            <w:r>
              <w:rPr>
                <w:rFonts w:eastAsia="Century Gothic" w:cs="Century Gothic"/>
                <w:color w:val="000000"/>
                <w:sz w:val="18"/>
                <w:szCs w:val="18"/>
              </w:rPr>
              <w:t>84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8D12C" w14:textId="77777777" w:rsidR="001C19F3" w:rsidRDefault="001C19F3" w:rsidP="00521305">
            <w:pPr>
              <w:spacing w:before="40" w:after="40"/>
              <w:ind w:left="100" w:right="100"/>
              <w:jc w:val="center"/>
            </w:pPr>
            <w:r>
              <w:rPr>
                <w:rFonts w:eastAsia="Century Gothic" w:cs="Century Gothic"/>
                <w:color w:val="000000"/>
                <w:sz w:val="18"/>
                <w:szCs w:val="18"/>
              </w:rPr>
              <w:t>68 (14.6%)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74D7B3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7D0575" w14:textId="77777777" w:rsidR="001C19F3" w:rsidRDefault="001C19F3" w:rsidP="00521305">
            <w:pPr>
              <w:spacing w:before="40" w:after="40"/>
              <w:ind w:left="100" w:right="100"/>
              <w:jc w:val="center"/>
            </w:pPr>
            <w:r>
              <w:rPr>
                <w:rFonts w:eastAsia="Century Gothic" w:cs="Century Gothic"/>
                <w:color w:val="000000"/>
                <w:sz w:val="18"/>
                <w:szCs w:val="18"/>
              </w:rPr>
              <w:t>119 (9.9%)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474BD9" w14:textId="77777777" w:rsidR="001C19F3" w:rsidRDefault="001C19F3" w:rsidP="00521305">
            <w:pPr>
              <w:spacing w:before="40" w:after="40"/>
              <w:ind w:left="100" w:right="100"/>
              <w:jc w:val="center"/>
            </w:pPr>
            <w:r>
              <w:rPr>
                <w:rFonts w:eastAsia="Century Gothic" w:cs="Century Gothic"/>
                <w:color w:val="000000"/>
                <w:sz w:val="18"/>
                <w:szCs w:val="18"/>
              </w:rPr>
              <w:t>63 (7.8%)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7357E5A" w14:textId="77777777" w:rsidR="001C19F3" w:rsidRDefault="001C19F3" w:rsidP="00521305">
            <w:pPr>
              <w:spacing w:after="0"/>
              <w:rPr>
                <w:sz w:val="22"/>
              </w:rPr>
            </w:pPr>
          </w:p>
        </w:tc>
      </w:tr>
      <w:tr w:rsidR="001C19F3" w14:paraId="72E45A9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B06EA0" w14:textId="77777777" w:rsidR="001C19F3" w:rsidRDefault="001C19F3" w:rsidP="00521305">
            <w:pPr>
              <w:spacing w:before="40" w:after="40"/>
              <w:ind w:left="160" w:right="100"/>
            </w:pPr>
            <w:r>
              <w:rPr>
                <w:rFonts w:eastAsia="Century Gothic" w:cs="Century Gothic"/>
                <w:color w:val="000000"/>
                <w:sz w:val="18"/>
                <w:szCs w:val="18"/>
              </w:rPr>
              <w:t>Moderate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90BB34" w14:textId="77777777" w:rsidR="001C19F3" w:rsidRDefault="001C19F3" w:rsidP="00521305">
            <w:pPr>
              <w:spacing w:before="40" w:after="40"/>
              <w:ind w:left="100" w:right="100"/>
              <w:jc w:val="center"/>
            </w:pPr>
            <w:r>
              <w:rPr>
                <w:rFonts w:eastAsia="Century Gothic" w:cs="Century Gothic"/>
                <w:color w:val="000000"/>
                <w:sz w:val="18"/>
                <w:szCs w:val="18"/>
              </w:rPr>
              <w:t>138 (6.9%)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6A93E2" w14:textId="77777777" w:rsidR="001C19F3" w:rsidRDefault="001C19F3" w:rsidP="00521305">
            <w:pPr>
              <w:spacing w:before="40" w:after="40"/>
              <w:ind w:left="100" w:right="100"/>
              <w:jc w:val="center"/>
            </w:pPr>
            <w:r>
              <w:rPr>
                <w:rFonts w:eastAsia="Century Gothic" w:cs="Century Gothic"/>
                <w:color w:val="000000"/>
                <w:sz w:val="18"/>
                <w:szCs w:val="18"/>
              </w:rPr>
              <w:t>14 (3.2%)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B7FE59" w14:textId="77777777" w:rsidR="001C19F3" w:rsidRDefault="001C19F3" w:rsidP="00521305">
            <w:pPr>
              <w:spacing w:before="40" w:after="40"/>
              <w:ind w:left="100" w:right="100"/>
              <w:jc w:val="center"/>
            </w:pPr>
            <w:r>
              <w:rPr>
                <w:rFonts w:eastAsia="Century Gothic" w:cs="Century Gothic"/>
                <w:color w:val="000000"/>
                <w:sz w:val="18"/>
                <w:szCs w:val="18"/>
              </w:rPr>
              <w:t>65 (6.3%)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A56D7B" w14:textId="77777777" w:rsidR="001C19F3" w:rsidRDefault="001C19F3" w:rsidP="00521305">
            <w:pPr>
              <w:spacing w:before="40" w:after="40"/>
              <w:ind w:left="100" w:right="100"/>
              <w:jc w:val="center"/>
            </w:pPr>
            <w:r>
              <w:rPr>
                <w:rFonts w:eastAsia="Century Gothic" w:cs="Century Gothic"/>
                <w:color w:val="000000"/>
                <w:sz w:val="18"/>
                <w:szCs w:val="18"/>
              </w:rPr>
              <w:t>52 (11.1%)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65D6A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E8D61A" w14:textId="77777777" w:rsidR="001C19F3" w:rsidRDefault="001C19F3" w:rsidP="00521305">
            <w:pPr>
              <w:spacing w:before="40" w:after="40"/>
              <w:ind w:left="100" w:right="100"/>
              <w:jc w:val="center"/>
            </w:pPr>
            <w:r>
              <w:rPr>
                <w:rFonts w:eastAsia="Century Gothic" w:cs="Century Gothic"/>
                <w:color w:val="000000"/>
                <w:sz w:val="18"/>
                <w:szCs w:val="18"/>
              </w:rPr>
              <w:t>87 (7.2%)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6A92F1" w14:textId="77777777" w:rsidR="001C19F3" w:rsidRDefault="001C19F3" w:rsidP="00521305">
            <w:pPr>
              <w:spacing w:before="40" w:after="40"/>
              <w:ind w:left="100" w:right="100"/>
              <w:jc w:val="center"/>
            </w:pPr>
            <w:r>
              <w:rPr>
                <w:rFonts w:eastAsia="Century Gothic" w:cs="Century Gothic"/>
                <w:color w:val="000000"/>
                <w:sz w:val="18"/>
                <w:szCs w:val="18"/>
              </w:rPr>
              <w:t>51 (6.3%)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693E5D2" w14:textId="77777777" w:rsidR="001C19F3" w:rsidRDefault="001C19F3" w:rsidP="00521305">
            <w:pPr>
              <w:spacing w:after="0"/>
              <w:rPr>
                <w:sz w:val="22"/>
              </w:rPr>
            </w:pPr>
          </w:p>
        </w:tc>
      </w:tr>
      <w:tr w:rsidR="001C19F3" w14:paraId="184733D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7440A0" w14:textId="77777777" w:rsidR="001C19F3" w:rsidRDefault="001C19F3" w:rsidP="00521305">
            <w:pPr>
              <w:spacing w:before="40" w:after="40"/>
              <w:ind w:left="160" w:right="100"/>
            </w:pPr>
            <w:r>
              <w:rPr>
                <w:rFonts w:eastAsia="Century Gothic" w:cs="Century Gothic"/>
                <w:color w:val="000000"/>
                <w:sz w:val="18"/>
                <w:szCs w:val="18"/>
              </w:rPr>
              <w:t>Severe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E01803"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05F56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4EAE7" w14:textId="77777777" w:rsidR="001C19F3" w:rsidRDefault="001C19F3" w:rsidP="00521305">
            <w:pPr>
              <w:spacing w:before="40" w:after="40"/>
              <w:ind w:left="100" w:right="100"/>
              <w:jc w:val="center"/>
            </w:pPr>
            <w:r>
              <w:rPr>
                <w:rFonts w:eastAsia="Century Gothic" w:cs="Century Gothic"/>
                <w:color w:val="000000"/>
                <w:sz w:val="18"/>
                <w:szCs w:val="18"/>
              </w:rPr>
              <w:t>10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D48261" w14:textId="77777777" w:rsidR="001C19F3" w:rsidRDefault="001C19F3" w:rsidP="00521305">
            <w:pPr>
              <w:spacing w:before="40" w:after="40"/>
              <w:ind w:left="100" w:right="100"/>
              <w:jc w:val="center"/>
            </w:pPr>
            <w:r>
              <w:rPr>
                <w:rFonts w:eastAsia="Century Gothic" w:cs="Century Gothic"/>
                <w:color w:val="000000"/>
                <w:sz w:val="18"/>
                <w:szCs w:val="18"/>
              </w:rPr>
              <w:t>16 (3.4%)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69A6A4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EBF19F" w14:textId="77777777" w:rsidR="001C19F3" w:rsidRDefault="001C19F3" w:rsidP="00521305">
            <w:pPr>
              <w:spacing w:before="40" w:after="40"/>
              <w:ind w:left="100" w:right="100"/>
              <w:jc w:val="center"/>
            </w:pPr>
            <w:r>
              <w:rPr>
                <w:rFonts w:eastAsia="Century Gothic" w:cs="Century Gothic"/>
                <w:color w:val="000000"/>
                <w:sz w:val="18"/>
                <w:szCs w:val="18"/>
              </w:rPr>
              <w:t>20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A133B6" w14:textId="77777777" w:rsidR="001C19F3" w:rsidRDefault="001C19F3" w:rsidP="00521305">
            <w:pPr>
              <w:spacing w:before="40" w:after="40"/>
              <w:ind w:left="100" w:right="100"/>
              <w:jc w:val="center"/>
            </w:pPr>
            <w:r>
              <w:rPr>
                <w:rFonts w:eastAsia="Century Gothic" w:cs="Century Gothic"/>
                <w:color w:val="000000"/>
                <w:sz w:val="18"/>
                <w:szCs w:val="18"/>
              </w:rPr>
              <w:t>8 (1.0%)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D498384" w14:textId="77777777" w:rsidR="001C19F3" w:rsidRDefault="001C19F3" w:rsidP="00521305">
            <w:pPr>
              <w:spacing w:after="0"/>
              <w:rPr>
                <w:sz w:val="22"/>
              </w:rPr>
            </w:pPr>
          </w:p>
        </w:tc>
      </w:tr>
      <w:tr w:rsidR="001C19F3" w14:paraId="6617329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9CDDF3" w14:textId="77777777" w:rsidR="001C19F3" w:rsidRDefault="001C19F3" w:rsidP="00521305">
            <w:pPr>
              <w:spacing w:before="40" w:after="40"/>
              <w:ind w:left="160" w:right="100"/>
            </w:pPr>
            <w:r>
              <w:rPr>
                <w:rFonts w:eastAsia="Century Gothic" w:cs="Century Gothic"/>
                <w:color w:val="000000"/>
                <w:sz w:val="18"/>
                <w:szCs w:val="18"/>
              </w:rPr>
              <w:t>Unable to wash or dress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FBB67A" w14:textId="77777777" w:rsidR="001C19F3" w:rsidRDefault="001C19F3" w:rsidP="00521305">
            <w:pPr>
              <w:spacing w:before="40" w:after="40"/>
              <w:ind w:left="100" w:right="100"/>
              <w:jc w:val="center"/>
            </w:pPr>
            <w:r>
              <w:rPr>
                <w:rFonts w:eastAsia="Century Gothic" w:cs="Century Gothic"/>
                <w:color w:val="000000"/>
                <w:sz w:val="18"/>
                <w:szCs w:val="18"/>
              </w:rPr>
              <w:t>25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94424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BEB2F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E3C728" w14:textId="77777777" w:rsidR="001C19F3" w:rsidRDefault="001C19F3" w:rsidP="00521305">
            <w:pPr>
              <w:spacing w:before="40" w:after="40"/>
              <w:ind w:left="100" w:right="100"/>
              <w:jc w:val="center"/>
            </w:pPr>
            <w:r>
              <w:rPr>
                <w:rFonts w:eastAsia="Century Gothic" w:cs="Century Gothic"/>
                <w:color w:val="000000"/>
                <w:sz w:val="18"/>
                <w:szCs w:val="18"/>
              </w:rPr>
              <w:t>23 (4.9%)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65C09E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F47128" w14:textId="77777777" w:rsidR="001C19F3" w:rsidRDefault="001C19F3" w:rsidP="00521305">
            <w:pPr>
              <w:spacing w:before="40" w:after="40"/>
              <w:ind w:left="100" w:right="100"/>
              <w:jc w:val="center"/>
            </w:pPr>
            <w:r>
              <w:rPr>
                <w:rFonts w:eastAsia="Century Gothic" w:cs="Century Gothic"/>
                <w:color w:val="000000"/>
                <w:sz w:val="18"/>
                <w:szCs w:val="18"/>
              </w:rPr>
              <w:t>14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5D2CB" w14:textId="77777777" w:rsidR="001C19F3" w:rsidRDefault="001C19F3" w:rsidP="00521305">
            <w:pPr>
              <w:spacing w:before="40" w:after="40"/>
              <w:ind w:left="100" w:right="100"/>
              <w:jc w:val="center"/>
            </w:pPr>
            <w:r>
              <w:rPr>
                <w:rFonts w:eastAsia="Century Gothic" w:cs="Century Gothic"/>
                <w:color w:val="000000"/>
                <w:sz w:val="18"/>
                <w:szCs w:val="18"/>
              </w:rPr>
              <w:t>11 (1.4%)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B945F41" w14:textId="77777777" w:rsidR="001C19F3" w:rsidRDefault="001C19F3" w:rsidP="00521305">
            <w:pPr>
              <w:spacing w:after="0"/>
              <w:rPr>
                <w:sz w:val="22"/>
              </w:rPr>
            </w:pPr>
          </w:p>
        </w:tc>
      </w:tr>
      <w:tr w:rsidR="001C19F3" w14:paraId="419D26B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C3C2C" w14:textId="77777777" w:rsidR="001C19F3" w:rsidRDefault="001C19F3" w:rsidP="00521305">
            <w:pPr>
              <w:spacing w:before="40" w:after="40"/>
              <w:ind w:left="100" w:right="100"/>
            </w:pPr>
            <w:r>
              <w:rPr>
                <w:rFonts w:eastAsia="Century Gothic" w:cs="Century Gothic"/>
                <w:b/>
                <w:color w:val="000000"/>
                <w:sz w:val="18"/>
                <w:szCs w:val="18"/>
              </w:rPr>
              <w:t>F17 Usual activities today (Q27)</w:t>
            </w:r>
          </w:p>
        </w:tc>
      </w:tr>
      <w:tr w:rsidR="001C19F3" w14:paraId="6851D97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E44128" w14:textId="77777777" w:rsidR="001C19F3" w:rsidRDefault="001C19F3" w:rsidP="00521305">
            <w:pPr>
              <w:spacing w:before="40" w:after="40"/>
              <w:ind w:left="160" w:right="100"/>
            </w:pPr>
            <w:r>
              <w:rPr>
                <w:rFonts w:eastAsia="Century Gothic" w:cs="Century Gothic"/>
                <w:color w:val="000000"/>
                <w:sz w:val="18"/>
                <w:szCs w:val="18"/>
              </w:rPr>
              <w:lastRenderedPageBreak/>
              <w:t>No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A47839" w14:textId="77777777" w:rsidR="001C19F3" w:rsidRDefault="001C19F3" w:rsidP="00521305">
            <w:pPr>
              <w:spacing w:before="40" w:after="40"/>
              <w:ind w:left="100" w:right="100"/>
              <w:jc w:val="center"/>
            </w:pPr>
            <w:r>
              <w:rPr>
                <w:rFonts w:eastAsia="Century Gothic" w:cs="Century Gothic"/>
                <w:color w:val="000000"/>
                <w:sz w:val="18"/>
                <w:szCs w:val="18"/>
              </w:rPr>
              <w:t>1,042 (52.2%)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A4CA45" w14:textId="77777777" w:rsidR="001C19F3" w:rsidRDefault="001C19F3" w:rsidP="00521305">
            <w:pPr>
              <w:spacing w:before="40" w:after="40"/>
              <w:ind w:left="100" w:right="100"/>
              <w:jc w:val="center"/>
            </w:pPr>
            <w:r>
              <w:rPr>
                <w:rFonts w:eastAsia="Century Gothic" w:cs="Century Gothic"/>
                <w:color w:val="000000"/>
                <w:sz w:val="18"/>
                <w:szCs w:val="18"/>
              </w:rPr>
              <w:t>303 (69.2%)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F08F4F" w14:textId="77777777" w:rsidR="001C19F3" w:rsidRDefault="001C19F3" w:rsidP="00521305">
            <w:pPr>
              <w:spacing w:before="40" w:after="40"/>
              <w:ind w:left="100" w:right="100"/>
              <w:jc w:val="center"/>
            </w:pPr>
            <w:r>
              <w:rPr>
                <w:rFonts w:eastAsia="Century Gothic" w:cs="Century Gothic"/>
                <w:color w:val="000000"/>
                <w:sz w:val="18"/>
                <w:szCs w:val="18"/>
              </w:rPr>
              <w:t>548 (53.3%)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B6A62A" w14:textId="77777777" w:rsidR="001C19F3" w:rsidRDefault="001C19F3" w:rsidP="00521305">
            <w:pPr>
              <w:spacing w:before="40" w:after="40"/>
              <w:ind w:left="100" w:right="100"/>
              <w:jc w:val="center"/>
            </w:pPr>
            <w:r>
              <w:rPr>
                <w:rFonts w:eastAsia="Century Gothic" w:cs="Century Gothic"/>
                <w:color w:val="000000"/>
                <w:sz w:val="18"/>
                <w:szCs w:val="18"/>
              </w:rPr>
              <w:t>154 (33.5%)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115248"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8E5067" w14:textId="77777777" w:rsidR="001C19F3" w:rsidRDefault="001C19F3" w:rsidP="00521305">
            <w:pPr>
              <w:spacing w:before="40" w:after="40"/>
              <w:ind w:left="100" w:right="100"/>
              <w:jc w:val="center"/>
            </w:pPr>
            <w:r>
              <w:rPr>
                <w:rFonts w:eastAsia="Century Gothic" w:cs="Century Gothic"/>
                <w:color w:val="000000"/>
                <w:sz w:val="18"/>
                <w:szCs w:val="18"/>
              </w:rPr>
              <w:t>608 (50.9%)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AF3465" w14:textId="77777777" w:rsidR="001C19F3" w:rsidRDefault="001C19F3" w:rsidP="00521305">
            <w:pPr>
              <w:spacing w:before="40" w:after="40"/>
              <w:ind w:left="100" w:right="100"/>
              <w:jc w:val="center"/>
            </w:pPr>
            <w:r>
              <w:rPr>
                <w:rFonts w:eastAsia="Century Gothic" w:cs="Century Gothic"/>
                <w:color w:val="000000"/>
                <w:sz w:val="18"/>
                <w:szCs w:val="18"/>
              </w:rPr>
              <w:t>434 (54.2%)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79CA46" w14:textId="77777777" w:rsidR="001C19F3" w:rsidRDefault="001C19F3" w:rsidP="00521305">
            <w:pPr>
              <w:spacing w:before="40" w:after="40"/>
              <w:ind w:left="100" w:right="100"/>
              <w:jc w:val="right"/>
            </w:pPr>
            <w:r>
              <w:rPr>
                <w:rFonts w:eastAsia="Century Gothic" w:cs="Century Gothic"/>
                <w:color w:val="000000"/>
                <w:sz w:val="18"/>
                <w:szCs w:val="18"/>
              </w:rPr>
              <w:t>0.639</w:t>
            </w:r>
          </w:p>
        </w:tc>
      </w:tr>
      <w:tr w:rsidR="001C19F3" w14:paraId="0918145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116634" w14:textId="77777777" w:rsidR="001C19F3" w:rsidRDefault="001C19F3" w:rsidP="00521305">
            <w:pPr>
              <w:spacing w:before="40" w:after="40"/>
              <w:ind w:left="160" w:right="100"/>
            </w:pPr>
            <w:r>
              <w:rPr>
                <w:rFonts w:eastAsia="Century Gothic" w:cs="Century Gothic"/>
                <w:color w:val="000000"/>
                <w:sz w:val="18"/>
                <w:szCs w:val="18"/>
              </w:rPr>
              <w:t>Slight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8AB1E7" w14:textId="77777777" w:rsidR="001C19F3" w:rsidRDefault="001C19F3" w:rsidP="00521305">
            <w:pPr>
              <w:spacing w:before="40" w:after="40"/>
              <w:ind w:left="100" w:right="100"/>
              <w:jc w:val="center"/>
            </w:pPr>
            <w:r>
              <w:rPr>
                <w:rFonts w:eastAsia="Century Gothic" w:cs="Century Gothic"/>
                <w:color w:val="000000"/>
                <w:sz w:val="18"/>
                <w:szCs w:val="18"/>
              </w:rPr>
              <w:t>466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D7E308" w14:textId="77777777" w:rsidR="001C19F3" w:rsidRDefault="001C19F3" w:rsidP="00521305">
            <w:pPr>
              <w:spacing w:before="40" w:after="40"/>
              <w:ind w:left="100" w:right="100"/>
              <w:jc w:val="center"/>
            </w:pPr>
            <w:r>
              <w:rPr>
                <w:rFonts w:eastAsia="Century Gothic" w:cs="Century Gothic"/>
                <w:color w:val="000000"/>
                <w:sz w:val="18"/>
                <w:szCs w:val="18"/>
              </w:rPr>
              <w:t>89 (20.3%)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2D63E7" w14:textId="77777777" w:rsidR="001C19F3" w:rsidRDefault="001C19F3" w:rsidP="00521305">
            <w:pPr>
              <w:spacing w:before="40" w:after="40"/>
              <w:ind w:left="100" w:right="100"/>
              <w:jc w:val="center"/>
            </w:pPr>
            <w:r>
              <w:rPr>
                <w:rFonts w:eastAsia="Century Gothic" w:cs="Century Gothic"/>
                <w:color w:val="000000"/>
                <w:sz w:val="18"/>
                <w:szCs w:val="18"/>
              </w:rPr>
              <w:t>259 (25.2%)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5E5F07" w14:textId="77777777" w:rsidR="001C19F3" w:rsidRDefault="001C19F3" w:rsidP="00521305">
            <w:pPr>
              <w:spacing w:before="40" w:after="40"/>
              <w:ind w:left="100" w:right="100"/>
              <w:jc w:val="center"/>
            </w:pPr>
            <w:r>
              <w:rPr>
                <w:rFonts w:eastAsia="Century Gothic" w:cs="Century Gothic"/>
                <w:color w:val="000000"/>
                <w:sz w:val="18"/>
                <w:szCs w:val="18"/>
              </w:rPr>
              <w:t>110 (23.9%)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470355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B9E027" w14:textId="77777777" w:rsidR="001C19F3" w:rsidRDefault="001C19F3" w:rsidP="00521305">
            <w:pPr>
              <w:spacing w:before="40" w:after="40"/>
              <w:ind w:left="100" w:right="100"/>
              <w:jc w:val="center"/>
            </w:pPr>
            <w:r>
              <w:rPr>
                <w:rFonts w:eastAsia="Century Gothic" w:cs="Century Gothic"/>
                <w:color w:val="000000"/>
                <w:sz w:val="18"/>
                <w:szCs w:val="18"/>
              </w:rPr>
              <w:t>284 (23.8%)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D92ACE" w14:textId="77777777" w:rsidR="001C19F3" w:rsidRDefault="001C19F3" w:rsidP="00521305">
            <w:pPr>
              <w:spacing w:before="40" w:after="40"/>
              <w:ind w:left="100" w:right="100"/>
              <w:jc w:val="center"/>
            </w:pPr>
            <w:r>
              <w:rPr>
                <w:rFonts w:eastAsia="Century Gothic" w:cs="Century Gothic"/>
                <w:color w:val="000000"/>
                <w:sz w:val="18"/>
                <w:szCs w:val="18"/>
              </w:rPr>
              <w:t>182 (22.8%)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E4C1D98" w14:textId="77777777" w:rsidR="001C19F3" w:rsidRDefault="001C19F3" w:rsidP="00521305">
            <w:pPr>
              <w:spacing w:after="0"/>
              <w:rPr>
                <w:sz w:val="22"/>
              </w:rPr>
            </w:pPr>
          </w:p>
        </w:tc>
      </w:tr>
      <w:tr w:rsidR="001C19F3" w14:paraId="22E9585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D0B89F" w14:textId="77777777" w:rsidR="001C19F3" w:rsidRDefault="001C19F3" w:rsidP="00521305">
            <w:pPr>
              <w:spacing w:before="40" w:after="40"/>
              <w:ind w:left="160" w:right="100"/>
            </w:pPr>
            <w:r>
              <w:rPr>
                <w:rFonts w:eastAsia="Century Gothic" w:cs="Century Gothic"/>
                <w:color w:val="000000"/>
                <w:sz w:val="18"/>
                <w:szCs w:val="18"/>
              </w:rPr>
              <w:t>Moderate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47B15D" w14:textId="77777777" w:rsidR="001C19F3" w:rsidRDefault="001C19F3" w:rsidP="00521305">
            <w:pPr>
              <w:spacing w:before="40" w:after="40"/>
              <w:ind w:left="100" w:right="100"/>
              <w:jc w:val="center"/>
            </w:pPr>
            <w:r>
              <w:rPr>
                <w:rFonts w:eastAsia="Century Gothic" w:cs="Century Gothic"/>
                <w:color w:val="000000"/>
                <w:sz w:val="18"/>
                <w:szCs w:val="18"/>
              </w:rPr>
              <w:t>341 (17.1%)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6BEB2B" w14:textId="77777777" w:rsidR="001C19F3" w:rsidRDefault="001C19F3" w:rsidP="00521305">
            <w:pPr>
              <w:spacing w:before="40" w:after="40"/>
              <w:ind w:left="100" w:right="100"/>
              <w:jc w:val="center"/>
            </w:pPr>
            <w:r>
              <w:rPr>
                <w:rFonts w:eastAsia="Century Gothic" w:cs="Century Gothic"/>
                <w:color w:val="000000"/>
                <w:sz w:val="18"/>
                <w:szCs w:val="18"/>
              </w:rPr>
              <w:t>39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2994CE" w14:textId="77777777" w:rsidR="001C19F3" w:rsidRDefault="001C19F3" w:rsidP="00521305">
            <w:pPr>
              <w:spacing w:before="40" w:after="40"/>
              <w:ind w:left="100" w:right="100"/>
              <w:jc w:val="center"/>
            </w:pPr>
            <w:r>
              <w:rPr>
                <w:rFonts w:eastAsia="Century Gothic" w:cs="Century Gothic"/>
                <w:color w:val="000000"/>
                <w:sz w:val="18"/>
                <w:szCs w:val="18"/>
              </w:rPr>
              <w:t>162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3E87EA" w14:textId="77777777" w:rsidR="001C19F3" w:rsidRDefault="001C19F3" w:rsidP="00521305">
            <w:pPr>
              <w:spacing w:before="40" w:after="40"/>
              <w:ind w:left="100" w:right="100"/>
              <w:jc w:val="center"/>
            </w:pPr>
            <w:r>
              <w:rPr>
                <w:rFonts w:eastAsia="Century Gothic" w:cs="Century Gothic"/>
                <w:color w:val="000000"/>
                <w:sz w:val="18"/>
                <w:szCs w:val="18"/>
              </w:rPr>
              <w:t>121 (26.3%)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4F0F73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48152C" w14:textId="77777777" w:rsidR="001C19F3" w:rsidRDefault="001C19F3" w:rsidP="00521305">
            <w:pPr>
              <w:spacing w:before="40" w:after="40"/>
              <w:ind w:left="100" w:right="100"/>
              <w:jc w:val="center"/>
            </w:pPr>
            <w:r>
              <w:rPr>
                <w:rFonts w:eastAsia="Century Gothic" w:cs="Century Gothic"/>
                <w:color w:val="000000"/>
                <w:sz w:val="18"/>
                <w:szCs w:val="18"/>
              </w:rPr>
              <w:t>210 (17.6%)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13B4A" w14:textId="77777777" w:rsidR="001C19F3" w:rsidRDefault="001C19F3" w:rsidP="00521305">
            <w:pPr>
              <w:spacing w:before="40" w:after="40"/>
              <w:ind w:left="100" w:right="100"/>
              <w:jc w:val="center"/>
            </w:pPr>
            <w:r>
              <w:rPr>
                <w:rFonts w:eastAsia="Century Gothic" w:cs="Century Gothic"/>
                <w:color w:val="000000"/>
                <w:sz w:val="18"/>
                <w:szCs w:val="18"/>
              </w:rPr>
              <w:t>131 (16.4%)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82C3491" w14:textId="77777777" w:rsidR="001C19F3" w:rsidRDefault="001C19F3" w:rsidP="00521305">
            <w:pPr>
              <w:spacing w:after="0"/>
              <w:rPr>
                <w:sz w:val="22"/>
              </w:rPr>
            </w:pPr>
          </w:p>
        </w:tc>
      </w:tr>
      <w:tr w:rsidR="001C19F3" w14:paraId="051EDD6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F0091A" w14:textId="77777777" w:rsidR="001C19F3" w:rsidRDefault="001C19F3" w:rsidP="00521305">
            <w:pPr>
              <w:spacing w:before="40" w:after="40"/>
              <w:ind w:left="160" w:right="100"/>
            </w:pPr>
            <w:r>
              <w:rPr>
                <w:rFonts w:eastAsia="Century Gothic" w:cs="Century Gothic"/>
                <w:color w:val="000000"/>
                <w:sz w:val="18"/>
                <w:szCs w:val="18"/>
              </w:rPr>
              <w:t>Severe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9A2D6B" w14:textId="77777777" w:rsidR="001C19F3" w:rsidRDefault="001C19F3" w:rsidP="00521305">
            <w:pPr>
              <w:spacing w:before="40" w:after="40"/>
              <w:ind w:left="100" w:right="100"/>
              <w:jc w:val="center"/>
            </w:pPr>
            <w:r>
              <w:rPr>
                <w:rFonts w:eastAsia="Century Gothic" w:cs="Century Gothic"/>
                <w:color w:val="000000"/>
                <w:sz w:val="18"/>
                <w:szCs w:val="18"/>
              </w:rPr>
              <w:t>80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CD4F30"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63E52B" w14:textId="77777777" w:rsidR="001C19F3" w:rsidRDefault="001C19F3" w:rsidP="00521305">
            <w:pPr>
              <w:spacing w:before="40" w:after="40"/>
              <w:ind w:left="100" w:right="100"/>
              <w:jc w:val="center"/>
            </w:pPr>
            <w:r>
              <w:rPr>
                <w:rFonts w:eastAsia="Century Gothic" w:cs="Century Gothic"/>
                <w:color w:val="000000"/>
                <w:sz w:val="18"/>
                <w:szCs w:val="18"/>
              </w:rPr>
              <w:t>34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5B5858" w14:textId="77777777" w:rsidR="001C19F3" w:rsidRDefault="001C19F3" w:rsidP="00521305">
            <w:pPr>
              <w:spacing w:before="40" w:after="40"/>
              <w:ind w:left="100" w:right="100"/>
              <w:jc w:val="center"/>
            </w:pPr>
            <w:r>
              <w:rPr>
                <w:rFonts w:eastAsia="Century Gothic" w:cs="Century Gothic"/>
                <w:color w:val="000000"/>
                <w:sz w:val="18"/>
                <w:szCs w:val="18"/>
              </w:rPr>
              <w:t>41 (8.9%)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1590AE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030439" w14:textId="77777777" w:rsidR="001C19F3" w:rsidRDefault="001C19F3" w:rsidP="00521305">
            <w:pPr>
              <w:spacing w:before="40" w:after="40"/>
              <w:ind w:left="100" w:right="100"/>
              <w:jc w:val="center"/>
            </w:pPr>
            <w:r>
              <w:rPr>
                <w:rFonts w:eastAsia="Century Gothic" w:cs="Century Gothic"/>
                <w:color w:val="000000"/>
                <w:sz w:val="18"/>
                <w:szCs w:val="18"/>
              </w:rPr>
              <w:t>51 (4.3%)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C5D82B" w14:textId="77777777" w:rsidR="001C19F3" w:rsidRDefault="001C19F3" w:rsidP="00521305">
            <w:pPr>
              <w:spacing w:before="40" w:after="40"/>
              <w:ind w:left="100" w:right="100"/>
              <w:jc w:val="center"/>
            </w:pPr>
            <w:r>
              <w:rPr>
                <w:rFonts w:eastAsia="Century Gothic" w:cs="Century Gothic"/>
                <w:color w:val="000000"/>
                <w:sz w:val="18"/>
                <w:szCs w:val="18"/>
              </w:rPr>
              <w:t>29 (3.6%)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702E52E" w14:textId="77777777" w:rsidR="001C19F3" w:rsidRDefault="001C19F3" w:rsidP="00521305">
            <w:pPr>
              <w:spacing w:after="0"/>
              <w:rPr>
                <w:sz w:val="22"/>
              </w:rPr>
            </w:pPr>
          </w:p>
        </w:tc>
      </w:tr>
      <w:tr w:rsidR="001C19F3" w14:paraId="6E895C6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212532" w14:textId="77777777" w:rsidR="001C19F3" w:rsidRDefault="001C19F3" w:rsidP="00521305">
            <w:pPr>
              <w:spacing w:before="40" w:after="40"/>
              <w:ind w:left="160" w:right="100"/>
            </w:pPr>
            <w:r>
              <w:rPr>
                <w:rFonts w:eastAsia="Century Gothic" w:cs="Century Gothic"/>
                <w:color w:val="000000"/>
                <w:sz w:val="18"/>
                <w:szCs w:val="18"/>
              </w:rPr>
              <w:t>Unable to do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9CA20A" w14:textId="77777777" w:rsidR="001C19F3" w:rsidRDefault="001C19F3" w:rsidP="00521305">
            <w:pPr>
              <w:spacing w:before="40" w:after="40"/>
              <w:ind w:left="100" w:right="100"/>
              <w:jc w:val="center"/>
            </w:pPr>
            <w:r>
              <w:rPr>
                <w:rFonts w:eastAsia="Century Gothic" w:cs="Century Gothic"/>
                <w:color w:val="000000"/>
                <w:sz w:val="18"/>
                <w:szCs w:val="18"/>
              </w:rPr>
              <w:t>66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01404A" w14:textId="77777777" w:rsidR="001C19F3" w:rsidRDefault="001C19F3" w:rsidP="00521305">
            <w:pPr>
              <w:spacing w:before="40" w:after="40"/>
              <w:ind w:left="100" w:right="100"/>
              <w:jc w:val="center"/>
            </w:pPr>
            <w:r>
              <w:rPr>
                <w:rFonts w:eastAsia="Century Gothic" w:cs="Century Gothic"/>
                <w:color w:val="000000"/>
                <w:sz w:val="18"/>
                <w:szCs w:val="18"/>
              </w:rPr>
              <w:t>4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0C04A9" w14:textId="77777777" w:rsidR="001C19F3" w:rsidRDefault="001C19F3" w:rsidP="00521305">
            <w:pPr>
              <w:spacing w:before="40" w:after="40"/>
              <w:ind w:left="100" w:right="100"/>
              <w:jc w:val="center"/>
            </w:pPr>
            <w:r>
              <w:rPr>
                <w:rFonts w:eastAsia="Century Gothic" w:cs="Century Gothic"/>
                <w:color w:val="000000"/>
                <w:sz w:val="18"/>
                <w:szCs w:val="18"/>
              </w:rPr>
              <w:t>25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1BC6ED" w14:textId="77777777" w:rsidR="001C19F3" w:rsidRDefault="001C19F3" w:rsidP="00521305">
            <w:pPr>
              <w:spacing w:before="40" w:after="40"/>
              <w:ind w:left="100" w:right="100"/>
              <w:jc w:val="center"/>
            </w:pPr>
            <w:r>
              <w:rPr>
                <w:rFonts w:eastAsia="Century Gothic" w:cs="Century Gothic"/>
                <w:color w:val="000000"/>
                <w:sz w:val="18"/>
                <w:szCs w:val="18"/>
              </w:rPr>
              <w:t>34 (7.4%)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AB2B9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B33FBB" w14:textId="77777777" w:rsidR="001C19F3" w:rsidRDefault="001C19F3" w:rsidP="00521305">
            <w:pPr>
              <w:spacing w:before="40" w:after="40"/>
              <w:ind w:left="100" w:right="100"/>
              <w:jc w:val="center"/>
            </w:pPr>
            <w:r>
              <w:rPr>
                <w:rFonts w:eastAsia="Century Gothic" w:cs="Century Gothic"/>
                <w:color w:val="000000"/>
                <w:sz w:val="18"/>
                <w:szCs w:val="18"/>
              </w:rPr>
              <w:t>42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A0B70B" w14:textId="77777777" w:rsidR="001C19F3" w:rsidRDefault="001C19F3" w:rsidP="00521305">
            <w:pPr>
              <w:spacing w:before="40" w:after="40"/>
              <w:ind w:left="100" w:right="100"/>
              <w:jc w:val="center"/>
            </w:pPr>
            <w:r>
              <w:rPr>
                <w:rFonts w:eastAsia="Century Gothic" w:cs="Century Gothic"/>
                <w:color w:val="000000"/>
                <w:sz w:val="18"/>
                <w:szCs w:val="18"/>
              </w:rPr>
              <w:t>24 (3.0%)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99B1BE2" w14:textId="77777777" w:rsidR="001C19F3" w:rsidRDefault="001C19F3" w:rsidP="00521305">
            <w:pPr>
              <w:spacing w:after="0"/>
              <w:rPr>
                <w:sz w:val="22"/>
              </w:rPr>
            </w:pPr>
          </w:p>
        </w:tc>
      </w:tr>
      <w:tr w:rsidR="001C19F3" w14:paraId="5F037B5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A9E6AE" w14:textId="77777777" w:rsidR="001C19F3" w:rsidRDefault="001C19F3" w:rsidP="00521305">
            <w:pPr>
              <w:spacing w:before="40" w:after="40"/>
              <w:ind w:left="100" w:right="100"/>
            </w:pPr>
            <w:r>
              <w:rPr>
                <w:rFonts w:eastAsia="Century Gothic" w:cs="Century Gothic"/>
                <w:b/>
                <w:color w:val="000000"/>
                <w:sz w:val="18"/>
                <w:szCs w:val="18"/>
              </w:rPr>
              <w:t>F18 Pain or discomfort today (Q27)</w:t>
            </w:r>
          </w:p>
        </w:tc>
      </w:tr>
      <w:tr w:rsidR="001C19F3" w14:paraId="57ABAB4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9FF2E1" w14:textId="77777777" w:rsidR="001C19F3" w:rsidRDefault="001C19F3" w:rsidP="00521305">
            <w:pPr>
              <w:spacing w:before="40" w:after="40"/>
              <w:ind w:left="160" w:right="100"/>
            </w:pPr>
            <w:r>
              <w:rPr>
                <w:rFonts w:eastAsia="Century Gothic" w:cs="Century Gothic"/>
                <w:color w:val="000000"/>
                <w:sz w:val="18"/>
                <w:szCs w:val="18"/>
              </w:rPr>
              <w:t>No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356AA5" w14:textId="77777777" w:rsidR="001C19F3" w:rsidRDefault="001C19F3" w:rsidP="00521305">
            <w:pPr>
              <w:spacing w:before="40" w:after="40"/>
              <w:ind w:left="100" w:right="100"/>
              <w:jc w:val="center"/>
            </w:pPr>
            <w:r>
              <w:rPr>
                <w:rFonts w:eastAsia="Century Gothic" w:cs="Century Gothic"/>
                <w:color w:val="000000"/>
                <w:sz w:val="18"/>
                <w:szCs w:val="18"/>
              </w:rPr>
              <w:t>565 (28.3%)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490BA9" w14:textId="77777777" w:rsidR="001C19F3" w:rsidRDefault="001C19F3" w:rsidP="00521305">
            <w:pPr>
              <w:spacing w:before="40" w:after="40"/>
              <w:ind w:left="100" w:right="100"/>
              <w:jc w:val="center"/>
            </w:pPr>
            <w:r>
              <w:rPr>
                <w:rFonts w:eastAsia="Century Gothic" w:cs="Century Gothic"/>
                <w:color w:val="000000"/>
                <w:sz w:val="18"/>
                <w:szCs w:val="18"/>
              </w:rPr>
              <w:t>175 (39.9%)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515CC9" w14:textId="77777777" w:rsidR="001C19F3" w:rsidRDefault="001C19F3" w:rsidP="00521305">
            <w:pPr>
              <w:spacing w:before="40" w:after="40"/>
              <w:ind w:left="100" w:right="100"/>
              <w:jc w:val="center"/>
            </w:pPr>
            <w:r>
              <w:rPr>
                <w:rFonts w:eastAsia="Century Gothic" w:cs="Century Gothic"/>
                <w:color w:val="000000"/>
                <w:sz w:val="18"/>
                <w:szCs w:val="18"/>
              </w:rPr>
              <w:t>283 (27.6%)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6177BD" w14:textId="77777777" w:rsidR="001C19F3" w:rsidRDefault="001C19F3" w:rsidP="00521305">
            <w:pPr>
              <w:spacing w:before="40" w:after="40"/>
              <w:ind w:left="100" w:right="100"/>
              <w:jc w:val="center"/>
            </w:pPr>
            <w:r>
              <w:rPr>
                <w:rFonts w:eastAsia="Century Gothic" w:cs="Century Gothic"/>
                <w:color w:val="000000"/>
                <w:sz w:val="18"/>
                <w:szCs w:val="18"/>
              </w:rPr>
              <w:t>84 (18.2%)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3B7D00"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376634" w14:textId="77777777" w:rsidR="001C19F3" w:rsidRDefault="001C19F3" w:rsidP="00521305">
            <w:pPr>
              <w:spacing w:before="40" w:after="40"/>
              <w:ind w:left="100" w:right="100"/>
              <w:jc w:val="center"/>
            </w:pPr>
            <w:r>
              <w:rPr>
                <w:rFonts w:eastAsia="Century Gothic" w:cs="Century Gothic"/>
                <w:color w:val="000000"/>
                <w:sz w:val="18"/>
                <w:szCs w:val="18"/>
              </w:rPr>
              <w:t>333 (27.9%)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58C6CF" w14:textId="77777777" w:rsidR="001C19F3" w:rsidRDefault="001C19F3" w:rsidP="00521305">
            <w:pPr>
              <w:spacing w:before="40" w:after="40"/>
              <w:ind w:left="100" w:right="100"/>
              <w:jc w:val="center"/>
            </w:pPr>
            <w:r>
              <w:rPr>
                <w:rFonts w:eastAsia="Century Gothic" w:cs="Century Gothic"/>
                <w:color w:val="000000"/>
                <w:sz w:val="18"/>
                <w:szCs w:val="18"/>
              </w:rPr>
              <w:t>232 (28.8%)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CFDF06" w14:textId="77777777" w:rsidR="001C19F3" w:rsidRDefault="001C19F3" w:rsidP="00521305">
            <w:pPr>
              <w:spacing w:before="40" w:after="40"/>
              <w:ind w:left="100" w:right="100"/>
              <w:jc w:val="right"/>
            </w:pPr>
            <w:r>
              <w:rPr>
                <w:rFonts w:eastAsia="Century Gothic" w:cs="Century Gothic"/>
                <w:color w:val="000000"/>
                <w:sz w:val="18"/>
                <w:szCs w:val="18"/>
              </w:rPr>
              <w:t>0.142</w:t>
            </w:r>
          </w:p>
        </w:tc>
      </w:tr>
      <w:tr w:rsidR="001C19F3" w14:paraId="3637A74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D6317B" w14:textId="77777777" w:rsidR="001C19F3" w:rsidRDefault="001C19F3" w:rsidP="00521305">
            <w:pPr>
              <w:spacing w:before="40" w:after="40"/>
              <w:ind w:left="160" w:right="100"/>
            </w:pPr>
            <w:r>
              <w:rPr>
                <w:rFonts w:eastAsia="Century Gothic" w:cs="Century Gothic"/>
                <w:color w:val="000000"/>
                <w:sz w:val="18"/>
                <w:szCs w:val="18"/>
              </w:rPr>
              <w:t>Slight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353D77" w14:textId="77777777" w:rsidR="001C19F3" w:rsidRDefault="001C19F3" w:rsidP="00521305">
            <w:pPr>
              <w:spacing w:before="40" w:after="40"/>
              <w:ind w:left="100" w:right="100"/>
              <w:jc w:val="center"/>
            </w:pPr>
            <w:r>
              <w:rPr>
                <w:rFonts w:eastAsia="Century Gothic" w:cs="Century Gothic"/>
                <w:color w:val="000000"/>
                <w:sz w:val="18"/>
                <w:szCs w:val="18"/>
              </w:rPr>
              <w:t>686 (34.4%)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83A26C" w14:textId="77777777" w:rsidR="001C19F3" w:rsidRDefault="001C19F3" w:rsidP="00521305">
            <w:pPr>
              <w:spacing w:before="40" w:after="40"/>
              <w:ind w:left="100" w:right="100"/>
              <w:jc w:val="center"/>
            </w:pPr>
            <w:r>
              <w:rPr>
                <w:rFonts w:eastAsia="Century Gothic" w:cs="Century Gothic"/>
                <w:color w:val="000000"/>
                <w:sz w:val="18"/>
                <w:szCs w:val="18"/>
              </w:rPr>
              <w:t>156 (35.5%)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FAD8CE" w14:textId="77777777" w:rsidR="001C19F3" w:rsidRDefault="001C19F3" w:rsidP="00521305">
            <w:pPr>
              <w:spacing w:before="40" w:after="40"/>
              <w:ind w:left="100" w:right="100"/>
              <w:jc w:val="center"/>
            </w:pPr>
            <w:r>
              <w:rPr>
                <w:rFonts w:eastAsia="Century Gothic" w:cs="Century Gothic"/>
                <w:color w:val="000000"/>
                <w:sz w:val="18"/>
                <w:szCs w:val="18"/>
              </w:rPr>
              <w:t>380 (37.0%)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5C534A" w14:textId="77777777" w:rsidR="001C19F3" w:rsidRDefault="001C19F3" w:rsidP="00521305">
            <w:pPr>
              <w:spacing w:before="40" w:after="40"/>
              <w:ind w:left="100" w:right="100"/>
              <w:jc w:val="center"/>
            </w:pPr>
            <w:r>
              <w:rPr>
                <w:rFonts w:eastAsia="Century Gothic" w:cs="Century Gothic"/>
                <w:color w:val="000000"/>
                <w:sz w:val="18"/>
                <w:szCs w:val="18"/>
              </w:rPr>
              <w:t>127 (27.5%)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F432D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4F7710" w14:textId="77777777" w:rsidR="001C19F3" w:rsidRDefault="001C19F3" w:rsidP="00521305">
            <w:pPr>
              <w:spacing w:before="40" w:after="40"/>
              <w:ind w:left="100" w:right="100"/>
              <w:jc w:val="center"/>
            </w:pPr>
            <w:r>
              <w:rPr>
                <w:rFonts w:eastAsia="Century Gothic" w:cs="Century Gothic"/>
                <w:color w:val="000000"/>
                <w:sz w:val="18"/>
                <w:szCs w:val="18"/>
              </w:rPr>
              <w:t>399 (33.5%)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977E8D" w14:textId="77777777" w:rsidR="001C19F3" w:rsidRDefault="001C19F3" w:rsidP="00521305">
            <w:pPr>
              <w:spacing w:before="40" w:after="40"/>
              <w:ind w:left="100" w:right="100"/>
              <w:jc w:val="center"/>
            </w:pPr>
            <w:r>
              <w:rPr>
                <w:rFonts w:eastAsia="Century Gothic" w:cs="Century Gothic"/>
                <w:color w:val="000000"/>
                <w:sz w:val="18"/>
                <w:szCs w:val="18"/>
              </w:rPr>
              <w:t>287 (35.7%)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6DEA39D" w14:textId="77777777" w:rsidR="001C19F3" w:rsidRDefault="001C19F3" w:rsidP="00521305">
            <w:pPr>
              <w:spacing w:after="0"/>
              <w:rPr>
                <w:sz w:val="22"/>
              </w:rPr>
            </w:pPr>
          </w:p>
        </w:tc>
      </w:tr>
      <w:tr w:rsidR="001C19F3" w14:paraId="2B70034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1A6369" w14:textId="77777777" w:rsidR="001C19F3" w:rsidRDefault="001C19F3" w:rsidP="00521305">
            <w:pPr>
              <w:spacing w:before="40" w:after="40"/>
              <w:ind w:left="160" w:right="100"/>
            </w:pPr>
            <w:r>
              <w:rPr>
                <w:rFonts w:eastAsia="Century Gothic" w:cs="Century Gothic"/>
                <w:color w:val="000000"/>
                <w:sz w:val="18"/>
                <w:szCs w:val="18"/>
              </w:rPr>
              <w:t>Moderate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646139" w14:textId="77777777" w:rsidR="001C19F3" w:rsidRDefault="001C19F3" w:rsidP="00521305">
            <w:pPr>
              <w:spacing w:before="40" w:after="40"/>
              <w:ind w:left="100" w:right="100"/>
              <w:jc w:val="center"/>
            </w:pPr>
            <w:r>
              <w:rPr>
                <w:rFonts w:eastAsia="Century Gothic" w:cs="Century Gothic"/>
                <w:color w:val="000000"/>
                <w:sz w:val="18"/>
                <w:szCs w:val="18"/>
              </w:rPr>
              <w:t>565 (28.3%)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F2BCBF" w14:textId="77777777" w:rsidR="001C19F3" w:rsidRDefault="001C19F3" w:rsidP="00521305">
            <w:pPr>
              <w:spacing w:before="40" w:after="40"/>
              <w:ind w:left="100" w:right="100"/>
              <w:jc w:val="center"/>
            </w:pPr>
            <w:r>
              <w:rPr>
                <w:rFonts w:eastAsia="Century Gothic" w:cs="Century Gothic"/>
                <w:color w:val="000000"/>
                <w:sz w:val="18"/>
                <w:szCs w:val="18"/>
              </w:rPr>
              <w:t>93 (21.2%)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3FBA97" w14:textId="77777777" w:rsidR="001C19F3" w:rsidRDefault="001C19F3" w:rsidP="00521305">
            <w:pPr>
              <w:spacing w:before="40" w:after="40"/>
              <w:ind w:left="100" w:right="100"/>
              <w:jc w:val="center"/>
            </w:pPr>
            <w:r>
              <w:rPr>
                <w:rFonts w:eastAsia="Century Gothic" w:cs="Century Gothic"/>
                <w:color w:val="000000"/>
                <w:sz w:val="18"/>
                <w:szCs w:val="18"/>
              </w:rPr>
              <w:t>288 (28.1%)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E5E61B" w14:textId="77777777" w:rsidR="001C19F3" w:rsidRDefault="001C19F3" w:rsidP="00521305">
            <w:pPr>
              <w:spacing w:before="40" w:after="40"/>
              <w:ind w:left="100" w:right="100"/>
              <w:jc w:val="center"/>
            </w:pPr>
            <w:r>
              <w:rPr>
                <w:rFonts w:eastAsia="Century Gothic" w:cs="Century Gothic"/>
                <w:color w:val="000000"/>
                <w:sz w:val="18"/>
                <w:szCs w:val="18"/>
              </w:rPr>
              <w:t>170 (36.8%)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4B97CF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FAFFF2" w14:textId="77777777" w:rsidR="001C19F3" w:rsidRDefault="001C19F3" w:rsidP="00521305">
            <w:pPr>
              <w:spacing w:before="40" w:after="40"/>
              <w:ind w:left="100" w:right="100"/>
              <w:jc w:val="center"/>
            </w:pPr>
            <w:r>
              <w:rPr>
                <w:rFonts w:eastAsia="Century Gothic" w:cs="Century Gothic"/>
                <w:color w:val="000000"/>
                <w:sz w:val="18"/>
                <w:szCs w:val="18"/>
              </w:rPr>
              <w:t>344 (28.9%)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39AAF2" w14:textId="77777777" w:rsidR="001C19F3" w:rsidRDefault="001C19F3" w:rsidP="00521305">
            <w:pPr>
              <w:spacing w:before="40" w:after="40"/>
              <w:ind w:left="100" w:right="100"/>
              <w:jc w:val="center"/>
            </w:pPr>
            <w:r>
              <w:rPr>
                <w:rFonts w:eastAsia="Century Gothic" w:cs="Century Gothic"/>
                <w:color w:val="000000"/>
                <w:sz w:val="18"/>
                <w:szCs w:val="18"/>
              </w:rPr>
              <w:t>221 (27.5%)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160036C" w14:textId="77777777" w:rsidR="001C19F3" w:rsidRDefault="001C19F3" w:rsidP="00521305">
            <w:pPr>
              <w:spacing w:after="0"/>
              <w:rPr>
                <w:sz w:val="22"/>
              </w:rPr>
            </w:pPr>
          </w:p>
        </w:tc>
      </w:tr>
      <w:tr w:rsidR="001C19F3" w14:paraId="7780B27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3B7C3D" w14:textId="77777777" w:rsidR="001C19F3" w:rsidRDefault="001C19F3" w:rsidP="00521305">
            <w:pPr>
              <w:spacing w:before="40" w:after="40"/>
              <w:ind w:left="160" w:right="100"/>
            </w:pPr>
            <w:r>
              <w:rPr>
                <w:rFonts w:eastAsia="Century Gothic" w:cs="Century Gothic"/>
                <w:color w:val="000000"/>
                <w:sz w:val="18"/>
                <w:szCs w:val="18"/>
              </w:rPr>
              <w:t>Severe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19ECC8" w14:textId="77777777" w:rsidR="001C19F3" w:rsidRDefault="001C19F3" w:rsidP="00521305">
            <w:pPr>
              <w:spacing w:before="40" w:after="40"/>
              <w:ind w:left="100" w:right="100"/>
              <w:jc w:val="center"/>
            </w:pPr>
            <w:r>
              <w:rPr>
                <w:rFonts w:eastAsia="Century Gothic" w:cs="Century Gothic"/>
                <w:color w:val="000000"/>
                <w:sz w:val="18"/>
                <w:szCs w:val="18"/>
              </w:rPr>
              <w:t>153 (7.7%)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9D661D" w14:textId="77777777" w:rsidR="001C19F3" w:rsidRDefault="001C19F3" w:rsidP="00521305">
            <w:pPr>
              <w:spacing w:before="40" w:after="40"/>
              <w:ind w:left="100" w:right="100"/>
              <w:jc w:val="center"/>
            </w:pPr>
            <w:r>
              <w:rPr>
                <w:rFonts w:eastAsia="Century Gothic" w:cs="Century Gothic"/>
                <w:color w:val="000000"/>
                <w:sz w:val="18"/>
                <w:szCs w:val="18"/>
              </w:rPr>
              <w:t>15 (3.4%)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632C85" w14:textId="77777777" w:rsidR="001C19F3" w:rsidRDefault="001C19F3" w:rsidP="00521305">
            <w:pPr>
              <w:spacing w:before="40" w:after="40"/>
              <w:ind w:left="100" w:right="100"/>
              <w:jc w:val="center"/>
            </w:pPr>
            <w:r>
              <w:rPr>
                <w:rFonts w:eastAsia="Century Gothic" w:cs="Century Gothic"/>
                <w:color w:val="000000"/>
                <w:sz w:val="18"/>
                <w:szCs w:val="18"/>
              </w:rPr>
              <w:t>67 (6.5%)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FB6D1" w14:textId="77777777" w:rsidR="001C19F3" w:rsidRDefault="001C19F3" w:rsidP="00521305">
            <w:pPr>
              <w:spacing w:before="40" w:after="40"/>
              <w:ind w:left="100" w:right="100"/>
              <w:jc w:val="center"/>
            </w:pPr>
            <w:r>
              <w:rPr>
                <w:rFonts w:eastAsia="Century Gothic" w:cs="Century Gothic"/>
                <w:color w:val="000000"/>
                <w:sz w:val="18"/>
                <w:szCs w:val="18"/>
              </w:rPr>
              <w:t>62 (13.4%)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1055B3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8977BD" w14:textId="77777777" w:rsidR="001C19F3" w:rsidRDefault="001C19F3" w:rsidP="00521305">
            <w:pPr>
              <w:spacing w:before="40" w:after="40"/>
              <w:ind w:left="100" w:right="100"/>
              <w:jc w:val="center"/>
            </w:pPr>
            <w:r>
              <w:rPr>
                <w:rFonts w:eastAsia="Century Gothic" w:cs="Century Gothic"/>
                <w:color w:val="000000"/>
                <w:sz w:val="18"/>
                <w:szCs w:val="18"/>
              </w:rPr>
              <w:t>103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C38C5D" w14:textId="77777777" w:rsidR="001C19F3" w:rsidRDefault="001C19F3" w:rsidP="00521305">
            <w:pPr>
              <w:spacing w:before="40" w:after="40"/>
              <w:ind w:left="100" w:right="100"/>
              <w:jc w:val="center"/>
            </w:pPr>
            <w:r>
              <w:rPr>
                <w:rFonts w:eastAsia="Century Gothic" w:cs="Century Gothic"/>
                <w:color w:val="000000"/>
                <w:sz w:val="18"/>
                <w:szCs w:val="18"/>
              </w:rPr>
              <w:t>50 (6.2%)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9ECAB9F" w14:textId="77777777" w:rsidR="001C19F3" w:rsidRDefault="001C19F3" w:rsidP="00521305">
            <w:pPr>
              <w:spacing w:after="0"/>
              <w:rPr>
                <w:sz w:val="22"/>
              </w:rPr>
            </w:pPr>
          </w:p>
        </w:tc>
      </w:tr>
      <w:tr w:rsidR="001C19F3" w14:paraId="5B79F2A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ACEC1" w14:textId="77777777" w:rsidR="001C19F3" w:rsidRDefault="001C19F3" w:rsidP="00521305">
            <w:pPr>
              <w:spacing w:before="40" w:after="40"/>
              <w:ind w:left="160" w:right="100"/>
            </w:pPr>
            <w:r>
              <w:rPr>
                <w:rFonts w:eastAsia="Century Gothic" w:cs="Century Gothic"/>
                <w:color w:val="000000"/>
                <w:sz w:val="18"/>
                <w:szCs w:val="18"/>
              </w:rPr>
              <w:t>Extreme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EA8806"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7113B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0E1C89" w14:textId="77777777" w:rsidR="001C19F3" w:rsidRDefault="001C19F3" w:rsidP="00521305">
            <w:pPr>
              <w:spacing w:before="40" w:after="40"/>
              <w:ind w:left="100" w:right="100"/>
              <w:jc w:val="center"/>
            </w:pPr>
            <w:r>
              <w:rPr>
                <w:rFonts w:eastAsia="Century Gothic" w:cs="Century Gothic"/>
                <w:color w:val="000000"/>
                <w:sz w:val="18"/>
                <w:szCs w:val="18"/>
              </w:rPr>
              <w:t>8 (0.8%)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69916F" w14:textId="77777777" w:rsidR="001C19F3" w:rsidRDefault="001C19F3" w:rsidP="00521305">
            <w:pPr>
              <w:spacing w:before="40" w:after="40"/>
              <w:ind w:left="100" w:right="100"/>
              <w:jc w:val="center"/>
            </w:pPr>
            <w:r>
              <w:rPr>
                <w:rFonts w:eastAsia="Century Gothic" w:cs="Century Gothic"/>
                <w:color w:val="000000"/>
                <w:sz w:val="18"/>
                <w:szCs w:val="18"/>
              </w:rPr>
              <w:t>19 (4.1%)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CFD04C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AC00C8" w14:textId="77777777" w:rsidR="001C19F3" w:rsidRDefault="001C19F3" w:rsidP="00521305">
            <w:pPr>
              <w:spacing w:before="40" w:after="40"/>
              <w:ind w:left="100" w:right="100"/>
              <w:jc w:val="center"/>
            </w:pPr>
            <w:r>
              <w:rPr>
                <w:rFonts w:eastAsia="Century Gothic" w:cs="Century Gothic"/>
                <w:color w:val="000000"/>
                <w:sz w:val="18"/>
                <w:szCs w:val="18"/>
              </w:rPr>
              <w:t>13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A6D9FD" w14:textId="77777777" w:rsidR="001C19F3" w:rsidRDefault="001C19F3" w:rsidP="00521305">
            <w:pPr>
              <w:spacing w:before="40" w:after="40"/>
              <w:ind w:left="100" w:right="100"/>
              <w:jc w:val="center"/>
            </w:pPr>
            <w:r>
              <w:rPr>
                <w:rFonts w:eastAsia="Century Gothic" w:cs="Century Gothic"/>
                <w:color w:val="000000"/>
                <w:sz w:val="18"/>
                <w:szCs w:val="18"/>
              </w:rPr>
              <w:t>15 (1.9%)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20596E0" w14:textId="77777777" w:rsidR="001C19F3" w:rsidRDefault="001C19F3" w:rsidP="00521305">
            <w:pPr>
              <w:spacing w:after="0"/>
              <w:rPr>
                <w:sz w:val="22"/>
              </w:rPr>
            </w:pPr>
          </w:p>
        </w:tc>
      </w:tr>
      <w:tr w:rsidR="001C19F3" w14:paraId="036E422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5EE46E" w14:textId="77777777" w:rsidR="001C19F3" w:rsidRDefault="001C19F3" w:rsidP="00521305">
            <w:pPr>
              <w:spacing w:before="40" w:after="40"/>
              <w:ind w:left="100" w:right="100"/>
            </w:pPr>
            <w:r>
              <w:rPr>
                <w:rFonts w:eastAsia="Century Gothic" w:cs="Century Gothic"/>
                <w:b/>
                <w:color w:val="000000"/>
                <w:sz w:val="18"/>
                <w:szCs w:val="18"/>
              </w:rPr>
              <w:t>F19 Anxiety or depression today (Q27)</w:t>
            </w:r>
          </w:p>
        </w:tc>
      </w:tr>
      <w:tr w:rsidR="001C19F3" w14:paraId="6BEC342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ECA51D" w14:textId="77777777" w:rsidR="001C19F3" w:rsidRDefault="001C19F3" w:rsidP="00521305">
            <w:pPr>
              <w:spacing w:before="40" w:after="40"/>
              <w:ind w:left="160" w:right="100"/>
            </w:pPr>
            <w:r>
              <w:rPr>
                <w:rFonts w:eastAsia="Century Gothic" w:cs="Century Gothic"/>
                <w:color w:val="000000"/>
                <w:sz w:val="18"/>
                <w:szCs w:val="18"/>
              </w:rPr>
              <w:t>Not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87264D" w14:textId="77777777" w:rsidR="001C19F3" w:rsidRDefault="001C19F3" w:rsidP="00521305">
            <w:pPr>
              <w:spacing w:before="40" w:after="40"/>
              <w:ind w:left="100" w:right="100"/>
              <w:jc w:val="center"/>
            </w:pPr>
            <w:r>
              <w:rPr>
                <w:rFonts w:eastAsia="Century Gothic" w:cs="Century Gothic"/>
                <w:color w:val="000000"/>
                <w:sz w:val="18"/>
                <w:szCs w:val="18"/>
              </w:rPr>
              <w:t>1,305 (65.3%)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D50681" w14:textId="77777777" w:rsidR="001C19F3" w:rsidRDefault="001C19F3" w:rsidP="00521305">
            <w:pPr>
              <w:spacing w:before="40" w:after="40"/>
              <w:ind w:left="100" w:right="100"/>
              <w:jc w:val="center"/>
            </w:pPr>
            <w:r>
              <w:rPr>
                <w:rFonts w:eastAsia="Century Gothic" w:cs="Century Gothic"/>
                <w:color w:val="000000"/>
                <w:sz w:val="18"/>
                <w:szCs w:val="18"/>
              </w:rPr>
              <w:t>339 (77.4%)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754FD" w14:textId="77777777" w:rsidR="001C19F3" w:rsidRDefault="001C19F3" w:rsidP="00521305">
            <w:pPr>
              <w:spacing w:before="40" w:after="40"/>
              <w:ind w:left="100" w:right="100"/>
              <w:jc w:val="center"/>
            </w:pPr>
            <w:r>
              <w:rPr>
                <w:rFonts w:eastAsia="Century Gothic" w:cs="Century Gothic"/>
                <w:color w:val="000000"/>
                <w:sz w:val="18"/>
                <w:szCs w:val="18"/>
              </w:rPr>
              <w:t>681 (66.6%)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342462" w14:textId="77777777" w:rsidR="001C19F3" w:rsidRDefault="001C19F3" w:rsidP="00521305">
            <w:pPr>
              <w:spacing w:before="40" w:after="40"/>
              <w:ind w:left="100" w:right="100"/>
              <w:jc w:val="center"/>
            </w:pPr>
            <w:r>
              <w:rPr>
                <w:rFonts w:eastAsia="Century Gothic" w:cs="Century Gothic"/>
                <w:color w:val="000000"/>
                <w:sz w:val="18"/>
                <w:szCs w:val="18"/>
              </w:rPr>
              <w:t>236 (50.6%)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649F77"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467D3C" w14:textId="77777777" w:rsidR="001C19F3" w:rsidRDefault="001C19F3" w:rsidP="00521305">
            <w:pPr>
              <w:spacing w:before="40" w:after="40"/>
              <w:ind w:left="100" w:right="100"/>
              <w:jc w:val="center"/>
            </w:pPr>
            <w:r>
              <w:rPr>
                <w:rFonts w:eastAsia="Century Gothic" w:cs="Century Gothic"/>
                <w:color w:val="000000"/>
                <w:sz w:val="18"/>
                <w:szCs w:val="18"/>
              </w:rPr>
              <w:t>806 (67.5%)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3F3AF1" w14:textId="77777777" w:rsidR="001C19F3" w:rsidRDefault="001C19F3" w:rsidP="00521305">
            <w:pPr>
              <w:spacing w:before="40" w:after="40"/>
              <w:ind w:left="100" w:right="100"/>
              <w:jc w:val="center"/>
            </w:pPr>
            <w:r>
              <w:rPr>
                <w:rFonts w:eastAsia="Century Gothic" w:cs="Century Gothic"/>
                <w:color w:val="000000"/>
                <w:sz w:val="18"/>
                <w:szCs w:val="18"/>
              </w:rPr>
              <w:t>499 (62.1%)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C508B7" w14:textId="77777777" w:rsidR="001C19F3" w:rsidRDefault="001C19F3" w:rsidP="00521305">
            <w:pPr>
              <w:spacing w:before="40" w:after="40"/>
              <w:ind w:left="100" w:right="100"/>
              <w:jc w:val="right"/>
            </w:pPr>
            <w:r>
              <w:rPr>
                <w:rFonts w:eastAsia="Century Gothic" w:cs="Century Gothic"/>
                <w:color w:val="000000"/>
                <w:sz w:val="18"/>
                <w:szCs w:val="18"/>
              </w:rPr>
              <w:t>0.006</w:t>
            </w:r>
          </w:p>
        </w:tc>
      </w:tr>
      <w:tr w:rsidR="001C19F3" w14:paraId="2FD6596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9A075F" w14:textId="77777777" w:rsidR="001C19F3" w:rsidRDefault="001C19F3" w:rsidP="00521305">
            <w:pPr>
              <w:spacing w:before="40" w:after="40"/>
              <w:ind w:left="160" w:right="100"/>
            </w:pPr>
            <w:r>
              <w:rPr>
                <w:rFonts w:eastAsia="Century Gothic" w:cs="Century Gothic"/>
                <w:color w:val="000000"/>
                <w:sz w:val="18"/>
                <w:szCs w:val="18"/>
              </w:rPr>
              <w:t>Slightly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19B8BB" w14:textId="77777777" w:rsidR="001C19F3" w:rsidRDefault="001C19F3" w:rsidP="00521305">
            <w:pPr>
              <w:spacing w:before="40" w:after="40"/>
              <w:ind w:left="100" w:right="100"/>
              <w:jc w:val="center"/>
            </w:pPr>
            <w:r>
              <w:rPr>
                <w:rFonts w:eastAsia="Century Gothic" w:cs="Century Gothic"/>
                <w:color w:val="000000"/>
                <w:sz w:val="18"/>
                <w:szCs w:val="18"/>
              </w:rPr>
              <w:t>366 (18.3%)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D0A304" w14:textId="77777777" w:rsidR="001C19F3" w:rsidRDefault="001C19F3" w:rsidP="00521305">
            <w:pPr>
              <w:spacing w:before="40" w:after="40"/>
              <w:ind w:left="100" w:right="100"/>
              <w:jc w:val="center"/>
            </w:pPr>
            <w:r>
              <w:rPr>
                <w:rFonts w:eastAsia="Century Gothic" w:cs="Century Gothic"/>
                <w:color w:val="000000"/>
                <w:sz w:val="18"/>
                <w:szCs w:val="18"/>
              </w:rPr>
              <w:t>67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0ABC6C" w14:textId="77777777" w:rsidR="001C19F3" w:rsidRDefault="001C19F3" w:rsidP="00521305">
            <w:pPr>
              <w:spacing w:before="40" w:after="40"/>
              <w:ind w:left="100" w:right="100"/>
              <w:jc w:val="center"/>
            </w:pPr>
            <w:r>
              <w:rPr>
                <w:rFonts w:eastAsia="Century Gothic" w:cs="Century Gothic"/>
                <w:color w:val="000000"/>
                <w:sz w:val="18"/>
                <w:szCs w:val="18"/>
              </w:rPr>
              <w:t>199 (19.5%)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EB71B3" w14:textId="77777777" w:rsidR="001C19F3" w:rsidRDefault="001C19F3" w:rsidP="00521305">
            <w:pPr>
              <w:spacing w:before="40" w:after="40"/>
              <w:ind w:left="100" w:right="100"/>
              <w:jc w:val="center"/>
            </w:pPr>
            <w:r>
              <w:rPr>
                <w:rFonts w:eastAsia="Century Gothic" w:cs="Century Gothic"/>
                <w:color w:val="000000"/>
                <w:sz w:val="18"/>
                <w:szCs w:val="18"/>
              </w:rPr>
              <w:t>92 (19.7%)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4759A4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AB41E6" w14:textId="77777777" w:rsidR="001C19F3" w:rsidRDefault="001C19F3" w:rsidP="00521305">
            <w:pPr>
              <w:spacing w:before="40" w:after="40"/>
              <w:ind w:left="100" w:right="100"/>
              <w:jc w:val="center"/>
            </w:pPr>
            <w:r>
              <w:rPr>
                <w:rFonts w:eastAsia="Century Gothic" w:cs="Century Gothic"/>
                <w:color w:val="000000"/>
                <w:sz w:val="18"/>
                <w:szCs w:val="18"/>
              </w:rPr>
              <w:t>219 (18.3%)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0BD451" w14:textId="77777777" w:rsidR="001C19F3" w:rsidRDefault="001C19F3" w:rsidP="00521305">
            <w:pPr>
              <w:spacing w:before="40" w:after="40"/>
              <w:ind w:left="100" w:right="100"/>
              <w:jc w:val="center"/>
            </w:pPr>
            <w:r>
              <w:rPr>
                <w:rFonts w:eastAsia="Century Gothic" w:cs="Century Gothic"/>
                <w:color w:val="000000"/>
                <w:sz w:val="18"/>
                <w:szCs w:val="18"/>
              </w:rPr>
              <w:t>147 (18.3%)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DD175F" w14:textId="77777777" w:rsidR="001C19F3" w:rsidRDefault="001C19F3" w:rsidP="00521305">
            <w:pPr>
              <w:spacing w:after="0"/>
              <w:rPr>
                <w:sz w:val="22"/>
              </w:rPr>
            </w:pPr>
          </w:p>
        </w:tc>
      </w:tr>
      <w:tr w:rsidR="001C19F3" w14:paraId="39B2A38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2F84C0" w14:textId="77777777" w:rsidR="001C19F3" w:rsidRDefault="001C19F3" w:rsidP="00521305">
            <w:pPr>
              <w:spacing w:before="40" w:after="40"/>
              <w:ind w:left="160" w:right="100"/>
            </w:pPr>
            <w:r>
              <w:rPr>
                <w:rFonts w:eastAsia="Century Gothic" w:cs="Century Gothic"/>
                <w:color w:val="000000"/>
                <w:sz w:val="18"/>
                <w:szCs w:val="18"/>
              </w:rPr>
              <w:t>Moderately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04A187" w14:textId="77777777" w:rsidR="001C19F3" w:rsidRDefault="001C19F3" w:rsidP="00521305">
            <w:pPr>
              <w:spacing w:before="40" w:after="40"/>
              <w:ind w:left="100" w:right="100"/>
              <w:jc w:val="center"/>
            </w:pPr>
            <w:r>
              <w:rPr>
                <w:rFonts w:eastAsia="Century Gothic" w:cs="Century Gothic"/>
                <w:color w:val="000000"/>
                <w:sz w:val="18"/>
                <w:szCs w:val="18"/>
              </w:rPr>
              <w:t>265 (13.3%)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B58179" w14:textId="77777777" w:rsidR="001C19F3" w:rsidRDefault="001C19F3" w:rsidP="00521305">
            <w:pPr>
              <w:spacing w:before="40" w:after="40"/>
              <w:ind w:left="100" w:right="100"/>
              <w:jc w:val="center"/>
            </w:pPr>
            <w:r>
              <w:rPr>
                <w:rFonts w:eastAsia="Century Gothic" w:cs="Century Gothic"/>
                <w:color w:val="000000"/>
                <w:sz w:val="18"/>
                <w:szCs w:val="18"/>
              </w:rPr>
              <w:t>28 (6.4%)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34D918" w14:textId="77777777" w:rsidR="001C19F3" w:rsidRDefault="001C19F3" w:rsidP="00521305">
            <w:pPr>
              <w:spacing w:before="40" w:after="40"/>
              <w:ind w:left="100" w:right="100"/>
              <w:jc w:val="center"/>
            </w:pPr>
            <w:r>
              <w:rPr>
                <w:rFonts w:eastAsia="Century Gothic" w:cs="Century Gothic"/>
                <w:color w:val="000000"/>
                <w:sz w:val="18"/>
                <w:szCs w:val="18"/>
              </w:rPr>
              <w:t>127 (12.4%)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795B45" w14:textId="77777777" w:rsidR="001C19F3" w:rsidRDefault="001C19F3" w:rsidP="00521305">
            <w:pPr>
              <w:spacing w:before="40" w:after="40"/>
              <w:ind w:left="100" w:right="100"/>
              <w:jc w:val="center"/>
            </w:pPr>
            <w:r>
              <w:rPr>
                <w:rFonts w:eastAsia="Century Gothic" w:cs="Century Gothic"/>
                <w:color w:val="000000"/>
                <w:sz w:val="18"/>
                <w:szCs w:val="18"/>
              </w:rPr>
              <w:t>101 (21.7%)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AF08C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EFD823" w14:textId="77777777" w:rsidR="001C19F3" w:rsidRDefault="001C19F3" w:rsidP="00521305">
            <w:pPr>
              <w:spacing w:before="40" w:after="40"/>
              <w:ind w:left="100" w:right="100"/>
              <w:jc w:val="center"/>
            </w:pPr>
            <w:r>
              <w:rPr>
                <w:rFonts w:eastAsia="Century Gothic" w:cs="Century Gothic"/>
                <w:color w:val="000000"/>
                <w:sz w:val="18"/>
                <w:szCs w:val="18"/>
              </w:rPr>
              <w:t>144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439281" w14:textId="77777777" w:rsidR="001C19F3" w:rsidRDefault="001C19F3" w:rsidP="00521305">
            <w:pPr>
              <w:spacing w:before="40" w:after="40"/>
              <w:ind w:left="100" w:right="100"/>
              <w:jc w:val="center"/>
            </w:pPr>
            <w:r>
              <w:rPr>
                <w:rFonts w:eastAsia="Century Gothic" w:cs="Century Gothic"/>
                <w:color w:val="000000"/>
                <w:sz w:val="18"/>
                <w:szCs w:val="18"/>
              </w:rPr>
              <w:t>121 (15.1%)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5825E4" w14:textId="77777777" w:rsidR="001C19F3" w:rsidRDefault="001C19F3" w:rsidP="00521305">
            <w:pPr>
              <w:spacing w:after="0"/>
              <w:rPr>
                <w:sz w:val="22"/>
              </w:rPr>
            </w:pPr>
          </w:p>
        </w:tc>
      </w:tr>
      <w:tr w:rsidR="001C19F3" w14:paraId="684C4A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823B9" w14:textId="77777777" w:rsidR="001C19F3" w:rsidRDefault="001C19F3" w:rsidP="00521305">
            <w:pPr>
              <w:spacing w:before="40" w:after="40"/>
              <w:ind w:left="160" w:right="100"/>
            </w:pPr>
            <w:r>
              <w:rPr>
                <w:rFonts w:eastAsia="Century Gothic" w:cs="Century Gothic"/>
                <w:color w:val="000000"/>
                <w:sz w:val="18"/>
                <w:szCs w:val="18"/>
              </w:rPr>
              <w:t>Severely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BF3418" w14:textId="77777777" w:rsidR="001C19F3" w:rsidRDefault="001C19F3" w:rsidP="00521305">
            <w:pPr>
              <w:spacing w:before="40" w:after="40"/>
              <w:ind w:left="100" w:right="100"/>
              <w:jc w:val="center"/>
            </w:pPr>
            <w:r>
              <w:rPr>
                <w:rFonts w:eastAsia="Century Gothic" w:cs="Century Gothic"/>
                <w:color w:val="000000"/>
                <w:sz w:val="18"/>
                <w:szCs w:val="18"/>
              </w:rPr>
              <w:t>43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3E45ED"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0D5A54" w14:textId="77777777" w:rsidR="001C19F3" w:rsidRDefault="001C19F3" w:rsidP="00521305">
            <w:pPr>
              <w:spacing w:before="40" w:after="40"/>
              <w:ind w:left="100" w:right="100"/>
              <w:jc w:val="center"/>
            </w:pPr>
            <w:r>
              <w:rPr>
                <w:rFonts w:eastAsia="Century Gothic" w:cs="Century Gothic"/>
                <w:color w:val="000000"/>
                <w:sz w:val="18"/>
                <w:szCs w:val="18"/>
              </w:rPr>
              <w:t>15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4F426C" w14:textId="77777777" w:rsidR="001C19F3" w:rsidRDefault="001C19F3" w:rsidP="00521305">
            <w:pPr>
              <w:spacing w:before="40" w:after="40"/>
              <w:ind w:left="100" w:right="100"/>
              <w:jc w:val="center"/>
            </w:pPr>
            <w:r>
              <w:rPr>
                <w:rFonts w:eastAsia="Century Gothic" w:cs="Century Gothic"/>
                <w:color w:val="000000"/>
                <w:sz w:val="18"/>
                <w:szCs w:val="18"/>
              </w:rPr>
              <w:t>23 (4.9%)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9B4177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F49E66" w14:textId="77777777" w:rsidR="001C19F3" w:rsidRDefault="001C19F3" w:rsidP="00521305">
            <w:pPr>
              <w:spacing w:before="40" w:after="40"/>
              <w:ind w:left="100" w:right="100"/>
              <w:jc w:val="center"/>
            </w:pPr>
            <w:r>
              <w:rPr>
                <w:rFonts w:eastAsia="Century Gothic" w:cs="Century Gothic"/>
                <w:color w:val="000000"/>
                <w:sz w:val="18"/>
                <w:szCs w:val="18"/>
              </w:rPr>
              <w:t>18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6D800D" w14:textId="77777777" w:rsidR="001C19F3" w:rsidRDefault="001C19F3" w:rsidP="00521305">
            <w:pPr>
              <w:spacing w:before="40" w:after="40"/>
              <w:ind w:left="100" w:right="100"/>
              <w:jc w:val="center"/>
            </w:pPr>
            <w:r>
              <w:rPr>
                <w:rFonts w:eastAsia="Century Gothic" w:cs="Century Gothic"/>
                <w:color w:val="000000"/>
                <w:sz w:val="18"/>
                <w:szCs w:val="18"/>
              </w:rPr>
              <w:t>25 (3.1%)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6D65A21" w14:textId="77777777" w:rsidR="001C19F3" w:rsidRDefault="001C19F3" w:rsidP="00521305">
            <w:pPr>
              <w:spacing w:after="0"/>
              <w:rPr>
                <w:sz w:val="22"/>
              </w:rPr>
            </w:pPr>
          </w:p>
        </w:tc>
      </w:tr>
      <w:tr w:rsidR="001C19F3" w14:paraId="5129B28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D5D825" w14:textId="77777777" w:rsidR="001C19F3" w:rsidRDefault="001C19F3" w:rsidP="00521305">
            <w:pPr>
              <w:spacing w:before="40" w:after="40"/>
              <w:ind w:left="160" w:right="100"/>
            </w:pPr>
            <w:r>
              <w:rPr>
                <w:rFonts w:eastAsia="Century Gothic" w:cs="Century Gothic"/>
                <w:color w:val="000000"/>
                <w:sz w:val="18"/>
                <w:szCs w:val="18"/>
              </w:rPr>
              <w:t>Extremely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D1EF1E"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CF060C"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27E462" w14:textId="77777777" w:rsidR="001C19F3" w:rsidRDefault="001C19F3" w:rsidP="00521305">
            <w:pPr>
              <w:spacing w:before="40" w:after="40"/>
              <w:ind w:left="100" w:right="100"/>
              <w:jc w:val="center"/>
            </w:pPr>
            <w:r>
              <w:rPr>
                <w:rFonts w:eastAsia="Century Gothic" w:cs="Century Gothic"/>
                <w:color w:val="000000"/>
                <w:sz w:val="18"/>
                <w:szCs w:val="18"/>
              </w:rPr>
              <w:t>1 (0.1%)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715E58" w14:textId="77777777" w:rsidR="001C19F3" w:rsidRDefault="001C19F3" w:rsidP="00521305">
            <w:pPr>
              <w:spacing w:before="40" w:after="40"/>
              <w:ind w:left="100" w:right="100"/>
              <w:jc w:val="center"/>
            </w:pPr>
            <w:r>
              <w:rPr>
                <w:rFonts w:eastAsia="Century Gothic" w:cs="Century Gothic"/>
                <w:color w:val="000000"/>
                <w:sz w:val="18"/>
                <w:szCs w:val="18"/>
              </w:rPr>
              <w:t>14 (3.0%)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53D082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6F4E49" w14:textId="77777777" w:rsidR="001C19F3" w:rsidRDefault="001C19F3" w:rsidP="00521305">
            <w:pPr>
              <w:spacing w:before="40" w:after="40"/>
              <w:ind w:left="100" w:right="100"/>
              <w:jc w:val="center"/>
            </w:pPr>
            <w:r>
              <w:rPr>
                <w:rFonts w:eastAsia="Century Gothic" w:cs="Century Gothic"/>
                <w:color w:val="000000"/>
                <w:sz w:val="18"/>
                <w:szCs w:val="18"/>
              </w:rPr>
              <w:t>7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1B24DA" w14:textId="77777777" w:rsidR="001C19F3" w:rsidRDefault="001C19F3" w:rsidP="00521305">
            <w:pPr>
              <w:spacing w:before="40" w:after="40"/>
              <w:ind w:left="100" w:right="100"/>
              <w:jc w:val="center"/>
            </w:pPr>
            <w:r>
              <w:rPr>
                <w:rFonts w:eastAsia="Century Gothic" w:cs="Century Gothic"/>
                <w:color w:val="000000"/>
                <w:sz w:val="18"/>
                <w:szCs w:val="18"/>
              </w:rPr>
              <w:t>11 (1.4%)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A61B356" w14:textId="77777777" w:rsidR="001C19F3" w:rsidRDefault="001C19F3" w:rsidP="00521305">
            <w:pPr>
              <w:spacing w:after="0"/>
              <w:rPr>
                <w:sz w:val="22"/>
              </w:rPr>
            </w:pPr>
          </w:p>
        </w:tc>
      </w:tr>
      <w:tr w:rsidR="001C19F3" w14:paraId="4DB137F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B38990" w14:textId="77777777" w:rsidR="001C19F3" w:rsidRDefault="001C19F3" w:rsidP="00521305">
            <w:pPr>
              <w:spacing w:before="40" w:after="40"/>
              <w:ind w:left="100" w:right="100"/>
            </w:pPr>
            <w:r>
              <w:rPr>
                <w:rFonts w:eastAsia="Century Gothic" w:cs="Century Gothic"/>
                <w:b/>
                <w:color w:val="000000"/>
                <w:sz w:val="18"/>
                <w:szCs w:val="18"/>
              </w:rPr>
              <w:t>F20 Total score (EQ-5D-5L)</w:t>
            </w:r>
          </w:p>
        </w:tc>
      </w:tr>
      <w:tr w:rsidR="001C19F3" w14:paraId="7AE06B1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BC2891"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6CFA80" w14:textId="77777777" w:rsidR="001C19F3" w:rsidRDefault="001C19F3" w:rsidP="00521305">
            <w:pPr>
              <w:spacing w:before="40" w:after="40"/>
              <w:ind w:left="100" w:right="100"/>
              <w:jc w:val="center"/>
            </w:pPr>
            <w:r>
              <w:rPr>
                <w:rFonts w:cs="Century Gothic"/>
                <w:color w:val="000000"/>
                <w:sz w:val="18"/>
                <w:szCs w:val="18"/>
              </w:rPr>
              <w:t>0.71 (0.74)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D2C057" w14:textId="77777777" w:rsidR="001C19F3" w:rsidRDefault="001C19F3" w:rsidP="00521305">
            <w:pPr>
              <w:spacing w:before="40" w:after="40"/>
              <w:ind w:left="100" w:right="100"/>
              <w:jc w:val="center"/>
            </w:pPr>
            <w:r>
              <w:rPr>
                <w:rFonts w:cs="Century Gothic"/>
                <w:color w:val="000000"/>
                <w:sz w:val="18"/>
                <w:szCs w:val="18"/>
              </w:rPr>
              <w:t>0.81 (0.80)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299A28" w14:textId="77777777" w:rsidR="001C19F3" w:rsidRDefault="001C19F3" w:rsidP="00521305">
            <w:pPr>
              <w:spacing w:before="40" w:after="40"/>
              <w:ind w:left="100" w:right="100"/>
              <w:jc w:val="center"/>
            </w:pPr>
            <w:r>
              <w:rPr>
                <w:rFonts w:cs="Century Gothic"/>
                <w:color w:val="000000"/>
                <w:sz w:val="18"/>
                <w:szCs w:val="18"/>
              </w:rPr>
              <w:t>0.73 (0.75)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0BAE20" w14:textId="77777777" w:rsidR="001C19F3" w:rsidRDefault="001C19F3" w:rsidP="00521305">
            <w:pPr>
              <w:spacing w:before="40" w:after="40"/>
              <w:ind w:left="100" w:right="100"/>
              <w:jc w:val="center"/>
            </w:pPr>
            <w:r>
              <w:rPr>
                <w:rFonts w:cs="Century Gothic"/>
                <w:color w:val="000000"/>
                <w:sz w:val="18"/>
                <w:szCs w:val="18"/>
              </w:rPr>
              <w:t>0.58 (0.65)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23C0F1"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ADA3AE" w14:textId="77777777" w:rsidR="001C19F3" w:rsidRDefault="001C19F3" w:rsidP="00521305">
            <w:pPr>
              <w:spacing w:before="40" w:after="40"/>
              <w:ind w:left="100" w:right="100"/>
              <w:jc w:val="center"/>
            </w:pPr>
            <w:r>
              <w:rPr>
                <w:rFonts w:cs="Century Gothic"/>
                <w:color w:val="000000"/>
                <w:sz w:val="18"/>
                <w:szCs w:val="18"/>
              </w:rPr>
              <w:t>0.71 (0.74)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6D4B03" w14:textId="77777777" w:rsidR="001C19F3" w:rsidRDefault="001C19F3" w:rsidP="00521305">
            <w:pPr>
              <w:spacing w:before="40" w:after="40"/>
              <w:ind w:left="100" w:right="100"/>
              <w:jc w:val="center"/>
            </w:pPr>
            <w:r>
              <w:rPr>
                <w:rFonts w:cs="Century Gothic"/>
                <w:color w:val="000000"/>
                <w:sz w:val="18"/>
                <w:szCs w:val="18"/>
              </w:rPr>
              <w:t>0.72 (0.75)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E39539" w14:textId="77777777" w:rsidR="001C19F3" w:rsidRDefault="001C19F3" w:rsidP="00521305">
            <w:pPr>
              <w:spacing w:before="40" w:after="40"/>
              <w:ind w:left="100" w:right="100"/>
              <w:jc w:val="right"/>
            </w:pPr>
            <w:r>
              <w:rPr>
                <w:rFonts w:cs="Century Gothic"/>
                <w:color w:val="000000"/>
                <w:sz w:val="18"/>
                <w:szCs w:val="18"/>
              </w:rPr>
              <w:t>0.327</w:t>
            </w:r>
          </w:p>
        </w:tc>
      </w:tr>
      <w:tr w:rsidR="001C19F3" w14:paraId="3342692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796B30"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11C077" w14:textId="77777777" w:rsidR="001C19F3" w:rsidRDefault="001C19F3" w:rsidP="00521305">
            <w:pPr>
              <w:spacing w:before="40" w:after="40"/>
              <w:ind w:left="100" w:right="100"/>
              <w:jc w:val="center"/>
            </w:pPr>
            <w:r>
              <w:rPr>
                <w:rFonts w:cs="Century Gothic"/>
                <w:color w:val="000000"/>
                <w:sz w:val="18"/>
                <w:szCs w:val="18"/>
              </w:rPr>
              <w:t>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117FA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5A1AA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BC75D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01B3C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5A26F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94CE7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C12F59" w14:textId="77777777" w:rsidR="001C19F3" w:rsidRDefault="001C19F3" w:rsidP="00521305">
            <w:pPr>
              <w:spacing w:before="40" w:after="40"/>
              <w:ind w:left="100" w:right="100"/>
              <w:jc w:val="right"/>
            </w:pPr>
          </w:p>
        </w:tc>
      </w:tr>
    </w:tbl>
    <w:p w14:paraId="15C91F17"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5FBA7CFC" w14:textId="77777777" w:rsidR="001C19F3" w:rsidRDefault="001C19F3" w:rsidP="001C19F3">
      <w:pPr>
        <w:rPr>
          <w:rFonts w:asciiTheme="minorHAnsi" w:hAnsiTheme="minorHAnsi" w:cstheme="minorBidi"/>
          <w:sz w:val="22"/>
        </w:rPr>
      </w:pPr>
    </w:p>
    <w:p w14:paraId="1059C244" w14:textId="77777777" w:rsidR="001C19F3" w:rsidRDefault="001C19F3" w:rsidP="001C19F3">
      <w:pPr>
        <w:pStyle w:val="Caption1"/>
      </w:pPr>
      <w:bookmarkStart w:id="604" w:name="_Ref20996247"/>
      <w:r>
        <w:lastRenderedPageBreak/>
        <w:t xml:space="preserve">Table </w:t>
      </w:r>
      <w:r>
        <w:fldChar w:fldCharType="begin"/>
      </w:r>
      <w:r>
        <w:instrText>SEQ Table \* ARABIC</w:instrText>
      </w:r>
      <w:r>
        <w:fldChar w:fldCharType="separate"/>
      </w:r>
      <w:r>
        <w:rPr>
          <w:noProof/>
        </w:rPr>
        <w:t>67</w:t>
      </w:r>
      <w:r>
        <w:fldChar w:fldCharType="end"/>
      </w:r>
      <w:bookmarkEnd w:id="604"/>
      <w:r>
        <w:t xml:space="preserve"> – Patient activation measure (PAM) by patient HCH tier and practice size</w:t>
      </w:r>
    </w:p>
    <w:tbl>
      <w:tblPr>
        <w:tblW w:w="15120" w:type="dxa"/>
        <w:jc w:val="center"/>
        <w:tblLayout w:type="fixed"/>
        <w:tblLook w:val="04A0" w:firstRow="1" w:lastRow="0" w:firstColumn="1" w:lastColumn="0" w:noHBand="0" w:noVBand="1"/>
      </w:tblPr>
      <w:tblGrid>
        <w:gridCol w:w="3959"/>
        <w:gridCol w:w="1560"/>
        <w:gridCol w:w="1417"/>
        <w:gridCol w:w="1418"/>
        <w:gridCol w:w="1417"/>
        <w:gridCol w:w="1276"/>
        <w:gridCol w:w="1559"/>
        <w:gridCol w:w="1418"/>
        <w:gridCol w:w="1096"/>
      </w:tblGrid>
      <w:tr w:rsidR="001C19F3" w14:paraId="01AB3E99" w14:textId="77777777" w:rsidTr="00521305">
        <w:trPr>
          <w:cantSplit/>
          <w:trHeight w:val="20"/>
          <w:tblHeader/>
          <w:jc w:val="center"/>
        </w:trPr>
        <w:tc>
          <w:tcPr>
            <w:tcW w:w="395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E7E61B3" w14:textId="77777777" w:rsidR="001C19F3" w:rsidRDefault="001C19F3" w:rsidP="00521305">
            <w:pPr>
              <w:spacing w:after="0"/>
              <w:jc w:val="center"/>
            </w:pPr>
            <w:r>
              <w:rPr>
                <w:rFonts w:eastAsia="Century Gothic" w:cs="Century Gothic"/>
                <w:b/>
                <w:color w:val="FFFFFF"/>
                <w:sz w:val="18"/>
                <w:szCs w:val="18"/>
              </w:rPr>
              <w:t>PAM item</w:t>
            </w:r>
          </w:p>
        </w:tc>
        <w:tc>
          <w:tcPr>
            <w:tcW w:w="156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76F64E" w14:textId="77777777" w:rsidR="001C19F3" w:rsidRDefault="001C19F3" w:rsidP="00521305">
            <w:pPr>
              <w:spacing w:after="0"/>
              <w:jc w:val="center"/>
            </w:pPr>
            <w:r>
              <w:rPr>
                <w:rFonts w:eastAsia="Century Gothic" w:cs="Century Gothic"/>
                <w:b/>
                <w:color w:val="FFFFFF"/>
                <w:sz w:val="18"/>
                <w:szCs w:val="18"/>
              </w:rPr>
              <w:t>Total</w:t>
            </w:r>
          </w:p>
        </w:tc>
        <w:tc>
          <w:tcPr>
            <w:tcW w:w="5528"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D3E5DA" w14:textId="77777777" w:rsidR="001C19F3" w:rsidRDefault="001C19F3" w:rsidP="00521305">
            <w:pPr>
              <w:spacing w:after="0"/>
              <w:jc w:val="center"/>
            </w:pPr>
            <w:r>
              <w:rPr>
                <w:rFonts w:eastAsia="Century Gothic" w:cs="Century Gothic"/>
                <w:b/>
                <w:color w:val="FFFFFF"/>
                <w:sz w:val="18"/>
                <w:szCs w:val="18"/>
              </w:rPr>
              <w:t>Tier</w:t>
            </w:r>
          </w:p>
        </w:tc>
        <w:tc>
          <w:tcPr>
            <w:tcW w:w="4073"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B25BC07" w14:textId="77777777" w:rsidR="001C19F3" w:rsidRDefault="001C19F3" w:rsidP="00521305">
            <w:pPr>
              <w:spacing w:after="0"/>
              <w:jc w:val="center"/>
            </w:pPr>
            <w:r>
              <w:rPr>
                <w:rFonts w:eastAsia="Century Gothic" w:cs="Century Gothic"/>
                <w:b/>
                <w:color w:val="FFFFFF"/>
                <w:sz w:val="18"/>
                <w:szCs w:val="18"/>
              </w:rPr>
              <w:t>Size</w:t>
            </w:r>
          </w:p>
        </w:tc>
      </w:tr>
      <w:tr w:rsidR="001C19F3" w14:paraId="7E5EE64B" w14:textId="77777777" w:rsidTr="00521305">
        <w:trPr>
          <w:cantSplit/>
          <w:trHeight w:val="20"/>
          <w:tblHeader/>
          <w:jc w:val="center"/>
        </w:trPr>
        <w:tc>
          <w:tcPr>
            <w:tcW w:w="3959" w:type="dxa"/>
            <w:vMerge/>
            <w:tcBorders>
              <w:top w:val="single" w:sz="8" w:space="0" w:color="BFBFBF"/>
              <w:left w:val="single" w:sz="8" w:space="0" w:color="BFBFBF"/>
              <w:bottom w:val="single" w:sz="8" w:space="0" w:color="BFBFBF"/>
              <w:right w:val="single" w:sz="8" w:space="0" w:color="BFBFBF"/>
            </w:tcBorders>
            <w:vAlign w:val="center"/>
            <w:hideMark/>
          </w:tcPr>
          <w:p w14:paraId="218D3632" w14:textId="77777777" w:rsidR="001C19F3" w:rsidRDefault="001C19F3" w:rsidP="00521305">
            <w:pPr>
              <w:spacing w:after="0"/>
              <w:rPr>
                <w:sz w:val="22"/>
              </w:rPr>
            </w:pPr>
          </w:p>
        </w:tc>
        <w:tc>
          <w:tcPr>
            <w:tcW w:w="1560" w:type="dxa"/>
            <w:vMerge/>
            <w:tcBorders>
              <w:top w:val="single" w:sz="8" w:space="0" w:color="BFBFBF"/>
              <w:left w:val="single" w:sz="8" w:space="0" w:color="BFBFBF"/>
              <w:bottom w:val="single" w:sz="8" w:space="0" w:color="BFBFBF"/>
              <w:right w:val="single" w:sz="8" w:space="0" w:color="BFBFBF"/>
            </w:tcBorders>
            <w:vAlign w:val="center"/>
            <w:hideMark/>
          </w:tcPr>
          <w:p w14:paraId="4164E200" w14:textId="77777777" w:rsidR="001C19F3" w:rsidRDefault="001C19F3" w:rsidP="00521305">
            <w:pPr>
              <w:spacing w:after="0"/>
              <w:rPr>
                <w:sz w:val="22"/>
              </w:rPr>
            </w:pP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63EEF91" w14:textId="77777777" w:rsidR="001C19F3" w:rsidRDefault="001C19F3" w:rsidP="00521305">
            <w:pPr>
              <w:spacing w:after="0"/>
              <w:jc w:val="center"/>
            </w:pPr>
            <w:r>
              <w:rPr>
                <w:rFonts w:eastAsia="Century Gothic" w:cs="Century Gothic"/>
                <w:b/>
                <w:color w:val="FFFFFF"/>
                <w:sz w:val="18"/>
                <w:szCs w:val="18"/>
              </w:rPr>
              <w:t>Tier 1</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7797826" w14:textId="77777777" w:rsidR="001C19F3" w:rsidRDefault="001C19F3" w:rsidP="00521305">
            <w:pPr>
              <w:spacing w:after="0"/>
              <w:jc w:val="center"/>
            </w:pPr>
            <w:r>
              <w:rPr>
                <w:rFonts w:eastAsia="Century Gothic" w:cs="Century Gothic"/>
                <w:b/>
                <w:color w:val="FFFFFF"/>
                <w:sz w:val="18"/>
                <w:szCs w:val="18"/>
              </w:rPr>
              <w:t>Tier 2</w:t>
            </w: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A0327EB" w14:textId="77777777" w:rsidR="001C19F3" w:rsidRDefault="001C19F3" w:rsidP="00521305">
            <w:pPr>
              <w:spacing w:after="0"/>
              <w:jc w:val="center"/>
            </w:pPr>
            <w:r>
              <w:rPr>
                <w:rFonts w:eastAsia="Century Gothic" w:cs="Century Gothic"/>
                <w:b/>
                <w:color w:val="FFFFFF"/>
                <w:sz w:val="18"/>
                <w:szCs w:val="18"/>
              </w:rPr>
              <w:t>Tier 3</w:t>
            </w:r>
          </w:p>
        </w:tc>
        <w:tc>
          <w:tcPr>
            <w:tcW w:w="127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1F1B3F"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559"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264EE31"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512B162"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09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92BBF83"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6D7BD5D5"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B5C60E" w14:textId="77777777" w:rsidR="001C19F3" w:rsidRDefault="001C19F3" w:rsidP="00521305">
            <w:pPr>
              <w:spacing w:before="40" w:after="40"/>
              <w:ind w:left="100" w:right="100"/>
            </w:pPr>
            <w:r>
              <w:rPr>
                <w:rFonts w:eastAsia="Century Gothic" w:cs="Century Gothic"/>
                <w:b/>
                <w:color w:val="000000"/>
                <w:sz w:val="18"/>
                <w:szCs w:val="18"/>
              </w:rPr>
              <w:t>H01 When all is said and done, I am the person who is responsible for managing my health condition(s) (Q20)</w:t>
            </w:r>
          </w:p>
        </w:tc>
      </w:tr>
      <w:tr w:rsidR="001C19F3" w14:paraId="41721422"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C748E9"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44E849" w14:textId="77777777" w:rsidR="001C19F3" w:rsidRDefault="001C19F3" w:rsidP="00521305">
            <w:pPr>
              <w:spacing w:before="40" w:after="40"/>
              <w:ind w:left="100" w:right="100"/>
              <w:jc w:val="center"/>
            </w:pPr>
            <w:r>
              <w:rPr>
                <w:rFonts w:eastAsia="Century Gothic" w:cs="Century Gothic"/>
                <w:color w:val="000000"/>
                <w:sz w:val="18"/>
                <w:szCs w:val="18"/>
              </w:rPr>
              <w:t>19 (0.9%)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9029F6"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A69C82" w14:textId="77777777" w:rsidR="001C19F3" w:rsidRDefault="001C19F3" w:rsidP="00521305">
            <w:pPr>
              <w:spacing w:before="40" w:after="40"/>
              <w:ind w:left="100" w:right="100"/>
              <w:jc w:val="center"/>
            </w:pPr>
            <w:r>
              <w:rPr>
                <w:rFonts w:eastAsia="Century Gothic" w:cs="Century Gothic"/>
                <w:color w:val="000000"/>
                <w:sz w:val="18"/>
                <w:szCs w:val="18"/>
              </w:rPr>
              <w:t>9 (0.9%)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CEEE68" w14:textId="77777777" w:rsidR="001C19F3" w:rsidRDefault="001C19F3" w:rsidP="00521305">
            <w:pPr>
              <w:spacing w:before="40" w:after="40"/>
              <w:ind w:left="100" w:right="100"/>
              <w:jc w:val="center"/>
            </w:pPr>
            <w:r>
              <w:rPr>
                <w:rFonts w:eastAsia="Century Gothic" w:cs="Century Gothic"/>
                <w:color w:val="000000"/>
                <w:sz w:val="18"/>
                <w:szCs w:val="18"/>
              </w:rPr>
              <w:t>6 (1.3%)</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CFB0C" w14:textId="77777777" w:rsidR="001C19F3" w:rsidRDefault="001C19F3" w:rsidP="00521305">
            <w:pPr>
              <w:spacing w:before="40" w:after="40"/>
              <w:ind w:left="100" w:right="100"/>
              <w:jc w:val="center"/>
            </w:pPr>
            <w:r>
              <w:rPr>
                <w:rFonts w:eastAsia="Century Gothic" w:cs="Century Gothic"/>
                <w:color w:val="000000"/>
                <w:sz w:val="18"/>
                <w:szCs w:val="18"/>
              </w:rPr>
              <w: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57F186" w14:textId="77777777" w:rsidR="001C19F3" w:rsidRDefault="001C19F3" w:rsidP="00521305">
            <w:pPr>
              <w:spacing w:before="40" w:after="40"/>
              <w:ind w:left="100" w:right="100"/>
              <w:jc w:val="center"/>
            </w:pPr>
            <w:r>
              <w:rPr>
                <w:rFonts w:eastAsia="Century Gothic" w:cs="Century Gothic"/>
                <w:color w:val="000000"/>
                <w:sz w:val="18"/>
                <w:szCs w:val="18"/>
              </w:rPr>
              <w:t>14 (1.2%)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D96664" w14:textId="77777777" w:rsidR="001C19F3" w:rsidRDefault="001C19F3" w:rsidP="00521305">
            <w:pPr>
              <w:spacing w:before="40" w:after="40"/>
              <w:ind w:left="100" w:right="100"/>
              <w:jc w:val="center"/>
            </w:pPr>
            <w:r>
              <w:rPr>
                <w:rFonts w:eastAsia="Century Gothic" w:cs="Century Gothic"/>
                <w:color w:val="000000"/>
                <w:sz w:val="18"/>
                <w:szCs w:val="18"/>
              </w:rPr>
              <w:t>5 (0.6%)</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39D376" w14:textId="77777777" w:rsidR="001C19F3" w:rsidRDefault="001C19F3" w:rsidP="00521305">
            <w:pPr>
              <w:spacing w:before="40" w:after="40"/>
              <w:ind w:left="100" w:right="100"/>
              <w:jc w:val="right"/>
            </w:pPr>
            <w:r>
              <w:rPr>
                <w:rFonts w:eastAsia="Century Gothic" w:cs="Century Gothic"/>
                <w:color w:val="000000"/>
                <w:sz w:val="18"/>
                <w:szCs w:val="18"/>
              </w:rPr>
              <w:t>0.068</w:t>
            </w:r>
          </w:p>
        </w:tc>
      </w:tr>
      <w:tr w:rsidR="001C19F3" w14:paraId="7469B8D0"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7B3404"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876B3A" w14:textId="77777777" w:rsidR="001C19F3" w:rsidRDefault="001C19F3" w:rsidP="00521305">
            <w:pPr>
              <w:spacing w:before="40" w:after="40"/>
              <w:ind w:left="100" w:right="100"/>
              <w:jc w:val="center"/>
            </w:pPr>
            <w:r>
              <w:rPr>
                <w:rFonts w:eastAsia="Century Gothic" w:cs="Century Gothic"/>
                <w:color w:val="000000"/>
                <w:sz w:val="18"/>
                <w:szCs w:val="18"/>
              </w:rPr>
              <w:t>70 (3.5%)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294784"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A97CAD" w14:textId="77777777" w:rsidR="001C19F3" w:rsidRDefault="001C19F3" w:rsidP="00521305">
            <w:pPr>
              <w:spacing w:before="40" w:after="40"/>
              <w:ind w:left="100" w:right="100"/>
              <w:jc w:val="center"/>
            </w:pPr>
            <w:r>
              <w:rPr>
                <w:rFonts w:eastAsia="Century Gothic" w:cs="Century Gothic"/>
                <w:color w:val="000000"/>
                <w:sz w:val="18"/>
                <w:szCs w:val="18"/>
              </w:rPr>
              <w:t>33 (3.3%)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20DE01" w14:textId="77777777" w:rsidR="001C19F3" w:rsidRDefault="001C19F3" w:rsidP="00521305">
            <w:pPr>
              <w:spacing w:before="40" w:after="40"/>
              <w:ind w:left="100" w:right="100"/>
              <w:jc w:val="center"/>
            </w:pPr>
            <w:r>
              <w:rPr>
                <w:rFonts w:eastAsia="Century Gothic" w:cs="Century Gothic"/>
                <w:color w:val="000000"/>
                <w:sz w:val="18"/>
                <w:szCs w:val="18"/>
              </w:rPr>
              <w:t>28 (6.1%)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DF18814"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FE5E8D" w14:textId="77777777" w:rsidR="001C19F3" w:rsidRDefault="001C19F3" w:rsidP="00521305">
            <w:pPr>
              <w:spacing w:before="40" w:after="40"/>
              <w:ind w:left="100" w:right="100"/>
              <w:jc w:val="center"/>
            </w:pPr>
            <w:r>
              <w:rPr>
                <w:rFonts w:eastAsia="Century Gothic" w:cs="Century Gothic"/>
                <w:color w:val="000000"/>
                <w:sz w:val="18"/>
                <w:szCs w:val="18"/>
              </w:rPr>
              <w:t>40 (3.4%)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7E27A7" w14:textId="77777777" w:rsidR="001C19F3" w:rsidRDefault="001C19F3" w:rsidP="00521305">
            <w:pPr>
              <w:spacing w:before="40" w:after="40"/>
              <w:ind w:left="100" w:right="100"/>
              <w:jc w:val="center"/>
            </w:pPr>
            <w:r>
              <w:rPr>
                <w:rFonts w:eastAsia="Century Gothic" w:cs="Century Gothic"/>
                <w:color w:val="000000"/>
                <w:sz w:val="18"/>
                <w:szCs w:val="18"/>
              </w:rPr>
              <w:t>30 (3.8%)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4C4291C" w14:textId="77777777" w:rsidR="001C19F3" w:rsidRDefault="001C19F3" w:rsidP="00521305">
            <w:pPr>
              <w:spacing w:after="0"/>
              <w:rPr>
                <w:sz w:val="22"/>
              </w:rPr>
            </w:pPr>
          </w:p>
        </w:tc>
      </w:tr>
      <w:tr w:rsidR="001C19F3" w14:paraId="0856F2EC"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E3F2C2"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4C53B" w14:textId="77777777" w:rsidR="001C19F3" w:rsidRDefault="001C19F3" w:rsidP="00521305">
            <w:pPr>
              <w:spacing w:before="40" w:after="40"/>
              <w:ind w:left="100" w:right="100"/>
              <w:jc w:val="center"/>
            </w:pPr>
            <w:r>
              <w:rPr>
                <w:rFonts w:eastAsia="Century Gothic" w:cs="Century Gothic"/>
                <w:color w:val="000000"/>
                <w:sz w:val="18"/>
                <w:szCs w:val="18"/>
              </w:rPr>
              <w:t>1,002 (49.7%)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6F5097" w14:textId="77777777" w:rsidR="001C19F3" w:rsidRDefault="001C19F3" w:rsidP="00521305">
            <w:pPr>
              <w:spacing w:before="40" w:after="40"/>
              <w:ind w:left="100" w:right="100"/>
              <w:jc w:val="center"/>
            </w:pPr>
            <w:r>
              <w:rPr>
                <w:rFonts w:eastAsia="Century Gothic" w:cs="Century Gothic"/>
                <w:color w:val="000000"/>
                <w:sz w:val="18"/>
                <w:szCs w:val="18"/>
              </w:rPr>
              <w:t>204 (47.0%)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735066" w14:textId="77777777" w:rsidR="001C19F3" w:rsidRDefault="001C19F3" w:rsidP="00521305">
            <w:pPr>
              <w:spacing w:before="40" w:after="40"/>
              <w:ind w:left="100" w:right="100"/>
              <w:jc w:val="center"/>
            </w:pPr>
            <w:r>
              <w:rPr>
                <w:rFonts w:eastAsia="Century Gothic" w:cs="Century Gothic"/>
                <w:color w:val="000000"/>
                <w:sz w:val="18"/>
                <w:szCs w:val="18"/>
              </w:rPr>
              <w:t>525 (52.0%)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E044F3" w14:textId="77777777" w:rsidR="001C19F3" w:rsidRDefault="001C19F3" w:rsidP="00521305">
            <w:pPr>
              <w:spacing w:before="40" w:after="40"/>
              <w:ind w:left="100" w:right="100"/>
              <w:jc w:val="center"/>
            </w:pPr>
            <w:r>
              <w:rPr>
                <w:rFonts w:eastAsia="Century Gothic" w:cs="Century Gothic"/>
                <w:color w:val="000000"/>
                <w:sz w:val="18"/>
                <w:szCs w:val="18"/>
              </w:rPr>
              <w:t>239 (52.4%)</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1C21929"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4C0F8A" w14:textId="77777777" w:rsidR="001C19F3" w:rsidRDefault="001C19F3" w:rsidP="00521305">
            <w:pPr>
              <w:spacing w:before="40" w:after="40"/>
              <w:ind w:left="100" w:right="100"/>
              <w:jc w:val="center"/>
            </w:pPr>
            <w:r>
              <w:rPr>
                <w:rFonts w:eastAsia="Century Gothic" w:cs="Century Gothic"/>
                <w:color w:val="000000"/>
                <w:sz w:val="18"/>
                <w:szCs w:val="18"/>
              </w:rPr>
              <w:t>624 (53.0%)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FCEC36" w14:textId="77777777" w:rsidR="001C19F3" w:rsidRDefault="001C19F3" w:rsidP="00521305">
            <w:pPr>
              <w:spacing w:before="40" w:after="40"/>
              <w:ind w:left="100" w:right="100"/>
              <w:jc w:val="center"/>
            </w:pPr>
            <w:r>
              <w:rPr>
                <w:rFonts w:eastAsia="Century Gothic" w:cs="Century Gothic"/>
                <w:color w:val="000000"/>
                <w:sz w:val="18"/>
                <w:szCs w:val="18"/>
              </w:rPr>
              <w:t>378 (47.8%)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FFEAD9C" w14:textId="77777777" w:rsidR="001C19F3" w:rsidRDefault="001C19F3" w:rsidP="00521305">
            <w:pPr>
              <w:spacing w:after="0"/>
              <w:rPr>
                <w:sz w:val="22"/>
              </w:rPr>
            </w:pPr>
          </w:p>
        </w:tc>
      </w:tr>
      <w:tr w:rsidR="001C19F3" w14:paraId="0E6766E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B1F286"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B1A74A" w14:textId="77777777" w:rsidR="001C19F3" w:rsidRDefault="001C19F3" w:rsidP="00521305">
            <w:pPr>
              <w:spacing w:before="40" w:after="40"/>
              <w:ind w:left="100" w:right="100"/>
              <w:jc w:val="center"/>
            </w:pPr>
            <w:r>
              <w:rPr>
                <w:rFonts w:eastAsia="Century Gothic" w:cs="Century Gothic"/>
                <w:color w:val="000000"/>
                <w:sz w:val="18"/>
                <w:szCs w:val="18"/>
              </w:rPr>
              <w:t>877 (43.5%)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6BACF5" w14:textId="77777777" w:rsidR="001C19F3" w:rsidRDefault="001C19F3" w:rsidP="00521305">
            <w:pPr>
              <w:spacing w:before="40" w:after="40"/>
              <w:ind w:left="100" w:right="100"/>
              <w:jc w:val="center"/>
            </w:pPr>
            <w:r>
              <w:rPr>
                <w:rFonts w:eastAsia="Century Gothic" w:cs="Century Gothic"/>
                <w:color w:val="000000"/>
                <w:sz w:val="18"/>
                <w:szCs w:val="18"/>
              </w:rPr>
              <w:t>220 (50.7%)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D6FC23" w14:textId="77777777" w:rsidR="001C19F3" w:rsidRDefault="001C19F3" w:rsidP="00521305">
            <w:pPr>
              <w:spacing w:before="40" w:after="40"/>
              <w:ind w:left="100" w:right="100"/>
              <w:jc w:val="center"/>
            </w:pPr>
            <w:r>
              <w:rPr>
                <w:rFonts w:eastAsia="Century Gothic" w:cs="Century Gothic"/>
                <w:color w:val="000000"/>
                <w:sz w:val="18"/>
                <w:szCs w:val="18"/>
              </w:rPr>
              <w:t>443 (43.9%)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9388FC" w14:textId="77777777" w:rsidR="001C19F3" w:rsidRDefault="001C19F3" w:rsidP="00521305">
            <w:pPr>
              <w:spacing w:before="40" w:after="40"/>
              <w:ind w:left="100" w:right="100"/>
              <w:jc w:val="center"/>
            </w:pPr>
            <w:r>
              <w:rPr>
                <w:rFonts w:eastAsia="Century Gothic" w:cs="Century Gothic"/>
                <w:color w:val="000000"/>
                <w:sz w:val="18"/>
                <w:szCs w:val="18"/>
              </w:rPr>
              <w:t>183 (40.1%)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EFADCDA"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F75E9B" w14:textId="77777777" w:rsidR="001C19F3" w:rsidRDefault="001C19F3" w:rsidP="00521305">
            <w:pPr>
              <w:spacing w:before="40" w:after="40"/>
              <w:ind w:left="100" w:right="100"/>
              <w:jc w:val="center"/>
            </w:pPr>
            <w:r>
              <w:rPr>
                <w:rFonts w:eastAsia="Century Gothic" w:cs="Century Gothic"/>
                <w:color w:val="000000"/>
                <w:sz w:val="18"/>
                <w:szCs w:val="18"/>
              </w:rPr>
              <w:t>500 (42.4%)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F517C1" w14:textId="77777777" w:rsidR="001C19F3" w:rsidRDefault="001C19F3" w:rsidP="00521305">
            <w:pPr>
              <w:spacing w:before="40" w:after="40"/>
              <w:ind w:left="100" w:right="100"/>
              <w:jc w:val="center"/>
            </w:pPr>
            <w:r>
              <w:rPr>
                <w:rFonts w:eastAsia="Century Gothic" w:cs="Century Gothic"/>
                <w:color w:val="000000"/>
                <w:sz w:val="18"/>
                <w:szCs w:val="18"/>
              </w:rPr>
              <w:t>377 (47.7%)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99D30D7" w14:textId="77777777" w:rsidR="001C19F3" w:rsidRDefault="001C19F3" w:rsidP="00521305">
            <w:pPr>
              <w:spacing w:after="0"/>
              <w:rPr>
                <w:sz w:val="22"/>
              </w:rPr>
            </w:pPr>
          </w:p>
        </w:tc>
      </w:tr>
      <w:tr w:rsidR="001C19F3" w14:paraId="51FE33E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E3414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4BEB5A" w14:textId="77777777" w:rsidR="001C19F3" w:rsidRDefault="001C19F3" w:rsidP="00521305">
            <w:pPr>
              <w:spacing w:before="40" w:after="40"/>
              <w:ind w:left="100" w:right="100"/>
              <w:jc w:val="center"/>
            </w:pPr>
            <w:r>
              <w:rPr>
                <w:rFonts w:eastAsia="Century Gothic" w:cs="Century Gothic"/>
                <w:color w:val="000000"/>
                <w:sz w:val="18"/>
                <w:szCs w:val="18"/>
              </w:rPr>
              <w:t>42 (2.1%)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90BC21"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8E0F10"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E4A0D1"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FA611E"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6CAB04"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E9A0AD" w14:textId="77777777" w:rsidR="001C19F3" w:rsidRDefault="001C19F3" w:rsidP="00521305">
            <w:pPr>
              <w:spacing w:before="40" w:after="40"/>
              <w:ind w:left="100" w:right="100"/>
              <w:jc w:val="center"/>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C60017" w14:textId="77777777" w:rsidR="001C19F3" w:rsidRDefault="001C19F3" w:rsidP="00521305">
            <w:pPr>
              <w:spacing w:before="40" w:after="40"/>
              <w:ind w:left="100" w:right="100"/>
              <w:jc w:val="right"/>
            </w:pPr>
          </w:p>
        </w:tc>
      </w:tr>
      <w:tr w:rsidR="001C19F3" w14:paraId="3EF75B5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1A95BD"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EF458F" w14:textId="77777777" w:rsidR="001C19F3" w:rsidRDefault="001C19F3" w:rsidP="00521305">
            <w:pPr>
              <w:spacing w:before="40" w:after="40"/>
              <w:ind w:left="100" w:right="100"/>
              <w:jc w:val="center"/>
            </w:pPr>
            <w:r>
              <w:rPr>
                <w:rFonts w:eastAsia="Century Gothic" w:cs="Century Gothic"/>
                <w:color w:val="000000"/>
                <w:sz w:val="18"/>
                <w:szCs w:val="18"/>
              </w:rPr>
              <w:t>8 (0.4%)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4C46E2"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480DF7"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4C899B"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347E715"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79006C"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120960" w14:textId="77777777" w:rsidR="001C19F3" w:rsidRDefault="001C19F3" w:rsidP="00521305">
            <w:pPr>
              <w:spacing w:before="40" w:after="40"/>
              <w:ind w:left="100" w:right="100"/>
              <w:jc w:val="center"/>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FFE6F0E" w14:textId="77777777" w:rsidR="001C19F3" w:rsidRDefault="001C19F3" w:rsidP="00521305">
            <w:pPr>
              <w:spacing w:after="0"/>
              <w:rPr>
                <w:sz w:val="22"/>
              </w:rPr>
            </w:pPr>
          </w:p>
        </w:tc>
      </w:tr>
      <w:tr w:rsidR="001C19F3" w14:paraId="5417B9AF"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7881C9" w14:textId="77777777" w:rsidR="001C19F3" w:rsidRDefault="001C19F3" w:rsidP="00521305">
            <w:pPr>
              <w:spacing w:before="40" w:after="40"/>
              <w:ind w:left="100" w:right="100"/>
            </w:pPr>
            <w:r>
              <w:rPr>
                <w:rFonts w:eastAsia="Century Gothic" w:cs="Century Gothic"/>
                <w:b/>
                <w:color w:val="000000"/>
                <w:sz w:val="18"/>
                <w:szCs w:val="18"/>
              </w:rPr>
              <w:t>H02 Taking an active role in my own health care is the most important factor in determining my health and ability to function (Q20)</w:t>
            </w:r>
          </w:p>
        </w:tc>
      </w:tr>
      <w:tr w:rsidR="001C19F3" w14:paraId="32E0CA80"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3B5B39"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275BB8" w14:textId="77777777" w:rsidR="001C19F3" w:rsidRDefault="001C19F3" w:rsidP="00521305">
            <w:pPr>
              <w:spacing w:before="40" w:after="40"/>
              <w:ind w:left="100" w:right="100"/>
              <w:jc w:val="center"/>
            </w:pPr>
            <w:r>
              <w:rPr>
                <w:rFonts w:eastAsia="Century Gothic" w:cs="Century Gothic"/>
                <w:color w:val="000000"/>
                <w:sz w:val="18"/>
                <w:szCs w:val="18"/>
              </w:rPr>
              <w:t>13 (0.6%)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F67CA8"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191890" w14:textId="77777777" w:rsidR="001C19F3" w:rsidRDefault="001C19F3" w:rsidP="00521305">
            <w:pPr>
              <w:spacing w:before="40" w:after="40"/>
              <w:ind w:left="100" w:right="100"/>
              <w:jc w:val="center"/>
            </w:pPr>
            <w:r>
              <w:rPr>
                <w:rFonts w:eastAsia="Century Gothic" w:cs="Century Gothic"/>
                <w:color w:val="000000"/>
                <w:sz w:val="18"/>
                <w:szCs w:val="18"/>
              </w:rPr>
              <w:t>7 (0.7%)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D03CDC"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BB70CD" w14:textId="77777777" w:rsidR="001C19F3" w:rsidRDefault="001C19F3" w:rsidP="00521305">
            <w:pPr>
              <w:spacing w:before="40" w:after="40"/>
              <w:ind w:left="100" w:right="100"/>
              <w:jc w:val="center"/>
            </w:pPr>
            <w:r>
              <w:rPr>
                <w:rFonts w:eastAsia="Century Gothic" w:cs="Century Gothic"/>
                <w:color w:val="000000"/>
                <w:sz w:val="18"/>
                <w:szCs w:val="18"/>
              </w:rPr>
              <w:t>0.089</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E3611C" w14:textId="77777777" w:rsidR="001C19F3" w:rsidRDefault="001C19F3" w:rsidP="00521305">
            <w:pPr>
              <w:spacing w:before="40" w:after="40"/>
              <w:ind w:left="100" w:right="100"/>
              <w:jc w:val="center"/>
            </w:pPr>
            <w:r>
              <w:rPr>
                <w:rFonts w:eastAsia="Century Gothic" w:cs="Century Gothic"/>
                <w:color w:val="000000"/>
                <w:sz w:val="18"/>
                <w:szCs w:val="18"/>
              </w:rPr>
              <w:t>9 (0.8%)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113394" w14:textId="77777777" w:rsidR="001C19F3" w:rsidRDefault="001C19F3" w:rsidP="00521305">
            <w:pPr>
              <w:spacing w:before="40" w:after="40"/>
              <w:ind w:left="100" w:right="100"/>
              <w:jc w:val="center"/>
            </w:pPr>
            <w:r>
              <w:rPr>
                <w:rFonts w:eastAsia="Century Gothic" w:cs="Century Gothic"/>
                <w:color w:val="000000"/>
                <w:sz w:val="18"/>
                <w:szCs w:val="18"/>
              </w:rPr>
              <w:t>4 (0.5%)</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F4AEC0" w14:textId="77777777" w:rsidR="001C19F3" w:rsidRDefault="001C19F3" w:rsidP="00521305">
            <w:pPr>
              <w:spacing w:before="40" w:after="40"/>
              <w:ind w:left="100" w:right="100"/>
              <w:jc w:val="right"/>
            </w:pPr>
            <w:r>
              <w:rPr>
                <w:rFonts w:eastAsia="Century Gothic" w:cs="Century Gothic"/>
                <w:color w:val="000000"/>
                <w:sz w:val="18"/>
                <w:szCs w:val="18"/>
              </w:rPr>
              <w:t>0.168</w:t>
            </w:r>
          </w:p>
        </w:tc>
      </w:tr>
      <w:tr w:rsidR="001C19F3" w14:paraId="6CCF1DE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C566AA"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00839D" w14:textId="77777777" w:rsidR="001C19F3" w:rsidRDefault="001C19F3" w:rsidP="00521305">
            <w:pPr>
              <w:spacing w:before="40" w:after="40"/>
              <w:ind w:left="100" w:right="100"/>
              <w:jc w:val="center"/>
            </w:pPr>
            <w:r>
              <w:rPr>
                <w:rFonts w:eastAsia="Century Gothic" w:cs="Century Gothic"/>
                <w:color w:val="000000"/>
                <w:sz w:val="18"/>
                <w:szCs w:val="18"/>
              </w:rPr>
              <w:t>31 (1.5%)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C6019E" w14:textId="77777777" w:rsidR="001C19F3" w:rsidRDefault="001C19F3" w:rsidP="00521305">
            <w:pPr>
              <w:spacing w:before="40" w:after="40"/>
              <w:ind w:left="100" w:right="100"/>
              <w:jc w:val="center"/>
            </w:pPr>
            <w:r>
              <w:rPr>
                <w:rFonts w:eastAsia="Century Gothic" w:cs="Century Gothic"/>
                <w:color w:val="000000"/>
                <w:sz w:val="18"/>
                <w:szCs w:val="18"/>
              </w:rPr>
              <w:t>4 (0.9%)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38CD3B" w14:textId="77777777" w:rsidR="001C19F3" w:rsidRDefault="001C19F3" w:rsidP="00521305">
            <w:pPr>
              <w:spacing w:before="40" w:after="40"/>
              <w:ind w:left="100" w:right="100"/>
              <w:jc w:val="center"/>
            </w:pPr>
            <w:r>
              <w:rPr>
                <w:rFonts w:eastAsia="Century Gothic" w:cs="Century Gothic"/>
                <w:color w:val="000000"/>
                <w:sz w:val="18"/>
                <w:szCs w:val="18"/>
              </w:rPr>
              <w:t>13 (1.3%)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265189" w14:textId="77777777" w:rsidR="001C19F3" w:rsidRDefault="001C19F3" w:rsidP="00521305">
            <w:pPr>
              <w:spacing w:before="40" w:after="40"/>
              <w:ind w:left="100" w:right="100"/>
              <w:jc w:val="center"/>
            </w:pPr>
            <w:r>
              <w:rPr>
                <w:rFonts w:eastAsia="Century Gothic" w:cs="Century Gothic"/>
                <w:color w:val="000000"/>
                <w:sz w:val="18"/>
                <w:szCs w:val="18"/>
              </w:rPr>
              <w:t>14 (3.1%)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812CD68"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5F0A6B" w14:textId="77777777" w:rsidR="001C19F3" w:rsidRDefault="001C19F3" w:rsidP="00521305">
            <w:pPr>
              <w:spacing w:before="40" w:after="40"/>
              <w:ind w:left="100" w:right="100"/>
              <w:jc w:val="center"/>
            </w:pPr>
            <w:r>
              <w:rPr>
                <w:rFonts w:eastAsia="Century Gothic" w:cs="Century Gothic"/>
                <w:color w:val="000000"/>
                <w:sz w:val="18"/>
                <w:szCs w:val="18"/>
              </w:rPr>
              <w:t>18 (1.5%)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1F5342" w14:textId="77777777" w:rsidR="001C19F3" w:rsidRDefault="001C19F3" w:rsidP="00521305">
            <w:pPr>
              <w:spacing w:before="40" w:after="40"/>
              <w:ind w:left="100" w:right="100"/>
              <w:jc w:val="center"/>
            </w:pPr>
            <w:r>
              <w:rPr>
                <w:rFonts w:eastAsia="Century Gothic" w:cs="Century Gothic"/>
                <w:color w:val="000000"/>
                <w:sz w:val="18"/>
                <w:szCs w:val="18"/>
              </w:rPr>
              <w:t>13 (1.6%)</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5C9E125" w14:textId="77777777" w:rsidR="001C19F3" w:rsidRDefault="001C19F3" w:rsidP="00521305">
            <w:pPr>
              <w:spacing w:after="0"/>
              <w:rPr>
                <w:sz w:val="22"/>
              </w:rPr>
            </w:pPr>
          </w:p>
        </w:tc>
      </w:tr>
      <w:tr w:rsidR="001C19F3" w14:paraId="0C40880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BC3D54"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89A1BF" w14:textId="77777777" w:rsidR="001C19F3" w:rsidRDefault="001C19F3" w:rsidP="00521305">
            <w:pPr>
              <w:spacing w:before="40" w:after="40"/>
              <w:ind w:left="100" w:right="100"/>
              <w:jc w:val="center"/>
            </w:pPr>
            <w:r>
              <w:rPr>
                <w:rFonts w:eastAsia="Century Gothic" w:cs="Century Gothic"/>
                <w:color w:val="000000"/>
                <w:sz w:val="18"/>
                <w:szCs w:val="18"/>
              </w:rPr>
              <w:t>922 (45.7%)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0EFB3F" w14:textId="77777777" w:rsidR="001C19F3" w:rsidRDefault="001C19F3" w:rsidP="00521305">
            <w:pPr>
              <w:spacing w:before="40" w:after="40"/>
              <w:ind w:left="100" w:right="100"/>
              <w:jc w:val="center"/>
            </w:pPr>
            <w:r>
              <w:rPr>
                <w:rFonts w:eastAsia="Century Gothic" w:cs="Century Gothic"/>
                <w:color w:val="000000"/>
                <w:sz w:val="18"/>
                <w:szCs w:val="18"/>
              </w:rPr>
              <w:t>194 (44.5%)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97813" w14:textId="77777777" w:rsidR="001C19F3" w:rsidRDefault="001C19F3" w:rsidP="00521305">
            <w:pPr>
              <w:spacing w:before="40" w:after="40"/>
              <w:ind w:left="100" w:right="100"/>
              <w:jc w:val="center"/>
            </w:pPr>
            <w:r>
              <w:rPr>
                <w:rFonts w:eastAsia="Century Gothic" w:cs="Century Gothic"/>
                <w:color w:val="000000"/>
                <w:sz w:val="18"/>
                <w:szCs w:val="18"/>
              </w:rPr>
              <w:t>476 (46.9%)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106916" w14:textId="77777777" w:rsidR="001C19F3" w:rsidRDefault="001C19F3" w:rsidP="00521305">
            <w:pPr>
              <w:spacing w:before="40" w:after="40"/>
              <w:ind w:left="100" w:right="100"/>
              <w:jc w:val="center"/>
            </w:pPr>
            <w:r>
              <w:rPr>
                <w:rFonts w:eastAsia="Century Gothic" w:cs="Century Gothic"/>
                <w:color w:val="000000"/>
                <w:sz w:val="18"/>
                <w:szCs w:val="18"/>
              </w:rPr>
              <w:t>224 (49.1%)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49C5851"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F507C5" w14:textId="77777777" w:rsidR="001C19F3" w:rsidRDefault="001C19F3" w:rsidP="00521305">
            <w:pPr>
              <w:spacing w:before="40" w:after="40"/>
              <w:ind w:left="100" w:right="100"/>
              <w:jc w:val="center"/>
            </w:pPr>
            <w:r>
              <w:rPr>
                <w:rFonts w:eastAsia="Century Gothic" w:cs="Century Gothic"/>
                <w:color w:val="000000"/>
                <w:sz w:val="18"/>
                <w:szCs w:val="18"/>
              </w:rPr>
              <w:t>572 (48.6%)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38036F" w14:textId="77777777" w:rsidR="001C19F3" w:rsidRDefault="001C19F3" w:rsidP="00521305">
            <w:pPr>
              <w:spacing w:before="40" w:after="40"/>
              <w:ind w:left="100" w:right="100"/>
              <w:jc w:val="center"/>
            </w:pPr>
            <w:r>
              <w:rPr>
                <w:rFonts w:eastAsia="Century Gothic" w:cs="Century Gothic"/>
                <w:color w:val="000000"/>
                <w:sz w:val="18"/>
                <w:szCs w:val="18"/>
              </w:rPr>
              <w:t>350 (43.9%)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2E87E42" w14:textId="77777777" w:rsidR="001C19F3" w:rsidRDefault="001C19F3" w:rsidP="00521305">
            <w:pPr>
              <w:spacing w:after="0"/>
              <w:rPr>
                <w:sz w:val="22"/>
              </w:rPr>
            </w:pPr>
          </w:p>
        </w:tc>
      </w:tr>
      <w:tr w:rsidR="001C19F3" w14:paraId="5E8C36E7"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AEB35C"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2382DA" w14:textId="77777777" w:rsidR="001C19F3" w:rsidRDefault="001C19F3" w:rsidP="00521305">
            <w:pPr>
              <w:spacing w:before="40" w:after="40"/>
              <w:ind w:left="100" w:right="100"/>
              <w:jc w:val="center"/>
            </w:pPr>
            <w:r>
              <w:rPr>
                <w:rFonts w:eastAsia="Century Gothic" w:cs="Century Gothic"/>
                <w:color w:val="000000"/>
                <w:sz w:val="18"/>
                <w:szCs w:val="18"/>
              </w:rPr>
              <w:t>1,009 (50.0%)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5FA20A" w14:textId="77777777" w:rsidR="001C19F3" w:rsidRDefault="001C19F3" w:rsidP="00521305">
            <w:pPr>
              <w:spacing w:before="40" w:after="40"/>
              <w:ind w:left="100" w:right="100"/>
              <w:jc w:val="center"/>
            </w:pPr>
            <w:r>
              <w:rPr>
                <w:rFonts w:eastAsia="Century Gothic" w:cs="Century Gothic"/>
                <w:color w:val="000000"/>
                <w:sz w:val="18"/>
                <w:szCs w:val="18"/>
              </w:rPr>
              <w:t>235 (53.9%)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81FFF" w14:textId="77777777" w:rsidR="001C19F3" w:rsidRDefault="001C19F3" w:rsidP="00521305">
            <w:pPr>
              <w:spacing w:before="40" w:after="40"/>
              <w:ind w:left="100" w:right="100"/>
              <w:jc w:val="center"/>
            </w:pPr>
            <w:r>
              <w:rPr>
                <w:rFonts w:eastAsia="Century Gothic" w:cs="Century Gothic"/>
                <w:color w:val="000000"/>
                <w:sz w:val="18"/>
                <w:szCs w:val="18"/>
              </w:rPr>
              <w:t>518 (51.1%)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501C42" w14:textId="77777777" w:rsidR="001C19F3" w:rsidRDefault="001C19F3" w:rsidP="00521305">
            <w:pPr>
              <w:spacing w:before="40" w:after="40"/>
              <w:ind w:left="100" w:right="100"/>
              <w:jc w:val="center"/>
            </w:pPr>
            <w:r>
              <w:rPr>
                <w:rFonts w:eastAsia="Century Gothic" w:cs="Century Gothic"/>
                <w:color w:val="000000"/>
                <w:sz w:val="18"/>
                <w:szCs w:val="18"/>
              </w:rPr>
              <w:t>215 (47.1%)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3D58C04E"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D6503F" w14:textId="77777777" w:rsidR="001C19F3" w:rsidRDefault="001C19F3" w:rsidP="00521305">
            <w:pPr>
              <w:spacing w:before="40" w:after="40"/>
              <w:ind w:left="100" w:right="100"/>
              <w:jc w:val="center"/>
            </w:pPr>
            <w:r>
              <w:rPr>
                <w:rFonts w:eastAsia="Century Gothic" w:cs="Century Gothic"/>
                <w:color w:val="000000"/>
                <w:sz w:val="18"/>
                <w:szCs w:val="18"/>
              </w:rPr>
              <w:t>578 (49.1%)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D1478C" w14:textId="77777777" w:rsidR="001C19F3" w:rsidRDefault="001C19F3" w:rsidP="00521305">
            <w:pPr>
              <w:spacing w:before="40" w:after="40"/>
              <w:ind w:left="100" w:right="100"/>
              <w:jc w:val="center"/>
            </w:pPr>
            <w:r>
              <w:rPr>
                <w:rFonts w:eastAsia="Century Gothic" w:cs="Century Gothic"/>
                <w:color w:val="000000"/>
                <w:sz w:val="18"/>
                <w:szCs w:val="18"/>
              </w:rPr>
              <w:t>431 (54.0%)</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FB28459" w14:textId="77777777" w:rsidR="001C19F3" w:rsidRDefault="001C19F3" w:rsidP="00521305">
            <w:pPr>
              <w:spacing w:after="0"/>
              <w:rPr>
                <w:sz w:val="22"/>
              </w:rPr>
            </w:pPr>
          </w:p>
        </w:tc>
      </w:tr>
      <w:tr w:rsidR="001C19F3" w14:paraId="60B8D06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231D53"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28D817" w14:textId="77777777" w:rsidR="001C19F3" w:rsidRDefault="001C19F3" w:rsidP="00521305">
            <w:pPr>
              <w:spacing w:before="40" w:after="40"/>
              <w:ind w:left="100" w:right="100"/>
              <w:jc w:val="center"/>
            </w:pPr>
            <w:r>
              <w:rPr>
                <w:rFonts w:eastAsia="Century Gothic" w:cs="Century Gothic"/>
                <w:color w:val="000000"/>
                <w:sz w:val="18"/>
                <w:szCs w:val="18"/>
              </w:rPr>
              <w:t>39 (1.9%)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F6A327"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DDDCDE"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6F1859"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05F728"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E797CA"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B70D8D"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8FCD04" w14:textId="77777777" w:rsidR="001C19F3" w:rsidRDefault="001C19F3" w:rsidP="00521305">
            <w:pPr>
              <w:spacing w:before="40" w:after="40"/>
              <w:ind w:left="100" w:right="100"/>
              <w:jc w:val="right"/>
            </w:pPr>
          </w:p>
        </w:tc>
      </w:tr>
      <w:tr w:rsidR="001C19F3" w14:paraId="03B4F030"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207B07"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1C936F" w14:textId="77777777" w:rsidR="001C19F3" w:rsidRDefault="001C19F3" w:rsidP="00521305">
            <w:pPr>
              <w:spacing w:before="40" w:after="40"/>
              <w:ind w:left="100" w:right="100"/>
              <w:jc w:val="center"/>
            </w:pPr>
            <w:r>
              <w:rPr>
                <w:rFonts w:eastAsia="Century Gothic" w:cs="Century Gothic"/>
                <w:color w:val="000000"/>
                <w:sz w:val="18"/>
                <w:szCs w:val="18"/>
              </w:rPr>
              <w:t>4 (0.2%)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50E5A3"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866FAA"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76913E"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AAED21E"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BF6D29"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CBBACD"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BCA1C85" w14:textId="77777777" w:rsidR="001C19F3" w:rsidRDefault="001C19F3" w:rsidP="00521305">
            <w:pPr>
              <w:spacing w:after="0"/>
              <w:rPr>
                <w:sz w:val="22"/>
              </w:rPr>
            </w:pPr>
          </w:p>
        </w:tc>
      </w:tr>
      <w:tr w:rsidR="001C19F3" w14:paraId="746DDC12"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F1B0F" w14:textId="77777777" w:rsidR="001C19F3" w:rsidRDefault="001C19F3" w:rsidP="00521305">
            <w:pPr>
              <w:spacing w:before="40" w:after="40"/>
              <w:ind w:left="100" w:right="100"/>
            </w:pPr>
            <w:r>
              <w:rPr>
                <w:rFonts w:eastAsia="Century Gothic" w:cs="Century Gothic"/>
                <w:b/>
                <w:color w:val="000000"/>
                <w:sz w:val="18"/>
                <w:szCs w:val="18"/>
              </w:rPr>
              <w:t>H03 I know what each of my prescribed medications do (Q20)</w:t>
            </w:r>
          </w:p>
        </w:tc>
      </w:tr>
      <w:tr w:rsidR="001C19F3" w14:paraId="62B951C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A0A5A3"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FF24DF" w14:textId="77777777" w:rsidR="001C19F3" w:rsidRDefault="001C19F3" w:rsidP="00521305">
            <w:pPr>
              <w:spacing w:before="40" w:after="40"/>
              <w:ind w:left="100" w:right="100"/>
              <w:jc w:val="center"/>
            </w:pPr>
            <w:r>
              <w:rPr>
                <w:rFonts w:eastAsia="Century Gothic" w:cs="Century Gothic"/>
                <w:color w:val="000000"/>
                <w:sz w:val="18"/>
                <w:szCs w:val="18"/>
              </w:rPr>
              <w:t>12 (0.6%)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3663DD"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A20202" w14:textId="77777777" w:rsidR="001C19F3" w:rsidRDefault="001C19F3" w:rsidP="00521305">
            <w:pPr>
              <w:spacing w:before="40" w:after="40"/>
              <w:ind w:left="100" w:right="100"/>
              <w:jc w:val="center"/>
            </w:pPr>
            <w:r>
              <w:rPr>
                <w:rFonts w:eastAsia="Century Gothic" w:cs="Century Gothic"/>
                <w:color w:val="000000"/>
                <w:sz w:val="18"/>
                <w:szCs w:val="18"/>
              </w:rPr>
              <w:t>7 (0.7%)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33CFB4"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B42973" w14:textId="77777777" w:rsidR="001C19F3" w:rsidRDefault="001C19F3" w:rsidP="00521305">
            <w:pPr>
              <w:spacing w:before="40" w:after="40"/>
              <w:ind w:left="100" w:right="100"/>
              <w:jc w:val="center"/>
            </w:pPr>
            <w:r>
              <w:rPr>
                <w:rFonts w:eastAsia="Century Gothic" w:cs="Century Gothic"/>
                <w:color w:val="000000"/>
                <w:sz w:val="18"/>
                <w:szCs w:val="18"/>
              </w:rPr>
              <w:t>0.005</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A6DA65" w14:textId="77777777" w:rsidR="001C19F3" w:rsidRDefault="001C19F3" w:rsidP="00521305">
            <w:pPr>
              <w:spacing w:before="40" w:after="40"/>
              <w:ind w:left="100" w:right="100"/>
              <w:jc w:val="center"/>
            </w:pPr>
            <w:r>
              <w:rPr>
                <w:rFonts w:eastAsia="Century Gothic" w:cs="Century Gothic"/>
                <w:color w:val="000000"/>
                <w:sz w:val="18"/>
                <w:szCs w:val="18"/>
              </w:rPr>
              <w:t>12 (1.0%)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1548AF" w14:textId="77777777" w:rsidR="001C19F3" w:rsidRDefault="001C19F3" w:rsidP="00521305">
            <w:pPr>
              <w:spacing w:before="40" w:after="40"/>
              <w:ind w:left="100" w:right="100"/>
              <w:jc w:val="center"/>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9232F2"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74124F4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83B787"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24ADA1" w14:textId="77777777" w:rsidR="001C19F3" w:rsidRDefault="001C19F3" w:rsidP="00521305">
            <w:pPr>
              <w:spacing w:before="40" w:after="40"/>
              <w:ind w:left="100" w:right="100"/>
              <w:jc w:val="center"/>
            </w:pPr>
            <w:r>
              <w:rPr>
                <w:rFonts w:eastAsia="Century Gothic" w:cs="Century Gothic"/>
                <w:color w:val="000000"/>
                <w:sz w:val="18"/>
                <w:szCs w:val="18"/>
              </w:rPr>
              <w:t>72 (3.6%)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25CF6E" w14:textId="77777777" w:rsidR="001C19F3" w:rsidRDefault="001C19F3" w:rsidP="00521305">
            <w:pPr>
              <w:spacing w:before="40" w:after="40"/>
              <w:ind w:left="100" w:right="100"/>
              <w:jc w:val="center"/>
            </w:pPr>
            <w:r>
              <w:rPr>
                <w:rFonts w:eastAsia="Century Gothic" w:cs="Century Gothic"/>
                <w:color w:val="000000"/>
                <w:sz w:val="18"/>
                <w:szCs w:val="18"/>
              </w:rPr>
              <w:t>9 (2.1%)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9395EA" w14:textId="77777777" w:rsidR="001C19F3" w:rsidRDefault="001C19F3" w:rsidP="00521305">
            <w:pPr>
              <w:spacing w:before="40" w:after="40"/>
              <w:ind w:left="100" w:right="100"/>
              <w:jc w:val="center"/>
            </w:pPr>
            <w:r>
              <w:rPr>
                <w:rFonts w:eastAsia="Century Gothic" w:cs="Century Gothic"/>
                <w:color w:val="000000"/>
                <w:sz w:val="18"/>
                <w:szCs w:val="18"/>
              </w:rPr>
              <w:t>31 (3.0%)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EAFB84" w14:textId="77777777" w:rsidR="001C19F3" w:rsidRDefault="001C19F3" w:rsidP="00521305">
            <w:pPr>
              <w:spacing w:before="40" w:after="40"/>
              <w:ind w:left="100" w:right="100"/>
              <w:jc w:val="center"/>
            </w:pPr>
            <w:r>
              <w:rPr>
                <w:rFonts w:eastAsia="Century Gothic" w:cs="Century Gothic"/>
                <w:color w:val="000000"/>
                <w:sz w:val="18"/>
                <w:szCs w:val="18"/>
              </w:rPr>
              <w:t>29 (6.4%)</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2BFB1B3"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0E317" w14:textId="77777777" w:rsidR="001C19F3" w:rsidRDefault="001C19F3" w:rsidP="00521305">
            <w:pPr>
              <w:spacing w:before="40" w:after="40"/>
              <w:ind w:left="100" w:right="100"/>
              <w:jc w:val="center"/>
            </w:pPr>
            <w:r>
              <w:rPr>
                <w:rFonts w:eastAsia="Century Gothic" w:cs="Century Gothic"/>
                <w:color w:val="000000"/>
                <w:sz w:val="18"/>
                <w:szCs w:val="18"/>
              </w:rPr>
              <w:t>41 (3.5%)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E4B2A3" w14:textId="77777777" w:rsidR="001C19F3" w:rsidRDefault="001C19F3" w:rsidP="00521305">
            <w:pPr>
              <w:spacing w:before="40" w:after="40"/>
              <w:ind w:left="100" w:right="100"/>
              <w:jc w:val="center"/>
            </w:pPr>
            <w:r>
              <w:rPr>
                <w:rFonts w:eastAsia="Century Gothic" w:cs="Century Gothic"/>
                <w:color w:val="000000"/>
                <w:sz w:val="18"/>
                <w:szCs w:val="18"/>
              </w:rPr>
              <w:t>31 (3.9%)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1A5E36B" w14:textId="77777777" w:rsidR="001C19F3" w:rsidRDefault="001C19F3" w:rsidP="00521305">
            <w:pPr>
              <w:spacing w:after="0"/>
              <w:rPr>
                <w:sz w:val="22"/>
              </w:rPr>
            </w:pPr>
          </w:p>
        </w:tc>
      </w:tr>
      <w:tr w:rsidR="001C19F3" w14:paraId="5BED175A"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8DEC3"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06DC0C" w14:textId="77777777" w:rsidR="001C19F3" w:rsidRDefault="001C19F3" w:rsidP="00521305">
            <w:pPr>
              <w:spacing w:before="40" w:after="40"/>
              <w:ind w:left="100" w:right="100"/>
              <w:jc w:val="center"/>
            </w:pPr>
            <w:r>
              <w:rPr>
                <w:rFonts w:eastAsia="Century Gothic" w:cs="Century Gothic"/>
                <w:color w:val="000000"/>
                <w:sz w:val="18"/>
                <w:szCs w:val="18"/>
              </w:rPr>
              <w:t>859 (42.6%)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347FEB" w14:textId="77777777" w:rsidR="001C19F3" w:rsidRDefault="001C19F3" w:rsidP="00521305">
            <w:pPr>
              <w:spacing w:before="40" w:after="40"/>
              <w:ind w:left="100" w:right="100"/>
              <w:jc w:val="center"/>
            </w:pPr>
            <w:r>
              <w:rPr>
                <w:rFonts w:eastAsia="Century Gothic" w:cs="Century Gothic"/>
                <w:color w:val="000000"/>
                <w:sz w:val="18"/>
                <w:szCs w:val="18"/>
              </w:rPr>
              <w:t>189 (43.9%)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1C1FC1" w14:textId="77777777" w:rsidR="001C19F3" w:rsidRDefault="001C19F3" w:rsidP="00521305">
            <w:pPr>
              <w:spacing w:before="40" w:after="40"/>
              <w:ind w:left="100" w:right="100"/>
              <w:jc w:val="center"/>
            </w:pPr>
            <w:r>
              <w:rPr>
                <w:rFonts w:eastAsia="Century Gothic" w:cs="Century Gothic"/>
                <w:color w:val="000000"/>
                <w:sz w:val="18"/>
                <w:szCs w:val="18"/>
              </w:rPr>
              <w:t>432 (42.4%)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B1099" w14:textId="77777777" w:rsidR="001C19F3" w:rsidRDefault="001C19F3" w:rsidP="00521305">
            <w:pPr>
              <w:spacing w:before="40" w:after="40"/>
              <w:ind w:left="100" w:right="100"/>
              <w:jc w:val="center"/>
            </w:pPr>
            <w:r>
              <w:rPr>
                <w:rFonts w:eastAsia="Century Gothic" w:cs="Century Gothic"/>
                <w:color w:val="000000"/>
                <w:sz w:val="18"/>
                <w:szCs w:val="18"/>
              </w:rPr>
              <w:t>212 (46.7%)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3B87D1F"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A4E94D" w14:textId="77777777" w:rsidR="001C19F3" w:rsidRDefault="001C19F3" w:rsidP="00521305">
            <w:pPr>
              <w:spacing w:before="40" w:after="40"/>
              <w:ind w:left="100" w:right="100"/>
              <w:jc w:val="center"/>
            </w:pPr>
            <w:r>
              <w:rPr>
                <w:rFonts w:eastAsia="Century Gothic" w:cs="Century Gothic"/>
                <w:color w:val="000000"/>
                <w:sz w:val="18"/>
                <w:szCs w:val="18"/>
              </w:rPr>
              <w:t>550 (46.6%)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96FD0D" w14:textId="77777777" w:rsidR="001C19F3" w:rsidRDefault="001C19F3" w:rsidP="00521305">
            <w:pPr>
              <w:spacing w:before="40" w:after="40"/>
              <w:ind w:left="100" w:right="100"/>
              <w:jc w:val="center"/>
            </w:pPr>
            <w:r>
              <w:rPr>
                <w:rFonts w:eastAsia="Century Gothic" w:cs="Century Gothic"/>
                <w:color w:val="000000"/>
                <w:sz w:val="18"/>
                <w:szCs w:val="18"/>
              </w:rPr>
              <w:t>309 (39.0%)</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776998A" w14:textId="77777777" w:rsidR="001C19F3" w:rsidRDefault="001C19F3" w:rsidP="00521305">
            <w:pPr>
              <w:spacing w:after="0"/>
              <w:rPr>
                <w:sz w:val="22"/>
              </w:rPr>
            </w:pPr>
          </w:p>
        </w:tc>
      </w:tr>
      <w:tr w:rsidR="001C19F3" w14:paraId="5A317481"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A5B7D4"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8A1B94" w14:textId="77777777" w:rsidR="001C19F3" w:rsidRDefault="001C19F3" w:rsidP="00521305">
            <w:pPr>
              <w:spacing w:before="40" w:after="40"/>
              <w:ind w:left="100" w:right="100"/>
              <w:jc w:val="center"/>
            </w:pPr>
            <w:r>
              <w:rPr>
                <w:rFonts w:eastAsia="Century Gothic" w:cs="Century Gothic"/>
                <w:color w:val="000000"/>
                <w:sz w:val="18"/>
                <w:szCs w:val="18"/>
              </w:rPr>
              <w:t>1,030 (51.0%)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50D541" w14:textId="77777777" w:rsidR="001C19F3" w:rsidRDefault="001C19F3" w:rsidP="00521305">
            <w:pPr>
              <w:spacing w:before="40" w:after="40"/>
              <w:ind w:left="100" w:right="100"/>
              <w:jc w:val="center"/>
            </w:pPr>
            <w:r>
              <w:rPr>
                <w:rFonts w:eastAsia="Century Gothic" w:cs="Century Gothic"/>
                <w:color w:val="000000"/>
                <w:sz w:val="18"/>
                <w:szCs w:val="18"/>
              </w:rPr>
              <w:t>231 (53.6%)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120C50" w14:textId="77777777" w:rsidR="001C19F3" w:rsidRDefault="001C19F3" w:rsidP="00521305">
            <w:pPr>
              <w:spacing w:before="40" w:after="40"/>
              <w:ind w:left="100" w:right="100"/>
              <w:jc w:val="center"/>
            </w:pPr>
            <w:r>
              <w:rPr>
                <w:rFonts w:eastAsia="Century Gothic" w:cs="Century Gothic"/>
                <w:color w:val="000000"/>
                <w:sz w:val="18"/>
                <w:szCs w:val="18"/>
              </w:rPr>
              <w:t>550 (53.9%)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F098A" w14:textId="77777777" w:rsidR="001C19F3" w:rsidRDefault="001C19F3" w:rsidP="00521305">
            <w:pPr>
              <w:spacing w:before="40" w:after="40"/>
              <w:ind w:left="100" w:right="100"/>
              <w:jc w:val="center"/>
            </w:pPr>
            <w:r>
              <w:rPr>
                <w:rFonts w:eastAsia="Century Gothic" w:cs="Century Gothic"/>
                <w:color w:val="000000"/>
                <w:sz w:val="18"/>
                <w:szCs w:val="18"/>
              </w:rPr>
              <w:t>210 (46.3%)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37CDE0FA"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CBB99" w14:textId="77777777" w:rsidR="001C19F3" w:rsidRDefault="001C19F3" w:rsidP="00521305">
            <w:pPr>
              <w:spacing w:before="40" w:after="40"/>
              <w:ind w:left="100" w:right="100"/>
              <w:jc w:val="center"/>
            </w:pPr>
            <w:r>
              <w:rPr>
                <w:rFonts w:eastAsia="Century Gothic" w:cs="Century Gothic"/>
                <w:color w:val="000000"/>
                <w:sz w:val="18"/>
                <w:szCs w:val="18"/>
              </w:rPr>
              <w:t>578 (48.9%)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F5C22F" w14:textId="77777777" w:rsidR="001C19F3" w:rsidRDefault="001C19F3" w:rsidP="00521305">
            <w:pPr>
              <w:spacing w:before="40" w:after="40"/>
              <w:ind w:left="100" w:right="100"/>
              <w:jc w:val="center"/>
            </w:pPr>
            <w:r>
              <w:rPr>
                <w:rFonts w:eastAsia="Century Gothic" w:cs="Century Gothic"/>
                <w:color w:val="000000"/>
                <w:sz w:val="18"/>
                <w:szCs w:val="18"/>
              </w:rPr>
              <w:t>452 (57.1%)</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3276A9A" w14:textId="77777777" w:rsidR="001C19F3" w:rsidRDefault="001C19F3" w:rsidP="00521305">
            <w:pPr>
              <w:spacing w:after="0"/>
              <w:rPr>
                <w:sz w:val="22"/>
              </w:rPr>
            </w:pPr>
          </w:p>
        </w:tc>
      </w:tr>
      <w:tr w:rsidR="001C19F3" w14:paraId="453DCA11"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F5B8B"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77C5CE" w14:textId="77777777" w:rsidR="001C19F3" w:rsidRDefault="001C19F3" w:rsidP="00521305">
            <w:pPr>
              <w:spacing w:before="40" w:after="40"/>
              <w:ind w:left="100" w:right="100"/>
              <w:jc w:val="center"/>
            </w:pPr>
            <w:r>
              <w:rPr>
                <w:rFonts w:eastAsia="Century Gothic" w:cs="Century Gothic"/>
                <w:color w:val="000000"/>
                <w:sz w:val="18"/>
                <w:szCs w:val="18"/>
              </w:rPr>
              <w:t>39 (1.9%)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EC2F4E"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DF710A"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008532"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028CAE"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DBCDED"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77AEC6"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78CC2D" w14:textId="77777777" w:rsidR="001C19F3" w:rsidRDefault="001C19F3" w:rsidP="00521305">
            <w:pPr>
              <w:spacing w:before="40" w:after="40"/>
              <w:ind w:left="100" w:right="100"/>
              <w:jc w:val="right"/>
            </w:pPr>
          </w:p>
        </w:tc>
      </w:tr>
      <w:tr w:rsidR="001C19F3" w14:paraId="29BB556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7DC158"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6F3EA2" w14:textId="77777777" w:rsidR="001C19F3" w:rsidRDefault="001C19F3" w:rsidP="00521305">
            <w:pPr>
              <w:spacing w:before="40" w:after="40"/>
              <w:ind w:left="100" w:right="100"/>
              <w:jc w:val="center"/>
            </w:pPr>
            <w:r>
              <w:rPr>
                <w:rFonts w:eastAsia="Century Gothic" w:cs="Century Gothic"/>
                <w:color w:val="000000"/>
                <w:sz w:val="18"/>
                <w:szCs w:val="18"/>
              </w:rPr>
              <w:t>6 (0.3%)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C2BBD1"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AC4181"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59C003"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5281E3D"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1CDA68"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F3B63B"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0A29F04" w14:textId="77777777" w:rsidR="001C19F3" w:rsidRDefault="001C19F3" w:rsidP="00521305">
            <w:pPr>
              <w:spacing w:after="0"/>
              <w:rPr>
                <w:sz w:val="22"/>
              </w:rPr>
            </w:pPr>
          </w:p>
        </w:tc>
      </w:tr>
      <w:tr w:rsidR="001C19F3" w14:paraId="0E07F521"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C79767" w14:textId="77777777" w:rsidR="001C19F3" w:rsidRDefault="001C19F3" w:rsidP="00521305">
            <w:pPr>
              <w:spacing w:before="40" w:after="40"/>
              <w:ind w:left="100" w:right="100"/>
            </w:pPr>
            <w:r>
              <w:rPr>
                <w:rFonts w:eastAsia="Century Gothic" w:cs="Century Gothic"/>
                <w:b/>
                <w:color w:val="000000"/>
                <w:sz w:val="18"/>
                <w:szCs w:val="18"/>
              </w:rPr>
              <w:lastRenderedPageBreak/>
              <w:t>H04 I understand the nature and causes of my health condition(s) (Q20)</w:t>
            </w:r>
          </w:p>
        </w:tc>
      </w:tr>
      <w:tr w:rsidR="001C19F3" w14:paraId="430BF66A"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53BAFE"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399178" w14:textId="77777777" w:rsidR="001C19F3" w:rsidRDefault="001C19F3" w:rsidP="00521305">
            <w:pPr>
              <w:spacing w:before="40" w:after="40"/>
              <w:ind w:left="100" w:right="100"/>
              <w:jc w:val="center"/>
            </w:pPr>
            <w:r>
              <w:rPr>
                <w:rFonts w:eastAsia="Century Gothic" w:cs="Century Gothic"/>
                <w:color w:val="000000"/>
                <w:sz w:val="18"/>
                <w:szCs w:val="18"/>
              </w:rPr>
              <w:t>10 (0.5%)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E7159"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9F4B7B" w14:textId="77777777" w:rsidR="001C19F3" w:rsidRDefault="001C19F3" w:rsidP="00521305">
            <w:pPr>
              <w:spacing w:before="40" w:after="40"/>
              <w:ind w:left="100" w:right="100"/>
              <w:jc w:val="center"/>
            </w:pPr>
            <w:r>
              <w:rPr>
                <w:rFonts w:eastAsia="Century Gothic" w:cs="Century Gothic"/>
                <w:color w:val="000000"/>
                <w:sz w:val="18"/>
                <w:szCs w:val="18"/>
              </w:rPr>
              <w:t>5 (0.5%)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1F99F4" w14:textId="77777777" w:rsidR="001C19F3" w:rsidRDefault="001C19F3" w:rsidP="00521305">
            <w:pPr>
              <w:spacing w:before="40" w:after="40"/>
              <w:ind w:left="100" w:right="100"/>
              <w:jc w:val="center"/>
            </w:pPr>
            <w:r>
              <w:rPr>
                <w:rFonts w:eastAsia="Century Gothic" w:cs="Century Gothic"/>
                <w:color w:val="000000"/>
                <w:sz w:val="18"/>
                <w:szCs w:val="18"/>
              </w:rPr>
              <w:t>3 (0.7%)</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62119D" w14:textId="77777777" w:rsidR="001C19F3" w:rsidRDefault="001C19F3" w:rsidP="00521305">
            <w:pPr>
              <w:spacing w:before="40" w:after="40"/>
              <w:ind w:left="100" w:right="100"/>
              <w:jc w:val="center"/>
            </w:pPr>
            <w:r>
              <w:rPr>
                <w:rFonts w:eastAsia="Century Gothic" w:cs="Century Gothic"/>
                <w:color w:val="000000"/>
                <w:sz w:val="18"/>
                <w:szCs w:val="18"/>
              </w:rPr>
              <w:t>0.204</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4A840F" w14:textId="77777777" w:rsidR="001C19F3" w:rsidRDefault="001C19F3" w:rsidP="00521305">
            <w:pPr>
              <w:spacing w:before="40" w:after="40"/>
              <w:ind w:left="100" w:right="100"/>
              <w:jc w:val="center"/>
            </w:pPr>
            <w:r>
              <w:rPr>
                <w:rFonts w:eastAsia="Century Gothic" w:cs="Century Gothic"/>
                <w:color w:val="000000"/>
                <w:sz w:val="18"/>
                <w:szCs w:val="18"/>
              </w:rPr>
              <w:t>7 (0.6%)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B90CFD" w14:textId="77777777" w:rsidR="001C19F3" w:rsidRDefault="001C19F3" w:rsidP="00521305">
            <w:pPr>
              <w:spacing w:before="40" w:after="40"/>
              <w:ind w:left="100" w:right="100"/>
              <w:jc w:val="center"/>
            </w:pPr>
            <w:r>
              <w:rPr>
                <w:rFonts w:eastAsia="Century Gothic" w:cs="Century Gothic"/>
                <w:color w:val="000000"/>
                <w:sz w:val="18"/>
                <w:szCs w:val="18"/>
              </w:rPr>
              <w:t>3 (0.4%)</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342213" w14:textId="77777777" w:rsidR="001C19F3" w:rsidRDefault="001C19F3" w:rsidP="00521305">
            <w:pPr>
              <w:spacing w:before="40" w:after="40"/>
              <w:ind w:left="100" w:right="100"/>
              <w:jc w:val="right"/>
            </w:pPr>
            <w:r>
              <w:rPr>
                <w:rFonts w:eastAsia="Century Gothic" w:cs="Century Gothic"/>
                <w:color w:val="000000"/>
                <w:sz w:val="18"/>
                <w:szCs w:val="18"/>
              </w:rPr>
              <w:t>0.014</w:t>
            </w:r>
          </w:p>
        </w:tc>
      </w:tr>
      <w:tr w:rsidR="001C19F3" w14:paraId="0DBA22C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90D3C"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7D90A3" w14:textId="77777777" w:rsidR="001C19F3" w:rsidRDefault="001C19F3" w:rsidP="00521305">
            <w:pPr>
              <w:spacing w:before="40" w:after="40"/>
              <w:ind w:left="100" w:right="100"/>
              <w:jc w:val="center"/>
            </w:pPr>
            <w:r>
              <w:rPr>
                <w:rFonts w:eastAsia="Century Gothic" w:cs="Century Gothic"/>
                <w:color w:val="000000"/>
                <w:sz w:val="18"/>
                <w:szCs w:val="18"/>
              </w:rPr>
              <w:t>53 (2.6%)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228EE4"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D073DB" w14:textId="77777777" w:rsidR="001C19F3" w:rsidRDefault="001C19F3" w:rsidP="00521305">
            <w:pPr>
              <w:spacing w:before="40" w:after="40"/>
              <w:ind w:left="100" w:right="100"/>
              <w:jc w:val="center"/>
            </w:pPr>
            <w:r>
              <w:rPr>
                <w:rFonts w:eastAsia="Century Gothic" w:cs="Century Gothic"/>
                <w:color w:val="000000"/>
                <w:sz w:val="18"/>
                <w:szCs w:val="18"/>
              </w:rPr>
              <w:t>25 (2.5%)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F966C8" w14:textId="77777777" w:rsidR="001C19F3" w:rsidRDefault="001C19F3" w:rsidP="00521305">
            <w:pPr>
              <w:spacing w:before="40" w:after="40"/>
              <w:ind w:left="100" w:right="100"/>
              <w:jc w:val="center"/>
            </w:pPr>
            <w:r>
              <w:rPr>
                <w:rFonts w:eastAsia="Century Gothic" w:cs="Century Gothic"/>
                <w:color w:val="000000"/>
                <w:sz w:val="18"/>
                <w:szCs w:val="18"/>
              </w:rPr>
              <w:t>21 (4.6%)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2E8F8C6"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9C8FE7" w14:textId="77777777" w:rsidR="001C19F3" w:rsidRDefault="001C19F3" w:rsidP="00521305">
            <w:pPr>
              <w:spacing w:before="40" w:after="40"/>
              <w:ind w:left="100" w:right="100"/>
              <w:jc w:val="center"/>
            </w:pPr>
            <w:r>
              <w:rPr>
                <w:rFonts w:eastAsia="Century Gothic" w:cs="Century Gothic"/>
                <w:color w:val="000000"/>
                <w:sz w:val="18"/>
                <w:szCs w:val="18"/>
              </w:rPr>
              <w:t>27 (2.3%)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49982A" w14:textId="77777777" w:rsidR="001C19F3" w:rsidRDefault="001C19F3" w:rsidP="00521305">
            <w:pPr>
              <w:spacing w:before="40" w:after="40"/>
              <w:ind w:left="100" w:right="100"/>
              <w:jc w:val="center"/>
            </w:pPr>
            <w:r>
              <w:rPr>
                <w:rFonts w:eastAsia="Century Gothic" w:cs="Century Gothic"/>
                <w:color w:val="000000"/>
                <w:sz w:val="18"/>
                <w:szCs w:val="18"/>
              </w:rPr>
              <w:t>26 (3.3%)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D5F57DA" w14:textId="77777777" w:rsidR="001C19F3" w:rsidRDefault="001C19F3" w:rsidP="00521305">
            <w:pPr>
              <w:spacing w:after="0"/>
              <w:rPr>
                <w:sz w:val="22"/>
              </w:rPr>
            </w:pPr>
          </w:p>
        </w:tc>
      </w:tr>
      <w:tr w:rsidR="001C19F3" w14:paraId="4926D6C1"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D62628"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82A6E6" w14:textId="77777777" w:rsidR="001C19F3" w:rsidRDefault="001C19F3" w:rsidP="00521305">
            <w:pPr>
              <w:spacing w:before="40" w:after="40"/>
              <w:ind w:left="100" w:right="100"/>
              <w:jc w:val="center"/>
            </w:pPr>
            <w:r>
              <w:rPr>
                <w:rFonts w:eastAsia="Century Gothic" w:cs="Century Gothic"/>
                <w:color w:val="000000"/>
                <w:sz w:val="18"/>
                <w:szCs w:val="18"/>
              </w:rPr>
              <w:t>962 (47.7%)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497B47" w14:textId="77777777" w:rsidR="001C19F3" w:rsidRDefault="001C19F3" w:rsidP="00521305">
            <w:pPr>
              <w:spacing w:before="40" w:after="40"/>
              <w:ind w:left="100" w:right="100"/>
              <w:jc w:val="center"/>
            </w:pPr>
            <w:r>
              <w:rPr>
                <w:rFonts w:eastAsia="Century Gothic" w:cs="Century Gothic"/>
                <w:color w:val="000000"/>
                <w:sz w:val="18"/>
                <w:szCs w:val="18"/>
              </w:rPr>
              <w:t>212 (48.7%)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0B35B4" w14:textId="77777777" w:rsidR="001C19F3" w:rsidRDefault="001C19F3" w:rsidP="00521305">
            <w:pPr>
              <w:spacing w:before="40" w:after="40"/>
              <w:ind w:left="100" w:right="100"/>
              <w:jc w:val="center"/>
            </w:pPr>
            <w:r>
              <w:rPr>
                <w:rFonts w:eastAsia="Century Gothic" w:cs="Century Gothic"/>
                <w:color w:val="000000"/>
                <w:sz w:val="18"/>
                <w:szCs w:val="18"/>
              </w:rPr>
              <w:t>501 (49.3%)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17E4E0" w14:textId="77777777" w:rsidR="001C19F3" w:rsidRDefault="001C19F3" w:rsidP="00521305">
            <w:pPr>
              <w:spacing w:before="40" w:after="40"/>
              <w:ind w:left="100" w:right="100"/>
              <w:jc w:val="center"/>
            </w:pPr>
            <w:r>
              <w:rPr>
                <w:rFonts w:eastAsia="Century Gothic" w:cs="Century Gothic"/>
                <w:color w:val="000000"/>
                <w:sz w:val="18"/>
                <w:szCs w:val="18"/>
              </w:rPr>
              <w:t>218 (47.6%)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7B43ED7"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DB934D" w14:textId="77777777" w:rsidR="001C19F3" w:rsidRDefault="001C19F3" w:rsidP="00521305">
            <w:pPr>
              <w:spacing w:before="40" w:after="40"/>
              <w:ind w:left="100" w:right="100"/>
              <w:jc w:val="center"/>
            </w:pPr>
            <w:r>
              <w:rPr>
                <w:rFonts w:eastAsia="Century Gothic" w:cs="Century Gothic"/>
                <w:color w:val="000000"/>
                <w:sz w:val="18"/>
                <w:szCs w:val="18"/>
              </w:rPr>
              <w:t>607 (51.4%)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AEB89A" w14:textId="77777777" w:rsidR="001C19F3" w:rsidRDefault="001C19F3" w:rsidP="00521305">
            <w:pPr>
              <w:spacing w:before="40" w:after="40"/>
              <w:ind w:left="100" w:right="100"/>
              <w:jc w:val="center"/>
            </w:pPr>
            <w:r>
              <w:rPr>
                <w:rFonts w:eastAsia="Century Gothic" w:cs="Century Gothic"/>
                <w:color w:val="000000"/>
                <w:sz w:val="18"/>
                <w:szCs w:val="18"/>
              </w:rPr>
              <w:t>355 (44.5%)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BECDEA8" w14:textId="77777777" w:rsidR="001C19F3" w:rsidRDefault="001C19F3" w:rsidP="00521305">
            <w:pPr>
              <w:spacing w:after="0"/>
              <w:rPr>
                <w:sz w:val="22"/>
              </w:rPr>
            </w:pPr>
          </w:p>
        </w:tc>
      </w:tr>
      <w:tr w:rsidR="001C19F3" w14:paraId="5B712F97"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9908A"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FAE395" w14:textId="77777777" w:rsidR="001C19F3" w:rsidRDefault="001C19F3" w:rsidP="00521305">
            <w:pPr>
              <w:spacing w:before="40" w:after="40"/>
              <w:ind w:left="100" w:right="100"/>
              <w:jc w:val="center"/>
            </w:pPr>
            <w:r>
              <w:rPr>
                <w:rFonts w:eastAsia="Century Gothic" w:cs="Century Gothic"/>
                <w:color w:val="000000"/>
                <w:sz w:val="18"/>
                <w:szCs w:val="18"/>
              </w:rPr>
              <w:t>954 (47.3%)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9C93B" w14:textId="77777777" w:rsidR="001C19F3" w:rsidRDefault="001C19F3" w:rsidP="00521305">
            <w:pPr>
              <w:spacing w:before="40" w:after="40"/>
              <w:ind w:left="100" w:right="100"/>
              <w:jc w:val="center"/>
            </w:pPr>
            <w:r>
              <w:rPr>
                <w:rFonts w:eastAsia="Century Gothic" w:cs="Century Gothic"/>
                <w:color w:val="000000"/>
                <w:sz w:val="18"/>
                <w:szCs w:val="18"/>
              </w:rPr>
              <w:t>214 (49.2%)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A9D13F" w14:textId="77777777" w:rsidR="001C19F3" w:rsidRDefault="001C19F3" w:rsidP="00521305">
            <w:pPr>
              <w:spacing w:before="40" w:after="40"/>
              <w:ind w:left="100" w:right="100"/>
              <w:jc w:val="center"/>
            </w:pPr>
            <w:r>
              <w:rPr>
                <w:rFonts w:eastAsia="Century Gothic" w:cs="Century Gothic"/>
                <w:color w:val="000000"/>
                <w:sz w:val="18"/>
                <w:szCs w:val="18"/>
              </w:rPr>
              <w:t>486 (47.8%)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CD3E9F" w14:textId="77777777" w:rsidR="001C19F3" w:rsidRDefault="001C19F3" w:rsidP="00521305">
            <w:pPr>
              <w:spacing w:before="40" w:after="40"/>
              <w:ind w:left="100" w:right="100"/>
              <w:jc w:val="center"/>
            </w:pPr>
            <w:r>
              <w:rPr>
                <w:rFonts w:eastAsia="Century Gothic" w:cs="Century Gothic"/>
                <w:color w:val="000000"/>
                <w:sz w:val="18"/>
                <w:szCs w:val="18"/>
              </w:rPr>
              <w:t>216 (47.2%)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8E82059"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2DADDA" w14:textId="77777777" w:rsidR="001C19F3" w:rsidRDefault="001C19F3" w:rsidP="00521305">
            <w:pPr>
              <w:spacing w:before="40" w:after="40"/>
              <w:ind w:left="100" w:right="100"/>
              <w:jc w:val="center"/>
            </w:pPr>
            <w:r>
              <w:rPr>
                <w:rFonts w:eastAsia="Century Gothic" w:cs="Century Gothic"/>
                <w:color w:val="000000"/>
                <w:sz w:val="18"/>
                <w:szCs w:val="18"/>
              </w:rPr>
              <w:t>540 (45.7%)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7374E4" w14:textId="77777777" w:rsidR="001C19F3" w:rsidRDefault="001C19F3" w:rsidP="00521305">
            <w:pPr>
              <w:spacing w:before="40" w:after="40"/>
              <w:ind w:left="100" w:right="100"/>
              <w:jc w:val="center"/>
            </w:pPr>
            <w:r>
              <w:rPr>
                <w:rFonts w:eastAsia="Century Gothic" w:cs="Century Gothic"/>
                <w:color w:val="000000"/>
                <w:sz w:val="18"/>
                <w:szCs w:val="18"/>
              </w:rPr>
              <w:t>414 (51.9%)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B58097F" w14:textId="77777777" w:rsidR="001C19F3" w:rsidRDefault="001C19F3" w:rsidP="00521305">
            <w:pPr>
              <w:spacing w:after="0"/>
              <w:rPr>
                <w:sz w:val="22"/>
              </w:rPr>
            </w:pPr>
          </w:p>
        </w:tc>
      </w:tr>
      <w:tr w:rsidR="001C19F3" w14:paraId="3C8C9115"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3BA79F"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9A4A97" w14:textId="77777777" w:rsidR="001C19F3" w:rsidRDefault="001C19F3" w:rsidP="00521305">
            <w:pPr>
              <w:spacing w:before="40" w:after="40"/>
              <w:ind w:left="100" w:right="100"/>
              <w:jc w:val="center"/>
            </w:pPr>
            <w:r>
              <w:rPr>
                <w:rFonts w:eastAsia="Century Gothic" w:cs="Century Gothic"/>
                <w:color w:val="000000"/>
                <w:sz w:val="18"/>
                <w:szCs w:val="18"/>
              </w:rPr>
              <w:t>37 (1.8%)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2C55CD"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E4763D"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98B0B1"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BF486C"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4A3413"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BC7267"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7DA76B" w14:textId="77777777" w:rsidR="001C19F3" w:rsidRDefault="001C19F3" w:rsidP="00521305">
            <w:pPr>
              <w:spacing w:before="40" w:after="40"/>
              <w:ind w:left="100" w:right="100"/>
              <w:jc w:val="right"/>
            </w:pPr>
          </w:p>
        </w:tc>
      </w:tr>
      <w:tr w:rsidR="001C19F3" w14:paraId="5508EB59"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6AAF7"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F9CBDA" w14:textId="77777777" w:rsidR="001C19F3" w:rsidRDefault="001C19F3" w:rsidP="00521305">
            <w:pPr>
              <w:spacing w:before="40" w:after="40"/>
              <w:ind w:left="100" w:right="100"/>
              <w:jc w:val="center"/>
            </w:pPr>
            <w:r>
              <w:rPr>
                <w:rFonts w:eastAsia="Century Gothic" w:cs="Century Gothic"/>
                <w:color w:val="000000"/>
                <w:sz w:val="18"/>
                <w:szCs w:val="18"/>
              </w:rPr>
              <w:t>2 (0.1%)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0E496E"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23D5A1"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C76511"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97D2661"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360B9C"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685E9A"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C020865" w14:textId="77777777" w:rsidR="001C19F3" w:rsidRDefault="001C19F3" w:rsidP="00521305">
            <w:pPr>
              <w:spacing w:after="0"/>
              <w:rPr>
                <w:sz w:val="22"/>
              </w:rPr>
            </w:pPr>
          </w:p>
        </w:tc>
      </w:tr>
      <w:tr w:rsidR="001C19F3" w14:paraId="070807B6"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399B4F" w14:textId="77777777" w:rsidR="001C19F3" w:rsidRDefault="001C19F3" w:rsidP="00521305">
            <w:pPr>
              <w:spacing w:before="40" w:after="40"/>
              <w:ind w:left="100" w:right="100"/>
            </w:pPr>
            <w:r>
              <w:rPr>
                <w:rFonts w:eastAsia="Century Gothic" w:cs="Century Gothic"/>
                <w:b/>
                <w:color w:val="000000"/>
                <w:sz w:val="18"/>
                <w:szCs w:val="18"/>
              </w:rPr>
              <w:t>H05 I know the different medical treatment options available for my health condition(s) (Q20)</w:t>
            </w:r>
          </w:p>
        </w:tc>
      </w:tr>
      <w:tr w:rsidR="001C19F3" w14:paraId="558E67F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1C74B5"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B62850"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352F66"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682796" w14:textId="77777777" w:rsidR="001C19F3" w:rsidRDefault="001C19F3" w:rsidP="00521305">
            <w:pPr>
              <w:spacing w:before="40" w:after="40"/>
              <w:ind w:left="100" w:right="100"/>
              <w:jc w:val="center"/>
            </w:pPr>
            <w:r>
              <w:rPr>
                <w:rFonts w:eastAsia="Century Gothic" w:cs="Century Gothic"/>
                <w:color w:val="000000"/>
                <w:sz w:val="18"/>
                <w:szCs w:val="18"/>
              </w:rPr>
              <w:t>10 (1.0%)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C35C90" w14:textId="77777777" w:rsidR="001C19F3" w:rsidRDefault="001C19F3" w:rsidP="00521305">
            <w:pPr>
              <w:spacing w:before="40" w:after="40"/>
              <w:ind w:left="100" w:right="100"/>
              <w:jc w:val="center"/>
            </w:pPr>
            <w:r>
              <w:rPr>
                <w:rFonts w:eastAsia="Century Gothic" w:cs="Century Gothic"/>
                <w:color w:val="000000"/>
                <w:sz w:val="18"/>
                <w:szCs w:val="18"/>
              </w:rPr>
              <w:t>8 (1.8%)</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C2ED8E" w14:textId="77777777" w:rsidR="001C19F3" w:rsidRDefault="001C19F3" w:rsidP="00521305">
            <w:pPr>
              <w:spacing w:before="40" w:after="40"/>
              <w:ind w:left="100" w:right="100"/>
              <w:jc w:val="center"/>
            </w:pPr>
            <w:r>
              <w:rPr>
                <w:rFonts w:eastAsia="Century Gothic" w:cs="Century Gothic"/>
                <w:color w:val="000000"/>
                <w:sz w:val="18"/>
                <w:szCs w:val="18"/>
              </w:rPr>
              <w:t>0.035</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205A58" w14:textId="77777777" w:rsidR="001C19F3" w:rsidRDefault="001C19F3" w:rsidP="00521305">
            <w:pPr>
              <w:spacing w:before="40" w:after="40"/>
              <w:ind w:left="100" w:right="100"/>
              <w:jc w:val="center"/>
            </w:pPr>
            <w:r>
              <w:rPr>
                <w:rFonts w:eastAsia="Century Gothic" w:cs="Century Gothic"/>
                <w:color w:val="000000"/>
                <w:sz w:val="18"/>
                <w:szCs w:val="18"/>
              </w:rPr>
              <w:t>12 (1.0%)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36C241" w14:textId="77777777" w:rsidR="001C19F3" w:rsidRDefault="001C19F3" w:rsidP="00521305">
            <w:pPr>
              <w:spacing w:before="40" w:after="40"/>
              <w:ind w:left="100" w:right="100"/>
              <w:jc w:val="center"/>
            </w:pPr>
            <w:r>
              <w:rPr>
                <w:rFonts w:eastAsia="Century Gothic" w:cs="Century Gothic"/>
                <w:color w:val="000000"/>
                <w:sz w:val="18"/>
                <w:szCs w:val="18"/>
              </w:rPr>
              <w:t>6 (0.8%)</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C6FABF"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16B9827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389028"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F254C" w14:textId="77777777" w:rsidR="001C19F3" w:rsidRDefault="001C19F3" w:rsidP="00521305">
            <w:pPr>
              <w:spacing w:before="40" w:after="40"/>
              <w:ind w:left="100" w:right="100"/>
              <w:jc w:val="center"/>
            </w:pPr>
            <w:r>
              <w:rPr>
                <w:rFonts w:eastAsia="Century Gothic" w:cs="Century Gothic"/>
                <w:color w:val="000000"/>
                <w:sz w:val="18"/>
                <w:szCs w:val="18"/>
              </w:rPr>
              <w:t>129 (6.4%)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46BB7C" w14:textId="77777777" w:rsidR="001C19F3" w:rsidRDefault="001C19F3" w:rsidP="00521305">
            <w:pPr>
              <w:spacing w:before="40" w:after="40"/>
              <w:ind w:left="100" w:right="100"/>
              <w:jc w:val="center"/>
            </w:pPr>
            <w:r>
              <w:rPr>
                <w:rFonts w:eastAsia="Century Gothic" w:cs="Century Gothic"/>
                <w:color w:val="000000"/>
                <w:sz w:val="18"/>
                <w:szCs w:val="18"/>
              </w:rPr>
              <w:t>21 (5.0%)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936CF3" w14:textId="77777777" w:rsidR="001C19F3" w:rsidRDefault="001C19F3" w:rsidP="00521305">
            <w:pPr>
              <w:spacing w:before="40" w:after="40"/>
              <w:ind w:left="100" w:right="100"/>
              <w:jc w:val="center"/>
            </w:pPr>
            <w:r>
              <w:rPr>
                <w:rFonts w:eastAsia="Century Gothic" w:cs="Century Gothic"/>
                <w:color w:val="000000"/>
                <w:sz w:val="18"/>
                <w:szCs w:val="18"/>
              </w:rPr>
              <w:t>65 (6.5%)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C76525" w14:textId="77777777" w:rsidR="001C19F3" w:rsidRDefault="001C19F3" w:rsidP="00521305">
            <w:pPr>
              <w:spacing w:before="40" w:after="40"/>
              <w:ind w:left="100" w:right="100"/>
              <w:jc w:val="center"/>
            </w:pPr>
            <w:r>
              <w:rPr>
                <w:rFonts w:eastAsia="Century Gothic" w:cs="Century Gothic"/>
                <w:color w:val="000000"/>
                <w:sz w:val="18"/>
                <w:szCs w:val="18"/>
              </w:rPr>
              <w:t>40 (9.0%)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87FFF20"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6B61CA" w14:textId="77777777" w:rsidR="001C19F3" w:rsidRDefault="001C19F3" w:rsidP="00521305">
            <w:pPr>
              <w:spacing w:before="40" w:after="40"/>
              <w:ind w:left="100" w:right="100"/>
              <w:jc w:val="center"/>
            </w:pPr>
            <w:r>
              <w:rPr>
                <w:rFonts w:eastAsia="Century Gothic" w:cs="Century Gothic"/>
                <w:color w:val="000000"/>
                <w:sz w:val="18"/>
                <w:szCs w:val="18"/>
              </w:rPr>
              <w:t>71 (6.2%)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936331" w14:textId="77777777" w:rsidR="001C19F3" w:rsidRDefault="001C19F3" w:rsidP="00521305">
            <w:pPr>
              <w:spacing w:before="40" w:after="40"/>
              <w:ind w:left="100" w:right="100"/>
              <w:jc w:val="center"/>
            </w:pPr>
            <w:r>
              <w:rPr>
                <w:rFonts w:eastAsia="Century Gothic" w:cs="Century Gothic"/>
                <w:color w:val="000000"/>
                <w:sz w:val="18"/>
                <w:szCs w:val="18"/>
              </w:rPr>
              <w:t>58 (7.4%)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4511C5A" w14:textId="77777777" w:rsidR="001C19F3" w:rsidRDefault="001C19F3" w:rsidP="00521305">
            <w:pPr>
              <w:spacing w:after="0"/>
              <w:rPr>
                <w:sz w:val="22"/>
              </w:rPr>
            </w:pPr>
          </w:p>
        </w:tc>
      </w:tr>
      <w:tr w:rsidR="001C19F3" w14:paraId="0EC6870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CEB392"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CBC58D" w14:textId="77777777" w:rsidR="001C19F3" w:rsidRDefault="001C19F3" w:rsidP="00521305">
            <w:pPr>
              <w:spacing w:before="40" w:after="40"/>
              <w:ind w:left="100" w:right="100"/>
              <w:jc w:val="center"/>
            </w:pPr>
            <w:r>
              <w:rPr>
                <w:rFonts w:eastAsia="Century Gothic" w:cs="Century Gothic"/>
                <w:color w:val="000000"/>
                <w:sz w:val="18"/>
                <w:szCs w:val="18"/>
              </w:rPr>
              <w:t>1,081 (53.6%)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668013" w14:textId="77777777" w:rsidR="001C19F3" w:rsidRDefault="001C19F3" w:rsidP="00521305">
            <w:pPr>
              <w:spacing w:before="40" w:after="40"/>
              <w:ind w:left="100" w:right="100"/>
              <w:jc w:val="center"/>
            </w:pPr>
            <w:r>
              <w:rPr>
                <w:rFonts w:eastAsia="Century Gothic" w:cs="Century Gothic"/>
                <w:color w:val="000000"/>
                <w:sz w:val="18"/>
                <w:szCs w:val="18"/>
              </w:rPr>
              <w:t>242 (57.5%)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4C282D" w14:textId="77777777" w:rsidR="001C19F3" w:rsidRDefault="001C19F3" w:rsidP="00521305">
            <w:pPr>
              <w:spacing w:before="40" w:after="40"/>
              <w:ind w:left="100" w:right="100"/>
              <w:jc w:val="center"/>
            </w:pPr>
            <w:r>
              <w:rPr>
                <w:rFonts w:eastAsia="Century Gothic" w:cs="Century Gothic"/>
                <w:color w:val="000000"/>
                <w:sz w:val="18"/>
                <w:szCs w:val="18"/>
              </w:rPr>
              <w:t>565 (56.7%)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E26EE" w14:textId="77777777" w:rsidR="001C19F3" w:rsidRDefault="001C19F3" w:rsidP="00521305">
            <w:pPr>
              <w:spacing w:before="40" w:after="40"/>
              <w:ind w:left="100" w:right="100"/>
              <w:jc w:val="center"/>
            </w:pPr>
            <w:r>
              <w:rPr>
                <w:rFonts w:eastAsia="Century Gothic" w:cs="Century Gothic"/>
                <w:color w:val="000000"/>
                <w:sz w:val="18"/>
                <w:szCs w:val="18"/>
              </w:rPr>
              <w:t>241 (54.3%)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0185779"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E07CB8" w14:textId="77777777" w:rsidR="001C19F3" w:rsidRDefault="001C19F3" w:rsidP="00521305">
            <w:pPr>
              <w:spacing w:before="40" w:after="40"/>
              <w:ind w:left="100" w:right="100"/>
              <w:jc w:val="center"/>
            </w:pPr>
            <w:r>
              <w:rPr>
                <w:rFonts w:eastAsia="Century Gothic" w:cs="Century Gothic"/>
                <w:color w:val="000000"/>
                <w:sz w:val="18"/>
                <w:szCs w:val="18"/>
              </w:rPr>
              <w:t>688 (59.9%)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1D8ECA" w14:textId="77777777" w:rsidR="001C19F3" w:rsidRDefault="001C19F3" w:rsidP="00521305">
            <w:pPr>
              <w:spacing w:before="40" w:after="40"/>
              <w:ind w:left="100" w:right="100"/>
              <w:jc w:val="center"/>
            </w:pPr>
            <w:r>
              <w:rPr>
                <w:rFonts w:eastAsia="Century Gothic" w:cs="Century Gothic"/>
                <w:color w:val="000000"/>
                <w:sz w:val="18"/>
                <w:szCs w:val="18"/>
              </w:rPr>
              <w:t>393 (50.4%)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BFB9D18" w14:textId="77777777" w:rsidR="001C19F3" w:rsidRDefault="001C19F3" w:rsidP="00521305">
            <w:pPr>
              <w:spacing w:after="0"/>
              <w:rPr>
                <w:sz w:val="22"/>
              </w:rPr>
            </w:pPr>
          </w:p>
        </w:tc>
      </w:tr>
      <w:tr w:rsidR="001C19F3" w14:paraId="6D0C414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36BAD5"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AA6C6C" w14:textId="77777777" w:rsidR="001C19F3" w:rsidRDefault="001C19F3" w:rsidP="00521305">
            <w:pPr>
              <w:spacing w:before="40" w:after="40"/>
              <w:ind w:left="100" w:right="100"/>
              <w:jc w:val="center"/>
            </w:pPr>
            <w:r>
              <w:rPr>
                <w:rFonts w:eastAsia="Century Gothic" w:cs="Century Gothic"/>
                <w:color w:val="000000"/>
                <w:sz w:val="18"/>
                <w:szCs w:val="18"/>
              </w:rPr>
              <w:t>699 (34.6%)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0E4C91" w14:textId="77777777" w:rsidR="001C19F3" w:rsidRDefault="001C19F3" w:rsidP="00521305">
            <w:pPr>
              <w:spacing w:before="40" w:after="40"/>
              <w:ind w:left="100" w:right="100"/>
              <w:jc w:val="center"/>
            </w:pPr>
            <w:r>
              <w:rPr>
                <w:rFonts w:eastAsia="Century Gothic" w:cs="Century Gothic"/>
                <w:color w:val="000000"/>
                <w:sz w:val="18"/>
                <w:szCs w:val="18"/>
              </w:rPr>
              <w:t>158 (37.5%)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9C2EA5" w14:textId="77777777" w:rsidR="001C19F3" w:rsidRDefault="001C19F3" w:rsidP="00521305">
            <w:pPr>
              <w:spacing w:before="40" w:after="40"/>
              <w:ind w:left="100" w:right="100"/>
              <w:jc w:val="center"/>
            </w:pPr>
            <w:r>
              <w:rPr>
                <w:rFonts w:eastAsia="Century Gothic" w:cs="Century Gothic"/>
                <w:color w:val="000000"/>
                <w:sz w:val="18"/>
                <w:szCs w:val="18"/>
              </w:rPr>
              <w:t>357 (35.8%)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B62CDC" w14:textId="77777777" w:rsidR="001C19F3" w:rsidRDefault="001C19F3" w:rsidP="00521305">
            <w:pPr>
              <w:spacing w:before="40" w:after="40"/>
              <w:ind w:left="100" w:right="100"/>
              <w:jc w:val="center"/>
            </w:pPr>
            <w:r>
              <w:rPr>
                <w:rFonts w:eastAsia="Century Gothic" w:cs="Century Gothic"/>
                <w:color w:val="000000"/>
                <w:sz w:val="18"/>
                <w:szCs w:val="18"/>
              </w:rPr>
              <w:t>155 (34.9%)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CE3C140"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79791B" w14:textId="77777777" w:rsidR="001C19F3" w:rsidRDefault="001C19F3" w:rsidP="00521305">
            <w:pPr>
              <w:spacing w:before="40" w:after="40"/>
              <w:ind w:left="100" w:right="100"/>
              <w:jc w:val="center"/>
            </w:pPr>
            <w:r>
              <w:rPr>
                <w:rFonts w:eastAsia="Century Gothic" w:cs="Century Gothic"/>
                <w:color w:val="000000"/>
                <w:sz w:val="18"/>
                <w:szCs w:val="18"/>
              </w:rPr>
              <w:t>377 (32.8%)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27FE3E" w14:textId="77777777" w:rsidR="001C19F3" w:rsidRDefault="001C19F3" w:rsidP="00521305">
            <w:pPr>
              <w:spacing w:before="40" w:after="40"/>
              <w:ind w:left="100" w:right="100"/>
              <w:jc w:val="center"/>
            </w:pPr>
            <w:r>
              <w:rPr>
                <w:rFonts w:eastAsia="Century Gothic" w:cs="Century Gothic"/>
                <w:color w:val="000000"/>
                <w:sz w:val="18"/>
                <w:szCs w:val="18"/>
              </w:rPr>
              <w:t>322 (41.3%)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451468B" w14:textId="77777777" w:rsidR="001C19F3" w:rsidRDefault="001C19F3" w:rsidP="00521305">
            <w:pPr>
              <w:spacing w:after="0"/>
              <w:rPr>
                <w:sz w:val="22"/>
              </w:rPr>
            </w:pPr>
          </w:p>
        </w:tc>
      </w:tr>
      <w:tr w:rsidR="001C19F3" w14:paraId="555CADB7"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310129"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063692" w14:textId="77777777" w:rsidR="001C19F3" w:rsidRDefault="001C19F3" w:rsidP="00521305">
            <w:pPr>
              <w:spacing w:before="40" w:after="40"/>
              <w:ind w:left="100" w:right="100"/>
              <w:jc w:val="center"/>
            </w:pPr>
            <w:r>
              <w:rPr>
                <w:rFonts w:eastAsia="Century Gothic" w:cs="Century Gothic"/>
                <w:color w:val="000000"/>
                <w:sz w:val="18"/>
                <w:szCs w:val="18"/>
              </w:rPr>
              <w:t>85 (4.2%)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684D1E"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6335B6"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1081B3"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4C9028"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435075"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727124"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6B6DB6" w14:textId="77777777" w:rsidR="001C19F3" w:rsidRDefault="001C19F3" w:rsidP="00521305">
            <w:pPr>
              <w:spacing w:before="40" w:after="40"/>
              <w:ind w:left="100" w:right="100"/>
              <w:jc w:val="right"/>
            </w:pPr>
          </w:p>
        </w:tc>
      </w:tr>
      <w:tr w:rsidR="001C19F3" w14:paraId="24C5F307"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813413"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B79AA2" w14:textId="77777777" w:rsidR="001C19F3" w:rsidRDefault="001C19F3" w:rsidP="00521305">
            <w:pPr>
              <w:spacing w:before="40" w:after="40"/>
              <w:ind w:left="100" w:right="100"/>
              <w:jc w:val="center"/>
            </w:pPr>
            <w:r>
              <w:rPr>
                <w:rFonts w:eastAsia="Century Gothic" w:cs="Century Gothic"/>
                <w:color w:val="000000"/>
                <w:sz w:val="18"/>
                <w:szCs w:val="18"/>
              </w:rPr>
              <w:t>6 (0.3%)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B441F8"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53B084"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A7A7AB"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9D844A7"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CEAC7C"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BBE784"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2AD7DF6" w14:textId="77777777" w:rsidR="001C19F3" w:rsidRDefault="001C19F3" w:rsidP="00521305">
            <w:pPr>
              <w:spacing w:after="0"/>
              <w:rPr>
                <w:sz w:val="22"/>
              </w:rPr>
            </w:pPr>
          </w:p>
        </w:tc>
      </w:tr>
      <w:tr w:rsidR="001C19F3" w14:paraId="4BDA8B6B"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910E8" w14:textId="77777777" w:rsidR="001C19F3" w:rsidRDefault="001C19F3" w:rsidP="00521305">
            <w:pPr>
              <w:spacing w:before="40" w:after="40"/>
              <w:ind w:left="100" w:right="100"/>
            </w:pPr>
            <w:r>
              <w:rPr>
                <w:rFonts w:eastAsia="Century Gothic" w:cs="Century Gothic"/>
                <w:b/>
                <w:color w:val="000000"/>
                <w:sz w:val="18"/>
                <w:szCs w:val="18"/>
              </w:rPr>
              <w:t>H06 I have been able to maintain the lifestyle changes for my health that I have made (Q20)</w:t>
            </w:r>
          </w:p>
        </w:tc>
      </w:tr>
      <w:tr w:rsidR="001C19F3" w14:paraId="28DD3DD8"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235A5F"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4EA176"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95197D"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FFA049" w14:textId="77777777" w:rsidR="001C19F3" w:rsidRDefault="001C19F3" w:rsidP="00521305">
            <w:pPr>
              <w:spacing w:before="40" w:after="40"/>
              <w:ind w:left="100" w:right="100"/>
              <w:jc w:val="center"/>
            </w:pPr>
            <w:r>
              <w:rPr>
                <w:rFonts w:eastAsia="Century Gothic" w:cs="Century Gothic"/>
                <w:color w:val="000000"/>
                <w:sz w:val="18"/>
                <w:szCs w:val="18"/>
              </w:rPr>
              <w:t>12 (1.2%)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B4DC1F" w14:textId="77777777" w:rsidR="001C19F3" w:rsidRDefault="001C19F3" w:rsidP="00521305">
            <w:pPr>
              <w:spacing w:before="40" w:after="40"/>
              <w:ind w:left="100" w:right="100"/>
              <w:jc w:val="center"/>
            </w:pPr>
            <w:r>
              <w:rPr>
                <w:rFonts w:eastAsia="Century Gothic" w:cs="Century Gothic"/>
                <w:color w:val="000000"/>
                <w:sz w:val="18"/>
                <w:szCs w:val="18"/>
              </w:rPr>
              <w:t>13 (2.9%)</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6D75AA"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47E3E2" w14:textId="77777777" w:rsidR="001C19F3" w:rsidRDefault="001C19F3" w:rsidP="00521305">
            <w:pPr>
              <w:spacing w:before="40" w:after="40"/>
              <w:ind w:left="100" w:right="100"/>
              <w:jc w:val="center"/>
            </w:pPr>
            <w:r>
              <w:rPr>
                <w:rFonts w:eastAsia="Century Gothic" w:cs="Century Gothic"/>
                <w:color w:val="000000"/>
                <w:sz w:val="18"/>
                <w:szCs w:val="18"/>
              </w:rPr>
              <w:t>17 (1.5%)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E28F3" w14:textId="77777777" w:rsidR="001C19F3" w:rsidRDefault="001C19F3" w:rsidP="00521305">
            <w:pPr>
              <w:spacing w:before="40" w:after="40"/>
              <w:ind w:left="100" w:right="100"/>
              <w:jc w:val="center"/>
            </w:pPr>
            <w:r>
              <w:rPr>
                <w:rFonts w:eastAsia="Century Gothic" w:cs="Century Gothic"/>
                <w:color w:val="000000"/>
                <w:sz w:val="18"/>
                <w:szCs w:val="18"/>
              </w:rPr>
              <w:t>11 (1.4%)</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75AF91" w14:textId="77777777" w:rsidR="001C19F3" w:rsidRDefault="001C19F3" w:rsidP="00521305">
            <w:pPr>
              <w:spacing w:before="40" w:after="40"/>
              <w:ind w:left="100" w:right="100"/>
              <w:jc w:val="right"/>
            </w:pPr>
            <w:r>
              <w:rPr>
                <w:rFonts w:eastAsia="Century Gothic" w:cs="Century Gothic"/>
                <w:color w:val="000000"/>
                <w:sz w:val="18"/>
                <w:szCs w:val="18"/>
              </w:rPr>
              <w:t>0.228</w:t>
            </w:r>
          </w:p>
        </w:tc>
      </w:tr>
      <w:tr w:rsidR="001C19F3" w14:paraId="72E2AE1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A5E16"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184AEF" w14:textId="77777777" w:rsidR="001C19F3" w:rsidRDefault="001C19F3" w:rsidP="00521305">
            <w:pPr>
              <w:spacing w:before="40" w:after="40"/>
              <w:ind w:left="100" w:right="100"/>
              <w:jc w:val="center"/>
            </w:pPr>
            <w:r>
              <w:rPr>
                <w:rFonts w:eastAsia="Century Gothic" w:cs="Century Gothic"/>
                <w:color w:val="000000"/>
                <w:sz w:val="18"/>
                <w:szCs w:val="18"/>
              </w:rPr>
              <w:t>135 (6.7%)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FF7D9B" w14:textId="77777777" w:rsidR="001C19F3" w:rsidRDefault="001C19F3" w:rsidP="00521305">
            <w:pPr>
              <w:spacing w:before="40" w:after="40"/>
              <w:ind w:left="100" w:right="100"/>
              <w:jc w:val="center"/>
            </w:pPr>
            <w:r>
              <w:rPr>
                <w:rFonts w:eastAsia="Century Gothic" w:cs="Century Gothic"/>
                <w:color w:val="000000"/>
                <w:sz w:val="18"/>
                <w:szCs w:val="18"/>
              </w:rPr>
              <w:t>15 (3.6%)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82616D" w14:textId="77777777" w:rsidR="001C19F3" w:rsidRDefault="001C19F3" w:rsidP="00521305">
            <w:pPr>
              <w:spacing w:before="40" w:after="40"/>
              <w:ind w:left="100" w:right="100"/>
              <w:jc w:val="center"/>
            </w:pPr>
            <w:r>
              <w:rPr>
                <w:rFonts w:eastAsia="Century Gothic" w:cs="Century Gothic"/>
                <w:color w:val="000000"/>
                <w:sz w:val="18"/>
                <w:szCs w:val="18"/>
              </w:rPr>
              <w:t>69 (6.9%)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05C54" w14:textId="77777777" w:rsidR="001C19F3" w:rsidRDefault="001C19F3" w:rsidP="00521305">
            <w:pPr>
              <w:spacing w:before="40" w:after="40"/>
              <w:ind w:left="100" w:right="100"/>
              <w:jc w:val="center"/>
            </w:pPr>
            <w:r>
              <w:rPr>
                <w:rFonts w:eastAsia="Century Gothic" w:cs="Century Gothic"/>
                <w:color w:val="000000"/>
                <w:sz w:val="18"/>
                <w:szCs w:val="18"/>
              </w:rPr>
              <w:t>46 (10.3%)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742E92B"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7EA9E" w14:textId="77777777" w:rsidR="001C19F3" w:rsidRDefault="001C19F3" w:rsidP="00521305">
            <w:pPr>
              <w:spacing w:before="40" w:after="40"/>
              <w:ind w:left="100" w:right="100"/>
              <w:jc w:val="center"/>
            </w:pPr>
            <w:r>
              <w:rPr>
                <w:rFonts w:eastAsia="Century Gothic" w:cs="Century Gothic"/>
                <w:color w:val="000000"/>
                <w:sz w:val="18"/>
                <w:szCs w:val="18"/>
              </w:rPr>
              <w:t>79 (6.9%)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F07AA1" w14:textId="77777777" w:rsidR="001C19F3" w:rsidRDefault="001C19F3" w:rsidP="00521305">
            <w:pPr>
              <w:spacing w:before="40" w:after="40"/>
              <w:ind w:left="100" w:right="100"/>
              <w:jc w:val="center"/>
            </w:pPr>
            <w:r>
              <w:rPr>
                <w:rFonts w:eastAsia="Century Gothic" w:cs="Century Gothic"/>
                <w:color w:val="000000"/>
                <w:sz w:val="18"/>
                <w:szCs w:val="18"/>
              </w:rPr>
              <w:t>56 (7.2%)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D9D340D" w14:textId="77777777" w:rsidR="001C19F3" w:rsidRDefault="001C19F3" w:rsidP="00521305">
            <w:pPr>
              <w:spacing w:after="0"/>
              <w:rPr>
                <w:sz w:val="22"/>
              </w:rPr>
            </w:pPr>
          </w:p>
        </w:tc>
      </w:tr>
      <w:tr w:rsidR="001C19F3" w14:paraId="44847F6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3D7A40"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87D79F" w14:textId="77777777" w:rsidR="001C19F3" w:rsidRDefault="001C19F3" w:rsidP="00521305">
            <w:pPr>
              <w:spacing w:before="40" w:after="40"/>
              <w:ind w:left="100" w:right="100"/>
              <w:jc w:val="center"/>
            </w:pPr>
            <w:r>
              <w:rPr>
                <w:rFonts w:eastAsia="Century Gothic" w:cs="Century Gothic"/>
                <w:color w:val="000000"/>
                <w:sz w:val="18"/>
                <w:szCs w:val="18"/>
              </w:rPr>
              <w:t>1,147 (56.8%)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7B7AC" w14:textId="77777777" w:rsidR="001C19F3" w:rsidRDefault="001C19F3" w:rsidP="00521305">
            <w:pPr>
              <w:spacing w:before="40" w:after="40"/>
              <w:ind w:left="100" w:right="100"/>
              <w:jc w:val="center"/>
            </w:pPr>
            <w:r>
              <w:rPr>
                <w:rFonts w:eastAsia="Century Gothic" w:cs="Century Gothic"/>
                <w:color w:val="000000"/>
                <w:sz w:val="18"/>
                <w:szCs w:val="18"/>
              </w:rPr>
              <w:t>262 (62.1%)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FDEAD9" w14:textId="77777777" w:rsidR="001C19F3" w:rsidRDefault="001C19F3" w:rsidP="00521305">
            <w:pPr>
              <w:spacing w:before="40" w:after="40"/>
              <w:ind w:left="100" w:right="100"/>
              <w:jc w:val="center"/>
            </w:pPr>
            <w:r>
              <w:rPr>
                <w:rFonts w:eastAsia="Century Gothic" w:cs="Century Gothic"/>
                <w:color w:val="000000"/>
                <w:sz w:val="18"/>
                <w:szCs w:val="18"/>
              </w:rPr>
              <w:t>595 (59.7%)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27447F" w14:textId="77777777" w:rsidR="001C19F3" w:rsidRDefault="001C19F3" w:rsidP="00521305">
            <w:pPr>
              <w:spacing w:before="40" w:after="40"/>
              <w:ind w:left="100" w:right="100"/>
              <w:jc w:val="center"/>
            </w:pPr>
            <w:r>
              <w:rPr>
                <w:rFonts w:eastAsia="Century Gothic" w:cs="Century Gothic"/>
                <w:color w:val="000000"/>
                <w:sz w:val="18"/>
                <w:szCs w:val="18"/>
              </w:rPr>
              <w:t>259 (58.2%)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3A7BA8C9"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06E908" w14:textId="77777777" w:rsidR="001C19F3" w:rsidRDefault="001C19F3" w:rsidP="00521305">
            <w:pPr>
              <w:spacing w:before="40" w:after="40"/>
              <w:ind w:left="100" w:right="100"/>
              <w:jc w:val="center"/>
            </w:pPr>
            <w:r>
              <w:rPr>
                <w:rFonts w:eastAsia="Century Gothic" w:cs="Century Gothic"/>
                <w:color w:val="000000"/>
                <w:sz w:val="18"/>
                <w:szCs w:val="18"/>
              </w:rPr>
              <w:t>705 (61.2%)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26B2B8" w14:textId="77777777" w:rsidR="001C19F3" w:rsidRDefault="001C19F3" w:rsidP="00521305">
            <w:pPr>
              <w:spacing w:before="40" w:after="40"/>
              <w:ind w:left="100" w:right="100"/>
              <w:jc w:val="center"/>
            </w:pPr>
            <w:r>
              <w:rPr>
                <w:rFonts w:eastAsia="Century Gothic" w:cs="Century Gothic"/>
                <w:color w:val="000000"/>
                <w:sz w:val="18"/>
                <w:szCs w:val="18"/>
              </w:rPr>
              <w:t>442 (56.7%)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8A31C61" w14:textId="77777777" w:rsidR="001C19F3" w:rsidRDefault="001C19F3" w:rsidP="00521305">
            <w:pPr>
              <w:spacing w:after="0"/>
              <w:rPr>
                <w:sz w:val="22"/>
              </w:rPr>
            </w:pPr>
          </w:p>
        </w:tc>
      </w:tr>
      <w:tr w:rsidR="001C19F3" w14:paraId="09C64BC2"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8FEF8"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FA346E" w14:textId="77777777" w:rsidR="001C19F3" w:rsidRDefault="001C19F3" w:rsidP="00521305">
            <w:pPr>
              <w:spacing w:before="40" w:after="40"/>
              <w:ind w:left="100" w:right="100"/>
              <w:jc w:val="center"/>
            </w:pPr>
            <w:r>
              <w:rPr>
                <w:rFonts w:eastAsia="Century Gothic" w:cs="Century Gothic"/>
                <w:color w:val="000000"/>
                <w:sz w:val="18"/>
                <w:szCs w:val="18"/>
              </w:rPr>
              <w:t>622 (30.8%)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BA2C9C" w14:textId="77777777" w:rsidR="001C19F3" w:rsidRDefault="001C19F3" w:rsidP="00521305">
            <w:pPr>
              <w:spacing w:before="40" w:after="40"/>
              <w:ind w:left="100" w:right="100"/>
              <w:jc w:val="center"/>
            </w:pPr>
            <w:r>
              <w:rPr>
                <w:rFonts w:eastAsia="Century Gothic" w:cs="Century Gothic"/>
                <w:color w:val="000000"/>
                <w:sz w:val="18"/>
                <w:szCs w:val="18"/>
              </w:rPr>
              <w:t>143 (33.9%)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4E55E8" w14:textId="77777777" w:rsidR="001C19F3" w:rsidRDefault="001C19F3" w:rsidP="00521305">
            <w:pPr>
              <w:spacing w:before="40" w:after="40"/>
              <w:ind w:left="100" w:right="100"/>
              <w:jc w:val="center"/>
            </w:pPr>
            <w:r>
              <w:rPr>
                <w:rFonts w:eastAsia="Century Gothic" w:cs="Century Gothic"/>
                <w:color w:val="000000"/>
                <w:sz w:val="18"/>
                <w:szCs w:val="18"/>
              </w:rPr>
              <w:t>321 (32.2%)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427B13" w14:textId="77777777" w:rsidR="001C19F3" w:rsidRDefault="001C19F3" w:rsidP="00521305">
            <w:pPr>
              <w:spacing w:before="40" w:after="40"/>
              <w:ind w:left="100" w:right="100"/>
              <w:jc w:val="center"/>
            </w:pPr>
            <w:r>
              <w:rPr>
                <w:rFonts w:eastAsia="Century Gothic" w:cs="Century Gothic"/>
                <w:color w:val="000000"/>
                <w:sz w:val="18"/>
                <w:szCs w:val="18"/>
              </w:rPr>
              <w:t>127 (28.5%)</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A7860EA"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2AE91E" w14:textId="77777777" w:rsidR="001C19F3" w:rsidRDefault="001C19F3" w:rsidP="00521305">
            <w:pPr>
              <w:spacing w:before="40" w:after="40"/>
              <w:ind w:left="100" w:right="100"/>
              <w:jc w:val="center"/>
            </w:pPr>
            <w:r>
              <w:rPr>
                <w:rFonts w:eastAsia="Century Gothic" w:cs="Century Gothic"/>
                <w:color w:val="000000"/>
                <w:sz w:val="18"/>
                <w:szCs w:val="18"/>
              </w:rPr>
              <w:t>351 (30.5%)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3E0442" w14:textId="77777777" w:rsidR="001C19F3" w:rsidRDefault="001C19F3" w:rsidP="00521305">
            <w:pPr>
              <w:spacing w:before="40" w:after="40"/>
              <w:ind w:left="100" w:right="100"/>
              <w:jc w:val="center"/>
            </w:pPr>
            <w:r>
              <w:rPr>
                <w:rFonts w:eastAsia="Century Gothic" w:cs="Century Gothic"/>
                <w:color w:val="000000"/>
                <w:sz w:val="18"/>
                <w:szCs w:val="18"/>
              </w:rPr>
              <w:t>271 (34.7%)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A362214" w14:textId="77777777" w:rsidR="001C19F3" w:rsidRDefault="001C19F3" w:rsidP="00521305">
            <w:pPr>
              <w:spacing w:after="0"/>
              <w:rPr>
                <w:sz w:val="22"/>
              </w:rPr>
            </w:pPr>
          </w:p>
        </w:tc>
      </w:tr>
      <w:tr w:rsidR="001C19F3" w14:paraId="077644E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5519EF"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D0B21A" w14:textId="77777777" w:rsidR="001C19F3" w:rsidRDefault="001C19F3" w:rsidP="00521305">
            <w:pPr>
              <w:spacing w:before="40" w:after="40"/>
              <w:ind w:left="100" w:right="100"/>
              <w:jc w:val="center"/>
            </w:pPr>
            <w:r>
              <w:rPr>
                <w:rFonts w:eastAsia="Century Gothic" w:cs="Century Gothic"/>
                <w:color w:val="000000"/>
                <w:sz w:val="18"/>
                <w:szCs w:val="18"/>
              </w:rPr>
              <w:t>77 (3.8%)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4D65D6"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48AD24"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271539"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65E8B2"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9CEF53"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9603E4"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201945" w14:textId="77777777" w:rsidR="001C19F3" w:rsidRDefault="001C19F3" w:rsidP="00521305">
            <w:pPr>
              <w:spacing w:before="40" w:after="40"/>
              <w:ind w:left="100" w:right="100"/>
              <w:jc w:val="right"/>
            </w:pPr>
          </w:p>
        </w:tc>
      </w:tr>
      <w:tr w:rsidR="001C19F3" w14:paraId="7AEC13CD"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3F48A2"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D25774" w14:textId="77777777" w:rsidR="001C19F3" w:rsidRDefault="001C19F3" w:rsidP="00521305">
            <w:pPr>
              <w:spacing w:before="40" w:after="40"/>
              <w:ind w:left="100" w:right="100"/>
              <w:jc w:val="center"/>
            </w:pPr>
            <w:r>
              <w:rPr>
                <w:rFonts w:eastAsia="Century Gothic" w:cs="Century Gothic"/>
                <w:color w:val="000000"/>
                <w:sz w:val="18"/>
                <w:szCs w:val="18"/>
              </w:rPr>
              <w:t>9 (0.4%)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71C67F"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D8C94E"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AFA700"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0A699E4"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6AB970"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58D009"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131B4A6" w14:textId="77777777" w:rsidR="001C19F3" w:rsidRDefault="001C19F3" w:rsidP="00521305">
            <w:pPr>
              <w:spacing w:after="0"/>
              <w:rPr>
                <w:sz w:val="22"/>
              </w:rPr>
            </w:pPr>
          </w:p>
        </w:tc>
      </w:tr>
      <w:tr w:rsidR="001C19F3" w14:paraId="701F7403"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C094F6" w14:textId="77777777" w:rsidR="001C19F3" w:rsidRDefault="001C19F3" w:rsidP="00521305">
            <w:pPr>
              <w:spacing w:before="40" w:after="40"/>
              <w:ind w:left="100" w:right="100"/>
            </w:pPr>
            <w:r>
              <w:rPr>
                <w:rFonts w:eastAsia="Century Gothic" w:cs="Century Gothic"/>
                <w:b/>
                <w:color w:val="000000"/>
                <w:sz w:val="18"/>
                <w:szCs w:val="18"/>
              </w:rPr>
              <w:t>H07 I know how to prevent further problems with my health condition (Q20)</w:t>
            </w:r>
          </w:p>
        </w:tc>
      </w:tr>
      <w:tr w:rsidR="001C19F3" w14:paraId="5D52FCF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27E58" w14:textId="77777777" w:rsidR="001C19F3" w:rsidRDefault="001C19F3" w:rsidP="00521305">
            <w:pPr>
              <w:spacing w:before="40" w:after="40"/>
              <w:ind w:left="160" w:right="100"/>
            </w:pPr>
            <w:r>
              <w:rPr>
                <w:rFonts w:eastAsia="Century Gothic" w:cs="Century Gothic"/>
                <w:color w:val="000000"/>
                <w:sz w:val="18"/>
                <w:szCs w:val="18"/>
              </w:rPr>
              <w:lastRenderedPageBreak/>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A5B522" w14:textId="77777777" w:rsidR="001C19F3" w:rsidRDefault="001C19F3" w:rsidP="00521305">
            <w:pPr>
              <w:spacing w:before="40" w:after="40"/>
              <w:ind w:left="100" w:right="100"/>
              <w:jc w:val="center"/>
            </w:pPr>
            <w:r>
              <w:rPr>
                <w:rFonts w:eastAsia="Century Gothic" w:cs="Century Gothic"/>
                <w:color w:val="000000"/>
                <w:sz w:val="18"/>
                <w:szCs w:val="18"/>
              </w:rPr>
              <w:t>22 (1.1%)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22B7E9"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F65F54" w14:textId="77777777" w:rsidR="001C19F3" w:rsidRDefault="001C19F3" w:rsidP="00521305">
            <w:pPr>
              <w:spacing w:before="40" w:after="40"/>
              <w:ind w:left="100" w:right="100"/>
              <w:jc w:val="center"/>
            </w:pPr>
            <w:r>
              <w:rPr>
                <w:rFonts w:eastAsia="Century Gothic" w:cs="Century Gothic"/>
                <w:color w:val="000000"/>
                <w:sz w:val="18"/>
                <w:szCs w:val="18"/>
              </w:rPr>
              <w:t>13 (1.3%)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B3F2C1" w14:textId="77777777" w:rsidR="001C19F3" w:rsidRDefault="001C19F3" w:rsidP="00521305">
            <w:pPr>
              <w:spacing w:before="40" w:after="40"/>
              <w:ind w:left="100" w:right="100"/>
              <w:jc w:val="center"/>
            </w:pPr>
            <w:r>
              <w:rPr>
                <w:rFonts w:eastAsia="Century Gothic" w:cs="Century Gothic"/>
                <w:color w:val="000000"/>
                <w:sz w:val="18"/>
                <w:szCs w:val="18"/>
              </w:rPr>
              <w:t>7 (1.6%)</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74BCC5" w14:textId="77777777" w:rsidR="001C19F3" w:rsidRDefault="001C19F3" w:rsidP="00521305">
            <w:pPr>
              <w:spacing w:before="40" w:after="40"/>
              <w:ind w:left="100" w:right="100"/>
              <w:jc w:val="center"/>
            </w:pPr>
            <w:r>
              <w:rPr>
                <w:rFonts w:eastAsia="Century Gothic" w:cs="Century Gothic"/>
                <w:color w:val="000000"/>
                <w:sz w:val="18"/>
                <w:szCs w:val="18"/>
              </w:rPr>
              <w:t>0.003</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A7F33" w14:textId="77777777" w:rsidR="001C19F3" w:rsidRDefault="001C19F3" w:rsidP="00521305">
            <w:pPr>
              <w:spacing w:before="40" w:after="40"/>
              <w:ind w:left="100" w:right="100"/>
              <w:jc w:val="center"/>
            </w:pPr>
            <w:r>
              <w:rPr>
                <w:rFonts w:eastAsia="Century Gothic" w:cs="Century Gothic"/>
                <w:color w:val="000000"/>
                <w:sz w:val="18"/>
                <w:szCs w:val="18"/>
              </w:rPr>
              <w:t>16 (1.4%)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E92C2" w14:textId="77777777" w:rsidR="001C19F3" w:rsidRDefault="001C19F3" w:rsidP="00521305">
            <w:pPr>
              <w:spacing w:before="40" w:after="40"/>
              <w:ind w:left="100" w:right="100"/>
              <w:jc w:val="center"/>
            </w:pPr>
            <w:r>
              <w:rPr>
                <w:rFonts w:eastAsia="Century Gothic" w:cs="Century Gothic"/>
                <w:color w:val="000000"/>
                <w:sz w:val="18"/>
                <w:szCs w:val="18"/>
              </w:rPr>
              <w:t>6 (0.8%)</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00DE0B" w14:textId="77777777" w:rsidR="001C19F3" w:rsidRDefault="001C19F3" w:rsidP="00521305">
            <w:pPr>
              <w:spacing w:before="40" w:after="40"/>
              <w:ind w:left="100" w:right="100"/>
              <w:jc w:val="right"/>
            </w:pPr>
            <w:r>
              <w:rPr>
                <w:rFonts w:eastAsia="Century Gothic" w:cs="Century Gothic"/>
                <w:color w:val="000000"/>
                <w:sz w:val="18"/>
                <w:szCs w:val="18"/>
              </w:rPr>
              <w:t>0.295</w:t>
            </w:r>
          </w:p>
        </w:tc>
      </w:tr>
      <w:tr w:rsidR="001C19F3" w14:paraId="0F20B187"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C0BAE5"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CED17D" w14:textId="77777777" w:rsidR="001C19F3" w:rsidRDefault="001C19F3" w:rsidP="00521305">
            <w:pPr>
              <w:spacing w:before="40" w:after="40"/>
              <w:ind w:left="100" w:right="100"/>
              <w:jc w:val="center"/>
            </w:pPr>
            <w:r>
              <w:rPr>
                <w:rFonts w:eastAsia="Century Gothic" w:cs="Century Gothic"/>
                <w:color w:val="000000"/>
                <w:sz w:val="18"/>
                <w:szCs w:val="18"/>
              </w:rPr>
              <w:t>161 (8.0%)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476A45" w14:textId="77777777" w:rsidR="001C19F3" w:rsidRDefault="001C19F3" w:rsidP="00521305">
            <w:pPr>
              <w:spacing w:before="40" w:after="40"/>
              <w:ind w:left="100" w:right="100"/>
              <w:jc w:val="center"/>
            </w:pPr>
            <w:r>
              <w:rPr>
                <w:rFonts w:eastAsia="Century Gothic" w:cs="Century Gothic"/>
                <w:color w:val="000000"/>
                <w:sz w:val="18"/>
                <w:szCs w:val="18"/>
              </w:rPr>
              <w:t>29 (6.8%)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C4CC4E" w14:textId="77777777" w:rsidR="001C19F3" w:rsidRDefault="001C19F3" w:rsidP="00521305">
            <w:pPr>
              <w:spacing w:before="40" w:after="40"/>
              <w:ind w:left="100" w:right="100"/>
              <w:jc w:val="center"/>
            </w:pPr>
            <w:r>
              <w:rPr>
                <w:rFonts w:eastAsia="Century Gothic" w:cs="Century Gothic"/>
                <w:color w:val="000000"/>
                <w:sz w:val="18"/>
                <w:szCs w:val="18"/>
              </w:rPr>
              <w:t>71 (7.2%)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DEB41D" w14:textId="77777777" w:rsidR="001C19F3" w:rsidRDefault="001C19F3" w:rsidP="00521305">
            <w:pPr>
              <w:spacing w:before="40" w:after="40"/>
              <w:ind w:left="100" w:right="100"/>
              <w:jc w:val="center"/>
            </w:pPr>
            <w:r>
              <w:rPr>
                <w:rFonts w:eastAsia="Century Gothic" w:cs="Century Gothic"/>
                <w:color w:val="000000"/>
                <w:sz w:val="18"/>
                <w:szCs w:val="18"/>
              </w:rPr>
              <w:t>57 (12.7%)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0B085F8"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02EDF" w14:textId="77777777" w:rsidR="001C19F3" w:rsidRDefault="001C19F3" w:rsidP="00521305">
            <w:pPr>
              <w:spacing w:before="40" w:after="40"/>
              <w:ind w:left="100" w:right="100"/>
              <w:jc w:val="center"/>
            </w:pPr>
            <w:r>
              <w:rPr>
                <w:rFonts w:eastAsia="Century Gothic" w:cs="Century Gothic"/>
                <w:color w:val="000000"/>
                <w:sz w:val="18"/>
                <w:szCs w:val="18"/>
              </w:rPr>
              <w:t>96 (8.4%)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E2E831" w14:textId="77777777" w:rsidR="001C19F3" w:rsidRDefault="001C19F3" w:rsidP="00521305">
            <w:pPr>
              <w:spacing w:before="40" w:after="40"/>
              <w:ind w:left="100" w:right="100"/>
              <w:jc w:val="center"/>
            </w:pPr>
            <w:r>
              <w:rPr>
                <w:rFonts w:eastAsia="Century Gothic" w:cs="Century Gothic"/>
                <w:color w:val="000000"/>
                <w:sz w:val="18"/>
                <w:szCs w:val="18"/>
              </w:rPr>
              <w:t>65 (8.3%)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DF29A91" w14:textId="77777777" w:rsidR="001C19F3" w:rsidRDefault="001C19F3" w:rsidP="00521305">
            <w:pPr>
              <w:spacing w:after="0"/>
              <w:rPr>
                <w:sz w:val="22"/>
              </w:rPr>
            </w:pPr>
          </w:p>
        </w:tc>
      </w:tr>
      <w:tr w:rsidR="001C19F3" w14:paraId="77822409"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473D77"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DEBA0" w14:textId="77777777" w:rsidR="001C19F3" w:rsidRDefault="001C19F3" w:rsidP="00521305">
            <w:pPr>
              <w:spacing w:before="40" w:after="40"/>
              <w:ind w:left="100" w:right="100"/>
              <w:jc w:val="center"/>
            </w:pPr>
            <w:r>
              <w:rPr>
                <w:rFonts w:eastAsia="Century Gothic" w:cs="Century Gothic"/>
                <w:color w:val="000000"/>
                <w:sz w:val="18"/>
                <w:szCs w:val="18"/>
              </w:rPr>
              <w:t>1,094 (54.2%)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153A74" w14:textId="77777777" w:rsidR="001C19F3" w:rsidRDefault="001C19F3" w:rsidP="00521305">
            <w:pPr>
              <w:spacing w:before="40" w:after="40"/>
              <w:ind w:left="100" w:right="100"/>
              <w:jc w:val="center"/>
            </w:pPr>
            <w:r>
              <w:rPr>
                <w:rFonts w:eastAsia="Century Gothic" w:cs="Century Gothic"/>
                <w:color w:val="000000"/>
                <w:sz w:val="18"/>
                <w:szCs w:val="18"/>
              </w:rPr>
              <w:t>242 (56.7%)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70728B" w14:textId="77777777" w:rsidR="001C19F3" w:rsidRDefault="001C19F3" w:rsidP="00521305">
            <w:pPr>
              <w:spacing w:before="40" w:after="40"/>
              <w:ind w:left="100" w:right="100"/>
              <w:jc w:val="center"/>
            </w:pPr>
            <w:r>
              <w:rPr>
                <w:rFonts w:eastAsia="Century Gothic" w:cs="Century Gothic"/>
                <w:color w:val="000000"/>
                <w:sz w:val="18"/>
                <w:szCs w:val="18"/>
              </w:rPr>
              <w:t>571 (58.2%)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E728D3" w14:textId="77777777" w:rsidR="001C19F3" w:rsidRDefault="001C19F3" w:rsidP="00521305">
            <w:pPr>
              <w:spacing w:before="40" w:after="40"/>
              <w:ind w:left="100" w:right="100"/>
              <w:jc w:val="center"/>
            </w:pPr>
            <w:r>
              <w:rPr>
                <w:rFonts w:eastAsia="Century Gothic" w:cs="Century Gothic"/>
                <w:color w:val="000000"/>
                <w:sz w:val="18"/>
                <w:szCs w:val="18"/>
              </w:rPr>
              <w:t>247 (55.1%)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515D076"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EB2658" w14:textId="77777777" w:rsidR="001C19F3" w:rsidRDefault="001C19F3" w:rsidP="00521305">
            <w:pPr>
              <w:spacing w:before="40" w:after="40"/>
              <w:ind w:left="100" w:right="100"/>
              <w:jc w:val="center"/>
            </w:pPr>
            <w:r>
              <w:rPr>
                <w:rFonts w:eastAsia="Century Gothic" w:cs="Century Gothic"/>
                <w:color w:val="000000"/>
                <w:sz w:val="18"/>
                <w:szCs w:val="18"/>
              </w:rPr>
              <w:t>661 (57.9%)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AD1E4" w14:textId="77777777" w:rsidR="001C19F3" w:rsidRDefault="001C19F3" w:rsidP="00521305">
            <w:pPr>
              <w:spacing w:before="40" w:after="40"/>
              <w:ind w:left="100" w:right="100"/>
              <w:jc w:val="center"/>
            </w:pPr>
            <w:r>
              <w:rPr>
                <w:rFonts w:eastAsia="Century Gothic" w:cs="Century Gothic"/>
                <w:color w:val="000000"/>
                <w:sz w:val="18"/>
                <w:szCs w:val="18"/>
              </w:rPr>
              <w:t>433 (55.3%)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DC2DC17" w14:textId="77777777" w:rsidR="001C19F3" w:rsidRDefault="001C19F3" w:rsidP="00521305">
            <w:pPr>
              <w:spacing w:after="0"/>
              <w:rPr>
                <w:sz w:val="22"/>
              </w:rPr>
            </w:pPr>
          </w:p>
        </w:tc>
      </w:tr>
      <w:tr w:rsidR="001C19F3" w14:paraId="02C87CC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D6AA0"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E0519E" w14:textId="77777777" w:rsidR="001C19F3" w:rsidRDefault="001C19F3" w:rsidP="00521305">
            <w:pPr>
              <w:spacing w:before="40" w:after="40"/>
              <w:ind w:left="100" w:right="100"/>
              <w:jc w:val="center"/>
            </w:pPr>
            <w:r>
              <w:rPr>
                <w:rFonts w:eastAsia="Century Gothic" w:cs="Century Gothic"/>
                <w:color w:val="000000"/>
                <w:sz w:val="18"/>
                <w:szCs w:val="18"/>
              </w:rPr>
              <w:t>648 (32.1%)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A7FDE8" w14:textId="77777777" w:rsidR="001C19F3" w:rsidRDefault="001C19F3" w:rsidP="00521305">
            <w:pPr>
              <w:spacing w:before="40" w:after="40"/>
              <w:ind w:left="100" w:right="100"/>
              <w:jc w:val="center"/>
            </w:pPr>
            <w:r>
              <w:rPr>
                <w:rFonts w:eastAsia="Century Gothic" w:cs="Century Gothic"/>
                <w:color w:val="000000"/>
                <w:sz w:val="18"/>
                <w:szCs w:val="18"/>
              </w:rPr>
              <w:t>155 (36.3%)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C46926" w14:textId="77777777" w:rsidR="001C19F3" w:rsidRDefault="001C19F3" w:rsidP="00521305">
            <w:pPr>
              <w:spacing w:before="40" w:after="40"/>
              <w:ind w:left="100" w:right="100"/>
              <w:jc w:val="center"/>
            </w:pPr>
            <w:r>
              <w:rPr>
                <w:rFonts w:eastAsia="Century Gothic" w:cs="Century Gothic"/>
                <w:color w:val="000000"/>
                <w:sz w:val="18"/>
                <w:szCs w:val="18"/>
              </w:rPr>
              <w:t>326 (33.2%)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02B5A9" w14:textId="77777777" w:rsidR="001C19F3" w:rsidRDefault="001C19F3" w:rsidP="00521305">
            <w:pPr>
              <w:spacing w:before="40" w:after="40"/>
              <w:ind w:left="100" w:right="100"/>
              <w:jc w:val="center"/>
            </w:pPr>
            <w:r>
              <w:rPr>
                <w:rFonts w:eastAsia="Century Gothic" w:cs="Century Gothic"/>
                <w:color w:val="000000"/>
                <w:sz w:val="18"/>
                <w:szCs w:val="18"/>
              </w:rPr>
              <w:t>137 (30.6%)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10012F2"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E3C62C" w14:textId="77777777" w:rsidR="001C19F3" w:rsidRDefault="001C19F3" w:rsidP="00521305">
            <w:pPr>
              <w:spacing w:before="40" w:after="40"/>
              <w:ind w:left="100" w:right="100"/>
              <w:jc w:val="center"/>
            </w:pPr>
            <w:r>
              <w:rPr>
                <w:rFonts w:eastAsia="Century Gothic" w:cs="Century Gothic"/>
                <w:color w:val="000000"/>
                <w:sz w:val="18"/>
                <w:szCs w:val="18"/>
              </w:rPr>
              <w:t>369 (32.3%)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367447" w14:textId="77777777" w:rsidR="001C19F3" w:rsidRDefault="001C19F3" w:rsidP="00521305">
            <w:pPr>
              <w:spacing w:before="40" w:after="40"/>
              <w:ind w:left="100" w:right="100"/>
              <w:jc w:val="center"/>
            </w:pPr>
            <w:r>
              <w:rPr>
                <w:rFonts w:eastAsia="Century Gothic" w:cs="Century Gothic"/>
                <w:color w:val="000000"/>
                <w:sz w:val="18"/>
                <w:szCs w:val="18"/>
              </w:rPr>
              <w:t>279 (35.6%)</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717B005" w14:textId="77777777" w:rsidR="001C19F3" w:rsidRDefault="001C19F3" w:rsidP="00521305">
            <w:pPr>
              <w:spacing w:after="0"/>
              <w:rPr>
                <w:sz w:val="22"/>
              </w:rPr>
            </w:pPr>
          </w:p>
        </w:tc>
      </w:tr>
      <w:tr w:rsidR="001C19F3" w14:paraId="417E0DE7"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6759F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F28496" w14:textId="77777777" w:rsidR="001C19F3" w:rsidRDefault="001C19F3" w:rsidP="00521305">
            <w:pPr>
              <w:spacing w:before="40" w:after="40"/>
              <w:ind w:left="100" w:right="100"/>
              <w:jc w:val="center"/>
            </w:pPr>
            <w:r>
              <w:rPr>
                <w:rFonts w:eastAsia="Century Gothic" w:cs="Century Gothic"/>
                <w:color w:val="000000"/>
                <w:sz w:val="18"/>
                <w:szCs w:val="18"/>
              </w:rPr>
              <w:t>86 (4.3%)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D56003"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D10DC2"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09ADF0"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62775F"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8A77A4"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1C996E"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36FC68" w14:textId="77777777" w:rsidR="001C19F3" w:rsidRDefault="001C19F3" w:rsidP="00521305">
            <w:pPr>
              <w:spacing w:before="40" w:after="40"/>
              <w:ind w:left="100" w:right="100"/>
              <w:jc w:val="right"/>
            </w:pPr>
          </w:p>
        </w:tc>
      </w:tr>
      <w:tr w:rsidR="001C19F3" w14:paraId="543B1852"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E834F5"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44CE8"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473911"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654ABE"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F147BE"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35A335D"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7173FD"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7B9ED5"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68916C4" w14:textId="77777777" w:rsidR="001C19F3" w:rsidRDefault="001C19F3" w:rsidP="00521305">
            <w:pPr>
              <w:spacing w:after="0"/>
              <w:rPr>
                <w:sz w:val="22"/>
              </w:rPr>
            </w:pPr>
          </w:p>
        </w:tc>
      </w:tr>
      <w:tr w:rsidR="001C19F3" w14:paraId="5B654C56"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20E7B0" w14:textId="77777777" w:rsidR="001C19F3" w:rsidRDefault="001C19F3" w:rsidP="00521305">
            <w:pPr>
              <w:spacing w:before="40" w:after="40"/>
              <w:ind w:left="100" w:right="100"/>
            </w:pPr>
            <w:r>
              <w:rPr>
                <w:rFonts w:eastAsia="Century Gothic" w:cs="Century Gothic"/>
                <w:b/>
                <w:color w:val="000000"/>
                <w:sz w:val="18"/>
                <w:szCs w:val="18"/>
              </w:rPr>
              <w:t>H08 I am confident that I can take actions that will help prevent or minimise some symptoms or problems associated with my health condition (Q21)</w:t>
            </w:r>
          </w:p>
        </w:tc>
      </w:tr>
      <w:tr w:rsidR="001C19F3" w14:paraId="6FF3A52C"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2E73C1"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1B9E44" w14:textId="77777777" w:rsidR="001C19F3" w:rsidRDefault="001C19F3" w:rsidP="00521305">
            <w:pPr>
              <w:spacing w:before="40" w:after="40"/>
              <w:ind w:left="100" w:right="100"/>
              <w:jc w:val="center"/>
            </w:pPr>
            <w:r>
              <w:rPr>
                <w:rFonts w:eastAsia="Century Gothic" w:cs="Century Gothic"/>
                <w:color w:val="000000"/>
                <w:sz w:val="18"/>
                <w:szCs w:val="18"/>
              </w:rPr>
              <w:t>17 (0.8%)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934071"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1BE932" w14:textId="77777777" w:rsidR="001C19F3" w:rsidRDefault="001C19F3" w:rsidP="00521305">
            <w:pPr>
              <w:spacing w:before="40" w:after="40"/>
              <w:ind w:left="100" w:right="100"/>
              <w:jc w:val="center"/>
            </w:pPr>
            <w:r>
              <w:rPr>
                <w:rFonts w:eastAsia="Century Gothic" w:cs="Century Gothic"/>
                <w:color w:val="000000"/>
                <w:sz w:val="18"/>
                <w:szCs w:val="18"/>
              </w:rPr>
              <w:t>8 (0.8%)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CDFB35" w14:textId="77777777" w:rsidR="001C19F3" w:rsidRDefault="001C19F3" w:rsidP="00521305">
            <w:pPr>
              <w:spacing w:before="40" w:after="40"/>
              <w:ind w:left="100" w:right="100"/>
              <w:jc w:val="center"/>
            </w:pPr>
            <w:r>
              <w:rPr>
                <w:rFonts w:eastAsia="Century Gothic" w:cs="Century Gothic"/>
                <w:color w:val="000000"/>
                <w:sz w:val="18"/>
                <w:szCs w:val="18"/>
              </w:rPr>
              <w:t>8 (1.7%)</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2AE424"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7F0249" w14:textId="77777777" w:rsidR="001C19F3" w:rsidRDefault="001C19F3" w:rsidP="00521305">
            <w:pPr>
              <w:spacing w:before="40" w:after="40"/>
              <w:ind w:left="100" w:right="100"/>
              <w:jc w:val="center"/>
            </w:pPr>
            <w:r>
              <w:rPr>
                <w:rFonts w:eastAsia="Century Gothic" w:cs="Century Gothic"/>
                <w:color w:val="000000"/>
                <w:sz w:val="18"/>
                <w:szCs w:val="18"/>
              </w:rPr>
              <w:t>13 (1.1%)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876FC1" w14:textId="77777777" w:rsidR="001C19F3" w:rsidRDefault="001C19F3" w:rsidP="00521305">
            <w:pPr>
              <w:spacing w:before="40" w:after="40"/>
              <w:ind w:left="100" w:right="100"/>
              <w:jc w:val="center"/>
            </w:pPr>
            <w:r>
              <w:rPr>
                <w:rFonts w:eastAsia="Century Gothic" w:cs="Century Gothic"/>
                <w:color w:val="000000"/>
                <w:sz w:val="18"/>
                <w:szCs w:val="18"/>
              </w:rPr>
              <w:t>4 (0.5%)</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D712A8" w14:textId="77777777" w:rsidR="001C19F3" w:rsidRDefault="001C19F3" w:rsidP="00521305">
            <w:pPr>
              <w:spacing w:before="40" w:after="40"/>
              <w:ind w:left="100" w:right="100"/>
              <w:jc w:val="right"/>
            </w:pPr>
            <w:r>
              <w:rPr>
                <w:rFonts w:eastAsia="Century Gothic" w:cs="Century Gothic"/>
                <w:color w:val="000000"/>
                <w:sz w:val="18"/>
                <w:szCs w:val="18"/>
              </w:rPr>
              <w:t>0.196</w:t>
            </w:r>
          </w:p>
        </w:tc>
      </w:tr>
      <w:tr w:rsidR="001C19F3" w14:paraId="50DE060E"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1489A2"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10769" w14:textId="77777777" w:rsidR="001C19F3" w:rsidRDefault="001C19F3" w:rsidP="00521305">
            <w:pPr>
              <w:spacing w:before="40" w:after="40"/>
              <w:ind w:left="100" w:right="100"/>
              <w:jc w:val="center"/>
            </w:pPr>
            <w:r>
              <w:rPr>
                <w:rFonts w:eastAsia="Century Gothic" w:cs="Century Gothic"/>
                <w:color w:val="000000"/>
                <w:sz w:val="18"/>
                <w:szCs w:val="18"/>
              </w:rPr>
              <w:t>118 (5.8%)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60EDA" w14:textId="77777777" w:rsidR="001C19F3" w:rsidRDefault="001C19F3" w:rsidP="00521305">
            <w:pPr>
              <w:spacing w:before="40" w:after="40"/>
              <w:ind w:left="100" w:right="100"/>
              <w:jc w:val="center"/>
            </w:pPr>
            <w:r>
              <w:rPr>
                <w:rFonts w:eastAsia="Century Gothic" w:cs="Century Gothic"/>
                <w:color w:val="000000"/>
                <w:sz w:val="18"/>
                <w:szCs w:val="18"/>
              </w:rPr>
              <w:t>11 (2.6%)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649483" w14:textId="77777777" w:rsidR="001C19F3" w:rsidRDefault="001C19F3" w:rsidP="00521305">
            <w:pPr>
              <w:spacing w:before="40" w:after="40"/>
              <w:ind w:left="100" w:right="100"/>
              <w:jc w:val="center"/>
            </w:pPr>
            <w:r>
              <w:rPr>
                <w:rFonts w:eastAsia="Century Gothic" w:cs="Century Gothic"/>
                <w:color w:val="000000"/>
                <w:sz w:val="18"/>
                <w:szCs w:val="18"/>
              </w:rPr>
              <w:t>54 (5.4%)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A26532" w14:textId="77777777" w:rsidR="001C19F3" w:rsidRDefault="001C19F3" w:rsidP="00521305">
            <w:pPr>
              <w:spacing w:before="40" w:after="40"/>
              <w:ind w:left="100" w:right="100"/>
              <w:jc w:val="center"/>
            </w:pPr>
            <w:r>
              <w:rPr>
                <w:rFonts w:eastAsia="Century Gothic" w:cs="Century Gothic"/>
                <w:color w:val="000000"/>
                <w:sz w:val="18"/>
                <w:szCs w:val="18"/>
              </w:rPr>
              <w:t>51 (11.1%)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D10EF87"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C1E902" w14:textId="77777777" w:rsidR="001C19F3" w:rsidRDefault="001C19F3" w:rsidP="00521305">
            <w:pPr>
              <w:spacing w:before="40" w:after="40"/>
              <w:ind w:left="100" w:right="100"/>
              <w:jc w:val="center"/>
            </w:pPr>
            <w:r>
              <w:rPr>
                <w:rFonts w:eastAsia="Century Gothic" w:cs="Century Gothic"/>
                <w:color w:val="000000"/>
                <w:sz w:val="18"/>
                <w:szCs w:val="18"/>
              </w:rPr>
              <w:t>73 (6.2%)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14B8D6" w14:textId="77777777" w:rsidR="001C19F3" w:rsidRDefault="001C19F3" w:rsidP="00521305">
            <w:pPr>
              <w:spacing w:before="40" w:after="40"/>
              <w:ind w:left="100" w:right="100"/>
              <w:jc w:val="center"/>
            </w:pPr>
            <w:r>
              <w:rPr>
                <w:rFonts w:eastAsia="Century Gothic" w:cs="Century Gothic"/>
                <w:color w:val="000000"/>
                <w:sz w:val="18"/>
                <w:szCs w:val="18"/>
              </w:rPr>
              <w:t>45 (5.7%)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D03ABAE" w14:textId="77777777" w:rsidR="001C19F3" w:rsidRDefault="001C19F3" w:rsidP="00521305">
            <w:pPr>
              <w:spacing w:after="0"/>
              <w:rPr>
                <w:sz w:val="22"/>
              </w:rPr>
            </w:pPr>
          </w:p>
        </w:tc>
      </w:tr>
      <w:tr w:rsidR="001C19F3" w14:paraId="4AE26F9A"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9B2ABD"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C384D5" w14:textId="77777777" w:rsidR="001C19F3" w:rsidRDefault="001C19F3" w:rsidP="00521305">
            <w:pPr>
              <w:spacing w:before="40" w:after="40"/>
              <w:ind w:left="100" w:right="100"/>
              <w:jc w:val="center"/>
            </w:pPr>
            <w:r>
              <w:rPr>
                <w:rFonts w:eastAsia="Century Gothic" w:cs="Century Gothic"/>
                <w:color w:val="000000"/>
                <w:sz w:val="18"/>
                <w:szCs w:val="18"/>
              </w:rPr>
              <w:t>1,167 (57.8%)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CB8FB5" w14:textId="77777777" w:rsidR="001C19F3" w:rsidRDefault="001C19F3" w:rsidP="00521305">
            <w:pPr>
              <w:spacing w:before="40" w:after="40"/>
              <w:ind w:left="100" w:right="100"/>
              <w:jc w:val="center"/>
            </w:pPr>
            <w:r>
              <w:rPr>
                <w:rFonts w:eastAsia="Century Gothic" w:cs="Century Gothic"/>
                <w:color w:val="000000"/>
                <w:sz w:val="18"/>
                <w:szCs w:val="18"/>
              </w:rPr>
              <w:t>267 (61.9%)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4F2AA" w14:textId="77777777" w:rsidR="001C19F3" w:rsidRDefault="001C19F3" w:rsidP="00521305">
            <w:pPr>
              <w:spacing w:before="40" w:after="40"/>
              <w:ind w:left="100" w:right="100"/>
              <w:jc w:val="center"/>
            </w:pPr>
            <w:r>
              <w:rPr>
                <w:rFonts w:eastAsia="Century Gothic" w:cs="Century Gothic"/>
                <w:color w:val="000000"/>
                <w:sz w:val="18"/>
                <w:szCs w:val="18"/>
              </w:rPr>
              <w:t>609 (60.4%)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EE2A6B" w14:textId="77777777" w:rsidR="001C19F3" w:rsidRDefault="001C19F3" w:rsidP="00521305">
            <w:pPr>
              <w:spacing w:before="40" w:after="40"/>
              <w:ind w:left="100" w:right="100"/>
              <w:jc w:val="center"/>
            </w:pPr>
            <w:r>
              <w:rPr>
                <w:rFonts w:eastAsia="Century Gothic" w:cs="Century Gothic"/>
                <w:color w:val="000000"/>
                <w:sz w:val="18"/>
                <w:szCs w:val="18"/>
              </w:rPr>
              <w:t>252 (55.0%)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6DE095D"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9FAFF" w14:textId="77777777" w:rsidR="001C19F3" w:rsidRDefault="001C19F3" w:rsidP="00521305">
            <w:pPr>
              <w:spacing w:before="40" w:after="40"/>
              <w:ind w:left="100" w:right="100"/>
              <w:jc w:val="center"/>
            </w:pPr>
            <w:r>
              <w:rPr>
                <w:rFonts w:eastAsia="Century Gothic" w:cs="Century Gothic"/>
                <w:color w:val="000000"/>
                <w:sz w:val="18"/>
                <w:szCs w:val="18"/>
              </w:rPr>
              <w:t>708 (60.4%)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BEC3AF" w14:textId="77777777" w:rsidR="001C19F3" w:rsidRDefault="001C19F3" w:rsidP="00521305">
            <w:pPr>
              <w:spacing w:before="40" w:after="40"/>
              <w:ind w:left="100" w:right="100"/>
              <w:jc w:val="center"/>
            </w:pPr>
            <w:r>
              <w:rPr>
                <w:rFonts w:eastAsia="Century Gothic" w:cs="Century Gothic"/>
                <w:color w:val="000000"/>
                <w:sz w:val="18"/>
                <w:szCs w:val="18"/>
              </w:rPr>
              <w:t>459 (57.8%)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B65C925" w14:textId="77777777" w:rsidR="001C19F3" w:rsidRDefault="001C19F3" w:rsidP="00521305">
            <w:pPr>
              <w:spacing w:after="0"/>
              <w:rPr>
                <w:sz w:val="22"/>
              </w:rPr>
            </w:pPr>
          </w:p>
        </w:tc>
      </w:tr>
      <w:tr w:rsidR="001C19F3" w14:paraId="7060E9E0"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E034A5"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5085A5" w14:textId="77777777" w:rsidR="001C19F3" w:rsidRDefault="001C19F3" w:rsidP="00521305">
            <w:pPr>
              <w:spacing w:before="40" w:after="40"/>
              <w:ind w:left="100" w:right="100"/>
              <w:jc w:val="center"/>
            </w:pPr>
            <w:r>
              <w:rPr>
                <w:rFonts w:eastAsia="Century Gothic" w:cs="Century Gothic"/>
                <w:color w:val="000000"/>
                <w:sz w:val="18"/>
                <w:szCs w:val="18"/>
              </w:rPr>
              <w:t>665 (33.0%)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23CD68" w14:textId="77777777" w:rsidR="001C19F3" w:rsidRDefault="001C19F3" w:rsidP="00521305">
            <w:pPr>
              <w:spacing w:before="40" w:after="40"/>
              <w:ind w:left="100" w:right="100"/>
              <w:jc w:val="center"/>
            </w:pPr>
            <w:r>
              <w:rPr>
                <w:rFonts w:eastAsia="Century Gothic" w:cs="Century Gothic"/>
                <w:color w:val="000000"/>
                <w:sz w:val="18"/>
                <w:szCs w:val="18"/>
              </w:rPr>
              <w:t>152 (35.3%)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8BC6AD" w14:textId="77777777" w:rsidR="001C19F3" w:rsidRDefault="001C19F3" w:rsidP="00521305">
            <w:pPr>
              <w:spacing w:before="40" w:after="40"/>
              <w:ind w:left="100" w:right="100"/>
              <w:jc w:val="center"/>
            </w:pPr>
            <w:r>
              <w:rPr>
                <w:rFonts w:eastAsia="Century Gothic" w:cs="Century Gothic"/>
                <w:color w:val="000000"/>
                <w:sz w:val="18"/>
                <w:szCs w:val="18"/>
              </w:rPr>
              <w:t>338 (33.5%)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51C805" w14:textId="77777777" w:rsidR="001C19F3" w:rsidRDefault="001C19F3" w:rsidP="00521305">
            <w:pPr>
              <w:spacing w:before="40" w:after="40"/>
              <w:ind w:left="100" w:right="100"/>
              <w:jc w:val="center"/>
            </w:pPr>
            <w:r>
              <w:rPr>
                <w:rFonts w:eastAsia="Century Gothic" w:cs="Century Gothic"/>
                <w:color w:val="000000"/>
                <w:sz w:val="18"/>
                <w:szCs w:val="18"/>
              </w:rPr>
              <w:t>147 (32.1%)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C73343F"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A812DA" w14:textId="77777777" w:rsidR="001C19F3" w:rsidRDefault="001C19F3" w:rsidP="00521305">
            <w:pPr>
              <w:spacing w:before="40" w:after="40"/>
              <w:ind w:left="100" w:right="100"/>
              <w:jc w:val="center"/>
            </w:pPr>
            <w:r>
              <w:rPr>
                <w:rFonts w:eastAsia="Century Gothic" w:cs="Century Gothic"/>
                <w:color w:val="000000"/>
                <w:sz w:val="18"/>
                <w:szCs w:val="18"/>
              </w:rPr>
              <w:t>379 (32.3%)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E81759" w14:textId="77777777" w:rsidR="001C19F3" w:rsidRDefault="001C19F3" w:rsidP="00521305">
            <w:pPr>
              <w:spacing w:before="40" w:after="40"/>
              <w:ind w:left="100" w:right="100"/>
              <w:jc w:val="center"/>
            </w:pPr>
            <w:r>
              <w:rPr>
                <w:rFonts w:eastAsia="Century Gothic" w:cs="Century Gothic"/>
                <w:color w:val="000000"/>
                <w:sz w:val="18"/>
                <w:szCs w:val="18"/>
              </w:rPr>
              <w:t>286 (36.0%)</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ED4AF95" w14:textId="77777777" w:rsidR="001C19F3" w:rsidRDefault="001C19F3" w:rsidP="00521305">
            <w:pPr>
              <w:spacing w:after="0"/>
              <w:rPr>
                <w:sz w:val="22"/>
              </w:rPr>
            </w:pPr>
          </w:p>
        </w:tc>
      </w:tr>
      <w:tr w:rsidR="001C19F3" w14:paraId="7E7D400D"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F9353A"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7BDFD8" w14:textId="77777777" w:rsidR="001C19F3" w:rsidRDefault="001C19F3" w:rsidP="00521305">
            <w:pPr>
              <w:spacing w:before="40" w:after="40"/>
              <w:ind w:left="100" w:right="100"/>
              <w:jc w:val="center"/>
            </w:pPr>
            <w:r>
              <w:rPr>
                <w:rFonts w:eastAsia="Century Gothic" w:cs="Century Gothic"/>
                <w:color w:val="000000"/>
                <w:sz w:val="18"/>
                <w:szCs w:val="18"/>
              </w:rPr>
              <w:t>43 (2.1%)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4718EA"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93B2BB"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3C9517"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304F12"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565CD2"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33EB16"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CE7C24" w14:textId="77777777" w:rsidR="001C19F3" w:rsidRDefault="001C19F3" w:rsidP="00521305">
            <w:pPr>
              <w:spacing w:before="40" w:after="40"/>
              <w:ind w:left="100" w:right="100"/>
              <w:jc w:val="right"/>
            </w:pPr>
          </w:p>
        </w:tc>
      </w:tr>
      <w:tr w:rsidR="001C19F3" w14:paraId="08F39222"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0F1DCC"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F6E451" w14:textId="77777777" w:rsidR="001C19F3" w:rsidRDefault="001C19F3" w:rsidP="00521305">
            <w:pPr>
              <w:spacing w:before="40" w:after="40"/>
              <w:ind w:left="100" w:right="100"/>
              <w:jc w:val="center"/>
            </w:pPr>
            <w:r>
              <w:rPr>
                <w:rFonts w:eastAsia="Century Gothic" w:cs="Century Gothic"/>
                <w:color w:val="000000"/>
                <w:sz w:val="18"/>
                <w:szCs w:val="18"/>
              </w:rPr>
              <w:t>8 (0.4%)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A1BCAA"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CF72F0"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794F56"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2E54A2B"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5B28BD"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36C1AF"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CB14D6A" w14:textId="77777777" w:rsidR="001C19F3" w:rsidRDefault="001C19F3" w:rsidP="00521305">
            <w:pPr>
              <w:spacing w:after="0"/>
              <w:rPr>
                <w:sz w:val="22"/>
              </w:rPr>
            </w:pPr>
          </w:p>
        </w:tc>
      </w:tr>
      <w:tr w:rsidR="001C19F3" w14:paraId="5F313C24"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39E5CB" w14:textId="77777777" w:rsidR="001C19F3" w:rsidRDefault="001C19F3" w:rsidP="00521305">
            <w:pPr>
              <w:spacing w:before="40" w:after="40"/>
              <w:ind w:left="100" w:right="100"/>
            </w:pPr>
            <w:r>
              <w:rPr>
                <w:rFonts w:eastAsia="Century Gothic" w:cs="Century Gothic"/>
                <w:b/>
                <w:color w:val="000000"/>
                <w:sz w:val="18"/>
                <w:szCs w:val="18"/>
              </w:rPr>
              <w:t>H09 I am confident that I can tell when I need to go get medical care and when I can handle a health problem myself (Q21)</w:t>
            </w:r>
          </w:p>
        </w:tc>
      </w:tr>
      <w:tr w:rsidR="001C19F3" w14:paraId="38C6F491"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DD0F09"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6DAF0" w14:textId="77777777" w:rsidR="001C19F3" w:rsidRDefault="001C19F3" w:rsidP="00521305">
            <w:pPr>
              <w:spacing w:before="40" w:after="40"/>
              <w:ind w:left="100" w:right="100"/>
              <w:jc w:val="center"/>
            </w:pPr>
            <w:r>
              <w:rPr>
                <w:rFonts w:eastAsia="Century Gothic" w:cs="Century Gothic"/>
                <w:color w:val="000000"/>
                <w:sz w:val="18"/>
                <w:szCs w:val="18"/>
              </w:rPr>
              <w:t>12 (0.6%)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59D6AC"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8D41C6" w14:textId="77777777" w:rsidR="001C19F3" w:rsidRDefault="001C19F3" w:rsidP="00521305">
            <w:pPr>
              <w:spacing w:before="40" w:after="40"/>
              <w:ind w:left="100" w:right="100"/>
              <w:jc w:val="center"/>
            </w:pPr>
            <w:r>
              <w:rPr>
                <w:rFonts w:eastAsia="Century Gothic" w:cs="Century Gothic"/>
                <w:color w:val="000000"/>
                <w:sz w:val="18"/>
                <w:szCs w:val="18"/>
              </w:rPr>
              <w:t>7 (0.7%)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214499" w14:textId="77777777" w:rsidR="001C19F3" w:rsidRDefault="001C19F3" w:rsidP="00521305">
            <w:pPr>
              <w:spacing w:before="40" w:after="40"/>
              <w:ind w:left="100" w:right="100"/>
              <w:jc w:val="center"/>
            </w:pPr>
            <w:r>
              <w:rPr>
                <w:rFonts w:eastAsia="Century Gothic" w:cs="Century Gothic"/>
                <w:color w:val="000000"/>
                <w:sz w:val="18"/>
                <w:szCs w:val="18"/>
              </w:rPr>
              <w:t>5 (1.1%)</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5186F6"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B35BFD" w14:textId="77777777" w:rsidR="001C19F3" w:rsidRDefault="001C19F3" w:rsidP="00521305">
            <w:pPr>
              <w:spacing w:before="40" w:after="40"/>
              <w:ind w:left="100" w:right="100"/>
              <w:jc w:val="center"/>
            </w:pPr>
            <w:r>
              <w:rPr>
                <w:rFonts w:eastAsia="Century Gothic" w:cs="Century Gothic"/>
                <w:color w:val="000000"/>
                <w:sz w:val="18"/>
                <w:szCs w:val="18"/>
              </w:rPr>
              <w:t>8 (0.7%)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DCE3D6" w14:textId="77777777" w:rsidR="001C19F3" w:rsidRDefault="001C19F3" w:rsidP="00521305">
            <w:pPr>
              <w:spacing w:before="40" w:after="40"/>
              <w:ind w:left="100" w:right="100"/>
              <w:jc w:val="center"/>
            </w:pPr>
            <w:r>
              <w:rPr>
                <w:rFonts w:eastAsia="Century Gothic" w:cs="Century Gothic"/>
                <w:color w:val="000000"/>
                <w:sz w:val="18"/>
                <w:szCs w:val="18"/>
              </w:rPr>
              <w:t>4 (0.5%)</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1D4402" w14:textId="77777777" w:rsidR="001C19F3" w:rsidRDefault="001C19F3" w:rsidP="00521305">
            <w:pPr>
              <w:spacing w:before="40" w:after="40"/>
              <w:ind w:left="100" w:right="100"/>
              <w:jc w:val="right"/>
            </w:pPr>
            <w:r>
              <w:rPr>
                <w:rFonts w:eastAsia="Century Gothic" w:cs="Century Gothic"/>
                <w:color w:val="000000"/>
                <w:sz w:val="18"/>
                <w:szCs w:val="18"/>
              </w:rPr>
              <w:t>0.200</w:t>
            </w:r>
          </w:p>
        </w:tc>
      </w:tr>
      <w:tr w:rsidR="001C19F3" w14:paraId="3F13D16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A1319F"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97D87" w14:textId="77777777" w:rsidR="001C19F3" w:rsidRDefault="001C19F3" w:rsidP="00521305">
            <w:pPr>
              <w:spacing w:before="40" w:after="40"/>
              <w:ind w:left="100" w:right="100"/>
              <w:jc w:val="center"/>
            </w:pPr>
            <w:r>
              <w:rPr>
                <w:rFonts w:eastAsia="Century Gothic" w:cs="Century Gothic"/>
                <w:color w:val="000000"/>
                <w:sz w:val="18"/>
                <w:szCs w:val="18"/>
              </w:rPr>
              <w:t>108 (5.4%)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515294" w14:textId="77777777" w:rsidR="001C19F3" w:rsidRDefault="001C19F3" w:rsidP="00521305">
            <w:pPr>
              <w:spacing w:before="40" w:after="40"/>
              <w:ind w:left="100" w:right="100"/>
              <w:jc w:val="center"/>
            </w:pPr>
            <w:r>
              <w:rPr>
                <w:rFonts w:eastAsia="Century Gothic" w:cs="Century Gothic"/>
                <w:color w:val="000000"/>
                <w:sz w:val="18"/>
                <w:szCs w:val="18"/>
              </w:rPr>
              <w:t>17 (3.9%)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D9A386" w14:textId="77777777" w:rsidR="001C19F3" w:rsidRDefault="001C19F3" w:rsidP="00521305">
            <w:pPr>
              <w:spacing w:before="40" w:after="40"/>
              <w:ind w:left="100" w:right="100"/>
              <w:jc w:val="center"/>
            </w:pPr>
            <w:r>
              <w:rPr>
                <w:rFonts w:eastAsia="Century Gothic" w:cs="Century Gothic"/>
                <w:color w:val="000000"/>
                <w:sz w:val="18"/>
                <w:szCs w:val="18"/>
              </w:rPr>
              <w:t>42 (4.2%)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632885" w14:textId="77777777" w:rsidR="001C19F3" w:rsidRDefault="001C19F3" w:rsidP="00521305">
            <w:pPr>
              <w:spacing w:before="40" w:after="40"/>
              <w:ind w:left="100" w:right="100"/>
              <w:jc w:val="center"/>
            </w:pPr>
            <w:r>
              <w:rPr>
                <w:rFonts w:eastAsia="Century Gothic" w:cs="Century Gothic"/>
                <w:color w:val="000000"/>
                <w:sz w:val="18"/>
                <w:szCs w:val="18"/>
              </w:rPr>
              <w:t>45 (9.8%)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8162BD1"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9BBEEE" w14:textId="77777777" w:rsidR="001C19F3" w:rsidRDefault="001C19F3" w:rsidP="00521305">
            <w:pPr>
              <w:spacing w:before="40" w:after="40"/>
              <w:ind w:left="100" w:right="100"/>
              <w:jc w:val="center"/>
            </w:pPr>
            <w:r>
              <w:rPr>
                <w:rFonts w:eastAsia="Century Gothic" w:cs="Century Gothic"/>
                <w:color w:val="000000"/>
                <w:sz w:val="18"/>
                <w:szCs w:val="18"/>
              </w:rPr>
              <w:t>64 (5.4%)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F86750" w14:textId="77777777" w:rsidR="001C19F3" w:rsidRDefault="001C19F3" w:rsidP="00521305">
            <w:pPr>
              <w:spacing w:before="40" w:after="40"/>
              <w:ind w:left="100" w:right="100"/>
              <w:jc w:val="center"/>
            </w:pPr>
            <w:r>
              <w:rPr>
                <w:rFonts w:eastAsia="Century Gothic" w:cs="Century Gothic"/>
                <w:color w:val="000000"/>
                <w:sz w:val="18"/>
                <w:szCs w:val="18"/>
              </w:rPr>
              <w:t>44 (5.5%)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EA01A0A" w14:textId="77777777" w:rsidR="001C19F3" w:rsidRDefault="001C19F3" w:rsidP="00521305">
            <w:pPr>
              <w:spacing w:after="0"/>
              <w:rPr>
                <w:sz w:val="22"/>
              </w:rPr>
            </w:pPr>
          </w:p>
        </w:tc>
      </w:tr>
      <w:tr w:rsidR="001C19F3" w14:paraId="7E6297C3"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54C869"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99513E" w14:textId="77777777" w:rsidR="001C19F3" w:rsidRDefault="001C19F3" w:rsidP="00521305">
            <w:pPr>
              <w:spacing w:before="40" w:after="40"/>
              <w:ind w:left="100" w:right="100"/>
              <w:jc w:val="center"/>
            </w:pPr>
            <w:r>
              <w:rPr>
                <w:rFonts w:eastAsia="Century Gothic" w:cs="Century Gothic"/>
                <w:color w:val="000000"/>
                <w:sz w:val="18"/>
                <w:szCs w:val="18"/>
              </w:rPr>
              <w:t>1,036 (51.3%)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CE7CFB" w14:textId="77777777" w:rsidR="001C19F3" w:rsidRDefault="001C19F3" w:rsidP="00521305">
            <w:pPr>
              <w:spacing w:before="40" w:after="40"/>
              <w:ind w:left="100" w:right="100"/>
              <w:jc w:val="center"/>
            </w:pPr>
            <w:r>
              <w:rPr>
                <w:rFonts w:eastAsia="Century Gothic" w:cs="Century Gothic"/>
                <w:color w:val="000000"/>
                <w:sz w:val="18"/>
                <w:szCs w:val="18"/>
              </w:rPr>
              <w:t>227 (52.1%)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9D91A3" w14:textId="77777777" w:rsidR="001C19F3" w:rsidRDefault="001C19F3" w:rsidP="00521305">
            <w:pPr>
              <w:spacing w:before="40" w:after="40"/>
              <w:ind w:left="100" w:right="100"/>
              <w:jc w:val="center"/>
            </w:pPr>
            <w:r>
              <w:rPr>
                <w:rFonts w:eastAsia="Century Gothic" w:cs="Century Gothic"/>
                <w:color w:val="000000"/>
                <w:sz w:val="18"/>
                <w:szCs w:val="18"/>
              </w:rPr>
              <w:t>542 (53.6%)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E8D5C9" w14:textId="77777777" w:rsidR="001C19F3" w:rsidRDefault="001C19F3" w:rsidP="00521305">
            <w:pPr>
              <w:spacing w:before="40" w:after="40"/>
              <w:ind w:left="100" w:right="100"/>
              <w:jc w:val="center"/>
            </w:pPr>
            <w:r>
              <w:rPr>
                <w:rFonts w:eastAsia="Century Gothic" w:cs="Century Gothic"/>
                <w:color w:val="000000"/>
                <w:sz w:val="18"/>
                <w:szCs w:val="18"/>
              </w:rPr>
              <w:t>235 (51.2%)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75E4302"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D660A" w14:textId="77777777" w:rsidR="001C19F3" w:rsidRDefault="001C19F3" w:rsidP="00521305">
            <w:pPr>
              <w:spacing w:before="40" w:after="40"/>
              <w:ind w:left="100" w:right="100"/>
              <w:jc w:val="center"/>
            </w:pPr>
            <w:r>
              <w:rPr>
                <w:rFonts w:eastAsia="Century Gothic" w:cs="Century Gothic"/>
                <w:color w:val="000000"/>
                <w:sz w:val="18"/>
                <w:szCs w:val="18"/>
              </w:rPr>
              <w:t>640 (54.3%)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805DF5" w14:textId="77777777" w:rsidR="001C19F3" w:rsidRDefault="001C19F3" w:rsidP="00521305">
            <w:pPr>
              <w:spacing w:before="40" w:after="40"/>
              <w:ind w:left="100" w:right="100"/>
              <w:jc w:val="center"/>
            </w:pPr>
            <w:r>
              <w:rPr>
                <w:rFonts w:eastAsia="Century Gothic" w:cs="Century Gothic"/>
                <w:color w:val="000000"/>
                <w:sz w:val="18"/>
                <w:szCs w:val="18"/>
              </w:rPr>
              <w:t>396 (49.7%)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3A14F0E" w14:textId="77777777" w:rsidR="001C19F3" w:rsidRDefault="001C19F3" w:rsidP="00521305">
            <w:pPr>
              <w:spacing w:after="0"/>
              <w:rPr>
                <w:sz w:val="22"/>
              </w:rPr>
            </w:pPr>
          </w:p>
        </w:tc>
      </w:tr>
      <w:tr w:rsidR="001C19F3" w14:paraId="7B0A0E49"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64FF37"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9F9FB1" w14:textId="77777777" w:rsidR="001C19F3" w:rsidRDefault="001C19F3" w:rsidP="00521305">
            <w:pPr>
              <w:spacing w:before="40" w:after="40"/>
              <w:ind w:left="100" w:right="100"/>
              <w:jc w:val="center"/>
            </w:pPr>
            <w:r>
              <w:rPr>
                <w:rFonts w:eastAsia="Century Gothic" w:cs="Century Gothic"/>
                <w:color w:val="000000"/>
                <w:sz w:val="18"/>
                <w:szCs w:val="18"/>
              </w:rPr>
              <w:t>818 (40.5%)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BE4AC7" w14:textId="77777777" w:rsidR="001C19F3" w:rsidRDefault="001C19F3" w:rsidP="00521305">
            <w:pPr>
              <w:spacing w:before="40" w:after="40"/>
              <w:ind w:left="100" w:right="100"/>
              <w:jc w:val="center"/>
            </w:pPr>
            <w:r>
              <w:rPr>
                <w:rFonts w:eastAsia="Century Gothic" w:cs="Century Gothic"/>
                <w:color w:val="000000"/>
                <w:sz w:val="18"/>
                <w:szCs w:val="18"/>
              </w:rPr>
              <w:t>192 (44.0%)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478955" w14:textId="77777777" w:rsidR="001C19F3" w:rsidRDefault="001C19F3" w:rsidP="00521305">
            <w:pPr>
              <w:spacing w:before="40" w:after="40"/>
              <w:ind w:left="100" w:right="100"/>
              <w:jc w:val="center"/>
            </w:pPr>
            <w:r>
              <w:rPr>
                <w:rFonts w:eastAsia="Century Gothic" w:cs="Century Gothic"/>
                <w:color w:val="000000"/>
                <w:sz w:val="18"/>
                <w:szCs w:val="18"/>
              </w:rPr>
              <w:t>420 (41.5%)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6C884D" w14:textId="77777777" w:rsidR="001C19F3" w:rsidRDefault="001C19F3" w:rsidP="00521305">
            <w:pPr>
              <w:spacing w:before="40" w:after="40"/>
              <w:ind w:left="100" w:right="100"/>
              <w:jc w:val="center"/>
            </w:pPr>
            <w:r>
              <w:rPr>
                <w:rFonts w:eastAsia="Century Gothic" w:cs="Century Gothic"/>
                <w:color w:val="000000"/>
                <w:sz w:val="18"/>
                <w:szCs w:val="18"/>
              </w:rPr>
              <w:t>174 (37.9%)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2B5C6B7"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954507" w14:textId="77777777" w:rsidR="001C19F3" w:rsidRDefault="001C19F3" w:rsidP="00521305">
            <w:pPr>
              <w:spacing w:before="40" w:after="40"/>
              <w:ind w:left="100" w:right="100"/>
              <w:jc w:val="center"/>
            </w:pPr>
            <w:r>
              <w:rPr>
                <w:rFonts w:eastAsia="Century Gothic" w:cs="Century Gothic"/>
                <w:color w:val="000000"/>
                <w:sz w:val="18"/>
                <w:szCs w:val="18"/>
              </w:rPr>
              <w:t>466 (39.6%)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86029F" w14:textId="77777777" w:rsidR="001C19F3" w:rsidRDefault="001C19F3" w:rsidP="00521305">
            <w:pPr>
              <w:spacing w:before="40" w:after="40"/>
              <w:ind w:left="100" w:right="100"/>
              <w:jc w:val="center"/>
            </w:pPr>
            <w:r>
              <w:rPr>
                <w:rFonts w:eastAsia="Century Gothic" w:cs="Century Gothic"/>
                <w:color w:val="000000"/>
                <w:sz w:val="18"/>
                <w:szCs w:val="18"/>
              </w:rPr>
              <w:t>352 (44.2%)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71F68F4" w14:textId="77777777" w:rsidR="001C19F3" w:rsidRDefault="001C19F3" w:rsidP="00521305">
            <w:pPr>
              <w:spacing w:after="0"/>
              <w:rPr>
                <w:sz w:val="22"/>
              </w:rPr>
            </w:pPr>
          </w:p>
        </w:tc>
      </w:tr>
      <w:tr w:rsidR="001C19F3" w14:paraId="006A3895"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D308D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63554" w14:textId="77777777" w:rsidR="001C19F3" w:rsidRDefault="001C19F3" w:rsidP="00521305">
            <w:pPr>
              <w:spacing w:before="40" w:after="40"/>
              <w:ind w:left="100" w:right="100"/>
              <w:jc w:val="center"/>
            </w:pPr>
            <w:r>
              <w:rPr>
                <w:rFonts w:eastAsia="Century Gothic" w:cs="Century Gothic"/>
                <w:color w:val="000000"/>
                <w:sz w:val="18"/>
                <w:szCs w:val="18"/>
              </w:rPr>
              <w:t>37 (1.8%)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38DDF0"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A714EF"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DAD903"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C406CE"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45E7F3"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E02A52"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C46BD8" w14:textId="77777777" w:rsidR="001C19F3" w:rsidRDefault="001C19F3" w:rsidP="00521305">
            <w:pPr>
              <w:spacing w:before="40" w:after="40"/>
              <w:ind w:left="100" w:right="100"/>
              <w:jc w:val="right"/>
            </w:pPr>
          </w:p>
        </w:tc>
      </w:tr>
      <w:tr w:rsidR="001C19F3" w14:paraId="170A11B9"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94A07"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69B43B"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33F78F"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AD0560"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B3FC8E"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6ECB4C4"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DFB398"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F9B9BE"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0577AAC" w14:textId="77777777" w:rsidR="001C19F3" w:rsidRDefault="001C19F3" w:rsidP="00521305">
            <w:pPr>
              <w:spacing w:after="0"/>
              <w:rPr>
                <w:sz w:val="22"/>
              </w:rPr>
            </w:pPr>
          </w:p>
        </w:tc>
      </w:tr>
      <w:tr w:rsidR="001C19F3" w14:paraId="2CB7673B"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5695A2" w14:textId="77777777" w:rsidR="001C19F3" w:rsidRDefault="001C19F3" w:rsidP="00521305">
            <w:pPr>
              <w:spacing w:before="40" w:after="40"/>
              <w:ind w:left="100" w:right="100"/>
            </w:pPr>
            <w:r>
              <w:rPr>
                <w:rFonts w:eastAsia="Century Gothic" w:cs="Century Gothic"/>
                <w:b/>
                <w:color w:val="000000"/>
                <w:sz w:val="18"/>
                <w:szCs w:val="18"/>
              </w:rPr>
              <w:t>H10 I am confident I can tell my health care provider concerns I have even when he or she does not ask (Q21)</w:t>
            </w:r>
          </w:p>
        </w:tc>
      </w:tr>
      <w:tr w:rsidR="001C19F3" w14:paraId="49EB1AA9"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00142F"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130913" w14:textId="77777777" w:rsidR="001C19F3" w:rsidRDefault="001C19F3" w:rsidP="00521305">
            <w:pPr>
              <w:spacing w:before="40" w:after="40"/>
              <w:ind w:left="100" w:right="100"/>
              <w:jc w:val="center"/>
            </w:pPr>
            <w:r>
              <w:rPr>
                <w:rFonts w:eastAsia="Century Gothic" w:cs="Century Gothic"/>
                <w:color w:val="000000"/>
                <w:sz w:val="18"/>
                <w:szCs w:val="18"/>
              </w:rPr>
              <w:t>14 (0.7%)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4FC1A5"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C4A311" w14:textId="77777777" w:rsidR="001C19F3" w:rsidRDefault="001C19F3" w:rsidP="00521305">
            <w:pPr>
              <w:spacing w:before="40" w:after="40"/>
              <w:ind w:left="100" w:right="100"/>
              <w:jc w:val="center"/>
            </w:pPr>
            <w:r>
              <w:rPr>
                <w:rFonts w:eastAsia="Century Gothic" w:cs="Century Gothic"/>
                <w:color w:val="000000"/>
                <w:sz w:val="18"/>
                <w:szCs w:val="18"/>
              </w:rPr>
              <w:t>8 (0.8%)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B0B1FF" w14:textId="77777777" w:rsidR="001C19F3" w:rsidRDefault="001C19F3" w:rsidP="00521305">
            <w:pPr>
              <w:spacing w:before="40" w:after="40"/>
              <w:ind w:left="100" w:right="100"/>
              <w:jc w:val="center"/>
            </w:pPr>
            <w:r>
              <w:rPr>
                <w:rFonts w:eastAsia="Century Gothic" w:cs="Century Gothic"/>
                <w:color w:val="000000"/>
                <w:sz w:val="18"/>
                <w:szCs w:val="18"/>
              </w:rPr>
              <w:t>3 (0.6%)</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94FFC" w14:textId="77777777" w:rsidR="001C19F3" w:rsidRDefault="001C19F3" w:rsidP="00521305">
            <w:pPr>
              <w:spacing w:before="40" w:after="40"/>
              <w:ind w:left="100" w:right="100"/>
              <w:jc w:val="center"/>
            </w:pPr>
            <w:r>
              <w:rPr>
                <w:rFonts w:eastAsia="Century Gothic" w:cs="Century Gothic"/>
                <w:color w:val="000000"/>
                <w:sz w:val="18"/>
                <w:szCs w:val="18"/>
              </w:rPr>
              <w:t>0.023</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E7A46" w14:textId="77777777" w:rsidR="001C19F3" w:rsidRDefault="001C19F3" w:rsidP="00521305">
            <w:pPr>
              <w:spacing w:before="40" w:after="40"/>
              <w:ind w:left="100" w:right="100"/>
              <w:jc w:val="center"/>
            </w:pPr>
            <w:r>
              <w:rPr>
                <w:rFonts w:eastAsia="Century Gothic" w:cs="Century Gothic"/>
                <w:color w:val="000000"/>
                <w:sz w:val="18"/>
                <w:szCs w:val="18"/>
              </w:rPr>
              <w:t>11 (0.9%)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558F7F" w14:textId="77777777" w:rsidR="001C19F3" w:rsidRDefault="001C19F3" w:rsidP="00521305">
            <w:pPr>
              <w:spacing w:before="40" w:after="40"/>
              <w:ind w:left="100" w:right="100"/>
              <w:jc w:val="center"/>
            </w:pPr>
            <w:r>
              <w:rPr>
                <w:rFonts w:eastAsia="Century Gothic" w:cs="Century Gothic"/>
                <w:color w:val="000000"/>
                <w:sz w:val="18"/>
                <w:szCs w:val="18"/>
              </w:rPr>
              <w:t>3 (0.4%)</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6EBA3B" w14:textId="77777777" w:rsidR="001C19F3" w:rsidRDefault="001C19F3" w:rsidP="00521305">
            <w:pPr>
              <w:spacing w:before="40" w:after="40"/>
              <w:ind w:left="100" w:right="100"/>
              <w:jc w:val="right"/>
            </w:pPr>
            <w:r>
              <w:rPr>
                <w:rFonts w:eastAsia="Century Gothic" w:cs="Century Gothic"/>
                <w:color w:val="000000"/>
                <w:sz w:val="18"/>
                <w:szCs w:val="18"/>
              </w:rPr>
              <w:t>0.001</w:t>
            </w:r>
          </w:p>
        </w:tc>
      </w:tr>
      <w:tr w:rsidR="001C19F3" w14:paraId="7BD9C31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6AAC32" w14:textId="77777777" w:rsidR="001C19F3" w:rsidRDefault="001C19F3" w:rsidP="00521305">
            <w:pPr>
              <w:spacing w:before="40" w:after="40"/>
              <w:ind w:left="160" w:right="100"/>
            </w:pPr>
            <w:r>
              <w:rPr>
                <w:rFonts w:eastAsia="Century Gothic" w:cs="Century Gothic"/>
                <w:color w:val="000000"/>
                <w:sz w:val="18"/>
                <w:szCs w:val="18"/>
              </w:rPr>
              <w:lastRenderedPageBreak/>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5CDC19" w14:textId="77777777" w:rsidR="001C19F3" w:rsidRDefault="001C19F3" w:rsidP="00521305">
            <w:pPr>
              <w:spacing w:before="40" w:after="40"/>
              <w:ind w:left="100" w:right="100"/>
              <w:jc w:val="center"/>
            </w:pPr>
            <w:r>
              <w:rPr>
                <w:rFonts w:eastAsia="Century Gothic" w:cs="Century Gothic"/>
                <w:color w:val="000000"/>
                <w:sz w:val="18"/>
                <w:szCs w:val="18"/>
              </w:rPr>
              <w:t>45 (2.2%)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746E11" w14:textId="77777777" w:rsidR="001C19F3" w:rsidRDefault="001C19F3" w:rsidP="00521305">
            <w:pPr>
              <w:spacing w:before="40" w:after="40"/>
              <w:ind w:left="100" w:right="100"/>
              <w:jc w:val="center"/>
            </w:pPr>
            <w:r>
              <w:rPr>
                <w:rFonts w:eastAsia="Century Gothic" w:cs="Century Gothic"/>
                <w:color w:val="000000"/>
                <w:sz w:val="18"/>
                <w:szCs w:val="18"/>
              </w:rPr>
              <w:t>6 (1.4%)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AF6ADA" w14:textId="77777777" w:rsidR="001C19F3" w:rsidRDefault="001C19F3" w:rsidP="00521305">
            <w:pPr>
              <w:spacing w:before="40" w:after="40"/>
              <w:ind w:left="100" w:right="100"/>
              <w:jc w:val="center"/>
            </w:pPr>
            <w:r>
              <w:rPr>
                <w:rFonts w:eastAsia="Century Gothic" w:cs="Century Gothic"/>
                <w:color w:val="000000"/>
                <w:sz w:val="18"/>
                <w:szCs w:val="18"/>
              </w:rPr>
              <w:t>18 (1.8%)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A2FD85" w14:textId="77777777" w:rsidR="001C19F3" w:rsidRDefault="001C19F3" w:rsidP="00521305">
            <w:pPr>
              <w:spacing w:before="40" w:after="40"/>
              <w:ind w:left="100" w:right="100"/>
              <w:jc w:val="center"/>
            </w:pPr>
            <w:r>
              <w:rPr>
                <w:rFonts w:eastAsia="Century Gothic" w:cs="Century Gothic"/>
                <w:color w:val="000000"/>
                <w:sz w:val="18"/>
                <w:szCs w:val="18"/>
              </w:rPr>
              <w:t>21 (4.5%)</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FE4A65E"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CF2FD3" w14:textId="77777777" w:rsidR="001C19F3" w:rsidRDefault="001C19F3" w:rsidP="00521305">
            <w:pPr>
              <w:spacing w:before="40" w:after="40"/>
              <w:ind w:left="100" w:right="100"/>
              <w:jc w:val="center"/>
            </w:pPr>
            <w:r>
              <w:rPr>
                <w:rFonts w:eastAsia="Century Gothic" w:cs="Century Gothic"/>
                <w:color w:val="000000"/>
                <w:sz w:val="18"/>
                <w:szCs w:val="18"/>
              </w:rPr>
              <w:t>22 (1.9%)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6A9D07" w14:textId="77777777" w:rsidR="001C19F3" w:rsidRDefault="001C19F3" w:rsidP="00521305">
            <w:pPr>
              <w:spacing w:before="40" w:after="40"/>
              <w:ind w:left="100" w:right="100"/>
              <w:jc w:val="center"/>
            </w:pPr>
            <w:r>
              <w:rPr>
                <w:rFonts w:eastAsia="Century Gothic" w:cs="Century Gothic"/>
                <w:color w:val="000000"/>
                <w:sz w:val="18"/>
                <w:szCs w:val="18"/>
              </w:rPr>
              <w:t>23 (2.9%)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916D441" w14:textId="77777777" w:rsidR="001C19F3" w:rsidRDefault="001C19F3" w:rsidP="00521305">
            <w:pPr>
              <w:spacing w:after="0"/>
              <w:rPr>
                <w:sz w:val="22"/>
              </w:rPr>
            </w:pPr>
          </w:p>
        </w:tc>
      </w:tr>
      <w:tr w:rsidR="001C19F3" w14:paraId="5EC7CFF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1E1E66"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810F30" w14:textId="77777777" w:rsidR="001C19F3" w:rsidRDefault="001C19F3" w:rsidP="00521305">
            <w:pPr>
              <w:spacing w:before="40" w:after="40"/>
              <w:ind w:left="100" w:right="100"/>
              <w:jc w:val="center"/>
            </w:pPr>
            <w:r>
              <w:rPr>
                <w:rFonts w:eastAsia="Century Gothic" w:cs="Century Gothic"/>
                <w:color w:val="000000"/>
                <w:sz w:val="18"/>
                <w:szCs w:val="18"/>
              </w:rPr>
              <w:t>937 (46.4%)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308014" w14:textId="77777777" w:rsidR="001C19F3" w:rsidRDefault="001C19F3" w:rsidP="00521305">
            <w:pPr>
              <w:spacing w:before="40" w:after="40"/>
              <w:ind w:left="100" w:right="100"/>
              <w:jc w:val="center"/>
            </w:pPr>
            <w:r>
              <w:rPr>
                <w:rFonts w:eastAsia="Century Gothic" w:cs="Century Gothic"/>
                <w:color w:val="000000"/>
                <w:sz w:val="18"/>
                <w:szCs w:val="18"/>
              </w:rPr>
              <w:t>202 (46.7%)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AE385C" w14:textId="77777777" w:rsidR="001C19F3" w:rsidRDefault="001C19F3" w:rsidP="00521305">
            <w:pPr>
              <w:spacing w:before="40" w:after="40"/>
              <w:ind w:left="100" w:right="100"/>
              <w:jc w:val="center"/>
            </w:pPr>
            <w:r>
              <w:rPr>
                <w:rFonts w:eastAsia="Century Gothic" w:cs="Century Gothic"/>
                <w:color w:val="000000"/>
                <w:sz w:val="18"/>
                <w:szCs w:val="18"/>
              </w:rPr>
              <w:t>481 (47.2%)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B50AFE" w14:textId="77777777" w:rsidR="001C19F3" w:rsidRDefault="001C19F3" w:rsidP="00521305">
            <w:pPr>
              <w:spacing w:before="40" w:after="40"/>
              <w:ind w:left="100" w:right="100"/>
              <w:jc w:val="center"/>
            </w:pPr>
            <w:r>
              <w:rPr>
                <w:rFonts w:eastAsia="Century Gothic" w:cs="Century Gothic"/>
                <w:color w:val="000000"/>
                <w:sz w:val="18"/>
                <w:szCs w:val="18"/>
              </w:rPr>
              <w:t>224 (48.5%)</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573AFEE"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310876" w14:textId="77777777" w:rsidR="001C19F3" w:rsidRDefault="001C19F3" w:rsidP="00521305">
            <w:pPr>
              <w:spacing w:before="40" w:after="40"/>
              <w:ind w:left="100" w:right="100"/>
              <w:jc w:val="center"/>
            </w:pPr>
            <w:r>
              <w:rPr>
                <w:rFonts w:eastAsia="Century Gothic" w:cs="Century Gothic"/>
                <w:color w:val="000000"/>
                <w:sz w:val="18"/>
                <w:szCs w:val="18"/>
              </w:rPr>
              <w:t>596 (50.4%)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1E9041" w14:textId="77777777" w:rsidR="001C19F3" w:rsidRDefault="001C19F3" w:rsidP="00521305">
            <w:pPr>
              <w:spacing w:before="40" w:after="40"/>
              <w:ind w:left="100" w:right="100"/>
              <w:jc w:val="center"/>
            </w:pPr>
            <w:r>
              <w:rPr>
                <w:rFonts w:eastAsia="Century Gothic" w:cs="Century Gothic"/>
                <w:color w:val="000000"/>
                <w:sz w:val="18"/>
                <w:szCs w:val="18"/>
              </w:rPr>
              <w:t>341 (42.5%)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590CAFB" w14:textId="77777777" w:rsidR="001C19F3" w:rsidRDefault="001C19F3" w:rsidP="00521305">
            <w:pPr>
              <w:spacing w:after="0"/>
              <w:rPr>
                <w:sz w:val="22"/>
              </w:rPr>
            </w:pPr>
          </w:p>
        </w:tc>
      </w:tr>
      <w:tr w:rsidR="001C19F3" w14:paraId="1487C5ED"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81BC80"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2953D1" w14:textId="77777777" w:rsidR="001C19F3" w:rsidRDefault="001C19F3" w:rsidP="00521305">
            <w:pPr>
              <w:spacing w:before="40" w:after="40"/>
              <w:ind w:left="100" w:right="100"/>
              <w:jc w:val="center"/>
            </w:pPr>
            <w:r>
              <w:rPr>
                <w:rFonts w:eastAsia="Century Gothic" w:cs="Century Gothic"/>
                <w:color w:val="000000"/>
                <w:sz w:val="18"/>
                <w:szCs w:val="18"/>
              </w:rPr>
              <w:t>988 (49.0%)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81402E" w14:textId="77777777" w:rsidR="001C19F3" w:rsidRDefault="001C19F3" w:rsidP="00521305">
            <w:pPr>
              <w:spacing w:before="40" w:after="40"/>
              <w:ind w:left="100" w:right="100"/>
              <w:jc w:val="center"/>
            </w:pPr>
            <w:r>
              <w:rPr>
                <w:rFonts w:eastAsia="Century Gothic" w:cs="Century Gothic"/>
                <w:color w:val="000000"/>
                <w:sz w:val="18"/>
                <w:szCs w:val="18"/>
              </w:rPr>
              <w:t>223 (51.5%)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881AF2" w14:textId="77777777" w:rsidR="001C19F3" w:rsidRDefault="001C19F3" w:rsidP="00521305">
            <w:pPr>
              <w:spacing w:before="40" w:after="40"/>
              <w:ind w:left="100" w:right="100"/>
              <w:jc w:val="center"/>
            </w:pPr>
            <w:r>
              <w:rPr>
                <w:rFonts w:eastAsia="Century Gothic" w:cs="Century Gothic"/>
                <w:color w:val="000000"/>
                <w:sz w:val="18"/>
                <w:szCs w:val="18"/>
              </w:rPr>
              <w:t>512 (50.2%)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7EA7E2" w14:textId="77777777" w:rsidR="001C19F3" w:rsidRDefault="001C19F3" w:rsidP="00521305">
            <w:pPr>
              <w:spacing w:before="40" w:after="40"/>
              <w:ind w:left="100" w:right="100"/>
              <w:jc w:val="center"/>
            </w:pPr>
            <w:r>
              <w:rPr>
                <w:rFonts w:eastAsia="Century Gothic" w:cs="Century Gothic"/>
                <w:color w:val="000000"/>
                <w:sz w:val="18"/>
                <w:szCs w:val="18"/>
              </w:rPr>
              <w:t>214 (46.3%)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8FB4738"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7F913" w14:textId="77777777" w:rsidR="001C19F3" w:rsidRDefault="001C19F3" w:rsidP="00521305">
            <w:pPr>
              <w:spacing w:before="40" w:after="40"/>
              <w:ind w:left="100" w:right="100"/>
              <w:jc w:val="center"/>
            </w:pPr>
            <w:r>
              <w:rPr>
                <w:rFonts w:eastAsia="Century Gothic" w:cs="Century Gothic"/>
                <w:color w:val="000000"/>
                <w:sz w:val="18"/>
                <w:szCs w:val="18"/>
              </w:rPr>
              <w:t>553 (46.8%)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4B1D8D" w14:textId="77777777" w:rsidR="001C19F3" w:rsidRDefault="001C19F3" w:rsidP="00521305">
            <w:pPr>
              <w:spacing w:before="40" w:after="40"/>
              <w:ind w:left="100" w:right="100"/>
              <w:jc w:val="center"/>
            </w:pPr>
            <w:r>
              <w:rPr>
                <w:rFonts w:eastAsia="Century Gothic" w:cs="Century Gothic"/>
                <w:color w:val="000000"/>
                <w:sz w:val="18"/>
                <w:szCs w:val="18"/>
              </w:rPr>
              <w:t>435 (54.2%)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CB98749" w14:textId="77777777" w:rsidR="001C19F3" w:rsidRDefault="001C19F3" w:rsidP="00521305">
            <w:pPr>
              <w:spacing w:after="0"/>
              <w:rPr>
                <w:sz w:val="22"/>
              </w:rPr>
            </w:pPr>
          </w:p>
        </w:tc>
      </w:tr>
      <w:tr w:rsidR="001C19F3" w14:paraId="155AE27D"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C0D6BC"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FAC8A1" w14:textId="77777777" w:rsidR="001C19F3" w:rsidRDefault="001C19F3" w:rsidP="00521305">
            <w:pPr>
              <w:spacing w:before="40" w:after="40"/>
              <w:ind w:left="100" w:right="100"/>
              <w:jc w:val="center"/>
            </w:pPr>
            <w:r>
              <w:rPr>
                <w:rFonts w:eastAsia="Century Gothic" w:cs="Century Gothic"/>
                <w:color w:val="000000"/>
                <w:sz w:val="18"/>
                <w:szCs w:val="18"/>
              </w:rPr>
              <w:t>29 (1.4%)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EFBCA0"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2434F2"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0FF431"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17D232"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E78C32"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FA57AB"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021E8D" w14:textId="77777777" w:rsidR="001C19F3" w:rsidRDefault="001C19F3" w:rsidP="00521305">
            <w:pPr>
              <w:spacing w:before="40" w:after="40"/>
              <w:ind w:left="100" w:right="100"/>
              <w:jc w:val="right"/>
            </w:pPr>
          </w:p>
        </w:tc>
      </w:tr>
      <w:tr w:rsidR="001C19F3" w14:paraId="5CDB658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AF9207"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81EE5D" w14:textId="77777777" w:rsidR="001C19F3" w:rsidRDefault="001C19F3" w:rsidP="00521305">
            <w:pPr>
              <w:spacing w:before="40" w:after="40"/>
              <w:ind w:left="100" w:right="100"/>
              <w:jc w:val="center"/>
            </w:pPr>
            <w:r>
              <w:rPr>
                <w:rFonts w:eastAsia="Century Gothic" w:cs="Century Gothic"/>
                <w:color w:val="000000"/>
                <w:sz w:val="18"/>
                <w:szCs w:val="18"/>
              </w:rPr>
              <w:t>5 (0.2%)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A214C4"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0378C5"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3D080A"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86A45BE"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026942"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8CDDA6"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21FE685" w14:textId="77777777" w:rsidR="001C19F3" w:rsidRDefault="001C19F3" w:rsidP="00521305">
            <w:pPr>
              <w:spacing w:after="0"/>
              <w:rPr>
                <w:sz w:val="22"/>
              </w:rPr>
            </w:pPr>
          </w:p>
        </w:tc>
      </w:tr>
      <w:tr w:rsidR="001C19F3" w14:paraId="0AE185DF"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253B0" w14:textId="77777777" w:rsidR="001C19F3" w:rsidRDefault="001C19F3" w:rsidP="00521305">
            <w:pPr>
              <w:spacing w:before="40" w:after="40"/>
              <w:ind w:left="100" w:right="100"/>
            </w:pPr>
            <w:r>
              <w:rPr>
                <w:rFonts w:eastAsia="Century Gothic" w:cs="Century Gothic"/>
                <w:b/>
                <w:color w:val="000000"/>
                <w:sz w:val="18"/>
                <w:szCs w:val="18"/>
              </w:rPr>
              <w:t>H11 I am confident that I can follow through on medical treatments I need to do at home (Q21)</w:t>
            </w:r>
          </w:p>
        </w:tc>
      </w:tr>
      <w:tr w:rsidR="001C19F3" w14:paraId="4561FB7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D963F4"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DC3400" w14:textId="77777777" w:rsidR="001C19F3" w:rsidRDefault="001C19F3" w:rsidP="00521305">
            <w:pPr>
              <w:spacing w:before="40" w:after="40"/>
              <w:ind w:left="100" w:right="100"/>
              <w:jc w:val="center"/>
            </w:pPr>
            <w:r>
              <w:rPr>
                <w:rFonts w:eastAsia="Century Gothic" w:cs="Century Gothic"/>
                <w:color w:val="000000"/>
                <w:sz w:val="18"/>
                <w:szCs w:val="18"/>
              </w:rPr>
              <w:t>13 (0.6%)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C3ABDC"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A4D1D1" w14:textId="77777777" w:rsidR="001C19F3" w:rsidRDefault="001C19F3" w:rsidP="00521305">
            <w:pPr>
              <w:spacing w:before="40" w:after="40"/>
              <w:ind w:left="100" w:right="100"/>
              <w:jc w:val="center"/>
            </w:pPr>
            <w:r>
              <w:rPr>
                <w:rFonts w:eastAsia="Century Gothic" w:cs="Century Gothic"/>
                <w:color w:val="000000"/>
                <w:sz w:val="18"/>
                <w:szCs w:val="18"/>
              </w:rPr>
              <w:t>6 (0.6%)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120FEC" w14:textId="77777777" w:rsidR="001C19F3" w:rsidRDefault="001C19F3" w:rsidP="00521305">
            <w:pPr>
              <w:spacing w:before="40" w:after="40"/>
              <w:ind w:left="100" w:right="100"/>
              <w:jc w:val="center"/>
            </w:pPr>
            <w:r>
              <w:rPr>
                <w:rFonts w:eastAsia="Century Gothic" w:cs="Century Gothic"/>
                <w:color w:val="000000"/>
                <w:sz w:val="18"/>
                <w:szCs w:val="18"/>
              </w:rPr>
              <w:t>5 (1.1%)</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F9B823"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19E3AB" w14:textId="77777777" w:rsidR="001C19F3" w:rsidRDefault="001C19F3" w:rsidP="00521305">
            <w:pPr>
              <w:spacing w:before="40" w:after="40"/>
              <w:ind w:left="100" w:right="100"/>
              <w:jc w:val="center"/>
            </w:pPr>
            <w:r>
              <w:rPr>
                <w:rFonts w:eastAsia="Century Gothic" w:cs="Century Gothic"/>
                <w:color w:val="000000"/>
                <w:sz w:val="18"/>
                <w:szCs w:val="18"/>
              </w:rPr>
              <w:t>9 (0.8%)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3FDF80" w14:textId="77777777" w:rsidR="001C19F3" w:rsidRDefault="001C19F3" w:rsidP="00521305">
            <w:pPr>
              <w:spacing w:before="40" w:after="40"/>
              <w:ind w:left="100" w:right="100"/>
              <w:jc w:val="center"/>
            </w:pPr>
            <w:r>
              <w:rPr>
                <w:rFonts w:eastAsia="Century Gothic" w:cs="Century Gothic"/>
                <w:color w:val="000000"/>
                <w:sz w:val="18"/>
                <w:szCs w:val="18"/>
              </w:rPr>
              <w:t>4 (0.5%)</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6E1D2C" w14:textId="77777777" w:rsidR="001C19F3" w:rsidRDefault="001C19F3" w:rsidP="00521305">
            <w:pPr>
              <w:spacing w:before="40" w:after="40"/>
              <w:ind w:left="100" w:right="100"/>
              <w:jc w:val="right"/>
            </w:pPr>
            <w:r>
              <w:rPr>
                <w:rFonts w:eastAsia="Century Gothic" w:cs="Century Gothic"/>
                <w:color w:val="000000"/>
                <w:sz w:val="18"/>
                <w:szCs w:val="18"/>
              </w:rPr>
              <w:t>0.232</w:t>
            </w:r>
          </w:p>
        </w:tc>
      </w:tr>
      <w:tr w:rsidR="001C19F3" w14:paraId="7CA06CCD"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FA2129"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D6FC8F" w14:textId="77777777" w:rsidR="001C19F3" w:rsidRDefault="001C19F3" w:rsidP="00521305">
            <w:pPr>
              <w:spacing w:before="40" w:after="40"/>
              <w:ind w:left="100" w:right="100"/>
              <w:jc w:val="center"/>
            </w:pPr>
            <w:r>
              <w:rPr>
                <w:rFonts w:eastAsia="Century Gothic" w:cs="Century Gothic"/>
                <w:color w:val="000000"/>
                <w:sz w:val="18"/>
                <w:szCs w:val="18"/>
              </w:rPr>
              <w:t>62 (3.1%)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A3CB8B" w14:textId="77777777" w:rsidR="001C19F3" w:rsidRDefault="001C19F3" w:rsidP="00521305">
            <w:pPr>
              <w:spacing w:before="40" w:after="40"/>
              <w:ind w:left="100" w:right="100"/>
              <w:jc w:val="center"/>
            </w:pPr>
            <w:r>
              <w:rPr>
                <w:rFonts w:eastAsia="Century Gothic" w:cs="Century Gothic"/>
                <w:color w:val="000000"/>
                <w:sz w:val="18"/>
                <w:szCs w:val="18"/>
              </w:rPr>
              <w:t>4 (0.9%)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48C47" w14:textId="77777777" w:rsidR="001C19F3" w:rsidRDefault="001C19F3" w:rsidP="00521305">
            <w:pPr>
              <w:spacing w:before="40" w:after="40"/>
              <w:ind w:left="100" w:right="100"/>
              <w:jc w:val="center"/>
            </w:pPr>
            <w:r>
              <w:rPr>
                <w:rFonts w:eastAsia="Century Gothic" w:cs="Century Gothic"/>
                <w:color w:val="000000"/>
                <w:sz w:val="18"/>
                <w:szCs w:val="18"/>
              </w:rPr>
              <w:t>21 (2.1%)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467881" w14:textId="77777777" w:rsidR="001C19F3" w:rsidRDefault="001C19F3" w:rsidP="00521305">
            <w:pPr>
              <w:spacing w:before="40" w:after="40"/>
              <w:ind w:left="100" w:right="100"/>
              <w:jc w:val="center"/>
            </w:pPr>
            <w:r>
              <w:rPr>
                <w:rFonts w:eastAsia="Century Gothic" w:cs="Century Gothic"/>
                <w:color w:val="000000"/>
                <w:sz w:val="18"/>
                <w:szCs w:val="18"/>
              </w:rPr>
              <w:t>36 (7.8%)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589B851"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70D1E5" w14:textId="77777777" w:rsidR="001C19F3" w:rsidRDefault="001C19F3" w:rsidP="00521305">
            <w:pPr>
              <w:spacing w:before="40" w:after="40"/>
              <w:ind w:left="100" w:right="100"/>
              <w:jc w:val="center"/>
            </w:pPr>
            <w:r>
              <w:rPr>
                <w:rFonts w:eastAsia="Century Gothic" w:cs="Century Gothic"/>
                <w:color w:val="000000"/>
                <w:sz w:val="18"/>
                <w:szCs w:val="18"/>
              </w:rPr>
              <w:t>35 (3.0%)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10932" w14:textId="77777777" w:rsidR="001C19F3" w:rsidRDefault="001C19F3" w:rsidP="00521305">
            <w:pPr>
              <w:spacing w:before="40" w:after="40"/>
              <w:ind w:left="100" w:right="100"/>
              <w:jc w:val="center"/>
            </w:pPr>
            <w:r>
              <w:rPr>
                <w:rFonts w:eastAsia="Century Gothic" w:cs="Century Gothic"/>
                <w:color w:val="000000"/>
                <w:sz w:val="18"/>
                <w:szCs w:val="18"/>
              </w:rPr>
              <w:t>27 (3.4%)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23A962F" w14:textId="77777777" w:rsidR="001C19F3" w:rsidRDefault="001C19F3" w:rsidP="00521305">
            <w:pPr>
              <w:spacing w:after="0"/>
              <w:rPr>
                <w:sz w:val="22"/>
              </w:rPr>
            </w:pPr>
          </w:p>
        </w:tc>
      </w:tr>
      <w:tr w:rsidR="001C19F3" w14:paraId="2073AB39"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7AEB9C"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AD9251" w14:textId="77777777" w:rsidR="001C19F3" w:rsidRDefault="001C19F3" w:rsidP="00521305">
            <w:pPr>
              <w:spacing w:before="40" w:after="40"/>
              <w:ind w:left="100" w:right="100"/>
              <w:jc w:val="center"/>
            </w:pPr>
            <w:r>
              <w:rPr>
                <w:rFonts w:eastAsia="Century Gothic" w:cs="Century Gothic"/>
                <w:color w:val="000000"/>
                <w:sz w:val="18"/>
                <w:szCs w:val="18"/>
              </w:rPr>
              <w:t>1,002 (49.7%)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D314AD" w14:textId="77777777" w:rsidR="001C19F3" w:rsidRDefault="001C19F3" w:rsidP="00521305">
            <w:pPr>
              <w:spacing w:before="40" w:after="40"/>
              <w:ind w:left="100" w:right="100"/>
              <w:jc w:val="center"/>
            </w:pPr>
            <w:r>
              <w:rPr>
                <w:rFonts w:eastAsia="Century Gothic" w:cs="Century Gothic"/>
                <w:color w:val="000000"/>
                <w:sz w:val="18"/>
                <w:szCs w:val="18"/>
              </w:rPr>
              <w:t>223 (52.0%)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CD1639" w14:textId="77777777" w:rsidR="001C19F3" w:rsidRDefault="001C19F3" w:rsidP="00521305">
            <w:pPr>
              <w:spacing w:before="40" w:after="40"/>
              <w:ind w:left="100" w:right="100"/>
              <w:jc w:val="center"/>
            </w:pPr>
            <w:r>
              <w:rPr>
                <w:rFonts w:eastAsia="Century Gothic" w:cs="Century Gothic"/>
                <w:color w:val="000000"/>
                <w:sz w:val="18"/>
                <w:szCs w:val="18"/>
              </w:rPr>
              <w:t>510 (50.4%)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DA7FB2" w14:textId="77777777" w:rsidR="001C19F3" w:rsidRDefault="001C19F3" w:rsidP="00521305">
            <w:pPr>
              <w:spacing w:before="40" w:after="40"/>
              <w:ind w:left="100" w:right="100"/>
              <w:jc w:val="center"/>
            </w:pPr>
            <w:r>
              <w:rPr>
                <w:rFonts w:eastAsia="Century Gothic" w:cs="Century Gothic"/>
                <w:color w:val="000000"/>
                <w:sz w:val="18"/>
                <w:szCs w:val="18"/>
              </w:rPr>
              <w:t>241 (51.9%)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761943A"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803043" w14:textId="77777777" w:rsidR="001C19F3" w:rsidRDefault="001C19F3" w:rsidP="00521305">
            <w:pPr>
              <w:spacing w:before="40" w:after="40"/>
              <w:ind w:left="100" w:right="100"/>
              <w:jc w:val="center"/>
            </w:pPr>
            <w:r>
              <w:rPr>
                <w:rFonts w:eastAsia="Century Gothic" w:cs="Century Gothic"/>
                <w:color w:val="000000"/>
                <w:sz w:val="18"/>
                <w:szCs w:val="18"/>
              </w:rPr>
              <w:t>619 (52.5%)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C86735" w14:textId="77777777" w:rsidR="001C19F3" w:rsidRDefault="001C19F3" w:rsidP="00521305">
            <w:pPr>
              <w:spacing w:before="40" w:after="40"/>
              <w:ind w:left="100" w:right="100"/>
              <w:jc w:val="center"/>
            </w:pPr>
            <w:r>
              <w:rPr>
                <w:rFonts w:eastAsia="Century Gothic" w:cs="Century Gothic"/>
                <w:color w:val="000000"/>
                <w:sz w:val="18"/>
                <w:szCs w:val="18"/>
              </w:rPr>
              <w:t>383 (48.2%)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02C5988" w14:textId="77777777" w:rsidR="001C19F3" w:rsidRDefault="001C19F3" w:rsidP="00521305">
            <w:pPr>
              <w:spacing w:after="0"/>
              <w:rPr>
                <w:sz w:val="22"/>
              </w:rPr>
            </w:pPr>
          </w:p>
        </w:tc>
      </w:tr>
      <w:tr w:rsidR="001C19F3" w14:paraId="1663CE48"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7C6401"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539FB" w14:textId="77777777" w:rsidR="001C19F3" w:rsidRDefault="001C19F3" w:rsidP="00521305">
            <w:pPr>
              <w:spacing w:before="40" w:after="40"/>
              <w:ind w:left="100" w:right="100"/>
              <w:jc w:val="center"/>
            </w:pPr>
            <w:r>
              <w:rPr>
                <w:rFonts w:eastAsia="Century Gothic" w:cs="Century Gothic"/>
                <w:color w:val="000000"/>
                <w:sz w:val="18"/>
                <w:szCs w:val="18"/>
              </w:rPr>
              <w:t>895 (44.4%)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5E0DD4" w14:textId="77777777" w:rsidR="001C19F3" w:rsidRDefault="001C19F3" w:rsidP="00521305">
            <w:pPr>
              <w:spacing w:before="40" w:after="40"/>
              <w:ind w:left="100" w:right="100"/>
              <w:jc w:val="center"/>
            </w:pPr>
            <w:r>
              <w:rPr>
                <w:rFonts w:eastAsia="Century Gothic" w:cs="Century Gothic"/>
                <w:color w:val="000000"/>
                <w:sz w:val="18"/>
                <w:szCs w:val="18"/>
              </w:rPr>
              <w:t>200 (46.6%)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547F7" w14:textId="77777777" w:rsidR="001C19F3" w:rsidRDefault="001C19F3" w:rsidP="00521305">
            <w:pPr>
              <w:spacing w:before="40" w:after="40"/>
              <w:ind w:left="100" w:right="100"/>
              <w:jc w:val="center"/>
            </w:pPr>
            <w:r>
              <w:rPr>
                <w:rFonts w:eastAsia="Century Gothic" w:cs="Century Gothic"/>
                <w:color w:val="000000"/>
                <w:sz w:val="18"/>
                <w:szCs w:val="18"/>
              </w:rPr>
              <w:t>474 (46.9%)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E6D9A6" w14:textId="77777777" w:rsidR="001C19F3" w:rsidRDefault="001C19F3" w:rsidP="00521305">
            <w:pPr>
              <w:spacing w:before="40" w:after="40"/>
              <w:ind w:left="100" w:right="100"/>
              <w:jc w:val="center"/>
            </w:pPr>
            <w:r>
              <w:rPr>
                <w:rFonts w:eastAsia="Century Gothic" w:cs="Century Gothic"/>
                <w:color w:val="000000"/>
                <w:sz w:val="18"/>
                <w:szCs w:val="18"/>
              </w:rPr>
              <w:t>182 (39.2%)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6388626"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7F5FA1" w14:textId="77777777" w:rsidR="001C19F3" w:rsidRDefault="001C19F3" w:rsidP="00521305">
            <w:pPr>
              <w:spacing w:before="40" w:after="40"/>
              <w:ind w:left="100" w:right="100"/>
              <w:jc w:val="center"/>
            </w:pPr>
            <w:r>
              <w:rPr>
                <w:rFonts w:eastAsia="Century Gothic" w:cs="Century Gothic"/>
                <w:color w:val="000000"/>
                <w:sz w:val="18"/>
                <w:szCs w:val="18"/>
              </w:rPr>
              <w:t>515 (43.7%)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849F32" w14:textId="77777777" w:rsidR="001C19F3" w:rsidRDefault="001C19F3" w:rsidP="00521305">
            <w:pPr>
              <w:spacing w:before="40" w:after="40"/>
              <w:ind w:left="100" w:right="100"/>
              <w:jc w:val="center"/>
            </w:pPr>
            <w:r>
              <w:rPr>
                <w:rFonts w:eastAsia="Century Gothic" w:cs="Century Gothic"/>
                <w:color w:val="000000"/>
                <w:sz w:val="18"/>
                <w:szCs w:val="18"/>
              </w:rPr>
              <w:t>380 (47.9%)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0DC16D0" w14:textId="77777777" w:rsidR="001C19F3" w:rsidRDefault="001C19F3" w:rsidP="00521305">
            <w:pPr>
              <w:spacing w:after="0"/>
              <w:rPr>
                <w:sz w:val="22"/>
              </w:rPr>
            </w:pPr>
          </w:p>
        </w:tc>
      </w:tr>
      <w:tr w:rsidR="001C19F3" w14:paraId="69141DC5"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ED53C9"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B40AC4" w14:textId="77777777" w:rsidR="001C19F3" w:rsidRDefault="001C19F3" w:rsidP="00521305">
            <w:pPr>
              <w:spacing w:before="40" w:after="40"/>
              <w:ind w:left="100" w:right="100"/>
              <w:jc w:val="center"/>
            </w:pPr>
            <w:r>
              <w:rPr>
                <w:rFonts w:eastAsia="Century Gothic" w:cs="Century Gothic"/>
                <w:color w:val="000000"/>
                <w:sz w:val="18"/>
                <w:szCs w:val="18"/>
              </w:rPr>
              <w:t>39 (1.9%)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0DE0FF"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7D8C6D"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80F9C1"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FA37E1"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3E999E"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9804EF"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022A0E" w14:textId="77777777" w:rsidR="001C19F3" w:rsidRDefault="001C19F3" w:rsidP="00521305">
            <w:pPr>
              <w:spacing w:before="40" w:after="40"/>
              <w:ind w:left="100" w:right="100"/>
              <w:jc w:val="right"/>
            </w:pPr>
          </w:p>
        </w:tc>
      </w:tr>
      <w:tr w:rsidR="001C19F3" w14:paraId="3BB40DF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C701BB"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9A43BE"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259D92"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1AEA2A"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963E7A"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4E79368"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0EC263"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44465A"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E4BC43B" w14:textId="77777777" w:rsidR="001C19F3" w:rsidRDefault="001C19F3" w:rsidP="00521305">
            <w:pPr>
              <w:spacing w:after="0"/>
              <w:rPr>
                <w:sz w:val="22"/>
              </w:rPr>
            </w:pPr>
          </w:p>
        </w:tc>
      </w:tr>
      <w:tr w:rsidR="001C19F3" w14:paraId="5AF29934"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885A08" w14:textId="77777777" w:rsidR="001C19F3" w:rsidRDefault="001C19F3" w:rsidP="00521305">
            <w:pPr>
              <w:spacing w:before="40" w:after="40"/>
              <w:ind w:left="100" w:right="100"/>
            </w:pPr>
            <w:r>
              <w:rPr>
                <w:rFonts w:eastAsia="Century Gothic" w:cs="Century Gothic"/>
                <w:b/>
                <w:color w:val="000000"/>
                <w:sz w:val="18"/>
                <w:szCs w:val="18"/>
              </w:rPr>
              <w:t>H12 I am confident I can figure out solutions when new situations or problems arise with my health condition (Q21)</w:t>
            </w:r>
          </w:p>
        </w:tc>
      </w:tr>
      <w:tr w:rsidR="001C19F3" w14:paraId="38FA29EA"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EC57DA"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F3189E" w14:textId="77777777" w:rsidR="001C19F3" w:rsidRDefault="001C19F3" w:rsidP="00521305">
            <w:pPr>
              <w:spacing w:before="40" w:after="40"/>
              <w:ind w:left="100" w:right="100"/>
              <w:jc w:val="center"/>
            </w:pPr>
            <w:r>
              <w:rPr>
                <w:rFonts w:eastAsia="Century Gothic" w:cs="Century Gothic"/>
                <w:color w:val="000000"/>
                <w:sz w:val="18"/>
                <w:szCs w:val="18"/>
              </w:rPr>
              <w:t>25 (1.2%)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0437BE" w14:textId="77777777" w:rsidR="001C19F3" w:rsidRDefault="001C19F3" w:rsidP="00521305">
            <w:pPr>
              <w:spacing w:before="40" w:after="40"/>
              <w:ind w:left="100" w:right="100"/>
              <w:jc w:val="center"/>
            </w:pPr>
            <w:r>
              <w:rPr>
                <w:rFonts w:eastAsia="Century Gothic" w:cs="Century Gothic"/>
                <w:color w:val="000000"/>
                <w:sz w:val="18"/>
                <w:szCs w:val="18"/>
              </w:rPr>
              <w:t>5 (1.2%)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DB65C4" w14:textId="77777777" w:rsidR="001C19F3" w:rsidRDefault="001C19F3" w:rsidP="00521305">
            <w:pPr>
              <w:spacing w:before="40" w:after="40"/>
              <w:ind w:left="100" w:right="100"/>
              <w:jc w:val="center"/>
            </w:pPr>
            <w:r>
              <w:rPr>
                <w:rFonts w:eastAsia="Century Gothic" w:cs="Century Gothic"/>
                <w:color w:val="000000"/>
                <w:sz w:val="18"/>
                <w:szCs w:val="18"/>
              </w:rPr>
              <w:t>9 (0.9%)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DBDFDA" w14:textId="77777777" w:rsidR="001C19F3" w:rsidRDefault="001C19F3" w:rsidP="00521305">
            <w:pPr>
              <w:spacing w:before="40" w:after="40"/>
              <w:ind w:left="100" w:right="100"/>
              <w:jc w:val="center"/>
            </w:pPr>
            <w:r>
              <w:rPr>
                <w:rFonts w:eastAsia="Century Gothic" w:cs="Century Gothic"/>
                <w:color w:val="000000"/>
                <w:sz w:val="18"/>
                <w:szCs w:val="18"/>
              </w:rPr>
              <w:t>11 (2.5%)</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278B42" w14:textId="77777777" w:rsidR="001C19F3" w:rsidRDefault="001C19F3" w:rsidP="00521305">
            <w:pPr>
              <w:spacing w:before="40" w:after="40"/>
              <w:ind w:left="100" w:right="100"/>
              <w:jc w:val="center"/>
            </w:pPr>
            <w:r>
              <w:rPr>
                <w:rFonts w:eastAsia="Century Gothic" w:cs="Century Gothic"/>
                <w:color w:val="000000"/>
                <w:sz w:val="18"/>
                <w:szCs w:val="18"/>
              </w:rPr>
              <w:t>0.005</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162D62" w14:textId="77777777" w:rsidR="001C19F3" w:rsidRDefault="001C19F3" w:rsidP="00521305">
            <w:pPr>
              <w:spacing w:before="40" w:after="40"/>
              <w:ind w:left="100" w:right="100"/>
              <w:jc w:val="center"/>
            </w:pPr>
            <w:r>
              <w:rPr>
                <w:rFonts w:eastAsia="Century Gothic" w:cs="Century Gothic"/>
                <w:color w:val="000000"/>
                <w:sz w:val="18"/>
                <w:szCs w:val="18"/>
              </w:rPr>
              <w:t>15 (1.3%)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D7CA3D" w14:textId="77777777" w:rsidR="001C19F3" w:rsidRDefault="001C19F3" w:rsidP="00521305">
            <w:pPr>
              <w:spacing w:before="40" w:after="40"/>
              <w:ind w:left="100" w:right="100"/>
              <w:jc w:val="center"/>
            </w:pPr>
            <w:r>
              <w:rPr>
                <w:rFonts w:eastAsia="Century Gothic" w:cs="Century Gothic"/>
                <w:color w:val="000000"/>
                <w:sz w:val="18"/>
                <w:szCs w:val="18"/>
              </w:rPr>
              <w:t>10 (1.3%)</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76647E" w14:textId="77777777" w:rsidR="001C19F3" w:rsidRDefault="001C19F3" w:rsidP="00521305">
            <w:pPr>
              <w:spacing w:before="40" w:after="40"/>
              <w:ind w:left="100" w:right="100"/>
              <w:jc w:val="right"/>
            </w:pPr>
            <w:r>
              <w:rPr>
                <w:rFonts w:eastAsia="Century Gothic" w:cs="Century Gothic"/>
                <w:color w:val="000000"/>
                <w:sz w:val="18"/>
                <w:szCs w:val="18"/>
              </w:rPr>
              <w:t>0.813</w:t>
            </w:r>
          </w:p>
        </w:tc>
      </w:tr>
      <w:tr w:rsidR="001C19F3" w14:paraId="57A4C263"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26BE50"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5FE7C5" w14:textId="77777777" w:rsidR="001C19F3" w:rsidRDefault="001C19F3" w:rsidP="00521305">
            <w:pPr>
              <w:spacing w:before="40" w:after="40"/>
              <w:ind w:left="100" w:right="100"/>
              <w:jc w:val="center"/>
            </w:pPr>
            <w:r>
              <w:rPr>
                <w:rFonts w:eastAsia="Century Gothic" w:cs="Century Gothic"/>
                <w:color w:val="000000"/>
                <w:sz w:val="18"/>
                <w:szCs w:val="18"/>
              </w:rPr>
              <w:t>247 (12.2%)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4B28D7" w14:textId="77777777" w:rsidR="001C19F3" w:rsidRDefault="001C19F3" w:rsidP="00521305">
            <w:pPr>
              <w:spacing w:before="40" w:after="40"/>
              <w:ind w:left="100" w:right="100"/>
              <w:jc w:val="center"/>
            </w:pPr>
            <w:r>
              <w:rPr>
                <w:rFonts w:eastAsia="Century Gothic" w:cs="Century Gothic"/>
                <w:color w:val="000000"/>
                <w:sz w:val="18"/>
                <w:szCs w:val="18"/>
              </w:rPr>
              <w:t>48 (11.3%)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6A8364" w14:textId="77777777" w:rsidR="001C19F3" w:rsidRDefault="001C19F3" w:rsidP="00521305">
            <w:pPr>
              <w:spacing w:before="40" w:after="40"/>
              <w:ind w:left="100" w:right="100"/>
              <w:jc w:val="center"/>
            </w:pPr>
            <w:r>
              <w:rPr>
                <w:rFonts w:eastAsia="Century Gothic" w:cs="Century Gothic"/>
                <w:color w:val="000000"/>
                <w:sz w:val="18"/>
                <w:szCs w:val="18"/>
              </w:rPr>
              <w:t>110 (11.2%)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3F7182" w14:textId="77777777" w:rsidR="001C19F3" w:rsidRDefault="001C19F3" w:rsidP="00521305">
            <w:pPr>
              <w:spacing w:before="40" w:after="40"/>
              <w:ind w:left="100" w:right="100"/>
              <w:jc w:val="center"/>
            </w:pPr>
            <w:r>
              <w:rPr>
                <w:rFonts w:eastAsia="Century Gothic" w:cs="Century Gothic"/>
                <w:color w:val="000000"/>
                <w:sz w:val="18"/>
                <w:szCs w:val="18"/>
              </w:rPr>
              <w:t>78 (17.4%)</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2F294CA"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43004C" w14:textId="77777777" w:rsidR="001C19F3" w:rsidRDefault="001C19F3" w:rsidP="00521305">
            <w:pPr>
              <w:spacing w:before="40" w:after="40"/>
              <w:ind w:left="100" w:right="100"/>
              <w:jc w:val="center"/>
            </w:pPr>
            <w:r>
              <w:rPr>
                <w:rFonts w:eastAsia="Century Gothic" w:cs="Century Gothic"/>
                <w:color w:val="000000"/>
                <w:sz w:val="18"/>
                <w:szCs w:val="18"/>
              </w:rPr>
              <w:t>141 (12.3%)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6F2134" w14:textId="77777777" w:rsidR="001C19F3" w:rsidRDefault="001C19F3" w:rsidP="00521305">
            <w:pPr>
              <w:spacing w:before="40" w:after="40"/>
              <w:ind w:left="100" w:right="100"/>
              <w:jc w:val="center"/>
            </w:pPr>
            <w:r>
              <w:rPr>
                <w:rFonts w:eastAsia="Century Gothic" w:cs="Century Gothic"/>
                <w:color w:val="000000"/>
                <w:sz w:val="18"/>
                <w:szCs w:val="18"/>
              </w:rPr>
              <w:t>106 (13.5%)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A598734" w14:textId="77777777" w:rsidR="001C19F3" w:rsidRDefault="001C19F3" w:rsidP="00521305">
            <w:pPr>
              <w:spacing w:after="0"/>
              <w:rPr>
                <w:sz w:val="22"/>
              </w:rPr>
            </w:pPr>
          </w:p>
        </w:tc>
      </w:tr>
      <w:tr w:rsidR="001C19F3" w14:paraId="46F7722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C22A67" w14:textId="77777777" w:rsidR="001C19F3" w:rsidRDefault="001C19F3" w:rsidP="00521305">
            <w:pPr>
              <w:spacing w:before="40" w:after="40"/>
              <w:ind w:left="160" w:right="100"/>
            </w:pPr>
            <w:r>
              <w:rPr>
                <w:rFonts w:eastAsia="Century Gothic" w:cs="Century Gothic"/>
                <w:color w:val="000000"/>
                <w:sz w:val="18"/>
                <w:szCs w:val="18"/>
              </w:rPr>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19479" w14:textId="77777777" w:rsidR="001C19F3" w:rsidRDefault="001C19F3" w:rsidP="00521305">
            <w:pPr>
              <w:spacing w:before="40" w:after="40"/>
              <w:ind w:left="100" w:right="100"/>
              <w:jc w:val="center"/>
            </w:pPr>
            <w:r>
              <w:rPr>
                <w:rFonts w:eastAsia="Century Gothic" w:cs="Century Gothic"/>
                <w:color w:val="000000"/>
                <w:sz w:val="18"/>
                <w:szCs w:val="18"/>
              </w:rPr>
              <w:t>1,189 (58.9%)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9C4BF" w14:textId="77777777" w:rsidR="001C19F3" w:rsidRDefault="001C19F3" w:rsidP="00521305">
            <w:pPr>
              <w:spacing w:before="40" w:after="40"/>
              <w:ind w:left="100" w:right="100"/>
              <w:jc w:val="center"/>
            </w:pPr>
            <w:r>
              <w:rPr>
                <w:rFonts w:eastAsia="Century Gothic" w:cs="Century Gothic"/>
                <w:color w:val="000000"/>
                <w:sz w:val="18"/>
                <w:szCs w:val="18"/>
              </w:rPr>
              <w:t>264 (62.0%)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CD7E3F" w14:textId="77777777" w:rsidR="001C19F3" w:rsidRDefault="001C19F3" w:rsidP="00521305">
            <w:pPr>
              <w:spacing w:before="40" w:after="40"/>
              <w:ind w:left="100" w:right="100"/>
              <w:jc w:val="center"/>
            </w:pPr>
            <w:r>
              <w:rPr>
                <w:rFonts w:eastAsia="Century Gothic" w:cs="Century Gothic"/>
                <w:color w:val="000000"/>
                <w:sz w:val="18"/>
                <w:szCs w:val="18"/>
              </w:rPr>
              <w:t>628 (63.7%)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710CD4" w14:textId="77777777" w:rsidR="001C19F3" w:rsidRDefault="001C19F3" w:rsidP="00521305">
            <w:pPr>
              <w:spacing w:before="40" w:after="40"/>
              <w:ind w:left="100" w:right="100"/>
              <w:jc w:val="center"/>
            </w:pPr>
            <w:r>
              <w:rPr>
                <w:rFonts w:eastAsia="Century Gothic" w:cs="Century Gothic"/>
                <w:color w:val="000000"/>
                <w:sz w:val="18"/>
                <w:szCs w:val="18"/>
              </w:rPr>
              <w:t>259 (57.8%)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10607F8"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6C7E9A" w14:textId="77777777" w:rsidR="001C19F3" w:rsidRDefault="001C19F3" w:rsidP="00521305">
            <w:pPr>
              <w:spacing w:before="40" w:after="40"/>
              <w:ind w:left="100" w:right="100"/>
              <w:jc w:val="center"/>
            </w:pPr>
            <w:r>
              <w:rPr>
                <w:rFonts w:eastAsia="Century Gothic" w:cs="Century Gothic"/>
                <w:color w:val="000000"/>
                <w:sz w:val="18"/>
                <w:szCs w:val="18"/>
              </w:rPr>
              <w:t>714 (62.5%)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4194B0" w14:textId="77777777" w:rsidR="001C19F3" w:rsidRDefault="001C19F3" w:rsidP="00521305">
            <w:pPr>
              <w:spacing w:before="40" w:after="40"/>
              <w:ind w:left="100" w:right="100"/>
              <w:jc w:val="center"/>
            </w:pPr>
            <w:r>
              <w:rPr>
                <w:rFonts w:eastAsia="Century Gothic" w:cs="Century Gothic"/>
                <w:color w:val="000000"/>
                <w:sz w:val="18"/>
                <w:szCs w:val="18"/>
              </w:rPr>
              <w:t>475 (60.5%)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EF20D5D" w14:textId="77777777" w:rsidR="001C19F3" w:rsidRDefault="001C19F3" w:rsidP="00521305">
            <w:pPr>
              <w:spacing w:after="0"/>
              <w:rPr>
                <w:sz w:val="22"/>
              </w:rPr>
            </w:pPr>
          </w:p>
        </w:tc>
      </w:tr>
      <w:tr w:rsidR="001C19F3" w14:paraId="706B840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2A240"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773C8E" w14:textId="77777777" w:rsidR="001C19F3" w:rsidRDefault="001C19F3" w:rsidP="00521305">
            <w:pPr>
              <w:spacing w:before="40" w:after="40"/>
              <w:ind w:left="100" w:right="100"/>
              <w:jc w:val="center"/>
            </w:pPr>
            <w:r>
              <w:rPr>
                <w:rFonts w:eastAsia="Century Gothic" w:cs="Century Gothic"/>
                <w:color w:val="000000"/>
                <w:sz w:val="18"/>
                <w:szCs w:val="18"/>
              </w:rPr>
              <w:t>466 (23.1%)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5ADC1D" w14:textId="77777777" w:rsidR="001C19F3" w:rsidRDefault="001C19F3" w:rsidP="00521305">
            <w:pPr>
              <w:spacing w:before="40" w:after="40"/>
              <w:ind w:left="100" w:right="100"/>
              <w:jc w:val="center"/>
            </w:pPr>
            <w:r>
              <w:rPr>
                <w:rFonts w:eastAsia="Century Gothic" w:cs="Century Gothic"/>
                <w:color w:val="000000"/>
                <w:sz w:val="18"/>
                <w:szCs w:val="18"/>
              </w:rPr>
              <w:t>109 (25.6%)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BB3E26" w14:textId="77777777" w:rsidR="001C19F3" w:rsidRDefault="001C19F3" w:rsidP="00521305">
            <w:pPr>
              <w:spacing w:before="40" w:after="40"/>
              <w:ind w:left="100" w:right="100"/>
              <w:jc w:val="center"/>
            </w:pPr>
            <w:r>
              <w:rPr>
                <w:rFonts w:eastAsia="Century Gothic" w:cs="Century Gothic"/>
                <w:color w:val="000000"/>
                <w:sz w:val="18"/>
                <w:szCs w:val="18"/>
              </w:rPr>
              <w:t>239 (24.2%)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4BE3CB" w14:textId="77777777" w:rsidR="001C19F3" w:rsidRDefault="001C19F3" w:rsidP="00521305">
            <w:pPr>
              <w:spacing w:before="40" w:after="40"/>
              <w:ind w:left="100" w:right="100"/>
              <w:jc w:val="center"/>
            </w:pPr>
            <w:r>
              <w:rPr>
                <w:rFonts w:eastAsia="Century Gothic" w:cs="Century Gothic"/>
                <w:color w:val="000000"/>
                <w:sz w:val="18"/>
                <w:szCs w:val="18"/>
              </w:rPr>
              <w:t>100 (22.3%)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B6E87C3"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5B1356" w14:textId="77777777" w:rsidR="001C19F3" w:rsidRDefault="001C19F3" w:rsidP="00521305">
            <w:pPr>
              <w:spacing w:before="40" w:after="40"/>
              <w:ind w:left="100" w:right="100"/>
              <w:jc w:val="center"/>
            </w:pPr>
            <w:r>
              <w:rPr>
                <w:rFonts w:eastAsia="Century Gothic" w:cs="Century Gothic"/>
                <w:color w:val="000000"/>
                <w:sz w:val="18"/>
                <w:szCs w:val="18"/>
              </w:rPr>
              <w:t>272 (23.8%)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01BFBB" w14:textId="77777777" w:rsidR="001C19F3" w:rsidRDefault="001C19F3" w:rsidP="00521305">
            <w:pPr>
              <w:spacing w:before="40" w:after="40"/>
              <w:ind w:left="100" w:right="100"/>
              <w:jc w:val="center"/>
            </w:pPr>
            <w:r>
              <w:rPr>
                <w:rFonts w:eastAsia="Century Gothic" w:cs="Century Gothic"/>
                <w:color w:val="000000"/>
                <w:sz w:val="18"/>
                <w:szCs w:val="18"/>
              </w:rPr>
              <w:t>194 (24.7%)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5253B95" w14:textId="77777777" w:rsidR="001C19F3" w:rsidRDefault="001C19F3" w:rsidP="00521305">
            <w:pPr>
              <w:spacing w:after="0"/>
              <w:rPr>
                <w:sz w:val="22"/>
              </w:rPr>
            </w:pPr>
          </w:p>
        </w:tc>
      </w:tr>
      <w:tr w:rsidR="001C19F3" w14:paraId="37E48383"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B472D4"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A62614" w14:textId="77777777" w:rsidR="001C19F3" w:rsidRDefault="001C19F3" w:rsidP="00521305">
            <w:pPr>
              <w:spacing w:before="40" w:after="40"/>
              <w:ind w:left="100" w:right="100"/>
              <w:jc w:val="center"/>
            </w:pPr>
            <w:r>
              <w:rPr>
                <w:rFonts w:eastAsia="Century Gothic" w:cs="Century Gothic"/>
                <w:color w:val="000000"/>
                <w:sz w:val="18"/>
                <w:szCs w:val="18"/>
              </w:rPr>
              <w:t>83 (4.1%)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F98CB"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65812E"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19AEF4"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59C067"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36E957"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A271BE"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F25646" w14:textId="77777777" w:rsidR="001C19F3" w:rsidRDefault="001C19F3" w:rsidP="00521305">
            <w:pPr>
              <w:spacing w:before="40" w:after="40"/>
              <w:ind w:left="100" w:right="100"/>
              <w:jc w:val="right"/>
            </w:pPr>
          </w:p>
        </w:tc>
      </w:tr>
      <w:tr w:rsidR="001C19F3" w14:paraId="5ACA0692"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960863"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CCA8F7" w14:textId="77777777" w:rsidR="001C19F3" w:rsidRDefault="001C19F3" w:rsidP="00521305">
            <w:pPr>
              <w:spacing w:before="40" w:after="40"/>
              <w:ind w:left="100" w:right="100"/>
              <w:jc w:val="center"/>
            </w:pPr>
            <w:r>
              <w:rPr>
                <w:rFonts w:eastAsia="Century Gothic" w:cs="Century Gothic"/>
                <w:color w:val="000000"/>
                <w:sz w:val="18"/>
                <w:szCs w:val="18"/>
              </w:rPr>
              <w:t>8 (0.4%)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7ACDE5"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398C94"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D2E10E"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110C760"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BDA04B"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BB1ECF"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999C291" w14:textId="77777777" w:rsidR="001C19F3" w:rsidRDefault="001C19F3" w:rsidP="00521305">
            <w:pPr>
              <w:spacing w:after="0"/>
              <w:rPr>
                <w:sz w:val="22"/>
              </w:rPr>
            </w:pPr>
          </w:p>
        </w:tc>
      </w:tr>
      <w:tr w:rsidR="001C19F3" w14:paraId="0A858E1C"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6AFD56" w14:textId="77777777" w:rsidR="001C19F3" w:rsidRDefault="001C19F3" w:rsidP="00521305">
            <w:pPr>
              <w:spacing w:before="40" w:after="40"/>
              <w:ind w:left="100" w:right="100"/>
            </w:pPr>
            <w:r>
              <w:rPr>
                <w:rFonts w:eastAsia="Century Gothic" w:cs="Century Gothic"/>
                <w:b/>
                <w:color w:val="000000"/>
                <w:sz w:val="18"/>
                <w:szCs w:val="18"/>
              </w:rPr>
              <w:t>H13 I am confident that I can maintain lifestyle changes like diet and exercise even during times of stress (Q21)</w:t>
            </w:r>
          </w:p>
        </w:tc>
      </w:tr>
      <w:tr w:rsidR="001C19F3" w14:paraId="28377F52"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A96EAF"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08175A" w14:textId="77777777" w:rsidR="001C19F3" w:rsidRDefault="001C19F3" w:rsidP="00521305">
            <w:pPr>
              <w:spacing w:before="40" w:after="40"/>
              <w:ind w:left="100" w:right="100"/>
              <w:jc w:val="center"/>
            </w:pPr>
            <w:r>
              <w:rPr>
                <w:rFonts w:eastAsia="Century Gothic" w:cs="Century Gothic"/>
                <w:color w:val="000000"/>
                <w:sz w:val="18"/>
                <w:szCs w:val="18"/>
              </w:rPr>
              <w:t>58 (2.9%)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4A120" w14:textId="77777777" w:rsidR="001C19F3" w:rsidRDefault="001C19F3" w:rsidP="00521305">
            <w:pPr>
              <w:spacing w:before="40" w:after="40"/>
              <w:ind w:left="100" w:right="100"/>
              <w:jc w:val="center"/>
            </w:pPr>
            <w:r>
              <w:rPr>
                <w:rFonts w:eastAsia="Century Gothic" w:cs="Century Gothic"/>
                <w:color w:val="000000"/>
                <w:sz w:val="18"/>
                <w:szCs w:val="18"/>
              </w:rPr>
              <w:t>5 (1.2%)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5622C3" w14:textId="77777777" w:rsidR="001C19F3" w:rsidRDefault="001C19F3" w:rsidP="00521305">
            <w:pPr>
              <w:spacing w:before="40" w:after="40"/>
              <w:ind w:left="100" w:right="100"/>
              <w:jc w:val="center"/>
            </w:pPr>
            <w:r>
              <w:rPr>
                <w:rFonts w:eastAsia="Century Gothic" w:cs="Century Gothic"/>
                <w:color w:val="000000"/>
                <w:sz w:val="18"/>
                <w:szCs w:val="18"/>
              </w:rPr>
              <w:t>18 (1.8%)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808062" w14:textId="77777777" w:rsidR="001C19F3" w:rsidRDefault="001C19F3" w:rsidP="00521305">
            <w:pPr>
              <w:spacing w:before="40" w:after="40"/>
              <w:ind w:left="100" w:right="100"/>
              <w:jc w:val="center"/>
            </w:pPr>
            <w:r>
              <w:rPr>
                <w:rFonts w:eastAsia="Century Gothic" w:cs="Century Gothic"/>
                <w:color w:val="000000"/>
                <w:sz w:val="18"/>
                <w:szCs w:val="18"/>
              </w:rPr>
              <w:t>32 (7.1%)</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CA1F04"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14E08E" w14:textId="77777777" w:rsidR="001C19F3" w:rsidRDefault="001C19F3" w:rsidP="00521305">
            <w:pPr>
              <w:spacing w:before="40" w:after="40"/>
              <w:ind w:left="100" w:right="100"/>
              <w:jc w:val="center"/>
            </w:pPr>
            <w:r>
              <w:rPr>
                <w:rFonts w:eastAsia="Century Gothic" w:cs="Century Gothic"/>
                <w:color w:val="000000"/>
                <w:sz w:val="18"/>
                <w:szCs w:val="18"/>
              </w:rPr>
              <w:t>35 (3.0%)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F7640F" w14:textId="77777777" w:rsidR="001C19F3" w:rsidRDefault="001C19F3" w:rsidP="00521305">
            <w:pPr>
              <w:spacing w:before="40" w:after="40"/>
              <w:ind w:left="100" w:right="100"/>
              <w:jc w:val="center"/>
            </w:pPr>
            <w:r>
              <w:rPr>
                <w:rFonts w:eastAsia="Century Gothic" w:cs="Century Gothic"/>
                <w:color w:val="000000"/>
                <w:sz w:val="18"/>
                <w:szCs w:val="18"/>
              </w:rPr>
              <w:t>23 (2.9%)</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636F7" w14:textId="77777777" w:rsidR="001C19F3" w:rsidRDefault="001C19F3" w:rsidP="00521305">
            <w:pPr>
              <w:spacing w:before="40" w:after="40"/>
              <w:ind w:left="100" w:right="100"/>
              <w:jc w:val="right"/>
            </w:pPr>
            <w:r>
              <w:rPr>
                <w:rFonts w:eastAsia="Century Gothic" w:cs="Century Gothic"/>
                <w:color w:val="000000"/>
                <w:sz w:val="18"/>
                <w:szCs w:val="18"/>
              </w:rPr>
              <w:t>0.026</w:t>
            </w:r>
          </w:p>
        </w:tc>
      </w:tr>
      <w:tr w:rsidR="001C19F3" w14:paraId="1EC59373"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1C26BE" w14:textId="77777777" w:rsidR="001C19F3" w:rsidRDefault="001C19F3" w:rsidP="00521305">
            <w:pPr>
              <w:spacing w:before="40" w:after="40"/>
              <w:ind w:left="160" w:right="100"/>
            </w:pPr>
            <w:r>
              <w:rPr>
                <w:rFonts w:eastAsia="Century Gothic" w:cs="Century Gothic"/>
                <w:color w:val="000000"/>
                <w:sz w:val="18"/>
                <w:szCs w:val="18"/>
              </w:rPr>
              <w:t>Disagree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07472F" w14:textId="77777777" w:rsidR="001C19F3" w:rsidRDefault="001C19F3" w:rsidP="00521305">
            <w:pPr>
              <w:spacing w:before="40" w:after="40"/>
              <w:ind w:left="100" w:right="100"/>
              <w:jc w:val="center"/>
            </w:pPr>
            <w:r>
              <w:rPr>
                <w:rFonts w:eastAsia="Century Gothic" w:cs="Century Gothic"/>
                <w:color w:val="000000"/>
                <w:sz w:val="18"/>
                <w:szCs w:val="18"/>
              </w:rPr>
              <w:t>276 (13.7%)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42DDEB" w14:textId="77777777" w:rsidR="001C19F3" w:rsidRDefault="001C19F3" w:rsidP="00521305">
            <w:pPr>
              <w:spacing w:before="40" w:after="40"/>
              <w:ind w:left="100" w:right="100"/>
              <w:jc w:val="center"/>
            </w:pPr>
            <w:r>
              <w:rPr>
                <w:rFonts w:eastAsia="Century Gothic" w:cs="Century Gothic"/>
                <w:color w:val="000000"/>
                <w:sz w:val="18"/>
                <w:szCs w:val="18"/>
              </w:rPr>
              <w:t>45 (10.4%)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486659" w14:textId="77777777" w:rsidR="001C19F3" w:rsidRDefault="001C19F3" w:rsidP="00521305">
            <w:pPr>
              <w:spacing w:before="40" w:after="40"/>
              <w:ind w:left="100" w:right="100"/>
              <w:jc w:val="center"/>
            </w:pPr>
            <w:r>
              <w:rPr>
                <w:rFonts w:eastAsia="Century Gothic" w:cs="Century Gothic"/>
                <w:color w:val="000000"/>
                <w:sz w:val="18"/>
                <w:szCs w:val="18"/>
              </w:rPr>
              <w:t>136 (13.5%)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8B466A" w14:textId="77777777" w:rsidR="001C19F3" w:rsidRDefault="001C19F3" w:rsidP="00521305">
            <w:pPr>
              <w:spacing w:before="40" w:after="40"/>
              <w:ind w:left="100" w:right="100"/>
              <w:jc w:val="center"/>
            </w:pPr>
            <w:r>
              <w:rPr>
                <w:rFonts w:eastAsia="Century Gothic" w:cs="Century Gothic"/>
                <w:color w:val="000000"/>
                <w:sz w:val="18"/>
                <w:szCs w:val="18"/>
              </w:rPr>
              <w:t>90 (19.9%)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F19216E"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245964" w14:textId="77777777" w:rsidR="001C19F3" w:rsidRDefault="001C19F3" w:rsidP="00521305">
            <w:pPr>
              <w:spacing w:before="40" w:after="40"/>
              <w:ind w:left="100" w:right="100"/>
              <w:jc w:val="center"/>
            </w:pPr>
            <w:r>
              <w:rPr>
                <w:rFonts w:eastAsia="Century Gothic" w:cs="Century Gothic"/>
                <w:color w:val="000000"/>
                <w:sz w:val="18"/>
                <w:szCs w:val="18"/>
              </w:rPr>
              <w:t>143 (12.2%)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8648C4" w14:textId="77777777" w:rsidR="001C19F3" w:rsidRDefault="001C19F3" w:rsidP="00521305">
            <w:pPr>
              <w:spacing w:before="40" w:after="40"/>
              <w:ind w:left="100" w:right="100"/>
              <w:jc w:val="center"/>
            </w:pPr>
            <w:r>
              <w:rPr>
                <w:rFonts w:eastAsia="Century Gothic" w:cs="Century Gothic"/>
                <w:color w:val="000000"/>
                <w:sz w:val="18"/>
                <w:szCs w:val="18"/>
              </w:rPr>
              <w:t>133 (16.8%)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5A24F35" w14:textId="77777777" w:rsidR="001C19F3" w:rsidRDefault="001C19F3" w:rsidP="00521305">
            <w:pPr>
              <w:spacing w:after="0"/>
              <w:rPr>
                <w:sz w:val="22"/>
              </w:rPr>
            </w:pPr>
          </w:p>
        </w:tc>
      </w:tr>
      <w:tr w:rsidR="001C19F3" w14:paraId="1CBEE16F"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66B89" w14:textId="77777777" w:rsidR="001C19F3" w:rsidRDefault="001C19F3" w:rsidP="00521305">
            <w:pPr>
              <w:spacing w:before="40" w:after="40"/>
              <w:ind w:left="160" w:right="100"/>
            </w:pPr>
            <w:r>
              <w:rPr>
                <w:rFonts w:eastAsia="Century Gothic" w:cs="Century Gothic"/>
                <w:color w:val="000000"/>
                <w:sz w:val="18"/>
                <w:szCs w:val="18"/>
              </w:rPr>
              <w:lastRenderedPageBreak/>
              <w:t>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48288F" w14:textId="77777777" w:rsidR="001C19F3" w:rsidRDefault="001C19F3" w:rsidP="00521305">
            <w:pPr>
              <w:spacing w:before="40" w:after="40"/>
              <w:ind w:left="100" w:right="100"/>
              <w:jc w:val="center"/>
            </w:pPr>
            <w:r>
              <w:rPr>
                <w:rFonts w:eastAsia="Century Gothic" w:cs="Century Gothic"/>
                <w:color w:val="000000"/>
                <w:sz w:val="18"/>
                <w:szCs w:val="18"/>
              </w:rPr>
              <w:t>1,162 (57.6%)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48BBDB" w14:textId="77777777" w:rsidR="001C19F3" w:rsidRDefault="001C19F3" w:rsidP="00521305">
            <w:pPr>
              <w:spacing w:before="40" w:after="40"/>
              <w:ind w:left="100" w:right="100"/>
              <w:jc w:val="center"/>
            </w:pPr>
            <w:r>
              <w:rPr>
                <w:rFonts w:eastAsia="Century Gothic" w:cs="Century Gothic"/>
                <w:color w:val="000000"/>
                <w:sz w:val="18"/>
                <w:szCs w:val="18"/>
              </w:rPr>
              <w:t>266 (61.4%)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5BAC75" w14:textId="77777777" w:rsidR="001C19F3" w:rsidRDefault="001C19F3" w:rsidP="00521305">
            <w:pPr>
              <w:spacing w:before="40" w:after="40"/>
              <w:ind w:left="100" w:right="100"/>
              <w:jc w:val="center"/>
            </w:pPr>
            <w:r>
              <w:rPr>
                <w:rFonts w:eastAsia="Century Gothic" w:cs="Century Gothic"/>
                <w:color w:val="000000"/>
                <w:sz w:val="18"/>
                <w:szCs w:val="18"/>
              </w:rPr>
              <w:t>611 (60.7%)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F3CD8F" w14:textId="77777777" w:rsidR="001C19F3" w:rsidRDefault="001C19F3" w:rsidP="00521305">
            <w:pPr>
              <w:spacing w:before="40" w:after="40"/>
              <w:ind w:left="100" w:right="100"/>
              <w:jc w:val="center"/>
            </w:pPr>
            <w:r>
              <w:rPr>
                <w:rFonts w:eastAsia="Century Gothic" w:cs="Century Gothic"/>
                <w:color w:val="000000"/>
                <w:sz w:val="18"/>
                <w:szCs w:val="18"/>
              </w:rPr>
              <w:t>240 (53.0%)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C21C49C"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07075" w14:textId="77777777" w:rsidR="001C19F3" w:rsidRDefault="001C19F3" w:rsidP="00521305">
            <w:pPr>
              <w:spacing w:before="40" w:after="40"/>
              <w:ind w:left="100" w:right="100"/>
              <w:jc w:val="center"/>
            </w:pPr>
            <w:r>
              <w:rPr>
                <w:rFonts w:eastAsia="Century Gothic" w:cs="Century Gothic"/>
                <w:color w:val="000000"/>
                <w:sz w:val="18"/>
                <w:szCs w:val="18"/>
              </w:rPr>
              <w:t>717 (61.4%)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725E6" w14:textId="77777777" w:rsidR="001C19F3" w:rsidRDefault="001C19F3" w:rsidP="00521305">
            <w:pPr>
              <w:spacing w:before="40" w:after="40"/>
              <w:ind w:left="100" w:right="100"/>
              <w:jc w:val="center"/>
            </w:pPr>
            <w:r>
              <w:rPr>
                <w:rFonts w:eastAsia="Century Gothic" w:cs="Century Gothic"/>
                <w:color w:val="000000"/>
                <w:sz w:val="18"/>
                <w:szCs w:val="18"/>
              </w:rPr>
              <w:t>445 (56.0%)</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825C9E3" w14:textId="77777777" w:rsidR="001C19F3" w:rsidRDefault="001C19F3" w:rsidP="00521305">
            <w:pPr>
              <w:spacing w:after="0"/>
              <w:rPr>
                <w:sz w:val="22"/>
              </w:rPr>
            </w:pPr>
          </w:p>
        </w:tc>
      </w:tr>
      <w:tr w:rsidR="001C19F3" w14:paraId="3D039E6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DB1C3D"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743DA" w14:textId="77777777" w:rsidR="001C19F3" w:rsidRDefault="001C19F3" w:rsidP="00521305">
            <w:pPr>
              <w:spacing w:before="40" w:after="40"/>
              <w:ind w:left="100" w:right="100"/>
              <w:jc w:val="center"/>
            </w:pPr>
            <w:r>
              <w:rPr>
                <w:rFonts w:eastAsia="Century Gothic" w:cs="Century Gothic"/>
                <w:color w:val="000000"/>
                <w:sz w:val="18"/>
                <w:szCs w:val="18"/>
              </w:rPr>
              <w:t>466 (23.1%)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52C70E" w14:textId="77777777" w:rsidR="001C19F3" w:rsidRDefault="001C19F3" w:rsidP="00521305">
            <w:pPr>
              <w:spacing w:before="40" w:after="40"/>
              <w:ind w:left="100" w:right="100"/>
              <w:jc w:val="center"/>
            </w:pPr>
            <w:r>
              <w:rPr>
                <w:rFonts w:eastAsia="Century Gothic" w:cs="Century Gothic"/>
                <w:color w:val="000000"/>
                <w:sz w:val="18"/>
                <w:szCs w:val="18"/>
              </w:rPr>
              <w:t>117 (27.0%)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AB3B28" w14:textId="77777777" w:rsidR="001C19F3" w:rsidRDefault="001C19F3" w:rsidP="00521305">
            <w:pPr>
              <w:spacing w:before="40" w:after="40"/>
              <w:ind w:left="100" w:right="100"/>
              <w:jc w:val="center"/>
            </w:pPr>
            <w:r>
              <w:rPr>
                <w:rFonts w:eastAsia="Century Gothic" w:cs="Century Gothic"/>
                <w:color w:val="000000"/>
                <w:sz w:val="18"/>
                <w:szCs w:val="18"/>
              </w:rPr>
              <w:t>242 (24.0%)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09238D" w14:textId="77777777" w:rsidR="001C19F3" w:rsidRDefault="001C19F3" w:rsidP="00521305">
            <w:pPr>
              <w:spacing w:before="40" w:after="40"/>
              <w:ind w:left="100" w:right="100"/>
              <w:jc w:val="center"/>
            </w:pPr>
            <w:r>
              <w:rPr>
                <w:rFonts w:eastAsia="Century Gothic" w:cs="Century Gothic"/>
                <w:color w:val="000000"/>
                <w:sz w:val="18"/>
                <w:szCs w:val="18"/>
              </w:rPr>
              <w:t>91 (20.1%)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DA5D700"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3601B9" w14:textId="77777777" w:rsidR="001C19F3" w:rsidRDefault="001C19F3" w:rsidP="00521305">
            <w:pPr>
              <w:spacing w:before="40" w:after="40"/>
              <w:ind w:left="100" w:right="100"/>
              <w:jc w:val="center"/>
            </w:pPr>
            <w:r>
              <w:rPr>
                <w:rFonts w:eastAsia="Century Gothic" w:cs="Century Gothic"/>
                <w:color w:val="000000"/>
                <w:sz w:val="18"/>
                <w:szCs w:val="18"/>
              </w:rPr>
              <w:t>273 (23.4%)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ED1789" w14:textId="77777777" w:rsidR="001C19F3" w:rsidRDefault="001C19F3" w:rsidP="00521305">
            <w:pPr>
              <w:spacing w:before="40" w:after="40"/>
              <w:ind w:left="100" w:right="100"/>
              <w:jc w:val="center"/>
            </w:pPr>
            <w:r>
              <w:rPr>
                <w:rFonts w:eastAsia="Century Gothic" w:cs="Century Gothic"/>
                <w:color w:val="000000"/>
                <w:sz w:val="18"/>
                <w:szCs w:val="18"/>
              </w:rPr>
              <w:t>193 (24.3%)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AACAA07" w14:textId="77777777" w:rsidR="001C19F3" w:rsidRDefault="001C19F3" w:rsidP="00521305">
            <w:pPr>
              <w:spacing w:after="0"/>
              <w:rPr>
                <w:sz w:val="22"/>
              </w:rPr>
            </w:pPr>
          </w:p>
        </w:tc>
      </w:tr>
      <w:tr w:rsidR="001C19F3" w14:paraId="067B2338"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E13A79"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8D185D" w14:textId="77777777" w:rsidR="001C19F3" w:rsidRDefault="001C19F3" w:rsidP="00521305">
            <w:pPr>
              <w:spacing w:before="40" w:after="40"/>
              <w:ind w:left="100" w:right="100"/>
              <w:jc w:val="center"/>
            </w:pPr>
            <w:r>
              <w:rPr>
                <w:rFonts w:eastAsia="Century Gothic" w:cs="Century Gothic"/>
                <w:color w:val="000000"/>
                <w:sz w:val="18"/>
                <w:szCs w:val="18"/>
              </w:rPr>
              <w:t>49 (2.4%)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EC6A8D"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C050A1"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E20D2D" w14:textId="77777777" w:rsidR="001C19F3" w:rsidRDefault="001C19F3" w:rsidP="00521305">
            <w:pPr>
              <w:spacing w:before="40" w:after="40"/>
              <w:ind w:left="100" w:right="100"/>
              <w:jc w:val="center"/>
            </w:pP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204546" w14:textId="77777777" w:rsidR="001C19F3" w:rsidRDefault="001C19F3" w:rsidP="00521305">
            <w:pPr>
              <w:spacing w:before="40" w:after="40"/>
              <w:ind w:left="100" w:right="100"/>
              <w:jc w:val="cente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0E64AC"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38F6F3"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66814C" w14:textId="77777777" w:rsidR="001C19F3" w:rsidRDefault="001C19F3" w:rsidP="00521305">
            <w:pPr>
              <w:spacing w:before="40" w:after="40"/>
              <w:ind w:left="100" w:right="100"/>
              <w:jc w:val="right"/>
            </w:pPr>
          </w:p>
        </w:tc>
      </w:tr>
      <w:tr w:rsidR="001C19F3" w14:paraId="2142649E"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02D052" w14:textId="77777777" w:rsidR="001C19F3" w:rsidRDefault="001C19F3" w:rsidP="00521305">
            <w:pPr>
              <w:spacing w:before="40" w:after="40"/>
              <w:ind w:left="160" w:right="100"/>
            </w:pPr>
            <w:r>
              <w:rPr>
                <w:rFonts w:eastAsia="Century Gothic" w:cs="Century Gothic"/>
                <w:color w:val="000000"/>
                <w:sz w:val="18"/>
                <w:szCs w:val="18"/>
              </w:rPr>
              <w:t>Refused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FE9D60"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E83F92"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DB99C2"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A67987" w14:textId="77777777" w:rsidR="001C19F3" w:rsidRDefault="001C19F3" w:rsidP="00521305">
            <w:pPr>
              <w:spacing w:before="40" w:after="40"/>
              <w:ind w:left="100" w:right="100"/>
              <w:jc w:val="center"/>
            </w:pP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590DF8B"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DCDDD7"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37752C"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796DA52" w14:textId="77777777" w:rsidR="001C19F3" w:rsidRDefault="001C19F3" w:rsidP="00521305">
            <w:pPr>
              <w:spacing w:after="0"/>
              <w:rPr>
                <w:sz w:val="22"/>
              </w:rPr>
            </w:pPr>
          </w:p>
        </w:tc>
      </w:tr>
      <w:tr w:rsidR="001C19F3" w14:paraId="1B435F6B"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1AB94C" w14:textId="77777777" w:rsidR="001C19F3" w:rsidRDefault="001C19F3" w:rsidP="00521305">
            <w:pPr>
              <w:spacing w:before="40" w:after="40"/>
              <w:ind w:left="100" w:right="100"/>
            </w:pPr>
            <w:r>
              <w:rPr>
                <w:rFonts w:eastAsia="Century Gothic" w:cs="Century Gothic"/>
                <w:b/>
                <w:color w:val="000000"/>
                <w:sz w:val="18"/>
                <w:szCs w:val="18"/>
              </w:rPr>
              <w:t>H14 PAM level</w:t>
            </w:r>
          </w:p>
        </w:tc>
      </w:tr>
      <w:tr w:rsidR="001C19F3" w14:paraId="620ACB25"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B0584D" w14:textId="77777777" w:rsidR="001C19F3" w:rsidRDefault="001C19F3" w:rsidP="00521305">
            <w:pPr>
              <w:spacing w:before="40" w:after="40"/>
              <w:ind w:left="160" w:right="100"/>
            </w:pPr>
            <w:r>
              <w:rPr>
                <w:rFonts w:eastAsia="Century Gothic" w:cs="Century Gothic"/>
                <w:color w:val="000000"/>
                <w:sz w:val="18"/>
                <w:szCs w:val="18"/>
              </w:rPr>
              <w:t>Disengaged and overwhelmed</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383FF0" w14:textId="77777777" w:rsidR="001C19F3" w:rsidRDefault="001C19F3" w:rsidP="00521305">
            <w:pPr>
              <w:spacing w:before="40" w:after="40"/>
              <w:ind w:left="100" w:right="100"/>
              <w:jc w:val="center"/>
            </w:pPr>
            <w:r>
              <w:rPr>
                <w:rFonts w:eastAsia="Century Gothic" w:cs="Century Gothic"/>
                <w:color w:val="000000"/>
                <w:sz w:val="18"/>
                <w:szCs w:val="18"/>
              </w:rPr>
              <w:t>111 (5.5%)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F9BC5A" w14:textId="77777777" w:rsidR="001C19F3" w:rsidRDefault="001C19F3" w:rsidP="00521305">
            <w:pPr>
              <w:spacing w:before="40" w:after="40"/>
              <w:ind w:left="100" w:right="100"/>
              <w:jc w:val="center"/>
            </w:pPr>
            <w:r>
              <w:rPr>
                <w:rFonts w:eastAsia="Century Gothic" w:cs="Century Gothic"/>
                <w:color w:val="000000"/>
                <w:sz w:val="18"/>
                <w:szCs w:val="18"/>
              </w:rPr>
              <w:t>12 (2.7%)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BB6ADD" w14:textId="77777777" w:rsidR="001C19F3" w:rsidRDefault="001C19F3" w:rsidP="00521305">
            <w:pPr>
              <w:spacing w:before="40" w:after="40"/>
              <w:ind w:left="100" w:right="100"/>
              <w:jc w:val="center"/>
            </w:pPr>
            <w:r>
              <w:rPr>
                <w:rFonts w:eastAsia="Century Gothic" w:cs="Century Gothic"/>
                <w:color w:val="000000"/>
                <w:sz w:val="18"/>
                <w:szCs w:val="18"/>
              </w:rPr>
              <w:t>46 (4.4%)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F7388" w14:textId="77777777" w:rsidR="001C19F3" w:rsidRDefault="001C19F3" w:rsidP="00521305">
            <w:pPr>
              <w:spacing w:before="40" w:after="40"/>
              <w:ind w:left="100" w:right="100"/>
              <w:jc w:val="center"/>
            </w:pPr>
            <w:r>
              <w:rPr>
                <w:rFonts w:eastAsia="Century Gothic" w:cs="Century Gothic"/>
                <w:color w:val="000000"/>
                <w:sz w:val="18"/>
                <w:szCs w:val="18"/>
              </w:rPr>
              <w:t>52 (11.0%)</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0011AE"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B321EC" w14:textId="77777777" w:rsidR="001C19F3" w:rsidRDefault="001C19F3" w:rsidP="00521305">
            <w:pPr>
              <w:spacing w:before="40" w:after="40"/>
              <w:ind w:left="100" w:right="100"/>
              <w:jc w:val="center"/>
            </w:pPr>
            <w:r>
              <w:rPr>
                <w:rFonts w:eastAsia="Century Gothic" w:cs="Century Gothic"/>
                <w:color w:val="000000"/>
                <w:sz w:val="18"/>
                <w:szCs w:val="18"/>
              </w:rPr>
              <w:t>67 (5.6%)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2908D1" w14:textId="77777777" w:rsidR="001C19F3" w:rsidRDefault="001C19F3" w:rsidP="00521305">
            <w:pPr>
              <w:spacing w:before="40" w:after="40"/>
              <w:ind w:left="100" w:right="100"/>
              <w:jc w:val="center"/>
            </w:pPr>
            <w:r>
              <w:rPr>
                <w:rFonts w:eastAsia="Century Gothic" w:cs="Century Gothic"/>
                <w:color w:val="000000"/>
                <w:sz w:val="18"/>
                <w:szCs w:val="18"/>
              </w:rPr>
              <w:t>44 (5.4%)</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44089A" w14:textId="77777777" w:rsidR="001C19F3" w:rsidRDefault="001C19F3" w:rsidP="00521305">
            <w:pPr>
              <w:spacing w:before="40" w:after="40"/>
              <w:ind w:left="100" w:right="100"/>
              <w:jc w:val="right"/>
            </w:pPr>
            <w:r>
              <w:rPr>
                <w:rFonts w:eastAsia="Century Gothic" w:cs="Century Gothic"/>
                <w:color w:val="000000"/>
                <w:sz w:val="18"/>
                <w:szCs w:val="18"/>
              </w:rPr>
              <w:t>0.020</w:t>
            </w:r>
          </w:p>
        </w:tc>
      </w:tr>
      <w:tr w:rsidR="001C19F3" w14:paraId="3BDF6668"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20240E" w14:textId="77777777" w:rsidR="001C19F3" w:rsidRDefault="001C19F3" w:rsidP="00521305">
            <w:pPr>
              <w:spacing w:before="40" w:after="40"/>
              <w:ind w:left="160" w:right="100"/>
            </w:pPr>
            <w:r>
              <w:rPr>
                <w:rFonts w:eastAsia="Century Gothic" w:cs="Century Gothic"/>
                <w:color w:val="000000"/>
                <w:sz w:val="18"/>
                <w:szCs w:val="18"/>
              </w:rPr>
              <w:t>Becoming aware but still struggling</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141038" w14:textId="77777777" w:rsidR="001C19F3" w:rsidRDefault="001C19F3" w:rsidP="00521305">
            <w:pPr>
              <w:spacing w:before="40" w:after="40"/>
              <w:ind w:left="100" w:right="100"/>
              <w:jc w:val="center"/>
            </w:pPr>
            <w:r>
              <w:rPr>
                <w:rFonts w:eastAsia="Century Gothic" w:cs="Century Gothic"/>
                <w:color w:val="000000"/>
                <w:sz w:val="18"/>
                <w:szCs w:val="18"/>
              </w:rPr>
              <w:t>393 (19.5%)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BEF3BD" w14:textId="77777777" w:rsidR="001C19F3" w:rsidRDefault="001C19F3" w:rsidP="00521305">
            <w:pPr>
              <w:spacing w:before="40" w:after="40"/>
              <w:ind w:left="100" w:right="100"/>
              <w:jc w:val="center"/>
            </w:pPr>
            <w:r>
              <w:rPr>
                <w:rFonts w:eastAsia="Century Gothic" w:cs="Century Gothic"/>
                <w:color w:val="000000"/>
                <w:sz w:val="18"/>
                <w:szCs w:val="18"/>
              </w:rPr>
              <w:t>82 (18.6%)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994066" w14:textId="77777777" w:rsidR="001C19F3" w:rsidRDefault="001C19F3" w:rsidP="00521305">
            <w:pPr>
              <w:spacing w:before="40" w:after="40"/>
              <w:ind w:left="100" w:right="100"/>
              <w:jc w:val="center"/>
            </w:pPr>
            <w:r>
              <w:rPr>
                <w:rFonts w:eastAsia="Century Gothic" w:cs="Century Gothic"/>
                <w:color w:val="000000"/>
                <w:sz w:val="18"/>
                <w:szCs w:val="18"/>
              </w:rPr>
              <w:t>203 (19.6%)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485F5F" w14:textId="77777777" w:rsidR="001C19F3" w:rsidRDefault="001C19F3" w:rsidP="00521305">
            <w:pPr>
              <w:spacing w:before="40" w:after="40"/>
              <w:ind w:left="100" w:right="100"/>
              <w:jc w:val="center"/>
            </w:pPr>
            <w:r>
              <w:rPr>
                <w:rFonts w:eastAsia="Century Gothic" w:cs="Century Gothic"/>
                <w:color w:val="000000"/>
                <w:sz w:val="18"/>
                <w:szCs w:val="18"/>
              </w:rPr>
              <w:t>95 (20.1%)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47FA2F2"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9AD2D1" w14:textId="77777777" w:rsidR="001C19F3" w:rsidRDefault="001C19F3" w:rsidP="00521305">
            <w:pPr>
              <w:spacing w:before="40" w:after="40"/>
              <w:ind w:left="100" w:right="100"/>
              <w:jc w:val="center"/>
            </w:pPr>
            <w:r>
              <w:rPr>
                <w:rFonts w:eastAsia="Century Gothic" w:cs="Century Gothic"/>
                <w:color w:val="000000"/>
                <w:sz w:val="18"/>
                <w:szCs w:val="18"/>
              </w:rPr>
              <w:t>260 (21.6%)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96588B" w14:textId="77777777" w:rsidR="001C19F3" w:rsidRDefault="001C19F3" w:rsidP="00521305">
            <w:pPr>
              <w:spacing w:before="40" w:after="40"/>
              <w:ind w:left="100" w:right="100"/>
              <w:jc w:val="center"/>
            </w:pPr>
            <w:r>
              <w:rPr>
                <w:rFonts w:eastAsia="Century Gothic" w:cs="Century Gothic"/>
                <w:color w:val="000000"/>
                <w:sz w:val="18"/>
                <w:szCs w:val="18"/>
              </w:rPr>
              <w:t>133 (16.4%)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FCFA44F" w14:textId="77777777" w:rsidR="001C19F3" w:rsidRDefault="001C19F3" w:rsidP="00521305">
            <w:pPr>
              <w:spacing w:after="0"/>
              <w:rPr>
                <w:sz w:val="22"/>
              </w:rPr>
            </w:pPr>
          </w:p>
        </w:tc>
      </w:tr>
      <w:tr w:rsidR="001C19F3" w14:paraId="67DE8C36"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68795A" w14:textId="77777777" w:rsidR="001C19F3" w:rsidRDefault="001C19F3" w:rsidP="00521305">
            <w:pPr>
              <w:spacing w:before="40" w:after="40"/>
              <w:ind w:left="160" w:right="100"/>
            </w:pPr>
            <w:r>
              <w:rPr>
                <w:rFonts w:eastAsia="Century Gothic" w:cs="Century Gothic"/>
                <w:color w:val="000000"/>
                <w:sz w:val="18"/>
                <w:szCs w:val="18"/>
              </w:rPr>
              <w:t>Taking action</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0435CE" w14:textId="77777777" w:rsidR="001C19F3" w:rsidRDefault="001C19F3" w:rsidP="00521305">
            <w:pPr>
              <w:spacing w:before="40" w:after="40"/>
              <w:ind w:left="100" w:right="100"/>
              <w:jc w:val="center"/>
            </w:pPr>
            <w:r>
              <w:rPr>
                <w:rFonts w:eastAsia="Century Gothic" w:cs="Century Gothic"/>
                <w:color w:val="000000"/>
                <w:sz w:val="18"/>
                <w:szCs w:val="18"/>
              </w:rPr>
              <w:t>825 (40.9%)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90FDF2" w14:textId="77777777" w:rsidR="001C19F3" w:rsidRDefault="001C19F3" w:rsidP="00521305">
            <w:pPr>
              <w:spacing w:before="40" w:after="40"/>
              <w:ind w:left="100" w:right="100"/>
              <w:jc w:val="center"/>
            </w:pPr>
            <w:r>
              <w:rPr>
                <w:rFonts w:eastAsia="Century Gothic" w:cs="Century Gothic"/>
                <w:color w:val="000000"/>
                <w:sz w:val="18"/>
                <w:szCs w:val="18"/>
              </w:rPr>
              <w:t>186 (42.1%)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6B0C26" w14:textId="77777777" w:rsidR="001C19F3" w:rsidRDefault="001C19F3" w:rsidP="00521305">
            <w:pPr>
              <w:spacing w:before="40" w:after="40"/>
              <w:ind w:left="100" w:right="100"/>
              <w:jc w:val="center"/>
            </w:pPr>
            <w:r>
              <w:rPr>
                <w:rFonts w:eastAsia="Century Gothic" w:cs="Century Gothic"/>
                <w:color w:val="000000"/>
                <w:sz w:val="18"/>
                <w:szCs w:val="18"/>
              </w:rPr>
              <w:t>430 (41.6%)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BDE27A" w14:textId="77777777" w:rsidR="001C19F3" w:rsidRDefault="001C19F3" w:rsidP="00521305">
            <w:pPr>
              <w:spacing w:before="40" w:after="40"/>
              <w:ind w:left="100" w:right="100"/>
              <w:jc w:val="center"/>
            </w:pPr>
            <w:r>
              <w:rPr>
                <w:rFonts w:eastAsia="Century Gothic" w:cs="Century Gothic"/>
                <w:color w:val="000000"/>
                <w:sz w:val="18"/>
                <w:szCs w:val="18"/>
              </w:rPr>
              <w:t>181 (38.3%)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0A61F89"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14B3F9" w14:textId="77777777" w:rsidR="001C19F3" w:rsidRDefault="001C19F3" w:rsidP="00521305">
            <w:pPr>
              <w:spacing w:before="40" w:after="40"/>
              <w:ind w:left="100" w:right="100"/>
              <w:jc w:val="center"/>
            </w:pPr>
            <w:r>
              <w:rPr>
                <w:rFonts w:eastAsia="Century Gothic" w:cs="Century Gothic"/>
                <w:color w:val="000000"/>
                <w:sz w:val="18"/>
                <w:szCs w:val="18"/>
              </w:rPr>
              <w:t>490 (40.6%)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490BD6" w14:textId="77777777" w:rsidR="001C19F3" w:rsidRDefault="001C19F3" w:rsidP="00521305">
            <w:pPr>
              <w:spacing w:before="40" w:after="40"/>
              <w:ind w:left="100" w:right="100"/>
              <w:jc w:val="center"/>
            </w:pPr>
            <w:r>
              <w:rPr>
                <w:rFonts w:eastAsia="Century Gothic" w:cs="Century Gothic"/>
                <w:color w:val="000000"/>
                <w:sz w:val="18"/>
                <w:szCs w:val="18"/>
              </w:rPr>
              <w:t>335 (41.3%)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E57C2F1" w14:textId="77777777" w:rsidR="001C19F3" w:rsidRDefault="001C19F3" w:rsidP="00521305">
            <w:pPr>
              <w:spacing w:after="0"/>
              <w:rPr>
                <w:sz w:val="22"/>
              </w:rPr>
            </w:pPr>
          </w:p>
        </w:tc>
      </w:tr>
      <w:tr w:rsidR="001C19F3" w14:paraId="3DB0310D"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B5ECB3" w14:textId="77777777" w:rsidR="001C19F3" w:rsidRDefault="001C19F3" w:rsidP="00521305">
            <w:pPr>
              <w:spacing w:before="40" w:after="40"/>
              <w:ind w:left="160" w:right="100"/>
            </w:pPr>
            <w:r>
              <w:rPr>
                <w:rFonts w:eastAsia="Century Gothic" w:cs="Century Gothic"/>
                <w:color w:val="000000"/>
                <w:sz w:val="18"/>
                <w:szCs w:val="18"/>
              </w:rPr>
              <w:t>Maintaining beh. &amp; pushing further</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467D3F" w14:textId="77777777" w:rsidR="001C19F3" w:rsidRDefault="001C19F3" w:rsidP="00521305">
            <w:pPr>
              <w:spacing w:before="40" w:after="40"/>
              <w:ind w:left="100" w:right="100"/>
              <w:jc w:val="center"/>
            </w:pPr>
            <w:r>
              <w:rPr>
                <w:rFonts w:eastAsia="Century Gothic" w:cs="Century Gothic"/>
                <w:color w:val="000000"/>
                <w:sz w:val="18"/>
                <w:szCs w:val="18"/>
              </w:rPr>
              <w:t>689 (34.1%)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3FBB24" w14:textId="77777777" w:rsidR="001C19F3" w:rsidRDefault="001C19F3" w:rsidP="00521305">
            <w:pPr>
              <w:spacing w:before="40" w:after="40"/>
              <w:ind w:left="100" w:right="100"/>
              <w:jc w:val="center"/>
            </w:pPr>
            <w:r>
              <w:rPr>
                <w:rFonts w:eastAsia="Century Gothic" w:cs="Century Gothic"/>
                <w:color w:val="000000"/>
                <w:sz w:val="18"/>
                <w:szCs w:val="18"/>
              </w:rPr>
              <w:t>162 (36.7%)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B4B70" w14:textId="77777777" w:rsidR="001C19F3" w:rsidRDefault="001C19F3" w:rsidP="00521305">
            <w:pPr>
              <w:spacing w:before="40" w:after="40"/>
              <w:ind w:left="100" w:right="100"/>
              <w:jc w:val="center"/>
            </w:pPr>
            <w:r>
              <w:rPr>
                <w:rFonts w:eastAsia="Century Gothic" w:cs="Century Gothic"/>
                <w:color w:val="000000"/>
                <w:sz w:val="18"/>
                <w:szCs w:val="18"/>
              </w:rPr>
              <w:t>355 (34.3%)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89EF17" w14:textId="77777777" w:rsidR="001C19F3" w:rsidRDefault="001C19F3" w:rsidP="00521305">
            <w:pPr>
              <w:spacing w:before="40" w:after="40"/>
              <w:ind w:left="100" w:right="100"/>
              <w:jc w:val="center"/>
            </w:pPr>
            <w:r>
              <w:rPr>
                <w:rFonts w:eastAsia="Century Gothic" w:cs="Century Gothic"/>
                <w:color w:val="000000"/>
                <w:sz w:val="18"/>
                <w:szCs w:val="18"/>
              </w:rPr>
              <w:t>144 (30.5%)</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4A6124F" w14:textId="77777777" w:rsidR="001C19F3" w:rsidRDefault="001C19F3" w:rsidP="00521305">
            <w:pPr>
              <w:spacing w:after="0"/>
              <w:rPr>
                <w:sz w:val="22"/>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192915" w14:textId="77777777" w:rsidR="001C19F3" w:rsidRDefault="001C19F3" w:rsidP="00521305">
            <w:pPr>
              <w:spacing w:before="40" w:after="40"/>
              <w:ind w:left="100" w:right="100"/>
              <w:jc w:val="center"/>
            </w:pPr>
            <w:r>
              <w:rPr>
                <w:rFonts w:eastAsia="Century Gothic" w:cs="Century Gothic"/>
                <w:color w:val="000000"/>
                <w:sz w:val="18"/>
                <w:szCs w:val="18"/>
              </w:rPr>
              <w:t>389 (32.3%)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49CFF1" w14:textId="77777777" w:rsidR="001C19F3" w:rsidRDefault="001C19F3" w:rsidP="00521305">
            <w:pPr>
              <w:spacing w:before="40" w:after="40"/>
              <w:ind w:left="100" w:right="100"/>
              <w:jc w:val="center"/>
            </w:pPr>
            <w:r>
              <w:rPr>
                <w:rFonts w:eastAsia="Century Gothic" w:cs="Century Gothic"/>
                <w:color w:val="000000"/>
                <w:sz w:val="18"/>
                <w:szCs w:val="18"/>
              </w:rPr>
              <w:t>300 (36.9%)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CBB04B3" w14:textId="77777777" w:rsidR="001C19F3" w:rsidRDefault="001C19F3" w:rsidP="00521305">
            <w:pPr>
              <w:spacing w:after="0"/>
              <w:rPr>
                <w:sz w:val="22"/>
              </w:rPr>
            </w:pPr>
          </w:p>
        </w:tc>
      </w:tr>
      <w:tr w:rsidR="001C19F3" w14:paraId="346D9990" w14:textId="77777777" w:rsidTr="00521305">
        <w:trPr>
          <w:cantSplit/>
          <w:trHeight w:val="20"/>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569A63" w14:textId="77777777" w:rsidR="001C19F3" w:rsidRDefault="001C19F3" w:rsidP="00521305">
            <w:pPr>
              <w:spacing w:before="40" w:after="40"/>
              <w:ind w:left="100" w:right="100"/>
            </w:pPr>
            <w:r>
              <w:rPr>
                <w:rFonts w:eastAsia="Century Gothic" w:cs="Century Gothic"/>
                <w:b/>
                <w:color w:val="000000"/>
                <w:sz w:val="18"/>
                <w:szCs w:val="18"/>
              </w:rPr>
              <w:t>H14 Total score (PAM)</w:t>
            </w:r>
          </w:p>
        </w:tc>
      </w:tr>
      <w:tr w:rsidR="001C19F3" w14:paraId="3580A094"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A8FBBB" w14:textId="77777777" w:rsidR="001C19F3" w:rsidRDefault="001C19F3" w:rsidP="00521305">
            <w:pPr>
              <w:spacing w:before="40" w:after="40"/>
              <w:ind w:left="160" w:right="100"/>
            </w:pPr>
            <w:r>
              <w:rPr>
                <w:rFonts w:cs="Century Gothic"/>
                <w:color w:val="000000"/>
                <w:sz w:val="18"/>
                <w:szCs w:val="18"/>
              </w:rPr>
              <w:t>Mean (median)</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CE2DA5" w14:textId="77777777" w:rsidR="001C19F3" w:rsidRDefault="001C19F3" w:rsidP="00521305">
            <w:pPr>
              <w:spacing w:before="40" w:after="40"/>
              <w:ind w:left="100" w:right="100"/>
              <w:jc w:val="center"/>
            </w:pPr>
            <w:r>
              <w:rPr>
                <w:rFonts w:cs="Century Gothic"/>
                <w:color w:val="000000"/>
                <w:sz w:val="18"/>
                <w:szCs w:val="18"/>
              </w:rPr>
              <w:t>66 (66)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B9DE66" w14:textId="77777777" w:rsidR="001C19F3" w:rsidRDefault="001C19F3" w:rsidP="00521305">
            <w:pPr>
              <w:spacing w:before="40" w:after="40"/>
              <w:ind w:left="100" w:right="100"/>
              <w:jc w:val="center"/>
            </w:pPr>
            <w:r>
              <w:rPr>
                <w:rFonts w:cs="Century Gothic"/>
                <w:color w:val="000000"/>
                <w:sz w:val="18"/>
                <w:szCs w:val="18"/>
              </w:rPr>
              <w:t>68 (66)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959F29" w14:textId="77777777" w:rsidR="001C19F3" w:rsidRDefault="001C19F3" w:rsidP="00521305">
            <w:pPr>
              <w:spacing w:before="40" w:after="40"/>
              <w:ind w:left="100" w:right="100"/>
              <w:jc w:val="center"/>
            </w:pPr>
            <w:r>
              <w:rPr>
                <w:rFonts w:cs="Century Gothic"/>
                <w:color w:val="000000"/>
                <w:sz w:val="18"/>
                <w:szCs w:val="18"/>
              </w:rPr>
              <w:t>66 (66)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07B2E7" w14:textId="77777777" w:rsidR="001C19F3" w:rsidRDefault="001C19F3" w:rsidP="00521305">
            <w:pPr>
              <w:spacing w:before="40" w:after="40"/>
              <w:ind w:left="100" w:right="100"/>
              <w:jc w:val="center"/>
            </w:pPr>
            <w:r>
              <w:rPr>
                <w:rFonts w:cs="Century Gothic"/>
                <w:color w:val="000000"/>
                <w:sz w:val="18"/>
                <w:szCs w:val="18"/>
              </w:rPr>
              <w:t>64 (62)</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66F493" w14:textId="77777777" w:rsidR="001C19F3" w:rsidRDefault="001C19F3" w:rsidP="00521305">
            <w:pPr>
              <w:spacing w:before="40" w:after="40"/>
              <w:ind w:left="100" w:right="100"/>
              <w:jc w:val="center"/>
            </w:pPr>
            <w:r>
              <w:rPr>
                <w:rFonts w:cs="Century Gothic"/>
                <w:color w:val="000000"/>
                <w:sz w:val="18"/>
                <w:szCs w:val="18"/>
              </w:rPr>
              <w:t>&lt;0.001</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C18F22" w14:textId="77777777" w:rsidR="001C19F3" w:rsidRDefault="001C19F3" w:rsidP="00521305">
            <w:pPr>
              <w:spacing w:before="40" w:after="40"/>
              <w:ind w:left="100" w:right="100"/>
              <w:jc w:val="center"/>
            </w:pPr>
            <w:r>
              <w:rPr>
                <w:rFonts w:cs="Century Gothic"/>
                <w:color w:val="000000"/>
                <w:sz w:val="18"/>
                <w:szCs w:val="18"/>
              </w:rPr>
              <w:t>66 (63)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9CDC1F" w14:textId="77777777" w:rsidR="001C19F3" w:rsidRDefault="001C19F3" w:rsidP="00521305">
            <w:pPr>
              <w:spacing w:before="40" w:after="40"/>
              <w:ind w:left="100" w:right="100"/>
              <w:jc w:val="center"/>
            </w:pPr>
            <w:r>
              <w:rPr>
                <w:rFonts w:cs="Century Gothic"/>
                <w:color w:val="000000"/>
                <w:sz w:val="18"/>
                <w:szCs w:val="18"/>
              </w:rPr>
              <w:t>67 (66)</w:t>
            </w: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B58A20" w14:textId="77777777" w:rsidR="001C19F3" w:rsidRDefault="001C19F3" w:rsidP="00521305">
            <w:pPr>
              <w:spacing w:before="40" w:after="40"/>
              <w:ind w:left="100" w:right="100"/>
              <w:jc w:val="right"/>
            </w:pPr>
            <w:r>
              <w:rPr>
                <w:rFonts w:cs="Century Gothic"/>
                <w:color w:val="000000"/>
                <w:sz w:val="18"/>
                <w:szCs w:val="18"/>
              </w:rPr>
              <w:t>0.003</w:t>
            </w:r>
          </w:p>
        </w:tc>
      </w:tr>
      <w:tr w:rsidR="001C19F3" w14:paraId="0CA2ED0B" w14:textId="77777777" w:rsidTr="00521305">
        <w:trPr>
          <w:cantSplit/>
          <w:trHeight w:val="20"/>
          <w:jc w:val="center"/>
        </w:trPr>
        <w:tc>
          <w:tcPr>
            <w:tcW w:w="39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9D1506" w14:textId="77777777" w:rsidR="001C19F3" w:rsidRDefault="001C19F3" w:rsidP="00521305">
            <w:pPr>
              <w:spacing w:before="40" w:after="40"/>
              <w:ind w:left="160" w:right="100"/>
            </w:pPr>
            <w:r>
              <w:rPr>
                <w:rFonts w:cs="Century Gothic"/>
                <w:color w:val="000000"/>
                <w:sz w:val="18"/>
                <w:szCs w:val="18"/>
              </w:rPr>
              <w:t>Missing</w:t>
            </w:r>
          </w:p>
        </w:tc>
        <w:tc>
          <w:tcPr>
            <w:tcW w:w="156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3C570D"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E47FB0" w14:textId="77777777" w:rsidR="001C19F3" w:rsidRDefault="001C19F3" w:rsidP="00521305">
            <w:pPr>
              <w:spacing w:before="40" w:after="40"/>
              <w:ind w:left="100" w:right="100"/>
              <w:jc w:val="center"/>
              <w:rPr>
                <w:rFonts w:eastAsia="Century Gothic" w:cs="Century Gothic"/>
                <w:color w:val="000000"/>
                <w:sz w:val="18"/>
                <w:szCs w:val="18"/>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03676C" w14:textId="77777777" w:rsidR="001C19F3" w:rsidRDefault="001C19F3" w:rsidP="00521305">
            <w:pPr>
              <w:spacing w:before="40" w:after="40"/>
              <w:ind w:left="100" w:right="100"/>
              <w:jc w:val="center"/>
              <w:rPr>
                <w:rFonts w:eastAsia="Century Gothic" w:cs="Century Gothic"/>
                <w:color w:val="000000"/>
                <w:sz w:val="18"/>
                <w:szCs w:val="18"/>
              </w:rP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A33D99" w14:textId="77777777" w:rsidR="001C19F3" w:rsidRDefault="001C19F3" w:rsidP="00521305">
            <w:pPr>
              <w:spacing w:before="40" w:after="40"/>
              <w:ind w:left="100" w:right="100"/>
              <w:jc w:val="center"/>
              <w:rPr>
                <w:rFonts w:eastAsia="Century Gothic" w:cs="Century Gothic"/>
                <w:color w:val="000000"/>
                <w:sz w:val="18"/>
                <w:szCs w:val="18"/>
              </w:rP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7F0C98" w14:textId="77777777" w:rsidR="001C19F3" w:rsidRDefault="001C19F3" w:rsidP="00521305">
            <w:pPr>
              <w:spacing w:before="40" w:after="40"/>
              <w:ind w:left="100" w:right="100"/>
              <w:jc w:val="center"/>
              <w:rPr>
                <w:rFonts w:eastAsia="Century Gothic" w:cs="Century Gothic"/>
                <w:color w:val="000000"/>
                <w:sz w:val="18"/>
                <w:szCs w:val="18"/>
              </w:rPr>
            </w:pP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130BE5" w14:textId="77777777" w:rsidR="001C19F3" w:rsidRDefault="001C19F3" w:rsidP="00521305">
            <w:pPr>
              <w:spacing w:before="40" w:after="40"/>
              <w:ind w:left="100" w:right="100"/>
              <w:jc w:val="right"/>
              <w:rPr>
                <w:rFonts w:eastAsia="Century Gothic" w:cs="Century Gothic"/>
                <w:color w:val="000000"/>
                <w:sz w:val="18"/>
                <w:szCs w:val="18"/>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BC2084" w14:textId="77777777" w:rsidR="001C19F3" w:rsidRDefault="001C19F3" w:rsidP="00521305">
            <w:pPr>
              <w:spacing w:before="40" w:after="40"/>
              <w:ind w:left="100" w:right="100"/>
              <w:jc w:val="right"/>
              <w:rPr>
                <w:rFonts w:eastAsia="Century Gothic" w:cs="Century Gothic"/>
                <w:color w:val="000000"/>
                <w:sz w:val="18"/>
                <w:szCs w:val="18"/>
              </w:rPr>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83701" w14:textId="77777777" w:rsidR="001C19F3" w:rsidRDefault="001C19F3" w:rsidP="00521305">
            <w:pPr>
              <w:spacing w:before="40" w:after="40"/>
              <w:ind w:left="100" w:right="100"/>
              <w:jc w:val="right"/>
              <w:rPr>
                <w:rFonts w:eastAsia="Century Gothic" w:cs="Century Gothic"/>
                <w:color w:val="000000"/>
                <w:sz w:val="18"/>
                <w:szCs w:val="18"/>
              </w:rPr>
            </w:pPr>
          </w:p>
        </w:tc>
      </w:tr>
    </w:tbl>
    <w:p w14:paraId="616C8401"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1B10FF5F" w14:textId="77777777" w:rsidR="001C19F3" w:rsidRDefault="001C19F3" w:rsidP="00EE4B33">
      <w:pPr>
        <w:pStyle w:val="Caption1"/>
        <w:spacing w:after="0"/>
      </w:pPr>
      <w:r>
        <w:t xml:space="preserve">Table </w:t>
      </w:r>
      <w:r>
        <w:fldChar w:fldCharType="begin"/>
      </w:r>
      <w:r>
        <w:instrText>SEQ Table \* ARABIC</w:instrText>
      </w:r>
      <w:r>
        <w:fldChar w:fldCharType="separate"/>
      </w:r>
      <w:r>
        <w:rPr>
          <w:noProof/>
        </w:rPr>
        <w:t>68</w:t>
      </w:r>
      <w:r>
        <w:fldChar w:fldCharType="end"/>
      </w:r>
      <w:r>
        <w:t xml:space="preserve"> – Hospital utilisation by patient HCH tier and practice size</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0ECE0C60" w14:textId="77777777" w:rsidTr="00521305">
        <w:trPr>
          <w:cantSplit/>
          <w:trHeight w:val="333"/>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6218D4A" w14:textId="77777777" w:rsidR="001C19F3" w:rsidRDefault="001C19F3" w:rsidP="00521305">
            <w:pPr>
              <w:spacing w:after="0"/>
              <w:jc w:val="center"/>
            </w:pPr>
            <w:r>
              <w:rPr>
                <w:rFonts w:eastAsia="Century Gothic" w:cs="Century Gothic"/>
                <w:b/>
                <w:color w:val="FFFFFF"/>
                <w:sz w:val="18"/>
                <w:szCs w:val="18"/>
              </w:rPr>
              <w:t>Hospital utilisation</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364F6A"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914EFA"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78FB2DF" w14:textId="77777777" w:rsidR="001C19F3" w:rsidRDefault="001C19F3" w:rsidP="00521305">
            <w:pPr>
              <w:spacing w:after="0"/>
              <w:jc w:val="center"/>
            </w:pPr>
            <w:r>
              <w:rPr>
                <w:rFonts w:eastAsia="Century Gothic" w:cs="Century Gothic"/>
                <w:b/>
                <w:color w:val="FFFFFF"/>
                <w:sz w:val="18"/>
                <w:szCs w:val="18"/>
              </w:rPr>
              <w:t>Size</w:t>
            </w:r>
          </w:p>
        </w:tc>
      </w:tr>
      <w:tr w:rsidR="001C19F3" w14:paraId="689C3CB0" w14:textId="77777777" w:rsidTr="00521305">
        <w:trPr>
          <w:cantSplit/>
          <w:trHeight w:val="336"/>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1BD7FEA"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2DE100F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BEEA5C0"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597C0E" w14:textId="77777777" w:rsidR="001C19F3" w:rsidRDefault="001C19F3" w:rsidP="00521305">
            <w:pPr>
              <w:spacing w:after="0"/>
              <w:jc w:val="center"/>
            </w:pPr>
            <w:r>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CF925F6" w14:textId="77777777" w:rsidR="001C19F3" w:rsidRDefault="001C19F3" w:rsidP="00521305">
            <w:pPr>
              <w:spacing w:after="0"/>
              <w:jc w:val="center"/>
            </w:pPr>
            <w:r>
              <w:rPr>
                <w:rFonts w:eastAsia="Century Gothic" w:cs="Century Gothic"/>
                <w:b/>
                <w:color w:val="FFFFFF"/>
                <w:sz w:val="18"/>
                <w:szCs w:val="18"/>
              </w:rPr>
              <w:t>Tier 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D323864"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AAA2F10"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DDC77BD"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DEA8279"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CB473F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D118E2" w14:textId="77777777" w:rsidR="001C19F3" w:rsidRDefault="001C19F3" w:rsidP="00521305">
            <w:pPr>
              <w:spacing w:before="40" w:after="40"/>
              <w:ind w:left="100" w:right="100"/>
            </w:pPr>
            <w:r>
              <w:rPr>
                <w:rFonts w:eastAsia="Century Gothic" w:cs="Century Gothic"/>
                <w:b/>
                <w:color w:val="000000"/>
                <w:sz w:val="18"/>
                <w:szCs w:val="18"/>
              </w:rPr>
              <w:t>I1 Patient attended an emergency department for their own medical care in last 12 months (Q23)</w:t>
            </w:r>
          </w:p>
        </w:tc>
      </w:tr>
      <w:tr w:rsidR="001C19F3" w14:paraId="507774B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D27B3E"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CEB432" w14:textId="77777777" w:rsidR="001C19F3" w:rsidRDefault="001C19F3" w:rsidP="00521305">
            <w:pPr>
              <w:spacing w:before="40" w:after="40"/>
              <w:ind w:left="100" w:right="100"/>
              <w:jc w:val="center"/>
            </w:pPr>
            <w:r>
              <w:rPr>
                <w:rFonts w:eastAsia="Century Gothic" w:cs="Century Gothic"/>
                <w:color w:val="000000"/>
                <w:sz w:val="18"/>
                <w:szCs w:val="18"/>
              </w:rPr>
              <w:t>728 (36.1%)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E39E42" w14:textId="77777777" w:rsidR="001C19F3" w:rsidRDefault="001C19F3" w:rsidP="00521305">
            <w:pPr>
              <w:spacing w:before="40" w:after="40"/>
              <w:ind w:left="100" w:right="100"/>
              <w:jc w:val="center"/>
            </w:pPr>
            <w:r>
              <w:rPr>
                <w:rFonts w:eastAsia="Century Gothic" w:cs="Century Gothic"/>
                <w:color w:val="000000"/>
                <w:sz w:val="18"/>
                <w:szCs w:val="18"/>
              </w:rPr>
              <w:t>121 (27.4%)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3B2E61" w14:textId="77777777" w:rsidR="001C19F3" w:rsidRDefault="001C19F3" w:rsidP="00521305">
            <w:pPr>
              <w:spacing w:before="40" w:after="40"/>
              <w:ind w:left="100" w:right="100"/>
              <w:jc w:val="center"/>
            </w:pPr>
            <w:r>
              <w:rPr>
                <w:rFonts w:eastAsia="Century Gothic" w:cs="Century Gothic"/>
                <w:color w:val="000000"/>
                <w:sz w:val="18"/>
                <w:szCs w:val="18"/>
              </w:rPr>
              <w:t>361 (34.9%)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6EFA5C" w14:textId="77777777" w:rsidR="001C19F3" w:rsidRDefault="001C19F3" w:rsidP="00521305">
            <w:pPr>
              <w:spacing w:before="40" w:after="40"/>
              <w:ind w:left="100" w:right="100"/>
              <w:jc w:val="center"/>
            </w:pPr>
            <w:r>
              <w:rPr>
                <w:rFonts w:eastAsia="Century Gothic" w:cs="Century Gothic"/>
                <w:color w:val="000000"/>
                <w:sz w:val="18"/>
                <w:szCs w:val="18"/>
              </w:rPr>
              <w:t>222 (47.0%)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875AF6"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B96A67" w14:textId="77777777" w:rsidR="001C19F3" w:rsidRDefault="001C19F3" w:rsidP="00521305">
            <w:pPr>
              <w:spacing w:before="40" w:after="40"/>
              <w:ind w:left="100" w:right="100"/>
              <w:jc w:val="right"/>
            </w:pPr>
            <w:r>
              <w:rPr>
                <w:rFonts w:eastAsia="Century Gothic" w:cs="Century Gothic"/>
                <w:color w:val="000000"/>
                <w:sz w:val="18"/>
                <w:szCs w:val="18"/>
              </w:rPr>
              <w:t>431 (35.7%)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33E5DB" w14:textId="77777777" w:rsidR="001C19F3" w:rsidRDefault="001C19F3" w:rsidP="00521305">
            <w:pPr>
              <w:spacing w:before="40" w:after="40"/>
              <w:ind w:left="100" w:right="100"/>
              <w:jc w:val="right"/>
            </w:pPr>
            <w:r>
              <w:rPr>
                <w:rFonts w:eastAsia="Century Gothic" w:cs="Century Gothic"/>
                <w:color w:val="000000"/>
                <w:sz w:val="18"/>
                <w:szCs w:val="18"/>
              </w:rPr>
              <w:t>297 (36.6%)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05E6E3" w14:textId="77777777" w:rsidR="001C19F3" w:rsidRDefault="001C19F3" w:rsidP="00521305">
            <w:pPr>
              <w:spacing w:before="40" w:after="40"/>
              <w:ind w:left="100" w:right="100"/>
              <w:jc w:val="right"/>
            </w:pPr>
            <w:r>
              <w:rPr>
                <w:rFonts w:eastAsia="Century Gothic" w:cs="Century Gothic"/>
                <w:color w:val="000000"/>
                <w:sz w:val="18"/>
                <w:szCs w:val="18"/>
              </w:rPr>
              <w:t>0.736</w:t>
            </w:r>
          </w:p>
        </w:tc>
      </w:tr>
      <w:tr w:rsidR="001C19F3" w14:paraId="0A30357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C4AF9A"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915FBE" w14:textId="77777777" w:rsidR="001C19F3" w:rsidRDefault="001C19F3" w:rsidP="00521305">
            <w:pPr>
              <w:spacing w:before="40" w:after="40"/>
              <w:ind w:left="100" w:right="100"/>
              <w:jc w:val="center"/>
            </w:pPr>
            <w:r>
              <w:rPr>
                <w:rFonts w:eastAsia="Century Gothic" w:cs="Century Gothic"/>
                <w:color w:val="000000"/>
                <w:sz w:val="18"/>
                <w:szCs w:val="18"/>
              </w:rPr>
              <w:t>1,290 (63.9%)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12C9BA" w14:textId="77777777" w:rsidR="001C19F3" w:rsidRDefault="001C19F3" w:rsidP="00521305">
            <w:pPr>
              <w:spacing w:before="40" w:after="40"/>
              <w:ind w:left="100" w:right="100"/>
              <w:jc w:val="center"/>
            </w:pPr>
            <w:r>
              <w:rPr>
                <w:rFonts w:eastAsia="Century Gothic" w:cs="Century Gothic"/>
                <w:color w:val="000000"/>
                <w:sz w:val="18"/>
                <w:szCs w:val="18"/>
              </w:rPr>
              <w:t>321 (72.6%)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D1A5E8" w14:textId="77777777" w:rsidR="001C19F3" w:rsidRDefault="001C19F3" w:rsidP="00521305">
            <w:pPr>
              <w:spacing w:before="40" w:after="40"/>
              <w:ind w:left="100" w:right="100"/>
              <w:jc w:val="center"/>
            </w:pPr>
            <w:r>
              <w:rPr>
                <w:rFonts w:eastAsia="Century Gothic" w:cs="Century Gothic"/>
                <w:color w:val="000000"/>
                <w:sz w:val="18"/>
                <w:szCs w:val="18"/>
              </w:rPr>
              <w:t>673 (65.1%)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69E1C" w14:textId="77777777" w:rsidR="001C19F3" w:rsidRDefault="001C19F3" w:rsidP="00521305">
            <w:pPr>
              <w:spacing w:before="40" w:after="40"/>
              <w:ind w:left="100" w:right="100"/>
              <w:jc w:val="center"/>
            </w:pPr>
            <w:r>
              <w:rPr>
                <w:rFonts w:eastAsia="Century Gothic" w:cs="Century Gothic"/>
                <w:color w:val="000000"/>
                <w:sz w:val="18"/>
                <w:szCs w:val="18"/>
              </w:rPr>
              <w:t>250 (53.0%)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D7C5B8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D0558F" w14:textId="77777777" w:rsidR="001C19F3" w:rsidRDefault="001C19F3" w:rsidP="00521305">
            <w:pPr>
              <w:spacing w:before="40" w:after="40"/>
              <w:ind w:left="100" w:right="100"/>
              <w:jc w:val="right"/>
            </w:pPr>
            <w:r>
              <w:rPr>
                <w:rFonts w:eastAsia="Century Gothic" w:cs="Century Gothic"/>
                <w:color w:val="000000"/>
                <w:sz w:val="18"/>
                <w:szCs w:val="18"/>
              </w:rPr>
              <w:t>775 (64.3%)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6F3108" w14:textId="77777777" w:rsidR="001C19F3" w:rsidRDefault="001C19F3" w:rsidP="00521305">
            <w:pPr>
              <w:spacing w:before="40" w:after="40"/>
              <w:ind w:left="100" w:right="100"/>
              <w:jc w:val="right"/>
            </w:pPr>
            <w:r>
              <w:rPr>
                <w:rFonts w:eastAsia="Century Gothic" w:cs="Century Gothic"/>
                <w:color w:val="000000"/>
                <w:sz w:val="18"/>
                <w:szCs w:val="18"/>
              </w:rPr>
              <w:t>515 (63.4%)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B8D0D4" w14:textId="77777777" w:rsidR="001C19F3" w:rsidRDefault="001C19F3" w:rsidP="00521305">
            <w:pPr>
              <w:spacing w:after="0"/>
              <w:rPr>
                <w:sz w:val="22"/>
              </w:rPr>
            </w:pPr>
          </w:p>
        </w:tc>
      </w:tr>
      <w:tr w:rsidR="001C19F3" w14:paraId="0CDA6C3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F4DD9" w14:textId="77777777" w:rsidR="001C19F3" w:rsidRDefault="001C19F3" w:rsidP="00521305">
            <w:pPr>
              <w:spacing w:before="40" w:after="40"/>
              <w:ind w:left="100" w:right="100"/>
            </w:pPr>
            <w:r>
              <w:rPr>
                <w:rFonts w:eastAsia="Century Gothic" w:cs="Century Gothic"/>
                <w:b/>
                <w:color w:val="000000"/>
                <w:sz w:val="18"/>
                <w:szCs w:val="18"/>
              </w:rPr>
              <w:t>I2 Patient stayed one or more nights in hospital in last 12 months (Q23)</w:t>
            </w:r>
          </w:p>
        </w:tc>
      </w:tr>
      <w:tr w:rsidR="001C19F3" w14:paraId="48794ED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75CFCC"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B194D5" w14:textId="77777777" w:rsidR="001C19F3" w:rsidRDefault="001C19F3" w:rsidP="00521305">
            <w:pPr>
              <w:spacing w:before="40" w:after="40"/>
              <w:ind w:left="100" w:right="100"/>
              <w:jc w:val="center"/>
            </w:pPr>
            <w:r>
              <w:rPr>
                <w:rFonts w:eastAsia="Century Gothic" w:cs="Century Gothic"/>
                <w:color w:val="000000"/>
                <w:sz w:val="18"/>
                <w:szCs w:val="18"/>
              </w:rPr>
              <w:t>628 (31.1%)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A79368" w14:textId="77777777" w:rsidR="001C19F3" w:rsidRDefault="001C19F3" w:rsidP="00521305">
            <w:pPr>
              <w:spacing w:before="40" w:after="40"/>
              <w:ind w:left="100" w:right="100"/>
              <w:jc w:val="center"/>
            </w:pPr>
            <w:r>
              <w:rPr>
                <w:rFonts w:eastAsia="Century Gothic" w:cs="Century Gothic"/>
                <w:color w:val="000000"/>
                <w:sz w:val="18"/>
                <w:szCs w:val="18"/>
              </w:rPr>
              <w:t>88 (19.9%)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EE980" w14:textId="77777777" w:rsidR="001C19F3" w:rsidRDefault="001C19F3" w:rsidP="00521305">
            <w:pPr>
              <w:spacing w:before="40" w:after="40"/>
              <w:ind w:left="100" w:right="100"/>
              <w:jc w:val="center"/>
            </w:pPr>
            <w:r>
              <w:rPr>
                <w:rFonts w:eastAsia="Century Gothic" w:cs="Century Gothic"/>
                <w:color w:val="000000"/>
                <w:sz w:val="18"/>
                <w:szCs w:val="18"/>
              </w:rPr>
              <w:t>314 (30.4%)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E0C2EB" w14:textId="77777777" w:rsidR="001C19F3" w:rsidRDefault="001C19F3" w:rsidP="00521305">
            <w:pPr>
              <w:spacing w:before="40" w:after="40"/>
              <w:ind w:left="100" w:right="100"/>
              <w:jc w:val="center"/>
            </w:pPr>
            <w:r>
              <w:rPr>
                <w:rFonts w:eastAsia="Century Gothic" w:cs="Century Gothic"/>
                <w:color w:val="000000"/>
                <w:sz w:val="18"/>
                <w:szCs w:val="18"/>
              </w:rPr>
              <w:t>201 (42.6%)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A28F1B"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58E190" w14:textId="77777777" w:rsidR="001C19F3" w:rsidRDefault="001C19F3" w:rsidP="00521305">
            <w:pPr>
              <w:spacing w:before="40" w:after="40"/>
              <w:ind w:left="100" w:right="100"/>
              <w:jc w:val="right"/>
            </w:pPr>
            <w:r>
              <w:rPr>
                <w:rFonts w:eastAsia="Century Gothic" w:cs="Century Gothic"/>
                <w:color w:val="000000"/>
                <w:sz w:val="18"/>
                <w:szCs w:val="18"/>
              </w:rPr>
              <w:t>391 (32.4%)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D23A96" w14:textId="77777777" w:rsidR="001C19F3" w:rsidRDefault="001C19F3" w:rsidP="00521305">
            <w:pPr>
              <w:spacing w:before="40" w:after="40"/>
              <w:ind w:left="100" w:right="100"/>
              <w:jc w:val="right"/>
            </w:pPr>
            <w:r>
              <w:rPr>
                <w:rFonts w:eastAsia="Century Gothic" w:cs="Century Gothic"/>
                <w:color w:val="000000"/>
                <w:sz w:val="18"/>
                <w:szCs w:val="18"/>
              </w:rPr>
              <w:t>237 (29.2%)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1E6E46" w14:textId="77777777" w:rsidR="001C19F3" w:rsidRDefault="001C19F3" w:rsidP="00521305">
            <w:pPr>
              <w:spacing w:before="40" w:after="40"/>
              <w:ind w:left="100" w:right="100"/>
              <w:jc w:val="right"/>
            </w:pPr>
            <w:r>
              <w:rPr>
                <w:rFonts w:eastAsia="Century Gothic" w:cs="Century Gothic"/>
                <w:color w:val="000000"/>
                <w:sz w:val="18"/>
                <w:szCs w:val="18"/>
              </w:rPr>
              <w:t>0.136</w:t>
            </w:r>
          </w:p>
        </w:tc>
      </w:tr>
      <w:tr w:rsidR="001C19F3" w14:paraId="3C0A221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D27F05"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5FD8C1" w14:textId="77777777" w:rsidR="001C19F3" w:rsidRDefault="001C19F3" w:rsidP="00521305">
            <w:pPr>
              <w:spacing w:before="40" w:after="40"/>
              <w:ind w:left="100" w:right="100"/>
              <w:jc w:val="center"/>
            </w:pPr>
            <w:r>
              <w:rPr>
                <w:rFonts w:eastAsia="Century Gothic" w:cs="Century Gothic"/>
                <w:color w:val="000000"/>
                <w:sz w:val="18"/>
                <w:szCs w:val="18"/>
              </w:rPr>
              <w:t>1,390 (68.9%)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0B3A5B" w14:textId="77777777" w:rsidR="001C19F3" w:rsidRDefault="001C19F3" w:rsidP="00521305">
            <w:pPr>
              <w:spacing w:before="40" w:after="40"/>
              <w:ind w:left="100" w:right="100"/>
              <w:jc w:val="center"/>
            </w:pPr>
            <w:r>
              <w:rPr>
                <w:rFonts w:eastAsia="Century Gothic" w:cs="Century Gothic"/>
                <w:color w:val="000000"/>
                <w:sz w:val="18"/>
                <w:szCs w:val="18"/>
              </w:rPr>
              <w:t>354 (80.1%)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CA9185" w14:textId="77777777" w:rsidR="001C19F3" w:rsidRDefault="001C19F3" w:rsidP="00521305">
            <w:pPr>
              <w:spacing w:before="40" w:after="40"/>
              <w:ind w:left="100" w:right="100"/>
              <w:jc w:val="center"/>
            </w:pPr>
            <w:r>
              <w:rPr>
                <w:rFonts w:eastAsia="Century Gothic" w:cs="Century Gothic"/>
                <w:color w:val="000000"/>
                <w:sz w:val="18"/>
                <w:szCs w:val="18"/>
              </w:rPr>
              <w:t>720 (69.6%)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3D7AB3" w14:textId="77777777" w:rsidR="001C19F3" w:rsidRDefault="001C19F3" w:rsidP="00521305">
            <w:pPr>
              <w:spacing w:before="40" w:after="40"/>
              <w:ind w:left="100" w:right="100"/>
              <w:jc w:val="center"/>
            </w:pPr>
            <w:r>
              <w:rPr>
                <w:rFonts w:eastAsia="Century Gothic" w:cs="Century Gothic"/>
                <w:color w:val="000000"/>
                <w:sz w:val="18"/>
                <w:szCs w:val="18"/>
              </w:rPr>
              <w:t>271 (57.4%)</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E9907A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C6AD31" w14:textId="77777777" w:rsidR="001C19F3" w:rsidRDefault="001C19F3" w:rsidP="00521305">
            <w:pPr>
              <w:spacing w:before="40" w:after="40"/>
              <w:ind w:left="100" w:right="100"/>
              <w:jc w:val="right"/>
            </w:pPr>
            <w:r>
              <w:rPr>
                <w:rFonts w:eastAsia="Century Gothic" w:cs="Century Gothic"/>
                <w:color w:val="000000"/>
                <w:sz w:val="18"/>
                <w:szCs w:val="18"/>
              </w:rPr>
              <w:t>815 (67.6%)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EEF463" w14:textId="77777777" w:rsidR="001C19F3" w:rsidRDefault="001C19F3" w:rsidP="00521305">
            <w:pPr>
              <w:spacing w:before="40" w:after="40"/>
              <w:ind w:left="100" w:right="100"/>
              <w:jc w:val="right"/>
            </w:pPr>
            <w:r>
              <w:rPr>
                <w:rFonts w:eastAsia="Century Gothic" w:cs="Century Gothic"/>
                <w:color w:val="000000"/>
                <w:sz w:val="18"/>
                <w:szCs w:val="18"/>
              </w:rPr>
              <w:t>575 (70.8%)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224DA9" w14:textId="77777777" w:rsidR="001C19F3" w:rsidRDefault="001C19F3" w:rsidP="00521305">
            <w:pPr>
              <w:spacing w:after="0"/>
              <w:rPr>
                <w:sz w:val="22"/>
              </w:rPr>
            </w:pPr>
          </w:p>
        </w:tc>
      </w:tr>
    </w:tbl>
    <w:p w14:paraId="6BCB8494"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79AA1DFE" w14:textId="77777777" w:rsidR="001C19F3" w:rsidRDefault="001C19F3" w:rsidP="001C19F3">
      <w:pPr>
        <w:pStyle w:val="Caption1"/>
      </w:pPr>
      <w:bookmarkStart w:id="605" w:name="_Ref22808408"/>
      <w:r>
        <w:lastRenderedPageBreak/>
        <w:t xml:space="preserve">Table </w:t>
      </w:r>
      <w:r>
        <w:fldChar w:fldCharType="begin"/>
      </w:r>
      <w:r>
        <w:instrText>SEQ Table \* ARABIC</w:instrText>
      </w:r>
      <w:r>
        <w:fldChar w:fldCharType="separate"/>
      </w:r>
      <w:r>
        <w:rPr>
          <w:noProof/>
        </w:rPr>
        <w:t>69</w:t>
      </w:r>
      <w:r>
        <w:fldChar w:fldCharType="end"/>
      </w:r>
      <w:bookmarkEnd w:id="605"/>
      <w:r>
        <w:t xml:space="preserve"> – Patient assessment of chronic illness care (PACIC) by patient HCH tier and practice size</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12C1AC93"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E4D9FC6" w14:textId="77777777" w:rsidR="001C19F3" w:rsidRDefault="001C19F3" w:rsidP="00521305">
            <w:pPr>
              <w:spacing w:after="0"/>
              <w:jc w:val="center"/>
            </w:pPr>
            <w:r>
              <w:rPr>
                <w:rFonts w:eastAsia="Century Gothic" w:cs="Century Gothic"/>
                <w:b/>
                <w:color w:val="FFFFFF"/>
                <w:sz w:val="18"/>
                <w:szCs w:val="18"/>
              </w:rPr>
              <w:t>PACIC item</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2F72434"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34BE59"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7745E7" w14:textId="77777777" w:rsidR="001C19F3" w:rsidRDefault="001C19F3" w:rsidP="00521305">
            <w:pPr>
              <w:spacing w:after="0"/>
              <w:jc w:val="center"/>
            </w:pPr>
            <w:r>
              <w:rPr>
                <w:rFonts w:eastAsia="Century Gothic" w:cs="Century Gothic"/>
                <w:b/>
                <w:color w:val="FFFFFF"/>
                <w:sz w:val="18"/>
                <w:szCs w:val="18"/>
              </w:rPr>
              <w:t>Size</w:t>
            </w:r>
          </w:p>
        </w:tc>
      </w:tr>
      <w:tr w:rsidR="001C19F3" w14:paraId="6806EFB5" w14:textId="77777777" w:rsidTr="00521305">
        <w:trPr>
          <w:cantSplit/>
          <w:trHeight w:val="336"/>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2B064E68"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FABEC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76A234"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B3975A9" w14:textId="77777777" w:rsidR="001C19F3" w:rsidRDefault="001C19F3" w:rsidP="00521305">
            <w:pPr>
              <w:spacing w:after="0"/>
              <w:jc w:val="center"/>
            </w:pPr>
            <w:r>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663CD41" w14:textId="77777777" w:rsidR="001C19F3" w:rsidRDefault="001C19F3" w:rsidP="00521305">
            <w:pPr>
              <w:spacing w:after="0"/>
              <w:jc w:val="center"/>
            </w:pPr>
            <w:r>
              <w:rPr>
                <w:rFonts w:eastAsia="Century Gothic" w:cs="Century Gothic"/>
                <w:b/>
                <w:color w:val="FFFFFF"/>
                <w:sz w:val="18"/>
                <w:szCs w:val="18"/>
              </w:rPr>
              <w:t>Tier 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C60FED"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5DE4B8"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71C36CB"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06EDC50"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6DF59B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26DC53" w14:textId="77777777" w:rsidR="001C19F3" w:rsidRDefault="001C19F3" w:rsidP="00521305">
            <w:pPr>
              <w:spacing w:before="40" w:after="40"/>
              <w:ind w:left="100" w:right="100"/>
            </w:pPr>
            <w:r>
              <w:rPr>
                <w:rFonts w:eastAsia="Century Gothic" w:cs="Century Gothic"/>
                <w:b/>
                <w:color w:val="000000"/>
                <w:sz w:val="18"/>
                <w:szCs w:val="18"/>
              </w:rPr>
              <w:t>J01 I was asked for my ideas when we made decisions about my treatment (Q11)</w:t>
            </w:r>
          </w:p>
        </w:tc>
      </w:tr>
      <w:tr w:rsidR="001C19F3" w14:paraId="1D1B0D4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824542"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A7C526" w14:textId="77777777" w:rsidR="001C19F3" w:rsidRDefault="001C19F3" w:rsidP="00521305">
            <w:pPr>
              <w:spacing w:before="40" w:after="40"/>
              <w:ind w:left="100" w:right="100"/>
              <w:jc w:val="center"/>
            </w:pPr>
            <w:r>
              <w:rPr>
                <w:rFonts w:eastAsia="Century Gothic" w:cs="Century Gothic"/>
                <w:color w:val="000000"/>
                <w:sz w:val="18"/>
                <w:szCs w:val="18"/>
              </w:rPr>
              <w:t>287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432A47" w14:textId="77777777" w:rsidR="001C19F3" w:rsidRDefault="001C19F3" w:rsidP="00521305">
            <w:pPr>
              <w:spacing w:before="40" w:after="40"/>
              <w:ind w:left="100" w:right="100"/>
              <w:jc w:val="center"/>
            </w:pPr>
            <w:r>
              <w:rPr>
                <w:rFonts w:eastAsia="Century Gothic" w:cs="Century Gothic"/>
                <w:color w:val="000000"/>
                <w:sz w:val="18"/>
                <w:szCs w:val="18"/>
              </w:rPr>
              <w:t>80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B9E013" w14:textId="77777777" w:rsidR="001C19F3" w:rsidRDefault="001C19F3" w:rsidP="00521305">
            <w:pPr>
              <w:spacing w:before="40" w:after="40"/>
              <w:ind w:left="100" w:right="100"/>
              <w:jc w:val="center"/>
            </w:pPr>
            <w:r>
              <w:rPr>
                <w:rFonts w:eastAsia="Century Gothic" w:cs="Century Gothic"/>
                <w:color w:val="000000"/>
                <w:sz w:val="18"/>
                <w:szCs w:val="18"/>
              </w:rPr>
              <w:t>144 (15.1%)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D62387" w14:textId="77777777" w:rsidR="001C19F3" w:rsidRDefault="001C19F3" w:rsidP="00521305">
            <w:pPr>
              <w:spacing w:before="40" w:after="40"/>
              <w:ind w:left="100" w:right="100"/>
              <w:jc w:val="center"/>
            </w:pPr>
            <w:r>
              <w:rPr>
                <w:rFonts w:eastAsia="Century Gothic" w:cs="Century Gothic"/>
                <w:color w:val="000000"/>
                <w:sz w:val="18"/>
                <w:szCs w:val="18"/>
              </w:rPr>
              <w:t>59 (13.5%)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1DB7CC" w14:textId="77777777" w:rsidR="001C19F3" w:rsidRDefault="001C19F3" w:rsidP="00521305">
            <w:pPr>
              <w:spacing w:before="40" w:after="40"/>
              <w:ind w:left="100" w:right="100"/>
              <w:jc w:val="center"/>
            </w:pPr>
            <w:r>
              <w:rPr>
                <w:rFonts w:eastAsia="Century Gothic" w:cs="Century Gothic"/>
                <w:color w:val="000000"/>
                <w:sz w:val="18"/>
                <w:szCs w:val="18"/>
              </w:rPr>
              <w:t>0.438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21116F" w14:textId="77777777" w:rsidR="001C19F3" w:rsidRDefault="001C19F3" w:rsidP="00521305">
            <w:pPr>
              <w:spacing w:before="40" w:after="40"/>
              <w:ind w:left="100" w:right="100"/>
              <w:jc w:val="right"/>
            </w:pPr>
            <w:r>
              <w:rPr>
                <w:rFonts w:eastAsia="Century Gothic" w:cs="Century Gothic"/>
                <w:color w:val="000000"/>
                <w:sz w:val="18"/>
                <w:szCs w:val="18"/>
              </w:rPr>
              <w:t>187 (16.8%)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A6A0C5" w14:textId="77777777" w:rsidR="001C19F3" w:rsidRDefault="001C19F3" w:rsidP="00521305">
            <w:pPr>
              <w:spacing w:before="40" w:after="40"/>
              <w:ind w:left="100" w:right="100"/>
              <w:jc w:val="right"/>
            </w:pPr>
            <w:r>
              <w:rPr>
                <w:rFonts w:eastAsia="Century Gothic" w:cs="Century Gothic"/>
                <w:color w:val="000000"/>
                <w:sz w:val="18"/>
                <w:szCs w:val="18"/>
              </w:rPr>
              <w:t>100 (13.1%)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72906A" w14:textId="77777777" w:rsidR="001C19F3" w:rsidRDefault="001C19F3" w:rsidP="00521305">
            <w:pPr>
              <w:spacing w:before="40" w:after="40"/>
              <w:ind w:left="100" w:right="100"/>
              <w:jc w:val="right"/>
            </w:pPr>
            <w:r>
              <w:rPr>
                <w:rFonts w:eastAsia="Century Gothic" w:cs="Century Gothic"/>
                <w:color w:val="000000"/>
                <w:sz w:val="18"/>
                <w:szCs w:val="18"/>
              </w:rPr>
              <w:t>0.020</w:t>
            </w:r>
          </w:p>
        </w:tc>
      </w:tr>
      <w:tr w:rsidR="001C19F3" w14:paraId="43B4026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D80274"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E2EA71" w14:textId="77777777" w:rsidR="001C19F3" w:rsidRDefault="001C19F3" w:rsidP="00521305">
            <w:pPr>
              <w:spacing w:before="40" w:after="40"/>
              <w:ind w:left="100" w:right="100"/>
              <w:jc w:val="center"/>
            </w:pPr>
            <w:r>
              <w:rPr>
                <w:rFonts w:eastAsia="Century Gothic" w:cs="Century Gothic"/>
                <w:color w:val="000000"/>
                <w:sz w:val="18"/>
                <w:szCs w:val="18"/>
              </w:rPr>
              <w:t>178 (9.5%)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48C3C6" w14:textId="77777777" w:rsidR="001C19F3" w:rsidRDefault="001C19F3" w:rsidP="00521305">
            <w:pPr>
              <w:spacing w:before="40" w:after="40"/>
              <w:ind w:left="100" w:right="100"/>
              <w:jc w:val="center"/>
            </w:pPr>
            <w:r>
              <w:rPr>
                <w:rFonts w:eastAsia="Century Gothic" w:cs="Century Gothic"/>
                <w:color w:val="000000"/>
                <w:sz w:val="18"/>
                <w:szCs w:val="18"/>
              </w:rPr>
              <w:t>37 (8.7%)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8B4ACA" w14:textId="77777777" w:rsidR="001C19F3" w:rsidRDefault="001C19F3" w:rsidP="00521305">
            <w:pPr>
              <w:spacing w:before="40" w:after="40"/>
              <w:ind w:left="100" w:right="100"/>
              <w:jc w:val="center"/>
            </w:pPr>
            <w:r>
              <w:rPr>
                <w:rFonts w:eastAsia="Century Gothic" w:cs="Century Gothic"/>
                <w:color w:val="000000"/>
                <w:sz w:val="18"/>
                <w:szCs w:val="18"/>
              </w:rPr>
              <w:t>88 (9.2%)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C0E248" w14:textId="77777777" w:rsidR="001C19F3" w:rsidRDefault="001C19F3" w:rsidP="00521305">
            <w:pPr>
              <w:spacing w:before="40" w:after="40"/>
              <w:ind w:left="100" w:right="100"/>
              <w:jc w:val="center"/>
            </w:pPr>
            <w:r>
              <w:rPr>
                <w:rFonts w:eastAsia="Century Gothic" w:cs="Century Gothic"/>
                <w:color w:val="000000"/>
                <w:sz w:val="18"/>
                <w:szCs w:val="18"/>
              </w:rPr>
              <w:t>48 (11.0%)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8B58EC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33C2CA" w14:textId="77777777" w:rsidR="001C19F3" w:rsidRDefault="001C19F3" w:rsidP="00521305">
            <w:pPr>
              <w:spacing w:before="40" w:after="40"/>
              <w:ind w:left="100" w:right="100"/>
              <w:jc w:val="right"/>
            </w:pPr>
            <w:r>
              <w:rPr>
                <w:rFonts w:eastAsia="Century Gothic" w:cs="Century Gothic"/>
                <w:color w:val="000000"/>
                <w:sz w:val="18"/>
                <w:szCs w:val="18"/>
              </w:rPr>
              <w:t>114 (10.2%)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C465F9" w14:textId="77777777" w:rsidR="001C19F3" w:rsidRDefault="001C19F3" w:rsidP="00521305">
            <w:pPr>
              <w:spacing w:before="40" w:after="40"/>
              <w:ind w:left="100" w:right="100"/>
              <w:jc w:val="right"/>
            </w:pPr>
            <w:r>
              <w:rPr>
                <w:rFonts w:eastAsia="Century Gothic" w:cs="Century Gothic"/>
                <w:color w:val="000000"/>
                <w:sz w:val="18"/>
                <w:szCs w:val="18"/>
              </w:rPr>
              <w:t>64 (8.4%)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D88C9D7" w14:textId="77777777" w:rsidR="001C19F3" w:rsidRDefault="001C19F3" w:rsidP="00521305">
            <w:pPr>
              <w:spacing w:after="0"/>
              <w:rPr>
                <w:sz w:val="22"/>
              </w:rPr>
            </w:pPr>
          </w:p>
        </w:tc>
      </w:tr>
      <w:tr w:rsidR="001C19F3" w14:paraId="0712D36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CD7705"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5BE4D7" w14:textId="77777777" w:rsidR="001C19F3" w:rsidRDefault="001C19F3" w:rsidP="00521305">
            <w:pPr>
              <w:spacing w:before="40" w:after="40"/>
              <w:ind w:left="100" w:right="100"/>
              <w:jc w:val="center"/>
            </w:pPr>
            <w:r>
              <w:rPr>
                <w:rFonts w:eastAsia="Century Gothic" w:cs="Century Gothic"/>
                <w:color w:val="000000"/>
                <w:sz w:val="18"/>
                <w:szCs w:val="18"/>
              </w:rPr>
              <w:t>484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66E6D9" w14:textId="77777777" w:rsidR="001C19F3" w:rsidRDefault="001C19F3" w:rsidP="00521305">
            <w:pPr>
              <w:spacing w:before="40" w:after="40"/>
              <w:ind w:left="100" w:right="100"/>
              <w:jc w:val="center"/>
            </w:pPr>
            <w:r>
              <w:rPr>
                <w:rFonts w:eastAsia="Century Gothic" w:cs="Century Gothic"/>
                <w:color w:val="000000"/>
                <w:sz w:val="18"/>
                <w:szCs w:val="18"/>
              </w:rPr>
              <w:t>111 (26.2%)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B2C509" w14:textId="77777777" w:rsidR="001C19F3" w:rsidRDefault="001C19F3" w:rsidP="00521305">
            <w:pPr>
              <w:spacing w:before="40" w:after="40"/>
              <w:ind w:left="100" w:right="100"/>
              <w:jc w:val="center"/>
            </w:pPr>
            <w:r>
              <w:rPr>
                <w:rFonts w:eastAsia="Century Gothic" w:cs="Century Gothic"/>
                <w:color w:val="000000"/>
                <w:sz w:val="18"/>
                <w:szCs w:val="18"/>
              </w:rPr>
              <w:t>246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3DB892" w14:textId="77777777" w:rsidR="001C19F3" w:rsidRDefault="001C19F3" w:rsidP="00521305">
            <w:pPr>
              <w:spacing w:before="40" w:after="40"/>
              <w:ind w:left="100" w:right="100"/>
              <w:jc w:val="center"/>
            </w:pPr>
            <w:r>
              <w:rPr>
                <w:rFonts w:eastAsia="Century Gothic" w:cs="Century Gothic"/>
                <w:color w:val="000000"/>
                <w:sz w:val="18"/>
                <w:szCs w:val="18"/>
              </w:rPr>
              <w:t>109 (24.9%)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5DE8BC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A47FB2" w14:textId="77777777" w:rsidR="001C19F3" w:rsidRDefault="001C19F3" w:rsidP="00521305">
            <w:pPr>
              <w:spacing w:before="40" w:after="40"/>
              <w:ind w:left="100" w:right="100"/>
              <w:jc w:val="right"/>
            </w:pPr>
            <w:r>
              <w:rPr>
                <w:rFonts w:eastAsia="Century Gothic" w:cs="Century Gothic"/>
                <w:color w:val="000000"/>
                <w:sz w:val="18"/>
                <w:szCs w:val="18"/>
              </w:rPr>
              <w:t>298 (26.7%)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C3B0EB" w14:textId="77777777" w:rsidR="001C19F3" w:rsidRDefault="001C19F3" w:rsidP="00521305">
            <w:pPr>
              <w:spacing w:before="40" w:after="40"/>
              <w:ind w:left="100" w:right="100"/>
              <w:jc w:val="right"/>
            </w:pPr>
            <w:r>
              <w:rPr>
                <w:rFonts w:eastAsia="Century Gothic" w:cs="Century Gothic"/>
                <w:color w:val="000000"/>
                <w:sz w:val="18"/>
                <w:szCs w:val="18"/>
              </w:rPr>
              <w:t>186 (24.4%)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8671EBB" w14:textId="77777777" w:rsidR="001C19F3" w:rsidRDefault="001C19F3" w:rsidP="00521305">
            <w:pPr>
              <w:spacing w:after="0"/>
              <w:rPr>
                <w:sz w:val="22"/>
              </w:rPr>
            </w:pPr>
          </w:p>
        </w:tc>
      </w:tr>
      <w:tr w:rsidR="001C19F3" w14:paraId="36324F1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453710"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5E4B70" w14:textId="77777777" w:rsidR="001C19F3" w:rsidRDefault="001C19F3" w:rsidP="00521305">
            <w:pPr>
              <w:spacing w:before="40" w:after="40"/>
              <w:ind w:left="100" w:right="100"/>
              <w:jc w:val="center"/>
            </w:pPr>
            <w:r>
              <w:rPr>
                <w:rFonts w:eastAsia="Century Gothic" w:cs="Century Gothic"/>
                <w:color w:val="000000"/>
                <w:sz w:val="18"/>
                <w:szCs w:val="18"/>
              </w:rPr>
              <w:t>487 (25.9%)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0CD72" w14:textId="77777777" w:rsidR="001C19F3" w:rsidRDefault="001C19F3" w:rsidP="00521305">
            <w:pPr>
              <w:spacing w:before="40" w:after="40"/>
              <w:ind w:left="100" w:right="100"/>
              <w:jc w:val="center"/>
            </w:pPr>
            <w:r>
              <w:rPr>
                <w:rFonts w:eastAsia="Century Gothic" w:cs="Century Gothic"/>
                <w:color w:val="000000"/>
                <w:sz w:val="18"/>
                <w:szCs w:val="18"/>
              </w:rPr>
              <w:t>106 (25.1%)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566C60" w14:textId="77777777" w:rsidR="001C19F3" w:rsidRDefault="001C19F3" w:rsidP="00521305">
            <w:pPr>
              <w:spacing w:before="40" w:after="40"/>
              <w:ind w:left="100" w:right="100"/>
              <w:jc w:val="center"/>
            </w:pPr>
            <w:r>
              <w:rPr>
                <w:rFonts w:eastAsia="Century Gothic" w:cs="Century Gothic"/>
                <w:color w:val="000000"/>
                <w:sz w:val="18"/>
                <w:szCs w:val="18"/>
              </w:rPr>
              <w:t>248 (26.1%)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88702C" w14:textId="77777777" w:rsidR="001C19F3" w:rsidRDefault="001C19F3" w:rsidP="00521305">
            <w:pPr>
              <w:spacing w:before="40" w:after="40"/>
              <w:ind w:left="100" w:right="100"/>
              <w:jc w:val="center"/>
            </w:pPr>
            <w:r>
              <w:rPr>
                <w:rFonts w:eastAsia="Century Gothic" w:cs="Century Gothic"/>
                <w:color w:val="000000"/>
                <w:sz w:val="18"/>
                <w:szCs w:val="18"/>
              </w:rPr>
              <w:t>109 (24.9%)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94424E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84806" w14:textId="77777777" w:rsidR="001C19F3" w:rsidRDefault="001C19F3" w:rsidP="00521305">
            <w:pPr>
              <w:spacing w:before="40" w:after="40"/>
              <w:ind w:left="100" w:right="100"/>
              <w:jc w:val="right"/>
            </w:pPr>
            <w:r>
              <w:rPr>
                <w:rFonts w:eastAsia="Century Gothic" w:cs="Century Gothic"/>
                <w:color w:val="000000"/>
                <w:sz w:val="18"/>
                <w:szCs w:val="18"/>
              </w:rPr>
              <w:t>271 (24.3%)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FFD810" w14:textId="77777777" w:rsidR="001C19F3" w:rsidRDefault="001C19F3" w:rsidP="00521305">
            <w:pPr>
              <w:spacing w:before="40" w:after="40"/>
              <w:ind w:left="100" w:right="100"/>
              <w:jc w:val="right"/>
            </w:pPr>
            <w:r>
              <w:rPr>
                <w:rFonts w:eastAsia="Century Gothic" w:cs="Century Gothic"/>
                <w:color w:val="000000"/>
                <w:sz w:val="18"/>
                <w:szCs w:val="18"/>
              </w:rPr>
              <w:t>216 (28.4%)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109509" w14:textId="77777777" w:rsidR="001C19F3" w:rsidRDefault="001C19F3" w:rsidP="00521305">
            <w:pPr>
              <w:spacing w:after="0"/>
              <w:rPr>
                <w:sz w:val="22"/>
              </w:rPr>
            </w:pPr>
          </w:p>
        </w:tc>
      </w:tr>
      <w:tr w:rsidR="001C19F3" w14:paraId="52C915F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10F082"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E78C2E" w14:textId="77777777" w:rsidR="001C19F3" w:rsidRDefault="001C19F3" w:rsidP="00521305">
            <w:pPr>
              <w:spacing w:before="40" w:after="40"/>
              <w:ind w:left="100" w:right="100"/>
              <w:jc w:val="center"/>
            </w:pPr>
            <w:r>
              <w:rPr>
                <w:rFonts w:eastAsia="Century Gothic" w:cs="Century Gothic"/>
                <w:color w:val="000000"/>
                <w:sz w:val="18"/>
                <w:szCs w:val="18"/>
              </w:rPr>
              <w:t>441 (23.5%)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F9C28F" w14:textId="77777777" w:rsidR="001C19F3" w:rsidRDefault="001C19F3" w:rsidP="00521305">
            <w:pPr>
              <w:spacing w:before="40" w:after="40"/>
              <w:ind w:left="100" w:right="100"/>
              <w:jc w:val="center"/>
            </w:pPr>
            <w:r>
              <w:rPr>
                <w:rFonts w:eastAsia="Century Gothic" w:cs="Century Gothic"/>
                <w:color w:val="000000"/>
                <w:sz w:val="18"/>
                <w:szCs w:val="18"/>
              </w:rPr>
              <w:t>89 (21.0%)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A9DFEA" w14:textId="77777777" w:rsidR="001C19F3" w:rsidRDefault="001C19F3" w:rsidP="00521305">
            <w:pPr>
              <w:spacing w:before="40" w:after="40"/>
              <w:ind w:left="100" w:right="100"/>
              <w:jc w:val="center"/>
            </w:pPr>
            <w:r>
              <w:rPr>
                <w:rFonts w:eastAsia="Century Gothic" w:cs="Century Gothic"/>
                <w:color w:val="000000"/>
                <w:sz w:val="18"/>
                <w:szCs w:val="18"/>
              </w:rPr>
              <w:t>226 (23.7%)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FFC024" w14:textId="77777777" w:rsidR="001C19F3" w:rsidRDefault="001C19F3" w:rsidP="00521305">
            <w:pPr>
              <w:spacing w:before="40" w:after="40"/>
              <w:ind w:left="100" w:right="100"/>
              <w:jc w:val="center"/>
            </w:pPr>
            <w:r>
              <w:rPr>
                <w:rFonts w:eastAsia="Century Gothic" w:cs="Century Gothic"/>
                <w:color w:val="000000"/>
                <w:sz w:val="18"/>
                <w:szCs w:val="18"/>
              </w:rPr>
              <w:t>112 (25.6%)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57AFE6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7E2FF3" w14:textId="77777777" w:rsidR="001C19F3" w:rsidRDefault="001C19F3" w:rsidP="00521305">
            <w:pPr>
              <w:spacing w:before="40" w:after="40"/>
              <w:ind w:left="100" w:right="100"/>
              <w:jc w:val="right"/>
            </w:pPr>
            <w:r>
              <w:rPr>
                <w:rFonts w:eastAsia="Century Gothic" w:cs="Century Gothic"/>
                <w:color w:val="000000"/>
                <w:sz w:val="18"/>
                <w:szCs w:val="18"/>
              </w:rPr>
              <w:t>246 (22.0%)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024D27" w14:textId="77777777" w:rsidR="001C19F3" w:rsidRDefault="001C19F3" w:rsidP="00521305">
            <w:pPr>
              <w:spacing w:before="40" w:after="40"/>
              <w:ind w:left="100" w:right="100"/>
              <w:jc w:val="right"/>
            </w:pPr>
            <w:r>
              <w:rPr>
                <w:rFonts w:eastAsia="Century Gothic" w:cs="Century Gothic"/>
                <w:color w:val="000000"/>
                <w:sz w:val="18"/>
                <w:szCs w:val="18"/>
              </w:rPr>
              <w:t>195 (25.6%)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569CC5" w14:textId="77777777" w:rsidR="001C19F3" w:rsidRDefault="001C19F3" w:rsidP="00521305">
            <w:pPr>
              <w:spacing w:after="0"/>
              <w:rPr>
                <w:sz w:val="22"/>
              </w:rPr>
            </w:pPr>
          </w:p>
        </w:tc>
      </w:tr>
      <w:tr w:rsidR="001C19F3" w14:paraId="0A7A9C1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5CB439" w14:textId="77777777" w:rsidR="001C19F3" w:rsidRDefault="001C19F3" w:rsidP="00521305">
            <w:pPr>
              <w:spacing w:before="40" w:after="40"/>
              <w:ind w:left="100" w:right="100"/>
            </w:pPr>
            <w:r>
              <w:rPr>
                <w:rFonts w:eastAsia="Century Gothic" w:cs="Century Gothic"/>
                <w:b/>
                <w:color w:val="000000"/>
                <w:sz w:val="18"/>
                <w:szCs w:val="18"/>
              </w:rPr>
              <w:t>J02 I was given choices about treatment to think about (Q11)</w:t>
            </w:r>
          </w:p>
        </w:tc>
      </w:tr>
      <w:tr w:rsidR="001C19F3" w14:paraId="0E91035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C3E139"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A415A2" w14:textId="77777777" w:rsidR="001C19F3" w:rsidRDefault="001C19F3" w:rsidP="00521305">
            <w:pPr>
              <w:spacing w:before="40" w:after="40"/>
              <w:ind w:left="100" w:right="100"/>
              <w:jc w:val="center"/>
            </w:pPr>
            <w:r>
              <w:rPr>
                <w:rFonts w:eastAsia="Century Gothic" w:cs="Century Gothic"/>
                <w:color w:val="000000"/>
                <w:sz w:val="18"/>
                <w:szCs w:val="18"/>
              </w:rPr>
              <w:t>292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DEBE18" w14:textId="77777777" w:rsidR="001C19F3" w:rsidRDefault="001C19F3" w:rsidP="00521305">
            <w:pPr>
              <w:spacing w:before="40" w:after="40"/>
              <w:ind w:left="100" w:right="100"/>
              <w:jc w:val="center"/>
            </w:pPr>
            <w:r>
              <w:rPr>
                <w:rFonts w:eastAsia="Century Gothic" w:cs="Century Gothic"/>
                <w:color w:val="000000"/>
                <w:sz w:val="18"/>
                <w:szCs w:val="18"/>
              </w:rPr>
              <w:t>68 (16.1%)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2F7B2E" w14:textId="77777777" w:rsidR="001C19F3" w:rsidRDefault="001C19F3" w:rsidP="00521305">
            <w:pPr>
              <w:spacing w:before="40" w:after="40"/>
              <w:ind w:left="100" w:right="100"/>
              <w:jc w:val="center"/>
            </w:pPr>
            <w:r>
              <w:rPr>
                <w:rFonts w:eastAsia="Century Gothic" w:cs="Century Gothic"/>
                <w:color w:val="000000"/>
                <w:sz w:val="18"/>
                <w:szCs w:val="18"/>
              </w:rPr>
              <w:t>149 (15.2%)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957318" w14:textId="77777777" w:rsidR="001C19F3" w:rsidRDefault="001C19F3" w:rsidP="00521305">
            <w:pPr>
              <w:spacing w:before="40" w:after="40"/>
              <w:ind w:left="100" w:right="100"/>
              <w:jc w:val="center"/>
            </w:pPr>
            <w:r>
              <w:rPr>
                <w:rFonts w:eastAsia="Century Gothic" w:cs="Century Gothic"/>
                <w:color w:val="000000"/>
                <w:sz w:val="18"/>
                <w:szCs w:val="18"/>
              </w:rPr>
              <w:t>60 (13.6%)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6D4254" w14:textId="77777777" w:rsidR="001C19F3" w:rsidRDefault="001C19F3" w:rsidP="00521305">
            <w:pPr>
              <w:spacing w:before="40" w:after="40"/>
              <w:ind w:left="100" w:right="100"/>
              <w:jc w:val="center"/>
            </w:pPr>
            <w:r>
              <w:rPr>
                <w:rFonts w:eastAsia="Century Gothic" w:cs="Century Gothic"/>
                <w:color w:val="000000"/>
                <w:sz w:val="18"/>
                <w:szCs w:val="18"/>
              </w:rPr>
              <w:t>0.579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96457D" w14:textId="77777777" w:rsidR="001C19F3" w:rsidRDefault="001C19F3" w:rsidP="00521305">
            <w:pPr>
              <w:spacing w:before="40" w:after="40"/>
              <w:ind w:left="100" w:right="100"/>
              <w:jc w:val="right"/>
            </w:pPr>
            <w:r>
              <w:rPr>
                <w:rFonts w:eastAsia="Century Gothic" w:cs="Century Gothic"/>
                <w:color w:val="000000"/>
                <w:sz w:val="18"/>
                <w:szCs w:val="18"/>
              </w:rPr>
              <w:t>204 (18.0%)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F4B65B" w14:textId="77777777" w:rsidR="001C19F3" w:rsidRDefault="001C19F3" w:rsidP="00521305">
            <w:pPr>
              <w:spacing w:before="40" w:after="40"/>
              <w:ind w:left="100" w:right="100"/>
              <w:jc w:val="right"/>
            </w:pPr>
            <w:r>
              <w:rPr>
                <w:rFonts w:eastAsia="Century Gothic" w:cs="Century Gothic"/>
                <w:color w:val="000000"/>
                <w:sz w:val="18"/>
                <w:szCs w:val="18"/>
              </w:rPr>
              <w:t>88 (11.4%)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04BB44"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09C721B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3AAA39"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A149B1" w14:textId="77777777" w:rsidR="001C19F3" w:rsidRDefault="001C19F3" w:rsidP="00521305">
            <w:pPr>
              <w:spacing w:before="40" w:after="40"/>
              <w:ind w:left="100" w:right="100"/>
              <w:jc w:val="center"/>
            </w:pPr>
            <w:r>
              <w:rPr>
                <w:rFonts w:eastAsia="Century Gothic" w:cs="Century Gothic"/>
                <w:color w:val="000000"/>
                <w:sz w:val="18"/>
                <w:szCs w:val="18"/>
              </w:rPr>
              <w:t>149 (7.8%)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94BDE1" w14:textId="77777777" w:rsidR="001C19F3" w:rsidRDefault="001C19F3" w:rsidP="00521305">
            <w:pPr>
              <w:spacing w:before="40" w:after="40"/>
              <w:ind w:left="100" w:right="100"/>
              <w:jc w:val="center"/>
            </w:pPr>
            <w:r>
              <w:rPr>
                <w:rFonts w:eastAsia="Century Gothic" w:cs="Century Gothic"/>
                <w:color w:val="000000"/>
                <w:sz w:val="18"/>
                <w:szCs w:val="18"/>
              </w:rPr>
              <w:t>31 (7.3%)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452B84" w14:textId="77777777" w:rsidR="001C19F3" w:rsidRDefault="001C19F3" w:rsidP="00521305">
            <w:pPr>
              <w:spacing w:before="40" w:after="40"/>
              <w:ind w:left="100" w:right="100"/>
              <w:jc w:val="center"/>
            </w:pPr>
            <w:r>
              <w:rPr>
                <w:rFonts w:eastAsia="Century Gothic" w:cs="Century Gothic"/>
                <w:color w:val="000000"/>
                <w:sz w:val="18"/>
                <w:szCs w:val="18"/>
              </w:rPr>
              <w:t>81 (8.3%)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A34B6F" w14:textId="77777777" w:rsidR="001C19F3" w:rsidRDefault="001C19F3" w:rsidP="00521305">
            <w:pPr>
              <w:spacing w:before="40" w:after="40"/>
              <w:ind w:left="100" w:right="100"/>
              <w:jc w:val="center"/>
            </w:pPr>
            <w:r>
              <w:rPr>
                <w:rFonts w:eastAsia="Century Gothic" w:cs="Century Gothic"/>
                <w:color w:val="000000"/>
                <w:sz w:val="18"/>
                <w:szCs w:val="18"/>
              </w:rPr>
              <w:t>31 (7.0%)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791AB0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5C07BC" w14:textId="77777777" w:rsidR="001C19F3" w:rsidRDefault="001C19F3" w:rsidP="00521305">
            <w:pPr>
              <w:spacing w:before="40" w:after="40"/>
              <w:ind w:left="100" w:right="100"/>
              <w:jc w:val="right"/>
            </w:pPr>
            <w:r>
              <w:rPr>
                <w:rFonts w:eastAsia="Century Gothic" w:cs="Century Gothic"/>
                <w:color w:val="000000"/>
                <w:sz w:val="18"/>
                <w:szCs w:val="18"/>
              </w:rPr>
              <w:t>98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1945B" w14:textId="77777777" w:rsidR="001C19F3" w:rsidRDefault="001C19F3" w:rsidP="00521305">
            <w:pPr>
              <w:spacing w:before="40" w:after="40"/>
              <w:ind w:left="100" w:right="100"/>
              <w:jc w:val="right"/>
            </w:pPr>
            <w:r>
              <w:rPr>
                <w:rFonts w:eastAsia="Century Gothic" w:cs="Century Gothic"/>
                <w:color w:val="000000"/>
                <w:sz w:val="18"/>
                <w:szCs w:val="18"/>
              </w:rPr>
              <w:t>51 (6.6%)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CC557D4" w14:textId="77777777" w:rsidR="001C19F3" w:rsidRDefault="001C19F3" w:rsidP="00521305">
            <w:pPr>
              <w:spacing w:after="0"/>
              <w:rPr>
                <w:sz w:val="22"/>
              </w:rPr>
            </w:pPr>
          </w:p>
        </w:tc>
      </w:tr>
      <w:tr w:rsidR="001C19F3" w14:paraId="5C1D359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65C1E0"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B7807" w14:textId="77777777" w:rsidR="001C19F3" w:rsidRDefault="001C19F3" w:rsidP="00521305">
            <w:pPr>
              <w:spacing w:before="40" w:after="40"/>
              <w:ind w:left="100" w:right="100"/>
              <w:jc w:val="center"/>
            </w:pPr>
            <w:r>
              <w:rPr>
                <w:rFonts w:eastAsia="Century Gothic" w:cs="Century Gothic"/>
                <w:color w:val="000000"/>
                <w:sz w:val="18"/>
                <w:szCs w:val="18"/>
              </w:rPr>
              <w:t>373 (19.5%)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C89395" w14:textId="77777777" w:rsidR="001C19F3" w:rsidRDefault="001C19F3" w:rsidP="00521305">
            <w:pPr>
              <w:spacing w:before="40" w:after="40"/>
              <w:ind w:left="100" w:right="100"/>
              <w:jc w:val="center"/>
            </w:pPr>
            <w:r>
              <w:rPr>
                <w:rFonts w:eastAsia="Century Gothic" w:cs="Century Gothic"/>
                <w:color w:val="000000"/>
                <w:sz w:val="18"/>
                <w:szCs w:val="18"/>
              </w:rPr>
              <w:t>76 (18.0%)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D2C2AD" w14:textId="77777777" w:rsidR="001C19F3" w:rsidRDefault="001C19F3" w:rsidP="00521305">
            <w:pPr>
              <w:spacing w:before="40" w:after="40"/>
              <w:ind w:left="100" w:right="100"/>
              <w:jc w:val="center"/>
            </w:pPr>
            <w:r>
              <w:rPr>
                <w:rFonts w:eastAsia="Century Gothic" w:cs="Century Gothic"/>
                <w:color w:val="000000"/>
                <w:sz w:val="18"/>
                <w:szCs w:val="18"/>
              </w:rPr>
              <w:t>197 (20.1%)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8330F4" w14:textId="77777777" w:rsidR="001C19F3" w:rsidRDefault="001C19F3" w:rsidP="00521305">
            <w:pPr>
              <w:spacing w:before="40" w:after="40"/>
              <w:ind w:left="100" w:right="100"/>
              <w:jc w:val="center"/>
            </w:pPr>
            <w:r>
              <w:rPr>
                <w:rFonts w:eastAsia="Century Gothic" w:cs="Century Gothic"/>
                <w:color w:val="000000"/>
                <w:sz w:val="18"/>
                <w:szCs w:val="18"/>
              </w:rPr>
              <w:t>92 (20.9%)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1F9CCC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316A06" w14:textId="77777777" w:rsidR="001C19F3" w:rsidRDefault="001C19F3" w:rsidP="00521305">
            <w:pPr>
              <w:spacing w:before="40" w:after="40"/>
              <w:ind w:left="100" w:right="100"/>
              <w:jc w:val="right"/>
            </w:pPr>
            <w:r>
              <w:rPr>
                <w:rFonts w:eastAsia="Century Gothic" w:cs="Century Gothic"/>
                <w:color w:val="000000"/>
                <w:sz w:val="18"/>
                <w:szCs w:val="18"/>
              </w:rPr>
              <w:t>229 (20.2%)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BD3475" w14:textId="77777777" w:rsidR="001C19F3" w:rsidRDefault="001C19F3" w:rsidP="00521305">
            <w:pPr>
              <w:spacing w:before="40" w:after="40"/>
              <w:ind w:left="100" w:right="100"/>
              <w:jc w:val="right"/>
            </w:pPr>
            <w:r>
              <w:rPr>
                <w:rFonts w:eastAsia="Century Gothic" w:cs="Century Gothic"/>
                <w:color w:val="000000"/>
                <w:sz w:val="18"/>
                <w:szCs w:val="18"/>
              </w:rPr>
              <w:t>144 (18.6%)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E9242E5" w14:textId="77777777" w:rsidR="001C19F3" w:rsidRDefault="001C19F3" w:rsidP="00521305">
            <w:pPr>
              <w:spacing w:after="0"/>
              <w:rPr>
                <w:sz w:val="22"/>
              </w:rPr>
            </w:pPr>
          </w:p>
        </w:tc>
      </w:tr>
      <w:tr w:rsidR="001C19F3" w14:paraId="5AD1E97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9DB8FF"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CEF1FE" w14:textId="77777777" w:rsidR="001C19F3" w:rsidRDefault="001C19F3" w:rsidP="00521305">
            <w:pPr>
              <w:spacing w:before="40" w:after="40"/>
              <w:ind w:left="100" w:right="100"/>
              <w:jc w:val="center"/>
            </w:pPr>
            <w:r>
              <w:rPr>
                <w:rFonts w:eastAsia="Century Gothic" w:cs="Century Gothic"/>
                <w:color w:val="000000"/>
                <w:sz w:val="18"/>
                <w:szCs w:val="18"/>
              </w:rPr>
              <w:t>445 (23.3%)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267192" w14:textId="77777777" w:rsidR="001C19F3" w:rsidRDefault="001C19F3" w:rsidP="00521305">
            <w:pPr>
              <w:spacing w:before="40" w:after="40"/>
              <w:ind w:left="100" w:right="100"/>
              <w:jc w:val="center"/>
            </w:pPr>
            <w:r>
              <w:rPr>
                <w:rFonts w:eastAsia="Century Gothic" w:cs="Century Gothic"/>
                <w:color w:val="000000"/>
                <w:sz w:val="18"/>
                <w:szCs w:val="18"/>
              </w:rPr>
              <w:t>105 (24.9%)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DFAEC7" w14:textId="77777777" w:rsidR="001C19F3" w:rsidRDefault="001C19F3" w:rsidP="00521305">
            <w:pPr>
              <w:spacing w:before="40" w:after="40"/>
              <w:ind w:left="100" w:right="100"/>
              <w:jc w:val="center"/>
            </w:pPr>
            <w:r>
              <w:rPr>
                <w:rFonts w:eastAsia="Century Gothic" w:cs="Century Gothic"/>
                <w:color w:val="000000"/>
                <w:sz w:val="18"/>
                <w:szCs w:val="18"/>
              </w:rPr>
              <w:t>229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40DFBC" w14:textId="77777777" w:rsidR="001C19F3" w:rsidRDefault="001C19F3" w:rsidP="00521305">
            <w:pPr>
              <w:spacing w:before="40" w:after="40"/>
              <w:ind w:left="100" w:right="100"/>
              <w:jc w:val="center"/>
            </w:pPr>
            <w:r>
              <w:rPr>
                <w:rFonts w:eastAsia="Century Gothic" w:cs="Century Gothic"/>
                <w:color w:val="000000"/>
                <w:sz w:val="18"/>
                <w:szCs w:val="18"/>
              </w:rPr>
              <w:t>91 (20.6%)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6D4082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9F710" w14:textId="77777777" w:rsidR="001C19F3" w:rsidRDefault="001C19F3" w:rsidP="00521305">
            <w:pPr>
              <w:spacing w:before="40" w:after="40"/>
              <w:ind w:left="100" w:right="100"/>
              <w:jc w:val="right"/>
            </w:pPr>
            <w:r>
              <w:rPr>
                <w:rFonts w:eastAsia="Century Gothic" w:cs="Century Gothic"/>
                <w:color w:val="000000"/>
                <w:sz w:val="18"/>
                <w:szCs w:val="18"/>
              </w:rPr>
              <w:t>250 (22.0%)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982FC6" w14:textId="77777777" w:rsidR="001C19F3" w:rsidRDefault="001C19F3" w:rsidP="00521305">
            <w:pPr>
              <w:spacing w:before="40" w:after="40"/>
              <w:ind w:left="100" w:right="100"/>
              <w:jc w:val="right"/>
            </w:pPr>
            <w:r>
              <w:rPr>
                <w:rFonts w:eastAsia="Century Gothic" w:cs="Century Gothic"/>
                <w:color w:val="000000"/>
                <w:sz w:val="18"/>
                <w:szCs w:val="18"/>
              </w:rPr>
              <w:t>195 (25.2%)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6DAEA7" w14:textId="77777777" w:rsidR="001C19F3" w:rsidRDefault="001C19F3" w:rsidP="00521305">
            <w:pPr>
              <w:spacing w:after="0"/>
              <w:rPr>
                <w:sz w:val="22"/>
              </w:rPr>
            </w:pPr>
          </w:p>
        </w:tc>
      </w:tr>
      <w:tr w:rsidR="001C19F3" w14:paraId="5273AEB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F6B8A0"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159AA8" w14:textId="77777777" w:rsidR="001C19F3" w:rsidRDefault="001C19F3" w:rsidP="00521305">
            <w:pPr>
              <w:spacing w:before="40" w:after="40"/>
              <w:ind w:left="100" w:right="100"/>
              <w:jc w:val="center"/>
            </w:pPr>
            <w:r>
              <w:rPr>
                <w:rFonts w:eastAsia="Century Gothic" w:cs="Century Gothic"/>
                <w:color w:val="000000"/>
                <w:sz w:val="18"/>
                <w:szCs w:val="18"/>
              </w:rPr>
              <w:t>651 (34.1%)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DAF247" w14:textId="77777777" w:rsidR="001C19F3" w:rsidRDefault="001C19F3" w:rsidP="00521305">
            <w:pPr>
              <w:spacing w:before="40" w:after="40"/>
              <w:ind w:left="100" w:right="100"/>
              <w:jc w:val="center"/>
            </w:pPr>
            <w:r>
              <w:rPr>
                <w:rFonts w:eastAsia="Century Gothic" w:cs="Century Gothic"/>
                <w:color w:val="000000"/>
                <w:sz w:val="18"/>
                <w:szCs w:val="18"/>
              </w:rPr>
              <w:t>142 (33.6%)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8D6010" w14:textId="77777777" w:rsidR="001C19F3" w:rsidRDefault="001C19F3" w:rsidP="00521305">
            <w:pPr>
              <w:spacing w:before="40" w:after="40"/>
              <w:ind w:left="100" w:right="100"/>
              <w:jc w:val="center"/>
            </w:pPr>
            <w:r>
              <w:rPr>
                <w:rFonts w:eastAsia="Century Gothic" w:cs="Century Gothic"/>
                <w:color w:val="000000"/>
                <w:sz w:val="18"/>
                <w:szCs w:val="18"/>
              </w:rPr>
              <w:t>323 (33.0%)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AB3097" w14:textId="77777777" w:rsidR="001C19F3" w:rsidRDefault="001C19F3" w:rsidP="00521305">
            <w:pPr>
              <w:spacing w:before="40" w:after="40"/>
              <w:ind w:left="100" w:right="100"/>
              <w:jc w:val="center"/>
            </w:pPr>
            <w:r>
              <w:rPr>
                <w:rFonts w:eastAsia="Century Gothic" w:cs="Century Gothic"/>
                <w:color w:val="000000"/>
                <w:sz w:val="18"/>
                <w:szCs w:val="18"/>
              </w:rPr>
              <w:t>167 (37.9%)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273BE3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540D27" w14:textId="77777777" w:rsidR="001C19F3" w:rsidRDefault="001C19F3" w:rsidP="00521305">
            <w:pPr>
              <w:spacing w:before="40" w:after="40"/>
              <w:ind w:left="100" w:right="100"/>
              <w:jc w:val="right"/>
            </w:pPr>
            <w:r>
              <w:rPr>
                <w:rFonts w:eastAsia="Century Gothic" w:cs="Century Gothic"/>
                <w:color w:val="000000"/>
                <w:sz w:val="18"/>
                <w:szCs w:val="18"/>
              </w:rPr>
              <w:t>354 (31.2%)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898995" w14:textId="77777777" w:rsidR="001C19F3" w:rsidRDefault="001C19F3" w:rsidP="00521305">
            <w:pPr>
              <w:spacing w:before="40" w:after="40"/>
              <w:ind w:left="100" w:right="100"/>
              <w:jc w:val="right"/>
            </w:pPr>
            <w:r>
              <w:rPr>
                <w:rFonts w:eastAsia="Century Gothic" w:cs="Century Gothic"/>
                <w:color w:val="000000"/>
                <w:sz w:val="18"/>
                <w:szCs w:val="18"/>
              </w:rPr>
              <w:t>297 (38.3%)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36FC8B5" w14:textId="77777777" w:rsidR="001C19F3" w:rsidRDefault="001C19F3" w:rsidP="00521305">
            <w:pPr>
              <w:spacing w:after="0"/>
              <w:rPr>
                <w:sz w:val="22"/>
              </w:rPr>
            </w:pPr>
          </w:p>
        </w:tc>
      </w:tr>
      <w:tr w:rsidR="001C19F3" w14:paraId="5B76081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021F42" w14:textId="77777777" w:rsidR="001C19F3" w:rsidRDefault="001C19F3" w:rsidP="00521305">
            <w:pPr>
              <w:spacing w:before="40" w:after="40"/>
              <w:ind w:left="100" w:right="100"/>
            </w:pPr>
            <w:r>
              <w:rPr>
                <w:rFonts w:eastAsia="Century Gothic" w:cs="Century Gothic"/>
                <w:b/>
                <w:color w:val="000000"/>
                <w:sz w:val="18"/>
                <w:szCs w:val="18"/>
              </w:rPr>
              <w:t>J03 I was sure that my doctor or nurse thought about my values, beliefs, and traditions when they recommended treatments to me (Q11)</w:t>
            </w:r>
          </w:p>
        </w:tc>
      </w:tr>
      <w:tr w:rsidR="001C19F3" w14:paraId="205CBD2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20F70D"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B29D5E" w14:textId="77777777" w:rsidR="001C19F3" w:rsidRDefault="001C19F3" w:rsidP="00521305">
            <w:pPr>
              <w:spacing w:before="40" w:after="40"/>
              <w:ind w:left="100" w:right="100"/>
              <w:jc w:val="center"/>
            </w:pPr>
            <w:r>
              <w:rPr>
                <w:rFonts w:eastAsia="Century Gothic" w:cs="Century Gothic"/>
                <w:color w:val="000000"/>
                <w:sz w:val="18"/>
                <w:szCs w:val="18"/>
              </w:rPr>
              <w:t>130 (6.9%)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4BEB5B" w14:textId="77777777" w:rsidR="001C19F3" w:rsidRDefault="001C19F3" w:rsidP="00521305">
            <w:pPr>
              <w:spacing w:before="40" w:after="40"/>
              <w:ind w:left="100" w:right="100"/>
              <w:jc w:val="center"/>
            </w:pPr>
            <w:r>
              <w:rPr>
                <w:rFonts w:eastAsia="Century Gothic" w:cs="Century Gothic"/>
                <w:color w:val="000000"/>
                <w:sz w:val="18"/>
                <w:szCs w:val="18"/>
              </w:rPr>
              <w:t>31 (7.5%)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90AB1E" w14:textId="77777777" w:rsidR="001C19F3" w:rsidRDefault="001C19F3" w:rsidP="00521305">
            <w:pPr>
              <w:spacing w:before="40" w:after="40"/>
              <w:ind w:left="100" w:right="100"/>
              <w:jc w:val="center"/>
            </w:pPr>
            <w:r>
              <w:rPr>
                <w:rFonts w:eastAsia="Century Gothic" w:cs="Century Gothic"/>
                <w:color w:val="000000"/>
                <w:sz w:val="18"/>
                <w:szCs w:val="18"/>
              </w:rPr>
              <w:t>68 (7.0%)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018C6B" w14:textId="77777777" w:rsidR="001C19F3" w:rsidRDefault="001C19F3" w:rsidP="00521305">
            <w:pPr>
              <w:spacing w:before="40" w:after="40"/>
              <w:ind w:left="100" w:right="100"/>
              <w:jc w:val="center"/>
            </w:pPr>
            <w:r>
              <w:rPr>
                <w:rFonts w:eastAsia="Century Gothic" w:cs="Century Gothic"/>
                <w:color w:val="000000"/>
                <w:sz w:val="18"/>
                <w:szCs w:val="18"/>
              </w:rPr>
              <w:t>28 (6.3%)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74BBA4" w14:textId="77777777" w:rsidR="001C19F3" w:rsidRDefault="001C19F3" w:rsidP="00521305">
            <w:pPr>
              <w:spacing w:before="40" w:after="40"/>
              <w:ind w:left="100" w:right="100"/>
              <w:jc w:val="center"/>
            </w:pPr>
            <w:r>
              <w:rPr>
                <w:rFonts w:eastAsia="Century Gothic" w:cs="Century Gothic"/>
                <w:color w:val="000000"/>
                <w:sz w:val="18"/>
                <w:szCs w:val="18"/>
              </w:rPr>
              <w:t>0.020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4F4318" w14:textId="77777777" w:rsidR="001C19F3" w:rsidRDefault="001C19F3" w:rsidP="00521305">
            <w:pPr>
              <w:spacing w:before="40" w:after="40"/>
              <w:ind w:left="100" w:right="100"/>
              <w:jc w:val="right"/>
            </w:pPr>
            <w:r>
              <w:rPr>
                <w:rFonts w:eastAsia="Century Gothic" w:cs="Century Gothic"/>
                <w:color w:val="000000"/>
                <w:sz w:val="18"/>
                <w:szCs w:val="18"/>
              </w:rPr>
              <w:t>89 (7.9%)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CDB241" w14:textId="77777777" w:rsidR="001C19F3" w:rsidRDefault="001C19F3" w:rsidP="00521305">
            <w:pPr>
              <w:spacing w:before="40" w:after="40"/>
              <w:ind w:left="100" w:right="100"/>
              <w:jc w:val="right"/>
            </w:pPr>
            <w:r>
              <w:rPr>
                <w:rFonts w:eastAsia="Century Gothic" w:cs="Century Gothic"/>
                <w:color w:val="000000"/>
                <w:sz w:val="18"/>
                <w:szCs w:val="18"/>
              </w:rPr>
              <w:t>41 (5.4%)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3C4CD8" w14:textId="77777777" w:rsidR="001C19F3" w:rsidRDefault="001C19F3" w:rsidP="00521305">
            <w:pPr>
              <w:spacing w:before="40" w:after="40"/>
              <w:ind w:left="100" w:right="100"/>
              <w:jc w:val="right"/>
            </w:pPr>
            <w:r>
              <w:rPr>
                <w:rFonts w:eastAsia="Century Gothic" w:cs="Century Gothic"/>
                <w:color w:val="000000"/>
                <w:sz w:val="18"/>
                <w:szCs w:val="18"/>
              </w:rPr>
              <w:t>0.182</w:t>
            </w:r>
          </w:p>
        </w:tc>
      </w:tr>
      <w:tr w:rsidR="001C19F3" w14:paraId="6F5E7EC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D17456"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68C1B0" w14:textId="77777777" w:rsidR="001C19F3" w:rsidRDefault="001C19F3" w:rsidP="00521305">
            <w:pPr>
              <w:spacing w:before="40" w:after="40"/>
              <w:ind w:left="100" w:right="100"/>
              <w:jc w:val="center"/>
            </w:pPr>
            <w:r>
              <w:rPr>
                <w:rFonts w:eastAsia="Century Gothic" w:cs="Century Gothic"/>
                <w:color w:val="000000"/>
                <w:sz w:val="18"/>
                <w:szCs w:val="18"/>
              </w:rPr>
              <w:t>64 (3.4%)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DB4A7D" w14:textId="77777777" w:rsidR="001C19F3" w:rsidRDefault="001C19F3" w:rsidP="00521305">
            <w:pPr>
              <w:spacing w:before="40" w:after="40"/>
              <w:ind w:left="100" w:right="100"/>
              <w:jc w:val="center"/>
            </w:pPr>
            <w:r>
              <w:rPr>
                <w:rFonts w:eastAsia="Century Gothic" w:cs="Century Gothic"/>
                <w:color w:val="000000"/>
                <w:sz w:val="18"/>
                <w:szCs w:val="18"/>
              </w:rPr>
              <w:t>22 (5.3%)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5772C" w14:textId="77777777" w:rsidR="001C19F3" w:rsidRDefault="001C19F3" w:rsidP="00521305">
            <w:pPr>
              <w:spacing w:before="40" w:after="40"/>
              <w:ind w:left="100" w:right="100"/>
              <w:jc w:val="center"/>
            </w:pPr>
            <w:r>
              <w:rPr>
                <w:rFonts w:eastAsia="Century Gothic" w:cs="Century Gothic"/>
                <w:color w:val="000000"/>
                <w:sz w:val="18"/>
                <w:szCs w:val="18"/>
              </w:rPr>
              <w:t>28 (2.9%)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79C40C" w14:textId="77777777" w:rsidR="001C19F3" w:rsidRDefault="001C19F3" w:rsidP="00521305">
            <w:pPr>
              <w:spacing w:before="40" w:after="40"/>
              <w:ind w:left="100" w:right="100"/>
              <w:jc w:val="center"/>
            </w:pPr>
            <w:r>
              <w:rPr>
                <w:rFonts w:eastAsia="Century Gothic" w:cs="Century Gothic"/>
                <w:color w:val="000000"/>
                <w:sz w:val="18"/>
                <w:szCs w:val="18"/>
              </w:rPr>
              <w:t>12 (2.7%)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263044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A91F97" w14:textId="77777777" w:rsidR="001C19F3" w:rsidRDefault="001C19F3" w:rsidP="00521305">
            <w:pPr>
              <w:spacing w:before="40" w:after="40"/>
              <w:ind w:left="100" w:right="100"/>
              <w:jc w:val="right"/>
            </w:pPr>
            <w:r>
              <w:rPr>
                <w:rFonts w:eastAsia="Century Gothic" w:cs="Century Gothic"/>
                <w:color w:val="000000"/>
                <w:sz w:val="18"/>
                <w:szCs w:val="18"/>
              </w:rPr>
              <w:t>36 (3.2%)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2DDC6B" w14:textId="77777777" w:rsidR="001C19F3" w:rsidRDefault="001C19F3" w:rsidP="00521305">
            <w:pPr>
              <w:spacing w:before="40" w:after="40"/>
              <w:ind w:left="100" w:right="100"/>
              <w:jc w:val="right"/>
            </w:pPr>
            <w:r>
              <w:rPr>
                <w:rFonts w:eastAsia="Century Gothic" w:cs="Century Gothic"/>
                <w:color w:val="000000"/>
                <w:sz w:val="18"/>
                <w:szCs w:val="18"/>
              </w:rPr>
              <w:t>28 (3.7%)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46DB250" w14:textId="77777777" w:rsidR="001C19F3" w:rsidRDefault="001C19F3" w:rsidP="00521305">
            <w:pPr>
              <w:spacing w:after="0"/>
              <w:rPr>
                <w:sz w:val="22"/>
              </w:rPr>
            </w:pPr>
          </w:p>
        </w:tc>
      </w:tr>
      <w:tr w:rsidR="001C19F3" w14:paraId="45807CE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338A37"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4A30AE" w14:textId="77777777" w:rsidR="001C19F3" w:rsidRDefault="001C19F3" w:rsidP="00521305">
            <w:pPr>
              <w:spacing w:before="40" w:after="40"/>
              <w:ind w:left="100" w:right="100"/>
              <w:jc w:val="center"/>
            </w:pPr>
            <w:r>
              <w:rPr>
                <w:rFonts w:eastAsia="Century Gothic" w:cs="Century Gothic"/>
                <w:color w:val="000000"/>
                <w:sz w:val="18"/>
                <w:szCs w:val="18"/>
              </w:rPr>
              <w:t>169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3A4EBD" w14:textId="77777777" w:rsidR="001C19F3" w:rsidRDefault="001C19F3" w:rsidP="00521305">
            <w:pPr>
              <w:spacing w:before="40" w:after="40"/>
              <w:ind w:left="100" w:right="100"/>
              <w:jc w:val="center"/>
            </w:pPr>
            <w:r>
              <w:rPr>
                <w:rFonts w:eastAsia="Century Gothic" w:cs="Century Gothic"/>
                <w:color w:val="000000"/>
                <w:sz w:val="18"/>
                <w:szCs w:val="18"/>
              </w:rPr>
              <w:t>30 (7.3%)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EB8618" w14:textId="77777777" w:rsidR="001C19F3" w:rsidRDefault="001C19F3" w:rsidP="00521305">
            <w:pPr>
              <w:spacing w:before="40" w:after="40"/>
              <w:ind w:left="100" w:right="100"/>
              <w:jc w:val="center"/>
            </w:pPr>
            <w:r>
              <w:rPr>
                <w:rFonts w:eastAsia="Century Gothic" w:cs="Century Gothic"/>
                <w:color w:val="000000"/>
                <w:sz w:val="18"/>
                <w:szCs w:val="18"/>
              </w:rPr>
              <w:t>80 (8.3%)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8433F7" w14:textId="77777777" w:rsidR="001C19F3" w:rsidRDefault="001C19F3" w:rsidP="00521305">
            <w:pPr>
              <w:spacing w:before="40" w:after="40"/>
              <w:ind w:left="100" w:right="100"/>
              <w:jc w:val="center"/>
            </w:pPr>
            <w:r>
              <w:rPr>
                <w:rFonts w:eastAsia="Century Gothic" w:cs="Century Gothic"/>
                <w:color w:val="000000"/>
                <w:sz w:val="18"/>
                <w:szCs w:val="18"/>
              </w:rPr>
              <w:t>56 (12.5%)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3CA5E4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8F9193" w14:textId="77777777" w:rsidR="001C19F3" w:rsidRDefault="001C19F3" w:rsidP="00521305">
            <w:pPr>
              <w:spacing w:before="40" w:after="40"/>
              <w:ind w:left="100" w:right="100"/>
              <w:jc w:val="right"/>
            </w:pPr>
            <w:r>
              <w:rPr>
                <w:rFonts w:eastAsia="Century Gothic" w:cs="Century Gothic"/>
                <w:color w:val="000000"/>
                <w:sz w:val="18"/>
                <w:szCs w:val="18"/>
              </w:rPr>
              <w:t>107 (9.5%)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D08EB1" w14:textId="77777777" w:rsidR="001C19F3" w:rsidRDefault="001C19F3" w:rsidP="00521305">
            <w:pPr>
              <w:spacing w:before="40" w:after="40"/>
              <w:ind w:left="100" w:right="100"/>
              <w:jc w:val="right"/>
            </w:pPr>
            <w:r>
              <w:rPr>
                <w:rFonts w:eastAsia="Century Gothic" w:cs="Century Gothic"/>
                <w:color w:val="000000"/>
                <w:sz w:val="18"/>
                <w:szCs w:val="18"/>
              </w:rPr>
              <w:t>62 (8.1%)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EFEF16B" w14:textId="77777777" w:rsidR="001C19F3" w:rsidRDefault="001C19F3" w:rsidP="00521305">
            <w:pPr>
              <w:spacing w:after="0"/>
              <w:rPr>
                <w:sz w:val="22"/>
              </w:rPr>
            </w:pPr>
          </w:p>
        </w:tc>
      </w:tr>
      <w:tr w:rsidR="001C19F3" w14:paraId="6C09A4C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44541A"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5B4D66" w14:textId="77777777" w:rsidR="001C19F3" w:rsidRDefault="001C19F3" w:rsidP="00521305">
            <w:pPr>
              <w:spacing w:before="40" w:after="40"/>
              <w:ind w:left="100" w:right="100"/>
              <w:jc w:val="center"/>
            </w:pPr>
            <w:r>
              <w:rPr>
                <w:rFonts w:eastAsia="Century Gothic" w:cs="Century Gothic"/>
                <w:color w:val="000000"/>
                <w:sz w:val="18"/>
                <w:szCs w:val="18"/>
              </w:rPr>
              <w:t>437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B527E2" w14:textId="77777777" w:rsidR="001C19F3" w:rsidRDefault="001C19F3" w:rsidP="00521305">
            <w:pPr>
              <w:spacing w:before="40" w:after="40"/>
              <w:ind w:left="100" w:right="100"/>
              <w:jc w:val="center"/>
            </w:pPr>
            <w:r>
              <w:rPr>
                <w:rFonts w:eastAsia="Century Gothic" w:cs="Century Gothic"/>
                <w:color w:val="000000"/>
                <w:sz w:val="18"/>
                <w:szCs w:val="18"/>
              </w:rPr>
              <w:t>87 (21.1%)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7DD3E" w14:textId="77777777" w:rsidR="001C19F3" w:rsidRDefault="001C19F3" w:rsidP="00521305">
            <w:pPr>
              <w:spacing w:before="40" w:after="40"/>
              <w:ind w:left="100" w:right="100"/>
              <w:jc w:val="center"/>
            </w:pPr>
            <w:r>
              <w:rPr>
                <w:rFonts w:eastAsia="Century Gothic" w:cs="Century Gothic"/>
                <w:color w:val="000000"/>
                <w:sz w:val="18"/>
                <w:szCs w:val="18"/>
              </w:rPr>
              <w:t>242 (25.0%)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7F930D" w14:textId="77777777" w:rsidR="001C19F3" w:rsidRDefault="001C19F3" w:rsidP="00521305">
            <w:pPr>
              <w:spacing w:before="40" w:after="40"/>
              <w:ind w:left="100" w:right="100"/>
              <w:jc w:val="center"/>
            </w:pPr>
            <w:r>
              <w:rPr>
                <w:rFonts w:eastAsia="Century Gothic" w:cs="Century Gothic"/>
                <w:color w:val="000000"/>
                <w:sz w:val="18"/>
                <w:szCs w:val="18"/>
              </w:rPr>
              <w:t>92 (20.6%)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D39398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61E2A3" w14:textId="77777777" w:rsidR="001C19F3" w:rsidRDefault="001C19F3" w:rsidP="00521305">
            <w:pPr>
              <w:spacing w:before="40" w:after="40"/>
              <w:ind w:left="100" w:right="100"/>
              <w:jc w:val="right"/>
            </w:pPr>
            <w:r>
              <w:rPr>
                <w:rFonts w:eastAsia="Century Gothic" w:cs="Century Gothic"/>
                <w:color w:val="000000"/>
                <w:sz w:val="18"/>
                <w:szCs w:val="18"/>
              </w:rPr>
              <w:t>256 (22.7%)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407030" w14:textId="77777777" w:rsidR="001C19F3" w:rsidRDefault="001C19F3" w:rsidP="00521305">
            <w:pPr>
              <w:spacing w:before="40" w:after="40"/>
              <w:ind w:left="100" w:right="100"/>
              <w:jc w:val="right"/>
            </w:pPr>
            <w:r>
              <w:rPr>
                <w:rFonts w:eastAsia="Century Gothic" w:cs="Century Gothic"/>
                <w:color w:val="000000"/>
                <w:sz w:val="18"/>
                <w:szCs w:val="18"/>
              </w:rPr>
              <w:t>181 (23.6%)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01CCDA3" w14:textId="77777777" w:rsidR="001C19F3" w:rsidRDefault="001C19F3" w:rsidP="00521305">
            <w:pPr>
              <w:spacing w:after="0"/>
              <w:rPr>
                <w:sz w:val="22"/>
              </w:rPr>
            </w:pPr>
          </w:p>
        </w:tc>
      </w:tr>
      <w:tr w:rsidR="001C19F3" w14:paraId="00EA258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0359D5"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9A2C0E" w14:textId="77777777" w:rsidR="001C19F3" w:rsidRDefault="001C19F3" w:rsidP="00521305">
            <w:pPr>
              <w:spacing w:before="40" w:after="40"/>
              <w:ind w:left="100" w:right="100"/>
              <w:jc w:val="center"/>
            </w:pPr>
            <w:r>
              <w:rPr>
                <w:rFonts w:eastAsia="Century Gothic" w:cs="Century Gothic"/>
                <w:color w:val="000000"/>
                <w:sz w:val="18"/>
                <w:szCs w:val="18"/>
              </w:rPr>
              <w:t>1,094 (57.8%)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98C93C" w14:textId="77777777" w:rsidR="001C19F3" w:rsidRDefault="001C19F3" w:rsidP="00521305">
            <w:pPr>
              <w:spacing w:before="40" w:after="40"/>
              <w:ind w:left="100" w:right="100"/>
              <w:jc w:val="center"/>
            </w:pPr>
            <w:r>
              <w:rPr>
                <w:rFonts w:eastAsia="Century Gothic" w:cs="Century Gothic"/>
                <w:color w:val="000000"/>
                <w:sz w:val="18"/>
                <w:szCs w:val="18"/>
              </w:rPr>
              <w:t>243 (58.8%)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6CECD2" w14:textId="77777777" w:rsidR="001C19F3" w:rsidRDefault="001C19F3" w:rsidP="00521305">
            <w:pPr>
              <w:spacing w:before="40" w:after="40"/>
              <w:ind w:left="100" w:right="100"/>
              <w:jc w:val="center"/>
            </w:pPr>
            <w:r>
              <w:rPr>
                <w:rFonts w:eastAsia="Century Gothic" w:cs="Century Gothic"/>
                <w:color w:val="000000"/>
                <w:sz w:val="18"/>
                <w:szCs w:val="18"/>
              </w:rPr>
              <w:t>549 (56.8%)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60EF4" w14:textId="77777777" w:rsidR="001C19F3" w:rsidRDefault="001C19F3" w:rsidP="00521305">
            <w:pPr>
              <w:spacing w:before="40" w:after="40"/>
              <w:ind w:left="100" w:right="100"/>
              <w:jc w:val="center"/>
            </w:pPr>
            <w:r>
              <w:rPr>
                <w:rFonts w:eastAsia="Century Gothic" w:cs="Century Gothic"/>
                <w:color w:val="000000"/>
                <w:sz w:val="18"/>
                <w:szCs w:val="18"/>
              </w:rPr>
              <w:t>259 (57.9%)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B38783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698E96" w14:textId="77777777" w:rsidR="001C19F3" w:rsidRDefault="001C19F3" w:rsidP="00521305">
            <w:pPr>
              <w:spacing w:before="40" w:after="40"/>
              <w:ind w:left="100" w:right="100"/>
              <w:jc w:val="right"/>
            </w:pPr>
            <w:r>
              <w:rPr>
                <w:rFonts w:eastAsia="Century Gothic" w:cs="Century Gothic"/>
                <w:color w:val="000000"/>
                <w:sz w:val="18"/>
                <w:szCs w:val="18"/>
              </w:rPr>
              <w:t>640 (56.7%)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8FBC7A" w14:textId="77777777" w:rsidR="001C19F3" w:rsidRDefault="001C19F3" w:rsidP="00521305">
            <w:pPr>
              <w:spacing w:before="40" w:after="40"/>
              <w:ind w:left="100" w:right="100"/>
              <w:jc w:val="right"/>
            </w:pPr>
            <w:r>
              <w:rPr>
                <w:rFonts w:eastAsia="Century Gothic" w:cs="Century Gothic"/>
                <w:color w:val="000000"/>
                <w:sz w:val="18"/>
                <w:szCs w:val="18"/>
              </w:rPr>
              <w:t>454 (59.3%)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13E5FB2" w14:textId="77777777" w:rsidR="001C19F3" w:rsidRDefault="001C19F3" w:rsidP="00521305">
            <w:pPr>
              <w:spacing w:after="0"/>
              <w:rPr>
                <w:sz w:val="22"/>
              </w:rPr>
            </w:pPr>
          </w:p>
        </w:tc>
      </w:tr>
      <w:tr w:rsidR="001C19F3" w14:paraId="0DBAD32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AE7B3E" w14:textId="77777777" w:rsidR="001C19F3" w:rsidRDefault="001C19F3" w:rsidP="00521305">
            <w:pPr>
              <w:spacing w:before="40" w:after="40"/>
              <w:ind w:left="100" w:right="100"/>
            </w:pPr>
            <w:r>
              <w:rPr>
                <w:rFonts w:eastAsia="Century Gothic" w:cs="Century Gothic"/>
                <w:b/>
                <w:color w:val="000000"/>
                <w:sz w:val="18"/>
                <w:szCs w:val="18"/>
              </w:rPr>
              <w:t>J04 I was shown how what I did to care for myself influenced my condition (Q11)</w:t>
            </w:r>
          </w:p>
        </w:tc>
      </w:tr>
      <w:tr w:rsidR="001C19F3" w14:paraId="25D9369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42D458"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D9285F" w14:textId="77777777" w:rsidR="001C19F3" w:rsidRDefault="001C19F3" w:rsidP="00521305">
            <w:pPr>
              <w:spacing w:before="40" w:after="40"/>
              <w:ind w:left="100" w:right="100"/>
              <w:jc w:val="center"/>
            </w:pPr>
            <w:r>
              <w:rPr>
                <w:rFonts w:eastAsia="Century Gothic" w:cs="Century Gothic"/>
                <w:color w:val="000000"/>
                <w:sz w:val="18"/>
                <w:szCs w:val="18"/>
              </w:rPr>
              <w:t>145 (7.7%)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EE91FD" w14:textId="77777777" w:rsidR="001C19F3" w:rsidRDefault="001C19F3" w:rsidP="00521305">
            <w:pPr>
              <w:spacing w:before="40" w:after="40"/>
              <w:ind w:left="100" w:right="100"/>
              <w:jc w:val="center"/>
            </w:pPr>
            <w:r>
              <w:rPr>
                <w:rFonts w:eastAsia="Century Gothic" w:cs="Century Gothic"/>
                <w:color w:val="000000"/>
                <w:sz w:val="18"/>
                <w:szCs w:val="18"/>
              </w:rPr>
              <w:t>34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6369B4" w14:textId="77777777" w:rsidR="001C19F3" w:rsidRDefault="001C19F3" w:rsidP="00521305">
            <w:pPr>
              <w:spacing w:before="40" w:after="40"/>
              <w:ind w:left="100" w:right="100"/>
              <w:jc w:val="center"/>
            </w:pPr>
            <w:r>
              <w:rPr>
                <w:rFonts w:eastAsia="Century Gothic" w:cs="Century Gothic"/>
                <w:color w:val="000000"/>
                <w:sz w:val="18"/>
                <w:szCs w:val="18"/>
              </w:rPr>
              <w:t>74 (7.6%)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DB1393" w14:textId="77777777" w:rsidR="001C19F3" w:rsidRDefault="001C19F3" w:rsidP="00521305">
            <w:pPr>
              <w:spacing w:before="40" w:after="40"/>
              <w:ind w:left="100" w:right="100"/>
              <w:jc w:val="center"/>
            </w:pPr>
            <w:r>
              <w:rPr>
                <w:rFonts w:eastAsia="Century Gothic" w:cs="Century Gothic"/>
                <w:color w:val="000000"/>
                <w:sz w:val="18"/>
                <w:szCs w:val="18"/>
              </w:rPr>
              <w:t>32 (7.7%)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8AF1E6" w14:textId="77777777" w:rsidR="001C19F3" w:rsidRDefault="001C19F3" w:rsidP="00521305">
            <w:pPr>
              <w:spacing w:before="40" w:after="40"/>
              <w:ind w:left="100" w:right="100"/>
              <w:jc w:val="center"/>
            </w:pPr>
            <w:r>
              <w:rPr>
                <w:rFonts w:eastAsia="Century Gothic" w:cs="Century Gothic"/>
                <w:color w:val="000000"/>
                <w:sz w:val="18"/>
                <w:szCs w:val="18"/>
              </w:rPr>
              <w:t>0.316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6EFC5E" w14:textId="77777777" w:rsidR="001C19F3" w:rsidRDefault="001C19F3" w:rsidP="00521305">
            <w:pPr>
              <w:spacing w:before="40" w:after="40"/>
              <w:ind w:left="100" w:right="100"/>
              <w:jc w:val="right"/>
            </w:pPr>
            <w:r>
              <w:rPr>
                <w:rFonts w:eastAsia="Century Gothic" w:cs="Century Gothic"/>
                <w:color w:val="000000"/>
                <w:sz w:val="18"/>
                <w:szCs w:val="18"/>
              </w:rPr>
              <w:t>101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D466B5" w14:textId="77777777" w:rsidR="001C19F3" w:rsidRDefault="001C19F3" w:rsidP="00521305">
            <w:pPr>
              <w:spacing w:before="40" w:after="40"/>
              <w:ind w:left="100" w:right="100"/>
              <w:jc w:val="right"/>
            </w:pPr>
            <w:r>
              <w:rPr>
                <w:rFonts w:eastAsia="Century Gothic" w:cs="Century Gothic"/>
                <w:color w:val="000000"/>
                <w:sz w:val="18"/>
                <w:szCs w:val="18"/>
              </w:rPr>
              <w:t>44 (5.8%)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750F51" w14:textId="77777777" w:rsidR="001C19F3" w:rsidRDefault="001C19F3" w:rsidP="00521305">
            <w:pPr>
              <w:spacing w:before="40" w:after="40"/>
              <w:ind w:left="100" w:right="100"/>
              <w:jc w:val="right"/>
            </w:pPr>
            <w:r>
              <w:rPr>
                <w:rFonts w:eastAsia="Century Gothic" w:cs="Century Gothic"/>
                <w:color w:val="000000"/>
                <w:sz w:val="18"/>
                <w:szCs w:val="18"/>
              </w:rPr>
              <w:t>0.025</w:t>
            </w:r>
          </w:p>
        </w:tc>
      </w:tr>
      <w:tr w:rsidR="001C19F3" w14:paraId="7D9235F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0F55F6"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6171F4" w14:textId="77777777" w:rsidR="001C19F3" w:rsidRDefault="001C19F3" w:rsidP="00521305">
            <w:pPr>
              <w:spacing w:before="40" w:after="40"/>
              <w:ind w:left="100" w:right="100"/>
              <w:jc w:val="center"/>
            </w:pPr>
            <w:r>
              <w:rPr>
                <w:rFonts w:eastAsia="Century Gothic" w:cs="Century Gothic"/>
                <w:color w:val="000000"/>
                <w:sz w:val="18"/>
                <w:szCs w:val="18"/>
              </w:rPr>
              <w:t>102 (5.4%)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5D8CF2" w14:textId="77777777" w:rsidR="001C19F3" w:rsidRDefault="001C19F3" w:rsidP="00521305">
            <w:pPr>
              <w:spacing w:before="40" w:after="40"/>
              <w:ind w:left="100" w:right="100"/>
              <w:jc w:val="center"/>
            </w:pPr>
            <w:r>
              <w:rPr>
                <w:rFonts w:eastAsia="Century Gothic" w:cs="Century Gothic"/>
                <w:color w:val="000000"/>
                <w:sz w:val="18"/>
                <w:szCs w:val="18"/>
              </w:rPr>
              <w:t>18 (4.3%)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50657" w14:textId="77777777" w:rsidR="001C19F3" w:rsidRDefault="001C19F3" w:rsidP="00521305">
            <w:pPr>
              <w:spacing w:before="40" w:after="40"/>
              <w:ind w:left="100" w:right="100"/>
              <w:jc w:val="center"/>
            </w:pPr>
            <w:r>
              <w:rPr>
                <w:rFonts w:eastAsia="Century Gothic" w:cs="Century Gothic"/>
                <w:color w:val="000000"/>
                <w:sz w:val="18"/>
                <w:szCs w:val="18"/>
              </w:rPr>
              <w:t>50 (5.1%)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011D10" w14:textId="77777777" w:rsidR="001C19F3" w:rsidRDefault="001C19F3" w:rsidP="00521305">
            <w:pPr>
              <w:spacing w:before="40" w:after="40"/>
              <w:ind w:left="100" w:right="100"/>
              <w:jc w:val="center"/>
            </w:pPr>
            <w:r>
              <w:rPr>
                <w:rFonts w:eastAsia="Century Gothic" w:cs="Century Gothic"/>
                <w:color w:val="000000"/>
                <w:sz w:val="18"/>
                <w:szCs w:val="18"/>
              </w:rPr>
              <w:t>30 (7.2%)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8C4A00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3C866E" w14:textId="77777777" w:rsidR="001C19F3" w:rsidRDefault="001C19F3" w:rsidP="00521305">
            <w:pPr>
              <w:spacing w:before="40" w:after="40"/>
              <w:ind w:left="100" w:right="100"/>
              <w:jc w:val="right"/>
            </w:pPr>
            <w:r>
              <w:rPr>
                <w:rFonts w:eastAsia="Century Gothic" w:cs="Century Gothic"/>
                <w:color w:val="000000"/>
                <w:sz w:val="18"/>
                <w:szCs w:val="18"/>
              </w:rPr>
              <w:t>66 (5.9%)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FE3241" w14:textId="77777777" w:rsidR="001C19F3" w:rsidRDefault="001C19F3" w:rsidP="00521305">
            <w:pPr>
              <w:spacing w:before="40" w:after="40"/>
              <w:ind w:left="100" w:right="100"/>
              <w:jc w:val="right"/>
            </w:pPr>
            <w:r>
              <w:rPr>
                <w:rFonts w:eastAsia="Century Gothic" w:cs="Century Gothic"/>
                <w:color w:val="000000"/>
                <w:sz w:val="18"/>
                <w:szCs w:val="18"/>
              </w:rPr>
              <w:t>36 (4.8%)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8DAD109" w14:textId="77777777" w:rsidR="001C19F3" w:rsidRDefault="001C19F3" w:rsidP="00521305">
            <w:pPr>
              <w:spacing w:after="0"/>
              <w:rPr>
                <w:sz w:val="22"/>
              </w:rPr>
            </w:pPr>
          </w:p>
        </w:tc>
      </w:tr>
      <w:tr w:rsidR="001C19F3" w14:paraId="7553751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2DFE27" w14:textId="77777777" w:rsidR="001C19F3" w:rsidRDefault="001C19F3" w:rsidP="00521305">
            <w:pPr>
              <w:spacing w:before="40" w:after="40"/>
              <w:ind w:left="160" w:right="100"/>
            </w:pPr>
            <w:r>
              <w:rPr>
                <w:rFonts w:eastAsia="Century Gothic" w:cs="Century Gothic"/>
                <w:color w:val="000000"/>
                <w:sz w:val="18"/>
                <w:szCs w:val="18"/>
              </w:rPr>
              <w:lastRenderedPageBreak/>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7C16E1" w14:textId="77777777" w:rsidR="001C19F3" w:rsidRDefault="001C19F3" w:rsidP="00521305">
            <w:pPr>
              <w:spacing w:before="40" w:after="40"/>
              <w:ind w:left="100" w:right="100"/>
              <w:jc w:val="center"/>
            </w:pPr>
            <w:r>
              <w:rPr>
                <w:rFonts w:eastAsia="Century Gothic" w:cs="Century Gothic"/>
                <w:color w:val="000000"/>
                <w:sz w:val="18"/>
                <w:szCs w:val="18"/>
              </w:rPr>
              <w:t>269 (14.3%)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868130" w14:textId="77777777" w:rsidR="001C19F3" w:rsidRDefault="001C19F3" w:rsidP="00521305">
            <w:pPr>
              <w:spacing w:before="40" w:after="40"/>
              <w:ind w:left="100" w:right="100"/>
              <w:jc w:val="center"/>
            </w:pPr>
            <w:r>
              <w:rPr>
                <w:rFonts w:eastAsia="Century Gothic" w:cs="Century Gothic"/>
                <w:color w:val="000000"/>
                <w:sz w:val="18"/>
                <w:szCs w:val="18"/>
              </w:rPr>
              <w:t>53 (12.6%)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170B45" w14:textId="77777777" w:rsidR="001C19F3" w:rsidRDefault="001C19F3" w:rsidP="00521305">
            <w:pPr>
              <w:spacing w:before="40" w:after="40"/>
              <w:ind w:left="100" w:right="100"/>
              <w:jc w:val="center"/>
            </w:pPr>
            <w:r>
              <w:rPr>
                <w:rFonts w:eastAsia="Century Gothic" w:cs="Century Gothic"/>
                <w:color w:val="000000"/>
                <w:sz w:val="18"/>
                <w:szCs w:val="18"/>
              </w:rPr>
              <w:t>152 (15.7%)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182138" w14:textId="77777777" w:rsidR="001C19F3" w:rsidRDefault="001C19F3" w:rsidP="00521305">
            <w:pPr>
              <w:spacing w:before="40" w:after="40"/>
              <w:ind w:left="100" w:right="100"/>
              <w:jc w:val="center"/>
            </w:pPr>
            <w:r>
              <w:rPr>
                <w:rFonts w:eastAsia="Century Gothic" w:cs="Century Gothic"/>
                <w:color w:val="000000"/>
                <w:sz w:val="18"/>
                <w:szCs w:val="18"/>
              </w:rPr>
              <w:t>58 (13.9%)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BF424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5F5F77" w14:textId="77777777" w:rsidR="001C19F3" w:rsidRDefault="001C19F3" w:rsidP="00521305">
            <w:pPr>
              <w:spacing w:before="40" w:after="40"/>
              <w:ind w:left="100" w:right="100"/>
              <w:jc w:val="right"/>
            </w:pPr>
            <w:r>
              <w:rPr>
                <w:rFonts w:eastAsia="Century Gothic" w:cs="Century Gothic"/>
                <w:color w:val="000000"/>
                <w:sz w:val="18"/>
                <w:szCs w:val="18"/>
              </w:rPr>
              <w:t>168 (15.0%)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DE0364" w14:textId="77777777" w:rsidR="001C19F3" w:rsidRDefault="001C19F3" w:rsidP="00521305">
            <w:pPr>
              <w:spacing w:before="40" w:after="40"/>
              <w:ind w:left="100" w:right="100"/>
              <w:jc w:val="right"/>
            </w:pPr>
            <w:r>
              <w:rPr>
                <w:rFonts w:eastAsia="Century Gothic" w:cs="Century Gothic"/>
                <w:color w:val="000000"/>
                <w:sz w:val="18"/>
                <w:szCs w:val="18"/>
              </w:rPr>
              <w:t>101 (13.4%)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634DEC8" w14:textId="77777777" w:rsidR="001C19F3" w:rsidRDefault="001C19F3" w:rsidP="00521305">
            <w:pPr>
              <w:spacing w:after="0"/>
              <w:rPr>
                <w:sz w:val="22"/>
              </w:rPr>
            </w:pPr>
          </w:p>
        </w:tc>
      </w:tr>
      <w:tr w:rsidR="001C19F3" w14:paraId="4D40332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C117A1"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44E96" w14:textId="77777777" w:rsidR="001C19F3" w:rsidRDefault="001C19F3" w:rsidP="00521305">
            <w:pPr>
              <w:spacing w:before="40" w:after="40"/>
              <w:ind w:left="100" w:right="100"/>
              <w:jc w:val="center"/>
            </w:pPr>
            <w:r>
              <w:rPr>
                <w:rFonts w:eastAsia="Century Gothic" w:cs="Century Gothic"/>
                <w:color w:val="000000"/>
                <w:sz w:val="18"/>
                <w:szCs w:val="18"/>
              </w:rPr>
              <w:t>561 (29.9%)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3794D5" w14:textId="77777777" w:rsidR="001C19F3" w:rsidRDefault="001C19F3" w:rsidP="00521305">
            <w:pPr>
              <w:spacing w:before="40" w:after="40"/>
              <w:ind w:left="100" w:right="100"/>
              <w:jc w:val="center"/>
            </w:pPr>
            <w:r>
              <w:rPr>
                <w:rFonts w:eastAsia="Century Gothic" w:cs="Century Gothic"/>
                <w:color w:val="000000"/>
                <w:sz w:val="18"/>
                <w:szCs w:val="18"/>
              </w:rPr>
              <w:t>120 (28.4%)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5555AA" w14:textId="77777777" w:rsidR="001C19F3" w:rsidRDefault="001C19F3" w:rsidP="00521305">
            <w:pPr>
              <w:spacing w:before="40" w:after="40"/>
              <w:ind w:left="100" w:right="100"/>
              <w:jc w:val="center"/>
            </w:pPr>
            <w:r>
              <w:rPr>
                <w:rFonts w:eastAsia="Century Gothic" w:cs="Century Gothic"/>
                <w:color w:val="000000"/>
                <w:sz w:val="18"/>
                <w:szCs w:val="18"/>
              </w:rPr>
              <w:t>281 (28.9%)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C453FE" w14:textId="77777777" w:rsidR="001C19F3" w:rsidRDefault="001C19F3" w:rsidP="00521305">
            <w:pPr>
              <w:spacing w:before="40" w:after="40"/>
              <w:ind w:left="100" w:right="100"/>
              <w:jc w:val="center"/>
            </w:pPr>
            <w:r>
              <w:rPr>
                <w:rFonts w:eastAsia="Century Gothic" w:cs="Century Gothic"/>
                <w:color w:val="000000"/>
                <w:sz w:val="18"/>
                <w:szCs w:val="18"/>
              </w:rPr>
              <w:t>133 (31.8%)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4D70D3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22DDEE" w14:textId="77777777" w:rsidR="001C19F3" w:rsidRDefault="001C19F3" w:rsidP="00521305">
            <w:pPr>
              <w:spacing w:before="40" w:after="40"/>
              <w:ind w:left="100" w:right="100"/>
              <w:jc w:val="right"/>
            </w:pPr>
            <w:r>
              <w:rPr>
                <w:rFonts w:eastAsia="Century Gothic" w:cs="Century Gothic"/>
                <w:color w:val="000000"/>
                <w:sz w:val="18"/>
                <w:szCs w:val="18"/>
              </w:rPr>
              <w:t>334 (29.8%)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8E353" w14:textId="77777777" w:rsidR="001C19F3" w:rsidRDefault="001C19F3" w:rsidP="00521305">
            <w:pPr>
              <w:spacing w:before="40" w:after="40"/>
              <w:ind w:left="100" w:right="100"/>
              <w:jc w:val="right"/>
            </w:pPr>
            <w:r>
              <w:rPr>
                <w:rFonts w:eastAsia="Century Gothic" w:cs="Century Gothic"/>
                <w:color w:val="000000"/>
                <w:sz w:val="18"/>
                <w:szCs w:val="18"/>
              </w:rPr>
              <w:t>227 (30.0%)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F25EE9F" w14:textId="77777777" w:rsidR="001C19F3" w:rsidRDefault="001C19F3" w:rsidP="00521305">
            <w:pPr>
              <w:spacing w:after="0"/>
              <w:rPr>
                <w:sz w:val="22"/>
              </w:rPr>
            </w:pPr>
          </w:p>
        </w:tc>
      </w:tr>
      <w:tr w:rsidR="001C19F3" w14:paraId="5387A08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F881B8"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953C0D" w14:textId="77777777" w:rsidR="001C19F3" w:rsidRDefault="001C19F3" w:rsidP="00521305">
            <w:pPr>
              <w:spacing w:before="40" w:after="40"/>
              <w:ind w:left="100" w:right="100"/>
              <w:jc w:val="center"/>
            </w:pPr>
            <w:r>
              <w:rPr>
                <w:rFonts w:eastAsia="Century Gothic" w:cs="Century Gothic"/>
                <w:color w:val="000000"/>
                <w:sz w:val="18"/>
                <w:szCs w:val="18"/>
              </w:rPr>
              <w:t>801 (42.7%)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2D67C9" w14:textId="77777777" w:rsidR="001C19F3" w:rsidRDefault="001C19F3" w:rsidP="00521305">
            <w:pPr>
              <w:spacing w:before="40" w:after="40"/>
              <w:ind w:left="100" w:right="100"/>
              <w:jc w:val="center"/>
            </w:pPr>
            <w:r>
              <w:rPr>
                <w:rFonts w:eastAsia="Century Gothic" w:cs="Century Gothic"/>
                <w:color w:val="000000"/>
                <w:sz w:val="18"/>
                <w:szCs w:val="18"/>
              </w:rPr>
              <w:t>197 (46.7%)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F3522E" w14:textId="77777777" w:rsidR="001C19F3" w:rsidRDefault="001C19F3" w:rsidP="00521305">
            <w:pPr>
              <w:spacing w:before="40" w:after="40"/>
              <w:ind w:left="100" w:right="100"/>
              <w:jc w:val="center"/>
            </w:pPr>
            <w:r>
              <w:rPr>
                <w:rFonts w:eastAsia="Century Gothic" w:cs="Century Gothic"/>
                <w:color w:val="000000"/>
                <w:sz w:val="18"/>
                <w:szCs w:val="18"/>
              </w:rPr>
              <w:t>414 (42.6%)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A4761F" w14:textId="77777777" w:rsidR="001C19F3" w:rsidRDefault="001C19F3" w:rsidP="00521305">
            <w:pPr>
              <w:spacing w:before="40" w:after="40"/>
              <w:ind w:left="100" w:right="100"/>
              <w:jc w:val="center"/>
            </w:pPr>
            <w:r>
              <w:rPr>
                <w:rFonts w:eastAsia="Century Gothic" w:cs="Century Gothic"/>
                <w:color w:val="000000"/>
                <w:sz w:val="18"/>
                <w:szCs w:val="18"/>
              </w:rPr>
              <w:t>165 (39.5%)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543AB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5D1B7B" w14:textId="77777777" w:rsidR="001C19F3" w:rsidRDefault="001C19F3" w:rsidP="00521305">
            <w:pPr>
              <w:spacing w:before="40" w:after="40"/>
              <w:ind w:left="100" w:right="100"/>
              <w:jc w:val="right"/>
            </w:pPr>
            <w:r>
              <w:rPr>
                <w:rFonts w:eastAsia="Century Gothic" w:cs="Century Gothic"/>
                <w:color w:val="000000"/>
                <w:sz w:val="18"/>
                <w:szCs w:val="18"/>
              </w:rPr>
              <w:t>453 (40.4%)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F3FC79" w14:textId="77777777" w:rsidR="001C19F3" w:rsidRDefault="001C19F3" w:rsidP="00521305">
            <w:pPr>
              <w:spacing w:before="40" w:after="40"/>
              <w:ind w:left="100" w:right="100"/>
              <w:jc w:val="right"/>
            </w:pPr>
            <w:r>
              <w:rPr>
                <w:rFonts w:eastAsia="Century Gothic" w:cs="Century Gothic"/>
                <w:color w:val="000000"/>
                <w:sz w:val="18"/>
                <w:szCs w:val="18"/>
              </w:rPr>
              <w:t>348 (46.0%)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629900B" w14:textId="77777777" w:rsidR="001C19F3" w:rsidRDefault="001C19F3" w:rsidP="00521305">
            <w:pPr>
              <w:spacing w:after="0"/>
              <w:rPr>
                <w:sz w:val="22"/>
              </w:rPr>
            </w:pPr>
          </w:p>
        </w:tc>
      </w:tr>
      <w:tr w:rsidR="001C19F3" w14:paraId="1F02B8E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274806" w14:textId="77777777" w:rsidR="001C19F3" w:rsidRDefault="001C19F3" w:rsidP="00521305">
            <w:pPr>
              <w:spacing w:before="40" w:after="40"/>
              <w:ind w:left="100" w:right="100"/>
            </w:pPr>
            <w:r>
              <w:rPr>
                <w:rFonts w:eastAsia="Century Gothic" w:cs="Century Gothic"/>
                <w:b/>
                <w:color w:val="000000"/>
                <w:sz w:val="18"/>
                <w:szCs w:val="18"/>
              </w:rPr>
              <w:t>J05 I was asked to talk about my goals in caring for my condition (Q11)</w:t>
            </w:r>
          </w:p>
        </w:tc>
      </w:tr>
      <w:tr w:rsidR="001C19F3" w14:paraId="5BDF830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7BCAD6"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213C93" w14:textId="77777777" w:rsidR="001C19F3" w:rsidRDefault="001C19F3" w:rsidP="00521305">
            <w:pPr>
              <w:spacing w:before="40" w:after="40"/>
              <w:ind w:left="100" w:right="100"/>
              <w:jc w:val="center"/>
            </w:pPr>
            <w:r>
              <w:rPr>
                <w:rFonts w:eastAsia="Century Gothic" w:cs="Century Gothic"/>
                <w:color w:val="000000"/>
                <w:sz w:val="18"/>
                <w:szCs w:val="18"/>
              </w:rPr>
              <w:t>296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1D9C29" w14:textId="77777777" w:rsidR="001C19F3" w:rsidRDefault="001C19F3" w:rsidP="00521305">
            <w:pPr>
              <w:spacing w:before="40" w:after="40"/>
              <w:ind w:left="100" w:right="100"/>
              <w:jc w:val="center"/>
            </w:pPr>
            <w:r>
              <w:rPr>
                <w:rFonts w:eastAsia="Century Gothic" w:cs="Century Gothic"/>
                <w:color w:val="000000"/>
                <w:sz w:val="18"/>
                <w:szCs w:val="18"/>
              </w:rPr>
              <w:t>75 (17.5%)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FC92AE" w14:textId="77777777" w:rsidR="001C19F3" w:rsidRDefault="001C19F3" w:rsidP="00521305">
            <w:pPr>
              <w:spacing w:before="40" w:after="40"/>
              <w:ind w:left="100" w:right="100"/>
              <w:jc w:val="center"/>
            </w:pPr>
            <w:r>
              <w:rPr>
                <w:rFonts w:eastAsia="Century Gothic" w:cs="Century Gothic"/>
                <w:color w:val="000000"/>
                <w:sz w:val="18"/>
                <w:szCs w:val="18"/>
              </w:rPr>
              <w:t>149 (15.1%)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4097B" w14:textId="77777777" w:rsidR="001C19F3" w:rsidRDefault="001C19F3" w:rsidP="00521305">
            <w:pPr>
              <w:spacing w:before="40" w:after="40"/>
              <w:ind w:left="100" w:right="100"/>
              <w:jc w:val="center"/>
            </w:pPr>
            <w:r>
              <w:rPr>
                <w:rFonts w:eastAsia="Century Gothic" w:cs="Century Gothic"/>
                <w:color w:val="000000"/>
                <w:sz w:val="18"/>
                <w:szCs w:val="18"/>
              </w:rPr>
              <w:t>58 (12.8%)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3C9F95" w14:textId="77777777" w:rsidR="001C19F3" w:rsidRDefault="001C19F3" w:rsidP="00521305">
            <w:pPr>
              <w:spacing w:before="40" w:after="40"/>
              <w:ind w:left="100" w:right="100"/>
              <w:jc w:val="center"/>
            </w:pPr>
            <w:r>
              <w:rPr>
                <w:rFonts w:eastAsia="Century Gothic" w:cs="Century Gothic"/>
                <w:color w:val="000000"/>
                <w:sz w:val="18"/>
                <w:szCs w:val="18"/>
              </w:rPr>
              <w:t>0.171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C2E02F" w14:textId="77777777" w:rsidR="001C19F3" w:rsidRDefault="001C19F3" w:rsidP="00521305">
            <w:pPr>
              <w:spacing w:before="40" w:after="40"/>
              <w:ind w:left="100" w:right="100"/>
              <w:jc w:val="right"/>
            </w:pPr>
            <w:r>
              <w:rPr>
                <w:rFonts w:eastAsia="Century Gothic" w:cs="Century Gothic"/>
                <w:color w:val="000000"/>
                <w:sz w:val="18"/>
                <w:szCs w:val="18"/>
              </w:rPr>
              <w:t>204 (17.7%)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1F48BC" w14:textId="77777777" w:rsidR="001C19F3" w:rsidRDefault="001C19F3" w:rsidP="00521305">
            <w:pPr>
              <w:spacing w:before="40" w:after="40"/>
              <w:ind w:left="100" w:right="100"/>
              <w:jc w:val="right"/>
            </w:pPr>
            <w:r>
              <w:rPr>
                <w:rFonts w:eastAsia="Century Gothic" w:cs="Century Gothic"/>
                <w:color w:val="000000"/>
                <w:sz w:val="18"/>
                <w:szCs w:val="18"/>
              </w:rPr>
              <w:t>92 (11.8%)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363016" w14:textId="77777777" w:rsidR="001C19F3" w:rsidRDefault="001C19F3" w:rsidP="00521305">
            <w:pPr>
              <w:spacing w:before="40" w:after="40"/>
              <w:ind w:left="100" w:right="100"/>
              <w:jc w:val="right"/>
            </w:pPr>
            <w:r>
              <w:rPr>
                <w:rFonts w:eastAsia="Century Gothic" w:cs="Century Gothic"/>
                <w:color w:val="000000"/>
                <w:sz w:val="18"/>
                <w:szCs w:val="18"/>
              </w:rPr>
              <w:t>0.002</w:t>
            </w:r>
          </w:p>
        </w:tc>
      </w:tr>
      <w:tr w:rsidR="001C19F3" w14:paraId="10B0A9A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25E83"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E09F8E" w14:textId="77777777" w:rsidR="001C19F3" w:rsidRDefault="001C19F3" w:rsidP="00521305">
            <w:pPr>
              <w:spacing w:before="40" w:after="40"/>
              <w:ind w:left="100" w:right="100"/>
              <w:jc w:val="center"/>
            </w:pPr>
            <w:r>
              <w:rPr>
                <w:rFonts w:eastAsia="Century Gothic" w:cs="Century Gothic"/>
                <w:color w:val="000000"/>
                <w:sz w:val="18"/>
                <w:szCs w:val="18"/>
              </w:rPr>
              <w:t>146 (7.5%)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55EDDF" w14:textId="77777777" w:rsidR="001C19F3" w:rsidRDefault="001C19F3" w:rsidP="00521305">
            <w:pPr>
              <w:spacing w:before="40" w:after="40"/>
              <w:ind w:left="100" w:right="100"/>
              <w:jc w:val="center"/>
            </w:pPr>
            <w:r>
              <w:rPr>
                <w:rFonts w:eastAsia="Century Gothic" w:cs="Century Gothic"/>
                <w:color w:val="000000"/>
                <w:sz w:val="18"/>
                <w:szCs w:val="18"/>
              </w:rPr>
              <w:t>32 (7.5%)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932AFA" w14:textId="77777777" w:rsidR="001C19F3" w:rsidRDefault="001C19F3" w:rsidP="00521305">
            <w:pPr>
              <w:spacing w:before="40" w:after="40"/>
              <w:ind w:left="100" w:right="100"/>
              <w:jc w:val="center"/>
            </w:pPr>
            <w:r>
              <w:rPr>
                <w:rFonts w:eastAsia="Century Gothic" w:cs="Century Gothic"/>
                <w:color w:val="000000"/>
                <w:sz w:val="18"/>
                <w:szCs w:val="18"/>
              </w:rPr>
              <w:t>75 (7.6%)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47DAF" w14:textId="77777777" w:rsidR="001C19F3" w:rsidRDefault="001C19F3" w:rsidP="00521305">
            <w:pPr>
              <w:spacing w:before="40" w:after="40"/>
              <w:ind w:left="100" w:right="100"/>
              <w:jc w:val="center"/>
            </w:pPr>
            <w:r>
              <w:rPr>
                <w:rFonts w:eastAsia="Century Gothic" w:cs="Century Gothic"/>
                <w:color w:val="000000"/>
                <w:sz w:val="18"/>
                <w:szCs w:val="18"/>
              </w:rPr>
              <w:t>37 (8.2%)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4B6534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A5A72E" w14:textId="77777777" w:rsidR="001C19F3" w:rsidRDefault="001C19F3" w:rsidP="00521305">
            <w:pPr>
              <w:spacing w:before="40" w:after="40"/>
              <w:ind w:left="100" w:right="100"/>
              <w:jc w:val="right"/>
            </w:pPr>
            <w:r>
              <w:rPr>
                <w:rFonts w:eastAsia="Century Gothic" w:cs="Century Gothic"/>
                <w:color w:val="000000"/>
                <w:sz w:val="18"/>
                <w:szCs w:val="18"/>
              </w:rPr>
              <w:t>94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0B6820" w14:textId="77777777" w:rsidR="001C19F3" w:rsidRDefault="001C19F3" w:rsidP="00521305">
            <w:pPr>
              <w:spacing w:before="40" w:after="40"/>
              <w:ind w:left="100" w:right="100"/>
              <w:jc w:val="right"/>
            </w:pPr>
            <w:r>
              <w:rPr>
                <w:rFonts w:eastAsia="Century Gothic" w:cs="Century Gothic"/>
                <w:color w:val="000000"/>
                <w:sz w:val="18"/>
                <w:szCs w:val="18"/>
              </w:rPr>
              <w:t>52 (6.7%)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FA67A5A" w14:textId="77777777" w:rsidR="001C19F3" w:rsidRDefault="001C19F3" w:rsidP="00521305">
            <w:pPr>
              <w:spacing w:after="0"/>
              <w:rPr>
                <w:sz w:val="22"/>
              </w:rPr>
            </w:pPr>
          </w:p>
        </w:tc>
      </w:tr>
      <w:tr w:rsidR="001C19F3" w14:paraId="316CAD1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697F80"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4D39CD" w14:textId="77777777" w:rsidR="001C19F3" w:rsidRDefault="001C19F3" w:rsidP="00521305">
            <w:pPr>
              <w:spacing w:before="40" w:after="40"/>
              <w:ind w:left="100" w:right="100"/>
              <w:jc w:val="center"/>
            </w:pPr>
            <w:r>
              <w:rPr>
                <w:rFonts w:eastAsia="Century Gothic" w:cs="Century Gothic"/>
                <w:color w:val="000000"/>
                <w:sz w:val="18"/>
                <w:szCs w:val="18"/>
              </w:rPr>
              <w:t>362 (18.7%)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AF4152" w14:textId="77777777" w:rsidR="001C19F3" w:rsidRDefault="001C19F3" w:rsidP="00521305">
            <w:pPr>
              <w:spacing w:before="40" w:after="40"/>
              <w:ind w:left="100" w:right="100"/>
              <w:jc w:val="center"/>
            </w:pPr>
            <w:r>
              <w:rPr>
                <w:rFonts w:eastAsia="Century Gothic" w:cs="Century Gothic"/>
                <w:color w:val="000000"/>
                <w:sz w:val="18"/>
                <w:szCs w:val="18"/>
              </w:rPr>
              <w:t>63 (14.7%)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69A414" w14:textId="77777777" w:rsidR="001C19F3" w:rsidRDefault="001C19F3" w:rsidP="00521305">
            <w:pPr>
              <w:spacing w:before="40" w:after="40"/>
              <w:ind w:left="100" w:right="100"/>
              <w:jc w:val="center"/>
            </w:pPr>
            <w:r>
              <w:rPr>
                <w:rFonts w:eastAsia="Century Gothic" w:cs="Century Gothic"/>
                <w:color w:val="000000"/>
                <w:sz w:val="18"/>
                <w:szCs w:val="18"/>
              </w:rPr>
              <w:t>186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C8836F" w14:textId="77777777" w:rsidR="001C19F3" w:rsidRDefault="001C19F3" w:rsidP="00521305">
            <w:pPr>
              <w:spacing w:before="40" w:after="40"/>
              <w:ind w:left="100" w:right="100"/>
              <w:jc w:val="center"/>
            </w:pPr>
            <w:r>
              <w:rPr>
                <w:rFonts w:eastAsia="Century Gothic" w:cs="Century Gothic"/>
                <w:color w:val="000000"/>
                <w:sz w:val="18"/>
                <w:szCs w:val="18"/>
              </w:rPr>
              <w:t>96 (21.2%)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7670FF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DB697D" w14:textId="77777777" w:rsidR="001C19F3" w:rsidRDefault="001C19F3" w:rsidP="00521305">
            <w:pPr>
              <w:spacing w:before="40" w:after="40"/>
              <w:ind w:left="100" w:right="100"/>
              <w:jc w:val="right"/>
            </w:pPr>
            <w:r>
              <w:rPr>
                <w:rFonts w:eastAsia="Century Gothic" w:cs="Century Gothic"/>
                <w:color w:val="000000"/>
                <w:sz w:val="18"/>
                <w:szCs w:val="18"/>
              </w:rPr>
              <w:t>210 (18.2%)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AD18E" w14:textId="77777777" w:rsidR="001C19F3" w:rsidRDefault="001C19F3" w:rsidP="00521305">
            <w:pPr>
              <w:spacing w:before="40" w:after="40"/>
              <w:ind w:left="100" w:right="100"/>
              <w:jc w:val="right"/>
            </w:pPr>
            <w:r>
              <w:rPr>
                <w:rFonts w:eastAsia="Century Gothic" w:cs="Century Gothic"/>
                <w:color w:val="000000"/>
                <w:sz w:val="18"/>
                <w:szCs w:val="18"/>
              </w:rPr>
              <w:t>152 (19.5%)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7F5F2B3" w14:textId="77777777" w:rsidR="001C19F3" w:rsidRDefault="001C19F3" w:rsidP="00521305">
            <w:pPr>
              <w:spacing w:after="0"/>
              <w:rPr>
                <w:sz w:val="22"/>
              </w:rPr>
            </w:pPr>
          </w:p>
        </w:tc>
      </w:tr>
      <w:tr w:rsidR="001C19F3" w14:paraId="7C67DFF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3A4DE9"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CBC0B5" w14:textId="77777777" w:rsidR="001C19F3" w:rsidRDefault="001C19F3" w:rsidP="00521305">
            <w:pPr>
              <w:spacing w:before="40" w:after="40"/>
              <w:ind w:left="100" w:right="100"/>
              <w:jc w:val="center"/>
            </w:pPr>
            <w:r>
              <w:rPr>
                <w:rFonts w:eastAsia="Century Gothic" w:cs="Century Gothic"/>
                <w:color w:val="000000"/>
                <w:sz w:val="18"/>
                <w:szCs w:val="18"/>
              </w:rPr>
              <w:t>499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ACAA29" w14:textId="77777777" w:rsidR="001C19F3" w:rsidRDefault="001C19F3" w:rsidP="00521305">
            <w:pPr>
              <w:spacing w:before="40" w:after="40"/>
              <w:ind w:left="100" w:right="100"/>
              <w:jc w:val="center"/>
            </w:pPr>
            <w:r>
              <w:rPr>
                <w:rFonts w:eastAsia="Century Gothic" w:cs="Century Gothic"/>
                <w:color w:val="000000"/>
                <w:sz w:val="18"/>
                <w:szCs w:val="18"/>
              </w:rPr>
              <w:t>121 (28.3%)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08A887" w14:textId="77777777" w:rsidR="001C19F3" w:rsidRDefault="001C19F3" w:rsidP="00521305">
            <w:pPr>
              <w:spacing w:before="40" w:after="40"/>
              <w:ind w:left="100" w:right="100"/>
              <w:jc w:val="center"/>
            </w:pPr>
            <w:r>
              <w:rPr>
                <w:rFonts w:eastAsia="Century Gothic" w:cs="Century Gothic"/>
                <w:color w:val="000000"/>
                <w:sz w:val="18"/>
                <w:szCs w:val="18"/>
              </w:rPr>
              <w:t>260 (26.4%)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3647BE" w14:textId="77777777" w:rsidR="001C19F3" w:rsidRDefault="001C19F3" w:rsidP="00521305">
            <w:pPr>
              <w:spacing w:before="40" w:after="40"/>
              <w:ind w:left="100" w:right="100"/>
              <w:jc w:val="center"/>
            </w:pPr>
            <w:r>
              <w:rPr>
                <w:rFonts w:eastAsia="Century Gothic" w:cs="Century Gothic"/>
                <w:color w:val="000000"/>
                <w:sz w:val="18"/>
                <w:szCs w:val="18"/>
              </w:rPr>
              <w:t>105 (23.2%)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E6B11E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98DA5" w14:textId="77777777" w:rsidR="001C19F3" w:rsidRDefault="001C19F3" w:rsidP="00521305">
            <w:pPr>
              <w:spacing w:before="40" w:after="40"/>
              <w:ind w:left="100" w:right="100"/>
              <w:jc w:val="right"/>
            </w:pPr>
            <w:r>
              <w:rPr>
                <w:rFonts w:eastAsia="Century Gothic" w:cs="Century Gothic"/>
                <w:color w:val="000000"/>
                <w:sz w:val="18"/>
                <w:szCs w:val="18"/>
              </w:rPr>
              <w:t>296 (25.6%)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DBF9E4" w14:textId="77777777" w:rsidR="001C19F3" w:rsidRDefault="001C19F3" w:rsidP="00521305">
            <w:pPr>
              <w:spacing w:before="40" w:after="40"/>
              <w:ind w:left="100" w:right="100"/>
              <w:jc w:val="right"/>
            </w:pPr>
            <w:r>
              <w:rPr>
                <w:rFonts w:eastAsia="Century Gothic" w:cs="Century Gothic"/>
                <w:color w:val="000000"/>
                <w:sz w:val="18"/>
                <w:szCs w:val="18"/>
              </w:rPr>
              <w:t>203 (26.1%)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70E588C" w14:textId="77777777" w:rsidR="001C19F3" w:rsidRDefault="001C19F3" w:rsidP="00521305">
            <w:pPr>
              <w:spacing w:after="0"/>
              <w:rPr>
                <w:sz w:val="22"/>
              </w:rPr>
            </w:pPr>
          </w:p>
        </w:tc>
      </w:tr>
      <w:tr w:rsidR="001C19F3" w14:paraId="5CB569A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077F77"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B1BA65" w14:textId="77777777" w:rsidR="001C19F3" w:rsidRDefault="001C19F3" w:rsidP="00521305">
            <w:pPr>
              <w:spacing w:before="40" w:after="40"/>
              <w:ind w:left="100" w:right="100"/>
              <w:jc w:val="center"/>
            </w:pPr>
            <w:r>
              <w:rPr>
                <w:rFonts w:eastAsia="Century Gothic" w:cs="Century Gothic"/>
                <w:color w:val="000000"/>
                <w:sz w:val="18"/>
                <w:szCs w:val="18"/>
              </w:rPr>
              <w:t>631 (32.6%)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87714" w14:textId="77777777" w:rsidR="001C19F3" w:rsidRDefault="001C19F3" w:rsidP="00521305">
            <w:pPr>
              <w:spacing w:before="40" w:after="40"/>
              <w:ind w:left="100" w:right="100"/>
              <w:jc w:val="center"/>
            </w:pPr>
            <w:r>
              <w:rPr>
                <w:rFonts w:eastAsia="Century Gothic" w:cs="Century Gothic"/>
                <w:color w:val="000000"/>
                <w:sz w:val="18"/>
                <w:szCs w:val="18"/>
              </w:rPr>
              <w:t>137 (32.0%)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0D118F" w14:textId="77777777" w:rsidR="001C19F3" w:rsidRDefault="001C19F3" w:rsidP="00521305">
            <w:pPr>
              <w:spacing w:before="40" w:after="40"/>
              <w:ind w:left="100" w:right="100"/>
              <w:jc w:val="center"/>
            </w:pPr>
            <w:r>
              <w:rPr>
                <w:rFonts w:eastAsia="Century Gothic" w:cs="Century Gothic"/>
                <w:color w:val="000000"/>
                <w:sz w:val="18"/>
                <w:szCs w:val="18"/>
              </w:rPr>
              <w:t>316 (32.0%)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6765E2" w14:textId="77777777" w:rsidR="001C19F3" w:rsidRDefault="001C19F3" w:rsidP="00521305">
            <w:pPr>
              <w:spacing w:before="40" w:after="40"/>
              <w:ind w:left="100" w:right="100"/>
              <w:jc w:val="center"/>
            </w:pPr>
            <w:r>
              <w:rPr>
                <w:rFonts w:eastAsia="Century Gothic" w:cs="Century Gothic"/>
                <w:color w:val="000000"/>
                <w:sz w:val="18"/>
                <w:szCs w:val="18"/>
              </w:rPr>
              <w:t>157 (34.7%)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BC34C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42113C" w14:textId="77777777" w:rsidR="001C19F3" w:rsidRDefault="001C19F3" w:rsidP="00521305">
            <w:pPr>
              <w:spacing w:before="40" w:after="40"/>
              <w:ind w:left="100" w:right="100"/>
              <w:jc w:val="right"/>
            </w:pPr>
            <w:r>
              <w:rPr>
                <w:rFonts w:eastAsia="Century Gothic" w:cs="Century Gothic"/>
                <w:color w:val="000000"/>
                <w:sz w:val="18"/>
                <w:szCs w:val="18"/>
              </w:rPr>
              <w:t>351 (30.4%)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9BFB33" w14:textId="77777777" w:rsidR="001C19F3" w:rsidRDefault="001C19F3" w:rsidP="00521305">
            <w:pPr>
              <w:spacing w:before="40" w:after="40"/>
              <w:ind w:left="100" w:right="100"/>
              <w:jc w:val="right"/>
            </w:pPr>
            <w:r>
              <w:rPr>
                <w:rFonts w:eastAsia="Century Gothic" w:cs="Century Gothic"/>
                <w:color w:val="000000"/>
                <w:sz w:val="18"/>
                <w:szCs w:val="18"/>
              </w:rPr>
              <w:t>280 (35.9%)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6008330" w14:textId="77777777" w:rsidR="001C19F3" w:rsidRDefault="001C19F3" w:rsidP="00521305">
            <w:pPr>
              <w:spacing w:after="0"/>
              <w:rPr>
                <w:sz w:val="22"/>
              </w:rPr>
            </w:pPr>
          </w:p>
        </w:tc>
      </w:tr>
      <w:tr w:rsidR="001C19F3" w14:paraId="0747AC4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A2313C" w14:textId="77777777" w:rsidR="001C19F3" w:rsidRDefault="001C19F3" w:rsidP="00521305">
            <w:pPr>
              <w:spacing w:before="40" w:after="40"/>
              <w:ind w:left="100" w:right="100"/>
            </w:pPr>
            <w:r>
              <w:rPr>
                <w:rFonts w:eastAsia="Century Gothic" w:cs="Century Gothic"/>
                <w:b/>
                <w:color w:val="000000"/>
                <w:sz w:val="18"/>
                <w:szCs w:val="18"/>
              </w:rPr>
              <w:t>J06 I was helped to set specific goals to improve my eating or exercise (Q11)</w:t>
            </w:r>
          </w:p>
        </w:tc>
      </w:tr>
      <w:tr w:rsidR="001C19F3" w14:paraId="3E8A015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A905B2"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4C58B3" w14:textId="77777777" w:rsidR="001C19F3" w:rsidRDefault="001C19F3" w:rsidP="00521305">
            <w:pPr>
              <w:spacing w:before="40" w:after="40"/>
              <w:ind w:left="100" w:right="100"/>
              <w:jc w:val="center"/>
            </w:pPr>
            <w:r>
              <w:rPr>
                <w:rFonts w:eastAsia="Century Gothic" w:cs="Century Gothic"/>
                <w:color w:val="000000"/>
                <w:sz w:val="18"/>
                <w:szCs w:val="18"/>
              </w:rPr>
              <w:t>306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3BF78" w14:textId="77777777" w:rsidR="001C19F3" w:rsidRDefault="001C19F3" w:rsidP="00521305">
            <w:pPr>
              <w:spacing w:before="40" w:after="40"/>
              <w:ind w:left="100" w:right="100"/>
              <w:jc w:val="center"/>
            </w:pPr>
            <w:r>
              <w:rPr>
                <w:rFonts w:eastAsia="Century Gothic" w:cs="Century Gothic"/>
                <w:color w:val="000000"/>
                <w:sz w:val="18"/>
                <w:szCs w:val="18"/>
              </w:rPr>
              <w:t>72 (17.0%)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051C69" w14:textId="77777777" w:rsidR="001C19F3" w:rsidRDefault="001C19F3" w:rsidP="00521305">
            <w:pPr>
              <w:spacing w:before="40" w:after="40"/>
              <w:ind w:left="100" w:right="100"/>
              <w:jc w:val="center"/>
            </w:pPr>
            <w:r>
              <w:rPr>
                <w:rFonts w:eastAsia="Century Gothic" w:cs="Century Gothic"/>
                <w:color w:val="000000"/>
                <w:sz w:val="18"/>
                <w:szCs w:val="18"/>
              </w:rPr>
              <w:t>153 (15.4%)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1FBC5D" w14:textId="77777777" w:rsidR="001C19F3" w:rsidRDefault="001C19F3" w:rsidP="00521305">
            <w:pPr>
              <w:spacing w:before="40" w:after="40"/>
              <w:ind w:left="100" w:right="100"/>
              <w:jc w:val="center"/>
            </w:pPr>
            <w:r>
              <w:rPr>
                <w:rFonts w:eastAsia="Century Gothic" w:cs="Century Gothic"/>
                <w:color w:val="000000"/>
                <w:sz w:val="18"/>
                <w:szCs w:val="18"/>
              </w:rPr>
              <w:t>66 (14.7%)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8A1BEC" w14:textId="77777777" w:rsidR="001C19F3" w:rsidRDefault="001C19F3" w:rsidP="00521305">
            <w:pPr>
              <w:spacing w:before="40" w:after="40"/>
              <w:ind w:left="100" w:right="100"/>
              <w:jc w:val="center"/>
            </w:pPr>
            <w:r>
              <w:rPr>
                <w:rFonts w:eastAsia="Century Gothic" w:cs="Century Gothic"/>
                <w:color w:val="000000"/>
                <w:sz w:val="18"/>
                <w:szCs w:val="18"/>
              </w:rPr>
              <w:t>0.668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5DE1EE" w14:textId="77777777" w:rsidR="001C19F3" w:rsidRDefault="001C19F3" w:rsidP="00521305">
            <w:pPr>
              <w:spacing w:before="40" w:after="40"/>
              <w:ind w:left="100" w:right="100"/>
              <w:jc w:val="right"/>
            </w:pPr>
            <w:r>
              <w:rPr>
                <w:rFonts w:eastAsia="Century Gothic" w:cs="Century Gothic"/>
                <w:color w:val="000000"/>
                <w:sz w:val="18"/>
                <w:szCs w:val="18"/>
              </w:rPr>
              <w:t>208 (18.0%)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B16651" w14:textId="77777777" w:rsidR="001C19F3" w:rsidRDefault="001C19F3" w:rsidP="00521305">
            <w:pPr>
              <w:spacing w:before="40" w:after="40"/>
              <w:ind w:left="100" w:right="100"/>
              <w:jc w:val="right"/>
            </w:pPr>
            <w:r>
              <w:rPr>
                <w:rFonts w:eastAsia="Century Gothic" w:cs="Century Gothic"/>
                <w:color w:val="000000"/>
                <w:sz w:val="18"/>
                <w:szCs w:val="18"/>
              </w:rPr>
              <w:t>98 (12.6%)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AEF8C1" w14:textId="77777777" w:rsidR="001C19F3" w:rsidRDefault="001C19F3" w:rsidP="00521305">
            <w:pPr>
              <w:spacing w:before="40" w:after="40"/>
              <w:ind w:left="100" w:right="100"/>
              <w:jc w:val="right"/>
            </w:pPr>
            <w:r>
              <w:rPr>
                <w:rFonts w:eastAsia="Century Gothic" w:cs="Century Gothic"/>
                <w:color w:val="000000"/>
                <w:sz w:val="18"/>
                <w:szCs w:val="18"/>
              </w:rPr>
              <w:t>0.024</w:t>
            </w:r>
          </w:p>
        </w:tc>
      </w:tr>
      <w:tr w:rsidR="001C19F3" w14:paraId="463B6D3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16E45"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031D8" w14:textId="77777777" w:rsidR="001C19F3" w:rsidRDefault="001C19F3" w:rsidP="00521305">
            <w:pPr>
              <w:spacing w:before="40" w:after="40"/>
              <w:ind w:left="100" w:right="100"/>
              <w:jc w:val="center"/>
            </w:pPr>
            <w:r>
              <w:rPr>
                <w:rFonts w:eastAsia="Century Gothic" w:cs="Century Gothic"/>
                <w:color w:val="000000"/>
                <w:sz w:val="18"/>
                <w:szCs w:val="18"/>
              </w:rPr>
              <w:t>177 (9.2%)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151112" w14:textId="77777777" w:rsidR="001C19F3" w:rsidRDefault="001C19F3" w:rsidP="00521305">
            <w:pPr>
              <w:spacing w:before="40" w:after="40"/>
              <w:ind w:left="100" w:right="100"/>
              <w:jc w:val="center"/>
            </w:pPr>
            <w:r>
              <w:rPr>
                <w:rFonts w:eastAsia="Century Gothic" w:cs="Century Gothic"/>
                <w:color w:val="000000"/>
                <w:sz w:val="18"/>
                <w:szCs w:val="18"/>
              </w:rPr>
              <w:t>36 (8.5%)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3CC510" w14:textId="77777777" w:rsidR="001C19F3" w:rsidRDefault="001C19F3" w:rsidP="00521305">
            <w:pPr>
              <w:spacing w:before="40" w:after="40"/>
              <w:ind w:left="100" w:right="100"/>
              <w:jc w:val="center"/>
            </w:pPr>
            <w:r>
              <w:rPr>
                <w:rFonts w:eastAsia="Century Gothic" w:cs="Century Gothic"/>
                <w:color w:val="000000"/>
                <w:sz w:val="18"/>
                <w:szCs w:val="18"/>
              </w:rPr>
              <w:t>90 (9.1%)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0FBBC" w14:textId="77777777" w:rsidR="001C19F3" w:rsidRDefault="001C19F3" w:rsidP="00521305">
            <w:pPr>
              <w:spacing w:before="40" w:after="40"/>
              <w:ind w:left="100" w:right="100"/>
              <w:jc w:val="center"/>
            </w:pPr>
            <w:r>
              <w:rPr>
                <w:rFonts w:eastAsia="Century Gothic" w:cs="Century Gothic"/>
                <w:color w:val="000000"/>
                <w:sz w:val="18"/>
                <w:szCs w:val="18"/>
              </w:rPr>
              <w:t>47 (10.5%)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A63E2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A41DD" w14:textId="77777777" w:rsidR="001C19F3" w:rsidRDefault="001C19F3" w:rsidP="00521305">
            <w:pPr>
              <w:spacing w:before="40" w:after="40"/>
              <w:ind w:left="100" w:right="100"/>
              <w:jc w:val="right"/>
            </w:pPr>
            <w:r>
              <w:rPr>
                <w:rFonts w:eastAsia="Century Gothic" w:cs="Century Gothic"/>
                <w:color w:val="000000"/>
                <w:sz w:val="18"/>
                <w:szCs w:val="18"/>
              </w:rPr>
              <w:t>108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DBF63" w14:textId="77777777" w:rsidR="001C19F3" w:rsidRDefault="001C19F3" w:rsidP="00521305">
            <w:pPr>
              <w:spacing w:before="40" w:after="40"/>
              <w:ind w:left="100" w:right="100"/>
              <w:jc w:val="right"/>
            </w:pPr>
            <w:r>
              <w:rPr>
                <w:rFonts w:eastAsia="Century Gothic" w:cs="Century Gothic"/>
                <w:color w:val="000000"/>
                <w:sz w:val="18"/>
                <w:szCs w:val="18"/>
              </w:rPr>
              <w:t>69 (8.9%)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B93F56F" w14:textId="77777777" w:rsidR="001C19F3" w:rsidRDefault="001C19F3" w:rsidP="00521305">
            <w:pPr>
              <w:spacing w:after="0"/>
              <w:rPr>
                <w:sz w:val="22"/>
              </w:rPr>
            </w:pPr>
          </w:p>
        </w:tc>
      </w:tr>
      <w:tr w:rsidR="001C19F3" w14:paraId="4A55DAA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D94179"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B1BA23" w14:textId="77777777" w:rsidR="001C19F3" w:rsidRDefault="001C19F3" w:rsidP="00521305">
            <w:pPr>
              <w:spacing w:before="40" w:after="40"/>
              <w:ind w:left="100" w:right="100"/>
              <w:jc w:val="center"/>
            </w:pPr>
            <w:r>
              <w:rPr>
                <w:rFonts w:eastAsia="Century Gothic" w:cs="Century Gothic"/>
                <w:color w:val="000000"/>
                <w:sz w:val="18"/>
                <w:szCs w:val="18"/>
              </w:rPr>
              <w:t>407 (21.1%)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3EC23C" w14:textId="77777777" w:rsidR="001C19F3" w:rsidRDefault="001C19F3" w:rsidP="00521305">
            <w:pPr>
              <w:spacing w:before="40" w:after="40"/>
              <w:ind w:left="100" w:right="100"/>
              <w:jc w:val="center"/>
            </w:pPr>
            <w:r>
              <w:rPr>
                <w:rFonts w:eastAsia="Century Gothic" w:cs="Century Gothic"/>
                <w:color w:val="000000"/>
                <w:sz w:val="18"/>
                <w:szCs w:val="18"/>
              </w:rPr>
              <w:t>80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AE3265" w14:textId="77777777" w:rsidR="001C19F3" w:rsidRDefault="001C19F3" w:rsidP="00521305">
            <w:pPr>
              <w:spacing w:before="40" w:after="40"/>
              <w:ind w:left="100" w:right="100"/>
              <w:jc w:val="center"/>
            </w:pPr>
            <w:r>
              <w:rPr>
                <w:rFonts w:eastAsia="Century Gothic" w:cs="Century Gothic"/>
                <w:color w:val="000000"/>
                <w:sz w:val="18"/>
                <w:szCs w:val="18"/>
              </w:rPr>
              <w:t>216 (21.8%)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D001D2" w14:textId="77777777" w:rsidR="001C19F3" w:rsidRDefault="001C19F3" w:rsidP="00521305">
            <w:pPr>
              <w:spacing w:before="40" w:after="40"/>
              <w:ind w:left="100" w:right="100"/>
              <w:jc w:val="center"/>
            </w:pPr>
            <w:r>
              <w:rPr>
                <w:rFonts w:eastAsia="Century Gothic" w:cs="Century Gothic"/>
                <w:color w:val="000000"/>
                <w:sz w:val="18"/>
                <w:szCs w:val="18"/>
              </w:rPr>
              <w:t>96 (21.4%)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3E2807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66873B" w14:textId="77777777" w:rsidR="001C19F3" w:rsidRDefault="001C19F3" w:rsidP="00521305">
            <w:pPr>
              <w:spacing w:before="40" w:after="40"/>
              <w:ind w:left="100" w:right="100"/>
              <w:jc w:val="right"/>
            </w:pPr>
            <w:r>
              <w:rPr>
                <w:rFonts w:eastAsia="Century Gothic" w:cs="Century Gothic"/>
                <w:color w:val="000000"/>
                <w:sz w:val="18"/>
                <w:szCs w:val="18"/>
              </w:rPr>
              <w:t>237 (20.6%)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5EB8FA" w14:textId="77777777" w:rsidR="001C19F3" w:rsidRDefault="001C19F3" w:rsidP="00521305">
            <w:pPr>
              <w:spacing w:before="40" w:after="40"/>
              <w:ind w:left="100" w:right="100"/>
              <w:jc w:val="right"/>
            </w:pPr>
            <w:r>
              <w:rPr>
                <w:rFonts w:eastAsia="Century Gothic" w:cs="Century Gothic"/>
                <w:color w:val="000000"/>
                <w:sz w:val="18"/>
                <w:szCs w:val="18"/>
              </w:rPr>
              <w:t>170 (21.9%)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EB20CC" w14:textId="77777777" w:rsidR="001C19F3" w:rsidRDefault="001C19F3" w:rsidP="00521305">
            <w:pPr>
              <w:spacing w:after="0"/>
              <w:rPr>
                <w:sz w:val="22"/>
              </w:rPr>
            </w:pPr>
          </w:p>
        </w:tc>
      </w:tr>
      <w:tr w:rsidR="001C19F3" w14:paraId="08BF74A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B1D00B"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87299C" w14:textId="77777777" w:rsidR="001C19F3" w:rsidRDefault="001C19F3" w:rsidP="00521305">
            <w:pPr>
              <w:spacing w:before="40" w:after="40"/>
              <w:ind w:left="100" w:right="100"/>
              <w:jc w:val="center"/>
            </w:pPr>
            <w:r>
              <w:rPr>
                <w:rFonts w:eastAsia="Century Gothic" w:cs="Century Gothic"/>
                <w:color w:val="000000"/>
                <w:sz w:val="18"/>
                <w:szCs w:val="18"/>
              </w:rPr>
              <w:t>513 (26.6%)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5429ED" w14:textId="77777777" w:rsidR="001C19F3" w:rsidRDefault="001C19F3" w:rsidP="00521305">
            <w:pPr>
              <w:spacing w:before="40" w:after="40"/>
              <w:ind w:left="100" w:right="100"/>
              <w:jc w:val="center"/>
            </w:pPr>
            <w:r>
              <w:rPr>
                <w:rFonts w:eastAsia="Century Gothic" w:cs="Century Gothic"/>
                <w:color w:val="000000"/>
                <w:sz w:val="18"/>
                <w:szCs w:val="18"/>
              </w:rPr>
              <w:t>104 (24.6%)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D94470" w14:textId="77777777" w:rsidR="001C19F3" w:rsidRDefault="001C19F3" w:rsidP="00521305">
            <w:pPr>
              <w:spacing w:before="40" w:after="40"/>
              <w:ind w:left="100" w:right="100"/>
              <w:jc w:val="center"/>
            </w:pPr>
            <w:r>
              <w:rPr>
                <w:rFonts w:eastAsia="Century Gothic" w:cs="Century Gothic"/>
                <w:color w:val="000000"/>
                <w:sz w:val="18"/>
                <w:szCs w:val="18"/>
              </w:rPr>
              <w:t>264 (26.6%)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234047" w14:textId="77777777" w:rsidR="001C19F3" w:rsidRDefault="001C19F3" w:rsidP="00521305">
            <w:pPr>
              <w:spacing w:before="40" w:after="40"/>
              <w:ind w:left="100" w:right="100"/>
              <w:jc w:val="center"/>
            </w:pPr>
            <w:r>
              <w:rPr>
                <w:rFonts w:eastAsia="Century Gothic" w:cs="Century Gothic"/>
                <w:color w:val="000000"/>
                <w:sz w:val="18"/>
                <w:szCs w:val="18"/>
              </w:rPr>
              <w:t>122 (27.2%)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265912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D4E57" w14:textId="77777777" w:rsidR="001C19F3" w:rsidRDefault="001C19F3" w:rsidP="00521305">
            <w:pPr>
              <w:spacing w:before="40" w:after="40"/>
              <w:ind w:left="100" w:right="100"/>
              <w:jc w:val="right"/>
            </w:pPr>
            <w:r>
              <w:rPr>
                <w:rFonts w:eastAsia="Century Gothic" w:cs="Century Gothic"/>
                <w:color w:val="000000"/>
                <w:sz w:val="18"/>
                <w:szCs w:val="18"/>
              </w:rPr>
              <w:t>299 (25.9%)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335804" w14:textId="77777777" w:rsidR="001C19F3" w:rsidRDefault="001C19F3" w:rsidP="00521305">
            <w:pPr>
              <w:spacing w:before="40" w:after="40"/>
              <w:ind w:left="100" w:right="100"/>
              <w:jc w:val="right"/>
            </w:pPr>
            <w:r>
              <w:rPr>
                <w:rFonts w:eastAsia="Century Gothic" w:cs="Century Gothic"/>
                <w:color w:val="000000"/>
                <w:sz w:val="18"/>
                <w:szCs w:val="18"/>
              </w:rPr>
              <w:t>214 (27.5%)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BC46766" w14:textId="77777777" w:rsidR="001C19F3" w:rsidRDefault="001C19F3" w:rsidP="00521305">
            <w:pPr>
              <w:spacing w:after="0"/>
              <w:rPr>
                <w:sz w:val="22"/>
              </w:rPr>
            </w:pPr>
          </w:p>
        </w:tc>
      </w:tr>
      <w:tr w:rsidR="001C19F3" w14:paraId="18B1C73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AA772"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26A185" w14:textId="77777777" w:rsidR="001C19F3" w:rsidRDefault="001C19F3" w:rsidP="00521305">
            <w:pPr>
              <w:spacing w:before="40" w:after="40"/>
              <w:ind w:left="100" w:right="100"/>
              <w:jc w:val="center"/>
            </w:pPr>
            <w:r>
              <w:rPr>
                <w:rFonts w:eastAsia="Century Gothic" w:cs="Century Gothic"/>
                <w:color w:val="000000"/>
                <w:sz w:val="18"/>
                <w:szCs w:val="18"/>
              </w:rPr>
              <w:t>528 (27.3%)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0F54BF" w14:textId="77777777" w:rsidR="001C19F3" w:rsidRDefault="001C19F3" w:rsidP="00521305">
            <w:pPr>
              <w:spacing w:before="40" w:after="40"/>
              <w:ind w:left="100" w:right="100"/>
              <w:jc w:val="center"/>
            </w:pPr>
            <w:r>
              <w:rPr>
                <w:rFonts w:eastAsia="Century Gothic" w:cs="Century Gothic"/>
                <w:color w:val="000000"/>
                <w:sz w:val="18"/>
                <w:szCs w:val="18"/>
              </w:rPr>
              <w:t>131 (31.0%)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2C64E" w14:textId="77777777" w:rsidR="001C19F3" w:rsidRDefault="001C19F3" w:rsidP="00521305">
            <w:pPr>
              <w:spacing w:before="40" w:after="40"/>
              <w:ind w:left="100" w:right="100"/>
              <w:jc w:val="center"/>
            </w:pPr>
            <w:r>
              <w:rPr>
                <w:rFonts w:eastAsia="Century Gothic" w:cs="Century Gothic"/>
                <w:color w:val="000000"/>
                <w:sz w:val="18"/>
                <w:szCs w:val="18"/>
              </w:rPr>
              <w:t>269 (27.1%)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EE6A89" w14:textId="77777777" w:rsidR="001C19F3" w:rsidRDefault="001C19F3" w:rsidP="00521305">
            <w:pPr>
              <w:spacing w:before="40" w:after="40"/>
              <w:ind w:left="100" w:right="100"/>
              <w:jc w:val="center"/>
            </w:pPr>
            <w:r>
              <w:rPr>
                <w:rFonts w:eastAsia="Century Gothic" w:cs="Century Gothic"/>
                <w:color w:val="000000"/>
                <w:sz w:val="18"/>
                <w:szCs w:val="18"/>
              </w:rPr>
              <w:t>117 (26.1%)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77A0B0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05A566" w14:textId="77777777" w:rsidR="001C19F3" w:rsidRDefault="001C19F3" w:rsidP="00521305">
            <w:pPr>
              <w:spacing w:before="40" w:after="40"/>
              <w:ind w:left="100" w:right="100"/>
              <w:jc w:val="right"/>
            </w:pPr>
            <w:r>
              <w:rPr>
                <w:rFonts w:eastAsia="Century Gothic" w:cs="Century Gothic"/>
                <w:color w:val="000000"/>
                <w:sz w:val="18"/>
                <w:szCs w:val="18"/>
              </w:rPr>
              <w:t>301 (26.1%)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A6E0B7" w14:textId="77777777" w:rsidR="001C19F3" w:rsidRDefault="001C19F3" w:rsidP="00521305">
            <w:pPr>
              <w:spacing w:before="40" w:after="40"/>
              <w:ind w:left="100" w:right="100"/>
              <w:jc w:val="right"/>
            </w:pPr>
            <w:r>
              <w:rPr>
                <w:rFonts w:eastAsia="Century Gothic" w:cs="Century Gothic"/>
                <w:color w:val="000000"/>
                <w:sz w:val="18"/>
                <w:szCs w:val="18"/>
              </w:rPr>
              <w:t>227 (29.2%)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407C231" w14:textId="77777777" w:rsidR="001C19F3" w:rsidRDefault="001C19F3" w:rsidP="00521305">
            <w:pPr>
              <w:spacing w:after="0"/>
              <w:rPr>
                <w:sz w:val="22"/>
              </w:rPr>
            </w:pPr>
          </w:p>
        </w:tc>
      </w:tr>
      <w:tr w:rsidR="001C19F3" w14:paraId="2DA09C6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3454A8" w14:textId="77777777" w:rsidR="001C19F3" w:rsidRDefault="001C19F3" w:rsidP="00521305">
            <w:pPr>
              <w:spacing w:before="40" w:after="40"/>
              <w:ind w:left="100" w:right="100"/>
            </w:pPr>
            <w:r>
              <w:rPr>
                <w:rFonts w:eastAsia="Century Gothic" w:cs="Century Gothic"/>
                <w:b/>
                <w:color w:val="000000"/>
                <w:sz w:val="18"/>
                <w:szCs w:val="18"/>
              </w:rPr>
              <w:t>J07 I was given a written list of things I should do to improve my health (Q12)</w:t>
            </w:r>
          </w:p>
        </w:tc>
      </w:tr>
      <w:tr w:rsidR="001C19F3" w14:paraId="3B781BA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9D0080"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28E33F" w14:textId="77777777" w:rsidR="001C19F3" w:rsidRDefault="001C19F3" w:rsidP="00521305">
            <w:pPr>
              <w:spacing w:before="40" w:after="40"/>
              <w:ind w:left="100" w:right="100"/>
              <w:jc w:val="center"/>
            </w:pPr>
            <w:r>
              <w:rPr>
                <w:rFonts w:eastAsia="Century Gothic" w:cs="Century Gothic"/>
                <w:color w:val="000000"/>
                <w:sz w:val="18"/>
                <w:szCs w:val="18"/>
              </w:rPr>
              <w:t>655 (33.8%)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2E34C" w14:textId="77777777" w:rsidR="001C19F3" w:rsidRDefault="001C19F3" w:rsidP="00521305">
            <w:pPr>
              <w:spacing w:before="40" w:after="40"/>
              <w:ind w:left="100" w:right="100"/>
              <w:jc w:val="center"/>
            </w:pPr>
            <w:r>
              <w:rPr>
                <w:rFonts w:eastAsia="Century Gothic" w:cs="Century Gothic"/>
                <w:color w:val="000000"/>
                <w:sz w:val="18"/>
                <w:szCs w:val="18"/>
              </w:rPr>
              <w:t>141 (33.0%)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F69461" w14:textId="77777777" w:rsidR="001C19F3" w:rsidRDefault="001C19F3" w:rsidP="00521305">
            <w:pPr>
              <w:spacing w:before="40" w:after="40"/>
              <w:ind w:left="100" w:right="100"/>
              <w:jc w:val="center"/>
            </w:pPr>
            <w:r>
              <w:rPr>
                <w:rFonts w:eastAsia="Century Gothic" w:cs="Century Gothic"/>
                <w:color w:val="000000"/>
                <w:sz w:val="18"/>
                <w:szCs w:val="18"/>
              </w:rPr>
              <w:t>345 (34.6%)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A728CE" w14:textId="77777777" w:rsidR="001C19F3" w:rsidRDefault="001C19F3" w:rsidP="00521305">
            <w:pPr>
              <w:spacing w:before="40" w:after="40"/>
              <w:ind w:left="100" w:right="100"/>
              <w:jc w:val="center"/>
            </w:pPr>
            <w:r>
              <w:rPr>
                <w:rFonts w:eastAsia="Century Gothic" w:cs="Century Gothic"/>
                <w:color w:val="000000"/>
                <w:sz w:val="18"/>
                <w:szCs w:val="18"/>
              </w:rPr>
              <w:t>137 (30.6%)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D52FF8" w14:textId="77777777" w:rsidR="001C19F3" w:rsidRDefault="001C19F3" w:rsidP="00521305">
            <w:pPr>
              <w:spacing w:before="40" w:after="40"/>
              <w:ind w:left="100" w:right="100"/>
              <w:jc w:val="center"/>
            </w:pPr>
            <w:r>
              <w:rPr>
                <w:rFonts w:eastAsia="Century Gothic" w:cs="Century Gothic"/>
                <w:color w:val="000000"/>
                <w:sz w:val="18"/>
                <w:szCs w:val="18"/>
              </w:rPr>
              <w:t>0.427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9DFB5B" w14:textId="77777777" w:rsidR="001C19F3" w:rsidRDefault="001C19F3" w:rsidP="00521305">
            <w:pPr>
              <w:spacing w:before="40" w:after="40"/>
              <w:ind w:left="100" w:right="100"/>
              <w:jc w:val="right"/>
            </w:pPr>
            <w:r>
              <w:rPr>
                <w:rFonts w:eastAsia="Century Gothic" w:cs="Century Gothic"/>
                <w:color w:val="000000"/>
                <w:sz w:val="18"/>
                <w:szCs w:val="18"/>
              </w:rPr>
              <w:t>429 (37.0%)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C0D017" w14:textId="77777777" w:rsidR="001C19F3" w:rsidRDefault="001C19F3" w:rsidP="00521305">
            <w:pPr>
              <w:spacing w:before="40" w:after="40"/>
              <w:ind w:left="100" w:right="100"/>
              <w:jc w:val="right"/>
            </w:pPr>
            <w:r>
              <w:rPr>
                <w:rFonts w:eastAsia="Century Gothic" w:cs="Century Gothic"/>
                <w:color w:val="000000"/>
                <w:sz w:val="18"/>
                <w:szCs w:val="18"/>
              </w:rPr>
              <w:t>226 (29.0%)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FBC9C4" w14:textId="77777777" w:rsidR="001C19F3" w:rsidRDefault="001C19F3" w:rsidP="00521305">
            <w:pPr>
              <w:spacing w:before="40" w:after="40"/>
              <w:ind w:left="100" w:right="100"/>
              <w:jc w:val="right"/>
            </w:pPr>
            <w:r>
              <w:rPr>
                <w:rFonts w:eastAsia="Century Gothic" w:cs="Century Gothic"/>
                <w:color w:val="000000"/>
                <w:sz w:val="18"/>
                <w:szCs w:val="18"/>
              </w:rPr>
              <w:t>0.002</w:t>
            </w:r>
          </w:p>
        </w:tc>
      </w:tr>
      <w:tr w:rsidR="001C19F3" w14:paraId="317E43D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C99908"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0086B3" w14:textId="77777777" w:rsidR="001C19F3" w:rsidRDefault="001C19F3" w:rsidP="00521305">
            <w:pPr>
              <w:spacing w:before="40" w:after="40"/>
              <w:ind w:left="100" w:right="100"/>
              <w:jc w:val="center"/>
            </w:pPr>
            <w:r>
              <w:rPr>
                <w:rFonts w:eastAsia="Century Gothic" w:cs="Century Gothic"/>
                <w:color w:val="000000"/>
                <w:sz w:val="18"/>
                <w:szCs w:val="18"/>
              </w:rPr>
              <w:t>185 (9.5%)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3C3CBF" w14:textId="77777777" w:rsidR="001C19F3" w:rsidRDefault="001C19F3" w:rsidP="00521305">
            <w:pPr>
              <w:spacing w:before="40" w:after="40"/>
              <w:ind w:left="100" w:right="100"/>
              <w:jc w:val="center"/>
            </w:pPr>
            <w:r>
              <w:rPr>
                <w:rFonts w:eastAsia="Century Gothic" w:cs="Century Gothic"/>
                <w:color w:val="000000"/>
                <w:sz w:val="18"/>
                <w:szCs w:val="18"/>
              </w:rPr>
              <w:t>41 (9.6%)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33C4E" w14:textId="77777777" w:rsidR="001C19F3" w:rsidRDefault="001C19F3" w:rsidP="00521305">
            <w:pPr>
              <w:spacing w:before="40" w:after="40"/>
              <w:ind w:left="100" w:right="100"/>
              <w:jc w:val="center"/>
            </w:pPr>
            <w:r>
              <w:rPr>
                <w:rFonts w:eastAsia="Century Gothic" w:cs="Century Gothic"/>
                <w:color w:val="000000"/>
                <w:sz w:val="18"/>
                <w:szCs w:val="18"/>
              </w:rPr>
              <w:t>89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5D8321" w14:textId="77777777" w:rsidR="001C19F3" w:rsidRDefault="001C19F3" w:rsidP="00521305">
            <w:pPr>
              <w:spacing w:before="40" w:after="40"/>
              <w:ind w:left="100" w:right="100"/>
              <w:jc w:val="center"/>
            </w:pPr>
            <w:r>
              <w:rPr>
                <w:rFonts w:eastAsia="Century Gothic" w:cs="Century Gothic"/>
                <w:color w:val="000000"/>
                <w:sz w:val="18"/>
                <w:szCs w:val="18"/>
              </w:rPr>
              <w:t>49 (10.9%)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E7C807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5A7D7A" w14:textId="77777777" w:rsidR="001C19F3" w:rsidRDefault="001C19F3" w:rsidP="00521305">
            <w:pPr>
              <w:spacing w:before="40" w:after="40"/>
              <w:ind w:left="100" w:right="100"/>
              <w:jc w:val="right"/>
            </w:pPr>
            <w:r>
              <w:rPr>
                <w:rFonts w:eastAsia="Century Gothic" w:cs="Century Gothic"/>
                <w:color w:val="000000"/>
                <w:sz w:val="18"/>
                <w:szCs w:val="18"/>
              </w:rPr>
              <w:t>117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8C762D" w14:textId="77777777" w:rsidR="001C19F3" w:rsidRDefault="001C19F3" w:rsidP="00521305">
            <w:pPr>
              <w:spacing w:before="40" w:after="40"/>
              <w:ind w:left="100" w:right="100"/>
              <w:jc w:val="right"/>
            </w:pPr>
            <w:r>
              <w:rPr>
                <w:rFonts w:eastAsia="Century Gothic" w:cs="Century Gothic"/>
                <w:color w:val="000000"/>
                <w:sz w:val="18"/>
                <w:szCs w:val="18"/>
              </w:rPr>
              <w:t>68 (8.7%)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A9E99C6" w14:textId="77777777" w:rsidR="001C19F3" w:rsidRDefault="001C19F3" w:rsidP="00521305">
            <w:pPr>
              <w:spacing w:after="0"/>
              <w:rPr>
                <w:sz w:val="22"/>
              </w:rPr>
            </w:pPr>
          </w:p>
        </w:tc>
      </w:tr>
      <w:tr w:rsidR="001C19F3" w14:paraId="60F774C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FD0271"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538E81" w14:textId="77777777" w:rsidR="001C19F3" w:rsidRDefault="001C19F3" w:rsidP="00521305">
            <w:pPr>
              <w:spacing w:before="40" w:after="40"/>
              <w:ind w:left="100" w:right="100"/>
              <w:jc w:val="center"/>
            </w:pPr>
            <w:r>
              <w:rPr>
                <w:rFonts w:eastAsia="Century Gothic" w:cs="Century Gothic"/>
                <w:color w:val="000000"/>
                <w:sz w:val="18"/>
                <w:szCs w:val="18"/>
              </w:rPr>
              <w:t>414 (21.3%)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8EC275" w14:textId="77777777" w:rsidR="001C19F3" w:rsidRDefault="001C19F3" w:rsidP="00521305">
            <w:pPr>
              <w:spacing w:before="40" w:after="40"/>
              <w:ind w:left="100" w:right="100"/>
              <w:jc w:val="center"/>
            </w:pPr>
            <w:r>
              <w:rPr>
                <w:rFonts w:eastAsia="Century Gothic" w:cs="Century Gothic"/>
                <w:color w:val="000000"/>
                <w:sz w:val="18"/>
                <w:szCs w:val="18"/>
              </w:rPr>
              <w:t>93 (21.8%)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6C2F2" w14:textId="77777777" w:rsidR="001C19F3" w:rsidRDefault="001C19F3" w:rsidP="00521305">
            <w:pPr>
              <w:spacing w:before="40" w:after="40"/>
              <w:ind w:left="100" w:right="100"/>
              <w:jc w:val="center"/>
            </w:pPr>
            <w:r>
              <w:rPr>
                <w:rFonts w:eastAsia="Century Gothic" w:cs="Century Gothic"/>
                <w:color w:val="000000"/>
                <w:sz w:val="18"/>
                <w:szCs w:val="18"/>
              </w:rPr>
              <w:t>220 (22.0%)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31797C" w14:textId="77777777" w:rsidR="001C19F3" w:rsidRDefault="001C19F3" w:rsidP="00521305">
            <w:pPr>
              <w:spacing w:before="40" w:after="40"/>
              <w:ind w:left="100" w:right="100"/>
              <w:jc w:val="center"/>
            </w:pPr>
            <w:r>
              <w:rPr>
                <w:rFonts w:eastAsia="Century Gothic" w:cs="Century Gothic"/>
                <w:color w:val="000000"/>
                <w:sz w:val="18"/>
                <w:szCs w:val="18"/>
              </w:rPr>
              <w:t>88 (19.6%)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0E4D0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AE1495" w14:textId="77777777" w:rsidR="001C19F3" w:rsidRDefault="001C19F3" w:rsidP="00521305">
            <w:pPr>
              <w:spacing w:before="40" w:after="40"/>
              <w:ind w:left="100" w:right="100"/>
              <w:jc w:val="right"/>
            </w:pPr>
            <w:r>
              <w:rPr>
                <w:rFonts w:eastAsia="Century Gothic" w:cs="Century Gothic"/>
                <w:color w:val="000000"/>
                <w:sz w:val="18"/>
                <w:szCs w:val="18"/>
              </w:rPr>
              <w:t>236 (20.3%)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587F75" w14:textId="77777777" w:rsidR="001C19F3" w:rsidRDefault="001C19F3" w:rsidP="00521305">
            <w:pPr>
              <w:spacing w:before="40" w:after="40"/>
              <w:ind w:left="100" w:right="100"/>
              <w:jc w:val="right"/>
            </w:pPr>
            <w:r>
              <w:rPr>
                <w:rFonts w:eastAsia="Century Gothic" w:cs="Century Gothic"/>
                <w:color w:val="000000"/>
                <w:sz w:val="18"/>
                <w:szCs w:val="18"/>
              </w:rPr>
              <w:t>178 (22.8%)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1E7190" w14:textId="77777777" w:rsidR="001C19F3" w:rsidRDefault="001C19F3" w:rsidP="00521305">
            <w:pPr>
              <w:spacing w:after="0"/>
              <w:rPr>
                <w:sz w:val="22"/>
              </w:rPr>
            </w:pPr>
          </w:p>
        </w:tc>
      </w:tr>
      <w:tr w:rsidR="001C19F3" w14:paraId="0826455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4803D6"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C7E0CA" w14:textId="77777777" w:rsidR="001C19F3" w:rsidRDefault="001C19F3" w:rsidP="00521305">
            <w:pPr>
              <w:spacing w:before="40" w:after="40"/>
              <w:ind w:left="100" w:right="100"/>
              <w:jc w:val="center"/>
            </w:pPr>
            <w:r>
              <w:rPr>
                <w:rFonts w:eastAsia="Century Gothic" w:cs="Century Gothic"/>
                <w:color w:val="000000"/>
                <w:sz w:val="18"/>
                <w:szCs w:val="18"/>
              </w:rPr>
              <w:t>373 (19.2%)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077A20" w14:textId="77777777" w:rsidR="001C19F3" w:rsidRDefault="001C19F3" w:rsidP="00521305">
            <w:pPr>
              <w:spacing w:before="40" w:after="40"/>
              <w:ind w:left="100" w:right="100"/>
              <w:jc w:val="center"/>
            </w:pPr>
            <w:r>
              <w:rPr>
                <w:rFonts w:eastAsia="Century Gothic" w:cs="Century Gothic"/>
                <w:color w:val="000000"/>
                <w:sz w:val="18"/>
                <w:szCs w:val="18"/>
              </w:rPr>
              <w:t>74 (17.3%)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E5082C" w14:textId="77777777" w:rsidR="001C19F3" w:rsidRDefault="001C19F3" w:rsidP="00521305">
            <w:pPr>
              <w:spacing w:before="40" w:after="40"/>
              <w:ind w:left="100" w:right="100"/>
              <w:jc w:val="center"/>
            </w:pPr>
            <w:r>
              <w:rPr>
                <w:rFonts w:eastAsia="Century Gothic" w:cs="Century Gothic"/>
                <w:color w:val="000000"/>
                <w:sz w:val="18"/>
                <w:szCs w:val="18"/>
              </w:rPr>
              <w:t>195 (19.5%)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7650F" w14:textId="77777777" w:rsidR="001C19F3" w:rsidRDefault="001C19F3" w:rsidP="00521305">
            <w:pPr>
              <w:spacing w:before="40" w:after="40"/>
              <w:ind w:left="100" w:right="100"/>
              <w:jc w:val="center"/>
            </w:pPr>
            <w:r>
              <w:rPr>
                <w:rFonts w:eastAsia="Century Gothic" w:cs="Century Gothic"/>
                <w:color w:val="000000"/>
                <w:sz w:val="18"/>
                <w:szCs w:val="18"/>
              </w:rPr>
              <w:t>96 (21.4%)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96CF1E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9E625" w14:textId="77777777" w:rsidR="001C19F3" w:rsidRDefault="001C19F3" w:rsidP="00521305">
            <w:pPr>
              <w:spacing w:before="40" w:after="40"/>
              <w:ind w:left="100" w:right="100"/>
              <w:jc w:val="right"/>
            </w:pPr>
            <w:r>
              <w:rPr>
                <w:rFonts w:eastAsia="Century Gothic" w:cs="Century Gothic"/>
                <w:color w:val="000000"/>
                <w:sz w:val="18"/>
                <w:szCs w:val="18"/>
              </w:rPr>
              <w:t>205 (17.7%)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ED323" w14:textId="77777777" w:rsidR="001C19F3" w:rsidRDefault="001C19F3" w:rsidP="00521305">
            <w:pPr>
              <w:spacing w:before="40" w:after="40"/>
              <w:ind w:left="100" w:right="100"/>
              <w:jc w:val="right"/>
            </w:pPr>
            <w:r>
              <w:rPr>
                <w:rFonts w:eastAsia="Century Gothic" w:cs="Century Gothic"/>
                <w:color w:val="000000"/>
                <w:sz w:val="18"/>
                <w:szCs w:val="18"/>
              </w:rPr>
              <w:t>168 (21.6%)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706BA4F" w14:textId="77777777" w:rsidR="001C19F3" w:rsidRDefault="001C19F3" w:rsidP="00521305">
            <w:pPr>
              <w:spacing w:after="0"/>
              <w:rPr>
                <w:sz w:val="22"/>
              </w:rPr>
            </w:pPr>
          </w:p>
        </w:tc>
      </w:tr>
      <w:tr w:rsidR="001C19F3" w14:paraId="57D970A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3DD505"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21FB2E" w14:textId="77777777" w:rsidR="001C19F3" w:rsidRDefault="001C19F3" w:rsidP="00521305">
            <w:pPr>
              <w:spacing w:before="40" w:after="40"/>
              <w:ind w:left="100" w:right="100"/>
              <w:jc w:val="center"/>
            </w:pPr>
            <w:r>
              <w:rPr>
                <w:rFonts w:eastAsia="Century Gothic" w:cs="Century Gothic"/>
                <w:color w:val="000000"/>
                <w:sz w:val="18"/>
                <w:szCs w:val="18"/>
              </w:rPr>
              <w:t>313 (16.1%)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ADEFCD" w14:textId="77777777" w:rsidR="001C19F3" w:rsidRDefault="001C19F3" w:rsidP="00521305">
            <w:pPr>
              <w:spacing w:before="40" w:after="40"/>
              <w:ind w:left="100" w:right="100"/>
              <w:jc w:val="center"/>
            </w:pPr>
            <w:r>
              <w:rPr>
                <w:rFonts w:eastAsia="Century Gothic" w:cs="Century Gothic"/>
                <w:color w:val="000000"/>
                <w:sz w:val="18"/>
                <w:szCs w:val="18"/>
              </w:rPr>
              <w:t>78 (18.3%)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D54804" w14:textId="77777777" w:rsidR="001C19F3" w:rsidRDefault="001C19F3" w:rsidP="00521305">
            <w:pPr>
              <w:spacing w:before="40" w:after="40"/>
              <w:ind w:left="100" w:right="100"/>
              <w:jc w:val="center"/>
            </w:pPr>
            <w:r>
              <w:rPr>
                <w:rFonts w:eastAsia="Century Gothic" w:cs="Century Gothic"/>
                <w:color w:val="000000"/>
                <w:sz w:val="18"/>
                <w:szCs w:val="18"/>
              </w:rPr>
              <w:t>149 (14.9%)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8924D" w14:textId="77777777" w:rsidR="001C19F3" w:rsidRDefault="001C19F3" w:rsidP="00521305">
            <w:pPr>
              <w:spacing w:before="40" w:after="40"/>
              <w:ind w:left="100" w:right="100"/>
              <w:jc w:val="center"/>
            </w:pPr>
            <w:r>
              <w:rPr>
                <w:rFonts w:eastAsia="Century Gothic" w:cs="Century Gothic"/>
                <w:color w:val="000000"/>
                <w:sz w:val="18"/>
                <w:szCs w:val="18"/>
              </w:rPr>
              <w:t>78 (17.4%)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516D6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E036E2" w14:textId="77777777" w:rsidR="001C19F3" w:rsidRDefault="001C19F3" w:rsidP="00521305">
            <w:pPr>
              <w:spacing w:before="40" w:after="40"/>
              <w:ind w:left="100" w:right="100"/>
              <w:jc w:val="right"/>
            </w:pPr>
            <w:r>
              <w:rPr>
                <w:rFonts w:eastAsia="Century Gothic" w:cs="Century Gothic"/>
                <w:color w:val="000000"/>
                <w:sz w:val="18"/>
                <w:szCs w:val="18"/>
              </w:rPr>
              <w:t>174 (15.0%)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A643BC" w14:textId="77777777" w:rsidR="001C19F3" w:rsidRDefault="001C19F3" w:rsidP="00521305">
            <w:pPr>
              <w:spacing w:before="40" w:after="40"/>
              <w:ind w:left="100" w:right="100"/>
              <w:jc w:val="right"/>
            </w:pPr>
            <w:r>
              <w:rPr>
                <w:rFonts w:eastAsia="Century Gothic" w:cs="Century Gothic"/>
                <w:color w:val="000000"/>
                <w:sz w:val="18"/>
                <w:szCs w:val="18"/>
              </w:rPr>
              <w:t>139 (17.8%)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C814FA7" w14:textId="77777777" w:rsidR="001C19F3" w:rsidRDefault="001C19F3" w:rsidP="00521305">
            <w:pPr>
              <w:spacing w:after="0"/>
              <w:rPr>
                <w:sz w:val="22"/>
              </w:rPr>
            </w:pPr>
          </w:p>
        </w:tc>
      </w:tr>
      <w:tr w:rsidR="001C19F3" w14:paraId="3BA800C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41009" w14:textId="77777777" w:rsidR="001C19F3" w:rsidRDefault="001C19F3" w:rsidP="00521305">
            <w:pPr>
              <w:spacing w:before="40" w:after="40"/>
              <w:ind w:left="100" w:right="100"/>
            </w:pPr>
            <w:r>
              <w:rPr>
                <w:rFonts w:eastAsia="Century Gothic" w:cs="Century Gothic"/>
                <w:b/>
                <w:color w:val="000000"/>
                <w:sz w:val="18"/>
                <w:szCs w:val="18"/>
              </w:rPr>
              <w:t>J08 I was asked questions, either directly or on a survey, about my health habits (Q12)</w:t>
            </w:r>
          </w:p>
        </w:tc>
      </w:tr>
      <w:tr w:rsidR="001C19F3" w14:paraId="7380FE8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32FEDB" w14:textId="77777777" w:rsidR="001C19F3" w:rsidRDefault="001C19F3" w:rsidP="00521305">
            <w:pPr>
              <w:spacing w:before="40" w:after="40"/>
              <w:ind w:left="160" w:right="100"/>
            </w:pPr>
            <w:r>
              <w:rPr>
                <w:rFonts w:eastAsia="Century Gothic" w:cs="Century Gothic"/>
                <w:color w:val="000000"/>
                <w:sz w:val="18"/>
                <w:szCs w:val="18"/>
              </w:rPr>
              <w:lastRenderedPageBreak/>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67D740" w14:textId="77777777" w:rsidR="001C19F3" w:rsidRDefault="001C19F3" w:rsidP="00521305">
            <w:pPr>
              <w:spacing w:before="40" w:after="40"/>
              <w:ind w:left="100" w:right="100"/>
              <w:jc w:val="center"/>
            </w:pPr>
            <w:r>
              <w:rPr>
                <w:rFonts w:eastAsia="Century Gothic" w:cs="Century Gothic"/>
                <w:color w:val="000000"/>
                <w:sz w:val="18"/>
                <w:szCs w:val="18"/>
              </w:rPr>
              <w:t>378 (19.4%)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B974DD" w14:textId="77777777" w:rsidR="001C19F3" w:rsidRDefault="001C19F3" w:rsidP="00521305">
            <w:pPr>
              <w:spacing w:before="40" w:after="40"/>
              <w:ind w:left="100" w:right="100"/>
              <w:jc w:val="center"/>
            </w:pPr>
            <w:r>
              <w:rPr>
                <w:rFonts w:eastAsia="Century Gothic" w:cs="Century Gothic"/>
                <w:color w:val="000000"/>
                <w:sz w:val="18"/>
                <w:szCs w:val="18"/>
              </w:rPr>
              <w:t>92 (21.6%)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C5081F" w14:textId="77777777" w:rsidR="001C19F3" w:rsidRDefault="001C19F3" w:rsidP="00521305">
            <w:pPr>
              <w:spacing w:before="40" w:after="40"/>
              <w:ind w:left="100" w:right="100"/>
              <w:jc w:val="center"/>
            </w:pPr>
            <w:r>
              <w:rPr>
                <w:rFonts w:eastAsia="Century Gothic" w:cs="Century Gothic"/>
                <w:color w:val="000000"/>
                <w:sz w:val="18"/>
                <w:szCs w:val="18"/>
              </w:rPr>
              <w:t>196 (19.6%)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D54BD3" w14:textId="77777777" w:rsidR="001C19F3" w:rsidRDefault="001C19F3" w:rsidP="00521305">
            <w:pPr>
              <w:spacing w:before="40" w:after="40"/>
              <w:ind w:left="100" w:right="100"/>
              <w:jc w:val="center"/>
            </w:pPr>
            <w:r>
              <w:rPr>
                <w:rFonts w:eastAsia="Century Gothic" w:cs="Century Gothic"/>
                <w:color w:val="000000"/>
                <w:sz w:val="18"/>
                <w:szCs w:val="18"/>
              </w:rPr>
              <w:t>76 (16.9%)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CAD132" w14:textId="77777777" w:rsidR="001C19F3" w:rsidRDefault="001C19F3" w:rsidP="00521305">
            <w:pPr>
              <w:spacing w:before="40" w:after="40"/>
              <w:ind w:left="100" w:right="100"/>
              <w:jc w:val="center"/>
            </w:pPr>
            <w:r>
              <w:rPr>
                <w:rFonts w:eastAsia="Century Gothic" w:cs="Century Gothic"/>
                <w:color w:val="000000"/>
                <w:sz w:val="18"/>
                <w:szCs w:val="18"/>
              </w:rPr>
              <w:t>0.270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8223D" w14:textId="77777777" w:rsidR="001C19F3" w:rsidRDefault="001C19F3" w:rsidP="00521305">
            <w:pPr>
              <w:spacing w:before="40" w:after="40"/>
              <w:ind w:left="100" w:right="100"/>
              <w:jc w:val="right"/>
            </w:pPr>
            <w:r>
              <w:rPr>
                <w:rFonts w:eastAsia="Century Gothic" w:cs="Century Gothic"/>
                <w:color w:val="000000"/>
                <w:sz w:val="18"/>
                <w:szCs w:val="18"/>
              </w:rPr>
              <w:t>253 (22.0%)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D6450B" w14:textId="77777777" w:rsidR="001C19F3" w:rsidRDefault="001C19F3" w:rsidP="00521305">
            <w:pPr>
              <w:spacing w:before="40" w:after="40"/>
              <w:ind w:left="100" w:right="100"/>
              <w:jc w:val="right"/>
            </w:pPr>
            <w:r>
              <w:rPr>
                <w:rFonts w:eastAsia="Century Gothic" w:cs="Century Gothic"/>
                <w:color w:val="000000"/>
                <w:sz w:val="18"/>
                <w:szCs w:val="18"/>
              </w:rPr>
              <w:t>125 (15.7%)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38A64" w14:textId="77777777" w:rsidR="001C19F3" w:rsidRDefault="001C19F3" w:rsidP="00521305">
            <w:pPr>
              <w:spacing w:before="40" w:after="40"/>
              <w:ind w:left="100" w:right="100"/>
              <w:jc w:val="right"/>
            </w:pPr>
            <w:r>
              <w:rPr>
                <w:rFonts w:eastAsia="Century Gothic" w:cs="Century Gothic"/>
                <w:color w:val="000000"/>
                <w:sz w:val="18"/>
                <w:szCs w:val="18"/>
              </w:rPr>
              <w:t>0.006</w:t>
            </w:r>
          </w:p>
        </w:tc>
      </w:tr>
      <w:tr w:rsidR="001C19F3" w14:paraId="1D5946F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B1B04D"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C54E6A" w14:textId="77777777" w:rsidR="001C19F3" w:rsidRDefault="001C19F3" w:rsidP="00521305">
            <w:pPr>
              <w:spacing w:before="40" w:after="40"/>
              <w:ind w:left="100" w:right="100"/>
              <w:jc w:val="center"/>
            </w:pPr>
            <w:r>
              <w:rPr>
                <w:rFonts w:eastAsia="Century Gothic" w:cs="Century Gothic"/>
                <w:color w:val="000000"/>
                <w:sz w:val="18"/>
                <w:szCs w:val="18"/>
              </w:rPr>
              <w:t>202 (10.4%)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5E2D8D" w14:textId="77777777" w:rsidR="001C19F3" w:rsidRDefault="001C19F3" w:rsidP="00521305">
            <w:pPr>
              <w:spacing w:before="40" w:after="40"/>
              <w:ind w:left="100" w:right="100"/>
              <w:jc w:val="center"/>
            </w:pPr>
            <w:r>
              <w:rPr>
                <w:rFonts w:eastAsia="Century Gothic" w:cs="Century Gothic"/>
                <w:color w:val="000000"/>
                <w:sz w:val="18"/>
                <w:szCs w:val="18"/>
              </w:rPr>
              <w:t>44 (10.3%)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062310" w14:textId="77777777" w:rsidR="001C19F3" w:rsidRDefault="001C19F3" w:rsidP="00521305">
            <w:pPr>
              <w:spacing w:before="40" w:after="40"/>
              <w:ind w:left="100" w:right="100"/>
              <w:jc w:val="center"/>
            </w:pPr>
            <w:r>
              <w:rPr>
                <w:rFonts w:eastAsia="Century Gothic" w:cs="Century Gothic"/>
                <w:color w:val="000000"/>
                <w:sz w:val="18"/>
                <w:szCs w:val="18"/>
              </w:rPr>
              <w:t>101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7BD011" w14:textId="77777777" w:rsidR="001C19F3" w:rsidRDefault="001C19F3" w:rsidP="00521305">
            <w:pPr>
              <w:spacing w:before="40" w:after="40"/>
              <w:ind w:left="100" w:right="100"/>
              <w:jc w:val="center"/>
            </w:pPr>
            <w:r>
              <w:rPr>
                <w:rFonts w:eastAsia="Century Gothic" w:cs="Century Gothic"/>
                <w:color w:val="000000"/>
                <w:sz w:val="18"/>
                <w:szCs w:val="18"/>
              </w:rPr>
              <w:t>49 (10.9%)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3E9E47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EDB774" w14:textId="77777777" w:rsidR="001C19F3" w:rsidRDefault="001C19F3" w:rsidP="00521305">
            <w:pPr>
              <w:spacing w:before="40" w:after="40"/>
              <w:ind w:left="100" w:right="100"/>
              <w:jc w:val="right"/>
            </w:pPr>
            <w:r>
              <w:rPr>
                <w:rFonts w:eastAsia="Century Gothic" w:cs="Century Gothic"/>
                <w:color w:val="000000"/>
                <w:sz w:val="18"/>
                <w:szCs w:val="18"/>
              </w:rPr>
              <w:t>126 (10.9%)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A3AA9F" w14:textId="77777777" w:rsidR="001C19F3" w:rsidRDefault="001C19F3" w:rsidP="00521305">
            <w:pPr>
              <w:spacing w:before="40" w:after="40"/>
              <w:ind w:left="100" w:right="100"/>
              <w:jc w:val="right"/>
            </w:pPr>
            <w:r>
              <w:rPr>
                <w:rFonts w:eastAsia="Century Gothic" w:cs="Century Gothic"/>
                <w:color w:val="000000"/>
                <w:sz w:val="18"/>
                <w:szCs w:val="18"/>
              </w:rPr>
              <w:t>76 (9.6%)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1D54231" w14:textId="77777777" w:rsidR="001C19F3" w:rsidRDefault="001C19F3" w:rsidP="00521305">
            <w:pPr>
              <w:spacing w:after="0"/>
              <w:rPr>
                <w:sz w:val="22"/>
              </w:rPr>
            </w:pPr>
          </w:p>
        </w:tc>
      </w:tr>
      <w:tr w:rsidR="001C19F3" w14:paraId="1438C45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5350D"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D0DEBC" w14:textId="77777777" w:rsidR="001C19F3" w:rsidRDefault="001C19F3" w:rsidP="00521305">
            <w:pPr>
              <w:spacing w:before="40" w:after="40"/>
              <w:ind w:left="100" w:right="100"/>
              <w:jc w:val="center"/>
            </w:pPr>
            <w:r>
              <w:rPr>
                <w:rFonts w:eastAsia="Century Gothic" w:cs="Century Gothic"/>
                <w:color w:val="000000"/>
                <w:sz w:val="18"/>
                <w:szCs w:val="18"/>
              </w:rPr>
              <w:t>448 (23.0%)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FD8FCF" w14:textId="77777777" w:rsidR="001C19F3" w:rsidRDefault="001C19F3" w:rsidP="00521305">
            <w:pPr>
              <w:spacing w:before="40" w:after="40"/>
              <w:ind w:left="100" w:right="100"/>
              <w:jc w:val="center"/>
            </w:pPr>
            <w:r>
              <w:rPr>
                <w:rFonts w:eastAsia="Century Gothic" w:cs="Century Gothic"/>
                <w:color w:val="000000"/>
                <w:sz w:val="18"/>
                <w:szCs w:val="18"/>
              </w:rPr>
              <w:t>82 (19.2%)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82FD46" w14:textId="77777777" w:rsidR="001C19F3" w:rsidRDefault="001C19F3" w:rsidP="00521305">
            <w:pPr>
              <w:spacing w:before="40" w:after="40"/>
              <w:ind w:left="100" w:right="100"/>
              <w:jc w:val="center"/>
            </w:pPr>
            <w:r>
              <w:rPr>
                <w:rFonts w:eastAsia="Century Gothic" w:cs="Century Gothic"/>
                <w:color w:val="000000"/>
                <w:sz w:val="18"/>
                <w:szCs w:val="18"/>
              </w:rPr>
              <w:t>247 (24.7%)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3B30B0" w14:textId="77777777" w:rsidR="001C19F3" w:rsidRDefault="001C19F3" w:rsidP="00521305">
            <w:pPr>
              <w:spacing w:before="40" w:after="40"/>
              <w:ind w:left="100" w:right="100"/>
              <w:jc w:val="center"/>
            </w:pPr>
            <w:r>
              <w:rPr>
                <w:rFonts w:eastAsia="Century Gothic" w:cs="Century Gothic"/>
                <w:color w:val="000000"/>
                <w:sz w:val="18"/>
                <w:szCs w:val="18"/>
              </w:rPr>
              <w:t>102 (22.6%)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C783A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11EACA" w14:textId="77777777" w:rsidR="001C19F3" w:rsidRDefault="001C19F3" w:rsidP="00521305">
            <w:pPr>
              <w:spacing w:before="40" w:after="40"/>
              <w:ind w:left="100" w:right="100"/>
              <w:jc w:val="right"/>
            </w:pPr>
            <w:r>
              <w:rPr>
                <w:rFonts w:eastAsia="Century Gothic" w:cs="Century Gothic"/>
                <w:color w:val="000000"/>
                <w:sz w:val="18"/>
                <w:szCs w:val="18"/>
              </w:rPr>
              <w:t>251 (21.8%)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693AC5" w14:textId="77777777" w:rsidR="001C19F3" w:rsidRDefault="001C19F3" w:rsidP="00521305">
            <w:pPr>
              <w:spacing w:before="40" w:after="40"/>
              <w:ind w:left="100" w:right="100"/>
              <w:jc w:val="right"/>
            </w:pPr>
            <w:r>
              <w:rPr>
                <w:rFonts w:eastAsia="Century Gothic" w:cs="Century Gothic"/>
                <w:color w:val="000000"/>
                <w:sz w:val="18"/>
                <w:szCs w:val="18"/>
              </w:rPr>
              <w:t>197 (24.8%)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4008D48" w14:textId="77777777" w:rsidR="001C19F3" w:rsidRDefault="001C19F3" w:rsidP="00521305">
            <w:pPr>
              <w:spacing w:after="0"/>
              <w:rPr>
                <w:sz w:val="22"/>
              </w:rPr>
            </w:pPr>
          </w:p>
        </w:tc>
      </w:tr>
      <w:tr w:rsidR="001C19F3" w14:paraId="412C592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D13EDB"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653E0F" w14:textId="77777777" w:rsidR="001C19F3" w:rsidRDefault="001C19F3" w:rsidP="00521305">
            <w:pPr>
              <w:spacing w:before="40" w:after="40"/>
              <w:ind w:left="100" w:right="100"/>
              <w:jc w:val="center"/>
            </w:pPr>
            <w:r>
              <w:rPr>
                <w:rFonts w:eastAsia="Century Gothic" w:cs="Century Gothic"/>
                <w:color w:val="000000"/>
                <w:sz w:val="18"/>
                <w:szCs w:val="18"/>
              </w:rPr>
              <w:t>503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AB1E0" w14:textId="77777777" w:rsidR="001C19F3" w:rsidRDefault="001C19F3" w:rsidP="00521305">
            <w:pPr>
              <w:spacing w:before="40" w:after="40"/>
              <w:ind w:left="100" w:right="100"/>
              <w:jc w:val="center"/>
            </w:pPr>
            <w:r>
              <w:rPr>
                <w:rFonts w:eastAsia="Century Gothic" w:cs="Century Gothic"/>
                <w:color w:val="000000"/>
                <w:sz w:val="18"/>
                <w:szCs w:val="18"/>
              </w:rPr>
              <w:t>119 (27.9%)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568B7C" w14:textId="77777777" w:rsidR="001C19F3" w:rsidRDefault="001C19F3" w:rsidP="00521305">
            <w:pPr>
              <w:spacing w:before="40" w:after="40"/>
              <w:ind w:left="100" w:right="100"/>
              <w:jc w:val="center"/>
            </w:pPr>
            <w:r>
              <w:rPr>
                <w:rFonts w:eastAsia="Century Gothic" w:cs="Century Gothic"/>
                <w:color w:val="000000"/>
                <w:sz w:val="18"/>
                <w:szCs w:val="18"/>
              </w:rPr>
              <w:t>239 (23.9%)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31D4DC" w14:textId="77777777" w:rsidR="001C19F3" w:rsidRDefault="001C19F3" w:rsidP="00521305">
            <w:pPr>
              <w:spacing w:before="40" w:after="40"/>
              <w:ind w:left="100" w:right="100"/>
              <w:jc w:val="center"/>
            </w:pPr>
            <w:r>
              <w:rPr>
                <w:rFonts w:eastAsia="Century Gothic" w:cs="Century Gothic"/>
                <w:color w:val="000000"/>
                <w:sz w:val="18"/>
                <w:szCs w:val="18"/>
              </w:rPr>
              <w:t>127 (28.2%)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FBFDA5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27C39F" w14:textId="77777777" w:rsidR="001C19F3" w:rsidRDefault="001C19F3" w:rsidP="00521305">
            <w:pPr>
              <w:spacing w:before="40" w:after="40"/>
              <w:ind w:left="100" w:right="100"/>
              <w:jc w:val="right"/>
            </w:pPr>
            <w:r>
              <w:rPr>
                <w:rFonts w:eastAsia="Century Gothic" w:cs="Century Gothic"/>
                <w:color w:val="000000"/>
                <w:sz w:val="18"/>
                <w:szCs w:val="18"/>
              </w:rPr>
              <w:t>289 (25.1%)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889550" w14:textId="77777777" w:rsidR="001C19F3" w:rsidRDefault="001C19F3" w:rsidP="00521305">
            <w:pPr>
              <w:spacing w:before="40" w:after="40"/>
              <w:ind w:left="100" w:right="100"/>
              <w:jc w:val="right"/>
            </w:pPr>
            <w:r>
              <w:rPr>
                <w:rFonts w:eastAsia="Century Gothic" w:cs="Century Gothic"/>
                <w:color w:val="000000"/>
                <w:sz w:val="18"/>
                <w:szCs w:val="18"/>
              </w:rPr>
              <w:t>214 (27.0%)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0D4DCED" w14:textId="77777777" w:rsidR="001C19F3" w:rsidRDefault="001C19F3" w:rsidP="00521305">
            <w:pPr>
              <w:spacing w:after="0"/>
              <w:rPr>
                <w:sz w:val="22"/>
              </w:rPr>
            </w:pPr>
          </w:p>
        </w:tc>
      </w:tr>
      <w:tr w:rsidR="001C19F3" w14:paraId="3758EE6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64D39B"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16C21F" w14:textId="77777777" w:rsidR="001C19F3" w:rsidRDefault="001C19F3" w:rsidP="00521305">
            <w:pPr>
              <w:spacing w:before="40" w:after="40"/>
              <w:ind w:left="100" w:right="100"/>
              <w:jc w:val="center"/>
            </w:pPr>
            <w:r>
              <w:rPr>
                <w:rFonts w:eastAsia="Century Gothic" w:cs="Century Gothic"/>
                <w:color w:val="000000"/>
                <w:sz w:val="18"/>
                <w:szCs w:val="18"/>
              </w:rPr>
              <w:t>415 (21.3%)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21C674" w14:textId="77777777" w:rsidR="001C19F3" w:rsidRDefault="001C19F3" w:rsidP="00521305">
            <w:pPr>
              <w:spacing w:before="40" w:after="40"/>
              <w:ind w:left="100" w:right="100"/>
              <w:jc w:val="center"/>
            </w:pPr>
            <w:r>
              <w:rPr>
                <w:rFonts w:eastAsia="Century Gothic" w:cs="Century Gothic"/>
                <w:color w:val="000000"/>
                <w:sz w:val="18"/>
                <w:szCs w:val="18"/>
              </w:rPr>
              <w:t>89 (20.9%)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C7038C" w14:textId="77777777" w:rsidR="001C19F3" w:rsidRDefault="001C19F3" w:rsidP="00521305">
            <w:pPr>
              <w:spacing w:before="40" w:after="40"/>
              <w:ind w:left="100" w:right="100"/>
              <w:jc w:val="center"/>
            </w:pPr>
            <w:r>
              <w:rPr>
                <w:rFonts w:eastAsia="Century Gothic" w:cs="Century Gothic"/>
                <w:color w:val="000000"/>
                <w:sz w:val="18"/>
                <w:szCs w:val="18"/>
              </w:rPr>
              <w:t>219 (21.9%)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DFC3DB" w14:textId="77777777" w:rsidR="001C19F3" w:rsidRDefault="001C19F3" w:rsidP="00521305">
            <w:pPr>
              <w:spacing w:before="40" w:after="40"/>
              <w:ind w:left="100" w:right="100"/>
              <w:jc w:val="center"/>
            </w:pPr>
            <w:r>
              <w:rPr>
                <w:rFonts w:eastAsia="Century Gothic" w:cs="Century Gothic"/>
                <w:color w:val="000000"/>
                <w:sz w:val="18"/>
                <w:szCs w:val="18"/>
              </w:rPr>
              <w:t>97 (21.5%)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A69807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719817" w14:textId="77777777" w:rsidR="001C19F3" w:rsidRDefault="001C19F3" w:rsidP="00521305">
            <w:pPr>
              <w:spacing w:before="40" w:after="40"/>
              <w:ind w:left="100" w:right="100"/>
              <w:jc w:val="right"/>
            </w:pPr>
            <w:r>
              <w:rPr>
                <w:rFonts w:eastAsia="Century Gothic" w:cs="Century Gothic"/>
                <w:color w:val="000000"/>
                <w:sz w:val="18"/>
                <w:szCs w:val="18"/>
              </w:rPr>
              <w:t>233 (20.2%)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E47BCE" w14:textId="77777777" w:rsidR="001C19F3" w:rsidRDefault="001C19F3" w:rsidP="00521305">
            <w:pPr>
              <w:spacing w:before="40" w:after="40"/>
              <w:ind w:left="100" w:right="100"/>
              <w:jc w:val="right"/>
            </w:pPr>
            <w:r>
              <w:rPr>
                <w:rFonts w:eastAsia="Century Gothic" w:cs="Century Gothic"/>
                <w:color w:val="000000"/>
                <w:sz w:val="18"/>
                <w:szCs w:val="18"/>
              </w:rPr>
              <w:t>182 (22.9%)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46E5253" w14:textId="77777777" w:rsidR="001C19F3" w:rsidRDefault="001C19F3" w:rsidP="00521305">
            <w:pPr>
              <w:spacing w:after="0"/>
              <w:rPr>
                <w:sz w:val="22"/>
              </w:rPr>
            </w:pPr>
          </w:p>
        </w:tc>
      </w:tr>
      <w:tr w:rsidR="001C19F3" w14:paraId="30F62031"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BDC9DD" w14:textId="77777777" w:rsidR="001C19F3" w:rsidRDefault="001C19F3" w:rsidP="00521305">
            <w:pPr>
              <w:spacing w:before="40" w:after="40"/>
              <w:ind w:left="100" w:right="100"/>
            </w:pPr>
            <w:r>
              <w:rPr>
                <w:rFonts w:eastAsia="Century Gothic" w:cs="Century Gothic"/>
                <w:b/>
                <w:color w:val="000000"/>
                <w:sz w:val="18"/>
                <w:szCs w:val="18"/>
              </w:rPr>
              <w:t>J09 I was satisfied that my care was well organised (Q12)</w:t>
            </w:r>
          </w:p>
        </w:tc>
      </w:tr>
      <w:tr w:rsidR="001C19F3" w14:paraId="0BD0A0E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3DC9C5"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27FD4" w14:textId="77777777" w:rsidR="001C19F3" w:rsidRDefault="001C19F3" w:rsidP="00521305">
            <w:pPr>
              <w:spacing w:before="40" w:after="40"/>
              <w:ind w:left="100" w:right="100"/>
              <w:jc w:val="center"/>
            </w:pPr>
            <w:r>
              <w:rPr>
                <w:rFonts w:eastAsia="Century Gothic" w:cs="Century Gothic"/>
                <w:color w:val="000000"/>
                <w:sz w:val="18"/>
                <w:szCs w:val="18"/>
              </w:rPr>
              <w:t>38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ECC32" w14:textId="77777777" w:rsidR="001C19F3" w:rsidRDefault="001C19F3" w:rsidP="00521305">
            <w:pPr>
              <w:spacing w:before="40" w:after="40"/>
              <w:ind w:left="100" w:right="100"/>
              <w:jc w:val="center"/>
            </w:pPr>
            <w:r>
              <w:rPr>
                <w:rFonts w:eastAsia="Century Gothic" w:cs="Century Gothic"/>
                <w:color w:val="000000"/>
                <w:sz w:val="18"/>
                <w:szCs w:val="18"/>
              </w:rPr>
              <w:t>13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0C6E75" w14:textId="77777777" w:rsidR="001C19F3" w:rsidRDefault="001C19F3" w:rsidP="00521305">
            <w:pPr>
              <w:spacing w:before="40" w:after="40"/>
              <w:ind w:left="100" w:right="100"/>
              <w:jc w:val="center"/>
            </w:pPr>
            <w:r>
              <w:rPr>
                <w:rFonts w:eastAsia="Century Gothic" w:cs="Century Gothic"/>
                <w:color w:val="000000"/>
                <w:sz w:val="18"/>
                <w:szCs w:val="18"/>
              </w:rPr>
              <w:t>13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F6659B" w14:textId="77777777" w:rsidR="001C19F3" w:rsidRDefault="001C19F3" w:rsidP="00521305">
            <w:pPr>
              <w:spacing w:before="40" w:after="40"/>
              <w:ind w:left="100" w:right="100"/>
              <w:jc w:val="center"/>
            </w:pPr>
            <w:r>
              <w:rPr>
                <w:rFonts w:eastAsia="Century Gothic" w:cs="Century Gothic"/>
                <w:color w:val="000000"/>
                <w:sz w:val="18"/>
                <w:szCs w:val="18"/>
              </w:rPr>
              <w:t>11 (2.4%)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A4C2C0" w14:textId="77777777" w:rsidR="001C19F3" w:rsidRDefault="001C19F3" w:rsidP="00521305">
            <w:pPr>
              <w:spacing w:before="40" w:after="40"/>
              <w:ind w:left="100" w:right="100"/>
              <w:jc w:val="center"/>
            </w:pPr>
            <w:r>
              <w:rPr>
                <w:rFonts w:eastAsia="Century Gothic" w:cs="Century Gothic"/>
                <w:color w:val="000000"/>
                <w:sz w:val="18"/>
                <w:szCs w:val="18"/>
              </w:rPr>
              <w:t>0.110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D0189E" w14:textId="77777777" w:rsidR="001C19F3" w:rsidRDefault="001C19F3" w:rsidP="00521305">
            <w:pPr>
              <w:spacing w:before="40" w:after="40"/>
              <w:ind w:left="100" w:right="100"/>
              <w:jc w:val="right"/>
            </w:pPr>
            <w:r>
              <w:rPr>
                <w:rFonts w:eastAsia="Century Gothic" w:cs="Century Gothic"/>
                <w:color w:val="000000"/>
                <w:sz w:val="18"/>
                <w:szCs w:val="18"/>
              </w:rPr>
              <w:t>28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D2934" w14:textId="77777777" w:rsidR="001C19F3" w:rsidRDefault="001C19F3" w:rsidP="00521305">
            <w:pPr>
              <w:spacing w:before="40" w:after="40"/>
              <w:ind w:left="100" w:right="100"/>
              <w:jc w:val="right"/>
            </w:pPr>
            <w:r>
              <w:rPr>
                <w:rFonts w:eastAsia="Century Gothic" w:cs="Century Gothic"/>
                <w:color w:val="000000"/>
                <w:sz w:val="18"/>
                <w:szCs w:val="18"/>
              </w:rPr>
              <w:t>10 (1.2%)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32BEDA" w14:textId="77777777" w:rsidR="001C19F3" w:rsidRDefault="001C19F3" w:rsidP="00521305">
            <w:pPr>
              <w:spacing w:before="40" w:after="40"/>
              <w:ind w:left="100" w:right="100"/>
              <w:jc w:val="right"/>
            </w:pPr>
            <w:r>
              <w:rPr>
                <w:rFonts w:eastAsia="Century Gothic" w:cs="Century Gothic"/>
                <w:color w:val="000000"/>
                <w:sz w:val="18"/>
                <w:szCs w:val="18"/>
              </w:rPr>
              <w:t>0.088</w:t>
            </w:r>
          </w:p>
        </w:tc>
      </w:tr>
      <w:tr w:rsidR="001C19F3" w14:paraId="6951110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BA042D"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F2404"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5575FC" w14:textId="77777777" w:rsidR="001C19F3" w:rsidRDefault="001C19F3" w:rsidP="00521305">
            <w:pPr>
              <w:spacing w:before="40" w:after="40"/>
              <w:ind w:left="100" w:right="100"/>
              <w:jc w:val="center"/>
            </w:pPr>
            <w:r>
              <w:rPr>
                <w:rFonts w:eastAsia="Century Gothic" w:cs="Century Gothic"/>
                <w:color w:val="000000"/>
                <w:sz w:val="18"/>
                <w:szCs w:val="18"/>
              </w:rPr>
              <w:t>6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9C17CA" w14:textId="77777777" w:rsidR="001C19F3" w:rsidRDefault="001C19F3" w:rsidP="00521305">
            <w:pPr>
              <w:spacing w:before="40" w:after="40"/>
              <w:ind w:left="100" w:right="100"/>
              <w:jc w:val="center"/>
            </w:pPr>
            <w:r>
              <w:rPr>
                <w:rFonts w:eastAsia="Century Gothic" w:cs="Century Gothic"/>
                <w:color w:val="000000"/>
                <w:sz w:val="18"/>
                <w:szCs w:val="18"/>
              </w:rPr>
              <w:t>28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499904" w14:textId="77777777" w:rsidR="001C19F3" w:rsidRDefault="001C19F3" w:rsidP="00521305">
            <w:pPr>
              <w:spacing w:before="40" w:after="40"/>
              <w:ind w:left="100" w:right="100"/>
              <w:jc w:val="center"/>
            </w:pPr>
            <w:r>
              <w:rPr>
                <w:rFonts w:eastAsia="Century Gothic" w:cs="Century Gothic"/>
                <w:color w:val="000000"/>
                <w:sz w:val="18"/>
                <w:szCs w:val="18"/>
              </w:rPr>
              <w:t>16 (3.4%)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80196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5A596F" w14:textId="77777777" w:rsidR="001C19F3" w:rsidRDefault="001C19F3" w:rsidP="00521305">
            <w:pPr>
              <w:spacing w:before="40" w:after="40"/>
              <w:ind w:left="100" w:right="100"/>
              <w:jc w:val="right"/>
            </w:pPr>
            <w:r>
              <w:rPr>
                <w:rFonts w:eastAsia="Century Gothic" w:cs="Century Gothic"/>
                <w:color w:val="000000"/>
                <w:sz w:val="18"/>
                <w:szCs w:val="18"/>
              </w:rPr>
              <w:t>36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25BDD4" w14:textId="77777777" w:rsidR="001C19F3" w:rsidRDefault="001C19F3" w:rsidP="00521305">
            <w:pPr>
              <w:spacing w:before="40" w:after="40"/>
              <w:ind w:left="100" w:right="100"/>
              <w:jc w:val="right"/>
            </w:pPr>
            <w:r>
              <w:rPr>
                <w:rFonts w:eastAsia="Century Gothic" w:cs="Century Gothic"/>
                <w:color w:val="000000"/>
                <w:sz w:val="18"/>
                <w:szCs w:val="18"/>
              </w:rPr>
              <w:t>16 (2.0%)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3F06B4B" w14:textId="77777777" w:rsidR="001C19F3" w:rsidRDefault="001C19F3" w:rsidP="00521305">
            <w:pPr>
              <w:spacing w:after="0"/>
              <w:rPr>
                <w:sz w:val="22"/>
              </w:rPr>
            </w:pPr>
          </w:p>
        </w:tc>
      </w:tr>
      <w:tr w:rsidR="001C19F3" w14:paraId="48322F9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084D2E"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85CAA8" w14:textId="77777777" w:rsidR="001C19F3" w:rsidRDefault="001C19F3" w:rsidP="00521305">
            <w:pPr>
              <w:spacing w:before="40" w:after="40"/>
              <w:ind w:left="100" w:right="100"/>
              <w:jc w:val="center"/>
            </w:pPr>
            <w:r>
              <w:rPr>
                <w:rFonts w:eastAsia="Century Gothic" w:cs="Century Gothic"/>
                <w:color w:val="000000"/>
                <w:sz w:val="18"/>
                <w:szCs w:val="18"/>
              </w:rPr>
              <w:t>114 (5.7%)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BC6CEB" w14:textId="77777777" w:rsidR="001C19F3" w:rsidRDefault="001C19F3" w:rsidP="00521305">
            <w:pPr>
              <w:spacing w:before="40" w:after="40"/>
              <w:ind w:left="100" w:right="100"/>
              <w:jc w:val="center"/>
            </w:pPr>
            <w:r>
              <w:rPr>
                <w:rFonts w:eastAsia="Century Gothic" w:cs="Century Gothic"/>
                <w:color w:val="000000"/>
                <w:sz w:val="18"/>
                <w:szCs w:val="18"/>
              </w:rPr>
              <w:t>20 (4.6%)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AB3DB3" w14:textId="77777777" w:rsidR="001C19F3" w:rsidRDefault="001C19F3" w:rsidP="00521305">
            <w:pPr>
              <w:spacing w:before="40" w:after="40"/>
              <w:ind w:left="100" w:right="100"/>
              <w:jc w:val="center"/>
            </w:pPr>
            <w:r>
              <w:rPr>
                <w:rFonts w:eastAsia="Century Gothic" w:cs="Century Gothic"/>
                <w:color w:val="000000"/>
                <w:sz w:val="18"/>
                <w:szCs w:val="18"/>
              </w:rPr>
              <w:t>63 (6.1%)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6ADD10" w14:textId="77777777" w:rsidR="001C19F3" w:rsidRDefault="001C19F3" w:rsidP="00521305">
            <w:pPr>
              <w:spacing w:before="40" w:after="40"/>
              <w:ind w:left="100" w:right="100"/>
              <w:jc w:val="center"/>
            </w:pPr>
            <w:r>
              <w:rPr>
                <w:rFonts w:eastAsia="Century Gothic" w:cs="Century Gothic"/>
                <w:color w:val="000000"/>
                <w:sz w:val="18"/>
                <w:szCs w:val="18"/>
              </w:rPr>
              <w:t>29 (6.2%)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BAF6AE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513B0" w14:textId="77777777" w:rsidR="001C19F3" w:rsidRDefault="001C19F3" w:rsidP="00521305">
            <w:pPr>
              <w:spacing w:before="40" w:after="40"/>
              <w:ind w:left="100" w:right="100"/>
              <w:jc w:val="right"/>
            </w:pPr>
            <w:r>
              <w:rPr>
                <w:rFonts w:eastAsia="Century Gothic" w:cs="Century Gothic"/>
                <w:color w:val="000000"/>
                <w:sz w:val="18"/>
                <w:szCs w:val="18"/>
              </w:rPr>
              <w:t>66 (5.5%)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F0F804" w14:textId="77777777" w:rsidR="001C19F3" w:rsidRDefault="001C19F3" w:rsidP="00521305">
            <w:pPr>
              <w:spacing w:before="40" w:after="40"/>
              <w:ind w:left="100" w:right="100"/>
              <w:jc w:val="right"/>
            </w:pPr>
            <w:r>
              <w:rPr>
                <w:rFonts w:eastAsia="Century Gothic" w:cs="Century Gothic"/>
                <w:color w:val="000000"/>
                <w:sz w:val="18"/>
                <w:szCs w:val="18"/>
              </w:rPr>
              <w:t>48 (6.0%)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D678A52" w14:textId="77777777" w:rsidR="001C19F3" w:rsidRDefault="001C19F3" w:rsidP="00521305">
            <w:pPr>
              <w:spacing w:after="0"/>
              <w:rPr>
                <w:sz w:val="22"/>
              </w:rPr>
            </w:pPr>
          </w:p>
        </w:tc>
      </w:tr>
      <w:tr w:rsidR="001C19F3" w14:paraId="1AF9751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58E92F"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F6796F" w14:textId="77777777" w:rsidR="001C19F3" w:rsidRDefault="001C19F3" w:rsidP="00521305">
            <w:pPr>
              <w:spacing w:before="40" w:after="40"/>
              <w:ind w:left="100" w:right="100"/>
              <w:jc w:val="center"/>
            </w:pPr>
            <w:r>
              <w:rPr>
                <w:rFonts w:eastAsia="Century Gothic" w:cs="Century Gothic"/>
                <w:color w:val="000000"/>
                <w:sz w:val="18"/>
                <w:szCs w:val="18"/>
              </w:rPr>
              <w:t>469 (23.5%)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9D4422" w14:textId="77777777" w:rsidR="001C19F3" w:rsidRDefault="001C19F3" w:rsidP="00521305">
            <w:pPr>
              <w:spacing w:before="40" w:after="40"/>
              <w:ind w:left="100" w:right="100"/>
              <w:jc w:val="center"/>
            </w:pPr>
            <w:r>
              <w:rPr>
                <w:rFonts w:eastAsia="Century Gothic" w:cs="Century Gothic"/>
                <w:color w:val="000000"/>
                <w:sz w:val="18"/>
                <w:szCs w:val="18"/>
              </w:rPr>
              <w:t>109 (24.9%)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B97A7" w14:textId="77777777" w:rsidR="001C19F3" w:rsidRDefault="001C19F3" w:rsidP="00521305">
            <w:pPr>
              <w:spacing w:before="40" w:after="40"/>
              <w:ind w:left="100" w:right="100"/>
              <w:jc w:val="center"/>
            </w:pPr>
            <w:r>
              <w:rPr>
                <w:rFonts w:eastAsia="Century Gothic" w:cs="Century Gothic"/>
                <w:color w:val="000000"/>
                <w:sz w:val="18"/>
                <w:szCs w:val="18"/>
              </w:rPr>
              <w:t>253 (24.6%)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05D090" w14:textId="77777777" w:rsidR="001C19F3" w:rsidRDefault="001C19F3" w:rsidP="00521305">
            <w:pPr>
              <w:spacing w:before="40" w:after="40"/>
              <w:ind w:left="100" w:right="100"/>
              <w:jc w:val="center"/>
            </w:pPr>
            <w:r>
              <w:rPr>
                <w:rFonts w:eastAsia="Century Gothic" w:cs="Century Gothic"/>
                <w:color w:val="000000"/>
                <w:sz w:val="18"/>
                <w:szCs w:val="18"/>
              </w:rPr>
              <w:t>97 (20.9%)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01EF78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0BFB39" w14:textId="77777777" w:rsidR="001C19F3" w:rsidRDefault="001C19F3" w:rsidP="00521305">
            <w:pPr>
              <w:spacing w:before="40" w:after="40"/>
              <w:ind w:left="100" w:right="100"/>
              <w:jc w:val="right"/>
            </w:pPr>
            <w:r>
              <w:rPr>
                <w:rFonts w:eastAsia="Century Gothic" w:cs="Century Gothic"/>
                <w:color w:val="000000"/>
                <w:sz w:val="18"/>
                <w:szCs w:val="18"/>
              </w:rPr>
              <w:t>293 (24.6%)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B17E1D" w14:textId="77777777" w:rsidR="001C19F3" w:rsidRDefault="001C19F3" w:rsidP="00521305">
            <w:pPr>
              <w:spacing w:before="40" w:after="40"/>
              <w:ind w:left="100" w:right="100"/>
              <w:jc w:val="right"/>
            </w:pPr>
            <w:r>
              <w:rPr>
                <w:rFonts w:eastAsia="Century Gothic" w:cs="Century Gothic"/>
                <w:color w:val="000000"/>
                <w:sz w:val="18"/>
                <w:szCs w:val="18"/>
              </w:rPr>
              <w:t>176 (21.9%)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9401885" w14:textId="77777777" w:rsidR="001C19F3" w:rsidRDefault="001C19F3" w:rsidP="00521305">
            <w:pPr>
              <w:spacing w:after="0"/>
              <w:rPr>
                <w:sz w:val="22"/>
              </w:rPr>
            </w:pPr>
          </w:p>
        </w:tc>
      </w:tr>
      <w:tr w:rsidR="001C19F3" w14:paraId="12BF0B4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0CE357"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7A7C76" w14:textId="77777777" w:rsidR="001C19F3" w:rsidRDefault="001C19F3" w:rsidP="00521305">
            <w:pPr>
              <w:spacing w:before="40" w:after="40"/>
              <w:ind w:left="100" w:right="100"/>
              <w:jc w:val="center"/>
            </w:pPr>
            <w:r>
              <w:rPr>
                <w:rFonts w:eastAsia="Century Gothic" w:cs="Century Gothic"/>
                <w:color w:val="000000"/>
                <w:sz w:val="18"/>
                <w:szCs w:val="18"/>
              </w:rPr>
              <w:t>1,325 (66.3%)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059E72" w14:textId="77777777" w:rsidR="001C19F3" w:rsidRDefault="001C19F3" w:rsidP="00521305">
            <w:pPr>
              <w:spacing w:before="40" w:after="40"/>
              <w:ind w:left="100" w:right="100"/>
              <w:jc w:val="center"/>
            </w:pPr>
            <w:r>
              <w:rPr>
                <w:rFonts w:eastAsia="Century Gothic" w:cs="Century Gothic"/>
                <w:color w:val="000000"/>
                <w:sz w:val="18"/>
                <w:szCs w:val="18"/>
              </w:rPr>
              <w:t>290 (66.2%)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9C649E" w14:textId="77777777" w:rsidR="001C19F3" w:rsidRDefault="001C19F3" w:rsidP="00521305">
            <w:pPr>
              <w:spacing w:before="40" w:after="40"/>
              <w:ind w:left="100" w:right="100"/>
              <w:jc w:val="center"/>
            </w:pPr>
            <w:r>
              <w:rPr>
                <w:rFonts w:eastAsia="Century Gothic" w:cs="Century Gothic"/>
                <w:color w:val="000000"/>
                <w:sz w:val="18"/>
                <w:szCs w:val="18"/>
              </w:rPr>
              <w:t>670 (65.2%)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CCB5C5" w14:textId="77777777" w:rsidR="001C19F3" w:rsidRDefault="001C19F3" w:rsidP="00521305">
            <w:pPr>
              <w:spacing w:before="40" w:after="40"/>
              <w:ind w:left="100" w:right="100"/>
              <w:jc w:val="center"/>
            </w:pPr>
            <w:r>
              <w:rPr>
                <w:rFonts w:eastAsia="Century Gothic" w:cs="Century Gothic"/>
                <w:color w:val="000000"/>
                <w:sz w:val="18"/>
                <w:szCs w:val="18"/>
              </w:rPr>
              <w:t>312 (67.1%)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666457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84E770" w14:textId="77777777" w:rsidR="001C19F3" w:rsidRDefault="001C19F3" w:rsidP="00521305">
            <w:pPr>
              <w:spacing w:before="40" w:after="40"/>
              <w:ind w:left="100" w:right="100"/>
              <w:jc w:val="right"/>
            </w:pPr>
            <w:r>
              <w:rPr>
                <w:rFonts w:eastAsia="Century Gothic" w:cs="Century Gothic"/>
                <w:color w:val="000000"/>
                <w:sz w:val="18"/>
                <w:szCs w:val="18"/>
              </w:rPr>
              <w:t>770 (64.5%)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AF866A" w14:textId="77777777" w:rsidR="001C19F3" w:rsidRDefault="001C19F3" w:rsidP="00521305">
            <w:pPr>
              <w:spacing w:before="40" w:after="40"/>
              <w:ind w:left="100" w:right="100"/>
              <w:jc w:val="right"/>
            </w:pPr>
            <w:r>
              <w:rPr>
                <w:rFonts w:eastAsia="Century Gothic" w:cs="Century Gothic"/>
                <w:color w:val="000000"/>
                <w:sz w:val="18"/>
                <w:szCs w:val="18"/>
              </w:rPr>
              <w:t>555 (68.9%)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5C43200" w14:textId="77777777" w:rsidR="001C19F3" w:rsidRDefault="001C19F3" w:rsidP="00521305">
            <w:pPr>
              <w:spacing w:after="0"/>
              <w:rPr>
                <w:sz w:val="22"/>
              </w:rPr>
            </w:pPr>
          </w:p>
        </w:tc>
      </w:tr>
      <w:tr w:rsidR="001C19F3" w14:paraId="4CBAB72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1FCAFA" w14:textId="77777777" w:rsidR="001C19F3" w:rsidRDefault="001C19F3" w:rsidP="00521305">
            <w:pPr>
              <w:spacing w:before="40" w:after="40"/>
              <w:ind w:left="100" w:right="100"/>
            </w:pPr>
            <w:r>
              <w:rPr>
                <w:rFonts w:eastAsia="Century Gothic" w:cs="Century Gothic"/>
                <w:b/>
                <w:color w:val="000000"/>
                <w:sz w:val="18"/>
                <w:szCs w:val="18"/>
              </w:rPr>
              <w:t>J10 I was contacted after a visit to see how things were going (Q12)</w:t>
            </w:r>
          </w:p>
        </w:tc>
      </w:tr>
      <w:tr w:rsidR="001C19F3" w14:paraId="2D6F884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11474F"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E96A01" w14:textId="77777777" w:rsidR="001C19F3" w:rsidRDefault="001C19F3" w:rsidP="00521305">
            <w:pPr>
              <w:spacing w:before="40" w:after="40"/>
              <w:ind w:left="100" w:right="100"/>
              <w:jc w:val="center"/>
            </w:pPr>
            <w:r>
              <w:rPr>
                <w:rFonts w:eastAsia="Century Gothic" w:cs="Century Gothic"/>
                <w:color w:val="000000"/>
                <w:sz w:val="18"/>
                <w:szCs w:val="18"/>
              </w:rPr>
              <w:t>767 (39.5%)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948D12" w14:textId="77777777" w:rsidR="001C19F3" w:rsidRDefault="001C19F3" w:rsidP="00521305">
            <w:pPr>
              <w:spacing w:before="40" w:after="40"/>
              <w:ind w:left="100" w:right="100"/>
              <w:jc w:val="center"/>
            </w:pPr>
            <w:r>
              <w:rPr>
                <w:rFonts w:eastAsia="Century Gothic" w:cs="Century Gothic"/>
                <w:color w:val="000000"/>
                <w:sz w:val="18"/>
                <w:szCs w:val="18"/>
              </w:rPr>
              <w:t>176 (41.6%)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F4A3CF" w14:textId="77777777" w:rsidR="001C19F3" w:rsidRDefault="001C19F3" w:rsidP="00521305">
            <w:pPr>
              <w:spacing w:before="40" w:after="40"/>
              <w:ind w:left="100" w:right="100"/>
              <w:jc w:val="center"/>
            </w:pPr>
            <w:r>
              <w:rPr>
                <w:rFonts w:eastAsia="Century Gothic" w:cs="Century Gothic"/>
                <w:color w:val="000000"/>
                <w:sz w:val="18"/>
                <w:szCs w:val="18"/>
              </w:rPr>
              <w:t>415 (41.3%)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3D25D9" w14:textId="77777777" w:rsidR="001C19F3" w:rsidRDefault="001C19F3" w:rsidP="00521305">
            <w:pPr>
              <w:spacing w:before="40" w:after="40"/>
              <w:ind w:left="100" w:right="100"/>
              <w:jc w:val="center"/>
            </w:pPr>
            <w:r>
              <w:rPr>
                <w:rFonts w:eastAsia="Century Gothic" w:cs="Century Gothic"/>
                <w:color w:val="000000"/>
                <w:sz w:val="18"/>
                <w:szCs w:val="18"/>
              </w:rPr>
              <w:t>150 (33.5%)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E1D42B" w14:textId="77777777" w:rsidR="001C19F3" w:rsidRDefault="001C19F3" w:rsidP="00521305">
            <w:pPr>
              <w:spacing w:before="40" w:after="40"/>
              <w:ind w:left="100" w:right="100"/>
              <w:jc w:val="center"/>
            </w:pPr>
            <w:r>
              <w:rPr>
                <w:rFonts w:eastAsia="Century Gothic" w:cs="Century Gothic"/>
                <w:color w:val="000000"/>
                <w:sz w:val="18"/>
                <w:szCs w:val="18"/>
              </w:rPr>
              <w:t>0.023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954366" w14:textId="77777777" w:rsidR="001C19F3" w:rsidRDefault="001C19F3" w:rsidP="00521305">
            <w:pPr>
              <w:spacing w:before="40" w:after="40"/>
              <w:ind w:left="100" w:right="100"/>
              <w:jc w:val="right"/>
            </w:pPr>
            <w:r>
              <w:rPr>
                <w:rFonts w:eastAsia="Century Gothic" w:cs="Century Gothic"/>
                <w:color w:val="000000"/>
                <w:sz w:val="18"/>
                <w:szCs w:val="18"/>
              </w:rPr>
              <w:t>498 (42.9%)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47685C" w14:textId="77777777" w:rsidR="001C19F3" w:rsidRDefault="001C19F3" w:rsidP="00521305">
            <w:pPr>
              <w:spacing w:before="40" w:after="40"/>
              <w:ind w:left="100" w:right="100"/>
              <w:jc w:val="right"/>
            </w:pPr>
            <w:r>
              <w:rPr>
                <w:rFonts w:eastAsia="Century Gothic" w:cs="Century Gothic"/>
                <w:color w:val="000000"/>
                <w:sz w:val="18"/>
                <w:szCs w:val="18"/>
              </w:rPr>
              <w:t>269 (34.4%)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B7620"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8F4BC3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CB35A1"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D5194F" w14:textId="77777777" w:rsidR="001C19F3" w:rsidRDefault="001C19F3" w:rsidP="00521305">
            <w:pPr>
              <w:spacing w:before="40" w:after="40"/>
              <w:ind w:left="100" w:right="100"/>
              <w:jc w:val="center"/>
            </w:pPr>
            <w:r>
              <w:rPr>
                <w:rFonts w:eastAsia="Century Gothic" w:cs="Century Gothic"/>
                <w:color w:val="000000"/>
                <w:sz w:val="18"/>
                <w:szCs w:val="18"/>
              </w:rPr>
              <w:t>186 (9.6%)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38D1E7" w14:textId="77777777" w:rsidR="001C19F3" w:rsidRDefault="001C19F3" w:rsidP="00521305">
            <w:pPr>
              <w:spacing w:before="40" w:after="40"/>
              <w:ind w:left="100" w:right="100"/>
              <w:jc w:val="center"/>
            </w:pPr>
            <w:r>
              <w:rPr>
                <w:rFonts w:eastAsia="Century Gothic" w:cs="Century Gothic"/>
                <w:color w:val="000000"/>
                <w:sz w:val="18"/>
                <w:szCs w:val="18"/>
              </w:rPr>
              <w:t>51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D95B78" w14:textId="77777777" w:rsidR="001C19F3" w:rsidRDefault="001C19F3" w:rsidP="00521305">
            <w:pPr>
              <w:spacing w:before="40" w:after="40"/>
              <w:ind w:left="100" w:right="100"/>
              <w:jc w:val="center"/>
            </w:pPr>
            <w:r>
              <w:rPr>
                <w:rFonts w:eastAsia="Century Gothic" w:cs="Century Gothic"/>
                <w:color w:val="000000"/>
                <w:sz w:val="18"/>
                <w:szCs w:val="18"/>
              </w:rPr>
              <w:t>88 (8.8%)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96C82E" w14:textId="77777777" w:rsidR="001C19F3" w:rsidRDefault="001C19F3" w:rsidP="00521305">
            <w:pPr>
              <w:spacing w:before="40" w:after="40"/>
              <w:ind w:left="100" w:right="100"/>
              <w:jc w:val="center"/>
            </w:pPr>
            <w:r>
              <w:rPr>
                <w:rFonts w:eastAsia="Century Gothic" w:cs="Century Gothic"/>
                <w:color w:val="000000"/>
                <w:sz w:val="18"/>
                <w:szCs w:val="18"/>
              </w:rPr>
              <w:t>40 (8.9%)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8A98C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12EA53" w14:textId="77777777" w:rsidR="001C19F3" w:rsidRDefault="001C19F3" w:rsidP="00521305">
            <w:pPr>
              <w:spacing w:before="40" w:after="40"/>
              <w:ind w:left="100" w:right="100"/>
              <w:jc w:val="right"/>
            </w:pPr>
            <w:r>
              <w:rPr>
                <w:rFonts w:eastAsia="Century Gothic" w:cs="Century Gothic"/>
                <w:color w:val="000000"/>
                <w:sz w:val="18"/>
                <w:szCs w:val="18"/>
              </w:rPr>
              <w:t>116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B42D32" w14:textId="77777777" w:rsidR="001C19F3" w:rsidRDefault="001C19F3" w:rsidP="00521305">
            <w:pPr>
              <w:spacing w:before="40" w:after="40"/>
              <w:ind w:left="100" w:right="100"/>
              <w:jc w:val="right"/>
            </w:pPr>
            <w:r>
              <w:rPr>
                <w:rFonts w:eastAsia="Century Gothic" w:cs="Century Gothic"/>
                <w:color w:val="000000"/>
                <w:sz w:val="18"/>
                <w:szCs w:val="18"/>
              </w:rPr>
              <w:t>70 (8.9%)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736B619" w14:textId="77777777" w:rsidR="001C19F3" w:rsidRDefault="001C19F3" w:rsidP="00521305">
            <w:pPr>
              <w:spacing w:after="0"/>
              <w:rPr>
                <w:sz w:val="22"/>
              </w:rPr>
            </w:pPr>
          </w:p>
        </w:tc>
      </w:tr>
      <w:tr w:rsidR="001C19F3" w14:paraId="4DAA83E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E66439"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9FC668" w14:textId="77777777" w:rsidR="001C19F3" w:rsidRDefault="001C19F3" w:rsidP="00521305">
            <w:pPr>
              <w:spacing w:before="40" w:after="40"/>
              <w:ind w:left="100" w:right="100"/>
              <w:jc w:val="center"/>
            </w:pPr>
            <w:r>
              <w:rPr>
                <w:rFonts w:eastAsia="Century Gothic" w:cs="Century Gothic"/>
                <w:color w:val="000000"/>
                <w:sz w:val="18"/>
                <w:szCs w:val="18"/>
              </w:rPr>
              <w:t>438 (22.5%)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8B6C9B" w14:textId="77777777" w:rsidR="001C19F3" w:rsidRDefault="001C19F3" w:rsidP="00521305">
            <w:pPr>
              <w:spacing w:before="40" w:after="40"/>
              <w:ind w:left="100" w:right="100"/>
              <w:jc w:val="center"/>
            </w:pPr>
            <w:r>
              <w:rPr>
                <w:rFonts w:eastAsia="Century Gothic" w:cs="Century Gothic"/>
                <w:color w:val="000000"/>
                <w:sz w:val="18"/>
                <w:szCs w:val="18"/>
              </w:rPr>
              <w:t>84 (19.9%)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D254A4" w14:textId="77777777" w:rsidR="001C19F3" w:rsidRDefault="001C19F3" w:rsidP="00521305">
            <w:pPr>
              <w:spacing w:before="40" w:after="40"/>
              <w:ind w:left="100" w:right="100"/>
              <w:jc w:val="center"/>
            </w:pPr>
            <w:r>
              <w:rPr>
                <w:rFonts w:eastAsia="Century Gothic" w:cs="Century Gothic"/>
                <w:color w:val="000000"/>
                <w:sz w:val="18"/>
                <w:szCs w:val="18"/>
              </w:rPr>
              <w:t>234 (23.3%)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60BB7" w14:textId="77777777" w:rsidR="001C19F3" w:rsidRDefault="001C19F3" w:rsidP="00521305">
            <w:pPr>
              <w:spacing w:before="40" w:after="40"/>
              <w:ind w:left="100" w:right="100"/>
              <w:jc w:val="center"/>
            </w:pPr>
            <w:r>
              <w:rPr>
                <w:rFonts w:eastAsia="Century Gothic" w:cs="Century Gothic"/>
                <w:color w:val="000000"/>
                <w:sz w:val="18"/>
                <w:szCs w:val="18"/>
              </w:rPr>
              <w:t>109 (24.3%)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9FC5A4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210852" w14:textId="77777777" w:rsidR="001C19F3" w:rsidRDefault="001C19F3" w:rsidP="00521305">
            <w:pPr>
              <w:spacing w:before="40" w:after="40"/>
              <w:ind w:left="100" w:right="100"/>
              <w:jc w:val="right"/>
            </w:pPr>
            <w:r>
              <w:rPr>
                <w:rFonts w:eastAsia="Century Gothic" w:cs="Century Gothic"/>
                <w:color w:val="000000"/>
                <w:sz w:val="18"/>
                <w:szCs w:val="18"/>
              </w:rPr>
              <w:t>251 (21.6%)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93584" w14:textId="77777777" w:rsidR="001C19F3" w:rsidRDefault="001C19F3" w:rsidP="00521305">
            <w:pPr>
              <w:spacing w:before="40" w:after="40"/>
              <w:ind w:left="100" w:right="100"/>
              <w:jc w:val="right"/>
            </w:pPr>
            <w:r>
              <w:rPr>
                <w:rFonts w:eastAsia="Century Gothic" w:cs="Century Gothic"/>
                <w:color w:val="000000"/>
                <w:sz w:val="18"/>
                <w:szCs w:val="18"/>
              </w:rPr>
              <w:t>187 (23.9%)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296C904" w14:textId="77777777" w:rsidR="001C19F3" w:rsidRDefault="001C19F3" w:rsidP="00521305">
            <w:pPr>
              <w:spacing w:after="0"/>
              <w:rPr>
                <w:sz w:val="22"/>
              </w:rPr>
            </w:pPr>
          </w:p>
        </w:tc>
      </w:tr>
      <w:tr w:rsidR="001C19F3" w14:paraId="4D62764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332E0"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137BD1" w14:textId="77777777" w:rsidR="001C19F3" w:rsidRDefault="001C19F3" w:rsidP="00521305">
            <w:pPr>
              <w:spacing w:before="40" w:after="40"/>
              <w:ind w:left="100" w:right="100"/>
              <w:jc w:val="center"/>
            </w:pPr>
            <w:r>
              <w:rPr>
                <w:rFonts w:eastAsia="Century Gothic" w:cs="Century Gothic"/>
                <w:color w:val="000000"/>
                <w:sz w:val="18"/>
                <w:szCs w:val="18"/>
              </w:rPr>
              <w:t>282 (14.5%)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81BC7F" w14:textId="77777777" w:rsidR="001C19F3" w:rsidRDefault="001C19F3" w:rsidP="00521305">
            <w:pPr>
              <w:spacing w:before="40" w:after="40"/>
              <w:ind w:left="100" w:right="100"/>
              <w:jc w:val="center"/>
            </w:pPr>
            <w:r>
              <w:rPr>
                <w:rFonts w:eastAsia="Century Gothic" w:cs="Century Gothic"/>
                <w:color w:val="000000"/>
                <w:sz w:val="18"/>
                <w:szCs w:val="18"/>
              </w:rPr>
              <w:t>53 (12.5%)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29171F" w14:textId="77777777" w:rsidR="001C19F3" w:rsidRDefault="001C19F3" w:rsidP="00521305">
            <w:pPr>
              <w:spacing w:before="40" w:after="40"/>
              <w:ind w:left="100" w:right="100"/>
              <w:jc w:val="center"/>
            </w:pPr>
            <w:r>
              <w:rPr>
                <w:rFonts w:eastAsia="Century Gothic" w:cs="Century Gothic"/>
                <w:color w:val="000000"/>
                <w:sz w:val="18"/>
                <w:szCs w:val="18"/>
              </w:rPr>
              <w:t>143 (14.2%)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68E8F0" w14:textId="77777777" w:rsidR="001C19F3" w:rsidRDefault="001C19F3" w:rsidP="00521305">
            <w:pPr>
              <w:spacing w:before="40" w:after="40"/>
              <w:ind w:left="100" w:right="100"/>
              <w:jc w:val="center"/>
            </w:pPr>
            <w:r>
              <w:rPr>
                <w:rFonts w:eastAsia="Century Gothic" w:cs="Century Gothic"/>
                <w:color w:val="000000"/>
                <w:sz w:val="18"/>
                <w:szCs w:val="18"/>
              </w:rPr>
              <w:t>74 (16.5%)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BBD0F8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08E3A3" w14:textId="77777777" w:rsidR="001C19F3" w:rsidRDefault="001C19F3" w:rsidP="00521305">
            <w:pPr>
              <w:spacing w:before="40" w:after="40"/>
              <w:ind w:left="100" w:right="100"/>
              <w:jc w:val="right"/>
            </w:pPr>
            <w:r>
              <w:rPr>
                <w:rFonts w:eastAsia="Century Gothic" w:cs="Century Gothic"/>
                <w:color w:val="000000"/>
                <w:sz w:val="18"/>
                <w:szCs w:val="18"/>
              </w:rPr>
              <w:t>147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11D641" w14:textId="77777777" w:rsidR="001C19F3" w:rsidRDefault="001C19F3" w:rsidP="00521305">
            <w:pPr>
              <w:spacing w:before="40" w:after="40"/>
              <w:ind w:left="100" w:right="100"/>
              <w:jc w:val="right"/>
            </w:pPr>
            <w:r>
              <w:rPr>
                <w:rFonts w:eastAsia="Century Gothic" w:cs="Century Gothic"/>
                <w:color w:val="000000"/>
                <w:sz w:val="18"/>
                <w:szCs w:val="18"/>
              </w:rPr>
              <w:t>135 (17.2%)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556723" w14:textId="77777777" w:rsidR="001C19F3" w:rsidRDefault="001C19F3" w:rsidP="00521305">
            <w:pPr>
              <w:spacing w:after="0"/>
              <w:rPr>
                <w:sz w:val="22"/>
              </w:rPr>
            </w:pPr>
          </w:p>
        </w:tc>
      </w:tr>
      <w:tr w:rsidR="001C19F3" w14:paraId="0D5C09D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60E726"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076B9" w14:textId="77777777" w:rsidR="001C19F3" w:rsidRDefault="001C19F3" w:rsidP="00521305">
            <w:pPr>
              <w:spacing w:before="40" w:after="40"/>
              <w:ind w:left="100" w:right="100"/>
              <w:jc w:val="center"/>
            </w:pPr>
            <w:r>
              <w:rPr>
                <w:rFonts w:eastAsia="Century Gothic" w:cs="Century Gothic"/>
                <w:color w:val="000000"/>
                <w:sz w:val="18"/>
                <w:szCs w:val="18"/>
              </w:rPr>
              <w:t>270 (13.9%)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27497C" w14:textId="77777777" w:rsidR="001C19F3" w:rsidRDefault="001C19F3" w:rsidP="00521305">
            <w:pPr>
              <w:spacing w:before="40" w:after="40"/>
              <w:ind w:left="100" w:right="100"/>
              <w:jc w:val="center"/>
            </w:pPr>
            <w:r>
              <w:rPr>
                <w:rFonts w:eastAsia="Century Gothic" w:cs="Century Gothic"/>
                <w:color w:val="000000"/>
                <w:sz w:val="18"/>
                <w:szCs w:val="18"/>
              </w:rPr>
              <w:t>59 (13.9%)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3AEF51" w14:textId="77777777" w:rsidR="001C19F3" w:rsidRDefault="001C19F3" w:rsidP="00521305">
            <w:pPr>
              <w:spacing w:before="40" w:after="40"/>
              <w:ind w:left="100" w:right="100"/>
              <w:jc w:val="center"/>
            </w:pPr>
            <w:r>
              <w:rPr>
                <w:rFonts w:eastAsia="Century Gothic" w:cs="Century Gothic"/>
                <w:color w:val="000000"/>
                <w:sz w:val="18"/>
                <w:szCs w:val="18"/>
              </w:rPr>
              <w:t>125 (12.4%)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FBD087" w14:textId="77777777" w:rsidR="001C19F3" w:rsidRDefault="001C19F3" w:rsidP="00521305">
            <w:pPr>
              <w:spacing w:before="40" w:after="40"/>
              <w:ind w:left="100" w:right="100"/>
              <w:jc w:val="center"/>
            </w:pPr>
            <w:r>
              <w:rPr>
                <w:rFonts w:eastAsia="Century Gothic" w:cs="Century Gothic"/>
                <w:color w:val="000000"/>
                <w:sz w:val="18"/>
                <w:szCs w:val="18"/>
              </w:rPr>
              <w:t>75 (16.7%)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7BA1F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0128D1" w14:textId="77777777" w:rsidR="001C19F3" w:rsidRDefault="001C19F3" w:rsidP="00521305">
            <w:pPr>
              <w:spacing w:before="40" w:after="40"/>
              <w:ind w:left="100" w:right="100"/>
              <w:jc w:val="right"/>
            </w:pPr>
            <w:r>
              <w:rPr>
                <w:rFonts w:eastAsia="Century Gothic" w:cs="Century Gothic"/>
                <w:color w:val="000000"/>
                <w:sz w:val="18"/>
                <w:szCs w:val="18"/>
              </w:rPr>
              <w:t>148 (12.8%)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87BA95" w14:textId="77777777" w:rsidR="001C19F3" w:rsidRDefault="001C19F3" w:rsidP="00521305">
            <w:pPr>
              <w:spacing w:before="40" w:after="40"/>
              <w:ind w:left="100" w:right="100"/>
              <w:jc w:val="right"/>
            </w:pPr>
            <w:r>
              <w:rPr>
                <w:rFonts w:eastAsia="Century Gothic" w:cs="Century Gothic"/>
                <w:color w:val="000000"/>
                <w:sz w:val="18"/>
                <w:szCs w:val="18"/>
              </w:rPr>
              <w:t>122 (15.6%)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0DCC1B" w14:textId="77777777" w:rsidR="001C19F3" w:rsidRDefault="001C19F3" w:rsidP="00521305">
            <w:pPr>
              <w:spacing w:after="0"/>
              <w:rPr>
                <w:sz w:val="22"/>
              </w:rPr>
            </w:pPr>
          </w:p>
        </w:tc>
      </w:tr>
      <w:tr w:rsidR="001C19F3" w14:paraId="2D1E7C4B"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F160E2" w14:textId="77777777" w:rsidR="001C19F3" w:rsidRDefault="001C19F3" w:rsidP="00521305">
            <w:pPr>
              <w:spacing w:before="40" w:after="40"/>
              <w:ind w:left="100" w:right="100"/>
            </w:pPr>
            <w:r>
              <w:rPr>
                <w:rFonts w:eastAsia="Century Gothic" w:cs="Century Gothic"/>
                <w:b/>
                <w:color w:val="000000"/>
                <w:sz w:val="18"/>
                <w:szCs w:val="18"/>
              </w:rPr>
              <w:t>J11 I was encouraged to attend programs in the community that could help me (Q12)</w:t>
            </w:r>
          </w:p>
        </w:tc>
      </w:tr>
      <w:tr w:rsidR="001C19F3" w14:paraId="6092D49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9319F3"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572470" w14:textId="77777777" w:rsidR="001C19F3" w:rsidRDefault="001C19F3" w:rsidP="00521305">
            <w:pPr>
              <w:spacing w:before="40" w:after="40"/>
              <w:ind w:left="100" w:right="100"/>
              <w:jc w:val="center"/>
            </w:pPr>
            <w:r>
              <w:rPr>
                <w:rFonts w:eastAsia="Century Gothic" w:cs="Century Gothic"/>
                <w:color w:val="000000"/>
                <w:sz w:val="18"/>
                <w:szCs w:val="18"/>
              </w:rPr>
              <w:t>777 (40.4%)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1DE07C" w14:textId="77777777" w:rsidR="001C19F3" w:rsidRDefault="001C19F3" w:rsidP="00521305">
            <w:pPr>
              <w:spacing w:before="40" w:after="40"/>
              <w:ind w:left="100" w:right="100"/>
              <w:jc w:val="center"/>
            </w:pPr>
            <w:r>
              <w:rPr>
                <w:rFonts w:eastAsia="Century Gothic" w:cs="Century Gothic"/>
                <w:color w:val="000000"/>
                <w:sz w:val="18"/>
                <w:szCs w:val="18"/>
              </w:rPr>
              <w:t>192 (45.5%)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9E25E" w14:textId="77777777" w:rsidR="001C19F3" w:rsidRDefault="001C19F3" w:rsidP="00521305">
            <w:pPr>
              <w:spacing w:before="40" w:after="40"/>
              <w:ind w:left="100" w:right="100"/>
              <w:jc w:val="center"/>
            </w:pPr>
            <w:r>
              <w:rPr>
                <w:rFonts w:eastAsia="Century Gothic" w:cs="Century Gothic"/>
                <w:color w:val="000000"/>
                <w:sz w:val="18"/>
                <w:szCs w:val="18"/>
              </w:rPr>
              <w:t>392 (39.7%)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AE0A83" w14:textId="77777777" w:rsidR="001C19F3" w:rsidRDefault="001C19F3" w:rsidP="00521305">
            <w:pPr>
              <w:spacing w:before="40" w:after="40"/>
              <w:ind w:left="100" w:right="100"/>
              <w:jc w:val="center"/>
            </w:pPr>
            <w:r>
              <w:rPr>
                <w:rFonts w:eastAsia="Century Gothic" w:cs="Century Gothic"/>
                <w:color w:val="000000"/>
                <w:sz w:val="18"/>
                <w:szCs w:val="18"/>
              </w:rPr>
              <w:t>159 (35.6%)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D61FAD" w14:textId="77777777" w:rsidR="001C19F3" w:rsidRDefault="001C19F3" w:rsidP="00521305">
            <w:pPr>
              <w:spacing w:before="40" w:after="40"/>
              <w:ind w:left="100" w:right="100"/>
              <w:jc w:val="center"/>
            </w:pPr>
            <w:r>
              <w:rPr>
                <w:rFonts w:eastAsia="Century Gothic" w:cs="Century Gothic"/>
                <w:color w:val="000000"/>
                <w:sz w:val="18"/>
                <w:szCs w:val="18"/>
              </w:rPr>
              <w:t>0.007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8A12C0" w14:textId="77777777" w:rsidR="001C19F3" w:rsidRDefault="001C19F3" w:rsidP="00521305">
            <w:pPr>
              <w:spacing w:before="40" w:after="40"/>
              <w:ind w:left="100" w:right="100"/>
              <w:jc w:val="right"/>
            </w:pPr>
            <w:r>
              <w:rPr>
                <w:rFonts w:eastAsia="Century Gothic" w:cs="Century Gothic"/>
                <w:color w:val="000000"/>
                <w:sz w:val="18"/>
                <w:szCs w:val="18"/>
              </w:rPr>
              <w:t>500 (43.6%)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FE46F7" w14:textId="77777777" w:rsidR="001C19F3" w:rsidRDefault="001C19F3" w:rsidP="00521305">
            <w:pPr>
              <w:spacing w:before="40" w:after="40"/>
              <w:ind w:left="100" w:right="100"/>
              <w:jc w:val="right"/>
            </w:pPr>
            <w:r>
              <w:rPr>
                <w:rFonts w:eastAsia="Century Gothic" w:cs="Century Gothic"/>
                <w:color w:val="000000"/>
                <w:sz w:val="18"/>
                <w:szCs w:val="18"/>
              </w:rPr>
              <w:t>277 (35.6%)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524D5" w14:textId="77777777" w:rsidR="001C19F3" w:rsidRDefault="001C19F3" w:rsidP="00521305">
            <w:pPr>
              <w:spacing w:before="40" w:after="40"/>
              <w:ind w:left="100" w:right="100"/>
              <w:jc w:val="right"/>
            </w:pPr>
            <w:r>
              <w:rPr>
                <w:rFonts w:eastAsia="Century Gothic" w:cs="Century Gothic"/>
                <w:color w:val="000000"/>
                <w:sz w:val="18"/>
                <w:szCs w:val="18"/>
              </w:rPr>
              <w:t>0.009</w:t>
            </w:r>
          </w:p>
        </w:tc>
      </w:tr>
      <w:tr w:rsidR="001C19F3" w14:paraId="318F80B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F1D308"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39CCA0" w14:textId="77777777" w:rsidR="001C19F3" w:rsidRDefault="001C19F3" w:rsidP="00521305">
            <w:pPr>
              <w:spacing w:before="40" w:after="40"/>
              <w:ind w:left="100" w:right="100"/>
              <w:jc w:val="center"/>
            </w:pPr>
            <w:r>
              <w:rPr>
                <w:rFonts w:eastAsia="Century Gothic" w:cs="Century Gothic"/>
                <w:color w:val="000000"/>
                <w:sz w:val="18"/>
                <w:szCs w:val="18"/>
              </w:rPr>
              <w:t>195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BCD32" w14:textId="77777777" w:rsidR="001C19F3" w:rsidRDefault="001C19F3" w:rsidP="00521305">
            <w:pPr>
              <w:spacing w:before="40" w:after="40"/>
              <w:ind w:left="100" w:right="100"/>
              <w:jc w:val="center"/>
            </w:pPr>
            <w:r>
              <w:rPr>
                <w:rFonts w:eastAsia="Century Gothic" w:cs="Century Gothic"/>
                <w:color w:val="000000"/>
                <w:sz w:val="18"/>
                <w:szCs w:val="18"/>
              </w:rPr>
              <w:t>38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BE468" w14:textId="77777777" w:rsidR="001C19F3" w:rsidRDefault="001C19F3" w:rsidP="00521305">
            <w:pPr>
              <w:spacing w:before="40" w:after="40"/>
              <w:ind w:left="100" w:right="100"/>
              <w:jc w:val="center"/>
            </w:pPr>
            <w:r>
              <w:rPr>
                <w:rFonts w:eastAsia="Century Gothic" w:cs="Century Gothic"/>
                <w:color w:val="000000"/>
                <w:sz w:val="18"/>
                <w:szCs w:val="18"/>
              </w:rPr>
              <w:t>101 (10.2%)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66638A" w14:textId="77777777" w:rsidR="001C19F3" w:rsidRDefault="001C19F3" w:rsidP="00521305">
            <w:pPr>
              <w:spacing w:before="40" w:after="40"/>
              <w:ind w:left="100" w:right="100"/>
              <w:jc w:val="center"/>
            </w:pPr>
            <w:r>
              <w:rPr>
                <w:rFonts w:eastAsia="Century Gothic" w:cs="Century Gothic"/>
                <w:color w:val="000000"/>
                <w:sz w:val="18"/>
                <w:szCs w:val="18"/>
              </w:rPr>
              <w:t>50 (11.2%)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905856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C1D03" w14:textId="77777777" w:rsidR="001C19F3" w:rsidRDefault="001C19F3" w:rsidP="00521305">
            <w:pPr>
              <w:spacing w:before="40" w:after="40"/>
              <w:ind w:left="100" w:right="100"/>
              <w:jc w:val="right"/>
            </w:pPr>
            <w:r>
              <w:rPr>
                <w:rFonts w:eastAsia="Century Gothic" w:cs="Century Gothic"/>
                <w:color w:val="000000"/>
                <w:sz w:val="18"/>
                <w:szCs w:val="18"/>
              </w:rPr>
              <w:t>115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1A5FA" w14:textId="77777777" w:rsidR="001C19F3" w:rsidRDefault="001C19F3" w:rsidP="00521305">
            <w:pPr>
              <w:spacing w:before="40" w:after="40"/>
              <w:ind w:left="100" w:right="100"/>
              <w:jc w:val="right"/>
            </w:pPr>
            <w:r>
              <w:rPr>
                <w:rFonts w:eastAsia="Century Gothic" w:cs="Century Gothic"/>
                <w:color w:val="000000"/>
                <w:sz w:val="18"/>
                <w:szCs w:val="18"/>
              </w:rPr>
              <w:t>80 (10.3%)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D592FE8" w14:textId="77777777" w:rsidR="001C19F3" w:rsidRDefault="001C19F3" w:rsidP="00521305">
            <w:pPr>
              <w:spacing w:after="0"/>
              <w:rPr>
                <w:sz w:val="22"/>
              </w:rPr>
            </w:pPr>
          </w:p>
        </w:tc>
      </w:tr>
      <w:tr w:rsidR="001C19F3" w14:paraId="7D88C39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49D77A"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DC4BD8" w14:textId="77777777" w:rsidR="001C19F3" w:rsidRDefault="001C19F3" w:rsidP="00521305">
            <w:pPr>
              <w:spacing w:before="40" w:after="40"/>
              <w:ind w:left="100" w:right="100"/>
              <w:jc w:val="center"/>
            </w:pPr>
            <w:r>
              <w:rPr>
                <w:rFonts w:eastAsia="Century Gothic" w:cs="Century Gothic"/>
                <w:color w:val="000000"/>
                <w:sz w:val="18"/>
                <w:szCs w:val="18"/>
              </w:rPr>
              <w:t>462 (24.0%)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68638" w14:textId="77777777" w:rsidR="001C19F3" w:rsidRDefault="001C19F3" w:rsidP="00521305">
            <w:pPr>
              <w:spacing w:before="40" w:after="40"/>
              <w:ind w:left="100" w:right="100"/>
              <w:jc w:val="center"/>
            </w:pPr>
            <w:r>
              <w:rPr>
                <w:rFonts w:eastAsia="Century Gothic" w:cs="Century Gothic"/>
                <w:color w:val="000000"/>
                <w:sz w:val="18"/>
                <w:szCs w:val="18"/>
              </w:rPr>
              <w:t>88 (20.9%)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7E9A3" w14:textId="77777777" w:rsidR="001C19F3" w:rsidRDefault="001C19F3" w:rsidP="00521305">
            <w:pPr>
              <w:spacing w:before="40" w:after="40"/>
              <w:ind w:left="100" w:right="100"/>
              <w:jc w:val="center"/>
            </w:pPr>
            <w:r>
              <w:rPr>
                <w:rFonts w:eastAsia="Century Gothic" w:cs="Century Gothic"/>
                <w:color w:val="000000"/>
                <w:sz w:val="18"/>
                <w:szCs w:val="18"/>
              </w:rPr>
              <w:t>259 (26.2%)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7ADD24" w14:textId="77777777" w:rsidR="001C19F3" w:rsidRDefault="001C19F3" w:rsidP="00521305">
            <w:pPr>
              <w:spacing w:before="40" w:after="40"/>
              <w:ind w:left="100" w:right="100"/>
              <w:jc w:val="center"/>
            </w:pPr>
            <w:r>
              <w:rPr>
                <w:rFonts w:eastAsia="Century Gothic" w:cs="Century Gothic"/>
                <w:color w:val="000000"/>
                <w:sz w:val="18"/>
                <w:szCs w:val="18"/>
              </w:rPr>
              <w:t>109 (24.4%)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582A07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3E99F" w14:textId="77777777" w:rsidR="001C19F3" w:rsidRDefault="001C19F3" w:rsidP="00521305">
            <w:pPr>
              <w:spacing w:before="40" w:after="40"/>
              <w:ind w:left="100" w:right="100"/>
              <w:jc w:val="right"/>
            </w:pPr>
            <w:r>
              <w:rPr>
                <w:rFonts w:eastAsia="Century Gothic" w:cs="Century Gothic"/>
                <w:color w:val="000000"/>
                <w:sz w:val="18"/>
                <w:szCs w:val="18"/>
              </w:rPr>
              <w:t>254 (22.1%)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366F86" w14:textId="77777777" w:rsidR="001C19F3" w:rsidRDefault="001C19F3" w:rsidP="00521305">
            <w:pPr>
              <w:spacing w:before="40" w:after="40"/>
              <w:ind w:left="100" w:right="100"/>
              <w:jc w:val="right"/>
            </w:pPr>
            <w:r>
              <w:rPr>
                <w:rFonts w:eastAsia="Century Gothic" w:cs="Century Gothic"/>
                <w:color w:val="000000"/>
                <w:sz w:val="18"/>
                <w:szCs w:val="18"/>
              </w:rPr>
              <w:t>208 (26.8%)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613DB3" w14:textId="77777777" w:rsidR="001C19F3" w:rsidRDefault="001C19F3" w:rsidP="00521305">
            <w:pPr>
              <w:spacing w:after="0"/>
              <w:rPr>
                <w:sz w:val="22"/>
              </w:rPr>
            </w:pPr>
          </w:p>
        </w:tc>
      </w:tr>
      <w:tr w:rsidR="001C19F3" w14:paraId="5840226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C416E1"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AE7102" w14:textId="77777777" w:rsidR="001C19F3" w:rsidRDefault="001C19F3" w:rsidP="00521305">
            <w:pPr>
              <w:spacing w:before="40" w:after="40"/>
              <w:ind w:left="100" w:right="100"/>
              <w:jc w:val="center"/>
            </w:pPr>
            <w:r>
              <w:rPr>
                <w:rFonts w:eastAsia="Century Gothic" w:cs="Century Gothic"/>
                <w:color w:val="000000"/>
                <w:sz w:val="18"/>
                <w:szCs w:val="18"/>
              </w:rPr>
              <w:t>252 (13.1%)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322735" w14:textId="77777777" w:rsidR="001C19F3" w:rsidRDefault="001C19F3" w:rsidP="00521305">
            <w:pPr>
              <w:spacing w:before="40" w:after="40"/>
              <w:ind w:left="100" w:right="100"/>
              <w:jc w:val="center"/>
            </w:pPr>
            <w:r>
              <w:rPr>
                <w:rFonts w:eastAsia="Century Gothic" w:cs="Century Gothic"/>
                <w:color w:val="000000"/>
                <w:sz w:val="18"/>
                <w:szCs w:val="18"/>
              </w:rPr>
              <w:t>49 (11.6%)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16DFB1" w14:textId="77777777" w:rsidR="001C19F3" w:rsidRDefault="001C19F3" w:rsidP="00521305">
            <w:pPr>
              <w:spacing w:before="40" w:after="40"/>
              <w:ind w:left="100" w:right="100"/>
              <w:jc w:val="center"/>
            </w:pPr>
            <w:r>
              <w:rPr>
                <w:rFonts w:eastAsia="Century Gothic" w:cs="Century Gothic"/>
                <w:color w:val="000000"/>
                <w:sz w:val="18"/>
                <w:szCs w:val="18"/>
              </w:rPr>
              <w:t>136 (13.8%)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904F0F" w14:textId="77777777" w:rsidR="001C19F3" w:rsidRDefault="001C19F3" w:rsidP="00521305">
            <w:pPr>
              <w:spacing w:before="40" w:after="40"/>
              <w:ind w:left="100" w:right="100"/>
              <w:jc w:val="center"/>
            </w:pPr>
            <w:r>
              <w:rPr>
                <w:rFonts w:eastAsia="Century Gothic" w:cs="Century Gothic"/>
                <w:color w:val="000000"/>
                <w:sz w:val="18"/>
                <w:szCs w:val="18"/>
              </w:rPr>
              <w:t>56 (12.5%)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35D06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891D71" w14:textId="77777777" w:rsidR="001C19F3" w:rsidRDefault="001C19F3" w:rsidP="00521305">
            <w:pPr>
              <w:spacing w:before="40" w:after="40"/>
              <w:ind w:left="100" w:right="100"/>
              <w:jc w:val="right"/>
            </w:pPr>
            <w:r>
              <w:rPr>
                <w:rFonts w:eastAsia="Century Gothic" w:cs="Century Gothic"/>
                <w:color w:val="000000"/>
                <w:sz w:val="18"/>
                <w:szCs w:val="18"/>
              </w:rPr>
              <w:t>139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3B54F6" w14:textId="77777777" w:rsidR="001C19F3" w:rsidRDefault="001C19F3" w:rsidP="00521305">
            <w:pPr>
              <w:spacing w:before="40" w:after="40"/>
              <w:ind w:left="100" w:right="100"/>
              <w:jc w:val="right"/>
            </w:pPr>
            <w:r>
              <w:rPr>
                <w:rFonts w:eastAsia="Century Gothic" w:cs="Century Gothic"/>
                <w:color w:val="000000"/>
                <w:sz w:val="18"/>
                <w:szCs w:val="18"/>
              </w:rPr>
              <w:t>113 (14.5%)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374432" w14:textId="77777777" w:rsidR="001C19F3" w:rsidRDefault="001C19F3" w:rsidP="00521305">
            <w:pPr>
              <w:spacing w:after="0"/>
              <w:rPr>
                <w:sz w:val="22"/>
              </w:rPr>
            </w:pPr>
          </w:p>
        </w:tc>
      </w:tr>
      <w:tr w:rsidR="001C19F3" w14:paraId="4295B80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74CD85" w14:textId="77777777" w:rsidR="001C19F3" w:rsidRDefault="001C19F3" w:rsidP="00521305">
            <w:pPr>
              <w:spacing w:before="40" w:after="40"/>
              <w:ind w:left="160" w:right="100"/>
            </w:pPr>
            <w:r>
              <w:rPr>
                <w:rFonts w:eastAsia="Century Gothic" w:cs="Century Gothic"/>
                <w:color w:val="000000"/>
                <w:sz w:val="18"/>
                <w:szCs w:val="18"/>
              </w:rPr>
              <w:lastRenderedPageBreak/>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D23B6" w14:textId="77777777" w:rsidR="001C19F3" w:rsidRDefault="001C19F3" w:rsidP="00521305">
            <w:pPr>
              <w:spacing w:before="40" w:after="40"/>
              <w:ind w:left="100" w:right="100"/>
              <w:jc w:val="center"/>
            </w:pPr>
            <w:r>
              <w:rPr>
                <w:rFonts w:eastAsia="Century Gothic" w:cs="Century Gothic"/>
                <w:color w:val="000000"/>
                <w:sz w:val="18"/>
                <w:szCs w:val="18"/>
              </w:rPr>
              <w:t>238 (12.4%)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4FC007" w14:textId="77777777" w:rsidR="001C19F3" w:rsidRDefault="001C19F3" w:rsidP="00521305">
            <w:pPr>
              <w:spacing w:before="40" w:after="40"/>
              <w:ind w:left="100" w:right="100"/>
              <w:jc w:val="center"/>
            </w:pPr>
            <w:r>
              <w:rPr>
                <w:rFonts w:eastAsia="Century Gothic" w:cs="Century Gothic"/>
                <w:color w:val="000000"/>
                <w:sz w:val="18"/>
                <w:szCs w:val="18"/>
              </w:rPr>
              <w:t>55 (13.0%)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86AE40" w14:textId="77777777" w:rsidR="001C19F3" w:rsidRDefault="001C19F3" w:rsidP="00521305">
            <w:pPr>
              <w:spacing w:before="40" w:after="40"/>
              <w:ind w:left="100" w:right="100"/>
              <w:jc w:val="center"/>
            </w:pPr>
            <w:r>
              <w:rPr>
                <w:rFonts w:eastAsia="Century Gothic" w:cs="Century Gothic"/>
                <w:color w:val="000000"/>
                <w:sz w:val="18"/>
                <w:szCs w:val="18"/>
              </w:rPr>
              <w:t>100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D7A1B2" w14:textId="77777777" w:rsidR="001C19F3" w:rsidRDefault="001C19F3" w:rsidP="00521305">
            <w:pPr>
              <w:spacing w:before="40" w:after="40"/>
              <w:ind w:left="100" w:right="100"/>
              <w:jc w:val="center"/>
            </w:pPr>
            <w:r>
              <w:rPr>
                <w:rFonts w:eastAsia="Century Gothic" w:cs="Century Gothic"/>
                <w:color w:val="000000"/>
                <w:sz w:val="18"/>
                <w:szCs w:val="18"/>
              </w:rPr>
              <w:t>73 (16.3%)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62F85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DDF0CE" w14:textId="77777777" w:rsidR="001C19F3" w:rsidRDefault="001C19F3" w:rsidP="00521305">
            <w:pPr>
              <w:spacing w:before="40" w:after="40"/>
              <w:ind w:left="100" w:right="100"/>
              <w:jc w:val="right"/>
            </w:pPr>
            <w:r>
              <w:rPr>
                <w:rFonts w:eastAsia="Century Gothic" w:cs="Century Gothic"/>
                <w:color w:val="000000"/>
                <w:sz w:val="18"/>
                <w:szCs w:val="18"/>
              </w:rPr>
              <w:t>139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BE873" w14:textId="77777777" w:rsidR="001C19F3" w:rsidRDefault="001C19F3" w:rsidP="00521305">
            <w:pPr>
              <w:spacing w:before="40" w:after="40"/>
              <w:ind w:left="100" w:right="100"/>
              <w:jc w:val="right"/>
            </w:pPr>
            <w:r>
              <w:rPr>
                <w:rFonts w:eastAsia="Century Gothic" w:cs="Century Gothic"/>
                <w:color w:val="000000"/>
                <w:sz w:val="18"/>
                <w:szCs w:val="18"/>
              </w:rPr>
              <w:t>99 (12.7%)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C166E9" w14:textId="77777777" w:rsidR="001C19F3" w:rsidRDefault="001C19F3" w:rsidP="00521305">
            <w:pPr>
              <w:spacing w:after="0"/>
              <w:rPr>
                <w:sz w:val="22"/>
              </w:rPr>
            </w:pPr>
          </w:p>
        </w:tc>
      </w:tr>
      <w:tr w:rsidR="001C19F3" w14:paraId="214858D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C1FE60" w14:textId="77777777" w:rsidR="001C19F3" w:rsidRDefault="001C19F3" w:rsidP="00521305">
            <w:pPr>
              <w:spacing w:before="40" w:after="40"/>
              <w:ind w:left="100" w:right="100"/>
            </w:pPr>
            <w:r>
              <w:rPr>
                <w:rFonts w:eastAsia="Century Gothic" w:cs="Century Gothic"/>
                <w:b/>
                <w:color w:val="000000"/>
                <w:sz w:val="18"/>
                <w:szCs w:val="18"/>
              </w:rPr>
              <w:t>J12 I was asked how my visits with other doctors were going (Q12)</w:t>
            </w:r>
          </w:p>
        </w:tc>
      </w:tr>
      <w:tr w:rsidR="001C19F3" w14:paraId="008D98B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84A071"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0C10AD" w14:textId="77777777" w:rsidR="001C19F3" w:rsidRDefault="001C19F3" w:rsidP="00521305">
            <w:pPr>
              <w:spacing w:before="40" w:after="40"/>
              <w:ind w:left="100" w:right="100"/>
              <w:jc w:val="center"/>
            </w:pPr>
            <w:r>
              <w:rPr>
                <w:rFonts w:eastAsia="Century Gothic" w:cs="Century Gothic"/>
                <w:color w:val="000000"/>
                <w:sz w:val="18"/>
                <w:szCs w:val="18"/>
              </w:rPr>
              <w:t>670 (36.5%)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E89FFA" w14:textId="77777777" w:rsidR="001C19F3" w:rsidRDefault="001C19F3" w:rsidP="00521305">
            <w:pPr>
              <w:spacing w:before="40" w:after="40"/>
              <w:ind w:left="100" w:right="100"/>
              <w:jc w:val="center"/>
            </w:pPr>
            <w:r>
              <w:rPr>
                <w:rFonts w:eastAsia="Century Gothic" w:cs="Century Gothic"/>
                <w:color w:val="000000"/>
                <w:sz w:val="18"/>
                <w:szCs w:val="18"/>
              </w:rPr>
              <w:t>172 (43.4%)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4E1F92" w14:textId="77777777" w:rsidR="001C19F3" w:rsidRDefault="001C19F3" w:rsidP="00521305">
            <w:pPr>
              <w:spacing w:before="40" w:after="40"/>
              <w:ind w:left="100" w:right="100"/>
              <w:jc w:val="center"/>
            </w:pPr>
            <w:r>
              <w:rPr>
                <w:rFonts w:eastAsia="Century Gothic" w:cs="Century Gothic"/>
                <w:color w:val="000000"/>
                <w:sz w:val="18"/>
                <w:szCs w:val="18"/>
              </w:rPr>
              <w:t>345 (36.1%)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1E1782" w14:textId="77777777" w:rsidR="001C19F3" w:rsidRDefault="001C19F3" w:rsidP="00521305">
            <w:pPr>
              <w:spacing w:before="40" w:after="40"/>
              <w:ind w:left="100" w:right="100"/>
              <w:jc w:val="center"/>
            </w:pPr>
            <w:r>
              <w:rPr>
                <w:rFonts w:eastAsia="Century Gothic" w:cs="Century Gothic"/>
                <w:color w:val="000000"/>
                <w:sz w:val="18"/>
                <w:szCs w:val="18"/>
              </w:rPr>
              <w:t>127 (30.2%)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78862E" w14:textId="77777777" w:rsidR="001C19F3" w:rsidRDefault="001C19F3" w:rsidP="00521305">
            <w:pPr>
              <w:spacing w:before="40" w:after="40"/>
              <w:ind w:left="100" w:right="100"/>
              <w:jc w:val="center"/>
            </w:pPr>
            <w:r>
              <w:rPr>
                <w:rFonts w:eastAsia="Century Gothic" w:cs="Century Gothic"/>
                <w:color w:val="000000"/>
                <w:sz w:val="18"/>
                <w:szCs w:val="18"/>
              </w:rPr>
              <w:t>0.005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C07625" w14:textId="77777777" w:rsidR="001C19F3" w:rsidRDefault="001C19F3" w:rsidP="00521305">
            <w:pPr>
              <w:spacing w:before="40" w:after="40"/>
              <w:ind w:left="100" w:right="100"/>
              <w:jc w:val="right"/>
            </w:pPr>
            <w:r>
              <w:rPr>
                <w:rFonts w:eastAsia="Century Gothic" w:cs="Century Gothic"/>
                <w:color w:val="000000"/>
                <w:sz w:val="18"/>
                <w:szCs w:val="18"/>
              </w:rPr>
              <w:t>452 (41.4%)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813559" w14:textId="77777777" w:rsidR="001C19F3" w:rsidRDefault="001C19F3" w:rsidP="00521305">
            <w:pPr>
              <w:spacing w:before="40" w:after="40"/>
              <w:ind w:left="100" w:right="100"/>
              <w:jc w:val="right"/>
            </w:pPr>
            <w:r>
              <w:rPr>
                <w:rFonts w:eastAsia="Century Gothic" w:cs="Century Gothic"/>
                <w:color w:val="000000"/>
                <w:sz w:val="18"/>
                <w:szCs w:val="18"/>
              </w:rPr>
              <w:t>218 (29.3%)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E84AE3"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64A64D8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29864A"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11B9D8" w14:textId="77777777" w:rsidR="001C19F3" w:rsidRDefault="001C19F3" w:rsidP="00521305">
            <w:pPr>
              <w:spacing w:before="40" w:after="40"/>
              <w:ind w:left="100" w:right="100"/>
              <w:jc w:val="center"/>
            </w:pPr>
            <w:r>
              <w:rPr>
                <w:rFonts w:eastAsia="Century Gothic" w:cs="Century Gothic"/>
                <w:color w:val="000000"/>
                <w:sz w:val="18"/>
                <w:szCs w:val="18"/>
              </w:rPr>
              <w:t>105 (5.7%)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138D86" w14:textId="77777777" w:rsidR="001C19F3" w:rsidRDefault="001C19F3" w:rsidP="00521305">
            <w:pPr>
              <w:spacing w:before="40" w:after="40"/>
              <w:ind w:left="100" w:right="100"/>
              <w:jc w:val="center"/>
            </w:pPr>
            <w:r>
              <w:rPr>
                <w:rFonts w:eastAsia="Century Gothic" w:cs="Century Gothic"/>
                <w:color w:val="000000"/>
                <w:sz w:val="18"/>
                <w:szCs w:val="18"/>
              </w:rPr>
              <w:t>27 (6.8%)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2949D5" w14:textId="77777777" w:rsidR="001C19F3" w:rsidRDefault="001C19F3" w:rsidP="00521305">
            <w:pPr>
              <w:spacing w:before="40" w:after="40"/>
              <w:ind w:left="100" w:right="100"/>
              <w:jc w:val="center"/>
            </w:pPr>
            <w:r>
              <w:rPr>
                <w:rFonts w:eastAsia="Century Gothic" w:cs="Century Gothic"/>
                <w:color w:val="000000"/>
                <w:sz w:val="18"/>
                <w:szCs w:val="18"/>
              </w:rPr>
              <w:t>56 (5.9%)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026FD6" w14:textId="77777777" w:rsidR="001C19F3" w:rsidRDefault="001C19F3" w:rsidP="00521305">
            <w:pPr>
              <w:spacing w:before="40" w:after="40"/>
              <w:ind w:left="100" w:right="100"/>
              <w:jc w:val="center"/>
            </w:pPr>
            <w:r>
              <w:rPr>
                <w:rFonts w:eastAsia="Century Gothic" w:cs="Century Gothic"/>
                <w:color w:val="000000"/>
                <w:sz w:val="18"/>
                <w:szCs w:val="18"/>
              </w:rPr>
              <w:t>21 (5.0%)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289172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4AAFD3" w14:textId="77777777" w:rsidR="001C19F3" w:rsidRDefault="001C19F3" w:rsidP="00521305">
            <w:pPr>
              <w:spacing w:before="40" w:after="40"/>
              <w:ind w:left="100" w:right="100"/>
              <w:jc w:val="right"/>
            </w:pPr>
            <w:r>
              <w:rPr>
                <w:rFonts w:eastAsia="Century Gothic" w:cs="Century Gothic"/>
                <w:color w:val="000000"/>
                <w:sz w:val="18"/>
                <w:szCs w:val="18"/>
              </w:rPr>
              <w:t>68 (6.2%)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81E61" w14:textId="77777777" w:rsidR="001C19F3" w:rsidRDefault="001C19F3" w:rsidP="00521305">
            <w:pPr>
              <w:spacing w:before="40" w:after="40"/>
              <w:ind w:left="100" w:right="100"/>
              <w:jc w:val="right"/>
            </w:pPr>
            <w:r>
              <w:rPr>
                <w:rFonts w:eastAsia="Century Gothic" w:cs="Century Gothic"/>
                <w:color w:val="000000"/>
                <w:sz w:val="18"/>
                <w:szCs w:val="18"/>
              </w:rPr>
              <w:t>37 (5.0%)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5C228DB" w14:textId="77777777" w:rsidR="001C19F3" w:rsidRDefault="001C19F3" w:rsidP="00521305">
            <w:pPr>
              <w:spacing w:after="0"/>
              <w:rPr>
                <w:sz w:val="22"/>
              </w:rPr>
            </w:pPr>
          </w:p>
        </w:tc>
      </w:tr>
      <w:tr w:rsidR="001C19F3" w14:paraId="472888D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F9D497"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5D91CD" w14:textId="77777777" w:rsidR="001C19F3" w:rsidRDefault="001C19F3" w:rsidP="00521305">
            <w:pPr>
              <w:spacing w:before="40" w:after="40"/>
              <w:ind w:left="100" w:right="100"/>
              <w:jc w:val="center"/>
            </w:pPr>
            <w:r>
              <w:rPr>
                <w:rFonts w:eastAsia="Century Gothic" w:cs="Century Gothic"/>
                <w:color w:val="000000"/>
                <w:sz w:val="18"/>
                <w:szCs w:val="18"/>
              </w:rPr>
              <w:t>290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AF435C" w14:textId="77777777" w:rsidR="001C19F3" w:rsidRDefault="001C19F3" w:rsidP="00521305">
            <w:pPr>
              <w:spacing w:before="40" w:after="40"/>
              <w:ind w:left="100" w:right="100"/>
              <w:jc w:val="center"/>
            </w:pPr>
            <w:r>
              <w:rPr>
                <w:rFonts w:eastAsia="Century Gothic" w:cs="Century Gothic"/>
                <w:color w:val="000000"/>
                <w:sz w:val="18"/>
                <w:szCs w:val="18"/>
              </w:rPr>
              <w:t>51 (12.9%)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B7EAC0" w14:textId="77777777" w:rsidR="001C19F3" w:rsidRDefault="001C19F3" w:rsidP="00521305">
            <w:pPr>
              <w:spacing w:before="40" w:after="40"/>
              <w:ind w:left="100" w:right="100"/>
              <w:jc w:val="center"/>
            </w:pPr>
            <w:r>
              <w:rPr>
                <w:rFonts w:eastAsia="Century Gothic" w:cs="Century Gothic"/>
                <w:color w:val="000000"/>
                <w:sz w:val="18"/>
                <w:szCs w:val="18"/>
              </w:rPr>
              <w:t>153 (16.0%)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B5A8C9" w14:textId="77777777" w:rsidR="001C19F3" w:rsidRDefault="001C19F3" w:rsidP="00521305">
            <w:pPr>
              <w:spacing w:before="40" w:after="40"/>
              <w:ind w:left="100" w:right="100"/>
              <w:jc w:val="center"/>
            </w:pPr>
            <w:r>
              <w:rPr>
                <w:rFonts w:eastAsia="Century Gothic" w:cs="Century Gothic"/>
                <w:color w:val="000000"/>
                <w:sz w:val="18"/>
                <w:szCs w:val="18"/>
              </w:rPr>
              <w:t>77 (18.3%)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118E31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CD9CF0" w14:textId="77777777" w:rsidR="001C19F3" w:rsidRDefault="001C19F3" w:rsidP="00521305">
            <w:pPr>
              <w:spacing w:before="40" w:after="40"/>
              <w:ind w:left="100" w:right="100"/>
              <w:jc w:val="right"/>
            </w:pPr>
            <w:r>
              <w:rPr>
                <w:rFonts w:eastAsia="Century Gothic" w:cs="Century Gothic"/>
                <w:color w:val="000000"/>
                <w:sz w:val="18"/>
                <w:szCs w:val="18"/>
              </w:rPr>
              <w:t>171 (15.6%)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A6F03" w14:textId="77777777" w:rsidR="001C19F3" w:rsidRDefault="001C19F3" w:rsidP="00521305">
            <w:pPr>
              <w:spacing w:before="40" w:after="40"/>
              <w:ind w:left="100" w:right="100"/>
              <w:jc w:val="right"/>
            </w:pPr>
            <w:r>
              <w:rPr>
                <w:rFonts w:eastAsia="Century Gothic" w:cs="Century Gothic"/>
                <w:color w:val="000000"/>
                <w:sz w:val="18"/>
                <w:szCs w:val="18"/>
              </w:rPr>
              <w:t>119 (16.0%)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C51BF66" w14:textId="77777777" w:rsidR="001C19F3" w:rsidRDefault="001C19F3" w:rsidP="00521305">
            <w:pPr>
              <w:spacing w:after="0"/>
              <w:rPr>
                <w:sz w:val="22"/>
              </w:rPr>
            </w:pPr>
          </w:p>
        </w:tc>
      </w:tr>
      <w:tr w:rsidR="001C19F3" w14:paraId="3FF1A9D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158ED1"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14E069" w14:textId="77777777" w:rsidR="001C19F3" w:rsidRDefault="001C19F3" w:rsidP="00521305">
            <w:pPr>
              <w:spacing w:before="40" w:after="40"/>
              <w:ind w:left="100" w:right="100"/>
              <w:jc w:val="center"/>
            </w:pPr>
            <w:r>
              <w:rPr>
                <w:rFonts w:eastAsia="Century Gothic" w:cs="Century Gothic"/>
                <w:color w:val="000000"/>
                <w:sz w:val="18"/>
                <w:szCs w:val="18"/>
              </w:rPr>
              <w:t>280 (15.2%)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1F8FA" w14:textId="77777777" w:rsidR="001C19F3" w:rsidRDefault="001C19F3" w:rsidP="00521305">
            <w:pPr>
              <w:spacing w:before="40" w:after="40"/>
              <w:ind w:left="100" w:right="100"/>
              <w:jc w:val="center"/>
            </w:pPr>
            <w:r>
              <w:rPr>
                <w:rFonts w:eastAsia="Century Gothic" w:cs="Century Gothic"/>
                <w:color w:val="000000"/>
                <w:sz w:val="18"/>
                <w:szCs w:val="18"/>
              </w:rPr>
              <w:t>49 (12.4%)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E9910C" w14:textId="77777777" w:rsidR="001C19F3" w:rsidRDefault="001C19F3" w:rsidP="00521305">
            <w:pPr>
              <w:spacing w:before="40" w:after="40"/>
              <w:ind w:left="100" w:right="100"/>
              <w:jc w:val="center"/>
            </w:pPr>
            <w:r>
              <w:rPr>
                <w:rFonts w:eastAsia="Century Gothic" w:cs="Century Gothic"/>
                <w:color w:val="000000"/>
                <w:sz w:val="18"/>
                <w:szCs w:val="18"/>
              </w:rPr>
              <w:t>157 (16.4%)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6E4783" w14:textId="77777777" w:rsidR="001C19F3" w:rsidRDefault="001C19F3" w:rsidP="00521305">
            <w:pPr>
              <w:spacing w:before="40" w:after="40"/>
              <w:ind w:left="100" w:right="100"/>
              <w:jc w:val="center"/>
            </w:pPr>
            <w:r>
              <w:rPr>
                <w:rFonts w:eastAsia="Century Gothic" w:cs="Century Gothic"/>
                <w:color w:val="000000"/>
                <w:sz w:val="18"/>
                <w:szCs w:val="18"/>
              </w:rPr>
              <w:t>65 (15.5%)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7BA315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04FFFA" w14:textId="77777777" w:rsidR="001C19F3" w:rsidRDefault="001C19F3" w:rsidP="00521305">
            <w:pPr>
              <w:spacing w:before="40" w:after="40"/>
              <w:ind w:left="100" w:right="100"/>
              <w:jc w:val="right"/>
            </w:pPr>
            <w:r>
              <w:rPr>
                <w:rFonts w:eastAsia="Century Gothic" w:cs="Century Gothic"/>
                <w:color w:val="000000"/>
                <w:sz w:val="18"/>
                <w:szCs w:val="18"/>
              </w:rPr>
              <w:t>152 (13.9%)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CD3F6" w14:textId="77777777" w:rsidR="001C19F3" w:rsidRDefault="001C19F3" w:rsidP="00521305">
            <w:pPr>
              <w:spacing w:before="40" w:after="40"/>
              <w:ind w:left="100" w:right="100"/>
              <w:jc w:val="right"/>
            </w:pPr>
            <w:r>
              <w:rPr>
                <w:rFonts w:eastAsia="Century Gothic" w:cs="Century Gothic"/>
                <w:color w:val="000000"/>
                <w:sz w:val="18"/>
                <w:szCs w:val="18"/>
              </w:rPr>
              <w:t>128 (17.2%)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9BC82C6" w14:textId="77777777" w:rsidR="001C19F3" w:rsidRDefault="001C19F3" w:rsidP="00521305">
            <w:pPr>
              <w:spacing w:after="0"/>
              <w:rPr>
                <w:sz w:val="22"/>
              </w:rPr>
            </w:pPr>
          </w:p>
        </w:tc>
      </w:tr>
      <w:tr w:rsidR="001C19F3" w14:paraId="72D298A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0C8022"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9C5D96" w14:textId="77777777" w:rsidR="001C19F3" w:rsidRDefault="001C19F3" w:rsidP="00521305">
            <w:pPr>
              <w:spacing w:before="40" w:after="40"/>
              <w:ind w:left="100" w:right="100"/>
              <w:jc w:val="center"/>
            </w:pPr>
            <w:r>
              <w:rPr>
                <w:rFonts w:eastAsia="Century Gothic" w:cs="Century Gothic"/>
                <w:color w:val="000000"/>
                <w:sz w:val="18"/>
                <w:szCs w:val="18"/>
              </w:rPr>
              <w:t>492 (26.8%)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BF1709" w14:textId="77777777" w:rsidR="001C19F3" w:rsidRDefault="001C19F3" w:rsidP="00521305">
            <w:pPr>
              <w:spacing w:before="40" w:after="40"/>
              <w:ind w:left="100" w:right="100"/>
              <w:jc w:val="center"/>
            </w:pPr>
            <w:r>
              <w:rPr>
                <w:rFonts w:eastAsia="Century Gothic" w:cs="Century Gothic"/>
                <w:color w:val="000000"/>
                <w:sz w:val="18"/>
                <w:szCs w:val="18"/>
              </w:rPr>
              <w:t>97 (24.5%)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E3A26A" w14:textId="77777777" w:rsidR="001C19F3" w:rsidRDefault="001C19F3" w:rsidP="00521305">
            <w:pPr>
              <w:spacing w:before="40" w:after="40"/>
              <w:ind w:left="100" w:right="100"/>
              <w:jc w:val="center"/>
            </w:pPr>
            <w:r>
              <w:rPr>
                <w:rFonts w:eastAsia="Century Gothic" w:cs="Century Gothic"/>
                <w:color w:val="000000"/>
                <w:sz w:val="18"/>
                <w:szCs w:val="18"/>
              </w:rPr>
              <w:t>246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DA96F3" w14:textId="77777777" w:rsidR="001C19F3" w:rsidRDefault="001C19F3" w:rsidP="00521305">
            <w:pPr>
              <w:spacing w:before="40" w:after="40"/>
              <w:ind w:left="100" w:right="100"/>
              <w:jc w:val="center"/>
            </w:pPr>
            <w:r>
              <w:rPr>
                <w:rFonts w:eastAsia="Century Gothic" w:cs="Century Gothic"/>
                <w:color w:val="000000"/>
                <w:sz w:val="18"/>
                <w:szCs w:val="18"/>
              </w:rPr>
              <w:t>130 (31.0%)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4DDA4F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0E9CE2" w14:textId="77777777" w:rsidR="001C19F3" w:rsidRDefault="001C19F3" w:rsidP="00521305">
            <w:pPr>
              <w:spacing w:before="40" w:after="40"/>
              <w:ind w:left="100" w:right="100"/>
              <w:jc w:val="right"/>
            </w:pPr>
            <w:r>
              <w:rPr>
                <w:rFonts w:eastAsia="Century Gothic" w:cs="Century Gothic"/>
                <w:color w:val="000000"/>
                <w:sz w:val="18"/>
                <w:szCs w:val="18"/>
              </w:rPr>
              <w:t>250 (22.9%)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A534F6" w14:textId="77777777" w:rsidR="001C19F3" w:rsidRDefault="001C19F3" w:rsidP="00521305">
            <w:pPr>
              <w:spacing w:before="40" w:after="40"/>
              <w:ind w:left="100" w:right="100"/>
              <w:jc w:val="right"/>
            </w:pPr>
            <w:r>
              <w:rPr>
                <w:rFonts w:eastAsia="Century Gothic" w:cs="Century Gothic"/>
                <w:color w:val="000000"/>
                <w:sz w:val="18"/>
                <w:szCs w:val="18"/>
              </w:rPr>
              <w:t>242 (32.5%)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ED974F" w14:textId="77777777" w:rsidR="001C19F3" w:rsidRDefault="001C19F3" w:rsidP="00521305">
            <w:pPr>
              <w:spacing w:after="0"/>
              <w:rPr>
                <w:sz w:val="22"/>
              </w:rPr>
            </w:pPr>
          </w:p>
        </w:tc>
      </w:tr>
      <w:tr w:rsidR="001C19F3" w14:paraId="1E41612B"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37082D" w14:textId="77777777" w:rsidR="001C19F3" w:rsidRDefault="001C19F3" w:rsidP="00521305">
            <w:pPr>
              <w:spacing w:before="40" w:after="40"/>
              <w:ind w:left="100" w:right="100"/>
            </w:pPr>
            <w:r>
              <w:rPr>
                <w:rFonts w:eastAsia="Century Gothic" w:cs="Century Gothic"/>
                <w:b/>
                <w:color w:val="000000"/>
                <w:sz w:val="18"/>
                <w:szCs w:val="18"/>
              </w:rPr>
              <w:t>J13 Total score (PACIC)</w:t>
            </w:r>
          </w:p>
        </w:tc>
      </w:tr>
      <w:tr w:rsidR="001C19F3" w14:paraId="79A75DD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3978A6"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D663D4"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08898" w14:textId="77777777" w:rsidR="001C19F3" w:rsidRDefault="001C19F3" w:rsidP="00521305">
            <w:pPr>
              <w:spacing w:before="40" w:after="40"/>
              <w:ind w:left="100" w:right="100"/>
              <w:jc w:val="center"/>
            </w:pPr>
            <w:r>
              <w:rPr>
                <w:rFonts w:cs="Century Gothic"/>
                <w:color w:val="000000"/>
                <w:sz w:val="18"/>
                <w:szCs w:val="18"/>
              </w:rPr>
              <w:t>3.3 (3.4)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44FB20" w14:textId="77777777" w:rsidR="001C19F3" w:rsidRDefault="001C19F3" w:rsidP="00521305">
            <w:pPr>
              <w:spacing w:before="40" w:after="40"/>
              <w:ind w:left="100" w:right="100"/>
              <w:jc w:val="center"/>
            </w:pPr>
            <w:r>
              <w:rPr>
                <w:rFonts w:cs="Century Gothic"/>
                <w:color w:val="000000"/>
                <w:sz w:val="18"/>
                <w:szCs w:val="18"/>
              </w:rPr>
              <w:t>3.3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62AE2D"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C0CCFD" w14:textId="77777777" w:rsidR="001C19F3" w:rsidRDefault="001C19F3" w:rsidP="00521305">
            <w:pPr>
              <w:spacing w:before="40" w:after="40"/>
              <w:ind w:left="100" w:right="100"/>
              <w:jc w:val="center"/>
            </w:pPr>
            <w:r>
              <w:rPr>
                <w:rFonts w:cs="Century Gothic"/>
                <w:color w:val="000000"/>
                <w:sz w:val="18"/>
                <w:szCs w:val="18"/>
              </w:rPr>
              <w:t>0.152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84DB2D" w14:textId="77777777" w:rsidR="001C19F3" w:rsidRDefault="001C19F3" w:rsidP="00521305">
            <w:pPr>
              <w:spacing w:before="40" w:after="40"/>
              <w:ind w:left="100" w:right="100"/>
              <w:jc w:val="right"/>
            </w:pPr>
            <w:r>
              <w:rPr>
                <w:rFonts w:cs="Century Gothic"/>
                <w:color w:val="000000"/>
                <w:sz w:val="18"/>
                <w:szCs w:val="18"/>
              </w:rPr>
              <w:t>3.3 (3.4)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D94250" w14:textId="77777777" w:rsidR="001C19F3" w:rsidRDefault="001C19F3" w:rsidP="00521305">
            <w:pPr>
              <w:spacing w:before="40" w:after="40"/>
              <w:ind w:left="100" w:right="100"/>
              <w:jc w:val="right"/>
            </w:pPr>
            <w:r>
              <w:rPr>
                <w:rFonts w:cs="Century Gothic"/>
                <w:color w:val="000000"/>
                <w:sz w:val="18"/>
                <w:szCs w:val="18"/>
              </w:rPr>
              <w:t>3.5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D1BF5F" w14:textId="77777777" w:rsidR="001C19F3" w:rsidRDefault="001C19F3" w:rsidP="00521305">
            <w:pPr>
              <w:spacing w:before="40" w:after="40"/>
              <w:ind w:left="100" w:right="100"/>
              <w:jc w:val="right"/>
            </w:pPr>
            <w:r>
              <w:rPr>
                <w:rFonts w:cs="Century Gothic"/>
                <w:color w:val="000000"/>
                <w:sz w:val="18"/>
                <w:szCs w:val="18"/>
              </w:rPr>
              <w:t>&lt;0.001</w:t>
            </w:r>
          </w:p>
        </w:tc>
      </w:tr>
      <w:tr w:rsidR="001C19F3" w14:paraId="60419F1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C852D5"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1E78BE"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0ACFD1"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D340A6"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63CAD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6A60B7"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0D43EB"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F35686"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4B4FD0"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6D7391B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8084CD" w14:textId="77777777" w:rsidR="001C19F3" w:rsidRDefault="001C19F3" w:rsidP="00521305">
            <w:pPr>
              <w:spacing w:before="40" w:after="40"/>
              <w:ind w:left="100" w:right="100"/>
            </w:pPr>
            <w:r>
              <w:rPr>
                <w:rFonts w:eastAsia="Century Gothic" w:cs="Century Gothic"/>
                <w:b/>
                <w:color w:val="000000"/>
                <w:sz w:val="18"/>
                <w:szCs w:val="18"/>
              </w:rPr>
              <w:t>J14 PACIC: Patient activation score</w:t>
            </w:r>
          </w:p>
        </w:tc>
      </w:tr>
      <w:tr w:rsidR="001C19F3" w14:paraId="5039F62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A96915"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30F137"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A2B9BA"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BD9E1"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A26741" w14:textId="77777777" w:rsidR="001C19F3" w:rsidRDefault="001C19F3" w:rsidP="00521305">
            <w:pPr>
              <w:spacing w:before="40" w:after="40"/>
              <w:ind w:left="100" w:right="100"/>
              <w:jc w:val="center"/>
            </w:pPr>
            <w:r>
              <w:rPr>
                <w:rFonts w:cs="Century Gothic"/>
                <w:color w:val="000000"/>
                <w:sz w:val="18"/>
                <w:szCs w:val="18"/>
              </w:rPr>
              <w:t>3.5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5FEC46" w14:textId="77777777" w:rsidR="001C19F3" w:rsidRDefault="001C19F3" w:rsidP="00521305">
            <w:pPr>
              <w:spacing w:before="40" w:after="40"/>
              <w:ind w:left="100" w:right="100"/>
              <w:jc w:val="center"/>
            </w:pPr>
            <w:r>
              <w:rPr>
                <w:rFonts w:cs="Century Gothic"/>
                <w:color w:val="000000"/>
                <w:sz w:val="18"/>
                <w:szCs w:val="18"/>
              </w:rPr>
              <w:t>0.194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81419" w14:textId="77777777" w:rsidR="001C19F3" w:rsidRDefault="001C19F3" w:rsidP="00521305">
            <w:pPr>
              <w:spacing w:before="40" w:after="40"/>
              <w:ind w:left="100" w:right="100"/>
              <w:jc w:val="right"/>
            </w:pPr>
            <w:r>
              <w:rPr>
                <w:rFonts w:cs="Century Gothic"/>
                <w:color w:val="000000"/>
                <w:sz w:val="18"/>
                <w:szCs w:val="18"/>
              </w:rPr>
              <w:t>3.3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27AE52" w14:textId="77777777" w:rsidR="001C19F3" w:rsidRDefault="001C19F3" w:rsidP="00521305">
            <w:pPr>
              <w:spacing w:before="40" w:after="40"/>
              <w:ind w:left="100" w:right="100"/>
              <w:jc w:val="right"/>
            </w:pPr>
            <w:r>
              <w:rPr>
                <w:rFonts w:cs="Century Gothic"/>
                <w:color w:val="000000"/>
                <w:sz w:val="18"/>
                <w:szCs w:val="18"/>
              </w:rPr>
              <w:t>3.6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572BD8" w14:textId="77777777" w:rsidR="001C19F3" w:rsidRDefault="001C19F3" w:rsidP="00521305">
            <w:pPr>
              <w:spacing w:before="40" w:after="40"/>
              <w:ind w:left="100" w:right="100"/>
              <w:jc w:val="right"/>
            </w:pPr>
            <w:r>
              <w:rPr>
                <w:rFonts w:cs="Century Gothic"/>
                <w:color w:val="000000"/>
                <w:sz w:val="18"/>
                <w:szCs w:val="18"/>
              </w:rPr>
              <w:t>&lt;0.001</w:t>
            </w:r>
          </w:p>
        </w:tc>
      </w:tr>
      <w:tr w:rsidR="001C19F3" w14:paraId="1247D5C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A60E16"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7757DB"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723BB0"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687B39"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4BFA99"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D97E98"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DA8434"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EA9D0"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95721F"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10D20C8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E0BD7B" w14:textId="77777777" w:rsidR="001C19F3" w:rsidRDefault="001C19F3" w:rsidP="00521305">
            <w:pPr>
              <w:spacing w:before="40" w:after="40"/>
              <w:ind w:left="100" w:right="100"/>
            </w:pPr>
            <w:r>
              <w:rPr>
                <w:rFonts w:eastAsia="Century Gothic" w:cs="Century Gothic"/>
                <w:b/>
                <w:color w:val="000000"/>
                <w:sz w:val="18"/>
                <w:szCs w:val="18"/>
              </w:rPr>
              <w:t>J15 PACIC: Decision support score</w:t>
            </w:r>
          </w:p>
        </w:tc>
      </w:tr>
      <w:tr w:rsidR="001C19F3" w14:paraId="5CC6B70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3644CB"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FA05B9" w14:textId="77777777" w:rsidR="001C19F3" w:rsidRDefault="001C19F3" w:rsidP="00521305">
            <w:pPr>
              <w:spacing w:before="40" w:after="40"/>
              <w:ind w:left="100" w:right="100"/>
              <w:jc w:val="center"/>
            </w:pPr>
            <w:r>
              <w:rPr>
                <w:rFonts w:cs="Century Gothic"/>
                <w:color w:val="000000"/>
                <w:sz w:val="18"/>
                <w:szCs w:val="18"/>
              </w:rPr>
              <w:t>3.7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BA6C37" w14:textId="77777777" w:rsidR="001C19F3" w:rsidRDefault="001C19F3" w:rsidP="00521305">
            <w:pPr>
              <w:spacing w:before="40" w:after="40"/>
              <w:ind w:left="100" w:right="100"/>
              <w:jc w:val="center"/>
            </w:pPr>
            <w:r>
              <w:rPr>
                <w:rFonts w:cs="Century Gothic"/>
                <w:color w:val="000000"/>
                <w:sz w:val="18"/>
                <w:szCs w:val="18"/>
              </w:rPr>
              <w:t>3.8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D643F0" w14:textId="77777777" w:rsidR="001C19F3" w:rsidRDefault="001C19F3" w:rsidP="00521305">
            <w:pPr>
              <w:spacing w:before="40" w:after="40"/>
              <w:ind w:left="100" w:right="100"/>
              <w:jc w:val="center"/>
            </w:pPr>
            <w:r>
              <w:rPr>
                <w:rFonts w:cs="Century Gothic"/>
                <w:color w:val="000000"/>
                <w:sz w:val="18"/>
                <w:szCs w:val="18"/>
              </w:rPr>
              <w:t>3.7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F90C61" w14:textId="77777777" w:rsidR="001C19F3" w:rsidRDefault="001C19F3" w:rsidP="00521305">
            <w:pPr>
              <w:spacing w:before="40" w:after="40"/>
              <w:ind w:left="100" w:right="100"/>
              <w:jc w:val="center"/>
            </w:pPr>
            <w:r>
              <w:rPr>
                <w:rFonts w:cs="Century Gothic"/>
                <w:color w:val="000000"/>
                <w:sz w:val="18"/>
                <w:szCs w:val="18"/>
              </w:rPr>
              <w:t>3.7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5CB5F0" w14:textId="77777777" w:rsidR="001C19F3" w:rsidRDefault="001C19F3" w:rsidP="00521305">
            <w:pPr>
              <w:spacing w:before="40" w:after="40"/>
              <w:ind w:left="100" w:right="100"/>
              <w:jc w:val="center"/>
            </w:pPr>
            <w:r>
              <w:rPr>
                <w:rFonts w:cs="Century Gothic"/>
                <w:color w:val="000000"/>
                <w:sz w:val="18"/>
                <w:szCs w:val="18"/>
              </w:rPr>
              <w:t>0.517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BC83B7" w14:textId="77777777" w:rsidR="001C19F3" w:rsidRDefault="001C19F3" w:rsidP="00521305">
            <w:pPr>
              <w:spacing w:before="40" w:after="40"/>
              <w:ind w:left="100" w:right="100"/>
              <w:jc w:val="right"/>
            </w:pPr>
            <w:r>
              <w:rPr>
                <w:rFonts w:cs="Century Gothic"/>
                <w:color w:val="000000"/>
                <w:sz w:val="18"/>
                <w:szCs w:val="18"/>
              </w:rPr>
              <w:t>3.7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15E0EB" w14:textId="77777777" w:rsidR="001C19F3" w:rsidRDefault="001C19F3" w:rsidP="00521305">
            <w:pPr>
              <w:spacing w:before="40" w:after="40"/>
              <w:ind w:left="100" w:right="100"/>
              <w:jc w:val="right"/>
            </w:pPr>
            <w:r>
              <w:rPr>
                <w:rFonts w:cs="Century Gothic"/>
                <w:color w:val="000000"/>
                <w:sz w:val="18"/>
                <w:szCs w:val="18"/>
              </w:rPr>
              <w:t>3.8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625E41" w14:textId="77777777" w:rsidR="001C19F3" w:rsidRDefault="001C19F3" w:rsidP="00521305">
            <w:pPr>
              <w:spacing w:before="40" w:after="40"/>
              <w:ind w:left="100" w:right="100"/>
              <w:jc w:val="right"/>
            </w:pPr>
            <w:r>
              <w:rPr>
                <w:rFonts w:cs="Century Gothic"/>
                <w:color w:val="000000"/>
                <w:sz w:val="18"/>
                <w:szCs w:val="18"/>
              </w:rPr>
              <w:t>&lt;0.001</w:t>
            </w:r>
          </w:p>
        </w:tc>
      </w:tr>
      <w:tr w:rsidR="001C19F3" w14:paraId="43C5B53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67A7EF"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A25E5A"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0A9D6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464CD1"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FDCF2F"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020F1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090CF0"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424681"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978B3F"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2E76EBD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C519AE" w14:textId="77777777" w:rsidR="001C19F3" w:rsidRDefault="001C19F3" w:rsidP="00521305">
            <w:pPr>
              <w:spacing w:before="40" w:after="40"/>
              <w:ind w:left="100" w:right="100"/>
            </w:pPr>
            <w:r>
              <w:rPr>
                <w:rFonts w:eastAsia="Century Gothic" w:cs="Century Gothic"/>
                <w:b/>
                <w:color w:val="000000"/>
                <w:sz w:val="18"/>
                <w:szCs w:val="18"/>
              </w:rPr>
              <w:t>J16 PACIC: Goal setting score</w:t>
            </w:r>
          </w:p>
        </w:tc>
      </w:tr>
      <w:tr w:rsidR="001C19F3" w14:paraId="11BE8F5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43A4AD"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115271" w14:textId="77777777" w:rsidR="001C19F3" w:rsidRDefault="001C19F3" w:rsidP="00521305">
            <w:pPr>
              <w:spacing w:before="40" w:after="40"/>
              <w:ind w:left="100" w:right="100"/>
              <w:jc w:val="center"/>
            </w:pPr>
            <w:r>
              <w:rPr>
                <w:rFonts w:cs="Century Gothic"/>
                <w:color w:val="000000"/>
                <w:sz w:val="18"/>
                <w:szCs w:val="18"/>
              </w:rPr>
              <w:t>3.4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94B1D6" w14:textId="77777777" w:rsidR="001C19F3" w:rsidRDefault="001C19F3" w:rsidP="00521305">
            <w:pPr>
              <w:spacing w:before="40" w:after="40"/>
              <w:ind w:left="100" w:right="100"/>
              <w:jc w:val="center"/>
            </w:pPr>
            <w:r>
              <w:rPr>
                <w:rFonts w:cs="Century Gothic"/>
                <w:color w:val="000000"/>
                <w:sz w:val="18"/>
                <w:szCs w:val="18"/>
              </w:rPr>
              <w:t>3.4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773117" w14:textId="77777777" w:rsidR="001C19F3" w:rsidRDefault="001C19F3" w:rsidP="00521305">
            <w:pPr>
              <w:spacing w:before="40" w:after="40"/>
              <w:ind w:left="100" w:right="100"/>
              <w:jc w:val="center"/>
            </w:pPr>
            <w:r>
              <w:rPr>
                <w:rFonts w:cs="Century Gothic"/>
                <w:color w:val="000000"/>
                <w:sz w:val="18"/>
                <w:szCs w:val="18"/>
              </w:rPr>
              <w:t>3.4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A30ABC" w14:textId="77777777" w:rsidR="001C19F3" w:rsidRDefault="001C19F3" w:rsidP="00521305">
            <w:pPr>
              <w:spacing w:before="40" w:after="40"/>
              <w:ind w:left="100" w:right="100"/>
              <w:jc w:val="center"/>
            </w:pPr>
            <w:r>
              <w:rPr>
                <w:rFonts w:cs="Century Gothic"/>
                <w:color w:val="000000"/>
                <w:sz w:val="18"/>
                <w:szCs w:val="18"/>
              </w:rPr>
              <w:t>3.4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F9DCD" w14:textId="77777777" w:rsidR="001C19F3" w:rsidRDefault="001C19F3" w:rsidP="00521305">
            <w:pPr>
              <w:spacing w:before="40" w:after="40"/>
              <w:ind w:left="100" w:right="100"/>
              <w:jc w:val="center"/>
            </w:pPr>
            <w:r>
              <w:rPr>
                <w:rFonts w:cs="Century Gothic"/>
                <w:color w:val="000000"/>
                <w:sz w:val="18"/>
                <w:szCs w:val="18"/>
              </w:rPr>
              <w:t>0.825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56A3C" w14:textId="77777777" w:rsidR="001C19F3" w:rsidRDefault="001C19F3" w:rsidP="00521305">
            <w:pPr>
              <w:spacing w:before="40" w:after="40"/>
              <w:ind w:left="100" w:right="100"/>
              <w:jc w:val="right"/>
            </w:pPr>
            <w:r>
              <w:rPr>
                <w:rFonts w:cs="Century Gothic"/>
                <w:color w:val="000000"/>
                <w:sz w:val="18"/>
                <w:szCs w:val="18"/>
              </w:rPr>
              <w:t>3.3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B95272" w14:textId="77777777" w:rsidR="001C19F3" w:rsidRDefault="001C19F3" w:rsidP="00521305">
            <w:pPr>
              <w:spacing w:before="40" w:after="40"/>
              <w:ind w:left="100" w:right="100"/>
              <w:jc w:val="right"/>
            </w:pPr>
            <w:r>
              <w:rPr>
                <w:rFonts w:cs="Century Gothic"/>
                <w:color w:val="000000"/>
                <w:sz w:val="18"/>
                <w:szCs w:val="18"/>
              </w:rPr>
              <w:t>3.5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9CA04E" w14:textId="77777777" w:rsidR="001C19F3" w:rsidRDefault="001C19F3" w:rsidP="00521305">
            <w:pPr>
              <w:spacing w:before="40" w:after="40"/>
              <w:ind w:left="100" w:right="100"/>
              <w:jc w:val="right"/>
            </w:pPr>
            <w:r>
              <w:rPr>
                <w:rFonts w:cs="Century Gothic"/>
                <w:color w:val="000000"/>
                <w:sz w:val="18"/>
                <w:szCs w:val="18"/>
              </w:rPr>
              <w:t>&lt;0.001</w:t>
            </w:r>
          </w:p>
        </w:tc>
      </w:tr>
      <w:tr w:rsidR="001C19F3" w14:paraId="5FD909B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8E4051"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464E5A"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388DE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A82A56"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6CFC29"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127F57"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AC33A0"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456742"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96F244"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57FB084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57D109" w14:textId="77777777" w:rsidR="001C19F3" w:rsidRDefault="001C19F3" w:rsidP="00521305">
            <w:pPr>
              <w:spacing w:before="40" w:after="40"/>
              <w:ind w:left="100" w:right="100"/>
            </w:pPr>
            <w:r>
              <w:rPr>
                <w:rFonts w:eastAsia="Century Gothic" w:cs="Century Gothic"/>
                <w:b/>
                <w:color w:val="000000"/>
                <w:sz w:val="18"/>
                <w:szCs w:val="18"/>
              </w:rPr>
              <w:t>J17 PACIC: Problem solving score</w:t>
            </w:r>
          </w:p>
        </w:tc>
      </w:tr>
      <w:tr w:rsidR="001C19F3" w14:paraId="03FC94A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798CF8"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1E5A0" w14:textId="77777777" w:rsidR="001C19F3" w:rsidRDefault="001C19F3" w:rsidP="00521305">
            <w:pPr>
              <w:spacing w:before="40" w:after="40"/>
              <w:ind w:left="100" w:right="100"/>
              <w:jc w:val="center"/>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731BAA" w14:textId="77777777" w:rsidR="001C19F3" w:rsidRDefault="001C19F3" w:rsidP="00521305">
            <w:pPr>
              <w:spacing w:before="40" w:after="40"/>
              <w:ind w:left="100" w:right="100"/>
              <w:jc w:val="center"/>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F94237" w14:textId="77777777" w:rsidR="001C19F3" w:rsidRDefault="001C19F3" w:rsidP="00521305">
            <w:pPr>
              <w:spacing w:before="40" w:after="40"/>
              <w:ind w:left="100" w:right="100"/>
              <w:jc w:val="center"/>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6E22C1" w14:textId="77777777" w:rsidR="001C19F3" w:rsidRDefault="001C19F3" w:rsidP="00521305">
            <w:pPr>
              <w:spacing w:before="40" w:after="40"/>
              <w:ind w:left="100" w:right="100"/>
              <w:jc w:val="center"/>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3819CE" w14:textId="77777777" w:rsidR="001C19F3" w:rsidRDefault="001C19F3" w:rsidP="00521305">
            <w:pPr>
              <w:spacing w:before="40" w:after="40"/>
              <w:ind w:left="100" w:right="100"/>
              <w:jc w:val="center"/>
            </w:pPr>
            <w:r>
              <w:rPr>
                <w:rFonts w:cs="Century Gothic"/>
                <w:color w:val="000000"/>
                <w:sz w:val="18"/>
                <w:szCs w:val="18"/>
              </w:rPr>
              <w:t>0.977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2EFEB" w14:textId="77777777" w:rsidR="001C19F3" w:rsidRDefault="001C19F3" w:rsidP="00521305">
            <w:pPr>
              <w:spacing w:before="40" w:after="40"/>
              <w:ind w:left="100" w:right="100"/>
              <w:jc w:val="right"/>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ADC6A" w14:textId="77777777" w:rsidR="001C19F3" w:rsidRDefault="001C19F3" w:rsidP="00521305">
            <w:pPr>
              <w:spacing w:before="40" w:after="40"/>
              <w:ind w:left="100" w:right="100"/>
              <w:jc w:val="right"/>
            </w:pPr>
            <w:r>
              <w:rPr>
                <w:rFonts w:cs="Century Gothic"/>
                <w:color w:val="000000"/>
                <w:sz w:val="18"/>
                <w:szCs w:val="18"/>
              </w:rPr>
              <w:t>4.3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E6CABC" w14:textId="77777777" w:rsidR="001C19F3" w:rsidRDefault="001C19F3" w:rsidP="00521305">
            <w:pPr>
              <w:spacing w:before="40" w:after="40"/>
              <w:ind w:left="100" w:right="100"/>
              <w:jc w:val="right"/>
            </w:pPr>
            <w:r>
              <w:rPr>
                <w:rFonts w:cs="Century Gothic"/>
                <w:color w:val="000000"/>
                <w:sz w:val="18"/>
                <w:szCs w:val="18"/>
              </w:rPr>
              <w:t>0.128</w:t>
            </w:r>
          </w:p>
        </w:tc>
      </w:tr>
      <w:tr w:rsidR="001C19F3" w14:paraId="0A83588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DF4BA5"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65BA48"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A81E9F"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AB71A9"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342734"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D0C252"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BB81C1"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6DAB46"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50596C"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423FD4E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E81A24" w14:textId="77777777" w:rsidR="001C19F3" w:rsidRDefault="001C19F3" w:rsidP="00521305">
            <w:pPr>
              <w:spacing w:before="40" w:after="40"/>
              <w:ind w:left="100" w:right="100"/>
            </w:pPr>
            <w:r>
              <w:rPr>
                <w:rFonts w:eastAsia="Century Gothic" w:cs="Century Gothic"/>
                <w:b/>
                <w:color w:val="000000"/>
                <w:sz w:val="18"/>
                <w:szCs w:val="18"/>
              </w:rPr>
              <w:lastRenderedPageBreak/>
              <w:t>J18 PACIC: Follow-up/ co-ordination score</w:t>
            </w:r>
          </w:p>
        </w:tc>
      </w:tr>
      <w:tr w:rsidR="001C19F3" w14:paraId="2A5C9BA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D6BB0B"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D25FC6" w14:textId="77777777" w:rsidR="001C19F3" w:rsidRDefault="001C19F3" w:rsidP="00521305">
            <w:pPr>
              <w:spacing w:before="40" w:after="40"/>
              <w:ind w:left="100" w:right="100"/>
              <w:jc w:val="center"/>
            </w:pPr>
            <w:r>
              <w:rPr>
                <w:rFonts w:cs="Century Gothic"/>
                <w:color w:val="000000"/>
                <w:sz w:val="18"/>
                <w:szCs w:val="18"/>
              </w:rPr>
              <w:t>2.6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B11368" w14:textId="77777777" w:rsidR="001C19F3" w:rsidRDefault="001C19F3" w:rsidP="00521305">
            <w:pPr>
              <w:spacing w:before="40" w:after="40"/>
              <w:ind w:left="100" w:right="100"/>
              <w:jc w:val="center"/>
            </w:pPr>
            <w:r>
              <w:rPr>
                <w:rFonts w:cs="Century Gothic"/>
                <w:color w:val="000000"/>
                <w:sz w:val="18"/>
                <w:szCs w:val="18"/>
              </w:rPr>
              <w:t>2.5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426CDF" w14:textId="77777777" w:rsidR="001C19F3" w:rsidRDefault="001C19F3" w:rsidP="00521305">
            <w:pPr>
              <w:spacing w:before="40" w:after="40"/>
              <w:ind w:left="100" w:right="100"/>
              <w:jc w:val="center"/>
            </w:pPr>
            <w:r>
              <w:rPr>
                <w:rFonts w:cs="Century Gothic"/>
                <w:color w:val="000000"/>
                <w:sz w:val="18"/>
                <w:szCs w:val="18"/>
              </w:rPr>
              <w:t>2.6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579D07" w14:textId="77777777" w:rsidR="001C19F3" w:rsidRDefault="001C19F3" w:rsidP="00521305">
            <w:pPr>
              <w:spacing w:before="40" w:after="40"/>
              <w:ind w:left="100" w:right="100"/>
              <w:jc w:val="center"/>
            </w:pPr>
            <w:r>
              <w:rPr>
                <w:rFonts w:cs="Century Gothic"/>
                <w:color w:val="000000"/>
                <w:sz w:val="18"/>
                <w:szCs w:val="18"/>
              </w:rPr>
              <w:t>2.8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2FCC3E"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BB30ED" w14:textId="77777777" w:rsidR="001C19F3" w:rsidRDefault="001C19F3" w:rsidP="00521305">
            <w:pPr>
              <w:spacing w:before="40" w:after="40"/>
              <w:ind w:left="100" w:right="100"/>
              <w:jc w:val="right"/>
            </w:pPr>
            <w:r>
              <w:rPr>
                <w:rFonts w:cs="Century Gothic"/>
                <w:color w:val="000000"/>
                <w:sz w:val="18"/>
                <w:szCs w:val="18"/>
              </w:rPr>
              <w:t>2.5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50DC19" w14:textId="77777777" w:rsidR="001C19F3" w:rsidRDefault="001C19F3" w:rsidP="00521305">
            <w:pPr>
              <w:spacing w:before="40" w:after="40"/>
              <w:ind w:left="100" w:right="100"/>
              <w:jc w:val="right"/>
            </w:pPr>
            <w:r>
              <w:rPr>
                <w:rFonts w:cs="Century Gothic"/>
                <w:color w:val="000000"/>
                <w:sz w:val="18"/>
                <w:szCs w:val="18"/>
              </w:rPr>
              <w:t>2.8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18896B" w14:textId="77777777" w:rsidR="001C19F3" w:rsidRDefault="001C19F3" w:rsidP="00521305">
            <w:pPr>
              <w:spacing w:before="40" w:after="40"/>
              <w:ind w:left="100" w:right="100"/>
              <w:jc w:val="right"/>
            </w:pPr>
            <w:r>
              <w:rPr>
                <w:rFonts w:cs="Century Gothic"/>
                <w:color w:val="000000"/>
                <w:sz w:val="18"/>
                <w:szCs w:val="18"/>
              </w:rPr>
              <w:t>&lt;0.001</w:t>
            </w:r>
          </w:p>
        </w:tc>
      </w:tr>
      <w:tr w:rsidR="001C19F3" w14:paraId="369ADC7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CBF79C"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E70060"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06418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0C01E0"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B0CC8F"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A47026"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6F58B7"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AB486F"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06B000" w14:textId="77777777" w:rsidR="001C19F3" w:rsidRDefault="001C19F3" w:rsidP="00521305">
            <w:pPr>
              <w:spacing w:before="40" w:after="40"/>
              <w:ind w:left="100" w:right="100"/>
              <w:jc w:val="right"/>
              <w:rPr>
                <w:rFonts w:eastAsia="Century Gothic" w:cs="Century Gothic"/>
                <w:color w:val="000000"/>
                <w:sz w:val="18"/>
                <w:szCs w:val="18"/>
              </w:rPr>
            </w:pPr>
          </w:p>
        </w:tc>
      </w:tr>
    </w:tbl>
    <w:p w14:paraId="6E09CE93"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0946C076" w14:textId="77777777" w:rsidR="001C19F3" w:rsidRDefault="001C19F3" w:rsidP="001C19F3">
      <w:pPr>
        <w:pStyle w:val="Caption1"/>
      </w:pPr>
      <w:r>
        <w:t xml:space="preserve">Table </w:t>
      </w:r>
      <w:r>
        <w:fldChar w:fldCharType="begin"/>
      </w:r>
      <w:r>
        <w:instrText>SEQ Table \* ARABIC</w:instrText>
      </w:r>
      <w:r>
        <w:fldChar w:fldCharType="separate"/>
      </w:r>
      <w:r>
        <w:rPr>
          <w:noProof/>
        </w:rPr>
        <w:t>70</w:t>
      </w:r>
      <w:r>
        <w:fldChar w:fldCharType="end"/>
      </w:r>
      <w:r>
        <w:t xml:space="preserve"> – Patient rating of HCH practice by patient HCH tier and practice size</w:t>
      </w:r>
    </w:p>
    <w:tbl>
      <w:tblPr>
        <w:tblW w:w="15120" w:type="dxa"/>
        <w:jc w:val="center"/>
        <w:tblLayout w:type="fixed"/>
        <w:tblLook w:val="04A0" w:firstRow="1" w:lastRow="0" w:firstColumn="1" w:lastColumn="0" w:noHBand="0" w:noVBand="1"/>
      </w:tblPr>
      <w:tblGrid>
        <w:gridCol w:w="3600"/>
        <w:gridCol w:w="1440"/>
        <w:gridCol w:w="1440"/>
        <w:gridCol w:w="1440"/>
        <w:gridCol w:w="1568"/>
        <w:gridCol w:w="1312"/>
        <w:gridCol w:w="1440"/>
        <w:gridCol w:w="1642"/>
        <w:gridCol w:w="1238"/>
      </w:tblGrid>
      <w:tr w:rsidR="001C19F3" w14:paraId="5F79C96A"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A52276F" w14:textId="77777777" w:rsidR="001C19F3" w:rsidRDefault="001C19F3" w:rsidP="00521305">
            <w:pPr>
              <w:spacing w:after="0"/>
              <w:jc w:val="center"/>
            </w:pPr>
            <w:r>
              <w:rPr>
                <w:rFonts w:eastAsia="Century Gothic" w:cs="Century Gothic"/>
                <w:b/>
                <w:color w:val="FFFFFF"/>
                <w:sz w:val="18"/>
                <w:szCs w:val="18"/>
              </w:rPr>
              <w:t>Patient rating of HCH practice</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CBFD2D9" w14:textId="77777777" w:rsidR="001C19F3" w:rsidRDefault="001C19F3" w:rsidP="00521305">
            <w:pPr>
              <w:spacing w:after="0"/>
              <w:jc w:val="center"/>
            </w:pPr>
            <w:r>
              <w:rPr>
                <w:rFonts w:eastAsia="Century Gothic" w:cs="Century Gothic"/>
                <w:b/>
                <w:color w:val="FFFFFF"/>
                <w:sz w:val="18"/>
                <w:szCs w:val="18"/>
              </w:rPr>
              <w:t>Total</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6089CAF" w14:textId="77777777" w:rsidR="001C19F3" w:rsidRDefault="001C19F3" w:rsidP="00521305">
            <w:pPr>
              <w:spacing w:after="0"/>
              <w:jc w:val="center"/>
            </w:pPr>
            <w:r>
              <w:rPr>
                <w:rFonts w:eastAsia="Century Gothic" w:cs="Century Gothic"/>
                <w:b/>
                <w:color w:val="FFFFFF"/>
                <w:sz w:val="18"/>
                <w:szCs w:val="18"/>
              </w:rPr>
              <w:t>Tier</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36FB4D9" w14:textId="77777777" w:rsidR="001C19F3" w:rsidRDefault="001C19F3" w:rsidP="00521305">
            <w:pPr>
              <w:spacing w:after="0"/>
              <w:jc w:val="center"/>
            </w:pPr>
            <w:r>
              <w:rPr>
                <w:rFonts w:eastAsia="Century Gothic" w:cs="Century Gothic"/>
                <w:b/>
                <w:color w:val="FFFFFF"/>
                <w:sz w:val="18"/>
                <w:szCs w:val="18"/>
              </w:rPr>
              <w:t>Size</w:t>
            </w:r>
          </w:p>
        </w:tc>
      </w:tr>
      <w:tr w:rsidR="001C19F3" w14:paraId="642C38C8" w14:textId="77777777" w:rsidTr="00521305">
        <w:trPr>
          <w:cantSplit/>
          <w:trHeight w:val="336"/>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5E30C684"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3C9C1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03C9B36" w14:textId="77777777" w:rsidR="001C19F3" w:rsidRDefault="001C19F3" w:rsidP="00521305">
            <w:pPr>
              <w:spacing w:after="0"/>
              <w:jc w:val="center"/>
            </w:pPr>
            <w:r>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01B2855" w14:textId="77777777" w:rsidR="001C19F3" w:rsidRDefault="001C19F3" w:rsidP="00521305">
            <w:pPr>
              <w:spacing w:after="0"/>
              <w:jc w:val="center"/>
            </w:pPr>
            <w:r>
              <w:rPr>
                <w:rFonts w:eastAsia="Century Gothic" w:cs="Century Gothic"/>
                <w:b/>
                <w:color w:val="FFFFFF"/>
                <w:sz w:val="18"/>
                <w:szCs w:val="18"/>
              </w:rPr>
              <w:t>Tier 2</w:t>
            </w:r>
          </w:p>
        </w:tc>
        <w:tc>
          <w:tcPr>
            <w:tcW w:w="156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CE703D3" w14:textId="77777777" w:rsidR="001C19F3" w:rsidRDefault="001C19F3" w:rsidP="00521305">
            <w:pPr>
              <w:spacing w:after="0"/>
              <w:jc w:val="center"/>
            </w:pPr>
            <w:r>
              <w:rPr>
                <w:rFonts w:eastAsia="Century Gothic" w:cs="Century Gothic"/>
                <w:b/>
                <w:color w:val="FFFFFF"/>
                <w:sz w:val="18"/>
                <w:szCs w:val="18"/>
              </w:rPr>
              <w:t>Tier 3</w:t>
            </w:r>
          </w:p>
        </w:tc>
        <w:tc>
          <w:tcPr>
            <w:tcW w:w="131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58A6754"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9AAEBC5" w14:textId="77777777" w:rsidR="001C19F3" w:rsidRDefault="001C19F3" w:rsidP="00521305">
            <w:pPr>
              <w:spacing w:after="0"/>
              <w:jc w:val="center"/>
            </w:pPr>
            <w:r>
              <w:rPr>
                <w:rFonts w:eastAsia="Century Gothic" w:cs="Century Gothic"/>
                <w:b/>
                <w:color w:val="FFFFFF"/>
                <w:sz w:val="18"/>
                <w:szCs w:val="18"/>
              </w:rPr>
              <w:t>Medium</w:t>
            </w:r>
            <w:r>
              <w:rPr>
                <w:rFonts w:eastAsia="Century Gothic" w:cs="Century Gothic"/>
                <w:b/>
                <w:color w:val="FFFFFF"/>
                <w:sz w:val="18"/>
                <w:szCs w:val="18"/>
              </w:rPr>
              <w:br/>
              <w:t>Large</w:t>
            </w:r>
          </w:p>
        </w:tc>
        <w:tc>
          <w:tcPr>
            <w:tcW w:w="164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238768" w14:textId="77777777" w:rsidR="001C19F3" w:rsidRDefault="001C19F3" w:rsidP="00521305">
            <w:pPr>
              <w:spacing w:after="0"/>
              <w:jc w:val="center"/>
            </w:pPr>
            <w:r>
              <w:rPr>
                <w:rFonts w:eastAsia="Century Gothic" w:cs="Century Gothic"/>
                <w:b/>
                <w:color w:val="FFFFFF"/>
                <w:sz w:val="18"/>
                <w:szCs w:val="18"/>
              </w:rPr>
              <w:t>Sole</w:t>
            </w:r>
            <w:r>
              <w:rPr>
                <w:rFonts w:eastAsia="Century Gothic" w:cs="Century Gothic"/>
                <w:b/>
                <w:color w:val="FFFFFF"/>
                <w:sz w:val="18"/>
                <w:szCs w:val="18"/>
              </w:rPr>
              <w:br/>
              <w:t>Small</w:t>
            </w:r>
          </w:p>
        </w:tc>
        <w:tc>
          <w:tcPr>
            <w:tcW w:w="123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70E8C61"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6BF518C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8B3ECE" w14:textId="77777777" w:rsidR="001C19F3" w:rsidRDefault="001C19F3" w:rsidP="00521305">
            <w:pPr>
              <w:spacing w:before="40" w:after="40"/>
              <w:ind w:left="100" w:right="100"/>
            </w:pPr>
            <w:r>
              <w:rPr>
                <w:rFonts w:eastAsia="Century Gothic" w:cs="Century Gothic"/>
                <w:b/>
                <w:color w:val="000000"/>
                <w:sz w:val="18"/>
                <w:szCs w:val="18"/>
              </w:rPr>
              <w:t>K1 Patient rating of the HCH practice (0-10)</w:t>
            </w:r>
          </w:p>
        </w:tc>
      </w:tr>
      <w:tr w:rsidR="001C19F3" w14:paraId="54F249A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C3C5F6"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8E2F08" w14:textId="77777777" w:rsidR="001C19F3" w:rsidRDefault="001C19F3" w:rsidP="00521305">
            <w:pPr>
              <w:spacing w:before="40" w:after="40"/>
              <w:ind w:left="100" w:right="100"/>
              <w:jc w:val="center"/>
            </w:pPr>
            <w:r>
              <w:rPr>
                <w:rFonts w:cs="Century Gothic"/>
                <w:color w:val="000000"/>
                <w:sz w:val="18"/>
                <w:szCs w:val="18"/>
              </w:rPr>
              <w:t>9.0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AF1661" w14:textId="77777777" w:rsidR="001C19F3" w:rsidRDefault="001C19F3" w:rsidP="00521305">
            <w:pPr>
              <w:spacing w:before="40" w:after="40"/>
              <w:ind w:left="100" w:right="100"/>
              <w:jc w:val="center"/>
            </w:pPr>
            <w:r>
              <w:rPr>
                <w:rFonts w:cs="Century Gothic"/>
                <w:color w:val="000000"/>
                <w:sz w:val="18"/>
                <w:szCs w:val="18"/>
              </w:rPr>
              <w:t>9.0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FA643A" w14:textId="77777777" w:rsidR="001C19F3" w:rsidRDefault="001C19F3" w:rsidP="00521305">
            <w:pPr>
              <w:spacing w:before="40" w:after="40"/>
              <w:ind w:left="100" w:right="100"/>
              <w:jc w:val="center"/>
            </w:pPr>
            <w:r>
              <w:rPr>
                <w:rFonts w:cs="Century Gothic"/>
                <w:color w:val="000000"/>
                <w:sz w:val="18"/>
                <w:szCs w:val="18"/>
              </w:rPr>
              <w:t>9.0 (9.0)</w:t>
            </w:r>
          </w:p>
        </w:tc>
        <w:tc>
          <w:tcPr>
            <w:tcW w:w="156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E3C881" w14:textId="77777777" w:rsidR="001C19F3" w:rsidRDefault="001C19F3" w:rsidP="00521305">
            <w:pPr>
              <w:spacing w:before="40" w:after="40"/>
              <w:ind w:left="100" w:right="100"/>
              <w:jc w:val="center"/>
            </w:pPr>
            <w:r>
              <w:rPr>
                <w:rFonts w:cs="Century Gothic"/>
                <w:color w:val="000000"/>
                <w:sz w:val="18"/>
                <w:szCs w:val="18"/>
              </w:rPr>
              <w:t>9.0 (9.0)</w:t>
            </w:r>
          </w:p>
        </w:tc>
        <w:tc>
          <w:tcPr>
            <w:tcW w:w="131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8FE8FD" w14:textId="77777777" w:rsidR="001C19F3" w:rsidRDefault="001C19F3" w:rsidP="00521305">
            <w:pPr>
              <w:spacing w:before="40" w:after="40"/>
              <w:ind w:left="100" w:right="100"/>
              <w:jc w:val="center"/>
            </w:pPr>
            <w:r>
              <w:rPr>
                <w:rFonts w:cs="Century Gothic"/>
                <w:color w:val="000000"/>
                <w:sz w:val="18"/>
                <w:szCs w:val="18"/>
              </w:rPr>
              <w:t>0.588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E9E983" w14:textId="77777777" w:rsidR="001C19F3" w:rsidRDefault="001C19F3" w:rsidP="00521305">
            <w:pPr>
              <w:spacing w:before="40" w:after="40"/>
              <w:ind w:left="100" w:right="100"/>
              <w:jc w:val="right"/>
            </w:pPr>
            <w:r>
              <w:rPr>
                <w:rFonts w:cs="Century Gothic"/>
                <w:color w:val="000000"/>
                <w:sz w:val="18"/>
                <w:szCs w:val="18"/>
              </w:rPr>
              <w:t>8.9 (9.0)</w:t>
            </w:r>
          </w:p>
        </w:tc>
        <w:tc>
          <w:tcPr>
            <w:tcW w:w="16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AFF186" w14:textId="77777777" w:rsidR="001C19F3" w:rsidRDefault="001C19F3" w:rsidP="00521305">
            <w:pPr>
              <w:spacing w:before="40" w:after="40"/>
              <w:ind w:left="100" w:right="100"/>
              <w:jc w:val="right"/>
            </w:pPr>
            <w:r>
              <w:rPr>
                <w:rFonts w:cs="Century Gothic"/>
                <w:color w:val="000000"/>
                <w:sz w:val="18"/>
                <w:szCs w:val="18"/>
              </w:rPr>
              <w:t>9.1 (10.0)</w:t>
            </w:r>
          </w:p>
        </w:tc>
        <w:tc>
          <w:tcPr>
            <w:tcW w:w="123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D17E97" w14:textId="77777777" w:rsidR="001C19F3" w:rsidRDefault="001C19F3" w:rsidP="00521305">
            <w:pPr>
              <w:spacing w:before="40" w:after="40"/>
              <w:ind w:left="100" w:right="100"/>
              <w:jc w:val="right"/>
            </w:pPr>
            <w:r>
              <w:rPr>
                <w:rFonts w:cs="Century Gothic"/>
                <w:color w:val="000000"/>
                <w:sz w:val="18"/>
                <w:szCs w:val="18"/>
              </w:rPr>
              <w:t>&lt;0.001</w:t>
            </w:r>
          </w:p>
        </w:tc>
      </w:tr>
      <w:tr w:rsidR="001C19F3" w14:paraId="6F1939C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01AED0"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9C6583"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EF277B"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CA922B" w14:textId="77777777" w:rsidR="001C19F3" w:rsidRDefault="001C19F3" w:rsidP="00521305">
            <w:pPr>
              <w:spacing w:before="40" w:after="40"/>
              <w:ind w:left="100" w:right="100"/>
              <w:jc w:val="center"/>
              <w:rPr>
                <w:rFonts w:eastAsia="Century Gothic" w:cs="Century Gothic"/>
                <w:color w:val="000000"/>
                <w:sz w:val="18"/>
                <w:szCs w:val="18"/>
              </w:rPr>
            </w:pPr>
          </w:p>
        </w:tc>
        <w:tc>
          <w:tcPr>
            <w:tcW w:w="156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565874" w14:textId="77777777" w:rsidR="001C19F3" w:rsidRDefault="001C19F3" w:rsidP="00521305">
            <w:pPr>
              <w:spacing w:before="40" w:after="40"/>
              <w:ind w:left="100" w:right="100"/>
              <w:jc w:val="center"/>
              <w:rPr>
                <w:rFonts w:eastAsia="Century Gothic" w:cs="Century Gothic"/>
                <w:color w:val="000000"/>
                <w:sz w:val="18"/>
                <w:szCs w:val="18"/>
              </w:rPr>
            </w:pPr>
          </w:p>
        </w:tc>
        <w:tc>
          <w:tcPr>
            <w:tcW w:w="131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8C5C5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C0504D" w14:textId="77777777" w:rsidR="001C19F3" w:rsidRDefault="001C19F3" w:rsidP="00521305">
            <w:pPr>
              <w:spacing w:before="40" w:after="40"/>
              <w:ind w:left="100" w:right="100"/>
              <w:jc w:val="right"/>
              <w:rPr>
                <w:rFonts w:eastAsia="Century Gothic" w:cs="Century Gothic"/>
                <w:color w:val="000000"/>
                <w:sz w:val="18"/>
                <w:szCs w:val="18"/>
              </w:rPr>
            </w:pPr>
          </w:p>
        </w:tc>
        <w:tc>
          <w:tcPr>
            <w:tcW w:w="16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D55ED6" w14:textId="77777777" w:rsidR="001C19F3" w:rsidRDefault="001C19F3" w:rsidP="00521305">
            <w:pPr>
              <w:spacing w:before="40" w:after="40"/>
              <w:ind w:left="100" w:right="100"/>
              <w:jc w:val="right"/>
              <w:rPr>
                <w:rFonts w:eastAsia="Century Gothic" w:cs="Century Gothic"/>
                <w:color w:val="000000"/>
                <w:sz w:val="18"/>
                <w:szCs w:val="18"/>
              </w:rPr>
            </w:pPr>
          </w:p>
        </w:tc>
        <w:tc>
          <w:tcPr>
            <w:tcW w:w="123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A3E873" w14:textId="77777777" w:rsidR="001C19F3" w:rsidRDefault="001C19F3" w:rsidP="00521305">
            <w:pPr>
              <w:spacing w:before="40" w:after="40"/>
              <w:ind w:left="100" w:right="100"/>
              <w:jc w:val="right"/>
              <w:rPr>
                <w:rFonts w:eastAsia="Century Gothic" w:cs="Century Gothic"/>
                <w:color w:val="000000"/>
                <w:sz w:val="18"/>
                <w:szCs w:val="18"/>
              </w:rPr>
            </w:pPr>
          </w:p>
        </w:tc>
      </w:tr>
    </w:tbl>
    <w:p w14:paraId="35CB5164" w14:textId="77777777" w:rsidR="001C19F3" w:rsidRPr="0061478E"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53FE3860" w14:textId="77777777" w:rsidR="001C19F3" w:rsidRDefault="001C19F3" w:rsidP="001C19F3">
      <w:pPr>
        <w:spacing w:after="160" w:line="259" w:lineRule="auto"/>
        <w:rPr>
          <w:rFonts w:eastAsiaTheme="majorEastAsia" w:cstheme="majorBidi"/>
          <w:color w:val="003D79"/>
          <w:sz w:val="28"/>
          <w:szCs w:val="24"/>
        </w:rPr>
      </w:pPr>
      <w:r>
        <w:br w:type="page"/>
      </w:r>
    </w:p>
    <w:p w14:paraId="5AC5ACEA" w14:textId="77777777" w:rsidR="001C19F3" w:rsidRDefault="001C19F3" w:rsidP="001C19F3">
      <w:pPr>
        <w:pStyle w:val="Heading2"/>
        <w:jc w:val="center"/>
      </w:pPr>
      <w:bookmarkStart w:id="606" w:name="_Toc27058972"/>
      <w:r>
        <w:lastRenderedPageBreak/>
        <w:t>Part B: Cross tabulations by ownership type and location</w:t>
      </w:r>
      <w:bookmarkEnd w:id="606"/>
    </w:p>
    <w:p w14:paraId="6C877861" w14:textId="77777777" w:rsidR="001C19F3" w:rsidRDefault="001C19F3" w:rsidP="001C19F3">
      <w:pPr>
        <w:pStyle w:val="Caption1"/>
      </w:pPr>
      <w:r>
        <w:t xml:space="preserve">Table </w:t>
      </w:r>
      <w:r>
        <w:fldChar w:fldCharType="begin"/>
      </w:r>
      <w:r>
        <w:instrText>SEQ Table \* ARABIC</w:instrText>
      </w:r>
      <w:r>
        <w:fldChar w:fldCharType="separate"/>
      </w:r>
      <w:r>
        <w:rPr>
          <w:noProof/>
        </w:rPr>
        <w:t>71</w:t>
      </w:r>
      <w:r>
        <w:fldChar w:fldCharType="end"/>
      </w:r>
      <w:r>
        <w:t xml:space="preserve"> – Respondent characteristics by practice ownership type and practice location</w:t>
      </w:r>
    </w:p>
    <w:tbl>
      <w:tblPr>
        <w:tblW w:w="15120" w:type="dxa"/>
        <w:jc w:val="center"/>
        <w:tblLayout w:type="fixed"/>
        <w:tblLook w:val="04A0" w:firstRow="1" w:lastRow="0" w:firstColumn="1" w:lastColumn="0" w:noHBand="0" w:noVBand="1"/>
      </w:tblPr>
      <w:tblGrid>
        <w:gridCol w:w="4101"/>
        <w:gridCol w:w="1559"/>
        <w:gridCol w:w="1418"/>
        <w:gridCol w:w="1417"/>
        <w:gridCol w:w="1276"/>
        <w:gridCol w:w="1418"/>
        <w:gridCol w:w="1417"/>
        <w:gridCol w:w="1418"/>
        <w:gridCol w:w="1096"/>
      </w:tblGrid>
      <w:tr w:rsidR="001C19F3" w14:paraId="7434B001" w14:textId="77777777" w:rsidTr="00521305">
        <w:trPr>
          <w:cantSplit/>
          <w:trHeight w:val="333"/>
          <w:tblHeader/>
          <w:jc w:val="center"/>
        </w:trPr>
        <w:tc>
          <w:tcPr>
            <w:tcW w:w="4101"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422063E" w14:textId="77777777" w:rsidR="001C19F3" w:rsidRDefault="001C19F3" w:rsidP="00521305">
            <w:pPr>
              <w:spacing w:after="0"/>
              <w:jc w:val="center"/>
            </w:pPr>
            <w:r>
              <w:rPr>
                <w:rFonts w:eastAsia="Century Gothic" w:cs="Century Gothic"/>
                <w:b/>
                <w:color w:val="FFFFFF"/>
                <w:sz w:val="18"/>
                <w:szCs w:val="18"/>
              </w:rPr>
              <w:t>Respondent characteristics</w:t>
            </w:r>
          </w:p>
        </w:tc>
        <w:tc>
          <w:tcPr>
            <w:tcW w:w="155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564CAB" w14:textId="77777777" w:rsidR="001C19F3" w:rsidRDefault="001C19F3" w:rsidP="00521305">
            <w:pPr>
              <w:spacing w:after="0"/>
              <w:jc w:val="center"/>
            </w:pPr>
            <w:r>
              <w:rPr>
                <w:rFonts w:eastAsia="Century Gothic" w:cs="Century Gothic"/>
                <w:b/>
                <w:color w:val="FFFFFF"/>
                <w:sz w:val="18"/>
                <w:szCs w:val="18"/>
              </w:rPr>
              <w:t>Total</w:t>
            </w:r>
          </w:p>
        </w:tc>
        <w:tc>
          <w:tcPr>
            <w:tcW w:w="4111"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C81549" w14:textId="77777777" w:rsidR="001C19F3" w:rsidRDefault="001C19F3" w:rsidP="00521305">
            <w:pPr>
              <w:spacing w:after="0"/>
              <w:jc w:val="center"/>
            </w:pPr>
            <w:r>
              <w:rPr>
                <w:rFonts w:eastAsia="Century Gothic" w:cs="Century Gothic"/>
                <w:b/>
                <w:color w:val="FFFFFF"/>
                <w:sz w:val="18"/>
                <w:szCs w:val="18"/>
              </w:rPr>
              <w:t>Type</w:t>
            </w:r>
          </w:p>
        </w:tc>
        <w:tc>
          <w:tcPr>
            <w:tcW w:w="5349"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3E57133" w14:textId="77777777" w:rsidR="001C19F3" w:rsidRDefault="001C19F3" w:rsidP="00521305">
            <w:pPr>
              <w:spacing w:after="0"/>
              <w:jc w:val="center"/>
            </w:pPr>
            <w:r>
              <w:rPr>
                <w:rFonts w:eastAsia="Century Gothic" w:cs="Century Gothic"/>
                <w:b/>
                <w:color w:val="FFFFFF"/>
                <w:sz w:val="18"/>
                <w:szCs w:val="18"/>
              </w:rPr>
              <w:t>Location</w:t>
            </w:r>
          </w:p>
        </w:tc>
      </w:tr>
      <w:tr w:rsidR="001C19F3" w14:paraId="550EA823" w14:textId="77777777" w:rsidTr="00521305">
        <w:trPr>
          <w:cantSplit/>
          <w:trHeight w:val="330"/>
          <w:tblHeader/>
          <w:jc w:val="center"/>
        </w:trPr>
        <w:tc>
          <w:tcPr>
            <w:tcW w:w="4101" w:type="dxa"/>
            <w:vMerge/>
            <w:tcBorders>
              <w:top w:val="single" w:sz="8" w:space="0" w:color="BFBFBF"/>
              <w:left w:val="single" w:sz="8" w:space="0" w:color="BFBFBF"/>
              <w:bottom w:val="single" w:sz="8" w:space="0" w:color="BFBFBF"/>
              <w:right w:val="single" w:sz="8" w:space="0" w:color="BFBFBF"/>
            </w:tcBorders>
            <w:vAlign w:val="center"/>
            <w:hideMark/>
          </w:tcPr>
          <w:p w14:paraId="24510795" w14:textId="77777777" w:rsidR="001C19F3" w:rsidRDefault="001C19F3" w:rsidP="00521305">
            <w:pPr>
              <w:spacing w:after="0"/>
              <w:rPr>
                <w:sz w:val="22"/>
              </w:rPr>
            </w:pPr>
          </w:p>
        </w:tc>
        <w:tc>
          <w:tcPr>
            <w:tcW w:w="1559" w:type="dxa"/>
            <w:vMerge/>
            <w:tcBorders>
              <w:top w:val="single" w:sz="8" w:space="0" w:color="BFBFBF"/>
              <w:left w:val="single" w:sz="8" w:space="0" w:color="BFBFBF"/>
              <w:bottom w:val="single" w:sz="8" w:space="0" w:color="BFBFBF"/>
              <w:right w:val="single" w:sz="8" w:space="0" w:color="BFBFBF"/>
            </w:tcBorders>
            <w:vAlign w:val="center"/>
            <w:hideMark/>
          </w:tcPr>
          <w:p w14:paraId="539CA449"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B577776" w14:textId="77777777" w:rsidR="001C19F3" w:rsidRDefault="001C19F3" w:rsidP="00521305">
            <w:pPr>
              <w:spacing w:after="0"/>
              <w:jc w:val="center"/>
            </w:pPr>
            <w:r>
              <w:rPr>
                <w:rFonts w:eastAsia="Century Gothic" w:cs="Century Gothic"/>
                <w:b/>
                <w:color w:val="FFFFFF"/>
                <w:sz w:val="18"/>
                <w:szCs w:val="18"/>
              </w:rPr>
              <w:t>Corporate</w:t>
            </w: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58EB5C6" w14:textId="77777777" w:rsidR="001C19F3" w:rsidRDefault="001C19F3" w:rsidP="00521305">
            <w:pPr>
              <w:spacing w:after="0"/>
              <w:jc w:val="center"/>
            </w:pPr>
            <w:r>
              <w:rPr>
                <w:rFonts w:eastAsia="Century Gothic" w:cs="Century Gothic"/>
                <w:b/>
                <w:color w:val="FFFFFF"/>
                <w:sz w:val="18"/>
                <w:szCs w:val="18"/>
              </w:rPr>
              <w:t>Other</w:t>
            </w:r>
          </w:p>
        </w:tc>
        <w:tc>
          <w:tcPr>
            <w:tcW w:w="127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E0207A"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74AE753" w14:textId="77777777" w:rsidR="001C19F3" w:rsidRDefault="001C19F3" w:rsidP="00521305">
            <w:pPr>
              <w:spacing w:after="0"/>
              <w:jc w:val="center"/>
            </w:pPr>
            <w:r>
              <w:rPr>
                <w:rFonts w:eastAsia="Century Gothic" w:cs="Century Gothic"/>
                <w:b/>
                <w:color w:val="FFFFFF"/>
                <w:sz w:val="18"/>
                <w:szCs w:val="18"/>
              </w:rPr>
              <w:t>MMM 1</w:t>
            </w: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F99307E" w14:textId="77777777" w:rsidR="001C19F3" w:rsidRDefault="001C19F3" w:rsidP="00521305">
            <w:pPr>
              <w:spacing w:after="0"/>
              <w:jc w:val="center"/>
            </w:pPr>
            <w:r>
              <w:rPr>
                <w:rFonts w:eastAsia="Century Gothic" w:cs="Century Gothic"/>
                <w:b/>
                <w:color w:val="FFFFFF"/>
                <w:sz w:val="18"/>
                <w:szCs w:val="18"/>
              </w:rPr>
              <w:t>MMM 2/3</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2E64DB5" w14:textId="77777777" w:rsidR="001C19F3" w:rsidRDefault="001C19F3" w:rsidP="00521305">
            <w:pPr>
              <w:spacing w:after="0"/>
              <w:jc w:val="center"/>
            </w:pPr>
            <w:r>
              <w:rPr>
                <w:rFonts w:eastAsia="Century Gothic" w:cs="Century Gothic"/>
                <w:b/>
                <w:color w:val="FFFFFF"/>
                <w:sz w:val="18"/>
                <w:szCs w:val="18"/>
              </w:rPr>
              <w:t>MMM 4+</w:t>
            </w:r>
          </w:p>
        </w:tc>
        <w:tc>
          <w:tcPr>
            <w:tcW w:w="109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3FDD03"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12617E2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51DB5" w14:textId="77777777" w:rsidR="001C19F3" w:rsidRDefault="001C19F3" w:rsidP="00521305">
            <w:pPr>
              <w:spacing w:before="40" w:after="40"/>
              <w:ind w:left="100" w:right="100"/>
            </w:pPr>
            <w:r>
              <w:rPr>
                <w:rFonts w:eastAsia="Century Gothic" w:cs="Century Gothic"/>
                <w:b/>
                <w:color w:val="000000"/>
                <w:sz w:val="18"/>
                <w:szCs w:val="18"/>
              </w:rPr>
              <w:t>A1 Sex</w:t>
            </w:r>
          </w:p>
        </w:tc>
      </w:tr>
      <w:tr w:rsidR="001C19F3" w14:paraId="1F029FE5"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323A85" w14:textId="77777777" w:rsidR="001C19F3" w:rsidRDefault="001C19F3" w:rsidP="00521305">
            <w:pPr>
              <w:spacing w:before="40" w:after="40"/>
              <w:ind w:left="160" w:right="100"/>
            </w:pPr>
            <w:r>
              <w:rPr>
                <w:rFonts w:eastAsia="Century Gothic" w:cs="Century Gothic"/>
                <w:color w:val="000000"/>
                <w:sz w:val="18"/>
                <w:szCs w:val="18"/>
              </w:rPr>
              <w:t>Female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FBE6AB" w14:textId="77777777" w:rsidR="001C19F3" w:rsidRDefault="001C19F3" w:rsidP="00521305">
            <w:pPr>
              <w:spacing w:before="40" w:after="40"/>
              <w:ind w:left="100" w:right="100"/>
              <w:jc w:val="center"/>
            </w:pPr>
            <w:r>
              <w:rPr>
                <w:rFonts w:eastAsia="Century Gothic" w:cs="Century Gothic"/>
                <w:color w:val="000000"/>
                <w:sz w:val="18"/>
                <w:szCs w:val="18"/>
              </w:rPr>
              <w:t>1,083 (54.4%)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CD0C9B" w14:textId="77777777" w:rsidR="001C19F3" w:rsidRDefault="001C19F3" w:rsidP="00521305">
            <w:pPr>
              <w:spacing w:before="40" w:after="40"/>
              <w:ind w:left="100" w:right="100"/>
              <w:jc w:val="center"/>
            </w:pPr>
            <w:r>
              <w:rPr>
                <w:rFonts w:eastAsia="Century Gothic" w:cs="Century Gothic"/>
                <w:color w:val="000000"/>
                <w:sz w:val="18"/>
                <w:szCs w:val="18"/>
              </w:rPr>
              <w:t>207 (49.8%)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697206" w14:textId="77777777" w:rsidR="001C19F3" w:rsidRDefault="001C19F3" w:rsidP="00521305">
            <w:pPr>
              <w:spacing w:before="40" w:after="40"/>
              <w:ind w:left="100" w:right="100"/>
              <w:jc w:val="center"/>
            </w:pPr>
            <w:r>
              <w:rPr>
                <w:rFonts w:eastAsia="Century Gothic" w:cs="Century Gothic"/>
                <w:color w:val="000000"/>
                <w:sz w:val="18"/>
                <w:szCs w:val="18"/>
              </w:rPr>
              <w:t>876 (55.6%)</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48103F" w14:textId="77777777" w:rsidR="001C19F3" w:rsidRDefault="001C19F3" w:rsidP="00521305">
            <w:pPr>
              <w:spacing w:before="40" w:after="40"/>
              <w:ind w:left="100" w:right="100"/>
              <w:jc w:val="center"/>
            </w:pPr>
            <w:r>
              <w:rPr>
                <w:rFonts w:eastAsia="Century Gothic" w:cs="Century Gothic"/>
                <w:color w:val="000000"/>
                <w:sz w:val="18"/>
                <w:szCs w:val="18"/>
              </w:rPr>
              <w:t>0.038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A3FFFA" w14:textId="77777777" w:rsidR="001C19F3" w:rsidRDefault="001C19F3" w:rsidP="00521305">
            <w:pPr>
              <w:spacing w:before="40" w:after="40"/>
              <w:ind w:left="100" w:right="100"/>
              <w:jc w:val="center"/>
            </w:pPr>
            <w:r>
              <w:rPr>
                <w:rFonts w:eastAsia="Century Gothic" w:cs="Century Gothic"/>
                <w:color w:val="000000"/>
                <w:sz w:val="18"/>
                <w:szCs w:val="18"/>
              </w:rPr>
              <w:t>783 (53.9%)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FF169" w14:textId="77777777" w:rsidR="001C19F3" w:rsidRDefault="001C19F3" w:rsidP="00521305">
            <w:pPr>
              <w:spacing w:before="40" w:after="40"/>
              <w:ind w:left="100" w:right="100"/>
              <w:jc w:val="right"/>
            </w:pPr>
            <w:r>
              <w:rPr>
                <w:rFonts w:eastAsia="Century Gothic" w:cs="Century Gothic"/>
                <w:color w:val="000000"/>
                <w:sz w:val="18"/>
                <w:szCs w:val="18"/>
              </w:rPr>
              <w:t>162 (59.1%)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FD2FF1" w14:textId="77777777" w:rsidR="001C19F3" w:rsidRDefault="001C19F3" w:rsidP="00521305">
            <w:pPr>
              <w:spacing w:before="40" w:after="40"/>
              <w:ind w:left="100" w:right="100"/>
              <w:jc w:val="right"/>
            </w:pPr>
            <w:r>
              <w:rPr>
                <w:rFonts w:eastAsia="Century Gothic" w:cs="Century Gothic"/>
                <w:color w:val="000000"/>
                <w:sz w:val="18"/>
                <w:szCs w:val="18"/>
              </w:rPr>
              <w:t>138 (52.5%)</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2538D9" w14:textId="77777777" w:rsidR="001C19F3" w:rsidRDefault="001C19F3" w:rsidP="00521305">
            <w:pPr>
              <w:spacing w:before="40" w:after="40"/>
              <w:ind w:left="100" w:right="100"/>
              <w:jc w:val="right"/>
            </w:pPr>
            <w:r>
              <w:rPr>
                <w:rFonts w:eastAsia="Century Gothic" w:cs="Century Gothic"/>
                <w:color w:val="000000"/>
                <w:sz w:val="18"/>
                <w:szCs w:val="18"/>
              </w:rPr>
              <w:t>0.219</w:t>
            </w:r>
          </w:p>
        </w:tc>
      </w:tr>
      <w:tr w:rsidR="001C19F3" w14:paraId="15DF8847"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BCDD79" w14:textId="77777777" w:rsidR="001C19F3" w:rsidRDefault="001C19F3" w:rsidP="00521305">
            <w:pPr>
              <w:spacing w:before="40" w:after="40"/>
              <w:ind w:left="160" w:right="100"/>
            </w:pPr>
            <w:r>
              <w:rPr>
                <w:rFonts w:eastAsia="Century Gothic" w:cs="Century Gothic"/>
                <w:color w:val="000000"/>
                <w:sz w:val="18"/>
                <w:szCs w:val="18"/>
              </w:rPr>
              <w:t>Male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893728" w14:textId="77777777" w:rsidR="001C19F3" w:rsidRDefault="001C19F3" w:rsidP="00521305">
            <w:pPr>
              <w:spacing w:before="40" w:after="40"/>
              <w:ind w:left="100" w:right="100"/>
              <w:jc w:val="center"/>
            </w:pPr>
            <w:r>
              <w:rPr>
                <w:rFonts w:eastAsia="Century Gothic" w:cs="Century Gothic"/>
                <w:color w:val="000000"/>
                <w:sz w:val="18"/>
                <w:szCs w:val="18"/>
              </w:rPr>
              <w:t>908 (45.6%)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15EF52" w14:textId="77777777" w:rsidR="001C19F3" w:rsidRDefault="001C19F3" w:rsidP="00521305">
            <w:pPr>
              <w:spacing w:before="40" w:after="40"/>
              <w:ind w:left="100" w:right="100"/>
              <w:jc w:val="center"/>
            </w:pPr>
            <w:r>
              <w:rPr>
                <w:rFonts w:eastAsia="Century Gothic" w:cs="Century Gothic"/>
                <w:color w:val="000000"/>
                <w:sz w:val="18"/>
                <w:szCs w:val="18"/>
              </w:rPr>
              <w:t>209 (50.2%)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8AE4F1" w14:textId="77777777" w:rsidR="001C19F3" w:rsidRDefault="001C19F3" w:rsidP="00521305">
            <w:pPr>
              <w:spacing w:before="40" w:after="40"/>
              <w:ind w:left="100" w:right="100"/>
              <w:jc w:val="center"/>
            </w:pPr>
            <w:r>
              <w:rPr>
                <w:rFonts w:eastAsia="Century Gothic" w:cs="Century Gothic"/>
                <w:color w:val="000000"/>
                <w:sz w:val="18"/>
                <w:szCs w:val="18"/>
              </w:rPr>
              <w:t>699 (44.4%)</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C7DEEAE"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3A703D" w14:textId="77777777" w:rsidR="001C19F3" w:rsidRDefault="001C19F3" w:rsidP="00521305">
            <w:pPr>
              <w:spacing w:before="40" w:after="40"/>
              <w:ind w:left="100" w:right="100"/>
              <w:jc w:val="center"/>
            </w:pPr>
            <w:r>
              <w:rPr>
                <w:rFonts w:eastAsia="Century Gothic" w:cs="Century Gothic"/>
                <w:color w:val="000000"/>
                <w:sz w:val="18"/>
                <w:szCs w:val="18"/>
              </w:rPr>
              <w:t>671 (46.1%)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0A4B4" w14:textId="77777777" w:rsidR="001C19F3" w:rsidRDefault="001C19F3" w:rsidP="00521305">
            <w:pPr>
              <w:spacing w:before="40" w:after="40"/>
              <w:ind w:left="100" w:right="100"/>
              <w:jc w:val="right"/>
            </w:pPr>
            <w:r>
              <w:rPr>
                <w:rFonts w:eastAsia="Century Gothic" w:cs="Century Gothic"/>
                <w:color w:val="000000"/>
                <w:sz w:val="18"/>
                <w:szCs w:val="18"/>
              </w:rPr>
              <w:t>112 (40.9%)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EB97B4" w14:textId="77777777" w:rsidR="001C19F3" w:rsidRDefault="001C19F3" w:rsidP="00521305">
            <w:pPr>
              <w:spacing w:before="40" w:after="40"/>
              <w:ind w:left="100" w:right="100"/>
              <w:jc w:val="right"/>
            </w:pPr>
            <w:r>
              <w:rPr>
                <w:rFonts w:eastAsia="Century Gothic" w:cs="Century Gothic"/>
                <w:color w:val="000000"/>
                <w:sz w:val="18"/>
                <w:szCs w:val="18"/>
              </w:rPr>
              <w:t>125 (47.5%)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527E094" w14:textId="77777777" w:rsidR="001C19F3" w:rsidRDefault="001C19F3" w:rsidP="00521305">
            <w:pPr>
              <w:spacing w:after="0"/>
              <w:rPr>
                <w:sz w:val="22"/>
              </w:rPr>
            </w:pPr>
          </w:p>
        </w:tc>
      </w:tr>
      <w:tr w:rsidR="001C19F3" w14:paraId="154E8CC7"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BBEAB" w14:textId="77777777" w:rsidR="001C19F3" w:rsidRDefault="001C19F3" w:rsidP="00521305">
            <w:pPr>
              <w:spacing w:before="40" w:after="40"/>
              <w:ind w:left="100" w:right="100"/>
            </w:pPr>
            <w:r>
              <w:rPr>
                <w:rFonts w:eastAsia="Century Gothic" w:cs="Century Gothic"/>
                <w:b/>
                <w:color w:val="000000"/>
                <w:sz w:val="18"/>
                <w:szCs w:val="18"/>
              </w:rPr>
              <w:t>A2 Age group</w:t>
            </w:r>
          </w:p>
        </w:tc>
      </w:tr>
      <w:tr w:rsidR="001C19F3" w14:paraId="263914BA"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7B5BEE" w14:textId="77777777" w:rsidR="001C19F3" w:rsidRDefault="001C19F3" w:rsidP="00521305">
            <w:pPr>
              <w:spacing w:before="40" w:after="40"/>
              <w:ind w:left="160" w:right="100"/>
            </w:pPr>
            <w:r>
              <w:rPr>
                <w:rFonts w:eastAsia="Century Gothic" w:cs="Century Gothic"/>
                <w:color w:val="000000"/>
                <w:sz w:val="18"/>
                <w:szCs w:val="18"/>
              </w:rPr>
              <w:t>00-24</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825E53"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97E14"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16A840" w14:textId="77777777" w:rsidR="001C19F3" w:rsidRDefault="001C19F3" w:rsidP="00521305">
            <w:pPr>
              <w:spacing w:before="40" w:after="40"/>
              <w:ind w:left="100" w:right="100"/>
              <w:jc w:val="center"/>
            </w:pPr>
            <w:r>
              <w:rPr>
                <w:rFonts w:eastAsia="Century Gothic" w:cs="Century Gothic"/>
                <w:color w:val="000000"/>
                <w:sz w:val="18"/>
                <w:szCs w:val="18"/>
              </w:rPr>
              <w:t>16 (1.0%)</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4150B5" w14:textId="77777777" w:rsidR="001C19F3" w:rsidRDefault="001C19F3" w:rsidP="00521305">
            <w:pPr>
              <w:spacing w:before="40" w:after="40"/>
              <w:ind w:left="100" w:right="100"/>
              <w:jc w:val="center"/>
            </w:pPr>
            <w:r>
              <w:rPr>
                <w:rFonts w:eastAsia="Century Gothic" w:cs="Century Gothic"/>
                <w:color w:val="000000"/>
                <w:sz w:val="18"/>
                <w:szCs w:val="18"/>
              </w:rPr>
              <w:t>0.146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C1DEBD" w14:textId="77777777" w:rsidR="001C19F3" w:rsidRDefault="001C19F3" w:rsidP="00521305">
            <w:pPr>
              <w:spacing w:before="40" w:after="40"/>
              <w:ind w:left="100" w:right="100"/>
              <w:jc w:val="center"/>
            </w:pPr>
            <w:r>
              <w:rPr>
                <w:rFonts w:eastAsia="Century Gothic" w:cs="Century Gothic"/>
                <w:color w:val="000000"/>
                <w:sz w:val="18"/>
                <w:szCs w:val="18"/>
              </w:rPr>
              <w:t>13 (0.9%)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8AA7DD" w14:textId="77777777" w:rsidR="001C19F3" w:rsidRDefault="001C19F3" w:rsidP="00521305">
            <w:pPr>
              <w:spacing w:before="40" w:after="40"/>
              <w:ind w:left="100" w:right="100"/>
              <w:jc w:val="right"/>
            </w:pPr>
            <w:r>
              <w:rPr>
                <w:rFonts w:eastAsia="Century Gothic" w:cs="Century Gothic"/>
                <w:color w:val="000000"/>
                <w:sz w:val="18"/>
                <w:szCs w:val="18"/>
              </w:rPr>
              <w:t>5 (1.8%)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56B3C3" w14:textId="77777777" w:rsidR="001C19F3" w:rsidRDefault="001C19F3" w:rsidP="00521305">
            <w:pPr>
              <w:spacing w:before="40" w:after="40"/>
              <w:ind w:left="100" w:right="100"/>
              <w:jc w:val="right"/>
            </w:pP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3AF796"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6929B079"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DCF83C" w14:textId="77777777" w:rsidR="001C19F3" w:rsidRDefault="001C19F3" w:rsidP="00521305">
            <w:pPr>
              <w:spacing w:before="40" w:after="40"/>
              <w:ind w:left="160" w:right="100"/>
            </w:pPr>
            <w:r>
              <w:rPr>
                <w:rFonts w:eastAsia="Century Gothic" w:cs="Century Gothic"/>
                <w:color w:val="000000"/>
                <w:sz w:val="18"/>
                <w:szCs w:val="18"/>
              </w:rPr>
              <w:t>25-44</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2C1FBE" w14:textId="77777777" w:rsidR="001C19F3" w:rsidRDefault="001C19F3" w:rsidP="00521305">
            <w:pPr>
              <w:spacing w:before="40" w:after="40"/>
              <w:ind w:left="100" w:right="100"/>
              <w:jc w:val="center"/>
            </w:pPr>
            <w:r>
              <w:rPr>
                <w:rFonts w:eastAsia="Century Gothic" w:cs="Century Gothic"/>
                <w:color w:val="000000"/>
                <w:sz w:val="18"/>
                <w:szCs w:val="18"/>
              </w:rPr>
              <w:t>128 (6.4%)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CA7EEF" w14:textId="77777777" w:rsidR="001C19F3" w:rsidRDefault="001C19F3" w:rsidP="00521305">
            <w:pPr>
              <w:spacing w:before="40" w:after="40"/>
              <w:ind w:left="100" w:right="100"/>
              <w:jc w:val="center"/>
            </w:pPr>
            <w:r>
              <w:rPr>
                <w:rFonts w:eastAsia="Century Gothic" w:cs="Century Gothic"/>
                <w:color w:val="000000"/>
                <w:sz w:val="18"/>
                <w:szCs w:val="18"/>
              </w:rPr>
              <w:t>16 (3.9%)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47888" w14:textId="77777777" w:rsidR="001C19F3" w:rsidRDefault="001C19F3" w:rsidP="00521305">
            <w:pPr>
              <w:spacing w:before="40" w:after="40"/>
              <w:ind w:left="100" w:right="100"/>
              <w:jc w:val="center"/>
            </w:pPr>
            <w:r>
              <w:rPr>
                <w:rFonts w:eastAsia="Century Gothic" w:cs="Century Gothic"/>
                <w:color w:val="000000"/>
                <w:sz w:val="18"/>
                <w:szCs w:val="18"/>
              </w:rPr>
              <w:t>112 (7.0%)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340CDD9"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5F2DF" w14:textId="77777777" w:rsidR="001C19F3" w:rsidRDefault="001C19F3" w:rsidP="00521305">
            <w:pPr>
              <w:spacing w:before="40" w:after="40"/>
              <w:ind w:left="100" w:right="100"/>
              <w:jc w:val="center"/>
            </w:pPr>
            <w:r>
              <w:rPr>
                <w:rFonts w:eastAsia="Century Gothic" w:cs="Century Gothic"/>
                <w:color w:val="000000"/>
                <w:sz w:val="18"/>
                <w:szCs w:val="18"/>
              </w:rPr>
              <w:t>106 (7.2%)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E3245D" w14:textId="77777777" w:rsidR="001C19F3" w:rsidRDefault="001C19F3" w:rsidP="00521305">
            <w:pPr>
              <w:spacing w:before="40" w:after="40"/>
              <w:ind w:left="100" w:right="100"/>
              <w:jc w:val="right"/>
            </w:pPr>
            <w:r>
              <w:rPr>
                <w:rFonts w:eastAsia="Century Gothic" w:cs="Century Gothic"/>
                <w:color w:val="000000"/>
                <w:sz w:val="18"/>
                <w:szCs w:val="18"/>
              </w:rPr>
              <w:t>15 (5.5%)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6C4F9" w14:textId="77777777" w:rsidR="001C19F3" w:rsidRDefault="001C19F3" w:rsidP="00521305">
            <w:pPr>
              <w:spacing w:before="40" w:after="40"/>
              <w:ind w:left="100" w:right="100"/>
              <w:jc w:val="right"/>
            </w:pPr>
            <w:r>
              <w:rPr>
                <w:rFonts w:eastAsia="Century Gothic" w:cs="Century Gothic"/>
                <w:color w:val="000000"/>
                <w:sz w:val="18"/>
                <w:szCs w:val="18"/>
              </w:rPr>
              <w:t>7 (2.6%)</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BEF5F59" w14:textId="77777777" w:rsidR="001C19F3" w:rsidRDefault="001C19F3" w:rsidP="00521305">
            <w:pPr>
              <w:spacing w:after="0"/>
              <w:rPr>
                <w:sz w:val="22"/>
              </w:rPr>
            </w:pPr>
          </w:p>
        </w:tc>
      </w:tr>
      <w:tr w:rsidR="001C19F3" w14:paraId="386B6BD3"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63F54F" w14:textId="77777777" w:rsidR="001C19F3" w:rsidRDefault="001C19F3" w:rsidP="00521305">
            <w:pPr>
              <w:spacing w:before="40" w:after="40"/>
              <w:ind w:left="160" w:right="100"/>
            </w:pPr>
            <w:r>
              <w:rPr>
                <w:rFonts w:eastAsia="Century Gothic" w:cs="Century Gothic"/>
                <w:color w:val="000000"/>
                <w:sz w:val="18"/>
                <w:szCs w:val="18"/>
              </w:rPr>
              <w:t>45-64</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C6D25C" w14:textId="77777777" w:rsidR="001C19F3" w:rsidRDefault="001C19F3" w:rsidP="00521305">
            <w:pPr>
              <w:spacing w:before="40" w:after="40"/>
              <w:ind w:left="100" w:right="100"/>
              <w:jc w:val="center"/>
            </w:pPr>
            <w:r>
              <w:rPr>
                <w:rFonts w:eastAsia="Century Gothic" w:cs="Century Gothic"/>
                <w:color w:val="000000"/>
                <w:sz w:val="18"/>
                <w:szCs w:val="18"/>
              </w:rPr>
              <w:t>551 (27.4%)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80D43C" w14:textId="77777777" w:rsidR="001C19F3" w:rsidRDefault="001C19F3" w:rsidP="00521305">
            <w:pPr>
              <w:spacing w:before="40" w:after="40"/>
              <w:ind w:left="100" w:right="100"/>
              <w:jc w:val="center"/>
            </w:pPr>
            <w:r>
              <w:rPr>
                <w:rFonts w:eastAsia="Century Gothic" w:cs="Century Gothic"/>
                <w:color w:val="000000"/>
                <w:sz w:val="18"/>
                <w:szCs w:val="18"/>
              </w:rPr>
              <w:t>113 (27.2%)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5AE034" w14:textId="77777777" w:rsidR="001C19F3" w:rsidRDefault="001C19F3" w:rsidP="00521305">
            <w:pPr>
              <w:spacing w:before="40" w:after="40"/>
              <w:ind w:left="100" w:right="100"/>
              <w:jc w:val="center"/>
            </w:pPr>
            <w:r>
              <w:rPr>
                <w:rFonts w:eastAsia="Century Gothic" w:cs="Century Gothic"/>
                <w:color w:val="000000"/>
                <w:sz w:val="18"/>
                <w:szCs w:val="18"/>
              </w:rPr>
              <w:t>438 (27.4%)</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C582600"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B69243" w14:textId="77777777" w:rsidR="001C19F3" w:rsidRDefault="001C19F3" w:rsidP="00521305">
            <w:pPr>
              <w:spacing w:before="40" w:after="40"/>
              <w:ind w:left="100" w:right="100"/>
              <w:jc w:val="center"/>
            </w:pPr>
            <w:r>
              <w:rPr>
                <w:rFonts w:eastAsia="Century Gothic" w:cs="Century Gothic"/>
                <w:color w:val="000000"/>
                <w:sz w:val="18"/>
                <w:szCs w:val="18"/>
              </w:rPr>
              <w:t>429 (29.1%)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15DA05" w14:textId="77777777" w:rsidR="001C19F3" w:rsidRDefault="001C19F3" w:rsidP="00521305">
            <w:pPr>
              <w:spacing w:before="40" w:after="40"/>
              <w:ind w:left="100" w:right="100"/>
              <w:jc w:val="right"/>
            </w:pPr>
            <w:r>
              <w:rPr>
                <w:rFonts w:eastAsia="Century Gothic" w:cs="Century Gothic"/>
                <w:color w:val="000000"/>
                <w:sz w:val="18"/>
                <w:szCs w:val="18"/>
              </w:rPr>
              <w:t>68 (24.9%)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59EF2C" w14:textId="77777777" w:rsidR="001C19F3" w:rsidRDefault="001C19F3" w:rsidP="00521305">
            <w:pPr>
              <w:spacing w:before="40" w:after="40"/>
              <w:ind w:left="100" w:right="100"/>
              <w:jc w:val="right"/>
            </w:pPr>
            <w:r>
              <w:rPr>
                <w:rFonts w:eastAsia="Century Gothic" w:cs="Century Gothic"/>
                <w:color w:val="000000"/>
                <w:sz w:val="18"/>
                <w:szCs w:val="18"/>
              </w:rPr>
              <w:t>54 (20.4%)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D39407B" w14:textId="77777777" w:rsidR="001C19F3" w:rsidRDefault="001C19F3" w:rsidP="00521305">
            <w:pPr>
              <w:spacing w:after="0"/>
              <w:rPr>
                <w:sz w:val="22"/>
              </w:rPr>
            </w:pPr>
          </w:p>
        </w:tc>
      </w:tr>
      <w:tr w:rsidR="001C19F3" w14:paraId="4DB429D0"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145FE3" w14:textId="77777777" w:rsidR="001C19F3" w:rsidRDefault="001C19F3" w:rsidP="00521305">
            <w:pPr>
              <w:spacing w:before="40" w:after="40"/>
              <w:ind w:left="160" w:right="100"/>
            </w:pPr>
            <w:r>
              <w:rPr>
                <w:rFonts w:eastAsia="Century Gothic" w:cs="Century Gothic"/>
                <w:color w:val="000000"/>
                <w:sz w:val="18"/>
                <w:szCs w:val="18"/>
              </w:rPr>
              <w:t>65-74</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AF3FF7" w14:textId="77777777" w:rsidR="001C19F3" w:rsidRDefault="001C19F3" w:rsidP="00521305">
            <w:pPr>
              <w:spacing w:before="40" w:after="40"/>
              <w:ind w:left="100" w:right="100"/>
              <w:jc w:val="center"/>
            </w:pPr>
            <w:r>
              <w:rPr>
                <w:rFonts w:eastAsia="Century Gothic" w:cs="Century Gothic"/>
                <w:color w:val="000000"/>
                <w:sz w:val="18"/>
                <w:szCs w:val="18"/>
              </w:rPr>
              <w:t>658 (32.7%)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35988F" w14:textId="77777777" w:rsidR="001C19F3" w:rsidRDefault="001C19F3" w:rsidP="00521305">
            <w:pPr>
              <w:spacing w:before="40" w:after="40"/>
              <w:ind w:left="100" w:right="100"/>
              <w:jc w:val="center"/>
            </w:pPr>
            <w:r>
              <w:rPr>
                <w:rFonts w:eastAsia="Century Gothic" w:cs="Century Gothic"/>
                <w:color w:val="000000"/>
                <w:sz w:val="18"/>
                <w:szCs w:val="18"/>
              </w:rPr>
              <w:t>134 (32.3%)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2A77C5" w14:textId="77777777" w:rsidR="001C19F3" w:rsidRDefault="001C19F3" w:rsidP="00521305">
            <w:pPr>
              <w:spacing w:before="40" w:after="40"/>
              <w:ind w:left="100" w:right="100"/>
              <w:jc w:val="center"/>
            </w:pPr>
            <w:r>
              <w:rPr>
                <w:rFonts w:eastAsia="Century Gothic" w:cs="Century Gothic"/>
                <w:color w:val="000000"/>
                <w:sz w:val="18"/>
                <w:szCs w:val="18"/>
              </w:rPr>
              <w:t>524 (32.8%)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141A7E5"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D2C240" w14:textId="77777777" w:rsidR="001C19F3" w:rsidRDefault="001C19F3" w:rsidP="00521305">
            <w:pPr>
              <w:spacing w:before="40" w:after="40"/>
              <w:ind w:left="100" w:right="100"/>
              <w:jc w:val="center"/>
            </w:pPr>
            <w:r>
              <w:rPr>
                <w:rFonts w:eastAsia="Century Gothic" w:cs="Century Gothic"/>
                <w:color w:val="000000"/>
                <w:sz w:val="18"/>
                <w:szCs w:val="18"/>
              </w:rPr>
              <w:t>475 (32.2%)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72E4B9" w14:textId="77777777" w:rsidR="001C19F3" w:rsidRDefault="001C19F3" w:rsidP="00521305">
            <w:pPr>
              <w:spacing w:before="40" w:after="40"/>
              <w:ind w:left="100" w:right="100"/>
              <w:jc w:val="right"/>
            </w:pPr>
            <w:r>
              <w:rPr>
                <w:rFonts w:eastAsia="Century Gothic" w:cs="Century Gothic"/>
                <w:color w:val="000000"/>
                <w:sz w:val="18"/>
                <w:szCs w:val="18"/>
              </w:rPr>
              <w:t>89 (32.6%)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BD4E05" w14:textId="77777777" w:rsidR="001C19F3" w:rsidRDefault="001C19F3" w:rsidP="00521305">
            <w:pPr>
              <w:spacing w:before="40" w:after="40"/>
              <w:ind w:left="100" w:right="100"/>
              <w:jc w:val="right"/>
            </w:pPr>
            <w:r>
              <w:rPr>
                <w:rFonts w:eastAsia="Century Gothic" w:cs="Century Gothic"/>
                <w:color w:val="000000"/>
                <w:sz w:val="18"/>
                <w:szCs w:val="18"/>
              </w:rPr>
              <w:t>94 (35.5%)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966F43B" w14:textId="77777777" w:rsidR="001C19F3" w:rsidRDefault="001C19F3" w:rsidP="00521305">
            <w:pPr>
              <w:spacing w:after="0"/>
              <w:rPr>
                <w:sz w:val="22"/>
              </w:rPr>
            </w:pPr>
          </w:p>
        </w:tc>
      </w:tr>
      <w:tr w:rsidR="001C19F3" w14:paraId="57C68639"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4FB1D" w14:textId="77777777" w:rsidR="001C19F3" w:rsidRDefault="001C19F3" w:rsidP="00521305">
            <w:pPr>
              <w:spacing w:before="40" w:after="40"/>
              <w:ind w:left="160" w:right="100"/>
            </w:pPr>
            <w:r>
              <w:rPr>
                <w:rFonts w:eastAsia="Century Gothic" w:cs="Century Gothic"/>
                <w:color w:val="000000"/>
                <w:sz w:val="18"/>
                <w:szCs w:val="18"/>
              </w:rPr>
              <w:t>75-84</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124641" w14:textId="77777777" w:rsidR="001C19F3" w:rsidRDefault="001C19F3" w:rsidP="00521305">
            <w:pPr>
              <w:spacing w:before="40" w:after="40"/>
              <w:ind w:left="100" w:right="100"/>
              <w:jc w:val="center"/>
            </w:pPr>
            <w:r>
              <w:rPr>
                <w:rFonts w:eastAsia="Century Gothic" w:cs="Century Gothic"/>
                <w:color w:val="000000"/>
                <w:sz w:val="18"/>
                <w:szCs w:val="18"/>
              </w:rPr>
              <w:t>513 (25.5%)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1DE05D" w14:textId="77777777" w:rsidR="001C19F3" w:rsidRDefault="001C19F3" w:rsidP="00521305">
            <w:pPr>
              <w:spacing w:before="40" w:after="40"/>
              <w:ind w:left="100" w:right="100"/>
              <w:jc w:val="center"/>
            </w:pPr>
            <w:r>
              <w:rPr>
                <w:rFonts w:eastAsia="Century Gothic" w:cs="Century Gothic"/>
                <w:color w:val="000000"/>
                <w:sz w:val="18"/>
                <w:szCs w:val="18"/>
              </w:rPr>
              <w:t>118 (28.4%)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3524D3" w14:textId="77777777" w:rsidR="001C19F3" w:rsidRDefault="001C19F3" w:rsidP="00521305">
            <w:pPr>
              <w:spacing w:before="40" w:after="40"/>
              <w:ind w:left="100" w:right="100"/>
              <w:jc w:val="center"/>
            </w:pPr>
            <w:r>
              <w:rPr>
                <w:rFonts w:eastAsia="Century Gothic" w:cs="Century Gothic"/>
                <w:color w:val="000000"/>
                <w:sz w:val="18"/>
                <w:szCs w:val="18"/>
              </w:rPr>
              <w:t>395 (24.7%)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FD2B912"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12E2A6" w14:textId="77777777" w:rsidR="001C19F3" w:rsidRDefault="001C19F3" w:rsidP="00521305">
            <w:pPr>
              <w:spacing w:before="40" w:after="40"/>
              <w:ind w:left="100" w:right="100"/>
              <w:jc w:val="center"/>
            </w:pPr>
            <w:r>
              <w:rPr>
                <w:rFonts w:eastAsia="Century Gothic" w:cs="Century Gothic"/>
                <w:color w:val="000000"/>
                <w:sz w:val="18"/>
                <w:szCs w:val="18"/>
              </w:rPr>
              <w:t>348 (23.6%)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8DBE91" w14:textId="77777777" w:rsidR="001C19F3" w:rsidRDefault="001C19F3" w:rsidP="00521305">
            <w:pPr>
              <w:spacing w:before="40" w:after="40"/>
              <w:ind w:left="100" w:right="100"/>
              <w:jc w:val="right"/>
            </w:pPr>
            <w:r>
              <w:rPr>
                <w:rFonts w:eastAsia="Century Gothic" w:cs="Century Gothic"/>
                <w:color w:val="000000"/>
                <w:sz w:val="18"/>
                <w:szCs w:val="18"/>
              </w:rPr>
              <w:t>77 (28.2%)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D4865D" w14:textId="77777777" w:rsidR="001C19F3" w:rsidRDefault="001C19F3" w:rsidP="00521305">
            <w:pPr>
              <w:spacing w:before="40" w:after="40"/>
              <w:ind w:left="100" w:right="100"/>
              <w:jc w:val="right"/>
            </w:pPr>
            <w:r>
              <w:rPr>
                <w:rFonts w:eastAsia="Century Gothic" w:cs="Century Gothic"/>
                <w:color w:val="000000"/>
                <w:sz w:val="18"/>
                <w:szCs w:val="18"/>
              </w:rPr>
              <w:t>88 (33.2%)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D33656B" w14:textId="77777777" w:rsidR="001C19F3" w:rsidRDefault="001C19F3" w:rsidP="00521305">
            <w:pPr>
              <w:spacing w:after="0"/>
              <w:rPr>
                <w:sz w:val="22"/>
              </w:rPr>
            </w:pPr>
          </w:p>
        </w:tc>
      </w:tr>
      <w:tr w:rsidR="001C19F3" w14:paraId="6450BA4D"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181611" w14:textId="77777777" w:rsidR="001C19F3" w:rsidRDefault="001C19F3" w:rsidP="00521305">
            <w:pPr>
              <w:spacing w:before="40" w:after="40"/>
              <w:ind w:left="160" w:right="100"/>
            </w:pPr>
            <w:r>
              <w:rPr>
                <w:rFonts w:eastAsia="Century Gothic" w:cs="Century Gothic"/>
                <w:color w:val="000000"/>
                <w:sz w:val="18"/>
                <w:szCs w:val="18"/>
              </w:rPr>
              <w:t>85+</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37075" w14:textId="77777777" w:rsidR="001C19F3" w:rsidRDefault="001C19F3" w:rsidP="00521305">
            <w:pPr>
              <w:spacing w:before="40" w:after="40"/>
              <w:ind w:left="100" w:right="100"/>
              <w:jc w:val="center"/>
            </w:pPr>
            <w:r>
              <w:rPr>
                <w:rFonts w:eastAsia="Century Gothic" w:cs="Century Gothic"/>
                <w:color w:val="000000"/>
                <w:sz w:val="18"/>
                <w:szCs w:val="18"/>
              </w:rPr>
              <w:t>144 (7.2%)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CDE9BC" w14:textId="77777777" w:rsidR="001C19F3" w:rsidRDefault="001C19F3" w:rsidP="00521305">
            <w:pPr>
              <w:spacing w:before="40" w:after="40"/>
              <w:ind w:left="100" w:right="100"/>
              <w:jc w:val="center"/>
            </w:pPr>
            <w:r>
              <w:rPr>
                <w:rFonts w:eastAsia="Century Gothic" w:cs="Century Gothic"/>
                <w:color w:val="000000"/>
                <w:sz w:val="18"/>
                <w:szCs w:val="18"/>
              </w:rPr>
              <w:t>32 (7.7%)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8C91BC" w14:textId="77777777" w:rsidR="001C19F3" w:rsidRDefault="001C19F3" w:rsidP="00521305">
            <w:pPr>
              <w:spacing w:before="40" w:after="40"/>
              <w:ind w:left="100" w:right="100"/>
              <w:jc w:val="center"/>
            </w:pPr>
            <w:r>
              <w:rPr>
                <w:rFonts w:eastAsia="Century Gothic" w:cs="Century Gothic"/>
                <w:color w:val="000000"/>
                <w:sz w:val="18"/>
                <w:szCs w:val="18"/>
              </w:rPr>
              <w:t>112 (7.0%)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6BFBB3B"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7E896B" w14:textId="77777777" w:rsidR="001C19F3" w:rsidRDefault="001C19F3" w:rsidP="00521305">
            <w:pPr>
              <w:spacing w:before="40" w:after="40"/>
              <w:ind w:left="100" w:right="100"/>
              <w:jc w:val="center"/>
            </w:pPr>
            <w:r>
              <w:rPr>
                <w:rFonts w:eastAsia="Century Gothic" w:cs="Century Gothic"/>
                <w:color w:val="000000"/>
                <w:sz w:val="18"/>
                <w:szCs w:val="18"/>
              </w:rPr>
              <w:t>103 (7.0%)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6AB68D" w14:textId="77777777" w:rsidR="001C19F3" w:rsidRDefault="001C19F3" w:rsidP="00521305">
            <w:pPr>
              <w:spacing w:before="40" w:after="40"/>
              <w:ind w:left="100" w:right="100"/>
              <w:jc w:val="right"/>
            </w:pPr>
            <w:r>
              <w:rPr>
                <w:rFonts w:eastAsia="Century Gothic" w:cs="Century Gothic"/>
                <w:color w:val="000000"/>
                <w:sz w:val="18"/>
                <w:szCs w:val="18"/>
              </w:rPr>
              <w:t>19 (7.0%)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E9E92F" w14:textId="77777777" w:rsidR="001C19F3" w:rsidRDefault="001C19F3" w:rsidP="00521305">
            <w:pPr>
              <w:spacing w:before="40" w:after="40"/>
              <w:ind w:left="100" w:right="100"/>
              <w:jc w:val="right"/>
            </w:pPr>
            <w:r>
              <w:rPr>
                <w:rFonts w:eastAsia="Century Gothic" w:cs="Century Gothic"/>
                <w:color w:val="000000"/>
                <w:sz w:val="18"/>
                <w:szCs w:val="18"/>
              </w:rPr>
              <w:t>22 (8.3%)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DA37F1F" w14:textId="77777777" w:rsidR="001C19F3" w:rsidRDefault="001C19F3" w:rsidP="00521305">
            <w:pPr>
              <w:spacing w:after="0"/>
              <w:rPr>
                <w:sz w:val="22"/>
              </w:rPr>
            </w:pPr>
          </w:p>
        </w:tc>
      </w:tr>
      <w:tr w:rsidR="001C19F3" w14:paraId="370E9FF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080759" w14:textId="77777777" w:rsidR="001C19F3" w:rsidRDefault="001C19F3" w:rsidP="00521305">
            <w:pPr>
              <w:spacing w:before="40" w:after="40"/>
              <w:ind w:left="100" w:right="100"/>
            </w:pPr>
            <w:r>
              <w:rPr>
                <w:rFonts w:eastAsia="Century Gothic" w:cs="Century Gothic"/>
                <w:b/>
                <w:color w:val="000000"/>
                <w:sz w:val="18"/>
                <w:szCs w:val="18"/>
              </w:rPr>
              <w:t>A3 Indigenous status (Q34)</w:t>
            </w:r>
          </w:p>
        </w:tc>
      </w:tr>
      <w:tr w:rsidR="001C19F3" w14:paraId="6DA99EA7"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1BE79A" w14:textId="77777777" w:rsidR="001C19F3" w:rsidRDefault="001C19F3" w:rsidP="00521305">
            <w:pPr>
              <w:spacing w:before="40" w:after="40"/>
              <w:ind w:left="160" w:right="100"/>
            </w:pPr>
            <w:r>
              <w:rPr>
                <w:rFonts w:eastAsia="Century Gothic" w:cs="Century Gothic"/>
                <w:color w:val="000000"/>
                <w:sz w:val="18"/>
                <w:szCs w:val="18"/>
              </w:rPr>
              <w:t>Yes - Aboriginal or Torres Strait Islander</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90D81D" w14:textId="77777777" w:rsidR="001C19F3" w:rsidRDefault="001C19F3" w:rsidP="00521305">
            <w:pPr>
              <w:spacing w:before="40" w:after="40"/>
              <w:ind w:left="100" w:right="100"/>
              <w:jc w:val="center"/>
            </w:pPr>
            <w:r>
              <w:rPr>
                <w:rFonts w:eastAsia="Century Gothic" w:cs="Century Gothic"/>
                <w:color w:val="000000"/>
                <w:sz w:val="18"/>
                <w:szCs w:val="18"/>
              </w:rPr>
              <w:t>66 (3.3%)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F89DC" w14:textId="77777777" w:rsidR="001C19F3" w:rsidRDefault="001C19F3" w:rsidP="00521305">
            <w:pPr>
              <w:spacing w:before="40" w:after="40"/>
              <w:ind w:left="100" w:right="100"/>
              <w:jc w:val="center"/>
            </w:pPr>
            <w:r>
              <w:rPr>
                <w:rFonts w:eastAsia="Century Gothic" w:cs="Century Gothic"/>
                <w:color w:val="000000"/>
                <w:sz w:val="18"/>
                <w:szCs w:val="18"/>
              </w:rPr>
              <w:t>9 (2.2%)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186EAD" w14:textId="77777777" w:rsidR="001C19F3" w:rsidRDefault="001C19F3" w:rsidP="00521305">
            <w:pPr>
              <w:spacing w:before="40" w:after="40"/>
              <w:ind w:left="100" w:right="100"/>
              <w:jc w:val="center"/>
            </w:pPr>
            <w:r>
              <w:rPr>
                <w:rFonts w:eastAsia="Century Gothic" w:cs="Century Gothic"/>
                <w:color w:val="000000"/>
                <w:sz w:val="18"/>
                <w:szCs w:val="18"/>
              </w:rPr>
              <w:t>57 (3.6%)</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5AADB3" w14:textId="77777777" w:rsidR="001C19F3" w:rsidRDefault="001C19F3" w:rsidP="00521305">
            <w:pPr>
              <w:spacing w:before="40" w:after="40"/>
              <w:ind w:left="100" w:right="100"/>
              <w:jc w:val="center"/>
            </w:pPr>
            <w:r>
              <w:rPr>
                <w:rFonts w:eastAsia="Century Gothic" w:cs="Century Gothic"/>
                <w:color w:val="000000"/>
                <w:sz w:val="18"/>
                <w:szCs w:val="18"/>
              </w:rPr>
              <w:t>0.200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69779" w14:textId="77777777" w:rsidR="001C19F3" w:rsidRDefault="001C19F3" w:rsidP="00521305">
            <w:pPr>
              <w:spacing w:before="40" w:after="40"/>
              <w:ind w:left="100" w:right="100"/>
              <w:jc w:val="center"/>
            </w:pPr>
            <w:r>
              <w:rPr>
                <w:rFonts w:eastAsia="Century Gothic" w:cs="Century Gothic"/>
                <w:color w:val="000000"/>
                <w:sz w:val="18"/>
                <w:szCs w:val="18"/>
              </w:rPr>
              <w:t>41 (2.8%)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DE8EE" w14:textId="77777777" w:rsidR="001C19F3" w:rsidRDefault="001C19F3" w:rsidP="00521305">
            <w:pPr>
              <w:spacing w:before="40" w:after="40"/>
              <w:ind w:left="100" w:right="100"/>
              <w:jc w:val="right"/>
            </w:pPr>
            <w:r>
              <w:rPr>
                <w:rFonts w:eastAsia="Century Gothic" w:cs="Century Gothic"/>
                <w:color w:val="000000"/>
                <w:sz w:val="18"/>
                <w:szCs w:val="18"/>
              </w:rPr>
              <w:t>15 (5.5%)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CDC27C" w14:textId="77777777" w:rsidR="001C19F3" w:rsidRDefault="001C19F3" w:rsidP="00521305">
            <w:pPr>
              <w:spacing w:before="40" w:after="40"/>
              <w:ind w:left="100" w:right="100"/>
              <w:jc w:val="right"/>
            </w:pPr>
            <w:r>
              <w:rPr>
                <w:rFonts w:eastAsia="Century Gothic" w:cs="Century Gothic"/>
                <w:color w:val="000000"/>
                <w:sz w:val="18"/>
                <w:szCs w:val="18"/>
              </w:rPr>
              <w:t>10 (3.8%)</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AAE896" w14:textId="77777777" w:rsidR="001C19F3" w:rsidRDefault="001C19F3" w:rsidP="00521305">
            <w:pPr>
              <w:spacing w:before="40" w:after="40"/>
              <w:ind w:left="100" w:right="100"/>
              <w:jc w:val="right"/>
            </w:pPr>
            <w:r>
              <w:rPr>
                <w:rFonts w:eastAsia="Century Gothic" w:cs="Century Gothic"/>
                <w:color w:val="000000"/>
                <w:sz w:val="18"/>
                <w:szCs w:val="18"/>
              </w:rPr>
              <w:t>0.059</w:t>
            </w:r>
          </w:p>
        </w:tc>
      </w:tr>
      <w:tr w:rsidR="001C19F3" w14:paraId="43A5C5B0"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38568B" w14:textId="77777777" w:rsidR="001C19F3" w:rsidRDefault="001C19F3" w:rsidP="00521305">
            <w:pPr>
              <w:spacing w:before="40" w:after="40"/>
              <w:ind w:left="160" w:right="100"/>
            </w:pPr>
            <w:r>
              <w:rPr>
                <w:rFonts w:eastAsia="Century Gothic" w:cs="Century Gothic"/>
                <w:color w:val="000000"/>
                <w:sz w:val="18"/>
                <w:szCs w:val="18"/>
              </w:rPr>
              <w:t>No</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5CDF4C" w14:textId="77777777" w:rsidR="001C19F3" w:rsidRDefault="001C19F3" w:rsidP="00521305">
            <w:pPr>
              <w:spacing w:before="40" w:after="40"/>
              <w:ind w:left="100" w:right="100"/>
              <w:jc w:val="center"/>
            </w:pPr>
            <w:r>
              <w:rPr>
                <w:rFonts w:eastAsia="Century Gothic" w:cs="Century Gothic"/>
                <w:color w:val="000000"/>
                <w:sz w:val="18"/>
                <w:szCs w:val="18"/>
              </w:rPr>
              <w:t>1,936 (95.9%)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EF476B" w14:textId="77777777" w:rsidR="001C19F3" w:rsidRDefault="001C19F3" w:rsidP="00521305">
            <w:pPr>
              <w:spacing w:before="40" w:after="40"/>
              <w:ind w:left="100" w:right="100"/>
              <w:jc w:val="center"/>
            </w:pPr>
            <w:r>
              <w:rPr>
                <w:rFonts w:eastAsia="Century Gothic" w:cs="Century Gothic"/>
                <w:color w:val="000000"/>
                <w:sz w:val="18"/>
                <w:szCs w:val="18"/>
              </w:rPr>
              <w:t>405 (97.8%)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93A16C" w14:textId="77777777" w:rsidR="001C19F3" w:rsidRDefault="001C19F3" w:rsidP="00521305">
            <w:pPr>
              <w:spacing w:before="40" w:after="40"/>
              <w:ind w:left="100" w:right="100"/>
              <w:jc w:val="center"/>
            </w:pPr>
            <w:r>
              <w:rPr>
                <w:rFonts w:eastAsia="Century Gothic" w:cs="Century Gothic"/>
                <w:color w:val="000000"/>
                <w:sz w:val="18"/>
                <w:szCs w:val="18"/>
              </w:rPr>
              <w:t>1,531 (96.4%)</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0A48600"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B578B5" w14:textId="77777777" w:rsidR="001C19F3" w:rsidRDefault="001C19F3" w:rsidP="00521305">
            <w:pPr>
              <w:spacing w:before="40" w:after="40"/>
              <w:ind w:left="100" w:right="100"/>
              <w:jc w:val="center"/>
            </w:pPr>
            <w:r>
              <w:rPr>
                <w:rFonts w:eastAsia="Century Gothic" w:cs="Century Gothic"/>
                <w:color w:val="000000"/>
                <w:sz w:val="18"/>
                <w:szCs w:val="18"/>
              </w:rPr>
              <w:t>1,428 (97.2%)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E46EE6" w14:textId="77777777" w:rsidR="001C19F3" w:rsidRDefault="001C19F3" w:rsidP="00521305">
            <w:pPr>
              <w:spacing w:before="40" w:after="40"/>
              <w:ind w:left="100" w:right="100"/>
              <w:jc w:val="right"/>
            </w:pPr>
            <w:r>
              <w:rPr>
                <w:rFonts w:eastAsia="Century Gothic" w:cs="Century Gothic"/>
                <w:color w:val="000000"/>
                <w:sz w:val="18"/>
                <w:szCs w:val="18"/>
              </w:rPr>
              <w:t>256 (94.5%)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7F61C5" w14:textId="77777777" w:rsidR="001C19F3" w:rsidRDefault="001C19F3" w:rsidP="00521305">
            <w:pPr>
              <w:spacing w:before="40" w:after="40"/>
              <w:ind w:left="100" w:right="100"/>
              <w:jc w:val="right"/>
            </w:pPr>
            <w:r>
              <w:rPr>
                <w:rFonts w:eastAsia="Century Gothic" w:cs="Century Gothic"/>
                <w:color w:val="000000"/>
                <w:sz w:val="18"/>
                <w:szCs w:val="18"/>
              </w:rPr>
              <w:t>252 (96.2%)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5D691D6" w14:textId="77777777" w:rsidR="001C19F3" w:rsidRDefault="001C19F3" w:rsidP="00521305">
            <w:pPr>
              <w:spacing w:after="0"/>
              <w:rPr>
                <w:sz w:val="22"/>
              </w:rPr>
            </w:pPr>
          </w:p>
        </w:tc>
      </w:tr>
      <w:tr w:rsidR="001C19F3" w14:paraId="50DCA65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9DD005" w14:textId="77777777" w:rsidR="001C19F3" w:rsidRDefault="001C19F3" w:rsidP="00521305">
            <w:pPr>
              <w:spacing w:before="40" w:after="40"/>
              <w:ind w:left="160" w:right="100"/>
            </w:pPr>
            <w:r>
              <w:rPr>
                <w:rFonts w:eastAsia="Century Gothic" w:cs="Century Gothic"/>
                <w:color w:val="000000"/>
                <w:sz w:val="18"/>
                <w:szCs w:val="18"/>
              </w:rPr>
              <w:t>Don't know/ Refused</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423CE9" w14:textId="77777777" w:rsidR="001C19F3" w:rsidRDefault="001C19F3" w:rsidP="00521305">
            <w:pPr>
              <w:spacing w:before="40" w:after="40"/>
              <w:ind w:left="100" w:right="100"/>
              <w:jc w:val="center"/>
            </w:pPr>
            <w:r>
              <w:rPr>
                <w:rFonts w:eastAsia="Century Gothic" w:cs="Century Gothic"/>
                <w:color w:val="000000"/>
                <w:sz w:val="18"/>
                <w:szCs w:val="18"/>
              </w:rPr>
              <w:t>16 (0.8%)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27A277"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9097AE"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17D024"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98DE6E"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99E46D"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DCE17E"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C38BF3" w14:textId="77777777" w:rsidR="001C19F3" w:rsidRDefault="001C19F3" w:rsidP="00521305">
            <w:pPr>
              <w:spacing w:before="40" w:after="40"/>
              <w:ind w:left="100" w:right="100"/>
              <w:jc w:val="right"/>
            </w:pPr>
          </w:p>
        </w:tc>
      </w:tr>
      <w:tr w:rsidR="001C19F3" w14:paraId="0EFA0F6B"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E6593B" w14:textId="77777777" w:rsidR="001C19F3" w:rsidRDefault="001C19F3" w:rsidP="00521305">
            <w:pPr>
              <w:spacing w:before="40" w:after="40"/>
              <w:ind w:left="100" w:right="100"/>
            </w:pPr>
            <w:r>
              <w:rPr>
                <w:rFonts w:eastAsia="Century Gothic" w:cs="Century Gothic"/>
                <w:b/>
                <w:color w:val="000000"/>
                <w:sz w:val="18"/>
                <w:szCs w:val="18"/>
              </w:rPr>
              <w:t>A4 Country of birth (Q35)</w:t>
            </w:r>
          </w:p>
        </w:tc>
      </w:tr>
      <w:tr w:rsidR="001C19F3" w14:paraId="7DD96717"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2E2D53" w14:textId="77777777" w:rsidR="001C19F3" w:rsidRDefault="001C19F3" w:rsidP="00521305">
            <w:pPr>
              <w:spacing w:before="40" w:after="40"/>
              <w:ind w:left="160" w:right="100"/>
            </w:pPr>
            <w:r>
              <w:rPr>
                <w:rFonts w:eastAsia="Century Gothic" w:cs="Century Gothic"/>
                <w:color w:val="000000"/>
                <w:sz w:val="18"/>
                <w:szCs w:val="18"/>
              </w:rPr>
              <w:t>Australia</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8D9E7F" w14:textId="77777777" w:rsidR="001C19F3" w:rsidRDefault="001C19F3" w:rsidP="00521305">
            <w:pPr>
              <w:spacing w:before="40" w:after="40"/>
              <w:ind w:left="100" w:right="100"/>
              <w:jc w:val="center"/>
            </w:pPr>
            <w:r>
              <w:rPr>
                <w:rFonts w:eastAsia="Century Gothic" w:cs="Century Gothic"/>
                <w:color w:val="000000"/>
                <w:sz w:val="18"/>
                <w:szCs w:val="18"/>
              </w:rPr>
              <w:t>1,379 (68.3%)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0643B4" w14:textId="77777777" w:rsidR="001C19F3" w:rsidRDefault="001C19F3" w:rsidP="00521305">
            <w:pPr>
              <w:spacing w:before="40" w:after="40"/>
              <w:ind w:left="100" w:right="100"/>
              <w:jc w:val="center"/>
            </w:pPr>
            <w:r>
              <w:rPr>
                <w:rFonts w:eastAsia="Century Gothic" w:cs="Century Gothic"/>
                <w:color w:val="000000"/>
                <w:sz w:val="18"/>
                <w:szCs w:val="18"/>
              </w:rPr>
              <w:t>275 (66.1%)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03ADE" w14:textId="77777777" w:rsidR="001C19F3" w:rsidRDefault="001C19F3" w:rsidP="00521305">
            <w:pPr>
              <w:spacing w:before="40" w:after="40"/>
              <w:ind w:left="100" w:right="100"/>
              <w:jc w:val="center"/>
            </w:pPr>
            <w:r>
              <w:rPr>
                <w:rFonts w:eastAsia="Century Gothic" w:cs="Century Gothic"/>
                <w:color w:val="000000"/>
                <w:sz w:val="18"/>
                <w:szCs w:val="18"/>
              </w:rPr>
              <w:t>1,104 (69.0%)</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BF0E78"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9AF7CB" w14:textId="77777777" w:rsidR="001C19F3" w:rsidRDefault="001C19F3" w:rsidP="00521305">
            <w:pPr>
              <w:spacing w:before="40" w:after="40"/>
              <w:ind w:left="100" w:right="100"/>
              <w:jc w:val="center"/>
            </w:pPr>
            <w:r>
              <w:rPr>
                <w:rFonts w:eastAsia="Century Gothic" w:cs="Century Gothic"/>
                <w:color w:val="000000"/>
                <w:sz w:val="18"/>
                <w:szCs w:val="18"/>
              </w:rPr>
              <w:t>939 (63.6%)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11DA8" w14:textId="77777777" w:rsidR="001C19F3" w:rsidRDefault="001C19F3" w:rsidP="00521305">
            <w:pPr>
              <w:spacing w:before="40" w:after="40"/>
              <w:ind w:left="100" w:right="100"/>
              <w:jc w:val="right"/>
            </w:pPr>
            <w:r>
              <w:rPr>
                <w:rFonts w:eastAsia="Century Gothic" w:cs="Century Gothic"/>
                <w:color w:val="000000"/>
                <w:sz w:val="18"/>
                <w:szCs w:val="18"/>
              </w:rPr>
              <w:t>218 (79.6%)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7B9A10" w14:textId="77777777" w:rsidR="001C19F3" w:rsidRDefault="001C19F3" w:rsidP="00521305">
            <w:pPr>
              <w:spacing w:before="40" w:after="40"/>
              <w:ind w:left="100" w:right="100"/>
              <w:jc w:val="right"/>
            </w:pPr>
            <w:r>
              <w:rPr>
                <w:rFonts w:eastAsia="Century Gothic" w:cs="Century Gothic"/>
                <w:color w:val="000000"/>
                <w:sz w:val="18"/>
                <w:szCs w:val="18"/>
              </w:rPr>
              <w:t>222 (83.8%)</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D21E19"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CA9CDAE"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54DE89" w14:textId="77777777" w:rsidR="001C19F3" w:rsidRDefault="001C19F3" w:rsidP="00521305">
            <w:pPr>
              <w:spacing w:before="40" w:after="40"/>
              <w:ind w:left="160" w:right="100"/>
            </w:pPr>
            <w:r>
              <w:rPr>
                <w:rFonts w:eastAsia="Century Gothic" w:cs="Century Gothic"/>
                <w:color w:val="000000"/>
                <w:sz w:val="18"/>
                <w:szCs w:val="18"/>
              </w:rPr>
              <w:t>UK (incl. England, Scotland, Northern Ireland, Wales)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E9E6F2" w14:textId="77777777" w:rsidR="001C19F3" w:rsidRDefault="001C19F3" w:rsidP="00521305">
            <w:pPr>
              <w:spacing w:before="40" w:after="40"/>
              <w:ind w:left="100" w:right="100"/>
              <w:jc w:val="center"/>
            </w:pPr>
            <w:r>
              <w:rPr>
                <w:rFonts w:eastAsia="Century Gothic" w:cs="Century Gothic"/>
                <w:color w:val="000000"/>
                <w:sz w:val="18"/>
                <w:szCs w:val="18"/>
              </w:rPr>
              <w:t>291 (14.4%)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4D75BB" w14:textId="77777777" w:rsidR="001C19F3" w:rsidRDefault="001C19F3" w:rsidP="00521305">
            <w:pPr>
              <w:spacing w:before="40" w:after="40"/>
              <w:ind w:left="100" w:right="100"/>
              <w:jc w:val="center"/>
            </w:pPr>
            <w:r>
              <w:rPr>
                <w:rFonts w:eastAsia="Century Gothic" w:cs="Century Gothic"/>
                <w:color w:val="000000"/>
                <w:sz w:val="18"/>
                <w:szCs w:val="18"/>
              </w:rPr>
              <w:t>56 (13.5%)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AA5A08" w14:textId="77777777" w:rsidR="001C19F3" w:rsidRDefault="001C19F3" w:rsidP="00521305">
            <w:pPr>
              <w:spacing w:before="40" w:after="40"/>
              <w:ind w:left="100" w:right="100"/>
              <w:jc w:val="center"/>
            </w:pPr>
            <w:r>
              <w:rPr>
                <w:rFonts w:eastAsia="Century Gothic" w:cs="Century Gothic"/>
                <w:color w:val="000000"/>
                <w:sz w:val="18"/>
                <w:szCs w:val="18"/>
              </w:rPr>
              <w:t>235 (14.7%)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A4CA93D"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057C2D" w14:textId="77777777" w:rsidR="001C19F3" w:rsidRDefault="001C19F3" w:rsidP="00521305">
            <w:pPr>
              <w:spacing w:before="40" w:after="40"/>
              <w:ind w:left="100" w:right="100"/>
              <w:jc w:val="center"/>
            </w:pPr>
            <w:r>
              <w:rPr>
                <w:rFonts w:eastAsia="Century Gothic" w:cs="Century Gothic"/>
                <w:color w:val="000000"/>
                <w:sz w:val="18"/>
                <w:szCs w:val="18"/>
              </w:rPr>
              <w:t>222 (15.0%)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799D38" w14:textId="77777777" w:rsidR="001C19F3" w:rsidRDefault="001C19F3" w:rsidP="00521305">
            <w:pPr>
              <w:spacing w:before="40" w:after="40"/>
              <w:ind w:left="100" w:right="100"/>
              <w:jc w:val="right"/>
            </w:pPr>
            <w:r>
              <w:rPr>
                <w:rFonts w:eastAsia="Century Gothic" w:cs="Century Gothic"/>
                <w:color w:val="000000"/>
                <w:sz w:val="18"/>
                <w:szCs w:val="18"/>
              </w:rPr>
              <w:t>36 (13.1%)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914324" w14:textId="77777777" w:rsidR="001C19F3" w:rsidRDefault="001C19F3" w:rsidP="00521305">
            <w:pPr>
              <w:spacing w:before="40" w:after="40"/>
              <w:ind w:left="100" w:right="100"/>
              <w:jc w:val="right"/>
            </w:pPr>
            <w:r>
              <w:rPr>
                <w:rFonts w:eastAsia="Century Gothic" w:cs="Century Gothic"/>
                <w:color w:val="000000"/>
                <w:sz w:val="18"/>
                <w:szCs w:val="18"/>
              </w:rPr>
              <w:t>33 (12.5%)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AC96EBA" w14:textId="77777777" w:rsidR="001C19F3" w:rsidRDefault="001C19F3" w:rsidP="00521305">
            <w:pPr>
              <w:spacing w:after="0"/>
              <w:rPr>
                <w:sz w:val="22"/>
              </w:rPr>
            </w:pPr>
          </w:p>
        </w:tc>
      </w:tr>
      <w:tr w:rsidR="001C19F3" w14:paraId="1C9CE21A"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446CA5" w14:textId="77777777" w:rsidR="001C19F3" w:rsidRDefault="001C19F3" w:rsidP="00521305">
            <w:pPr>
              <w:spacing w:before="40" w:after="40"/>
              <w:ind w:left="160" w:right="100"/>
            </w:pPr>
            <w:r>
              <w:rPr>
                <w:rFonts w:eastAsia="Century Gothic" w:cs="Century Gothic"/>
                <w:color w:val="000000"/>
                <w:sz w:val="18"/>
                <w:szCs w:val="18"/>
              </w:rPr>
              <w:t>India</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08C704" w14:textId="77777777" w:rsidR="001C19F3" w:rsidRDefault="001C19F3" w:rsidP="00521305">
            <w:pPr>
              <w:spacing w:before="40" w:after="40"/>
              <w:ind w:left="100" w:right="100"/>
              <w:jc w:val="center"/>
            </w:pPr>
            <w:r>
              <w:rPr>
                <w:rFonts w:eastAsia="Century Gothic" w:cs="Century Gothic"/>
                <w:color w:val="000000"/>
                <w:sz w:val="18"/>
                <w:szCs w:val="18"/>
              </w:rPr>
              <w:t>43 (2.1%)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C7AC77" w14:textId="77777777" w:rsidR="001C19F3" w:rsidRDefault="001C19F3" w:rsidP="00521305">
            <w:pPr>
              <w:spacing w:before="40" w:after="40"/>
              <w:ind w:left="100" w:right="100"/>
              <w:jc w:val="center"/>
            </w:pPr>
            <w:r>
              <w:rPr>
                <w:rFonts w:eastAsia="Century Gothic" w:cs="Century Gothic"/>
                <w:color w:val="000000"/>
                <w:sz w:val="18"/>
                <w:szCs w:val="18"/>
              </w:rPr>
              <w:t>14 (3.4%)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2FF3B2" w14:textId="77777777" w:rsidR="001C19F3" w:rsidRDefault="001C19F3" w:rsidP="00521305">
            <w:pPr>
              <w:spacing w:before="40" w:after="40"/>
              <w:ind w:left="100" w:right="100"/>
              <w:jc w:val="center"/>
            </w:pPr>
            <w:r>
              <w:rPr>
                <w:rFonts w:eastAsia="Century Gothic" w:cs="Century Gothic"/>
                <w:color w:val="000000"/>
                <w:sz w:val="18"/>
                <w:szCs w:val="18"/>
              </w:rPr>
              <w:t>29 (1.8%)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DA4E2C9"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9CFAE1" w14:textId="77777777" w:rsidR="001C19F3" w:rsidRDefault="001C19F3" w:rsidP="00521305">
            <w:pPr>
              <w:spacing w:before="40" w:after="40"/>
              <w:ind w:left="100" w:right="100"/>
              <w:jc w:val="center"/>
            </w:pPr>
            <w:r>
              <w:rPr>
                <w:rFonts w:eastAsia="Century Gothic" w:cs="Century Gothic"/>
                <w:color w:val="000000"/>
                <w:sz w:val="18"/>
                <w:szCs w:val="18"/>
              </w:rPr>
              <w:t>43 (2.9%)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517CFA"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346A99"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8EA3917" w14:textId="77777777" w:rsidR="001C19F3" w:rsidRDefault="001C19F3" w:rsidP="00521305">
            <w:pPr>
              <w:spacing w:after="0"/>
              <w:rPr>
                <w:sz w:val="22"/>
              </w:rPr>
            </w:pPr>
          </w:p>
        </w:tc>
      </w:tr>
      <w:tr w:rsidR="001C19F3" w14:paraId="76E45EAF"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9AC282" w14:textId="77777777" w:rsidR="001C19F3" w:rsidRDefault="001C19F3" w:rsidP="00521305">
            <w:pPr>
              <w:spacing w:before="40" w:after="40"/>
              <w:ind w:left="160" w:right="100"/>
            </w:pPr>
            <w:r>
              <w:rPr>
                <w:rFonts w:eastAsia="Century Gothic" w:cs="Century Gothic"/>
                <w:color w:val="000000"/>
                <w:sz w:val="18"/>
                <w:szCs w:val="18"/>
              </w:rPr>
              <w:lastRenderedPageBreak/>
              <w:t>New Zealand</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24BE81" w14:textId="77777777" w:rsidR="001C19F3" w:rsidRDefault="001C19F3" w:rsidP="00521305">
            <w:pPr>
              <w:spacing w:before="40" w:after="40"/>
              <w:ind w:left="100" w:right="100"/>
              <w:jc w:val="center"/>
            </w:pPr>
            <w:r>
              <w:rPr>
                <w:rFonts w:eastAsia="Century Gothic" w:cs="Century Gothic"/>
                <w:color w:val="000000"/>
                <w:sz w:val="18"/>
                <w:szCs w:val="18"/>
              </w:rPr>
              <w:t>31 (1.5%)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AD4D6F" w14:textId="77777777" w:rsidR="001C19F3" w:rsidRDefault="001C19F3" w:rsidP="00521305">
            <w:pPr>
              <w:spacing w:before="40" w:after="40"/>
              <w:ind w:left="100" w:right="100"/>
              <w:jc w:val="center"/>
            </w:pPr>
            <w:r>
              <w:rPr>
                <w:rFonts w:eastAsia="Century Gothic" w:cs="Century Gothic"/>
                <w:color w:val="000000"/>
                <w:sz w:val="18"/>
                <w:szCs w:val="18"/>
              </w:rPr>
              <w:t>6 (1.4%)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04462" w14:textId="77777777" w:rsidR="001C19F3" w:rsidRDefault="001C19F3" w:rsidP="00521305">
            <w:pPr>
              <w:spacing w:before="40" w:after="40"/>
              <w:ind w:left="100" w:right="100"/>
              <w:jc w:val="center"/>
            </w:pPr>
            <w:r>
              <w:rPr>
                <w:rFonts w:eastAsia="Century Gothic" w:cs="Century Gothic"/>
                <w:color w:val="000000"/>
                <w:sz w:val="18"/>
                <w:szCs w:val="18"/>
              </w:rPr>
              <w:t>25 (1.6%)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BCC521F"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774607" w14:textId="77777777" w:rsidR="001C19F3" w:rsidRDefault="001C19F3" w:rsidP="00521305">
            <w:pPr>
              <w:spacing w:before="40" w:after="40"/>
              <w:ind w:left="100" w:right="100"/>
              <w:jc w:val="center"/>
            </w:pPr>
            <w:r>
              <w:rPr>
                <w:rFonts w:eastAsia="Century Gothic" w:cs="Century Gothic"/>
                <w:color w:val="000000"/>
                <w:sz w:val="18"/>
                <w:szCs w:val="18"/>
              </w:rPr>
              <w:t>25 (1.7%)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C6616C"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942ED8"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2D600AA" w14:textId="77777777" w:rsidR="001C19F3" w:rsidRDefault="001C19F3" w:rsidP="00521305">
            <w:pPr>
              <w:spacing w:after="0"/>
              <w:rPr>
                <w:sz w:val="22"/>
              </w:rPr>
            </w:pPr>
          </w:p>
        </w:tc>
      </w:tr>
      <w:tr w:rsidR="001C19F3" w14:paraId="37E51019"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11531D" w14:textId="77777777" w:rsidR="001C19F3" w:rsidRDefault="001C19F3" w:rsidP="00521305">
            <w:pPr>
              <w:spacing w:before="40" w:after="40"/>
              <w:ind w:left="160" w:right="100"/>
            </w:pPr>
            <w:r>
              <w:rPr>
                <w:rFonts w:eastAsia="Century Gothic" w:cs="Century Gothic"/>
                <w:color w:val="000000"/>
                <w:sz w:val="18"/>
                <w:szCs w:val="18"/>
              </w:rPr>
              <w:t>Italy</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AE5CF8"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318358" w14:textId="77777777" w:rsidR="001C19F3" w:rsidRDefault="001C19F3" w:rsidP="00521305">
            <w:pPr>
              <w:spacing w:before="40" w:after="40"/>
              <w:ind w:left="100" w:right="100"/>
              <w:jc w:val="center"/>
            </w:pPr>
            <w:r>
              <w:rPr>
                <w:rFonts w:eastAsia="Century Gothic" w:cs="Century Gothic"/>
                <w:color w:val="000000"/>
                <w:sz w:val="18"/>
                <w:szCs w:val="18"/>
              </w:rPr>
              <w:t>4 (1.0%)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887400" w14:textId="77777777" w:rsidR="001C19F3" w:rsidRDefault="001C19F3" w:rsidP="00521305">
            <w:pPr>
              <w:spacing w:before="40" w:after="40"/>
              <w:ind w:left="100" w:right="100"/>
              <w:jc w:val="center"/>
            </w:pPr>
            <w:r>
              <w:rPr>
                <w:rFonts w:eastAsia="Century Gothic" w:cs="Century Gothic"/>
                <w:color w:val="000000"/>
                <w:sz w:val="18"/>
                <w:szCs w:val="18"/>
              </w:rPr>
              <w:t>14 (0.9%)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8D70436"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C947C9" w14:textId="77777777" w:rsidR="001C19F3" w:rsidRDefault="001C19F3" w:rsidP="00521305">
            <w:pPr>
              <w:spacing w:before="40" w:after="40"/>
              <w:ind w:left="100" w:right="100"/>
              <w:jc w:val="center"/>
            </w:pPr>
            <w:r>
              <w:rPr>
                <w:rFonts w:eastAsia="Century Gothic" w:cs="Century Gothic"/>
                <w:color w:val="000000"/>
                <w:sz w:val="18"/>
                <w:szCs w:val="18"/>
              </w:rPr>
              <w:t>18 (1.2%)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D3BE63"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3BCA08"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9C28E96" w14:textId="77777777" w:rsidR="001C19F3" w:rsidRDefault="001C19F3" w:rsidP="00521305">
            <w:pPr>
              <w:spacing w:after="0"/>
              <w:rPr>
                <w:sz w:val="22"/>
              </w:rPr>
            </w:pPr>
          </w:p>
        </w:tc>
      </w:tr>
      <w:tr w:rsidR="001C19F3" w14:paraId="4A611E45"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A74F71" w14:textId="77777777" w:rsidR="001C19F3" w:rsidRDefault="001C19F3" w:rsidP="00521305">
            <w:pPr>
              <w:spacing w:before="40" w:after="40"/>
              <w:ind w:left="160" w:right="100"/>
            </w:pPr>
            <w:r>
              <w:rPr>
                <w:rFonts w:eastAsia="Century Gothic" w:cs="Century Gothic"/>
                <w:color w:val="000000"/>
                <w:sz w:val="18"/>
                <w:szCs w:val="18"/>
              </w:rPr>
              <w:t>Greece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9FA360"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4B8758" w14:textId="77777777" w:rsidR="001C19F3" w:rsidRDefault="001C19F3" w:rsidP="00521305">
            <w:pPr>
              <w:spacing w:before="40" w:after="40"/>
              <w:ind w:left="100" w:right="100"/>
              <w:jc w:val="center"/>
            </w:pPr>
            <w:r>
              <w:rPr>
                <w:rFonts w:eastAsia="Century Gothic" w:cs="Century Gothic"/>
                <w:color w:val="000000"/>
                <w:sz w:val="18"/>
                <w:szCs w:val="18"/>
              </w:rPr>
              <w:t>17 (4.1%)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942345" w14:textId="77777777" w:rsidR="001C19F3" w:rsidRDefault="001C19F3" w:rsidP="00521305">
            <w:pPr>
              <w:spacing w:before="40" w:after="40"/>
              <w:ind w:left="100" w:right="100"/>
              <w:jc w:val="center"/>
            </w:pPr>
            <w:r>
              <w:rPr>
                <w:rFonts w:eastAsia="Century Gothic" w:cs="Century Gothic"/>
                <w:color w:val="000000"/>
                <w:sz w:val="18"/>
                <w:szCs w:val="18"/>
              </w:rPr>
              <w:t>11 (0.7%)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319E1EA"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FC8B4D" w14:textId="77777777" w:rsidR="001C19F3" w:rsidRDefault="001C19F3" w:rsidP="00521305">
            <w:pPr>
              <w:spacing w:before="40" w:after="40"/>
              <w:ind w:left="100" w:right="100"/>
              <w:jc w:val="center"/>
            </w:pPr>
            <w:r>
              <w:rPr>
                <w:rFonts w:eastAsia="Century Gothic" w:cs="Century Gothic"/>
                <w:color w:val="000000"/>
                <w:sz w:val="18"/>
                <w:szCs w:val="18"/>
              </w:rPr>
              <w:t>27 (1.8%)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78D2C8"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3AF2E9"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385AD95" w14:textId="77777777" w:rsidR="001C19F3" w:rsidRDefault="001C19F3" w:rsidP="00521305">
            <w:pPr>
              <w:spacing w:after="0"/>
              <w:rPr>
                <w:sz w:val="22"/>
              </w:rPr>
            </w:pPr>
          </w:p>
        </w:tc>
      </w:tr>
      <w:tr w:rsidR="001C19F3" w14:paraId="137A354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D3218C" w14:textId="77777777" w:rsidR="001C19F3" w:rsidRDefault="001C19F3" w:rsidP="00521305">
            <w:pPr>
              <w:spacing w:before="40" w:after="40"/>
              <w:ind w:left="160" w:right="100"/>
            </w:pPr>
            <w:r>
              <w:rPr>
                <w:rFonts w:eastAsia="Century Gothic" w:cs="Century Gothic"/>
                <w:color w:val="000000"/>
                <w:sz w:val="18"/>
                <w:szCs w:val="18"/>
              </w:rPr>
              <w:t>Ireland</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BAC196"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18D80" w14:textId="77777777" w:rsidR="001C19F3" w:rsidRDefault="001C19F3" w:rsidP="00521305">
            <w:pPr>
              <w:spacing w:before="40" w:after="40"/>
              <w:ind w:left="100" w:right="100"/>
              <w:jc w:val="center"/>
            </w:pPr>
            <w:r>
              <w:rPr>
                <w:rFonts w:eastAsia="Century Gothic" w:cs="Century Gothic"/>
                <w:color w:val="000000"/>
                <w:sz w:val="18"/>
                <w:szCs w:val="18"/>
              </w:rPr>
              <w:t>2 (0.5%)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BE6AEE" w14:textId="77777777" w:rsidR="001C19F3" w:rsidRDefault="001C19F3" w:rsidP="00521305">
            <w:pPr>
              <w:spacing w:before="40" w:after="40"/>
              <w:ind w:left="100" w:right="100"/>
              <w:jc w:val="center"/>
            </w:pPr>
            <w:r>
              <w:rPr>
                <w:rFonts w:eastAsia="Century Gothic" w:cs="Century Gothic"/>
                <w:color w:val="000000"/>
                <w:sz w:val="18"/>
                <w:szCs w:val="18"/>
              </w:rPr>
              <w:t>5 (0.3%)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318D0A7"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09663F" w14:textId="77777777" w:rsidR="001C19F3" w:rsidRDefault="001C19F3" w:rsidP="00521305">
            <w:pPr>
              <w:spacing w:before="40" w:after="40"/>
              <w:ind w:left="100" w:right="100"/>
              <w:jc w:val="center"/>
            </w:pPr>
            <w:r>
              <w:rPr>
                <w:rFonts w:eastAsia="Century Gothic" w:cs="Century Gothic"/>
                <w:color w:val="000000"/>
                <w:sz w:val="18"/>
                <w:szCs w:val="18"/>
              </w:rPr>
              <w:t>6 (0.4%)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A42E9E"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9D31ED"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791125B" w14:textId="77777777" w:rsidR="001C19F3" w:rsidRDefault="001C19F3" w:rsidP="00521305">
            <w:pPr>
              <w:spacing w:after="0"/>
              <w:rPr>
                <w:sz w:val="22"/>
              </w:rPr>
            </w:pPr>
          </w:p>
        </w:tc>
      </w:tr>
      <w:tr w:rsidR="001C19F3" w14:paraId="3CC10114"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5AC753" w14:textId="77777777" w:rsidR="001C19F3" w:rsidRDefault="001C19F3" w:rsidP="00521305">
            <w:pPr>
              <w:spacing w:before="40" w:after="40"/>
              <w:ind w:left="160" w:right="100"/>
            </w:pPr>
            <w:r>
              <w:rPr>
                <w:rFonts w:eastAsia="Century Gothic" w:cs="Century Gothic"/>
                <w:color w:val="000000"/>
                <w:sz w:val="18"/>
                <w:szCs w:val="18"/>
              </w:rPr>
              <w:t>China</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9D8F85" w14:textId="77777777" w:rsidR="001C19F3" w:rsidRDefault="001C19F3" w:rsidP="00521305">
            <w:pPr>
              <w:spacing w:before="40" w:after="40"/>
              <w:ind w:left="100" w:right="100"/>
              <w:jc w:val="center"/>
            </w:pPr>
            <w:r>
              <w:rPr>
                <w:rFonts w:eastAsia="Century Gothic" w:cs="Century Gothic"/>
                <w:color w:val="000000"/>
                <w:sz w:val="18"/>
                <w:szCs w:val="18"/>
              </w:rPr>
              <w:t>2 (0.1%)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97CF63"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FBDC5D" w14:textId="77777777" w:rsidR="001C19F3" w:rsidRDefault="001C19F3" w:rsidP="00521305">
            <w:pPr>
              <w:spacing w:before="40" w:after="40"/>
              <w:ind w:left="100" w:right="100"/>
              <w:jc w:val="center"/>
            </w:pPr>
            <w:r>
              <w:rPr>
                <w:rFonts w:eastAsia="Century Gothic" w:cs="Century Gothic"/>
                <w:color w:val="000000"/>
                <w:sz w:val="18"/>
                <w:szCs w:val="18"/>
              </w:rPr>
              <w:t>1 (0.1%)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354195A1"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162405" w14:textId="77777777" w:rsidR="001C19F3" w:rsidRDefault="001C19F3" w:rsidP="00521305">
            <w:pPr>
              <w:spacing w:before="40" w:after="40"/>
              <w:ind w:left="100" w:right="100"/>
              <w:jc w:val="center"/>
            </w:pPr>
            <w:r>
              <w:rPr>
                <w:rFonts w:eastAsia="Century Gothic" w:cs="Century Gothic"/>
                <w:color w:val="000000"/>
                <w:sz w:val="18"/>
                <w:szCs w:val="18"/>
              </w:rPr>
              <w:t>2 (0.1%)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70A82F"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F10124" w14:textId="77777777" w:rsidR="001C19F3" w:rsidRDefault="001C19F3" w:rsidP="00521305">
            <w:pPr>
              <w:spacing w:before="40" w:after="40"/>
              <w:ind w:left="100" w:right="100"/>
              <w:jc w:val="right"/>
            </w:pP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0C5BBC4" w14:textId="77777777" w:rsidR="001C19F3" w:rsidRDefault="001C19F3" w:rsidP="00521305">
            <w:pPr>
              <w:spacing w:after="0"/>
              <w:rPr>
                <w:sz w:val="22"/>
              </w:rPr>
            </w:pPr>
          </w:p>
        </w:tc>
      </w:tr>
      <w:tr w:rsidR="001C19F3" w14:paraId="3A408B9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5342EB" w14:textId="77777777" w:rsidR="001C19F3" w:rsidRDefault="001C19F3" w:rsidP="00521305">
            <w:pPr>
              <w:spacing w:before="40" w:after="40"/>
              <w:ind w:left="160" w:right="100"/>
            </w:pPr>
            <w:r>
              <w:rPr>
                <w:rFonts w:eastAsia="Century Gothic" w:cs="Century Gothic"/>
                <w:color w:val="000000"/>
                <w:sz w:val="18"/>
                <w:szCs w:val="18"/>
              </w:rPr>
              <w:t>Other</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B10D5" w14:textId="77777777" w:rsidR="001C19F3" w:rsidRDefault="001C19F3" w:rsidP="00521305">
            <w:pPr>
              <w:spacing w:before="40" w:after="40"/>
              <w:ind w:left="100" w:right="100"/>
              <w:jc w:val="center"/>
            </w:pPr>
            <w:r>
              <w:rPr>
                <w:rFonts w:eastAsia="Century Gothic" w:cs="Century Gothic"/>
                <w:color w:val="000000"/>
                <w:sz w:val="18"/>
                <w:szCs w:val="18"/>
              </w:rPr>
              <w:t>216 (10.7%)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017E97" w14:textId="77777777" w:rsidR="001C19F3" w:rsidRDefault="001C19F3" w:rsidP="00521305">
            <w:pPr>
              <w:spacing w:before="40" w:after="40"/>
              <w:ind w:left="100" w:right="100"/>
              <w:jc w:val="center"/>
            </w:pPr>
            <w:r>
              <w:rPr>
                <w:rFonts w:eastAsia="Century Gothic" w:cs="Century Gothic"/>
                <w:color w:val="000000"/>
                <w:sz w:val="18"/>
                <w:szCs w:val="18"/>
              </w:rPr>
              <w:t>41 (9.9%)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623E12" w14:textId="77777777" w:rsidR="001C19F3" w:rsidRDefault="001C19F3" w:rsidP="00521305">
            <w:pPr>
              <w:spacing w:before="40" w:after="40"/>
              <w:ind w:left="100" w:right="100"/>
              <w:jc w:val="center"/>
            </w:pPr>
            <w:r>
              <w:rPr>
                <w:rFonts w:eastAsia="Century Gothic" w:cs="Century Gothic"/>
                <w:color w:val="000000"/>
                <w:sz w:val="18"/>
                <w:szCs w:val="18"/>
              </w:rPr>
              <w:t>175 (10.9%)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0F422DC"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EA4889" w14:textId="77777777" w:rsidR="001C19F3" w:rsidRDefault="001C19F3" w:rsidP="00521305">
            <w:pPr>
              <w:spacing w:before="40" w:after="40"/>
              <w:ind w:left="100" w:right="100"/>
              <w:jc w:val="center"/>
            </w:pPr>
            <w:r>
              <w:rPr>
                <w:rFonts w:eastAsia="Century Gothic" w:cs="Century Gothic"/>
                <w:color w:val="000000"/>
                <w:sz w:val="18"/>
                <w:szCs w:val="18"/>
              </w:rPr>
              <w:t>194 (13.1%)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ED77DB" w14:textId="77777777" w:rsidR="001C19F3" w:rsidRDefault="001C19F3" w:rsidP="00521305">
            <w:pPr>
              <w:spacing w:before="40" w:after="40"/>
              <w:ind w:left="100" w:right="100"/>
              <w:jc w:val="right"/>
            </w:pPr>
            <w:r>
              <w:rPr>
                <w:rFonts w:eastAsia="Century Gothic" w:cs="Century Gothic"/>
                <w:color w:val="000000"/>
                <w:sz w:val="18"/>
                <w:szCs w:val="18"/>
              </w:rPr>
              <w:t>16 (5.8%)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1BB5FE" w14:textId="77777777" w:rsidR="001C19F3" w:rsidRDefault="001C19F3" w:rsidP="00521305">
            <w:pPr>
              <w:spacing w:before="40" w:after="40"/>
              <w:ind w:left="100" w:right="100"/>
              <w:jc w:val="right"/>
            </w:pPr>
            <w:r>
              <w:rPr>
                <w:rFonts w:eastAsia="Century Gothic" w:cs="Century Gothic"/>
                <w:color w:val="000000"/>
                <w:sz w:val="18"/>
                <w:szCs w:val="18"/>
              </w:rPr>
              <w:t>6 (2.3%)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521BC45" w14:textId="77777777" w:rsidR="001C19F3" w:rsidRDefault="001C19F3" w:rsidP="00521305">
            <w:pPr>
              <w:spacing w:after="0"/>
              <w:rPr>
                <w:sz w:val="22"/>
              </w:rPr>
            </w:pPr>
          </w:p>
        </w:tc>
      </w:tr>
      <w:tr w:rsidR="001C19F3" w14:paraId="7CB6E331"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38089B" w14:textId="77777777" w:rsidR="001C19F3" w:rsidRDefault="001C19F3" w:rsidP="00521305">
            <w:pPr>
              <w:spacing w:before="40" w:after="40"/>
              <w:ind w:left="160" w:right="100"/>
            </w:pPr>
            <w:r>
              <w:rPr>
                <w:rFonts w:eastAsia="Century Gothic" w:cs="Century Gothic"/>
                <w:color w:val="000000"/>
                <w:sz w:val="18"/>
                <w:szCs w:val="18"/>
              </w:rPr>
              <w:t>Refused</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AEF999" w14:textId="77777777" w:rsidR="001C19F3" w:rsidRDefault="001C19F3" w:rsidP="00521305">
            <w:pPr>
              <w:spacing w:before="40" w:after="40"/>
              <w:ind w:left="100" w:right="100"/>
              <w:jc w:val="center"/>
            </w:pPr>
            <w:r>
              <w:rPr>
                <w:rFonts w:eastAsia="Century Gothic" w:cs="Century Gothic"/>
                <w:color w:val="000000"/>
                <w:sz w:val="18"/>
                <w:szCs w:val="18"/>
              </w:rPr>
              <w:t>3 (0.1%)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AA53E0"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60846E"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C53172"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06D92D"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C6695E"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C502B5"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059F24" w14:textId="77777777" w:rsidR="001C19F3" w:rsidRDefault="001C19F3" w:rsidP="00521305">
            <w:pPr>
              <w:spacing w:before="40" w:after="40"/>
              <w:ind w:left="100" w:right="100"/>
              <w:jc w:val="right"/>
            </w:pPr>
          </w:p>
        </w:tc>
      </w:tr>
      <w:tr w:rsidR="001C19F3" w14:paraId="467EF637"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36DB12" w14:textId="77777777" w:rsidR="001C19F3" w:rsidRDefault="001C19F3" w:rsidP="00521305">
            <w:pPr>
              <w:spacing w:before="40" w:after="40"/>
              <w:ind w:left="100" w:right="100"/>
            </w:pPr>
            <w:r>
              <w:rPr>
                <w:rFonts w:eastAsia="Century Gothic" w:cs="Century Gothic"/>
                <w:b/>
                <w:color w:val="000000"/>
                <w:sz w:val="18"/>
                <w:szCs w:val="18"/>
              </w:rPr>
              <w:t>A5 Highest level of education (Q36)</w:t>
            </w:r>
          </w:p>
        </w:tc>
      </w:tr>
      <w:tr w:rsidR="001C19F3" w14:paraId="162A75C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B86A0F" w14:textId="77777777" w:rsidR="001C19F3" w:rsidRDefault="001C19F3" w:rsidP="00521305">
            <w:pPr>
              <w:spacing w:before="40" w:after="40"/>
              <w:ind w:left="160" w:right="100"/>
            </w:pPr>
            <w:r>
              <w:rPr>
                <w:rFonts w:eastAsia="Century Gothic" w:cs="Century Gothic"/>
                <w:color w:val="000000"/>
                <w:sz w:val="18"/>
                <w:szCs w:val="18"/>
              </w:rPr>
              <w:t>Year 9 or below</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C97F44" w14:textId="77777777" w:rsidR="001C19F3" w:rsidRDefault="001C19F3" w:rsidP="00521305">
            <w:pPr>
              <w:spacing w:before="40" w:after="40"/>
              <w:ind w:left="100" w:right="100"/>
              <w:jc w:val="center"/>
            </w:pPr>
            <w:r>
              <w:rPr>
                <w:rFonts w:eastAsia="Century Gothic" w:cs="Century Gothic"/>
                <w:color w:val="000000"/>
                <w:sz w:val="18"/>
                <w:szCs w:val="18"/>
              </w:rPr>
              <w:t>427 (21.2%)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2427EC" w14:textId="77777777" w:rsidR="001C19F3" w:rsidRDefault="001C19F3" w:rsidP="00521305">
            <w:pPr>
              <w:spacing w:before="40" w:after="40"/>
              <w:ind w:left="100" w:right="100"/>
              <w:jc w:val="center"/>
            </w:pPr>
            <w:r>
              <w:rPr>
                <w:rFonts w:eastAsia="Century Gothic" w:cs="Century Gothic"/>
                <w:color w:val="000000"/>
                <w:sz w:val="18"/>
                <w:szCs w:val="18"/>
              </w:rPr>
              <w:t>110 (26.7%)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C68DE" w14:textId="77777777" w:rsidR="001C19F3" w:rsidRDefault="001C19F3" w:rsidP="00521305">
            <w:pPr>
              <w:spacing w:before="40" w:after="40"/>
              <w:ind w:left="100" w:right="100"/>
              <w:jc w:val="center"/>
            </w:pPr>
            <w:r>
              <w:rPr>
                <w:rFonts w:eastAsia="Century Gothic" w:cs="Century Gothic"/>
                <w:color w:val="000000"/>
                <w:sz w:val="18"/>
                <w:szCs w:val="18"/>
              </w:rPr>
              <w:t>317 (20.0%)</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EFE835"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AC381B" w14:textId="77777777" w:rsidR="001C19F3" w:rsidRDefault="001C19F3" w:rsidP="00521305">
            <w:pPr>
              <w:spacing w:before="40" w:after="40"/>
              <w:ind w:left="100" w:right="100"/>
              <w:jc w:val="center"/>
            </w:pPr>
            <w:r>
              <w:rPr>
                <w:rFonts w:eastAsia="Century Gothic" w:cs="Century Gothic"/>
                <w:color w:val="000000"/>
                <w:sz w:val="18"/>
                <w:szCs w:val="18"/>
              </w:rPr>
              <w:t>301 (20.5%)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F15195" w14:textId="77777777" w:rsidR="001C19F3" w:rsidRDefault="001C19F3" w:rsidP="00521305">
            <w:pPr>
              <w:spacing w:before="40" w:after="40"/>
              <w:ind w:left="100" w:right="100"/>
              <w:jc w:val="right"/>
            </w:pPr>
            <w:r>
              <w:rPr>
                <w:rFonts w:eastAsia="Century Gothic" w:cs="Century Gothic"/>
                <w:color w:val="000000"/>
                <w:sz w:val="18"/>
                <w:szCs w:val="18"/>
              </w:rPr>
              <w:t>51 (19.1%)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D37894" w14:textId="77777777" w:rsidR="001C19F3" w:rsidRDefault="001C19F3" w:rsidP="00521305">
            <w:pPr>
              <w:spacing w:before="40" w:after="40"/>
              <w:ind w:left="100" w:right="100"/>
              <w:jc w:val="right"/>
            </w:pPr>
            <w:r>
              <w:rPr>
                <w:rFonts w:eastAsia="Century Gothic" w:cs="Century Gothic"/>
                <w:color w:val="000000"/>
                <w:sz w:val="18"/>
                <w:szCs w:val="18"/>
              </w:rPr>
              <w:t>75 (28.6%)</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58920" w14:textId="77777777" w:rsidR="001C19F3" w:rsidRDefault="001C19F3" w:rsidP="00521305">
            <w:pPr>
              <w:spacing w:before="40" w:after="40"/>
              <w:ind w:left="100" w:right="100"/>
              <w:jc w:val="right"/>
            </w:pPr>
            <w:r>
              <w:rPr>
                <w:rFonts w:eastAsia="Century Gothic" w:cs="Century Gothic"/>
                <w:color w:val="000000"/>
                <w:sz w:val="18"/>
                <w:szCs w:val="18"/>
              </w:rPr>
              <w:t>0.003</w:t>
            </w:r>
          </w:p>
        </w:tc>
      </w:tr>
      <w:tr w:rsidR="001C19F3" w14:paraId="1E096AA6"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F5355F" w14:textId="77777777" w:rsidR="001C19F3" w:rsidRDefault="001C19F3" w:rsidP="00521305">
            <w:pPr>
              <w:spacing w:before="40" w:after="40"/>
              <w:ind w:left="160" w:right="100"/>
            </w:pPr>
            <w:r>
              <w:rPr>
                <w:rFonts w:eastAsia="Century Gothic" w:cs="Century Gothic"/>
                <w:color w:val="000000"/>
                <w:sz w:val="18"/>
                <w:szCs w:val="18"/>
              </w:rPr>
              <w:t>Year 10 or equivalent</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0D74CC" w14:textId="77777777" w:rsidR="001C19F3" w:rsidRDefault="001C19F3" w:rsidP="00521305">
            <w:pPr>
              <w:spacing w:before="40" w:after="40"/>
              <w:ind w:left="100" w:right="100"/>
              <w:jc w:val="center"/>
            </w:pPr>
            <w:r>
              <w:rPr>
                <w:rFonts w:eastAsia="Century Gothic" w:cs="Century Gothic"/>
                <w:color w:val="000000"/>
                <w:sz w:val="18"/>
                <w:szCs w:val="18"/>
              </w:rPr>
              <w:t>326 (16.2%)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46968B" w14:textId="77777777" w:rsidR="001C19F3" w:rsidRDefault="001C19F3" w:rsidP="00521305">
            <w:pPr>
              <w:spacing w:before="40" w:after="40"/>
              <w:ind w:left="100" w:right="100"/>
              <w:jc w:val="center"/>
            </w:pPr>
            <w:r>
              <w:rPr>
                <w:rFonts w:eastAsia="Century Gothic" w:cs="Century Gothic"/>
                <w:color w:val="000000"/>
                <w:sz w:val="18"/>
                <w:szCs w:val="18"/>
              </w:rPr>
              <w:t>70 (17.0%)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A2391" w14:textId="77777777" w:rsidR="001C19F3" w:rsidRDefault="001C19F3" w:rsidP="00521305">
            <w:pPr>
              <w:spacing w:before="40" w:after="40"/>
              <w:ind w:left="100" w:right="100"/>
              <w:jc w:val="center"/>
            </w:pPr>
            <w:r>
              <w:rPr>
                <w:rFonts w:eastAsia="Century Gothic" w:cs="Century Gothic"/>
                <w:color w:val="000000"/>
                <w:sz w:val="18"/>
                <w:szCs w:val="18"/>
              </w:rPr>
              <w:t>256 (16.2%)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103600B"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887531" w14:textId="77777777" w:rsidR="001C19F3" w:rsidRDefault="001C19F3" w:rsidP="00521305">
            <w:pPr>
              <w:spacing w:before="40" w:after="40"/>
              <w:ind w:left="100" w:right="100"/>
              <w:jc w:val="center"/>
            </w:pPr>
            <w:r>
              <w:rPr>
                <w:rFonts w:eastAsia="Century Gothic" w:cs="Century Gothic"/>
                <w:color w:val="000000"/>
                <w:sz w:val="18"/>
                <w:szCs w:val="18"/>
              </w:rPr>
              <w:t>233 (15.9%)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04A18E" w14:textId="77777777" w:rsidR="001C19F3" w:rsidRDefault="001C19F3" w:rsidP="00521305">
            <w:pPr>
              <w:spacing w:before="40" w:after="40"/>
              <w:ind w:left="100" w:right="100"/>
              <w:jc w:val="right"/>
            </w:pPr>
            <w:r>
              <w:rPr>
                <w:rFonts w:eastAsia="Century Gothic" w:cs="Century Gothic"/>
                <w:color w:val="000000"/>
                <w:sz w:val="18"/>
                <w:szCs w:val="18"/>
              </w:rPr>
              <w:t>43 (16.1%)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B6ACBC" w14:textId="77777777" w:rsidR="001C19F3" w:rsidRDefault="001C19F3" w:rsidP="00521305">
            <w:pPr>
              <w:spacing w:before="40" w:after="40"/>
              <w:ind w:left="100" w:right="100"/>
              <w:jc w:val="right"/>
            </w:pPr>
            <w:r>
              <w:rPr>
                <w:rFonts w:eastAsia="Century Gothic" w:cs="Century Gothic"/>
                <w:color w:val="000000"/>
                <w:sz w:val="18"/>
                <w:szCs w:val="18"/>
              </w:rPr>
              <w:t>50 (19.1%)</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20D9492" w14:textId="77777777" w:rsidR="001C19F3" w:rsidRDefault="001C19F3" w:rsidP="00521305">
            <w:pPr>
              <w:spacing w:after="0"/>
              <w:rPr>
                <w:sz w:val="22"/>
              </w:rPr>
            </w:pPr>
          </w:p>
        </w:tc>
      </w:tr>
      <w:tr w:rsidR="001C19F3" w14:paraId="4ED40B1D"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4D3253" w14:textId="77777777" w:rsidR="001C19F3" w:rsidRDefault="001C19F3" w:rsidP="00521305">
            <w:pPr>
              <w:spacing w:before="40" w:after="40"/>
              <w:ind w:left="160" w:right="100"/>
            </w:pPr>
            <w:r>
              <w:rPr>
                <w:rFonts w:eastAsia="Century Gothic" w:cs="Century Gothic"/>
                <w:color w:val="000000"/>
                <w:sz w:val="18"/>
                <w:szCs w:val="18"/>
              </w:rPr>
              <w:t>Year 11 or equivalent</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909A0E" w14:textId="77777777" w:rsidR="001C19F3" w:rsidRDefault="001C19F3" w:rsidP="00521305">
            <w:pPr>
              <w:spacing w:before="40" w:after="40"/>
              <w:ind w:left="100" w:right="100"/>
              <w:jc w:val="center"/>
            </w:pPr>
            <w:r>
              <w:rPr>
                <w:rFonts w:eastAsia="Century Gothic" w:cs="Century Gothic"/>
                <w:color w:val="000000"/>
                <w:sz w:val="18"/>
                <w:szCs w:val="18"/>
              </w:rPr>
              <w:t>112 (5.6%)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72E73F" w14:textId="77777777" w:rsidR="001C19F3" w:rsidRDefault="001C19F3" w:rsidP="00521305">
            <w:pPr>
              <w:spacing w:before="40" w:after="40"/>
              <w:ind w:left="100" w:right="100"/>
              <w:jc w:val="center"/>
            </w:pPr>
            <w:r>
              <w:rPr>
                <w:rFonts w:eastAsia="Century Gothic" w:cs="Century Gothic"/>
                <w:color w:val="000000"/>
                <w:sz w:val="18"/>
                <w:szCs w:val="18"/>
              </w:rPr>
              <w:t>7 (1.7%)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1E45C2" w14:textId="77777777" w:rsidR="001C19F3" w:rsidRDefault="001C19F3" w:rsidP="00521305">
            <w:pPr>
              <w:spacing w:before="40" w:after="40"/>
              <w:ind w:left="100" w:right="100"/>
              <w:jc w:val="center"/>
            </w:pPr>
            <w:r>
              <w:rPr>
                <w:rFonts w:eastAsia="Century Gothic" w:cs="Century Gothic"/>
                <w:color w:val="000000"/>
                <w:sz w:val="18"/>
                <w:szCs w:val="18"/>
              </w:rPr>
              <w:t>105 (6.6%)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76716A5"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DC7263" w14:textId="77777777" w:rsidR="001C19F3" w:rsidRDefault="001C19F3" w:rsidP="00521305">
            <w:pPr>
              <w:spacing w:before="40" w:after="40"/>
              <w:ind w:left="100" w:right="100"/>
              <w:jc w:val="center"/>
            </w:pPr>
            <w:r>
              <w:rPr>
                <w:rFonts w:eastAsia="Century Gothic" w:cs="Century Gothic"/>
                <w:color w:val="000000"/>
                <w:sz w:val="18"/>
                <w:szCs w:val="18"/>
              </w:rPr>
              <w:t>86 (5.9%)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1D0D83" w14:textId="77777777" w:rsidR="001C19F3" w:rsidRDefault="001C19F3" w:rsidP="00521305">
            <w:pPr>
              <w:spacing w:before="40" w:after="40"/>
              <w:ind w:left="100" w:right="100"/>
              <w:jc w:val="right"/>
            </w:pPr>
            <w:r>
              <w:rPr>
                <w:rFonts w:eastAsia="Century Gothic" w:cs="Century Gothic"/>
                <w:color w:val="000000"/>
                <w:sz w:val="18"/>
                <w:szCs w:val="18"/>
              </w:rPr>
              <w:t>9 (3.4%)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C5AB9" w14:textId="77777777" w:rsidR="001C19F3" w:rsidRDefault="001C19F3" w:rsidP="00521305">
            <w:pPr>
              <w:spacing w:before="40" w:after="40"/>
              <w:ind w:left="100" w:right="100"/>
              <w:jc w:val="right"/>
            </w:pPr>
            <w:r>
              <w:rPr>
                <w:rFonts w:eastAsia="Century Gothic" w:cs="Century Gothic"/>
                <w:color w:val="000000"/>
                <w:sz w:val="18"/>
                <w:szCs w:val="18"/>
              </w:rPr>
              <w:t>17 (6.5%)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6510FB2" w14:textId="77777777" w:rsidR="001C19F3" w:rsidRDefault="001C19F3" w:rsidP="00521305">
            <w:pPr>
              <w:spacing w:after="0"/>
              <w:rPr>
                <w:sz w:val="22"/>
              </w:rPr>
            </w:pPr>
          </w:p>
        </w:tc>
      </w:tr>
      <w:tr w:rsidR="001C19F3" w14:paraId="2D81FD14"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BB289C" w14:textId="77777777" w:rsidR="001C19F3" w:rsidRDefault="001C19F3" w:rsidP="00521305">
            <w:pPr>
              <w:spacing w:before="40" w:after="40"/>
              <w:ind w:left="160" w:right="100"/>
            </w:pPr>
            <w:r>
              <w:rPr>
                <w:rFonts w:eastAsia="Century Gothic" w:cs="Century Gothic"/>
                <w:color w:val="000000"/>
                <w:sz w:val="18"/>
                <w:szCs w:val="18"/>
              </w:rPr>
              <w:t>Year 12 or equivalent</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11B0AE" w14:textId="77777777" w:rsidR="001C19F3" w:rsidRDefault="001C19F3" w:rsidP="00521305">
            <w:pPr>
              <w:spacing w:before="40" w:after="40"/>
              <w:ind w:left="100" w:right="100"/>
              <w:jc w:val="center"/>
            </w:pPr>
            <w:r>
              <w:rPr>
                <w:rFonts w:eastAsia="Century Gothic" w:cs="Century Gothic"/>
                <w:color w:val="000000"/>
                <w:sz w:val="18"/>
                <w:szCs w:val="18"/>
              </w:rPr>
              <w:t>244 (12.1%)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B3CC0B" w14:textId="77777777" w:rsidR="001C19F3" w:rsidRDefault="001C19F3" w:rsidP="00521305">
            <w:pPr>
              <w:spacing w:before="40" w:after="40"/>
              <w:ind w:left="100" w:right="100"/>
              <w:jc w:val="center"/>
            </w:pPr>
            <w:r>
              <w:rPr>
                <w:rFonts w:eastAsia="Century Gothic" w:cs="Century Gothic"/>
                <w:color w:val="000000"/>
                <w:sz w:val="18"/>
                <w:szCs w:val="18"/>
              </w:rPr>
              <w:t>52 (12.6%)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A78AC0" w14:textId="77777777" w:rsidR="001C19F3" w:rsidRDefault="001C19F3" w:rsidP="00521305">
            <w:pPr>
              <w:spacing w:before="40" w:after="40"/>
              <w:ind w:left="100" w:right="100"/>
              <w:jc w:val="center"/>
            </w:pPr>
            <w:r>
              <w:rPr>
                <w:rFonts w:eastAsia="Century Gothic" w:cs="Century Gothic"/>
                <w:color w:val="000000"/>
                <w:sz w:val="18"/>
                <w:szCs w:val="18"/>
              </w:rPr>
              <w:t>192 (12.1%)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582CFE6"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6E96D3" w14:textId="77777777" w:rsidR="001C19F3" w:rsidRDefault="001C19F3" w:rsidP="00521305">
            <w:pPr>
              <w:spacing w:before="40" w:after="40"/>
              <w:ind w:left="100" w:right="100"/>
              <w:jc w:val="center"/>
            </w:pPr>
            <w:r>
              <w:rPr>
                <w:rFonts w:eastAsia="Century Gothic" w:cs="Century Gothic"/>
                <w:color w:val="000000"/>
                <w:sz w:val="18"/>
                <w:szCs w:val="18"/>
              </w:rPr>
              <w:t>183 (12.5%)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9D088D" w14:textId="77777777" w:rsidR="001C19F3" w:rsidRDefault="001C19F3" w:rsidP="00521305">
            <w:pPr>
              <w:spacing w:before="40" w:after="40"/>
              <w:ind w:left="100" w:right="100"/>
              <w:jc w:val="right"/>
            </w:pPr>
            <w:r>
              <w:rPr>
                <w:rFonts w:eastAsia="Century Gothic" w:cs="Century Gothic"/>
                <w:color w:val="000000"/>
                <w:sz w:val="18"/>
                <w:szCs w:val="18"/>
              </w:rPr>
              <w:t>35 (13.1%)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5DD246" w14:textId="77777777" w:rsidR="001C19F3" w:rsidRDefault="001C19F3" w:rsidP="00521305">
            <w:pPr>
              <w:spacing w:before="40" w:after="40"/>
              <w:ind w:left="100" w:right="100"/>
              <w:jc w:val="right"/>
            </w:pPr>
            <w:r>
              <w:rPr>
                <w:rFonts w:eastAsia="Century Gothic" w:cs="Century Gothic"/>
                <w:color w:val="000000"/>
                <w:sz w:val="18"/>
                <w:szCs w:val="18"/>
              </w:rPr>
              <w:t>26 (9.9%)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458CB75" w14:textId="77777777" w:rsidR="001C19F3" w:rsidRDefault="001C19F3" w:rsidP="00521305">
            <w:pPr>
              <w:spacing w:after="0"/>
              <w:rPr>
                <w:sz w:val="22"/>
              </w:rPr>
            </w:pPr>
          </w:p>
        </w:tc>
      </w:tr>
      <w:tr w:rsidR="001C19F3" w14:paraId="6EE4E5E1"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D6BD3B" w14:textId="77777777" w:rsidR="001C19F3" w:rsidRDefault="001C19F3" w:rsidP="00521305">
            <w:pPr>
              <w:spacing w:before="40" w:after="40"/>
              <w:ind w:left="160" w:right="100"/>
            </w:pPr>
            <w:r>
              <w:rPr>
                <w:rFonts w:eastAsia="Century Gothic" w:cs="Century Gothic"/>
                <w:color w:val="000000"/>
                <w:sz w:val="18"/>
                <w:szCs w:val="18"/>
              </w:rPr>
              <w:t>Certificate I to IV (incl. trade certificate)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267FE3" w14:textId="77777777" w:rsidR="001C19F3" w:rsidRDefault="001C19F3" w:rsidP="00521305">
            <w:pPr>
              <w:spacing w:before="40" w:after="40"/>
              <w:ind w:left="100" w:right="100"/>
              <w:jc w:val="center"/>
            </w:pPr>
            <w:r>
              <w:rPr>
                <w:rFonts w:eastAsia="Century Gothic" w:cs="Century Gothic"/>
                <w:color w:val="000000"/>
                <w:sz w:val="18"/>
                <w:szCs w:val="18"/>
              </w:rPr>
              <w:t>416 (20.6%)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050041" w14:textId="77777777" w:rsidR="001C19F3" w:rsidRDefault="001C19F3" w:rsidP="00521305">
            <w:pPr>
              <w:spacing w:before="40" w:after="40"/>
              <w:ind w:left="100" w:right="100"/>
              <w:jc w:val="center"/>
            </w:pPr>
            <w:r>
              <w:rPr>
                <w:rFonts w:eastAsia="Century Gothic" w:cs="Century Gothic"/>
                <w:color w:val="000000"/>
                <w:sz w:val="18"/>
                <w:szCs w:val="18"/>
              </w:rPr>
              <w:t>87 (21.1%)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E7A0D2" w14:textId="77777777" w:rsidR="001C19F3" w:rsidRDefault="001C19F3" w:rsidP="00521305">
            <w:pPr>
              <w:spacing w:before="40" w:after="40"/>
              <w:ind w:left="100" w:right="100"/>
              <w:jc w:val="center"/>
            </w:pPr>
            <w:r>
              <w:rPr>
                <w:rFonts w:eastAsia="Century Gothic" w:cs="Century Gothic"/>
                <w:color w:val="000000"/>
                <w:sz w:val="18"/>
                <w:szCs w:val="18"/>
              </w:rPr>
              <w:t>329 (20.8%)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E115EA6"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68CF4A" w14:textId="77777777" w:rsidR="001C19F3" w:rsidRDefault="001C19F3" w:rsidP="00521305">
            <w:pPr>
              <w:spacing w:before="40" w:after="40"/>
              <w:ind w:left="100" w:right="100"/>
              <w:jc w:val="center"/>
            </w:pPr>
            <w:r>
              <w:rPr>
                <w:rFonts w:eastAsia="Century Gothic" w:cs="Century Gothic"/>
                <w:color w:val="000000"/>
                <w:sz w:val="18"/>
                <w:szCs w:val="18"/>
              </w:rPr>
              <w:t>296 (20.2%)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E4FA37" w14:textId="77777777" w:rsidR="001C19F3" w:rsidRDefault="001C19F3" w:rsidP="00521305">
            <w:pPr>
              <w:spacing w:before="40" w:after="40"/>
              <w:ind w:left="100" w:right="100"/>
              <w:jc w:val="right"/>
            </w:pPr>
            <w:r>
              <w:rPr>
                <w:rFonts w:eastAsia="Century Gothic" w:cs="Century Gothic"/>
                <w:color w:val="000000"/>
                <w:sz w:val="18"/>
                <w:szCs w:val="18"/>
              </w:rPr>
              <w:t>69 (25.8%)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5FC986" w14:textId="77777777" w:rsidR="001C19F3" w:rsidRDefault="001C19F3" w:rsidP="00521305">
            <w:pPr>
              <w:spacing w:before="40" w:after="40"/>
              <w:ind w:left="100" w:right="100"/>
              <w:jc w:val="right"/>
            </w:pPr>
            <w:r>
              <w:rPr>
                <w:rFonts w:eastAsia="Century Gothic" w:cs="Century Gothic"/>
                <w:color w:val="000000"/>
                <w:sz w:val="18"/>
                <w:szCs w:val="18"/>
              </w:rPr>
              <w:t>51 (19.5%)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2C306B3" w14:textId="77777777" w:rsidR="001C19F3" w:rsidRDefault="001C19F3" w:rsidP="00521305">
            <w:pPr>
              <w:spacing w:after="0"/>
              <w:rPr>
                <w:sz w:val="22"/>
              </w:rPr>
            </w:pPr>
          </w:p>
        </w:tc>
      </w:tr>
      <w:tr w:rsidR="001C19F3" w14:paraId="1D510E80"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53D54F" w14:textId="77777777" w:rsidR="001C19F3" w:rsidRDefault="001C19F3" w:rsidP="00521305">
            <w:pPr>
              <w:spacing w:before="40" w:after="40"/>
              <w:ind w:left="160" w:right="100"/>
            </w:pPr>
            <w:r>
              <w:rPr>
                <w:rFonts w:eastAsia="Century Gothic" w:cs="Century Gothic"/>
                <w:color w:val="000000"/>
                <w:sz w:val="18"/>
                <w:szCs w:val="18"/>
              </w:rPr>
              <w:t>Advanced diploma/Diploma</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2B192E" w14:textId="77777777" w:rsidR="001C19F3" w:rsidRDefault="001C19F3" w:rsidP="00521305">
            <w:pPr>
              <w:spacing w:before="40" w:after="40"/>
              <w:ind w:left="100" w:right="100"/>
              <w:jc w:val="center"/>
            </w:pPr>
            <w:r>
              <w:rPr>
                <w:rFonts w:eastAsia="Century Gothic" w:cs="Century Gothic"/>
                <w:color w:val="000000"/>
                <w:sz w:val="18"/>
                <w:szCs w:val="18"/>
              </w:rPr>
              <w:t>167 (8.3%)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1DF9C" w14:textId="77777777" w:rsidR="001C19F3" w:rsidRDefault="001C19F3" w:rsidP="00521305">
            <w:pPr>
              <w:spacing w:before="40" w:after="40"/>
              <w:ind w:left="100" w:right="100"/>
              <w:jc w:val="center"/>
            </w:pPr>
            <w:r>
              <w:rPr>
                <w:rFonts w:eastAsia="Century Gothic" w:cs="Century Gothic"/>
                <w:color w:val="000000"/>
                <w:sz w:val="18"/>
                <w:szCs w:val="18"/>
              </w:rPr>
              <w:t>36 (8.7%)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9C6513" w14:textId="77777777" w:rsidR="001C19F3" w:rsidRDefault="001C19F3" w:rsidP="00521305">
            <w:pPr>
              <w:spacing w:before="40" w:after="40"/>
              <w:ind w:left="100" w:right="100"/>
              <w:jc w:val="center"/>
            </w:pPr>
            <w:r>
              <w:rPr>
                <w:rFonts w:eastAsia="Century Gothic" w:cs="Century Gothic"/>
                <w:color w:val="000000"/>
                <w:sz w:val="18"/>
                <w:szCs w:val="18"/>
              </w:rPr>
              <w:t>131 (8.3%)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EDE580D"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E4D5DF" w14:textId="77777777" w:rsidR="001C19F3" w:rsidRDefault="001C19F3" w:rsidP="00521305">
            <w:pPr>
              <w:spacing w:before="40" w:after="40"/>
              <w:ind w:left="100" w:right="100"/>
              <w:jc w:val="center"/>
            </w:pPr>
            <w:r>
              <w:rPr>
                <w:rFonts w:eastAsia="Century Gothic" w:cs="Century Gothic"/>
                <w:color w:val="000000"/>
                <w:sz w:val="18"/>
                <w:szCs w:val="18"/>
              </w:rPr>
              <w:t>125 (8.5%)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ED9C1C" w14:textId="77777777" w:rsidR="001C19F3" w:rsidRDefault="001C19F3" w:rsidP="00521305">
            <w:pPr>
              <w:spacing w:before="40" w:after="40"/>
              <w:ind w:left="100" w:right="100"/>
              <w:jc w:val="right"/>
            </w:pPr>
            <w:r>
              <w:rPr>
                <w:rFonts w:eastAsia="Century Gothic" w:cs="Century Gothic"/>
                <w:color w:val="000000"/>
                <w:sz w:val="18"/>
                <w:szCs w:val="18"/>
              </w:rPr>
              <w:t>31 (11.6%)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8ABEAE" w14:textId="77777777" w:rsidR="001C19F3" w:rsidRDefault="001C19F3" w:rsidP="00521305">
            <w:pPr>
              <w:spacing w:before="40" w:after="40"/>
              <w:ind w:left="100" w:right="100"/>
              <w:jc w:val="right"/>
            </w:pPr>
            <w:r>
              <w:rPr>
                <w:rFonts w:eastAsia="Century Gothic" w:cs="Century Gothic"/>
                <w:color w:val="000000"/>
                <w:sz w:val="18"/>
                <w:szCs w:val="18"/>
              </w:rPr>
              <w:t>11 (4.2%)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AC1F141" w14:textId="77777777" w:rsidR="001C19F3" w:rsidRDefault="001C19F3" w:rsidP="00521305">
            <w:pPr>
              <w:spacing w:after="0"/>
              <w:rPr>
                <w:sz w:val="22"/>
              </w:rPr>
            </w:pPr>
          </w:p>
        </w:tc>
      </w:tr>
      <w:tr w:rsidR="001C19F3" w14:paraId="7A10E56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A60DB4" w14:textId="77777777" w:rsidR="001C19F3" w:rsidRDefault="001C19F3" w:rsidP="00521305">
            <w:pPr>
              <w:spacing w:before="40" w:after="40"/>
              <w:ind w:left="160" w:right="100"/>
            </w:pPr>
            <w:r>
              <w:rPr>
                <w:rFonts w:eastAsia="Century Gothic" w:cs="Century Gothic"/>
                <w:color w:val="000000"/>
                <w:sz w:val="18"/>
                <w:szCs w:val="18"/>
              </w:rPr>
              <w:t>Bachelor Degree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89DFE" w14:textId="77777777" w:rsidR="001C19F3" w:rsidRDefault="001C19F3" w:rsidP="00521305">
            <w:pPr>
              <w:spacing w:before="40" w:after="40"/>
              <w:ind w:left="100" w:right="100"/>
              <w:jc w:val="center"/>
            </w:pPr>
            <w:r>
              <w:rPr>
                <w:rFonts w:eastAsia="Century Gothic" w:cs="Century Gothic"/>
                <w:color w:val="000000"/>
                <w:sz w:val="18"/>
                <w:szCs w:val="18"/>
              </w:rPr>
              <w:t>187 (9.3%)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81C676" w14:textId="77777777" w:rsidR="001C19F3" w:rsidRDefault="001C19F3" w:rsidP="00521305">
            <w:pPr>
              <w:spacing w:before="40" w:after="40"/>
              <w:ind w:left="100" w:right="100"/>
              <w:jc w:val="center"/>
            </w:pPr>
            <w:r>
              <w:rPr>
                <w:rFonts w:eastAsia="Century Gothic" w:cs="Century Gothic"/>
                <w:color w:val="000000"/>
                <w:sz w:val="18"/>
                <w:szCs w:val="18"/>
              </w:rPr>
              <w:t>28 (6.8%)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A73E4A" w14:textId="77777777" w:rsidR="001C19F3" w:rsidRDefault="001C19F3" w:rsidP="00521305">
            <w:pPr>
              <w:spacing w:before="40" w:after="40"/>
              <w:ind w:left="100" w:right="100"/>
              <w:jc w:val="center"/>
            </w:pPr>
            <w:r>
              <w:rPr>
                <w:rFonts w:eastAsia="Century Gothic" w:cs="Century Gothic"/>
                <w:color w:val="000000"/>
                <w:sz w:val="18"/>
                <w:szCs w:val="18"/>
              </w:rPr>
              <w:t>159 (10.0%)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60D67CE"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4349B" w14:textId="77777777" w:rsidR="001C19F3" w:rsidRDefault="001C19F3" w:rsidP="00521305">
            <w:pPr>
              <w:spacing w:before="40" w:after="40"/>
              <w:ind w:left="100" w:right="100"/>
              <w:jc w:val="center"/>
            </w:pPr>
            <w:r>
              <w:rPr>
                <w:rFonts w:eastAsia="Century Gothic" w:cs="Century Gothic"/>
                <w:color w:val="000000"/>
                <w:sz w:val="18"/>
                <w:szCs w:val="18"/>
              </w:rPr>
              <w:t>143 (9.8%)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73185D" w14:textId="77777777" w:rsidR="001C19F3" w:rsidRDefault="001C19F3" w:rsidP="00521305">
            <w:pPr>
              <w:spacing w:before="40" w:after="40"/>
              <w:ind w:left="100" w:right="100"/>
              <w:jc w:val="right"/>
            </w:pPr>
            <w:r>
              <w:rPr>
                <w:rFonts w:eastAsia="Century Gothic" w:cs="Century Gothic"/>
                <w:color w:val="000000"/>
                <w:sz w:val="18"/>
                <w:szCs w:val="18"/>
              </w:rPr>
              <w:t>20 (7.5%)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7AA3F2" w14:textId="77777777" w:rsidR="001C19F3" w:rsidRDefault="001C19F3" w:rsidP="00521305">
            <w:pPr>
              <w:spacing w:before="40" w:after="40"/>
              <w:ind w:left="100" w:right="100"/>
              <w:jc w:val="right"/>
            </w:pPr>
            <w:r>
              <w:rPr>
                <w:rFonts w:eastAsia="Century Gothic" w:cs="Century Gothic"/>
                <w:color w:val="000000"/>
                <w:sz w:val="18"/>
                <w:szCs w:val="18"/>
              </w:rPr>
              <w:t>24 (9.2%)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5F02D91" w14:textId="77777777" w:rsidR="001C19F3" w:rsidRDefault="001C19F3" w:rsidP="00521305">
            <w:pPr>
              <w:spacing w:after="0"/>
              <w:rPr>
                <w:sz w:val="22"/>
              </w:rPr>
            </w:pPr>
          </w:p>
        </w:tc>
      </w:tr>
      <w:tr w:rsidR="001C19F3" w14:paraId="4A4B92AD"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3E4097" w14:textId="77777777" w:rsidR="001C19F3" w:rsidRDefault="001C19F3" w:rsidP="00521305">
            <w:pPr>
              <w:spacing w:before="40" w:after="40"/>
              <w:ind w:left="160" w:right="100"/>
            </w:pPr>
            <w:r>
              <w:rPr>
                <w:rFonts w:eastAsia="Century Gothic" w:cs="Century Gothic"/>
                <w:color w:val="000000"/>
                <w:sz w:val="18"/>
                <w:szCs w:val="18"/>
              </w:rPr>
              <w:t>Post-Graduate Degree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40D178" w14:textId="77777777" w:rsidR="001C19F3" w:rsidRDefault="001C19F3" w:rsidP="00521305">
            <w:pPr>
              <w:spacing w:before="40" w:after="40"/>
              <w:ind w:left="100" w:right="100"/>
              <w:jc w:val="center"/>
            </w:pPr>
            <w:r>
              <w:rPr>
                <w:rFonts w:eastAsia="Century Gothic" w:cs="Century Gothic"/>
                <w:color w:val="000000"/>
                <w:sz w:val="18"/>
                <w:szCs w:val="18"/>
              </w:rPr>
              <w:t>66 (3.3%)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0E91A" w14:textId="77777777" w:rsidR="001C19F3" w:rsidRDefault="001C19F3" w:rsidP="00521305">
            <w:pPr>
              <w:spacing w:before="40" w:after="40"/>
              <w:ind w:left="100" w:right="100"/>
              <w:jc w:val="center"/>
            </w:pPr>
            <w:r>
              <w:rPr>
                <w:rFonts w:eastAsia="Century Gothic" w:cs="Century Gothic"/>
                <w:color w:val="000000"/>
                <w:sz w:val="18"/>
                <w:szCs w:val="18"/>
              </w:rPr>
              <w:t>8 (1.9%)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EB2B56" w14:textId="77777777" w:rsidR="001C19F3" w:rsidRDefault="001C19F3" w:rsidP="00521305">
            <w:pPr>
              <w:spacing w:before="40" w:after="40"/>
              <w:ind w:left="100" w:right="100"/>
              <w:jc w:val="center"/>
            </w:pPr>
            <w:r>
              <w:rPr>
                <w:rFonts w:eastAsia="Century Gothic" w:cs="Century Gothic"/>
                <w:color w:val="000000"/>
                <w:sz w:val="18"/>
                <w:szCs w:val="18"/>
              </w:rPr>
              <w:t>58 (3.7%)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AEA787C"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1CE95E" w14:textId="77777777" w:rsidR="001C19F3" w:rsidRDefault="001C19F3" w:rsidP="00521305">
            <w:pPr>
              <w:spacing w:before="40" w:after="40"/>
              <w:ind w:left="100" w:right="100"/>
              <w:jc w:val="center"/>
            </w:pPr>
            <w:r>
              <w:rPr>
                <w:rFonts w:eastAsia="Century Gothic" w:cs="Century Gothic"/>
                <w:color w:val="000000"/>
                <w:sz w:val="18"/>
                <w:szCs w:val="18"/>
              </w:rPr>
              <w:t>58 (4.0%)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317717"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2932F"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1C5549B" w14:textId="77777777" w:rsidR="001C19F3" w:rsidRDefault="001C19F3" w:rsidP="00521305">
            <w:pPr>
              <w:spacing w:after="0"/>
              <w:rPr>
                <w:sz w:val="22"/>
              </w:rPr>
            </w:pPr>
          </w:p>
        </w:tc>
      </w:tr>
      <w:tr w:rsidR="001C19F3" w14:paraId="709D3A7E"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46E4EB" w14:textId="77777777" w:rsidR="001C19F3" w:rsidRDefault="001C19F3" w:rsidP="00521305">
            <w:pPr>
              <w:spacing w:before="40" w:after="40"/>
              <w:ind w:left="160" w:right="100"/>
            </w:pPr>
            <w:r>
              <w:rPr>
                <w:rFonts w:eastAsia="Century Gothic" w:cs="Century Gothic"/>
                <w:color w:val="000000"/>
                <w:sz w:val="18"/>
                <w:szCs w:val="18"/>
              </w:rPr>
              <w:t>Other</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C8DEB1" w14:textId="77777777" w:rsidR="001C19F3" w:rsidRDefault="001C19F3" w:rsidP="00521305">
            <w:pPr>
              <w:spacing w:before="40" w:after="40"/>
              <w:ind w:left="100" w:right="100"/>
              <w:jc w:val="center"/>
            </w:pPr>
            <w:r>
              <w:rPr>
                <w:rFonts w:eastAsia="Century Gothic" w:cs="Century Gothic"/>
                <w:color w:val="000000"/>
                <w:sz w:val="18"/>
                <w:szCs w:val="18"/>
              </w:rPr>
              <w:t>50 (2.5%)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14058B" w14:textId="77777777" w:rsidR="001C19F3" w:rsidRDefault="001C19F3" w:rsidP="00521305">
            <w:pPr>
              <w:spacing w:before="40" w:after="40"/>
              <w:ind w:left="100" w:right="100"/>
              <w:jc w:val="center"/>
            </w:pPr>
            <w:r>
              <w:rPr>
                <w:rFonts w:eastAsia="Century Gothic" w:cs="Century Gothic"/>
                <w:color w:val="000000"/>
                <w:sz w:val="18"/>
                <w:szCs w:val="18"/>
              </w:rPr>
              <w:t>14 (3.4%)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2565C8" w14:textId="77777777" w:rsidR="001C19F3" w:rsidRDefault="001C19F3" w:rsidP="00521305">
            <w:pPr>
              <w:spacing w:before="40" w:after="40"/>
              <w:ind w:left="100" w:right="100"/>
              <w:jc w:val="center"/>
            </w:pPr>
            <w:r>
              <w:rPr>
                <w:rFonts w:eastAsia="Century Gothic" w:cs="Century Gothic"/>
                <w:color w:val="000000"/>
                <w:sz w:val="18"/>
                <w:szCs w:val="18"/>
              </w:rPr>
              <w:t>36 (2.3%)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3BEA404"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6F8C2" w14:textId="77777777" w:rsidR="001C19F3" w:rsidRDefault="001C19F3" w:rsidP="00521305">
            <w:pPr>
              <w:spacing w:before="40" w:after="40"/>
              <w:ind w:left="100" w:right="100"/>
              <w:jc w:val="center"/>
            </w:pPr>
            <w:r>
              <w:rPr>
                <w:rFonts w:eastAsia="Century Gothic" w:cs="Century Gothic"/>
                <w:color w:val="000000"/>
                <w:sz w:val="18"/>
                <w:szCs w:val="18"/>
              </w:rPr>
              <w:t>41 (2.8%)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A1F303" w14:textId="77777777" w:rsidR="001C19F3" w:rsidRDefault="001C19F3" w:rsidP="00521305">
            <w:pPr>
              <w:spacing w:before="40" w:after="40"/>
              <w:ind w:left="100" w:right="100"/>
              <w:jc w:val="right"/>
            </w:pPr>
            <w:r>
              <w:rPr>
                <w:rFonts w:eastAsia="Century Gothic" w:cs="Century Gothic"/>
                <w:color w:val="000000"/>
                <w:sz w:val="18"/>
                <w:szCs w:val="18"/>
              </w:rPr>
              <w:t>5 (1.9%)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F466F8"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D1F30BB" w14:textId="77777777" w:rsidR="001C19F3" w:rsidRDefault="001C19F3" w:rsidP="00521305">
            <w:pPr>
              <w:spacing w:after="0"/>
              <w:rPr>
                <w:sz w:val="22"/>
              </w:rPr>
            </w:pPr>
          </w:p>
        </w:tc>
      </w:tr>
      <w:tr w:rsidR="001C19F3" w14:paraId="715E8335"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D9D554" w14:textId="77777777" w:rsidR="001C19F3" w:rsidRDefault="001C19F3" w:rsidP="00521305">
            <w:pPr>
              <w:spacing w:before="40" w:after="40"/>
              <w:ind w:left="160" w:right="100"/>
            </w:pPr>
            <w:r>
              <w:rPr>
                <w:rFonts w:eastAsia="Century Gothic" w:cs="Century Gothic"/>
                <w:color w:val="000000"/>
                <w:sz w:val="18"/>
                <w:szCs w:val="18"/>
              </w:rPr>
              <w:t>Refused</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D9E489" w14:textId="77777777" w:rsidR="001C19F3" w:rsidRDefault="001C19F3" w:rsidP="00521305">
            <w:pPr>
              <w:spacing w:before="40" w:after="40"/>
              <w:ind w:left="100" w:right="100"/>
              <w:jc w:val="center"/>
            </w:pPr>
            <w:r>
              <w:rPr>
                <w:rFonts w:eastAsia="Century Gothic" w:cs="Century Gothic"/>
                <w:color w:val="000000"/>
                <w:sz w:val="18"/>
                <w:szCs w:val="18"/>
              </w:rPr>
              <w:t>23 (1.1%)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21409F"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B9007B"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545E07"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A8093D"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7722B5"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7B406A"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62E0FF" w14:textId="77777777" w:rsidR="001C19F3" w:rsidRDefault="001C19F3" w:rsidP="00521305">
            <w:pPr>
              <w:spacing w:before="40" w:after="40"/>
              <w:ind w:left="100" w:right="100"/>
              <w:jc w:val="right"/>
            </w:pPr>
          </w:p>
        </w:tc>
      </w:tr>
      <w:tr w:rsidR="001C19F3" w14:paraId="0FCE575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DC69A9" w14:textId="77777777" w:rsidR="001C19F3" w:rsidRDefault="001C19F3" w:rsidP="00521305">
            <w:pPr>
              <w:spacing w:before="40" w:after="40"/>
              <w:ind w:left="100" w:right="100"/>
            </w:pPr>
            <w:r>
              <w:rPr>
                <w:rFonts w:eastAsia="Century Gothic" w:cs="Century Gothic"/>
                <w:b/>
                <w:color w:val="000000"/>
                <w:sz w:val="18"/>
                <w:szCs w:val="18"/>
              </w:rPr>
              <w:t>A6 Household composition (Q33)</w:t>
            </w:r>
          </w:p>
        </w:tc>
      </w:tr>
      <w:tr w:rsidR="001C19F3" w14:paraId="1CA561C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F910AC" w14:textId="77777777" w:rsidR="001C19F3" w:rsidRDefault="001C19F3" w:rsidP="00521305">
            <w:pPr>
              <w:spacing w:before="40" w:after="40"/>
              <w:ind w:left="160" w:right="100"/>
            </w:pPr>
            <w:r>
              <w:rPr>
                <w:rFonts w:eastAsia="Century Gothic" w:cs="Century Gothic"/>
                <w:color w:val="000000"/>
                <w:sz w:val="18"/>
                <w:szCs w:val="18"/>
              </w:rPr>
              <w:t>Person living alone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018A8C" w14:textId="77777777" w:rsidR="001C19F3" w:rsidRDefault="001C19F3" w:rsidP="00521305">
            <w:pPr>
              <w:spacing w:before="40" w:after="40"/>
              <w:ind w:left="100" w:right="100"/>
              <w:jc w:val="center"/>
            </w:pPr>
            <w:r>
              <w:rPr>
                <w:rFonts w:eastAsia="Century Gothic" w:cs="Century Gothic"/>
                <w:color w:val="000000"/>
                <w:sz w:val="18"/>
                <w:szCs w:val="18"/>
              </w:rPr>
              <w:t>486 (24.1%)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2D04A2" w14:textId="77777777" w:rsidR="001C19F3" w:rsidRDefault="001C19F3" w:rsidP="00521305">
            <w:pPr>
              <w:spacing w:before="40" w:after="40"/>
              <w:ind w:left="100" w:right="100"/>
              <w:jc w:val="center"/>
            </w:pPr>
            <w:r>
              <w:rPr>
                <w:rFonts w:eastAsia="Century Gothic" w:cs="Century Gothic"/>
                <w:color w:val="000000"/>
                <w:sz w:val="18"/>
                <w:szCs w:val="18"/>
              </w:rPr>
              <w:t>100 (24.0%)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7AAA5" w14:textId="77777777" w:rsidR="001C19F3" w:rsidRDefault="001C19F3" w:rsidP="00521305">
            <w:pPr>
              <w:spacing w:before="40" w:after="40"/>
              <w:ind w:left="100" w:right="100"/>
              <w:jc w:val="center"/>
            </w:pPr>
            <w:r>
              <w:rPr>
                <w:rFonts w:eastAsia="Century Gothic" w:cs="Century Gothic"/>
                <w:color w:val="000000"/>
                <w:sz w:val="18"/>
                <w:szCs w:val="18"/>
              </w:rPr>
              <w:t>386 (24.1%)</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A5614" w14:textId="77777777" w:rsidR="001C19F3" w:rsidRDefault="001C19F3" w:rsidP="00521305">
            <w:pPr>
              <w:spacing w:before="40" w:after="40"/>
              <w:ind w:left="100" w:right="100"/>
              <w:jc w:val="center"/>
            </w:pPr>
            <w:r>
              <w:rPr>
                <w:rFonts w:eastAsia="Century Gothic" w:cs="Century Gothic"/>
                <w:color w:val="000000"/>
                <w:sz w:val="18"/>
                <w:szCs w:val="18"/>
              </w:rPr>
              <w:t>0.174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C52AD0" w14:textId="77777777" w:rsidR="001C19F3" w:rsidRDefault="001C19F3" w:rsidP="00521305">
            <w:pPr>
              <w:spacing w:before="40" w:after="40"/>
              <w:ind w:left="100" w:right="100"/>
              <w:jc w:val="center"/>
            </w:pPr>
            <w:r>
              <w:rPr>
                <w:rFonts w:eastAsia="Century Gothic" w:cs="Century Gothic"/>
                <w:color w:val="000000"/>
                <w:sz w:val="18"/>
                <w:szCs w:val="18"/>
              </w:rPr>
              <w:t>356 (24.1%)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083679" w14:textId="77777777" w:rsidR="001C19F3" w:rsidRDefault="001C19F3" w:rsidP="00521305">
            <w:pPr>
              <w:spacing w:before="40" w:after="40"/>
              <w:ind w:left="100" w:right="100"/>
              <w:jc w:val="right"/>
            </w:pPr>
            <w:r>
              <w:rPr>
                <w:rFonts w:eastAsia="Century Gothic" w:cs="Century Gothic"/>
                <w:color w:val="000000"/>
                <w:sz w:val="18"/>
                <w:szCs w:val="18"/>
              </w:rPr>
              <w:t>67 (24.5%)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1E6952" w14:textId="77777777" w:rsidR="001C19F3" w:rsidRDefault="001C19F3" w:rsidP="00521305">
            <w:pPr>
              <w:spacing w:before="40" w:after="40"/>
              <w:ind w:left="100" w:right="100"/>
              <w:jc w:val="right"/>
            </w:pPr>
            <w:r>
              <w:rPr>
                <w:rFonts w:eastAsia="Century Gothic" w:cs="Century Gothic"/>
                <w:color w:val="000000"/>
                <w:sz w:val="18"/>
                <w:szCs w:val="18"/>
              </w:rPr>
              <w:t>63 (23.8%)</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BB2C74"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7C7ACDF"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A561C5" w14:textId="77777777" w:rsidR="001C19F3" w:rsidRDefault="001C19F3" w:rsidP="00521305">
            <w:pPr>
              <w:spacing w:before="40" w:after="40"/>
              <w:ind w:left="160" w:right="100"/>
            </w:pPr>
            <w:r>
              <w:rPr>
                <w:rFonts w:eastAsia="Century Gothic" w:cs="Century Gothic"/>
                <w:color w:val="000000"/>
                <w:sz w:val="18"/>
                <w:szCs w:val="18"/>
              </w:rPr>
              <w:t>Couple only</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47ECF" w14:textId="77777777" w:rsidR="001C19F3" w:rsidRDefault="001C19F3" w:rsidP="00521305">
            <w:pPr>
              <w:spacing w:before="40" w:after="40"/>
              <w:ind w:left="100" w:right="100"/>
              <w:jc w:val="center"/>
            </w:pPr>
            <w:r>
              <w:rPr>
                <w:rFonts w:eastAsia="Century Gothic" w:cs="Century Gothic"/>
                <w:color w:val="000000"/>
                <w:sz w:val="18"/>
                <w:szCs w:val="18"/>
              </w:rPr>
              <w:t>934 (46.3%)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A1A689" w14:textId="77777777" w:rsidR="001C19F3" w:rsidRDefault="001C19F3" w:rsidP="00521305">
            <w:pPr>
              <w:spacing w:before="40" w:after="40"/>
              <w:ind w:left="100" w:right="100"/>
              <w:jc w:val="center"/>
            </w:pPr>
            <w:r>
              <w:rPr>
                <w:rFonts w:eastAsia="Century Gothic" w:cs="Century Gothic"/>
                <w:color w:val="000000"/>
                <w:sz w:val="18"/>
                <w:szCs w:val="18"/>
              </w:rPr>
              <w:t>184 (44.2%)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7EBFB7" w14:textId="77777777" w:rsidR="001C19F3" w:rsidRDefault="001C19F3" w:rsidP="00521305">
            <w:pPr>
              <w:spacing w:before="40" w:after="40"/>
              <w:ind w:left="100" w:right="100"/>
              <w:jc w:val="center"/>
            </w:pPr>
            <w:r>
              <w:rPr>
                <w:rFonts w:eastAsia="Century Gothic" w:cs="Century Gothic"/>
                <w:color w:val="000000"/>
                <w:sz w:val="18"/>
                <w:szCs w:val="18"/>
              </w:rPr>
              <w:t>750 (46.8%)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48DC9B0"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F48AA" w14:textId="77777777" w:rsidR="001C19F3" w:rsidRDefault="001C19F3" w:rsidP="00521305">
            <w:pPr>
              <w:spacing w:before="40" w:after="40"/>
              <w:ind w:left="100" w:right="100"/>
              <w:jc w:val="center"/>
            </w:pPr>
            <w:r>
              <w:rPr>
                <w:rFonts w:eastAsia="Century Gothic" w:cs="Century Gothic"/>
                <w:color w:val="000000"/>
                <w:sz w:val="18"/>
                <w:szCs w:val="18"/>
              </w:rPr>
              <w:t>628 (42.5%)</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1398E5" w14:textId="77777777" w:rsidR="001C19F3" w:rsidRDefault="001C19F3" w:rsidP="00521305">
            <w:pPr>
              <w:spacing w:before="40" w:after="40"/>
              <w:ind w:left="100" w:right="100"/>
              <w:jc w:val="right"/>
            </w:pPr>
            <w:r>
              <w:rPr>
                <w:rFonts w:eastAsia="Century Gothic" w:cs="Century Gothic"/>
                <w:color w:val="000000"/>
                <w:sz w:val="18"/>
                <w:szCs w:val="18"/>
              </w:rPr>
              <w:t>142 (51.8%)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DD5BB1" w14:textId="77777777" w:rsidR="001C19F3" w:rsidRDefault="001C19F3" w:rsidP="00521305">
            <w:pPr>
              <w:spacing w:before="40" w:after="40"/>
              <w:ind w:left="100" w:right="100"/>
              <w:jc w:val="right"/>
            </w:pPr>
            <w:r>
              <w:rPr>
                <w:rFonts w:eastAsia="Century Gothic" w:cs="Century Gothic"/>
                <w:color w:val="000000"/>
                <w:sz w:val="18"/>
                <w:szCs w:val="18"/>
              </w:rPr>
              <w:t>164 (61.9%)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D134840" w14:textId="77777777" w:rsidR="001C19F3" w:rsidRDefault="001C19F3" w:rsidP="00521305">
            <w:pPr>
              <w:spacing w:after="0"/>
              <w:rPr>
                <w:sz w:val="22"/>
              </w:rPr>
            </w:pPr>
          </w:p>
        </w:tc>
      </w:tr>
      <w:tr w:rsidR="001C19F3" w14:paraId="0ABA0419"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3FB6E2" w14:textId="77777777" w:rsidR="001C19F3" w:rsidRDefault="001C19F3" w:rsidP="00521305">
            <w:pPr>
              <w:spacing w:before="40" w:after="40"/>
              <w:ind w:left="160" w:right="100"/>
            </w:pPr>
            <w:r>
              <w:rPr>
                <w:rFonts w:eastAsia="Century Gothic" w:cs="Century Gothic"/>
                <w:color w:val="000000"/>
                <w:sz w:val="18"/>
                <w:szCs w:val="18"/>
              </w:rPr>
              <w:t>Couple with non-dependent child(ren)</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57EE11" w14:textId="77777777" w:rsidR="001C19F3" w:rsidRDefault="001C19F3" w:rsidP="00521305">
            <w:pPr>
              <w:spacing w:before="40" w:after="40"/>
              <w:ind w:left="100" w:right="100"/>
              <w:jc w:val="center"/>
            </w:pPr>
            <w:r>
              <w:rPr>
                <w:rFonts w:eastAsia="Century Gothic" w:cs="Century Gothic"/>
                <w:color w:val="000000"/>
                <w:sz w:val="18"/>
                <w:szCs w:val="18"/>
              </w:rPr>
              <w:t>168 (8.3%)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54E694" w14:textId="77777777" w:rsidR="001C19F3" w:rsidRDefault="001C19F3" w:rsidP="00521305">
            <w:pPr>
              <w:spacing w:before="40" w:after="40"/>
              <w:ind w:left="100" w:right="100"/>
              <w:jc w:val="center"/>
            </w:pPr>
            <w:r>
              <w:rPr>
                <w:rFonts w:eastAsia="Century Gothic" w:cs="Century Gothic"/>
                <w:color w:val="000000"/>
                <w:sz w:val="18"/>
                <w:szCs w:val="18"/>
              </w:rPr>
              <w:t>43 (10.3%)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1EA4E4" w14:textId="77777777" w:rsidR="001C19F3" w:rsidRDefault="001C19F3" w:rsidP="00521305">
            <w:pPr>
              <w:spacing w:before="40" w:after="40"/>
              <w:ind w:left="100" w:right="100"/>
              <w:jc w:val="center"/>
            </w:pPr>
            <w:r>
              <w:rPr>
                <w:rFonts w:eastAsia="Century Gothic" w:cs="Century Gothic"/>
                <w:color w:val="000000"/>
                <w:sz w:val="18"/>
                <w:szCs w:val="18"/>
              </w:rPr>
              <w:t>125 (7.8%)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3A89298"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0CD445" w14:textId="77777777" w:rsidR="001C19F3" w:rsidRDefault="001C19F3" w:rsidP="00521305">
            <w:pPr>
              <w:spacing w:before="40" w:after="40"/>
              <w:ind w:left="100" w:right="100"/>
              <w:jc w:val="center"/>
            </w:pPr>
            <w:r>
              <w:rPr>
                <w:rFonts w:eastAsia="Century Gothic" w:cs="Century Gothic"/>
                <w:color w:val="000000"/>
                <w:sz w:val="18"/>
                <w:szCs w:val="18"/>
              </w:rPr>
              <w:t>146 (9.9%)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382910" w14:textId="77777777" w:rsidR="001C19F3" w:rsidRDefault="001C19F3" w:rsidP="00521305">
            <w:pPr>
              <w:spacing w:before="40" w:after="40"/>
              <w:ind w:left="100" w:right="100"/>
              <w:jc w:val="right"/>
            </w:pPr>
            <w:r>
              <w:rPr>
                <w:rFonts w:eastAsia="Century Gothic" w:cs="Century Gothic"/>
                <w:color w:val="000000"/>
                <w:sz w:val="18"/>
                <w:szCs w:val="18"/>
              </w:rPr>
              <w:t>13 (4.7%)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8C4E64" w14:textId="77777777" w:rsidR="001C19F3" w:rsidRDefault="001C19F3" w:rsidP="00521305">
            <w:pPr>
              <w:spacing w:before="40" w:after="40"/>
              <w:ind w:left="100" w:right="100"/>
              <w:jc w:val="right"/>
            </w:pPr>
            <w:r>
              <w:rPr>
                <w:rFonts w:eastAsia="Century Gothic" w:cs="Century Gothic"/>
                <w:color w:val="000000"/>
                <w:sz w:val="18"/>
                <w:szCs w:val="18"/>
              </w:rPr>
              <w:t>9 (3.4%)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AA8044F" w14:textId="77777777" w:rsidR="001C19F3" w:rsidRDefault="001C19F3" w:rsidP="00521305">
            <w:pPr>
              <w:spacing w:after="0"/>
              <w:rPr>
                <w:sz w:val="22"/>
              </w:rPr>
            </w:pPr>
          </w:p>
        </w:tc>
      </w:tr>
      <w:tr w:rsidR="001C19F3" w14:paraId="0E8E3FA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3BEBCE" w14:textId="77777777" w:rsidR="001C19F3" w:rsidRDefault="001C19F3" w:rsidP="00521305">
            <w:pPr>
              <w:spacing w:before="40" w:after="40"/>
              <w:ind w:left="160" w:right="100"/>
            </w:pPr>
            <w:r>
              <w:rPr>
                <w:rFonts w:eastAsia="Century Gothic" w:cs="Century Gothic"/>
                <w:color w:val="000000"/>
                <w:sz w:val="18"/>
                <w:szCs w:val="18"/>
              </w:rPr>
              <w:lastRenderedPageBreak/>
              <w:t>Couple with dependent child(ren)</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D20492" w14:textId="77777777" w:rsidR="001C19F3" w:rsidRDefault="001C19F3" w:rsidP="00521305">
            <w:pPr>
              <w:spacing w:before="40" w:after="40"/>
              <w:ind w:left="100" w:right="100"/>
              <w:jc w:val="center"/>
            </w:pPr>
            <w:r>
              <w:rPr>
                <w:rFonts w:eastAsia="Century Gothic" w:cs="Century Gothic"/>
                <w:color w:val="000000"/>
                <w:sz w:val="18"/>
                <w:szCs w:val="18"/>
              </w:rPr>
              <w:t>148 (7.3%)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61A7F" w14:textId="77777777" w:rsidR="001C19F3" w:rsidRDefault="001C19F3" w:rsidP="00521305">
            <w:pPr>
              <w:spacing w:before="40" w:after="40"/>
              <w:ind w:left="100" w:right="100"/>
              <w:jc w:val="center"/>
            </w:pPr>
            <w:r>
              <w:rPr>
                <w:rFonts w:eastAsia="Century Gothic" w:cs="Century Gothic"/>
                <w:color w:val="000000"/>
                <w:sz w:val="18"/>
                <w:szCs w:val="18"/>
              </w:rPr>
              <w:t>26 (6.2%)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336296" w14:textId="77777777" w:rsidR="001C19F3" w:rsidRDefault="001C19F3" w:rsidP="00521305">
            <w:pPr>
              <w:spacing w:before="40" w:after="40"/>
              <w:ind w:left="100" w:right="100"/>
              <w:jc w:val="center"/>
            </w:pPr>
            <w:r>
              <w:rPr>
                <w:rFonts w:eastAsia="Century Gothic" w:cs="Century Gothic"/>
                <w:color w:val="000000"/>
                <w:sz w:val="18"/>
                <w:szCs w:val="18"/>
              </w:rPr>
              <w:t>122 (7.6%)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959F66C"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4F7696" w14:textId="77777777" w:rsidR="001C19F3" w:rsidRDefault="001C19F3" w:rsidP="00521305">
            <w:pPr>
              <w:spacing w:before="40" w:after="40"/>
              <w:ind w:left="100" w:right="100"/>
              <w:jc w:val="center"/>
            </w:pPr>
            <w:r>
              <w:rPr>
                <w:rFonts w:eastAsia="Century Gothic" w:cs="Century Gothic"/>
                <w:color w:val="000000"/>
                <w:sz w:val="18"/>
                <w:szCs w:val="18"/>
              </w:rPr>
              <w:t>121 (8.2%)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851ACD" w14:textId="77777777" w:rsidR="001C19F3" w:rsidRDefault="001C19F3" w:rsidP="00521305">
            <w:pPr>
              <w:spacing w:before="40" w:after="40"/>
              <w:ind w:left="100" w:right="100"/>
              <w:jc w:val="right"/>
            </w:pPr>
            <w:r>
              <w:rPr>
                <w:rFonts w:eastAsia="Century Gothic" w:cs="Century Gothic"/>
                <w:color w:val="000000"/>
                <w:sz w:val="18"/>
                <w:szCs w:val="18"/>
              </w:rPr>
              <w:t>14 (5.1%)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622128" w14:textId="77777777" w:rsidR="001C19F3" w:rsidRDefault="001C19F3" w:rsidP="00521305">
            <w:pPr>
              <w:spacing w:before="40" w:after="40"/>
              <w:ind w:left="100" w:right="100"/>
              <w:jc w:val="right"/>
            </w:pPr>
            <w:r>
              <w:rPr>
                <w:rFonts w:eastAsia="Century Gothic" w:cs="Century Gothic"/>
                <w:color w:val="000000"/>
                <w:sz w:val="18"/>
                <w:szCs w:val="18"/>
              </w:rPr>
              <w:t>13 (4.9%)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A9EF0F3" w14:textId="77777777" w:rsidR="001C19F3" w:rsidRDefault="001C19F3" w:rsidP="00521305">
            <w:pPr>
              <w:spacing w:after="0"/>
              <w:rPr>
                <w:sz w:val="22"/>
              </w:rPr>
            </w:pPr>
          </w:p>
        </w:tc>
      </w:tr>
      <w:tr w:rsidR="001C19F3" w14:paraId="4D76BA8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2D4F1A" w14:textId="77777777" w:rsidR="001C19F3" w:rsidRDefault="001C19F3" w:rsidP="00521305">
            <w:pPr>
              <w:spacing w:before="40" w:after="40"/>
              <w:ind w:left="160" w:right="100"/>
            </w:pPr>
            <w:r>
              <w:rPr>
                <w:rFonts w:eastAsia="Century Gothic" w:cs="Century Gothic"/>
                <w:color w:val="000000"/>
                <w:sz w:val="18"/>
                <w:szCs w:val="18"/>
              </w:rPr>
              <w:t>Single parent w non-dependent child(ren)</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052F7" w14:textId="77777777" w:rsidR="001C19F3" w:rsidRDefault="001C19F3" w:rsidP="00521305">
            <w:pPr>
              <w:spacing w:before="40" w:after="40"/>
              <w:ind w:left="100" w:right="100"/>
              <w:jc w:val="center"/>
            </w:pPr>
            <w:r>
              <w:rPr>
                <w:rFonts w:eastAsia="Century Gothic" w:cs="Century Gothic"/>
                <w:color w:val="000000"/>
                <w:sz w:val="18"/>
                <w:szCs w:val="18"/>
              </w:rPr>
              <w:t>85 (4.2%)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BA242" w14:textId="77777777" w:rsidR="001C19F3" w:rsidRDefault="001C19F3" w:rsidP="00521305">
            <w:pPr>
              <w:spacing w:before="40" w:after="40"/>
              <w:ind w:left="100" w:right="100"/>
              <w:jc w:val="center"/>
            </w:pPr>
            <w:r>
              <w:rPr>
                <w:rFonts w:eastAsia="Century Gothic" w:cs="Century Gothic"/>
                <w:color w:val="000000"/>
                <w:sz w:val="18"/>
                <w:szCs w:val="18"/>
              </w:rPr>
              <w:t>24 (5.8%)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4C5DE6" w14:textId="77777777" w:rsidR="001C19F3" w:rsidRDefault="001C19F3" w:rsidP="00521305">
            <w:pPr>
              <w:spacing w:before="40" w:after="40"/>
              <w:ind w:left="100" w:right="100"/>
              <w:jc w:val="center"/>
            </w:pPr>
            <w:r>
              <w:rPr>
                <w:rFonts w:eastAsia="Century Gothic" w:cs="Century Gothic"/>
                <w:color w:val="000000"/>
                <w:sz w:val="18"/>
                <w:szCs w:val="18"/>
              </w:rPr>
              <w:t>61 (3.8%)</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ABB0293"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5E667E" w14:textId="77777777" w:rsidR="001C19F3" w:rsidRDefault="001C19F3" w:rsidP="00521305">
            <w:pPr>
              <w:spacing w:before="40" w:after="40"/>
              <w:ind w:left="100" w:right="100"/>
              <w:jc w:val="center"/>
            </w:pPr>
            <w:r>
              <w:rPr>
                <w:rFonts w:eastAsia="Century Gothic" w:cs="Century Gothic"/>
                <w:color w:val="000000"/>
                <w:sz w:val="18"/>
                <w:szCs w:val="18"/>
              </w:rPr>
              <w:t>65 (4.4%)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8EC63E" w14:textId="77777777" w:rsidR="001C19F3" w:rsidRDefault="001C19F3" w:rsidP="00521305">
            <w:pPr>
              <w:spacing w:before="40" w:after="40"/>
              <w:ind w:left="100" w:right="100"/>
              <w:jc w:val="right"/>
            </w:pPr>
            <w:r>
              <w:rPr>
                <w:rFonts w:eastAsia="Century Gothic" w:cs="Century Gothic"/>
                <w:color w:val="000000"/>
                <w:sz w:val="18"/>
                <w:szCs w:val="18"/>
              </w:rPr>
              <w:t>16 (5.8%)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580386"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A8C2510" w14:textId="77777777" w:rsidR="001C19F3" w:rsidRDefault="001C19F3" w:rsidP="00521305">
            <w:pPr>
              <w:spacing w:after="0"/>
              <w:rPr>
                <w:sz w:val="22"/>
              </w:rPr>
            </w:pPr>
          </w:p>
        </w:tc>
      </w:tr>
      <w:tr w:rsidR="001C19F3" w14:paraId="46A2294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DF3744" w14:textId="77777777" w:rsidR="001C19F3" w:rsidRDefault="001C19F3" w:rsidP="00521305">
            <w:pPr>
              <w:spacing w:before="40" w:after="40"/>
              <w:ind w:left="160" w:right="100"/>
            </w:pPr>
            <w:r>
              <w:rPr>
                <w:rFonts w:eastAsia="Century Gothic" w:cs="Century Gothic"/>
                <w:color w:val="000000"/>
                <w:sz w:val="18"/>
                <w:szCs w:val="18"/>
              </w:rPr>
              <w:t>Single parent with dependent child(ren)</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582490" w14:textId="77777777" w:rsidR="001C19F3" w:rsidRDefault="001C19F3" w:rsidP="00521305">
            <w:pPr>
              <w:spacing w:before="40" w:after="40"/>
              <w:ind w:left="100" w:right="100"/>
              <w:jc w:val="center"/>
            </w:pPr>
            <w:r>
              <w:rPr>
                <w:rFonts w:eastAsia="Century Gothic" w:cs="Century Gothic"/>
                <w:color w:val="000000"/>
                <w:sz w:val="18"/>
                <w:szCs w:val="18"/>
              </w:rPr>
              <w:t>36 (1.8%)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F81A1" w14:textId="77777777" w:rsidR="001C19F3" w:rsidRDefault="001C19F3" w:rsidP="00521305">
            <w:pPr>
              <w:spacing w:before="40" w:after="40"/>
              <w:ind w:left="100" w:right="100"/>
              <w:jc w:val="center"/>
            </w:pPr>
            <w:r>
              <w:rPr>
                <w:rFonts w:eastAsia="Century Gothic" w:cs="Century Gothic"/>
                <w:color w:val="000000"/>
                <w:sz w:val="18"/>
                <w:szCs w:val="18"/>
              </w:rPr>
              <w:t>4 (1.0%)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9CC4BF" w14:textId="77777777" w:rsidR="001C19F3" w:rsidRDefault="001C19F3" w:rsidP="00521305">
            <w:pPr>
              <w:spacing w:before="40" w:after="40"/>
              <w:ind w:left="100" w:right="100"/>
              <w:jc w:val="center"/>
            </w:pPr>
            <w:r>
              <w:rPr>
                <w:rFonts w:eastAsia="Century Gothic" w:cs="Century Gothic"/>
                <w:color w:val="000000"/>
                <w:sz w:val="18"/>
                <w:szCs w:val="18"/>
              </w:rPr>
              <w:t>32 (2.0%)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B34A344"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680CF0" w14:textId="77777777" w:rsidR="001C19F3" w:rsidRDefault="001C19F3" w:rsidP="00521305">
            <w:pPr>
              <w:spacing w:before="40" w:after="40"/>
              <w:ind w:left="100" w:right="100"/>
              <w:jc w:val="center"/>
            </w:pPr>
            <w:r>
              <w:rPr>
                <w:rFonts w:eastAsia="Century Gothic" w:cs="Century Gothic"/>
                <w:color w:val="000000"/>
                <w:sz w:val="18"/>
                <w:szCs w:val="18"/>
              </w:rPr>
              <w:t>28 (1.9%)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C55DF5" w14:textId="77777777" w:rsidR="001C19F3" w:rsidRDefault="001C19F3" w:rsidP="00521305">
            <w:pPr>
              <w:spacing w:before="40" w:after="40"/>
              <w:ind w:left="100" w:right="100"/>
              <w:jc w:val="right"/>
            </w:pPr>
            <w:r>
              <w:rPr>
                <w:rFonts w:eastAsia="Century Gothic" w:cs="Century Gothic"/>
                <w:color w:val="000000"/>
                <w:sz w:val="18"/>
                <w:szCs w:val="18"/>
              </w:rPr>
              <w:t>5 (1.8%)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B242C3"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AB82CF9" w14:textId="77777777" w:rsidR="001C19F3" w:rsidRDefault="001C19F3" w:rsidP="00521305">
            <w:pPr>
              <w:spacing w:after="0"/>
              <w:rPr>
                <w:sz w:val="22"/>
              </w:rPr>
            </w:pPr>
          </w:p>
        </w:tc>
      </w:tr>
      <w:tr w:rsidR="001C19F3" w14:paraId="75A928A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16FE1B" w14:textId="77777777" w:rsidR="001C19F3" w:rsidRDefault="001C19F3" w:rsidP="00521305">
            <w:pPr>
              <w:spacing w:before="40" w:after="40"/>
              <w:ind w:left="160" w:right="100"/>
            </w:pPr>
            <w:r>
              <w:rPr>
                <w:rFonts w:eastAsia="Century Gothic" w:cs="Century Gothic"/>
                <w:color w:val="000000"/>
                <w:sz w:val="18"/>
                <w:szCs w:val="18"/>
              </w:rPr>
              <w:t>Other household type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1F462C" w14:textId="77777777" w:rsidR="001C19F3" w:rsidRDefault="001C19F3" w:rsidP="00521305">
            <w:pPr>
              <w:spacing w:before="40" w:after="40"/>
              <w:ind w:left="100" w:right="100"/>
              <w:jc w:val="center"/>
            </w:pPr>
            <w:r>
              <w:rPr>
                <w:rFonts w:eastAsia="Century Gothic" w:cs="Century Gothic"/>
                <w:color w:val="000000"/>
                <w:sz w:val="18"/>
                <w:szCs w:val="18"/>
              </w:rPr>
              <w:t>161 (8.0%)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D3E333" w14:textId="77777777" w:rsidR="001C19F3" w:rsidRDefault="001C19F3" w:rsidP="00521305">
            <w:pPr>
              <w:spacing w:before="40" w:after="40"/>
              <w:ind w:left="100" w:right="100"/>
              <w:jc w:val="center"/>
            </w:pPr>
            <w:r>
              <w:rPr>
                <w:rFonts w:eastAsia="Century Gothic" w:cs="Century Gothic"/>
                <w:color w:val="000000"/>
                <w:sz w:val="18"/>
                <w:szCs w:val="18"/>
              </w:rPr>
              <w:t>35 (8.4%)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BFCD82" w14:textId="77777777" w:rsidR="001C19F3" w:rsidRDefault="001C19F3" w:rsidP="00521305">
            <w:pPr>
              <w:spacing w:before="40" w:after="40"/>
              <w:ind w:left="100" w:right="100"/>
              <w:jc w:val="center"/>
            </w:pPr>
            <w:r>
              <w:rPr>
                <w:rFonts w:eastAsia="Century Gothic" w:cs="Century Gothic"/>
                <w:color w:val="000000"/>
                <w:sz w:val="18"/>
                <w:szCs w:val="18"/>
              </w:rPr>
              <w:t>126 (7.9%)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793BAD9E"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808BDA" w14:textId="77777777" w:rsidR="001C19F3" w:rsidRDefault="001C19F3" w:rsidP="00521305">
            <w:pPr>
              <w:spacing w:before="40" w:after="40"/>
              <w:ind w:left="100" w:right="100"/>
              <w:jc w:val="center"/>
            </w:pPr>
            <w:r>
              <w:rPr>
                <w:rFonts w:eastAsia="Century Gothic" w:cs="Century Gothic"/>
                <w:color w:val="000000"/>
                <w:sz w:val="18"/>
                <w:szCs w:val="18"/>
              </w:rPr>
              <w:t>135 (9.1%)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81CAA4" w14:textId="77777777" w:rsidR="001C19F3" w:rsidRDefault="001C19F3" w:rsidP="00521305">
            <w:pPr>
              <w:spacing w:before="40" w:after="40"/>
              <w:ind w:left="100" w:right="100"/>
              <w:jc w:val="right"/>
            </w:pPr>
            <w:r>
              <w:rPr>
                <w:rFonts w:eastAsia="Century Gothic" w:cs="Century Gothic"/>
                <w:color w:val="000000"/>
                <w:sz w:val="18"/>
                <w:szCs w:val="18"/>
              </w:rPr>
              <w:t>17 (6.2%)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47C201" w14:textId="77777777" w:rsidR="001C19F3" w:rsidRDefault="001C19F3" w:rsidP="00521305">
            <w:pPr>
              <w:spacing w:before="40" w:after="40"/>
              <w:ind w:left="100" w:right="100"/>
              <w:jc w:val="right"/>
            </w:pPr>
            <w:r>
              <w:rPr>
                <w:rFonts w:eastAsia="Century Gothic" w:cs="Century Gothic"/>
                <w:color w:val="000000"/>
                <w:sz w:val="18"/>
                <w:szCs w:val="18"/>
              </w:rPr>
              <w:t>9 (3.4%)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4EA9028" w14:textId="77777777" w:rsidR="001C19F3" w:rsidRDefault="001C19F3" w:rsidP="00521305">
            <w:pPr>
              <w:spacing w:after="0"/>
              <w:rPr>
                <w:sz w:val="22"/>
              </w:rPr>
            </w:pPr>
          </w:p>
        </w:tc>
      </w:tr>
      <w:tr w:rsidR="001C19F3" w14:paraId="4D6E0A2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8A15AA" w14:textId="77777777" w:rsidR="001C19F3" w:rsidRDefault="001C19F3" w:rsidP="00521305">
            <w:pPr>
              <w:spacing w:before="40" w:after="40"/>
              <w:ind w:left="100" w:right="100"/>
            </w:pPr>
            <w:r>
              <w:rPr>
                <w:rFonts w:eastAsia="Century Gothic" w:cs="Century Gothic"/>
                <w:b/>
                <w:color w:val="000000"/>
                <w:sz w:val="18"/>
                <w:szCs w:val="18"/>
              </w:rPr>
              <w:t>A9 Help provided to patient and answering the survey</w:t>
            </w:r>
          </w:p>
        </w:tc>
      </w:tr>
      <w:tr w:rsidR="001C19F3" w14:paraId="5561C6D5"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893E16" w14:textId="77777777" w:rsidR="001C19F3" w:rsidRDefault="001C19F3" w:rsidP="00521305">
            <w:pPr>
              <w:spacing w:before="40" w:after="40"/>
              <w:ind w:left="160" w:right="100"/>
            </w:pPr>
            <w:r>
              <w:rPr>
                <w:rFonts w:eastAsia="Century Gothic" w:cs="Century Gothic"/>
                <w:color w:val="000000"/>
                <w:sz w:val="18"/>
                <w:szCs w:val="18"/>
              </w:rPr>
              <w:t>Yes - answered for them (proxy)</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1F8E62" w14:textId="77777777" w:rsidR="001C19F3" w:rsidRDefault="001C19F3" w:rsidP="00521305">
            <w:pPr>
              <w:spacing w:before="40" w:after="40"/>
              <w:ind w:left="100" w:right="100"/>
              <w:jc w:val="center"/>
            </w:pPr>
            <w:r>
              <w:rPr>
                <w:rFonts w:eastAsia="Century Gothic" w:cs="Century Gothic"/>
                <w:color w:val="000000"/>
                <w:sz w:val="18"/>
                <w:szCs w:val="18"/>
              </w:rPr>
              <w:t>113 (5.6%)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62EE1" w14:textId="77777777" w:rsidR="001C19F3" w:rsidRDefault="001C19F3" w:rsidP="00521305">
            <w:pPr>
              <w:spacing w:before="40" w:after="40"/>
              <w:ind w:left="100" w:right="100"/>
              <w:jc w:val="center"/>
            </w:pPr>
            <w:r>
              <w:rPr>
                <w:rFonts w:eastAsia="Century Gothic" w:cs="Century Gothic"/>
                <w:color w:val="000000"/>
                <w:sz w:val="18"/>
                <w:szCs w:val="18"/>
              </w:rPr>
              <w:t>44 (10.6%)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612915" w14:textId="77777777" w:rsidR="001C19F3" w:rsidRDefault="001C19F3" w:rsidP="00521305">
            <w:pPr>
              <w:spacing w:before="40" w:after="40"/>
              <w:ind w:left="100" w:right="100"/>
              <w:jc w:val="center"/>
            </w:pPr>
            <w:r>
              <w:rPr>
                <w:rFonts w:eastAsia="Century Gothic" w:cs="Century Gothic"/>
                <w:color w:val="000000"/>
                <w:sz w:val="18"/>
                <w:szCs w:val="18"/>
              </w:rPr>
              <w:t>69 (4.3%)</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1DF12"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87AA94" w14:textId="77777777" w:rsidR="001C19F3" w:rsidRDefault="001C19F3" w:rsidP="00521305">
            <w:pPr>
              <w:spacing w:before="40" w:after="40"/>
              <w:ind w:left="100" w:right="100"/>
              <w:jc w:val="center"/>
            </w:pPr>
            <w:r>
              <w:rPr>
                <w:rFonts w:eastAsia="Century Gothic" w:cs="Century Gothic"/>
                <w:color w:val="000000"/>
                <w:sz w:val="18"/>
                <w:szCs w:val="18"/>
              </w:rPr>
              <w:t>97 (6.6%)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A7BEF7"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55E359" w14:textId="77777777" w:rsidR="001C19F3" w:rsidRDefault="001C19F3" w:rsidP="00521305">
            <w:pPr>
              <w:spacing w:before="40" w:after="40"/>
              <w:ind w:left="100" w:right="100"/>
              <w:jc w:val="right"/>
            </w:pPr>
            <w:r>
              <w:rPr>
                <w:rFonts w:eastAsia="Century Gothic" w:cs="Century Gothic"/>
                <w:color w:val="000000"/>
                <w:sz w:val="18"/>
                <w:szCs w:val="18"/>
              </w:rPr>
              <w:t>12 (4.5%)</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F8A19" w14:textId="77777777" w:rsidR="001C19F3" w:rsidRDefault="001C19F3" w:rsidP="00521305">
            <w:pPr>
              <w:spacing w:before="40" w:after="40"/>
              <w:ind w:left="100" w:right="100"/>
              <w:jc w:val="right"/>
            </w:pPr>
            <w:r>
              <w:rPr>
                <w:rFonts w:eastAsia="Century Gothic" w:cs="Century Gothic"/>
                <w:color w:val="000000"/>
                <w:sz w:val="18"/>
                <w:szCs w:val="18"/>
              </w:rPr>
              <w:t>0.012</w:t>
            </w:r>
          </w:p>
        </w:tc>
      </w:tr>
      <w:tr w:rsidR="001C19F3" w14:paraId="2F2B419C"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15CCD8" w14:textId="77777777" w:rsidR="001C19F3" w:rsidRDefault="001C19F3" w:rsidP="00521305">
            <w:pPr>
              <w:spacing w:before="40" w:after="40"/>
              <w:ind w:left="160" w:right="100"/>
            </w:pPr>
            <w:r>
              <w:rPr>
                <w:rFonts w:eastAsia="Century Gothic" w:cs="Century Gothic"/>
                <w:color w:val="000000"/>
                <w:sz w:val="18"/>
                <w:szCs w:val="18"/>
              </w:rPr>
              <w:t>Yes - helped them answer some questions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6050CA" w14:textId="77777777" w:rsidR="001C19F3" w:rsidRDefault="001C19F3" w:rsidP="00521305">
            <w:pPr>
              <w:spacing w:before="40" w:after="40"/>
              <w:ind w:left="100" w:right="100"/>
              <w:jc w:val="center"/>
            </w:pPr>
            <w:r>
              <w:rPr>
                <w:rFonts w:eastAsia="Century Gothic" w:cs="Century Gothic"/>
                <w:color w:val="000000"/>
                <w:sz w:val="18"/>
                <w:szCs w:val="18"/>
              </w:rPr>
              <w:t>75 (3.7%)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081274" w14:textId="77777777" w:rsidR="001C19F3" w:rsidRDefault="001C19F3" w:rsidP="00521305">
            <w:pPr>
              <w:spacing w:before="40" w:after="40"/>
              <w:ind w:left="100" w:right="100"/>
              <w:jc w:val="center"/>
            </w:pPr>
            <w:r>
              <w:rPr>
                <w:rFonts w:eastAsia="Century Gothic" w:cs="Century Gothic"/>
                <w:color w:val="000000"/>
                <w:sz w:val="18"/>
                <w:szCs w:val="18"/>
              </w:rPr>
              <w:t>19 (4.6%)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B8A10A" w14:textId="77777777" w:rsidR="001C19F3" w:rsidRDefault="001C19F3" w:rsidP="00521305">
            <w:pPr>
              <w:spacing w:before="40" w:after="40"/>
              <w:ind w:left="100" w:right="100"/>
              <w:jc w:val="center"/>
            </w:pPr>
            <w:r>
              <w:rPr>
                <w:rFonts w:eastAsia="Century Gothic" w:cs="Century Gothic"/>
                <w:color w:val="000000"/>
                <w:sz w:val="18"/>
                <w:szCs w:val="18"/>
              </w:rPr>
              <w:t>56 (3.5%)</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E06DF9E"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BD61DB" w14:textId="77777777" w:rsidR="001C19F3" w:rsidRDefault="001C19F3" w:rsidP="00521305">
            <w:pPr>
              <w:spacing w:before="40" w:after="40"/>
              <w:ind w:left="100" w:right="100"/>
              <w:jc w:val="center"/>
            </w:pPr>
            <w:r>
              <w:rPr>
                <w:rFonts w:eastAsia="Century Gothic" w:cs="Century Gothic"/>
                <w:color w:val="000000"/>
                <w:sz w:val="18"/>
                <w:szCs w:val="18"/>
              </w:rPr>
              <w:t>56 (3.8%)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5FBD89" w14:textId="77777777" w:rsidR="001C19F3" w:rsidRDefault="001C19F3" w:rsidP="00521305">
            <w:pPr>
              <w:spacing w:before="40" w:after="40"/>
              <w:ind w:left="100" w:right="100"/>
              <w:jc w:val="right"/>
            </w:pPr>
            <w:r>
              <w:rPr>
                <w:rFonts w:eastAsia="Century Gothic" w:cs="Century Gothic"/>
                <w:color w:val="000000"/>
                <w:sz w:val="18"/>
                <w:szCs w:val="18"/>
              </w:rPr>
              <w:t>8 (2.9%)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F72CB3" w14:textId="77777777" w:rsidR="001C19F3" w:rsidRDefault="001C19F3" w:rsidP="00521305">
            <w:pPr>
              <w:spacing w:before="40" w:after="40"/>
              <w:ind w:left="100" w:right="100"/>
              <w:jc w:val="right"/>
            </w:pPr>
            <w:r>
              <w:rPr>
                <w:rFonts w:eastAsia="Century Gothic" w:cs="Century Gothic"/>
                <w:color w:val="000000"/>
                <w:sz w:val="18"/>
                <w:szCs w:val="18"/>
              </w:rPr>
              <w:t>11 (4.2%)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07AB97F" w14:textId="77777777" w:rsidR="001C19F3" w:rsidRDefault="001C19F3" w:rsidP="00521305">
            <w:pPr>
              <w:spacing w:after="0"/>
              <w:rPr>
                <w:sz w:val="22"/>
              </w:rPr>
            </w:pPr>
          </w:p>
        </w:tc>
      </w:tr>
      <w:tr w:rsidR="001C19F3" w14:paraId="5562F95B"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80DCE8" w14:textId="77777777" w:rsidR="001C19F3" w:rsidRDefault="001C19F3" w:rsidP="00521305">
            <w:pPr>
              <w:spacing w:before="40" w:after="40"/>
              <w:ind w:left="160" w:right="100"/>
            </w:pPr>
            <w:r>
              <w:rPr>
                <w:rFonts w:eastAsia="Century Gothic" w:cs="Century Gothic"/>
                <w:color w:val="000000"/>
                <w:sz w:val="18"/>
                <w:szCs w:val="18"/>
              </w:rPr>
              <w:t>No - did not need any help</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A784F3" w14:textId="77777777" w:rsidR="001C19F3" w:rsidRDefault="001C19F3" w:rsidP="00521305">
            <w:pPr>
              <w:spacing w:before="40" w:after="40"/>
              <w:ind w:left="100" w:right="100"/>
              <w:jc w:val="center"/>
            </w:pPr>
            <w:r>
              <w:rPr>
                <w:rFonts w:eastAsia="Century Gothic" w:cs="Century Gothic"/>
                <w:color w:val="000000"/>
                <w:sz w:val="18"/>
                <w:szCs w:val="18"/>
              </w:rPr>
              <w:t>1,830 (90.7%)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A441DB" w14:textId="77777777" w:rsidR="001C19F3" w:rsidRDefault="001C19F3" w:rsidP="00521305">
            <w:pPr>
              <w:spacing w:before="40" w:after="40"/>
              <w:ind w:left="100" w:right="100"/>
              <w:jc w:val="center"/>
            </w:pPr>
            <w:r>
              <w:rPr>
                <w:rFonts w:eastAsia="Century Gothic" w:cs="Century Gothic"/>
                <w:color w:val="000000"/>
                <w:sz w:val="18"/>
                <w:szCs w:val="18"/>
              </w:rPr>
              <w:t>353 (84.9%)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7F57C3" w14:textId="77777777" w:rsidR="001C19F3" w:rsidRDefault="001C19F3" w:rsidP="00521305">
            <w:pPr>
              <w:spacing w:before="40" w:after="40"/>
              <w:ind w:left="100" w:right="100"/>
              <w:jc w:val="center"/>
            </w:pPr>
            <w:r>
              <w:rPr>
                <w:rFonts w:eastAsia="Century Gothic" w:cs="Century Gothic"/>
                <w:color w:val="000000"/>
                <w:sz w:val="18"/>
                <w:szCs w:val="18"/>
              </w:rPr>
              <w:t>1,477 (92.2%)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30568837"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B47E8D" w14:textId="77777777" w:rsidR="001C19F3" w:rsidRDefault="001C19F3" w:rsidP="00521305">
            <w:pPr>
              <w:spacing w:before="40" w:after="40"/>
              <w:ind w:left="100" w:right="100"/>
              <w:jc w:val="center"/>
            </w:pPr>
            <w:r>
              <w:rPr>
                <w:rFonts w:eastAsia="Century Gothic" w:cs="Century Gothic"/>
                <w:color w:val="000000"/>
                <w:sz w:val="18"/>
                <w:szCs w:val="18"/>
              </w:rPr>
              <w:t>1,326 (89.7%)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679AA9" w14:textId="77777777" w:rsidR="001C19F3" w:rsidRDefault="001C19F3" w:rsidP="00521305">
            <w:pPr>
              <w:spacing w:before="40" w:after="40"/>
              <w:ind w:left="100" w:right="100"/>
              <w:jc w:val="right"/>
            </w:pPr>
            <w:r>
              <w:rPr>
                <w:rFonts w:eastAsia="Century Gothic" w:cs="Century Gothic"/>
                <w:color w:val="000000"/>
                <w:sz w:val="18"/>
                <w:szCs w:val="18"/>
              </w:rPr>
              <w:t>262 (95.6%)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A526C4" w14:textId="77777777" w:rsidR="001C19F3" w:rsidRDefault="001C19F3" w:rsidP="00521305">
            <w:pPr>
              <w:spacing w:before="40" w:after="40"/>
              <w:ind w:left="100" w:right="100"/>
              <w:jc w:val="right"/>
            </w:pPr>
            <w:r>
              <w:rPr>
                <w:rFonts w:eastAsia="Century Gothic" w:cs="Century Gothic"/>
                <w:color w:val="000000"/>
                <w:sz w:val="18"/>
                <w:szCs w:val="18"/>
              </w:rPr>
              <w:t>242 (91.3%)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0CD0C71" w14:textId="77777777" w:rsidR="001C19F3" w:rsidRDefault="001C19F3" w:rsidP="00521305">
            <w:pPr>
              <w:spacing w:after="0"/>
              <w:rPr>
                <w:sz w:val="22"/>
              </w:rPr>
            </w:pPr>
          </w:p>
        </w:tc>
      </w:tr>
    </w:tbl>
    <w:p w14:paraId="5104FBA4"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473690E1" w14:textId="77777777" w:rsidR="001C19F3" w:rsidRDefault="001C19F3" w:rsidP="001C19F3">
      <w:pPr>
        <w:pStyle w:val="Caption1"/>
      </w:pPr>
      <w:r>
        <w:t xml:space="preserve">Table </w:t>
      </w:r>
      <w:r>
        <w:fldChar w:fldCharType="begin"/>
      </w:r>
      <w:r>
        <w:instrText>SEQ Table \* ARABIC</w:instrText>
      </w:r>
      <w:r>
        <w:fldChar w:fldCharType="separate"/>
      </w:r>
      <w:r>
        <w:rPr>
          <w:noProof/>
        </w:rPr>
        <w:t>72</w:t>
      </w:r>
      <w:r>
        <w:fldChar w:fldCharType="end"/>
      </w:r>
      <w:r>
        <w:t xml:space="preserve"> – B Patient use of HCH practice by practice ownership type and practice location</w:t>
      </w:r>
    </w:p>
    <w:tbl>
      <w:tblPr>
        <w:tblW w:w="15120" w:type="dxa"/>
        <w:jc w:val="center"/>
        <w:tblLayout w:type="fixed"/>
        <w:tblLook w:val="04A0" w:firstRow="1" w:lastRow="0" w:firstColumn="1" w:lastColumn="0" w:noHBand="0" w:noVBand="1"/>
      </w:tblPr>
      <w:tblGrid>
        <w:gridCol w:w="4101"/>
        <w:gridCol w:w="1559"/>
        <w:gridCol w:w="1418"/>
        <w:gridCol w:w="1417"/>
        <w:gridCol w:w="1276"/>
        <w:gridCol w:w="1418"/>
        <w:gridCol w:w="1417"/>
        <w:gridCol w:w="1418"/>
        <w:gridCol w:w="1096"/>
      </w:tblGrid>
      <w:tr w:rsidR="001C19F3" w14:paraId="53FF1878" w14:textId="77777777" w:rsidTr="00521305">
        <w:trPr>
          <w:cantSplit/>
          <w:trHeight w:val="333"/>
          <w:tblHeader/>
          <w:jc w:val="center"/>
        </w:trPr>
        <w:tc>
          <w:tcPr>
            <w:tcW w:w="4101"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360DA76" w14:textId="77777777" w:rsidR="001C19F3" w:rsidRDefault="001C19F3" w:rsidP="00521305">
            <w:pPr>
              <w:spacing w:after="0"/>
              <w:jc w:val="center"/>
            </w:pPr>
            <w:r>
              <w:rPr>
                <w:rFonts w:eastAsia="Century Gothic" w:cs="Century Gothic"/>
                <w:b/>
                <w:color w:val="FFFFFF"/>
                <w:sz w:val="18"/>
                <w:szCs w:val="18"/>
              </w:rPr>
              <w:t>Patient use of HCH practice</w:t>
            </w:r>
          </w:p>
        </w:tc>
        <w:tc>
          <w:tcPr>
            <w:tcW w:w="155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5A9A8BA" w14:textId="77777777" w:rsidR="001C19F3" w:rsidRDefault="001C19F3" w:rsidP="00521305">
            <w:pPr>
              <w:spacing w:after="0"/>
              <w:jc w:val="center"/>
            </w:pPr>
            <w:r>
              <w:rPr>
                <w:rFonts w:eastAsia="Century Gothic" w:cs="Century Gothic"/>
                <w:b/>
                <w:color w:val="FFFFFF"/>
                <w:sz w:val="18"/>
                <w:szCs w:val="18"/>
              </w:rPr>
              <w:t>Total</w:t>
            </w:r>
          </w:p>
        </w:tc>
        <w:tc>
          <w:tcPr>
            <w:tcW w:w="4111"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8BAA276" w14:textId="77777777" w:rsidR="001C19F3" w:rsidRDefault="001C19F3" w:rsidP="00521305">
            <w:pPr>
              <w:spacing w:after="0"/>
              <w:jc w:val="center"/>
            </w:pPr>
            <w:r>
              <w:rPr>
                <w:rFonts w:eastAsia="Century Gothic" w:cs="Century Gothic"/>
                <w:b/>
                <w:color w:val="FFFFFF"/>
                <w:sz w:val="18"/>
                <w:szCs w:val="18"/>
              </w:rPr>
              <w:t>Type</w:t>
            </w:r>
          </w:p>
        </w:tc>
        <w:tc>
          <w:tcPr>
            <w:tcW w:w="5349"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AF7803B" w14:textId="77777777" w:rsidR="001C19F3" w:rsidRDefault="001C19F3" w:rsidP="00521305">
            <w:pPr>
              <w:spacing w:after="0"/>
              <w:jc w:val="center"/>
            </w:pPr>
            <w:r>
              <w:rPr>
                <w:rFonts w:eastAsia="Century Gothic" w:cs="Century Gothic"/>
                <w:b/>
                <w:color w:val="FFFFFF"/>
                <w:sz w:val="18"/>
                <w:szCs w:val="18"/>
              </w:rPr>
              <w:t>Location</w:t>
            </w:r>
          </w:p>
        </w:tc>
      </w:tr>
      <w:tr w:rsidR="001C19F3" w14:paraId="3D722711" w14:textId="77777777" w:rsidTr="00521305">
        <w:trPr>
          <w:cantSplit/>
          <w:trHeight w:val="330"/>
          <w:tblHeader/>
          <w:jc w:val="center"/>
        </w:trPr>
        <w:tc>
          <w:tcPr>
            <w:tcW w:w="4101" w:type="dxa"/>
            <w:vMerge/>
            <w:tcBorders>
              <w:top w:val="single" w:sz="8" w:space="0" w:color="BFBFBF"/>
              <w:left w:val="single" w:sz="8" w:space="0" w:color="BFBFBF"/>
              <w:bottom w:val="single" w:sz="8" w:space="0" w:color="BFBFBF"/>
              <w:right w:val="single" w:sz="8" w:space="0" w:color="BFBFBF"/>
            </w:tcBorders>
            <w:vAlign w:val="center"/>
            <w:hideMark/>
          </w:tcPr>
          <w:p w14:paraId="7C5AA6E8" w14:textId="77777777" w:rsidR="001C19F3" w:rsidRDefault="001C19F3" w:rsidP="00521305">
            <w:pPr>
              <w:spacing w:after="0"/>
              <w:rPr>
                <w:sz w:val="22"/>
              </w:rPr>
            </w:pPr>
          </w:p>
        </w:tc>
        <w:tc>
          <w:tcPr>
            <w:tcW w:w="1559" w:type="dxa"/>
            <w:vMerge/>
            <w:tcBorders>
              <w:top w:val="single" w:sz="8" w:space="0" w:color="BFBFBF"/>
              <w:left w:val="single" w:sz="8" w:space="0" w:color="BFBFBF"/>
              <w:bottom w:val="single" w:sz="8" w:space="0" w:color="BFBFBF"/>
              <w:right w:val="single" w:sz="8" w:space="0" w:color="BFBFBF"/>
            </w:tcBorders>
            <w:vAlign w:val="center"/>
            <w:hideMark/>
          </w:tcPr>
          <w:p w14:paraId="3CC20107"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9AE2F00" w14:textId="77777777" w:rsidR="001C19F3" w:rsidRDefault="001C19F3" w:rsidP="00521305">
            <w:pPr>
              <w:spacing w:after="0"/>
              <w:jc w:val="center"/>
            </w:pPr>
            <w:r>
              <w:rPr>
                <w:rFonts w:eastAsia="Century Gothic" w:cs="Century Gothic"/>
                <w:b/>
                <w:color w:val="FFFFFF"/>
                <w:sz w:val="18"/>
                <w:szCs w:val="18"/>
              </w:rPr>
              <w:t>Corporate</w:t>
            </w: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A4DFB74" w14:textId="77777777" w:rsidR="001C19F3" w:rsidRDefault="001C19F3" w:rsidP="00521305">
            <w:pPr>
              <w:spacing w:after="0"/>
              <w:jc w:val="center"/>
            </w:pPr>
            <w:r>
              <w:rPr>
                <w:rFonts w:eastAsia="Century Gothic" w:cs="Century Gothic"/>
                <w:b/>
                <w:color w:val="FFFFFF"/>
                <w:sz w:val="18"/>
                <w:szCs w:val="18"/>
              </w:rPr>
              <w:t>Other</w:t>
            </w:r>
          </w:p>
        </w:tc>
        <w:tc>
          <w:tcPr>
            <w:tcW w:w="127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CB44CB6"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EFA51A" w14:textId="77777777" w:rsidR="001C19F3" w:rsidRDefault="001C19F3" w:rsidP="00521305">
            <w:pPr>
              <w:spacing w:after="0"/>
              <w:jc w:val="center"/>
            </w:pPr>
            <w:r>
              <w:rPr>
                <w:rFonts w:eastAsia="Century Gothic" w:cs="Century Gothic"/>
                <w:b/>
                <w:color w:val="FFFFFF"/>
                <w:sz w:val="18"/>
                <w:szCs w:val="18"/>
              </w:rPr>
              <w:t>MMM 1</w:t>
            </w:r>
          </w:p>
        </w:tc>
        <w:tc>
          <w:tcPr>
            <w:tcW w:w="141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39DBF1F" w14:textId="77777777" w:rsidR="001C19F3" w:rsidRDefault="001C19F3" w:rsidP="00521305">
            <w:pPr>
              <w:spacing w:after="0"/>
              <w:jc w:val="center"/>
            </w:pPr>
            <w:r>
              <w:rPr>
                <w:rFonts w:eastAsia="Century Gothic" w:cs="Century Gothic"/>
                <w:b/>
                <w:color w:val="FFFFFF"/>
                <w:sz w:val="18"/>
                <w:szCs w:val="18"/>
              </w:rPr>
              <w:t>MMM 2/3</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B9D8A9" w14:textId="77777777" w:rsidR="001C19F3" w:rsidRDefault="001C19F3" w:rsidP="00521305">
            <w:pPr>
              <w:spacing w:after="0"/>
              <w:jc w:val="center"/>
            </w:pPr>
            <w:r>
              <w:rPr>
                <w:rFonts w:eastAsia="Century Gothic" w:cs="Century Gothic"/>
                <w:b/>
                <w:color w:val="FFFFFF"/>
                <w:sz w:val="18"/>
                <w:szCs w:val="18"/>
              </w:rPr>
              <w:t>MMM 4+</w:t>
            </w:r>
          </w:p>
        </w:tc>
        <w:tc>
          <w:tcPr>
            <w:tcW w:w="109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5B9A16B"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54245B6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17C8F" w14:textId="77777777" w:rsidR="001C19F3" w:rsidRDefault="001C19F3" w:rsidP="00521305">
            <w:pPr>
              <w:spacing w:before="40" w:after="40"/>
              <w:ind w:left="100" w:right="100"/>
            </w:pPr>
            <w:r>
              <w:rPr>
                <w:rFonts w:eastAsia="Century Gothic" w:cs="Century Gothic"/>
                <w:b/>
                <w:color w:val="000000"/>
                <w:sz w:val="18"/>
                <w:szCs w:val="18"/>
              </w:rPr>
              <w:t>B1 HCH practice is the GP practice that patient usually attends (Q2)</w:t>
            </w:r>
          </w:p>
        </w:tc>
      </w:tr>
      <w:tr w:rsidR="001C19F3" w14:paraId="7C04B11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D470DE" w14:textId="77777777" w:rsidR="001C19F3" w:rsidRDefault="001C19F3" w:rsidP="00521305">
            <w:pPr>
              <w:spacing w:before="40" w:after="40"/>
              <w:ind w:left="160" w:right="100"/>
            </w:pPr>
            <w:r>
              <w:rPr>
                <w:rFonts w:eastAsia="Century Gothic" w:cs="Century Gothic"/>
                <w:color w:val="000000"/>
                <w:sz w:val="18"/>
                <w:szCs w:val="18"/>
              </w:rPr>
              <w:t>Yes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AA953" w14:textId="77777777" w:rsidR="001C19F3" w:rsidRDefault="001C19F3" w:rsidP="00521305">
            <w:pPr>
              <w:spacing w:before="40" w:after="40"/>
              <w:ind w:left="100" w:right="100"/>
              <w:jc w:val="center"/>
            </w:pPr>
            <w:r>
              <w:rPr>
                <w:rFonts w:eastAsia="Century Gothic" w:cs="Century Gothic"/>
                <w:color w:val="000000"/>
                <w:sz w:val="18"/>
                <w:szCs w:val="18"/>
              </w:rPr>
              <w:t>1,983 (98.3%)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3EA33B" w14:textId="77777777" w:rsidR="001C19F3" w:rsidRDefault="001C19F3" w:rsidP="00521305">
            <w:pPr>
              <w:spacing w:before="40" w:after="40"/>
              <w:ind w:left="100" w:right="100"/>
              <w:jc w:val="center"/>
            </w:pPr>
            <w:r>
              <w:rPr>
                <w:rFonts w:eastAsia="Century Gothic" w:cs="Century Gothic"/>
                <w:color w:val="000000"/>
                <w:sz w:val="18"/>
                <w:szCs w:val="18"/>
              </w:rPr>
              <w:t>415 (99.8%)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08CC3F" w14:textId="77777777" w:rsidR="001C19F3" w:rsidRDefault="001C19F3" w:rsidP="00521305">
            <w:pPr>
              <w:spacing w:before="40" w:after="40"/>
              <w:ind w:left="100" w:right="100"/>
              <w:jc w:val="center"/>
            </w:pPr>
            <w:r>
              <w:rPr>
                <w:rFonts w:eastAsia="Century Gothic" w:cs="Century Gothic"/>
                <w:color w:val="000000"/>
                <w:sz w:val="18"/>
                <w:szCs w:val="18"/>
              </w:rPr>
              <w:t>1,568 (98.1%)</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08779" w14:textId="77777777" w:rsidR="001C19F3" w:rsidRDefault="001C19F3" w:rsidP="00521305">
            <w:pPr>
              <w:spacing w:before="40" w:after="40"/>
              <w:ind w:left="100" w:right="100"/>
              <w:jc w:val="center"/>
            </w:pPr>
            <w:r>
              <w:rPr>
                <w:rFonts w:eastAsia="Century Gothic" w:cs="Century Gothic"/>
                <w:color w:val="000000"/>
                <w:sz w:val="18"/>
                <w:szCs w:val="18"/>
              </w:rPr>
              <w:t>0.025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A9E6B9" w14:textId="77777777" w:rsidR="001C19F3" w:rsidRDefault="001C19F3" w:rsidP="00521305">
            <w:pPr>
              <w:spacing w:before="40" w:after="40"/>
              <w:ind w:left="100" w:right="100"/>
              <w:jc w:val="center"/>
            </w:pPr>
            <w:r>
              <w:rPr>
                <w:rFonts w:eastAsia="Century Gothic" w:cs="Century Gothic"/>
                <w:color w:val="000000"/>
                <w:sz w:val="18"/>
                <w:szCs w:val="18"/>
              </w:rPr>
              <w:t>1,447 (98.0%)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054923" w14:textId="77777777" w:rsidR="001C19F3" w:rsidRDefault="001C19F3" w:rsidP="00521305">
            <w:pPr>
              <w:spacing w:before="40" w:after="40"/>
              <w:ind w:left="100" w:right="100"/>
              <w:jc w:val="right"/>
            </w:pPr>
            <w:r>
              <w:rPr>
                <w:rFonts w:eastAsia="Century Gothic" w:cs="Century Gothic"/>
                <w:color w:val="000000"/>
                <w:sz w:val="18"/>
                <w:szCs w:val="18"/>
              </w:rPr>
              <w:t>273 (99.6%)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D375FE" w14:textId="77777777" w:rsidR="001C19F3" w:rsidRDefault="001C19F3" w:rsidP="00521305">
            <w:pPr>
              <w:spacing w:before="40" w:after="40"/>
              <w:ind w:left="100" w:right="100"/>
              <w:jc w:val="right"/>
            </w:pPr>
            <w:r>
              <w:rPr>
                <w:rFonts w:eastAsia="Century Gothic" w:cs="Century Gothic"/>
                <w:color w:val="000000"/>
                <w:sz w:val="18"/>
                <w:szCs w:val="18"/>
              </w:rPr>
              <w:t>263 (99.2%)</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62668C" w14:textId="77777777" w:rsidR="001C19F3" w:rsidRDefault="001C19F3" w:rsidP="00521305">
            <w:pPr>
              <w:spacing w:before="40" w:after="40"/>
              <w:ind w:left="100" w:right="100"/>
              <w:jc w:val="right"/>
            </w:pPr>
            <w:r>
              <w:rPr>
                <w:rFonts w:eastAsia="Century Gothic" w:cs="Century Gothic"/>
                <w:color w:val="000000"/>
                <w:sz w:val="18"/>
                <w:szCs w:val="18"/>
              </w:rPr>
              <w:t>0.077</w:t>
            </w:r>
          </w:p>
        </w:tc>
      </w:tr>
      <w:tr w:rsidR="001C19F3" w14:paraId="0E56E510"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0AD450" w14:textId="77777777" w:rsidR="001C19F3" w:rsidRDefault="001C19F3" w:rsidP="00521305">
            <w:pPr>
              <w:spacing w:before="40" w:after="40"/>
              <w:ind w:left="160" w:right="100"/>
            </w:pPr>
            <w:r>
              <w:rPr>
                <w:rFonts w:eastAsia="Century Gothic" w:cs="Century Gothic"/>
                <w:color w:val="000000"/>
                <w:sz w:val="18"/>
                <w:szCs w:val="18"/>
              </w:rPr>
              <w:t>No</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7FDECC" w14:textId="77777777" w:rsidR="001C19F3" w:rsidRDefault="001C19F3" w:rsidP="00521305">
            <w:pPr>
              <w:spacing w:before="40" w:after="40"/>
              <w:ind w:left="100" w:right="100"/>
              <w:jc w:val="center"/>
            </w:pPr>
            <w:r>
              <w:rPr>
                <w:rFonts w:eastAsia="Century Gothic" w:cs="Century Gothic"/>
                <w:color w:val="000000"/>
                <w:sz w:val="18"/>
                <w:szCs w:val="18"/>
              </w:rPr>
              <w:t>32 (1.6%)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931ADD" w14:textId="77777777" w:rsidR="001C19F3" w:rsidRDefault="001C19F3" w:rsidP="00521305">
            <w:pPr>
              <w:spacing w:before="40" w:after="40"/>
              <w:ind w:left="100" w:right="100"/>
              <w:jc w:val="center"/>
            </w:pPr>
            <w:r>
              <w:rPr>
                <w:rFonts w:eastAsia="Century Gothic" w:cs="Century Gothic"/>
                <w:color w:val="000000"/>
                <w:sz w:val="18"/>
                <w:szCs w:val="18"/>
              </w:rPr>
              <w:t>1 (0.2%)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7A7990" w14:textId="77777777" w:rsidR="001C19F3" w:rsidRDefault="001C19F3" w:rsidP="00521305">
            <w:pPr>
              <w:spacing w:before="40" w:after="40"/>
              <w:ind w:left="100" w:right="100"/>
              <w:jc w:val="center"/>
            </w:pPr>
            <w:r>
              <w:rPr>
                <w:rFonts w:eastAsia="Century Gothic" w:cs="Century Gothic"/>
                <w:color w:val="000000"/>
                <w:sz w:val="18"/>
                <w:szCs w:val="18"/>
              </w:rPr>
              <w:t>31 (1.9%)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49644A9"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4B579" w14:textId="77777777" w:rsidR="001C19F3" w:rsidRDefault="001C19F3" w:rsidP="00521305">
            <w:pPr>
              <w:spacing w:before="40" w:after="40"/>
              <w:ind w:left="100" w:right="100"/>
              <w:jc w:val="center"/>
            </w:pPr>
            <w:r>
              <w:rPr>
                <w:rFonts w:eastAsia="Century Gothic" w:cs="Century Gothic"/>
                <w:color w:val="000000"/>
                <w:sz w:val="18"/>
                <w:szCs w:val="18"/>
              </w:rPr>
              <w:t>29 (2.0%)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42D7FE"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6520D7" w14:textId="77777777" w:rsidR="001C19F3" w:rsidRDefault="001C19F3" w:rsidP="00521305">
            <w:pPr>
              <w:spacing w:before="40" w:after="40"/>
              <w:ind w:left="100" w:right="100"/>
              <w:jc w:val="right"/>
            </w:pPr>
            <w:r>
              <w:rPr>
                <w:rFonts w:eastAsia="Century Gothic" w:cs="Century Gothic"/>
                <w:color w:val="000000"/>
                <w:sz w:val="18"/>
                <w:szCs w:val="18"/>
              </w:rPr>
              <w:t>2 (0.8%)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07A98B6F" w14:textId="77777777" w:rsidR="001C19F3" w:rsidRDefault="001C19F3" w:rsidP="00521305">
            <w:pPr>
              <w:spacing w:after="0"/>
              <w:rPr>
                <w:sz w:val="22"/>
              </w:rPr>
            </w:pPr>
          </w:p>
        </w:tc>
      </w:tr>
      <w:tr w:rsidR="001C19F3" w14:paraId="47DEAC9C"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9E5215" w14:textId="77777777" w:rsidR="001C19F3" w:rsidRDefault="001C19F3" w:rsidP="00521305">
            <w:pPr>
              <w:spacing w:before="40" w:after="40"/>
              <w:ind w:left="160" w:right="100"/>
            </w:pPr>
            <w:r>
              <w:rPr>
                <w:rFonts w:eastAsia="Century Gothic" w:cs="Century Gothic"/>
                <w:color w:val="000000"/>
                <w:sz w:val="18"/>
                <w:szCs w:val="18"/>
              </w:rPr>
              <w:t>Refused</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BFBD1A" w14:textId="77777777" w:rsidR="001C19F3" w:rsidRDefault="001C19F3" w:rsidP="00521305">
            <w:pPr>
              <w:spacing w:before="40" w:after="40"/>
              <w:ind w:left="100" w:right="100"/>
              <w:jc w:val="center"/>
            </w:pPr>
            <w:r>
              <w:rPr>
                <w:rFonts w:eastAsia="Century Gothic" w:cs="Century Gothic"/>
                <w:color w:val="000000"/>
                <w:sz w:val="18"/>
                <w:szCs w:val="18"/>
              </w:rPr>
              <w:t>3 (0.1%)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C6879B"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4D1436"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0D195B"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92ABAC"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D0C9D1"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DB12B8"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69F4BC" w14:textId="77777777" w:rsidR="001C19F3" w:rsidRDefault="001C19F3" w:rsidP="00521305">
            <w:pPr>
              <w:spacing w:before="40" w:after="40"/>
              <w:ind w:left="100" w:right="100"/>
              <w:jc w:val="right"/>
            </w:pPr>
          </w:p>
        </w:tc>
      </w:tr>
      <w:tr w:rsidR="001C19F3" w14:paraId="7D749FB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90AE1E" w14:textId="77777777" w:rsidR="001C19F3" w:rsidRDefault="001C19F3" w:rsidP="00521305">
            <w:pPr>
              <w:spacing w:before="40" w:after="40"/>
              <w:ind w:left="100" w:right="100"/>
            </w:pPr>
            <w:r>
              <w:rPr>
                <w:rFonts w:eastAsia="Century Gothic" w:cs="Century Gothic"/>
                <w:b/>
                <w:color w:val="000000"/>
                <w:sz w:val="18"/>
                <w:szCs w:val="18"/>
              </w:rPr>
              <w:t>B2 Length of time the patient has been attending the HCH practice (Q3)</w:t>
            </w:r>
          </w:p>
        </w:tc>
      </w:tr>
      <w:tr w:rsidR="001C19F3" w14:paraId="761BBC7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213CF9" w14:textId="77777777" w:rsidR="001C19F3" w:rsidRDefault="001C19F3" w:rsidP="00521305">
            <w:pPr>
              <w:spacing w:before="40" w:after="40"/>
              <w:ind w:left="160" w:right="100"/>
            </w:pPr>
            <w:r>
              <w:rPr>
                <w:rFonts w:eastAsia="Century Gothic" w:cs="Century Gothic"/>
                <w:color w:val="000000"/>
                <w:sz w:val="18"/>
                <w:szCs w:val="18"/>
              </w:rPr>
              <w:t>Less than 6 months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2D0D86" w14:textId="77777777" w:rsidR="001C19F3" w:rsidRDefault="001C19F3" w:rsidP="00521305">
            <w:pPr>
              <w:spacing w:before="40" w:after="40"/>
              <w:ind w:left="100" w:right="100"/>
              <w:jc w:val="center"/>
            </w:pPr>
            <w:r>
              <w:rPr>
                <w:rFonts w:eastAsia="Century Gothic" w:cs="Century Gothic"/>
                <w:color w:val="000000"/>
                <w:sz w:val="18"/>
                <w:szCs w:val="18"/>
              </w:rPr>
              <w:t>34 (1.7%)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6CAB44" w14:textId="77777777" w:rsidR="001C19F3" w:rsidRDefault="001C19F3" w:rsidP="00521305">
            <w:pPr>
              <w:spacing w:before="40" w:after="40"/>
              <w:ind w:left="100" w:right="100"/>
              <w:jc w:val="center"/>
            </w:pPr>
            <w:r>
              <w:rPr>
                <w:rFonts w:eastAsia="Century Gothic" w:cs="Century Gothic"/>
                <w:color w:val="000000"/>
                <w:sz w:val="18"/>
                <w:szCs w:val="18"/>
              </w:rPr>
              <w:t>5 (1.2%)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32486" w14:textId="77777777" w:rsidR="001C19F3" w:rsidRDefault="001C19F3" w:rsidP="00521305">
            <w:pPr>
              <w:spacing w:before="40" w:after="40"/>
              <w:ind w:left="100" w:right="100"/>
              <w:jc w:val="center"/>
            </w:pPr>
            <w:r>
              <w:rPr>
                <w:rFonts w:eastAsia="Century Gothic" w:cs="Century Gothic"/>
                <w:color w:val="000000"/>
                <w:sz w:val="18"/>
                <w:szCs w:val="18"/>
              </w:rPr>
              <w:t>29 (1.8%)</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CCF3D5"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B31357" w14:textId="77777777" w:rsidR="001C19F3" w:rsidRDefault="001C19F3" w:rsidP="00521305">
            <w:pPr>
              <w:spacing w:before="40" w:after="40"/>
              <w:ind w:left="100" w:right="100"/>
              <w:jc w:val="center"/>
            </w:pPr>
            <w:r>
              <w:rPr>
                <w:rFonts w:eastAsia="Century Gothic" w:cs="Century Gothic"/>
                <w:color w:val="000000"/>
                <w:sz w:val="18"/>
                <w:szCs w:val="18"/>
              </w:rPr>
              <w:t>31 (2.1%)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9A5BB" w14:textId="77777777" w:rsidR="001C19F3" w:rsidRDefault="001C19F3" w:rsidP="00521305">
            <w:pPr>
              <w:spacing w:before="40" w:after="40"/>
              <w:ind w:left="100" w:right="100"/>
              <w:jc w:val="right"/>
            </w:pPr>
            <w:r>
              <w:rPr>
                <w:rFonts w:eastAsia="Century Gothic" w:cs="Century Gothic"/>
                <w:color w:val="000000"/>
                <w:sz w:val="18"/>
                <w:szCs w:val="18"/>
              </w:rPr>
              <w:t>2 (0.7%)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57C876"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B1FBF4"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7394C312"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1A391D" w14:textId="77777777" w:rsidR="001C19F3" w:rsidRDefault="001C19F3" w:rsidP="00521305">
            <w:pPr>
              <w:spacing w:before="40" w:after="40"/>
              <w:ind w:left="160" w:right="100"/>
            </w:pPr>
            <w:r>
              <w:rPr>
                <w:rFonts w:eastAsia="Century Gothic" w:cs="Century Gothic"/>
                <w:color w:val="000000"/>
                <w:sz w:val="18"/>
                <w:szCs w:val="18"/>
              </w:rPr>
              <w:t>At least 6 months but less than 1 year</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DC835"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C65558" w14:textId="77777777" w:rsidR="001C19F3" w:rsidRDefault="001C19F3" w:rsidP="00521305">
            <w:pPr>
              <w:spacing w:before="40" w:after="40"/>
              <w:ind w:left="100" w:right="100"/>
              <w:jc w:val="center"/>
            </w:pPr>
            <w:r>
              <w:rPr>
                <w:rFonts w:eastAsia="Century Gothic" w:cs="Century Gothic"/>
                <w:color w:val="000000"/>
                <w:sz w:val="18"/>
                <w:szCs w:val="18"/>
              </w:rPr>
              <w:t>6 (1.4%)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C504BC" w14:textId="77777777" w:rsidR="001C19F3" w:rsidRDefault="001C19F3" w:rsidP="00521305">
            <w:pPr>
              <w:spacing w:before="40" w:after="40"/>
              <w:ind w:left="100" w:right="100"/>
              <w:jc w:val="center"/>
            </w:pPr>
            <w:r>
              <w:rPr>
                <w:rFonts w:eastAsia="Century Gothic" w:cs="Century Gothic"/>
                <w:color w:val="000000"/>
                <w:sz w:val="18"/>
                <w:szCs w:val="18"/>
              </w:rPr>
              <w:t>46 (2.9%)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9536C20"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67DA93" w14:textId="77777777" w:rsidR="001C19F3" w:rsidRDefault="001C19F3" w:rsidP="00521305">
            <w:pPr>
              <w:spacing w:before="40" w:after="40"/>
              <w:ind w:left="100" w:right="100"/>
              <w:jc w:val="center"/>
            </w:pPr>
            <w:r>
              <w:rPr>
                <w:rFonts w:eastAsia="Century Gothic" w:cs="Century Gothic"/>
                <w:color w:val="000000"/>
                <w:sz w:val="18"/>
                <w:szCs w:val="18"/>
              </w:rPr>
              <w:t>44 (3.0%)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38EFCD"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54605E"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3A01D6A8" w14:textId="77777777" w:rsidR="001C19F3" w:rsidRDefault="001C19F3" w:rsidP="00521305">
            <w:pPr>
              <w:spacing w:after="0"/>
              <w:rPr>
                <w:sz w:val="22"/>
              </w:rPr>
            </w:pPr>
          </w:p>
        </w:tc>
      </w:tr>
      <w:tr w:rsidR="001C19F3" w14:paraId="4CDC0A9F"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0C73CA" w14:textId="77777777" w:rsidR="001C19F3" w:rsidRDefault="001C19F3" w:rsidP="00521305">
            <w:pPr>
              <w:spacing w:before="40" w:after="40"/>
              <w:ind w:left="160" w:right="100"/>
            </w:pPr>
            <w:r>
              <w:rPr>
                <w:rFonts w:eastAsia="Century Gothic" w:cs="Century Gothic"/>
                <w:color w:val="000000"/>
                <w:sz w:val="18"/>
                <w:szCs w:val="18"/>
              </w:rPr>
              <w:t>At least 1 year but less than 3 years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C2D5BD" w14:textId="77777777" w:rsidR="001C19F3" w:rsidRDefault="001C19F3" w:rsidP="00521305">
            <w:pPr>
              <w:spacing w:before="40" w:after="40"/>
              <w:ind w:left="100" w:right="100"/>
              <w:jc w:val="center"/>
            </w:pPr>
            <w:r>
              <w:rPr>
                <w:rFonts w:eastAsia="Century Gothic" w:cs="Century Gothic"/>
                <w:color w:val="000000"/>
                <w:sz w:val="18"/>
                <w:szCs w:val="18"/>
              </w:rPr>
              <w:t>297 (14.7%)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8E86D5" w14:textId="77777777" w:rsidR="001C19F3" w:rsidRDefault="001C19F3" w:rsidP="00521305">
            <w:pPr>
              <w:spacing w:before="40" w:after="40"/>
              <w:ind w:left="100" w:right="100"/>
              <w:jc w:val="center"/>
            </w:pPr>
            <w:r>
              <w:rPr>
                <w:rFonts w:eastAsia="Century Gothic" w:cs="Century Gothic"/>
                <w:color w:val="000000"/>
                <w:sz w:val="18"/>
                <w:szCs w:val="18"/>
              </w:rPr>
              <w:t>43 (10.4%)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D764AF" w14:textId="77777777" w:rsidR="001C19F3" w:rsidRDefault="001C19F3" w:rsidP="00521305">
            <w:pPr>
              <w:spacing w:before="40" w:after="40"/>
              <w:ind w:left="100" w:right="100"/>
              <w:jc w:val="center"/>
            </w:pPr>
            <w:r>
              <w:rPr>
                <w:rFonts w:eastAsia="Century Gothic" w:cs="Century Gothic"/>
                <w:color w:val="000000"/>
                <w:sz w:val="18"/>
                <w:szCs w:val="18"/>
              </w:rPr>
              <w:t>254 (15.9%)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A3E561B"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7A1D0E" w14:textId="77777777" w:rsidR="001C19F3" w:rsidRDefault="001C19F3" w:rsidP="00521305">
            <w:pPr>
              <w:spacing w:before="40" w:after="40"/>
              <w:ind w:left="100" w:right="100"/>
              <w:jc w:val="center"/>
            </w:pPr>
            <w:r>
              <w:rPr>
                <w:rFonts w:eastAsia="Century Gothic" w:cs="Century Gothic"/>
                <w:color w:val="000000"/>
                <w:sz w:val="18"/>
                <w:szCs w:val="18"/>
              </w:rPr>
              <w:t>237 (16.1%)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B9745B" w14:textId="77777777" w:rsidR="001C19F3" w:rsidRDefault="001C19F3" w:rsidP="00521305">
            <w:pPr>
              <w:spacing w:before="40" w:after="40"/>
              <w:ind w:left="100" w:right="100"/>
              <w:jc w:val="right"/>
            </w:pPr>
            <w:r>
              <w:rPr>
                <w:rFonts w:eastAsia="Century Gothic" w:cs="Century Gothic"/>
                <w:color w:val="000000"/>
                <w:sz w:val="18"/>
                <w:szCs w:val="18"/>
              </w:rPr>
              <w:t>42 (15.4%)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B1B1D5" w14:textId="77777777" w:rsidR="001C19F3" w:rsidRDefault="001C19F3" w:rsidP="00521305">
            <w:pPr>
              <w:spacing w:before="40" w:after="40"/>
              <w:ind w:left="100" w:right="100"/>
              <w:jc w:val="right"/>
            </w:pPr>
            <w:r>
              <w:rPr>
                <w:rFonts w:eastAsia="Century Gothic" w:cs="Century Gothic"/>
                <w:color w:val="000000"/>
                <w:sz w:val="18"/>
                <w:szCs w:val="18"/>
              </w:rPr>
              <w:t>18 (6.8%)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0000C12" w14:textId="77777777" w:rsidR="001C19F3" w:rsidRDefault="001C19F3" w:rsidP="00521305">
            <w:pPr>
              <w:spacing w:after="0"/>
              <w:rPr>
                <w:sz w:val="22"/>
              </w:rPr>
            </w:pPr>
          </w:p>
        </w:tc>
      </w:tr>
      <w:tr w:rsidR="001C19F3" w14:paraId="6BAB916D"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9047CF" w14:textId="77777777" w:rsidR="001C19F3" w:rsidRDefault="001C19F3" w:rsidP="00521305">
            <w:pPr>
              <w:spacing w:before="40" w:after="40"/>
              <w:ind w:left="160" w:right="100"/>
            </w:pPr>
            <w:r>
              <w:rPr>
                <w:rFonts w:eastAsia="Century Gothic" w:cs="Century Gothic"/>
                <w:color w:val="000000"/>
                <w:sz w:val="18"/>
                <w:szCs w:val="18"/>
              </w:rPr>
              <w:t>At least 3 years but less than 5 years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FA612" w14:textId="77777777" w:rsidR="001C19F3" w:rsidRDefault="001C19F3" w:rsidP="00521305">
            <w:pPr>
              <w:spacing w:before="40" w:after="40"/>
              <w:ind w:left="100" w:right="100"/>
              <w:jc w:val="center"/>
            </w:pPr>
            <w:r>
              <w:rPr>
                <w:rFonts w:eastAsia="Century Gothic" w:cs="Century Gothic"/>
                <w:color w:val="000000"/>
                <w:sz w:val="18"/>
                <w:szCs w:val="18"/>
              </w:rPr>
              <w:t>315 (15.6%)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32BA29" w14:textId="77777777" w:rsidR="001C19F3" w:rsidRDefault="001C19F3" w:rsidP="00521305">
            <w:pPr>
              <w:spacing w:before="40" w:after="40"/>
              <w:ind w:left="100" w:right="100"/>
              <w:jc w:val="center"/>
            </w:pPr>
            <w:r>
              <w:rPr>
                <w:rFonts w:eastAsia="Century Gothic" w:cs="Century Gothic"/>
                <w:color w:val="000000"/>
                <w:sz w:val="18"/>
                <w:szCs w:val="18"/>
              </w:rPr>
              <w:t>38 (9.2%)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1C8486" w14:textId="77777777" w:rsidR="001C19F3" w:rsidRDefault="001C19F3" w:rsidP="00521305">
            <w:pPr>
              <w:spacing w:before="40" w:after="40"/>
              <w:ind w:left="100" w:right="100"/>
              <w:jc w:val="center"/>
            </w:pPr>
            <w:r>
              <w:rPr>
                <w:rFonts w:eastAsia="Century Gothic" w:cs="Century Gothic"/>
                <w:color w:val="000000"/>
                <w:sz w:val="18"/>
                <w:szCs w:val="18"/>
              </w:rPr>
              <w:t>277 (17.3%)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514C30C"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8B904F" w14:textId="77777777" w:rsidR="001C19F3" w:rsidRDefault="001C19F3" w:rsidP="00521305">
            <w:pPr>
              <w:spacing w:before="40" w:after="40"/>
              <w:ind w:left="100" w:right="100"/>
              <w:jc w:val="center"/>
            </w:pPr>
            <w:r>
              <w:rPr>
                <w:rFonts w:eastAsia="Century Gothic" w:cs="Century Gothic"/>
                <w:color w:val="000000"/>
                <w:sz w:val="18"/>
                <w:szCs w:val="18"/>
              </w:rPr>
              <w:t>221 (15.0%)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2BDE39" w14:textId="77777777" w:rsidR="001C19F3" w:rsidRDefault="001C19F3" w:rsidP="00521305">
            <w:pPr>
              <w:spacing w:before="40" w:after="40"/>
              <w:ind w:left="100" w:right="100"/>
              <w:jc w:val="right"/>
            </w:pPr>
            <w:r>
              <w:rPr>
                <w:rFonts w:eastAsia="Century Gothic" w:cs="Century Gothic"/>
                <w:color w:val="000000"/>
                <w:sz w:val="18"/>
                <w:szCs w:val="18"/>
              </w:rPr>
              <w:t>72 (26.4%)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8FB09" w14:textId="77777777" w:rsidR="001C19F3" w:rsidRDefault="001C19F3" w:rsidP="00521305">
            <w:pPr>
              <w:spacing w:before="40" w:after="40"/>
              <w:ind w:left="100" w:right="100"/>
              <w:jc w:val="right"/>
            </w:pPr>
            <w:r>
              <w:rPr>
                <w:rFonts w:eastAsia="Century Gothic" w:cs="Century Gothic"/>
                <w:color w:val="000000"/>
                <w:sz w:val="18"/>
                <w:szCs w:val="18"/>
              </w:rPr>
              <w:t>22 (8.3%)</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8C3694E" w14:textId="77777777" w:rsidR="001C19F3" w:rsidRDefault="001C19F3" w:rsidP="00521305">
            <w:pPr>
              <w:spacing w:after="0"/>
              <w:rPr>
                <w:sz w:val="22"/>
              </w:rPr>
            </w:pPr>
          </w:p>
        </w:tc>
      </w:tr>
      <w:tr w:rsidR="001C19F3" w14:paraId="47D0D3EE"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F6F65D" w14:textId="77777777" w:rsidR="001C19F3" w:rsidRDefault="001C19F3" w:rsidP="00521305">
            <w:pPr>
              <w:spacing w:before="40" w:after="40"/>
              <w:ind w:left="160" w:right="100"/>
            </w:pPr>
            <w:r>
              <w:rPr>
                <w:rFonts w:eastAsia="Century Gothic" w:cs="Century Gothic"/>
                <w:color w:val="000000"/>
                <w:sz w:val="18"/>
                <w:szCs w:val="18"/>
              </w:rPr>
              <w:lastRenderedPageBreak/>
              <w:t>5 years or more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5619B0" w14:textId="77777777" w:rsidR="001C19F3" w:rsidRDefault="001C19F3" w:rsidP="00521305">
            <w:pPr>
              <w:spacing w:before="40" w:after="40"/>
              <w:ind w:left="100" w:right="100"/>
              <w:jc w:val="center"/>
            </w:pPr>
            <w:r>
              <w:rPr>
                <w:rFonts w:eastAsia="Century Gothic" w:cs="Century Gothic"/>
                <w:color w:val="000000"/>
                <w:sz w:val="18"/>
                <w:szCs w:val="18"/>
              </w:rPr>
              <w:t>1,315 (65.2%)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244ED9" w14:textId="77777777" w:rsidR="001C19F3" w:rsidRDefault="001C19F3" w:rsidP="00521305">
            <w:pPr>
              <w:spacing w:before="40" w:after="40"/>
              <w:ind w:left="100" w:right="100"/>
              <w:jc w:val="center"/>
            </w:pPr>
            <w:r>
              <w:rPr>
                <w:rFonts w:eastAsia="Century Gothic" w:cs="Century Gothic"/>
                <w:color w:val="000000"/>
                <w:sz w:val="18"/>
                <w:szCs w:val="18"/>
              </w:rPr>
              <w:t>323 (77.8%)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F1D9D5" w14:textId="77777777" w:rsidR="001C19F3" w:rsidRDefault="001C19F3" w:rsidP="00521305">
            <w:pPr>
              <w:spacing w:before="40" w:after="40"/>
              <w:ind w:left="100" w:right="100"/>
              <w:jc w:val="center"/>
            </w:pPr>
            <w:r>
              <w:rPr>
                <w:rFonts w:eastAsia="Century Gothic" w:cs="Century Gothic"/>
                <w:color w:val="000000"/>
                <w:sz w:val="18"/>
                <w:szCs w:val="18"/>
              </w:rPr>
              <w:t>992 (62.1%)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5A3EBC16"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C26DA3" w14:textId="77777777" w:rsidR="001C19F3" w:rsidRDefault="001C19F3" w:rsidP="00521305">
            <w:pPr>
              <w:spacing w:before="40" w:after="40"/>
              <w:ind w:left="100" w:right="100"/>
              <w:jc w:val="center"/>
            </w:pPr>
            <w:r>
              <w:rPr>
                <w:rFonts w:eastAsia="Century Gothic" w:cs="Century Gothic"/>
                <w:color w:val="000000"/>
                <w:sz w:val="18"/>
                <w:szCs w:val="18"/>
              </w:rPr>
              <w:t>942 (63.9%)</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F4D14B" w14:textId="77777777" w:rsidR="001C19F3" w:rsidRDefault="001C19F3" w:rsidP="00521305">
            <w:pPr>
              <w:spacing w:before="40" w:after="40"/>
              <w:ind w:left="100" w:right="100"/>
              <w:jc w:val="right"/>
            </w:pPr>
            <w:r>
              <w:rPr>
                <w:rFonts w:eastAsia="Century Gothic" w:cs="Century Gothic"/>
                <w:color w:val="000000"/>
                <w:sz w:val="18"/>
                <w:szCs w:val="18"/>
              </w:rPr>
              <w:t>153 (56.0%)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0E043B" w14:textId="77777777" w:rsidR="001C19F3" w:rsidRDefault="001C19F3" w:rsidP="00521305">
            <w:pPr>
              <w:spacing w:before="40" w:after="40"/>
              <w:ind w:left="100" w:right="100"/>
              <w:jc w:val="right"/>
            </w:pPr>
            <w:r>
              <w:rPr>
                <w:rFonts w:eastAsia="Century Gothic" w:cs="Century Gothic"/>
                <w:color w:val="000000"/>
                <w:sz w:val="18"/>
                <w:szCs w:val="18"/>
              </w:rPr>
              <w:t>220 (83.0%)</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7C55167" w14:textId="77777777" w:rsidR="001C19F3" w:rsidRDefault="001C19F3" w:rsidP="00521305">
            <w:pPr>
              <w:spacing w:after="0"/>
              <w:rPr>
                <w:sz w:val="22"/>
              </w:rPr>
            </w:pPr>
          </w:p>
        </w:tc>
      </w:tr>
      <w:tr w:rsidR="001C19F3" w14:paraId="76DF4035"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5F2070"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C2D66" w14:textId="77777777" w:rsidR="001C19F3" w:rsidRDefault="001C19F3" w:rsidP="00521305">
            <w:pPr>
              <w:spacing w:before="40" w:after="40"/>
              <w:ind w:left="100" w:right="100"/>
              <w:jc w:val="center"/>
            </w:pPr>
            <w:r>
              <w:rPr>
                <w:rFonts w:eastAsia="Century Gothic" w:cs="Century Gothic"/>
                <w:color w:val="000000"/>
                <w:sz w:val="18"/>
                <w:szCs w:val="18"/>
              </w:rPr>
              <w:t>5 (0.2%)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166B30"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1ACEB5"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78A70F"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ADB1DA"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8CFC5E"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BA8BDF"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94CF3D" w14:textId="77777777" w:rsidR="001C19F3" w:rsidRDefault="001C19F3" w:rsidP="00521305">
            <w:pPr>
              <w:spacing w:before="40" w:after="40"/>
              <w:ind w:left="100" w:right="100"/>
              <w:jc w:val="right"/>
            </w:pPr>
          </w:p>
        </w:tc>
      </w:tr>
      <w:tr w:rsidR="001C19F3" w14:paraId="7314FDC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AF246B" w14:textId="77777777" w:rsidR="001C19F3" w:rsidRDefault="001C19F3" w:rsidP="00521305">
            <w:pPr>
              <w:spacing w:before="40" w:after="40"/>
              <w:ind w:left="100" w:right="100"/>
            </w:pPr>
            <w:r>
              <w:rPr>
                <w:rFonts w:eastAsia="Century Gothic" w:cs="Century Gothic"/>
                <w:b/>
                <w:color w:val="000000"/>
                <w:sz w:val="18"/>
                <w:szCs w:val="18"/>
              </w:rPr>
              <w:t>B3 Number of times the patient attending the HCH practice in the last six months (Q4)</w:t>
            </w:r>
          </w:p>
        </w:tc>
      </w:tr>
      <w:tr w:rsidR="001C19F3" w14:paraId="75F4E13D"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57A9B6" w14:textId="77777777" w:rsidR="001C19F3" w:rsidRDefault="001C19F3" w:rsidP="00521305">
            <w:pPr>
              <w:spacing w:before="40" w:after="40"/>
              <w:ind w:left="160" w:right="100"/>
            </w:pPr>
            <w:r>
              <w:rPr>
                <w:rFonts w:eastAsia="Century Gothic" w:cs="Century Gothic"/>
                <w:color w:val="000000"/>
                <w:sz w:val="18"/>
                <w:szCs w:val="18"/>
              </w:rPr>
              <w:t>Once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166171" w14:textId="77777777" w:rsidR="001C19F3" w:rsidRDefault="001C19F3" w:rsidP="00521305">
            <w:pPr>
              <w:spacing w:before="40" w:after="40"/>
              <w:ind w:left="100" w:right="100"/>
              <w:jc w:val="center"/>
            </w:pPr>
            <w:r>
              <w:rPr>
                <w:rFonts w:eastAsia="Century Gothic" w:cs="Century Gothic"/>
                <w:color w:val="000000"/>
                <w:sz w:val="18"/>
                <w:szCs w:val="18"/>
              </w:rPr>
              <w:t>82 (4.1%)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A4F9F9" w14:textId="77777777" w:rsidR="001C19F3" w:rsidRDefault="001C19F3" w:rsidP="00521305">
            <w:pPr>
              <w:spacing w:before="40" w:after="40"/>
              <w:ind w:left="100" w:right="100"/>
              <w:jc w:val="center"/>
            </w:pPr>
            <w:r>
              <w:rPr>
                <w:rFonts w:eastAsia="Century Gothic" w:cs="Century Gothic"/>
                <w:color w:val="000000"/>
                <w:sz w:val="18"/>
                <w:szCs w:val="18"/>
              </w:rPr>
              <w:t>19 (4.6%)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16C211" w14:textId="77777777" w:rsidR="001C19F3" w:rsidRDefault="001C19F3" w:rsidP="00521305">
            <w:pPr>
              <w:spacing w:before="40" w:after="40"/>
              <w:ind w:left="100" w:right="100"/>
              <w:jc w:val="center"/>
            </w:pPr>
            <w:r>
              <w:rPr>
                <w:rFonts w:eastAsia="Century Gothic" w:cs="Century Gothic"/>
                <w:color w:val="000000"/>
                <w:sz w:val="18"/>
                <w:szCs w:val="18"/>
              </w:rPr>
              <w:t>63 (4.0%)</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1FBC59" w14:textId="77777777" w:rsidR="001C19F3" w:rsidRDefault="001C19F3" w:rsidP="00521305">
            <w:pPr>
              <w:spacing w:before="40" w:after="40"/>
              <w:ind w:left="100" w:right="100"/>
              <w:jc w:val="center"/>
            </w:pPr>
            <w:r>
              <w:rPr>
                <w:rFonts w:eastAsia="Century Gothic" w:cs="Century Gothic"/>
                <w:color w:val="000000"/>
                <w:sz w:val="18"/>
                <w:szCs w:val="18"/>
              </w:rPr>
              <w:t>0.056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8988B0" w14:textId="77777777" w:rsidR="001C19F3" w:rsidRDefault="001C19F3" w:rsidP="00521305">
            <w:pPr>
              <w:spacing w:before="40" w:after="40"/>
              <w:ind w:left="100" w:right="100"/>
              <w:jc w:val="center"/>
            </w:pPr>
            <w:r>
              <w:rPr>
                <w:rFonts w:eastAsia="Century Gothic" w:cs="Century Gothic"/>
                <w:color w:val="000000"/>
                <w:sz w:val="18"/>
                <w:szCs w:val="18"/>
              </w:rPr>
              <w:t>64 (4.4%)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4D8010" w14:textId="77777777" w:rsidR="001C19F3" w:rsidRDefault="001C19F3" w:rsidP="00521305">
            <w:pPr>
              <w:spacing w:before="40" w:after="40"/>
              <w:ind w:left="100" w:right="100"/>
              <w:jc w:val="right"/>
            </w:pPr>
            <w:r>
              <w:rPr>
                <w:rFonts w:eastAsia="Century Gothic" w:cs="Century Gothic"/>
                <w:color w:val="000000"/>
                <w:sz w:val="18"/>
                <w:szCs w:val="18"/>
              </w:rPr>
              <w:t>6 (2.2%)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69B2A" w14:textId="77777777" w:rsidR="001C19F3" w:rsidRDefault="001C19F3" w:rsidP="00521305">
            <w:pPr>
              <w:spacing w:before="40" w:after="40"/>
              <w:ind w:left="100" w:right="100"/>
              <w:jc w:val="right"/>
            </w:pPr>
            <w:r>
              <w:rPr>
                <w:rFonts w:eastAsia="Century Gothic" w:cs="Century Gothic"/>
                <w:color w:val="000000"/>
                <w:sz w:val="18"/>
                <w:szCs w:val="18"/>
              </w:rPr>
              <w:t>12 (4.6%)</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EB5A53" w14:textId="77777777" w:rsidR="001C19F3" w:rsidRDefault="001C19F3" w:rsidP="00521305">
            <w:pPr>
              <w:spacing w:before="40" w:after="40"/>
              <w:ind w:left="100" w:right="100"/>
              <w:jc w:val="right"/>
            </w:pPr>
            <w:r>
              <w:rPr>
                <w:rFonts w:eastAsia="Century Gothic" w:cs="Century Gothic"/>
                <w:color w:val="000000"/>
                <w:sz w:val="18"/>
                <w:szCs w:val="18"/>
              </w:rPr>
              <w:t>0.379</w:t>
            </w:r>
          </w:p>
        </w:tc>
      </w:tr>
      <w:tr w:rsidR="001C19F3" w14:paraId="54841072"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71DF1D" w14:textId="77777777" w:rsidR="001C19F3" w:rsidRDefault="001C19F3" w:rsidP="00521305">
            <w:pPr>
              <w:spacing w:before="40" w:after="40"/>
              <w:ind w:left="160" w:right="100"/>
            </w:pPr>
            <w:r>
              <w:rPr>
                <w:rFonts w:eastAsia="Century Gothic" w:cs="Century Gothic"/>
                <w:color w:val="000000"/>
                <w:sz w:val="18"/>
                <w:szCs w:val="18"/>
              </w:rPr>
              <w:t>Twice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89426A" w14:textId="77777777" w:rsidR="001C19F3" w:rsidRDefault="001C19F3" w:rsidP="00521305">
            <w:pPr>
              <w:spacing w:before="40" w:after="40"/>
              <w:ind w:left="100" w:right="100"/>
              <w:jc w:val="center"/>
            </w:pPr>
            <w:r>
              <w:rPr>
                <w:rFonts w:eastAsia="Century Gothic" w:cs="Century Gothic"/>
                <w:color w:val="000000"/>
                <w:sz w:val="18"/>
                <w:szCs w:val="18"/>
              </w:rPr>
              <w:t>244 (12.1%)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C59F0C" w14:textId="77777777" w:rsidR="001C19F3" w:rsidRDefault="001C19F3" w:rsidP="00521305">
            <w:pPr>
              <w:spacing w:before="40" w:after="40"/>
              <w:ind w:left="100" w:right="100"/>
              <w:jc w:val="center"/>
            </w:pPr>
            <w:r>
              <w:rPr>
                <w:rFonts w:eastAsia="Century Gothic" w:cs="Century Gothic"/>
                <w:color w:val="000000"/>
                <w:sz w:val="18"/>
                <w:szCs w:val="18"/>
              </w:rPr>
              <w:t>47 (11.4%)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34E39" w14:textId="77777777" w:rsidR="001C19F3" w:rsidRDefault="001C19F3" w:rsidP="00521305">
            <w:pPr>
              <w:spacing w:before="40" w:after="40"/>
              <w:ind w:left="100" w:right="100"/>
              <w:jc w:val="center"/>
            </w:pPr>
            <w:r>
              <w:rPr>
                <w:rFonts w:eastAsia="Century Gothic" w:cs="Century Gothic"/>
                <w:color w:val="000000"/>
                <w:sz w:val="18"/>
                <w:szCs w:val="18"/>
              </w:rPr>
              <w:t>197 (12.5%)</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4B8CD542"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DE2076" w14:textId="77777777" w:rsidR="001C19F3" w:rsidRDefault="001C19F3" w:rsidP="00521305">
            <w:pPr>
              <w:spacing w:before="40" w:after="40"/>
              <w:ind w:left="100" w:right="100"/>
              <w:jc w:val="center"/>
            </w:pPr>
            <w:r>
              <w:rPr>
                <w:rFonts w:eastAsia="Century Gothic" w:cs="Century Gothic"/>
                <w:color w:val="000000"/>
                <w:sz w:val="18"/>
                <w:szCs w:val="18"/>
              </w:rPr>
              <w:t>187 (12.8%)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9046C2" w14:textId="77777777" w:rsidR="001C19F3" w:rsidRDefault="001C19F3" w:rsidP="00521305">
            <w:pPr>
              <w:spacing w:before="40" w:after="40"/>
              <w:ind w:left="100" w:right="100"/>
              <w:jc w:val="right"/>
            </w:pPr>
            <w:r>
              <w:rPr>
                <w:rFonts w:eastAsia="Century Gothic" w:cs="Century Gothic"/>
                <w:color w:val="000000"/>
                <w:sz w:val="18"/>
                <w:szCs w:val="18"/>
              </w:rPr>
              <w:t>31 (11.4%)</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F72591" w14:textId="77777777" w:rsidR="001C19F3" w:rsidRDefault="001C19F3" w:rsidP="00521305">
            <w:pPr>
              <w:spacing w:before="40" w:after="40"/>
              <w:ind w:left="100" w:right="100"/>
              <w:jc w:val="right"/>
            </w:pPr>
            <w:r>
              <w:rPr>
                <w:rFonts w:eastAsia="Century Gothic" w:cs="Century Gothic"/>
                <w:color w:val="000000"/>
                <w:sz w:val="18"/>
                <w:szCs w:val="18"/>
              </w:rPr>
              <w:t>26 (10.0%)</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1690225" w14:textId="77777777" w:rsidR="001C19F3" w:rsidRDefault="001C19F3" w:rsidP="00521305">
            <w:pPr>
              <w:spacing w:after="0"/>
              <w:rPr>
                <w:sz w:val="22"/>
              </w:rPr>
            </w:pPr>
          </w:p>
        </w:tc>
      </w:tr>
      <w:tr w:rsidR="001C19F3" w14:paraId="298EA027"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77B86F" w14:textId="77777777" w:rsidR="001C19F3" w:rsidRDefault="001C19F3" w:rsidP="00521305">
            <w:pPr>
              <w:spacing w:before="40" w:after="40"/>
              <w:ind w:left="160" w:right="100"/>
            </w:pPr>
            <w:r>
              <w:rPr>
                <w:rFonts w:eastAsia="Century Gothic" w:cs="Century Gothic"/>
                <w:color w:val="000000"/>
                <w:sz w:val="18"/>
                <w:szCs w:val="18"/>
              </w:rPr>
              <w:t>3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EB5E0E" w14:textId="77777777" w:rsidR="001C19F3" w:rsidRDefault="001C19F3" w:rsidP="00521305">
            <w:pPr>
              <w:spacing w:before="40" w:after="40"/>
              <w:ind w:left="100" w:right="100"/>
              <w:jc w:val="center"/>
            </w:pPr>
            <w:r>
              <w:rPr>
                <w:rFonts w:eastAsia="Century Gothic" w:cs="Century Gothic"/>
                <w:color w:val="000000"/>
                <w:sz w:val="18"/>
                <w:szCs w:val="18"/>
              </w:rPr>
              <w:t>324 (16.1%)</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840FDC" w14:textId="77777777" w:rsidR="001C19F3" w:rsidRDefault="001C19F3" w:rsidP="00521305">
            <w:pPr>
              <w:spacing w:before="40" w:after="40"/>
              <w:ind w:left="100" w:right="100"/>
              <w:jc w:val="center"/>
            </w:pPr>
            <w:r>
              <w:rPr>
                <w:rFonts w:eastAsia="Century Gothic" w:cs="Century Gothic"/>
                <w:color w:val="000000"/>
                <w:sz w:val="18"/>
                <w:szCs w:val="18"/>
              </w:rPr>
              <w:t>77 (18.6%)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613D6A" w14:textId="77777777" w:rsidR="001C19F3" w:rsidRDefault="001C19F3" w:rsidP="00521305">
            <w:pPr>
              <w:spacing w:before="40" w:after="40"/>
              <w:ind w:left="100" w:right="100"/>
              <w:jc w:val="center"/>
            </w:pPr>
            <w:r>
              <w:rPr>
                <w:rFonts w:eastAsia="Century Gothic" w:cs="Century Gothic"/>
                <w:color w:val="000000"/>
                <w:sz w:val="18"/>
                <w:szCs w:val="18"/>
              </w:rPr>
              <w:t>247 (15.6%)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2E7E0B30"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FF7B2" w14:textId="77777777" w:rsidR="001C19F3" w:rsidRDefault="001C19F3" w:rsidP="00521305">
            <w:pPr>
              <w:spacing w:before="40" w:after="40"/>
              <w:ind w:left="100" w:right="100"/>
              <w:jc w:val="center"/>
            </w:pPr>
            <w:r>
              <w:rPr>
                <w:rFonts w:eastAsia="Century Gothic" w:cs="Century Gothic"/>
                <w:color w:val="000000"/>
                <w:sz w:val="18"/>
                <w:szCs w:val="18"/>
              </w:rPr>
              <w:t>234 (16.0%)</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E378A" w14:textId="77777777" w:rsidR="001C19F3" w:rsidRDefault="001C19F3" w:rsidP="00521305">
            <w:pPr>
              <w:spacing w:before="40" w:after="40"/>
              <w:ind w:left="100" w:right="100"/>
              <w:jc w:val="right"/>
            </w:pPr>
            <w:r>
              <w:rPr>
                <w:rFonts w:eastAsia="Century Gothic" w:cs="Century Gothic"/>
                <w:color w:val="000000"/>
                <w:sz w:val="18"/>
                <w:szCs w:val="18"/>
              </w:rPr>
              <w:t>48 (17.7%)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B574BC" w14:textId="77777777" w:rsidR="001C19F3" w:rsidRDefault="001C19F3" w:rsidP="00521305">
            <w:pPr>
              <w:spacing w:before="40" w:after="40"/>
              <w:ind w:left="100" w:right="100"/>
              <w:jc w:val="right"/>
            </w:pPr>
            <w:r>
              <w:rPr>
                <w:rFonts w:eastAsia="Century Gothic" w:cs="Century Gothic"/>
                <w:color w:val="000000"/>
                <w:sz w:val="18"/>
                <w:szCs w:val="18"/>
              </w:rPr>
              <w:t>42 (16.1%)</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7F4C34B2" w14:textId="77777777" w:rsidR="001C19F3" w:rsidRDefault="001C19F3" w:rsidP="00521305">
            <w:pPr>
              <w:spacing w:after="0"/>
              <w:rPr>
                <w:sz w:val="22"/>
              </w:rPr>
            </w:pPr>
          </w:p>
        </w:tc>
      </w:tr>
      <w:tr w:rsidR="001C19F3" w14:paraId="5236299E"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A2CC03" w14:textId="77777777" w:rsidR="001C19F3" w:rsidRDefault="001C19F3" w:rsidP="00521305">
            <w:pPr>
              <w:spacing w:before="40" w:after="40"/>
              <w:ind w:left="160" w:right="100"/>
            </w:pPr>
            <w:r>
              <w:rPr>
                <w:rFonts w:eastAsia="Century Gothic" w:cs="Century Gothic"/>
                <w:color w:val="000000"/>
                <w:sz w:val="18"/>
                <w:szCs w:val="18"/>
              </w:rPr>
              <w:t>4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7972C0" w14:textId="77777777" w:rsidR="001C19F3" w:rsidRDefault="001C19F3" w:rsidP="00521305">
            <w:pPr>
              <w:spacing w:before="40" w:after="40"/>
              <w:ind w:left="100" w:right="100"/>
              <w:jc w:val="center"/>
            </w:pPr>
            <w:r>
              <w:rPr>
                <w:rFonts w:eastAsia="Century Gothic" w:cs="Century Gothic"/>
                <w:color w:val="000000"/>
                <w:sz w:val="18"/>
                <w:szCs w:val="18"/>
              </w:rPr>
              <w:t>296 (14.7%)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33D330" w14:textId="77777777" w:rsidR="001C19F3" w:rsidRDefault="001C19F3" w:rsidP="00521305">
            <w:pPr>
              <w:spacing w:before="40" w:after="40"/>
              <w:ind w:left="100" w:right="100"/>
              <w:jc w:val="center"/>
            </w:pPr>
            <w:r>
              <w:rPr>
                <w:rFonts w:eastAsia="Century Gothic" w:cs="Century Gothic"/>
                <w:color w:val="000000"/>
                <w:sz w:val="18"/>
                <w:szCs w:val="18"/>
              </w:rPr>
              <w:t>55 (13.3%)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39D56C" w14:textId="77777777" w:rsidR="001C19F3" w:rsidRDefault="001C19F3" w:rsidP="00521305">
            <w:pPr>
              <w:spacing w:before="40" w:after="40"/>
              <w:ind w:left="100" w:right="100"/>
              <w:jc w:val="center"/>
            </w:pPr>
            <w:r>
              <w:rPr>
                <w:rFonts w:eastAsia="Century Gothic" w:cs="Century Gothic"/>
                <w:color w:val="000000"/>
                <w:sz w:val="18"/>
                <w:szCs w:val="18"/>
              </w:rPr>
              <w:t>241 (15.3%)</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5BD42D0"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B8F058" w14:textId="77777777" w:rsidR="001C19F3" w:rsidRDefault="001C19F3" w:rsidP="00521305">
            <w:pPr>
              <w:spacing w:before="40" w:after="40"/>
              <w:ind w:left="100" w:right="100"/>
              <w:jc w:val="center"/>
            </w:pPr>
            <w:r>
              <w:rPr>
                <w:rFonts w:eastAsia="Century Gothic" w:cs="Century Gothic"/>
                <w:color w:val="000000"/>
                <w:sz w:val="18"/>
                <w:szCs w:val="18"/>
              </w:rPr>
              <w:t>224 (15.3%)</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91E17" w14:textId="77777777" w:rsidR="001C19F3" w:rsidRDefault="001C19F3" w:rsidP="00521305">
            <w:pPr>
              <w:spacing w:before="40" w:after="40"/>
              <w:ind w:left="100" w:right="100"/>
              <w:jc w:val="right"/>
            </w:pPr>
            <w:r>
              <w:rPr>
                <w:rFonts w:eastAsia="Century Gothic" w:cs="Century Gothic"/>
                <w:color w:val="000000"/>
                <w:sz w:val="18"/>
                <w:szCs w:val="18"/>
              </w:rPr>
              <w:t>28 (10.3%)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33FBB9" w14:textId="77777777" w:rsidR="001C19F3" w:rsidRDefault="001C19F3" w:rsidP="00521305">
            <w:pPr>
              <w:spacing w:before="40" w:after="40"/>
              <w:ind w:left="100" w:right="100"/>
              <w:jc w:val="right"/>
            </w:pPr>
            <w:r>
              <w:rPr>
                <w:rFonts w:eastAsia="Century Gothic" w:cs="Century Gothic"/>
                <w:color w:val="000000"/>
                <w:sz w:val="18"/>
                <w:szCs w:val="18"/>
              </w:rPr>
              <w:t>44 (16.9%)</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84CB7DC" w14:textId="77777777" w:rsidR="001C19F3" w:rsidRDefault="001C19F3" w:rsidP="00521305">
            <w:pPr>
              <w:spacing w:after="0"/>
              <w:rPr>
                <w:sz w:val="22"/>
              </w:rPr>
            </w:pPr>
          </w:p>
        </w:tc>
      </w:tr>
      <w:tr w:rsidR="001C19F3" w14:paraId="16D82E1F"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E7832B" w14:textId="77777777" w:rsidR="001C19F3" w:rsidRDefault="001C19F3" w:rsidP="00521305">
            <w:pPr>
              <w:spacing w:before="40" w:after="40"/>
              <w:ind w:left="160" w:right="100"/>
            </w:pPr>
            <w:r>
              <w:rPr>
                <w:rFonts w:eastAsia="Century Gothic" w:cs="Century Gothic"/>
                <w:color w:val="000000"/>
                <w:sz w:val="18"/>
                <w:szCs w:val="18"/>
              </w:rPr>
              <w:t>5 to 9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9FCA43" w14:textId="77777777" w:rsidR="001C19F3" w:rsidRDefault="001C19F3" w:rsidP="00521305">
            <w:pPr>
              <w:spacing w:before="40" w:after="40"/>
              <w:ind w:left="100" w:right="100"/>
              <w:jc w:val="center"/>
            </w:pPr>
            <w:r>
              <w:rPr>
                <w:rFonts w:eastAsia="Century Gothic" w:cs="Century Gothic"/>
                <w:color w:val="000000"/>
                <w:sz w:val="18"/>
                <w:szCs w:val="18"/>
              </w:rPr>
              <w:t>596 (29.5%)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1F2450" w14:textId="77777777" w:rsidR="001C19F3" w:rsidRDefault="001C19F3" w:rsidP="00521305">
            <w:pPr>
              <w:spacing w:before="40" w:after="40"/>
              <w:ind w:left="100" w:right="100"/>
              <w:jc w:val="center"/>
            </w:pPr>
            <w:r>
              <w:rPr>
                <w:rFonts w:eastAsia="Century Gothic" w:cs="Century Gothic"/>
                <w:color w:val="000000"/>
                <w:sz w:val="18"/>
                <w:szCs w:val="18"/>
              </w:rPr>
              <w:t>105 (25.4%)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C0F5D5" w14:textId="77777777" w:rsidR="001C19F3" w:rsidRDefault="001C19F3" w:rsidP="00521305">
            <w:pPr>
              <w:spacing w:before="40" w:after="40"/>
              <w:ind w:left="100" w:right="100"/>
              <w:jc w:val="center"/>
            </w:pPr>
            <w:r>
              <w:rPr>
                <w:rFonts w:eastAsia="Century Gothic" w:cs="Century Gothic"/>
                <w:color w:val="000000"/>
                <w:sz w:val="18"/>
                <w:szCs w:val="18"/>
              </w:rPr>
              <w:t>491 (31.1%)</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69A3C2B2"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710A18" w14:textId="77777777" w:rsidR="001C19F3" w:rsidRDefault="001C19F3" w:rsidP="00521305">
            <w:pPr>
              <w:spacing w:before="40" w:after="40"/>
              <w:ind w:left="100" w:right="100"/>
              <w:jc w:val="center"/>
            </w:pPr>
            <w:r>
              <w:rPr>
                <w:rFonts w:eastAsia="Century Gothic" w:cs="Century Gothic"/>
                <w:color w:val="000000"/>
                <w:sz w:val="18"/>
                <w:szCs w:val="18"/>
              </w:rPr>
              <w:t>426 (29.2%)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9D15FB" w14:textId="77777777" w:rsidR="001C19F3" w:rsidRDefault="001C19F3" w:rsidP="00521305">
            <w:pPr>
              <w:spacing w:before="40" w:after="40"/>
              <w:ind w:left="100" w:right="100"/>
              <w:jc w:val="right"/>
            </w:pPr>
            <w:r>
              <w:rPr>
                <w:rFonts w:eastAsia="Century Gothic" w:cs="Century Gothic"/>
                <w:color w:val="000000"/>
                <w:sz w:val="18"/>
                <w:szCs w:val="18"/>
              </w:rPr>
              <w:t>93 (34.3%)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61212A" w14:textId="77777777" w:rsidR="001C19F3" w:rsidRDefault="001C19F3" w:rsidP="00521305">
            <w:pPr>
              <w:spacing w:before="40" w:after="40"/>
              <w:ind w:left="100" w:right="100"/>
              <w:jc w:val="right"/>
            </w:pPr>
            <w:r>
              <w:rPr>
                <w:rFonts w:eastAsia="Century Gothic" w:cs="Century Gothic"/>
                <w:color w:val="000000"/>
                <w:sz w:val="18"/>
                <w:szCs w:val="18"/>
              </w:rPr>
              <w:t>77 (29.5%)</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2F422026" w14:textId="77777777" w:rsidR="001C19F3" w:rsidRDefault="001C19F3" w:rsidP="00521305">
            <w:pPr>
              <w:spacing w:after="0"/>
              <w:rPr>
                <w:sz w:val="22"/>
              </w:rPr>
            </w:pPr>
          </w:p>
        </w:tc>
      </w:tr>
      <w:tr w:rsidR="001C19F3" w14:paraId="6D70A38F"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6E0658" w14:textId="77777777" w:rsidR="001C19F3" w:rsidRDefault="001C19F3" w:rsidP="00521305">
            <w:pPr>
              <w:spacing w:before="40" w:after="40"/>
              <w:ind w:left="160" w:right="100"/>
            </w:pPr>
            <w:r>
              <w:rPr>
                <w:rFonts w:eastAsia="Century Gothic" w:cs="Century Gothic"/>
                <w:color w:val="000000"/>
                <w:sz w:val="18"/>
                <w:szCs w:val="18"/>
              </w:rPr>
              <w:t>10 or more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F648D1" w14:textId="77777777" w:rsidR="001C19F3" w:rsidRDefault="001C19F3" w:rsidP="00521305">
            <w:pPr>
              <w:spacing w:before="40" w:after="40"/>
              <w:ind w:left="100" w:right="100"/>
              <w:jc w:val="center"/>
            </w:pPr>
            <w:r>
              <w:rPr>
                <w:rFonts w:eastAsia="Century Gothic" w:cs="Century Gothic"/>
                <w:color w:val="000000"/>
                <w:sz w:val="18"/>
                <w:szCs w:val="18"/>
              </w:rPr>
              <w:t>434 (21.5%)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5454AA" w14:textId="77777777" w:rsidR="001C19F3" w:rsidRDefault="001C19F3" w:rsidP="00521305">
            <w:pPr>
              <w:spacing w:before="40" w:after="40"/>
              <w:ind w:left="100" w:right="100"/>
              <w:jc w:val="center"/>
            </w:pPr>
            <w:r>
              <w:rPr>
                <w:rFonts w:eastAsia="Century Gothic" w:cs="Century Gothic"/>
                <w:color w:val="000000"/>
                <w:sz w:val="18"/>
                <w:szCs w:val="18"/>
              </w:rPr>
              <w:t>104 (25.2%)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40D652" w14:textId="77777777" w:rsidR="001C19F3" w:rsidRDefault="001C19F3" w:rsidP="00521305">
            <w:pPr>
              <w:spacing w:before="40" w:after="40"/>
              <w:ind w:left="100" w:right="100"/>
              <w:jc w:val="center"/>
            </w:pPr>
            <w:r>
              <w:rPr>
                <w:rFonts w:eastAsia="Century Gothic" w:cs="Century Gothic"/>
                <w:color w:val="000000"/>
                <w:sz w:val="18"/>
                <w:szCs w:val="18"/>
              </w:rPr>
              <w:t>330 (20.9%)</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46AFC75"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3C0DD" w14:textId="77777777" w:rsidR="001C19F3" w:rsidRDefault="001C19F3" w:rsidP="00521305">
            <w:pPr>
              <w:spacing w:before="40" w:after="40"/>
              <w:ind w:left="100" w:right="100"/>
              <w:jc w:val="center"/>
            </w:pPr>
            <w:r>
              <w:rPr>
                <w:rFonts w:eastAsia="Century Gothic" w:cs="Century Gothic"/>
                <w:color w:val="000000"/>
                <w:sz w:val="18"/>
                <w:szCs w:val="18"/>
              </w:rPr>
              <w:t>312 (21.4%)</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EAA624" w14:textId="77777777" w:rsidR="001C19F3" w:rsidRDefault="001C19F3" w:rsidP="00521305">
            <w:pPr>
              <w:spacing w:before="40" w:after="40"/>
              <w:ind w:left="100" w:right="100"/>
              <w:jc w:val="right"/>
            </w:pPr>
            <w:r>
              <w:rPr>
                <w:rFonts w:eastAsia="Century Gothic" w:cs="Century Gothic"/>
                <w:color w:val="000000"/>
                <w:sz w:val="18"/>
                <w:szCs w:val="18"/>
              </w:rPr>
              <w:t>64 (23.6%)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F49457" w14:textId="77777777" w:rsidR="001C19F3" w:rsidRDefault="001C19F3" w:rsidP="00521305">
            <w:pPr>
              <w:spacing w:before="40" w:after="40"/>
              <w:ind w:left="100" w:right="100"/>
              <w:jc w:val="right"/>
            </w:pPr>
            <w:r>
              <w:rPr>
                <w:rFonts w:eastAsia="Century Gothic" w:cs="Century Gothic"/>
                <w:color w:val="000000"/>
                <w:sz w:val="18"/>
                <w:szCs w:val="18"/>
              </w:rPr>
              <w:t>58 (22.2%)</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DEB783E" w14:textId="77777777" w:rsidR="001C19F3" w:rsidRDefault="001C19F3" w:rsidP="00521305">
            <w:pPr>
              <w:spacing w:after="0"/>
              <w:rPr>
                <w:sz w:val="22"/>
              </w:rPr>
            </w:pPr>
          </w:p>
        </w:tc>
      </w:tr>
      <w:tr w:rsidR="001C19F3" w14:paraId="7DE0849D"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3F9844"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C13129" w14:textId="77777777" w:rsidR="001C19F3" w:rsidRDefault="001C19F3" w:rsidP="00521305">
            <w:pPr>
              <w:spacing w:before="40" w:after="40"/>
              <w:ind w:left="100" w:right="100"/>
              <w:jc w:val="center"/>
            </w:pPr>
            <w:r>
              <w:rPr>
                <w:rFonts w:eastAsia="Century Gothic" w:cs="Century Gothic"/>
                <w:color w:val="000000"/>
                <w:sz w:val="18"/>
                <w:szCs w:val="18"/>
              </w:rPr>
              <w:t>26 (1.3%)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87BE2B"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977461"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587147"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FE6192"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F20164"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2C53FD"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9ED1BA" w14:textId="77777777" w:rsidR="001C19F3" w:rsidRDefault="001C19F3" w:rsidP="00521305">
            <w:pPr>
              <w:spacing w:before="40" w:after="40"/>
              <w:ind w:left="100" w:right="100"/>
              <w:jc w:val="right"/>
            </w:pPr>
          </w:p>
        </w:tc>
      </w:tr>
      <w:tr w:rsidR="001C19F3" w14:paraId="755D2DB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4C7625" w14:textId="77777777" w:rsidR="001C19F3" w:rsidRDefault="001C19F3" w:rsidP="00521305">
            <w:pPr>
              <w:spacing w:before="40" w:after="40"/>
              <w:ind w:left="100" w:right="100"/>
            </w:pPr>
            <w:r>
              <w:rPr>
                <w:rFonts w:eastAsia="Century Gothic" w:cs="Century Gothic"/>
                <w:b/>
                <w:color w:val="000000"/>
                <w:sz w:val="18"/>
                <w:szCs w:val="18"/>
              </w:rPr>
              <w:t>B4 Number of times the patient contacted their GP or other professional at the HCH practice by email or telephone about their health in the last six months (apart from scheduling appointments) (Q5)</w:t>
            </w:r>
          </w:p>
        </w:tc>
      </w:tr>
      <w:tr w:rsidR="001C19F3" w14:paraId="0876E533"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AF1814" w14:textId="77777777" w:rsidR="001C19F3" w:rsidRDefault="001C19F3" w:rsidP="00521305">
            <w:pPr>
              <w:spacing w:before="40" w:after="40"/>
              <w:ind w:left="160" w:right="100"/>
            </w:pPr>
            <w:r>
              <w:rPr>
                <w:rFonts w:eastAsia="Century Gothic" w:cs="Century Gothic"/>
                <w:color w:val="000000"/>
                <w:sz w:val="18"/>
                <w:szCs w:val="18"/>
              </w:rPr>
              <w:t>Once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3B680B" w14:textId="77777777" w:rsidR="001C19F3" w:rsidRDefault="001C19F3" w:rsidP="00521305">
            <w:pPr>
              <w:spacing w:before="40" w:after="40"/>
              <w:ind w:left="100" w:right="100"/>
              <w:jc w:val="center"/>
            </w:pPr>
            <w:r>
              <w:rPr>
                <w:rFonts w:eastAsia="Century Gothic" w:cs="Century Gothic"/>
                <w:color w:val="000000"/>
                <w:sz w:val="18"/>
                <w:szCs w:val="18"/>
              </w:rPr>
              <w:t>121 (6.0%)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13515B" w14:textId="77777777" w:rsidR="001C19F3" w:rsidRDefault="001C19F3" w:rsidP="00521305">
            <w:pPr>
              <w:spacing w:before="40" w:after="40"/>
              <w:ind w:left="100" w:right="100"/>
              <w:jc w:val="center"/>
            </w:pPr>
            <w:r>
              <w:rPr>
                <w:rFonts w:eastAsia="Century Gothic" w:cs="Century Gothic"/>
                <w:color w:val="000000"/>
                <w:sz w:val="18"/>
                <w:szCs w:val="18"/>
              </w:rPr>
              <w:t>27 (6.6%)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24BDFE" w14:textId="77777777" w:rsidR="001C19F3" w:rsidRDefault="001C19F3" w:rsidP="00521305">
            <w:pPr>
              <w:spacing w:before="40" w:after="40"/>
              <w:ind w:left="100" w:right="100"/>
              <w:jc w:val="center"/>
            </w:pPr>
            <w:r>
              <w:rPr>
                <w:rFonts w:eastAsia="Century Gothic" w:cs="Century Gothic"/>
                <w:color w:val="000000"/>
                <w:sz w:val="18"/>
                <w:szCs w:val="18"/>
              </w:rPr>
              <w:t>94 (5.9%)</w:t>
            </w:r>
          </w:p>
        </w:tc>
        <w:tc>
          <w:tcPr>
            <w:tcW w:w="127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997A04" w14:textId="77777777" w:rsidR="001C19F3" w:rsidRDefault="001C19F3" w:rsidP="00521305">
            <w:pPr>
              <w:spacing w:before="40" w:after="40"/>
              <w:ind w:left="100" w:right="100"/>
              <w:jc w:val="center"/>
            </w:pPr>
            <w:r>
              <w:rPr>
                <w:rFonts w:eastAsia="Century Gothic" w:cs="Century Gothic"/>
                <w:color w:val="000000"/>
                <w:sz w:val="18"/>
                <w:szCs w:val="18"/>
              </w:rPr>
              <w:t>0.068</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EA9C88" w14:textId="77777777" w:rsidR="001C19F3" w:rsidRDefault="001C19F3" w:rsidP="00521305">
            <w:pPr>
              <w:spacing w:before="40" w:after="40"/>
              <w:ind w:left="100" w:right="100"/>
              <w:jc w:val="center"/>
            </w:pPr>
            <w:r>
              <w:rPr>
                <w:rFonts w:eastAsia="Century Gothic" w:cs="Century Gothic"/>
                <w:color w:val="000000"/>
                <w:sz w:val="18"/>
                <w:szCs w:val="18"/>
              </w:rPr>
              <w:t>89 (6.1%)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83E646" w14:textId="77777777" w:rsidR="001C19F3" w:rsidRDefault="001C19F3" w:rsidP="00521305">
            <w:pPr>
              <w:spacing w:before="40" w:after="40"/>
              <w:ind w:left="100" w:right="100"/>
              <w:jc w:val="right"/>
            </w:pPr>
            <w:r>
              <w:rPr>
                <w:rFonts w:eastAsia="Century Gothic" w:cs="Century Gothic"/>
                <w:color w:val="000000"/>
                <w:sz w:val="18"/>
                <w:szCs w:val="18"/>
              </w:rPr>
              <w:t>22 (8.2%)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5CF3E" w14:textId="77777777" w:rsidR="001C19F3" w:rsidRDefault="001C19F3" w:rsidP="00521305">
            <w:pPr>
              <w:spacing w:before="40" w:after="40"/>
              <w:ind w:left="100" w:right="100"/>
              <w:jc w:val="right"/>
            </w:pPr>
            <w:r>
              <w:rPr>
                <w:rFonts w:eastAsia="Century Gothic" w:cs="Century Gothic"/>
                <w:color w:val="000000"/>
                <w:sz w:val="18"/>
                <w:szCs w:val="18"/>
              </w:rPr>
              <w:t>10 (3.8%)</w:t>
            </w:r>
          </w:p>
        </w:tc>
        <w:tc>
          <w:tcPr>
            <w:tcW w:w="1096"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8C3FC2" w14:textId="77777777" w:rsidR="001C19F3" w:rsidRDefault="001C19F3" w:rsidP="00521305">
            <w:pPr>
              <w:spacing w:before="40" w:after="40"/>
              <w:ind w:left="100" w:right="100"/>
              <w:jc w:val="right"/>
            </w:pPr>
            <w:r>
              <w:rPr>
                <w:rFonts w:eastAsia="Century Gothic" w:cs="Century Gothic"/>
                <w:color w:val="000000"/>
                <w:sz w:val="18"/>
                <w:szCs w:val="18"/>
              </w:rPr>
              <w:t>0.056</w:t>
            </w:r>
          </w:p>
        </w:tc>
      </w:tr>
      <w:tr w:rsidR="001C19F3" w14:paraId="63F6D22A"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438269" w14:textId="77777777" w:rsidR="001C19F3" w:rsidRDefault="001C19F3" w:rsidP="00521305">
            <w:pPr>
              <w:spacing w:before="40" w:after="40"/>
              <w:ind w:left="160" w:right="100"/>
            </w:pPr>
            <w:r>
              <w:rPr>
                <w:rFonts w:eastAsia="Century Gothic" w:cs="Century Gothic"/>
                <w:color w:val="000000"/>
                <w:sz w:val="18"/>
                <w:szCs w:val="18"/>
              </w:rPr>
              <w:t>Twice</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EEC86B" w14:textId="77777777" w:rsidR="001C19F3" w:rsidRDefault="001C19F3" w:rsidP="00521305">
            <w:pPr>
              <w:spacing w:before="40" w:after="40"/>
              <w:ind w:left="100" w:right="100"/>
              <w:jc w:val="center"/>
            </w:pPr>
            <w:r>
              <w:rPr>
                <w:rFonts w:eastAsia="Century Gothic" w:cs="Century Gothic"/>
                <w:color w:val="000000"/>
                <w:sz w:val="18"/>
                <w:szCs w:val="18"/>
              </w:rPr>
              <w:t>155 (7.7%)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8B7548" w14:textId="77777777" w:rsidR="001C19F3" w:rsidRDefault="001C19F3" w:rsidP="00521305">
            <w:pPr>
              <w:spacing w:before="40" w:after="40"/>
              <w:ind w:left="100" w:right="100"/>
              <w:jc w:val="center"/>
            </w:pPr>
            <w:r>
              <w:rPr>
                <w:rFonts w:eastAsia="Century Gothic" w:cs="Century Gothic"/>
                <w:color w:val="000000"/>
                <w:sz w:val="18"/>
                <w:szCs w:val="18"/>
              </w:rPr>
              <w:t>28 (6.8%)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1F1EC7" w14:textId="77777777" w:rsidR="001C19F3" w:rsidRDefault="001C19F3" w:rsidP="00521305">
            <w:pPr>
              <w:spacing w:before="40" w:after="40"/>
              <w:ind w:left="100" w:right="100"/>
              <w:jc w:val="center"/>
            </w:pPr>
            <w:r>
              <w:rPr>
                <w:rFonts w:eastAsia="Century Gothic" w:cs="Century Gothic"/>
                <w:color w:val="000000"/>
                <w:sz w:val="18"/>
                <w:szCs w:val="18"/>
              </w:rPr>
              <w:t>127 (8.0%)</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8EC870C"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058729" w14:textId="77777777" w:rsidR="001C19F3" w:rsidRDefault="001C19F3" w:rsidP="00521305">
            <w:pPr>
              <w:spacing w:before="40" w:after="40"/>
              <w:ind w:left="100" w:right="100"/>
              <w:jc w:val="center"/>
            </w:pPr>
            <w:r>
              <w:rPr>
                <w:rFonts w:eastAsia="Century Gothic" w:cs="Century Gothic"/>
                <w:color w:val="000000"/>
                <w:sz w:val="18"/>
                <w:szCs w:val="18"/>
              </w:rPr>
              <w:t>113 (7.7%)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1F2BC0" w14:textId="77777777" w:rsidR="001C19F3" w:rsidRDefault="001C19F3" w:rsidP="00521305">
            <w:pPr>
              <w:spacing w:before="40" w:after="40"/>
              <w:ind w:left="100" w:right="100"/>
              <w:jc w:val="right"/>
            </w:pPr>
            <w:r>
              <w:rPr>
                <w:rFonts w:eastAsia="Century Gothic" w:cs="Century Gothic"/>
                <w:color w:val="000000"/>
                <w:sz w:val="18"/>
                <w:szCs w:val="18"/>
              </w:rPr>
              <w:t>22 (8.2%)</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DE4854" w14:textId="77777777" w:rsidR="001C19F3" w:rsidRDefault="001C19F3" w:rsidP="00521305">
            <w:pPr>
              <w:spacing w:before="40" w:after="40"/>
              <w:ind w:left="100" w:right="100"/>
              <w:jc w:val="right"/>
            </w:pPr>
            <w:r>
              <w:rPr>
                <w:rFonts w:eastAsia="Century Gothic" w:cs="Century Gothic"/>
                <w:color w:val="000000"/>
                <w:sz w:val="18"/>
                <w:szCs w:val="18"/>
              </w:rPr>
              <w:t>20 (7.7%)</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4889A7CA" w14:textId="77777777" w:rsidR="001C19F3" w:rsidRDefault="001C19F3" w:rsidP="00521305">
            <w:pPr>
              <w:spacing w:after="0"/>
              <w:rPr>
                <w:sz w:val="22"/>
              </w:rPr>
            </w:pPr>
          </w:p>
        </w:tc>
      </w:tr>
      <w:tr w:rsidR="001C19F3" w14:paraId="25AB6E62"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E970AC" w14:textId="77777777" w:rsidR="001C19F3" w:rsidRDefault="001C19F3" w:rsidP="00521305">
            <w:pPr>
              <w:spacing w:before="40" w:after="40"/>
              <w:ind w:left="160" w:right="100"/>
            </w:pPr>
            <w:r>
              <w:rPr>
                <w:rFonts w:eastAsia="Century Gothic" w:cs="Century Gothic"/>
                <w:color w:val="000000"/>
                <w:sz w:val="18"/>
                <w:szCs w:val="18"/>
              </w:rPr>
              <w:t>3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94410A" w14:textId="77777777" w:rsidR="001C19F3" w:rsidRDefault="001C19F3" w:rsidP="00521305">
            <w:pPr>
              <w:spacing w:before="40" w:after="40"/>
              <w:ind w:left="100" w:right="100"/>
              <w:jc w:val="center"/>
            </w:pPr>
            <w:r>
              <w:rPr>
                <w:rFonts w:eastAsia="Century Gothic" w:cs="Century Gothic"/>
                <w:color w:val="000000"/>
                <w:sz w:val="18"/>
                <w:szCs w:val="18"/>
              </w:rPr>
              <w:t>99 (4.9%)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8FEC35" w14:textId="77777777" w:rsidR="001C19F3" w:rsidRDefault="001C19F3" w:rsidP="00521305">
            <w:pPr>
              <w:spacing w:before="40" w:after="40"/>
              <w:ind w:left="100" w:right="100"/>
              <w:jc w:val="center"/>
            </w:pPr>
            <w:r>
              <w:rPr>
                <w:rFonts w:eastAsia="Century Gothic" w:cs="Century Gothic"/>
                <w:color w:val="000000"/>
                <w:sz w:val="18"/>
                <w:szCs w:val="18"/>
              </w:rPr>
              <w:t>17 (4.1%)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5835A" w14:textId="77777777" w:rsidR="001C19F3" w:rsidRDefault="001C19F3" w:rsidP="00521305">
            <w:pPr>
              <w:spacing w:before="40" w:after="40"/>
              <w:ind w:left="100" w:right="100"/>
              <w:jc w:val="center"/>
            </w:pPr>
            <w:r>
              <w:rPr>
                <w:rFonts w:eastAsia="Century Gothic" w:cs="Century Gothic"/>
                <w:color w:val="000000"/>
                <w:sz w:val="18"/>
                <w:szCs w:val="18"/>
              </w:rPr>
              <w:t>82 (5.2%)</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B6CBBDC"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6FA82F" w14:textId="77777777" w:rsidR="001C19F3" w:rsidRDefault="001C19F3" w:rsidP="00521305">
            <w:pPr>
              <w:spacing w:before="40" w:after="40"/>
              <w:ind w:left="100" w:right="100"/>
              <w:jc w:val="center"/>
            </w:pPr>
            <w:r>
              <w:rPr>
                <w:rFonts w:eastAsia="Century Gothic" w:cs="Century Gothic"/>
                <w:color w:val="000000"/>
                <w:sz w:val="18"/>
                <w:szCs w:val="18"/>
              </w:rPr>
              <w:t>69 (4.7%)</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940BEE" w14:textId="77777777" w:rsidR="001C19F3" w:rsidRDefault="001C19F3" w:rsidP="00521305">
            <w:pPr>
              <w:spacing w:before="40" w:after="40"/>
              <w:ind w:left="100" w:right="100"/>
              <w:jc w:val="right"/>
            </w:pPr>
            <w:r>
              <w:rPr>
                <w:rFonts w:eastAsia="Century Gothic" w:cs="Century Gothic"/>
                <w:color w:val="000000"/>
                <w:sz w:val="18"/>
                <w:szCs w:val="18"/>
              </w:rPr>
              <w:t>18 (6.7%)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9A4D20" w14:textId="77777777" w:rsidR="001C19F3" w:rsidRDefault="001C19F3" w:rsidP="00521305">
            <w:pPr>
              <w:spacing w:before="40" w:after="40"/>
              <w:ind w:left="100" w:right="100"/>
              <w:jc w:val="right"/>
            </w:pPr>
            <w:r>
              <w:rPr>
                <w:rFonts w:eastAsia="Century Gothic" w:cs="Century Gothic"/>
                <w:color w:val="000000"/>
                <w:sz w:val="18"/>
                <w:szCs w:val="18"/>
              </w:rPr>
              <w:t>12 (4.6%)</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1B8DB026" w14:textId="77777777" w:rsidR="001C19F3" w:rsidRDefault="001C19F3" w:rsidP="00521305">
            <w:pPr>
              <w:spacing w:after="0"/>
              <w:rPr>
                <w:sz w:val="22"/>
              </w:rPr>
            </w:pPr>
          </w:p>
        </w:tc>
      </w:tr>
      <w:tr w:rsidR="001C19F3" w14:paraId="58CE1680"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B67181" w14:textId="77777777" w:rsidR="001C19F3" w:rsidRDefault="001C19F3" w:rsidP="00521305">
            <w:pPr>
              <w:spacing w:before="40" w:after="40"/>
              <w:ind w:left="160" w:right="100"/>
            </w:pPr>
            <w:r>
              <w:rPr>
                <w:rFonts w:eastAsia="Century Gothic" w:cs="Century Gothic"/>
                <w:color w:val="000000"/>
                <w:sz w:val="18"/>
                <w:szCs w:val="18"/>
              </w:rPr>
              <w:t>4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D3BC7" w14:textId="77777777" w:rsidR="001C19F3" w:rsidRDefault="001C19F3" w:rsidP="00521305">
            <w:pPr>
              <w:spacing w:before="40" w:after="40"/>
              <w:ind w:left="100" w:right="100"/>
              <w:jc w:val="center"/>
            </w:pPr>
            <w:r>
              <w:rPr>
                <w:rFonts w:eastAsia="Century Gothic" w:cs="Century Gothic"/>
                <w:color w:val="000000"/>
                <w:sz w:val="18"/>
                <w:szCs w:val="18"/>
              </w:rPr>
              <w:t>70 (3.5%)</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5B19EE" w14:textId="77777777" w:rsidR="001C19F3" w:rsidRDefault="001C19F3" w:rsidP="00521305">
            <w:pPr>
              <w:spacing w:before="40" w:after="40"/>
              <w:ind w:left="100" w:right="100"/>
              <w:jc w:val="center"/>
            </w:pPr>
            <w:r>
              <w:rPr>
                <w:rFonts w:eastAsia="Century Gothic" w:cs="Century Gothic"/>
                <w:color w:val="000000"/>
                <w:sz w:val="18"/>
                <w:szCs w:val="18"/>
              </w:rPr>
              <w:t>13 (3.2%)</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FEBB19" w14:textId="77777777" w:rsidR="001C19F3" w:rsidRDefault="001C19F3" w:rsidP="00521305">
            <w:pPr>
              <w:spacing w:before="40" w:after="40"/>
              <w:ind w:left="100" w:right="100"/>
              <w:jc w:val="center"/>
            </w:pPr>
            <w:r>
              <w:rPr>
                <w:rFonts w:eastAsia="Century Gothic" w:cs="Century Gothic"/>
                <w:color w:val="000000"/>
                <w:sz w:val="18"/>
                <w:szCs w:val="18"/>
              </w:rPr>
              <w:t>57 (3.6%)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C5C5652"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85005" w14:textId="77777777" w:rsidR="001C19F3" w:rsidRDefault="001C19F3" w:rsidP="00521305">
            <w:pPr>
              <w:spacing w:before="40" w:after="40"/>
              <w:ind w:left="100" w:right="100"/>
              <w:jc w:val="center"/>
            </w:pPr>
            <w:r>
              <w:rPr>
                <w:rFonts w:eastAsia="Century Gothic" w:cs="Century Gothic"/>
                <w:color w:val="000000"/>
                <w:sz w:val="18"/>
                <w:szCs w:val="18"/>
              </w:rPr>
              <w:t>46 (3.1%)</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D2AD8D" w14:textId="77777777" w:rsidR="001C19F3" w:rsidRDefault="001C19F3" w:rsidP="00521305">
            <w:pPr>
              <w:spacing w:before="40" w:after="40"/>
              <w:ind w:left="100" w:right="100"/>
              <w:jc w:val="right"/>
            </w:pPr>
            <w:r>
              <w:rPr>
                <w:rFonts w:eastAsia="Century Gothic" w:cs="Century Gothic"/>
                <w:color w:val="000000"/>
                <w:sz w:val="18"/>
                <w:szCs w:val="18"/>
              </w:rPr>
              <w:t>15 (5.6%)</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58DCFA" w14:textId="77777777" w:rsidR="001C19F3" w:rsidRDefault="001C19F3" w:rsidP="00521305">
            <w:pPr>
              <w:spacing w:before="40" w:after="40"/>
              <w:ind w:left="100" w:right="100"/>
              <w:jc w:val="right"/>
            </w:pPr>
            <w:r>
              <w:rPr>
                <w:rFonts w:eastAsia="Century Gothic" w:cs="Century Gothic"/>
                <w:color w:val="000000"/>
                <w:sz w:val="18"/>
                <w:szCs w:val="18"/>
              </w:rPr>
              <w:t>9 (3.4%)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2224C18" w14:textId="77777777" w:rsidR="001C19F3" w:rsidRDefault="001C19F3" w:rsidP="00521305">
            <w:pPr>
              <w:spacing w:after="0"/>
              <w:rPr>
                <w:sz w:val="22"/>
              </w:rPr>
            </w:pPr>
          </w:p>
        </w:tc>
      </w:tr>
      <w:tr w:rsidR="001C19F3" w14:paraId="31D511E3"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4207E9" w14:textId="77777777" w:rsidR="001C19F3" w:rsidRDefault="001C19F3" w:rsidP="00521305">
            <w:pPr>
              <w:spacing w:before="40" w:after="40"/>
              <w:ind w:left="160" w:right="100"/>
            </w:pPr>
            <w:r>
              <w:rPr>
                <w:rFonts w:eastAsia="Century Gothic" w:cs="Century Gothic"/>
                <w:color w:val="000000"/>
                <w:sz w:val="18"/>
                <w:szCs w:val="18"/>
              </w:rPr>
              <w:t>5 to 9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366691" w14:textId="77777777" w:rsidR="001C19F3" w:rsidRDefault="001C19F3" w:rsidP="00521305">
            <w:pPr>
              <w:spacing w:before="40" w:after="40"/>
              <w:ind w:left="100" w:right="100"/>
              <w:jc w:val="center"/>
            </w:pPr>
            <w:r>
              <w:rPr>
                <w:rFonts w:eastAsia="Century Gothic" w:cs="Century Gothic"/>
                <w:color w:val="000000"/>
                <w:sz w:val="18"/>
                <w:szCs w:val="18"/>
              </w:rPr>
              <w:t>128 (6.3%)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0971F7" w14:textId="77777777" w:rsidR="001C19F3" w:rsidRDefault="001C19F3" w:rsidP="00521305">
            <w:pPr>
              <w:spacing w:before="40" w:after="40"/>
              <w:ind w:left="100" w:right="100"/>
              <w:jc w:val="center"/>
            </w:pPr>
            <w:r>
              <w:rPr>
                <w:rFonts w:eastAsia="Century Gothic" w:cs="Century Gothic"/>
                <w:color w:val="000000"/>
                <w:sz w:val="18"/>
                <w:szCs w:val="18"/>
              </w:rPr>
              <w:t>40 (9.8%)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5C76E" w14:textId="77777777" w:rsidR="001C19F3" w:rsidRDefault="001C19F3" w:rsidP="00521305">
            <w:pPr>
              <w:spacing w:before="40" w:after="40"/>
              <w:ind w:left="100" w:right="100"/>
              <w:jc w:val="center"/>
            </w:pPr>
            <w:r>
              <w:rPr>
                <w:rFonts w:eastAsia="Century Gothic" w:cs="Century Gothic"/>
                <w:color w:val="000000"/>
                <w:sz w:val="18"/>
                <w:szCs w:val="18"/>
              </w:rPr>
              <w:t>88 (5.6%)</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03A09CDF"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AEC0F9" w14:textId="77777777" w:rsidR="001C19F3" w:rsidRDefault="001C19F3" w:rsidP="00521305">
            <w:pPr>
              <w:spacing w:before="40" w:after="40"/>
              <w:ind w:left="100" w:right="100"/>
              <w:jc w:val="center"/>
            </w:pPr>
            <w:r>
              <w:rPr>
                <w:rFonts w:eastAsia="Century Gothic" w:cs="Century Gothic"/>
                <w:color w:val="000000"/>
                <w:sz w:val="18"/>
                <w:szCs w:val="18"/>
              </w:rPr>
              <w:t>100 (6.8%)</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2DDF82" w14:textId="77777777" w:rsidR="001C19F3" w:rsidRDefault="001C19F3" w:rsidP="00521305">
            <w:pPr>
              <w:spacing w:before="40" w:after="40"/>
              <w:ind w:left="100" w:right="100"/>
              <w:jc w:val="right"/>
            </w:pPr>
            <w:r>
              <w:rPr>
                <w:rFonts w:eastAsia="Century Gothic" w:cs="Century Gothic"/>
                <w:color w:val="000000"/>
                <w:sz w:val="18"/>
                <w:szCs w:val="18"/>
              </w:rPr>
              <w:t>18 (6.7%)</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E449E7" w14:textId="77777777" w:rsidR="001C19F3" w:rsidRDefault="001C19F3" w:rsidP="00521305">
            <w:pPr>
              <w:spacing w:before="40" w:after="40"/>
              <w:ind w:left="100" w:right="100"/>
              <w:jc w:val="right"/>
            </w:pPr>
            <w:r>
              <w:rPr>
                <w:rFonts w:eastAsia="Century Gothic" w:cs="Century Gothic"/>
                <w:color w:val="000000"/>
                <w:sz w:val="18"/>
                <w:szCs w:val="18"/>
              </w:rPr>
              <w:t>10 (3.8%)</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54F40E4A" w14:textId="77777777" w:rsidR="001C19F3" w:rsidRDefault="001C19F3" w:rsidP="00521305">
            <w:pPr>
              <w:spacing w:after="0"/>
              <w:rPr>
                <w:sz w:val="22"/>
              </w:rPr>
            </w:pPr>
          </w:p>
        </w:tc>
      </w:tr>
      <w:tr w:rsidR="001C19F3" w14:paraId="16C04D01"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1C059C" w14:textId="77777777" w:rsidR="001C19F3" w:rsidRDefault="001C19F3" w:rsidP="00521305">
            <w:pPr>
              <w:spacing w:before="40" w:after="40"/>
              <w:ind w:left="160" w:right="100"/>
            </w:pPr>
            <w:r>
              <w:rPr>
                <w:rFonts w:eastAsia="Century Gothic" w:cs="Century Gothic"/>
                <w:color w:val="000000"/>
                <w:sz w:val="18"/>
                <w:szCs w:val="18"/>
              </w:rPr>
              <w:t>10 or more times</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100AD7" w14:textId="77777777" w:rsidR="001C19F3" w:rsidRDefault="001C19F3" w:rsidP="00521305">
            <w:pPr>
              <w:spacing w:before="40" w:after="40"/>
              <w:ind w:left="100" w:right="100"/>
              <w:jc w:val="center"/>
            </w:pPr>
            <w:r>
              <w:rPr>
                <w:rFonts w:eastAsia="Century Gothic" w:cs="Century Gothic"/>
                <w:color w:val="000000"/>
                <w:sz w:val="18"/>
                <w:szCs w:val="18"/>
              </w:rPr>
              <w:t>78 (3.9%)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C936D" w14:textId="77777777" w:rsidR="001C19F3" w:rsidRDefault="001C19F3" w:rsidP="00521305">
            <w:pPr>
              <w:spacing w:before="40" w:after="40"/>
              <w:ind w:left="100" w:right="100"/>
              <w:jc w:val="center"/>
            </w:pPr>
            <w:r>
              <w:rPr>
                <w:rFonts w:eastAsia="Century Gothic" w:cs="Century Gothic"/>
                <w:color w:val="000000"/>
                <w:sz w:val="18"/>
                <w:szCs w:val="18"/>
              </w:rPr>
              <w:t>19 (4.6%)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3094B6" w14:textId="77777777" w:rsidR="001C19F3" w:rsidRDefault="001C19F3" w:rsidP="00521305">
            <w:pPr>
              <w:spacing w:before="40" w:after="40"/>
              <w:ind w:left="100" w:right="100"/>
              <w:jc w:val="center"/>
            </w:pPr>
            <w:r>
              <w:rPr>
                <w:rFonts w:eastAsia="Century Gothic" w:cs="Century Gothic"/>
                <w:color w:val="000000"/>
                <w:sz w:val="18"/>
                <w:szCs w:val="18"/>
              </w:rPr>
              <w:t>59 (3.7%)</w:t>
            </w:r>
          </w:p>
        </w:tc>
        <w:tc>
          <w:tcPr>
            <w:tcW w:w="1276" w:type="dxa"/>
            <w:vMerge/>
            <w:tcBorders>
              <w:top w:val="single" w:sz="8" w:space="0" w:color="BFBFBF"/>
              <w:left w:val="single" w:sz="8" w:space="0" w:color="BFBFBF"/>
              <w:bottom w:val="single" w:sz="8" w:space="0" w:color="BFBFBF"/>
              <w:right w:val="single" w:sz="8" w:space="0" w:color="BFBFBF"/>
            </w:tcBorders>
            <w:vAlign w:val="center"/>
            <w:hideMark/>
          </w:tcPr>
          <w:p w14:paraId="1EC5FB56" w14:textId="77777777" w:rsidR="001C19F3" w:rsidRDefault="001C19F3" w:rsidP="00521305">
            <w:pPr>
              <w:spacing w:after="0"/>
              <w:rPr>
                <w:sz w:val="22"/>
              </w:rP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7D767" w14:textId="77777777" w:rsidR="001C19F3" w:rsidRDefault="001C19F3" w:rsidP="00521305">
            <w:pPr>
              <w:spacing w:before="40" w:after="40"/>
              <w:ind w:left="100" w:right="100"/>
              <w:jc w:val="center"/>
            </w:pPr>
            <w:r>
              <w:rPr>
                <w:rFonts w:eastAsia="Century Gothic" w:cs="Century Gothic"/>
                <w:color w:val="000000"/>
                <w:sz w:val="18"/>
                <w:szCs w:val="18"/>
              </w:rPr>
              <w:t>53 (3.6%)</w:t>
            </w: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1F56FE" w14:textId="77777777" w:rsidR="001C19F3" w:rsidRDefault="001C19F3" w:rsidP="00521305">
            <w:pPr>
              <w:spacing w:before="40" w:after="40"/>
              <w:ind w:left="100" w:right="100"/>
              <w:jc w:val="right"/>
            </w:pPr>
            <w:r>
              <w:rPr>
                <w:rFonts w:eastAsia="Century Gothic" w:cs="Century Gothic"/>
                <w:color w:val="000000"/>
                <w:sz w:val="18"/>
                <w:szCs w:val="18"/>
              </w:rPr>
              <w:t>16 (5.9%)</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9408A" w14:textId="77777777" w:rsidR="001C19F3" w:rsidRDefault="001C19F3" w:rsidP="00521305">
            <w:pPr>
              <w:spacing w:before="40" w:after="40"/>
              <w:ind w:left="100" w:right="100"/>
              <w:jc w:val="right"/>
            </w:pPr>
            <w:r>
              <w:rPr>
                <w:rFonts w:eastAsia="Century Gothic" w:cs="Century Gothic"/>
                <w:color w:val="000000"/>
                <w:sz w:val="18"/>
                <w:szCs w:val="18"/>
              </w:rPr>
              <w:t>9 (3.4%)</w:t>
            </w:r>
          </w:p>
        </w:tc>
        <w:tc>
          <w:tcPr>
            <w:tcW w:w="1096" w:type="dxa"/>
            <w:vMerge/>
            <w:tcBorders>
              <w:top w:val="single" w:sz="8" w:space="0" w:color="BFBFBF"/>
              <w:left w:val="single" w:sz="8" w:space="0" w:color="BFBFBF"/>
              <w:bottom w:val="single" w:sz="8" w:space="0" w:color="BFBFBF"/>
              <w:right w:val="single" w:sz="8" w:space="0" w:color="BFBFBF"/>
            </w:tcBorders>
            <w:vAlign w:val="center"/>
            <w:hideMark/>
          </w:tcPr>
          <w:p w14:paraId="670DC80B" w14:textId="77777777" w:rsidR="001C19F3" w:rsidRDefault="001C19F3" w:rsidP="00521305">
            <w:pPr>
              <w:spacing w:after="0"/>
              <w:rPr>
                <w:sz w:val="22"/>
              </w:rPr>
            </w:pPr>
          </w:p>
        </w:tc>
      </w:tr>
      <w:tr w:rsidR="001C19F3" w14:paraId="2BD036A8" w14:textId="77777777" w:rsidTr="00521305">
        <w:trPr>
          <w:cantSplit/>
          <w:trHeight w:val="288"/>
          <w:jc w:val="center"/>
        </w:trPr>
        <w:tc>
          <w:tcPr>
            <w:tcW w:w="41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56CE44"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5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33FBAB" w14:textId="77777777" w:rsidR="001C19F3" w:rsidRDefault="001C19F3" w:rsidP="00521305">
            <w:pPr>
              <w:spacing w:before="40" w:after="40"/>
              <w:ind w:left="100" w:right="100"/>
              <w:jc w:val="center"/>
            </w:pPr>
            <w:r>
              <w:rPr>
                <w:rFonts w:eastAsia="Century Gothic" w:cs="Century Gothic"/>
                <w:color w:val="000000"/>
                <w:sz w:val="18"/>
                <w:szCs w:val="18"/>
              </w:rPr>
              <w:t>27 (1.3%)</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4A975B"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9D356E" w14:textId="77777777" w:rsidR="001C19F3" w:rsidRDefault="001C19F3" w:rsidP="00521305">
            <w:pPr>
              <w:spacing w:before="40" w:after="40"/>
              <w:ind w:left="100" w:right="100"/>
              <w:jc w:val="center"/>
            </w:pP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179FB8" w14:textId="77777777" w:rsidR="001C19F3" w:rsidRDefault="001C19F3" w:rsidP="00521305">
            <w:pPr>
              <w:spacing w:before="40" w:after="40"/>
              <w:ind w:left="100" w:right="100"/>
              <w:jc w:val="center"/>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5718C1" w14:textId="77777777" w:rsidR="001C19F3" w:rsidRDefault="001C19F3" w:rsidP="00521305">
            <w:pPr>
              <w:spacing w:before="40" w:after="40"/>
              <w:ind w:left="100" w:right="100"/>
              <w:jc w:val="center"/>
            </w:pPr>
          </w:p>
        </w:tc>
        <w:tc>
          <w:tcPr>
            <w:tcW w:w="141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5D85D2" w14:textId="77777777" w:rsidR="001C19F3" w:rsidRDefault="001C19F3" w:rsidP="00521305">
            <w:pPr>
              <w:spacing w:before="40" w:after="40"/>
              <w:ind w:left="100" w:right="100"/>
              <w:jc w:val="right"/>
            </w:pP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E39DBB" w14:textId="77777777" w:rsidR="001C19F3" w:rsidRDefault="001C19F3" w:rsidP="00521305">
            <w:pPr>
              <w:spacing w:before="40" w:after="40"/>
              <w:ind w:left="100" w:right="100"/>
              <w:jc w:val="right"/>
            </w:pPr>
          </w:p>
        </w:tc>
        <w:tc>
          <w:tcPr>
            <w:tcW w:w="109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2703F9" w14:textId="77777777" w:rsidR="001C19F3" w:rsidRDefault="001C19F3" w:rsidP="00521305">
            <w:pPr>
              <w:spacing w:before="40" w:after="40"/>
              <w:ind w:left="100" w:right="100"/>
              <w:jc w:val="right"/>
            </w:pPr>
          </w:p>
        </w:tc>
      </w:tr>
    </w:tbl>
    <w:p w14:paraId="6DCDA4A5" w14:textId="77777777" w:rsidR="001C19F3" w:rsidRDefault="001C19F3" w:rsidP="001C19F3">
      <w:pPr>
        <w:rPr>
          <w:rFonts w:asciiTheme="minorHAnsi" w:hAnsiTheme="minorHAnsi" w:cstheme="minorBidi"/>
          <w:sz w:val="22"/>
        </w:rPr>
      </w:pPr>
      <w:r>
        <w:br w:type="page"/>
      </w:r>
    </w:p>
    <w:p w14:paraId="05323113" w14:textId="77777777" w:rsidR="001C19F3" w:rsidRDefault="001C19F3" w:rsidP="001C19F3">
      <w:pPr>
        <w:pStyle w:val="Caption1"/>
      </w:pPr>
      <w:r>
        <w:lastRenderedPageBreak/>
        <w:t xml:space="preserve">Table </w:t>
      </w:r>
      <w:r>
        <w:fldChar w:fldCharType="begin"/>
      </w:r>
      <w:r>
        <w:instrText>SEQ Table \* ARABIC</w:instrText>
      </w:r>
      <w:r>
        <w:fldChar w:fldCharType="separate"/>
      </w:r>
      <w:r>
        <w:rPr>
          <w:noProof/>
        </w:rPr>
        <w:t>73</w:t>
      </w:r>
      <w:r>
        <w:fldChar w:fldCharType="end"/>
      </w:r>
      <w:r>
        <w:t xml:space="preserve"> – Access measures by practice ownership type and practice location</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48AA9C95" w14:textId="77777777" w:rsidTr="00521305">
        <w:trPr>
          <w:cantSplit/>
          <w:trHeight w:val="32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191655D" w14:textId="77777777" w:rsidR="001C19F3" w:rsidRDefault="001C19F3" w:rsidP="00521305">
            <w:pPr>
              <w:spacing w:after="0"/>
              <w:jc w:val="center"/>
            </w:pPr>
            <w:r>
              <w:rPr>
                <w:rFonts w:eastAsia="Century Gothic" w:cs="Century Gothic"/>
                <w:b/>
                <w:color w:val="FFFFFF"/>
                <w:sz w:val="18"/>
                <w:szCs w:val="18"/>
              </w:rPr>
              <w:t>Access</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1EA9B37"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5185B0"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282A2C0" w14:textId="77777777" w:rsidR="001C19F3" w:rsidRDefault="001C19F3" w:rsidP="00521305">
            <w:pPr>
              <w:spacing w:after="0"/>
              <w:jc w:val="center"/>
            </w:pPr>
            <w:r>
              <w:rPr>
                <w:rFonts w:eastAsia="Century Gothic" w:cs="Century Gothic"/>
                <w:b/>
                <w:color w:val="FFFFFF"/>
                <w:sz w:val="18"/>
                <w:szCs w:val="18"/>
              </w:rPr>
              <w:t>Location</w:t>
            </w:r>
          </w:p>
        </w:tc>
      </w:tr>
      <w:tr w:rsidR="001C19F3" w14:paraId="214CDCB7" w14:textId="77777777" w:rsidTr="00521305">
        <w:trPr>
          <w:cantSplit/>
          <w:trHeight w:val="330"/>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445CB22"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48EAA6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02AE23E"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36354C"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2A7771B"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91201F"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38A32E2"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7CED7F9"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5405D6C"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7879414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C2236" w14:textId="77777777" w:rsidR="001C19F3" w:rsidRDefault="001C19F3" w:rsidP="00521305">
            <w:pPr>
              <w:spacing w:before="40" w:after="40"/>
              <w:ind w:left="100" w:right="100"/>
            </w:pPr>
            <w:r>
              <w:rPr>
                <w:rFonts w:eastAsia="Century Gothic" w:cs="Century Gothic"/>
                <w:b/>
                <w:color w:val="000000"/>
                <w:sz w:val="18"/>
                <w:szCs w:val="18"/>
              </w:rPr>
              <w:t>C1 Over the last 6 months, that patient contacted the HCH to get an appointment for an illness, injury, or condition that needed care right away (Q14)</w:t>
            </w:r>
          </w:p>
        </w:tc>
      </w:tr>
      <w:tr w:rsidR="001C19F3" w14:paraId="2D174FE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C9AAC3"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A8EBC1" w14:textId="77777777" w:rsidR="001C19F3" w:rsidRDefault="001C19F3" w:rsidP="00521305">
            <w:pPr>
              <w:spacing w:before="40" w:after="40"/>
              <w:ind w:left="100" w:right="100"/>
              <w:jc w:val="center"/>
            </w:pPr>
            <w:r>
              <w:rPr>
                <w:rFonts w:eastAsia="Century Gothic" w:cs="Century Gothic"/>
                <w:color w:val="000000"/>
                <w:sz w:val="18"/>
                <w:szCs w:val="18"/>
              </w:rPr>
              <w:t>973 (48.2%)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69410C" w14:textId="77777777" w:rsidR="001C19F3" w:rsidRDefault="001C19F3" w:rsidP="00521305">
            <w:pPr>
              <w:spacing w:before="40" w:after="40"/>
              <w:ind w:left="100" w:right="100"/>
              <w:jc w:val="center"/>
            </w:pPr>
            <w:r>
              <w:rPr>
                <w:rFonts w:eastAsia="Century Gothic" w:cs="Century Gothic"/>
                <w:color w:val="000000"/>
                <w:sz w:val="18"/>
                <w:szCs w:val="18"/>
              </w:rPr>
              <w:t>204 (49.9%)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F165F7" w14:textId="77777777" w:rsidR="001C19F3" w:rsidRDefault="001C19F3" w:rsidP="00521305">
            <w:pPr>
              <w:spacing w:before="40" w:after="40"/>
              <w:ind w:left="100" w:right="100"/>
              <w:jc w:val="center"/>
            </w:pPr>
            <w:r>
              <w:rPr>
                <w:rFonts w:eastAsia="Century Gothic" w:cs="Century Gothic"/>
                <w:color w:val="000000"/>
                <w:sz w:val="18"/>
                <w:szCs w:val="18"/>
              </w:rPr>
              <w:t>769 (48.5%)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E19132" w14:textId="77777777" w:rsidR="001C19F3" w:rsidRDefault="001C19F3" w:rsidP="00521305">
            <w:pPr>
              <w:spacing w:before="40" w:after="40"/>
              <w:ind w:left="100" w:right="100"/>
              <w:jc w:val="center"/>
            </w:pPr>
            <w:r>
              <w:rPr>
                <w:rFonts w:eastAsia="Century Gothic" w:cs="Century Gothic"/>
                <w:color w:val="000000"/>
                <w:sz w:val="18"/>
                <w:szCs w:val="18"/>
              </w:rPr>
              <w:t>0.655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8BE42F" w14:textId="77777777" w:rsidR="001C19F3" w:rsidRDefault="001C19F3" w:rsidP="00521305">
            <w:pPr>
              <w:spacing w:before="40" w:after="40"/>
              <w:ind w:left="100" w:right="100"/>
              <w:jc w:val="center"/>
            </w:pPr>
            <w:r>
              <w:rPr>
                <w:rFonts w:eastAsia="Century Gothic" w:cs="Century Gothic"/>
                <w:color w:val="000000"/>
                <w:sz w:val="18"/>
                <w:szCs w:val="18"/>
              </w:rPr>
              <w:t>695 (47.5%)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BDC1AE" w14:textId="77777777" w:rsidR="001C19F3" w:rsidRDefault="001C19F3" w:rsidP="00521305">
            <w:pPr>
              <w:spacing w:before="40" w:after="40"/>
              <w:ind w:left="100" w:right="100"/>
              <w:jc w:val="right"/>
            </w:pPr>
            <w:r>
              <w:rPr>
                <w:rFonts w:eastAsia="Century Gothic" w:cs="Century Gothic"/>
                <w:color w:val="000000"/>
                <w:sz w:val="18"/>
                <w:szCs w:val="18"/>
              </w:rPr>
              <w:t>140 (51.7%)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BC0B8D" w14:textId="77777777" w:rsidR="001C19F3" w:rsidRDefault="001C19F3" w:rsidP="00521305">
            <w:pPr>
              <w:spacing w:before="40" w:after="40"/>
              <w:ind w:left="100" w:right="100"/>
              <w:jc w:val="right"/>
            </w:pPr>
            <w:r>
              <w:rPr>
                <w:rFonts w:eastAsia="Century Gothic" w:cs="Century Gothic"/>
                <w:color w:val="000000"/>
                <w:sz w:val="18"/>
                <w:szCs w:val="18"/>
              </w:rPr>
              <w:t>138 (52.7%)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13E3D0" w14:textId="77777777" w:rsidR="001C19F3" w:rsidRDefault="001C19F3" w:rsidP="00521305">
            <w:pPr>
              <w:spacing w:before="40" w:after="40"/>
              <w:ind w:left="100" w:right="100"/>
              <w:jc w:val="right"/>
            </w:pPr>
            <w:r>
              <w:rPr>
                <w:rFonts w:eastAsia="Century Gothic" w:cs="Century Gothic"/>
                <w:color w:val="000000"/>
                <w:sz w:val="18"/>
                <w:szCs w:val="18"/>
              </w:rPr>
              <w:t>0.183</w:t>
            </w:r>
          </w:p>
        </w:tc>
      </w:tr>
      <w:tr w:rsidR="001C19F3" w14:paraId="51F2245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60F0E8"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06DBFC" w14:textId="77777777" w:rsidR="001C19F3" w:rsidRDefault="001C19F3" w:rsidP="00521305">
            <w:pPr>
              <w:spacing w:before="40" w:after="40"/>
              <w:ind w:left="100" w:right="100"/>
              <w:jc w:val="center"/>
            </w:pPr>
            <w:r>
              <w:rPr>
                <w:rFonts w:eastAsia="Century Gothic" w:cs="Century Gothic"/>
                <w:color w:val="000000"/>
                <w:sz w:val="18"/>
                <w:szCs w:val="18"/>
              </w:rPr>
              <w:t>1,022 (50.6%)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321501" w14:textId="77777777" w:rsidR="001C19F3" w:rsidRDefault="001C19F3" w:rsidP="00521305">
            <w:pPr>
              <w:spacing w:before="40" w:after="40"/>
              <w:ind w:left="100" w:right="100"/>
              <w:jc w:val="center"/>
            </w:pPr>
            <w:r>
              <w:rPr>
                <w:rFonts w:eastAsia="Century Gothic" w:cs="Century Gothic"/>
                <w:color w:val="000000"/>
                <w:sz w:val="18"/>
                <w:szCs w:val="18"/>
              </w:rPr>
              <w:t>205 (50.1%)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5CCBFC" w14:textId="77777777" w:rsidR="001C19F3" w:rsidRDefault="001C19F3" w:rsidP="00521305">
            <w:pPr>
              <w:spacing w:before="40" w:after="40"/>
              <w:ind w:left="100" w:right="100"/>
              <w:jc w:val="center"/>
            </w:pPr>
            <w:r>
              <w:rPr>
                <w:rFonts w:eastAsia="Century Gothic" w:cs="Century Gothic"/>
                <w:color w:val="000000"/>
                <w:sz w:val="18"/>
                <w:szCs w:val="18"/>
              </w:rPr>
              <w:t>817 (51.5%)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D0A6FD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27203" w14:textId="77777777" w:rsidR="001C19F3" w:rsidRDefault="001C19F3" w:rsidP="00521305">
            <w:pPr>
              <w:spacing w:before="40" w:after="40"/>
              <w:ind w:left="100" w:right="100"/>
              <w:jc w:val="center"/>
            </w:pPr>
            <w:r>
              <w:rPr>
                <w:rFonts w:eastAsia="Century Gothic" w:cs="Century Gothic"/>
                <w:color w:val="000000"/>
                <w:sz w:val="18"/>
                <w:szCs w:val="18"/>
              </w:rPr>
              <w:t>767 (52.5%)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8CB92E" w14:textId="77777777" w:rsidR="001C19F3" w:rsidRDefault="001C19F3" w:rsidP="00521305">
            <w:pPr>
              <w:spacing w:before="40" w:after="40"/>
              <w:ind w:left="100" w:right="100"/>
              <w:jc w:val="right"/>
            </w:pPr>
            <w:r>
              <w:rPr>
                <w:rFonts w:eastAsia="Century Gothic" w:cs="Century Gothic"/>
                <w:color w:val="000000"/>
                <w:sz w:val="18"/>
                <w:szCs w:val="18"/>
              </w:rPr>
              <w:t>131 (48.3%)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A8D641" w14:textId="77777777" w:rsidR="001C19F3" w:rsidRDefault="001C19F3" w:rsidP="00521305">
            <w:pPr>
              <w:spacing w:before="40" w:after="40"/>
              <w:ind w:left="100" w:right="100"/>
              <w:jc w:val="right"/>
            </w:pPr>
            <w:r>
              <w:rPr>
                <w:rFonts w:eastAsia="Century Gothic" w:cs="Century Gothic"/>
                <w:color w:val="000000"/>
                <w:sz w:val="18"/>
                <w:szCs w:val="18"/>
              </w:rPr>
              <w:t>124 (47.3%)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2304C76" w14:textId="77777777" w:rsidR="001C19F3" w:rsidRDefault="001C19F3" w:rsidP="00521305">
            <w:pPr>
              <w:spacing w:after="0"/>
              <w:rPr>
                <w:sz w:val="22"/>
              </w:rPr>
            </w:pPr>
          </w:p>
        </w:tc>
      </w:tr>
      <w:tr w:rsidR="001C19F3" w14:paraId="3C436B1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68A61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B7EE89" w14:textId="77777777" w:rsidR="001C19F3" w:rsidRDefault="001C19F3" w:rsidP="00521305">
            <w:pPr>
              <w:spacing w:before="40" w:after="40"/>
              <w:ind w:left="100" w:right="100"/>
              <w:jc w:val="center"/>
            </w:pPr>
            <w:r>
              <w:rPr>
                <w:rFonts w:eastAsia="Century Gothic" w:cs="Century Gothic"/>
                <w:color w:val="000000"/>
                <w:sz w:val="18"/>
                <w:szCs w:val="18"/>
              </w:rPr>
              <w:t>23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46CA1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C4E49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838E0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ECED2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52AAA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69154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61BAAE" w14:textId="77777777" w:rsidR="001C19F3" w:rsidRDefault="001C19F3" w:rsidP="00521305">
            <w:pPr>
              <w:spacing w:before="40" w:after="40"/>
              <w:ind w:left="100" w:right="100"/>
              <w:jc w:val="right"/>
            </w:pPr>
          </w:p>
        </w:tc>
      </w:tr>
      <w:tr w:rsidR="001C19F3" w14:paraId="7228E02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7149CD" w14:textId="77777777" w:rsidR="001C19F3" w:rsidRDefault="001C19F3" w:rsidP="00521305">
            <w:pPr>
              <w:spacing w:before="40" w:after="40"/>
              <w:ind w:left="100" w:right="100"/>
            </w:pPr>
            <w:r>
              <w:rPr>
                <w:rFonts w:eastAsia="Century Gothic" w:cs="Century Gothic"/>
                <w:b/>
                <w:color w:val="000000"/>
                <w:sz w:val="18"/>
                <w:szCs w:val="18"/>
              </w:rPr>
              <w:t>C2 When requesting an appointment for care needed right away, how often the patient get an appointment as soon as required (Q15)</w:t>
            </w:r>
          </w:p>
        </w:tc>
      </w:tr>
      <w:tr w:rsidR="001C19F3" w14:paraId="2C6122F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2C88EC"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8D86B3" w14:textId="77777777" w:rsidR="001C19F3" w:rsidRDefault="001C19F3" w:rsidP="00521305">
            <w:pPr>
              <w:spacing w:before="40" w:after="40"/>
              <w:ind w:left="100" w:right="100"/>
              <w:jc w:val="center"/>
            </w:pPr>
            <w:r>
              <w:rPr>
                <w:rFonts w:eastAsia="Century Gothic" w:cs="Century Gothic"/>
                <w:color w:val="000000"/>
                <w:sz w:val="18"/>
                <w:szCs w:val="18"/>
              </w:rPr>
              <w:t>19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754703" w14:textId="77777777" w:rsidR="001C19F3" w:rsidRDefault="001C19F3" w:rsidP="00521305">
            <w:pPr>
              <w:spacing w:before="40" w:after="40"/>
              <w:ind w:left="100" w:right="100"/>
              <w:jc w:val="center"/>
            </w:pPr>
            <w:r>
              <w:rPr>
                <w:rFonts w:eastAsia="Century Gothic" w:cs="Century Gothic"/>
                <w:color w:val="000000"/>
                <w:sz w:val="18"/>
                <w:szCs w:val="18"/>
              </w:rPr>
              <w:t>5 (2.5%)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320A98" w14:textId="77777777" w:rsidR="001C19F3" w:rsidRDefault="001C19F3" w:rsidP="00521305">
            <w:pPr>
              <w:spacing w:before="40" w:after="40"/>
              <w:ind w:left="100" w:right="100"/>
              <w:jc w:val="center"/>
            </w:pPr>
            <w:r>
              <w:rPr>
                <w:rFonts w:eastAsia="Century Gothic" w:cs="Century Gothic"/>
                <w:color w:val="000000"/>
                <w:sz w:val="18"/>
                <w:szCs w:val="18"/>
              </w:rPr>
              <w:t>14 (1.8%)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CD2E27" w14:textId="77777777" w:rsidR="001C19F3" w:rsidRDefault="001C19F3" w:rsidP="00521305">
            <w:pPr>
              <w:spacing w:before="40" w:after="40"/>
              <w:ind w:left="100" w:right="100"/>
              <w:jc w:val="center"/>
            </w:pPr>
            <w:r>
              <w:rPr>
                <w:rFonts w:eastAsia="Century Gothic" w:cs="Century Gothic"/>
                <w:color w:val="000000"/>
                <w:sz w:val="18"/>
                <w:szCs w:val="18"/>
              </w:rPr>
              <w:t>0.426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706C34" w14:textId="77777777" w:rsidR="001C19F3" w:rsidRDefault="001C19F3" w:rsidP="00521305">
            <w:pPr>
              <w:spacing w:before="40" w:after="40"/>
              <w:ind w:left="100" w:right="100"/>
              <w:jc w:val="center"/>
            </w:pPr>
            <w:r>
              <w:rPr>
                <w:rFonts w:eastAsia="Century Gothic" w:cs="Century Gothic"/>
                <w:color w:val="000000"/>
                <w:sz w:val="18"/>
                <w:szCs w:val="18"/>
              </w:rPr>
              <w:t>16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3DF29" w14:textId="77777777" w:rsidR="001C19F3" w:rsidRDefault="001C19F3" w:rsidP="00521305">
            <w:pPr>
              <w:spacing w:before="40" w:after="40"/>
              <w:ind w:left="100" w:right="100"/>
              <w:jc w:val="right"/>
            </w:pPr>
            <w:r>
              <w:rPr>
                <w:rFonts w:eastAsia="Century Gothic" w:cs="Century Gothic"/>
                <w:color w:val="000000"/>
                <w:sz w:val="18"/>
                <w:szCs w:val="18"/>
              </w:rPr>
              <w:t>2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C4DA53" w14:textId="77777777" w:rsidR="001C19F3" w:rsidRDefault="001C19F3" w:rsidP="00521305">
            <w:pPr>
              <w:spacing w:before="40" w:after="40"/>
              <w:ind w:left="100" w:right="100"/>
              <w:jc w:val="right"/>
            </w:pPr>
            <w:r>
              <w:rPr>
                <w:rFonts w:eastAsia="Century Gothic" w:cs="Century Gothic"/>
                <w:color w:val="000000"/>
                <w:sz w:val="18"/>
                <w:szCs w:val="18"/>
              </w:rPr>
              <w:t>1 (0.7%)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F85EFF" w14:textId="77777777" w:rsidR="001C19F3" w:rsidRDefault="001C19F3" w:rsidP="00521305">
            <w:pPr>
              <w:spacing w:before="40" w:after="40"/>
              <w:ind w:left="100" w:right="100"/>
              <w:jc w:val="right"/>
            </w:pPr>
            <w:r>
              <w:rPr>
                <w:rFonts w:eastAsia="Century Gothic" w:cs="Century Gothic"/>
                <w:color w:val="000000"/>
                <w:sz w:val="18"/>
                <w:szCs w:val="18"/>
              </w:rPr>
              <w:t>0.607</w:t>
            </w:r>
          </w:p>
        </w:tc>
      </w:tr>
      <w:tr w:rsidR="001C19F3" w14:paraId="615DA65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88599E"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E2D916" w14:textId="77777777" w:rsidR="001C19F3" w:rsidRDefault="001C19F3" w:rsidP="00521305">
            <w:pPr>
              <w:spacing w:before="40" w:after="40"/>
              <w:ind w:left="100" w:right="100"/>
              <w:jc w:val="center"/>
            </w:pPr>
            <w:r>
              <w:rPr>
                <w:rFonts w:eastAsia="Century Gothic" w:cs="Century Gothic"/>
                <w:color w:val="000000"/>
                <w:sz w:val="18"/>
                <w:szCs w:val="18"/>
              </w:rPr>
              <w:t>37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AF2743" w14:textId="77777777" w:rsidR="001C19F3" w:rsidRDefault="001C19F3" w:rsidP="00521305">
            <w:pPr>
              <w:spacing w:before="40" w:after="40"/>
              <w:ind w:left="100" w:right="100"/>
              <w:jc w:val="center"/>
            </w:pPr>
            <w:r>
              <w:rPr>
                <w:rFonts w:eastAsia="Century Gothic" w:cs="Century Gothic"/>
                <w:color w:val="000000"/>
                <w:sz w:val="18"/>
                <w:szCs w:val="18"/>
              </w:rPr>
              <w:t>10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82225C" w14:textId="77777777" w:rsidR="001C19F3" w:rsidRDefault="001C19F3" w:rsidP="00521305">
            <w:pPr>
              <w:spacing w:before="40" w:after="40"/>
              <w:ind w:left="100" w:right="100"/>
              <w:jc w:val="center"/>
            </w:pPr>
            <w:r>
              <w:rPr>
                <w:rFonts w:eastAsia="Century Gothic" w:cs="Century Gothic"/>
                <w:color w:val="000000"/>
                <w:sz w:val="18"/>
                <w:szCs w:val="18"/>
              </w:rPr>
              <w:t>27 (3.6%)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06D085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E631E0" w14:textId="77777777" w:rsidR="001C19F3" w:rsidRDefault="001C19F3" w:rsidP="00521305">
            <w:pPr>
              <w:spacing w:before="40" w:after="40"/>
              <w:ind w:left="100" w:right="100"/>
              <w:jc w:val="center"/>
            </w:pPr>
            <w:r>
              <w:rPr>
                <w:rFonts w:eastAsia="Century Gothic" w:cs="Century Gothic"/>
                <w:color w:val="000000"/>
                <w:sz w:val="18"/>
                <w:szCs w:val="18"/>
              </w:rPr>
              <w:t>25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14154B" w14:textId="77777777" w:rsidR="001C19F3" w:rsidRDefault="001C19F3" w:rsidP="00521305">
            <w:pPr>
              <w:spacing w:before="40" w:after="40"/>
              <w:ind w:left="100" w:right="100"/>
              <w:jc w:val="right"/>
            </w:pPr>
            <w:r>
              <w:rPr>
                <w:rFonts w:eastAsia="Century Gothic" w:cs="Century Gothic"/>
                <w:color w:val="000000"/>
                <w:sz w:val="18"/>
                <w:szCs w:val="18"/>
              </w:rPr>
              <w:t>4 (2.9%)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1E3EB" w14:textId="77777777" w:rsidR="001C19F3" w:rsidRDefault="001C19F3" w:rsidP="00521305">
            <w:pPr>
              <w:spacing w:before="40" w:after="40"/>
              <w:ind w:left="100" w:right="100"/>
              <w:jc w:val="right"/>
            </w:pPr>
            <w:r>
              <w:rPr>
                <w:rFonts w:eastAsia="Century Gothic" w:cs="Century Gothic"/>
                <w:color w:val="000000"/>
                <w:sz w:val="18"/>
                <w:szCs w:val="18"/>
              </w:rPr>
              <w:t>8 (5.8%)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A11A117" w14:textId="77777777" w:rsidR="001C19F3" w:rsidRDefault="001C19F3" w:rsidP="00521305">
            <w:pPr>
              <w:spacing w:after="0"/>
              <w:rPr>
                <w:sz w:val="22"/>
              </w:rPr>
            </w:pPr>
          </w:p>
        </w:tc>
      </w:tr>
      <w:tr w:rsidR="001C19F3" w14:paraId="51809A7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C3B0F9"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917F9" w14:textId="77777777" w:rsidR="001C19F3" w:rsidRDefault="001C19F3" w:rsidP="00521305">
            <w:pPr>
              <w:spacing w:before="40" w:after="40"/>
              <w:ind w:left="100" w:right="100"/>
              <w:jc w:val="center"/>
            </w:pPr>
            <w:r>
              <w:rPr>
                <w:rFonts w:eastAsia="Century Gothic" w:cs="Century Gothic"/>
                <w:color w:val="000000"/>
                <w:sz w:val="18"/>
                <w:szCs w:val="18"/>
              </w:rPr>
              <w:t>85 (8.7%)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C98B4B" w14:textId="77777777" w:rsidR="001C19F3" w:rsidRDefault="001C19F3" w:rsidP="00521305">
            <w:pPr>
              <w:spacing w:before="40" w:after="40"/>
              <w:ind w:left="100" w:right="100"/>
              <w:jc w:val="center"/>
            </w:pPr>
            <w:r>
              <w:rPr>
                <w:rFonts w:eastAsia="Century Gothic" w:cs="Century Gothic"/>
                <w:color w:val="000000"/>
                <w:sz w:val="18"/>
                <w:szCs w:val="18"/>
              </w:rPr>
              <w:t>23 (11.6%)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F17BEF" w14:textId="77777777" w:rsidR="001C19F3" w:rsidRDefault="001C19F3" w:rsidP="00521305">
            <w:pPr>
              <w:spacing w:before="40" w:after="40"/>
              <w:ind w:left="100" w:right="100"/>
              <w:jc w:val="center"/>
            </w:pPr>
            <w:r>
              <w:rPr>
                <w:rFonts w:eastAsia="Century Gothic" w:cs="Century Gothic"/>
                <w:color w:val="000000"/>
                <w:sz w:val="18"/>
                <w:szCs w:val="18"/>
              </w:rPr>
              <w:t>62 (8.2%)</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12C68C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BD464F" w14:textId="77777777" w:rsidR="001C19F3" w:rsidRDefault="001C19F3" w:rsidP="00521305">
            <w:pPr>
              <w:spacing w:before="40" w:after="40"/>
              <w:ind w:left="100" w:right="100"/>
              <w:jc w:val="center"/>
            </w:pPr>
            <w:r>
              <w:rPr>
                <w:rFonts w:eastAsia="Century Gothic" w:cs="Century Gothic"/>
                <w:color w:val="000000"/>
                <w:sz w:val="18"/>
                <w:szCs w:val="18"/>
              </w:rPr>
              <w:t>58 (8.5%)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3F0345" w14:textId="77777777" w:rsidR="001C19F3" w:rsidRDefault="001C19F3" w:rsidP="00521305">
            <w:pPr>
              <w:spacing w:before="40" w:after="40"/>
              <w:ind w:left="100" w:right="100"/>
              <w:jc w:val="right"/>
            </w:pPr>
            <w:r>
              <w:rPr>
                <w:rFonts w:eastAsia="Century Gothic" w:cs="Century Gothic"/>
                <w:color w:val="000000"/>
                <w:sz w:val="18"/>
                <w:szCs w:val="18"/>
              </w:rPr>
              <w:t>13 (9.3%)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6D14E2" w14:textId="77777777" w:rsidR="001C19F3" w:rsidRDefault="001C19F3" w:rsidP="00521305">
            <w:pPr>
              <w:spacing w:before="40" w:after="40"/>
              <w:ind w:left="100" w:right="100"/>
              <w:jc w:val="right"/>
            </w:pPr>
            <w:r>
              <w:rPr>
                <w:rFonts w:eastAsia="Century Gothic" w:cs="Century Gothic"/>
                <w:color w:val="000000"/>
                <w:sz w:val="18"/>
                <w:szCs w:val="18"/>
              </w:rPr>
              <w:t>14 (10.2%)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2C6D905" w14:textId="77777777" w:rsidR="001C19F3" w:rsidRDefault="001C19F3" w:rsidP="00521305">
            <w:pPr>
              <w:spacing w:after="0"/>
              <w:rPr>
                <w:sz w:val="22"/>
              </w:rPr>
            </w:pPr>
          </w:p>
        </w:tc>
      </w:tr>
      <w:tr w:rsidR="001C19F3" w14:paraId="11D75A7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B3890C"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9D70D1" w14:textId="77777777" w:rsidR="001C19F3" w:rsidRDefault="001C19F3" w:rsidP="00521305">
            <w:pPr>
              <w:spacing w:before="40" w:after="40"/>
              <w:ind w:left="100" w:right="100"/>
              <w:jc w:val="center"/>
            </w:pPr>
            <w:r>
              <w:rPr>
                <w:rFonts w:eastAsia="Century Gothic" w:cs="Century Gothic"/>
                <w:color w:val="000000"/>
                <w:sz w:val="18"/>
                <w:szCs w:val="18"/>
              </w:rPr>
              <w:t>300 (30.8%)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FDEB7F" w14:textId="77777777" w:rsidR="001C19F3" w:rsidRDefault="001C19F3" w:rsidP="00521305">
            <w:pPr>
              <w:spacing w:before="40" w:after="40"/>
              <w:ind w:left="100" w:right="100"/>
              <w:jc w:val="center"/>
            </w:pPr>
            <w:r>
              <w:rPr>
                <w:rFonts w:eastAsia="Century Gothic" w:cs="Century Gothic"/>
                <w:color w:val="000000"/>
                <w:sz w:val="18"/>
                <w:szCs w:val="18"/>
              </w:rPr>
              <w:t>58 (29.1%)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4064CA" w14:textId="77777777" w:rsidR="001C19F3" w:rsidRDefault="001C19F3" w:rsidP="00521305">
            <w:pPr>
              <w:spacing w:before="40" w:after="40"/>
              <w:ind w:left="100" w:right="100"/>
              <w:jc w:val="center"/>
            </w:pPr>
            <w:r>
              <w:rPr>
                <w:rFonts w:eastAsia="Century Gothic" w:cs="Century Gothic"/>
                <w:color w:val="000000"/>
                <w:sz w:val="18"/>
                <w:szCs w:val="18"/>
              </w:rPr>
              <w:t>242 (31.9%)</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72678AA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FDAE7" w14:textId="77777777" w:rsidR="001C19F3" w:rsidRDefault="001C19F3" w:rsidP="00521305">
            <w:pPr>
              <w:spacing w:before="40" w:after="40"/>
              <w:ind w:left="100" w:right="100"/>
              <w:jc w:val="center"/>
            </w:pPr>
            <w:r>
              <w:rPr>
                <w:rFonts w:eastAsia="Century Gothic" w:cs="Century Gothic"/>
                <w:color w:val="000000"/>
                <w:sz w:val="18"/>
                <w:szCs w:val="18"/>
              </w:rPr>
              <w:t>206 (30.3%)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BD917A" w14:textId="77777777" w:rsidR="001C19F3" w:rsidRDefault="001C19F3" w:rsidP="00521305">
            <w:pPr>
              <w:spacing w:before="40" w:after="40"/>
              <w:ind w:left="100" w:right="100"/>
              <w:jc w:val="right"/>
            </w:pPr>
            <w:r>
              <w:rPr>
                <w:rFonts w:eastAsia="Century Gothic" w:cs="Century Gothic"/>
                <w:color w:val="000000"/>
                <w:sz w:val="18"/>
                <w:szCs w:val="18"/>
              </w:rPr>
              <w:t>45 (32.1%)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82F30E" w14:textId="77777777" w:rsidR="001C19F3" w:rsidRDefault="001C19F3" w:rsidP="00521305">
            <w:pPr>
              <w:spacing w:before="40" w:after="40"/>
              <w:ind w:left="100" w:right="100"/>
              <w:jc w:val="right"/>
            </w:pPr>
            <w:r>
              <w:rPr>
                <w:rFonts w:eastAsia="Century Gothic" w:cs="Century Gothic"/>
                <w:color w:val="000000"/>
                <w:sz w:val="18"/>
                <w:szCs w:val="18"/>
              </w:rPr>
              <w:t>49 (35.8%)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AB30BC6" w14:textId="77777777" w:rsidR="001C19F3" w:rsidRDefault="001C19F3" w:rsidP="00521305">
            <w:pPr>
              <w:spacing w:after="0"/>
              <w:rPr>
                <w:sz w:val="22"/>
              </w:rPr>
            </w:pPr>
          </w:p>
        </w:tc>
      </w:tr>
      <w:tr w:rsidR="001C19F3" w14:paraId="282F513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53450"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A48852" w14:textId="77777777" w:rsidR="001C19F3" w:rsidRDefault="001C19F3" w:rsidP="00521305">
            <w:pPr>
              <w:spacing w:before="40" w:after="40"/>
              <w:ind w:left="100" w:right="100"/>
              <w:jc w:val="center"/>
            </w:pPr>
            <w:r>
              <w:rPr>
                <w:rFonts w:eastAsia="Century Gothic" w:cs="Century Gothic"/>
                <w:color w:val="000000"/>
                <w:sz w:val="18"/>
                <w:szCs w:val="18"/>
              </w:rPr>
              <w:t>516 (53.0%)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0EB8E2" w14:textId="77777777" w:rsidR="001C19F3" w:rsidRDefault="001C19F3" w:rsidP="00521305">
            <w:pPr>
              <w:spacing w:before="40" w:after="40"/>
              <w:ind w:left="100" w:right="100"/>
              <w:jc w:val="center"/>
            </w:pPr>
            <w:r>
              <w:rPr>
                <w:rFonts w:eastAsia="Century Gothic" w:cs="Century Gothic"/>
                <w:color w:val="000000"/>
                <w:sz w:val="18"/>
                <w:szCs w:val="18"/>
              </w:rPr>
              <w:t>103 (51.8%)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D7A31F" w14:textId="77777777" w:rsidR="001C19F3" w:rsidRDefault="001C19F3" w:rsidP="00521305">
            <w:pPr>
              <w:spacing w:before="40" w:after="40"/>
              <w:ind w:left="100" w:right="100"/>
              <w:jc w:val="center"/>
            </w:pPr>
            <w:r>
              <w:rPr>
                <w:rFonts w:eastAsia="Century Gothic" w:cs="Century Gothic"/>
                <w:color w:val="000000"/>
                <w:sz w:val="18"/>
                <w:szCs w:val="18"/>
              </w:rPr>
              <w:t>413 (54.5%)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2099C13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9541FA" w14:textId="77777777" w:rsidR="001C19F3" w:rsidRDefault="001C19F3" w:rsidP="00521305">
            <w:pPr>
              <w:spacing w:before="40" w:after="40"/>
              <w:ind w:left="100" w:right="100"/>
              <w:jc w:val="center"/>
            </w:pPr>
            <w:r>
              <w:rPr>
                <w:rFonts w:eastAsia="Century Gothic" w:cs="Century Gothic"/>
                <w:color w:val="000000"/>
                <w:sz w:val="18"/>
                <w:szCs w:val="18"/>
              </w:rPr>
              <w:t>375 (55.1%)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10F11C" w14:textId="77777777" w:rsidR="001C19F3" w:rsidRDefault="001C19F3" w:rsidP="00521305">
            <w:pPr>
              <w:spacing w:before="40" w:after="40"/>
              <w:ind w:left="100" w:right="100"/>
              <w:jc w:val="right"/>
            </w:pPr>
            <w:r>
              <w:rPr>
                <w:rFonts w:eastAsia="Century Gothic" w:cs="Century Gothic"/>
                <w:color w:val="000000"/>
                <w:sz w:val="18"/>
                <w:szCs w:val="18"/>
              </w:rPr>
              <w:t>76 (54.3%)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FE781E" w14:textId="77777777" w:rsidR="001C19F3" w:rsidRDefault="001C19F3" w:rsidP="00521305">
            <w:pPr>
              <w:spacing w:before="40" w:after="40"/>
              <w:ind w:left="100" w:right="100"/>
              <w:jc w:val="right"/>
            </w:pPr>
            <w:r>
              <w:rPr>
                <w:rFonts w:eastAsia="Century Gothic" w:cs="Century Gothic"/>
                <w:color w:val="000000"/>
                <w:sz w:val="18"/>
                <w:szCs w:val="18"/>
              </w:rPr>
              <w:t>65 (47.4%)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52F28A" w14:textId="77777777" w:rsidR="001C19F3" w:rsidRDefault="001C19F3" w:rsidP="00521305">
            <w:pPr>
              <w:spacing w:after="0"/>
              <w:rPr>
                <w:sz w:val="22"/>
              </w:rPr>
            </w:pPr>
          </w:p>
        </w:tc>
      </w:tr>
      <w:tr w:rsidR="001C19F3" w14:paraId="5FEA71B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4C07A5"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CE1C29" w14:textId="77777777" w:rsidR="001C19F3" w:rsidRDefault="001C19F3" w:rsidP="00521305">
            <w:pPr>
              <w:spacing w:before="40" w:after="40"/>
              <w:ind w:left="100" w:right="100"/>
              <w:jc w:val="center"/>
            </w:pPr>
            <w:r>
              <w:rPr>
                <w:rFonts w:eastAsia="Century Gothic" w:cs="Century Gothic"/>
                <w:color w:val="000000"/>
                <w:sz w:val="18"/>
                <w:szCs w:val="18"/>
              </w:rPr>
              <w:t>16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1B14D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FBE5B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A91E6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00761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BE2E71"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085B5F"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A63FCE" w14:textId="77777777" w:rsidR="001C19F3" w:rsidRDefault="001C19F3" w:rsidP="00521305">
            <w:pPr>
              <w:spacing w:before="40" w:after="40"/>
              <w:ind w:left="100" w:right="100"/>
              <w:jc w:val="right"/>
            </w:pPr>
          </w:p>
        </w:tc>
      </w:tr>
      <w:tr w:rsidR="001C19F3" w14:paraId="2702DDF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1955F1" w14:textId="77777777" w:rsidR="001C19F3" w:rsidRDefault="001C19F3" w:rsidP="00521305">
            <w:pPr>
              <w:spacing w:before="40" w:after="40"/>
              <w:ind w:left="100" w:right="100"/>
            </w:pPr>
            <w:r>
              <w:rPr>
                <w:rFonts w:eastAsia="Century Gothic" w:cs="Century Gothic"/>
                <w:b/>
                <w:color w:val="000000"/>
                <w:sz w:val="18"/>
                <w:szCs w:val="18"/>
              </w:rPr>
              <w:t>C3 Over the last 6 months, that patient contacted the HCH to get an appointment for a check-up or routine care (Q16)</w:t>
            </w:r>
          </w:p>
        </w:tc>
      </w:tr>
      <w:tr w:rsidR="001C19F3" w14:paraId="4DFF6C6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08FC6E"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C8E34C" w14:textId="77777777" w:rsidR="001C19F3" w:rsidRDefault="001C19F3" w:rsidP="00521305">
            <w:pPr>
              <w:spacing w:before="40" w:after="40"/>
              <w:ind w:left="100" w:right="100"/>
              <w:jc w:val="center"/>
            </w:pPr>
            <w:r>
              <w:rPr>
                <w:rFonts w:eastAsia="Century Gothic" w:cs="Century Gothic"/>
                <w:color w:val="000000"/>
                <w:sz w:val="18"/>
                <w:szCs w:val="18"/>
              </w:rPr>
              <w:t>1,521 (75.4%)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C4C48F" w14:textId="77777777" w:rsidR="001C19F3" w:rsidRDefault="001C19F3" w:rsidP="00521305">
            <w:pPr>
              <w:spacing w:before="40" w:after="40"/>
              <w:ind w:left="100" w:right="100"/>
              <w:jc w:val="center"/>
            </w:pPr>
            <w:r>
              <w:rPr>
                <w:rFonts w:eastAsia="Century Gothic" w:cs="Century Gothic"/>
                <w:color w:val="000000"/>
                <w:sz w:val="18"/>
                <w:szCs w:val="18"/>
              </w:rPr>
              <w:t>283 (69.7%)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B575A5" w14:textId="77777777" w:rsidR="001C19F3" w:rsidRDefault="001C19F3" w:rsidP="00521305">
            <w:pPr>
              <w:spacing w:before="40" w:after="40"/>
              <w:ind w:left="100" w:right="100"/>
              <w:jc w:val="center"/>
            </w:pPr>
            <w:r>
              <w:rPr>
                <w:rFonts w:eastAsia="Century Gothic" w:cs="Century Gothic"/>
                <w:color w:val="000000"/>
                <w:sz w:val="18"/>
                <w:szCs w:val="18"/>
              </w:rPr>
              <w:t>1,238 (78.6%)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6F10A8"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DEF570" w14:textId="77777777" w:rsidR="001C19F3" w:rsidRDefault="001C19F3" w:rsidP="00521305">
            <w:pPr>
              <w:spacing w:before="40" w:after="40"/>
              <w:ind w:left="100" w:right="100"/>
              <w:jc w:val="center"/>
            </w:pPr>
            <w:r>
              <w:rPr>
                <w:rFonts w:eastAsia="Century Gothic" w:cs="Century Gothic"/>
                <w:color w:val="000000"/>
                <w:sz w:val="18"/>
                <w:szCs w:val="18"/>
              </w:rPr>
              <w:t>1,116 (76.9%)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AC5FE" w14:textId="77777777" w:rsidR="001C19F3" w:rsidRDefault="001C19F3" w:rsidP="00521305">
            <w:pPr>
              <w:spacing w:before="40" w:after="40"/>
              <w:ind w:left="100" w:right="100"/>
              <w:jc w:val="right"/>
            </w:pPr>
            <w:r>
              <w:rPr>
                <w:rFonts w:eastAsia="Century Gothic" w:cs="Century Gothic"/>
                <w:color w:val="000000"/>
                <w:sz w:val="18"/>
                <w:szCs w:val="18"/>
              </w:rPr>
              <w:t>217 (80.1%)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0A884D" w14:textId="77777777" w:rsidR="001C19F3" w:rsidRDefault="001C19F3" w:rsidP="00521305">
            <w:pPr>
              <w:spacing w:before="40" w:after="40"/>
              <w:ind w:left="100" w:right="100"/>
              <w:jc w:val="right"/>
            </w:pPr>
            <w:r>
              <w:rPr>
                <w:rFonts w:eastAsia="Century Gothic" w:cs="Century Gothic"/>
                <w:color w:val="000000"/>
                <w:sz w:val="18"/>
                <w:szCs w:val="18"/>
              </w:rPr>
              <w:t>188 (72.6%)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1BC273" w14:textId="77777777" w:rsidR="001C19F3" w:rsidRDefault="001C19F3" w:rsidP="00521305">
            <w:pPr>
              <w:spacing w:before="40" w:after="40"/>
              <w:ind w:left="100" w:right="100"/>
              <w:jc w:val="right"/>
            </w:pPr>
            <w:r>
              <w:rPr>
                <w:rFonts w:eastAsia="Century Gothic" w:cs="Century Gothic"/>
                <w:color w:val="000000"/>
                <w:sz w:val="18"/>
                <w:szCs w:val="18"/>
              </w:rPr>
              <w:t>0.121</w:t>
            </w:r>
          </w:p>
        </w:tc>
      </w:tr>
      <w:tr w:rsidR="001C19F3" w14:paraId="0BE2777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EE6EDA"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F8D52" w14:textId="77777777" w:rsidR="001C19F3" w:rsidRDefault="001C19F3" w:rsidP="00521305">
            <w:pPr>
              <w:spacing w:before="40" w:after="40"/>
              <w:ind w:left="100" w:right="100"/>
              <w:jc w:val="center"/>
            </w:pPr>
            <w:r>
              <w:rPr>
                <w:rFonts w:eastAsia="Century Gothic" w:cs="Century Gothic"/>
                <w:color w:val="000000"/>
                <w:sz w:val="18"/>
                <w:szCs w:val="18"/>
              </w:rPr>
              <w:t>460 (22.8%)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7D3A63" w14:textId="77777777" w:rsidR="001C19F3" w:rsidRDefault="001C19F3" w:rsidP="00521305">
            <w:pPr>
              <w:spacing w:before="40" w:after="40"/>
              <w:ind w:left="100" w:right="100"/>
              <w:jc w:val="center"/>
            </w:pPr>
            <w:r>
              <w:rPr>
                <w:rFonts w:eastAsia="Century Gothic" w:cs="Century Gothic"/>
                <w:color w:val="000000"/>
                <w:sz w:val="18"/>
                <w:szCs w:val="18"/>
              </w:rPr>
              <w:t>123 (30.3%)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35B944" w14:textId="77777777" w:rsidR="001C19F3" w:rsidRDefault="001C19F3" w:rsidP="00521305">
            <w:pPr>
              <w:spacing w:before="40" w:after="40"/>
              <w:ind w:left="100" w:right="100"/>
              <w:jc w:val="center"/>
            </w:pPr>
            <w:r>
              <w:rPr>
                <w:rFonts w:eastAsia="Century Gothic" w:cs="Century Gothic"/>
                <w:color w:val="000000"/>
                <w:sz w:val="18"/>
                <w:szCs w:val="18"/>
              </w:rPr>
              <w:t>337 (21.4%)</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0111C4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75A614" w14:textId="77777777" w:rsidR="001C19F3" w:rsidRDefault="001C19F3" w:rsidP="00521305">
            <w:pPr>
              <w:spacing w:before="40" w:after="40"/>
              <w:ind w:left="100" w:right="100"/>
              <w:jc w:val="center"/>
            </w:pPr>
            <w:r>
              <w:rPr>
                <w:rFonts w:eastAsia="Century Gothic" w:cs="Century Gothic"/>
                <w:color w:val="000000"/>
                <w:sz w:val="18"/>
                <w:szCs w:val="18"/>
              </w:rPr>
              <w:t>335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713D82" w14:textId="77777777" w:rsidR="001C19F3" w:rsidRDefault="001C19F3" w:rsidP="00521305">
            <w:pPr>
              <w:spacing w:before="40" w:after="40"/>
              <w:ind w:left="100" w:right="100"/>
              <w:jc w:val="right"/>
            </w:pPr>
            <w:r>
              <w:rPr>
                <w:rFonts w:eastAsia="Century Gothic" w:cs="Century Gothic"/>
                <w:color w:val="000000"/>
                <w:sz w:val="18"/>
                <w:szCs w:val="18"/>
              </w:rPr>
              <w:t>54 (19.9%)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5181F6" w14:textId="77777777" w:rsidR="001C19F3" w:rsidRDefault="001C19F3" w:rsidP="00521305">
            <w:pPr>
              <w:spacing w:before="40" w:after="40"/>
              <w:ind w:left="100" w:right="100"/>
              <w:jc w:val="right"/>
            </w:pPr>
            <w:r>
              <w:rPr>
                <w:rFonts w:eastAsia="Century Gothic" w:cs="Century Gothic"/>
                <w:color w:val="000000"/>
                <w:sz w:val="18"/>
                <w:szCs w:val="18"/>
              </w:rPr>
              <w:t>71 (27.4%)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F39D33" w14:textId="77777777" w:rsidR="001C19F3" w:rsidRDefault="001C19F3" w:rsidP="00521305">
            <w:pPr>
              <w:spacing w:after="0"/>
              <w:rPr>
                <w:sz w:val="22"/>
              </w:rPr>
            </w:pPr>
          </w:p>
        </w:tc>
      </w:tr>
      <w:tr w:rsidR="001C19F3" w14:paraId="5E55551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0E8E3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738ADB" w14:textId="77777777" w:rsidR="001C19F3" w:rsidRDefault="001C19F3" w:rsidP="00521305">
            <w:pPr>
              <w:spacing w:before="40" w:after="40"/>
              <w:ind w:left="100" w:right="100"/>
              <w:jc w:val="center"/>
            </w:pPr>
            <w:r>
              <w:rPr>
                <w:rFonts w:eastAsia="Century Gothic" w:cs="Century Gothic"/>
                <w:color w:val="000000"/>
                <w:sz w:val="18"/>
                <w:szCs w:val="18"/>
              </w:rPr>
              <w:t>37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A2E57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494A3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B0E6D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957FA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50166B"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78E96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9EE8CA" w14:textId="77777777" w:rsidR="001C19F3" w:rsidRDefault="001C19F3" w:rsidP="00521305">
            <w:pPr>
              <w:spacing w:before="40" w:after="40"/>
              <w:ind w:left="100" w:right="100"/>
              <w:jc w:val="right"/>
            </w:pPr>
          </w:p>
        </w:tc>
      </w:tr>
      <w:tr w:rsidR="001C19F3" w14:paraId="560E9416"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AE26AE" w14:textId="77777777" w:rsidR="001C19F3" w:rsidRDefault="001C19F3" w:rsidP="00521305">
            <w:pPr>
              <w:spacing w:before="40" w:after="40"/>
              <w:ind w:left="100" w:right="100"/>
            </w:pPr>
            <w:r>
              <w:rPr>
                <w:rFonts w:eastAsia="Century Gothic" w:cs="Century Gothic"/>
                <w:b/>
                <w:color w:val="000000"/>
                <w:sz w:val="18"/>
                <w:szCs w:val="18"/>
              </w:rPr>
              <w:t>C4 When requesting an appointment for a check-up or routine care, how often the patient get an appointment as soon as required (Q17)</w:t>
            </w:r>
          </w:p>
        </w:tc>
      </w:tr>
      <w:tr w:rsidR="001C19F3" w14:paraId="6BE83DB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53F6A6"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9EBF0" w14:textId="77777777" w:rsidR="001C19F3" w:rsidRDefault="001C19F3" w:rsidP="00521305">
            <w:pPr>
              <w:spacing w:before="40" w:after="40"/>
              <w:ind w:left="100" w:right="100"/>
              <w:jc w:val="center"/>
            </w:pPr>
            <w:r>
              <w:rPr>
                <w:rFonts w:eastAsia="Century Gothic" w:cs="Century Gothic"/>
                <w:color w:val="000000"/>
                <w:sz w:val="18"/>
                <w:szCs w:val="18"/>
              </w:rPr>
              <w:t>20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D216B" w14:textId="77777777" w:rsidR="001C19F3" w:rsidRDefault="001C19F3" w:rsidP="00521305">
            <w:pPr>
              <w:spacing w:before="40" w:after="40"/>
              <w:ind w:left="100" w:right="100"/>
              <w:jc w:val="center"/>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07C76E" w14:textId="77777777" w:rsidR="001C19F3" w:rsidRDefault="001C19F3" w:rsidP="00521305">
            <w:pPr>
              <w:spacing w:before="40" w:after="40"/>
              <w:ind w:left="100" w:right="100"/>
              <w:jc w:val="center"/>
            </w:pPr>
            <w:r>
              <w:rPr>
                <w:rFonts w:eastAsia="Century Gothic" w:cs="Century Gothic"/>
                <w:color w:val="000000"/>
                <w:sz w:val="18"/>
                <w:szCs w:val="18"/>
              </w:rPr>
              <w:t>17 (1.4%)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AC4B1" w14:textId="77777777" w:rsidR="001C19F3" w:rsidRDefault="001C19F3" w:rsidP="00521305">
            <w:pPr>
              <w:spacing w:before="40" w:after="40"/>
              <w:ind w:left="100" w:right="100"/>
              <w:jc w:val="center"/>
            </w:pPr>
            <w:r>
              <w:rPr>
                <w:rFonts w:eastAsia="Century Gothic" w:cs="Century Gothic"/>
                <w:color w:val="000000"/>
                <w:sz w:val="18"/>
                <w:szCs w:val="18"/>
              </w:rPr>
              <w:t>0.346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D88C5A" w14:textId="77777777" w:rsidR="001C19F3" w:rsidRDefault="001C19F3" w:rsidP="00521305">
            <w:pPr>
              <w:spacing w:before="40" w:after="40"/>
              <w:ind w:left="100" w:right="100"/>
              <w:jc w:val="center"/>
            </w:pPr>
            <w:r>
              <w:rPr>
                <w:rFonts w:eastAsia="Century Gothic" w:cs="Century Gothic"/>
                <w:color w:val="000000"/>
                <w:sz w:val="18"/>
                <w:szCs w:val="18"/>
              </w:rPr>
              <w:t>13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8D0834" w14:textId="77777777" w:rsidR="001C19F3" w:rsidRDefault="001C19F3" w:rsidP="00521305">
            <w:pPr>
              <w:spacing w:before="40" w:after="40"/>
              <w:ind w:left="100" w:right="100"/>
              <w:jc w:val="right"/>
            </w:pPr>
            <w:r>
              <w:rPr>
                <w:rFonts w:eastAsia="Century Gothic" w:cs="Century Gothic"/>
                <w:color w:val="000000"/>
                <w:sz w:val="18"/>
                <w:szCs w:val="18"/>
              </w:rPr>
              <w:t>2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806C82" w14:textId="77777777" w:rsidR="001C19F3" w:rsidRDefault="001C19F3" w:rsidP="00521305">
            <w:pPr>
              <w:spacing w:before="40" w:after="40"/>
              <w:ind w:left="100" w:right="100"/>
              <w:jc w:val="right"/>
            </w:pPr>
            <w:r>
              <w:rPr>
                <w:rFonts w:eastAsia="Century Gothic" w:cs="Century Gothic"/>
                <w:color w:val="000000"/>
                <w:sz w:val="18"/>
                <w:szCs w:val="18"/>
              </w:rPr>
              <w:t>5 (2.7%)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FAB37" w14:textId="77777777" w:rsidR="001C19F3" w:rsidRDefault="001C19F3" w:rsidP="00521305">
            <w:pPr>
              <w:spacing w:before="40" w:after="40"/>
              <w:ind w:left="100" w:right="100"/>
              <w:jc w:val="right"/>
            </w:pPr>
            <w:r>
              <w:rPr>
                <w:rFonts w:eastAsia="Century Gothic" w:cs="Century Gothic"/>
                <w:color w:val="000000"/>
                <w:sz w:val="18"/>
                <w:szCs w:val="18"/>
              </w:rPr>
              <w:t>0.009</w:t>
            </w:r>
          </w:p>
        </w:tc>
      </w:tr>
      <w:tr w:rsidR="001C19F3" w14:paraId="6E5E7F2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45C10"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CAFDA" w14:textId="77777777" w:rsidR="001C19F3" w:rsidRDefault="001C19F3" w:rsidP="00521305">
            <w:pPr>
              <w:spacing w:before="40" w:after="40"/>
              <w:ind w:left="100" w:right="100"/>
              <w:jc w:val="center"/>
            </w:pPr>
            <w:r>
              <w:rPr>
                <w:rFonts w:eastAsia="Century Gothic" w:cs="Century Gothic"/>
                <w:color w:val="000000"/>
                <w:sz w:val="18"/>
                <w:szCs w:val="18"/>
              </w:rPr>
              <w:t>42 (2.8%)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12F01A" w14:textId="77777777" w:rsidR="001C19F3" w:rsidRDefault="001C19F3" w:rsidP="00521305">
            <w:pPr>
              <w:spacing w:before="40" w:after="40"/>
              <w:ind w:left="100" w:right="100"/>
              <w:jc w:val="center"/>
            </w:pPr>
            <w:r>
              <w:rPr>
                <w:rFonts w:eastAsia="Century Gothic" w:cs="Century Gothic"/>
                <w:color w:val="000000"/>
                <w:sz w:val="18"/>
                <w:szCs w:val="18"/>
              </w:rPr>
              <w:t>12 (4.4%)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91C7DF" w14:textId="77777777" w:rsidR="001C19F3" w:rsidRDefault="001C19F3" w:rsidP="00521305">
            <w:pPr>
              <w:spacing w:before="40" w:after="40"/>
              <w:ind w:left="100" w:right="100"/>
              <w:jc w:val="center"/>
            </w:pPr>
            <w:r>
              <w:rPr>
                <w:rFonts w:eastAsia="Century Gothic" w:cs="Century Gothic"/>
                <w:color w:val="000000"/>
                <w:sz w:val="18"/>
                <w:szCs w:val="18"/>
              </w:rPr>
              <w:t>30 (2.5%)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BAD993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DBBFB3" w14:textId="77777777" w:rsidR="001C19F3" w:rsidRDefault="001C19F3" w:rsidP="00521305">
            <w:pPr>
              <w:spacing w:before="40" w:after="40"/>
              <w:ind w:left="100" w:right="100"/>
              <w:jc w:val="center"/>
            </w:pPr>
            <w:r>
              <w:rPr>
                <w:rFonts w:eastAsia="Century Gothic" w:cs="Century Gothic"/>
                <w:color w:val="000000"/>
                <w:sz w:val="18"/>
                <w:szCs w:val="18"/>
              </w:rPr>
              <w:t>28 (2.5%)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562571" w14:textId="77777777" w:rsidR="001C19F3" w:rsidRDefault="001C19F3" w:rsidP="00521305">
            <w:pPr>
              <w:spacing w:before="40" w:after="40"/>
              <w:ind w:left="100" w:right="100"/>
              <w:jc w:val="right"/>
            </w:pPr>
            <w:r>
              <w:rPr>
                <w:rFonts w:eastAsia="Century Gothic" w:cs="Century Gothic"/>
                <w:color w:val="000000"/>
                <w:sz w:val="18"/>
                <w:szCs w:val="18"/>
              </w:rPr>
              <w:t>11 (5.2%)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E76426" w14:textId="77777777" w:rsidR="001C19F3" w:rsidRDefault="001C19F3" w:rsidP="00521305">
            <w:pPr>
              <w:spacing w:before="40" w:after="40"/>
              <w:ind w:left="100" w:right="100"/>
              <w:jc w:val="right"/>
            </w:pPr>
            <w:r>
              <w:rPr>
                <w:rFonts w:eastAsia="Century Gothic" w:cs="Century Gothic"/>
                <w:color w:val="000000"/>
                <w:sz w:val="18"/>
                <w:szCs w:val="18"/>
              </w:rPr>
              <w:t>3 (1.6%)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0F9E8A2" w14:textId="77777777" w:rsidR="001C19F3" w:rsidRDefault="001C19F3" w:rsidP="00521305">
            <w:pPr>
              <w:spacing w:after="0"/>
              <w:rPr>
                <w:sz w:val="22"/>
              </w:rPr>
            </w:pPr>
          </w:p>
        </w:tc>
      </w:tr>
      <w:tr w:rsidR="001C19F3" w14:paraId="05E3D82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41792D"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D28431" w14:textId="77777777" w:rsidR="001C19F3" w:rsidRDefault="001C19F3" w:rsidP="00521305">
            <w:pPr>
              <w:spacing w:before="40" w:after="40"/>
              <w:ind w:left="100" w:right="100"/>
              <w:jc w:val="center"/>
            </w:pPr>
            <w:r>
              <w:rPr>
                <w:rFonts w:eastAsia="Century Gothic" w:cs="Century Gothic"/>
                <w:color w:val="000000"/>
                <w:sz w:val="18"/>
                <w:szCs w:val="18"/>
              </w:rPr>
              <w:t>143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264BA1" w14:textId="77777777" w:rsidR="001C19F3" w:rsidRDefault="001C19F3" w:rsidP="00521305">
            <w:pPr>
              <w:spacing w:before="40" w:after="40"/>
              <w:ind w:left="100" w:right="100"/>
              <w:jc w:val="center"/>
            </w:pPr>
            <w:r>
              <w:rPr>
                <w:rFonts w:eastAsia="Century Gothic" w:cs="Century Gothic"/>
                <w:color w:val="000000"/>
                <w:sz w:val="18"/>
                <w:szCs w:val="18"/>
              </w:rPr>
              <w:t>31 (11.3%)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3034D4" w14:textId="77777777" w:rsidR="001C19F3" w:rsidRDefault="001C19F3" w:rsidP="00521305">
            <w:pPr>
              <w:spacing w:before="40" w:after="40"/>
              <w:ind w:left="100" w:right="100"/>
              <w:jc w:val="center"/>
            </w:pPr>
            <w:r>
              <w:rPr>
                <w:rFonts w:eastAsia="Century Gothic" w:cs="Century Gothic"/>
                <w:color w:val="000000"/>
                <w:sz w:val="18"/>
                <w:szCs w:val="18"/>
              </w:rPr>
              <w:t>112 (9.2%)</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767A4F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FC263" w14:textId="77777777" w:rsidR="001C19F3" w:rsidRDefault="001C19F3" w:rsidP="00521305">
            <w:pPr>
              <w:spacing w:before="40" w:after="40"/>
              <w:ind w:left="100" w:right="100"/>
              <w:jc w:val="center"/>
            </w:pPr>
            <w:r>
              <w:rPr>
                <w:rFonts w:eastAsia="Century Gothic" w:cs="Century Gothic"/>
                <w:color w:val="000000"/>
                <w:sz w:val="18"/>
                <w:szCs w:val="18"/>
              </w:rPr>
              <w:t>100 (9.1%)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412E13" w14:textId="77777777" w:rsidR="001C19F3" w:rsidRDefault="001C19F3" w:rsidP="00521305">
            <w:pPr>
              <w:spacing w:before="40" w:after="40"/>
              <w:ind w:left="100" w:right="100"/>
              <w:jc w:val="right"/>
            </w:pPr>
            <w:r>
              <w:rPr>
                <w:rFonts w:eastAsia="Century Gothic" w:cs="Century Gothic"/>
                <w:color w:val="000000"/>
                <w:sz w:val="18"/>
                <w:szCs w:val="18"/>
              </w:rPr>
              <w:t>21 (9.9%)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916E22" w14:textId="77777777" w:rsidR="001C19F3" w:rsidRDefault="001C19F3" w:rsidP="00521305">
            <w:pPr>
              <w:spacing w:before="40" w:after="40"/>
              <w:ind w:left="100" w:right="100"/>
              <w:jc w:val="right"/>
            </w:pPr>
            <w:r>
              <w:rPr>
                <w:rFonts w:eastAsia="Century Gothic" w:cs="Century Gothic"/>
                <w:color w:val="000000"/>
                <w:sz w:val="18"/>
                <w:szCs w:val="18"/>
              </w:rPr>
              <w:t>22 (11.9%)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A3B0962" w14:textId="77777777" w:rsidR="001C19F3" w:rsidRDefault="001C19F3" w:rsidP="00521305">
            <w:pPr>
              <w:spacing w:after="0"/>
              <w:rPr>
                <w:sz w:val="22"/>
              </w:rPr>
            </w:pPr>
          </w:p>
        </w:tc>
      </w:tr>
      <w:tr w:rsidR="001C19F3" w14:paraId="46336CF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E945EA"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2BD662" w14:textId="77777777" w:rsidR="001C19F3" w:rsidRDefault="001C19F3" w:rsidP="00521305">
            <w:pPr>
              <w:spacing w:before="40" w:after="40"/>
              <w:ind w:left="100" w:right="100"/>
              <w:jc w:val="center"/>
            </w:pPr>
            <w:r>
              <w:rPr>
                <w:rFonts w:eastAsia="Century Gothic" w:cs="Century Gothic"/>
                <w:color w:val="000000"/>
                <w:sz w:val="18"/>
                <w:szCs w:val="18"/>
              </w:rPr>
              <w:t>550 (36.2%)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CC462C" w14:textId="77777777" w:rsidR="001C19F3" w:rsidRDefault="001C19F3" w:rsidP="00521305">
            <w:pPr>
              <w:spacing w:before="40" w:after="40"/>
              <w:ind w:left="100" w:right="100"/>
              <w:jc w:val="center"/>
            </w:pPr>
            <w:r>
              <w:rPr>
                <w:rFonts w:eastAsia="Century Gothic" w:cs="Century Gothic"/>
                <w:color w:val="000000"/>
                <w:sz w:val="18"/>
                <w:szCs w:val="18"/>
              </w:rPr>
              <w:t>98 (35.6%)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ACADED" w14:textId="77777777" w:rsidR="001C19F3" w:rsidRDefault="001C19F3" w:rsidP="00521305">
            <w:pPr>
              <w:spacing w:before="40" w:after="40"/>
              <w:ind w:left="100" w:right="100"/>
              <w:jc w:val="center"/>
            </w:pPr>
            <w:r>
              <w:rPr>
                <w:rFonts w:eastAsia="Century Gothic" w:cs="Century Gothic"/>
                <w:color w:val="000000"/>
                <w:sz w:val="18"/>
                <w:szCs w:val="18"/>
              </w:rPr>
              <w:t>452 (37.0%)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299097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0C955D" w14:textId="77777777" w:rsidR="001C19F3" w:rsidRDefault="001C19F3" w:rsidP="00521305">
            <w:pPr>
              <w:spacing w:before="40" w:after="40"/>
              <w:ind w:left="100" w:right="100"/>
              <w:jc w:val="center"/>
            </w:pPr>
            <w:r>
              <w:rPr>
                <w:rFonts w:eastAsia="Century Gothic" w:cs="Century Gothic"/>
                <w:color w:val="000000"/>
                <w:sz w:val="18"/>
                <w:szCs w:val="18"/>
              </w:rPr>
              <w:t>386 (35.1%)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CACBAF" w14:textId="77777777" w:rsidR="001C19F3" w:rsidRDefault="001C19F3" w:rsidP="00521305">
            <w:pPr>
              <w:spacing w:before="40" w:after="40"/>
              <w:ind w:left="100" w:right="100"/>
              <w:jc w:val="right"/>
            </w:pPr>
            <w:r>
              <w:rPr>
                <w:rFonts w:eastAsia="Century Gothic" w:cs="Century Gothic"/>
                <w:color w:val="000000"/>
                <w:sz w:val="18"/>
                <w:szCs w:val="18"/>
              </w:rPr>
              <w:t>81 (38.2%)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4A336" w14:textId="77777777" w:rsidR="001C19F3" w:rsidRDefault="001C19F3" w:rsidP="00521305">
            <w:pPr>
              <w:spacing w:before="40" w:after="40"/>
              <w:ind w:left="100" w:right="100"/>
              <w:jc w:val="right"/>
            </w:pPr>
            <w:r>
              <w:rPr>
                <w:rFonts w:eastAsia="Century Gothic" w:cs="Century Gothic"/>
                <w:color w:val="000000"/>
                <w:sz w:val="18"/>
                <w:szCs w:val="18"/>
              </w:rPr>
              <w:t>83 (44.9%)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3260FA7" w14:textId="77777777" w:rsidR="001C19F3" w:rsidRDefault="001C19F3" w:rsidP="00521305">
            <w:pPr>
              <w:spacing w:after="0"/>
              <w:rPr>
                <w:sz w:val="22"/>
              </w:rPr>
            </w:pPr>
          </w:p>
        </w:tc>
      </w:tr>
      <w:tr w:rsidR="001C19F3" w14:paraId="76A3777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8C7EE"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4ABAC6" w14:textId="77777777" w:rsidR="001C19F3" w:rsidRDefault="001C19F3" w:rsidP="00521305">
            <w:pPr>
              <w:spacing w:before="40" w:after="40"/>
              <w:ind w:left="100" w:right="100"/>
              <w:jc w:val="center"/>
            </w:pPr>
            <w:r>
              <w:rPr>
                <w:rFonts w:eastAsia="Century Gothic" w:cs="Century Gothic"/>
                <w:color w:val="000000"/>
                <w:sz w:val="18"/>
                <w:szCs w:val="18"/>
              </w:rPr>
              <w:t>742 (48.8%)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EBF215" w14:textId="77777777" w:rsidR="001C19F3" w:rsidRDefault="001C19F3" w:rsidP="00521305">
            <w:pPr>
              <w:spacing w:before="40" w:after="40"/>
              <w:ind w:left="100" w:right="100"/>
              <w:jc w:val="center"/>
            </w:pPr>
            <w:r>
              <w:rPr>
                <w:rFonts w:eastAsia="Century Gothic" w:cs="Century Gothic"/>
                <w:color w:val="000000"/>
                <w:sz w:val="18"/>
                <w:szCs w:val="18"/>
              </w:rPr>
              <w:t>131 (47.6%)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B2D34A" w14:textId="77777777" w:rsidR="001C19F3" w:rsidRDefault="001C19F3" w:rsidP="00521305">
            <w:pPr>
              <w:spacing w:before="40" w:after="40"/>
              <w:ind w:left="100" w:right="100"/>
              <w:jc w:val="center"/>
            </w:pPr>
            <w:r>
              <w:rPr>
                <w:rFonts w:eastAsia="Century Gothic" w:cs="Century Gothic"/>
                <w:color w:val="000000"/>
                <w:sz w:val="18"/>
                <w:szCs w:val="18"/>
              </w:rPr>
              <w:t>611 (50.0%)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7860988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C90475" w14:textId="77777777" w:rsidR="001C19F3" w:rsidRDefault="001C19F3" w:rsidP="00521305">
            <w:pPr>
              <w:spacing w:before="40" w:after="40"/>
              <w:ind w:left="100" w:right="100"/>
              <w:jc w:val="center"/>
            </w:pPr>
            <w:r>
              <w:rPr>
                <w:rFonts w:eastAsia="Century Gothic" w:cs="Century Gothic"/>
                <w:color w:val="000000"/>
                <w:sz w:val="18"/>
                <w:szCs w:val="18"/>
              </w:rPr>
              <w:t>573 (52.1%)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BCCF00" w14:textId="77777777" w:rsidR="001C19F3" w:rsidRDefault="001C19F3" w:rsidP="00521305">
            <w:pPr>
              <w:spacing w:before="40" w:after="40"/>
              <w:ind w:left="100" w:right="100"/>
              <w:jc w:val="right"/>
            </w:pPr>
            <w:r>
              <w:rPr>
                <w:rFonts w:eastAsia="Century Gothic" w:cs="Century Gothic"/>
                <w:color w:val="000000"/>
                <w:sz w:val="18"/>
                <w:szCs w:val="18"/>
              </w:rPr>
              <w:t>97 (45.8%)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5E0C52" w14:textId="77777777" w:rsidR="001C19F3" w:rsidRDefault="001C19F3" w:rsidP="00521305">
            <w:pPr>
              <w:spacing w:before="40" w:after="40"/>
              <w:ind w:left="100" w:right="100"/>
              <w:jc w:val="right"/>
            </w:pPr>
            <w:r>
              <w:rPr>
                <w:rFonts w:eastAsia="Century Gothic" w:cs="Century Gothic"/>
                <w:color w:val="000000"/>
                <w:sz w:val="18"/>
                <w:szCs w:val="18"/>
              </w:rPr>
              <w:t>72 (38.9%)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70B46AF" w14:textId="77777777" w:rsidR="001C19F3" w:rsidRDefault="001C19F3" w:rsidP="00521305">
            <w:pPr>
              <w:spacing w:after="0"/>
              <w:rPr>
                <w:sz w:val="22"/>
              </w:rPr>
            </w:pPr>
          </w:p>
        </w:tc>
      </w:tr>
      <w:tr w:rsidR="001C19F3" w14:paraId="62D2F2B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2A4260" w14:textId="77777777" w:rsidR="001C19F3" w:rsidRDefault="001C19F3" w:rsidP="00521305">
            <w:pPr>
              <w:spacing w:before="40" w:after="40"/>
              <w:ind w:left="160" w:right="100"/>
            </w:pPr>
            <w:r>
              <w:rPr>
                <w:rFonts w:eastAsia="Century Gothic" w:cs="Century Gothic"/>
                <w:color w:val="000000"/>
                <w:sz w:val="18"/>
                <w:szCs w:val="18"/>
              </w:rPr>
              <w:lastRenderedPageBreak/>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4167B9" w14:textId="77777777" w:rsidR="001C19F3" w:rsidRDefault="001C19F3" w:rsidP="00521305">
            <w:pPr>
              <w:spacing w:before="40" w:after="40"/>
              <w:ind w:left="100" w:right="100"/>
              <w:jc w:val="center"/>
            </w:pPr>
            <w:r>
              <w:rPr>
                <w:rFonts w:eastAsia="Century Gothic" w:cs="Century Gothic"/>
                <w:color w:val="000000"/>
                <w:sz w:val="18"/>
                <w:szCs w:val="18"/>
              </w:rPr>
              <w:t>24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34C7A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DC01E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293A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281EA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2BC4C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27F7C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597B10" w14:textId="77777777" w:rsidR="001C19F3" w:rsidRDefault="001C19F3" w:rsidP="00521305">
            <w:pPr>
              <w:spacing w:before="40" w:after="40"/>
              <w:ind w:left="100" w:right="100"/>
              <w:jc w:val="right"/>
            </w:pPr>
          </w:p>
        </w:tc>
      </w:tr>
      <w:tr w:rsidR="001C19F3" w14:paraId="3C196EF6"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B5876E" w14:textId="77777777" w:rsidR="001C19F3" w:rsidRDefault="001C19F3" w:rsidP="00521305">
            <w:pPr>
              <w:spacing w:before="40" w:after="40"/>
              <w:ind w:left="100" w:right="100"/>
            </w:pPr>
            <w:r>
              <w:rPr>
                <w:rFonts w:eastAsia="Century Gothic" w:cs="Century Gothic"/>
                <w:b/>
                <w:color w:val="000000"/>
                <w:sz w:val="18"/>
                <w:szCs w:val="18"/>
              </w:rPr>
              <w:t>C5 When requesting an appointment or attending for any reason, how often did the patient see their own personal GP (Q18)</w:t>
            </w:r>
          </w:p>
        </w:tc>
      </w:tr>
      <w:tr w:rsidR="001C19F3" w14:paraId="1627EC7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C2B1B4"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28142A" w14:textId="77777777" w:rsidR="001C19F3" w:rsidRDefault="001C19F3" w:rsidP="00521305">
            <w:pPr>
              <w:spacing w:before="40" w:after="40"/>
              <w:ind w:left="100" w:right="100"/>
              <w:jc w:val="center"/>
            </w:pPr>
            <w:r>
              <w:rPr>
                <w:rFonts w:eastAsia="Century Gothic" w:cs="Century Gothic"/>
                <w:color w:val="000000"/>
                <w:sz w:val="18"/>
                <w:szCs w:val="18"/>
              </w:rPr>
              <w:t>21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9A7DEE" w14:textId="77777777" w:rsidR="001C19F3" w:rsidRDefault="001C19F3" w:rsidP="00521305">
            <w:pPr>
              <w:spacing w:before="40" w:after="40"/>
              <w:ind w:left="100" w:right="100"/>
              <w:jc w:val="center"/>
            </w:pPr>
            <w:r>
              <w:rPr>
                <w:rFonts w:eastAsia="Century Gothic" w:cs="Century Gothic"/>
                <w:color w:val="000000"/>
                <w:sz w:val="18"/>
                <w:szCs w:val="18"/>
              </w:rPr>
              <w:t>4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DDD1CE" w14:textId="77777777" w:rsidR="001C19F3" w:rsidRDefault="001C19F3" w:rsidP="00521305">
            <w:pPr>
              <w:spacing w:before="40" w:after="40"/>
              <w:ind w:left="100" w:right="100"/>
              <w:jc w:val="center"/>
            </w:pPr>
            <w:r>
              <w:rPr>
                <w:rFonts w:eastAsia="Century Gothic" w:cs="Century Gothic"/>
                <w:color w:val="000000"/>
                <w:sz w:val="18"/>
                <w:szCs w:val="18"/>
              </w:rPr>
              <w:t>17 (1.1%)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C6841B" w14:textId="77777777" w:rsidR="001C19F3" w:rsidRDefault="001C19F3" w:rsidP="00521305">
            <w:pPr>
              <w:spacing w:before="40" w:after="40"/>
              <w:ind w:left="100" w:right="100"/>
              <w:jc w:val="center"/>
            </w:pPr>
            <w:r>
              <w:rPr>
                <w:rFonts w:eastAsia="Century Gothic" w:cs="Century Gothic"/>
                <w:color w:val="000000"/>
                <w:sz w:val="18"/>
                <w:szCs w:val="18"/>
              </w:rPr>
              <w:t>0.004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6E975" w14:textId="77777777" w:rsidR="001C19F3" w:rsidRDefault="001C19F3" w:rsidP="00521305">
            <w:pPr>
              <w:spacing w:before="40" w:after="40"/>
              <w:ind w:left="100" w:right="100"/>
              <w:jc w:val="center"/>
            </w:pPr>
            <w:r>
              <w:rPr>
                <w:rFonts w:eastAsia="Century Gothic" w:cs="Century Gothic"/>
                <w:color w:val="000000"/>
                <w:sz w:val="18"/>
                <w:szCs w:val="18"/>
              </w:rPr>
              <w:t>17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F70BD7" w14:textId="77777777" w:rsidR="001C19F3" w:rsidRDefault="001C19F3" w:rsidP="00521305">
            <w:pPr>
              <w:spacing w:before="40" w:after="40"/>
              <w:ind w:left="100" w:right="100"/>
              <w:jc w:val="right"/>
            </w:pPr>
            <w:r>
              <w:rPr>
                <w:rFonts w:eastAsia="Century Gothic" w:cs="Century Gothic"/>
                <w:color w:val="000000"/>
                <w:sz w:val="18"/>
                <w:szCs w:val="18"/>
              </w:rPr>
              <w:t>2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8E04E2" w14:textId="77777777" w:rsidR="001C19F3" w:rsidRDefault="001C19F3" w:rsidP="00521305">
            <w:pPr>
              <w:spacing w:before="40" w:after="40"/>
              <w:ind w:left="100" w:right="100"/>
              <w:jc w:val="right"/>
            </w:pPr>
            <w:r>
              <w:rPr>
                <w:rFonts w:eastAsia="Century Gothic" w:cs="Century Gothic"/>
                <w:color w:val="000000"/>
                <w:sz w:val="18"/>
                <w:szCs w:val="18"/>
              </w:rPr>
              <w:t>2 (0.8%)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5E1A68"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2847035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A82FAF"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3A0FDD"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7F491C" w14:textId="77777777" w:rsidR="001C19F3" w:rsidRDefault="001C19F3" w:rsidP="00521305">
            <w:pPr>
              <w:spacing w:before="40" w:after="40"/>
              <w:ind w:left="100" w:right="100"/>
              <w:jc w:val="center"/>
            </w:pPr>
            <w:r>
              <w:rPr>
                <w:rFonts w:eastAsia="Century Gothic" w:cs="Century Gothic"/>
                <w:color w:val="000000"/>
                <w:sz w:val="18"/>
                <w:szCs w:val="18"/>
              </w:rPr>
              <w:t>9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247702" w14:textId="77777777" w:rsidR="001C19F3" w:rsidRDefault="001C19F3" w:rsidP="00521305">
            <w:pPr>
              <w:spacing w:before="40" w:after="40"/>
              <w:ind w:left="100" w:right="100"/>
              <w:jc w:val="center"/>
            </w:pPr>
            <w:r>
              <w:rPr>
                <w:rFonts w:eastAsia="Century Gothic" w:cs="Century Gothic"/>
                <w:color w:val="000000"/>
                <w:sz w:val="18"/>
                <w:szCs w:val="18"/>
              </w:rPr>
              <w:t>43 (2.7%)</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4F67EA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65173E" w14:textId="77777777" w:rsidR="001C19F3" w:rsidRDefault="001C19F3" w:rsidP="00521305">
            <w:pPr>
              <w:spacing w:before="40" w:after="40"/>
              <w:ind w:left="100" w:right="100"/>
              <w:jc w:val="center"/>
            </w:pPr>
            <w:r>
              <w:rPr>
                <w:rFonts w:eastAsia="Century Gothic" w:cs="Century Gothic"/>
                <w:color w:val="000000"/>
                <w:sz w:val="18"/>
                <w:szCs w:val="18"/>
              </w:rPr>
              <w:t>30 (2.1%)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9922B" w14:textId="77777777" w:rsidR="001C19F3" w:rsidRDefault="001C19F3" w:rsidP="00521305">
            <w:pPr>
              <w:spacing w:before="40" w:after="40"/>
              <w:ind w:left="100" w:right="100"/>
              <w:jc w:val="right"/>
            </w:pPr>
            <w:r>
              <w:rPr>
                <w:rFonts w:eastAsia="Century Gothic" w:cs="Century Gothic"/>
                <w:color w:val="000000"/>
                <w:sz w:val="18"/>
                <w:szCs w:val="18"/>
              </w:rPr>
              <w:t>10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A963FE" w14:textId="77777777" w:rsidR="001C19F3" w:rsidRDefault="001C19F3" w:rsidP="00521305">
            <w:pPr>
              <w:spacing w:before="40" w:after="40"/>
              <w:ind w:left="100" w:right="100"/>
              <w:jc w:val="right"/>
            </w:pPr>
            <w:r>
              <w:rPr>
                <w:rFonts w:eastAsia="Century Gothic" w:cs="Century Gothic"/>
                <w:color w:val="000000"/>
                <w:sz w:val="18"/>
                <w:szCs w:val="18"/>
              </w:rPr>
              <w:t>12 (4.6%)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06E0873" w14:textId="77777777" w:rsidR="001C19F3" w:rsidRDefault="001C19F3" w:rsidP="00521305">
            <w:pPr>
              <w:spacing w:after="0"/>
              <w:rPr>
                <w:sz w:val="22"/>
              </w:rPr>
            </w:pPr>
          </w:p>
        </w:tc>
      </w:tr>
      <w:tr w:rsidR="001C19F3" w14:paraId="53F6B85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56DE3E"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98C39E" w14:textId="77777777" w:rsidR="001C19F3" w:rsidRDefault="001C19F3" w:rsidP="00521305">
            <w:pPr>
              <w:spacing w:before="40" w:after="40"/>
              <w:ind w:left="100" w:right="100"/>
              <w:jc w:val="center"/>
            </w:pPr>
            <w:r>
              <w:rPr>
                <w:rFonts w:eastAsia="Century Gothic" w:cs="Century Gothic"/>
                <w:color w:val="000000"/>
                <w:sz w:val="18"/>
                <w:szCs w:val="18"/>
              </w:rPr>
              <w:t>106 (5.3%)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56F1A" w14:textId="77777777" w:rsidR="001C19F3" w:rsidRDefault="001C19F3" w:rsidP="00521305">
            <w:pPr>
              <w:spacing w:before="40" w:after="40"/>
              <w:ind w:left="100" w:right="100"/>
              <w:jc w:val="center"/>
            </w:pPr>
            <w:r>
              <w:rPr>
                <w:rFonts w:eastAsia="Century Gothic" w:cs="Century Gothic"/>
                <w:color w:val="000000"/>
                <w:sz w:val="18"/>
                <w:szCs w:val="18"/>
              </w:rPr>
              <w:t>12 (2.9%)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D3DEBB" w14:textId="77777777" w:rsidR="001C19F3" w:rsidRDefault="001C19F3" w:rsidP="00521305">
            <w:pPr>
              <w:spacing w:before="40" w:after="40"/>
              <w:ind w:left="100" w:right="100"/>
              <w:jc w:val="center"/>
            </w:pPr>
            <w:r>
              <w:rPr>
                <w:rFonts w:eastAsia="Century Gothic" w:cs="Century Gothic"/>
                <w:color w:val="000000"/>
                <w:sz w:val="18"/>
                <w:szCs w:val="18"/>
              </w:rPr>
              <w:t>94 (5.9%)</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4714A52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1143E0" w14:textId="77777777" w:rsidR="001C19F3" w:rsidRDefault="001C19F3" w:rsidP="00521305">
            <w:pPr>
              <w:spacing w:before="40" w:after="40"/>
              <w:ind w:left="100" w:right="100"/>
              <w:jc w:val="center"/>
            </w:pPr>
            <w:r>
              <w:rPr>
                <w:rFonts w:eastAsia="Century Gothic" w:cs="Century Gothic"/>
                <w:color w:val="000000"/>
                <w:sz w:val="18"/>
                <w:szCs w:val="18"/>
              </w:rPr>
              <w:t>66 (4.5%)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65DFBC" w14:textId="77777777" w:rsidR="001C19F3" w:rsidRDefault="001C19F3" w:rsidP="00521305">
            <w:pPr>
              <w:spacing w:before="40" w:after="40"/>
              <w:ind w:left="100" w:right="100"/>
              <w:jc w:val="right"/>
            </w:pPr>
            <w:r>
              <w:rPr>
                <w:rFonts w:eastAsia="Century Gothic" w:cs="Century Gothic"/>
                <w:color w:val="000000"/>
                <w:sz w:val="18"/>
                <w:szCs w:val="18"/>
              </w:rPr>
              <w:t>14 (5.1%)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4516C7" w14:textId="77777777" w:rsidR="001C19F3" w:rsidRDefault="001C19F3" w:rsidP="00521305">
            <w:pPr>
              <w:spacing w:before="40" w:after="40"/>
              <w:ind w:left="100" w:right="100"/>
              <w:jc w:val="right"/>
            </w:pPr>
            <w:r>
              <w:rPr>
                <w:rFonts w:eastAsia="Century Gothic" w:cs="Century Gothic"/>
                <w:color w:val="000000"/>
                <w:sz w:val="18"/>
                <w:szCs w:val="18"/>
              </w:rPr>
              <w:t>26 (10.0%)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7877DEC" w14:textId="77777777" w:rsidR="001C19F3" w:rsidRDefault="001C19F3" w:rsidP="00521305">
            <w:pPr>
              <w:spacing w:after="0"/>
              <w:rPr>
                <w:sz w:val="22"/>
              </w:rPr>
            </w:pPr>
          </w:p>
        </w:tc>
      </w:tr>
      <w:tr w:rsidR="001C19F3" w14:paraId="5E13E71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0A3014"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E346A3" w14:textId="77777777" w:rsidR="001C19F3" w:rsidRDefault="001C19F3" w:rsidP="00521305">
            <w:pPr>
              <w:spacing w:before="40" w:after="40"/>
              <w:ind w:left="100" w:right="100"/>
              <w:jc w:val="center"/>
            </w:pPr>
            <w:r>
              <w:rPr>
                <w:rFonts w:eastAsia="Century Gothic" w:cs="Century Gothic"/>
                <w:color w:val="000000"/>
                <w:sz w:val="18"/>
                <w:szCs w:val="18"/>
              </w:rPr>
              <w:t>633 (31.4%)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1986BF" w14:textId="77777777" w:rsidR="001C19F3" w:rsidRDefault="001C19F3" w:rsidP="00521305">
            <w:pPr>
              <w:spacing w:before="40" w:after="40"/>
              <w:ind w:left="100" w:right="100"/>
              <w:jc w:val="center"/>
            </w:pPr>
            <w:r>
              <w:rPr>
                <w:rFonts w:eastAsia="Century Gothic" w:cs="Century Gothic"/>
                <w:color w:val="000000"/>
                <w:sz w:val="18"/>
                <w:szCs w:val="18"/>
              </w:rPr>
              <w:t>111 (26.8%)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533BAE" w14:textId="77777777" w:rsidR="001C19F3" w:rsidRDefault="001C19F3" w:rsidP="00521305">
            <w:pPr>
              <w:spacing w:before="40" w:after="40"/>
              <w:ind w:left="100" w:right="100"/>
              <w:jc w:val="center"/>
            </w:pPr>
            <w:r>
              <w:rPr>
                <w:rFonts w:eastAsia="Century Gothic" w:cs="Century Gothic"/>
                <w:color w:val="000000"/>
                <w:sz w:val="18"/>
                <w:szCs w:val="18"/>
              </w:rPr>
              <w:t>522 (33.0%)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4256A6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11791" w14:textId="77777777" w:rsidR="001C19F3" w:rsidRDefault="001C19F3" w:rsidP="00521305">
            <w:pPr>
              <w:spacing w:before="40" w:after="40"/>
              <w:ind w:left="100" w:right="100"/>
              <w:jc w:val="center"/>
            </w:pPr>
            <w:r>
              <w:rPr>
                <w:rFonts w:eastAsia="Century Gothic" w:cs="Century Gothic"/>
                <w:color w:val="000000"/>
                <w:sz w:val="18"/>
                <w:szCs w:val="18"/>
              </w:rPr>
              <w:t>434 (29.7%)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A1D717" w14:textId="77777777" w:rsidR="001C19F3" w:rsidRDefault="001C19F3" w:rsidP="00521305">
            <w:pPr>
              <w:spacing w:before="40" w:after="40"/>
              <w:ind w:left="100" w:right="100"/>
              <w:jc w:val="right"/>
            </w:pPr>
            <w:r>
              <w:rPr>
                <w:rFonts w:eastAsia="Century Gothic" w:cs="Century Gothic"/>
                <w:color w:val="000000"/>
                <w:sz w:val="18"/>
                <w:szCs w:val="18"/>
              </w:rPr>
              <w:t>85 (31.2%)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C556CA" w14:textId="77777777" w:rsidR="001C19F3" w:rsidRDefault="001C19F3" w:rsidP="00521305">
            <w:pPr>
              <w:spacing w:before="40" w:after="40"/>
              <w:ind w:left="100" w:right="100"/>
              <w:jc w:val="right"/>
            </w:pPr>
            <w:r>
              <w:rPr>
                <w:rFonts w:eastAsia="Century Gothic" w:cs="Century Gothic"/>
                <w:color w:val="000000"/>
                <w:sz w:val="18"/>
                <w:szCs w:val="18"/>
              </w:rPr>
              <w:t>114 (43.7%)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39F3729" w14:textId="77777777" w:rsidR="001C19F3" w:rsidRDefault="001C19F3" w:rsidP="00521305">
            <w:pPr>
              <w:spacing w:after="0"/>
              <w:rPr>
                <w:sz w:val="22"/>
              </w:rPr>
            </w:pPr>
          </w:p>
        </w:tc>
      </w:tr>
      <w:tr w:rsidR="001C19F3" w14:paraId="61D7044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94B32C"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AA6EB6" w14:textId="77777777" w:rsidR="001C19F3" w:rsidRDefault="001C19F3" w:rsidP="00521305">
            <w:pPr>
              <w:spacing w:before="40" w:after="40"/>
              <w:ind w:left="100" w:right="100"/>
              <w:jc w:val="center"/>
            </w:pPr>
            <w:r>
              <w:rPr>
                <w:rFonts w:eastAsia="Century Gothic" w:cs="Century Gothic"/>
                <w:color w:val="000000"/>
                <w:sz w:val="18"/>
                <w:szCs w:val="18"/>
              </w:rPr>
              <w:t>1,182 (58.6%)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5F9C9" w14:textId="77777777" w:rsidR="001C19F3" w:rsidRDefault="001C19F3" w:rsidP="00521305">
            <w:pPr>
              <w:spacing w:before="40" w:after="40"/>
              <w:ind w:left="100" w:right="100"/>
              <w:jc w:val="center"/>
            </w:pPr>
            <w:r>
              <w:rPr>
                <w:rFonts w:eastAsia="Century Gothic" w:cs="Century Gothic"/>
                <w:color w:val="000000"/>
                <w:sz w:val="18"/>
                <w:szCs w:val="18"/>
              </w:rPr>
              <w:t>278 (67.1%)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2C5A4E" w14:textId="77777777" w:rsidR="001C19F3" w:rsidRDefault="001C19F3" w:rsidP="00521305">
            <w:pPr>
              <w:spacing w:before="40" w:after="40"/>
              <w:ind w:left="100" w:right="100"/>
              <w:jc w:val="center"/>
            </w:pPr>
            <w:r>
              <w:rPr>
                <w:rFonts w:eastAsia="Century Gothic" w:cs="Century Gothic"/>
                <w:color w:val="000000"/>
                <w:sz w:val="18"/>
                <w:szCs w:val="18"/>
              </w:rPr>
              <w:t>904 (57.2%)</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2F91245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2C4525" w14:textId="77777777" w:rsidR="001C19F3" w:rsidRDefault="001C19F3" w:rsidP="00521305">
            <w:pPr>
              <w:spacing w:before="40" w:after="40"/>
              <w:ind w:left="100" w:right="100"/>
              <w:jc w:val="center"/>
            </w:pPr>
            <w:r>
              <w:rPr>
                <w:rFonts w:eastAsia="Century Gothic" w:cs="Century Gothic"/>
                <w:color w:val="000000"/>
                <w:sz w:val="18"/>
                <w:szCs w:val="18"/>
              </w:rPr>
              <w:t>914 (62.6%)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657BFA" w14:textId="77777777" w:rsidR="001C19F3" w:rsidRDefault="001C19F3" w:rsidP="00521305">
            <w:pPr>
              <w:spacing w:before="40" w:after="40"/>
              <w:ind w:left="100" w:right="100"/>
              <w:jc w:val="right"/>
            </w:pPr>
            <w:r>
              <w:rPr>
                <w:rFonts w:eastAsia="Century Gothic" w:cs="Century Gothic"/>
                <w:color w:val="000000"/>
                <w:sz w:val="18"/>
                <w:szCs w:val="18"/>
              </w:rPr>
              <w:t>161 (59.2%)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51F013" w14:textId="77777777" w:rsidR="001C19F3" w:rsidRDefault="001C19F3" w:rsidP="00521305">
            <w:pPr>
              <w:spacing w:before="40" w:after="40"/>
              <w:ind w:left="100" w:right="100"/>
              <w:jc w:val="right"/>
            </w:pPr>
            <w:r>
              <w:rPr>
                <w:rFonts w:eastAsia="Century Gothic" w:cs="Century Gothic"/>
                <w:color w:val="000000"/>
                <w:sz w:val="18"/>
                <w:szCs w:val="18"/>
              </w:rPr>
              <w:t>107 (41.0%)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73E2F6" w14:textId="77777777" w:rsidR="001C19F3" w:rsidRDefault="001C19F3" w:rsidP="00521305">
            <w:pPr>
              <w:spacing w:after="0"/>
              <w:rPr>
                <w:sz w:val="22"/>
              </w:rPr>
            </w:pPr>
          </w:p>
        </w:tc>
      </w:tr>
      <w:tr w:rsidR="001C19F3" w14:paraId="1373533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D17C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16E9CB" w14:textId="77777777" w:rsidR="001C19F3" w:rsidRDefault="001C19F3" w:rsidP="00521305">
            <w:pPr>
              <w:spacing w:before="40" w:after="40"/>
              <w:ind w:left="100" w:right="100"/>
              <w:jc w:val="center"/>
            </w:pPr>
            <w:r>
              <w:rPr>
                <w:rFonts w:eastAsia="Century Gothic" w:cs="Century Gothic"/>
                <w:color w:val="000000"/>
                <w:sz w:val="18"/>
                <w:szCs w:val="18"/>
              </w:rPr>
              <w:t>24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13CDD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CB7FD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F3A4A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FFB2A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761F7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A1EDC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2C9595" w14:textId="77777777" w:rsidR="001C19F3" w:rsidRDefault="001C19F3" w:rsidP="00521305">
            <w:pPr>
              <w:spacing w:before="40" w:after="40"/>
              <w:ind w:left="100" w:right="100"/>
              <w:jc w:val="right"/>
            </w:pPr>
          </w:p>
        </w:tc>
      </w:tr>
    </w:tbl>
    <w:p w14:paraId="4A4D2A65" w14:textId="77777777" w:rsidR="001C19F3" w:rsidRDefault="001C19F3" w:rsidP="001C19F3">
      <w:pPr>
        <w:pStyle w:val="Chartortablefootnote"/>
      </w:pPr>
      <w:r>
        <w:t>Source: CATI surveys conducted by The Social Research Centre between December 2017 and March 2019.</w:t>
      </w:r>
    </w:p>
    <w:p w14:paraId="0D60395D" w14:textId="77777777" w:rsidR="001C19F3" w:rsidRDefault="001C19F3" w:rsidP="001C19F3">
      <w:pPr>
        <w:spacing w:after="160" w:line="259" w:lineRule="auto"/>
        <w:rPr>
          <w:i/>
          <w:sz w:val="16"/>
          <w:szCs w:val="18"/>
        </w:rPr>
      </w:pPr>
      <w:r>
        <w:br w:type="page"/>
      </w:r>
    </w:p>
    <w:p w14:paraId="3F856200" w14:textId="77777777" w:rsidR="001C19F3" w:rsidRDefault="001C19F3" w:rsidP="0064591D">
      <w:pPr>
        <w:pStyle w:val="Caption1"/>
        <w:spacing w:after="0"/>
      </w:pPr>
      <w:r>
        <w:lastRenderedPageBreak/>
        <w:t xml:space="preserve">Table </w:t>
      </w:r>
      <w:r>
        <w:fldChar w:fldCharType="begin"/>
      </w:r>
      <w:r>
        <w:instrText>SEQ Table \* ARABIC</w:instrText>
      </w:r>
      <w:r>
        <w:fldChar w:fldCharType="separate"/>
      </w:r>
      <w:r>
        <w:rPr>
          <w:noProof/>
        </w:rPr>
        <w:t>74</w:t>
      </w:r>
      <w:r>
        <w:fldChar w:fldCharType="end"/>
      </w:r>
      <w:r>
        <w:t xml:space="preserve"> – Care planning questions by practice ownership type and practice location</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4B5E42C2"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0D8332" w14:textId="77777777" w:rsidR="001C19F3" w:rsidRDefault="001C19F3" w:rsidP="00521305">
            <w:pPr>
              <w:spacing w:after="0"/>
              <w:jc w:val="center"/>
            </w:pPr>
            <w:r>
              <w:rPr>
                <w:rFonts w:eastAsia="Century Gothic" w:cs="Century Gothic"/>
                <w:b/>
                <w:color w:val="FFFFFF"/>
                <w:sz w:val="18"/>
                <w:szCs w:val="18"/>
              </w:rPr>
              <w:t>Care planning</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6F1644"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0B60758"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244903C" w14:textId="77777777" w:rsidR="001C19F3" w:rsidRDefault="001C19F3" w:rsidP="00521305">
            <w:pPr>
              <w:spacing w:after="0"/>
              <w:jc w:val="center"/>
            </w:pPr>
            <w:r>
              <w:rPr>
                <w:rFonts w:eastAsia="Century Gothic" w:cs="Century Gothic"/>
                <w:b/>
                <w:color w:val="FFFFFF"/>
                <w:sz w:val="18"/>
                <w:szCs w:val="18"/>
              </w:rPr>
              <w:t>Location</w:t>
            </w:r>
          </w:p>
        </w:tc>
      </w:tr>
      <w:tr w:rsidR="001C19F3" w14:paraId="4CC1C5E9" w14:textId="77777777" w:rsidTr="00521305">
        <w:trPr>
          <w:cantSplit/>
          <w:trHeight w:val="330"/>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7A33FB24"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37369F2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5842D13"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AC21B8C"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A7CE69"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7A6520F"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2A6E0F8"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7114390"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C59D15D"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5F40521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D24F7D" w14:textId="77777777" w:rsidR="001C19F3" w:rsidRDefault="001C19F3" w:rsidP="00521305">
            <w:pPr>
              <w:spacing w:before="40" w:after="40"/>
              <w:ind w:left="100" w:right="100"/>
            </w:pPr>
            <w:r>
              <w:rPr>
                <w:rFonts w:eastAsia="Century Gothic" w:cs="Century Gothic"/>
                <w:b/>
                <w:color w:val="000000"/>
                <w:sz w:val="18"/>
                <w:szCs w:val="18"/>
              </w:rPr>
              <w:t>D1 Patient has registered for My Health Record (Q6)</w:t>
            </w:r>
          </w:p>
        </w:tc>
      </w:tr>
      <w:tr w:rsidR="001C19F3" w14:paraId="27DC38E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991FFB"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6CB6CD" w14:textId="77777777" w:rsidR="001C19F3" w:rsidRDefault="001C19F3" w:rsidP="00521305">
            <w:pPr>
              <w:spacing w:before="40" w:after="40"/>
              <w:ind w:left="100" w:right="100"/>
              <w:jc w:val="center"/>
            </w:pPr>
            <w:r>
              <w:rPr>
                <w:rFonts w:eastAsia="Century Gothic" w:cs="Century Gothic"/>
                <w:color w:val="000000"/>
                <w:sz w:val="18"/>
                <w:szCs w:val="18"/>
              </w:rPr>
              <w:t>1,449 (71.8%)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ADAF6A" w14:textId="77777777" w:rsidR="001C19F3" w:rsidRDefault="001C19F3" w:rsidP="00521305">
            <w:pPr>
              <w:spacing w:before="40" w:after="40"/>
              <w:ind w:left="100" w:right="100"/>
              <w:jc w:val="center"/>
            </w:pPr>
            <w:r>
              <w:rPr>
                <w:rFonts w:eastAsia="Century Gothic" w:cs="Century Gothic"/>
                <w:color w:val="000000"/>
                <w:sz w:val="18"/>
                <w:szCs w:val="18"/>
              </w:rPr>
              <w:t>284 (77.6%)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2F4049" w14:textId="77777777" w:rsidR="001C19F3" w:rsidRDefault="001C19F3" w:rsidP="00521305">
            <w:pPr>
              <w:spacing w:before="40" w:after="40"/>
              <w:ind w:left="100" w:right="100"/>
              <w:jc w:val="center"/>
            </w:pPr>
            <w:r>
              <w:rPr>
                <w:rFonts w:eastAsia="Century Gothic" w:cs="Century Gothic"/>
                <w:color w:val="000000"/>
                <w:sz w:val="18"/>
                <w:szCs w:val="18"/>
              </w:rPr>
              <w:t>1,165 (82.0%)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C21500" w14:textId="77777777" w:rsidR="001C19F3" w:rsidRDefault="001C19F3" w:rsidP="00521305">
            <w:pPr>
              <w:spacing w:before="40" w:after="40"/>
              <w:ind w:left="100" w:right="100"/>
              <w:jc w:val="center"/>
            </w:pPr>
            <w:r>
              <w:rPr>
                <w:rFonts w:eastAsia="Century Gothic" w:cs="Century Gothic"/>
                <w:color w:val="000000"/>
                <w:sz w:val="18"/>
                <w:szCs w:val="18"/>
              </w:rPr>
              <w:t>0.066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AC6ABB" w14:textId="77777777" w:rsidR="001C19F3" w:rsidRDefault="001C19F3" w:rsidP="00521305">
            <w:pPr>
              <w:spacing w:before="40" w:after="40"/>
              <w:ind w:left="100" w:right="100"/>
              <w:jc w:val="center"/>
            </w:pPr>
            <w:r>
              <w:rPr>
                <w:rFonts w:eastAsia="Century Gothic" w:cs="Century Gothic"/>
                <w:color w:val="000000"/>
                <w:sz w:val="18"/>
                <w:szCs w:val="18"/>
              </w:rPr>
              <w:t>1,000 (77.8%)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875795" w14:textId="77777777" w:rsidR="001C19F3" w:rsidRDefault="001C19F3" w:rsidP="00521305">
            <w:pPr>
              <w:spacing w:before="40" w:after="40"/>
              <w:ind w:left="100" w:right="100"/>
              <w:jc w:val="right"/>
            </w:pPr>
            <w:r>
              <w:rPr>
                <w:rFonts w:eastAsia="Century Gothic" w:cs="Century Gothic"/>
                <w:color w:val="000000"/>
                <w:sz w:val="18"/>
                <w:szCs w:val="18"/>
              </w:rPr>
              <w:t>223 (88.1%)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37CC30" w14:textId="77777777" w:rsidR="001C19F3" w:rsidRDefault="001C19F3" w:rsidP="00521305">
            <w:pPr>
              <w:spacing w:before="40" w:after="40"/>
              <w:ind w:left="100" w:right="100"/>
              <w:jc w:val="right"/>
            </w:pPr>
            <w:r>
              <w:rPr>
                <w:rFonts w:eastAsia="Century Gothic" w:cs="Century Gothic"/>
                <w:color w:val="000000"/>
                <w:sz w:val="18"/>
                <w:szCs w:val="18"/>
              </w:rPr>
              <w:t>226 (90.8%)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A13E34"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3609A91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7F612A"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BF5609" w14:textId="77777777" w:rsidR="001C19F3" w:rsidRDefault="001C19F3" w:rsidP="00521305">
            <w:pPr>
              <w:spacing w:before="40" w:after="40"/>
              <w:ind w:left="100" w:right="100"/>
              <w:jc w:val="center"/>
            </w:pPr>
            <w:r>
              <w:rPr>
                <w:rFonts w:eastAsia="Century Gothic" w:cs="Century Gothic"/>
                <w:color w:val="000000"/>
                <w:sz w:val="18"/>
                <w:szCs w:val="18"/>
              </w:rPr>
              <w:t>338 (16.7%)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545F94" w14:textId="77777777" w:rsidR="001C19F3" w:rsidRDefault="001C19F3" w:rsidP="00521305">
            <w:pPr>
              <w:spacing w:before="40" w:after="40"/>
              <w:ind w:left="100" w:right="100"/>
              <w:jc w:val="center"/>
            </w:pPr>
            <w:r>
              <w:rPr>
                <w:rFonts w:eastAsia="Century Gothic" w:cs="Century Gothic"/>
                <w:color w:val="000000"/>
                <w:sz w:val="18"/>
                <w:szCs w:val="18"/>
              </w:rPr>
              <w:t>82 (22.4%)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E36F1B" w14:textId="77777777" w:rsidR="001C19F3" w:rsidRDefault="001C19F3" w:rsidP="00521305">
            <w:pPr>
              <w:spacing w:before="40" w:after="40"/>
              <w:ind w:left="100" w:right="100"/>
              <w:jc w:val="center"/>
            </w:pPr>
            <w:r>
              <w:rPr>
                <w:rFonts w:eastAsia="Century Gothic" w:cs="Century Gothic"/>
                <w:color w:val="000000"/>
                <w:sz w:val="18"/>
                <w:szCs w:val="18"/>
              </w:rPr>
              <w:t>256 (18.0%)</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D2A3D7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401B4" w14:textId="77777777" w:rsidR="001C19F3" w:rsidRDefault="001C19F3" w:rsidP="00521305">
            <w:pPr>
              <w:spacing w:before="40" w:after="40"/>
              <w:ind w:left="100" w:right="100"/>
              <w:jc w:val="center"/>
            </w:pPr>
            <w:r>
              <w:rPr>
                <w:rFonts w:eastAsia="Century Gothic" w:cs="Century Gothic"/>
                <w:color w:val="000000"/>
                <w:sz w:val="18"/>
                <w:szCs w:val="18"/>
              </w:rPr>
              <w:t>285 (22.2%)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20E5D" w14:textId="77777777" w:rsidR="001C19F3" w:rsidRDefault="001C19F3" w:rsidP="00521305">
            <w:pPr>
              <w:spacing w:before="40" w:after="40"/>
              <w:ind w:left="100" w:right="100"/>
              <w:jc w:val="right"/>
            </w:pPr>
            <w:r>
              <w:rPr>
                <w:rFonts w:eastAsia="Century Gothic" w:cs="Century Gothic"/>
                <w:color w:val="000000"/>
                <w:sz w:val="18"/>
                <w:szCs w:val="18"/>
              </w:rPr>
              <w:t>30 (11.9%)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2DD390" w14:textId="77777777" w:rsidR="001C19F3" w:rsidRDefault="001C19F3" w:rsidP="00521305">
            <w:pPr>
              <w:spacing w:before="40" w:after="40"/>
              <w:ind w:left="100" w:right="100"/>
              <w:jc w:val="right"/>
            </w:pPr>
            <w:r>
              <w:rPr>
                <w:rFonts w:eastAsia="Century Gothic" w:cs="Century Gothic"/>
                <w:color w:val="000000"/>
                <w:sz w:val="18"/>
                <w:szCs w:val="18"/>
              </w:rPr>
              <w:t>23 (9.2%)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91A039E" w14:textId="77777777" w:rsidR="001C19F3" w:rsidRDefault="001C19F3" w:rsidP="00521305">
            <w:pPr>
              <w:spacing w:after="0"/>
              <w:rPr>
                <w:sz w:val="22"/>
              </w:rPr>
            </w:pPr>
          </w:p>
        </w:tc>
      </w:tr>
      <w:tr w:rsidR="001C19F3" w14:paraId="59CCA36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A92915"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99CDEB" w14:textId="77777777" w:rsidR="001C19F3" w:rsidRDefault="001C19F3" w:rsidP="00521305">
            <w:pPr>
              <w:spacing w:before="40" w:after="40"/>
              <w:ind w:left="100" w:right="100"/>
              <w:jc w:val="center"/>
            </w:pPr>
            <w:r>
              <w:rPr>
                <w:rFonts w:eastAsia="Century Gothic" w:cs="Century Gothic"/>
                <w:color w:val="000000"/>
                <w:sz w:val="18"/>
                <w:szCs w:val="18"/>
              </w:rPr>
              <w:t>231 (11.4%)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7D683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13060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DA24E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C6E2A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F2CD2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B45ED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A6BDD0" w14:textId="77777777" w:rsidR="001C19F3" w:rsidRDefault="001C19F3" w:rsidP="00521305">
            <w:pPr>
              <w:spacing w:before="40" w:after="40"/>
              <w:ind w:left="100" w:right="100"/>
              <w:jc w:val="right"/>
            </w:pPr>
          </w:p>
        </w:tc>
      </w:tr>
      <w:tr w:rsidR="001C19F3" w14:paraId="43B5B8D1"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A4EA1A" w14:textId="77777777" w:rsidR="001C19F3" w:rsidRDefault="001C19F3" w:rsidP="00521305">
            <w:pPr>
              <w:spacing w:before="40" w:after="40"/>
              <w:ind w:left="100" w:right="100"/>
            </w:pPr>
            <w:r>
              <w:rPr>
                <w:rFonts w:eastAsia="Century Gothic" w:cs="Century Gothic"/>
                <w:b/>
                <w:color w:val="000000"/>
                <w:sz w:val="18"/>
                <w:szCs w:val="18"/>
              </w:rPr>
              <w:t>D2 Before enrolling in HCH, patient had a treatment/shared care plan which their GP or practice staff developed with them (Q7)</w:t>
            </w:r>
          </w:p>
        </w:tc>
      </w:tr>
      <w:tr w:rsidR="001C19F3" w14:paraId="64BAB94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800DCF"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9E768C" w14:textId="77777777" w:rsidR="001C19F3" w:rsidRDefault="001C19F3" w:rsidP="00521305">
            <w:pPr>
              <w:spacing w:before="40" w:after="40"/>
              <w:ind w:left="100" w:right="100"/>
              <w:jc w:val="center"/>
            </w:pPr>
            <w:r>
              <w:rPr>
                <w:rFonts w:eastAsia="Century Gothic" w:cs="Century Gothic"/>
                <w:color w:val="000000"/>
                <w:sz w:val="18"/>
                <w:szCs w:val="18"/>
              </w:rPr>
              <w:t>1,159 (57.4%)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36A31C" w14:textId="77777777" w:rsidR="001C19F3" w:rsidRDefault="001C19F3" w:rsidP="00521305">
            <w:pPr>
              <w:spacing w:before="40" w:after="40"/>
              <w:ind w:left="100" w:right="100"/>
              <w:jc w:val="center"/>
            </w:pPr>
            <w:r>
              <w:rPr>
                <w:rFonts w:eastAsia="Century Gothic" w:cs="Century Gothic"/>
                <w:color w:val="000000"/>
                <w:sz w:val="18"/>
                <w:szCs w:val="18"/>
              </w:rPr>
              <w:t>229 (58.3%)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1C6999" w14:textId="77777777" w:rsidR="001C19F3" w:rsidRDefault="001C19F3" w:rsidP="00521305">
            <w:pPr>
              <w:spacing w:before="40" w:after="40"/>
              <w:ind w:left="100" w:right="100"/>
              <w:jc w:val="center"/>
            </w:pPr>
            <w:r>
              <w:rPr>
                <w:rFonts w:eastAsia="Century Gothic" w:cs="Century Gothic"/>
                <w:color w:val="000000"/>
                <w:sz w:val="18"/>
                <w:szCs w:val="18"/>
              </w:rPr>
              <w:t>930 (61.5%)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BF94E" w14:textId="77777777" w:rsidR="001C19F3" w:rsidRDefault="001C19F3" w:rsidP="00521305">
            <w:pPr>
              <w:spacing w:before="40" w:after="40"/>
              <w:ind w:left="100" w:right="100"/>
              <w:jc w:val="center"/>
            </w:pPr>
            <w:r>
              <w:rPr>
                <w:rFonts w:eastAsia="Century Gothic" w:cs="Century Gothic"/>
                <w:color w:val="000000"/>
                <w:sz w:val="18"/>
                <w:szCs w:val="18"/>
              </w:rPr>
              <w:t>0.272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826AA" w14:textId="77777777" w:rsidR="001C19F3" w:rsidRDefault="001C19F3" w:rsidP="00521305">
            <w:pPr>
              <w:spacing w:before="40" w:after="40"/>
              <w:ind w:left="100" w:right="100"/>
              <w:jc w:val="center"/>
            </w:pPr>
            <w:r>
              <w:rPr>
                <w:rFonts w:eastAsia="Century Gothic" w:cs="Century Gothic"/>
                <w:color w:val="000000"/>
                <w:sz w:val="18"/>
                <w:szCs w:val="18"/>
              </w:rPr>
              <w:t>871 (62.3%)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A00F05" w14:textId="77777777" w:rsidR="001C19F3" w:rsidRDefault="001C19F3" w:rsidP="00521305">
            <w:pPr>
              <w:spacing w:before="40" w:after="40"/>
              <w:ind w:left="100" w:right="100"/>
              <w:jc w:val="right"/>
            </w:pPr>
            <w:r>
              <w:rPr>
                <w:rFonts w:eastAsia="Century Gothic" w:cs="Century Gothic"/>
                <w:color w:val="000000"/>
                <w:sz w:val="18"/>
                <w:szCs w:val="18"/>
              </w:rPr>
              <w:t>144 (56.2%)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6CDC54" w14:textId="77777777" w:rsidR="001C19F3" w:rsidRDefault="001C19F3" w:rsidP="00521305">
            <w:pPr>
              <w:spacing w:before="40" w:after="40"/>
              <w:ind w:left="100" w:right="100"/>
              <w:jc w:val="right"/>
            </w:pPr>
            <w:r>
              <w:rPr>
                <w:rFonts w:eastAsia="Century Gothic" w:cs="Century Gothic"/>
                <w:color w:val="000000"/>
                <w:sz w:val="18"/>
                <w:szCs w:val="18"/>
              </w:rPr>
              <w:t>144 (56.9%)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4D4E1E" w14:textId="77777777" w:rsidR="001C19F3" w:rsidRDefault="001C19F3" w:rsidP="00521305">
            <w:pPr>
              <w:spacing w:before="40" w:after="40"/>
              <w:ind w:left="100" w:right="100"/>
              <w:jc w:val="right"/>
            </w:pPr>
            <w:r>
              <w:rPr>
                <w:rFonts w:eastAsia="Century Gothic" w:cs="Century Gothic"/>
                <w:color w:val="000000"/>
                <w:sz w:val="18"/>
                <w:szCs w:val="18"/>
              </w:rPr>
              <w:t>0.073</w:t>
            </w:r>
          </w:p>
        </w:tc>
      </w:tr>
      <w:tr w:rsidR="001C19F3" w14:paraId="5392633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63A818"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349ADB" w14:textId="77777777" w:rsidR="001C19F3" w:rsidRDefault="001C19F3" w:rsidP="00521305">
            <w:pPr>
              <w:spacing w:before="40" w:after="40"/>
              <w:ind w:left="100" w:right="100"/>
              <w:jc w:val="center"/>
            </w:pPr>
            <w:r>
              <w:rPr>
                <w:rFonts w:eastAsia="Century Gothic" w:cs="Century Gothic"/>
                <w:color w:val="000000"/>
                <w:sz w:val="18"/>
                <w:szCs w:val="18"/>
              </w:rPr>
              <w:t>747 (37.0%)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2579E1" w14:textId="77777777" w:rsidR="001C19F3" w:rsidRDefault="001C19F3" w:rsidP="00521305">
            <w:pPr>
              <w:spacing w:before="40" w:after="40"/>
              <w:ind w:left="100" w:right="100"/>
              <w:jc w:val="center"/>
            </w:pPr>
            <w:r>
              <w:rPr>
                <w:rFonts w:eastAsia="Century Gothic" w:cs="Century Gothic"/>
                <w:color w:val="000000"/>
                <w:sz w:val="18"/>
                <w:szCs w:val="18"/>
              </w:rPr>
              <w:t>164 (41.7%)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C1A108" w14:textId="77777777" w:rsidR="001C19F3" w:rsidRDefault="001C19F3" w:rsidP="00521305">
            <w:pPr>
              <w:spacing w:before="40" w:after="40"/>
              <w:ind w:left="100" w:right="100"/>
              <w:jc w:val="center"/>
            </w:pPr>
            <w:r>
              <w:rPr>
                <w:rFonts w:eastAsia="Century Gothic" w:cs="Century Gothic"/>
                <w:color w:val="000000"/>
                <w:sz w:val="18"/>
                <w:szCs w:val="18"/>
              </w:rPr>
              <w:t>583 (38.5%)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584B5FC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A67E7B" w14:textId="77777777" w:rsidR="001C19F3" w:rsidRDefault="001C19F3" w:rsidP="00521305">
            <w:pPr>
              <w:spacing w:before="40" w:after="40"/>
              <w:ind w:left="100" w:right="100"/>
              <w:jc w:val="center"/>
            </w:pPr>
            <w:r>
              <w:rPr>
                <w:rFonts w:eastAsia="Century Gothic" w:cs="Century Gothic"/>
                <w:color w:val="000000"/>
                <w:sz w:val="18"/>
                <w:szCs w:val="18"/>
              </w:rPr>
              <w:t>526 (37.7%)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4F1411" w14:textId="77777777" w:rsidR="001C19F3" w:rsidRDefault="001C19F3" w:rsidP="00521305">
            <w:pPr>
              <w:spacing w:before="40" w:after="40"/>
              <w:ind w:left="100" w:right="100"/>
              <w:jc w:val="right"/>
            </w:pPr>
            <w:r>
              <w:rPr>
                <w:rFonts w:eastAsia="Century Gothic" w:cs="Century Gothic"/>
                <w:color w:val="000000"/>
                <w:sz w:val="18"/>
                <w:szCs w:val="18"/>
              </w:rPr>
              <w:t>112 (43.8%)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C1B2C8" w14:textId="77777777" w:rsidR="001C19F3" w:rsidRDefault="001C19F3" w:rsidP="00521305">
            <w:pPr>
              <w:spacing w:before="40" w:after="40"/>
              <w:ind w:left="100" w:right="100"/>
              <w:jc w:val="right"/>
            </w:pPr>
            <w:r>
              <w:rPr>
                <w:rFonts w:eastAsia="Century Gothic" w:cs="Century Gothic"/>
                <w:color w:val="000000"/>
                <w:sz w:val="18"/>
                <w:szCs w:val="18"/>
              </w:rPr>
              <w:t>109 (43.1%)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9F47DFF" w14:textId="77777777" w:rsidR="001C19F3" w:rsidRDefault="001C19F3" w:rsidP="00521305">
            <w:pPr>
              <w:spacing w:after="0"/>
              <w:rPr>
                <w:sz w:val="22"/>
              </w:rPr>
            </w:pPr>
          </w:p>
        </w:tc>
      </w:tr>
      <w:tr w:rsidR="001C19F3" w14:paraId="2053E61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F55567"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DA2623" w14:textId="77777777" w:rsidR="001C19F3" w:rsidRDefault="001C19F3" w:rsidP="00521305">
            <w:pPr>
              <w:spacing w:before="40" w:after="40"/>
              <w:ind w:left="100" w:right="100"/>
              <w:jc w:val="center"/>
            </w:pPr>
            <w:r>
              <w:rPr>
                <w:rFonts w:eastAsia="Century Gothic" w:cs="Century Gothic"/>
                <w:color w:val="000000"/>
                <w:sz w:val="18"/>
                <w:szCs w:val="18"/>
              </w:rPr>
              <w:t>112 (5.6%)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F5DEC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6FB4B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7463E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28D71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D0DFE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2A8A7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0FDB10" w14:textId="77777777" w:rsidR="001C19F3" w:rsidRDefault="001C19F3" w:rsidP="00521305">
            <w:pPr>
              <w:spacing w:before="40" w:after="40"/>
              <w:ind w:left="100" w:right="100"/>
              <w:jc w:val="right"/>
            </w:pPr>
          </w:p>
        </w:tc>
      </w:tr>
      <w:tr w:rsidR="001C19F3" w14:paraId="5CE390C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AF65DC" w14:textId="77777777" w:rsidR="001C19F3" w:rsidRDefault="001C19F3" w:rsidP="00521305">
            <w:pPr>
              <w:spacing w:before="40" w:after="40"/>
              <w:ind w:left="100" w:right="100"/>
            </w:pPr>
            <w:r>
              <w:rPr>
                <w:rFonts w:eastAsia="Century Gothic" w:cs="Century Gothic"/>
                <w:b/>
                <w:color w:val="000000"/>
                <w:sz w:val="18"/>
                <w:szCs w:val="18"/>
              </w:rPr>
              <w:t>D3 Before enrolling in HCH, frequency the patient discussed their treatment/shared care plan with their GP or practice staff (Q8)</w:t>
            </w:r>
          </w:p>
        </w:tc>
      </w:tr>
      <w:tr w:rsidR="001C19F3" w14:paraId="165D09F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35CC54" w14:textId="77777777" w:rsidR="001C19F3" w:rsidRDefault="001C19F3" w:rsidP="00521305">
            <w:pPr>
              <w:spacing w:before="40" w:after="40"/>
              <w:ind w:left="160" w:right="100"/>
            </w:pPr>
            <w:r>
              <w:rPr>
                <w:rFonts w:eastAsia="Century Gothic" w:cs="Century Gothic"/>
                <w:color w:val="000000"/>
                <w:sz w:val="18"/>
                <w:szCs w:val="18"/>
              </w:rPr>
              <w:t>At most or all consultations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EC8889" w14:textId="77777777" w:rsidR="001C19F3" w:rsidRDefault="001C19F3" w:rsidP="00521305">
            <w:pPr>
              <w:spacing w:before="40" w:after="40"/>
              <w:ind w:left="100" w:right="100"/>
              <w:jc w:val="center"/>
            </w:pPr>
            <w:r>
              <w:rPr>
                <w:rFonts w:eastAsia="Century Gothic" w:cs="Century Gothic"/>
                <w:color w:val="000000"/>
                <w:sz w:val="18"/>
                <w:szCs w:val="18"/>
              </w:rPr>
              <w:t>485 (41.8%)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3EB754" w14:textId="77777777" w:rsidR="001C19F3" w:rsidRDefault="001C19F3" w:rsidP="00521305">
            <w:pPr>
              <w:spacing w:before="40" w:after="40"/>
              <w:ind w:left="100" w:right="100"/>
              <w:jc w:val="center"/>
            </w:pPr>
            <w:r>
              <w:rPr>
                <w:rFonts w:eastAsia="Century Gothic" w:cs="Century Gothic"/>
                <w:color w:val="000000"/>
                <w:sz w:val="18"/>
                <w:szCs w:val="18"/>
              </w:rPr>
              <w:t>79 (38.2%)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BD6E6" w14:textId="77777777" w:rsidR="001C19F3" w:rsidRDefault="001C19F3" w:rsidP="00521305">
            <w:pPr>
              <w:spacing w:before="40" w:after="40"/>
              <w:ind w:left="100" w:right="100"/>
              <w:jc w:val="center"/>
            </w:pPr>
            <w:r>
              <w:rPr>
                <w:rFonts w:eastAsia="Century Gothic" w:cs="Century Gothic"/>
                <w:color w:val="000000"/>
                <w:sz w:val="18"/>
                <w:szCs w:val="18"/>
              </w:rPr>
              <w:t>406 (47.4%)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0170A" w14:textId="77777777" w:rsidR="001C19F3" w:rsidRDefault="001C19F3" w:rsidP="00521305">
            <w:pPr>
              <w:spacing w:before="40" w:after="40"/>
              <w:ind w:left="100" w:right="100"/>
              <w:jc w:val="center"/>
            </w:pPr>
            <w:r>
              <w:rPr>
                <w:rFonts w:eastAsia="Century Gothic" w:cs="Century Gothic"/>
                <w:color w:val="000000"/>
                <w:sz w:val="18"/>
                <w:szCs w:val="18"/>
              </w:rPr>
              <w:t>0.043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C09A2C" w14:textId="77777777" w:rsidR="001C19F3" w:rsidRDefault="001C19F3" w:rsidP="00521305">
            <w:pPr>
              <w:spacing w:before="40" w:after="40"/>
              <w:ind w:left="100" w:right="100"/>
              <w:jc w:val="center"/>
            </w:pPr>
            <w:r>
              <w:rPr>
                <w:rFonts w:eastAsia="Century Gothic" w:cs="Century Gothic"/>
                <w:color w:val="000000"/>
                <w:sz w:val="18"/>
                <w:szCs w:val="18"/>
              </w:rPr>
              <w:t>361 (45.0%)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E76506" w14:textId="77777777" w:rsidR="001C19F3" w:rsidRDefault="001C19F3" w:rsidP="00521305">
            <w:pPr>
              <w:spacing w:before="40" w:after="40"/>
              <w:ind w:left="100" w:right="100"/>
              <w:jc w:val="right"/>
            </w:pPr>
            <w:r>
              <w:rPr>
                <w:rFonts w:eastAsia="Century Gothic" w:cs="Century Gothic"/>
                <w:color w:val="000000"/>
                <w:sz w:val="18"/>
                <w:szCs w:val="18"/>
              </w:rPr>
              <w:t>72 (52.2%)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1B6542" w14:textId="77777777" w:rsidR="001C19F3" w:rsidRDefault="001C19F3" w:rsidP="00521305">
            <w:pPr>
              <w:spacing w:before="40" w:after="40"/>
              <w:ind w:left="100" w:right="100"/>
              <w:jc w:val="right"/>
            </w:pPr>
            <w:r>
              <w:rPr>
                <w:rFonts w:eastAsia="Century Gothic" w:cs="Century Gothic"/>
                <w:color w:val="000000"/>
                <w:sz w:val="18"/>
                <w:szCs w:val="18"/>
              </w:rPr>
              <w:t>52 (41.9%)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852CA" w14:textId="77777777" w:rsidR="001C19F3" w:rsidRDefault="001C19F3" w:rsidP="00521305">
            <w:pPr>
              <w:spacing w:before="40" w:after="40"/>
              <w:ind w:left="100" w:right="100"/>
              <w:jc w:val="right"/>
            </w:pPr>
            <w:r>
              <w:rPr>
                <w:rFonts w:eastAsia="Century Gothic" w:cs="Century Gothic"/>
                <w:color w:val="000000"/>
                <w:sz w:val="18"/>
                <w:szCs w:val="18"/>
              </w:rPr>
              <w:t>0.205</w:t>
            </w:r>
          </w:p>
        </w:tc>
      </w:tr>
      <w:tr w:rsidR="001C19F3" w14:paraId="5D9EFDF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5428DE" w14:textId="77777777" w:rsidR="001C19F3" w:rsidRDefault="001C19F3" w:rsidP="00521305">
            <w:pPr>
              <w:spacing w:before="40" w:after="40"/>
              <w:ind w:left="160" w:right="100"/>
            </w:pPr>
            <w:r>
              <w:rPr>
                <w:rFonts w:eastAsia="Century Gothic" w:cs="Century Gothic"/>
                <w:color w:val="000000"/>
                <w:sz w:val="18"/>
                <w:szCs w:val="18"/>
              </w:rPr>
              <w:t>It was sometimes discussed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B081D9" w14:textId="77777777" w:rsidR="001C19F3" w:rsidRDefault="001C19F3" w:rsidP="00521305">
            <w:pPr>
              <w:spacing w:before="40" w:after="40"/>
              <w:ind w:left="100" w:right="100"/>
              <w:jc w:val="center"/>
            </w:pPr>
            <w:r>
              <w:rPr>
                <w:rFonts w:eastAsia="Century Gothic" w:cs="Century Gothic"/>
                <w:color w:val="000000"/>
                <w:sz w:val="18"/>
                <w:szCs w:val="18"/>
              </w:rPr>
              <w:t>500 (43.1%)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723A52" w14:textId="77777777" w:rsidR="001C19F3" w:rsidRDefault="001C19F3" w:rsidP="00521305">
            <w:pPr>
              <w:spacing w:before="40" w:after="40"/>
              <w:ind w:left="100" w:right="100"/>
              <w:jc w:val="center"/>
            </w:pPr>
            <w:r>
              <w:rPr>
                <w:rFonts w:eastAsia="Century Gothic" w:cs="Century Gothic"/>
                <w:color w:val="000000"/>
                <w:sz w:val="18"/>
                <w:szCs w:val="18"/>
              </w:rPr>
              <w:t>113 (54.6%)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34497C" w14:textId="77777777" w:rsidR="001C19F3" w:rsidRDefault="001C19F3" w:rsidP="00521305">
            <w:pPr>
              <w:spacing w:before="40" w:after="40"/>
              <w:ind w:left="100" w:right="100"/>
              <w:jc w:val="center"/>
            </w:pPr>
            <w:r>
              <w:rPr>
                <w:rFonts w:eastAsia="Century Gothic" w:cs="Century Gothic"/>
                <w:color w:val="000000"/>
                <w:sz w:val="18"/>
                <w:szCs w:val="18"/>
              </w:rPr>
              <w:t>387 (45.2%)</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0F3F0E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6D2250" w14:textId="77777777" w:rsidR="001C19F3" w:rsidRDefault="001C19F3" w:rsidP="00521305">
            <w:pPr>
              <w:spacing w:before="40" w:after="40"/>
              <w:ind w:left="100" w:right="100"/>
              <w:jc w:val="center"/>
            </w:pPr>
            <w:r>
              <w:rPr>
                <w:rFonts w:eastAsia="Century Gothic" w:cs="Century Gothic"/>
                <w:color w:val="000000"/>
                <w:sz w:val="18"/>
                <w:szCs w:val="18"/>
              </w:rPr>
              <w:t>383 (47.8%)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CA157A" w14:textId="77777777" w:rsidR="001C19F3" w:rsidRDefault="001C19F3" w:rsidP="00521305">
            <w:pPr>
              <w:spacing w:before="40" w:after="40"/>
              <w:ind w:left="100" w:right="100"/>
              <w:jc w:val="right"/>
            </w:pPr>
            <w:r>
              <w:rPr>
                <w:rFonts w:eastAsia="Century Gothic" w:cs="Century Gothic"/>
                <w:color w:val="000000"/>
                <w:sz w:val="18"/>
                <w:szCs w:val="18"/>
              </w:rPr>
              <w:t>59 (42.8%)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6CEEC" w14:textId="77777777" w:rsidR="001C19F3" w:rsidRDefault="001C19F3" w:rsidP="00521305">
            <w:pPr>
              <w:spacing w:before="40" w:after="40"/>
              <w:ind w:left="100" w:right="100"/>
              <w:jc w:val="right"/>
            </w:pPr>
            <w:r>
              <w:rPr>
                <w:rFonts w:eastAsia="Century Gothic" w:cs="Century Gothic"/>
                <w:color w:val="000000"/>
                <w:sz w:val="18"/>
                <w:szCs w:val="18"/>
              </w:rPr>
              <w:t>58 (46.8%)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B5D1944" w14:textId="77777777" w:rsidR="001C19F3" w:rsidRDefault="001C19F3" w:rsidP="00521305">
            <w:pPr>
              <w:spacing w:after="0"/>
              <w:rPr>
                <w:sz w:val="22"/>
              </w:rPr>
            </w:pPr>
          </w:p>
        </w:tc>
      </w:tr>
      <w:tr w:rsidR="001C19F3" w14:paraId="4ED0B94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82231B" w14:textId="77777777" w:rsidR="001C19F3" w:rsidRDefault="001C19F3" w:rsidP="00521305">
            <w:pPr>
              <w:spacing w:before="40" w:after="40"/>
              <w:ind w:left="160" w:right="100"/>
            </w:pPr>
            <w:r>
              <w:rPr>
                <w:rFonts w:eastAsia="Century Gothic" w:cs="Century Gothic"/>
                <w:color w:val="000000"/>
                <w:sz w:val="18"/>
                <w:szCs w:val="18"/>
              </w:rPr>
              <w:t>It was never discussed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89A0FF" w14:textId="77777777" w:rsidR="001C19F3" w:rsidRDefault="001C19F3" w:rsidP="00521305">
            <w:pPr>
              <w:spacing w:before="40" w:after="40"/>
              <w:ind w:left="100" w:right="100"/>
              <w:jc w:val="center"/>
            </w:pPr>
            <w:r>
              <w:rPr>
                <w:rFonts w:eastAsia="Century Gothic" w:cs="Century Gothic"/>
                <w:color w:val="000000"/>
                <w:sz w:val="18"/>
                <w:szCs w:val="18"/>
              </w:rPr>
              <w:t>79 (6.8%)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F2167A" w14:textId="77777777" w:rsidR="001C19F3" w:rsidRDefault="001C19F3" w:rsidP="00521305">
            <w:pPr>
              <w:spacing w:before="40" w:after="40"/>
              <w:ind w:left="100" w:right="100"/>
              <w:jc w:val="center"/>
            </w:pPr>
            <w:r>
              <w:rPr>
                <w:rFonts w:eastAsia="Century Gothic" w:cs="Century Gothic"/>
                <w:color w:val="000000"/>
                <w:sz w:val="18"/>
                <w:szCs w:val="18"/>
              </w:rPr>
              <w:t>15 (7.2%)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5516DE" w14:textId="77777777" w:rsidR="001C19F3" w:rsidRDefault="001C19F3" w:rsidP="00521305">
            <w:pPr>
              <w:spacing w:before="40" w:after="40"/>
              <w:ind w:left="100" w:right="100"/>
              <w:jc w:val="center"/>
            </w:pPr>
            <w:r>
              <w:rPr>
                <w:rFonts w:eastAsia="Century Gothic" w:cs="Century Gothic"/>
                <w:color w:val="000000"/>
                <w:sz w:val="18"/>
                <w:szCs w:val="18"/>
              </w:rPr>
              <w:t>64 (7.5%)</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D5B269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E4C79F" w14:textId="77777777" w:rsidR="001C19F3" w:rsidRDefault="001C19F3" w:rsidP="00521305">
            <w:pPr>
              <w:spacing w:before="40" w:after="40"/>
              <w:ind w:left="100" w:right="100"/>
              <w:jc w:val="center"/>
            </w:pPr>
            <w:r>
              <w:rPr>
                <w:rFonts w:eastAsia="Century Gothic" w:cs="Century Gothic"/>
                <w:color w:val="000000"/>
                <w:sz w:val="18"/>
                <w:szCs w:val="18"/>
              </w:rPr>
              <w:t>58 (7.2%)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CB0B55" w14:textId="77777777" w:rsidR="001C19F3" w:rsidRDefault="001C19F3" w:rsidP="00521305">
            <w:pPr>
              <w:spacing w:before="40" w:after="40"/>
              <w:ind w:left="100" w:right="100"/>
              <w:jc w:val="right"/>
            </w:pPr>
            <w:r>
              <w:rPr>
                <w:rFonts w:eastAsia="Century Gothic" w:cs="Century Gothic"/>
                <w:color w:val="000000"/>
                <w:sz w:val="18"/>
                <w:szCs w:val="18"/>
              </w:rPr>
              <w:t>7 (5.1%)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E9D49" w14:textId="77777777" w:rsidR="001C19F3" w:rsidRDefault="001C19F3" w:rsidP="00521305">
            <w:pPr>
              <w:spacing w:before="40" w:after="40"/>
              <w:ind w:left="100" w:right="100"/>
              <w:jc w:val="right"/>
            </w:pPr>
            <w:r>
              <w:rPr>
                <w:rFonts w:eastAsia="Century Gothic" w:cs="Century Gothic"/>
                <w:color w:val="000000"/>
                <w:sz w:val="18"/>
                <w:szCs w:val="18"/>
              </w:rPr>
              <w:t>14 (11.3%)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364D875" w14:textId="77777777" w:rsidR="001C19F3" w:rsidRDefault="001C19F3" w:rsidP="00521305">
            <w:pPr>
              <w:spacing w:after="0"/>
              <w:rPr>
                <w:sz w:val="22"/>
              </w:rPr>
            </w:pPr>
          </w:p>
        </w:tc>
      </w:tr>
      <w:tr w:rsidR="001C19F3" w14:paraId="0526930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18CAD"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5E8A30" w14:textId="77777777" w:rsidR="001C19F3" w:rsidRDefault="001C19F3" w:rsidP="00521305">
            <w:pPr>
              <w:spacing w:before="40" w:after="40"/>
              <w:ind w:left="100" w:right="100"/>
              <w:jc w:val="center"/>
            </w:pPr>
            <w:r>
              <w:rPr>
                <w:rFonts w:eastAsia="Century Gothic" w:cs="Century Gothic"/>
                <w:color w:val="000000"/>
                <w:sz w:val="18"/>
                <w:szCs w:val="18"/>
              </w:rPr>
              <w:t>95 (8.2%)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E815E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9CF6D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B576E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9E967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FF2F5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C7195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23A2BA" w14:textId="77777777" w:rsidR="001C19F3" w:rsidRDefault="001C19F3" w:rsidP="00521305">
            <w:pPr>
              <w:spacing w:before="40" w:after="40"/>
              <w:ind w:left="100" w:right="100"/>
              <w:jc w:val="right"/>
            </w:pPr>
          </w:p>
        </w:tc>
      </w:tr>
      <w:tr w:rsidR="001C19F3" w14:paraId="3CE9BDD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39577" w14:textId="77777777" w:rsidR="001C19F3" w:rsidRDefault="001C19F3" w:rsidP="00521305">
            <w:pPr>
              <w:spacing w:before="40" w:after="40"/>
              <w:ind w:left="100" w:right="100"/>
            </w:pPr>
            <w:r>
              <w:rPr>
                <w:rFonts w:eastAsia="Century Gothic" w:cs="Century Gothic"/>
                <w:b/>
                <w:color w:val="000000"/>
                <w:sz w:val="18"/>
                <w:szCs w:val="18"/>
              </w:rPr>
              <w:t>D4 Patient was given a copy of their treatment plan/shared care plan in the last 6 months (Q9)</w:t>
            </w:r>
          </w:p>
        </w:tc>
      </w:tr>
      <w:tr w:rsidR="001C19F3" w14:paraId="121C95A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2593A2"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9DB194" w14:textId="77777777" w:rsidR="001C19F3" w:rsidRDefault="001C19F3" w:rsidP="00521305">
            <w:pPr>
              <w:spacing w:before="40" w:after="40"/>
              <w:ind w:left="100" w:right="100"/>
              <w:jc w:val="center"/>
            </w:pPr>
            <w:r>
              <w:rPr>
                <w:rFonts w:eastAsia="Century Gothic" w:cs="Century Gothic"/>
                <w:color w:val="000000"/>
                <w:sz w:val="18"/>
                <w:szCs w:val="18"/>
              </w:rPr>
              <w:t>850 (73.3%)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B23AD4" w14:textId="77777777" w:rsidR="001C19F3" w:rsidRDefault="001C19F3" w:rsidP="00521305">
            <w:pPr>
              <w:spacing w:before="40" w:after="40"/>
              <w:ind w:left="100" w:right="100"/>
              <w:jc w:val="center"/>
            </w:pPr>
            <w:r>
              <w:rPr>
                <w:rFonts w:eastAsia="Century Gothic" w:cs="Century Gothic"/>
                <w:color w:val="000000"/>
                <w:sz w:val="18"/>
                <w:szCs w:val="18"/>
              </w:rPr>
              <w:t>190 (86.0%)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87BC78" w14:textId="77777777" w:rsidR="001C19F3" w:rsidRDefault="001C19F3" w:rsidP="00521305">
            <w:pPr>
              <w:spacing w:before="40" w:after="40"/>
              <w:ind w:left="100" w:right="100"/>
              <w:jc w:val="center"/>
            </w:pPr>
            <w:r>
              <w:rPr>
                <w:rFonts w:eastAsia="Century Gothic" w:cs="Century Gothic"/>
                <w:color w:val="000000"/>
                <w:sz w:val="18"/>
                <w:szCs w:val="18"/>
              </w:rPr>
              <w:t>660 (74.2%)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561F30"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F734E0" w14:textId="77777777" w:rsidR="001C19F3" w:rsidRDefault="001C19F3" w:rsidP="00521305">
            <w:pPr>
              <w:spacing w:before="40" w:after="40"/>
              <w:ind w:left="100" w:right="100"/>
              <w:jc w:val="center"/>
            </w:pPr>
            <w:r>
              <w:rPr>
                <w:rFonts w:eastAsia="Century Gothic" w:cs="Century Gothic"/>
                <w:color w:val="000000"/>
                <w:sz w:val="18"/>
                <w:szCs w:val="18"/>
              </w:rPr>
              <w:t>627 (75.6%)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B4574F" w14:textId="77777777" w:rsidR="001C19F3" w:rsidRDefault="001C19F3" w:rsidP="00521305">
            <w:pPr>
              <w:spacing w:before="40" w:after="40"/>
              <w:ind w:left="100" w:right="100"/>
              <w:jc w:val="right"/>
            </w:pPr>
            <w:r>
              <w:rPr>
                <w:rFonts w:eastAsia="Century Gothic" w:cs="Century Gothic"/>
                <w:color w:val="000000"/>
                <w:sz w:val="18"/>
                <w:szCs w:val="18"/>
              </w:rPr>
              <w:t>123 (86.6%)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8634AF" w14:textId="77777777" w:rsidR="001C19F3" w:rsidRDefault="001C19F3" w:rsidP="00521305">
            <w:pPr>
              <w:spacing w:before="40" w:after="40"/>
              <w:ind w:left="100" w:right="100"/>
              <w:jc w:val="right"/>
            </w:pPr>
            <w:r>
              <w:rPr>
                <w:rFonts w:eastAsia="Century Gothic" w:cs="Century Gothic"/>
                <w:color w:val="000000"/>
                <w:sz w:val="18"/>
                <w:szCs w:val="18"/>
              </w:rPr>
              <w:t>100 (71.9%)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A00640" w14:textId="77777777" w:rsidR="001C19F3" w:rsidRDefault="001C19F3" w:rsidP="00521305">
            <w:pPr>
              <w:spacing w:before="40" w:after="40"/>
              <w:ind w:left="100" w:right="100"/>
              <w:jc w:val="right"/>
            </w:pPr>
            <w:r>
              <w:rPr>
                <w:rFonts w:eastAsia="Century Gothic" w:cs="Century Gothic"/>
                <w:color w:val="000000"/>
                <w:sz w:val="18"/>
                <w:szCs w:val="18"/>
              </w:rPr>
              <w:t>0.007</w:t>
            </w:r>
          </w:p>
        </w:tc>
      </w:tr>
      <w:tr w:rsidR="001C19F3" w14:paraId="5BDAFE2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A5D752"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4252B6" w14:textId="77777777" w:rsidR="001C19F3" w:rsidRDefault="001C19F3" w:rsidP="00521305">
            <w:pPr>
              <w:spacing w:before="40" w:after="40"/>
              <w:ind w:left="100" w:right="100"/>
              <w:jc w:val="center"/>
            </w:pPr>
            <w:r>
              <w:rPr>
                <w:rFonts w:eastAsia="Century Gothic" w:cs="Century Gothic"/>
                <w:color w:val="000000"/>
                <w:sz w:val="18"/>
                <w:szCs w:val="18"/>
              </w:rPr>
              <w:t>260 (22.4%)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6BD594" w14:textId="77777777" w:rsidR="001C19F3" w:rsidRDefault="001C19F3" w:rsidP="00521305">
            <w:pPr>
              <w:spacing w:before="40" w:after="40"/>
              <w:ind w:left="100" w:right="100"/>
              <w:jc w:val="center"/>
            </w:pPr>
            <w:r>
              <w:rPr>
                <w:rFonts w:eastAsia="Century Gothic" w:cs="Century Gothic"/>
                <w:color w:val="000000"/>
                <w:sz w:val="18"/>
                <w:szCs w:val="18"/>
              </w:rPr>
              <w:t>31 (14.0%)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ED50DA" w14:textId="77777777" w:rsidR="001C19F3" w:rsidRDefault="001C19F3" w:rsidP="00521305">
            <w:pPr>
              <w:spacing w:before="40" w:after="40"/>
              <w:ind w:left="100" w:right="100"/>
              <w:jc w:val="center"/>
            </w:pPr>
            <w:r>
              <w:rPr>
                <w:rFonts w:eastAsia="Century Gothic" w:cs="Century Gothic"/>
                <w:color w:val="000000"/>
                <w:sz w:val="18"/>
                <w:szCs w:val="18"/>
              </w:rPr>
              <w:t>229 (25.8%)</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B439CF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E9FE3C" w14:textId="77777777" w:rsidR="001C19F3" w:rsidRDefault="001C19F3" w:rsidP="00521305">
            <w:pPr>
              <w:spacing w:before="40" w:after="40"/>
              <w:ind w:left="100" w:right="100"/>
              <w:jc w:val="center"/>
            </w:pPr>
            <w:r>
              <w:rPr>
                <w:rFonts w:eastAsia="Century Gothic" w:cs="Century Gothic"/>
                <w:color w:val="000000"/>
                <w:sz w:val="18"/>
                <w:szCs w:val="18"/>
              </w:rPr>
              <w:t>202 (24.4%)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CB0E59" w14:textId="77777777" w:rsidR="001C19F3" w:rsidRDefault="001C19F3" w:rsidP="00521305">
            <w:pPr>
              <w:spacing w:before="40" w:after="40"/>
              <w:ind w:left="100" w:right="100"/>
              <w:jc w:val="right"/>
            </w:pPr>
            <w:r>
              <w:rPr>
                <w:rFonts w:eastAsia="Century Gothic" w:cs="Century Gothic"/>
                <w:color w:val="000000"/>
                <w:sz w:val="18"/>
                <w:szCs w:val="18"/>
              </w:rPr>
              <w:t>19 (13.4%)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F26245" w14:textId="77777777" w:rsidR="001C19F3" w:rsidRDefault="001C19F3" w:rsidP="00521305">
            <w:pPr>
              <w:spacing w:before="40" w:after="40"/>
              <w:ind w:left="100" w:right="100"/>
              <w:jc w:val="right"/>
            </w:pPr>
            <w:r>
              <w:rPr>
                <w:rFonts w:eastAsia="Century Gothic" w:cs="Century Gothic"/>
                <w:color w:val="000000"/>
                <w:sz w:val="18"/>
                <w:szCs w:val="18"/>
              </w:rPr>
              <w:t>39 (28.1%)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FB0C750" w14:textId="77777777" w:rsidR="001C19F3" w:rsidRDefault="001C19F3" w:rsidP="00521305">
            <w:pPr>
              <w:spacing w:after="0"/>
              <w:rPr>
                <w:sz w:val="22"/>
              </w:rPr>
            </w:pPr>
          </w:p>
        </w:tc>
      </w:tr>
      <w:tr w:rsidR="001C19F3" w14:paraId="52FA258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54A4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0F6867" w14:textId="77777777" w:rsidR="001C19F3" w:rsidRDefault="001C19F3" w:rsidP="00521305">
            <w:pPr>
              <w:spacing w:before="40" w:after="40"/>
              <w:ind w:left="100" w:right="100"/>
              <w:jc w:val="center"/>
            </w:pPr>
            <w:r>
              <w:rPr>
                <w:rFonts w:eastAsia="Century Gothic" w:cs="Century Gothic"/>
                <w:color w:val="000000"/>
                <w:sz w:val="18"/>
                <w:szCs w:val="18"/>
              </w:rPr>
              <w:t>49 (4.2%)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24EC6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8DA24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9751A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23BDD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37DDD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45718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21BA70" w14:textId="77777777" w:rsidR="001C19F3" w:rsidRDefault="001C19F3" w:rsidP="00521305">
            <w:pPr>
              <w:spacing w:before="40" w:after="40"/>
              <w:ind w:left="100" w:right="100"/>
              <w:jc w:val="right"/>
            </w:pPr>
          </w:p>
        </w:tc>
      </w:tr>
      <w:tr w:rsidR="001C19F3" w14:paraId="61C5BBB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7F0A94" w14:textId="77777777" w:rsidR="001C19F3" w:rsidRDefault="001C19F3" w:rsidP="00521305">
            <w:pPr>
              <w:spacing w:before="40" w:after="40"/>
              <w:ind w:left="100" w:right="100"/>
            </w:pPr>
            <w:r>
              <w:rPr>
                <w:rFonts w:eastAsia="Century Gothic" w:cs="Century Gothic"/>
                <w:b/>
                <w:color w:val="000000"/>
                <w:sz w:val="18"/>
                <w:szCs w:val="18"/>
              </w:rPr>
              <w:t>D5 A copy of the patient's treatment plan/shared care plan was included in My Health Record (Q10)</w:t>
            </w:r>
          </w:p>
        </w:tc>
      </w:tr>
      <w:tr w:rsidR="001C19F3" w14:paraId="715B8C8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C011AE"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73401D" w14:textId="77777777" w:rsidR="001C19F3" w:rsidRDefault="001C19F3" w:rsidP="00521305">
            <w:pPr>
              <w:spacing w:before="40" w:after="40"/>
              <w:ind w:left="100" w:right="100"/>
              <w:jc w:val="center"/>
            </w:pPr>
            <w:r>
              <w:rPr>
                <w:rFonts w:eastAsia="Century Gothic" w:cs="Century Gothic"/>
                <w:color w:val="000000"/>
                <w:sz w:val="18"/>
                <w:szCs w:val="18"/>
              </w:rPr>
              <w:t>420 (47.4%)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6F74C5" w14:textId="77777777" w:rsidR="001C19F3" w:rsidRDefault="001C19F3" w:rsidP="00521305">
            <w:pPr>
              <w:spacing w:before="40" w:after="40"/>
              <w:ind w:left="100" w:right="100"/>
              <w:jc w:val="center"/>
            </w:pPr>
            <w:r>
              <w:rPr>
                <w:rFonts w:eastAsia="Century Gothic" w:cs="Century Gothic"/>
                <w:color w:val="000000"/>
                <w:sz w:val="18"/>
                <w:szCs w:val="18"/>
              </w:rPr>
              <w:t>81 (88.0%)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DF9A69" w14:textId="77777777" w:rsidR="001C19F3" w:rsidRDefault="001C19F3" w:rsidP="00521305">
            <w:pPr>
              <w:spacing w:before="40" w:after="40"/>
              <w:ind w:left="100" w:right="100"/>
              <w:jc w:val="center"/>
            </w:pPr>
            <w:r>
              <w:rPr>
                <w:rFonts w:eastAsia="Century Gothic" w:cs="Century Gothic"/>
                <w:color w:val="000000"/>
                <w:sz w:val="18"/>
                <w:szCs w:val="18"/>
              </w:rPr>
              <w:t>339 (87.6%)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3376C1" w14:textId="77777777" w:rsidR="001C19F3" w:rsidRDefault="001C19F3" w:rsidP="00521305">
            <w:pPr>
              <w:spacing w:before="40" w:after="40"/>
              <w:ind w:left="100" w:right="100"/>
              <w:jc w:val="center"/>
            </w:pPr>
            <w:r>
              <w:rPr>
                <w:rFonts w:eastAsia="Century Gothic" w:cs="Century Gothic"/>
                <w:color w:val="000000"/>
                <w:sz w:val="18"/>
                <w:szCs w:val="18"/>
              </w:rPr>
              <w:t>1.000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5F7DF7" w14:textId="77777777" w:rsidR="001C19F3" w:rsidRDefault="001C19F3" w:rsidP="00521305">
            <w:pPr>
              <w:spacing w:before="40" w:after="40"/>
              <w:ind w:left="100" w:right="100"/>
              <w:jc w:val="center"/>
            </w:pPr>
            <w:r>
              <w:rPr>
                <w:rFonts w:eastAsia="Century Gothic" w:cs="Century Gothic"/>
                <w:color w:val="000000"/>
                <w:sz w:val="18"/>
                <w:szCs w:val="18"/>
              </w:rPr>
              <w:t>290 (87.3%)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703AE1" w14:textId="77777777" w:rsidR="001C19F3" w:rsidRDefault="001C19F3" w:rsidP="00521305">
            <w:pPr>
              <w:spacing w:before="40" w:after="40"/>
              <w:ind w:left="100" w:right="100"/>
              <w:jc w:val="right"/>
            </w:pPr>
            <w:r>
              <w:rPr>
                <w:rFonts w:eastAsia="Century Gothic" w:cs="Century Gothic"/>
                <w:color w:val="000000"/>
                <w:sz w:val="18"/>
                <w:szCs w:val="18"/>
              </w:rPr>
              <w:t>67 (94.4%)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8FB4E3" w14:textId="77777777" w:rsidR="001C19F3" w:rsidRDefault="001C19F3" w:rsidP="00521305">
            <w:pPr>
              <w:spacing w:before="40" w:after="40"/>
              <w:ind w:left="100" w:right="100"/>
              <w:jc w:val="right"/>
            </w:pPr>
            <w:r>
              <w:rPr>
                <w:rFonts w:eastAsia="Century Gothic" w:cs="Century Gothic"/>
                <w:color w:val="000000"/>
                <w:sz w:val="18"/>
                <w:szCs w:val="18"/>
              </w:rPr>
              <w:t>63 (82.9%)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B38B7" w14:textId="77777777" w:rsidR="001C19F3" w:rsidRDefault="001C19F3" w:rsidP="00521305">
            <w:pPr>
              <w:spacing w:before="40" w:after="40"/>
              <w:ind w:left="100" w:right="100"/>
              <w:jc w:val="right"/>
            </w:pPr>
            <w:r>
              <w:rPr>
                <w:rFonts w:eastAsia="Century Gothic" w:cs="Century Gothic"/>
                <w:color w:val="000000"/>
                <w:sz w:val="18"/>
                <w:szCs w:val="18"/>
              </w:rPr>
              <w:t>0.101</w:t>
            </w:r>
          </w:p>
        </w:tc>
      </w:tr>
      <w:tr w:rsidR="001C19F3" w14:paraId="0AB551F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2C401C"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45D3F" w14:textId="77777777" w:rsidR="001C19F3" w:rsidRDefault="001C19F3" w:rsidP="00521305">
            <w:pPr>
              <w:spacing w:before="40" w:after="40"/>
              <w:ind w:left="100" w:right="100"/>
              <w:jc w:val="center"/>
            </w:pPr>
            <w:r>
              <w:rPr>
                <w:rFonts w:eastAsia="Century Gothic" w:cs="Century Gothic"/>
                <w:color w:val="000000"/>
                <w:sz w:val="18"/>
                <w:szCs w:val="18"/>
              </w:rPr>
              <w:t>59 (6.7%)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9A0304" w14:textId="77777777" w:rsidR="001C19F3" w:rsidRDefault="001C19F3" w:rsidP="00521305">
            <w:pPr>
              <w:spacing w:before="40" w:after="40"/>
              <w:ind w:left="100" w:right="100"/>
              <w:jc w:val="center"/>
            </w:pPr>
            <w:r>
              <w:rPr>
                <w:rFonts w:eastAsia="Century Gothic" w:cs="Century Gothic"/>
                <w:color w:val="000000"/>
                <w:sz w:val="18"/>
                <w:szCs w:val="18"/>
              </w:rPr>
              <w:t>11 (12.0%)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729514" w14:textId="77777777" w:rsidR="001C19F3" w:rsidRDefault="001C19F3" w:rsidP="00521305">
            <w:pPr>
              <w:spacing w:before="40" w:after="40"/>
              <w:ind w:left="100" w:right="100"/>
              <w:jc w:val="center"/>
            </w:pPr>
            <w:r>
              <w:rPr>
                <w:rFonts w:eastAsia="Century Gothic" w:cs="Century Gothic"/>
                <w:color w:val="000000"/>
                <w:sz w:val="18"/>
                <w:szCs w:val="18"/>
              </w:rPr>
              <w:t>48 (12.4%)</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1CE1E4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6D112A" w14:textId="77777777" w:rsidR="001C19F3" w:rsidRDefault="001C19F3" w:rsidP="00521305">
            <w:pPr>
              <w:spacing w:before="40" w:after="40"/>
              <w:ind w:left="100" w:right="100"/>
              <w:jc w:val="center"/>
            </w:pPr>
            <w:r>
              <w:rPr>
                <w:rFonts w:eastAsia="Century Gothic" w:cs="Century Gothic"/>
                <w:color w:val="000000"/>
                <w:sz w:val="18"/>
                <w:szCs w:val="18"/>
              </w:rPr>
              <w:t>42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386403" w14:textId="77777777" w:rsidR="001C19F3" w:rsidRDefault="001C19F3" w:rsidP="00521305">
            <w:pPr>
              <w:spacing w:before="40" w:after="40"/>
              <w:ind w:left="100" w:right="100"/>
              <w:jc w:val="right"/>
            </w:pPr>
            <w:r>
              <w:rPr>
                <w:rFonts w:eastAsia="Century Gothic" w:cs="Century Gothic"/>
                <w:color w:val="000000"/>
                <w:sz w:val="18"/>
                <w:szCs w:val="18"/>
              </w:rPr>
              <w:t>4 (5.6%)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172D9" w14:textId="77777777" w:rsidR="001C19F3" w:rsidRDefault="001C19F3" w:rsidP="00521305">
            <w:pPr>
              <w:spacing w:before="40" w:after="40"/>
              <w:ind w:left="100" w:right="100"/>
              <w:jc w:val="right"/>
            </w:pPr>
            <w:r>
              <w:rPr>
                <w:rFonts w:eastAsia="Century Gothic" w:cs="Century Gothic"/>
                <w:color w:val="000000"/>
                <w:sz w:val="18"/>
                <w:szCs w:val="18"/>
              </w:rPr>
              <w:t>13 (17.1%)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7FCBAB" w14:textId="77777777" w:rsidR="001C19F3" w:rsidRDefault="001C19F3" w:rsidP="00521305">
            <w:pPr>
              <w:spacing w:after="0"/>
              <w:rPr>
                <w:sz w:val="22"/>
              </w:rPr>
            </w:pPr>
          </w:p>
        </w:tc>
      </w:tr>
      <w:tr w:rsidR="001C19F3" w14:paraId="1A6959C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171BD8"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940B81" w14:textId="77777777" w:rsidR="001C19F3" w:rsidRDefault="001C19F3" w:rsidP="00521305">
            <w:pPr>
              <w:spacing w:before="40" w:after="40"/>
              <w:ind w:left="100" w:right="100"/>
              <w:jc w:val="center"/>
            </w:pPr>
            <w:r>
              <w:rPr>
                <w:rFonts w:eastAsia="Century Gothic" w:cs="Century Gothic"/>
                <w:color w:val="000000"/>
                <w:sz w:val="18"/>
                <w:szCs w:val="18"/>
              </w:rPr>
              <w:t>408 (46.0%)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8A2C2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CBC6C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95A37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AE2BD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D55FF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CFD77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8A659F" w14:textId="77777777" w:rsidR="001C19F3" w:rsidRDefault="001C19F3" w:rsidP="00521305">
            <w:pPr>
              <w:spacing w:before="40" w:after="40"/>
              <w:ind w:left="100" w:right="100"/>
              <w:jc w:val="right"/>
            </w:pPr>
          </w:p>
        </w:tc>
      </w:tr>
    </w:tbl>
    <w:p w14:paraId="56A713E5"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62B30CC9" w14:textId="77777777" w:rsidR="001C19F3" w:rsidRDefault="001C19F3" w:rsidP="001C19F3">
      <w:pPr>
        <w:pStyle w:val="Caption1"/>
      </w:pPr>
      <w:r>
        <w:lastRenderedPageBreak/>
        <w:t xml:space="preserve">Table </w:t>
      </w:r>
      <w:r>
        <w:fldChar w:fldCharType="begin"/>
      </w:r>
      <w:r>
        <w:instrText>SEQ Table \* ARABIC</w:instrText>
      </w:r>
      <w:r>
        <w:fldChar w:fldCharType="separate"/>
      </w:r>
      <w:r>
        <w:rPr>
          <w:noProof/>
        </w:rPr>
        <w:t>75</w:t>
      </w:r>
      <w:r>
        <w:fldChar w:fldCharType="end"/>
      </w:r>
      <w:r>
        <w:t xml:space="preserve"> – Medications review question by practice ownership type and practice location</w:t>
      </w:r>
    </w:p>
    <w:tbl>
      <w:tblPr>
        <w:tblW w:w="0" w:type="auto"/>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3BE0FAC7" w14:textId="77777777" w:rsidTr="00521305">
        <w:trPr>
          <w:cantSplit/>
          <w:trHeight w:val="32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9FE57A2" w14:textId="77777777" w:rsidR="001C19F3" w:rsidRDefault="001C19F3" w:rsidP="00521305">
            <w:pPr>
              <w:spacing w:after="0"/>
              <w:jc w:val="center"/>
            </w:pPr>
            <w:r>
              <w:rPr>
                <w:rFonts w:eastAsia="Century Gothic" w:cs="Century Gothic"/>
                <w:b/>
                <w:color w:val="FFFFFF"/>
                <w:sz w:val="18"/>
                <w:szCs w:val="18"/>
              </w:rPr>
              <w:t>Medications review</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74A8CE"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F7CE78F"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5CC5B8C" w14:textId="77777777" w:rsidR="001C19F3" w:rsidRDefault="001C19F3" w:rsidP="00521305">
            <w:pPr>
              <w:spacing w:after="0"/>
              <w:jc w:val="center"/>
            </w:pPr>
            <w:r>
              <w:rPr>
                <w:rFonts w:eastAsia="Century Gothic" w:cs="Century Gothic"/>
                <w:b/>
                <w:color w:val="FFFFFF"/>
                <w:sz w:val="18"/>
                <w:szCs w:val="18"/>
              </w:rPr>
              <w:t>Location</w:t>
            </w:r>
          </w:p>
        </w:tc>
      </w:tr>
      <w:tr w:rsidR="001C19F3" w14:paraId="3092EE6E" w14:textId="77777777" w:rsidTr="00521305">
        <w:trPr>
          <w:cantSplit/>
          <w:trHeight w:val="330"/>
          <w:tblHeader/>
          <w:jc w:val="center"/>
        </w:trPr>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410173F1" w14:textId="77777777" w:rsidR="001C19F3" w:rsidRDefault="001C19F3" w:rsidP="00521305">
            <w:pPr>
              <w:spacing w:after="0"/>
              <w:rPr>
                <w:sz w:val="22"/>
              </w:rPr>
            </w:pP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6FC9C19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A156E71"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33AA6C4"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C1C6C24"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96D9118"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6434C2"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E48FE2C"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14BB606"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7C0625DA"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D1BB2B" w14:textId="77777777" w:rsidR="001C19F3" w:rsidRDefault="001C19F3" w:rsidP="00521305">
            <w:pPr>
              <w:spacing w:before="40" w:after="40"/>
              <w:ind w:left="100" w:right="100"/>
            </w:pPr>
            <w:r>
              <w:rPr>
                <w:rFonts w:eastAsia="Century Gothic" w:cs="Century Gothic"/>
                <w:b/>
                <w:color w:val="000000"/>
                <w:sz w:val="18"/>
                <w:szCs w:val="18"/>
              </w:rPr>
              <w:t>E1 Over the last six months, how often did the GP, or someone from the HCH , talk to the patient about all the prescription medicines they were taking (Q13)</w:t>
            </w:r>
          </w:p>
        </w:tc>
      </w:tr>
      <w:tr w:rsidR="001C19F3" w14:paraId="30F3905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E7161B" w14:textId="77777777" w:rsidR="001C19F3" w:rsidRDefault="001C19F3" w:rsidP="00521305">
            <w:pPr>
              <w:spacing w:before="40" w:after="40"/>
              <w:ind w:left="160" w:right="100"/>
            </w:pPr>
            <w:r>
              <w:rPr>
                <w:rFonts w:eastAsia="Century Gothic" w:cs="Century Gothic"/>
                <w:color w:val="000000"/>
                <w:sz w:val="18"/>
                <w:szCs w:val="18"/>
              </w:rPr>
              <w:t>Never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47D1AA" w14:textId="77777777" w:rsidR="001C19F3" w:rsidRDefault="001C19F3" w:rsidP="00521305">
            <w:pPr>
              <w:spacing w:before="40" w:after="40"/>
              <w:ind w:left="100" w:right="100"/>
              <w:jc w:val="center"/>
            </w:pPr>
            <w:r>
              <w:rPr>
                <w:rFonts w:eastAsia="Century Gothic" w:cs="Century Gothic"/>
                <w:color w:val="000000"/>
                <w:sz w:val="18"/>
                <w:szCs w:val="18"/>
              </w:rPr>
              <w:t>231 (11.4%)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434804" w14:textId="77777777" w:rsidR="001C19F3" w:rsidRDefault="001C19F3" w:rsidP="00521305">
            <w:pPr>
              <w:spacing w:before="40" w:after="40"/>
              <w:ind w:left="100" w:right="100"/>
              <w:jc w:val="center"/>
            </w:pPr>
            <w:r>
              <w:rPr>
                <w:rFonts w:eastAsia="Century Gothic" w:cs="Century Gothic"/>
                <w:color w:val="000000"/>
                <w:sz w:val="18"/>
                <w:szCs w:val="18"/>
              </w:rPr>
              <w:t>61 (15.1%)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2E9273" w14:textId="77777777" w:rsidR="001C19F3" w:rsidRDefault="001C19F3" w:rsidP="00521305">
            <w:pPr>
              <w:spacing w:before="40" w:after="40"/>
              <w:ind w:left="100" w:right="100"/>
              <w:jc w:val="center"/>
            </w:pPr>
            <w:r>
              <w:rPr>
                <w:rFonts w:eastAsia="Century Gothic" w:cs="Century Gothic"/>
                <w:color w:val="000000"/>
                <w:sz w:val="18"/>
                <w:szCs w:val="18"/>
              </w:rPr>
              <w:t>170 (11.1%)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B52D2E" w14:textId="77777777" w:rsidR="001C19F3" w:rsidRDefault="001C19F3" w:rsidP="00521305">
            <w:pPr>
              <w:spacing w:before="40" w:after="40"/>
              <w:ind w:left="100" w:right="100"/>
              <w:jc w:val="center"/>
            </w:pPr>
            <w:r>
              <w:rPr>
                <w:rFonts w:eastAsia="Century Gothic" w:cs="Century Gothic"/>
                <w:color w:val="000000"/>
                <w:sz w:val="18"/>
                <w:szCs w:val="18"/>
              </w:rPr>
              <w:t>0.026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930AAA" w14:textId="77777777" w:rsidR="001C19F3" w:rsidRDefault="001C19F3" w:rsidP="00521305">
            <w:pPr>
              <w:spacing w:before="40" w:after="40"/>
              <w:ind w:left="100" w:right="100"/>
              <w:jc w:val="center"/>
            </w:pPr>
            <w:r>
              <w:rPr>
                <w:rFonts w:eastAsia="Century Gothic" w:cs="Century Gothic"/>
                <w:color w:val="000000"/>
                <w:sz w:val="18"/>
                <w:szCs w:val="18"/>
              </w:rPr>
              <w:t>171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0CE424" w14:textId="77777777" w:rsidR="001C19F3" w:rsidRDefault="001C19F3" w:rsidP="00521305">
            <w:pPr>
              <w:spacing w:before="40" w:after="40"/>
              <w:ind w:left="100" w:right="100"/>
              <w:jc w:val="right"/>
            </w:pPr>
            <w:r>
              <w:rPr>
                <w:rFonts w:eastAsia="Century Gothic" w:cs="Century Gothic"/>
                <w:color w:val="000000"/>
                <w:sz w:val="18"/>
                <w:szCs w:val="18"/>
              </w:rPr>
              <w:t>26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98FE64" w14:textId="77777777" w:rsidR="001C19F3" w:rsidRDefault="001C19F3" w:rsidP="00521305">
            <w:pPr>
              <w:spacing w:before="40" w:after="40"/>
              <w:ind w:left="100" w:right="100"/>
              <w:jc w:val="right"/>
            </w:pPr>
            <w:r>
              <w:rPr>
                <w:rFonts w:eastAsia="Century Gothic" w:cs="Century Gothic"/>
                <w:color w:val="000000"/>
                <w:sz w:val="18"/>
                <w:szCs w:val="18"/>
              </w:rPr>
              <w:t>34 (13.1%)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63F67A" w14:textId="77777777" w:rsidR="001C19F3" w:rsidRDefault="001C19F3" w:rsidP="00521305">
            <w:pPr>
              <w:spacing w:before="40" w:after="40"/>
              <w:ind w:left="100" w:right="100"/>
              <w:jc w:val="right"/>
            </w:pPr>
            <w:r>
              <w:rPr>
                <w:rFonts w:eastAsia="Century Gothic" w:cs="Century Gothic"/>
                <w:color w:val="000000"/>
                <w:sz w:val="18"/>
                <w:szCs w:val="18"/>
              </w:rPr>
              <w:t>0.044</w:t>
            </w:r>
          </w:p>
        </w:tc>
      </w:tr>
      <w:tr w:rsidR="001C19F3" w14:paraId="52F2DCA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55AA3" w14:textId="77777777" w:rsidR="001C19F3" w:rsidRDefault="001C19F3" w:rsidP="00521305">
            <w:pPr>
              <w:spacing w:before="40" w:after="40"/>
              <w:ind w:left="160" w:right="100"/>
            </w:pPr>
            <w:r>
              <w:rPr>
                <w:rFonts w:eastAsia="Century Gothic" w:cs="Century Gothic"/>
                <w:color w:val="000000"/>
                <w:sz w:val="18"/>
                <w:szCs w:val="18"/>
              </w:rPr>
              <w:t>Some of the times patient attended the practice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A2CA74" w14:textId="77777777" w:rsidR="001C19F3" w:rsidRDefault="001C19F3" w:rsidP="00521305">
            <w:pPr>
              <w:spacing w:before="40" w:after="40"/>
              <w:ind w:left="100" w:right="100"/>
              <w:jc w:val="center"/>
            </w:pPr>
            <w:r>
              <w:rPr>
                <w:rFonts w:eastAsia="Century Gothic" w:cs="Century Gothic"/>
                <w:color w:val="000000"/>
                <w:sz w:val="18"/>
                <w:szCs w:val="18"/>
              </w:rPr>
              <w:t>577 (28.6%)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3D7032" w14:textId="77777777" w:rsidR="001C19F3" w:rsidRDefault="001C19F3" w:rsidP="00521305">
            <w:pPr>
              <w:spacing w:before="40" w:after="40"/>
              <w:ind w:left="100" w:right="100"/>
              <w:jc w:val="center"/>
            </w:pPr>
            <w:r>
              <w:rPr>
                <w:rFonts w:eastAsia="Century Gothic" w:cs="Century Gothic"/>
                <w:color w:val="000000"/>
                <w:sz w:val="18"/>
                <w:szCs w:val="18"/>
              </w:rPr>
              <w:t>129 (31.9%)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0626E1" w14:textId="77777777" w:rsidR="001C19F3" w:rsidRDefault="001C19F3" w:rsidP="00521305">
            <w:pPr>
              <w:spacing w:before="40" w:after="40"/>
              <w:ind w:left="100" w:right="100"/>
              <w:jc w:val="center"/>
            </w:pPr>
            <w:r>
              <w:rPr>
                <w:rFonts w:eastAsia="Century Gothic" w:cs="Century Gothic"/>
                <w:color w:val="000000"/>
                <w:sz w:val="18"/>
                <w:szCs w:val="18"/>
              </w:rPr>
              <w:t>448 (29.3%)</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1C0E363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42C9D3" w14:textId="77777777" w:rsidR="001C19F3" w:rsidRDefault="001C19F3" w:rsidP="00521305">
            <w:pPr>
              <w:spacing w:before="40" w:after="40"/>
              <w:ind w:left="100" w:right="100"/>
              <w:jc w:val="center"/>
            </w:pPr>
            <w:r>
              <w:rPr>
                <w:rFonts w:eastAsia="Century Gothic" w:cs="Century Gothic"/>
                <w:color w:val="000000"/>
                <w:sz w:val="18"/>
                <w:szCs w:val="18"/>
              </w:rPr>
              <w:t>428 (30.2%)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45886E" w14:textId="77777777" w:rsidR="001C19F3" w:rsidRDefault="001C19F3" w:rsidP="00521305">
            <w:pPr>
              <w:spacing w:before="40" w:after="40"/>
              <w:ind w:left="100" w:right="100"/>
              <w:jc w:val="right"/>
            </w:pPr>
            <w:r>
              <w:rPr>
                <w:rFonts w:eastAsia="Century Gothic" w:cs="Century Gothic"/>
                <w:color w:val="000000"/>
                <w:sz w:val="18"/>
                <w:szCs w:val="18"/>
              </w:rPr>
              <w:t>62 (23.8%)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8FC991" w14:textId="77777777" w:rsidR="001C19F3" w:rsidRDefault="001C19F3" w:rsidP="00521305">
            <w:pPr>
              <w:spacing w:before="40" w:after="40"/>
              <w:ind w:left="100" w:right="100"/>
              <w:jc w:val="right"/>
            </w:pPr>
            <w:r>
              <w:rPr>
                <w:rFonts w:eastAsia="Century Gothic" w:cs="Century Gothic"/>
                <w:color w:val="000000"/>
                <w:sz w:val="18"/>
                <w:szCs w:val="18"/>
              </w:rPr>
              <w:t>87 (33.6%)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2347ED8" w14:textId="77777777" w:rsidR="001C19F3" w:rsidRDefault="001C19F3" w:rsidP="00521305">
            <w:pPr>
              <w:spacing w:after="0"/>
              <w:rPr>
                <w:sz w:val="22"/>
              </w:rPr>
            </w:pPr>
          </w:p>
        </w:tc>
      </w:tr>
      <w:tr w:rsidR="001C19F3" w14:paraId="408B7A7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084870" w14:textId="77777777" w:rsidR="001C19F3" w:rsidRDefault="001C19F3" w:rsidP="00521305">
            <w:pPr>
              <w:spacing w:before="40" w:after="40"/>
              <w:ind w:left="160" w:right="100"/>
            </w:pPr>
            <w:r>
              <w:rPr>
                <w:rFonts w:eastAsia="Century Gothic" w:cs="Century Gothic"/>
                <w:color w:val="000000"/>
                <w:sz w:val="18"/>
                <w:szCs w:val="18"/>
              </w:rPr>
              <w:t>Most of times patient attended the practice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CFD2FE" w14:textId="77777777" w:rsidR="001C19F3" w:rsidRDefault="001C19F3" w:rsidP="00521305">
            <w:pPr>
              <w:spacing w:before="40" w:after="40"/>
              <w:ind w:left="100" w:right="100"/>
              <w:jc w:val="center"/>
            </w:pPr>
            <w:r>
              <w:rPr>
                <w:rFonts w:eastAsia="Century Gothic" w:cs="Century Gothic"/>
                <w:color w:val="000000"/>
                <w:sz w:val="18"/>
                <w:szCs w:val="18"/>
              </w:rPr>
              <w:t>1,128 (55.9%)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DE401A" w14:textId="77777777" w:rsidR="001C19F3" w:rsidRDefault="001C19F3" w:rsidP="00521305">
            <w:pPr>
              <w:spacing w:before="40" w:after="40"/>
              <w:ind w:left="100" w:right="100"/>
              <w:jc w:val="center"/>
            </w:pPr>
            <w:r>
              <w:rPr>
                <w:rFonts w:eastAsia="Century Gothic" w:cs="Century Gothic"/>
                <w:color w:val="000000"/>
                <w:sz w:val="18"/>
                <w:szCs w:val="18"/>
              </w:rPr>
              <w:t>215 (53.1%)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4DF984" w14:textId="77777777" w:rsidR="001C19F3" w:rsidRDefault="001C19F3" w:rsidP="00521305">
            <w:pPr>
              <w:spacing w:before="40" w:after="40"/>
              <w:ind w:left="100" w:right="100"/>
              <w:jc w:val="center"/>
            </w:pPr>
            <w:r>
              <w:rPr>
                <w:rFonts w:eastAsia="Century Gothic" w:cs="Century Gothic"/>
                <w:color w:val="000000"/>
                <w:sz w:val="18"/>
                <w:szCs w:val="18"/>
              </w:rPr>
              <w:t>913 (59.6%)</w:t>
            </w:r>
          </w:p>
        </w:tc>
        <w:tc>
          <w:tcPr>
            <w:tcW w:w="300" w:type="dxa"/>
            <w:vMerge/>
            <w:tcBorders>
              <w:top w:val="single" w:sz="8" w:space="0" w:color="BFBFBF"/>
              <w:left w:val="single" w:sz="8" w:space="0" w:color="BFBFBF"/>
              <w:bottom w:val="single" w:sz="8" w:space="0" w:color="BFBFBF"/>
              <w:right w:val="single" w:sz="8" w:space="0" w:color="BFBFBF"/>
            </w:tcBorders>
            <w:vAlign w:val="center"/>
            <w:hideMark/>
          </w:tcPr>
          <w:p w14:paraId="086A0F2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4089B" w14:textId="77777777" w:rsidR="001C19F3" w:rsidRDefault="001C19F3" w:rsidP="00521305">
            <w:pPr>
              <w:spacing w:before="40" w:after="40"/>
              <w:ind w:left="100" w:right="100"/>
              <w:jc w:val="center"/>
            </w:pPr>
            <w:r>
              <w:rPr>
                <w:rFonts w:eastAsia="Century Gothic" w:cs="Century Gothic"/>
                <w:color w:val="000000"/>
                <w:sz w:val="18"/>
                <w:szCs w:val="18"/>
              </w:rPr>
              <w:t>817 (57.7%)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5B206A" w14:textId="77777777" w:rsidR="001C19F3" w:rsidRDefault="001C19F3" w:rsidP="00521305">
            <w:pPr>
              <w:spacing w:before="40" w:after="40"/>
              <w:ind w:left="100" w:right="100"/>
              <w:jc w:val="right"/>
            </w:pPr>
            <w:r>
              <w:rPr>
                <w:rFonts w:eastAsia="Century Gothic" w:cs="Century Gothic"/>
                <w:color w:val="000000"/>
                <w:sz w:val="18"/>
                <w:szCs w:val="18"/>
              </w:rPr>
              <w:t>173 (66.3%)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750E2" w14:textId="77777777" w:rsidR="001C19F3" w:rsidRDefault="001C19F3" w:rsidP="00521305">
            <w:pPr>
              <w:spacing w:before="40" w:after="40"/>
              <w:ind w:left="100" w:right="100"/>
              <w:jc w:val="right"/>
            </w:pPr>
            <w:r>
              <w:rPr>
                <w:rFonts w:eastAsia="Century Gothic" w:cs="Century Gothic"/>
                <w:color w:val="000000"/>
                <w:sz w:val="18"/>
                <w:szCs w:val="18"/>
              </w:rPr>
              <w:t>138 (53.3%)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0E6C7CA" w14:textId="77777777" w:rsidR="001C19F3" w:rsidRDefault="001C19F3" w:rsidP="00521305">
            <w:pPr>
              <w:spacing w:after="0"/>
              <w:rPr>
                <w:sz w:val="22"/>
              </w:rPr>
            </w:pPr>
          </w:p>
        </w:tc>
      </w:tr>
      <w:tr w:rsidR="001C19F3" w14:paraId="3704698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6A251" w14:textId="77777777" w:rsidR="001C19F3" w:rsidRDefault="001C19F3" w:rsidP="00521305">
            <w:pPr>
              <w:spacing w:before="40" w:after="40"/>
              <w:ind w:left="160" w:right="100"/>
            </w:pPr>
            <w:r>
              <w:rPr>
                <w:rFonts w:eastAsia="Century Gothic" w:cs="Century Gothic"/>
                <w:color w:val="000000"/>
                <w:sz w:val="18"/>
                <w:szCs w:val="18"/>
              </w:rPr>
              <w:t>Not taking prescription medication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EDCAE7" w14:textId="77777777" w:rsidR="001C19F3" w:rsidRDefault="001C19F3" w:rsidP="00521305">
            <w:pPr>
              <w:spacing w:before="40" w:after="40"/>
              <w:ind w:left="100" w:right="100"/>
              <w:jc w:val="center"/>
            </w:pPr>
            <w:r>
              <w:rPr>
                <w:rFonts w:eastAsia="Century Gothic" w:cs="Century Gothic"/>
                <w:color w:val="000000"/>
                <w:sz w:val="18"/>
                <w:szCs w:val="18"/>
              </w:rPr>
              <w:t>30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8DD2B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D9854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DBDE7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F2995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F10F6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E87467"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AC65DAC" w14:textId="77777777" w:rsidR="001C19F3" w:rsidRDefault="001C19F3" w:rsidP="00521305">
            <w:pPr>
              <w:spacing w:before="40" w:after="40"/>
              <w:ind w:left="100" w:right="100"/>
              <w:jc w:val="right"/>
            </w:pPr>
          </w:p>
        </w:tc>
      </w:tr>
      <w:tr w:rsidR="001C19F3" w14:paraId="50FA07D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520670"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CDC3B7"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DA12D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113692" w14:textId="77777777" w:rsidR="001C19F3" w:rsidRDefault="001C19F3" w:rsidP="00521305">
            <w:pPr>
              <w:spacing w:before="40" w:after="40"/>
              <w:ind w:left="100" w:right="100"/>
              <w:jc w:val="center"/>
            </w:pPr>
          </w:p>
        </w:tc>
        <w:tc>
          <w:tcPr>
            <w:tcW w:w="300" w:type="dxa"/>
            <w:tcBorders>
              <w:top w:val="single" w:sz="8" w:space="0" w:color="BFBFBF"/>
              <w:left w:val="single" w:sz="8" w:space="0" w:color="BFBFBF"/>
              <w:bottom w:val="single" w:sz="8" w:space="0" w:color="BFBFBF"/>
              <w:right w:val="single" w:sz="8" w:space="0" w:color="BFBFBF"/>
            </w:tcBorders>
            <w:shd w:val="clear" w:color="auto" w:fill="FFFFFF"/>
            <w:vAlign w:val="center"/>
            <w:hideMark/>
          </w:tcPr>
          <w:p w14:paraId="0C67339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3201D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7C807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59F747"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4703DA7" w14:textId="77777777" w:rsidR="001C19F3" w:rsidRDefault="001C19F3" w:rsidP="00521305">
            <w:pPr>
              <w:spacing w:after="0"/>
              <w:rPr>
                <w:sz w:val="22"/>
              </w:rPr>
            </w:pPr>
          </w:p>
        </w:tc>
      </w:tr>
    </w:tbl>
    <w:p w14:paraId="230C54BF"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2B1BE45A" w14:textId="77777777" w:rsidR="001C19F3" w:rsidRDefault="001C19F3" w:rsidP="001C19F3">
      <w:pPr>
        <w:pStyle w:val="Caption1"/>
      </w:pPr>
      <w:bookmarkStart w:id="607" w:name="_Ref20996685"/>
      <w:r>
        <w:t xml:space="preserve">Table </w:t>
      </w:r>
      <w:r>
        <w:fldChar w:fldCharType="begin"/>
      </w:r>
      <w:r>
        <w:instrText>SEQ Table \* ARABIC</w:instrText>
      </w:r>
      <w:r>
        <w:fldChar w:fldCharType="separate"/>
      </w:r>
      <w:r>
        <w:rPr>
          <w:noProof/>
        </w:rPr>
        <w:t>76</w:t>
      </w:r>
      <w:r>
        <w:fldChar w:fldCharType="end"/>
      </w:r>
      <w:bookmarkEnd w:id="607"/>
      <w:r>
        <w:t xml:space="preserve"> – Health and health conditions by practice ownership type and practice location</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470936C3" w14:textId="77777777" w:rsidTr="00521305">
        <w:trPr>
          <w:cantSplit/>
          <w:trHeight w:val="32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81416AD" w14:textId="77777777" w:rsidR="001C19F3" w:rsidRDefault="001C19F3" w:rsidP="00521305">
            <w:pPr>
              <w:spacing w:after="0"/>
              <w:jc w:val="center"/>
            </w:pPr>
            <w:r>
              <w:rPr>
                <w:rFonts w:eastAsia="Century Gothic" w:cs="Century Gothic"/>
                <w:b/>
                <w:color w:val="FFFFFF"/>
                <w:sz w:val="18"/>
                <w:szCs w:val="18"/>
              </w:rPr>
              <w:t>Health and health conditions</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5B6DDB6"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3647A6A"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0B9128B" w14:textId="77777777" w:rsidR="001C19F3" w:rsidRDefault="001C19F3" w:rsidP="00521305">
            <w:pPr>
              <w:spacing w:after="0"/>
              <w:jc w:val="center"/>
            </w:pPr>
            <w:r>
              <w:rPr>
                <w:rFonts w:eastAsia="Century Gothic" w:cs="Century Gothic"/>
                <w:b/>
                <w:color w:val="FFFFFF"/>
                <w:sz w:val="18"/>
                <w:szCs w:val="18"/>
              </w:rPr>
              <w:t>Location</w:t>
            </w:r>
          </w:p>
        </w:tc>
      </w:tr>
      <w:tr w:rsidR="001C19F3" w14:paraId="75BEBAFA" w14:textId="77777777" w:rsidTr="00521305">
        <w:trPr>
          <w:cantSplit/>
          <w:trHeight w:val="330"/>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4786AFA1"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50C96B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EFDF106"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F143C2A"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654C797"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D79A566"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ECB2713"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2A6E8C1"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83C20AF"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2E2742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180E1E" w14:textId="77777777" w:rsidR="001C19F3" w:rsidRDefault="001C19F3" w:rsidP="00521305">
            <w:pPr>
              <w:spacing w:before="40" w:after="40"/>
              <w:ind w:left="100" w:right="100"/>
            </w:pPr>
            <w:r>
              <w:rPr>
                <w:rFonts w:eastAsia="Century Gothic" w:cs="Century Gothic"/>
                <w:b/>
                <w:color w:val="000000"/>
                <w:sz w:val="18"/>
                <w:szCs w:val="18"/>
              </w:rPr>
              <w:t>F01 Patient rating of overall health (Q25)</w:t>
            </w:r>
          </w:p>
        </w:tc>
      </w:tr>
      <w:tr w:rsidR="001C19F3" w14:paraId="6015853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8E1105" w14:textId="77777777" w:rsidR="001C19F3" w:rsidRDefault="001C19F3" w:rsidP="00521305">
            <w:pPr>
              <w:spacing w:before="40" w:after="40"/>
              <w:ind w:left="160" w:right="100"/>
            </w:pPr>
            <w:r>
              <w:rPr>
                <w:rFonts w:eastAsia="Century Gothic" w:cs="Century Gothic"/>
                <w:color w:val="000000"/>
                <w:sz w:val="18"/>
                <w:szCs w:val="18"/>
              </w:rPr>
              <w:t>Excellent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2FD067" w14:textId="77777777" w:rsidR="001C19F3" w:rsidRDefault="001C19F3" w:rsidP="00521305">
            <w:pPr>
              <w:spacing w:before="40" w:after="40"/>
              <w:ind w:left="100" w:right="100"/>
              <w:jc w:val="center"/>
            </w:pPr>
            <w:r>
              <w:rPr>
                <w:rFonts w:eastAsia="Century Gothic" w:cs="Century Gothic"/>
                <w:color w:val="000000"/>
                <w:sz w:val="18"/>
                <w:szCs w:val="18"/>
              </w:rPr>
              <w:t>77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5AB2E4" w14:textId="77777777" w:rsidR="001C19F3" w:rsidRDefault="001C19F3" w:rsidP="00521305">
            <w:pPr>
              <w:spacing w:before="40" w:after="40"/>
              <w:ind w:left="100" w:right="100"/>
              <w:jc w:val="center"/>
            </w:pPr>
            <w:r>
              <w:rPr>
                <w:rFonts w:eastAsia="Century Gothic" w:cs="Century Gothic"/>
                <w:color w:val="000000"/>
                <w:sz w:val="18"/>
                <w:szCs w:val="18"/>
              </w:rPr>
              <w:t>8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8DCCDD" w14:textId="77777777" w:rsidR="001C19F3" w:rsidRDefault="001C19F3" w:rsidP="00521305">
            <w:pPr>
              <w:spacing w:before="40" w:after="40"/>
              <w:ind w:left="100" w:right="100"/>
              <w:jc w:val="center"/>
            </w:pPr>
            <w:r>
              <w:rPr>
                <w:rFonts w:eastAsia="Century Gothic" w:cs="Century Gothic"/>
                <w:color w:val="000000"/>
                <w:sz w:val="18"/>
                <w:szCs w:val="18"/>
              </w:rPr>
              <w:t>69 (4.4%)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913AD" w14:textId="77777777" w:rsidR="001C19F3" w:rsidRDefault="001C19F3" w:rsidP="00521305">
            <w:pPr>
              <w:spacing w:before="40" w:after="40"/>
              <w:ind w:left="100" w:right="100"/>
              <w:jc w:val="center"/>
            </w:pPr>
            <w:r>
              <w:rPr>
                <w:rFonts w:eastAsia="Century Gothic" w:cs="Century Gothic"/>
                <w:color w:val="000000"/>
                <w:sz w:val="18"/>
                <w:szCs w:val="18"/>
              </w:rPr>
              <w:t>0.014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74A213" w14:textId="77777777" w:rsidR="001C19F3" w:rsidRDefault="001C19F3" w:rsidP="00521305">
            <w:pPr>
              <w:spacing w:before="40" w:after="40"/>
              <w:ind w:left="100" w:right="100"/>
              <w:jc w:val="center"/>
            </w:pPr>
            <w:r>
              <w:rPr>
                <w:rFonts w:eastAsia="Century Gothic" w:cs="Century Gothic"/>
                <w:color w:val="000000"/>
                <w:sz w:val="18"/>
                <w:szCs w:val="18"/>
              </w:rPr>
              <w:t>61 (4.2%)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7A7EA8" w14:textId="77777777" w:rsidR="001C19F3" w:rsidRDefault="001C19F3" w:rsidP="00521305">
            <w:pPr>
              <w:spacing w:before="40" w:after="40"/>
              <w:ind w:left="100" w:right="100"/>
              <w:jc w:val="right"/>
            </w:pPr>
            <w:r>
              <w:rPr>
                <w:rFonts w:eastAsia="Century Gothic" w:cs="Century Gothic"/>
                <w:color w:val="000000"/>
                <w:sz w:val="18"/>
                <w:szCs w:val="18"/>
              </w:rPr>
              <w:t>7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59BF02" w14:textId="77777777" w:rsidR="001C19F3" w:rsidRDefault="001C19F3" w:rsidP="00521305">
            <w:pPr>
              <w:spacing w:before="40" w:after="40"/>
              <w:ind w:left="100" w:right="100"/>
              <w:jc w:val="right"/>
            </w:pPr>
            <w:r>
              <w:rPr>
                <w:rFonts w:eastAsia="Century Gothic" w:cs="Century Gothic"/>
                <w:color w:val="000000"/>
                <w:sz w:val="18"/>
                <w:szCs w:val="18"/>
              </w:rPr>
              <w:t>9 (3.5%)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01909C" w14:textId="77777777" w:rsidR="001C19F3" w:rsidRDefault="001C19F3" w:rsidP="00521305">
            <w:pPr>
              <w:spacing w:before="40" w:after="40"/>
              <w:ind w:left="100" w:right="100"/>
              <w:jc w:val="right"/>
            </w:pPr>
            <w:r>
              <w:rPr>
                <w:rFonts w:eastAsia="Century Gothic" w:cs="Century Gothic"/>
                <w:color w:val="000000"/>
                <w:sz w:val="18"/>
                <w:szCs w:val="18"/>
              </w:rPr>
              <w:t>0.069</w:t>
            </w:r>
          </w:p>
        </w:tc>
      </w:tr>
      <w:tr w:rsidR="001C19F3" w14:paraId="7EF8C73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A37E72" w14:textId="77777777" w:rsidR="001C19F3" w:rsidRDefault="001C19F3" w:rsidP="00521305">
            <w:pPr>
              <w:spacing w:before="40" w:after="40"/>
              <w:ind w:left="160" w:right="100"/>
            </w:pPr>
            <w:r>
              <w:rPr>
                <w:rFonts w:eastAsia="Century Gothic" w:cs="Century Gothic"/>
                <w:color w:val="000000"/>
                <w:sz w:val="18"/>
                <w:szCs w:val="18"/>
              </w:rPr>
              <w:t>Very 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36A67D" w14:textId="77777777" w:rsidR="001C19F3" w:rsidRDefault="001C19F3" w:rsidP="00521305">
            <w:pPr>
              <w:spacing w:before="40" w:after="40"/>
              <w:ind w:left="100" w:right="100"/>
              <w:jc w:val="center"/>
            </w:pPr>
            <w:r>
              <w:rPr>
                <w:rFonts w:eastAsia="Century Gothic" w:cs="Century Gothic"/>
                <w:color w:val="000000"/>
                <w:sz w:val="18"/>
                <w:szCs w:val="18"/>
              </w:rPr>
              <w:t>413 (20.5%)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9E09C3" w14:textId="77777777" w:rsidR="001C19F3" w:rsidRDefault="001C19F3" w:rsidP="00521305">
            <w:pPr>
              <w:spacing w:before="40" w:after="40"/>
              <w:ind w:left="100" w:right="100"/>
              <w:jc w:val="center"/>
            </w:pPr>
            <w:r>
              <w:rPr>
                <w:rFonts w:eastAsia="Century Gothic" w:cs="Century Gothic"/>
                <w:color w:val="000000"/>
                <w:sz w:val="18"/>
                <w:szCs w:val="18"/>
              </w:rPr>
              <w:t>76 (18.4%)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E95D86" w14:textId="77777777" w:rsidR="001C19F3" w:rsidRDefault="001C19F3" w:rsidP="00521305">
            <w:pPr>
              <w:spacing w:before="40" w:after="40"/>
              <w:ind w:left="100" w:right="100"/>
              <w:jc w:val="center"/>
            </w:pPr>
            <w:r>
              <w:rPr>
                <w:rFonts w:eastAsia="Century Gothic" w:cs="Century Gothic"/>
                <w:color w:val="000000"/>
                <w:sz w:val="18"/>
                <w:szCs w:val="18"/>
              </w:rPr>
              <w:t>337 (21.3%)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6B5B5D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0EFDD6" w14:textId="77777777" w:rsidR="001C19F3" w:rsidRDefault="001C19F3" w:rsidP="00521305">
            <w:pPr>
              <w:spacing w:before="40" w:after="40"/>
              <w:ind w:left="100" w:right="100"/>
              <w:jc w:val="center"/>
            </w:pPr>
            <w:r>
              <w:rPr>
                <w:rFonts w:eastAsia="Century Gothic" w:cs="Century Gothic"/>
                <w:color w:val="000000"/>
                <w:sz w:val="18"/>
                <w:szCs w:val="18"/>
              </w:rPr>
              <w:t>322 (21.9%)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2CBBB5" w14:textId="77777777" w:rsidR="001C19F3" w:rsidRDefault="001C19F3" w:rsidP="00521305">
            <w:pPr>
              <w:spacing w:before="40" w:after="40"/>
              <w:ind w:left="100" w:right="100"/>
              <w:jc w:val="right"/>
            </w:pPr>
            <w:r>
              <w:rPr>
                <w:rFonts w:eastAsia="Century Gothic" w:cs="Century Gothic"/>
                <w:color w:val="000000"/>
                <w:sz w:val="18"/>
                <w:szCs w:val="18"/>
              </w:rPr>
              <w:t>45 (16.5%)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29D4BC" w14:textId="77777777" w:rsidR="001C19F3" w:rsidRDefault="001C19F3" w:rsidP="00521305">
            <w:pPr>
              <w:spacing w:before="40" w:after="40"/>
              <w:ind w:left="100" w:right="100"/>
              <w:jc w:val="right"/>
            </w:pPr>
            <w:r>
              <w:rPr>
                <w:rFonts w:eastAsia="Century Gothic" w:cs="Century Gothic"/>
                <w:color w:val="000000"/>
                <w:sz w:val="18"/>
                <w:szCs w:val="18"/>
              </w:rPr>
              <w:t>46 (17.8%)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0D3232A" w14:textId="77777777" w:rsidR="001C19F3" w:rsidRDefault="001C19F3" w:rsidP="00521305">
            <w:pPr>
              <w:spacing w:after="0"/>
              <w:rPr>
                <w:sz w:val="22"/>
              </w:rPr>
            </w:pPr>
          </w:p>
        </w:tc>
      </w:tr>
      <w:tr w:rsidR="001C19F3" w14:paraId="736D04F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FE80D6" w14:textId="77777777" w:rsidR="001C19F3" w:rsidRDefault="001C19F3" w:rsidP="00521305">
            <w:pPr>
              <w:spacing w:before="40" w:after="40"/>
              <w:ind w:left="160" w:right="100"/>
            </w:pPr>
            <w:r>
              <w:rPr>
                <w:rFonts w:eastAsia="Century Gothic" w:cs="Century Gothic"/>
                <w:color w:val="000000"/>
                <w:sz w:val="18"/>
                <w:szCs w:val="18"/>
              </w:rPr>
              <w:t>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A16A15" w14:textId="77777777" w:rsidR="001C19F3" w:rsidRDefault="001C19F3" w:rsidP="00521305">
            <w:pPr>
              <w:spacing w:before="40" w:after="40"/>
              <w:ind w:left="100" w:right="100"/>
              <w:jc w:val="center"/>
            </w:pPr>
            <w:r>
              <w:rPr>
                <w:rFonts w:eastAsia="Century Gothic" w:cs="Century Gothic"/>
                <w:color w:val="000000"/>
                <w:sz w:val="18"/>
                <w:szCs w:val="18"/>
              </w:rPr>
              <w:t>763 (37.8%)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6F8763" w14:textId="77777777" w:rsidR="001C19F3" w:rsidRDefault="001C19F3" w:rsidP="00521305">
            <w:pPr>
              <w:spacing w:before="40" w:after="40"/>
              <w:ind w:left="100" w:right="100"/>
              <w:jc w:val="center"/>
            </w:pPr>
            <w:r>
              <w:rPr>
                <w:rFonts w:eastAsia="Century Gothic" w:cs="Century Gothic"/>
                <w:color w:val="000000"/>
                <w:sz w:val="18"/>
                <w:szCs w:val="18"/>
              </w:rPr>
              <w:t>149 (36.1%)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A9C00D" w14:textId="77777777" w:rsidR="001C19F3" w:rsidRDefault="001C19F3" w:rsidP="00521305">
            <w:pPr>
              <w:spacing w:before="40" w:after="40"/>
              <w:ind w:left="100" w:right="100"/>
              <w:jc w:val="center"/>
            </w:pPr>
            <w:r>
              <w:rPr>
                <w:rFonts w:eastAsia="Century Gothic" w:cs="Century Gothic"/>
                <w:color w:val="000000"/>
                <w:sz w:val="18"/>
                <w:szCs w:val="18"/>
              </w:rPr>
              <w:t>614 (38.7%)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939797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F542F6" w14:textId="77777777" w:rsidR="001C19F3" w:rsidRDefault="001C19F3" w:rsidP="00521305">
            <w:pPr>
              <w:spacing w:before="40" w:after="40"/>
              <w:ind w:left="100" w:right="100"/>
              <w:jc w:val="center"/>
            </w:pPr>
            <w:r>
              <w:rPr>
                <w:rFonts w:eastAsia="Century Gothic" w:cs="Century Gothic"/>
                <w:color w:val="000000"/>
                <w:sz w:val="18"/>
                <w:szCs w:val="18"/>
              </w:rPr>
              <w:t>549 (37.4%)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16BFD2" w14:textId="77777777" w:rsidR="001C19F3" w:rsidRDefault="001C19F3" w:rsidP="00521305">
            <w:pPr>
              <w:spacing w:before="40" w:after="40"/>
              <w:ind w:left="100" w:right="100"/>
              <w:jc w:val="right"/>
            </w:pPr>
            <w:r>
              <w:rPr>
                <w:rFonts w:eastAsia="Century Gothic" w:cs="Century Gothic"/>
                <w:color w:val="000000"/>
                <w:sz w:val="18"/>
                <w:szCs w:val="18"/>
              </w:rPr>
              <w:t>105 (38.6%)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C996DC" w14:textId="77777777" w:rsidR="001C19F3" w:rsidRDefault="001C19F3" w:rsidP="00521305">
            <w:pPr>
              <w:spacing w:before="40" w:after="40"/>
              <w:ind w:left="100" w:right="100"/>
              <w:jc w:val="right"/>
            </w:pPr>
            <w:r>
              <w:rPr>
                <w:rFonts w:eastAsia="Century Gothic" w:cs="Century Gothic"/>
                <w:color w:val="000000"/>
                <w:sz w:val="18"/>
                <w:szCs w:val="18"/>
              </w:rPr>
              <w:t>109 (42.1%)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AD38E8" w14:textId="77777777" w:rsidR="001C19F3" w:rsidRDefault="001C19F3" w:rsidP="00521305">
            <w:pPr>
              <w:spacing w:after="0"/>
              <w:rPr>
                <w:sz w:val="22"/>
              </w:rPr>
            </w:pPr>
          </w:p>
        </w:tc>
      </w:tr>
      <w:tr w:rsidR="001C19F3" w14:paraId="353C021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63FB54" w14:textId="77777777" w:rsidR="001C19F3" w:rsidRDefault="001C19F3" w:rsidP="00521305">
            <w:pPr>
              <w:spacing w:before="40" w:after="40"/>
              <w:ind w:left="160" w:right="100"/>
            </w:pPr>
            <w:r>
              <w:rPr>
                <w:rFonts w:eastAsia="Century Gothic" w:cs="Century Gothic"/>
                <w:color w:val="000000"/>
                <w:sz w:val="18"/>
                <w:szCs w:val="18"/>
              </w:rPr>
              <w:t>Fair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AD9490" w14:textId="77777777" w:rsidR="001C19F3" w:rsidRDefault="001C19F3" w:rsidP="00521305">
            <w:pPr>
              <w:spacing w:before="40" w:after="40"/>
              <w:ind w:left="100" w:right="100"/>
              <w:jc w:val="center"/>
            </w:pPr>
            <w:r>
              <w:rPr>
                <w:rFonts w:eastAsia="Century Gothic" w:cs="Century Gothic"/>
                <w:color w:val="000000"/>
                <w:sz w:val="18"/>
                <w:szCs w:val="18"/>
              </w:rPr>
              <w:t>543 (26.9%)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294A5B" w14:textId="77777777" w:rsidR="001C19F3" w:rsidRDefault="001C19F3" w:rsidP="00521305">
            <w:pPr>
              <w:spacing w:before="40" w:after="40"/>
              <w:ind w:left="100" w:right="100"/>
              <w:jc w:val="center"/>
            </w:pPr>
            <w:r>
              <w:rPr>
                <w:rFonts w:eastAsia="Century Gothic" w:cs="Century Gothic"/>
                <w:color w:val="000000"/>
                <w:sz w:val="18"/>
                <w:szCs w:val="18"/>
              </w:rPr>
              <w:t>130 (31.5%)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64A39" w14:textId="77777777" w:rsidR="001C19F3" w:rsidRDefault="001C19F3" w:rsidP="00521305">
            <w:pPr>
              <w:spacing w:before="40" w:after="40"/>
              <w:ind w:left="100" w:right="100"/>
              <w:jc w:val="center"/>
            </w:pPr>
            <w:r>
              <w:rPr>
                <w:rFonts w:eastAsia="Century Gothic" w:cs="Century Gothic"/>
                <w:color w:val="000000"/>
                <w:sz w:val="18"/>
                <w:szCs w:val="18"/>
              </w:rPr>
              <w:t>413 (26.1%)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52A12E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24B3A4" w14:textId="77777777" w:rsidR="001C19F3" w:rsidRDefault="001C19F3" w:rsidP="00521305">
            <w:pPr>
              <w:spacing w:before="40" w:after="40"/>
              <w:ind w:left="100" w:right="100"/>
              <w:jc w:val="center"/>
            </w:pPr>
            <w:r>
              <w:rPr>
                <w:rFonts w:eastAsia="Century Gothic" w:cs="Century Gothic"/>
                <w:color w:val="000000"/>
                <w:sz w:val="18"/>
                <w:szCs w:val="18"/>
              </w:rPr>
              <w:t>384 (26.2%)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0C4E22" w14:textId="77777777" w:rsidR="001C19F3" w:rsidRDefault="001C19F3" w:rsidP="00521305">
            <w:pPr>
              <w:spacing w:before="40" w:after="40"/>
              <w:ind w:left="100" w:right="100"/>
              <w:jc w:val="right"/>
            </w:pPr>
            <w:r>
              <w:rPr>
                <w:rFonts w:eastAsia="Century Gothic" w:cs="Century Gothic"/>
                <w:color w:val="000000"/>
                <w:sz w:val="18"/>
                <w:szCs w:val="18"/>
              </w:rPr>
              <w:t>93 (34.2%)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1E20A1" w14:textId="77777777" w:rsidR="001C19F3" w:rsidRDefault="001C19F3" w:rsidP="00521305">
            <w:pPr>
              <w:spacing w:before="40" w:after="40"/>
              <w:ind w:left="100" w:right="100"/>
              <w:jc w:val="right"/>
            </w:pPr>
            <w:r>
              <w:rPr>
                <w:rFonts w:eastAsia="Century Gothic" w:cs="Century Gothic"/>
                <w:color w:val="000000"/>
                <w:sz w:val="18"/>
                <w:szCs w:val="18"/>
              </w:rPr>
              <w:t>66 (25.5%)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AD695C2" w14:textId="77777777" w:rsidR="001C19F3" w:rsidRDefault="001C19F3" w:rsidP="00521305">
            <w:pPr>
              <w:spacing w:after="0"/>
              <w:rPr>
                <w:sz w:val="22"/>
              </w:rPr>
            </w:pPr>
          </w:p>
        </w:tc>
      </w:tr>
      <w:tr w:rsidR="001C19F3" w14:paraId="10A945A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28817F" w14:textId="77777777" w:rsidR="001C19F3" w:rsidRDefault="001C19F3" w:rsidP="00521305">
            <w:pPr>
              <w:spacing w:before="40" w:after="40"/>
              <w:ind w:left="160" w:right="100"/>
            </w:pPr>
            <w:r>
              <w:rPr>
                <w:rFonts w:eastAsia="Century Gothic" w:cs="Century Gothic"/>
                <w:color w:val="000000"/>
                <w:sz w:val="18"/>
                <w:szCs w:val="18"/>
              </w:rPr>
              <w:t>Poor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FCC2DF" w14:textId="77777777" w:rsidR="001C19F3" w:rsidRDefault="001C19F3" w:rsidP="00521305">
            <w:pPr>
              <w:spacing w:before="40" w:after="40"/>
              <w:ind w:left="100" w:right="100"/>
              <w:jc w:val="center"/>
            </w:pPr>
            <w:r>
              <w:rPr>
                <w:rFonts w:eastAsia="Century Gothic" w:cs="Century Gothic"/>
                <w:color w:val="000000"/>
                <w:sz w:val="18"/>
                <w:szCs w:val="18"/>
              </w:rPr>
              <w:t>202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CCC7C5" w14:textId="77777777" w:rsidR="001C19F3" w:rsidRDefault="001C19F3" w:rsidP="00521305">
            <w:pPr>
              <w:spacing w:before="40" w:after="40"/>
              <w:ind w:left="100" w:right="100"/>
              <w:jc w:val="center"/>
            </w:pPr>
            <w:r>
              <w:rPr>
                <w:rFonts w:eastAsia="Century Gothic" w:cs="Century Gothic"/>
                <w:color w:val="000000"/>
                <w:sz w:val="18"/>
                <w:szCs w:val="18"/>
              </w:rPr>
              <w:t>50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18937A" w14:textId="77777777" w:rsidR="001C19F3" w:rsidRDefault="001C19F3" w:rsidP="00521305">
            <w:pPr>
              <w:spacing w:before="40" w:after="40"/>
              <w:ind w:left="100" w:right="100"/>
              <w:jc w:val="center"/>
            </w:pPr>
            <w:r>
              <w:rPr>
                <w:rFonts w:eastAsia="Century Gothic" w:cs="Century Gothic"/>
                <w:color w:val="000000"/>
                <w:sz w:val="18"/>
                <w:szCs w:val="18"/>
              </w:rPr>
              <w:t>152 (9.6%)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1DE910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6E8DFE" w14:textId="77777777" w:rsidR="001C19F3" w:rsidRDefault="001C19F3" w:rsidP="00521305">
            <w:pPr>
              <w:spacing w:before="40" w:after="40"/>
              <w:ind w:left="100" w:right="100"/>
              <w:jc w:val="center"/>
            </w:pPr>
            <w:r>
              <w:rPr>
                <w:rFonts w:eastAsia="Century Gothic" w:cs="Century Gothic"/>
                <w:color w:val="000000"/>
                <w:sz w:val="18"/>
                <w:szCs w:val="18"/>
              </w:rPr>
              <w:t>151 (10.3%)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49F1A8" w14:textId="77777777" w:rsidR="001C19F3" w:rsidRDefault="001C19F3" w:rsidP="00521305">
            <w:pPr>
              <w:spacing w:before="40" w:after="40"/>
              <w:ind w:left="100" w:right="100"/>
              <w:jc w:val="right"/>
            </w:pPr>
            <w:r>
              <w:rPr>
                <w:rFonts w:eastAsia="Century Gothic" w:cs="Century Gothic"/>
                <w:color w:val="000000"/>
                <w:sz w:val="18"/>
                <w:szCs w:val="18"/>
              </w:rPr>
              <w:t>22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C8B691" w14:textId="77777777" w:rsidR="001C19F3" w:rsidRDefault="001C19F3" w:rsidP="00521305">
            <w:pPr>
              <w:spacing w:before="40" w:after="40"/>
              <w:ind w:left="100" w:right="100"/>
              <w:jc w:val="right"/>
            </w:pPr>
            <w:r>
              <w:rPr>
                <w:rFonts w:eastAsia="Century Gothic" w:cs="Century Gothic"/>
                <w:color w:val="000000"/>
                <w:sz w:val="18"/>
                <w:szCs w:val="18"/>
              </w:rPr>
              <w:t>29 (11.2%)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8109ECF" w14:textId="77777777" w:rsidR="001C19F3" w:rsidRDefault="001C19F3" w:rsidP="00521305">
            <w:pPr>
              <w:spacing w:after="0"/>
              <w:rPr>
                <w:sz w:val="22"/>
              </w:rPr>
            </w:pPr>
          </w:p>
        </w:tc>
      </w:tr>
      <w:tr w:rsidR="001C19F3" w14:paraId="3F965A4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E16145"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5D72DB" w14:textId="77777777" w:rsidR="001C19F3" w:rsidRDefault="001C19F3" w:rsidP="00521305">
            <w:pPr>
              <w:spacing w:before="40" w:after="40"/>
              <w:ind w:left="100" w:right="100"/>
              <w:jc w:val="center"/>
            </w:pPr>
            <w:r>
              <w:rPr>
                <w:rFonts w:eastAsia="Century Gothic" w:cs="Century Gothic"/>
                <w:color w:val="000000"/>
                <w:sz w:val="18"/>
                <w:szCs w:val="18"/>
              </w:rPr>
              <w:t>20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0BE66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936CD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C24E8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4AE77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9E549C"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20CE1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8F755D" w14:textId="77777777" w:rsidR="001C19F3" w:rsidRDefault="001C19F3" w:rsidP="00521305">
            <w:pPr>
              <w:spacing w:before="40" w:after="40"/>
              <w:ind w:left="100" w:right="100"/>
              <w:jc w:val="right"/>
            </w:pPr>
          </w:p>
        </w:tc>
      </w:tr>
      <w:tr w:rsidR="001C19F3" w14:paraId="0CC9B7A7"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1272C6" w14:textId="77777777" w:rsidR="001C19F3" w:rsidRDefault="001C19F3" w:rsidP="00521305">
            <w:pPr>
              <w:spacing w:before="40" w:after="40"/>
              <w:ind w:left="100" w:right="100"/>
            </w:pPr>
            <w:r>
              <w:rPr>
                <w:rFonts w:eastAsia="Century Gothic" w:cs="Century Gothic"/>
                <w:b/>
                <w:color w:val="000000"/>
                <w:sz w:val="18"/>
                <w:szCs w:val="18"/>
              </w:rPr>
              <w:t>F02 Patient rating of overall mental or emotional health (Q26)</w:t>
            </w:r>
          </w:p>
        </w:tc>
      </w:tr>
      <w:tr w:rsidR="001C19F3" w14:paraId="3711A1E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972B1B" w14:textId="77777777" w:rsidR="001C19F3" w:rsidRDefault="001C19F3" w:rsidP="00521305">
            <w:pPr>
              <w:spacing w:before="40" w:after="40"/>
              <w:ind w:left="160" w:right="100"/>
            </w:pPr>
            <w:r>
              <w:rPr>
                <w:rFonts w:eastAsia="Century Gothic" w:cs="Century Gothic"/>
                <w:color w:val="000000"/>
                <w:sz w:val="18"/>
                <w:szCs w:val="18"/>
              </w:rPr>
              <w:t>Excellent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5D6F72" w14:textId="77777777" w:rsidR="001C19F3" w:rsidRDefault="001C19F3" w:rsidP="00521305">
            <w:pPr>
              <w:spacing w:before="40" w:after="40"/>
              <w:ind w:left="100" w:right="100"/>
              <w:jc w:val="center"/>
            </w:pPr>
            <w:r>
              <w:rPr>
                <w:rFonts w:eastAsia="Century Gothic" w:cs="Century Gothic"/>
                <w:color w:val="000000"/>
                <w:sz w:val="18"/>
                <w:szCs w:val="18"/>
              </w:rPr>
              <w:t>288 (14.3%)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892A94" w14:textId="77777777" w:rsidR="001C19F3" w:rsidRDefault="001C19F3" w:rsidP="00521305">
            <w:pPr>
              <w:spacing w:before="40" w:after="40"/>
              <w:ind w:left="100" w:right="100"/>
              <w:jc w:val="center"/>
            </w:pPr>
            <w:r>
              <w:rPr>
                <w:rFonts w:eastAsia="Century Gothic" w:cs="Century Gothic"/>
                <w:color w:val="000000"/>
                <w:sz w:val="18"/>
                <w:szCs w:val="18"/>
              </w:rPr>
              <w:t>50 (12.1%)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333227" w14:textId="77777777" w:rsidR="001C19F3" w:rsidRDefault="001C19F3" w:rsidP="00521305">
            <w:pPr>
              <w:spacing w:before="40" w:after="40"/>
              <w:ind w:left="100" w:right="100"/>
              <w:jc w:val="center"/>
            </w:pPr>
            <w:r>
              <w:rPr>
                <w:rFonts w:eastAsia="Century Gothic" w:cs="Century Gothic"/>
                <w:color w:val="000000"/>
                <w:sz w:val="18"/>
                <w:szCs w:val="18"/>
              </w:rPr>
              <w:t>238 (14.9%)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7D976" w14:textId="77777777" w:rsidR="001C19F3" w:rsidRDefault="001C19F3" w:rsidP="00521305">
            <w:pPr>
              <w:spacing w:before="40" w:after="40"/>
              <w:ind w:left="100" w:right="100"/>
              <w:jc w:val="center"/>
            </w:pPr>
            <w:r>
              <w:rPr>
                <w:rFonts w:eastAsia="Century Gothic" w:cs="Century Gothic"/>
                <w:color w:val="000000"/>
                <w:sz w:val="18"/>
                <w:szCs w:val="18"/>
              </w:rPr>
              <w:t>0.276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E4ECB" w14:textId="77777777" w:rsidR="001C19F3" w:rsidRDefault="001C19F3" w:rsidP="00521305">
            <w:pPr>
              <w:spacing w:before="40" w:after="40"/>
              <w:ind w:left="100" w:right="100"/>
              <w:jc w:val="center"/>
            </w:pPr>
            <w:r>
              <w:rPr>
                <w:rFonts w:eastAsia="Century Gothic" w:cs="Century Gothic"/>
                <w:color w:val="000000"/>
                <w:sz w:val="18"/>
                <w:szCs w:val="18"/>
              </w:rPr>
              <w:t>224 (15.2%)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21B42A" w14:textId="77777777" w:rsidR="001C19F3" w:rsidRDefault="001C19F3" w:rsidP="00521305">
            <w:pPr>
              <w:spacing w:before="40" w:after="40"/>
              <w:ind w:left="100" w:right="100"/>
              <w:jc w:val="right"/>
            </w:pPr>
            <w:r>
              <w:rPr>
                <w:rFonts w:eastAsia="Century Gothic" w:cs="Century Gothic"/>
                <w:color w:val="000000"/>
                <w:sz w:val="18"/>
                <w:szCs w:val="18"/>
              </w:rPr>
              <w:t>35 (12.9%)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0970D2" w14:textId="77777777" w:rsidR="001C19F3" w:rsidRDefault="001C19F3" w:rsidP="00521305">
            <w:pPr>
              <w:spacing w:before="40" w:after="40"/>
              <w:ind w:left="100" w:right="100"/>
              <w:jc w:val="right"/>
            </w:pPr>
            <w:r>
              <w:rPr>
                <w:rFonts w:eastAsia="Century Gothic" w:cs="Century Gothic"/>
                <w:color w:val="000000"/>
                <w:sz w:val="18"/>
                <w:szCs w:val="18"/>
              </w:rPr>
              <w:t>29 (10.9%)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39FFA7" w14:textId="77777777" w:rsidR="001C19F3" w:rsidRDefault="001C19F3" w:rsidP="00521305">
            <w:pPr>
              <w:spacing w:before="40" w:after="40"/>
              <w:ind w:left="100" w:right="100"/>
              <w:jc w:val="right"/>
            </w:pPr>
            <w:r>
              <w:rPr>
                <w:rFonts w:eastAsia="Century Gothic" w:cs="Century Gothic"/>
                <w:color w:val="000000"/>
                <w:sz w:val="18"/>
                <w:szCs w:val="18"/>
              </w:rPr>
              <w:t>0.090</w:t>
            </w:r>
          </w:p>
        </w:tc>
      </w:tr>
      <w:tr w:rsidR="001C19F3" w14:paraId="449219E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DEF65" w14:textId="77777777" w:rsidR="001C19F3" w:rsidRDefault="001C19F3" w:rsidP="00521305">
            <w:pPr>
              <w:spacing w:before="40" w:after="40"/>
              <w:ind w:left="160" w:right="100"/>
            </w:pPr>
            <w:r>
              <w:rPr>
                <w:rFonts w:eastAsia="Century Gothic" w:cs="Century Gothic"/>
                <w:color w:val="000000"/>
                <w:sz w:val="18"/>
                <w:szCs w:val="18"/>
              </w:rPr>
              <w:lastRenderedPageBreak/>
              <w:t>Very 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55B78F" w14:textId="77777777" w:rsidR="001C19F3" w:rsidRDefault="001C19F3" w:rsidP="00521305">
            <w:pPr>
              <w:spacing w:before="40" w:after="40"/>
              <w:ind w:left="100" w:right="100"/>
              <w:jc w:val="center"/>
            </w:pPr>
            <w:r>
              <w:rPr>
                <w:rFonts w:eastAsia="Century Gothic" w:cs="Century Gothic"/>
                <w:color w:val="000000"/>
                <w:sz w:val="18"/>
                <w:szCs w:val="18"/>
              </w:rPr>
              <w:t>530 (26.3%)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F8F76" w14:textId="77777777" w:rsidR="001C19F3" w:rsidRDefault="001C19F3" w:rsidP="00521305">
            <w:pPr>
              <w:spacing w:before="40" w:after="40"/>
              <w:ind w:left="100" w:right="100"/>
              <w:jc w:val="center"/>
            </w:pPr>
            <w:r>
              <w:rPr>
                <w:rFonts w:eastAsia="Century Gothic" w:cs="Century Gothic"/>
                <w:color w:val="000000"/>
                <w:sz w:val="18"/>
                <w:szCs w:val="18"/>
              </w:rPr>
              <w:t>111 (26.9%)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DF89A6" w14:textId="77777777" w:rsidR="001C19F3" w:rsidRDefault="001C19F3" w:rsidP="00521305">
            <w:pPr>
              <w:spacing w:before="40" w:after="40"/>
              <w:ind w:left="100" w:right="100"/>
              <w:jc w:val="center"/>
            </w:pPr>
            <w:r>
              <w:rPr>
                <w:rFonts w:eastAsia="Century Gothic" w:cs="Century Gothic"/>
                <w:color w:val="000000"/>
                <w:sz w:val="18"/>
                <w:szCs w:val="18"/>
              </w:rPr>
              <w:t>419 (26.3%)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BB0485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D53EA6" w14:textId="77777777" w:rsidR="001C19F3" w:rsidRDefault="001C19F3" w:rsidP="00521305">
            <w:pPr>
              <w:spacing w:before="40" w:after="40"/>
              <w:ind w:left="100" w:right="100"/>
              <w:jc w:val="center"/>
            </w:pPr>
            <w:r>
              <w:rPr>
                <w:rFonts w:eastAsia="Century Gothic" w:cs="Century Gothic"/>
                <w:color w:val="000000"/>
                <w:sz w:val="18"/>
                <w:szCs w:val="18"/>
              </w:rPr>
              <w:t>382 (26.0%)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153EC" w14:textId="77777777" w:rsidR="001C19F3" w:rsidRDefault="001C19F3" w:rsidP="00521305">
            <w:pPr>
              <w:spacing w:before="40" w:after="40"/>
              <w:ind w:left="100" w:right="100"/>
              <w:jc w:val="right"/>
            </w:pPr>
            <w:r>
              <w:rPr>
                <w:rFonts w:eastAsia="Century Gothic" w:cs="Century Gothic"/>
                <w:color w:val="000000"/>
                <w:sz w:val="18"/>
                <w:szCs w:val="18"/>
              </w:rPr>
              <w:t>74 (27.2%)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8D7AF8" w14:textId="77777777" w:rsidR="001C19F3" w:rsidRDefault="001C19F3" w:rsidP="00521305">
            <w:pPr>
              <w:spacing w:before="40" w:after="40"/>
              <w:ind w:left="100" w:right="100"/>
              <w:jc w:val="right"/>
            </w:pPr>
            <w:r>
              <w:rPr>
                <w:rFonts w:eastAsia="Century Gothic" w:cs="Century Gothic"/>
                <w:color w:val="000000"/>
                <w:sz w:val="18"/>
                <w:szCs w:val="18"/>
              </w:rPr>
              <w:t>74 (27.9%)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EB36E0E" w14:textId="77777777" w:rsidR="001C19F3" w:rsidRDefault="001C19F3" w:rsidP="00521305">
            <w:pPr>
              <w:spacing w:after="0"/>
              <w:rPr>
                <w:sz w:val="22"/>
              </w:rPr>
            </w:pPr>
          </w:p>
        </w:tc>
      </w:tr>
      <w:tr w:rsidR="001C19F3" w14:paraId="00C871D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F98944" w14:textId="77777777" w:rsidR="001C19F3" w:rsidRDefault="001C19F3" w:rsidP="00521305">
            <w:pPr>
              <w:spacing w:before="40" w:after="40"/>
              <w:ind w:left="160" w:right="100"/>
            </w:pPr>
            <w:r>
              <w:rPr>
                <w:rFonts w:eastAsia="Century Gothic" w:cs="Century Gothic"/>
                <w:color w:val="000000"/>
                <w:sz w:val="18"/>
                <w:szCs w:val="18"/>
              </w:rPr>
              <w:t>Good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13CC53" w14:textId="77777777" w:rsidR="001C19F3" w:rsidRDefault="001C19F3" w:rsidP="00521305">
            <w:pPr>
              <w:spacing w:before="40" w:after="40"/>
              <w:ind w:left="100" w:right="100"/>
              <w:jc w:val="center"/>
            </w:pPr>
            <w:r>
              <w:rPr>
                <w:rFonts w:eastAsia="Century Gothic" w:cs="Century Gothic"/>
                <w:color w:val="000000"/>
                <w:sz w:val="18"/>
                <w:szCs w:val="18"/>
              </w:rPr>
              <w:t>717 (35.5%)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923EBB" w14:textId="77777777" w:rsidR="001C19F3" w:rsidRDefault="001C19F3" w:rsidP="00521305">
            <w:pPr>
              <w:spacing w:before="40" w:after="40"/>
              <w:ind w:left="100" w:right="100"/>
              <w:jc w:val="center"/>
            </w:pPr>
            <w:r>
              <w:rPr>
                <w:rFonts w:eastAsia="Century Gothic" w:cs="Century Gothic"/>
                <w:color w:val="000000"/>
                <w:sz w:val="18"/>
                <w:szCs w:val="18"/>
              </w:rPr>
              <w:t>141 (34.2%)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7D56B7" w14:textId="77777777" w:rsidR="001C19F3" w:rsidRDefault="001C19F3" w:rsidP="00521305">
            <w:pPr>
              <w:spacing w:before="40" w:after="40"/>
              <w:ind w:left="100" w:right="100"/>
              <w:jc w:val="center"/>
            </w:pPr>
            <w:r>
              <w:rPr>
                <w:rFonts w:eastAsia="Century Gothic" w:cs="Century Gothic"/>
                <w:color w:val="000000"/>
                <w:sz w:val="18"/>
                <w:szCs w:val="18"/>
              </w:rPr>
              <w:t>576 (36.1%)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74689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DD7F51" w14:textId="77777777" w:rsidR="001C19F3" w:rsidRDefault="001C19F3" w:rsidP="00521305">
            <w:pPr>
              <w:spacing w:before="40" w:after="40"/>
              <w:ind w:left="100" w:right="100"/>
              <w:jc w:val="center"/>
            </w:pPr>
            <w:r>
              <w:rPr>
                <w:rFonts w:eastAsia="Century Gothic" w:cs="Century Gothic"/>
                <w:color w:val="000000"/>
                <w:sz w:val="18"/>
                <w:szCs w:val="18"/>
              </w:rPr>
              <w:t>509 (34.6%)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9EFB7" w14:textId="77777777" w:rsidR="001C19F3" w:rsidRDefault="001C19F3" w:rsidP="00521305">
            <w:pPr>
              <w:spacing w:before="40" w:after="40"/>
              <w:ind w:left="100" w:right="100"/>
              <w:jc w:val="right"/>
            </w:pPr>
            <w:r>
              <w:rPr>
                <w:rFonts w:eastAsia="Century Gothic" w:cs="Century Gothic"/>
                <w:color w:val="000000"/>
                <w:sz w:val="18"/>
                <w:szCs w:val="18"/>
              </w:rPr>
              <w:t>109 (40.1%)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1DF62E" w14:textId="77777777" w:rsidR="001C19F3" w:rsidRDefault="001C19F3" w:rsidP="00521305">
            <w:pPr>
              <w:spacing w:before="40" w:after="40"/>
              <w:ind w:left="100" w:right="100"/>
              <w:jc w:val="right"/>
            </w:pPr>
            <w:r>
              <w:rPr>
                <w:rFonts w:eastAsia="Century Gothic" w:cs="Century Gothic"/>
                <w:color w:val="000000"/>
                <w:sz w:val="18"/>
                <w:szCs w:val="18"/>
              </w:rPr>
              <w:t>99 (37.4%)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87A241D" w14:textId="77777777" w:rsidR="001C19F3" w:rsidRDefault="001C19F3" w:rsidP="00521305">
            <w:pPr>
              <w:spacing w:after="0"/>
              <w:rPr>
                <w:sz w:val="22"/>
              </w:rPr>
            </w:pPr>
          </w:p>
        </w:tc>
      </w:tr>
      <w:tr w:rsidR="001C19F3" w14:paraId="4479CA7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C3D79D" w14:textId="77777777" w:rsidR="001C19F3" w:rsidRDefault="001C19F3" w:rsidP="00521305">
            <w:pPr>
              <w:spacing w:before="40" w:after="40"/>
              <w:ind w:left="160" w:right="100"/>
            </w:pPr>
            <w:r>
              <w:rPr>
                <w:rFonts w:eastAsia="Century Gothic" w:cs="Century Gothic"/>
                <w:color w:val="000000"/>
                <w:sz w:val="18"/>
                <w:szCs w:val="18"/>
              </w:rPr>
              <w:t>Fair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3376B6" w14:textId="77777777" w:rsidR="001C19F3" w:rsidRDefault="001C19F3" w:rsidP="00521305">
            <w:pPr>
              <w:spacing w:before="40" w:after="40"/>
              <w:ind w:left="100" w:right="100"/>
              <w:jc w:val="center"/>
            </w:pPr>
            <w:r>
              <w:rPr>
                <w:rFonts w:eastAsia="Century Gothic" w:cs="Century Gothic"/>
                <w:color w:val="000000"/>
                <w:sz w:val="18"/>
                <w:szCs w:val="18"/>
              </w:rPr>
              <w:t>372 (18.4%)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5DC679" w14:textId="77777777" w:rsidR="001C19F3" w:rsidRDefault="001C19F3" w:rsidP="00521305">
            <w:pPr>
              <w:spacing w:before="40" w:after="40"/>
              <w:ind w:left="100" w:right="100"/>
              <w:jc w:val="center"/>
            </w:pPr>
            <w:r>
              <w:rPr>
                <w:rFonts w:eastAsia="Century Gothic" w:cs="Century Gothic"/>
                <w:color w:val="000000"/>
                <w:sz w:val="18"/>
                <w:szCs w:val="18"/>
              </w:rPr>
              <w:t>84 (20.4%)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93E171" w14:textId="77777777" w:rsidR="001C19F3" w:rsidRDefault="001C19F3" w:rsidP="00521305">
            <w:pPr>
              <w:spacing w:before="40" w:after="40"/>
              <w:ind w:left="100" w:right="100"/>
              <w:jc w:val="center"/>
            </w:pPr>
            <w:r>
              <w:rPr>
                <w:rFonts w:eastAsia="Century Gothic" w:cs="Century Gothic"/>
                <w:color w:val="000000"/>
                <w:sz w:val="18"/>
                <w:szCs w:val="18"/>
              </w:rPr>
              <w:t>288 (18.1%)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D3C872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1A2B4D" w14:textId="77777777" w:rsidR="001C19F3" w:rsidRDefault="001C19F3" w:rsidP="00521305">
            <w:pPr>
              <w:spacing w:before="40" w:after="40"/>
              <w:ind w:left="100" w:right="100"/>
              <w:jc w:val="center"/>
            </w:pPr>
            <w:r>
              <w:rPr>
                <w:rFonts w:eastAsia="Century Gothic" w:cs="Century Gothic"/>
                <w:color w:val="000000"/>
                <w:sz w:val="18"/>
                <w:szCs w:val="18"/>
              </w:rPr>
              <w:t>270 (18.4%)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C0909" w14:textId="77777777" w:rsidR="001C19F3" w:rsidRDefault="001C19F3" w:rsidP="00521305">
            <w:pPr>
              <w:spacing w:before="40" w:after="40"/>
              <w:ind w:left="100" w:right="100"/>
              <w:jc w:val="right"/>
            </w:pPr>
            <w:r>
              <w:rPr>
                <w:rFonts w:eastAsia="Century Gothic" w:cs="Century Gothic"/>
                <w:color w:val="000000"/>
                <w:sz w:val="18"/>
                <w:szCs w:val="18"/>
              </w:rPr>
              <w:t>47 (17.3%)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F34C81" w14:textId="77777777" w:rsidR="001C19F3" w:rsidRDefault="001C19F3" w:rsidP="00521305">
            <w:pPr>
              <w:spacing w:before="40" w:after="40"/>
              <w:ind w:left="100" w:right="100"/>
              <w:jc w:val="right"/>
            </w:pPr>
            <w:r>
              <w:rPr>
                <w:rFonts w:eastAsia="Century Gothic" w:cs="Century Gothic"/>
                <w:color w:val="000000"/>
                <w:sz w:val="18"/>
                <w:szCs w:val="18"/>
              </w:rPr>
              <w:t>55 (20.8%)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7CAA71C" w14:textId="77777777" w:rsidR="001C19F3" w:rsidRDefault="001C19F3" w:rsidP="00521305">
            <w:pPr>
              <w:spacing w:after="0"/>
              <w:rPr>
                <w:sz w:val="22"/>
              </w:rPr>
            </w:pPr>
          </w:p>
        </w:tc>
      </w:tr>
      <w:tr w:rsidR="001C19F3" w14:paraId="1A3599D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5A1E24" w14:textId="77777777" w:rsidR="001C19F3" w:rsidRDefault="001C19F3" w:rsidP="00521305">
            <w:pPr>
              <w:spacing w:before="40" w:after="40"/>
              <w:ind w:left="160" w:right="100"/>
            </w:pPr>
            <w:r>
              <w:rPr>
                <w:rFonts w:eastAsia="Century Gothic" w:cs="Century Gothic"/>
                <w:color w:val="000000"/>
                <w:sz w:val="18"/>
                <w:szCs w:val="18"/>
              </w:rPr>
              <w:t>Poor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4300CE" w14:textId="77777777" w:rsidR="001C19F3" w:rsidRDefault="001C19F3" w:rsidP="00521305">
            <w:pPr>
              <w:spacing w:before="40" w:after="40"/>
              <w:ind w:left="100" w:right="100"/>
              <w:jc w:val="center"/>
            </w:pPr>
            <w:r>
              <w:rPr>
                <w:rFonts w:eastAsia="Century Gothic" w:cs="Century Gothic"/>
                <w:color w:val="000000"/>
                <w:sz w:val="18"/>
                <w:szCs w:val="18"/>
              </w:rPr>
              <w:t>99 (4.9%)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829B61" w14:textId="77777777" w:rsidR="001C19F3" w:rsidRDefault="001C19F3" w:rsidP="00521305">
            <w:pPr>
              <w:spacing w:before="40" w:after="40"/>
              <w:ind w:left="100" w:right="100"/>
              <w:jc w:val="center"/>
            </w:pPr>
            <w:r>
              <w:rPr>
                <w:rFonts w:eastAsia="Century Gothic" w:cs="Century Gothic"/>
                <w:color w:val="000000"/>
                <w:sz w:val="18"/>
                <w:szCs w:val="18"/>
              </w:rPr>
              <w:t>26 (6.3%)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8FA915" w14:textId="77777777" w:rsidR="001C19F3" w:rsidRDefault="001C19F3" w:rsidP="00521305">
            <w:pPr>
              <w:spacing w:before="40" w:after="40"/>
              <w:ind w:left="100" w:right="100"/>
              <w:jc w:val="center"/>
            </w:pPr>
            <w:r>
              <w:rPr>
                <w:rFonts w:eastAsia="Century Gothic" w:cs="Century Gothic"/>
                <w:color w:val="000000"/>
                <w:sz w:val="18"/>
                <w:szCs w:val="18"/>
              </w:rPr>
              <w:t>73 (4.6%)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3568A7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0A7FB3" w14:textId="77777777" w:rsidR="001C19F3" w:rsidRDefault="001C19F3" w:rsidP="00521305">
            <w:pPr>
              <w:spacing w:before="40" w:after="40"/>
              <w:ind w:left="100" w:right="100"/>
              <w:jc w:val="center"/>
            </w:pPr>
            <w:r>
              <w:rPr>
                <w:rFonts w:eastAsia="Century Gothic" w:cs="Century Gothic"/>
                <w:color w:val="000000"/>
                <w:sz w:val="18"/>
                <w:szCs w:val="18"/>
              </w:rPr>
              <w:t>84 (5.7%)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D1BDA9" w14:textId="77777777" w:rsidR="001C19F3" w:rsidRDefault="001C19F3" w:rsidP="00521305">
            <w:pPr>
              <w:spacing w:before="40" w:after="40"/>
              <w:ind w:left="100" w:right="100"/>
              <w:jc w:val="right"/>
            </w:pPr>
            <w:r>
              <w:rPr>
                <w:rFonts w:eastAsia="Century Gothic" w:cs="Century Gothic"/>
                <w:color w:val="000000"/>
                <w:sz w:val="18"/>
                <w:szCs w:val="18"/>
              </w:rPr>
              <w:t>7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65C8BE" w14:textId="77777777" w:rsidR="001C19F3" w:rsidRDefault="001C19F3" w:rsidP="00521305">
            <w:pPr>
              <w:spacing w:before="40" w:after="40"/>
              <w:ind w:left="100" w:right="100"/>
              <w:jc w:val="right"/>
            </w:pPr>
            <w:r>
              <w:rPr>
                <w:rFonts w:eastAsia="Century Gothic" w:cs="Century Gothic"/>
                <w:color w:val="000000"/>
                <w:sz w:val="18"/>
                <w:szCs w:val="18"/>
              </w:rPr>
              <w:t>8 (3.0%)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7D324C0" w14:textId="77777777" w:rsidR="001C19F3" w:rsidRDefault="001C19F3" w:rsidP="00521305">
            <w:pPr>
              <w:spacing w:after="0"/>
              <w:rPr>
                <w:sz w:val="22"/>
              </w:rPr>
            </w:pPr>
          </w:p>
        </w:tc>
      </w:tr>
      <w:tr w:rsidR="001C19F3" w14:paraId="4430F19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5AA605"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FBF0B" w14:textId="77777777" w:rsidR="001C19F3" w:rsidRDefault="001C19F3" w:rsidP="00521305">
            <w:pPr>
              <w:spacing w:before="40" w:after="40"/>
              <w:ind w:left="100" w:right="100"/>
              <w:jc w:val="center"/>
            </w:pPr>
            <w:r>
              <w:rPr>
                <w:rFonts w:eastAsia="Century Gothic" w:cs="Century Gothic"/>
                <w:color w:val="000000"/>
                <w:sz w:val="18"/>
                <w:szCs w:val="18"/>
              </w:rPr>
              <w:t>12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70EFC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AC470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2E340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8FECB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798E23"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4EA42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FBC13C" w14:textId="77777777" w:rsidR="001C19F3" w:rsidRDefault="001C19F3" w:rsidP="00521305">
            <w:pPr>
              <w:spacing w:before="40" w:after="40"/>
              <w:ind w:left="100" w:right="100"/>
              <w:jc w:val="right"/>
            </w:pPr>
          </w:p>
        </w:tc>
      </w:tr>
      <w:tr w:rsidR="001C19F3" w14:paraId="10370257"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B00831" w14:textId="77777777" w:rsidR="001C19F3" w:rsidRDefault="001C19F3" w:rsidP="00521305">
            <w:pPr>
              <w:spacing w:before="40" w:after="40"/>
              <w:ind w:left="100" w:right="100"/>
            </w:pPr>
            <w:r>
              <w:rPr>
                <w:rFonts w:eastAsia="Century Gothic" w:cs="Century Gothic"/>
                <w:b/>
                <w:color w:val="000000"/>
                <w:sz w:val="18"/>
                <w:szCs w:val="18"/>
              </w:rPr>
              <w:t>F03 Number of chronic conditions</w:t>
            </w:r>
          </w:p>
        </w:tc>
      </w:tr>
      <w:tr w:rsidR="001C19F3" w14:paraId="309D72E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18279" w14:textId="77777777" w:rsidR="001C19F3" w:rsidRDefault="001C19F3" w:rsidP="00521305">
            <w:pPr>
              <w:spacing w:before="40" w:after="40"/>
              <w:ind w:left="160" w:right="100"/>
            </w:pPr>
            <w:r>
              <w:rPr>
                <w:rFonts w:eastAsia="Century Gothic" w:cs="Century Gothic"/>
                <w:color w:val="000000"/>
                <w:sz w:val="18"/>
                <w:szCs w:val="18"/>
              </w:rPr>
              <w:t>None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D71EA5"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BF6CB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BB95D4" w14:textId="77777777" w:rsidR="001C19F3" w:rsidRDefault="001C19F3" w:rsidP="00521305">
            <w:pPr>
              <w:spacing w:before="40" w:after="40"/>
              <w:ind w:left="100" w:right="100"/>
              <w:jc w:val="center"/>
            </w:pPr>
            <w:r>
              <w:rPr>
                <w:rFonts w:eastAsia="Century Gothic" w:cs="Century Gothic"/>
                <w:color w:val="000000"/>
                <w:sz w:val="18"/>
                <w:szCs w:val="18"/>
              </w:rPr>
              <w:t>28 (1.7%)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6FD9ED" w14:textId="77777777" w:rsidR="001C19F3" w:rsidRDefault="001C19F3" w:rsidP="00521305">
            <w:pPr>
              <w:spacing w:before="40" w:after="40"/>
              <w:ind w:left="100" w:right="100"/>
              <w:jc w:val="center"/>
            </w:pPr>
            <w:r>
              <w:rPr>
                <w:rFonts w:eastAsia="Century Gothic" w:cs="Century Gothic"/>
                <w:color w:val="000000"/>
                <w:sz w:val="18"/>
                <w:szCs w:val="18"/>
              </w:rPr>
              <w:t>0.023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08593B" w14:textId="77777777" w:rsidR="001C19F3" w:rsidRDefault="001C19F3" w:rsidP="00521305">
            <w:pPr>
              <w:spacing w:before="40" w:after="40"/>
              <w:ind w:left="100" w:right="100"/>
              <w:jc w:val="center"/>
            </w:pPr>
            <w:r>
              <w:rPr>
                <w:rFonts w:eastAsia="Century Gothic" w:cs="Century Gothic"/>
                <w:color w:val="000000"/>
                <w:sz w:val="18"/>
                <w:szCs w:val="18"/>
              </w:rPr>
              <w:t>25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53D0ED" w14:textId="77777777" w:rsidR="001C19F3" w:rsidRDefault="001C19F3" w:rsidP="00521305">
            <w:pPr>
              <w:spacing w:before="40" w:after="40"/>
              <w:ind w:left="100" w:right="100"/>
              <w:jc w:val="right"/>
            </w:pPr>
            <w:r>
              <w:rPr>
                <w:rFonts w:eastAsia="Century Gothic" w:cs="Century Gothic"/>
                <w:color w:val="000000"/>
                <w:sz w:val="18"/>
                <w:szCs w:val="18"/>
              </w:rPr>
              <w:t>2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82D92F"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D2BCAF" w14:textId="77777777" w:rsidR="001C19F3" w:rsidRDefault="001C19F3" w:rsidP="00521305">
            <w:pPr>
              <w:spacing w:before="40" w:after="40"/>
              <w:ind w:left="100" w:right="100"/>
              <w:jc w:val="right"/>
            </w:pPr>
            <w:r>
              <w:rPr>
                <w:rFonts w:eastAsia="Century Gothic" w:cs="Century Gothic"/>
                <w:color w:val="000000"/>
                <w:sz w:val="18"/>
                <w:szCs w:val="18"/>
              </w:rPr>
              <w:t>0.064</w:t>
            </w:r>
          </w:p>
        </w:tc>
      </w:tr>
      <w:tr w:rsidR="001C19F3" w14:paraId="0AC7FD8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4D95A2" w14:textId="77777777" w:rsidR="001C19F3" w:rsidRDefault="001C19F3" w:rsidP="00521305">
            <w:pPr>
              <w:spacing w:before="40" w:after="40"/>
              <w:ind w:left="160" w:right="100"/>
            </w:pPr>
            <w:r>
              <w:rPr>
                <w:rFonts w:eastAsia="Century Gothic" w:cs="Century Gothic"/>
                <w:color w:val="000000"/>
                <w:sz w:val="18"/>
                <w:szCs w:val="18"/>
              </w:rPr>
              <w:t>One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2248A" w14:textId="77777777" w:rsidR="001C19F3" w:rsidRDefault="001C19F3" w:rsidP="00521305">
            <w:pPr>
              <w:spacing w:before="40" w:after="40"/>
              <w:ind w:left="100" w:right="100"/>
              <w:jc w:val="center"/>
            </w:pPr>
            <w:r>
              <w:rPr>
                <w:rFonts w:eastAsia="Century Gothic" w:cs="Century Gothic"/>
                <w:color w:val="000000"/>
                <w:sz w:val="18"/>
                <w:szCs w:val="18"/>
              </w:rPr>
              <w:t>173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F0C748" w14:textId="77777777" w:rsidR="001C19F3" w:rsidRDefault="001C19F3" w:rsidP="00521305">
            <w:pPr>
              <w:spacing w:before="40" w:after="40"/>
              <w:ind w:left="100" w:right="100"/>
              <w:jc w:val="center"/>
            </w:pPr>
            <w:r>
              <w:rPr>
                <w:rFonts w:eastAsia="Century Gothic" w:cs="Century Gothic"/>
                <w:color w:val="000000"/>
                <w:sz w:val="18"/>
                <w:szCs w:val="18"/>
              </w:rPr>
              <w:t>34 (8.2%)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19E673" w14:textId="77777777" w:rsidR="001C19F3" w:rsidRDefault="001C19F3" w:rsidP="00521305">
            <w:pPr>
              <w:spacing w:before="40" w:after="40"/>
              <w:ind w:left="100" w:right="100"/>
              <w:jc w:val="center"/>
            </w:pPr>
            <w:r>
              <w:rPr>
                <w:rFonts w:eastAsia="Century Gothic" w:cs="Century Gothic"/>
                <w:color w:val="000000"/>
                <w:sz w:val="18"/>
                <w:szCs w:val="18"/>
              </w:rPr>
              <w:t>139 (8.7%)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3AACD0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894E8F" w14:textId="77777777" w:rsidR="001C19F3" w:rsidRDefault="001C19F3" w:rsidP="00521305">
            <w:pPr>
              <w:spacing w:before="40" w:after="40"/>
              <w:ind w:left="100" w:right="100"/>
              <w:jc w:val="center"/>
            </w:pPr>
            <w:r>
              <w:rPr>
                <w:rFonts w:eastAsia="Century Gothic" w:cs="Century Gothic"/>
                <w:color w:val="000000"/>
                <w:sz w:val="18"/>
                <w:szCs w:val="18"/>
              </w:rPr>
              <w:t>137 (9.3%)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976777" w14:textId="77777777" w:rsidR="001C19F3" w:rsidRDefault="001C19F3" w:rsidP="00521305">
            <w:pPr>
              <w:spacing w:before="40" w:after="40"/>
              <w:ind w:left="100" w:right="100"/>
              <w:jc w:val="right"/>
            </w:pPr>
            <w:r>
              <w:rPr>
                <w:rFonts w:eastAsia="Century Gothic" w:cs="Century Gothic"/>
                <w:color w:val="000000"/>
                <w:sz w:val="18"/>
                <w:szCs w:val="18"/>
              </w:rPr>
              <w:t>24 (8.8%)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691DD1" w14:textId="77777777" w:rsidR="001C19F3" w:rsidRDefault="001C19F3" w:rsidP="00521305">
            <w:pPr>
              <w:spacing w:before="40" w:after="40"/>
              <w:ind w:left="100" w:right="100"/>
              <w:jc w:val="right"/>
            </w:pPr>
            <w:r>
              <w:rPr>
                <w:rFonts w:eastAsia="Century Gothic" w:cs="Century Gothic"/>
                <w:color w:val="000000"/>
                <w:sz w:val="18"/>
                <w:szCs w:val="18"/>
              </w:rPr>
              <w:t>12 (4.5%)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AA9AFBE" w14:textId="77777777" w:rsidR="001C19F3" w:rsidRDefault="001C19F3" w:rsidP="00521305">
            <w:pPr>
              <w:spacing w:after="0"/>
              <w:rPr>
                <w:sz w:val="22"/>
              </w:rPr>
            </w:pPr>
          </w:p>
        </w:tc>
      </w:tr>
      <w:tr w:rsidR="001C19F3" w14:paraId="6EACE62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567817" w14:textId="77777777" w:rsidR="001C19F3" w:rsidRDefault="001C19F3" w:rsidP="00521305">
            <w:pPr>
              <w:spacing w:before="40" w:after="40"/>
              <w:ind w:left="160" w:right="100"/>
            </w:pPr>
            <w:r>
              <w:rPr>
                <w:rFonts w:eastAsia="Century Gothic" w:cs="Century Gothic"/>
                <w:color w:val="000000"/>
                <w:sz w:val="18"/>
                <w:szCs w:val="18"/>
              </w:rPr>
              <w:t>Two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49E5D8" w14:textId="77777777" w:rsidR="001C19F3" w:rsidRDefault="001C19F3" w:rsidP="00521305">
            <w:pPr>
              <w:spacing w:before="40" w:after="40"/>
              <w:ind w:left="100" w:right="100"/>
              <w:jc w:val="center"/>
            </w:pPr>
            <w:r>
              <w:rPr>
                <w:rFonts w:eastAsia="Century Gothic" w:cs="Century Gothic"/>
                <w:color w:val="000000"/>
                <w:sz w:val="18"/>
                <w:szCs w:val="18"/>
              </w:rPr>
              <w:t>329 (16.3%)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0360FE" w14:textId="77777777" w:rsidR="001C19F3" w:rsidRDefault="001C19F3" w:rsidP="00521305">
            <w:pPr>
              <w:spacing w:before="40" w:after="40"/>
              <w:ind w:left="100" w:right="100"/>
              <w:jc w:val="center"/>
            </w:pPr>
            <w:r>
              <w:rPr>
                <w:rFonts w:eastAsia="Century Gothic" w:cs="Century Gothic"/>
                <w:color w:val="000000"/>
                <w:sz w:val="18"/>
                <w:szCs w:val="18"/>
              </w:rPr>
              <w:t>59 (14.2%)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ACBBB9" w14:textId="77777777" w:rsidR="001C19F3" w:rsidRDefault="001C19F3" w:rsidP="00521305">
            <w:pPr>
              <w:spacing w:before="40" w:after="40"/>
              <w:ind w:left="100" w:right="100"/>
              <w:jc w:val="center"/>
            </w:pPr>
            <w:r>
              <w:rPr>
                <w:rFonts w:eastAsia="Century Gothic" w:cs="Century Gothic"/>
                <w:color w:val="000000"/>
                <w:sz w:val="18"/>
                <w:szCs w:val="18"/>
              </w:rPr>
              <w:t>270 (16.9%)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CAAA50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8A3BCA" w14:textId="77777777" w:rsidR="001C19F3" w:rsidRDefault="001C19F3" w:rsidP="00521305">
            <w:pPr>
              <w:spacing w:before="40" w:after="40"/>
              <w:ind w:left="100" w:right="100"/>
              <w:jc w:val="center"/>
            </w:pPr>
            <w:r>
              <w:rPr>
                <w:rFonts w:eastAsia="Century Gothic" w:cs="Century Gothic"/>
                <w:color w:val="000000"/>
                <w:sz w:val="18"/>
                <w:szCs w:val="18"/>
              </w:rPr>
              <w:t>241 (16.3%)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246EFA" w14:textId="77777777" w:rsidR="001C19F3" w:rsidRDefault="001C19F3" w:rsidP="00521305">
            <w:pPr>
              <w:spacing w:before="40" w:after="40"/>
              <w:ind w:left="100" w:right="100"/>
              <w:jc w:val="right"/>
            </w:pPr>
            <w:r>
              <w:rPr>
                <w:rFonts w:eastAsia="Century Gothic" w:cs="Century Gothic"/>
                <w:color w:val="000000"/>
                <w:sz w:val="18"/>
                <w:szCs w:val="18"/>
              </w:rPr>
              <w:t>40 (14.6%)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C2484E" w14:textId="77777777" w:rsidR="001C19F3" w:rsidRDefault="001C19F3" w:rsidP="00521305">
            <w:pPr>
              <w:spacing w:before="40" w:after="40"/>
              <w:ind w:left="100" w:right="100"/>
              <w:jc w:val="right"/>
            </w:pPr>
            <w:r>
              <w:rPr>
                <w:rFonts w:eastAsia="Century Gothic" w:cs="Century Gothic"/>
                <w:color w:val="000000"/>
                <w:sz w:val="18"/>
                <w:szCs w:val="18"/>
              </w:rPr>
              <w:t>48 (18.1%)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75CD038" w14:textId="77777777" w:rsidR="001C19F3" w:rsidRDefault="001C19F3" w:rsidP="00521305">
            <w:pPr>
              <w:spacing w:after="0"/>
              <w:rPr>
                <w:sz w:val="22"/>
              </w:rPr>
            </w:pPr>
          </w:p>
        </w:tc>
      </w:tr>
      <w:tr w:rsidR="001C19F3" w14:paraId="50BC0AF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06895C" w14:textId="77777777" w:rsidR="001C19F3" w:rsidRDefault="001C19F3" w:rsidP="00521305">
            <w:pPr>
              <w:spacing w:before="40" w:after="40"/>
              <w:ind w:left="160" w:right="100"/>
            </w:pPr>
            <w:r>
              <w:rPr>
                <w:rFonts w:eastAsia="Century Gothic" w:cs="Century Gothic"/>
                <w:color w:val="000000"/>
                <w:sz w:val="18"/>
                <w:szCs w:val="18"/>
              </w:rPr>
              <w:t>Three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07FF0" w14:textId="77777777" w:rsidR="001C19F3" w:rsidRDefault="001C19F3" w:rsidP="00521305">
            <w:pPr>
              <w:spacing w:before="40" w:after="40"/>
              <w:ind w:left="100" w:right="100"/>
              <w:jc w:val="center"/>
            </w:pPr>
            <w:r>
              <w:rPr>
                <w:rFonts w:eastAsia="Century Gothic" w:cs="Century Gothic"/>
                <w:color w:val="000000"/>
                <w:sz w:val="18"/>
                <w:szCs w:val="18"/>
              </w:rPr>
              <w:t>492 (24.4%)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C8FB38" w14:textId="77777777" w:rsidR="001C19F3" w:rsidRDefault="001C19F3" w:rsidP="00521305">
            <w:pPr>
              <w:spacing w:before="40" w:after="40"/>
              <w:ind w:left="100" w:right="100"/>
              <w:jc w:val="center"/>
            </w:pPr>
            <w:r>
              <w:rPr>
                <w:rFonts w:eastAsia="Century Gothic" w:cs="Century Gothic"/>
                <w:color w:val="000000"/>
                <w:sz w:val="18"/>
                <w:szCs w:val="18"/>
              </w:rPr>
              <w:t>94 (22.6%)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5A75CC" w14:textId="77777777" w:rsidR="001C19F3" w:rsidRDefault="001C19F3" w:rsidP="00521305">
            <w:pPr>
              <w:spacing w:before="40" w:after="40"/>
              <w:ind w:left="100" w:right="100"/>
              <w:jc w:val="center"/>
            </w:pPr>
            <w:r>
              <w:rPr>
                <w:rFonts w:eastAsia="Century Gothic" w:cs="Century Gothic"/>
                <w:color w:val="000000"/>
                <w:sz w:val="18"/>
                <w:szCs w:val="18"/>
              </w:rPr>
              <w:t>398 (24.8%)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26606E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228B47" w14:textId="77777777" w:rsidR="001C19F3" w:rsidRDefault="001C19F3" w:rsidP="00521305">
            <w:pPr>
              <w:spacing w:before="40" w:after="40"/>
              <w:ind w:left="100" w:right="100"/>
              <w:jc w:val="center"/>
            </w:pPr>
            <w:r>
              <w:rPr>
                <w:rFonts w:eastAsia="Century Gothic" w:cs="Century Gothic"/>
                <w:color w:val="000000"/>
                <w:sz w:val="18"/>
                <w:szCs w:val="18"/>
              </w:rPr>
              <w:t>365 (24.7%)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5FCB5" w14:textId="77777777" w:rsidR="001C19F3" w:rsidRDefault="001C19F3" w:rsidP="00521305">
            <w:pPr>
              <w:spacing w:before="40" w:after="40"/>
              <w:ind w:left="100" w:right="100"/>
              <w:jc w:val="right"/>
            </w:pPr>
            <w:r>
              <w:rPr>
                <w:rFonts w:eastAsia="Century Gothic" w:cs="Century Gothic"/>
                <w:color w:val="000000"/>
                <w:sz w:val="18"/>
                <w:szCs w:val="18"/>
              </w:rPr>
              <w:t>72 (26.3%)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C8465" w14:textId="77777777" w:rsidR="001C19F3" w:rsidRDefault="001C19F3" w:rsidP="00521305">
            <w:pPr>
              <w:spacing w:before="40" w:after="40"/>
              <w:ind w:left="100" w:right="100"/>
              <w:jc w:val="right"/>
            </w:pPr>
            <w:r>
              <w:rPr>
                <w:rFonts w:eastAsia="Century Gothic" w:cs="Century Gothic"/>
                <w:color w:val="000000"/>
                <w:sz w:val="18"/>
                <w:szCs w:val="18"/>
              </w:rPr>
              <w:t>55 (20.8%)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06FEBF6" w14:textId="77777777" w:rsidR="001C19F3" w:rsidRDefault="001C19F3" w:rsidP="00521305">
            <w:pPr>
              <w:spacing w:after="0"/>
              <w:rPr>
                <w:sz w:val="22"/>
              </w:rPr>
            </w:pPr>
          </w:p>
        </w:tc>
      </w:tr>
      <w:tr w:rsidR="001C19F3" w14:paraId="1D3E8EA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FD9453" w14:textId="77777777" w:rsidR="001C19F3" w:rsidRDefault="001C19F3" w:rsidP="00521305">
            <w:pPr>
              <w:spacing w:before="40" w:after="40"/>
              <w:ind w:left="160" w:right="100"/>
            </w:pPr>
            <w:r>
              <w:rPr>
                <w:rFonts w:eastAsia="Century Gothic" w:cs="Century Gothic"/>
                <w:color w:val="000000"/>
                <w:sz w:val="18"/>
                <w:szCs w:val="18"/>
              </w:rPr>
              <w:t>Four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3011E4" w14:textId="77777777" w:rsidR="001C19F3" w:rsidRDefault="001C19F3" w:rsidP="00521305">
            <w:pPr>
              <w:spacing w:before="40" w:after="40"/>
              <w:ind w:left="100" w:right="100"/>
              <w:jc w:val="center"/>
            </w:pPr>
            <w:r>
              <w:rPr>
                <w:rFonts w:eastAsia="Century Gothic" w:cs="Century Gothic"/>
                <w:color w:val="000000"/>
                <w:sz w:val="18"/>
                <w:szCs w:val="18"/>
              </w:rPr>
              <w:t>436 (21.6%)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2B1439" w14:textId="77777777" w:rsidR="001C19F3" w:rsidRDefault="001C19F3" w:rsidP="00521305">
            <w:pPr>
              <w:spacing w:before="40" w:after="40"/>
              <w:ind w:left="100" w:right="100"/>
              <w:jc w:val="center"/>
            </w:pPr>
            <w:r>
              <w:rPr>
                <w:rFonts w:eastAsia="Century Gothic" w:cs="Century Gothic"/>
                <w:color w:val="000000"/>
                <w:sz w:val="18"/>
                <w:szCs w:val="18"/>
              </w:rPr>
              <w:t>98 (23.6%)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B3919F" w14:textId="77777777" w:rsidR="001C19F3" w:rsidRDefault="001C19F3" w:rsidP="00521305">
            <w:pPr>
              <w:spacing w:before="40" w:after="40"/>
              <w:ind w:left="100" w:right="100"/>
              <w:jc w:val="center"/>
            </w:pPr>
            <w:r>
              <w:rPr>
                <w:rFonts w:eastAsia="Century Gothic" w:cs="Century Gothic"/>
                <w:color w:val="000000"/>
                <w:sz w:val="18"/>
                <w:szCs w:val="18"/>
              </w:rPr>
              <w:t>338 (21.1%)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CE63C1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9CAC42" w14:textId="77777777" w:rsidR="001C19F3" w:rsidRDefault="001C19F3" w:rsidP="00521305">
            <w:pPr>
              <w:spacing w:before="40" w:after="40"/>
              <w:ind w:left="100" w:right="100"/>
              <w:jc w:val="center"/>
            </w:pPr>
            <w:r>
              <w:rPr>
                <w:rFonts w:eastAsia="Century Gothic" w:cs="Century Gothic"/>
                <w:color w:val="000000"/>
                <w:sz w:val="18"/>
                <w:szCs w:val="18"/>
              </w:rPr>
              <w:t>317 (21.4%)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89084A" w14:textId="77777777" w:rsidR="001C19F3" w:rsidRDefault="001C19F3" w:rsidP="00521305">
            <w:pPr>
              <w:spacing w:before="40" w:after="40"/>
              <w:ind w:left="100" w:right="100"/>
              <w:jc w:val="right"/>
            </w:pPr>
            <w:r>
              <w:rPr>
                <w:rFonts w:eastAsia="Century Gothic" w:cs="Century Gothic"/>
                <w:color w:val="000000"/>
                <w:sz w:val="18"/>
                <w:szCs w:val="18"/>
              </w:rPr>
              <w:t>61 (22.3%)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0FCE15" w14:textId="77777777" w:rsidR="001C19F3" w:rsidRDefault="001C19F3" w:rsidP="00521305">
            <w:pPr>
              <w:spacing w:before="40" w:after="40"/>
              <w:ind w:left="100" w:right="100"/>
              <w:jc w:val="right"/>
            </w:pPr>
            <w:r>
              <w:rPr>
                <w:rFonts w:eastAsia="Century Gothic" w:cs="Century Gothic"/>
                <w:color w:val="000000"/>
                <w:sz w:val="18"/>
                <w:szCs w:val="18"/>
              </w:rPr>
              <w:t>58 (21.9%)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D61D53F" w14:textId="77777777" w:rsidR="001C19F3" w:rsidRDefault="001C19F3" w:rsidP="00521305">
            <w:pPr>
              <w:spacing w:after="0"/>
              <w:rPr>
                <w:sz w:val="22"/>
              </w:rPr>
            </w:pPr>
          </w:p>
        </w:tc>
      </w:tr>
      <w:tr w:rsidR="001C19F3" w14:paraId="683AF05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F3826D" w14:textId="77777777" w:rsidR="001C19F3" w:rsidRDefault="001C19F3" w:rsidP="00521305">
            <w:pPr>
              <w:spacing w:before="40" w:after="40"/>
              <w:ind w:left="160" w:right="100"/>
            </w:pPr>
            <w:r>
              <w:rPr>
                <w:rFonts w:eastAsia="Century Gothic" w:cs="Century Gothic"/>
                <w:color w:val="000000"/>
                <w:sz w:val="18"/>
                <w:szCs w:val="18"/>
              </w:rPr>
              <w:t>Five or more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DF3656" w14:textId="77777777" w:rsidR="001C19F3" w:rsidRDefault="001C19F3" w:rsidP="00521305">
            <w:pPr>
              <w:spacing w:before="40" w:after="40"/>
              <w:ind w:left="100" w:right="100"/>
              <w:jc w:val="center"/>
            </w:pPr>
            <w:r>
              <w:rPr>
                <w:rFonts w:eastAsia="Century Gothic" w:cs="Century Gothic"/>
                <w:color w:val="000000"/>
                <w:sz w:val="18"/>
                <w:szCs w:val="18"/>
              </w:rPr>
              <w:t>560 (27.8%)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345790" w14:textId="77777777" w:rsidR="001C19F3" w:rsidRDefault="001C19F3" w:rsidP="00521305">
            <w:pPr>
              <w:spacing w:before="40" w:after="40"/>
              <w:ind w:left="100" w:right="100"/>
              <w:jc w:val="center"/>
            </w:pPr>
            <w:r>
              <w:rPr>
                <w:rFonts w:eastAsia="Century Gothic" w:cs="Century Gothic"/>
                <w:color w:val="000000"/>
                <w:sz w:val="18"/>
                <w:szCs w:val="18"/>
              </w:rPr>
              <w:t>131 (31.5%)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0FEC60" w14:textId="77777777" w:rsidR="001C19F3" w:rsidRDefault="001C19F3" w:rsidP="00521305">
            <w:pPr>
              <w:spacing w:before="40" w:after="40"/>
              <w:ind w:left="100" w:right="100"/>
              <w:jc w:val="center"/>
            </w:pPr>
            <w:r>
              <w:rPr>
                <w:rFonts w:eastAsia="Century Gothic" w:cs="Century Gothic"/>
                <w:color w:val="000000"/>
                <w:sz w:val="18"/>
                <w:szCs w:val="18"/>
              </w:rPr>
              <w:t>429 (26.8%)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DEC208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7B1A1" w14:textId="77777777" w:rsidR="001C19F3" w:rsidRDefault="001C19F3" w:rsidP="00521305">
            <w:pPr>
              <w:spacing w:before="40" w:after="40"/>
              <w:ind w:left="100" w:right="100"/>
              <w:jc w:val="center"/>
            </w:pPr>
            <w:r>
              <w:rPr>
                <w:rFonts w:eastAsia="Century Gothic" w:cs="Century Gothic"/>
                <w:color w:val="000000"/>
                <w:sz w:val="18"/>
                <w:szCs w:val="18"/>
              </w:rPr>
              <w:t>394 (26.6%)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56533D" w14:textId="77777777" w:rsidR="001C19F3" w:rsidRDefault="001C19F3" w:rsidP="00521305">
            <w:pPr>
              <w:spacing w:before="40" w:after="40"/>
              <w:ind w:left="100" w:right="100"/>
              <w:jc w:val="right"/>
            </w:pPr>
            <w:r>
              <w:rPr>
                <w:rFonts w:eastAsia="Century Gothic" w:cs="Century Gothic"/>
                <w:color w:val="000000"/>
                <w:sz w:val="18"/>
                <w:szCs w:val="18"/>
              </w:rPr>
              <w:t>75 (27.4%)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C43EA0" w14:textId="77777777" w:rsidR="001C19F3" w:rsidRDefault="001C19F3" w:rsidP="00521305">
            <w:pPr>
              <w:spacing w:before="40" w:after="40"/>
              <w:ind w:left="100" w:right="100"/>
              <w:jc w:val="right"/>
            </w:pPr>
            <w:r>
              <w:rPr>
                <w:rFonts w:eastAsia="Century Gothic" w:cs="Century Gothic"/>
                <w:color w:val="000000"/>
                <w:sz w:val="18"/>
                <w:szCs w:val="18"/>
              </w:rPr>
              <w:t>91 (34.3%)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FA35684" w14:textId="77777777" w:rsidR="001C19F3" w:rsidRDefault="001C19F3" w:rsidP="00521305">
            <w:pPr>
              <w:spacing w:after="0"/>
              <w:rPr>
                <w:sz w:val="22"/>
              </w:rPr>
            </w:pPr>
          </w:p>
        </w:tc>
      </w:tr>
      <w:tr w:rsidR="001C19F3" w14:paraId="45858C1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2383D6" w14:textId="77777777" w:rsidR="001C19F3" w:rsidRDefault="001C19F3" w:rsidP="00521305">
            <w:pPr>
              <w:spacing w:before="40" w:after="40"/>
              <w:ind w:left="100" w:right="100"/>
            </w:pPr>
            <w:r>
              <w:rPr>
                <w:rFonts w:eastAsia="Century Gothic" w:cs="Century Gothic"/>
                <w:b/>
                <w:color w:val="000000"/>
                <w:sz w:val="18"/>
                <w:szCs w:val="18"/>
              </w:rPr>
              <w:t>F04 Heart disease (Q22)</w:t>
            </w:r>
          </w:p>
        </w:tc>
      </w:tr>
      <w:tr w:rsidR="001C19F3" w14:paraId="1FEB481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5C6F61"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99CFB" w14:textId="77777777" w:rsidR="001C19F3" w:rsidRDefault="001C19F3" w:rsidP="00521305">
            <w:pPr>
              <w:spacing w:before="40" w:after="40"/>
              <w:ind w:left="100" w:right="100"/>
              <w:jc w:val="center"/>
            </w:pPr>
            <w:r>
              <w:rPr>
                <w:rFonts w:eastAsia="Century Gothic" w:cs="Century Gothic"/>
                <w:color w:val="000000"/>
                <w:sz w:val="18"/>
                <w:szCs w:val="18"/>
              </w:rPr>
              <w:t>653 (32.4%)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77FA43" w14:textId="77777777" w:rsidR="001C19F3" w:rsidRDefault="001C19F3" w:rsidP="00521305">
            <w:pPr>
              <w:spacing w:before="40" w:after="40"/>
              <w:ind w:left="100" w:right="100"/>
              <w:jc w:val="center"/>
            </w:pPr>
            <w:r>
              <w:rPr>
                <w:rFonts w:eastAsia="Century Gothic" w:cs="Century Gothic"/>
                <w:color w:val="000000"/>
                <w:sz w:val="18"/>
                <w:szCs w:val="18"/>
              </w:rPr>
              <w:t>138 (33.7%)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8B534" w14:textId="77777777" w:rsidR="001C19F3" w:rsidRDefault="001C19F3" w:rsidP="00521305">
            <w:pPr>
              <w:spacing w:before="40" w:after="40"/>
              <w:ind w:left="100" w:right="100"/>
              <w:jc w:val="center"/>
            </w:pPr>
            <w:r>
              <w:rPr>
                <w:rFonts w:eastAsia="Century Gothic" w:cs="Century Gothic"/>
                <w:color w:val="000000"/>
                <w:sz w:val="18"/>
                <w:szCs w:val="18"/>
              </w:rPr>
              <w:t>515 (32.9%)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DC7610" w14:textId="77777777" w:rsidR="001C19F3" w:rsidRDefault="001C19F3" w:rsidP="00521305">
            <w:pPr>
              <w:spacing w:before="40" w:after="40"/>
              <w:ind w:left="100" w:right="100"/>
              <w:jc w:val="center"/>
            </w:pPr>
            <w:r>
              <w:rPr>
                <w:rFonts w:eastAsia="Century Gothic" w:cs="Century Gothic"/>
                <w:color w:val="000000"/>
                <w:sz w:val="18"/>
                <w:szCs w:val="18"/>
              </w:rPr>
              <w:t>0.819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AA2C7E" w14:textId="77777777" w:rsidR="001C19F3" w:rsidRDefault="001C19F3" w:rsidP="00521305">
            <w:pPr>
              <w:spacing w:before="40" w:after="40"/>
              <w:ind w:left="100" w:right="100"/>
              <w:jc w:val="center"/>
            </w:pPr>
            <w:r>
              <w:rPr>
                <w:rFonts w:eastAsia="Century Gothic" w:cs="Century Gothic"/>
                <w:color w:val="000000"/>
                <w:sz w:val="18"/>
                <w:szCs w:val="18"/>
              </w:rPr>
              <w:t>469 (32.5%)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7987BC" w14:textId="77777777" w:rsidR="001C19F3" w:rsidRDefault="001C19F3" w:rsidP="00521305">
            <w:pPr>
              <w:spacing w:before="40" w:after="40"/>
              <w:ind w:left="100" w:right="100"/>
              <w:jc w:val="right"/>
            </w:pPr>
            <w:r>
              <w:rPr>
                <w:rFonts w:eastAsia="Century Gothic" w:cs="Century Gothic"/>
                <w:color w:val="000000"/>
                <w:sz w:val="18"/>
                <w:szCs w:val="18"/>
              </w:rPr>
              <w:t>82 (30.5%)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590659" w14:textId="77777777" w:rsidR="001C19F3" w:rsidRDefault="001C19F3" w:rsidP="00521305">
            <w:pPr>
              <w:spacing w:before="40" w:after="40"/>
              <w:ind w:left="100" w:right="100"/>
              <w:jc w:val="right"/>
            </w:pPr>
            <w:r>
              <w:rPr>
                <w:rFonts w:eastAsia="Century Gothic" w:cs="Century Gothic"/>
                <w:color w:val="000000"/>
                <w:sz w:val="18"/>
                <w:szCs w:val="18"/>
              </w:rPr>
              <w:t>102 (38.9%)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555002" w14:textId="77777777" w:rsidR="001C19F3" w:rsidRDefault="001C19F3" w:rsidP="00521305">
            <w:pPr>
              <w:spacing w:before="40" w:after="40"/>
              <w:ind w:left="100" w:right="100"/>
              <w:jc w:val="right"/>
            </w:pPr>
            <w:r>
              <w:rPr>
                <w:rFonts w:eastAsia="Century Gothic" w:cs="Century Gothic"/>
                <w:color w:val="000000"/>
                <w:sz w:val="18"/>
                <w:szCs w:val="18"/>
              </w:rPr>
              <w:t>0.078</w:t>
            </w:r>
          </w:p>
        </w:tc>
      </w:tr>
      <w:tr w:rsidR="001C19F3" w14:paraId="4F97FD0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39CC2A"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5A1C01" w14:textId="77777777" w:rsidR="001C19F3" w:rsidRDefault="001C19F3" w:rsidP="00521305">
            <w:pPr>
              <w:spacing w:before="40" w:after="40"/>
              <w:ind w:left="100" w:right="100"/>
              <w:jc w:val="center"/>
            </w:pPr>
            <w:r>
              <w:rPr>
                <w:rFonts w:eastAsia="Century Gothic" w:cs="Century Gothic"/>
                <w:color w:val="000000"/>
                <w:sz w:val="18"/>
                <w:szCs w:val="18"/>
              </w:rPr>
              <w:t>1,322 (65.5%)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14DC4" w14:textId="77777777" w:rsidR="001C19F3" w:rsidRDefault="001C19F3" w:rsidP="00521305">
            <w:pPr>
              <w:spacing w:before="40" w:after="40"/>
              <w:ind w:left="100" w:right="100"/>
              <w:jc w:val="center"/>
            </w:pPr>
            <w:r>
              <w:rPr>
                <w:rFonts w:eastAsia="Century Gothic" w:cs="Century Gothic"/>
                <w:color w:val="000000"/>
                <w:sz w:val="18"/>
                <w:szCs w:val="18"/>
              </w:rPr>
              <w:t>272 (66.3%)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415EA1" w14:textId="77777777" w:rsidR="001C19F3" w:rsidRDefault="001C19F3" w:rsidP="00521305">
            <w:pPr>
              <w:spacing w:before="40" w:after="40"/>
              <w:ind w:left="100" w:right="100"/>
              <w:jc w:val="center"/>
            </w:pPr>
            <w:r>
              <w:rPr>
                <w:rFonts w:eastAsia="Century Gothic" w:cs="Century Gothic"/>
                <w:color w:val="000000"/>
                <w:sz w:val="18"/>
                <w:szCs w:val="18"/>
              </w:rPr>
              <w:t>1,050 (67.1%)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1D7F4D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D9D333" w14:textId="77777777" w:rsidR="001C19F3" w:rsidRDefault="001C19F3" w:rsidP="00521305">
            <w:pPr>
              <w:spacing w:before="40" w:after="40"/>
              <w:ind w:left="100" w:right="100"/>
              <w:jc w:val="center"/>
            </w:pPr>
            <w:r>
              <w:rPr>
                <w:rFonts w:eastAsia="Century Gothic" w:cs="Century Gothic"/>
                <w:color w:val="000000"/>
                <w:sz w:val="18"/>
                <w:szCs w:val="18"/>
              </w:rPr>
              <w:t>975 (67.5%)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880A3F" w14:textId="77777777" w:rsidR="001C19F3" w:rsidRDefault="001C19F3" w:rsidP="00521305">
            <w:pPr>
              <w:spacing w:before="40" w:after="40"/>
              <w:ind w:left="100" w:right="100"/>
              <w:jc w:val="right"/>
            </w:pPr>
            <w:r>
              <w:rPr>
                <w:rFonts w:eastAsia="Century Gothic" w:cs="Century Gothic"/>
                <w:color w:val="000000"/>
                <w:sz w:val="18"/>
                <w:szCs w:val="18"/>
              </w:rPr>
              <w:t>187 (69.5%)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DC7A4" w14:textId="77777777" w:rsidR="001C19F3" w:rsidRDefault="001C19F3" w:rsidP="00521305">
            <w:pPr>
              <w:spacing w:before="40" w:after="40"/>
              <w:ind w:left="100" w:right="100"/>
              <w:jc w:val="right"/>
            </w:pPr>
            <w:r>
              <w:rPr>
                <w:rFonts w:eastAsia="Century Gothic" w:cs="Century Gothic"/>
                <w:color w:val="000000"/>
                <w:sz w:val="18"/>
                <w:szCs w:val="18"/>
              </w:rPr>
              <w:t>160 (61.1%)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6E08D42" w14:textId="77777777" w:rsidR="001C19F3" w:rsidRDefault="001C19F3" w:rsidP="00521305">
            <w:pPr>
              <w:spacing w:after="0"/>
              <w:rPr>
                <w:sz w:val="22"/>
              </w:rPr>
            </w:pPr>
          </w:p>
        </w:tc>
      </w:tr>
      <w:tr w:rsidR="001C19F3" w14:paraId="326811F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D316D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20F8E7" w14:textId="77777777" w:rsidR="001C19F3" w:rsidRDefault="001C19F3" w:rsidP="00521305">
            <w:pPr>
              <w:spacing w:before="40" w:after="40"/>
              <w:ind w:left="100" w:right="100"/>
              <w:jc w:val="center"/>
            </w:pPr>
            <w:r>
              <w:rPr>
                <w:rFonts w:eastAsia="Century Gothic" w:cs="Century Gothic"/>
                <w:color w:val="000000"/>
                <w:sz w:val="18"/>
                <w:szCs w:val="18"/>
              </w:rPr>
              <w:t>43 (2.1%)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F9568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78B9F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82AD3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3B0BB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3C4583"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43A5FB"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435D89" w14:textId="77777777" w:rsidR="001C19F3" w:rsidRDefault="001C19F3" w:rsidP="00521305">
            <w:pPr>
              <w:spacing w:before="40" w:after="40"/>
              <w:ind w:left="100" w:right="100"/>
              <w:jc w:val="right"/>
            </w:pPr>
          </w:p>
        </w:tc>
      </w:tr>
      <w:tr w:rsidR="001C19F3" w14:paraId="6EF9175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85BEE4" w14:textId="77777777" w:rsidR="001C19F3" w:rsidRDefault="001C19F3" w:rsidP="00521305">
            <w:pPr>
              <w:spacing w:before="40" w:after="40"/>
              <w:ind w:left="100" w:right="100"/>
            </w:pPr>
            <w:r>
              <w:rPr>
                <w:rFonts w:eastAsia="Century Gothic" w:cs="Century Gothic"/>
                <w:b/>
                <w:color w:val="000000"/>
                <w:sz w:val="18"/>
                <w:szCs w:val="18"/>
              </w:rPr>
              <w:t>F05 Stroke (includes mini strokes, TIA, aneurisms) (Q22)</w:t>
            </w:r>
          </w:p>
        </w:tc>
      </w:tr>
      <w:tr w:rsidR="001C19F3" w14:paraId="586B230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0DDEF"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4F13BB" w14:textId="77777777" w:rsidR="001C19F3" w:rsidRDefault="001C19F3" w:rsidP="00521305">
            <w:pPr>
              <w:spacing w:before="40" w:after="40"/>
              <w:ind w:left="100" w:right="100"/>
              <w:jc w:val="center"/>
            </w:pPr>
            <w:r>
              <w:rPr>
                <w:rFonts w:eastAsia="Century Gothic" w:cs="Century Gothic"/>
                <w:color w:val="000000"/>
                <w:sz w:val="18"/>
                <w:szCs w:val="18"/>
              </w:rPr>
              <w:t>216 (10.7%)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4DB15" w14:textId="77777777" w:rsidR="001C19F3" w:rsidRDefault="001C19F3" w:rsidP="00521305">
            <w:pPr>
              <w:spacing w:before="40" w:after="40"/>
              <w:ind w:left="100" w:right="100"/>
              <w:jc w:val="center"/>
            </w:pPr>
            <w:r>
              <w:rPr>
                <w:rFonts w:eastAsia="Century Gothic" w:cs="Century Gothic"/>
                <w:color w:val="000000"/>
                <w:sz w:val="18"/>
                <w:szCs w:val="18"/>
              </w:rPr>
              <w:t>63 (15.2%)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4568B4" w14:textId="77777777" w:rsidR="001C19F3" w:rsidRDefault="001C19F3" w:rsidP="00521305">
            <w:pPr>
              <w:spacing w:before="40" w:after="40"/>
              <w:ind w:left="100" w:right="100"/>
              <w:jc w:val="center"/>
            </w:pPr>
            <w:r>
              <w:rPr>
                <w:rFonts w:eastAsia="Century Gothic" w:cs="Century Gothic"/>
                <w:color w:val="000000"/>
                <w:sz w:val="18"/>
                <w:szCs w:val="18"/>
              </w:rPr>
              <w:t>153 (9.6%)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CEA471" w14:textId="77777777" w:rsidR="001C19F3" w:rsidRDefault="001C19F3" w:rsidP="00521305">
            <w:pPr>
              <w:spacing w:before="40" w:after="40"/>
              <w:ind w:left="100" w:right="100"/>
              <w:jc w:val="center"/>
            </w:pPr>
            <w:r>
              <w:rPr>
                <w:rFonts w:eastAsia="Century Gothic" w:cs="Century Gothic"/>
                <w:color w:val="000000"/>
                <w:sz w:val="18"/>
                <w:szCs w:val="18"/>
              </w:rPr>
              <w:t>0.002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878859" w14:textId="77777777" w:rsidR="001C19F3" w:rsidRDefault="001C19F3" w:rsidP="00521305">
            <w:pPr>
              <w:spacing w:before="40" w:after="40"/>
              <w:ind w:left="100" w:right="100"/>
              <w:jc w:val="center"/>
            </w:pPr>
            <w:r>
              <w:rPr>
                <w:rFonts w:eastAsia="Century Gothic" w:cs="Century Gothic"/>
                <w:color w:val="000000"/>
                <w:sz w:val="18"/>
                <w:szCs w:val="18"/>
              </w:rPr>
              <w:t>146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869D90" w14:textId="77777777" w:rsidR="001C19F3" w:rsidRDefault="001C19F3" w:rsidP="00521305">
            <w:pPr>
              <w:spacing w:before="40" w:after="40"/>
              <w:ind w:left="100" w:right="100"/>
              <w:jc w:val="right"/>
            </w:pPr>
            <w:r>
              <w:rPr>
                <w:rFonts w:eastAsia="Century Gothic" w:cs="Century Gothic"/>
                <w:color w:val="000000"/>
                <w:sz w:val="18"/>
                <w:szCs w:val="18"/>
              </w:rPr>
              <w:t>37 (13.6%)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579858" w14:textId="77777777" w:rsidR="001C19F3" w:rsidRDefault="001C19F3" w:rsidP="00521305">
            <w:pPr>
              <w:spacing w:before="40" w:after="40"/>
              <w:ind w:left="100" w:right="100"/>
              <w:jc w:val="right"/>
            </w:pPr>
            <w:r>
              <w:rPr>
                <w:rFonts w:eastAsia="Century Gothic" w:cs="Century Gothic"/>
                <w:color w:val="000000"/>
                <w:sz w:val="18"/>
                <w:szCs w:val="18"/>
              </w:rPr>
              <w:t>33 (12.5%)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7C4B8C" w14:textId="77777777" w:rsidR="001C19F3" w:rsidRDefault="001C19F3" w:rsidP="00521305">
            <w:pPr>
              <w:spacing w:before="40" w:after="40"/>
              <w:ind w:left="100" w:right="100"/>
              <w:jc w:val="right"/>
            </w:pPr>
            <w:r>
              <w:rPr>
                <w:rFonts w:eastAsia="Century Gothic" w:cs="Century Gothic"/>
                <w:color w:val="000000"/>
                <w:sz w:val="18"/>
                <w:szCs w:val="18"/>
              </w:rPr>
              <w:t>0.128</w:t>
            </w:r>
          </w:p>
        </w:tc>
      </w:tr>
      <w:tr w:rsidR="001C19F3" w14:paraId="4FA78E8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2CD131"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61F701" w14:textId="77777777" w:rsidR="001C19F3" w:rsidRDefault="001C19F3" w:rsidP="00521305">
            <w:pPr>
              <w:spacing w:before="40" w:after="40"/>
              <w:ind w:left="100" w:right="100"/>
              <w:jc w:val="center"/>
            </w:pPr>
            <w:r>
              <w:rPr>
                <w:rFonts w:eastAsia="Century Gothic" w:cs="Century Gothic"/>
                <w:color w:val="000000"/>
                <w:sz w:val="18"/>
                <w:szCs w:val="18"/>
              </w:rPr>
              <w:t>1,787 (88.6%)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4DAFA9" w14:textId="77777777" w:rsidR="001C19F3" w:rsidRDefault="001C19F3" w:rsidP="00521305">
            <w:pPr>
              <w:spacing w:before="40" w:after="40"/>
              <w:ind w:left="100" w:right="100"/>
              <w:jc w:val="center"/>
            </w:pPr>
            <w:r>
              <w:rPr>
                <w:rFonts w:eastAsia="Century Gothic" w:cs="Century Gothic"/>
                <w:color w:val="000000"/>
                <w:sz w:val="18"/>
                <w:szCs w:val="18"/>
              </w:rPr>
              <w:t>352 (84.8%)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58DF7A" w14:textId="77777777" w:rsidR="001C19F3" w:rsidRDefault="001C19F3" w:rsidP="00521305">
            <w:pPr>
              <w:spacing w:before="40" w:after="40"/>
              <w:ind w:left="100" w:right="100"/>
              <w:jc w:val="center"/>
            </w:pPr>
            <w:r>
              <w:rPr>
                <w:rFonts w:eastAsia="Century Gothic" w:cs="Century Gothic"/>
                <w:color w:val="000000"/>
                <w:sz w:val="18"/>
                <w:szCs w:val="18"/>
              </w:rPr>
              <w:t>1,435 (90.4%)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82398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64464" w14:textId="77777777" w:rsidR="001C19F3" w:rsidRDefault="001C19F3" w:rsidP="00521305">
            <w:pPr>
              <w:spacing w:before="40" w:after="40"/>
              <w:ind w:left="100" w:right="100"/>
              <w:jc w:val="center"/>
            </w:pPr>
            <w:r>
              <w:rPr>
                <w:rFonts w:eastAsia="Century Gothic" w:cs="Century Gothic"/>
                <w:color w:val="000000"/>
                <w:sz w:val="18"/>
                <w:szCs w:val="18"/>
              </w:rPr>
              <w:t>1,321 (90.0%)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DA8153" w14:textId="77777777" w:rsidR="001C19F3" w:rsidRDefault="001C19F3" w:rsidP="00521305">
            <w:pPr>
              <w:spacing w:before="40" w:after="40"/>
              <w:ind w:left="100" w:right="100"/>
              <w:jc w:val="right"/>
            </w:pPr>
            <w:r>
              <w:rPr>
                <w:rFonts w:eastAsia="Century Gothic" w:cs="Century Gothic"/>
                <w:color w:val="000000"/>
                <w:sz w:val="18"/>
                <w:szCs w:val="18"/>
              </w:rPr>
              <w:t>235 (86.4%)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A0348D" w14:textId="77777777" w:rsidR="001C19F3" w:rsidRDefault="001C19F3" w:rsidP="00521305">
            <w:pPr>
              <w:spacing w:before="40" w:after="40"/>
              <w:ind w:left="100" w:right="100"/>
              <w:jc w:val="right"/>
            </w:pPr>
            <w:r>
              <w:rPr>
                <w:rFonts w:eastAsia="Century Gothic" w:cs="Century Gothic"/>
                <w:color w:val="000000"/>
                <w:sz w:val="18"/>
                <w:szCs w:val="18"/>
              </w:rPr>
              <w:t>231 (87.5%)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F0CF88A" w14:textId="77777777" w:rsidR="001C19F3" w:rsidRDefault="001C19F3" w:rsidP="00521305">
            <w:pPr>
              <w:spacing w:after="0"/>
              <w:rPr>
                <w:sz w:val="22"/>
              </w:rPr>
            </w:pPr>
          </w:p>
        </w:tc>
      </w:tr>
      <w:tr w:rsidR="001C19F3" w14:paraId="6D6E00B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13234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3C9BDA" w14:textId="77777777" w:rsidR="001C19F3" w:rsidRDefault="001C19F3" w:rsidP="00521305">
            <w:pPr>
              <w:spacing w:before="40" w:after="40"/>
              <w:ind w:left="100" w:right="100"/>
              <w:jc w:val="center"/>
            </w:pPr>
            <w:r>
              <w:rPr>
                <w:rFonts w:eastAsia="Century Gothic" w:cs="Century Gothic"/>
                <w:color w:val="000000"/>
                <w:sz w:val="18"/>
                <w:szCs w:val="18"/>
              </w:rPr>
              <w:t>15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33E43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C7131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33E53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EC7D7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9610F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15288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BF7166" w14:textId="77777777" w:rsidR="001C19F3" w:rsidRDefault="001C19F3" w:rsidP="00521305">
            <w:pPr>
              <w:spacing w:before="40" w:after="40"/>
              <w:ind w:left="100" w:right="100"/>
              <w:jc w:val="right"/>
            </w:pPr>
          </w:p>
        </w:tc>
      </w:tr>
      <w:tr w:rsidR="001C19F3" w14:paraId="6E46A18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1D4757" w14:textId="77777777" w:rsidR="001C19F3" w:rsidRDefault="001C19F3" w:rsidP="00521305">
            <w:pPr>
              <w:spacing w:before="40" w:after="40"/>
              <w:ind w:left="100" w:right="100"/>
            </w:pPr>
            <w:r>
              <w:rPr>
                <w:rFonts w:eastAsia="Century Gothic" w:cs="Century Gothic"/>
                <w:b/>
                <w:color w:val="000000"/>
                <w:sz w:val="18"/>
                <w:szCs w:val="18"/>
              </w:rPr>
              <w:t>F06 Cancer (includes skin cancer)(Q22)</w:t>
            </w:r>
          </w:p>
        </w:tc>
      </w:tr>
      <w:tr w:rsidR="001C19F3" w14:paraId="1B210C2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B0B355"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C8956" w14:textId="77777777" w:rsidR="001C19F3" w:rsidRDefault="001C19F3" w:rsidP="00521305">
            <w:pPr>
              <w:spacing w:before="40" w:after="40"/>
              <w:ind w:left="100" w:right="100"/>
              <w:jc w:val="center"/>
            </w:pPr>
            <w:r>
              <w:rPr>
                <w:rFonts w:eastAsia="Century Gothic" w:cs="Century Gothic"/>
                <w:color w:val="000000"/>
                <w:sz w:val="18"/>
                <w:szCs w:val="18"/>
              </w:rPr>
              <w:t>490 (24.3%)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8D90B2" w14:textId="77777777" w:rsidR="001C19F3" w:rsidRDefault="001C19F3" w:rsidP="00521305">
            <w:pPr>
              <w:spacing w:before="40" w:after="40"/>
              <w:ind w:left="100" w:right="100"/>
              <w:jc w:val="center"/>
            </w:pPr>
            <w:r>
              <w:rPr>
                <w:rFonts w:eastAsia="Century Gothic" w:cs="Century Gothic"/>
                <w:color w:val="000000"/>
                <w:sz w:val="18"/>
                <w:szCs w:val="18"/>
              </w:rPr>
              <w:t>105 (25.4%)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F4B815" w14:textId="77777777" w:rsidR="001C19F3" w:rsidRDefault="001C19F3" w:rsidP="00521305">
            <w:pPr>
              <w:spacing w:before="40" w:after="40"/>
              <w:ind w:left="100" w:right="100"/>
              <w:jc w:val="center"/>
            </w:pPr>
            <w:r>
              <w:rPr>
                <w:rFonts w:eastAsia="Century Gothic" w:cs="Century Gothic"/>
                <w:color w:val="000000"/>
                <w:sz w:val="18"/>
                <w:szCs w:val="18"/>
              </w:rPr>
              <w:t>385 (24.2%)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6D90B" w14:textId="77777777" w:rsidR="001C19F3" w:rsidRDefault="001C19F3" w:rsidP="00521305">
            <w:pPr>
              <w:spacing w:before="40" w:after="40"/>
              <w:ind w:left="100" w:right="100"/>
              <w:jc w:val="center"/>
            </w:pPr>
            <w:r>
              <w:rPr>
                <w:rFonts w:eastAsia="Century Gothic" w:cs="Century Gothic"/>
                <w:color w:val="000000"/>
                <w:sz w:val="18"/>
                <w:szCs w:val="18"/>
              </w:rPr>
              <w:t>0.651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01458D" w14:textId="77777777" w:rsidR="001C19F3" w:rsidRDefault="001C19F3" w:rsidP="00521305">
            <w:pPr>
              <w:spacing w:before="40" w:after="40"/>
              <w:ind w:left="100" w:right="100"/>
              <w:jc w:val="center"/>
            </w:pPr>
            <w:r>
              <w:rPr>
                <w:rFonts w:eastAsia="Century Gothic" w:cs="Century Gothic"/>
                <w:color w:val="000000"/>
                <w:sz w:val="18"/>
                <w:szCs w:val="18"/>
              </w:rPr>
              <w:t>364 (24.8%)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D601CC" w14:textId="77777777" w:rsidR="001C19F3" w:rsidRDefault="001C19F3" w:rsidP="00521305">
            <w:pPr>
              <w:spacing w:before="40" w:after="40"/>
              <w:ind w:left="100" w:right="100"/>
              <w:jc w:val="right"/>
            </w:pPr>
            <w:r>
              <w:rPr>
                <w:rFonts w:eastAsia="Century Gothic" w:cs="Century Gothic"/>
                <w:color w:val="000000"/>
                <w:sz w:val="18"/>
                <w:szCs w:val="18"/>
              </w:rPr>
              <w:t>64 (23.8%)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0FC533" w14:textId="77777777" w:rsidR="001C19F3" w:rsidRDefault="001C19F3" w:rsidP="00521305">
            <w:pPr>
              <w:spacing w:before="40" w:after="40"/>
              <w:ind w:left="100" w:right="100"/>
              <w:jc w:val="right"/>
            </w:pPr>
            <w:r>
              <w:rPr>
                <w:rFonts w:eastAsia="Century Gothic" w:cs="Century Gothic"/>
                <w:color w:val="000000"/>
                <w:sz w:val="18"/>
                <w:szCs w:val="18"/>
              </w:rPr>
              <w:t>62 (23.4%)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0D2A6B" w14:textId="77777777" w:rsidR="001C19F3" w:rsidRDefault="001C19F3" w:rsidP="00521305">
            <w:pPr>
              <w:spacing w:before="40" w:after="40"/>
              <w:ind w:left="100" w:right="100"/>
              <w:jc w:val="right"/>
            </w:pPr>
            <w:r>
              <w:rPr>
                <w:rFonts w:eastAsia="Century Gothic" w:cs="Century Gothic"/>
                <w:color w:val="000000"/>
                <w:sz w:val="18"/>
                <w:szCs w:val="18"/>
              </w:rPr>
              <w:t>0.861</w:t>
            </w:r>
          </w:p>
        </w:tc>
      </w:tr>
      <w:tr w:rsidR="001C19F3" w14:paraId="1F5A117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DB5635" w14:textId="77777777" w:rsidR="001C19F3" w:rsidRDefault="001C19F3" w:rsidP="00521305">
            <w:pPr>
              <w:spacing w:before="40" w:after="40"/>
              <w:ind w:left="160" w:right="100"/>
            </w:pPr>
            <w:r>
              <w:rPr>
                <w:rFonts w:eastAsia="Century Gothic" w:cs="Century Gothic"/>
                <w:color w:val="000000"/>
                <w:sz w:val="18"/>
                <w:szCs w:val="18"/>
              </w:rPr>
              <w:lastRenderedPageBreak/>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8711A3" w14:textId="77777777" w:rsidR="001C19F3" w:rsidRDefault="001C19F3" w:rsidP="00521305">
            <w:pPr>
              <w:spacing w:before="40" w:after="40"/>
              <w:ind w:left="100" w:right="100"/>
              <w:jc w:val="center"/>
            </w:pPr>
            <w:r>
              <w:rPr>
                <w:rFonts w:eastAsia="Century Gothic" w:cs="Century Gothic"/>
                <w:color w:val="000000"/>
                <w:sz w:val="18"/>
                <w:szCs w:val="18"/>
              </w:rPr>
              <w:t>1,514 (75.0%)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BC60A6" w14:textId="77777777" w:rsidR="001C19F3" w:rsidRDefault="001C19F3" w:rsidP="00521305">
            <w:pPr>
              <w:spacing w:before="40" w:after="40"/>
              <w:ind w:left="100" w:right="100"/>
              <w:jc w:val="center"/>
            </w:pPr>
            <w:r>
              <w:rPr>
                <w:rFonts w:eastAsia="Century Gothic" w:cs="Century Gothic"/>
                <w:color w:val="000000"/>
                <w:sz w:val="18"/>
                <w:szCs w:val="18"/>
              </w:rPr>
              <w:t>308 (74.6%)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D49041" w14:textId="77777777" w:rsidR="001C19F3" w:rsidRDefault="001C19F3" w:rsidP="00521305">
            <w:pPr>
              <w:spacing w:before="40" w:after="40"/>
              <w:ind w:left="100" w:right="100"/>
              <w:jc w:val="center"/>
            </w:pPr>
            <w:r>
              <w:rPr>
                <w:rFonts w:eastAsia="Century Gothic" w:cs="Century Gothic"/>
                <w:color w:val="000000"/>
                <w:sz w:val="18"/>
                <w:szCs w:val="18"/>
              </w:rPr>
              <w:t>1,206 (75.8%)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8AEE02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DB4B5C" w14:textId="77777777" w:rsidR="001C19F3" w:rsidRDefault="001C19F3" w:rsidP="00521305">
            <w:pPr>
              <w:spacing w:before="40" w:after="40"/>
              <w:ind w:left="100" w:right="100"/>
              <w:jc w:val="center"/>
            </w:pPr>
            <w:r>
              <w:rPr>
                <w:rFonts w:eastAsia="Century Gothic" w:cs="Century Gothic"/>
                <w:color w:val="000000"/>
                <w:sz w:val="18"/>
                <w:szCs w:val="18"/>
              </w:rPr>
              <w:t>1,106 (75.2%)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E6CB8F" w14:textId="77777777" w:rsidR="001C19F3" w:rsidRDefault="001C19F3" w:rsidP="00521305">
            <w:pPr>
              <w:spacing w:before="40" w:after="40"/>
              <w:ind w:left="100" w:right="100"/>
              <w:jc w:val="right"/>
            </w:pPr>
            <w:r>
              <w:rPr>
                <w:rFonts w:eastAsia="Century Gothic" w:cs="Century Gothic"/>
                <w:color w:val="000000"/>
                <w:sz w:val="18"/>
                <w:szCs w:val="18"/>
              </w:rPr>
              <w:t>205 (76.2%)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1BFD33" w14:textId="77777777" w:rsidR="001C19F3" w:rsidRDefault="001C19F3" w:rsidP="00521305">
            <w:pPr>
              <w:spacing w:before="40" w:after="40"/>
              <w:ind w:left="100" w:right="100"/>
              <w:jc w:val="right"/>
            </w:pPr>
            <w:r>
              <w:rPr>
                <w:rFonts w:eastAsia="Century Gothic" w:cs="Century Gothic"/>
                <w:color w:val="000000"/>
                <w:sz w:val="18"/>
                <w:szCs w:val="18"/>
              </w:rPr>
              <w:t>203 (76.6%)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BCD559C" w14:textId="77777777" w:rsidR="001C19F3" w:rsidRDefault="001C19F3" w:rsidP="00521305">
            <w:pPr>
              <w:spacing w:after="0"/>
              <w:rPr>
                <w:sz w:val="22"/>
              </w:rPr>
            </w:pPr>
          </w:p>
        </w:tc>
      </w:tr>
      <w:tr w:rsidR="001C19F3" w14:paraId="05A4700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5D1397"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C57061" w14:textId="77777777" w:rsidR="001C19F3" w:rsidRDefault="001C19F3" w:rsidP="00521305">
            <w:pPr>
              <w:spacing w:before="40" w:after="40"/>
              <w:ind w:left="100" w:right="100"/>
              <w:jc w:val="center"/>
            </w:pPr>
            <w:r>
              <w:rPr>
                <w:rFonts w:eastAsia="Century Gothic" w:cs="Century Gothic"/>
                <w:color w:val="000000"/>
                <w:sz w:val="18"/>
                <w:szCs w:val="18"/>
              </w:rPr>
              <w:t>14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7521F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A5BE3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7E9BE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2F734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66A23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6A0AFF"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34AB82" w14:textId="77777777" w:rsidR="001C19F3" w:rsidRDefault="001C19F3" w:rsidP="00521305">
            <w:pPr>
              <w:spacing w:before="40" w:after="40"/>
              <w:ind w:left="100" w:right="100"/>
              <w:jc w:val="right"/>
            </w:pPr>
          </w:p>
        </w:tc>
      </w:tr>
      <w:tr w:rsidR="001C19F3" w14:paraId="5878E52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6A48D6" w14:textId="77777777" w:rsidR="001C19F3" w:rsidRDefault="001C19F3" w:rsidP="00521305">
            <w:pPr>
              <w:spacing w:before="40" w:after="40"/>
              <w:ind w:left="100" w:right="100"/>
            </w:pPr>
            <w:r>
              <w:rPr>
                <w:rFonts w:eastAsia="Century Gothic" w:cs="Century Gothic"/>
                <w:b/>
                <w:color w:val="000000"/>
                <w:sz w:val="18"/>
                <w:szCs w:val="18"/>
              </w:rPr>
              <w:t>F07 Osteoporosis(Q22)</w:t>
            </w:r>
          </w:p>
        </w:tc>
      </w:tr>
      <w:tr w:rsidR="001C19F3" w14:paraId="4DBDFAA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FADCFC"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FC79A7" w14:textId="77777777" w:rsidR="001C19F3" w:rsidRDefault="001C19F3" w:rsidP="00521305">
            <w:pPr>
              <w:spacing w:before="40" w:after="40"/>
              <w:ind w:left="100" w:right="100"/>
              <w:jc w:val="center"/>
            </w:pPr>
            <w:r>
              <w:rPr>
                <w:rFonts w:eastAsia="Century Gothic" w:cs="Century Gothic"/>
                <w:color w:val="000000"/>
                <w:sz w:val="18"/>
                <w:szCs w:val="18"/>
              </w:rPr>
              <w:t>495 (24.5%)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D3C7CB" w14:textId="77777777" w:rsidR="001C19F3" w:rsidRDefault="001C19F3" w:rsidP="00521305">
            <w:pPr>
              <w:spacing w:before="40" w:after="40"/>
              <w:ind w:left="100" w:right="100"/>
              <w:jc w:val="center"/>
            </w:pPr>
            <w:r>
              <w:rPr>
                <w:rFonts w:eastAsia="Century Gothic" w:cs="Century Gothic"/>
                <w:color w:val="000000"/>
                <w:sz w:val="18"/>
                <w:szCs w:val="18"/>
              </w:rPr>
              <w:t>110 (27.1%)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A4A591" w14:textId="77777777" w:rsidR="001C19F3" w:rsidRDefault="001C19F3" w:rsidP="00521305">
            <w:pPr>
              <w:spacing w:before="40" w:after="40"/>
              <w:ind w:left="100" w:right="100"/>
              <w:jc w:val="center"/>
            </w:pPr>
            <w:r>
              <w:rPr>
                <w:rFonts w:eastAsia="Century Gothic" w:cs="Century Gothic"/>
                <w:color w:val="000000"/>
                <w:sz w:val="18"/>
                <w:szCs w:val="18"/>
              </w:rPr>
              <w:t>385 (24.6%)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7077F3" w14:textId="77777777" w:rsidR="001C19F3" w:rsidRDefault="001C19F3" w:rsidP="00521305">
            <w:pPr>
              <w:spacing w:before="40" w:after="40"/>
              <w:ind w:left="100" w:right="100"/>
              <w:jc w:val="center"/>
            </w:pPr>
            <w:r>
              <w:rPr>
                <w:rFonts w:eastAsia="Century Gothic" w:cs="Century Gothic"/>
                <w:color w:val="000000"/>
                <w:sz w:val="18"/>
                <w:szCs w:val="18"/>
              </w:rPr>
              <w:t>0.340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B6A209" w14:textId="77777777" w:rsidR="001C19F3" w:rsidRDefault="001C19F3" w:rsidP="00521305">
            <w:pPr>
              <w:spacing w:before="40" w:after="40"/>
              <w:ind w:left="100" w:right="100"/>
              <w:jc w:val="center"/>
            </w:pPr>
            <w:r>
              <w:rPr>
                <w:rFonts w:eastAsia="Century Gothic" w:cs="Century Gothic"/>
                <w:color w:val="000000"/>
                <w:sz w:val="18"/>
                <w:szCs w:val="18"/>
              </w:rPr>
              <w:t>368 (25.4%)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72F761" w14:textId="77777777" w:rsidR="001C19F3" w:rsidRDefault="001C19F3" w:rsidP="00521305">
            <w:pPr>
              <w:spacing w:before="40" w:after="40"/>
              <w:ind w:left="100" w:right="100"/>
              <w:jc w:val="right"/>
            </w:pPr>
            <w:r>
              <w:rPr>
                <w:rFonts w:eastAsia="Century Gothic" w:cs="Century Gothic"/>
                <w:color w:val="000000"/>
                <w:sz w:val="18"/>
                <w:szCs w:val="18"/>
              </w:rPr>
              <w:t>57 (21.5%)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9225B" w14:textId="77777777" w:rsidR="001C19F3" w:rsidRDefault="001C19F3" w:rsidP="00521305">
            <w:pPr>
              <w:spacing w:before="40" w:after="40"/>
              <w:ind w:left="100" w:right="100"/>
              <w:jc w:val="right"/>
            </w:pPr>
            <w:r>
              <w:rPr>
                <w:rFonts w:eastAsia="Century Gothic" w:cs="Century Gothic"/>
                <w:color w:val="000000"/>
                <w:sz w:val="18"/>
                <w:szCs w:val="18"/>
              </w:rPr>
              <w:t>70 (27.3%)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F7A692" w14:textId="77777777" w:rsidR="001C19F3" w:rsidRDefault="001C19F3" w:rsidP="00521305">
            <w:pPr>
              <w:spacing w:before="40" w:after="40"/>
              <w:ind w:left="100" w:right="100"/>
              <w:jc w:val="right"/>
            </w:pPr>
            <w:r>
              <w:rPr>
                <w:rFonts w:eastAsia="Century Gothic" w:cs="Century Gothic"/>
                <w:color w:val="000000"/>
                <w:sz w:val="18"/>
                <w:szCs w:val="18"/>
              </w:rPr>
              <w:t>0.276</w:t>
            </w:r>
          </w:p>
        </w:tc>
      </w:tr>
      <w:tr w:rsidR="001C19F3" w14:paraId="267E72F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549FC"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340B4F" w14:textId="77777777" w:rsidR="001C19F3" w:rsidRDefault="001C19F3" w:rsidP="00521305">
            <w:pPr>
              <w:spacing w:before="40" w:after="40"/>
              <w:ind w:left="100" w:right="100"/>
              <w:jc w:val="center"/>
            </w:pPr>
            <w:r>
              <w:rPr>
                <w:rFonts w:eastAsia="Century Gothic" w:cs="Century Gothic"/>
                <w:color w:val="000000"/>
                <w:sz w:val="18"/>
                <w:szCs w:val="18"/>
              </w:rPr>
              <w:t>1,474 (73.0%)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A2A978" w14:textId="77777777" w:rsidR="001C19F3" w:rsidRDefault="001C19F3" w:rsidP="00521305">
            <w:pPr>
              <w:spacing w:before="40" w:after="40"/>
              <w:ind w:left="100" w:right="100"/>
              <w:jc w:val="center"/>
            </w:pPr>
            <w:r>
              <w:rPr>
                <w:rFonts w:eastAsia="Century Gothic" w:cs="Century Gothic"/>
                <w:color w:val="000000"/>
                <w:sz w:val="18"/>
                <w:szCs w:val="18"/>
              </w:rPr>
              <w:t>296 (72.9%)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C3D48" w14:textId="77777777" w:rsidR="001C19F3" w:rsidRDefault="001C19F3" w:rsidP="00521305">
            <w:pPr>
              <w:spacing w:before="40" w:after="40"/>
              <w:ind w:left="100" w:right="100"/>
              <w:jc w:val="center"/>
            </w:pPr>
            <w:r>
              <w:rPr>
                <w:rFonts w:eastAsia="Century Gothic" w:cs="Century Gothic"/>
                <w:color w:val="000000"/>
                <w:sz w:val="18"/>
                <w:szCs w:val="18"/>
              </w:rPr>
              <w:t>1,178 (75.4%)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2D7C11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1718DF" w14:textId="77777777" w:rsidR="001C19F3" w:rsidRDefault="001C19F3" w:rsidP="00521305">
            <w:pPr>
              <w:spacing w:before="40" w:after="40"/>
              <w:ind w:left="100" w:right="100"/>
              <w:jc w:val="center"/>
            </w:pPr>
            <w:r>
              <w:rPr>
                <w:rFonts w:eastAsia="Century Gothic" w:cs="Century Gothic"/>
                <w:color w:val="000000"/>
                <w:sz w:val="18"/>
                <w:szCs w:val="18"/>
              </w:rPr>
              <w:t>1,080 (74.6%)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21FF7A" w14:textId="77777777" w:rsidR="001C19F3" w:rsidRDefault="001C19F3" w:rsidP="00521305">
            <w:pPr>
              <w:spacing w:before="40" w:after="40"/>
              <w:ind w:left="100" w:right="100"/>
              <w:jc w:val="right"/>
            </w:pPr>
            <w:r>
              <w:rPr>
                <w:rFonts w:eastAsia="Century Gothic" w:cs="Century Gothic"/>
                <w:color w:val="000000"/>
                <w:sz w:val="18"/>
                <w:szCs w:val="18"/>
              </w:rPr>
              <w:t>208 (78.5%)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52A457" w14:textId="77777777" w:rsidR="001C19F3" w:rsidRDefault="001C19F3" w:rsidP="00521305">
            <w:pPr>
              <w:spacing w:before="40" w:after="40"/>
              <w:ind w:left="100" w:right="100"/>
              <w:jc w:val="right"/>
            </w:pPr>
            <w:r>
              <w:rPr>
                <w:rFonts w:eastAsia="Century Gothic" w:cs="Century Gothic"/>
                <w:color w:val="000000"/>
                <w:sz w:val="18"/>
                <w:szCs w:val="18"/>
              </w:rPr>
              <w:t>186 (72.7%)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F778035" w14:textId="77777777" w:rsidR="001C19F3" w:rsidRDefault="001C19F3" w:rsidP="00521305">
            <w:pPr>
              <w:spacing w:after="0"/>
              <w:rPr>
                <w:sz w:val="22"/>
              </w:rPr>
            </w:pPr>
          </w:p>
        </w:tc>
      </w:tr>
      <w:tr w:rsidR="001C19F3" w14:paraId="5B9D63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0CE4AA"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AD286B" w14:textId="77777777" w:rsidR="001C19F3" w:rsidRDefault="001C19F3" w:rsidP="00521305">
            <w:pPr>
              <w:spacing w:before="40" w:after="40"/>
              <w:ind w:left="100" w:right="100"/>
              <w:jc w:val="center"/>
            </w:pPr>
            <w:r>
              <w:rPr>
                <w:rFonts w:eastAsia="Century Gothic" w:cs="Century Gothic"/>
                <w:color w:val="000000"/>
                <w:sz w:val="18"/>
                <w:szCs w:val="18"/>
              </w:rPr>
              <w:t>49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F488D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3225E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E3DBB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6FDC8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6D29D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EA4F4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EF5504" w14:textId="77777777" w:rsidR="001C19F3" w:rsidRDefault="001C19F3" w:rsidP="00521305">
            <w:pPr>
              <w:spacing w:before="40" w:after="40"/>
              <w:ind w:left="100" w:right="100"/>
              <w:jc w:val="right"/>
            </w:pPr>
          </w:p>
        </w:tc>
      </w:tr>
      <w:tr w:rsidR="001C19F3" w14:paraId="26A87C7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01F889" w14:textId="77777777" w:rsidR="001C19F3" w:rsidRDefault="001C19F3" w:rsidP="00521305">
            <w:pPr>
              <w:spacing w:before="40" w:after="40"/>
              <w:ind w:left="100" w:right="100"/>
            </w:pPr>
            <w:r>
              <w:rPr>
                <w:rFonts w:eastAsia="Century Gothic" w:cs="Century Gothic"/>
                <w:b/>
                <w:color w:val="000000"/>
                <w:sz w:val="18"/>
                <w:szCs w:val="18"/>
              </w:rPr>
              <w:t>F08 Depression or anxiety(Q22)</w:t>
            </w:r>
          </w:p>
        </w:tc>
      </w:tr>
      <w:tr w:rsidR="001C19F3" w14:paraId="2D6E55E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BB626E"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BBEC34" w14:textId="77777777" w:rsidR="001C19F3" w:rsidRDefault="001C19F3" w:rsidP="00521305">
            <w:pPr>
              <w:spacing w:before="40" w:after="40"/>
              <w:ind w:left="100" w:right="100"/>
              <w:jc w:val="center"/>
            </w:pPr>
            <w:r>
              <w:rPr>
                <w:rFonts w:eastAsia="Century Gothic" w:cs="Century Gothic"/>
                <w:color w:val="000000"/>
                <w:sz w:val="18"/>
                <w:szCs w:val="18"/>
              </w:rPr>
              <w:t>828 (41.0%)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61635A" w14:textId="77777777" w:rsidR="001C19F3" w:rsidRDefault="001C19F3" w:rsidP="00521305">
            <w:pPr>
              <w:spacing w:before="40" w:after="40"/>
              <w:ind w:left="100" w:right="100"/>
              <w:jc w:val="center"/>
            </w:pPr>
            <w:r>
              <w:rPr>
                <w:rFonts w:eastAsia="Century Gothic" w:cs="Century Gothic"/>
                <w:color w:val="000000"/>
                <w:sz w:val="18"/>
                <w:szCs w:val="18"/>
              </w:rPr>
              <w:t>161 (38.8%)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2D5315" w14:textId="77777777" w:rsidR="001C19F3" w:rsidRDefault="001C19F3" w:rsidP="00521305">
            <w:pPr>
              <w:spacing w:before="40" w:after="40"/>
              <w:ind w:left="100" w:right="100"/>
              <w:jc w:val="center"/>
            </w:pPr>
            <w:r>
              <w:rPr>
                <w:rFonts w:eastAsia="Century Gothic" w:cs="Century Gothic"/>
                <w:color w:val="000000"/>
                <w:sz w:val="18"/>
                <w:szCs w:val="18"/>
              </w:rPr>
              <w:t>667 (42.0%)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908DF" w14:textId="77777777" w:rsidR="001C19F3" w:rsidRDefault="001C19F3" w:rsidP="00521305">
            <w:pPr>
              <w:spacing w:before="40" w:after="40"/>
              <w:ind w:left="100" w:right="100"/>
              <w:jc w:val="center"/>
            </w:pPr>
            <w:r>
              <w:rPr>
                <w:rFonts w:eastAsia="Century Gothic" w:cs="Century Gothic"/>
                <w:color w:val="000000"/>
                <w:sz w:val="18"/>
                <w:szCs w:val="18"/>
              </w:rPr>
              <w:t>0.264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362E5A" w14:textId="77777777" w:rsidR="001C19F3" w:rsidRDefault="001C19F3" w:rsidP="00521305">
            <w:pPr>
              <w:spacing w:before="40" w:after="40"/>
              <w:ind w:left="100" w:right="100"/>
              <w:jc w:val="center"/>
            </w:pPr>
            <w:r>
              <w:rPr>
                <w:rFonts w:eastAsia="Century Gothic" w:cs="Century Gothic"/>
                <w:color w:val="000000"/>
                <w:sz w:val="18"/>
                <w:szCs w:val="18"/>
              </w:rPr>
              <w:t>593 (40.4%)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9CF647" w14:textId="77777777" w:rsidR="001C19F3" w:rsidRDefault="001C19F3" w:rsidP="00521305">
            <w:pPr>
              <w:spacing w:before="40" w:after="40"/>
              <w:ind w:left="100" w:right="100"/>
              <w:jc w:val="right"/>
            </w:pPr>
            <w:r>
              <w:rPr>
                <w:rFonts w:eastAsia="Century Gothic" w:cs="Century Gothic"/>
                <w:color w:val="000000"/>
                <w:sz w:val="18"/>
                <w:szCs w:val="18"/>
              </w:rPr>
              <w:t>122 (44.9%)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A0FBDA" w14:textId="77777777" w:rsidR="001C19F3" w:rsidRDefault="001C19F3" w:rsidP="00521305">
            <w:pPr>
              <w:spacing w:before="40" w:after="40"/>
              <w:ind w:left="100" w:right="100"/>
              <w:jc w:val="right"/>
            </w:pPr>
            <w:r>
              <w:rPr>
                <w:rFonts w:eastAsia="Century Gothic" w:cs="Century Gothic"/>
                <w:color w:val="000000"/>
                <w:sz w:val="18"/>
                <w:szCs w:val="18"/>
              </w:rPr>
              <w:t>113 (43.0%)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EAAFFE" w14:textId="77777777" w:rsidR="001C19F3" w:rsidRDefault="001C19F3" w:rsidP="00521305">
            <w:pPr>
              <w:spacing w:before="40" w:after="40"/>
              <w:ind w:left="100" w:right="100"/>
              <w:jc w:val="right"/>
            </w:pPr>
            <w:r>
              <w:rPr>
                <w:rFonts w:eastAsia="Century Gothic" w:cs="Century Gothic"/>
                <w:color w:val="000000"/>
                <w:sz w:val="18"/>
                <w:szCs w:val="18"/>
              </w:rPr>
              <w:t>0.326</w:t>
            </w:r>
          </w:p>
        </w:tc>
      </w:tr>
      <w:tr w:rsidR="001C19F3" w14:paraId="6427A65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E336D7"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BBDCD4" w14:textId="77777777" w:rsidR="001C19F3" w:rsidRDefault="001C19F3" w:rsidP="00521305">
            <w:pPr>
              <w:spacing w:before="40" w:after="40"/>
              <w:ind w:left="100" w:right="100"/>
              <w:jc w:val="center"/>
            </w:pPr>
            <w:r>
              <w:rPr>
                <w:rFonts w:eastAsia="Century Gothic" w:cs="Century Gothic"/>
                <w:color w:val="000000"/>
                <w:sz w:val="18"/>
                <w:szCs w:val="18"/>
              </w:rPr>
              <w:t>1,176 (58.3%)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137B45" w14:textId="77777777" w:rsidR="001C19F3" w:rsidRDefault="001C19F3" w:rsidP="00521305">
            <w:pPr>
              <w:spacing w:before="40" w:after="40"/>
              <w:ind w:left="100" w:right="100"/>
              <w:jc w:val="center"/>
            </w:pPr>
            <w:r>
              <w:rPr>
                <w:rFonts w:eastAsia="Century Gothic" w:cs="Century Gothic"/>
                <w:color w:val="000000"/>
                <w:sz w:val="18"/>
                <w:szCs w:val="18"/>
              </w:rPr>
              <w:t>254 (61.2%)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6CE022" w14:textId="77777777" w:rsidR="001C19F3" w:rsidRDefault="001C19F3" w:rsidP="00521305">
            <w:pPr>
              <w:spacing w:before="40" w:after="40"/>
              <w:ind w:left="100" w:right="100"/>
              <w:jc w:val="center"/>
            </w:pPr>
            <w:r>
              <w:rPr>
                <w:rFonts w:eastAsia="Century Gothic" w:cs="Century Gothic"/>
                <w:color w:val="000000"/>
                <w:sz w:val="18"/>
                <w:szCs w:val="18"/>
              </w:rPr>
              <w:t>922 (58.0%)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ADF389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89DFB5" w14:textId="77777777" w:rsidR="001C19F3" w:rsidRDefault="001C19F3" w:rsidP="00521305">
            <w:pPr>
              <w:spacing w:before="40" w:after="40"/>
              <w:ind w:left="100" w:right="100"/>
              <w:jc w:val="center"/>
            </w:pPr>
            <w:r>
              <w:rPr>
                <w:rFonts w:eastAsia="Century Gothic" w:cs="Century Gothic"/>
                <w:color w:val="000000"/>
                <w:sz w:val="18"/>
                <w:szCs w:val="18"/>
              </w:rPr>
              <w:t>876 (59.6%)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57CBBE" w14:textId="77777777" w:rsidR="001C19F3" w:rsidRDefault="001C19F3" w:rsidP="00521305">
            <w:pPr>
              <w:spacing w:before="40" w:after="40"/>
              <w:ind w:left="100" w:right="100"/>
              <w:jc w:val="right"/>
            </w:pPr>
            <w:r>
              <w:rPr>
                <w:rFonts w:eastAsia="Century Gothic" w:cs="Century Gothic"/>
                <w:color w:val="000000"/>
                <w:sz w:val="18"/>
                <w:szCs w:val="18"/>
              </w:rPr>
              <w:t>150 (55.1%)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2FF937" w14:textId="77777777" w:rsidR="001C19F3" w:rsidRDefault="001C19F3" w:rsidP="00521305">
            <w:pPr>
              <w:spacing w:before="40" w:after="40"/>
              <w:ind w:left="100" w:right="100"/>
              <w:jc w:val="right"/>
            </w:pPr>
            <w:r>
              <w:rPr>
                <w:rFonts w:eastAsia="Century Gothic" w:cs="Century Gothic"/>
                <w:color w:val="000000"/>
                <w:sz w:val="18"/>
                <w:szCs w:val="18"/>
              </w:rPr>
              <w:t>150 (57.0%)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6786781" w14:textId="77777777" w:rsidR="001C19F3" w:rsidRDefault="001C19F3" w:rsidP="00521305">
            <w:pPr>
              <w:spacing w:after="0"/>
              <w:rPr>
                <w:sz w:val="22"/>
              </w:rPr>
            </w:pPr>
          </w:p>
        </w:tc>
      </w:tr>
      <w:tr w:rsidR="001C19F3" w14:paraId="578CF3B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262A34"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2E06BA" w14:textId="77777777" w:rsidR="001C19F3" w:rsidRDefault="001C19F3" w:rsidP="00521305">
            <w:pPr>
              <w:spacing w:before="40" w:after="40"/>
              <w:ind w:left="100" w:right="100"/>
              <w:jc w:val="center"/>
            </w:pPr>
            <w:r>
              <w:rPr>
                <w:rFonts w:eastAsia="Century Gothic" w:cs="Century Gothic"/>
                <w:color w:val="000000"/>
                <w:sz w:val="18"/>
                <w:szCs w:val="18"/>
              </w:rPr>
              <w:t>14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C4CE6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2E640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BF9BD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CA24E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F77D2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8A027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8D3DE9" w14:textId="77777777" w:rsidR="001C19F3" w:rsidRDefault="001C19F3" w:rsidP="00521305">
            <w:pPr>
              <w:spacing w:before="40" w:after="40"/>
              <w:ind w:left="100" w:right="100"/>
              <w:jc w:val="right"/>
            </w:pPr>
          </w:p>
        </w:tc>
      </w:tr>
      <w:tr w:rsidR="001C19F3" w14:paraId="7B27E42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6E14FC" w14:textId="77777777" w:rsidR="001C19F3" w:rsidRDefault="001C19F3" w:rsidP="00521305">
            <w:pPr>
              <w:spacing w:before="40" w:after="40"/>
              <w:ind w:left="100" w:right="100"/>
            </w:pPr>
            <w:r>
              <w:rPr>
                <w:rFonts w:eastAsia="Century Gothic" w:cs="Century Gothic"/>
                <w:b/>
                <w:color w:val="000000"/>
                <w:sz w:val="18"/>
                <w:szCs w:val="18"/>
              </w:rPr>
              <w:t>F09 Arthritis(Q22)</w:t>
            </w:r>
          </w:p>
        </w:tc>
      </w:tr>
      <w:tr w:rsidR="001C19F3" w14:paraId="5A9E752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68BFDA"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94E8A3" w14:textId="77777777" w:rsidR="001C19F3" w:rsidRDefault="001C19F3" w:rsidP="00521305">
            <w:pPr>
              <w:spacing w:before="40" w:after="40"/>
              <w:ind w:left="100" w:right="100"/>
              <w:jc w:val="center"/>
            </w:pPr>
            <w:r>
              <w:rPr>
                <w:rFonts w:eastAsia="Century Gothic" w:cs="Century Gothic"/>
                <w:color w:val="000000"/>
                <w:sz w:val="18"/>
                <w:szCs w:val="18"/>
              </w:rPr>
              <w:t>1,170 (58.0%)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AD71E8" w14:textId="77777777" w:rsidR="001C19F3" w:rsidRDefault="001C19F3" w:rsidP="00521305">
            <w:pPr>
              <w:spacing w:before="40" w:after="40"/>
              <w:ind w:left="100" w:right="100"/>
              <w:jc w:val="center"/>
            </w:pPr>
            <w:r>
              <w:rPr>
                <w:rFonts w:eastAsia="Century Gothic" w:cs="Century Gothic"/>
                <w:color w:val="000000"/>
                <w:sz w:val="18"/>
                <w:szCs w:val="18"/>
              </w:rPr>
              <w:t>259 (62.6%)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F7B011" w14:textId="77777777" w:rsidR="001C19F3" w:rsidRDefault="001C19F3" w:rsidP="00521305">
            <w:pPr>
              <w:spacing w:before="40" w:after="40"/>
              <w:ind w:left="100" w:right="100"/>
              <w:jc w:val="center"/>
            </w:pPr>
            <w:r>
              <w:rPr>
                <w:rFonts w:eastAsia="Century Gothic" w:cs="Century Gothic"/>
                <w:color w:val="000000"/>
                <w:sz w:val="18"/>
                <w:szCs w:val="18"/>
              </w:rPr>
              <w:t>911 (57.5%)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2A58DC" w14:textId="77777777" w:rsidR="001C19F3" w:rsidRDefault="001C19F3" w:rsidP="00521305">
            <w:pPr>
              <w:spacing w:before="40" w:after="40"/>
              <w:ind w:left="100" w:right="100"/>
              <w:jc w:val="center"/>
            </w:pPr>
            <w:r>
              <w:rPr>
                <w:rFonts w:eastAsia="Century Gothic" w:cs="Century Gothic"/>
                <w:color w:val="000000"/>
                <w:sz w:val="18"/>
                <w:szCs w:val="18"/>
              </w:rPr>
              <w:t>0.072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9FE435" w14:textId="77777777" w:rsidR="001C19F3" w:rsidRDefault="001C19F3" w:rsidP="00521305">
            <w:pPr>
              <w:spacing w:before="40" w:after="40"/>
              <w:ind w:left="100" w:right="100"/>
              <w:jc w:val="center"/>
            </w:pPr>
            <w:r>
              <w:rPr>
                <w:rFonts w:eastAsia="Century Gothic" w:cs="Century Gothic"/>
                <w:color w:val="000000"/>
                <w:sz w:val="18"/>
                <w:szCs w:val="18"/>
              </w:rPr>
              <w:t>833 (56.9%)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2C1DC" w14:textId="77777777" w:rsidR="001C19F3" w:rsidRDefault="001C19F3" w:rsidP="00521305">
            <w:pPr>
              <w:spacing w:before="40" w:after="40"/>
              <w:ind w:left="100" w:right="100"/>
              <w:jc w:val="right"/>
            </w:pPr>
            <w:r>
              <w:rPr>
                <w:rFonts w:eastAsia="Century Gothic" w:cs="Century Gothic"/>
                <w:color w:val="000000"/>
                <w:sz w:val="18"/>
                <w:szCs w:val="18"/>
              </w:rPr>
              <w:t>162 (59.3%)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D3F162" w14:textId="77777777" w:rsidR="001C19F3" w:rsidRDefault="001C19F3" w:rsidP="00521305">
            <w:pPr>
              <w:spacing w:before="40" w:after="40"/>
              <w:ind w:left="100" w:right="100"/>
              <w:jc w:val="right"/>
            </w:pPr>
            <w:r>
              <w:rPr>
                <w:rFonts w:eastAsia="Century Gothic" w:cs="Century Gothic"/>
                <w:color w:val="000000"/>
                <w:sz w:val="18"/>
                <w:szCs w:val="18"/>
              </w:rPr>
              <w:t>175 (67.3%)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E01BFD" w14:textId="77777777" w:rsidR="001C19F3" w:rsidRDefault="001C19F3" w:rsidP="00521305">
            <w:pPr>
              <w:spacing w:before="40" w:after="40"/>
              <w:ind w:left="100" w:right="100"/>
              <w:jc w:val="right"/>
            </w:pPr>
            <w:r>
              <w:rPr>
                <w:rFonts w:eastAsia="Century Gothic" w:cs="Century Gothic"/>
                <w:color w:val="000000"/>
                <w:sz w:val="18"/>
                <w:szCs w:val="18"/>
              </w:rPr>
              <w:t>0.007</w:t>
            </w:r>
          </w:p>
        </w:tc>
      </w:tr>
      <w:tr w:rsidR="001C19F3" w14:paraId="7958069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013482"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4822D0" w14:textId="77777777" w:rsidR="001C19F3" w:rsidRDefault="001C19F3" w:rsidP="00521305">
            <w:pPr>
              <w:spacing w:before="40" w:after="40"/>
              <w:ind w:left="100" w:right="100"/>
              <w:jc w:val="center"/>
            </w:pPr>
            <w:r>
              <w:rPr>
                <w:rFonts w:eastAsia="Century Gothic" w:cs="Century Gothic"/>
                <w:color w:val="000000"/>
                <w:sz w:val="18"/>
                <w:szCs w:val="18"/>
              </w:rPr>
              <w:t>828 (41.0%)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6C5942" w14:textId="77777777" w:rsidR="001C19F3" w:rsidRDefault="001C19F3" w:rsidP="00521305">
            <w:pPr>
              <w:spacing w:before="40" w:after="40"/>
              <w:ind w:left="100" w:right="100"/>
              <w:jc w:val="center"/>
            </w:pPr>
            <w:r>
              <w:rPr>
                <w:rFonts w:eastAsia="Century Gothic" w:cs="Century Gothic"/>
                <w:color w:val="000000"/>
                <w:sz w:val="18"/>
                <w:szCs w:val="18"/>
              </w:rPr>
              <w:t>155 (37.4%)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A90EB1" w14:textId="77777777" w:rsidR="001C19F3" w:rsidRDefault="001C19F3" w:rsidP="00521305">
            <w:pPr>
              <w:spacing w:before="40" w:after="40"/>
              <w:ind w:left="100" w:right="100"/>
              <w:jc w:val="center"/>
            </w:pPr>
            <w:r>
              <w:rPr>
                <w:rFonts w:eastAsia="Century Gothic" w:cs="Century Gothic"/>
                <w:color w:val="000000"/>
                <w:sz w:val="18"/>
                <w:szCs w:val="18"/>
              </w:rPr>
              <w:t>673 (42.5%)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EA594B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46DFFC" w14:textId="77777777" w:rsidR="001C19F3" w:rsidRDefault="001C19F3" w:rsidP="00521305">
            <w:pPr>
              <w:spacing w:before="40" w:after="40"/>
              <w:ind w:left="100" w:right="100"/>
              <w:jc w:val="center"/>
            </w:pPr>
            <w:r>
              <w:rPr>
                <w:rFonts w:eastAsia="Century Gothic" w:cs="Century Gothic"/>
                <w:color w:val="000000"/>
                <w:sz w:val="18"/>
                <w:szCs w:val="18"/>
              </w:rPr>
              <w:t>632 (43.1%)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0BA6AF" w14:textId="77777777" w:rsidR="001C19F3" w:rsidRDefault="001C19F3" w:rsidP="00521305">
            <w:pPr>
              <w:spacing w:before="40" w:after="40"/>
              <w:ind w:left="100" w:right="100"/>
              <w:jc w:val="right"/>
            </w:pPr>
            <w:r>
              <w:rPr>
                <w:rFonts w:eastAsia="Century Gothic" w:cs="Century Gothic"/>
                <w:color w:val="000000"/>
                <w:sz w:val="18"/>
                <w:szCs w:val="18"/>
              </w:rPr>
              <w:t>111 (40.7%)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63CC5" w14:textId="77777777" w:rsidR="001C19F3" w:rsidRDefault="001C19F3" w:rsidP="00521305">
            <w:pPr>
              <w:spacing w:before="40" w:after="40"/>
              <w:ind w:left="100" w:right="100"/>
              <w:jc w:val="right"/>
            </w:pPr>
            <w:r>
              <w:rPr>
                <w:rFonts w:eastAsia="Century Gothic" w:cs="Century Gothic"/>
                <w:color w:val="000000"/>
                <w:sz w:val="18"/>
                <w:szCs w:val="18"/>
              </w:rPr>
              <w:t>85 (32.7%)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56506C" w14:textId="77777777" w:rsidR="001C19F3" w:rsidRDefault="001C19F3" w:rsidP="00521305">
            <w:pPr>
              <w:spacing w:after="0"/>
              <w:rPr>
                <w:sz w:val="22"/>
              </w:rPr>
            </w:pPr>
          </w:p>
        </w:tc>
      </w:tr>
      <w:tr w:rsidR="001C19F3" w14:paraId="02FEB1D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00BF85"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C018DF" w14:textId="77777777" w:rsidR="001C19F3" w:rsidRDefault="001C19F3" w:rsidP="00521305">
            <w:pPr>
              <w:spacing w:before="40" w:after="40"/>
              <w:ind w:left="100" w:right="100"/>
              <w:jc w:val="center"/>
            </w:pPr>
            <w:r>
              <w:rPr>
                <w:rFonts w:eastAsia="Century Gothic" w:cs="Century Gothic"/>
                <w:color w:val="000000"/>
                <w:sz w:val="18"/>
                <w:szCs w:val="18"/>
              </w:rPr>
              <w:t>20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870EC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4E09F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E0E1E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475C5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AD83F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AB795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5AA87D" w14:textId="77777777" w:rsidR="001C19F3" w:rsidRDefault="001C19F3" w:rsidP="00521305">
            <w:pPr>
              <w:spacing w:before="40" w:after="40"/>
              <w:ind w:left="100" w:right="100"/>
              <w:jc w:val="right"/>
            </w:pPr>
          </w:p>
        </w:tc>
      </w:tr>
      <w:tr w:rsidR="001C19F3" w14:paraId="323FC3C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F9EE81" w14:textId="77777777" w:rsidR="001C19F3" w:rsidRDefault="001C19F3" w:rsidP="00521305">
            <w:pPr>
              <w:spacing w:before="40" w:after="40"/>
              <w:ind w:left="100" w:right="100"/>
            </w:pPr>
            <w:r>
              <w:rPr>
                <w:rFonts w:eastAsia="Century Gothic" w:cs="Century Gothic"/>
                <w:b/>
                <w:color w:val="000000"/>
                <w:sz w:val="18"/>
                <w:szCs w:val="18"/>
              </w:rPr>
              <w:t>F10 Diabetes(Q22)</w:t>
            </w:r>
          </w:p>
        </w:tc>
      </w:tr>
      <w:tr w:rsidR="001C19F3" w14:paraId="04B8C0C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476078"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4CC2FE" w14:textId="77777777" w:rsidR="001C19F3" w:rsidRDefault="001C19F3" w:rsidP="00521305">
            <w:pPr>
              <w:spacing w:before="40" w:after="40"/>
              <w:ind w:left="100" w:right="100"/>
              <w:jc w:val="center"/>
            </w:pPr>
            <w:r>
              <w:rPr>
                <w:rFonts w:eastAsia="Century Gothic" w:cs="Century Gothic"/>
                <w:color w:val="000000"/>
                <w:sz w:val="18"/>
                <w:szCs w:val="18"/>
              </w:rPr>
              <w:t>703 (34.8%)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E17D97" w14:textId="77777777" w:rsidR="001C19F3" w:rsidRDefault="001C19F3" w:rsidP="00521305">
            <w:pPr>
              <w:spacing w:before="40" w:after="40"/>
              <w:ind w:left="100" w:right="100"/>
              <w:jc w:val="center"/>
            </w:pPr>
            <w:r>
              <w:rPr>
                <w:rFonts w:eastAsia="Century Gothic" w:cs="Century Gothic"/>
                <w:color w:val="000000"/>
                <w:sz w:val="18"/>
                <w:szCs w:val="18"/>
              </w:rPr>
              <w:t>164 (39.4%)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9BD250" w14:textId="77777777" w:rsidR="001C19F3" w:rsidRDefault="001C19F3" w:rsidP="00521305">
            <w:pPr>
              <w:spacing w:before="40" w:after="40"/>
              <w:ind w:left="100" w:right="100"/>
              <w:jc w:val="center"/>
            </w:pPr>
            <w:r>
              <w:rPr>
                <w:rFonts w:eastAsia="Century Gothic" w:cs="Century Gothic"/>
                <w:color w:val="000000"/>
                <w:sz w:val="18"/>
                <w:szCs w:val="18"/>
              </w:rPr>
              <w:t>539 (33.9%)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E01358" w14:textId="77777777" w:rsidR="001C19F3" w:rsidRDefault="001C19F3" w:rsidP="00521305">
            <w:pPr>
              <w:spacing w:before="40" w:after="40"/>
              <w:ind w:left="100" w:right="100"/>
              <w:jc w:val="center"/>
            </w:pPr>
            <w:r>
              <w:rPr>
                <w:rFonts w:eastAsia="Century Gothic" w:cs="Century Gothic"/>
                <w:color w:val="000000"/>
                <w:sz w:val="18"/>
                <w:szCs w:val="18"/>
              </w:rPr>
              <w:t>0.039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52C6FF" w14:textId="77777777" w:rsidR="001C19F3" w:rsidRDefault="001C19F3" w:rsidP="00521305">
            <w:pPr>
              <w:spacing w:before="40" w:after="40"/>
              <w:ind w:left="100" w:right="100"/>
              <w:jc w:val="center"/>
            </w:pPr>
            <w:r>
              <w:rPr>
                <w:rFonts w:eastAsia="Century Gothic" w:cs="Century Gothic"/>
                <w:color w:val="000000"/>
                <w:sz w:val="18"/>
                <w:szCs w:val="18"/>
              </w:rPr>
              <w:t>515 (35.0%)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A90F0A" w14:textId="77777777" w:rsidR="001C19F3" w:rsidRDefault="001C19F3" w:rsidP="00521305">
            <w:pPr>
              <w:spacing w:before="40" w:after="40"/>
              <w:ind w:left="100" w:right="100"/>
              <w:jc w:val="right"/>
            </w:pPr>
            <w:r>
              <w:rPr>
                <w:rFonts w:eastAsia="Century Gothic" w:cs="Century Gothic"/>
                <w:color w:val="000000"/>
                <w:sz w:val="18"/>
                <w:szCs w:val="18"/>
              </w:rPr>
              <w:t>93 (34.2%)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B2A36A" w14:textId="77777777" w:rsidR="001C19F3" w:rsidRDefault="001C19F3" w:rsidP="00521305">
            <w:pPr>
              <w:spacing w:before="40" w:after="40"/>
              <w:ind w:left="100" w:right="100"/>
              <w:jc w:val="right"/>
            </w:pPr>
            <w:r>
              <w:rPr>
                <w:rFonts w:eastAsia="Century Gothic" w:cs="Century Gothic"/>
                <w:color w:val="000000"/>
                <w:sz w:val="18"/>
                <w:szCs w:val="18"/>
              </w:rPr>
              <w:t>95 (36.0%)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33D67F" w14:textId="77777777" w:rsidR="001C19F3" w:rsidRDefault="001C19F3" w:rsidP="00521305">
            <w:pPr>
              <w:spacing w:before="40" w:after="40"/>
              <w:ind w:left="100" w:right="100"/>
              <w:jc w:val="right"/>
            </w:pPr>
            <w:r>
              <w:rPr>
                <w:rFonts w:eastAsia="Century Gothic" w:cs="Century Gothic"/>
                <w:color w:val="000000"/>
                <w:sz w:val="18"/>
                <w:szCs w:val="18"/>
              </w:rPr>
              <w:t>0.909</w:t>
            </w:r>
          </w:p>
        </w:tc>
      </w:tr>
      <w:tr w:rsidR="001C19F3" w14:paraId="50817F1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C912D9"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E4E646" w14:textId="77777777" w:rsidR="001C19F3" w:rsidRDefault="001C19F3" w:rsidP="00521305">
            <w:pPr>
              <w:spacing w:before="40" w:after="40"/>
              <w:ind w:left="100" w:right="100"/>
              <w:jc w:val="center"/>
            </w:pPr>
            <w:r>
              <w:rPr>
                <w:rFonts w:eastAsia="Century Gothic" w:cs="Century Gothic"/>
                <w:color w:val="000000"/>
                <w:sz w:val="18"/>
                <w:szCs w:val="18"/>
              </w:rPr>
              <w:t>1,305 (64.7%)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62E44B" w14:textId="77777777" w:rsidR="001C19F3" w:rsidRDefault="001C19F3" w:rsidP="00521305">
            <w:pPr>
              <w:spacing w:before="40" w:after="40"/>
              <w:ind w:left="100" w:right="100"/>
              <w:jc w:val="center"/>
            </w:pPr>
            <w:r>
              <w:rPr>
                <w:rFonts w:eastAsia="Century Gothic" w:cs="Century Gothic"/>
                <w:color w:val="000000"/>
                <w:sz w:val="18"/>
                <w:szCs w:val="18"/>
              </w:rPr>
              <w:t>252 (60.6%)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DCFB6C" w14:textId="77777777" w:rsidR="001C19F3" w:rsidRDefault="001C19F3" w:rsidP="00521305">
            <w:pPr>
              <w:spacing w:before="40" w:after="40"/>
              <w:ind w:left="100" w:right="100"/>
              <w:jc w:val="center"/>
            </w:pPr>
            <w:r>
              <w:rPr>
                <w:rFonts w:eastAsia="Century Gothic" w:cs="Century Gothic"/>
                <w:color w:val="000000"/>
                <w:sz w:val="18"/>
                <w:szCs w:val="18"/>
              </w:rPr>
              <w:t>1,053 (66.1%)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6A6207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388B51" w14:textId="77777777" w:rsidR="001C19F3" w:rsidRDefault="001C19F3" w:rsidP="00521305">
            <w:pPr>
              <w:spacing w:before="40" w:after="40"/>
              <w:ind w:left="100" w:right="100"/>
              <w:jc w:val="center"/>
            </w:pPr>
            <w:r>
              <w:rPr>
                <w:rFonts w:eastAsia="Century Gothic" w:cs="Century Gothic"/>
                <w:color w:val="000000"/>
                <w:sz w:val="18"/>
                <w:szCs w:val="18"/>
              </w:rPr>
              <w:t>957 (65.0%)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454F3C" w14:textId="77777777" w:rsidR="001C19F3" w:rsidRDefault="001C19F3" w:rsidP="00521305">
            <w:pPr>
              <w:spacing w:before="40" w:after="40"/>
              <w:ind w:left="100" w:right="100"/>
              <w:jc w:val="right"/>
            </w:pPr>
            <w:r>
              <w:rPr>
                <w:rFonts w:eastAsia="Century Gothic" w:cs="Century Gothic"/>
                <w:color w:val="000000"/>
                <w:sz w:val="18"/>
                <w:szCs w:val="18"/>
              </w:rPr>
              <w:t>179 (65.8%)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FD7C1A" w14:textId="77777777" w:rsidR="001C19F3" w:rsidRDefault="001C19F3" w:rsidP="00521305">
            <w:pPr>
              <w:spacing w:before="40" w:after="40"/>
              <w:ind w:left="100" w:right="100"/>
              <w:jc w:val="right"/>
            </w:pPr>
            <w:r>
              <w:rPr>
                <w:rFonts w:eastAsia="Century Gothic" w:cs="Century Gothic"/>
                <w:color w:val="000000"/>
                <w:sz w:val="18"/>
                <w:szCs w:val="18"/>
              </w:rPr>
              <w:t>169 (64.0%)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A8EB9F9" w14:textId="77777777" w:rsidR="001C19F3" w:rsidRDefault="001C19F3" w:rsidP="00521305">
            <w:pPr>
              <w:spacing w:after="0"/>
              <w:rPr>
                <w:sz w:val="22"/>
              </w:rPr>
            </w:pPr>
          </w:p>
        </w:tc>
      </w:tr>
      <w:tr w:rsidR="001C19F3" w14:paraId="292FC9E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F48186"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19BD0F" w14:textId="77777777" w:rsidR="001C19F3" w:rsidRDefault="001C19F3" w:rsidP="00521305">
            <w:pPr>
              <w:spacing w:before="40" w:after="40"/>
              <w:ind w:left="100" w:right="100"/>
              <w:jc w:val="center"/>
            </w:pPr>
            <w:r>
              <w:rPr>
                <w:rFonts w:eastAsia="Century Gothic" w:cs="Century Gothic"/>
                <w:color w:val="000000"/>
                <w:sz w:val="18"/>
                <w:szCs w:val="18"/>
              </w:rPr>
              <w:t>10 (0.5%)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76B7F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7BB46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C4A61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239B1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009A3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281A6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8A8C29" w14:textId="77777777" w:rsidR="001C19F3" w:rsidRDefault="001C19F3" w:rsidP="00521305">
            <w:pPr>
              <w:spacing w:before="40" w:after="40"/>
              <w:ind w:left="100" w:right="100"/>
              <w:jc w:val="right"/>
            </w:pPr>
          </w:p>
        </w:tc>
      </w:tr>
      <w:tr w:rsidR="001C19F3" w14:paraId="7345051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06D12" w14:textId="77777777" w:rsidR="001C19F3" w:rsidRDefault="001C19F3" w:rsidP="00521305">
            <w:pPr>
              <w:spacing w:before="40" w:after="40"/>
              <w:ind w:left="100" w:right="100"/>
            </w:pPr>
            <w:r>
              <w:rPr>
                <w:rFonts w:eastAsia="Century Gothic" w:cs="Century Gothic"/>
                <w:b/>
                <w:color w:val="000000"/>
                <w:sz w:val="18"/>
                <w:szCs w:val="18"/>
              </w:rPr>
              <w:t>F11 High blood pressure(Q22)</w:t>
            </w:r>
          </w:p>
        </w:tc>
      </w:tr>
      <w:tr w:rsidR="001C19F3" w14:paraId="67FCBEC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E0E3A6"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8A3C3D" w14:textId="77777777" w:rsidR="001C19F3" w:rsidRDefault="001C19F3" w:rsidP="00521305">
            <w:pPr>
              <w:spacing w:before="40" w:after="40"/>
              <w:ind w:left="100" w:right="100"/>
              <w:jc w:val="center"/>
            </w:pPr>
            <w:r>
              <w:rPr>
                <w:rFonts w:eastAsia="Century Gothic" w:cs="Century Gothic"/>
                <w:color w:val="000000"/>
                <w:sz w:val="18"/>
                <w:szCs w:val="18"/>
              </w:rPr>
              <w:t>1,230 (61.0%)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3596F9" w14:textId="77777777" w:rsidR="001C19F3" w:rsidRDefault="001C19F3" w:rsidP="00521305">
            <w:pPr>
              <w:spacing w:before="40" w:after="40"/>
              <w:ind w:left="100" w:right="100"/>
              <w:jc w:val="center"/>
            </w:pPr>
            <w:r>
              <w:rPr>
                <w:rFonts w:eastAsia="Century Gothic" w:cs="Century Gothic"/>
                <w:color w:val="000000"/>
                <w:sz w:val="18"/>
                <w:szCs w:val="18"/>
              </w:rPr>
              <w:t>269 (65.6%)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EDABBE" w14:textId="77777777" w:rsidR="001C19F3" w:rsidRDefault="001C19F3" w:rsidP="00521305">
            <w:pPr>
              <w:spacing w:before="40" w:after="40"/>
              <w:ind w:left="100" w:right="100"/>
              <w:jc w:val="center"/>
            </w:pPr>
            <w:r>
              <w:rPr>
                <w:rFonts w:eastAsia="Century Gothic" w:cs="Century Gothic"/>
                <w:color w:val="000000"/>
                <w:sz w:val="18"/>
                <w:szCs w:val="18"/>
              </w:rPr>
              <w:t>961 (61.0%)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E27756" w14:textId="77777777" w:rsidR="001C19F3" w:rsidRDefault="001C19F3" w:rsidP="00521305">
            <w:pPr>
              <w:spacing w:before="40" w:after="40"/>
              <w:ind w:left="100" w:right="100"/>
              <w:jc w:val="center"/>
            </w:pPr>
            <w:r>
              <w:rPr>
                <w:rFonts w:eastAsia="Century Gothic" w:cs="Century Gothic"/>
                <w:color w:val="000000"/>
                <w:sz w:val="18"/>
                <w:szCs w:val="18"/>
              </w:rPr>
              <w:t>0.096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08D385" w14:textId="77777777" w:rsidR="001C19F3" w:rsidRDefault="001C19F3" w:rsidP="00521305">
            <w:pPr>
              <w:spacing w:before="40" w:after="40"/>
              <w:ind w:left="100" w:right="100"/>
              <w:jc w:val="center"/>
            </w:pPr>
            <w:r>
              <w:rPr>
                <w:rFonts w:eastAsia="Century Gothic" w:cs="Century Gothic"/>
                <w:color w:val="000000"/>
                <w:sz w:val="18"/>
                <w:szCs w:val="18"/>
              </w:rPr>
              <w:t>893 (61.4%)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A74E69" w14:textId="77777777" w:rsidR="001C19F3" w:rsidRDefault="001C19F3" w:rsidP="00521305">
            <w:pPr>
              <w:spacing w:before="40" w:after="40"/>
              <w:ind w:left="100" w:right="100"/>
              <w:jc w:val="right"/>
            </w:pPr>
            <w:r>
              <w:rPr>
                <w:rFonts w:eastAsia="Century Gothic" w:cs="Century Gothic"/>
                <w:color w:val="000000"/>
                <w:sz w:val="18"/>
                <w:szCs w:val="18"/>
              </w:rPr>
              <w:t>164 (60.7%)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77FBB7" w14:textId="77777777" w:rsidR="001C19F3" w:rsidRDefault="001C19F3" w:rsidP="00521305">
            <w:pPr>
              <w:spacing w:before="40" w:after="40"/>
              <w:ind w:left="100" w:right="100"/>
              <w:jc w:val="right"/>
            </w:pPr>
            <w:r>
              <w:rPr>
                <w:rFonts w:eastAsia="Century Gothic" w:cs="Century Gothic"/>
                <w:color w:val="000000"/>
                <w:sz w:val="18"/>
                <w:szCs w:val="18"/>
              </w:rPr>
              <w:t>173 (66.3%)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009910" w14:textId="77777777" w:rsidR="001C19F3" w:rsidRDefault="001C19F3" w:rsidP="00521305">
            <w:pPr>
              <w:spacing w:before="40" w:after="40"/>
              <w:ind w:left="100" w:right="100"/>
              <w:jc w:val="right"/>
            </w:pPr>
            <w:r>
              <w:rPr>
                <w:rFonts w:eastAsia="Century Gothic" w:cs="Century Gothic"/>
                <w:color w:val="000000"/>
                <w:sz w:val="18"/>
                <w:szCs w:val="18"/>
              </w:rPr>
              <w:t>0.294</w:t>
            </w:r>
          </w:p>
        </w:tc>
      </w:tr>
      <w:tr w:rsidR="001C19F3" w14:paraId="6EC7828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2F821A"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9F06EC" w14:textId="77777777" w:rsidR="001C19F3" w:rsidRDefault="001C19F3" w:rsidP="00521305">
            <w:pPr>
              <w:spacing w:before="40" w:after="40"/>
              <w:ind w:left="100" w:right="100"/>
              <w:jc w:val="center"/>
            </w:pPr>
            <w:r>
              <w:rPr>
                <w:rFonts w:eastAsia="Century Gothic" w:cs="Century Gothic"/>
                <w:color w:val="000000"/>
                <w:sz w:val="18"/>
                <w:szCs w:val="18"/>
              </w:rPr>
              <w:t>756 (37.5%)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D95FA8" w14:textId="77777777" w:rsidR="001C19F3" w:rsidRDefault="001C19F3" w:rsidP="00521305">
            <w:pPr>
              <w:spacing w:before="40" w:after="40"/>
              <w:ind w:left="100" w:right="100"/>
              <w:jc w:val="center"/>
            </w:pPr>
            <w:r>
              <w:rPr>
                <w:rFonts w:eastAsia="Century Gothic" w:cs="Century Gothic"/>
                <w:color w:val="000000"/>
                <w:sz w:val="18"/>
                <w:szCs w:val="18"/>
              </w:rPr>
              <w:t>141 (34.4%)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37744B" w14:textId="77777777" w:rsidR="001C19F3" w:rsidRDefault="001C19F3" w:rsidP="00521305">
            <w:pPr>
              <w:spacing w:before="40" w:after="40"/>
              <w:ind w:left="100" w:right="100"/>
              <w:jc w:val="center"/>
            </w:pPr>
            <w:r>
              <w:rPr>
                <w:rFonts w:eastAsia="Century Gothic" w:cs="Century Gothic"/>
                <w:color w:val="000000"/>
                <w:sz w:val="18"/>
                <w:szCs w:val="18"/>
              </w:rPr>
              <w:t>615 (39.0%)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A7526E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634F73" w14:textId="77777777" w:rsidR="001C19F3" w:rsidRDefault="001C19F3" w:rsidP="00521305">
            <w:pPr>
              <w:spacing w:before="40" w:after="40"/>
              <w:ind w:left="100" w:right="100"/>
              <w:jc w:val="center"/>
            </w:pPr>
            <w:r>
              <w:rPr>
                <w:rFonts w:eastAsia="Century Gothic" w:cs="Century Gothic"/>
                <w:color w:val="000000"/>
                <w:sz w:val="18"/>
                <w:szCs w:val="18"/>
              </w:rPr>
              <w:t>562 (38.6%)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EBEA8F" w14:textId="77777777" w:rsidR="001C19F3" w:rsidRDefault="001C19F3" w:rsidP="00521305">
            <w:pPr>
              <w:spacing w:before="40" w:after="40"/>
              <w:ind w:left="100" w:right="100"/>
              <w:jc w:val="right"/>
            </w:pPr>
            <w:r>
              <w:rPr>
                <w:rFonts w:eastAsia="Century Gothic" w:cs="Century Gothic"/>
                <w:color w:val="000000"/>
                <w:sz w:val="18"/>
                <w:szCs w:val="18"/>
              </w:rPr>
              <w:t>106 (39.3%)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924C7D" w14:textId="77777777" w:rsidR="001C19F3" w:rsidRDefault="001C19F3" w:rsidP="00521305">
            <w:pPr>
              <w:spacing w:before="40" w:after="40"/>
              <w:ind w:left="100" w:right="100"/>
              <w:jc w:val="right"/>
            </w:pPr>
            <w:r>
              <w:rPr>
                <w:rFonts w:eastAsia="Century Gothic" w:cs="Century Gothic"/>
                <w:color w:val="000000"/>
                <w:sz w:val="18"/>
                <w:szCs w:val="18"/>
              </w:rPr>
              <w:t>88 (33.7%)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B8D1765" w14:textId="77777777" w:rsidR="001C19F3" w:rsidRDefault="001C19F3" w:rsidP="00521305">
            <w:pPr>
              <w:spacing w:after="0"/>
              <w:rPr>
                <w:sz w:val="22"/>
              </w:rPr>
            </w:pPr>
          </w:p>
        </w:tc>
      </w:tr>
      <w:tr w:rsidR="001C19F3" w14:paraId="21A63A5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E7C3EB"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53FBD8" w14:textId="77777777" w:rsidR="001C19F3" w:rsidRDefault="001C19F3" w:rsidP="00521305">
            <w:pPr>
              <w:spacing w:before="40" w:after="40"/>
              <w:ind w:left="100" w:right="100"/>
              <w:jc w:val="center"/>
            </w:pPr>
            <w:r>
              <w:rPr>
                <w:rFonts w:eastAsia="Century Gothic" w:cs="Century Gothic"/>
                <w:color w:val="000000"/>
                <w:sz w:val="18"/>
                <w:szCs w:val="18"/>
              </w:rPr>
              <w:t>32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F14F7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82FC8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1D73A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EB57A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8EE7DB"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6180E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9A9DD9" w14:textId="77777777" w:rsidR="001C19F3" w:rsidRDefault="001C19F3" w:rsidP="00521305">
            <w:pPr>
              <w:spacing w:before="40" w:after="40"/>
              <w:ind w:left="100" w:right="100"/>
              <w:jc w:val="right"/>
            </w:pPr>
          </w:p>
        </w:tc>
      </w:tr>
      <w:tr w:rsidR="001C19F3" w14:paraId="34F1AF1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18F167" w14:textId="77777777" w:rsidR="001C19F3" w:rsidRDefault="001C19F3" w:rsidP="00521305">
            <w:pPr>
              <w:spacing w:before="40" w:after="40"/>
              <w:ind w:left="100" w:right="100"/>
            </w:pPr>
            <w:r>
              <w:rPr>
                <w:rFonts w:eastAsia="Century Gothic" w:cs="Century Gothic"/>
                <w:b/>
                <w:color w:val="000000"/>
                <w:sz w:val="18"/>
                <w:szCs w:val="18"/>
              </w:rPr>
              <w:lastRenderedPageBreak/>
              <w:t>F12 Asthma(Q22)</w:t>
            </w:r>
          </w:p>
        </w:tc>
      </w:tr>
      <w:tr w:rsidR="001C19F3" w14:paraId="2E68B7B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D6174A"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483761" w14:textId="77777777" w:rsidR="001C19F3" w:rsidRDefault="001C19F3" w:rsidP="00521305">
            <w:pPr>
              <w:spacing w:before="40" w:after="40"/>
              <w:ind w:left="100" w:right="100"/>
              <w:jc w:val="center"/>
            </w:pPr>
            <w:r>
              <w:rPr>
                <w:rFonts w:eastAsia="Century Gothic" w:cs="Century Gothic"/>
                <w:color w:val="000000"/>
                <w:sz w:val="18"/>
                <w:szCs w:val="18"/>
              </w:rPr>
              <w:t>546 (27.1%)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815CF4" w14:textId="77777777" w:rsidR="001C19F3" w:rsidRDefault="001C19F3" w:rsidP="00521305">
            <w:pPr>
              <w:spacing w:before="40" w:after="40"/>
              <w:ind w:left="100" w:right="100"/>
              <w:jc w:val="center"/>
            </w:pPr>
            <w:r>
              <w:rPr>
                <w:rFonts w:eastAsia="Century Gothic" w:cs="Century Gothic"/>
                <w:color w:val="000000"/>
                <w:sz w:val="18"/>
                <w:szCs w:val="18"/>
              </w:rPr>
              <w:t>114 (27.7%)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D7D8E0" w14:textId="77777777" w:rsidR="001C19F3" w:rsidRDefault="001C19F3" w:rsidP="00521305">
            <w:pPr>
              <w:spacing w:before="40" w:after="40"/>
              <w:ind w:left="100" w:right="100"/>
              <w:jc w:val="center"/>
            </w:pPr>
            <w:r>
              <w:rPr>
                <w:rFonts w:eastAsia="Century Gothic" w:cs="Century Gothic"/>
                <w:color w:val="000000"/>
                <w:sz w:val="18"/>
                <w:szCs w:val="18"/>
              </w:rPr>
              <w:t>432 (27.2%)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7FA37" w14:textId="77777777" w:rsidR="001C19F3" w:rsidRDefault="001C19F3" w:rsidP="00521305">
            <w:pPr>
              <w:spacing w:before="40" w:after="40"/>
              <w:ind w:left="100" w:right="100"/>
              <w:jc w:val="center"/>
            </w:pPr>
            <w:r>
              <w:rPr>
                <w:rFonts w:eastAsia="Century Gothic" w:cs="Century Gothic"/>
                <w:color w:val="000000"/>
                <w:sz w:val="18"/>
                <w:szCs w:val="18"/>
              </w:rPr>
              <w:t>0.899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36FEF4" w14:textId="77777777" w:rsidR="001C19F3" w:rsidRDefault="001C19F3" w:rsidP="00521305">
            <w:pPr>
              <w:spacing w:before="40" w:after="40"/>
              <w:ind w:left="100" w:right="100"/>
              <w:jc w:val="center"/>
            </w:pPr>
            <w:r>
              <w:rPr>
                <w:rFonts w:eastAsia="Century Gothic" w:cs="Century Gothic"/>
                <w:color w:val="000000"/>
                <w:sz w:val="18"/>
                <w:szCs w:val="18"/>
              </w:rPr>
              <w:t>391 (26.7%)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DF8A92" w14:textId="77777777" w:rsidR="001C19F3" w:rsidRDefault="001C19F3" w:rsidP="00521305">
            <w:pPr>
              <w:spacing w:before="40" w:after="40"/>
              <w:ind w:left="100" w:right="100"/>
              <w:jc w:val="right"/>
            </w:pPr>
            <w:r>
              <w:rPr>
                <w:rFonts w:eastAsia="Century Gothic" w:cs="Century Gothic"/>
                <w:color w:val="000000"/>
                <w:sz w:val="18"/>
                <w:szCs w:val="18"/>
              </w:rPr>
              <w:t>71 (26.2%)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D3B1CC" w14:textId="77777777" w:rsidR="001C19F3" w:rsidRDefault="001C19F3" w:rsidP="00521305">
            <w:pPr>
              <w:spacing w:before="40" w:after="40"/>
              <w:ind w:left="100" w:right="100"/>
              <w:jc w:val="right"/>
            </w:pPr>
            <w:r>
              <w:rPr>
                <w:rFonts w:eastAsia="Century Gothic" w:cs="Century Gothic"/>
                <w:color w:val="000000"/>
                <w:sz w:val="18"/>
                <w:szCs w:val="18"/>
              </w:rPr>
              <w:t>84 (32.1%)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58B6C6" w14:textId="77777777" w:rsidR="001C19F3" w:rsidRDefault="001C19F3" w:rsidP="00521305">
            <w:pPr>
              <w:spacing w:before="40" w:after="40"/>
              <w:ind w:left="100" w:right="100"/>
              <w:jc w:val="right"/>
            </w:pPr>
            <w:r>
              <w:rPr>
                <w:rFonts w:eastAsia="Century Gothic" w:cs="Century Gothic"/>
                <w:color w:val="000000"/>
                <w:sz w:val="18"/>
                <w:szCs w:val="18"/>
              </w:rPr>
              <w:t>0.177</w:t>
            </w:r>
          </w:p>
        </w:tc>
      </w:tr>
      <w:tr w:rsidR="001C19F3" w14:paraId="0C7DCA9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5C2BD7"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0A9A78" w14:textId="77777777" w:rsidR="001C19F3" w:rsidRDefault="001C19F3" w:rsidP="00521305">
            <w:pPr>
              <w:spacing w:before="40" w:after="40"/>
              <w:ind w:left="100" w:right="100"/>
              <w:jc w:val="center"/>
            </w:pPr>
            <w:r>
              <w:rPr>
                <w:rFonts w:eastAsia="Century Gothic" w:cs="Century Gothic"/>
                <w:color w:val="000000"/>
                <w:sz w:val="18"/>
                <w:szCs w:val="18"/>
              </w:rPr>
              <w:t>1,454 (72.1%)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D4AC63" w14:textId="77777777" w:rsidR="001C19F3" w:rsidRDefault="001C19F3" w:rsidP="00521305">
            <w:pPr>
              <w:spacing w:before="40" w:after="40"/>
              <w:ind w:left="100" w:right="100"/>
              <w:jc w:val="center"/>
            </w:pPr>
            <w:r>
              <w:rPr>
                <w:rFonts w:eastAsia="Century Gothic" w:cs="Century Gothic"/>
                <w:color w:val="000000"/>
                <w:sz w:val="18"/>
                <w:szCs w:val="18"/>
              </w:rPr>
              <w:t>298 (72.3%)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E624AF" w14:textId="77777777" w:rsidR="001C19F3" w:rsidRDefault="001C19F3" w:rsidP="00521305">
            <w:pPr>
              <w:spacing w:before="40" w:after="40"/>
              <w:ind w:left="100" w:right="100"/>
              <w:jc w:val="center"/>
            </w:pPr>
            <w:r>
              <w:rPr>
                <w:rFonts w:eastAsia="Century Gothic" w:cs="Century Gothic"/>
                <w:color w:val="000000"/>
                <w:sz w:val="18"/>
                <w:szCs w:val="18"/>
              </w:rPr>
              <w:t>1,156 (72.8%)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1A3BC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74BC00" w14:textId="77777777" w:rsidR="001C19F3" w:rsidRDefault="001C19F3" w:rsidP="00521305">
            <w:pPr>
              <w:spacing w:before="40" w:after="40"/>
              <w:ind w:left="100" w:right="100"/>
              <w:jc w:val="center"/>
            </w:pPr>
            <w:r>
              <w:rPr>
                <w:rFonts w:eastAsia="Century Gothic" w:cs="Century Gothic"/>
                <w:color w:val="000000"/>
                <w:sz w:val="18"/>
                <w:szCs w:val="18"/>
              </w:rPr>
              <w:t>1,076 (73.3%)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5D435C" w14:textId="77777777" w:rsidR="001C19F3" w:rsidRDefault="001C19F3" w:rsidP="00521305">
            <w:pPr>
              <w:spacing w:before="40" w:after="40"/>
              <w:ind w:left="100" w:right="100"/>
              <w:jc w:val="right"/>
            </w:pPr>
            <w:r>
              <w:rPr>
                <w:rFonts w:eastAsia="Century Gothic" w:cs="Century Gothic"/>
                <w:color w:val="000000"/>
                <w:sz w:val="18"/>
                <w:szCs w:val="18"/>
              </w:rPr>
              <w:t>200 (73.8%)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EE07E5" w14:textId="77777777" w:rsidR="001C19F3" w:rsidRDefault="001C19F3" w:rsidP="00521305">
            <w:pPr>
              <w:spacing w:before="40" w:after="40"/>
              <w:ind w:left="100" w:right="100"/>
              <w:jc w:val="right"/>
            </w:pPr>
            <w:r>
              <w:rPr>
                <w:rFonts w:eastAsia="Century Gothic" w:cs="Century Gothic"/>
                <w:color w:val="000000"/>
                <w:sz w:val="18"/>
                <w:szCs w:val="18"/>
              </w:rPr>
              <w:t>178 (67.9%)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7B1D679" w14:textId="77777777" w:rsidR="001C19F3" w:rsidRDefault="001C19F3" w:rsidP="00521305">
            <w:pPr>
              <w:spacing w:after="0"/>
              <w:rPr>
                <w:sz w:val="22"/>
              </w:rPr>
            </w:pPr>
          </w:p>
        </w:tc>
      </w:tr>
      <w:tr w:rsidR="001C19F3" w14:paraId="52E3937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D17BD0"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87B18F"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B36A0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F684E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5551E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340FE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536DA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A2A43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82B843" w14:textId="77777777" w:rsidR="001C19F3" w:rsidRDefault="001C19F3" w:rsidP="00521305">
            <w:pPr>
              <w:spacing w:before="40" w:after="40"/>
              <w:ind w:left="100" w:right="100"/>
              <w:jc w:val="right"/>
            </w:pPr>
          </w:p>
        </w:tc>
      </w:tr>
      <w:tr w:rsidR="001C19F3" w14:paraId="7188A85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9E289A" w14:textId="77777777" w:rsidR="001C19F3" w:rsidRDefault="001C19F3" w:rsidP="00521305">
            <w:pPr>
              <w:spacing w:before="40" w:after="40"/>
              <w:ind w:left="100" w:right="100"/>
            </w:pPr>
            <w:r>
              <w:rPr>
                <w:rFonts w:eastAsia="Century Gothic" w:cs="Century Gothic"/>
                <w:b/>
                <w:color w:val="000000"/>
                <w:sz w:val="18"/>
                <w:szCs w:val="18"/>
              </w:rPr>
              <w:t>F13 Another chronic health condition(Q22)</w:t>
            </w:r>
          </w:p>
        </w:tc>
      </w:tr>
      <w:tr w:rsidR="001C19F3" w14:paraId="5039932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AFBA8C"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9460B4" w14:textId="77777777" w:rsidR="001C19F3" w:rsidRDefault="001C19F3" w:rsidP="00521305">
            <w:pPr>
              <w:spacing w:before="40" w:after="40"/>
              <w:ind w:left="100" w:right="100"/>
              <w:jc w:val="center"/>
            </w:pPr>
            <w:r>
              <w:rPr>
                <w:rFonts w:eastAsia="Century Gothic" w:cs="Century Gothic"/>
                <w:color w:val="000000"/>
                <w:sz w:val="18"/>
                <w:szCs w:val="18"/>
              </w:rPr>
              <w:t>912 (45.2%)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4EBD0C" w14:textId="77777777" w:rsidR="001C19F3" w:rsidRDefault="001C19F3" w:rsidP="00521305">
            <w:pPr>
              <w:spacing w:before="40" w:after="40"/>
              <w:ind w:left="100" w:right="100"/>
              <w:jc w:val="center"/>
            </w:pPr>
            <w:r>
              <w:rPr>
                <w:rFonts w:eastAsia="Century Gothic" w:cs="Century Gothic"/>
                <w:color w:val="000000"/>
                <w:sz w:val="18"/>
                <w:szCs w:val="18"/>
              </w:rPr>
              <w:t>192 (47.2%)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B73F2B" w14:textId="77777777" w:rsidR="001C19F3" w:rsidRDefault="001C19F3" w:rsidP="00521305">
            <w:pPr>
              <w:spacing w:before="40" w:after="40"/>
              <w:ind w:left="100" w:right="100"/>
              <w:jc w:val="center"/>
            </w:pPr>
            <w:r>
              <w:rPr>
                <w:rFonts w:eastAsia="Century Gothic" w:cs="Century Gothic"/>
                <w:color w:val="000000"/>
                <w:sz w:val="18"/>
                <w:szCs w:val="18"/>
              </w:rPr>
              <w:t>720 (46.2%)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F04E0" w14:textId="77777777" w:rsidR="001C19F3" w:rsidRDefault="001C19F3" w:rsidP="00521305">
            <w:pPr>
              <w:spacing w:before="40" w:after="40"/>
              <w:ind w:left="100" w:right="100"/>
              <w:jc w:val="center"/>
            </w:pPr>
            <w:r>
              <w:rPr>
                <w:rFonts w:eastAsia="Century Gothic" w:cs="Century Gothic"/>
                <w:color w:val="000000"/>
                <w:sz w:val="18"/>
                <w:szCs w:val="18"/>
              </w:rPr>
              <w:t>0.763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6ADE51" w14:textId="77777777" w:rsidR="001C19F3" w:rsidRDefault="001C19F3" w:rsidP="00521305">
            <w:pPr>
              <w:spacing w:before="40" w:after="40"/>
              <w:ind w:left="100" w:right="100"/>
              <w:jc w:val="center"/>
            </w:pPr>
            <w:r>
              <w:rPr>
                <w:rFonts w:eastAsia="Century Gothic" w:cs="Century Gothic"/>
                <w:color w:val="000000"/>
                <w:sz w:val="18"/>
                <w:szCs w:val="18"/>
              </w:rPr>
              <w:t>658 (45.5%)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DF9435" w14:textId="77777777" w:rsidR="001C19F3" w:rsidRDefault="001C19F3" w:rsidP="00521305">
            <w:pPr>
              <w:spacing w:before="40" w:after="40"/>
              <w:ind w:left="100" w:right="100"/>
              <w:jc w:val="right"/>
            </w:pPr>
            <w:r>
              <w:rPr>
                <w:rFonts w:eastAsia="Century Gothic" w:cs="Century Gothic"/>
                <w:color w:val="000000"/>
                <w:sz w:val="18"/>
                <w:szCs w:val="18"/>
              </w:rPr>
              <w:t>136 (51.1%)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45735F" w14:textId="77777777" w:rsidR="001C19F3" w:rsidRDefault="001C19F3" w:rsidP="00521305">
            <w:pPr>
              <w:spacing w:before="40" w:after="40"/>
              <w:ind w:left="100" w:right="100"/>
              <w:jc w:val="right"/>
            </w:pPr>
            <w:r>
              <w:rPr>
                <w:rFonts w:eastAsia="Century Gothic" w:cs="Century Gothic"/>
                <w:color w:val="000000"/>
                <w:sz w:val="18"/>
                <w:szCs w:val="18"/>
              </w:rPr>
              <w:t>118 (46.3%)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67CD3E" w14:textId="77777777" w:rsidR="001C19F3" w:rsidRDefault="001C19F3" w:rsidP="00521305">
            <w:pPr>
              <w:spacing w:before="40" w:after="40"/>
              <w:ind w:left="100" w:right="100"/>
              <w:jc w:val="right"/>
            </w:pPr>
            <w:r>
              <w:rPr>
                <w:rFonts w:eastAsia="Century Gothic" w:cs="Century Gothic"/>
                <w:color w:val="000000"/>
                <w:sz w:val="18"/>
                <w:szCs w:val="18"/>
              </w:rPr>
              <w:t>0.243</w:t>
            </w:r>
          </w:p>
        </w:tc>
      </w:tr>
      <w:tr w:rsidR="001C19F3" w14:paraId="5847025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FDC0B"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3982C4" w14:textId="77777777" w:rsidR="001C19F3" w:rsidRDefault="001C19F3" w:rsidP="00521305">
            <w:pPr>
              <w:spacing w:before="40" w:after="40"/>
              <w:ind w:left="100" w:right="100"/>
              <w:jc w:val="center"/>
            </w:pPr>
            <w:r>
              <w:rPr>
                <w:rFonts w:eastAsia="Century Gothic" w:cs="Century Gothic"/>
                <w:color w:val="000000"/>
                <w:sz w:val="18"/>
                <w:szCs w:val="18"/>
              </w:rPr>
              <w:t>1,054 (52.2%)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5A5AD7" w14:textId="77777777" w:rsidR="001C19F3" w:rsidRDefault="001C19F3" w:rsidP="00521305">
            <w:pPr>
              <w:spacing w:before="40" w:after="40"/>
              <w:ind w:left="100" w:right="100"/>
              <w:jc w:val="center"/>
            </w:pPr>
            <w:r>
              <w:rPr>
                <w:rFonts w:eastAsia="Century Gothic" w:cs="Century Gothic"/>
                <w:color w:val="000000"/>
                <w:sz w:val="18"/>
                <w:szCs w:val="18"/>
              </w:rPr>
              <w:t>215 (52.8%)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5BC871" w14:textId="77777777" w:rsidR="001C19F3" w:rsidRDefault="001C19F3" w:rsidP="00521305">
            <w:pPr>
              <w:spacing w:before="40" w:after="40"/>
              <w:ind w:left="100" w:right="100"/>
              <w:jc w:val="center"/>
            </w:pPr>
            <w:r>
              <w:rPr>
                <w:rFonts w:eastAsia="Century Gothic" w:cs="Century Gothic"/>
                <w:color w:val="000000"/>
                <w:sz w:val="18"/>
                <w:szCs w:val="18"/>
              </w:rPr>
              <w:t>839 (53.8%)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E25733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C1C87E" w14:textId="77777777" w:rsidR="001C19F3" w:rsidRDefault="001C19F3" w:rsidP="00521305">
            <w:pPr>
              <w:spacing w:before="40" w:after="40"/>
              <w:ind w:left="100" w:right="100"/>
              <w:jc w:val="center"/>
            </w:pPr>
            <w:r>
              <w:rPr>
                <w:rFonts w:eastAsia="Century Gothic" w:cs="Century Gothic"/>
                <w:color w:val="000000"/>
                <w:sz w:val="18"/>
                <w:szCs w:val="18"/>
              </w:rPr>
              <w:t>787 (54.5%)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355681" w14:textId="77777777" w:rsidR="001C19F3" w:rsidRDefault="001C19F3" w:rsidP="00521305">
            <w:pPr>
              <w:spacing w:before="40" w:after="40"/>
              <w:ind w:left="100" w:right="100"/>
              <w:jc w:val="right"/>
            </w:pPr>
            <w:r>
              <w:rPr>
                <w:rFonts w:eastAsia="Century Gothic" w:cs="Century Gothic"/>
                <w:color w:val="000000"/>
                <w:sz w:val="18"/>
                <w:szCs w:val="18"/>
              </w:rPr>
              <w:t>130 (48.9%)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44656" w14:textId="77777777" w:rsidR="001C19F3" w:rsidRDefault="001C19F3" w:rsidP="00521305">
            <w:pPr>
              <w:spacing w:before="40" w:after="40"/>
              <w:ind w:left="100" w:right="100"/>
              <w:jc w:val="right"/>
            </w:pPr>
            <w:r>
              <w:rPr>
                <w:rFonts w:eastAsia="Century Gothic" w:cs="Century Gothic"/>
                <w:color w:val="000000"/>
                <w:sz w:val="18"/>
                <w:szCs w:val="18"/>
              </w:rPr>
              <w:t>137 (53.7%)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4B4946" w14:textId="77777777" w:rsidR="001C19F3" w:rsidRDefault="001C19F3" w:rsidP="00521305">
            <w:pPr>
              <w:spacing w:after="0"/>
              <w:rPr>
                <w:sz w:val="22"/>
              </w:rPr>
            </w:pPr>
          </w:p>
        </w:tc>
      </w:tr>
      <w:tr w:rsidR="001C19F3" w14:paraId="4E1A7C2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31531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4E7060"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3A01D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6595C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2F089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69963F"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B5D65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ED81B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95C104" w14:textId="77777777" w:rsidR="001C19F3" w:rsidRDefault="001C19F3" w:rsidP="00521305">
            <w:pPr>
              <w:spacing w:before="40" w:after="40"/>
              <w:ind w:left="100" w:right="100"/>
              <w:jc w:val="right"/>
            </w:pPr>
          </w:p>
        </w:tc>
      </w:tr>
      <w:tr w:rsidR="001C19F3" w14:paraId="042EF22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1921B4" w14:textId="77777777" w:rsidR="001C19F3" w:rsidRDefault="001C19F3" w:rsidP="00521305">
            <w:pPr>
              <w:spacing w:before="40" w:after="40"/>
              <w:ind w:left="100" w:right="100"/>
            </w:pPr>
            <w:r>
              <w:rPr>
                <w:rFonts w:eastAsia="Century Gothic" w:cs="Century Gothic"/>
                <w:b/>
                <w:color w:val="000000"/>
                <w:sz w:val="18"/>
                <w:szCs w:val="18"/>
              </w:rPr>
              <w:t>F15 Mobility today (Q27)</w:t>
            </w:r>
          </w:p>
        </w:tc>
      </w:tr>
      <w:tr w:rsidR="001C19F3" w14:paraId="316333D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0D5E86" w14:textId="77777777" w:rsidR="001C19F3" w:rsidRDefault="001C19F3" w:rsidP="00521305">
            <w:pPr>
              <w:spacing w:before="40" w:after="40"/>
              <w:ind w:left="160" w:right="100"/>
            </w:pPr>
            <w:r>
              <w:rPr>
                <w:rFonts w:eastAsia="Century Gothic" w:cs="Century Gothic"/>
                <w:color w:val="000000"/>
                <w:sz w:val="18"/>
                <w:szCs w:val="18"/>
              </w:rPr>
              <w:t>no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EFFAAB" w14:textId="77777777" w:rsidR="001C19F3" w:rsidRDefault="001C19F3" w:rsidP="00521305">
            <w:pPr>
              <w:spacing w:before="40" w:after="40"/>
              <w:ind w:left="100" w:right="100"/>
              <w:jc w:val="center"/>
            </w:pPr>
            <w:r>
              <w:rPr>
                <w:rFonts w:eastAsia="Century Gothic" w:cs="Century Gothic"/>
                <w:color w:val="000000"/>
                <w:sz w:val="18"/>
                <w:szCs w:val="18"/>
              </w:rPr>
              <w:t>840 (42.1%)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70509B" w14:textId="77777777" w:rsidR="001C19F3" w:rsidRDefault="001C19F3" w:rsidP="00521305">
            <w:pPr>
              <w:spacing w:before="40" w:after="40"/>
              <w:ind w:left="100" w:right="100"/>
              <w:jc w:val="center"/>
            </w:pPr>
            <w:r>
              <w:rPr>
                <w:rFonts w:eastAsia="Century Gothic" w:cs="Century Gothic"/>
                <w:color w:val="000000"/>
                <w:sz w:val="18"/>
                <w:szCs w:val="18"/>
              </w:rPr>
              <w:t>146 (35.5%)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D12605" w14:textId="77777777" w:rsidR="001C19F3" w:rsidRDefault="001C19F3" w:rsidP="00521305">
            <w:pPr>
              <w:spacing w:before="40" w:after="40"/>
              <w:ind w:left="100" w:right="100"/>
              <w:jc w:val="center"/>
            </w:pPr>
            <w:r>
              <w:rPr>
                <w:rFonts w:eastAsia="Century Gothic" w:cs="Century Gothic"/>
                <w:color w:val="000000"/>
                <w:sz w:val="18"/>
                <w:szCs w:val="18"/>
              </w:rPr>
              <w:t>694 (43.8%)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AC743E" w14:textId="77777777" w:rsidR="001C19F3" w:rsidRDefault="001C19F3" w:rsidP="00521305">
            <w:pPr>
              <w:spacing w:before="40" w:after="40"/>
              <w:ind w:left="100" w:right="100"/>
              <w:jc w:val="center"/>
            </w:pPr>
            <w:r>
              <w:rPr>
                <w:rFonts w:eastAsia="Century Gothic" w:cs="Century Gothic"/>
                <w:color w:val="000000"/>
                <w:sz w:val="18"/>
                <w:szCs w:val="18"/>
              </w:rPr>
              <w:t>0.015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F453FB" w14:textId="77777777" w:rsidR="001C19F3" w:rsidRDefault="001C19F3" w:rsidP="00521305">
            <w:pPr>
              <w:spacing w:before="40" w:after="40"/>
              <w:ind w:left="100" w:right="100"/>
              <w:jc w:val="center"/>
            </w:pPr>
            <w:r>
              <w:rPr>
                <w:rFonts w:eastAsia="Century Gothic" w:cs="Century Gothic"/>
                <w:color w:val="000000"/>
                <w:sz w:val="18"/>
                <w:szCs w:val="18"/>
              </w:rPr>
              <w:t>630 (42.9%)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46756A" w14:textId="77777777" w:rsidR="001C19F3" w:rsidRDefault="001C19F3" w:rsidP="00521305">
            <w:pPr>
              <w:spacing w:before="40" w:after="40"/>
              <w:ind w:left="100" w:right="100"/>
              <w:jc w:val="right"/>
            </w:pPr>
            <w:r>
              <w:rPr>
                <w:rFonts w:eastAsia="Century Gothic" w:cs="Century Gothic"/>
                <w:color w:val="000000"/>
                <w:sz w:val="18"/>
                <w:szCs w:val="18"/>
              </w:rPr>
              <w:t>105 (39.3%)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1323F2" w14:textId="77777777" w:rsidR="001C19F3" w:rsidRDefault="001C19F3" w:rsidP="00521305">
            <w:pPr>
              <w:spacing w:before="40" w:after="40"/>
              <w:ind w:left="100" w:right="100"/>
              <w:jc w:val="right"/>
            </w:pPr>
            <w:r>
              <w:rPr>
                <w:rFonts w:eastAsia="Century Gothic" w:cs="Century Gothic"/>
                <w:color w:val="000000"/>
                <w:sz w:val="18"/>
                <w:szCs w:val="18"/>
              </w:rPr>
              <w:t>105 (40.1%)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56DCD9" w14:textId="77777777" w:rsidR="001C19F3" w:rsidRDefault="001C19F3" w:rsidP="00521305">
            <w:pPr>
              <w:spacing w:before="40" w:after="40"/>
              <w:ind w:left="100" w:right="100"/>
              <w:jc w:val="right"/>
            </w:pPr>
            <w:r>
              <w:rPr>
                <w:rFonts w:eastAsia="Century Gothic" w:cs="Century Gothic"/>
                <w:color w:val="000000"/>
                <w:sz w:val="18"/>
                <w:szCs w:val="18"/>
              </w:rPr>
              <w:t>0.669</w:t>
            </w:r>
          </w:p>
        </w:tc>
      </w:tr>
      <w:tr w:rsidR="001C19F3" w14:paraId="7436E44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C7C19A" w14:textId="77777777" w:rsidR="001C19F3" w:rsidRDefault="001C19F3" w:rsidP="00521305">
            <w:pPr>
              <w:spacing w:before="40" w:after="40"/>
              <w:ind w:left="160" w:right="100"/>
            </w:pPr>
            <w:r>
              <w:rPr>
                <w:rFonts w:eastAsia="Century Gothic" w:cs="Century Gothic"/>
                <w:color w:val="000000"/>
                <w:sz w:val="18"/>
                <w:szCs w:val="18"/>
              </w:rPr>
              <w:t>slight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5B0145" w14:textId="77777777" w:rsidR="001C19F3" w:rsidRDefault="001C19F3" w:rsidP="00521305">
            <w:pPr>
              <w:spacing w:before="40" w:after="40"/>
              <w:ind w:left="100" w:right="100"/>
              <w:jc w:val="center"/>
            </w:pPr>
            <w:r>
              <w:rPr>
                <w:rFonts w:eastAsia="Century Gothic" w:cs="Century Gothic"/>
                <w:color w:val="000000"/>
                <w:sz w:val="18"/>
                <w:szCs w:val="18"/>
              </w:rPr>
              <w:t>474 (23.7%)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4C831F" w14:textId="77777777" w:rsidR="001C19F3" w:rsidRDefault="001C19F3" w:rsidP="00521305">
            <w:pPr>
              <w:spacing w:before="40" w:after="40"/>
              <w:ind w:left="100" w:right="100"/>
              <w:jc w:val="center"/>
            </w:pPr>
            <w:r>
              <w:rPr>
                <w:rFonts w:eastAsia="Century Gothic" w:cs="Century Gothic"/>
                <w:color w:val="000000"/>
                <w:sz w:val="18"/>
                <w:szCs w:val="18"/>
              </w:rPr>
              <w:t>108 (26.3%)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4EE193" w14:textId="77777777" w:rsidR="001C19F3" w:rsidRDefault="001C19F3" w:rsidP="00521305">
            <w:pPr>
              <w:spacing w:before="40" w:after="40"/>
              <w:ind w:left="100" w:right="100"/>
              <w:jc w:val="center"/>
            </w:pPr>
            <w:r>
              <w:rPr>
                <w:rFonts w:eastAsia="Century Gothic" w:cs="Century Gothic"/>
                <w:color w:val="000000"/>
                <w:sz w:val="18"/>
                <w:szCs w:val="18"/>
              </w:rPr>
              <w:t>366 (23.1%)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C30AFC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D423EE" w14:textId="77777777" w:rsidR="001C19F3" w:rsidRDefault="001C19F3" w:rsidP="00521305">
            <w:pPr>
              <w:spacing w:before="40" w:after="40"/>
              <w:ind w:left="100" w:right="100"/>
              <w:jc w:val="center"/>
            </w:pPr>
            <w:r>
              <w:rPr>
                <w:rFonts w:eastAsia="Century Gothic" w:cs="Century Gothic"/>
                <w:color w:val="000000"/>
                <w:sz w:val="18"/>
                <w:szCs w:val="18"/>
              </w:rPr>
              <w:t>343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735BF7" w14:textId="77777777" w:rsidR="001C19F3" w:rsidRDefault="001C19F3" w:rsidP="00521305">
            <w:pPr>
              <w:spacing w:before="40" w:after="40"/>
              <w:ind w:left="100" w:right="100"/>
              <w:jc w:val="right"/>
            </w:pPr>
            <w:r>
              <w:rPr>
                <w:rFonts w:eastAsia="Century Gothic" w:cs="Century Gothic"/>
                <w:color w:val="000000"/>
                <w:sz w:val="18"/>
                <w:szCs w:val="18"/>
              </w:rPr>
              <w:t>74 (27.7%)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9C1243" w14:textId="77777777" w:rsidR="001C19F3" w:rsidRDefault="001C19F3" w:rsidP="00521305">
            <w:pPr>
              <w:spacing w:before="40" w:after="40"/>
              <w:ind w:left="100" w:right="100"/>
              <w:jc w:val="right"/>
            </w:pPr>
            <w:r>
              <w:rPr>
                <w:rFonts w:eastAsia="Century Gothic" w:cs="Century Gothic"/>
                <w:color w:val="000000"/>
                <w:sz w:val="18"/>
                <w:szCs w:val="18"/>
              </w:rPr>
              <w:t>57 (21.8%)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9754DD0" w14:textId="77777777" w:rsidR="001C19F3" w:rsidRDefault="001C19F3" w:rsidP="00521305">
            <w:pPr>
              <w:spacing w:after="0"/>
              <w:rPr>
                <w:sz w:val="22"/>
              </w:rPr>
            </w:pPr>
          </w:p>
        </w:tc>
      </w:tr>
      <w:tr w:rsidR="001C19F3" w14:paraId="5B41A3A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DF5439" w14:textId="77777777" w:rsidR="001C19F3" w:rsidRDefault="001C19F3" w:rsidP="00521305">
            <w:pPr>
              <w:spacing w:before="40" w:after="40"/>
              <w:ind w:left="160" w:right="100"/>
            </w:pPr>
            <w:r>
              <w:rPr>
                <w:rFonts w:eastAsia="Century Gothic" w:cs="Century Gothic"/>
                <w:color w:val="000000"/>
                <w:sz w:val="18"/>
                <w:szCs w:val="18"/>
              </w:rPr>
              <w:t>moderate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EFAFB" w14:textId="77777777" w:rsidR="001C19F3" w:rsidRDefault="001C19F3" w:rsidP="00521305">
            <w:pPr>
              <w:spacing w:before="40" w:after="40"/>
              <w:ind w:left="100" w:right="100"/>
              <w:jc w:val="center"/>
            </w:pPr>
            <w:r>
              <w:rPr>
                <w:rFonts w:eastAsia="Century Gothic" w:cs="Century Gothic"/>
                <w:color w:val="000000"/>
                <w:sz w:val="18"/>
                <w:szCs w:val="18"/>
              </w:rPr>
              <w:t>467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DF34CB" w14:textId="77777777" w:rsidR="001C19F3" w:rsidRDefault="001C19F3" w:rsidP="00521305">
            <w:pPr>
              <w:spacing w:before="40" w:after="40"/>
              <w:ind w:left="100" w:right="100"/>
              <w:jc w:val="center"/>
            </w:pPr>
            <w:r>
              <w:rPr>
                <w:rFonts w:eastAsia="Century Gothic" w:cs="Century Gothic"/>
                <w:color w:val="000000"/>
                <w:sz w:val="18"/>
                <w:szCs w:val="18"/>
              </w:rPr>
              <w:t>101 (24.6%)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91FC5" w14:textId="77777777" w:rsidR="001C19F3" w:rsidRDefault="001C19F3" w:rsidP="00521305">
            <w:pPr>
              <w:spacing w:before="40" w:after="40"/>
              <w:ind w:left="100" w:right="100"/>
              <w:jc w:val="center"/>
            </w:pPr>
            <w:r>
              <w:rPr>
                <w:rFonts w:eastAsia="Century Gothic" w:cs="Century Gothic"/>
                <w:color w:val="000000"/>
                <w:sz w:val="18"/>
                <w:szCs w:val="18"/>
              </w:rPr>
              <w:t>366 (23.1%)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644A21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0BC1F9" w14:textId="77777777" w:rsidR="001C19F3" w:rsidRDefault="001C19F3" w:rsidP="00521305">
            <w:pPr>
              <w:spacing w:before="40" w:after="40"/>
              <w:ind w:left="100" w:right="100"/>
              <w:jc w:val="center"/>
            </w:pPr>
            <w:r>
              <w:rPr>
                <w:rFonts w:eastAsia="Century Gothic" w:cs="Century Gothic"/>
                <w:color w:val="000000"/>
                <w:sz w:val="18"/>
                <w:szCs w:val="18"/>
              </w:rPr>
              <w:t>339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D30F9" w14:textId="77777777" w:rsidR="001C19F3" w:rsidRDefault="001C19F3" w:rsidP="00521305">
            <w:pPr>
              <w:spacing w:before="40" w:after="40"/>
              <w:ind w:left="100" w:right="100"/>
              <w:jc w:val="right"/>
            </w:pPr>
            <w:r>
              <w:rPr>
                <w:rFonts w:eastAsia="Century Gothic" w:cs="Century Gothic"/>
                <w:color w:val="000000"/>
                <w:sz w:val="18"/>
                <w:szCs w:val="18"/>
              </w:rPr>
              <w:t>57 (21.3%)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EC66D2" w14:textId="77777777" w:rsidR="001C19F3" w:rsidRDefault="001C19F3" w:rsidP="00521305">
            <w:pPr>
              <w:spacing w:before="40" w:after="40"/>
              <w:ind w:left="100" w:right="100"/>
              <w:jc w:val="right"/>
            </w:pPr>
            <w:r>
              <w:rPr>
                <w:rFonts w:eastAsia="Century Gothic" w:cs="Century Gothic"/>
                <w:color w:val="000000"/>
                <w:sz w:val="18"/>
                <w:szCs w:val="18"/>
              </w:rPr>
              <w:t>71 (27.1%)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2316021" w14:textId="77777777" w:rsidR="001C19F3" w:rsidRDefault="001C19F3" w:rsidP="00521305">
            <w:pPr>
              <w:spacing w:after="0"/>
              <w:rPr>
                <w:sz w:val="22"/>
              </w:rPr>
            </w:pPr>
          </w:p>
        </w:tc>
      </w:tr>
      <w:tr w:rsidR="001C19F3" w14:paraId="57E3F00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3063CA" w14:textId="77777777" w:rsidR="001C19F3" w:rsidRDefault="001C19F3" w:rsidP="00521305">
            <w:pPr>
              <w:spacing w:before="40" w:after="40"/>
              <w:ind w:left="160" w:right="100"/>
            </w:pPr>
            <w:r>
              <w:rPr>
                <w:rFonts w:eastAsia="Century Gothic" w:cs="Century Gothic"/>
                <w:color w:val="000000"/>
                <w:sz w:val="18"/>
                <w:szCs w:val="18"/>
              </w:rPr>
              <w:t>severe problems in walking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0E43E" w14:textId="77777777" w:rsidR="001C19F3" w:rsidRDefault="001C19F3" w:rsidP="00521305">
            <w:pPr>
              <w:spacing w:before="40" w:after="40"/>
              <w:ind w:left="100" w:right="100"/>
              <w:jc w:val="center"/>
            </w:pPr>
            <w:r>
              <w:rPr>
                <w:rFonts w:eastAsia="Century Gothic" w:cs="Century Gothic"/>
                <w:color w:val="000000"/>
                <w:sz w:val="18"/>
                <w:szCs w:val="18"/>
              </w:rPr>
              <w:t>177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110A5" w14:textId="77777777" w:rsidR="001C19F3" w:rsidRDefault="001C19F3" w:rsidP="00521305">
            <w:pPr>
              <w:spacing w:before="40" w:after="40"/>
              <w:ind w:left="100" w:right="100"/>
              <w:jc w:val="center"/>
            </w:pPr>
            <w:r>
              <w:rPr>
                <w:rFonts w:eastAsia="Century Gothic" w:cs="Century Gothic"/>
                <w:color w:val="000000"/>
                <w:sz w:val="18"/>
                <w:szCs w:val="18"/>
              </w:rPr>
              <w:t>43 (10.5%)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183DF0" w14:textId="77777777" w:rsidR="001C19F3" w:rsidRDefault="001C19F3" w:rsidP="00521305">
            <w:pPr>
              <w:spacing w:before="40" w:after="40"/>
              <w:ind w:left="100" w:right="100"/>
              <w:jc w:val="center"/>
            </w:pPr>
            <w:r>
              <w:rPr>
                <w:rFonts w:eastAsia="Century Gothic" w:cs="Century Gothic"/>
                <w:color w:val="000000"/>
                <w:sz w:val="18"/>
                <w:szCs w:val="18"/>
              </w:rPr>
              <w:t>134 (8.4%)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00D22A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F6AA31" w14:textId="77777777" w:rsidR="001C19F3" w:rsidRDefault="001C19F3" w:rsidP="00521305">
            <w:pPr>
              <w:spacing w:before="40" w:after="40"/>
              <w:ind w:left="100" w:right="100"/>
              <w:jc w:val="center"/>
            </w:pPr>
            <w:r>
              <w:rPr>
                <w:rFonts w:eastAsia="Century Gothic" w:cs="Century Gothic"/>
                <w:color w:val="000000"/>
                <w:sz w:val="18"/>
                <w:szCs w:val="18"/>
              </w:rPr>
              <w:t>129 (8.8%)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EC17FA" w14:textId="77777777" w:rsidR="001C19F3" w:rsidRDefault="001C19F3" w:rsidP="00521305">
            <w:pPr>
              <w:spacing w:before="40" w:after="40"/>
              <w:ind w:left="100" w:right="100"/>
              <w:jc w:val="right"/>
            </w:pPr>
            <w:r>
              <w:rPr>
                <w:rFonts w:eastAsia="Century Gothic" w:cs="Century Gothic"/>
                <w:color w:val="000000"/>
                <w:sz w:val="18"/>
                <w:szCs w:val="18"/>
              </w:rPr>
              <w:t>25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60CD87" w14:textId="77777777" w:rsidR="001C19F3" w:rsidRDefault="001C19F3" w:rsidP="00521305">
            <w:pPr>
              <w:spacing w:before="40" w:after="40"/>
              <w:ind w:left="100" w:right="100"/>
              <w:jc w:val="right"/>
            </w:pPr>
            <w:r>
              <w:rPr>
                <w:rFonts w:eastAsia="Century Gothic" w:cs="Century Gothic"/>
                <w:color w:val="000000"/>
                <w:sz w:val="18"/>
                <w:szCs w:val="18"/>
              </w:rPr>
              <w:t>23 (8.8%)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B989B0" w14:textId="77777777" w:rsidR="001C19F3" w:rsidRDefault="001C19F3" w:rsidP="00521305">
            <w:pPr>
              <w:spacing w:after="0"/>
              <w:rPr>
                <w:sz w:val="22"/>
              </w:rPr>
            </w:pPr>
          </w:p>
        </w:tc>
      </w:tr>
      <w:tr w:rsidR="001C19F3" w14:paraId="416EB71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BA371" w14:textId="77777777" w:rsidR="001C19F3" w:rsidRDefault="001C19F3" w:rsidP="00521305">
            <w:pPr>
              <w:spacing w:before="40" w:after="40"/>
              <w:ind w:left="160" w:right="100"/>
            </w:pPr>
            <w:r>
              <w:rPr>
                <w:rFonts w:eastAsia="Century Gothic" w:cs="Century Gothic"/>
                <w:color w:val="000000"/>
                <w:sz w:val="18"/>
                <w:szCs w:val="18"/>
              </w:rPr>
              <w:t>unable to walk about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3A05A9" w14:textId="77777777" w:rsidR="001C19F3" w:rsidRDefault="001C19F3" w:rsidP="00521305">
            <w:pPr>
              <w:spacing w:before="40" w:after="40"/>
              <w:ind w:left="100" w:right="100"/>
              <w:jc w:val="center"/>
            </w:pPr>
            <w:r>
              <w:rPr>
                <w:rFonts w:eastAsia="Century Gothic" w:cs="Century Gothic"/>
                <w:color w:val="000000"/>
                <w:sz w:val="18"/>
                <w:szCs w:val="18"/>
              </w:rPr>
              <w:t>39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F7F58A" w14:textId="77777777" w:rsidR="001C19F3" w:rsidRDefault="001C19F3" w:rsidP="00521305">
            <w:pPr>
              <w:spacing w:before="40" w:after="40"/>
              <w:ind w:left="100" w:right="100"/>
              <w:jc w:val="center"/>
            </w:pPr>
            <w:r>
              <w:rPr>
                <w:rFonts w:eastAsia="Century Gothic" w:cs="Century Gothic"/>
                <w:color w:val="000000"/>
                <w:sz w:val="18"/>
                <w:szCs w:val="18"/>
              </w:rPr>
              <w:t>13 (3.2%)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93A478" w14:textId="77777777" w:rsidR="001C19F3" w:rsidRDefault="001C19F3" w:rsidP="00521305">
            <w:pPr>
              <w:spacing w:before="40" w:after="40"/>
              <w:ind w:left="100" w:right="100"/>
              <w:jc w:val="center"/>
            </w:pPr>
            <w:r>
              <w:rPr>
                <w:rFonts w:eastAsia="Century Gothic" w:cs="Century Gothic"/>
                <w:color w:val="000000"/>
                <w:sz w:val="18"/>
                <w:szCs w:val="18"/>
              </w:rPr>
              <w:t>26 (1.6%)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6197AD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897AFE" w14:textId="77777777" w:rsidR="001C19F3" w:rsidRDefault="001C19F3" w:rsidP="00521305">
            <w:pPr>
              <w:spacing w:before="40" w:after="40"/>
              <w:ind w:left="100" w:right="100"/>
              <w:jc w:val="center"/>
            </w:pPr>
            <w:r>
              <w:rPr>
                <w:rFonts w:eastAsia="Century Gothic" w:cs="Century Gothic"/>
                <w:color w:val="000000"/>
                <w:sz w:val="18"/>
                <w:szCs w:val="18"/>
              </w:rPr>
              <w:t>27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403EA9" w14:textId="77777777" w:rsidR="001C19F3" w:rsidRDefault="001C19F3" w:rsidP="00521305">
            <w:pPr>
              <w:spacing w:before="40" w:after="40"/>
              <w:ind w:left="100" w:right="100"/>
              <w:jc w:val="right"/>
            </w:pPr>
            <w:r>
              <w:rPr>
                <w:rFonts w:eastAsia="Century Gothic" w:cs="Century Gothic"/>
                <w:color w:val="000000"/>
                <w:sz w:val="18"/>
                <w:szCs w:val="18"/>
              </w:rPr>
              <w:t>6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B0B1D0" w14:textId="77777777" w:rsidR="001C19F3" w:rsidRDefault="001C19F3" w:rsidP="00521305">
            <w:pPr>
              <w:spacing w:before="40" w:after="40"/>
              <w:ind w:left="100" w:right="100"/>
              <w:jc w:val="right"/>
            </w:pPr>
            <w:r>
              <w:rPr>
                <w:rFonts w:eastAsia="Century Gothic" w:cs="Century Gothic"/>
                <w:color w:val="000000"/>
                <w:sz w:val="18"/>
                <w:szCs w:val="18"/>
              </w:rPr>
              <w:t>6 (2.3%)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3A238ED" w14:textId="77777777" w:rsidR="001C19F3" w:rsidRDefault="001C19F3" w:rsidP="00521305">
            <w:pPr>
              <w:spacing w:after="0"/>
              <w:rPr>
                <w:sz w:val="22"/>
              </w:rPr>
            </w:pPr>
          </w:p>
        </w:tc>
      </w:tr>
      <w:tr w:rsidR="001C19F3" w14:paraId="5643CAA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71A7EB" w14:textId="77777777" w:rsidR="001C19F3" w:rsidRDefault="001C19F3" w:rsidP="00521305">
            <w:pPr>
              <w:spacing w:before="40" w:after="40"/>
              <w:ind w:left="100" w:right="100"/>
            </w:pPr>
            <w:r>
              <w:rPr>
                <w:rFonts w:eastAsia="Century Gothic" w:cs="Century Gothic"/>
                <w:b/>
                <w:color w:val="000000"/>
                <w:sz w:val="18"/>
                <w:szCs w:val="18"/>
              </w:rPr>
              <w:t>F16 Self-care today (Q27)</w:t>
            </w:r>
          </w:p>
        </w:tc>
      </w:tr>
      <w:tr w:rsidR="001C19F3" w14:paraId="7589CB4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C2FC55" w14:textId="77777777" w:rsidR="001C19F3" w:rsidRDefault="001C19F3" w:rsidP="00521305">
            <w:pPr>
              <w:spacing w:before="40" w:after="40"/>
              <w:ind w:left="160" w:right="100"/>
            </w:pPr>
            <w:r>
              <w:rPr>
                <w:rFonts w:eastAsia="Century Gothic" w:cs="Century Gothic"/>
                <w:color w:val="000000"/>
                <w:sz w:val="18"/>
                <w:szCs w:val="18"/>
              </w:rPr>
              <w:t>no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57062C" w14:textId="77777777" w:rsidR="001C19F3" w:rsidRDefault="001C19F3" w:rsidP="00521305">
            <w:pPr>
              <w:spacing w:before="40" w:after="40"/>
              <w:ind w:left="100" w:right="100"/>
              <w:jc w:val="center"/>
            </w:pPr>
            <w:r>
              <w:rPr>
                <w:rFonts w:eastAsia="Century Gothic" w:cs="Century Gothic"/>
                <w:color w:val="000000"/>
                <w:sz w:val="18"/>
                <w:szCs w:val="18"/>
              </w:rPr>
              <w:t>1,637 (81.4%)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948FCB" w14:textId="77777777" w:rsidR="001C19F3" w:rsidRDefault="001C19F3" w:rsidP="00521305">
            <w:pPr>
              <w:spacing w:before="40" w:after="40"/>
              <w:ind w:left="100" w:right="100"/>
              <w:jc w:val="center"/>
            </w:pPr>
            <w:r>
              <w:rPr>
                <w:rFonts w:eastAsia="Century Gothic" w:cs="Century Gothic"/>
                <w:color w:val="000000"/>
                <w:sz w:val="18"/>
                <w:szCs w:val="18"/>
              </w:rPr>
              <w:t>312 (75.5%)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5D2600" w14:textId="77777777" w:rsidR="001C19F3" w:rsidRDefault="001C19F3" w:rsidP="00521305">
            <w:pPr>
              <w:spacing w:before="40" w:after="40"/>
              <w:ind w:left="100" w:right="100"/>
              <w:jc w:val="center"/>
            </w:pPr>
            <w:r>
              <w:rPr>
                <w:rFonts w:eastAsia="Century Gothic" w:cs="Century Gothic"/>
                <w:color w:val="000000"/>
                <w:sz w:val="18"/>
                <w:szCs w:val="18"/>
              </w:rPr>
              <w:t>1,325 (83.0%)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87C43D" w14:textId="77777777" w:rsidR="001C19F3" w:rsidRDefault="001C19F3" w:rsidP="00521305">
            <w:pPr>
              <w:spacing w:before="40" w:after="40"/>
              <w:ind w:left="100" w:right="100"/>
              <w:jc w:val="center"/>
            </w:pPr>
            <w:r>
              <w:rPr>
                <w:rFonts w:eastAsia="Century Gothic" w:cs="Century Gothic"/>
                <w:color w:val="000000"/>
                <w:sz w:val="18"/>
                <w:szCs w:val="18"/>
              </w:rPr>
              <w:t>0.005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8023E9" w14:textId="77777777" w:rsidR="001C19F3" w:rsidRDefault="001C19F3" w:rsidP="00521305">
            <w:pPr>
              <w:spacing w:before="40" w:after="40"/>
              <w:ind w:left="100" w:right="100"/>
              <w:jc w:val="center"/>
            </w:pPr>
            <w:r>
              <w:rPr>
                <w:rFonts w:eastAsia="Century Gothic" w:cs="Century Gothic"/>
                <w:color w:val="000000"/>
                <w:sz w:val="18"/>
                <w:szCs w:val="18"/>
              </w:rPr>
              <w:t>1,205 (81.8%)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EE93FD" w14:textId="77777777" w:rsidR="001C19F3" w:rsidRDefault="001C19F3" w:rsidP="00521305">
            <w:pPr>
              <w:spacing w:before="40" w:after="40"/>
              <w:ind w:left="100" w:right="100"/>
              <w:jc w:val="right"/>
            </w:pPr>
            <w:r>
              <w:rPr>
                <w:rFonts w:eastAsia="Century Gothic" w:cs="Century Gothic"/>
                <w:color w:val="000000"/>
                <w:sz w:val="18"/>
                <w:szCs w:val="18"/>
              </w:rPr>
              <w:t>221 (81.2%)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B00B93" w14:textId="77777777" w:rsidR="001C19F3" w:rsidRDefault="001C19F3" w:rsidP="00521305">
            <w:pPr>
              <w:spacing w:before="40" w:after="40"/>
              <w:ind w:left="100" w:right="100"/>
              <w:jc w:val="right"/>
            </w:pPr>
            <w:r>
              <w:rPr>
                <w:rFonts w:eastAsia="Century Gothic" w:cs="Century Gothic"/>
                <w:color w:val="000000"/>
                <w:sz w:val="18"/>
                <w:szCs w:val="18"/>
              </w:rPr>
              <w:t>211 (79.6%)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B90F39" w14:textId="77777777" w:rsidR="001C19F3" w:rsidRDefault="001C19F3" w:rsidP="00521305">
            <w:pPr>
              <w:spacing w:before="40" w:after="40"/>
              <w:ind w:left="100" w:right="100"/>
              <w:jc w:val="right"/>
            </w:pPr>
            <w:r>
              <w:rPr>
                <w:rFonts w:eastAsia="Century Gothic" w:cs="Century Gothic"/>
                <w:color w:val="000000"/>
                <w:sz w:val="18"/>
                <w:szCs w:val="18"/>
              </w:rPr>
              <w:t>0.993</w:t>
            </w:r>
          </w:p>
        </w:tc>
      </w:tr>
      <w:tr w:rsidR="001C19F3" w14:paraId="4686ECE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77CBE" w14:textId="77777777" w:rsidR="001C19F3" w:rsidRDefault="001C19F3" w:rsidP="00521305">
            <w:pPr>
              <w:spacing w:before="40" w:after="40"/>
              <w:ind w:left="160" w:right="100"/>
            </w:pPr>
            <w:r>
              <w:rPr>
                <w:rFonts w:eastAsia="Century Gothic" w:cs="Century Gothic"/>
                <w:color w:val="000000"/>
                <w:sz w:val="18"/>
                <w:szCs w:val="18"/>
              </w:rPr>
              <w:t>slight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894FE0" w14:textId="77777777" w:rsidR="001C19F3" w:rsidRDefault="001C19F3" w:rsidP="00521305">
            <w:pPr>
              <w:spacing w:before="40" w:after="40"/>
              <w:ind w:left="100" w:right="100"/>
              <w:jc w:val="center"/>
            </w:pPr>
            <w:r>
              <w:rPr>
                <w:rFonts w:eastAsia="Century Gothic" w:cs="Century Gothic"/>
                <w:color w:val="000000"/>
                <w:sz w:val="18"/>
                <w:szCs w:val="18"/>
              </w:rPr>
              <w:t>182 (9.1%)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CA2FD2" w14:textId="77777777" w:rsidR="001C19F3" w:rsidRDefault="001C19F3" w:rsidP="00521305">
            <w:pPr>
              <w:spacing w:before="40" w:after="40"/>
              <w:ind w:left="100" w:right="100"/>
              <w:jc w:val="center"/>
            </w:pPr>
            <w:r>
              <w:rPr>
                <w:rFonts w:eastAsia="Century Gothic" w:cs="Century Gothic"/>
                <w:color w:val="000000"/>
                <w:sz w:val="18"/>
                <w:szCs w:val="18"/>
              </w:rPr>
              <w:t>47 (11.4%)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997744" w14:textId="77777777" w:rsidR="001C19F3" w:rsidRDefault="001C19F3" w:rsidP="00521305">
            <w:pPr>
              <w:spacing w:before="40" w:after="40"/>
              <w:ind w:left="100" w:right="100"/>
              <w:jc w:val="center"/>
            </w:pPr>
            <w:r>
              <w:rPr>
                <w:rFonts w:eastAsia="Century Gothic" w:cs="Century Gothic"/>
                <w:color w:val="000000"/>
                <w:sz w:val="18"/>
                <w:szCs w:val="18"/>
              </w:rPr>
              <w:t>135 (8.5%)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A81157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204A32" w14:textId="77777777" w:rsidR="001C19F3" w:rsidRDefault="001C19F3" w:rsidP="00521305">
            <w:pPr>
              <w:spacing w:before="40" w:after="40"/>
              <w:ind w:left="100" w:right="100"/>
              <w:jc w:val="center"/>
            </w:pPr>
            <w:r>
              <w:rPr>
                <w:rFonts w:eastAsia="Century Gothic" w:cs="Century Gothic"/>
                <w:color w:val="000000"/>
                <w:sz w:val="18"/>
                <w:szCs w:val="18"/>
              </w:rPr>
              <w:t>128 (8.7%)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CB43B5" w14:textId="77777777" w:rsidR="001C19F3" w:rsidRDefault="001C19F3" w:rsidP="00521305">
            <w:pPr>
              <w:spacing w:before="40" w:after="40"/>
              <w:ind w:left="100" w:right="100"/>
              <w:jc w:val="right"/>
            </w:pPr>
            <w:r>
              <w:rPr>
                <w:rFonts w:eastAsia="Century Gothic" w:cs="Century Gothic"/>
                <w:color w:val="000000"/>
                <w:sz w:val="18"/>
                <w:szCs w:val="18"/>
              </w:rPr>
              <w:t>27 (9.9%)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F14953" w14:textId="77777777" w:rsidR="001C19F3" w:rsidRDefault="001C19F3" w:rsidP="00521305">
            <w:pPr>
              <w:spacing w:before="40" w:after="40"/>
              <w:ind w:left="100" w:right="100"/>
              <w:jc w:val="right"/>
            </w:pPr>
            <w:r>
              <w:rPr>
                <w:rFonts w:eastAsia="Century Gothic" w:cs="Century Gothic"/>
                <w:color w:val="000000"/>
                <w:sz w:val="18"/>
                <w:szCs w:val="18"/>
              </w:rPr>
              <w:t>27 (10.2%)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596D56F" w14:textId="77777777" w:rsidR="001C19F3" w:rsidRDefault="001C19F3" w:rsidP="00521305">
            <w:pPr>
              <w:spacing w:after="0"/>
              <w:rPr>
                <w:sz w:val="22"/>
              </w:rPr>
            </w:pPr>
          </w:p>
        </w:tc>
      </w:tr>
      <w:tr w:rsidR="001C19F3" w14:paraId="297EB62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3B0AC5" w14:textId="77777777" w:rsidR="001C19F3" w:rsidRDefault="001C19F3" w:rsidP="00521305">
            <w:pPr>
              <w:spacing w:before="40" w:after="40"/>
              <w:ind w:left="160" w:right="100"/>
            </w:pPr>
            <w:r>
              <w:rPr>
                <w:rFonts w:eastAsia="Century Gothic" w:cs="Century Gothic"/>
                <w:color w:val="000000"/>
                <w:sz w:val="18"/>
                <w:szCs w:val="18"/>
              </w:rPr>
              <w:t>moderate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1911E5" w14:textId="77777777" w:rsidR="001C19F3" w:rsidRDefault="001C19F3" w:rsidP="00521305">
            <w:pPr>
              <w:spacing w:before="40" w:after="40"/>
              <w:ind w:left="100" w:right="100"/>
              <w:jc w:val="center"/>
            </w:pPr>
            <w:r>
              <w:rPr>
                <w:rFonts w:eastAsia="Century Gothic" w:cs="Century Gothic"/>
                <w:color w:val="000000"/>
                <w:sz w:val="18"/>
                <w:szCs w:val="18"/>
              </w:rPr>
              <w:t>138 (6.9%)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D02801" w14:textId="77777777" w:rsidR="001C19F3" w:rsidRDefault="001C19F3" w:rsidP="00521305">
            <w:pPr>
              <w:spacing w:before="40" w:after="40"/>
              <w:ind w:left="100" w:right="100"/>
              <w:jc w:val="center"/>
            </w:pPr>
            <w:r>
              <w:rPr>
                <w:rFonts w:eastAsia="Century Gothic" w:cs="Century Gothic"/>
                <w:color w:val="000000"/>
                <w:sz w:val="18"/>
                <w:szCs w:val="18"/>
              </w:rPr>
              <w:t>36 (8.7%)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9B6F7B" w14:textId="77777777" w:rsidR="001C19F3" w:rsidRDefault="001C19F3" w:rsidP="00521305">
            <w:pPr>
              <w:spacing w:before="40" w:after="40"/>
              <w:ind w:left="100" w:right="100"/>
              <w:jc w:val="center"/>
            </w:pPr>
            <w:r>
              <w:rPr>
                <w:rFonts w:eastAsia="Century Gothic" w:cs="Century Gothic"/>
                <w:color w:val="000000"/>
                <w:sz w:val="18"/>
                <w:szCs w:val="18"/>
              </w:rPr>
              <w:t>102 (6.4%)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3106F3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8861C8" w14:textId="77777777" w:rsidR="001C19F3" w:rsidRDefault="001C19F3" w:rsidP="00521305">
            <w:pPr>
              <w:spacing w:before="40" w:after="40"/>
              <w:ind w:left="100" w:right="100"/>
              <w:jc w:val="center"/>
            </w:pPr>
            <w:r>
              <w:rPr>
                <w:rFonts w:eastAsia="Century Gothic" w:cs="Century Gothic"/>
                <w:color w:val="000000"/>
                <w:sz w:val="18"/>
                <w:szCs w:val="18"/>
              </w:rPr>
              <w:t>100 (6.8%)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1C21B4" w14:textId="77777777" w:rsidR="001C19F3" w:rsidRDefault="001C19F3" w:rsidP="00521305">
            <w:pPr>
              <w:spacing w:before="40" w:after="40"/>
              <w:ind w:left="100" w:right="100"/>
              <w:jc w:val="right"/>
            </w:pPr>
            <w:r>
              <w:rPr>
                <w:rFonts w:eastAsia="Century Gothic" w:cs="Century Gothic"/>
                <w:color w:val="000000"/>
                <w:sz w:val="18"/>
                <w:szCs w:val="18"/>
              </w:rPr>
              <w:t>18 (6.6%)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45CD89" w14:textId="77777777" w:rsidR="001C19F3" w:rsidRDefault="001C19F3" w:rsidP="00521305">
            <w:pPr>
              <w:spacing w:before="40" w:after="40"/>
              <w:ind w:left="100" w:right="100"/>
              <w:jc w:val="right"/>
            </w:pPr>
            <w:r>
              <w:rPr>
                <w:rFonts w:eastAsia="Century Gothic" w:cs="Century Gothic"/>
                <w:color w:val="000000"/>
                <w:sz w:val="18"/>
                <w:szCs w:val="18"/>
              </w:rPr>
              <w:t>20 (7.5%)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EABDC3" w14:textId="77777777" w:rsidR="001C19F3" w:rsidRDefault="001C19F3" w:rsidP="00521305">
            <w:pPr>
              <w:spacing w:after="0"/>
              <w:rPr>
                <w:sz w:val="22"/>
              </w:rPr>
            </w:pPr>
          </w:p>
        </w:tc>
      </w:tr>
      <w:tr w:rsidR="001C19F3" w14:paraId="754C61A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1E1D73" w14:textId="77777777" w:rsidR="001C19F3" w:rsidRDefault="001C19F3" w:rsidP="00521305">
            <w:pPr>
              <w:spacing w:before="40" w:after="40"/>
              <w:ind w:left="160" w:right="100"/>
            </w:pPr>
            <w:r>
              <w:rPr>
                <w:rFonts w:eastAsia="Century Gothic" w:cs="Century Gothic"/>
                <w:color w:val="000000"/>
                <w:sz w:val="18"/>
                <w:szCs w:val="18"/>
              </w:rPr>
              <w:t>severe problems washing or dressing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5CC296"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A1A712" w14:textId="77777777" w:rsidR="001C19F3" w:rsidRDefault="001C19F3" w:rsidP="00521305">
            <w:pPr>
              <w:spacing w:before="40" w:after="40"/>
              <w:ind w:left="100" w:right="100"/>
              <w:jc w:val="center"/>
            </w:pPr>
            <w:r>
              <w:rPr>
                <w:rFonts w:eastAsia="Century Gothic" w:cs="Century Gothic"/>
                <w:color w:val="000000"/>
                <w:sz w:val="18"/>
                <w:szCs w:val="18"/>
              </w:rPr>
              <w:t>11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932852" w14:textId="77777777" w:rsidR="001C19F3" w:rsidRDefault="001C19F3" w:rsidP="00521305">
            <w:pPr>
              <w:spacing w:before="40" w:after="40"/>
              <w:ind w:left="100" w:right="100"/>
              <w:jc w:val="center"/>
            </w:pPr>
            <w:r>
              <w:rPr>
                <w:rFonts w:eastAsia="Century Gothic" w:cs="Century Gothic"/>
                <w:color w:val="000000"/>
                <w:sz w:val="18"/>
                <w:szCs w:val="18"/>
              </w:rPr>
              <w:t>17 (1.1%)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87E8FE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638103" w14:textId="77777777" w:rsidR="001C19F3" w:rsidRDefault="001C19F3" w:rsidP="00521305">
            <w:pPr>
              <w:spacing w:before="40" w:after="40"/>
              <w:ind w:left="100" w:right="100"/>
              <w:jc w:val="center"/>
            </w:pPr>
            <w:r>
              <w:rPr>
                <w:rFonts w:eastAsia="Century Gothic" w:cs="Century Gothic"/>
                <w:color w:val="000000"/>
                <w:sz w:val="18"/>
                <w:szCs w:val="18"/>
              </w:rPr>
              <w:t>21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591FBD"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2372BA"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EF4ED9C" w14:textId="77777777" w:rsidR="001C19F3" w:rsidRDefault="001C19F3" w:rsidP="00521305">
            <w:pPr>
              <w:spacing w:after="0"/>
              <w:rPr>
                <w:sz w:val="22"/>
              </w:rPr>
            </w:pPr>
          </w:p>
        </w:tc>
      </w:tr>
      <w:tr w:rsidR="001C19F3" w14:paraId="3396908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4BE1D3" w14:textId="77777777" w:rsidR="001C19F3" w:rsidRDefault="001C19F3" w:rsidP="00521305">
            <w:pPr>
              <w:spacing w:before="40" w:after="40"/>
              <w:ind w:left="160" w:right="100"/>
            </w:pPr>
            <w:r>
              <w:rPr>
                <w:rFonts w:eastAsia="Century Gothic" w:cs="Century Gothic"/>
                <w:color w:val="000000"/>
                <w:sz w:val="18"/>
                <w:szCs w:val="18"/>
              </w:rPr>
              <w:t>unable to wash or dress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230325" w14:textId="77777777" w:rsidR="001C19F3" w:rsidRDefault="001C19F3" w:rsidP="00521305">
            <w:pPr>
              <w:spacing w:before="40" w:after="40"/>
              <w:ind w:left="100" w:right="100"/>
              <w:jc w:val="center"/>
            </w:pPr>
            <w:r>
              <w:rPr>
                <w:rFonts w:eastAsia="Century Gothic" w:cs="Century Gothic"/>
                <w:color w:val="000000"/>
                <w:sz w:val="18"/>
                <w:szCs w:val="18"/>
              </w:rPr>
              <w:t>25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3C4B5B" w14:textId="77777777" w:rsidR="001C19F3" w:rsidRDefault="001C19F3" w:rsidP="00521305">
            <w:pPr>
              <w:spacing w:before="40" w:after="40"/>
              <w:ind w:left="100" w:right="100"/>
              <w:jc w:val="center"/>
            </w:pPr>
            <w:r>
              <w:rPr>
                <w:rFonts w:eastAsia="Century Gothic" w:cs="Century Gothic"/>
                <w:color w:val="000000"/>
                <w:sz w:val="18"/>
                <w:szCs w:val="18"/>
              </w:rPr>
              <w:t>7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239C47" w14:textId="77777777" w:rsidR="001C19F3" w:rsidRDefault="001C19F3" w:rsidP="00521305">
            <w:pPr>
              <w:spacing w:before="40" w:after="40"/>
              <w:ind w:left="100" w:right="100"/>
              <w:jc w:val="center"/>
            </w:pPr>
            <w:r>
              <w:rPr>
                <w:rFonts w:eastAsia="Century Gothic" w:cs="Century Gothic"/>
                <w:color w:val="000000"/>
                <w:sz w:val="18"/>
                <w:szCs w:val="18"/>
              </w:rPr>
              <w:t>18 (1.1%)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F2F2EC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235499" w14:textId="77777777" w:rsidR="001C19F3" w:rsidRDefault="001C19F3" w:rsidP="00521305">
            <w:pPr>
              <w:spacing w:before="40" w:after="40"/>
              <w:ind w:left="100" w:right="100"/>
              <w:jc w:val="center"/>
            </w:pPr>
            <w:r>
              <w:rPr>
                <w:rFonts w:eastAsia="Century Gothic" w:cs="Century Gothic"/>
                <w:color w:val="000000"/>
                <w:sz w:val="18"/>
                <w:szCs w:val="18"/>
              </w:rPr>
              <w:t>19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16199"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BA199F"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C75F075" w14:textId="77777777" w:rsidR="001C19F3" w:rsidRDefault="001C19F3" w:rsidP="00521305">
            <w:pPr>
              <w:spacing w:after="0"/>
              <w:rPr>
                <w:sz w:val="22"/>
              </w:rPr>
            </w:pPr>
          </w:p>
        </w:tc>
      </w:tr>
      <w:tr w:rsidR="001C19F3" w14:paraId="12267E9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340EBF" w14:textId="77777777" w:rsidR="001C19F3" w:rsidRDefault="001C19F3" w:rsidP="00521305">
            <w:pPr>
              <w:spacing w:before="40" w:after="40"/>
              <w:ind w:left="100" w:right="100"/>
            </w:pPr>
            <w:r>
              <w:rPr>
                <w:rFonts w:eastAsia="Century Gothic" w:cs="Century Gothic"/>
                <w:b/>
                <w:color w:val="000000"/>
                <w:sz w:val="18"/>
                <w:szCs w:val="18"/>
              </w:rPr>
              <w:t>F17 Usual activities today (Q27)</w:t>
            </w:r>
          </w:p>
        </w:tc>
      </w:tr>
      <w:tr w:rsidR="001C19F3" w14:paraId="607A689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35273" w14:textId="77777777" w:rsidR="001C19F3" w:rsidRDefault="001C19F3" w:rsidP="00521305">
            <w:pPr>
              <w:spacing w:before="40" w:after="40"/>
              <w:ind w:left="160" w:right="100"/>
            </w:pPr>
            <w:r>
              <w:rPr>
                <w:rFonts w:eastAsia="Century Gothic" w:cs="Century Gothic"/>
                <w:color w:val="000000"/>
                <w:sz w:val="18"/>
                <w:szCs w:val="18"/>
              </w:rPr>
              <w:t>no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0EFFAF" w14:textId="77777777" w:rsidR="001C19F3" w:rsidRDefault="001C19F3" w:rsidP="00521305">
            <w:pPr>
              <w:spacing w:before="40" w:after="40"/>
              <w:ind w:left="100" w:right="100"/>
              <w:jc w:val="center"/>
            </w:pPr>
            <w:r>
              <w:rPr>
                <w:rFonts w:eastAsia="Century Gothic" w:cs="Century Gothic"/>
                <w:color w:val="000000"/>
                <w:sz w:val="18"/>
                <w:szCs w:val="18"/>
              </w:rPr>
              <w:t>1,042 (52.2%)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73CAB8" w14:textId="77777777" w:rsidR="001C19F3" w:rsidRDefault="001C19F3" w:rsidP="00521305">
            <w:pPr>
              <w:spacing w:before="40" w:after="40"/>
              <w:ind w:left="100" w:right="100"/>
              <w:jc w:val="center"/>
            </w:pPr>
            <w:r>
              <w:rPr>
                <w:rFonts w:eastAsia="Century Gothic" w:cs="Century Gothic"/>
                <w:color w:val="000000"/>
                <w:sz w:val="18"/>
                <w:szCs w:val="18"/>
              </w:rPr>
              <w:t>201 (48.9%)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34CF49" w14:textId="77777777" w:rsidR="001C19F3" w:rsidRDefault="001C19F3" w:rsidP="00521305">
            <w:pPr>
              <w:spacing w:before="40" w:after="40"/>
              <w:ind w:left="100" w:right="100"/>
              <w:jc w:val="center"/>
            </w:pPr>
            <w:r>
              <w:rPr>
                <w:rFonts w:eastAsia="Century Gothic" w:cs="Century Gothic"/>
                <w:color w:val="000000"/>
                <w:sz w:val="18"/>
                <w:szCs w:val="18"/>
              </w:rPr>
              <w:t>841 (53.1%)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00E036" w14:textId="77777777" w:rsidR="001C19F3" w:rsidRDefault="001C19F3" w:rsidP="00521305">
            <w:pPr>
              <w:spacing w:before="40" w:after="40"/>
              <w:ind w:left="100" w:right="100"/>
              <w:jc w:val="center"/>
            </w:pPr>
            <w:r>
              <w:rPr>
                <w:rFonts w:eastAsia="Century Gothic" w:cs="Century Gothic"/>
                <w:color w:val="000000"/>
                <w:sz w:val="18"/>
                <w:szCs w:val="18"/>
              </w:rPr>
              <w:t>0.044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A65668" w14:textId="77777777" w:rsidR="001C19F3" w:rsidRDefault="001C19F3" w:rsidP="00521305">
            <w:pPr>
              <w:spacing w:before="40" w:after="40"/>
              <w:ind w:left="100" w:right="100"/>
              <w:jc w:val="center"/>
            </w:pPr>
            <w:r>
              <w:rPr>
                <w:rFonts w:eastAsia="Century Gothic" w:cs="Century Gothic"/>
                <w:color w:val="000000"/>
                <w:sz w:val="18"/>
                <w:szCs w:val="18"/>
              </w:rPr>
              <w:t>799 (54.7%)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4D7EA5" w14:textId="77777777" w:rsidR="001C19F3" w:rsidRDefault="001C19F3" w:rsidP="00521305">
            <w:pPr>
              <w:spacing w:before="40" w:after="40"/>
              <w:ind w:left="100" w:right="100"/>
              <w:jc w:val="right"/>
            </w:pPr>
            <w:r>
              <w:rPr>
                <w:rFonts w:eastAsia="Century Gothic" w:cs="Century Gothic"/>
                <w:color w:val="000000"/>
                <w:sz w:val="18"/>
                <w:szCs w:val="18"/>
              </w:rPr>
              <w:t>117 (43.5%)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002F86" w14:textId="77777777" w:rsidR="001C19F3" w:rsidRDefault="001C19F3" w:rsidP="00521305">
            <w:pPr>
              <w:spacing w:before="40" w:after="40"/>
              <w:ind w:left="100" w:right="100"/>
              <w:jc w:val="right"/>
            </w:pPr>
            <w:r>
              <w:rPr>
                <w:rFonts w:eastAsia="Century Gothic" w:cs="Century Gothic"/>
                <w:color w:val="000000"/>
                <w:sz w:val="18"/>
                <w:szCs w:val="18"/>
              </w:rPr>
              <w:t>126 (47.5%)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2BE844"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C36226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0A8A25" w14:textId="77777777" w:rsidR="001C19F3" w:rsidRDefault="001C19F3" w:rsidP="00521305">
            <w:pPr>
              <w:spacing w:before="40" w:after="40"/>
              <w:ind w:left="160" w:right="100"/>
            </w:pPr>
            <w:r>
              <w:rPr>
                <w:rFonts w:eastAsia="Century Gothic" w:cs="Century Gothic"/>
                <w:color w:val="000000"/>
                <w:sz w:val="18"/>
                <w:szCs w:val="18"/>
              </w:rPr>
              <w:lastRenderedPageBreak/>
              <w:t>slight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6296DD" w14:textId="77777777" w:rsidR="001C19F3" w:rsidRDefault="001C19F3" w:rsidP="00521305">
            <w:pPr>
              <w:spacing w:before="40" w:after="40"/>
              <w:ind w:left="100" w:right="100"/>
              <w:jc w:val="center"/>
            </w:pPr>
            <w:r>
              <w:rPr>
                <w:rFonts w:eastAsia="Century Gothic" w:cs="Century Gothic"/>
                <w:color w:val="000000"/>
                <w:sz w:val="18"/>
                <w:szCs w:val="18"/>
              </w:rPr>
              <w:t>466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28BEE" w14:textId="77777777" w:rsidR="001C19F3" w:rsidRDefault="001C19F3" w:rsidP="00521305">
            <w:pPr>
              <w:spacing w:before="40" w:after="40"/>
              <w:ind w:left="100" w:right="100"/>
              <w:jc w:val="center"/>
            </w:pPr>
            <w:r>
              <w:rPr>
                <w:rFonts w:eastAsia="Century Gothic" w:cs="Century Gothic"/>
                <w:color w:val="000000"/>
                <w:sz w:val="18"/>
                <w:szCs w:val="18"/>
              </w:rPr>
              <w:t>101 (24.6%)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FEF5A9" w14:textId="77777777" w:rsidR="001C19F3" w:rsidRDefault="001C19F3" w:rsidP="00521305">
            <w:pPr>
              <w:spacing w:before="40" w:after="40"/>
              <w:ind w:left="100" w:right="100"/>
              <w:jc w:val="center"/>
            </w:pPr>
            <w:r>
              <w:rPr>
                <w:rFonts w:eastAsia="Century Gothic" w:cs="Century Gothic"/>
                <w:color w:val="000000"/>
                <w:sz w:val="18"/>
                <w:szCs w:val="18"/>
              </w:rPr>
              <w:t>365 (23.0%)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E234A2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E1B53A" w14:textId="77777777" w:rsidR="001C19F3" w:rsidRDefault="001C19F3" w:rsidP="00521305">
            <w:pPr>
              <w:spacing w:before="40" w:after="40"/>
              <w:ind w:left="100" w:right="100"/>
              <w:jc w:val="center"/>
            </w:pPr>
            <w:r>
              <w:rPr>
                <w:rFonts w:eastAsia="Century Gothic" w:cs="Century Gothic"/>
                <w:color w:val="000000"/>
                <w:sz w:val="18"/>
                <w:szCs w:val="18"/>
              </w:rPr>
              <w:t>315 (21.6%)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F26F33" w14:textId="77777777" w:rsidR="001C19F3" w:rsidRDefault="001C19F3" w:rsidP="00521305">
            <w:pPr>
              <w:spacing w:before="40" w:after="40"/>
              <w:ind w:left="100" w:right="100"/>
              <w:jc w:val="right"/>
            </w:pPr>
            <w:r>
              <w:rPr>
                <w:rFonts w:eastAsia="Century Gothic" w:cs="Century Gothic"/>
                <w:color w:val="000000"/>
                <w:sz w:val="18"/>
                <w:szCs w:val="18"/>
              </w:rPr>
              <w:t>87 (32.3%)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A0DE8E" w14:textId="77777777" w:rsidR="001C19F3" w:rsidRDefault="001C19F3" w:rsidP="00521305">
            <w:pPr>
              <w:spacing w:before="40" w:after="40"/>
              <w:ind w:left="100" w:right="100"/>
              <w:jc w:val="right"/>
            </w:pPr>
            <w:r>
              <w:rPr>
                <w:rFonts w:eastAsia="Century Gothic" w:cs="Century Gothic"/>
                <w:color w:val="000000"/>
                <w:sz w:val="18"/>
                <w:szCs w:val="18"/>
              </w:rPr>
              <w:t>64 (24.2%)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086BE10" w14:textId="77777777" w:rsidR="001C19F3" w:rsidRDefault="001C19F3" w:rsidP="00521305">
            <w:pPr>
              <w:spacing w:after="0"/>
              <w:rPr>
                <w:sz w:val="22"/>
              </w:rPr>
            </w:pPr>
          </w:p>
        </w:tc>
      </w:tr>
      <w:tr w:rsidR="001C19F3" w14:paraId="259A5F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D3E620" w14:textId="77777777" w:rsidR="001C19F3" w:rsidRDefault="001C19F3" w:rsidP="00521305">
            <w:pPr>
              <w:spacing w:before="40" w:after="40"/>
              <w:ind w:left="160" w:right="100"/>
            </w:pPr>
            <w:r>
              <w:rPr>
                <w:rFonts w:eastAsia="Century Gothic" w:cs="Century Gothic"/>
                <w:color w:val="000000"/>
                <w:sz w:val="18"/>
                <w:szCs w:val="18"/>
              </w:rPr>
              <w:t>moderate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302ADA" w14:textId="77777777" w:rsidR="001C19F3" w:rsidRDefault="001C19F3" w:rsidP="00521305">
            <w:pPr>
              <w:spacing w:before="40" w:after="40"/>
              <w:ind w:left="100" w:right="100"/>
              <w:jc w:val="center"/>
            </w:pPr>
            <w:r>
              <w:rPr>
                <w:rFonts w:eastAsia="Century Gothic" w:cs="Century Gothic"/>
                <w:color w:val="000000"/>
                <w:sz w:val="18"/>
                <w:szCs w:val="18"/>
              </w:rPr>
              <w:t>341 (17.1%)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E89CC6" w14:textId="77777777" w:rsidR="001C19F3" w:rsidRDefault="001C19F3" w:rsidP="00521305">
            <w:pPr>
              <w:spacing w:before="40" w:after="40"/>
              <w:ind w:left="100" w:right="100"/>
              <w:jc w:val="center"/>
            </w:pPr>
            <w:r>
              <w:rPr>
                <w:rFonts w:eastAsia="Century Gothic" w:cs="Century Gothic"/>
                <w:color w:val="000000"/>
                <w:sz w:val="18"/>
                <w:szCs w:val="18"/>
              </w:rPr>
              <w:t>71 (17.3%)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D33EE3" w14:textId="77777777" w:rsidR="001C19F3" w:rsidRDefault="001C19F3" w:rsidP="00521305">
            <w:pPr>
              <w:spacing w:before="40" w:after="40"/>
              <w:ind w:left="100" w:right="100"/>
              <w:jc w:val="center"/>
            </w:pPr>
            <w:r>
              <w:rPr>
                <w:rFonts w:eastAsia="Century Gothic" w:cs="Century Gothic"/>
                <w:color w:val="000000"/>
                <w:sz w:val="18"/>
                <w:szCs w:val="18"/>
              </w:rPr>
              <w:t>270 (17.0%)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220449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F4ECB6" w14:textId="77777777" w:rsidR="001C19F3" w:rsidRDefault="001C19F3" w:rsidP="00521305">
            <w:pPr>
              <w:spacing w:before="40" w:after="40"/>
              <w:ind w:left="100" w:right="100"/>
              <w:jc w:val="center"/>
            </w:pPr>
            <w:r>
              <w:rPr>
                <w:rFonts w:eastAsia="Century Gothic" w:cs="Century Gothic"/>
                <w:color w:val="000000"/>
                <w:sz w:val="18"/>
                <w:szCs w:val="18"/>
              </w:rPr>
              <w:t>235 (16.1%)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29EC5E" w14:textId="77777777" w:rsidR="001C19F3" w:rsidRDefault="001C19F3" w:rsidP="00521305">
            <w:pPr>
              <w:spacing w:before="40" w:after="40"/>
              <w:ind w:left="100" w:right="100"/>
              <w:jc w:val="right"/>
            </w:pPr>
            <w:r>
              <w:rPr>
                <w:rFonts w:eastAsia="Century Gothic" w:cs="Century Gothic"/>
                <w:color w:val="000000"/>
                <w:sz w:val="18"/>
                <w:szCs w:val="18"/>
              </w:rPr>
              <w:t>52 (19.3%)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5D9B80" w14:textId="77777777" w:rsidR="001C19F3" w:rsidRDefault="001C19F3" w:rsidP="00521305">
            <w:pPr>
              <w:spacing w:before="40" w:after="40"/>
              <w:ind w:left="100" w:right="100"/>
              <w:jc w:val="right"/>
            </w:pPr>
            <w:r>
              <w:rPr>
                <w:rFonts w:eastAsia="Century Gothic" w:cs="Century Gothic"/>
                <w:color w:val="000000"/>
                <w:sz w:val="18"/>
                <w:szCs w:val="18"/>
              </w:rPr>
              <w:t>54 (20.4%)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223770A" w14:textId="77777777" w:rsidR="001C19F3" w:rsidRDefault="001C19F3" w:rsidP="00521305">
            <w:pPr>
              <w:spacing w:after="0"/>
              <w:rPr>
                <w:sz w:val="22"/>
              </w:rPr>
            </w:pPr>
          </w:p>
        </w:tc>
      </w:tr>
      <w:tr w:rsidR="001C19F3" w14:paraId="0BBE059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5152F0" w14:textId="77777777" w:rsidR="001C19F3" w:rsidRDefault="001C19F3" w:rsidP="00521305">
            <w:pPr>
              <w:spacing w:before="40" w:after="40"/>
              <w:ind w:left="160" w:right="100"/>
            </w:pPr>
            <w:r>
              <w:rPr>
                <w:rFonts w:eastAsia="Century Gothic" w:cs="Century Gothic"/>
                <w:color w:val="000000"/>
                <w:sz w:val="18"/>
                <w:szCs w:val="18"/>
              </w:rPr>
              <w:t>severe problems doing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E78514" w14:textId="77777777" w:rsidR="001C19F3" w:rsidRDefault="001C19F3" w:rsidP="00521305">
            <w:pPr>
              <w:spacing w:before="40" w:after="40"/>
              <w:ind w:left="100" w:right="100"/>
              <w:jc w:val="center"/>
            </w:pPr>
            <w:r>
              <w:rPr>
                <w:rFonts w:eastAsia="Century Gothic" w:cs="Century Gothic"/>
                <w:color w:val="000000"/>
                <w:sz w:val="18"/>
                <w:szCs w:val="18"/>
              </w:rPr>
              <w:t>80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E8F31B" w14:textId="77777777" w:rsidR="001C19F3" w:rsidRDefault="001C19F3" w:rsidP="00521305">
            <w:pPr>
              <w:spacing w:before="40" w:after="40"/>
              <w:ind w:left="100" w:right="100"/>
              <w:jc w:val="center"/>
            </w:pPr>
            <w:r>
              <w:rPr>
                <w:rFonts w:eastAsia="Century Gothic" w:cs="Century Gothic"/>
                <w:color w:val="000000"/>
                <w:sz w:val="18"/>
                <w:szCs w:val="18"/>
              </w:rPr>
              <w:t>15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C33E69" w14:textId="77777777" w:rsidR="001C19F3" w:rsidRDefault="001C19F3" w:rsidP="00521305">
            <w:pPr>
              <w:spacing w:before="40" w:after="40"/>
              <w:ind w:left="100" w:right="100"/>
              <w:jc w:val="center"/>
            </w:pPr>
            <w:r>
              <w:rPr>
                <w:rFonts w:eastAsia="Century Gothic" w:cs="Century Gothic"/>
                <w:color w:val="000000"/>
                <w:sz w:val="18"/>
                <w:szCs w:val="18"/>
              </w:rPr>
              <w:t>65 (4.1%)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03DFAC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CAFD84" w14:textId="77777777" w:rsidR="001C19F3" w:rsidRDefault="001C19F3" w:rsidP="00521305">
            <w:pPr>
              <w:spacing w:before="40" w:after="40"/>
              <w:ind w:left="100" w:right="100"/>
              <w:jc w:val="center"/>
            </w:pPr>
            <w:r>
              <w:rPr>
                <w:rFonts w:eastAsia="Century Gothic" w:cs="Century Gothic"/>
                <w:color w:val="000000"/>
                <w:sz w:val="18"/>
                <w:szCs w:val="18"/>
              </w:rPr>
              <w:t>56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6C542B" w14:textId="77777777" w:rsidR="001C19F3" w:rsidRDefault="001C19F3" w:rsidP="00521305">
            <w:pPr>
              <w:spacing w:before="40" w:after="40"/>
              <w:ind w:left="100" w:right="100"/>
              <w:jc w:val="right"/>
            </w:pPr>
            <w:r>
              <w:rPr>
                <w:rFonts w:eastAsia="Century Gothic" w:cs="Century Gothic"/>
                <w:color w:val="000000"/>
                <w:sz w:val="18"/>
                <w:szCs w:val="18"/>
              </w:rPr>
              <w:t>9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E5DDB3" w14:textId="77777777" w:rsidR="001C19F3" w:rsidRDefault="001C19F3" w:rsidP="00521305">
            <w:pPr>
              <w:spacing w:before="40" w:after="40"/>
              <w:ind w:left="100" w:right="100"/>
              <w:jc w:val="right"/>
            </w:pPr>
            <w:r>
              <w:rPr>
                <w:rFonts w:eastAsia="Century Gothic" w:cs="Century Gothic"/>
                <w:color w:val="000000"/>
                <w:sz w:val="18"/>
                <w:szCs w:val="18"/>
              </w:rPr>
              <w:t>15 (5.7%)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576DB0C" w14:textId="77777777" w:rsidR="001C19F3" w:rsidRDefault="001C19F3" w:rsidP="00521305">
            <w:pPr>
              <w:spacing w:after="0"/>
              <w:rPr>
                <w:sz w:val="22"/>
              </w:rPr>
            </w:pPr>
          </w:p>
        </w:tc>
      </w:tr>
      <w:tr w:rsidR="001C19F3" w14:paraId="0FA95F4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EA6953" w14:textId="77777777" w:rsidR="001C19F3" w:rsidRDefault="001C19F3" w:rsidP="00521305">
            <w:pPr>
              <w:spacing w:before="40" w:after="40"/>
              <w:ind w:left="160" w:right="100"/>
            </w:pPr>
            <w:r>
              <w:rPr>
                <w:rFonts w:eastAsia="Century Gothic" w:cs="Century Gothic"/>
                <w:color w:val="000000"/>
                <w:sz w:val="18"/>
                <w:szCs w:val="18"/>
              </w:rPr>
              <w:t>unable to do usual activities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D75059" w14:textId="77777777" w:rsidR="001C19F3" w:rsidRDefault="001C19F3" w:rsidP="00521305">
            <w:pPr>
              <w:spacing w:before="40" w:after="40"/>
              <w:ind w:left="100" w:right="100"/>
              <w:jc w:val="center"/>
            </w:pPr>
            <w:r>
              <w:rPr>
                <w:rFonts w:eastAsia="Century Gothic" w:cs="Century Gothic"/>
                <w:color w:val="000000"/>
                <w:sz w:val="18"/>
                <w:szCs w:val="18"/>
              </w:rPr>
              <w:t>66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322CD7" w14:textId="77777777" w:rsidR="001C19F3" w:rsidRDefault="001C19F3" w:rsidP="00521305">
            <w:pPr>
              <w:spacing w:before="40" w:after="40"/>
              <w:ind w:left="100" w:right="100"/>
              <w:jc w:val="center"/>
            </w:pPr>
            <w:r>
              <w:rPr>
                <w:rFonts w:eastAsia="Century Gothic" w:cs="Century Gothic"/>
                <w:color w:val="000000"/>
                <w:sz w:val="18"/>
                <w:szCs w:val="18"/>
              </w:rPr>
              <w:t>23 (5.6%)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EF0B05" w14:textId="77777777" w:rsidR="001C19F3" w:rsidRDefault="001C19F3" w:rsidP="00521305">
            <w:pPr>
              <w:spacing w:before="40" w:after="40"/>
              <w:ind w:left="100" w:right="100"/>
              <w:jc w:val="center"/>
            </w:pPr>
            <w:r>
              <w:rPr>
                <w:rFonts w:eastAsia="Century Gothic" w:cs="Century Gothic"/>
                <w:color w:val="000000"/>
                <w:sz w:val="18"/>
                <w:szCs w:val="18"/>
              </w:rPr>
              <w:t>43 (2.7%)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186B3A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A60825" w14:textId="77777777" w:rsidR="001C19F3" w:rsidRDefault="001C19F3" w:rsidP="00521305">
            <w:pPr>
              <w:spacing w:before="40" w:after="40"/>
              <w:ind w:left="100" w:right="100"/>
              <w:jc w:val="center"/>
            </w:pPr>
            <w:r>
              <w:rPr>
                <w:rFonts w:eastAsia="Century Gothic" w:cs="Century Gothic"/>
                <w:color w:val="000000"/>
                <w:sz w:val="18"/>
                <w:szCs w:val="18"/>
              </w:rPr>
              <w:t>56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935992"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DFFF9F" w14:textId="77777777" w:rsidR="001C19F3" w:rsidRDefault="001C19F3" w:rsidP="00521305">
            <w:pPr>
              <w:spacing w:before="40" w:after="40"/>
              <w:ind w:left="100" w:right="100"/>
              <w:jc w:val="right"/>
            </w:pPr>
            <w:r>
              <w:rPr>
                <w:rFonts w:eastAsia="Century Gothic" w:cs="Century Gothic"/>
                <w:color w:val="000000"/>
                <w:sz w:val="18"/>
                <w:szCs w:val="18"/>
              </w:rPr>
              <w:t>6 (2.3%)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E5E3879" w14:textId="77777777" w:rsidR="001C19F3" w:rsidRDefault="001C19F3" w:rsidP="00521305">
            <w:pPr>
              <w:spacing w:after="0"/>
              <w:rPr>
                <w:sz w:val="22"/>
              </w:rPr>
            </w:pPr>
          </w:p>
        </w:tc>
      </w:tr>
      <w:tr w:rsidR="001C19F3" w14:paraId="0DEE3D5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B856FE" w14:textId="77777777" w:rsidR="001C19F3" w:rsidRDefault="001C19F3" w:rsidP="00521305">
            <w:pPr>
              <w:spacing w:before="40" w:after="40"/>
              <w:ind w:left="100" w:right="100"/>
            </w:pPr>
            <w:r>
              <w:rPr>
                <w:rFonts w:eastAsia="Century Gothic" w:cs="Century Gothic"/>
                <w:b/>
                <w:color w:val="000000"/>
                <w:sz w:val="18"/>
                <w:szCs w:val="18"/>
              </w:rPr>
              <w:t>F18 Pain or discomfort today (Q27)</w:t>
            </w:r>
          </w:p>
        </w:tc>
      </w:tr>
      <w:tr w:rsidR="001C19F3" w14:paraId="482D03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B32DC3" w14:textId="77777777" w:rsidR="001C19F3" w:rsidRDefault="001C19F3" w:rsidP="00521305">
            <w:pPr>
              <w:spacing w:before="40" w:after="40"/>
              <w:ind w:left="160" w:right="100"/>
            </w:pPr>
            <w:r>
              <w:rPr>
                <w:rFonts w:eastAsia="Century Gothic" w:cs="Century Gothic"/>
                <w:color w:val="000000"/>
                <w:sz w:val="18"/>
                <w:szCs w:val="18"/>
              </w:rPr>
              <w:t>no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EF4370" w14:textId="77777777" w:rsidR="001C19F3" w:rsidRDefault="001C19F3" w:rsidP="00521305">
            <w:pPr>
              <w:spacing w:before="40" w:after="40"/>
              <w:ind w:left="100" w:right="100"/>
              <w:jc w:val="center"/>
            </w:pPr>
            <w:r>
              <w:rPr>
                <w:rFonts w:eastAsia="Century Gothic" w:cs="Century Gothic"/>
                <w:color w:val="000000"/>
                <w:sz w:val="18"/>
                <w:szCs w:val="18"/>
              </w:rPr>
              <w:t>565 (28.3%)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FB2955" w14:textId="77777777" w:rsidR="001C19F3" w:rsidRDefault="001C19F3" w:rsidP="00521305">
            <w:pPr>
              <w:spacing w:before="40" w:after="40"/>
              <w:ind w:left="100" w:right="100"/>
              <w:jc w:val="center"/>
            </w:pPr>
            <w:r>
              <w:rPr>
                <w:rFonts w:eastAsia="Century Gothic" w:cs="Century Gothic"/>
                <w:color w:val="000000"/>
                <w:sz w:val="18"/>
                <w:szCs w:val="18"/>
              </w:rPr>
              <w:t>105 (25.4%)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6D6F47" w14:textId="77777777" w:rsidR="001C19F3" w:rsidRDefault="001C19F3" w:rsidP="00521305">
            <w:pPr>
              <w:spacing w:before="40" w:after="40"/>
              <w:ind w:left="100" w:right="100"/>
              <w:jc w:val="center"/>
            </w:pPr>
            <w:r>
              <w:rPr>
                <w:rFonts w:eastAsia="Century Gothic" w:cs="Century Gothic"/>
                <w:color w:val="000000"/>
                <w:sz w:val="18"/>
                <w:szCs w:val="18"/>
              </w:rPr>
              <w:t>460 (29.0%)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2E8FB" w14:textId="77777777" w:rsidR="001C19F3" w:rsidRDefault="001C19F3" w:rsidP="00521305">
            <w:pPr>
              <w:spacing w:before="40" w:after="40"/>
              <w:ind w:left="100" w:right="100"/>
              <w:jc w:val="center"/>
            </w:pPr>
            <w:r>
              <w:rPr>
                <w:rFonts w:eastAsia="Century Gothic" w:cs="Century Gothic"/>
                <w:color w:val="000000"/>
                <w:sz w:val="18"/>
                <w:szCs w:val="18"/>
              </w:rPr>
              <w:t>0.097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0DE7F" w14:textId="77777777" w:rsidR="001C19F3" w:rsidRDefault="001C19F3" w:rsidP="00521305">
            <w:pPr>
              <w:spacing w:before="40" w:after="40"/>
              <w:ind w:left="100" w:right="100"/>
              <w:jc w:val="center"/>
            </w:pPr>
            <w:r>
              <w:rPr>
                <w:rFonts w:eastAsia="Century Gothic" w:cs="Century Gothic"/>
                <w:color w:val="000000"/>
                <w:sz w:val="18"/>
                <w:szCs w:val="18"/>
              </w:rPr>
              <w:t>427 (29.1%)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246489" w14:textId="77777777" w:rsidR="001C19F3" w:rsidRDefault="001C19F3" w:rsidP="00521305">
            <w:pPr>
              <w:spacing w:before="40" w:after="40"/>
              <w:ind w:left="100" w:right="100"/>
              <w:jc w:val="right"/>
            </w:pPr>
            <w:r>
              <w:rPr>
                <w:rFonts w:eastAsia="Century Gothic" w:cs="Century Gothic"/>
                <w:color w:val="000000"/>
                <w:sz w:val="18"/>
                <w:szCs w:val="18"/>
              </w:rPr>
              <w:t>75 (28.2%)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31B0AA" w14:textId="77777777" w:rsidR="001C19F3" w:rsidRDefault="001C19F3" w:rsidP="00521305">
            <w:pPr>
              <w:spacing w:before="40" w:after="40"/>
              <w:ind w:left="100" w:right="100"/>
              <w:jc w:val="right"/>
            </w:pPr>
            <w:r>
              <w:rPr>
                <w:rFonts w:eastAsia="Century Gothic" w:cs="Century Gothic"/>
                <w:color w:val="000000"/>
                <w:sz w:val="18"/>
                <w:szCs w:val="18"/>
              </w:rPr>
              <w:t>63 (24.0%)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533BE1" w14:textId="77777777" w:rsidR="001C19F3" w:rsidRDefault="001C19F3" w:rsidP="00521305">
            <w:pPr>
              <w:spacing w:before="40" w:after="40"/>
              <w:ind w:left="100" w:right="100"/>
              <w:jc w:val="right"/>
            </w:pPr>
            <w:r>
              <w:rPr>
                <w:rFonts w:eastAsia="Century Gothic" w:cs="Century Gothic"/>
                <w:color w:val="000000"/>
                <w:sz w:val="18"/>
                <w:szCs w:val="18"/>
              </w:rPr>
              <w:t>0.343</w:t>
            </w:r>
          </w:p>
        </w:tc>
      </w:tr>
      <w:tr w:rsidR="001C19F3" w14:paraId="130E32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EEFA45" w14:textId="77777777" w:rsidR="001C19F3" w:rsidRDefault="001C19F3" w:rsidP="00521305">
            <w:pPr>
              <w:spacing w:before="40" w:after="40"/>
              <w:ind w:left="160" w:right="100"/>
            </w:pPr>
            <w:r>
              <w:rPr>
                <w:rFonts w:eastAsia="Century Gothic" w:cs="Century Gothic"/>
                <w:color w:val="000000"/>
                <w:sz w:val="18"/>
                <w:szCs w:val="18"/>
              </w:rPr>
              <w:t>slight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03D0B4" w14:textId="77777777" w:rsidR="001C19F3" w:rsidRDefault="001C19F3" w:rsidP="00521305">
            <w:pPr>
              <w:spacing w:before="40" w:after="40"/>
              <w:ind w:left="100" w:right="100"/>
              <w:jc w:val="center"/>
            </w:pPr>
            <w:r>
              <w:rPr>
                <w:rFonts w:eastAsia="Century Gothic" w:cs="Century Gothic"/>
                <w:color w:val="000000"/>
                <w:sz w:val="18"/>
                <w:szCs w:val="18"/>
              </w:rPr>
              <w:t>686 (34.4%)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6A669A" w14:textId="77777777" w:rsidR="001C19F3" w:rsidRDefault="001C19F3" w:rsidP="00521305">
            <w:pPr>
              <w:spacing w:before="40" w:after="40"/>
              <w:ind w:left="100" w:right="100"/>
              <w:jc w:val="center"/>
            </w:pPr>
            <w:r>
              <w:rPr>
                <w:rFonts w:eastAsia="Century Gothic" w:cs="Century Gothic"/>
                <w:color w:val="000000"/>
                <w:sz w:val="18"/>
                <w:szCs w:val="18"/>
              </w:rPr>
              <w:t>137 (33.2%)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EF1149" w14:textId="77777777" w:rsidR="001C19F3" w:rsidRDefault="001C19F3" w:rsidP="00521305">
            <w:pPr>
              <w:spacing w:before="40" w:after="40"/>
              <w:ind w:left="100" w:right="100"/>
              <w:jc w:val="center"/>
            </w:pPr>
            <w:r>
              <w:rPr>
                <w:rFonts w:eastAsia="Century Gothic" w:cs="Century Gothic"/>
                <w:color w:val="000000"/>
                <w:sz w:val="18"/>
                <w:szCs w:val="18"/>
              </w:rPr>
              <w:t>549 (34.7%)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7771A9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35962" w14:textId="77777777" w:rsidR="001C19F3" w:rsidRDefault="001C19F3" w:rsidP="00521305">
            <w:pPr>
              <w:spacing w:before="40" w:after="40"/>
              <w:ind w:left="100" w:right="100"/>
              <w:jc w:val="center"/>
            </w:pPr>
            <w:r>
              <w:rPr>
                <w:rFonts w:eastAsia="Century Gothic" w:cs="Century Gothic"/>
                <w:color w:val="000000"/>
                <w:sz w:val="18"/>
                <w:szCs w:val="18"/>
              </w:rPr>
              <w:t>503 (34.2%)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8F897" w14:textId="77777777" w:rsidR="001C19F3" w:rsidRDefault="001C19F3" w:rsidP="00521305">
            <w:pPr>
              <w:spacing w:before="40" w:after="40"/>
              <w:ind w:left="100" w:right="100"/>
              <w:jc w:val="right"/>
            </w:pPr>
            <w:r>
              <w:rPr>
                <w:rFonts w:eastAsia="Century Gothic" w:cs="Century Gothic"/>
                <w:color w:val="000000"/>
                <w:sz w:val="18"/>
                <w:szCs w:val="18"/>
              </w:rPr>
              <w:t>96 (36.1%)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59997" w14:textId="77777777" w:rsidR="001C19F3" w:rsidRDefault="001C19F3" w:rsidP="00521305">
            <w:pPr>
              <w:spacing w:before="40" w:after="40"/>
              <w:ind w:left="100" w:right="100"/>
              <w:jc w:val="right"/>
            </w:pPr>
            <w:r>
              <w:rPr>
                <w:rFonts w:eastAsia="Century Gothic" w:cs="Century Gothic"/>
                <w:color w:val="000000"/>
                <w:sz w:val="18"/>
                <w:szCs w:val="18"/>
              </w:rPr>
              <w:t>87 (33.2%)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E11FC6F" w14:textId="77777777" w:rsidR="001C19F3" w:rsidRDefault="001C19F3" w:rsidP="00521305">
            <w:pPr>
              <w:spacing w:after="0"/>
              <w:rPr>
                <w:sz w:val="22"/>
              </w:rPr>
            </w:pPr>
          </w:p>
        </w:tc>
      </w:tr>
      <w:tr w:rsidR="001C19F3" w14:paraId="2D7CD7C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B6FBCF" w14:textId="77777777" w:rsidR="001C19F3" w:rsidRDefault="001C19F3" w:rsidP="00521305">
            <w:pPr>
              <w:spacing w:before="40" w:after="40"/>
              <w:ind w:left="160" w:right="100"/>
            </w:pPr>
            <w:r>
              <w:rPr>
                <w:rFonts w:eastAsia="Century Gothic" w:cs="Century Gothic"/>
                <w:color w:val="000000"/>
                <w:sz w:val="18"/>
                <w:szCs w:val="18"/>
              </w:rPr>
              <w:t>moderate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E6F5D6" w14:textId="77777777" w:rsidR="001C19F3" w:rsidRDefault="001C19F3" w:rsidP="00521305">
            <w:pPr>
              <w:spacing w:before="40" w:after="40"/>
              <w:ind w:left="100" w:right="100"/>
              <w:jc w:val="center"/>
            </w:pPr>
            <w:r>
              <w:rPr>
                <w:rFonts w:eastAsia="Century Gothic" w:cs="Century Gothic"/>
                <w:color w:val="000000"/>
                <w:sz w:val="18"/>
                <w:szCs w:val="18"/>
              </w:rPr>
              <w:t>565 (28.3%)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71F114" w14:textId="77777777" w:rsidR="001C19F3" w:rsidRDefault="001C19F3" w:rsidP="00521305">
            <w:pPr>
              <w:spacing w:before="40" w:after="40"/>
              <w:ind w:left="100" w:right="100"/>
              <w:jc w:val="center"/>
            </w:pPr>
            <w:r>
              <w:rPr>
                <w:rFonts w:eastAsia="Century Gothic" w:cs="Century Gothic"/>
                <w:color w:val="000000"/>
                <w:sz w:val="18"/>
                <w:szCs w:val="18"/>
              </w:rPr>
              <w:t>131 (31.7%)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A5A0B" w14:textId="77777777" w:rsidR="001C19F3" w:rsidRDefault="001C19F3" w:rsidP="00521305">
            <w:pPr>
              <w:spacing w:before="40" w:after="40"/>
              <w:ind w:left="100" w:right="100"/>
              <w:jc w:val="center"/>
            </w:pPr>
            <w:r>
              <w:rPr>
                <w:rFonts w:eastAsia="Century Gothic" w:cs="Century Gothic"/>
                <w:color w:val="000000"/>
                <w:sz w:val="18"/>
                <w:szCs w:val="18"/>
              </w:rPr>
              <w:t>434 (27.4%)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9D204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ED0EAE" w14:textId="77777777" w:rsidR="001C19F3" w:rsidRDefault="001C19F3" w:rsidP="00521305">
            <w:pPr>
              <w:spacing w:before="40" w:after="40"/>
              <w:ind w:left="100" w:right="100"/>
              <w:jc w:val="center"/>
            </w:pPr>
            <w:r>
              <w:rPr>
                <w:rFonts w:eastAsia="Century Gothic" w:cs="Century Gothic"/>
                <w:color w:val="000000"/>
                <w:sz w:val="18"/>
                <w:szCs w:val="18"/>
              </w:rPr>
              <w:t>404 (27.5%)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58E17B" w14:textId="77777777" w:rsidR="001C19F3" w:rsidRDefault="001C19F3" w:rsidP="00521305">
            <w:pPr>
              <w:spacing w:before="40" w:after="40"/>
              <w:ind w:left="100" w:right="100"/>
              <w:jc w:val="right"/>
            </w:pPr>
            <w:r>
              <w:rPr>
                <w:rFonts w:eastAsia="Century Gothic" w:cs="Century Gothic"/>
                <w:color w:val="000000"/>
                <w:sz w:val="18"/>
                <w:szCs w:val="18"/>
              </w:rPr>
              <w:t>75 (28.2%)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F1555" w14:textId="77777777" w:rsidR="001C19F3" w:rsidRDefault="001C19F3" w:rsidP="00521305">
            <w:pPr>
              <w:spacing w:before="40" w:after="40"/>
              <w:ind w:left="100" w:right="100"/>
              <w:jc w:val="right"/>
            </w:pPr>
            <w:r>
              <w:rPr>
                <w:rFonts w:eastAsia="Century Gothic" w:cs="Century Gothic"/>
                <w:color w:val="000000"/>
                <w:sz w:val="18"/>
                <w:szCs w:val="18"/>
              </w:rPr>
              <w:t>86 (32.8%)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4723C38" w14:textId="77777777" w:rsidR="001C19F3" w:rsidRDefault="001C19F3" w:rsidP="00521305">
            <w:pPr>
              <w:spacing w:after="0"/>
              <w:rPr>
                <w:sz w:val="22"/>
              </w:rPr>
            </w:pPr>
          </w:p>
        </w:tc>
      </w:tr>
      <w:tr w:rsidR="001C19F3" w14:paraId="54DB66B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DF5C9" w14:textId="77777777" w:rsidR="001C19F3" w:rsidRDefault="001C19F3" w:rsidP="00521305">
            <w:pPr>
              <w:spacing w:before="40" w:after="40"/>
              <w:ind w:left="160" w:right="100"/>
            </w:pPr>
            <w:r>
              <w:rPr>
                <w:rFonts w:eastAsia="Century Gothic" w:cs="Century Gothic"/>
                <w:color w:val="000000"/>
                <w:sz w:val="18"/>
                <w:szCs w:val="18"/>
              </w:rPr>
              <w:t>severe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7ADE5B" w14:textId="77777777" w:rsidR="001C19F3" w:rsidRDefault="001C19F3" w:rsidP="00521305">
            <w:pPr>
              <w:spacing w:before="40" w:after="40"/>
              <w:ind w:left="100" w:right="100"/>
              <w:jc w:val="center"/>
            </w:pPr>
            <w:r>
              <w:rPr>
                <w:rFonts w:eastAsia="Century Gothic" w:cs="Century Gothic"/>
                <w:color w:val="000000"/>
                <w:sz w:val="18"/>
                <w:szCs w:val="18"/>
              </w:rPr>
              <w:t>153 (7.7%)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B14E0E" w14:textId="77777777" w:rsidR="001C19F3" w:rsidRDefault="001C19F3" w:rsidP="00521305">
            <w:pPr>
              <w:spacing w:before="40" w:after="40"/>
              <w:ind w:left="100" w:right="100"/>
              <w:jc w:val="center"/>
            </w:pPr>
            <w:r>
              <w:rPr>
                <w:rFonts w:eastAsia="Century Gothic" w:cs="Century Gothic"/>
                <w:color w:val="000000"/>
                <w:sz w:val="18"/>
                <w:szCs w:val="18"/>
              </w:rPr>
              <w:t>30 (7.3%)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0C58CF" w14:textId="77777777" w:rsidR="001C19F3" w:rsidRDefault="001C19F3" w:rsidP="00521305">
            <w:pPr>
              <w:spacing w:before="40" w:after="40"/>
              <w:ind w:left="100" w:right="100"/>
              <w:jc w:val="center"/>
            </w:pPr>
            <w:r>
              <w:rPr>
                <w:rFonts w:eastAsia="Century Gothic" w:cs="Century Gothic"/>
                <w:color w:val="000000"/>
                <w:sz w:val="18"/>
                <w:szCs w:val="18"/>
              </w:rPr>
              <w:t>123 (7.8%)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3B7E25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7378ED" w14:textId="77777777" w:rsidR="001C19F3" w:rsidRDefault="001C19F3" w:rsidP="00521305">
            <w:pPr>
              <w:spacing w:before="40" w:after="40"/>
              <w:ind w:left="100" w:right="100"/>
              <w:jc w:val="center"/>
            </w:pPr>
            <w:r>
              <w:rPr>
                <w:rFonts w:eastAsia="Century Gothic" w:cs="Century Gothic"/>
                <w:color w:val="000000"/>
                <w:sz w:val="18"/>
                <w:szCs w:val="18"/>
              </w:rPr>
              <w:t>111 (7.6%)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F2FAF4" w14:textId="77777777" w:rsidR="001C19F3" w:rsidRDefault="001C19F3" w:rsidP="00521305">
            <w:pPr>
              <w:spacing w:before="40" w:after="40"/>
              <w:ind w:left="100" w:right="100"/>
              <w:jc w:val="right"/>
            </w:pPr>
            <w:r>
              <w:rPr>
                <w:rFonts w:eastAsia="Century Gothic" w:cs="Century Gothic"/>
                <w:color w:val="000000"/>
                <w:sz w:val="18"/>
                <w:szCs w:val="18"/>
              </w:rPr>
              <w:t>17 (6.4%)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926132" w14:textId="77777777" w:rsidR="001C19F3" w:rsidRDefault="001C19F3" w:rsidP="00521305">
            <w:pPr>
              <w:spacing w:before="40" w:after="40"/>
              <w:ind w:left="100" w:right="100"/>
              <w:jc w:val="right"/>
            </w:pPr>
            <w:r>
              <w:rPr>
                <w:rFonts w:eastAsia="Century Gothic" w:cs="Century Gothic"/>
                <w:color w:val="000000"/>
                <w:sz w:val="18"/>
                <w:szCs w:val="18"/>
              </w:rPr>
              <w:t>25 (9.5%)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6A78D10" w14:textId="77777777" w:rsidR="001C19F3" w:rsidRDefault="001C19F3" w:rsidP="00521305">
            <w:pPr>
              <w:spacing w:after="0"/>
              <w:rPr>
                <w:sz w:val="22"/>
              </w:rPr>
            </w:pPr>
          </w:p>
        </w:tc>
      </w:tr>
      <w:tr w:rsidR="001C19F3" w14:paraId="5EB7206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016F41" w14:textId="77777777" w:rsidR="001C19F3" w:rsidRDefault="001C19F3" w:rsidP="00521305">
            <w:pPr>
              <w:spacing w:before="40" w:after="40"/>
              <w:ind w:left="160" w:right="100"/>
            </w:pPr>
            <w:r>
              <w:rPr>
                <w:rFonts w:eastAsia="Century Gothic" w:cs="Century Gothic"/>
                <w:color w:val="000000"/>
                <w:sz w:val="18"/>
                <w:szCs w:val="18"/>
              </w:rPr>
              <w:t>extreme pain or discomfort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15B720"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1F2E67" w14:textId="77777777" w:rsidR="001C19F3" w:rsidRDefault="001C19F3" w:rsidP="00521305">
            <w:pPr>
              <w:spacing w:before="40" w:after="40"/>
              <w:ind w:left="100" w:right="100"/>
              <w:jc w:val="center"/>
            </w:pPr>
            <w:r>
              <w:rPr>
                <w:rFonts w:eastAsia="Century Gothic" w:cs="Century Gothic"/>
                <w:color w:val="000000"/>
                <w:sz w:val="18"/>
                <w:szCs w:val="18"/>
              </w:rPr>
              <w:t>10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43FCB6" w14:textId="77777777" w:rsidR="001C19F3" w:rsidRDefault="001C19F3" w:rsidP="00521305">
            <w:pPr>
              <w:spacing w:before="40" w:after="40"/>
              <w:ind w:left="100" w:right="100"/>
              <w:jc w:val="center"/>
            </w:pPr>
            <w:r>
              <w:rPr>
                <w:rFonts w:eastAsia="Century Gothic" w:cs="Century Gothic"/>
                <w:color w:val="000000"/>
                <w:sz w:val="18"/>
                <w:szCs w:val="18"/>
              </w:rPr>
              <w:t>18 (1.1%)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C429D0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8FA169" w14:textId="77777777" w:rsidR="001C19F3" w:rsidRDefault="001C19F3" w:rsidP="00521305">
            <w:pPr>
              <w:spacing w:before="40" w:after="40"/>
              <w:ind w:left="100" w:right="100"/>
              <w:jc w:val="center"/>
            </w:pPr>
            <w:r>
              <w:rPr>
                <w:rFonts w:eastAsia="Century Gothic" w:cs="Century Gothic"/>
                <w:color w:val="000000"/>
                <w:sz w:val="18"/>
                <w:szCs w:val="18"/>
              </w:rPr>
              <w:t>24 (1.6%)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302111"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07186E8"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E514455" w14:textId="77777777" w:rsidR="001C19F3" w:rsidRDefault="001C19F3" w:rsidP="00521305">
            <w:pPr>
              <w:spacing w:after="0"/>
              <w:rPr>
                <w:sz w:val="22"/>
              </w:rPr>
            </w:pPr>
          </w:p>
        </w:tc>
      </w:tr>
      <w:tr w:rsidR="001C19F3" w14:paraId="7BC85B1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622F96" w14:textId="77777777" w:rsidR="001C19F3" w:rsidRDefault="001C19F3" w:rsidP="00521305">
            <w:pPr>
              <w:spacing w:before="40" w:after="40"/>
              <w:ind w:left="100" w:right="100"/>
            </w:pPr>
            <w:r>
              <w:rPr>
                <w:rFonts w:eastAsia="Century Gothic" w:cs="Century Gothic"/>
                <w:b/>
                <w:color w:val="000000"/>
                <w:sz w:val="18"/>
                <w:szCs w:val="18"/>
              </w:rPr>
              <w:t>F19 Anxiety or depression today (Q27)</w:t>
            </w:r>
          </w:p>
        </w:tc>
      </w:tr>
      <w:tr w:rsidR="001C19F3" w14:paraId="1C0E958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5C6EA1" w14:textId="77777777" w:rsidR="001C19F3" w:rsidRDefault="001C19F3" w:rsidP="00521305">
            <w:pPr>
              <w:spacing w:before="40" w:after="40"/>
              <w:ind w:left="160" w:right="100"/>
            </w:pPr>
            <w:r>
              <w:rPr>
                <w:rFonts w:eastAsia="Century Gothic" w:cs="Century Gothic"/>
                <w:color w:val="000000"/>
                <w:sz w:val="18"/>
                <w:szCs w:val="18"/>
              </w:rPr>
              <w:t>not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D0383" w14:textId="77777777" w:rsidR="001C19F3" w:rsidRDefault="001C19F3" w:rsidP="00521305">
            <w:pPr>
              <w:spacing w:before="40" w:after="40"/>
              <w:ind w:left="100" w:right="100"/>
              <w:jc w:val="center"/>
            </w:pPr>
            <w:r>
              <w:rPr>
                <w:rFonts w:eastAsia="Century Gothic" w:cs="Century Gothic"/>
                <w:color w:val="000000"/>
                <w:sz w:val="18"/>
                <w:szCs w:val="18"/>
              </w:rPr>
              <w:t>1,305 (65.3%)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C7714" w14:textId="77777777" w:rsidR="001C19F3" w:rsidRDefault="001C19F3" w:rsidP="00521305">
            <w:pPr>
              <w:spacing w:before="40" w:after="40"/>
              <w:ind w:left="100" w:right="100"/>
              <w:jc w:val="center"/>
            </w:pPr>
            <w:r>
              <w:rPr>
                <w:rFonts w:eastAsia="Century Gothic" w:cs="Century Gothic"/>
                <w:color w:val="000000"/>
                <w:sz w:val="18"/>
                <w:szCs w:val="18"/>
              </w:rPr>
              <w:t>255 (62.2%)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126D7" w14:textId="77777777" w:rsidR="001C19F3" w:rsidRDefault="001C19F3" w:rsidP="00521305">
            <w:pPr>
              <w:spacing w:before="40" w:after="40"/>
              <w:ind w:left="100" w:right="100"/>
              <w:jc w:val="center"/>
            </w:pPr>
            <w:r>
              <w:rPr>
                <w:rFonts w:eastAsia="Century Gothic" w:cs="Century Gothic"/>
                <w:color w:val="000000"/>
                <w:sz w:val="18"/>
                <w:szCs w:val="18"/>
              </w:rPr>
              <w:t>1,050 (66.2%)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BBC126" w14:textId="77777777" w:rsidR="001C19F3" w:rsidRDefault="001C19F3" w:rsidP="00521305">
            <w:pPr>
              <w:spacing w:before="40" w:after="40"/>
              <w:ind w:left="100" w:right="100"/>
              <w:jc w:val="center"/>
            </w:pPr>
            <w:r>
              <w:rPr>
                <w:rFonts w:eastAsia="Century Gothic" w:cs="Century Gothic"/>
                <w:color w:val="000000"/>
                <w:sz w:val="18"/>
                <w:szCs w:val="18"/>
              </w:rPr>
              <w:t>0.303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EDADBE" w14:textId="77777777" w:rsidR="001C19F3" w:rsidRDefault="001C19F3" w:rsidP="00521305">
            <w:pPr>
              <w:spacing w:before="40" w:after="40"/>
              <w:ind w:left="100" w:right="100"/>
              <w:jc w:val="center"/>
            </w:pPr>
            <w:r>
              <w:rPr>
                <w:rFonts w:eastAsia="Century Gothic" w:cs="Century Gothic"/>
                <w:color w:val="000000"/>
                <w:sz w:val="18"/>
                <w:szCs w:val="18"/>
              </w:rPr>
              <w:t>957 (65.5%)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2F0AD2" w14:textId="77777777" w:rsidR="001C19F3" w:rsidRDefault="001C19F3" w:rsidP="00521305">
            <w:pPr>
              <w:spacing w:before="40" w:after="40"/>
              <w:ind w:left="100" w:right="100"/>
              <w:jc w:val="right"/>
            </w:pPr>
            <w:r>
              <w:rPr>
                <w:rFonts w:eastAsia="Century Gothic" w:cs="Century Gothic"/>
                <w:color w:val="000000"/>
                <w:sz w:val="18"/>
                <w:szCs w:val="18"/>
              </w:rPr>
              <w:t>175 (63.9%)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EE7FE" w14:textId="77777777" w:rsidR="001C19F3" w:rsidRDefault="001C19F3" w:rsidP="00521305">
            <w:pPr>
              <w:spacing w:before="40" w:after="40"/>
              <w:ind w:left="100" w:right="100"/>
              <w:jc w:val="right"/>
            </w:pPr>
            <w:r>
              <w:rPr>
                <w:rFonts w:eastAsia="Century Gothic" w:cs="Century Gothic"/>
                <w:color w:val="000000"/>
                <w:sz w:val="18"/>
                <w:szCs w:val="18"/>
              </w:rPr>
              <w:t>173 (66.0%)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D6BC9C" w14:textId="77777777" w:rsidR="001C19F3" w:rsidRDefault="001C19F3" w:rsidP="00521305">
            <w:pPr>
              <w:spacing w:before="40" w:after="40"/>
              <w:ind w:left="100" w:right="100"/>
              <w:jc w:val="right"/>
            </w:pPr>
            <w:r>
              <w:rPr>
                <w:rFonts w:eastAsia="Century Gothic" w:cs="Century Gothic"/>
                <w:color w:val="000000"/>
                <w:sz w:val="18"/>
                <w:szCs w:val="18"/>
              </w:rPr>
              <w:t>0.160</w:t>
            </w:r>
          </w:p>
        </w:tc>
      </w:tr>
      <w:tr w:rsidR="001C19F3" w14:paraId="0BC8567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8A0778" w14:textId="77777777" w:rsidR="001C19F3" w:rsidRDefault="001C19F3" w:rsidP="00521305">
            <w:pPr>
              <w:spacing w:before="40" w:after="40"/>
              <w:ind w:left="160" w:right="100"/>
            </w:pPr>
            <w:r>
              <w:rPr>
                <w:rFonts w:eastAsia="Century Gothic" w:cs="Century Gothic"/>
                <w:color w:val="000000"/>
                <w:sz w:val="18"/>
                <w:szCs w:val="18"/>
              </w:rPr>
              <w:t>slightly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4D7ABC" w14:textId="77777777" w:rsidR="001C19F3" w:rsidRDefault="001C19F3" w:rsidP="00521305">
            <w:pPr>
              <w:spacing w:before="40" w:after="40"/>
              <w:ind w:left="100" w:right="100"/>
              <w:jc w:val="center"/>
            </w:pPr>
            <w:r>
              <w:rPr>
                <w:rFonts w:eastAsia="Century Gothic" w:cs="Century Gothic"/>
                <w:color w:val="000000"/>
                <w:sz w:val="18"/>
                <w:szCs w:val="18"/>
              </w:rPr>
              <w:t>366 (18.3%)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6A46C1" w14:textId="77777777" w:rsidR="001C19F3" w:rsidRDefault="001C19F3" w:rsidP="00521305">
            <w:pPr>
              <w:spacing w:before="40" w:after="40"/>
              <w:ind w:left="100" w:right="100"/>
              <w:jc w:val="center"/>
            </w:pPr>
            <w:r>
              <w:rPr>
                <w:rFonts w:eastAsia="Century Gothic" w:cs="Century Gothic"/>
                <w:color w:val="000000"/>
                <w:sz w:val="18"/>
                <w:szCs w:val="18"/>
              </w:rPr>
              <w:t>85 (20.7%)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292663" w14:textId="77777777" w:rsidR="001C19F3" w:rsidRDefault="001C19F3" w:rsidP="00521305">
            <w:pPr>
              <w:spacing w:before="40" w:after="40"/>
              <w:ind w:left="100" w:right="100"/>
              <w:jc w:val="center"/>
            </w:pPr>
            <w:r>
              <w:rPr>
                <w:rFonts w:eastAsia="Century Gothic" w:cs="Century Gothic"/>
                <w:color w:val="000000"/>
                <w:sz w:val="18"/>
                <w:szCs w:val="18"/>
              </w:rPr>
              <w:t>281 (17.7%)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4B2A0B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CC9D50" w14:textId="77777777" w:rsidR="001C19F3" w:rsidRDefault="001C19F3" w:rsidP="00521305">
            <w:pPr>
              <w:spacing w:before="40" w:after="40"/>
              <w:ind w:left="100" w:right="100"/>
              <w:jc w:val="center"/>
            </w:pPr>
            <w:r>
              <w:rPr>
                <w:rFonts w:eastAsia="Century Gothic" w:cs="Century Gothic"/>
                <w:color w:val="000000"/>
                <w:sz w:val="18"/>
                <w:szCs w:val="18"/>
              </w:rPr>
              <w:t>263 (18.0%)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BC0A8A" w14:textId="77777777" w:rsidR="001C19F3" w:rsidRDefault="001C19F3" w:rsidP="00521305">
            <w:pPr>
              <w:spacing w:before="40" w:after="40"/>
              <w:ind w:left="100" w:right="100"/>
              <w:jc w:val="right"/>
            </w:pPr>
            <w:r>
              <w:rPr>
                <w:rFonts w:eastAsia="Century Gothic" w:cs="Century Gothic"/>
                <w:color w:val="000000"/>
                <w:sz w:val="18"/>
                <w:szCs w:val="18"/>
              </w:rPr>
              <w:t>59 (21.5%)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ED0901" w14:textId="77777777" w:rsidR="001C19F3" w:rsidRDefault="001C19F3" w:rsidP="00521305">
            <w:pPr>
              <w:spacing w:before="40" w:after="40"/>
              <w:ind w:left="100" w:right="100"/>
              <w:jc w:val="right"/>
            </w:pPr>
            <w:r>
              <w:rPr>
                <w:rFonts w:eastAsia="Century Gothic" w:cs="Century Gothic"/>
                <w:color w:val="000000"/>
                <w:sz w:val="18"/>
                <w:szCs w:val="18"/>
              </w:rPr>
              <w:t>44 (16.8%)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B7F4008" w14:textId="77777777" w:rsidR="001C19F3" w:rsidRDefault="001C19F3" w:rsidP="00521305">
            <w:pPr>
              <w:spacing w:after="0"/>
              <w:rPr>
                <w:sz w:val="22"/>
              </w:rPr>
            </w:pPr>
          </w:p>
        </w:tc>
      </w:tr>
      <w:tr w:rsidR="001C19F3" w14:paraId="740FD19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AABC53" w14:textId="77777777" w:rsidR="001C19F3" w:rsidRDefault="001C19F3" w:rsidP="00521305">
            <w:pPr>
              <w:spacing w:before="40" w:after="40"/>
              <w:ind w:left="160" w:right="100"/>
            </w:pPr>
            <w:r>
              <w:rPr>
                <w:rFonts w:eastAsia="Century Gothic" w:cs="Century Gothic"/>
                <w:color w:val="000000"/>
                <w:sz w:val="18"/>
                <w:szCs w:val="18"/>
              </w:rPr>
              <w:t>moderately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07777E" w14:textId="77777777" w:rsidR="001C19F3" w:rsidRDefault="001C19F3" w:rsidP="00521305">
            <w:pPr>
              <w:spacing w:before="40" w:after="40"/>
              <w:ind w:left="100" w:right="100"/>
              <w:jc w:val="center"/>
            </w:pPr>
            <w:r>
              <w:rPr>
                <w:rFonts w:eastAsia="Century Gothic" w:cs="Century Gothic"/>
                <w:color w:val="000000"/>
                <w:sz w:val="18"/>
                <w:szCs w:val="18"/>
              </w:rPr>
              <w:t>265 (13.3%)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801794" w14:textId="77777777" w:rsidR="001C19F3" w:rsidRDefault="001C19F3" w:rsidP="00521305">
            <w:pPr>
              <w:spacing w:before="40" w:after="40"/>
              <w:ind w:left="100" w:right="100"/>
              <w:jc w:val="center"/>
            </w:pPr>
            <w:r>
              <w:rPr>
                <w:rFonts w:eastAsia="Century Gothic" w:cs="Century Gothic"/>
                <w:color w:val="000000"/>
                <w:sz w:val="18"/>
                <w:szCs w:val="18"/>
              </w:rPr>
              <w:t>57 (13.9%)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157DE2" w14:textId="77777777" w:rsidR="001C19F3" w:rsidRDefault="001C19F3" w:rsidP="00521305">
            <w:pPr>
              <w:spacing w:before="40" w:after="40"/>
              <w:ind w:left="100" w:right="100"/>
              <w:jc w:val="center"/>
            </w:pPr>
            <w:r>
              <w:rPr>
                <w:rFonts w:eastAsia="Century Gothic" w:cs="Century Gothic"/>
                <w:color w:val="000000"/>
                <w:sz w:val="18"/>
                <w:szCs w:val="18"/>
              </w:rPr>
              <w:t>208 (13.1%)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18AF6E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2EF7C6" w14:textId="77777777" w:rsidR="001C19F3" w:rsidRDefault="001C19F3" w:rsidP="00521305">
            <w:pPr>
              <w:spacing w:before="40" w:after="40"/>
              <w:ind w:left="100" w:right="100"/>
              <w:jc w:val="center"/>
            </w:pPr>
            <w:r>
              <w:rPr>
                <w:rFonts w:eastAsia="Century Gothic" w:cs="Century Gothic"/>
                <w:color w:val="000000"/>
                <w:sz w:val="18"/>
                <w:szCs w:val="18"/>
              </w:rPr>
              <w:t>187 (12.8%)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44A6F" w14:textId="77777777" w:rsidR="001C19F3" w:rsidRDefault="001C19F3" w:rsidP="00521305">
            <w:pPr>
              <w:spacing w:before="40" w:after="40"/>
              <w:ind w:left="100" w:right="100"/>
              <w:jc w:val="right"/>
            </w:pPr>
            <w:r>
              <w:rPr>
                <w:rFonts w:eastAsia="Century Gothic" w:cs="Century Gothic"/>
                <w:color w:val="000000"/>
                <w:sz w:val="18"/>
                <w:szCs w:val="18"/>
              </w:rPr>
              <w:t>36 (13.1%)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08668E" w14:textId="77777777" w:rsidR="001C19F3" w:rsidRDefault="001C19F3" w:rsidP="00521305">
            <w:pPr>
              <w:spacing w:before="40" w:after="40"/>
              <w:ind w:left="100" w:right="100"/>
              <w:jc w:val="right"/>
            </w:pPr>
            <w:r>
              <w:rPr>
                <w:rFonts w:eastAsia="Century Gothic" w:cs="Century Gothic"/>
                <w:color w:val="000000"/>
                <w:sz w:val="18"/>
                <w:szCs w:val="18"/>
              </w:rPr>
              <w:t>42 (16.0%)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533472" w14:textId="77777777" w:rsidR="001C19F3" w:rsidRDefault="001C19F3" w:rsidP="00521305">
            <w:pPr>
              <w:spacing w:after="0"/>
              <w:rPr>
                <w:sz w:val="22"/>
              </w:rPr>
            </w:pPr>
          </w:p>
        </w:tc>
      </w:tr>
      <w:tr w:rsidR="001C19F3" w14:paraId="03D5FD5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8F922" w14:textId="77777777" w:rsidR="001C19F3" w:rsidRDefault="001C19F3" w:rsidP="00521305">
            <w:pPr>
              <w:spacing w:before="40" w:after="40"/>
              <w:ind w:left="160" w:right="100"/>
            </w:pPr>
            <w:r>
              <w:rPr>
                <w:rFonts w:eastAsia="Century Gothic" w:cs="Century Gothic"/>
                <w:color w:val="000000"/>
                <w:sz w:val="18"/>
                <w:szCs w:val="18"/>
              </w:rPr>
              <w:t>severely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AA4E51" w14:textId="77777777" w:rsidR="001C19F3" w:rsidRDefault="001C19F3" w:rsidP="00521305">
            <w:pPr>
              <w:spacing w:before="40" w:after="40"/>
              <w:ind w:left="100" w:right="100"/>
              <w:jc w:val="center"/>
            </w:pPr>
            <w:r>
              <w:rPr>
                <w:rFonts w:eastAsia="Century Gothic" w:cs="Century Gothic"/>
                <w:color w:val="000000"/>
                <w:sz w:val="18"/>
                <w:szCs w:val="18"/>
              </w:rPr>
              <w:t>43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8B3F68" w14:textId="77777777" w:rsidR="001C19F3" w:rsidRDefault="001C19F3" w:rsidP="00521305">
            <w:pPr>
              <w:spacing w:before="40" w:after="40"/>
              <w:ind w:left="100" w:right="100"/>
              <w:jc w:val="center"/>
            </w:pPr>
            <w:r>
              <w:rPr>
                <w:rFonts w:eastAsia="Century Gothic" w:cs="Century Gothic"/>
                <w:color w:val="000000"/>
                <w:sz w:val="18"/>
                <w:szCs w:val="18"/>
              </w:rPr>
              <w:t>7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0C6BA5" w14:textId="77777777" w:rsidR="001C19F3" w:rsidRDefault="001C19F3" w:rsidP="00521305">
            <w:pPr>
              <w:spacing w:before="40" w:after="40"/>
              <w:ind w:left="100" w:right="100"/>
              <w:jc w:val="center"/>
            </w:pPr>
            <w:r>
              <w:rPr>
                <w:rFonts w:eastAsia="Century Gothic" w:cs="Century Gothic"/>
                <w:color w:val="000000"/>
                <w:sz w:val="18"/>
                <w:szCs w:val="18"/>
              </w:rPr>
              <w:t>36 (2.3%)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D8A843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FFF632" w14:textId="77777777" w:rsidR="001C19F3" w:rsidRDefault="001C19F3" w:rsidP="00521305">
            <w:pPr>
              <w:spacing w:before="40" w:after="40"/>
              <w:ind w:left="100" w:right="100"/>
              <w:jc w:val="center"/>
            </w:pPr>
            <w:r>
              <w:rPr>
                <w:rFonts w:eastAsia="Century Gothic" w:cs="Century Gothic"/>
                <w:color w:val="000000"/>
                <w:sz w:val="18"/>
                <w:szCs w:val="18"/>
              </w:rPr>
              <w:t>37 (2.5%)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94B46E"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DAB8BF"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7EE80F5" w14:textId="77777777" w:rsidR="001C19F3" w:rsidRDefault="001C19F3" w:rsidP="00521305">
            <w:pPr>
              <w:spacing w:after="0"/>
              <w:rPr>
                <w:sz w:val="22"/>
              </w:rPr>
            </w:pPr>
          </w:p>
        </w:tc>
      </w:tr>
      <w:tr w:rsidR="001C19F3" w14:paraId="46C89B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65A1C4" w14:textId="77777777" w:rsidR="001C19F3" w:rsidRDefault="001C19F3" w:rsidP="00521305">
            <w:pPr>
              <w:spacing w:before="40" w:after="40"/>
              <w:ind w:left="160" w:right="100"/>
            </w:pPr>
            <w:r>
              <w:rPr>
                <w:rFonts w:eastAsia="Century Gothic" w:cs="Century Gothic"/>
                <w:color w:val="000000"/>
                <w:sz w:val="18"/>
                <w:szCs w:val="18"/>
              </w:rPr>
              <w:t>extremely anxious or depressed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FBB2E6"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0ADB19" w14:textId="77777777" w:rsidR="001C19F3" w:rsidRDefault="001C19F3" w:rsidP="00521305">
            <w:pPr>
              <w:spacing w:before="40" w:after="40"/>
              <w:ind w:left="100" w:right="100"/>
              <w:jc w:val="center"/>
            </w:pPr>
            <w:r>
              <w:rPr>
                <w:rFonts w:eastAsia="Century Gothic" w:cs="Century Gothic"/>
                <w:color w:val="000000"/>
                <w:sz w:val="18"/>
                <w:szCs w:val="18"/>
              </w:rPr>
              <w:t>6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843B1A" w14:textId="77777777" w:rsidR="001C19F3" w:rsidRDefault="001C19F3" w:rsidP="00521305">
            <w:pPr>
              <w:spacing w:before="40" w:after="40"/>
              <w:ind w:left="100" w:right="100"/>
              <w:jc w:val="center"/>
            </w:pPr>
            <w:r>
              <w:rPr>
                <w:rFonts w:eastAsia="Century Gothic" w:cs="Century Gothic"/>
                <w:color w:val="000000"/>
                <w:sz w:val="18"/>
                <w:szCs w:val="18"/>
              </w:rPr>
              <w:t>12 (0.8%)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DC394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F0554" w14:textId="77777777" w:rsidR="001C19F3" w:rsidRDefault="001C19F3" w:rsidP="00521305">
            <w:pPr>
              <w:spacing w:before="40" w:after="40"/>
              <w:ind w:left="100" w:right="100"/>
              <w:jc w:val="center"/>
            </w:pPr>
            <w:r>
              <w:rPr>
                <w:rFonts w:eastAsia="Century Gothic" w:cs="Century Gothic"/>
                <w:color w:val="000000"/>
                <w:sz w:val="18"/>
                <w:szCs w:val="18"/>
              </w:rPr>
              <w:t>17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CC56DD"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2D0C9E"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649C2F2" w14:textId="77777777" w:rsidR="001C19F3" w:rsidRDefault="001C19F3" w:rsidP="00521305">
            <w:pPr>
              <w:spacing w:after="0"/>
              <w:rPr>
                <w:sz w:val="22"/>
              </w:rPr>
            </w:pPr>
          </w:p>
        </w:tc>
      </w:tr>
      <w:tr w:rsidR="001C19F3" w14:paraId="776348D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053231" w14:textId="77777777" w:rsidR="001C19F3" w:rsidRDefault="001C19F3" w:rsidP="00521305">
            <w:pPr>
              <w:spacing w:before="40" w:after="40"/>
              <w:ind w:left="100" w:right="100"/>
            </w:pPr>
            <w:r>
              <w:rPr>
                <w:rFonts w:eastAsia="Century Gothic" w:cs="Century Gothic"/>
                <w:b/>
                <w:color w:val="000000"/>
                <w:sz w:val="18"/>
                <w:szCs w:val="18"/>
              </w:rPr>
              <w:t>F20 Total score (EQ-5D-5L)</w:t>
            </w:r>
          </w:p>
        </w:tc>
      </w:tr>
      <w:tr w:rsidR="001C19F3" w14:paraId="72C52E5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EDF4B6"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D1C228" w14:textId="77777777" w:rsidR="001C19F3" w:rsidRDefault="001C19F3" w:rsidP="00521305">
            <w:pPr>
              <w:spacing w:before="40" w:after="40"/>
              <w:ind w:left="100" w:right="100"/>
              <w:jc w:val="center"/>
            </w:pPr>
            <w:r>
              <w:rPr>
                <w:rFonts w:cs="Century Gothic"/>
                <w:color w:val="000000"/>
                <w:sz w:val="18"/>
                <w:szCs w:val="18"/>
              </w:rPr>
              <w:t>0.71 (0.74)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1262C8" w14:textId="77777777" w:rsidR="001C19F3" w:rsidRDefault="001C19F3" w:rsidP="00521305">
            <w:pPr>
              <w:spacing w:before="40" w:after="40"/>
              <w:ind w:left="100" w:right="100"/>
              <w:jc w:val="center"/>
            </w:pPr>
            <w:r>
              <w:rPr>
                <w:rFonts w:cs="Century Gothic"/>
                <w:color w:val="000000"/>
                <w:sz w:val="18"/>
                <w:szCs w:val="18"/>
              </w:rPr>
              <w:t>0.68 (0.73)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645BDD" w14:textId="77777777" w:rsidR="001C19F3" w:rsidRDefault="001C19F3" w:rsidP="00521305">
            <w:pPr>
              <w:spacing w:before="40" w:after="40"/>
              <w:ind w:left="100" w:right="100"/>
              <w:jc w:val="center"/>
            </w:pPr>
            <w:r>
              <w:rPr>
                <w:rFonts w:cs="Century Gothic"/>
                <w:color w:val="000000"/>
                <w:sz w:val="18"/>
                <w:szCs w:val="18"/>
              </w:rPr>
              <w:t>0.72 (0.75)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24F285" w14:textId="77777777" w:rsidR="001C19F3" w:rsidRDefault="001C19F3" w:rsidP="00521305">
            <w:pPr>
              <w:spacing w:before="40" w:after="40"/>
              <w:ind w:left="100" w:right="100"/>
              <w:jc w:val="center"/>
            </w:pPr>
            <w:r>
              <w:rPr>
                <w:rFonts w:cs="Century Gothic"/>
                <w:color w:val="000000"/>
                <w:sz w:val="18"/>
                <w:szCs w:val="18"/>
              </w:rPr>
              <w:t>0.004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78ABDD" w14:textId="77777777" w:rsidR="001C19F3" w:rsidRDefault="001C19F3" w:rsidP="00521305">
            <w:pPr>
              <w:spacing w:before="40" w:after="40"/>
              <w:ind w:left="100" w:right="100"/>
              <w:jc w:val="center"/>
            </w:pPr>
            <w:r>
              <w:rPr>
                <w:rFonts w:cs="Century Gothic"/>
                <w:color w:val="000000"/>
                <w:sz w:val="18"/>
                <w:szCs w:val="18"/>
              </w:rPr>
              <w:t>0.71 (0.75)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660512" w14:textId="77777777" w:rsidR="001C19F3" w:rsidRDefault="001C19F3" w:rsidP="00521305">
            <w:pPr>
              <w:spacing w:before="40" w:after="40"/>
              <w:ind w:left="100" w:right="100"/>
              <w:jc w:val="right"/>
            </w:pPr>
            <w:r>
              <w:rPr>
                <w:rFonts w:cs="Century Gothic"/>
                <w:color w:val="000000"/>
                <w:sz w:val="18"/>
                <w:szCs w:val="18"/>
              </w:rPr>
              <w:t>0.72 (0.73)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DD3777" w14:textId="77777777" w:rsidR="001C19F3" w:rsidRDefault="001C19F3" w:rsidP="00521305">
            <w:pPr>
              <w:spacing w:before="40" w:after="40"/>
              <w:ind w:left="100" w:right="100"/>
              <w:jc w:val="right"/>
            </w:pPr>
            <w:r>
              <w:rPr>
                <w:rFonts w:cs="Century Gothic"/>
                <w:color w:val="000000"/>
                <w:sz w:val="18"/>
                <w:szCs w:val="18"/>
              </w:rPr>
              <w:t>0.70 (0.73)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A5A559" w14:textId="77777777" w:rsidR="001C19F3" w:rsidRDefault="001C19F3" w:rsidP="00521305">
            <w:pPr>
              <w:spacing w:before="40" w:after="40"/>
              <w:ind w:left="100" w:right="100"/>
              <w:jc w:val="right"/>
            </w:pPr>
            <w:r>
              <w:rPr>
                <w:rFonts w:cs="Century Gothic"/>
                <w:color w:val="000000"/>
                <w:sz w:val="18"/>
                <w:szCs w:val="18"/>
              </w:rPr>
              <w:t>0.331</w:t>
            </w:r>
          </w:p>
        </w:tc>
      </w:tr>
      <w:tr w:rsidR="001C19F3" w14:paraId="5821A69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904FE6"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55E153"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B224E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3DFC58"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069AA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68CF78"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EBE24B"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553DD4"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3194AE" w14:textId="77777777" w:rsidR="001C19F3" w:rsidRDefault="001C19F3" w:rsidP="00521305">
            <w:pPr>
              <w:spacing w:before="40" w:after="40"/>
              <w:ind w:left="100" w:right="100"/>
              <w:jc w:val="right"/>
              <w:rPr>
                <w:rFonts w:eastAsia="Century Gothic" w:cs="Century Gothic"/>
                <w:color w:val="000000"/>
                <w:sz w:val="18"/>
                <w:szCs w:val="18"/>
              </w:rPr>
            </w:pPr>
          </w:p>
        </w:tc>
      </w:tr>
    </w:tbl>
    <w:p w14:paraId="1DFFBA81" w14:textId="77777777" w:rsidR="001C19F3" w:rsidRDefault="001C19F3" w:rsidP="001C19F3">
      <w:pPr>
        <w:pStyle w:val="Chartortablefootnote"/>
      </w:pPr>
      <w:r>
        <w:t>Source: CATI surveys conducted by The Social Research Centre between December 2017 and March 2019.</w:t>
      </w:r>
    </w:p>
    <w:p w14:paraId="76A2B8AF" w14:textId="77777777" w:rsidR="001C19F3" w:rsidRDefault="001C19F3" w:rsidP="001C19F3">
      <w:pPr>
        <w:spacing w:after="160" w:line="259" w:lineRule="auto"/>
        <w:rPr>
          <w:i/>
          <w:sz w:val="16"/>
          <w:szCs w:val="18"/>
        </w:rPr>
      </w:pPr>
      <w:r>
        <w:br w:type="page"/>
      </w:r>
    </w:p>
    <w:p w14:paraId="5B93F8E6" w14:textId="77777777" w:rsidR="001C19F3" w:rsidRDefault="001C19F3" w:rsidP="001C19F3">
      <w:pPr>
        <w:pStyle w:val="Caption1"/>
      </w:pPr>
      <w:bookmarkStart w:id="608" w:name="_Ref20996258"/>
      <w:r>
        <w:lastRenderedPageBreak/>
        <w:t xml:space="preserve">Table </w:t>
      </w:r>
      <w:r>
        <w:fldChar w:fldCharType="begin"/>
      </w:r>
      <w:r>
        <w:instrText>SEQ Table \* ARABIC</w:instrText>
      </w:r>
      <w:r>
        <w:fldChar w:fldCharType="separate"/>
      </w:r>
      <w:r>
        <w:rPr>
          <w:noProof/>
        </w:rPr>
        <w:t>77</w:t>
      </w:r>
      <w:r>
        <w:fldChar w:fldCharType="end"/>
      </w:r>
      <w:bookmarkEnd w:id="608"/>
      <w:r>
        <w:t xml:space="preserve"> – Patient activation measure (PAM) by practice ownership type and practice location</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20C2A0AB"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6C07BFA" w14:textId="77777777" w:rsidR="001C19F3" w:rsidRDefault="001C19F3" w:rsidP="00521305">
            <w:pPr>
              <w:spacing w:after="0"/>
              <w:jc w:val="center"/>
            </w:pPr>
            <w:r>
              <w:rPr>
                <w:rFonts w:eastAsia="Century Gothic" w:cs="Century Gothic"/>
                <w:b/>
                <w:color w:val="FFFFFF"/>
                <w:sz w:val="18"/>
                <w:szCs w:val="18"/>
              </w:rPr>
              <w:t>PAM item</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160F94B"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048730E"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672E4DC" w14:textId="77777777" w:rsidR="001C19F3" w:rsidRDefault="001C19F3" w:rsidP="00521305">
            <w:pPr>
              <w:spacing w:after="0"/>
              <w:jc w:val="center"/>
            </w:pPr>
            <w:r>
              <w:rPr>
                <w:rFonts w:eastAsia="Century Gothic" w:cs="Century Gothic"/>
                <w:b/>
                <w:color w:val="FFFFFF"/>
                <w:sz w:val="18"/>
                <w:szCs w:val="18"/>
              </w:rPr>
              <w:t>Location</w:t>
            </w:r>
          </w:p>
        </w:tc>
      </w:tr>
      <w:tr w:rsidR="001C19F3" w14:paraId="3F5BFF4E" w14:textId="77777777" w:rsidTr="00521305">
        <w:trPr>
          <w:cantSplit/>
          <w:trHeight w:val="330"/>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659A844E"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3D2896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EE829E"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15E2CE"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5AAD8F9"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6527DA8"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5AB6E86"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CBBD204"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C7493EF"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049B962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5E381D" w14:textId="77777777" w:rsidR="001C19F3" w:rsidRDefault="001C19F3" w:rsidP="00521305">
            <w:pPr>
              <w:spacing w:before="40" w:after="40"/>
              <w:ind w:left="100" w:right="100"/>
            </w:pPr>
            <w:r>
              <w:rPr>
                <w:rFonts w:eastAsia="Century Gothic" w:cs="Century Gothic"/>
                <w:b/>
                <w:color w:val="000000"/>
                <w:sz w:val="18"/>
                <w:szCs w:val="18"/>
              </w:rPr>
              <w:t>H01 When all is said and done, I am the person who is responsible for managing my health condition(s) (Q20)</w:t>
            </w:r>
          </w:p>
        </w:tc>
      </w:tr>
      <w:tr w:rsidR="001C19F3" w14:paraId="3845C22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DBA23E"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EC0316" w14:textId="77777777" w:rsidR="001C19F3" w:rsidRDefault="001C19F3" w:rsidP="00521305">
            <w:pPr>
              <w:spacing w:before="40" w:after="40"/>
              <w:ind w:left="100" w:right="100"/>
              <w:jc w:val="center"/>
            </w:pPr>
            <w:r>
              <w:rPr>
                <w:rFonts w:eastAsia="Century Gothic" w:cs="Century Gothic"/>
                <w:color w:val="000000"/>
                <w:sz w:val="18"/>
                <w:szCs w:val="18"/>
              </w:rPr>
              <w:t>19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3F1F50" w14:textId="77777777" w:rsidR="001C19F3" w:rsidRDefault="001C19F3" w:rsidP="00521305">
            <w:pPr>
              <w:spacing w:before="40" w:after="40"/>
              <w:ind w:left="100" w:right="100"/>
              <w:jc w:val="center"/>
            </w:pPr>
            <w:r>
              <w:rPr>
                <w:rFonts w:eastAsia="Century Gothic" w:cs="Century Gothic"/>
                <w:color w:val="000000"/>
                <w:sz w:val="18"/>
                <w:szCs w:val="18"/>
              </w:rPr>
              <w:t>7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A0FC02" w14:textId="77777777" w:rsidR="001C19F3" w:rsidRDefault="001C19F3" w:rsidP="00521305">
            <w:pPr>
              <w:spacing w:before="40" w:after="40"/>
              <w:ind w:left="100" w:right="100"/>
              <w:jc w:val="center"/>
            </w:pPr>
            <w:r>
              <w:rPr>
                <w:rFonts w:eastAsia="Century Gothic" w:cs="Century Gothic"/>
                <w:color w:val="000000"/>
                <w:sz w:val="18"/>
                <w:szCs w:val="18"/>
              </w:rPr>
              <w:t>12 (0.8%)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F09831" w14:textId="77777777" w:rsidR="001C19F3" w:rsidRDefault="001C19F3" w:rsidP="00521305">
            <w:pPr>
              <w:spacing w:before="40" w:after="40"/>
              <w:ind w:left="100" w:right="100"/>
              <w:jc w:val="center"/>
            </w:pPr>
            <w:r>
              <w:rPr>
                <w:rFonts w:eastAsia="Century Gothic" w:cs="Century Gothic"/>
                <w:color w:val="000000"/>
                <w:sz w:val="18"/>
                <w:szCs w:val="18"/>
              </w:rPr>
              <w:t>0.021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0B63DE" w14:textId="77777777" w:rsidR="001C19F3" w:rsidRDefault="001C19F3" w:rsidP="00521305">
            <w:pPr>
              <w:spacing w:before="40" w:after="40"/>
              <w:ind w:left="100" w:right="100"/>
              <w:jc w:val="center"/>
            </w:pPr>
            <w:r>
              <w:rPr>
                <w:rFonts w:eastAsia="Century Gothic" w:cs="Century Gothic"/>
                <w:color w:val="000000"/>
                <w:sz w:val="18"/>
                <w:szCs w:val="18"/>
              </w:rPr>
              <w:t>15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033435"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6B90F"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264C30" w14:textId="77777777" w:rsidR="001C19F3" w:rsidRDefault="001C19F3" w:rsidP="00521305">
            <w:pPr>
              <w:spacing w:before="40" w:after="40"/>
              <w:ind w:left="100" w:right="100"/>
              <w:jc w:val="right"/>
            </w:pPr>
            <w:r>
              <w:rPr>
                <w:rFonts w:eastAsia="Century Gothic" w:cs="Century Gothic"/>
                <w:color w:val="000000"/>
                <w:sz w:val="18"/>
                <w:szCs w:val="18"/>
              </w:rPr>
              <w:t>0.419</w:t>
            </w:r>
          </w:p>
        </w:tc>
      </w:tr>
      <w:tr w:rsidR="001C19F3" w14:paraId="1B271D2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371209"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BBCD5E" w14:textId="77777777" w:rsidR="001C19F3" w:rsidRDefault="001C19F3" w:rsidP="00521305">
            <w:pPr>
              <w:spacing w:before="40" w:after="40"/>
              <w:ind w:left="100" w:right="100"/>
              <w:jc w:val="center"/>
            </w:pPr>
            <w:r>
              <w:rPr>
                <w:rFonts w:eastAsia="Century Gothic" w:cs="Century Gothic"/>
                <w:color w:val="000000"/>
                <w:sz w:val="18"/>
                <w:szCs w:val="18"/>
              </w:rPr>
              <w:t>70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270C8" w14:textId="77777777" w:rsidR="001C19F3" w:rsidRDefault="001C19F3" w:rsidP="00521305">
            <w:pPr>
              <w:spacing w:before="40" w:after="40"/>
              <w:ind w:left="100" w:right="100"/>
              <w:jc w:val="center"/>
            </w:pPr>
            <w:r>
              <w:rPr>
                <w:rFonts w:eastAsia="Century Gothic" w:cs="Century Gothic"/>
                <w:color w:val="000000"/>
                <w:sz w:val="18"/>
                <w:szCs w:val="18"/>
              </w:rPr>
              <w:t>17 (4.2%)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D7623" w14:textId="77777777" w:rsidR="001C19F3" w:rsidRDefault="001C19F3" w:rsidP="00521305">
            <w:pPr>
              <w:spacing w:before="40" w:after="40"/>
              <w:ind w:left="100" w:right="100"/>
              <w:jc w:val="center"/>
            </w:pPr>
            <w:r>
              <w:rPr>
                <w:rFonts w:eastAsia="Century Gothic" w:cs="Century Gothic"/>
                <w:color w:val="000000"/>
                <w:sz w:val="18"/>
                <w:szCs w:val="18"/>
              </w:rPr>
              <w:t>53 (3.4%)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59C92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8685A1" w14:textId="77777777" w:rsidR="001C19F3" w:rsidRDefault="001C19F3" w:rsidP="00521305">
            <w:pPr>
              <w:spacing w:before="40" w:after="40"/>
              <w:ind w:left="100" w:right="100"/>
              <w:jc w:val="center"/>
            </w:pPr>
            <w:r>
              <w:rPr>
                <w:rFonts w:eastAsia="Century Gothic" w:cs="Century Gothic"/>
                <w:color w:val="000000"/>
                <w:sz w:val="18"/>
                <w:szCs w:val="18"/>
              </w:rPr>
              <w:t>56 (3.9%)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C14EA0" w14:textId="77777777" w:rsidR="001C19F3" w:rsidRDefault="001C19F3" w:rsidP="00521305">
            <w:pPr>
              <w:spacing w:before="40" w:after="40"/>
              <w:ind w:left="100" w:right="100"/>
              <w:jc w:val="right"/>
            </w:pPr>
            <w:r>
              <w:rPr>
                <w:rFonts w:eastAsia="Century Gothic" w:cs="Century Gothic"/>
                <w:color w:val="000000"/>
                <w:sz w:val="18"/>
                <w:szCs w:val="18"/>
              </w:rPr>
              <w:t>6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F22180" w14:textId="77777777" w:rsidR="001C19F3" w:rsidRDefault="001C19F3" w:rsidP="00521305">
            <w:pPr>
              <w:spacing w:before="40" w:after="40"/>
              <w:ind w:left="100" w:right="100"/>
              <w:jc w:val="right"/>
            </w:pPr>
            <w:r>
              <w:rPr>
                <w:rFonts w:eastAsia="Century Gothic" w:cs="Century Gothic"/>
                <w:color w:val="000000"/>
                <w:sz w:val="18"/>
                <w:szCs w:val="18"/>
              </w:rPr>
              <w:t>8 (3.1%)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0FBE904" w14:textId="77777777" w:rsidR="001C19F3" w:rsidRDefault="001C19F3" w:rsidP="00521305">
            <w:pPr>
              <w:spacing w:after="0"/>
              <w:rPr>
                <w:sz w:val="22"/>
              </w:rPr>
            </w:pPr>
          </w:p>
        </w:tc>
      </w:tr>
      <w:tr w:rsidR="001C19F3" w14:paraId="19E621D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96B584"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BE59F4" w14:textId="77777777" w:rsidR="001C19F3" w:rsidRDefault="001C19F3" w:rsidP="00521305">
            <w:pPr>
              <w:spacing w:before="40" w:after="40"/>
              <w:ind w:left="100" w:right="100"/>
              <w:jc w:val="center"/>
            </w:pPr>
            <w:r>
              <w:rPr>
                <w:rFonts w:eastAsia="Century Gothic" w:cs="Century Gothic"/>
                <w:color w:val="000000"/>
                <w:sz w:val="18"/>
                <w:szCs w:val="18"/>
              </w:rPr>
              <w:t>1,002 (49.7%)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8DA6AF" w14:textId="77777777" w:rsidR="001C19F3" w:rsidRDefault="001C19F3" w:rsidP="00521305">
            <w:pPr>
              <w:spacing w:before="40" w:after="40"/>
              <w:ind w:left="100" w:right="100"/>
              <w:jc w:val="center"/>
            </w:pPr>
            <w:r>
              <w:rPr>
                <w:rFonts w:eastAsia="Century Gothic" w:cs="Century Gothic"/>
                <w:color w:val="000000"/>
                <w:sz w:val="18"/>
                <w:szCs w:val="18"/>
              </w:rPr>
              <w:t>222 (55.4%)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402E29" w14:textId="77777777" w:rsidR="001C19F3" w:rsidRDefault="001C19F3" w:rsidP="00521305">
            <w:pPr>
              <w:spacing w:before="40" w:after="40"/>
              <w:ind w:left="100" w:right="100"/>
              <w:jc w:val="center"/>
            </w:pPr>
            <w:r>
              <w:rPr>
                <w:rFonts w:eastAsia="Century Gothic" w:cs="Century Gothic"/>
                <w:color w:val="000000"/>
                <w:sz w:val="18"/>
                <w:szCs w:val="18"/>
              </w:rPr>
              <w:t>780 (49.8%)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937C9A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3F5DE4" w14:textId="77777777" w:rsidR="001C19F3" w:rsidRDefault="001C19F3" w:rsidP="00521305">
            <w:pPr>
              <w:spacing w:before="40" w:after="40"/>
              <w:ind w:left="100" w:right="100"/>
              <w:jc w:val="center"/>
            </w:pPr>
            <w:r>
              <w:rPr>
                <w:rFonts w:eastAsia="Century Gothic" w:cs="Century Gothic"/>
                <w:color w:val="000000"/>
                <w:sz w:val="18"/>
                <w:szCs w:val="18"/>
              </w:rPr>
              <w:t>717 (49.8%)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01A7FA" w14:textId="77777777" w:rsidR="001C19F3" w:rsidRDefault="001C19F3" w:rsidP="00521305">
            <w:pPr>
              <w:spacing w:before="40" w:after="40"/>
              <w:ind w:left="100" w:right="100"/>
              <w:jc w:val="right"/>
            </w:pPr>
            <w:r>
              <w:rPr>
                <w:rFonts w:eastAsia="Century Gothic" w:cs="Century Gothic"/>
                <w:color w:val="000000"/>
                <w:sz w:val="18"/>
                <w:szCs w:val="18"/>
              </w:rPr>
              <w:t>150 (56.2%)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960BD8" w14:textId="77777777" w:rsidR="001C19F3" w:rsidRDefault="001C19F3" w:rsidP="00521305">
            <w:pPr>
              <w:spacing w:before="40" w:after="40"/>
              <w:ind w:left="100" w:right="100"/>
              <w:jc w:val="right"/>
            </w:pPr>
            <w:r>
              <w:rPr>
                <w:rFonts w:eastAsia="Century Gothic" w:cs="Century Gothic"/>
                <w:color w:val="000000"/>
                <w:sz w:val="18"/>
                <w:szCs w:val="18"/>
              </w:rPr>
              <w:t>135 (51.9%)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F513834" w14:textId="77777777" w:rsidR="001C19F3" w:rsidRDefault="001C19F3" w:rsidP="00521305">
            <w:pPr>
              <w:spacing w:after="0"/>
              <w:rPr>
                <w:sz w:val="22"/>
              </w:rPr>
            </w:pPr>
          </w:p>
        </w:tc>
      </w:tr>
      <w:tr w:rsidR="001C19F3" w14:paraId="092C916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AC43BE"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AF8A51" w14:textId="77777777" w:rsidR="001C19F3" w:rsidRDefault="001C19F3" w:rsidP="00521305">
            <w:pPr>
              <w:spacing w:before="40" w:after="40"/>
              <w:ind w:left="100" w:right="100"/>
              <w:jc w:val="center"/>
            </w:pPr>
            <w:r>
              <w:rPr>
                <w:rFonts w:eastAsia="Century Gothic" w:cs="Century Gothic"/>
                <w:color w:val="000000"/>
                <w:sz w:val="18"/>
                <w:szCs w:val="18"/>
              </w:rPr>
              <w:t>877 (43.5%)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5A2B67" w14:textId="77777777" w:rsidR="001C19F3" w:rsidRDefault="001C19F3" w:rsidP="00521305">
            <w:pPr>
              <w:spacing w:before="40" w:after="40"/>
              <w:ind w:left="100" w:right="100"/>
              <w:jc w:val="center"/>
            </w:pPr>
            <w:r>
              <w:rPr>
                <w:rFonts w:eastAsia="Century Gothic" w:cs="Century Gothic"/>
                <w:color w:val="000000"/>
                <w:sz w:val="18"/>
                <w:szCs w:val="18"/>
              </w:rPr>
              <w:t>155 (38.7%)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3FF06D" w14:textId="77777777" w:rsidR="001C19F3" w:rsidRDefault="001C19F3" w:rsidP="00521305">
            <w:pPr>
              <w:spacing w:before="40" w:after="40"/>
              <w:ind w:left="100" w:right="100"/>
              <w:jc w:val="center"/>
            </w:pPr>
            <w:r>
              <w:rPr>
                <w:rFonts w:eastAsia="Century Gothic" w:cs="Century Gothic"/>
                <w:color w:val="000000"/>
                <w:sz w:val="18"/>
                <w:szCs w:val="18"/>
              </w:rPr>
              <w:t>722 (46.1%)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9F74F8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B3B8C6" w14:textId="77777777" w:rsidR="001C19F3" w:rsidRDefault="001C19F3" w:rsidP="00521305">
            <w:pPr>
              <w:spacing w:before="40" w:after="40"/>
              <w:ind w:left="100" w:right="100"/>
              <w:jc w:val="center"/>
            </w:pPr>
            <w:r>
              <w:rPr>
                <w:rFonts w:eastAsia="Century Gothic" w:cs="Century Gothic"/>
                <w:color w:val="000000"/>
                <w:sz w:val="18"/>
                <w:szCs w:val="18"/>
              </w:rPr>
              <w:t>653 (45.3%)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C47AFD" w14:textId="77777777" w:rsidR="001C19F3" w:rsidRDefault="001C19F3" w:rsidP="00521305">
            <w:pPr>
              <w:spacing w:before="40" w:after="40"/>
              <w:ind w:left="100" w:right="100"/>
              <w:jc w:val="right"/>
            </w:pPr>
            <w:r>
              <w:rPr>
                <w:rFonts w:eastAsia="Century Gothic" w:cs="Century Gothic"/>
                <w:color w:val="000000"/>
                <w:sz w:val="18"/>
                <w:szCs w:val="18"/>
              </w:rPr>
              <w:t>108 (40.4%)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AF2DDF" w14:textId="77777777" w:rsidR="001C19F3" w:rsidRDefault="001C19F3" w:rsidP="00521305">
            <w:pPr>
              <w:spacing w:before="40" w:after="40"/>
              <w:ind w:left="100" w:right="100"/>
              <w:jc w:val="right"/>
            </w:pPr>
            <w:r>
              <w:rPr>
                <w:rFonts w:eastAsia="Century Gothic" w:cs="Century Gothic"/>
                <w:color w:val="000000"/>
                <w:sz w:val="18"/>
                <w:szCs w:val="18"/>
              </w:rPr>
              <w:t>116 (44.6%)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37FCEC7" w14:textId="77777777" w:rsidR="001C19F3" w:rsidRDefault="001C19F3" w:rsidP="00521305">
            <w:pPr>
              <w:spacing w:after="0"/>
              <w:rPr>
                <w:sz w:val="22"/>
              </w:rPr>
            </w:pPr>
          </w:p>
        </w:tc>
      </w:tr>
      <w:tr w:rsidR="001C19F3" w14:paraId="5261AA8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D389B8"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571524" w14:textId="77777777" w:rsidR="001C19F3" w:rsidRDefault="001C19F3" w:rsidP="00521305">
            <w:pPr>
              <w:spacing w:before="40" w:after="40"/>
              <w:ind w:left="100" w:right="100"/>
              <w:jc w:val="center"/>
            </w:pPr>
            <w:r>
              <w:rPr>
                <w:rFonts w:eastAsia="Century Gothic" w:cs="Century Gothic"/>
                <w:color w:val="000000"/>
                <w:sz w:val="18"/>
                <w:szCs w:val="18"/>
              </w:rPr>
              <w:t>42 (2.1%)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D2A98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BE29EF"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5B8EC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80BFF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51E4A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BE177D"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97E610" w14:textId="77777777" w:rsidR="001C19F3" w:rsidRDefault="001C19F3" w:rsidP="00521305">
            <w:pPr>
              <w:spacing w:before="40" w:after="40"/>
              <w:ind w:left="100" w:right="100"/>
              <w:jc w:val="right"/>
            </w:pPr>
          </w:p>
        </w:tc>
      </w:tr>
      <w:tr w:rsidR="001C19F3" w14:paraId="0E1B618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D72DFF"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C5146" w14:textId="77777777" w:rsidR="001C19F3" w:rsidRDefault="001C19F3" w:rsidP="00521305">
            <w:pPr>
              <w:spacing w:before="40" w:after="40"/>
              <w:ind w:left="100" w:right="100"/>
              <w:jc w:val="center"/>
            </w:pPr>
            <w:r>
              <w:rPr>
                <w:rFonts w:eastAsia="Century Gothic" w:cs="Century Gothic"/>
                <w:color w:val="000000"/>
                <w:sz w:val="18"/>
                <w:szCs w:val="18"/>
              </w:rPr>
              <w:t>8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96C8C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A0D4FB"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017697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36C51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34C82B"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F010E8"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CC574B8" w14:textId="77777777" w:rsidR="001C19F3" w:rsidRDefault="001C19F3" w:rsidP="00521305">
            <w:pPr>
              <w:spacing w:after="0"/>
              <w:rPr>
                <w:sz w:val="22"/>
              </w:rPr>
            </w:pPr>
          </w:p>
        </w:tc>
      </w:tr>
      <w:tr w:rsidR="001C19F3" w14:paraId="2DD92C0D"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A4C97" w14:textId="77777777" w:rsidR="001C19F3" w:rsidRDefault="001C19F3" w:rsidP="00521305">
            <w:pPr>
              <w:spacing w:before="40" w:after="40"/>
              <w:ind w:left="100" w:right="100"/>
            </w:pPr>
            <w:r>
              <w:rPr>
                <w:rFonts w:eastAsia="Century Gothic" w:cs="Century Gothic"/>
                <w:b/>
                <w:color w:val="000000"/>
                <w:sz w:val="18"/>
                <w:szCs w:val="18"/>
              </w:rPr>
              <w:t>H02 Taking an active role in my own health care is the most important factor in determining my health and ability to function (Q20)</w:t>
            </w:r>
          </w:p>
        </w:tc>
      </w:tr>
      <w:tr w:rsidR="001C19F3" w14:paraId="2D32007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7BB779"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3AAB78" w14:textId="77777777" w:rsidR="001C19F3" w:rsidRDefault="001C19F3" w:rsidP="00521305">
            <w:pPr>
              <w:spacing w:before="40" w:after="40"/>
              <w:ind w:left="100" w:right="100"/>
              <w:jc w:val="center"/>
            </w:pPr>
            <w:r>
              <w:rPr>
                <w:rFonts w:eastAsia="Century Gothic" w:cs="Century Gothic"/>
                <w:color w:val="000000"/>
                <w:sz w:val="18"/>
                <w:szCs w:val="18"/>
              </w:rPr>
              <w:t>13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D10705" w14:textId="77777777" w:rsidR="001C19F3" w:rsidRDefault="001C19F3" w:rsidP="00521305">
            <w:pPr>
              <w:spacing w:before="40" w:after="40"/>
              <w:ind w:left="100" w:right="100"/>
              <w:jc w:val="center"/>
            </w:pPr>
            <w:r>
              <w:rPr>
                <w:rFonts w:eastAsia="Century Gothic" w:cs="Century Gothic"/>
                <w:color w:val="000000"/>
                <w:sz w:val="18"/>
                <w:szCs w:val="18"/>
              </w:rPr>
              <w:t>8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06F7ED" w14:textId="77777777" w:rsidR="001C19F3" w:rsidRDefault="001C19F3" w:rsidP="00521305">
            <w:pPr>
              <w:spacing w:before="40" w:after="40"/>
              <w:ind w:left="100" w:right="100"/>
              <w:jc w:val="center"/>
            </w:pPr>
            <w:r>
              <w:rPr>
                <w:rFonts w:eastAsia="Century Gothic" w:cs="Century Gothic"/>
                <w:color w:val="000000"/>
                <w:sz w:val="18"/>
                <w:szCs w:val="18"/>
              </w:rPr>
              <w:t>5 (0.3%)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61FFE9"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A36C0E" w14:textId="77777777" w:rsidR="001C19F3" w:rsidRDefault="001C19F3" w:rsidP="00521305">
            <w:pPr>
              <w:spacing w:before="40" w:after="40"/>
              <w:ind w:left="100" w:right="100"/>
              <w:jc w:val="center"/>
            </w:pPr>
            <w:r>
              <w:rPr>
                <w:rFonts w:eastAsia="Century Gothic" w:cs="Century Gothic"/>
                <w:color w:val="000000"/>
                <w:sz w:val="18"/>
                <w:szCs w:val="18"/>
              </w:rPr>
              <w:t>12 (0.8%)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7529D5"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D29491"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9A3D63" w14:textId="77777777" w:rsidR="001C19F3" w:rsidRDefault="001C19F3" w:rsidP="00521305">
            <w:pPr>
              <w:spacing w:before="40" w:after="40"/>
              <w:ind w:left="100" w:right="100"/>
              <w:jc w:val="right"/>
            </w:pPr>
            <w:r>
              <w:rPr>
                <w:rFonts w:eastAsia="Century Gothic" w:cs="Century Gothic"/>
                <w:color w:val="000000"/>
                <w:sz w:val="18"/>
                <w:szCs w:val="18"/>
              </w:rPr>
              <w:t>0.221</w:t>
            </w:r>
          </w:p>
        </w:tc>
      </w:tr>
      <w:tr w:rsidR="001C19F3" w14:paraId="4A70C72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47C417"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AACC7" w14:textId="77777777" w:rsidR="001C19F3" w:rsidRDefault="001C19F3" w:rsidP="00521305">
            <w:pPr>
              <w:spacing w:before="40" w:after="40"/>
              <w:ind w:left="100" w:right="100"/>
              <w:jc w:val="center"/>
            </w:pPr>
            <w:r>
              <w:rPr>
                <w:rFonts w:eastAsia="Century Gothic" w:cs="Century Gothic"/>
                <w:color w:val="000000"/>
                <w:sz w:val="18"/>
                <w:szCs w:val="18"/>
              </w:rPr>
              <w:t>31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032309" w14:textId="77777777" w:rsidR="001C19F3" w:rsidRDefault="001C19F3" w:rsidP="00521305">
            <w:pPr>
              <w:spacing w:before="40" w:after="40"/>
              <w:ind w:left="100" w:right="100"/>
              <w:jc w:val="center"/>
            </w:pPr>
            <w:r>
              <w:rPr>
                <w:rFonts w:eastAsia="Century Gothic" w:cs="Century Gothic"/>
                <w:color w:val="000000"/>
                <w:sz w:val="18"/>
                <w:szCs w:val="18"/>
              </w:rPr>
              <w:t>8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63FAD2" w14:textId="77777777" w:rsidR="001C19F3" w:rsidRDefault="001C19F3" w:rsidP="00521305">
            <w:pPr>
              <w:spacing w:before="40" w:after="40"/>
              <w:ind w:left="100" w:right="100"/>
              <w:jc w:val="center"/>
            </w:pPr>
            <w:r>
              <w:rPr>
                <w:rFonts w:eastAsia="Century Gothic" w:cs="Century Gothic"/>
                <w:color w:val="000000"/>
                <w:sz w:val="18"/>
                <w:szCs w:val="18"/>
              </w:rPr>
              <w:t>23 (1.5%)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19A090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58467A" w14:textId="77777777" w:rsidR="001C19F3" w:rsidRDefault="001C19F3" w:rsidP="00521305">
            <w:pPr>
              <w:spacing w:before="40" w:after="40"/>
              <w:ind w:left="100" w:right="100"/>
              <w:jc w:val="center"/>
            </w:pPr>
            <w:r>
              <w:rPr>
                <w:rFonts w:eastAsia="Century Gothic" w:cs="Century Gothic"/>
                <w:color w:val="000000"/>
                <w:sz w:val="18"/>
                <w:szCs w:val="18"/>
              </w:rPr>
              <w:t>26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948B5C" w14:textId="77777777" w:rsidR="001C19F3" w:rsidRDefault="001C19F3" w:rsidP="00521305">
            <w:pPr>
              <w:spacing w:before="40" w:after="40"/>
              <w:ind w:left="100" w:right="100"/>
              <w:jc w:val="right"/>
            </w:pPr>
            <w:r>
              <w:rPr>
                <w:rFonts w:eastAsia="Century Gothic" w:cs="Century Gothic"/>
                <w:color w:val="000000"/>
                <w:sz w:val="18"/>
                <w:szCs w:val="18"/>
              </w:rPr>
              <w:t>3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B34ED8" w14:textId="77777777" w:rsidR="001C19F3" w:rsidRDefault="001C19F3" w:rsidP="00521305">
            <w:pPr>
              <w:spacing w:before="40" w:after="40"/>
              <w:ind w:left="100" w:right="100"/>
              <w:jc w:val="right"/>
            </w:pPr>
            <w:r>
              <w:rPr>
                <w:rFonts w:eastAsia="Century Gothic" w:cs="Century Gothic"/>
                <w:color w:val="000000"/>
                <w:sz w:val="18"/>
                <w:szCs w:val="18"/>
              </w:rPr>
              <w:t>2 (0.8%)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0E48937" w14:textId="77777777" w:rsidR="001C19F3" w:rsidRDefault="001C19F3" w:rsidP="00521305">
            <w:pPr>
              <w:spacing w:after="0"/>
              <w:rPr>
                <w:sz w:val="22"/>
              </w:rPr>
            </w:pPr>
          </w:p>
        </w:tc>
      </w:tr>
      <w:tr w:rsidR="001C19F3" w14:paraId="7B56785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957B56"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A96D5A" w14:textId="77777777" w:rsidR="001C19F3" w:rsidRDefault="001C19F3" w:rsidP="00521305">
            <w:pPr>
              <w:spacing w:before="40" w:after="40"/>
              <w:ind w:left="100" w:right="100"/>
              <w:jc w:val="center"/>
            </w:pPr>
            <w:r>
              <w:rPr>
                <w:rFonts w:eastAsia="Century Gothic" w:cs="Century Gothic"/>
                <w:color w:val="000000"/>
                <w:sz w:val="18"/>
                <w:szCs w:val="18"/>
              </w:rPr>
              <w:t>922 (45.7%)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D5111B" w14:textId="77777777" w:rsidR="001C19F3" w:rsidRDefault="001C19F3" w:rsidP="00521305">
            <w:pPr>
              <w:spacing w:before="40" w:after="40"/>
              <w:ind w:left="100" w:right="100"/>
              <w:jc w:val="center"/>
            </w:pPr>
            <w:r>
              <w:rPr>
                <w:rFonts w:eastAsia="Century Gothic" w:cs="Century Gothic"/>
                <w:color w:val="000000"/>
                <w:sz w:val="18"/>
                <w:szCs w:val="18"/>
              </w:rPr>
              <w:t>199 (49.1%)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FDF295" w14:textId="77777777" w:rsidR="001C19F3" w:rsidRDefault="001C19F3" w:rsidP="00521305">
            <w:pPr>
              <w:spacing w:before="40" w:after="40"/>
              <w:ind w:left="100" w:right="100"/>
              <w:jc w:val="center"/>
            </w:pPr>
            <w:r>
              <w:rPr>
                <w:rFonts w:eastAsia="Century Gothic" w:cs="Century Gothic"/>
                <w:color w:val="000000"/>
                <w:sz w:val="18"/>
                <w:szCs w:val="18"/>
              </w:rPr>
              <w:t>723 (46.1%)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74FF35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36B602" w14:textId="77777777" w:rsidR="001C19F3" w:rsidRDefault="001C19F3" w:rsidP="00521305">
            <w:pPr>
              <w:spacing w:before="40" w:after="40"/>
              <w:ind w:left="100" w:right="100"/>
              <w:jc w:val="center"/>
            </w:pPr>
            <w:r>
              <w:rPr>
                <w:rFonts w:eastAsia="Century Gothic" w:cs="Century Gothic"/>
                <w:color w:val="000000"/>
                <w:sz w:val="18"/>
                <w:szCs w:val="18"/>
              </w:rPr>
              <w:t>666 (46.1%)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F13210" w14:textId="77777777" w:rsidR="001C19F3" w:rsidRDefault="001C19F3" w:rsidP="00521305">
            <w:pPr>
              <w:spacing w:before="40" w:after="40"/>
              <w:ind w:left="100" w:right="100"/>
              <w:jc w:val="right"/>
            </w:pPr>
            <w:r>
              <w:rPr>
                <w:rFonts w:eastAsia="Century Gothic" w:cs="Century Gothic"/>
                <w:color w:val="000000"/>
                <w:sz w:val="18"/>
                <w:szCs w:val="18"/>
              </w:rPr>
              <w:t>120 (44.3%)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1A404B" w14:textId="77777777" w:rsidR="001C19F3" w:rsidRDefault="001C19F3" w:rsidP="00521305">
            <w:pPr>
              <w:spacing w:before="40" w:after="40"/>
              <w:ind w:left="100" w:right="100"/>
              <w:jc w:val="right"/>
            </w:pPr>
            <w:r>
              <w:rPr>
                <w:rFonts w:eastAsia="Century Gothic" w:cs="Century Gothic"/>
                <w:color w:val="000000"/>
                <w:sz w:val="18"/>
                <w:szCs w:val="18"/>
              </w:rPr>
              <w:t>136 (52.3%)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42144BB" w14:textId="77777777" w:rsidR="001C19F3" w:rsidRDefault="001C19F3" w:rsidP="00521305">
            <w:pPr>
              <w:spacing w:after="0"/>
              <w:rPr>
                <w:sz w:val="22"/>
              </w:rPr>
            </w:pPr>
          </w:p>
        </w:tc>
      </w:tr>
      <w:tr w:rsidR="001C19F3" w14:paraId="5D9478A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53D3EF"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F65D5B" w14:textId="77777777" w:rsidR="001C19F3" w:rsidRDefault="001C19F3" w:rsidP="00521305">
            <w:pPr>
              <w:spacing w:before="40" w:after="40"/>
              <w:ind w:left="100" w:right="100"/>
              <w:jc w:val="center"/>
            </w:pPr>
            <w:r>
              <w:rPr>
                <w:rFonts w:eastAsia="Century Gothic" w:cs="Century Gothic"/>
                <w:color w:val="000000"/>
                <w:sz w:val="18"/>
                <w:szCs w:val="18"/>
              </w:rPr>
              <w:t>1,009 (50.0%)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682441" w14:textId="77777777" w:rsidR="001C19F3" w:rsidRDefault="001C19F3" w:rsidP="00521305">
            <w:pPr>
              <w:spacing w:before="40" w:after="40"/>
              <w:ind w:left="100" w:right="100"/>
              <w:jc w:val="center"/>
            </w:pPr>
            <w:r>
              <w:rPr>
                <w:rFonts w:eastAsia="Century Gothic" w:cs="Century Gothic"/>
                <w:color w:val="000000"/>
                <w:sz w:val="18"/>
                <w:szCs w:val="18"/>
              </w:rPr>
              <w:t>190 (46.9%)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43B44C" w14:textId="77777777" w:rsidR="001C19F3" w:rsidRDefault="001C19F3" w:rsidP="00521305">
            <w:pPr>
              <w:spacing w:before="40" w:after="40"/>
              <w:ind w:left="100" w:right="100"/>
              <w:jc w:val="center"/>
            </w:pPr>
            <w:r>
              <w:rPr>
                <w:rFonts w:eastAsia="Century Gothic" w:cs="Century Gothic"/>
                <w:color w:val="000000"/>
                <w:sz w:val="18"/>
                <w:szCs w:val="18"/>
              </w:rPr>
              <w:t>819 (52.2%)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68838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8B9E0D" w14:textId="77777777" w:rsidR="001C19F3" w:rsidRDefault="001C19F3" w:rsidP="00521305">
            <w:pPr>
              <w:spacing w:before="40" w:after="40"/>
              <w:ind w:left="100" w:right="100"/>
              <w:jc w:val="center"/>
            </w:pPr>
            <w:r>
              <w:rPr>
                <w:rFonts w:eastAsia="Century Gothic" w:cs="Century Gothic"/>
                <w:color w:val="000000"/>
                <w:sz w:val="18"/>
                <w:szCs w:val="18"/>
              </w:rPr>
              <w:t>740 (51.2%)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3B2CCA" w14:textId="77777777" w:rsidR="001C19F3" w:rsidRDefault="001C19F3" w:rsidP="00521305">
            <w:pPr>
              <w:spacing w:before="40" w:after="40"/>
              <w:ind w:left="100" w:right="100"/>
              <w:jc w:val="right"/>
            </w:pPr>
            <w:r>
              <w:rPr>
                <w:rFonts w:eastAsia="Century Gothic" w:cs="Century Gothic"/>
                <w:color w:val="000000"/>
                <w:sz w:val="18"/>
                <w:szCs w:val="18"/>
              </w:rPr>
              <w:t>147 (54.2%)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3239F2" w14:textId="77777777" w:rsidR="001C19F3" w:rsidRDefault="001C19F3" w:rsidP="00521305">
            <w:pPr>
              <w:spacing w:before="40" w:after="40"/>
              <w:ind w:left="100" w:right="100"/>
              <w:jc w:val="right"/>
            </w:pPr>
            <w:r>
              <w:rPr>
                <w:rFonts w:eastAsia="Century Gothic" w:cs="Century Gothic"/>
                <w:color w:val="000000"/>
                <w:sz w:val="18"/>
                <w:szCs w:val="18"/>
              </w:rPr>
              <w:t>122 (46.9%)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EE5B66E" w14:textId="77777777" w:rsidR="001C19F3" w:rsidRDefault="001C19F3" w:rsidP="00521305">
            <w:pPr>
              <w:spacing w:after="0"/>
              <w:rPr>
                <w:sz w:val="22"/>
              </w:rPr>
            </w:pPr>
          </w:p>
        </w:tc>
      </w:tr>
      <w:tr w:rsidR="001C19F3" w14:paraId="6933FA5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E628B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B5B4B9" w14:textId="77777777" w:rsidR="001C19F3" w:rsidRDefault="001C19F3" w:rsidP="00521305">
            <w:pPr>
              <w:spacing w:before="40" w:after="40"/>
              <w:ind w:left="100" w:right="100"/>
              <w:jc w:val="center"/>
            </w:pPr>
            <w:r>
              <w:rPr>
                <w:rFonts w:eastAsia="Century Gothic" w:cs="Century Gothic"/>
                <w:color w:val="000000"/>
                <w:sz w:val="18"/>
                <w:szCs w:val="18"/>
              </w:rPr>
              <w:t>39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E303C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15030D"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22B2B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2EB14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54D83A"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F7E935"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BA82AE" w14:textId="77777777" w:rsidR="001C19F3" w:rsidRDefault="001C19F3" w:rsidP="00521305">
            <w:pPr>
              <w:spacing w:before="40" w:after="40"/>
              <w:ind w:left="100" w:right="100"/>
              <w:jc w:val="right"/>
            </w:pPr>
          </w:p>
        </w:tc>
      </w:tr>
      <w:tr w:rsidR="001C19F3" w14:paraId="02587F8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16DC9B"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9DE5B" w14:textId="77777777" w:rsidR="001C19F3" w:rsidRDefault="001C19F3" w:rsidP="00521305">
            <w:pPr>
              <w:spacing w:before="40" w:after="40"/>
              <w:ind w:left="100" w:right="100"/>
              <w:jc w:val="center"/>
            </w:pPr>
            <w:r>
              <w:rPr>
                <w:rFonts w:eastAsia="Century Gothic" w:cs="Century Gothic"/>
                <w:color w:val="000000"/>
                <w:sz w:val="18"/>
                <w:szCs w:val="18"/>
              </w:rPr>
              <w:t>4 (0.2%)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741DC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A82C06"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ADA0E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024C4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36216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AB665E"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0832613" w14:textId="77777777" w:rsidR="001C19F3" w:rsidRDefault="001C19F3" w:rsidP="00521305">
            <w:pPr>
              <w:spacing w:after="0"/>
              <w:rPr>
                <w:sz w:val="22"/>
              </w:rPr>
            </w:pPr>
          </w:p>
        </w:tc>
      </w:tr>
      <w:tr w:rsidR="001C19F3" w14:paraId="63B949C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21CCC4" w14:textId="77777777" w:rsidR="001C19F3" w:rsidRDefault="001C19F3" w:rsidP="00521305">
            <w:pPr>
              <w:spacing w:before="40" w:after="40"/>
              <w:ind w:left="100" w:right="100"/>
            </w:pPr>
            <w:r>
              <w:rPr>
                <w:rFonts w:eastAsia="Century Gothic" w:cs="Century Gothic"/>
                <w:b/>
                <w:color w:val="000000"/>
                <w:sz w:val="18"/>
                <w:szCs w:val="18"/>
              </w:rPr>
              <w:t>H03 I know what each of my prescribed medications do (Q20)</w:t>
            </w:r>
          </w:p>
        </w:tc>
      </w:tr>
      <w:tr w:rsidR="001C19F3" w14:paraId="1368AC6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514312"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86DE36" w14:textId="77777777" w:rsidR="001C19F3" w:rsidRDefault="001C19F3" w:rsidP="00521305">
            <w:pPr>
              <w:spacing w:before="40" w:after="40"/>
              <w:ind w:left="100" w:right="100"/>
              <w:jc w:val="center"/>
            </w:pPr>
            <w:r>
              <w:rPr>
                <w:rFonts w:eastAsia="Century Gothic" w:cs="Century Gothic"/>
                <w:color w:val="000000"/>
                <w:sz w:val="18"/>
                <w:szCs w:val="18"/>
              </w:rPr>
              <w:t>12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077AD5" w14:textId="77777777" w:rsidR="001C19F3" w:rsidRDefault="001C19F3" w:rsidP="00521305">
            <w:pPr>
              <w:spacing w:before="40" w:after="40"/>
              <w:ind w:left="100" w:right="100"/>
              <w:jc w:val="center"/>
            </w:pPr>
            <w:r>
              <w:rPr>
                <w:rFonts w:eastAsia="Century Gothic" w:cs="Century Gothic"/>
                <w:color w:val="000000"/>
                <w:sz w:val="18"/>
                <w:szCs w:val="18"/>
              </w:rPr>
              <w:t>9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002694" w14:textId="77777777" w:rsidR="001C19F3" w:rsidRDefault="001C19F3" w:rsidP="00521305">
            <w:pPr>
              <w:spacing w:before="40" w:after="40"/>
              <w:ind w:left="100" w:right="100"/>
              <w:jc w:val="center"/>
            </w:pPr>
            <w:r>
              <w:rPr>
                <w:rFonts w:eastAsia="Century Gothic" w:cs="Century Gothic"/>
                <w:color w:val="000000"/>
                <w:sz w:val="18"/>
                <w:szCs w:val="18"/>
              </w:rPr>
              <w:t>3 (0.2%)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D4D680"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35EB6E" w14:textId="77777777" w:rsidR="001C19F3" w:rsidRDefault="001C19F3" w:rsidP="00521305">
            <w:pPr>
              <w:spacing w:before="40" w:after="40"/>
              <w:ind w:left="100" w:right="100"/>
              <w:jc w:val="center"/>
            </w:pPr>
            <w:r>
              <w:rPr>
                <w:rFonts w:eastAsia="Century Gothic" w:cs="Century Gothic"/>
                <w:color w:val="000000"/>
                <w:sz w:val="18"/>
                <w:szCs w:val="18"/>
              </w:rPr>
              <w:t>10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95A943"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8B4210"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7227AC" w14:textId="77777777" w:rsidR="001C19F3" w:rsidRDefault="001C19F3" w:rsidP="00521305">
            <w:pPr>
              <w:spacing w:before="40" w:after="40"/>
              <w:ind w:left="100" w:right="100"/>
              <w:jc w:val="right"/>
            </w:pPr>
            <w:r>
              <w:rPr>
                <w:rFonts w:eastAsia="Century Gothic" w:cs="Century Gothic"/>
                <w:color w:val="000000"/>
                <w:sz w:val="18"/>
                <w:szCs w:val="18"/>
              </w:rPr>
              <w:t>0.100</w:t>
            </w:r>
          </w:p>
        </w:tc>
      </w:tr>
      <w:tr w:rsidR="001C19F3" w14:paraId="7F3B32F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A9D63D"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8CAEB3" w14:textId="77777777" w:rsidR="001C19F3" w:rsidRDefault="001C19F3" w:rsidP="00521305">
            <w:pPr>
              <w:spacing w:before="40" w:after="40"/>
              <w:ind w:left="100" w:right="100"/>
              <w:jc w:val="center"/>
            </w:pPr>
            <w:r>
              <w:rPr>
                <w:rFonts w:eastAsia="Century Gothic" w:cs="Century Gothic"/>
                <w:color w:val="000000"/>
                <w:sz w:val="18"/>
                <w:szCs w:val="18"/>
              </w:rPr>
              <w:t>72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16E4A1" w14:textId="77777777" w:rsidR="001C19F3" w:rsidRDefault="001C19F3" w:rsidP="00521305">
            <w:pPr>
              <w:spacing w:before="40" w:after="40"/>
              <w:ind w:left="100" w:right="100"/>
              <w:jc w:val="center"/>
            </w:pPr>
            <w:r>
              <w:rPr>
                <w:rFonts w:eastAsia="Century Gothic" w:cs="Century Gothic"/>
                <w:color w:val="000000"/>
                <w:sz w:val="18"/>
                <w:szCs w:val="18"/>
              </w:rPr>
              <w:t>16 (3.9%)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4DBD51" w14:textId="77777777" w:rsidR="001C19F3" w:rsidRDefault="001C19F3" w:rsidP="00521305">
            <w:pPr>
              <w:spacing w:before="40" w:after="40"/>
              <w:ind w:left="100" w:right="100"/>
              <w:jc w:val="center"/>
            </w:pPr>
            <w:r>
              <w:rPr>
                <w:rFonts w:eastAsia="Century Gothic" w:cs="Century Gothic"/>
                <w:color w:val="000000"/>
                <w:sz w:val="18"/>
                <w:szCs w:val="18"/>
              </w:rPr>
              <w:t>56 (3.6%)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64BB8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7BABB9" w14:textId="77777777" w:rsidR="001C19F3" w:rsidRDefault="001C19F3" w:rsidP="00521305">
            <w:pPr>
              <w:spacing w:before="40" w:after="40"/>
              <w:ind w:left="100" w:right="100"/>
              <w:jc w:val="center"/>
            </w:pPr>
            <w:r>
              <w:rPr>
                <w:rFonts w:eastAsia="Century Gothic" w:cs="Century Gothic"/>
                <w:color w:val="000000"/>
                <w:sz w:val="18"/>
                <w:szCs w:val="18"/>
              </w:rPr>
              <w:t>48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77A528" w14:textId="77777777" w:rsidR="001C19F3" w:rsidRDefault="001C19F3" w:rsidP="00521305">
            <w:pPr>
              <w:spacing w:before="40" w:after="40"/>
              <w:ind w:left="100" w:right="100"/>
              <w:jc w:val="right"/>
            </w:pPr>
            <w:r>
              <w:rPr>
                <w:rFonts w:eastAsia="Century Gothic" w:cs="Century Gothic"/>
                <w:color w:val="000000"/>
                <w:sz w:val="18"/>
                <w:szCs w:val="18"/>
              </w:rPr>
              <w:t>16 (5.9%)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07DE47" w14:textId="77777777" w:rsidR="001C19F3" w:rsidRDefault="001C19F3" w:rsidP="00521305">
            <w:pPr>
              <w:spacing w:before="40" w:after="40"/>
              <w:ind w:left="100" w:right="100"/>
              <w:jc w:val="right"/>
            </w:pPr>
            <w:r>
              <w:rPr>
                <w:rFonts w:eastAsia="Century Gothic" w:cs="Century Gothic"/>
                <w:color w:val="000000"/>
                <w:sz w:val="18"/>
                <w:szCs w:val="18"/>
              </w:rPr>
              <w:t>8 (3.1%)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4E70F1B" w14:textId="77777777" w:rsidR="001C19F3" w:rsidRDefault="001C19F3" w:rsidP="00521305">
            <w:pPr>
              <w:spacing w:after="0"/>
              <w:rPr>
                <w:sz w:val="22"/>
              </w:rPr>
            </w:pPr>
          </w:p>
        </w:tc>
      </w:tr>
      <w:tr w:rsidR="001C19F3" w14:paraId="40293CA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1ECB08"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5FA648" w14:textId="77777777" w:rsidR="001C19F3" w:rsidRDefault="001C19F3" w:rsidP="00521305">
            <w:pPr>
              <w:spacing w:before="40" w:after="40"/>
              <w:ind w:left="100" w:right="100"/>
              <w:jc w:val="center"/>
            </w:pPr>
            <w:r>
              <w:rPr>
                <w:rFonts w:eastAsia="Century Gothic" w:cs="Century Gothic"/>
                <w:color w:val="000000"/>
                <w:sz w:val="18"/>
                <w:szCs w:val="18"/>
              </w:rPr>
              <w:t>859 (42.6%)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7AF0BA" w14:textId="77777777" w:rsidR="001C19F3" w:rsidRDefault="001C19F3" w:rsidP="00521305">
            <w:pPr>
              <w:spacing w:before="40" w:after="40"/>
              <w:ind w:left="100" w:right="100"/>
              <w:jc w:val="center"/>
            </w:pPr>
            <w:r>
              <w:rPr>
                <w:rFonts w:eastAsia="Century Gothic" w:cs="Century Gothic"/>
                <w:color w:val="000000"/>
                <w:sz w:val="18"/>
                <w:szCs w:val="18"/>
              </w:rPr>
              <w:t>184 (45.0%)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71B782" w14:textId="77777777" w:rsidR="001C19F3" w:rsidRDefault="001C19F3" w:rsidP="00521305">
            <w:pPr>
              <w:spacing w:before="40" w:after="40"/>
              <w:ind w:left="100" w:right="100"/>
              <w:jc w:val="center"/>
            </w:pPr>
            <w:r>
              <w:rPr>
                <w:rFonts w:eastAsia="Century Gothic" w:cs="Century Gothic"/>
                <w:color w:val="000000"/>
                <w:sz w:val="18"/>
                <w:szCs w:val="18"/>
              </w:rPr>
              <w:t>675 (43.2%)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599C8F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BEDA22" w14:textId="77777777" w:rsidR="001C19F3" w:rsidRDefault="001C19F3" w:rsidP="00521305">
            <w:pPr>
              <w:spacing w:before="40" w:after="40"/>
              <w:ind w:left="100" w:right="100"/>
              <w:jc w:val="center"/>
            </w:pPr>
            <w:r>
              <w:rPr>
                <w:rFonts w:eastAsia="Century Gothic" w:cs="Century Gothic"/>
                <w:color w:val="000000"/>
                <w:sz w:val="18"/>
                <w:szCs w:val="18"/>
              </w:rPr>
              <w:t>615 (42.6%)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C32B9C" w14:textId="77777777" w:rsidR="001C19F3" w:rsidRDefault="001C19F3" w:rsidP="00521305">
            <w:pPr>
              <w:spacing w:before="40" w:after="40"/>
              <w:ind w:left="100" w:right="100"/>
              <w:jc w:val="right"/>
            </w:pPr>
            <w:r>
              <w:rPr>
                <w:rFonts w:eastAsia="Century Gothic" w:cs="Century Gothic"/>
                <w:color w:val="000000"/>
                <w:sz w:val="18"/>
                <w:szCs w:val="18"/>
              </w:rPr>
              <w:t>113 (42.0%)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6CD0AC" w14:textId="77777777" w:rsidR="001C19F3" w:rsidRDefault="001C19F3" w:rsidP="00521305">
            <w:pPr>
              <w:spacing w:before="40" w:after="40"/>
              <w:ind w:left="100" w:right="100"/>
              <w:jc w:val="right"/>
            </w:pPr>
            <w:r>
              <w:rPr>
                <w:rFonts w:eastAsia="Century Gothic" w:cs="Century Gothic"/>
                <w:color w:val="000000"/>
                <w:sz w:val="18"/>
                <w:szCs w:val="18"/>
              </w:rPr>
              <w:t>131 (50.4%)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28E1786" w14:textId="77777777" w:rsidR="001C19F3" w:rsidRDefault="001C19F3" w:rsidP="00521305">
            <w:pPr>
              <w:spacing w:after="0"/>
              <w:rPr>
                <w:sz w:val="22"/>
              </w:rPr>
            </w:pPr>
          </w:p>
        </w:tc>
      </w:tr>
      <w:tr w:rsidR="001C19F3" w14:paraId="7880912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07DB3C"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72521C" w14:textId="77777777" w:rsidR="001C19F3" w:rsidRDefault="001C19F3" w:rsidP="00521305">
            <w:pPr>
              <w:spacing w:before="40" w:after="40"/>
              <w:ind w:left="100" w:right="100"/>
              <w:jc w:val="center"/>
            </w:pPr>
            <w:r>
              <w:rPr>
                <w:rFonts w:eastAsia="Century Gothic" w:cs="Century Gothic"/>
                <w:color w:val="000000"/>
                <w:sz w:val="18"/>
                <w:szCs w:val="18"/>
              </w:rPr>
              <w:t>1,030 (51.0%)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C4B052" w14:textId="77777777" w:rsidR="001C19F3" w:rsidRDefault="001C19F3" w:rsidP="00521305">
            <w:pPr>
              <w:spacing w:before="40" w:after="40"/>
              <w:ind w:left="100" w:right="100"/>
              <w:jc w:val="center"/>
            </w:pPr>
            <w:r>
              <w:rPr>
                <w:rFonts w:eastAsia="Century Gothic" w:cs="Century Gothic"/>
                <w:color w:val="000000"/>
                <w:sz w:val="18"/>
                <w:szCs w:val="18"/>
              </w:rPr>
              <w:t>200 (48.9%)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AD23D1" w14:textId="77777777" w:rsidR="001C19F3" w:rsidRDefault="001C19F3" w:rsidP="00521305">
            <w:pPr>
              <w:spacing w:before="40" w:after="40"/>
              <w:ind w:left="100" w:right="100"/>
              <w:jc w:val="center"/>
            </w:pPr>
            <w:r>
              <w:rPr>
                <w:rFonts w:eastAsia="Century Gothic" w:cs="Century Gothic"/>
                <w:color w:val="000000"/>
                <w:sz w:val="18"/>
                <w:szCs w:val="18"/>
              </w:rPr>
              <w:t>830 (53.1%)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43BD4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C20B89" w14:textId="77777777" w:rsidR="001C19F3" w:rsidRDefault="001C19F3" w:rsidP="00521305">
            <w:pPr>
              <w:spacing w:before="40" w:after="40"/>
              <w:ind w:left="100" w:right="100"/>
              <w:jc w:val="center"/>
            </w:pPr>
            <w:r>
              <w:rPr>
                <w:rFonts w:eastAsia="Century Gothic" w:cs="Century Gothic"/>
                <w:color w:val="000000"/>
                <w:sz w:val="18"/>
                <w:szCs w:val="18"/>
              </w:rPr>
              <w:t>771 (53.4%)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417B6E" w14:textId="77777777" w:rsidR="001C19F3" w:rsidRDefault="001C19F3" w:rsidP="00521305">
            <w:pPr>
              <w:spacing w:before="40" w:after="40"/>
              <w:ind w:left="100" w:right="100"/>
              <w:jc w:val="right"/>
            </w:pPr>
            <w:r>
              <w:rPr>
                <w:rFonts w:eastAsia="Century Gothic" w:cs="Century Gothic"/>
                <w:color w:val="000000"/>
                <w:sz w:val="18"/>
                <w:szCs w:val="18"/>
              </w:rPr>
              <w:t>139 (51.7%)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29241E" w14:textId="77777777" w:rsidR="001C19F3" w:rsidRDefault="001C19F3" w:rsidP="00521305">
            <w:pPr>
              <w:spacing w:before="40" w:after="40"/>
              <w:ind w:left="100" w:right="100"/>
              <w:jc w:val="right"/>
            </w:pPr>
            <w:r>
              <w:rPr>
                <w:rFonts w:eastAsia="Century Gothic" w:cs="Century Gothic"/>
                <w:color w:val="000000"/>
                <w:sz w:val="18"/>
                <w:szCs w:val="18"/>
              </w:rPr>
              <w:t>120 (46.2%)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E5B8816" w14:textId="77777777" w:rsidR="001C19F3" w:rsidRDefault="001C19F3" w:rsidP="00521305">
            <w:pPr>
              <w:spacing w:after="0"/>
              <w:rPr>
                <w:sz w:val="22"/>
              </w:rPr>
            </w:pPr>
          </w:p>
        </w:tc>
      </w:tr>
      <w:tr w:rsidR="001C19F3" w14:paraId="02192AB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4C705B"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7F5D73" w14:textId="77777777" w:rsidR="001C19F3" w:rsidRDefault="001C19F3" w:rsidP="00521305">
            <w:pPr>
              <w:spacing w:before="40" w:after="40"/>
              <w:ind w:left="100" w:right="100"/>
              <w:jc w:val="center"/>
            </w:pPr>
            <w:r>
              <w:rPr>
                <w:rFonts w:eastAsia="Century Gothic" w:cs="Century Gothic"/>
                <w:color w:val="000000"/>
                <w:sz w:val="18"/>
                <w:szCs w:val="18"/>
              </w:rPr>
              <w:t>39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30F18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AD847B"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C0396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65F7C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DFA0A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23F1B4"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FC4CBF" w14:textId="77777777" w:rsidR="001C19F3" w:rsidRDefault="001C19F3" w:rsidP="00521305">
            <w:pPr>
              <w:spacing w:before="40" w:after="40"/>
              <w:ind w:left="100" w:right="100"/>
              <w:jc w:val="right"/>
            </w:pPr>
          </w:p>
        </w:tc>
      </w:tr>
      <w:tr w:rsidR="001C19F3" w14:paraId="5A0A470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891EC7"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6E7FC8" w14:textId="77777777" w:rsidR="001C19F3" w:rsidRDefault="001C19F3" w:rsidP="00521305">
            <w:pPr>
              <w:spacing w:before="40" w:after="40"/>
              <w:ind w:left="100" w:right="100"/>
              <w:jc w:val="center"/>
            </w:pPr>
            <w:r>
              <w:rPr>
                <w:rFonts w:eastAsia="Century Gothic" w:cs="Century Gothic"/>
                <w:color w:val="000000"/>
                <w:sz w:val="18"/>
                <w:szCs w:val="18"/>
              </w:rPr>
              <w:t>6 (0.3%)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28CAB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F584A8"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7EEE10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3B5B4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2A74B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CB4402"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FCB074" w14:textId="77777777" w:rsidR="001C19F3" w:rsidRDefault="001C19F3" w:rsidP="00521305">
            <w:pPr>
              <w:spacing w:after="0"/>
              <w:rPr>
                <w:sz w:val="22"/>
              </w:rPr>
            </w:pPr>
          </w:p>
        </w:tc>
      </w:tr>
      <w:tr w:rsidR="001C19F3" w14:paraId="42D9B67A"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53BF2B" w14:textId="77777777" w:rsidR="001C19F3" w:rsidRDefault="001C19F3" w:rsidP="00521305">
            <w:pPr>
              <w:spacing w:before="40" w:after="40"/>
              <w:ind w:left="100" w:right="100"/>
            </w:pPr>
            <w:r>
              <w:rPr>
                <w:rFonts w:eastAsia="Century Gothic" w:cs="Century Gothic"/>
                <w:b/>
                <w:color w:val="000000"/>
                <w:sz w:val="18"/>
                <w:szCs w:val="18"/>
              </w:rPr>
              <w:lastRenderedPageBreak/>
              <w:t>H04 I understand the nature and causes of my health condition(s) (Q20)</w:t>
            </w:r>
          </w:p>
        </w:tc>
      </w:tr>
      <w:tr w:rsidR="001C19F3" w14:paraId="3B0C25E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3A48B4"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03E7D3" w14:textId="77777777" w:rsidR="001C19F3" w:rsidRDefault="001C19F3" w:rsidP="00521305">
            <w:pPr>
              <w:spacing w:before="40" w:after="40"/>
              <w:ind w:left="100" w:right="100"/>
              <w:jc w:val="center"/>
            </w:pPr>
            <w:r>
              <w:rPr>
                <w:rFonts w:eastAsia="Century Gothic" w:cs="Century Gothic"/>
                <w:color w:val="000000"/>
                <w:sz w:val="18"/>
                <w:szCs w:val="18"/>
              </w:rPr>
              <w:t>10 (0.5%)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E15999" w14:textId="77777777" w:rsidR="001C19F3" w:rsidRDefault="001C19F3" w:rsidP="00521305">
            <w:pPr>
              <w:spacing w:before="40" w:after="40"/>
              <w:ind w:left="100" w:right="100"/>
              <w:jc w:val="center"/>
            </w:pPr>
            <w:r>
              <w:rPr>
                <w:rFonts w:eastAsia="Century Gothic" w:cs="Century Gothic"/>
                <w:color w:val="000000"/>
                <w:sz w:val="18"/>
                <w:szCs w:val="18"/>
              </w:rPr>
              <w:t>6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373B85" w14:textId="77777777" w:rsidR="001C19F3" w:rsidRDefault="001C19F3" w:rsidP="00521305">
            <w:pPr>
              <w:spacing w:before="40" w:after="40"/>
              <w:ind w:left="100" w:right="100"/>
              <w:jc w:val="center"/>
            </w:pPr>
            <w:r>
              <w:rPr>
                <w:rFonts w:eastAsia="Century Gothic" w:cs="Century Gothic"/>
                <w:color w:val="000000"/>
                <w:sz w:val="18"/>
                <w:szCs w:val="18"/>
              </w:rPr>
              <w:t>4 (0.3%)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F3173C"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F424C" w14:textId="77777777" w:rsidR="001C19F3" w:rsidRDefault="001C19F3" w:rsidP="00521305">
            <w:pPr>
              <w:spacing w:before="40" w:after="40"/>
              <w:ind w:left="100" w:right="100"/>
              <w:jc w:val="center"/>
            </w:pPr>
            <w:r>
              <w:rPr>
                <w:rFonts w:eastAsia="Century Gothic" w:cs="Century Gothic"/>
                <w:color w:val="000000"/>
                <w:sz w:val="18"/>
                <w:szCs w:val="18"/>
              </w:rPr>
              <w:t>9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2F2DDD"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FF1901"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6F0B2A" w14:textId="77777777" w:rsidR="001C19F3" w:rsidRDefault="001C19F3" w:rsidP="00521305">
            <w:pPr>
              <w:spacing w:before="40" w:after="40"/>
              <w:ind w:left="100" w:right="100"/>
              <w:jc w:val="right"/>
            </w:pPr>
            <w:r>
              <w:rPr>
                <w:rFonts w:eastAsia="Century Gothic" w:cs="Century Gothic"/>
                <w:color w:val="000000"/>
                <w:sz w:val="18"/>
                <w:szCs w:val="18"/>
              </w:rPr>
              <w:t>0.406</w:t>
            </w:r>
          </w:p>
        </w:tc>
      </w:tr>
      <w:tr w:rsidR="001C19F3" w14:paraId="158A2C3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16A1A6"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4446E0" w14:textId="77777777" w:rsidR="001C19F3" w:rsidRDefault="001C19F3" w:rsidP="00521305">
            <w:pPr>
              <w:spacing w:before="40" w:after="40"/>
              <w:ind w:left="100" w:right="100"/>
              <w:jc w:val="center"/>
            </w:pPr>
            <w:r>
              <w:rPr>
                <w:rFonts w:eastAsia="Century Gothic" w:cs="Century Gothic"/>
                <w:color w:val="000000"/>
                <w:sz w:val="18"/>
                <w:szCs w:val="18"/>
              </w:rPr>
              <w:t>53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5FFCF5" w14:textId="77777777" w:rsidR="001C19F3" w:rsidRDefault="001C19F3" w:rsidP="00521305">
            <w:pPr>
              <w:spacing w:before="40" w:after="40"/>
              <w:ind w:left="100" w:right="100"/>
              <w:jc w:val="center"/>
            </w:pPr>
            <w:r>
              <w:rPr>
                <w:rFonts w:eastAsia="Century Gothic" w:cs="Century Gothic"/>
                <w:color w:val="000000"/>
                <w:sz w:val="18"/>
                <w:szCs w:val="18"/>
              </w:rPr>
              <w:t>11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7806F7" w14:textId="77777777" w:rsidR="001C19F3" w:rsidRDefault="001C19F3" w:rsidP="00521305">
            <w:pPr>
              <w:spacing w:before="40" w:after="40"/>
              <w:ind w:left="100" w:right="100"/>
              <w:jc w:val="center"/>
            </w:pPr>
            <w:r>
              <w:rPr>
                <w:rFonts w:eastAsia="Century Gothic" w:cs="Century Gothic"/>
                <w:color w:val="000000"/>
                <w:sz w:val="18"/>
                <w:szCs w:val="18"/>
              </w:rPr>
              <w:t>42 (2.7%)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DB001E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45E266" w14:textId="77777777" w:rsidR="001C19F3" w:rsidRDefault="001C19F3" w:rsidP="00521305">
            <w:pPr>
              <w:spacing w:before="40" w:after="40"/>
              <w:ind w:left="100" w:right="100"/>
              <w:jc w:val="center"/>
            </w:pPr>
            <w:r>
              <w:rPr>
                <w:rFonts w:eastAsia="Century Gothic" w:cs="Century Gothic"/>
                <w:color w:val="000000"/>
                <w:sz w:val="18"/>
                <w:szCs w:val="18"/>
              </w:rPr>
              <w:t>36 (2.5%)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0B109D" w14:textId="77777777" w:rsidR="001C19F3" w:rsidRDefault="001C19F3" w:rsidP="00521305">
            <w:pPr>
              <w:spacing w:before="40" w:after="40"/>
              <w:ind w:left="100" w:right="100"/>
              <w:jc w:val="right"/>
            </w:pPr>
            <w:r>
              <w:rPr>
                <w:rFonts w:eastAsia="Century Gothic" w:cs="Century Gothic"/>
                <w:color w:val="000000"/>
                <w:sz w:val="18"/>
                <w:szCs w:val="18"/>
              </w:rPr>
              <w:t>7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891B4C" w14:textId="77777777" w:rsidR="001C19F3" w:rsidRDefault="001C19F3" w:rsidP="00521305">
            <w:pPr>
              <w:spacing w:before="40" w:after="40"/>
              <w:ind w:left="100" w:right="100"/>
              <w:jc w:val="right"/>
            </w:pPr>
            <w:r>
              <w:rPr>
                <w:rFonts w:eastAsia="Century Gothic" w:cs="Century Gothic"/>
                <w:color w:val="000000"/>
                <w:sz w:val="18"/>
                <w:szCs w:val="18"/>
              </w:rPr>
              <w:t>10 (3.8%)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5E8F84B" w14:textId="77777777" w:rsidR="001C19F3" w:rsidRDefault="001C19F3" w:rsidP="00521305">
            <w:pPr>
              <w:spacing w:after="0"/>
              <w:rPr>
                <w:sz w:val="22"/>
              </w:rPr>
            </w:pPr>
          </w:p>
        </w:tc>
      </w:tr>
      <w:tr w:rsidR="001C19F3" w14:paraId="0097B3B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CFF593"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0D0B4D" w14:textId="77777777" w:rsidR="001C19F3" w:rsidRDefault="001C19F3" w:rsidP="00521305">
            <w:pPr>
              <w:spacing w:before="40" w:after="40"/>
              <w:ind w:left="100" w:right="100"/>
              <w:jc w:val="center"/>
            </w:pPr>
            <w:r>
              <w:rPr>
                <w:rFonts w:eastAsia="Century Gothic" w:cs="Century Gothic"/>
                <w:color w:val="000000"/>
                <w:sz w:val="18"/>
                <w:szCs w:val="18"/>
              </w:rPr>
              <w:t>962 (47.7%)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776F67" w14:textId="77777777" w:rsidR="001C19F3" w:rsidRDefault="001C19F3" w:rsidP="00521305">
            <w:pPr>
              <w:spacing w:before="40" w:after="40"/>
              <w:ind w:left="100" w:right="100"/>
              <w:jc w:val="center"/>
            </w:pPr>
            <w:r>
              <w:rPr>
                <w:rFonts w:eastAsia="Century Gothic" w:cs="Century Gothic"/>
                <w:color w:val="000000"/>
                <w:sz w:val="18"/>
                <w:szCs w:val="18"/>
              </w:rPr>
              <w:t>224 (55.4%)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F98195" w14:textId="77777777" w:rsidR="001C19F3" w:rsidRDefault="001C19F3" w:rsidP="00521305">
            <w:pPr>
              <w:spacing w:before="40" w:after="40"/>
              <w:ind w:left="100" w:right="100"/>
              <w:jc w:val="center"/>
            </w:pPr>
            <w:r>
              <w:rPr>
                <w:rFonts w:eastAsia="Century Gothic" w:cs="Century Gothic"/>
                <w:color w:val="000000"/>
                <w:sz w:val="18"/>
                <w:szCs w:val="18"/>
              </w:rPr>
              <w:t>738 (46.9%)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EED0FB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7FB59E" w14:textId="77777777" w:rsidR="001C19F3" w:rsidRDefault="001C19F3" w:rsidP="00521305">
            <w:pPr>
              <w:spacing w:before="40" w:after="40"/>
              <w:ind w:left="100" w:right="100"/>
              <w:jc w:val="center"/>
            </w:pPr>
            <w:r>
              <w:rPr>
                <w:rFonts w:eastAsia="Century Gothic" w:cs="Century Gothic"/>
                <w:color w:val="000000"/>
                <w:sz w:val="18"/>
                <w:szCs w:val="18"/>
              </w:rPr>
              <w:t>704 (48.5%)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6750B5" w14:textId="77777777" w:rsidR="001C19F3" w:rsidRDefault="001C19F3" w:rsidP="00521305">
            <w:pPr>
              <w:spacing w:before="40" w:after="40"/>
              <w:ind w:left="100" w:right="100"/>
              <w:jc w:val="right"/>
            </w:pPr>
            <w:r>
              <w:rPr>
                <w:rFonts w:eastAsia="Century Gothic" w:cs="Century Gothic"/>
                <w:color w:val="000000"/>
                <w:sz w:val="18"/>
                <w:szCs w:val="18"/>
              </w:rPr>
              <w:t>121 (45.5%)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8FEF38" w14:textId="77777777" w:rsidR="001C19F3" w:rsidRDefault="001C19F3" w:rsidP="00521305">
            <w:pPr>
              <w:spacing w:before="40" w:after="40"/>
              <w:ind w:left="100" w:right="100"/>
              <w:jc w:val="right"/>
            </w:pPr>
            <w:r>
              <w:rPr>
                <w:rFonts w:eastAsia="Century Gothic" w:cs="Century Gothic"/>
                <w:color w:val="000000"/>
                <w:sz w:val="18"/>
                <w:szCs w:val="18"/>
              </w:rPr>
              <w:t>137 (52.3%)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BD90B69" w14:textId="77777777" w:rsidR="001C19F3" w:rsidRDefault="001C19F3" w:rsidP="00521305">
            <w:pPr>
              <w:spacing w:after="0"/>
              <w:rPr>
                <w:sz w:val="22"/>
              </w:rPr>
            </w:pPr>
          </w:p>
        </w:tc>
      </w:tr>
      <w:tr w:rsidR="001C19F3" w14:paraId="491FCF1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D5E445"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A309C6" w14:textId="77777777" w:rsidR="001C19F3" w:rsidRDefault="001C19F3" w:rsidP="00521305">
            <w:pPr>
              <w:spacing w:before="40" w:after="40"/>
              <w:ind w:left="100" w:right="100"/>
              <w:jc w:val="center"/>
            </w:pPr>
            <w:r>
              <w:rPr>
                <w:rFonts w:eastAsia="Century Gothic" w:cs="Century Gothic"/>
                <w:color w:val="000000"/>
                <w:sz w:val="18"/>
                <w:szCs w:val="18"/>
              </w:rPr>
              <w:t>954 (47.3%)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BAED04" w14:textId="77777777" w:rsidR="001C19F3" w:rsidRDefault="001C19F3" w:rsidP="00521305">
            <w:pPr>
              <w:spacing w:before="40" w:after="40"/>
              <w:ind w:left="100" w:right="100"/>
              <w:jc w:val="center"/>
            </w:pPr>
            <w:r>
              <w:rPr>
                <w:rFonts w:eastAsia="Century Gothic" w:cs="Century Gothic"/>
                <w:color w:val="000000"/>
                <w:sz w:val="18"/>
                <w:szCs w:val="18"/>
              </w:rPr>
              <w:t>163 (40.3%)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235E22" w14:textId="77777777" w:rsidR="001C19F3" w:rsidRDefault="001C19F3" w:rsidP="00521305">
            <w:pPr>
              <w:spacing w:before="40" w:after="40"/>
              <w:ind w:left="100" w:right="100"/>
              <w:jc w:val="center"/>
            </w:pPr>
            <w:r>
              <w:rPr>
                <w:rFonts w:eastAsia="Century Gothic" w:cs="Century Gothic"/>
                <w:color w:val="000000"/>
                <w:sz w:val="18"/>
                <w:szCs w:val="18"/>
              </w:rPr>
              <w:t>791 (50.2%)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CDF3A9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D74642" w14:textId="77777777" w:rsidR="001C19F3" w:rsidRDefault="001C19F3" w:rsidP="00521305">
            <w:pPr>
              <w:spacing w:before="40" w:after="40"/>
              <w:ind w:left="100" w:right="100"/>
              <w:jc w:val="center"/>
            </w:pPr>
            <w:r>
              <w:rPr>
                <w:rFonts w:eastAsia="Century Gothic" w:cs="Century Gothic"/>
                <w:color w:val="000000"/>
                <w:sz w:val="18"/>
                <w:szCs w:val="18"/>
              </w:rPr>
              <w:t>702 (48.4%)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AF53E7" w14:textId="77777777" w:rsidR="001C19F3" w:rsidRDefault="001C19F3" w:rsidP="00521305">
            <w:pPr>
              <w:spacing w:before="40" w:after="40"/>
              <w:ind w:left="100" w:right="100"/>
              <w:jc w:val="right"/>
            </w:pPr>
            <w:r>
              <w:rPr>
                <w:rFonts w:eastAsia="Century Gothic" w:cs="Century Gothic"/>
                <w:color w:val="000000"/>
                <w:sz w:val="18"/>
                <w:szCs w:val="18"/>
              </w:rPr>
              <w:t>137 (51.5%)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329D8E" w14:textId="77777777" w:rsidR="001C19F3" w:rsidRDefault="001C19F3" w:rsidP="00521305">
            <w:pPr>
              <w:spacing w:before="40" w:after="40"/>
              <w:ind w:left="100" w:right="100"/>
              <w:jc w:val="right"/>
            </w:pPr>
            <w:r>
              <w:rPr>
                <w:rFonts w:eastAsia="Century Gothic" w:cs="Century Gothic"/>
                <w:color w:val="000000"/>
                <w:sz w:val="18"/>
                <w:szCs w:val="18"/>
              </w:rPr>
              <w:t>115 (43.9%)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4D34C37" w14:textId="77777777" w:rsidR="001C19F3" w:rsidRDefault="001C19F3" w:rsidP="00521305">
            <w:pPr>
              <w:spacing w:after="0"/>
              <w:rPr>
                <w:sz w:val="22"/>
              </w:rPr>
            </w:pPr>
          </w:p>
        </w:tc>
      </w:tr>
      <w:tr w:rsidR="001C19F3" w14:paraId="1206F03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58A1E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4756F5" w14:textId="77777777" w:rsidR="001C19F3" w:rsidRDefault="001C19F3" w:rsidP="00521305">
            <w:pPr>
              <w:spacing w:before="40" w:after="40"/>
              <w:ind w:left="100" w:right="100"/>
              <w:jc w:val="center"/>
            </w:pPr>
            <w:r>
              <w:rPr>
                <w:rFonts w:eastAsia="Century Gothic" w:cs="Century Gothic"/>
                <w:color w:val="000000"/>
                <w:sz w:val="18"/>
                <w:szCs w:val="18"/>
              </w:rPr>
              <w:t>37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DFD88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81D576"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E6C85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A16FF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519BA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CCC9E8"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6A8F45" w14:textId="77777777" w:rsidR="001C19F3" w:rsidRDefault="001C19F3" w:rsidP="00521305">
            <w:pPr>
              <w:spacing w:before="40" w:after="40"/>
              <w:ind w:left="100" w:right="100"/>
              <w:jc w:val="right"/>
            </w:pPr>
          </w:p>
        </w:tc>
      </w:tr>
      <w:tr w:rsidR="001C19F3" w14:paraId="0D4CA6F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39E630"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409D79" w14:textId="77777777" w:rsidR="001C19F3" w:rsidRDefault="001C19F3" w:rsidP="00521305">
            <w:pPr>
              <w:spacing w:before="40" w:after="40"/>
              <w:ind w:left="100" w:right="100"/>
              <w:jc w:val="center"/>
            </w:pPr>
            <w:r>
              <w:rPr>
                <w:rFonts w:eastAsia="Century Gothic" w:cs="Century Gothic"/>
                <w:color w:val="000000"/>
                <w:sz w:val="18"/>
                <w:szCs w:val="18"/>
              </w:rPr>
              <w:t>2 (0.1%)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E6033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167A80"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8663D5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4C1F5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5AA292"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1B98B3"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BDE6D1" w14:textId="77777777" w:rsidR="001C19F3" w:rsidRDefault="001C19F3" w:rsidP="00521305">
            <w:pPr>
              <w:spacing w:after="0"/>
              <w:rPr>
                <w:sz w:val="22"/>
              </w:rPr>
            </w:pPr>
          </w:p>
        </w:tc>
      </w:tr>
      <w:tr w:rsidR="001C19F3" w14:paraId="3A6A493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ADE656" w14:textId="77777777" w:rsidR="001C19F3" w:rsidRDefault="001C19F3" w:rsidP="00521305">
            <w:pPr>
              <w:spacing w:before="40" w:after="40"/>
              <w:ind w:left="100" w:right="100"/>
            </w:pPr>
            <w:r>
              <w:rPr>
                <w:rFonts w:eastAsia="Century Gothic" w:cs="Century Gothic"/>
                <w:b/>
                <w:color w:val="000000"/>
                <w:sz w:val="18"/>
                <w:szCs w:val="18"/>
              </w:rPr>
              <w:t>H05 I know the different medical treatment options available for my health condition(s) (Q20)</w:t>
            </w:r>
          </w:p>
        </w:tc>
      </w:tr>
      <w:tr w:rsidR="001C19F3" w14:paraId="693BBE2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875989"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82AA18" w14:textId="77777777" w:rsidR="001C19F3" w:rsidRDefault="001C19F3" w:rsidP="00521305">
            <w:pPr>
              <w:spacing w:before="40" w:after="40"/>
              <w:ind w:left="100" w:right="100"/>
              <w:jc w:val="center"/>
            </w:pPr>
            <w:r>
              <w:rPr>
                <w:rFonts w:eastAsia="Century Gothic" w:cs="Century Gothic"/>
                <w:color w:val="000000"/>
                <w:sz w:val="18"/>
                <w:szCs w:val="18"/>
              </w:rPr>
              <w:t>18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445F2" w14:textId="77777777" w:rsidR="001C19F3" w:rsidRDefault="001C19F3" w:rsidP="00521305">
            <w:pPr>
              <w:spacing w:before="40" w:after="40"/>
              <w:ind w:left="100" w:right="100"/>
              <w:jc w:val="center"/>
            </w:pPr>
            <w:r>
              <w:rPr>
                <w:rFonts w:eastAsia="Century Gothic" w:cs="Century Gothic"/>
                <w:color w:val="000000"/>
                <w:sz w:val="18"/>
                <w:szCs w:val="18"/>
              </w:rPr>
              <w:t>8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BC059E" w14:textId="77777777" w:rsidR="001C19F3" w:rsidRDefault="001C19F3" w:rsidP="00521305">
            <w:pPr>
              <w:spacing w:before="40" w:after="40"/>
              <w:ind w:left="100" w:right="100"/>
              <w:jc w:val="center"/>
            </w:pPr>
            <w:r>
              <w:rPr>
                <w:rFonts w:eastAsia="Century Gothic" w:cs="Century Gothic"/>
                <w:color w:val="000000"/>
                <w:sz w:val="18"/>
                <w:szCs w:val="18"/>
              </w:rPr>
              <w:t>10 (0.7%)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305AC9" w14:textId="77777777" w:rsidR="001C19F3" w:rsidRDefault="001C19F3" w:rsidP="00521305">
            <w:pPr>
              <w:spacing w:before="40" w:after="40"/>
              <w:ind w:left="100" w:right="100"/>
              <w:jc w:val="center"/>
            </w:pPr>
            <w:r>
              <w:rPr>
                <w:rFonts w:eastAsia="Century Gothic" w:cs="Century Gothic"/>
                <w:color w:val="000000"/>
                <w:sz w:val="18"/>
                <w:szCs w:val="18"/>
              </w:rPr>
              <w:t>0.048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17A96F" w14:textId="77777777" w:rsidR="001C19F3" w:rsidRDefault="001C19F3" w:rsidP="00521305">
            <w:pPr>
              <w:spacing w:before="40" w:after="40"/>
              <w:ind w:left="100" w:right="100"/>
              <w:jc w:val="center"/>
            </w:pPr>
            <w:r>
              <w:rPr>
                <w:rFonts w:eastAsia="Century Gothic" w:cs="Century Gothic"/>
                <w:color w:val="000000"/>
                <w:sz w:val="18"/>
                <w:szCs w:val="18"/>
              </w:rPr>
              <w:t>16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CBEE0E"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7843C3"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CC5DEB" w14:textId="77777777" w:rsidR="001C19F3" w:rsidRDefault="001C19F3" w:rsidP="00521305">
            <w:pPr>
              <w:spacing w:before="40" w:after="40"/>
              <w:ind w:left="100" w:right="100"/>
              <w:jc w:val="right"/>
            </w:pPr>
            <w:r>
              <w:rPr>
                <w:rFonts w:eastAsia="Century Gothic" w:cs="Century Gothic"/>
                <w:color w:val="000000"/>
                <w:sz w:val="18"/>
                <w:szCs w:val="18"/>
              </w:rPr>
              <w:t>0.087</w:t>
            </w:r>
          </w:p>
        </w:tc>
      </w:tr>
      <w:tr w:rsidR="001C19F3" w14:paraId="3EA954F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FC0BA8"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580C2A" w14:textId="77777777" w:rsidR="001C19F3" w:rsidRDefault="001C19F3" w:rsidP="00521305">
            <w:pPr>
              <w:spacing w:before="40" w:after="40"/>
              <w:ind w:left="100" w:right="100"/>
              <w:jc w:val="center"/>
            </w:pPr>
            <w:r>
              <w:rPr>
                <w:rFonts w:eastAsia="Century Gothic" w:cs="Century Gothic"/>
                <w:color w:val="000000"/>
                <w:sz w:val="18"/>
                <w:szCs w:val="18"/>
              </w:rPr>
              <w:t>129 (6.4%)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D782D2" w14:textId="77777777" w:rsidR="001C19F3" w:rsidRDefault="001C19F3" w:rsidP="00521305">
            <w:pPr>
              <w:spacing w:before="40" w:after="40"/>
              <w:ind w:left="100" w:right="100"/>
              <w:jc w:val="center"/>
            </w:pPr>
            <w:r>
              <w:rPr>
                <w:rFonts w:eastAsia="Century Gothic" w:cs="Century Gothic"/>
                <w:color w:val="000000"/>
                <w:sz w:val="18"/>
                <w:szCs w:val="18"/>
              </w:rPr>
              <w:t>27 (6.9%)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C28AC7" w14:textId="77777777" w:rsidR="001C19F3" w:rsidRDefault="001C19F3" w:rsidP="00521305">
            <w:pPr>
              <w:spacing w:before="40" w:after="40"/>
              <w:ind w:left="100" w:right="100"/>
              <w:jc w:val="center"/>
            </w:pPr>
            <w:r>
              <w:rPr>
                <w:rFonts w:eastAsia="Century Gothic" w:cs="Century Gothic"/>
                <w:color w:val="000000"/>
                <w:sz w:val="18"/>
                <w:szCs w:val="18"/>
              </w:rPr>
              <w:t>102 (6.7%)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F52E1F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B47DC1" w14:textId="77777777" w:rsidR="001C19F3" w:rsidRDefault="001C19F3" w:rsidP="00521305">
            <w:pPr>
              <w:spacing w:before="40" w:after="40"/>
              <w:ind w:left="100" w:right="100"/>
              <w:jc w:val="center"/>
            </w:pPr>
            <w:r>
              <w:rPr>
                <w:rFonts w:eastAsia="Century Gothic" w:cs="Century Gothic"/>
                <w:color w:val="000000"/>
                <w:sz w:val="18"/>
                <w:szCs w:val="18"/>
              </w:rPr>
              <w:t>95 (6.7%)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91CAC" w14:textId="77777777" w:rsidR="001C19F3" w:rsidRDefault="001C19F3" w:rsidP="00521305">
            <w:pPr>
              <w:spacing w:before="40" w:after="40"/>
              <w:ind w:left="100" w:right="100"/>
              <w:jc w:val="right"/>
            </w:pPr>
            <w:r>
              <w:rPr>
                <w:rFonts w:eastAsia="Century Gothic" w:cs="Century Gothic"/>
                <w:color w:val="000000"/>
                <w:sz w:val="18"/>
                <w:szCs w:val="18"/>
              </w:rPr>
              <w:t>16 (6.2%)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DDB7DE" w14:textId="77777777" w:rsidR="001C19F3" w:rsidRDefault="001C19F3" w:rsidP="00521305">
            <w:pPr>
              <w:spacing w:before="40" w:after="40"/>
              <w:ind w:left="100" w:right="100"/>
              <w:jc w:val="right"/>
            </w:pPr>
            <w:r>
              <w:rPr>
                <w:rFonts w:eastAsia="Century Gothic" w:cs="Century Gothic"/>
                <w:color w:val="000000"/>
                <w:sz w:val="18"/>
                <w:szCs w:val="18"/>
              </w:rPr>
              <w:t>18 (7.1%)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3E3A122" w14:textId="77777777" w:rsidR="001C19F3" w:rsidRDefault="001C19F3" w:rsidP="00521305">
            <w:pPr>
              <w:spacing w:after="0"/>
              <w:rPr>
                <w:sz w:val="22"/>
              </w:rPr>
            </w:pPr>
          </w:p>
        </w:tc>
      </w:tr>
      <w:tr w:rsidR="001C19F3" w14:paraId="6E9967E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2D69BE"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3E419D" w14:textId="77777777" w:rsidR="001C19F3" w:rsidRDefault="001C19F3" w:rsidP="00521305">
            <w:pPr>
              <w:spacing w:before="40" w:after="40"/>
              <w:ind w:left="100" w:right="100"/>
              <w:jc w:val="center"/>
            </w:pPr>
            <w:r>
              <w:rPr>
                <w:rFonts w:eastAsia="Century Gothic" w:cs="Century Gothic"/>
                <w:color w:val="000000"/>
                <w:sz w:val="18"/>
                <w:szCs w:val="18"/>
              </w:rPr>
              <w:t>1,081 (53.6%)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680897" w14:textId="77777777" w:rsidR="001C19F3" w:rsidRDefault="001C19F3" w:rsidP="00521305">
            <w:pPr>
              <w:spacing w:before="40" w:after="40"/>
              <w:ind w:left="100" w:right="100"/>
              <w:jc w:val="center"/>
            </w:pPr>
            <w:r>
              <w:rPr>
                <w:rFonts w:eastAsia="Century Gothic" w:cs="Century Gothic"/>
                <w:color w:val="000000"/>
                <w:sz w:val="18"/>
                <w:szCs w:val="18"/>
              </w:rPr>
              <w:t>228 (57.9%)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1E6504" w14:textId="77777777" w:rsidR="001C19F3" w:rsidRDefault="001C19F3" w:rsidP="00521305">
            <w:pPr>
              <w:spacing w:before="40" w:after="40"/>
              <w:ind w:left="100" w:right="100"/>
              <w:jc w:val="center"/>
            </w:pPr>
            <w:r>
              <w:rPr>
                <w:rFonts w:eastAsia="Century Gothic" w:cs="Century Gothic"/>
                <w:color w:val="000000"/>
                <w:sz w:val="18"/>
                <w:szCs w:val="18"/>
              </w:rPr>
              <w:t>853 (55.6%)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816345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E24751" w14:textId="77777777" w:rsidR="001C19F3" w:rsidRDefault="001C19F3" w:rsidP="00521305">
            <w:pPr>
              <w:spacing w:before="40" w:after="40"/>
              <w:ind w:left="100" w:right="100"/>
              <w:jc w:val="center"/>
            </w:pPr>
            <w:r>
              <w:rPr>
                <w:rFonts w:eastAsia="Century Gothic" w:cs="Century Gothic"/>
                <w:color w:val="000000"/>
                <w:sz w:val="18"/>
                <w:szCs w:val="18"/>
              </w:rPr>
              <w:t>797 (56.4%)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D6CF3C" w14:textId="77777777" w:rsidR="001C19F3" w:rsidRDefault="001C19F3" w:rsidP="00521305">
            <w:pPr>
              <w:spacing w:before="40" w:after="40"/>
              <w:ind w:left="100" w:right="100"/>
              <w:jc w:val="right"/>
            </w:pPr>
            <w:r>
              <w:rPr>
                <w:rFonts w:eastAsia="Century Gothic" w:cs="Century Gothic"/>
                <w:color w:val="000000"/>
                <w:sz w:val="18"/>
                <w:szCs w:val="18"/>
              </w:rPr>
              <w:t>129 (49.6%)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D8FE58" w14:textId="77777777" w:rsidR="001C19F3" w:rsidRDefault="001C19F3" w:rsidP="00521305">
            <w:pPr>
              <w:spacing w:before="40" w:after="40"/>
              <w:ind w:left="100" w:right="100"/>
              <w:jc w:val="right"/>
            </w:pPr>
            <w:r>
              <w:rPr>
                <w:rFonts w:eastAsia="Century Gothic" w:cs="Century Gothic"/>
                <w:color w:val="000000"/>
                <w:sz w:val="18"/>
                <w:szCs w:val="18"/>
              </w:rPr>
              <w:t>155 (60.8%)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7A27619" w14:textId="77777777" w:rsidR="001C19F3" w:rsidRDefault="001C19F3" w:rsidP="00521305">
            <w:pPr>
              <w:spacing w:after="0"/>
              <w:rPr>
                <w:sz w:val="22"/>
              </w:rPr>
            </w:pPr>
          </w:p>
        </w:tc>
      </w:tr>
      <w:tr w:rsidR="001C19F3" w14:paraId="463637D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352746"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306E31" w14:textId="77777777" w:rsidR="001C19F3" w:rsidRDefault="001C19F3" w:rsidP="00521305">
            <w:pPr>
              <w:spacing w:before="40" w:after="40"/>
              <w:ind w:left="100" w:right="100"/>
              <w:jc w:val="center"/>
            </w:pPr>
            <w:r>
              <w:rPr>
                <w:rFonts w:eastAsia="Century Gothic" w:cs="Century Gothic"/>
                <w:color w:val="000000"/>
                <w:sz w:val="18"/>
                <w:szCs w:val="18"/>
              </w:rPr>
              <w:t>699 (34.6%)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000565" w14:textId="77777777" w:rsidR="001C19F3" w:rsidRDefault="001C19F3" w:rsidP="00521305">
            <w:pPr>
              <w:spacing w:before="40" w:after="40"/>
              <w:ind w:left="100" w:right="100"/>
              <w:jc w:val="center"/>
            </w:pPr>
            <w:r>
              <w:rPr>
                <w:rFonts w:eastAsia="Century Gothic" w:cs="Century Gothic"/>
                <w:color w:val="000000"/>
                <w:sz w:val="18"/>
                <w:szCs w:val="18"/>
              </w:rPr>
              <w:t>131 (33.2%)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DBEB5A" w14:textId="77777777" w:rsidR="001C19F3" w:rsidRDefault="001C19F3" w:rsidP="00521305">
            <w:pPr>
              <w:spacing w:before="40" w:after="40"/>
              <w:ind w:left="100" w:right="100"/>
              <w:jc w:val="center"/>
            </w:pPr>
            <w:r>
              <w:rPr>
                <w:rFonts w:eastAsia="Century Gothic" w:cs="Century Gothic"/>
                <w:color w:val="000000"/>
                <w:sz w:val="18"/>
                <w:szCs w:val="18"/>
              </w:rPr>
              <w:t>568 (37.1%)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E0B89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16F523" w14:textId="77777777" w:rsidR="001C19F3" w:rsidRDefault="001C19F3" w:rsidP="00521305">
            <w:pPr>
              <w:spacing w:before="40" w:after="40"/>
              <w:ind w:left="100" w:right="100"/>
              <w:jc w:val="center"/>
            </w:pPr>
            <w:r>
              <w:rPr>
                <w:rFonts w:eastAsia="Century Gothic" w:cs="Century Gothic"/>
                <w:color w:val="000000"/>
                <w:sz w:val="18"/>
                <w:szCs w:val="18"/>
              </w:rPr>
              <w:t>504 (35.7%)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C72FF4" w14:textId="77777777" w:rsidR="001C19F3" w:rsidRDefault="001C19F3" w:rsidP="00521305">
            <w:pPr>
              <w:spacing w:before="40" w:after="40"/>
              <w:ind w:left="100" w:right="100"/>
              <w:jc w:val="right"/>
            </w:pPr>
            <w:r>
              <w:rPr>
                <w:rFonts w:eastAsia="Century Gothic" w:cs="Century Gothic"/>
                <w:color w:val="000000"/>
                <w:sz w:val="18"/>
                <w:szCs w:val="18"/>
              </w:rPr>
              <w:t>114 (43.8%)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87A797" w14:textId="77777777" w:rsidR="001C19F3" w:rsidRDefault="001C19F3" w:rsidP="00521305">
            <w:pPr>
              <w:spacing w:before="40" w:after="40"/>
              <w:ind w:left="100" w:right="100"/>
              <w:jc w:val="right"/>
            </w:pPr>
            <w:r>
              <w:rPr>
                <w:rFonts w:eastAsia="Century Gothic" w:cs="Century Gothic"/>
                <w:color w:val="000000"/>
                <w:sz w:val="18"/>
                <w:szCs w:val="18"/>
              </w:rPr>
              <w:t>81 (31.8%)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93520C0" w14:textId="77777777" w:rsidR="001C19F3" w:rsidRDefault="001C19F3" w:rsidP="00521305">
            <w:pPr>
              <w:spacing w:after="0"/>
              <w:rPr>
                <w:sz w:val="22"/>
              </w:rPr>
            </w:pPr>
          </w:p>
        </w:tc>
      </w:tr>
      <w:tr w:rsidR="001C19F3" w14:paraId="08C3138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0A42D9"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B35AB3" w14:textId="77777777" w:rsidR="001C19F3" w:rsidRDefault="001C19F3" w:rsidP="00521305">
            <w:pPr>
              <w:spacing w:before="40" w:after="40"/>
              <w:ind w:left="100" w:right="100"/>
              <w:jc w:val="center"/>
            </w:pPr>
            <w:r>
              <w:rPr>
                <w:rFonts w:eastAsia="Century Gothic" w:cs="Century Gothic"/>
                <w:color w:val="000000"/>
                <w:sz w:val="18"/>
                <w:szCs w:val="18"/>
              </w:rPr>
              <w:t>85 (4.2%)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AB2CA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DD52F9"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C4CC7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E39E1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3481B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612D82"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1BC0E0" w14:textId="77777777" w:rsidR="001C19F3" w:rsidRDefault="001C19F3" w:rsidP="00521305">
            <w:pPr>
              <w:spacing w:before="40" w:after="40"/>
              <w:ind w:left="100" w:right="100"/>
              <w:jc w:val="right"/>
            </w:pPr>
          </w:p>
        </w:tc>
      </w:tr>
      <w:tr w:rsidR="001C19F3" w14:paraId="223EA01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D15785"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17609D" w14:textId="77777777" w:rsidR="001C19F3" w:rsidRDefault="001C19F3" w:rsidP="00521305">
            <w:pPr>
              <w:spacing w:before="40" w:after="40"/>
              <w:ind w:left="100" w:right="100"/>
              <w:jc w:val="center"/>
            </w:pPr>
            <w:r>
              <w:rPr>
                <w:rFonts w:eastAsia="Century Gothic" w:cs="Century Gothic"/>
                <w:color w:val="000000"/>
                <w:sz w:val="18"/>
                <w:szCs w:val="18"/>
              </w:rPr>
              <w:t>6 (0.3%)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E20B9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E3DF00"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5EED22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FFE84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7E8651"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F3B6F5"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DBE8D46" w14:textId="77777777" w:rsidR="001C19F3" w:rsidRDefault="001C19F3" w:rsidP="00521305">
            <w:pPr>
              <w:spacing w:after="0"/>
              <w:rPr>
                <w:sz w:val="22"/>
              </w:rPr>
            </w:pPr>
          </w:p>
        </w:tc>
      </w:tr>
      <w:tr w:rsidR="001C19F3" w14:paraId="49FB0AFB"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8FFD73" w14:textId="77777777" w:rsidR="001C19F3" w:rsidRDefault="001C19F3" w:rsidP="00521305">
            <w:pPr>
              <w:spacing w:before="40" w:after="40"/>
              <w:ind w:left="100" w:right="100"/>
            </w:pPr>
            <w:r>
              <w:rPr>
                <w:rFonts w:eastAsia="Century Gothic" w:cs="Century Gothic"/>
                <w:b/>
                <w:color w:val="000000"/>
                <w:sz w:val="18"/>
                <w:szCs w:val="18"/>
              </w:rPr>
              <w:t>H06 I have been able to maintain the lifestyle changes for my health that I have made (Q20)</w:t>
            </w:r>
          </w:p>
        </w:tc>
      </w:tr>
      <w:tr w:rsidR="001C19F3" w14:paraId="582E11A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E10FBB"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255CE3" w14:textId="77777777" w:rsidR="001C19F3" w:rsidRDefault="001C19F3" w:rsidP="00521305">
            <w:pPr>
              <w:spacing w:before="40" w:after="40"/>
              <w:ind w:left="100" w:right="100"/>
              <w:jc w:val="center"/>
            </w:pPr>
            <w:r>
              <w:rPr>
                <w:rFonts w:eastAsia="Century Gothic" w:cs="Century Gothic"/>
                <w:color w:val="000000"/>
                <w:sz w:val="18"/>
                <w:szCs w:val="18"/>
              </w:rPr>
              <w:t>28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695625" w14:textId="77777777" w:rsidR="001C19F3" w:rsidRDefault="001C19F3" w:rsidP="00521305">
            <w:pPr>
              <w:spacing w:before="40" w:after="40"/>
              <w:ind w:left="100" w:right="100"/>
              <w:jc w:val="center"/>
            </w:pPr>
            <w:r>
              <w:rPr>
                <w:rFonts w:eastAsia="Century Gothic" w:cs="Century Gothic"/>
                <w:color w:val="000000"/>
                <w:sz w:val="18"/>
                <w:szCs w:val="18"/>
              </w:rPr>
              <w:t>9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1A8F93" w14:textId="77777777" w:rsidR="001C19F3" w:rsidRDefault="001C19F3" w:rsidP="00521305">
            <w:pPr>
              <w:spacing w:before="40" w:after="40"/>
              <w:ind w:left="100" w:right="100"/>
              <w:jc w:val="center"/>
            </w:pPr>
            <w:r>
              <w:rPr>
                <w:rFonts w:eastAsia="Century Gothic" w:cs="Century Gothic"/>
                <w:color w:val="000000"/>
                <w:sz w:val="18"/>
                <w:szCs w:val="18"/>
              </w:rPr>
              <w:t>19 (1.2%)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2D4D8" w14:textId="77777777" w:rsidR="001C19F3" w:rsidRDefault="001C19F3" w:rsidP="00521305">
            <w:pPr>
              <w:spacing w:before="40" w:after="40"/>
              <w:ind w:left="100" w:right="100"/>
              <w:jc w:val="center"/>
            </w:pPr>
            <w:r>
              <w:rPr>
                <w:rFonts w:eastAsia="Century Gothic" w:cs="Century Gothic"/>
                <w:color w:val="000000"/>
                <w:sz w:val="18"/>
                <w:szCs w:val="18"/>
              </w:rPr>
              <w:t>0.046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AC1F29" w14:textId="77777777" w:rsidR="001C19F3" w:rsidRDefault="001C19F3" w:rsidP="00521305">
            <w:pPr>
              <w:spacing w:before="40" w:after="40"/>
              <w:ind w:left="100" w:right="100"/>
              <w:jc w:val="center"/>
            </w:pPr>
            <w:r>
              <w:rPr>
                <w:rFonts w:eastAsia="Century Gothic" w:cs="Century Gothic"/>
                <w:color w:val="000000"/>
                <w:sz w:val="18"/>
                <w:szCs w:val="18"/>
              </w:rPr>
              <w:t>21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3446AD"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885270" w14:textId="77777777" w:rsidR="001C19F3" w:rsidRDefault="001C19F3" w:rsidP="00521305">
            <w:pPr>
              <w:spacing w:before="40" w:after="40"/>
              <w:ind w:left="100" w:right="100"/>
              <w:jc w:val="right"/>
            </w:pPr>
            <w:r>
              <w:rPr>
                <w:rFonts w:eastAsia="Century Gothic" w:cs="Century Gothic"/>
                <w:color w:val="000000"/>
                <w:sz w:val="18"/>
                <w:szCs w:val="18"/>
              </w:rPr>
              <w:t>3 (1.2%)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CF4245" w14:textId="77777777" w:rsidR="001C19F3" w:rsidRDefault="001C19F3" w:rsidP="00521305">
            <w:pPr>
              <w:spacing w:before="40" w:after="40"/>
              <w:ind w:left="100" w:right="100"/>
              <w:jc w:val="right"/>
            </w:pPr>
            <w:r>
              <w:rPr>
                <w:rFonts w:eastAsia="Century Gothic" w:cs="Century Gothic"/>
                <w:color w:val="000000"/>
                <w:sz w:val="18"/>
                <w:szCs w:val="18"/>
              </w:rPr>
              <w:t>0.733</w:t>
            </w:r>
          </w:p>
        </w:tc>
      </w:tr>
      <w:tr w:rsidR="001C19F3" w14:paraId="7FBB5AC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682388"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281FE1" w14:textId="77777777" w:rsidR="001C19F3" w:rsidRDefault="001C19F3" w:rsidP="00521305">
            <w:pPr>
              <w:spacing w:before="40" w:after="40"/>
              <w:ind w:left="100" w:right="100"/>
              <w:jc w:val="center"/>
            </w:pPr>
            <w:r>
              <w:rPr>
                <w:rFonts w:eastAsia="Century Gothic" w:cs="Century Gothic"/>
                <w:color w:val="000000"/>
                <w:sz w:val="18"/>
                <w:szCs w:val="18"/>
              </w:rPr>
              <w:t>135 (6.7%)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5BBDCE" w14:textId="77777777" w:rsidR="001C19F3" w:rsidRDefault="001C19F3" w:rsidP="00521305">
            <w:pPr>
              <w:spacing w:before="40" w:after="40"/>
              <w:ind w:left="100" w:right="100"/>
              <w:jc w:val="center"/>
            </w:pPr>
            <w:r>
              <w:rPr>
                <w:rFonts w:eastAsia="Century Gothic" w:cs="Century Gothic"/>
                <w:color w:val="000000"/>
                <w:sz w:val="18"/>
                <w:szCs w:val="18"/>
              </w:rPr>
              <w:t>33 (8.4%)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D2AC2" w14:textId="77777777" w:rsidR="001C19F3" w:rsidRDefault="001C19F3" w:rsidP="00521305">
            <w:pPr>
              <w:spacing w:before="40" w:after="40"/>
              <w:ind w:left="100" w:right="100"/>
              <w:jc w:val="center"/>
            </w:pPr>
            <w:r>
              <w:rPr>
                <w:rFonts w:eastAsia="Century Gothic" w:cs="Century Gothic"/>
                <w:color w:val="000000"/>
                <w:sz w:val="18"/>
                <w:szCs w:val="18"/>
              </w:rPr>
              <w:t>102 (6.6%)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AADFA5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68C4D9" w14:textId="77777777" w:rsidR="001C19F3" w:rsidRDefault="001C19F3" w:rsidP="00521305">
            <w:pPr>
              <w:spacing w:before="40" w:after="40"/>
              <w:ind w:left="100" w:right="100"/>
              <w:jc w:val="center"/>
            </w:pPr>
            <w:r>
              <w:rPr>
                <w:rFonts w:eastAsia="Century Gothic" w:cs="Century Gothic"/>
                <w:color w:val="000000"/>
                <w:sz w:val="18"/>
                <w:szCs w:val="18"/>
              </w:rPr>
              <w:t>107 (7.6%)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54A75A" w14:textId="77777777" w:rsidR="001C19F3" w:rsidRDefault="001C19F3" w:rsidP="00521305">
            <w:pPr>
              <w:spacing w:before="40" w:after="40"/>
              <w:ind w:left="100" w:right="100"/>
              <w:jc w:val="right"/>
            </w:pPr>
            <w:r>
              <w:rPr>
                <w:rFonts w:eastAsia="Century Gothic" w:cs="Century Gothic"/>
                <w:color w:val="000000"/>
                <w:sz w:val="18"/>
                <w:szCs w:val="18"/>
              </w:rPr>
              <w:t>13 (4.9%)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A4FE89" w14:textId="77777777" w:rsidR="001C19F3" w:rsidRDefault="001C19F3" w:rsidP="00521305">
            <w:pPr>
              <w:spacing w:before="40" w:after="40"/>
              <w:ind w:left="100" w:right="100"/>
              <w:jc w:val="right"/>
            </w:pPr>
            <w:r>
              <w:rPr>
                <w:rFonts w:eastAsia="Century Gothic" w:cs="Century Gothic"/>
                <w:color w:val="000000"/>
                <w:sz w:val="18"/>
                <w:szCs w:val="18"/>
              </w:rPr>
              <w:t>15 (5.9%)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FC5BB9E" w14:textId="77777777" w:rsidR="001C19F3" w:rsidRDefault="001C19F3" w:rsidP="00521305">
            <w:pPr>
              <w:spacing w:after="0"/>
              <w:rPr>
                <w:sz w:val="22"/>
              </w:rPr>
            </w:pPr>
          </w:p>
        </w:tc>
      </w:tr>
      <w:tr w:rsidR="001C19F3" w14:paraId="7591709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7C32A"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2707C9" w14:textId="77777777" w:rsidR="001C19F3" w:rsidRDefault="001C19F3" w:rsidP="00521305">
            <w:pPr>
              <w:spacing w:before="40" w:after="40"/>
              <w:ind w:left="100" w:right="100"/>
              <w:jc w:val="center"/>
            </w:pPr>
            <w:r>
              <w:rPr>
                <w:rFonts w:eastAsia="Century Gothic" w:cs="Century Gothic"/>
                <w:color w:val="000000"/>
                <w:sz w:val="18"/>
                <w:szCs w:val="18"/>
              </w:rPr>
              <w:t>1,147 (56.8%)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628894" w14:textId="77777777" w:rsidR="001C19F3" w:rsidRDefault="001C19F3" w:rsidP="00521305">
            <w:pPr>
              <w:spacing w:before="40" w:after="40"/>
              <w:ind w:left="100" w:right="100"/>
              <w:jc w:val="center"/>
            </w:pPr>
            <w:r>
              <w:rPr>
                <w:rFonts w:eastAsia="Century Gothic" w:cs="Century Gothic"/>
                <w:color w:val="000000"/>
                <w:sz w:val="18"/>
                <w:szCs w:val="18"/>
              </w:rPr>
              <w:t>242 (61.9%)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1E7871" w14:textId="77777777" w:rsidR="001C19F3" w:rsidRDefault="001C19F3" w:rsidP="00521305">
            <w:pPr>
              <w:spacing w:before="40" w:after="40"/>
              <w:ind w:left="100" w:right="100"/>
              <w:jc w:val="center"/>
            </w:pPr>
            <w:r>
              <w:rPr>
                <w:rFonts w:eastAsia="Century Gothic" w:cs="Century Gothic"/>
                <w:color w:val="000000"/>
                <w:sz w:val="18"/>
                <w:szCs w:val="18"/>
              </w:rPr>
              <w:t>905 (58.7%)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0FF8FB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396BAD" w14:textId="77777777" w:rsidR="001C19F3" w:rsidRDefault="001C19F3" w:rsidP="00521305">
            <w:pPr>
              <w:spacing w:before="40" w:after="40"/>
              <w:ind w:left="100" w:right="100"/>
              <w:jc w:val="center"/>
            </w:pPr>
            <w:r>
              <w:rPr>
                <w:rFonts w:eastAsia="Century Gothic" w:cs="Century Gothic"/>
                <w:color w:val="000000"/>
                <w:sz w:val="18"/>
                <w:szCs w:val="18"/>
              </w:rPr>
              <w:t>829 (58.6%)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E4798E" w14:textId="77777777" w:rsidR="001C19F3" w:rsidRDefault="001C19F3" w:rsidP="00521305">
            <w:pPr>
              <w:spacing w:before="40" w:after="40"/>
              <w:ind w:left="100" w:right="100"/>
              <w:jc w:val="right"/>
            </w:pPr>
            <w:r>
              <w:rPr>
                <w:rFonts w:eastAsia="Century Gothic" w:cs="Century Gothic"/>
                <w:color w:val="000000"/>
                <w:sz w:val="18"/>
                <w:szCs w:val="18"/>
              </w:rPr>
              <w:t>161 (60.8%)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180EC9" w14:textId="77777777" w:rsidR="001C19F3" w:rsidRDefault="001C19F3" w:rsidP="00521305">
            <w:pPr>
              <w:spacing w:before="40" w:after="40"/>
              <w:ind w:left="100" w:right="100"/>
              <w:jc w:val="right"/>
            </w:pPr>
            <w:r>
              <w:rPr>
                <w:rFonts w:eastAsia="Century Gothic" w:cs="Century Gothic"/>
                <w:color w:val="000000"/>
                <w:sz w:val="18"/>
                <w:szCs w:val="18"/>
              </w:rPr>
              <w:t>157 (62.1%)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DFBF275" w14:textId="77777777" w:rsidR="001C19F3" w:rsidRDefault="001C19F3" w:rsidP="00521305">
            <w:pPr>
              <w:spacing w:after="0"/>
              <w:rPr>
                <w:sz w:val="22"/>
              </w:rPr>
            </w:pPr>
          </w:p>
        </w:tc>
      </w:tr>
      <w:tr w:rsidR="001C19F3" w14:paraId="0C7C16A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99DF1F"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188FF" w14:textId="77777777" w:rsidR="001C19F3" w:rsidRDefault="001C19F3" w:rsidP="00521305">
            <w:pPr>
              <w:spacing w:before="40" w:after="40"/>
              <w:ind w:left="100" w:right="100"/>
              <w:jc w:val="center"/>
            </w:pPr>
            <w:r>
              <w:rPr>
                <w:rFonts w:eastAsia="Century Gothic" w:cs="Century Gothic"/>
                <w:color w:val="000000"/>
                <w:sz w:val="18"/>
                <w:szCs w:val="18"/>
              </w:rPr>
              <w:t>622 (30.8%)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C16538" w14:textId="77777777" w:rsidR="001C19F3" w:rsidRDefault="001C19F3" w:rsidP="00521305">
            <w:pPr>
              <w:spacing w:before="40" w:after="40"/>
              <w:ind w:left="100" w:right="100"/>
              <w:jc w:val="center"/>
            </w:pPr>
            <w:r>
              <w:rPr>
                <w:rFonts w:eastAsia="Century Gothic" w:cs="Century Gothic"/>
                <w:color w:val="000000"/>
                <w:sz w:val="18"/>
                <w:szCs w:val="18"/>
              </w:rPr>
              <w:t>107 (27.4%)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54F33C" w14:textId="77777777" w:rsidR="001C19F3" w:rsidRDefault="001C19F3" w:rsidP="00521305">
            <w:pPr>
              <w:spacing w:before="40" w:after="40"/>
              <w:ind w:left="100" w:right="100"/>
              <w:jc w:val="center"/>
            </w:pPr>
            <w:r>
              <w:rPr>
                <w:rFonts w:eastAsia="Century Gothic" w:cs="Century Gothic"/>
                <w:color w:val="000000"/>
                <w:sz w:val="18"/>
                <w:szCs w:val="18"/>
              </w:rPr>
              <w:t>515 (33.4%)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03E8C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0561E1" w14:textId="77777777" w:rsidR="001C19F3" w:rsidRDefault="001C19F3" w:rsidP="00521305">
            <w:pPr>
              <w:spacing w:before="40" w:after="40"/>
              <w:ind w:left="100" w:right="100"/>
              <w:jc w:val="center"/>
            </w:pPr>
            <w:r>
              <w:rPr>
                <w:rFonts w:eastAsia="Century Gothic" w:cs="Century Gothic"/>
                <w:color w:val="000000"/>
                <w:sz w:val="18"/>
                <w:szCs w:val="18"/>
              </w:rPr>
              <w:t>457 (32.3%)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8A178" w14:textId="77777777" w:rsidR="001C19F3" w:rsidRDefault="001C19F3" w:rsidP="00521305">
            <w:pPr>
              <w:spacing w:before="40" w:after="40"/>
              <w:ind w:left="100" w:right="100"/>
              <w:jc w:val="right"/>
            </w:pPr>
            <w:r>
              <w:rPr>
                <w:rFonts w:eastAsia="Century Gothic" w:cs="Century Gothic"/>
                <w:color w:val="000000"/>
                <w:sz w:val="18"/>
                <w:szCs w:val="18"/>
              </w:rPr>
              <w:t>87 (32.8%)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7634C" w14:textId="77777777" w:rsidR="001C19F3" w:rsidRDefault="001C19F3" w:rsidP="00521305">
            <w:pPr>
              <w:spacing w:before="40" w:after="40"/>
              <w:ind w:left="100" w:right="100"/>
              <w:jc w:val="right"/>
            </w:pPr>
            <w:r>
              <w:rPr>
                <w:rFonts w:eastAsia="Century Gothic" w:cs="Century Gothic"/>
                <w:color w:val="000000"/>
                <w:sz w:val="18"/>
                <w:szCs w:val="18"/>
              </w:rPr>
              <w:t>78 (30.8%)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A990C5C" w14:textId="77777777" w:rsidR="001C19F3" w:rsidRDefault="001C19F3" w:rsidP="00521305">
            <w:pPr>
              <w:spacing w:after="0"/>
              <w:rPr>
                <w:sz w:val="22"/>
              </w:rPr>
            </w:pPr>
          </w:p>
        </w:tc>
      </w:tr>
      <w:tr w:rsidR="001C19F3" w14:paraId="5904B03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7D6DAB"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E4F5A9" w14:textId="77777777" w:rsidR="001C19F3" w:rsidRDefault="001C19F3" w:rsidP="00521305">
            <w:pPr>
              <w:spacing w:before="40" w:after="40"/>
              <w:ind w:left="100" w:right="100"/>
              <w:jc w:val="center"/>
            </w:pPr>
            <w:r>
              <w:rPr>
                <w:rFonts w:eastAsia="Century Gothic" w:cs="Century Gothic"/>
                <w:color w:val="000000"/>
                <w:sz w:val="18"/>
                <w:szCs w:val="18"/>
              </w:rPr>
              <w:t>77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B14B9B"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AE52C7"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AA4B2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10D24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5EFA5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B645F3"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A66886" w14:textId="77777777" w:rsidR="001C19F3" w:rsidRDefault="001C19F3" w:rsidP="00521305">
            <w:pPr>
              <w:spacing w:before="40" w:after="40"/>
              <w:ind w:left="100" w:right="100"/>
              <w:jc w:val="right"/>
            </w:pPr>
          </w:p>
        </w:tc>
      </w:tr>
      <w:tr w:rsidR="001C19F3" w14:paraId="6DF1320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E968DB"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684D7C" w14:textId="77777777" w:rsidR="001C19F3" w:rsidRDefault="001C19F3" w:rsidP="00521305">
            <w:pPr>
              <w:spacing w:before="40" w:after="40"/>
              <w:ind w:left="100" w:right="100"/>
              <w:jc w:val="center"/>
            </w:pPr>
            <w:r>
              <w:rPr>
                <w:rFonts w:eastAsia="Century Gothic" w:cs="Century Gothic"/>
                <w:color w:val="000000"/>
                <w:sz w:val="18"/>
                <w:szCs w:val="18"/>
              </w:rPr>
              <w:t>9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71632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F6294A"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E9AA5F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DEDE4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0173C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C35F0C"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62253B0" w14:textId="77777777" w:rsidR="001C19F3" w:rsidRDefault="001C19F3" w:rsidP="00521305">
            <w:pPr>
              <w:spacing w:after="0"/>
              <w:rPr>
                <w:sz w:val="22"/>
              </w:rPr>
            </w:pPr>
          </w:p>
        </w:tc>
      </w:tr>
      <w:tr w:rsidR="001C19F3" w14:paraId="28A3587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18D4AA" w14:textId="77777777" w:rsidR="001C19F3" w:rsidRDefault="001C19F3" w:rsidP="00521305">
            <w:pPr>
              <w:spacing w:before="40" w:after="40"/>
              <w:ind w:left="100" w:right="100"/>
            </w:pPr>
            <w:r>
              <w:rPr>
                <w:rFonts w:eastAsia="Century Gothic" w:cs="Century Gothic"/>
                <w:b/>
                <w:color w:val="000000"/>
                <w:sz w:val="18"/>
                <w:szCs w:val="18"/>
              </w:rPr>
              <w:t>H07 I know how to prevent further problems with my health condition (Q20)</w:t>
            </w:r>
          </w:p>
        </w:tc>
      </w:tr>
      <w:tr w:rsidR="001C19F3" w14:paraId="594A4E6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86D8B4" w14:textId="77777777" w:rsidR="001C19F3" w:rsidRDefault="001C19F3" w:rsidP="00521305">
            <w:pPr>
              <w:spacing w:before="40" w:after="40"/>
              <w:ind w:left="160" w:right="100"/>
            </w:pPr>
            <w:r>
              <w:rPr>
                <w:rFonts w:eastAsia="Century Gothic" w:cs="Century Gothic"/>
                <w:color w:val="000000"/>
                <w:sz w:val="18"/>
                <w:szCs w:val="18"/>
              </w:rPr>
              <w:lastRenderedPageBreak/>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343FB1" w14:textId="77777777" w:rsidR="001C19F3" w:rsidRDefault="001C19F3" w:rsidP="00521305">
            <w:pPr>
              <w:spacing w:before="40" w:after="40"/>
              <w:ind w:left="100" w:right="100"/>
              <w:jc w:val="center"/>
            </w:pPr>
            <w:r>
              <w:rPr>
                <w:rFonts w:eastAsia="Century Gothic" w:cs="Century Gothic"/>
                <w:color w:val="000000"/>
                <w:sz w:val="18"/>
                <w:szCs w:val="18"/>
              </w:rPr>
              <w:t>22 (1.1%)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7C3C06" w14:textId="77777777" w:rsidR="001C19F3" w:rsidRDefault="001C19F3" w:rsidP="00521305">
            <w:pPr>
              <w:spacing w:before="40" w:after="40"/>
              <w:ind w:left="100" w:right="100"/>
              <w:jc w:val="center"/>
            </w:pPr>
            <w:r>
              <w:rPr>
                <w:rFonts w:eastAsia="Century Gothic" w:cs="Century Gothic"/>
                <w:color w:val="000000"/>
                <w:sz w:val="18"/>
                <w:szCs w:val="18"/>
              </w:rPr>
              <w:t>8 (2.0%)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177A09" w14:textId="77777777" w:rsidR="001C19F3" w:rsidRDefault="001C19F3" w:rsidP="00521305">
            <w:pPr>
              <w:spacing w:before="40" w:after="40"/>
              <w:ind w:left="100" w:right="100"/>
              <w:jc w:val="center"/>
            </w:pPr>
            <w:r>
              <w:rPr>
                <w:rFonts w:eastAsia="Century Gothic" w:cs="Century Gothic"/>
                <w:color w:val="000000"/>
                <w:sz w:val="18"/>
                <w:szCs w:val="18"/>
              </w:rPr>
              <w:t>14 (0.9%)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B18C87" w14:textId="77777777" w:rsidR="001C19F3" w:rsidRDefault="001C19F3" w:rsidP="00521305">
            <w:pPr>
              <w:spacing w:before="40" w:after="40"/>
              <w:ind w:left="100" w:right="100"/>
              <w:jc w:val="center"/>
            </w:pPr>
            <w:r>
              <w:rPr>
                <w:rFonts w:eastAsia="Century Gothic" w:cs="Century Gothic"/>
                <w:color w:val="000000"/>
                <w:sz w:val="18"/>
                <w:szCs w:val="18"/>
              </w:rPr>
              <w:t>0.128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68E832" w14:textId="77777777" w:rsidR="001C19F3" w:rsidRDefault="001C19F3" w:rsidP="00521305">
            <w:pPr>
              <w:spacing w:before="40" w:after="40"/>
              <w:ind w:left="100" w:right="100"/>
              <w:jc w:val="center"/>
            </w:pPr>
            <w:r>
              <w:rPr>
                <w:rFonts w:eastAsia="Century Gothic" w:cs="Century Gothic"/>
                <w:color w:val="000000"/>
                <w:sz w:val="18"/>
                <w:szCs w:val="18"/>
              </w:rPr>
              <w:t>19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A06EC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C68D00" w14:textId="77777777" w:rsidR="001C19F3" w:rsidRDefault="001C19F3" w:rsidP="00521305">
            <w:pPr>
              <w:spacing w:before="40" w:after="40"/>
              <w:ind w:left="100" w:right="100"/>
              <w:jc w:val="right"/>
            </w:pPr>
            <w:r>
              <w:rPr>
                <w:rFonts w:eastAsia="Century Gothic" w:cs="Century Gothic"/>
                <w:color w:val="000000"/>
                <w:sz w:val="18"/>
                <w:szCs w:val="18"/>
              </w:rPr>
              <w:t>3 (1.2%)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1C287E" w14:textId="77777777" w:rsidR="001C19F3" w:rsidRDefault="001C19F3" w:rsidP="00521305">
            <w:pPr>
              <w:spacing w:before="40" w:after="40"/>
              <w:ind w:left="100" w:right="100"/>
              <w:jc w:val="right"/>
            </w:pPr>
            <w:r>
              <w:rPr>
                <w:rFonts w:eastAsia="Century Gothic" w:cs="Century Gothic"/>
                <w:color w:val="000000"/>
                <w:sz w:val="18"/>
                <w:szCs w:val="18"/>
              </w:rPr>
              <w:t>0.039</w:t>
            </w:r>
          </w:p>
        </w:tc>
      </w:tr>
      <w:tr w:rsidR="001C19F3" w14:paraId="67611E4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AE9D16"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CD1C66" w14:textId="77777777" w:rsidR="001C19F3" w:rsidRDefault="001C19F3" w:rsidP="00521305">
            <w:pPr>
              <w:spacing w:before="40" w:after="40"/>
              <w:ind w:left="100" w:right="100"/>
              <w:jc w:val="center"/>
            </w:pPr>
            <w:r>
              <w:rPr>
                <w:rFonts w:eastAsia="Century Gothic" w:cs="Century Gothic"/>
                <w:color w:val="000000"/>
                <w:sz w:val="18"/>
                <w:szCs w:val="18"/>
              </w:rPr>
              <w:t>161 (8.0%)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C752DE" w14:textId="77777777" w:rsidR="001C19F3" w:rsidRDefault="001C19F3" w:rsidP="00521305">
            <w:pPr>
              <w:spacing w:before="40" w:after="40"/>
              <w:ind w:left="100" w:right="100"/>
              <w:jc w:val="center"/>
            </w:pPr>
            <w:r>
              <w:rPr>
                <w:rFonts w:eastAsia="Century Gothic" w:cs="Century Gothic"/>
                <w:color w:val="000000"/>
                <w:sz w:val="18"/>
                <w:szCs w:val="18"/>
              </w:rPr>
              <w:t>34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C2D203" w14:textId="77777777" w:rsidR="001C19F3" w:rsidRDefault="001C19F3" w:rsidP="00521305">
            <w:pPr>
              <w:spacing w:before="40" w:after="40"/>
              <w:ind w:left="100" w:right="100"/>
              <w:jc w:val="center"/>
            </w:pPr>
            <w:r>
              <w:rPr>
                <w:rFonts w:eastAsia="Century Gothic" w:cs="Century Gothic"/>
                <w:color w:val="000000"/>
                <w:sz w:val="18"/>
                <w:szCs w:val="18"/>
              </w:rPr>
              <w:t>127 (8.3%)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BFF7BE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4048D2" w14:textId="77777777" w:rsidR="001C19F3" w:rsidRDefault="001C19F3" w:rsidP="00521305">
            <w:pPr>
              <w:spacing w:before="40" w:after="40"/>
              <w:ind w:left="100" w:right="100"/>
              <w:jc w:val="center"/>
            </w:pPr>
            <w:r>
              <w:rPr>
                <w:rFonts w:eastAsia="Century Gothic" w:cs="Century Gothic"/>
                <w:color w:val="000000"/>
                <w:sz w:val="18"/>
                <w:szCs w:val="18"/>
              </w:rPr>
              <w:t>114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367136" w14:textId="77777777" w:rsidR="001C19F3" w:rsidRDefault="001C19F3" w:rsidP="00521305">
            <w:pPr>
              <w:spacing w:before="40" w:after="40"/>
              <w:ind w:left="100" w:right="100"/>
              <w:jc w:val="right"/>
            </w:pPr>
            <w:r>
              <w:rPr>
                <w:rFonts w:eastAsia="Century Gothic" w:cs="Century Gothic"/>
                <w:color w:val="000000"/>
                <w:sz w:val="18"/>
                <w:szCs w:val="18"/>
              </w:rPr>
              <w:t>15 (5.7%)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A2050C" w14:textId="77777777" w:rsidR="001C19F3" w:rsidRDefault="001C19F3" w:rsidP="00521305">
            <w:pPr>
              <w:spacing w:before="40" w:after="40"/>
              <w:ind w:left="100" w:right="100"/>
              <w:jc w:val="right"/>
            </w:pPr>
            <w:r>
              <w:rPr>
                <w:rFonts w:eastAsia="Century Gothic" w:cs="Century Gothic"/>
                <w:color w:val="000000"/>
                <w:sz w:val="18"/>
                <w:szCs w:val="18"/>
              </w:rPr>
              <w:t>32 (12.6%)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DA894CC" w14:textId="77777777" w:rsidR="001C19F3" w:rsidRDefault="001C19F3" w:rsidP="00521305">
            <w:pPr>
              <w:spacing w:after="0"/>
              <w:rPr>
                <w:sz w:val="22"/>
              </w:rPr>
            </w:pPr>
          </w:p>
        </w:tc>
      </w:tr>
      <w:tr w:rsidR="001C19F3" w14:paraId="1141E14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D2ED79"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CFB79" w14:textId="77777777" w:rsidR="001C19F3" w:rsidRDefault="001C19F3" w:rsidP="00521305">
            <w:pPr>
              <w:spacing w:before="40" w:after="40"/>
              <w:ind w:left="100" w:right="100"/>
              <w:jc w:val="center"/>
            </w:pPr>
            <w:r>
              <w:rPr>
                <w:rFonts w:eastAsia="Century Gothic" w:cs="Century Gothic"/>
                <w:color w:val="000000"/>
                <w:sz w:val="18"/>
                <w:szCs w:val="18"/>
              </w:rPr>
              <w:t>1,094 (54.2%)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78137F" w14:textId="77777777" w:rsidR="001C19F3" w:rsidRDefault="001C19F3" w:rsidP="00521305">
            <w:pPr>
              <w:spacing w:before="40" w:after="40"/>
              <w:ind w:left="100" w:right="100"/>
              <w:jc w:val="center"/>
            </w:pPr>
            <w:r>
              <w:rPr>
                <w:rFonts w:eastAsia="Century Gothic" w:cs="Century Gothic"/>
                <w:color w:val="000000"/>
                <w:sz w:val="18"/>
                <w:szCs w:val="18"/>
              </w:rPr>
              <w:t>233 (59.1%)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90AE00" w14:textId="77777777" w:rsidR="001C19F3" w:rsidRDefault="001C19F3" w:rsidP="00521305">
            <w:pPr>
              <w:spacing w:before="40" w:after="40"/>
              <w:ind w:left="100" w:right="100"/>
              <w:jc w:val="center"/>
            </w:pPr>
            <w:r>
              <w:rPr>
                <w:rFonts w:eastAsia="Century Gothic" w:cs="Century Gothic"/>
                <w:color w:val="000000"/>
                <w:sz w:val="18"/>
                <w:szCs w:val="18"/>
              </w:rPr>
              <w:t>861 (56.2%)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701F0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640286" w14:textId="77777777" w:rsidR="001C19F3" w:rsidRDefault="001C19F3" w:rsidP="00521305">
            <w:pPr>
              <w:spacing w:before="40" w:after="40"/>
              <w:ind w:left="100" w:right="100"/>
              <w:jc w:val="center"/>
            </w:pPr>
            <w:r>
              <w:rPr>
                <w:rFonts w:eastAsia="Century Gothic" w:cs="Century Gothic"/>
                <w:color w:val="000000"/>
                <w:sz w:val="18"/>
                <w:szCs w:val="18"/>
              </w:rPr>
              <w:t>792 (56.2%)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C1AF91" w14:textId="77777777" w:rsidR="001C19F3" w:rsidRDefault="001C19F3" w:rsidP="00521305">
            <w:pPr>
              <w:spacing w:before="40" w:after="40"/>
              <w:ind w:left="100" w:right="100"/>
              <w:jc w:val="right"/>
            </w:pPr>
            <w:r>
              <w:rPr>
                <w:rFonts w:eastAsia="Century Gothic" w:cs="Century Gothic"/>
                <w:color w:val="000000"/>
                <w:sz w:val="18"/>
                <w:szCs w:val="18"/>
              </w:rPr>
              <w:t>159 (60.5%)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78FBD6" w14:textId="77777777" w:rsidR="001C19F3" w:rsidRDefault="001C19F3" w:rsidP="00521305">
            <w:pPr>
              <w:spacing w:before="40" w:after="40"/>
              <w:ind w:left="100" w:right="100"/>
              <w:jc w:val="right"/>
            </w:pPr>
            <w:r>
              <w:rPr>
                <w:rFonts w:eastAsia="Century Gothic" w:cs="Century Gothic"/>
                <w:color w:val="000000"/>
                <w:sz w:val="18"/>
                <w:szCs w:val="18"/>
              </w:rPr>
              <w:t>143 (56.3%)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61F005" w14:textId="77777777" w:rsidR="001C19F3" w:rsidRDefault="001C19F3" w:rsidP="00521305">
            <w:pPr>
              <w:spacing w:after="0"/>
              <w:rPr>
                <w:sz w:val="22"/>
              </w:rPr>
            </w:pPr>
          </w:p>
        </w:tc>
      </w:tr>
      <w:tr w:rsidR="001C19F3" w14:paraId="72F7FDA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6B7AF8"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593556" w14:textId="77777777" w:rsidR="001C19F3" w:rsidRDefault="001C19F3" w:rsidP="00521305">
            <w:pPr>
              <w:spacing w:before="40" w:after="40"/>
              <w:ind w:left="100" w:right="100"/>
              <w:jc w:val="center"/>
            </w:pPr>
            <w:r>
              <w:rPr>
                <w:rFonts w:eastAsia="Century Gothic" w:cs="Century Gothic"/>
                <w:color w:val="000000"/>
                <w:sz w:val="18"/>
                <w:szCs w:val="18"/>
              </w:rPr>
              <w:t>648 (32.1%)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601BC1" w14:textId="77777777" w:rsidR="001C19F3" w:rsidRDefault="001C19F3" w:rsidP="00521305">
            <w:pPr>
              <w:spacing w:before="40" w:after="40"/>
              <w:ind w:left="100" w:right="100"/>
              <w:jc w:val="center"/>
            </w:pPr>
            <w:r>
              <w:rPr>
                <w:rFonts w:eastAsia="Century Gothic" w:cs="Century Gothic"/>
                <w:color w:val="000000"/>
                <w:sz w:val="18"/>
                <w:szCs w:val="18"/>
              </w:rPr>
              <w:t>119 (30.2%)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158A17" w14:textId="77777777" w:rsidR="001C19F3" w:rsidRDefault="001C19F3" w:rsidP="00521305">
            <w:pPr>
              <w:spacing w:before="40" w:after="40"/>
              <w:ind w:left="100" w:right="100"/>
              <w:jc w:val="center"/>
            </w:pPr>
            <w:r>
              <w:rPr>
                <w:rFonts w:eastAsia="Century Gothic" w:cs="Century Gothic"/>
                <w:color w:val="000000"/>
                <w:sz w:val="18"/>
                <w:szCs w:val="18"/>
              </w:rPr>
              <w:t>529 (34.6%)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55F591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E8AA4E" w14:textId="77777777" w:rsidR="001C19F3" w:rsidRDefault="001C19F3" w:rsidP="00521305">
            <w:pPr>
              <w:spacing w:before="40" w:after="40"/>
              <w:ind w:left="100" w:right="100"/>
              <w:jc w:val="center"/>
            </w:pPr>
            <w:r>
              <w:rPr>
                <w:rFonts w:eastAsia="Century Gothic" w:cs="Century Gothic"/>
                <w:color w:val="000000"/>
                <w:sz w:val="18"/>
                <w:szCs w:val="18"/>
              </w:rPr>
              <w:t>483 (34.3%)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DA56F7" w14:textId="77777777" w:rsidR="001C19F3" w:rsidRDefault="001C19F3" w:rsidP="00521305">
            <w:pPr>
              <w:spacing w:before="40" w:after="40"/>
              <w:ind w:left="100" w:right="100"/>
              <w:jc w:val="right"/>
            </w:pPr>
            <w:r>
              <w:rPr>
                <w:rFonts w:eastAsia="Century Gothic" w:cs="Century Gothic"/>
                <w:color w:val="000000"/>
                <w:sz w:val="18"/>
                <w:szCs w:val="18"/>
              </w:rPr>
              <w:t>89 (33.8%)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471966" w14:textId="77777777" w:rsidR="001C19F3" w:rsidRDefault="001C19F3" w:rsidP="00521305">
            <w:pPr>
              <w:spacing w:before="40" w:after="40"/>
              <w:ind w:left="100" w:right="100"/>
              <w:jc w:val="right"/>
            </w:pPr>
            <w:r>
              <w:rPr>
                <w:rFonts w:eastAsia="Century Gothic" w:cs="Century Gothic"/>
                <w:color w:val="000000"/>
                <w:sz w:val="18"/>
                <w:szCs w:val="18"/>
              </w:rPr>
              <w:t>76 (29.9%)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AA62577" w14:textId="77777777" w:rsidR="001C19F3" w:rsidRDefault="001C19F3" w:rsidP="00521305">
            <w:pPr>
              <w:spacing w:after="0"/>
              <w:rPr>
                <w:sz w:val="22"/>
              </w:rPr>
            </w:pPr>
          </w:p>
        </w:tc>
      </w:tr>
      <w:tr w:rsidR="001C19F3" w14:paraId="42D8B81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CBBF93"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812944" w14:textId="77777777" w:rsidR="001C19F3" w:rsidRDefault="001C19F3" w:rsidP="00521305">
            <w:pPr>
              <w:spacing w:before="40" w:after="40"/>
              <w:ind w:left="100" w:right="100"/>
              <w:jc w:val="center"/>
            </w:pPr>
            <w:r>
              <w:rPr>
                <w:rFonts w:eastAsia="Century Gothic" w:cs="Century Gothic"/>
                <w:color w:val="000000"/>
                <w:sz w:val="18"/>
                <w:szCs w:val="18"/>
              </w:rPr>
              <w:t>86 (4.3%)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18FEC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F1FEEB"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CD37D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E31A7A"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7B941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ECDAB2"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8EBC41" w14:textId="77777777" w:rsidR="001C19F3" w:rsidRDefault="001C19F3" w:rsidP="00521305">
            <w:pPr>
              <w:spacing w:before="40" w:after="40"/>
              <w:ind w:left="100" w:right="100"/>
              <w:jc w:val="right"/>
            </w:pPr>
          </w:p>
        </w:tc>
      </w:tr>
      <w:tr w:rsidR="001C19F3" w14:paraId="63E8419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A55B2"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564843"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1EE77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A291C2"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4BE72F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4C7055"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7E30B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1EB88A"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D9A4F7D" w14:textId="77777777" w:rsidR="001C19F3" w:rsidRDefault="001C19F3" w:rsidP="00521305">
            <w:pPr>
              <w:spacing w:after="0"/>
              <w:rPr>
                <w:sz w:val="22"/>
              </w:rPr>
            </w:pPr>
          </w:p>
        </w:tc>
      </w:tr>
      <w:tr w:rsidR="001C19F3" w14:paraId="15D1B6D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28BC6E" w14:textId="77777777" w:rsidR="001C19F3" w:rsidRDefault="001C19F3" w:rsidP="00521305">
            <w:pPr>
              <w:spacing w:before="40" w:after="40"/>
              <w:ind w:left="100" w:right="100"/>
            </w:pPr>
            <w:r>
              <w:rPr>
                <w:rFonts w:eastAsia="Century Gothic" w:cs="Century Gothic"/>
                <w:b/>
                <w:color w:val="000000"/>
                <w:sz w:val="18"/>
                <w:szCs w:val="18"/>
              </w:rPr>
              <w:t>H08 I am confident that I can take actions that will help prevent or minimise some symptoms or problems associated with my health condition (Q21)</w:t>
            </w:r>
          </w:p>
        </w:tc>
      </w:tr>
      <w:tr w:rsidR="001C19F3" w14:paraId="7B6C1C1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60C2CE"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1E2B1D" w14:textId="77777777" w:rsidR="001C19F3" w:rsidRDefault="001C19F3" w:rsidP="00521305">
            <w:pPr>
              <w:spacing w:before="40" w:after="40"/>
              <w:ind w:left="100" w:right="100"/>
              <w:jc w:val="center"/>
            </w:pPr>
            <w:r>
              <w:rPr>
                <w:rFonts w:eastAsia="Century Gothic" w:cs="Century Gothic"/>
                <w:color w:val="000000"/>
                <w:sz w:val="18"/>
                <w:szCs w:val="18"/>
              </w:rPr>
              <w:t>17 (0.8%)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689595" w14:textId="77777777" w:rsidR="001C19F3" w:rsidRDefault="001C19F3" w:rsidP="00521305">
            <w:pPr>
              <w:spacing w:before="40" w:after="40"/>
              <w:ind w:left="100" w:right="100"/>
              <w:jc w:val="center"/>
            </w:pPr>
            <w:r>
              <w:rPr>
                <w:rFonts w:eastAsia="Century Gothic" w:cs="Century Gothic"/>
                <w:color w:val="000000"/>
                <w:sz w:val="18"/>
                <w:szCs w:val="18"/>
              </w:rPr>
              <w:t>7 (1.7%)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3F48C0" w14:textId="77777777" w:rsidR="001C19F3" w:rsidRDefault="001C19F3" w:rsidP="00521305">
            <w:pPr>
              <w:spacing w:before="40" w:after="40"/>
              <w:ind w:left="100" w:right="100"/>
              <w:jc w:val="center"/>
            </w:pPr>
            <w:r>
              <w:rPr>
                <w:rFonts w:eastAsia="Century Gothic" w:cs="Century Gothic"/>
                <w:color w:val="000000"/>
                <w:sz w:val="18"/>
                <w:szCs w:val="18"/>
              </w:rPr>
              <w:t>10 (0.6%)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D6CAE4" w14:textId="77777777" w:rsidR="001C19F3" w:rsidRDefault="001C19F3" w:rsidP="00521305">
            <w:pPr>
              <w:spacing w:before="40" w:after="40"/>
              <w:ind w:left="100" w:right="100"/>
              <w:jc w:val="center"/>
            </w:pPr>
            <w:r>
              <w:rPr>
                <w:rFonts w:eastAsia="Century Gothic" w:cs="Century Gothic"/>
                <w:color w:val="000000"/>
                <w:sz w:val="18"/>
                <w:szCs w:val="18"/>
              </w:rPr>
              <w:t>0.016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3237D7" w14:textId="77777777" w:rsidR="001C19F3" w:rsidRDefault="001C19F3" w:rsidP="00521305">
            <w:pPr>
              <w:spacing w:before="40" w:after="40"/>
              <w:ind w:left="100" w:right="100"/>
              <w:jc w:val="center"/>
            </w:pPr>
            <w:r>
              <w:rPr>
                <w:rFonts w:eastAsia="Century Gothic" w:cs="Century Gothic"/>
                <w:color w:val="000000"/>
                <w:sz w:val="18"/>
                <w:szCs w:val="18"/>
              </w:rPr>
              <w:t>13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94F0A0" w14:textId="77777777" w:rsidR="001C19F3" w:rsidRDefault="001C19F3" w:rsidP="00521305">
            <w:pPr>
              <w:spacing w:before="40" w:after="40"/>
              <w:ind w:left="100" w:right="100"/>
              <w:jc w:val="right"/>
            </w:pPr>
            <w:r>
              <w:rPr>
                <w:rFonts w:eastAsia="Century Gothic" w:cs="Century Gothic"/>
                <w:color w:val="000000"/>
                <w:sz w:val="18"/>
                <w:szCs w:val="18"/>
              </w:rPr>
              <w:t>1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DFF979" w14:textId="77777777" w:rsidR="001C19F3" w:rsidRDefault="001C19F3" w:rsidP="00521305">
            <w:pPr>
              <w:spacing w:before="40" w:after="40"/>
              <w:ind w:left="100" w:right="100"/>
              <w:jc w:val="right"/>
            </w:pPr>
            <w:r>
              <w:rPr>
                <w:rFonts w:eastAsia="Century Gothic" w:cs="Century Gothic"/>
                <w:color w:val="000000"/>
                <w:sz w:val="18"/>
                <w:szCs w:val="18"/>
              </w:rPr>
              <w:t>3 (1.2%)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727E83" w14:textId="77777777" w:rsidR="001C19F3" w:rsidRDefault="001C19F3" w:rsidP="00521305">
            <w:pPr>
              <w:spacing w:before="40" w:after="40"/>
              <w:ind w:left="100" w:right="100"/>
              <w:jc w:val="right"/>
            </w:pPr>
            <w:r>
              <w:rPr>
                <w:rFonts w:eastAsia="Century Gothic" w:cs="Century Gothic"/>
                <w:color w:val="000000"/>
                <w:sz w:val="18"/>
                <w:szCs w:val="18"/>
              </w:rPr>
              <w:t>0.254</w:t>
            </w:r>
          </w:p>
        </w:tc>
      </w:tr>
      <w:tr w:rsidR="001C19F3" w14:paraId="536E98A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7F6B09"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3A24B1" w14:textId="77777777" w:rsidR="001C19F3" w:rsidRDefault="001C19F3" w:rsidP="00521305">
            <w:pPr>
              <w:spacing w:before="40" w:after="40"/>
              <w:ind w:left="100" w:right="100"/>
              <w:jc w:val="center"/>
            </w:pPr>
            <w:r>
              <w:rPr>
                <w:rFonts w:eastAsia="Century Gothic" w:cs="Century Gothic"/>
                <w:color w:val="000000"/>
                <w:sz w:val="18"/>
                <w:szCs w:val="18"/>
              </w:rPr>
              <w:t>118 (5.8%)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9E6DD8" w14:textId="77777777" w:rsidR="001C19F3" w:rsidRDefault="001C19F3" w:rsidP="00521305">
            <w:pPr>
              <w:spacing w:before="40" w:after="40"/>
              <w:ind w:left="100" w:right="100"/>
              <w:jc w:val="center"/>
            </w:pPr>
            <w:r>
              <w:rPr>
                <w:rFonts w:eastAsia="Century Gothic" w:cs="Century Gothic"/>
                <w:color w:val="000000"/>
                <w:sz w:val="18"/>
                <w:szCs w:val="18"/>
              </w:rPr>
              <w:t>32 (7.9%)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8E59D" w14:textId="77777777" w:rsidR="001C19F3" w:rsidRDefault="001C19F3" w:rsidP="00521305">
            <w:pPr>
              <w:spacing w:before="40" w:after="40"/>
              <w:ind w:left="100" w:right="100"/>
              <w:jc w:val="center"/>
            </w:pPr>
            <w:r>
              <w:rPr>
                <w:rFonts w:eastAsia="Century Gothic" w:cs="Century Gothic"/>
                <w:color w:val="000000"/>
                <w:sz w:val="18"/>
                <w:szCs w:val="18"/>
              </w:rPr>
              <w:t>86 (5.5%)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BD927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A90F03" w14:textId="77777777" w:rsidR="001C19F3" w:rsidRDefault="001C19F3" w:rsidP="00521305">
            <w:pPr>
              <w:spacing w:before="40" w:after="40"/>
              <w:ind w:left="100" w:right="100"/>
              <w:jc w:val="center"/>
            </w:pPr>
            <w:r>
              <w:rPr>
                <w:rFonts w:eastAsia="Century Gothic" w:cs="Century Gothic"/>
                <w:color w:val="000000"/>
                <w:sz w:val="18"/>
                <w:szCs w:val="18"/>
              </w:rPr>
              <w:t>95 (6.6%)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B1C4E1" w14:textId="77777777" w:rsidR="001C19F3" w:rsidRDefault="001C19F3" w:rsidP="00521305">
            <w:pPr>
              <w:spacing w:before="40" w:after="40"/>
              <w:ind w:left="100" w:right="100"/>
              <w:jc w:val="right"/>
            </w:pPr>
            <w:r>
              <w:rPr>
                <w:rFonts w:eastAsia="Century Gothic" w:cs="Century Gothic"/>
                <w:color w:val="000000"/>
                <w:sz w:val="18"/>
                <w:szCs w:val="18"/>
              </w:rPr>
              <w:t>10 (3.8%)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DA9698" w14:textId="77777777" w:rsidR="001C19F3" w:rsidRDefault="001C19F3" w:rsidP="00521305">
            <w:pPr>
              <w:spacing w:before="40" w:after="40"/>
              <w:ind w:left="100" w:right="100"/>
              <w:jc w:val="right"/>
            </w:pPr>
            <w:r>
              <w:rPr>
                <w:rFonts w:eastAsia="Century Gothic" w:cs="Century Gothic"/>
                <w:color w:val="000000"/>
                <w:sz w:val="18"/>
                <w:szCs w:val="18"/>
              </w:rPr>
              <w:t>13 (5.0%)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FD04186" w14:textId="77777777" w:rsidR="001C19F3" w:rsidRDefault="001C19F3" w:rsidP="00521305">
            <w:pPr>
              <w:spacing w:after="0"/>
              <w:rPr>
                <w:sz w:val="22"/>
              </w:rPr>
            </w:pPr>
          </w:p>
        </w:tc>
      </w:tr>
      <w:tr w:rsidR="001C19F3" w14:paraId="401C72D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E2485B"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FEAC2B" w14:textId="77777777" w:rsidR="001C19F3" w:rsidRDefault="001C19F3" w:rsidP="00521305">
            <w:pPr>
              <w:spacing w:before="40" w:after="40"/>
              <w:ind w:left="100" w:right="100"/>
              <w:jc w:val="center"/>
            </w:pPr>
            <w:r>
              <w:rPr>
                <w:rFonts w:eastAsia="Century Gothic" w:cs="Century Gothic"/>
                <w:color w:val="000000"/>
                <w:sz w:val="18"/>
                <w:szCs w:val="18"/>
              </w:rPr>
              <w:t>1,167 (57.8%)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1FB0AE" w14:textId="77777777" w:rsidR="001C19F3" w:rsidRDefault="001C19F3" w:rsidP="00521305">
            <w:pPr>
              <w:spacing w:before="40" w:after="40"/>
              <w:ind w:left="100" w:right="100"/>
              <w:jc w:val="center"/>
            </w:pPr>
            <w:r>
              <w:rPr>
                <w:rFonts w:eastAsia="Century Gothic" w:cs="Century Gothic"/>
                <w:color w:val="000000"/>
                <w:sz w:val="18"/>
                <w:szCs w:val="18"/>
              </w:rPr>
              <w:t>246 (60.7%)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C9F2DA" w14:textId="77777777" w:rsidR="001C19F3" w:rsidRDefault="001C19F3" w:rsidP="00521305">
            <w:pPr>
              <w:spacing w:before="40" w:after="40"/>
              <w:ind w:left="100" w:right="100"/>
              <w:jc w:val="center"/>
            </w:pPr>
            <w:r>
              <w:rPr>
                <w:rFonts w:eastAsia="Century Gothic" w:cs="Century Gothic"/>
                <w:color w:val="000000"/>
                <w:sz w:val="18"/>
                <w:szCs w:val="18"/>
              </w:rPr>
              <w:t>921 (59.0%)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07687C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431357" w14:textId="77777777" w:rsidR="001C19F3" w:rsidRDefault="001C19F3" w:rsidP="00521305">
            <w:pPr>
              <w:spacing w:before="40" w:after="40"/>
              <w:ind w:left="100" w:right="100"/>
              <w:jc w:val="center"/>
            </w:pPr>
            <w:r>
              <w:rPr>
                <w:rFonts w:eastAsia="Century Gothic" w:cs="Century Gothic"/>
                <w:color w:val="000000"/>
                <w:sz w:val="18"/>
                <w:szCs w:val="18"/>
              </w:rPr>
              <w:t>836 (58.0%)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49BFBB" w14:textId="77777777" w:rsidR="001C19F3" w:rsidRDefault="001C19F3" w:rsidP="00521305">
            <w:pPr>
              <w:spacing w:before="40" w:after="40"/>
              <w:ind w:left="100" w:right="100"/>
              <w:jc w:val="right"/>
            </w:pPr>
            <w:r>
              <w:rPr>
                <w:rFonts w:eastAsia="Century Gothic" w:cs="Century Gothic"/>
                <w:color w:val="000000"/>
                <w:sz w:val="18"/>
                <w:szCs w:val="18"/>
              </w:rPr>
              <w:t>164 (61.7%)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D3B94" w14:textId="77777777" w:rsidR="001C19F3" w:rsidRDefault="001C19F3" w:rsidP="00521305">
            <w:pPr>
              <w:spacing w:before="40" w:after="40"/>
              <w:ind w:left="100" w:right="100"/>
              <w:jc w:val="right"/>
            </w:pPr>
            <w:r>
              <w:rPr>
                <w:rFonts w:eastAsia="Century Gothic" w:cs="Century Gothic"/>
                <w:color w:val="000000"/>
                <w:sz w:val="18"/>
                <w:szCs w:val="18"/>
              </w:rPr>
              <w:t>167 (64.2%)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3F38404" w14:textId="77777777" w:rsidR="001C19F3" w:rsidRDefault="001C19F3" w:rsidP="00521305">
            <w:pPr>
              <w:spacing w:after="0"/>
              <w:rPr>
                <w:sz w:val="22"/>
              </w:rPr>
            </w:pPr>
          </w:p>
        </w:tc>
      </w:tr>
      <w:tr w:rsidR="001C19F3" w14:paraId="5A942BD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6E2601"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B4B8ED" w14:textId="77777777" w:rsidR="001C19F3" w:rsidRDefault="001C19F3" w:rsidP="00521305">
            <w:pPr>
              <w:spacing w:before="40" w:after="40"/>
              <w:ind w:left="100" w:right="100"/>
              <w:jc w:val="center"/>
            </w:pPr>
            <w:r>
              <w:rPr>
                <w:rFonts w:eastAsia="Century Gothic" w:cs="Century Gothic"/>
                <w:color w:val="000000"/>
                <w:sz w:val="18"/>
                <w:szCs w:val="18"/>
              </w:rPr>
              <w:t>665 (33.0%)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27174A" w14:textId="77777777" w:rsidR="001C19F3" w:rsidRDefault="001C19F3" w:rsidP="00521305">
            <w:pPr>
              <w:spacing w:before="40" w:after="40"/>
              <w:ind w:left="100" w:right="100"/>
              <w:jc w:val="center"/>
            </w:pPr>
            <w:r>
              <w:rPr>
                <w:rFonts w:eastAsia="Century Gothic" w:cs="Century Gothic"/>
                <w:color w:val="000000"/>
                <w:sz w:val="18"/>
                <w:szCs w:val="18"/>
              </w:rPr>
              <w:t>120 (29.6%)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B55EC1" w14:textId="77777777" w:rsidR="001C19F3" w:rsidRDefault="001C19F3" w:rsidP="00521305">
            <w:pPr>
              <w:spacing w:before="40" w:after="40"/>
              <w:ind w:left="100" w:right="100"/>
              <w:jc w:val="center"/>
            </w:pPr>
            <w:r>
              <w:rPr>
                <w:rFonts w:eastAsia="Century Gothic" w:cs="Century Gothic"/>
                <w:color w:val="000000"/>
                <w:sz w:val="18"/>
                <w:szCs w:val="18"/>
              </w:rPr>
              <w:t>545 (34.9%)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01000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6B1EB9" w14:textId="77777777" w:rsidR="001C19F3" w:rsidRDefault="001C19F3" w:rsidP="00521305">
            <w:pPr>
              <w:spacing w:before="40" w:after="40"/>
              <w:ind w:left="100" w:right="100"/>
              <w:jc w:val="center"/>
            </w:pPr>
            <w:r>
              <w:rPr>
                <w:rFonts w:eastAsia="Century Gothic" w:cs="Century Gothic"/>
                <w:color w:val="000000"/>
                <w:sz w:val="18"/>
                <w:szCs w:val="18"/>
              </w:rPr>
              <w:t>497 (34.5%)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86AE05" w14:textId="77777777" w:rsidR="001C19F3" w:rsidRDefault="001C19F3" w:rsidP="00521305">
            <w:pPr>
              <w:spacing w:before="40" w:after="40"/>
              <w:ind w:left="100" w:right="100"/>
              <w:jc w:val="right"/>
            </w:pPr>
            <w:r>
              <w:rPr>
                <w:rFonts w:eastAsia="Century Gothic" w:cs="Century Gothic"/>
                <w:color w:val="000000"/>
                <w:sz w:val="18"/>
                <w:szCs w:val="18"/>
              </w:rPr>
              <w:t>91 (34.2%)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CED7BF" w14:textId="77777777" w:rsidR="001C19F3" w:rsidRDefault="001C19F3" w:rsidP="00521305">
            <w:pPr>
              <w:spacing w:before="40" w:after="40"/>
              <w:ind w:left="100" w:right="100"/>
              <w:jc w:val="right"/>
            </w:pPr>
            <w:r>
              <w:rPr>
                <w:rFonts w:eastAsia="Century Gothic" w:cs="Century Gothic"/>
                <w:color w:val="000000"/>
                <w:sz w:val="18"/>
                <w:szCs w:val="18"/>
              </w:rPr>
              <w:t>77 (29.6%)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37A3CF" w14:textId="77777777" w:rsidR="001C19F3" w:rsidRDefault="001C19F3" w:rsidP="00521305">
            <w:pPr>
              <w:spacing w:after="0"/>
              <w:rPr>
                <w:sz w:val="22"/>
              </w:rPr>
            </w:pPr>
          </w:p>
        </w:tc>
      </w:tr>
      <w:tr w:rsidR="001C19F3" w14:paraId="36B8704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62C9D3"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55AA6" w14:textId="77777777" w:rsidR="001C19F3" w:rsidRDefault="001C19F3" w:rsidP="00521305">
            <w:pPr>
              <w:spacing w:before="40" w:after="40"/>
              <w:ind w:left="100" w:right="100"/>
              <w:jc w:val="center"/>
            </w:pPr>
            <w:r>
              <w:rPr>
                <w:rFonts w:eastAsia="Century Gothic" w:cs="Century Gothic"/>
                <w:color w:val="000000"/>
                <w:sz w:val="18"/>
                <w:szCs w:val="18"/>
              </w:rPr>
              <w:t>43 (2.1%)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D3789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C5CF1B"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A73CF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DB8B4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7A122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18592E"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223E2F" w14:textId="77777777" w:rsidR="001C19F3" w:rsidRDefault="001C19F3" w:rsidP="00521305">
            <w:pPr>
              <w:spacing w:before="40" w:after="40"/>
              <w:ind w:left="100" w:right="100"/>
              <w:jc w:val="right"/>
            </w:pPr>
          </w:p>
        </w:tc>
      </w:tr>
      <w:tr w:rsidR="001C19F3" w14:paraId="59D0F80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B95B5E"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F308BA" w14:textId="77777777" w:rsidR="001C19F3" w:rsidRDefault="001C19F3" w:rsidP="00521305">
            <w:pPr>
              <w:spacing w:before="40" w:after="40"/>
              <w:ind w:left="100" w:right="100"/>
              <w:jc w:val="center"/>
            </w:pPr>
            <w:r>
              <w:rPr>
                <w:rFonts w:eastAsia="Century Gothic" w:cs="Century Gothic"/>
                <w:color w:val="000000"/>
                <w:sz w:val="18"/>
                <w:szCs w:val="18"/>
              </w:rPr>
              <w:t>8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A2B0C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64504F"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66998F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1E841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BE34F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02634F"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3A8B267" w14:textId="77777777" w:rsidR="001C19F3" w:rsidRDefault="001C19F3" w:rsidP="00521305">
            <w:pPr>
              <w:spacing w:after="0"/>
              <w:rPr>
                <w:sz w:val="22"/>
              </w:rPr>
            </w:pPr>
          </w:p>
        </w:tc>
      </w:tr>
      <w:tr w:rsidR="001C19F3" w14:paraId="7853BEB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C8F45F" w14:textId="77777777" w:rsidR="001C19F3" w:rsidRDefault="001C19F3" w:rsidP="00521305">
            <w:pPr>
              <w:spacing w:before="40" w:after="40"/>
              <w:ind w:left="100" w:right="100"/>
            </w:pPr>
            <w:r>
              <w:rPr>
                <w:rFonts w:eastAsia="Century Gothic" w:cs="Century Gothic"/>
                <w:b/>
                <w:color w:val="000000"/>
                <w:sz w:val="18"/>
                <w:szCs w:val="18"/>
              </w:rPr>
              <w:t>H09 I am confident that I can tell when I need to go get medical care and when I can handle a health problem myself (Q21)</w:t>
            </w:r>
          </w:p>
        </w:tc>
      </w:tr>
      <w:tr w:rsidR="001C19F3" w14:paraId="0DF0521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C798DE"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404D32" w14:textId="77777777" w:rsidR="001C19F3" w:rsidRDefault="001C19F3" w:rsidP="00521305">
            <w:pPr>
              <w:spacing w:before="40" w:after="40"/>
              <w:ind w:left="100" w:right="100"/>
              <w:jc w:val="center"/>
            </w:pPr>
            <w:r>
              <w:rPr>
                <w:rFonts w:eastAsia="Century Gothic" w:cs="Century Gothic"/>
                <w:color w:val="000000"/>
                <w:sz w:val="18"/>
                <w:szCs w:val="18"/>
              </w:rPr>
              <w:t>12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DE5B1F" w14:textId="77777777" w:rsidR="001C19F3" w:rsidRDefault="001C19F3" w:rsidP="00521305">
            <w:pPr>
              <w:spacing w:before="40" w:after="40"/>
              <w:ind w:left="100" w:right="100"/>
              <w:jc w:val="center"/>
            </w:pPr>
            <w:r>
              <w:rPr>
                <w:rFonts w:eastAsia="Century Gothic" w:cs="Century Gothic"/>
                <w:color w:val="000000"/>
                <w:sz w:val="18"/>
                <w:szCs w:val="18"/>
              </w:rPr>
              <w:t>4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5A7393" w14:textId="77777777" w:rsidR="001C19F3" w:rsidRDefault="001C19F3" w:rsidP="00521305">
            <w:pPr>
              <w:spacing w:before="40" w:after="40"/>
              <w:ind w:left="100" w:right="100"/>
              <w:jc w:val="center"/>
            </w:pPr>
            <w:r>
              <w:rPr>
                <w:rFonts w:eastAsia="Century Gothic" w:cs="Century Gothic"/>
                <w:color w:val="000000"/>
                <w:sz w:val="18"/>
                <w:szCs w:val="18"/>
              </w:rPr>
              <w:t>8 (0.5%)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0BAE6" w14:textId="77777777" w:rsidR="001C19F3" w:rsidRDefault="001C19F3" w:rsidP="00521305">
            <w:pPr>
              <w:spacing w:before="40" w:after="40"/>
              <w:ind w:left="100" w:right="100"/>
              <w:jc w:val="center"/>
            </w:pPr>
            <w:r>
              <w:rPr>
                <w:rFonts w:eastAsia="Century Gothic" w:cs="Century Gothic"/>
                <w:color w:val="000000"/>
                <w:sz w:val="18"/>
                <w:szCs w:val="18"/>
              </w:rPr>
              <w:t>0.634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DEE3FE" w14:textId="77777777" w:rsidR="001C19F3" w:rsidRDefault="001C19F3" w:rsidP="00521305">
            <w:pPr>
              <w:spacing w:before="40" w:after="40"/>
              <w:ind w:left="100" w:right="100"/>
              <w:jc w:val="center"/>
            </w:pPr>
            <w:r>
              <w:rPr>
                <w:rFonts w:eastAsia="Century Gothic" w:cs="Century Gothic"/>
                <w:color w:val="000000"/>
                <w:sz w:val="18"/>
                <w:szCs w:val="18"/>
              </w:rPr>
              <w:t>10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DD6A55" w14:textId="77777777" w:rsidR="001C19F3" w:rsidRDefault="001C19F3" w:rsidP="00521305">
            <w:pPr>
              <w:spacing w:before="40" w:after="40"/>
              <w:ind w:left="100" w:right="100"/>
              <w:jc w:val="right"/>
            </w:pPr>
            <w:r>
              <w:rPr>
                <w:rFonts w:eastAsia="Century Gothic" w:cs="Century Gothic"/>
                <w:color w:val="000000"/>
                <w:sz w:val="18"/>
                <w:szCs w:val="18"/>
              </w:rPr>
              <w:t>2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44F74C"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D01633" w14:textId="77777777" w:rsidR="001C19F3" w:rsidRDefault="001C19F3" w:rsidP="00521305">
            <w:pPr>
              <w:spacing w:before="40" w:after="40"/>
              <w:ind w:left="100" w:right="100"/>
              <w:jc w:val="right"/>
            </w:pPr>
            <w:r>
              <w:rPr>
                <w:rFonts w:eastAsia="Century Gothic" w:cs="Century Gothic"/>
                <w:color w:val="000000"/>
                <w:sz w:val="18"/>
                <w:szCs w:val="18"/>
              </w:rPr>
              <w:t>0.271</w:t>
            </w:r>
          </w:p>
        </w:tc>
      </w:tr>
      <w:tr w:rsidR="001C19F3" w14:paraId="31FAB62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8ABCC2"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784E59" w14:textId="77777777" w:rsidR="001C19F3" w:rsidRDefault="001C19F3" w:rsidP="00521305">
            <w:pPr>
              <w:spacing w:before="40" w:after="40"/>
              <w:ind w:left="100" w:right="100"/>
              <w:jc w:val="center"/>
            </w:pPr>
            <w:r>
              <w:rPr>
                <w:rFonts w:eastAsia="Century Gothic" w:cs="Century Gothic"/>
                <w:color w:val="000000"/>
                <w:sz w:val="18"/>
                <w:szCs w:val="18"/>
              </w:rPr>
              <w:t>108 (5.4%)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626714" w14:textId="77777777" w:rsidR="001C19F3" w:rsidRDefault="001C19F3" w:rsidP="00521305">
            <w:pPr>
              <w:spacing w:before="40" w:after="40"/>
              <w:ind w:left="100" w:right="100"/>
              <w:jc w:val="center"/>
            </w:pPr>
            <w:r>
              <w:rPr>
                <w:rFonts w:eastAsia="Century Gothic" w:cs="Century Gothic"/>
                <w:color w:val="000000"/>
                <w:sz w:val="18"/>
                <w:szCs w:val="18"/>
              </w:rPr>
              <w:t>25 (6.1%)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192D54" w14:textId="77777777" w:rsidR="001C19F3" w:rsidRDefault="001C19F3" w:rsidP="00521305">
            <w:pPr>
              <w:spacing w:before="40" w:after="40"/>
              <w:ind w:left="100" w:right="100"/>
              <w:jc w:val="center"/>
            </w:pPr>
            <w:r>
              <w:rPr>
                <w:rFonts w:eastAsia="Century Gothic" w:cs="Century Gothic"/>
                <w:color w:val="000000"/>
                <w:sz w:val="18"/>
                <w:szCs w:val="18"/>
              </w:rPr>
              <w:t>83 (5.3%)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4ECC44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337276" w14:textId="77777777" w:rsidR="001C19F3" w:rsidRDefault="001C19F3" w:rsidP="00521305">
            <w:pPr>
              <w:spacing w:before="40" w:after="40"/>
              <w:ind w:left="100" w:right="100"/>
              <w:jc w:val="center"/>
            </w:pPr>
            <w:r>
              <w:rPr>
                <w:rFonts w:eastAsia="Century Gothic" w:cs="Century Gothic"/>
                <w:color w:val="000000"/>
                <w:sz w:val="18"/>
                <w:szCs w:val="18"/>
              </w:rPr>
              <w:t>81 (5.6%)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BAE8BE" w14:textId="77777777" w:rsidR="001C19F3" w:rsidRDefault="001C19F3" w:rsidP="00521305">
            <w:pPr>
              <w:spacing w:before="40" w:after="40"/>
              <w:ind w:left="100" w:right="100"/>
              <w:jc w:val="right"/>
            </w:pPr>
            <w:r>
              <w:rPr>
                <w:rFonts w:eastAsia="Century Gothic" w:cs="Century Gothic"/>
                <w:color w:val="000000"/>
                <w:sz w:val="18"/>
                <w:szCs w:val="18"/>
              </w:rPr>
              <w:t>12 (4.4%)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7F8CA0" w14:textId="77777777" w:rsidR="001C19F3" w:rsidRDefault="001C19F3" w:rsidP="00521305">
            <w:pPr>
              <w:spacing w:before="40" w:after="40"/>
              <w:ind w:left="100" w:right="100"/>
              <w:jc w:val="right"/>
            </w:pPr>
            <w:r>
              <w:rPr>
                <w:rFonts w:eastAsia="Century Gothic" w:cs="Century Gothic"/>
                <w:color w:val="000000"/>
                <w:sz w:val="18"/>
                <w:szCs w:val="18"/>
              </w:rPr>
              <w:t>15 (5.8%)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342BA88" w14:textId="77777777" w:rsidR="001C19F3" w:rsidRDefault="001C19F3" w:rsidP="00521305">
            <w:pPr>
              <w:spacing w:after="0"/>
              <w:rPr>
                <w:sz w:val="22"/>
              </w:rPr>
            </w:pPr>
          </w:p>
        </w:tc>
      </w:tr>
      <w:tr w:rsidR="001C19F3" w14:paraId="131E31A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2B6364"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90E704" w14:textId="77777777" w:rsidR="001C19F3" w:rsidRDefault="001C19F3" w:rsidP="00521305">
            <w:pPr>
              <w:spacing w:before="40" w:after="40"/>
              <w:ind w:left="100" w:right="100"/>
              <w:jc w:val="center"/>
            </w:pPr>
            <w:r>
              <w:rPr>
                <w:rFonts w:eastAsia="Century Gothic" w:cs="Century Gothic"/>
                <w:color w:val="000000"/>
                <w:sz w:val="18"/>
                <w:szCs w:val="18"/>
              </w:rPr>
              <w:t>1,036 (51.3%)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FB6FAC" w14:textId="77777777" w:rsidR="001C19F3" w:rsidRDefault="001C19F3" w:rsidP="00521305">
            <w:pPr>
              <w:spacing w:before="40" w:after="40"/>
              <w:ind w:left="100" w:right="100"/>
              <w:jc w:val="center"/>
            </w:pPr>
            <w:r>
              <w:rPr>
                <w:rFonts w:eastAsia="Century Gothic" w:cs="Century Gothic"/>
                <w:color w:val="000000"/>
                <w:sz w:val="18"/>
                <w:szCs w:val="18"/>
              </w:rPr>
              <w:t>217 (52.8%)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F816FD" w14:textId="77777777" w:rsidR="001C19F3" w:rsidRDefault="001C19F3" w:rsidP="00521305">
            <w:pPr>
              <w:spacing w:before="40" w:after="40"/>
              <w:ind w:left="100" w:right="100"/>
              <w:jc w:val="center"/>
            </w:pPr>
            <w:r>
              <w:rPr>
                <w:rFonts w:eastAsia="Century Gothic" w:cs="Century Gothic"/>
                <w:color w:val="000000"/>
                <w:sz w:val="18"/>
                <w:szCs w:val="18"/>
              </w:rPr>
              <w:t>819 (52.4%)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A96CB5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03A3DD" w14:textId="77777777" w:rsidR="001C19F3" w:rsidRDefault="001C19F3" w:rsidP="00521305">
            <w:pPr>
              <w:spacing w:before="40" w:after="40"/>
              <w:ind w:left="100" w:right="100"/>
              <w:jc w:val="center"/>
            </w:pPr>
            <w:r>
              <w:rPr>
                <w:rFonts w:eastAsia="Century Gothic" w:cs="Century Gothic"/>
                <w:color w:val="000000"/>
                <w:sz w:val="18"/>
                <w:szCs w:val="18"/>
              </w:rPr>
              <w:t>745 (51.5%)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B25EA2" w14:textId="77777777" w:rsidR="001C19F3" w:rsidRDefault="001C19F3" w:rsidP="00521305">
            <w:pPr>
              <w:spacing w:before="40" w:after="40"/>
              <w:ind w:left="100" w:right="100"/>
              <w:jc w:val="right"/>
            </w:pPr>
            <w:r>
              <w:rPr>
                <w:rFonts w:eastAsia="Century Gothic" w:cs="Century Gothic"/>
                <w:color w:val="000000"/>
                <w:sz w:val="18"/>
                <w:szCs w:val="18"/>
              </w:rPr>
              <w:t>139 (51.5%)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E51E61" w14:textId="77777777" w:rsidR="001C19F3" w:rsidRDefault="001C19F3" w:rsidP="00521305">
            <w:pPr>
              <w:spacing w:before="40" w:after="40"/>
              <w:ind w:left="100" w:right="100"/>
              <w:jc w:val="right"/>
            </w:pPr>
            <w:r>
              <w:rPr>
                <w:rFonts w:eastAsia="Century Gothic" w:cs="Century Gothic"/>
                <w:color w:val="000000"/>
                <w:sz w:val="18"/>
                <w:szCs w:val="18"/>
              </w:rPr>
              <w:t>152 (58.9%)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5CB4B8C" w14:textId="77777777" w:rsidR="001C19F3" w:rsidRDefault="001C19F3" w:rsidP="00521305">
            <w:pPr>
              <w:spacing w:after="0"/>
              <w:rPr>
                <w:sz w:val="22"/>
              </w:rPr>
            </w:pPr>
          </w:p>
        </w:tc>
      </w:tr>
      <w:tr w:rsidR="001C19F3" w14:paraId="3A5470F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64580C"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927F8E" w14:textId="77777777" w:rsidR="001C19F3" w:rsidRDefault="001C19F3" w:rsidP="00521305">
            <w:pPr>
              <w:spacing w:before="40" w:after="40"/>
              <w:ind w:left="100" w:right="100"/>
              <w:jc w:val="center"/>
            </w:pPr>
            <w:r>
              <w:rPr>
                <w:rFonts w:eastAsia="Century Gothic" w:cs="Century Gothic"/>
                <w:color w:val="000000"/>
                <w:sz w:val="18"/>
                <w:szCs w:val="18"/>
              </w:rPr>
              <w:t>818 (40.5%)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343117" w14:textId="77777777" w:rsidR="001C19F3" w:rsidRDefault="001C19F3" w:rsidP="00521305">
            <w:pPr>
              <w:spacing w:before="40" w:after="40"/>
              <w:ind w:left="100" w:right="100"/>
              <w:jc w:val="center"/>
            </w:pPr>
            <w:r>
              <w:rPr>
                <w:rFonts w:eastAsia="Century Gothic" w:cs="Century Gothic"/>
                <w:color w:val="000000"/>
                <w:sz w:val="18"/>
                <w:szCs w:val="18"/>
              </w:rPr>
              <w:t>165 (40.1%)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4C3CA3" w14:textId="77777777" w:rsidR="001C19F3" w:rsidRDefault="001C19F3" w:rsidP="00521305">
            <w:pPr>
              <w:spacing w:before="40" w:after="40"/>
              <w:ind w:left="100" w:right="100"/>
              <w:jc w:val="center"/>
            </w:pPr>
            <w:r>
              <w:rPr>
                <w:rFonts w:eastAsia="Century Gothic" w:cs="Century Gothic"/>
                <w:color w:val="000000"/>
                <w:sz w:val="18"/>
                <w:szCs w:val="18"/>
              </w:rPr>
              <w:t>653 (41.8%)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3BF07A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95E56A" w14:textId="77777777" w:rsidR="001C19F3" w:rsidRDefault="001C19F3" w:rsidP="00521305">
            <w:pPr>
              <w:spacing w:before="40" w:after="40"/>
              <w:ind w:left="100" w:right="100"/>
              <w:jc w:val="center"/>
            </w:pPr>
            <w:r>
              <w:rPr>
                <w:rFonts w:eastAsia="Century Gothic" w:cs="Century Gothic"/>
                <w:color w:val="000000"/>
                <w:sz w:val="18"/>
                <w:szCs w:val="18"/>
              </w:rPr>
              <w:t>610 (42.2%)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8EF97B" w14:textId="77777777" w:rsidR="001C19F3" w:rsidRDefault="001C19F3" w:rsidP="00521305">
            <w:pPr>
              <w:spacing w:before="40" w:after="40"/>
              <w:ind w:left="100" w:right="100"/>
              <w:jc w:val="right"/>
            </w:pPr>
            <w:r>
              <w:rPr>
                <w:rFonts w:eastAsia="Century Gothic" w:cs="Century Gothic"/>
                <w:color w:val="000000"/>
                <w:sz w:val="18"/>
                <w:szCs w:val="18"/>
              </w:rPr>
              <w:t>117 (43.3%)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05EC21" w14:textId="77777777" w:rsidR="001C19F3" w:rsidRDefault="001C19F3" w:rsidP="00521305">
            <w:pPr>
              <w:spacing w:before="40" w:after="40"/>
              <w:ind w:left="100" w:right="100"/>
              <w:jc w:val="right"/>
            </w:pPr>
            <w:r>
              <w:rPr>
                <w:rFonts w:eastAsia="Century Gothic" w:cs="Century Gothic"/>
                <w:color w:val="000000"/>
                <w:sz w:val="18"/>
                <w:szCs w:val="18"/>
              </w:rPr>
              <w:t>91 (35.3%)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407EFC" w14:textId="77777777" w:rsidR="001C19F3" w:rsidRDefault="001C19F3" w:rsidP="00521305">
            <w:pPr>
              <w:spacing w:after="0"/>
              <w:rPr>
                <w:sz w:val="22"/>
              </w:rPr>
            </w:pPr>
          </w:p>
        </w:tc>
      </w:tr>
      <w:tr w:rsidR="001C19F3" w14:paraId="5DC1B5B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7DE73A"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1C8AD0" w14:textId="77777777" w:rsidR="001C19F3" w:rsidRDefault="001C19F3" w:rsidP="00521305">
            <w:pPr>
              <w:spacing w:before="40" w:after="40"/>
              <w:ind w:left="100" w:right="100"/>
              <w:jc w:val="center"/>
            </w:pPr>
            <w:r>
              <w:rPr>
                <w:rFonts w:eastAsia="Century Gothic" w:cs="Century Gothic"/>
                <w:color w:val="000000"/>
                <w:sz w:val="18"/>
                <w:szCs w:val="18"/>
              </w:rPr>
              <w:t>37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06393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CE8D63"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12D99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3272C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6974D0"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B31E77"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A478F9" w14:textId="77777777" w:rsidR="001C19F3" w:rsidRDefault="001C19F3" w:rsidP="00521305">
            <w:pPr>
              <w:spacing w:before="40" w:after="40"/>
              <w:ind w:left="100" w:right="100"/>
              <w:jc w:val="right"/>
            </w:pPr>
          </w:p>
        </w:tc>
      </w:tr>
      <w:tr w:rsidR="001C19F3" w14:paraId="00C2101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64C501"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E6B8EB"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50C51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A60C9F"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B3F26F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C6F7E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21EDED"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B18B17"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231EF9B" w14:textId="77777777" w:rsidR="001C19F3" w:rsidRDefault="001C19F3" w:rsidP="00521305">
            <w:pPr>
              <w:spacing w:after="0"/>
              <w:rPr>
                <w:sz w:val="22"/>
              </w:rPr>
            </w:pPr>
          </w:p>
        </w:tc>
      </w:tr>
      <w:tr w:rsidR="001C19F3" w14:paraId="7B44CFE1"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EEE7F1" w14:textId="77777777" w:rsidR="001C19F3" w:rsidRDefault="001C19F3" w:rsidP="00521305">
            <w:pPr>
              <w:spacing w:before="40" w:after="40"/>
              <w:ind w:left="100" w:right="100"/>
            </w:pPr>
            <w:r>
              <w:rPr>
                <w:rFonts w:eastAsia="Century Gothic" w:cs="Century Gothic"/>
                <w:b/>
                <w:color w:val="000000"/>
                <w:sz w:val="18"/>
                <w:szCs w:val="18"/>
              </w:rPr>
              <w:t>H10 I am confident I can tell my health care provider concerns I have even when he or she does not ask (Q21)</w:t>
            </w:r>
          </w:p>
        </w:tc>
      </w:tr>
      <w:tr w:rsidR="001C19F3" w14:paraId="3E9E255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E7F373"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7332A7" w14:textId="77777777" w:rsidR="001C19F3" w:rsidRDefault="001C19F3" w:rsidP="00521305">
            <w:pPr>
              <w:spacing w:before="40" w:after="40"/>
              <w:ind w:left="100" w:right="100"/>
              <w:jc w:val="center"/>
            </w:pPr>
            <w:r>
              <w:rPr>
                <w:rFonts w:eastAsia="Century Gothic" w:cs="Century Gothic"/>
                <w:color w:val="000000"/>
                <w:sz w:val="18"/>
                <w:szCs w:val="18"/>
              </w:rPr>
              <w:t>14 (0.7%)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6B337E" w14:textId="77777777" w:rsidR="001C19F3" w:rsidRDefault="001C19F3" w:rsidP="00521305">
            <w:pPr>
              <w:spacing w:before="40" w:after="40"/>
              <w:ind w:left="100" w:right="100"/>
              <w:jc w:val="center"/>
            </w:pPr>
            <w:r>
              <w:rPr>
                <w:rFonts w:eastAsia="Century Gothic" w:cs="Century Gothic"/>
                <w:color w:val="000000"/>
                <w:sz w:val="18"/>
                <w:szCs w:val="18"/>
              </w:rPr>
              <w:t>9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A3484E" w14:textId="77777777" w:rsidR="001C19F3" w:rsidRDefault="001C19F3" w:rsidP="00521305">
            <w:pPr>
              <w:spacing w:before="40" w:after="40"/>
              <w:ind w:left="100" w:right="100"/>
              <w:jc w:val="center"/>
            </w:pPr>
            <w:r>
              <w:rPr>
                <w:rFonts w:eastAsia="Century Gothic" w:cs="Century Gothic"/>
                <w:color w:val="000000"/>
                <w:sz w:val="18"/>
                <w:szCs w:val="18"/>
              </w:rPr>
              <w:t>5 (0.3%)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19C8E1"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3C32D6" w14:textId="77777777" w:rsidR="001C19F3" w:rsidRDefault="001C19F3" w:rsidP="00521305">
            <w:pPr>
              <w:spacing w:before="40" w:after="40"/>
              <w:ind w:left="100" w:right="100"/>
              <w:jc w:val="center"/>
            </w:pPr>
            <w:r>
              <w:rPr>
                <w:rFonts w:eastAsia="Century Gothic" w:cs="Century Gothic"/>
                <w:color w:val="000000"/>
                <w:sz w:val="18"/>
                <w:szCs w:val="18"/>
              </w:rPr>
              <w:t>14 (1.0%)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770014"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4ACBEA"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7DC93E" w14:textId="77777777" w:rsidR="001C19F3" w:rsidRDefault="001C19F3" w:rsidP="00521305">
            <w:pPr>
              <w:spacing w:before="40" w:after="40"/>
              <w:ind w:left="100" w:right="100"/>
              <w:jc w:val="right"/>
            </w:pPr>
            <w:r>
              <w:rPr>
                <w:rFonts w:eastAsia="Century Gothic" w:cs="Century Gothic"/>
                <w:color w:val="000000"/>
                <w:sz w:val="18"/>
                <w:szCs w:val="18"/>
              </w:rPr>
              <w:t>0.196</w:t>
            </w:r>
          </w:p>
        </w:tc>
      </w:tr>
      <w:tr w:rsidR="001C19F3" w14:paraId="63BB7CB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0A6D71" w14:textId="77777777" w:rsidR="001C19F3" w:rsidRDefault="001C19F3" w:rsidP="00521305">
            <w:pPr>
              <w:spacing w:before="40" w:after="40"/>
              <w:ind w:left="160" w:right="100"/>
            </w:pPr>
            <w:r>
              <w:rPr>
                <w:rFonts w:eastAsia="Century Gothic" w:cs="Century Gothic"/>
                <w:color w:val="000000"/>
                <w:sz w:val="18"/>
                <w:szCs w:val="18"/>
              </w:rPr>
              <w:lastRenderedPageBreak/>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1559CD" w14:textId="77777777" w:rsidR="001C19F3" w:rsidRDefault="001C19F3" w:rsidP="00521305">
            <w:pPr>
              <w:spacing w:before="40" w:after="40"/>
              <w:ind w:left="100" w:right="100"/>
              <w:jc w:val="center"/>
            </w:pPr>
            <w:r>
              <w:rPr>
                <w:rFonts w:eastAsia="Century Gothic" w:cs="Century Gothic"/>
                <w:color w:val="000000"/>
                <w:sz w:val="18"/>
                <w:szCs w:val="18"/>
              </w:rPr>
              <w:t>45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22C777" w14:textId="77777777" w:rsidR="001C19F3" w:rsidRDefault="001C19F3" w:rsidP="00521305">
            <w:pPr>
              <w:spacing w:before="40" w:after="40"/>
              <w:ind w:left="100" w:right="100"/>
              <w:jc w:val="center"/>
            </w:pPr>
            <w:r>
              <w:rPr>
                <w:rFonts w:eastAsia="Century Gothic" w:cs="Century Gothic"/>
                <w:color w:val="000000"/>
                <w:sz w:val="18"/>
                <w:szCs w:val="18"/>
              </w:rPr>
              <w:t>9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4B10B4" w14:textId="77777777" w:rsidR="001C19F3" w:rsidRDefault="001C19F3" w:rsidP="00521305">
            <w:pPr>
              <w:spacing w:before="40" w:after="40"/>
              <w:ind w:left="100" w:right="100"/>
              <w:jc w:val="center"/>
            </w:pPr>
            <w:r>
              <w:rPr>
                <w:rFonts w:eastAsia="Century Gothic" w:cs="Century Gothic"/>
                <w:color w:val="000000"/>
                <w:sz w:val="18"/>
                <w:szCs w:val="18"/>
              </w:rPr>
              <w:t>36 (2.3%)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0CC6F2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D119FC" w14:textId="77777777" w:rsidR="001C19F3" w:rsidRDefault="001C19F3" w:rsidP="00521305">
            <w:pPr>
              <w:spacing w:before="40" w:after="40"/>
              <w:ind w:left="100" w:right="100"/>
              <w:jc w:val="center"/>
            </w:pPr>
            <w:r>
              <w:rPr>
                <w:rFonts w:eastAsia="Century Gothic" w:cs="Century Gothic"/>
                <w:color w:val="000000"/>
                <w:sz w:val="18"/>
                <w:szCs w:val="18"/>
              </w:rPr>
              <w:t>37 (2.5%)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DECB44" w14:textId="77777777" w:rsidR="001C19F3" w:rsidRDefault="001C19F3" w:rsidP="00521305">
            <w:pPr>
              <w:spacing w:before="40" w:after="40"/>
              <w:ind w:left="100" w:right="100"/>
              <w:jc w:val="right"/>
            </w:pPr>
            <w:r>
              <w:rPr>
                <w:rFonts w:eastAsia="Century Gothic" w:cs="Century Gothic"/>
                <w:color w:val="000000"/>
                <w:sz w:val="18"/>
                <w:szCs w:val="18"/>
              </w:rPr>
              <w:t>5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28A6C7" w14:textId="77777777" w:rsidR="001C19F3" w:rsidRDefault="001C19F3" w:rsidP="00521305">
            <w:pPr>
              <w:spacing w:before="40" w:after="40"/>
              <w:ind w:left="100" w:right="100"/>
              <w:jc w:val="right"/>
            </w:pPr>
            <w:r>
              <w:rPr>
                <w:rFonts w:eastAsia="Century Gothic" w:cs="Century Gothic"/>
                <w:color w:val="000000"/>
                <w:sz w:val="18"/>
                <w:szCs w:val="18"/>
              </w:rPr>
              <w:t>3 (1.2%)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992E72E" w14:textId="77777777" w:rsidR="001C19F3" w:rsidRDefault="001C19F3" w:rsidP="00521305">
            <w:pPr>
              <w:spacing w:after="0"/>
              <w:rPr>
                <w:sz w:val="22"/>
              </w:rPr>
            </w:pPr>
          </w:p>
        </w:tc>
      </w:tr>
      <w:tr w:rsidR="001C19F3" w14:paraId="4EA4D2F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D653C"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116AF7" w14:textId="77777777" w:rsidR="001C19F3" w:rsidRDefault="001C19F3" w:rsidP="00521305">
            <w:pPr>
              <w:spacing w:before="40" w:after="40"/>
              <w:ind w:left="100" w:right="100"/>
              <w:jc w:val="center"/>
            </w:pPr>
            <w:r>
              <w:rPr>
                <w:rFonts w:eastAsia="Century Gothic" w:cs="Century Gothic"/>
                <w:color w:val="000000"/>
                <w:sz w:val="18"/>
                <w:szCs w:val="18"/>
              </w:rPr>
              <w:t>937 (46.4%)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15A1A" w14:textId="77777777" w:rsidR="001C19F3" w:rsidRDefault="001C19F3" w:rsidP="00521305">
            <w:pPr>
              <w:spacing w:before="40" w:after="40"/>
              <w:ind w:left="100" w:right="100"/>
              <w:jc w:val="center"/>
            </w:pPr>
            <w:r>
              <w:rPr>
                <w:rFonts w:eastAsia="Century Gothic" w:cs="Century Gothic"/>
                <w:color w:val="000000"/>
                <w:sz w:val="18"/>
                <w:szCs w:val="18"/>
              </w:rPr>
              <w:t>204 (50.1%)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2A5F27" w14:textId="77777777" w:rsidR="001C19F3" w:rsidRDefault="001C19F3" w:rsidP="00521305">
            <w:pPr>
              <w:spacing w:before="40" w:after="40"/>
              <w:ind w:left="100" w:right="100"/>
              <w:jc w:val="center"/>
            </w:pPr>
            <w:r>
              <w:rPr>
                <w:rFonts w:eastAsia="Century Gothic" w:cs="Century Gothic"/>
                <w:color w:val="000000"/>
                <w:sz w:val="18"/>
                <w:szCs w:val="18"/>
              </w:rPr>
              <w:t>733 (46.5%)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E912E7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B14AA6" w14:textId="77777777" w:rsidR="001C19F3" w:rsidRDefault="001C19F3" w:rsidP="00521305">
            <w:pPr>
              <w:spacing w:before="40" w:after="40"/>
              <w:ind w:left="100" w:right="100"/>
              <w:jc w:val="center"/>
            </w:pPr>
            <w:r>
              <w:rPr>
                <w:rFonts w:eastAsia="Century Gothic" w:cs="Century Gothic"/>
                <w:color w:val="000000"/>
                <w:sz w:val="18"/>
                <w:szCs w:val="18"/>
              </w:rPr>
              <w:t>681 (46.8%)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89A907" w14:textId="77777777" w:rsidR="001C19F3" w:rsidRDefault="001C19F3" w:rsidP="00521305">
            <w:pPr>
              <w:spacing w:before="40" w:after="40"/>
              <w:ind w:left="100" w:right="100"/>
              <w:jc w:val="right"/>
            </w:pPr>
            <w:r>
              <w:rPr>
                <w:rFonts w:eastAsia="Century Gothic" w:cs="Century Gothic"/>
                <w:color w:val="000000"/>
                <w:sz w:val="18"/>
                <w:szCs w:val="18"/>
              </w:rPr>
              <w:t>124 (45.9%)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2672DF" w14:textId="77777777" w:rsidR="001C19F3" w:rsidRDefault="001C19F3" w:rsidP="00521305">
            <w:pPr>
              <w:spacing w:before="40" w:after="40"/>
              <w:ind w:left="100" w:right="100"/>
              <w:jc w:val="right"/>
            </w:pPr>
            <w:r>
              <w:rPr>
                <w:rFonts w:eastAsia="Century Gothic" w:cs="Century Gothic"/>
                <w:color w:val="000000"/>
                <w:sz w:val="18"/>
                <w:szCs w:val="18"/>
              </w:rPr>
              <w:t>132 (51.0%)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0119C45" w14:textId="77777777" w:rsidR="001C19F3" w:rsidRDefault="001C19F3" w:rsidP="00521305">
            <w:pPr>
              <w:spacing w:after="0"/>
              <w:rPr>
                <w:sz w:val="22"/>
              </w:rPr>
            </w:pPr>
          </w:p>
        </w:tc>
      </w:tr>
      <w:tr w:rsidR="001C19F3" w14:paraId="422CC75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3D3328"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E04392" w14:textId="77777777" w:rsidR="001C19F3" w:rsidRDefault="001C19F3" w:rsidP="00521305">
            <w:pPr>
              <w:spacing w:before="40" w:after="40"/>
              <w:ind w:left="100" w:right="100"/>
              <w:jc w:val="center"/>
            </w:pPr>
            <w:r>
              <w:rPr>
                <w:rFonts w:eastAsia="Century Gothic" w:cs="Century Gothic"/>
                <w:color w:val="000000"/>
                <w:sz w:val="18"/>
                <w:szCs w:val="18"/>
              </w:rPr>
              <w:t>988 (49.0%)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8D2129" w14:textId="77777777" w:rsidR="001C19F3" w:rsidRDefault="001C19F3" w:rsidP="00521305">
            <w:pPr>
              <w:spacing w:before="40" w:after="40"/>
              <w:ind w:left="100" w:right="100"/>
              <w:jc w:val="center"/>
            </w:pPr>
            <w:r>
              <w:rPr>
                <w:rFonts w:eastAsia="Century Gothic" w:cs="Century Gothic"/>
                <w:color w:val="000000"/>
                <w:sz w:val="18"/>
                <w:szCs w:val="18"/>
              </w:rPr>
              <w:t>185 (45.5%)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3E1C08" w14:textId="77777777" w:rsidR="001C19F3" w:rsidRDefault="001C19F3" w:rsidP="00521305">
            <w:pPr>
              <w:spacing w:before="40" w:after="40"/>
              <w:ind w:left="100" w:right="100"/>
              <w:jc w:val="center"/>
            </w:pPr>
            <w:r>
              <w:rPr>
                <w:rFonts w:eastAsia="Century Gothic" w:cs="Century Gothic"/>
                <w:color w:val="000000"/>
                <w:sz w:val="18"/>
                <w:szCs w:val="18"/>
              </w:rPr>
              <w:t>803 (50.9%)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C6153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29465D" w14:textId="77777777" w:rsidR="001C19F3" w:rsidRDefault="001C19F3" w:rsidP="00521305">
            <w:pPr>
              <w:spacing w:before="40" w:after="40"/>
              <w:ind w:left="100" w:right="100"/>
              <w:jc w:val="center"/>
            </w:pPr>
            <w:r>
              <w:rPr>
                <w:rFonts w:eastAsia="Century Gothic" w:cs="Century Gothic"/>
                <w:color w:val="000000"/>
                <w:sz w:val="18"/>
                <w:szCs w:val="18"/>
              </w:rPr>
              <w:t>723 (49.7%)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7D0DAA" w14:textId="77777777" w:rsidR="001C19F3" w:rsidRDefault="001C19F3" w:rsidP="00521305">
            <w:pPr>
              <w:spacing w:before="40" w:after="40"/>
              <w:ind w:left="100" w:right="100"/>
              <w:jc w:val="right"/>
            </w:pPr>
            <w:r>
              <w:rPr>
                <w:rFonts w:eastAsia="Century Gothic" w:cs="Century Gothic"/>
                <w:color w:val="000000"/>
                <w:sz w:val="18"/>
                <w:szCs w:val="18"/>
              </w:rPr>
              <w:t>141 (52.2%)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820F39" w14:textId="77777777" w:rsidR="001C19F3" w:rsidRDefault="001C19F3" w:rsidP="00521305">
            <w:pPr>
              <w:spacing w:before="40" w:after="40"/>
              <w:ind w:left="100" w:right="100"/>
              <w:jc w:val="right"/>
            </w:pPr>
            <w:r>
              <w:rPr>
                <w:rFonts w:eastAsia="Century Gothic" w:cs="Century Gothic"/>
                <w:color w:val="000000"/>
                <w:sz w:val="18"/>
                <w:szCs w:val="18"/>
              </w:rPr>
              <w:t>124 (47.9%)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A8EC51E" w14:textId="77777777" w:rsidR="001C19F3" w:rsidRDefault="001C19F3" w:rsidP="00521305">
            <w:pPr>
              <w:spacing w:after="0"/>
              <w:rPr>
                <w:sz w:val="22"/>
              </w:rPr>
            </w:pPr>
          </w:p>
        </w:tc>
      </w:tr>
      <w:tr w:rsidR="001C19F3" w14:paraId="2B5B646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E864B1"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6BBF74" w14:textId="77777777" w:rsidR="001C19F3" w:rsidRDefault="001C19F3" w:rsidP="00521305">
            <w:pPr>
              <w:spacing w:before="40" w:after="40"/>
              <w:ind w:left="100" w:right="100"/>
              <w:jc w:val="center"/>
            </w:pPr>
            <w:r>
              <w:rPr>
                <w:rFonts w:eastAsia="Century Gothic" w:cs="Century Gothic"/>
                <w:color w:val="000000"/>
                <w:sz w:val="18"/>
                <w:szCs w:val="18"/>
              </w:rPr>
              <w:t>29 (1.4%)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9CA739"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C806A2"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B32EE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1BE4CE"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25A135"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A63728"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9EEF9E" w14:textId="77777777" w:rsidR="001C19F3" w:rsidRDefault="001C19F3" w:rsidP="00521305">
            <w:pPr>
              <w:spacing w:before="40" w:after="40"/>
              <w:ind w:left="100" w:right="100"/>
              <w:jc w:val="right"/>
            </w:pPr>
          </w:p>
        </w:tc>
      </w:tr>
      <w:tr w:rsidR="001C19F3" w14:paraId="00F3BE8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28963E"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18B0E5" w14:textId="77777777" w:rsidR="001C19F3" w:rsidRDefault="001C19F3" w:rsidP="00521305">
            <w:pPr>
              <w:spacing w:before="40" w:after="40"/>
              <w:ind w:left="100" w:right="100"/>
              <w:jc w:val="center"/>
            </w:pPr>
            <w:r>
              <w:rPr>
                <w:rFonts w:eastAsia="Century Gothic" w:cs="Century Gothic"/>
                <w:color w:val="000000"/>
                <w:sz w:val="18"/>
                <w:szCs w:val="18"/>
              </w:rPr>
              <w:t>5 (0.2%)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47427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CCCFA0"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E46208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5A374D"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086C8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82BB8"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AF1FFEC" w14:textId="77777777" w:rsidR="001C19F3" w:rsidRDefault="001C19F3" w:rsidP="00521305">
            <w:pPr>
              <w:spacing w:after="0"/>
              <w:rPr>
                <w:sz w:val="22"/>
              </w:rPr>
            </w:pPr>
          </w:p>
        </w:tc>
      </w:tr>
      <w:tr w:rsidR="001C19F3" w14:paraId="7577FE2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E1FB72" w14:textId="77777777" w:rsidR="001C19F3" w:rsidRDefault="001C19F3" w:rsidP="00521305">
            <w:pPr>
              <w:spacing w:before="40" w:after="40"/>
              <w:ind w:left="100" w:right="100"/>
            </w:pPr>
            <w:r>
              <w:rPr>
                <w:rFonts w:eastAsia="Century Gothic" w:cs="Century Gothic"/>
                <w:b/>
                <w:color w:val="000000"/>
                <w:sz w:val="18"/>
                <w:szCs w:val="18"/>
              </w:rPr>
              <w:t>H11 I am confident that I can follow through on medical treatments I need to do at home (Q21)</w:t>
            </w:r>
          </w:p>
        </w:tc>
      </w:tr>
      <w:tr w:rsidR="001C19F3" w14:paraId="3FD825B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5F3824"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F97DE4" w14:textId="77777777" w:rsidR="001C19F3" w:rsidRDefault="001C19F3" w:rsidP="00521305">
            <w:pPr>
              <w:spacing w:before="40" w:after="40"/>
              <w:ind w:left="100" w:right="100"/>
              <w:jc w:val="center"/>
            </w:pPr>
            <w:r>
              <w:rPr>
                <w:rFonts w:eastAsia="Century Gothic" w:cs="Century Gothic"/>
                <w:color w:val="000000"/>
                <w:sz w:val="18"/>
                <w:szCs w:val="18"/>
              </w:rPr>
              <w:t>13 (0.6%)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5F723E" w14:textId="77777777" w:rsidR="001C19F3" w:rsidRDefault="001C19F3" w:rsidP="00521305">
            <w:pPr>
              <w:spacing w:before="40" w:after="40"/>
              <w:ind w:left="100" w:right="100"/>
              <w:jc w:val="center"/>
            </w:pPr>
            <w:r>
              <w:rPr>
                <w:rFonts w:eastAsia="Century Gothic" w:cs="Century Gothic"/>
                <w:color w:val="000000"/>
                <w:sz w:val="18"/>
                <w:szCs w:val="18"/>
              </w:rPr>
              <w:t>9 (2.2%)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AE62E8" w14:textId="77777777" w:rsidR="001C19F3" w:rsidRDefault="001C19F3" w:rsidP="00521305">
            <w:pPr>
              <w:spacing w:before="40" w:after="40"/>
              <w:ind w:left="100" w:right="100"/>
              <w:jc w:val="center"/>
            </w:pPr>
            <w:r>
              <w:rPr>
                <w:rFonts w:eastAsia="Century Gothic" w:cs="Century Gothic"/>
                <w:color w:val="000000"/>
                <w:sz w:val="18"/>
                <w:szCs w:val="18"/>
              </w:rPr>
              <w:t>4 (0.3%)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52278"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8144F" w14:textId="77777777" w:rsidR="001C19F3" w:rsidRDefault="001C19F3" w:rsidP="00521305">
            <w:pPr>
              <w:spacing w:before="40" w:after="40"/>
              <w:ind w:left="100" w:right="100"/>
              <w:jc w:val="center"/>
            </w:pPr>
            <w:r>
              <w:rPr>
                <w:rFonts w:eastAsia="Century Gothic" w:cs="Century Gothic"/>
                <w:color w:val="000000"/>
                <w:sz w:val="18"/>
                <w:szCs w:val="18"/>
              </w:rPr>
              <w:t>13 (0.9%)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8FF5D1"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D6019B"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08775D" w14:textId="77777777" w:rsidR="001C19F3" w:rsidRDefault="001C19F3" w:rsidP="00521305">
            <w:pPr>
              <w:spacing w:before="40" w:after="40"/>
              <w:ind w:left="100" w:right="100"/>
              <w:jc w:val="right"/>
            </w:pPr>
            <w:r>
              <w:rPr>
                <w:rFonts w:eastAsia="Century Gothic" w:cs="Century Gothic"/>
                <w:color w:val="000000"/>
                <w:sz w:val="18"/>
                <w:szCs w:val="18"/>
              </w:rPr>
              <w:t>0.063</w:t>
            </w:r>
          </w:p>
        </w:tc>
      </w:tr>
      <w:tr w:rsidR="001C19F3" w14:paraId="69B3EC3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2CC6A2"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CD222B" w14:textId="77777777" w:rsidR="001C19F3" w:rsidRDefault="001C19F3" w:rsidP="00521305">
            <w:pPr>
              <w:spacing w:before="40" w:after="40"/>
              <w:ind w:left="100" w:right="100"/>
              <w:jc w:val="center"/>
            </w:pPr>
            <w:r>
              <w:rPr>
                <w:rFonts w:eastAsia="Century Gothic" w:cs="Century Gothic"/>
                <w:color w:val="000000"/>
                <w:sz w:val="18"/>
                <w:szCs w:val="18"/>
              </w:rPr>
              <w:t>62 (3.1%)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A4CC59" w14:textId="77777777" w:rsidR="001C19F3" w:rsidRDefault="001C19F3" w:rsidP="00521305">
            <w:pPr>
              <w:spacing w:before="40" w:after="40"/>
              <w:ind w:left="100" w:right="100"/>
              <w:jc w:val="center"/>
            </w:pPr>
            <w:r>
              <w:rPr>
                <w:rFonts w:eastAsia="Century Gothic" w:cs="Century Gothic"/>
                <w:color w:val="000000"/>
                <w:sz w:val="18"/>
                <w:szCs w:val="18"/>
              </w:rPr>
              <w:t>18 (4.4%)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404E91" w14:textId="77777777" w:rsidR="001C19F3" w:rsidRDefault="001C19F3" w:rsidP="00521305">
            <w:pPr>
              <w:spacing w:before="40" w:after="40"/>
              <w:ind w:left="100" w:right="100"/>
              <w:jc w:val="center"/>
            </w:pPr>
            <w:r>
              <w:rPr>
                <w:rFonts w:eastAsia="Century Gothic" w:cs="Century Gothic"/>
                <w:color w:val="000000"/>
                <w:sz w:val="18"/>
                <w:szCs w:val="18"/>
              </w:rPr>
              <w:t>44 (2.8%)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13018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2E1413" w14:textId="77777777" w:rsidR="001C19F3" w:rsidRDefault="001C19F3" w:rsidP="00521305">
            <w:pPr>
              <w:spacing w:before="40" w:after="40"/>
              <w:ind w:left="100" w:right="100"/>
              <w:jc w:val="center"/>
            </w:pPr>
            <w:r>
              <w:rPr>
                <w:rFonts w:eastAsia="Century Gothic" w:cs="Century Gothic"/>
                <w:color w:val="000000"/>
                <w:sz w:val="18"/>
                <w:szCs w:val="18"/>
              </w:rPr>
              <w:t>52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C4DEB0"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9FF235" w14:textId="77777777" w:rsidR="001C19F3" w:rsidRDefault="001C19F3" w:rsidP="00521305">
            <w:pPr>
              <w:spacing w:before="40" w:after="40"/>
              <w:ind w:left="100" w:right="100"/>
              <w:jc w:val="right"/>
            </w:pPr>
            <w:r>
              <w:rPr>
                <w:rFonts w:eastAsia="Century Gothic" w:cs="Century Gothic"/>
                <w:color w:val="000000"/>
                <w:sz w:val="18"/>
                <w:szCs w:val="18"/>
              </w:rPr>
              <w:t>6 (2.3%)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91BC726" w14:textId="77777777" w:rsidR="001C19F3" w:rsidRDefault="001C19F3" w:rsidP="00521305">
            <w:pPr>
              <w:spacing w:after="0"/>
              <w:rPr>
                <w:sz w:val="22"/>
              </w:rPr>
            </w:pPr>
          </w:p>
        </w:tc>
      </w:tr>
      <w:tr w:rsidR="001C19F3" w14:paraId="6AE1154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7A245E"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D205F0" w14:textId="77777777" w:rsidR="001C19F3" w:rsidRDefault="001C19F3" w:rsidP="00521305">
            <w:pPr>
              <w:spacing w:before="40" w:after="40"/>
              <w:ind w:left="100" w:right="100"/>
              <w:jc w:val="center"/>
            </w:pPr>
            <w:r>
              <w:rPr>
                <w:rFonts w:eastAsia="Century Gothic" w:cs="Century Gothic"/>
                <w:color w:val="000000"/>
                <w:sz w:val="18"/>
                <w:szCs w:val="18"/>
              </w:rPr>
              <w:t>1,002 (49.7%)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3A8F38" w14:textId="77777777" w:rsidR="001C19F3" w:rsidRDefault="001C19F3" w:rsidP="00521305">
            <w:pPr>
              <w:spacing w:before="40" w:after="40"/>
              <w:ind w:left="100" w:right="100"/>
              <w:jc w:val="center"/>
            </w:pPr>
            <w:r>
              <w:rPr>
                <w:rFonts w:eastAsia="Century Gothic" w:cs="Century Gothic"/>
                <w:color w:val="000000"/>
                <w:sz w:val="18"/>
                <w:szCs w:val="18"/>
              </w:rPr>
              <w:t>205 (50.5%)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9538AD" w14:textId="77777777" w:rsidR="001C19F3" w:rsidRDefault="001C19F3" w:rsidP="00521305">
            <w:pPr>
              <w:spacing w:before="40" w:after="40"/>
              <w:ind w:left="100" w:right="100"/>
              <w:jc w:val="center"/>
            </w:pPr>
            <w:r>
              <w:rPr>
                <w:rFonts w:eastAsia="Century Gothic" w:cs="Century Gothic"/>
                <w:color w:val="000000"/>
                <w:sz w:val="18"/>
                <w:szCs w:val="18"/>
              </w:rPr>
              <w:t>797 (50.9%)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6AC1CD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DA3AD8" w14:textId="77777777" w:rsidR="001C19F3" w:rsidRDefault="001C19F3" w:rsidP="00521305">
            <w:pPr>
              <w:spacing w:before="40" w:after="40"/>
              <w:ind w:left="100" w:right="100"/>
              <w:jc w:val="center"/>
            </w:pPr>
            <w:r>
              <w:rPr>
                <w:rFonts w:eastAsia="Century Gothic" w:cs="Century Gothic"/>
                <w:color w:val="000000"/>
                <w:sz w:val="18"/>
                <w:szCs w:val="18"/>
              </w:rPr>
              <w:t>722 (50.1%)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103DCC" w14:textId="77777777" w:rsidR="001C19F3" w:rsidRDefault="001C19F3" w:rsidP="00521305">
            <w:pPr>
              <w:spacing w:before="40" w:after="40"/>
              <w:ind w:left="100" w:right="100"/>
              <w:jc w:val="right"/>
            </w:pPr>
            <w:r>
              <w:rPr>
                <w:rFonts w:eastAsia="Century Gothic" w:cs="Century Gothic"/>
                <w:color w:val="000000"/>
                <w:sz w:val="18"/>
                <w:szCs w:val="18"/>
              </w:rPr>
              <w:t>134 (49.4%)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1F7FF8" w14:textId="77777777" w:rsidR="001C19F3" w:rsidRDefault="001C19F3" w:rsidP="00521305">
            <w:pPr>
              <w:spacing w:before="40" w:after="40"/>
              <w:ind w:left="100" w:right="100"/>
              <w:jc w:val="right"/>
            </w:pPr>
            <w:r>
              <w:rPr>
                <w:rFonts w:eastAsia="Century Gothic" w:cs="Century Gothic"/>
                <w:color w:val="000000"/>
                <w:sz w:val="18"/>
                <w:szCs w:val="18"/>
              </w:rPr>
              <w:t>146 (55.9%)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B7D2429" w14:textId="77777777" w:rsidR="001C19F3" w:rsidRDefault="001C19F3" w:rsidP="00521305">
            <w:pPr>
              <w:spacing w:after="0"/>
              <w:rPr>
                <w:sz w:val="22"/>
              </w:rPr>
            </w:pPr>
          </w:p>
        </w:tc>
      </w:tr>
      <w:tr w:rsidR="001C19F3" w14:paraId="589A42C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FA4392"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FF1EC4" w14:textId="77777777" w:rsidR="001C19F3" w:rsidRDefault="001C19F3" w:rsidP="00521305">
            <w:pPr>
              <w:spacing w:before="40" w:after="40"/>
              <w:ind w:left="100" w:right="100"/>
              <w:jc w:val="center"/>
            </w:pPr>
            <w:r>
              <w:rPr>
                <w:rFonts w:eastAsia="Century Gothic" w:cs="Century Gothic"/>
                <w:color w:val="000000"/>
                <w:sz w:val="18"/>
                <w:szCs w:val="18"/>
              </w:rPr>
              <w:t>895 (44.4%)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4C202A" w14:textId="77777777" w:rsidR="001C19F3" w:rsidRDefault="001C19F3" w:rsidP="00521305">
            <w:pPr>
              <w:spacing w:before="40" w:after="40"/>
              <w:ind w:left="100" w:right="100"/>
              <w:jc w:val="center"/>
            </w:pPr>
            <w:r>
              <w:rPr>
                <w:rFonts w:eastAsia="Century Gothic" w:cs="Century Gothic"/>
                <w:color w:val="000000"/>
                <w:sz w:val="18"/>
                <w:szCs w:val="18"/>
              </w:rPr>
              <w:t>174 (42.9%)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7AD8BB" w14:textId="77777777" w:rsidR="001C19F3" w:rsidRDefault="001C19F3" w:rsidP="00521305">
            <w:pPr>
              <w:spacing w:before="40" w:after="40"/>
              <w:ind w:left="100" w:right="100"/>
              <w:jc w:val="center"/>
            </w:pPr>
            <w:r>
              <w:rPr>
                <w:rFonts w:eastAsia="Century Gothic" w:cs="Century Gothic"/>
                <w:color w:val="000000"/>
                <w:sz w:val="18"/>
                <w:szCs w:val="18"/>
              </w:rPr>
              <w:t>721 (46.0%)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ED93FF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7701BA" w14:textId="77777777" w:rsidR="001C19F3" w:rsidRDefault="001C19F3" w:rsidP="00521305">
            <w:pPr>
              <w:spacing w:before="40" w:after="40"/>
              <w:ind w:left="100" w:right="100"/>
              <w:jc w:val="center"/>
            </w:pPr>
            <w:r>
              <w:rPr>
                <w:rFonts w:eastAsia="Century Gothic" w:cs="Century Gothic"/>
                <w:color w:val="000000"/>
                <w:sz w:val="18"/>
                <w:szCs w:val="18"/>
              </w:rPr>
              <w:t>653 (45.3%)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8A1C1A" w14:textId="77777777" w:rsidR="001C19F3" w:rsidRDefault="001C19F3" w:rsidP="00521305">
            <w:pPr>
              <w:spacing w:before="40" w:after="40"/>
              <w:ind w:left="100" w:right="100"/>
              <w:jc w:val="right"/>
            </w:pPr>
            <w:r>
              <w:rPr>
                <w:rFonts w:eastAsia="Century Gothic" w:cs="Century Gothic"/>
                <w:color w:val="000000"/>
                <w:sz w:val="18"/>
                <w:szCs w:val="18"/>
              </w:rPr>
              <w:t>133 (49.1%)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6501FE" w14:textId="77777777" w:rsidR="001C19F3" w:rsidRDefault="001C19F3" w:rsidP="00521305">
            <w:pPr>
              <w:spacing w:before="40" w:after="40"/>
              <w:ind w:left="100" w:right="100"/>
              <w:jc w:val="right"/>
            </w:pPr>
            <w:r>
              <w:rPr>
                <w:rFonts w:eastAsia="Century Gothic" w:cs="Century Gothic"/>
                <w:color w:val="000000"/>
                <w:sz w:val="18"/>
                <w:szCs w:val="18"/>
              </w:rPr>
              <w:t>109 (41.8%)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20A1A29" w14:textId="77777777" w:rsidR="001C19F3" w:rsidRDefault="001C19F3" w:rsidP="00521305">
            <w:pPr>
              <w:spacing w:after="0"/>
              <w:rPr>
                <w:sz w:val="22"/>
              </w:rPr>
            </w:pPr>
          </w:p>
        </w:tc>
      </w:tr>
      <w:tr w:rsidR="001C19F3" w14:paraId="7A116F1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019D40"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FA6483" w14:textId="77777777" w:rsidR="001C19F3" w:rsidRDefault="001C19F3" w:rsidP="00521305">
            <w:pPr>
              <w:spacing w:before="40" w:after="40"/>
              <w:ind w:left="100" w:right="100"/>
              <w:jc w:val="center"/>
            </w:pPr>
            <w:r>
              <w:rPr>
                <w:rFonts w:eastAsia="Century Gothic" w:cs="Century Gothic"/>
                <w:color w:val="000000"/>
                <w:sz w:val="18"/>
                <w:szCs w:val="18"/>
              </w:rPr>
              <w:t>39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EEBB4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93436D"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8E5BA7"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5EF23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7E9B3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167802"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06C071" w14:textId="77777777" w:rsidR="001C19F3" w:rsidRDefault="001C19F3" w:rsidP="00521305">
            <w:pPr>
              <w:spacing w:before="40" w:after="40"/>
              <w:ind w:left="100" w:right="100"/>
              <w:jc w:val="right"/>
            </w:pPr>
          </w:p>
        </w:tc>
      </w:tr>
      <w:tr w:rsidR="001C19F3" w14:paraId="5005850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E090FE"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2711A8"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DD020C"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A439B0"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C45D8A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962B94"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12B896"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403AF1"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222117B" w14:textId="77777777" w:rsidR="001C19F3" w:rsidRDefault="001C19F3" w:rsidP="00521305">
            <w:pPr>
              <w:spacing w:after="0"/>
              <w:rPr>
                <w:sz w:val="22"/>
              </w:rPr>
            </w:pPr>
          </w:p>
        </w:tc>
      </w:tr>
      <w:tr w:rsidR="001C19F3" w14:paraId="29CB607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D6C94" w14:textId="77777777" w:rsidR="001C19F3" w:rsidRDefault="001C19F3" w:rsidP="00521305">
            <w:pPr>
              <w:spacing w:before="40" w:after="40"/>
              <w:ind w:left="100" w:right="100"/>
            </w:pPr>
            <w:r>
              <w:rPr>
                <w:rFonts w:eastAsia="Century Gothic" w:cs="Century Gothic"/>
                <w:b/>
                <w:color w:val="000000"/>
                <w:sz w:val="18"/>
                <w:szCs w:val="18"/>
              </w:rPr>
              <w:t>H12 I am confident I can figure out solutions when new situations or problems arise with my health condition (Q21)</w:t>
            </w:r>
          </w:p>
        </w:tc>
      </w:tr>
      <w:tr w:rsidR="001C19F3" w14:paraId="6D8E5B9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401130"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E0507B" w14:textId="77777777" w:rsidR="001C19F3" w:rsidRDefault="001C19F3" w:rsidP="00521305">
            <w:pPr>
              <w:spacing w:before="40" w:after="40"/>
              <w:ind w:left="100" w:right="100"/>
              <w:jc w:val="center"/>
            </w:pPr>
            <w:r>
              <w:rPr>
                <w:rFonts w:eastAsia="Century Gothic" w:cs="Century Gothic"/>
                <w:color w:val="000000"/>
                <w:sz w:val="18"/>
                <w:szCs w:val="18"/>
              </w:rPr>
              <w:t>25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7C43D7" w14:textId="77777777" w:rsidR="001C19F3" w:rsidRDefault="001C19F3" w:rsidP="00521305">
            <w:pPr>
              <w:spacing w:before="40" w:after="40"/>
              <w:ind w:left="100" w:right="100"/>
              <w:jc w:val="center"/>
            </w:pPr>
            <w:r>
              <w:rPr>
                <w:rFonts w:eastAsia="Century Gothic" w:cs="Century Gothic"/>
                <w:color w:val="000000"/>
                <w:sz w:val="18"/>
                <w:szCs w:val="18"/>
              </w:rPr>
              <w:t>9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43820C" w14:textId="77777777" w:rsidR="001C19F3" w:rsidRDefault="001C19F3" w:rsidP="00521305">
            <w:pPr>
              <w:spacing w:before="40" w:after="40"/>
              <w:ind w:left="100" w:right="100"/>
              <w:jc w:val="center"/>
            </w:pPr>
            <w:r>
              <w:rPr>
                <w:rFonts w:eastAsia="Century Gothic" w:cs="Century Gothic"/>
                <w:color w:val="000000"/>
                <w:sz w:val="18"/>
                <w:szCs w:val="18"/>
              </w:rPr>
              <w:t>16 (1.0%)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E0D243" w14:textId="77777777" w:rsidR="001C19F3" w:rsidRDefault="001C19F3" w:rsidP="00521305">
            <w:pPr>
              <w:spacing w:before="40" w:after="40"/>
              <w:ind w:left="100" w:right="100"/>
              <w:jc w:val="center"/>
            </w:pPr>
            <w:r>
              <w:rPr>
                <w:rFonts w:eastAsia="Century Gothic" w:cs="Century Gothic"/>
                <w:color w:val="000000"/>
                <w:sz w:val="18"/>
                <w:szCs w:val="18"/>
              </w:rPr>
              <w:t>0.124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EF2E41" w14:textId="77777777" w:rsidR="001C19F3" w:rsidRDefault="001C19F3" w:rsidP="00521305">
            <w:pPr>
              <w:spacing w:before="40" w:after="40"/>
              <w:ind w:left="100" w:right="100"/>
              <w:jc w:val="center"/>
            </w:pPr>
            <w:r>
              <w:rPr>
                <w:rFonts w:eastAsia="Century Gothic" w:cs="Century Gothic"/>
                <w:color w:val="000000"/>
                <w:sz w:val="18"/>
                <w:szCs w:val="18"/>
              </w:rPr>
              <w:t>17 (1.2%)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CE4C42" w14:textId="77777777" w:rsidR="001C19F3" w:rsidRDefault="001C19F3" w:rsidP="00521305">
            <w:pPr>
              <w:spacing w:before="40" w:after="40"/>
              <w:ind w:left="100" w:right="100"/>
              <w:jc w:val="right"/>
            </w:pPr>
            <w:r>
              <w:rPr>
                <w:rFonts w:eastAsia="Century Gothic" w:cs="Century Gothic"/>
                <w:color w:val="000000"/>
                <w:sz w:val="18"/>
                <w:szCs w:val="18"/>
              </w:rPr>
              <w:t>4 (1.5%)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502EE2" w14:textId="77777777" w:rsidR="001C19F3" w:rsidRDefault="001C19F3" w:rsidP="00521305">
            <w:pPr>
              <w:spacing w:before="40" w:after="40"/>
              <w:ind w:left="100" w:right="100"/>
              <w:jc w:val="right"/>
            </w:pPr>
            <w:r>
              <w:rPr>
                <w:rFonts w:eastAsia="Century Gothic" w:cs="Century Gothic"/>
                <w:color w:val="000000"/>
                <w:sz w:val="18"/>
                <w:szCs w:val="18"/>
              </w:rPr>
              <w:t>4 (1.6%)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2362B3" w14:textId="77777777" w:rsidR="001C19F3" w:rsidRDefault="001C19F3" w:rsidP="00521305">
            <w:pPr>
              <w:spacing w:before="40" w:after="40"/>
              <w:ind w:left="100" w:right="100"/>
              <w:jc w:val="right"/>
            </w:pPr>
            <w:r>
              <w:rPr>
                <w:rFonts w:eastAsia="Century Gothic" w:cs="Century Gothic"/>
                <w:color w:val="000000"/>
                <w:sz w:val="18"/>
                <w:szCs w:val="18"/>
              </w:rPr>
              <w:t>0.544</w:t>
            </w:r>
          </w:p>
        </w:tc>
      </w:tr>
      <w:tr w:rsidR="001C19F3" w14:paraId="1828CAB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5DC080"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AEAAF7" w14:textId="77777777" w:rsidR="001C19F3" w:rsidRDefault="001C19F3" w:rsidP="00521305">
            <w:pPr>
              <w:spacing w:before="40" w:after="40"/>
              <w:ind w:left="100" w:right="100"/>
              <w:jc w:val="center"/>
            </w:pPr>
            <w:r>
              <w:rPr>
                <w:rFonts w:eastAsia="Century Gothic" w:cs="Century Gothic"/>
                <w:color w:val="000000"/>
                <w:sz w:val="18"/>
                <w:szCs w:val="18"/>
              </w:rPr>
              <w:t>247 (12.2%)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E1B5FA" w14:textId="77777777" w:rsidR="001C19F3" w:rsidRDefault="001C19F3" w:rsidP="00521305">
            <w:pPr>
              <w:spacing w:before="40" w:after="40"/>
              <w:ind w:left="100" w:right="100"/>
              <w:jc w:val="center"/>
            </w:pPr>
            <w:r>
              <w:rPr>
                <w:rFonts w:eastAsia="Century Gothic" w:cs="Century Gothic"/>
                <w:color w:val="000000"/>
                <w:sz w:val="18"/>
                <w:szCs w:val="18"/>
              </w:rPr>
              <w:t>47 (12.0%)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0EEF32" w14:textId="77777777" w:rsidR="001C19F3" w:rsidRDefault="001C19F3" w:rsidP="00521305">
            <w:pPr>
              <w:spacing w:before="40" w:after="40"/>
              <w:ind w:left="100" w:right="100"/>
              <w:jc w:val="center"/>
            </w:pPr>
            <w:r>
              <w:rPr>
                <w:rFonts w:eastAsia="Century Gothic" w:cs="Century Gothic"/>
                <w:color w:val="000000"/>
                <w:sz w:val="18"/>
                <w:szCs w:val="18"/>
              </w:rPr>
              <w:t>200 (13.0%)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8FB0D8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43E9DC" w14:textId="77777777" w:rsidR="001C19F3" w:rsidRDefault="001C19F3" w:rsidP="00521305">
            <w:pPr>
              <w:spacing w:before="40" w:after="40"/>
              <w:ind w:left="100" w:right="100"/>
              <w:jc w:val="center"/>
            </w:pPr>
            <w:r>
              <w:rPr>
                <w:rFonts w:eastAsia="Century Gothic" w:cs="Century Gothic"/>
                <w:color w:val="000000"/>
                <w:sz w:val="18"/>
                <w:szCs w:val="18"/>
              </w:rPr>
              <w:t>185 (13.2%)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6F7EA1" w14:textId="77777777" w:rsidR="001C19F3" w:rsidRDefault="001C19F3" w:rsidP="00521305">
            <w:pPr>
              <w:spacing w:before="40" w:after="40"/>
              <w:ind w:left="100" w:right="100"/>
              <w:jc w:val="right"/>
            </w:pPr>
            <w:r>
              <w:rPr>
                <w:rFonts w:eastAsia="Century Gothic" w:cs="Century Gothic"/>
                <w:color w:val="000000"/>
                <w:sz w:val="18"/>
                <w:szCs w:val="18"/>
              </w:rPr>
              <w:t>25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59BAEF" w14:textId="77777777" w:rsidR="001C19F3" w:rsidRDefault="001C19F3" w:rsidP="00521305">
            <w:pPr>
              <w:spacing w:before="40" w:after="40"/>
              <w:ind w:left="100" w:right="100"/>
              <w:jc w:val="right"/>
            </w:pPr>
            <w:r>
              <w:rPr>
                <w:rFonts w:eastAsia="Century Gothic" w:cs="Century Gothic"/>
                <w:color w:val="000000"/>
                <w:sz w:val="18"/>
                <w:szCs w:val="18"/>
              </w:rPr>
              <w:t>37 (14.5%)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F65317F" w14:textId="77777777" w:rsidR="001C19F3" w:rsidRDefault="001C19F3" w:rsidP="00521305">
            <w:pPr>
              <w:spacing w:after="0"/>
              <w:rPr>
                <w:sz w:val="22"/>
              </w:rPr>
            </w:pPr>
          </w:p>
        </w:tc>
      </w:tr>
      <w:tr w:rsidR="001C19F3" w14:paraId="49ECCE2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50EB7" w14:textId="77777777" w:rsidR="001C19F3" w:rsidRDefault="001C19F3" w:rsidP="00521305">
            <w:pPr>
              <w:spacing w:before="40" w:after="40"/>
              <w:ind w:left="160" w:right="100"/>
            </w:pPr>
            <w:r>
              <w:rPr>
                <w:rFonts w:eastAsia="Century Gothic" w:cs="Century Gothic"/>
                <w:color w:val="000000"/>
                <w:sz w:val="18"/>
                <w:szCs w:val="18"/>
              </w:rPr>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426C95" w14:textId="77777777" w:rsidR="001C19F3" w:rsidRDefault="001C19F3" w:rsidP="00521305">
            <w:pPr>
              <w:spacing w:before="40" w:after="40"/>
              <w:ind w:left="100" w:right="100"/>
              <w:jc w:val="center"/>
            </w:pPr>
            <w:r>
              <w:rPr>
                <w:rFonts w:eastAsia="Century Gothic" w:cs="Century Gothic"/>
                <w:color w:val="000000"/>
                <w:sz w:val="18"/>
                <w:szCs w:val="18"/>
              </w:rPr>
              <w:t>1,189 (58.9%)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4C4B66" w14:textId="77777777" w:rsidR="001C19F3" w:rsidRDefault="001C19F3" w:rsidP="00521305">
            <w:pPr>
              <w:spacing w:before="40" w:after="40"/>
              <w:ind w:left="100" w:right="100"/>
              <w:jc w:val="center"/>
            </w:pPr>
            <w:r>
              <w:rPr>
                <w:rFonts w:eastAsia="Century Gothic" w:cs="Century Gothic"/>
                <w:color w:val="000000"/>
                <w:sz w:val="18"/>
                <w:szCs w:val="18"/>
              </w:rPr>
              <w:t>251 (64.0%)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F55588" w14:textId="77777777" w:rsidR="001C19F3" w:rsidRDefault="001C19F3" w:rsidP="00521305">
            <w:pPr>
              <w:spacing w:before="40" w:after="40"/>
              <w:ind w:left="100" w:right="100"/>
              <w:jc w:val="center"/>
            </w:pPr>
            <w:r>
              <w:rPr>
                <w:rFonts w:eastAsia="Century Gothic" w:cs="Century Gothic"/>
                <w:color w:val="000000"/>
                <w:sz w:val="18"/>
                <w:szCs w:val="18"/>
              </w:rPr>
              <w:t>938 (61.1%)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DDF153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3D3AB7" w14:textId="77777777" w:rsidR="001C19F3" w:rsidRDefault="001C19F3" w:rsidP="00521305">
            <w:pPr>
              <w:spacing w:before="40" w:after="40"/>
              <w:ind w:left="100" w:right="100"/>
              <w:jc w:val="center"/>
            </w:pPr>
            <w:r>
              <w:rPr>
                <w:rFonts w:eastAsia="Century Gothic" w:cs="Century Gothic"/>
                <w:color w:val="000000"/>
                <w:sz w:val="18"/>
                <w:szCs w:val="18"/>
              </w:rPr>
              <w:t>858 (61.1%)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025B9D" w14:textId="77777777" w:rsidR="001C19F3" w:rsidRDefault="001C19F3" w:rsidP="00521305">
            <w:pPr>
              <w:spacing w:before="40" w:after="40"/>
              <w:ind w:left="100" w:right="100"/>
              <w:jc w:val="right"/>
            </w:pPr>
            <w:r>
              <w:rPr>
                <w:rFonts w:eastAsia="Century Gothic" w:cs="Century Gothic"/>
                <w:color w:val="000000"/>
                <w:sz w:val="18"/>
                <w:szCs w:val="18"/>
              </w:rPr>
              <w:t>171 (64.0%)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818DC6" w14:textId="77777777" w:rsidR="001C19F3" w:rsidRDefault="001C19F3" w:rsidP="00521305">
            <w:pPr>
              <w:spacing w:before="40" w:after="40"/>
              <w:ind w:left="100" w:right="100"/>
              <w:jc w:val="right"/>
            </w:pPr>
            <w:r>
              <w:rPr>
                <w:rFonts w:eastAsia="Century Gothic" w:cs="Century Gothic"/>
                <w:color w:val="000000"/>
                <w:sz w:val="18"/>
                <w:szCs w:val="18"/>
              </w:rPr>
              <w:t>160 (62.7%)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828A271" w14:textId="77777777" w:rsidR="001C19F3" w:rsidRDefault="001C19F3" w:rsidP="00521305">
            <w:pPr>
              <w:spacing w:after="0"/>
              <w:rPr>
                <w:sz w:val="22"/>
              </w:rPr>
            </w:pPr>
          </w:p>
        </w:tc>
      </w:tr>
      <w:tr w:rsidR="001C19F3" w14:paraId="5B6C22E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AC6BE2"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B370CE" w14:textId="77777777" w:rsidR="001C19F3" w:rsidRDefault="001C19F3" w:rsidP="00521305">
            <w:pPr>
              <w:spacing w:before="40" w:after="40"/>
              <w:ind w:left="100" w:right="100"/>
              <w:jc w:val="center"/>
            </w:pPr>
            <w:r>
              <w:rPr>
                <w:rFonts w:eastAsia="Century Gothic" w:cs="Century Gothic"/>
                <w:color w:val="000000"/>
                <w:sz w:val="18"/>
                <w:szCs w:val="18"/>
              </w:rPr>
              <w:t>466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FB4F0E" w14:textId="77777777" w:rsidR="001C19F3" w:rsidRDefault="001C19F3" w:rsidP="00521305">
            <w:pPr>
              <w:spacing w:before="40" w:after="40"/>
              <w:ind w:left="100" w:right="100"/>
              <w:jc w:val="center"/>
            </w:pPr>
            <w:r>
              <w:rPr>
                <w:rFonts w:eastAsia="Century Gothic" w:cs="Century Gothic"/>
                <w:color w:val="000000"/>
                <w:sz w:val="18"/>
                <w:szCs w:val="18"/>
              </w:rPr>
              <w:t>85 (21.7%)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1472C0" w14:textId="77777777" w:rsidR="001C19F3" w:rsidRDefault="001C19F3" w:rsidP="00521305">
            <w:pPr>
              <w:spacing w:before="40" w:after="40"/>
              <w:ind w:left="100" w:right="100"/>
              <w:jc w:val="center"/>
            </w:pPr>
            <w:r>
              <w:rPr>
                <w:rFonts w:eastAsia="Century Gothic" w:cs="Century Gothic"/>
                <w:color w:val="000000"/>
                <w:sz w:val="18"/>
                <w:szCs w:val="18"/>
              </w:rPr>
              <w:t>381 (24.8%)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E82FF1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8149A2" w14:textId="77777777" w:rsidR="001C19F3" w:rsidRDefault="001C19F3" w:rsidP="00521305">
            <w:pPr>
              <w:spacing w:before="40" w:after="40"/>
              <w:ind w:left="100" w:right="100"/>
              <w:jc w:val="center"/>
            </w:pPr>
            <w:r>
              <w:rPr>
                <w:rFonts w:eastAsia="Century Gothic" w:cs="Century Gothic"/>
                <w:color w:val="000000"/>
                <w:sz w:val="18"/>
                <w:szCs w:val="18"/>
              </w:rPr>
              <w:t>345 (24.6%)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F2A6BE" w14:textId="77777777" w:rsidR="001C19F3" w:rsidRDefault="001C19F3" w:rsidP="00521305">
            <w:pPr>
              <w:spacing w:before="40" w:after="40"/>
              <w:ind w:left="100" w:right="100"/>
              <w:jc w:val="right"/>
            </w:pPr>
            <w:r>
              <w:rPr>
                <w:rFonts w:eastAsia="Century Gothic" w:cs="Century Gothic"/>
                <w:color w:val="000000"/>
                <w:sz w:val="18"/>
                <w:szCs w:val="18"/>
              </w:rPr>
              <w:t>67 (25.1%)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3872A" w14:textId="77777777" w:rsidR="001C19F3" w:rsidRDefault="001C19F3" w:rsidP="00521305">
            <w:pPr>
              <w:spacing w:before="40" w:after="40"/>
              <w:ind w:left="100" w:right="100"/>
              <w:jc w:val="right"/>
            </w:pPr>
            <w:r>
              <w:rPr>
                <w:rFonts w:eastAsia="Century Gothic" w:cs="Century Gothic"/>
                <w:color w:val="000000"/>
                <w:sz w:val="18"/>
                <w:szCs w:val="18"/>
              </w:rPr>
              <w:t>54 (21.2%)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8951C52" w14:textId="77777777" w:rsidR="001C19F3" w:rsidRDefault="001C19F3" w:rsidP="00521305">
            <w:pPr>
              <w:spacing w:after="0"/>
              <w:rPr>
                <w:sz w:val="22"/>
              </w:rPr>
            </w:pPr>
          </w:p>
        </w:tc>
      </w:tr>
      <w:tr w:rsidR="001C19F3" w14:paraId="1A93F65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83925E"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92FE8E" w14:textId="77777777" w:rsidR="001C19F3" w:rsidRDefault="001C19F3" w:rsidP="00521305">
            <w:pPr>
              <w:spacing w:before="40" w:after="40"/>
              <w:ind w:left="100" w:right="100"/>
              <w:jc w:val="center"/>
            </w:pPr>
            <w:r>
              <w:rPr>
                <w:rFonts w:eastAsia="Century Gothic" w:cs="Century Gothic"/>
                <w:color w:val="000000"/>
                <w:sz w:val="18"/>
                <w:szCs w:val="18"/>
              </w:rPr>
              <w:t>83 (4.1%)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A3C88B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54D8ED"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12C1C8"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A0ECA6"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A371B9"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4EA2BF"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C63960" w14:textId="77777777" w:rsidR="001C19F3" w:rsidRDefault="001C19F3" w:rsidP="00521305">
            <w:pPr>
              <w:spacing w:before="40" w:after="40"/>
              <w:ind w:left="100" w:right="100"/>
              <w:jc w:val="right"/>
            </w:pPr>
          </w:p>
        </w:tc>
      </w:tr>
      <w:tr w:rsidR="001C19F3" w14:paraId="05D9B24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5F0323"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0815C8" w14:textId="77777777" w:rsidR="001C19F3" w:rsidRDefault="001C19F3" w:rsidP="00521305">
            <w:pPr>
              <w:spacing w:before="40" w:after="40"/>
              <w:ind w:left="100" w:right="100"/>
              <w:jc w:val="center"/>
            </w:pPr>
            <w:r>
              <w:rPr>
                <w:rFonts w:eastAsia="Century Gothic" w:cs="Century Gothic"/>
                <w:color w:val="000000"/>
                <w:sz w:val="18"/>
                <w:szCs w:val="18"/>
              </w:rPr>
              <w:t>8 (0.4%)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858C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B16EFB"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7FB539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C3DCB2"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F65BA7"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26D7FC"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A388882" w14:textId="77777777" w:rsidR="001C19F3" w:rsidRDefault="001C19F3" w:rsidP="00521305">
            <w:pPr>
              <w:spacing w:after="0"/>
              <w:rPr>
                <w:sz w:val="22"/>
              </w:rPr>
            </w:pPr>
          </w:p>
        </w:tc>
      </w:tr>
      <w:tr w:rsidR="001C19F3" w14:paraId="0B72FBF8"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991979" w14:textId="77777777" w:rsidR="001C19F3" w:rsidRDefault="001C19F3" w:rsidP="00521305">
            <w:pPr>
              <w:spacing w:before="40" w:after="40"/>
              <w:ind w:left="100" w:right="100"/>
            </w:pPr>
            <w:r>
              <w:rPr>
                <w:rFonts w:eastAsia="Century Gothic" w:cs="Century Gothic"/>
                <w:b/>
                <w:color w:val="000000"/>
                <w:sz w:val="18"/>
                <w:szCs w:val="18"/>
              </w:rPr>
              <w:t>H13 I am confident that I can maintain lifestyle changes like diet and exercise even during times of stress (Q21)</w:t>
            </w:r>
          </w:p>
        </w:tc>
      </w:tr>
      <w:tr w:rsidR="001C19F3" w14:paraId="03242AC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3917BC" w14:textId="77777777" w:rsidR="001C19F3" w:rsidRDefault="001C19F3" w:rsidP="00521305">
            <w:pPr>
              <w:spacing w:before="40" w:after="40"/>
              <w:ind w:left="160" w:right="100"/>
            </w:pPr>
            <w:r>
              <w:rPr>
                <w:rFonts w:eastAsia="Century Gothic" w:cs="Century Gothic"/>
                <w:color w:val="000000"/>
                <w:sz w:val="18"/>
                <w:szCs w:val="18"/>
              </w:rPr>
              <w:t>Strongly 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505B72" w14:textId="77777777" w:rsidR="001C19F3" w:rsidRDefault="001C19F3" w:rsidP="00521305">
            <w:pPr>
              <w:spacing w:before="40" w:after="40"/>
              <w:ind w:left="100" w:right="100"/>
              <w:jc w:val="center"/>
            </w:pPr>
            <w:r>
              <w:rPr>
                <w:rFonts w:eastAsia="Century Gothic" w:cs="Century Gothic"/>
                <w:color w:val="000000"/>
                <w:sz w:val="18"/>
                <w:szCs w:val="18"/>
              </w:rPr>
              <w:t>58 (2.9%)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D0D737" w14:textId="77777777" w:rsidR="001C19F3" w:rsidRDefault="001C19F3" w:rsidP="00521305">
            <w:pPr>
              <w:spacing w:before="40" w:after="40"/>
              <w:ind w:left="100" w:right="100"/>
              <w:jc w:val="center"/>
            </w:pPr>
            <w:r>
              <w:rPr>
                <w:rFonts w:eastAsia="Century Gothic" w:cs="Century Gothic"/>
                <w:color w:val="000000"/>
                <w:sz w:val="18"/>
                <w:szCs w:val="18"/>
              </w:rPr>
              <w:t>18 (4.5%)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DD38AA" w14:textId="77777777" w:rsidR="001C19F3" w:rsidRDefault="001C19F3" w:rsidP="00521305">
            <w:pPr>
              <w:spacing w:before="40" w:after="40"/>
              <w:ind w:left="100" w:right="100"/>
              <w:jc w:val="center"/>
            </w:pPr>
            <w:r>
              <w:rPr>
                <w:rFonts w:eastAsia="Century Gothic" w:cs="Century Gothic"/>
                <w:color w:val="000000"/>
                <w:sz w:val="18"/>
                <w:szCs w:val="18"/>
              </w:rPr>
              <w:t>40 (2.6%)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D3A9E0" w14:textId="77777777" w:rsidR="001C19F3" w:rsidRDefault="001C19F3" w:rsidP="00521305">
            <w:pPr>
              <w:spacing w:before="40" w:after="40"/>
              <w:ind w:left="100" w:right="100"/>
              <w:jc w:val="center"/>
            </w:pPr>
            <w:r>
              <w:rPr>
                <w:rFonts w:eastAsia="Century Gothic" w:cs="Century Gothic"/>
                <w:color w:val="000000"/>
                <w:sz w:val="18"/>
                <w:szCs w:val="18"/>
              </w:rPr>
              <w:t>0.144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28C13A" w14:textId="77777777" w:rsidR="001C19F3" w:rsidRDefault="001C19F3" w:rsidP="00521305">
            <w:pPr>
              <w:spacing w:before="40" w:after="40"/>
              <w:ind w:left="100" w:right="100"/>
              <w:jc w:val="center"/>
            </w:pPr>
            <w:r>
              <w:rPr>
                <w:rFonts w:eastAsia="Century Gothic" w:cs="Century Gothic"/>
                <w:color w:val="000000"/>
                <w:sz w:val="18"/>
                <w:szCs w:val="18"/>
              </w:rPr>
              <w:t>44 (3.1%)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89B984" w14:textId="77777777" w:rsidR="001C19F3" w:rsidRDefault="001C19F3" w:rsidP="00521305">
            <w:pPr>
              <w:spacing w:before="40" w:after="40"/>
              <w:ind w:left="100" w:right="100"/>
              <w:jc w:val="right"/>
            </w:pPr>
            <w:r>
              <w:rPr>
                <w:rFonts w:eastAsia="Century Gothic" w:cs="Century Gothic"/>
                <w:color w:val="000000"/>
                <w:sz w:val="18"/>
                <w:szCs w:val="18"/>
              </w:rPr>
              <w:t>5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9EE8ED" w14:textId="77777777" w:rsidR="001C19F3" w:rsidRDefault="001C19F3" w:rsidP="00521305">
            <w:pPr>
              <w:spacing w:before="40" w:after="40"/>
              <w:ind w:left="100" w:right="100"/>
              <w:jc w:val="right"/>
            </w:pPr>
            <w:r>
              <w:rPr>
                <w:rFonts w:eastAsia="Century Gothic" w:cs="Century Gothic"/>
                <w:color w:val="000000"/>
                <w:sz w:val="18"/>
                <w:szCs w:val="18"/>
              </w:rPr>
              <w:t>9 (3.5%)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5A9C1F" w14:textId="77777777" w:rsidR="001C19F3" w:rsidRDefault="001C19F3" w:rsidP="00521305">
            <w:pPr>
              <w:spacing w:before="40" w:after="40"/>
              <w:ind w:left="100" w:right="100"/>
              <w:jc w:val="right"/>
            </w:pPr>
            <w:r>
              <w:rPr>
                <w:rFonts w:eastAsia="Century Gothic" w:cs="Century Gothic"/>
                <w:color w:val="000000"/>
                <w:sz w:val="18"/>
                <w:szCs w:val="18"/>
              </w:rPr>
              <w:t>0.361</w:t>
            </w:r>
          </w:p>
        </w:tc>
      </w:tr>
      <w:tr w:rsidR="001C19F3" w14:paraId="0AE6620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8AD6A3" w14:textId="77777777" w:rsidR="001C19F3" w:rsidRDefault="001C19F3" w:rsidP="00521305">
            <w:pPr>
              <w:spacing w:before="40" w:after="40"/>
              <w:ind w:left="160" w:right="100"/>
            </w:pPr>
            <w:r>
              <w:rPr>
                <w:rFonts w:eastAsia="Century Gothic" w:cs="Century Gothic"/>
                <w:color w:val="000000"/>
                <w:sz w:val="18"/>
                <w:szCs w:val="18"/>
              </w:rPr>
              <w:t>Disagree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58EEBA" w14:textId="77777777" w:rsidR="001C19F3" w:rsidRDefault="001C19F3" w:rsidP="00521305">
            <w:pPr>
              <w:spacing w:before="40" w:after="40"/>
              <w:ind w:left="100" w:right="100"/>
              <w:jc w:val="center"/>
            </w:pPr>
            <w:r>
              <w:rPr>
                <w:rFonts w:eastAsia="Century Gothic" w:cs="Century Gothic"/>
                <w:color w:val="000000"/>
                <w:sz w:val="18"/>
                <w:szCs w:val="18"/>
              </w:rPr>
              <w:t>276 (13.7%)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CB394C" w14:textId="77777777" w:rsidR="001C19F3" w:rsidRDefault="001C19F3" w:rsidP="00521305">
            <w:pPr>
              <w:spacing w:before="40" w:after="40"/>
              <w:ind w:left="100" w:right="100"/>
              <w:jc w:val="center"/>
            </w:pPr>
            <w:r>
              <w:rPr>
                <w:rFonts w:eastAsia="Century Gothic" w:cs="Century Gothic"/>
                <w:color w:val="000000"/>
                <w:sz w:val="18"/>
                <w:szCs w:val="18"/>
              </w:rPr>
              <w:t>50 (12.6%)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620FD3" w14:textId="77777777" w:rsidR="001C19F3" w:rsidRDefault="001C19F3" w:rsidP="00521305">
            <w:pPr>
              <w:spacing w:before="40" w:after="40"/>
              <w:ind w:left="100" w:right="100"/>
              <w:jc w:val="center"/>
            </w:pPr>
            <w:r>
              <w:rPr>
                <w:rFonts w:eastAsia="Century Gothic" w:cs="Century Gothic"/>
                <w:color w:val="000000"/>
                <w:sz w:val="18"/>
                <w:szCs w:val="18"/>
              </w:rPr>
              <w:t>226 (14.4%)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805C4C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59F54E" w14:textId="77777777" w:rsidR="001C19F3" w:rsidRDefault="001C19F3" w:rsidP="00521305">
            <w:pPr>
              <w:spacing w:before="40" w:after="40"/>
              <w:ind w:left="100" w:right="100"/>
              <w:jc w:val="center"/>
            </w:pPr>
            <w:r>
              <w:rPr>
                <w:rFonts w:eastAsia="Century Gothic" w:cs="Century Gothic"/>
                <w:color w:val="000000"/>
                <w:sz w:val="18"/>
                <w:szCs w:val="18"/>
              </w:rPr>
              <w:t>214 (14.9%)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249F55" w14:textId="77777777" w:rsidR="001C19F3" w:rsidRDefault="001C19F3" w:rsidP="00521305">
            <w:pPr>
              <w:spacing w:before="40" w:after="40"/>
              <w:ind w:left="100" w:right="100"/>
              <w:jc w:val="right"/>
            </w:pPr>
            <w:r>
              <w:rPr>
                <w:rFonts w:eastAsia="Century Gothic" w:cs="Century Gothic"/>
                <w:color w:val="000000"/>
                <w:sz w:val="18"/>
                <w:szCs w:val="18"/>
              </w:rPr>
              <w:t>29 (10.9%)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14C3C" w14:textId="77777777" w:rsidR="001C19F3" w:rsidRDefault="001C19F3" w:rsidP="00521305">
            <w:pPr>
              <w:spacing w:before="40" w:after="40"/>
              <w:ind w:left="100" w:right="100"/>
              <w:jc w:val="right"/>
            </w:pPr>
            <w:r>
              <w:rPr>
                <w:rFonts w:eastAsia="Century Gothic" w:cs="Century Gothic"/>
                <w:color w:val="000000"/>
                <w:sz w:val="18"/>
                <w:szCs w:val="18"/>
              </w:rPr>
              <w:t>33 (12.7%)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AD650CA" w14:textId="77777777" w:rsidR="001C19F3" w:rsidRDefault="001C19F3" w:rsidP="00521305">
            <w:pPr>
              <w:spacing w:after="0"/>
              <w:rPr>
                <w:sz w:val="22"/>
              </w:rPr>
            </w:pPr>
          </w:p>
        </w:tc>
      </w:tr>
      <w:tr w:rsidR="001C19F3" w14:paraId="00D7B4C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4B57C5" w14:textId="77777777" w:rsidR="001C19F3" w:rsidRDefault="001C19F3" w:rsidP="00521305">
            <w:pPr>
              <w:spacing w:before="40" w:after="40"/>
              <w:ind w:left="160" w:right="100"/>
            </w:pPr>
            <w:r>
              <w:rPr>
                <w:rFonts w:eastAsia="Century Gothic" w:cs="Century Gothic"/>
                <w:color w:val="000000"/>
                <w:sz w:val="18"/>
                <w:szCs w:val="18"/>
              </w:rPr>
              <w:lastRenderedPageBreak/>
              <w:t>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73075E" w14:textId="77777777" w:rsidR="001C19F3" w:rsidRDefault="001C19F3" w:rsidP="00521305">
            <w:pPr>
              <w:spacing w:before="40" w:after="40"/>
              <w:ind w:left="100" w:right="100"/>
              <w:jc w:val="center"/>
            </w:pPr>
            <w:r>
              <w:rPr>
                <w:rFonts w:eastAsia="Century Gothic" w:cs="Century Gothic"/>
                <w:color w:val="000000"/>
                <w:sz w:val="18"/>
                <w:szCs w:val="18"/>
              </w:rPr>
              <w:t>1,162 (57.6%)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EE8315" w14:textId="77777777" w:rsidR="001C19F3" w:rsidRDefault="001C19F3" w:rsidP="00521305">
            <w:pPr>
              <w:spacing w:before="40" w:after="40"/>
              <w:ind w:left="100" w:right="100"/>
              <w:jc w:val="center"/>
            </w:pPr>
            <w:r>
              <w:rPr>
                <w:rFonts w:eastAsia="Century Gothic" w:cs="Century Gothic"/>
                <w:color w:val="000000"/>
                <w:sz w:val="18"/>
                <w:szCs w:val="18"/>
              </w:rPr>
              <w:t>239 (60.4%)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277F9E" w14:textId="77777777" w:rsidR="001C19F3" w:rsidRDefault="001C19F3" w:rsidP="00521305">
            <w:pPr>
              <w:spacing w:before="40" w:after="40"/>
              <w:ind w:left="100" w:right="100"/>
              <w:jc w:val="center"/>
            </w:pPr>
            <w:r>
              <w:rPr>
                <w:rFonts w:eastAsia="Century Gothic" w:cs="Century Gothic"/>
                <w:color w:val="000000"/>
                <w:sz w:val="18"/>
                <w:szCs w:val="18"/>
              </w:rPr>
              <w:t>923 (58.9%)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65792B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A42070" w14:textId="77777777" w:rsidR="001C19F3" w:rsidRDefault="001C19F3" w:rsidP="00521305">
            <w:pPr>
              <w:spacing w:before="40" w:after="40"/>
              <w:ind w:left="100" w:right="100"/>
              <w:jc w:val="center"/>
            </w:pPr>
            <w:r>
              <w:rPr>
                <w:rFonts w:eastAsia="Century Gothic" w:cs="Century Gothic"/>
                <w:color w:val="000000"/>
                <w:sz w:val="18"/>
                <w:szCs w:val="18"/>
              </w:rPr>
              <w:t>834 (58.1%)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D5E1A" w14:textId="77777777" w:rsidR="001C19F3" w:rsidRDefault="001C19F3" w:rsidP="00521305">
            <w:pPr>
              <w:spacing w:before="40" w:after="40"/>
              <w:ind w:left="100" w:right="100"/>
              <w:jc w:val="right"/>
            </w:pPr>
            <w:r>
              <w:rPr>
                <w:rFonts w:eastAsia="Century Gothic" w:cs="Century Gothic"/>
                <w:color w:val="000000"/>
                <w:sz w:val="18"/>
                <w:szCs w:val="18"/>
              </w:rPr>
              <w:t>165 (61.8%)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8FD733" w14:textId="77777777" w:rsidR="001C19F3" w:rsidRDefault="001C19F3" w:rsidP="00521305">
            <w:pPr>
              <w:spacing w:before="40" w:after="40"/>
              <w:ind w:left="100" w:right="100"/>
              <w:jc w:val="right"/>
            </w:pPr>
            <w:r>
              <w:rPr>
                <w:rFonts w:eastAsia="Century Gothic" w:cs="Century Gothic"/>
                <w:color w:val="000000"/>
                <w:sz w:val="18"/>
                <w:szCs w:val="18"/>
              </w:rPr>
              <w:t>163 (62.7%)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03F8B81" w14:textId="77777777" w:rsidR="001C19F3" w:rsidRDefault="001C19F3" w:rsidP="00521305">
            <w:pPr>
              <w:spacing w:after="0"/>
              <w:rPr>
                <w:sz w:val="22"/>
              </w:rPr>
            </w:pPr>
          </w:p>
        </w:tc>
      </w:tr>
      <w:tr w:rsidR="001C19F3" w14:paraId="1BD49EB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3DD7E7" w14:textId="77777777" w:rsidR="001C19F3" w:rsidRDefault="001C19F3" w:rsidP="00521305">
            <w:pPr>
              <w:spacing w:before="40" w:after="40"/>
              <w:ind w:left="160" w:right="100"/>
            </w:pPr>
            <w:r>
              <w:rPr>
                <w:rFonts w:eastAsia="Century Gothic" w:cs="Century Gothic"/>
                <w:color w:val="000000"/>
                <w:sz w:val="18"/>
                <w:szCs w:val="18"/>
              </w:rPr>
              <w:t>Strongly agree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90B4ED" w14:textId="77777777" w:rsidR="001C19F3" w:rsidRDefault="001C19F3" w:rsidP="00521305">
            <w:pPr>
              <w:spacing w:before="40" w:after="40"/>
              <w:ind w:left="100" w:right="100"/>
              <w:jc w:val="center"/>
            </w:pPr>
            <w:r>
              <w:rPr>
                <w:rFonts w:eastAsia="Century Gothic" w:cs="Century Gothic"/>
                <w:color w:val="000000"/>
                <w:sz w:val="18"/>
                <w:szCs w:val="18"/>
              </w:rPr>
              <w:t>466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79BECB" w14:textId="77777777" w:rsidR="001C19F3" w:rsidRDefault="001C19F3" w:rsidP="00521305">
            <w:pPr>
              <w:spacing w:before="40" w:after="40"/>
              <w:ind w:left="100" w:right="100"/>
              <w:jc w:val="center"/>
            </w:pPr>
            <w:r>
              <w:rPr>
                <w:rFonts w:eastAsia="Century Gothic" w:cs="Century Gothic"/>
                <w:color w:val="000000"/>
                <w:sz w:val="18"/>
                <w:szCs w:val="18"/>
              </w:rPr>
              <w:t>89 (22.5%)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992B4A" w14:textId="77777777" w:rsidR="001C19F3" w:rsidRDefault="001C19F3" w:rsidP="00521305">
            <w:pPr>
              <w:spacing w:before="40" w:after="40"/>
              <w:ind w:left="100" w:right="100"/>
              <w:jc w:val="center"/>
            </w:pPr>
            <w:r>
              <w:rPr>
                <w:rFonts w:eastAsia="Century Gothic" w:cs="Century Gothic"/>
                <w:color w:val="000000"/>
                <w:sz w:val="18"/>
                <w:szCs w:val="18"/>
              </w:rPr>
              <w:t>377 (24.1%)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71EA2E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5C5CD8" w14:textId="77777777" w:rsidR="001C19F3" w:rsidRDefault="001C19F3" w:rsidP="00521305">
            <w:pPr>
              <w:spacing w:before="40" w:after="40"/>
              <w:ind w:left="100" w:right="100"/>
              <w:jc w:val="center"/>
            </w:pPr>
            <w:r>
              <w:rPr>
                <w:rFonts w:eastAsia="Century Gothic" w:cs="Century Gothic"/>
                <w:color w:val="000000"/>
                <w:sz w:val="18"/>
                <w:szCs w:val="18"/>
              </w:rPr>
              <w:t>343 (23.9%)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62BE02" w14:textId="77777777" w:rsidR="001C19F3" w:rsidRDefault="001C19F3" w:rsidP="00521305">
            <w:pPr>
              <w:spacing w:before="40" w:after="40"/>
              <w:ind w:left="100" w:right="100"/>
              <w:jc w:val="right"/>
            </w:pPr>
            <w:r>
              <w:rPr>
                <w:rFonts w:eastAsia="Century Gothic" w:cs="Century Gothic"/>
                <w:color w:val="000000"/>
                <w:sz w:val="18"/>
                <w:szCs w:val="18"/>
              </w:rPr>
              <w:t>68 (25.5%)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03003" w14:textId="77777777" w:rsidR="001C19F3" w:rsidRDefault="001C19F3" w:rsidP="00521305">
            <w:pPr>
              <w:spacing w:before="40" w:after="40"/>
              <w:ind w:left="100" w:right="100"/>
              <w:jc w:val="right"/>
            </w:pPr>
            <w:r>
              <w:rPr>
                <w:rFonts w:eastAsia="Century Gothic" w:cs="Century Gothic"/>
                <w:color w:val="000000"/>
                <w:sz w:val="18"/>
                <w:szCs w:val="18"/>
              </w:rPr>
              <w:t>55 (21.2%)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DEC266" w14:textId="77777777" w:rsidR="001C19F3" w:rsidRDefault="001C19F3" w:rsidP="00521305">
            <w:pPr>
              <w:spacing w:after="0"/>
              <w:rPr>
                <w:sz w:val="22"/>
              </w:rPr>
            </w:pPr>
          </w:p>
        </w:tc>
      </w:tr>
      <w:tr w:rsidR="001C19F3" w14:paraId="1F8D5BE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D8CBC2" w14:textId="77777777" w:rsidR="001C19F3" w:rsidRDefault="001C19F3" w:rsidP="00521305">
            <w:pPr>
              <w:spacing w:before="40" w:after="40"/>
              <w:ind w:left="160" w:right="100"/>
            </w:pPr>
            <w:r>
              <w:rPr>
                <w:rFonts w:eastAsia="Century Gothic" w:cs="Century Gothic"/>
                <w:color w:val="000000"/>
                <w:sz w:val="18"/>
                <w:szCs w:val="18"/>
              </w:rPr>
              <w:t>Don't know</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0DBB0E" w14:textId="77777777" w:rsidR="001C19F3" w:rsidRDefault="001C19F3" w:rsidP="00521305">
            <w:pPr>
              <w:spacing w:before="40" w:after="40"/>
              <w:ind w:left="100" w:right="100"/>
              <w:jc w:val="center"/>
            </w:pPr>
            <w:r>
              <w:rPr>
                <w:rFonts w:eastAsia="Century Gothic" w:cs="Century Gothic"/>
                <w:color w:val="000000"/>
                <w:sz w:val="18"/>
                <w:szCs w:val="18"/>
              </w:rPr>
              <w:t>49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CDB8F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CB984" w14:textId="77777777" w:rsidR="001C19F3" w:rsidRDefault="001C19F3" w:rsidP="00521305">
            <w:pPr>
              <w:spacing w:before="40" w:after="40"/>
              <w:ind w:left="100" w:right="100"/>
              <w:jc w:val="center"/>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A5A6C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FB6E51"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C3ED58"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753397" w14:textId="77777777" w:rsidR="001C19F3" w:rsidRDefault="001C19F3" w:rsidP="00521305">
            <w:pPr>
              <w:spacing w:before="40" w:after="40"/>
              <w:ind w:left="100" w:right="100"/>
              <w:jc w:val="right"/>
            </w:pP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4913E7" w14:textId="77777777" w:rsidR="001C19F3" w:rsidRDefault="001C19F3" w:rsidP="00521305">
            <w:pPr>
              <w:spacing w:before="40" w:after="40"/>
              <w:ind w:left="100" w:right="100"/>
              <w:jc w:val="right"/>
            </w:pPr>
          </w:p>
        </w:tc>
      </w:tr>
      <w:tr w:rsidR="001C19F3" w14:paraId="1E22182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0BCF11" w14:textId="77777777" w:rsidR="001C19F3" w:rsidRDefault="001C19F3" w:rsidP="00521305">
            <w:pPr>
              <w:spacing w:before="40" w:after="40"/>
              <w:ind w:left="160" w:right="100"/>
            </w:pPr>
            <w:r>
              <w:rPr>
                <w:rFonts w:eastAsia="Century Gothic" w:cs="Century Gothic"/>
                <w:color w:val="000000"/>
                <w:sz w:val="18"/>
                <w:szCs w:val="18"/>
              </w:rPr>
              <w:t>Refused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13755A" w14:textId="77777777" w:rsidR="001C19F3" w:rsidRDefault="001C19F3" w:rsidP="00521305">
            <w:pPr>
              <w:spacing w:before="40" w:after="40"/>
              <w:ind w:left="100" w:right="100"/>
              <w:jc w:val="center"/>
            </w:pPr>
            <w:r>
              <w:rPr>
                <w:rFonts w:eastAsia="Century Gothic" w:cs="Century Gothic"/>
                <w:color w:val="000000"/>
                <w:sz w:val="18"/>
                <w:szCs w:val="18"/>
              </w:rPr>
              <w:t>7 (0.3%)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89BDB0"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3EC10F" w14:textId="77777777" w:rsidR="001C19F3" w:rsidRDefault="001C19F3" w:rsidP="00521305">
            <w:pPr>
              <w:spacing w:before="40" w:after="40"/>
              <w:ind w:left="100" w:right="100"/>
              <w:jc w:val="cente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F81382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546353" w14:textId="77777777" w:rsidR="001C19F3" w:rsidRDefault="001C19F3" w:rsidP="00521305">
            <w:pPr>
              <w:spacing w:before="40" w:after="40"/>
              <w:ind w:left="100" w:right="100"/>
              <w:jc w:val="cente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73263E" w14:textId="77777777" w:rsidR="001C19F3" w:rsidRDefault="001C19F3" w:rsidP="00521305">
            <w:pPr>
              <w:spacing w:before="40" w:after="40"/>
              <w:ind w:left="100" w:right="100"/>
              <w:jc w:val="right"/>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8EF01D" w14:textId="77777777" w:rsidR="001C19F3" w:rsidRDefault="001C19F3" w:rsidP="00521305">
            <w:pPr>
              <w:spacing w:before="40" w:after="40"/>
              <w:ind w:left="100" w:right="100"/>
              <w:jc w:val="right"/>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99E6F57" w14:textId="77777777" w:rsidR="001C19F3" w:rsidRDefault="001C19F3" w:rsidP="00521305">
            <w:pPr>
              <w:spacing w:after="0"/>
              <w:rPr>
                <w:sz w:val="22"/>
              </w:rPr>
            </w:pPr>
          </w:p>
        </w:tc>
      </w:tr>
      <w:tr w:rsidR="001C19F3" w14:paraId="12D25A8F"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063956" w14:textId="77777777" w:rsidR="001C19F3" w:rsidRDefault="001C19F3" w:rsidP="00521305">
            <w:pPr>
              <w:spacing w:before="40" w:after="40"/>
              <w:ind w:left="100" w:right="100"/>
            </w:pPr>
            <w:r>
              <w:rPr>
                <w:rFonts w:eastAsia="Century Gothic" w:cs="Century Gothic"/>
                <w:b/>
                <w:color w:val="000000"/>
                <w:sz w:val="18"/>
                <w:szCs w:val="18"/>
              </w:rPr>
              <w:t>H14 PAM level</w:t>
            </w:r>
          </w:p>
        </w:tc>
      </w:tr>
      <w:tr w:rsidR="001C19F3" w14:paraId="01BAD88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E8C9E9" w14:textId="77777777" w:rsidR="001C19F3" w:rsidRDefault="001C19F3" w:rsidP="00521305">
            <w:pPr>
              <w:spacing w:before="40" w:after="40"/>
              <w:ind w:left="160" w:right="100"/>
            </w:pPr>
            <w:r>
              <w:rPr>
                <w:rFonts w:eastAsia="Century Gothic" w:cs="Century Gothic"/>
                <w:color w:val="000000"/>
                <w:sz w:val="18"/>
                <w:szCs w:val="18"/>
              </w:rPr>
              <w:t>Disengaged and overwhelmed</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96BEB2" w14:textId="77777777" w:rsidR="001C19F3" w:rsidRDefault="001C19F3" w:rsidP="00521305">
            <w:pPr>
              <w:spacing w:before="40" w:after="40"/>
              <w:ind w:left="100" w:right="100"/>
              <w:jc w:val="center"/>
            </w:pPr>
            <w:r>
              <w:rPr>
                <w:rFonts w:eastAsia="Century Gothic" w:cs="Century Gothic"/>
                <w:color w:val="000000"/>
                <w:sz w:val="18"/>
                <w:szCs w:val="18"/>
              </w:rPr>
              <w:t>111 (5.5%)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1E7E58" w14:textId="77777777" w:rsidR="001C19F3" w:rsidRDefault="001C19F3" w:rsidP="00521305">
            <w:pPr>
              <w:spacing w:before="40" w:after="40"/>
              <w:ind w:left="100" w:right="100"/>
              <w:jc w:val="center"/>
            </w:pPr>
            <w:r>
              <w:rPr>
                <w:rFonts w:eastAsia="Century Gothic" w:cs="Century Gothic"/>
                <w:color w:val="000000"/>
                <w:sz w:val="18"/>
                <w:szCs w:val="18"/>
              </w:rPr>
              <w:t>34 (8.2%)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E1BAFA" w14:textId="77777777" w:rsidR="001C19F3" w:rsidRDefault="001C19F3" w:rsidP="00521305">
            <w:pPr>
              <w:spacing w:before="40" w:after="40"/>
              <w:ind w:left="100" w:right="100"/>
              <w:jc w:val="center"/>
            </w:pPr>
            <w:r>
              <w:rPr>
                <w:rFonts w:eastAsia="Century Gothic" w:cs="Century Gothic"/>
                <w:color w:val="000000"/>
                <w:sz w:val="18"/>
                <w:szCs w:val="18"/>
              </w:rPr>
              <w:t>77 (4.8%)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CEEDD2" w14:textId="77777777" w:rsidR="001C19F3" w:rsidRDefault="001C19F3" w:rsidP="00521305">
            <w:pPr>
              <w:spacing w:before="40" w:after="40"/>
              <w:ind w:left="100" w:right="100"/>
              <w:jc w:val="center"/>
            </w:pPr>
            <w:r>
              <w:rPr>
                <w:rFonts w:eastAsia="Century Gothic" w:cs="Century Gothic"/>
                <w:color w:val="000000"/>
                <w:sz w:val="18"/>
                <w:szCs w:val="18"/>
              </w:rPr>
              <w: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868BCD" w14:textId="77777777" w:rsidR="001C19F3" w:rsidRDefault="001C19F3" w:rsidP="00521305">
            <w:pPr>
              <w:spacing w:before="40" w:after="40"/>
              <w:ind w:left="100" w:right="100"/>
              <w:jc w:val="center"/>
            </w:pPr>
            <w:r>
              <w:rPr>
                <w:rFonts w:eastAsia="Century Gothic" w:cs="Century Gothic"/>
                <w:color w:val="000000"/>
                <w:sz w:val="18"/>
                <w:szCs w:val="18"/>
              </w:rPr>
              <w:t>86 (5.8%)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ADEA47" w14:textId="77777777" w:rsidR="001C19F3" w:rsidRDefault="001C19F3" w:rsidP="00521305">
            <w:pPr>
              <w:spacing w:before="40" w:after="40"/>
              <w:ind w:left="100" w:right="100"/>
              <w:jc w:val="right"/>
            </w:pPr>
            <w:r>
              <w:rPr>
                <w:rFonts w:eastAsia="Century Gothic" w:cs="Century Gothic"/>
                <w:color w:val="000000"/>
                <w:sz w:val="18"/>
                <w:szCs w:val="18"/>
              </w:rPr>
              <w:t>11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015F1D" w14:textId="77777777" w:rsidR="001C19F3" w:rsidRDefault="001C19F3" w:rsidP="00521305">
            <w:pPr>
              <w:spacing w:before="40" w:after="40"/>
              <w:ind w:left="100" w:right="100"/>
              <w:jc w:val="right"/>
            </w:pPr>
            <w:r>
              <w:rPr>
                <w:rFonts w:eastAsia="Century Gothic" w:cs="Century Gothic"/>
                <w:color w:val="000000"/>
                <w:sz w:val="18"/>
                <w:szCs w:val="18"/>
              </w:rPr>
              <w:t>14 (5.3%)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AAB3A6" w14:textId="77777777" w:rsidR="001C19F3" w:rsidRDefault="001C19F3" w:rsidP="00521305">
            <w:pPr>
              <w:spacing w:before="40" w:after="40"/>
              <w:ind w:left="100" w:right="100"/>
              <w:jc w:val="right"/>
            </w:pPr>
            <w:r>
              <w:rPr>
                <w:rFonts w:eastAsia="Century Gothic" w:cs="Century Gothic"/>
                <w:color w:val="000000"/>
                <w:sz w:val="18"/>
                <w:szCs w:val="18"/>
              </w:rPr>
              <w:t>0.463</w:t>
            </w:r>
          </w:p>
        </w:tc>
      </w:tr>
      <w:tr w:rsidR="001C19F3" w14:paraId="3877CC1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1151D6" w14:textId="77777777" w:rsidR="001C19F3" w:rsidRDefault="001C19F3" w:rsidP="00521305">
            <w:pPr>
              <w:spacing w:before="40" w:after="40"/>
              <w:ind w:left="160" w:right="100"/>
            </w:pPr>
            <w:r>
              <w:rPr>
                <w:rFonts w:eastAsia="Century Gothic" w:cs="Century Gothic"/>
                <w:color w:val="000000"/>
                <w:sz w:val="18"/>
                <w:szCs w:val="18"/>
              </w:rPr>
              <w:t>Becoming aware but still struggling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D71AF" w14:textId="77777777" w:rsidR="001C19F3" w:rsidRDefault="001C19F3" w:rsidP="00521305">
            <w:pPr>
              <w:spacing w:before="40" w:after="40"/>
              <w:ind w:left="100" w:right="100"/>
              <w:jc w:val="center"/>
            </w:pPr>
            <w:r>
              <w:rPr>
                <w:rFonts w:eastAsia="Century Gothic" w:cs="Century Gothic"/>
                <w:color w:val="000000"/>
                <w:sz w:val="18"/>
                <w:szCs w:val="18"/>
              </w:rPr>
              <w:t>393 (19.5%)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F298E" w14:textId="77777777" w:rsidR="001C19F3" w:rsidRDefault="001C19F3" w:rsidP="00521305">
            <w:pPr>
              <w:spacing w:before="40" w:after="40"/>
              <w:ind w:left="100" w:right="100"/>
              <w:jc w:val="center"/>
            </w:pPr>
            <w:r>
              <w:rPr>
                <w:rFonts w:eastAsia="Century Gothic" w:cs="Century Gothic"/>
                <w:color w:val="000000"/>
                <w:sz w:val="18"/>
                <w:szCs w:val="18"/>
              </w:rPr>
              <w:t>76 (18.3%)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6A0466" w14:textId="77777777" w:rsidR="001C19F3" w:rsidRDefault="001C19F3" w:rsidP="00521305">
            <w:pPr>
              <w:spacing w:before="40" w:after="40"/>
              <w:ind w:left="100" w:right="100"/>
              <w:jc w:val="center"/>
            </w:pPr>
            <w:r>
              <w:rPr>
                <w:rFonts w:eastAsia="Century Gothic" w:cs="Century Gothic"/>
                <w:color w:val="000000"/>
                <w:sz w:val="18"/>
                <w:szCs w:val="18"/>
              </w:rPr>
              <w:t>317 (19.8%)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937B8C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B7E67C" w14:textId="77777777" w:rsidR="001C19F3" w:rsidRDefault="001C19F3" w:rsidP="00521305">
            <w:pPr>
              <w:spacing w:before="40" w:after="40"/>
              <w:ind w:left="100" w:right="100"/>
              <w:jc w:val="center"/>
            </w:pPr>
            <w:r>
              <w:rPr>
                <w:rFonts w:eastAsia="Century Gothic" w:cs="Century Gothic"/>
                <w:color w:val="000000"/>
                <w:sz w:val="18"/>
                <w:szCs w:val="18"/>
              </w:rPr>
              <w:t>280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11EE21" w14:textId="77777777" w:rsidR="001C19F3" w:rsidRDefault="001C19F3" w:rsidP="00521305">
            <w:pPr>
              <w:spacing w:before="40" w:after="40"/>
              <w:ind w:left="100" w:right="100"/>
              <w:jc w:val="right"/>
            </w:pPr>
            <w:r>
              <w:rPr>
                <w:rFonts w:eastAsia="Century Gothic" w:cs="Century Gothic"/>
                <w:color w:val="000000"/>
                <w:sz w:val="18"/>
                <w:szCs w:val="18"/>
              </w:rPr>
              <w:t>51 (18.6%)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91B9D" w14:textId="77777777" w:rsidR="001C19F3" w:rsidRDefault="001C19F3" w:rsidP="00521305">
            <w:pPr>
              <w:spacing w:before="40" w:after="40"/>
              <w:ind w:left="100" w:right="100"/>
              <w:jc w:val="right"/>
            </w:pPr>
            <w:r>
              <w:rPr>
                <w:rFonts w:eastAsia="Century Gothic" w:cs="Century Gothic"/>
                <w:color w:val="000000"/>
                <w:sz w:val="18"/>
                <w:szCs w:val="18"/>
              </w:rPr>
              <w:t>62 (23.4%)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2D535A5" w14:textId="77777777" w:rsidR="001C19F3" w:rsidRDefault="001C19F3" w:rsidP="00521305">
            <w:pPr>
              <w:spacing w:after="0"/>
              <w:rPr>
                <w:sz w:val="22"/>
              </w:rPr>
            </w:pPr>
          </w:p>
        </w:tc>
      </w:tr>
      <w:tr w:rsidR="001C19F3" w14:paraId="503F142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D5D54" w14:textId="77777777" w:rsidR="001C19F3" w:rsidRDefault="001C19F3" w:rsidP="00521305">
            <w:pPr>
              <w:spacing w:before="40" w:after="40"/>
              <w:ind w:left="160" w:right="100"/>
            </w:pPr>
            <w:r>
              <w:rPr>
                <w:rFonts w:eastAsia="Century Gothic" w:cs="Century Gothic"/>
                <w:color w:val="000000"/>
                <w:sz w:val="18"/>
                <w:szCs w:val="18"/>
              </w:rPr>
              <w:t>Taking action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524A96" w14:textId="77777777" w:rsidR="001C19F3" w:rsidRDefault="001C19F3" w:rsidP="00521305">
            <w:pPr>
              <w:spacing w:before="40" w:after="40"/>
              <w:ind w:left="100" w:right="100"/>
              <w:jc w:val="center"/>
            </w:pPr>
            <w:r>
              <w:rPr>
                <w:rFonts w:eastAsia="Century Gothic" w:cs="Century Gothic"/>
                <w:color w:val="000000"/>
                <w:sz w:val="18"/>
                <w:szCs w:val="18"/>
              </w:rPr>
              <w:t>825 (40.9%)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044BFC" w14:textId="77777777" w:rsidR="001C19F3" w:rsidRDefault="001C19F3" w:rsidP="00521305">
            <w:pPr>
              <w:spacing w:before="40" w:after="40"/>
              <w:ind w:left="100" w:right="100"/>
              <w:jc w:val="center"/>
            </w:pPr>
            <w:r>
              <w:rPr>
                <w:rFonts w:eastAsia="Century Gothic" w:cs="Century Gothic"/>
                <w:color w:val="000000"/>
                <w:sz w:val="18"/>
                <w:szCs w:val="18"/>
              </w:rPr>
              <w:t>189 (45.4%)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E3E72D" w14:textId="77777777" w:rsidR="001C19F3" w:rsidRDefault="001C19F3" w:rsidP="00521305">
            <w:pPr>
              <w:spacing w:before="40" w:after="40"/>
              <w:ind w:left="100" w:right="100"/>
              <w:jc w:val="center"/>
            </w:pPr>
            <w:r>
              <w:rPr>
                <w:rFonts w:eastAsia="Century Gothic" w:cs="Century Gothic"/>
                <w:color w:val="000000"/>
                <w:sz w:val="18"/>
                <w:szCs w:val="18"/>
              </w:rPr>
              <w:t>636 (39.7%)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E28810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EA3DDC" w14:textId="77777777" w:rsidR="001C19F3" w:rsidRDefault="001C19F3" w:rsidP="00521305">
            <w:pPr>
              <w:spacing w:before="40" w:after="40"/>
              <w:ind w:left="100" w:right="100"/>
              <w:jc w:val="center"/>
            </w:pPr>
            <w:r>
              <w:rPr>
                <w:rFonts w:eastAsia="Century Gothic" w:cs="Century Gothic"/>
                <w:color w:val="000000"/>
                <w:sz w:val="18"/>
                <w:szCs w:val="18"/>
              </w:rPr>
              <w:t>601 (40.6%)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53FEBB" w14:textId="77777777" w:rsidR="001C19F3" w:rsidRDefault="001C19F3" w:rsidP="00521305">
            <w:pPr>
              <w:spacing w:before="40" w:after="40"/>
              <w:ind w:left="100" w:right="100"/>
              <w:jc w:val="right"/>
            </w:pPr>
            <w:r>
              <w:rPr>
                <w:rFonts w:eastAsia="Century Gothic" w:cs="Century Gothic"/>
                <w:color w:val="000000"/>
                <w:sz w:val="18"/>
                <w:szCs w:val="18"/>
              </w:rPr>
              <w:t>114 (41.6%)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6035A9" w14:textId="77777777" w:rsidR="001C19F3" w:rsidRDefault="001C19F3" w:rsidP="00521305">
            <w:pPr>
              <w:spacing w:before="40" w:after="40"/>
              <w:ind w:left="100" w:right="100"/>
              <w:jc w:val="right"/>
            </w:pPr>
            <w:r>
              <w:rPr>
                <w:rFonts w:eastAsia="Century Gothic" w:cs="Century Gothic"/>
                <w:color w:val="000000"/>
                <w:sz w:val="18"/>
                <w:szCs w:val="18"/>
              </w:rPr>
              <w:t>110 (41.5%)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9F7532F" w14:textId="77777777" w:rsidR="001C19F3" w:rsidRDefault="001C19F3" w:rsidP="00521305">
            <w:pPr>
              <w:spacing w:after="0"/>
              <w:rPr>
                <w:sz w:val="22"/>
              </w:rPr>
            </w:pPr>
          </w:p>
        </w:tc>
      </w:tr>
      <w:tr w:rsidR="001C19F3" w14:paraId="4FCE8A7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F51375" w14:textId="77777777" w:rsidR="001C19F3" w:rsidRDefault="001C19F3" w:rsidP="00521305">
            <w:pPr>
              <w:spacing w:before="40" w:after="40"/>
              <w:ind w:left="160" w:right="100"/>
            </w:pPr>
            <w:r>
              <w:rPr>
                <w:rFonts w:eastAsia="Century Gothic" w:cs="Century Gothic"/>
                <w:color w:val="000000"/>
                <w:sz w:val="18"/>
                <w:szCs w:val="18"/>
              </w:rPr>
              <w:t>Maintaining behaviours and pushing further</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F82993" w14:textId="77777777" w:rsidR="001C19F3" w:rsidRDefault="001C19F3" w:rsidP="00521305">
            <w:pPr>
              <w:spacing w:before="40" w:after="40"/>
              <w:ind w:left="100" w:right="100"/>
              <w:jc w:val="center"/>
            </w:pPr>
            <w:r>
              <w:rPr>
                <w:rFonts w:eastAsia="Century Gothic" w:cs="Century Gothic"/>
                <w:color w:val="000000"/>
                <w:sz w:val="18"/>
                <w:szCs w:val="18"/>
              </w:rPr>
              <w:t>689 (34.1%)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5FBD79" w14:textId="77777777" w:rsidR="001C19F3" w:rsidRDefault="001C19F3" w:rsidP="00521305">
            <w:pPr>
              <w:spacing w:before="40" w:after="40"/>
              <w:ind w:left="100" w:right="100"/>
              <w:jc w:val="center"/>
            </w:pPr>
            <w:r>
              <w:rPr>
                <w:rFonts w:eastAsia="Century Gothic" w:cs="Century Gothic"/>
                <w:color w:val="000000"/>
                <w:sz w:val="18"/>
                <w:szCs w:val="18"/>
              </w:rPr>
              <w:t>117 (28.1%)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F4B954" w14:textId="77777777" w:rsidR="001C19F3" w:rsidRDefault="001C19F3" w:rsidP="00521305">
            <w:pPr>
              <w:spacing w:before="40" w:after="40"/>
              <w:ind w:left="100" w:right="100"/>
              <w:jc w:val="center"/>
            </w:pPr>
            <w:r>
              <w:rPr>
                <w:rFonts w:eastAsia="Century Gothic" w:cs="Century Gothic"/>
                <w:color w:val="000000"/>
                <w:sz w:val="18"/>
                <w:szCs w:val="18"/>
              </w:rPr>
              <w:t>572 (35.7%)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376945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25E316" w14:textId="77777777" w:rsidR="001C19F3" w:rsidRDefault="001C19F3" w:rsidP="00521305">
            <w:pPr>
              <w:spacing w:before="40" w:after="40"/>
              <w:ind w:left="100" w:right="100"/>
              <w:jc w:val="center"/>
            </w:pPr>
            <w:r>
              <w:rPr>
                <w:rFonts w:eastAsia="Century Gothic" w:cs="Century Gothic"/>
                <w:color w:val="000000"/>
                <w:sz w:val="18"/>
                <w:szCs w:val="18"/>
              </w:rPr>
              <w:t>512 (34.6%)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85AB25" w14:textId="77777777" w:rsidR="001C19F3" w:rsidRDefault="001C19F3" w:rsidP="00521305">
            <w:pPr>
              <w:spacing w:before="40" w:after="40"/>
              <w:ind w:left="100" w:right="100"/>
              <w:jc w:val="right"/>
            </w:pPr>
            <w:r>
              <w:rPr>
                <w:rFonts w:eastAsia="Century Gothic" w:cs="Century Gothic"/>
                <w:color w:val="000000"/>
                <w:sz w:val="18"/>
                <w:szCs w:val="18"/>
              </w:rPr>
              <w:t>98 (35.8%)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03705A" w14:textId="77777777" w:rsidR="001C19F3" w:rsidRDefault="001C19F3" w:rsidP="00521305">
            <w:pPr>
              <w:spacing w:before="40" w:after="40"/>
              <w:ind w:left="100" w:right="100"/>
              <w:jc w:val="right"/>
            </w:pPr>
            <w:r>
              <w:rPr>
                <w:rFonts w:eastAsia="Century Gothic" w:cs="Century Gothic"/>
                <w:color w:val="000000"/>
                <w:sz w:val="18"/>
                <w:szCs w:val="18"/>
              </w:rPr>
              <w:t>79 (29.8%)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0F9F23B" w14:textId="77777777" w:rsidR="001C19F3" w:rsidRDefault="001C19F3" w:rsidP="00521305">
            <w:pPr>
              <w:spacing w:after="0"/>
              <w:rPr>
                <w:sz w:val="22"/>
              </w:rPr>
            </w:pPr>
          </w:p>
        </w:tc>
      </w:tr>
      <w:tr w:rsidR="001C19F3" w14:paraId="414C7D5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A3BB12" w14:textId="77777777" w:rsidR="001C19F3" w:rsidRDefault="001C19F3" w:rsidP="00521305">
            <w:pPr>
              <w:spacing w:before="40" w:after="40"/>
              <w:ind w:left="100" w:right="100"/>
            </w:pPr>
            <w:r>
              <w:rPr>
                <w:rFonts w:eastAsia="Century Gothic" w:cs="Century Gothic"/>
                <w:b/>
                <w:color w:val="000000"/>
                <w:sz w:val="18"/>
                <w:szCs w:val="18"/>
              </w:rPr>
              <w:t>H14 Total score (PAM)</w:t>
            </w:r>
          </w:p>
        </w:tc>
      </w:tr>
      <w:tr w:rsidR="001C19F3" w14:paraId="1A5445B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70C68D"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7DCA31" w14:textId="77777777" w:rsidR="001C19F3" w:rsidRDefault="001C19F3" w:rsidP="00521305">
            <w:pPr>
              <w:spacing w:before="40" w:after="40"/>
              <w:ind w:left="100" w:right="100"/>
              <w:jc w:val="center"/>
            </w:pPr>
            <w:r>
              <w:rPr>
                <w:rFonts w:cs="Century Gothic"/>
                <w:color w:val="000000"/>
                <w:sz w:val="18"/>
                <w:szCs w:val="18"/>
              </w:rPr>
              <w:t>66 (66)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C291C4" w14:textId="77777777" w:rsidR="001C19F3" w:rsidRDefault="001C19F3" w:rsidP="00521305">
            <w:pPr>
              <w:spacing w:before="40" w:after="40"/>
              <w:ind w:left="100" w:right="100"/>
              <w:jc w:val="center"/>
            </w:pPr>
            <w:r>
              <w:rPr>
                <w:rFonts w:cs="Century Gothic"/>
                <w:color w:val="000000"/>
                <w:sz w:val="18"/>
                <w:szCs w:val="18"/>
              </w:rPr>
              <w:t>64 (63)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5EEF7C" w14:textId="77777777" w:rsidR="001C19F3" w:rsidRDefault="001C19F3" w:rsidP="00521305">
            <w:pPr>
              <w:spacing w:before="40" w:after="40"/>
              <w:ind w:left="100" w:right="100"/>
              <w:jc w:val="center"/>
            </w:pPr>
            <w:r>
              <w:rPr>
                <w:rFonts w:cs="Century Gothic"/>
                <w:color w:val="000000"/>
                <w:sz w:val="18"/>
                <w:szCs w:val="18"/>
              </w:rPr>
              <w:t>67 (66)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163572" w14:textId="77777777" w:rsidR="001C19F3" w:rsidRDefault="001C19F3" w:rsidP="00521305">
            <w:pPr>
              <w:spacing w:before="40" w:after="40"/>
              <w:ind w:left="100" w:right="100"/>
              <w:jc w:val="center"/>
            </w:pPr>
            <w:r>
              <w:rPr>
                <w:rFonts w:cs="Century Gothic"/>
                <w:color w:val="000000"/>
                <w:sz w:val="18"/>
                <w:szCs w:val="18"/>
              </w:rPr>
              <w:t>0.008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0D489C" w14:textId="77777777" w:rsidR="001C19F3" w:rsidRDefault="001C19F3" w:rsidP="00521305">
            <w:pPr>
              <w:spacing w:before="40" w:after="40"/>
              <w:ind w:left="100" w:right="100"/>
              <w:jc w:val="center"/>
            </w:pPr>
            <w:r>
              <w:rPr>
                <w:rFonts w:cs="Century Gothic"/>
                <w:color w:val="000000"/>
                <w:sz w:val="18"/>
                <w:szCs w:val="18"/>
              </w:rPr>
              <w:t>66 (66)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A73542" w14:textId="77777777" w:rsidR="001C19F3" w:rsidRDefault="001C19F3" w:rsidP="00521305">
            <w:pPr>
              <w:spacing w:before="40" w:after="40"/>
              <w:ind w:left="100" w:right="100"/>
              <w:jc w:val="right"/>
            </w:pPr>
            <w:r>
              <w:rPr>
                <w:rFonts w:cs="Century Gothic"/>
                <w:color w:val="000000"/>
                <w:sz w:val="18"/>
                <w:szCs w:val="18"/>
              </w:rPr>
              <w:t>67 (66)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B2DB60" w14:textId="77777777" w:rsidR="001C19F3" w:rsidRDefault="001C19F3" w:rsidP="00521305">
            <w:pPr>
              <w:spacing w:before="40" w:after="40"/>
              <w:ind w:left="100" w:right="100"/>
              <w:jc w:val="right"/>
            </w:pPr>
            <w:r>
              <w:rPr>
                <w:rFonts w:cs="Century Gothic"/>
                <w:color w:val="000000"/>
                <w:sz w:val="18"/>
                <w:szCs w:val="18"/>
              </w:rPr>
              <w:t>65 (63)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96C6C6" w14:textId="77777777" w:rsidR="001C19F3" w:rsidRDefault="001C19F3" w:rsidP="00521305">
            <w:pPr>
              <w:spacing w:before="40" w:after="40"/>
              <w:ind w:left="100" w:right="100"/>
              <w:jc w:val="right"/>
            </w:pPr>
            <w:r>
              <w:rPr>
                <w:rFonts w:cs="Century Gothic"/>
                <w:color w:val="000000"/>
                <w:sz w:val="18"/>
                <w:szCs w:val="18"/>
              </w:rPr>
              <w:t>0.106</w:t>
            </w:r>
          </w:p>
        </w:tc>
      </w:tr>
      <w:tr w:rsidR="001C19F3" w14:paraId="282D3EE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024DC6"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6E80CB"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F4FB9C0"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95B19A"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CB12E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A1C77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6F175C"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DFF9D7"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8089A4" w14:textId="77777777" w:rsidR="001C19F3" w:rsidRDefault="001C19F3" w:rsidP="00521305">
            <w:pPr>
              <w:spacing w:before="40" w:after="40"/>
              <w:ind w:left="100" w:right="100"/>
              <w:jc w:val="right"/>
              <w:rPr>
                <w:rFonts w:eastAsia="Century Gothic" w:cs="Century Gothic"/>
                <w:color w:val="000000"/>
                <w:sz w:val="18"/>
                <w:szCs w:val="18"/>
              </w:rPr>
            </w:pPr>
          </w:p>
        </w:tc>
      </w:tr>
    </w:tbl>
    <w:p w14:paraId="6AD40EF1" w14:textId="77777777" w:rsidR="001C19F3" w:rsidRDefault="001C19F3" w:rsidP="001C19F3">
      <w:pPr>
        <w:pStyle w:val="Chartortablefootnote"/>
      </w:pPr>
      <w:r>
        <w:t>Source: CATI surveys conducted by The Social Research Centre between December 2017 and March 2019.</w:t>
      </w:r>
    </w:p>
    <w:p w14:paraId="644E35A0" w14:textId="77777777" w:rsidR="001C19F3" w:rsidRDefault="001C19F3" w:rsidP="001C19F3">
      <w:pPr>
        <w:spacing w:after="160" w:line="259" w:lineRule="auto"/>
        <w:rPr>
          <w:i/>
          <w:sz w:val="16"/>
          <w:szCs w:val="18"/>
        </w:rPr>
      </w:pPr>
      <w:r>
        <w:br w:type="page"/>
      </w:r>
    </w:p>
    <w:p w14:paraId="276C218E" w14:textId="77777777" w:rsidR="001C19F3" w:rsidRDefault="001C19F3" w:rsidP="001C19F3">
      <w:pPr>
        <w:pStyle w:val="Caption1"/>
      </w:pPr>
      <w:r>
        <w:lastRenderedPageBreak/>
        <w:t xml:space="preserve">Table </w:t>
      </w:r>
      <w:r>
        <w:fldChar w:fldCharType="begin"/>
      </w:r>
      <w:r>
        <w:instrText>SEQ Table \* ARABIC</w:instrText>
      </w:r>
      <w:r>
        <w:fldChar w:fldCharType="separate"/>
      </w:r>
      <w:r>
        <w:rPr>
          <w:noProof/>
        </w:rPr>
        <w:t>78</w:t>
      </w:r>
      <w:r>
        <w:fldChar w:fldCharType="end"/>
      </w:r>
      <w:r>
        <w:t xml:space="preserve"> – Hospital utilisation by practice ownership type and practice location</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241513D9" w14:textId="77777777" w:rsidTr="00521305">
        <w:trPr>
          <w:cantSplit/>
          <w:trHeight w:val="333"/>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A5003AC" w14:textId="77777777" w:rsidR="001C19F3" w:rsidRDefault="001C19F3" w:rsidP="00521305">
            <w:pPr>
              <w:spacing w:after="0"/>
              <w:jc w:val="center"/>
            </w:pPr>
            <w:r>
              <w:rPr>
                <w:rFonts w:eastAsia="Century Gothic" w:cs="Century Gothic"/>
                <w:b/>
                <w:color w:val="FFFFFF"/>
                <w:sz w:val="18"/>
                <w:szCs w:val="18"/>
              </w:rPr>
              <w:t>Hospital utilisation</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AA9DB70"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1543E91"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7F10336" w14:textId="77777777" w:rsidR="001C19F3" w:rsidRDefault="001C19F3" w:rsidP="00521305">
            <w:pPr>
              <w:spacing w:after="0"/>
              <w:jc w:val="center"/>
            </w:pPr>
            <w:r>
              <w:rPr>
                <w:rFonts w:eastAsia="Century Gothic" w:cs="Century Gothic"/>
                <w:b/>
                <w:color w:val="FFFFFF"/>
                <w:sz w:val="18"/>
                <w:szCs w:val="18"/>
              </w:rPr>
              <w:t>Location</w:t>
            </w:r>
          </w:p>
        </w:tc>
      </w:tr>
      <w:tr w:rsidR="001C19F3" w14:paraId="0F3FAAE9" w14:textId="77777777" w:rsidTr="00521305">
        <w:trPr>
          <w:cantSplit/>
          <w:trHeight w:val="330"/>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57A72E84"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3B0711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2F06CB4"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C87294E"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8486F1A"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DDB0325"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614A650"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13D3F46"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5B15611"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5F2D55F4"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8C733B" w14:textId="77777777" w:rsidR="001C19F3" w:rsidRDefault="001C19F3" w:rsidP="00521305">
            <w:pPr>
              <w:spacing w:before="40" w:after="40"/>
              <w:ind w:left="100" w:right="100"/>
            </w:pPr>
            <w:r>
              <w:rPr>
                <w:rFonts w:eastAsia="Century Gothic" w:cs="Century Gothic"/>
                <w:b/>
                <w:color w:val="000000"/>
                <w:sz w:val="18"/>
                <w:szCs w:val="18"/>
              </w:rPr>
              <w:t>I1 Patient attended an emergency department for their own medical care in last 12 months (Q23)</w:t>
            </w:r>
          </w:p>
        </w:tc>
      </w:tr>
      <w:tr w:rsidR="001C19F3" w14:paraId="649203C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476255"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9437E9" w14:textId="77777777" w:rsidR="001C19F3" w:rsidRDefault="001C19F3" w:rsidP="00521305">
            <w:pPr>
              <w:spacing w:before="40" w:after="40"/>
              <w:ind w:left="100" w:right="100"/>
              <w:jc w:val="center"/>
            </w:pPr>
            <w:r>
              <w:rPr>
                <w:rFonts w:eastAsia="Century Gothic" w:cs="Century Gothic"/>
                <w:color w:val="000000"/>
                <w:sz w:val="18"/>
                <w:szCs w:val="18"/>
              </w:rPr>
              <w:t>728 (36.1%)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31C81A" w14:textId="77777777" w:rsidR="001C19F3" w:rsidRDefault="001C19F3" w:rsidP="00521305">
            <w:pPr>
              <w:spacing w:before="40" w:after="40"/>
              <w:ind w:left="100" w:right="100"/>
              <w:jc w:val="center"/>
            </w:pPr>
            <w:r>
              <w:rPr>
                <w:rFonts w:eastAsia="Century Gothic" w:cs="Century Gothic"/>
                <w:color w:val="000000"/>
                <w:sz w:val="18"/>
                <w:szCs w:val="18"/>
              </w:rPr>
              <w:t>151 (36.3%)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D65AFE" w14:textId="77777777" w:rsidR="001C19F3" w:rsidRDefault="001C19F3" w:rsidP="00521305">
            <w:pPr>
              <w:spacing w:before="40" w:after="40"/>
              <w:ind w:left="100" w:right="100"/>
              <w:jc w:val="center"/>
            </w:pPr>
            <w:r>
              <w:rPr>
                <w:rFonts w:eastAsia="Century Gothic" w:cs="Century Gothic"/>
                <w:color w:val="000000"/>
                <w:sz w:val="18"/>
                <w:szCs w:val="18"/>
              </w:rPr>
              <w:t>577 (36.0%)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6DC266" w14:textId="77777777" w:rsidR="001C19F3" w:rsidRDefault="001C19F3" w:rsidP="00521305">
            <w:pPr>
              <w:spacing w:before="40" w:after="40"/>
              <w:ind w:left="100" w:right="100"/>
              <w:jc w:val="center"/>
            </w:pPr>
            <w:r>
              <w:rPr>
                <w:rFonts w:eastAsia="Century Gothic" w:cs="Century Gothic"/>
                <w:color w:val="000000"/>
                <w:sz w:val="18"/>
                <w:szCs w:val="18"/>
              </w:rPr>
              <w:t>0.961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C7B445" w14:textId="77777777" w:rsidR="001C19F3" w:rsidRDefault="001C19F3" w:rsidP="00521305">
            <w:pPr>
              <w:spacing w:before="40" w:after="40"/>
              <w:ind w:left="100" w:right="100"/>
              <w:jc w:val="center"/>
            </w:pPr>
            <w:r>
              <w:rPr>
                <w:rFonts w:eastAsia="Century Gothic" w:cs="Century Gothic"/>
                <w:color w:val="000000"/>
                <w:sz w:val="18"/>
                <w:szCs w:val="18"/>
              </w:rPr>
              <w:t>517 (35.0%)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5BA683" w14:textId="77777777" w:rsidR="001C19F3" w:rsidRDefault="001C19F3" w:rsidP="00521305">
            <w:pPr>
              <w:spacing w:before="40" w:after="40"/>
              <w:ind w:left="100" w:right="100"/>
              <w:jc w:val="right"/>
            </w:pPr>
            <w:r>
              <w:rPr>
                <w:rFonts w:eastAsia="Century Gothic" w:cs="Century Gothic"/>
                <w:color w:val="000000"/>
                <w:sz w:val="18"/>
                <w:szCs w:val="18"/>
              </w:rPr>
              <w:t>116 (42.3%)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0FDB90" w14:textId="77777777" w:rsidR="001C19F3" w:rsidRDefault="001C19F3" w:rsidP="00521305">
            <w:pPr>
              <w:spacing w:before="40" w:after="40"/>
              <w:ind w:left="100" w:right="100"/>
              <w:jc w:val="right"/>
            </w:pPr>
            <w:r>
              <w:rPr>
                <w:rFonts w:eastAsia="Century Gothic" w:cs="Century Gothic"/>
                <w:color w:val="000000"/>
                <w:sz w:val="18"/>
                <w:szCs w:val="18"/>
              </w:rPr>
              <w:t>95 (35.8%)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66F357" w14:textId="77777777" w:rsidR="001C19F3" w:rsidRDefault="001C19F3" w:rsidP="00521305">
            <w:pPr>
              <w:spacing w:before="40" w:after="40"/>
              <w:ind w:left="100" w:right="100"/>
              <w:jc w:val="right"/>
            </w:pPr>
            <w:r>
              <w:rPr>
                <w:rFonts w:eastAsia="Century Gothic" w:cs="Century Gothic"/>
                <w:color w:val="000000"/>
                <w:sz w:val="18"/>
                <w:szCs w:val="18"/>
              </w:rPr>
              <w:t>0.065</w:t>
            </w:r>
          </w:p>
        </w:tc>
      </w:tr>
      <w:tr w:rsidR="001C19F3" w14:paraId="0911829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A7EBD1"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0E9ACC" w14:textId="77777777" w:rsidR="001C19F3" w:rsidRDefault="001C19F3" w:rsidP="00521305">
            <w:pPr>
              <w:spacing w:before="40" w:after="40"/>
              <w:ind w:left="100" w:right="100"/>
              <w:jc w:val="center"/>
            </w:pPr>
            <w:r>
              <w:rPr>
                <w:rFonts w:eastAsia="Century Gothic" w:cs="Century Gothic"/>
                <w:color w:val="000000"/>
                <w:sz w:val="18"/>
                <w:szCs w:val="18"/>
              </w:rPr>
              <w:t>1,290 (63.9%)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557733" w14:textId="77777777" w:rsidR="001C19F3" w:rsidRDefault="001C19F3" w:rsidP="00521305">
            <w:pPr>
              <w:spacing w:before="40" w:after="40"/>
              <w:ind w:left="100" w:right="100"/>
              <w:jc w:val="center"/>
            </w:pPr>
            <w:r>
              <w:rPr>
                <w:rFonts w:eastAsia="Century Gothic" w:cs="Century Gothic"/>
                <w:color w:val="000000"/>
                <w:sz w:val="18"/>
                <w:szCs w:val="18"/>
              </w:rPr>
              <w:t>265 (63.7%)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CAB95D" w14:textId="77777777" w:rsidR="001C19F3" w:rsidRDefault="001C19F3" w:rsidP="00521305">
            <w:pPr>
              <w:spacing w:before="40" w:after="40"/>
              <w:ind w:left="100" w:right="100"/>
              <w:jc w:val="center"/>
            </w:pPr>
            <w:r>
              <w:rPr>
                <w:rFonts w:eastAsia="Century Gothic" w:cs="Century Gothic"/>
                <w:color w:val="000000"/>
                <w:sz w:val="18"/>
                <w:szCs w:val="18"/>
              </w:rPr>
              <w:t>1,025 (64.0%)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D361CD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FC7DAF" w14:textId="77777777" w:rsidR="001C19F3" w:rsidRDefault="001C19F3" w:rsidP="00521305">
            <w:pPr>
              <w:spacing w:before="40" w:after="40"/>
              <w:ind w:left="100" w:right="100"/>
              <w:jc w:val="center"/>
            </w:pPr>
            <w:r>
              <w:rPr>
                <w:rFonts w:eastAsia="Century Gothic" w:cs="Century Gothic"/>
                <w:color w:val="000000"/>
                <w:sz w:val="18"/>
                <w:szCs w:val="18"/>
              </w:rPr>
              <w:t>962 (65.0%)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6E4A6F" w14:textId="77777777" w:rsidR="001C19F3" w:rsidRDefault="001C19F3" w:rsidP="00521305">
            <w:pPr>
              <w:spacing w:before="40" w:after="40"/>
              <w:ind w:left="100" w:right="100"/>
              <w:jc w:val="right"/>
            </w:pPr>
            <w:r>
              <w:rPr>
                <w:rFonts w:eastAsia="Century Gothic" w:cs="Century Gothic"/>
                <w:color w:val="000000"/>
                <w:sz w:val="18"/>
                <w:szCs w:val="18"/>
              </w:rPr>
              <w:t>158 (57.7%)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2A7670" w14:textId="77777777" w:rsidR="001C19F3" w:rsidRDefault="001C19F3" w:rsidP="00521305">
            <w:pPr>
              <w:spacing w:before="40" w:after="40"/>
              <w:ind w:left="100" w:right="100"/>
              <w:jc w:val="right"/>
            </w:pPr>
            <w:r>
              <w:rPr>
                <w:rFonts w:eastAsia="Century Gothic" w:cs="Century Gothic"/>
                <w:color w:val="000000"/>
                <w:sz w:val="18"/>
                <w:szCs w:val="18"/>
              </w:rPr>
              <w:t>170 (64.2%)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60E9907" w14:textId="77777777" w:rsidR="001C19F3" w:rsidRDefault="001C19F3" w:rsidP="00521305">
            <w:pPr>
              <w:spacing w:after="0"/>
              <w:rPr>
                <w:sz w:val="22"/>
              </w:rPr>
            </w:pPr>
          </w:p>
        </w:tc>
      </w:tr>
      <w:tr w:rsidR="001C19F3" w14:paraId="2F2B7C5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CB23DB" w14:textId="77777777" w:rsidR="001C19F3" w:rsidRDefault="001C19F3" w:rsidP="00521305">
            <w:pPr>
              <w:spacing w:before="40" w:after="40"/>
              <w:ind w:left="100" w:right="100"/>
            </w:pPr>
            <w:r>
              <w:rPr>
                <w:rFonts w:eastAsia="Century Gothic" w:cs="Century Gothic"/>
                <w:b/>
                <w:color w:val="000000"/>
                <w:sz w:val="18"/>
                <w:szCs w:val="18"/>
              </w:rPr>
              <w:t>I2 Patient stayed one or more nights in hospital in last 12 months (Q23)</w:t>
            </w:r>
          </w:p>
        </w:tc>
      </w:tr>
      <w:tr w:rsidR="001C19F3" w14:paraId="6A74171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4D480E" w14:textId="77777777" w:rsidR="001C19F3" w:rsidRDefault="001C19F3" w:rsidP="00521305">
            <w:pPr>
              <w:spacing w:before="40" w:after="40"/>
              <w:ind w:left="160" w:right="100"/>
            </w:pPr>
            <w:r>
              <w:rPr>
                <w:rFonts w:eastAsia="Century Gothic" w:cs="Century Gothic"/>
                <w:color w:val="000000"/>
                <w:sz w:val="18"/>
                <w:szCs w:val="18"/>
              </w:rPr>
              <w:t>Yes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D21B00" w14:textId="77777777" w:rsidR="001C19F3" w:rsidRDefault="001C19F3" w:rsidP="00521305">
            <w:pPr>
              <w:spacing w:before="40" w:after="40"/>
              <w:ind w:left="100" w:right="100"/>
              <w:jc w:val="center"/>
            </w:pPr>
            <w:r>
              <w:rPr>
                <w:rFonts w:eastAsia="Century Gothic" w:cs="Century Gothic"/>
                <w:color w:val="000000"/>
                <w:sz w:val="18"/>
                <w:szCs w:val="18"/>
              </w:rPr>
              <w:t>628 (31.1%)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62A7A3" w14:textId="77777777" w:rsidR="001C19F3" w:rsidRDefault="001C19F3" w:rsidP="00521305">
            <w:pPr>
              <w:spacing w:before="40" w:after="40"/>
              <w:ind w:left="100" w:right="100"/>
              <w:jc w:val="center"/>
            </w:pPr>
            <w:r>
              <w:rPr>
                <w:rFonts w:eastAsia="Century Gothic" w:cs="Century Gothic"/>
                <w:color w:val="000000"/>
                <w:sz w:val="18"/>
                <w:szCs w:val="18"/>
              </w:rPr>
              <w:t>124 (29.8%)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C613D9" w14:textId="77777777" w:rsidR="001C19F3" w:rsidRDefault="001C19F3" w:rsidP="00521305">
            <w:pPr>
              <w:spacing w:before="40" w:after="40"/>
              <w:ind w:left="100" w:right="100"/>
              <w:jc w:val="center"/>
            </w:pPr>
            <w:r>
              <w:rPr>
                <w:rFonts w:eastAsia="Century Gothic" w:cs="Century Gothic"/>
                <w:color w:val="000000"/>
                <w:sz w:val="18"/>
                <w:szCs w:val="18"/>
              </w:rPr>
              <w:t>504 (31.5%)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F43A96" w14:textId="77777777" w:rsidR="001C19F3" w:rsidRDefault="001C19F3" w:rsidP="00521305">
            <w:pPr>
              <w:spacing w:before="40" w:after="40"/>
              <w:ind w:left="100" w:right="100"/>
              <w:jc w:val="center"/>
            </w:pPr>
            <w:r>
              <w:rPr>
                <w:rFonts w:eastAsia="Century Gothic" w:cs="Century Gothic"/>
                <w:color w:val="000000"/>
                <w:sz w:val="18"/>
                <w:szCs w:val="18"/>
              </w:rPr>
              <w:t>0.556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783C4D" w14:textId="77777777" w:rsidR="001C19F3" w:rsidRDefault="001C19F3" w:rsidP="00521305">
            <w:pPr>
              <w:spacing w:before="40" w:after="40"/>
              <w:ind w:left="100" w:right="100"/>
              <w:jc w:val="center"/>
            </w:pPr>
            <w:r>
              <w:rPr>
                <w:rFonts w:eastAsia="Century Gothic" w:cs="Century Gothic"/>
                <w:color w:val="000000"/>
                <w:sz w:val="18"/>
                <w:szCs w:val="18"/>
              </w:rPr>
              <w:t>445 (30.1%)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AE051A" w14:textId="77777777" w:rsidR="001C19F3" w:rsidRDefault="001C19F3" w:rsidP="00521305">
            <w:pPr>
              <w:spacing w:before="40" w:after="40"/>
              <w:ind w:left="100" w:right="100"/>
              <w:jc w:val="right"/>
            </w:pPr>
            <w:r>
              <w:rPr>
                <w:rFonts w:eastAsia="Century Gothic" w:cs="Century Gothic"/>
                <w:color w:val="000000"/>
                <w:sz w:val="18"/>
                <w:szCs w:val="18"/>
              </w:rPr>
              <w:t>98 (35.8%)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0699F4" w14:textId="77777777" w:rsidR="001C19F3" w:rsidRDefault="001C19F3" w:rsidP="00521305">
            <w:pPr>
              <w:spacing w:before="40" w:after="40"/>
              <w:ind w:left="100" w:right="100"/>
              <w:jc w:val="right"/>
            </w:pPr>
            <w:r>
              <w:rPr>
                <w:rFonts w:eastAsia="Century Gothic" w:cs="Century Gothic"/>
                <w:color w:val="000000"/>
                <w:sz w:val="18"/>
                <w:szCs w:val="18"/>
              </w:rPr>
              <w:t>85 (32.1%)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4CE182" w14:textId="77777777" w:rsidR="001C19F3" w:rsidRDefault="001C19F3" w:rsidP="00521305">
            <w:pPr>
              <w:spacing w:before="40" w:after="40"/>
              <w:ind w:left="100" w:right="100"/>
              <w:jc w:val="right"/>
            </w:pPr>
            <w:r>
              <w:rPr>
                <w:rFonts w:eastAsia="Century Gothic" w:cs="Century Gothic"/>
                <w:color w:val="000000"/>
                <w:sz w:val="18"/>
                <w:szCs w:val="18"/>
              </w:rPr>
              <w:t>0.165</w:t>
            </w:r>
          </w:p>
        </w:tc>
      </w:tr>
      <w:tr w:rsidR="001C19F3" w14:paraId="7165C7A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69631" w14:textId="77777777" w:rsidR="001C19F3" w:rsidRDefault="001C19F3" w:rsidP="00521305">
            <w:pPr>
              <w:spacing w:before="40" w:after="40"/>
              <w:ind w:left="160" w:right="100"/>
            </w:pPr>
            <w:r>
              <w:rPr>
                <w:rFonts w:eastAsia="Century Gothic" w:cs="Century Gothic"/>
                <w:color w:val="000000"/>
                <w:sz w:val="18"/>
                <w:szCs w:val="18"/>
              </w:rPr>
              <w:t>No</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DC7831" w14:textId="77777777" w:rsidR="001C19F3" w:rsidRDefault="001C19F3" w:rsidP="00521305">
            <w:pPr>
              <w:spacing w:before="40" w:after="40"/>
              <w:ind w:left="100" w:right="100"/>
              <w:jc w:val="center"/>
            </w:pPr>
            <w:r>
              <w:rPr>
                <w:rFonts w:eastAsia="Century Gothic" w:cs="Century Gothic"/>
                <w:color w:val="000000"/>
                <w:sz w:val="18"/>
                <w:szCs w:val="18"/>
              </w:rPr>
              <w:t>1,390 (68.9%)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FBD7F4" w14:textId="77777777" w:rsidR="001C19F3" w:rsidRDefault="001C19F3" w:rsidP="00521305">
            <w:pPr>
              <w:spacing w:before="40" w:after="40"/>
              <w:ind w:left="100" w:right="100"/>
              <w:jc w:val="center"/>
            </w:pPr>
            <w:r>
              <w:rPr>
                <w:rFonts w:eastAsia="Century Gothic" w:cs="Century Gothic"/>
                <w:color w:val="000000"/>
                <w:sz w:val="18"/>
                <w:szCs w:val="18"/>
              </w:rPr>
              <w:t>292 (70.2%)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98888D" w14:textId="77777777" w:rsidR="001C19F3" w:rsidRDefault="001C19F3" w:rsidP="00521305">
            <w:pPr>
              <w:spacing w:before="40" w:after="40"/>
              <w:ind w:left="100" w:right="100"/>
              <w:jc w:val="center"/>
            </w:pPr>
            <w:r>
              <w:rPr>
                <w:rFonts w:eastAsia="Century Gothic" w:cs="Century Gothic"/>
                <w:color w:val="000000"/>
                <w:sz w:val="18"/>
                <w:szCs w:val="18"/>
              </w:rPr>
              <w:t>1,098 (68.5%)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9BB6C0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2D1EF8" w14:textId="77777777" w:rsidR="001C19F3" w:rsidRDefault="001C19F3" w:rsidP="00521305">
            <w:pPr>
              <w:spacing w:before="40" w:after="40"/>
              <w:ind w:left="100" w:right="100"/>
              <w:jc w:val="center"/>
            </w:pPr>
            <w:r>
              <w:rPr>
                <w:rFonts w:eastAsia="Century Gothic" w:cs="Century Gothic"/>
                <w:color w:val="000000"/>
                <w:sz w:val="18"/>
                <w:szCs w:val="18"/>
              </w:rPr>
              <w:t>1,034 (69.9%)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09C751" w14:textId="77777777" w:rsidR="001C19F3" w:rsidRDefault="001C19F3" w:rsidP="00521305">
            <w:pPr>
              <w:spacing w:before="40" w:after="40"/>
              <w:ind w:left="100" w:right="100"/>
              <w:jc w:val="right"/>
            </w:pPr>
            <w:r>
              <w:rPr>
                <w:rFonts w:eastAsia="Century Gothic" w:cs="Century Gothic"/>
                <w:color w:val="000000"/>
                <w:sz w:val="18"/>
                <w:szCs w:val="18"/>
              </w:rPr>
              <w:t>176 (64.2%)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30433E" w14:textId="77777777" w:rsidR="001C19F3" w:rsidRDefault="001C19F3" w:rsidP="00521305">
            <w:pPr>
              <w:spacing w:before="40" w:after="40"/>
              <w:ind w:left="100" w:right="100"/>
              <w:jc w:val="right"/>
            </w:pPr>
            <w:r>
              <w:rPr>
                <w:rFonts w:eastAsia="Century Gothic" w:cs="Century Gothic"/>
                <w:color w:val="000000"/>
                <w:sz w:val="18"/>
                <w:szCs w:val="18"/>
              </w:rPr>
              <w:t>180 (67.9%)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90930B" w14:textId="77777777" w:rsidR="001C19F3" w:rsidRDefault="001C19F3" w:rsidP="00521305">
            <w:pPr>
              <w:spacing w:after="0"/>
              <w:rPr>
                <w:sz w:val="22"/>
              </w:rPr>
            </w:pPr>
          </w:p>
        </w:tc>
      </w:tr>
    </w:tbl>
    <w:p w14:paraId="68A9A736"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4F80B688" w14:textId="77777777" w:rsidR="001C19F3" w:rsidRDefault="001C19F3" w:rsidP="001C19F3">
      <w:pPr>
        <w:pStyle w:val="Caption1"/>
      </w:pPr>
      <w:bookmarkStart w:id="609" w:name="_Ref22808425"/>
      <w:r>
        <w:t xml:space="preserve">Table </w:t>
      </w:r>
      <w:r>
        <w:fldChar w:fldCharType="begin"/>
      </w:r>
      <w:r>
        <w:instrText>SEQ Table \* ARABIC</w:instrText>
      </w:r>
      <w:r>
        <w:fldChar w:fldCharType="separate"/>
      </w:r>
      <w:r>
        <w:rPr>
          <w:noProof/>
        </w:rPr>
        <w:t>79</w:t>
      </w:r>
      <w:r>
        <w:fldChar w:fldCharType="end"/>
      </w:r>
      <w:bookmarkEnd w:id="609"/>
      <w:r>
        <w:t xml:space="preserve"> – Patient assessment of chronic illness care (PACIC) by practice ownership type and practice location</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440"/>
        <w:gridCol w:w="1440"/>
        <w:gridCol w:w="1440"/>
      </w:tblGrid>
      <w:tr w:rsidR="001C19F3" w14:paraId="61DBACC3"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7E7592C" w14:textId="77777777" w:rsidR="001C19F3" w:rsidRDefault="001C19F3" w:rsidP="00521305">
            <w:pPr>
              <w:spacing w:after="0"/>
              <w:jc w:val="center"/>
            </w:pPr>
            <w:r>
              <w:rPr>
                <w:rFonts w:eastAsia="Century Gothic" w:cs="Century Gothic"/>
                <w:b/>
                <w:color w:val="FFFFFF"/>
                <w:sz w:val="18"/>
                <w:szCs w:val="18"/>
              </w:rPr>
              <w:t>PACIC item</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154B7B1"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A17B873"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B0BE1A2" w14:textId="77777777" w:rsidR="001C19F3" w:rsidRDefault="001C19F3" w:rsidP="00521305">
            <w:pPr>
              <w:spacing w:after="0"/>
              <w:jc w:val="center"/>
            </w:pPr>
            <w:r>
              <w:rPr>
                <w:rFonts w:eastAsia="Century Gothic" w:cs="Century Gothic"/>
                <w:b/>
                <w:color w:val="FFFFFF"/>
                <w:sz w:val="18"/>
                <w:szCs w:val="18"/>
              </w:rPr>
              <w:t>Location</w:t>
            </w:r>
          </w:p>
        </w:tc>
      </w:tr>
      <w:tr w:rsidR="001C19F3" w14:paraId="5D63F22A" w14:textId="77777777" w:rsidTr="00521305">
        <w:trPr>
          <w:cantSplit/>
          <w:trHeight w:val="330"/>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437F956C"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942F3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1FE543A7"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9612740"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F2B83F6"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37259AC" w14:textId="77777777" w:rsidR="001C19F3" w:rsidRDefault="001C19F3" w:rsidP="00521305">
            <w:pPr>
              <w:spacing w:after="0"/>
              <w:jc w:val="center"/>
            </w:pPr>
            <w:r>
              <w:rPr>
                <w:rFonts w:eastAsia="Century Gothic" w:cs="Century Gothic"/>
                <w:b/>
                <w:color w:val="FFFFFF"/>
                <w:sz w:val="18"/>
                <w:szCs w:val="18"/>
              </w:rPr>
              <w:t>MMM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4E6E523" w14:textId="77777777" w:rsidR="001C19F3" w:rsidRDefault="001C19F3" w:rsidP="00521305">
            <w:pPr>
              <w:spacing w:after="0"/>
              <w:jc w:val="center"/>
            </w:pPr>
            <w:r>
              <w:rPr>
                <w:rFonts w:eastAsia="Century Gothic" w:cs="Century Gothic"/>
                <w:b/>
                <w:color w:val="FFFFFF"/>
                <w:sz w:val="18"/>
                <w:szCs w:val="18"/>
              </w:rPr>
              <w:t>MMM 2/3</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8F15EC2"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ECD19CF"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7510337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E1889" w14:textId="77777777" w:rsidR="001C19F3" w:rsidRDefault="001C19F3" w:rsidP="00521305">
            <w:pPr>
              <w:spacing w:before="40" w:after="40"/>
              <w:ind w:left="100" w:right="100"/>
            </w:pPr>
            <w:r>
              <w:rPr>
                <w:rFonts w:eastAsia="Century Gothic" w:cs="Century Gothic"/>
                <w:b/>
                <w:color w:val="000000"/>
                <w:sz w:val="18"/>
                <w:szCs w:val="18"/>
              </w:rPr>
              <w:t>J01 I was asked for my ideas when we made decisions about my treatment (Q11)</w:t>
            </w:r>
          </w:p>
        </w:tc>
      </w:tr>
      <w:tr w:rsidR="001C19F3" w14:paraId="4DBCB8B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92FABB"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A988B6" w14:textId="77777777" w:rsidR="001C19F3" w:rsidRDefault="001C19F3" w:rsidP="00521305">
            <w:pPr>
              <w:spacing w:before="40" w:after="40"/>
              <w:ind w:left="100" w:right="100"/>
              <w:jc w:val="center"/>
            </w:pPr>
            <w:r>
              <w:rPr>
                <w:rFonts w:eastAsia="Century Gothic" w:cs="Century Gothic"/>
                <w:color w:val="000000"/>
                <w:sz w:val="18"/>
                <w:szCs w:val="18"/>
              </w:rPr>
              <w:t>287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EE917A" w14:textId="77777777" w:rsidR="001C19F3" w:rsidRDefault="001C19F3" w:rsidP="00521305">
            <w:pPr>
              <w:spacing w:before="40" w:after="40"/>
              <w:ind w:left="100" w:right="100"/>
              <w:jc w:val="center"/>
            </w:pPr>
            <w:r>
              <w:rPr>
                <w:rFonts w:eastAsia="Century Gothic" w:cs="Century Gothic"/>
                <w:color w:val="000000"/>
                <w:sz w:val="18"/>
                <w:szCs w:val="18"/>
              </w:rPr>
              <w:t>63 (16.6%)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4FA341" w14:textId="77777777" w:rsidR="001C19F3" w:rsidRDefault="001C19F3" w:rsidP="00521305">
            <w:pPr>
              <w:spacing w:before="40" w:after="40"/>
              <w:ind w:left="100" w:right="100"/>
              <w:jc w:val="center"/>
            </w:pPr>
            <w:r>
              <w:rPr>
                <w:rFonts w:eastAsia="Century Gothic" w:cs="Century Gothic"/>
                <w:color w:val="000000"/>
                <w:sz w:val="18"/>
                <w:szCs w:val="18"/>
              </w:rPr>
              <w:t>224 (15.0%)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36B55A" w14:textId="77777777" w:rsidR="001C19F3" w:rsidRDefault="001C19F3" w:rsidP="00521305">
            <w:pPr>
              <w:spacing w:before="40" w:after="40"/>
              <w:ind w:left="100" w:right="100"/>
              <w:jc w:val="center"/>
            </w:pPr>
            <w:r>
              <w:rPr>
                <w:rFonts w:eastAsia="Century Gothic" w:cs="Century Gothic"/>
                <w:color w:val="000000"/>
                <w:sz w:val="18"/>
                <w:szCs w:val="18"/>
              </w:rPr>
              <w:t>0.063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D81523" w14:textId="77777777" w:rsidR="001C19F3" w:rsidRDefault="001C19F3" w:rsidP="00521305">
            <w:pPr>
              <w:spacing w:before="40" w:after="40"/>
              <w:ind w:left="100" w:right="100"/>
              <w:jc w:val="center"/>
            </w:pPr>
            <w:r>
              <w:rPr>
                <w:rFonts w:eastAsia="Century Gothic" w:cs="Century Gothic"/>
                <w:color w:val="000000"/>
                <w:sz w:val="18"/>
                <w:szCs w:val="18"/>
              </w:rPr>
              <w:t>207 (15.1%)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AFB895" w14:textId="77777777" w:rsidR="001C19F3" w:rsidRDefault="001C19F3" w:rsidP="00521305">
            <w:pPr>
              <w:spacing w:before="40" w:after="40"/>
              <w:ind w:left="100" w:right="100"/>
              <w:jc w:val="right"/>
            </w:pPr>
            <w:r>
              <w:rPr>
                <w:rFonts w:eastAsia="Century Gothic" w:cs="Century Gothic"/>
                <w:color w:val="000000"/>
                <w:sz w:val="18"/>
                <w:szCs w:val="18"/>
              </w:rPr>
              <w:t>37 (14.2%)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48EFF0" w14:textId="77777777" w:rsidR="001C19F3" w:rsidRDefault="001C19F3" w:rsidP="00521305">
            <w:pPr>
              <w:spacing w:before="40" w:after="40"/>
              <w:ind w:left="100" w:right="100"/>
              <w:jc w:val="right"/>
            </w:pPr>
            <w:r>
              <w:rPr>
                <w:rFonts w:eastAsia="Century Gothic" w:cs="Century Gothic"/>
                <w:color w:val="000000"/>
                <w:sz w:val="18"/>
                <w:szCs w:val="18"/>
              </w:rPr>
              <w:t>43 (17.6%)</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29B2CA" w14:textId="77777777" w:rsidR="001C19F3" w:rsidRDefault="001C19F3" w:rsidP="00521305">
            <w:pPr>
              <w:spacing w:before="40" w:after="40"/>
              <w:ind w:left="100" w:right="100"/>
              <w:jc w:val="right"/>
            </w:pPr>
            <w:r>
              <w:rPr>
                <w:rFonts w:eastAsia="Century Gothic" w:cs="Century Gothic"/>
                <w:color w:val="000000"/>
                <w:sz w:val="18"/>
                <w:szCs w:val="18"/>
              </w:rPr>
              <w:t>0.645</w:t>
            </w:r>
          </w:p>
        </w:tc>
      </w:tr>
      <w:tr w:rsidR="001C19F3" w14:paraId="0B586FC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07FDD4"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A19FAF" w14:textId="77777777" w:rsidR="001C19F3" w:rsidRDefault="001C19F3" w:rsidP="00521305">
            <w:pPr>
              <w:spacing w:before="40" w:after="40"/>
              <w:ind w:left="100" w:right="100"/>
              <w:jc w:val="center"/>
            </w:pPr>
            <w:r>
              <w:rPr>
                <w:rFonts w:eastAsia="Century Gothic" w:cs="Century Gothic"/>
                <w:color w:val="000000"/>
                <w:sz w:val="18"/>
                <w:szCs w:val="18"/>
              </w:rPr>
              <w:t>178 (9.5%)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77C51C" w14:textId="77777777" w:rsidR="001C19F3" w:rsidRDefault="001C19F3" w:rsidP="00521305">
            <w:pPr>
              <w:spacing w:before="40" w:after="40"/>
              <w:ind w:left="100" w:right="100"/>
              <w:jc w:val="center"/>
            </w:pPr>
            <w:r>
              <w:rPr>
                <w:rFonts w:eastAsia="Century Gothic" w:cs="Century Gothic"/>
                <w:color w:val="000000"/>
                <w:sz w:val="18"/>
                <w:szCs w:val="18"/>
              </w:rPr>
              <w:t>45 (11.8%)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D1700D" w14:textId="77777777" w:rsidR="001C19F3" w:rsidRDefault="001C19F3" w:rsidP="00521305">
            <w:pPr>
              <w:spacing w:before="40" w:after="40"/>
              <w:ind w:left="100" w:right="100"/>
              <w:jc w:val="center"/>
            </w:pPr>
            <w:r>
              <w:rPr>
                <w:rFonts w:eastAsia="Century Gothic" w:cs="Century Gothic"/>
                <w:color w:val="000000"/>
                <w:sz w:val="18"/>
                <w:szCs w:val="18"/>
              </w:rPr>
              <w:t>133 (8.9%)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EC49B5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88DCFB" w14:textId="77777777" w:rsidR="001C19F3" w:rsidRDefault="001C19F3" w:rsidP="00521305">
            <w:pPr>
              <w:spacing w:before="40" w:after="40"/>
              <w:ind w:left="100" w:right="100"/>
              <w:jc w:val="center"/>
            </w:pPr>
            <w:r>
              <w:rPr>
                <w:rFonts w:eastAsia="Century Gothic" w:cs="Century Gothic"/>
                <w:color w:val="000000"/>
                <w:sz w:val="18"/>
                <w:szCs w:val="18"/>
              </w:rPr>
              <w:t>140 (10.2%)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926AD1" w14:textId="77777777" w:rsidR="001C19F3" w:rsidRDefault="001C19F3" w:rsidP="00521305">
            <w:pPr>
              <w:spacing w:before="40" w:after="40"/>
              <w:ind w:left="100" w:right="100"/>
              <w:jc w:val="right"/>
            </w:pPr>
            <w:r>
              <w:rPr>
                <w:rFonts w:eastAsia="Century Gothic" w:cs="Century Gothic"/>
                <w:color w:val="000000"/>
                <w:sz w:val="18"/>
                <w:szCs w:val="18"/>
              </w:rPr>
              <w:t>17 (6.5%)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18A166" w14:textId="77777777" w:rsidR="001C19F3" w:rsidRDefault="001C19F3" w:rsidP="00521305">
            <w:pPr>
              <w:spacing w:before="40" w:after="40"/>
              <w:ind w:left="100" w:right="100"/>
              <w:jc w:val="right"/>
            </w:pPr>
            <w:r>
              <w:rPr>
                <w:rFonts w:eastAsia="Century Gothic" w:cs="Century Gothic"/>
                <w:color w:val="000000"/>
                <w:sz w:val="18"/>
                <w:szCs w:val="18"/>
              </w:rPr>
              <w:t>21 (8.6%)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FF4BF37" w14:textId="77777777" w:rsidR="001C19F3" w:rsidRDefault="001C19F3" w:rsidP="00521305">
            <w:pPr>
              <w:spacing w:after="0"/>
              <w:rPr>
                <w:sz w:val="22"/>
              </w:rPr>
            </w:pPr>
          </w:p>
        </w:tc>
      </w:tr>
      <w:tr w:rsidR="001C19F3" w14:paraId="03CBA53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C60EF8"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3937D3" w14:textId="77777777" w:rsidR="001C19F3" w:rsidRDefault="001C19F3" w:rsidP="00521305">
            <w:pPr>
              <w:spacing w:before="40" w:after="40"/>
              <w:ind w:left="100" w:right="100"/>
              <w:jc w:val="center"/>
            </w:pPr>
            <w:r>
              <w:rPr>
                <w:rFonts w:eastAsia="Century Gothic" w:cs="Century Gothic"/>
                <w:color w:val="000000"/>
                <w:sz w:val="18"/>
                <w:szCs w:val="18"/>
              </w:rPr>
              <w:t>484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1FA3E5" w14:textId="77777777" w:rsidR="001C19F3" w:rsidRDefault="001C19F3" w:rsidP="00521305">
            <w:pPr>
              <w:spacing w:before="40" w:after="40"/>
              <w:ind w:left="100" w:right="100"/>
              <w:jc w:val="center"/>
            </w:pPr>
            <w:r>
              <w:rPr>
                <w:rFonts w:eastAsia="Century Gothic" w:cs="Century Gothic"/>
                <w:color w:val="000000"/>
                <w:sz w:val="18"/>
                <w:szCs w:val="18"/>
              </w:rPr>
              <w:t>107 (28.2%)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DF66FA" w14:textId="77777777" w:rsidR="001C19F3" w:rsidRDefault="001C19F3" w:rsidP="00521305">
            <w:pPr>
              <w:spacing w:before="40" w:after="40"/>
              <w:ind w:left="100" w:right="100"/>
              <w:jc w:val="center"/>
            </w:pPr>
            <w:r>
              <w:rPr>
                <w:rFonts w:eastAsia="Century Gothic" w:cs="Century Gothic"/>
                <w:color w:val="000000"/>
                <w:sz w:val="18"/>
                <w:szCs w:val="18"/>
              </w:rPr>
              <w:t>377 (25.2%)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27E560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B7B9F1" w14:textId="77777777" w:rsidR="001C19F3" w:rsidRDefault="001C19F3" w:rsidP="00521305">
            <w:pPr>
              <w:spacing w:before="40" w:after="40"/>
              <w:ind w:left="100" w:right="100"/>
              <w:jc w:val="center"/>
            </w:pPr>
            <w:r>
              <w:rPr>
                <w:rFonts w:eastAsia="Century Gothic" w:cs="Century Gothic"/>
                <w:color w:val="000000"/>
                <w:sz w:val="18"/>
                <w:szCs w:val="18"/>
              </w:rPr>
              <w:t>353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651324" w14:textId="77777777" w:rsidR="001C19F3" w:rsidRDefault="001C19F3" w:rsidP="00521305">
            <w:pPr>
              <w:spacing w:before="40" w:after="40"/>
              <w:ind w:left="100" w:right="100"/>
              <w:jc w:val="right"/>
            </w:pPr>
            <w:r>
              <w:rPr>
                <w:rFonts w:eastAsia="Century Gothic" w:cs="Century Gothic"/>
                <w:color w:val="000000"/>
                <w:sz w:val="18"/>
                <w:szCs w:val="18"/>
              </w:rPr>
              <w:t>67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9C1595" w14:textId="77777777" w:rsidR="001C19F3" w:rsidRDefault="001C19F3" w:rsidP="00521305">
            <w:pPr>
              <w:spacing w:before="40" w:after="40"/>
              <w:ind w:left="100" w:right="100"/>
              <w:jc w:val="right"/>
            </w:pPr>
            <w:r>
              <w:rPr>
                <w:rFonts w:eastAsia="Century Gothic" w:cs="Century Gothic"/>
                <w:color w:val="000000"/>
                <w:sz w:val="18"/>
                <w:szCs w:val="18"/>
              </w:rPr>
              <w:t>64 (26.1%)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8F4D63D" w14:textId="77777777" w:rsidR="001C19F3" w:rsidRDefault="001C19F3" w:rsidP="00521305">
            <w:pPr>
              <w:spacing w:after="0"/>
              <w:rPr>
                <w:sz w:val="22"/>
              </w:rPr>
            </w:pPr>
          </w:p>
        </w:tc>
      </w:tr>
      <w:tr w:rsidR="001C19F3" w14:paraId="61ADB4F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8E44FD"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F96A1E" w14:textId="77777777" w:rsidR="001C19F3" w:rsidRDefault="001C19F3" w:rsidP="00521305">
            <w:pPr>
              <w:spacing w:before="40" w:after="40"/>
              <w:ind w:left="100" w:right="100"/>
              <w:jc w:val="center"/>
            </w:pPr>
            <w:r>
              <w:rPr>
                <w:rFonts w:eastAsia="Century Gothic" w:cs="Century Gothic"/>
                <w:color w:val="000000"/>
                <w:sz w:val="18"/>
                <w:szCs w:val="18"/>
              </w:rPr>
              <w:t>487 (25.9%)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68A9F6" w14:textId="77777777" w:rsidR="001C19F3" w:rsidRDefault="001C19F3" w:rsidP="00521305">
            <w:pPr>
              <w:spacing w:before="40" w:after="40"/>
              <w:ind w:left="100" w:right="100"/>
              <w:jc w:val="center"/>
            </w:pPr>
            <w:r>
              <w:rPr>
                <w:rFonts w:eastAsia="Century Gothic" w:cs="Century Gothic"/>
                <w:color w:val="000000"/>
                <w:sz w:val="18"/>
                <w:szCs w:val="18"/>
              </w:rPr>
              <w:t>93 (24.5%)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4D0A86" w14:textId="77777777" w:rsidR="001C19F3" w:rsidRDefault="001C19F3" w:rsidP="00521305">
            <w:pPr>
              <w:spacing w:before="40" w:after="40"/>
              <w:ind w:left="100" w:right="100"/>
              <w:jc w:val="center"/>
            </w:pPr>
            <w:r>
              <w:rPr>
                <w:rFonts w:eastAsia="Century Gothic" w:cs="Century Gothic"/>
                <w:color w:val="000000"/>
                <w:sz w:val="18"/>
                <w:szCs w:val="18"/>
              </w:rPr>
              <w:t>394 (26.3%)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D998D7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D4354B" w14:textId="77777777" w:rsidR="001C19F3" w:rsidRDefault="001C19F3" w:rsidP="00521305">
            <w:pPr>
              <w:spacing w:before="40" w:after="40"/>
              <w:ind w:left="100" w:right="100"/>
              <w:jc w:val="center"/>
            </w:pPr>
            <w:r>
              <w:rPr>
                <w:rFonts w:eastAsia="Century Gothic" w:cs="Century Gothic"/>
                <w:color w:val="000000"/>
                <w:sz w:val="18"/>
                <w:szCs w:val="18"/>
              </w:rPr>
              <w:t>352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0D40C8" w14:textId="77777777" w:rsidR="001C19F3" w:rsidRDefault="001C19F3" w:rsidP="00521305">
            <w:pPr>
              <w:spacing w:before="40" w:after="40"/>
              <w:ind w:left="100" w:right="100"/>
              <w:jc w:val="right"/>
            </w:pPr>
            <w:r>
              <w:rPr>
                <w:rFonts w:eastAsia="Century Gothic" w:cs="Century Gothic"/>
                <w:color w:val="000000"/>
                <w:sz w:val="18"/>
                <w:szCs w:val="18"/>
              </w:rPr>
              <w:t>76 (29.1%)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7B1DE3" w14:textId="77777777" w:rsidR="001C19F3" w:rsidRDefault="001C19F3" w:rsidP="00521305">
            <w:pPr>
              <w:spacing w:before="40" w:after="40"/>
              <w:ind w:left="100" w:right="100"/>
              <w:jc w:val="right"/>
            </w:pPr>
            <w:r>
              <w:rPr>
                <w:rFonts w:eastAsia="Century Gothic" w:cs="Century Gothic"/>
                <w:color w:val="000000"/>
                <w:sz w:val="18"/>
                <w:szCs w:val="18"/>
              </w:rPr>
              <w:t>59 (24.1%)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F365026" w14:textId="77777777" w:rsidR="001C19F3" w:rsidRDefault="001C19F3" w:rsidP="00521305">
            <w:pPr>
              <w:spacing w:after="0"/>
              <w:rPr>
                <w:sz w:val="22"/>
              </w:rPr>
            </w:pPr>
          </w:p>
        </w:tc>
      </w:tr>
      <w:tr w:rsidR="001C19F3" w14:paraId="7A35110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046EF9"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224157" w14:textId="77777777" w:rsidR="001C19F3" w:rsidRDefault="001C19F3" w:rsidP="00521305">
            <w:pPr>
              <w:spacing w:before="40" w:after="40"/>
              <w:ind w:left="100" w:right="100"/>
              <w:jc w:val="center"/>
            </w:pPr>
            <w:r>
              <w:rPr>
                <w:rFonts w:eastAsia="Century Gothic" w:cs="Century Gothic"/>
                <w:color w:val="000000"/>
                <w:sz w:val="18"/>
                <w:szCs w:val="18"/>
              </w:rPr>
              <w:t>441 (23.5%)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317C40" w14:textId="77777777" w:rsidR="001C19F3" w:rsidRDefault="001C19F3" w:rsidP="00521305">
            <w:pPr>
              <w:spacing w:before="40" w:after="40"/>
              <w:ind w:left="100" w:right="100"/>
              <w:jc w:val="center"/>
            </w:pPr>
            <w:r>
              <w:rPr>
                <w:rFonts w:eastAsia="Century Gothic" w:cs="Century Gothic"/>
                <w:color w:val="000000"/>
                <w:sz w:val="18"/>
                <w:szCs w:val="18"/>
              </w:rPr>
              <w:t>72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86E54" w14:textId="77777777" w:rsidR="001C19F3" w:rsidRDefault="001C19F3" w:rsidP="00521305">
            <w:pPr>
              <w:spacing w:before="40" w:after="40"/>
              <w:ind w:left="100" w:right="100"/>
              <w:jc w:val="center"/>
            </w:pPr>
            <w:r>
              <w:rPr>
                <w:rFonts w:eastAsia="Century Gothic" w:cs="Century Gothic"/>
                <w:color w:val="000000"/>
                <w:sz w:val="18"/>
                <w:szCs w:val="18"/>
              </w:rPr>
              <w:t>369 (24.6%)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62D668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C24278" w14:textId="77777777" w:rsidR="001C19F3" w:rsidRDefault="001C19F3" w:rsidP="00521305">
            <w:pPr>
              <w:spacing w:before="40" w:after="40"/>
              <w:ind w:left="100" w:right="100"/>
              <w:jc w:val="center"/>
            </w:pPr>
            <w:r>
              <w:rPr>
                <w:rFonts w:eastAsia="Century Gothic" w:cs="Century Gothic"/>
                <w:color w:val="000000"/>
                <w:sz w:val="18"/>
                <w:szCs w:val="18"/>
              </w:rPr>
              <w:t>319 (23.3%)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7CED1B" w14:textId="77777777" w:rsidR="001C19F3" w:rsidRDefault="001C19F3" w:rsidP="00521305">
            <w:pPr>
              <w:spacing w:before="40" w:after="40"/>
              <w:ind w:left="100" w:right="100"/>
              <w:jc w:val="right"/>
            </w:pPr>
            <w:r>
              <w:rPr>
                <w:rFonts w:eastAsia="Century Gothic" w:cs="Century Gothic"/>
                <w:color w:val="000000"/>
                <w:sz w:val="18"/>
                <w:szCs w:val="18"/>
              </w:rPr>
              <w:t>64 (24.5%)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A0F3C8" w14:textId="77777777" w:rsidR="001C19F3" w:rsidRDefault="001C19F3" w:rsidP="00521305">
            <w:pPr>
              <w:spacing w:before="40" w:after="40"/>
              <w:ind w:left="100" w:right="100"/>
              <w:jc w:val="right"/>
            </w:pPr>
            <w:r>
              <w:rPr>
                <w:rFonts w:eastAsia="Century Gothic" w:cs="Century Gothic"/>
                <w:color w:val="000000"/>
                <w:sz w:val="18"/>
                <w:szCs w:val="18"/>
              </w:rPr>
              <w:t>58 (23.7%)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DB52ABB" w14:textId="77777777" w:rsidR="001C19F3" w:rsidRDefault="001C19F3" w:rsidP="00521305">
            <w:pPr>
              <w:spacing w:after="0"/>
              <w:rPr>
                <w:sz w:val="22"/>
              </w:rPr>
            </w:pPr>
          </w:p>
        </w:tc>
      </w:tr>
      <w:tr w:rsidR="001C19F3" w14:paraId="04DF01C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DC7771" w14:textId="77777777" w:rsidR="001C19F3" w:rsidRDefault="001C19F3" w:rsidP="00521305">
            <w:pPr>
              <w:spacing w:before="40" w:after="40"/>
              <w:ind w:left="100" w:right="100"/>
            </w:pPr>
            <w:r>
              <w:rPr>
                <w:rFonts w:eastAsia="Century Gothic" w:cs="Century Gothic"/>
                <w:b/>
                <w:color w:val="000000"/>
                <w:sz w:val="18"/>
                <w:szCs w:val="18"/>
              </w:rPr>
              <w:t>J02 I was given choices about treatment to think about (Q11)</w:t>
            </w:r>
          </w:p>
        </w:tc>
      </w:tr>
      <w:tr w:rsidR="001C19F3" w14:paraId="599F401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54971E"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3659F4" w14:textId="77777777" w:rsidR="001C19F3" w:rsidRDefault="001C19F3" w:rsidP="00521305">
            <w:pPr>
              <w:spacing w:before="40" w:after="40"/>
              <w:ind w:left="100" w:right="100"/>
              <w:jc w:val="center"/>
            </w:pPr>
            <w:r>
              <w:rPr>
                <w:rFonts w:eastAsia="Century Gothic" w:cs="Century Gothic"/>
                <w:color w:val="000000"/>
                <w:sz w:val="18"/>
                <w:szCs w:val="18"/>
              </w:rPr>
              <w:t>292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25A974" w14:textId="77777777" w:rsidR="001C19F3" w:rsidRDefault="001C19F3" w:rsidP="00521305">
            <w:pPr>
              <w:spacing w:before="40" w:after="40"/>
              <w:ind w:left="100" w:right="100"/>
              <w:jc w:val="center"/>
            </w:pPr>
            <w:r>
              <w:rPr>
                <w:rFonts w:eastAsia="Century Gothic" w:cs="Century Gothic"/>
                <w:color w:val="000000"/>
                <w:sz w:val="18"/>
                <w:szCs w:val="18"/>
              </w:rPr>
              <w:t>84 (21.4%)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E28960" w14:textId="77777777" w:rsidR="001C19F3" w:rsidRDefault="001C19F3" w:rsidP="00521305">
            <w:pPr>
              <w:spacing w:before="40" w:after="40"/>
              <w:ind w:left="100" w:right="100"/>
              <w:jc w:val="center"/>
            </w:pPr>
            <w:r>
              <w:rPr>
                <w:rFonts w:eastAsia="Century Gothic" w:cs="Century Gothic"/>
                <w:color w:val="000000"/>
                <w:sz w:val="18"/>
                <w:szCs w:val="18"/>
              </w:rPr>
              <w:t>208 (13.7%)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BD1798"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3EF564" w14:textId="77777777" w:rsidR="001C19F3" w:rsidRDefault="001C19F3" w:rsidP="00521305">
            <w:pPr>
              <w:spacing w:before="40" w:after="40"/>
              <w:ind w:left="100" w:right="100"/>
              <w:jc w:val="center"/>
            </w:pPr>
            <w:r>
              <w:rPr>
                <w:rFonts w:eastAsia="Century Gothic" w:cs="Century Gothic"/>
                <w:color w:val="000000"/>
                <w:sz w:val="18"/>
                <w:szCs w:val="18"/>
              </w:rPr>
              <w:t>207 (14.7%)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58C8A1" w14:textId="77777777" w:rsidR="001C19F3" w:rsidRDefault="001C19F3" w:rsidP="00521305">
            <w:pPr>
              <w:spacing w:before="40" w:after="40"/>
              <w:ind w:left="100" w:right="100"/>
              <w:jc w:val="right"/>
            </w:pPr>
            <w:r>
              <w:rPr>
                <w:rFonts w:eastAsia="Century Gothic" w:cs="Century Gothic"/>
                <w:color w:val="000000"/>
                <w:sz w:val="18"/>
                <w:szCs w:val="18"/>
              </w:rPr>
              <w:t>38 (14.6%)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15B762" w14:textId="77777777" w:rsidR="001C19F3" w:rsidRDefault="001C19F3" w:rsidP="00521305">
            <w:pPr>
              <w:spacing w:before="40" w:after="40"/>
              <w:ind w:left="100" w:right="100"/>
              <w:jc w:val="right"/>
            </w:pPr>
            <w:r>
              <w:rPr>
                <w:rFonts w:eastAsia="Century Gothic" w:cs="Century Gothic"/>
                <w:color w:val="000000"/>
                <w:sz w:val="18"/>
                <w:szCs w:val="18"/>
              </w:rPr>
              <w:t>47 (19.1%)</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28FDD8" w14:textId="77777777" w:rsidR="001C19F3" w:rsidRDefault="001C19F3" w:rsidP="00521305">
            <w:pPr>
              <w:spacing w:before="40" w:after="40"/>
              <w:ind w:left="100" w:right="100"/>
              <w:jc w:val="right"/>
            </w:pPr>
            <w:r>
              <w:rPr>
                <w:rFonts w:eastAsia="Century Gothic" w:cs="Century Gothic"/>
                <w:color w:val="000000"/>
                <w:sz w:val="18"/>
                <w:szCs w:val="18"/>
              </w:rPr>
              <w:t>0.245</w:t>
            </w:r>
          </w:p>
        </w:tc>
      </w:tr>
      <w:tr w:rsidR="001C19F3" w14:paraId="5ADDD6C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6B1038"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5A07F7" w14:textId="77777777" w:rsidR="001C19F3" w:rsidRDefault="001C19F3" w:rsidP="00521305">
            <w:pPr>
              <w:spacing w:before="40" w:after="40"/>
              <w:ind w:left="100" w:right="100"/>
              <w:jc w:val="center"/>
            </w:pPr>
            <w:r>
              <w:rPr>
                <w:rFonts w:eastAsia="Century Gothic" w:cs="Century Gothic"/>
                <w:color w:val="000000"/>
                <w:sz w:val="18"/>
                <w:szCs w:val="18"/>
              </w:rPr>
              <w:t>149 (7.8%)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F05D7B" w14:textId="77777777" w:rsidR="001C19F3" w:rsidRDefault="001C19F3" w:rsidP="00521305">
            <w:pPr>
              <w:spacing w:before="40" w:after="40"/>
              <w:ind w:left="100" w:right="100"/>
              <w:jc w:val="center"/>
            </w:pPr>
            <w:r>
              <w:rPr>
                <w:rFonts w:eastAsia="Century Gothic" w:cs="Century Gothic"/>
                <w:color w:val="000000"/>
                <w:sz w:val="18"/>
                <w:szCs w:val="18"/>
              </w:rPr>
              <w:t>43 (10.9%)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3F0DDA" w14:textId="77777777" w:rsidR="001C19F3" w:rsidRDefault="001C19F3" w:rsidP="00521305">
            <w:pPr>
              <w:spacing w:before="40" w:after="40"/>
              <w:ind w:left="100" w:right="100"/>
              <w:jc w:val="center"/>
            </w:pPr>
            <w:r>
              <w:rPr>
                <w:rFonts w:eastAsia="Century Gothic" w:cs="Century Gothic"/>
                <w:color w:val="000000"/>
                <w:sz w:val="18"/>
                <w:szCs w:val="18"/>
              </w:rPr>
              <w:t>106 (7.0%)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0339B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C8F872" w14:textId="77777777" w:rsidR="001C19F3" w:rsidRDefault="001C19F3" w:rsidP="00521305">
            <w:pPr>
              <w:spacing w:before="40" w:after="40"/>
              <w:ind w:left="100" w:right="100"/>
              <w:jc w:val="center"/>
            </w:pPr>
            <w:r>
              <w:rPr>
                <w:rFonts w:eastAsia="Century Gothic" w:cs="Century Gothic"/>
                <w:color w:val="000000"/>
                <w:sz w:val="18"/>
                <w:szCs w:val="18"/>
              </w:rPr>
              <w:t>105 (7.5%)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EFE949" w14:textId="77777777" w:rsidR="001C19F3" w:rsidRDefault="001C19F3" w:rsidP="00521305">
            <w:pPr>
              <w:spacing w:before="40" w:after="40"/>
              <w:ind w:left="100" w:right="100"/>
              <w:jc w:val="right"/>
            </w:pPr>
            <w:r>
              <w:rPr>
                <w:rFonts w:eastAsia="Century Gothic" w:cs="Century Gothic"/>
                <w:color w:val="000000"/>
                <w:sz w:val="18"/>
                <w:szCs w:val="18"/>
              </w:rPr>
              <w:t>21 (8.1%)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D54E04" w14:textId="77777777" w:rsidR="001C19F3" w:rsidRDefault="001C19F3" w:rsidP="00521305">
            <w:pPr>
              <w:spacing w:before="40" w:after="40"/>
              <w:ind w:left="100" w:right="100"/>
              <w:jc w:val="right"/>
            </w:pPr>
            <w:r>
              <w:rPr>
                <w:rFonts w:eastAsia="Century Gothic" w:cs="Century Gothic"/>
                <w:color w:val="000000"/>
                <w:sz w:val="18"/>
                <w:szCs w:val="18"/>
              </w:rPr>
              <w:t>23 (9.3%)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F1EC7A4" w14:textId="77777777" w:rsidR="001C19F3" w:rsidRDefault="001C19F3" w:rsidP="00521305">
            <w:pPr>
              <w:spacing w:after="0"/>
              <w:rPr>
                <w:sz w:val="22"/>
              </w:rPr>
            </w:pPr>
          </w:p>
        </w:tc>
      </w:tr>
      <w:tr w:rsidR="001C19F3" w14:paraId="6D2EBAB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84DE2B"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4BDD9C" w14:textId="77777777" w:rsidR="001C19F3" w:rsidRDefault="001C19F3" w:rsidP="00521305">
            <w:pPr>
              <w:spacing w:before="40" w:after="40"/>
              <w:ind w:left="100" w:right="100"/>
              <w:jc w:val="center"/>
            </w:pPr>
            <w:r>
              <w:rPr>
                <w:rFonts w:eastAsia="Century Gothic" w:cs="Century Gothic"/>
                <w:color w:val="000000"/>
                <w:sz w:val="18"/>
                <w:szCs w:val="18"/>
              </w:rPr>
              <w:t>373 (19.5%)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814FD0" w14:textId="77777777" w:rsidR="001C19F3" w:rsidRDefault="001C19F3" w:rsidP="00521305">
            <w:pPr>
              <w:spacing w:before="40" w:after="40"/>
              <w:ind w:left="100" w:right="100"/>
              <w:jc w:val="center"/>
            </w:pPr>
            <w:r>
              <w:rPr>
                <w:rFonts w:eastAsia="Century Gothic" w:cs="Century Gothic"/>
                <w:color w:val="000000"/>
                <w:sz w:val="18"/>
                <w:szCs w:val="18"/>
              </w:rPr>
              <w:t>76 (19.3%)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DFA380" w14:textId="77777777" w:rsidR="001C19F3" w:rsidRDefault="001C19F3" w:rsidP="00521305">
            <w:pPr>
              <w:spacing w:before="40" w:after="40"/>
              <w:ind w:left="100" w:right="100"/>
              <w:jc w:val="center"/>
            </w:pPr>
            <w:r>
              <w:rPr>
                <w:rFonts w:eastAsia="Century Gothic" w:cs="Century Gothic"/>
                <w:color w:val="000000"/>
                <w:sz w:val="18"/>
                <w:szCs w:val="18"/>
              </w:rPr>
              <w:t>297 (19.6%)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90342C"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2E718D" w14:textId="77777777" w:rsidR="001C19F3" w:rsidRDefault="001C19F3" w:rsidP="00521305">
            <w:pPr>
              <w:spacing w:before="40" w:after="40"/>
              <w:ind w:left="100" w:right="100"/>
              <w:jc w:val="center"/>
            </w:pPr>
            <w:r>
              <w:rPr>
                <w:rFonts w:eastAsia="Century Gothic" w:cs="Century Gothic"/>
                <w:color w:val="000000"/>
                <w:sz w:val="18"/>
                <w:szCs w:val="18"/>
              </w:rPr>
              <w:t>278 (19.8%)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6E17A" w14:textId="77777777" w:rsidR="001C19F3" w:rsidRDefault="001C19F3" w:rsidP="00521305">
            <w:pPr>
              <w:spacing w:before="40" w:after="40"/>
              <w:ind w:left="100" w:right="100"/>
              <w:jc w:val="right"/>
            </w:pPr>
            <w:r>
              <w:rPr>
                <w:rFonts w:eastAsia="Century Gothic" w:cs="Century Gothic"/>
                <w:color w:val="000000"/>
                <w:sz w:val="18"/>
                <w:szCs w:val="18"/>
              </w:rPr>
              <w:t>45 (17.3%)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C4C217" w14:textId="77777777" w:rsidR="001C19F3" w:rsidRDefault="001C19F3" w:rsidP="00521305">
            <w:pPr>
              <w:spacing w:before="40" w:after="40"/>
              <w:ind w:left="100" w:right="100"/>
              <w:jc w:val="right"/>
            </w:pPr>
            <w:r>
              <w:rPr>
                <w:rFonts w:eastAsia="Century Gothic" w:cs="Century Gothic"/>
                <w:color w:val="000000"/>
                <w:sz w:val="18"/>
                <w:szCs w:val="18"/>
              </w:rPr>
              <w:t>50 (20.3%)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F56BA1C" w14:textId="77777777" w:rsidR="001C19F3" w:rsidRDefault="001C19F3" w:rsidP="00521305">
            <w:pPr>
              <w:spacing w:after="0"/>
              <w:rPr>
                <w:sz w:val="22"/>
              </w:rPr>
            </w:pPr>
          </w:p>
        </w:tc>
      </w:tr>
      <w:tr w:rsidR="001C19F3" w14:paraId="3DFA6EF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D9961" w14:textId="77777777" w:rsidR="001C19F3" w:rsidRDefault="001C19F3" w:rsidP="00521305">
            <w:pPr>
              <w:spacing w:before="40" w:after="40"/>
              <w:ind w:left="160" w:right="100"/>
            </w:pPr>
            <w:r>
              <w:rPr>
                <w:rFonts w:eastAsia="Century Gothic" w:cs="Century Gothic"/>
                <w:color w:val="000000"/>
                <w:sz w:val="18"/>
                <w:szCs w:val="18"/>
              </w:rPr>
              <w:lastRenderedPageBreak/>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B2002B" w14:textId="77777777" w:rsidR="001C19F3" w:rsidRDefault="001C19F3" w:rsidP="00521305">
            <w:pPr>
              <w:spacing w:before="40" w:after="40"/>
              <w:ind w:left="100" w:right="100"/>
              <w:jc w:val="center"/>
            </w:pPr>
            <w:r>
              <w:rPr>
                <w:rFonts w:eastAsia="Century Gothic" w:cs="Century Gothic"/>
                <w:color w:val="000000"/>
                <w:sz w:val="18"/>
                <w:szCs w:val="18"/>
              </w:rPr>
              <w:t>445 (23.3%)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BD5AF9" w14:textId="77777777" w:rsidR="001C19F3" w:rsidRDefault="001C19F3" w:rsidP="00521305">
            <w:pPr>
              <w:spacing w:before="40" w:after="40"/>
              <w:ind w:left="100" w:right="100"/>
              <w:jc w:val="center"/>
            </w:pPr>
            <w:r>
              <w:rPr>
                <w:rFonts w:eastAsia="Century Gothic" w:cs="Century Gothic"/>
                <w:color w:val="000000"/>
                <w:sz w:val="18"/>
                <w:szCs w:val="18"/>
              </w:rPr>
              <w:t>84 (21.4%)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57C4C4" w14:textId="77777777" w:rsidR="001C19F3" w:rsidRDefault="001C19F3" w:rsidP="00521305">
            <w:pPr>
              <w:spacing w:before="40" w:after="40"/>
              <w:ind w:left="100" w:right="100"/>
              <w:jc w:val="center"/>
            </w:pPr>
            <w:r>
              <w:rPr>
                <w:rFonts w:eastAsia="Century Gothic" w:cs="Century Gothic"/>
                <w:color w:val="000000"/>
                <w:sz w:val="18"/>
                <w:szCs w:val="18"/>
              </w:rPr>
              <w:t>361 (23.8%)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82489E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CABEE0" w14:textId="77777777" w:rsidR="001C19F3" w:rsidRDefault="001C19F3" w:rsidP="00521305">
            <w:pPr>
              <w:spacing w:before="40" w:after="40"/>
              <w:ind w:left="100" w:right="100"/>
              <w:jc w:val="center"/>
            </w:pPr>
            <w:r>
              <w:rPr>
                <w:rFonts w:eastAsia="Century Gothic" w:cs="Century Gothic"/>
                <w:color w:val="000000"/>
                <w:sz w:val="18"/>
                <w:szCs w:val="18"/>
              </w:rPr>
              <w:t>336 (23.9%)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09896B" w14:textId="77777777" w:rsidR="001C19F3" w:rsidRDefault="001C19F3" w:rsidP="00521305">
            <w:pPr>
              <w:spacing w:before="40" w:after="40"/>
              <w:ind w:left="100" w:right="100"/>
              <w:jc w:val="right"/>
            </w:pPr>
            <w:r>
              <w:rPr>
                <w:rFonts w:eastAsia="Century Gothic" w:cs="Century Gothic"/>
                <w:color w:val="000000"/>
                <w:sz w:val="18"/>
                <w:szCs w:val="18"/>
              </w:rPr>
              <w:t>53 (20.4%)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E99308" w14:textId="77777777" w:rsidR="001C19F3" w:rsidRDefault="001C19F3" w:rsidP="00521305">
            <w:pPr>
              <w:spacing w:before="40" w:after="40"/>
              <w:ind w:left="100" w:right="100"/>
              <w:jc w:val="right"/>
            </w:pPr>
            <w:r>
              <w:rPr>
                <w:rFonts w:eastAsia="Century Gothic" w:cs="Century Gothic"/>
                <w:color w:val="000000"/>
                <w:sz w:val="18"/>
                <w:szCs w:val="18"/>
              </w:rPr>
              <w:t>56 (22.8%)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4BA667C" w14:textId="77777777" w:rsidR="001C19F3" w:rsidRDefault="001C19F3" w:rsidP="00521305">
            <w:pPr>
              <w:spacing w:after="0"/>
              <w:rPr>
                <w:sz w:val="22"/>
              </w:rPr>
            </w:pPr>
          </w:p>
        </w:tc>
      </w:tr>
      <w:tr w:rsidR="001C19F3" w14:paraId="2A3E5EC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7F3A31"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E84270" w14:textId="77777777" w:rsidR="001C19F3" w:rsidRDefault="001C19F3" w:rsidP="00521305">
            <w:pPr>
              <w:spacing w:before="40" w:after="40"/>
              <w:ind w:left="100" w:right="100"/>
              <w:jc w:val="center"/>
            </w:pPr>
            <w:r>
              <w:rPr>
                <w:rFonts w:eastAsia="Century Gothic" w:cs="Century Gothic"/>
                <w:color w:val="000000"/>
                <w:sz w:val="18"/>
                <w:szCs w:val="18"/>
              </w:rPr>
              <w:t>651 (34.1%)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49BE51" w14:textId="77777777" w:rsidR="001C19F3" w:rsidRDefault="001C19F3" w:rsidP="00521305">
            <w:pPr>
              <w:spacing w:before="40" w:after="40"/>
              <w:ind w:left="100" w:right="100"/>
              <w:jc w:val="center"/>
            </w:pPr>
            <w:r>
              <w:rPr>
                <w:rFonts w:eastAsia="Century Gothic" w:cs="Century Gothic"/>
                <w:color w:val="000000"/>
                <w:sz w:val="18"/>
                <w:szCs w:val="18"/>
              </w:rPr>
              <w:t>106 (27.0%)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171E8B" w14:textId="77777777" w:rsidR="001C19F3" w:rsidRDefault="001C19F3" w:rsidP="00521305">
            <w:pPr>
              <w:spacing w:before="40" w:after="40"/>
              <w:ind w:left="100" w:right="100"/>
              <w:jc w:val="center"/>
            </w:pPr>
            <w:r>
              <w:rPr>
                <w:rFonts w:eastAsia="Century Gothic" w:cs="Century Gothic"/>
                <w:color w:val="000000"/>
                <w:sz w:val="18"/>
                <w:szCs w:val="18"/>
              </w:rPr>
              <w:t>545 (35.9%)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FB6A6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2CC155" w14:textId="77777777" w:rsidR="001C19F3" w:rsidRDefault="001C19F3" w:rsidP="00521305">
            <w:pPr>
              <w:spacing w:before="40" w:after="40"/>
              <w:ind w:left="100" w:right="100"/>
              <w:jc w:val="center"/>
            </w:pPr>
            <w:r>
              <w:rPr>
                <w:rFonts w:eastAsia="Century Gothic" w:cs="Century Gothic"/>
                <w:color w:val="000000"/>
                <w:sz w:val="18"/>
                <w:szCs w:val="18"/>
              </w:rPr>
              <w:t>478 (34.0%)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01DFA0" w14:textId="77777777" w:rsidR="001C19F3" w:rsidRDefault="001C19F3" w:rsidP="00521305">
            <w:pPr>
              <w:spacing w:before="40" w:after="40"/>
              <w:ind w:left="100" w:right="100"/>
              <w:jc w:val="right"/>
            </w:pPr>
            <w:r>
              <w:rPr>
                <w:rFonts w:eastAsia="Century Gothic" w:cs="Century Gothic"/>
                <w:color w:val="000000"/>
                <w:sz w:val="18"/>
                <w:szCs w:val="18"/>
              </w:rPr>
              <w:t>103 (39.6%)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ECDFCF" w14:textId="77777777" w:rsidR="001C19F3" w:rsidRDefault="001C19F3" w:rsidP="00521305">
            <w:pPr>
              <w:spacing w:before="40" w:after="40"/>
              <w:ind w:left="100" w:right="100"/>
              <w:jc w:val="right"/>
            </w:pPr>
            <w:r>
              <w:rPr>
                <w:rFonts w:eastAsia="Century Gothic" w:cs="Century Gothic"/>
                <w:color w:val="000000"/>
                <w:sz w:val="18"/>
                <w:szCs w:val="18"/>
              </w:rPr>
              <w:t>70 (28.5%)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852C437" w14:textId="77777777" w:rsidR="001C19F3" w:rsidRDefault="001C19F3" w:rsidP="00521305">
            <w:pPr>
              <w:spacing w:after="0"/>
              <w:rPr>
                <w:sz w:val="22"/>
              </w:rPr>
            </w:pPr>
          </w:p>
        </w:tc>
      </w:tr>
      <w:tr w:rsidR="001C19F3" w14:paraId="25FCC51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C6C83E" w14:textId="77777777" w:rsidR="001C19F3" w:rsidRDefault="001C19F3" w:rsidP="00521305">
            <w:pPr>
              <w:spacing w:before="40" w:after="40"/>
              <w:ind w:left="100" w:right="100"/>
            </w:pPr>
            <w:r>
              <w:rPr>
                <w:rFonts w:eastAsia="Century Gothic" w:cs="Century Gothic"/>
                <w:b/>
                <w:color w:val="000000"/>
                <w:sz w:val="18"/>
                <w:szCs w:val="18"/>
              </w:rPr>
              <w:t>J03 I was sure that my doctor or nurse thought about my values, beliefs, and traditions when they recommended treatments to me (Q11)</w:t>
            </w:r>
          </w:p>
        </w:tc>
      </w:tr>
      <w:tr w:rsidR="001C19F3" w14:paraId="4D59144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220A00"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E68B80" w14:textId="77777777" w:rsidR="001C19F3" w:rsidRDefault="001C19F3" w:rsidP="00521305">
            <w:pPr>
              <w:spacing w:before="40" w:after="40"/>
              <w:ind w:left="100" w:right="100"/>
              <w:jc w:val="center"/>
            </w:pPr>
            <w:r>
              <w:rPr>
                <w:rFonts w:eastAsia="Century Gothic" w:cs="Century Gothic"/>
                <w:color w:val="000000"/>
                <w:sz w:val="18"/>
                <w:szCs w:val="18"/>
              </w:rPr>
              <w:t>130 (6.9%)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827DC0" w14:textId="77777777" w:rsidR="001C19F3" w:rsidRDefault="001C19F3" w:rsidP="00521305">
            <w:pPr>
              <w:spacing w:before="40" w:after="40"/>
              <w:ind w:left="100" w:right="100"/>
              <w:jc w:val="center"/>
            </w:pPr>
            <w:r>
              <w:rPr>
                <w:rFonts w:eastAsia="Century Gothic" w:cs="Century Gothic"/>
                <w:color w:val="000000"/>
                <w:sz w:val="18"/>
                <w:szCs w:val="18"/>
              </w:rPr>
              <w:t>39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1EF6D5" w14:textId="77777777" w:rsidR="001C19F3" w:rsidRDefault="001C19F3" w:rsidP="00521305">
            <w:pPr>
              <w:spacing w:before="40" w:after="40"/>
              <w:ind w:left="100" w:right="100"/>
              <w:jc w:val="center"/>
            </w:pPr>
            <w:r>
              <w:rPr>
                <w:rFonts w:eastAsia="Century Gothic" w:cs="Century Gothic"/>
                <w:color w:val="000000"/>
                <w:sz w:val="18"/>
                <w:szCs w:val="18"/>
              </w:rPr>
              <w:t>91 (6.0%)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F0192D" w14:textId="77777777" w:rsidR="001C19F3" w:rsidRDefault="001C19F3" w:rsidP="00521305">
            <w:pPr>
              <w:spacing w:before="40" w:after="40"/>
              <w:ind w:left="100" w:right="100"/>
              <w:jc w:val="center"/>
            </w:pPr>
            <w:r>
              <w:rPr>
                <w:rFonts w:eastAsia="Century Gothic" w:cs="Century Gothic"/>
                <w:color w:val="000000"/>
                <w:sz w:val="18"/>
                <w:szCs w:val="18"/>
              </w:rPr>
              <w:t>0.020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02BE58" w14:textId="77777777" w:rsidR="001C19F3" w:rsidRDefault="001C19F3" w:rsidP="00521305">
            <w:pPr>
              <w:spacing w:before="40" w:after="40"/>
              <w:ind w:left="100" w:right="100"/>
              <w:jc w:val="center"/>
            </w:pPr>
            <w:r>
              <w:rPr>
                <w:rFonts w:eastAsia="Century Gothic" w:cs="Century Gothic"/>
                <w:color w:val="000000"/>
                <w:sz w:val="18"/>
                <w:szCs w:val="18"/>
              </w:rPr>
              <w:t>101 (7.3%)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4D1E7F" w14:textId="77777777" w:rsidR="001C19F3" w:rsidRDefault="001C19F3" w:rsidP="00521305">
            <w:pPr>
              <w:spacing w:before="40" w:after="40"/>
              <w:ind w:left="100" w:right="100"/>
              <w:jc w:val="right"/>
            </w:pPr>
            <w:r>
              <w:rPr>
                <w:rFonts w:eastAsia="Century Gothic" w:cs="Century Gothic"/>
                <w:color w:val="000000"/>
                <w:sz w:val="18"/>
                <w:szCs w:val="18"/>
              </w:rPr>
              <w:t>15 (5.8%)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97B099" w14:textId="77777777" w:rsidR="001C19F3" w:rsidRDefault="001C19F3" w:rsidP="00521305">
            <w:pPr>
              <w:spacing w:before="40" w:after="40"/>
              <w:ind w:left="100" w:right="100"/>
              <w:jc w:val="right"/>
            </w:pPr>
            <w:r>
              <w:rPr>
                <w:rFonts w:eastAsia="Century Gothic" w:cs="Century Gothic"/>
                <w:color w:val="000000"/>
                <w:sz w:val="18"/>
                <w:szCs w:val="18"/>
              </w:rPr>
              <w:t>14 (5.5%)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5EBBD9" w14:textId="77777777" w:rsidR="001C19F3" w:rsidRDefault="001C19F3" w:rsidP="00521305">
            <w:pPr>
              <w:spacing w:before="40" w:after="40"/>
              <w:ind w:left="100" w:right="100"/>
              <w:jc w:val="right"/>
            </w:pPr>
            <w:r>
              <w:rPr>
                <w:rFonts w:eastAsia="Century Gothic" w:cs="Century Gothic"/>
                <w:color w:val="000000"/>
                <w:sz w:val="18"/>
                <w:szCs w:val="18"/>
              </w:rPr>
              <w:t>0.143</w:t>
            </w:r>
          </w:p>
        </w:tc>
      </w:tr>
      <w:tr w:rsidR="001C19F3" w14:paraId="32361DD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6BB438"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EDBB0F" w14:textId="77777777" w:rsidR="001C19F3" w:rsidRDefault="001C19F3" w:rsidP="00521305">
            <w:pPr>
              <w:spacing w:before="40" w:after="40"/>
              <w:ind w:left="100" w:right="100"/>
              <w:jc w:val="center"/>
            </w:pPr>
            <w:r>
              <w:rPr>
                <w:rFonts w:eastAsia="Century Gothic" w:cs="Century Gothic"/>
                <w:color w:val="000000"/>
                <w:sz w:val="18"/>
                <w:szCs w:val="18"/>
              </w:rPr>
              <w:t>64 (3.4%)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2E0BE2" w14:textId="77777777" w:rsidR="001C19F3" w:rsidRDefault="001C19F3" w:rsidP="00521305">
            <w:pPr>
              <w:spacing w:before="40" w:after="40"/>
              <w:ind w:left="100" w:right="100"/>
              <w:jc w:val="center"/>
            </w:pPr>
            <w:r>
              <w:rPr>
                <w:rFonts w:eastAsia="Century Gothic" w:cs="Century Gothic"/>
                <w:color w:val="000000"/>
                <w:sz w:val="18"/>
                <w:szCs w:val="18"/>
              </w:rPr>
              <w:t>13 (3.4%)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8ACA59" w14:textId="77777777" w:rsidR="001C19F3" w:rsidRDefault="001C19F3" w:rsidP="00521305">
            <w:pPr>
              <w:spacing w:before="40" w:after="40"/>
              <w:ind w:left="100" w:right="100"/>
              <w:jc w:val="center"/>
            </w:pPr>
            <w:r>
              <w:rPr>
                <w:rFonts w:eastAsia="Century Gothic" w:cs="Century Gothic"/>
                <w:color w:val="000000"/>
                <w:sz w:val="18"/>
                <w:szCs w:val="18"/>
              </w:rPr>
              <w:t>51 (3.4%)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A818BB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A3EC7" w14:textId="77777777" w:rsidR="001C19F3" w:rsidRDefault="001C19F3" w:rsidP="00521305">
            <w:pPr>
              <w:spacing w:before="40" w:after="40"/>
              <w:ind w:left="100" w:right="100"/>
              <w:jc w:val="center"/>
            </w:pPr>
            <w:r>
              <w:rPr>
                <w:rFonts w:eastAsia="Century Gothic" w:cs="Century Gothic"/>
                <w:color w:val="000000"/>
                <w:sz w:val="18"/>
                <w:szCs w:val="18"/>
              </w:rPr>
              <w:t>43 (3.1%)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A73AD2" w14:textId="77777777" w:rsidR="001C19F3" w:rsidRDefault="001C19F3" w:rsidP="00521305">
            <w:pPr>
              <w:spacing w:before="40" w:after="40"/>
              <w:ind w:left="100" w:right="100"/>
              <w:jc w:val="right"/>
            </w:pPr>
            <w:r>
              <w:rPr>
                <w:rFonts w:eastAsia="Century Gothic" w:cs="Century Gothic"/>
                <w:color w:val="000000"/>
                <w:sz w:val="18"/>
                <w:szCs w:val="18"/>
              </w:rPr>
              <w:t>10 (3.9%)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888505" w14:textId="77777777" w:rsidR="001C19F3" w:rsidRDefault="001C19F3" w:rsidP="00521305">
            <w:pPr>
              <w:spacing w:before="40" w:after="40"/>
              <w:ind w:left="100" w:right="100"/>
              <w:jc w:val="right"/>
            </w:pPr>
            <w:r>
              <w:rPr>
                <w:rFonts w:eastAsia="Century Gothic" w:cs="Century Gothic"/>
                <w:color w:val="000000"/>
                <w:sz w:val="18"/>
                <w:szCs w:val="18"/>
              </w:rPr>
              <w:t>11 (4.3%)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763FEE3" w14:textId="77777777" w:rsidR="001C19F3" w:rsidRDefault="001C19F3" w:rsidP="00521305">
            <w:pPr>
              <w:spacing w:after="0"/>
              <w:rPr>
                <w:sz w:val="22"/>
              </w:rPr>
            </w:pPr>
          </w:p>
        </w:tc>
      </w:tr>
      <w:tr w:rsidR="001C19F3" w14:paraId="7E5E524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246121"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AF1185" w14:textId="77777777" w:rsidR="001C19F3" w:rsidRDefault="001C19F3" w:rsidP="00521305">
            <w:pPr>
              <w:spacing w:before="40" w:after="40"/>
              <w:ind w:left="100" w:right="100"/>
              <w:jc w:val="center"/>
            </w:pPr>
            <w:r>
              <w:rPr>
                <w:rFonts w:eastAsia="Century Gothic" w:cs="Century Gothic"/>
                <w:color w:val="000000"/>
                <w:sz w:val="18"/>
                <w:szCs w:val="18"/>
              </w:rPr>
              <w:t>169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3FEFB0" w14:textId="77777777" w:rsidR="001C19F3" w:rsidRDefault="001C19F3" w:rsidP="00521305">
            <w:pPr>
              <w:spacing w:before="40" w:after="40"/>
              <w:ind w:left="100" w:right="100"/>
              <w:jc w:val="center"/>
            </w:pPr>
            <w:r>
              <w:rPr>
                <w:rFonts w:eastAsia="Century Gothic" w:cs="Century Gothic"/>
                <w:color w:val="000000"/>
                <w:sz w:val="18"/>
                <w:szCs w:val="18"/>
              </w:rPr>
              <w:t>38 (9.8%)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DAFAA5" w14:textId="77777777" w:rsidR="001C19F3" w:rsidRDefault="001C19F3" w:rsidP="00521305">
            <w:pPr>
              <w:spacing w:before="40" w:after="40"/>
              <w:ind w:left="100" w:right="100"/>
              <w:jc w:val="center"/>
            </w:pPr>
            <w:r>
              <w:rPr>
                <w:rFonts w:eastAsia="Century Gothic" w:cs="Century Gothic"/>
                <w:color w:val="000000"/>
                <w:sz w:val="18"/>
                <w:szCs w:val="18"/>
              </w:rPr>
              <w:t>131 (8.7%)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4CE5F4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296694" w14:textId="77777777" w:rsidR="001C19F3" w:rsidRDefault="001C19F3" w:rsidP="00521305">
            <w:pPr>
              <w:spacing w:before="40" w:after="40"/>
              <w:ind w:left="100" w:right="100"/>
              <w:jc w:val="center"/>
            </w:pPr>
            <w:r>
              <w:rPr>
                <w:rFonts w:eastAsia="Century Gothic" w:cs="Century Gothic"/>
                <w:color w:val="000000"/>
                <w:sz w:val="18"/>
                <w:szCs w:val="18"/>
              </w:rPr>
              <w:t>121 (8.8%)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51226C" w14:textId="77777777" w:rsidR="001C19F3" w:rsidRDefault="001C19F3" w:rsidP="00521305">
            <w:pPr>
              <w:spacing w:before="40" w:after="40"/>
              <w:ind w:left="100" w:right="100"/>
              <w:jc w:val="right"/>
            </w:pPr>
            <w:r>
              <w:rPr>
                <w:rFonts w:eastAsia="Century Gothic" w:cs="Century Gothic"/>
                <w:color w:val="000000"/>
                <w:sz w:val="18"/>
                <w:szCs w:val="18"/>
              </w:rPr>
              <w:t>19 (7.3%)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A236DE" w14:textId="77777777" w:rsidR="001C19F3" w:rsidRDefault="001C19F3" w:rsidP="00521305">
            <w:pPr>
              <w:spacing w:before="40" w:after="40"/>
              <w:ind w:left="100" w:right="100"/>
              <w:jc w:val="right"/>
            </w:pPr>
            <w:r>
              <w:rPr>
                <w:rFonts w:eastAsia="Century Gothic" w:cs="Century Gothic"/>
                <w:color w:val="000000"/>
                <w:sz w:val="18"/>
                <w:szCs w:val="18"/>
              </w:rPr>
              <w:t>29 (11.5%)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41FADE0" w14:textId="77777777" w:rsidR="001C19F3" w:rsidRDefault="001C19F3" w:rsidP="00521305">
            <w:pPr>
              <w:spacing w:after="0"/>
              <w:rPr>
                <w:sz w:val="22"/>
              </w:rPr>
            </w:pPr>
          </w:p>
        </w:tc>
      </w:tr>
      <w:tr w:rsidR="001C19F3" w14:paraId="03A389D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882B6B"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F65A73" w14:textId="77777777" w:rsidR="001C19F3" w:rsidRDefault="001C19F3" w:rsidP="00521305">
            <w:pPr>
              <w:spacing w:before="40" w:after="40"/>
              <w:ind w:left="100" w:right="100"/>
              <w:jc w:val="center"/>
            </w:pPr>
            <w:r>
              <w:rPr>
                <w:rFonts w:eastAsia="Century Gothic" w:cs="Century Gothic"/>
                <w:color w:val="000000"/>
                <w:sz w:val="18"/>
                <w:szCs w:val="18"/>
              </w:rPr>
              <w:t>437 (23.1%)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F8B88F" w14:textId="77777777" w:rsidR="001C19F3" w:rsidRDefault="001C19F3" w:rsidP="00521305">
            <w:pPr>
              <w:spacing w:before="40" w:after="40"/>
              <w:ind w:left="100" w:right="100"/>
              <w:jc w:val="center"/>
            </w:pPr>
            <w:r>
              <w:rPr>
                <w:rFonts w:eastAsia="Century Gothic" w:cs="Century Gothic"/>
                <w:color w:val="000000"/>
                <w:sz w:val="18"/>
                <w:szCs w:val="18"/>
              </w:rPr>
              <w:t>97 (25.1%)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CD0410" w14:textId="77777777" w:rsidR="001C19F3" w:rsidRDefault="001C19F3" w:rsidP="00521305">
            <w:pPr>
              <w:spacing w:before="40" w:after="40"/>
              <w:ind w:left="100" w:right="100"/>
              <w:jc w:val="center"/>
            </w:pPr>
            <w:r>
              <w:rPr>
                <w:rFonts w:eastAsia="Century Gothic" w:cs="Century Gothic"/>
                <w:color w:val="000000"/>
                <w:sz w:val="18"/>
                <w:szCs w:val="18"/>
              </w:rPr>
              <w:t>340 (22.6%)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21C9E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14B98EF" w14:textId="77777777" w:rsidR="001C19F3" w:rsidRDefault="001C19F3" w:rsidP="00521305">
            <w:pPr>
              <w:spacing w:before="40" w:after="40"/>
              <w:ind w:left="100" w:right="100"/>
              <w:jc w:val="center"/>
            </w:pPr>
            <w:r>
              <w:rPr>
                <w:rFonts w:eastAsia="Century Gothic" w:cs="Century Gothic"/>
                <w:color w:val="000000"/>
                <w:sz w:val="18"/>
                <w:szCs w:val="18"/>
              </w:rPr>
              <w:t>329 (23.8%)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36BF86" w14:textId="77777777" w:rsidR="001C19F3" w:rsidRDefault="001C19F3" w:rsidP="00521305">
            <w:pPr>
              <w:spacing w:before="40" w:after="40"/>
              <w:ind w:left="100" w:right="100"/>
              <w:jc w:val="right"/>
            </w:pPr>
            <w:r>
              <w:rPr>
                <w:rFonts w:eastAsia="Century Gothic" w:cs="Century Gothic"/>
                <w:color w:val="000000"/>
                <w:sz w:val="18"/>
                <w:szCs w:val="18"/>
              </w:rPr>
              <w:t>46 (17.8%)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E4215" w14:textId="77777777" w:rsidR="001C19F3" w:rsidRDefault="001C19F3" w:rsidP="00521305">
            <w:pPr>
              <w:spacing w:before="40" w:after="40"/>
              <w:ind w:left="100" w:right="100"/>
              <w:jc w:val="right"/>
            </w:pPr>
            <w:r>
              <w:rPr>
                <w:rFonts w:eastAsia="Century Gothic" w:cs="Century Gothic"/>
                <w:color w:val="000000"/>
                <w:sz w:val="18"/>
                <w:szCs w:val="18"/>
              </w:rPr>
              <w:t>62 (24.5%)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A1A07A1" w14:textId="77777777" w:rsidR="001C19F3" w:rsidRDefault="001C19F3" w:rsidP="00521305">
            <w:pPr>
              <w:spacing w:after="0"/>
              <w:rPr>
                <w:sz w:val="22"/>
              </w:rPr>
            </w:pPr>
          </w:p>
        </w:tc>
      </w:tr>
      <w:tr w:rsidR="001C19F3" w14:paraId="782C92C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B316E"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D41144" w14:textId="77777777" w:rsidR="001C19F3" w:rsidRDefault="001C19F3" w:rsidP="00521305">
            <w:pPr>
              <w:spacing w:before="40" w:after="40"/>
              <w:ind w:left="100" w:right="100"/>
              <w:jc w:val="center"/>
            </w:pPr>
            <w:r>
              <w:rPr>
                <w:rFonts w:eastAsia="Century Gothic" w:cs="Century Gothic"/>
                <w:color w:val="000000"/>
                <w:sz w:val="18"/>
                <w:szCs w:val="18"/>
              </w:rPr>
              <w:t>1,094 (57.8%)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A74268" w14:textId="77777777" w:rsidR="001C19F3" w:rsidRDefault="001C19F3" w:rsidP="00521305">
            <w:pPr>
              <w:spacing w:before="40" w:after="40"/>
              <w:ind w:left="100" w:right="100"/>
              <w:jc w:val="center"/>
            </w:pPr>
            <w:r>
              <w:rPr>
                <w:rFonts w:eastAsia="Century Gothic" w:cs="Century Gothic"/>
                <w:color w:val="000000"/>
                <w:sz w:val="18"/>
                <w:szCs w:val="18"/>
              </w:rPr>
              <w:t>200 (51.7%)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AB6E6B" w14:textId="77777777" w:rsidR="001C19F3" w:rsidRDefault="001C19F3" w:rsidP="00521305">
            <w:pPr>
              <w:spacing w:before="40" w:after="40"/>
              <w:ind w:left="100" w:right="100"/>
              <w:jc w:val="center"/>
            </w:pPr>
            <w:r>
              <w:rPr>
                <w:rFonts w:eastAsia="Century Gothic" w:cs="Century Gothic"/>
                <w:color w:val="000000"/>
                <w:sz w:val="18"/>
                <w:szCs w:val="18"/>
              </w:rPr>
              <w:t>894 (59.3%)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CB7C22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A056B7" w14:textId="77777777" w:rsidR="001C19F3" w:rsidRDefault="001C19F3" w:rsidP="00521305">
            <w:pPr>
              <w:spacing w:before="40" w:after="40"/>
              <w:ind w:left="100" w:right="100"/>
              <w:jc w:val="center"/>
            </w:pPr>
            <w:r>
              <w:rPr>
                <w:rFonts w:eastAsia="Century Gothic" w:cs="Century Gothic"/>
                <w:color w:val="000000"/>
                <w:sz w:val="18"/>
                <w:szCs w:val="18"/>
              </w:rPr>
              <w:t>788 (57.0%)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2B90AF" w14:textId="77777777" w:rsidR="001C19F3" w:rsidRDefault="001C19F3" w:rsidP="00521305">
            <w:pPr>
              <w:spacing w:before="40" w:after="40"/>
              <w:ind w:left="100" w:right="100"/>
              <w:jc w:val="right"/>
            </w:pPr>
            <w:r>
              <w:rPr>
                <w:rFonts w:eastAsia="Century Gothic" w:cs="Century Gothic"/>
                <w:color w:val="000000"/>
                <w:sz w:val="18"/>
                <w:szCs w:val="18"/>
              </w:rPr>
              <w:t>169 (65.3%)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5A5A1F" w14:textId="77777777" w:rsidR="001C19F3" w:rsidRDefault="001C19F3" w:rsidP="00521305">
            <w:pPr>
              <w:spacing w:before="40" w:after="40"/>
              <w:ind w:left="100" w:right="100"/>
              <w:jc w:val="right"/>
            </w:pPr>
            <w:r>
              <w:rPr>
                <w:rFonts w:eastAsia="Century Gothic" w:cs="Century Gothic"/>
                <w:color w:val="000000"/>
                <w:sz w:val="18"/>
                <w:szCs w:val="18"/>
              </w:rPr>
              <w:t>137 (54.2%)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403B37" w14:textId="77777777" w:rsidR="001C19F3" w:rsidRDefault="001C19F3" w:rsidP="00521305">
            <w:pPr>
              <w:spacing w:after="0"/>
              <w:rPr>
                <w:sz w:val="22"/>
              </w:rPr>
            </w:pPr>
          </w:p>
        </w:tc>
      </w:tr>
      <w:tr w:rsidR="001C19F3" w14:paraId="2D03A06A"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08E344" w14:textId="77777777" w:rsidR="001C19F3" w:rsidRDefault="001C19F3" w:rsidP="00521305">
            <w:pPr>
              <w:spacing w:before="40" w:after="40"/>
              <w:ind w:left="100" w:right="100"/>
            </w:pPr>
            <w:r>
              <w:rPr>
                <w:rFonts w:eastAsia="Century Gothic" w:cs="Century Gothic"/>
                <w:b/>
                <w:color w:val="000000"/>
                <w:sz w:val="18"/>
                <w:szCs w:val="18"/>
              </w:rPr>
              <w:t>J04 I was shown how what I did to care for myself influenced my condition (Q11)</w:t>
            </w:r>
          </w:p>
        </w:tc>
      </w:tr>
      <w:tr w:rsidR="001C19F3" w14:paraId="56E9009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2DCDE2"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04CF7" w14:textId="77777777" w:rsidR="001C19F3" w:rsidRDefault="001C19F3" w:rsidP="00521305">
            <w:pPr>
              <w:spacing w:before="40" w:after="40"/>
              <w:ind w:left="100" w:right="100"/>
              <w:jc w:val="center"/>
            </w:pPr>
            <w:r>
              <w:rPr>
                <w:rFonts w:eastAsia="Century Gothic" w:cs="Century Gothic"/>
                <w:color w:val="000000"/>
                <w:sz w:val="18"/>
                <w:szCs w:val="18"/>
              </w:rPr>
              <w:t>145 (7.7%)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D56EEF" w14:textId="77777777" w:rsidR="001C19F3" w:rsidRDefault="001C19F3" w:rsidP="00521305">
            <w:pPr>
              <w:spacing w:before="40" w:after="40"/>
              <w:ind w:left="100" w:right="100"/>
              <w:jc w:val="center"/>
            </w:pPr>
            <w:r>
              <w:rPr>
                <w:rFonts w:eastAsia="Century Gothic" w:cs="Century Gothic"/>
                <w:color w:val="000000"/>
                <w:sz w:val="18"/>
                <w:szCs w:val="18"/>
              </w:rPr>
              <w:t>35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0D7A13" w14:textId="77777777" w:rsidR="001C19F3" w:rsidRDefault="001C19F3" w:rsidP="00521305">
            <w:pPr>
              <w:spacing w:before="40" w:after="40"/>
              <w:ind w:left="100" w:right="100"/>
              <w:jc w:val="center"/>
            </w:pPr>
            <w:r>
              <w:rPr>
                <w:rFonts w:eastAsia="Century Gothic" w:cs="Century Gothic"/>
                <w:color w:val="000000"/>
                <w:sz w:val="18"/>
                <w:szCs w:val="18"/>
              </w:rPr>
              <w:t>110 (7.4%)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110E08" w14:textId="77777777" w:rsidR="001C19F3" w:rsidRDefault="001C19F3" w:rsidP="00521305">
            <w:pPr>
              <w:spacing w:before="40" w:after="40"/>
              <w:ind w:left="100" w:right="100"/>
              <w:jc w:val="center"/>
            </w:pPr>
            <w:r>
              <w:rPr>
                <w:rFonts w:eastAsia="Century Gothic" w:cs="Century Gothic"/>
                <w:color w:val="000000"/>
                <w:sz w:val="18"/>
                <w:szCs w:val="18"/>
              </w:rPr>
              <w:t>0.293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542EBD" w14:textId="77777777" w:rsidR="001C19F3" w:rsidRDefault="001C19F3" w:rsidP="00521305">
            <w:pPr>
              <w:spacing w:before="40" w:after="40"/>
              <w:ind w:left="100" w:right="100"/>
              <w:jc w:val="center"/>
            </w:pPr>
            <w:r>
              <w:rPr>
                <w:rFonts w:eastAsia="Century Gothic" w:cs="Century Gothic"/>
                <w:color w:val="000000"/>
                <w:sz w:val="18"/>
                <w:szCs w:val="18"/>
              </w:rPr>
              <w:t>102 (7.4%)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91B65D" w14:textId="77777777" w:rsidR="001C19F3" w:rsidRDefault="001C19F3" w:rsidP="00521305">
            <w:pPr>
              <w:spacing w:before="40" w:after="40"/>
              <w:ind w:left="100" w:right="100"/>
              <w:jc w:val="right"/>
            </w:pPr>
            <w:r>
              <w:rPr>
                <w:rFonts w:eastAsia="Century Gothic" w:cs="Century Gothic"/>
                <w:color w:val="000000"/>
                <w:sz w:val="18"/>
                <w:szCs w:val="18"/>
              </w:rPr>
              <w:t>22 (8.6%)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0E0657" w14:textId="77777777" w:rsidR="001C19F3" w:rsidRDefault="001C19F3" w:rsidP="00521305">
            <w:pPr>
              <w:spacing w:before="40" w:after="40"/>
              <w:ind w:left="100" w:right="100"/>
              <w:jc w:val="right"/>
            </w:pPr>
            <w:r>
              <w:rPr>
                <w:rFonts w:eastAsia="Century Gothic" w:cs="Century Gothic"/>
                <w:color w:val="000000"/>
                <w:sz w:val="18"/>
                <w:szCs w:val="18"/>
              </w:rPr>
              <w:t>21 (8.5%)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1641DA" w14:textId="77777777" w:rsidR="001C19F3" w:rsidRDefault="001C19F3" w:rsidP="00521305">
            <w:pPr>
              <w:spacing w:before="40" w:after="40"/>
              <w:ind w:left="100" w:right="100"/>
              <w:jc w:val="right"/>
            </w:pPr>
            <w:r>
              <w:rPr>
                <w:rFonts w:eastAsia="Century Gothic" w:cs="Century Gothic"/>
                <w:color w:val="000000"/>
                <w:sz w:val="18"/>
                <w:szCs w:val="18"/>
              </w:rPr>
              <w:t>0.764</w:t>
            </w:r>
          </w:p>
        </w:tc>
      </w:tr>
      <w:tr w:rsidR="001C19F3" w14:paraId="282CF6E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C97E9F"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0B6FB5" w14:textId="77777777" w:rsidR="001C19F3" w:rsidRDefault="001C19F3" w:rsidP="00521305">
            <w:pPr>
              <w:spacing w:before="40" w:after="40"/>
              <w:ind w:left="100" w:right="100"/>
              <w:jc w:val="center"/>
            </w:pPr>
            <w:r>
              <w:rPr>
                <w:rFonts w:eastAsia="Century Gothic" w:cs="Century Gothic"/>
                <w:color w:val="000000"/>
                <w:sz w:val="18"/>
                <w:szCs w:val="18"/>
              </w:rPr>
              <w:t>102 (5.4%)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C93357" w14:textId="77777777" w:rsidR="001C19F3" w:rsidRDefault="001C19F3" w:rsidP="00521305">
            <w:pPr>
              <w:spacing w:before="40" w:after="40"/>
              <w:ind w:left="100" w:right="100"/>
              <w:jc w:val="center"/>
            </w:pPr>
            <w:r>
              <w:rPr>
                <w:rFonts w:eastAsia="Century Gothic" w:cs="Century Gothic"/>
                <w:color w:val="000000"/>
                <w:sz w:val="18"/>
                <w:szCs w:val="18"/>
              </w:rPr>
              <w:t>23 (5.9%)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C38078" w14:textId="77777777" w:rsidR="001C19F3" w:rsidRDefault="001C19F3" w:rsidP="00521305">
            <w:pPr>
              <w:spacing w:before="40" w:after="40"/>
              <w:ind w:left="100" w:right="100"/>
              <w:jc w:val="center"/>
            </w:pPr>
            <w:r>
              <w:rPr>
                <w:rFonts w:eastAsia="Century Gothic" w:cs="Century Gothic"/>
                <w:color w:val="000000"/>
                <w:sz w:val="18"/>
                <w:szCs w:val="18"/>
              </w:rPr>
              <w:t>79 (5.3%)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124831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C4E63E" w14:textId="77777777" w:rsidR="001C19F3" w:rsidRDefault="001C19F3" w:rsidP="00521305">
            <w:pPr>
              <w:spacing w:before="40" w:after="40"/>
              <w:ind w:left="100" w:right="100"/>
              <w:jc w:val="center"/>
            </w:pPr>
            <w:r>
              <w:rPr>
                <w:rFonts w:eastAsia="Century Gothic" w:cs="Century Gothic"/>
                <w:color w:val="000000"/>
                <w:sz w:val="18"/>
                <w:szCs w:val="18"/>
              </w:rPr>
              <w:t>74 (5.4%)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C17B71" w14:textId="77777777" w:rsidR="001C19F3" w:rsidRDefault="001C19F3" w:rsidP="00521305">
            <w:pPr>
              <w:spacing w:before="40" w:after="40"/>
              <w:ind w:left="100" w:right="100"/>
              <w:jc w:val="right"/>
            </w:pPr>
            <w:r>
              <w:rPr>
                <w:rFonts w:eastAsia="Century Gothic" w:cs="Century Gothic"/>
                <w:color w:val="000000"/>
                <w:sz w:val="18"/>
                <w:szCs w:val="18"/>
              </w:rPr>
              <w:t>16 (6.3%)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A96A41" w14:textId="77777777" w:rsidR="001C19F3" w:rsidRDefault="001C19F3" w:rsidP="00521305">
            <w:pPr>
              <w:spacing w:before="40" w:after="40"/>
              <w:ind w:left="100" w:right="100"/>
              <w:jc w:val="right"/>
            </w:pPr>
            <w:r>
              <w:rPr>
                <w:rFonts w:eastAsia="Century Gothic" w:cs="Century Gothic"/>
                <w:color w:val="000000"/>
                <w:sz w:val="18"/>
                <w:szCs w:val="18"/>
              </w:rPr>
              <w:t>12 (4.9%)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F5E1A8B" w14:textId="77777777" w:rsidR="001C19F3" w:rsidRDefault="001C19F3" w:rsidP="00521305">
            <w:pPr>
              <w:spacing w:after="0"/>
              <w:rPr>
                <w:sz w:val="22"/>
              </w:rPr>
            </w:pPr>
          </w:p>
        </w:tc>
      </w:tr>
      <w:tr w:rsidR="001C19F3" w14:paraId="3CC8718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08BC6E"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31B0DC" w14:textId="77777777" w:rsidR="001C19F3" w:rsidRDefault="001C19F3" w:rsidP="00521305">
            <w:pPr>
              <w:spacing w:before="40" w:after="40"/>
              <w:ind w:left="100" w:right="100"/>
              <w:jc w:val="center"/>
            </w:pPr>
            <w:r>
              <w:rPr>
                <w:rFonts w:eastAsia="Century Gothic" w:cs="Century Gothic"/>
                <w:color w:val="000000"/>
                <w:sz w:val="18"/>
                <w:szCs w:val="18"/>
              </w:rPr>
              <w:t>269 (14.3%)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5ACD26" w14:textId="77777777" w:rsidR="001C19F3" w:rsidRDefault="001C19F3" w:rsidP="00521305">
            <w:pPr>
              <w:spacing w:before="40" w:after="40"/>
              <w:ind w:left="100" w:right="100"/>
              <w:jc w:val="center"/>
            </w:pPr>
            <w:r>
              <w:rPr>
                <w:rFonts w:eastAsia="Century Gothic" w:cs="Century Gothic"/>
                <w:color w:val="000000"/>
                <w:sz w:val="18"/>
                <w:szCs w:val="18"/>
              </w:rPr>
              <w:t>65 (16.8%)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7D13DC" w14:textId="77777777" w:rsidR="001C19F3" w:rsidRDefault="001C19F3" w:rsidP="00521305">
            <w:pPr>
              <w:spacing w:before="40" w:after="40"/>
              <w:ind w:left="100" w:right="100"/>
              <w:jc w:val="center"/>
            </w:pPr>
            <w:r>
              <w:rPr>
                <w:rFonts w:eastAsia="Century Gothic" w:cs="Century Gothic"/>
                <w:color w:val="000000"/>
                <w:sz w:val="18"/>
                <w:szCs w:val="18"/>
              </w:rPr>
              <w:t>204 (13.7%)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6F858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61BAF9" w14:textId="77777777" w:rsidR="001C19F3" w:rsidRDefault="001C19F3" w:rsidP="00521305">
            <w:pPr>
              <w:spacing w:before="40" w:after="40"/>
              <w:ind w:left="100" w:right="100"/>
              <w:jc w:val="center"/>
            </w:pPr>
            <w:r>
              <w:rPr>
                <w:rFonts w:eastAsia="Century Gothic" w:cs="Century Gothic"/>
                <w:color w:val="000000"/>
                <w:sz w:val="18"/>
                <w:szCs w:val="18"/>
              </w:rPr>
              <w:t>191 (13.9%)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4EA7C4" w14:textId="77777777" w:rsidR="001C19F3" w:rsidRDefault="001C19F3" w:rsidP="00521305">
            <w:pPr>
              <w:spacing w:before="40" w:after="40"/>
              <w:ind w:left="100" w:right="100"/>
              <w:jc w:val="right"/>
            </w:pPr>
            <w:r>
              <w:rPr>
                <w:rFonts w:eastAsia="Century Gothic" w:cs="Century Gothic"/>
                <w:color w:val="000000"/>
                <w:sz w:val="18"/>
                <w:szCs w:val="18"/>
              </w:rPr>
              <w:t>39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86E4B7" w14:textId="77777777" w:rsidR="001C19F3" w:rsidRDefault="001C19F3" w:rsidP="00521305">
            <w:pPr>
              <w:spacing w:before="40" w:after="40"/>
              <w:ind w:left="100" w:right="100"/>
              <w:jc w:val="right"/>
            </w:pPr>
            <w:r>
              <w:rPr>
                <w:rFonts w:eastAsia="Century Gothic" w:cs="Century Gothic"/>
                <w:color w:val="000000"/>
                <w:sz w:val="18"/>
                <w:szCs w:val="18"/>
              </w:rPr>
              <w:t>39 (15.9%)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012A80" w14:textId="77777777" w:rsidR="001C19F3" w:rsidRDefault="001C19F3" w:rsidP="00521305">
            <w:pPr>
              <w:spacing w:after="0"/>
              <w:rPr>
                <w:sz w:val="22"/>
              </w:rPr>
            </w:pPr>
          </w:p>
        </w:tc>
      </w:tr>
      <w:tr w:rsidR="001C19F3" w14:paraId="428CAC6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B819C9"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C23ABD" w14:textId="77777777" w:rsidR="001C19F3" w:rsidRDefault="001C19F3" w:rsidP="00521305">
            <w:pPr>
              <w:spacing w:before="40" w:after="40"/>
              <w:ind w:left="100" w:right="100"/>
              <w:jc w:val="center"/>
            </w:pPr>
            <w:r>
              <w:rPr>
                <w:rFonts w:eastAsia="Century Gothic" w:cs="Century Gothic"/>
                <w:color w:val="000000"/>
                <w:sz w:val="18"/>
                <w:szCs w:val="18"/>
              </w:rPr>
              <w:t>561 (29.9%)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545546" w14:textId="77777777" w:rsidR="001C19F3" w:rsidRDefault="001C19F3" w:rsidP="00521305">
            <w:pPr>
              <w:spacing w:before="40" w:after="40"/>
              <w:ind w:left="100" w:right="100"/>
              <w:jc w:val="center"/>
            </w:pPr>
            <w:r>
              <w:rPr>
                <w:rFonts w:eastAsia="Century Gothic" w:cs="Century Gothic"/>
                <w:color w:val="000000"/>
                <w:sz w:val="18"/>
                <w:szCs w:val="18"/>
              </w:rPr>
              <w:t>114 (29.4%)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585EDC" w14:textId="77777777" w:rsidR="001C19F3" w:rsidRDefault="001C19F3" w:rsidP="00521305">
            <w:pPr>
              <w:spacing w:before="40" w:after="40"/>
              <w:ind w:left="100" w:right="100"/>
              <w:jc w:val="center"/>
            </w:pPr>
            <w:r>
              <w:rPr>
                <w:rFonts w:eastAsia="Century Gothic" w:cs="Century Gothic"/>
                <w:color w:val="000000"/>
                <w:sz w:val="18"/>
                <w:szCs w:val="18"/>
              </w:rPr>
              <w:t>447 (30.0%)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A3BDE4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B717B" w14:textId="77777777" w:rsidR="001C19F3" w:rsidRDefault="001C19F3" w:rsidP="00521305">
            <w:pPr>
              <w:spacing w:before="40" w:after="40"/>
              <w:ind w:left="100" w:right="100"/>
              <w:jc w:val="center"/>
            </w:pPr>
            <w:r>
              <w:rPr>
                <w:rFonts w:eastAsia="Century Gothic" w:cs="Century Gothic"/>
                <w:color w:val="000000"/>
                <w:sz w:val="18"/>
                <w:szCs w:val="18"/>
              </w:rPr>
              <w:t>411 (29.8%)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D6927" w14:textId="77777777" w:rsidR="001C19F3" w:rsidRDefault="001C19F3" w:rsidP="00521305">
            <w:pPr>
              <w:spacing w:before="40" w:after="40"/>
              <w:ind w:left="100" w:right="100"/>
              <w:jc w:val="right"/>
            </w:pPr>
            <w:r>
              <w:rPr>
                <w:rFonts w:eastAsia="Century Gothic" w:cs="Century Gothic"/>
                <w:color w:val="000000"/>
                <w:sz w:val="18"/>
                <w:szCs w:val="18"/>
              </w:rPr>
              <w:t>69 (27.1%)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47E577" w14:textId="77777777" w:rsidR="001C19F3" w:rsidRDefault="001C19F3" w:rsidP="00521305">
            <w:pPr>
              <w:spacing w:before="40" w:after="40"/>
              <w:ind w:left="100" w:right="100"/>
              <w:jc w:val="right"/>
            </w:pPr>
            <w:r>
              <w:rPr>
                <w:rFonts w:eastAsia="Century Gothic" w:cs="Century Gothic"/>
                <w:color w:val="000000"/>
                <w:sz w:val="18"/>
                <w:szCs w:val="18"/>
              </w:rPr>
              <w:t>81 (32.9%)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03B0071" w14:textId="77777777" w:rsidR="001C19F3" w:rsidRDefault="001C19F3" w:rsidP="00521305">
            <w:pPr>
              <w:spacing w:after="0"/>
              <w:rPr>
                <w:sz w:val="22"/>
              </w:rPr>
            </w:pPr>
          </w:p>
        </w:tc>
      </w:tr>
      <w:tr w:rsidR="001C19F3" w14:paraId="26A040E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BF55A5"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C456D70" w14:textId="77777777" w:rsidR="001C19F3" w:rsidRDefault="001C19F3" w:rsidP="00521305">
            <w:pPr>
              <w:spacing w:before="40" w:after="40"/>
              <w:ind w:left="100" w:right="100"/>
              <w:jc w:val="center"/>
            </w:pPr>
            <w:r>
              <w:rPr>
                <w:rFonts w:eastAsia="Century Gothic" w:cs="Century Gothic"/>
                <w:color w:val="000000"/>
                <w:sz w:val="18"/>
                <w:szCs w:val="18"/>
              </w:rPr>
              <w:t>801 (42.7%)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843B00" w14:textId="77777777" w:rsidR="001C19F3" w:rsidRDefault="001C19F3" w:rsidP="00521305">
            <w:pPr>
              <w:spacing w:before="40" w:after="40"/>
              <w:ind w:left="100" w:right="100"/>
              <w:jc w:val="center"/>
            </w:pPr>
            <w:r>
              <w:rPr>
                <w:rFonts w:eastAsia="Century Gothic" w:cs="Century Gothic"/>
                <w:color w:val="000000"/>
                <w:sz w:val="18"/>
                <w:szCs w:val="18"/>
              </w:rPr>
              <w:t>151 (38.9%)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D85C9F" w14:textId="77777777" w:rsidR="001C19F3" w:rsidRDefault="001C19F3" w:rsidP="00521305">
            <w:pPr>
              <w:spacing w:before="40" w:after="40"/>
              <w:ind w:left="100" w:right="100"/>
              <w:jc w:val="center"/>
            </w:pPr>
            <w:r>
              <w:rPr>
                <w:rFonts w:eastAsia="Century Gothic" w:cs="Century Gothic"/>
                <w:color w:val="000000"/>
                <w:sz w:val="18"/>
                <w:szCs w:val="18"/>
              </w:rPr>
              <w:t>650 (43.6%)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4660FB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758BB0" w14:textId="77777777" w:rsidR="001C19F3" w:rsidRDefault="001C19F3" w:rsidP="00521305">
            <w:pPr>
              <w:spacing w:before="40" w:after="40"/>
              <w:ind w:left="100" w:right="100"/>
              <w:jc w:val="center"/>
            </w:pPr>
            <w:r>
              <w:rPr>
                <w:rFonts w:eastAsia="Century Gothic" w:cs="Century Gothic"/>
                <w:color w:val="000000"/>
                <w:sz w:val="18"/>
                <w:szCs w:val="18"/>
              </w:rPr>
              <w:t>599 (43.5%)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7CBF39" w14:textId="77777777" w:rsidR="001C19F3" w:rsidRDefault="001C19F3" w:rsidP="00521305">
            <w:pPr>
              <w:spacing w:before="40" w:after="40"/>
              <w:ind w:left="100" w:right="100"/>
              <w:jc w:val="right"/>
            </w:pPr>
            <w:r>
              <w:rPr>
                <w:rFonts w:eastAsia="Century Gothic" w:cs="Century Gothic"/>
                <w:color w:val="000000"/>
                <w:sz w:val="18"/>
                <w:szCs w:val="18"/>
              </w:rPr>
              <w:t>109 (42.7%)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C0B0D7" w14:textId="77777777" w:rsidR="001C19F3" w:rsidRDefault="001C19F3" w:rsidP="00521305">
            <w:pPr>
              <w:spacing w:before="40" w:after="40"/>
              <w:ind w:left="100" w:right="100"/>
              <w:jc w:val="right"/>
            </w:pPr>
            <w:r>
              <w:rPr>
                <w:rFonts w:eastAsia="Century Gothic" w:cs="Century Gothic"/>
                <w:color w:val="000000"/>
                <w:sz w:val="18"/>
                <w:szCs w:val="18"/>
              </w:rPr>
              <w:t>93 (37.8%)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4D1EB8" w14:textId="77777777" w:rsidR="001C19F3" w:rsidRDefault="001C19F3" w:rsidP="00521305">
            <w:pPr>
              <w:spacing w:after="0"/>
              <w:rPr>
                <w:sz w:val="22"/>
              </w:rPr>
            </w:pPr>
          </w:p>
        </w:tc>
      </w:tr>
      <w:tr w:rsidR="001C19F3" w14:paraId="0B21A331"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E793E5" w14:textId="77777777" w:rsidR="001C19F3" w:rsidRDefault="001C19F3" w:rsidP="00521305">
            <w:pPr>
              <w:spacing w:before="40" w:after="40"/>
              <w:ind w:left="100" w:right="100"/>
            </w:pPr>
            <w:r>
              <w:rPr>
                <w:rFonts w:eastAsia="Century Gothic" w:cs="Century Gothic"/>
                <w:b/>
                <w:color w:val="000000"/>
                <w:sz w:val="18"/>
                <w:szCs w:val="18"/>
              </w:rPr>
              <w:t>J05 I was asked to talk about my goals in caring for my condition (Q11)</w:t>
            </w:r>
          </w:p>
        </w:tc>
      </w:tr>
      <w:tr w:rsidR="001C19F3" w14:paraId="48B4668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7E50F7"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F4D61F" w14:textId="77777777" w:rsidR="001C19F3" w:rsidRDefault="001C19F3" w:rsidP="00521305">
            <w:pPr>
              <w:spacing w:before="40" w:after="40"/>
              <w:ind w:left="100" w:right="100"/>
              <w:jc w:val="center"/>
            </w:pPr>
            <w:r>
              <w:rPr>
                <w:rFonts w:eastAsia="Century Gothic" w:cs="Century Gothic"/>
                <w:color w:val="000000"/>
                <w:sz w:val="18"/>
                <w:szCs w:val="18"/>
              </w:rPr>
              <w:t>296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C71430" w14:textId="77777777" w:rsidR="001C19F3" w:rsidRDefault="001C19F3" w:rsidP="00521305">
            <w:pPr>
              <w:spacing w:before="40" w:after="40"/>
              <w:ind w:left="100" w:right="100"/>
              <w:jc w:val="center"/>
            </w:pPr>
            <w:r>
              <w:rPr>
                <w:rFonts w:eastAsia="Century Gothic" w:cs="Century Gothic"/>
                <w:color w:val="000000"/>
                <w:sz w:val="18"/>
                <w:szCs w:val="18"/>
              </w:rPr>
              <w:t>81 (20.3%)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5E66BB" w14:textId="77777777" w:rsidR="001C19F3" w:rsidRDefault="001C19F3" w:rsidP="00521305">
            <w:pPr>
              <w:spacing w:before="40" w:after="40"/>
              <w:ind w:left="100" w:right="100"/>
              <w:jc w:val="center"/>
            </w:pPr>
            <w:r>
              <w:rPr>
                <w:rFonts w:eastAsia="Century Gothic" w:cs="Century Gothic"/>
                <w:color w:val="000000"/>
                <w:sz w:val="18"/>
                <w:szCs w:val="18"/>
              </w:rPr>
              <w:t>215 (14.0%)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97DFFC"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78AE65" w14:textId="77777777" w:rsidR="001C19F3" w:rsidRDefault="001C19F3" w:rsidP="00521305">
            <w:pPr>
              <w:spacing w:before="40" w:after="40"/>
              <w:ind w:left="100" w:right="100"/>
              <w:jc w:val="center"/>
            </w:pPr>
            <w:r>
              <w:rPr>
                <w:rFonts w:eastAsia="Century Gothic" w:cs="Century Gothic"/>
                <w:color w:val="000000"/>
                <w:sz w:val="18"/>
                <w:szCs w:val="18"/>
              </w:rPr>
              <w:t>221 (15.6%)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C74F75" w14:textId="77777777" w:rsidR="001C19F3" w:rsidRDefault="001C19F3" w:rsidP="00521305">
            <w:pPr>
              <w:spacing w:before="40" w:after="40"/>
              <w:ind w:left="100" w:right="100"/>
              <w:jc w:val="right"/>
            </w:pPr>
            <w:r>
              <w:rPr>
                <w:rFonts w:eastAsia="Century Gothic" w:cs="Century Gothic"/>
                <w:color w:val="000000"/>
                <w:sz w:val="18"/>
                <w:szCs w:val="18"/>
              </w:rPr>
              <w:t>33 (12.5%)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3FEB28" w14:textId="77777777" w:rsidR="001C19F3" w:rsidRDefault="001C19F3" w:rsidP="00521305">
            <w:pPr>
              <w:spacing w:before="40" w:after="40"/>
              <w:ind w:left="100" w:right="100"/>
              <w:jc w:val="right"/>
            </w:pPr>
            <w:r>
              <w:rPr>
                <w:rFonts w:eastAsia="Century Gothic" w:cs="Century Gothic"/>
                <w:color w:val="000000"/>
                <w:sz w:val="18"/>
                <w:szCs w:val="18"/>
              </w:rPr>
              <w:t>42 (16.5%)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2D4B74" w14:textId="77777777" w:rsidR="001C19F3" w:rsidRDefault="001C19F3" w:rsidP="00521305">
            <w:pPr>
              <w:spacing w:before="40" w:after="40"/>
              <w:ind w:left="100" w:right="100"/>
              <w:jc w:val="right"/>
            </w:pPr>
            <w:r>
              <w:rPr>
                <w:rFonts w:eastAsia="Century Gothic" w:cs="Century Gothic"/>
                <w:color w:val="000000"/>
                <w:sz w:val="18"/>
                <w:szCs w:val="18"/>
              </w:rPr>
              <w:t>0.021</w:t>
            </w:r>
          </w:p>
        </w:tc>
      </w:tr>
      <w:tr w:rsidR="001C19F3" w14:paraId="2A4CE97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E0429"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827ECC" w14:textId="77777777" w:rsidR="001C19F3" w:rsidRDefault="001C19F3" w:rsidP="00521305">
            <w:pPr>
              <w:spacing w:before="40" w:after="40"/>
              <w:ind w:left="100" w:right="100"/>
              <w:jc w:val="center"/>
            </w:pPr>
            <w:r>
              <w:rPr>
                <w:rFonts w:eastAsia="Century Gothic" w:cs="Century Gothic"/>
                <w:color w:val="000000"/>
                <w:sz w:val="18"/>
                <w:szCs w:val="18"/>
              </w:rPr>
              <w:t>146 (7.5%)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73325" w14:textId="77777777" w:rsidR="001C19F3" w:rsidRDefault="001C19F3" w:rsidP="00521305">
            <w:pPr>
              <w:spacing w:before="40" w:after="40"/>
              <w:ind w:left="100" w:right="100"/>
              <w:jc w:val="center"/>
            </w:pPr>
            <w:r>
              <w:rPr>
                <w:rFonts w:eastAsia="Century Gothic" w:cs="Century Gothic"/>
                <w:color w:val="000000"/>
                <w:sz w:val="18"/>
                <w:szCs w:val="18"/>
              </w:rPr>
              <w:t>29 (7.3%)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8206E1" w14:textId="77777777" w:rsidR="001C19F3" w:rsidRDefault="001C19F3" w:rsidP="00521305">
            <w:pPr>
              <w:spacing w:before="40" w:after="40"/>
              <w:ind w:left="100" w:right="100"/>
              <w:jc w:val="center"/>
            </w:pPr>
            <w:r>
              <w:rPr>
                <w:rFonts w:eastAsia="Century Gothic" w:cs="Century Gothic"/>
                <w:color w:val="000000"/>
                <w:sz w:val="18"/>
                <w:szCs w:val="18"/>
              </w:rPr>
              <w:t>117 (7.6%)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34EC9E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A510AB" w14:textId="77777777" w:rsidR="001C19F3" w:rsidRDefault="001C19F3" w:rsidP="00521305">
            <w:pPr>
              <w:spacing w:before="40" w:after="40"/>
              <w:ind w:left="100" w:right="100"/>
              <w:jc w:val="center"/>
            </w:pPr>
            <w:r>
              <w:rPr>
                <w:rFonts w:eastAsia="Century Gothic" w:cs="Century Gothic"/>
                <w:color w:val="000000"/>
                <w:sz w:val="18"/>
                <w:szCs w:val="18"/>
              </w:rPr>
              <w:t>108 (7.6%)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7D30DC" w14:textId="77777777" w:rsidR="001C19F3" w:rsidRDefault="001C19F3" w:rsidP="00521305">
            <w:pPr>
              <w:spacing w:before="40" w:after="40"/>
              <w:ind w:left="100" w:right="100"/>
              <w:jc w:val="right"/>
            </w:pPr>
            <w:r>
              <w:rPr>
                <w:rFonts w:eastAsia="Century Gothic" w:cs="Century Gothic"/>
                <w:color w:val="000000"/>
                <w:sz w:val="18"/>
                <w:szCs w:val="18"/>
              </w:rPr>
              <w:t>14 (5.3%)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C83F5E" w14:textId="77777777" w:rsidR="001C19F3" w:rsidRDefault="001C19F3" w:rsidP="00521305">
            <w:pPr>
              <w:spacing w:before="40" w:after="40"/>
              <w:ind w:left="100" w:right="100"/>
              <w:jc w:val="right"/>
            </w:pPr>
            <w:r>
              <w:rPr>
                <w:rFonts w:eastAsia="Century Gothic" w:cs="Century Gothic"/>
                <w:color w:val="000000"/>
                <w:sz w:val="18"/>
                <w:szCs w:val="18"/>
              </w:rPr>
              <w:t>24 (9.4%)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533ABA7" w14:textId="77777777" w:rsidR="001C19F3" w:rsidRDefault="001C19F3" w:rsidP="00521305">
            <w:pPr>
              <w:spacing w:after="0"/>
              <w:rPr>
                <w:sz w:val="22"/>
              </w:rPr>
            </w:pPr>
          </w:p>
        </w:tc>
      </w:tr>
      <w:tr w:rsidR="001C19F3" w14:paraId="6124A58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A5D5EB"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0C8816" w14:textId="77777777" w:rsidR="001C19F3" w:rsidRDefault="001C19F3" w:rsidP="00521305">
            <w:pPr>
              <w:spacing w:before="40" w:after="40"/>
              <w:ind w:left="100" w:right="100"/>
              <w:jc w:val="center"/>
            </w:pPr>
            <w:r>
              <w:rPr>
                <w:rFonts w:eastAsia="Century Gothic" w:cs="Century Gothic"/>
                <w:color w:val="000000"/>
                <w:sz w:val="18"/>
                <w:szCs w:val="18"/>
              </w:rPr>
              <w:t>362 (18.7%)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CDAD87" w14:textId="77777777" w:rsidR="001C19F3" w:rsidRDefault="001C19F3" w:rsidP="00521305">
            <w:pPr>
              <w:spacing w:before="40" w:after="40"/>
              <w:ind w:left="100" w:right="100"/>
              <w:jc w:val="center"/>
            </w:pPr>
            <w:r>
              <w:rPr>
                <w:rFonts w:eastAsia="Century Gothic" w:cs="Century Gothic"/>
                <w:color w:val="000000"/>
                <w:sz w:val="18"/>
                <w:szCs w:val="18"/>
              </w:rPr>
              <w:t>94 (23.6%)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86DF7E" w14:textId="77777777" w:rsidR="001C19F3" w:rsidRDefault="001C19F3" w:rsidP="00521305">
            <w:pPr>
              <w:spacing w:before="40" w:after="40"/>
              <w:ind w:left="100" w:right="100"/>
              <w:jc w:val="center"/>
            </w:pPr>
            <w:r>
              <w:rPr>
                <w:rFonts w:eastAsia="Century Gothic" w:cs="Century Gothic"/>
                <w:color w:val="000000"/>
                <w:sz w:val="18"/>
                <w:szCs w:val="18"/>
              </w:rPr>
              <w:t>268 (17.5%)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938E19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33C250" w14:textId="77777777" w:rsidR="001C19F3" w:rsidRDefault="001C19F3" w:rsidP="00521305">
            <w:pPr>
              <w:spacing w:before="40" w:after="40"/>
              <w:ind w:left="100" w:right="100"/>
              <w:jc w:val="center"/>
            </w:pPr>
            <w:r>
              <w:rPr>
                <w:rFonts w:eastAsia="Century Gothic" w:cs="Century Gothic"/>
                <w:color w:val="000000"/>
                <w:sz w:val="18"/>
                <w:szCs w:val="18"/>
              </w:rPr>
              <w:t>285 (20.1%)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AB24A14" w14:textId="77777777" w:rsidR="001C19F3" w:rsidRDefault="001C19F3" w:rsidP="00521305">
            <w:pPr>
              <w:spacing w:before="40" w:after="40"/>
              <w:ind w:left="100" w:right="100"/>
              <w:jc w:val="right"/>
            </w:pPr>
            <w:r>
              <w:rPr>
                <w:rFonts w:eastAsia="Century Gothic" w:cs="Century Gothic"/>
                <w:color w:val="000000"/>
                <w:sz w:val="18"/>
                <w:szCs w:val="18"/>
              </w:rPr>
              <w:t>36 (13.7%)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D0EB5C" w14:textId="77777777" w:rsidR="001C19F3" w:rsidRDefault="001C19F3" w:rsidP="00521305">
            <w:pPr>
              <w:spacing w:before="40" w:after="40"/>
              <w:ind w:left="100" w:right="100"/>
              <w:jc w:val="right"/>
            </w:pPr>
            <w:r>
              <w:rPr>
                <w:rFonts w:eastAsia="Century Gothic" w:cs="Century Gothic"/>
                <w:color w:val="000000"/>
                <w:sz w:val="18"/>
                <w:szCs w:val="18"/>
              </w:rPr>
              <w:t>41 (16.1%)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E1F944" w14:textId="77777777" w:rsidR="001C19F3" w:rsidRDefault="001C19F3" w:rsidP="00521305">
            <w:pPr>
              <w:spacing w:after="0"/>
              <w:rPr>
                <w:sz w:val="22"/>
              </w:rPr>
            </w:pPr>
          </w:p>
        </w:tc>
      </w:tr>
      <w:tr w:rsidR="001C19F3" w14:paraId="5B9D6AE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EF27C0"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D4C651" w14:textId="77777777" w:rsidR="001C19F3" w:rsidRDefault="001C19F3" w:rsidP="00521305">
            <w:pPr>
              <w:spacing w:before="40" w:after="40"/>
              <w:ind w:left="100" w:right="100"/>
              <w:jc w:val="center"/>
            </w:pPr>
            <w:r>
              <w:rPr>
                <w:rFonts w:eastAsia="Century Gothic" w:cs="Century Gothic"/>
                <w:color w:val="000000"/>
                <w:sz w:val="18"/>
                <w:szCs w:val="18"/>
              </w:rPr>
              <w:t>499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C8FBE6" w14:textId="77777777" w:rsidR="001C19F3" w:rsidRDefault="001C19F3" w:rsidP="00521305">
            <w:pPr>
              <w:spacing w:before="40" w:after="40"/>
              <w:ind w:left="100" w:right="100"/>
              <w:jc w:val="center"/>
            </w:pPr>
            <w:r>
              <w:rPr>
                <w:rFonts w:eastAsia="Century Gothic" w:cs="Century Gothic"/>
                <w:color w:val="000000"/>
                <w:sz w:val="18"/>
                <w:szCs w:val="18"/>
              </w:rPr>
              <w:t>94 (23.6%)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7484AB" w14:textId="77777777" w:rsidR="001C19F3" w:rsidRDefault="001C19F3" w:rsidP="00521305">
            <w:pPr>
              <w:spacing w:before="40" w:after="40"/>
              <w:ind w:left="100" w:right="100"/>
              <w:jc w:val="center"/>
            </w:pPr>
            <w:r>
              <w:rPr>
                <w:rFonts w:eastAsia="Century Gothic" w:cs="Century Gothic"/>
                <w:color w:val="000000"/>
                <w:sz w:val="18"/>
                <w:szCs w:val="18"/>
              </w:rPr>
              <w:t>405 (26.4%)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5124CFF"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2080F2" w14:textId="77777777" w:rsidR="001C19F3" w:rsidRDefault="001C19F3" w:rsidP="00521305">
            <w:pPr>
              <w:spacing w:before="40" w:after="40"/>
              <w:ind w:left="100" w:right="100"/>
              <w:jc w:val="center"/>
            </w:pPr>
            <w:r>
              <w:rPr>
                <w:rFonts w:eastAsia="Century Gothic" w:cs="Century Gothic"/>
                <w:color w:val="000000"/>
                <w:sz w:val="18"/>
                <w:szCs w:val="18"/>
              </w:rPr>
              <w:t>365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FF8122" w14:textId="77777777" w:rsidR="001C19F3" w:rsidRDefault="001C19F3" w:rsidP="00521305">
            <w:pPr>
              <w:spacing w:before="40" w:after="40"/>
              <w:ind w:left="100" w:right="100"/>
              <w:jc w:val="right"/>
            </w:pPr>
            <w:r>
              <w:rPr>
                <w:rFonts w:eastAsia="Century Gothic" w:cs="Century Gothic"/>
                <w:color w:val="000000"/>
                <w:sz w:val="18"/>
                <w:szCs w:val="18"/>
              </w:rPr>
              <w:t>73 (27.8%)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09B830" w14:textId="77777777" w:rsidR="001C19F3" w:rsidRDefault="001C19F3" w:rsidP="00521305">
            <w:pPr>
              <w:spacing w:before="40" w:after="40"/>
              <w:ind w:left="100" w:right="100"/>
              <w:jc w:val="right"/>
            </w:pPr>
            <w:r>
              <w:rPr>
                <w:rFonts w:eastAsia="Century Gothic" w:cs="Century Gothic"/>
                <w:color w:val="000000"/>
                <w:sz w:val="18"/>
                <w:szCs w:val="18"/>
              </w:rPr>
              <w:t>61 (23.9%)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3EBE42E" w14:textId="77777777" w:rsidR="001C19F3" w:rsidRDefault="001C19F3" w:rsidP="00521305">
            <w:pPr>
              <w:spacing w:after="0"/>
              <w:rPr>
                <w:sz w:val="22"/>
              </w:rPr>
            </w:pPr>
          </w:p>
        </w:tc>
      </w:tr>
      <w:tr w:rsidR="001C19F3" w14:paraId="569E28C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1B614F"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270E66B" w14:textId="77777777" w:rsidR="001C19F3" w:rsidRDefault="001C19F3" w:rsidP="00521305">
            <w:pPr>
              <w:spacing w:before="40" w:after="40"/>
              <w:ind w:left="100" w:right="100"/>
              <w:jc w:val="center"/>
            </w:pPr>
            <w:r>
              <w:rPr>
                <w:rFonts w:eastAsia="Century Gothic" w:cs="Century Gothic"/>
                <w:color w:val="000000"/>
                <w:sz w:val="18"/>
                <w:szCs w:val="18"/>
              </w:rPr>
              <w:t>631 (32.6%)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448517" w14:textId="77777777" w:rsidR="001C19F3" w:rsidRDefault="001C19F3" w:rsidP="00521305">
            <w:pPr>
              <w:spacing w:before="40" w:after="40"/>
              <w:ind w:left="100" w:right="100"/>
              <w:jc w:val="center"/>
            </w:pPr>
            <w:r>
              <w:rPr>
                <w:rFonts w:eastAsia="Century Gothic" w:cs="Century Gothic"/>
                <w:color w:val="000000"/>
                <w:sz w:val="18"/>
                <w:szCs w:val="18"/>
              </w:rPr>
              <w:t>101 (25.3%)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B2A49C" w14:textId="77777777" w:rsidR="001C19F3" w:rsidRDefault="001C19F3" w:rsidP="00521305">
            <w:pPr>
              <w:spacing w:before="40" w:after="40"/>
              <w:ind w:left="100" w:right="100"/>
              <w:jc w:val="center"/>
            </w:pPr>
            <w:r>
              <w:rPr>
                <w:rFonts w:eastAsia="Century Gothic" w:cs="Century Gothic"/>
                <w:color w:val="000000"/>
                <w:sz w:val="18"/>
                <w:szCs w:val="18"/>
              </w:rPr>
              <w:t>530 (34.5%)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361EC0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A8D662" w14:textId="77777777" w:rsidR="001C19F3" w:rsidRDefault="001C19F3" w:rsidP="00521305">
            <w:pPr>
              <w:spacing w:before="40" w:after="40"/>
              <w:ind w:left="100" w:right="100"/>
              <w:jc w:val="center"/>
            </w:pPr>
            <w:r>
              <w:rPr>
                <w:rFonts w:eastAsia="Century Gothic" w:cs="Century Gothic"/>
                <w:color w:val="000000"/>
                <w:sz w:val="18"/>
                <w:szCs w:val="18"/>
              </w:rPr>
              <w:t>437 (30.9%)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354186" w14:textId="77777777" w:rsidR="001C19F3" w:rsidRDefault="001C19F3" w:rsidP="00521305">
            <w:pPr>
              <w:spacing w:before="40" w:after="40"/>
              <w:ind w:left="100" w:right="100"/>
              <w:jc w:val="right"/>
            </w:pPr>
            <w:r>
              <w:rPr>
                <w:rFonts w:eastAsia="Century Gothic" w:cs="Century Gothic"/>
                <w:color w:val="000000"/>
                <w:sz w:val="18"/>
                <w:szCs w:val="18"/>
              </w:rPr>
              <w:t>107 (40.7%)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1F75F1" w14:textId="77777777" w:rsidR="001C19F3" w:rsidRDefault="001C19F3" w:rsidP="00521305">
            <w:pPr>
              <w:spacing w:before="40" w:after="40"/>
              <w:ind w:left="100" w:right="100"/>
              <w:jc w:val="right"/>
            </w:pPr>
            <w:r>
              <w:rPr>
                <w:rFonts w:eastAsia="Century Gothic" w:cs="Century Gothic"/>
                <w:color w:val="000000"/>
                <w:sz w:val="18"/>
                <w:szCs w:val="18"/>
              </w:rPr>
              <w:t>87 (34.1%)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DFC643B" w14:textId="77777777" w:rsidR="001C19F3" w:rsidRDefault="001C19F3" w:rsidP="00521305">
            <w:pPr>
              <w:spacing w:after="0"/>
              <w:rPr>
                <w:sz w:val="22"/>
              </w:rPr>
            </w:pPr>
          </w:p>
        </w:tc>
      </w:tr>
      <w:tr w:rsidR="001C19F3" w14:paraId="7D684EE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8FA2E1" w14:textId="77777777" w:rsidR="001C19F3" w:rsidRDefault="001C19F3" w:rsidP="00521305">
            <w:pPr>
              <w:spacing w:before="40" w:after="40"/>
              <w:ind w:left="100" w:right="100"/>
            </w:pPr>
            <w:r>
              <w:rPr>
                <w:rFonts w:eastAsia="Century Gothic" w:cs="Century Gothic"/>
                <w:b/>
                <w:color w:val="000000"/>
                <w:sz w:val="18"/>
                <w:szCs w:val="18"/>
              </w:rPr>
              <w:t>J06 I was helped to set specific goals to improve my eating or exercise (Q11)</w:t>
            </w:r>
          </w:p>
        </w:tc>
      </w:tr>
      <w:tr w:rsidR="001C19F3" w14:paraId="658C76C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5A6EFF9"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50DC08" w14:textId="77777777" w:rsidR="001C19F3" w:rsidRDefault="001C19F3" w:rsidP="00521305">
            <w:pPr>
              <w:spacing w:before="40" w:after="40"/>
              <w:ind w:left="100" w:right="100"/>
              <w:jc w:val="center"/>
            </w:pPr>
            <w:r>
              <w:rPr>
                <w:rFonts w:eastAsia="Century Gothic" w:cs="Century Gothic"/>
                <w:color w:val="000000"/>
                <w:sz w:val="18"/>
                <w:szCs w:val="18"/>
              </w:rPr>
              <w:t>306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15D7B5" w14:textId="77777777" w:rsidR="001C19F3" w:rsidRDefault="001C19F3" w:rsidP="00521305">
            <w:pPr>
              <w:spacing w:before="40" w:after="40"/>
              <w:ind w:left="100" w:right="100"/>
              <w:jc w:val="center"/>
            </w:pPr>
            <w:r>
              <w:rPr>
                <w:rFonts w:eastAsia="Century Gothic" w:cs="Century Gothic"/>
                <w:color w:val="000000"/>
                <w:sz w:val="18"/>
                <w:szCs w:val="18"/>
              </w:rPr>
              <w:t>79 (19.5%)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00E218" w14:textId="77777777" w:rsidR="001C19F3" w:rsidRDefault="001C19F3" w:rsidP="00521305">
            <w:pPr>
              <w:spacing w:before="40" w:after="40"/>
              <w:ind w:left="100" w:right="100"/>
              <w:jc w:val="center"/>
            </w:pPr>
            <w:r>
              <w:rPr>
                <w:rFonts w:eastAsia="Century Gothic" w:cs="Century Gothic"/>
                <w:color w:val="000000"/>
                <w:sz w:val="18"/>
                <w:szCs w:val="18"/>
              </w:rPr>
              <w:t>227 (14.9%)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EE740F" w14:textId="77777777" w:rsidR="001C19F3" w:rsidRDefault="001C19F3" w:rsidP="00521305">
            <w:pPr>
              <w:spacing w:before="40" w:after="40"/>
              <w:ind w:left="100" w:right="100"/>
              <w:jc w:val="center"/>
            </w:pPr>
            <w:r>
              <w:rPr>
                <w:rFonts w:eastAsia="Century Gothic" w:cs="Century Gothic"/>
                <w:color w:val="000000"/>
                <w:sz w:val="18"/>
                <w:szCs w:val="18"/>
              </w:rPr>
              <w:t>0.147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E725E8" w14:textId="77777777" w:rsidR="001C19F3" w:rsidRDefault="001C19F3" w:rsidP="00521305">
            <w:pPr>
              <w:spacing w:before="40" w:after="40"/>
              <w:ind w:left="100" w:right="100"/>
              <w:jc w:val="center"/>
            </w:pPr>
            <w:r>
              <w:rPr>
                <w:rFonts w:eastAsia="Century Gothic" w:cs="Century Gothic"/>
                <w:color w:val="000000"/>
                <w:sz w:val="18"/>
                <w:szCs w:val="18"/>
              </w:rPr>
              <w:t>216 (15.3%)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A639E7" w14:textId="77777777" w:rsidR="001C19F3" w:rsidRDefault="001C19F3" w:rsidP="00521305">
            <w:pPr>
              <w:spacing w:before="40" w:after="40"/>
              <w:ind w:left="100" w:right="100"/>
              <w:jc w:val="right"/>
            </w:pPr>
            <w:r>
              <w:rPr>
                <w:rFonts w:eastAsia="Century Gothic" w:cs="Century Gothic"/>
                <w:color w:val="000000"/>
                <w:sz w:val="18"/>
                <w:szCs w:val="18"/>
              </w:rPr>
              <w:t>33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08403D" w14:textId="77777777" w:rsidR="001C19F3" w:rsidRDefault="001C19F3" w:rsidP="00521305">
            <w:pPr>
              <w:spacing w:before="40" w:after="40"/>
              <w:ind w:left="100" w:right="100"/>
              <w:jc w:val="right"/>
            </w:pPr>
            <w:r>
              <w:rPr>
                <w:rFonts w:eastAsia="Century Gothic" w:cs="Century Gothic"/>
                <w:color w:val="000000"/>
                <w:sz w:val="18"/>
                <w:szCs w:val="18"/>
              </w:rPr>
              <w:t>57 (22.3%)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1953E86" w14:textId="77777777" w:rsidR="001C19F3" w:rsidRDefault="001C19F3" w:rsidP="00521305">
            <w:pPr>
              <w:spacing w:before="40" w:after="40"/>
              <w:ind w:left="100" w:right="100"/>
              <w:jc w:val="right"/>
            </w:pPr>
            <w:r>
              <w:rPr>
                <w:rFonts w:eastAsia="Century Gothic" w:cs="Century Gothic"/>
                <w:color w:val="000000"/>
                <w:sz w:val="18"/>
                <w:szCs w:val="18"/>
              </w:rPr>
              <w:t>0.079</w:t>
            </w:r>
          </w:p>
        </w:tc>
      </w:tr>
      <w:tr w:rsidR="001C19F3" w14:paraId="332212C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B5201B" w14:textId="77777777" w:rsidR="001C19F3" w:rsidRDefault="001C19F3" w:rsidP="00521305">
            <w:pPr>
              <w:spacing w:before="40" w:after="40"/>
              <w:ind w:left="160" w:right="100"/>
            </w:pPr>
            <w:r>
              <w:rPr>
                <w:rFonts w:eastAsia="Century Gothic" w:cs="Century Gothic"/>
                <w:color w:val="000000"/>
                <w:sz w:val="18"/>
                <w:szCs w:val="18"/>
              </w:rPr>
              <w:lastRenderedPageBreak/>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9DA305" w14:textId="77777777" w:rsidR="001C19F3" w:rsidRDefault="001C19F3" w:rsidP="00521305">
            <w:pPr>
              <w:spacing w:before="40" w:after="40"/>
              <w:ind w:left="100" w:right="100"/>
              <w:jc w:val="center"/>
            </w:pPr>
            <w:r>
              <w:rPr>
                <w:rFonts w:eastAsia="Century Gothic" w:cs="Century Gothic"/>
                <w:color w:val="000000"/>
                <w:sz w:val="18"/>
                <w:szCs w:val="18"/>
              </w:rPr>
              <w:t>177 (9.2%)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83D048" w14:textId="77777777" w:rsidR="001C19F3" w:rsidRDefault="001C19F3" w:rsidP="00521305">
            <w:pPr>
              <w:spacing w:before="40" w:after="40"/>
              <w:ind w:left="100" w:right="100"/>
              <w:jc w:val="center"/>
            </w:pPr>
            <w:r>
              <w:rPr>
                <w:rFonts w:eastAsia="Century Gothic" w:cs="Century Gothic"/>
                <w:color w:val="000000"/>
                <w:sz w:val="18"/>
                <w:szCs w:val="18"/>
              </w:rPr>
              <w:t>42 (10.3%)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CDA2F5A" w14:textId="77777777" w:rsidR="001C19F3" w:rsidRDefault="001C19F3" w:rsidP="00521305">
            <w:pPr>
              <w:spacing w:before="40" w:after="40"/>
              <w:ind w:left="100" w:right="100"/>
              <w:jc w:val="center"/>
            </w:pPr>
            <w:r>
              <w:rPr>
                <w:rFonts w:eastAsia="Century Gothic" w:cs="Century Gothic"/>
                <w:color w:val="000000"/>
                <w:sz w:val="18"/>
                <w:szCs w:val="18"/>
              </w:rPr>
              <w:t>135 (8.9%)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957575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BDFDDF" w14:textId="77777777" w:rsidR="001C19F3" w:rsidRDefault="001C19F3" w:rsidP="00521305">
            <w:pPr>
              <w:spacing w:before="40" w:after="40"/>
              <w:ind w:left="100" w:right="100"/>
              <w:jc w:val="center"/>
            </w:pPr>
            <w:r>
              <w:rPr>
                <w:rFonts w:eastAsia="Century Gothic" w:cs="Century Gothic"/>
                <w:color w:val="000000"/>
                <w:sz w:val="18"/>
                <w:szCs w:val="18"/>
              </w:rPr>
              <w:t>135 (9.5%)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C10B15" w14:textId="77777777" w:rsidR="001C19F3" w:rsidRDefault="001C19F3" w:rsidP="00521305">
            <w:pPr>
              <w:spacing w:before="40" w:after="40"/>
              <w:ind w:left="100" w:right="100"/>
              <w:jc w:val="right"/>
            </w:pPr>
            <w:r>
              <w:rPr>
                <w:rFonts w:eastAsia="Century Gothic" w:cs="Century Gothic"/>
                <w:color w:val="000000"/>
                <w:sz w:val="18"/>
                <w:szCs w:val="18"/>
              </w:rPr>
              <w:t>24 (9.2%)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D311E0" w14:textId="77777777" w:rsidR="001C19F3" w:rsidRDefault="001C19F3" w:rsidP="00521305">
            <w:pPr>
              <w:spacing w:before="40" w:after="40"/>
              <w:ind w:left="100" w:right="100"/>
              <w:jc w:val="right"/>
            </w:pPr>
            <w:r>
              <w:rPr>
                <w:rFonts w:eastAsia="Century Gothic" w:cs="Century Gothic"/>
                <w:color w:val="000000"/>
                <w:sz w:val="18"/>
                <w:szCs w:val="18"/>
              </w:rPr>
              <w:t>18 (7.0%)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D6191C5" w14:textId="77777777" w:rsidR="001C19F3" w:rsidRDefault="001C19F3" w:rsidP="00521305">
            <w:pPr>
              <w:spacing w:after="0"/>
              <w:rPr>
                <w:sz w:val="22"/>
              </w:rPr>
            </w:pPr>
          </w:p>
        </w:tc>
      </w:tr>
      <w:tr w:rsidR="001C19F3" w14:paraId="612DA70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371876"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B23B3E" w14:textId="77777777" w:rsidR="001C19F3" w:rsidRDefault="001C19F3" w:rsidP="00521305">
            <w:pPr>
              <w:spacing w:before="40" w:after="40"/>
              <w:ind w:left="100" w:right="100"/>
              <w:jc w:val="center"/>
            </w:pPr>
            <w:r>
              <w:rPr>
                <w:rFonts w:eastAsia="Century Gothic" w:cs="Century Gothic"/>
                <w:color w:val="000000"/>
                <w:sz w:val="18"/>
                <w:szCs w:val="18"/>
              </w:rPr>
              <w:t>407 (21.1%)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975ADE" w14:textId="77777777" w:rsidR="001C19F3" w:rsidRDefault="001C19F3" w:rsidP="00521305">
            <w:pPr>
              <w:spacing w:before="40" w:after="40"/>
              <w:ind w:left="100" w:right="100"/>
              <w:jc w:val="center"/>
            </w:pPr>
            <w:r>
              <w:rPr>
                <w:rFonts w:eastAsia="Century Gothic" w:cs="Century Gothic"/>
                <w:color w:val="000000"/>
                <w:sz w:val="18"/>
                <w:szCs w:val="18"/>
              </w:rPr>
              <w:t>83 (20.4%)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5C9F8" w14:textId="77777777" w:rsidR="001C19F3" w:rsidRDefault="001C19F3" w:rsidP="00521305">
            <w:pPr>
              <w:spacing w:before="40" w:after="40"/>
              <w:ind w:left="100" w:right="100"/>
              <w:jc w:val="center"/>
            </w:pPr>
            <w:r>
              <w:rPr>
                <w:rFonts w:eastAsia="Century Gothic" w:cs="Century Gothic"/>
                <w:color w:val="000000"/>
                <w:sz w:val="18"/>
                <w:szCs w:val="18"/>
              </w:rPr>
              <w:t>324 (21.2%)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5A2085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268B89" w14:textId="77777777" w:rsidR="001C19F3" w:rsidRDefault="001C19F3" w:rsidP="00521305">
            <w:pPr>
              <w:spacing w:before="40" w:after="40"/>
              <w:ind w:left="100" w:right="100"/>
              <w:jc w:val="center"/>
            </w:pPr>
            <w:r>
              <w:rPr>
                <w:rFonts w:eastAsia="Century Gothic" w:cs="Century Gothic"/>
                <w:color w:val="000000"/>
                <w:sz w:val="18"/>
                <w:szCs w:val="18"/>
              </w:rPr>
              <w:t>297 (21.0%)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C3B466" w14:textId="77777777" w:rsidR="001C19F3" w:rsidRDefault="001C19F3" w:rsidP="00521305">
            <w:pPr>
              <w:spacing w:before="40" w:after="40"/>
              <w:ind w:left="100" w:right="100"/>
              <w:jc w:val="right"/>
            </w:pPr>
            <w:r>
              <w:rPr>
                <w:rFonts w:eastAsia="Century Gothic" w:cs="Century Gothic"/>
                <w:color w:val="000000"/>
                <w:sz w:val="18"/>
                <w:szCs w:val="18"/>
              </w:rPr>
              <w:t>54 (20.8%)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EC9EA5" w14:textId="77777777" w:rsidR="001C19F3" w:rsidRDefault="001C19F3" w:rsidP="00521305">
            <w:pPr>
              <w:spacing w:before="40" w:after="40"/>
              <w:ind w:left="100" w:right="100"/>
              <w:jc w:val="right"/>
            </w:pPr>
            <w:r>
              <w:rPr>
                <w:rFonts w:eastAsia="Century Gothic" w:cs="Century Gothic"/>
                <w:color w:val="000000"/>
                <w:sz w:val="18"/>
                <w:szCs w:val="18"/>
              </w:rPr>
              <w:t>56 (21.9%)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38F07DE" w14:textId="77777777" w:rsidR="001C19F3" w:rsidRDefault="001C19F3" w:rsidP="00521305">
            <w:pPr>
              <w:spacing w:after="0"/>
              <w:rPr>
                <w:sz w:val="22"/>
              </w:rPr>
            </w:pPr>
          </w:p>
        </w:tc>
      </w:tr>
      <w:tr w:rsidR="001C19F3" w14:paraId="7FD9088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6D165A"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FF42A1" w14:textId="77777777" w:rsidR="001C19F3" w:rsidRDefault="001C19F3" w:rsidP="00521305">
            <w:pPr>
              <w:spacing w:before="40" w:after="40"/>
              <w:ind w:left="100" w:right="100"/>
              <w:jc w:val="center"/>
            </w:pPr>
            <w:r>
              <w:rPr>
                <w:rFonts w:eastAsia="Century Gothic" w:cs="Century Gothic"/>
                <w:color w:val="000000"/>
                <w:sz w:val="18"/>
                <w:szCs w:val="18"/>
              </w:rPr>
              <w:t>513 (26.6%)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ABDC5B" w14:textId="77777777" w:rsidR="001C19F3" w:rsidRDefault="001C19F3" w:rsidP="00521305">
            <w:pPr>
              <w:spacing w:before="40" w:after="40"/>
              <w:ind w:left="100" w:right="100"/>
              <w:jc w:val="center"/>
            </w:pPr>
            <w:r>
              <w:rPr>
                <w:rFonts w:eastAsia="Century Gothic" w:cs="Century Gothic"/>
                <w:color w:val="000000"/>
                <w:sz w:val="18"/>
                <w:szCs w:val="18"/>
              </w:rPr>
              <w:t>101 (24.9%)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1313593" w14:textId="77777777" w:rsidR="001C19F3" w:rsidRDefault="001C19F3" w:rsidP="00521305">
            <w:pPr>
              <w:spacing w:before="40" w:after="40"/>
              <w:ind w:left="100" w:right="100"/>
              <w:jc w:val="center"/>
            </w:pPr>
            <w:r>
              <w:rPr>
                <w:rFonts w:eastAsia="Century Gothic" w:cs="Century Gothic"/>
                <w:color w:val="000000"/>
                <w:sz w:val="18"/>
                <w:szCs w:val="18"/>
              </w:rPr>
              <w:t>412 (27.0%)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7E109D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42605C" w14:textId="77777777" w:rsidR="001C19F3" w:rsidRDefault="001C19F3" w:rsidP="00521305">
            <w:pPr>
              <w:spacing w:before="40" w:after="40"/>
              <w:ind w:left="100" w:right="100"/>
              <w:jc w:val="center"/>
            </w:pPr>
            <w:r>
              <w:rPr>
                <w:rFonts w:eastAsia="Century Gothic" w:cs="Century Gothic"/>
                <w:color w:val="000000"/>
                <w:sz w:val="18"/>
                <w:szCs w:val="18"/>
              </w:rPr>
              <w:t>382 (27.0%)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775D34" w14:textId="77777777" w:rsidR="001C19F3" w:rsidRDefault="001C19F3" w:rsidP="00521305">
            <w:pPr>
              <w:spacing w:before="40" w:after="40"/>
              <w:ind w:left="100" w:right="100"/>
              <w:jc w:val="right"/>
            </w:pPr>
            <w:r>
              <w:rPr>
                <w:rFonts w:eastAsia="Century Gothic" w:cs="Century Gothic"/>
                <w:color w:val="000000"/>
                <w:sz w:val="18"/>
                <w:szCs w:val="18"/>
              </w:rPr>
              <w:t>77 (29.6%)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3F34B5" w14:textId="77777777" w:rsidR="001C19F3" w:rsidRDefault="001C19F3" w:rsidP="00521305">
            <w:pPr>
              <w:spacing w:before="40" w:after="40"/>
              <w:ind w:left="100" w:right="100"/>
              <w:jc w:val="right"/>
            </w:pPr>
            <w:r>
              <w:rPr>
                <w:rFonts w:eastAsia="Century Gothic" w:cs="Century Gothic"/>
                <w:color w:val="000000"/>
                <w:sz w:val="18"/>
                <w:szCs w:val="18"/>
              </w:rPr>
              <w:t>54 (21.1%)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9D5F306" w14:textId="77777777" w:rsidR="001C19F3" w:rsidRDefault="001C19F3" w:rsidP="00521305">
            <w:pPr>
              <w:spacing w:after="0"/>
              <w:rPr>
                <w:sz w:val="22"/>
              </w:rPr>
            </w:pPr>
          </w:p>
        </w:tc>
      </w:tr>
      <w:tr w:rsidR="001C19F3" w14:paraId="4D05AA9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2899E7"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A506C3" w14:textId="77777777" w:rsidR="001C19F3" w:rsidRDefault="001C19F3" w:rsidP="00521305">
            <w:pPr>
              <w:spacing w:before="40" w:after="40"/>
              <w:ind w:left="100" w:right="100"/>
              <w:jc w:val="center"/>
            </w:pPr>
            <w:r>
              <w:rPr>
                <w:rFonts w:eastAsia="Century Gothic" w:cs="Century Gothic"/>
                <w:color w:val="000000"/>
                <w:sz w:val="18"/>
                <w:szCs w:val="18"/>
              </w:rPr>
              <w:t>528 (27.3%)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014A7F" w14:textId="77777777" w:rsidR="001C19F3" w:rsidRDefault="001C19F3" w:rsidP="00521305">
            <w:pPr>
              <w:spacing w:before="40" w:after="40"/>
              <w:ind w:left="100" w:right="100"/>
              <w:jc w:val="center"/>
            </w:pPr>
            <w:r>
              <w:rPr>
                <w:rFonts w:eastAsia="Century Gothic" w:cs="Century Gothic"/>
                <w:color w:val="000000"/>
                <w:sz w:val="18"/>
                <w:szCs w:val="18"/>
              </w:rPr>
              <w:t>101 (24.9%)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93B3F2" w14:textId="77777777" w:rsidR="001C19F3" w:rsidRDefault="001C19F3" w:rsidP="00521305">
            <w:pPr>
              <w:spacing w:before="40" w:after="40"/>
              <w:ind w:left="100" w:right="100"/>
              <w:jc w:val="center"/>
            </w:pPr>
            <w:r>
              <w:rPr>
                <w:rFonts w:eastAsia="Century Gothic" w:cs="Century Gothic"/>
                <w:color w:val="000000"/>
                <w:sz w:val="18"/>
                <w:szCs w:val="18"/>
              </w:rPr>
              <w:t>427 (28.0%)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36AFB2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327990" w14:textId="77777777" w:rsidR="001C19F3" w:rsidRDefault="001C19F3" w:rsidP="00521305">
            <w:pPr>
              <w:spacing w:before="40" w:after="40"/>
              <w:ind w:left="100" w:right="100"/>
              <w:jc w:val="center"/>
            </w:pPr>
            <w:r>
              <w:rPr>
                <w:rFonts w:eastAsia="Century Gothic" w:cs="Century Gothic"/>
                <w:color w:val="000000"/>
                <w:sz w:val="18"/>
                <w:szCs w:val="18"/>
              </w:rPr>
              <w:t>385 (27.2%)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6E5418" w14:textId="77777777" w:rsidR="001C19F3" w:rsidRDefault="001C19F3" w:rsidP="00521305">
            <w:pPr>
              <w:spacing w:before="40" w:after="40"/>
              <w:ind w:left="100" w:right="100"/>
              <w:jc w:val="right"/>
            </w:pPr>
            <w:r>
              <w:rPr>
                <w:rFonts w:eastAsia="Century Gothic" w:cs="Century Gothic"/>
                <w:color w:val="000000"/>
                <w:sz w:val="18"/>
                <w:szCs w:val="18"/>
              </w:rPr>
              <w:t>72 (27.7%)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9CDAD5" w14:textId="77777777" w:rsidR="001C19F3" w:rsidRDefault="001C19F3" w:rsidP="00521305">
            <w:pPr>
              <w:spacing w:before="40" w:after="40"/>
              <w:ind w:left="100" w:right="100"/>
              <w:jc w:val="right"/>
            </w:pPr>
            <w:r>
              <w:rPr>
                <w:rFonts w:eastAsia="Century Gothic" w:cs="Century Gothic"/>
                <w:color w:val="000000"/>
                <w:sz w:val="18"/>
                <w:szCs w:val="18"/>
              </w:rPr>
              <w:t>71 (27.7%)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8840D7A" w14:textId="77777777" w:rsidR="001C19F3" w:rsidRDefault="001C19F3" w:rsidP="00521305">
            <w:pPr>
              <w:spacing w:after="0"/>
              <w:rPr>
                <w:sz w:val="22"/>
              </w:rPr>
            </w:pPr>
          </w:p>
        </w:tc>
      </w:tr>
      <w:tr w:rsidR="001C19F3" w14:paraId="5095DBEA"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6ED95E" w14:textId="77777777" w:rsidR="001C19F3" w:rsidRDefault="001C19F3" w:rsidP="00521305">
            <w:pPr>
              <w:spacing w:before="40" w:after="40"/>
              <w:ind w:left="100" w:right="100"/>
            </w:pPr>
            <w:r>
              <w:rPr>
                <w:rFonts w:eastAsia="Century Gothic" w:cs="Century Gothic"/>
                <w:b/>
                <w:color w:val="000000"/>
                <w:sz w:val="18"/>
                <w:szCs w:val="18"/>
              </w:rPr>
              <w:t>J07 I was given a written list of things I should do to improve my health (Q12)</w:t>
            </w:r>
          </w:p>
        </w:tc>
      </w:tr>
      <w:tr w:rsidR="001C19F3" w14:paraId="5763B43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228816"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CB72EE" w14:textId="77777777" w:rsidR="001C19F3" w:rsidRDefault="001C19F3" w:rsidP="00521305">
            <w:pPr>
              <w:spacing w:before="40" w:after="40"/>
              <w:ind w:left="100" w:right="100"/>
              <w:jc w:val="center"/>
            </w:pPr>
            <w:r>
              <w:rPr>
                <w:rFonts w:eastAsia="Century Gothic" w:cs="Century Gothic"/>
                <w:color w:val="000000"/>
                <w:sz w:val="18"/>
                <w:szCs w:val="18"/>
              </w:rPr>
              <w:t>655 (33.8%)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05047C" w14:textId="77777777" w:rsidR="001C19F3" w:rsidRDefault="001C19F3" w:rsidP="00521305">
            <w:pPr>
              <w:spacing w:before="40" w:after="40"/>
              <w:ind w:left="100" w:right="100"/>
              <w:jc w:val="center"/>
            </w:pPr>
            <w:r>
              <w:rPr>
                <w:rFonts w:eastAsia="Century Gothic" w:cs="Century Gothic"/>
                <w:color w:val="000000"/>
                <w:sz w:val="18"/>
                <w:szCs w:val="18"/>
              </w:rPr>
              <w:t>142 (34.9%)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89AB5C" w14:textId="77777777" w:rsidR="001C19F3" w:rsidRDefault="001C19F3" w:rsidP="00521305">
            <w:pPr>
              <w:spacing w:before="40" w:after="40"/>
              <w:ind w:left="100" w:right="100"/>
              <w:jc w:val="center"/>
            </w:pPr>
            <w:r>
              <w:rPr>
                <w:rFonts w:eastAsia="Century Gothic" w:cs="Century Gothic"/>
                <w:color w:val="000000"/>
                <w:sz w:val="18"/>
                <w:szCs w:val="18"/>
              </w:rPr>
              <w:t>513 (33.5%)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FEFF9" w14:textId="77777777" w:rsidR="001C19F3" w:rsidRDefault="001C19F3" w:rsidP="00521305">
            <w:pPr>
              <w:spacing w:before="40" w:after="40"/>
              <w:ind w:left="100" w:right="100"/>
              <w:jc w:val="center"/>
            </w:pPr>
            <w:r>
              <w:rPr>
                <w:rFonts w:eastAsia="Century Gothic" w:cs="Century Gothic"/>
                <w:color w:val="000000"/>
                <w:sz w:val="18"/>
                <w:szCs w:val="18"/>
              </w:rPr>
              <w:t>0.530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25DE21" w14:textId="77777777" w:rsidR="001C19F3" w:rsidRDefault="001C19F3" w:rsidP="00521305">
            <w:pPr>
              <w:spacing w:before="40" w:after="40"/>
              <w:ind w:left="100" w:right="100"/>
              <w:jc w:val="center"/>
            </w:pPr>
            <w:r>
              <w:rPr>
                <w:rFonts w:eastAsia="Century Gothic" w:cs="Century Gothic"/>
                <w:color w:val="000000"/>
                <w:sz w:val="18"/>
                <w:szCs w:val="18"/>
              </w:rPr>
              <w:t>485 (34.1%)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C75414" w14:textId="77777777" w:rsidR="001C19F3" w:rsidRDefault="001C19F3" w:rsidP="00521305">
            <w:pPr>
              <w:spacing w:before="40" w:after="40"/>
              <w:ind w:left="100" w:right="100"/>
              <w:jc w:val="right"/>
            </w:pPr>
            <w:r>
              <w:rPr>
                <w:rFonts w:eastAsia="Century Gothic" w:cs="Century Gothic"/>
                <w:color w:val="000000"/>
                <w:sz w:val="18"/>
                <w:szCs w:val="18"/>
              </w:rPr>
              <w:t>82 (31.9%)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F17708" w14:textId="77777777" w:rsidR="001C19F3" w:rsidRDefault="001C19F3" w:rsidP="00521305">
            <w:pPr>
              <w:spacing w:before="40" w:after="40"/>
              <w:ind w:left="100" w:right="100"/>
              <w:jc w:val="right"/>
            </w:pPr>
            <w:r>
              <w:rPr>
                <w:rFonts w:eastAsia="Century Gothic" w:cs="Century Gothic"/>
                <w:color w:val="000000"/>
                <w:sz w:val="18"/>
                <w:szCs w:val="18"/>
              </w:rPr>
              <w:t>88 (34.0%)</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7039BB" w14:textId="77777777" w:rsidR="001C19F3" w:rsidRDefault="001C19F3" w:rsidP="00521305">
            <w:pPr>
              <w:spacing w:before="40" w:after="40"/>
              <w:ind w:left="100" w:right="100"/>
              <w:jc w:val="right"/>
            </w:pPr>
            <w:r>
              <w:rPr>
                <w:rFonts w:eastAsia="Century Gothic" w:cs="Century Gothic"/>
                <w:color w:val="000000"/>
                <w:sz w:val="18"/>
                <w:szCs w:val="18"/>
              </w:rPr>
              <w:t>0.568</w:t>
            </w:r>
          </w:p>
        </w:tc>
      </w:tr>
      <w:tr w:rsidR="001C19F3" w14:paraId="77C5D74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068B49"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1A446A" w14:textId="77777777" w:rsidR="001C19F3" w:rsidRDefault="001C19F3" w:rsidP="00521305">
            <w:pPr>
              <w:spacing w:before="40" w:after="40"/>
              <w:ind w:left="100" w:right="100"/>
              <w:jc w:val="center"/>
            </w:pPr>
            <w:r>
              <w:rPr>
                <w:rFonts w:eastAsia="Century Gothic" w:cs="Century Gothic"/>
                <w:color w:val="000000"/>
                <w:sz w:val="18"/>
                <w:szCs w:val="18"/>
              </w:rPr>
              <w:t>185 (9.5%)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BF68A2" w14:textId="77777777" w:rsidR="001C19F3" w:rsidRDefault="001C19F3" w:rsidP="00521305">
            <w:pPr>
              <w:spacing w:before="40" w:after="40"/>
              <w:ind w:left="100" w:right="100"/>
              <w:jc w:val="center"/>
            </w:pPr>
            <w:r>
              <w:rPr>
                <w:rFonts w:eastAsia="Century Gothic" w:cs="Century Gothic"/>
                <w:color w:val="000000"/>
                <w:sz w:val="18"/>
                <w:szCs w:val="18"/>
              </w:rPr>
              <w:t>37 (9.1%)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51DC552" w14:textId="77777777" w:rsidR="001C19F3" w:rsidRDefault="001C19F3" w:rsidP="00521305">
            <w:pPr>
              <w:spacing w:before="40" w:after="40"/>
              <w:ind w:left="100" w:right="100"/>
              <w:jc w:val="center"/>
            </w:pPr>
            <w:r>
              <w:rPr>
                <w:rFonts w:eastAsia="Century Gothic" w:cs="Century Gothic"/>
                <w:color w:val="000000"/>
                <w:sz w:val="18"/>
                <w:szCs w:val="18"/>
              </w:rPr>
              <w:t>148 (9.7%)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227DD04"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56B09B" w14:textId="77777777" w:rsidR="001C19F3" w:rsidRDefault="001C19F3" w:rsidP="00521305">
            <w:pPr>
              <w:spacing w:before="40" w:after="40"/>
              <w:ind w:left="100" w:right="100"/>
              <w:jc w:val="center"/>
            </w:pPr>
            <w:r>
              <w:rPr>
                <w:rFonts w:eastAsia="Century Gothic" w:cs="Century Gothic"/>
                <w:color w:val="000000"/>
                <w:sz w:val="18"/>
                <w:szCs w:val="18"/>
              </w:rPr>
              <w:t>130 (9.1%)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EC1EF17" w14:textId="77777777" w:rsidR="001C19F3" w:rsidRDefault="001C19F3" w:rsidP="00521305">
            <w:pPr>
              <w:spacing w:before="40" w:after="40"/>
              <w:ind w:left="100" w:right="100"/>
              <w:jc w:val="right"/>
            </w:pPr>
            <w:r>
              <w:rPr>
                <w:rFonts w:eastAsia="Century Gothic" w:cs="Century Gothic"/>
                <w:color w:val="000000"/>
                <w:sz w:val="18"/>
                <w:szCs w:val="18"/>
              </w:rPr>
              <w:t>24 (9.3%)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FE3BD0" w14:textId="77777777" w:rsidR="001C19F3" w:rsidRDefault="001C19F3" w:rsidP="00521305">
            <w:pPr>
              <w:spacing w:before="40" w:after="40"/>
              <w:ind w:left="100" w:right="100"/>
              <w:jc w:val="right"/>
            </w:pPr>
            <w:r>
              <w:rPr>
                <w:rFonts w:eastAsia="Century Gothic" w:cs="Century Gothic"/>
                <w:color w:val="000000"/>
                <w:sz w:val="18"/>
                <w:szCs w:val="18"/>
              </w:rPr>
              <w:t>31 (12.0%)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449A182" w14:textId="77777777" w:rsidR="001C19F3" w:rsidRDefault="001C19F3" w:rsidP="00521305">
            <w:pPr>
              <w:spacing w:after="0"/>
              <w:rPr>
                <w:sz w:val="22"/>
              </w:rPr>
            </w:pPr>
          </w:p>
        </w:tc>
      </w:tr>
      <w:tr w:rsidR="001C19F3" w14:paraId="15A5040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E1DECB"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2CFD92" w14:textId="77777777" w:rsidR="001C19F3" w:rsidRDefault="001C19F3" w:rsidP="00521305">
            <w:pPr>
              <w:spacing w:before="40" w:after="40"/>
              <w:ind w:left="100" w:right="100"/>
              <w:jc w:val="center"/>
            </w:pPr>
            <w:r>
              <w:rPr>
                <w:rFonts w:eastAsia="Century Gothic" w:cs="Century Gothic"/>
                <w:color w:val="000000"/>
                <w:sz w:val="18"/>
                <w:szCs w:val="18"/>
              </w:rPr>
              <w:t>414 (21.3%)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088C34" w14:textId="77777777" w:rsidR="001C19F3" w:rsidRDefault="001C19F3" w:rsidP="00521305">
            <w:pPr>
              <w:spacing w:before="40" w:after="40"/>
              <w:ind w:left="100" w:right="100"/>
              <w:jc w:val="center"/>
            </w:pPr>
            <w:r>
              <w:rPr>
                <w:rFonts w:eastAsia="Century Gothic" w:cs="Century Gothic"/>
                <w:color w:val="000000"/>
                <w:sz w:val="18"/>
                <w:szCs w:val="18"/>
              </w:rPr>
              <w:t>79 (19.4%)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F76947" w14:textId="77777777" w:rsidR="001C19F3" w:rsidRDefault="001C19F3" w:rsidP="00521305">
            <w:pPr>
              <w:spacing w:before="40" w:after="40"/>
              <w:ind w:left="100" w:right="100"/>
              <w:jc w:val="center"/>
            </w:pPr>
            <w:r>
              <w:rPr>
                <w:rFonts w:eastAsia="Century Gothic" w:cs="Century Gothic"/>
                <w:color w:val="000000"/>
                <w:sz w:val="18"/>
                <w:szCs w:val="18"/>
              </w:rPr>
              <w:t>335 (21.9%)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88EA01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2A036EB" w14:textId="77777777" w:rsidR="001C19F3" w:rsidRDefault="001C19F3" w:rsidP="00521305">
            <w:pPr>
              <w:spacing w:before="40" w:after="40"/>
              <w:ind w:left="100" w:right="100"/>
              <w:jc w:val="center"/>
            </w:pPr>
            <w:r>
              <w:rPr>
                <w:rFonts w:eastAsia="Century Gothic" w:cs="Century Gothic"/>
                <w:color w:val="000000"/>
                <w:sz w:val="18"/>
                <w:szCs w:val="18"/>
              </w:rPr>
              <w:t>301 (21.1%)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67C7CA" w14:textId="77777777" w:rsidR="001C19F3" w:rsidRDefault="001C19F3" w:rsidP="00521305">
            <w:pPr>
              <w:spacing w:before="40" w:after="40"/>
              <w:ind w:left="100" w:right="100"/>
              <w:jc w:val="right"/>
            </w:pPr>
            <w:r>
              <w:rPr>
                <w:rFonts w:eastAsia="Century Gothic" w:cs="Century Gothic"/>
                <w:color w:val="000000"/>
                <w:sz w:val="18"/>
                <w:szCs w:val="18"/>
              </w:rPr>
              <w:t>56 (21.8%)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6851F2" w14:textId="77777777" w:rsidR="001C19F3" w:rsidRDefault="001C19F3" w:rsidP="00521305">
            <w:pPr>
              <w:spacing w:before="40" w:after="40"/>
              <w:ind w:left="100" w:right="100"/>
              <w:jc w:val="right"/>
            </w:pPr>
            <w:r>
              <w:rPr>
                <w:rFonts w:eastAsia="Century Gothic" w:cs="Century Gothic"/>
                <w:color w:val="000000"/>
                <w:sz w:val="18"/>
                <w:szCs w:val="18"/>
              </w:rPr>
              <w:t>57 (22.0%)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41C8848" w14:textId="77777777" w:rsidR="001C19F3" w:rsidRDefault="001C19F3" w:rsidP="00521305">
            <w:pPr>
              <w:spacing w:after="0"/>
              <w:rPr>
                <w:sz w:val="22"/>
              </w:rPr>
            </w:pPr>
          </w:p>
        </w:tc>
      </w:tr>
      <w:tr w:rsidR="001C19F3" w14:paraId="5E4E260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995504"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35F62AD" w14:textId="77777777" w:rsidR="001C19F3" w:rsidRDefault="001C19F3" w:rsidP="00521305">
            <w:pPr>
              <w:spacing w:before="40" w:after="40"/>
              <w:ind w:left="100" w:right="100"/>
              <w:jc w:val="center"/>
            </w:pPr>
            <w:r>
              <w:rPr>
                <w:rFonts w:eastAsia="Century Gothic" w:cs="Century Gothic"/>
                <w:color w:val="000000"/>
                <w:sz w:val="18"/>
                <w:szCs w:val="18"/>
              </w:rPr>
              <w:t>373 (19.2%)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597A2A" w14:textId="77777777" w:rsidR="001C19F3" w:rsidRDefault="001C19F3" w:rsidP="00521305">
            <w:pPr>
              <w:spacing w:before="40" w:after="40"/>
              <w:ind w:left="100" w:right="100"/>
              <w:jc w:val="center"/>
            </w:pPr>
            <w:r>
              <w:rPr>
                <w:rFonts w:eastAsia="Century Gothic" w:cs="Century Gothic"/>
                <w:color w:val="000000"/>
                <w:sz w:val="18"/>
                <w:szCs w:val="18"/>
              </w:rPr>
              <w:t>74 (18.2%)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B065B6" w14:textId="77777777" w:rsidR="001C19F3" w:rsidRDefault="001C19F3" w:rsidP="00521305">
            <w:pPr>
              <w:spacing w:before="40" w:after="40"/>
              <w:ind w:left="100" w:right="100"/>
              <w:jc w:val="center"/>
            </w:pPr>
            <w:r>
              <w:rPr>
                <w:rFonts w:eastAsia="Century Gothic" w:cs="Century Gothic"/>
                <w:color w:val="000000"/>
                <w:sz w:val="18"/>
                <w:szCs w:val="18"/>
              </w:rPr>
              <w:t>299 (19.5%)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63AE9C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268DDE" w14:textId="77777777" w:rsidR="001C19F3" w:rsidRDefault="001C19F3" w:rsidP="00521305">
            <w:pPr>
              <w:spacing w:before="40" w:after="40"/>
              <w:ind w:left="100" w:right="100"/>
              <w:jc w:val="center"/>
            </w:pPr>
            <w:r>
              <w:rPr>
                <w:rFonts w:eastAsia="Century Gothic" w:cs="Century Gothic"/>
                <w:color w:val="000000"/>
                <w:sz w:val="18"/>
                <w:szCs w:val="18"/>
              </w:rPr>
              <w:t>266 (18.7%)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1D681F" w14:textId="77777777" w:rsidR="001C19F3" w:rsidRDefault="001C19F3" w:rsidP="00521305">
            <w:pPr>
              <w:spacing w:before="40" w:after="40"/>
              <w:ind w:left="100" w:right="100"/>
              <w:jc w:val="right"/>
            </w:pPr>
            <w:r>
              <w:rPr>
                <w:rFonts w:eastAsia="Century Gothic" w:cs="Century Gothic"/>
                <w:color w:val="000000"/>
                <w:sz w:val="18"/>
                <w:szCs w:val="18"/>
              </w:rPr>
              <w:t>55 (21.4%)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304B60" w14:textId="77777777" w:rsidR="001C19F3" w:rsidRDefault="001C19F3" w:rsidP="00521305">
            <w:pPr>
              <w:spacing w:before="40" w:after="40"/>
              <w:ind w:left="100" w:right="100"/>
              <w:jc w:val="right"/>
            </w:pPr>
            <w:r>
              <w:rPr>
                <w:rFonts w:eastAsia="Century Gothic" w:cs="Century Gothic"/>
                <w:color w:val="000000"/>
                <w:sz w:val="18"/>
                <w:szCs w:val="18"/>
              </w:rPr>
              <w:t>52 (20.1%)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1C85ABE" w14:textId="77777777" w:rsidR="001C19F3" w:rsidRDefault="001C19F3" w:rsidP="00521305">
            <w:pPr>
              <w:spacing w:after="0"/>
              <w:rPr>
                <w:sz w:val="22"/>
              </w:rPr>
            </w:pPr>
          </w:p>
        </w:tc>
      </w:tr>
      <w:tr w:rsidR="001C19F3" w14:paraId="4D54163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16CAAA"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69C4F5" w14:textId="77777777" w:rsidR="001C19F3" w:rsidRDefault="001C19F3" w:rsidP="00521305">
            <w:pPr>
              <w:spacing w:before="40" w:after="40"/>
              <w:ind w:left="100" w:right="100"/>
              <w:jc w:val="center"/>
            </w:pPr>
            <w:r>
              <w:rPr>
                <w:rFonts w:eastAsia="Century Gothic" w:cs="Century Gothic"/>
                <w:color w:val="000000"/>
                <w:sz w:val="18"/>
                <w:szCs w:val="18"/>
              </w:rPr>
              <w:t>313 (16.1%)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B5C5BE" w14:textId="77777777" w:rsidR="001C19F3" w:rsidRDefault="001C19F3" w:rsidP="00521305">
            <w:pPr>
              <w:spacing w:before="40" w:after="40"/>
              <w:ind w:left="100" w:right="100"/>
              <w:jc w:val="center"/>
            </w:pPr>
            <w:r>
              <w:rPr>
                <w:rFonts w:eastAsia="Century Gothic" w:cs="Century Gothic"/>
                <w:color w:val="000000"/>
                <w:sz w:val="18"/>
                <w:szCs w:val="18"/>
              </w:rPr>
              <w:t>75 (18.4%)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6FE297" w14:textId="77777777" w:rsidR="001C19F3" w:rsidRDefault="001C19F3" w:rsidP="00521305">
            <w:pPr>
              <w:spacing w:before="40" w:after="40"/>
              <w:ind w:left="100" w:right="100"/>
              <w:jc w:val="center"/>
            </w:pPr>
            <w:r>
              <w:rPr>
                <w:rFonts w:eastAsia="Century Gothic" w:cs="Century Gothic"/>
                <w:color w:val="000000"/>
                <w:sz w:val="18"/>
                <w:szCs w:val="18"/>
              </w:rPr>
              <w:t>238 (15.5%)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54892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1E9640" w14:textId="77777777" w:rsidR="001C19F3" w:rsidRDefault="001C19F3" w:rsidP="00521305">
            <w:pPr>
              <w:spacing w:before="40" w:after="40"/>
              <w:ind w:left="100" w:right="100"/>
              <w:jc w:val="center"/>
            </w:pPr>
            <w:r>
              <w:rPr>
                <w:rFonts w:eastAsia="Century Gothic" w:cs="Century Gothic"/>
                <w:color w:val="000000"/>
                <w:sz w:val="18"/>
                <w:szCs w:val="18"/>
              </w:rPr>
              <w:t>242 (17.0%)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1770378" w14:textId="77777777" w:rsidR="001C19F3" w:rsidRDefault="001C19F3" w:rsidP="00521305">
            <w:pPr>
              <w:spacing w:before="40" w:after="40"/>
              <w:ind w:left="100" w:right="100"/>
              <w:jc w:val="right"/>
            </w:pPr>
            <w:r>
              <w:rPr>
                <w:rFonts w:eastAsia="Century Gothic" w:cs="Century Gothic"/>
                <w:color w:val="000000"/>
                <w:sz w:val="18"/>
                <w:szCs w:val="18"/>
              </w:rPr>
              <w:t>40 (15.6%)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CF3DA" w14:textId="77777777" w:rsidR="001C19F3" w:rsidRDefault="001C19F3" w:rsidP="00521305">
            <w:pPr>
              <w:spacing w:before="40" w:after="40"/>
              <w:ind w:left="100" w:right="100"/>
              <w:jc w:val="right"/>
            </w:pPr>
            <w:r>
              <w:rPr>
                <w:rFonts w:eastAsia="Century Gothic" w:cs="Century Gothic"/>
                <w:color w:val="000000"/>
                <w:sz w:val="18"/>
                <w:szCs w:val="18"/>
              </w:rPr>
              <w:t>31 (12.0%)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AB3C332" w14:textId="77777777" w:rsidR="001C19F3" w:rsidRDefault="001C19F3" w:rsidP="00521305">
            <w:pPr>
              <w:spacing w:after="0"/>
              <w:rPr>
                <w:sz w:val="22"/>
              </w:rPr>
            </w:pPr>
          </w:p>
        </w:tc>
      </w:tr>
      <w:tr w:rsidR="001C19F3" w14:paraId="355547DA"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E495D8" w14:textId="77777777" w:rsidR="001C19F3" w:rsidRDefault="001C19F3" w:rsidP="00521305">
            <w:pPr>
              <w:spacing w:before="40" w:after="40"/>
              <w:ind w:left="100" w:right="100"/>
            </w:pPr>
            <w:r>
              <w:rPr>
                <w:rFonts w:eastAsia="Century Gothic" w:cs="Century Gothic"/>
                <w:b/>
                <w:color w:val="000000"/>
                <w:sz w:val="18"/>
                <w:szCs w:val="18"/>
              </w:rPr>
              <w:t>J08 I was asked questions, either directly or on a survey, about my health habits (Q12)</w:t>
            </w:r>
          </w:p>
        </w:tc>
      </w:tr>
      <w:tr w:rsidR="001C19F3" w14:paraId="1296E6E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B23B82"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A19E61" w14:textId="77777777" w:rsidR="001C19F3" w:rsidRDefault="001C19F3" w:rsidP="00521305">
            <w:pPr>
              <w:spacing w:before="40" w:after="40"/>
              <w:ind w:left="100" w:right="100"/>
              <w:jc w:val="center"/>
            </w:pPr>
            <w:r>
              <w:rPr>
                <w:rFonts w:eastAsia="Century Gothic" w:cs="Century Gothic"/>
                <w:color w:val="000000"/>
                <w:sz w:val="18"/>
                <w:szCs w:val="18"/>
              </w:rPr>
              <w:t>378 (19.4%)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5B2E6" w14:textId="77777777" w:rsidR="001C19F3" w:rsidRDefault="001C19F3" w:rsidP="00521305">
            <w:pPr>
              <w:spacing w:before="40" w:after="40"/>
              <w:ind w:left="100" w:right="100"/>
              <w:jc w:val="center"/>
            </w:pPr>
            <w:r>
              <w:rPr>
                <w:rFonts w:eastAsia="Century Gothic" w:cs="Century Gothic"/>
                <w:color w:val="000000"/>
                <w:sz w:val="18"/>
                <w:szCs w:val="18"/>
              </w:rPr>
              <w:t>86 (21.7%)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ECFC38" w14:textId="77777777" w:rsidR="001C19F3" w:rsidRDefault="001C19F3" w:rsidP="00521305">
            <w:pPr>
              <w:spacing w:before="40" w:after="40"/>
              <w:ind w:left="100" w:right="100"/>
              <w:jc w:val="center"/>
            </w:pPr>
            <w:r>
              <w:rPr>
                <w:rFonts w:eastAsia="Century Gothic" w:cs="Century Gothic"/>
                <w:color w:val="000000"/>
                <w:sz w:val="18"/>
                <w:szCs w:val="18"/>
              </w:rPr>
              <w:t>292 (18.9%)</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94C1F1" w14:textId="77777777" w:rsidR="001C19F3" w:rsidRDefault="001C19F3" w:rsidP="00521305">
            <w:pPr>
              <w:spacing w:before="40" w:after="40"/>
              <w:ind w:left="100" w:right="100"/>
              <w:jc w:val="center"/>
            </w:pPr>
            <w:r>
              <w:rPr>
                <w:rFonts w:eastAsia="Century Gothic" w:cs="Century Gothic"/>
                <w:color w:val="000000"/>
                <w:sz w:val="18"/>
                <w:szCs w:val="18"/>
              </w:rPr>
              <w:t>0.108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E10CFA" w14:textId="77777777" w:rsidR="001C19F3" w:rsidRDefault="001C19F3" w:rsidP="00521305">
            <w:pPr>
              <w:spacing w:before="40" w:after="40"/>
              <w:ind w:left="100" w:right="100"/>
              <w:jc w:val="center"/>
            </w:pPr>
            <w:r>
              <w:rPr>
                <w:rFonts w:eastAsia="Century Gothic" w:cs="Century Gothic"/>
                <w:color w:val="000000"/>
                <w:sz w:val="18"/>
                <w:szCs w:val="18"/>
              </w:rPr>
              <w:t>266 (18.7%)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BB7ECE" w14:textId="77777777" w:rsidR="001C19F3" w:rsidRDefault="001C19F3" w:rsidP="00521305">
            <w:pPr>
              <w:spacing w:before="40" w:after="40"/>
              <w:ind w:left="100" w:right="100"/>
              <w:jc w:val="right"/>
            </w:pPr>
            <w:r>
              <w:rPr>
                <w:rFonts w:eastAsia="Century Gothic" w:cs="Century Gothic"/>
                <w:color w:val="000000"/>
                <w:sz w:val="18"/>
                <w:szCs w:val="18"/>
              </w:rPr>
              <w:t>47 (17.5%)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FC7036" w14:textId="77777777" w:rsidR="001C19F3" w:rsidRDefault="001C19F3" w:rsidP="00521305">
            <w:pPr>
              <w:spacing w:before="40" w:after="40"/>
              <w:ind w:left="100" w:right="100"/>
              <w:jc w:val="right"/>
            </w:pPr>
            <w:r>
              <w:rPr>
                <w:rFonts w:eastAsia="Century Gothic" w:cs="Century Gothic"/>
                <w:color w:val="000000"/>
                <w:sz w:val="18"/>
                <w:szCs w:val="18"/>
              </w:rPr>
              <w:t>65 (25.8%)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69BD7B" w14:textId="77777777" w:rsidR="001C19F3" w:rsidRDefault="001C19F3" w:rsidP="00521305">
            <w:pPr>
              <w:spacing w:before="40" w:after="40"/>
              <w:ind w:left="100" w:right="100"/>
              <w:jc w:val="right"/>
            </w:pPr>
            <w:r>
              <w:rPr>
                <w:rFonts w:eastAsia="Century Gothic" w:cs="Century Gothic"/>
                <w:color w:val="000000"/>
                <w:sz w:val="18"/>
                <w:szCs w:val="18"/>
              </w:rPr>
              <w:t>0.079</w:t>
            </w:r>
          </w:p>
        </w:tc>
      </w:tr>
      <w:tr w:rsidR="001C19F3" w14:paraId="3A2F7E2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2445B7"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493609D" w14:textId="77777777" w:rsidR="001C19F3" w:rsidRDefault="001C19F3" w:rsidP="00521305">
            <w:pPr>
              <w:spacing w:before="40" w:after="40"/>
              <w:ind w:left="100" w:right="100"/>
              <w:jc w:val="center"/>
            </w:pPr>
            <w:r>
              <w:rPr>
                <w:rFonts w:eastAsia="Century Gothic" w:cs="Century Gothic"/>
                <w:color w:val="000000"/>
                <w:sz w:val="18"/>
                <w:szCs w:val="18"/>
              </w:rPr>
              <w:t>202 (10.4%)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EE266D" w14:textId="77777777" w:rsidR="001C19F3" w:rsidRDefault="001C19F3" w:rsidP="00521305">
            <w:pPr>
              <w:spacing w:before="40" w:after="40"/>
              <w:ind w:left="100" w:right="100"/>
              <w:jc w:val="center"/>
            </w:pPr>
            <w:r>
              <w:rPr>
                <w:rFonts w:eastAsia="Century Gothic" w:cs="Century Gothic"/>
                <w:color w:val="000000"/>
                <w:sz w:val="18"/>
                <w:szCs w:val="18"/>
              </w:rPr>
              <w:t>38 (9.6%)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4F0B3" w14:textId="77777777" w:rsidR="001C19F3" w:rsidRDefault="001C19F3" w:rsidP="00521305">
            <w:pPr>
              <w:spacing w:before="40" w:after="40"/>
              <w:ind w:left="100" w:right="100"/>
              <w:jc w:val="center"/>
            </w:pPr>
            <w:r>
              <w:rPr>
                <w:rFonts w:eastAsia="Century Gothic" w:cs="Century Gothic"/>
                <w:color w:val="000000"/>
                <w:sz w:val="18"/>
                <w:szCs w:val="18"/>
              </w:rPr>
              <w:t>164 (10.6%)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2D2D95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E8E867" w14:textId="77777777" w:rsidR="001C19F3" w:rsidRDefault="001C19F3" w:rsidP="00521305">
            <w:pPr>
              <w:spacing w:before="40" w:after="40"/>
              <w:ind w:left="100" w:right="100"/>
              <w:jc w:val="center"/>
            </w:pPr>
            <w:r>
              <w:rPr>
                <w:rFonts w:eastAsia="Century Gothic" w:cs="Century Gothic"/>
                <w:color w:val="000000"/>
                <w:sz w:val="18"/>
                <w:szCs w:val="18"/>
              </w:rPr>
              <w:t>148 (10.4%)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286C65" w14:textId="77777777" w:rsidR="001C19F3" w:rsidRDefault="001C19F3" w:rsidP="00521305">
            <w:pPr>
              <w:spacing w:before="40" w:after="40"/>
              <w:ind w:left="100" w:right="100"/>
              <w:jc w:val="right"/>
            </w:pPr>
            <w:r>
              <w:rPr>
                <w:rFonts w:eastAsia="Century Gothic" w:cs="Century Gothic"/>
                <w:color w:val="000000"/>
                <w:sz w:val="18"/>
                <w:szCs w:val="18"/>
              </w:rPr>
              <w:t>24 (8.9%)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D32247" w14:textId="77777777" w:rsidR="001C19F3" w:rsidRDefault="001C19F3" w:rsidP="00521305">
            <w:pPr>
              <w:spacing w:before="40" w:after="40"/>
              <w:ind w:left="100" w:right="100"/>
              <w:jc w:val="right"/>
            </w:pPr>
            <w:r>
              <w:rPr>
                <w:rFonts w:eastAsia="Century Gothic" w:cs="Century Gothic"/>
                <w:color w:val="000000"/>
                <w:sz w:val="18"/>
                <w:szCs w:val="18"/>
              </w:rPr>
              <w:t>30 (11.9%)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6D6D17D" w14:textId="77777777" w:rsidR="001C19F3" w:rsidRDefault="001C19F3" w:rsidP="00521305">
            <w:pPr>
              <w:spacing w:after="0"/>
              <w:rPr>
                <w:sz w:val="22"/>
              </w:rPr>
            </w:pPr>
          </w:p>
        </w:tc>
      </w:tr>
      <w:tr w:rsidR="001C19F3" w14:paraId="7CBA57B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068A09"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EA5123" w14:textId="77777777" w:rsidR="001C19F3" w:rsidRDefault="001C19F3" w:rsidP="00521305">
            <w:pPr>
              <w:spacing w:before="40" w:after="40"/>
              <w:ind w:left="100" w:right="100"/>
              <w:jc w:val="center"/>
            </w:pPr>
            <w:r>
              <w:rPr>
                <w:rFonts w:eastAsia="Century Gothic" w:cs="Century Gothic"/>
                <w:color w:val="000000"/>
                <w:sz w:val="18"/>
                <w:szCs w:val="18"/>
              </w:rPr>
              <w:t>448 (23.0%)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378BB3" w14:textId="77777777" w:rsidR="001C19F3" w:rsidRDefault="001C19F3" w:rsidP="00521305">
            <w:pPr>
              <w:spacing w:before="40" w:after="40"/>
              <w:ind w:left="100" w:right="100"/>
              <w:jc w:val="center"/>
            </w:pPr>
            <w:r>
              <w:rPr>
                <w:rFonts w:eastAsia="Century Gothic" w:cs="Century Gothic"/>
                <w:color w:val="000000"/>
                <w:sz w:val="18"/>
                <w:szCs w:val="18"/>
              </w:rPr>
              <w:t>103 (25.9%)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F71FA7" w14:textId="77777777" w:rsidR="001C19F3" w:rsidRDefault="001C19F3" w:rsidP="00521305">
            <w:pPr>
              <w:spacing w:before="40" w:after="40"/>
              <w:ind w:left="100" w:right="100"/>
              <w:jc w:val="center"/>
            </w:pPr>
            <w:r>
              <w:rPr>
                <w:rFonts w:eastAsia="Century Gothic" w:cs="Century Gothic"/>
                <w:color w:val="000000"/>
                <w:sz w:val="18"/>
                <w:szCs w:val="18"/>
              </w:rPr>
              <w:t>345 (22.3%)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8862A6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157800" w14:textId="77777777" w:rsidR="001C19F3" w:rsidRDefault="001C19F3" w:rsidP="00521305">
            <w:pPr>
              <w:spacing w:before="40" w:after="40"/>
              <w:ind w:left="100" w:right="100"/>
              <w:jc w:val="center"/>
            </w:pPr>
            <w:r>
              <w:rPr>
                <w:rFonts w:eastAsia="Century Gothic" w:cs="Century Gothic"/>
                <w:color w:val="000000"/>
                <w:sz w:val="18"/>
                <w:szCs w:val="18"/>
              </w:rPr>
              <w:t>337 (23.6%)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A975E4" w14:textId="77777777" w:rsidR="001C19F3" w:rsidRDefault="001C19F3" w:rsidP="00521305">
            <w:pPr>
              <w:spacing w:before="40" w:after="40"/>
              <w:ind w:left="100" w:right="100"/>
              <w:jc w:val="right"/>
            </w:pPr>
            <w:r>
              <w:rPr>
                <w:rFonts w:eastAsia="Century Gothic" w:cs="Century Gothic"/>
                <w:color w:val="000000"/>
                <w:sz w:val="18"/>
                <w:szCs w:val="18"/>
              </w:rPr>
              <w:t>68 (25.3%)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1C4FCB" w14:textId="77777777" w:rsidR="001C19F3" w:rsidRDefault="001C19F3" w:rsidP="00521305">
            <w:pPr>
              <w:spacing w:before="40" w:after="40"/>
              <w:ind w:left="100" w:right="100"/>
              <w:jc w:val="right"/>
            </w:pPr>
            <w:r>
              <w:rPr>
                <w:rFonts w:eastAsia="Century Gothic" w:cs="Century Gothic"/>
                <w:color w:val="000000"/>
                <w:sz w:val="18"/>
                <w:szCs w:val="18"/>
              </w:rPr>
              <w:t>43 (17.1%)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12DFFC8" w14:textId="77777777" w:rsidR="001C19F3" w:rsidRDefault="001C19F3" w:rsidP="00521305">
            <w:pPr>
              <w:spacing w:after="0"/>
              <w:rPr>
                <w:sz w:val="22"/>
              </w:rPr>
            </w:pPr>
          </w:p>
        </w:tc>
      </w:tr>
      <w:tr w:rsidR="001C19F3" w14:paraId="6A0A960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C52E27"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885A13" w14:textId="77777777" w:rsidR="001C19F3" w:rsidRDefault="001C19F3" w:rsidP="00521305">
            <w:pPr>
              <w:spacing w:before="40" w:after="40"/>
              <w:ind w:left="100" w:right="100"/>
              <w:jc w:val="center"/>
            </w:pPr>
            <w:r>
              <w:rPr>
                <w:rFonts w:eastAsia="Century Gothic" w:cs="Century Gothic"/>
                <w:color w:val="000000"/>
                <w:sz w:val="18"/>
                <w:szCs w:val="18"/>
              </w:rPr>
              <w:t>503 (25.8%)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F43E75" w14:textId="77777777" w:rsidR="001C19F3" w:rsidRDefault="001C19F3" w:rsidP="00521305">
            <w:pPr>
              <w:spacing w:before="40" w:after="40"/>
              <w:ind w:left="100" w:right="100"/>
              <w:jc w:val="center"/>
            </w:pPr>
            <w:r>
              <w:rPr>
                <w:rFonts w:eastAsia="Century Gothic" w:cs="Century Gothic"/>
                <w:color w:val="000000"/>
                <w:sz w:val="18"/>
                <w:szCs w:val="18"/>
              </w:rPr>
              <w:t>102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0CC0C7" w14:textId="77777777" w:rsidR="001C19F3" w:rsidRDefault="001C19F3" w:rsidP="00521305">
            <w:pPr>
              <w:spacing w:before="40" w:after="40"/>
              <w:ind w:left="100" w:right="100"/>
              <w:jc w:val="center"/>
            </w:pPr>
            <w:r>
              <w:rPr>
                <w:rFonts w:eastAsia="Century Gothic" w:cs="Century Gothic"/>
                <w:color w:val="000000"/>
                <w:sz w:val="18"/>
                <w:szCs w:val="18"/>
              </w:rPr>
              <w:t>401 (25.9%)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4C8DE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ED8BD9" w14:textId="77777777" w:rsidR="001C19F3" w:rsidRDefault="001C19F3" w:rsidP="00521305">
            <w:pPr>
              <w:spacing w:before="40" w:after="40"/>
              <w:ind w:left="100" w:right="100"/>
              <w:jc w:val="center"/>
            </w:pPr>
            <w:r>
              <w:rPr>
                <w:rFonts w:eastAsia="Century Gothic" w:cs="Century Gothic"/>
                <w:color w:val="000000"/>
                <w:sz w:val="18"/>
                <w:szCs w:val="18"/>
              </w:rPr>
              <w:t>365 (25.6%)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71ADA01" w14:textId="77777777" w:rsidR="001C19F3" w:rsidRDefault="001C19F3" w:rsidP="00521305">
            <w:pPr>
              <w:spacing w:before="40" w:after="40"/>
              <w:ind w:left="100" w:right="100"/>
              <w:jc w:val="right"/>
            </w:pPr>
            <w:r>
              <w:rPr>
                <w:rFonts w:eastAsia="Century Gothic" w:cs="Century Gothic"/>
                <w:color w:val="000000"/>
                <w:sz w:val="18"/>
                <w:szCs w:val="18"/>
              </w:rPr>
              <w:t>78 (29.0%)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C2A077D" w14:textId="77777777" w:rsidR="001C19F3" w:rsidRDefault="001C19F3" w:rsidP="00521305">
            <w:pPr>
              <w:spacing w:before="40" w:after="40"/>
              <w:ind w:left="100" w:right="100"/>
              <w:jc w:val="right"/>
            </w:pPr>
            <w:r>
              <w:rPr>
                <w:rFonts w:eastAsia="Century Gothic" w:cs="Century Gothic"/>
                <w:color w:val="000000"/>
                <w:sz w:val="18"/>
                <w:szCs w:val="18"/>
              </w:rPr>
              <w:t>60 (23.8%)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36E5047" w14:textId="77777777" w:rsidR="001C19F3" w:rsidRDefault="001C19F3" w:rsidP="00521305">
            <w:pPr>
              <w:spacing w:after="0"/>
              <w:rPr>
                <w:sz w:val="22"/>
              </w:rPr>
            </w:pPr>
          </w:p>
        </w:tc>
      </w:tr>
      <w:tr w:rsidR="001C19F3" w14:paraId="0AFFA59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2A431D"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75D8EB1" w14:textId="77777777" w:rsidR="001C19F3" w:rsidRDefault="001C19F3" w:rsidP="00521305">
            <w:pPr>
              <w:spacing w:before="40" w:after="40"/>
              <w:ind w:left="100" w:right="100"/>
              <w:jc w:val="center"/>
            </w:pPr>
            <w:r>
              <w:rPr>
                <w:rFonts w:eastAsia="Century Gothic" w:cs="Century Gothic"/>
                <w:color w:val="000000"/>
                <w:sz w:val="18"/>
                <w:szCs w:val="18"/>
              </w:rPr>
              <w:t>415 (21.3%)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38105D" w14:textId="77777777" w:rsidR="001C19F3" w:rsidRDefault="001C19F3" w:rsidP="00521305">
            <w:pPr>
              <w:spacing w:before="40" w:after="40"/>
              <w:ind w:left="100" w:right="100"/>
              <w:jc w:val="center"/>
            </w:pPr>
            <w:r>
              <w:rPr>
                <w:rFonts w:eastAsia="Century Gothic" w:cs="Century Gothic"/>
                <w:color w:val="000000"/>
                <w:sz w:val="18"/>
                <w:szCs w:val="18"/>
              </w:rPr>
              <w:t>68 (17.1%)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D8A790" w14:textId="77777777" w:rsidR="001C19F3" w:rsidRDefault="001C19F3" w:rsidP="00521305">
            <w:pPr>
              <w:spacing w:before="40" w:after="40"/>
              <w:ind w:left="100" w:right="100"/>
              <w:jc w:val="center"/>
            </w:pPr>
            <w:r>
              <w:rPr>
                <w:rFonts w:eastAsia="Century Gothic" w:cs="Century Gothic"/>
                <w:color w:val="000000"/>
                <w:sz w:val="18"/>
                <w:szCs w:val="18"/>
              </w:rPr>
              <w:t>347 (22.4%)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2A108B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D93B29" w14:textId="77777777" w:rsidR="001C19F3" w:rsidRDefault="001C19F3" w:rsidP="00521305">
            <w:pPr>
              <w:spacing w:before="40" w:after="40"/>
              <w:ind w:left="100" w:right="100"/>
              <w:jc w:val="center"/>
            </w:pPr>
            <w:r>
              <w:rPr>
                <w:rFonts w:eastAsia="Century Gothic" w:cs="Century Gothic"/>
                <w:color w:val="000000"/>
                <w:sz w:val="18"/>
                <w:szCs w:val="18"/>
              </w:rPr>
              <w:t>309 (21.7%)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BF8170" w14:textId="77777777" w:rsidR="001C19F3" w:rsidRDefault="001C19F3" w:rsidP="00521305">
            <w:pPr>
              <w:spacing w:before="40" w:after="40"/>
              <w:ind w:left="100" w:right="100"/>
              <w:jc w:val="right"/>
            </w:pPr>
            <w:r>
              <w:rPr>
                <w:rFonts w:eastAsia="Century Gothic" w:cs="Century Gothic"/>
                <w:color w:val="000000"/>
                <w:sz w:val="18"/>
                <w:szCs w:val="18"/>
              </w:rPr>
              <w:t>52 (19.3%)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D594F4" w14:textId="77777777" w:rsidR="001C19F3" w:rsidRDefault="001C19F3" w:rsidP="00521305">
            <w:pPr>
              <w:spacing w:before="40" w:after="40"/>
              <w:ind w:left="100" w:right="100"/>
              <w:jc w:val="right"/>
            </w:pPr>
            <w:r>
              <w:rPr>
                <w:rFonts w:eastAsia="Century Gothic" w:cs="Century Gothic"/>
                <w:color w:val="000000"/>
                <w:sz w:val="18"/>
                <w:szCs w:val="18"/>
              </w:rPr>
              <w:t>54 (21.4%)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BC04ABB" w14:textId="77777777" w:rsidR="001C19F3" w:rsidRDefault="001C19F3" w:rsidP="00521305">
            <w:pPr>
              <w:spacing w:after="0"/>
              <w:rPr>
                <w:sz w:val="22"/>
              </w:rPr>
            </w:pPr>
          </w:p>
        </w:tc>
      </w:tr>
      <w:tr w:rsidR="001C19F3" w14:paraId="4401587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80CB3B" w14:textId="77777777" w:rsidR="001C19F3" w:rsidRDefault="001C19F3" w:rsidP="00521305">
            <w:pPr>
              <w:spacing w:before="40" w:after="40"/>
              <w:ind w:left="100" w:right="100"/>
            </w:pPr>
            <w:r>
              <w:rPr>
                <w:rFonts w:eastAsia="Century Gothic" w:cs="Century Gothic"/>
                <w:b/>
                <w:color w:val="000000"/>
                <w:sz w:val="18"/>
                <w:szCs w:val="18"/>
              </w:rPr>
              <w:t>J09 I was satisfied that my care was well organised (Q12)</w:t>
            </w:r>
          </w:p>
        </w:tc>
      </w:tr>
      <w:tr w:rsidR="001C19F3" w14:paraId="286DAF7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AAE83B"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9BD89A" w14:textId="77777777" w:rsidR="001C19F3" w:rsidRDefault="001C19F3" w:rsidP="00521305">
            <w:pPr>
              <w:spacing w:before="40" w:after="40"/>
              <w:ind w:left="100" w:right="100"/>
              <w:jc w:val="center"/>
            </w:pPr>
            <w:r>
              <w:rPr>
                <w:rFonts w:eastAsia="Century Gothic" w:cs="Century Gothic"/>
                <w:color w:val="000000"/>
                <w:sz w:val="18"/>
                <w:szCs w:val="18"/>
              </w:rPr>
              <w:t>38 (1.9%)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2D17C7E" w14:textId="77777777" w:rsidR="001C19F3" w:rsidRDefault="001C19F3" w:rsidP="00521305">
            <w:pPr>
              <w:spacing w:before="40" w:after="40"/>
              <w:ind w:left="100" w:right="100"/>
              <w:jc w:val="center"/>
            </w:pPr>
            <w:r>
              <w:rPr>
                <w:rFonts w:eastAsia="Century Gothic" w:cs="Century Gothic"/>
                <w:color w:val="000000"/>
                <w:sz w:val="18"/>
                <w:szCs w:val="18"/>
              </w:rPr>
              <w:t>10 (2.4%)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A1B196" w14:textId="77777777" w:rsidR="001C19F3" w:rsidRDefault="001C19F3" w:rsidP="00521305">
            <w:pPr>
              <w:spacing w:before="40" w:after="40"/>
              <w:ind w:left="100" w:right="100"/>
              <w:jc w:val="center"/>
            </w:pPr>
            <w:r>
              <w:rPr>
                <w:rFonts w:eastAsia="Century Gothic" w:cs="Century Gothic"/>
                <w:color w:val="000000"/>
                <w:sz w:val="18"/>
                <w:szCs w:val="18"/>
              </w:rPr>
              <w:t>28 (1.8%)</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B2689BC" w14:textId="77777777" w:rsidR="001C19F3" w:rsidRDefault="001C19F3" w:rsidP="00521305">
            <w:pPr>
              <w:spacing w:before="40" w:after="40"/>
              <w:ind w:left="100" w:right="100"/>
              <w:jc w:val="center"/>
            </w:pPr>
            <w:r>
              <w:rPr>
                <w:rFonts w:eastAsia="Century Gothic" w:cs="Century Gothic"/>
                <w:color w:val="000000"/>
                <w:sz w:val="18"/>
                <w:szCs w:val="18"/>
              </w:rPr>
              <w:t>0.005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7EAB4A" w14:textId="77777777" w:rsidR="001C19F3" w:rsidRDefault="001C19F3" w:rsidP="00521305">
            <w:pPr>
              <w:spacing w:before="40" w:after="40"/>
              <w:ind w:left="100" w:right="100"/>
              <w:jc w:val="center"/>
            </w:pPr>
            <w:r>
              <w:rPr>
                <w:rFonts w:eastAsia="Century Gothic" w:cs="Century Gothic"/>
                <w:color w:val="000000"/>
                <w:sz w:val="18"/>
                <w:szCs w:val="18"/>
              </w:rPr>
              <w:t>27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7E2659" w14:textId="77777777" w:rsidR="001C19F3" w:rsidRDefault="001C19F3" w:rsidP="00521305">
            <w:pPr>
              <w:spacing w:before="40" w:after="40"/>
              <w:ind w:left="100" w:right="100"/>
              <w:jc w:val="right"/>
            </w:pPr>
            <w:r>
              <w:rPr>
                <w:rFonts w:eastAsia="Century Gothic" w:cs="Century Gothic"/>
                <w:color w:val="000000"/>
                <w:sz w:val="18"/>
                <w:szCs w:val="18"/>
              </w:rPr>
              <w:t>5 (1.8%)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9216D2" w14:textId="77777777" w:rsidR="001C19F3" w:rsidRDefault="001C19F3" w:rsidP="00521305">
            <w:pPr>
              <w:spacing w:before="40" w:after="40"/>
              <w:ind w:left="100" w:right="100"/>
              <w:jc w:val="right"/>
            </w:pPr>
            <w:r>
              <w:rPr>
                <w:rFonts w:eastAsia="Century Gothic" w:cs="Century Gothic"/>
                <w:color w:val="000000"/>
                <w:sz w:val="18"/>
                <w:szCs w:val="18"/>
              </w:rPr>
              <w:t>6 (2.3%)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82651B" w14:textId="77777777" w:rsidR="001C19F3" w:rsidRDefault="001C19F3" w:rsidP="00521305">
            <w:pPr>
              <w:spacing w:before="40" w:after="40"/>
              <w:ind w:left="100" w:right="100"/>
              <w:jc w:val="right"/>
            </w:pPr>
            <w:r>
              <w:rPr>
                <w:rFonts w:eastAsia="Century Gothic" w:cs="Century Gothic"/>
                <w:color w:val="000000"/>
                <w:sz w:val="18"/>
                <w:szCs w:val="18"/>
              </w:rPr>
              <w:t>0.326</w:t>
            </w:r>
          </w:p>
        </w:tc>
      </w:tr>
      <w:tr w:rsidR="001C19F3" w14:paraId="4C26C03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F0A52C"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FD4D05" w14:textId="77777777" w:rsidR="001C19F3" w:rsidRDefault="001C19F3" w:rsidP="00521305">
            <w:pPr>
              <w:spacing w:before="40" w:after="40"/>
              <w:ind w:left="100" w:right="100"/>
              <w:jc w:val="center"/>
            </w:pPr>
            <w:r>
              <w:rPr>
                <w:rFonts w:eastAsia="Century Gothic" w:cs="Century Gothic"/>
                <w:color w:val="000000"/>
                <w:sz w:val="18"/>
                <w:szCs w:val="18"/>
              </w:rPr>
              <w:t>52 (2.6%)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808FF5" w14:textId="77777777" w:rsidR="001C19F3" w:rsidRDefault="001C19F3" w:rsidP="00521305">
            <w:pPr>
              <w:spacing w:before="40" w:after="40"/>
              <w:ind w:left="100" w:right="100"/>
              <w:jc w:val="center"/>
            </w:pPr>
            <w:r>
              <w:rPr>
                <w:rFonts w:eastAsia="Century Gothic" w:cs="Century Gothic"/>
                <w:color w:val="000000"/>
                <w:sz w:val="18"/>
                <w:szCs w:val="18"/>
              </w:rPr>
              <w:t>17 (4.1%)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31F8D5D" w14:textId="77777777" w:rsidR="001C19F3" w:rsidRDefault="001C19F3" w:rsidP="00521305">
            <w:pPr>
              <w:spacing w:before="40" w:after="40"/>
              <w:ind w:left="100" w:right="100"/>
              <w:jc w:val="center"/>
            </w:pPr>
            <w:r>
              <w:rPr>
                <w:rFonts w:eastAsia="Century Gothic" w:cs="Century Gothic"/>
                <w:color w:val="000000"/>
                <w:sz w:val="18"/>
                <w:szCs w:val="18"/>
              </w:rPr>
              <w:t>35 (2.2%)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C7ED6D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5D153" w14:textId="77777777" w:rsidR="001C19F3" w:rsidRDefault="001C19F3" w:rsidP="00521305">
            <w:pPr>
              <w:spacing w:before="40" w:after="40"/>
              <w:ind w:left="100" w:right="100"/>
              <w:jc w:val="center"/>
            </w:pPr>
            <w:r>
              <w:rPr>
                <w:rFonts w:eastAsia="Century Gothic" w:cs="Century Gothic"/>
                <w:color w:val="000000"/>
                <w:sz w:val="18"/>
                <w:szCs w:val="18"/>
              </w:rPr>
              <w:t>34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3C436E" w14:textId="77777777" w:rsidR="001C19F3" w:rsidRDefault="001C19F3" w:rsidP="00521305">
            <w:pPr>
              <w:spacing w:before="40" w:after="40"/>
              <w:ind w:left="100" w:right="100"/>
              <w:jc w:val="right"/>
            </w:pPr>
            <w:r>
              <w:rPr>
                <w:rFonts w:eastAsia="Century Gothic" w:cs="Century Gothic"/>
                <w:color w:val="000000"/>
                <w:sz w:val="18"/>
                <w:szCs w:val="18"/>
              </w:rPr>
              <w:t>8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F3AA7A" w14:textId="77777777" w:rsidR="001C19F3" w:rsidRDefault="001C19F3" w:rsidP="00521305">
            <w:pPr>
              <w:spacing w:before="40" w:after="40"/>
              <w:ind w:left="100" w:right="100"/>
              <w:jc w:val="right"/>
            </w:pPr>
            <w:r>
              <w:rPr>
                <w:rFonts w:eastAsia="Century Gothic" w:cs="Century Gothic"/>
                <w:color w:val="000000"/>
                <w:sz w:val="18"/>
                <w:szCs w:val="18"/>
              </w:rPr>
              <w:t>10 (3.8%)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FDFEA26" w14:textId="77777777" w:rsidR="001C19F3" w:rsidRDefault="001C19F3" w:rsidP="00521305">
            <w:pPr>
              <w:spacing w:after="0"/>
              <w:rPr>
                <w:sz w:val="22"/>
              </w:rPr>
            </w:pPr>
          </w:p>
        </w:tc>
      </w:tr>
      <w:tr w:rsidR="001C19F3" w14:paraId="61FA4A9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A90D79"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76885D" w14:textId="77777777" w:rsidR="001C19F3" w:rsidRDefault="001C19F3" w:rsidP="00521305">
            <w:pPr>
              <w:spacing w:before="40" w:after="40"/>
              <w:ind w:left="100" w:right="100"/>
              <w:jc w:val="center"/>
            </w:pPr>
            <w:r>
              <w:rPr>
                <w:rFonts w:eastAsia="Century Gothic" w:cs="Century Gothic"/>
                <w:color w:val="000000"/>
                <w:sz w:val="18"/>
                <w:szCs w:val="18"/>
              </w:rPr>
              <w:t>114 (5.7%)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A3478" w14:textId="77777777" w:rsidR="001C19F3" w:rsidRDefault="001C19F3" w:rsidP="00521305">
            <w:pPr>
              <w:spacing w:before="40" w:after="40"/>
              <w:ind w:left="100" w:right="100"/>
              <w:jc w:val="center"/>
            </w:pPr>
            <w:r>
              <w:rPr>
                <w:rFonts w:eastAsia="Century Gothic" w:cs="Century Gothic"/>
                <w:color w:val="000000"/>
                <w:sz w:val="18"/>
                <w:szCs w:val="18"/>
              </w:rPr>
              <w:t>27 (6.5%)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9BD3E2" w14:textId="77777777" w:rsidR="001C19F3" w:rsidRDefault="001C19F3" w:rsidP="00521305">
            <w:pPr>
              <w:spacing w:before="40" w:after="40"/>
              <w:ind w:left="100" w:right="100"/>
              <w:jc w:val="center"/>
            </w:pPr>
            <w:r>
              <w:rPr>
                <w:rFonts w:eastAsia="Century Gothic" w:cs="Century Gothic"/>
                <w:color w:val="000000"/>
                <w:sz w:val="18"/>
                <w:szCs w:val="18"/>
              </w:rPr>
              <w:t>87 (5.5%)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B1C5B58"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E91B6F" w14:textId="77777777" w:rsidR="001C19F3" w:rsidRDefault="001C19F3" w:rsidP="00521305">
            <w:pPr>
              <w:spacing w:before="40" w:after="40"/>
              <w:ind w:left="100" w:right="100"/>
              <w:jc w:val="center"/>
            </w:pPr>
            <w:r>
              <w:rPr>
                <w:rFonts w:eastAsia="Century Gothic" w:cs="Century Gothic"/>
                <w:color w:val="000000"/>
                <w:sz w:val="18"/>
                <w:szCs w:val="18"/>
              </w:rPr>
              <w:t>81 (5.5%)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CE2A59" w14:textId="77777777" w:rsidR="001C19F3" w:rsidRDefault="001C19F3" w:rsidP="00521305">
            <w:pPr>
              <w:spacing w:before="40" w:after="40"/>
              <w:ind w:left="100" w:right="100"/>
              <w:jc w:val="right"/>
            </w:pPr>
            <w:r>
              <w:rPr>
                <w:rFonts w:eastAsia="Century Gothic" w:cs="Century Gothic"/>
                <w:color w:val="000000"/>
                <w:sz w:val="18"/>
                <w:szCs w:val="18"/>
              </w:rPr>
              <w:t>13 (4.8%)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3B5493" w14:textId="77777777" w:rsidR="001C19F3" w:rsidRDefault="001C19F3" w:rsidP="00521305">
            <w:pPr>
              <w:spacing w:before="40" w:after="40"/>
              <w:ind w:left="100" w:right="100"/>
              <w:jc w:val="right"/>
            </w:pPr>
            <w:r>
              <w:rPr>
                <w:rFonts w:eastAsia="Century Gothic" w:cs="Century Gothic"/>
                <w:color w:val="000000"/>
                <w:sz w:val="18"/>
                <w:szCs w:val="18"/>
              </w:rPr>
              <w:t>20 (7.6%)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D2866BE" w14:textId="77777777" w:rsidR="001C19F3" w:rsidRDefault="001C19F3" w:rsidP="00521305">
            <w:pPr>
              <w:spacing w:after="0"/>
              <w:rPr>
                <w:sz w:val="22"/>
              </w:rPr>
            </w:pPr>
          </w:p>
        </w:tc>
      </w:tr>
      <w:tr w:rsidR="001C19F3" w14:paraId="408D610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A0D165E"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1FE9DE" w14:textId="77777777" w:rsidR="001C19F3" w:rsidRDefault="001C19F3" w:rsidP="00521305">
            <w:pPr>
              <w:spacing w:before="40" w:after="40"/>
              <w:ind w:left="100" w:right="100"/>
              <w:jc w:val="center"/>
            </w:pPr>
            <w:r>
              <w:rPr>
                <w:rFonts w:eastAsia="Century Gothic" w:cs="Century Gothic"/>
                <w:color w:val="000000"/>
                <w:sz w:val="18"/>
                <w:szCs w:val="18"/>
              </w:rPr>
              <w:t>469 (23.5%)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5BBBB2" w14:textId="77777777" w:rsidR="001C19F3" w:rsidRDefault="001C19F3" w:rsidP="00521305">
            <w:pPr>
              <w:spacing w:before="40" w:after="40"/>
              <w:ind w:left="100" w:right="100"/>
              <w:jc w:val="center"/>
            </w:pPr>
            <w:r>
              <w:rPr>
                <w:rFonts w:eastAsia="Century Gothic" w:cs="Century Gothic"/>
                <w:color w:val="000000"/>
                <w:sz w:val="18"/>
                <w:szCs w:val="18"/>
              </w:rPr>
              <w:t>116 (28.0%)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3C7188" w14:textId="77777777" w:rsidR="001C19F3" w:rsidRDefault="001C19F3" w:rsidP="00521305">
            <w:pPr>
              <w:spacing w:before="40" w:after="40"/>
              <w:ind w:left="100" w:right="100"/>
              <w:jc w:val="center"/>
            </w:pPr>
            <w:r>
              <w:rPr>
                <w:rFonts w:eastAsia="Century Gothic" w:cs="Century Gothic"/>
                <w:color w:val="000000"/>
                <w:sz w:val="18"/>
                <w:szCs w:val="18"/>
              </w:rPr>
              <w:t>353 (22.3%)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65DC4E6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B82007" w14:textId="77777777" w:rsidR="001C19F3" w:rsidRDefault="001C19F3" w:rsidP="00521305">
            <w:pPr>
              <w:spacing w:before="40" w:after="40"/>
              <w:ind w:left="100" w:right="100"/>
              <w:jc w:val="center"/>
            </w:pPr>
            <w:r>
              <w:rPr>
                <w:rFonts w:eastAsia="Century Gothic" w:cs="Century Gothic"/>
                <w:color w:val="000000"/>
                <w:sz w:val="18"/>
                <w:szCs w:val="18"/>
              </w:rPr>
              <w:t>342 (23.4%)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B1943E" w14:textId="77777777" w:rsidR="001C19F3" w:rsidRDefault="001C19F3" w:rsidP="00521305">
            <w:pPr>
              <w:spacing w:before="40" w:after="40"/>
              <w:ind w:left="100" w:right="100"/>
              <w:jc w:val="right"/>
            </w:pPr>
            <w:r>
              <w:rPr>
                <w:rFonts w:eastAsia="Century Gothic" w:cs="Century Gothic"/>
                <w:color w:val="000000"/>
                <w:sz w:val="18"/>
                <w:szCs w:val="18"/>
              </w:rPr>
              <w:t>56 (20.7%)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90F759" w14:textId="77777777" w:rsidR="001C19F3" w:rsidRDefault="001C19F3" w:rsidP="00521305">
            <w:pPr>
              <w:spacing w:before="40" w:after="40"/>
              <w:ind w:left="100" w:right="100"/>
              <w:jc w:val="right"/>
            </w:pPr>
            <w:r>
              <w:rPr>
                <w:rFonts w:eastAsia="Century Gothic" w:cs="Century Gothic"/>
                <w:color w:val="000000"/>
                <w:sz w:val="18"/>
                <w:szCs w:val="18"/>
              </w:rPr>
              <w:t>71 (27.0%)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C6DEF98" w14:textId="77777777" w:rsidR="001C19F3" w:rsidRDefault="001C19F3" w:rsidP="00521305">
            <w:pPr>
              <w:spacing w:after="0"/>
              <w:rPr>
                <w:sz w:val="22"/>
              </w:rPr>
            </w:pPr>
          </w:p>
        </w:tc>
      </w:tr>
      <w:tr w:rsidR="001C19F3" w14:paraId="4EF152E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AD015F9"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E7AF6C" w14:textId="77777777" w:rsidR="001C19F3" w:rsidRDefault="001C19F3" w:rsidP="00521305">
            <w:pPr>
              <w:spacing w:before="40" w:after="40"/>
              <w:ind w:left="100" w:right="100"/>
              <w:jc w:val="center"/>
            </w:pPr>
            <w:r>
              <w:rPr>
                <w:rFonts w:eastAsia="Century Gothic" w:cs="Century Gothic"/>
                <w:color w:val="000000"/>
                <w:sz w:val="18"/>
                <w:szCs w:val="18"/>
              </w:rPr>
              <w:t>1,325 (66.3%)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241A464" w14:textId="77777777" w:rsidR="001C19F3" w:rsidRDefault="001C19F3" w:rsidP="00521305">
            <w:pPr>
              <w:spacing w:before="40" w:after="40"/>
              <w:ind w:left="100" w:right="100"/>
              <w:jc w:val="center"/>
            </w:pPr>
            <w:r>
              <w:rPr>
                <w:rFonts w:eastAsia="Century Gothic" w:cs="Century Gothic"/>
                <w:color w:val="000000"/>
                <w:sz w:val="18"/>
                <w:szCs w:val="18"/>
              </w:rPr>
              <w:t>244 (58.9%)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4C685F" w14:textId="77777777" w:rsidR="001C19F3" w:rsidRDefault="001C19F3" w:rsidP="00521305">
            <w:pPr>
              <w:spacing w:before="40" w:after="40"/>
              <w:ind w:left="100" w:right="100"/>
              <w:jc w:val="center"/>
            </w:pPr>
            <w:r>
              <w:rPr>
                <w:rFonts w:eastAsia="Century Gothic" w:cs="Century Gothic"/>
                <w:color w:val="000000"/>
                <w:sz w:val="18"/>
                <w:szCs w:val="18"/>
              </w:rPr>
              <w:t>1,081 (68.2%)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4CC865"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B0BA42" w14:textId="77777777" w:rsidR="001C19F3" w:rsidRDefault="001C19F3" w:rsidP="00521305">
            <w:pPr>
              <w:spacing w:before="40" w:after="40"/>
              <w:ind w:left="100" w:right="100"/>
              <w:jc w:val="center"/>
            </w:pPr>
            <w:r>
              <w:rPr>
                <w:rFonts w:eastAsia="Century Gothic" w:cs="Century Gothic"/>
                <w:color w:val="000000"/>
                <w:sz w:val="18"/>
                <w:szCs w:val="18"/>
              </w:rPr>
              <w:t>980 (66.9%)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E66193" w14:textId="77777777" w:rsidR="001C19F3" w:rsidRDefault="001C19F3" w:rsidP="00521305">
            <w:pPr>
              <w:spacing w:before="40" w:after="40"/>
              <w:ind w:left="100" w:right="100"/>
              <w:jc w:val="right"/>
            </w:pPr>
            <w:r>
              <w:rPr>
                <w:rFonts w:eastAsia="Century Gothic" w:cs="Century Gothic"/>
                <w:color w:val="000000"/>
                <w:sz w:val="18"/>
                <w:szCs w:val="18"/>
              </w:rPr>
              <w:t>189 (69.7%)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C3A17F2" w14:textId="77777777" w:rsidR="001C19F3" w:rsidRDefault="001C19F3" w:rsidP="00521305">
            <w:pPr>
              <w:spacing w:before="40" w:after="40"/>
              <w:ind w:left="100" w:right="100"/>
              <w:jc w:val="right"/>
            </w:pPr>
            <w:r>
              <w:rPr>
                <w:rFonts w:eastAsia="Century Gothic" w:cs="Century Gothic"/>
                <w:color w:val="000000"/>
                <w:sz w:val="18"/>
                <w:szCs w:val="18"/>
              </w:rPr>
              <w:t>156 (59.3%)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BB58D10" w14:textId="77777777" w:rsidR="001C19F3" w:rsidRDefault="001C19F3" w:rsidP="00521305">
            <w:pPr>
              <w:spacing w:after="0"/>
              <w:rPr>
                <w:sz w:val="22"/>
              </w:rPr>
            </w:pPr>
          </w:p>
        </w:tc>
      </w:tr>
      <w:tr w:rsidR="001C19F3" w14:paraId="44781A1A"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B05B186" w14:textId="77777777" w:rsidR="001C19F3" w:rsidRDefault="001C19F3" w:rsidP="00521305">
            <w:pPr>
              <w:spacing w:before="40" w:after="40"/>
              <w:ind w:left="100" w:right="100"/>
            </w:pPr>
            <w:r>
              <w:rPr>
                <w:rFonts w:eastAsia="Century Gothic" w:cs="Century Gothic"/>
                <w:b/>
                <w:color w:val="000000"/>
                <w:sz w:val="18"/>
                <w:szCs w:val="18"/>
              </w:rPr>
              <w:lastRenderedPageBreak/>
              <w:t>J10 I was contacted after a visit to see how things were going (Q12)</w:t>
            </w:r>
          </w:p>
        </w:tc>
      </w:tr>
      <w:tr w:rsidR="001C19F3" w14:paraId="30F5E2A6"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8E28AB"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BAFE10" w14:textId="77777777" w:rsidR="001C19F3" w:rsidRDefault="001C19F3" w:rsidP="00521305">
            <w:pPr>
              <w:spacing w:before="40" w:after="40"/>
              <w:ind w:left="100" w:right="100"/>
              <w:jc w:val="center"/>
            </w:pPr>
            <w:r>
              <w:rPr>
                <w:rFonts w:eastAsia="Century Gothic" w:cs="Century Gothic"/>
                <w:color w:val="000000"/>
                <w:sz w:val="18"/>
                <w:szCs w:val="18"/>
              </w:rPr>
              <w:t>767 (39.5%)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B192C4" w14:textId="77777777" w:rsidR="001C19F3" w:rsidRDefault="001C19F3" w:rsidP="00521305">
            <w:pPr>
              <w:spacing w:before="40" w:after="40"/>
              <w:ind w:left="100" w:right="100"/>
              <w:jc w:val="center"/>
            </w:pPr>
            <w:r>
              <w:rPr>
                <w:rFonts w:eastAsia="Century Gothic" w:cs="Century Gothic"/>
                <w:color w:val="000000"/>
                <w:sz w:val="18"/>
                <w:szCs w:val="18"/>
              </w:rPr>
              <w:t>175 (43.4%)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5832B6" w14:textId="77777777" w:rsidR="001C19F3" w:rsidRDefault="001C19F3" w:rsidP="00521305">
            <w:pPr>
              <w:spacing w:before="40" w:after="40"/>
              <w:ind w:left="100" w:right="100"/>
              <w:jc w:val="center"/>
            </w:pPr>
            <w:r>
              <w:rPr>
                <w:rFonts w:eastAsia="Century Gothic" w:cs="Century Gothic"/>
                <w:color w:val="000000"/>
                <w:sz w:val="18"/>
                <w:szCs w:val="18"/>
              </w:rPr>
              <w:t>592 (38.4%)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39E2ADD" w14:textId="77777777" w:rsidR="001C19F3" w:rsidRDefault="001C19F3" w:rsidP="00521305">
            <w:pPr>
              <w:spacing w:before="40" w:after="40"/>
              <w:ind w:left="100" w:right="100"/>
              <w:jc w:val="center"/>
            </w:pPr>
            <w:r>
              <w:rPr>
                <w:rFonts w:eastAsia="Century Gothic" w:cs="Century Gothic"/>
                <w:color w:val="000000"/>
                <w:sz w:val="18"/>
                <w:szCs w:val="18"/>
              </w:rPr>
              <w:t>0.125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DF235A" w14:textId="77777777" w:rsidR="001C19F3" w:rsidRDefault="001C19F3" w:rsidP="00521305">
            <w:pPr>
              <w:spacing w:before="40" w:after="40"/>
              <w:ind w:left="100" w:right="100"/>
              <w:jc w:val="center"/>
            </w:pPr>
            <w:r>
              <w:rPr>
                <w:rFonts w:eastAsia="Century Gothic" w:cs="Century Gothic"/>
                <w:color w:val="000000"/>
                <w:sz w:val="18"/>
                <w:szCs w:val="18"/>
              </w:rPr>
              <w:t>571 (40.2%)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BD69C" w14:textId="77777777" w:rsidR="001C19F3" w:rsidRDefault="001C19F3" w:rsidP="00521305">
            <w:pPr>
              <w:spacing w:before="40" w:after="40"/>
              <w:ind w:left="100" w:right="100"/>
              <w:jc w:val="right"/>
            </w:pPr>
            <w:r>
              <w:rPr>
                <w:rFonts w:eastAsia="Century Gothic" w:cs="Century Gothic"/>
                <w:color w:val="000000"/>
                <w:sz w:val="18"/>
                <w:szCs w:val="18"/>
              </w:rPr>
              <w:t>79 (29.8%)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A45113D" w14:textId="77777777" w:rsidR="001C19F3" w:rsidRDefault="001C19F3" w:rsidP="00521305">
            <w:pPr>
              <w:spacing w:before="40" w:after="40"/>
              <w:ind w:left="100" w:right="100"/>
              <w:jc w:val="right"/>
            </w:pPr>
            <w:r>
              <w:rPr>
                <w:rFonts w:eastAsia="Century Gothic" w:cs="Century Gothic"/>
                <w:color w:val="000000"/>
                <w:sz w:val="18"/>
                <w:szCs w:val="18"/>
              </w:rPr>
              <w:t>117 (45.7%)</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B32095" w14:textId="77777777" w:rsidR="001C19F3" w:rsidRDefault="001C19F3" w:rsidP="00521305">
            <w:pPr>
              <w:spacing w:before="40" w:after="40"/>
              <w:ind w:left="100" w:right="100"/>
              <w:jc w:val="right"/>
            </w:pPr>
            <w:r>
              <w:rPr>
                <w:rFonts w:eastAsia="Century Gothic" w:cs="Century Gothic"/>
                <w:color w:val="000000"/>
                <w:sz w:val="18"/>
                <w:szCs w:val="18"/>
              </w:rPr>
              <w:t>0.027</w:t>
            </w:r>
          </w:p>
        </w:tc>
      </w:tr>
      <w:tr w:rsidR="001C19F3" w14:paraId="1A93234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04D112"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7D5866B" w14:textId="77777777" w:rsidR="001C19F3" w:rsidRDefault="001C19F3" w:rsidP="00521305">
            <w:pPr>
              <w:spacing w:before="40" w:after="40"/>
              <w:ind w:left="100" w:right="100"/>
              <w:jc w:val="center"/>
            </w:pPr>
            <w:r>
              <w:rPr>
                <w:rFonts w:eastAsia="Century Gothic" w:cs="Century Gothic"/>
                <w:color w:val="000000"/>
                <w:sz w:val="18"/>
                <w:szCs w:val="18"/>
              </w:rPr>
              <w:t>186 (9.6%)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927968" w14:textId="77777777" w:rsidR="001C19F3" w:rsidRDefault="001C19F3" w:rsidP="00521305">
            <w:pPr>
              <w:spacing w:before="40" w:after="40"/>
              <w:ind w:left="100" w:right="100"/>
              <w:jc w:val="center"/>
            </w:pPr>
            <w:r>
              <w:rPr>
                <w:rFonts w:eastAsia="Century Gothic" w:cs="Century Gothic"/>
                <w:color w:val="000000"/>
                <w:sz w:val="18"/>
                <w:szCs w:val="18"/>
              </w:rPr>
              <w:t>46 (11.4%)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487003" w14:textId="77777777" w:rsidR="001C19F3" w:rsidRDefault="001C19F3" w:rsidP="00521305">
            <w:pPr>
              <w:spacing w:before="40" w:after="40"/>
              <w:ind w:left="100" w:right="100"/>
              <w:jc w:val="center"/>
            </w:pPr>
            <w:r>
              <w:rPr>
                <w:rFonts w:eastAsia="Century Gothic" w:cs="Century Gothic"/>
                <w:color w:val="000000"/>
                <w:sz w:val="18"/>
                <w:szCs w:val="18"/>
              </w:rPr>
              <w:t>140 (9.1%)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8FDE5C7"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64D017" w14:textId="77777777" w:rsidR="001C19F3" w:rsidRDefault="001C19F3" w:rsidP="00521305">
            <w:pPr>
              <w:spacing w:before="40" w:after="40"/>
              <w:ind w:left="100" w:right="100"/>
              <w:jc w:val="center"/>
            </w:pPr>
            <w:r>
              <w:rPr>
                <w:rFonts w:eastAsia="Century Gothic" w:cs="Century Gothic"/>
                <w:color w:val="000000"/>
                <w:sz w:val="18"/>
                <w:szCs w:val="18"/>
              </w:rPr>
              <w:t>138 (9.7%)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900986" w14:textId="77777777" w:rsidR="001C19F3" w:rsidRDefault="001C19F3" w:rsidP="00521305">
            <w:pPr>
              <w:spacing w:before="40" w:after="40"/>
              <w:ind w:left="100" w:right="100"/>
              <w:jc w:val="right"/>
            </w:pPr>
            <w:r>
              <w:rPr>
                <w:rFonts w:eastAsia="Century Gothic" w:cs="Century Gothic"/>
                <w:color w:val="000000"/>
                <w:sz w:val="18"/>
                <w:szCs w:val="18"/>
              </w:rPr>
              <w:t>26 (9.8%)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CA4D99" w14:textId="77777777" w:rsidR="001C19F3" w:rsidRDefault="001C19F3" w:rsidP="00521305">
            <w:pPr>
              <w:spacing w:before="40" w:after="40"/>
              <w:ind w:left="100" w:right="100"/>
              <w:jc w:val="right"/>
            </w:pPr>
            <w:r>
              <w:rPr>
                <w:rFonts w:eastAsia="Century Gothic" w:cs="Century Gothic"/>
                <w:color w:val="000000"/>
                <w:sz w:val="18"/>
                <w:szCs w:val="18"/>
              </w:rPr>
              <w:t>22 (8.6%)</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D0F99FC" w14:textId="77777777" w:rsidR="001C19F3" w:rsidRDefault="001C19F3" w:rsidP="00521305">
            <w:pPr>
              <w:spacing w:after="0"/>
              <w:rPr>
                <w:sz w:val="22"/>
              </w:rPr>
            </w:pPr>
          </w:p>
        </w:tc>
      </w:tr>
      <w:tr w:rsidR="001C19F3" w14:paraId="0580F61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BC2BC3"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E7A5B0" w14:textId="77777777" w:rsidR="001C19F3" w:rsidRDefault="001C19F3" w:rsidP="00521305">
            <w:pPr>
              <w:spacing w:before="40" w:after="40"/>
              <w:ind w:left="100" w:right="100"/>
              <w:jc w:val="center"/>
            </w:pPr>
            <w:r>
              <w:rPr>
                <w:rFonts w:eastAsia="Century Gothic" w:cs="Century Gothic"/>
                <w:color w:val="000000"/>
                <w:sz w:val="18"/>
                <w:szCs w:val="18"/>
              </w:rPr>
              <w:t>438 (22.5%)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CC4693" w14:textId="77777777" w:rsidR="001C19F3" w:rsidRDefault="001C19F3" w:rsidP="00521305">
            <w:pPr>
              <w:spacing w:before="40" w:after="40"/>
              <w:ind w:left="100" w:right="100"/>
              <w:jc w:val="center"/>
            </w:pPr>
            <w:r>
              <w:rPr>
                <w:rFonts w:eastAsia="Century Gothic" w:cs="Century Gothic"/>
                <w:color w:val="000000"/>
                <w:sz w:val="18"/>
                <w:szCs w:val="18"/>
              </w:rPr>
              <w:t>80 (19.9%)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6BC55FD" w14:textId="77777777" w:rsidR="001C19F3" w:rsidRDefault="001C19F3" w:rsidP="00521305">
            <w:pPr>
              <w:spacing w:before="40" w:after="40"/>
              <w:ind w:left="100" w:right="100"/>
              <w:jc w:val="center"/>
            </w:pPr>
            <w:r>
              <w:rPr>
                <w:rFonts w:eastAsia="Century Gothic" w:cs="Century Gothic"/>
                <w:color w:val="000000"/>
                <w:sz w:val="18"/>
                <w:szCs w:val="18"/>
              </w:rPr>
              <w:t>358 (23.2%)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23B83A1"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35A495" w14:textId="77777777" w:rsidR="001C19F3" w:rsidRDefault="001C19F3" w:rsidP="00521305">
            <w:pPr>
              <w:spacing w:before="40" w:after="40"/>
              <w:ind w:left="100" w:right="100"/>
              <w:jc w:val="center"/>
            </w:pPr>
            <w:r>
              <w:rPr>
                <w:rFonts w:eastAsia="Century Gothic" w:cs="Century Gothic"/>
                <w:color w:val="000000"/>
                <w:sz w:val="18"/>
                <w:szCs w:val="18"/>
              </w:rPr>
              <w:t>314 (22.1%)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4F7D3F4" w14:textId="77777777" w:rsidR="001C19F3" w:rsidRDefault="001C19F3" w:rsidP="00521305">
            <w:pPr>
              <w:spacing w:before="40" w:after="40"/>
              <w:ind w:left="100" w:right="100"/>
              <w:jc w:val="right"/>
            </w:pPr>
            <w:r>
              <w:rPr>
                <w:rFonts w:eastAsia="Century Gothic" w:cs="Century Gothic"/>
                <w:color w:val="000000"/>
                <w:sz w:val="18"/>
                <w:szCs w:val="18"/>
              </w:rPr>
              <w:t>68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8AF9BB" w14:textId="77777777" w:rsidR="001C19F3" w:rsidRDefault="001C19F3" w:rsidP="00521305">
            <w:pPr>
              <w:spacing w:before="40" w:after="40"/>
              <w:ind w:left="100" w:right="100"/>
              <w:jc w:val="right"/>
            </w:pPr>
            <w:r>
              <w:rPr>
                <w:rFonts w:eastAsia="Century Gothic" w:cs="Century Gothic"/>
                <w:color w:val="000000"/>
                <w:sz w:val="18"/>
                <w:szCs w:val="18"/>
              </w:rPr>
              <w:t>56 (21.9%)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89B365A" w14:textId="77777777" w:rsidR="001C19F3" w:rsidRDefault="001C19F3" w:rsidP="00521305">
            <w:pPr>
              <w:spacing w:after="0"/>
              <w:rPr>
                <w:sz w:val="22"/>
              </w:rPr>
            </w:pPr>
          </w:p>
        </w:tc>
      </w:tr>
      <w:tr w:rsidR="001C19F3" w14:paraId="5E33EF2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6E5ABA"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9B6126" w14:textId="77777777" w:rsidR="001C19F3" w:rsidRDefault="001C19F3" w:rsidP="00521305">
            <w:pPr>
              <w:spacing w:before="40" w:after="40"/>
              <w:ind w:left="100" w:right="100"/>
              <w:jc w:val="center"/>
            </w:pPr>
            <w:r>
              <w:rPr>
                <w:rFonts w:eastAsia="Century Gothic" w:cs="Century Gothic"/>
                <w:color w:val="000000"/>
                <w:sz w:val="18"/>
                <w:szCs w:val="18"/>
              </w:rPr>
              <w:t>282 (14.5%)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EA9E88" w14:textId="77777777" w:rsidR="001C19F3" w:rsidRDefault="001C19F3" w:rsidP="00521305">
            <w:pPr>
              <w:spacing w:before="40" w:after="40"/>
              <w:ind w:left="100" w:right="100"/>
              <w:jc w:val="center"/>
            </w:pPr>
            <w:r>
              <w:rPr>
                <w:rFonts w:eastAsia="Century Gothic" w:cs="Century Gothic"/>
                <w:color w:val="000000"/>
                <w:sz w:val="18"/>
                <w:szCs w:val="18"/>
              </w:rPr>
              <w:t>51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9D0BC4C" w14:textId="77777777" w:rsidR="001C19F3" w:rsidRDefault="001C19F3" w:rsidP="00521305">
            <w:pPr>
              <w:spacing w:before="40" w:after="40"/>
              <w:ind w:left="100" w:right="100"/>
              <w:jc w:val="center"/>
            </w:pPr>
            <w:r>
              <w:rPr>
                <w:rFonts w:eastAsia="Century Gothic" w:cs="Century Gothic"/>
                <w:color w:val="000000"/>
                <w:sz w:val="18"/>
                <w:szCs w:val="18"/>
              </w:rPr>
              <w:t>231 (15.0%)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7D470E0"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FAFCDE" w14:textId="77777777" w:rsidR="001C19F3" w:rsidRDefault="001C19F3" w:rsidP="00521305">
            <w:pPr>
              <w:spacing w:before="40" w:after="40"/>
              <w:ind w:left="100" w:right="100"/>
              <w:jc w:val="center"/>
            </w:pPr>
            <w:r>
              <w:rPr>
                <w:rFonts w:eastAsia="Century Gothic" w:cs="Century Gothic"/>
                <w:color w:val="000000"/>
                <w:sz w:val="18"/>
                <w:szCs w:val="18"/>
              </w:rPr>
              <w:t>204 (14.3%)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C3B307" w14:textId="77777777" w:rsidR="001C19F3" w:rsidRDefault="001C19F3" w:rsidP="00521305">
            <w:pPr>
              <w:spacing w:before="40" w:after="40"/>
              <w:ind w:left="100" w:right="100"/>
              <w:jc w:val="right"/>
            </w:pPr>
            <w:r>
              <w:rPr>
                <w:rFonts w:eastAsia="Century Gothic" w:cs="Century Gothic"/>
                <w:color w:val="000000"/>
                <w:sz w:val="18"/>
                <w:szCs w:val="18"/>
              </w:rPr>
              <w:t>50 (18.9%)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B80057" w14:textId="77777777" w:rsidR="001C19F3" w:rsidRDefault="001C19F3" w:rsidP="00521305">
            <w:pPr>
              <w:spacing w:before="40" w:after="40"/>
              <w:ind w:left="100" w:right="100"/>
              <w:jc w:val="right"/>
            </w:pPr>
            <w:r>
              <w:rPr>
                <w:rFonts w:eastAsia="Century Gothic" w:cs="Century Gothic"/>
                <w:color w:val="000000"/>
                <w:sz w:val="18"/>
                <w:szCs w:val="18"/>
              </w:rPr>
              <w:t>28 (10.9%)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9F1D98E" w14:textId="77777777" w:rsidR="001C19F3" w:rsidRDefault="001C19F3" w:rsidP="00521305">
            <w:pPr>
              <w:spacing w:after="0"/>
              <w:rPr>
                <w:sz w:val="22"/>
              </w:rPr>
            </w:pPr>
          </w:p>
        </w:tc>
      </w:tr>
      <w:tr w:rsidR="001C19F3" w14:paraId="34201AF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96AB1D1"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34620F" w14:textId="77777777" w:rsidR="001C19F3" w:rsidRDefault="001C19F3" w:rsidP="00521305">
            <w:pPr>
              <w:spacing w:before="40" w:after="40"/>
              <w:ind w:left="100" w:right="100"/>
              <w:jc w:val="center"/>
            </w:pPr>
            <w:r>
              <w:rPr>
                <w:rFonts w:eastAsia="Century Gothic" w:cs="Century Gothic"/>
                <w:color w:val="000000"/>
                <w:sz w:val="18"/>
                <w:szCs w:val="18"/>
              </w:rPr>
              <w:t>270 (13.9%)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A2D010" w14:textId="77777777" w:rsidR="001C19F3" w:rsidRDefault="001C19F3" w:rsidP="00521305">
            <w:pPr>
              <w:spacing w:before="40" w:after="40"/>
              <w:ind w:left="100" w:right="100"/>
              <w:jc w:val="center"/>
            </w:pPr>
            <w:r>
              <w:rPr>
                <w:rFonts w:eastAsia="Century Gothic" w:cs="Century Gothic"/>
                <w:color w:val="000000"/>
                <w:sz w:val="18"/>
                <w:szCs w:val="18"/>
              </w:rPr>
              <w:t>51 (12.7%)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14BDE5" w14:textId="77777777" w:rsidR="001C19F3" w:rsidRDefault="001C19F3" w:rsidP="00521305">
            <w:pPr>
              <w:spacing w:before="40" w:after="40"/>
              <w:ind w:left="100" w:right="100"/>
              <w:jc w:val="center"/>
            </w:pPr>
            <w:r>
              <w:rPr>
                <w:rFonts w:eastAsia="Century Gothic" w:cs="Century Gothic"/>
                <w:color w:val="000000"/>
                <w:sz w:val="18"/>
                <w:szCs w:val="18"/>
              </w:rPr>
              <w:t>219 (14.2%)</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78C5C9F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6E2D9E8" w14:textId="77777777" w:rsidR="001C19F3" w:rsidRDefault="001C19F3" w:rsidP="00521305">
            <w:pPr>
              <w:spacing w:before="40" w:after="40"/>
              <w:ind w:left="100" w:right="100"/>
              <w:jc w:val="center"/>
            </w:pPr>
            <w:r>
              <w:rPr>
                <w:rFonts w:eastAsia="Century Gothic" w:cs="Century Gothic"/>
                <w:color w:val="000000"/>
                <w:sz w:val="18"/>
                <w:szCs w:val="18"/>
              </w:rPr>
              <w:t>195 (13.7%)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CE81CE" w14:textId="77777777" w:rsidR="001C19F3" w:rsidRDefault="001C19F3" w:rsidP="00521305">
            <w:pPr>
              <w:spacing w:before="40" w:after="40"/>
              <w:ind w:left="100" w:right="100"/>
              <w:jc w:val="right"/>
            </w:pPr>
            <w:r>
              <w:rPr>
                <w:rFonts w:eastAsia="Century Gothic" w:cs="Century Gothic"/>
                <w:color w:val="000000"/>
                <w:sz w:val="18"/>
                <w:szCs w:val="18"/>
              </w:rPr>
              <w:t>42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56A496" w14:textId="77777777" w:rsidR="001C19F3" w:rsidRDefault="001C19F3" w:rsidP="00521305">
            <w:pPr>
              <w:spacing w:before="40" w:after="40"/>
              <w:ind w:left="100" w:right="100"/>
              <w:jc w:val="right"/>
            </w:pPr>
            <w:r>
              <w:rPr>
                <w:rFonts w:eastAsia="Century Gothic" w:cs="Century Gothic"/>
                <w:color w:val="000000"/>
                <w:sz w:val="18"/>
                <w:szCs w:val="18"/>
              </w:rPr>
              <w:t>33 (12.9%)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F4E5C9" w14:textId="77777777" w:rsidR="001C19F3" w:rsidRDefault="001C19F3" w:rsidP="00521305">
            <w:pPr>
              <w:spacing w:after="0"/>
              <w:rPr>
                <w:sz w:val="22"/>
              </w:rPr>
            </w:pPr>
          </w:p>
        </w:tc>
      </w:tr>
      <w:tr w:rsidR="001C19F3" w14:paraId="5064865E"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B6A854" w14:textId="77777777" w:rsidR="001C19F3" w:rsidRDefault="001C19F3" w:rsidP="00521305">
            <w:pPr>
              <w:spacing w:before="40" w:after="40"/>
              <w:ind w:left="100" w:right="100"/>
            </w:pPr>
            <w:r>
              <w:rPr>
                <w:rFonts w:eastAsia="Century Gothic" w:cs="Century Gothic"/>
                <w:b/>
                <w:color w:val="000000"/>
                <w:sz w:val="18"/>
                <w:szCs w:val="18"/>
              </w:rPr>
              <w:t>J11 I was encouraged to attend programs in the community that could help me (Q12)</w:t>
            </w:r>
          </w:p>
        </w:tc>
      </w:tr>
      <w:tr w:rsidR="001C19F3" w14:paraId="59A10D6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83948C"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E694E1" w14:textId="77777777" w:rsidR="001C19F3" w:rsidRDefault="001C19F3" w:rsidP="00521305">
            <w:pPr>
              <w:spacing w:before="40" w:after="40"/>
              <w:ind w:left="100" w:right="100"/>
              <w:jc w:val="center"/>
            </w:pPr>
            <w:r>
              <w:rPr>
                <w:rFonts w:eastAsia="Century Gothic" w:cs="Century Gothic"/>
                <w:color w:val="000000"/>
                <w:sz w:val="18"/>
                <w:szCs w:val="18"/>
              </w:rPr>
              <w:t>777 (40.4%)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EA434B" w14:textId="77777777" w:rsidR="001C19F3" w:rsidRDefault="001C19F3" w:rsidP="00521305">
            <w:pPr>
              <w:spacing w:before="40" w:after="40"/>
              <w:ind w:left="100" w:right="100"/>
              <w:jc w:val="center"/>
            </w:pPr>
            <w:r>
              <w:rPr>
                <w:rFonts w:eastAsia="Century Gothic" w:cs="Century Gothic"/>
                <w:color w:val="000000"/>
                <w:sz w:val="18"/>
                <w:szCs w:val="18"/>
              </w:rPr>
              <w:t>187 (47.7%)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7247FFE" w14:textId="77777777" w:rsidR="001C19F3" w:rsidRDefault="001C19F3" w:rsidP="00521305">
            <w:pPr>
              <w:spacing w:before="40" w:after="40"/>
              <w:ind w:left="100" w:right="100"/>
              <w:jc w:val="center"/>
            </w:pPr>
            <w:r>
              <w:rPr>
                <w:rFonts w:eastAsia="Century Gothic" w:cs="Century Gothic"/>
                <w:color w:val="000000"/>
                <w:sz w:val="18"/>
                <w:szCs w:val="18"/>
              </w:rPr>
              <w:t>590 (38.5%)</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4F14C1" w14:textId="77777777" w:rsidR="001C19F3" w:rsidRDefault="001C19F3" w:rsidP="00521305">
            <w:pPr>
              <w:spacing w:before="40" w:after="40"/>
              <w:ind w:left="100" w:right="100"/>
              <w:jc w:val="center"/>
            </w:pPr>
            <w:r>
              <w:rPr>
                <w:rFonts w:eastAsia="Century Gothic" w:cs="Century Gothic"/>
                <w:color w:val="000000"/>
                <w:sz w:val="18"/>
                <w:szCs w:val="18"/>
              </w:rPr>
              <w:t>0.011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ADC1605" w14:textId="77777777" w:rsidR="001C19F3" w:rsidRDefault="001C19F3" w:rsidP="00521305">
            <w:pPr>
              <w:spacing w:before="40" w:after="40"/>
              <w:ind w:left="100" w:right="100"/>
              <w:jc w:val="center"/>
            </w:pPr>
            <w:r>
              <w:rPr>
                <w:rFonts w:eastAsia="Century Gothic" w:cs="Century Gothic"/>
                <w:color w:val="000000"/>
                <w:sz w:val="18"/>
                <w:szCs w:val="18"/>
              </w:rPr>
              <w:t>579 (41.0%)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45727F" w14:textId="77777777" w:rsidR="001C19F3" w:rsidRDefault="001C19F3" w:rsidP="00521305">
            <w:pPr>
              <w:spacing w:before="40" w:after="40"/>
              <w:ind w:left="100" w:right="100"/>
              <w:jc w:val="right"/>
            </w:pPr>
            <w:r>
              <w:rPr>
                <w:rFonts w:eastAsia="Century Gothic" w:cs="Century Gothic"/>
                <w:color w:val="000000"/>
                <w:sz w:val="18"/>
                <w:szCs w:val="18"/>
              </w:rPr>
              <w:t>94 (36.0%)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4619D9" w14:textId="77777777" w:rsidR="001C19F3" w:rsidRDefault="001C19F3" w:rsidP="00521305">
            <w:pPr>
              <w:spacing w:before="40" w:after="40"/>
              <w:ind w:left="100" w:right="100"/>
              <w:jc w:val="right"/>
            </w:pPr>
            <w:r>
              <w:rPr>
                <w:rFonts w:eastAsia="Century Gothic" w:cs="Century Gothic"/>
                <w:color w:val="000000"/>
                <w:sz w:val="18"/>
                <w:szCs w:val="18"/>
              </w:rPr>
              <w:t>104 (41.3%)</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B5A7E02" w14:textId="77777777" w:rsidR="001C19F3" w:rsidRDefault="001C19F3" w:rsidP="00521305">
            <w:pPr>
              <w:spacing w:before="40" w:after="40"/>
              <w:ind w:left="100" w:right="100"/>
              <w:jc w:val="right"/>
            </w:pPr>
            <w:r>
              <w:rPr>
                <w:rFonts w:eastAsia="Century Gothic" w:cs="Century Gothic"/>
                <w:color w:val="000000"/>
                <w:sz w:val="18"/>
                <w:szCs w:val="18"/>
              </w:rPr>
              <w:t>0.685</w:t>
            </w:r>
          </w:p>
        </w:tc>
      </w:tr>
      <w:tr w:rsidR="001C19F3" w14:paraId="2146745E"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8B4FC8"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8063B5" w14:textId="77777777" w:rsidR="001C19F3" w:rsidRDefault="001C19F3" w:rsidP="00521305">
            <w:pPr>
              <w:spacing w:before="40" w:after="40"/>
              <w:ind w:left="100" w:right="100"/>
              <w:jc w:val="center"/>
            </w:pPr>
            <w:r>
              <w:rPr>
                <w:rFonts w:eastAsia="Century Gothic" w:cs="Century Gothic"/>
                <w:color w:val="000000"/>
                <w:sz w:val="18"/>
                <w:szCs w:val="18"/>
              </w:rPr>
              <w:t>195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7DC523" w14:textId="77777777" w:rsidR="001C19F3" w:rsidRDefault="001C19F3" w:rsidP="00521305">
            <w:pPr>
              <w:spacing w:before="40" w:after="40"/>
              <w:ind w:left="100" w:right="100"/>
              <w:jc w:val="center"/>
            </w:pPr>
            <w:r>
              <w:rPr>
                <w:rFonts w:eastAsia="Century Gothic" w:cs="Century Gothic"/>
                <w:color w:val="000000"/>
                <w:sz w:val="18"/>
                <w:szCs w:val="18"/>
              </w:rPr>
              <w:t>36 (9.2%)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0093E6" w14:textId="77777777" w:rsidR="001C19F3" w:rsidRDefault="001C19F3" w:rsidP="00521305">
            <w:pPr>
              <w:spacing w:before="40" w:after="40"/>
              <w:ind w:left="100" w:right="100"/>
              <w:jc w:val="center"/>
            </w:pPr>
            <w:r>
              <w:rPr>
                <w:rFonts w:eastAsia="Century Gothic" w:cs="Century Gothic"/>
                <w:color w:val="000000"/>
                <w:sz w:val="18"/>
                <w:szCs w:val="18"/>
              </w:rPr>
              <w:t>159 (10.4%)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636C3A3"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FBF8F6" w14:textId="77777777" w:rsidR="001C19F3" w:rsidRDefault="001C19F3" w:rsidP="00521305">
            <w:pPr>
              <w:spacing w:before="40" w:after="40"/>
              <w:ind w:left="100" w:right="100"/>
              <w:jc w:val="center"/>
            </w:pPr>
            <w:r>
              <w:rPr>
                <w:rFonts w:eastAsia="Century Gothic" w:cs="Century Gothic"/>
                <w:color w:val="000000"/>
                <w:sz w:val="18"/>
                <w:szCs w:val="18"/>
              </w:rPr>
              <w:t>143 (10.1%)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8AF0C6" w14:textId="77777777" w:rsidR="001C19F3" w:rsidRDefault="001C19F3" w:rsidP="00521305">
            <w:pPr>
              <w:spacing w:before="40" w:after="40"/>
              <w:ind w:left="100" w:right="100"/>
              <w:jc w:val="right"/>
            </w:pPr>
            <w:r>
              <w:rPr>
                <w:rFonts w:eastAsia="Century Gothic" w:cs="Century Gothic"/>
                <w:color w:val="000000"/>
                <w:sz w:val="18"/>
                <w:szCs w:val="18"/>
              </w:rPr>
              <w:t>26 (10.0%)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43BC10" w14:textId="77777777" w:rsidR="001C19F3" w:rsidRDefault="001C19F3" w:rsidP="00521305">
            <w:pPr>
              <w:spacing w:before="40" w:after="40"/>
              <w:ind w:left="100" w:right="100"/>
              <w:jc w:val="right"/>
            </w:pPr>
            <w:r>
              <w:rPr>
                <w:rFonts w:eastAsia="Century Gothic" w:cs="Century Gothic"/>
                <w:color w:val="000000"/>
                <w:sz w:val="18"/>
                <w:szCs w:val="18"/>
              </w:rPr>
              <w:t>26 (10.3%)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0928D60" w14:textId="77777777" w:rsidR="001C19F3" w:rsidRDefault="001C19F3" w:rsidP="00521305">
            <w:pPr>
              <w:spacing w:after="0"/>
              <w:rPr>
                <w:sz w:val="22"/>
              </w:rPr>
            </w:pPr>
          </w:p>
        </w:tc>
      </w:tr>
      <w:tr w:rsidR="001C19F3" w14:paraId="34DED991"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EB017B"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A4A287" w14:textId="77777777" w:rsidR="001C19F3" w:rsidRDefault="001C19F3" w:rsidP="00521305">
            <w:pPr>
              <w:spacing w:before="40" w:after="40"/>
              <w:ind w:left="100" w:right="100"/>
              <w:jc w:val="center"/>
            </w:pPr>
            <w:r>
              <w:rPr>
                <w:rFonts w:eastAsia="Century Gothic" w:cs="Century Gothic"/>
                <w:color w:val="000000"/>
                <w:sz w:val="18"/>
                <w:szCs w:val="18"/>
              </w:rPr>
              <w:t>462 (24.0%)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FBDC86" w14:textId="77777777" w:rsidR="001C19F3" w:rsidRDefault="001C19F3" w:rsidP="00521305">
            <w:pPr>
              <w:spacing w:before="40" w:after="40"/>
              <w:ind w:left="100" w:right="100"/>
              <w:jc w:val="center"/>
            </w:pPr>
            <w:r>
              <w:rPr>
                <w:rFonts w:eastAsia="Century Gothic" w:cs="Century Gothic"/>
                <w:color w:val="000000"/>
                <w:sz w:val="18"/>
                <w:szCs w:val="18"/>
              </w:rPr>
              <w:t>89 (22.7%)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47E575" w14:textId="77777777" w:rsidR="001C19F3" w:rsidRDefault="001C19F3" w:rsidP="00521305">
            <w:pPr>
              <w:spacing w:before="40" w:after="40"/>
              <w:ind w:left="100" w:right="100"/>
              <w:jc w:val="center"/>
            </w:pPr>
            <w:r>
              <w:rPr>
                <w:rFonts w:eastAsia="Century Gothic" w:cs="Century Gothic"/>
                <w:color w:val="000000"/>
                <w:sz w:val="18"/>
                <w:szCs w:val="18"/>
              </w:rPr>
              <w:t>373 (24.3%)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4C3A9F1B"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FF6B455" w14:textId="77777777" w:rsidR="001C19F3" w:rsidRDefault="001C19F3" w:rsidP="00521305">
            <w:pPr>
              <w:spacing w:before="40" w:after="40"/>
              <w:ind w:left="100" w:right="100"/>
              <w:jc w:val="center"/>
            </w:pPr>
            <w:r>
              <w:rPr>
                <w:rFonts w:eastAsia="Century Gothic" w:cs="Century Gothic"/>
                <w:color w:val="000000"/>
                <w:sz w:val="18"/>
                <w:szCs w:val="18"/>
              </w:rPr>
              <w:t>337 (23.9%)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7125CD" w14:textId="77777777" w:rsidR="001C19F3" w:rsidRDefault="001C19F3" w:rsidP="00521305">
            <w:pPr>
              <w:spacing w:before="40" w:after="40"/>
              <w:ind w:left="100" w:right="100"/>
              <w:jc w:val="right"/>
            </w:pPr>
            <w:r>
              <w:rPr>
                <w:rFonts w:eastAsia="Century Gothic" w:cs="Century Gothic"/>
                <w:color w:val="000000"/>
                <w:sz w:val="18"/>
                <w:szCs w:val="18"/>
              </w:rPr>
              <w:t>67 (25.7%)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C40C4E" w14:textId="77777777" w:rsidR="001C19F3" w:rsidRDefault="001C19F3" w:rsidP="00521305">
            <w:pPr>
              <w:spacing w:before="40" w:after="40"/>
              <w:ind w:left="100" w:right="100"/>
              <w:jc w:val="right"/>
            </w:pPr>
            <w:r>
              <w:rPr>
                <w:rFonts w:eastAsia="Century Gothic" w:cs="Century Gothic"/>
                <w:color w:val="000000"/>
                <w:sz w:val="18"/>
                <w:szCs w:val="18"/>
              </w:rPr>
              <w:t>58 (23.0%)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518D637" w14:textId="77777777" w:rsidR="001C19F3" w:rsidRDefault="001C19F3" w:rsidP="00521305">
            <w:pPr>
              <w:spacing w:after="0"/>
              <w:rPr>
                <w:sz w:val="22"/>
              </w:rPr>
            </w:pPr>
          </w:p>
        </w:tc>
      </w:tr>
      <w:tr w:rsidR="001C19F3" w14:paraId="4BB6B647"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44D647E"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15274B" w14:textId="77777777" w:rsidR="001C19F3" w:rsidRDefault="001C19F3" w:rsidP="00521305">
            <w:pPr>
              <w:spacing w:before="40" w:after="40"/>
              <w:ind w:left="100" w:right="100"/>
              <w:jc w:val="center"/>
            </w:pPr>
            <w:r>
              <w:rPr>
                <w:rFonts w:eastAsia="Century Gothic" w:cs="Century Gothic"/>
                <w:color w:val="000000"/>
                <w:sz w:val="18"/>
                <w:szCs w:val="18"/>
              </w:rPr>
              <w:t>252 (13.1%)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E9122D7" w14:textId="77777777" w:rsidR="001C19F3" w:rsidRDefault="001C19F3" w:rsidP="00521305">
            <w:pPr>
              <w:spacing w:before="40" w:after="40"/>
              <w:ind w:left="100" w:right="100"/>
              <w:jc w:val="center"/>
            </w:pPr>
            <w:r>
              <w:rPr>
                <w:rFonts w:eastAsia="Century Gothic" w:cs="Century Gothic"/>
                <w:color w:val="000000"/>
                <w:sz w:val="18"/>
                <w:szCs w:val="18"/>
              </w:rPr>
              <w:t>37 (9.4%)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0F26D99" w14:textId="77777777" w:rsidR="001C19F3" w:rsidRDefault="001C19F3" w:rsidP="00521305">
            <w:pPr>
              <w:spacing w:before="40" w:after="40"/>
              <w:ind w:left="100" w:right="100"/>
              <w:jc w:val="center"/>
            </w:pPr>
            <w:r>
              <w:rPr>
                <w:rFonts w:eastAsia="Century Gothic" w:cs="Century Gothic"/>
                <w:color w:val="000000"/>
                <w:sz w:val="18"/>
                <w:szCs w:val="18"/>
              </w:rPr>
              <w:t>215 (14.0%)</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6331BE"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78117A" w14:textId="77777777" w:rsidR="001C19F3" w:rsidRDefault="001C19F3" w:rsidP="00521305">
            <w:pPr>
              <w:spacing w:before="40" w:after="40"/>
              <w:ind w:left="100" w:right="100"/>
              <w:jc w:val="center"/>
            </w:pPr>
            <w:r>
              <w:rPr>
                <w:rFonts w:eastAsia="Century Gothic" w:cs="Century Gothic"/>
                <w:color w:val="000000"/>
                <w:sz w:val="18"/>
                <w:szCs w:val="18"/>
              </w:rPr>
              <w:t>184 (13.0%)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434BCA" w14:textId="77777777" w:rsidR="001C19F3" w:rsidRDefault="001C19F3" w:rsidP="00521305">
            <w:pPr>
              <w:spacing w:before="40" w:after="40"/>
              <w:ind w:left="100" w:right="100"/>
              <w:jc w:val="right"/>
            </w:pPr>
            <w:r>
              <w:rPr>
                <w:rFonts w:eastAsia="Century Gothic" w:cs="Century Gothic"/>
                <w:color w:val="000000"/>
                <w:sz w:val="18"/>
                <w:szCs w:val="18"/>
              </w:rPr>
              <w:t>41 (15.7%)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8BF4F63" w14:textId="77777777" w:rsidR="001C19F3" w:rsidRDefault="001C19F3" w:rsidP="00521305">
            <w:pPr>
              <w:spacing w:before="40" w:after="40"/>
              <w:ind w:left="100" w:right="100"/>
              <w:jc w:val="right"/>
            </w:pPr>
            <w:r>
              <w:rPr>
                <w:rFonts w:eastAsia="Century Gothic" w:cs="Century Gothic"/>
                <w:color w:val="000000"/>
                <w:sz w:val="18"/>
                <w:szCs w:val="18"/>
              </w:rPr>
              <w:t>27 (10.7%)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1E555BFD" w14:textId="77777777" w:rsidR="001C19F3" w:rsidRDefault="001C19F3" w:rsidP="00521305">
            <w:pPr>
              <w:spacing w:after="0"/>
              <w:rPr>
                <w:sz w:val="22"/>
              </w:rPr>
            </w:pPr>
          </w:p>
        </w:tc>
      </w:tr>
      <w:tr w:rsidR="001C19F3" w14:paraId="6EDA2028"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B7B9291"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B2972D" w14:textId="77777777" w:rsidR="001C19F3" w:rsidRDefault="001C19F3" w:rsidP="00521305">
            <w:pPr>
              <w:spacing w:before="40" w:after="40"/>
              <w:ind w:left="100" w:right="100"/>
              <w:jc w:val="center"/>
            </w:pPr>
            <w:r>
              <w:rPr>
                <w:rFonts w:eastAsia="Century Gothic" w:cs="Century Gothic"/>
                <w:color w:val="000000"/>
                <w:sz w:val="18"/>
                <w:szCs w:val="18"/>
              </w:rPr>
              <w:t>238 (12.4%)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45E4C4C" w14:textId="77777777" w:rsidR="001C19F3" w:rsidRDefault="001C19F3" w:rsidP="00521305">
            <w:pPr>
              <w:spacing w:before="40" w:after="40"/>
              <w:ind w:left="100" w:right="100"/>
              <w:jc w:val="center"/>
            </w:pPr>
            <w:r>
              <w:rPr>
                <w:rFonts w:eastAsia="Century Gothic" w:cs="Century Gothic"/>
                <w:color w:val="000000"/>
                <w:sz w:val="18"/>
                <w:szCs w:val="18"/>
              </w:rPr>
              <w:t>43 (11.0%)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A1ED3A" w14:textId="77777777" w:rsidR="001C19F3" w:rsidRDefault="001C19F3" w:rsidP="00521305">
            <w:pPr>
              <w:spacing w:before="40" w:after="40"/>
              <w:ind w:left="100" w:right="100"/>
              <w:jc w:val="center"/>
            </w:pPr>
            <w:r>
              <w:rPr>
                <w:rFonts w:eastAsia="Century Gothic" w:cs="Century Gothic"/>
                <w:color w:val="000000"/>
                <w:sz w:val="18"/>
                <w:szCs w:val="18"/>
              </w:rPr>
              <w:t>195 (12.7%)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F16C062"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DF422C" w14:textId="77777777" w:rsidR="001C19F3" w:rsidRDefault="001C19F3" w:rsidP="00521305">
            <w:pPr>
              <w:spacing w:before="40" w:after="40"/>
              <w:ind w:left="100" w:right="100"/>
              <w:jc w:val="center"/>
            </w:pPr>
            <w:r>
              <w:rPr>
                <w:rFonts w:eastAsia="Century Gothic" w:cs="Century Gothic"/>
                <w:color w:val="000000"/>
                <w:sz w:val="18"/>
                <w:szCs w:val="18"/>
              </w:rPr>
              <w:t>168 (11.9%)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A7245" w14:textId="77777777" w:rsidR="001C19F3" w:rsidRDefault="001C19F3" w:rsidP="00521305">
            <w:pPr>
              <w:spacing w:before="40" w:after="40"/>
              <w:ind w:left="100" w:right="100"/>
              <w:jc w:val="right"/>
            </w:pPr>
            <w:r>
              <w:rPr>
                <w:rFonts w:eastAsia="Century Gothic" w:cs="Century Gothic"/>
                <w:color w:val="000000"/>
                <w:sz w:val="18"/>
                <w:szCs w:val="18"/>
              </w:rPr>
              <w:t>33 (12.6%)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FE8434" w14:textId="77777777" w:rsidR="001C19F3" w:rsidRDefault="001C19F3" w:rsidP="00521305">
            <w:pPr>
              <w:spacing w:before="40" w:after="40"/>
              <w:ind w:left="100" w:right="100"/>
              <w:jc w:val="right"/>
            </w:pPr>
            <w:r>
              <w:rPr>
                <w:rFonts w:eastAsia="Century Gothic" w:cs="Century Gothic"/>
                <w:color w:val="000000"/>
                <w:sz w:val="18"/>
                <w:szCs w:val="18"/>
              </w:rPr>
              <w:t>37 (14.7%)</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E228F23" w14:textId="77777777" w:rsidR="001C19F3" w:rsidRDefault="001C19F3" w:rsidP="00521305">
            <w:pPr>
              <w:spacing w:after="0"/>
              <w:rPr>
                <w:sz w:val="22"/>
              </w:rPr>
            </w:pPr>
          </w:p>
        </w:tc>
      </w:tr>
      <w:tr w:rsidR="001C19F3" w14:paraId="3425356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11094B2" w14:textId="77777777" w:rsidR="001C19F3" w:rsidRDefault="001C19F3" w:rsidP="00521305">
            <w:pPr>
              <w:spacing w:before="40" w:after="40"/>
              <w:ind w:left="100" w:right="100"/>
            </w:pPr>
            <w:r>
              <w:rPr>
                <w:rFonts w:eastAsia="Century Gothic" w:cs="Century Gothic"/>
                <w:b/>
                <w:color w:val="000000"/>
                <w:sz w:val="18"/>
                <w:szCs w:val="18"/>
              </w:rPr>
              <w:t>J12 I was asked how my visits with other doctors were going (Q12)</w:t>
            </w:r>
          </w:p>
        </w:tc>
      </w:tr>
      <w:tr w:rsidR="001C19F3" w14:paraId="60D8C17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27D6D02" w14:textId="77777777" w:rsidR="001C19F3" w:rsidRDefault="001C19F3" w:rsidP="00521305">
            <w:pPr>
              <w:spacing w:before="40" w:after="40"/>
              <w:ind w:left="160" w:right="100"/>
            </w:pPr>
            <w:r>
              <w:rPr>
                <w:rFonts w:eastAsia="Century Gothic" w:cs="Century Gothic"/>
                <w:color w:val="000000"/>
                <w:sz w:val="18"/>
                <w:szCs w:val="18"/>
              </w:rPr>
              <w:t>None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CBA3FD" w14:textId="77777777" w:rsidR="001C19F3" w:rsidRDefault="001C19F3" w:rsidP="00521305">
            <w:pPr>
              <w:spacing w:before="40" w:after="40"/>
              <w:ind w:left="100" w:right="100"/>
              <w:jc w:val="center"/>
            </w:pPr>
            <w:r>
              <w:rPr>
                <w:rFonts w:eastAsia="Century Gothic" w:cs="Century Gothic"/>
                <w:color w:val="000000"/>
                <w:sz w:val="18"/>
                <w:szCs w:val="18"/>
              </w:rPr>
              <w:t>670 (36.5%)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F5F1EF0" w14:textId="77777777" w:rsidR="001C19F3" w:rsidRDefault="001C19F3" w:rsidP="00521305">
            <w:pPr>
              <w:spacing w:before="40" w:after="40"/>
              <w:ind w:left="100" w:right="100"/>
              <w:jc w:val="center"/>
            </w:pPr>
            <w:r>
              <w:rPr>
                <w:rFonts w:eastAsia="Century Gothic" w:cs="Century Gothic"/>
                <w:color w:val="000000"/>
                <w:sz w:val="18"/>
                <w:szCs w:val="18"/>
              </w:rPr>
              <w:t>174 (45.1%)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32CB1C" w14:textId="77777777" w:rsidR="001C19F3" w:rsidRDefault="001C19F3" w:rsidP="00521305">
            <w:pPr>
              <w:spacing w:before="40" w:after="40"/>
              <w:ind w:left="100" w:right="100"/>
              <w:jc w:val="center"/>
            </w:pPr>
            <w:r>
              <w:rPr>
                <w:rFonts w:eastAsia="Century Gothic" w:cs="Century Gothic"/>
                <w:color w:val="000000"/>
                <w:sz w:val="18"/>
                <w:szCs w:val="18"/>
              </w:rPr>
              <w:t>496 (34.2%)</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AA6B68F" w14:textId="77777777" w:rsidR="001C19F3" w:rsidRDefault="001C19F3" w:rsidP="00521305">
            <w:pPr>
              <w:spacing w:before="40" w:after="40"/>
              <w:ind w:left="100" w:right="100"/>
              <w:jc w:val="center"/>
            </w:pPr>
            <w:r>
              <w:rPr>
                <w:rFonts w:eastAsia="Century Gothic"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8B64711" w14:textId="77777777" w:rsidR="001C19F3" w:rsidRDefault="001C19F3" w:rsidP="00521305">
            <w:pPr>
              <w:spacing w:before="40" w:after="40"/>
              <w:ind w:left="100" w:right="100"/>
              <w:jc w:val="center"/>
            </w:pPr>
            <w:r>
              <w:rPr>
                <w:rFonts w:eastAsia="Century Gothic" w:cs="Century Gothic"/>
                <w:color w:val="000000"/>
                <w:sz w:val="18"/>
                <w:szCs w:val="18"/>
              </w:rPr>
              <w:t>484 (35.8%)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D13D14" w14:textId="77777777" w:rsidR="001C19F3" w:rsidRDefault="001C19F3" w:rsidP="00521305">
            <w:pPr>
              <w:spacing w:before="40" w:after="40"/>
              <w:ind w:left="100" w:right="100"/>
              <w:jc w:val="right"/>
            </w:pPr>
            <w:r>
              <w:rPr>
                <w:rFonts w:eastAsia="Century Gothic" w:cs="Century Gothic"/>
                <w:color w:val="000000"/>
                <w:sz w:val="18"/>
                <w:szCs w:val="18"/>
              </w:rPr>
              <w:t>86 (34.5%)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D21034D" w14:textId="77777777" w:rsidR="001C19F3" w:rsidRDefault="001C19F3" w:rsidP="00521305">
            <w:pPr>
              <w:spacing w:before="40" w:after="40"/>
              <w:ind w:left="100" w:right="100"/>
              <w:jc w:val="right"/>
            </w:pPr>
            <w:r>
              <w:rPr>
                <w:rFonts w:eastAsia="Century Gothic" w:cs="Century Gothic"/>
                <w:color w:val="000000"/>
                <w:sz w:val="18"/>
                <w:szCs w:val="18"/>
              </w:rPr>
              <w:t>100 (42.4%)</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88956A" w14:textId="77777777" w:rsidR="001C19F3" w:rsidRDefault="001C19F3" w:rsidP="00521305">
            <w:pPr>
              <w:spacing w:before="40" w:after="40"/>
              <w:ind w:left="100" w:right="100"/>
              <w:jc w:val="right"/>
            </w:pPr>
            <w:r>
              <w:rPr>
                <w:rFonts w:eastAsia="Century Gothic" w:cs="Century Gothic"/>
                <w:color w:val="000000"/>
                <w:sz w:val="18"/>
                <w:szCs w:val="18"/>
              </w:rPr>
              <w:t>&lt;0.001</w:t>
            </w:r>
          </w:p>
        </w:tc>
      </w:tr>
      <w:tr w:rsidR="001C19F3" w14:paraId="43F69355"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683211C" w14:textId="77777777" w:rsidR="001C19F3" w:rsidRDefault="001C19F3" w:rsidP="00521305">
            <w:pPr>
              <w:spacing w:before="40" w:after="40"/>
              <w:ind w:left="160" w:right="100"/>
            </w:pPr>
            <w:r>
              <w:rPr>
                <w:rFonts w:eastAsia="Century Gothic" w:cs="Century Gothic"/>
                <w:color w:val="000000"/>
                <w:sz w:val="18"/>
                <w:szCs w:val="18"/>
              </w:rPr>
              <w:t>A little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A2D6E" w14:textId="77777777" w:rsidR="001C19F3" w:rsidRDefault="001C19F3" w:rsidP="00521305">
            <w:pPr>
              <w:spacing w:before="40" w:after="40"/>
              <w:ind w:left="100" w:right="100"/>
              <w:jc w:val="center"/>
            </w:pPr>
            <w:r>
              <w:rPr>
                <w:rFonts w:eastAsia="Century Gothic" w:cs="Century Gothic"/>
                <w:color w:val="000000"/>
                <w:sz w:val="18"/>
                <w:szCs w:val="18"/>
              </w:rPr>
              <w:t>105 (5.7%)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8CD8AFB" w14:textId="77777777" w:rsidR="001C19F3" w:rsidRDefault="001C19F3" w:rsidP="00521305">
            <w:pPr>
              <w:spacing w:before="40" w:after="40"/>
              <w:ind w:left="100" w:right="100"/>
              <w:jc w:val="center"/>
            </w:pPr>
            <w:r>
              <w:rPr>
                <w:rFonts w:eastAsia="Century Gothic" w:cs="Century Gothic"/>
                <w:color w:val="000000"/>
                <w:sz w:val="18"/>
                <w:szCs w:val="18"/>
              </w:rPr>
              <w:t>19 (4.9%)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59BDF7" w14:textId="77777777" w:rsidR="001C19F3" w:rsidRDefault="001C19F3" w:rsidP="00521305">
            <w:pPr>
              <w:spacing w:before="40" w:after="40"/>
              <w:ind w:left="100" w:right="100"/>
              <w:jc w:val="center"/>
            </w:pPr>
            <w:r>
              <w:rPr>
                <w:rFonts w:eastAsia="Century Gothic" w:cs="Century Gothic"/>
                <w:color w:val="000000"/>
                <w:sz w:val="18"/>
                <w:szCs w:val="18"/>
              </w:rPr>
              <w:t>86 (5.9%)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DD96D1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3B0CAE" w14:textId="77777777" w:rsidR="001C19F3" w:rsidRDefault="001C19F3" w:rsidP="00521305">
            <w:pPr>
              <w:spacing w:before="40" w:after="40"/>
              <w:ind w:left="100" w:right="100"/>
              <w:jc w:val="center"/>
            </w:pPr>
            <w:r>
              <w:rPr>
                <w:rFonts w:eastAsia="Century Gothic" w:cs="Century Gothic"/>
                <w:color w:val="000000"/>
                <w:sz w:val="18"/>
                <w:szCs w:val="18"/>
              </w:rPr>
              <w:t>70 (5.2%)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626B0D" w14:textId="77777777" w:rsidR="001C19F3" w:rsidRDefault="001C19F3" w:rsidP="00521305">
            <w:pPr>
              <w:spacing w:before="40" w:after="40"/>
              <w:ind w:left="100" w:right="100"/>
              <w:jc w:val="right"/>
            </w:pPr>
            <w:r>
              <w:rPr>
                <w:rFonts w:eastAsia="Century Gothic" w:cs="Century Gothic"/>
                <w:color w:val="000000"/>
                <w:sz w:val="18"/>
                <w:szCs w:val="18"/>
              </w:rPr>
              <w:t>13 (5.2%)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B196BB" w14:textId="77777777" w:rsidR="001C19F3" w:rsidRDefault="001C19F3" w:rsidP="00521305">
            <w:pPr>
              <w:spacing w:before="40" w:after="40"/>
              <w:ind w:left="100" w:right="100"/>
              <w:jc w:val="right"/>
            </w:pPr>
            <w:r>
              <w:rPr>
                <w:rFonts w:eastAsia="Century Gothic" w:cs="Century Gothic"/>
                <w:color w:val="000000"/>
                <w:sz w:val="18"/>
                <w:szCs w:val="18"/>
              </w:rPr>
              <w:t>22 (9.3%)</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AF068F1" w14:textId="77777777" w:rsidR="001C19F3" w:rsidRDefault="001C19F3" w:rsidP="00521305">
            <w:pPr>
              <w:spacing w:after="0"/>
              <w:rPr>
                <w:sz w:val="22"/>
              </w:rPr>
            </w:pPr>
          </w:p>
        </w:tc>
      </w:tr>
      <w:tr w:rsidR="001C19F3" w14:paraId="09F3473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7EFD0B" w14:textId="77777777" w:rsidR="001C19F3" w:rsidRDefault="001C19F3" w:rsidP="00521305">
            <w:pPr>
              <w:spacing w:before="40" w:after="40"/>
              <w:ind w:left="160" w:right="100"/>
            </w:pPr>
            <w:r>
              <w:rPr>
                <w:rFonts w:eastAsia="Century Gothic" w:cs="Century Gothic"/>
                <w:color w:val="000000"/>
                <w:sz w:val="18"/>
                <w:szCs w:val="18"/>
              </w:rPr>
              <w:t>Some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BE6EAE" w14:textId="77777777" w:rsidR="001C19F3" w:rsidRDefault="001C19F3" w:rsidP="00521305">
            <w:pPr>
              <w:spacing w:before="40" w:after="40"/>
              <w:ind w:left="100" w:right="100"/>
              <w:jc w:val="center"/>
            </w:pPr>
            <w:r>
              <w:rPr>
                <w:rFonts w:eastAsia="Century Gothic" w:cs="Century Gothic"/>
                <w:color w:val="000000"/>
                <w:sz w:val="18"/>
                <w:szCs w:val="18"/>
              </w:rPr>
              <w:t>290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A8E154" w14:textId="77777777" w:rsidR="001C19F3" w:rsidRDefault="001C19F3" w:rsidP="00521305">
            <w:pPr>
              <w:spacing w:before="40" w:after="40"/>
              <w:ind w:left="100" w:right="100"/>
              <w:jc w:val="center"/>
            </w:pPr>
            <w:r>
              <w:rPr>
                <w:rFonts w:eastAsia="Century Gothic" w:cs="Century Gothic"/>
                <w:color w:val="000000"/>
                <w:sz w:val="18"/>
                <w:szCs w:val="18"/>
              </w:rPr>
              <w:t>60 (15.5%)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8D91E5F" w14:textId="77777777" w:rsidR="001C19F3" w:rsidRDefault="001C19F3" w:rsidP="00521305">
            <w:pPr>
              <w:spacing w:before="40" w:after="40"/>
              <w:ind w:left="100" w:right="100"/>
              <w:jc w:val="center"/>
            </w:pPr>
            <w:r>
              <w:rPr>
                <w:rFonts w:eastAsia="Century Gothic" w:cs="Century Gothic"/>
                <w:color w:val="000000"/>
                <w:sz w:val="18"/>
                <w:szCs w:val="18"/>
              </w:rPr>
              <w:t>230 (15.9%)</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2C6EE799"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5B79E31" w14:textId="77777777" w:rsidR="001C19F3" w:rsidRDefault="001C19F3" w:rsidP="00521305">
            <w:pPr>
              <w:spacing w:before="40" w:after="40"/>
              <w:ind w:left="100" w:right="100"/>
              <w:jc w:val="center"/>
            </w:pPr>
            <w:r>
              <w:rPr>
                <w:rFonts w:eastAsia="Century Gothic" w:cs="Century Gothic"/>
                <w:color w:val="000000"/>
                <w:sz w:val="18"/>
                <w:szCs w:val="18"/>
              </w:rPr>
              <w:t>222 (16.4%)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3C8DD3" w14:textId="77777777" w:rsidR="001C19F3" w:rsidRDefault="001C19F3" w:rsidP="00521305">
            <w:pPr>
              <w:spacing w:before="40" w:after="40"/>
              <w:ind w:left="100" w:right="100"/>
              <w:jc w:val="right"/>
            </w:pPr>
            <w:r>
              <w:rPr>
                <w:rFonts w:eastAsia="Century Gothic" w:cs="Century Gothic"/>
                <w:color w:val="000000"/>
                <w:sz w:val="18"/>
                <w:szCs w:val="18"/>
              </w:rPr>
              <w:t>30 (12.0%)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19B132" w14:textId="77777777" w:rsidR="001C19F3" w:rsidRDefault="001C19F3" w:rsidP="00521305">
            <w:pPr>
              <w:spacing w:before="40" w:after="40"/>
              <w:ind w:left="100" w:right="100"/>
              <w:jc w:val="right"/>
            </w:pPr>
            <w:r>
              <w:rPr>
                <w:rFonts w:eastAsia="Century Gothic" w:cs="Century Gothic"/>
                <w:color w:val="000000"/>
                <w:sz w:val="18"/>
                <w:szCs w:val="18"/>
              </w:rPr>
              <w:t>38 (16.1%)</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AAF80F7" w14:textId="77777777" w:rsidR="001C19F3" w:rsidRDefault="001C19F3" w:rsidP="00521305">
            <w:pPr>
              <w:spacing w:after="0"/>
              <w:rPr>
                <w:sz w:val="22"/>
              </w:rPr>
            </w:pPr>
          </w:p>
        </w:tc>
      </w:tr>
      <w:tr w:rsidR="001C19F3" w14:paraId="3E30A5E4"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500E240" w14:textId="77777777" w:rsidR="001C19F3" w:rsidRDefault="001C19F3" w:rsidP="00521305">
            <w:pPr>
              <w:spacing w:before="40" w:after="40"/>
              <w:ind w:left="160" w:right="100"/>
            </w:pPr>
            <w:r>
              <w:rPr>
                <w:rFonts w:eastAsia="Century Gothic" w:cs="Century Gothic"/>
                <w:color w:val="000000"/>
                <w:sz w:val="18"/>
                <w:szCs w:val="18"/>
              </w:rPr>
              <w:t>Most of the time</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F48B17" w14:textId="77777777" w:rsidR="001C19F3" w:rsidRDefault="001C19F3" w:rsidP="00521305">
            <w:pPr>
              <w:spacing w:before="40" w:after="40"/>
              <w:ind w:left="100" w:right="100"/>
              <w:jc w:val="center"/>
            </w:pPr>
            <w:r>
              <w:rPr>
                <w:rFonts w:eastAsia="Century Gothic" w:cs="Century Gothic"/>
                <w:color w:val="000000"/>
                <w:sz w:val="18"/>
                <w:szCs w:val="18"/>
              </w:rPr>
              <w:t>280 (15.2%)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88C307" w14:textId="77777777" w:rsidR="001C19F3" w:rsidRDefault="001C19F3" w:rsidP="00521305">
            <w:pPr>
              <w:spacing w:before="40" w:after="40"/>
              <w:ind w:left="100" w:right="100"/>
              <w:jc w:val="center"/>
            </w:pPr>
            <w:r>
              <w:rPr>
                <w:rFonts w:eastAsia="Century Gothic" w:cs="Century Gothic"/>
                <w:color w:val="000000"/>
                <w:sz w:val="18"/>
                <w:szCs w:val="18"/>
              </w:rPr>
              <w:t>55 (14.2%)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AEBCEF" w14:textId="77777777" w:rsidR="001C19F3" w:rsidRDefault="001C19F3" w:rsidP="00521305">
            <w:pPr>
              <w:spacing w:before="40" w:after="40"/>
              <w:ind w:left="100" w:right="100"/>
              <w:jc w:val="center"/>
            </w:pPr>
            <w:r>
              <w:rPr>
                <w:rFonts w:eastAsia="Century Gothic" w:cs="Century Gothic"/>
                <w:color w:val="000000"/>
                <w:sz w:val="18"/>
                <w:szCs w:val="18"/>
              </w:rPr>
              <w:t>225 (15.5%)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092EB0D"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501D7A" w14:textId="77777777" w:rsidR="001C19F3" w:rsidRDefault="001C19F3" w:rsidP="00521305">
            <w:pPr>
              <w:spacing w:before="40" w:after="40"/>
              <w:ind w:left="100" w:right="100"/>
              <w:jc w:val="center"/>
            </w:pPr>
            <w:r>
              <w:rPr>
                <w:rFonts w:eastAsia="Century Gothic" w:cs="Century Gothic"/>
                <w:color w:val="000000"/>
                <w:sz w:val="18"/>
                <w:szCs w:val="18"/>
              </w:rPr>
              <w:t>214 (15.8%)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F879D4D" w14:textId="77777777" w:rsidR="001C19F3" w:rsidRDefault="001C19F3" w:rsidP="00521305">
            <w:pPr>
              <w:spacing w:before="40" w:after="40"/>
              <w:ind w:left="100" w:right="100"/>
              <w:jc w:val="right"/>
            </w:pPr>
            <w:r>
              <w:rPr>
                <w:rFonts w:eastAsia="Century Gothic" w:cs="Century Gothic"/>
                <w:color w:val="000000"/>
                <w:sz w:val="18"/>
                <w:szCs w:val="18"/>
              </w:rPr>
              <w:t>32 (12.9%)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0AA4D7D" w14:textId="77777777" w:rsidR="001C19F3" w:rsidRDefault="001C19F3" w:rsidP="00521305">
            <w:pPr>
              <w:spacing w:before="40" w:after="40"/>
              <w:ind w:left="100" w:right="100"/>
              <w:jc w:val="right"/>
            </w:pPr>
            <w:r>
              <w:rPr>
                <w:rFonts w:eastAsia="Century Gothic" w:cs="Century Gothic"/>
                <w:color w:val="000000"/>
                <w:sz w:val="18"/>
                <w:szCs w:val="18"/>
              </w:rPr>
              <w:t>34 (14.4%)</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06BAF4C" w14:textId="77777777" w:rsidR="001C19F3" w:rsidRDefault="001C19F3" w:rsidP="00521305">
            <w:pPr>
              <w:spacing w:after="0"/>
              <w:rPr>
                <w:sz w:val="22"/>
              </w:rPr>
            </w:pPr>
          </w:p>
        </w:tc>
      </w:tr>
      <w:tr w:rsidR="001C19F3" w14:paraId="598AE82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B58E6E8" w14:textId="77777777" w:rsidR="001C19F3" w:rsidRDefault="001C19F3" w:rsidP="00521305">
            <w:pPr>
              <w:spacing w:before="40" w:after="40"/>
              <w:ind w:left="160" w:right="100"/>
            </w:pPr>
            <w:r>
              <w:rPr>
                <w:rFonts w:eastAsia="Century Gothic" w:cs="Century Gothic"/>
                <w:color w:val="000000"/>
                <w:sz w:val="18"/>
                <w:szCs w:val="18"/>
              </w:rPr>
              <w:t>Always</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C9F37BC" w14:textId="77777777" w:rsidR="001C19F3" w:rsidRDefault="001C19F3" w:rsidP="00521305">
            <w:pPr>
              <w:spacing w:before="40" w:after="40"/>
              <w:ind w:left="100" w:right="100"/>
              <w:jc w:val="center"/>
            </w:pPr>
            <w:r>
              <w:rPr>
                <w:rFonts w:eastAsia="Century Gothic" w:cs="Century Gothic"/>
                <w:color w:val="000000"/>
                <w:sz w:val="18"/>
                <w:szCs w:val="18"/>
              </w:rPr>
              <w:t>492 (26.8%)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329FF0A" w14:textId="77777777" w:rsidR="001C19F3" w:rsidRDefault="001C19F3" w:rsidP="00521305">
            <w:pPr>
              <w:spacing w:before="40" w:after="40"/>
              <w:ind w:left="100" w:right="100"/>
              <w:jc w:val="center"/>
            </w:pPr>
            <w:r>
              <w:rPr>
                <w:rFonts w:eastAsia="Century Gothic" w:cs="Century Gothic"/>
                <w:color w:val="000000"/>
                <w:sz w:val="18"/>
                <w:szCs w:val="18"/>
              </w:rPr>
              <w:t>78 (20.2%)</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29F102" w14:textId="77777777" w:rsidR="001C19F3" w:rsidRDefault="001C19F3" w:rsidP="00521305">
            <w:pPr>
              <w:spacing w:before="40" w:after="40"/>
              <w:ind w:left="100" w:right="100"/>
              <w:jc w:val="center"/>
            </w:pPr>
            <w:r>
              <w:rPr>
                <w:rFonts w:eastAsia="Century Gothic" w:cs="Century Gothic"/>
                <w:color w:val="000000"/>
                <w:sz w:val="18"/>
                <w:szCs w:val="18"/>
              </w:rPr>
              <w:t>414 (28.5%)</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5D0FB36A"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62D39B" w14:textId="77777777" w:rsidR="001C19F3" w:rsidRDefault="001C19F3" w:rsidP="00521305">
            <w:pPr>
              <w:spacing w:before="40" w:after="40"/>
              <w:ind w:left="100" w:right="100"/>
              <w:jc w:val="center"/>
            </w:pPr>
            <w:r>
              <w:rPr>
                <w:rFonts w:eastAsia="Century Gothic" w:cs="Century Gothic"/>
                <w:color w:val="000000"/>
                <w:sz w:val="18"/>
                <w:szCs w:val="18"/>
              </w:rPr>
              <w:t>362 (26.8%)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5CC2F0" w14:textId="77777777" w:rsidR="001C19F3" w:rsidRDefault="001C19F3" w:rsidP="00521305">
            <w:pPr>
              <w:spacing w:before="40" w:after="40"/>
              <w:ind w:left="100" w:right="100"/>
              <w:jc w:val="right"/>
            </w:pPr>
            <w:r>
              <w:rPr>
                <w:rFonts w:eastAsia="Century Gothic" w:cs="Century Gothic"/>
                <w:color w:val="000000"/>
                <w:sz w:val="18"/>
                <w:szCs w:val="18"/>
              </w:rPr>
              <w:t>88 (35.3%)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AF6507" w14:textId="77777777" w:rsidR="001C19F3" w:rsidRDefault="001C19F3" w:rsidP="00521305">
            <w:pPr>
              <w:spacing w:before="40" w:after="40"/>
              <w:ind w:left="100" w:right="100"/>
              <w:jc w:val="right"/>
            </w:pPr>
            <w:r>
              <w:rPr>
                <w:rFonts w:eastAsia="Century Gothic" w:cs="Century Gothic"/>
                <w:color w:val="000000"/>
                <w:sz w:val="18"/>
                <w:szCs w:val="18"/>
              </w:rPr>
              <w:t>42 (17.8%)</w:t>
            </w: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30C3907D" w14:textId="77777777" w:rsidR="001C19F3" w:rsidRDefault="001C19F3" w:rsidP="00521305">
            <w:pPr>
              <w:spacing w:after="0"/>
              <w:rPr>
                <w:sz w:val="22"/>
              </w:rPr>
            </w:pPr>
          </w:p>
        </w:tc>
      </w:tr>
      <w:tr w:rsidR="001C19F3" w14:paraId="469CEDDC"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0F9B4E1" w14:textId="77777777" w:rsidR="001C19F3" w:rsidRDefault="001C19F3" w:rsidP="00521305">
            <w:pPr>
              <w:spacing w:before="40" w:after="40"/>
              <w:ind w:left="100" w:right="100"/>
            </w:pPr>
            <w:r>
              <w:rPr>
                <w:rFonts w:eastAsia="Century Gothic" w:cs="Century Gothic"/>
                <w:b/>
                <w:color w:val="000000"/>
                <w:sz w:val="18"/>
                <w:szCs w:val="18"/>
              </w:rPr>
              <w:t>J13 Total score (PACIC)</w:t>
            </w:r>
          </w:p>
        </w:tc>
      </w:tr>
      <w:tr w:rsidR="001C19F3" w14:paraId="2656B0E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5DEDC3"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770756"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61629B" w14:textId="77777777" w:rsidR="001C19F3" w:rsidRDefault="001C19F3" w:rsidP="00521305">
            <w:pPr>
              <w:spacing w:before="40" w:after="40"/>
              <w:ind w:left="100" w:right="100"/>
              <w:jc w:val="center"/>
            </w:pPr>
            <w:r>
              <w:rPr>
                <w:rFonts w:cs="Century Gothic"/>
                <w:color w:val="000000"/>
                <w:sz w:val="18"/>
                <w:szCs w:val="18"/>
              </w:rPr>
              <w:t>3.2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10B186"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7713A8"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939F3CB"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F4A6B77" w14:textId="77777777" w:rsidR="001C19F3" w:rsidRDefault="001C19F3" w:rsidP="00521305">
            <w:pPr>
              <w:spacing w:before="40" w:after="40"/>
              <w:ind w:left="100" w:right="100"/>
              <w:jc w:val="right"/>
            </w:pPr>
            <w:r>
              <w:rPr>
                <w:rFonts w:cs="Century Gothic"/>
                <w:color w:val="000000"/>
                <w:sz w:val="18"/>
                <w:szCs w:val="18"/>
              </w:rPr>
              <w:t>3.5 (3.6)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509A153" w14:textId="77777777" w:rsidR="001C19F3" w:rsidRDefault="001C19F3" w:rsidP="00521305">
            <w:pPr>
              <w:spacing w:before="40" w:after="40"/>
              <w:ind w:left="100" w:right="100"/>
              <w:jc w:val="right"/>
            </w:pPr>
            <w:r>
              <w:rPr>
                <w:rFonts w:cs="Century Gothic"/>
                <w:color w:val="000000"/>
                <w:sz w:val="18"/>
                <w:szCs w:val="18"/>
              </w:rPr>
              <w:t>3.2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D7ED8FA" w14:textId="77777777" w:rsidR="001C19F3" w:rsidRDefault="001C19F3" w:rsidP="00521305">
            <w:pPr>
              <w:spacing w:before="40" w:after="40"/>
              <w:ind w:left="100" w:right="100"/>
              <w:jc w:val="right"/>
            </w:pPr>
            <w:r>
              <w:rPr>
                <w:rFonts w:cs="Century Gothic"/>
                <w:color w:val="000000"/>
                <w:sz w:val="18"/>
                <w:szCs w:val="18"/>
              </w:rPr>
              <w:t>0.007</w:t>
            </w:r>
          </w:p>
        </w:tc>
      </w:tr>
      <w:tr w:rsidR="001C19F3" w14:paraId="5A8B8C5C"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CD9610"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02BF39"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6EDEA0"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5F6FC6"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C4FDBF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B769A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5DF9D9"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46D82A"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DFB766"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7B83CC42"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948A20" w14:textId="77777777" w:rsidR="001C19F3" w:rsidRDefault="001C19F3" w:rsidP="00521305">
            <w:pPr>
              <w:spacing w:before="40" w:after="40"/>
              <w:ind w:left="100" w:right="100"/>
            </w:pPr>
            <w:r>
              <w:rPr>
                <w:rFonts w:eastAsia="Century Gothic" w:cs="Century Gothic"/>
                <w:b/>
                <w:color w:val="000000"/>
                <w:sz w:val="18"/>
                <w:szCs w:val="18"/>
              </w:rPr>
              <w:t>J14 PACIC: Patient activation score</w:t>
            </w:r>
          </w:p>
        </w:tc>
      </w:tr>
      <w:tr w:rsidR="001C19F3" w14:paraId="0C2061EB"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3FE9A1" w14:textId="77777777" w:rsidR="001C19F3" w:rsidRDefault="001C19F3" w:rsidP="00521305">
            <w:pPr>
              <w:spacing w:before="40" w:after="40"/>
              <w:ind w:left="160" w:right="100"/>
            </w:pPr>
            <w:r>
              <w:rPr>
                <w:rFonts w:cs="Century Gothic"/>
                <w:color w:val="000000"/>
                <w:sz w:val="18"/>
                <w:szCs w:val="18"/>
              </w:rPr>
              <w:lastRenderedPageBreak/>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0F27D76"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1C3E5A6" w14:textId="77777777" w:rsidR="001C19F3" w:rsidRDefault="001C19F3" w:rsidP="00521305">
            <w:pPr>
              <w:spacing w:before="40" w:after="40"/>
              <w:ind w:left="100" w:right="100"/>
              <w:jc w:val="center"/>
            </w:pPr>
            <w:r>
              <w:rPr>
                <w:rFonts w:cs="Century Gothic"/>
                <w:color w:val="000000"/>
                <w:sz w:val="18"/>
                <w:szCs w:val="18"/>
              </w:rPr>
              <w:t>3.2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4DB33F" w14:textId="77777777" w:rsidR="001C19F3" w:rsidRDefault="001C19F3" w:rsidP="00521305">
            <w:pPr>
              <w:spacing w:before="40" w:after="40"/>
              <w:ind w:left="100" w:right="100"/>
              <w:jc w:val="center"/>
            </w:pPr>
            <w:r>
              <w:rPr>
                <w:rFonts w:cs="Century Gothic"/>
                <w:color w:val="000000"/>
                <w:sz w:val="18"/>
                <w:szCs w:val="18"/>
              </w:rPr>
              <w:t>3.5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6E25C97"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07027F" w14:textId="77777777" w:rsidR="001C19F3" w:rsidRDefault="001C19F3" w:rsidP="00521305">
            <w:pPr>
              <w:spacing w:before="40" w:after="40"/>
              <w:ind w:left="100" w:right="100"/>
              <w:jc w:val="center"/>
            </w:pPr>
            <w:r>
              <w:rPr>
                <w:rFonts w:cs="Century Gothic"/>
                <w:color w:val="000000"/>
                <w:sz w:val="18"/>
                <w:szCs w:val="18"/>
              </w:rPr>
              <w:t>3.4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8F77C5B" w14:textId="77777777" w:rsidR="001C19F3" w:rsidRDefault="001C19F3" w:rsidP="00521305">
            <w:pPr>
              <w:spacing w:before="40" w:after="40"/>
              <w:ind w:left="100" w:right="100"/>
              <w:jc w:val="right"/>
            </w:pPr>
            <w:r>
              <w:rPr>
                <w:rFonts w:cs="Century Gothic"/>
                <w:color w:val="000000"/>
                <w:sz w:val="18"/>
                <w:szCs w:val="18"/>
              </w:rPr>
              <w:t>3.5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96A8E11" w14:textId="77777777" w:rsidR="001C19F3" w:rsidRDefault="001C19F3" w:rsidP="00521305">
            <w:pPr>
              <w:spacing w:before="40" w:after="40"/>
              <w:ind w:left="100" w:right="100"/>
              <w:jc w:val="right"/>
            </w:pPr>
            <w:r>
              <w:rPr>
                <w:rFonts w:cs="Century Gothic"/>
                <w:color w:val="000000"/>
                <w:sz w:val="18"/>
                <w:szCs w:val="18"/>
              </w:rPr>
              <w:t>3.3 (3.5)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7D9084D" w14:textId="77777777" w:rsidR="001C19F3" w:rsidRDefault="001C19F3" w:rsidP="00521305">
            <w:pPr>
              <w:spacing w:before="40" w:after="40"/>
              <w:ind w:left="100" w:right="100"/>
              <w:jc w:val="right"/>
            </w:pPr>
            <w:r>
              <w:rPr>
                <w:rFonts w:cs="Century Gothic"/>
                <w:color w:val="000000"/>
                <w:sz w:val="18"/>
                <w:szCs w:val="18"/>
              </w:rPr>
              <w:t>0.041</w:t>
            </w:r>
          </w:p>
        </w:tc>
      </w:tr>
      <w:tr w:rsidR="001C19F3" w14:paraId="5D84640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593615"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7CA8EE"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34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69A27A"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8B115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25FDF8"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8CDD20"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0BD9CA"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AEC098"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1F797D"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526F64E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AFE8CE1" w14:textId="77777777" w:rsidR="001C19F3" w:rsidRDefault="001C19F3" w:rsidP="00521305">
            <w:pPr>
              <w:spacing w:before="40" w:after="40"/>
              <w:ind w:left="100" w:right="100"/>
            </w:pPr>
            <w:r>
              <w:rPr>
                <w:rFonts w:eastAsia="Century Gothic" w:cs="Century Gothic"/>
                <w:b/>
                <w:color w:val="000000"/>
                <w:sz w:val="18"/>
                <w:szCs w:val="18"/>
              </w:rPr>
              <w:t>J15 PACIC: Decision support score</w:t>
            </w:r>
          </w:p>
        </w:tc>
      </w:tr>
      <w:tr w:rsidR="001C19F3" w14:paraId="4F14608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7E2771"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0BBDEC4" w14:textId="77777777" w:rsidR="001C19F3" w:rsidRDefault="001C19F3" w:rsidP="00521305">
            <w:pPr>
              <w:spacing w:before="40" w:after="40"/>
              <w:ind w:left="100" w:right="100"/>
              <w:jc w:val="center"/>
            </w:pPr>
            <w:r>
              <w:rPr>
                <w:rFonts w:cs="Century Gothic"/>
                <w:color w:val="000000"/>
                <w:sz w:val="18"/>
                <w:szCs w:val="18"/>
              </w:rPr>
              <w:t>3.7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25DA7F8" w14:textId="77777777" w:rsidR="001C19F3" w:rsidRDefault="001C19F3" w:rsidP="00521305">
            <w:pPr>
              <w:spacing w:before="40" w:after="40"/>
              <w:ind w:left="100" w:right="100"/>
              <w:jc w:val="center"/>
            </w:pPr>
            <w:r>
              <w:rPr>
                <w:rFonts w:cs="Century Gothic"/>
                <w:color w:val="000000"/>
                <w:sz w:val="18"/>
                <w:szCs w:val="18"/>
              </w:rPr>
              <w:t>3.6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E01B9BA" w14:textId="77777777" w:rsidR="001C19F3" w:rsidRDefault="001C19F3" w:rsidP="00521305">
            <w:pPr>
              <w:spacing w:before="40" w:after="40"/>
              <w:ind w:left="100" w:right="100"/>
              <w:jc w:val="center"/>
            </w:pPr>
            <w:r>
              <w:rPr>
                <w:rFonts w:cs="Century Gothic"/>
                <w:color w:val="000000"/>
                <w:sz w:val="18"/>
                <w:szCs w:val="18"/>
              </w:rPr>
              <w:t>3.8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33ED156" w14:textId="77777777" w:rsidR="001C19F3" w:rsidRDefault="001C19F3" w:rsidP="00521305">
            <w:pPr>
              <w:spacing w:before="40" w:after="40"/>
              <w:ind w:left="100" w:right="100"/>
              <w:jc w:val="center"/>
            </w:pPr>
            <w:r>
              <w:rPr>
                <w:rFonts w:cs="Century Gothic"/>
                <w:color w:val="000000"/>
                <w:sz w:val="18"/>
                <w:szCs w:val="18"/>
              </w:rPr>
              <w:t>0.053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F1B5FE" w14:textId="77777777" w:rsidR="001C19F3" w:rsidRDefault="001C19F3" w:rsidP="00521305">
            <w:pPr>
              <w:spacing w:before="40" w:after="40"/>
              <w:ind w:left="100" w:right="100"/>
              <w:jc w:val="center"/>
            </w:pPr>
            <w:r>
              <w:rPr>
                <w:rFonts w:cs="Century Gothic"/>
                <w:color w:val="000000"/>
                <w:sz w:val="18"/>
                <w:szCs w:val="18"/>
              </w:rPr>
              <w:t>3.7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2DFC4BC" w14:textId="77777777" w:rsidR="001C19F3" w:rsidRDefault="001C19F3" w:rsidP="00521305">
            <w:pPr>
              <w:spacing w:before="40" w:after="40"/>
              <w:ind w:left="100" w:right="100"/>
              <w:jc w:val="right"/>
            </w:pPr>
            <w:r>
              <w:rPr>
                <w:rFonts w:cs="Century Gothic"/>
                <w:color w:val="000000"/>
                <w:sz w:val="18"/>
                <w:szCs w:val="18"/>
              </w:rPr>
              <w:t>3.8 (4.0)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D8B5CFA" w14:textId="77777777" w:rsidR="001C19F3" w:rsidRDefault="001C19F3" w:rsidP="00521305">
            <w:pPr>
              <w:spacing w:before="40" w:after="40"/>
              <w:ind w:left="100" w:right="100"/>
              <w:jc w:val="right"/>
            </w:pPr>
            <w:r>
              <w:rPr>
                <w:rFonts w:cs="Century Gothic"/>
                <w:color w:val="000000"/>
                <w:sz w:val="18"/>
                <w:szCs w:val="18"/>
              </w:rPr>
              <w:t>3.6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7AC641" w14:textId="77777777" w:rsidR="001C19F3" w:rsidRDefault="001C19F3" w:rsidP="00521305">
            <w:pPr>
              <w:spacing w:before="40" w:after="40"/>
              <w:ind w:left="100" w:right="100"/>
              <w:jc w:val="right"/>
            </w:pPr>
            <w:r>
              <w:rPr>
                <w:rFonts w:cs="Century Gothic"/>
                <w:color w:val="000000"/>
                <w:sz w:val="18"/>
                <w:szCs w:val="18"/>
              </w:rPr>
              <w:t>0.061</w:t>
            </w:r>
          </w:p>
        </w:tc>
      </w:tr>
      <w:tr w:rsidR="001C19F3" w14:paraId="09261893"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C76492"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6A0CDC"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7C02E6"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882D7C"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45D8AB"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96043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2D9C7C"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D91257"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A196E2"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52A4AEF5"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8962EC" w14:textId="77777777" w:rsidR="001C19F3" w:rsidRDefault="001C19F3" w:rsidP="00521305">
            <w:pPr>
              <w:spacing w:before="40" w:after="40"/>
              <w:ind w:left="100" w:right="100"/>
            </w:pPr>
            <w:r>
              <w:rPr>
                <w:rFonts w:eastAsia="Century Gothic" w:cs="Century Gothic"/>
                <w:b/>
                <w:color w:val="000000"/>
                <w:sz w:val="18"/>
                <w:szCs w:val="18"/>
              </w:rPr>
              <w:t>J16 PACIC: Goal setting score</w:t>
            </w:r>
          </w:p>
        </w:tc>
      </w:tr>
      <w:tr w:rsidR="001C19F3" w14:paraId="7AC9284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D8C1D3"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09086CF" w14:textId="77777777" w:rsidR="001C19F3" w:rsidRDefault="001C19F3" w:rsidP="00521305">
            <w:pPr>
              <w:spacing w:before="40" w:after="40"/>
              <w:ind w:left="100" w:right="100"/>
              <w:jc w:val="center"/>
            </w:pPr>
            <w:r>
              <w:rPr>
                <w:rFonts w:cs="Century Gothic"/>
                <w:color w:val="000000"/>
                <w:sz w:val="18"/>
                <w:szCs w:val="18"/>
              </w:rPr>
              <w:t>3.4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3906DCB" w14:textId="77777777" w:rsidR="001C19F3" w:rsidRDefault="001C19F3" w:rsidP="00521305">
            <w:pPr>
              <w:spacing w:before="40" w:after="40"/>
              <w:ind w:left="100" w:right="100"/>
              <w:jc w:val="center"/>
            </w:pPr>
            <w:r>
              <w:rPr>
                <w:rFonts w:cs="Century Gothic"/>
                <w:color w:val="000000"/>
                <w:sz w:val="18"/>
                <w:szCs w:val="18"/>
              </w:rPr>
              <w:t>3.2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D0E03C" w14:textId="77777777" w:rsidR="001C19F3" w:rsidRDefault="001C19F3" w:rsidP="00521305">
            <w:pPr>
              <w:spacing w:before="40" w:after="40"/>
              <w:ind w:left="100" w:right="100"/>
              <w:jc w:val="center"/>
            </w:pPr>
            <w:r>
              <w:rPr>
                <w:rFonts w:cs="Century Gothic"/>
                <w:color w:val="000000"/>
                <w:sz w:val="18"/>
                <w:szCs w:val="18"/>
              </w:rPr>
              <w:t>3.4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6372F53"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E1F283F" w14:textId="77777777" w:rsidR="001C19F3" w:rsidRDefault="001C19F3" w:rsidP="00521305">
            <w:pPr>
              <w:spacing w:before="40" w:after="40"/>
              <w:ind w:left="100" w:right="100"/>
              <w:jc w:val="center"/>
            </w:pPr>
            <w:r>
              <w:rPr>
                <w:rFonts w:cs="Century Gothic"/>
                <w:color w:val="000000"/>
                <w:sz w:val="18"/>
                <w:szCs w:val="18"/>
              </w:rPr>
              <w:t>3.4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C57A8FD" w14:textId="77777777" w:rsidR="001C19F3" w:rsidRDefault="001C19F3" w:rsidP="00521305">
            <w:pPr>
              <w:spacing w:before="40" w:after="40"/>
              <w:ind w:left="100" w:right="100"/>
              <w:jc w:val="right"/>
            </w:pPr>
            <w:r>
              <w:rPr>
                <w:rFonts w:cs="Century Gothic"/>
                <w:color w:val="000000"/>
                <w:sz w:val="18"/>
                <w:szCs w:val="18"/>
              </w:rPr>
              <w:t>3.5 (3.7)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FAE347" w14:textId="77777777" w:rsidR="001C19F3" w:rsidRDefault="001C19F3" w:rsidP="00521305">
            <w:pPr>
              <w:spacing w:before="40" w:after="40"/>
              <w:ind w:left="100" w:right="100"/>
              <w:jc w:val="right"/>
            </w:pPr>
            <w:r>
              <w:rPr>
                <w:rFonts w:cs="Century Gothic"/>
                <w:color w:val="000000"/>
                <w:sz w:val="18"/>
                <w:szCs w:val="18"/>
              </w:rPr>
              <w:t>3.3 (3.3)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8EDEDD1" w14:textId="77777777" w:rsidR="001C19F3" w:rsidRDefault="001C19F3" w:rsidP="00521305">
            <w:pPr>
              <w:spacing w:before="40" w:after="40"/>
              <w:ind w:left="100" w:right="100"/>
              <w:jc w:val="right"/>
            </w:pPr>
            <w:r>
              <w:rPr>
                <w:rFonts w:cs="Century Gothic"/>
                <w:color w:val="000000"/>
                <w:sz w:val="18"/>
                <w:szCs w:val="18"/>
              </w:rPr>
              <w:t>0.097</w:t>
            </w:r>
          </w:p>
        </w:tc>
      </w:tr>
      <w:tr w:rsidR="001C19F3" w14:paraId="6D04E56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1B9606"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571076"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9</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1F661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9D7247"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35DE7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A5534C"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798E68"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C591919"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24D4CF"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698C6E60"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E2C42A" w14:textId="77777777" w:rsidR="001C19F3" w:rsidRDefault="001C19F3" w:rsidP="00521305">
            <w:pPr>
              <w:spacing w:before="40" w:after="40"/>
              <w:ind w:left="100" w:right="100"/>
            </w:pPr>
            <w:r>
              <w:rPr>
                <w:rFonts w:eastAsia="Century Gothic" w:cs="Century Gothic"/>
                <w:b/>
                <w:color w:val="000000"/>
                <w:sz w:val="18"/>
                <w:szCs w:val="18"/>
              </w:rPr>
              <w:t>J17 PACIC: Problem solving score</w:t>
            </w:r>
          </w:p>
        </w:tc>
      </w:tr>
      <w:tr w:rsidR="001C19F3" w14:paraId="46711B4F"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73411A"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954F53" w14:textId="77777777" w:rsidR="001C19F3" w:rsidRDefault="001C19F3" w:rsidP="00521305">
            <w:pPr>
              <w:spacing w:before="40" w:after="40"/>
              <w:ind w:left="100" w:right="100"/>
              <w:jc w:val="center"/>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10E491" w14:textId="77777777" w:rsidR="001C19F3" w:rsidRDefault="001C19F3" w:rsidP="00521305">
            <w:pPr>
              <w:spacing w:before="40" w:after="40"/>
              <w:ind w:left="100" w:right="100"/>
              <w:jc w:val="center"/>
            </w:pPr>
            <w:r>
              <w:rPr>
                <w:rFonts w:cs="Century Gothic"/>
                <w:color w:val="000000"/>
                <w:sz w:val="18"/>
                <w:szCs w:val="18"/>
              </w:rPr>
              <w:t>4.0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91D581B" w14:textId="77777777" w:rsidR="001C19F3" w:rsidRDefault="001C19F3" w:rsidP="00521305">
            <w:pPr>
              <w:spacing w:before="40" w:after="40"/>
              <w:ind w:left="100" w:right="100"/>
              <w:jc w:val="center"/>
            </w:pPr>
            <w:r>
              <w:rPr>
                <w:rFonts w:cs="Century Gothic"/>
                <w:color w:val="000000"/>
                <w:sz w:val="18"/>
                <w:szCs w:val="18"/>
              </w:rPr>
              <w:t>4.3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5C9DDF2" w14:textId="77777777" w:rsidR="001C19F3" w:rsidRDefault="001C19F3" w:rsidP="00521305">
            <w:pPr>
              <w:spacing w:before="40" w:after="40"/>
              <w:ind w:left="100" w:right="100"/>
              <w:jc w:val="center"/>
            </w:pPr>
            <w:r>
              <w:rPr>
                <w:rFonts w:cs="Century Gothic"/>
                <w:color w:val="000000"/>
                <w:sz w:val="18"/>
                <w:szCs w:val="18"/>
              </w:rPr>
              <w:t>0.003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547A76" w14:textId="77777777" w:rsidR="001C19F3" w:rsidRDefault="001C19F3" w:rsidP="00521305">
            <w:pPr>
              <w:spacing w:before="40" w:after="40"/>
              <w:ind w:left="100" w:right="100"/>
              <w:jc w:val="center"/>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FEAC9C6" w14:textId="77777777" w:rsidR="001C19F3" w:rsidRDefault="001C19F3" w:rsidP="00521305">
            <w:pPr>
              <w:spacing w:before="40" w:after="40"/>
              <w:ind w:left="100" w:right="100"/>
              <w:jc w:val="right"/>
            </w:pPr>
            <w:r>
              <w:rPr>
                <w:rFonts w:cs="Century Gothic"/>
                <w:color w:val="000000"/>
                <w:sz w:val="18"/>
                <w:szCs w:val="18"/>
              </w:rPr>
              <w:t>4.3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D4B80A8" w14:textId="77777777" w:rsidR="001C19F3" w:rsidRDefault="001C19F3" w:rsidP="00521305">
            <w:pPr>
              <w:spacing w:before="40" w:after="40"/>
              <w:ind w:left="100" w:right="100"/>
              <w:jc w:val="right"/>
            </w:pPr>
            <w:r>
              <w:rPr>
                <w:rFonts w:cs="Century Gothic"/>
                <w:color w:val="000000"/>
                <w:sz w:val="18"/>
                <w:szCs w:val="18"/>
              </w:rPr>
              <w:t>4.2 (5.0)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4936AB3" w14:textId="77777777" w:rsidR="001C19F3" w:rsidRDefault="001C19F3" w:rsidP="00521305">
            <w:pPr>
              <w:spacing w:before="40" w:after="40"/>
              <w:ind w:left="100" w:right="100"/>
              <w:jc w:val="right"/>
            </w:pPr>
            <w:r>
              <w:rPr>
                <w:rFonts w:cs="Century Gothic"/>
                <w:color w:val="000000"/>
                <w:sz w:val="18"/>
                <w:szCs w:val="18"/>
              </w:rPr>
              <w:t>0.048</w:t>
            </w:r>
          </w:p>
        </w:tc>
      </w:tr>
      <w:tr w:rsidR="001C19F3" w14:paraId="3F027F4A"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318E12"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2449B8"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124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2CD10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55B50A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3129F3"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823139D"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B43AB1"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3C44D0"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288EFE" w14:textId="77777777" w:rsidR="001C19F3" w:rsidRDefault="001C19F3" w:rsidP="00521305">
            <w:pPr>
              <w:spacing w:before="40" w:after="40"/>
              <w:ind w:left="100" w:right="100"/>
              <w:jc w:val="right"/>
              <w:rPr>
                <w:rFonts w:eastAsia="Century Gothic" w:cs="Century Gothic"/>
                <w:color w:val="000000"/>
                <w:sz w:val="18"/>
                <w:szCs w:val="18"/>
              </w:rPr>
            </w:pPr>
          </w:p>
        </w:tc>
      </w:tr>
      <w:tr w:rsidR="001C19F3" w14:paraId="10FCFFD9"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DA0BA1" w14:textId="77777777" w:rsidR="001C19F3" w:rsidRDefault="001C19F3" w:rsidP="00521305">
            <w:pPr>
              <w:spacing w:before="40" w:after="40"/>
              <w:ind w:left="100" w:right="100"/>
            </w:pPr>
            <w:r>
              <w:rPr>
                <w:rFonts w:eastAsia="Century Gothic" w:cs="Century Gothic"/>
                <w:b/>
                <w:color w:val="000000"/>
                <w:sz w:val="18"/>
                <w:szCs w:val="18"/>
              </w:rPr>
              <w:t>J18 PACIC: Follow-up/ co-ordination score</w:t>
            </w:r>
          </w:p>
        </w:tc>
      </w:tr>
      <w:tr w:rsidR="001C19F3" w14:paraId="5D694990"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4EFF1EF"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4215051" w14:textId="77777777" w:rsidR="001C19F3" w:rsidRDefault="001C19F3" w:rsidP="00521305">
            <w:pPr>
              <w:spacing w:before="40" w:after="40"/>
              <w:ind w:left="100" w:right="100"/>
              <w:jc w:val="center"/>
            </w:pPr>
            <w:r>
              <w:rPr>
                <w:rFonts w:cs="Century Gothic"/>
                <w:color w:val="000000"/>
                <w:sz w:val="18"/>
                <w:szCs w:val="18"/>
              </w:rPr>
              <w:t>2.6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D12FBE1" w14:textId="77777777" w:rsidR="001C19F3" w:rsidRDefault="001C19F3" w:rsidP="00521305">
            <w:pPr>
              <w:spacing w:before="40" w:after="40"/>
              <w:ind w:left="100" w:right="100"/>
              <w:jc w:val="center"/>
            </w:pPr>
            <w:r>
              <w:rPr>
                <w:rFonts w:cs="Century Gothic"/>
                <w:color w:val="000000"/>
                <w:sz w:val="18"/>
                <w:szCs w:val="18"/>
              </w:rPr>
              <w:t>2.5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C55D961" w14:textId="77777777" w:rsidR="001C19F3" w:rsidRDefault="001C19F3" w:rsidP="00521305">
            <w:pPr>
              <w:spacing w:before="40" w:after="40"/>
              <w:ind w:left="100" w:right="100"/>
              <w:jc w:val="center"/>
            </w:pPr>
            <w:r>
              <w:rPr>
                <w:rFonts w:cs="Century Gothic"/>
                <w:color w:val="000000"/>
                <w:sz w:val="18"/>
                <w:szCs w:val="18"/>
              </w:rPr>
              <w:t>2.7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48134A1"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BCCEEE3" w14:textId="77777777" w:rsidR="001C19F3" w:rsidRDefault="001C19F3" w:rsidP="00521305">
            <w:pPr>
              <w:spacing w:before="40" w:after="40"/>
              <w:ind w:left="100" w:right="100"/>
              <w:jc w:val="center"/>
            </w:pPr>
            <w:r>
              <w:rPr>
                <w:rFonts w:cs="Century Gothic"/>
                <w:color w:val="000000"/>
                <w:sz w:val="18"/>
                <w:szCs w:val="18"/>
              </w:rPr>
              <w:t>2.6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FF5519B" w14:textId="77777777" w:rsidR="001C19F3" w:rsidRDefault="001C19F3" w:rsidP="00521305">
            <w:pPr>
              <w:spacing w:before="40" w:after="40"/>
              <w:ind w:left="100" w:right="100"/>
              <w:jc w:val="right"/>
            </w:pPr>
            <w:r>
              <w:rPr>
                <w:rFonts w:cs="Century Gothic"/>
                <w:color w:val="000000"/>
                <w:sz w:val="18"/>
                <w:szCs w:val="18"/>
              </w:rPr>
              <w:t>2.8 (3.0)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1488AAA" w14:textId="77777777" w:rsidR="001C19F3" w:rsidRDefault="001C19F3" w:rsidP="00521305">
            <w:pPr>
              <w:spacing w:before="40" w:after="40"/>
              <w:ind w:left="100" w:right="100"/>
              <w:jc w:val="right"/>
            </w:pPr>
            <w:r>
              <w:rPr>
                <w:rFonts w:cs="Century Gothic"/>
                <w:color w:val="000000"/>
                <w:sz w:val="18"/>
                <w:szCs w:val="18"/>
              </w:rPr>
              <w:t>2.5 (2.3)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6FC7034" w14:textId="77777777" w:rsidR="001C19F3" w:rsidRDefault="001C19F3" w:rsidP="00521305">
            <w:pPr>
              <w:spacing w:before="40" w:after="40"/>
              <w:ind w:left="100" w:right="100"/>
              <w:jc w:val="right"/>
            </w:pPr>
            <w:r>
              <w:rPr>
                <w:rFonts w:cs="Century Gothic"/>
                <w:color w:val="000000"/>
                <w:sz w:val="18"/>
                <w:szCs w:val="18"/>
              </w:rPr>
              <w:t>0.002</w:t>
            </w:r>
          </w:p>
        </w:tc>
      </w:tr>
      <w:tr w:rsidR="001C19F3" w14:paraId="5369BEB2"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380EE0" w14:textId="77777777" w:rsidR="001C19F3" w:rsidRDefault="001C19F3" w:rsidP="00521305">
            <w:pPr>
              <w:spacing w:before="40" w:after="40"/>
              <w:ind w:left="160" w:right="100"/>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9F80FE"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14</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244D0B"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AC5E62"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ADC911"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07677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1A3035"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B81626"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6B926" w14:textId="77777777" w:rsidR="001C19F3" w:rsidRDefault="001C19F3" w:rsidP="00521305">
            <w:pPr>
              <w:spacing w:before="40" w:after="40"/>
              <w:ind w:left="100" w:right="100"/>
              <w:jc w:val="right"/>
              <w:rPr>
                <w:rFonts w:eastAsia="Century Gothic" w:cs="Century Gothic"/>
                <w:color w:val="000000"/>
                <w:sz w:val="18"/>
                <w:szCs w:val="18"/>
              </w:rPr>
            </w:pPr>
          </w:p>
        </w:tc>
      </w:tr>
    </w:tbl>
    <w:p w14:paraId="1AC58EFA" w14:textId="77777777" w:rsidR="001C19F3" w:rsidRDefault="001C19F3" w:rsidP="001C19F3">
      <w:pPr>
        <w:pStyle w:val="Chartortablefootnote"/>
        <w:rPr>
          <w:rFonts w:asciiTheme="minorHAnsi" w:hAnsiTheme="minorHAnsi" w:cstheme="minorBidi"/>
          <w:sz w:val="22"/>
        </w:rPr>
      </w:pPr>
      <w:r>
        <w:t>Source: CATI surveys conducted by The Social Research Centre between December 2017 and March 2019.</w:t>
      </w:r>
    </w:p>
    <w:p w14:paraId="280ADE45" w14:textId="77777777" w:rsidR="001C19F3" w:rsidRDefault="001C19F3" w:rsidP="001C19F3">
      <w:pPr>
        <w:pStyle w:val="Caption1"/>
      </w:pPr>
      <w:r>
        <w:t xml:space="preserve">Table </w:t>
      </w:r>
      <w:r>
        <w:fldChar w:fldCharType="begin"/>
      </w:r>
      <w:r>
        <w:instrText>SEQ Table \* ARABIC</w:instrText>
      </w:r>
      <w:r>
        <w:fldChar w:fldCharType="separate"/>
      </w:r>
      <w:r>
        <w:rPr>
          <w:noProof/>
        </w:rPr>
        <w:t>80</w:t>
      </w:r>
      <w:r>
        <w:fldChar w:fldCharType="end"/>
      </w:r>
      <w:r>
        <w:t xml:space="preserve"> – Patient rating of HCH practice by practice ownership type and practice location</w:t>
      </w:r>
    </w:p>
    <w:tbl>
      <w:tblPr>
        <w:tblW w:w="15120" w:type="dxa"/>
        <w:jc w:val="center"/>
        <w:tblLayout w:type="fixed"/>
        <w:tblLook w:val="04A0" w:firstRow="1" w:lastRow="0" w:firstColumn="1" w:lastColumn="0" w:noHBand="0" w:noVBand="1"/>
      </w:tblPr>
      <w:tblGrid>
        <w:gridCol w:w="3600"/>
        <w:gridCol w:w="1440"/>
        <w:gridCol w:w="1440"/>
        <w:gridCol w:w="1440"/>
        <w:gridCol w:w="1440"/>
        <w:gridCol w:w="1440"/>
        <w:gridCol w:w="1523"/>
        <w:gridCol w:w="1357"/>
        <w:gridCol w:w="1440"/>
      </w:tblGrid>
      <w:tr w:rsidR="001C19F3" w14:paraId="73F855F0" w14:textId="77777777" w:rsidTr="00521305">
        <w:trPr>
          <w:cantSplit/>
          <w:trHeight w:val="336"/>
          <w:tblHeader/>
          <w:jc w:val="center"/>
        </w:trPr>
        <w:tc>
          <w:tcPr>
            <w:tcW w:w="360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3FDC18D" w14:textId="77777777" w:rsidR="001C19F3" w:rsidRDefault="001C19F3" w:rsidP="00521305">
            <w:pPr>
              <w:spacing w:after="0"/>
              <w:jc w:val="center"/>
            </w:pPr>
            <w:r>
              <w:rPr>
                <w:rFonts w:eastAsia="Century Gothic" w:cs="Century Gothic"/>
                <w:b/>
                <w:color w:val="FFFFFF"/>
                <w:sz w:val="18"/>
                <w:szCs w:val="18"/>
              </w:rPr>
              <w:t>K Patient rating of HCH practice</w:t>
            </w:r>
          </w:p>
        </w:tc>
        <w:tc>
          <w:tcPr>
            <w:tcW w:w="1440"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F718CF" w14:textId="77777777" w:rsidR="001C19F3" w:rsidRDefault="001C19F3" w:rsidP="00521305">
            <w:pPr>
              <w:spacing w:after="0"/>
              <w:jc w:val="center"/>
            </w:pPr>
            <w:r>
              <w:rPr>
                <w:rFonts w:eastAsia="Century Gothic" w:cs="Century Gothic"/>
                <w:b/>
                <w:color w:val="FFFFFF"/>
                <w:sz w:val="18"/>
                <w:szCs w:val="18"/>
              </w:rPr>
              <w:t>Total</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3A7FAE31" w14:textId="77777777" w:rsidR="001C19F3" w:rsidRDefault="001C19F3" w:rsidP="00521305">
            <w:pPr>
              <w:spacing w:after="0"/>
              <w:jc w:val="center"/>
            </w:pPr>
            <w:r>
              <w:rPr>
                <w:rFonts w:eastAsia="Century Gothic" w:cs="Century Gothic"/>
                <w:b/>
                <w:color w:val="FFFFFF"/>
                <w:sz w:val="18"/>
                <w:szCs w:val="18"/>
              </w:rPr>
              <w:t>Type</w:t>
            </w:r>
          </w:p>
        </w:tc>
        <w:tc>
          <w:tcPr>
            <w:tcW w:w="5760" w:type="dxa"/>
            <w:gridSpan w:val="4"/>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F4A6458" w14:textId="77777777" w:rsidR="001C19F3" w:rsidRDefault="001C19F3" w:rsidP="00521305">
            <w:pPr>
              <w:spacing w:after="0"/>
              <w:jc w:val="center"/>
            </w:pPr>
            <w:r>
              <w:rPr>
                <w:rFonts w:eastAsia="Century Gothic" w:cs="Century Gothic"/>
                <w:b/>
                <w:color w:val="FFFFFF"/>
                <w:sz w:val="18"/>
                <w:szCs w:val="18"/>
              </w:rPr>
              <w:t>Location</w:t>
            </w:r>
          </w:p>
        </w:tc>
      </w:tr>
      <w:tr w:rsidR="001C19F3" w14:paraId="6C0454A1" w14:textId="77777777" w:rsidTr="00521305">
        <w:trPr>
          <w:cantSplit/>
          <w:trHeight w:val="330"/>
          <w:tblHeader/>
          <w:jc w:val="center"/>
        </w:trPr>
        <w:tc>
          <w:tcPr>
            <w:tcW w:w="3600" w:type="dxa"/>
            <w:vMerge/>
            <w:tcBorders>
              <w:top w:val="single" w:sz="8" w:space="0" w:color="BFBFBF"/>
              <w:left w:val="single" w:sz="8" w:space="0" w:color="BFBFBF"/>
              <w:bottom w:val="single" w:sz="8" w:space="0" w:color="BFBFBF"/>
              <w:right w:val="single" w:sz="8" w:space="0" w:color="BFBFBF"/>
            </w:tcBorders>
            <w:vAlign w:val="center"/>
            <w:hideMark/>
          </w:tcPr>
          <w:p w14:paraId="1905CD74" w14:textId="77777777" w:rsidR="001C19F3" w:rsidRDefault="001C19F3" w:rsidP="00521305">
            <w:pPr>
              <w:spacing w:after="0"/>
              <w:rPr>
                <w:sz w:val="22"/>
              </w:rPr>
            </w:pPr>
          </w:p>
        </w:tc>
        <w:tc>
          <w:tcPr>
            <w:tcW w:w="1440" w:type="dxa"/>
            <w:vMerge/>
            <w:tcBorders>
              <w:top w:val="single" w:sz="8" w:space="0" w:color="BFBFBF"/>
              <w:left w:val="single" w:sz="8" w:space="0" w:color="BFBFBF"/>
              <w:bottom w:val="single" w:sz="8" w:space="0" w:color="BFBFBF"/>
              <w:right w:val="single" w:sz="8" w:space="0" w:color="BFBFBF"/>
            </w:tcBorders>
            <w:vAlign w:val="center"/>
            <w:hideMark/>
          </w:tcPr>
          <w:p w14:paraId="0EA798F6" w14:textId="77777777" w:rsidR="001C19F3" w:rsidRDefault="001C19F3" w:rsidP="00521305">
            <w:pPr>
              <w:spacing w:after="0"/>
              <w:rPr>
                <w:sz w:val="22"/>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EA3C339" w14:textId="77777777" w:rsidR="001C19F3" w:rsidRDefault="001C19F3" w:rsidP="00521305">
            <w:pPr>
              <w:spacing w:after="0"/>
              <w:jc w:val="center"/>
            </w:pPr>
            <w:r>
              <w:rPr>
                <w:rFonts w:eastAsia="Century Gothic" w:cs="Century Gothic"/>
                <w:b/>
                <w:color w:val="FFFFFF"/>
                <w:sz w:val="18"/>
                <w:szCs w:val="18"/>
              </w:rPr>
              <w:t>Corporate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B8541D6" w14:textId="77777777" w:rsidR="001C19F3" w:rsidRDefault="001C19F3" w:rsidP="00521305">
            <w:pPr>
              <w:spacing w:after="0"/>
              <w:jc w:val="center"/>
            </w:pPr>
            <w:r>
              <w:rPr>
                <w:rFonts w:eastAsia="Century Gothic" w:cs="Century Gothic"/>
                <w:b/>
                <w:color w:val="FFFFFF"/>
                <w:sz w:val="18"/>
                <w:szCs w:val="18"/>
              </w:rPr>
              <w:t>Other</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23BB0AB"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6F568C4" w14:textId="77777777" w:rsidR="001C19F3" w:rsidRDefault="001C19F3" w:rsidP="00521305">
            <w:pPr>
              <w:spacing w:after="0"/>
              <w:jc w:val="center"/>
            </w:pPr>
            <w:r>
              <w:rPr>
                <w:rFonts w:eastAsia="Century Gothic" w:cs="Century Gothic"/>
                <w:b/>
                <w:color w:val="FFFFFF"/>
                <w:sz w:val="18"/>
                <w:szCs w:val="18"/>
              </w:rPr>
              <w:t>MMM 1</w:t>
            </w:r>
          </w:p>
        </w:tc>
        <w:tc>
          <w:tcPr>
            <w:tcW w:w="152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FC0D61D" w14:textId="77777777" w:rsidR="001C19F3" w:rsidRDefault="001C19F3" w:rsidP="00521305">
            <w:pPr>
              <w:spacing w:after="0"/>
              <w:jc w:val="center"/>
            </w:pPr>
            <w:r>
              <w:rPr>
                <w:rFonts w:eastAsia="Century Gothic" w:cs="Century Gothic"/>
                <w:b/>
                <w:color w:val="FFFFFF"/>
                <w:sz w:val="18"/>
                <w:szCs w:val="18"/>
              </w:rPr>
              <w:t>MMM 2/3</w:t>
            </w:r>
          </w:p>
        </w:tc>
        <w:tc>
          <w:tcPr>
            <w:tcW w:w="135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3E2BEC5" w14:textId="77777777" w:rsidR="001C19F3" w:rsidRDefault="001C19F3" w:rsidP="00521305">
            <w:pPr>
              <w:spacing w:after="0"/>
              <w:jc w:val="center"/>
            </w:pPr>
            <w:r>
              <w:rPr>
                <w:rFonts w:eastAsia="Century Gothic" w:cs="Century Gothic"/>
                <w:b/>
                <w:color w:val="FFFFFF"/>
                <w:sz w:val="18"/>
                <w:szCs w:val="18"/>
              </w:rPr>
              <w:t>MMM 4+</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CBD7A29" w14:textId="77777777" w:rsidR="001C19F3" w:rsidRDefault="001C19F3" w:rsidP="00521305">
            <w:pPr>
              <w:spacing w:after="0"/>
              <w:jc w:val="center"/>
            </w:pPr>
            <w:r>
              <w:rPr>
                <w:rFonts w:eastAsia="Century Gothic" w:cs="Century Gothic"/>
                <w:b/>
                <w:color w:val="FFFFFF"/>
                <w:sz w:val="18"/>
                <w:szCs w:val="18"/>
              </w:rPr>
              <w:t>p</w:t>
            </w:r>
            <w:r>
              <w:rPr>
                <w:rFonts w:eastAsia="Century Gothic" w:cs="Century Gothic"/>
                <w:b/>
                <w:color w:val="FFFFFF"/>
                <w:sz w:val="18"/>
                <w:szCs w:val="18"/>
              </w:rPr>
              <w:br/>
              <w:t>value</w:t>
            </w:r>
          </w:p>
        </w:tc>
      </w:tr>
      <w:tr w:rsidR="001C19F3" w14:paraId="23643EF3" w14:textId="77777777" w:rsidTr="00521305">
        <w:trPr>
          <w:cantSplit/>
          <w:trHeight w:val="288"/>
          <w:jc w:val="center"/>
        </w:trPr>
        <w:tc>
          <w:tcPr>
            <w:tcW w:w="15120" w:type="dxa"/>
            <w:gridSpan w:val="9"/>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D2F873E" w14:textId="77777777" w:rsidR="001C19F3" w:rsidRDefault="001C19F3" w:rsidP="00521305">
            <w:pPr>
              <w:spacing w:before="40" w:after="40"/>
              <w:ind w:left="100" w:right="100"/>
            </w:pPr>
            <w:r>
              <w:rPr>
                <w:rFonts w:eastAsia="Century Gothic" w:cs="Century Gothic"/>
                <w:b/>
                <w:color w:val="000000"/>
                <w:sz w:val="18"/>
                <w:szCs w:val="18"/>
              </w:rPr>
              <w:t>K1 Patient rating of the HCH practice (0-10)</w:t>
            </w:r>
          </w:p>
        </w:tc>
      </w:tr>
      <w:tr w:rsidR="001C19F3" w14:paraId="117C1CBD"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CFB9A2" w14:textId="77777777" w:rsidR="001C19F3" w:rsidRDefault="001C19F3" w:rsidP="00521305">
            <w:pPr>
              <w:spacing w:before="40" w:after="40"/>
              <w:ind w:left="160" w:right="100"/>
            </w:pPr>
            <w:r>
              <w:rPr>
                <w:rFonts w:cs="Century Gothic"/>
                <w:color w:val="000000"/>
                <w:sz w:val="18"/>
                <w:szCs w:val="18"/>
              </w:rPr>
              <w:t>Mean (median)</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7114F05" w14:textId="77777777" w:rsidR="001C19F3" w:rsidRDefault="001C19F3" w:rsidP="00521305">
            <w:pPr>
              <w:spacing w:before="40" w:after="40"/>
              <w:ind w:left="100" w:right="100"/>
              <w:jc w:val="center"/>
            </w:pPr>
            <w:r>
              <w:rPr>
                <w:rFonts w:cs="Century Gothic"/>
                <w:color w:val="000000"/>
                <w:sz w:val="18"/>
                <w:szCs w:val="18"/>
              </w:rPr>
              <w:t>9.0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11647B" w14:textId="77777777" w:rsidR="001C19F3" w:rsidRDefault="001C19F3" w:rsidP="00521305">
            <w:pPr>
              <w:spacing w:before="40" w:after="40"/>
              <w:ind w:left="100" w:right="100"/>
              <w:jc w:val="center"/>
            </w:pPr>
            <w:r>
              <w:rPr>
                <w:rFonts w:cs="Century Gothic"/>
                <w:color w:val="000000"/>
                <w:sz w:val="18"/>
                <w:szCs w:val="18"/>
              </w:rPr>
              <w:t>8.9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C48B195" w14:textId="77777777" w:rsidR="001C19F3" w:rsidRDefault="001C19F3" w:rsidP="00521305">
            <w:pPr>
              <w:spacing w:before="40" w:after="40"/>
              <w:ind w:left="100" w:right="100"/>
              <w:jc w:val="center"/>
            </w:pPr>
            <w:r>
              <w:rPr>
                <w:rFonts w:cs="Century Gothic"/>
                <w:color w:val="000000"/>
                <w:sz w:val="18"/>
                <w:szCs w:val="18"/>
              </w:rPr>
              <w:t>9.0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D14E02" w14:textId="77777777" w:rsidR="001C19F3" w:rsidRDefault="001C19F3" w:rsidP="00521305">
            <w:pPr>
              <w:spacing w:before="40" w:after="40"/>
              <w:ind w:left="100" w:right="100"/>
              <w:jc w:val="center"/>
            </w:pPr>
            <w:r>
              <w:rPr>
                <w:rFonts w:cs="Century Gothic"/>
                <w:color w:val="000000"/>
                <w:sz w:val="18"/>
                <w:szCs w:val="18"/>
              </w:rPr>
              <w:t>&lt;0.001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7AA9B5D" w14:textId="77777777" w:rsidR="001C19F3" w:rsidRDefault="001C19F3" w:rsidP="00521305">
            <w:pPr>
              <w:spacing w:before="40" w:after="40"/>
              <w:ind w:left="100" w:right="100"/>
              <w:jc w:val="center"/>
            </w:pPr>
            <w:r>
              <w:rPr>
                <w:rFonts w:cs="Century Gothic"/>
                <w:color w:val="000000"/>
                <w:sz w:val="18"/>
                <w:szCs w:val="18"/>
              </w:rPr>
              <w:t>9.0 (9.0)</w:t>
            </w:r>
          </w:p>
        </w:tc>
        <w:tc>
          <w:tcPr>
            <w:tcW w:w="152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7170332" w14:textId="77777777" w:rsidR="001C19F3" w:rsidRDefault="001C19F3" w:rsidP="00521305">
            <w:pPr>
              <w:spacing w:before="40" w:after="40"/>
              <w:ind w:left="100" w:right="100"/>
              <w:jc w:val="right"/>
            </w:pPr>
            <w:r>
              <w:rPr>
                <w:rFonts w:cs="Century Gothic"/>
                <w:color w:val="000000"/>
                <w:sz w:val="18"/>
                <w:szCs w:val="18"/>
              </w:rPr>
              <w:t>9.1 (10.0)</w:t>
            </w:r>
          </w:p>
        </w:tc>
        <w:tc>
          <w:tcPr>
            <w:tcW w:w="135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8E268CA" w14:textId="77777777" w:rsidR="001C19F3" w:rsidRDefault="001C19F3" w:rsidP="00521305">
            <w:pPr>
              <w:spacing w:before="40" w:after="40"/>
              <w:ind w:left="100" w:right="100"/>
              <w:jc w:val="right"/>
            </w:pPr>
            <w:r>
              <w:rPr>
                <w:rFonts w:cs="Century Gothic"/>
                <w:color w:val="000000"/>
                <w:sz w:val="18"/>
                <w:szCs w:val="18"/>
              </w:rPr>
              <w:t>8.9 (9.0)</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0DAB5C4" w14:textId="77777777" w:rsidR="001C19F3" w:rsidRDefault="001C19F3" w:rsidP="00521305">
            <w:pPr>
              <w:spacing w:before="40" w:after="40"/>
              <w:ind w:left="100" w:right="100"/>
              <w:jc w:val="right"/>
            </w:pPr>
            <w:r>
              <w:rPr>
                <w:rFonts w:cs="Century Gothic"/>
                <w:color w:val="000000"/>
                <w:sz w:val="18"/>
                <w:szCs w:val="18"/>
              </w:rPr>
              <w:t>0.007</w:t>
            </w:r>
          </w:p>
        </w:tc>
      </w:tr>
      <w:tr w:rsidR="001C19F3" w14:paraId="26394709" w14:textId="77777777" w:rsidTr="00521305">
        <w:trPr>
          <w:cantSplit/>
          <w:trHeight w:val="288"/>
          <w:jc w:val="center"/>
        </w:trPr>
        <w:tc>
          <w:tcPr>
            <w:tcW w:w="360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672DF0" w14:textId="77777777" w:rsidR="001C19F3" w:rsidRDefault="001C19F3" w:rsidP="00521305">
            <w:pPr>
              <w:spacing w:before="40" w:after="40"/>
              <w:ind w:left="160" w:right="100"/>
              <w:rPr>
                <w:rFonts w:eastAsia="Century Gothic" w:cs="Century Gothic"/>
                <w:color w:val="000000"/>
                <w:sz w:val="18"/>
                <w:szCs w:val="18"/>
              </w:rPr>
            </w:pPr>
            <w:r>
              <w:rPr>
                <w:rFonts w:cs="Century Gothic"/>
                <w:color w:val="000000"/>
                <w:sz w:val="18"/>
                <w:szCs w:val="18"/>
              </w:rPr>
              <w:t>Missing</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5A41A1" w14:textId="77777777" w:rsidR="001C19F3" w:rsidRDefault="001C19F3" w:rsidP="00521305">
            <w:pPr>
              <w:spacing w:before="40" w:after="40"/>
              <w:ind w:left="100" w:right="100"/>
              <w:jc w:val="center"/>
              <w:rPr>
                <w:rFonts w:eastAsia="Century Gothic" w:cs="Century Gothic"/>
                <w:color w:val="000000"/>
                <w:sz w:val="18"/>
                <w:szCs w:val="18"/>
              </w:rPr>
            </w:pPr>
            <w:r>
              <w:rPr>
                <w:rFonts w:cs="Century Gothic"/>
                <w:color w:val="000000"/>
                <w:sz w:val="18"/>
                <w:szCs w:val="18"/>
              </w:rPr>
              <w:t>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949779"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8402EE"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71359B" w14:textId="77777777" w:rsidR="001C19F3" w:rsidRDefault="001C19F3" w:rsidP="00521305">
            <w:pPr>
              <w:spacing w:before="40" w:after="40"/>
              <w:ind w:left="100" w:right="100"/>
              <w:jc w:val="center"/>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2270A5" w14:textId="77777777" w:rsidR="001C19F3" w:rsidRDefault="001C19F3" w:rsidP="00521305">
            <w:pPr>
              <w:spacing w:before="40" w:after="40"/>
              <w:ind w:left="100" w:right="100"/>
              <w:jc w:val="center"/>
              <w:rPr>
                <w:rFonts w:eastAsia="Century Gothic" w:cs="Century Gothic"/>
                <w:color w:val="000000"/>
                <w:sz w:val="18"/>
                <w:szCs w:val="18"/>
              </w:rPr>
            </w:pPr>
          </w:p>
        </w:tc>
        <w:tc>
          <w:tcPr>
            <w:tcW w:w="152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485504" w14:textId="77777777" w:rsidR="001C19F3" w:rsidRDefault="001C19F3" w:rsidP="00521305">
            <w:pPr>
              <w:spacing w:before="40" w:after="40"/>
              <w:ind w:left="100" w:right="100"/>
              <w:jc w:val="right"/>
              <w:rPr>
                <w:rFonts w:eastAsia="Century Gothic" w:cs="Century Gothic"/>
                <w:color w:val="000000"/>
                <w:sz w:val="18"/>
                <w:szCs w:val="18"/>
              </w:rPr>
            </w:pPr>
          </w:p>
        </w:tc>
        <w:tc>
          <w:tcPr>
            <w:tcW w:w="135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F243A8" w14:textId="77777777" w:rsidR="001C19F3" w:rsidRDefault="001C19F3" w:rsidP="00521305">
            <w:pPr>
              <w:spacing w:before="40" w:after="40"/>
              <w:ind w:left="100" w:right="100"/>
              <w:jc w:val="right"/>
              <w:rPr>
                <w:rFonts w:eastAsia="Century Gothic" w:cs="Century Gothic"/>
                <w:color w:val="000000"/>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1A6FA2" w14:textId="77777777" w:rsidR="001C19F3" w:rsidRDefault="001C19F3" w:rsidP="00521305">
            <w:pPr>
              <w:spacing w:before="40" w:after="40"/>
              <w:ind w:left="100" w:right="100"/>
              <w:jc w:val="right"/>
              <w:rPr>
                <w:rFonts w:eastAsia="Century Gothic" w:cs="Century Gothic"/>
                <w:color w:val="000000"/>
                <w:sz w:val="18"/>
                <w:szCs w:val="18"/>
              </w:rPr>
            </w:pPr>
          </w:p>
        </w:tc>
      </w:tr>
    </w:tbl>
    <w:p w14:paraId="7E66EC0C" w14:textId="77777777" w:rsidR="001C19F3" w:rsidRDefault="001C19F3" w:rsidP="001C19F3">
      <w:pPr>
        <w:pStyle w:val="Chartortablefootnote"/>
        <w:rPr>
          <w:rFonts w:eastAsiaTheme="majorEastAsia" w:cstheme="majorBidi"/>
          <w:color w:val="003D79"/>
          <w:sz w:val="60"/>
          <w:szCs w:val="32"/>
        </w:rPr>
      </w:pPr>
      <w:r>
        <w:t>Source: CATI surveys conducted by The Social Research Centre between December 2017 and March 2019.</w:t>
      </w:r>
      <w:r>
        <w:br w:type="page"/>
      </w:r>
    </w:p>
    <w:p w14:paraId="4D7A8903" w14:textId="77777777" w:rsidR="001C19F3" w:rsidRDefault="001C19F3" w:rsidP="001C19F3">
      <w:pPr>
        <w:pStyle w:val="Appendix"/>
        <w:sectPr w:rsidR="001C19F3" w:rsidSect="00521305">
          <w:footerReference w:type="default" r:id="rId190"/>
          <w:footerReference w:type="first" r:id="rId191"/>
          <w:pgSz w:w="16838" w:h="11906" w:orient="landscape"/>
          <w:pgMar w:top="1440" w:right="1440" w:bottom="1440" w:left="1440" w:header="708" w:footer="708" w:gutter="0"/>
          <w:cols w:space="708"/>
          <w:titlePg/>
          <w:docGrid w:linePitch="360"/>
        </w:sectPr>
      </w:pPr>
      <w:bookmarkStart w:id="610" w:name="_Toc27058973"/>
    </w:p>
    <w:p w14:paraId="70E70D48" w14:textId="77777777" w:rsidR="001C19F3" w:rsidRPr="00EC447D" w:rsidRDefault="001C19F3" w:rsidP="001C19F3">
      <w:pPr>
        <w:pStyle w:val="Appendix"/>
        <w:rPr>
          <w:i/>
          <w:sz w:val="16"/>
          <w:szCs w:val="16"/>
        </w:rPr>
      </w:pPr>
      <w:r>
        <w:lastRenderedPageBreak/>
        <w:t>Appendix 4 – Risk stratification data: Additional tables</w:t>
      </w:r>
      <w:bookmarkEnd w:id="610"/>
    </w:p>
    <w:p w14:paraId="6AF57126" w14:textId="77777777" w:rsidR="001C19F3" w:rsidRDefault="001C19F3" w:rsidP="001C19F3">
      <w:pPr>
        <w:pStyle w:val="Caption1"/>
      </w:pPr>
      <w:bookmarkStart w:id="611" w:name="_Ref22829973"/>
      <w:r>
        <w:t xml:space="preserve">Table </w:t>
      </w:r>
      <w:r>
        <w:fldChar w:fldCharType="begin"/>
      </w:r>
      <w:r>
        <w:instrText>SEQ Table \* ARABIC</w:instrText>
      </w:r>
      <w:r>
        <w:fldChar w:fldCharType="separate"/>
      </w:r>
      <w:r>
        <w:rPr>
          <w:noProof/>
        </w:rPr>
        <w:t>81</w:t>
      </w:r>
      <w:r>
        <w:fldChar w:fldCharType="end"/>
      </w:r>
      <w:bookmarkEnd w:id="611"/>
      <w:r>
        <w:t xml:space="preserve"> – HARP: Presenting clinical symptoms, by tier, and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536"/>
        <w:gridCol w:w="1681"/>
        <w:gridCol w:w="1681"/>
        <w:gridCol w:w="1681"/>
        <w:gridCol w:w="1681"/>
        <w:gridCol w:w="1678"/>
      </w:tblGrid>
      <w:tr w:rsidR="001C19F3" w14:paraId="5622768B" w14:textId="77777777" w:rsidTr="00521305">
        <w:trPr>
          <w:cantSplit/>
          <w:trHeight w:val="20"/>
          <w:tblHeader/>
          <w:jc w:val="center"/>
        </w:trPr>
        <w:tc>
          <w:tcPr>
            <w:tcW w:w="1986" w:type="pct"/>
            <w:shd w:val="clear" w:color="auto" w:fill="003D79"/>
            <w:vAlign w:val="center"/>
            <w:hideMark/>
          </w:tcPr>
          <w:p w14:paraId="6502B185" w14:textId="77777777" w:rsidR="001C19F3" w:rsidRPr="00123D9A" w:rsidRDefault="001C19F3" w:rsidP="00521305">
            <w:pPr>
              <w:spacing w:after="0"/>
              <w:jc w:val="center"/>
              <w:rPr>
                <w:rFonts w:cs="Century Gothic"/>
                <w:b/>
                <w:color w:val="FFFFFF"/>
                <w:sz w:val="18"/>
                <w:szCs w:val="18"/>
              </w:rPr>
            </w:pPr>
            <w:r>
              <w:rPr>
                <w:rFonts w:cs="Century Gothic"/>
                <w:b/>
                <w:color w:val="FFFFFF"/>
                <w:sz w:val="18"/>
                <w:szCs w:val="18"/>
              </w:rPr>
              <w:t>Clinical symptom and score</w:t>
            </w:r>
          </w:p>
        </w:tc>
        <w:tc>
          <w:tcPr>
            <w:tcW w:w="603" w:type="pct"/>
            <w:shd w:val="clear" w:color="auto" w:fill="003D79"/>
            <w:vAlign w:val="center"/>
            <w:hideMark/>
          </w:tcPr>
          <w:p w14:paraId="336118C1" w14:textId="77777777" w:rsidR="001C19F3" w:rsidRPr="00123D9A" w:rsidRDefault="001C19F3" w:rsidP="00521305">
            <w:pPr>
              <w:spacing w:after="0"/>
              <w:jc w:val="center"/>
              <w:rPr>
                <w:rFonts w:cs="Century Gothic"/>
                <w:b/>
                <w:color w:val="FFFFFF"/>
                <w:sz w:val="18"/>
                <w:szCs w:val="18"/>
              </w:rPr>
            </w:pPr>
            <w:r w:rsidRPr="00123D9A">
              <w:rPr>
                <w:rFonts w:cs="Century Gothic"/>
                <w:b/>
                <w:color w:val="FFFFFF"/>
                <w:sz w:val="18"/>
                <w:szCs w:val="18"/>
              </w:rPr>
              <w:t>Total</w:t>
            </w:r>
          </w:p>
        </w:tc>
        <w:tc>
          <w:tcPr>
            <w:tcW w:w="603" w:type="pct"/>
            <w:shd w:val="clear" w:color="auto" w:fill="003D79"/>
            <w:tcMar>
              <w:top w:w="0" w:type="dxa"/>
              <w:left w:w="0" w:type="dxa"/>
              <w:bottom w:w="0" w:type="dxa"/>
              <w:right w:w="0" w:type="dxa"/>
            </w:tcMar>
            <w:vAlign w:val="center"/>
            <w:hideMark/>
          </w:tcPr>
          <w:p w14:paraId="2EFF6AFF" w14:textId="77777777" w:rsidR="001C19F3" w:rsidRDefault="001C19F3" w:rsidP="00521305">
            <w:pPr>
              <w:spacing w:after="0"/>
              <w:jc w:val="center"/>
            </w:pPr>
            <w:r>
              <w:rPr>
                <w:rFonts w:cs="Century Gothic"/>
                <w:b/>
                <w:color w:val="FFFFFF"/>
                <w:sz w:val="18"/>
                <w:szCs w:val="18"/>
              </w:rPr>
              <w:t>Tier 1</w:t>
            </w:r>
          </w:p>
        </w:tc>
        <w:tc>
          <w:tcPr>
            <w:tcW w:w="603" w:type="pct"/>
            <w:shd w:val="clear" w:color="auto" w:fill="003D79"/>
            <w:tcMar>
              <w:top w:w="0" w:type="dxa"/>
              <w:left w:w="0" w:type="dxa"/>
              <w:bottom w:w="0" w:type="dxa"/>
              <w:right w:w="0" w:type="dxa"/>
            </w:tcMar>
            <w:vAlign w:val="center"/>
            <w:hideMark/>
          </w:tcPr>
          <w:p w14:paraId="17B88C09" w14:textId="77777777" w:rsidR="001C19F3" w:rsidRDefault="001C19F3" w:rsidP="00521305">
            <w:pPr>
              <w:spacing w:after="0"/>
              <w:jc w:val="center"/>
            </w:pPr>
            <w:r>
              <w:rPr>
                <w:rFonts w:cs="Century Gothic"/>
                <w:b/>
                <w:color w:val="FFFFFF"/>
                <w:sz w:val="18"/>
                <w:szCs w:val="18"/>
              </w:rPr>
              <w:t>Tier 2</w:t>
            </w:r>
          </w:p>
        </w:tc>
        <w:tc>
          <w:tcPr>
            <w:tcW w:w="603" w:type="pct"/>
            <w:shd w:val="clear" w:color="auto" w:fill="003D79"/>
            <w:tcMar>
              <w:top w:w="0" w:type="dxa"/>
              <w:left w:w="0" w:type="dxa"/>
              <w:bottom w:w="0" w:type="dxa"/>
              <w:right w:w="0" w:type="dxa"/>
            </w:tcMar>
            <w:vAlign w:val="center"/>
            <w:hideMark/>
          </w:tcPr>
          <w:p w14:paraId="1DE0EF1E" w14:textId="77777777" w:rsidR="001C19F3" w:rsidRDefault="001C19F3" w:rsidP="00521305">
            <w:pPr>
              <w:spacing w:after="0"/>
              <w:jc w:val="center"/>
            </w:pPr>
            <w:r>
              <w:rPr>
                <w:rFonts w:cs="Century Gothic"/>
                <w:b/>
                <w:color w:val="FFFFFF"/>
                <w:sz w:val="18"/>
                <w:szCs w:val="18"/>
              </w:rPr>
              <w:t>Tier 3</w:t>
            </w:r>
          </w:p>
        </w:tc>
        <w:tc>
          <w:tcPr>
            <w:tcW w:w="603" w:type="pct"/>
            <w:shd w:val="clear" w:color="auto" w:fill="003D79"/>
            <w:tcMar>
              <w:top w:w="0" w:type="dxa"/>
              <w:left w:w="0" w:type="dxa"/>
              <w:bottom w:w="0" w:type="dxa"/>
              <w:right w:w="0" w:type="dxa"/>
            </w:tcMar>
            <w:vAlign w:val="center"/>
            <w:hideMark/>
          </w:tcPr>
          <w:p w14:paraId="59420E11" w14:textId="77777777" w:rsidR="001C19F3" w:rsidRDefault="001C19F3" w:rsidP="00521305">
            <w:pPr>
              <w:spacing w:after="0"/>
              <w:jc w:val="center"/>
            </w:pPr>
            <w:r>
              <w:rPr>
                <w:rFonts w:cs="Century Gothic"/>
                <w:b/>
                <w:color w:val="FFFFFF"/>
                <w:sz w:val="18"/>
                <w:szCs w:val="18"/>
              </w:rPr>
              <w:t xml:space="preserve">P </w:t>
            </w:r>
            <w:r>
              <w:rPr>
                <w:rFonts w:cs="Century Gothic"/>
                <w:b/>
                <w:color w:val="FFFFFF"/>
                <w:sz w:val="18"/>
                <w:szCs w:val="18"/>
              </w:rPr>
              <w:br/>
              <w:t xml:space="preserve"> value</w:t>
            </w:r>
          </w:p>
        </w:tc>
      </w:tr>
      <w:tr w:rsidR="001C19F3" w14:paraId="155EAE00" w14:textId="77777777" w:rsidTr="00521305">
        <w:trPr>
          <w:cantSplit/>
          <w:trHeight w:val="20"/>
          <w:jc w:val="center"/>
        </w:trPr>
        <w:tc>
          <w:tcPr>
            <w:tcW w:w="5000" w:type="pct"/>
            <w:gridSpan w:val="6"/>
            <w:shd w:val="clear" w:color="auto" w:fill="FFFFFF"/>
            <w:tcMar>
              <w:top w:w="0" w:type="dxa"/>
              <w:left w:w="0" w:type="dxa"/>
              <w:bottom w:w="0" w:type="dxa"/>
              <w:right w:w="0" w:type="dxa"/>
            </w:tcMar>
            <w:vAlign w:val="center"/>
            <w:hideMark/>
          </w:tcPr>
          <w:p w14:paraId="032AA092" w14:textId="77777777" w:rsidR="001C19F3" w:rsidRDefault="001C19F3" w:rsidP="00521305">
            <w:pPr>
              <w:spacing w:before="40" w:after="40"/>
              <w:ind w:left="40" w:right="40"/>
            </w:pPr>
            <w:r>
              <w:rPr>
                <w:rFonts w:cs="Century Gothic"/>
                <w:b/>
                <w:color w:val="000000"/>
                <w:sz w:val="18"/>
                <w:szCs w:val="18"/>
              </w:rPr>
              <w:t>Presenting clinical symptoms (such as diagnosis of chronic diseases and complex care needs)</w:t>
            </w:r>
          </w:p>
        </w:tc>
      </w:tr>
      <w:tr w:rsidR="001C19F3" w14:paraId="11590793"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6C45E8E0" w14:textId="77777777" w:rsidR="001C19F3" w:rsidRDefault="001C19F3" w:rsidP="00521305">
            <w:pPr>
              <w:spacing w:before="40" w:after="40"/>
              <w:ind w:left="160" w:right="40"/>
            </w:pPr>
            <w:r>
              <w:rPr>
                <w:rFonts w:cs="Century Gothic"/>
                <w:color w:val="000000"/>
                <w:sz w:val="18"/>
                <w:szCs w:val="18"/>
              </w:rPr>
              <w:t>Diagnosis of Chronic Respiratory condition such as COPD, Paediatric asthma</w:t>
            </w:r>
          </w:p>
        </w:tc>
        <w:tc>
          <w:tcPr>
            <w:tcW w:w="603" w:type="pct"/>
            <w:shd w:val="clear" w:color="auto" w:fill="FFFFFF"/>
            <w:tcMar>
              <w:top w:w="0" w:type="dxa"/>
              <w:left w:w="0" w:type="dxa"/>
              <w:bottom w:w="0" w:type="dxa"/>
              <w:right w:w="0" w:type="dxa"/>
            </w:tcMar>
            <w:vAlign w:val="center"/>
            <w:hideMark/>
          </w:tcPr>
          <w:p w14:paraId="5103D707" w14:textId="77777777" w:rsidR="001C19F3" w:rsidRDefault="001C19F3" w:rsidP="00521305">
            <w:pPr>
              <w:spacing w:before="40" w:after="40"/>
              <w:ind w:left="40" w:right="40"/>
              <w:jc w:val="center"/>
            </w:pPr>
            <w:r>
              <w:rPr>
                <w:rFonts w:cs="Century Gothic"/>
                <w:color w:val="000000"/>
                <w:sz w:val="18"/>
                <w:szCs w:val="18"/>
              </w:rPr>
              <w:t>4,193 (33.7%)</w:t>
            </w:r>
          </w:p>
        </w:tc>
        <w:tc>
          <w:tcPr>
            <w:tcW w:w="603" w:type="pct"/>
            <w:shd w:val="clear" w:color="auto" w:fill="FFFFFF"/>
            <w:tcMar>
              <w:top w:w="0" w:type="dxa"/>
              <w:left w:w="0" w:type="dxa"/>
              <w:bottom w:w="0" w:type="dxa"/>
              <w:right w:w="0" w:type="dxa"/>
            </w:tcMar>
            <w:vAlign w:val="center"/>
            <w:hideMark/>
          </w:tcPr>
          <w:p w14:paraId="1B5D18E9" w14:textId="77777777" w:rsidR="001C19F3" w:rsidRDefault="001C19F3" w:rsidP="00521305">
            <w:pPr>
              <w:spacing w:before="40" w:after="40"/>
              <w:ind w:left="40" w:right="40"/>
              <w:jc w:val="center"/>
            </w:pPr>
            <w:r>
              <w:rPr>
                <w:rFonts w:cs="Century Gothic"/>
                <w:color w:val="000000"/>
                <w:sz w:val="18"/>
                <w:szCs w:val="18"/>
              </w:rPr>
              <w:t>534 (23.6%)</w:t>
            </w:r>
          </w:p>
        </w:tc>
        <w:tc>
          <w:tcPr>
            <w:tcW w:w="603" w:type="pct"/>
            <w:shd w:val="clear" w:color="auto" w:fill="FFFFFF"/>
            <w:tcMar>
              <w:top w:w="0" w:type="dxa"/>
              <w:left w:w="0" w:type="dxa"/>
              <w:bottom w:w="0" w:type="dxa"/>
              <w:right w:w="0" w:type="dxa"/>
            </w:tcMar>
            <w:vAlign w:val="center"/>
            <w:hideMark/>
          </w:tcPr>
          <w:p w14:paraId="5D9175AA" w14:textId="77777777" w:rsidR="001C19F3" w:rsidRDefault="001C19F3" w:rsidP="00521305">
            <w:pPr>
              <w:spacing w:before="40" w:after="40"/>
              <w:ind w:left="40" w:right="40"/>
              <w:jc w:val="center"/>
            </w:pPr>
            <w:r>
              <w:rPr>
                <w:rFonts w:cs="Century Gothic"/>
                <w:color w:val="000000"/>
                <w:sz w:val="18"/>
                <w:szCs w:val="18"/>
              </w:rPr>
              <w:t>2,003 (32.7%)</w:t>
            </w:r>
          </w:p>
        </w:tc>
        <w:tc>
          <w:tcPr>
            <w:tcW w:w="603" w:type="pct"/>
            <w:shd w:val="clear" w:color="auto" w:fill="FFFFFF"/>
            <w:tcMar>
              <w:top w:w="0" w:type="dxa"/>
              <w:left w:w="0" w:type="dxa"/>
              <w:bottom w:w="0" w:type="dxa"/>
              <w:right w:w="0" w:type="dxa"/>
            </w:tcMar>
            <w:vAlign w:val="center"/>
            <w:hideMark/>
          </w:tcPr>
          <w:p w14:paraId="305BDE7D" w14:textId="77777777" w:rsidR="001C19F3" w:rsidRDefault="001C19F3" w:rsidP="00521305">
            <w:pPr>
              <w:spacing w:before="40" w:after="40"/>
              <w:ind w:left="40" w:right="40"/>
              <w:jc w:val="center"/>
            </w:pPr>
            <w:r>
              <w:rPr>
                <w:rFonts w:cs="Century Gothic"/>
                <w:color w:val="000000"/>
                <w:sz w:val="18"/>
                <w:szCs w:val="18"/>
              </w:rPr>
              <w:t>1,656 (40.9%)</w:t>
            </w:r>
          </w:p>
        </w:tc>
        <w:tc>
          <w:tcPr>
            <w:tcW w:w="603" w:type="pct"/>
            <w:shd w:val="clear" w:color="auto" w:fill="FFFFFF"/>
            <w:tcMar>
              <w:top w:w="0" w:type="dxa"/>
              <w:left w:w="0" w:type="dxa"/>
              <w:bottom w:w="0" w:type="dxa"/>
              <w:right w:w="0" w:type="dxa"/>
            </w:tcMar>
            <w:vAlign w:val="center"/>
            <w:hideMark/>
          </w:tcPr>
          <w:p w14:paraId="4F73322F"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4D86A22"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1F84455B" w14:textId="77777777" w:rsidR="001C19F3" w:rsidRDefault="001C19F3" w:rsidP="00521305">
            <w:pPr>
              <w:spacing w:before="40" w:after="40"/>
              <w:ind w:left="160" w:right="40"/>
            </w:pPr>
            <w:r>
              <w:rPr>
                <w:rFonts w:cs="Century Gothic"/>
                <w:color w:val="000000"/>
                <w:sz w:val="18"/>
                <w:szCs w:val="18"/>
              </w:rPr>
              <w:t>Diagnosis of Chronic Cardiac condition such as CHF, Angina</w:t>
            </w:r>
          </w:p>
        </w:tc>
        <w:tc>
          <w:tcPr>
            <w:tcW w:w="603" w:type="pct"/>
            <w:shd w:val="clear" w:color="auto" w:fill="FFFFFF"/>
            <w:tcMar>
              <w:top w:w="0" w:type="dxa"/>
              <w:left w:w="0" w:type="dxa"/>
              <w:bottom w:w="0" w:type="dxa"/>
              <w:right w:w="0" w:type="dxa"/>
            </w:tcMar>
            <w:vAlign w:val="center"/>
            <w:hideMark/>
          </w:tcPr>
          <w:p w14:paraId="30657B51" w14:textId="77777777" w:rsidR="001C19F3" w:rsidRDefault="001C19F3" w:rsidP="00521305">
            <w:pPr>
              <w:spacing w:before="40" w:after="40"/>
              <w:ind w:left="40" w:right="40"/>
              <w:jc w:val="center"/>
            </w:pPr>
            <w:r>
              <w:rPr>
                <w:rFonts w:cs="Century Gothic"/>
                <w:color w:val="000000"/>
                <w:sz w:val="18"/>
                <w:szCs w:val="18"/>
              </w:rPr>
              <w:t>4,137 (33.2%)</w:t>
            </w:r>
          </w:p>
        </w:tc>
        <w:tc>
          <w:tcPr>
            <w:tcW w:w="603" w:type="pct"/>
            <w:shd w:val="clear" w:color="auto" w:fill="FFFFFF"/>
            <w:tcMar>
              <w:top w:w="0" w:type="dxa"/>
              <w:left w:w="0" w:type="dxa"/>
              <w:bottom w:w="0" w:type="dxa"/>
              <w:right w:w="0" w:type="dxa"/>
            </w:tcMar>
            <w:vAlign w:val="center"/>
            <w:hideMark/>
          </w:tcPr>
          <w:p w14:paraId="4038A24D" w14:textId="77777777" w:rsidR="001C19F3" w:rsidRDefault="001C19F3" w:rsidP="00521305">
            <w:pPr>
              <w:spacing w:before="40" w:after="40"/>
              <w:ind w:left="40" w:right="40"/>
              <w:jc w:val="center"/>
            </w:pPr>
            <w:r>
              <w:rPr>
                <w:rFonts w:cs="Century Gothic"/>
                <w:color w:val="000000"/>
                <w:sz w:val="18"/>
                <w:szCs w:val="18"/>
              </w:rPr>
              <w:t>623 (27.5%)</w:t>
            </w:r>
          </w:p>
        </w:tc>
        <w:tc>
          <w:tcPr>
            <w:tcW w:w="603" w:type="pct"/>
            <w:shd w:val="clear" w:color="auto" w:fill="FFFFFF"/>
            <w:tcMar>
              <w:top w:w="0" w:type="dxa"/>
              <w:left w:w="0" w:type="dxa"/>
              <w:bottom w:w="0" w:type="dxa"/>
              <w:right w:w="0" w:type="dxa"/>
            </w:tcMar>
            <w:vAlign w:val="center"/>
            <w:hideMark/>
          </w:tcPr>
          <w:p w14:paraId="57B72F93" w14:textId="77777777" w:rsidR="001C19F3" w:rsidRDefault="001C19F3" w:rsidP="00521305">
            <w:pPr>
              <w:spacing w:before="40" w:after="40"/>
              <w:ind w:left="40" w:right="40"/>
              <w:jc w:val="center"/>
            </w:pPr>
            <w:r>
              <w:rPr>
                <w:rFonts w:cs="Century Gothic"/>
                <w:color w:val="000000"/>
                <w:sz w:val="18"/>
                <w:szCs w:val="18"/>
              </w:rPr>
              <w:t>1,907 (31.1%)</w:t>
            </w:r>
          </w:p>
        </w:tc>
        <w:tc>
          <w:tcPr>
            <w:tcW w:w="603" w:type="pct"/>
            <w:shd w:val="clear" w:color="auto" w:fill="FFFFFF"/>
            <w:tcMar>
              <w:top w:w="0" w:type="dxa"/>
              <w:left w:w="0" w:type="dxa"/>
              <w:bottom w:w="0" w:type="dxa"/>
              <w:right w:w="0" w:type="dxa"/>
            </w:tcMar>
            <w:vAlign w:val="center"/>
            <w:hideMark/>
          </w:tcPr>
          <w:p w14:paraId="29A8FECF" w14:textId="77777777" w:rsidR="001C19F3" w:rsidRDefault="001C19F3" w:rsidP="00521305">
            <w:pPr>
              <w:spacing w:before="40" w:after="40"/>
              <w:ind w:left="40" w:right="40"/>
              <w:jc w:val="center"/>
            </w:pPr>
            <w:r>
              <w:rPr>
                <w:rFonts w:cs="Century Gothic"/>
                <w:color w:val="000000"/>
                <w:sz w:val="18"/>
                <w:szCs w:val="18"/>
              </w:rPr>
              <w:t>1,607 (39.7%)</w:t>
            </w:r>
          </w:p>
        </w:tc>
        <w:tc>
          <w:tcPr>
            <w:tcW w:w="603" w:type="pct"/>
            <w:shd w:val="clear" w:color="auto" w:fill="FFFFFF"/>
            <w:tcMar>
              <w:top w:w="0" w:type="dxa"/>
              <w:left w:w="0" w:type="dxa"/>
              <w:bottom w:w="0" w:type="dxa"/>
              <w:right w:w="0" w:type="dxa"/>
            </w:tcMar>
            <w:vAlign w:val="center"/>
            <w:hideMark/>
          </w:tcPr>
          <w:p w14:paraId="53440DF6"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A4248E3"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2D6C9D67" w14:textId="77777777" w:rsidR="001C19F3" w:rsidRDefault="001C19F3" w:rsidP="00521305">
            <w:pPr>
              <w:spacing w:before="40" w:after="40"/>
              <w:ind w:left="160" w:right="40"/>
            </w:pPr>
            <w:r>
              <w:rPr>
                <w:rFonts w:cs="Century Gothic"/>
                <w:color w:val="000000"/>
                <w:sz w:val="18"/>
                <w:szCs w:val="18"/>
              </w:rPr>
              <w:t>Diagnosis of Complex care needs in frail aged such as dementia, falls, incontinence</w:t>
            </w:r>
          </w:p>
        </w:tc>
        <w:tc>
          <w:tcPr>
            <w:tcW w:w="603" w:type="pct"/>
            <w:shd w:val="clear" w:color="auto" w:fill="FFFFFF"/>
            <w:tcMar>
              <w:top w:w="0" w:type="dxa"/>
              <w:left w:w="0" w:type="dxa"/>
              <w:bottom w:w="0" w:type="dxa"/>
              <w:right w:w="0" w:type="dxa"/>
            </w:tcMar>
            <w:vAlign w:val="center"/>
            <w:hideMark/>
          </w:tcPr>
          <w:p w14:paraId="3ADF466B" w14:textId="77777777" w:rsidR="001C19F3" w:rsidRDefault="001C19F3" w:rsidP="00521305">
            <w:pPr>
              <w:spacing w:before="40" w:after="40"/>
              <w:ind w:left="40" w:right="40"/>
              <w:jc w:val="center"/>
            </w:pPr>
            <w:r>
              <w:rPr>
                <w:rFonts w:cs="Century Gothic"/>
                <w:color w:val="000000"/>
                <w:sz w:val="18"/>
                <w:szCs w:val="18"/>
              </w:rPr>
              <w:t>2,216 (17.8%)</w:t>
            </w:r>
          </w:p>
        </w:tc>
        <w:tc>
          <w:tcPr>
            <w:tcW w:w="603" w:type="pct"/>
            <w:shd w:val="clear" w:color="auto" w:fill="FFFFFF"/>
            <w:tcMar>
              <w:top w:w="0" w:type="dxa"/>
              <w:left w:w="0" w:type="dxa"/>
              <w:bottom w:w="0" w:type="dxa"/>
              <w:right w:w="0" w:type="dxa"/>
            </w:tcMar>
            <w:vAlign w:val="center"/>
            <w:hideMark/>
          </w:tcPr>
          <w:p w14:paraId="229D5416" w14:textId="77777777" w:rsidR="001C19F3" w:rsidRDefault="001C19F3" w:rsidP="00521305">
            <w:pPr>
              <w:spacing w:before="40" w:after="40"/>
              <w:ind w:left="40" w:right="40"/>
              <w:jc w:val="center"/>
            </w:pPr>
            <w:r>
              <w:rPr>
                <w:rFonts w:cs="Century Gothic"/>
                <w:color w:val="000000"/>
                <w:sz w:val="18"/>
                <w:szCs w:val="18"/>
              </w:rPr>
              <w:t>106 (4.7%)</w:t>
            </w:r>
          </w:p>
        </w:tc>
        <w:tc>
          <w:tcPr>
            <w:tcW w:w="603" w:type="pct"/>
            <w:shd w:val="clear" w:color="auto" w:fill="FFFFFF"/>
            <w:tcMar>
              <w:top w:w="0" w:type="dxa"/>
              <w:left w:w="0" w:type="dxa"/>
              <w:bottom w:w="0" w:type="dxa"/>
              <w:right w:w="0" w:type="dxa"/>
            </w:tcMar>
            <w:vAlign w:val="center"/>
            <w:hideMark/>
          </w:tcPr>
          <w:p w14:paraId="08AF81F9" w14:textId="77777777" w:rsidR="001C19F3" w:rsidRDefault="001C19F3" w:rsidP="00521305">
            <w:pPr>
              <w:spacing w:before="40" w:after="40"/>
              <w:ind w:left="40" w:right="40"/>
              <w:jc w:val="center"/>
            </w:pPr>
            <w:r>
              <w:rPr>
                <w:rFonts w:cs="Century Gothic"/>
                <w:color w:val="000000"/>
                <w:sz w:val="18"/>
                <w:szCs w:val="18"/>
              </w:rPr>
              <w:t>713 (11.6%)</w:t>
            </w:r>
          </w:p>
        </w:tc>
        <w:tc>
          <w:tcPr>
            <w:tcW w:w="603" w:type="pct"/>
            <w:shd w:val="clear" w:color="auto" w:fill="FFFFFF"/>
            <w:tcMar>
              <w:top w:w="0" w:type="dxa"/>
              <w:left w:w="0" w:type="dxa"/>
              <w:bottom w:w="0" w:type="dxa"/>
              <w:right w:w="0" w:type="dxa"/>
            </w:tcMar>
            <w:vAlign w:val="center"/>
            <w:hideMark/>
          </w:tcPr>
          <w:p w14:paraId="5019E6DA" w14:textId="77777777" w:rsidR="001C19F3" w:rsidRDefault="001C19F3" w:rsidP="00521305">
            <w:pPr>
              <w:spacing w:before="40" w:after="40"/>
              <w:ind w:left="40" w:right="40"/>
              <w:jc w:val="center"/>
            </w:pPr>
            <w:r>
              <w:rPr>
                <w:rFonts w:cs="Century Gothic"/>
                <w:color w:val="000000"/>
                <w:sz w:val="18"/>
                <w:szCs w:val="18"/>
              </w:rPr>
              <w:t>1,397 (34.5%)</w:t>
            </w:r>
          </w:p>
        </w:tc>
        <w:tc>
          <w:tcPr>
            <w:tcW w:w="603" w:type="pct"/>
            <w:shd w:val="clear" w:color="auto" w:fill="FFFFFF"/>
            <w:tcMar>
              <w:top w:w="0" w:type="dxa"/>
              <w:left w:w="0" w:type="dxa"/>
              <w:bottom w:w="0" w:type="dxa"/>
              <w:right w:w="0" w:type="dxa"/>
            </w:tcMar>
            <w:vAlign w:val="center"/>
            <w:hideMark/>
          </w:tcPr>
          <w:p w14:paraId="0CBA1848"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3F3AE507"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3BF3184A" w14:textId="77777777" w:rsidR="001C19F3" w:rsidRDefault="001C19F3" w:rsidP="00521305">
            <w:pPr>
              <w:spacing w:before="40" w:after="40"/>
              <w:ind w:left="160" w:right="40"/>
            </w:pPr>
            <w:r>
              <w:rPr>
                <w:rFonts w:cs="Century Gothic"/>
                <w:color w:val="000000"/>
                <w:sz w:val="18"/>
                <w:szCs w:val="18"/>
              </w:rPr>
              <w:t>Diagnosis of Complex care needs in people under 55 years, such as mental health issues</w:t>
            </w:r>
          </w:p>
        </w:tc>
        <w:tc>
          <w:tcPr>
            <w:tcW w:w="603" w:type="pct"/>
            <w:shd w:val="clear" w:color="auto" w:fill="FFFFFF"/>
            <w:tcMar>
              <w:top w:w="0" w:type="dxa"/>
              <w:left w:w="0" w:type="dxa"/>
              <w:bottom w:w="0" w:type="dxa"/>
              <w:right w:w="0" w:type="dxa"/>
            </w:tcMar>
            <w:vAlign w:val="center"/>
            <w:hideMark/>
          </w:tcPr>
          <w:p w14:paraId="77F790F7" w14:textId="77777777" w:rsidR="001C19F3" w:rsidRDefault="001C19F3" w:rsidP="00521305">
            <w:pPr>
              <w:spacing w:before="40" w:after="40"/>
              <w:ind w:left="40" w:right="40"/>
              <w:jc w:val="center"/>
            </w:pPr>
            <w:r>
              <w:rPr>
                <w:rFonts w:cs="Century Gothic"/>
                <w:color w:val="000000"/>
                <w:sz w:val="18"/>
                <w:szCs w:val="18"/>
              </w:rPr>
              <w:t>2,001 (16.1%)</w:t>
            </w:r>
          </w:p>
        </w:tc>
        <w:tc>
          <w:tcPr>
            <w:tcW w:w="603" w:type="pct"/>
            <w:shd w:val="clear" w:color="auto" w:fill="FFFFFF"/>
            <w:tcMar>
              <w:top w:w="0" w:type="dxa"/>
              <w:left w:w="0" w:type="dxa"/>
              <w:bottom w:w="0" w:type="dxa"/>
              <w:right w:w="0" w:type="dxa"/>
            </w:tcMar>
            <w:vAlign w:val="center"/>
            <w:hideMark/>
          </w:tcPr>
          <w:p w14:paraId="6F815BDF" w14:textId="77777777" w:rsidR="001C19F3" w:rsidRDefault="001C19F3" w:rsidP="00521305">
            <w:pPr>
              <w:spacing w:before="40" w:after="40"/>
              <w:ind w:left="40" w:right="40"/>
              <w:jc w:val="center"/>
            </w:pPr>
            <w:r>
              <w:rPr>
                <w:rFonts w:cs="Century Gothic"/>
                <w:color w:val="000000"/>
                <w:sz w:val="18"/>
                <w:szCs w:val="18"/>
              </w:rPr>
              <w:t>135 (6.0%)</w:t>
            </w:r>
          </w:p>
        </w:tc>
        <w:tc>
          <w:tcPr>
            <w:tcW w:w="603" w:type="pct"/>
            <w:shd w:val="clear" w:color="auto" w:fill="FFFFFF"/>
            <w:tcMar>
              <w:top w:w="0" w:type="dxa"/>
              <w:left w:w="0" w:type="dxa"/>
              <w:bottom w:w="0" w:type="dxa"/>
              <w:right w:w="0" w:type="dxa"/>
            </w:tcMar>
            <w:vAlign w:val="center"/>
            <w:hideMark/>
          </w:tcPr>
          <w:p w14:paraId="50AE7BDD" w14:textId="77777777" w:rsidR="001C19F3" w:rsidRDefault="001C19F3" w:rsidP="00521305">
            <w:pPr>
              <w:spacing w:before="40" w:after="40"/>
              <w:ind w:left="40" w:right="40"/>
              <w:jc w:val="center"/>
            </w:pPr>
            <w:r>
              <w:rPr>
                <w:rFonts w:cs="Century Gothic"/>
                <w:color w:val="000000"/>
                <w:sz w:val="18"/>
                <w:szCs w:val="18"/>
              </w:rPr>
              <w:t>885 (14.4%)</w:t>
            </w:r>
          </w:p>
        </w:tc>
        <w:tc>
          <w:tcPr>
            <w:tcW w:w="603" w:type="pct"/>
            <w:shd w:val="clear" w:color="auto" w:fill="FFFFFF"/>
            <w:tcMar>
              <w:top w:w="0" w:type="dxa"/>
              <w:left w:w="0" w:type="dxa"/>
              <w:bottom w:w="0" w:type="dxa"/>
              <w:right w:w="0" w:type="dxa"/>
            </w:tcMar>
            <w:vAlign w:val="center"/>
            <w:hideMark/>
          </w:tcPr>
          <w:p w14:paraId="50D29EE2" w14:textId="77777777" w:rsidR="001C19F3" w:rsidRDefault="001C19F3" w:rsidP="00521305">
            <w:pPr>
              <w:spacing w:before="40" w:after="40"/>
              <w:ind w:left="40" w:right="40"/>
              <w:jc w:val="center"/>
            </w:pPr>
            <w:r>
              <w:rPr>
                <w:rFonts w:cs="Century Gothic"/>
                <w:color w:val="000000"/>
                <w:sz w:val="18"/>
                <w:szCs w:val="18"/>
              </w:rPr>
              <w:t>981 (24.2%)</w:t>
            </w:r>
          </w:p>
        </w:tc>
        <w:tc>
          <w:tcPr>
            <w:tcW w:w="603" w:type="pct"/>
            <w:shd w:val="clear" w:color="auto" w:fill="FFFFFF"/>
            <w:tcMar>
              <w:top w:w="0" w:type="dxa"/>
              <w:left w:w="0" w:type="dxa"/>
              <w:bottom w:w="0" w:type="dxa"/>
              <w:right w:w="0" w:type="dxa"/>
            </w:tcMar>
            <w:vAlign w:val="center"/>
            <w:hideMark/>
          </w:tcPr>
          <w:p w14:paraId="3B261686"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64697D0B"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517108EC" w14:textId="77777777" w:rsidR="001C19F3" w:rsidRDefault="001C19F3" w:rsidP="00521305">
            <w:pPr>
              <w:spacing w:before="40" w:after="40"/>
              <w:ind w:left="160" w:right="40"/>
            </w:pPr>
            <w:r>
              <w:rPr>
                <w:rFonts w:cs="Century Gothic"/>
                <w:color w:val="000000"/>
                <w:sz w:val="18"/>
                <w:szCs w:val="18"/>
              </w:rPr>
              <w:t>Co-morbid diagnosis of diabetes and/or renal failure and/or liver disease</w:t>
            </w:r>
          </w:p>
        </w:tc>
        <w:tc>
          <w:tcPr>
            <w:tcW w:w="603" w:type="pct"/>
            <w:shd w:val="clear" w:color="auto" w:fill="FFFFFF"/>
            <w:tcMar>
              <w:top w:w="0" w:type="dxa"/>
              <w:left w:w="0" w:type="dxa"/>
              <w:bottom w:w="0" w:type="dxa"/>
              <w:right w:w="0" w:type="dxa"/>
            </w:tcMar>
            <w:vAlign w:val="center"/>
            <w:hideMark/>
          </w:tcPr>
          <w:p w14:paraId="7870153B" w14:textId="77777777" w:rsidR="001C19F3" w:rsidRDefault="001C19F3" w:rsidP="00521305">
            <w:pPr>
              <w:spacing w:before="40" w:after="40"/>
              <w:ind w:left="40" w:right="40"/>
              <w:jc w:val="center"/>
            </w:pPr>
            <w:r>
              <w:rPr>
                <w:rFonts w:cs="Century Gothic"/>
                <w:color w:val="000000"/>
                <w:sz w:val="18"/>
                <w:szCs w:val="18"/>
              </w:rPr>
              <w:t>5,368 (43.1%)</w:t>
            </w:r>
          </w:p>
        </w:tc>
        <w:tc>
          <w:tcPr>
            <w:tcW w:w="603" w:type="pct"/>
            <w:shd w:val="clear" w:color="auto" w:fill="FFFFFF"/>
            <w:tcMar>
              <w:top w:w="0" w:type="dxa"/>
              <w:left w:w="0" w:type="dxa"/>
              <w:bottom w:w="0" w:type="dxa"/>
              <w:right w:w="0" w:type="dxa"/>
            </w:tcMar>
            <w:vAlign w:val="center"/>
            <w:hideMark/>
          </w:tcPr>
          <w:p w14:paraId="7EEB6DEB" w14:textId="77777777" w:rsidR="001C19F3" w:rsidRDefault="001C19F3" w:rsidP="00521305">
            <w:pPr>
              <w:spacing w:before="40" w:after="40"/>
              <w:ind w:left="40" w:right="40"/>
              <w:jc w:val="center"/>
            </w:pPr>
            <w:r>
              <w:rPr>
                <w:rFonts w:cs="Century Gothic"/>
                <w:color w:val="000000"/>
                <w:sz w:val="18"/>
                <w:szCs w:val="18"/>
              </w:rPr>
              <w:t>822 (36.3%)</w:t>
            </w:r>
          </w:p>
        </w:tc>
        <w:tc>
          <w:tcPr>
            <w:tcW w:w="603" w:type="pct"/>
            <w:shd w:val="clear" w:color="auto" w:fill="FFFFFF"/>
            <w:tcMar>
              <w:top w:w="0" w:type="dxa"/>
              <w:left w:w="0" w:type="dxa"/>
              <w:bottom w:w="0" w:type="dxa"/>
              <w:right w:w="0" w:type="dxa"/>
            </w:tcMar>
            <w:vAlign w:val="center"/>
            <w:hideMark/>
          </w:tcPr>
          <w:p w14:paraId="28E4C962" w14:textId="77777777" w:rsidR="001C19F3" w:rsidRDefault="001C19F3" w:rsidP="00521305">
            <w:pPr>
              <w:spacing w:before="40" w:after="40"/>
              <w:ind w:left="40" w:right="40"/>
              <w:jc w:val="center"/>
            </w:pPr>
            <w:r>
              <w:rPr>
                <w:rFonts w:cs="Century Gothic"/>
                <w:color w:val="000000"/>
                <w:sz w:val="18"/>
                <w:szCs w:val="18"/>
              </w:rPr>
              <w:t>2,570 (41.9%)</w:t>
            </w:r>
          </w:p>
        </w:tc>
        <w:tc>
          <w:tcPr>
            <w:tcW w:w="603" w:type="pct"/>
            <w:shd w:val="clear" w:color="auto" w:fill="FFFFFF"/>
            <w:tcMar>
              <w:top w:w="0" w:type="dxa"/>
              <w:left w:w="0" w:type="dxa"/>
              <w:bottom w:w="0" w:type="dxa"/>
              <w:right w:w="0" w:type="dxa"/>
            </w:tcMar>
            <w:vAlign w:val="center"/>
            <w:hideMark/>
          </w:tcPr>
          <w:p w14:paraId="6C0E7590" w14:textId="77777777" w:rsidR="001C19F3" w:rsidRDefault="001C19F3" w:rsidP="00521305">
            <w:pPr>
              <w:spacing w:before="40" w:after="40"/>
              <w:ind w:left="40" w:right="40"/>
              <w:jc w:val="center"/>
            </w:pPr>
            <w:r>
              <w:rPr>
                <w:rFonts w:cs="Century Gothic"/>
                <w:color w:val="000000"/>
                <w:sz w:val="18"/>
                <w:szCs w:val="18"/>
              </w:rPr>
              <w:t>1,976 (48.8%)</w:t>
            </w:r>
          </w:p>
        </w:tc>
        <w:tc>
          <w:tcPr>
            <w:tcW w:w="603" w:type="pct"/>
            <w:shd w:val="clear" w:color="auto" w:fill="FFFFFF"/>
            <w:tcMar>
              <w:top w:w="0" w:type="dxa"/>
              <w:left w:w="0" w:type="dxa"/>
              <w:bottom w:w="0" w:type="dxa"/>
              <w:right w:w="0" w:type="dxa"/>
            </w:tcMar>
            <w:vAlign w:val="center"/>
            <w:hideMark/>
          </w:tcPr>
          <w:p w14:paraId="01C101AA"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161BAC3B" w14:textId="77777777" w:rsidTr="00521305">
        <w:trPr>
          <w:cantSplit/>
          <w:trHeight w:val="20"/>
          <w:jc w:val="center"/>
        </w:trPr>
        <w:tc>
          <w:tcPr>
            <w:tcW w:w="5000" w:type="pct"/>
            <w:gridSpan w:val="6"/>
            <w:shd w:val="clear" w:color="auto" w:fill="FFFFFF"/>
            <w:tcMar>
              <w:top w:w="0" w:type="dxa"/>
              <w:left w:w="0" w:type="dxa"/>
              <w:bottom w:w="0" w:type="dxa"/>
              <w:right w:w="0" w:type="dxa"/>
            </w:tcMar>
            <w:vAlign w:val="center"/>
            <w:hideMark/>
          </w:tcPr>
          <w:p w14:paraId="3DEF083C" w14:textId="77777777" w:rsidR="001C19F3" w:rsidRDefault="001C19F3" w:rsidP="00521305">
            <w:pPr>
              <w:spacing w:before="40" w:after="40"/>
              <w:ind w:left="40" w:right="40"/>
            </w:pPr>
            <w:r>
              <w:rPr>
                <w:rFonts w:cs="Century Gothic"/>
                <w:b/>
                <w:color w:val="000000"/>
                <w:sz w:val="18"/>
                <w:szCs w:val="18"/>
              </w:rPr>
              <w:t>Z: Score (out of 5)</w:t>
            </w:r>
          </w:p>
        </w:tc>
      </w:tr>
      <w:tr w:rsidR="001C19F3" w14:paraId="35FE3FB2"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3EAB2362" w14:textId="77777777" w:rsidR="001C19F3" w:rsidRDefault="001C19F3" w:rsidP="00521305">
            <w:pPr>
              <w:spacing w:before="40" w:after="40"/>
              <w:ind w:left="160" w:right="40"/>
            </w:pPr>
            <w:r>
              <w:rPr>
                <w:rFonts w:cs="Century Gothic"/>
                <w:color w:val="000000"/>
                <w:sz w:val="18"/>
                <w:szCs w:val="18"/>
              </w:rPr>
              <w:t>Zero</w:t>
            </w:r>
          </w:p>
        </w:tc>
        <w:tc>
          <w:tcPr>
            <w:tcW w:w="603" w:type="pct"/>
            <w:shd w:val="clear" w:color="auto" w:fill="FFFFFF"/>
            <w:tcMar>
              <w:top w:w="0" w:type="dxa"/>
              <w:left w:w="0" w:type="dxa"/>
              <w:bottom w:w="0" w:type="dxa"/>
              <w:right w:w="0" w:type="dxa"/>
            </w:tcMar>
            <w:vAlign w:val="center"/>
            <w:hideMark/>
          </w:tcPr>
          <w:p w14:paraId="4679392C" w14:textId="77777777" w:rsidR="001C19F3" w:rsidRDefault="001C19F3" w:rsidP="00521305">
            <w:pPr>
              <w:spacing w:before="40" w:after="40"/>
              <w:ind w:left="40" w:right="40"/>
              <w:jc w:val="center"/>
            </w:pPr>
            <w:r>
              <w:rPr>
                <w:rFonts w:cs="Century Gothic"/>
                <w:color w:val="000000"/>
                <w:sz w:val="18"/>
                <w:szCs w:val="18"/>
              </w:rPr>
              <w:t>1,588 (12.8%)</w:t>
            </w:r>
          </w:p>
        </w:tc>
        <w:tc>
          <w:tcPr>
            <w:tcW w:w="603" w:type="pct"/>
            <w:shd w:val="clear" w:color="auto" w:fill="FFFFFF"/>
            <w:tcMar>
              <w:top w:w="0" w:type="dxa"/>
              <w:left w:w="0" w:type="dxa"/>
              <w:bottom w:w="0" w:type="dxa"/>
              <w:right w:w="0" w:type="dxa"/>
            </w:tcMar>
            <w:vAlign w:val="center"/>
            <w:hideMark/>
          </w:tcPr>
          <w:p w14:paraId="33932D45" w14:textId="77777777" w:rsidR="001C19F3" w:rsidRDefault="001C19F3" w:rsidP="00521305">
            <w:pPr>
              <w:spacing w:before="40" w:after="40"/>
              <w:ind w:left="40" w:right="40"/>
              <w:jc w:val="center"/>
            </w:pPr>
            <w:r>
              <w:rPr>
                <w:rFonts w:cs="Century Gothic"/>
                <w:color w:val="000000"/>
                <w:sz w:val="18"/>
                <w:szCs w:val="18"/>
              </w:rPr>
              <w:t>590 (26.1%)</w:t>
            </w:r>
          </w:p>
        </w:tc>
        <w:tc>
          <w:tcPr>
            <w:tcW w:w="603" w:type="pct"/>
            <w:shd w:val="clear" w:color="auto" w:fill="FFFFFF"/>
            <w:tcMar>
              <w:top w:w="0" w:type="dxa"/>
              <w:left w:w="0" w:type="dxa"/>
              <w:bottom w:w="0" w:type="dxa"/>
              <w:right w:w="0" w:type="dxa"/>
            </w:tcMar>
            <w:vAlign w:val="center"/>
            <w:hideMark/>
          </w:tcPr>
          <w:p w14:paraId="303C7334" w14:textId="77777777" w:rsidR="001C19F3" w:rsidRDefault="001C19F3" w:rsidP="00521305">
            <w:pPr>
              <w:spacing w:before="40" w:after="40"/>
              <w:ind w:left="40" w:right="40"/>
              <w:jc w:val="center"/>
            </w:pPr>
            <w:r>
              <w:rPr>
                <w:rFonts w:cs="Century Gothic"/>
                <w:color w:val="000000"/>
                <w:sz w:val="18"/>
                <w:szCs w:val="18"/>
              </w:rPr>
              <w:t>832 (13.6%)</w:t>
            </w:r>
          </w:p>
        </w:tc>
        <w:tc>
          <w:tcPr>
            <w:tcW w:w="603" w:type="pct"/>
            <w:shd w:val="clear" w:color="auto" w:fill="FFFFFF"/>
            <w:tcMar>
              <w:top w:w="0" w:type="dxa"/>
              <w:left w:w="0" w:type="dxa"/>
              <w:bottom w:w="0" w:type="dxa"/>
              <w:right w:w="0" w:type="dxa"/>
            </w:tcMar>
            <w:vAlign w:val="center"/>
            <w:hideMark/>
          </w:tcPr>
          <w:p w14:paraId="1A1C6224" w14:textId="77777777" w:rsidR="001C19F3" w:rsidRDefault="001C19F3" w:rsidP="00521305">
            <w:pPr>
              <w:spacing w:before="40" w:after="40"/>
              <w:ind w:left="40" w:right="40"/>
              <w:jc w:val="center"/>
            </w:pPr>
            <w:r>
              <w:rPr>
                <w:rFonts w:cs="Century Gothic"/>
                <w:color w:val="000000"/>
                <w:sz w:val="18"/>
                <w:szCs w:val="18"/>
              </w:rPr>
              <w:t>166 (4.1%)</w:t>
            </w:r>
          </w:p>
        </w:tc>
        <w:tc>
          <w:tcPr>
            <w:tcW w:w="603" w:type="pct"/>
            <w:vMerge w:val="restart"/>
            <w:shd w:val="clear" w:color="auto" w:fill="FFFFFF"/>
            <w:tcMar>
              <w:top w:w="0" w:type="dxa"/>
              <w:left w:w="0" w:type="dxa"/>
              <w:bottom w:w="0" w:type="dxa"/>
              <w:right w:w="0" w:type="dxa"/>
            </w:tcMar>
            <w:vAlign w:val="center"/>
            <w:hideMark/>
          </w:tcPr>
          <w:p w14:paraId="4DEDC729"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A45E1C6"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75DE544C" w14:textId="77777777" w:rsidR="001C19F3" w:rsidRDefault="001C19F3" w:rsidP="00521305">
            <w:pPr>
              <w:spacing w:before="40" w:after="40"/>
              <w:ind w:left="160" w:right="40"/>
            </w:pPr>
            <w:r>
              <w:rPr>
                <w:rFonts w:cs="Century Gothic"/>
                <w:color w:val="000000"/>
                <w:sz w:val="18"/>
                <w:szCs w:val="18"/>
              </w:rPr>
              <w:t>One</w:t>
            </w:r>
          </w:p>
        </w:tc>
        <w:tc>
          <w:tcPr>
            <w:tcW w:w="603" w:type="pct"/>
            <w:shd w:val="clear" w:color="auto" w:fill="FFFFFF"/>
            <w:tcMar>
              <w:top w:w="0" w:type="dxa"/>
              <w:left w:w="0" w:type="dxa"/>
              <w:bottom w:w="0" w:type="dxa"/>
              <w:right w:w="0" w:type="dxa"/>
            </w:tcMar>
            <w:vAlign w:val="center"/>
            <w:hideMark/>
          </w:tcPr>
          <w:p w14:paraId="6D54D022" w14:textId="77777777" w:rsidR="001C19F3" w:rsidRDefault="001C19F3" w:rsidP="00521305">
            <w:pPr>
              <w:spacing w:before="40" w:after="40"/>
              <w:ind w:left="40" w:right="40"/>
              <w:jc w:val="center"/>
            </w:pPr>
            <w:r>
              <w:rPr>
                <w:rFonts w:cs="Century Gothic"/>
                <w:color w:val="000000"/>
                <w:sz w:val="18"/>
                <w:szCs w:val="18"/>
              </w:rPr>
              <w:t>5,580 (44.8%)</w:t>
            </w:r>
          </w:p>
        </w:tc>
        <w:tc>
          <w:tcPr>
            <w:tcW w:w="603" w:type="pct"/>
            <w:shd w:val="clear" w:color="auto" w:fill="FFFFFF"/>
            <w:tcMar>
              <w:top w:w="0" w:type="dxa"/>
              <w:left w:w="0" w:type="dxa"/>
              <w:bottom w:w="0" w:type="dxa"/>
              <w:right w:w="0" w:type="dxa"/>
            </w:tcMar>
            <w:vAlign w:val="center"/>
            <w:hideMark/>
          </w:tcPr>
          <w:p w14:paraId="69C1912D" w14:textId="77777777" w:rsidR="001C19F3" w:rsidRDefault="001C19F3" w:rsidP="00521305">
            <w:pPr>
              <w:spacing w:before="40" w:after="40"/>
              <w:ind w:left="40" w:right="40"/>
              <w:jc w:val="center"/>
            </w:pPr>
            <w:r>
              <w:rPr>
                <w:rFonts w:cs="Century Gothic"/>
                <w:color w:val="000000"/>
                <w:sz w:val="18"/>
                <w:szCs w:val="18"/>
              </w:rPr>
              <w:t>1,189 (52.6%)</w:t>
            </w:r>
          </w:p>
        </w:tc>
        <w:tc>
          <w:tcPr>
            <w:tcW w:w="603" w:type="pct"/>
            <w:shd w:val="clear" w:color="auto" w:fill="FFFFFF"/>
            <w:tcMar>
              <w:top w:w="0" w:type="dxa"/>
              <w:left w:w="0" w:type="dxa"/>
              <w:bottom w:w="0" w:type="dxa"/>
              <w:right w:w="0" w:type="dxa"/>
            </w:tcMar>
            <w:vAlign w:val="center"/>
            <w:hideMark/>
          </w:tcPr>
          <w:p w14:paraId="41EB49AF" w14:textId="77777777" w:rsidR="001C19F3" w:rsidRDefault="001C19F3" w:rsidP="00521305">
            <w:pPr>
              <w:spacing w:before="40" w:after="40"/>
              <w:ind w:left="40" w:right="40"/>
              <w:jc w:val="center"/>
            </w:pPr>
            <w:r>
              <w:rPr>
                <w:rFonts w:cs="Century Gothic"/>
                <w:color w:val="000000"/>
                <w:sz w:val="18"/>
                <w:szCs w:val="18"/>
              </w:rPr>
              <w:t>3,017 (49.2%)</w:t>
            </w:r>
          </w:p>
        </w:tc>
        <w:tc>
          <w:tcPr>
            <w:tcW w:w="603" w:type="pct"/>
            <w:shd w:val="clear" w:color="auto" w:fill="FFFFFF"/>
            <w:tcMar>
              <w:top w:w="0" w:type="dxa"/>
              <w:left w:w="0" w:type="dxa"/>
              <w:bottom w:w="0" w:type="dxa"/>
              <w:right w:w="0" w:type="dxa"/>
            </w:tcMar>
            <w:vAlign w:val="center"/>
            <w:hideMark/>
          </w:tcPr>
          <w:p w14:paraId="7A768C59" w14:textId="77777777" w:rsidR="001C19F3" w:rsidRDefault="001C19F3" w:rsidP="00521305">
            <w:pPr>
              <w:spacing w:before="40" w:after="40"/>
              <w:ind w:left="40" w:right="40"/>
              <w:jc w:val="center"/>
            </w:pPr>
            <w:r>
              <w:rPr>
                <w:rFonts w:cs="Century Gothic"/>
                <w:color w:val="000000"/>
                <w:sz w:val="18"/>
                <w:szCs w:val="18"/>
              </w:rPr>
              <w:t>1,374 (33.9%)</w:t>
            </w:r>
          </w:p>
        </w:tc>
        <w:tc>
          <w:tcPr>
            <w:tcW w:w="603" w:type="pct"/>
            <w:vMerge/>
            <w:vAlign w:val="center"/>
            <w:hideMark/>
          </w:tcPr>
          <w:p w14:paraId="30F32101" w14:textId="77777777" w:rsidR="001C19F3" w:rsidRDefault="001C19F3" w:rsidP="00521305">
            <w:pPr>
              <w:spacing w:after="0"/>
              <w:rPr>
                <w:sz w:val="22"/>
              </w:rPr>
            </w:pPr>
          </w:p>
        </w:tc>
      </w:tr>
      <w:tr w:rsidR="001C19F3" w14:paraId="1867C4D2"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65F374E5" w14:textId="77777777" w:rsidR="001C19F3" w:rsidRDefault="001C19F3" w:rsidP="00521305">
            <w:pPr>
              <w:spacing w:before="40" w:after="40"/>
              <w:ind w:left="160" w:right="40"/>
            </w:pPr>
            <w:r>
              <w:rPr>
                <w:rFonts w:cs="Century Gothic"/>
                <w:color w:val="000000"/>
                <w:sz w:val="18"/>
                <w:szCs w:val="18"/>
              </w:rPr>
              <w:t>Two</w:t>
            </w:r>
          </w:p>
        </w:tc>
        <w:tc>
          <w:tcPr>
            <w:tcW w:w="603" w:type="pct"/>
            <w:shd w:val="clear" w:color="auto" w:fill="FFFFFF"/>
            <w:tcMar>
              <w:top w:w="0" w:type="dxa"/>
              <w:left w:w="0" w:type="dxa"/>
              <w:bottom w:w="0" w:type="dxa"/>
              <w:right w:w="0" w:type="dxa"/>
            </w:tcMar>
            <w:vAlign w:val="center"/>
            <w:hideMark/>
          </w:tcPr>
          <w:p w14:paraId="47D85AB8" w14:textId="77777777" w:rsidR="001C19F3" w:rsidRDefault="001C19F3" w:rsidP="00521305">
            <w:pPr>
              <w:spacing w:before="40" w:after="40"/>
              <w:ind w:left="40" w:right="40"/>
              <w:jc w:val="center"/>
            </w:pPr>
            <w:r>
              <w:rPr>
                <w:rFonts w:cs="Century Gothic"/>
                <w:color w:val="000000"/>
                <w:sz w:val="18"/>
                <w:szCs w:val="18"/>
              </w:rPr>
              <w:t>3,766 (30.3%)</w:t>
            </w:r>
          </w:p>
        </w:tc>
        <w:tc>
          <w:tcPr>
            <w:tcW w:w="603" w:type="pct"/>
            <w:shd w:val="clear" w:color="auto" w:fill="FFFFFF"/>
            <w:tcMar>
              <w:top w:w="0" w:type="dxa"/>
              <w:left w:w="0" w:type="dxa"/>
              <w:bottom w:w="0" w:type="dxa"/>
              <w:right w:w="0" w:type="dxa"/>
            </w:tcMar>
            <w:vAlign w:val="center"/>
            <w:hideMark/>
          </w:tcPr>
          <w:p w14:paraId="521D2367" w14:textId="77777777" w:rsidR="001C19F3" w:rsidRDefault="001C19F3" w:rsidP="00521305">
            <w:pPr>
              <w:spacing w:before="40" w:after="40"/>
              <w:ind w:left="40" w:right="40"/>
              <w:jc w:val="center"/>
            </w:pPr>
            <w:r>
              <w:rPr>
                <w:rFonts w:cs="Century Gothic"/>
                <w:color w:val="000000"/>
                <w:sz w:val="18"/>
                <w:szCs w:val="18"/>
              </w:rPr>
              <w:t>419 (18.5%)</w:t>
            </w:r>
          </w:p>
        </w:tc>
        <w:tc>
          <w:tcPr>
            <w:tcW w:w="603" w:type="pct"/>
            <w:shd w:val="clear" w:color="auto" w:fill="FFFFFF"/>
            <w:tcMar>
              <w:top w:w="0" w:type="dxa"/>
              <w:left w:w="0" w:type="dxa"/>
              <w:bottom w:w="0" w:type="dxa"/>
              <w:right w:w="0" w:type="dxa"/>
            </w:tcMar>
            <w:vAlign w:val="center"/>
            <w:hideMark/>
          </w:tcPr>
          <w:p w14:paraId="42E40919" w14:textId="77777777" w:rsidR="001C19F3" w:rsidRDefault="001C19F3" w:rsidP="00521305">
            <w:pPr>
              <w:spacing w:before="40" w:after="40"/>
              <w:ind w:left="40" w:right="40"/>
              <w:jc w:val="center"/>
            </w:pPr>
            <w:r>
              <w:rPr>
                <w:rFonts w:cs="Century Gothic"/>
                <w:color w:val="000000"/>
                <w:sz w:val="18"/>
                <w:szCs w:val="18"/>
              </w:rPr>
              <w:t>1,839 (30.0%)</w:t>
            </w:r>
          </w:p>
        </w:tc>
        <w:tc>
          <w:tcPr>
            <w:tcW w:w="603" w:type="pct"/>
            <w:shd w:val="clear" w:color="auto" w:fill="FFFFFF"/>
            <w:tcMar>
              <w:top w:w="0" w:type="dxa"/>
              <w:left w:w="0" w:type="dxa"/>
              <w:bottom w:w="0" w:type="dxa"/>
              <w:right w:w="0" w:type="dxa"/>
            </w:tcMar>
            <w:vAlign w:val="center"/>
            <w:hideMark/>
          </w:tcPr>
          <w:p w14:paraId="413DE663" w14:textId="77777777" w:rsidR="001C19F3" w:rsidRDefault="001C19F3" w:rsidP="00521305">
            <w:pPr>
              <w:spacing w:before="40" w:after="40"/>
              <w:ind w:left="40" w:right="40"/>
              <w:jc w:val="center"/>
            </w:pPr>
            <w:r>
              <w:rPr>
                <w:rFonts w:cs="Century Gothic"/>
                <w:color w:val="000000"/>
                <w:sz w:val="18"/>
                <w:szCs w:val="18"/>
              </w:rPr>
              <w:t>1,508 (37.2%)</w:t>
            </w:r>
          </w:p>
        </w:tc>
        <w:tc>
          <w:tcPr>
            <w:tcW w:w="603" w:type="pct"/>
            <w:vMerge/>
            <w:vAlign w:val="center"/>
            <w:hideMark/>
          </w:tcPr>
          <w:p w14:paraId="7EBC49CA" w14:textId="77777777" w:rsidR="001C19F3" w:rsidRDefault="001C19F3" w:rsidP="00521305">
            <w:pPr>
              <w:spacing w:after="0"/>
              <w:rPr>
                <w:sz w:val="22"/>
              </w:rPr>
            </w:pPr>
          </w:p>
        </w:tc>
      </w:tr>
      <w:tr w:rsidR="001C19F3" w14:paraId="156A92F2"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5FF65845" w14:textId="77777777" w:rsidR="001C19F3" w:rsidRDefault="001C19F3" w:rsidP="00521305">
            <w:pPr>
              <w:spacing w:before="40" w:after="40"/>
              <w:ind w:left="160" w:right="40"/>
            </w:pPr>
            <w:r>
              <w:rPr>
                <w:rFonts w:cs="Century Gothic"/>
                <w:color w:val="000000"/>
                <w:sz w:val="18"/>
                <w:szCs w:val="18"/>
              </w:rPr>
              <w:t>Three</w:t>
            </w:r>
          </w:p>
        </w:tc>
        <w:tc>
          <w:tcPr>
            <w:tcW w:w="603" w:type="pct"/>
            <w:shd w:val="clear" w:color="auto" w:fill="FFFFFF"/>
            <w:tcMar>
              <w:top w:w="0" w:type="dxa"/>
              <w:left w:w="0" w:type="dxa"/>
              <w:bottom w:w="0" w:type="dxa"/>
              <w:right w:w="0" w:type="dxa"/>
            </w:tcMar>
            <w:vAlign w:val="center"/>
            <w:hideMark/>
          </w:tcPr>
          <w:p w14:paraId="08A540D0" w14:textId="77777777" w:rsidR="001C19F3" w:rsidRDefault="001C19F3" w:rsidP="00521305">
            <w:pPr>
              <w:spacing w:before="40" w:after="40"/>
              <w:ind w:left="40" w:right="40"/>
              <w:jc w:val="center"/>
            </w:pPr>
            <w:r>
              <w:rPr>
                <w:rFonts w:cs="Century Gothic"/>
                <w:color w:val="000000"/>
                <w:sz w:val="18"/>
                <w:szCs w:val="18"/>
              </w:rPr>
              <w:t>1,263 (10.1%)</w:t>
            </w:r>
          </w:p>
        </w:tc>
        <w:tc>
          <w:tcPr>
            <w:tcW w:w="603" w:type="pct"/>
            <w:shd w:val="clear" w:color="auto" w:fill="FFFFFF"/>
            <w:tcMar>
              <w:top w:w="0" w:type="dxa"/>
              <w:left w:w="0" w:type="dxa"/>
              <w:bottom w:w="0" w:type="dxa"/>
              <w:right w:w="0" w:type="dxa"/>
            </w:tcMar>
            <w:vAlign w:val="center"/>
            <w:hideMark/>
          </w:tcPr>
          <w:p w14:paraId="46B414B3" w14:textId="77777777" w:rsidR="001C19F3" w:rsidRDefault="001C19F3" w:rsidP="00521305">
            <w:pPr>
              <w:spacing w:before="40" w:after="40"/>
              <w:ind w:left="40" w:right="40"/>
              <w:jc w:val="center"/>
            </w:pPr>
            <w:r>
              <w:rPr>
                <w:rFonts w:cs="Century Gothic"/>
                <w:color w:val="000000"/>
                <w:sz w:val="18"/>
                <w:szCs w:val="18"/>
              </w:rPr>
              <w:t>63 (2.8%)</w:t>
            </w:r>
          </w:p>
        </w:tc>
        <w:tc>
          <w:tcPr>
            <w:tcW w:w="603" w:type="pct"/>
            <w:shd w:val="clear" w:color="auto" w:fill="FFFFFF"/>
            <w:tcMar>
              <w:top w:w="0" w:type="dxa"/>
              <w:left w:w="0" w:type="dxa"/>
              <w:bottom w:w="0" w:type="dxa"/>
              <w:right w:w="0" w:type="dxa"/>
            </w:tcMar>
            <w:vAlign w:val="center"/>
            <w:hideMark/>
          </w:tcPr>
          <w:p w14:paraId="058AE628" w14:textId="77777777" w:rsidR="001C19F3" w:rsidRDefault="001C19F3" w:rsidP="00521305">
            <w:pPr>
              <w:spacing w:before="40" w:after="40"/>
              <w:ind w:left="40" w:right="40"/>
              <w:jc w:val="center"/>
            </w:pPr>
            <w:r>
              <w:rPr>
                <w:rFonts w:cs="Century Gothic"/>
                <w:color w:val="000000"/>
                <w:sz w:val="18"/>
                <w:szCs w:val="18"/>
              </w:rPr>
              <w:t>403 (6.6%)</w:t>
            </w:r>
          </w:p>
        </w:tc>
        <w:tc>
          <w:tcPr>
            <w:tcW w:w="603" w:type="pct"/>
            <w:shd w:val="clear" w:color="auto" w:fill="FFFFFF"/>
            <w:tcMar>
              <w:top w:w="0" w:type="dxa"/>
              <w:left w:w="0" w:type="dxa"/>
              <w:bottom w:w="0" w:type="dxa"/>
              <w:right w:w="0" w:type="dxa"/>
            </w:tcMar>
            <w:vAlign w:val="center"/>
            <w:hideMark/>
          </w:tcPr>
          <w:p w14:paraId="3CAC38D0" w14:textId="77777777" w:rsidR="001C19F3" w:rsidRDefault="001C19F3" w:rsidP="00521305">
            <w:pPr>
              <w:spacing w:before="40" w:after="40"/>
              <w:ind w:left="40" w:right="40"/>
              <w:jc w:val="center"/>
            </w:pPr>
            <w:r>
              <w:rPr>
                <w:rFonts w:cs="Century Gothic"/>
                <w:color w:val="000000"/>
                <w:sz w:val="18"/>
                <w:szCs w:val="18"/>
              </w:rPr>
              <w:t>797 (19.7%)</w:t>
            </w:r>
          </w:p>
        </w:tc>
        <w:tc>
          <w:tcPr>
            <w:tcW w:w="603" w:type="pct"/>
            <w:vMerge/>
            <w:vAlign w:val="center"/>
            <w:hideMark/>
          </w:tcPr>
          <w:p w14:paraId="360C6AD1" w14:textId="77777777" w:rsidR="001C19F3" w:rsidRDefault="001C19F3" w:rsidP="00521305">
            <w:pPr>
              <w:spacing w:after="0"/>
              <w:rPr>
                <w:sz w:val="22"/>
              </w:rPr>
            </w:pPr>
          </w:p>
        </w:tc>
      </w:tr>
      <w:tr w:rsidR="001C19F3" w14:paraId="55641803"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3493F82D" w14:textId="77777777" w:rsidR="001C19F3" w:rsidRDefault="001C19F3" w:rsidP="00521305">
            <w:pPr>
              <w:spacing w:before="40" w:after="40"/>
              <w:ind w:left="160" w:right="40"/>
            </w:pPr>
            <w:r>
              <w:rPr>
                <w:rFonts w:cs="Century Gothic"/>
                <w:color w:val="000000"/>
                <w:sz w:val="18"/>
                <w:szCs w:val="18"/>
              </w:rPr>
              <w:t>Four</w:t>
            </w:r>
          </w:p>
        </w:tc>
        <w:tc>
          <w:tcPr>
            <w:tcW w:w="603" w:type="pct"/>
            <w:shd w:val="clear" w:color="auto" w:fill="FFFFFF"/>
            <w:tcMar>
              <w:top w:w="0" w:type="dxa"/>
              <w:left w:w="0" w:type="dxa"/>
              <w:bottom w:w="0" w:type="dxa"/>
              <w:right w:w="0" w:type="dxa"/>
            </w:tcMar>
            <w:vAlign w:val="center"/>
            <w:hideMark/>
          </w:tcPr>
          <w:p w14:paraId="2BA49AE9" w14:textId="77777777" w:rsidR="001C19F3" w:rsidRDefault="001C19F3" w:rsidP="00521305">
            <w:pPr>
              <w:spacing w:before="40" w:after="40"/>
              <w:ind w:left="40" w:right="40"/>
              <w:jc w:val="center"/>
            </w:pPr>
            <w:r>
              <w:rPr>
                <w:rFonts w:cs="Century Gothic"/>
                <w:color w:val="000000"/>
                <w:sz w:val="18"/>
                <w:szCs w:val="18"/>
              </w:rPr>
              <w:t>241 (1.9%)</w:t>
            </w:r>
          </w:p>
        </w:tc>
        <w:tc>
          <w:tcPr>
            <w:tcW w:w="603" w:type="pct"/>
            <w:shd w:val="clear" w:color="auto" w:fill="FFFFFF"/>
            <w:tcMar>
              <w:top w:w="0" w:type="dxa"/>
              <w:left w:w="0" w:type="dxa"/>
              <w:bottom w:w="0" w:type="dxa"/>
              <w:right w:w="0" w:type="dxa"/>
            </w:tcMar>
            <w:vAlign w:val="center"/>
            <w:hideMark/>
          </w:tcPr>
          <w:p w14:paraId="64D797D6" w14:textId="77777777" w:rsidR="001C19F3" w:rsidRDefault="001C19F3" w:rsidP="00521305">
            <w:pPr>
              <w:spacing w:before="40" w:after="40"/>
              <w:ind w:left="40" w:right="40"/>
              <w:jc w:val="center"/>
            </w:pPr>
            <w:r>
              <w:rPr>
                <w:rFonts w:cs="Century Gothic"/>
                <w:color w:val="000000"/>
                <w:sz w:val="18"/>
                <w:szCs w:val="18"/>
              </w:rPr>
              <w:t>1 (0.0%)</w:t>
            </w:r>
          </w:p>
        </w:tc>
        <w:tc>
          <w:tcPr>
            <w:tcW w:w="603" w:type="pct"/>
            <w:shd w:val="clear" w:color="auto" w:fill="FFFFFF"/>
            <w:tcMar>
              <w:top w:w="0" w:type="dxa"/>
              <w:left w:w="0" w:type="dxa"/>
              <w:bottom w:w="0" w:type="dxa"/>
              <w:right w:w="0" w:type="dxa"/>
            </w:tcMar>
            <w:vAlign w:val="center"/>
            <w:hideMark/>
          </w:tcPr>
          <w:p w14:paraId="3DE8D99D" w14:textId="77777777" w:rsidR="001C19F3" w:rsidRDefault="001C19F3" w:rsidP="00521305">
            <w:pPr>
              <w:spacing w:before="40" w:after="40"/>
              <w:ind w:left="40" w:right="40"/>
              <w:jc w:val="center"/>
            </w:pPr>
            <w:r>
              <w:rPr>
                <w:rFonts w:cs="Century Gothic"/>
                <w:color w:val="000000"/>
                <w:sz w:val="18"/>
                <w:szCs w:val="18"/>
              </w:rPr>
              <w:t>41 (0.7%)</w:t>
            </w:r>
          </w:p>
        </w:tc>
        <w:tc>
          <w:tcPr>
            <w:tcW w:w="603" w:type="pct"/>
            <w:shd w:val="clear" w:color="auto" w:fill="FFFFFF"/>
            <w:tcMar>
              <w:top w:w="0" w:type="dxa"/>
              <w:left w:w="0" w:type="dxa"/>
              <w:bottom w:w="0" w:type="dxa"/>
              <w:right w:w="0" w:type="dxa"/>
            </w:tcMar>
            <w:vAlign w:val="center"/>
            <w:hideMark/>
          </w:tcPr>
          <w:p w14:paraId="28F132F4" w14:textId="77777777" w:rsidR="001C19F3" w:rsidRDefault="001C19F3" w:rsidP="00521305">
            <w:pPr>
              <w:spacing w:before="40" w:after="40"/>
              <w:ind w:left="40" w:right="40"/>
              <w:jc w:val="center"/>
            </w:pPr>
            <w:r>
              <w:rPr>
                <w:rFonts w:cs="Century Gothic"/>
                <w:color w:val="000000"/>
                <w:sz w:val="18"/>
                <w:szCs w:val="18"/>
              </w:rPr>
              <w:t>199 (4.9%)</w:t>
            </w:r>
          </w:p>
        </w:tc>
        <w:tc>
          <w:tcPr>
            <w:tcW w:w="603" w:type="pct"/>
            <w:vMerge/>
            <w:vAlign w:val="center"/>
            <w:hideMark/>
          </w:tcPr>
          <w:p w14:paraId="483C8917" w14:textId="77777777" w:rsidR="001C19F3" w:rsidRDefault="001C19F3" w:rsidP="00521305">
            <w:pPr>
              <w:spacing w:after="0"/>
              <w:rPr>
                <w:sz w:val="22"/>
              </w:rPr>
            </w:pPr>
          </w:p>
        </w:tc>
      </w:tr>
      <w:tr w:rsidR="001C19F3" w14:paraId="06067C83" w14:textId="77777777" w:rsidTr="00521305">
        <w:trPr>
          <w:cantSplit/>
          <w:trHeight w:val="20"/>
          <w:jc w:val="center"/>
        </w:trPr>
        <w:tc>
          <w:tcPr>
            <w:tcW w:w="1986" w:type="pct"/>
            <w:shd w:val="clear" w:color="auto" w:fill="FFFFFF"/>
            <w:tcMar>
              <w:top w:w="0" w:type="dxa"/>
              <w:left w:w="0" w:type="dxa"/>
              <w:bottom w:w="0" w:type="dxa"/>
              <w:right w:w="0" w:type="dxa"/>
            </w:tcMar>
            <w:vAlign w:val="center"/>
            <w:hideMark/>
          </w:tcPr>
          <w:p w14:paraId="7BFA1110" w14:textId="77777777" w:rsidR="001C19F3" w:rsidRDefault="001C19F3" w:rsidP="00521305">
            <w:pPr>
              <w:spacing w:before="40" w:after="40"/>
              <w:ind w:left="160" w:right="40"/>
            </w:pPr>
            <w:r>
              <w:rPr>
                <w:rFonts w:cs="Century Gothic"/>
                <w:color w:val="000000"/>
                <w:sz w:val="18"/>
                <w:szCs w:val="18"/>
              </w:rPr>
              <w:t>Five</w:t>
            </w:r>
          </w:p>
        </w:tc>
        <w:tc>
          <w:tcPr>
            <w:tcW w:w="603" w:type="pct"/>
            <w:shd w:val="clear" w:color="auto" w:fill="FFFFFF"/>
            <w:tcMar>
              <w:top w:w="0" w:type="dxa"/>
              <w:left w:w="0" w:type="dxa"/>
              <w:bottom w:w="0" w:type="dxa"/>
              <w:right w:w="0" w:type="dxa"/>
            </w:tcMar>
            <w:vAlign w:val="center"/>
            <w:hideMark/>
          </w:tcPr>
          <w:p w14:paraId="436D9B2F" w14:textId="77777777" w:rsidR="001C19F3" w:rsidRDefault="001C19F3" w:rsidP="00521305">
            <w:pPr>
              <w:spacing w:before="40" w:after="40"/>
              <w:ind w:left="40" w:right="40"/>
              <w:jc w:val="center"/>
            </w:pPr>
            <w:r>
              <w:rPr>
                <w:rFonts w:cs="Century Gothic"/>
                <w:color w:val="000000"/>
                <w:sz w:val="18"/>
                <w:szCs w:val="18"/>
              </w:rPr>
              <w:t>10 (0.1%)</w:t>
            </w:r>
          </w:p>
        </w:tc>
        <w:tc>
          <w:tcPr>
            <w:tcW w:w="603" w:type="pct"/>
            <w:shd w:val="clear" w:color="auto" w:fill="FFFFFF"/>
            <w:tcMar>
              <w:top w:w="0" w:type="dxa"/>
              <w:left w:w="0" w:type="dxa"/>
              <w:bottom w:w="0" w:type="dxa"/>
              <w:right w:w="0" w:type="dxa"/>
            </w:tcMar>
            <w:vAlign w:val="center"/>
          </w:tcPr>
          <w:p w14:paraId="5EE72407" w14:textId="77777777" w:rsidR="001C19F3" w:rsidRDefault="001C19F3" w:rsidP="00521305">
            <w:pPr>
              <w:spacing w:before="40" w:after="40"/>
              <w:ind w:left="40" w:right="40"/>
              <w:jc w:val="center"/>
            </w:pPr>
          </w:p>
        </w:tc>
        <w:tc>
          <w:tcPr>
            <w:tcW w:w="603" w:type="pct"/>
            <w:shd w:val="clear" w:color="auto" w:fill="FFFFFF"/>
            <w:tcMar>
              <w:top w:w="0" w:type="dxa"/>
              <w:left w:w="0" w:type="dxa"/>
              <w:bottom w:w="0" w:type="dxa"/>
              <w:right w:w="0" w:type="dxa"/>
            </w:tcMar>
            <w:vAlign w:val="center"/>
            <w:hideMark/>
          </w:tcPr>
          <w:p w14:paraId="645E0518" w14:textId="77777777" w:rsidR="001C19F3" w:rsidRDefault="001C19F3" w:rsidP="00521305">
            <w:pPr>
              <w:spacing w:before="40" w:after="40"/>
              <w:ind w:left="40" w:right="40"/>
              <w:jc w:val="center"/>
            </w:pPr>
            <w:r>
              <w:rPr>
                <w:rFonts w:cs="Century Gothic"/>
                <w:color w:val="000000"/>
                <w:sz w:val="18"/>
                <w:szCs w:val="18"/>
              </w:rPr>
              <w:t>2 (0.0%)</w:t>
            </w:r>
          </w:p>
        </w:tc>
        <w:tc>
          <w:tcPr>
            <w:tcW w:w="603" w:type="pct"/>
            <w:shd w:val="clear" w:color="auto" w:fill="FFFFFF"/>
            <w:tcMar>
              <w:top w:w="0" w:type="dxa"/>
              <w:left w:w="0" w:type="dxa"/>
              <w:bottom w:w="0" w:type="dxa"/>
              <w:right w:w="0" w:type="dxa"/>
            </w:tcMar>
            <w:vAlign w:val="center"/>
            <w:hideMark/>
          </w:tcPr>
          <w:p w14:paraId="05F660C9" w14:textId="77777777" w:rsidR="001C19F3" w:rsidRDefault="001C19F3" w:rsidP="00521305">
            <w:pPr>
              <w:spacing w:before="40" w:after="40"/>
              <w:ind w:left="40" w:right="40"/>
              <w:jc w:val="center"/>
            </w:pPr>
            <w:r>
              <w:rPr>
                <w:rFonts w:cs="Century Gothic"/>
                <w:color w:val="000000"/>
                <w:sz w:val="18"/>
                <w:szCs w:val="18"/>
              </w:rPr>
              <w:t>8 (0.2%)</w:t>
            </w:r>
          </w:p>
        </w:tc>
        <w:tc>
          <w:tcPr>
            <w:tcW w:w="603" w:type="pct"/>
            <w:vMerge/>
            <w:vAlign w:val="center"/>
            <w:hideMark/>
          </w:tcPr>
          <w:p w14:paraId="57EBA42F" w14:textId="77777777" w:rsidR="001C19F3" w:rsidRDefault="001C19F3" w:rsidP="00521305">
            <w:pPr>
              <w:spacing w:after="0"/>
              <w:rPr>
                <w:sz w:val="22"/>
              </w:rPr>
            </w:pPr>
          </w:p>
        </w:tc>
      </w:tr>
    </w:tbl>
    <w:p w14:paraId="41E37479" w14:textId="77777777" w:rsidR="001C19F3" w:rsidRDefault="001C19F3" w:rsidP="001C19F3">
      <w:pPr>
        <w:pStyle w:val="Chartortablefootnote"/>
      </w:pPr>
      <w:r>
        <w:t>Source: Risk stratification data provided by Precedence Health Care, to June 2019.</w:t>
      </w:r>
    </w:p>
    <w:p w14:paraId="4DF8195A" w14:textId="77777777" w:rsidR="001C19F3" w:rsidRDefault="001C19F3" w:rsidP="001C19F3">
      <w:pPr>
        <w:pStyle w:val="Caption1"/>
      </w:pPr>
      <w:r>
        <w:br w:type="page"/>
      </w:r>
      <w:bookmarkStart w:id="612" w:name="_Ref22830059"/>
      <w:r>
        <w:lastRenderedPageBreak/>
        <w:t xml:space="preserve">Table </w:t>
      </w:r>
      <w:r>
        <w:fldChar w:fldCharType="begin"/>
      </w:r>
      <w:r>
        <w:instrText>SEQ Table \* ARABIC</w:instrText>
      </w:r>
      <w:r>
        <w:fldChar w:fldCharType="separate"/>
      </w:r>
      <w:r>
        <w:rPr>
          <w:noProof/>
        </w:rPr>
        <w:t>82</w:t>
      </w:r>
      <w:r>
        <w:fldChar w:fldCharType="end"/>
      </w:r>
      <w:bookmarkEnd w:id="612"/>
      <w:r>
        <w:t xml:space="preserve"> – HARP: Service access profile</w:t>
      </w:r>
      <w:r w:rsidRPr="00C84D56">
        <w:t xml:space="preserve"> </w:t>
      </w:r>
      <w:r>
        <w:t>items, by tier, and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228"/>
        <w:gridCol w:w="1742"/>
        <w:gridCol w:w="1742"/>
        <w:gridCol w:w="1742"/>
        <w:gridCol w:w="1742"/>
        <w:gridCol w:w="1742"/>
      </w:tblGrid>
      <w:tr w:rsidR="001C19F3" w14:paraId="2BD6A5C1" w14:textId="77777777" w:rsidTr="00521305">
        <w:trPr>
          <w:cantSplit/>
          <w:trHeight w:val="298"/>
          <w:tblHeader/>
          <w:jc w:val="center"/>
        </w:trPr>
        <w:tc>
          <w:tcPr>
            <w:tcW w:w="1875" w:type="pct"/>
            <w:shd w:val="clear" w:color="auto" w:fill="003D79"/>
            <w:vAlign w:val="center"/>
            <w:hideMark/>
          </w:tcPr>
          <w:p w14:paraId="41F171E7" w14:textId="77777777" w:rsidR="001C19F3" w:rsidRDefault="001C19F3" w:rsidP="00521305">
            <w:pPr>
              <w:spacing w:after="0"/>
              <w:jc w:val="center"/>
              <w:rPr>
                <w:sz w:val="22"/>
              </w:rPr>
            </w:pPr>
            <w:r w:rsidRPr="00123D9A">
              <w:rPr>
                <w:rFonts w:cs="Century Gothic"/>
                <w:b/>
                <w:color w:val="FFFFFF"/>
                <w:sz w:val="18"/>
                <w:szCs w:val="18"/>
              </w:rPr>
              <w:t>Service access profile and score</w:t>
            </w:r>
          </w:p>
        </w:tc>
        <w:tc>
          <w:tcPr>
            <w:tcW w:w="625" w:type="pct"/>
            <w:shd w:val="clear" w:color="auto" w:fill="003D79"/>
            <w:vAlign w:val="center"/>
            <w:hideMark/>
          </w:tcPr>
          <w:p w14:paraId="66AB8D72" w14:textId="77777777" w:rsidR="001C19F3" w:rsidRDefault="001C19F3" w:rsidP="00521305">
            <w:pPr>
              <w:spacing w:after="0"/>
              <w:jc w:val="center"/>
              <w:rPr>
                <w:sz w:val="22"/>
              </w:rPr>
            </w:pPr>
            <w:r w:rsidRPr="00123D9A">
              <w:rPr>
                <w:rFonts w:cs="Century Gothic"/>
                <w:b/>
                <w:color w:val="FFFFFF"/>
                <w:sz w:val="18"/>
                <w:szCs w:val="18"/>
              </w:rPr>
              <w:t>Total</w:t>
            </w:r>
          </w:p>
        </w:tc>
        <w:tc>
          <w:tcPr>
            <w:tcW w:w="625" w:type="pct"/>
            <w:shd w:val="clear" w:color="auto" w:fill="003D79"/>
            <w:tcMar>
              <w:top w:w="0" w:type="dxa"/>
              <w:left w:w="0" w:type="dxa"/>
              <w:bottom w:w="0" w:type="dxa"/>
              <w:right w:w="0" w:type="dxa"/>
            </w:tcMar>
            <w:vAlign w:val="center"/>
            <w:hideMark/>
          </w:tcPr>
          <w:p w14:paraId="5E5E4925" w14:textId="77777777" w:rsidR="001C19F3" w:rsidRDefault="001C19F3" w:rsidP="00521305">
            <w:pPr>
              <w:spacing w:after="0"/>
              <w:jc w:val="center"/>
            </w:pPr>
            <w:r>
              <w:rPr>
                <w:rFonts w:cs="Century Gothic"/>
                <w:b/>
                <w:color w:val="FFFFFF"/>
                <w:sz w:val="18"/>
                <w:szCs w:val="18"/>
              </w:rPr>
              <w:t>Tier 1</w:t>
            </w:r>
          </w:p>
        </w:tc>
        <w:tc>
          <w:tcPr>
            <w:tcW w:w="625" w:type="pct"/>
            <w:shd w:val="clear" w:color="auto" w:fill="003D79"/>
            <w:tcMar>
              <w:top w:w="0" w:type="dxa"/>
              <w:left w:w="0" w:type="dxa"/>
              <w:bottom w:w="0" w:type="dxa"/>
              <w:right w:w="0" w:type="dxa"/>
            </w:tcMar>
            <w:vAlign w:val="center"/>
            <w:hideMark/>
          </w:tcPr>
          <w:p w14:paraId="6228FE82" w14:textId="77777777" w:rsidR="001C19F3" w:rsidRDefault="001C19F3" w:rsidP="00521305">
            <w:pPr>
              <w:spacing w:after="0"/>
              <w:jc w:val="center"/>
            </w:pPr>
            <w:r>
              <w:rPr>
                <w:rFonts w:cs="Century Gothic"/>
                <w:b/>
                <w:color w:val="FFFFFF"/>
                <w:sz w:val="18"/>
                <w:szCs w:val="18"/>
              </w:rPr>
              <w:t>Tier 2</w:t>
            </w:r>
          </w:p>
        </w:tc>
        <w:tc>
          <w:tcPr>
            <w:tcW w:w="625" w:type="pct"/>
            <w:shd w:val="clear" w:color="auto" w:fill="003D79"/>
            <w:tcMar>
              <w:top w:w="0" w:type="dxa"/>
              <w:left w:w="0" w:type="dxa"/>
              <w:bottom w:w="0" w:type="dxa"/>
              <w:right w:w="0" w:type="dxa"/>
            </w:tcMar>
            <w:vAlign w:val="center"/>
            <w:hideMark/>
          </w:tcPr>
          <w:p w14:paraId="59B8BAE9" w14:textId="77777777" w:rsidR="001C19F3" w:rsidRDefault="001C19F3" w:rsidP="00521305">
            <w:pPr>
              <w:spacing w:after="0"/>
              <w:jc w:val="center"/>
            </w:pPr>
            <w:r>
              <w:rPr>
                <w:rFonts w:cs="Century Gothic"/>
                <w:b/>
                <w:color w:val="FFFFFF"/>
                <w:sz w:val="18"/>
                <w:szCs w:val="18"/>
              </w:rPr>
              <w:t>Tier 3</w:t>
            </w:r>
          </w:p>
        </w:tc>
        <w:tc>
          <w:tcPr>
            <w:tcW w:w="625" w:type="pct"/>
            <w:shd w:val="clear" w:color="auto" w:fill="003D79"/>
            <w:tcMar>
              <w:top w:w="0" w:type="dxa"/>
              <w:left w:w="0" w:type="dxa"/>
              <w:bottom w:w="0" w:type="dxa"/>
              <w:right w:w="0" w:type="dxa"/>
            </w:tcMar>
            <w:vAlign w:val="center"/>
            <w:hideMark/>
          </w:tcPr>
          <w:p w14:paraId="1EE755E3" w14:textId="77777777" w:rsidR="001C19F3" w:rsidRDefault="001C19F3" w:rsidP="00521305">
            <w:pPr>
              <w:spacing w:after="0"/>
              <w:jc w:val="center"/>
            </w:pPr>
            <w:r>
              <w:rPr>
                <w:rFonts w:cs="Century Gothic"/>
                <w:b/>
                <w:color w:val="FFFFFF"/>
                <w:sz w:val="18"/>
                <w:szCs w:val="18"/>
              </w:rPr>
              <w:t xml:space="preserve">P </w:t>
            </w:r>
            <w:r>
              <w:rPr>
                <w:rFonts w:cs="Century Gothic"/>
                <w:b/>
                <w:color w:val="FFFFFF"/>
                <w:sz w:val="18"/>
                <w:szCs w:val="18"/>
              </w:rPr>
              <w:br/>
              <w:t xml:space="preserve"> value</w:t>
            </w:r>
          </w:p>
        </w:tc>
      </w:tr>
      <w:tr w:rsidR="001C19F3" w14:paraId="2A144A67"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64A1B11B" w14:textId="77777777" w:rsidR="001C19F3" w:rsidRDefault="001C19F3" w:rsidP="00521305">
            <w:pPr>
              <w:spacing w:before="40" w:after="40"/>
              <w:ind w:left="40" w:right="40"/>
            </w:pPr>
            <w:r>
              <w:rPr>
                <w:rFonts w:cs="Century Gothic"/>
                <w:b/>
                <w:color w:val="000000"/>
                <w:sz w:val="18"/>
                <w:szCs w:val="18"/>
              </w:rPr>
              <w:t>Service access profile</w:t>
            </w:r>
          </w:p>
        </w:tc>
      </w:tr>
      <w:tr w:rsidR="001C19F3" w14:paraId="64A2AFA5"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677712FA" w14:textId="77777777" w:rsidR="001C19F3" w:rsidRDefault="001C19F3" w:rsidP="00521305">
            <w:pPr>
              <w:spacing w:before="40" w:after="40"/>
              <w:ind w:left="160" w:right="40"/>
            </w:pPr>
            <w:r>
              <w:rPr>
                <w:rFonts w:cs="Century Gothic"/>
                <w:color w:val="000000"/>
                <w:sz w:val="18"/>
                <w:szCs w:val="18"/>
              </w:rPr>
              <w:t>Have you been to hospital more than once in the last 12 months including today?</w:t>
            </w:r>
          </w:p>
        </w:tc>
        <w:tc>
          <w:tcPr>
            <w:tcW w:w="625" w:type="pct"/>
            <w:shd w:val="clear" w:color="auto" w:fill="FFFFFF"/>
            <w:tcMar>
              <w:top w:w="0" w:type="dxa"/>
              <w:left w:w="0" w:type="dxa"/>
              <w:bottom w:w="0" w:type="dxa"/>
              <w:right w:w="0" w:type="dxa"/>
            </w:tcMar>
            <w:vAlign w:val="center"/>
            <w:hideMark/>
          </w:tcPr>
          <w:p w14:paraId="5E1FFE8C" w14:textId="77777777" w:rsidR="001C19F3" w:rsidRDefault="001C19F3" w:rsidP="00521305">
            <w:pPr>
              <w:spacing w:before="40" w:after="40"/>
              <w:ind w:left="40" w:right="40"/>
              <w:jc w:val="center"/>
            </w:pPr>
            <w:r>
              <w:rPr>
                <w:rFonts w:cs="Century Gothic"/>
                <w:color w:val="000000"/>
                <w:sz w:val="18"/>
                <w:szCs w:val="18"/>
              </w:rPr>
              <w:t>2,974 (23.9%)</w:t>
            </w:r>
          </w:p>
        </w:tc>
        <w:tc>
          <w:tcPr>
            <w:tcW w:w="625" w:type="pct"/>
            <w:shd w:val="clear" w:color="auto" w:fill="FFFFFF"/>
            <w:tcMar>
              <w:top w:w="0" w:type="dxa"/>
              <w:left w:w="0" w:type="dxa"/>
              <w:bottom w:w="0" w:type="dxa"/>
              <w:right w:w="0" w:type="dxa"/>
            </w:tcMar>
            <w:vAlign w:val="center"/>
            <w:hideMark/>
          </w:tcPr>
          <w:p w14:paraId="0C75391F" w14:textId="77777777" w:rsidR="001C19F3" w:rsidRDefault="001C19F3" w:rsidP="00521305">
            <w:pPr>
              <w:spacing w:before="40" w:after="40"/>
              <w:ind w:left="40" w:right="40"/>
              <w:jc w:val="center"/>
            </w:pPr>
            <w:r>
              <w:rPr>
                <w:rFonts w:cs="Century Gothic"/>
                <w:color w:val="000000"/>
                <w:sz w:val="18"/>
                <w:szCs w:val="18"/>
              </w:rPr>
              <w:t>167 (7.4%)</w:t>
            </w:r>
          </w:p>
        </w:tc>
        <w:tc>
          <w:tcPr>
            <w:tcW w:w="625" w:type="pct"/>
            <w:shd w:val="clear" w:color="auto" w:fill="FFFFFF"/>
            <w:tcMar>
              <w:top w:w="0" w:type="dxa"/>
              <w:left w:w="0" w:type="dxa"/>
              <w:bottom w:w="0" w:type="dxa"/>
              <w:right w:w="0" w:type="dxa"/>
            </w:tcMar>
            <w:vAlign w:val="center"/>
            <w:hideMark/>
          </w:tcPr>
          <w:p w14:paraId="081D2232" w14:textId="77777777" w:rsidR="001C19F3" w:rsidRDefault="001C19F3" w:rsidP="00521305">
            <w:pPr>
              <w:spacing w:before="40" w:after="40"/>
              <w:ind w:left="40" w:right="40"/>
              <w:jc w:val="center"/>
            </w:pPr>
            <w:r>
              <w:rPr>
                <w:rFonts w:cs="Century Gothic"/>
                <w:color w:val="000000"/>
                <w:sz w:val="18"/>
                <w:szCs w:val="18"/>
              </w:rPr>
              <w:t>1,135 (18.5%)</w:t>
            </w:r>
          </w:p>
        </w:tc>
        <w:tc>
          <w:tcPr>
            <w:tcW w:w="625" w:type="pct"/>
            <w:shd w:val="clear" w:color="auto" w:fill="FFFFFF"/>
            <w:tcMar>
              <w:top w:w="0" w:type="dxa"/>
              <w:left w:w="0" w:type="dxa"/>
              <w:bottom w:w="0" w:type="dxa"/>
              <w:right w:w="0" w:type="dxa"/>
            </w:tcMar>
            <w:vAlign w:val="center"/>
            <w:hideMark/>
          </w:tcPr>
          <w:p w14:paraId="60B59A06" w14:textId="77777777" w:rsidR="001C19F3" w:rsidRDefault="001C19F3" w:rsidP="00521305">
            <w:pPr>
              <w:spacing w:before="40" w:after="40"/>
              <w:ind w:left="40" w:right="40"/>
              <w:jc w:val="center"/>
            </w:pPr>
            <w:r>
              <w:rPr>
                <w:rFonts w:cs="Century Gothic"/>
                <w:color w:val="000000"/>
                <w:sz w:val="18"/>
                <w:szCs w:val="18"/>
              </w:rPr>
              <w:t>1,672 (41.3%)</w:t>
            </w:r>
          </w:p>
        </w:tc>
        <w:tc>
          <w:tcPr>
            <w:tcW w:w="625" w:type="pct"/>
            <w:shd w:val="clear" w:color="auto" w:fill="FFFFFF"/>
            <w:tcMar>
              <w:top w:w="0" w:type="dxa"/>
              <w:left w:w="0" w:type="dxa"/>
              <w:bottom w:w="0" w:type="dxa"/>
              <w:right w:w="0" w:type="dxa"/>
            </w:tcMar>
            <w:vAlign w:val="center"/>
            <w:hideMark/>
          </w:tcPr>
          <w:p w14:paraId="31E2CB6C"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5923F08"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50393CBC" w14:textId="77777777" w:rsidR="001C19F3" w:rsidRDefault="001C19F3" w:rsidP="00521305">
            <w:pPr>
              <w:spacing w:before="40" w:after="40"/>
              <w:ind w:left="160" w:right="40"/>
            </w:pPr>
            <w:r>
              <w:rPr>
                <w:rFonts w:cs="Century Gothic"/>
                <w:color w:val="000000"/>
                <w:sz w:val="18"/>
                <w:szCs w:val="18"/>
              </w:rPr>
              <w:t>Regular medical checks (2 times a year)</w:t>
            </w:r>
          </w:p>
        </w:tc>
        <w:tc>
          <w:tcPr>
            <w:tcW w:w="625" w:type="pct"/>
            <w:shd w:val="clear" w:color="auto" w:fill="FFFFFF"/>
            <w:tcMar>
              <w:top w:w="0" w:type="dxa"/>
              <w:left w:w="0" w:type="dxa"/>
              <w:bottom w:w="0" w:type="dxa"/>
              <w:right w:w="0" w:type="dxa"/>
            </w:tcMar>
            <w:vAlign w:val="center"/>
            <w:hideMark/>
          </w:tcPr>
          <w:p w14:paraId="3EDBD270" w14:textId="77777777" w:rsidR="001C19F3" w:rsidRDefault="001C19F3" w:rsidP="00521305">
            <w:pPr>
              <w:spacing w:before="40" w:after="40"/>
              <w:ind w:left="40" w:right="40"/>
              <w:jc w:val="center"/>
            </w:pPr>
            <w:r>
              <w:rPr>
                <w:rFonts w:cs="Century Gothic"/>
                <w:color w:val="000000"/>
                <w:sz w:val="18"/>
                <w:szCs w:val="18"/>
              </w:rPr>
              <w:t>1,986 (16.0%)</w:t>
            </w:r>
          </w:p>
        </w:tc>
        <w:tc>
          <w:tcPr>
            <w:tcW w:w="625" w:type="pct"/>
            <w:shd w:val="clear" w:color="auto" w:fill="FFFFFF"/>
            <w:tcMar>
              <w:top w:w="0" w:type="dxa"/>
              <w:left w:w="0" w:type="dxa"/>
              <w:bottom w:w="0" w:type="dxa"/>
              <w:right w:w="0" w:type="dxa"/>
            </w:tcMar>
            <w:vAlign w:val="center"/>
            <w:hideMark/>
          </w:tcPr>
          <w:p w14:paraId="1224D9DF" w14:textId="77777777" w:rsidR="001C19F3" w:rsidRDefault="001C19F3" w:rsidP="00521305">
            <w:pPr>
              <w:spacing w:before="40" w:after="40"/>
              <w:ind w:left="40" w:right="40"/>
              <w:jc w:val="center"/>
            </w:pPr>
            <w:r>
              <w:rPr>
                <w:rFonts w:cs="Century Gothic"/>
                <w:color w:val="000000"/>
                <w:sz w:val="18"/>
                <w:szCs w:val="18"/>
              </w:rPr>
              <w:t>227 (10.0%)</w:t>
            </w:r>
          </w:p>
        </w:tc>
        <w:tc>
          <w:tcPr>
            <w:tcW w:w="625" w:type="pct"/>
            <w:shd w:val="clear" w:color="auto" w:fill="FFFFFF"/>
            <w:tcMar>
              <w:top w:w="0" w:type="dxa"/>
              <w:left w:w="0" w:type="dxa"/>
              <w:bottom w:w="0" w:type="dxa"/>
              <w:right w:w="0" w:type="dxa"/>
            </w:tcMar>
            <w:vAlign w:val="center"/>
            <w:hideMark/>
          </w:tcPr>
          <w:p w14:paraId="2AC708EB" w14:textId="77777777" w:rsidR="001C19F3" w:rsidRDefault="001C19F3" w:rsidP="00521305">
            <w:pPr>
              <w:spacing w:before="40" w:after="40"/>
              <w:ind w:left="40" w:right="40"/>
              <w:jc w:val="center"/>
            </w:pPr>
            <w:r>
              <w:rPr>
                <w:rFonts w:cs="Century Gothic"/>
                <w:color w:val="000000"/>
                <w:sz w:val="18"/>
                <w:szCs w:val="18"/>
              </w:rPr>
              <w:t>1,218 (19.9%)</w:t>
            </w:r>
          </w:p>
        </w:tc>
        <w:tc>
          <w:tcPr>
            <w:tcW w:w="625" w:type="pct"/>
            <w:shd w:val="clear" w:color="auto" w:fill="FFFFFF"/>
            <w:tcMar>
              <w:top w:w="0" w:type="dxa"/>
              <w:left w:w="0" w:type="dxa"/>
              <w:bottom w:w="0" w:type="dxa"/>
              <w:right w:w="0" w:type="dxa"/>
            </w:tcMar>
            <w:vAlign w:val="center"/>
            <w:hideMark/>
          </w:tcPr>
          <w:p w14:paraId="30ADEF19" w14:textId="77777777" w:rsidR="001C19F3" w:rsidRDefault="001C19F3" w:rsidP="00521305">
            <w:pPr>
              <w:spacing w:before="40" w:after="40"/>
              <w:ind w:left="40" w:right="40"/>
              <w:jc w:val="center"/>
            </w:pPr>
            <w:r>
              <w:rPr>
                <w:rFonts w:cs="Century Gothic"/>
                <w:color w:val="000000"/>
                <w:sz w:val="18"/>
                <w:szCs w:val="18"/>
              </w:rPr>
              <w:t>541 (13.4%)</w:t>
            </w:r>
          </w:p>
        </w:tc>
        <w:tc>
          <w:tcPr>
            <w:tcW w:w="625" w:type="pct"/>
            <w:shd w:val="clear" w:color="auto" w:fill="FFFFFF"/>
            <w:tcMar>
              <w:top w:w="0" w:type="dxa"/>
              <w:left w:w="0" w:type="dxa"/>
              <w:bottom w:w="0" w:type="dxa"/>
              <w:right w:w="0" w:type="dxa"/>
            </w:tcMar>
            <w:vAlign w:val="center"/>
            <w:hideMark/>
          </w:tcPr>
          <w:p w14:paraId="1BBA4FC0"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9F23FDC"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6688FE48" w14:textId="77777777" w:rsidR="001C19F3" w:rsidRDefault="001C19F3" w:rsidP="00521305">
            <w:pPr>
              <w:spacing w:before="40" w:after="40"/>
              <w:ind w:left="160" w:right="40"/>
            </w:pPr>
            <w:r>
              <w:rPr>
                <w:rFonts w:cs="Century Gothic"/>
                <w:color w:val="000000"/>
                <w:sz w:val="18"/>
                <w:szCs w:val="18"/>
              </w:rPr>
              <w:t>Reduced ability to self care</w:t>
            </w:r>
          </w:p>
        </w:tc>
        <w:tc>
          <w:tcPr>
            <w:tcW w:w="625" w:type="pct"/>
            <w:shd w:val="clear" w:color="auto" w:fill="FFFFFF"/>
            <w:tcMar>
              <w:top w:w="0" w:type="dxa"/>
              <w:left w:w="0" w:type="dxa"/>
              <w:bottom w:w="0" w:type="dxa"/>
              <w:right w:w="0" w:type="dxa"/>
            </w:tcMar>
            <w:vAlign w:val="center"/>
            <w:hideMark/>
          </w:tcPr>
          <w:p w14:paraId="308FEAF8" w14:textId="77777777" w:rsidR="001C19F3" w:rsidRDefault="001C19F3" w:rsidP="00521305">
            <w:pPr>
              <w:spacing w:before="40" w:after="40"/>
              <w:ind w:left="40" w:right="40"/>
              <w:jc w:val="center"/>
            </w:pPr>
            <w:r>
              <w:rPr>
                <w:rFonts w:cs="Century Gothic"/>
                <w:color w:val="000000"/>
                <w:sz w:val="18"/>
                <w:szCs w:val="18"/>
              </w:rPr>
              <w:t>3,350 (26.9%)</w:t>
            </w:r>
          </w:p>
        </w:tc>
        <w:tc>
          <w:tcPr>
            <w:tcW w:w="625" w:type="pct"/>
            <w:shd w:val="clear" w:color="auto" w:fill="FFFFFF"/>
            <w:tcMar>
              <w:top w:w="0" w:type="dxa"/>
              <w:left w:w="0" w:type="dxa"/>
              <w:bottom w:w="0" w:type="dxa"/>
              <w:right w:w="0" w:type="dxa"/>
            </w:tcMar>
            <w:vAlign w:val="center"/>
            <w:hideMark/>
          </w:tcPr>
          <w:p w14:paraId="1C360BA1" w14:textId="77777777" w:rsidR="001C19F3" w:rsidRDefault="001C19F3" w:rsidP="00521305">
            <w:pPr>
              <w:spacing w:before="40" w:after="40"/>
              <w:ind w:left="40" w:right="40"/>
              <w:jc w:val="center"/>
            </w:pPr>
            <w:r>
              <w:rPr>
                <w:rFonts w:cs="Century Gothic"/>
                <w:color w:val="000000"/>
                <w:sz w:val="18"/>
                <w:szCs w:val="18"/>
              </w:rPr>
              <w:t>33 (1.5%)</w:t>
            </w:r>
          </w:p>
        </w:tc>
        <w:tc>
          <w:tcPr>
            <w:tcW w:w="625" w:type="pct"/>
            <w:shd w:val="clear" w:color="auto" w:fill="FFFFFF"/>
            <w:tcMar>
              <w:top w:w="0" w:type="dxa"/>
              <w:left w:w="0" w:type="dxa"/>
              <w:bottom w:w="0" w:type="dxa"/>
              <w:right w:w="0" w:type="dxa"/>
            </w:tcMar>
            <w:vAlign w:val="center"/>
            <w:hideMark/>
          </w:tcPr>
          <w:p w14:paraId="6068E9AA" w14:textId="77777777" w:rsidR="001C19F3" w:rsidRDefault="001C19F3" w:rsidP="00521305">
            <w:pPr>
              <w:spacing w:before="40" w:after="40"/>
              <w:ind w:left="40" w:right="40"/>
              <w:jc w:val="center"/>
            </w:pPr>
            <w:r>
              <w:rPr>
                <w:rFonts w:cs="Century Gothic"/>
                <w:color w:val="000000"/>
                <w:sz w:val="18"/>
                <w:szCs w:val="18"/>
              </w:rPr>
              <w:t>786 (12.8%)</w:t>
            </w:r>
          </w:p>
        </w:tc>
        <w:tc>
          <w:tcPr>
            <w:tcW w:w="625" w:type="pct"/>
            <w:shd w:val="clear" w:color="auto" w:fill="FFFFFF"/>
            <w:tcMar>
              <w:top w:w="0" w:type="dxa"/>
              <w:left w:w="0" w:type="dxa"/>
              <w:bottom w:w="0" w:type="dxa"/>
              <w:right w:w="0" w:type="dxa"/>
            </w:tcMar>
            <w:vAlign w:val="center"/>
            <w:hideMark/>
          </w:tcPr>
          <w:p w14:paraId="33D91838" w14:textId="77777777" w:rsidR="001C19F3" w:rsidRDefault="001C19F3" w:rsidP="00521305">
            <w:pPr>
              <w:spacing w:before="40" w:after="40"/>
              <w:ind w:left="40" w:right="40"/>
              <w:jc w:val="center"/>
            </w:pPr>
            <w:r>
              <w:rPr>
                <w:rFonts w:cs="Century Gothic"/>
                <w:color w:val="000000"/>
                <w:sz w:val="18"/>
                <w:szCs w:val="18"/>
              </w:rPr>
              <w:t>2,531 (62.5%)</w:t>
            </w:r>
          </w:p>
        </w:tc>
        <w:tc>
          <w:tcPr>
            <w:tcW w:w="625" w:type="pct"/>
            <w:shd w:val="clear" w:color="auto" w:fill="FFFFFF"/>
            <w:tcMar>
              <w:top w:w="0" w:type="dxa"/>
              <w:left w:w="0" w:type="dxa"/>
              <w:bottom w:w="0" w:type="dxa"/>
              <w:right w:w="0" w:type="dxa"/>
            </w:tcMar>
            <w:vAlign w:val="center"/>
            <w:hideMark/>
          </w:tcPr>
          <w:p w14:paraId="2A82E0A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653FD879"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5D88D428" w14:textId="77777777" w:rsidR="001C19F3" w:rsidRDefault="001C19F3" w:rsidP="00521305">
            <w:pPr>
              <w:spacing w:before="40" w:after="40"/>
              <w:ind w:left="40" w:right="40"/>
            </w:pPr>
            <w:r>
              <w:rPr>
                <w:rFonts w:cs="Century Gothic"/>
                <w:b/>
                <w:color w:val="000000"/>
                <w:sz w:val="18"/>
                <w:szCs w:val="18"/>
              </w:rPr>
              <w:t>Z: Score (out of 10)</w:t>
            </w:r>
          </w:p>
        </w:tc>
      </w:tr>
      <w:tr w:rsidR="001C19F3" w14:paraId="047F7234"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5D6080E8" w14:textId="77777777" w:rsidR="001C19F3" w:rsidRDefault="001C19F3" w:rsidP="00521305">
            <w:pPr>
              <w:spacing w:before="40" w:after="40"/>
              <w:ind w:left="160" w:right="40"/>
            </w:pPr>
            <w:r>
              <w:rPr>
                <w:rFonts w:cs="Century Gothic"/>
                <w:color w:val="000000"/>
                <w:sz w:val="18"/>
                <w:szCs w:val="18"/>
              </w:rPr>
              <w:t>Zero</w:t>
            </w:r>
          </w:p>
        </w:tc>
        <w:tc>
          <w:tcPr>
            <w:tcW w:w="625" w:type="pct"/>
            <w:shd w:val="clear" w:color="auto" w:fill="FFFFFF"/>
            <w:tcMar>
              <w:top w:w="0" w:type="dxa"/>
              <w:left w:w="0" w:type="dxa"/>
              <w:bottom w:w="0" w:type="dxa"/>
              <w:right w:w="0" w:type="dxa"/>
            </w:tcMar>
            <w:vAlign w:val="center"/>
            <w:hideMark/>
          </w:tcPr>
          <w:p w14:paraId="5A3E3426" w14:textId="77777777" w:rsidR="001C19F3" w:rsidRDefault="001C19F3" w:rsidP="00521305">
            <w:pPr>
              <w:spacing w:before="40" w:after="40"/>
              <w:ind w:left="40" w:right="40"/>
              <w:jc w:val="center"/>
            </w:pPr>
            <w:r>
              <w:rPr>
                <w:rFonts w:cs="Century Gothic"/>
                <w:color w:val="000000"/>
                <w:sz w:val="18"/>
                <w:szCs w:val="18"/>
              </w:rPr>
              <w:t>5,685 (45.7%)</w:t>
            </w:r>
          </w:p>
        </w:tc>
        <w:tc>
          <w:tcPr>
            <w:tcW w:w="625" w:type="pct"/>
            <w:shd w:val="clear" w:color="auto" w:fill="FFFFFF"/>
            <w:tcMar>
              <w:top w:w="0" w:type="dxa"/>
              <w:left w:w="0" w:type="dxa"/>
              <w:bottom w:w="0" w:type="dxa"/>
              <w:right w:w="0" w:type="dxa"/>
            </w:tcMar>
            <w:vAlign w:val="center"/>
            <w:hideMark/>
          </w:tcPr>
          <w:p w14:paraId="1F6376EA" w14:textId="77777777" w:rsidR="001C19F3" w:rsidRDefault="001C19F3" w:rsidP="00521305">
            <w:pPr>
              <w:spacing w:before="40" w:after="40"/>
              <w:ind w:left="40" w:right="40"/>
              <w:jc w:val="center"/>
            </w:pPr>
            <w:r>
              <w:rPr>
                <w:rFonts w:cs="Century Gothic"/>
                <w:color w:val="000000"/>
                <w:sz w:val="18"/>
                <w:szCs w:val="18"/>
              </w:rPr>
              <w:t>1,844 (81.5%)</w:t>
            </w:r>
          </w:p>
        </w:tc>
        <w:tc>
          <w:tcPr>
            <w:tcW w:w="625" w:type="pct"/>
            <w:shd w:val="clear" w:color="auto" w:fill="FFFFFF"/>
            <w:tcMar>
              <w:top w:w="0" w:type="dxa"/>
              <w:left w:w="0" w:type="dxa"/>
              <w:bottom w:w="0" w:type="dxa"/>
              <w:right w:w="0" w:type="dxa"/>
            </w:tcMar>
            <w:vAlign w:val="center"/>
            <w:hideMark/>
          </w:tcPr>
          <w:p w14:paraId="45D5B212" w14:textId="77777777" w:rsidR="001C19F3" w:rsidRDefault="001C19F3" w:rsidP="00521305">
            <w:pPr>
              <w:spacing w:before="40" w:after="40"/>
              <w:ind w:left="40" w:right="40"/>
              <w:jc w:val="center"/>
            </w:pPr>
            <w:r>
              <w:rPr>
                <w:rFonts w:cs="Century Gothic"/>
                <w:color w:val="000000"/>
                <w:sz w:val="18"/>
                <w:szCs w:val="18"/>
              </w:rPr>
              <w:t>3,230 (52.7%)</w:t>
            </w:r>
          </w:p>
        </w:tc>
        <w:tc>
          <w:tcPr>
            <w:tcW w:w="625" w:type="pct"/>
            <w:shd w:val="clear" w:color="auto" w:fill="FFFFFF"/>
            <w:tcMar>
              <w:top w:w="0" w:type="dxa"/>
              <w:left w:w="0" w:type="dxa"/>
              <w:bottom w:w="0" w:type="dxa"/>
              <w:right w:w="0" w:type="dxa"/>
            </w:tcMar>
            <w:vAlign w:val="center"/>
            <w:hideMark/>
          </w:tcPr>
          <w:p w14:paraId="321D25D2" w14:textId="77777777" w:rsidR="001C19F3" w:rsidRDefault="001C19F3" w:rsidP="00521305">
            <w:pPr>
              <w:spacing w:before="40" w:after="40"/>
              <w:ind w:left="40" w:right="40"/>
              <w:jc w:val="center"/>
            </w:pPr>
            <w:r>
              <w:rPr>
                <w:rFonts w:cs="Century Gothic"/>
                <w:color w:val="000000"/>
                <w:sz w:val="18"/>
                <w:szCs w:val="18"/>
              </w:rPr>
              <w:t>611 (15.1%)</w:t>
            </w:r>
          </w:p>
        </w:tc>
        <w:tc>
          <w:tcPr>
            <w:tcW w:w="625" w:type="pct"/>
            <w:vMerge w:val="restart"/>
            <w:shd w:val="clear" w:color="auto" w:fill="FFFFFF"/>
            <w:tcMar>
              <w:top w:w="0" w:type="dxa"/>
              <w:left w:w="0" w:type="dxa"/>
              <w:bottom w:w="0" w:type="dxa"/>
              <w:right w:w="0" w:type="dxa"/>
            </w:tcMar>
            <w:vAlign w:val="center"/>
            <w:hideMark/>
          </w:tcPr>
          <w:p w14:paraId="2340B57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41D6F4F9"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284CD6AF" w14:textId="77777777" w:rsidR="001C19F3" w:rsidRDefault="001C19F3" w:rsidP="00521305">
            <w:pPr>
              <w:spacing w:before="40" w:after="40"/>
              <w:ind w:left="160" w:right="40"/>
            </w:pPr>
            <w:r>
              <w:rPr>
                <w:rFonts w:cs="Century Gothic"/>
                <w:color w:val="000000"/>
                <w:sz w:val="18"/>
                <w:szCs w:val="18"/>
              </w:rPr>
              <w:t>Ten</w:t>
            </w:r>
          </w:p>
        </w:tc>
        <w:tc>
          <w:tcPr>
            <w:tcW w:w="625" w:type="pct"/>
            <w:shd w:val="clear" w:color="auto" w:fill="FFFFFF"/>
            <w:tcMar>
              <w:top w:w="0" w:type="dxa"/>
              <w:left w:w="0" w:type="dxa"/>
              <w:bottom w:w="0" w:type="dxa"/>
              <w:right w:w="0" w:type="dxa"/>
            </w:tcMar>
            <w:vAlign w:val="center"/>
            <w:hideMark/>
          </w:tcPr>
          <w:p w14:paraId="26D4CE58" w14:textId="77777777" w:rsidR="001C19F3" w:rsidRDefault="001C19F3" w:rsidP="00521305">
            <w:pPr>
              <w:spacing w:before="40" w:after="40"/>
              <w:ind w:left="40" w:right="40"/>
              <w:jc w:val="center"/>
            </w:pPr>
            <w:r>
              <w:rPr>
                <w:rFonts w:cs="Century Gothic"/>
                <w:color w:val="000000"/>
                <w:sz w:val="18"/>
                <w:szCs w:val="18"/>
              </w:rPr>
              <w:t>102 (0.8%)</w:t>
            </w:r>
          </w:p>
        </w:tc>
        <w:tc>
          <w:tcPr>
            <w:tcW w:w="625" w:type="pct"/>
            <w:shd w:val="clear" w:color="auto" w:fill="FFFFFF"/>
            <w:tcMar>
              <w:top w:w="0" w:type="dxa"/>
              <w:left w:w="0" w:type="dxa"/>
              <w:bottom w:w="0" w:type="dxa"/>
              <w:right w:w="0" w:type="dxa"/>
            </w:tcMar>
            <w:vAlign w:val="center"/>
          </w:tcPr>
          <w:p w14:paraId="4CFCC67B" w14:textId="77777777" w:rsidR="001C19F3" w:rsidRDefault="001C19F3" w:rsidP="00521305">
            <w:pPr>
              <w:spacing w:before="40" w:after="40"/>
              <w:ind w:left="40" w:right="40"/>
              <w:jc w:val="center"/>
            </w:pPr>
          </w:p>
        </w:tc>
        <w:tc>
          <w:tcPr>
            <w:tcW w:w="625" w:type="pct"/>
            <w:shd w:val="clear" w:color="auto" w:fill="FFFFFF"/>
            <w:tcMar>
              <w:top w:w="0" w:type="dxa"/>
              <w:left w:w="0" w:type="dxa"/>
              <w:bottom w:w="0" w:type="dxa"/>
              <w:right w:w="0" w:type="dxa"/>
            </w:tcMar>
            <w:vAlign w:val="center"/>
            <w:hideMark/>
          </w:tcPr>
          <w:p w14:paraId="18574596" w14:textId="77777777" w:rsidR="001C19F3" w:rsidRDefault="001C19F3" w:rsidP="00521305">
            <w:pPr>
              <w:spacing w:before="40" w:after="40"/>
              <w:ind w:left="40" w:right="40"/>
              <w:jc w:val="center"/>
            </w:pPr>
            <w:r>
              <w:rPr>
                <w:rFonts w:cs="Century Gothic"/>
                <w:color w:val="000000"/>
                <w:sz w:val="18"/>
                <w:szCs w:val="18"/>
              </w:rPr>
              <w:t>4 (0.1%)</w:t>
            </w:r>
          </w:p>
        </w:tc>
        <w:tc>
          <w:tcPr>
            <w:tcW w:w="625" w:type="pct"/>
            <w:shd w:val="clear" w:color="auto" w:fill="FFFFFF"/>
            <w:tcMar>
              <w:top w:w="0" w:type="dxa"/>
              <w:left w:w="0" w:type="dxa"/>
              <w:bottom w:w="0" w:type="dxa"/>
              <w:right w:w="0" w:type="dxa"/>
            </w:tcMar>
            <w:vAlign w:val="center"/>
            <w:hideMark/>
          </w:tcPr>
          <w:p w14:paraId="67154A5B" w14:textId="77777777" w:rsidR="001C19F3" w:rsidRDefault="001C19F3" w:rsidP="00521305">
            <w:pPr>
              <w:spacing w:before="40" w:after="40"/>
              <w:ind w:left="40" w:right="40"/>
              <w:jc w:val="center"/>
            </w:pPr>
            <w:r>
              <w:rPr>
                <w:rFonts w:cs="Century Gothic"/>
                <w:color w:val="000000"/>
                <w:sz w:val="18"/>
                <w:szCs w:val="18"/>
              </w:rPr>
              <w:t>98 (2.4%)</w:t>
            </w:r>
          </w:p>
        </w:tc>
        <w:tc>
          <w:tcPr>
            <w:tcW w:w="625" w:type="pct"/>
            <w:vMerge/>
            <w:vAlign w:val="center"/>
            <w:hideMark/>
          </w:tcPr>
          <w:p w14:paraId="36D26E1C" w14:textId="77777777" w:rsidR="001C19F3" w:rsidRDefault="001C19F3" w:rsidP="00521305">
            <w:pPr>
              <w:spacing w:after="0"/>
              <w:rPr>
                <w:sz w:val="22"/>
              </w:rPr>
            </w:pPr>
          </w:p>
        </w:tc>
      </w:tr>
      <w:tr w:rsidR="001C19F3" w14:paraId="18AE7346"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6E80D543" w14:textId="77777777" w:rsidR="001C19F3" w:rsidRDefault="001C19F3" w:rsidP="00521305">
            <w:pPr>
              <w:spacing w:before="40" w:after="40"/>
              <w:ind w:left="160" w:right="40"/>
            </w:pPr>
            <w:r>
              <w:rPr>
                <w:rFonts w:cs="Century Gothic"/>
                <w:color w:val="000000"/>
                <w:sz w:val="18"/>
                <w:szCs w:val="18"/>
              </w:rPr>
              <w:t>Three</w:t>
            </w:r>
          </w:p>
        </w:tc>
        <w:tc>
          <w:tcPr>
            <w:tcW w:w="625" w:type="pct"/>
            <w:shd w:val="clear" w:color="auto" w:fill="FFFFFF"/>
            <w:tcMar>
              <w:top w:w="0" w:type="dxa"/>
              <w:left w:w="0" w:type="dxa"/>
              <w:bottom w:w="0" w:type="dxa"/>
              <w:right w:w="0" w:type="dxa"/>
            </w:tcMar>
            <w:vAlign w:val="center"/>
            <w:hideMark/>
          </w:tcPr>
          <w:p w14:paraId="5F825F41" w14:textId="77777777" w:rsidR="001C19F3" w:rsidRDefault="001C19F3" w:rsidP="00521305">
            <w:pPr>
              <w:spacing w:before="40" w:after="40"/>
              <w:ind w:left="40" w:right="40"/>
              <w:jc w:val="center"/>
            </w:pPr>
            <w:r>
              <w:rPr>
                <w:rFonts w:cs="Century Gothic"/>
                <w:color w:val="000000"/>
                <w:sz w:val="18"/>
                <w:szCs w:val="18"/>
              </w:rPr>
              <w:t>3,564 (28.6%)</w:t>
            </w:r>
          </w:p>
        </w:tc>
        <w:tc>
          <w:tcPr>
            <w:tcW w:w="625" w:type="pct"/>
            <w:shd w:val="clear" w:color="auto" w:fill="FFFFFF"/>
            <w:tcMar>
              <w:top w:w="0" w:type="dxa"/>
              <w:left w:w="0" w:type="dxa"/>
              <w:bottom w:w="0" w:type="dxa"/>
              <w:right w:w="0" w:type="dxa"/>
            </w:tcMar>
            <w:vAlign w:val="center"/>
            <w:hideMark/>
          </w:tcPr>
          <w:p w14:paraId="278D1A74" w14:textId="77777777" w:rsidR="001C19F3" w:rsidRDefault="001C19F3" w:rsidP="00521305">
            <w:pPr>
              <w:spacing w:before="40" w:after="40"/>
              <w:ind w:left="40" w:right="40"/>
              <w:jc w:val="center"/>
            </w:pPr>
            <w:r>
              <w:rPr>
                <w:rFonts w:cs="Century Gothic"/>
                <w:color w:val="000000"/>
                <w:sz w:val="18"/>
                <w:szCs w:val="18"/>
              </w:rPr>
              <w:t>250 (11.1%)</w:t>
            </w:r>
          </w:p>
        </w:tc>
        <w:tc>
          <w:tcPr>
            <w:tcW w:w="625" w:type="pct"/>
            <w:shd w:val="clear" w:color="auto" w:fill="FFFFFF"/>
            <w:tcMar>
              <w:top w:w="0" w:type="dxa"/>
              <w:left w:w="0" w:type="dxa"/>
              <w:bottom w:w="0" w:type="dxa"/>
              <w:right w:w="0" w:type="dxa"/>
            </w:tcMar>
            <w:vAlign w:val="center"/>
            <w:hideMark/>
          </w:tcPr>
          <w:p w14:paraId="6B3CA5CF" w14:textId="77777777" w:rsidR="001C19F3" w:rsidRDefault="001C19F3" w:rsidP="00521305">
            <w:pPr>
              <w:spacing w:before="40" w:after="40"/>
              <w:ind w:left="40" w:right="40"/>
              <w:jc w:val="center"/>
            </w:pPr>
            <w:r>
              <w:rPr>
                <w:rFonts w:cs="Century Gothic"/>
                <w:color w:val="000000"/>
                <w:sz w:val="18"/>
                <w:szCs w:val="18"/>
              </w:rPr>
              <w:t>1,721 (28.1%)</w:t>
            </w:r>
          </w:p>
        </w:tc>
        <w:tc>
          <w:tcPr>
            <w:tcW w:w="625" w:type="pct"/>
            <w:shd w:val="clear" w:color="auto" w:fill="FFFFFF"/>
            <w:tcMar>
              <w:top w:w="0" w:type="dxa"/>
              <w:left w:w="0" w:type="dxa"/>
              <w:bottom w:w="0" w:type="dxa"/>
              <w:right w:w="0" w:type="dxa"/>
            </w:tcMar>
            <w:vAlign w:val="center"/>
            <w:hideMark/>
          </w:tcPr>
          <w:p w14:paraId="10B1F5F5" w14:textId="77777777" w:rsidR="001C19F3" w:rsidRDefault="001C19F3" w:rsidP="00521305">
            <w:pPr>
              <w:spacing w:before="40" w:after="40"/>
              <w:ind w:left="40" w:right="40"/>
              <w:jc w:val="center"/>
            </w:pPr>
            <w:r>
              <w:rPr>
                <w:rFonts w:cs="Century Gothic"/>
                <w:color w:val="000000"/>
                <w:sz w:val="18"/>
                <w:szCs w:val="18"/>
              </w:rPr>
              <w:t>1,593 (39.3%)</w:t>
            </w:r>
          </w:p>
        </w:tc>
        <w:tc>
          <w:tcPr>
            <w:tcW w:w="625" w:type="pct"/>
            <w:vMerge/>
            <w:vAlign w:val="center"/>
            <w:hideMark/>
          </w:tcPr>
          <w:p w14:paraId="16355FF2" w14:textId="77777777" w:rsidR="001C19F3" w:rsidRDefault="001C19F3" w:rsidP="00521305">
            <w:pPr>
              <w:spacing w:after="0"/>
              <w:rPr>
                <w:sz w:val="22"/>
              </w:rPr>
            </w:pPr>
          </w:p>
        </w:tc>
      </w:tr>
      <w:tr w:rsidR="001C19F3" w14:paraId="7D026A94"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77890C48" w14:textId="77777777" w:rsidR="001C19F3" w:rsidRDefault="001C19F3" w:rsidP="00521305">
            <w:pPr>
              <w:spacing w:before="40" w:after="40"/>
              <w:ind w:left="160" w:right="40"/>
            </w:pPr>
            <w:r>
              <w:rPr>
                <w:rFonts w:cs="Century Gothic"/>
                <w:color w:val="000000"/>
                <w:sz w:val="18"/>
                <w:szCs w:val="18"/>
              </w:rPr>
              <w:t>Four</w:t>
            </w:r>
          </w:p>
        </w:tc>
        <w:tc>
          <w:tcPr>
            <w:tcW w:w="625" w:type="pct"/>
            <w:shd w:val="clear" w:color="auto" w:fill="FFFFFF"/>
            <w:tcMar>
              <w:top w:w="0" w:type="dxa"/>
              <w:left w:w="0" w:type="dxa"/>
              <w:bottom w:w="0" w:type="dxa"/>
              <w:right w:w="0" w:type="dxa"/>
            </w:tcMar>
            <w:vAlign w:val="center"/>
            <w:hideMark/>
          </w:tcPr>
          <w:p w14:paraId="5FA92DC6" w14:textId="77777777" w:rsidR="001C19F3" w:rsidRDefault="001C19F3" w:rsidP="00521305">
            <w:pPr>
              <w:spacing w:before="40" w:after="40"/>
              <w:ind w:left="40" w:right="40"/>
              <w:jc w:val="center"/>
            </w:pPr>
            <w:r>
              <w:rPr>
                <w:rFonts w:cs="Century Gothic"/>
                <w:color w:val="000000"/>
                <w:sz w:val="18"/>
                <w:szCs w:val="18"/>
              </w:rPr>
              <w:t>1,754 (14.1%)</w:t>
            </w:r>
          </w:p>
        </w:tc>
        <w:tc>
          <w:tcPr>
            <w:tcW w:w="625" w:type="pct"/>
            <w:shd w:val="clear" w:color="auto" w:fill="FFFFFF"/>
            <w:tcMar>
              <w:top w:w="0" w:type="dxa"/>
              <w:left w:w="0" w:type="dxa"/>
              <w:bottom w:w="0" w:type="dxa"/>
              <w:right w:w="0" w:type="dxa"/>
            </w:tcMar>
            <w:vAlign w:val="center"/>
            <w:hideMark/>
          </w:tcPr>
          <w:p w14:paraId="784DFC70" w14:textId="77777777" w:rsidR="001C19F3" w:rsidRDefault="001C19F3" w:rsidP="00521305">
            <w:pPr>
              <w:spacing w:before="40" w:after="40"/>
              <w:ind w:left="40" w:right="40"/>
              <w:jc w:val="center"/>
            </w:pPr>
            <w:r>
              <w:rPr>
                <w:rFonts w:cs="Century Gothic"/>
                <w:color w:val="000000"/>
                <w:sz w:val="18"/>
                <w:szCs w:val="18"/>
              </w:rPr>
              <w:t>159 (7.0%)</w:t>
            </w:r>
          </w:p>
        </w:tc>
        <w:tc>
          <w:tcPr>
            <w:tcW w:w="625" w:type="pct"/>
            <w:shd w:val="clear" w:color="auto" w:fill="FFFFFF"/>
            <w:tcMar>
              <w:top w:w="0" w:type="dxa"/>
              <w:left w:w="0" w:type="dxa"/>
              <w:bottom w:w="0" w:type="dxa"/>
              <w:right w:w="0" w:type="dxa"/>
            </w:tcMar>
            <w:vAlign w:val="center"/>
            <w:hideMark/>
          </w:tcPr>
          <w:p w14:paraId="62DA4A06" w14:textId="77777777" w:rsidR="001C19F3" w:rsidRDefault="001C19F3" w:rsidP="00521305">
            <w:pPr>
              <w:spacing w:before="40" w:after="40"/>
              <w:ind w:left="40" w:right="40"/>
              <w:jc w:val="center"/>
            </w:pPr>
            <w:r>
              <w:rPr>
                <w:rFonts w:cs="Century Gothic"/>
                <w:color w:val="000000"/>
                <w:sz w:val="18"/>
                <w:szCs w:val="18"/>
              </w:rPr>
              <w:t>952 (15.5%)</w:t>
            </w:r>
          </w:p>
        </w:tc>
        <w:tc>
          <w:tcPr>
            <w:tcW w:w="625" w:type="pct"/>
            <w:shd w:val="clear" w:color="auto" w:fill="FFFFFF"/>
            <w:tcMar>
              <w:top w:w="0" w:type="dxa"/>
              <w:left w:w="0" w:type="dxa"/>
              <w:bottom w:w="0" w:type="dxa"/>
              <w:right w:w="0" w:type="dxa"/>
            </w:tcMar>
            <w:vAlign w:val="center"/>
            <w:hideMark/>
          </w:tcPr>
          <w:p w14:paraId="6B56B366" w14:textId="77777777" w:rsidR="001C19F3" w:rsidRDefault="001C19F3" w:rsidP="00521305">
            <w:pPr>
              <w:spacing w:before="40" w:after="40"/>
              <w:ind w:left="40" w:right="40"/>
              <w:jc w:val="center"/>
            </w:pPr>
            <w:r>
              <w:rPr>
                <w:rFonts w:cs="Century Gothic"/>
                <w:color w:val="000000"/>
                <w:sz w:val="18"/>
                <w:szCs w:val="18"/>
              </w:rPr>
              <w:t>643 (15.9%)</w:t>
            </w:r>
          </w:p>
        </w:tc>
        <w:tc>
          <w:tcPr>
            <w:tcW w:w="625" w:type="pct"/>
            <w:vMerge/>
            <w:vAlign w:val="center"/>
            <w:hideMark/>
          </w:tcPr>
          <w:p w14:paraId="782D4D7B" w14:textId="77777777" w:rsidR="001C19F3" w:rsidRDefault="001C19F3" w:rsidP="00521305">
            <w:pPr>
              <w:spacing w:after="0"/>
              <w:rPr>
                <w:sz w:val="22"/>
              </w:rPr>
            </w:pPr>
          </w:p>
        </w:tc>
      </w:tr>
      <w:tr w:rsidR="001C19F3" w14:paraId="77611451"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60BFBC8E" w14:textId="77777777" w:rsidR="001C19F3" w:rsidRDefault="001C19F3" w:rsidP="00521305">
            <w:pPr>
              <w:spacing w:before="40" w:after="40"/>
              <w:ind w:left="160" w:right="40"/>
            </w:pPr>
            <w:r>
              <w:rPr>
                <w:rFonts w:cs="Century Gothic"/>
                <w:color w:val="000000"/>
                <w:sz w:val="18"/>
                <w:szCs w:val="18"/>
              </w:rPr>
              <w:t>Six</w:t>
            </w:r>
          </w:p>
        </w:tc>
        <w:tc>
          <w:tcPr>
            <w:tcW w:w="625" w:type="pct"/>
            <w:shd w:val="clear" w:color="auto" w:fill="FFFFFF"/>
            <w:tcMar>
              <w:top w:w="0" w:type="dxa"/>
              <w:left w:w="0" w:type="dxa"/>
              <w:bottom w:w="0" w:type="dxa"/>
              <w:right w:w="0" w:type="dxa"/>
            </w:tcMar>
            <w:vAlign w:val="center"/>
            <w:hideMark/>
          </w:tcPr>
          <w:p w14:paraId="36B1791D" w14:textId="77777777" w:rsidR="001C19F3" w:rsidRDefault="001C19F3" w:rsidP="00521305">
            <w:pPr>
              <w:spacing w:before="40" w:after="40"/>
              <w:ind w:left="40" w:right="40"/>
              <w:jc w:val="center"/>
            </w:pPr>
            <w:r>
              <w:rPr>
                <w:rFonts w:cs="Century Gothic"/>
                <w:color w:val="000000"/>
                <w:sz w:val="18"/>
                <w:szCs w:val="18"/>
              </w:rPr>
              <w:t>225 (1.8%)</w:t>
            </w:r>
          </w:p>
        </w:tc>
        <w:tc>
          <w:tcPr>
            <w:tcW w:w="625" w:type="pct"/>
            <w:shd w:val="clear" w:color="auto" w:fill="FFFFFF"/>
            <w:tcMar>
              <w:top w:w="0" w:type="dxa"/>
              <w:left w:w="0" w:type="dxa"/>
              <w:bottom w:w="0" w:type="dxa"/>
              <w:right w:w="0" w:type="dxa"/>
            </w:tcMar>
            <w:vAlign w:val="center"/>
            <w:hideMark/>
          </w:tcPr>
          <w:p w14:paraId="51802C18" w14:textId="77777777" w:rsidR="001C19F3" w:rsidRDefault="001C19F3" w:rsidP="00521305">
            <w:pPr>
              <w:spacing w:before="40" w:after="40"/>
              <w:ind w:left="40" w:right="40"/>
              <w:jc w:val="center"/>
            </w:pPr>
            <w:r>
              <w:rPr>
                <w:rFonts w:cs="Century Gothic"/>
                <w:color w:val="000000"/>
                <w:sz w:val="18"/>
                <w:szCs w:val="18"/>
              </w:rPr>
              <w:t>1 (0.0%)</w:t>
            </w:r>
          </w:p>
        </w:tc>
        <w:tc>
          <w:tcPr>
            <w:tcW w:w="625" w:type="pct"/>
            <w:shd w:val="clear" w:color="auto" w:fill="FFFFFF"/>
            <w:tcMar>
              <w:top w:w="0" w:type="dxa"/>
              <w:left w:w="0" w:type="dxa"/>
              <w:bottom w:w="0" w:type="dxa"/>
              <w:right w:w="0" w:type="dxa"/>
            </w:tcMar>
            <w:vAlign w:val="center"/>
            <w:hideMark/>
          </w:tcPr>
          <w:p w14:paraId="3D287766" w14:textId="77777777" w:rsidR="001C19F3" w:rsidRDefault="001C19F3" w:rsidP="00521305">
            <w:pPr>
              <w:spacing w:before="40" w:after="40"/>
              <w:ind w:left="40" w:right="40"/>
              <w:jc w:val="center"/>
            </w:pPr>
            <w:r>
              <w:rPr>
                <w:rFonts w:cs="Century Gothic"/>
                <w:color w:val="000000"/>
                <w:sz w:val="18"/>
                <w:szCs w:val="18"/>
              </w:rPr>
              <w:t>48 (0.8%)</w:t>
            </w:r>
          </w:p>
        </w:tc>
        <w:tc>
          <w:tcPr>
            <w:tcW w:w="625" w:type="pct"/>
            <w:shd w:val="clear" w:color="auto" w:fill="FFFFFF"/>
            <w:tcMar>
              <w:top w:w="0" w:type="dxa"/>
              <w:left w:w="0" w:type="dxa"/>
              <w:bottom w:w="0" w:type="dxa"/>
              <w:right w:w="0" w:type="dxa"/>
            </w:tcMar>
            <w:vAlign w:val="center"/>
            <w:hideMark/>
          </w:tcPr>
          <w:p w14:paraId="5479665C" w14:textId="77777777" w:rsidR="001C19F3" w:rsidRDefault="001C19F3" w:rsidP="00521305">
            <w:pPr>
              <w:spacing w:before="40" w:after="40"/>
              <w:ind w:left="40" w:right="40"/>
              <w:jc w:val="center"/>
            </w:pPr>
            <w:r>
              <w:rPr>
                <w:rFonts w:cs="Century Gothic"/>
                <w:color w:val="000000"/>
                <w:sz w:val="18"/>
                <w:szCs w:val="18"/>
              </w:rPr>
              <w:t>176 (4.3%)</w:t>
            </w:r>
          </w:p>
        </w:tc>
        <w:tc>
          <w:tcPr>
            <w:tcW w:w="625" w:type="pct"/>
            <w:vMerge/>
            <w:vAlign w:val="center"/>
            <w:hideMark/>
          </w:tcPr>
          <w:p w14:paraId="5058BD40" w14:textId="77777777" w:rsidR="001C19F3" w:rsidRDefault="001C19F3" w:rsidP="00521305">
            <w:pPr>
              <w:spacing w:after="0"/>
              <w:rPr>
                <w:sz w:val="22"/>
              </w:rPr>
            </w:pPr>
          </w:p>
        </w:tc>
      </w:tr>
      <w:tr w:rsidR="001C19F3" w14:paraId="3FF31521" w14:textId="77777777" w:rsidTr="00521305">
        <w:trPr>
          <w:cantSplit/>
          <w:trHeight w:val="288"/>
          <w:jc w:val="center"/>
        </w:trPr>
        <w:tc>
          <w:tcPr>
            <w:tcW w:w="1875" w:type="pct"/>
            <w:shd w:val="clear" w:color="auto" w:fill="FFFFFF"/>
            <w:tcMar>
              <w:top w:w="0" w:type="dxa"/>
              <w:left w:w="0" w:type="dxa"/>
              <w:bottom w:w="0" w:type="dxa"/>
              <w:right w:w="0" w:type="dxa"/>
            </w:tcMar>
            <w:vAlign w:val="center"/>
            <w:hideMark/>
          </w:tcPr>
          <w:p w14:paraId="62555FFC" w14:textId="77777777" w:rsidR="001C19F3" w:rsidRDefault="001C19F3" w:rsidP="00521305">
            <w:pPr>
              <w:spacing w:before="40" w:after="40"/>
              <w:ind w:left="160" w:right="40"/>
            </w:pPr>
            <w:r>
              <w:rPr>
                <w:rFonts w:cs="Century Gothic"/>
                <w:color w:val="000000"/>
                <w:sz w:val="18"/>
                <w:szCs w:val="18"/>
              </w:rPr>
              <w:t>Seven</w:t>
            </w:r>
          </w:p>
        </w:tc>
        <w:tc>
          <w:tcPr>
            <w:tcW w:w="625" w:type="pct"/>
            <w:shd w:val="clear" w:color="auto" w:fill="FFFFFF"/>
            <w:tcMar>
              <w:top w:w="0" w:type="dxa"/>
              <w:left w:w="0" w:type="dxa"/>
              <w:bottom w:w="0" w:type="dxa"/>
              <w:right w:w="0" w:type="dxa"/>
            </w:tcMar>
            <w:vAlign w:val="center"/>
            <w:hideMark/>
          </w:tcPr>
          <w:p w14:paraId="00502A6E" w14:textId="77777777" w:rsidR="001C19F3" w:rsidRDefault="001C19F3" w:rsidP="00521305">
            <w:pPr>
              <w:spacing w:before="40" w:after="40"/>
              <w:ind w:left="40" w:right="40"/>
              <w:jc w:val="center"/>
            </w:pPr>
            <w:r>
              <w:rPr>
                <w:rFonts w:cs="Century Gothic"/>
                <w:color w:val="000000"/>
                <w:sz w:val="18"/>
                <w:szCs w:val="18"/>
              </w:rPr>
              <w:t>1,118 (9.0%)</w:t>
            </w:r>
          </w:p>
        </w:tc>
        <w:tc>
          <w:tcPr>
            <w:tcW w:w="625" w:type="pct"/>
            <w:shd w:val="clear" w:color="auto" w:fill="FFFFFF"/>
            <w:tcMar>
              <w:top w:w="0" w:type="dxa"/>
              <w:left w:w="0" w:type="dxa"/>
              <w:bottom w:w="0" w:type="dxa"/>
              <w:right w:w="0" w:type="dxa"/>
            </w:tcMar>
            <w:vAlign w:val="center"/>
            <w:hideMark/>
          </w:tcPr>
          <w:p w14:paraId="1E78764F" w14:textId="77777777" w:rsidR="001C19F3" w:rsidRDefault="001C19F3" w:rsidP="00521305">
            <w:pPr>
              <w:spacing w:before="40" w:after="40"/>
              <w:ind w:left="40" w:right="40"/>
              <w:jc w:val="center"/>
            </w:pPr>
            <w:r>
              <w:rPr>
                <w:rFonts w:cs="Century Gothic"/>
                <w:color w:val="000000"/>
                <w:sz w:val="18"/>
                <w:szCs w:val="18"/>
              </w:rPr>
              <w:t>8 (0.4%)</w:t>
            </w:r>
          </w:p>
        </w:tc>
        <w:tc>
          <w:tcPr>
            <w:tcW w:w="625" w:type="pct"/>
            <w:shd w:val="clear" w:color="auto" w:fill="FFFFFF"/>
            <w:tcMar>
              <w:top w:w="0" w:type="dxa"/>
              <w:left w:w="0" w:type="dxa"/>
              <w:bottom w:w="0" w:type="dxa"/>
              <w:right w:w="0" w:type="dxa"/>
            </w:tcMar>
            <w:vAlign w:val="center"/>
            <w:hideMark/>
          </w:tcPr>
          <w:p w14:paraId="0E5F7EF5" w14:textId="77777777" w:rsidR="001C19F3" w:rsidRDefault="001C19F3" w:rsidP="00521305">
            <w:pPr>
              <w:spacing w:before="40" w:after="40"/>
              <w:ind w:left="40" w:right="40"/>
              <w:jc w:val="center"/>
            </w:pPr>
            <w:r>
              <w:rPr>
                <w:rFonts w:cs="Century Gothic"/>
                <w:color w:val="000000"/>
                <w:sz w:val="18"/>
                <w:szCs w:val="18"/>
              </w:rPr>
              <w:t>179 (2.9%)</w:t>
            </w:r>
          </w:p>
        </w:tc>
        <w:tc>
          <w:tcPr>
            <w:tcW w:w="625" w:type="pct"/>
            <w:shd w:val="clear" w:color="auto" w:fill="FFFFFF"/>
            <w:tcMar>
              <w:top w:w="0" w:type="dxa"/>
              <w:left w:w="0" w:type="dxa"/>
              <w:bottom w:w="0" w:type="dxa"/>
              <w:right w:w="0" w:type="dxa"/>
            </w:tcMar>
            <w:vAlign w:val="center"/>
            <w:hideMark/>
          </w:tcPr>
          <w:p w14:paraId="00963F18" w14:textId="77777777" w:rsidR="001C19F3" w:rsidRDefault="001C19F3" w:rsidP="00521305">
            <w:pPr>
              <w:spacing w:before="40" w:after="40"/>
              <w:ind w:left="40" w:right="40"/>
              <w:jc w:val="center"/>
            </w:pPr>
            <w:r>
              <w:rPr>
                <w:rFonts w:cs="Century Gothic"/>
                <w:color w:val="000000"/>
                <w:sz w:val="18"/>
                <w:szCs w:val="18"/>
              </w:rPr>
              <w:t>931 (23.0%)</w:t>
            </w:r>
          </w:p>
        </w:tc>
        <w:tc>
          <w:tcPr>
            <w:tcW w:w="625" w:type="pct"/>
            <w:vMerge/>
            <w:vAlign w:val="center"/>
            <w:hideMark/>
          </w:tcPr>
          <w:p w14:paraId="1EFF3724" w14:textId="77777777" w:rsidR="001C19F3" w:rsidRDefault="001C19F3" w:rsidP="00521305">
            <w:pPr>
              <w:spacing w:after="0"/>
              <w:rPr>
                <w:sz w:val="22"/>
              </w:rPr>
            </w:pPr>
          </w:p>
        </w:tc>
      </w:tr>
    </w:tbl>
    <w:p w14:paraId="6B7E690B" w14:textId="77777777" w:rsidR="001C19F3" w:rsidRDefault="001C19F3" w:rsidP="001C19F3">
      <w:pPr>
        <w:pStyle w:val="Chartortablefootnote"/>
      </w:pPr>
      <w:r>
        <w:t>Source: Risk stratification data provided by Precedence Health Care, to June 2019.</w:t>
      </w:r>
    </w:p>
    <w:p w14:paraId="6B90A941" w14:textId="77777777" w:rsidR="001C19F3" w:rsidRDefault="001C19F3" w:rsidP="001C19F3">
      <w:pPr>
        <w:spacing w:after="160" w:line="259" w:lineRule="auto"/>
        <w:rPr>
          <w:rFonts w:asciiTheme="minorHAnsi" w:hAnsiTheme="minorHAnsi" w:cstheme="minorBidi"/>
          <w:sz w:val="22"/>
        </w:rPr>
      </w:pPr>
      <w:r>
        <w:rPr>
          <w:rFonts w:asciiTheme="minorHAnsi" w:hAnsiTheme="minorHAnsi" w:cstheme="minorBidi"/>
          <w:sz w:val="22"/>
        </w:rPr>
        <w:br w:type="page"/>
      </w:r>
    </w:p>
    <w:p w14:paraId="27BA0FEF" w14:textId="77777777" w:rsidR="001C19F3" w:rsidRDefault="001C19F3" w:rsidP="001C19F3">
      <w:pPr>
        <w:pStyle w:val="Caption1"/>
      </w:pPr>
      <w:bookmarkStart w:id="613" w:name="_Ref22830185"/>
      <w:r>
        <w:lastRenderedPageBreak/>
        <w:t xml:space="preserve">Table </w:t>
      </w:r>
      <w:r>
        <w:fldChar w:fldCharType="begin"/>
      </w:r>
      <w:r>
        <w:instrText>SEQ Table \* ARABIC</w:instrText>
      </w:r>
      <w:r>
        <w:fldChar w:fldCharType="separate"/>
      </w:r>
      <w:r>
        <w:rPr>
          <w:noProof/>
        </w:rPr>
        <w:t>83</w:t>
      </w:r>
      <w:r>
        <w:fldChar w:fldCharType="end"/>
      </w:r>
      <w:bookmarkEnd w:id="613"/>
      <w:r>
        <w:t xml:space="preserve"> – HARP: Lifestyle characteristics, by tier, and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648"/>
        <w:gridCol w:w="1859"/>
        <w:gridCol w:w="1859"/>
        <w:gridCol w:w="1859"/>
        <w:gridCol w:w="1859"/>
        <w:gridCol w:w="1854"/>
      </w:tblGrid>
      <w:tr w:rsidR="001C19F3" w14:paraId="09665F4A" w14:textId="77777777" w:rsidTr="00521305">
        <w:trPr>
          <w:cantSplit/>
          <w:trHeight w:val="298"/>
          <w:tblHeader/>
          <w:jc w:val="center"/>
        </w:trPr>
        <w:tc>
          <w:tcPr>
            <w:tcW w:w="1667" w:type="pct"/>
            <w:shd w:val="clear" w:color="auto" w:fill="003D79"/>
            <w:vAlign w:val="center"/>
            <w:hideMark/>
          </w:tcPr>
          <w:p w14:paraId="28021E44" w14:textId="77777777" w:rsidR="001C19F3" w:rsidRDefault="001C19F3" w:rsidP="00521305">
            <w:pPr>
              <w:spacing w:after="0"/>
              <w:jc w:val="center"/>
              <w:rPr>
                <w:sz w:val="22"/>
              </w:rPr>
            </w:pPr>
            <w:r w:rsidRPr="00123D9A">
              <w:rPr>
                <w:rFonts w:cs="Century Gothic"/>
                <w:b/>
                <w:color w:val="FFFFFF"/>
                <w:sz w:val="18"/>
                <w:szCs w:val="18"/>
              </w:rPr>
              <w:t>Lifestyle characteristic and score</w:t>
            </w:r>
          </w:p>
        </w:tc>
        <w:tc>
          <w:tcPr>
            <w:tcW w:w="667" w:type="pct"/>
            <w:shd w:val="clear" w:color="auto" w:fill="003D79"/>
            <w:vAlign w:val="center"/>
            <w:hideMark/>
          </w:tcPr>
          <w:p w14:paraId="744FD364" w14:textId="77777777" w:rsidR="001C19F3" w:rsidRDefault="001C19F3" w:rsidP="00521305">
            <w:pPr>
              <w:spacing w:after="0"/>
              <w:jc w:val="center"/>
              <w:rPr>
                <w:sz w:val="22"/>
              </w:rPr>
            </w:pPr>
            <w:r w:rsidRPr="00123D9A">
              <w:rPr>
                <w:rFonts w:cs="Century Gothic"/>
                <w:b/>
                <w:color w:val="FFFFFF"/>
                <w:sz w:val="18"/>
                <w:szCs w:val="18"/>
              </w:rPr>
              <w:t>Total</w:t>
            </w:r>
          </w:p>
        </w:tc>
        <w:tc>
          <w:tcPr>
            <w:tcW w:w="667" w:type="pct"/>
            <w:shd w:val="clear" w:color="auto" w:fill="003D79"/>
            <w:tcMar>
              <w:top w:w="0" w:type="dxa"/>
              <w:left w:w="0" w:type="dxa"/>
              <w:bottom w:w="0" w:type="dxa"/>
              <w:right w:w="0" w:type="dxa"/>
            </w:tcMar>
            <w:vAlign w:val="center"/>
            <w:hideMark/>
          </w:tcPr>
          <w:p w14:paraId="356DA87A" w14:textId="77777777" w:rsidR="001C19F3" w:rsidRDefault="001C19F3" w:rsidP="00521305">
            <w:pPr>
              <w:spacing w:after="0"/>
              <w:jc w:val="center"/>
            </w:pPr>
            <w:r>
              <w:rPr>
                <w:rFonts w:cs="Century Gothic"/>
                <w:b/>
                <w:color w:val="FFFFFF"/>
                <w:sz w:val="18"/>
                <w:szCs w:val="18"/>
              </w:rPr>
              <w:t>Tier 1</w:t>
            </w:r>
          </w:p>
        </w:tc>
        <w:tc>
          <w:tcPr>
            <w:tcW w:w="667" w:type="pct"/>
            <w:shd w:val="clear" w:color="auto" w:fill="003D79"/>
            <w:tcMar>
              <w:top w:w="0" w:type="dxa"/>
              <w:left w:w="0" w:type="dxa"/>
              <w:bottom w:w="0" w:type="dxa"/>
              <w:right w:w="0" w:type="dxa"/>
            </w:tcMar>
            <w:vAlign w:val="center"/>
            <w:hideMark/>
          </w:tcPr>
          <w:p w14:paraId="4AE5219E" w14:textId="77777777" w:rsidR="001C19F3" w:rsidRDefault="001C19F3" w:rsidP="00521305">
            <w:pPr>
              <w:spacing w:after="0"/>
              <w:jc w:val="center"/>
            </w:pPr>
            <w:r>
              <w:rPr>
                <w:rFonts w:cs="Century Gothic"/>
                <w:b/>
                <w:color w:val="FFFFFF"/>
                <w:sz w:val="18"/>
                <w:szCs w:val="18"/>
              </w:rPr>
              <w:t>Tier 2</w:t>
            </w:r>
          </w:p>
        </w:tc>
        <w:tc>
          <w:tcPr>
            <w:tcW w:w="667" w:type="pct"/>
            <w:shd w:val="clear" w:color="auto" w:fill="003D79"/>
            <w:tcMar>
              <w:top w:w="0" w:type="dxa"/>
              <w:left w:w="0" w:type="dxa"/>
              <w:bottom w:w="0" w:type="dxa"/>
              <w:right w:w="0" w:type="dxa"/>
            </w:tcMar>
            <w:vAlign w:val="center"/>
            <w:hideMark/>
          </w:tcPr>
          <w:p w14:paraId="5347874F" w14:textId="77777777" w:rsidR="001C19F3" w:rsidRDefault="001C19F3" w:rsidP="00521305">
            <w:pPr>
              <w:spacing w:after="0"/>
              <w:jc w:val="center"/>
            </w:pPr>
            <w:r>
              <w:rPr>
                <w:rFonts w:cs="Century Gothic"/>
                <w:b/>
                <w:color w:val="FFFFFF"/>
                <w:sz w:val="18"/>
                <w:szCs w:val="18"/>
              </w:rPr>
              <w:t>Tier 3</w:t>
            </w:r>
          </w:p>
        </w:tc>
        <w:tc>
          <w:tcPr>
            <w:tcW w:w="667" w:type="pct"/>
            <w:shd w:val="clear" w:color="auto" w:fill="003D79"/>
            <w:tcMar>
              <w:top w:w="0" w:type="dxa"/>
              <w:left w:w="0" w:type="dxa"/>
              <w:bottom w:w="0" w:type="dxa"/>
              <w:right w:w="0" w:type="dxa"/>
            </w:tcMar>
            <w:vAlign w:val="center"/>
            <w:hideMark/>
          </w:tcPr>
          <w:p w14:paraId="7A1EC487" w14:textId="77777777" w:rsidR="001C19F3" w:rsidRDefault="001C19F3" w:rsidP="00521305">
            <w:pPr>
              <w:spacing w:after="0"/>
              <w:jc w:val="center"/>
            </w:pPr>
            <w:r>
              <w:rPr>
                <w:rFonts w:cs="Century Gothic"/>
                <w:b/>
                <w:color w:val="FFFFFF"/>
                <w:sz w:val="18"/>
                <w:szCs w:val="18"/>
              </w:rPr>
              <w:t xml:space="preserve">P </w:t>
            </w:r>
            <w:r>
              <w:rPr>
                <w:rFonts w:cs="Century Gothic"/>
                <w:b/>
                <w:color w:val="FFFFFF"/>
                <w:sz w:val="18"/>
                <w:szCs w:val="18"/>
              </w:rPr>
              <w:br/>
              <w:t xml:space="preserve"> value</w:t>
            </w:r>
          </w:p>
        </w:tc>
      </w:tr>
      <w:tr w:rsidR="001C19F3" w14:paraId="51D40D5E"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37625141" w14:textId="77777777" w:rsidR="001C19F3" w:rsidRDefault="001C19F3" w:rsidP="00521305">
            <w:pPr>
              <w:spacing w:before="40" w:after="40"/>
              <w:ind w:left="40" w:right="40"/>
            </w:pPr>
            <w:r>
              <w:rPr>
                <w:rFonts w:cs="Century Gothic"/>
                <w:b/>
                <w:color w:val="000000"/>
                <w:sz w:val="18"/>
                <w:szCs w:val="18"/>
              </w:rPr>
              <w:t>Lifestyle characteristics (such as smoking, overweight, physical activity)</w:t>
            </w:r>
          </w:p>
        </w:tc>
      </w:tr>
      <w:tr w:rsidR="001C19F3" w14:paraId="334FC8CA"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4F11B86C" w14:textId="77777777" w:rsidR="001C19F3" w:rsidRDefault="001C19F3" w:rsidP="00521305">
            <w:pPr>
              <w:spacing w:before="40" w:after="40"/>
              <w:ind w:left="160" w:right="40"/>
            </w:pPr>
            <w:r>
              <w:rPr>
                <w:rFonts w:cs="Century Gothic"/>
                <w:color w:val="000000"/>
                <w:sz w:val="18"/>
                <w:szCs w:val="18"/>
              </w:rPr>
              <w:t>Smoking</w:t>
            </w:r>
          </w:p>
        </w:tc>
        <w:tc>
          <w:tcPr>
            <w:tcW w:w="667" w:type="pct"/>
            <w:shd w:val="clear" w:color="auto" w:fill="FFFFFF"/>
            <w:tcMar>
              <w:top w:w="0" w:type="dxa"/>
              <w:left w:w="0" w:type="dxa"/>
              <w:bottom w:w="0" w:type="dxa"/>
              <w:right w:w="0" w:type="dxa"/>
            </w:tcMar>
            <w:vAlign w:val="center"/>
            <w:hideMark/>
          </w:tcPr>
          <w:p w14:paraId="75DCE8F0" w14:textId="77777777" w:rsidR="001C19F3" w:rsidRDefault="001C19F3" w:rsidP="00521305">
            <w:pPr>
              <w:spacing w:before="40" w:after="40"/>
              <w:ind w:left="40" w:right="40"/>
              <w:jc w:val="center"/>
            </w:pPr>
            <w:r>
              <w:rPr>
                <w:rFonts w:cs="Century Gothic"/>
                <w:color w:val="000000"/>
                <w:sz w:val="18"/>
                <w:szCs w:val="18"/>
              </w:rPr>
              <w:t>2,238 (18.0%)</w:t>
            </w:r>
          </w:p>
        </w:tc>
        <w:tc>
          <w:tcPr>
            <w:tcW w:w="667" w:type="pct"/>
            <w:shd w:val="clear" w:color="auto" w:fill="FFFFFF"/>
            <w:tcMar>
              <w:top w:w="0" w:type="dxa"/>
              <w:left w:w="0" w:type="dxa"/>
              <w:bottom w:w="0" w:type="dxa"/>
              <w:right w:w="0" w:type="dxa"/>
            </w:tcMar>
            <w:vAlign w:val="center"/>
            <w:hideMark/>
          </w:tcPr>
          <w:p w14:paraId="36E139FF" w14:textId="77777777" w:rsidR="001C19F3" w:rsidRDefault="001C19F3" w:rsidP="00521305">
            <w:pPr>
              <w:spacing w:before="40" w:after="40"/>
              <w:ind w:left="40" w:right="40"/>
              <w:jc w:val="center"/>
            </w:pPr>
            <w:r>
              <w:rPr>
                <w:rFonts w:cs="Century Gothic"/>
                <w:color w:val="000000"/>
                <w:sz w:val="18"/>
                <w:szCs w:val="18"/>
              </w:rPr>
              <w:t>241 (10.7%)</w:t>
            </w:r>
          </w:p>
        </w:tc>
        <w:tc>
          <w:tcPr>
            <w:tcW w:w="667" w:type="pct"/>
            <w:shd w:val="clear" w:color="auto" w:fill="FFFFFF"/>
            <w:tcMar>
              <w:top w:w="0" w:type="dxa"/>
              <w:left w:w="0" w:type="dxa"/>
              <w:bottom w:w="0" w:type="dxa"/>
              <w:right w:w="0" w:type="dxa"/>
            </w:tcMar>
            <w:vAlign w:val="center"/>
            <w:hideMark/>
          </w:tcPr>
          <w:p w14:paraId="797ABA62" w14:textId="77777777" w:rsidR="001C19F3" w:rsidRDefault="001C19F3" w:rsidP="00521305">
            <w:pPr>
              <w:spacing w:before="40" w:after="40"/>
              <w:ind w:left="40" w:right="40"/>
              <w:jc w:val="center"/>
            </w:pPr>
            <w:r>
              <w:rPr>
                <w:rFonts w:cs="Century Gothic"/>
                <w:color w:val="000000"/>
                <w:sz w:val="18"/>
                <w:szCs w:val="18"/>
              </w:rPr>
              <w:t>1,036 (16.9%)</w:t>
            </w:r>
          </w:p>
        </w:tc>
        <w:tc>
          <w:tcPr>
            <w:tcW w:w="667" w:type="pct"/>
            <w:shd w:val="clear" w:color="auto" w:fill="FFFFFF"/>
            <w:tcMar>
              <w:top w:w="0" w:type="dxa"/>
              <w:left w:w="0" w:type="dxa"/>
              <w:bottom w:w="0" w:type="dxa"/>
              <w:right w:w="0" w:type="dxa"/>
            </w:tcMar>
            <w:vAlign w:val="center"/>
            <w:hideMark/>
          </w:tcPr>
          <w:p w14:paraId="744D3E21" w14:textId="77777777" w:rsidR="001C19F3" w:rsidRDefault="001C19F3" w:rsidP="00521305">
            <w:pPr>
              <w:spacing w:before="40" w:after="40"/>
              <w:ind w:left="40" w:right="40"/>
              <w:jc w:val="center"/>
            </w:pPr>
            <w:r>
              <w:rPr>
                <w:rFonts w:cs="Century Gothic"/>
                <w:color w:val="000000"/>
                <w:sz w:val="18"/>
                <w:szCs w:val="18"/>
              </w:rPr>
              <w:t>961 (23.7%)</w:t>
            </w:r>
          </w:p>
        </w:tc>
        <w:tc>
          <w:tcPr>
            <w:tcW w:w="667" w:type="pct"/>
            <w:shd w:val="clear" w:color="auto" w:fill="FFFFFF"/>
            <w:tcMar>
              <w:top w:w="0" w:type="dxa"/>
              <w:left w:w="0" w:type="dxa"/>
              <w:bottom w:w="0" w:type="dxa"/>
              <w:right w:w="0" w:type="dxa"/>
            </w:tcMar>
            <w:vAlign w:val="center"/>
            <w:hideMark/>
          </w:tcPr>
          <w:p w14:paraId="525573F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056D93CA"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16D6CE58" w14:textId="77777777" w:rsidR="001C19F3" w:rsidRDefault="001C19F3" w:rsidP="00521305">
            <w:pPr>
              <w:spacing w:before="40" w:after="40"/>
              <w:ind w:left="160" w:right="40"/>
            </w:pPr>
            <w:r>
              <w:rPr>
                <w:rFonts w:cs="Century Gothic"/>
                <w:color w:val="000000"/>
                <w:sz w:val="18"/>
                <w:szCs w:val="18"/>
              </w:rPr>
              <w:t>Overweight / Obesity (Guide: BMI 26-35)</w:t>
            </w:r>
          </w:p>
        </w:tc>
        <w:tc>
          <w:tcPr>
            <w:tcW w:w="667" w:type="pct"/>
            <w:shd w:val="clear" w:color="auto" w:fill="FFFFFF"/>
            <w:tcMar>
              <w:top w:w="0" w:type="dxa"/>
              <w:left w:w="0" w:type="dxa"/>
              <w:bottom w:w="0" w:type="dxa"/>
              <w:right w:w="0" w:type="dxa"/>
            </w:tcMar>
            <w:vAlign w:val="center"/>
            <w:hideMark/>
          </w:tcPr>
          <w:p w14:paraId="49B6BB18" w14:textId="77777777" w:rsidR="001C19F3" w:rsidRDefault="001C19F3" w:rsidP="00521305">
            <w:pPr>
              <w:spacing w:before="40" w:after="40"/>
              <w:ind w:left="40" w:right="40"/>
              <w:jc w:val="center"/>
            </w:pPr>
            <w:r>
              <w:rPr>
                <w:rFonts w:cs="Century Gothic"/>
                <w:color w:val="000000"/>
                <w:sz w:val="18"/>
                <w:szCs w:val="18"/>
              </w:rPr>
              <w:t>8,228 (66.1%)</w:t>
            </w:r>
          </w:p>
        </w:tc>
        <w:tc>
          <w:tcPr>
            <w:tcW w:w="667" w:type="pct"/>
            <w:shd w:val="clear" w:color="auto" w:fill="FFFFFF"/>
            <w:tcMar>
              <w:top w:w="0" w:type="dxa"/>
              <w:left w:w="0" w:type="dxa"/>
              <w:bottom w:w="0" w:type="dxa"/>
              <w:right w:w="0" w:type="dxa"/>
            </w:tcMar>
            <w:vAlign w:val="center"/>
            <w:hideMark/>
          </w:tcPr>
          <w:p w14:paraId="0234593F" w14:textId="77777777" w:rsidR="001C19F3" w:rsidRDefault="001C19F3" w:rsidP="00521305">
            <w:pPr>
              <w:spacing w:before="40" w:after="40"/>
              <w:ind w:left="40" w:right="40"/>
              <w:jc w:val="center"/>
            </w:pPr>
            <w:r>
              <w:rPr>
                <w:rFonts w:cs="Century Gothic"/>
                <w:color w:val="000000"/>
                <w:sz w:val="18"/>
                <w:szCs w:val="18"/>
              </w:rPr>
              <w:t>1,365 (60.3%)</w:t>
            </w:r>
          </w:p>
        </w:tc>
        <w:tc>
          <w:tcPr>
            <w:tcW w:w="667" w:type="pct"/>
            <w:shd w:val="clear" w:color="auto" w:fill="FFFFFF"/>
            <w:tcMar>
              <w:top w:w="0" w:type="dxa"/>
              <w:left w:w="0" w:type="dxa"/>
              <w:bottom w:w="0" w:type="dxa"/>
              <w:right w:w="0" w:type="dxa"/>
            </w:tcMar>
            <w:vAlign w:val="center"/>
            <w:hideMark/>
          </w:tcPr>
          <w:p w14:paraId="2D506AFA" w14:textId="77777777" w:rsidR="001C19F3" w:rsidRDefault="001C19F3" w:rsidP="00521305">
            <w:pPr>
              <w:spacing w:before="40" w:after="40"/>
              <w:ind w:left="40" w:right="40"/>
              <w:jc w:val="center"/>
            </w:pPr>
            <w:r>
              <w:rPr>
                <w:rFonts w:cs="Century Gothic"/>
                <w:color w:val="000000"/>
                <w:sz w:val="18"/>
                <w:szCs w:val="18"/>
              </w:rPr>
              <w:t>4,248 (69.3%)</w:t>
            </w:r>
          </w:p>
        </w:tc>
        <w:tc>
          <w:tcPr>
            <w:tcW w:w="667" w:type="pct"/>
            <w:shd w:val="clear" w:color="auto" w:fill="FFFFFF"/>
            <w:tcMar>
              <w:top w:w="0" w:type="dxa"/>
              <w:left w:w="0" w:type="dxa"/>
              <w:bottom w:w="0" w:type="dxa"/>
              <w:right w:w="0" w:type="dxa"/>
            </w:tcMar>
            <w:vAlign w:val="center"/>
            <w:hideMark/>
          </w:tcPr>
          <w:p w14:paraId="0124CF4B" w14:textId="77777777" w:rsidR="001C19F3" w:rsidRDefault="001C19F3" w:rsidP="00521305">
            <w:pPr>
              <w:spacing w:before="40" w:after="40"/>
              <w:ind w:left="40" w:right="40"/>
              <w:jc w:val="center"/>
            </w:pPr>
            <w:r>
              <w:rPr>
                <w:rFonts w:cs="Century Gothic"/>
                <w:color w:val="000000"/>
                <w:sz w:val="18"/>
                <w:szCs w:val="18"/>
              </w:rPr>
              <w:t>2,615 (64.5%)</w:t>
            </w:r>
          </w:p>
        </w:tc>
        <w:tc>
          <w:tcPr>
            <w:tcW w:w="667" w:type="pct"/>
            <w:shd w:val="clear" w:color="auto" w:fill="FFFFFF"/>
            <w:tcMar>
              <w:top w:w="0" w:type="dxa"/>
              <w:left w:w="0" w:type="dxa"/>
              <w:bottom w:w="0" w:type="dxa"/>
              <w:right w:w="0" w:type="dxa"/>
            </w:tcMar>
            <w:vAlign w:val="center"/>
            <w:hideMark/>
          </w:tcPr>
          <w:p w14:paraId="7C312BE3"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36858F2E"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57CB4FD3" w14:textId="77777777" w:rsidR="001C19F3" w:rsidRDefault="001C19F3" w:rsidP="00521305">
            <w:pPr>
              <w:spacing w:before="40" w:after="40"/>
              <w:ind w:left="160" w:right="40"/>
            </w:pPr>
            <w:r>
              <w:rPr>
                <w:rFonts w:cs="Century Gothic"/>
                <w:color w:val="000000"/>
                <w:sz w:val="18"/>
                <w:szCs w:val="18"/>
              </w:rPr>
              <w:t>Underweight (Guide: BMI &lt; 19)</w:t>
            </w:r>
          </w:p>
        </w:tc>
        <w:tc>
          <w:tcPr>
            <w:tcW w:w="667" w:type="pct"/>
            <w:shd w:val="clear" w:color="auto" w:fill="FFFFFF"/>
            <w:tcMar>
              <w:top w:w="0" w:type="dxa"/>
              <w:left w:w="0" w:type="dxa"/>
              <w:bottom w:w="0" w:type="dxa"/>
              <w:right w:w="0" w:type="dxa"/>
            </w:tcMar>
            <w:vAlign w:val="center"/>
            <w:hideMark/>
          </w:tcPr>
          <w:p w14:paraId="2DC22845" w14:textId="77777777" w:rsidR="001C19F3" w:rsidRDefault="001C19F3" w:rsidP="00521305">
            <w:pPr>
              <w:spacing w:before="40" w:after="40"/>
              <w:ind w:left="40" w:right="40"/>
              <w:jc w:val="center"/>
            </w:pPr>
            <w:r>
              <w:rPr>
                <w:rFonts w:cs="Century Gothic"/>
                <w:color w:val="000000"/>
                <w:sz w:val="18"/>
                <w:szCs w:val="18"/>
              </w:rPr>
              <w:t>506 (4.1%)</w:t>
            </w:r>
          </w:p>
        </w:tc>
        <w:tc>
          <w:tcPr>
            <w:tcW w:w="667" w:type="pct"/>
            <w:shd w:val="clear" w:color="auto" w:fill="FFFFFF"/>
            <w:tcMar>
              <w:top w:w="0" w:type="dxa"/>
              <w:left w:w="0" w:type="dxa"/>
              <w:bottom w:w="0" w:type="dxa"/>
              <w:right w:w="0" w:type="dxa"/>
            </w:tcMar>
            <w:vAlign w:val="center"/>
            <w:hideMark/>
          </w:tcPr>
          <w:p w14:paraId="0C8FB802" w14:textId="77777777" w:rsidR="001C19F3" w:rsidRDefault="001C19F3" w:rsidP="00521305">
            <w:pPr>
              <w:spacing w:before="40" w:after="40"/>
              <w:ind w:left="40" w:right="40"/>
              <w:jc w:val="center"/>
            </w:pPr>
            <w:r>
              <w:rPr>
                <w:rFonts w:cs="Century Gothic"/>
                <w:color w:val="000000"/>
                <w:sz w:val="18"/>
                <w:szCs w:val="18"/>
              </w:rPr>
              <w:t>44 (1.9%)</w:t>
            </w:r>
          </w:p>
        </w:tc>
        <w:tc>
          <w:tcPr>
            <w:tcW w:w="667" w:type="pct"/>
            <w:shd w:val="clear" w:color="auto" w:fill="FFFFFF"/>
            <w:tcMar>
              <w:top w:w="0" w:type="dxa"/>
              <w:left w:w="0" w:type="dxa"/>
              <w:bottom w:w="0" w:type="dxa"/>
              <w:right w:w="0" w:type="dxa"/>
            </w:tcMar>
            <w:vAlign w:val="center"/>
            <w:hideMark/>
          </w:tcPr>
          <w:p w14:paraId="0092EF82" w14:textId="77777777" w:rsidR="001C19F3" w:rsidRDefault="001C19F3" w:rsidP="00521305">
            <w:pPr>
              <w:spacing w:before="40" w:after="40"/>
              <w:ind w:left="40" w:right="40"/>
              <w:jc w:val="center"/>
            </w:pPr>
            <w:r>
              <w:rPr>
                <w:rFonts w:cs="Century Gothic"/>
                <w:color w:val="000000"/>
                <w:sz w:val="18"/>
                <w:szCs w:val="18"/>
              </w:rPr>
              <w:t>209 (3.4%)</w:t>
            </w:r>
          </w:p>
        </w:tc>
        <w:tc>
          <w:tcPr>
            <w:tcW w:w="667" w:type="pct"/>
            <w:shd w:val="clear" w:color="auto" w:fill="FFFFFF"/>
            <w:tcMar>
              <w:top w:w="0" w:type="dxa"/>
              <w:left w:w="0" w:type="dxa"/>
              <w:bottom w:w="0" w:type="dxa"/>
              <w:right w:w="0" w:type="dxa"/>
            </w:tcMar>
            <w:vAlign w:val="center"/>
            <w:hideMark/>
          </w:tcPr>
          <w:p w14:paraId="1FFB0C58" w14:textId="77777777" w:rsidR="001C19F3" w:rsidRDefault="001C19F3" w:rsidP="00521305">
            <w:pPr>
              <w:spacing w:before="40" w:after="40"/>
              <w:ind w:left="40" w:right="40"/>
              <w:jc w:val="center"/>
            </w:pPr>
            <w:r>
              <w:rPr>
                <w:rFonts w:cs="Century Gothic"/>
                <w:color w:val="000000"/>
                <w:sz w:val="18"/>
                <w:szCs w:val="18"/>
              </w:rPr>
              <w:t>253 (6.2%)</w:t>
            </w:r>
          </w:p>
        </w:tc>
        <w:tc>
          <w:tcPr>
            <w:tcW w:w="667" w:type="pct"/>
            <w:shd w:val="clear" w:color="auto" w:fill="FFFFFF"/>
            <w:tcMar>
              <w:top w:w="0" w:type="dxa"/>
              <w:left w:w="0" w:type="dxa"/>
              <w:bottom w:w="0" w:type="dxa"/>
              <w:right w:w="0" w:type="dxa"/>
            </w:tcMar>
            <w:vAlign w:val="center"/>
            <w:hideMark/>
          </w:tcPr>
          <w:p w14:paraId="7D1555B2"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242A153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CD29D2C" w14:textId="77777777" w:rsidR="001C19F3" w:rsidRDefault="001C19F3" w:rsidP="00521305">
            <w:pPr>
              <w:spacing w:before="40" w:after="40"/>
              <w:ind w:left="160" w:right="40"/>
            </w:pPr>
            <w:r>
              <w:rPr>
                <w:rFonts w:cs="Century Gothic"/>
                <w:color w:val="000000"/>
                <w:sz w:val="18"/>
                <w:szCs w:val="18"/>
              </w:rPr>
              <w:t>High cholesterol (total cholesterol ≥ 5.5mmol/L, HDL≤ 1.0mmol/L, LDL ≥ 2.0mmol/L)</w:t>
            </w:r>
          </w:p>
        </w:tc>
        <w:tc>
          <w:tcPr>
            <w:tcW w:w="667" w:type="pct"/>
            <w:shd w:val="clear" w:color="auto" w:fill="FFFFFF"/>
            <w:tcMar>
              <w:top w:w="0" w:type="dxa"/>
              <w:left w:w="0" w:type="dxa"/>
              <w:bottom w:w="0" w:type="dxa"/>
              <w:right w:w="0" w:type="dxa"/>
            </w:tcMar>
            <w:vAlign w:val="center"/>
            <w:hideMark/>
          </w:tcPr>
          <w:p w14:paraId="76E46311" w14:textId="77777777" w:rsidR="001C19F3" w:rsidRDefault="001C19F3" w:rsidP="00521305">
            <w:pPr>
              <w:spacing w:before="40" w:after="40"/>
              <w:ind w:left="40" w:right="40"/>
              <w:jc w:val="center"/>
            </w:pPr>
            <w:r>
              <w:rPr>
                <w:rFonts w:cs="Century Gothic"/>
                <w:color w:val="000000"/>
                <w:sz w:val="18"/>
                <w:szCs w:val="18"/>
              </w:rPr>
              <w:t>8,846 (71.1%)</w:t>
            </w:r>
          </w:p>
        </w:tc>
        <w:tc>
          <w:tcPr>
            <w:tcW w:w="667" w:type="pct"/>
            <w:shd w:val="clear" w:color="auto" w:fill="FFFFFF"/>
            <w:tcMar>
              <w:top w:w="0" w:type="dxa"/>
              <w:left w:w="0" w:type="dxa"/>
              <w:bottom w:w="0" w:type="dxa"/>
              <w:right w:w="0" w:type="dxa"/>
            </w:tcMar>
            <w:vAlign w:val="center"/>
            <w:hideMark/>
          </w:tcPr>
          <w:p w14:paraId="32B98B52" w14:textId="77777777" w:rsidR="001C19F3" w:rsidRDefault="001C19F3" w:rsidP="00521305">
            <w:pPr>
              <w:spacing w:before="40" w:after="40"/>
              <w:ind w:left="40" w:right="40"/>
              <w:jc w:val="center"/>
            </w:pPr>
            <w:r>
              <w:rPr>
                <w:rFonts w:cs="Century Gothic"/>
                <w:color w:val="000000"/>
                <w:sz w:val="18"/>
                <w:szCs w:val="18"/>
              </w:rPr>
              <w:t>1,586 (70.1%)</w:t>
            </w:r>
          </w:p>
        </w:tc>
        <w:tc>
          <w:tcPr>
            <w:tcW w:w="667" w:type="pct"/>
            <w:shd w:val="clear" w:color="auto" w:fill="FFFFFF"/>
            <w:tcMar>
              <w:top w:w="0" w:type="dxa"/>
              <w:left w:w="0" w:type="dxa"/>
              <w:bottom w:w="0" w:type="dxa"/>
              <w:right w:w="0" w:type="dxa"/>
            </w:tcMar>
            <w:vAlign w:val="center"/>
            <w:hideMark/>
          </w:tcPr>
          <w:p w14:paraId="1322A448" w14:textId="77777777" w:rsidR="001C19F3" w:rsidRDefault="001C19F3" w:rsidP="00521305">
            <w:pPr>
              <w:spacing w:before="40" w:after="40"/>
              <w:ind w:left="40" w:right="40"/>
              <w:jc w:val="center"/>
            </w:pPr>
            <w:r>
              <w:rPr>
                <w:rFonts w:cs="Century Gothic"/>
                <w:color w:val="000000"/>
                <w:sz w:val="18"/>
                <w:szCs w:val="18"/>
              </w:rPr>
              <w:t>4,502 (73.4%)</w:t>
            </w:r>
          </w:p>
        </w:tc>
        <w:tc>
          <w:tcPr>
            <w:tcW w:w="667" w:type="pct"/>
            <w:shd w:val="clear" w:color="auto" w:fill="FFFFFF"/>
            <w:tcMar>
              <w:top w:w="0" w:type="dxa"/>
              <w:left w:w="0" w:type="dxa"/>
              <w:bottom w:w="0" w:type="dxa"/>
              <w:right w:w="0" w:type="dxa"/>
            </w:tcMar>
            <w:vAlign w:val="center"/>
            <w:hideMark/>
          </w:tcPr>
          <w:p w14:paraId="33050951" w14:textId="77777777" w:rsidR="001C19F3" w:rsidRDefault="001C19F3" w:rsidP="00521305">
            <w:pPr>
              <w:spacing w:before="40" w:after="40"/>
              <w:ind w:left="40" w:right="40"/>
              <w:jc w:val="center"/>
            </w:pPr>
            <w:r>
              <w:rPr>
                <w:rFonts w:cs="Century Gothic"/>
                <w:color w:val="000000"/>
                <w:sz w:val="18"/>
                <w:szCs w:val="18"/>
              </w:rPr>
              <w:t>2,758 (68.1%)</w:t>
            </w:r>
          </w:p>
        </w:tc>
        <w:tc>
          <w:tcPr>
            <w:tcW w:w="667" w:type="pct"/>
            <w:shd w:val="clear" w:color="auto" w:fill="FFFFFF"/>
            <w:tcMar>
              <w:top w:w="0" w:type="dxa"/>
              <w:left w:w="0" w:type="dxa"/>
              <w:bottom w:w="0" w:type="dxa"/>
              <w:right w:w="0" w:type="dxa"/>
            </w:tcMar>
            <w:vAlign w:val="center"/>
            <w:hideMark/>
          </w:tcPr>
          <w:p w14:paraId="634333E0"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1B387802"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D7C5D41" w14:textId="77777777" w:rsidR="001C19F3" w:rsidRDefault="001C19F3" w:rsidP="00521305">
            <w:pPr>
              <w:spacing w:before="40" w:after="40"/>
              <w:ind w:left="160" w:right="40"/>
            </w:pPr>
            <w:r>
              <w:rPr>
                <w:rFonts w:cs="Century Gothic"/>
                <w:color w:val="000000"/>
                <w:sz w:val="18"/>
                <w:szCs w:val="18"/>
              </w:rPr>
              <w:t>High blood pressure (≥ 140/90mmHg or on medication for high blood pressure)</w:t>
            </w:r>
          </w:p>
        </w:tc>
        <w:tc>
          <w:tcPr>
            <w:tcW w:w="667" w:type="pct"/>
            <w:shd w:val="clear" w:color="auto" w:fill="FFFFFF"/>
            <w:tcMar>
              <w:top w:w="0" w:type="dxa"/>
              <w:left w:w="0" w:type="dxa"/>
              <w:bottom w:w="0" w:type="dxa"/>
              <w:right w:w="0" w:type="dxa"/>
            </w:tcMar>
            <w:vAlign w:val="center"/>
            <w:hideMark/>
          </w:tcPr>
          <w:p w14:paraId="27128000" w14:textId="77777777" w:rsidR="001C19F3" w:rsidRDefault="001C19F3" w:rsidP="00521305">
            <w:pPr>
              <w:spacing w:before="40" w:after="40"/>
              <w:ind w:left="40" w:right="40"/>
              <w:jc w:val="center"/>
            </w:pPr>
            <w:r>
              <w:rPr>
                <w:rFonts w:cs="Century Gothic"/>
                <w:color w:val="000000"/>
                <w:sz w:val="18"/>
                <w:szCs w:val="18"/>
              </w:rPr>
              <w:t>6,256 (50.3%)</w:t>
            </w:r>
          </w:p>
        </w:tc>
        <w:tc>
          <w:tcPr>
            <w:tcW w:w="667" w:type="pct"/>
            <w:shd w:val="clear" w:color="auto" w:fill="FFFFFF"/>
            <w:tcMar>
              <w:top w:w="0" w:type="dxa"/>
              <w:left w:w="0" w:type="dxa"/>
              <w:bottom w:w="0" w:type="dxa"/>
              <w:right w:w="0" w:type="dxa"/>
            </w:tcMar>
            <w:vAlign w:val="center"/>
            <w:hideMark/>
          </w:tcPr>
          <w:p w14:paraId="0BC53D5F" w14:textId="77777777" w:rsidR="001C19F3" w:rsidRDefault="001C19F3" w:rsidP="00521305">
            <w:pPr>
              <w:spacing w:before="40" w:after="40"/>
              <w:ind w:left="40" w:right="40"/>
              <w:jc w:val="center"/>
            </w:pPr>
            <w:r>
              <w:rPr>
                <w:rFonts w:cs="Century Gothic"/>
                <w:color w:val="000000"/>
                <w:sz w:val="18"/>
                <w:szCs w:val="18"/>
              </w:rPr>
              <w:t>1,016 (44.9%)</w:t>
            </w:r>
          </w:p>
        </w:tc>
        <w:tc>
          <w:tcPr>
            <w:tcW w:w="667" w:type="pct"/>
            <w:shd w:val="clear" w:color="auto" w:fill="FFFFFF"/>
            <w:tcMar>
              <w:top w:w="0" w:type="dxa"/>
              <w:left w:w="0" w:type="dxa"/>
              <w:bottom w:w="0" w:type="dxa"/>
              <w:right w:w="0" w:type="dxa"/>
            </w:tcMar>
            <w:vAlign w:val="center"/>
            <w:hideMark/>
          </w:tcPr>
          <w:p w14:paraId="28D00FEC" w14:textId="77777777" w:rsidR="001C19F3" w:rsidRDefault="001C19F3" w:rsidP="00521305">
            <w:pPr>
              <w:spacing w:before="40" w:after="40"/>
              <w:ind w:left="40" w:right="40"/>
              <w:jc w:val="center"/>
            </w:pPr>
            <w:r>
              <w:rPr>
                <w:rFonts w:cs="Century Gothic"/>
                <w:color w:val="000000"/>
                <w:sz w:val="18"/>
                <w:szCs w:val="18"/>
              </w:rPr>
              <w:t>3,216 (52.4%)</w:t>
            </w:r>
          </w:p>
        </w:tc>
        <w:tc>
          <w:tcPr>
            <w:tcW w:w="667" w:type="pct"/>
            <w:shd w:val="clear" w:color="auto" w:fill="FFFFFF"/>
            <w:tcMar>
              <w:top w:w="0" w:type="dxa"/>
              <w:left w:w="0" w:type="dxa"/>
              <w:bottom w:w="0" w:type="dxa"/>
              <w:right w:w="0" w:type="dxa"/>
            </w:tcMar>
            <w:vAlign w:val="center"/>
            <w:hideMark/>
          </w:tcPr>
          <w:p w14:paraId="50FFA33B" w14:textId="77777777" w:rsidR="001C19F3" w:rsidRDefault="001C19F3" w:rsidP="00521305">
            <w:pPr>
              <w:spacing w:before="40" w:after="40"/>
              <w:ind w:left="40" w:right="40"/>
              <w:jc w:val="center"/>
            </w:pPr>
            <w:r>
              <w:rPr>
                <w:rFonts w:cs="Century Gothic"/>
                <w:color w:val="000000"/>
                <w:sz w:val="18"/>
                <w:szCs w:val="18"/>
              </w:rPr>
              <w:t>2,024 (50.0%)</w:t>
            </w:r>
          </w:p>
        </w:tc>
        <w:tc>
          <w:tcPr>
            <w:tcW w:w="667" w:type="pct"/>
            <w:shd w:val="clear" w:color="auto" w:fill="FFFFFF"/>
            <w:tcMar>
              <w:top w:w="0" w:type="dxa"/>
              <w:left w:w="0" w:type="dxa"/>
              <w:bottom w:w="0" w:type="dxa"/>
              <w:right w:w="0" w:type="dxa"/>
            </w:tcMar>
            <w:vAlign w:val="center"/>
            <w:hideMark/>
          </w:tcPr>
          <w:p w14:paraId="7A25E7BF"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4A09B038"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6060B4AC" w14:textId="77777777" w:rsidR="001C19F3" w:rsidRDefault="001C19F3" w:rsidP="00521305">
            <w:pPr>
              <w:spacing w:before="40" w:after="40"/>
              <w:ind w:left="160" w:right="40"/>
            </w:pPr>
            <w:r>
              <w:rPr>
                <w:rFonts w:cs="Century Gothic"/>
                <w:color w:val="000000"/>
                <w:sz w:val="18"/>
                <w:szCs w:val="18"/>
              </w:rPr>
              <w:t>Physical inactivity (less than 30 mins/d &amp; 4 days/wk)</w:t>
            </w:r>
          </w:p>
        </w:tc>
        <w:tc>
          <w:tcPr>
            <w:tcW w:w="667" w:type="pct"/>
            <w:shd w:val="clear" w:color="auto" w:fill="FFFFFF"/>
            <w:tcMar>
              <w:top w:w="0" w:type="dxa"/>
              <w:left w:w="0" w:type="dxa"/>
              <w:bottom w:w="0" w:type="dxa"/>
              <w:right w:w="0" w:type="dxa"/>
            </w:tcMar>
            <w:vAlign w:val="center"/>
            <w:hideMark/>
          </w:tcPr>
          <w:p w14:paraId="7900236A" w14:textId="77777777" w:rsidR="001C19F3" w:rsidRDefault="001C19F3" w:rsidP="00521305">
            <w:pPr>
              <w:spacing w:before="40" w:after="40"/>
              <w:ind w:left="40" w:right="40"/>
              <w:jc w:val="center"/>
            </w:pPr>
            <w:r>
              <w:rPr>
                <w:rFonts w:cs="Century Gothic"/>
                <w:color w:val="000000"/>
                <w:sz w:val="18"/>
                <w:szCs w:val="18"/>
              </w:rPr>
              <w:t>6,936 (55.7%)</w:t>
            </w:r>
          </w:p>
        </w:tc>
        <w:tc>
          <w:tcPr>
            <w:tcW w:w="667" w:type="pct"/>
            <w:shd w:val="clear" w:color="auto" w:fill="FFFFFF"/>
            <w:tcMar>
              <w:top w:w="0" w:type="dxa"/>
              <w:left w:w="0" w:type="dxa"/>
              <w:bottom w:w="0" w:type="dxa"/>
              <w:right w:w="0" w:type="dxa"/>
            </w:tcMar>
            <w:vAlign w:val="center"/>
            <w:hideMark/>
          </w:tcPr>
          <w:p w14:paraId="155BA028" w14:textId="77777777" w:rsidR="001C19F3" w:rsidRDefault="001C19F3" w:rsidP="00521305">
            <w:pPr>
              <w:spacing w:before="40" w:after="40"/>
              <w:ind w:left="40" w:right="40"/>
              <w:jc w:val="center"/>
            </w:pPr>
            <w:r>
              <w:rPr>
                <w:rFonts w:cs="Century Gothic"/>
                <w:color w:val="000000"/>
                <w:sz w:val="18"/>
                <w:szCs w:val="18"/>
              </w:rPr>
              <w:t>675 (29.8%)</w:t>
            </w:r>
          </w:p>
        </w:tc>
        <w:tc>
          <w:tcPr>
            <w:tcW w:w="667" w:type="pct"/>
            <w:shd w:val="clear" w:color="auto" w:fill="FFFFFF"/>
            <w:tcMar>
              <w:top w:w="0" w:type="dxa"/>
              <w:left w:w="0" w:type="dxa"/>
              <w:bottom w:w="0" w:type="dxa"/>
              <w:right w:w="0" w:type="dxa"/>
            </w:tcMar>
            <w:vAlign w:val="center"/>
            <w:hideMark/>
          </w:tcPr>
          <w:p w14:paraId="771BE1BD" w14:textId="77777777" w:rsidR="001C19F3" w:rsidRDefault="001C19F3" w:rsidP="00521305">
            <w:pPr>
              <w:spacing w:before="40" w:after="40"/>
              <w:ind w:left="40" w:right="40"/>
              <w:jc w:val="center"/>
            </w:pPr>
            <w:r>
              <w:rPr>
                <w:rFonts w:cs="Century Gothic"/>
                <w:color w:val="000000"/>
                <w:sz w:val="18"/>
                <w:szCs w:val="18"/>
              </w:rPr>
              <w:t>3,269 (53.3%)</w:t>
            </w:r>
          </w:p>
        </w:tc>
        <w:tc>
          <w:tcPr>
            <w:tcW w:w="667" w:type="pct"/>
            <w:shd w:val="clear" w:color="auto" w:fill="FFFFFF"/>
            <w:tcMar>
              <w:top w:w="0" w:type="dxa"/>
              <w:left w:w="0" w:type="dxa"/>
              <w:bottom w:w="0" w:type="dxa"/>
              <w:right w:w="0" w:type="dxa"/>
            </w:tcMar>
            <w:vAlign w:val="center"/>
            <w:hideMark/>
          </w:tcPr>
          <w:p w14:paraId="03B00D3E" w14:textId="77777777" w:rsidR="001C19F3" w:rsidRDefault="001C19F3" w:rsidP="00521305">
            <w:pPr>
              <w:spacing w:before="40" w:after="40"/>
              <w:ind w:left="40" w:right="40"/>
              <w:jc w:val="center"/>
            </w:pPr>
            <w:r>
              <w:rPr>
                <w:rFonts w:cs="Century Gothic"/>
                <w:color w:val="000000"/>
                <w:sz w:val="18"/>
                <w:szCs w:val="18"/>
              </w:rPr>
              <w:t>2,992 (73.8%)</w:t>
            </w:r>
          </w:p>
        </w:tc>
        <w:tc>
          <w:tcPr>
            <w:tcW w:w="667" w:type="pct"/>
            <w:shd w:val="clear" w:color="auto" w:fill="FFFFFF"/>
            <w:tcMar>
              <w:top w:w="0" w:type="dxa"/>
              <w:left w:w="0" w:type="dxa"/>
              <w:bottom w:w="0" w:type="dxa"/>
              <w:right w:w="0" w:type="dxa"/>
            </w:tcMar>
            <w:vAlign w:val="center"/>
            <w:hideMark/>
          </w:tcPr>
          <w:p w14:paraId="13F8C77D"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66B356F2"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0BA3BD1" w14:textId="77777777" w:rsidR="001C19F3" w:rsidRDefault="001C19F3" w:rsidP="00521305">
            <w:pPr>
              <w:spacing w:before="40" w:after="40"/>
              <w:ind w:left="160" w:right="40"/>
            </w:pPr>
            <w:r>
              <w:rPr>
                <w:rFonts w:cs="Century Gothic"/>
                <w:color w:val="000000"/>
                <w:sz w:val="18"/>
                <w:szCs w:val="18"/>
              </w:rPr>
              <w:t>Polypharmacy &gt; 5 medications with difficulty managing</w:t>
            </w:r>
          </w:p>
        </w:tc>
        <w:tc>
          <w:tcPr>
            <w:tcW w:w="667" w:type="pct"/>
            <w:shd w:val="clear" w:color="auto" w:fill="FFFFFF"/>
            <w:tcMar>
              <w:top w:w="0" w:type="dxa"/>
              <w:left w:w="0" w:type="dxa"/>
              <w:bottom w:w="0" w:type="dxa"/>
              <w:right w:w="0" w:type="dxa"/>
            </w:tcMar>
            <w:vAlign w:val="center"/>
            <w:hideMark/>
          </w:tcPr>
          <w:p w14:paraId="3395BB36" w14:textId="77777777" w:rsidR="001C19F3" w:rsidRDefault="001C19F3" w:rsidP="00521305">
            <w:pPr>
              <w:spacing w:before="40" w:after="40"/>
              <w:ind w:left="40" w:right="40"/>
              <w:jc w:val="center"/>
            </w:pPr>
            <w:r>
              <w:rPr>
                <w:rFonts w:cs="Century Gothic"/>
                <w:color w:val="000000"/>
                <w:sz w:val="18"/>
                <w:szCs w:val="18"/>
              </w:rPr>
              <w:t>8,159 (65.5%)</w:t>
            </w:r>
          </w:p>
        </w:tc>
        <w:tc>
          <w:tcPr>
            <w:tcW w:w="667" w:type="pct"/>
            <w:shd w:val="clear" w:color="auto" w:fill="FFFFFF"/>
            <w:tcMar>
              <w:top w:w="0" w:type="dxa"/>
              <w:left w:w="0" w:type="dxa"/>
              <w:bottom w:w="0" w:type="dxa"/>
              <w:right w:w="0" w:type="dxa"/>
            </w:tcMar>
            <w:vAlign w:val="center"/>
            <w:hideMark/>
          </w:tcPr>
          <w:p w14:paraId="123BCAE1" w14:textId="77777777" w:rsidR="001C19F3" w:rsidRDefault="001C19F3" w:rsidP="00521305">
            <w:pPr>
              <w:spacing w:before="40" w:after="40"/>
              <w:ind w:left="40" w:right="40"/>
              <w:jc w:val="center"/>
            </w:pPr>
            <w:r>
              <w:rPr>
                <w:rFonts w:cs="Century Gothic"/>
                <w:color w:val="000000"/>
                <w:sz w:val="18"/>
                <w:szCs w:val="18"/>
              </w:rPr>
              <w:t>1,054 (46.6%)</w:t>
            </w:r>
          </w:p>
        </w:tc>
        <w:tc>
          <w:tcPr>
            <w:tcW w:w="667" w:type="pct"/>
            <w:shd w:val="clear" w:color="auto" w:fill="FFFFFF"/>
            <w:tcMar>
              <w:top w:w="0" w:type="dxa"/>
              <w:left w:w="0" w:type="dxa"/>
              <w:bottom w:w="0" w:type="dxa"/>
              <w:right w:w="0" w:type="dxa"/>
            </w:tcMar>
            <w:vAlign w:val="center"/>
            <w:hideMark/>
          </w:tcPr>
          <w:p w14:paraId="1AE2DF6D" w14:textId="77777777" w:rsidR="001C19F3" w:rsidRDefault="001C19F3" w:rsidP="00521305">
            <w:pPr>
              <w:spacing w:before="40" w:after="40"/>
              <w:ind w:left="40" w:right="40"/>
              <w:jc w:val="center"/>
            </w:pPr>
            <w:r>
              <w:rPr>
                <w:rFonts w:cs="Century Gothic"/>
                <w:color w:val="000000"/>
                <w:sz w:val="18"/>
                <w:szCs w:val="18"/>
              </w:rPr>
              <w:t>3,884 (63.3%)</w:t>
            </w:r>
          </w:p>
        </w:tc>
        <w:tc>
          <w:tcPr>
            <w:tcW w:w="667" w:type="pct"/>
            <w:shd w:val="clear" w:color="auto" w:fill="FFFFFF"/>
            <w:tcMar>
              <w:top w:w="0" w:type="dxa"/>
              <w:left w:w="0" w:type="dxa"/>
              <w:bottom w:w="0" w:type="dxa"/>
              <w:right w:w="0" w:type="dxa"/>
            </w:tcMar>
            <w:vAlign w:val="center"/>
            <w:hideMark/>
          </w:tcPr>
          <w:p w14:paraId="0CA2093B" w14:textId="77777777" w:rsidR="001C19F3" w:rsidRDefault="001C19F3" w:rsidP="00521305">
            <w:pPr>
              <w:spacing w:before="40" w:after="40"/>
              <w:ind w:left="40" w:right="40"/>
              <w:jc w:val="center"/>
            </w:pPr>
            <w:r>
              <w:rPr>
                <w:rFonts w:cs="Century Gothic"/>
                <w:color w:val="000000"/>
                <w:sz w:val="18"/>
                <w:szCs w:val="18"/>
              </w:rPr>
              <w:t>3,221 (79.5%)</w:t>
            </w:r>
          </w:p>
        </w:tc>
        <w:tc>
          <w:tcPr>
            <w:tcW w:w="667" w:type="pct"/>
            <w:shd w:val="clear" w:color="auto" w:fill="FFFFFF"/>
            <w:tcMar>
              <w:top w:w="0" w:type="dxa"/>
              <w:left w:w="0" w:type="dxa"/>
              <w:bottom w:w="0" w:type="dxa"/>
              <w:right w:w="0" w:type="dxa"/>
            </w:tcMar>
            <w:vAlign w:val="center"/>
            <w:hideMark/>
          </w:tcPr>
          <w:p w14:paraId="3F48CB7D"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B7BD72F"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091B6845" w14:textId="77777777" w:rsidR="001C19F3" w:rsidRDefault="001C19F3" w:rsidP="00521305">
            <w:pPr>
              <w:spacing w:before="40" w:after="40"/>
              <w:ind w:left="40" w:right="40"/>
            </w:pPr>
            <w:r>
              <w:rPr>
                <w:rFonts w:cs="Century Gothic"/>
                <w:b/>
                <w:color w:val="000000"/>
                <w:sz w:val="18"/>
                <w:szCs w:val="18"/>
              </w:rPr>
              <w:t>Z: Score (out of 6)</w:t>
            </w:r>
          </w:p>
        </w:tc>
      </w:tr>
      <w:tr w:rsidR="001C19F3" w14:paraId="675D390A"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58FB2826" w14:textId="77777777" w:rsidR="001C19F3" w:rsidRDefault="001C19F3" w:rsidP="00521305">
            <w:pPr>
              <w:spacing w:before="40" w:after="40"/>
              <w:ind w:left="160" w:right="40"/>
            </w:pPr>
            <w:r>
              <w:rPr>
                <w:rFonts w:cs="Century Gothic"/>
                <w:color w:val="000000"/>
                <w:sz w:val="18"/>
                <w:szCs w:val="18"/>
              </w:rPr>
              <w:t>Zero</w:t>
            </w:r>
          </w:p>
        </w:tc>
        <w:tc>
          <w:tcPr>
            <w:tcW w:w="667" w:type="pct"/>
            <w:shd w:val="clear" w:color="auto" w:fill="FFFFFF"/>
            <w:tcMar>
              <w:top w:w="0" w:type="dxa"/>
              <w:left w:w="0" w:type="dxa"/>
              <w:bottom w:w="0" w:type="dxa"/>
              <w:right w:w="0" w:type="dxa"/>
            </w:tcMar>
            <w:vAlign w:val="center"/>
            <w:hideMark/>
          </w:tcPr>
          <w:p w14:paraId="3640203C" w14:textId="77777777" w:rsidR="001C19F3" w:rsidRDefault="001C19F3" w:rsidP="00521305">
            <w:pPr>
              <w:spacing w:before="40" w:after="40"/>
              <w:ind w:left="40" w:right="40"/>
              <w:jc w:val="center"/>
            </w:pPr>
            <w:r>
              <w:rPr>
                <w:rFonts w:cs="Century Gothic"/>
                <w:color w:val="000000"/>
                <w:sz w:val="18"/>
                <w:szCs w:val="18"/>
              </w:rPr>
              <w:t>171 (1.4%)</w:t>
            </w:r>
          </w:p>
        </w:tc>
        <w:tc>
          <w:tcPr>
            <w:tcW w:w="667" w:type="pct"/>
            <w:shd w:val="clear" w:color="auto" w:fill="FFFFFF"/>
            <w:tcMar>
              <w:top w:w="0" w:type="dxa"/>
              <w:left w:w="0" w:type="dxa"/>
              <w:bottom w:w="0" w:type="dxa"/>
              <w:right w:w="0" w:type="dxa"/>
            </w:tcMar>
            <w:vAlign w:val="center"/>
            <w:hideMark/>
          </w:tcPr>
          <w:p w14:paraId="55215CE3" w14:textId="77777777" w:rsidR="001C19F3" w:rsidRDefault="001C19F3" w:rsidP="00521305">
            <w:pPr>
              <w:spacing w:before="40" w:after="40"/>
              <w:ind w:left="40" w:right="40"/>
              <w:jc w:val="center"/>
            </w:pPr>
            <w:r>
              <w:rPr>
                <w:rFonts w:cs="Century Gothic"/>
                <w:color w:val="000000"/>
                <w:sz w:val="18"/>
                <w:szCs w:val="18"/>
              </w:rPr>
              <w:t>91 (4.0%)</w:t>
            </w:r>
          </w:p>
        </w:tc>
        <w:tc>
          <w:tcPr>
            <w:tcW w:w="667" w:type="pct"/>
            <w:shd w:val="clear" w:color="auto" w:fill="FFFFFF"/>
            <w:tcMar>
              <w:top w:w="0" w:type="dxa"/>
              <w:left w:w="0" w:type="dxa"/>
              <w:bottom w:w="0" w:type="dxa"/>
              <w:right w:w="0" w:type="dxa"/>
            </w:tcMar>
            <w:vAlign w:val="center"/>
            <w:hideMark/>
          </w:tcPr>
          <w:p w14:paraId="7BF5480D" w14:textId="77777777" w:rsidR="001C19F3" w:rsidRDefault="001C19F3" w:rsidP="00521305">
            <w:pPr>
              <w:spacing w:before="40" w:after="40"/>
              <w:ind w:left="40" w:right="40"/>
              <w:jc w:val="center"/>
            </w:pPr>
            <w:r>
              <w:rPr>
                <w:rFonts w:cs="Century Gothic"/>
                <w:color w:val="000000"/>
                <w:sz w:val="18"/>
                <w:szCs w:val="18"/>
              </w:rPr>
              <w:t>58 (0.9%)</w:t>
            </w:r>
          </w:p>
        </w:tc>
        <w:tc>
          <w:tcPr>
            <w:tcW w:w="667" w:type="pct"/>
            <w:shd w:val="clear" w:color="auto" w:fill="FFFFFF"/>
            <w:tcMar>
              <w:top w:w="0" w:type="dxa"/>
              <w:left w:w="0" w:type="dxa"/>
              <w:bottom w:w="0" w:type="dxa"/>
              <w:right w:w="0" w:type="dxa"/>
            </w:tcMar>
            <w:vAlign w:val="center"/>
            <w:hideMark/>
          </w:tcPr>
          <w:p w14:paraId="0BDA27E4" w14:textId="77777777" w:rsidR="001C19F3" w:rsidRDefault="001C19F3" w:rsidP="00521305">
            <w:pPr>
              <w:spacing w:before="40" w:after="40"/>
              <w:ind w:left="40" w:right="40"/>
              <w:jc w:val="center"/>
            </w:pPr>
            <w:r>
              <w:rPr>
                <w:rFonts w:cs="Century Gothic"/>
                <w:color w:val="000000"/>
                <w:sz w:val="18"/>
                <w:szCs w:val="18"/>
              </w:rPr>
              <w:t>22 (0.5%)</w:t>
            </w:r>
          </w:p>
        </w:tc>
        <w:tc>
          <w:tcPr>
            <w:tcW w:w="667" w:type="pct"/>
            <w:vMerge w:val="restart"/>
            <w:shd w:val="clear" w:color="auto" w:fill="FFFFFF"/>
            <w:tcMar>
              <w:top w:w="0" w:type="dxa"/>
              <w:left w:w="0" w:type="dxa"/>
              <w:bottom w:w="0" w:type="dxa"/>
              <w:right w:w="0" w:type="dxa"/>
            </w:tcMar>
            <w:vAlign w:val="center"/>
            <w:hideMark/>
          </w:tcPr>
          <w:p w14:paraId="4B391165"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21260A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E621D4E" w14:textId="77777777" w:rsidR="001C19F3" w:rsidRDefault="001C19F3" w:rsidP="00521305">
            <w:pPr>
              <w:spacing w:before="40" w:after="40"/>
              <w:ind w:left="160" w:right="40"/>
            </w:pPr>
            <w:r>
              <w:rPr>
                <w:rFonts w:cs="Century Gothic"/>
                <w:color w:val="000000"/>
                <w:sz w:val="18"/>
                <w:szCs w:val="18"/>
              </w:rPr>
              <w:t>One</w:t>
            </w:r>
          </w:p>
        </w:tc>
        <w:tc>
          <w:tcPr>
            <w:tcW w:w="667" w:type="pct"/>
            <w:shd w:val="clear" w:color="auto" w:fill="FFFFFF"/>
            <w:tcMar>
              <w:top w:w="0" w:type="dxa"/>
              <w:left w:w="0" w:type="dxa"/>
              <w:bottom w:w="0" w:type="dxa"/>
              <w:right w:w="0" w:type="dxa"/>
            </w:tcMar>
            <w:vAlign w:val="center"/>
            <w:hideMark/>
          </w:tcPr>
          <w:p w14:paraId="150B3006" w14:textId="77777777" w:rsidR="001C19F3" w:rsidRDefault="001C19F3" w:rsidP="00521305">
            <w:pPr>
              <w:spacing w:before="40" w:after="40"/>
              <w:ind w:left="40" w:right="40"/>
              <w:jc w:val="center"/>
            </w:pPr>
            <w:r>
              <w:rPr>
                <w:rFonts w:cs="Century Gothic"/>
                <w:color w:val="000000"/>
                <w:sz w:val="18"/>
                <w:szCs w:val="18"/>
              </w:rPr>
              <w:t>911 (7.3%)</w:t>
            </w:r>
          </w:p>
        </w:tc>
        <w:tc>
          <w:tcPr>
            <w:tcW w:w="667" w:type="pct"/>
            <w:shd w:val="clear" w:color="auto" w:fill="FFFFFF"/>
            <w:tcMar>
              <w:top w:w="0" w:type="dxa"/>
              <w:left w:w="0" w:type="dxa"/>
              <w:bottom w:w="0" w:type="dxa"/>
              <w:right w:w="0" w:type="dxa"/>
            </w:tcMar>
            <w:vAlign w:val="center"/>
            <w:hideMark/>
          </w:tcPr>
          <w:p w14:paraId="693E253A" w14:textId="77777777" w:rsidR="001C19F3" w:rsidRDefault="001C19F3" w:rsidP="00521305">
            <w:pPr>
              <w:spacing w:before="40" w:after="40"/>
              <w:ind w:left="40" w:right="40"/>
              <w:jc w:val="center"/>
            </w:pPr>
            <w:r>
              <w:rPr>
                <w:rFonts w:cs="Century Gothic"/>
                <w:color w:val="000000"/>
                <w:sz w:val="18"/>
                <w:szCs w:val="18"/>
              </w:rPr>
              <w:t>332 (14.7%)</w:t>
            </w:r>
          </w:p>
        </w:tc>
        <w:tc>
          <w:tcPr>
            <w:tcW w:w="667" w:type="pct"/>
            <w:shd w:val="clear" w:color="auto" w:fill="FFFFFF"/>
            <w:tcMar>
              <w:top w:w="0" w:type="dxa"/>
              <w:left w:w="0" w:type="dxa"/>
              <w:bottom w:w="0" w:type="dxa"/>
              <w:right w:w="0" w:type="dxa"/>
            </w:tcMar>
            <w:vAlign w:val="center"/>
            <w:hideMark/>
          </w:tcPr>
          <w:p w14:paraId="1027141D" w14:textId="77777777" w:rsidR="001C19F3" w:rsidRDefault="001C19F3" w:rsidP="00521305">
            <w:pPr>
              <w:spacing w:before="40" w:after="40"/>
              <w:ind w:left="40" w:right="40"/>
              <w:jc w:val="center"/>
            </w:pPr>
            <w:r>
              <w:rPr>
                <w:rFonts w:cs="Century Gothic"/>
                <w:color w:val="000000"/>
                <w:sz w:val="18"/>
                <w:szCs w:val="18"/>
              </w:rPr>
              <w:t>415 (6.8%)</w:t>
            </w:r>
          </w:p>
        </w:tc>
        <w:tc>
          <w:tcPr>
            <w:tcW w:w="667" w:type="pct"/>
            <w:shd w:val="clear" w:color="auto" w:fill="FFFFFF"/>
            <w:tcMar>
              <w:top w:w="0" w:type="dxa"/>
              <w:left w:w="0" w:type="dxa"/>
              <w:bottom w:w="0" w:type="dxa"/>
              <w:right w:w="0" w:type="dxa"/>
            </w:tcMar>
            <w:vAlign w:val="center"/>
            <w:hideMark/>
          </w:tcPr>
          <w:p w14:paraId="463B618B" w14:textId="77777777" w:rsidR="001C19F3" w:rsidRDefault="001C19F3" w:rsidP="00521305">
            <w:pPr>
              <w:spacing w:before="40" w:after="40"/>
              <w:ind w:left="40" w:right="40"/>
              <w:jc w:val="center"/>
            </w:pPr>
            <w:r>
              <w:rPr>
                <w:rFonts w:cs="Century Gothic"/>
                <w:color w:val="000000"/>
                <w:sz w:val="18"/>
                <w:szCs w:val="18"/>
              </w:rPr>
              <w:t>164 (4.0%)</w:t>
            </w:r>
          </w:p>
        </w:tc>
        <w:tc>
          <w:tcPr>
            <w:tcW w:w="667" w:type="pct"/>
            <w:vMerge/>
            <w:vAlign w:val="center"/>
            <w:hideMark/>
          </w:tcPr>
          <w:p w14:paraId="6F19F67F" w14:textId="77777777" w:rsidR="001C19F3" w:rsidRDefault="001C19F3" w:rsidP="00521305">
            <w:pPr>
              <w:spacing w:after="0"/>
              <w:rPr>
                <w:sz w:val="22"/>
              </w:rPr>
            </w:pPr>
          </w:p>
        </w:tc>
      </w:tr>
      <w:tr w:rsidR="001C19F3" w14:paraId="0FF4D58B"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2612732F" w14:textId="77777777" w:rsidR="001C19F3" w:rsidRDefault="001C19F3" w:rsidP="00521305">
            <w:pPr>
              <w:spacing w:before="40" w:after="40"/>
              <w:ind w:left="160" w:right="40"/>
            </w:pPr>
            <w:r>
              <w:rPr>
                <w:rFonts w:cs="Century Gothic"/>
                <w:color w:val="000000"/>
                <w:sz w:val="18"/>
                <w:szCs w:val="18"/>
              </w:rPr>
              <w:t>Two</w:t>
            </w:r>
          </w:p>
        </w:tc>
        <w:tc>
          <w:tcPr>
            <w:tcW w:w="667" w:type="pct"/>
            <w:shd w:val="clear" w:color="auto" w:fill="FFFFFF"/>
            <w:tcMar>
              <w:top w:w="0" w:type="dxa"/>
              <w:left w:w="0" w:type="dxa"/>
              <w:bottom w:w="0" w:type="dxa"/>
              <w:right w:w="0" w:type="dxa"/>
            </w:tcMar>
            <w:vAlign w:val="center"/>
            <w:hideMark/>
          </w:tcPr>
          <w:p w14:paraId="2CD9925D" w14:textId="77777777" w:rsidR="001C19F3" w:rsidRDefault="001C19F3" w:rsidP="00521305">
            <w:pPr>
              <w:spacing w:before="40" w:after="40"/>
              <w:ind w:left="40" w:right="40"/>
              <w:jc w:val="center"/>
            </w:pPr>
            <w:r>
              <w:rPr>
                <w:rFonts w:cs="Century Gothic"/>
                <w:color w:val="000000"/>
                <w:sz w:val="18"/>
                <w:szCs w:val="18"/>
              </w:rPr>
              <w:t>2,095 (16.8%)</w:t>
            </w:r>
          </w:p>
        </w:tc>
        <w:tc>
          <w:tcPr>
            <w:tcW w:w="667" w:type="pct"/>
            <w:shd w:val="clear" w:color="auto" w:fill="FFFFFF"/>
            <w:tcMar>
              <w:top w:w="0" w:type="dxa"/>
              <w:left w:w="0" w:type="dxa"/>
              <w:bottom w:w="0" w:type="dxa"/>
              <w:right w:w="0" w:type="dxa"/>
            </w:tcMar>
            <w:vAlign w:val="center"/>
            <w:hideMark/>
          </w:tcPr>
          <w:p w14:paraId="31D0CDC8" w14:textId="77777777" w:rsidR="001C19F3" w:rsidRDefault="001C19F3" w:rsidP="00521305">
            <w:pPr>
              <w:spacing w:before="40" w:after="40"/>
              <w:ind w:left="40" w:right="40"/>
              <w:jc w:val="center"/>
            </w:pPr>
            <w:r>
              <w:rPr>
                <w:rFonts w:cs="Century Gothic"/>
                <w:color w:val="000000"/>
                <w:sz w:val="18"/>
                <w:szCs w:val="18"/>
              </w:rPr>
              <w:t>597 (26.4%)</w:t>
            </w:r>
          </w:p>
        </w:tc>
        <w:tc>
          <w:tcPr>
            <w:tcW w:w="667" w:type="pct"/>
            <w:shd w:val="clear" w:color="auto" w:fill="FFFFFF"/>
            <w:tcMar>
              <w:top w:w="0" w:type="dxa"/>
              <w:left w:w="0" w:type="dxa"/>
              <w:bottom w:w="0" w:type="dxa"/>
              <w:right w:w="0" w:type="dxa"/>
            </w:tcMar>
            <w:vAlign w:val="center"/>
            <w:hideMark/>
          </w:tcPr>
          <w:p w14:paraId="32733CE3" w14:textId="77777777" w:rsidR="001C19F3" w:rsidRDefault="001C19F3" w:rsidP="00521305">
            <w:pPr>
              <w:spacing w:before="40" w:after="40"/>
              <w:ind w:left="40" w:right="40"/>
              <w:jc w:val="center"/>
            </w:pPr>
            <w:r>
              <w:rPr>
                <w:rFonts w:cs="Century Gothic"/>
                <w:color w:val="000000"/>
                <w:sz w:val="18"/>
                <w:szCs w:val="18"/>
              </w:rPr>
              <w:t>992 (16.2%)</w:t>
            </w:r>
          </w:p>
        </w:tc>
        <w:tc>
          <w:tcPr>
            <w:tcW w:w="667" w:type="pct"/>
            <w:shd w:val="clear" w:color="auto" w:fill="FFFFFF"/>
            <w:tcMar>
              <w:top w:w="0" w:type="dxa"/>
              <w:left w:w="0" w:type="dxa"/>
              <w:bottom w:w="0" w:type="dxa"/>
              <w:right w:w="0" w:type="dxa"/>
            </w:tcMar>
            <w:vAlign w:val="center"/>
            <w:hideMark/>
          </w:tcPr>
          <w:p w14:paraId="09F39208" w14:textId="77777777" w:rsidR="001C19F3" w:rsidRDefault="001C19F3" w:rsidP="00521305">
            <w:pPr>
              <w:spacing w:before="40" w:after="40"/>
              <w:ind w:left="40" w:right="40"/>
              <w:jc w:val="center"/>
            </w:pPr>
            <w:r>
              <w:rPr>
                <w:rFonts w:cs="Century Gothic"/>
                <w:color w:val="000000"/>
                <w:sz w:val="18"/>
                <w:szCs w:val="18"/>
              </w:rPr>
              <w:t>506 (12.5%)</w:t>
            </w:r>
          </w:p>
        </w:tc>
        <w:tc>
          <w:tcPr>
            <w:tcW w:w="667" w:type="pct"/>
            <w:vMerge/>
            <w:vAlign w:val="center"/>
            <w:hideMark/>
          </w:tcPr>
          <w:p w14:paraId="6035EDE8" w14:textId="77777777" w:rsidR="001C19F3" w:rsidRDefault="001C19F3" w:rsidP="00521305">
            <w:pPr>
              <w:spacing w:after="0"/>
              <w:rPr>
                <w:sz w:val="22"/>
              </w:rPr>
            </w:pPr>
          </w:p>
        </w:tc>
      </w:tr>
      <w:tr w:rsidR="001C19F3" w14:paraId="2D2B4C7E"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EB0FD6D" w14:textId="77777777" w:rsidR="001C19F3" w:rsidRDefault="001C19F3" w:rsidP="00521305">
            <w:pPr>
              <w:spacing w:before="40" w:after="40"/>
              <w:ind w:left="160" w:right="40"/>
            </w:pPr>
            <w:r>
              <w:rPr>
                <w:rFonts w:cs="Century Gothic"/>
                <w:color w:val="000000"/>
                <w:sz w:val="18"/>
                <w:szCs w:val="18"/>
              </w:rPr>
              <w:t>Three</w:t>
            </w:r>
          </w:p>
        </w:tc>
        <w:tc>
          <w:tcPr>
            <w:tcW w:w="667" w:type="pct"/>
            <w:shd w:val="clear" w:color="auto" w:fill="FFFFFF"/>
            <w:tcMar>
              <w:top w:w="0" w:type="dxa"/>
              <w:left w:w="0" w:type="dxa"/>
              <w:bottom w:w="0" w:type="dxa"/>
              <w:right w:w="0" w:type="dxa"/>
            </w:tcMar>
            <w:vAlign w:val="center"/>
            <w:hideMark/>
          </w:tcPr>
          <w:p w14:paraId="26F726D3" w14:textId="77777777" w:rsidR="001C19F3" w:rsidRDefault="001C19F3" w:rsidP="00521305">
            <w:pPr>
              <w:spacing w:before="40" w:after="40"/>
              <w:ind w:left="40" w:right="40"/>
              <w:jc w:val="center"/>
            </w:pPr>
            <w:r>
              <w:rPr>
                <w:rFonts w:cs="Century Gothic"/>
                <w:color w:val="000000"/>
                <w:sz w:val="18"/>
                <w:szCs w:val="18"/>
              </w:rPr>
              <w:t>3,558 (28.6%)</w:t>
            </w:r>
          </w:p>
        </w:tc>
        <w:tc>
          <w:tcPr>
            <w:tcW w:w="667" w:type="pct"/>
            <w:shd w:val="clear" w:color="auto" w:fill="FFFFFF"/>
            <w:tcMar>
              <w:top w:w="0" w:type="dxa"/>
              <w:left w:w="0" w:type="dxa"/>
              <w:bottom w:w="0" w:type="dxa"/>
              <w:right w:w="0" w:type="dxa"/>
            </w:tcMar>
            <w:vAlign w:val="center"/>
            <w:hideMark/>
          </w:tcPr>
          <w:p w14:paraId="72993987" w14:textId="77777777" w:rsidR="001C19F3" w:rsidRDefault="001C19F3" w:rsidP="00521305">
            <w:pPr>
              <w:spacing w:before="40" w:after="40"/>
              <w:ind w:left="40" w:right="40"/>
              <w:jc w:val="center"/>
            </w:pPr>
            <w:r>
              <w:rPr>
                <w:rFonts w:cs="Century Gothic"/>
                <w:color w:val="000000"/>
                <w:sz w:val="18"/>
                <w:szCs w:val="18"/>
              </w:rPr>
              <w:t>690 (30.5%)</w:t>
            </w:r>
          </w:p>
        </w:tc>
        <w:tc>
          <w:tcPr>
            <w:tcW w:w="667" w:type="pct"/>
            <w:shd w:val="clear" w:color="auto" w:fill="FFFFFF"/>
            <w:tcMar>
              <w:top w:w="0" w:type="dxa"/>
              <w:left w:w="0" w:type="dxa"/>
              <w:bottom w:w="0" w:type="dxa"/>
              <w:right w:w="0" w:type="dxa"/>
            </w:tcMar>
            <w:vAlign w:val="center"/>
            <w:hideMark/>
          </w:tcPr>
          <w:p w14:paraId="7B40D7D1" w14:textId="77777777" w:rsidR="001C19F3" w:rsidRDefault="001C19F3" w:rsidP="00521305">
            <w:pPr>
              <w:spacing w:before="40" w:after="40"/>
              <w:ind w:left="40" w:right="40"/>
              <w:jc w:val="center"/>
            </w:pPr>
            <w:r>
              <w:rPr>
                <w:rFonts w:cs="Century Gothic"/>
                <w:color w:val="000000"/>
                <w:sz w:val="18"/>
                <w:szCs w:val="18"/>
              </w:rPr>
              <w:t>1,858 (30.3%)</w:t>
            </w:r>
          </w:p>
        </w:tc>
        <w:tc>
          <w:tcPr>
            <w:tcW w:w="667" w:type="pct"/>
            <w:shd w:val="clear" w:color="auto" w:fill="FFFFFF"/>
            <w:tcMar>
              <w:top w:w="0" w:type="dxa"/>
              <w:left w:w="0" w:type="dxa"/>
              <w:bottom w:w="0" w:type="dxa"/>
              <w:right w:w="0" w:type="dxa"/>
            </w:tcMar>
            <w:vAlign w:val="center"/>
            <w:hideMark/>
          </w:tcPr>
          <w:p w14:paraId="01A45CCC" w14:textId="77777777" w:rsidR="001C19F3" w:rsidRDefault="001C19F3" w:rsidP="00521305">
            <w:pPr>
              <w:spacing w:before="40" w:after="40"/>
              <w:ind w:left="40" w:right="40"/>
              <w:jc w:val="center"/>
            </w:pPr>
            <w:r>
              <w:rPr>
                <w:rFonts w:cs="Century Gothic"/>
                <w:color w:val="000000"/>
                <w:sz w:val="18"/>
                <w:szCs w:val="18"/>
              </w:rPr>
              <w:t>1,010 (24.9%)</w:t>
            </w:r>
          </w:p>
        </w:tc>
        <w:tc>
          <w:tcPr>
            <w:tcW w:w="667" w:type="pct"/>
            <w:vMerge/>
            <w:vAlign w:val="center"/>
            <w:hideMark/>
          </w:tcPr>
          <w:p w14:paraId="1988B8EE" w14:textId="77777777" w:rsidR="001C19F3" w:rsidRDefault="001C19F3" w:rsidP="00521305">
            <w:pPr>
              <w:spacing w:after="0"/>
              <w:rPr>
                <w:sz w:val="22"/>
              </w:rPr>
            </w:pPr>
          </w:p>
        </w:tc>
      </w:tr>
      <w:tr w:rsidR="001C19F3" w14:paraId="5DD09F57"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1224E6E" w14:textId="77777777" w:rsidR="001C19F3" w:rsidRDefault="001C19F3" w:rsidP="00521305">
            <w:pPr>
              <w:spacing w:before="40" w:after="40"/>
              <w:ind w:left="160" w:right="40"/>
            </w:pPr>
            <w:r>
              <w:rPr>
                <w:rFonts w:cs="Century Gothic"/>
                <w:color w:val="000000"/>
                <w:sz w:val="18"/>
                <w:szCs w:val="18"/>
              </w:rPr>
              <w:t>Four</w:t>
            </w:r>
          </w:p>
        </w:tc>
        <w:tc>
          <w:tcPr>
            <w:tcW w:w="667" w:type="pct"/>
            <w:shd w:val="clear" w:color="auto" w:fill="FFFFFF"/>
            <w:tcMar>
              <w:top w:w="0" w:type="dxa"/>
              <w:left w:w="0" w:type="dxa"/>
              <w:bottom w:w="0" w:type="dxa"/>
              <w:right w:w="0" w:type="dxa"/>
            </w:tcMar>
            <w:vAlign w:val="center"/>
            <w:hideMark/>
          </w:tcPr>
          <w:p w14:paraId="4C27D38D" w14:textId="77777777" w:rsidR="001C19F3" w:rsidRDefault="001C19F3" w:rsidP="00521305">
            <w:pPr>
              <w:spacing w:before="40" w:after="40"/>
              <w:ind w:left="40" w:right="40"/>
              <w:jc w:val="center"/>
            </w:pPr>
            <w:r>
              <w:rPr>
                <w:rFonts w:cs="Century Gothic"/>
                <w:color w:val="000000"/>
                <w:sz w:val="18"/>
                <w:szCs w:val="18"/>
              </w:rPr>
              <w:t>3,362 (27.0%)</w:t>
            </w:r>
          </w:p>
        </w:tc>
        <w:tc>
          <w:tcPr>
            <w:tcW w:w="667" w:type="pct"/>
            <w:shd w:val="clear" w:color="auto" w:fill="FFFFFF"/>
            <w:tcMar>
              <w:top w:w="0" w:type="dxa"/>
              <w:left w:w="0" w:type="dxa"/>
              <w:bottom w:w="0" w:type="dxa"/>
              <w:right w:w="0" w:type="dxa"/>
            </w:tcMar>
            <w:vAlign w:val="center"/>
            <w:hideMark/>
          </w:tcPr>
          <w:p w14:paraId="2EEB9493" w14:textId="77777777" w:rsidR="001C19F3" w:rsidRDefault="001C19F3" w:rsidP="00521305">
            <w:pPr>
              <w:spacing w:before="40" w:after="40"/>
              <w:ind w:left="40" w:right="40"/>
              <w:jc w:val="center"/>
            </w:pPr>
            <w:r>
              <w:rPr>
                <w:rFonts w:cs="Century Gothic"/>
                <w:color w:val="000000"/>
                <w:sz w:val="18"/>
                <w:szCs w:val="18"/>
              </w:rPr>
              <w:t>380 (16.8%)</w:t>
            </w:r>
          </w:p>
        </w:tc>
        <w:tc>
          <w:tcPr>
            <w:tcW w:w="667" w:type="pct"/>
            <w:shd w:val="clear" w:color="auto" w:fill="FFFFFF"/>
            <w:tcMar>
              <w:top w:w="0" w:type="dxa"/>
              <w:left w:w="0" w:type="dxa"/>
              <w:bottom w:w="0" w:type="dxa"/>
              <w:right w:w="0" w:type="dxa"/>
            </w:tcMar>
            <w:vAlign w:val="center"/>
            <w:hideMark/>
          </w:tcPr>
          <w:p w14:paraId="1EAFA8C4" w14:textId="77777777" w:rsidR="001C19F3" w:rsidRDefault="001C19F3" w:rsidP="00521305">
            <w:pPr>
              <w:spacing w:before="40" w:after="40"/>
              <w:ind w:left="40" w:right="40"/>
              <w:jc w:val="center"/>
            </w:pPr>
            <w:r>
              <w:rPr>
                <w:rFonts w:cs="Century Gothic"/>
                <w:color w:val="000000"/>
                <w:sz w:val="18"/>
                <w:szCs w:val="18"/>
              </w:rPr>
              <w:t>1,721 (28.1%)</w:t>
            </w:r>
          </w:p>
        </w:tc>
        <w:tc>
          <w:tcPr>
            <w:tcW w:w="667" w:type="pct"/>
            <w:shd w:val="clear" w:color="auto" w:fill="FFFFFF"/>
            <w:tcMar>
              <w:top w:w="0" w:type="dxa"/>
              <w:left w:w="0" w:type="dxa"/>
              <w:bottom w:w="0" w:type="dxa"/>
              <w:right w:w="0" w:type="dxa"/>
            </w:tcMar>
            <w:vAlign w:val="center"/>
            <w:hideMark/>
          </w:tcPr>
          <w:p w14:paraId="53EA271E" w14:textId="77777777" w:rsidR="001C19F3" w:rsidRDefault="001C19F3" w:rsidP="00521305">
            <w:pPr>
              <w:spacing w:before="40" w:after="40"/>
              <w:ind w:left="40" w:right="40"/>
              <w:jc w:val="center"/>
            </w:pPr>
            <w:r>
              <w:rPr>
                <w:rFonts w:cs="Century Gothic"/>
                <w:color w:val="000000"/>
                <w:sz w:val="18"/>
                <w:szCs w:val="18"/>
              </w:rPr>
              <w:t>1,261 (31.1%)</w:t>
            </w:r>
          </w:p>
        </w:tc>
        <w:tc>
          <w:tcPr>
            <w:tcW w:w="667" w:type="pct"/>
            <w:vMerge/>
            <w:vAlign w:val="center"/>
            <w:hideMark/>
          </w:tcPr>
          <w:p w14:paraId="58EB816A" w14:textId="77777777" w:rsidR="001C19F3" w:rsidRDefault="001C19F3" w:rsidP="00521305">
            <w:pPr>
              <w:spacing w:after="0"/>
              <w:rPr>
                <w:sz w:val="22"/>
              </w:rPr>
            </w:pPr>
          </w:p>
        </w:tc>
      </w:tr>
      <w:tr w:rsidR="001C19F3" w14:paraId="4DC5428E"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277DB2A9" w14:textId="77777777" w:rsidR="001C19F3" w:rsidRDefault="001C19F3" w:rsidP="00521305">
            <w:pPr>
              <w:spacing w:before="40" w:after="40"/>
              <w:ind w:left="160" w:right="40"/>
            </w:pPr>
            <w:r>
              <w:rPr>
                <w:rFonts w:cs="Century Gothic"/>
                <w:color w:val="000000"/>
                <w:sz w:val="18"/>
                <w:szCs w:val="18"/>
              </w:rPr>
              <w:t>Five</w:t>
            </w:r>
          </w:p>
        </w:tc>
        <w:tc>
          <w:tcPr>
            <w:tcW w:w="667" w:type="pct"/>
            <w:shd w:val="clear" w:color="auto" w:fill="FFFFFF"/>
            <w:tcMar>
              <w:top w:w="0" w:type="dxa"/>
              <w:left w:w="0" w:type="dxa"/>
              <w:bottom w:w="0" w:type="dxa"/>
              <w:right w:w="0" w:type="dxa"/>
            </w:tcMar>
            <w:vAlign w:val="center"/>
            <w:hideMark/>
          </w:tcPr>
          <w:p w14:paraId="1C3BC002" w14:textId="77777777" w:rsidR="001C19F3" w:rsidRDefault="001C19F3" w:rsidP="00521305">
            <w:pPr>
              <w:spacing w:before="40" w:after="40"/>
              <w:ind w:left="40" w:right="40"/>
              <w:jc w:val="center"/>
            </w:pPr>
            <w:r>
              <w:rPr>
                <w:rFonts w:cs="Century Gothic"/>
                <w:color w:val="000000"/>
                <w:sz w:val="18"/>
                <w:szCs w:val="18"/>
              </w:rPr>
              <w:t>2,160 (17.4%)</w:t>
            </w:r>
          </w:p>
        </w:tc>
        <w:tc>
          <w:tcPr>
            <w:tcW w:w="667" w:type="pct"/>
            <w:shd w:val="clear" w:color="auto" w:fill="FFFFFF"/>
            <w:tcMar>
              <w:top w:w="0" w:type="dxa"/>
              <w:left w:w="0" w:type="dxa"/>
              <w:bottom w:w="0" w:type="dxa"/>
              <w:right w:w="0" w:type="dxa"/>
            </w:tcMar>
            <w:vAlign w:val="center"/>
            <w:hideMark/>
          </w:tcPr>
          <w:p w14:paraId="3B41D28F" w14:textId="77777777" w:rsidR="001C19F3" w:rsidRDefault="001C19F3" w:rsidP="00521305">
            <w:pPr>
              <w:spacing w:before="40" w:after="40"/>
              <w:ind w:left="40" w:right="40"/>
              <w:jc w:val="center"/>
            </w:pPr>
            <w:r>
              <w:rPr>
                <w:rFonts w:cs="Century Gothic"/>
                <w:color w:val="000000"/>
                <w:sz w:val="18"/>
                <w:szCs w:val="18"/>
              </w:rPr>
              <w:t>167 (7.4%)</w:t>
            </w:r>
          </w:p>
        </w:tc>
        <w:tc>
          <w:tcPr>
            <w:tcW w:w="667" w:type="pct"/>
            <w:shd w:val="clear" w:color="auto" w:fill="FFFFFF"/>
            <w:tcMar>
              <w:top w:w="0" w:type="dxa"/>
              <w:left w:w="0" w:type="dxa"/>
              <w:bottom w:w="0" w:type="dxa"/>
              <w:right w:w="0" w:type="dxa"/>
            </w:tcMar>
            <w:vAlign w:val="center"/>
            <w:hideMark/>
          </w:tcPr>
          <w:p w14:paraId="67379CE0" w14:textId="77777777" w:rsidR="001C19F3" w:rsidRDefault="001C19F3" w:rsidP="00521305">
            <w:pPr>
              <w:spacing w:before="40" w:after="40"/>
              <w:ind w:left="40" w:right="40"/>
              <w:jc w:val="center"/>
            </w:pPr>
            <w:r>
              <w:rPr>
                <w:rFonts w:cs="Century Gothic"/>
                <w:color w:val="000000"/>
                <w:sz w:val="18"/>
                <w:szCs w:val="18"/>
              </w:rPr>
              <w:t>1,033 (16.8%)</w:t>
            </w:r>
          </w:p>
        </w:tc>
        <w:tc>
          <w:tcPr>
            <w:tcW w:w="667" w:type="pct"/>
            <w:shd w:val="clear" w:color="auto" w:fill="FFFFFF"/>
            <w:tcMar>
              <w:top w:w="0" w:type="dxa"/>
              <w:left w:w="0" w:type="dxa"/>
              <w:bottom w:w="0" w:type="dxa"/>
              <w:right w:w="0" w:type="dxa"/>
            </w:tcMar>
            <w:vAlign w:val="center"/>
            <w:hideMark/>
          </w:tcPr>
          <w:p w14:paraId="5B8A30EA" w14:textId="77777777" w:rsidR="001C19F3" w:rsidRDefault="001C19F3" w:rsidP="00521305">
            <w:pPr>
              <w:spacing w:before="40" w:after="40"/>
              <w:ind w:left="40" w:right="40"/>
              <w:jc w:val="center"/>
            </w:pPr>
            <w:r>
              <w:rPr>
                <w:rFonts w:cs="Century Gothic"/>
                <w:color w:val="000000"/>
                <w:sz w:val="18"/>
                <w:szCs w:val="18"/>
              </w:rPr>
              <w:t>960 (23.7%)</w:t>
            </w:r>
          </w:p>
        </w:tc>
        <w:tc>
          <w:tcPr>
            <w:tcW w:w="667" w:type="pct"/>
            <w:vMerge/>
            <w:vAlign w:val="center"/>
            <w:hideMark/>
          </w:tcPr>
          <w:p w14:paraId="5F835E4B" w14:textId="77777777" w:rsidR="001C19F3" w:rsidRDefault="001C19F3" w:rsidP="00521305">
            <w:pPr>
              <w:spacing w:after="0"/>
              <w:rPr>
                <w:sz w:val="22"/>
              </w:rPr>
            </w:pPr>
          </w:p>
        </w:tc>
      </w:tr>
      <w:tr w:rsidR="001C19F3" w14:paraId="14BC99E1"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23971D3A" w14:textId="77777777" w:rsidR="001C19F3" w:rsidRDefault="001C19F3" w:rsidP="00521305">
            <w:pPr>
              <w:spacing w:before="40" w:after="40"/>
              <w:ind w:left="160" w:right="40"/>
            </w:pPr>
            <w:r>
              <w:rPr>
                <w:rFonts w:cs="Century Gothic"/>
                <w:color w:val="000000"/>
                <w:sz w:val="18"/>
                <w:szCs w:val="18"/>
              </w:rPr>
              <w:t>Six</w:t>
            </w:r>
          </w:p>
        </w:tc>
        <w:tc>
          <w:tcPr>
            <w:tcW w:w="667" w:type="pct"/>
            <w:shd w:val="clear" w:color="auto" w:fill="FFFFFF"/>
            <w:tcMar>
              <w:top w:w="0" w:type="dxa"/>
              <w:left w:w="0" w:type="dxa"/>
              <w:bottom w:w="0" w:type="dxa"/>
              <w:right w:w="0" w:type="dxa"/>
            </w:tcMar>
            <w:vAlign w:val="center"/>
            <w:hideMark/>
          </w:tcPr>
          <w:p w14:paraId="7748F32A" w14:textId="77777777" w:rsidR="001C19F3" w:rsidRDefault="001C19F3" w:rsidP="00521305">
            <w:pPr>
              <w:spacing w:before="40" w:after="40"/>
              <w:ind w:left="40" w:right="40"/>
              <w:jc w:val="center"/>
            </w:pPr>
            <w:r>
              <w:rPr>
                <w:rFonts w:cs="Century Gothic"/>
                <w:color w:val="000000"/>
                <w:sz w:val="18"/>
                <w:szCs w:val="18"/>
              </w:rPr>
              <w:t>191 (1.5%)</w:t>
            </w:r>
          </w:p>
        </w:tc>
        <w:tc>
          <w:tcPr>
            <w:tcW w:w="667" w:type="pct"/>
            <w:shd w:val="clear" w:color="auto" w:fill="FFFFFF"/>
            <w:tcMar>
              <w:top w:w="0" w:type="dxa"/>
              <w:left w:w="0" w:type="dxa"/>
              <w:bottom w:w="0" w:type="dxa"/>
              <w:right w:w="0" w:type="dxa"/>
            </w:tcMar>
            <w:vAlign w:val="center"/>
            <w:hideMark/>
          </w:tcPr>
          <w:p w14:paraId="44A57BD5" w14:textId="77777777" w:rsidR="001C19F3" w:rsidRDefault="001C19F3" w:rsidP="00521305">
            <w:pPr>
              <w:spacing w:before="40" w:after="40"/>
              <w:ind w:left="40" w:right="40"/>
              <w:jc w:val="center"/>
            </w:pPr>
            <w:r>
              <w:rPr>
                <w:rFonts w:cs="Century Gothic"/>
                <w:color w:val="000000"/>
                <w:sz w:val="18"/>
                <w:szCs w:val="18"/>
              </w:rPr>
              <w:t>5 (0.2%)</w:t>
            </w:r>
          </w:p>
        </w:tc>
        <w:tc>
          <w:tcPr>
            <w:tcW w:w="667" w:type="pct"/>
            <w:shd w:val="clear" w:color="auto" w:fill="FFFFFF"/>
            <w:tcMar>
              <w:top w:w="0" w:type="dxa"/>
              <w:left w:w="0" w:type="dxa"/>
              <w:bottom w:w="0" w:type="dxa"/>
              <w:right w:w="0" w:type="dxa"/>
            </w:tcMar>
            <w:vAlign w:val="center"/>
            <w:hideMark/>
          </w:tcPr>
          <w:p w14:paraId="1B8C71AC" w14:textId="77777777" w:rsidR="001C19F3" w:rsidRDefault="001C19F3" w:rsidP="00521305">
            <w:pPr>
              <w:spacing w:before="40" w:after="40"/>
              <w:ind w:left="40" w:right="40"/>
              <w:jc w:val="center"/>
            </w:pPr>
            <w:r>
              <w:rPr>
                <w:rFonts w:cs="Century Gothic"/>
                <w:color w:val="000000"/>
                <w:sz w:val="18"/>
                <w:szCs w:val="18"/>
              </w:rPr>
              <w:t>57 (0.9%)</w:t>
            </w:r>
          </w:p>
        </w:tc>
        <w:tc>
          <w:tcPr>
            <w:tcW w:w="667" w:type="pct"/>
            <w:shd w:val="clear" w:color="auto" w:fill="FFFFFF"/>
            <w:tcMar>
              <w:top w:w="0" w:type="dxa"/>
              <w:left w:w="0" w:type="dxa"/>
              <w:bottom w:w="0" w:type="dxa"/>
              <w:right w:w="0" w:type="dxa"/>
            </w:tcMar>
            <w:vAlign w:val="center"/>
            <w:hideMark/>
          </w:tcPr>
          <w:p w14:paraId="75F19E69" w14:textId="77777777" w:rsidR="001C19F3" w:rsidRDefault="001C19F3" w:rsidP="00521305">
            <w:pPr>
              <w:spacing w:before="40" w:after="40"/>
              <w:ind w:left="40" w:right="40"/>
              <w:jc w:val="center"/>
            </w:pPr>
            <w:r>
              <w:rPr>
                <w:rFonts w:cs="Century Gothic"/>
                <w:color w:val="000000"/>
                <w:sz w:val="18"/>
                <w:szCs w:val="18"/>
              </w:rPr>
              <w:t>129 (3.2%)</w:t>
            </w:r>
          </w:p>
        </w:tc>
        <w:tc>
          <w:tcPr>
            <w:tcW w:w="667" w:type="pct"/>
            <w:vMerge/>
            <w:vAlign w:val="center"/>
            <w:hideMark/>
          </w:tcPr>
          <w:p w14:paraId="5157148F" w14:textId="77777777" w:rsidR="001C19F3" w:rsidRDefault="001C19F3" w:rsidP="00521305">
            <w:pPr>
              <w:spacing w:after="0"/>
              <w:rPr>
                <w:sz w:val="22"/>
              </w:rPr>
            </w:pPr>
          </w:p>
        </w:tc>
      </w:tr>
    </w:tbl>
    <w:p w14:paraId="2267FDBE" w14:textId="77777777" w:rsidR="001C19F3" w:rsidRDefault="001C19F3" w:rsidP="001C19F3">
      <w:pPr>
        <w:pStyle w:val="Chartortablefootnote"/>
      </w:pPr>
      <w:r>
        <w:t>Source: Risk stratification data provided by Precedence Health Care, to June 2019.</w:t>
      </w:r>
    </w:p>
    <w:p w14:paraId="0A7E33EC" w14:textId="77777777" w:rsidR="001C19F3" w:rsidRDefault="001C19F3" w:rsidP="001C19F3">
      <w:pPr>
        <w:spacing w:after="160" w:line="259" w:lineRule="auto"/>
        <w:rPr>
          <w:i/>
          <w:sz w:val="16"/>
          <w:szCs w:val="18"/>
        </w:rPr>
      </w:pPr>
      <w:r>
        <w:br w:type="page"/>
      </w:r>
    </w:p>
    <w:p w14:paraId="269AACAB" w14:textId="77777777" w:rsidR="001C19F3" w:rsidRDefault="001C19F3" w:rsidP="001C19F3">
      <w:pPr>
        <w:pStyle w:val="Caption1"/>
      </w:pPr>
      <w:bookmarkStart w:id="614" w:name="_Ref22830225"/>
      <w:r>
        <w:lastRenderedPageBreak/>
        <w:t xml:space="preserve">Table </w:t>
      </w:r>
      <w:r>
        <w:fldChar w:fldCharType="begin"/>
      </w:r>
      <w:r>
        <w:instrText>SEQ Table \* ARABIC</w:instrText>
      </w:r>
      <w:r>
        <w:fldChar w:fldCharType="separate"/>
      </w:r>
      <w:r>
        <w:rPr>
          <w:noProof/>
        </w:rPr>
        <w:t>84</w:t>
      </w:r>
      <w:r>
        <w:fldChar w:fldCharType="end"/>
      </w:r>
      <w:bookmarkEnd w:id="614"/>
      <w:r>
        <w:t xml:space="preserve"> – HARP: Complication items, by tier, and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648"/>
        <w:gridCol w:w="1859"/>
        <w:gridCol w:w="1859"/>
        <w:gridCol w:w="1859"/>
        <w:gridCol w:w="1859"/>
        <w:gridCol w:w="1854"/>
      </w:tblGrid>
      <w:tr w:rsidR="001C19F3" w14:paraId="099B0C0D" w14:textId="77777777" w:rsidTr="00521305">
        <w:trPr>
          <w:cantSplit/>
          <w:trHeight w:val="298"/>
          <w:tblHeader/>
          <w:jc w:val="center"/>
        </w:trPr>
        <w:tc>
          <w:tcPr>
            <w:tcW w:w="1667" w:type="pct"/>
            <w:shd w:val="clear" w:color="auto" w:fill="003D79"/>
            <w:vAlign w:val="center"/>
            <w:hideMark/>
          </w:tcPr>
          <w:p w14:paraId="16DEDDFC" w14:textId="77777777" w:rsidR="001C19F3" w:rsidRDefault="001C19F3" w:rsidP="00521305">
            <w:pPr>
              <w:spacing w:after="0"/>
              <w:jc w:val="center"/>
              <w:rPr>
                <w:sz w:val="22"/>
              </w:rPr>
            </w:pPr>
            <w:r w:rsidRPr="00123D9A">
              <w:rPr>
                <w:rFonts w:cs="Century Gothic"/>
                <w:b/>
                <w:color w:val="FFFFFF"/>
                <w:sz w:val="18"/>
                <w:szCs w:val="18"/>
              </w:rPr>
              <w:t>Complication</w:t>
            </w:r>
            <w:r>
              <w:rPr>
                <w:rFonts w:cs="Century Gothic"/>
                <w:b/>
                <w:color w:val="FFFFFF"/>
                <w:sz w:val="18"/>
                <w:szCs w:val="18"/>
              </w:rPr>
              <w:t xml:space="preserve"> </w:t>
            </w:r>
            <w:r w:rsidRPr="00123D9A">
              <w:rPr>
                <w:rFonts w:cs="Century Gothic"/>
                <w:b/>
                <w:color w:val="FFFFFF"/>
                <w:sz w:val="18"/>
                <w:szCs w:val="18"/>
              </w:rPr>
              <w:t>and score</w:t>
            </w:r>
          </w:p>
        </w:tc>
        <w:tc>
          <w:tcPr>
            <w:tcW w:w="667" w:type="pct"/>
            <w:shd w:val="clear" w:color="auto" w:fill="003D79"/>
            <w:vAlign w:val="center"/>
            <w:hideMark/>
          </w:tcPr>
          <w:p w14:paraId="7EF6D96B" w14:textId="77777777" w:rsidR="001C19F3" w:rsidRDefault="001C19F3" w:rsidP="00521305">
            <w:pPr>
              <w:spacing w:after="0"/>
              <w:jc w:val="center"/>
              <w:rPr>
                <w:sz w:val="22"/>
              </w:rPr>
            </w:pPr>
            <w:r w:rsidRPr="00123D9A">
              <w:rPr>
                <w:rFonts w:cs="Century Gothic"/>
                <w:b/>
                <w:color w:val="FFFFFF"/>
                <w:sz w:val="18"/>
                <w:szCs w:val="18"/>
              </w:rPr>
              <w:t>Total</w:t>
            </w:r>
          </w:p>
        </w:tc>
        <w:tc>
          <w:tcPr>
            <w:tcW w:w="667" w:type="pct"/>
            <w:shd w:val="clear" w:color="auto" w:fill="003D79"/>
            <w:tcMar>
              <w:top w:w="0" w:type="dxa"/>
              <w:left w:w="0" w:type="dxa"/>
              <w:bottom w:w="0" w:type="dxa"/>
              <w:right w:w="0" w:type="dxa"/>
            </w:tcMar>
            <w:vAlign w:val="center"/>
            <w:hideMark/>
          </w:tcPr>
          <w:p w14:paraId="5EFFEC02" w14:textId="77777777" w:rsidR="001C19F3" w:rsidRDefault="001C19F3" w:rsidP="00521305">
            <w:pPr>
              <w:spacing w:after="0"/>
              <w:jc w:val="center"/>
            </w:pPr>
            <w:r>
              <w:rPr>
                <w:rFonts w:cs="Century Gothic"/>
                <w:b/>
                <w:color w:val="FFFFFF"/>
                <w:sz w:val="18"/>
                <w:szCs w:val="18"/>
              </w:rPr>
              <w:t>Tier 1</w:t>
            </w:r>
          </w:p>
        </w:tc>
        <w:tc>
          <w:tcPr>
            <w:tcW w:w="667" w:type="pct"/>
            <w:shd w:val="clear" w:color="auto" w:fill="003D79"/>
            <w:tcMar>
              <w:top w:w="0" w:type="dxa"/>
              <w:left w:w="0" w:type="dxa"/>
              <w:bottom w:w="0" w:type="dxa"/>
              <w:right w:w="0" w:type="dxa"/>
            </w:tcMar>
            <w:vAlign w:val="center"/>
            <w:hideMark/>
          </w:tcPr>
          <w:p w14:paraId="1B0DF899" w14:textId="77777777" w:rsidR="001C19F3" w:rsidRDefault="001C19F3" w:rsidP="00521305">
            <w:pPr>
              <w:spacing w:after="0"/>
              <w:jc w:val="center"/>
            </w:pPr>
            <w:r>
              <w:rPr>
                <w:rFonts w:cs="Century Gothic"/>
                <w:b/>
                <w:color w:val="FFFFFF"/>
                <w:sz w:val="18"/>
                <w:szCs w:val="18"/>
              </w:rPr>
              <w:t>Tier 2</w:t>
            </w:r>
          </w:p>
        </w:tc>
        <w:tc>
          <w:tcPr>
            <w:tcW w:w="667" w:type="pct"/>
            <w:shd w:val="clear" w:color="auto" w:fill="003D79"/>
            <w:tcMar>
              <w:top w:w="0" w:type="dxa"/>
              <w:left w:w="0" w:type="dxa"/>
              <w:bottom w:w="0" w:type="dxa"/>
              <w:right w:w="0" w:type="dxa"/>
            </w:tcMar>
            <w:vAlign w:val="center"/>
            <w:hideMark/>
          </w:tcPr>
          <w:p w14:paraId="0206C054" w14:textId="77777777" w:rsidR="001C19F3" w:rsidRDefault="001C19F3" w:rsidP="00521305">
            <w:pPr>
              <w:spacing w:after="0"/>
              <w:jc w:val="center"/>
            </w:pPr>
            <w:r>
              <w:rPr>
                <w:rFonts w:cs="Century Gothic"/>
                <w:b/>
                <w:color w:val="FFFFFF"/>
                <w:sz w:val="18"/>
                <w:szCs w:val="18"/>
              </w:rPr>
              <w:t>Tier 3</w:t>
            </w:r>
          </w:p>
        </w:tc>
        <w:tc>
          <w:tcPr>
            <w:tcW w:w="667" w:type="pct"/>
            <w:shd w:val="clear" w:color="auto" w:fill="003D79"/>
            <w:tcMar>
              <w:top w:w="0" w:type="dxa"/>
              <w:left w:w="0" w:type="dxa"/>
              <w:bottom w:w="0" w:type="dxa"/>
              <w:right w:w="0" w:type="dxa"/>
            </w:tcMar>
            <w:vAlign w:val="center"/>
            <w:hideMark/>
          </w:tcPr>
          <w:p w14:paraId="580D1993" w14:textId="77777777" w:rsidR="001C19F3" w:rsidRDefault="001C19F3" w:rsidP="00521305">
            <w:pPr>
              <w:spacing w:after="0"/>
              <w:jc w:val="center"/>
            </w:pPr>
            <w:r>
              <w:rPr>
                <w:rFonts w:cs="Century Gothic"/>
                <w:b/>
                <w:color w:val="FFFFFF"/>
                <w:sz w:val="18"/>
                <w:szCs w:val="18"/>
              </w:rPr>
              <w:t xml:space="preserve">P </w:t>
            </w:r>
            <w:r>
              <w:rPr>
                <w:rFonts w:cs="Century Gothic"/>
                <w:b/>
                <w:color w:val="FFFFFF"/>
                <w:sz w:val="18"/>
                <w:szCs w:val="18"/>
              </w:rPr>
              <w:br/>
              <w:t xml:space="preserve"> value</w:t>
            </w:r>
          </w:p>
        </w:tc>
      </w:tr>
      <w:tr w:rsidR="001C19F3" w14:paraId="140A8009"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1C2A0B91" w14:textId="77777777" w:rsidR="001C19F3" w:rsidRDefault="001C19F3" w:rsidP="00521305">
            <w:pPr>
              <w:spacing w:before="40" w:after="40"/>
              <w:ind w:left="40" w:right="40"/>
            </w:pPr>
            <w:r>
              <w:rPr>
                <w:rFonts w:cs="Century Gothic"/>
                <w:b/>
                <w:color w:val="000000"/>
                <w:sz w:val="18"/>
                <w:szCs w:val="18"/>
              </w:rPr>
              <w:t>Complications (such as chronic pain, skin integrity, cognitive impairment)</w:t>
            </w:r>
          </w:p>
        </w:tc>
      </w:tr>
      <w:tr w:rsidR="001C19F3" w14:paraId="73093A98"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1DEA23F" w14:textId="77777777" w:rsidR="001C19F3" w:rsidRDefault="001C19F3" w:rsidP="00521305">
            <w:pPr>
              <w:spacing w:before="40" w:after="40"/>
              <w:ind w:left="160" w:right="40"/>
            </w:pPr>
            <w:r>
              <w:rPr>
                <w:rFonts w:cs="Century Gothic"/>
                <w:color w:val="000000"/>
                <w:sz w:val="18"/>
                <w:szCs w:val="18"/>
              </w:rPr>
              <w:t>Use of services previously</w:t>
            </w:r>
          </w:p>
        </w:tc>
        <w:tc>
          <w:tcPr>
            <w:tcW w:w="667" w:type="pct"/>
            <w:shd w:val="clear" w:color="auto" w:fill="FFFFFF"/>
            <w:tcMar>
              <w:top w:w="0" w:type="dxa"/>
              <w:left w:w="0" w:type="dxa"/>
              <w:bottom w:w="0" w:type="dxa"/>
              <w:right w:w="0" w:type="dxa"/>
            </w:tcMar>
            <w:vAlign w:val="center"/>
            <w:hideMark/>
          </w:tcPr>
          <w:p w14:paraId="050347F2" w14:textId="77777777" w:rsidR="001C19F3" w:rsidRDefault="001C19F3" w:rsidP="00521305">
            <w:pPr>
              <w:spacing w:before="40" w:after="40"/>
              <w:ind w:left="40" w:right="40"/>
              <w:jc w:val="center"/>
            </w:pPr>
            <w:r>
              <w:rPr>
                <w:rFonts w:cs="Century Gothic"/>
                <w:color w:val="000000"/>
                <w:sz w:val="18"/>
                <w:szCs w:val="18"/>
              </w:rPr>
              <w:t>4,659 (37.4%)</w:t>
            </w:r>
          </w:p>
        </w:tc>
        <w:tc>
          <w:tcPr>
            <w:tcW w:w="667" w:type="pct"/>
            <w:shd w:val="clear" w:color="auto" w:fill="FFFFFF"/>
            <w:tcMar>
              <w:top w:w="0" w:type="dxa"/>
              <w:left w:w="0" w:type="dxa"/>
              <w:bottom w:w="0" w:type="dxa"/>
              <w:right w:w="0" w:type="dxa"/>
            </w:tcMar>
            <w:vAlign w:val="center"/>
            <w:hideMark/>
          </w:tcPr>
          <w:p w14:paraId="69EBC888" w14:textId="77777777" w:rsidR="001C19F3" w:rsidRDefault="001C19F3" w:rsidP="00521305">
            <w:pPr>
              <w:spacing w:before="40" w:after="40"/>
              <w:ind w:left="40" w:right="40"/>
              <w:jc w:val="center"/>
            </w:pPr>
            <w:r>
              <w:rPr>
                <w:rFonts w:cs="Century Gothic"/>
                <w:color w:val="000000"/>
                <w:sz w:val="18"/>
                <w:szCs w:val="18"/>
              </w:rPr>
              <w:t>463 (20.5%)</w:t>
            </w:r>
          </w:p>
        </w:tc>
        <w:tc>
          <w:tcPr>
            <w:tcW w:w="667" w:type="pct"/>
            <w:shd w:val="clear" w:color="auto" w:fill="FFFFFF"/>
            <w:tcMar>
              <w:top w:w="0" w:type="dxa"/>
              <w:left w:w="0" w:type="dxa"/>
              <w:bottom w:w="0" w:type="dxa"/>
              <w:right w:w="0" w:type="dxa"/>
            </w:tcMar>
            <w:vAlign w:val="center"/>
            <w:hideMark/>
          </w:tcPr>
          <w:p w14:paraId="1578FD66" w14:textId="77777777" w:rsidR="001C19F3" w:rsidRDefault="001C19F3" w:rsidP="00521305">
            <w:pPr>
              <w:spacing w:before="40" w:after="40"/>
              <w:ind w:left="40" w:right="40"/>
              <w:jc w:val="center"/>
            </w:pPr>
            <w:r>
              <w:rPr>
                <w:rFonts w:cs="Century Gothic"/>
                <w:color w:val="000000"/>
                <w:sz w:val="18"/>
                <w:szCs w:val="18"/>
              </w:rPr>
              <w:t>2,020 (32.9%)</w:t>
            </w:r>
          </w:p>
        </w:tc>
        <w:tc>
          <w:tcPr>
            <w:tcW w:w="667" w:type="pct"/>
            <w:shd w:val="clear" w:color="auto" w:fill="FFFFFF"/>
            <w:tcMar>
              <w:top w:w="0" w:type="dxa"/>
              <w:left w:w="0" w:type="dxa"/>
              <w:bottom w:w="0" w:type="dxa"/>
              <w:right w:w="0" w:type="dxa"/>
            </w:tcMar>
            <w:vAlign w:val="center"/>
            <w:hideMark/>
          </w:tcPr>
          <w:p w14:paraId="5D9DEC6C" w14:textId="77777777" w:rsidR="001C19F3" w:rsidRDefault="001C19F3" w:rsidP="00521305">
            <w:pPr>
              <w:spacing w:before="40" w:after="40"/>
              <w:ind w:left="40" w:right="40"/>
              <w:jc w:val="center"/>
            </w:pPr>
            <w:r>
              <w:rPr>
                <w:rFonts w:cs="Century Gothic"/>
                <w:color w:val="000000"/>
                <w:sz w:val="18"/>
                <w:szCs w:val="18"/>
              </w:rPr>
              <w:t>2,176 (53.7%)</w:t>
            </w:r>
          </w:p>
        </w:tc>
        <w:tc>
          <w:tcPr>
            <w:tcW w:w="667" w:type="pct"/>
            <w:shd w:val="clear" w:color="auto" w:fill="FFFFFF"/>
            <w:tcMar>
              <w:top w:w="0" w:type="dxa"/>
              <w:left w:w="0" w:type="dxa"/>
              <w:bottom w:w="0" w:type="dxa"/>
              <w:right w:w="0" w:type="dxa"/>
            </w:tcMar>
            <w:vAlign w:val="center"/>
            <w:hideMark/>
          </w:tcPr>
          <w:p w14:paraId="0E83D82F"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255A3D2"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4419C9E9" w14:textId="77777777" w:rsidR="001C19F3" w:rsidRDefault="001C19F3" w:rsidP="00521305">
            <w:pPr>
              <w:spacing w:before="40" w:after="40"/>
              <w:ind w:left="160" w:right="40"/>
            </w:pPr>
            <w:r>
              <w:rPr>
                <w:rFonts w:cs="Century Gothic"/>
                <w:color w:val="000000"/>
                <w:sz w:val="18"/>
                <w:szCs w:val="18"/>
              </w:rPr>
              <w:t>Carer Stress issues</w:t>
            </w:r>
          </w:p>
        </w:tc>
        <w:tc>
          <w:tcPr>
            <w:tcW w:w="667" w:type="pct"/>
            <w:shd w:val="clear" w:color="auto" w:fill="FFFFFF"/>
            <w:tcMar>
              <w:top w:w="0" w:type="dxa"/>
              <w:left w:w="0" w:type="dxa"/>
              <w:bottom w:w="0" w:type="dxa"/>
              <w:right w:w="0" w:type="dxa"/>
            </w:tcMar>
            <w:vAlign w:val="center"/>
            <w:hideMark/>
          </w:tcPr>
          <w:p w14:paraId="2C63D0AE" w14:textId="77777777" w:rsidR="001C19F3" w:rsidRDefault="001C19F3" w:rsidP="00521305">
            <w:pPr>
              <w:spacing w:before="40" w:after="40"/>
              <w:ind w:left="40" w:right="40"/>
              <w:jc w:val="center"/>
            </w:pPr>
            <w:r>
              <w:rPr>
                <w:rFonts w:cs="Century Gothic"/>
                <w:color w:val="000000"/>
                <w:sz w:val="18"/>
                <w:szCs w:val="18"/>
              </w:rPr>
              <w:t>2,219 (17.8%)</w:t>
            </w:r>
          </w:p>
        </w:tc>
        <w:tc>
          <w:tcPr>
            <w:tcW w:w="667" w:type="pct"/>
            <w:shd w:val="clear" w:color="auto" w:fill="FFFFFF"/>
            <w:tcMar>
              <w:top w:w="0" w:type="dxa"/>
              <w:left w:w="0" w:type="dxa"/>
              <w:bottom w:w="0" w:type="dxa"/>
              <w:right w:w="0" w:type="dxa"/>
            </w:tcMar>
            <w:vAlign w:val="center"/>
            <w:hideMark/>
          </w:tcPr>
          <w:p w14:paraId="0C495F4F" w14:textId="77777777" w:rsidR="001C19F3" w:rsidRDefault="001C19F3" w:rsidP="00521305">
            <w:pPr>
              <w:spacing w:before="40" w:after="40"/>
              <w:ind w:left="40" w:right="40"/>
              <w:jc w:val="center"/>
            </w:pPr>
            <w:r>
              <w:rPr>
                <w:rFonts w:cs="Century Gothic"/>
                <w:color w:val="000000"/>
                <w:sz w:val="18"/>
                <w:szCs w:val="18"/>
              </w:rPr>
              <w:t>138 (6.1%)</w:t>
            </w:r>
          </w:p>
        </w:tc>
        <w:tc>
          <w:tcPr>
            <w:tcW w:w="667" w:type="pct"/>
            <w:shd w:val="clear" w:color="auto" w:fill="FFFFFF"/>
            <w:tcMar>
              <w:top w:w="0" w:type="dxa"/>
              <w:left w:w="0" w:type="dxa"/>
              <w:bottom w:w="0" w:type="dxa"/>
              <w:right w:w="0" w:type="dxa"/>
            </w:tcMar>
            <w:vAlign w:val="center"/>
            <w:hideMark/>
          </w:tcPr>
          <w:p w14:paraId="75DA00BC" w14:textId="77777777" w:rsidR="001C19F3" w:rsidRDefault="001C19F3" w:rsidP="00521305">
            <w:pPr>
              <w:spacing w:before="40" w:after="40"/>
              <w:ind w:left="40" w:right="40"/>
              <w:jc w:val="center"/>
            </w:pPr>
            <w:r>
              <w:rPr>
                <w:rFonts w:cs="Century Gothic"/>
                <w:color w:val="000000"/>
                <w:sz w:val="18"/>
                <w:szCs w:val="18"/>
              </w:rPr>
              <w:t>750 (12.2%)</w:t>
            </w:r>
          </w:p>
        </w:tc>
        <w:tc>
          <w:tcPr>
            <w:tcW w:w="667" w:type="pct"/>
            <w:shd w:val="clear" w:color="auto" w:fill="FFFFFF"/>
            <w:tcMar>
              <w:top w:w="0" w:type="dxa"/>
              <w:left w:w="0" w:type="dxa"/>
              <w:bottom w:w="0" w:type="dxa"/>
              <w:right w:w="0" w:type="dxa"/>
            </w:tcMar>
            <w:vAlign w:val="center"/>
            <w:hideMark/>
          </w:tcPr>
          <w:p w14:paraId="475B1E7D" w14:textId="77777777" w:rsidR="001C19F3" w:rsidRDefault="001C19F3" w:rsidP="00521305">
            <w:pPr>
              <w:spacing w:before="40" w:after="40"/>
              <w:ind w:left="40" w:right="40"/>
              <w:jc w:val="center"/>
            </w:pPr>
            <w:r>
              <w:rPr>
                <w:rFonts w:cs="Century Gothic"/>
                <w:color w:val="000000"/>
                <w:sz w:val="18"/>
                <w:szCs w:val="18"/>
              </w:rPr>
              <w:t>1,331 (32.8%)</w:t>
            </w:r>
          </w:p>
        </w:tc>
        <w:tc>
          <w:tcPr>
            <w:tcW w:w="667" w:type="pct"/>
            <w:shd w:val="clear" w:color="auto" w:fill="FFFFFF"/>
            <w:tcMar>
              <w:top w:w="0" w:type="dxa"/>
              <w:left w:w="0" w:type="dxa"/>
              <w:bottom w:w="0" w:type="dxa"/>
              <w:right w:w="0" w:type="dxa"/>
            </w:tcMar>
            <w:vAlign w:val="center"/>
            <w:hideMark/>
          </w:tcPr>
          <w:p w14:paraId="0DAD745C"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4003922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A7A842F" w14:textId="77777777" w:rsidR="001C19F3" w:rsidRDefault="001C19F3" w:rsidP="00521305">
            <w:pPr>
              <w:spacing w:before="40" w:after="40"/>
              <w:ind w:left="160" w:right="40"/>
            </w:pPr>
            <w:r>
              <w:rPr>
                <w:rFonts w:cs="Century Gothic"/>
                <w:color w:val="000000"/>
                <w:sz w:val="18"/>
                <w:szCs w:val="18"/>
              </w:rPr>
              <w:t>No Carer availability</w:t>
            </w:r>
          </w:p>
        </w:tc>
        <w:tc>
          <w:tcPr>
            <w:tcW w:w="667" w:type="pct"/>
            <w:shd w:val="clear" w:color="auto" w:fill="FFFFFF"/>
            <w:tcMar>
              <w:top w:w="0" w:type="dxa"/>
              <w:left w:w="0" w:type="dxa"/>
              <w:bottom w:w="0" w:type="dxa"/>
              <w:right w:w="0" w:type="dxa"/>
            </w:tcMar>
            <w:vAlign w:val="center"/>
            <w:hideMark/>
          </w:tcPr>
          <w:p w14:paraId="092DD133" w14:textId="77777777" w:rsidR="001C19F3" w:rsidRDefault="001C19F3" w:rsidP="00521305">
            <w:pPr>
              <w:spacing w:before="40" w:after="40"/>
              <w:ind w:left="40" w:right="40"/>
              <w:jc w:val="center"/>
            </w:pPr>
            <w:r>
              <w:rPr>
                <w:rFonts w:cs="Century Gothic"/>
                <w:color w:val="000000"/>
                <w:sz w:val="18"/>
                <w:szCs w:val="18"/>
              </w:rPr>
              <w:t>1,240 (10.0%)</w:t>
            </w:r>
          </w:p>
        </w:tc>
        <w:tc>
          <w:tcPr>
            <w:tcW w:w="667" w:type="pct"/>
            <w:shd w:val="clear" w:color="auto" w:fill="FFFFFF"/>
            <w:tcMar>
              <w:top w:w="0" w:type="dxa"/>
              <w:left w:w="0" w:type="dxa"/>
              <w:bottom w:w="0" w:type="dxa"/>
              <w:right w:w="0" w:type="dxa"/>
            </w:tcMar>
            <w:vAlign w:val="center"/>
            <w:hideMark/>
          </w:tcPr>
          <w:p w14:paraId="3DBF4800" w14:textId="77777777" w:rsidR="001C19F3" w:rsidRDefault="001C19F3" w:rsidP="00521305">
            <w:pPr>
              <w:spacing w:before="40" w:after="40"/>
              <w:ind w:left="40" w:right="40"/>
              <w:jc w:val="center"/>
            </w:pPr>
            <w:r>
              <w:rPr>
                <w:rFonts w:cs="Century Gothic"/>
                <w:color w:val="000000"/>
                <w:sz w:val="18"/>
                <w:szCs w:val="18"/>
              </w:rPr>
              <w:t>54 (2.4%)</w:t>
            </w:r>
          </w:p>
        </w:tc>
        <w:tc>
          <w:tcPr>
            <w:tcW w:w="667" w:type="pct"/>
            <w:shd w:val="clear" w:color="auto" w:fill="FFFFFF"/>
            <w:tcMar>
              <w:top w:w="0" w:type="dxa"/>
              <w:left w:w="0" w:type="dxa"/>
              <w:bottom w:w="0" w:type="dxa"/>
              <w:right w:w="0" w:type="dxa"/>
            </w:tcMar>
            <w:vAlign w:val="center"/>
            <w:hideMark/>
          </w:tcPr>
          <w:p w14:paraId="6E3A03DC" w14:textId="77777777" w:rsidR="001C19F3" w:rsidRDefault="001C19F3" w:rsidP="00521305">
            <w:pPr>
              <w:spacing w:before="40" w:after="40"/>
              <w:ind w:left="40" w:right="40"/>
              <w:jc w:val="center"/>
            </w:pPr>
            <w:r>
              <w:rPr>
                <w:rFonts w:cs="Century Gothic"/>
                <w:color w:val="000000"/>
                <w:sz w:val="18"/>
                <w:szCs w:val="18"/>
              </w:rPr>
              <w:t>396 (6.5%)</w:t>
            </w:r>
          </w:p>
        </w:tc>
        <w:tc>
          <w:tcPr>
            <w:tcW w:w="667" w:type="pct"/>
            <w:shd w:val="clear" w:color="auto" w:fill="FFFFFF"/>
            <w:tcMar>
              <w:top w:w="0" w:type="dxa"/>
              <w:left w:w="0" w:type="dxa"/>
              <w:bottom w:w="0" w:type="dxa"/>
              <w:right w:w="0" w:type="dxa"/>
            </w:tcMar>
            <w:vAlign w:val="center"/>
            <w:hideMark/>
          </w:tcPr>
          <w:p w14:paraId="42B30349" w14:textId="77777777" w:rsidR="001C19F3" w:rsidRDefault="001C19F3" w:rsidP="00521305">
            <w:pPr>
              <w:spacing w:before="40" w:after="40"/>
              <w:ind w:left="40" w:right="40"/>
              <w:jc w:val="center"/>
            </w:pPr>
            <w:r>
              <w:rPr>
                <w:rFonts w:cs="Century Gothic"/>
                <w:color w:val="000000"/>
                <w:sz w:val="18"/>
                <w:szCs w:val="18"/>
              </w:rPr>
              <w:t>790 (19.5%)</w:t>
            </w:r>
          </w:p>
        </w:tc>
        <w:tc>
          <w:tcPr>
            <w:tcW w:w="667" w:type="pct"/>
            <w:shd w:val="clear" w:color="auto" w:fill="FFFFFF"/>
            <w:tcMar>
              <w:top w:w="0" w:type="dxa"/>
              <w:left w:w="0" w:type="dxa"/>
              <w:bottom w:w="0" w:type="dxa"/>
              <w:right w:w="0" w:type="dxa"/>
            </w:tcMar>
            <w:vAlign w:val="center"/>
            <w:hideMark/>
          </w:tcPr>
          <w:p w14:paraId="6891E4C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28E8BA43"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640A7114" w14:textId="77777777" w:rsidR="001C19F3" w:rsidRDefault="001C19F3" w:rsidP="00521305">
            <w:pPr>
              <w:spacing w:before="40" w:after="40"/>
              <w:ind w:left="160" w:right="40"/>
            </w:pPr>
            <w:r>
              <w:rPr>
                <w:rFonts w:cs="Century Gothic"/>
                <w:color w:val="000000"/>
                <w:sz w:val="18"/>
                <w:szCs w:val="18"/>
              </w:rPr>
              <w:t>Cognitive impairment</w:t>
            </w:r>
          </w:p>
        </w:tc>
        <w:tc>
          <w:tcPr>
            <w:tcW w:w="667" w:type="pct"/>
            <w:shd w:val="clear" w:color="auto" w:fill="FFFFFF"/>
            <w:tcMar>
              <w:top w:w="0" w:type="dxa"/>
              <w:left w:w="0" w:type="dxa"/>
              <w:bottom w:w="0" w:type="dxa"/>
              <w:right w:w="0" w:type="dxa"/>
            </w:tcMar>
            <w:vAlign w:val="center"/>
            <w:hideMark/>
          </w:tcPr>
          <w:p w14:paraId="7FA0EBB9" w14:textId="77777777" w:rsidR="001C19F3" w:rsidRDefault="001C19F3" w:rsidP="00521305">
            <w:pPr>
              <w:spacing w:before="40" w:after="40"/>
              <w:ind w:left="40" w:right="40"/>
              <w:jc w:val="center"/>
            </w:pPr>
            <w:r>
              <w:rPr>
                <w:rFonts w:cs="Century Gothic"/>
                <w:color w:val="000000"/>
                <w:sz w:val="18"/>
                <w:szCs w:val="18"/>
              </w:rPr>
              <w:t>1,340 (10.8%)</w:t>
            </w:r>
          </w:p>
        </w:tc>
        <w:tc>
          <w:tcPr>
            <w:tcW w:w="667" w:type="pct"/>
            <w:shd w:val="clear" w:color="auto" w:fill="FFFFFF"/>
            <w:tcMar>
              <w:top w:w="0" w:type="dxa"/>
              <w:left w:w="0" w:type="dxa"/>
              <w:bottom w:w="0" w:type="dxa"/>
              <w:right w:w="0" w:type="dxa"/>
            </w:tcMar>
            <w:vAlign w:val="center"/>
            <w:hideMark/>
          </w:tcPr>
          <w:p w14:paraId="5B8001C8" w14:textId="77777777" w:rsidR="001C19F3" w:rsidRDefault="001C19F3" w:rsidP="00521305">
            <w:pPr>
              <w:spacing w:before="40" w:after="40"/>
              <w:ind w:left="40" w:right="40"/>
              <w:jc w:val="center"/>
            </w:pPr>
            <w:r>
              <w:rPr>
                <w:rFonts w:cs="Century Gothic"/>
                <w:color w:val="000000"/>
                <w:sz w:val="18"/>
                <w:szCs w:val="18"/>
              </w:rPr>
              <w:t>61 (2.7%)</w:t>
            </w:r>
          </w:p>
        </w:tc>
        <w:tc>
          <w:tcPr>
            <w:tcW w:w="667" w:type="pct"/>
            <w:shd w:val="clear" w:color="auto" w:fill="FFFFFF"/>
            <w:tcMar>
              <w:top w:w="0" w:type="dxa"/>
              <w:left w:w="0" w:type="dxa"/>
              <w:bottom w:w="0" w:type="dxa"/>
              <w:right w:w="0" w:type="dxa"/>
            </w:tcMar>
            <w:vAlign w:val="center"/>
            <w:hideMark/>
          </w:tcPr>
          <w:p w14:paraId="58D12CF2" w14:textId="77777777" w:rsidR="001C19F3" w:rsidRDefault="001C19F3" w:rsidP="00521305">
            <w:pPr>
              <w:spacing w:before="40" w:after="40"/>
              <w:ind w:left="40" w:right="40"/>
              <w:jc w:val="center"/>
            </w:pPr>
            <w:r>
              <w:rPr>
                <w:rFonts w:cs="Century Gothic"/>
                <w:color w:val="000000"/>
                <w:sz w:val="18"/>
                <w:szCs w:val="18"/>
              </w:rPr>
              <w:t>325 (5.3%)</w:t>
            </w:r>
          </w:p>
        </w:tc>
        <w:tc>
          <w:tcPr>
            <w:tcW w:w="667" w:type="pct"/>
            <w:shd w:val="clear" w:color="auto" w:fill="FFFFFF"/>
            <w:tcMar>
              <w:top w:w="0" w:type="dxa"/>
              <w:left w:w="0" w:type="dxa"/>
              <w:bottom w:w="0" w:type="dxa"/>
              <w:right w:w="0" w:type="dxa"/>
            </w:tcMar>
            <w:vAlign w:val="center"/>
            <w:hideMark/>
          </w:tcPr>
          <w:p w14:paraId="6BB63134" w14:textId="77777777" w:rsidR="001C19F3" w:rsidRDefault="001C19F3" w:rsidP="00521305">
            <w:pPr>
              <w:spacing w:before="40" w:after="40"/>
              <w:ind w:left="40" w:right="40"/>
              <w:jc w:val="center"/>
            </w:pPr>
            <w:r>
              <w:rPr>
                <w:rFonts w:cs="Century Gothic"/>
                <w:color w:val="000000"/>
                <w:sz w:val="18"/>
                <w:szCs w:val="18"/>
              </w:rPr>
              <w:t>954 (23.5%)</w:t>
            </w:r>
          </w:p>
        </w:tc>
        <w:tc>
          <w:tcPr>
            <w:tcW w:w="667" w:type="pct"/>
            <w:shd w:val="clear" w:color="auto" w:fill="FFFFFF"/>
            <w:tcMar>
              <w:top w:w="0" w:type="dxa"/>
              <w:left w:w="0" w:type="dxa"/>
              <w:bottom w:w="0" w:type="dxa"/>
              <w:right w:w="0" w:type="dxa"/>
            </w:tcMar>
            <w:vAlign w:val="center"/>
            <w:hideMark/>
          </w:tcPr>
          <w:p w14:paraId="478A8A4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61AF5BE3"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033E73B6" w14:textId="77777777" w:rsidR="001C19F3" w:rsidRDefault="001C19F3" w:rsidP="00521305">
            <w:pPr>
              <w:spacing w:before="40" w:after="40"/>
              <w:ind w:left="160" w:right="40"/>
            </w:pPr>
            <w:r>
              <w:rPr>
                <w:rFonts w:cs="Century Gothic"/>
                <w:color w:val="000000"/>
                <w:sz w:val="18"/>
                <w:szCs w:val="18"/>
              </w:rPr>
              <w:t>Change to drug regimen</w:t>
            </w:r>
          </w:p>
        </w:tc>
        <w:tc>
          <w:tcPr>
            <w:tcW w:w="667" w:type="pct"/>
            <w:shd w:val="clear" w:color="auto" w:fill="FFFFFF"/>
            <w:tcMar>
              <w:top w:w="0" w:type="dxa"/>
              <w:left w:w="0" w:type="dxa"/>
              <w:bottom w:w="0" w:type="dxa"/>
              <w:right w:w="0" w:type="dxa"/>
            </w:tcMar>
            <w:vAlign w:val="center"/>
            <w:hideMark/>
          </w:tcPr>
          <w:p w14:paraId="0DE9B8A7" w14:textId="77777777" w:rsidR="001C19F3" w:rsidRDefault="001C19F3" w:rsidP="00521305">
            <w:pPr>
              <w:spacing w:before="40" w:after="40"/>
              <w:ind w:left="40" w:right="40"/>
              <w:jc w:val="center"/>
            </w:pPr>
            <w:r>
              <w:rPr>
                <w:rFonts w:cs="Century Gothic"/>
                <w:color w:val="000000"/>
                <w:sz w:val="18"/>
                <w:szCs w:val="18"/>
              </w:rPr>
              <w:t>2,053 (16.5%)</w:t>
            </w:r>
          </w:p>
        </w:tc>
        <w:tc>
          <w:tcPr>
            <w:tcW w:w="667" w:type="pct"/>
            <w:shd w:val="clear" w:color="auto" w:fill="FFFFFF"/>
            <w:tcMar>
              <w:top w:w="0" w:type="dxa"/>
              <w:left w:w="0" w:type="dxa"/>
              <w:bottom w:w="0" w:type="dxa"/>
              <w:right w:w="0" w:type="dxa"/>
            </w:tcMar>
            <w:vAlign w:val="center"/>
            <w:hideMark/>
          </w:tcPr>
          <w:p w14:paraId="5A5DA69A" w14:textId="77777777" w:rsidR="001C19F3" w:rsidRDefault="001C19F3" w:rsidP="00521305">
            <w:pPr>
              <w:spacing w:before="40" w:after="40"/>
              <w:ind w:left="40" w:right="40"/>
              <w:jc w:val="center"/>
            </w:pPr>
            <w:r>
              <w:rPr>
                <w:rFonts w:cs="Century Gothic"/>
                <w:color w:val="000000"/>
                <w:sz w:val="18"/>
                <w:szCs w:val="18"/>
              </w:rPr>
              <w:t>188 (8.3%)</w:t>
            </w:r>
          </w:p>
        </w:tc>
        <w:tc>
          <w:tcPr>
            <w:tcW w:w="667" w:type="pct"/>
            <w:shd w:val="clear" w:color="auto" w:fill="FFFFFF"/>
            <w:tcMar>
              <w:top w:w="0" w:type="dxa"/>
              <w:left w:w="0" w:type="dxa"/>
              <w:bottom w:w="0" w:type="dxa"/>
              <w:right w:w="0" w:type="dxa"/>
            </w:tcMar>
            <w:vAlign w:val="center"/>
            <w:hideMark/>
          </w:tcPr>
          <w:p w14:paraId="55CD3ACF" w14:textId="77777777" w:rsidR="001C19F3" w:rsidRDefault="001C19F3" w:rsidP="00521305">
            <w:pPr>
              <w:spacing w:before="40" w:after="40"/>
              <w:ind w:left="40" w:right="40"/>
              <w:jc w:val="center"/>
            </w:pPr>
            <w:r>
              <w:rPr>
                <w:rFonts w:cs="Century Gothic"/>
                <w:color w:val="000000"/>
                <w:sz w:val="18"/>
                <w:szCs w:val="18"/>
              </w:rPr>
              <w:t>926 (15.1%)</w:t>
            </w:r>
          </w:p>
        </w:tc>
        <w:tc>
          <w:tcPr>
            <w:tcW w:w="667" w:type="pct"/>
            <w:shd w:val="clear" w:color="auto" w:fill="FFFFFF"/>
            <w:tcMar>
              <w:top w:w="0" w:type="dxa"/>
              <w:left w:w="0" w:type="dxa"/>
              <w:bottom w:w="0" w:type="dxa"/>
              <w:right w:w="0" w:type="dxa"/>
            </w:tcMar>
            <w:vAlign w:val="center"/>
            <w:hideMark/>
          </w:tcPr>
          <w:p w14:paraId="3D560160" w14:textId="77777777" w:rsidR="001C19F3" w:rsidRDefault="001C19F3" w:rsidP="00521305">
            <w:pPr>
              <w:spacing w:before="40" w:after="40"/>
              <w:ind w:left="40" w:right="40"/>
              <w:jc w:val="center"/>
            </w:pPr>
            <w:r>
              <w:rPr>
                <w:rFonts w:cs="Century Gothic"/>
                <w:color w:val="000000"/>
                <w:sz w:val="18"/>
                <w:szCs w:val="18"/>
              </w:rPr>
              <w:t>939 (23.2%)</w:t>
            </w:r>
          </w:p>
        </w:tc>
        <w:tc>
          <w:tcPr>
            <w:tcW w:w="667" w:type="pct"/>
            <w:shd w:val="clear" w:color="auto" w:fill="FFFFFF"/>
            <w:tcMar>
              <w:top w:w="0" w:type="dxa"/>
              <w:left w:w="0" w:type="dxa"/>
              <w:bottom w:w="0" w:type="dxa"/>
              <w:right w:w="0" w:type="dxa"/>
            </w:tcMar>
            <w:vAlign w:val="center"/>
            <w:hideMark/>
          </w:tcPr>
          <w:p w14:paraId="277F821D"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4CC0F294"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1F650D00" w14:textId="77777777" w:rsidR="001C19F3" w:rsidRDefault="001C19F3" w:rsidP="00521305">
            <w:pPr>
              <w:spacing w:before="40" w:after="40"/>
              <w:ind w:left="160" w:right="40"/>
            </w:pPr>
            <w:r>
              <w:rPr>
                <w:rFonts w:cs="Century Gothic"/>
                <w:color w:val="000000"/>
                <w:sz w:val="18"/>
                <w:szCs w:val="18"/>
              </w:rPr>
              <w:t>Chronic Pain</w:t>
            </w:r>
          </w:p>
        </w:tc>
        <w:tc>
          <w:tcPr>
            <w:tcW w:w="667" w:type="pct"/>
            <w:shd w:val="clear" w:color="auto" w:fill="FFFFFF"/>
            <w:tcMar>
              <w:top w:w="0" w:type="dxa"/>
              <w:left w:w="0" w:type="dxa"/>
              <w:bottom w:w="0" w:type="dxa"/>
              <w:right w:w="0" w:type="dxa"/>
            </w:tcMar>
            <w:vAlign w:val="center"/>
            <w:hideMark/>
          </w:tcPr>
          <w:p w14:paraId="02B0844F" w14:textId="77777777" w:rsidR="001C19F3" w:rsidRDefault="001C19F3" w:rsidP="00521305">
            <w:pPr>
              <w:spacing w:before="40" w:after="40"/>
              <w:ind w:left="40" w:right="40"/>
              <w:jc w:val="center"/>
            </w:pPr>
            <w:r>
              <w:rPr>
                <w:rFonts w:cs="Century Gothic"/>
                <w:color w:val="000000"/>
                <w:sz w:val="18"/>
                <w:szCs w:val="18"/>
              </w:rPr>
              <w:t>5,430 (43.6%)</w:t>
            </w:r>
          </w:p>
        </w:tc>
        <w:tc>
          <w:tcPr>
            <w:tcW w:w="667" w:type="pct"/>
            <w:shd w:val="clear" w:color="auto" w:fill="FFFFFF"/>
            <w:tcMar>
              <w:top w:w="0" w:type="dxa"/>
              <w:left w:w="0" w:type="dxa"/>
              <w:bottom w:w="0" w:type="dxa"/>
              <w:right w:w="0" w:type="dxa"/>
            </w:tcMar>
            <w:vAlign w:val="center"/>
            <w:hideMark/>
          </w:tcPr>
          <w:p w14:paraId="48D06CDE" w14:textId="77777777" w:rsidR="001C19F3" w:rsidRDefault="001C19F3" w:rsidP="00521305">
            <w:pPr>
              <w:spacing w:before="40" w:after="40"/>
              <w:ind w:left="40" w:right="40"/>
              <w:jc w:val="center"/>
            </w:pPr>
            <w:r>
              <w:rPr>
                <w:rFonts w:cs="Century Gothic"/>
                <w:color w:val="000000"/>
                <w:sz w:val="18"/>
                <w:szCs w:val="18"/>
              </w:rPr>
              <w:t>652 (28.8%)</w:t>
            </w:r>
          </w:p>
        </w:tc>
        <w:tc>
          <w:tcPr>
            <w:tcW w:w="667" w:type="pct"/>
            <w:shd w:val="clear" w:color="auto" w:fill="FFFFFF"/>
            <w:tcMar>
              <w:top w:w="0" w:type="dxa"/>
              <w:left w:w="0" w:type="dxa"/>
              <w:bottom w:w="0" w:type="dxa"/>
              <w:right w:w="0" w:type="dxa"/>
            </w:tcMar>
            <w:vAlign w:val="center"/>
            <w:hideMark/>
          </w:tcPr>
          <w:p w14:paraId="7EED53E5" w14:textId="77777777" w:rsidR="001C19F3" w:rsidRDefault="001C19F3" w:rsidP="00521305">
            <w:pPr>
              <w:spacing w:before="40" w:after="40"/>
              <w:ind w:left="40" w:right="40"/>
              <w:jc w:val="center"/>
            </w:pPr>
            <w:r>
              <w:rPr>
                <w:rFonts w:cs="Century Gothic"/>
                <w:color w:val="000000"/>
                <w:sz w:val="18"/>
                <w:szCs w:val="18"/>
              </w:rPr>
              <w:t>2,711 (44.2%)</w:t>
            </w:r>
          </w:p>
        </w:tc>
        <w:tc>
          <w:tcPr>
            <w:tcW w:w="667" w:type="pct"/>
            <w:shd w:val="clear" w:color="auto" w:fill="FFFFFF"/>
            <w:tcMar>
              <w:top w:w="0" w:type="dxa"/>
              <w:left w:w="0" w:type="dxa"/>
              <w:bottom w:w="0" w:type="dxa"/>
              <w:right w:w="0" w:type="dxa"/>
            </w:tcMar>
            <w:vAlign w:val="center"/>
            <w:hideMark/>
          </w:tcPr>
          <w:p w14:paraId="71B86177" w14:textId="77777777" w:rsidR="001C19F3" w:rsidRDefault="001C19F3" w:rsidP="00521305">
            <w:pPr>
              <w:spacing w:before="40" w:after="40"/>
              <w:ind w:left="40" w:right="40"/>
              <w:jc w:val="center"/>
            </w:pPr>
            <w:r>
              <w:rPr>
                <w:rFonts w:cs="Century Gothic"/>
                <w:color w:val="000000"/>
                <w:sz w:val="18"/>
                <w:szCs w:val="18"/>
              </w:rPr>
              <w:t>2,067 (51.0%)</w:t>
            </w:r>
          </w:p>
        </w:tc>
        <w:tc>
          <w:tcPr>
            <w:tcW w:w="667" w:type="pct"/>
            <w:shd w:val="clear" w:color="auto" w:fill="FFFFFF"/>
            <w:tcMar>
              <w:top w:w="0" w:type="dxa"/>
              <w:left w:w="0" w:type="dxa"/>
              <w:bottom w:w="0" w:type="dxa"/>
              <w:right w:w="0" w:type="dxa"/>
            </w:tcMar>
            <w:vAlign w:val="center"/>
            <w:hideMark/>
          </w:tcPr>
          <w:p w14:paraId="497FF403"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3F0EDFA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2126E94A" w14:textId="77777777" w:rsidR="001C19F3" w:rsidRDefault="001C19F3" w:rsidP="00521305">
            <w:pPr>
              <w:spacing w:before="40" w:after="40"/>
              <w:ind w:left="160" w:right="40"/>
            </w:pPr>
            <w:r>
              <w:rPr>
                <w:rFonts w:cs="Century Gothic"/>
                <w:color w:val="000000"/>
                <w:sz w:val="18"/>
                <w:szCs w:val="18"/>
              </w:rPr>
              <w:t>Compromised skin integrity e.g. Wounds, PAC, Cellulitis</w:t>
            </w:r>
          </w:p>
        </w:tc>
        <w:tc>
          <w:tcPr>
            <w:tcW w:w="667" w:type="pct"/>
            <w:shd w:val="clear" w:color="auto" w:fill="FFFFFF"/>
            <w:tcMar>
              <w:top w:w="0" w:type="dxa"/>
              <w:left w:w="0" w:type="dxa"/>
              <w:bottom w:w="0" w:type="dxa"/>
              <w:right w:w="0" w:type="dxa"/>
            </w:tcMar>
            <w:vAlign w:val="center"/>
            <w:hideMark/>
          </w:tcPr>
          <w:p w14:paraId="6CD08755" w14:textId="77777777" w:rsidR="001C19F3" w:rsidRDefault="001C19F3" w:rsidP="00521305">
            <w:pPr>
              <w:spacing w:before="40" w:after="40"/>
              <w:ind w:left="40" w:right="40"/>
              <w:jc w:val="center"/>
            </w:pPr>
            <w:r>
              <w:rPr>
                <w:rFonts w:cs="Century Gothic"/>
                <w:color w:val="000000"/>
                <w:sz w:val="18"/>
                <w:szCs w:val="18"/>
              </w:rPr>
              <w:t>1,352 (10.9%)</w:t>
            </w:r>
          </w:p>
        </w:tc>
        <w:tc>
          <w:tcPr>
            <w:tcW w:w="667" w:type="pct"/>
            <w:shd w:val="clear" w:color="auto" w:fill="FFFFFF"/>
            <w:tcMar>
              <w:top w:w="0" w:type="dxa"/>
              <w:left w:w="0" w:type="dxa"/>
              <w:bottom w:w="0" w:type="dxa"/>
              <w:right w:w="0" w:type="dxa"/>
            </w:tcMar>
            <w:vAlign w:val="center"/>
            <w:hideMark/>
          </w:tcPr>
          <w:p w14:paraId="16E4C4B6" w14:textId="77777777" w:rsidR="001C19F3" w:rsidRDefault="001C19F3" w:rsidP="00521305">
            <w:pPr>
              <w:spacing w:before="40" w:after="40"/>
              <w:ind w:left="40" w:right="40"/>
              <w:jc w:val="center"/>
            </w:pPr>
            <w:r>
              <w:rPr>
                <w:rFonts w:cs="Century Gothic"/>
                <w:color w:val="000000"/>
                <w:sz w:val="18"/>
                <w:szCs w:val="18"/>
              </w:rPr>
              <w:t>101 (4.5%)</w:t>
            </w:r>
          </w:p>
        </w:tc>
        <w:tc>
          <w:tcPr>
            <w:tcW w:w="667" w:type="pct"/>
            <w:shd w:val="clear" w:color="auto" w:fill="FFFFFF"/>
            <w:tcMar>
              <w:top w:w="0" w:type="dxa"/>
              <w:left w:w="0" w:type="dxa"/>
              <w:bottom w:w="0" w:type="dxa"/>
              <w:right w:w="0" w:type="dxa"/>
            </w:tcMar>
            <w:vAlign w:val="center"/>
            <w:hideMark/>
          </w:tcPr>
          <w:p w14:paraId="615B4545" w14:textId="77777777" w:rsidR="001C19F3" w:rsidRDefault="001C19F3" w:rsidP="00521305">
            <w:pPr>
              <w:spacing w:before="40" w:after="40"/>
              <w:ind w:left="40" w:right="40"/>
              <w:jc w:val="center"/>
            </w:pPr>
            <w:r>
              <w:rPr>
                <w:rFonts w:cs="Century Gothic"/>
                <w:color w:val="000000"/>
                <w:sz w:val="18"/>
                <w:szCs w:val="18"/>
              </w:rPr>
              <w:t>473 (7.7%)</w:t>
            </w:r>
          </w:p>
        </w:tc>
        <w:tc>
          <w:tcPr>
            <w:tcW w:w="667" w:type="pct"/>
            <w:shd w:val="clear" w:color="auto" w:fill="FFFFFF"/>
            <w:tcMar>
              <w:top w:w="0" w:type="dxa"/>
              <w:left w:w="0" w:type="dxa"/>
              <w:bottom w:w="0" w:type="dxa"/>
              <w:right w:w="0" w:type="dxa"/>
            </w:tcMar>
            <w:vAlign w:val="center"/>
            <w:hideMark/>
          </w:tcPr>
          <w:p w14:paraId="057D4907" w14:textId="77777777" w:rsidR="001C19F3" w:rsidRDefault="001C19F3" w:rsidP="00521305">
            <w:pPr>
              <w:spacing w:before="40" w:after="40"/>
              <w:ind w:left="40" w:right="40"/>
              <w:jc w:val="center"/>
            </w:pPr>
            <w:r>
              <w:rPr>
                <w:rFonts w:cs="Century Gothic"/>
                <w:color w:val="000000"/>
                <w:sz w:val="18"/>
                <w:szCs w:val="18"/>
              </w:rPr>
              <w:t>778 (19.2%)</w:t>
            </w:r>
          </w:p>
        </w:tc>
        <w:tc>
          <w:tcPr>
            <w:tcW w:w="667" w:type="pct"/>
            <w:shd w:val="clear" w:color="auto" w:fill="FFFFFF"/>
            <w:tcMar>
              <w:top w:w="0" w:type="dxa"/>
              <w:left w:w="0" w:type="dxa"/>
              <w:bottom w:w="0" w:type="dxa"/>
              <w:right w:w="0" w:type="dxa"/>
            </w:tcMar>
            <w:vAlign w:val="center"/>
            <w:hideMark/>
          </w:tcPr>
          <w:p w14:paraId="326746AB"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71A0B70"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8A68865" w14:textId="77777777" w:rsidR="001C19F3" w:rsidRDefault="001C19F3" w:rsidP="00521305">
            <w:pPr>
              <w:spacing w:before="40" w:after="40"/>
              <w:ind w:left="160" w:right="40"/>
            </w:pPr>
            <w:r>
              <w:rPr>
                <w:rFonts w:cs="Century Gothic"/>
                <w:color w:val="000000"/>
                <w:sz w:val="18"/>
                <w:szCs w:val="18"/>
              </w:rPr>
              <w:t>Exposure to triggers for asthma</w:t>
            </w:r>
          </w:p>
        </w:tc>
        <w:tc>
          <w:tcPr>
            <w:tcW w:w="667" w:type="pct"/>
            <w:shd w:val="clear" w:color="auto" w:fill="FFFFFF"/>
            <w:tcMar>
              <w:top w:w="0" w:type="dxa"/>
              <w:left w:w="0" w:type="dxa"/>
              <w:bottom w:w="0" w:type="dxa"/>
              <w:right w:w="0" w:type="dxa"/>
            </w:tcMar>
            <w:vAlign w:val="center"/>
            <w:hideMark/>
          </w:tcPr>
          <w:p w14:paraId="67CB6128" w14:textId="77777777" w:rsidR="001C19F3" w:rsidRDefault="001C19F3" w:rsidP="00521305">
            <w:pPr>
              <w:spacing w:before="40" w:after="40"/>
              <w:ind w:left="40" w:right="40"/>
              <w:jc w:val="center"/>
            </w:pPr>
            <w:r>
              <w:rPr>
                <w:rFonts w:cs="Century Gothic"/>
                <w:color w:val="000000"/>
                <w:sz w:val="18"/>
                <w:szCs w:val="18"/>
              </w:rPr>
              <w:t>1,686 (13.5%)</w:t>
            </w:r>
          </w:p>
        </w:tc>
        <w:tc>
          <w:tcPr>
            <w:tcW w:w="667" w:type="pct"/>
            <w:shd w:val="clear" w:color="auto" w:fill="FFFFFF"/>
            <w:tcMar>
              <w:top w:w="0" w:type="dxa"/>
              <w:left w:w="0" w:type="dxa"/>
              <w:bottom w:w="0" w:type="dxa"/>
              <w:right w:w="0" w:type="dxa"/>
            </w:tcMar>
            <w:vAlign w:val="center"/>
            <w:hideMark/>
          </w:tcPr>
          <w:p w14:paraId="005B2CE7" w14:textId="77777777" w:rsidR="001C19F3" w:rsidRDefault="001C19F3" w:rsidP="00521305">
            <w:pPr>
              <w:spacing w:before="40" w:after="40"/>
              <w:ind w:left="40" w:right="40"/>
              <w:jc w:val="center"/>
            </w:pPr>
            <w:r>
              <w:rPr>
                <w:rFonts w:cs="Century Gothic"/>
                <w:color w:val="000000"/>
                <w:sz w:val="18"/>
                <w:szCs w:val="18"/>
              </w:rPr>
              <w:t>210 (9.3%)</w:t>
            </w:r>
          </w:p>
        </w:tc>
        <w:tc>
          <w:tcPr>
            <w:tcW w:w="667" w:type="pct"/>
            <w:shd w:val="clear" w:color="auto" w:fill="FFFFFF"/>
            <w:tcMar>
              <w:top w:w="0" w:type="dxa"/>
              <w:left w:w="0" w:type="dxa"/>
              <w:bottom w:w="0" w:type="dxa"/>
              <w:right w:w="0" w:type="dxa"/>
            </w:tcMar>
            <w:vAlign w:val="center"/>
            <w:hideMark/>
          </w:tcPr>
          <w:p w14:paraId="44D64693" w14:textId="77777777" w:rsidR="001C19F3" w:rsidRDefault="001C19F3" w:rsidP="00521305">
            <w:pPr>
              <w:spacing w:before="40" w:after="40"/>
              <w:ind w:left="40" w:right="40"/>
              <w:jc w:val="center"/>
            </w:pPr>
            <w:r>
              <w:rPr>
                <w:rFonts w:cs="Century Gothic"/>
                <w:color w:val="000000"/>
                <w:sz w:val="18"/>
                <w:szCs w:val="18"/>
              </w:rPr>
              <w:t>825 (13.4%)</w:t>
            </w:r>
          </w:p>
        </w:tc>
        <w:tc>
          <w:tcPr>
            <w:tcW w:w="667" w:type="pct"/>
            <w:shd w:val="clear" w:color="auto" w:fill="FFFFFF"/>
            <w:tcMar>
              <w:top w:w="0" w:type="dxa"/>
              <w:left w:w="0" w:type="dxa"/>
              <w:bottom w:w="0" w:type="dxa"/>
              <w:right w:w="0" w:type="dxa"/>
            </w:tcMar>
            <w:vAlign w:val="center"/>
            <w:hideMark/>
          </w:tcPr>
          <w:p w14:paraId="6B5E5922" w14:textId="77777777" w:rsidR="001C19F3" w:rsidRDefault="001C19F3" w:rsidP="00521305">
            <w:pPr>
              <w:spacing w:before="40" w:after="40"/>
              <w:ind w:left="40" w:right="40"/>
              <w:jc w:val="center"/>
            </w:pPr>
            <w:r>
              <w:rPr>
                <w:rFonts w:cs="Century Gothic"/>
                <w:color w:val="000000"/>
                <w:sz w:val="18"/>
                <w:szCs w:val="18"/>
              </w:rPr>
              <w:t>651 (16.1%)</w:t>
            </w:r>
          </w:p>
        </w:tc>
        <w:tc>
          <w:tcPr>
            <w:tcW w:w="667" w:type="pct"/>
            <w:shd w:val="clear" w:color="auto" w:fill="FFFFFF"/>
            <w:tcMar>
              <w:top w:w="0" w:type="dxa"/>
              <w:left w:w="0" w:type="dxa"/>
              <w:bottom w:w="0" w:type="dxa"/>
              <w:right w:w="0" w:type="dxa"/>
            </w:tcMar>
            <w:vAlign w:val="center"/>
            <w:hideMark/>
          </w:tcPr>
          <w:p w14:paraId="1D8E4C83"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1ACF9E2"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3D35BD53" w14:textId="77777777" w:rsidR="001C19F3" w:rsidRDefault="001C19F3" w:rsidP="00521305">
            <w:pPr>
              <w:spacing w:before="40" w:after="40"/>
              <w:ind w:left="40" w:right="40"/>
            </w:pPr>
            <w:r>
              <w:rPr>
                <w:rFonts w:cs="Century Gothic"/>
                <w:b/>
                <w:color w:val="000000"/>
                <w:sz w:val="18"/>
                <w:szCs w:val="18"/>
              </w:rPr>
              <w:t>Z: Score (out of 8)</w:t>
            </w:r>
          </w:p>
        </w:tc>
      </w:tr>
      <w:tr w:rsidR="001C19F3" w14:paraId="19625A69"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3FB400B" w14:textId="77777777" w:rsidR="001C19F3" w:rsidRDefault="001C19F3" w:rsidP="00521305">
            <w:pPr>
              <w:spacing w:before="40" w:after="40"/>
              <w:ind w:left="160" w:right="40"/>
            </w:pPr>
            <w:r>
              <w:rPr>
                <w:rFonts w:cs="Century Gothic"/>
                <w:color w:val="000000"/>
                <w:sz w:val="18"/>
                <w:szCs w:val="18"/>
              </w:rPr>
              <w:t>Zero</w:t>
            </w:r>
          </w:p>
        </w:tc>
        <w:tc>
          <w:tcPr>
            <w:tcW w:w="667" w:type="pct"/>
            <w:shd w:val="clear" w:color="auto" w:fill="FFFFFF"/>
            <w:tcMar>
              <w:top w:w="0" w:type="dxa"/>
              <w:left w:w="0" w:type="dxa"/>
              <w:bottom w:w="0" w:type="dxa"/>
              <w:right w:w="0" w:type="dxa"/>
            </w:tcMar>
            <w:vAlign w:val="center"/>
            <w:hideMark/>
          </w:tcPr>
          <w:p w14:paraId="08D4EA40" w14:textId="77777777" w:rsidR="001C19F3" w:rsidRDefault="001C19F3" w:rsidP="00521305">
            <w:pPr>
              <w:spacing w:before="40" w:after="40"/>
              <w:ind w:left="40" w:right="40"/>
              <w:jc w:val="center"/>
            </w:pPr>
            <w:r>
              <w:rPr>
                <w:rFonts w:cs="Century Gothic"/>
                <w:color w:val="000000"/>
                <w:sz w:val="18"/>
                <w:szCs w:val="18"/>
              </w:rPr>
              <w:t>2,442 (19.6%)</w:t>
            </w:r>
          </w:p>
        </w:tc>
        <w:tc>
          <w:tcPr>
            <w:tcW w:w="667" w:type="pct"/>
            <w:shd w:val="clear" w:color="auto" w:fill="FFFFFF"/>
            <w:tcMar>
              <w:top w:w="0" w:type="dxa"/>
              <w:left w:w="0" w:type="dxa"/>
              <w:bottom w:w="0" w:type="dxa"/>
              <w:right w:w="0" w:type="dxa"/>
            </w:tcMar>
            <w:vAlign w:val="center"/>
            <w:hideMark/>
          </w:tcPr>
          <w:p w14:paraId="6B2B3D4A" w14:textId="77777777" w:rsidR="001C19F3" w:rsidRDefault="001C19F3" w:rsidP="00521305">
            <w:pPr>
              <w:spacing w:before="40" w:after="40"/>
              <w:ind w:left="40" w:right="40"/>
              <w:jc w:val="center"/>
            </w:pPr>
            <w:r>
              <w:rPr>
                <w:rFonts w:cs="Century Gothic"/>
                <w:color w:val="000000"/>
                <w:sz w:val="18"/>
                <w:szCs w:val="18"/>
              </w:rPr>
              <w:t>954 (42.2%)</w:t>
            </w:r>
          </w:p>
        </w:tc>
        <w:tc>
          <w:tcPr>
            <w:tcW w:w="667" w:type="pct"/>
            <w:shd w:val="clear" w:color="auto" w:fill="FFFFFF"/>
            <w:tcMar>
              <w:top w:w="0" w:type="dxa"/>
              <w:left w:w="0" w:type="dxa"/>
              <w:bottom w:w="0" w:type="dxa"/>
              <w:right w:w="0" w:type="dxa"/>
            </w:tcMar>
            <w:vAlign w:val="center"/>
            <w:hideMark/>
          </w:tcPr>
          <w:p w14:paraId="74DB27E1" w14:textId="77777777" w:rsidR="001C19F3" w:rsidRDefault="001C19F3" w:rsidP="00521305">
            <w:pPr>
              <w:spacing w:before="40" w:after="40"/>
              <w:ind w:left="40" w:right="40"/>
              <w:jc w:val="center"/>
            </w:pPr>
            <w:r>
              <w:rPr>
                <w:rFonts w:cs="Century Gothic"/>
                <w:color w:val="000000"/>
                <w:sz w:val="18"/>
                <w:szCs w:val="18"/>
              </w:rPr>
              <w:t>1,311 (21.4%)</w:t>
            </w:r>
          </w:p>
        </w:tc>
        <w:tc>
          <w:tcPr>
            <w:tcW w:w="667" w:type="pct"/>
            <w:shd w:val="clear" w:color="auto" w:fill="FFFFFF"/>
            <w:tcMar>
              <w:top w:w="0" w:type="dxa"/>
              <w:left w:w="0" w:type="dxa"/>
              <w:bottom w:w="0" w:type="dxa"/>
              <w:right w:w="0" w:type="dxa"/>
            </w:tcMar>
            <w:vAlign w:val="center"/>
            <w:hideMark/>
          </w:tcPr>
          <w:p w14:paraId="1695E770" w14:textId="77777777" w:rsidR="001C19F3" w:rsidRDefault="001C19F3" w:rsidP="00521305">
            <w:pPr>
              <w:spacing w:before="40" w:after="40"/>
              <w:ind w:left="40" w:right="40"/>
              <w:jc w:val="center"/>
            </w:pPr>
            <w:r>
              <w:rPr>
                <w:rFonts w:cs="Century Gothic"/>
                <w:color w:val="000000"/>
                <w:sz w:val="18"/>
                <w:szCs w:val="18"/>
              </w:rPr>
              <w:t>177 (4.4%)</w:t>
            </w:r>
          </w:p>
        </w:tc>
        <w:tc>
          <w:tcPr>
            <w:tcW w:w="667" w:type="pct"/>
            <w:vMerge w:val="restart"/>
            <w:shd w:val="clear" w:color="auto" w:fill="FFFFFF"/>
            <w:tcMar>
              <w:top w:w="0" w:type="dxa"/>
              <w:left w:w="0" w:type="dxa"/>
              <w:bottom w:w="0" w:type="dxa"/>
              <w:right w:w="0" w:type="dxa"/>
            </w:tcMar>
            <w:vAlign w:val="center"/>
            <w:hideMark/>
          </w:tcPr>
          <w:p w14:paraId="0FDC818B"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2090EAC"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6D33285D" w14:textId="77777777" w:rsidR="001C19F3" w:rsidRDefault="001C19F3" w:rsidP="00521305">
            <w:pPr>
              <w:spacing w:before="40" w:after="40"/>
              <w:ind w:left="160" w:right="40"/>
            </w:pPr>
            <w:r>
              <w:rPr>
                <w:rFonts w:cs="Century Gothic"/>
                <w:color w:val="000000"/>
                <w:sz w:val="18"/>
                <w:szCs w:val="18"/>
              </w:rPr>
              <w:t>One</w:t>
            </w:r>
          </w:p>
        </w:tc>
        <w:tc>
          <w:tcPr>
            <w:tcW w:w="667" w:type="pct"/>
            <w:shd w:val="clear" w:color="auto" w:fill="FFFFFF"/>
            <w:tcMar>
              <w:top w:w="0" w:type="dxa"/>
              <w:left w:w="0" w:type="dxa"/>
              <w:bottom w:w="0" w:type="dxa"/>
              <w:right w:w="0" w:type="dxa"/>
            </w:tcMar>
            <w:vAlign w:val="center"/>
            <w:hideMark/>
          </w:tcPr>
          <w:p w14:paraId="5EA056CB" w14:textId="77777777" w:rsidR="001C19F3" w:rsidRDefault="001C19F3" w:rsidP="00521305">
            <w:pPr>
              <w:spacing w:before="40" w:after="40"/>
              <w:ind w:left="40" w:right="40"/>
              <w:jc w:val="center"/>
            </w:pPr>
            <w:r>
              <w:rPr>
                <w:rFonts w:cs="Century Gothic"/>
                <w:color w:val="000000"/>
                <w:sz w:val="18"/>
                <w:szCs w:val="18"/>
              </w:rPr>
              <w:t>4,271 (34.3%)</w:t>
            </w:r>
          </w:p>
        </w:tc>
        <w:tc>
          <w:tcPr>
            <w:tcW w:w="667" w:type="pct"/>
            <w:shd w:val="clear" w:color="auto" w:fill="FFFFFF"/>
            <w:tcMar>
              <w:top w:w="0" w:type="dxa"/>
              <w:left w:w="0" w:type="dxa"/>
              <w:bottom w:w="0" w:type="dxa"/>
              <w:right w:w="0" w:type="dxa"/>
            </w:tcMar>
            <w:vAlign w:val="center"/>
            <w:hideMark/>
          </w:tcPr>
          <w:p w14:paraId="482E8FE0" w14:textId="77777777" w:rsidR="001C19F3" w:rsidRDefault="001C19F3" w:rsidP="00521305">
            <w:pPr>
              <w:spacing w:before="40" w:after="40"/>
              <w:ind w:left="40" w:right="40"/>
              <w:jc w:val="center"/>
            </w:pPr>
            <w:r>
              <w:rPr>
                <w:rFonts w:cs="Century Gothic"/>
                <w:color w:val="000000"/>
                <w:sz w:val="18"/>
                <w:szCs w:val="18"/>
              </w:rPr>
              <w:t>870 (38.5%)</w:t>
            </w:r>
          </w:p>
        </w:tc>
        <w:tc>
          <w:tcPr>
            <w:tcW w:w="667" w:type="pct"/>
            <w:shd w:val="clear" w:color="auto" w:fill="FFFFFF"/>
            <w:tcMar>
              <w:top w:w="0" w:type="dxa"/>
              <w:left w:w="0" w:type="dxa"/>
              <w:bottom w:w="0" w:type="dxa"/>
              <w:right w:w="0" w:type="dxa"/>
            </w:tcMar>
            <w:vAlign w:val="center"/>
            <w:hideMark/>
          </w:tcPr>
          <w:p w14:paraId="3D524DF4" w14:textId="77777777" w:rsidR="001C19F3" w:rsidRDefault="001C19F3" w:rsidP="00521305">
            <w:pPr>
              <w:spacing w:before="40" w:after="40"/>
              <w:ind w:left="40" w:right="40"/>
              <w:jc w:val="center"/>
            </w:pPr>
            <w:r>
              <w:rPr>
                <w:rFonts w:cs="Century Gothic"/>
                <w:color w:val="000000"/>
                <w:sz w:val="18"/>
                <w:szCs w:val="18"/>
              </w:rPr>
              <w:t>2,419 (39.4%)</w:t>
            </w:r>
          </w:p>
        </w:tc>
        <w:tc>
          <w:tcPr>
            <w:tcW w:w="667" w:type="pct"/>
            <w:shd w:val="clear" w:color="auto" w:fill="FFFFFF"/>
            <w:tcMar>
              <w:top w:w="0" w:type="dxa"/>
              <w:left w:w="0" w:type="dxa"/>
              <w:bottom w:w="0" w:type="dxa"/>
              <w:right w:w="0" w:type="dxa"/>
            </w:tcMar>
            <w:vAlign w:val="center"/>
            <w:hideMark/>
          </w:tcPr>
          <w:p w14:paraId="198571B8" w14:textId="77777777" w:rsidR="001C19F3" w:rsidRDefault="001C19F3" w:rsidP="00521305">
            <w:pPr>
              <w:spacing w:before="40" w:after="40"/>
              <w:ind w:left="40" w:right="40"/>
              <w:jc w:val="center"/>
            </w:pPr>
            <w:r>
              <w:rPr>
                <w:rFonts w:cs="Century Gothic"/>
                <w:color w:val="000000"/>
                <w:sz w:val="18"/>
                <w:szCs w:val="18"/>
              </w:rPr>
              <w:t>982 (24.2%)</w:t>
            </w:r>
          </w:p>
        </w:tc>
        <w:tc>
          <w:tcPr>
            <w:tcW w:w="667" w:type="pct"/>
            <w:vMerge/>
            <w:vAlign w:val="center"/>
            <w:hideMark/>
          </w:tcPr>
          <w:p w14:paraId="2F685EC9" w14:textId="77777777" w:rsidR="001C19F3" w:rsidRDefault="001C19F3" w:rsidP="00521305">
            <w:pPr>
              <w:spacing w:after="0"/>
              <w:rPr>
                <w:sz w:val="22"/>
              </w:rPr>
            </w:pPr>
          </w:p>
        </w:tc>
      </w:tr>
      <w:tr w:rsidR="001C19F3" w14:paraId="39FBB210"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4084CB87" w14:textId="77777777" w:rsidR="001C19F3" w:rsidRDefault="001C19F3" w:rsidP="00521305">
            <w:pPr>
              <w:spacing w:before="40" w:after="40"/>
              <w:ind w:left="160" w:right="40"/>
            </w:pPr>
            <w:r>
              <w:rPr>
                <w:rFonts w:cs="Century Gothic"/>
                <w:color w:val="000000"/>
                <w:sz w:val="18"/>
                <w:szCs w:val="18"/>
              </w:rPr>
              <w:t>Two</w:t>
            </w:r>
          </w:p>
        </w:tc>
        <w:tc>
          <w:tcPr>
            <w:tcW w:w="667" w:type="pct"/>
            <w:shd w:val="clear" w:color="auto" w:fill="FFFFFF"/>
            <w:tcMar>
              <w:top w:w="0" w:type="dxa"/>
              <w:left w:w="0" w:type="dxa"/>
              <w:bottom w:w="0" w:type="dxa"/>
              <w:right w:w="0" w:type="dxa"/>
            </w:tcMar>
            <w:vAlign w:val="center"/>
            <w:hideMark/>
          </w:tcPr>
          <w:p w14:paraId="4180DB3A" w14:textId="77777777" w:rsidR="001C19F3" w:rsidRDefault="001C19F3" w:rsidP="00521305">
            <w:pPr>
              <w:spacing w:before="40" w:after="40"/>
              <w:ind w:left="40" w:right="40"/>
              <w:jc w:val="center"/>
            </w:pPr>
            <w:r>
              <w:rPr>
                <w:rFonts w:cs="Century Gothic"/>
                <w:color w:val="000000"/>
                <w:sz w:val="18"/>
                <w:szCs w:val="18"/>
              </w:rPr>
              <w:t>3,085 (24.8%)</w:t>
            </w:r>
          </w:p>
        </w:tc>
        <w:tc>
          <w:tcPr>
            <w:tcW w:w="667" w:type="pct"/>
            <w:shd w:val="clear" w:color="auto" w:fill="FFFFFF"/>
            <w:tcMar>
              <w:top w:w="0" w:type="dxa"/>
              <w:left w:w="0" w:type="dxa"/>
              <w:bottom w:w="0" w:type="dxa"/>
              <w:right w:w="0" w:type="dxa"/>
            </w:tcMar>
            <w:vAlign w:val="center"/>
            <w:hideMark/>
          </w:tcPr>
          <w:p w14:paraId="07670A1A" w14:textId="77777777" w:rsidR="001C19F3" w:rsidRDefault="001C19F3" w:rsidP="00521305">
            <w:pPr>
              <w:spacing w:before="40" w:after="40"/>
              <w:ind w:left="40" w:right="40"/>
              <w:jc w:val="center"/>
            </w:pPr>
            <w:r>
              <w:rPr>
                <w:rFonts w:cs="Century Gothic"/>
                <w:color w:val="000000"/>
                <w:sz w:val="18"/>
                <w:szCs w:val="18"/>
              </w:rPr>
              <w:t>342 (15.1%)</w:t>
            </w:r>
          </w:p>
        </w:tc>
        <w:tc>
          <w:tcPr>
            <w:tcW w:w="667" w:type="pct"/>
            <w:shd w:val="clear" w:color="auto" w:fill="FFFFFF"/>
            <w:tcMar>
              <w:top w:w="0" w:type="dxa"/>
              <w:left w:w="0" w:type="dxa"/>
              <w:bottom w:w="0" w:type="dxa"/>
              <w:right w:w="0" w:type="dxa"/>
            </w:tcMar>
            <w:vAlign w:val="center"/>
            <w:hideMark/>
          </w:tcPr>
          <w:p w14:paraId="16FB4C9B" w14:textId="77777777" w:rsidR="001C19F3" w:rsidRDefault="001C19F3" w:rsidP="00521305">
            <w:pPr>
              <w:spacing w:before="40" w:after="40"/>
              <w:ind w:left="40" w:right="40"/>
              <w:jc w:val="center"/>
            </w:pPr>
            <w:r>
              <w:rPr>
                <w:rFonts w:cs="Century Gothic"/>
                <w:color w:val="000000"/>
                <w:sz w:val="18"/>
                <w:szCs w:val="18"/>
              </w:rPr>
              <w:t>1,542 (25.1%)</w:t>
            </w:r>
          </w:p>
        </w:tc>
        <w:tc>
          <w:tcPr>
            <w:tcW w:w="667" w:type="pct"/>
            <w:shd w:val="clear" w:color="auto" w:fill="FFFFFF"/>
            <w:tcMar>
              <w:top w:w="0" w:type="dxa"/>
              <w:left w:w="0" w:type="dxa"/>
              <w:bottom w:w="0" w:type="dxa"/>
              <w:right w:w="0" w:type="dxa"/>
            </w:tcMar>
            <w:vAlign w:val="center"/>
            <w:hideMark/>
          </w:tcPr>
          <w:p w14:paraId="41B6A2E3" w14:textId="77777777" w:rsidR="001C19F3" w:rsidRDefault="001C19F3" w:rsidP="00521305">
            <w:pPr>
              <w:spacing w:before="40" w:after="40"/>
              <w:ind w:left="40" w:right="40"/>
              <w:jc w:val="center"/>
            </w:pPr>
            <w:r>
              <w:rPr>
                <w:rFonts w:cs="Century Gothic"/>
                <w:color w:val="000000"/>
                <w:sz w:val="18"/>
                <w:szCs w:val="18"/>
              </w:rPr>
              <w:t>1,201 (29.6%)</w:t>
            </w:r>
          </w:p>
        </w:tc>
        <w:tc>
          <w:tcPr>
            <w:tcW w:w="667" w:type="pct"/>
            <w:vMerge/>
            <w:vAlign w:val="center"/>
            <w:hideMark/>
          </w:tcPr>
          <w:p w14:paraId="1693AA5F" w14:textId="77777777" w:rsidR="001C19F3" w:rsidRDefault="001C19F3" w:rsidP="00521305">
            <w:pPr>
              <w:spacing w:after="0"/>
              <w:rPr>
                <w:sz w:val="22"/>
              </w:rPr>
            </w:pPr>
          </w:p>
        </w:tc>
      </w:tr>
      <w:tr w:rsidR="001C19F3" w14:paraId="16128716"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07EAE875" w14:textId="77777777" w:rsidR="001C19F3" w:rsidRDefault="001C19F3" w:rsidP="00521305">
            <w:pPr>
              <w:spacing w:before="40" w:after="40"/>
              <w:ind w:left="160" w:right="40"/>
            </w:pPr>
            <w:r>
              <w:rPr>
                <w:rFonts w:cs="Century Gothic"/>
                <w:color w:val="000000"/>
                <w:sz w:val="18"/>
                <w:szCs w:val="18"/>
              </w:rPr>
              <w:t>Three</w:t>
            </w:r>
          </w:p>
        </w:tc>
        <w:tc>
          <w:tcPr>
            <w:tcW w:w="667" w:type="pct"/>
            <w:shd w:val="clear" w:color="auto" w:fill="FFFFFF"/>
            <w:tcMar>
              <w:top w:w="0" w:type="dxa"/>
              <w:left w:w="0" w:type="dxa"/>
              <w:bottom w:w="0" w:type="dxa"/>
              <w:right w:w="0" w:type="dxa"/>
            </w:tcMar>
            <w:vAlign w:val="center"/>
            <w:hideMark/>
          </w:tcPr>
          <w:p w14:paraId="59E47F68" w14:textId="77777777" w:rsidR="001C19F3" w:rsidRDefault="001C19F3" w:rsidP="00521305">
            <w:pPr>
              <w:spacing w:before="40" w:after="40"/>
              <w:ind w:left="40" w:right="40"/>
              <w:jc w:val="center"/>
            </w:pPr>
            <w:r>
              <w:rPr>
                <w:rFonts w:cs="Century Gothic"/>
                <w:color w:val="000000"/>
                <w:sz w:val="18"/>
                <w:szCs w:val="18"/>
              </w:rPr>
              <w:t>1,602 (12.9%)</w:t>
            </w:r>
          </w:p>
        </w:tc>
        <w:tc>
          <w:tcPr>
            <w:tcW w:w="667" w:type="pct"/>
            <w:shd w:val="clear" w:color="auto" w:fill="FFFFFF"/>
            <w:tcMar>
              <w:top w:w="0" w:type="dxa"/>
              <w:left w:w="0" w:type="dxa"/>
              <w:bottom w:w="0" w:type="dxa"/>
              <w:right w:w="0" w:type="dxa"/>
            </w:tcMar>
            <w:vAlign w:val="center"/>
            <w:hideMark/>
          </w:tcPr>
          <w:p w14:paraId="2DF8ADBF" w14:textId="77777777" w:rsidR="001C19F3" w:rsidRDefault="001C19F3" w:rsidP="00521305">
            <w:pPr>
              <w:spacing w:before="40" w:after="40"/>
              <w:ind w:left="40" w:right="40"/>
              <w:jc w:val="center"/>
            </w:pPr>
            <w:r>
              <w:rPr>
                <w:rFonts w:cs="Century Gothic"/>
                <w:color w:val="000000"/>
                <w:sz w:val="18"/>
                <w:szCs w:val="18"/>
              </w:rPr>
              <w:t>79 (3.5%)</w:t>
            </w:r>
          </w:p>
        </w:tc>
        <w:tc>
          <w:tcPr>
            <w:tcW w:w="667" w:type="pct"/>
            <w:shd w:val="clear" w:color="auto" w:fill="FFFFFF"/>
            <w:tcMar>
              <w:top w:w="0" w:type="dxa"/>
              <w:left w:w="0" w:type="dxa"/>
              <w:bottom w:w="0" w:type="dxa"/>
              <w:right w:w="0" w:type="dxa"/>
            </w:tcMar>
            <w:vAlign w:val="center"/>
            <w:hideMark/>
          </w:tcPr>
          <w:p w14:paraId="382E409E" w14:textId="77777777" w:rsidR="001C19F3" w:rsidRDefault="001C19F3" w:rsidP="00521305">
            <w:pPr>
              <w:spacing w:before="40" w:after="40"/>
              <w:ind w:left="40" w:right="40"/>
              <w:jc w:val="center"/>
            </w:pPr>
            <w:r>
              <w:rPr>
                <w:rFonts w:cs="Century Gothic"/>
                <w:color w:val="000000"/>
                <w:sz w:val="18"/>
                <w:szCs w:val="18"/>
              </w:rPr>
              <w:t>618 (10.1%)</w:t>
            </w:r>
          </w:p>
        </w:tc>
        <w:tc>
          <w:tcPr>
            <w:tcW w:w="667" w:type="pct"/>
            <w:shd w:val="clear" w:color="auto" w:fill="FFFFFF"/>
            <w:tcMar>
              <w:top w:w="0" w:type="dxa"/>
              <w:left w:w="0" w:type="dxa"/>
              <w:bottom w:w="0" w:type="dxa"/>
              <w:right w:w="0" w:type="dxa"/>
            </w:tcMar>
            <w:vAlign w:val="center"/>
            <w:hideMark/>
          </w:tcPr>
          <w:p w14:paraId="6171CB22" w14:textId="77777777" w:rsidR="001C19F3" w:rsidRDefault="001C19F3" w:rsidP="00521305">
            <w:pPr>
              <w:spacing w:before="40" w:after="40"/>
              <w:ind w:left="40" w:right="40"/>
              <w:jc w:val="center"/>
            </w:pPr>
            <w:r>
              <w:rPr>
                <w:rFonts w:cs="Century Gothic"/>
                <w:color w:val="000000"/>
                <w:sz w:val="18"/>
                <w:szCs w:val="18"/>
              </w:rPr>
              <w:t>905 (22.3%)</w:t>
            </w:r>
          </w:p>
        </w:tc>
        <w:tc>
          <w:tcPr>
            <w:tcW w:w="667" w:type="pct"/>
            <w:vMerge/>
            <w:vAlign w:val="center"/>
            <w:hideMark/>
          </w:tcPr>
          <w:p w14:paraId="658ABA1B" w14:textId="77777777" w:rsidR="001C19F3" w:rsidRDefault="001C19F3" w:rsidP="00521305">
            <w:pPr>
              <w:spacing w:after="0"/>
              <w:rPr>
                <w:sz w:val="22"/>
              </w:rPr>
            </w:pPr>
          </w:p>
        </w:tc>
      </w:tr>
      <w:tr w:rsidR="001C19F3" w14:paraId="2BFD5E2F"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5FD51255" w14:textId="77777777" w:rsidR="001C19F3" w:rsidRDefault="001C19F3" w:rsidP="00521305">
            <w:pPr>
              <w:spacing w:before="40" w:after="40"/>
              <w:ind w:left="160" w:right="40"/>
            </w:pPr>
            <w:r>
              <w:rPr>
                <w:rFonts w:cs="Century Gothic"/>
                <w:color w:val="000000"/>
                <w:sz w:val="18"/>
                <w:szCs w:val="18"/>
              </w:rPr>
              <w:t>Four</w:t>
            </w:r>
          </w:p>
        </w:tc>
        <w:tc>
          <w:tcPr>
            <w:tcW w:w="667" w:type="pct"/>
            <w:shd w:val="clear" w:color="auto" w:fill="FFFFFF"/>
            <w:tcMar>
              <w:top w:w="0" w:type="dxa"/>
              <w:left w:w="0" w:type="dxa"/>
              <w:bottom w:w="0" w:type="dxa"/>
              <w:right w:w="0" w:type="dxa"/>
            </w:tcMar>
            <w:vAlign w:val="center"/>
            <w:hideMark/>
          </w:tcPr>
          <w:p w14:paraId="0C2D41B1" w14:textId="77777777" w:rsidR="001C19F3" w:rsidRDefault="001C19F3" w:rsidP="00521305">
            <w:pPr>
              <w:spacing w:before="40" w:after="40"/>
              <w:ind w:left="40" w:right="40"/>
              <w:jc w:val="center"/>
            </w:pPr>
            <w:r>
              <w:rPr>
                <w:rFonts w:cs="Century Gothic"/>
                <w:color w:val="000000"/>
                <w:sz w:val="18"/>
                <w:szCs w:val="18"/>
              </w:rPr>
              <w:t>681 (5.5%)</w:t>
            </w:r>
          </w:p>
        </w:tc>
        <w:tc>
          <w:tcPr>
            <w:tcW w:w="667" w:type="pct"/>
            <w:shd w:val="clear" w:color="auto" w:fill="FFFFFF"/>
            <w:tcMar>
              <w:top w:w="0" w:type="dxa"/>
              <w:left w:w="0" w:type="dxa"/>
              <w:bottom w:w="0" w:type="dxa"/>
              <w:right w:w="0" w:type="dxa"/>
            </w:tcMar>
            <w:vAlign w:val="center"/>
            <w:hideMark/>
          </w:tcPr>
          <w:p w14:paraId="3F3DCB9D" w14:textId="77777777" w:rsidR="001C19F3" w:rsidRDefault="001C19F3" w:rsidP="00521305">
            <w:pPr>
              <w:spacing w:before="40" w:after="40"/>
              <w:ind w:left="40" w:right="40"/>
              <w:jc w:val="center"/>
            </w:pPr>
            <w:r>
              <w:rPr>
                <w:rFonts w:cs="Century Gothic"/>
                <w:color w:val="000000"/>
                <w:sz w:val="18"/>
                <w:szCs w:val="18"/>
              </w:rPr>
              <w:t>10 (0.4%)</w:t>
            </w:r>
          </w:p>
        </w:tc>
        <w:tc>
          <w:tcPr>
            <w:tcW w:w="667" w:type="pct"/>
            <w:shd w:val="clear" w:color="auto" w:fill="FFFFFF"/>
            <w:tcMar>
              <w:top w:w="0" w:type="dxa"/>
              <w:left w:w="0" w:type="dxa"/>
              <w:bottom w:w="0" w:type="dxa"/>
              <w:right w:w="0" w:type="dxa"/>
            </w:tcMar>
            <w:vAlign w:val="center"/>
            <w:hideMark/>
          </w:tcPr>
          <w:p w14:paraId="40B9153C" w14:textId="77777777" w:rsidR="001C19F3" w:rsidRDefault="001C19F3" w:rsidP="00521305">
            <w:pPr>
              <w:spacing w:before="40" w:after="40"/>
              <w:ind w:left="40" w:right="40"/>
              <w:jc w:val="center"/>
            </w:pPr>
            <w:r>
              <w:rPr>
                <w:rFonts w:cs="Century Gothic"/>
                <w:color w:val="000000"/>
                <w:sz w:val="18"/>
                <w:szCs w:val="18"/>
              </w:rPr>
              <w:t>175 (2.9%)</w:t>
            </w:r>
          </w:p>
        </w:tc>
        <w:tc>
          <w:tcPr>
            <w:tcW w:w="667" w:type="pct"/>
            <w:shd w:val="clear" w:color="auto" w:fill="FFFFFF"/>
            <w:tcMar>
              <w:top w:w="0" w:type="dxa"/>
              <w:left w:w="0" w:type="dxa"/>
              <w:bottom w:w="0" w:type="dxa"/>
              <w:right w:w="0" w:type="dxa"/>
            </w:tcMar>
            <w:vAlign w:val="center"/>
            <w:hideMark/>
          </w:tcPr>
          <w:p w14:paraId="1770786A" w14:textId="77777777" w:rsidR="001C19F3" w:rsidRDefault="001C19F3" w:rsidP="00521305">
            <w:pPr>
              <w:spacing w:before="40" w:after="40"/>
              <w:ind w:left="40" w:right="40"/>
              <w:jc w:val="center"/>
            </w:pPr>
            <w:r>
              <w:rPr>
                <w:rFonts w:cs="Century Gothic"/>
                <w:color w:val="000000"/>
                <w:sz w:val="18"/>
                <w:szCs w:val="18"/>
              </w:rPr>
              <w:t>496 (12.2%)</w:t>
            </w:r>
          </w:p>
        </w:tc>
        <w:tc>
          <w:tcPr>
            <w:tcW w:w="667" w:type="pct"/>
            <w:vMerge/>
            <w:vAlign w:val="center"/>
            <w:hideMark/>
          </w:tcPr>
          <w:p w14:paraId="50C83746" w14:textId="77777777" w:rsidR="001C19F3" w:rsidRDefault="001C19F3" w:rsidP="00521305">
            <w:pPr>
              <w:spacing w:after="0"/>
              <w:rPr>
                <w:sz w:val="22"/>
              </w:rPr>
            </w:pPr>
          </w:p>
        </w:tc>
      </w:tr>
      <w:tr w:rsidR="001C19F3" w14:paraId="705A7EB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212FE2D" w14:textId="77777777" w:rsidR="001C19F3" w:rsidRDefault="001C19F3" w:rsidP="00521305">
            <w:pPr>
              <w:spacing w:before="40" w:after="40"/>
              <w:ind w:left="160" w:right="40"/>
            </w:pPr>
            <w:r>
              <w:rPr>
                <w:rFonts w:cs="Century Gothic"/>
                <w:color w:val="000000"/>
                <w:sz w:val="18"/>
                <w:szCs w:val="18"/>
              </w:rPr>
              <w:t>Five</w:t>
            </w:r>
          </w:p>
        </w:tc>
        <w:tc>
          <w:tcPr>
            <w:tcW w:w="667" w:type="pct"/>
            <w:shd w:val="clear" w:color="auto" w:fill="FFFFFF"/>
            <w:tcMar>
              <w:top w:w="0" w:type="dxa"/>
              <w:left w:w="0" w:type="dxa"/>
              <w:bottom w:w="0" w:type="dxa"/>
              <w:right w:w="0" w:type="dxa"/>
            </w:tcMar>
            <w:vAlign w:val="center"/>
            <w:hideMark/>
          </w:tcPr>
          <w:p w14:paraId="1DADDAAB" w14:textId="77777777" w:rsidR="001C19F3" w:rsidRDefault="001C19F3" w:rsidP="00521305">
            <w:pPr>
              <w:spacing w:before="40" w:after="40"/>
              <w:ind w:left="40" w:right="40"/>
              <w:jc w:val="center"/>
            </w:pPr>
            <w:r>
              <w:rPr>
                <w:rFonts w:cs="Century Gothic"/>
                <w:color w:val="000000"/>
                <w:sz w:val="18"/>
                <w:szCs w:val="18"/>
              </w:rPr>
              <w:t>246 (2.0%)</w:t>
            </w:r>
          </w:p>
        </w:tc>
        <w:tc>
          <w:tcPr>
            <w:tcW w:w="667" w:type="pct"/>
            <w:shd w:val="clear" w:color="auto" w:fill="FFFFFF"/>
            <w:tcMar>
              <w:top w:w="0" w:type="dxa"/>
              <w:left w:w="0" w:type="dxa"/>
              <w:bottom w:w="0" w:type="dxa"/>
              <w:right w:w="0" w:type="dxa"/>
            </w:tcMar>
            <w:vAlign w:val="center"/>
            <w:hideMark/>
          </w:tcPr>
          <w:p w14:paraId="31AA8F30" w14:textId="77777777" w:rsidR="001C19F3" w:rsidRDefault="001C19F3" w:rsidP="00521305">
            <w:pPr>
              <w:spacing w:before="40" w:after="40"/>
              <w:ind w:left="40" w:right="40"/>
              <w:jc w:val="center"/>
            </w:pPr>
            <w:r>
              <w:rPr>
                <w:rFonts w:cs="Century Gothic"/>
                <w:color w:val="000000"/>
                <w:sz w:val="18"/>
                <w:szCs w:val="18"/>
              </w:rPr>
              <w:t>6 (0.3%)</w:t>
            </w:r>
          </w:p>
        </w:tc>
        <w:tc>
          <w:tcPr>
            <w:tcW w:w="667" w:type="pct"/>
            <w:shd w:val="clear" w:color="auto" w:fill="FFFFFF"/>
            <w:tcMar>
              <w:top w:w="0" w:type="dxa"/>
              <w:left w:w="0" w:type="dxa"/>
              <w:bottom w:w="0" w:type="dxa"/>
              <w:right w:w="0" w:type="dxa"/>
            </w:tcMar>
            <w:vAlign w:val="center"/>
            <w:hideMark/>
          </w:tcPr>
          <w:p w14:paraId="7743FFB2" w14:textId="77777777" w:rsidR="001C19F3" w:rsidRDefault="001C19F3" w:rsidP="00521305">
            <w:pPr>
              <w:spacing w:before="40" w:after="40"/>
              <w:ind w:left="40" w:right="40"/>
              <w:jc w:val="center"/>
            </w:pPr>
            <w:r>
              <w:rPr>
                <w:rFonts w:cs="Century Gothic"/>
                <w:color w:val="000000"/>
                <w:sz w:val="18"/>
                <w:szCs w:val="18"/>
              </w:rPr>
              <w:t>48 (0.8%)</w:t>
            </w:r>
          </w:p>
        </w:tc>
        <w:tc>
          <w:tcPr>
            <w:tcW w:w="667" w:type="pct"/>
            <w:shd w:val="clear" w:color="auto" w:fill="FFFFFF"/>
            <w:tcMar>
              <w:top w:w="0" w:type="dxa"/>
              <w:left w:w="0" w:type="dxa"/>
              <w:bottom w:w="0" w:type="dxa"/>
              <w:right w:w="0" w:type="dxa"/>
            </w:tcMar>
            <w:vAlign w:val="center"/>
            <w:hideMark/>
          </w:tcPr>
          <w:p w14:paraId="06B55903" w14:textId="77777777" w:rsidR="001C19F3" w:rsidRDefault="001C19F3" w:rsidP="00521305">
            <w:pPr>
              <w:spacing w:before="40" w:after="40"/>
              <w:ind w:left="40" w:right="40"/>
              <w:jc w:val="center"/>
            </w:pPr>
            <w:r>
              <w:rPr>
                <w:rFonts w:cs="Century Gothic"/>
                <w:color w:val="000000"/>
                <w:sz w:val="18"/>
                <w:szCs w:val="18"/>
              </w:rPr>
              <w:t>192 (4.7%)</w:t>
            </w:r>
          </w:p>
        </w:tc>
        <w:tc>
          <w:tcPr>
            <w:tcW w:w="667" w:type="pct"/>
            <w:vMerge/>
            <w:vAlign w:val="center"/>
            <w:hideMark/>
          </w:tcPr>
          <w:p w14:paraId="7624799D" w14:textId="77777777" w:rsidR="001C19F3" w:rsidRDefault="001C19F3" w:rsidP="00521305">
            <w:pPr>
              <w:spacing w:after="0"/>
              <w:rPr>
                <w:sz w:val="22"/>
              </w:rPr>
            </w:pPr>
          </w:p>
        </w:tc>
      </w:tr>
      <w:tr w:rsidR="001C19F3" w14:paraId="5D375F2F"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5ABBDD90" w14:textId="77777777" w:rsidR="001C19F3" w:rsidRDefault="001C19F3" w:rsidP="00521305">
            <w:pPr>
              <w:spacing w:before="40" w:after="40"/>
              <w:ind w:left="160" w:right="40"/>
            </w:pPr>
            <w:r>
              <w:rPr>
                <w:rFonts w:cs="Century Gothic"/>
                <w:color w:val="000000"/>
                <w:sz w:val="18"/>
                <w:szCs w:val="18"/>
              </w:rPr>
              <w:t>Six</w:t>
            </w:r>
          </w:p>
        </w:tc>
        <w:tc>
          <w:tcPr>
            <w:tcW w:w="667" w:type="pct"/>
            <w:shd w:val="clear" w:color="auto" w:fill="FFFFFF"/>
            <w:tcMar>
              <w:top w:w="0" w:type="dxa"/>
              <w:left w:w="0" w:type="dxa"/>
              <w:bottom w:w="0" w:type="dxa"/>
              <w:right w:w="0" w:type="dxa"/>
            </w:tcMar>
            <w:vAlign w:val="center"/>
            <w:hideMark/>
          </w:tcPr>
          <w:p w14:paraId="742FC83B" w14:textId="77777777" w:rsidR="001C19F3" w:rsidRDefault="001C19F3" w:rsidP="00521305">
            <w:pPr>
              <w:spacing w:before="40" w:after="40"/>
              <w:ind w:left="40" w:right="40"/>
              <w:jc w:val="center"/>
            </w:pPr>
            <w:r>
              <w:rPr>
                <w:rFonts w:cs="Century Gothic"/>
                <w:color w:val="000000"/>
                <w:sz w:val="18"/>
                <w:szCs w:val="18"/>
              </w:rPr>
              <w:t>79 (0.6%)</w:t>
            </w:r>
          </w:p>
        </w:tc>
        <w:tc>
          <w:tcPr>
            <w:tcW w:w="667" w:type="pct"/>
            <w:shd w:val="clear" w:color="auto" w:fill="FFFFFF"/>
            <w:tcMar>
              <w:top w:w="0" w:type="dxa"/>
              <w:left w:w="0" w:type="dxa"/>
              <w:bottom w:w="0" w:type="dxa"/>
              <w:right w:w="0" w:type="dxa"/>
            </w:tcMar>
            <w:vAlign w:val="center"/>
            <w:hideMark/>
          </w:tcPr>
          <w:p w14:paraId="6821875A" w14:textId="77777777" w:rsidR="001C19F3" w:rsidRDefault="001C19F3" w:rsidP="00521305">
            <w:pPr>
              <w:spacing w:before="40" w:after="40"/>
              <w:ind w:left="40" w:right="40"/>
              <w:jc w:val="center"/>
            </w:pPr>
            <w:r>
              <w:rPr>
                <w:rFonts w:cs="Century Gothic"/>
                <w:color w:val="000000"/>
                <w:sz w:val="18"/>
                <w:szCs w:val="18"/>
              </w:rPr>
              <w:t>1 (0.0%)</w:t>
            </w:r>
          </w:p>
        </w:tc>
        <w:tc>
          <w:tcPr>
            <w:tcW w:w="667" w:type="pct"/>
            <w:shd w:val="clear" w:color="auto" w:fill="FFFFFF"/>
            <w:tcMar>
              <w:top w:w="0" w:type="dxa"/>
              <w:left w:w="0" w:type="dxa"/>
              <w:bottom w:w="0" w:type="dxa"/>
              <w:right w:w="0" w:type="dxa"/>
            </w:tcMar>
            <w:vAlign w:val="center"/>
            <w:hideMark/>
          </w:tcPr>
          <w:p w14:paraId="695274B7" w14:textId="77777777" w:rsidR="001C19F3" w:rsidRDefault="001C19F3" w:rsidP="00521305">
            <w:pPr>
              <w:spacing w:before="40" w:after="40"/>
              <w:ind w:left="40" w:right="40"/>
              <w:jc w:val="center"/>
            </w:pPr>
            <w:r>
              <w:rPr>
                <w:rFonts w:cs="Century Gothic"/>
                <w:color w:val="000000"/>
                <w:sz w:val="18"/>
                <w:szCs w:val="18"/>
              </w:rPr>
              <w:t>18 (0.3%)</w:t>
            </w:r>
          </w:p>
        </w:tc>
        <w:tc>
          <w:tcPr>
            <w:tcW w:w="667" w:type="pct"/>
            <w:shd w:val="clear" w:color="auto" w:fill="FFFFFF"/>
            <w:tcMar>
              <w:top w:w="0" w:type="dxa"/>
              <w:left w:w="0" w:type="dxa"/>
              <w:bottom w:w="0" w:type="dxa"/>
              <w:right w:w="0" w:type="dxa"/>
            </w:tcMar>
            <w:vAlign w:val="center"/>
            <w:hideMark/>
          </w:tcPr>
          <w:p w14:paraId="1B547556" w14:textId="77777777" w:rsidR="001C19F3" w:rsidRDefault="001C19F3" w:rsidP="00521305">
            <w:pPr>
              <w:spacing w:before="40" w:after="40"/>
              <w:ind w:left="40" w:right="40"/>
              <w:jc w:val="center"/>
            </w:pPr>
            <w:r>
              <w:rPr>
                <w:rFonts w:cs="Century Gothic"/>
                <w:color w:val="000000"/>
                <w:sz w:val="18"/>
                <w:szCs w:val="18"/>
              </w:rPr>
              <w:t>60 (1.5%)</w:t>
            </w:r>
          </w:p>
        </w:tc>
        <w:tc>
          <w:tcPr>
            <w:tcW w:w="667" w:type="pct"/>
            <w:vMerge/>
            <w:vAlign w:val="center"/>
            <w:hideMark/>
          </w:tcPr>
          <w:p w14:paraId="12262A74" w14:textId="77777777" w:rsidR="001C19F3" w:rsidRDefault="001C19F3" w:rsidP="00521305">
            <w:pPr>
              <w:spacing w:after="0"/>
              <w:rPr>
                <w:sz w:val="22"/>
              </w:rPr>
            </w:pPr>
          </w:p>
        </w:tc>
      </w:tr>
      <w:tr w:rsidR="001C19F3" w14:paraId="4DB3589A"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04B6D02" w14:textId="77777777" w:rsidR="001C19F3" w:rsidRDefault="001C19F3" w:rsidP="00521305">
            <w:pPr>
              <w:spacing w:before="40" w:after="40"/>
              <w:ind w:left="160" w:right="40"/>
            </w:pPr>
            <w:r>
              <w:rPr>
                <w:rFonts w:cs="Century Gothic"/>
                <w:color w:val="000000"/>
                <w:sz w:val="18"/>
                <w:szCs w:val="18"/>
              </w:rPr>
              <w:t>Seven</w:t>
            </w:r>
          </w:p>
        </w:tc>
        <w:tc>
          <w:tcPr>
            <w:tcW w:w="667" w:type="pct"/>
            <w:shd w:val="clear" w:color="auto" w:fill="FFFFFF"/>
            <w:tcMar>
              <w:top w:w="0" w:type="dxa"/>
              <w:left w:w="0" w:type="dxa"/>
              <w:bottom w:w="0" w:type="dxa"/>
              <w:right w:w="0" w:type="dxa"/>
            </w:tcMar>
            <w:vAlign w:val="center"/>
            <w:hideMark/>
          </w:tcPr>
          <w:p w14:paraId="58A1C4E2" w14:textId="77777777" w:rsidR="001C19F3" w:rsidRDefault="001C19F3" w:rsidP="00521305">
            <w:pPr>
              <w:spacing w:before="40" w:after="40"/>
              <w:ind w:left="40" w:right="40"/>
              <w:jc w:val="center"/>
            </w:pPr>
            <w:r>
              <w:rPr>
                <w:rFonts w:cs="Century Gothic"/>
                <w:color w:val="000000"/>
                <w:sz w:val="18"/>
                <w:szCs w:val="18"/>
              </w:rPr>
              <w:t>32 (0.3%)</w:t>
            </w:r>
          </w:p>
        </w:tc>
        <w:tc>
          <w:tcPr>
            <w:tcW w:w="667" w:type="pct"/>
            <w:shd w:val="clear" w:color="auto" w:fill="FFFFFF"/>
            <w:tcMar>
              <w:top w:w="0" w:type="dxa"/>
              <w:left w:w="0" w:type="dxa"/>
              <w:bottom w:w="0" w:type="dxa"/>
              <w:right w:w="0" w:type="dxa"/>
            </w:tcMar>
            <w:vAlign w:val="center"/>
          </w:tcPr>
          <w:p w14:paraId="510B062A" w14:textId="77777777" w:rsidR="001C19F3" w:rsidRDefault="001C19F3" w:rsidP="00521305">
            <w:pPr>
              <w:spacing w:before="40" w:after="40"/>
              <w:ind w:left="40" w:right="40"/>
              <w:jc w:val="center"/>
            </w:pPr>
          </w:p>
        </w:tc>
        <w:tc>
          <w:tcPr>
            <w:tcW w:w="667" w:type="pct"/>
            <w:shd w:val="clear" w:color="auto" w:fill="FFFFFF"/>
            <w:tcMar>
              <w:top w:w="0" w:type="dxa"/>
              <w:left w:w="0" w:type="dxa"/>
              <w:bottom w:w="0" w:type="dxa"/>
              <w:right w:w="0" w:type="dxa"/>
            </w:tcMar>
            <w:vAlign w:val="center"/>
            <w:hideMark/>
          </w:tcPr>
          <w:p w14:paraId="2EF860F6" w14:textId="77777777" w:rsidR="001C19F3" w:rsidRDefault="001C19F3" w:rsidP="00521305">
            <w:pPr>
              <w:spacing w:before="40" w:after="40"/>
              <w:ind w:left="40" w:right="40"/>
              <w:jc w:val="center"/>
            </w:pPr>
            <w:r>
              <w:rPr>
                <w:rFonts w:cs="Century Gothic"/>
                <w:color w:val="000000"/>
                <w:sz w:val="18"/>
                <w:szCs w:val="18"/>
              </w:rPr>
              <w:t>3 (0.0%)</w:t>
            </w:r>
          </w:p>
        </w:tc>
        <w:tc>
          <w:tcPr>
            <w:tcW w:w="667" w:type="pct"/>
            <w:shd w:val="clear" w:color="auto" w:fill="FFFFFF"/>
            <w:tcMar>
              <w:top w:w="0" w:type="dxa"/>
              <w:left w:w="0" w:type="dxa"/>
              <w:bottom w:w="0" w:type="dxa"/>
              <w:right w:w="0" w:type="dxa"/>
            </w:tcMar>
            <w:vAlign w:val="center"/>
            <w:hideMark/>
          </w:tcPr>
          <w:p w14:paraId="09AC7FD5" w14:textId="77777777" w:rsidR="001C19F3" w:rsidRDefault="001C19F3" w:rsidP="00521305">
            <w:pPr>
              <w:spacing w:before="40" w:after="40"/>
              <w:ind w:left="40" w:right="40"/>
              <w:jc w:val="center"/>
            </w:pPr>
            <w:r>
              <w:rPr>
                <w:rFonts w:cs="Century Gothic"/>
                <w:color w:val="000000"/>
                <w:sz w:val="18"/>
                <w:szCs w:val="18"/>
              </w:rPr>
              <w:t>29 (0.7%)</w:t>
            </w:r>
          </w:p>
        </w:tc>
        <w:tc>
          <w:tcPr>
            <w:tcW w:w="667" w:type="pct"/>
            <w:vMerge/>
            <w:vAlign w:val="center"/>
            <w:hideMark/>
          </w:tcPr>
          <w:p w14:paraId="39B0C647" w14:textId="77777777" w:rsidR="001C19F3" w:rsidRDefault="001C19F3" w:rsidP="00521305">
            <w:pPr>
              <w:spacing w:after="0"/>
              <w:rPr>
                <w:sz w:val="22"/>
              </w:rPr>
            </w:pPr>
          </w:p>
        </w:tc>
      </w:tr>
      <w:tr w:rsidR="001C19F3" w14:paraId="67F24498"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745AD85F" w14:textId="77777777" w:rsidR="001C19F3" w:rsidRDefault="001C19F3" w:rsidP="00521305">
            <w:pPr>
              <w:spacing w:before="40" w:after="40"/>
              <w:ind w:left="160" w:right="40"/>
            </w:pPr>
            <w:r>
              <w:rPr>
                <w:rFonts w:cs="Century Gothic"/>
                <w:color w:val="000000"/>
                <w:sz w:val="18"/>
                <w:szCs w:val="18"/>
              </w:rPr>
              <w:t>Eight</w:t>
            </w:r>
          </w:p>
        </w:tc>
        <w:tc>
          <w:tcPr>
            <w:tcW w:w="667" w:type="pct"/>
            <w:shd w:val="clear" w:color="auto" w:fill="FFFFFF"/>
            <w:tcMar>
              <w:top w:w="0" w:type="dxa"/>
              <w:left w:w="0" w:type="dxa"/>
              <w:bottom w:w="0" w:type="dxa"/>
              <w:right w:w="0" w:type="dxa"/>
            </w:tcMar>
            <w:vAlign w:val="center"/>
            <w:hideMark/>
          </w:tcPr>
          <w:p w14:paraId="5C2B98D7" w14:textId="77777777" w:rsidR="001C19F3" w:rsidRDefault="001C19F3" w:rsidP="00521305">
            <w:pPr>
              <w:spacing w:before="40" w:after="40"/>
              <w:ind w:left="40" w:right="40"/>
              <w:jc w:val="center"/>
            </w:pPr>
            <w:r>
              <w:rPr>
                <w:rFonts w:cs="Century Gothic"/>
                <w:color w:val="000000"/>
                <w:sz w:val="18"/>
                <w:szCs w:val="18"/>
              </w:rPr>
              <w:t>10 (0.1%)</w:t>
            </w:r>
          </w:p>
        </w:tc>
        <w:tc>
          <w:tcPr>
            <w:tcW w:w="667" w:type="pct"/>
            <w:shd w:val="clear" w:color="auto" w:fill="FFFFFF"/>
            <w:tcMar>
              <w:top w:w="0" w:type="dxa"/>
              <w:left w:w="0" w:type="dxa"/>
              <w:bottom w:w="0" w:type="dxa"/>
              <w:right w:w="0" w:type="dxa"/>
            </w:tcMar>
            <w:vAlign w:val="center"/>
          </w:tcPr>
          <w:p w14:paraId="0F935257" w14:textId="77777777" w:rsidR="001C19F3" w:rsidRDefault="001C19F3" w:rsidP="00521305">
            <w:pPr>
              <w:spacing w:before="40" w:after="40"/>
              <w:ind w:left="40" w:right="40"/>
              <w:jc w:val="center"/>
            </w:pPr>
          </w:p>
        </w:tc>
        <w:tc>
          <w:tcPr>
            <w:tcW w:w="667" w:type="pct"/>
            <w:shd w:val="clear" w:color="auto" w:fill="FFFFFF"/>
            <w:tcMar>
              <w:top w:w="0" w:type="dxa"/>
              <w:left w:w="0" w:type="dxa"/>
              <w:bottom w:w="0" w:type="dxa"/>
              <w:right w:w="0" w:type="dxa"/>
            </w:tcMar>
            <w:vAlign w:val="center"/>
          </w:tcPr>
          <w:p w14:paraId="21CA8C1B" w14:textId="77777777" w:rsidR="001C19F3" w:rsidRDefault="001C19F3" w:rsidP="00521305">
            <w:pPr>
              <w:spacing w:before="40" w:after="40"/>
              <w:ind w:left="40" w:right="40"/>
              <w:jc w:val="center"/>
            </w:pPr>
          </w:p>
        </w:tc>
        <w:tc>
          <w:tcPr>
            <w:tcW w:w="667" w:type="pct"/>
            <w:shd w:val="clear" w:color="auto" w:fill="FFFFFF"/>
            <w:tcMar>
              <w:top w:w="0" w:type="dxa"/>
              <w:left w:w="0" w:type="dxa"/>
              <w:bottom w:w="0" w:type="dxa"/>
              <w:right w:w="0" w:type="dxa"/>
            </w:tcMar>
            <w:vAlign w:val="center"/>
            <w:hideMark/>
          </w:tcPr>
          <w:p w14:paraId="726D99A2" w14:textId="77777777" w:rsidR="001C19F3" w:rsidRDefault="001C19F3" w:rsidP="00521305">
            <w:pPr>
              <w:spacing w:before="40" w:after="40"/>
              <w:ind w:left="40" w:right="40"/>
              <w:jc w:val="center"/>
            </w:pPr>
            <w:r>
              <w:rPr>
                <w:rFonts w:cs="Century Gothic"/>
                <w:color w:val="000000"/>
                <w:sz w:val="18"/>
                <w:szCs w:val="18"/>
              </w:rPr>
              <w:t>10 (0.2%)</w:t>
            </w:r>
          </w:p>
        </w:tc>
        <w:tc>
          <w:tcPr>
            <w:tcW w:w="667" w:type="pct"/>
            <w:vMerge/>
            <w:vAlign w:val="center"/>
            <w:hideMark/>
          </w:tcPr>
          <w:p w14:paraId="71ABD409" w14:textId="77777777" w:rsidR="001C19F3" w:rsidRDefault="001C19F3" w:rsidP="00521305">
            <w:pPr>
              <w:spacing w:after="0"/>
              <w:rPr>
                <w:sz w:val="22"/>
              </w:rPr>
            </w:pPr>
          </w:p>
        </w:tc>
      </w:tr>
    </w:tbl>
    <w:p w14:paraId="543E67A4" w14:textId="77777777" w:rsidR="001C19F3" w:rsidRDefault="001C19F3" w:rsidP="001C19F3">
      <w:pPr>
        <w:pStyle w:val="Chartortablefootnote"/>
      </w:pPr>
      <w:r>
        <w:t>Source: Risk stratification data provided by Precedence Health Care, to June 2019.</w:t>
      </w:r>
    </w:p>
    <w:p w14:paraId="791AD20C" w14:textId="77777777" w:rsidR="001C19F3" w:rsidRDefault="001C19F3" w:rsidP="001C19F3">
      <w:pPr>
        <w:spacing w:after="160" w:line="259" w:lineRule="auto"/>
        <w:rPr>
          <w:rFonts w:asciiTheme="minorHAnsi" w:hAnsiTheme="minorHAnsi" w:cstheme="minorBidi"/>
          <w:sz w:val="22"/>
        </w:rPr>
      </w:pPr>
      <w:r>
        <w:rPr>
          <w:rFonts w:asciiTheme="minorHAnsi" w:hAnsiTheme="minorHAnsi" w:cstheme="minorBidi"/>
          <w:sz w:val="22"/>
        </w:rPr>
        <w:br w:type="page"/>
      </w:r>
    </w:p>
    <w:p w14:paraId="14F8FD8A" w14:textId="77777777" w:rsidR="001C19F3" w:rsidRDefault="001C19F3" w:rsidP="001C19F3">
      <w:pPr>
        <w:pStyle w:val="Caption1"/>
      </w:pPr>
      <w:bookmarkStart w:id="615" w:name="_Ref22830334"/>
      <w:r>
        <w:lastRenderedPageBreak/>
        <w:t xml:space="preserve">Table </w:t>
      </w:r>
      <w:r>
        <w:fldChar w:fldCharType="begin"/>
      </w:r>
      <w:r>
        <w:instrText>SEQ Table \* ARABIC</w:instrText>
      </w:r>
      <w:r>
        <w:fldChar w:fldCharType="separate"/>
      </w:r>
      <w:r>
        <w:rPr>
          <w:noProof/>
        </w:rPr>
        <w:t>85</w:t>
      </w:r>
      <w:r>
        <w:fldChar w:fldCharType="end"/>
      </w:r>
      <w:bookmarkEnd w:id="615"/>
      <w:r>
        <w:t xml:space="preserve"> – HARP: Psycho-social issue items, by tier, and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648"/>
        <w:gridCol w:w="1859"/>
        <w:gridCol w:w="1859"/>
        <w:gridCol w:w="1859"/>
        <w:gridCol w:w="1859"/>
        <w:gridCol w:w="1854"/>
      </w:tblGrid>
      <w:tr w:rsidR="001C19F3" w14:paraId="5848AB00" w14:textId="77777777" w:rsidTr="00521305">
        <w:trPr>
          <w:cantSplit/>
          <w:trHeight w:val="298"/>
          <w:tblHeader/>
          <w:jc w:val="center"/>
        </w:trPr>
        <w:tc>
          <w:tcPr>
            <w:tcW w:w="1667" w:type="pct"/>
            <w:shd w:val="clear" w:color="auto" w:fill="003D79"/>
            <w:vAlign w:val="center"/>
            <w:hideMark/>
          </w:tcPr>
          <w:p w14:paraId="2F234F41" w14:textId="77777777" w:rsidR="001C19F3" w:rsidRDefault="001C19F3" w:rsidP="00521305">
            <w:pPr>
              <w:spacing w:after="0"/>
              <w:jc w:val="center"/>
              <w:rPr>
                <w:sz w:val="22"/>
              </w:rPr>
            </w:pPr>
            <w:r>
              <w:rPr>
                <w:rFonts w:cs="Century Gothic"/>
                <w:b/>
                <w:color w:val="FFFFFF"/>
                <w:sz w:val="18"/>
                <w:szCs w:val="18"/>
              </w:rPr>
              <w:t xml:space="preserve">Psycho-social issue </w:t>
            </w:r>
            <w:r w:rsidRPr="00123D9A">
              <w:rPr>
                <w:rFonts w:cs="Century Gothic"/>
                <w:b/>
                <w:color w:val="FFFFFF"/>
                <w:sz w:val="18"/>
                <w:szCs w:val="18"/>
              </w:rPr>
              <w:t>and score</w:t>
            </w:r>
          </w:p>
        </w:tc>
        <w:tc>
          <w:tcPr>
            <w:tcW w:w="667" w:type="pct"/>
            <w:shd w:val="clear" w:color="auto" w:fill="003D79"/>
            <w:vAlign w:val="center"/>
            <w:hideMark/>
          </w:tcPr>
          <w:p w14:paraId="78A44C53" w14:textId="77777777" w:rsidR="001C19F3" w:rsidRDefault="001C19F3" w:rsidP="00521305">
            <w:pPr>
              <w:spacing w:after="0"/>
              <w:jc w:val="center"/>
              <w:rPr>
                <w:sz w:val="22"/>
              </w:rPr>
            </w:pPr>
            <w:r w:rsidRPr="00123D9A">
              <w:rPr>
                <w:rFonts w:cs="Century Gothic"/>
                <w:b/>
                <w:color w:val="FFFFFF"/>
                <w:sz w:val="18"/>
                <w:szCs w:val="18"/>
              </w:rPr>
              <w:t>Total</w:t>
            </w:r>
          </w:p>
        </w:tc>
        <w:tc>
          <w:tcPr>
            <w:tcW w:w="667" w:type="pct"/>
            <w:shd w:val="clear" w:color="auto" w:fill="003D79"/>
            <w:tcMar>
              <w:top w:w="0" w:type="dxa"/>
              <w:left w:w="0" w:type="dxa"/>
              <w:bottom w:w="0" w:type="dxa"/>
              <w:right w:w="0" w:type="dxa"/>
            </w:tcMar>
            <w:vAlign w:val="center"/>
            <w:hideMark/>
          </w:tcPr>
          <w:p w14:paraId="5210F294" w14:textId="77777777" w:rsidR="001C19F3" w:rsidRDefault="001C19F3" w:rsidP="00521305">
            <w:pPr>
              <w:spacing w:after="0"/>
              <w:jc w:val="center"/>
            </w:pPr>
            <w:r>
              <w:rPr>
                <w:rFonts w:cs="Century Gothic"/>
                <w:b/>
                <w:color w:val="FFFFFF"/>
                <w:sz w:val="18"/>
                <w:szCs w:val="18"/>
              </w:rPr>
              <w:t>Tier 1</w:t>
            </w:r>
          </w:p>
        </w:tc>
        <w:tc>
          <w:tcPr>
            <w:tcW w:w="667" w:type="pct"/>
            <w:shd w:val="clear" w:color="auto" w:fill="003D79"/>
            <w:tcMar>
              <w:top w:w="0" w:type="dxa"/>
              <w:left w:w="0" w:type="dxa"/>
              <w:bottom w:w="0" w:type="dxa"/>
              <w:right w:w="0" w:type="dxa"/>
            </w:tcMar>
            <w:vAlign w:val="center"/>
            <w:hideMark/>
          </w:tcPr>
          <w:p w14:paraId="6F36FD4A" w14:textId="77777777" w:rsidR="001C19F3" w:rsidRDefault="001C19F3" w:rsidP="00521305">
            <w:pPr>
              <w:spacing w:after="0"/>
              <w:jc w:val="center"/>
            </w:pPr>
            <w:r>
              <w:rPr>
                <w:rFonts w:cs="Century Gothic"/>
                <w:b/>
                <w:color w:val="FFFFFF"/>
                <w:sz w:val="18"/>
                <w:szCs w:val="18"/>
              </w:rPr>
              <w:t>Tier 2</w:t>
            </w:r>
          </w:p>
        </w:tc>
        <w:tc>
          <w:tcPr>
            <w:tcW w:w="667" w:type="pct"/>
            <w:shd w:val="clear" w:color="auto" w:fill="003D79"/>
            <w:tcMar>
              <w:top w:w="0" w:type="dxa"/>
              <w:left w:w="0" w:type="dxa"/>
              <w:bottom w:w="0" w:type="dxa"/>
              <w:right w:w="0" w:type="dxa"/>
            </w:tcMar>
            <w:vAlign w:val="center"/>
            <w:hideMark/>
          </w:tcPr>
          <w:p w14:paraId="2BA004CF" w14:textId="77777777" w:rsidR="001C19F3" w:rsidRDefault="001C19F3" w:rsidP="00521305">
            <w:pPr>
              <w:spacing w:after="0"/>
              <w:jc w:val="center"/>
            </w:pPr>
            <w:r>
              <w:rPr>
                <w:rFonts w:cs="Century Gothic"/>
                <w:b/>
                <w:color w:val="FFFFFF"/>
                <w:sz w:val="18"/>
                <w:szCs w:val="18"/>
              </w:rPr>
              <w:t>Tier 3</w:t>
            </w:r>
          </w:p>
        </w:tc>
        <w:tc>
          <w:tcPr>
            <w:tcW w:w="667" w:type="pct"/>
            <w:shd w:val="clear" w:color="auto" w:fill="003D79"/>
            <w:tcMar>
              <w:top w:w="0" w:type="dxa"/>
              <w:left w:w="0" w:type="dxa"/>
              <w:bottom w:w="0" w:type="dxa"/>
              <w:right w:w="0" w:type="dxa"/>
            </w:tcMar>
            <w:vAlign w:val="center"/>
            <w:hideMark/>
          </w:tcPr>
          <w:p w14:paraId="34E535AB" w14:textId="77777777" w:rsidR="001C19F3" w:rsidRDefault="001C19F3" w:rsidP="00521305">
            <w:pPr>
              <w:spacing w:after="0"/>
              <w:jc w:val="center"/>
            </w:pPr>
            <w:r>
              <w:rPr>
                <w:rFonts w:cs="Century Gothic"/>
                <w:b/>
                <w:color w:val="FFFFFF"/>
                <w:sz w:val="18"/>
                <w:szCs w:val="18"/>
              </w:rPr>
              <w:t xml:space="preserve">P </w:t>
            </w:r>
            <w:r>
              <w:rPr>
                <w:rFonts w:cs="Century Gothic"/>
                <w:b/>
                <w:color w:val="FFFFFF"/>
                <w:sz w:val="18"/>
                <w:szCs w:val="18"/>
              </w:rPr>
              <w:br/>
              <w:t xml:space="preserve"> value</w:t>
            </w:r>
          </w:p>
        </w:tc>
      </w:tr>
      <w:tr w:rsidR="001C19F3" w14:paraId="63EADB4F"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76D4FC95" w14:textId="77777777" w:rsidR="001C19F3" w:rsidRDefault="001C19F3" w:rsidP="00521305">
            <w:pPr>
              <w:spacing w:before="40" w:after="40"/>
              <w:ind w:left="40" w:right="40"/>
            </w:pPr>
            <w:r>
              <w:rPr>
                <w:rFonts w:cs="Century Gothic"/>
                <w:b/>
                <w:color w:val="000000"/>
                <w:sz w:val="18"/>
                <w:szCs w:val="18"/>
              </w:rPr>
              <w:t>Psycho-social issues</w:t>
            </w:r>
          </w:p>
        </w:tc>
      </w:tr>
      <w:tr w:rsidR="001C19F3" w14:paraId="29D48DAF"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43EC5737" w14:textId="77777777" w:rsidR="001C19F3" w:rsidRDefault="001C19F3" w:rsidP="00521305">
            <w:pPr>
              <w:spacing w:before="40" w:after="40"/>
              <w:ind w:left="160" w:right="40"/>
            </w:pPr>
            <w:r>
              <w:rPr>
                <w:rFonts w:cs="Century Gothic"/>
                <w:color w:val="000000"/>
                <w:sz w:val="18"/>
                <w:szCs w:val="18"/>
              </w:rPr>
              <w:t>Mental health (depression, anxiety or psychiatric illness)</w:t>
            </w:r>
          </w:p>
        </w:tc>
        <w:tc>
          <w:tcPr>
            <w:tcW w:w="667" w:type="pct"/>
            <w:shd w:val="clear" w:color="auto" w:fill="FFFFFF"/>
            <w:tcMar>
              <w:top w:w="0" w:type="dxa"/>
              <w:left w:w="0" w:type="dxa"/>
              <w:bottom w:w="0" w:type="dxa"/>
              <w:right w:w="0" w:type="dxa"/>
            </w:tcMar>
            <w:vAlign w:val="center"/>
            <w:hideMark/>
          </w:tcPr>
          <w:p w14:paraId="5CDAB9F0" w14:textId="77777777" w:rsidR="001C19F3" w:rsidRDefault="001C19F3" w:rsidP="00521305">
            <w:pPr>
              <w:spacing w:before="40" w:after="40"/>
              <w:ind w:left="40" w:right="40"/>
              <w:jc w:val="center"/>
            </w:pPr>
            <w:r>
              <w:rPr>
                <w:rFonts w:cs="Century Gothic"/>
                <w:color w:val="000000"/>
                <w:sz w:val="18"/>
                <w:szCs w:val="18"/>
              </w:rPr>
              <w:t>5,474 (44.0%)</w:t>
            </w:r>
          </w:p>
        </w:tc>
        <w:tc>
          <w:tcPr>
            <w:tcW w:w="667" w:type="pct"/>
            <w:shd w:val="clear" w:color="auto" w:fill="FFFFFF"/>
            <w:tcMar>
              <w:top w:w="0" w:type="dxa"/>
              <w:left w:w="0" w:type="dxa"/>
              <w:bottom w:w="0" w:type="dxa"/>
              <w:right w:w="0" w:type="dxa"/>
            </w:tcMar>
            <w:vAlign w:val="center"/>
            <w:hideMark/>
          </w:tcPr>
          <w:p w14:paraId="4E1C07AD" w14:textId="77777777" w:rsidR="001C19F3" w:rsidRDefault="001C19F3" w:rsidP="00521305">
            <w:pPr>
              <w:spacing w:before="40" w:after="40"/>
              <w:ind w:left="40" w:right="40"/>
              <w:jc w:val="center"/>
            </w:pPr>
            <w:r>
              <w:rPr>
                <w:rFonts w:cs="Century Gothic"/>
                <w:color w:val="000000"/>
                <w:sz w:val="18"/>
                <w:szCs w:val="18"/>
              </w:rPr>
              <w:t>523 (23.1%)</w:t>
            </w:r>
          </w:p>
        </w:tc>
        <w:tc>
          <w:tcPr>
            <w:tcW w:w="667" w:type="pct"/>
            <w:shd w:val="clear" w:color="auto" w:fill="FFFFFF"/>
            <w:tcMar>
              <w:top w:w="0" w:type="dxa"/>
              <w:left w:w="0" w:type="dxa"/>
              <w:bottom w:w="0" w:type="dxa"/>
              <w:right w:w="0" w:type="dxa"/>
            </w:tcMar>
            <w:vAlign w:val="center"/>
            <w:hideMark/>
          </w:tcPr>
          <w:p w14:paraId="245F495F" w14:textId="77777777" w:rsidR="001C19F3" w:rsidRDefault="001C19F3" w:rsidP="00521305">
            <w:pPr>
              <w:spacing w:before="40" w:after="40"/>
              <w:ind w:left="40" w:right="40"/>
              <w:jc w:val="center"/>
            </w:pPr>
            <w:r>
              <w:rPr>
                <w:rFonts w:cs="Century Gothic"/>
                <w:color w:val="000000"/>
                <w:sz w:val="18"/>
                <w:szCs w:val="18"/>
              </w:rPr>
              <w:t>2,647 (43.2%)</w:t>
            </w:r>
          </w:p>
        </w:tc>
        <w:tc>
          <w:tcPr>
            <w:tcW w:w="667" w:type="pct"/>
            <w:shd w:val="clear" w:color="auto" w:fill="FFFFFF"/>
            <w:tcMar>
              <w:top w:w="0" w:type="dxa"/>
              <w:left w:w="0" w:type="dxa"/>
              <w:bottom w:w="0" w:type="dxa"/>
              <w:right w:w="0" w:type="dxa"/>
            </w:tcMar>
            <w:vAlign w:val="center"/>
            <w:hideMark/>
          </w:tcPr>
          <w:p w14:paraId="768E8CF6" w14:textId="77777777" w:rsidR="001C19F3" w:rsidRDefault="001C19F3" w:rsidP="00521305">
            <w:pPr>
              <w:spacing w:before="40" w:after="40"/>
              <w:ind w:left="40" w:right="40"/>
              <w:jc w:val="center"/>
            </w:pPr>
            <w:r>
              <w:rPr>
                <w:rFonts w:cs="Century Gothic"/>
                <w:color w:val="000000"/>
                <w:sz w:val="18"/>
                <w:szCs w:val="18"/>
              </w:rPr>
              <w:t>2,304 (56.9%)</w:t>
            </w:r>
          </w:p>
        </w:tc>
        <w:tc>
          <w:tcPr>
            <w:tcW w:w="667" w:type="pct"/>
            <w:shd w:val="clear" w:color="auto" w:fill="FFFFFF"/>
            <w:tcMar>
              <w:top w:w="0" w:type="dxa"/>
              <w:left w:w="0" w:type="dxa"/>
              <w:bottom w:w="0" w:type="dxa"/>
              <w:right w:w="0" w:type="dxa"/>
            </w:tcMar>
            <w:vAlign w:val="center"/>
            <w:hideMark/>
          </w:tcPr>
          <w:p w14:paraId="55C2B632"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29A19E44"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5A4C2D2B" w14:textId="77777777" w:rsidR="001C19F3" w:rsidRDefault="001C19F3" w:rsidP="00521305">
            <w:pPr>
              <w:spacing w:before="40" w:after="40"/>
              <w:ind w:left="160" w:right="40"/>
            </w:pPr>
            <w:r>
              <w:rPr>
                <w:rFonts w:cs="Century Gothic"/>
                <w:color w:val="000000"/>
                <w:sz w:val="18"/>
                <w:szCs w:val="18"/>
              </w:rPr>
              <w:t>Disability (Intellectual, physical, visual, hearing)</w:t>
            </w:r>
          </w:p>
        </w:tc>
        <w:tc>
          <w:tcPr>
            <w:tcW w:w="667" w:type="pct"/>
            <w:shd w:val="clear" w:color="auto" w:fill="FFFFFF"/>
            <w:tcMar>
              <w:top w:w="0" w:type="dxa"/>
              <w:left w:w="0" w:type="dxa"/>
              <w:bottom w:w="0" w:type="dxa"/>
              <w:right w:w="0" w:type="dxa"/>
            </w:tcMar>
            <w:vAlign w:val="center"/>
            <w:hideMark/>
          </w:tcPr>
          <w:p w14:paraId="376DA61C" w14:textId="77777777" w:rsidR="001C19F3" w:rsidRDefault="001C19F3" w:rsidP="00521305">
            <w:pPr>
              <w:spacing w:before="40" w:after="40"/>
              <w:ind w:left="40" w:right="40"/>
              <w:jc w:val="center"/>
            </w:pPr>
            <w:r>
              <w:rPr>
                <w:rFonts w:cs="Century Gothic"/>
                <w:color w:val="000000"/>
                <w:sz w:val="18"/>
                <w:szCs w:val="18"/>
              </w:rPr>
              <w:t>3,190 (25.6%)</w:t>
            </w:r>
          </w:p>
        </w:tc>
        <w:tc>
          <w:tcPr>
            <w:tcW w:w="667" w:type="pct"/>
            <w:shd w:val="clear" w:color="auto" w:fill="FFFFFF"/>
            <w:tcMar>
              <w:top w:w="0" w:type="dxa"/>
              <w:left w:w="0" w:type="dxa"/>
              <w:bottom w:w="0" w:type="dxa"/>
              <w:right w:w="0" w:type="dxa"/>
            </w:tcMar>
            <w:vAlign w:val="center"/>
            <w:hideMark/>
          </w:tcPr>
          <w:p w14:paraId="048A51B3" w14:textId="77777777" w:rsidR="001C19F3" w:rsidRDefault="001C19F3" w:rsidP="00521305">
            <w:pPr>
              <w:spacing w:before="40" w:after="40"/>
              <w:ind w:left="40" w:right="40"/>
              <w:jc w:val="center"/>
            </w:pPr>
            <w:r>
              <w:rPr>
                <w:rFonts w:cs="Century Gothic"/>
                <w:color w:val="000000"/>
                <w:sz w:val="18"/>
                <w:szCs w:val="18"/>
              </w:rPr>
              <w:t>148 (6.5%)</w:t>
            </w:r>
          </w:p>
        </w:tc>
        <w:tc>
          <w:tcPr>
            <w:tcW w:w="667" w:type="pct"/>
            <w:shd w:val="clear" w:color="auto" w:fill="FFFFFF"/>
            <w:tcMar>
              <w:top w:w="0" w:type="dxa"/>
              <w:left w:w="0" w:type="dxa"/>
              <w:bottom w:w="0" w:type="dxa"/>
              <w:right w:w="0" w:type="dxa"/>
            </w:tcMar>
            <w:vAlign w:val="center"/>
            <w:hideMark/>
          </w:tcPr>
          <w:p w14:paraId="496CE51E" w14:textId="77777777" w:rsidR="001C19F3" w:rsidRDefault="001C19F3" w:rsidP="00521305">
            <w:pPr>
              <w:spacing w:before="40" w:after="40"/>
              <w:ind w:left="40" w:right="40"/>
              <w:jc w:val="center"/>
            </w:pPr>
            <w:r>
              <w:rPr>
                <w:rFonts w:cs="Century Gothic"/>
                <w:color w:val="000000"/>
                <w:sz w:val="18"/>
                <w:szCs w:val="18"/>
              </w:rPr>
              <w:t>1,234 (20.1%)</w:t>
            </w:r>
          </w:p>
        </w:tc>
        <w:tc>
          <w:tcPr>
            <w:tcW w:w="667" w:type="pct"/>
            <w:shd w:val="clear" w:color="auto" w:fill="FFFFFF"/>
            <w:tcMar>
              <w:top w:w="0" w:type="dxa"/>
              <w:left w:w="0" w:type="dxa"/>
              <w:bottom w:w="0" w:type="dxa"/>
              <w:right w:w="0" w:type="dxa"/>
            </w:tcMar>
            <w:vAlign w:val="center"/>
            <w:hideMark/>
          </w:tcPr>
          <w:p w14:paraId="719E865D" w14:textId="77777777" w:rsidR="001C19F3" w:rsidRDefault="001C19F3" w:rsidP="00521305">
            <w:pPr>
              <w:spacing w:before="40" w:after="40"/>
              <w:ind w:left="40" w:right="40"/>
              <w:jc w:val="center"/>
            </w:pPr>
            <w:r>
              <w:rPr>
                <w:rFonts w:cs="Century Gothic"/>
                <w:color w:val="000000"/>
                <w:sz w:val="18"/>
                <w:szCs w:val="18"/>
              </w:rPr>
              <w:t>1,808 (44.6%)</w:t>
            </w:r>
          </w:p>
        </w:tc>
        <w:tc>
          <w:tcPr>
            <w:tcW w:w="667" w:type="pct"/>
            <w:shd w:val="clear" w:color="auto" w:fill="FFFFFF"/>
            <w:tcMar>
              <w:top w:w="0" w:type="dxa"/>
              <w:left w:w="0" w:type="dxa"/>
              <w:bottom w:w="0" w:type="dxa"/>
              <w:right w:w="0" w:type="dxa"/>
            </w:tcMar>
            <w:vAlign w:val="center"/>
            <w:hideMark/>
          </w:tcPr>
          <w:p w14:paraId="69958F26"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159B897E"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8415B0A" w14:textId="77777777" w:rsidR="001C19F3" w:rsidRDefault="001C19F3" w:rsidP="00521305">
            <w:pPr>
              <w:spacing w:before="40" w:after="40"/>
              <w:ind w:left="160" w:right="40"/>
            </w:pPr>
            <w:r>
              <w:rPr>
                <w:rFonts w:cs="Century Gothic"/>
                <w:color w:val="000000"/>
                <w:sz w:val="18"/>
                <w:szCs w:val="18"/>
              </w:rPr>
              <w:t>Transport to services</w:t>
            </w:r>
          </w:p>
        </w:tc>
        <w:tc>
          <w:tcPr>
            <w:tcW w:w="667" w:type="pct"/>
            <w:shd w:val="clear" w:color="auto" w:fill="FFFFFF"/>
            <w:tcMar>
              <w:top w:w="0" w:type="dxa"/>
              <w:left w:w="0" w:type="dxa"/>
              <w:bottom w:w="0" w:type="dxa"/>
              <w:right w:w="0" w:type="dxa"/>
            </w:tcMar>
            <w:vAlign w:val="center"/>
            <w:hideMark/>
          </w:tcPr>
          <w:p w14:paraId="3E4E5B49" w14:textId="77777777" w:rsidR="001C19F3" w:rsidRDefault="001C19F3" w:rsidP="00521305">
            <w:pPr>
              <w:spacing w:before="40" w:after="40"/>
              <w:ind w:left="40" w:right="40"/>
              <w:jc w:val="center"/>
            </w:pPr>
            <w:r>
              <w:rPr>
                <w:rFonts w:cs="Century Gothic"/>
                <w:color w:val="000000"/>
                <w:sz w:val="18"/>
                <w:szCs w:val="18"/>
              </w:rPr>
              <w:t>2,586 (20.8%)</w:t>
            </w:r>
          </w:p>
        </w:tc>
        <w:tc>
          <w:tcPr>
            <w:tcW w:w="667" w:type="pct"/>
            <w:shd w:val="clear" w:color="auto" w:fill="FFFFFF"/>
            <w:tcMar>
              <w:top w:w="0" w:type="dxa"/>
              <w:left w:w="0" w:type="dxa"/>
              <w:bottom w:w="0" w:type="dxa"/>
              <w:right w:w="0" w:type="dxa"/>
            </w:tcMar>
            <w:vAlign w:val="center"/>
            <w:hideMark/>
          </w:tcPr>
          <w:p w14:paraId="5F10D263" w14:textId="77777777" w:rsidR="001C19F3" w:rsidRDefault="001C19F3" w:rsidP="00521305">
            <w:pPr>
              <w:spacing w:before="40" w:after="40"/>
              <w:ind w:left="40" w:right="40"/>
              <w:jc w:val="center"/>
            </w:pPr>
            <w:r>
              <w:rPr>
                <w:rFonts w:cs="Century Gothic"/>
                <w:color w:val="000000"/>
                <w:sz w:val="18"/>
                <w:szCs w:val="18"/>
              </w:rPr>
              <w:t>96 (4.2%)</w:t>
            </w:r>
          </w:p>
        </w:tc>
        <w:tc>
          <w:tcPr>
            <w:tcW w:w="667" w:type="pct"/>
            <w:shd w:val="clear" w:color="auto" w:fill="FFFFFF"/>
            <w:tcMar>
              <w:top w:w="0" w:type="dxa"/>
              <w:left w:w="0" w:type="dxa"/>
              <w:bottom w:w="0" w:type="dxa"/>
              <w:right w:w="0" w:type="dxa"/>
            </w:tcMar>
            <w:vAlign w:val="center"/>
            <w:hideMark/>
          </w:tcPr>
          <w:p w14:paraId="23641C20" w14:textId="77777777" w:rsidR="001C19F3" w:rsidRDefault="001C19F3" w:rsidP="00521305">
            <w:pPr>
              <w:spacing w:before="40" w:after="40"/>
              <w:ind w:left="40" w:right="40"/>
              <w:jc w:val="center"/>
            </w:pPr>
            <w:r>
              <w:rPr>
                <w:rFonts w:cs="Century Gothic"/>
                <w:color w:val="000000"/>
                <w:sz w:val="18"/>
                <w:szCs w:val="18"/>
              </w:rPr>
              <w:t>821 (13.4%)</w:t>
            </w:r>
          </w:p>
        </w:tc>
        <w:tc>
          <w:tcPr>
            <w:tcW w:w="667" w:type="pct"/>
            <w:shd w:val="clear" w:color="auto" w:fill="FFFFFF"/>
            <w:tcMar>
              <w:top w:w="0" w:type="dxa"/>
              <w:left w:w="0" w:type="dxa"/>
              <w:bottom w:w="0" w:type="dxa"/>
              <w:right w:w="0" w:type="dxa"/>
            </w:tcMar>
            <w:vAlign w:val="center"/>
            <w:hideMark/>
          </w:tcPr>
          <w:p w14:paraId="5297AA47" w14:textId="77777777" w:rsidR="001C19F3" w:rsidRDefault="001C19F3" w:rsidP="00521305">
            <w:pPr>
              <w:spacing w:before="40" w:after="40"/>
              <w:ind w:left="40" w:right="40"/>
              <w:jc w:val="center"/>
            </w:pPr>
            <w:r>
              <w:rPr>
                <w:rFonts w:cs="Century Gothic"/>
                <w:color w:val="000000"/>
                <w:sz w:val="18"/>
                <w:szCs w:val="18"/>
              </w:rPr>
              <w:t>1,669 (41.2%)</w:t>
            </w:r>
          </w:p>
        </w:tc>
        <w:tc>
          <w:tcPr>
            <w:tcW w:w="667" w:type="pct"/>
            <w:shd w:val="clear" w:color="auto" w:fill="FFFFFF"/>
            <w:tcMar>
              <w:top w:w="0" w:type="dxa"/>
              <w:left w:w="0" w:type="dxa"/>
              <w:bottom w:w="0" w:type="dxa"/>
              <w:right w:w="0" w:type="dxa"/>
            </w:tcMar>
            <w:vAlign w:val="center"/>
            <w:hideMark/>
          </w:tcPr>
          <w:p w14:paraId="1F6C378B"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97D5B12"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0AF670E2" w14:textId="77777777" w:rsidR="001C19F3" w:rsidRDefault="001C19F3" w:rsidP="00521305">
            <w:pPr>
              <w:spacing w:before="40" w:after="40"/>
              <w:ind w:left="160" w:right="40"/>
            </w:pPr>
            <w:r>
              <w:rPr>
                <w:rFonts w:cs="Century Gothic"/>
                <w:color w:val="000000"/>
                <w:sz w:val="18"/>
                <w:szCs w:val="18"/>
              </w:rPr>
              <w:t>Financial issues (inability to afford health services and/or medication)</w:t>
            </w:r>
          </w:p>
        </w:tc>
        <w:tc>
          <w:tcPr>
            <w:tcW w:w="667" w:type="pct"/>
            <w:shd w:val="clear" w:color="auto" w:fill="FFFFFF"/>
            <w:tcMar>
              <w:top w:w="0" w:type="dxa"/>
              <w:left w:w="0" w:type="dxa"/>
              <w:bottom w:w="0" w:type="dxa"/>
              <w:right w:w="0" w:type="dxa"/>
            </w:tcMar>
            <w:vAlign w:val="center"/>
            <w:hideMark/>
          </w:tcPr>
          <w:p w14:paraId="2B5533DE" w14:textId="77777777" w:rsidR="001C19F3" w:rsidRDefault="001C19F3" w:rsidP="00521305">
            <w:pPr>
              <w:spacing w:before="40" w:after="40"/>
              <w:ind w:left="40" w:right="40"/>
              <w:jc w:val="center"/>
            </w:pPr>
            <w:r>
              <w:rPr>
                <w:rFonts w:cs="Century Gothic"/>
                <w:color w:val="000000"/>
                <w:sz w:val="18"/>
                <w:szCs w:val="18"/>
              </w:rPr>
              <w:t>2,884 (23.2%)</w:t>
            </w:r>
          </w:p>
        </w:tc>
        <w:tc>
          <w:tcPr>
            <w:tcW w:w="667" w:type="pct"/>
            <w:shd w:val="clear" w:color="auto" w:fill="FFFFFF"/>
            <w:tcMar>
              <w:top w:w="0" w:type="dxa"/>
              <w:left w:w="0" w:type="dxa"/>
              <w:bottom w:w="0" w:type="dxa"/>
              <w:right w:w="0" w:type="dxa"/>
            </w:tcMar>
            <w:vAlign w:val="center"/>
            <w:hideMark/>
          </w:tcPr>
          <w:p w14:paraId="7EB3941A" w14:textId="77777777" w:rsidR="001C19F3" w:rsidRDefault="001C19F3" w:rsidP="00521305">
            <w:pPr>
              <w:spacing w:before="40" w:after="40"/>
              <w:ind w:left="40" w:right="40"/>
              <w:jc w:val="center"/>
            </w:pPr>
            <w:r>
              <w:rPr>
                <w:rFonts w:cs="Century Gothic"/>
                <w:color w:val="000000"/>
                <w:sz w:val="18"/>
                <w:szCs w:val="18"/>
              </w:rPr>
              <w:t>116 (5.1%)</w:t>
            </w:r>
          </w:p>
        </w:tc>
        <w:tc>
          <w:tcPr>
            <w:tcW w:w="667" w:type="pct"/>
            <w:shd w:val="clear" w:color="auto" w:fill="FFFFFF"/>
            <w:tcMar>
              <w:top w:w="0" w:type="dxa"/>
              <w:left w:w="0" w:type="dxa"/>
              <w:bottom w:w="0" w:type="dxa"/>
              <w:right w:w="0" w:type="dxa"/>
            </w:tcMar>
            <w:vAlign w:val="center"/>
            <w:hideMark/>
          </w:tcPr>
          <w:p w14:paraId="4A459C16" w14:textId="77777777" w:rsidR="001C19F3" w:rsidRDefault="001C19F3" w:rsidP="00521305">
            <w:pPr>
              <w:spacing w:before="40" w:after="40"/>
              <w:ind w:left="40" w:right="40"/>
              <w:jc w:val="center"/>
            </w:pPr>
            <w:r>
              <w:rPr>
                <w:rFonts w:cs="Century Gothic"/>
                <w:color w:val="000000"/>
                <w:sz w:val="18"/>
                <w:szCs w:val="18"/>
              </w:rPr>
              <w:t>1,128 (18.4%)</w:t>
            </w:r>
          </w:p>
        </w:tc>
        <w:tc>
          <w:tcPr>
            <w:tcW w:w="667" w:type="pct"/>
            <w:shd w:val="clear" w:color="auto" w:fill="FFFFFF"/>
            <w:tcMar>
              <w:top w:w="0" w:type="dxa"/>
              <w:left w:w="0" w:type="dxa"/>
              <w:bottom w:w="0" w:type="dxa"/>
              <w:right w:w="0" w:type="dxa"/>
            </w:tcMar>
            <w:vAlign w:val="center"/>
            <w:hideMark/>
          </w:tcPr>
          <w:p w14:paraId="6B81CE88" w14:textId="77777777" w:rsidR="001C19F3" w:rsidRDefault="001C19F3" w:rsidP="00521305">
            <w:pPr>
              <w:spacing w:before="40" w:after="40"/>
              <w:ind w:left="40" w:right="40"/>
              <w:jc w:val="center"/>
            </w:pPr>
            <w:r>
              <w:rPr>
                <w:rFonts w:cs="Century Gothic"/>
                <w:color w:val="000000"/>
                <w:sz w:val="18"/>
                <w:szCs w:val="18"/>
              </w:rPr>
              <w:t>1,640 (40.5%)</w:t>
            </w:r>
          </w:p>
        </w:tc>
        <w:tc>
          <w:tcPr>
            <w:tcW w:w="667" w:type="pct"/>
            <w:shd w:val="clear" w:color="auto" w:fill="FFFFFF"/>
            <w:tcMar>
              <w:top w:w="0" w:type="dxa"/>
              <w:left w:w="0" w:type="dxa"/>
              <w:bottom w:w="0" w:type="dxa"/>
              <w:right w:w="0" w:type="dxa"/>
            </w:tcMar>
            <w:vAlign w:val="center"/>
            <w:hideMark/>
          </w:tcPr>
          <w:p w14:paraId="6DDD2FBD"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6AFEF0DA"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91BB3A8" w14:textId="77777777" w:rsidR="001C19F3" w:rsidRDefault="001C19F3" w:rsidP="00521305">
            <w:pPr>
              <w:spacing w:before="40" w:after="40"/>
              <w:ind w:left="160" w:right="40"/>
            </w:pPr>
            <w:r>
              <w:rPr>
                <w:rFonts w:cs="Century Gothic"/>
                <w:color w:val="000000"/>
                <w:sz w:val="18"/>
                <w:szCs w:val="18"/>
              </w:rPr>
              <w:t>CALD or Indigenous (health beliefs)</w:t>
            </w:r>
          </w:p>
        </w:tc>
        <w:tc>
          <w:tcPr>
            <w:tcW w:w="667" w:type="pct"/>
            <w:shd w:val="clear" w:color="auto" w:fill="FFFFFF"/>
            <w:tcMar>
              <w:top w:w="0" w:type="dxa"/>
              <w:left w:w="0" w:type="dxa"/>
              <w:bottom w:w="0" w:type="dxa"/>
              <w:right w:w="0" w:type="dxa"/>
            </w:tcMar>
            <w:vAlign w:val="center"/>
            <w:hideMark/>
          </w:tcPr>
          <w:p w14:paraId="76C80001" w14:textId="77777777" w:rsidR="001C19F3" w:rsidRDefault="001C19F3" w:rsidP="00521305">
            <w:pPr>
              <w:spacing w:before="40" w:after="40"/>
              <w:ind w:left="40" w:right="40"/>
              <w:jc w:val="center"/>
            </w:pPr>
            <w:r>
              <w:rPr>
                <w:rFonts w:cs="Century Gothic"/>
                <w:color w:val="000000"/>
                <w:sz w:val="18"/>
                <w:szCs w:val="18"/>
              </w:rPr>
              <w:t>1,538 (12.4%)</w:t>
            </w:r>
          </w:p>
        </w:tc>
        <w:tc>
          <w:tcPr>
            <w:tcW w:w="667" w:type="pct"/>
            <w:shd w:val="clear" w:color="auto" w:fill="FFFFFF"/>
            <w:tcMar>
              <w:top w:w="0" w:type="dxa"/>
              <w:left w:w="0" w:type="dxa"/>
              <w:bottom w:w="0" w:type="dxa"/>
              <w:right w:w="0" w:type="dxa"/>
            </w:tcMar>
            <w:vAlign w:val="center"/>
            <w:hideMark/>
          </w:tcPr>
          <w:p w14:paraId="71B52D9B" w14:textId="77777777" w:rsidR="001C19F3" w:rsidRDefault="001C19F3" w:rsidP="00521305">
            <w:pPr>
              <w:spacing w:before="40" w:after="40"/>
              <w:ind w:left="40" w:right="40"/>
              <w:jc w:val="center"/>
            </w:pPr>
            <w:r>
              <w:rPr>
                <w:rFonts w:cs="Century Gothic"/>
                <w:color w:val="000000"/>
                <w:sz w:val="18"/>
                <w:szCs w:val="18"/>
              </w:rPr>
              <w:t>102 (4.5%)</w:t>
            </w:r>
          </w:p>
        </w:tc>
        <w:tc>
          <w:tcPr>
            <w:tcW w:w="667" w:type="pct"/>
            <w:shd w:val="clear" w:color="auto" w:fill="FFFFFF"/>
            <w:tcMar>
              <w:top w:w="0" w:type="dxa"/>
              <w:left w:w="0" w:type="dxa"/>
              <w:bottom w:w="0" w:type="dxa"/>
              <w:right w:w="0" w:type="dxa"/>
            </w:tcMar>
            <w:vAlign w:val="center"/>
            <w:hideMark/>
          </w:tcPr>
          <w:p w14:paraId="4EA38E44" w14:textId="77777777" w:rsidR="001C19F3" w:rsidRDefault="001C19F3" w:rsidP="00521305">
            <w:pPr>
              <w:spacing w:before="40" w:after="40"/>
              <w:ind w:left="40" w:right="40"/>
              <w:jc w:val="center"/>
            </w:pPr>
            <w:r>
              <w:rPr>
                <w:rFonts w:cs="Century Gothic"/>
                <w:color w:val="000000"/>
                <w:sz w:val="18"/>
                <w:szCs w:val="18"/>
              </w:rPr>
              <w:t>684 (11.2%)</w:t>
            </w:r>
          </w:p>
        </w:tc>
        <w:tc>
          <w:tcPr>
            <w:tcW w:w="667" w:type="pct"/>
            <w:shd w:val="clear" w:color="auto" w:fill="FFFFFF"/>
            <w:tcMar>
              <w:top w:w="0" w:type="dxa"/>
              <w:left w:w="0" w:type="dxa"/>
              <w:bottom w:w="0" w:type="dxa"/>
              <w:right w:w="0" w:type="dxa"/>
            </w:tcMar>
            <w:vAlign w:val="center"/>
            <w:hideMark/>
          </w:tcPr>
          <w:p w14:paraId="7395A363" w14:textId="77777777" w:rsidR="001C19F3" w:rsidRDefault="001C19F3" w:rsidP="00521305">
            <w:pPr>
              <w:spacing w:before="40" w:after="40"/>
              <w:ind w:left="40" w:right="40"/>
              <w:jc w:val="center"/>
            </w:pPr>
            <w:r>
              <w:rPr>
                <w:rFonts w:cs="Century Gothic"/>
                <w:color w:val="000000"/>
                <w:sz w:val="18"/>
                <w:szCs w:val="18"/>
              </w:rPr>
              <w:t>752 (18.6%)</w:t>
            </w:r>
          </w:p>
        </w:tc>
        <w:tc>
          <w:tcPr>
            <w:tcW w:w="667" w:type="pct"/>
            <w:shd w:val="clear" w:color="auto" w:fill="FFFFFF"/>
            <w:tcMar>
              <w:top w:w="0" w:type="dxa"/>
              <w:left w:w="0" w:type="dxa"/>
              <w:bottom w:w="0" w:type="dxa"/>
              <w:right w:w="0" w:type="dxa"/>
            </w:tcMar>
            <w:vAlign w:val="center"/>
            <w:hideMark/>
          </w:tcPr>
          <w:p w14:paraId="4EAA0141"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1A26206E"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516ADE05" w14:textId="77777777" w:rsidR="001C19F3" w:rsidRDefault="001C19F3" w:rsidP="00521305">
            <w:pPr>
              <w:spacing w:before="40" w:after="40"/>
              <w:ind w:left="160" w:right="40"/>
            </w:pPr>
            <w:r>
              <w:rPr>
                <w:rFonts w:cs="Century Gothic"/>
                <w:color w:val="000000"/>
                <w:sz w:val="18"/>
                <w:szCs w:val="18"/>
              </w:rPr>
              <w:t>Illiteracy and/or limited English</w:t>
            </w:r>
          </w:p>
        </w:tc>
        <w:tc>
          <w:tcPr>
            <w:tcW w:w="667" w:type="pct"/>
            <w:shd w:val="clear" w:color="auto" w:fill="FFFFFF"/>
            <w:tcMar>
              <w:top w:w="0" w:type="dxa"/>
              <w:left w:w="0" w:type="dxa"/>
              <w:bottom w:w="0" w:type="dxa"/>
              <w:right w:w="0" w:type="dxa"/>
            </w:tcMar>
            <w:vAlign w:val="center"/>
            <w:hideMark/>
          </w:tcPr>
          <w:p w14:paraId="0BD4455A" w14:textId="77777777" w:rsidR="001C19F3" w:rsidRDefault="001C19F3" w:rsidP="00521305">
            <w:pPr>
              <w:spacing w:before="40" w:after="40"/>
              <w:ind w:left="40" w:right="40"/>
              <w:jc w:val="center"/>
            </w:pPr>
            <w:r>
              <w:rPr>
                <w:rFonts w:cs="Century Gothic"/>
                <w:color w:val="000000"/>
                <w:sz w:val="18"/>
                <w:szCs w:val="18"/>
              </w:rPr>
              <w:t>804 (6.5%)</w:t>
            </w:r>
          </w:p>
        </w:tc>
        <w:tc>
          <w:tcPr>
            <w:tcW w:w="667" w:type="pct"/>
            <w:shd w:val="clear" w:color="auto" w:fill="FFFFFF"/>
            <w:tcMar>
              <w:top w:w="0" w:type="dxa"/>
              <w:left w:w="0" w:type="dxa"/>
              <w:bottom w:w="0" w:type="dxa"/>
              <w:right w:w="0" w:type="dxa"/>
            </w:tcMar>
            <w:vAlign w:val="center"/>
            <w:hideMark/>
          </w:tcPr>
          <w:p w14:paraId="697557DF" w14:textId="77777777" w:rsidR="001C19F3" w:rsidRDefault="001C19F3" w:rsidP="00521305">
            <w:pPr>
              <w:spacing w:before="40" w:after="40"/>
              <w:ind w:left="40" w:right="40"/>
              <w:jc w:val="center"/>
            </w:pPr>
            <w:r>
              <w:rPr>
                <w:rFonts w:cs="Century Gothic"/>
                <w:color w:val="000000"/>
                <w:sz w:val="18"/>
                <w:szCs w:val="18"/>
              </w:rPr>
              <w:t>24 (1.1%)</w:t>
            </w:r>
          </w:p>
        </w:tc>
        <w:tc>
          <w:tcPr>
            <w:tcW w:w="667" w:type="pct"/>
            <w:shd w:val="clear" w:color="auto" w:fill="FFFFFF"/>
            <w:tcMar>
              <w:top w:w="0" w:type="dxa"/>
              <w:left w:w="0" w:type="dxa"/>
              <w:bottom w:w="0" w:type="dxa"/>
              <w:right w:w="0" w:type="dxa"/>
            </w:tcMar>
            <w:vAlign w:val="center"/>
            <w:hideMark/>
          </w:tcPr>
          <w:p w14:paraId="55B8FF78" w14:textId="77777777" w:rsidR="001C19F3" w:rsidRDefault="001C19F3" w:rsidP="00521305">
            <w:pPr>
              <w:spacing w:before="40" w:after="40"/>
              <w:ind w:left="40" w:right="40"/>
              <w:jc w:val="center"/>
            </w:pPr>
            <w:r>
              <w:rPr>
                <w:rFonts w:cs="Century Gothic"/>
                <w:color w:val="000000"/>
                <w:sz w:val="18"/>
                <w:szCs w:val="18"/>
              </w:rPr>
              <w:t>253 (4.1%)</w:t>
            </w:r>
          </w:p>
        </w:tc>
        <w:tc>
          <w:tcPr>
            <w:tcW w:w="667" w:type="pct"/>
            <w:shd w:val="clear" w:color="auto" w:fill="FFFFFF"/>
            <w:tcMar>
              <w:top w:w="0" w:type="dxa"/>
              <w:left w:w="0" w:type="dxa"/>
              <w:bottom w:w="0" w:type="dxa"/>
              <w:right w:w="0" w:type="dxa"/>
            </w:tcMar>
            <w:vAlign w:val="center"/>
            <w:hideMark/>
          </w:tcPr>
          <w:p w14:paraId="352D894B" w14:textId="77777777" w:rsidR="001C19F3" w:rsidRDefault="001C19F3" w:rsidP="00521305">
            <w:pPr>
              <w:spacing w:before="40" w:after="40"/>
              <w:ind w:left="40" w:right="40"/>
              <w:jc w:val="center"/>
            </w:pPr>
            <w:r>
              <w:rPr>
                <w:rFonts w:cs="Century Gothic"/>
                <w:color w:val="000000"/>
                <w:sz w:val="18"/>
                <w:szCs w:val="18"/>
              </w:rPr>
              <w:t>527 (13.0%)</w:t>
            </w:r>
          </w:p>
        </w:tc>
        <w:tc>
          <w:tcPr>
            <w:tcW w:w="667" w:type="pct"/>
            <w:shd w:val="clear" w:color="auto" w:fill="FFFFFF"/>
            <w:tcMar>
              <w:top w:w="0" w:type="dxa"/>
              <w:left w:w="0" w:type="dxa"/>
              <w:bottom w:w="0" w:type="dxa"/>
              <w:right w:w="0" w:type="dxa"/>
            </w:tcMar>
            <w:vAlign w:val="center"/>
            <w:hideMark/>
          </w:tcPr>
          <w:p w14:paraId="2EF8CEE6"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6007D8D8"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43B6CB64" w14:textId="77777777" w:rsidR="001C19F3" w:rsidRDefault="001C19F3" w:rsidP="00521305">
            <w:pPr>
              <w:spacing w:before="40" w:after="40"/>
              <w:ind w:left="160" w:right="40"/>
            </w:pPr>
            <w:r>
              <w:rPr>
                <w:rFonts w:cs="Century Gothic"/>
                <w:color w:val="000000"/>
                <w:sz w:val="18"/>
                <w:szCs w:val="18"/>
              </w:rPr>
              <w:t>Unstable Living Environment</w:t>
            </w:r>
          </w:p>
        </w:tc>
        <w:tc>
          <w:tcPr>
            <w:tcW w:w="667" w:type="pct"/>
            <w:shd w:val="clear" w:color="auto" w:fill="FFFFFF"/>
            <w:tcMar>
              <w:top w:w="0" w:type="dxa"/>
              <w:left w:w="0" w:type="dxa"/>
              <w:bottom w:w="0" w:type="dxa"/>
              <w:right w:w="0" w:type="dxa"/>
            </w:tcMar>
            <w:vAlign w:val="center"/>
            <w:hideMark/>
          </w:tcPr>
          <w:p w14:paraId="56A59458" w14:textId="77777777" w:rsidR="001C19F3" w:rsidRDefault="001C19F3" w:rsidP="00521305">
            <w:pPr>
              <w:spacing w:before="40" w:after="40"/>
              <w:ind w:left="40" w:right="40"/>
              <w:jc w:val="center"/>
            </w:pPr>
            <w:r>
              <w:rPr>
                <w:rFonts w:cs="Century Gothic"/>
                <w:color w:val="000000"/>
                <w:sz w:val="18"/>
                <w:szCs w:val="18"/>
              </w:rPr>
              <w:t>647 (5.2%)</w:t>
            </w:r>
          </w:p>
        </w:tc>
        <w:tc>
          <w:tcPr>
            <w:tcW w:w="667" w:type="pct"/>
            <w:shd w:val="clear" w:color="auto" w:fill="FFFFFF"/>
            <w:tcMar>
              <w:top w:w="0" w:type="dxa"/>
              <w:left w:w="0" w:type="dxa"/>
              <w:bottom w:w="0" w:type="dxa"/>
              <w:right w:w="0" w:type="dxa"/>
            </w:tcMar>
            <w:vAlign w:val="center"/>
            <w:hideMark/>
          </w:tcPr>
          <w:p w14:paraId="2938C5B8" w14:textId="77777777" w:rsidR="001C19F3" w:rsidRDefault="001C19F3" w:rsidP="00521305">
            <w:pPr>
              <w:spacing w:before="40" w:after="40"/>
              <w:ind w:left="40" w:right="40"/>
              <w:jc w:val="center"/>
            </w:pPr>
            <w:r>
              <w:rPr>
                <w:rFonts w:cs="Century Gothic"/>
                <w:color w:val="000000"/>
                <w:sz w:val="18"/>
                <w:szCs w:val="18"/>
              </w:rPr>
              <w:t>17 (0.8%)</w:t>
            </w:r>
          </w:p>
        </w:tc>
        <w:tc>
          <w:tcPr>
            <w:tcW w:w="667" w:type="pct"/>
            <w:shd w:val="clear" w:color="auto" w:fill="FFFFFF"/>
            <w:tcMar>
              <w:top w:w="0" w:type="dxa"/>
              <w:left w:w="0" w:type="dxa"/>
              <w:bottom w:w="0" w:type="dxa"/>
              <w:right w:w="0" w:type="dxa"/>
            </w:tcMar>
            <w:vAlign w:val="center"/>
            <w:hideMark/>
          </w:tcPr>
          <w:p w14:paraId="0205DDD8" w14:textId="77777777" w:rsidR="001C19F3" w:rsidRDefault="001C19F3" w:rsidP="00521305">
            <w:pPr>
              <w:spacing w:before="40" w:after="40"/>
              <w:ind w:left="40" w:right="40"/>
              <w:jc w:val="center"/>
            </w:pPr>
            <w:r>
              <w:rPr>
                <w:rFonts w:cs="Century Gothic"/>
                <w:color w:val="000000"/>
                <w:sz w:val="18"/>
                <w:szCs w:val="18"/>
              </w:rPr>
              <w:t>188 (3.1%)</w:t>
            </w:r>
          </w:p>
        </w:tc>
        <w:tc>
          <w:tcPr>
            <w:tcW w:w="667" w:type="pct"/>
            <w:shd w:val="clear" w:color="auto" w:fill="FFFFFF"/>
            <w:tcMar>
              <w:top w:w="0" w:type="dxa"/>
              <w:left w:w="0" w:type="dxa"/>
              <w:bottom w:w="0" w:type="dxa"/>
              <w:right w:w="0" w:type="dxa"/>
            </w:tcMar>
            <w:vAlign w:val="center"/>
            <w:hideMark/>
          </w:tcPr>
          <w:p w14:paraId="361C4B36" w14:textId="77777777" w:rsidR="001C19F3" w:rsidRDefault="001C19F3" w:rsidP="00521305">
            <w:pPr>
              <w:spacing w:before="40" w:after="40"/>
              <w:ind w:left="40" w:right="40"/>
              <w:jc w:val="center"/>
            </w:pPr>
            <w:r>
              <w:rPr>
                <w:rFonts w:cs="Century Gothic"/>
                <w:color w:val="000000"/>
                <w:sz w:val="18"/>
                <w:szCs w:val="18"/>
              </w:rPr>
              <w:t>442 (10.9%)</w:t>
            </w:r>
          </w:p>
        </w:tc>
        <w:tc>
          <w:tcPr>
            <w:tcW w:w="667" w:type="pct"/>
            <w:shd w:val="clear" w:color="auto" w:fill="FFFFFF"/>
            <w:tcMar>
              <w:top w:w="0" w:type="dxa"/>
              <w:left w:w="0" w:type="dxa"/>
              <w:bottom w:w="0" w:type="dxa"/>
              <w:right w:w="0" w:type="dxa"/>
            </w:tcMar>
            <w:vAlign w:val="center"/>
            <w:hideMark/>
          </w:tcPr>
          <w:p w14:paraId="767E22B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F8490B4"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2816C032" w14:textId="77777777" w:rsidR="001C19F3" w:rsidRDefault="001C19F3" w:rsidP="00521305">
            <w:pPr>
              <w:spacing w:before="40" w:after="40"/>
              <w:ind w:left="160" w:right="40"/>
            </w:pPr>
            <w:r>
              <w:rPr>
                <w:rFonts w:cs="Century Gothic"/>
                <w:color w:val="000000"/>
                <w:sz w:val="18"/>
                <w:szCs w:val="18"/>
              </w:rPr>
              <w:t>Socially isolated</w:t>
            </w:r>
          </w:p>
        </w:tc>
        <w:tc>
          <w:tcPr>
            <w:tcW w:w="667" w:type="pct"/>
            <w:shd w:val="clear" w:color="auto" w:fill="FFFFFF"/>
            <w:tcMar>
              <w:top w:w="0" w:type="dxa"/>
              <w:left w:w="0" w:type="dxa"/>
              <w:bottom w:w="0" w:type="dxa"/>
              <w:right w:w="0" w:type="dxa"/>
            </w:tcMar>
            <w:vAlign w:val="center"/>
            <w:hideMark/>
          </w:tcPr>
          <w:p w14:paraId="0BD7FCF5" w14:textId="77777777" w:rsidR="001C19F3" w:rsidRDefault="001C19F3" w:rsidP="00521305">
            <w:pPr>
              <w:spacing w:before="40" w:after="40"/>
              <w:ind w:left="40" w:right="40"/>
              <w:jc w:val="center"/>
            </w:pPr>
            <w:r>
              <w:rPr>
                <w:rFonts w:cs="Century Gothic"/>
                <w:color w:val="000000"/>
                <w:sz w:val="18"/>
                <w:szCs w:val="18"/>
              </w:rPr>
              <w:t>2,167 (17.4%)</w:t>
            </w:r>
          </w:p>
        </w:tc>
        <w:tc>
          <w:tcPr>
            <w:tcW w:w="667" w:type="pct"/>
            <w:shd w:val="clear" w:color="auto" w:fill="FFFFFF"/>
            <w:tcMar>
              <w:top w:w="0" w:type="dxa"/>
              <w:left w:w="0" w:type="dxa"/>
              <w:bottom w:w="0" w:type="dxa"/>
              <w:right w:w="0" w:type="dxa"/>
            </w:tcMar>
            <w:vAlign w:val="center"/>
            <w:hideMark/>
          </w:tcPr>
          <w:p w14:paraId="780FFEB8" w14:textId="77777777" w:rsidR="001C19F3" w:rsidRDefault="001C19F3" w:rsidP="00521305">
            <w:pPr>
              <w:spacing w:before="40" w:after="40"/>
              <w:ind w:left="40" w:right="40"/>
              <w:jc w:val="center"/>
            </w:pPr>
            <w:r>
              <w:rPr>
                <w:rFonts w:cs="Century Gothic"/>
                <w:color w:val="000000"/>
                <w:sz w:val="18"/>
                <w:szCs w:val="18"/>
              </w:rPr>
              <w:t>59 (2.6%)</w:t>
            </w:r>
          </w:p>
        </w:tc>
        <w:tc>
          <w:tcPr>
            <w:tcW w:w="667" w:type="pct"/>
            <w:shd w:val="clear" w:color="auto" w:fill="FFFFFF"/>
            <w:tcMar>
              <w:top w:w="0" w:type="dxa"/>
              <w:left w:w="0" w:type="dxa"/>
              <w:bottom w:w="0" w:type="dxa"/>
              <w:right w:w="0" w:type="dxa"/>
            </w:tcMar>
            <w:vAlign w:val="center"/>
            <w:hideMark/>
          </w:tcPr>
          <w:p w14:paraId="18ABD022" w14:textId="77777777" w:rsidR="001C19F3" w:rsidRDefault="001C19F3" w:rsidP="00521305">
            <w:pPr>
              <w:spacing w:before="40" w:after="40"/>
              <w:ind w:left="40" w:right="40"/>
              <w:jc w:val="center"/>
            </w:pPr>
            <w:r>
              <w:rPr>
                <w:rFonts w:cs="Century Gothic"/>
                <w:color w:val="000000"/>
                <w:sz w:val="18"/>
                <w:szCs w:val="18"/>
              </w:rPr>
              <w:t>725 (11.8%)</w:t>
            </w:r>
          </w:p>
        </w:tc>
        <w:tc>
          <w:tcPr>
            <w:tcW w:w="667" w:type="pct"/>
            <w:shd w:val="clear" w:color="auto" w:fill="FFFFFF"/>
            <w:tcMar>
              <w:top w:w="0" w:type="dxa"/>
              <w:left w:w="0" w:type="dxa"/>
              <w:bottom w:w="0" w:type="dxa"/>
              <w:right w:w="0" w:type="dxa"/>
            </w:tcMar>
            <w:vAlign w:val="center"/>
            <w:hideMark/>
          </w:tcPr>
          <w:p w14:paraId="125C626D" w14:textId="77777777" w:rsidR="001C19F3" w:rsidRDefault="001C19F3" w:rsidP="00521305">
            <w:pPr>
              <w:spacing w:before="40" w:after="40"/>
              <w:ind w:left="40" w:right="40"/>
              <w:jc w:val="center"/>
            </w:pPr>
            <w:r>
              <w:rPr>
                <w:rFonts w:cs="Century Gothic"/>
                <w:color w:val="000000"/>
                <w:sz w:val="18"/>
                <w:szCs w:val="18"/>
              </w:rPr>
              <w:t>1,383 (34.1%)</w:t>
            </w:r>
          </w:p>
        </w:tc>
        <w:tc>
          <w:tcPr>
            <w:tcW w:w="667" w:type="pct"/>
            <w:shd w:val="clear" w:color="auto" w:fill="FFFFFF"/>
            <w:tcMar>
              <w:top w:w="0" w:type="dxa"/>
              <w:left w:w="0" w:type="dxa"/>
              <w:bottom w:w="0" w:type="dxa"/>
              <w:right w:w="0" w:type="dxa"/>
            </w:tcMar>
            <w:vAlign w:val="center"/>
            <w:hideMark/>
          </w:tcPr>
          <w:p w14:paraId="7D389A4E"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17E25817"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1BB038A9" w14:textId="77777777" w:rsidR="001C19F3" w:rsidRDefault="001C19F3" w:rsidP="00521305">
            <w:pPr>
              <w:spacing w:before="40" w:after="40"/>
              <w:ind w:left="160" w:right="40"/>
            </w:pPr>
            <w:r>
              <w:rPr>
                <w:rFonts w:cs="Century Gothic"/>
                <w:color w:val="000000"/>
                <w:sz w:val="18"/>
                <w:szCs w:val="18"/>
              </w:rPr>
              <w:t>Drug and Alcohol problems</w:t>
            </w:r>
          </w:p>
        </w:tc>
        <w:tc>
          <w:tcPr>
            <w:tcW w:w="667" w:type="pct"/>
            <w:shd w:val="clear" w:color="auto" w:fill="FFFFFF"/>
            <w:tcMar>
              <w:top w:w="0" w:type="dxa"/>
              <w:left w:w="0" w:type="dxa"/>
              <w:bottom w:w="0" w:type="dxa"/>
              <w:right w:w="0" w:type="dxa"/>
            </w:tcMar>
            <w:vAlign w:val="center"/>
            <w:hideMark/>
          </w:tcPr>
          <w:p w14:paraId="527A7B31" w14:textId="77777777" w:rsidR="001C19F3" w:rsidRDefault="001C19F3" w:rsidP="00521305">
            <w:pPr>
              <w:spacing w:before="40" w:after="40"/>
              <w:ind w:left="40" w:right="40"/>
              <w:jc w:val="center"/>
            </w:pPr>
            <w:r>
              <w:rPr>
                <w:rFonts w:cs="Century Gothic"/>
                <w:color w:val="000000"/>
                <w:sz w:val="18"/>
                <w:szCs w:val="18"/>
              </w:rPr>
              <w:t>710 (5.7%)</w:t>
            </w:r>
          </w:p>
        </w:tc>
        <w:tc>
          <w:tcPr>
            <w:tcW w:w="667" w:type="pct"/>
            <w:shd w:val="clear" w:color="auto" w:fill="FFFFFF"/>
            <w:tcMar>
              <w:top w:w="0" w:type="dxa"/>
              <w:left w:w="0" w:type="dxa"/>
              <w:bottom w:w="0" w:type="dxa"/>
              <w:right w:w="0" w:type="dxa"/>
            </w:tcMar>
            <w:vAlign w:val="center"/>
            <w:hideMark/>
          </w:tcPr>
          <w:p w14:paraId="3FD4F1CC" w14:textId="77777777" w:rsidR="001C19F3" w:rsidRDefault="001C19F3" w:rsidP="00521305">
            <w:pPr>
              <w:spacing w:before="40" w:after="40"/>
              <w:ind w:left="40" w:right="40"/>
              <w:jc w:val="center"/>
            </w:pPr>
            <w:r>
              <w:rPr>
                <w:rFonts w:cs="Century Gothic"/>
                <w:color w:val="000000"/>
                <w:sz w:val="18"/>
                <w:szCs w:val="18"/>
              </w:rPr>
              <w:t>24 (1.1%)</w:t>
            </w:r>
          </w:p>
        </w:tc>
        <w:tc>
          <w:tcPr>
            <w:tcW w:w="667" w:type="pct"/>
            <w:shd w:val="clear" w:color="auto" w:fill="FFFFFF"/>
            <w:tcMar>
              <w:top w:w="0" w:type="dxa"/>
              <w:left w:w="0" w:type="dxa"/>
              <w:bottom w:w="0" w:type="dxa"/>
              <w:right w:w="0" w:type="dxa"/>
            </w:tcMar>
            <w:vAlign w:val="center"/>
            <w:hideMark/>
          </w:tcPr>
          <w:p w14:paraId="674D07A2" w14:textId="77777777" w:rsidR="001C19F3" w:rsidRDefault="001C19F3" w:rsidP="00521305">
            <w:pPr>
              <w:spacing w:before="40" w:after="40"/>
              <w:ind w:left="40" w:right="40"/>
              <w:jc w:val="center"/>
            </w:pPr>
            <w:r>
              <w:rPr>
                <w:rFonts w:cs="Century Gothic"/>
                <w:color w:val="000000"/>
                <w:sz w:val="18"/>
                <w:szCs w:val="18"/>
              </w:rPr>
              <w:t>248 (4.0%)</w:t>
            </w:r>
          </w:p>
        </w:tc>
        <w:tc>
          <w:tcPr>
            <w:tcW w:w="667" w:type="pct"/>
            <w:shd w:val="clear" w:color="auto" w:fill="FFFFFF"/>
            <w:tcMar>
              <w:top w:w="0" w:type="dxa"/>
              <w:left w:w="0" w:type="dxa"/>
              <w:bottom w:w="0" w:type="dxa"/>
              <w:right w:w="0" w:type="dxa"/>
            </w:tcMar>
            <w:vAlign w:val="center"/>
            <w:hideMark/>
          </w:tcPr>
          <w:p w14:paraId="112ABA9B" w14:textId="77777777" w:rsidR="001C19F3" w:rsidRDefault="001C19F3" w:rsidP="00521305">
            <w:pPr>
              <w:spacing w:before="40" w:after="40"/>
              <w:ind w:left="40" w:right="40"/>
              <w:jc w:val="center"/>
            </w:pPr>
            <w:r>
              <w:rPr>
                <w:rFonts w:cs="Century Gothic"/>
                <w:color w:val="000000"/>
                <w:sz w:val="18"/>
                <w:szCs w:val="18"/>
              </w:rPr>
              <w:t>438 (10.8%)</w:t>
            </w:r>
          </w:p>
        </w:tc>
        <w:tc>
          <w:tcPr>
            <w:tcW w:w="667" w:type="pct"/>
            <w:shd w:val="clear" w:color="auto" w:fill="FFFFFF"/>
            <w:tcMar>
              <w:top w:w="0" w:type="dxa"/>
              <w:left w:w="0" w:type="dxa"/>
              <w:bottom w:w="0" w:type="dxa"/>
              <w:right w:w="0" w:type="dxa"/>
            </w:tcMar>
            <w:vAlign w:val="center"/>
            <w:hideMark/>
          </w:tcPr>
          <w:p w14:paraId="2F457D3D"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5CE61BA1"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615A3668" w14:textId="77777777" w:rsidR="001C19F3" w:rsidRDefault="001C19F3" w:rsidP="00521305">
            <w:pPr>
              <w:spacing w:before="40" w:after="40"/>
              <w:ind w:left="40" w:right="40"/>
            </w:pPr>
            <w:r>
              <w:rPr>
                <w:rFonts w:cs="Century Gothic"/>
                <w:b/>
                <w:color w:val="000000"/>
                <w:sz w:val="18"/>
                <w:szCs w:val="18"/>
              </w:rPr>
              <w:t>Z: Impact these combined factors have on the person's ability to self-manage their condition as nil, low or high.</w:t>
            </w:r>
          </w:p>
        </w:tc>
      </w:tr>
      <w:tr w:rsidR="001C19F3" w14:paraId="74C1453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02BEE641" w14:textId="77777777" w:rsidR="001C19F3" w:rsidRDefault="001C19F3" w:rsidP="00521305">
            <w:pPr>
              <w:spacing w:before="40" w:after="40"/>
              <w:ind w:left="160" w:right="40"/>
            </w:pPr>
            <w:r>
              <w:rPr>
                <w:rFonts w:cs="Century Gothic"/>
                <w:color w:val="000000"/>
                <w:sz w:val="18"/>
                <w:szCs w:val="18"/>
              </w:rPr>
              <w:t>Nil (score = 0)</w:t>
            </w:r>
          </w:p>
        </w:tc>
        <w:tc>
          <w:tcPr>
            <w:tcW w:w="667" w:type="pct"/>
            <w:shd w:val="clear" w:color="auto" w:fill="FFFFFF"/>
            <w:tcMar>
              <w:top w:w="0" w:type="dxa"/>
              <w:left w:w="0" w:type="dxa"/>
              <w:bottom w:w="0" w:type="dxa"/>
              <w:right w:w="0" w:type="dxa"/>
            </w:tcMar>
            <w:vAlign w:val="center"/>
            <w:hideMark/>
          </w:tcPr>
          <w:p w14:paraId="7093FB44" w14:textId="77777777" w:rsidR="001C19F3" w:rsidRDefault="001C19F3" w:rsidP="00521305">
            <w:pPr>
              <w:spacing w:before="40" w:after="40"/>
              <w:ind w:left="40" w:right="40"/>
              <w:jc w:val="center"/>
            </w:pPr>
            <w:r>
              <w:rPr>
                <w:rFonts w:cs="Century Gothic"/>
                <w:color w:val="000000"/>
                <w:sz w:val="18"/>
                <w:szCs w:val="18"/>
              </w:rPr>
              <w:t>1,734 (13.9%)</w:t>
            </w:r>
          </w:p>
        </w:tc>
        <w:tc>
          <w:tcPr>
            <w:tcW w:w="667" w:type="pct"/>
            <w:shd w:val="clear" w:color="auto" w:fill="FFFFFF"/>
            <w:tcMar>
              <w:top w:w="0" w:type="dxa"/>
              <w:left w:w="0" w:type="dxa"/>
              <w:bottom w:w="0" w:type="dxa"/>
              <w:right w:w="0" w:type="dxa"/>
            </w:tcMar>
            <w:vAlign w:val="center"/>
            <w:hideMark/>
          </w:tcPr>
          <w:p w14:paraId="781B4D9F" w14:textId="77777777" w:rsidR="001C19F3" w:rsidRDefault="001C19F3" w:rsidP="00521305">
            <w:pPr>
              <w:spacing w:before="40" w:after="40"/>
              <w:ind w:left="40" w:right="40"/>
              <w:jc w:val="center"/>
            </w:pPr>
            <w:r>
              <w:rPr>
                <w:rFonts w:cs="Century Gothic"/>
                <w:color w:val="000000"/>
                <w:sz w:val="18"/>
                <w:szCs w:val="18"/>
              </w:rPr>
              <w:t>1,512 (66.8%)</w:t>
            </w:r>
          </w:p>
        </w:tc>
        <w:tc>
          <w:tcPr>
            <w:tcW w:w="667" w:type="pct"/>
            <w:shd w:val="clear" w:color="auto" w:fill="FFFFFF"/>
            <w:tcMar>
              <w:top w:w="0" w:type="dxa"/>
              <w:left w:w="0" w:type="dxa"/>
              <w:bottom w:w="0" w:type="dxa"/>
              <w:right w:w="0" w:type="dxa"/>
            </w:tcMar>
            <w:vAlign w:val="center"/>
            <w:hideMark/>
          </w:tcPr>
          <w:p w14:paraId="4A7DCF83" w14:textId="77777777" w:rsidR="001C19F3" w:rsidRDefault="001C19F3" w:rsidP="00521305">
            <w:pPr>
              <w:spacing w:before="40" w:after="40"/>
              <w:ind w:left="40" w:right="40"/>
              <w:jc w:val="center"/>
            </w:pPr>
            <w:r>
              <w:rPr>
                <w:rFonts w:cs="Century Gothic"/>
                <w:color w:val="000000"/>
                <w:sz w:val="18"/>
                <w:szCs w:val="18"/>
              </w:rPr>
              <w:t>222 (3.6%)</w:t>
            </w:r>
          </w:p>
        </w:tc>
        <w:tc>
          <w:tcPr>
            <w:tcW w:w="667" w:type="pct"/>
            <w:shd w:val="clear" w:color="auto" w:fill="FFFFFF"/>
            <w:tcMar>
              <w:top w:w="0" w:type="dxa"/>
              <w:left w:w="0" w:type="dxa"/>
              <w:bottom w:w="0" w:type="dxa"/>
              <w:right w:w="0" w:type="dxa"/>
            </w:tcMar>
            <w:vAlign w:val="center"/>
          </w:tcPr>
          <w:p w14:paraId="578EAD14" w14:textId="77777777" w:rsidR="001C19F3" w:rsidRDefault="001C19F3" w:rsidP="00521305">
            <w:pPr>
              <w:spacing w:before="40" w:after="40"/>
              <w:ind w:left="40" w:right="40"/>
              <w:jc w:val="center"/>
            </w:pPr>
          </w:p>
        </w:tc>
        <w:tc>
          <w:tcPr>
            <w:tcW w:w="667" w:type="pct"/>
            <w:vMerge w:val="restart"/>
            <w:shd w:val="clear" w:color="auto" w:fill="FFFFFF"/>
            <w:tcMar>
              <w:top w:w="0" w:type="dxa"/>
              <w:left w:w="0" w:type="dxa"/>
              <w:bottom w:w="0" w:type="dxa"/>
              <w:right w:w="0" w:type="dxa"/>
            </w:tcMar>
            <w:vAlign w:val="center"/>
            <w:hideMark/>
          </w:tcPr>
          <w:p w14:paraId="1792C5F7"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00ECF5A5"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3588F01A" w14:textId="77777777" w:rsidR="001C19F3" w:rsidRDefault="001C19F3" w:rsidP="00521305">
            <w:pPr>
              <w:spacing w:before="40" w:after="40"/>
              <w:ind w:left="160" w:right="40"/>
            </w:pPr>
            <w:r>
              <w:rPr>
                <w:rFonts w:cs="Century Gothic"/>
                <w:color w:val="000000"/>
                <w:sz w:val="18"/>
                <w:szCs w:val="18"/>
              </w:rPr>
              <w:t>Low (score = 7)</w:t>
            </w:r>
          </w:p>
        </w:tc>
        <w:tc>
          <w:tcPr>
            <w:tcW w:w="667" w:type="pct"/>
            <w:shd w:val="clear" w:color="auto" w:fill="FFFFFF"/>
            <w:tcMar>
              <w:top w:w="0" w:type="dxa"/>
              <w:left w:w="0" w:type="dxa"/>
              <w:bottom w:w="0" w:type="dxa"/>
              <w:right w:w="0" w:type="dxa"/>
            </w:tcMar>
            <w:vAlign w:val="center"/>
            <w:hideMark/>
          </w:tcPr>
          <w:p w14:paraId="616FD402" w14:textId="77777777" w:rsidR="001C19F3" w:rsidRDefault="001C19F3" w:rsidP="00521305">
            <w:pPr>
              <w:spacing w:before="40" w:after="40"/>
              <w:ind w:left="40" w:right="40"/>
              <w:jc w:val="center"/>
            </w:pPr>
            <w:r>
              <w:rPr>
                <w:rFonts w:cs="Century Gothic"/>
                <w:color w:val="000000"/>
                <w:sz w:val="18"/>
                <w:szCs w:val="18"/>
              </w:rPr>
              <w:t>6,468 (52.0%)</w:t>
            </w:r>
          </w:p>
        </w:tc>
        <w:tc>
          <w:tcPr>
            <w:tcW w:w="667" w:type="pct"/>
            <w:shd w:val="clear" w:color="auto" w:fill="FFFFFF"/>
            <w:tcMar>
              <w:top w:w="0" w:type="dxa"/>
              <w:left w:w="0" w:type="dxa"/>
              <w:bottom w:w="0" w:type="dxa"/>
              <w:right w:w="0" w:type="dxa"/>
            </w:tcMar>
            <w:vAlign w:val="center"/>
            <w:hideMark/>
          </w:tcPr>
          <w:p w14:paraId="1A254445" w14:textId="77777777" w:rsidR="001C19F3" w:rsidRDefault="001C19F3" w:rsidP="00521305">
            <w:pPr>
              <w:spacing w:before="40" w:after="40"/>
              <w:ind w:left="40" w:right="40"/>
              <w:jc w:val="center"/>
            </w:pPr>
            <w:r>
              <w:rPr>
                <w:rFonts w:cs="Century Gothic"/>
                <w:color w:val="000000"/>
                <w:sz w:val="18"/>
                <w:szCs w:val="18"/>
              </w:rPr>
              <w:t>750 (33.2%)</w:t>
            </w:r>
          </w:p>
        </w:tc>
        <w:tc>
          <w:tcPr>
            <w:tcW w:w="667" w:type="pct"/>
            <w:shd w:val="clear" w:color="auto" w:fill="FFFFFF"/>
            <w:tcMar>
              <w:top w:w="0" w:type="dxa"/>
              <w:left w:w="0" w:type="dxa"/>
              <w:bottom w:w="0" w:type="dxa"/>
              <w:right w:w="0" w:type="dxa"/>
            </w:tcMar>
            <w:vAlign w:val="center"/>
            <w:hideMark/>
          </w:tcPr>
          <w:p w14:paraId="22B8C1FE" w14:textId="77777777" w:rsidR="001C19F3" w:rsidRDefault="001C19F3" w:rsidP="00521305">
            <w:pPr>
              <w:spacing w:before="40" w:after="40"/>
              <w:ind w:left="40" w:right="40"/>
              <w:jc w:val="center"/>
            </w:pPr>
            <w:r>
              <w:rPr>
                <w:rFonts w:cs="Century Gothic"/>
                <w:color w:val="000000"/>
                <w:sz w:val="18"/>
                <w:szCs w:val="18"/>
              </w:rPr>
              <w:t>5,424 (88.4%)</w:t>
            </w:r>
          </w:p>
        </w:tc>
        <w:tc>
          <w:tcPr>
            <w:tcW w:w="667" w:type="pct"/>
            <w:shd w:val="clear" w:color="auto" w:fill="FFFFFF"/>
            <w:tcMar>
              <w:top w:w="0" w:type="dxa"/>
              <w:left w:w="0" w:type="dxa"/>
              <w:bottom w:w="0" w:type="dxa"/>
              <w:right w:w="0" w:type="dxa"/>
            </w:tcMar>
            <w:vAlign w:val="center"/>
            <w:hideMark/>
          </w:tcPr>
          <w:p w14:paraId="24F6E639" w14:textId="77777777" w:rsidR="001C19F3" w:rsidRDefault="001C19F3" w:rsidP="00521305">
            <w:pPr>
              <w:spacing w:before="40" w:after="40"/>
              <w:ind w:left="40" w:right="40"/>
              <w:jc w:val="center"/>
            </w:pPr>
            <w:r>
              <w:rPr>
                <w:rFonts w:cs="Century Gothic"/>
                <w:color w:val="000000"/>
                <w:sz w:val="18"/>
                <w:szCs w:val="18"/>
              </w:rPr>
              <w:t>294 (7.3%)</w:t>
            </w:r>
          </w:p>
        </w:tc>
        <w:tc>
          <w:tcPr>
            <w:tcW w:w="667" w:type="pct"/>
            <w:vMerge/>
            <w:vAlign w:val="center"/>
            <w:hideMark/>
          </w:tcPr>
          <w:p w14:paraId="2EEACDFB" w14:textId="77777777" w:rsidR="001C19F3" w:rsidRDefault="001C19F3" w:rsidP="00521305">
            <w:pPr>
              <w:spacing w:after="0"/>
              <w:rPr>
                <w:sz w:val="22"/>
              </w:rPr>
            </w:pPr>
          </w:p>
        </w:tc>
      </w:tr>
      <w:tr w:rsidR="001C19F3" w14:paraId="406CFC93" w14:textId="77777777" w:rsidTr="00521305">
        <w:trPr>
          <w:cantSplit/>
          <w:trHeight w:val="288"/>
          <w:jc w:val="center"/>
        </w:trPr>
        <w:tc>
          <w:tcPr>
            <w:tcW w:w="1667" w:type="pct"/>
            <w:shd w:val="clear" w:color="auto" w:fill="FFFFFF"/>
            <w:tcMar>
              <w:top w:w="0" w:type="dxa"/>
              <w:left w:w="0" w:type="dxa"/>
              <w:bottom w:w="0" w:type="dxa"/>
              <w:right w:w="0" w:type="dxa"/>
            </w:tcMar>
            <w:vAlign w:val="center"/>
            <w:hideMark/>
          </w:tcPr>
          <w:p w14:paraId="1D987E28" w14:textId="77777777" w:rsidR="001C19F3" w:rsidRDefault="001C19F3" w:rsidP="00521305">
            <w:pPr>
              <w:spacing w:before="40" w:after="40"/>
              <w:ind w:left="160" w:right="40"/>
            </w:pPr>
            <w:r>
              <w:rPr>
                <w:rFonts w:cs="Century Gothic"/>
                <w:color w:val="000000"/>
                <w:sz w:val="18"/>
                <w:szCs w:val="18"/>
              </w:rPr>
              <w:t>High (score = 15)</w:t>
            </w:r>
          </w:p>
        </w:tc>
        <w:tc>
          <w:tcPr>
            <w:tcW w:w="667" w:type="pct"/>
            <w:shd w:val="clear" w:color="auto" w:fill="FFFFFF"/>
            <w:tcMar>
              <w:top w:w="0" w:type="dxa"/>
              <w:left w:w="0" w:type="dxa"/>
              <w:bottom w:w="0" w:type="dxa"/>
              <w:right w:w="0" w:type="dxa"/>
            </w:tcMar>
            <w:vAlign w:val="center"/>
            <w:hideMark/>
          </w:tcPr>
          <w:p w14:paraId="7E2C7562" w14:textId="77777777" w:rsidR="001C19F3" w:rsidRDefault="001C19F3" w:rsidP="00521305">
            <w:pPr>
              <w:spacing w:before="40" w:after="40"/>
              <w:ind w:left="40" w:right="40"/>
              <w:jc w:val="center"/>
            </w:pPr>
            <w:r>
              <w:rPr>
                <w:rFonts w:cs="Century Gothic"/>
                <w:color w:val="000000"/>
                <w:sz w:val="18"/>
                <w:szCs w:val="18"/>
              </w:rPr>
              <w:t>4,246 (34.1%)</w:t>
            </w:r>
          </w:p>
        </w:tc>
        <w:tc>
          <w:tcPr>
            <w:tcW w:w="667" w:type="pct"/>
            <w:shd w:val="clear" w:color="auto" w:fill="FFFFFF"/>
            <w:tcMar>
              <w:top w:w="0" w:type="dxa"/>
              <w:left w:w="0" w:type="dxa"/>
              <w:bottom w:w="0" w:type="dxa"/>
              <w:right w:w="0" w:type="dxa"/>
            </w:tcMar>
            <w:vAlign w:val="center"/>
          </w:tcPr>
          <w:p w14:paraId="0AA0266E" w14:textId="77777777" w:rsidR="001C19F3" w:rsidRDefault="001C19F3" w:rsidP="00521305">
            <w:pPr>
              <w:spacing w:before="40" w:after="40"/>
              <w:ind w:left="40" w:right="40"/>
              <w:jc w:val="center"/>
            </w:pPr>
          </w:p>
        </w:tc>
        <w:tc>
          <w:tcPr>
            <w:tcW w:w="667" w:type="pct"/>
            <w:shd w:val="clear" w:color="auto" w:fill="FFFFFF"/>
            <w:tcMar>
              <w:top w:w="0" w:type="dxa"/>
              <w:left w:w="0" w:type="dxa"/>
              <w:bottom w:w="0" w:type="dxa"/>
              <w:right w:w="0" w:type="dxa"/>
            </w:tcMar>
            <w:vAlign w:val="center"/>
            <w:hideMark/>
          </w:tcPr>
          <w:p w14:paraId="3CEF0288" w14:textId="77777777" w:rsidR="001C19F3" w:rsidRDefault="001C19F3" w:rsidP="00521305">
            <w:pPr>
              <w:spacing w:before="40" w:after="40"/>
              <w:ind w:left="40" w:right="40"/>
              <w:jc w:val="center"/>
            </w:pPr>
            <w:r>
              <w:rPr>
                <w:rFonts w:cs="Century Gothic"/>
                <w:color w:val="000000"/>
                <w:sz w:val="18"/>
                <w:szCs w:val="18"/>
              </w:rPr>
              <w:t>488 (8.0%)</w:t>
            </w:r>
          </w:p>
        </w:tc>
        <w:tc>
          <w:tcPr>
            <w:tcW w:w="667" w:type="pct"/>
            <w:shd w:val="clear" w:color="auto" w:fill="FFFFFF"/>
            <w:tcMar>
              <w:top w:w="0" w:type="dxa"/>
              <w:left w:w="0" w:type="dxa"/>
              <w:bottom w:w="0" w:type="dxa"/>
              <w:right w:w="0" w:type="dxa"/>
            </w:tcMar>
            <w:vAlign w:val="center"/>
            <w:hideMark/>
          </w:tcPr>
          <w:p w14:paraId="3840FA91" w14:textId="77777777" w:rsidR="001C19F3" w:rsidRDefault="001C19F3" w:rsidP="00521305">
            <w:pPr>
              <w:spacing w:before="40" w:after="40"/>
              <w:ind w:left="40" w:right="40"/>
              <w:jc w:val="center"/>
            </w:pPr>
            <w:r>
              <w:rPr>
                <w:rFonts w:cs="Century Gothic"/>
                <w:color w:val="000000"/>
                <w:sz w:val="18"/>
                <w:szCs w:val="18"/>
              </w:rPr>
              <w:t>3,758 (92.7%)</w:t>
            </w:r>
          </w:p>
        </w:tc>
        <w:tc>
          <w:tcPr>
            <w:tcW w:w="667" w:type="pct"/>
            <w:vMerge/>
            <w:vAlign w:val="center"/>
            <w:hideMark/>
          </w:tcPr>
          <w:p w14:paraId="2FD95A61" w14:textId="77777777" w:rsidR="001C19F3" w:rsidRDefault="001C19F3" w:rsidP="00521305">
            <w:pPr>
              <w:spacing w:after="0"/>
              <w:rPr>
                <w:sz w:val="22"/>
              </w:rPr>
            </w:pPr>
          </w:p>
        </w:tc>
      </w:tr>
    </w:tbl>
    <w:p w14:paraId="30227C3A" w14:textId="77777777" w:rsidR="001C19F3" w:rsidRDefault="001C19F3" w:rsidP="001C19F3">
      <w:pPr>
        <w:pStyle w:val="Chartortablefootnote"/>
      </w:pPr>
      <w:r>
        <w:t>Source: Risk stratification data provided by Precedence Health Care, to June 2019.</w:t>
      </w:r>
    </w:p>
    <w:p w14:paraId="36049B55" w14:textId="77777777" w:rsidR="001C19F3" w:rsidRDefault="001C19F3" w:rsidP="001C19F3">
      <w:pPr>
        <w:spacing w:after="160" w:line="259" w:lineRule="auto"/>
        <w:rPr>
          <w:rFonts w:eastAsiaTheme="minorEastAsia" w:cstheme="minorBidi"/>
          <w:b/>
          <w:szCs w:val="24"/>
          <w:lang w:val="en-US"/>
        </w:rPr>
      </w:pPr>
      <w:r>
        <w:br w:type="page"/>
      </w:r>
    </w:p>
    <w:p w14:paraId="69C7D2AF" w14:textId="77777777" w:rsidR="001C19F3" w:rsidRDefault="001C19F3" w:rsidP="001C19F3">
      <w:pPr>
        <w:pStyle w:val="Caption1"/>
      </w:pPr>
      <w:r w:rsidRPr="00177C7E">
        <w:lastRenderedPageBreak/>
        <w:t xml:space="preserve">Table </w:t>
      </w:r>
      <w:r w:rsidRPr="00177C7E">
        <w:fldChar w:fldCharType="begin"/>
      </w:r>
      <w:r w:rsidRPr="00177C7E">
        <w:instrText>SEQ Table \* ARABIC</w:instrText>
      </w:r>
      <w:r w:rsidRPr="00177C7E">
        <w:fldChar w:fldCharType="separate"/>
      </w:r>
      <w:r>
        <w:rPr>
          <w:noProof/>
        </w:rPr>
        <w:t>86</w:t>
      </w:r>
      <w:r w:rsidRPr="00177C7E">
        <w:fldChar w:fldCharType="end"/>
      </w:r>
      <w:r w:rsidRPr="00177C7E">
        <w:t xml:space="preserve"> – HARP</w:t>
      </w:r>
      <w:r>
        <w:t xml:space="preserve"> risk profile and s</w:t>
      </w:r>
      <w:r w:rsidRPr="00177C7E">
        <w:t>elf-management impact items, by tier, and score</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123"/>
        <w:gridCol w:w="2280"/>
        <w:gridCol w:w="2230"/>
        <w:gridCol w:w="1879"/>
        <w:gridCol w:w="1879"/>
        <w:gridCol w:w="1547"/>
      </w:tblGrid>
      <w:tr w:rsidR="001C19F3" w14:paraId="11AC3B09" w14:textId="77777777" w:rsidTr="00521305">
        <w:trPr>
          <w:cantSplit/>
          <w:trHeight w:val="298"/>
          <w:tblHeader/>
          <w:jc w:val="center"/>
        </w:trPr>
        <w:tc>
          <w:tcPr>
            <w:tcW w:w="1479" w:type="pct"/>
            <w:shd w:val="clear" w:color="auto" w:fill="003D79"/>
            <w:vAlign w:val="center"/>
            <w:hideMark/>
          </w:tcPr>
          <w:p w14:paraId="31EA765E" w14:textId="77777777" w:rsidR="001C19F3" w:rsidRDefault="001C19F3" w:rsidP="00521305">
            <w:pPr>
              <w:spacing w:after="0"/>
              <w:jc w:val="center"/>
              <w:rPr>
                <w:sz w:val="22"/>
              </w:rPr>
            </w:pPr>
            <w:r>
              <w:rPr>
                <w:rFonts w:cs="Century Gothic"/>
                <w:b/>
                <w:color w:val="FFFFFF"/>
                <w:sz w:val="18"/>
                <w:szCs w:val="18"/>
              </w:rPr>
              <w:t>Risk profile and s</w:t>
            </w:r>
            <w:r w:rsidRPr="00123D9A">
              <w:rPr>
                <w:rFonts w:cs="Century Gothic"/>
                <w:b/>
                <w:color w:val="FFFFFF"/>
                <w:sz w:val="18"/>
                <w:szCs w:val="18"/>
              </w:rPr>
              <w:t>elf-management impact</w:t>
            </w:r>
          </w:p>
        </w:tc>
        <w:tc>
          <w:tcPr>
            <w:tcW w:w="818" w:type="pct"/>
            <w:shd w:val="clear" w:color="auto" w:fill="003D79"/>
            <w:vAlign w:val="center"/>
            <w:hideMark/>
          </w:tcPr>
          <w:p w14:paraId="0ACBB21E" w14:textId="77777777" w:rsidR="001C19F3" w:rsidRDefault="001C19F3" w:rsidP="00521305">
            <w:pPr>
              <w:spacing w:after="0"/>
              <w:jc w:val="center"/>
              <w:rPr>
                <w:sz w:val="22"/>
              </w:rPr>
            </w:pPr>
            <w:r w:rsidRPr="00123D9A">
              <w:rPr>
                <w:rFonts w:cs="Century Gothic"/>
                <w:b/>
                <w:color w:val="FFFFFF"/>
                <w:sz w:val="18"/>
                <w:szCs w:val="18"/>
              </w:rPr>
              <w:t>Total</w:t>
            </w:r>
          </w:p>
        </w:tc>
        <w:tc>
          <w:tcPr>
            <w:tcW w:w="800" w:type="pct"/>
            <w:shd w:val="clear" w:color="auto" w:fill="003D79"/>
            <w:tcMar>
              <w:top w:w="0" w:type="dxa"/>
              <w:left w:w="0" w:type="dxa"/>
              <w:bottom w:w="0" w:type="dxa"/>
              <w:right w:w="0" w:type="dxa"/>
            </w:tcMar>
            <w:vAlign w:val="center"/>
            <w:hideMark/>
          </w:tcPr>
          <w:p w14:paraId="437CE4B1" w14:textId="77777777" w:rsidR="001C19F3" w:rsidRDefault="001C19F3" w:rsidP="00521305">
            <w:pPr>
              <w:spacing w:after="0"/>
              <w:jc w:val="center"/>
            </w:pPr>
            <w:r>
              <w:rPr>
                <w:rFonts w:cs="Century Gothic"/>
                <w:b/>
                <w:color w:val="FFFFFF"/>
                <w:sz w:val="18"/>
                <w:szCs w:val="18"/>
              </w:rPr>
              <w:t>Tier 1</w:t>
            </w:r>
          </w:p>
        </w:tc>
        <w:tc>
          <w:tcPr>
            <w:tcW w:w="674" w:type="pct"/>
            <w:shd w:val="clear" w:color="auto" w:fill="003D79"/>
            <w:tcMar>
              <w:top w:w="0" w:type="dxa"/>
              <w:left w:w="0" w:type="dxa"/>
              <w:bottom w:w="0" w:type="dxa"/>
              <w:right w:w="0" w:type="dxa"/>
            </w:tcMar>
            <w:vAlign w:val="center"/>
            <w:hideMark/>
          </w:tcPr>
          <w:p w14:paraId="295E3232" w14:textId="77777777" w:rsidR="001C19F3" w:rsidRDefault="001C19F3" w:rsidP="00521305">
            <w:pPr>
              <w:spacing w:after="0"/>
              <w:jc w:val="center"/>
            </w:pPr>
            <w:r>
              <w:rPr>
                <w:rFonts w:cs="Century Gothic"/>
                <w:b/>
                <w:color w:val="FFFFFF"/>
                <w:sz w:val="18"/>
                <w:szCs w:val="18"/>
              </w:rPr>
              <w:t>Tier 2</w:t>
            </w:r>
          </w:p>
        </w:tc>
        <w:tc>
          <w:tcPr>
            <w:tcW w:w="674" w:type="pct"/>
            <w:shd w:val="clear" w:color="auto" w:fill="003D79"/>
            <w:tcMar>
              <w:top w:w="0" w:type="dxa"/>
              <w:left w:w="0" w:type="dxa"/>
              <w:bottom w:w="0" w:type="dxa"/>
              <w:right w:w="0" w:type="dxa"/>
            </w:tcMar>
            <w:vAlign w:val="center"/>
            <w:hideMark/>
          </w:tcPr>
          <w:p w14:paraId="1DB85E1D" w14:textId="77777777" w:rsidR="001C19F3" w:rsidRDefault="001C19F3" w:rsidP="00521305">
            <w:pPr>
              <w:spacing w:after="0"/>
              <w:jc w:val="center"/>
            </w:pPr>
            <w:r>
              <w:rPr>
                <w:rFonts w:cs="Century Gothic"/>
                <w:b/>
                <w:color w:val="FFFFFF"/>
                <w:sz w:val="18"/>
                <w:szCs w:val="18"/>
              </w:rPr>
              <w:t>Tier 3</w:t>
            </w:r>
          </w:p>
        </w:tc>
        <w:tc>
          <w:tcPr>
            <w:tcW w:w="555" w:type="pct"/>
            <w:shd w:val="clear" w:color="auto" w:fill="003D79"/>
            <w:tcMar>
              <w:top w:w="0" w:type="dxa"/>
              <w:left w:w="0" w:type="dxa"/>
              <w:bottom w:w="0" w:type="dxa"/>
              <w:right w:w="0" w:type="dxa"/>
            </w:tcMar>
            <w:vAlign w:val="center"/>
            <w:hideMark/>
          </w:tcPr>
          <w:p w14:paraId="44FF4FFB" w14:textId="77777777" w:rsidR="001C19F3" w:rsidRDefault="001C19F3" w:rsidP="00521305">
            <w:pPr>
              <w:spacing w:after="0"/>
              <w:jc w:val="center"/>
            </w:pPr>
            <w:r>
              <w:rPr>
                <w:rFonts w:cs="Century Gothic"/>
                <w:b/>
                <w:color w:val="FFFFFF"/>
                <w:sz w:val="18"/>
                <w:szCs w:val="18"/>
              </w:rPr>
              <w:t xml:space="preserve">P </w:t>
            </w:r>
            <w:r>
              <w:rPr>
                <w:rFonts w:cs="Century Gothic"/>
                <w:b/>
                <w:color w:val="FFFFFF"/>
                <w:sz w:val="18"/>
                <w:szCs w:val="18"/>
              </w:rPr>
              <w:br/>
              <w:t xml:space="preserve"> value</w:t>
            </w:r>
          </w:p>
        </w:tc>
      </w:tr>
      <w:tr w:rsidR="001C19F3" w14:paraId="11F1DEC5" w14:textId="77777777" w:rsidTr="00521305">
        <w:trPr>
          <w:cantSplit/>
          <w:trHeight w:val="322"/>
          <w:jc w:val="center"/>
        </w:trPr>
        <w:tc>
          <w:tcPr>
            <w:tcW w:w="5000" w:type="pct"/>
            <w:gridSpan w:val="6"/>
            <w:shd w:val="clear" w:color="auto" w:fill="FFFFFF"/>
            <w:tcMar>
              <w:top w:w="0" w:type="dxa"/>
              <w:left w:w="0" w:type="dxa"/>
              <w:bottom w:w="0" w:type="dxa"/>
              <w:right w:w="0" w:type="dxa"/>
            </w:tcMar>
            <w:vAlign w:val="center"/>
            <w:hideMark/>
          </w:tcPr>
          <w:p w14:paraId="17617C7F" w14:textId="77777777" w:rsidR="001C19F3" w:rsidRDefault="001C19F3" w:rsidP="00521305">
            <w:pPr>
              <w:spacing w:before="40" w:after="40"/>
              <w:ind w:left="40" w:right="40"/>
            </w:pPr>
            <w:r>
              <w:rPr>
                <w:rFonts w:cs="Century Gothic"/>
                <w:b/>
                <w:color w:val="000000"/>
                <w:sz w:val="18"/>
                <w:szCs w:val="18"/>
              </w:rPr>
              <w:t>Patients who had the HARP completed following the clinician overriding their PRM score</w:t>
            </w:r>
          </w:p>
        </w:tc>
      </w:tr>
      <w:tr w:rsidR="001C19F3" w14:paraId="7CCAB9AC" w14:textId="77777777" w:rsidTr="00521305">
        <w:trPr>
          <w:cantSplit/>
          <w:trHeight w:val="288"/>
          <w:jc w:val="center"/>
        </w:trPr>
        <w:tc>
          <w:tcPr>
            <w:tcW w:w="1479" w:type="pct"/>
            <w:shd w:val="clear" w:color="auto" w:fill="FFFFFF"/>
            <w:tcMar>
              <w:top w:w="0" w:type="dxa"/>
              <w:left w:w="0" w:type="dxa"/>
              <w:bottom w:w="0" w:type="dxa"/>
              <w:right w:w="0" w:type="dxa"/>
            </w:tcMar>
            <w:vAlign w:val="center"/>
          </w:tcPr>
          <w:p w14:paraId="06FBDBC0" w14:textId="77777777" w:rsidR="001C19F3" w:rsidRDefault="001C19F3" w:rsidP="00521305">
            <w:pPr>
              <w:spacing w:before="40" w:after="40"/>
              <w:ind w:left="160" w:right="40"/>
              <w:rPr>
                <w:rFonts w:cs="Century Gothic"/>
                <w:color w:val="000000"/>
                <w:sz w:val="18"/>
                <w:szCs w:val="18"/>
              </w:rPr>
            </w:pPr>
            <w:r>
              <w:rPr>
                <w:rFonts w:cs="Century Gothic"/>
                <w:color w:val="000000"/>
                <w:sz w:val="18"/>
                <w:szCs w:val="18"/>
              </w:rPr>
              <w:t>Yes</w:t>
            </w:r>
          </w:p>
        </w:tc>
        <w:tc>
          <w:tcPr>
            <w:tcW w:w="818" w:type="pct"/>
            <w:shd w:val="clear" w:color="auto" w:fill="FFFFFF"/>
            <w:tcMar>
              <w:top w:w="0" w:type="dxa"/>
              <w:left w:w="0" w:type="dxa"/>
              <w:bottom w:w="0" w:type="dxa"/>
              <w:right w:w="0" w:type="dxa"/>
            </w:tcMar>
            <w:vAlign w:val="center"/>
          </w:tcPr>
          <w:p w14:paraId="072A005D" w14:textId="77777777" w:rsidR="001C19F3" w:rsidRDefault="001C19F3" w:rsidP="00521305">
            <w:pPr>
              <w:spacing w:before="40" w:after="40"/>
              <w:ind w:left="40" w:right="40"/>
              <w:jc w:val="center"/>
              <w:rPr>
                <w:rFonts w:cs="Century Gothic"/>
                <w:color w:val="000000"/>
                <w:sz w:val="18"/>
                <w:szCs w:val="18"/>
              </w:rPr>
            </w:pPr>
            <w:r>
              <w:rPr>
                <w:rFonts w:cs="Century Gothic"/>
                <w:color w:val="000000"/>
                <w:sz w:val="18"/>
                <w:szCs w:val="18"/>
              </w:rPr>
              <w:t>3,674 (29.5%)</w:t>
            </w:r>
          </w:p>
        </w:tc>
        <w:tc>
          <w:tcPr>
            <w:tcW w:w="800" w:type="pct"/>
            <w:shd w:val="clear" w:color="auto" w:fill="FFFFFF"/>
            <w:tcMar>
              <w:top w:w="0" w:type="dxa"/>
              <w:left w:w="0" w:type="dxa"/>
              <w:bottom w:w="0" w:type="dxa"/>
              <w:right w:w="0" w:type="dxa"/>
            </w:tcMar>
            <w:vAlign w:val="center"/>
          </w:tcPr>
          <w:p w14:paraId="715C9852" w14:textId="77777777" w:rsidR="001C19F3" w:rsidRDefault="001C19F3" w:rsidP="00521305">
            <w:pPr>
              <w:spacing w:before="40" w:after="40"/>
              <w:ind w:left="40" w:right="40"/>
              <w:jc w:val="center"/>
              <w:rPr>
                <w:rFonts w:cs="Century Gothic"/>
                <w:color w:val="000000"/>
                <w:sz w:val="18"/>
                <w:szCs w:val="18"/>
              </w:rPr>
            </w:pPr>
            <w:r>
              <w:rPr>
                <w:rFonts w:cs="Century Gothic"/>
                <w:color w:val="000000"/>
                <w:sz w:val="18"/>
                <w:szCs w:val="18"/>
              </w:rPr>
              <w:t>935 (41.3%)</w:t>
            </w:r>
          </w:p>
        </w:tc>
        <w:tc>
          <w:tcPr>
            <w:tcW w:w="674" w:type="pct"/>
            <w:shd w:val="clear" w:color="auto" w:fill="FFFFFF"/>
            <w:tcMar>
              <w:top w:w="0" w:type="dxa"/>
              <w:left w:w="0" w:type="dxa"/>
              <w:bottom w:w="0" w:type="dxa"/>
              <w:right w:w="0" w:type="dxa"/>
            </w:tcMar>
            <w:vAlign w:val="center"/>
          </w:tcPr>
          <w:p w14:paraId="084C65E6" w14:textId="77777777" w:rsidR="001C19F3" w:rsidRDefault="001C19F3" w:rsidP="00521305">
            <w:pPr>
              <w:spacing w:before="40" w:after="40"/>
              <w:ind w:left="40" w:right="40"/>
              <w:jc w:val="center"/>
            </w:pPr>
            <w:r>
              <w:rPr>
                <w:rFonts w:cs="Century Gothic"/>
                <w:color w:val="000000"/>
                <w:sz w:val="18"/>
                <w:szCs w:val="18"/>
              </w:rPr>
              <w:t>1,931 (31.5%)</w:t>
            </w:r>
          </w:p>
        </w:tc>
        <w:tc>
          <w:tcPr>
            <w:tcW w:w="674" w:type="pct"/>
            <w:shd w:val="clear" w:color="auto" w:fill="FFFFFF"/>
            <w:tcMar>
              <w:top w:w="0" w:type="dxa"/>
              <w:left w:w="0" w:type="dxa"/>
              <w:bottom w:w="0" w:type="dxa"/>
              <w:right w:w="0" w:type="dxa"/>
            </w:tcMar>
            <w:vAlign w:val="center"/>
          </w:tcPr>
          <w:p w14:paraId="75EDCF71" w14:textId="77777777" w:rsidR="001C19F3" w:rsidRDefault="001C19F3" w:rsidP="00521305">
            <w:pPr>
              <w:spacing w:before="40" w:after="40"/>
              <w:ind w:left="40" w:right="40"/>
              <w:jc w:val="center"/>
            </w:pPr>
            <w:r>
              <w:rPr>
                <w:rFonts w:cs="Century Gothic"/>
                <w:color w:val="000000"/>
                <w:sz w:val="18"/>
                <w:szCs w:val="18"/>
              </w:rPr>
              <w:t>808 (19.9%)</w:t>
            </w:r>
          </w:p>
        </w:tc>
        <w:tc>
          <w:tcPr>
            <w:tcW w:w="555" w:type="pct"/>
            <w:shd w:val="clear" w:color="auto" w:fill="FFFFFF"/>
            <w:tcMar>
              <w:top w:w="0" w:type="dxa"/>
              <w:left w:w="0" w:type="dxa"/>
              <w:bottom w:w="0" w:type="dxa"/>
              <w:right w:w="0" w:type="dxa"/>
            </w:tcMar>
            <w:vAlign w:val="center"/>
          </w:tcPr>
          <w:p w14:paraId="3F3C064E" w14:textId="77777777" w:rsidR="001C19F3" w:rsidRDefault="001C19F3" w:rsidP="00521305">
            <w:pPr>
              <w:spacing w:before="40" w:after="40"/>
              <w:ind w:left="40" w:right="40"/>
              <w:jc w:val="center"/>
              <w:rPr>
                <w:rFonts w:cs="Century Gothic"/>
                <w:color w:val="000000"/>
                <w:sz w:val="18"/>
                <w:szCs w:val="18"/>
              </w:rPr>
            </w:pPr>
            <w:r>
              <w:rPr>
                <w:rFonts w:cs="Century Gothic"/>
                <w:color w:val="000000"/>
                <w:sz w:val="18"/>
                <w:szCs w:val="18"/>
              </w:rPr>
              <w:t>&lt;0.001</w:t>
            </w:r>
          </w:p>
        </w:tc>
      </w:tr>
      <w:tr w:rsidR="001C19F3" w14:paraId="630BA72B"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0841E570" w14:textId="77777777" w:rsidR="001C19F3" w:rsidRDefault="001C19F3" w:rsidP="00521305">
            <w:pPr>
              <w:spacing w:before="40" w:after="40"/>
              <w:ind w:left="40" w:right="40"/>
            </w:pPr>
            <w:r>
              <w:rPr>
                <w:rFonts w:cs="Century Gothic"/>
                <w:b/>
                <w:color w:val="000000"/>
                <w:sz w:val="18"/>
                <w:szCs w:val="18"/>
              </w:rPr>
              <w:t>HARP risk profile</w:t>
            </w:r>
          </w:p>
        </w:tc>
      </w:tr>
      <w:tr w:rsidR="001C19F3" w14:paraId="6E6F4E00"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51190046" w14:textId="77777777" w:rsidR="001C19F3" w:rsidRDefault="001C19F3" w:rsidP="00521305">
            <w:pPr>
              <w:spacing w:before="40" w:after="40"/>
              <w:ind w:left="160" w:right="40"/>
            </w:pPr>
            <w:r>
              <w:rPr>
                <w:rFonts w:cs="Century Gothic"/>
                <w:color w:val="000000"/>
                <w:sz w:val="18"/>
                <w:szCs w:val="18"/>
              </w:rPr>
              <w:t>Low (risk score 1 to 10)</w:t>
            </w:r>
          </w:p>
        </w:tc>
        <w:tc>
          <w:tcPr>
            <w:tcW w:w="818" w:type="pct"/>
            <w:shd w:val="clear" w:color="auto" w:fill="FFFFFF"/>
            <w:tcMar>
              <w:top w:w="0" w:type="dxa"/>
              <w:left w:w="0" w:type="dxa"/>
              <w:bottom w:w="0" w:type="dxa"/>
              <w:right w:w="0" w:type="dxa"/>
            </w:tcMar>
            <w:vAlign w:val="center"/>
            <w:hideMark/>
          </w:tcPr>
          <w:p w14:paraId="472C6D99" w14:textId="77777777" w:rsidR="001C19F3" w:rsidRDefault="001C19F3" w:rsidP="00521305">
            <w:pPr>
              <w:spacing w:before="40" w:after="40"/>
              <w:ind w:left="40" w:right="40"/>
              <w:jc w:val="center"/>
            </w:pPr>
            <w:r>
              <w:rPr>
                <w:rFonts w:cs="Century Gothic"/>
                <w:color w:val="000000"/>
                <w:sz w:val="18"/>
                <w:szCs w:val="18"/>
              </w:rPr>
              <w:t>1,470 (11.8%)</w:t>
            </w:r>
          </w:p>
        </w:tc>
        <w:tc>
          <w:tcPr>
            <w:tcW w:w="800" w:type="pct"/>
            <w:shd w:val="clear" w:color="auto" w:fill="FFFFFF"/>
            <w:tcMar>
              <w:top w:w="0" w:type="dxa"/>
              <w:left w:w="0" w:type="dxa"/>
              <w:bottom w:w="0" w:type="dxa"/>
              <w:right w:w="0" w:type="dxa"/>
            </w:tcMar>
            <w:vAlign w:val="center"/>
            <w:hideMark/>
          </w:tcPr>
          <w:p w14:paraId="0E755D34" w14:textId="77777777" w:rsidR="001C19F3" w:rsidRDefault="001C19F3" w:rsidP="00521305">
            <w:pPr>
              <w:spacing w:before="40" w:after="40"/>
              <w:ind w:left="40" w:right="40"/>
              <w:jc w:val="center"/>
            </w:pPr>
            <w:r>
              <w:rPr>
                <w:rFonts w:cs="Century Gothic"/>
                <w:color w:val="000000"/>
                <w:sz w:val="18"/>
                <w:szCs w:val="18"/>
              </w:rPr>
              <w:t>1,470 (65.0%)</w:t>
            </w:r>
          </w:p>
        </w:tc>
        <w:tc>
          <w:tcPr>
            <w:tcW w:w="674" w:type="pct"/>
            <w:shd w:val="clear" w:color="auto" w:fill="FFFFFF"/>
            <w:tcMar>
              <w:top w:w="0" w:type="dxa"/>
              <w:left w:w="0" w:type="dxa"/>
              <w:bottom w:w="0" w:type="dxa"/>
              <w:right w:w="0" w:type="dxa"/>
            </w:tcMar>
            <w:vAlign w:val="center"/>
          </w:tcPr>
          <w:p w14:paraId="47854678" w14:textId="77777777" w:rsidR="001C19F3" w:rsidRDefault="001C19F3" w:rsidP="00521305">
            <w:pPr>
              <w:spacing w:before="40" w:after="40"/>
              <w:ind w:left="40" w:right="40"/>
              <w:jc w:val="center"/>
            </w:pPr>
          </w:p>
        </w:tc>
        <w:tc>
          <w:tcPr>
            <w:tcW w:w="674" w:type="pct"/>
            <w:shd w:val="clear" w:color="auto" w:fill="FFFFFF"/>
            <w:tcMar>
              <w:top w:w="0" w:type="dxa"/>
              <w:left w:w="0" w:type="dxa"/>
              <w:bottom w:w="0" w:type="dxa"/>
              <w:right w:w="0" w:type="dxa"/>
            </w:tcMar>
            <w:vAlign w:val="center"/>
          </w:tcPr>
          <w:p w14:paraId="5EED345F" w14:textId="77777777" w:rsidR="001C19F3" w:rsidRDefault="001C19F3" w:rsidP="00521305">
            <w:pPr>
              <w:spacing w:before="40" w:after="40"/>
              <w:ind w:left="40" w:right="40"/>
              <w:jc w:val="center"/>
            </w:pPr>
          </w:p>
        </w:tc>
        <w:tc>
          <w:tcPr>
            <w:tcW w:w="555" w:type="pct"/>
            <w:vMerge w:val="restart"/>
            <w:shd w:val="clear" w:color="auto" w:fill="FFFFFF"/>
            <w:tcMar>
              <w:top w:w="0" w:type="dxa"/>
              <w:left w:w="0" w:type="dxa"/>
              <w:bottom w:w="0" w:type="dxa"/>
              <w:right w:w="0" w:type="dxa"/>
            </w:tcMar>
            <w:vAlign w:val="center"/>
            <w:hideMark/>
          </w:tcPr>
          <w:p w14:paraId="4CFF04FD"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3F784172"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3F104C03" w14:textId="77777777" w:rsidR="001C19F3" w:rsidRDefault="001C19F3" w:rsidP="00521305">
            <w:pPr>
              <w:spacing w:before="40" w:after="40"/>
              <w:ind w:left="160" w:right="40"/>
            </w:pPr>
            <w:r>
              <w:rPr>
                <w:rFonts w:cs="Century Gothic"/>
                <w:color w:val="000000"/>
                <w:sz w:val="18"/>
                <w:szCs w:val="18"/>
              </w:rPr>
              <w:t>Medium (risk score 11 to 23)</w:t>
            </w:r>
          </w:p>
        </w:tc>
        <w:tc>
          <w:tcPr>
            <w:tcW w:w="818" w:type="pct"/>
            <w:shd w:val="clear" w:color="auto" w:fill="FFFFFF"/>
            <w:tcMar>
              <w:top w:w="0" w:type="dxa"/>
              <w:left w:w="0" w:type="dxa"/>
              <w:bottom w:w="0" w:type="dxa"/>
              <w:right w:w="0" w:type="dxa"/>
            </w:tcMar>
            <w:vAlign w:val="center"/>
            <w:hideMark/>
          </w:tcPr>
          <w:p w14:paraId="6F40EC39" w14:textId="77777777" w:rsidR="001C19F3" w:rsidRDefault="001C19F3" w:rsidP="00521305">
            <w:pPr>
              <w:spacing w:before="40" w:after="40"/>
              <w:ind w:left="40" w:right="40"/>
              <w:jc w:val="center"/>
            </w:pPr>
            <w:r>
              <w:rPr>
                <w:rFonts w:cs="Century Gothic"/>
                <w:color w:val="000000"/>
                <w:sz w:val="18"/>
                <w:szCs w:val="18"/>
              </w:rPr>
              <w:t>6,926 (55.6%)</w:t>
            </w:r>
          </w:p>
        </w:tc>
        <w:tc>
          <w:tcPr>
            <w:tcW w:w="800" w:type="pct"/>
            <w:shd w:val="clear" w:color="auto" w:fill="FFFFFF"/>
            <w:tcMar>
              <w:top w:w="0" w:type="dxa"/>
              <w:left w:w="0" w:type="dxa"/>
              <w:bottom w:w="0" w:type="dxa"/>
              <w:right w:w="0" w:type="dxa"/>
            </w:tcMar>
            <w:vAlign w:val="center"/>
            <w:hideMark/>
          </w:tcPr>
          <w:p w14:paraId="28B33E72" w14:textId="77777777" w:rsidR="001C19F3" w:rsidRDefault="001C19F3" w:rsidP="00521305">
            <w:pPr>
              <w:spacing w:before="40" w:after="40"/>
              <w:ind w:left="40" w:right="40"/>
              <w:jc w:val="center"/>
            </w:pPr>
            <w:r>
              <w:rPr>
                <w:rFonts w:cs="Century Gothic"/>
                <w:color w:val="000000"/>
                <w:sz w:val="18"/>
                <w:szCs w:val="18"/>
              </w:rPr>
              <w:t>792 (35.0%)</w:t>
            </w:r>
          </w:p>
        </w:tc>
        <w:tc>
          <w:tcPr>
            <w:tcW w:w="674" w:type="pct"/>
            <w:shd w:val="clear" w:color="auto" w:fill="FFFFFF"/>
            <w:tcMar>
              <w:top w:w="0" w:type="dxa"/>
              <w:left w:w="0" w:type="dxa"/>
              <w:bottom w:w="0" w:type="dxa"/>
              <w:right w:w="0" w:type="dxa"/>
            </w:tcMar>
            <w:vAlign w:val="center"/>
            <w:hideMark/>
          </w:tcPr>
          <w:p w14:paraId="7F6F5914" w14:textId="77777777" w:rsidR="001C19F3" w:rsidRDefault="001C19F3" w:rsidP="00521305">
            <w:pPr>
              <w:spacing w:before="40" w:after="40"/>
              <w:ind w:left="40" w:right="40"/>
              <w:jc w:val="center"/>
            </w:pPr>
            <w:r>
              <w:rPr>
                <w:rFonts w:cs="Century Gothic"/>
                <w:color w:val="000000"/>
                <w:sz w:val="18"/>
                <w:szCs w:val="18"/>
              </w:rPr>
              <w:t>6,134 (100.0%)</w:t>
            </w:r>
          </w:p>
        </w:tc>
        <w:tc>
          <w:tcPr>
            <w:tcW w:w="674" w:type="pct"/>
            <w:shd w:val="clear" w:color="auto" w:fill="FFFFFF"/>
            <w:tcMar>
              <w:top w:w="0" w:type="dxa"/>
              <w:left w:w="0" w:type="dxa"/>
              <w:bottom w:w="0" w:type="dxa"/>
              <w:right w:w="0" w:type="dxa"/>
            </w:tcMar>
            <w:vAlign w:val="center"/>
          </w:tcPr>
          <w:p w14:paraId="6DB940E9" w14:textId="77777777" w:rsidR="001C19F3" w:rsidRDefault="001C19F3" w:rsidP="00521305">
            <w:pPr>
              <w:spacing w:before="40" w:after="40"/>
              <w:ind w:left="40" w:right="40"/>
              <w:jc w:val="center"/>
            </w:pPr>
          </w:p>
        </w:tc>
        <w:tc>
          <w:tcPr>
            <w:tcW w:w="555" w:type="pct"/>
            <w:vMerge/>
            <w:vAlign w:val="center"/>
            <w:hideMark/>
          </w:tcPr>
          <w:p w14:paraId="76FC132B" w14:textId="77777777" w:rsidR="001C19F3" w:rsidRDefault="001C19F3" w:rsidP="00521305">
            <w:pPr>
              <w:spacing w:after="0"/>
              <w:rPr>
                <w:sz w:val="22"/>
              </w:rPr>
            </w:pPr>
          </w:p>
        </w:tc>
      </w:tr>
      <w:tr w:rsidR="001C19F3" w14:paraId="66B293DC"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037390C1" w14:textId="77777777" w:rsidR="001C19F3" w:rsidRDefault="001C19F3" w:rsidP="00521305">
            <w:pPr>
              <w:spacing w:before="40" w:after="40"/>
              <w:ind w:left="160" w:right="40"/>
            </w:pPr>
            <w:r>
              <w:rPr>
                <w:rFonts w:cs="Century Gothic"/>
                <w:color w:val="000000"/>
                <w:sz w:val="18"/>
                <w:szCs w:val="18"/>
              </w:rPr>
              <w:t>High (risk score 24 to 38)</w:t>
            </w:r>
          </w:p>
        </w:tc>
        <w:tc>
          <w:tcPr>
            <w:tcW w:w="818" w:type="pct"/>
            <w:shd w:val="clear" w:color="auto" w:fill="FFFFFF"/>
            <w:tcMar>
              <w:top w:w="0" w:type="dxa"/>
              <w:left w:w="0" w:type="dxa"/>
              <w:bottom w:w="0" w:type="dxa"/>
              <w:right w:w="0" w:type="dxa"/>
            </w:tcMar>
            <w:vAlign w:val="center"/>
            <w:hideMark/>
          </w:tcPr>
          <w:p w14:paraId="0384E388" w14:textId="77777777" w:rsidR="001C19F3" w:rsidRDefault="001C19F3" w:rsidP="00521305">
            <w:pPr>
              <w:spacing w:before="40" w:after="40"/>
              <w:ind w:left="40" w:right="40"/>
              <w:jc w:val="center"/>
            </w:pPr>
            <w:r>
              <w:rPr>
                <w:rFonts w:cs="Century Gothic"/>
                <w:color w:val="000000"/>
                <w:sz w:val="18"/>
                <w:szCs w:val="18"/>
              </w:rPr>
              <w:t>4,011 (32.2%)</w:t>
            </w:r>
          </w:p>
        </w:tc>
        <w:tc>
          <w:tcPr>
            <w:tcW w:w="800" w:type="pct"/>
            <w:shd w:val="clear" w:color="auto" w:fill="FFFFFF"/>
            <w:tcMar>
              <w:top w:w="0" w:type="dxa"/>
              <w:left w:w="0" w:type="dxa"/>
              <w:bottom w:w="0" w:type="dxa"/>
              <w:right w:w="0" w:type="dxa"/>
            </w:tcMar>
            <w:vAlign w:val="center"/>
          </w:tcPr>
          <w:p w14:paraId="1C197A5A" w14:textId="77777777" w:rsidR="001C19F3" w:rsidRDefault="001C19F3" w:rsidP="00521305">
            <w:pPr>
              <w:spacing w:before="40" w:after="40"/>
              <w:ind w:left="40" w:right="40"/>
              <w:jc w:val="center"/>
            </w:pPr>
          </w:p>
        </w:tc>
        <w:tc>
          <w:tcPr>
            <w:tcW w:w="674" w:type="pct"/>
            <w:shd w:val="clear" w:color="auto" w:fill="FFFFFF"/>
            <w:tcMar>
              <w:top w:w="0" w:type="dxa"/>
              <w:left w:w="0" w:type="dxa"/>
              <w:bottom w:w="0" w:type="dxa"/>
              <w:right w:w="0" w:type="dxa"/>
            </w:tcMar>
            <w:vAlign w:val="center"/>
          </w:tcPr>
          <w:p w14:paraId="18778D0A" w14:textId="77777777" w:rsidR="001C19F3" w:rsidRDefault="001C19F3" w:rsidP="00521305">
            <w:pPr>
              <w:spacing w:before="40" w:after="40"/>
              <w:ind w:left="40" w:right="40"/>
              <w:jc w:val="center"/>
            </w:pPr>
          </w:p>
        </w:tc>
        <w:tc>
          <w:tcPr>
            <w:tcW w:w="674" w:type="pct"/>
            <w:shd w:val="clear" w:color="auto" w:fill="FFFFFF"/>
            <w:tcMar>
              <w:top w:w="0" w:type="dxa"/>
              <w:left w:w="0" w:type="dxa"/>
              <w:bottom w:w="0" w:type="dxa"/>
              <w:right w:w="0" w:type="dxa"/>
            </w:tcMar>
            <w:vAlign w:val="center"/>
            <w:hideMark/>
          </w:tcPr>
          <w:p w14:paraId="3D6A70E8" w14:textId="77777777" w:rsidR="001C19F3" w:rsidRDefault="001C19F3" w:rsidP="00521305">
            <w:pPr>
              <w:spacing w:before="40" w:after="40"/>
              <w:ind w:left="40" w:right="40"/>
              <w:jc w:val="center"/>
            </w:pPr>
            <w:r>
              <w:rPr>
                <w:rFonts w:cs="Century Gothic"/>
                <w:color w:val="000000"/>
                <w:sz w:val="18"/>
                <w:szCs w:val="18"/>
              </w:rPr>
              <w:t>4,011 (99.0%)</w:t>
            </w:r>
          </w:p>
        </w:tc>
        <w:tc>
          <w:tcPr>
            <w:tcW w:w="555" w:type="pct"/>
            <w:vMerge/>
            <w:vAlign w:val="center"/>
            <w:hideMark/>
          </w:tcPr>
          <w:p w14:paraId="377A3791" w14:textId="77777777" w:rsidR="001C19F3" w:rsidRDefault="001C19F3" w:rsidP="00521305">
            <w:pPr>
              <w:spacing w:after="0"/>
              <w:rPr>
                <w:sz w:val="22"/>
              </w:rPr>
            </w:pPr>
          </w:p>
        </w:tc>
      </w:tr>
      <w:tr w:rsidR="001C19F3" w14:paraId="525A046B"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6BDF451F" w14:textId="77777777" w:rsidR="001C19F3" w:rsidRDefault="001C19F3" w:rsidP="00521305">
            <w:pPr>
              <w:spacing w:before="40" w:after="40"/>
              <w:ind w:left="160" w:right="40"/>
            </w:pPr>
            <w:r>
              <w:rPr>
                <w:rFonts w:cs="Century Gothic"/>
                <w:color w:val="000000"/>
                <w:sz w:val="18"/>
                <w:szCs w:val="18"/>
              </w:rPr>
              <w:t>Urgent (risk score 39 to 49)</w:t>
            </w:r>
          </w:p>
        </w:tc>
        <w:tc>
          <w:tcPr>
            <w:tcW w:w="818" w:type="pct"/>
            <w:shd w:val="clear" w:color="auto" w:fill="FFFFFF"/>
            <w:tcMar>
              <w:top w:w="0" w:type="dxa"/>
              <w:left w:w="0" w:type="dxa"/>
              <w:bottom w:w="0" w:type="dxa"/>
              <w:right w:w="0" w:type="dxa"/>
            </w:tcMar>
            <w:vAlign w:val="center"/>
            <w:hideMark/>
          </w:tcPr>
          <w:p w14:paraId="6F6BAD2C" w14:textId="77777777" w:rsidR="001C19F3" w:rsidRDefault="001C19F3" w:rsidP="00521305">
            <w:pPr>
              <w:spacing w:before="40" w:after="40"/>
              <w:ind w:left="40" w:right="40"/>
              <w:jc w:val="center"/>
            </w:pPr>
            <w:r>
              <w:rPr>
                <w:rFonts w:cs="Century Gothic"/>
                <w:color w:val="000000"/>
                <w:sz w:val="18"/>
                <w:szCs w:val="18"/>
              </w:rPr>
              <w:t>41 (0.3%)</w:t>
            </w:r>
          </w:p>
        </w:tc>
        <w:tc>
          <w:tcPr>
            <w:tcW w:w="800" w:type="pct"/>
            <w:shd w:val="clear" w:color="auto" w:fill="FFFFFF"/>
            <w:tcMar>
              <w:top w:w="0" w:type="dxa"/>
              <w:left w:w="0" w:type="dxa"/>
              <w:bottom w:w="0" w:type="dxa"/>
              <w:right w:w="0" w:type="dxa"/>
            </w:tcMar>
            <w:vAlign w:val="center"/>
          </w:tcPr>
          <w:p w14:paraId="10DF5504" w14:textId="77777777" w:rsidR="001C19F3" w:rsidRDefault="001C19F3" w:rsidP="00521305">
            <w:pPr>
              <w:spacing w:before="40" w:after="40"/>
              <w:ind w:left="40" w:right="40"/>
              <w:jc w:val="center"/>
            </w:pPr>
          </w:p>
        </w:tc>
        <w:tc>
          <w:tcPr>
            <w:tcW w:w="674" w:type="pct"/>
            <w:shd w:val="clear" w:color="auto" w:fill="FFFFFF"/>
            <w:tcMar>
              <w:top w:w="0" w:type="dxa"/>
              <w:left w:w="0" w:type="dxa"/>
              <w:bottom w:w="0" w:type="dxa"/>
              <w:right w:w="0" w:type="dxa"/>
            </w:tcMar>
            <w:vAlign w:val="center"/>
          </w:tcPr>
          <w:p w14:paraId="62CD40CF" w14:textId="77777777" w:rsidR="001C19F3" w:rsidRDefault="001C19F3" w:rsidP="00521305">
            <w:pPr>
              <w:spacing w:before="40" w:after="40"/>
              <w:ind w:left="40" w:right="40"/>
              <w:jc w:val="center"/>
            </w:pPr>
          </w:p>
        </w:tc>
        <w:tc>
          <w:tcPr>
            <w:tcW w:w="674" w:type="pct"/>
            <w:shd w:val="clear" w:color="auto" w:fill="FFFFFF"/>
            <w:tcMar>
              <w:top w:w="0" w:type="dxa"/>
              <w:left w:w="0" w:type="dxa"/>
              <w:bottom w:w="0" w:type="dxa"/>
              <w:right w:w="0" w:type="dxa"/>
            </w:tcMar>
            <w:vAlign w:val="center"/>
            <w:hideMark/>
          </w:tcPr>
          <w:p w14:paraId="773C348A" w14:textId="77777777" w:rsidR="001C19F3" w:rsidRDefault="001C19F3" w:rsidP="00521305">
            <w:pPr>
              <w:spacing w:before="40" w:after="40"/>
              <w:ind w:left="40" w:right="40"/>
              <w:jc w:val="center"/>
            </w:pPr>
            <w:r>
              <w:rPr>
                <w:rFonts w:cs="Century Gothic"/>
                <w:color w:val="000000"/>
                <w:sz w:val="18"/>
                <w:szCs w:val="18"/>
              </w:rPr>
              <w:t>41 (1.0%)</w:t>
            </w:r>
          </w:p>
        </w:tc>
        <w:tc>
          <w:tcPr>
            <w:tcW w:w="555" w:type="pct"/>
            <w:vMerge/>
            <w:vAlign w:val="center"/>
            <w:hideMark/>
          </w:tcPr>
          <w:p w14:paraId="5BB88F30" w14:textId="77777777" w:rsidR="001C19F3" w:rsidRDefault="001C19F3" w:rsidP="00521305">
            <w:pPr>
              <w:spacing w:after="0"/>
              <w:rPr>
                <w:sz w:val="22"/>
              </w:rPr>
            </w:pPr>
          </w:p>
        </w:tc>
      </w:tr>
      <w:tr w:rsidR="001C19F3" w14:paraId="5BBE88A7"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hideMark/>
          </w:tcPr>
          <w:p w14:paraId="626870DC" w14:textId="77777777" w:rsidR="001C19F3" w:rsidRDefault="001C19F3" w:rsidP="00521305">
            <w:pPr>
              <w:spacing w:before="40" w:after="40"/>
              <w:ind w:left="40" w:right="40"/>
            </w:pPr>
            <w:r>
              <w:rPr>
                <w:rFonts w:cs="Century Gothic"/>
                <w:b/>
                <w:color w:val="000000"/>
                <w:sz w:val="18"/>
                <w:szCs w:val="18"/>
              </w:rPr>
              <w:t>Readiness to change assessment</w:t>
            </w:r>
          </w:p>
        </w:tc>
      </w:tr>
      <w:tr w:rsidR="001C19F3" w14:paraId="40C3E425"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378D5B9D" w14:textId="77777777" w:rsidR="001C19F3" w:rsidRDefault="001C19F3" w:rsidP="00521305">
            <w:pPr>
              <w:spacing w:before="40" w:after="40"/>
              <w:ind w:left="160" w:right="40"/>
            </w:pPr>
            <w:r>
              <w:rPr>
                <w:rFonts w:cs="Century Gothic"/>
                <w:color w:val="000000"/>
                <w:sz w:val="18"/>
                <w:szCs w:val="18"/>
              </w:rPr>
              <w:t>0: Relapse</w:t>
            </w:r>
          </w:p>
        </w:tc>
        <w:tc>
          <w:tcPr>
            <w:tcW w:w="818" w:type="pct"/>
            <w:shd w:val="clear" w:color="auto" w:fill="FFFFFF"/>
            <w:tcMar>
              <w:top w:w="0" w:type="dxa"/>
              <w:left w:w="0" w:type="dxa"/>
              <w:bottom w:w="0" w:type="dxa"/>
              <w:right w:w="0" w:type="dxa"/>
            </w:tcMar>
            <w:vAlign w:val="center"/>
            <w:hideMark/>
          </w:tcPr>
          <w:p w14:paraId="450073EC" w14:textId="77777777" w:rsidR="001C19F3" w:rsidRDefault="001C19F3" w:rsidP="00521305">
            <w:pPr>
              <w:spacing w:before="40" w:after="40"/>
              <w:ind w:left="40" w:right="40"/>
              <w:jc w:val="center"/>
            </w:pPr>
            <w:r>
              <w:rPr>
                <w:rFonts w:cs="Century Gothic"/>
                <w:color w:val="000000"/>
                <w:sz w:val="18"/>
                <w:szCs w:val="18"/>
              </w:rPr>
              <w:t>131 (1.1%)</w:t>
            </w:r>
          </w:p>
        </w:tc>
        <w:tc>
          <w:tcPr>
            <w:tcW w:w="800" w:type="pct"/>
            <w:shd w:val="clear" w:color="auto" w:fill="FFFFFF"/>
            <w:tcMar>
              <w:top w:w="0" w:type="dxa"/>
              <w:left w:w="0" w:type="dxa"/>
              <w:bottom w:w="0" w:type="dxa"/>
              <w:right w:w="0" w:type="dxa"/>
            </w:tcMar>
            <w:vAlign w:val="center"/>
            <w:hideMark/>
          </w:tcPr>
          <w:p w14:paraId="3D6BEF10" w14:textId="77777777" w:rsidR="001C19F3" w:rsidRDefault="001C19F3" w:rsidP="00521305">
            <w:pPr>
              <w:spacing w:before="40" w:after="40"/>
              <w:ind w:left="40" w:right="40"/>
              <w:jc w:val="center"/>
            </w:pPr>
            <w:r>
              <w:rPr>
                <w:rFonts w:cs="Century Gothic"/>
                <w:color w:val="000000"/>
                <w:sz w:val="18"/>
                <w:szCs w:val="18"/>
              </w:rPr>
              <w:t>5 (0.2%)</w:t>
            </w:r>
          </w:p>
        </w:tc>
        <w:tc>
          <w:tcPr>
            <w:tcW w:w="674" w:type="pct"/>
            <w:shd w:val="clear" w:color="auto" w:fill="FFFFFF"/>
            <w:tcMar>
              <w:top w:w="0" w:type="dxa"/>
              <w:left w:w="0" w:type="dxa"/>
              <w:bottom w:w="0" w:type="dxa"/>
              <w:right w:w="0" w:type="dxa"/>
            </w:tcMar>
            <w:vAlign w:val="center"/>
            <w:hideMark/>
          </w:tcPr>
          <w:p w14:paraId="70BF19D8" w14:textId="77777777" w:rsidR="001C19F3" w:rsidRDefault="001C19F3" w:rsidP="00521305">
            <w:pPr>
              <w:spacing w:before="40" w:after="40"/>
              <w:ind w:left="40" w:right="40"/>
              <w:jc w:val="center"/>
            </w:pPr>
            <w:r>
              <w:rPr>
                <w:rFonts w:cs="Century Gothic"/>
                <w:color w:val="000000"/>
                <w:sz w:val="18"/>
                <w:szCs w:val="18"/>
              </w:rPr>
              <w:t>44 (0.7%)</w:t>
            </w:r>
          </w:p>
        </w:tc>
        <w:tc>
          <w:tcPr>
            <w:tcW w:w="674" w:type="pct"/>
            <w:shd w:val="clear" w:color="auto" w:fill="FFFFFF"/>
            <w:tcMar>
              <w:top w:w="0" w:type="dxa"/>
              <w:left w:w="0" w:type="dxa"/>
              <w:bottom w:w="0" w:type="dxa"/>
              <w:right w:w="0" w:type="dxa"/>
            </w:tcMar>
            <w:vAlign w:val="center"/>
            <w:hideMark/>
          </w:tcPr>
          <w:p w14:paraId="6E4F55EC" w14:textId="77777777" w:rsidR="001C19F3" w:rsidRDefault="001C19F3" w:rsidP="00521305">
            <w:pPr>
              <w:spacing w:before="40" w:after="40"/>
              <w:ind w:left="40" w:right="40"/>
              <w:jc w:val="center"/>
            </w:pPr>
            <w:r>
              <w:rPr>
                <w:rFonts w:cs="Century Gothic"/>
                <w:color w:val="000000"/>
                <w:sz w:val="18"/>
                <w:szCs w:val="18"/>
              </w:rPr>
              <w:t>82 (2.0%)</w:t>
            </w:r>
          </w:p>
        </w:tc>
        <w:tc>
          <w:tcPr>
            <w:tcW w:w="555" w:type="pct"/>
            <w:vMerge w:val="restart"/>
            <w:shd w:val="clear" w:color="auto" w:fill="FFFFFF"/>
            <w:tcMar>
              <w:top w:w="0" w:type="dxa"/>
              <w:left w:w="0" w:type="dxa"/>
              <w:bottom w:w="0" w:type="dxa"/>
              <w:right w:w="0" w:type="dxa"/>
            </w:tcMar>
            <w:vAlign w:val="center"/>
            <w:hideMark/>
          </w:tcPr>
          <w:p w14:paraId="74A032A5"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17FE0F99"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36143130" w14:textId="77777777" w:rsidR="001C19F3" w:rsidRDefault="001C19F3" w:rsidP="00521305">
            <w:pPr>
              <w:spacing w:before="40" w:after="40"/>
              <w:ind w:left="160" w:right="40"/>
            </w:pPr>
            <w:r>
              <w:rPr>
                <w:rFonts w:cs="Century Gothic"/>
                <w:color w:val="000000"/>
                <w:sz w:val="18"/>
                <w:szCs w:val="18"/>
              </w:rPr>
              <w:t>1: Maintenance</w:t>
            </w:r>
          </w:p>
        </w:tc>
        <w:tc>
          <w:tcPr>
            <w:tcW w:w="818" w:type="pct"/>
            <w:shd w:val="clear" w:color="auto" w:fill="FFFFFF"/>
            <w:tcMar>
              <w:top w:w="0" w:type="dxa"/>
              <w:left w:w="0" w:type="dxa"/>
              <w:bottom w:w="0" w:type="dxa"/>
              <w:right w:w="0" w:type="dxa"/>
            </w:tcMar>
            <w:vAlign w:val="center"/>
            <w:hideMark/>
          </w:tcPr>
          <w:p w14:paraId="3FAFDECC" w14:textId="77777777" w:rsidR="001C19F3" w:rsidRDefault="001C19F3" w:rsidP="00521305">
            <w:pPr>
              <w:spacing w:before="40" w:after="40"/>
              <w:ind w:left="40" w:right="40"/>
              <w:jc w:val="center"/>
            </w:pPr>
            <w:r>
              <w:rPr>
                <w:rFonts w:cs="Century Gothic"/>
                <w:color w:val="000000"/>
                <w:sz w:val="18"/>
                <w:szCs w:val="18"/>
              </w:rPr>
              <w:t>2,621 (21.1%)</w:t>
            </w:r>
          </w:p>
        </w:tc>
        <w:tc>
          <w:tcPr>
            <w:tcW w:w="800" w:type="pct"/>
            <w:shd w:val="clear" w:color="auto" w:fill="FFFFFF"/>
            <w:tcMar>
              <w:top w:w="0" w:type="dxa"/>
              <w:left w:w="0" w:type="dxa"/>
              <w:bottom w:w="0" w:type="dxa"/>
              <w:right w:w="0" w:type="dxa"/>
            </w:tcMar>
            <w:vAlign w:val="center"/>
            <w:hideMark/>
          </w:tcPr>
          <w:p w14:paraId="59030236" w14:textId="77777777" w:rsidR="001C19F3" w:rsidRDefault="001C19F3" w:rsidP="00521305">
            <w:pPr>
              <w:spacing w:before="40" w:after="40"/>
              <w:ind w:left="40" w:right="40"/>
              <w:jc w:val="center"/>
            </w:pPr>
            <w:r>
              <w:rPr>
                <w:rFonts w:cs="Century Gothic"/>
                <w:color w:val="000000"/>
                <w:sz w:val="18"/>
                <w:szCs w:val="18"/>
              </w:rPr>
              <w:t>857 (37.9%)</w:t>
            </w:r>
          </w:p>
        </w:tc>
        <w:tc>
          <w:tcPr>
            <w:tcW w:w="674" w:type="pct"/>
            <w:shd w:val="clear" w:color="auto" w:fill="FFFFFF"/>
            <w:tcMar>
              <w:top w:w="0" w:type="dxa"/>
              <w:left w:w="0" w:type="dxa"/>
              <w:bottom w:w="0" w:type="dxa"/>
              <w:right w:w="0" w:type="dxa"/>
            </w:tcMar>
            <w:vAlign w:val="center"/>
            <w:hideMark/>
          </w:tcPr>
          <w:p w14:paraId="6378C41B" w14:textId="77777777" w:rsidR="001C19F3" w:rsidRDefault="001C19F3" w:rsidP="00521305">
            <w:pPr>
              <w:spacing w:before="40" w:after="40"/>
              <w:ind w:left="40" w:right="40"/>
              <w:jc w:val="center"/>
            </w:pPr>
            <w:r>
              <w:rPr>
                <w:rFonts w:cs="Century Gothic"/>
                <w:color w:val="000000"/>
                <w:sz w:val="18"/>
                <w:szCs w:val="18"/>
              </w:rPr>
              <w:t>1,375 (22.4%)</w:t>
            </w:r>
          </w:p>
        </w:tc>
        <w:tc>
          <w:tcPr>
            <w:tcW w:w="674" w:type="pct"/>
            <w:shd w:val="clear" w:color="auto" w:fill="FFFFFF"/>
            <w:tcMar>
              <w:top w:w="0" w:type="dxa"/>
              <w:left w:w="0" w:type="dxa"/>
              <w:bottom w:w="0" w:type="dxa"/>
              <w:right w:w="0" w:type="dxa"/>
            </w:tcMar>
            <w:vAlign w:val="center"/>
            <w:hideMark/>
          </w:tcPr>
          <w:p w14:paraId="2B082EA1" w14:textId="77777777" w:rsidR="001C19F3" w:rsidRDefault="001C19F3" w:rsidP="00521305">
            <w:pPr>
              <w:spacing w:before="40" w:after="40"/>
              <w:ind w:left="40" w:right="40"/>
              <w:jc w:val="center"/>
            </w:pPr>
            <w:r>
              <w:rPr>
                <w:rFonts w:cs="Century Gothic"/>
                <w:color w:val="000000"/>
                <w:sz w:val="18"/>
                <w:szCs w:val="18"/>
              </w:rPr>
              <w:t>389 (9.6%)</w:t>
            </w:r>
          </w:p>
        </w:tc>
        <w:tc>
          <w:tcPr>
            <w:tcW w:w="555" w:type="pct"/>
            <w:vMerge/>
            <w:vAlign w:val="center"/>
            <w:hideMark/>
          </w:tcPr>
          <w:p w14:paraId="73F1A2C3" w14:textId="77777777" w:rsidR="001C19F3" w:rsidRDefault="001C19F3" w:rsidP="00521305">
            <w:pPr>
              <w:spacing w:after="0"/>
              <w:rPr>
                <w:sz w:val="22"/>
              </w:rPr>
            </w:pPr>
          </w:p>
        </w:tc>
      </w:tr>
      <w:tr w:rsidR="001C19F3" w14:paraId="006BD001"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08A924B2" w14:textId="77777777" w:rsidR="001C19F3" w:rsidRDefault="001C19F3" w:rsidP="00521305">
            <w:pPr>
              <w:spacing w:before="40" w:after="40"/>
              <w:ind w:left="160" w:right="40"/>
            </w:pPr>
            <w:r>
              <w:rPr>
                <w:rFonts w:cs="Century Gothic"/>
                <w:color w:val="000000"/>
                <w:sz w:val="18"/>
                <w:szCs w:val="18"/>
              </w:rPr>
              <w:t>2: Action</w:t>
            </w:r>
          </w:p>
        </w:tc>
        <w:tc>
          <w:tcPr>
            <w:tcW w:w="818" w:type="pct"/>
            <w:shd w:val="clear" w:color="auto" w:fill="FFFFFF"/>
            <w:tcMar>
              <w:top w:w="0" w:type="dxa"/>
              <w:left w:w="0" w:type="dxa"/>
              <w:bottom w:w="0" w:type="dxa"/>
              <w:right w:w="0" w:type="dxa"/>
            </w:tcMar>
            <w:vAlign w:val="center"/>
            <w:hideMark/>
          </w:tcPr>
          <w:p w14:paraId="5BF17869" w14:textId="77777777" w:rsidR="001C19F3" w:rsidRDefault="001C19F3" w:rsidP="00521305">
            <w:pPr>
              <w:spacing w:before="40" w:after="40"/>
              <w:ind w:left="40" w:right="40"/>
              <w:jc w:val="center"/>
            </w:pPr>
            <w:r>
              <w:rPr>
                <w:rFonts w:cs="Century Gothic"/>
                <w:color w:val="000000"/>
                <w:sz w:val="18"/>
                <w:szCs w:val="18"/>
              </w:rPr>
              <w:t>2,401 (19.3%)</w:t>
            </w:r>
          </w:p>
        </w:tc>
        <w:tc>
          <w:tcPr>
            <w:tcW w:w="800" w:type="pct"/>
            <w:shd w:val="clear" w:color="auto" w:fill="FFFFFF"/>
            <w:tcMar>
              <w:top w:w="0" w:type="dxa"/>
              <w:left w:w="0" w:type="dxa"/>
              <w:bottom w:w="0" w:type="dxa"/>
              <w:right w:w="0" w:type="dxa"/>
            </w:tcMar>
            <w:vAlign w:val="center"/>
            <w:hideMark/>
          </w:tcPr>
          <w:p w14:paraId="59A53361" w14:textId="77777777" w:rsidR="001C19F3" w:rsidRDefault="001C19F3" w:rsidP="00521305">
            <w:pPr>
              <w:spacing w:before="40" w:after="40"/>
              <w:ind w:left="40" w:right="40"/>
              <w:jc w:val="center"/>
            </w:pPr>
            <w:r>
              <w:rPr>
                <w:rFonts w:cs="Century Gothic"/>
                <w:color w:val="000000"/>
                <w:sz w:val="18"/>
                <w:szCs w:val="18"/>
              </w:rPr>
              <w:t>588 (26.0%)</w:t>
            </w:r>
          </w:p>
        </w:tc>
        <w:tc>
          <w:tcPr>
            <w:tcW w:w="674" w:type="pct"/>
            <w:shd w:val="clear" w:color="auto" w:fill="FFFFFF"/>
            <w:tcMar>
              <w:top w:w="0" w:type="dxa"/>
              <w:left w:w="0" w:type="dxa"/>
              <w:bottom w:w="0" w:type="dxa"/>
              <w:right w:w="0" w:type="dxa"/>
            </w:tcMar>
            <w:vAlign w:val="center"/>
            <w:hideMark/>
          </w:tcPr>
          <w:p w14:paraId="31B0E4E9" w14:textId="77777777" w:rsidR="001C19F3" w:rsidRDefault="001C19F3" w:rsidP="00521305">
            <w:pPr>
              <w:spacing w:before="40" w:after="40"/>
              <w:ind w:left="40" w:right="40"/>
              <w:jc w:val="center"/>
            </w:pPr>
            <w:r>
              <w:rPr>
                <w:rFonts w:cs="Century Gothic"/>
                <w:color w:val="000000"/>
                <w:sz w:val="18"/>
                <w:szCs w:val="18"/>
              </w:rPr>
              <w:t>1,137 (18.5%)</w:t>
            </w:r>
          </w:p>
        </w:tc>
        <w:tc>
          <w:tcPr>
            <w:tcW w:w="674" w:type="pct"/>
            <w:shd w:val="clear" w:color="auto" w:fill="FFFFFF"/>
            <w:tcMar>
              <w:top w:w="0" w:type="dxa"/>
              <w:left w:w="0" w:type="dxa"/>
              <w:bottom w:w="0" w:type="dxa"/>
              <w:right w:w="0" w:type="dxa"/>
            </w:tcMar>
            <w:vAlign w:val="center"/>
            <w:hideMark/>
          </w:tcPr>
          <w:p w14:paraId="6A4A7BDC" w14:textId="77777777" w:rsidR="001C19F3" w:rsidRDefault="001C19F3" w:rsidP="00521305">
            <w:pPr>
              <w:spacing w:before="40" w:after="40"/>
              <w:ind w:left="40" w:right="40"/>
              <w:jc w:val="center"/>
            </w:pPr>
            <w:r>
              <w:rPr>
                <w:rFonts w:cs="Century Gothic"/>
                <w:color w:val="000000"/>
                <w:sz w:val="18"/>
                <w:szCs w:val="18"/>
              </w:rPr>
              <w:t>676 (16.7%)</w:t>
            </w:r>
          </w:p>
        </w:tc>
        <w:tc>
          <w:tcPr>
            <w:tcW w:w="555" w:type="pct"/>
            <w:vMerge/>
            <w:vAlign w:val="center"/>
            <w:hideMark/>
          </w:tcPr>
          <w:p w14:paraId="467E901F" w14:textId="77777777" w:rsidR="001C19F3" w:rsidRDefault="001C19F3" w:rsidP="00521305">
            <w:pPr>
              <w:spacing w:after="0"/>
              <w:rPr>
                <w:sz w:val="22"/>
              </w:rPr>
            </w:pPr>
          </w:p>
        </w:tc>
      </w:tr>
      <w:tr w:rsidR="001C19F3" w14:paraId="5CDA5346"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43176891" w14:textId="77777777" w:rsidR="001C19F3" w:rsidRDefault="001C19F3" w:rsidP="00521305">
            <w:pPr>
              <w:spacing w:before="40" w:after="40"/>
              <w:ind w:left="160" w:right="40"/>
            </w:pPr>
            <w:r>
              <w:rPr>
                <w:rFonts w:cs="Century Gothic"/>
                <w:color w:val="000000"/>
                <w:sz w:val="18"/>
                <w:szCs w:val="18"/>
              </w:rPr>
              <w:t>3: Preparation</w:t>
            </w:r>
          </w:p>
        </w:tc>
        <w:tc>
          <w:tcPr>
            <w:tcW w:w="818" w:type="pct"/>
            <w:shd w:val="clear" w:color="auto" w:fill="FFFFFF"/>
            <w:tcMar>
              <w:top w:w="0" w:type="dxa"/>
              <w:left w:w="0" w:type="dxa"/>
              <w:bottom w:w="0" w:type="dxa"/>
              <w:right w:w="0" w:type="dxa"/>
            </w:tcMar>
            <w:vAlign w:val="center"/>
            <w:hideMark/>
          </w:tcPr>
          <w:p w14:paraId="741350F9" w14:textId="77777777" w:rsidR="001C19F3" w:rsidRDefault="001C19F3" w:rsidP="00521305">
            <w:pPr>
              <w:spacing w:before="40" w:after="40"/>
              <w:ind w:left="40" w:right="40"/>
              <w:jc w:val="center"/>
            </w:pPr>
            <w:r>
              <w:rPr>
                <w:rFonts w:cs="Century Gothic"/>
                <w:color w:val="000000"/>
                <w:sz w:val="18"/>
                <w:szCs w:val="18"/>
              </w:rPr>
              <w:t>2,139 (17.2%)</w:t>
            </w:r>
          </w:p>
        </w:tc>
        <w:tc>
          <w:tcPr>
            <w:tcW w:w="800" w:type="pct"/>
            <w:shd w:val="clear" w:color="auto" w:fill="FFFFFF"/>
            <w:tcMar>
              <w:top w:w="0" w:type="dxa"/>
              <w:left w:w="0" w:type="dxa"/>
              <w:bottom w:w="0" w:type="dxa"/>
              <w:right w:w="0" w:type="dxa"/>
            </w:tcMar>
            <w:vAlign w:val="center"/>
            <w:hideMark/>
          </w:tcPr>
          <w:p w14:paraId="24166502" w14:textId="77777777" w:rsidR="001C19F3" w:rsidRDefault="001C19F3" w:rsidP="00521305">
            <w:pPr>
              <w:spacing w:before="40" w:after="40"/>
              <w:ind w:left="40" w:right="40"/>
              <w:jc w:val="center"/>
            </w:pPr>
            <w:r>
              <w:rPr>
                <w:rFonts w:cs="Century Gothic"/>
                <w:color w:val="000000"/>
                <w:sz w:val="18"/>
                <w:szCs w:val="18"/>
              </w:rPr>
              <w:t>399 (17.6%)</w:t>
            </w:r>
          </w:p>
        </w:tc>
        <w:tc>
          <w:tcPr>
            <w:tcW w:w="674" w:type="pct"/>
            <w:shd w:val="clear" w:color="auto" w:fill="FFFFFF"/>
            <w:tcMar>
              <w:top w:w="0" w:type="dxa"/>
              <w:left w:w="0" w:type="dxa"/>
              <w:bottom w:w="0" w:type="dxa"/>
              <w:right w:w="0" w:type="dxa"/>
            </w:tcMar>
            <w:vAlign w:val="center"/>
            <w:hideMark/>
          </w:tcPr>
          <w:p w14:paraId="0A2DBDA5" w14:textId="77777777" w:rsidR="001C19F3" w:rsidRDefault="001C19F3" w:rsidP="00521305">
            <w:pPr>
              <w:spacing w:before="40" w:after="40"/>
              <w:ind w:left="40" w:right="40"/>
              <w:jc w:val="center"/>
            </w:pPr>
            <w:r>
              <w:rPr>
                <w:rFonts w:cs="Century Gothic"/>
                <w:color w:val="000000"/>
                <w:sz w:val="18"/>
                <w:szCs w:val="18"/>
              </w:rPr>
              <w:t>1,147 (18.7%)</w:t>
            </w:r>
          </w:p>
        </w:tc>
        <w:tc>
          <w:tcPr>
            <w:tcW w:w="674" w:type="pct"/>
            <w:shd w:val="clear" w:color="auto" w:fill="FFFFFF"/>
            <w:tcMar>
              <w:top w:w="0" w:type="dxa"/>
              <w:left w:w="0" w:type="dxa"/>
              <w:bottom w:w="0" w:type="dxa"/>
              <w:right w:w="0" w:type="dxa"/>
            </w:tcMar>
            <w:vAlign w:val="center"/>
            <w:hideMark/>
          </w:tcPr>
          <w:p w14:paraId="17D11419" w14:textId="77777777" w:rsidR="001C19F3" w:rsidRDefault="001C19F3" w:rsidP="00521305">
            <w:pPr>
              <w:spacing w:before="40" w:after="40"/>
              <w:ind w:left="40" w:right="40"/>
              <w:jc w:val="center"/>
            </w:pPr>
            <w:r>
              <w:rPr>
                <w:rFonts w:cs="Century Gothic"/>
                <w:color w:val="000000"/>
                <w:sz w:val="18"/>
                <w:szCs w:val="18"/>
              </w:rPr>
              <w:t>593 (14.6%)</w:t>
            </w:r>
          </w:p>
        </w:tc>
        <w:tc>
          <w:tcPr>
            <w:tcW w:w="555" w:type="pct"/>
            <w:vMerge/>
            <w:vAlign w:val="center"/>
            <w:hideMark/>
          </w:tcPr>
          <w:p w14:paraId="4AFCBC8D" w14:textId="77777777" w:rsidR="001C19F3" w:rsidRDefault="001C19F3" w:rsidP="00521305">
            <w:pPr>
              <w:spacing w:after="0"/>
              <w:rPr>
                <w:sz w:val="22"/>
              </w:rPr>
            </w:pPr>
          </w:p>
        </w:tc>
      </w:tr>
      <w:tr w:rsidR="001C19F3" w14:paraId="3A0D5C63"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3EB98D68" w14:textId="77777777" w:rsidR="001C19F3" w:rsidRDefault="001C19F3" w:rsidP="00521305">
            <w:pPr>
              <w:spacing w:before="40" w:after="40"/>
              <w:ind w:left="160" w:right="40"/>
            </w:pPr>
            <w:r>
              <w:rPr>
                <w:rFonts w:cs="Century Gothic"/>
                <w:color w:val="000000"/>
                <w:sz w:val="18"/>
                <w:szCs w:val="18"/>
              </w:rPr>
              <w:t>4: Contemplation</w:t>
            </w:r>
          </w:p>
        </w:tc>
        <w:tc>
          <w:tcPr>
            <w:tcW w:w="818" w:type="pct"/>
            <w:shd w:val="clear" w:color="auto" w:fill="FFFFFF"/>
            <w:tcMar>
              <w:top w:w="0" w:type="dxa"/>
              <w:left w:w="0" w:type="dxa"/>
              <w:bottom w:w="0" w:type="dxa"/>
              <w:right w:w="0" w:type="dxa"/>
            </w:tcMar>
            <w:vAlign w:val="center"/>
            <w:hideMark/>
          </w:tcPr>
          <w:p w14:paraId="6F72949D" w14:textId="77777777" w:rsidR="001C19F3" w:rsidRDefault="001C19F3" w:rsidP="00521305">
            <w:pPr>
              <w:spacing w:before="40" w:after="40"/>
              <w:ind w:left="40" w:right="40"/>
              <w:jc w:val="center"/>
            </w:pPr>
            <w:r>
              <w:rPr>
                <w:rFonts w:cs="Century Gothic"/>
                <w:color w:val="000000"/>
                <w:sz w:val="18"/>
                <w:szCs w:val="18"/>
              </w:rPr>
              <w:t>2,775 (22.3%)</w:t>
            </w:r>
          </w:p>
        </w:tc>
        <w:tc>
          <w:tcPr>
            <w:tcW w:w="800" w:type="pct"/>
            <w:shd w:val="clear" w:color="auto" w:fill="FFFFFF"/>
            <w:tcMar>
              <w:top w:w="0" w:type="dxa"/>
              <w:left w:w="0" w:type="dxa"/>
              <w:bottom w:w="0" w:type="dxa"/>
              <w:right w:w="0" w:type="dxa"/>
            </w:tcMar>
            <w:vAlign w:val="center"/>
            <w:hideMark/>
          </w:tcPr>
          <w:p w14:paraId="19BC2FF7" w14:textId="77777777" w:rsidR="001C19F3" w:rsidRDefault="001C19F3" w:rsidP="00521305">
            <w:pPr>
              <w:spacing w:before="40" w:after="40"/>
              <w:ind w:left="40" w:right="40"/>
              <w:jc w:val="center"/>
            </w:pPr>
            <w:r>
              <w:rPr>
                <w:rFonts w:cs="Century Gothic"/>
                <w:color w:val="000000"/>
                <w:sz w:val="18"/>
                <w:szCs w:val="18"/>
              </w:rPr>
              <w:t>285 (12.6%)</w:t>
            </w:r>
          </w:p>
        </w:tc>
        <w:tc>
          <w:tcPr>
            <w:tcW w:w="674" w:type="pct"/>
            <w:shd w:val="clear" w:color="auto" w:fill="FFFFFF"/>
            <w:tcMar>
              <w:top w:w="0" w:type="dxa"/>
              <w:left w:w="0" w:type="dxa"/>
              <w:bottom w:w="0" w:type="dxa"/>
              <w:right w:w="0" w:type="dxa"/>
            </w:tcMar>
            <w:vAlign w:val="center"/>
            <w:hideMark/>
          </w:tcPr>
          <w:p w14:paraId="6388E3FB" w14:textId="77777777" w:rsidR="001C19F3" w:rsidRDefault="001C19F3" w:rsidP="00521305">
            <w:pPr>
              <w:spacing w:before="40" w:after="40"/>
              <w:ind w:left="40" w:right="40"/>
              <w:jc w:val="center"/>
            </w:pPr>
            <w:r>
              <w:rPr>
                <w:rFonts w:cs="Century Gothic"/>
                <w:color w:val="000000"/>
                <w:sz w:val="18"/>
                <w:szCs w:val="18"/>
              </w:rPr>
              <w:t>1,493 (24.3%)</w:t>
            </w:r>
          </w:p>
        </w:tc>
        <w:tc>
          <w:tcPr>
            <w:tcW w:w="674" w:type="pct"/>
            <w:shd w:val="clear" w:color="auto" w:fill="FFFFFF"/>
            <w:tcMar>
              <w:top w:w="0" w:type="dxa"/>
              <w:left w:w="0" w:type="dxa"/>
              <w:bottom w:w="0" w:type="dxa"/>
              <w:right w:w="0" w:type="dxa"/>
            </w:tcMar>
            <w:vAlign w:val="center"/>
            <w:hideMark/>
          </w:tcPr>
          <w:p w14:paraId="159EF871" w14:textId="77777777" w:rsidR="001C19F3" w:rsidRDefault="001C19F3" w:rsidP="00521305">
            <w:pPr>
              <w:spacing w:before="40" w:after="40"/>
              <w:ind w:left="40" w:right="40"/>
              <w:jc w:val="center"/>
            </w:pPr>
            <w:r>
              <w:rPr>
                <w:rFonts w:cs="Century Gothic"/>
                <w:color w:val="000000"/>
                <w:sz w:val="18"/>
                <w:szCs w:val="18"/>
              </w:rPr>
              <w:t>997 (24.6%)</w:t>
            </w:r>
          </w:p>
        </w:tc>
        <w:tc>
          <w:tcPr>
            <w:tcW w:w="555" w:type="pct"/>
            <w:vMerge/>
            <w:vAlign w:val="center"/>
            <w:hideMark/>
          </w:tcPr>
          <w:p w14:paraId="0EADBBE1" w14:textId="77777777" w:rsidR="001C19F3" w:rsidRDefault="001C19F3" w:rsidP="00521305">
            <w:pPr>
              <w:spacing w:after="0"/>
              <w:rPr>
                <w:sz w:val="22"/>
              </w:rPr>
            </w:pPr>
          </w:p>
        </w:tc>
      </w:tr>
      <w:tr w:rsidR="001C19F3" w14:paraId="272623B0"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2D9E1DE7" w14:textId="77777777" w:rsidR="001C19F3" w:rsidRDefault="001C19F3" w:rsidP="00521305">
            <w:pPr>
              <w:spacing w:before="40" w:after="40"/>
              <w:ind w:left="160" w:right="40"/>
            </w:pPr>
            <w:r>
              <w:rPr>
                <w:rFonts w:cs="Century Gothic"/>
                <w:color w:val="000000"/>
                <w:sz w:val="18"/>
                <w:szCs w:val="18"/>
              </w:rPr>
              <w:t>5: Pre-contemplation</w:t>
            </w:r>
          </w:p>
        </w:tc>
        <w:tc>
          <w:tcPr>
            <w:tcW w:w="818" w:type="pct"/>
            <w:shd w:val="clear" w:color="auto" w:fill="FFFFFF"/>
            <w:tcMar>
              <w:top w:w="0" w:type="dxa"/>
              <w:left w:w="0" w:type="dxa"/>
              <w:bottom w:w="0" w:type="dxa"/>
              <w:right w:w="0" w:type="dxa"/>
            </w:tcMar>
            <w:vAlign w:val="center"/>
            <w:hideMark/>
          </w:tcPr>
          <w:p w14:paraId="25EDFBE3" w14:textId="77777777" w:rsidR="001C19F3" w:rsidRDefault="001C19F3" w:rsidP="00521305">
            <w:pPr>
              <w:spacing w:before="40" w:after="40"/>
              <w:ind w:left="40" w:right="40"/>
              <w:jc w:val="center"/>
            </w:pPr>
            <w:r>
              <w:rPr>
                <w:rFonts w:cs="Century Gothic"/>
                <w:color w:val="000000"/>
                <w:sz w:val="18"/>
                <w:szCs w:val="18"/>
              </w:rPr>
              <w:t>1,569 (12.6%)</w:t>
            </w:r>
          </w:p>
        </w:tc>
        <w:tc>
          <w:tcPr>
            <w:tcW w:w="800" w:type="pct"/>
            <w:shd w:val="clear" w:color="auto" w:fill="FFFFFF"/>
            <w:tcMar>
              <w:top w:w="0" w:type="dxa"/>
              <w:left w:w="0" w:type="dxa"/>
              <w:bottom w:w="0" w:type="dxa"/>
              <w:right w:w="0" w:type="dxa"/>
            </w:tcMar>
            <w:vAlign w:val="center"/>
            <w:hideMark/>
          </w:tcPr>
          <w:p w14:paraId="35E50C8E" w14:textId="77777777" w:rsidR="001C19F3" w:rsidRDefault="001C19F3" w:rsidP="00521305">
            <w:pPr>
              <w:spacing w:before="40" w:after="40"/>
              <w:ind w:left="40" w:right="40"/>
              <w:jc w:val="center"/>
            </w:pPr>
            <w:r>
              <w:rPr>
                <w:rFonts w:cs="Century Gothic"/>
                <w:color w:val="000000"/>
                <w:sz w:val="18"/>
                <w:szCs w:val="18"/>
              </w:rPr>
              <w:t>107 (4.7%)</w:t>
            </w:r>
          </w:p>
        </w:tc>
        <w:tc>
          <w:tcPr>
            <w:tcW w:w="674" w:type="pct"/>
            <w:shd w:val="clear" w:color="auto" w:fill="FFFFFF"/>
            <w:tcMar>
              <w:top w:w="0" w:type="dxa"/>
              <w:left w:w="0" w:type="dxa"/>
              <w:bottom w:w="0" w:type="dxa"/>
              <w:right w:w="0" w:type="dxa"/>
            </w:tcMar>
            <w:vAlign w:val="center"/>
            <w:hideMark/>
          </w:tcPr>
          <w:p w14:paraId="2F1F7C4D" w14:textId="77777777" w:rsidR="001C19F3" w:rsidRDefault="001C19F3" w:rsidP="00521305">
            <w:pPr>
              <w:spacing w:before="40" w:after="40"/>
              <w:ind w:left="40" w:right="40"/>
              <w:jc w:val="center"/>
            </w:pPr>
            <w:r>
              <w:rPr>
                <w:rFonts w:cs="Century Gothic"/>
                <w:color w:val="000000"/>
                <w:sz w:val="18"/>
                <w:szCs w:val="18"/>
              </w:rPr>
              <w:t>852 (13.9%)</w:t>
            </w:r>
          </w:p>
        </w:tc>
        <w:tc>
          <w:tcPr>
            <w:tcW w:w="674" w:type="pct"/>
            <w:shd w:val="clear" w:color="auto" w:fill="FFFFFF"/>
            <w:tcMar>
              <w:top w:w="0" w:type="dxa"/>
              <w:left w:w="0" w:type="dxa"/>
              <w:bottom w:w="0" w:type="dxa"/>
              <w:right w:w="0" w:type="dxa"/>
            </w:tcMar>
            <w:vAlign w:val="center"/>
            <w:hideMark/>
          </w:tcPr>
          <w:p w14:paraId="65F07235" w14:textId="77777777" w:rsidR="001C19F3" w:rsidRDefault="001C19F3" w:rsidP="00521305">
            <w:pPr>
              <w:spacing w:before="40" w:after="40"/>
              <w:ind w:left="40" w:right="40"/>
              <w:jc w:val="center"/>
            </w:pPr>
            <w:r>
              <w:rPr>
                <w:rFonts w:cs="Century Gothic"/>
                <w:color w:val="000000"/>
                <w:sz w:val="18"/>
                <w:szCs w:val="18"/>
              </w:rPr>
              <w:t>610 (15.1%)</w:t>
            </w:r>
          </w:p>
        </w:tc>
        <w:tc>
          <w:tcPr>
            <w:tcW w:w="555" w:type="pct"/>
            <w:vMerge/>
            <w:vAlign w:val="center"/>
            <w:hideMark/>
          </w:tcPr>
          <w:p w14:paraId="545A4C18" w14:textId="77777777" w:rsidR="001C19F3" w:rsidRDefault="001C19F3" w:rsidP="00521305">
            <w:pPr>
              <w:spacing w:after="0"/>
              <w:rPr>
                <w:sz w:val="22"/>
              </w:rPr>
            </w:pPr>
          </w:p>
        </w:tc>
      </w:tr>
      <w:tr w:rsidR="001C19F3" w14:paraId="32F2D3D2" w14:textId="77777777" w:rsidTr="00521305">
        <w:trPr>
          <w:cantSplit/>
          <w:trHeight w:val="288"/>
          <w:jc w:val="center"/>
        </w:trPr>
        <w:tc>
          <w:tcPr>
            <w:tcW w:w="1479" w:type="pct"/>
            <w:shd w:val="clear" w:color="auto" w:fill="FFFFFF"/>
            <w:tcMar>
              <w:top w:w="0" w:type="dxa"/>
              <w:left w:w="0" w:type="dxa"/>
              <w:bottom w:w="0" w:type="dxa"/>
              <w:right w:w="0" w:type="dxa"/>
            </w:tcMar>
            <w:vAlign w:val="center"/>
            <w:hideMark/>
          </w:tcPr>
          <w:p w14:paraId="7D33F126" w14:textId="77777777" w:rsidR="001C19F3" w:rsidRDefault="001C19F3" w:rsidP="00521305">
            <w:pPr>
              <w:spacing w:before="40" w:after="40"/>
              <w:ind w:left="160" w:right="40"/>
            </w:pPr>
            <w:r>
              <w:rPr>
                <w:rFonts w:cs="Century Gothic"/>
                <w:color w:val="000000"/>
                <w:sz w:val="18"/>
                <w:szCs w:val="18"/>
              </w:rPr>
              <w:t>6: No capacity for self-management</w:t>
            </w:r>
          </w:p>
        </w:tc>
        <w:tc>
          <w:tcPr>
            <w:tcW w:w="818" w:type="pct"/>
            <w:shd w:val="clear" w:color="auto" w:fill="FFFFFF"/>
            <w:tcMar>
              <w:top w:w="0" w:type="dxa"/>
              <w:left w:w="0" w:type="dxa"/>
              <w:bottom w:w="0" w:type="dxa"/>
              <w:right w:w="0" w:type="dxa"/>
            </w:tcMar>
            <w:vAlign w:val="center"/>
            <w:hideMark/>
          </w:tcPr>
          <w:p w14:paraId="4CB73351" w14:textId="77777777" w:rsidR="001C19F3" w:rsidRDefault="001C19F3" w:rsidP="00521305">
            <w:pPr>
              <w:spacing w:before="40" w:after="40"/>
              <w:ind w:left="40" w:right="40"/>
              <w:jc w:val="center"/>
            </w:pPr>
            <w:r>
              <w:rPr>
                <w:rFonts w:cs="Century Gothic"/>
                <w:color w:val="000000"/>
                <w:sz w:val="18"/>
                <w:szCs w:val="18"/>
              </w:rPr>
              <w:t>812 (6.5%)</w:t>
            </w:r>
          </w:p>
        </w:tc>
        <w:tc>
          <w:tcPr>
            <w:tcW w:w="800" w:type="pct"/>
            <w:shd w:val="clear" w:color="auto" w:fill="FFFFFF"/>
            <w:tcMar>
              <w:top w:w="0" w:type="dxa"/>
              <w:left w:w="0" w:type="dxa"/>
              <w:bottom w:w="0" w:type="dxa"/>
              <w:right w:w="0" w:type="dxa"/>
            </w:tcMar>
            <w:vAlign w:val="center"/>
            <w:hideMark/>
          </w:tcPr>
          <w:p w14:paraId="2B3895A6" w14:textId="77777777" w:rsidR="001C19F3" w:rsidRDefault="001C19F3" w:rsidP="00521305">
            <w:pPr>
              <w:spacing w:before="40" w:after="40"/>
              <w:ind w:left="40" w:right="40"/>
              <w:jc w:val="center"/>
            </w:pPr>
            <w:r>
              <w:rPr>
                <w:rFonts w:cs="Century Gothic"/>
                <w:color w:val="000000"/>
                <w:sz w:val="18"/>
                <w:szCs w:val="18"/>
              </w:rPr>
              <w:t>21 (0.9%)</w:t>
            </w:r>
          </w:p>
        </w:tc>
        <w:tc>
          <w:tcPr>
            <w:tcW w:w="674" w:type="pct"/>
            <w:shd w:val="clear" w:color="auto" w:fill="FFFFFF"/>
            <w:tcMar>
              <w:top w:w="0" w:type="dxa"/>
              <w:left w:w="0" w:type="dxa"/>
              <w:bottom w:w="0" w:type="dxa"/>
              <w:right w:w="0" w:type="dxa"/>
            </w:tcMar>
            <w:vAlign w:val="center"/>
            <w:hideMark/>
          </w:tcPr>
          <w:p w14:paraId="34D1D85F" w14:textId="77777777" w:rsidR="001C19F3" w:rsidRDefault="001C19F3" w:rsidP="00521305">
            <w:pPr>
              <w:spacing w:before="40" w:after="40"/>
              <w:ind w:left="40" w:right="40"/>
              <w:jc w:val="center"/>
            </w:pPr>
            <w:r>
              <w:rPr>
                <w:rFonts w:cs="Century Gothic"/>
                <w:color w:val="000000"/>
                <w:sz w:val="18"/>
                <w:szCs w:val="18"/>
              </w:rPr>
              <w:t>86 (1.4%)</w:t>
            </w:r>
          </w:p>
        </w:tc>
        <w:tc>
          <w:tcPr>
            <w:tcW w:w="674" w:type="pct"/>
            <w:shd w:val="clear" w:color="auto" w:fill="FFFFFF"/>
            <w:tcMar>
              <w:top w:w="0" w:type="dxa"/>
              <w:left w:w="0" w:type="dxa"/>
              <w:bottom w:w="0" w:type="dxa"/>
              <w:right w:w="0" w:type="dxa"/>
            </w:tcMar>
            <w:vAlign w:val="center"/>
            <w:hideMark/>
          </w:tcPr>
          <w:p w14:paraId="716690E5" w14:textId="77777777" w:rsidR="001C19F3" w:rsidRDefault="001C19F3" w:rsidP="00521305">
            <w:pPr>
              <w:spacing w:before="40" w:after="40"/>
              <w:ind w:left="40" w:right="40"/>
              <w:jc w:val="center"/>
            </w:pPr>
            <w:r>
              <w:rPr>
                <w:rFonts w:cs="Century Gothic"/>
                <w:color w:val="000000"/>
                <w:sz w:val="18"/>
                <w:szCs w:val="18"/>
              </w:rPr>
              <w:t>705 (17.4%)</w:t>
            </w:r>
          </w:p>
        </w:tc>
        <w:tc>
          <w:tcPr>
            <w:tcW w:w="555" w:type="pct"/>
            <w:vMerge/>
            <w:vAlign w:val="center"/>
            <w:hideMark/>
          </w:tcPr>
          <w:p w14:paraId="06D19FF9" w14:textId="77777777" w:rsidR="001C19F3" w:rsidRDefault="001C19F3" w:rsidP="00521305">
            <w:pPr>
              <w:spacing w:after="0"/>
              <w:rPr>
                <w:sz w:val="22"/>
              </w:rPr>
            </w:pPr>
          </w:p>
        </w:tc>
      </w:tr>
    </w:tbl>
    <w:p w14:paraId="28B4FA41" w14:textId="77777777" w:rsidR="001C19F3" w:rsidRDefault="001C19F3" w:rsidP="001C19F3">
      <w:pPr>
        <w:pStyle w:val="Chartortablefootnote"/>
      </w:pPr>
      <w:r>
        <w:t>Source: Risk stratification data provided by Precedence Health Care, to June 2019.</w:t>
      </w:r>
    </w:p>
    <w:p w14:paraId="41F156B8" w14:textId="77777777" w:rsidR="001C19F3" w:rsidRDefault="001C19F3" w:rsidP="001C19F3">
      <w:pPr>
        <w:rPr>
          <w:rFonts w:asciiTheme="minorHAnsi" w:hAnsiTheme="minorHAnsi" w:cstheme="minorBidi"/>
          <w:sz w:val="22"/>
        </w:rPr>
      </w:pPr>
    </w:p>
    <w:p w14:paraId="6298B924" w14:textId="77777777" w:rsidR="001C19F3" w:rsidRDefault="001C19F3" w:rsidP="001C19F3">
      <w:r>
        <w:br w:type="page"/>
      </w:r>
    </w:p>
    <w:p w14:paraId="1803944A" w14:textId="77777777" w:rsidR="001C19F3" w:rsidRDefault="001C19F3" w:rsidP="001C19F3">
      <w:pPr>
        <w:pStyle w:val="Appendix"/>
        <w:sectPr w:rsidR="001C19F3" w:rsidSect="00521305">
          <w:pgSz w:w="16838" w:h="11906" w:orient="landscape"/>
          <w:pgMar w:top="1440" w:right="1440" w:bottom="1440" w:left="1440" w:header="708" w:footer="708" w:gutter="0"/>
          <w:cols w:space="708"/>
          <w:titlePg/>
          <w:docGrid w:linePitch="360"/>
        </w:sectPr>
      </w:pPr>
      <w:bookmarkStart w:id="616" w:name="_Toc27058974"/>
    </w:p>
    <w:p w14:paraId="5C5C982C" w14:textId="77777777" w:rsidR="001C19F3" w:rsidRDefault="001C19F3" w:rsidP="001C19F3">
      <w:pPr>
        <w:pStyle w:val="Appendix"/>
      </w:pPr>
      <w:r>
        <w:lastRenderedPageBreak/>
        <w:t>Appendix 5 – Community Pharmacy in HCH Trial: Additional tables</w:t>
      </w:r>
      <w:bookmarkEnd w:id="616"/>
    </w:p>
    <w:p w14:paraId="6746C026" w14:textId="77777777" w:rsidR="001C19F3" w:rsidRDefault="001C19F3" w:rsidP="001C19F3">
      <w:pPr>
        <w:pStyle w:val="Caption1"/>
      </w:pPr>
      <w:bookmarkStart w:id="617" w:name="_Ref22831147"/>
      <w:bookmarkStart w:id="618" w:name="_Ref18048545"/>
      <w:bookmarkStart w:id="619" w:name="_Ref13213060"/>
      <w:bookmarkStart w:id="620" w:name="_Toc532396769"/>
      <w:r>
        <w:t xml:space="preserve">Table </w:t>
      </w:r>
      <w:r>
        <w:fldChar w:fldCharType="begin"/>
      </w:r>
      <w:r>
        <w:instrText>SEQ Table \* ARABIC</w:instrText>
      </w:r>
      <w:r>
        <w:fldChar w:fldCharType="separate"/>
      </w:r>
      <w:r>
        <w:rPr>
          <w:noProof/>
        </w:rPr>
        <w:t>87</w:t>
      </w:r>
      <w:r>
        <w:fldChar w:fldCharType="end"/>
      </w:r>
      <w:bookmarkEnd w:id="617"/>
      <w:r>
        <w:t xml:space="preserve"> – Patient characteristics, by tier</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844"/>
        <w:gridCol w:w="3211"/>
        <w:gridCol w:w="2202"/>
        <w:gridCol w:w="2202"/>
        <w:gridCol w:w="2202"/>
        <w:gridCol w:w="1277"/>
      </w:tblGrid>
      <w:tr w:rsidR="001C19F3" w14:paraId="35E39ACE" w14:textId="77777777" w:rsidTr="00521305">
        <w:trPr>
          <w:cantSplit/>
          <w:trHeight w:val="336"/>
          <w:tblHeader/>
          <w:jc w:val="center"/>
        </w:trPr>
        <w:tc>
          <w:tcPr>
            <w:tcW w:w="1020" w:type="pct"/>
            <w:shd w:val="clear" w:color="auto" w:fill="003D79"/>
            <w:tcMar>
              <w:top w:w="0" w:type="dxa"/>
              <w:left w:w="0" w:type="dxa"/>
              <w:bottom w:w="0" w:type="dxa"/>
              <w:right w:w="0" w:type="dxa"/>
            </w:tcMar>
            <w:vAlign w:val="center"/>
          </w:tcPr>
          <w:p w14:paraId="20466ECA" w14:textId="77777777" w:rsidR="001C19F3" w:rsidRDefault="001C19F3" w:rsidP="00521305">
            <w:pPr>
              <w:spacing w:after="0"/>
              <w:jc w:val="center"/>
            </w:pPr>
            <w:bookmarkStart w:id="621" w:name="_Hlk21011029"/>
            <w:r w:rsidRPr="003705DD">
              <w:rPr>
                <w:rFonts w:cs="Century Gothic"/>
                <w:b/>
                <w:color w:val="FFFFFF"/>
                <w:sz w:val="18"/>
                <w:szCs w:val="18"/>
              </w:rPr>
              <w:t>Characteristic</w:t>
            </w:r>
          </w:p>
        </w:tc>
        <w:tc>
          <w:tcPr>
            <w:tcW w:w="1152" w:type="pct"/>
            <w:shd w:val="clear" w:color="auto" w:fill="003D79"/>
            <w:tcMar>
              <w:top w:w="0" w:type="dxa"/>
              <w:left w:w="0" w:type="dxa"/>
              <w:bottom w:w="0" w:type="dxa"/>
              <w:right w:w="0" w:type="dxa"/>
            </w:tcMar>
            <w:vAlign w:val="center"/>
          </w:tcPr>
          <w:p w14:paraId="4914EDF6" w14:textId="77777777" w:rsidR="001C19F3" w:rsidRDefault="001C19F3" w:rsidP="00521305">
            <w:pPr>
              <w:spacing w:after="0"/>
              <w:jc w:val="center"/>
            </w:pPr>
            <w:r>
              <w:rPr>
                <w:rFonts w:cs="Century Gothic"/>
                <w:b/>
                <w:color w:val="FFFFFF"/>
                <w:sz w:val="18"/>
                <w:szCs w:val="18"/>
              </w:rPr>
              <w:t>Total (n = 468)</w:t>
            </w:r>
          </w:p>
        </w:tc>
        <w:tc>
          <w:tcPr>
            <w:tcW w:w="790" w:type="pct"/>
            <w:shd w:val="clear" w:color="auto" w:fill="003D79"/>
            <w:tcMar>
              <w:top w:w="0" w:type="dxa"/>
              <w:left w:w="0" w:type="dxa"/>
              <w:bottom w:w="0" w:type="dxa"/>
              <w:right w:w="0" w:type="dxa"/>
            </w:tcMar>
            <w:vAlign w:val="center"/>
          </w:tcPr>
          <w:p w14:paraId="42F9C125" w14:textId="77777777" w:rsidR="001C19F3" w:rsidRDefault="001C19F3" w:rsidP="00521305">
            <w:pPr>
              <w:spacing w:after="0"/>
              <w:jc w:val="center"/>
            </w:pPr>
            <w:r>
              <w:rPr>
                <w:rFonts w:cs="Century Gothic"/>
                <w:b/>
                <w:color w:val="FFFFFF"/>
                <w:sz w:val="18"/>
                <w:szCs w:val="18"/>
              </w:rPr>
              <w:t>Tier 1 (n = 44)</w:t>
            </w:r>
          </w:p>
        </w:tc>
        <w:tc>
          <w:tcPr>
            <w:tcW w:w="790" w:type="pct"/>
            <w:shd w:val="clear" w:color="auto" w:fill="003D79"/>
            <w:tcMar>
              <w:top w:w="0" w:type="dxa"/>
              <w:left w:w="0" w:type="dxa"/>
              <w:bottom w:w="0" w:type="dxa"/>
              <w:right w:w="0" w:type="dxa"/>
            </w:tcMar>
            <w:vAlign w:val="center"/>
          </w:tcPr>
          <w:p w14:paraId="02738CED" w14:textId="77777777" w:rsidR="001C19F3" w:rsidRDefault="001C19F3" w:rsidP="00521305">
            <w:pPr>
              <w:spacing w:after="0"/>
              <w:jc w:val="center"/>
            </w:pPr>
            <w:r>
              <w:rPr>
                <w:rFonts w:cs="Century Gothic"/>
                <w:b/>
                <w:color w:val="FFFFFF"/>
                <w:sz w:val="18"/>
                <w:szCs w:val="18"/>
              </w:rPr>
              <w:t>Tier 2 (n = 235)</w:t>
            </w:r>
          </w:p>
        </w:tc>
        <w:tc>
          <w:tcPr>
            <w:tcW w:w="790" w:type="pct"/>
            <w:shd w:val="clear" w:color="auto" w:fill="003D79"/>
            <w:tcMar>
              <w:top w:w="0" w:type="dxa"/>
              <w:left w:w="0" w:type="dxa"/>
              <w:bottom w:w="0" w:type="dxa"/>
              <w:right w:w="0" w:type="dxa"/>
            </w:tcMar>
            <w:vAlign w:val="center"/>
          </w:tcPr>
          <w:p w14:paraId="25F20377" w14:textId="77777777" w:rsidR="001C19F3" w:rsidRDefault="001C19F3" w:rsidP="00521305">
            <w:pPr>
              <w:spacing w:after="0"/>
              <w:jc w:val="center"/>
            </w:pPr>
            <w:r>
              <w:rPr>
                <w:rFonts w:cs="Century Gothic"/>
                <w:b/>
                <w:color w:val="FFFFFF"/>
                <w:sz w:val="18"/>
                <w:szCs w:val="18"/>
              </w:rPr>
              <w:t>Tier 3 (n = 189)</w:t>
            </w:r>
          </w:p>
        </w:tc>
        <w:tc>
          <w:tcPr>
            <w:tcW w:w="458" w:type="pct"/>
            <w:shd w:val="clear" w:color="auto" w:fill="003D79"/>
            <w:tcMar>
              <w:top w:w="0" w:type="dxa"/>
              <w:left w:w="0" w:type="dxa"/>
              <w:bottom w:w="0" w:type="dxa"/>
              <w:right w:w="0" w:type="dxa"/>
            </w:tcMar>
            <w:vAlign w:val="center"/>
          </w:tcPr>
          <w:p w14:paraId="507BBBE2" w14:textId="77777777" w:rsidR="001C19F3" w:rsidRDefault="001C19F3" w:rsidP="00521305">
            <w:pPr>
              <w:spacing w:after="0"/>
              <w:jc w:val="center"/>
            </w:pPr>
            <w:r w:rsidRPr="003705DD">
              <w:rPr>
                <w:rFonts w:cs="Century Gothic"/>
                <w:b/>
                <w:color w:val="FFFFFF"/>
                <w:sz w:val="18"/>
                <w:szCs w:val="18"/>
              </w:rPr>
              <w:t>P value</w:t>
            </w:r>
          </w:p>
        </w:tc>
      </w:tr>
      <w:tr w:rsidR="001C19F3" w14:paraId="32128ACF"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77B6922C" w14:textId="77777777" w:rsidR="001C19F3" w:rsidRDefault="001C19F3" w:rsidP="00521305">
            <w:pPr>
              <w:spacing w:before="40" w:after="40"/>
              <w:ind w:left="40" w:right="40"/>
            </w:pPr>
            <w:r>
              <w:rPr>
                <w:rFonts w:cs="Century Gothic"/>
                <w:b/>
                <w:color w:val="000000"/>
                <w:sz w:val="18"/>
                <w:szCs w:val="18"/>
              </w:rPr>
              <w:t>A1 Sex</w:t>
            </w:r>
          </w:p>
        </w:tc>
      </w:tr>
      <w:tr w:rsidR="001C19F3" w14:paraId="00CA9BB2"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0C64058A" w14:textId="77777777" w:rsidR="001C19F3" w:rsidRDefault="001C19F3" w:rsidP="00521305">
            <w:pPr>
              <w:spacing w:before="40" w:after="40"/>
              <w:ind w:left="160" w:right="40"/>
            </w:pPr>
            <w:r>
              <w:rPr>
                <w:rFonts w:cs="Century Gothic"/>
                <w:color w:val="000000"/>
                <w:sz w:val="18"/>
                <w:szCs w:val="18"/>
              </w:rPr>
              <w:t>Female</w:t>
            </w:r>
          </w:p>
        </w:tc>
        <w:tc>
          <w:tcPr>
            <w:tcW w:w="1152" w:type="pct"/>
            <w:shd w:val="clear" w:color="auto" w:fill="FFFFFF"/>
            <w:tcMar>
              <w:top w:w="0" w:type="dxa"/>
              <w:left w:w="0" w:type="dxa"/>
              <w:bottom w:w="0" w:type="dxa"/>
              <w:right w:w="0" w:type="dxa"/>
            </w:tcMar>
            <w:vAlign w:val="center"/>
          </w:tcPr>
          <w:p w14:paraId="7435268B" w14:textId="77777777" w:rsidR="001C19F3" w:rsidRDefault="001C19F3" w:rsidP="00521305">
            <w:pPr>
              <w:spacing w:before="40" w:after="40"/>
              <w:ind w:left="40" w:right="40"/>
              <w:jc w:val="center"/>
            </w:pPr>
            <w:r>
              <w:rPr>
                <w:rFonts w:cs="Century Gothic"/>
                <w:color w:val="000000"/>
                <w:sz w:val="18"/>
                <w:szCs w:val="18"/>
              </w:rPr>
              <w:t>261 (57.5%)</w:t>
            </w:r>
          </w:p>
        </w:tc>
        <w:tc>
          <w:tcPr>
            <w:tcW w:w="790" w:type="pct"/>
            <w:shd w:val="clear" w:color="auto" w:fill="FFFFFF"/>
            <w:tcMar>
              <w:top w:w="0" w:type="dxa"/>
              <w:left w:w="0" w:type="dxa"/>
              <w:bottom w:w="0" w:type="dxa"/>
              <w:right w:w="0" w:type="dxa"/>
            </w:tcMar>
            <w:vAlign w:val="center"/>
          </w:tcPr>
          <w:p w14:paraId="3614912B" w14:textId="77777777" w:rsidR="001C19F3" w:rsidRDefault="001C19F3" w:rsidP="00521305">
            <w:pPr>
              <w:spacing w:before="40" w:after="40"/>
              <w:ind w:left="40" w:right="40"/>
              <w:jc w:val="center"/>
            </w:pPr>
            <w:r>
              <w:rPr>
                <w:rFonts w:cs="Century Gothic"/>
                <w:color w:val="000000"/>
                <w:sz w:val="18"/>
                <w:szCs w:val="18"/>
              </w:rPr>
              <w:t>22 (56.4%)</w:t>
            </w:r>
          </w:p>
        </w:tc>
        <w:tc>
          <w:tcPr>
            <w:tcW w:w="790" w:type="pct"/>
            <w:shd w:val="clear" w:color="auto" w:fill="FFFFFF"/>
            <w:tcMar>
              <w:top w:w="0" w:type="dxa"/>
              <w:left w:w="0" w:type="dxa"/>
              <w:bottom w:w="0" w:type="dxa"/>
              <w:right w:w="0" w:type="dxa"/>
            </w:tcMar>
            <w:vAlign w:val="center"/>
          </w:tcPr>
          <w:p w14:paraId="4E11DD09" w14:textId="77777777" w:rsidR="001C19F3" w:rsidRDefault="001C19F3" w:rsidP="00521305">
            <w:pPr>
              <w:spacing w:before="40" w:after="40"/>
              <w:ind w:left="40" w:right="40"/>
              <w:jc w:val="center"/>
            </w:pPr>
            <w:r>
              <w:rPr>
                <w:rFonts w:cs="Century Gothic"/>
                <w:color w:val="000000"/>
                <w:sz w:val="18"/>
                <w:szCs w:val="18"/>
              </w:rPr>
              <w:t>123 (53.9%)</w:t>
            </w:r>
          </w:p>
        </w:tc>
        <w:tc>
          <w:tcPr>
            <w:tcW w:w="790" w:type="pct"/>
            <w:shd w:val="clear" w:color="auto" w:fill="FFFFFF"/>
            <w:tcMar>
              <w:top w:w="0" w:type="dxa"/>
              <w:left w:w="0" w:type="dxa"/>
              <w:bottom w:w="0" w:type="dxa"/>
              <w:right w:w="0" w:type="dxa"/>
            </w:tcMar>
            <w:vAlign w:val="center"/>
          </w:tcPr>
          <w:p w14:paraId="1E5987E0" w14:textId="77777777" w:rsidR="001C19F3" w:rsidRDefault="001C19F3" w:rsidP="00521305">
            <w:pPr>
              <w:spacing w:before="40" w:after="40"/>
              <w:ind w:left="40" w:right="40"/>
              <w:jc w:val="center"/>
            </w:pPr>
            <w:r>
              <w:rPr>
                <w:rFonts w:cs="Century Gothic"/>
                <w:color w:val="000000"/>
                <w:sz w:val="18"/>
                <w:szCs w:val="18"/>
              </w:rPr>
              <w:t>116 (62.0%)</w:t>
            </w:r>
          </w:p>
        </w:tc>
        <w:tc>
          <w:tcPr>
            <w:tcW w:w="458" w:type="pct"/>
            <w:vMerge w:val="restart"/>
            <w:shd w:val="clear" w:color="auto" w:fill="FFFFFF"/>
            <w:tcMar>
              <w:top w:w="0" w:type="dxa"/>
              <w:left w:w="0" w:type="dxa"/>
              <w:bottom w:w="0" w:type="dxa"/>
              <w:right w:w="0" w:type="dxa"/>
            </w:tcMar>
            <w:vAlign w:val="center"/>
          </w:tcPr>
          <w:p w14:paraId="6BBE5B8A" w14:textId="77777777" w:rsidR="001C19F3" w:rsidRDefault="001C19F3" w:rsidP="00521305">
            <w:pPr>
              <w:spacing w:before="40" w:after="40"/>
              <w:ind w:left="40" w:right="40"/>
              <w:jc w:val="center"/>
            </w:pPr>
            <w:r>
              <w:rPr>
                <w:rFonts w:cs="Century Gothic"/>
                <w:color w:val="000000"/>
                <w:sz w:val="18"/>
                <w:szCs w:val="18"/>
              </w:rPr>
              <w:t>0.251</w:t>
            </w:r>
          </w:p>
        </w:tc>
      </w:tr>
      <w:tr w:rsidR="001C19F3" w14:paraId="386C041F"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77C3B821" w14:textId="77777777" w:rsidR="001C19F3" w:rsidRDefault="001C19F3" w:rsidP="00521305">
            <w:pPr>
              <w:spacing w:before="40" w:after="40"/>
              <w:ind w:left="160" w:right="40"/>
            </w:pPr>
            <w:r>
              <w:rPr>
                <w:rFonts w:cs="Century Gothic"/>
                <w:color w:val="000000"/>
                <w:sz w:val="18"/>
                <w:szCs w:val="18"/>
              </w:rPr>
              <w:t>Male</w:t>
            </w:r>
          </w:p>
        </w:tc>
        <w:tc>
          <w:tcPr>
            <w:tcW w:w="1152" w:type="pct"/>
            <w:shd w:val="clear" w:color="auto" w:fill="FFFFFF"/>
            <w:tcMar>
              <w:top w:w="0" w:type="dxa"/>
              <w:left w:w="0" w:type="dxa"/>
              <w:bottom w:w="0" w:type="dxa"/>
              <w:right w:w="0" w:type="dxa"/>
            </w:tcMar>
            <w:vAlign w:val="center"/>
          </w:tcPr>
          <w:p w14:paraId="2A7BBA3C" w14:textId="77777777" w:rsidR="001C19F3" w:rsidRDefault="001C19F3" w:rsidP="00521305">
            <w:pPr>
              <w:spacing w:before="40" w:after="40"/>
              <w:ind w:left="40" w:right="40"/>
              <w:jc w:val="center"/>
            </w:pPr>
            <w:r>
              <w:rPr>
                <w:rFonts w:cs="Century Gothic"/>
                <w:color w:val="000000"/>
                <w:sz w:val="18"/>
                <w:szCs w:val="18"/>
              </w:rPr>
              <w:t>193 (42.5%)</w:t>
            </w:r>
          </w:p>
        </w:tc>
        <w:tc>
          <w:tcPr>
            <w:tcW w:w="790" w:type="pct"/>
            <w:shd w:val="clear" w:color="auto" w:fill="FFFFFF"/>
            <w:tcMar>
              <w:top w:w="0" w:type="dxa"/>
              <w:left w:w="0" w:type="dxa"/>
              <w:bottom w:w="0" w:type="dxa"/>
              <w:right w:w="0" w:type="dxa"/>
            </w:tcMar>
            <w:vAlign w:val="center"/>
          </w:tcPr>
          <w:p w14:paraId="67A4528E" w14:textId="77777777" w:rsidR="001C19F3" w:rsidRDefault="001C19F3" w:rsidP="00521305">
            <w:pPr>
              <w:spacing w:before="40" w:after="40"/>
              <w:ind w:left="40" w:right="40"/>
              <w:jc w:val="center"/>
            </w:pPr>
            <w:r>
              <w:rPr>
                <w:rFonts w:cs="Century Gothic"/>
                <w:color w:val="000000"/>
                <w:sz w:val="18"/>
                <w:szCs w:val="18"/>
              </w:rPr>
              <w:t>17 (43.6%)</w:t>
            </w:r>
          </w:p>
        </w:tc>
        <w:tc>
          <w:tcPr>
            <w:tcW w:w="790" w:type="pct"/>
            <w:shd w:val="clear" w:color="auto" w:fill="FFFFFF"/>
            <w:tcMar>
              <w:top w:w="0" w:type="dxa"/>
              <w:left w:w="0" w:type="dxa"/>
              <w:bottom w:w="0" w:type="dxa"/>
              <w:right w:w="0" w:type="dxa"/>
            </w:tcMar>
            <w:vAlign w:val="center"/>
          </w:tcPr>
          <w:p w14:paraId="26000BB9" w14:textId="77777777" w:rsidR="001C19F3" w:rsidRDefault="001C19F3" w:rsidP="00521305">
            <w:pPr>
              <w:spacing w:before="40" w:after="40"/>
              <w:ind w:left="40" w:right="40"/>
              <w:jc w:val="center"/>
            </w:pPr>
            <w:r>
              <w:rPr>
                <w:rFonts w:cs="Century Gothic"/>
                <w:color w:val="000000"/>
                <w:sz w:val="18"/>
                <w:szCs w:val="18"/>
              </w:rPr>
              <w:t>105 (46.1%)</w:t>
            </w:r>
          </w:p>
        </w:tc>
        <w:tc>
          <w:tcPr>
            <w:tcW w:w="790" w:type="pct"/>
            <w:shd w:val="clear" w:color="auto" w:fill="FFFFFF"/>
            <w:tcMar>
              <w:top w:w="0" w:type="dxa"/>
              <w:left w:w="0" w:type="dxa"/>
              <w:bottom w:w="0" w:type="dxa"/>
              <w:right w:w="0" w:type="dxa"/>
            </w:tcMar>
            <w:vAlign w:val="center"/>
          </w:tcPr>
          <w:p w14:paraId="6ACE6E87" w14:textId="77777777" w:rsidR="001C19F3" w:rsidRDefault="001C19F3" w:rsidP="00521305">
            <w:pPr>
              <w:spacing w:before="40" w:after="40"/>
              <w:ind w:left="40" w:right="40"/>
              <w:jc w:val="center"/>
            </w:pPr>
            <w:r>
              <w:rPr>
                <w:rFonts w:cs="Century Gothic"/>
                <w:color w:val="000000"/>
                <w:sz w:val="18"/>
                <w:szCs w:val="18"/>
              </w:rPr>
              <w:t>71 (38.0%)</w:t>
            </w:r>
          </w:p>
        </w:tc>
        <w:tc>
          <w:tcPr>
            <w:tcW w:w="458" w:type="pct"/>
            <w:vMerge/>
            <w:shd w:val="clear" w:color="auto" w:fill="FFFFFF"/>
            <w:tcMar>
              <w:top w:w="0" w:type="dxa"/>
              <w:left w:w="0" w:type="dxa"/>
              <w:bottom w:w="0" w:type="dxa"/>
              <w:right w:w="0" w:type="dxa"/>
            </w:tcMar>
            <w:vAlign w:val="center"/>
          </w:tcPr>
          <w:p w14:paraId="0C732556" w14:textId="77777777" w:rsidR="001C19F3" w:rsidRDefault="001C19F3" w:rsidP="00521305">
            <w:pPr>
              <w:spacing w:before="40" w:after="40"/>
              <w:ind w:left="40" w:right="40"/>
              <w:jc w:val="center"/>
            </w:pPr>
          </w:p>
        </w:tc>
      </w:tr>
      <w:tr w:rsidR="001C19F3" w14:paraId="116D9998"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22E6F5BA" w14:textId="77777777" w:rsidR="001C19F3" w:rsidRDefault="001C19F3" w:rsidP="00521305">
            <w:pPr>
              <w:spacing w:before="40" w:after="40"/>
              <w:ind w:left="40" w:right="40"/>
            </w:pPr>
            <w:r>
              <w:rPr>
                <w:rFonts w:cs="Century Gothic"/>
                <w:b/>
                <w:color w:val="000000"/>
                <w:sz w:val="18"/>
                <w:szCs w:val="18"/>
              </w:rPr>
              <w:t>A2 Age group</w:t>
            </w:r>
          </w:p>
        </w:tc>
      </w:tr>
      <w:tr w:rsidR="001C19F3" w14:paraId="43BDA31B"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34AA1876" w14:textId="77777777" w:rsidR="001C19F3" w:rsidRDefault="001C19F3" w:rsidP="00521305">
            <w:pPr>
              <w:spacing w:before="40" w:after="40"/>
              <w:ind w:left="160" w:right="40"/>
            </w:pPr>
            <w:r>
              <w:rPr>
                <w:rFonts w:cs="Century Gothic"/>
                <w:color w:val="000000"/>
                <w:sz w:val="18"/>
                <w:szCs w:val="18"/>
              </w:rPr>
              <w:t>00-24</w:t>
            </w:r>
          </w:p>
        </w:tc>
        <w:tc>
          <w:tcPr>
            <w:tcW w:w="1152" w:type="pct"/>
            <w:shd w:val="clear" w:color="auto" w:fill="FFFFFF"/>
            <w:tcMar>
              <w:top w:w="0" w:type="dxa"/>
              <w:left w:w="0" w:type="dxa"/>
              <w:bottom w:w="0" w:type="dxa"/>
              <w:right w:w="0" w:type="dxa"/>
            </w:tcMar>
            <w:vAlign w:val="center"/>
          </w:tcPr>
          <w:p w14:paraId="7C794234" w14:textId="77777777" w:rsidR="001C19F3" w:rsidRDefault="001C19F3" w:rsidP="00521305">
            <w:pPr>
              <w:spacing w:before="40" w:after="40"/>
              <w:ind w:left="40" w:right="40"/>
              <w:jc w:val="center"/>
            </w:pPr>
            <w:r>
              <w:rPr>
                <w:rFonts w:cs="Century Gothic"/>
                <w:color w:val="000000"/>
                <w:sz w:val="18"/>
                <w:szCs w:val="18"/>
              </w:rPr>
              <w:t>18 (4.0%)</w:t>
            </w:r>
          </w:p>
        </w:tc>
        <w:tc>
          <w:tcPr>
            <w:tcW w:w="790" w:type="pct"/>
            <w:shd w:val="clear" w:color="auto" w:fill="FFFFFF"/>
            <w:tcMar>
              <w:top w:w="0" w:type="dxa"/>
              <w:left w:w="0" w:type="dxa"/>
              <w:bottom w:w="0" w:type="dxa"/>
              <w:right w:w="0" w:type="dxa"/>
            </w:tcMar>
            <w:vAlign w:val="center"/>
          </w:tcPr>
          <w:p w14:paraId="52EDAED7" w14:textId="77777777" w:rsidR="001C19F3" w:rsidRDefault="001C19F3" w:rsidP="00521305">
            <w:pPr>
              <w:spacing w:before="40" w:after="40"/>
              <w:ind w:left="40" w:right="40"/>
              <w:jc w:val="center"/>
            </w:pPr>
            <w:r>
              <w:rPr>
                <w:rFonts w:cs="Century Gothic"/>
                <w:color w:val="000000"/>
                <w:sz w:val="18"/>
                <w:szCs w:val="18"/>
              </w:rPr>
              <w:t>1 (2.7%)</w:t>
            </w:r>
          </w:p>
        </w:tc>
        <w:tc>
          <w:tcPr>
            <w:tcW w:w="790" w:type="pct"/>
            <w:shd w:val="clear" w:color="auto" w:fill="FFFFFF"/>
            <w:tcMar>
              <w:top w:w="0" w:type="dxa"/>
              <w:left w:w="0" w:type="dxa"/>
              <w:bottom w:w="0" w:type="dxa"/>
              <w:right w:w="0" w:type="dxa"/>
            </w:tcMar>
            <w:vAlign w:val="center"/>
          </w:tcPr>
          <w:p w14:paraId="035941F4" w14:textId="77777777" w:rsidR="001C19F3" w:rsidRDefault="001C19F3" w:rsidP="00521305">
            <w:pPr>
              <w:spacing w:before="40" w:after="40"/>
              <w:ind w:left="40" w:right="40"/>
              <w:jc w:val="center"/>
            </w:pPr>
            <w:r>
              <w:rPr>
                <w:rFonts w:cs="Century Gothic"/>
                <w:color w:val="000000"/>
                <w:sz w:val="18"/>
                <w:szCs w:val="18"/>
              </w:rPr>
              <w:t>9 (4.0%)</w:t>
            </w:r>
          </w:p>
        </w:tc>
        <w:tc>
          <w:tcPr>
            <w:tcW w:w="790" w:type="pct"/>
            <w:shd w:val="clear" w:color="auto" w:fill="FFFFFF"/>
            <w:tcMar>
              <w:top w:w="0" w:type="dxa"/>
              <w:left w:w="0" w:type="dxa"/>
              <w:bottom w:w="0" w:type="dxa"/>
              <w:right w:w="0" w:type="dxa"/>
            </w:tcMar>
            <w:vAlign w:val="center"/>
          </w:tcPr>
          <w:p w14:paraId="1243EAEF" w14:textId="77777777" w:rsidR="001C19F3" w:rsidRDefault="001C19F3" w:rsidP="00521305">
            <w:pPr>
              <w:spacing w:before="40" w:after="40"/>
              <w:ind w:left="40" w:right="40"/>
              <w:jc w:val="center"/>
            </w:pPr>
            <w:r>
              <w:rPr>
                <w:rFonts w:cs="Century Gothic"/>
                <w:color w:val="000000"/>
                <w:sz w:val="18"/>
                <w:szCs w:val="18"/>
              </w:rPr>
              <w:t>8 (4.3%)</w:t>
            </w:r>
          </w:p>
        </w:tc>
        <w:tc>
          <w:tcPr>
            <w:tcW w:w="458" w:type="pct"/>
            <w:vMerge w:val="restart"/>
            <w:shd w:val="clear" w:color="auto" w:fill="FFFFFF"/>
            <w:tcMar>
              <w:top w:w="0" w:type="dxa"/>
              <w:left w:w="0" w:type="dxa"/>
              <w:bottom w:w="0" w:type="dxa"/>
              <w:right w:w="0" w:type="dxa"/>
            </w:tcMar>
            <w:vAlign w:val="center"/>
          </w:tcPr>
          <w:p w14:paraId="52989CA1"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1339279"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5D271BBF" w14:textId="77777777" w:rsidR="001C19F3" w:rsidRDefault="001C19F3" w:rsidP="00521305">
            <w:pPr>
              <w:spacing w:before="40" w:after="40"/>
              <w:ind w:left="160" w:right="40"/>
            </w:pPr>
            <w:r>
              <w:rPr>
                <w:rFonts w:cs="Century Gothic"/>
                <w:color w:val="000000"/>
                <w:sz w:val="18"/>
                <w:szCs w:val="18"/>
              </w:rPr>
              <w:t>25-44</w:t>
            </w:r>
          </w:p>
        </w:tc>
        <w:tc>
          <w:tcPr>
            <w:tcW w:w="1152" w:type="pct"/>
            <w:shd w:val="clear" w:color="auto" w:fill="FFFFFF"/>
            <w:tcMar>
              <w:top w:w="0" w:type="dxa"/>
              <w:left w:w="0" w:type="dxa"/>
              <w:bottom w:w="0" w:type="dxa"/>
              <w:right w:w="0" w:type="dxa"/>
            </w:tcMar>
            <w:vAlign w:val="center"/>
          </w:tcPr>
          <w:p w14:paraId="40605F87" w14:textId="77777777" w:rsidR="001C19F3" w:rsidRDefault="001C19F3" w:rsidP="00521305">
            <w:pPr>
              <w:spacing w:before="40" w:after="40"/>
              <w:ind w:left="40" w:right="40"/>
              <w:jc w:val="center"/>
            </w:pPr>
            <w:r>
              <w:rPr>
                <w:rFonts w:cs="Century Gothic"/>
                <w:color w:val="000000"/>
                <w:sz w:val="18"/>
                <w:szCs w:val="18"/>
              </w:rPr>
              <w:t>27 (6.0%)</w:t>
            </w:r>
          </w:p>
        </w:tc>
        <w:tc>
          <w:tcPr>
            <w:tcW w:w="790" w:type="pct"/>
            <w:shd w:val="clear" w:color="auto" w:fill="FFFFFF"/>
            <w:tcMar>
              <w:top w:w="0" w:type="dxa"/>
              <w:left w:w="0" w:type="dxa"/>
              <w:bottom w:w="0" w:type="dxa"/>
              <w:right w:w="0" w:type="dxa"/>
            </w:tcMar>
            <w:vAlign w:val="center"/>
          </w:tcPr>
          <w:p w14:paraId="4C3DA285" w14:textId="77777777" w:rsidR="001C19F3" w:rsidRDefault="001C19F3" w:rsidP="00521305">
            <w:pPr>
              <w:spacing w:before="40" w:after="40"/>
              <w:ind w:left="40" w:right="40"/>
              <w:jc w:val="center"/>
            </w:pPr>
          </w:p>
        </w:tc>
        <w:tc>
          <w:tcPr>
            <w:tcW w:w="790" w:type="pct"/>
            <w:shd w:val="clear" w:color="auto" w:fill="FFFFFF"/>
            <w:tcMar>
              <w:top w:w="0" w:type="dxa"/>
              <w:left w:w="0" w:type="dxa"/>
              <w:bottom w:w="0" w:type="dxa"/>
              <w:right w:w="0" w:type="dxa"/>
            </w:tcMar>
            <w:vAlign w:val="center"/>
          </w:tcPr>
          <w:p w14:paraId="7390B868" w14:textId="77777777" w:rsidR="001C19F3" w:rsidRDefault="001C19F3" w:rsidP="00521305">
            <w:pPr>
              <w:spacing w:before="40" w:after="40"/>
              <w:ind w:left="40" w:right="40"/>
              <w:jc w:val="center"/>
            </w:pPr>
            <w:r>
              <w:rPr>
                <w:rFonts w:cs="Century Gothic"/>
                <w:color w:val="000000"/>
                <w:sz w:val="18"/>
                <w:szCs w:val="18"/>
              </w:rPr>
              <w:t>11 (4.9%)</w:t>
            </w:r>
          </w:p>
        </w:tc>
        <w:tc>
          <w:tcPr>
            <w:tcW w:w="790" w:type="pct"/>
            <w:shd w:val="clear" w:color="auto" w:fill="FFFFFF"/>
            <w:tcMar>
              <w:top w:w="0" w:type="dxa"/>
              <w:left w:w="0" w:type="dxa"/>
              <w:bottom w:w="0" w:type="dxa"/>
              <w:right w:w="0" w:type="dxa"/>
            </w:tcMar>
            <w:vAlign w:val="center"/>
          </w:tcPr>
          <w:p w14:paraId="11FF63CC" w14:textId="77777777" w:rsidR="001C19F3" w:rsidRDefault="001C19F3" w:rsidP="00521305">
            <w:pPr>
              <w:spacing w:before="40" w:after="40"/>
              <w:ind w:left="40" w:right="40"/>
              <w:jc w:val="center"/>
            </w:pPr>
            <w:r>
              <w:rPr>
                <w:rFonts w:cs="Century Gothic"/>
                <w:color w:val="000000"/>
                <w:sz w:val="18"/>
                <w:szCs w:val="18"/>
              </w:rPr>
              <w:t>16 (8.6%)</w:t>
            </w:r>
          </w:p>
        </w:tc>
        <w:tc>
          <w:tcPr>
            <w:tcW w:w="458" w:type="pct"/>
            <w:vMerge/>
            <w:shd w:val="clear" w:color="auto" w:fill="FFFFFF"/>
            <w:tcMar>
              <w:top w:w="0" w:type="dxa"/>
              <w:left w:w="0" w:type="dxa"/>
              <w:bottom w:w="0" w:type="dxa"/>
              <w:right w:w="0" w:type="dxa"/>
            </w:tcMar>
            <w:vAlign w:val="center"/>
          </w:tcPr>
          <w:p w14:paraId="0DA43FE3" w14:textId="77777777" w:rsidR="001C19F3" w:rsidRDefault="001C19F3" w:rsidP="00521305">
            <w:pPr>
              <w:spacing w:before="40" w:after="40"/>
              <w:ind w:left="40" w:right="40"/>
              <w:jc w:val="center"/>
            </w:pPr>
          </w:p>
        </w:tc>
      </w:tr>
      <w:tr w:rsidR="001C19F3" w14:paraId="47F730C5"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62870FD6" w14:textId="77777777" w:rsidR="001C19F3" w:rsidRDefault="001C19F3" w:rsidP="00521305">
            <w:pPr>
              <w:spacing w:before="40" w:after="40"/>
              <w:ind w:left="160" w:right="40"/>
            </w:pPr>
            <w:r>
              <w:rPr>
                <w:rFonts w:cs="Century Gothic"/>
                <w:color w:val="000000"/>
                <w:sz w:val="18"/>
                <w:szCs w:val="18"/>
              </w:rPr>
              <w:t>45-64</w:t>
            </w:r>
          </w:p>
        </w:tc>
        <w:tc>
          <w:tcPr>
            <w:tcW w:w="1152" w:type="pct"/>
            <w:shd w:val="clear" w:color="auto" w:fill="FFFFFF"/>
            <w:tcMar>
              <w:top w:w="0" w:type="dxa"/>
              <w:left w:w="0" w:type="dxa"/>
              <w:bottom w:w="0" w:type="dxa"/>
              <w:right w:w="0" w:type="dxa"/>
            </w:tcMar>
            <w:vAlign w:val="center"/>
          </w:tcPr>
          <w:p w14:paraId="72776386" w14:textId="77777777" w:rsidR="001C19F3" w:rsidRDefault="001C19F3" w:rsidP="00521305">
            <w:pPr>
              <w:spacing w:before="40" w:after="40"/>
              <w:ind w:left="40" w:right="40"/>
              <w:jc w:val="center"/>
            </w:pPr>
            <w:r>
              <w:rPr>
                <w:rFonts w:cs="Century Gothic"/>
                <w:color w:val="000000"/>
                <w:sz w:val="18"/>
                <w:szCs w:val="18"/>
              </w:rPr>
              <w:t>138 (30.7%)</w:t>
            </w:r>
          </w:p>
        </w:tc>
        <w:tc>
          <w:tcPr>
            <w:tcW w:w="790" w:type="pct"/>
            <w:shd w:val="clear" w:color="auto" w:fill="FFFFFF"/>
            <w:tcMar>
              <w:top w:w="0" w:type="dxa"/>
              <w:left w:w="0" w:type="dxa"/>
              <w:bottom w:w="0" w:type="dxa"/>
              <w:right w:w="0" w:type="dxa"/>
            </w:tcMar>
            <w:vAlign w:val="center"/>
          </w:tcPr>
          <w:p w14:paraId="69320343" w14:textId="77777777" w:rsidR="001C19F3" w:rsidRDefault="001C19F3" w:rsidP="00521305">
            <w:pPr>
              <w:spacing w:before="40" w:after="40"/>
              <w:ind w:left="40" w:right="40"/>
              <w:jc w:val="center"/>
            </w:pPr>
            <w:r>
              <w:rPr>
                <w:rFonts w:cs="Century Gothic"/>
                <w:color w:val="000000"/>
                <w:sz w:val="18"/>
                <w:szCs w:val="18"/>
              </w:rPr>
              <w:t>10 (27.0%)</w:t>
            </w:r>
          </w:p>
        </w:tc>
        <w:tc>
          <w:tcPr>
            <w:tcW w:w="790" w:type="pct"/>
            <w:shd w:val="clear" w:color="auto" w:fill="FFFFFF"/>
            <w:tcMar>
              <w:top w:w="0" w:type="dxa"/>
              <w:left w:w="0" w:type="dxa"/>
              <w:bottom w:w="0" w:type="dxa"/>
              <w:right w:w="0" w:type="dxa"/>
            </w:tcMar>
            <w:vAlign w:val="center"/>
          </w:tcPr>
          <w:p w14:paraId="3EB41DA5" w14:textId="77777777" w:rsidR="001C19F3" w:rsidRDefault="001C19F3" w:rsidP="00521305">
            <w:pPr>
              <w:spacing w:before="40" w:after="40"/>
              <w:ind w:left="40" w:right="40"/>
              <w:jc w:val="center"/>
            </w:pPr>
            <w:r>
              <w:rPr>
                <w:rFonts w:cs="Century Gothic"/>
                <w:color w:val="000000"/>
                <w:sz w:val="18"/>
                <w:szCs w:val="18"/>
              </w:rPr>
              <w:t>53 (23.6%)</w:t>
            </w:r>
          </w:p>
        </w:tc>
        <w:tc>
          <w:tcPr>
            <w:tcW w:w="790" w:type="pct"/>
            <w:shd w:val="clear" w:color="auto" w:fill="FFFFFF"/>
            <w:tcMar>
              <w:top w:w="0" w:type="dxa"/>
              <w:left w:w="0" w:type="dxa"/>
              <w:bottom w:w="0" w:type="dxa"/>
              <w:right w:w="0" w:type="dxa"/>
            </w:tcMar>
            <w:vAlign w:val="center"/>
          </w:tcPr>
          <w:p w14:paraId="1EE229E5" w14:textId="77777777" w:rsidR="001C19F3" w:rsidRDefault="001C19F3" w:rsidP="00521305">
            <w:pPr>
              <w:spacing w:before="40" w:after="40"/>
              <w:ind w:left="40" w:right="40"/>
              <w:jc w:val="center"/>
            </w:pPr>
            <w:r>
              <w:rPr>
                <w:rFonts w:cs="Century Gothic"/>
                <w:color w:val="000000"/>
                <w:sz w:val="18"/>
                <w:szCs w:val="18"/>
              </w:rPr>
              <w:t>75 (40.1%)</w:t>
            </w:r>
          </w:p>
        </w:tc>
        <w:tc>
          <w:tcPr>
            <w:tcW w:w="458" w:type="pct"/>
            <w:vMerge/>
            <w:shd w:val="clear" w:color="auto" w:fill="FFFFFF"/>
            <w:tcMar>
              <w:top w:w="0" w:type="dxa"/>
              <w:left w:w="0" w:type="dxa"/>
              <w:bottom w:w="0" w:type="dxa"/>
              <w:right w:w="0" w:type="dxa"/>
            </w:tcMar>
            <w:vAlign w:val="center"/>
          </w:tcPr>
          <w:p w14:paraId="656DFFB2" w14:textId="77777777" w:rsidR="001C19F3" w:rsidRDefault="001C19F3" w:rsidP="00521305">
            <w:pPr>
              <w:spacing w:before="40" w:after="40"/>
              <w:ind w:left="40" w:right="40"/>
              <w:jc w:val="center"/>
            </w:pPr>
          </w:p>
        </w:tc>
      </w:tr>
      <w:tr w:rsidR="001C19F3" w14:paraId="6EB79844"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7116DEFD" w14:textId="77777777" w:rsidR="001C19F3" w:rsidRDefault="001C19F3" w:rsidP="00521305">
            <w:pPr>
              <w:spacing w:before="40" w:after="40"/>
              <w:ind w:left="160" w:right="40"/>
            </w:pPr>
            <w:r>
              <w:rPr>
                <w:rFonts w:cs="Century Gothic"/>
                <w:color w:val="000000"/>
                <w:sz w:val="18"/>
                <w:szCs w:val="18"/>
              </w:rPr>
              <w:t>65-74</w:t>
            </w:r>
          </w:p>
        </w:tc>
        <w:tc>
          <w:tcPr>
            <w:tcW w:w="1152" w:type="pct"/>
            <w:shd w:val="clear" w:color="auto" w:fill="FFFFFF"/>
            <w:tcMar>
              <w:top w:w="0" w:type="dxa"/>
              <w:left w:w="0" w:type="dxa"/>
              <w:bottom w:w="0" w:type="dxa"/>
              <w:right w:w="0" w:type="dxa"/>
            </w:tcMar>
            <w:vAlign w:val="center"/>
          </w:tcPr>
          <w:p w14:paraId="15757F8E" w14:textId="77777777" w:rsidR="001C19F3" w:rsidRDefault="001C19F3" w:rsidP="00521305">
            <w:pPr>
              <w:spacing w:before="40" w:after="40"/>
              <w:ind w:left="40" w:right="40"/>
              <w:jc w:val="center"/>
            </w:pPr>
            <w:r>
              <w:rPr>
                <w:rFonts w:cs="Century Gothic"/>
                <w:color w:val="000000"/>
                <w:sz w:val="18"/>
                <w:szCs w:val="18"/>
              </w:rPr>
              <w:t>108 (24.1%)</w:t>
            </w:r>
          </w:p>
        </w:tc>
        <w:tc>
          <w:tcPr>
            <w:tcW w:w="790" w:type="pct"/>
            <w:shd w:val="clear" w:color="auto" w:fill="FFFFFF"/>
            <w:tcMar>
              <w:top w:w="0" w:type="dxa"/>
              <w:left w:w="0" w:type="dxa"/>
              <w:bottom w:w="0" w:type="dxa"/>
              <w:right w:w="0" w:type="dxa"/>
            </w:tcMar>
            <w:vAlign w:val="center"/>
          </w:tcPr>
          <w:p w14:paraId="57AB36F0" w14:textId="77777777" w:rsidR="001C19F3" w:rsidRDefault="001C19F3" w:rsidP="00521305">
            <w:pPr>
              <w:spacing w:before="40" w:after="40"/>
              <w:ind w:left="40" w:right="40"/>
              <w:jc w:val="center"/>
            </w:pPr>
            <w:r>
              <w:rPr>
                <w:rFonts w:cs="Century Gothic"/>
                <w:color w:val="000000"/>
                <w:sz w:val="18"/>
                <w:szCs w:val="18"/>
              </w:rPr>
              <w:t>13 (35.1%)</w:t>
            </w:r>
          </w:p>
        </w:tc>
        <w:tc>
          <w:tcPr>
            <w:tcW w:w="790" w:type="pct"/>
            <w:shd w:val="clear" w:color="auto" w:fill="FFFFFF"/>
            <w:tcMar>
              <w:top w:w="0" w:type="dxa"/>
              <w:left w:w="0" w:type="dxa"/>
              <w:bottom w:w="0" w:type="dxa"/>
              <w:right w:w="0" w:type="dxa"/>
            </w:tcMar>
            <w:vAlign w:val="center"/>
          </w:tcPr>
          <w:p w14:paraId="5E67728C" w14:textId="77777777" w:rsidR="001C19F3" w:rsidRDefault="001C19F3" w:rsidP="00521305">
            <w:pPr>
              <w:spacing w:before="40" w:after="40"/>
              <w:ind w:left="40" w:right="40"/>
              <w:jc w:val="center"/>
            </w:pPr>
            <w:r>
              <w:rPr>
                <w:rFonts w:cs="Century Gothic"/>
                <w:color w:val="000000"/>
                <w:sz w:val="18"/>
                <w:szCs w:val="18"/>
              </w:rPr>
              <w:t>61 (27.1%)</w:t>
            </w:r>
          </w:p>
        </w:tc>
        <w:tc>
          <w:tcPr>
            <w:tcW w:w="790" w:type="pct"/>
            <w:shd w:val="clear" w:color="auto" w:fill="FFFFFF"/>
            <w:tcMar>
              <w:top w:w="0" w:type="dxa"/>
              <w:left w:w="0" w:type="dxa"/>
              <w:bottom w:w="0" w:type="dxa"/>
              <w:right w:w="0" w:type="dxa"/>
            </w:tcMar>
            <w:vAlign w:val="center"/>
          </w:tcPr>
          <w:p w14:paraId="41A24B23" w14:textId="77777777" w:rsidR="001C19F3" w:rsidRDefault="001C19F3" w:rsidP="00521305">
            <w:pPr>
              <w:spacing w:before="40" w:after="40"/>
              <w:ind w:left="40" w:right="40"/>
              <w:jc w:val="center"/>
            </w:pPr>
            <w:r>
              <w:rPr>
                <w:rFonts w:cs="Century Gothic"/>
                <w:color w:val="000000"/>
                <w:sz w:val="18"/>
                <w:szCs w:val="18"/>
              </w:rPr>
              <w:t>34 (18.2%)</w:t>
            </w:r>
          </w:p>
        </w:tc>
        <w:tc>
          <w:tcPr>
            <w:tcW w:w="458" w:type="pct"/>
            <w:vMerge/>
            <w:shd w:val="clear" w:color="auto" w:fill="FFFFFF"/>
            <w:tcMar>
              <w:top w:w="0" w:type="dxa"/>
              <w:left w:w="0" w:type="dxa"/>
              <w:bottom w:w="0" w:type="dxa"/>
              <w:right w:w="0" w:type="dxa"/>
            </w:tcMar>
            <w:vAlign w:val="center"/>
          </w:tcPr>
          <w:p w14:paraId="0A29553C" w14:textId="77777777" w:rsidR="001C19F3" w:rsidRDefault="001C19F3" w:rsidP="00521305">
            <w:pPr>
              <w:spacing w:before="40" w:after="40"/>
              <w:ind w:left="40" w:right="40"/>
              <w:jc w:val="center"/>
            </w:pPr>
          </w:p>
        </w:tc>
      </w:tr>
      <w:tr w:rsidR="001C19F3" w14:paraId="73D556CE"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14594EC2" w14:textId="77777777" w:rsidR="001C19F3" w:rsidRDefault="001C19F3" w:rsidP="00521305">
            <w:pPr>
              <w:spacing w:before="40" w:after="40"/>
              <w:ind w:left="160" w:right="40"/>
            </w:pPr>
            <w:r>
              <w:rPr>
                <w:rFonts w:cs="Century Gothic"/>
                <w:color w:val="000000"/>
                <w:sz w:val="18"/>
                <w:szCs w:val="18"/>
              </w:rPr>
              <w:t>75-84</w:t>
            </w:r>
          </w:p>
        </w:tc>
        <w:tc>
          <w:tcPr>
            <w:tcW w:w="1152" w:type="pct"/>
            <w:shd w:val="clear" w:color="auto" w:fill="FFFFFF"/>
            <w:tcMar>
              <w:top w:w="0" w:type="dxa"/>
              <w:left w:w="0" w:type="dxa"/>
              <w:bottom w:w="0" w:type="dxa"/>
              <w:right w:w="0" w:type="dxa"/>
            </w:tcMar>
            <w:vAlign w:val="center"/>
          </w:tcPr>
          <w:p w14:paraId="412F2B3D" w14:textId="77777777" w:rsidR="001C19F3" w:rsidRDefault="001C19F3" w:rsidP="00521305">
            <w:pPr>
              <w:spacing w:before="40" w:after="40"/>
              <w:ind w:left="40" w:right="40"/>
              <w:jc w:val="center"/>
            </w:pPr>
            <w:r>
              <w:rPr>
                <w:rFonts w:cs="Century Gothic"/>
                <w:color w:val="000000"/>
                <w:sz w:val="18"/>
                <w:szCs w:val="18"/>
              </w:rPr>
              <w:t>107 (23.8%)</w:t>
            </w:r>
          </w:p>
        </w:tc>
        <w:tc>
          <w:tcPr>
            <w:tcW w:w="790" w:type="pct"/>
            <w:shd w:val="clear" w:color="auto" w:fill="FFFFFF"/>
            <w:tcMar>
              <w:top w:w="0" w:type="dxa"/>
              <w:left w:w="0" w:type="dxa"/>
              <w:bottom w:w="0" w:type="dxa"/>
              <w:right w:w="0" w:type="dxa"/>
            </w:tcMar>
            <w:vAlign w:val="center"/>
          </w:tcPr>
          <w:p w14:paraId="499A96EE" w14:textId="77777777" w:rsidR="001C19F3" w:rsidRDefault="001C19F3" w:rsidP="00521305">
            <w:pPr>
              <w:spacing w:before="40" w:after="40"/>
              <w:ind w:left="40" w:right="40"/>
              <w:jc w:val="center"/>
            </w:pPr>
            <w:r>
              <w:rPr>
                <w:rFonts w:cs="Century Gothic"/>
                <w:color w:val="000000"/>
                <w:sz w:val="18"/>
                <w:szCs w:val="18"/>
              </w:rPr>
              <w:t>9 (24.3%)</w:t>
            </w:r>
          </w:p>
        </w:tc>
        <w:tc>
          <w:tcPr>
            <w:tcW w:w="790" w:type="pct"/>
            <w:shd w:val="clear" w:color="auto" w:fill="FFFFFF"/>
            <w:tcMar>
              <w:top w:w="0" w:type="dxa"/>
              <w:left w:w="0" w:type="dxa"/>
              <w:bottom w:w="0" w:type="dxa"/>
              <w:right w:w="0" w:type="dxa"/>
            </w:tcMar>
            <w:vAlign w:val="center"/>
          </w:tcPr>
          <w:p w14:paraId="4A9D0526" w14:textId="77777777" w:rsidR="001C19F3" w:rsidRDefault="001C19F3" w:rsidP="00521305">
            <w:pPr>
              <w:spacing w:before="40" w:after="40"/>
              <w:ind w:left="40" w:right="40"/>
              <w:jc w:val="center"/>
            </w:pPr>
            <w:r>
              <w:rPr>
                <w:rFonts w:cs="Century Gothic"/>
                <w:color w:val="000000"/>
                <w:sz w:val="18"/>
                <w:szCs w:val="18"/>
              </w:rPr>
              <w:t>72 (32.0%)</w:t>
            </w:r>
          </w:p>
        </w:tc>
        <w:tc>
          <w:tcPr>
            <w:tcW w:w="790" w:type="pct"/>
            <w:shd w:val="clear" w:color="auto" w:fill="FFFFFF"/>
            <w:tcMar>
              <w:top w:w="0" w:type="dxa"/>
              <w:left w:w="0" w:type="dxa"/>
              <w:bottom w:w="0" w:type="dxa"/>
              <w:right w:w="0" w:type="dxa"/>
            </w:tcMar>
            <w:vAlign w:val="center"/>
          </w:tcPr>
          <w:p w14:paraId="04DB50BC" w14:textId="77777777" w:rsidR="001C19F3" w:rsidRDefault="001C19F3" w:rsidP="00521305">
            <w:pPr>
              <w:spacing w:before="40" w:after="40"/>
              <w:ind w:left="40" w:right="40"/>
              <w:jc w:val="center"/>
            </w:pPr>
            <w:r>
              <w:rPr>
                <w:rFonts w:cs="Century Gothic"/>
                <w:color w:val="000000"/>
                <w:sz w:val="18"/>
                <w:szCs w:val="18"/>
              </w:rPr>
              <w:t>26 (13.9%)</w:t>
            </w:r>
          </w:p>
        </w:tc>
        <w:tc>
          <w:tcPr>
            <w:tcW w:w="458" w:type="pct"/>
            <w:vMerge/>
            <w:shd w:val="clear" w:color="auto" w:fill="FFFFFF"/>
            <w:tcMar>
              <w:top w:w="0" w:type="dxa"/>
              <w:left w:w="0" w:type="dxa"/>
              <w:bottom w:w="0" w:type="dxa"/>
              <w:right w:w="0" w:type="dxa"/>
            </w:tcMar>
            <w:vAlign w:val="center"/>
          </w:tcPr>
          <w:p w14:paraId="6CB4EC2C" w14:textId="77777777" w:rsidR="001C19F3" w:rsidRDefault="001C19F3" w:rsidP="00521305">
            <w:pPr>
              <w:spacing w:before="40" w:after="40"/>
              <w:ind w:left="40" w:right="40"/>
              <w:jc w:val="center"/>
            </w:pPr>
          </w:p>
        </w:tc>
      </w:tr>
      <w:tr w:rsidR="001C19F3" w14:paraId="791F585E"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5A7022BB" w14:textId="77777777" w:rsidR="001C19F3" w:rsidRDefault="001C19F3" w:rsidP="00521305">
            <w:pPr>
              <w:spacing w:before="40" w:after="40"/>
              <w:ind w:left="160" w:right="40"/>
            </w:pPr>
            <w:r>
              <w:rPr>
                <w:rFonts w:cs="Century Gothic"/>
                <w:color w:val="000000"/>
                <w:sz w:val="18"/>
                <w:szCs w:val="18"/>
              </w:rPr>
              <w:t>85+</w:t>
            </w:r>
          </w:p>
        </w:tc>
        <w:tc>
          <w:tcPr>
            <w:tcW w:w="1152" w:type="pct"/>
            <w:shd w:val="clear" w:color="auto" w:fill="FFFFFF"/>
            <w:tcMar>
              <w:top w:w="0" w:type="dxa"/>
              <w:left w:w="0" w:type="dxa"/>
              <w:bottom w:w="0" w:type="dxa"/>
              <w:right w:w="0" w:type="dxa"/>
            </w:tcMar>
            <w:vAlign w:val="center"/>
          </w:tcPr>
          <w:p w14:paraId="1AF1508E" w14:textId="77777777" w:rsidR="001C19F3" w:rsidRDefault="001C19F3" w:rsidP="00521305">
            <w:pPr>
              <w:spacing w:before="40" w:after="40"/>
              <w:ind w:left="40" w:right="40"/>
              <w:jc w:val="center"/>
            </w:pPr>
            <w:r>
              <w:rPr>
                <w:rFonts w:cs="Century Gothic"/>
                <w:color w:val="000000"/>
                <w:sz w:val="18"/>
                <w:szCs w:val="18"/>
              </w:rPr>
              <w:t>51 (11.4%)</w:t>
            </w:r>
          </w:p>
        </w:tc>
        <w:tc>
          <w:tcPr>
            <w:tcW w:w="790" w:type="pct"/>
            <w:shd w:val="clear" w:color="auto" w:fill="FFFFFF"/>
            <w:tcMar>
              <w:top w:w="0" w:type="dxa"/>
              <w:left w:w="0" w:type="dxa"/>
              <w:bottom w:w="0" w:type="dxa"/>
              <w:right w:w="0" w:type="dxa"/>
            </w:tcMar>
            <w:vAlign w:val="center"/>
          </w:tcPr>
          <w:p w14:paraId="36AC0B4A" w14:textId="77777777" w:rsidR="001C19F3" w:rsidRDefault="001C19F3" w:rsidP="00521305">
            <w:pPr>
              <w:spacing w:before="40" w:after="40"/>
              <w:ind w:left="40" w:right="40"/>
              <w:jc w:val="center"/>
            </w:pPr>
            <w:r>
              <w:rPr>
                <w:rFonts w:cs="Century Gothic"/>
                <w:color w:val="000000"/>
                <w:sz w:val="18"/>
                <w:szCs w:val="18"/>
              </w:rPr>
              <w:t>4 (10.8%)</w:t>
            </w:r>
          </w:p>
        </w:tc>
        <w:tc>
          <w:tcPr>
            <w:tcW w:w="790" w:type="pct"/>
            <w:shd w:val="clear" w:color="auto" w:fill="FFFFFF"/>
            <w:tcMar>
              <w:top w:w="0" w:type="dxa"/>
              <w:left w:w="0" w:type="dxa"/>
              <w:bottom w:w="0" w:type="dxa"/>
              <w:right w:w="0" w:type="dxa"/>
            </w:tcMar>
            <w:vAlign w:val="center"/>
          </w:tcPr>
          <w:p w14:paraId="0139D61A" w14:textId="77777777" w:rsidR="001C19F3" w:rsidRDefault="001C19F3" w:rsidP="00521305">
            <w:pPr>
              <w:spacing w:before="40" w:after="40"/>
              <w:ind w:left="40" w:right="40"/>
              <w:jc w:val="center"/>
            </w:pPr>
            <w:r>
              <w:rPr>
                <w:rFonts w:cs="Century Gothic"/>
                <w:color w:val="000000"/>
                <w:sz w:val="18"/>
                <w:szCs w:val="18"/>
              </w:rPr>
              <w:t>19 (8.4%)</w:t>
            </w:r>
          </w:p>
        </w:tc>
        <w:tc>
          <w:tcPr>
            <w:tcW w:w="790" w:type="pct"/>
            <w:shd w:val="clear" w:color="auto" w:fill="FFFFFF"/>
            <w:tcMar>
              <w:top w:w="0" w:type="dxa"/>
              <w:left w:w="0" w:type="dxa"/>
              <w:bottom w:w="0" w:type="dxa"/>
              <w:right w:w="0" w:type="dxa"/>
            </w:tcMar>
            <w:vAlign w:val="center"/>
          </w:tcPr>
          <w:p w14:paraId="22D74A1C" w14:textId="77777777" w:rsidR="001C19F3" w:rsidRDefault="001C19F3" w:rsidP="00521305">
            <w:pPr>
              <w:spacing w:before="40" w:after="40"/>
              <w:ind w:left="40" w:right="40"/>
              <w:jc w:val="center"/>
            </w:pPr>
            <w:r>
              <w:rPr>
                <w:rFonts w:cs="Century Gothic"/>
                <w:color w:val="000000"/>
                <w:sz w:val="18"/>
                <w:szCs w:val="18"/>
              </w:rPr>
              <w:t>28 (15.0%)</w:t>
            </w:r>
          </w:p>
        </w:tc>
        <w:tc>
          <w:tcPr>
            <w:tcW w:w="458" w:type="pct"/>
            <w:vMerge/>
            <w:shd w:val="clear" w:color="auto" w:fill="FFFFFF"/>
            <w:tcMar>
              <w:top w:w="0" w:type="dxa"/>
              <w:left w:w="0" w:type="dxa"/>
              <w:bottom w:w="0" w:type="dxa"/>
              <w:right w:w="0" w:type="dxa"/>
            </w:tcMar>
            <w:vAlign w:val="center"/>
          </w:tcPr>
          <w:p w14:paraId="3842E386" w14:textId="77777777" w:rsidR="001C19F3" w:rsidRDefault="001C19F3" w:rsidP="00521305">
            <w:pPr>
              <w:spacing w:before="40" w:after="40"/>
              <w:ind w:left="40" w:right="40"/>
              <w:jc w:val="center"/>
            </w:pPr>
          </w:p>
        </w:tc>
      </w:tr>
      <w:tr w:rsidR="001C19F3" w14:paraId="5B626B8D"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428DF7A6" w14:textId="77777777" w:rsidR="001C19F3" w:rsidRDefault="001C19F3" w:rsidP="00521305">
            <w:pPr>
              <w:spacing w:before="40" w:after="40"/>
              <w:ind w:left="40" w:right="40"/>
            </w:pPr>
            <w:r>
              <w:rPr>
                <w:rFonts w:cs="Century Gothic"/>
                <w:b/>
                <w:color w:val="000000"/>
                <w:sz w:val="18"/>
                <w:szCs w:val="18"/>
              </w:rPr>
              <w:t>A4 English speaking</w:t>
            </w:r>
          </w:p>
        </w:tc>
      </w:tr>
      <w:tr w:rsidR="001C19F3" w14:paraId="32D3BE49"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69C4EEAA" w14:textId="77777777" w:rsidR="001C19F3" w:rsidRDefault="001C19F3" w:rsidP="00521305">
            <w:pPr>
              <w:spacing w:before="40" w:after="40"/>
              <w:ind w:left="160" w:right="40"/>
            </w:pPr>
            <w:r>
              <w:rPr>
                <w:rFonts w:cs="Century Gothic"/>
                <w:color w:val="000000"/>
                <w:sz w:val="18"/>
                <w:szCs w:val="18"/>
              </w:rPr>
              <w:t>FALSE</w:t>
            </w:r>
          </w:p>
        </w:tc>
        <w:tc>
          <w:tcPr>
            <w:tcW w:w="1152" w:type="pct"/>
            <w:shd w:val="clear" w:color="auto" w:fill="FFFFFF"/>
            <w:tcMar>
              <w:top w:w="0" w:type="dxa"/>
              <w:left w:w="0" w:type="dxa"/>
              <w:bottom w:w="0" w:type="dxa"/>
              <w:right w:w="0" w:type="dxa"/>
            </w:tcMar>
            <w:vAlign w:val="center"/>
          </w:tcPr>
          <w:p w14:paraId="4304E5EB" w14:textId="77777777" w:rsidR="001C19F3" w:rsidRDefault="001C19F3" w:rsidP="00521305">
            <w:pPr>
              <w:spacing w:before="40" w:after="40"/>
              <w:ind w:left="40" w:right="40"/>
              <w:jc w:val="center"/>
            </w:pPr>
            <w:r>
              <w:rPr>
                <w:rFonts w:cs="Century Gothic"/>
                <w:color w:val="000000"/>
                <w:sz w:val="18"/>
                <w:szCs w:val="18"/>
              </w:rPr>
              <w:t>43 (9.2%)</w:t>
            </w:r>
          </w:p>
        </w:tc>
        <w:tc>
          <w:tcPr>
            <w:tcW w:w="790" w:type="pct"/>
            <w:shd w:val="clear" w:color="auto" w:fill="FFFFFF"/>
            <w:tcMar>
              <w:top w:w="0" w:type="dxa"/>
              <w:left w:w="0" w:type="dxa"/>
              <w:bottom w:w="0" w:type="dxa"/>
              <w:right w:w="0" w:type="dxa"/>
            </w:tcMar>
            <w:vAlign w:val="center"/>
          </w:tcPr>
          <w:p w14:paraId="2DF5535F" w14:textId="77777777" w:rsidR="001C19F3" w:rsidRDefault="001C19F3" w:rsidP="00521305">
            <w:pPr>
              <w:spacing w:before="40" w:after="40"/>
              <w:ind w:left="40" w:right="40"/>
              <w:jc w:val="center"/>
            </w:pPr>
            <w:r>
              <w:rPr>
                <w:rFonts w:cs="Century Gothic"/>
                <w:color w:val="000000"/>
                <w:sz w:val="18"/>
                <w:szCs w:val="18"/>
              </w:rPr>
              <w:t>1 (2.3%)</w:t>
            </w:r>
          </w:p>
        </w:tc>
        <w:tc>
          <w:tcPr>
            <w:tcW w:w="790" w:type="pct"/>
            <w:shd w:val="clear" w:color="auto" w:fill="FFFFFF"/>
            <w:tcMar>
              <w:top w:w="0" w:type="dxa"/>
              <w:left w:w="0" w:type="dxa"/>
              <w:bottom w:w="0" w:type="dxa"/>
              <w:right w:w="0" w:type="dxa"/>
            </w:tcMar>
            <w:vAlign w:val="center"/>
          </w:tcPr>
          <w:p w14:paraId="378C25AD" w14:textId="77777777" w:rsidR="001C19F3" w:rsidRDefault="001C19F3" w:rsidP="00521305">
            <w:pPr>
              <w:spacing w:before="40" w:after="40"/>
              <w:ind w:left="40" w:right="40"/>
              <w:jc w:val="center"/>
            </w:pPr>
            <w:r>
              <w:rPr>
                <w:rFonts w:cs="Century Gothic"/>
                <w:color w:val="000000"/>
                <w:sz w:val="18"/>
                <w:szCs w:val="18"/>
              </w:rPr>
              <w:t>20 (8.5%)</w:t>
            </w:r>
          </w:p>
        </w:tc>
        <w:tc>
          <w:tcPr>
            <w:tcW w:w="790" w:type="pct"/>
            <w:shd w:val="clear" w:color="auto" w:fill="FFFFFF"/>
            <w:tcMar>
              <w:top w:w="0" w:type="dxa"/>
              <w:left w:w="0" w:type="dxa"/>
              <w:bottom w:w="0" w:type="dxa"/>
              <w:right w:w="0" w:type="dxa"/>
            </w:tcMar>
            <w:vAlign w:val="center"/>
          </w:tcPr>
          <w:p w14:paraId="168E203D" w14:textId="77777777" w:rsidR="001C19F3" w:rsidRDefault="001C19F3" w:rsidP="00521305">
            <w:pPr>
              <w:spacing w:before="40" w:after="40"/>
              <w:ind w:left="40" w:right="40"/>
              <w:jc w:val="center"/>
            </w:pPr>
            <w:r>
              <w:rPr>
                <w:rFonts w:cs="Century Gothic"/>
                <w:color w:val="000000"/>
                <w:sz w:val="18"/>
                <w:szCs w:val="18"/>
              </w:rPr>
              <w:t>22 (11.6%)</w:t>
            </w:r>
          </w:p>
        </w:tc>
        <w:tc>
          <w:tcPr>
            <w:tcW w:w="458" w:type="pct"/>
            <w:vMerge w:val="restart"/>
            <w:shd w:val="clear" w:color="auto" w:fill="FFFFFF"/>
            <w:tcMar>
              <w:top w:w="0" w:type="dxa"/>
              <w:left w:w="0" w:type="dxa"/>
              <w:bottom w:w="0" w:type="dxa"/>
              <w:right w:w="0" w:type="dxa"/>
            </w:tcMar>
            <w:vAlign w:val="center"/>
          </w:tcPr>
          <w:p w14:paraId="65777516" w14:textId="77777777" w:rsidR="001C19F3" w:rsidRDefault="001C19F3" w:rsidP="00521305">
            <w:pPr>
              <w:spacing w:before="40" w:after="40"/>
              <w:ind w:left="40" w:right="40"/>
              <w:jc w:val="center"/>
            </w:pPr>
            <w:r>
              <w:rPr>
                <w:rFonts w:cs="Century Gothic"/>
                <w:color w:val="000000"/>
                <w:sz w:val="18"/>
                <w:szCs w:val="18"/>
              </w:rPr>
              <w:t>0.134</w:t>
            </w:r>
          </w:p>
        </w:tc>
      </w:tr>
      <w:tr w:rsidR="001C19F3" w14:paraId="1FFB7BF2"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0037C293" w14:textId="77777777" w:rsidR="001C19F3" w:rsidRDefault="001C19F3" w:rsidP="00521305">
            <w:pPr>
              <w:spacing w:before="40" w:after="40"/>
              <w:ind w:left="160" w:right="40"/>
            </w:pPr>
            <w:r>
              <w:rPr>
                <w:rFonts w:cs="Century Gothic"/>
                <w:color w:val="000000"/>
                <w:sz w:val="18"/>
                <w:szCs w:val="18"/>
              </w:rPr>
              <w:t>TRUE</w:t>
            </w:r>
          </w:p>
        </w:tc>
        <w:tc>
          <w:tcPr>
            <w:tcW w:w="1152" w:type="pct"/>
            <w:shd w:val="clear" w:color="auto" w:fill="FFFFFF"/>
            <w:tcMar>
              <w:top w:w="0" w:type="dxa"/>
              <w:left w:w="0" w:type="dxa"/>
              <w:bottom w:w="0" w:type="dxa"/>
              <w:right w:w="0" w:type="dxa"/>
            </w:tcMar>
            <w:vAlign w:val="center"/>
          </w:tcPr>
          <w:p w14:paraId="763042E3" w14:textId="77777777" w:rsidR="001C19F3" w:rsidRDefault="001C19F3" w:rsidP="00521305">
            <w:pPr>
              <w:spacing w:before="40" w:after="40"/>
              <w:ind w:left="40" w:right="40"/>
              <w:jc w:val="center"/>
            </w:pPr>
            <w:r>
              <w:rPr>
                <w:rFonts w:cs="Century Gothic"/>
                <w:color w:val="000000"/>
                <w:sz w:val="18"/>
                <w:szCs w:val="18"/>
              </w:rPr>
              <w:t>425 (90.8%)</w:t>
            </w:r>
          </w:p>
        </w:tc>
        <w:tc>
          <w:tcPr>
            <w:tcW w:w="790" w:type="pct"/>
            <w:shd w:val="clear" w:color="auto" w:fill="FFFFFF"/>
            <w:tcMar>
              <w:top w:w="0" w:type="dxa"/>
              <w:left w:w="0" w:type="dxa"/>
              <w:bottom w:w="0" w:type="dxa"/>
              <w:right w:w="0" w:type="dxa"/>
            </w:tcMar>
            <w:vAlign w:val="center"/>
          </w:tcPr>
          <w:p w14:paraId="3482F53B" w14:textId="77777777" w:rsidR="001C19F3" w:rsidRDefault="001C19F3" w:rsidP="00521305">
            <w:pPr>
              <w:spacing w:before="40" w:after="40"/>
              <w:ind w:left="40" w:right="40"/>
              <w:jc w:val="center"/>
            </w:pPr>
            <w:r>
              <w:rPr>
                <w:rFonts w:cs="Century Gothic"/>
                <w:color w:val="000000"/>
                <w:sz w:val="18"/>
                <w:szCs w:val="18"/>
              </w:rPr>
              <w:t>43 (97.7%)</w:t>
            </w:r>
          </w:p>
        </w:tc>
        <w:tc>
          <w:tcPr>
            <w:tcW w:w="790" w:type="pct"/>
            <w:shd w:val="clear" w:color="auto" w:fill="FFFFFF"/>
            <w:tcMar>
              <w:top w:w="0" w:type="dxa"/>
              <w:left w:w="0" w:type="dxa"/>
              <w:bottom w:w="0" w:type="dxa"/>
              <w:right w:w="0" w:type="dxa"/>
            </w:tcMar>
            <w:vAlign w:val="center"/>
          </w:tcPr>
          <w:p w14:paraId="1F06968D" w14:textId="77777777" w:rsidR="001C19F3" w:rsidRDefault="001C19F3" w:rsidP="00521305">
            <w:pPr>
              <w:spacing w:before="40" w:after="40"/>
              <w:ind w:left="40" w:right="40"/>
              <w:jc w:val="center"/>
            </w:pPr>
            <w:r>
              <w:rPr>
                <w:rFonts w:cs="Century Gothic"/>
                <w:color w:val="000000"/>
                <w:sz w:val="18"/>
                <w:szCs w:val="18"/>
              </w:rPr>
              <w:t>215 (91.5%)</w:t>
            </w:r>
          </w:p>
        </w:tc>
        <w:tc>
          <w:tcPr>
            <w:tcW w:w="790" w:type="pct"/>
            <w:shd w:val="clear" w:color="auto" w:fill="FFFFFF"/>
            <w:tcMar>
              <w:top w:w="0" w:type="dxa"/>
              <w:left w:w="0" w:type="dxa"/>
              <w:bottom w:w="0" w:type="dxa"/>
              <w:right w:w="0" w:type="dxa"/>
            </w:tcMar>
            <w:vAlign w:val="center"/>
          </w:tcPr>
          <w:p w14:paraId="5ACA68F3" w14:textId="77777777" w:rsidR="001C19F3" w:rsidRDefault="001C19F3" w:rsidP="00521305">
            <w:pPr>
              <w:spacing w:before="40" w:after="40"/>
              <w:ind w:left="40" w:right="40"/>
              <w:jc w:val="center"/>
            </w:pPr>
            <w:r>
              <w:rPr>
                <w:rFonts w:cs="Century Gothic"/>
                <w:color w:val="000000"/>
                <w:sz w:val="18"/>
                <w:szCs w:val="18"/>
              </w:rPr>
              <w:t>167 (88.4%)</w:t>
            </w:r>
          </w:p>
        </w:tc>
        <w:tc>
          <w:tcPr>
            <w:tcW w:w="458" w:type="pct"/>
            <w:vMerge/>
            <w:shd w:val="clear" w:color="auto" w:fill="FFFFFF"/>
            <w:tcMar>
              <w:top w:w="0" w:type="dxa"/>
              <w:left w:w="0" w:type="dxa"/>
              <w:bottom w:w="0" w:type="dxa"/>
              <w:right w:w="0" w:type="dxa"/>
            </w:tcMar>
            <w:vAlign w:val="center"/>
          </w:tcPr>
          <w:p w14:paraId="2229284B" w14:textId="77777777" w:rsidR="001C19F3" w:rsidRDefault="001C19F3" w:rsidP="00521305">
            <w:pPr>
              <w:spacing w:before="40" w:after="40"/>
              <w:ind w:left="40" w:right="40"/>
              <w:jc w:val="center"/>
            </w:pPr>
          </w:p>
        </w:tc>
      </w:tr>
      <w:tr w:rsidR="001C19F3" w14:paraId="4F41B46D"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0DCEBD52" w14:textId="77777777" w:rsidR="001C19F3" w:rsidRDefault="001C19F3" w:rsidP="00521305">
            <w:pPr>
              <w:spacing w:before="40" w:after="40"/>
              <w:ind w:left="40" w:right="40"/>
            </w:pPr>
            <w:r>
              <w:rPr>
                <w:rFonts w:cs="Century Gothic"/>
                <w:b/>
                <w:color w:val="000000"/>
                <w:sz w:val="18"/>
                <w:szCs w:val="18"/>
              </w:rPr>
              <w:t>A5 Hospitalised in the last 6 months</w:t>
            </w:r>
          </w:p>
        </w:tc>
      </w:tr>
      <w:tr w:rsidR="001C19F3" w14:paraId="0D375753"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26B397EF" w14:textId="77777777" w:rsidR="001C19F3" w:rsidRDefault="001C19F3" w:rsidP="00521305">
            <w:pPr>
              <w:spacing w:before="40" w:after="40"/>
              <w:ind w:left="160" w:right="40"/>
            </w:pPr>
            <w:r>
              <w:rPr>
                <w:rFonts w:cs="Century Gothic"/>
                <w:color w:val="000000"/>
                <w:sz w:val="18"/>
                <w:szCs w:val="18"/>
              </w:rPr>
              <w:t>FALSE</w:t>
            </w:r>
          </w:p>
        </w:tc>
        <w:tc>
          <w:tcPr>
            <w:tcW w:w="1152" w:type="pct"/>
            <w:shd w:val="clear" w:color="auto" w:fill="FFFFFF"/>
            <w:tcMar>
              <w:top w:w="0" w:type="dxa"/>
              <w:left w:w="0" w:type="dxa"/>
              <w:bottom w:w="0" w:type="dxa"/>
              <w:right w:w="0" w:type="dxa"/>
            </w:tcMar>
            <w:vAlign w:val="center"/>
          </w:tcPr>
          <w:p w14:paraId="52D87999" w14:textId="77777777" w:rsidR="001C19F3" w:rsidRDefault="001C19F3" w:rsidP="00521305">
            <w:pPr>
              <w:spacing w:before="40" w:after="40"/>
              <w:ind w:left="40" w:right="40"/>
              <w:jc w:val="center"/>
            </w:pPr>
            <w:r>
              <w:rPr>
                <w:rFonts w:cs="Century Gothic"/>
                <w:color w:val="000000"/>
                <w:sz w:val="18"/>
                <w:szCs w:val="18"/>
              </w:rPr>
              <w:t>393 (84.0%)</w:t>
            </w:r>
          </w:p>
        </w:tc>
        <w:tc>
          <w:tcPr>
            <w:tcW w:w="790" w:type="pct"/>
            <w:shd w:val="clear" w:color="auto" w:fill="FFFFFF"/>
            <w:tcMar>
              <w:top w:w="0" w:type="dxa"/>
              <w:left w:w="0" w:type="dxa"/>
              <w:bottom w:w="0" w:type="dxa"/>
              <w:right w:w="0" w:type="dxa"/>
            </w:tcMar>
            <w:vAlign w:val="center"/>
          </w:tcPr>
          <w:p w14:paraId="55BDD140" w14:textId="77777777" w:rsidR="001C19F3" w:rsidRDefault="001C19F3" w:rsidP="00521305">
            <w:pPr>
              <w:spacing w:before="40" w:after="40"/>
              <w:ind w:left="40" w:right="40"/>
              <w:jc w:val="center"/>
            </w:pPr>
            <w:r>
              <w:rPr>
                <w:rFonts w:cs="Century Gothic"/>
                <w:color w:val="000000"/>
                <w:sz w:val="18"/>
                <w:szCs w:val="18"/>
              </w:rPr>
              <w:t>39 (88.6%)</w:t>
            </w:r>
          </w:p>
        </w:tc>
        <w:tc>
          <w:tcPr>
            <w:tcW w:w="790" w:type="pct"/>
            <w:shd w:val="clear" w:color="auto" w:fill="FFFFFF"/>
            <w:tcMar>
              <w:top w:w="0" w:type="dxa"/>
              <w:left w:w="0" w:type="dxa"/>
              <w:bottom w:w="0" w:type="dxa"/>
              <w:right w:w="0" w:type="dxa"/>
            </w:tcMar>
            <w:vAlign w:val="center"/>
          </w:tcPr>
          <w:p w14:paraId="6E1168F3" w14:textId="77777777" w:rsidR="001C19F3" w:rsidRDefault="001C19F3" w:rsidP="00521305">
            <w:pPr>
              <w:spacing w:before="40" w:after="40"/>
              <w:ind w:left="40" w:right="40"/>
              <w:jc w:val="center"/>
            </w:pPr>
            <w:r>
              <w:rPr>
                <w:rFonts w:cs="Century Gothic"/>
                <w:color w:val="000000"/>
                <w:sz w:val="18"/>
                <w:szCs w:val="18"/>
              </w:rPr>
              <w:t>214 (91.1%)</w:t>
            </w:r>
          </w:p>
        </w:tc>
        <w:tc>
          <w:tcPr>
            <w:tcW w:w="790" w:type="pct"/>
            <w:shd w:val="clear" w:color="auto" w:fill="FFFFFF"/>
            <w:tcMar>
              <w:top w:w="0" w:type="dxa"/>
              <w:left w:w="0" w:type="dxa"/>
              <w:bottom w:w="0" w:type="dxa"/>
              <w:right w:w="0" w:type="dxa"/>
            </w:tcMar>
            <w:vAlign w:val="center"/>
          </w:tcPr>
          <w:p w14:paraId="2CF43747" w14:textId="77777777" w:rsidR="001C19F3" w:rsidRDefault="001C19F3" w:rsidP="00521305">
            <w:pPr>
              <w:spacing w:before="40" w:after="40"/>
              <w:ind w:left="40" w:right="40"/>
              <w:jc w:val="center"/>
            </w:pPr>
            <w:r>
              <w:rPr>
                <w:rFonts w:cs="Century Gothic"/>
                <w:color w:val="000000"/>
                <w:sz w:val="18"/>
                <w:szCs w:val="18"/>
              </w:rPr>
              <w:t>140 (74.1%)</w:t>
            </w:r>
          </w:p>
        </w:tc>
        <w:tc>
          <w:tcPr>
            <w:tcW w:w="458" w:type="pct"/>
            <w:vMerge w:val="restart"/>
            <w:shd w:val="clear" w:color="auto" w:fill="FFFFFF"/>
            <w:tcMar>
              <w:top w:w="0" w:type="dxa"/>
              <w:left w:w="0" w:type="dxa"/>
              <w:bottom w:w="0" w:type="dxa"/>
              <w:right w:w="0" w:type="dxa"/>
            </w:tcMar>
            <w:vAlign w:val="center"/>
          </w:tcPr>
          <w:p w14:paraId="2FF96228" w14:textId="77777777" w:rsidR="001C19F3" w:rsidRDefault="001C19F3" w:rsidP="00521305">
            <w:pPr>
              <w:spacing w:before="40" w:after="40"/>
              <w:ind w:left="40" w:right="40"/>
              <w:jc w:val="center"/>
            </w:pPr>
            <w:r>
              <w:rPr>
                <w:rFonts w:cs="Century Gothic"/>
                <w:color w:val="000000"/>
                <w:sz w:val="18"/>
                <w:szCs w:val="18"/>
              </w:rPr>
              <w:t>&lt;0.001</w:t>
            </w:r>
          </w:p>
        </w:tc>
      </w:tr>
      <w:tr w:rsidR="001C19F3" w14:paraId="75B9DABD"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1F1DC6DF" w14:textId="77777777" w:rsidR="001C19F3" w:rsidRDefault="001C19F3" w:rsidP="00521305">
            <w:pPr>
              <w:spacing w:before="40" w:after="40"/>
              <w:ind w:left="160" w:right="40"/>
            </w:pPr>
            <w:r>
              <w:rPr>
                <w:rFonts w:cs="Century Gothic"/>
                <w:color w:val="000000"/>
                <w:sz w:val="18"/>
                <w:szCs w:val="18"/>
              </w:rPr>
              <w:t>TRUE</w:t>
            </w:r>
          </w:p>
        </w:tc>
        <w:tc>
          <w:tcPr>
            <w:tcW w:w="1152" w:type="pct"/>
            <w:shd w:val="clear" w:color="auto" w:fill="FFFFFF"/>
            <w:tcMar>
              <w:top w:w="0" w:type="dxa"/>
              <w:left w:w="0" w:type="dxa"/>
              <w:bottom w:w="0" w:type="dxa"/>
              <w:right w:w="0" w:type="dxa"/>
            </w:tcMar>
            <w:vAlign w:val="center"/>
          </w:tcPr>
          <w:p w14:paraId="546329EF" w14:textId="77777777" w:rsidR="001C19F3" w:rsidRDefault="001C19F3" w:rsidP="00521305">
            <w:pPr>
              <w:spacing w:before="40" w:after="40"/>
              <w:ind w:left="40" w:right="40"/>
              <w:jc w:val="center"/>
            </w:pPr>
            <w:r>
              <w:rPr>
                <w:rFonts w:cs="Century Gothic"/>
                <w:color w:val="000000"/>
                <w:sz w:val="18"/>
                <w:szCs w:val="18"/>
              </w:rPr>
              <w:t>75 (16.0%)</w:t>
            </w:r>
          </w:p>
        </w:tc>
        <w:tc>
          <w:tcPr>
            <w:tcW w:w="790" w:type="pct"/>
            <w:shd w:val="clear" w:color="auto" w:fill="FFFFFF"/>
            <w:tcMar>
              <w:top w:w="0" w:type="dxa"/>
              <w:left w:w="0" w:type="dxa"/>
              <w:bottom w:w="0" w:type="dxa"/>
              <w:right w:w="0" w:type="dxa"/>
            </w:tcMar>
            <w:vAlign w:val="center"/>
          </w:tcPr>
          <w:p w14:paraId="7B4C9641" w14:textId="77777777" w:rsidR="001C19F3" w:rsidRDefault="001C19F3" w:rsidP="00521305">
            <w:pPr>
              <w:spacing w:before="40" w:after="40"/>
              <w:ind w:left="40" w:right="40"/>
              <w:jc w:val="center"/>
            </w:pPr>
            <w:r>
              <w:rPr>
                <w:rFonts w:cs="Century Gothic"/>
                <w:color w:val="000000"/>
                <w:sz w:val="18"/>
                <w:szCs w:val="18"/>
              </w:rPr>
              <w:t>5 (11.4%)</w:t>
            </w:r>
          </w:p>
        </w:tc>
        <w:tc>
          <w:tcPr>
            <w:tcW w:w="790" w:type="pct"/>
            <w:shd w:val="clear" w:color="auto" w:fill="FFFFFF"/>
            <w:tcMar>
              <w:top w:w="0" w:type="dxa"/>
              <w:left w:w="0" w:type="dxa"/>
              <w:bottom w:w="0" w:type="dxa"/>
              <w:right w:w="0" w:type="dxa"/>
            </w:tcMar>
            <w:vAlign w:val="center"/>
          </w:tcPr>
          <w:p w14:paraId="442D330D" w14:textId="77777777" w:rsidR="001C19F3" w:rsidRDefault="001C19F3" w:rsidP="00521305">
            <w:pPr>
              <w:spacing w:before="40" w:after="40"/>
              <w:ind w:left="40" w:right="40"/>
              <w:jc w:val="center"/>
            </w:pPr>
            <w:r>
              <w:rPr>
                <w:rFonts w:cs="Century Gothic"/>
                <w:color w:val="000000"/>
                <w:sz w:val="18"/>
                <w:szCs w:val="18"/>
              </w:rPr>
              <w:t>21 (8.9%)</w:t>
            </w:r>
          </w:p>
        </w:tc>
        <w:tc>
          <w:tcPr>
            <w:tcW w:w="790" w:type="pct"/>
            <w:shd w:val="clear" w:color="auto" w:fill="FFFFFF"/>
            <w:tcMar>
              <w:top w:w="0" w:type="dxa"/>
              <w:left w:w="0" w:type="dxa"/>
              <w:bottom w:w="0" w:type="dxa"/>
              <w:right w:w="0" w:type="dxa"/>
            </w:tcMar>
            <w:vAlign w:val="center"/>
          </w:tcPr>
          <w:p w14:paraId="150C41E2" w14:textId="77777777" w:rsidR="001C19F3" w:rsidRDefault="001C19F3" w:rsidP="00521305">
            <w:pPr>
              <w:spacing w:before="40" w:after="40"/>
              <w:ind w:left="40" w:right="40"/>
              <w:jc w:val="center"/>
            </w:pPr>
            <w:r>
              <w:rPr>
                <w:rFonts w:cs="Century Gothic"/>
                <w:color w:val="000000"/>
                <w:sz w:val="18"/>
                <w:szCs w:val="18"/>
              </w:rPr>
              <w:t>49 (25.9%)</w:t>
            </w:r>
          </w:p>
        </w:tc>
        <w:tc>
          <w:tcPr>
            <w:tcW w:w="458" w:type="pct"/>
            <w:vMerge/>
            <w:shd w:val="clear" w:color="auto" w:fill="FFFFFF"/>
            <w:tcMar>
              <w:top w:w="0" w:type="dxa"/>
              <w:left w:w="0" w:type="dxa"/>
              <w:bottom w:w="0" w:type="dxa"/>
              <w:right w:w="0" w:type="dxa"/>
            </w:tcMar>
            <w:vAlign w:val="center"/>
          </w:tcPr>
          <w:p w14:paraId="12482B82" w14:textId="77777777" w:rsidR="001C19F3" w:rsidRDefault="001C19F3" w:rsidP="00521305">
            <w:pPr>
              <w:spacing w:before="40" w:after="40"/>
              <w:ind w:left="40" w:right="40"/>
              <w:jc w:val="center"/>
            </w:pPr>
          </w:p>
        </w:tc>
      </w:tr>
      <w:tr w:rsidR="001C19F3" w14:paraId="62BCEC2D"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76096D8F" w14:textId="77777777" w:rsidR="001C19F3" w:rsidRDefault="001C19F3" w:rsidP="00521305">
            <w:pPr>
              <w:spacing w:before="40" w:after="40"/>
              <w:ind w:left="40" w:right="40"/>
            </w:pPr>
            <w:r>
              <w:rPr>
                <w:rFonts w:cs="Century Gothic"/>
                <w:b/>
                <w:color w:val="000000"/>
                <w:sz w:val="18"/>
                <w:szCs w:val="18"/>
              </w:rPr>
              <w:t>A6 Medication adherence (MedsIndex score)</w:t>
            </w:r>
          </w:p>
        </w:tc>
      </w:tr>
      <w:tr w:rsidR="001C19F3" w14:paraId="79C31A88"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04BD637A" w14:textId="77777777" w:rsidR="001C19F3" w:rsidRDefault="001C19F3" w:rsidP="00521305">
            <w:pPr>
              <w:spacing w:before="40" w:after="40"/>
              <w:ind w:left="160" w:right="40"/>
            </w:pPr>
            <w:r>
              <w:rPr>
                <w:rFonts w:cs="Century Gothic"/>
                <w:color w:val="000000"/>
                <w:sz w:val="18"/>
                <w:szCs w:val="18"/>
              </w:rPr>
              <w:t>0 to &lt;50</w:t>
            </w:r>
          </w:p>
        </w:tc>
        <w:tc>
          <w:tcPr>
            <w:tcW w:w="1152" w:type="pct"/>
            <w:shd w:val="clear" w:color="auto" w:fill="FFFFFF"/>
            <w:tcMar>
              <w:top w:w="0" w:type="dxa"/>
              <w:left w:w="0" w:type="dxa"/>
              <w:bottom w:w="0" w:type="dxa"/>
              <w:right w:w="0" w:type="dxa"/>
            </w:tcMar>
            <w:vAlign w:val="center"/>
          </w:tcPr>
          <w:p w14:paraId="709DECB9" w14:textId="77777777" w:rsidR="001C19F3" w:rsidRDefault="001C19F3" w:rsidP="00521305">
            <w:pPr>
              <w:spacing w:before="40" w:after="40"/>
              <w:ind w:left="40" w:right="40"/>
              <w:jc w:val="center"/>
            </w:pPr>
            <w:r>
              <w:rPr>
                <w:rFonts w:cs="Century Gothic"/>
                <w:color w:val="000000"/>
                <w:sz w:val="18"/>
                <w:szCs w:val="18"/>
              </w:rPr>
              <w:t>21 (4.5%)</w:t>
            </w:r>
          </w:p>
        </w:tc>
        <w:tc>
          <w:tcPr>
            <w:tcW w:w="790" w:type="pct"/>
            <w:shd w:val="clear" w:color="auto" w:fill="FFFFFF"/>
            <w:tcMar>
              <w:top w:w="0" w:type="dxa"/>
              <w:left w:w="0" w:type="dxa"/>
              <w:bottom w:w="0" w:type="dxa"/>
              <w:right w:w="0" w:type="dxa"/>
            </w:tcMar>
            <w:vAlign w:val="center"/>
          </w:tcPr>
          <w:p w14:paraId="758F7841" w14:textId="77777777" w:rsidR="001C19F3" w:rsidRDefault="001C19F3" w:rsidP="00521305">
            <w:pPr>
              <w:spacing w:before="40" w:after="40"/>
              <w:ind w:left="40" w:right="40"/>
              <w:jc w:val="center"/>
            </w:pPr>
            <w:r>
              <w:rPr>
                <w:rFonts w:cs="Century Gothic"/>
                <w:color w:val="000000"/>
                <w:sz w:val="18"/>
                <w:szCs w:val="18"/>
              </w:rPr>
              <w:t>2 (4.5%)</w:t>
            </w:r>
          </w:p>
        </w:tc>
        <w:tc>
          <w:tcPr>
            <w:tcW w:w="790" w:type="pct"/>
            <w:shd w:val="clear" w:color="auto" w:fill="FFFFFF"/>
            <w:tcMar>
              <w:top w:w="0" w:type="dxa"/>
              <w:left w:w="0" w:type="dxa"/>
              <w:bottom w:w="0" w:type="dxa"/>
              <w:right w:w="0" w:type="dxa"/>
            </w:tcMar>
            <w:vAlign w:val="center"/>
          </w:tcPr>
          <w:p w14:paraId="1C0549FB" w14:textId="77777777" w:rsidR="001C19F3" w:rsidRDefault="001C19F3" w:rsidP="00521305">
            <w:pPr>
              <w:spacing w:before="40" w:after="40"/>
              <w:ind w:left="40" w:right="40"/>
              <w:jc w:val="center"/>
            </w:pPr>
            <w:r>
              <w:rPr>
                <w:rFonts w:cs="Century Gothic"/>
                <w:color w:val="000000"/>
                <w:sz w:val="18"/>
                <w:szCs w:val="18"/>
              </w:rPr>
              <w:t>8 (3.4%)</w:t>
            </w:r>
          </w:p>
        </w:tc>
        <w:tc>
          <w:tcPr>
            <w:tcW w:w="790" w:type="pct"/>
            <w:shd w:val="clear" w:color="auto" w:fill="FFFFFF"/>
            <w:tcMar>
              <w:top w:w="0" w:type="dxa"/>
              <w:left w:w="0" w:type="dxa"/>
              <w:bottom w:w="0" w:type="dxa"/>
              <w:right w:w="0" w:type="dxa"/>
            </w:tcMar>
            <w:vAlign w:val="center"/>
          </w:tcPr>
          <w:p w14:paraId="11F3D91C" w14:textId="77777777" w:rsidR="001C19F3" w:rsidRDefault="001C19F3" w:rsidP="00521305">
            <w:pPr>
              <w:spacing w:before="40" w:after="40"/>
              <w:ind w:left="40" w:right="40"/>
              <w:jc w:val="center"/>
            </w:pPr>
            <w:r>
              <w:rPr>
                <w:rFonts w:cs="Century Gothic"/>
                <w:color w:val="000000"/>
                <w:sz w:val="18"/>
                <w:szCs w:val="18"/>
              </w:rPr>
              <w:t>11 (5.8%)</w:t>
            </w:r>
          </w:p>
        </w:tc>
        <w:tc>
          <w:tcPr>
            <w:tcW w:w="458" w:type="pct"/>
            <w:vMerge w:val="restart"/>
            <w:shd w:val="clear" w:color="auto" w:fill="FFFFFF"/>
            <w:tcMar>
              <w:top w:w="0" w:type="dxa"/>
              <w:left w:w="0" w:type="dxa"/>
              <w:bottom w:w="0" w:type="dxa"/>
              <w:right w:w="0" w:type="dxa"/>
            </w:tcMar>
            <w:vAlign w:val="center"/>
          </w:tcPr>
          <w:p w14:paraId="52DCC01E" w14:textId="77777777" w:rsidR="001C19F3" w:rsidRDefault="001C19F3" w:rsidP="00521305">
            <w:pPr>
              <w:spacing w:before="40" w:after="40"/>
              <w:ind w:left="40" w:right="40"/>
              <w:jc w:val="center"/>
            </w:pPr>
            <w:r>
              <w:rPr>
                <w:rFonts w:cs="Century Gothic"/>
                <w:color w:val="000000"/>
                <w:sz w:val="18"/>
                <w:szCs w:val="18"/>
              </w:rPr>
              <w:t>0.207</w:t>
            </w:r>
          </w:p>
        </w:tc>
      </w:tr>
      <w:tr w:rsidR="001C19F3" w14:paraId="4FF0E45B"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4CDDD93A" w14:textId="77777777" w:rsidR="001C19F3" w:rsidRDefault="001C19F3" w:rsidP="00521305">
            <w:pPr>
              <w:spacing w:before="40" w:after="40"/>
              <w:ind w:left="160" w:right="40"/>
            </w:pPr>
            <w:r>
              <w:rPr>
                <w:rFonts w:cs="Century Gothic"/>
                <w:color w:val="000000"/>
                <w:sz w:val="18"/>
                <w:szCs w:val="18"/>
              </w:rPr>
              <w:lastRenderedPageBreak/>
              <w:t>50 to &lt;80</w:t>
            </w:r>
          </w:p>
        </w:tc>
        <w:tc>
          <w:tcPr>
            <w:tcW w:w="1152" w:type="pct"/>
            <w:shd w:val="clear" w:color="auto" w:fill="FFFFFF"/>
            <w:tcMar>
              <w:top w:w="0" w:type="dxa"/>
              <w:left w:w="0" w:type="dxa"/>
              <w:bottom w:w="0" w:type="dxa"/>
              <w:right w:w="0" w:type="dxa"/>
            </w:tcMar>
            <w:vAlign w:val="center"/>
          </w:tcPr>
          <w:p w14:paraId="75E36FCB" w14:textId="77777777" w:rsidR="001C19F3" w:rsidRDefault="001C19F3" w:rsidP="00521305">
            <w:pPr>
              <w:spacing w:before="40" w:after="40"/>
              <w:ind w:left="40" w:right="40"/>
              <w:jc w:val="center"/>
            </w:pPr>
            <w:r>
              <w:rPr>
                <w:rFonts w:cs="Century Gothic"/>
                <w:color w:val="000000"/>
                <w:sz w:val="18"/>
                <w:szCs w:val="18"/>
              </w:rPr>
              <w:t>99 (21.2%)</w:t>
            </w:r>
          </w:p>
        </w:tc>
        <w:tc>
          <w:tcPr>
            <w:tcW w:w="790" w:type="pct"/>
            <w:shd w:val="clear" w:color="auto" w:fill="FFFFFF"/>
            <w:tcMar>
              <w:top w:w="0" w:type="dxa"/>
              <w:left w:w="0" w:type="dxa"/>
              <w:bottom w:w="0" w:type="dxa"/>
              <w:right w:w="0" w:type="dxa"/>
            </w:tcMar>
            <w:vAlign w:val="center"/>
          </w:tcPr>
          <w:p w14:paraId="3144A3E7" w14:textId="77777777" w:rsidR="001C19F3" w:rsidRDefault="001C19F3" w:rsidP="00521305">
            <w:pPr>
              <w:spacing w:before="40" w:after="40"/>
              <w:ind w:left="40" w:right="40"/>
              <w:jc w:val="center"/>
            </w:pPr>
            <w:r>
              <w:rPr>
                <w:rFonts w:cs="Century Gothic"/>
                <w:color w:val="000000"/>
                <w:sz w:val="18"/>
                <w:szCs w:val="18"/>
              </w:rPr>
              <w:t>6 (13.6%)</w:t>
            </w:r>
          </w:p>
        </w:tc>
        <w:tc>
          <w:tcPr>
            <w:tcW w:w="790" w:type="pct"/>
            <w:shd w:val="clear" w:color="auto" w:fill="FFFFFF"/>
            <w:tcMar>
              <w:top w:w="0" w:type="dxa"/>
              <w:left w:w="0" w:type="dxa"/>
              <w:bottom w:w="0" w:type="dxa"/>
              <w:right w:w="0" w:type="dxa"/>
            </w:tcMar>
            <w:vAlign w:val="center"/>
          </w:tcPr>
          <w:p w14:paraId="315090C9" w14:textId="77777777" w:rsidR="001C19F3" w:rsidRDefault="001C19F3" w:rsidP="00521305">
            <w:pPr>
              <w:spacing w:before="40" w:after="40"/>
              <w:ind w:left="40" w:right="40"/>
              <w:jc w:val="center"/>
            </w:pPr>
            <w:r>
              <w:rPr>
                <w:rFonts w:cs="Century Gothic"/>
                <w:color w:val="000000"/>
                <w:sz w:val="18"/>
                <w:szCs w:val="18"/>
              </w:rPr>
              <w:t>54 (23.0%)</w:t>
            </w:r>
          </w:p>
        </w:tc>
        <w:tc>
          <w:tcPr>
            <w:tcW w:w="790" w:type="pct"/>
            <w:shd w:val="clear" w:color="auto" w:fill="FFFFFF"/>
            <w:tcMar>
              <w:top w:w="0" w:type="dxa"/>
              <w:left w:w="0" w:type="dxa"/>
              <w:bottom w:w="0" w:type="dxa"/>
              <w:right w:w="0" w:type="dxa"/>
            </w:tcMar>
            <w:vAlign w:val="center"/>
          </w:tcPr>
          <w:p w14:paraId="7ACF4DE0" w14:textId="77777777" w:rsidR="001C19F3" w:rsidRDefault="001C19F3" w:rsidP="00521305">
            <w:pPr>
              <w:spacing w:before="40" w:after="40"/>
              <w:ind w:left="40" w:right="40"/>
              <w:jc w:val="center"/>
            </w:pPr>
            <w:r>
              <w:rPr>
                <w:rFonts w:cs="Century Gothic"/>
                <w:color w:val="000000"/>
                <w:sz w:val="18"/>
                <w:szCs w:val="18"/>
              </w:rPr>
              <w:t>39 (20.6%)</w:t>
            </w:r>
          </w:p>
        </w:tc>
        <w:tc>
          <w:tcPr>
            <w:tcW w:w="458" w:type="pct"/>
            <w:vMerge/>
            <w:shd w:val="clear" w:color="auto" w:fill="FFFFFF"/>
            <w:tcMar>
              <w:top w:w="0" w:type="dxa"/>
              <w:left w:w="0" w:type="dxa"/>
              <w:bottom w:w="0" w:type="dxa"/>
              <w:right w:w="0" w:type="dxa"/>
            </w:tcMar>
            <w:vAlign w:val="center"/>
          </w:tcPr>
          <w:p w14:paraId="7DEB88ED" w14:textId="77777777" w:rsidR="001C19F3" w:rsidRDefault="001C19F3" w:rsidP="00521305">
            <w:pPr>
              <w:spacing w:before="40" w:after="40"/>
              <w:ind w:left="40" w:right="40"/>
              <w:jc w:val="center"/>
            </w:pPr>
          </w:p>
        </w:tc>
      </w:tr>
      <w:tr w:rsidR="001C19F3" w14:paraId="23B958E7"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6775656D" w14:textId="77777777" w:rsidR="001C19F3" w:rsidRDefault="001C19F3" w:rsidP="00521305">
            <w:pPr>
              <w:spacing w:before="40" w:after="40"/>
              <w:ind w:left="160" w:right="40"/>
            </w:pPr>
            <w:r>
              <w:rPr>
                <w:rFonts w:cs="Century Gothic"/>
                <w:color w:val="000000"/>
                <w:sz w:val="18"/>
                <w:szCs w:val="18"/>
              </w:rPr>
              <w:t>80 to &lt;85</w:t>
            </w:r>
          </w:p>
        </w:tc>
        <w:tc>
          <w:tcPr>
            <w:tcW w:w="1152" w:type="pct"/>
            <w:shd w:val="clear" w:color="auto" w:fill="FFFFFF"/>
            <w:tcMar>
              <w:top w:w="0" w:type="dxa"/>
              <w:left w:w="0" w:type="dxa"/>
              <w:bottom w:w="0" w:type="dxa"/>
              <w:right w:w="0" w:type="dxa"/>
            </w:tcMar>
            <w:vAlign w:val="center"/>
          </w:tcPr>
          <w:p w14:paraId="1DC0F5CB" w14:textId="77777777" w:rsidR="001C19F3" w:rsidRDefault="001C19F3" w:rsidP="00521305">
            <w:pPr>
              <w:spacing w:before="40" w:after="40"/>
              <w:ind w:left="40" w:right="40"/>
              <w:jc w:val="center"/>
            </w:pPr>
            <w:r>
              <w:rPr>
                <w:rFonts w:cs="Century Gothic"/>
                <w:color w:val="000000"/>
                <w:sz w:val="18"/>
                <w:szCs w:val="18"/>
              </w:rPr>
              <w:t>59 (12.6%)</w:t>
            </w:r>
          </w:p>
        </w:tc>
        <w:tc>
          <w:tcPr>
            <w:tcW w:w="790" w:type="pct"/>
            <w:shd w:val="clear" w:color="auto" w:fill="FFFFFF"/>
            <w:tcMar>
              <w:top w:w="0" w:type="dxa"/>
              <w:left w:w="0" w:type="dxa"/>
              <w:bottom w:w="0" w:type="dxa"/>
              <w:right w:w="0" w:type="dxa"/>
            </w:tcMar>
            <w:vAlign w:val="center"/>
          </w:tcPr>
          <w:p w14:paraId="0EA23581" w14:textId="77777777" w:rsidR="001C19F3" w:rsidRDefault="001C19F3" w:rsidP="00521305">
            <w:pPr>
              <w:spacing w:before="40" w:after="40"/>
              <w:ind w:left="40" w:right="40"/>
              <w:jc w:val="center"/>
            </w:pPr>
            <w:r>
              <w:rPr>
                <w:rFonts w:cs="Century Gothic"/>
                <w:color w:val="000000"/>
                <w:sz w:val="18"/>
                <w:szCs w:val="18"/>
              </w:rPr>
              <w:t>5 (11.4%)</w:t>
            </w:r>
          </w:p>
        </w:tc>
        <w:tc>
          <w:tcPr>
            <w:tcW w:w="790" w:type="pct"/>
            <w:shd w:val="clear" w:color="auto" w:fill="FFFFFF"/>
            <w:tcMar>
              <w:top w:w="0" w:type="dxa"/>
              <w:left w:w="0" w:type="dxa"/>
              <w:bottom w:w="0" w:type="dxa"/>
              <w:right w:w="0" w:type="dxa"/>
            </w:tcMar>
            <w:vAlign w:val="center"/>
          </w:tcPr>
          <w:p w14:paraId="7FEB57A6" w14:textId="77777777" w:rsidR="001C19F3" w:rsidRDefault="001C19F3" w:rsidP="00521305">
            <w:pPr>
              <w:spacing w:before="40" w:after="40"/>
              <w:ind w:left="40" w:right="40"/>
              <w:jc w:val="center"/>
            </w:pPr>
            <w:r>
              <w:rPr>
                <w:rFonts w:cs="Century Gothic"/>
                <w:color w:val="000000"/>
                <w:sz w:val="18"/>
                <w:szCs w:val="18"/>
              </w:rPr>
              <w:t>37 (15.7%)</w:t>
            </w:r>
          </w:p>
        </w:tc>
        <w:tc>
          <w:tcPr>
            <w:tcW w:w="790" w:type="pct"/>
            <w:shd w:val="clear" w:color="auto" w:fill="FFFFFF"/>
            <w:tcMar>
              <w:top w:w="0" w:type="dxa"/>
              <w:left w:w="0" w:type="dxa"/>
              <w:bottom w:w="0" w:type="dxa"/>
              <w:right w:w="0" w:type="dxa"/>
            </w:tcMar>
            <w:vAlign w:val="center"/>
          </w:tcPr>
          <w:p w14:paraId="028E6795" w14:textId="77777777" w:rsidR="001C19F3" w:rsidRDefault="001C19F3" w:rsidP="00521305">
            <w:pPr>
              <w:spacing w:before="40" w:after="40"/>
              <w:ind w:left="40" w:right="40"/>
              <w:jc w:val="center"/>
            </w:pPr>
            <w:r>
              <w:rPr>
                <w:rFonts w:cs="Century Gothic"/>
                <w:color w:val="000000"/>
                <w:sz w:val="18"/>
                <w:szCs w:val="18"/>
              </w:rPr>
              <w:t>17 (9.0%)</w:t>
            </w:r>
          </w:p>
        </w:tc>
        <w:tc>
          <w:tcPr>
            <w:tcW w:w="458" w:type="pct"/>
            <w:vMerge/>
            <w:shd w:val="clear" w:color="auto" w:fill="FFFFFF"/>
            <w:tcMar>
              <w:top w:w="0" w:type="dxa"/>
              <w:left w:w="0" w:type="dxa"/>
              <w:bottom w:w="0" w:type="dxa"/>
              <w:right w:w="0" w:type="dxa"/>
            </w:tcMar>
            <w:vAlign w:val="center"/>
          </w:tcPr>
          <w:p w14:paraId="2C285E60" w14:textId="77777777" w:rsidR="001C19F3" w:rsidRDefault="001C19F3" w:rsidP="00521305">
            <w:pPr>
              <w:spacing w:before="40" w:after="40"/>
              <w:ind w:left="40" w:right="40"/>
              <w:jc w:val="center"/>
            </w:pPr>
          </w:p>
        </w:tc>
      </w:tr>
      <w:tr w:rsidR="001C19F3" w14:paraId="58F8B1E8"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1894601A" w14:textId="77777777" w:rsidR="001C19F3" w:rsidRDefault="001C19F3" w:rsidP="00521305">
            <w:pPr>
              <w:spacing w:before="40" w:after="40"/>
              <w:ind w:left="160" w:right="40"/>
            </w:pPr>
            <w:r>
              <w:rPr>
                <w:rFonts w:cs="Century Gothic"/>
                <w:color w:val="000000"/>
                <w:sz w:val="18"/>
                <w:szCs w:val="18"/>
              </w:rPr>
              <w:t>85 to &lt;90</w:t>
            </w:r>
          </w:p>
        </w:tc>
        <w:tc>
          <w:tcPr>
            <w:tcW w:w="1152" w:type="pct"/>
            <w:shd w:val="clear" w:color="auto" w:fill="FFFFFF"/>
            <w:tcMar>
              <w:top w:w="0" w:type="dxa"/>
              <w:left w:w="0" w:type="dxa"/>
              <w:bottom w:w="0" w:type="dxa"/>
              <w:right w:w="0" w:type="dxa"/>
            </w:tcMar>
            <w:vAlign w:val="center"/>
          </w:tcPr>
          <w:p w14:paraId="0F37722E" w14:textId="77777777" w:rsidR="001C19F3" w:rsidRDefault="001C19F3" w:rsidP="00521305">
            <w:pPr>
              <w:spacing w:before="40" w:after="40"/>
              <w:ind w:left="40" w:right="40"/>
              <w:jc w:val="center"/>
            </w:pPr>
            <w:r>
              <w:rPr>
                <w:rFonts w:cs="Century Gothic"/>
                <w:color w:val="000000"/>
                <w:sz w:val="18"/>
                <w:szCs w:val="18"/>
              </w:rPr>
              <w:t>58 (12.4%)</w:t>
            </w:r>
          </w:p>
        </w:tc>
        <w:tc>
          <w:tcPr>
            <w:tcW w:w="790" w:type="pct"/>
            <w:shd w:val="clear" w:color="auto" w:fill="FFFFFF"/>
            <w:tcMar>
              <w:top w:w="0" w:type="dxa"/>
              <w:left w:w="0" w:type="dxa"/>
              <w:bottom w:w="0" w:type="dxa"/>
              <w:right w:w="0" w:type="dxa"/>
            </w:tcMar>
            <w:vAlign w:val="center"/>
          </w:tcPr>
          <w:p w14:paraId="5D24130B" w14:textId="77777777" w:rsidR="001C19F3" w:rsidRDefault="001C19F3" w:rsidP="00521305">
            <w:pPr>
              <w:spacing w:before="40" w:after="40"/>
              <w:ind w:left="40" w:right="40"/>
              <w:jc w:val="center"/>
            </w:pPr>
            <w:r>
              <w:rPr>
                <w:rFonts w:cs="Century Gothic"/>
                <w:color w:val="000000"/>
                <w:sz w:val="18"/>
                <w:szCs w:val="18"/>
              </w:rPr>
              <w:t>6 (13.6%)</w:t>
            </w:r>
          </w:p>
        </w:tc>
        <w:tc>
          <w:tcPr>
            <w:tcW w:w="790" w:type="pct"/>
            <w:shd w:val="clear" w:color="auto" w:fill="FFFFFF"/>
            <w:tcMar>
              <w:top w:w="0" w:type="dxa"/>
              <w:left w:w="0" w:type="dxa"/>
              <w:bottom w:w="0" w:type="dxa"/>
              <w:right w:w="0" w:type="dxa"/>
            </w:tcMar>
            <w:vAlign w:val="center"/>
          </w:tcPr>
          <w:p w14:paraId="4BFB8003" w14:textId="77777777" w:rsidR="001C19F3" w:rsidRDefault="001C19F3" w:rsidP="00521305">
            <w:pPr>
              <w:spacing w:before="40" w:after="40"/>
              <w:ind w:left="40" w:right="40"/>
              <w:jc w:val="center"/>
            </w:pPr>
            <w:r>
              <w:rPr>
                <w:rFonts w:cs="Century Gothic"/>
                <w:color w:val="000000"/>
                <w:sz w:val="18"/>
                <w:szCs w:val="18"/>
              </w:rPr>
              <w:t>29 (12.3%)</w:t>
            </w:r>
          </w:p>
        </w:tc>
        <w:tc>
          <w:tcPr>
            <w:tcW w:w="790" w:type="pct"/>
            <w:shd w:val="clear" w:color="auto" w:fill="FFFFFF"/>
            <w:tcMar>
              <w:top w:w="0" w:type="dxa"/>
              <w:left w:w="0" w:type="dxa"/>
              <w:bottom w:w="0" w:type="dxa"/>
              <w:right w:w="0" w:type="dxa"/>
            </w:tcMar>
            <w:vAlign w:val="center"/>
          </w:tcPr>
          <w:p w14:paraId="0A6AC5F7" w14:textId="77777777" w:rsidR="001C19F3" w:rsidRDefault="001C19F3" w:rsidP="00521305">
            <w:pPr>
              <w:spacing w:before="40" w:after="40"/>
              <w:ind w:left="40" w:right="40"/>
              <w:jc w:val="center"/>
            </w:pPr>
            <w:r>
              <w:rPr>
                <w:rFonts w:cs="Century Gothic"/>
                <w:color w:val="000000"/>
                <w:sz w:val="18"/>
                <w:szCs w:val="18"/>
              </w:rPr>
              <w:t>23 (12.2%)</w:t>
            </w:r>
          </w:p>
        </w:tc>
        <w:tc>
          <w:tcPr>
            <w:tcW w:w="458" w:type="pct"/>
            <w:vMerge/>
            <w:shd w:val="clear" w:color="auto" w:fill="FFFFFF"/>
            <w:tcMar>
              <w:top w:w="0" w:type="dxa"/>
              <w:left w:w="0" w:type="dxa"/>
              <w:bottom w:w="0" w:type="dxa"/>
              <w:right w:w="0" w:type="dxa"/>
            </w:tcMar>
            <w:vAlign w:val="center"/>
          </w:tcPr>
          <w:p w14:paraId="3D394429" w14:textId="77777777" w:rsidR="001C19F3" w:rsidRDefault="001C19F3" w:rsidP="00521305">
            <w:pPr>
              <w:spacing w:before="40" w:after="40"/>
              <w:ind w:left="40" w:right="40"/>
              <w:jc w:val="center"/>
            </w:pPr>
          </w:p>
        </w:tc>
      </w:tr>
      <w:tr w:rsidR="001C19F3" w14:paraId="25D26CD3"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57CE0964" w14:textId="77777777" w:rsidR="001C19F3" w:rsidRDefault="001C19F3" w:rsidP="00521305">
            <w:pPr>
              <w:spacing w:before="40" w:after="40"/>
              <w:ind w:left="160" w:right="40"/>
            </w:pPr>
            <w:r>
              <w:rPr>
                <w:rFonts w:cs="Century Gothic"/>
                <w:color w:val="000000"/>
                <w:sz w:val="18"/>
                <w:szCs w:val="18"/>
              </w:rPr>
              <w:t>90 to &lt;95</w:t>
            </w:r>
          </w:p>
        </w:tc>
        <w:tc>
          <w:tcPr>
            <w:tcW w:w="1152" w:type="pct"/>
            <w:shd w:val="clear" w:color="auto" w:fill="FFFFFF"/>
            <w:tcMar>
              <w:top w:w="0" w:type="dxa"/>
              <w:left w:w="0" w:type="dxa"/>
              <w:bottom w:w="0" w:type="dxa"/>
              <w:right w:w="0" w:type="dxa"/>
            </w:tcMar>
            <w:vAlign w:val="center"/>
          </w:tcPr>
          <w:p w14:paraId="164B21B0" w14:textId="77777777" w:rsidR="001C19F3" w:rsidRDefault="001C19F3" w:rsidP="00521305">
            <w:pPr>
              <w:spacing w:before="40" w:after="40"/>
              <w:ind w:left="40" w:right="40"/>
              <w:jc w:val="center"/>
            </w:pPr>
            <w:r>
              <w:rPr>
                <w:rFonts w:cs="Century Gothic"/>
                <w:color w:val="000000"/>
                <w:sz w:val="18"/>
                <w:szCs w:val="18"/>
              </w:rPr>
              <w:t>89 (19.0%)</w:t>
            </w:r>
          </w:p>
        </w:tc>
        <w:tc>
          <w:tcPr>
            <w:tcW w:w="790" w:type="pct"/>
            <w:shd w:val="clear" w:color="auto" w:fill="FFFFFF"/>
            <w:tcMar>
              <w:top w:w="0" w:type="dxa"/>
              <w:left w:w="0" w:type="dxa"/>
              <w:bottom w:w="0" w:type="dxa"/>
              <w:right w:w="0" w:type="dxa"/>
            </w:tcMar>
            <w:vAlign w:val="center"/>
          </w:tcPr>
          <w:p w14:paraId="5B58270A" w14:textId="77777777" w:rsidR="001C19F3" w:rsidRDefault="001C19F3" w:rsidP="00521305">
            <w:pPr>
              <w:spacing w:before="40" w:after="40"/>
              <w:ind w:left="40" w:right="40"/>
              <w:jc w:val="center"/>
            </w:pPr>
            <w:r>
              <w:rPr>
                <w:rFonts w:cs="Century Gothic"/>
                <w:color w:val="000000"/>
                <w:sz w:val="18"/>
                <w:szCs w:val="18"/>
              </w:rPr>
              <w:t>14 (31.8%)</w:t>
            </w:r>
          </w:p>
        </w:tc>
        <w:tc>
          <w:tcPr>
            <w:tcW w:w="790" w:type="pct"/>
            <w:shd w:val="clear" w:color="auto" w:fill="FFFFFF"/>
            <w:tcMar>
              <w:top w:w="0" w:type="dxa"/>
              <w:left w:w="0" w:type="dxa"/>
              <w:bottom w:w="0" w:type="dxa"/>
              <w:right w:w="0" w:type="dxa"/>
            </w:tcMar>
            <w:vAlign w:val="center"/>
          </w:tcPr>
          <w:p w14:paraId="5FDE9D1F" w14:textId="77777777" w:rsidR="001C19F3" w:rsidRDefault="001C19F3" w:rsidP="00521305">
            <w:pPr>
              <w:spacing w:before="40" w:after="40"/>
              <w:ind w:left="40" w:right="40"/>
              <w:jc w:val="center"/>
            </w:pPr>
            <w:r>
              <w:rPr>
                <w:rFonts w:cs="Century Gothic"/>
                <w:color w:val="000000"/>
                <w:sz w:val="18"/>
                <w:szCs w:val="18"/>
              </w:rPr>
              <w:t>42 (17.9%)</w:t>
            </w:r>
          </w:p>
        </w:tc>
        <w:tc>
          <w:tcPr>
            <w:tcW w:w="790" w:type="pct"/>
            <w:shd w:val="clear" w:color="auto" w:fill="FFFFFF"/>
            <w:tcMar>
              <w:top w:w="0" w:type="dxa"/>
              <w:left w:w="0" w:type="dxa"/>
              <w:bottom w:w="0" w:type="dxa"/>
              <w:right w:w="0" w:type="dxa"/>
            </w:tcMar>
            <w:vAlign w:val="center"/>
          </w:tcPr>
          <w:p w14:paraId="7A3E9D14" w14:textId="77777777" w:rsidR="001C19F3" w:rsidRDefault="001C19F3" w:rsidP="00521305">
            <w:pPr>
              <w:spacing w:before="40" w:after="40"/>
              <w:ind w:left="40" w:right="40"/>
              <w:jc w:val="center"/>
            </w:pPr>
            <w:r>
              <w:rPr>
                <w:rFonts w:cs="Century Gothic"/>
                <w:color w:val="000000"/>
                <w:sz w:val="18"/>
                <w:szCs w:val="18"/>
              </w:rPr>
              <w:t>33 (17.5%)</w:t>
            </w:r>
          </w:p>
        </w:tc>
        <w:tc>
          <w:tcPr>
            <w:tcW w:w="458" w:type="pct"/>
            <w:vMerge/>
            <w:shd w:val="clear" w:color="auto" w:fill="FFFFFF"/>
            <w:tcMar>
              <w:top w:w="0" w:type="dxa"/>
              <w:left w:w="0" w:type="dxa"/>
              <w:bottom w:w="0" w:type="dxa"/>
              <w:right w:w="0" w:type="dxa"/>
            </w:tcMar>
            <w:vAlign w:val="center"/>
          </w:tcPr>
          <w:p w14:paraId="4F1CFAE8" w14:textId="77777777" w:rsidR="001C19F3" w:rsidRDefault="001C19F3" w:rsidP="00521305">
            <w:pPr>
              <w:spacing w:before="40" w:after="40"/>
              <w:ind w:left="40" w:right="40"/>
              <w:jc w:val="center"/>
            </w:pPr>
          </w:p>
        </w:tc>
      </w:tr>
      <w:tr w:rsidR="001C19F3" w14:paraId="049B3856"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14A5ACA0" w14:textId="77777777" w:rsidR="001C19F3" w:rsidRDefault="001C19F3" w:rsidP="00521305">
            <w:pPr>
              <w:spacing w:before="40" w:after="40"/>
              <w:ind w:left="160" w:right="40"/>
            </w:pPr>
            <w:r>
              <w:rPr>
                <w:rFonts w:cs="Century Gothic"/>
                <w:color w:val="000000"/>
                <w:sz w:val="18"/>
                <w:szCs w:val="18"/>
              </w:rPr>
              <w:t>95 to 100</w:t>
            </w:r>
          </w:p>
        </w:tc>
        <w:tc>
          <w:tcPr>
            <w:tcW w:w="1152" w:type="pct"/>
            <w:shd w:val="clear" w:color="auto" w:fill="FFFFFF"/>
            <w:tcMar>
              <w:top w:w="0" w:type="dxa"/>
              <w:left w:w="0" w:type="dxa"/>
              <w:bottom w:w="0" w:type="dxa"/>
              <w:right w:w="0" w:type="dxa"/>
            </w:tcMar>
            <w:vAlign w:val="center"/>
          </w:tcPr>
          <w:p w14:paraId="32DC4507" w14:textId="77777777" w:rsidR="001C19F3" w:rsidRDefault="001C19F3" w:rsidP="00521305">
            <w:pPr>
              <w:spacing w:before="40" w:after="40"/>
              <w:ind w:left="40" w:right="40"/>
              <w:jc w:val="center"/>
            </w:pPr>
            <w:r>
              <w:rPr>
                <w:rFonts w:cs="Century Gothic"/>
                <w:color w:val="000000"/>
                <w:sz w:val="18"/>
                <w:szCs w:val="18"/>
              </w:rPr>
              <w:t>142 (30.3%)</w:t>
            </w:r>
          </w:p>
        </w:tc>
        <w:tc>
          <w:tcPr>
            <w:tcW w:w="790" w:type="pct"/>
            <w:shd w:val="clear" w:color="auto" w:fill="FFFFFF"/>
            <w:tcMar>
              <w:top w:w="0" w:type="dxa"/>
              <w:left w:w="0" w:type="dxa"/>
              <w:bottom w:w="0" w:type="dxa"/>
              <w:right w:w="0" w:type="dxa"/>
            </w:tcMar>
            <w:vAlign w:val="center"/>
          </w:tcPr>
          <w:p w14:paraId="4750DB49" w14:textId="77777777" w:rsidR="001C19F3" w:rsidRDefault="001C19F3" w:rsidP="00521305">
            <w:pPr>
              <w:spacing w:before="40" w:after="40"/>
              <w:ind w:left="40" w:right="40"/>
              <w:jc w:val="center"/>
            </w:pPr>
            <w:r>
              <w:rPr>
                <w:rFonts w:cs="Century Gothic"/>
                <w:color w:val="000000"/>
                <w:sz w:val="18"/>
                <w:szCs w:val="18"/>
              </w:rPr>
              <w:t>11 (25.0%)</w:t>
            </w:r>
          </w:p>
        </w:tc>
        <w:tc>
          <w:tcPr>
            <w:tcW w:w="790" w:type="pct"/>
            <w:shd w:val="clear" w:color="auto" w:fill="FFFFFF"/>
            <w:tcMar>
              <w:top w:w="0" w:type="dxa"/>
              <w:left w:w="0" w:type="dxa"/>
              <w:bottom w:w="0" w:type="dxa"/>
              <w:right w:w="0" w:type="dxa"/>
            </w:tcMar>
            <w:vAlign w:val="center"/>
          </w:tcPr>
          <w:p w14:paraId="03F94CC6" w14:textId="77777777" w:rsidR="001C19F3" w:rsidRDefault="001C19F3" w:rsidP="00521305">
            <w:pPr>
              <w:spacing w:before="40" w:after="40"/>
              <w:ind w:left="40" w:right="40"/>
              <w:jc w:val="center"/>
            </w:pPr>
            <w:r>
              <w:rPr>
                <w:rFonts w:cs="Century Gothic"/>
                <w:color w:val="000000"/>
                <w:sz w:val="18"/>
                <w:szCs w:val="18"/>
              </w:rPr>
              <w:t>65 (27.7%)</w:t>
            </w:r>
          </w:p>
        </w:tc>
        <w:tc>
          <w:tcPr>
            <w:tcW w:w="790" w:type="pct"/>
            <w:shd w:val="clear" w:color="auto" w:fill="FFFFFF"/>
            <w:tcMar>
              <w:top w:w="0" w:type="dxa"/>
              <w:left w:w="0" w:type="dxa"/>
              <w:bottom w:w="0" w:type="dxa"/>
              <w:right w:w="0" w:type="dxa"/>
            </w:tcMar>
            <w:vAlign w:val="center"/>
          </w:tcPr>
          <w:p w14:paraId="0E0305D3" w14:textId="77777777" w:rsidR="001C19F3" w:rsidRDefault="001C19F3" w:rsidP="00521305">
            <w:pPr>
              <w:spacing w:before="40" w:after="40"/>
              <w:ind w:left="40" w:right="40"/>
              <w:jc w:val="center"/>
            </w:pPr>
            <w:r>
              <w:rPr>
                <w:rFonts w:cs="Century Gothic"/>
                <w:color w:val="000000"/>
                <w:sz w:val="18"/>
                <w:szCs w:val="18"/>
              </w:rPr>
              <w:t>66 (34.9%)</w:t>
            </w:r>
          </w:p>
        </w:tc>
        <w:tc>
          <w:tcPr>
            <w:tcW w:w="458" w:type="pct"/>
            <w:vMerge/>
            <w:shd w:val="clear" w:color="auto" w:fill="FFFFFF"/>
            <w:tcMar>
              <w:top w:w="0" w:type="dxa"/>
              <w:left w:w="0" w:type="dxa"/>
              <w:bottom w:w="0" w:type="dxa"/>
              <w:right w:w="0" w:type="dxa"/>
            </w:tcMar>
            <w:vAlign w:val="center"/>
          </w:tcPr>
          <w:p w14:paraId="2503247B" w14:textId="77777777" w:rsidR="001C19F3" w:rsidRDefault="001C19F3" w:rsidP="00521305">
            <w:pPr>
              <w:spacing w:before="40" w:after="40"/>
              <w:ind w:left="40" w:right="40"/>
              <w:jc w:val="center"/>
            </w:pPr>
          </w:p>
        </w:tc>
      </w:tr>
      <w:tr w:rsidR="001C19F3" w14:paraId="3E3F56E5"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51CCF0D1" w14:textId="77777777" w:rsidR="001C19F3" w:rsidRDefault="001C19F3" w:rsidP="00521305">
            <w:pPr>
              <w:spacing w:before="40" w:after="40"/>
              <w:ind w:left="40" w:right="40"/>
            </w:pPr>
            <w:r>
              <w:rPr>
                <w:rFonts w:cs="Century Gothic"/>
                <w:b/>
                <w:color w:val="000000"/>
                <w:sz w:val="18"/>
                <w:szCs w:val="18"/>
              </w:rPr>
              <w:t>A7 Patients MedsIndex score</w:t>
            </w:r>
          </w:p>
        </w:tc>
      </w:tr>
      <w:tr w:rsidR="001C19F3" w14:paraId="397C285B"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1EF56849" w14:textId="77777777" w:rsidR="001C19F3" w:rsidRDefault="001C19F3" w:rsidP="00521305">
            <w:pPr>
              <w:spacing w:before="40" w:after="40"/>
              <w:ind w:left="160" w:right="40"/>
            </w:pPr>
          </w:p>
        </w:tc>
        <w:tc>
          <w:tcPr>
            <w:tcW w:w="1152" w:type="pct"/>
            <w:shd w:val="clear" w:color="auto" w:fill="FFFFFF"/>
            <w:tcMar>
              <w:top w:w="0" w:type="dxa"/>
              <w:left w:w="0" w:type="dxa"/>
              <w:bottom w:w="0" w:type="dxa"/>
              <w:right w:w="0" w:type="dxa"/>
            </w:tcMar>
            <w:vAlign w:val="center"/>
          </w:tcPr>
          <w:p w14:paraId="47AE6ADF" w14:textId="77777777" w:rsidR="001C19F3" w:rsidRDefault="001C19F3" w:rsidP="00521305">
            <w:pPr>
              <w:spacing w:before="40" w:after="40"/>
              <w:ind w:left="40" w:right="40"/>
              <w:jc w:val="center"/>
            </w:pPr>
            <w:r>
              <w:rPr>
                <w:rFonts w:cs="Century Gothic"/>
                <w:color w:val="000000"/>
                <w:sz w:val="18"/>
                <w:szCs w:val="18"/>
              </w:rPr>
              <w:t>89.0 (0.0, 100.0)</w:t>
            </w:r>
          </w:p>
        </w:tc>
        <w:tc>
          <w:tcPr>
            <w:tcW w:w="790" w:type="pct"/>
            <w:shd w:val="clear" w:color="auto" w:fill="FFFFFF"/>
            <w:tcMar>
              <w:top w:w="0" w:type="dxa"/>
              <w:left w:w="0" w:type="dxa"/>
              <w:bottom w:w="0" w:type="dxa"/>
              <w:right w:w="0" w:type="dxa"/>
            </w:tcMar>
            <w:vAlign w:val="center"/>
          </w:tcPr>
          <w:p w14:paraId="0946C941" w14:textId="77777777" w:rsidR="001C19F3" w:rsidRDefault="001C19F3" w:rsidP="00521305">
            <w:pPr>
              <w:spacing w:before="40" w:after="40"/>
              <w:ind w:left="40" w:right="40"/>
              <w:jc w:val="center"/>
            </w:pPr>
            <w:r>
              <w:rPr>
                <w:rFonts w:cs="Century Gothic"/>
                <w:color w:val="000000"/>
                <w:sz w:val="18"/>
                <w:szCs w:val="18"/>
              </w:rPr>
              <w:t>90.0 (1.0, 100.0)</w:t>
            </w:r>
          </w:p>
        </w:tc>
        <w:tc>
          <w:tcPr>
            <w:tcW w:w="790" w:type="pct"/>
            <w:shd w:val="clear" w:color="auto" w:fill="FFFFFF"/>
            <w:tcMar>
              <w:top w:w="0" w:type="dxa"/>
              <w:left w:w="0" w:type="dxa"/>
              <w:bottom w:w="0" w:type="dxa"/>
              <w:right w:w="0" w:type="dxa"/>
            </w:tcMar>
            <w:vAlign w:val="center"/>
          </w:tcPr>
          <w:p w14:paraId="7BA366BA" w14:textId="77777777" w:rsidR="001C19F3" w:rsidRDefault="001C19F3" w:rsidP="00521305">
            <w:pPr>
              <w:spacing w:before="40" w:after="40"/>
              <w:ind w:left="40" w:right="40"/>
              <w:jc w:val="center"/>
            </w:pPr>
            <w:r>
              <w:rPr>
                <w:rFonts w:cs="Century Gothic"/>
                <w:color w:val="000000"/>
                <w:sz w:val="18"/>
                <w:szCs w:val="18"/>
              </w:rPr>
              <w:t>87.0 (0.0, 100.0)</w:t>
            </w:r>
          </w:p>
        </w:tc>
        <w:tc>
          <w:tcPr>
            <w:tcW w:w="790" w:type="pct"/>
            <w:shd w:val="clear" w:color="auto" w:fill="FFFFFF"/>
            <w:tcMar>
              <w:top w:w="0" w:type="dxa"/>
              <w:left w:w="0" w:type="dxa"/>
              <w:bottom w:w="0" w:type="dxa"/>
              <w:right w:w="0" w:type="dxa"/>
            </w:tcMar>
            <w:vAlign w:val="center"/>
          </w:tcPr>
          <w:p w14:paraId="46A8DC8A" w14:textId="77777777" w:rsidR="001C19F3" w:rsidRDefault="001C19F3" w:rsidP="00521305">
            <w:pPr>
              <w:spacing w:before="40" w:after="40"/>
              <w:ind w:left="40" w:right="40"/>
              <w:jc w:val="center"/>
            </w:pPr>
            <w:r>
              <w:rPr>
                <w:rFonts w:cs="Century Gothic"/>
                <w:color w:val="000000"/>
                <w:sz w:val="18"/>
                <w:szCs w:val="18"/>
              </w:rPr>
              <w:t>90.0 (0.0, 100.0)</w:t>
            </w:r>
          </w:p>
        </w:tc>
        <w:tc>
          <w:tcPr>
            <w:tcW w:w="458" w:type="pct"/>
            <w:shd w:val="clear" w:color="auto" w:fill="FFFFFF"/>
            <w:tcMar>
              <w:top w:w="0" w:type="dxa"/>
              <w:left w:w="0" w:type="dxa"/>
              <w:bottom w:w="0" w:type="dxa"/>
              <w:right w:w="0" w:type="dxa"/>
            </w:tcMar>
            <w:vAlign w:val="center"/>
          </w:tcPr>
          <w:p w14:paraId="5721746C" w14:textId="77777777" w:rsidR="001C19F3" w:rsidRDefault="001C19F3" w:rsidP="00521305">
            <w:pPr>
              <w:spacing w:before="40" w:after="40"/>
              <w:ind w:left="40" w:right="40"/>
              <w:jc w:val="center"/>
            </w:pPr>
            <w:r>
              <w:rPr>
                <w:rFonts w:cs="Century Gothic"/>
                <w:color w:val="000000"/>
                <w:sz w:val="18"/>
                <w:szCs w:val="18"/>
              </w:rPr>
              <w:t>0.424</w:t>
            </w:r>
          </w:p>
        </w:tc>
      </w:tr>
      <w:tr w:rsidR="001C19F3" w14:paraId="0273E8AF" w14:textId="77777777" w:rsidTr="00521305">
        <w:trPr>
          <w:cantSplit/>
          <w:trHeight w:val="288"/>
          <w:jc w:val="center"/>
        </w:trPr>
        <w:tc>
          <w:tcPr>
            <w:tcW w:w="5000" w:type="pct"/>
            <w:gridSpan w:val="6"/>
            <w:shd w:val="clear" w:color="auto" w:fill="FFFFFF"/>
            <w:tcMar>
              <w:top w:w="0" w:type="dxa"/>
              <w:left w:w="0" w:type="dxa"/>
              <w:bottom w:w="0" w:type="dxa"/>
              <w:right w:w="0" w:type="dxa"/>
            </w:tcMar>
            <w:vAlign w:val="center"/>
          </w:tcPr>
          <w:p w14:paraId="6B24EBB8" w14:textId="77777777" w:rsidR="001C19F3" w:rsidRDefault="001C19F3" w:rsidP="00521305">
            <w:pPr>
              <w:spacing w:before="40" w:after="40"/>
              <w:ind w:left="40" w:right="40"/>
            </w:pPr>
            <w:r>
              <w:rPr>
                <w:rFonts w:cs="Century Gothic"/>
                <w:b/>
                <w:color w:val="000000"/>
                <w:sz w:val="18"/>
                <w:szCs w:val="18"/>
              </w:rPr>
              <w:t>A8 Pharmacists belief of patients' adherence to solids (0 to 10)</w:t>
            </w:r>
          </w:p>
        </w:tc>
      </w:tr>
      <w:tr w:rsidR="001C19F3" w14:paraId="098ED356" w14:textId="77777777" w:rsidTr="00521305">
        <w:trPr>
          <w:cantSplit/>
          <w:trHeight w:val="288"/>
          <w:jc w:val="center"/>
        </w:trPr>
        <w:tc>
          <w:tcPr>
            <w:tcW w:w="1020" w:type="pct"/>
            <w:shd w:val="clear" w:color="auto" w:fill="FFFFFF"/>
            <w:tcMar>
              <w:top w:w="0" w:type="dxa"/>
              <w:left w:w="0" w:type="dxa"/>
              <w:bottom w:w="0" w:type="dxa"/>
              <w:right w:w="0" w:type="dxa"/>
            </w:tcMar>
            <w:vAlign w:val="center"/>
          </w:tcPr>
          <w:p w14:paraId="33B23859" w14:textId="77777777" w:rsidR="001C19F3" w:rsidRDefault="001C19F3" w:rsidP="00521305">
            <w:pPr>
              <w:spacing w:before="40" w:after="40"/>
              <w:ind w:left="160" w:right="40"/>
            </w:pPr>
          </w:p>
        </w:tc>
        <w:tc>
          <w:tcPr>
            <w:tcW w:w="1152" w:type="pct"/>
            <w:shd w:val="clear" w:color="auto" w:fill="FFFFFF"/>
            <w:tcMar>
              <w:top w:w="0" w:type="dxa"/>
              <w:left w:w="0" w:type="dxa"/>
              <w:bottom w:w="0" w:type="dxa"/>
              <w:right w:w="0" w:type="dxa"/>
            </w:tcMar>
            <w:vAlign w:val="center"/>
          </w:tcPr>
          <w:p w14:paraId="57287FB5" w14:textId="77777777" w:rsidR="001C19F3" w:rsidRDefault="001C19F3" w:rsidP="00521305">
            <w:pPr>
              <w:spacing w:before="40" w:after="40"/>
              <w:ind w:left="40" w:right="40"/>
              <w:jc w:val="center"/>
            </w:pPr>
            <w:r>
              <w:rPr>
                <w:rFonts w:cs="Century Gothic"/>
                <w:color w:val="000000"/>
                <w:sz w:val="18"/>
                <w:szCs w:val="18"/>
              </w:rPr>
              <w:t>9.0 (0.0, 10.0)</w:t>
            </w:r>
          </w:p>
        </w:tc>
        <w:tc>
          <w:tcPr>
            <w:tcW w:w="790" w:type="pct"/>
            <w:shd w:val="clear" w:color="auto" w:fill="FFFFFF"/>
            <w:tcMar>
              <w:top w:w="0" w:type="dxa"/>
              <w:left w:w="0" w:type="dxa"/>
              <w:bottom w:w="0" w:type="dxa"/>
              <w:right w:w="0" w:type="dxa"/>
            </w:tcMar>
            <w:vAlign w:val="center"/>
          </w:tcPr>
          <w:p w14:paraId="47B81746" w14:textId="77777777" w:rsidR="001C19F3" w:rsidRDefault="001C19F3" w:rsidP="00521305">
            <w:pPr>
              <w:spacing w:before="40" w:after="40"/>
              <w:ind w:left="40" w:right="40"/>
              <w:jc w:val="center"/>
            </w:pPr>
            <w:r>
              <w:rPr>
                <w:rFonts w:cs="Century Gothic"/>
                <w:color w:val="000000"/>
                <w:sz w:val="18"/>
                <w:szCs w:val="18"/>
              </w:rPr>
              <w:t>9.0 (4.0, 10.0)</w:t>
            </w:r>
          </w:p>
        </w:tc>
        <w:tc>
          <w:tcPr>
            <w:tcW w:w="790" w:type="pct"/>
            <w:shd w:val="clear" w:color="auto" w:fill="FFFFFF"/>
            <w:tcMar>
              <w:top w:w="0" w:type="dxa"/>
              <w:left w:w="0" w:type="dxa"/>
              <w:bottom w:w="0" w:type="dxa"/>
              <w:right w:w="0" w:type="dxa"/>
            </w:tcMar>
            <w:vAlign w:val="center"/>
          </w:tcPr>
          <w:p w14:paraId="7C61AE12" w14:textId="77777777" w:rsidR="001C19F3" w:rsidRDefault="001C19F3" w:rsidP="00521305">
            <w:pPr>
              <w:spacing w:before="40" w:after="40"/>
              <w:ind w:left="40" w:right="40"/>
              <w:jc w:val="center"/>
            </w:pPr>
            <w:r>
              <w:rPr>
                <w:rFonts w:cs="Century Gothic"/>
                <w:color w:val="000000"/>
                <w:sz w:val="18"/>
                <w:szCs w:val="18"/>
              </w:rPr>
              <w:t>9.0 (0.0, 10.0)</w:t>
            </w:r>
          </w:p>
        </w:tc>
        <w:tc>
          <w:tcPr>
            <w:tcW w:w="790" w:type="pct"/>
            <w:shd w:val="clear" w:color="auto" w:fill="FFFFFF"/>
            <w:tcMar>
              <w:top w:w="0" w:type="dxa"/>
              <w:left w:w="0" w:type="dxa"/>
              <w:bottom w:w="0" w:type="dxa"/>
              <w:right w:w="0" w:type="dxa"/>
            </w:tcMar>
            <w:vAlign w:val="center"/>
          </w:tcPr>
          <w:p w14:paraId="4A5FD9FB" w14:textId="77777777" w:rsidR="001C19F3" w:rsidRDefault="001C19F3" w:rsidP="00521305">
            <w:pPr>
              <w:spacing w:before="40" w:after="40"/>
              <w:ind w:left="40" w:right="40"/>
              <w:jc w:val="center"/>
            </w:pPr>
            <w:r>
              <w:rPr>
                <w:rFonts w:cs="Century Gothic"/>
                <w:color w:val="000000"/>
                <w:sz w:val="18"/>
                <w:szCs w:val="18"/>
              </w:rPr>
              <w:t>9.0 (0.0, 10.0)</w:t>
            </w:r>
          </w:p>
        </w:tc>
        <w:tc>
          <w:tcPr>
            <w:tcW w:w="458" w:type="pct"/>
            <w:shd w:val="clear" w:color="auto" w:fill="FFFFFF"/>
            <w:tcMar>
              <w:top w:w="0" w:type="dxa"/>
              <w:left w:w="0" w:type="dxa"/>
              <w:bottom w:w="0" w:type="dxa"/>
              <w:right w:w="0" w:type="dxa"/>
            </w:tcMar>
            <w:vAlign w:val="center"/>
          </w:tcPr>
          <w:p w14:paraId="5A3A4C52" w14:textId="77777777" w:rsidR="001C19F3" w:rsidRDefault="001C19F3" w:rsidP="00521305">
            <w:pPr>
              <w:spacing w:before="40" w:after="40"/>
              <w:ind w:left="40" w:right="40"/>
              <w:jc w:val="center"/>
            </w:pPr>
            <w:r>
              <w:rPr>
                <w:rFonts w:cs="Century Gothic"/>
                <w:color w:val="000000"/>
                <w:sz w:val="18"/>
                <w:szCs w:val="18"/>
              </w:rPr>
              <w:t>0.092</w:t>
            </w:r>
          </w:p>
        </w:tc>
      </w:tr>
    </w:tbl>
    <w:bookmarkEnd w:id="621"/>
    <w:p w14:paraId="474E5326" w14:textId="77777777" w:rsidR="001C19F3" w:rsidRDefault="001C19F3" w:rsidP="001C19F3">
      <w:pPr>
        <w:pStyle w:val="Chartortablefootnote"/>
      </w:pPr>
      <w:r>
        <w:t>Source: Community Pharmacy in HCH trial Health Outcomes data set provided by the Pharmacy Guild, to 30 June 2019.</w:t>
      </w:r>
    </w:p>
    <w:p w14:paraId="22D8A888" w14:textId="77777777" w:rsidR="001C19F3" w:rsidRDefault="001C19F3" w:rsidP="001C19F3">
      <w:pPr>
        <w:pStyle w:val="Caption1"/>
      </w:pPr>
      <w:bookmarkStart w:id="622" w:name="_Ref22831193"/>
      <w:r>
        <w:t xml:space="preserve">Table </w:t>
      </w:r>
      <w:r>
        <w:fldChar w:fldCharType="begin"/>
      </w:r>
      <w:r>
        <w:instrText>SEQ Table \* ARABIC</w:instrText>
      </w:r>
      <w:r>
        <w:fldChar w:fldCharType="separate"/>
      </w:r>
      <w:r>
        <w:rPr>
          <w:noProof/>
        </w:rPr>
        <w:t>88</w:t>
      </w:r>
      <w:r>
        <w:fldChar w:fldCharType="end"/>
      </w:r>
      <w:bookmarkEnd w:id="622"/>
      <w:r>
        <w:t xml:space="preserve"> – Conditions patients are taking medication for, by tier</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362"/>
        <w:gridCol w:w="2144"/>
        <w:gridCol w:w="2144"/>
        <w:gridCol w:w="2144"/>
        <w:gridCol w:w="2144"/>
      </w:tblGrid>
      <w:tr w:rsidR="001C19F3" w14:paraId="0E82D5EA" w14:textId="77777777" w:rsidTr="00521305">
        <w:trPr>
          <w:cantSplit/>
          <w:trHeight w:val="336"/>
          <w:tblHeader/>
          <w:jc w:val="center"/>
        </w:trPr>
        <w:tc>
          <w:tcPr>
            <w:tcW w:w="1923" w:type="pct"/>
            <w:shd w:val="clear" w:color="auto" w:fill="003D79"/>
            <w:tcMar>
              <w:top w:w="0" w:type="dxa"/>
              <w:left w:w="0" w:type="dxa"/>
              <w:bottom w:w="0" w:type="dxa"/>
              <w:right w:w="0" w:type="dxa"/>
            </w:tcMar>
            <w:vAlign w:val="center"/>
          </w:tcPr>
          <w:p w14:paraId="6CC62712" w14:textId="77777777" w:rsidR="001C19F3" w:rsidRDefault="001C19F3" w:rsidP="00521305">
            <w:pPr>
              <w:spacing w:after="0"/>
              <w:jc w:val="center"/>
            </w:pPr>
            <w:r w:rsidRPr="003705DD">
              <w:rPr>
                <w:rFonts w:cs="Century Gothic"/>
                <w:b/>
                <w:color w:val="FFFFFF"/>
                <w:sz w:val="18"/>
                <w:szCs w:val="18"/>
              </w:rPr>
              <w:t>Condition</w:t>
            </w:r>
          </w:p>
        </w:tc>
        <w:tc>
          <w:tcPr>
            <w:tcW w:w="769" w:type="pct"/>
            <w:shd w:val="clear" w:color="auto" w:fill="003D79"/>
            <w:tcMar>
              <w:top w:w="0" w:type="dxa"/>
              <w:left w:w="0" w:type="dxa"/>
              <w:bottom w:w="0" w:type="dxa"/>
              <w:right w:w="0" w:type="dxa"/>
            </w:tcMar>
            <w:vAlign w:val="center"/>
          </w:tcPr>
          <w:p w14:paraId="08D5CA30" w14:textId="77777777" w:rsidR="001C19F3" w:rsidRDefault="001C19F3" w:rsidP="00521305">
            <w:pPr>
              <w:spacing w:after="0"/>
              <w:jc w:val="center"/>
            </w:pPr>
            <w:r>
              <w:rPr>
                <w:rFonts w:cs="Century Gothic"/>
                <w:b/>
                <w:color w:val="FFFFFF"/>
                <w:sz w:val="18"/>
                <w:szCs w:val="18"/>
              </w:rPr>
              <w:t>Total (n = 468)</w:t>
            </w:r>
          </w:p>
        </w:tc>
        <w:tc>
          <w:tcPr>
            <w:tcW w:w="769" w:type="pct"/>
            <w:shd w:val="clear" w:color="auto" w:fill="003D79"/>
            <w:tcMar>
              <w:top w:w="0" w:type="dxa"/>
              <w:left w:w="0" w:type="dxa"/>
              <w:bottom w:w="0" w:type="dxa"/>
              <w:right w:w="0" w:type="dxa"/>
            </w:tcMar>
            <w:vAlign w:val="center"/>
          </w:tcPr>
          <w:p w14:paraId="0CBA559A" w14:textId="77777777" w:rsidR="001C19F3" w:rsidRDefault="001C19F3" w:rsidP="00521305">
            <w:pPr>
              <w:spacing w:after="0"/>
              <w:jc w:val="center"/>
            </w:pPr>
            <w:r>
              <w:rPr>
                <w:rFonts w:cs="Century Gothic"/>
                <w:b/>
                <w:color w:val="FFFFFF"/>
                <w:sz w:val="18"/>
                <w:szCs w:val="18"/>
              </w:rPr>
              <w:t>Tier 1 (n = 44)</w:t>
            </w:r>
          </w:p>
        </w:tc>
        <w:tc>
          <w:tcPr>
            <w:tcW w:w="769" w:type="pct"/>
            <w:shd w:val="clear" w:color="auto" w:fill="003D79"/>
            <w:tcMar>
              <w:top w:w="0" w:type="dxa"/>
              <w:left w:w="0" w:type="dxa"/>
              <w:bottom w:w="0" w:type="dxa"/>
              <w:right w:w="0" w:type="dxa"/>
            </w:tcMar>
            <w:vAlign w:val="center"/>
          </w:tcPr>
          <w:p w14:paraId="6372B754" w14:textId="77777777" w:rsidR="001C19F3" w:rsidRDefault="001C19F3" w:rsidP="00521305">
            <w:pPr>
              <w:spacing w:after="0"/>
              <w:jc w:val="center"/>
            </w:pPr>
            <w:r>
              <w:rPr>
                <w:rFonts w:cs="Century Gothic"/>
                <w:b/>
                <w:color w:val="FFFFFF"/>
                <w:sz w:val="18"/>
                <w:szCs w:val="18"/>
              </w:rPr>
              <w:t>Tier 2 (n = 235)</w:t>
            </w:r>
          </w:p>
        </w:tc>
        <w:tc>
          <w:tcPr>
            <w:tcW w:w="769" w:type="pct"/>
            <w:shd w:val="clear" w:color="auto" w:fill="003D79"/>
            <w:tcMar>
              <w:top w:w="0" w:type="dxa"/>
              <w:left w:w="0" w:type="dxa"/>
              <w:bottom w:w="0" w:type="dxa"/>
              <w:right w:w="0" w:type="dxa"/>
            </w:tcMar>
            <w:vAlign w:val="center"/>
          </w:tcPr>
          <w:p w14:paraId="42F00F2C" w14:textId="77777777" w:rsidR="001C19F3" w:rsidRDefault="001C19F3" w:rsidP="00521305">
            <w:pPr>
              <w:spacing w:after="0"/>
              <w:jc w:val="center"/>
            </w:pPr>
            <w:r>
              <w:rPr>
                <w:rFonts w:cs="Century Gothic"/>
                <w:b/>
                <w:color w:val="FFFFFF"/>
                <w:sz w:val="18"/>
                <w:szCs w:val="18"/>
              </w:rPr>
              <w:t>Tier 3 (n = 189)</w:t>
            </w:r>
          </w:p>
        </w:tc>
      </w:tr>
      <w:tr w:rsidR="001C19F3" w14:paraId="374ADC01"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4C553E0F" w14:textId="77777777" w:rsidR="001C19F3" w:rsidRDefault="001C19F3" w:rsidP="00521305">
            <w:pPr>
              <w:spacing w:before="40" w:after="40"/>
              <w:ind w:left="40" w:right="40"/>
            </w:pPr>
            <w:r>
              <w:rPr>
                <w:rFonts w:cs="Century Gothic"/>
                <w:color w:val="000000"/>
                <w:sz w:val="18"/>
                <w:szCs w:val="18"/>
              </w:rPr>
              <w:t>F04 Heart disease</w:t>
            </w:r>
          </w:p>
        </w:tc>
        <w:tc>
          <w:tcPr>
            <w:tcW w:w="769" w:type="pct"/>
            <w:shd w:val="clear" w:color="auto" w:fill="FFFFFF"/>
            <w:tcMar>
              <w:top w:w="0" w:type="dxa"/>
              <w:left w:w="0" w:type="dxa"/>
              <w:bottom w:w="0" w:type="dxa"/>
              <w:right w:w="0" w:type="dxa"/>
            </w:tcMar>
            <w:vAlign w:val="center"/>
          </w:tcPr>
          <w:p w14:paraId="7D3AAD4C" w14:textId="77777777" w:rsidR="001C19F3" w:rsidRDefault="001C19F3" w:rsidP="00521305">
            <w:pPr>
              <w:spacing w:before="40" w:after="40"/>
              <w:ind w:left="40" w:right="40"/>
              <w:jc w:val="center"/>
            </w:pPr>
            <w:r>
              <w:rPr>
                <w:rFonts w:cs="Century Gothic"/>
                <w:color w:val="000000"/>
                <w:sz w:val="18"/>
                <w:szCs w:val="18"/>
              </w:rPr>
              <w:t>190 (40.6%)</w:t>
            </w:r>
          </w:p>
        </w:tc>
        <w:tc>
          <w:tcPr>
            <w:tcW w:w="769" w:type="pct"/>
            <w:shd w:val="clear" w:color="auto" w:fill="FFFFFF"/>
            <w:tcMar>
              <w:top w:w="0" w:type="dxa"/>
              <w:left w:w="0" w:type="dxa"/>
              <w:bottom w:w="0" w:type="dxa"/>
              <w:right w:w="0" w:type="dxa"/>
            </w:tcMar>
            <w:vAlign w:val="center"/>
          </w:tcPr>
          <w:p w14:paraId="4F17335F" w14:textId="77777777" w:rsidR="001C19F3" w:rsidRDefault="001C19F3" w:rsidP="00521305">
            <w:pPr>
              <w:spacing w:before="40" w:after="40"/>
              <w:ind w:left="40" w:right="40"/>
              <w:jc w:val="center"/>
            </w:pPr>
            <w:r>
              <w:rPr>
                <w:rFonts w:cs="Century Gothic"/>
                <w:color w:val="000000"/>
                <w:sz w:val="18"/>
                <w:szCs w:val="18"/>
              </w:rPr>
              <w:t>15 (34.1%)</w:t>
            </w:r>
          </w:p>
        </w:tc>
        <w:tc>
          <w:tcPr>
            <w:tcW w:w="769" w:type="pct"/>
            <w:shd w:val="clear" w:color="auto" w:fill="FFFFFF"/>
            <w:tcMar>
              <w:top w:w="0" w:type="dxa"/>
              <w:left w:w="0" w:type="dxa"/>
              <w:bottom w:w="0" w:type="dxa"/>
              <w:right w:w="0" w:type="dxa"/>
            </w:tcMar>
            <w:vAlign w:val="center"/>
          </w:tcPr>
          <w:p w14:paraId="481A999B" w14:textId="77777777" w:rsidR="001C19F3" w:rsidRDefault="001C19F3" w:rsidP="00521305">
            <w:pPr>
              <w:spacing w:before="40" w:after="40"/>
              <w:ind w:left="40" w:right="40"/>
              <w:jc w:val="center"/>
            </w:pPr>
            <w:r>
              <w:rPr>
                <w:rFonts w:cs="Century Gothic"/>
                <w:color w:val="000000"/>
                <w:sz w:val="18"/>
                <w:szCs w:val="18"/>
              </w:rPr>
              <w:t>94 (40.0%)</w:t>
            </w:r>
          </w:p>
        </w:tc>
        <w:tc>
          <w:tcPr>
            <w:tcW w:w="769" w:type="pct"/>
            <w:shd w:val="clear" w:color="auto" w:fill="FFFFFF"/>
            <w:tcMar>
              <w:top w:w="0" w:type="dxa"/>
              <w:left w:w="0" w:type="dxa"/>
              <w:bottom w:w="0" w:type="dxa"/>
              <w:right w:w="0" w:type="dxa"/>
            </w:tcMar>
            <w:vAlign w:val="center"/>
          </w:tcPr>
          <w:p w14:paraId="3F839DD5" w14:textId="77777777" w:rsidR="001C19F3" w:rsidRDefault="001C19F3" w:rsidP="00521305">
            <w:pPr>
              <w:spacing w:before="40" w:after="40"/>
              <w:ind w:left="40" w:right="40"/>
              <w:jc w:val="center"/>
            </w:pPr>
            <w:r>
              <w:rPr>
                <w:rFonts w:cs="Century Gothic"/>
                <w:color w:val="000000"/>
                <w:sz w:val="18"/>
                <w:szCs w:val="18"/>
              </w:rPr>
              <w:t>81 (42.9%)</w:t>
            </w:r>
          </w:p>
        </w:tc>
      </w:tr>
      <w:tr w:rsidR="001C19F3" w14:paraId="13B0C823"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4DE6F438" w14:textId="77777777" w:rsidR="001C19F3" w:rsidRDefault="001C19F3" w:rsidP="00521305">
            <w:pPr>
              <w:spacing w:before="40" w:after="40"/>
              <w:ind w:left="40" w:right="40"/>
            </w:pPr>
            <w:r>
              <w:rPr>
                <w:rFonts w:cs="Century Gothic"/>
                <w:color w:val="000000"/>
                <w:sz w:val="18"/>
                <w:szCs w:val="18"/>
              </w:rPr>
              <w:t>F05 Stroke</w:t>
            </w:r>
          </w:p>
        </w:tc>
        <w:tc>
          <w:tcPr>
            <w:tcW w:w="769" w:type="pct"/>
            <w:shd w:val="clear" w:color="auto" w:fill="FFFFFF"/>
            <w:tcMar>
              <w:top w:w="0" w:type="dxa"/>
              <w:left w:w="0" w:type="dxa"/>
              <w:bottom w:w="0" w:type="dxa"/>
              <w:right w:w="0" w:type="dxa"/>
            </w:tcMar>
            <w:vAlign w:val="center"/>
          </w:tcPr>
          <w:p w14:paraId="3033EABA" w14:textId="77777777" w:rsidR="001C19F3" w:rsidRDefault="001C19F3" w:rsidP="00521305">
            <w:pPr>
              <w:spacing w:before="40" w:after="40"/>
              <w:ind w:left="40" w:right="40"/>
              <w:jc w:val="center"/>
            </w:pPr>
            <w:r>
              <w:rPr>
                <w:rFonts w:cs="Century Gothic"/>
                <w:color w:val="000000"/>
                <w:sz w:val="18"/>
                <w:szCs w:val="18"/>
              </w:rPr>
              <w:t>34 (7.3%)</w:t>
            </w:r>
          </w:p>
        </w:tc>
        <w:tc>
          <w:tcPr>
            <w:tcW w:w="769" w:type="pct"/>
            <w:shd w:val="clear" w:color="auto" w:fill="FFFFFF"/>
            <w:tcMar>
              <w:top w:w="0" w:type="dxa"/>
              <w:left w:w="0" w:type="dxa"/>
              <w:bottom w:w="0" w:type="dxa"/>
              <w:right w:w="0" w:type="dxa"/>
            </w:tcMar>
            <w:vAlign w:val="center"/>
          </w:tcPr>
          <w:p w14:paraId="52C0A801" w14:textId="77777777" w:rsidR="001C19F3" w:rsidRDefault="001C19F3" w:rsidP="00521305">
            <w:pPr>
              <w:spacing w:before="40" w:after="40"/>
              <w:ind w:left="40" w:right="40"/>
              <w:jc w:val="center"/>
            </w:pPr>
            <w:r>
              <w:rPr>
                <w:rFonts w:cs="Century Gothic"/>
                <w:color w:val="000000"/>
                <w:sz w:val="18"/>
                <w:szCs w:val="18"/>
              </w:rPr>
              <w:t>4 (9.1%)</w:t>
            </w:r>
          </w:p>
        </w:tc>
        <w:tc>
          <w:tcPr>
            <w:tcW w:w="769" w:type="pct"/>
            <w:shd w:val="clear" w:color="auto" w:fill="FFFFFF"/>
            <w:tcMar>
              <w:top w:w="0" w:type="dxa"/>
              <w:left w:w="0" w:type="dxa"/>
              <w:bottom w:w="0" w:type="dxa"/>
              <w:right w:w="0" w:type="dxa"/>
            </w:tcMar>
            <w:vAlign w:val="center"/>
          </w:tcPr>
          <w:p w14:paraId="43F9FE50" w14:textId="77777777" w:rsidR="001C19F3" w:rsidRDefault="001C19F3" w:rsidP="00521305">
            <w:pPr>
              <w:spacing w:before="40" w:after="40"/>
              <w:ind w:left="40" w:right="40"/>
              <w:jc w:val="center"/>
            </w:pPr>
            <w:r>
              <w:rPr>
                <w:rFonts w:cs="Century Gothic"/>
                <w:color w:val="000000"/>
                <w:sz w:val="18"/>
                <w:szCs w:val="18"/>
              </w:rPr>
              <w:t>22 (9.4%)</w:t>
            </w:r>
          </w:p>
        </w:tc>
        <w:tc>
          <w:tcPr>
            <w:tcW w:w="769" w:type="pct"/>
            <w:shd w:val="clear" w:color="auto" w:fill="FFFFFF"/>
            <w:tcMar>
              <w:top w:w="0" w:type="dxa"/>
              <w:left w:w="0" w:type="dxa"/>
              <w:bottom w:w="0" w:type="dxa"/>
              <w:right w:w="0" w:type="dxa"/>
            </w:tcMar>
            <w:vAlign w:val="center"/>
          </w:tcPr>
          <w:p w14:paraId="689E15A2" w14:textId="77777777" w:rsidR="001C19F3" w:rsidRDefault="001C19F3" w:rsidP="00521305">
            <w:pPr>
              <w:spacing w:before="40" w:after="40"/>
              <w:ind w:left="40" w:right="40"/>
              <w:jc w:val="center"/>
            </w:pPr>
            <w:r>
              <w:rPr>
                <w:rFonts w:cs="Century Gothic"/>
                <w:color w:val="000000"/>
                <w:sz w:val="18"/>
                <w:szCs w:val="18"/>
              </w:rPr>
              <w:t>8 (4.2%)</w:t>
            </w:r>
          </w:p>
        </w:tc>
      </w:tr>
      <w:tr w:rsidR="001C19F3" w14:paraId="3EAFA004"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7FFAA9D9" w14:textId="77777777" w:rsidR="001C19F3" w:rsidRDefault="001C19F3" w:rsidP="00521305">
            <w:pPr>
              <w:spacing w:before="40" w:after="40"/>
              <w:ind w:left="40" w:right="40"/>
            </w:pPr>
            <w:r>
              <w:rPr>
                <w:rFonts w:cs="Century Gothic"/>
                <w:color w:val="000000"/>
                <w:sz w:val="18"/>
                <w:szCs w:val="18"/>
              </w:rPr>
              <w:t>F06 Cancer</w:t>
            </w:r>
          </w:p>
        </w:tc>
        <w:tc>
          <w:tcPr>
            <w:tcW w:w="769" w:type="pct"/>
            <w:shd w:val="clear" w:color="auto" w:fill="FFFFFF"/>
            <w:tcMar>
              <w:top w:w="0" w:type="dxa"/>
              <w:left w:w="0" w:type="dxa"/>
              <w:bottom w:w="0" w:type="dxa"/>
              <w:right w:w="0" w:type="dxa"/>
            </w:tcMar>
            <w:vAlign w:val="center"/>
          </w:tcPr>
          <w:p w14:paraId="4E52E071" w14:textId="77777777" w:rsidR="001C19F3" w:rsidRDefault="001C19F3" w:rsidP="00521305">
            <w:pPr>
              <w:spacing w:before="40" w:after="40"/>
              <w:ind w:left="40" w:right="40"/>
              <w:jc w:val="center"/>
            </w:pPr>
            <w:r>
              <w:rPr>
                <w:rFonts w:cs="Century Gothic"/>
                <w:color w:val="000000"/>
                <w:sz w:val="18"/>
                <w:szCs w:val="18"/>
              </w:rPr>
              <w:t>13 (2.8%)</w:t>
            </w:r>
          </w:p>
        </w:tc>
        <w:tc>
          <w:tcPr>
            <w:tcW w:w="769" w:type="pct"/>
            <w:shd w:val="clear" w:color="auto" w:fill="FFFFFF"/>
            <w:tcMar>
              <w:top w:w="0" w:type="dxa"/>
              <w:left w:w="0" w:type="dxa"/>
              <w:bottom w:w="0" w:type="dxa"/>
              <w:right w:w="0" w:type="dxa"/>
            </w:tcMar>
            <w:vAlign w:val="center"/>
          </w:tcPr>
          <w:p w14:paraId="5C793D92" w14:textId="77777777" w:rsidR="001C19F3" w:rsidRDefault="001C19F3" w:rsidP="00521305">
            <w:pPr>
              <w:spacing w:before="40" w:after="40"/>
              <w:ind w:left="40" w:right="40"/>
              <w:jc w:val="center"/>
            </w:pPr>
            <w:r>
              <w:rPr>
                <w:rFonts w:cs="Century Gothic"/>
                <w:color w:val="000000"/>
                <w:sz w:val="18"/>
                <w:szCs w:val="18"/>
              </w:rPr>
              <w:t>0</w:t>
            </w:r>
          </w:p>
        </w:tc>
        <w:tc>
          <w:tcPr>
            <w:tcW w:w="769" w:type="pct"/>
            <w:shd w:val="clear" w:color="auto" w:fill="FFFFFF"/>
            <w:tcMar>
              <w:top w:w="0" w:type="dxa"/>
              <w:left w:w="0" w:type="dxa"/>
              <w:bottom w:w="0" w:type="dxa"/>
              <w:right w:w="0" w:type="dxa"/>
            </w:tcMar>
            <w:vAlign w:val="center"/>
          </w:tcPr>
          <w:p w14:paraId="323BE0CF" w14:textId="77777777" w:rsidR="001C19F3" w:rsidRDefault="001C19F3" w:rsidP="00521305">
            <w:pPr>
              <w:spacing w:before="40" w:after="40"/>
              <w:ind w:left="40" w:right="40"/>
              <w:jc w:val="center"/>
            </w:pPr>
            <w:r>
              <w:rPr>
                <w:rFonts w:cs="Century Gothic"/>
                <w:color w:val="000000"/>
                <w:sz w:val="18"/>
                <w:szCs w:val="18"/>
              </w:rPr>
              <w:t>7 (3.0%)</w:t>
            </w:r>
          </w:p>
        </w:tc>
        <w:tc>
          <w:tcPr>
            <w:tcW w:w="769" w:type="pct"/>
            <w:shd w:val="clear" w:color="auto" w:fill="FFFFFF"/>
            <w:tcMar>
              <w:top w:w="0" w:type="dxa"/>
              <w:left w:w="0" w:type="dxa"/>
              <w:bottom w:w="0" w:type="dxa"/>
              <w:right w:w="0" w:type="dxa"/>
            </w:tcMar>
            <w:vAlign w:val="center"/>
          </w:tcPr>
          <w:p w14:paraId="3E2C25B7" w14:textId="77777777" w:rsidR="001C19F3" w:rsidRDefault="001C19F3" w:rsidP="00521305">
            <w:pPr>
              <w:spacing w:before="40" w:after="40"/>
              <w:ind w:left="40" w:right="40"/>
              <w:jc w:val="center"/>
            </w:pPr>
            <w:r>
              <w:rPr>
                <w:rFonts w:cs="Century Gothic"/>
                <w:color w:val="000000"/>
                <w:sz w:val="18"/>
                <w:szCs w:val="18"/>
              </w:rPr>
              <w:t>6 (3.2%)</w:t>
            </w:r>
          </w:p>
        </w:tc>
      </w:tr>
      <w:tr w:rsidR="001C19F3" w14:paraId="25EBBFA0"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729A9EAE" w14:textId="77777777" w:rsidR="001C19F3" w:rsidRDefault="001C19F3" w:rsidP="00521305">
            <w:pPr>
              <w:spacing w:before="40" w:after="40"/>
              <w:ind w:left="40" w:right="40"/>
            </w:pPr>
            <w:r>
              <w:rPr>
                <w:rFonts w:cs="Century Gothic"/>
                <w:color w:val="000000"/>
                <w:sz w:val="18"/>
                <w:szCs w:val="18"/>
              </w:rPr>
              <w:t>F07 Osteoporosis</w:t>
            </w:r>
          </w:p>
        </w:tc>
        <w:tc>
          <w:tcPr>
            <w:tcW w:w="769" w:type="pct"/>
            <w:shd w:val="clear" w:color="auto" w:fill="FFFFFF"/>
            <w:tcMar>
              <w:top w:w="0" w:type="dxa"/>
              <w:left w:w="0" w:type="dxa"/>
              <w:bottom w:w="0" w:type="dxa"/>
              <w:right w:w="0" w:type="dxa"/>
            </w:tcMar>
            <w:vAlign w:val="center"/>
          </w:tcPr>
          <w:p w14:paraId="30C66243" w14:textId="77777777" w:rsidR="001C19F3" w:rsidRDefault="001C19F3" w:rsidP="00521305">
            <w:pPr>
              <w:spacing w:before="40" w:after="40"/>
              <w:ind w:left="40" w:right="40"/>
              <w:jc w:val="center"/>
            </w:pPr>
            <w:r>
              <w:rPr>
                <w:rFonts w:cs="Century Gothic"/>
                <w:color w:val="000000"/>
                <w:sz w:val="18"/>
                <w:szCs w:val="18"/>
              </w:rPr>
              <w:t>66 (14.1%)</w:t>
            </w:r>
          </w:p>
        </w:tc>
        <w:tc>
          <w:tcPr>
            <w:tcW w:w="769" w:type="pct"/>
            <w:shd w:val="clear" w:color="auto" w:fill="FFFFFF"/>
            <w:tcMar>
              <w:top w:w="0" w:type="dxa"/>
              <w:left w:w="0" w:type="dxa"/>
              <w:bottom w:w="0" w:type="dxa"/>
              <w:right w:w="0" w:type="dxa"/>
            </w:tcMar>
            <w:vAlign w:val="center"/>
          </w:tcPr>
          <w:p w14:paraId="45B4714B" w14:textId="77777777" w:rsidR="001C19F3" w:rsidRDefault="001C19F3" w:rsidP="00521305">
            <w:pPr>
              <w:spacing w:before="40" w:after="40"/>
              <w:ind w:left="40" w:right="40"/>
              <w:jc w:val="center"/>
            </w:pPr>
            <w:r>
              <w:rPr>
                <w:rFonts w:cs="Century Gothic"/>
                <w:color w:val="000000"/>
                <w:sz w:val="18"/>
                <w:szCs w:val="18"/>
              </w:rPr>
              <w:t>8 (18.2%)</w:t>
            </w:r>
          </w:p>
        </w:tc>
        <w:tc>
          <w:tcPr>
            <w:tcW w:w="769" w:type="pct"/>
            <w:shd w:val="clear" w:color="auto" w:fill="FFFFFF"/>
            <w:tcMar>
              <w:top w:w="0" w:type="dxa"/>
              <w:left w:w="0" w:type="dxa"/>
              <w:bottom w:w="0" w:type="dxa"/>
              <w:right w:w="0" w:type="dxa"/>
            </w:tcMar>
            <w:vAlign w:val="center"/>
          </w:tcPr>
          <w:p w14:paraId="366B12A1" w14:textId="77777777" w:rsidR="001C19F3" w:rsidRDefault="001C19F3" w:rsidP="00521305">
            <w:pPr>
              <w:spacing w:before="40" w:after="40"/>
              <w:ind w:left="40" w:right="40"/>
              <w:jc w:val="center"/>
            </w:pPr>
            <w:r>
              <w:rPr>
                <w:rFonts w:cs="Century Gothic"/>
                <w:color w:val="000000"/>
                <w:sz w:val="18"/>
                <w:szCs w:val="18"/>
              </w:rPr>
              <w:t>30 (12.8%)</w:t>
            </w:r>
          </w:p>
        </w:tc>
        <w:tc>
          <w:tcPr>
            <w:tcW w:w="769" w:type="pct"/>
            <w:shd w:val="clear" w:color="auto" w:fill="FFFFFF"/>
            <w:tcMar>
              <w:top w:w="0" w:type="dxa"/>
              <w:left w:w="0" w:type="dxa"/>
              <w:bottom w:w="0" w:type="dxa"/>
              <w:right w:w="0" w:type="dxa"/>
            </w:tcMar>
            <w:vAlign w:val="center"/>
          </w:tcPr>
          <w:p w14:paraId="44B66FCC" w14:textId="77777777" w:rsidR="001C19F3" w:rsidRDefault="001C19F3" w:rsidP="00521305">
            <w:pPr>
              <w:spacing w:before="40" w:after="40"/>
              <w:ind w:left="40" w:right="40"/>
              <w:jc w:val="center"/>
            </w:pPr>
            <w:r>
              <w:rPr>
                <w:rFonts w:cs="Century Gothic"/>
                <w:color w:val="000000"/>
                <w:sz w:val="18"/>
                <w:szCs w:val="18"/>
              </w:rPr>
              <w:t>28 (14.8%)</w:t>
            </w:r>
          </w:p>
        </w:tc>
      </w:tr>
      <w:tr w:rsidR="001C19F3" w14:paraId="16F7DF5E"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602320C9" w14:textId="77777777" w:rsidR="001C19F3" w:rsidRDefault="001C19F3" w:rsidP="00521305">
            <w:pPr>
              <w:spacing w:before="40" w:after="40"/>
              <w:ind w:left="40" w:right="40"/>
            </w:pPr>
            <w:r>
              <w:rPr>
                <w:rFonts w:cs="Century Gothic"/>
                <w:color w:val="000000"/>
                <w:sz w:val="18"/>
                <w:szCs w:val="18"/>
              </w:rPr>
              <w:t>F08 Depression or anxiety</w:t>
            </w:r>
          </w:p>
        </w:tc>
        <w:tc>
          <w:tcPr>
            <w:tcW w:w="769" w:type="pct"/>
            <w:shd w:val="clear" w:color="auto" w:fill="FFFFFF"/>
            <w:tcMar>
              <w:top w:w="0" w:type="dxa"/>
              <w:left w:w="0" w:type="dxa"/>
              <w:bottom w:w="0" w:type="dxa"/>
              <w:right w:w="0" w:type="dxa"/>
            </w:tcMar>
            <w:vAlign w:val="center"/>
          </w:tcPr>
          <w:p w14:paraId="3EAD99AF" w14:textId="77777777" w:rsidR="001C19F3" w:rsidRDefault="001C19F3" w:rsidP="00521305">
            <w:pPr>
              <w:spacing w:before="40" w:after="40"/>
              <w:ind w:left="40" w:right="40"/>
              <w:jc w:val="center"/>
            </w:pPr>
            <w:r>
              <w:rPr>
                <w:rFonts w:cs="Century Gothic"/>
                <w:color w:val="000000"/>
                <w:sz w:val="18"/>
                <w:szCs w:val="18"/>
              </w:rPr>
              <w:t>126 (26.9%)</w:t>
            </w:r>
          </w:p>
        </w:tc>
        <w:tc>
          <w:tcPr>
            <w:tcW w:w="769" w:type="pct"/>
            <w:shd w:val="clear" w:color="auto" w:fill="FFFFFF"/>
            <w:tcMar>
              <w:top w:w="0" w:type="dxa"/>
              <w:left w:w="0" w:type="dxa"/>
              <w:bottom w:w="0" w:type="dxa"/>
              <w:right w:w="0" w:type="dxa"/>
            </w:tcMar>
            <w:vAlign w:val="center"/>
          </w:tcPr>
          <w:p w14:paraId="24EDA02C" w14:textId="77777777" w:rsidR="001C19F3" w:rsidRDefault="001C19F3" w:rsidP="00521305">
            <w:pPr>
              <w:spacing w:before="40" w:after="40"/>
              <w:ind w:left="40" w:right="40"/>
              <w:jc w:val="center"/>
            </w:pPr>
            <w:r>
              <w:rPr>
                <w:rFonts w:cs="Century Gothic"/>
                <w:color w:val="000000"/>
                <w:sz w:val="18"/>
                <w:szCs w:val="18"/>
              </w:rPr>
              <w:t>7 (15.9%)</w:t>
            </w:r>
          </w:p>
        </w:tc>
        <w:tc>
          <w:tcPr>
            <w:tcW w:w="769" w:type="pct"/>
            <w:shd w:val="clear" w:color="auto" w:fill="FFFFFF"/>
            <w:tcMar>
              <w:top w:w="0" w:type="dxa"/>
              <w:left w:w="0" w:type="dxa"/>
              <w:bottom w:w="0" w:type="dxa"/>
              <w:right w:w="0" w:type="dxa"/>
            </w:tcMar>
            <w:vAlign w:val="center"/>
          </w:tcPr>
          <w:p w14:paraId="4B268A68" w14:textId="77777777" w:rsidR="001C19F3" w:rsidRDefault="001C19F3" w:rsidP="00521305">
            <w:pPr>
              <w:spacing w:before="40" w:after="40"/>
              <w:ind w:left="40" w:right="40"/>
              <w:jc w:val="center"/>
            </w:pPr>
            <w:r>
              <w:rPr>
                <w:rFonts w:cs="Century Gothic"/>
                <w:color w:val="000000"/>
                <w:sz w:val="18"/>
                <w:szCs w:val="18"/>
              </w:rPr>
              <w:t>57 (24.3%)</w:t>
            </w:r>
          </w:p>
        </w:tc>
        <w:tc>
          <w:tcPr>
            <w:tcW w:w="769" w:type="pct"/>
            <w:shd w:val="clear" w:color="auto" w:fill="FFFFFF"/>
            <w:tcMar>
              <w:top w:w="0" w:type="dxa"/>
              <w:left w:w="0" w:type="dxa"/>
              <w:bottom w:w="0" w:type="dxa"/>
              <w:right w:w="0" w:type="dxa"/>
            </w:tcMar>
            <w:vAlign w:val="center"/>
          </w:tcPr>
          <w:p w14:paraId="20988A21" w14:textId="77777777" w:rsidR="001C19F3" w:rsidRDefault="001C19F3" w:rsidP="00521305">
            <w:pPr>
              <w:spacing w:before="40" w:after="40"/>
              <w:ind w:left="40" w:right="40"/>
              <w:jc w:val="center"/>
            </w:pPr>
            <w:r>
              <w:rPr>
                <w:rFonts w:cs="Century Gothic"/>
                <w:color w:val="000000"/>
                <w:sz w:val="18"/>
                <w:szCs w:val="18"/>
              </w:rPr>
              <w:t>62 (32.8%)</w:t>
            </w:r>
          </w:p>
        </w:tc>
      </w:tr>
      <w:tr w:rsidR="001C19F3" w14:paraId="0FCA63E2"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3E40E8A6" w14:textId="77777777" w:rsidR="001C19F3" w:rsidRDefault="001C19F3" w:rsidP="00521305">
            <w:pPr>
              <w:spacing w:before="40" w:after="40"/>
              <w:ind w:left="40" w:right="40"/>
            </w:pPr>
            <w:r>
              <w:rPr>
                <w:rFonts w:cs="Century Gothic"/>
                <w:color w:val="000000"/>
                <w:sz w:val="18"/>
                <w:szCs w:val="18"/>
              </w:rPr>
              <w:t>F09 Arthritis</w:t>
            </w:r>
          </w:p>
        </w:tc>
        <w:tc>
          <w:tcPr>
            <w:tcW w:w="769" w:type="pct"/>
            <w:shd w:val="clear" w:color="auto" w:fill="FFFFFF"/>
            <w:tcMar>
              <w:top w:w="0" w:type="dxa"/>
              <w:left w:w="0" w:type="dxa"/>
              <w:bottom w:w="0" w:type="dxa"/>
              <w:right w:w="0" w:type="dxa"/>
            </w:tcMar>
            <w:vAlign w:val="center"/>
          </w:tcPr>
          <w:p w14:paraId="5B29F76D" w14:textId="77777777" w:rsidR="001C19F3" w:rsidRDefault="001C19F3" w:rsidP="00521305">
            <w:pPr>
              <w:spacing w:before="40" w:after="40"/>
              <w:ind w:left="40" w:right="40"/>
              <w:jc w:val="center"/>
            </w:pPr>
            <w:r>
              <w:rPr>
                <w:rFonts w:cs="Century Gothic"/>
                <w:color w:val="000000"/>
                <w:sz w:val="18"/>
                <w:szCs w:val="18"/>
              </w:rPr>
              <w:t>150 (32.1%)</w:t>
            </w:r>
          </w:p>
        </w:tc>
        <w:tc>
          <w:tcPr>
            <w:tcW w:w="769" w:type="pct"/>
            <w:shd w:val="clear" w:color="auto" w:fill="FFFFFF"/>
            <w:tcMar>
              <w:top w:w="0" w:type="dxa"/>
              <w:left w:w="0" w:type="dxa"/>
              <w:bottom w:w="0" w:type="dxa"/>
              <w:right w:w="0" w:type="dxa"/>
            </w:tcMar>
            <w:vAlign w:val="center"/>
          </w:tcPr>
          <w:p w14:paraId="7406099B" w14:textId="77777777" w:rsidR="001C19F3" w:rsidRDefault="001C19F3" w:rsidP="00521305">
            <w:pPr>
              <w:spacing w:before="40" w:after="40"/>
              <w:ind w:left="40" w:right="40"/>
              <w:jc w:val="center"/>
            </w:pPr>
            <w:r>
              <w:rPr>
                <w:rFonts w:cs="Century Gothic"/>
                <w:color w:val="000000"/>
                <w:sz w:val="18"/>
                <w:szCs w:val="18"/>
              </w:rPr>
              <w:t>13 (29.5%)</w:t>
            </w:r>
          </w:p>
        </w:tc>
        <w:tc>
          <w:tcPr>
            <w:tcW w:w="769" w:type="pct"/>
            <w:shd w:val="clear" w:color="auto" w:fill="FFFFFF"/>
            <w:tcMar>
              <w:top w:w="0" w:type="dxa"/>
              <w:left w:w="0" w:type="dxa"/>
              <w:bottom w:w="0" w:type="dxa"/>
              <w:right w:w="0" w:type="dxa"/>
            </w:tcMar>
            <w:vAlign w:val="center"/>
          </w:tcPr>
          <w:p w14:paraId="26AB6690" w14:textId="77777777" w:rsidR="001C19F3" w:rsidRDefault="001C19F3" w:rsidP="00521305">
            <w:pPr>
              <w:spacing w:before="40" w:after="40"/>
              <w:ind w:left="40" w:right="40"/>
              <w:jc w:val="center"/>
            </w:pPr>
            <w:r>
              <w:rPr>
                <w:rFonts w:cs="Century Gothic"/>
                <w:color w:val="000000"/>
                <w:sz w:val="18"/>
                <w:szCs w:val="18"/>
              </w:rPr>
              <w:t>88 (37.4%)</w:t>
            </w:r>
          </w:p>
        </w:tc>
        <w:tc>
          <w:tcPr>
            <w:tcW w:w="769" w:type="pct"/>
            <w:shd w:val="clear" w:color="auto" w:fill="FFFFFF"/>
            <w:tcMar>
              <w:top w:w="0" w:type="dxa"/>
              <w:left w:w="0" w:type="dxa"/>
              <w:bottom w:w="0" w:type="dxa"/>
              <w:right w:w="0" w:type="dxa"/>
            </w:tcMar>
            <w:vAlign w:val="center"/>
          </w:tcPr>
          <w:p w14:paraId="188A617B" w14:textId="77777777" w:rsidR="001C19F3" w:rsidRDefault="001C19F3" w:rsidP="00521305">
            <w:pPr>
              <w:spacing w:before="40" w:after="40"/>
              <w:ind w:left="40" w:right="40"/>
              <w:jc w:val="center"/>
            </w:pPr>
            <w:r>
              <w:rPr>
                <w:rFonts w:cs="Century Gothic"/>
                <w:color w:val="000000"/>
                <w:sz w:val="18"/>
                <w:szCs w:val="18"/>
              </w:rPr>
              <w:t>49 (25.9%)</w:t>
            </w:r>
          </w:p>
        </w:tc>
      </w:tr>
      <w:tr w:rsidR="001C19F3" w14:paraId="0A4FECFC"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6266916B" w14:textId="77777777" w:rsidR="001C19F3" w:rsidRDefault="001C19F3" w:rsidP="00521305">
            <w:pPr>
              <w:spacing w:before="40" w:after="40"/>
              <w:ind w:left="40" w:right="40"/>
            </w:pPr>
            <w:r>
              <w:rPr>
                <w:rFonts w:cs="Century Gothic"/>
                <w:color w:val="000000"/>
                <w:sz w:val="18"/>
                <w:szCs w:val="18"/>
              </w:rPr>
              <w:t>F10 Diabetes</w:t>
            </w:r>
          </w:p>
        </w:tc>
        <w:tc>
          <w:tcPr>
            <w:tcW w:w="769" w:type="pct"/>
            <w:shd w:val="clear" w:color="auto" w:fill="FFFFFF"/>
            <w:tcMar>
              <w:top w:w="0" w:type="dxa"/>
              <w:left w:w="0" w:type="dxa"/>
              <w:bottom w:w="0" w:type="dxa"/>
              <w:right w:w="0" w:type="dxa"/>
            </w:tcMar>
            <w:vAlign w:val="center"/>
          </w:tcPr>
          <w:p w14:paraId="13E5982E" w14:textId="77777777" w:rsidR="001C19F3" w:rsidRDefault="001C19F3" w:rsidP="00521305">
            <w:pPr>
              <w:spacing w:before="40" w:after="40"/>
              <w:ind w:left="40" w:right="40"/>
              <w:jc w:val="center"/>
            </w:pPr>
            <w:r>
              <w:rPr>
                <w:rFonts w:cs="Century Gothic"/>
                <w:color w:val="000000"/>
                <w:sz w:val="18"/>
                <w:szCs w:val="18"/>
              </w:rPr>
              <w:t>205 (43.8%)</w:t>
            </w:r>
          </w:p>
        </w:tc>
        <w:tc>
          <w:tcPr>
            <w:tcW w:w="769" w:type="pct"/>
            <w:shd w:val="clear" w:color="auto" w:fill="FFFFFF"/>
            <w:tcMar>
              <w:top w:w="0" w:type="dxa"/>
              <w:left w:w="0" w:type="dxa"/>
              <w:bottom w:w="0" w:type="dxa"/>
              <w:right w:w="0" w:type="dxa"/>
            </w:tcMar>
            <w:vAlign w:val="center"/>
          </w:tcPr>
          <w:p w14:paraId="6A0BDC2C" w14:textId="77777777" w:rsidR="001C19F3" w:rsidRDefault="001C19F3" w:rsidP="00521305">
            <w:pPr>
              <w:spacing w:before="40" w:after="40"/>
              <w:ind w:left="40" w:right="40"/>
              <w:jc w:val="center"/>
            </w:pPr>
            <w:r>
              <w:rPr>
                <w:rFonts w:cs="Century Gothic"/>
                <w:color w:val="000000"/>
                <w:sz w:val="18"/>
                <w:szCs w:val="18"/>
              </w:rPr>
              <w:t>11 (25.0%)</w:t>
            </w:r>
          </w:p>
        </w:tc>
        <w:tc>
          <w:tcPr>
            <w:tcW w:w="769" w:type="pct"/>
            <w:shd w:val="clear" w:color="auto" w:fill="FFFFFF"/>
            <w:tcMar>
              <w:top w:w="0" w:type="dxa"/>
              <w:left w:w="0" w:type="dxa"/>
              <w:bottom w:w="0" w:type="dxa"/>
              <w:right w:w="0" w:type="dxa"/>
            </w:tcMar>
            <w:vAlign w:val="center"/>
          </w:tcPr>
          <w:p w14:paraId="640A7E6A" w14:textId="77777777" w:rsidR="001C19F3" w:rsidRDefault="001C19F3" w:rsidP="00521305">
            <w:pPr>
              <w:spacing w:before="40" w:after="40"/>
              <w:ind w:left="40" w:right="40"/>
              <w:jc w:val="center"/>
            </w:pPr>
            <w:r>
              <w:rPr>
                <w:rFonts w:cs="Century Gothic"/>
                <w:color w:val="000000"/>
                <w:sz w:val="18"/>
                <w:szCs w:val="18"/>
              </w:rPr>
              <w:t>94 (40.0%)</w:t>
            </w:r>
          </w:p>
        </w:tc>
        <w:tc>
          <w:tcPr>
            <w:tcW w:w="769" w:type="pct"/>
            <w:shd w:val="clear" w:color="auto" w:fill="FFFFFF"/>
            <w:tcMar>
              <w:top w:w="0" w:type="dxa"/>
              <w:left w:w="0" w:type="dxa"/>
              <w:bottom w:w="0" w:type="dxa"/>
              <w:right w:w="0" w:type="dxa"/>
            </w:tcMar>
            <w:vAlign w:val="center"/>
          </w:tcPr>
          <w:p w14:paraId="01A0A112" w14:textId="77777777" w:rsidR="001C19F3" w:rsidRDefault="001C19F3" w:rsidP="00521305">
            <w:pPr>
              <w:spacing w:before="40" w:after="40"/>
              <w:ind w:left="40" w:right="40"/>
              <w:jc w:val="center"/>
            </w:pPr>
            <w:r>
              <w:rPr>
                <w:rFonts w:cs="Century Gothic"/>
                <w:color w:val="000000"/>
                <w:sz w:val="18"/>
                <w:szCs w:val="18"/>
              </w:rPr>
              <w:t>100 (52.9%)</w:t>
            </w:r>
          </w:p>
        </w:tc>
      </w:tr>
      <w:tr w:rsidR="001C19F3" w14:paraId="60BD2317"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374330ED" w14:textId="77777777" w:rsidR="001C19F3" w:rsidRDefault="001C19F3" w:rsidP="00521305">
            <w:pPr>
              <w:spacing w:before="40" w:after="40"/>
              <w:ind w:left="40" w:right="40"/>
            </w:pPr>
            <w:r>
              <w:rPr>
                <w:rFonts w:cs="Century Gothic"/>
                <w:color w:val="000000"/>
                <w:sz w:val="18"/>
                <w:szCs w:val="18"/>
              </w:rPr>
              <w:t>F11 High blood pressure</w:t>
            </w:r>
          </w:p>
        </w:tc>
        <w:tc>
          <w:tcPr>
            <w:tcW w:w="769" w:type="pct"/>
            <w:shd w:val="clear" w:color="auto" w:fill="FFFFFF"/>
            <w:tcMar>
              <w:top w:w="0" w:type="dxa"/>
              <w:left w:w="0" w:type="dxa"/>
              <w:bottom w:w="0" w:type="dxa"/>
              <w:right w:w="0" w:type="dxa"/>
            </w:tcMar>
            <w:vAlign w:val="center"/>
          </w:tcPr>
          <w:p w14:paraId="27B8CDFA" w14:textId="77777777" w:rsidR="001C19F3" w:rsidRDefault="001C19F3" w:rsidP="00521305">
            <w:pPr>
              <w:spacing w:before="40" w:after="40"/>
              <w:ind w:left="40" w:right="40"/>
              <w:jc w:val="center"/>
            </w:pPr>
            <w:r>
              <w:rPr>
                <w:rFonts w:cs="Century Gothic"/>
                <w:color w:val="000000"/>
                <w:sz w:val="18"/>
                <w:szCs w:val="18"/>
              </w:rPr>
              <w:t>339 (72.4%)</w:t>
            </w:r>
          </w:p>
        </w:tc>
        <w:tc>
          <w:tcPr>
            <w:tcW w:w="769" w:type="pct"/>
            <w:shd w:val="clear" w:color="auto" w:fill="FFFFFF"/>
            <w:tcMar>
              <w:top w:w="0" w:type="dxa"/>
              <w:left w:w="0" w:type="dxa"/>
              <w:bottom w:w="0" w:type="dxa"/>
              <w:right w:w="0" w:type="dxa"/>
            </w:tcMar>
            <w:vAlign w:val="center"/>
          </w:tcPr>
          <w:p w14:paraId="77C2B1C1" w14:textId="77777777" w:rsidR="001C19F3" w:rsidRDefault="001C19F3" w:rsidP="00521305">
            <w:pPr>
              <w:spacing w:before="40" w:after="40"/>
              <w:ind w:left="40" w:right="40"/>
              <w:jc w:val="center"/>
            </w:pPr>
            <w:r>
              <w:rPr>
                <w:rFonts w:cs="Century Gothic"/>
                <w:color w:val="000000"/>
                <w:sz w:val="18"/>
                <w:szCs w:val="18"/>
              </w:rPr>
              <w:t>32 (72.7%)</w:t>
            </w:r>
          </w:p>
        </w:tc>
        <w:tc>
          <w:tcPr>
            <w:tcW w:w="769" w:type="pct"/>
            <w:shd w:val="clear" w:color="auto" w:fill="FFFFFF"/>
            <w:tcMar>
              <w:top w:w="0" w:type="dxa"/>
              <w:left w:w="0" w:type="dxa"/>
              <w:bottom w:w="0" w:type="dxa"/>
              <w:right w:w="0" w:type="dxa"/>
            </w:tcMar>
            <w:vAlign w:val="center"/>
          </w:tcPr>
          <w:p w14:paraId="032A3353" w14:textId="77777777" w:rsidR="001C19F3" w:rsidRDefault="001C19F3" w:rsidP="00521305">
            <w:pPr>
              <w:spacing w:before="40" w:after="40"/>
              <w:ind w:left="40" w:right="40"/>
              <w:jc w:val="center"/>
            </w:pPr>
            <w:r>
              <w:rPr>
                <w:rFonts w:cs="Century Gothic"/>
                <w:color w:val="000000"/>
                <w:sz w:val="18"/>
                <w:szCs w:val="18"/>
              </w:rPr>
              <w:t>175 (74.5%)</w:t>
            </w:r>
          </w:p>
        </w:tc>
        <w:tc>
          <w:tcPr>
            <w:tcW w:w="769" w:type="pct"/>
            <w:shd w:val="clear" w:color="auto" w:fill="FFFFFF"/>
            <w:tcMar>
              <w:top w:w="0" w:type="dxa"/>
              <w:left w:w="0" w:type="dxa"/>
              <w:bottom w:w="0" w:type="dxa"/>
              <w:right w:w="0" w:type="dxa"/>
            </w:tcMar>
            <w:vAlign w:val="center"/>
          </w:tcPr>
          <w:p w14:paraId="04FFB486" w14:textId="77777777" w:rsidR="001C19F3" w:rsidRDefault="001C19F3" w:rsidP="00521305">
            <w:pPr>
              <w:spacing w:before="40" w:after="40"/>
              <w:ind w:left="40" w:right="40"/>
              <w:jc w:val="center"/>
            </w:pPr>
            <w:r>
              <w:rPr>
                <w:rFonts w:cs="Century Gothic"/>
                <w:color w:val="000000"/>
                <w:sz w:val="18"/>
                <w:szCs w:val="18"/>
              </w:rPr>
              <w:t>132 (69.8%)</w:t>
            </w:r>
          </w:p>
        </w:tc>
      </w:tr>
      <w:tr w:rsidR="001C19F3" w14:paraId="7D42087B"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52F812D8" w14:textId="77777777" w:rsidR="001C19F3" w:rsidRDefault="001C19F3" w:rsidP="00521305">
            <w:pPr>
              <w:spacing w:before="40" w:after="40"/>
              <w:ind w:left="40" w:right="40"/>
            </w:pPr>
            <w:r>
              <w:rPr>
                <w:rFonts w:cs="Century Gothic"/>
                <w:color w:val="000000"/>
                <w:sz w:val="18"/>
                <w:szCs w:val="18"/>
              </w:rPr>
              <w:t>F12 Asthma</w:t>
            </w:r>
          </w:p>
        </w:tc>
        <w:tc>
          <w:tcPr>
            <w:tcW w:w="769" w:type="pct"/>
            <w:shd w:val="clear" w:color="auto" w:fill="FFFFFF"/>
            <w:tcMar>
              <w:top w:w="0" w:type="dxa"/>
              <w:left w:w="0" w:type="dxa"/>
              <w:bottom w:w="0" w:type="dxa"/>
              <w:right w:w="0" w:type="dxa"/>
            </w:tcMar>
            <w:vAlign w:val="center"/>
          </w:tcPr>
          <w:p w14:paraId="11F7CFCC" w14:textId="77777777" w:rsidR="001C19F3" w:rsidRDefault="001C19F3" w:rsidP="00521305">
            <w:pPr>
              <w:spacing w:before="40" w:after="40"/>
              <w:ind w:left="40" w:right="40"/>
              <w:jc w:val="center"/>
            </w:pPr>
            <w:r>
              <w:rPr>
                <w:rFonts w:cs="Century Gothic"/>
                <w:color w:val="000000"/>
                <w:sz w:val="18"/>
                <w:szCs w:val="18"/>
              </w:rPr>
              <w:t>1 (0.2%)</w:t>
            </w:r>
          </w:p>
        </w:tc>
        <w:tc>
          <w:tcPr>
            <w:tcW w:w="769" w:type="pct"/>
            <w:shd w:val="clear" w:color="auto" w:fill="FFFFFF"/>
            <w:tcMar>
              <w:top w:w="0" w:type="dxa"/>
              <w:left w:w="0" w:type="dxa"/>
              <w:bottom w:w="0" w:type="dxa"/>
              <w:right w:w="0" w:type="dxa"/>
            </w:tcMar>
            <w:vAlign w:val="center"/>
          </w:tcPr>
          <w:p w14:paraId="6AEB8B17" w14:textId="77777777" w:rsidR="001C19F3" w:rsidRDefault="001C19F3" w:rsidP="00521305">
            <w:pPr>
              <w:spacing w:before="40" w:after="40"/>
              <w:ind w:left="40" w:right="40"/>
              <w:jc w:val="center"/>
            </w:pPr>
            <w:r>
              <w:rPr>
                <w:rFonts w:cs="Century Gothic"/>
                <w:color w:val="000000"/>
                <w:sz w:val="18"/>
                <w:szCs w:val="18"/>
              </w:rPr>
              <w:t>0</w:t>
            </w:r>
          </w:p>
        </w:tc>
        <w:tc>
          <w:tcPr>
            <w:tcW w:w="769" w:type="pct"/>
            <w:shd w:val="clear" w:color="auto" w:fill="FFFFFF"/>
            <w:tcMar>
              <w:top w:w="0" w:type="dxa"/>
              <w:left w:w="0" w:type="dxa"/>
              <w:bottom w:w="0" w:type="dxa"/>
              <w:right w:w="0" w:type="dxa"/>
            </w:tcMar>
            <w:vAlign w:val="center"/>
          </w:tcPr>
          <w:p w14:paraId="6943E438" w14:textId="77777777" w:rsidR="001C19F3" w:rsidRDefault="001C19F3" w:rsidP="00521305">
            <w:pPr>
              <w:spacing w:before="40" w:after="40"/>
              <w:ind w:left="40" w:right="40"/>
              <w:jc w:val="center"/>
            </w:pPr>
            <w:r>
              <w:rPr>
                <w:rFonts w:cs="Century Gothic"/>
                <w:color w:val="000000"/>
                <w:sz w:val="18"/>
                <w:szCs w:val="18"/>
              </w:rPr>
              <w:t>1 (0.4%)</w:t>
            </w:r>
          </w:p>
        </w:tc>
        <w:tc>
          <w:tcPr>
            <w:tcW w:w="769" w:type="pct"/>
            <w:shd w:val="clear" w:color="auto" w:fill="FFFFFF"/>
            <w:tcMar>
              <w:top w:w="0" w:type="dxa"/>
              <w:left w:w="0" w:type="dxa"/>
              <w:bottom w:w="0" w:type="dxa"/>
              <w:right w:w="0" w:type="dxa"/>
            </w:tcMar>
            <w:vAlign w:val="center"/>
          </w:tcPr>
          <w:p w14:paraId="6C9723B7" w14:textId="77777777" w:rsidR="001C19F3" w:rsidRDefault="001C19F3" w:rsidP="00521305">
            <w:pPr>
              <w:spacing w:before="40" w:after="40"/>
              <w:ind w:left="40" w:right="40"/>
              <w:jc w:val="center"/>
            </w:pPr>
            <w:r>
              <w:rPr>
                <w:rFonts w:cs="Century Gothic"/>
                <w:color w:val="000000"/>
                <w:sz w:val="18"/>
                <w:szCs w:val="18"/>
              </w:rPr>
              <w:t>0</w:t>
            </w:r>
          </w:p>
        </w:tc>
      </w:tr>
      <w:tr w:rsidR="001C19F3" w14:paraId="226613A3"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694C5130" w14:textId="77777777" w:rsidR="001C19F3" w:rsidRDefault="001C19F3" w:rsidP="00521305">
            <w:pPr>
              <w:spacing w:before="40" w:after="40"/>
              <w:ind w:left="40" w:right="40"/>
            </w:pPr>
            <w:r>
              <w:rPr>
                <w:rFonts w:cs="Century Gothic"/>
                <w:color w:val="000000"/>
                <w:sz w:val="18"/>
                <w:szCs w:val="18"/>
              </w:rPr>
              <w:t>F13 High blood cholesterol</w:t>
            </w:r>
          </w:p>
        </w:tc>
        <w:tc>
          <w:tcPr>
            <w:tcW w:w="769" w:type="pct"/>
            <w:shd w:val="clear" w:color="auto" w:fill="FFFFFF"/>
            <w:tcMar>
              <w:top w:w="0" w:type="dxa"/>
              <w:left w:w="0" w:type="dxa"/>
              <w:bottom w:w="0" w:type="dxa"/>
              <w:right w:w="0" w:type="dxa"/>
            </w:tcMar>
            <w:vAlign w:val="center"/>
          </w:tcPr>
          <w:p w14:paraId="2FD39E0B" w14:textId="77777777" w:rsidR="001C19F3" w:rsidRDefault="001C19F3" w:rsidP="00521305">
            <w:pPr>
              <w:spacing w:before="40" w:after="40"/>
              <w:ind w:left="40" w:right="40"/>
              <w:jc w:val="center"/>
            </w:pPr>
            <w:r>
              <w:rPr>
                <w:rFonts w:cs="Century Gothic"/>
                <w:color w:val="000000"/>
                <w:sz w:val="18"/>
                <w:szCs w:val="18"/>
              </w:rPr>
              <w:t>247 (52.8%)</w:t>
            </w:r>
          </w:p>
        </w:tc>
        <w:tc>
          <w:tcPr>
            <w:tcW w:w="769" w:type="pct"/>
            <w:shd w:val="clear" w:color="auto" w:fill="FFFFFF"/>
            <w:tcMar>
              <w:top w:w="0" w:type="dxa"/>
              <w:left w:w="0" w:type="dxa"/>
              <w:bottom w:w="0" w:type="dxa"/>
              <w:right w:w="0" w:type="dxa"/>
            </w:tcMar>
            <w:vAlign w:val="center"/>
          </w:tcPr>
          <w:p w14:paraId="6462CC48" w14:textId="77777777" w:rsidR="001C19F3" w:rsidRDefault="001C19F3" w:rsidP="00521305">
            <w:pPr>
              <w:spacing w:before="40" w:after="40"/>
              <w:ind w:left="40" w:right="40"/>
              <w:jc w:val="center"/>
            </w:pPr>
            <w:r>
              <w:rPr>
                <w:rFonts w:cs="Century Gothic"/>
                <w:color w:val="000000"/>
                <w:sz w:val="18"/>
                <w:szCs w:val="18"/>
              </w:rPr>
              <w:t>26 (59.1%)</w:t>
            </w:r>
          </w:p>
        </w:tc>
        <w:tc>
          <w:tcPr>
            <w:tcW w:w="769" w:type="pct"/>
            <w:shd w:val="clear" w:color="auto" w:fill="FFFFFF"/>
            <w:tcMar>
              <w:top w:w="0" w:type="dxa"/>
              <w:left w:w="0" w:type="dxa"/>
              <w:bottom w:w="0" w:type="dxa"/>
              <w:right w:w="0" w:type="dxa"/>
            </w:tcMar>
            <w:vAlign w:val="center"/>
          </w:tcPr>
          <w:p w14:paraId="3D43E084" w14:textId="77777777" w:rsidR="001C19F3" w:rsidRDefault="001C19F3" w:rsidP="00521305">
            <w:pPr>
              <w:spacing w:before="40" w:after="40"/>
              <w:ind w:left="40" w:right="40"/>
              <w:jc w:val="center"/>
            </w:pPr>
            <w:r>
              <w:rPr>
                <w:rFonts w:cs="Century Gothic"/>
                <w:color w:val="000000"/>
                <w:sz w:val="18"/>
                <w:szCs w:val="18"/>
              </w:rPr>
              <w:t>121 (51.5%)</w:t>
            </w:r>
          </w:p>
        </w:tc>
        <w:tc>
          <w:tcPr>
            <w:tcW w:w="769" w:type="pct"/>
            <w:shd w:val="clear" w:color="auto" w:fill="FFFFFF"/>
            <w:tcMar>
              <w:top w:w="0" w:type="dxa"/>
              <w:left w:w="0" w:type="dxa"/>
              <w:bottom w:w="0" w:type="dxa"/>
              <w:right w:w="0" w:type="dxa"/>
            </w:tcMar>
            <w:vAlign w:val="center"/>
          </w:tcPr>
          <w:p w14:paraId="7008F32E" w14:textId="77777777" w:rsidR="001C19F3" w:rsidRDefault="001C19F3" w:rsidP="00521305">
            <w:pPr>
              <w:spacing w:before="40" w:after="40"/>
              <w:ind w:left="40" w:right="40"/>
              <w:jc w:val="center"/>
            </w:pPr>
            <w:r>
              <w:rPr>
                <w:rFonts w:cs="Century Gothic"/>
                <w:color w:val="000000"/>
                <w:sz w:val="18"/>
                <w:szCs w:val="18"/>
              </w:rPr>
              <w:t>100 (52.9%)</w:t>
            </w:r>
          </w:p>
        </w:tc>
      </w:tr>
      <w:tr w:rsidR="001C19F3" w14:paraId="563082F5"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410C2BA8" w14:textId="77777777" w:rsidR="001C19F3" w:rsidRDefault="001C19F3" w:rsidP="00521305">
            <w:pPr>
              <w:spacing w:before="40" w:after="40"/>
              <w:ind w:left="40" w:right="40"/>
            </w:pPr>
            <w:r>
              <w:rPr>
                <w:rFonts w:cs="Century Gothic"/>
                <w:color w:val="000000"/>
                <w:sz w:val="18"/>
                <w:szCs w:val="18"/>
              </w:rPr>
              <w:t>F14 Pain</w:t>
            </w:r>
          </w:p>
        </w:tc>
        <w:tc>
          <w:tcPr>
            <w:tcW w:w="769" w:type="pct"/>
            <w:shd w:val="clear" w:color="auto" w:fill="FFFFFF"/>
            <w:tcMar>
              <w:top w:w="0" w:type="dxa"/>
              <w:left w:w="0" w:type="dxa"/>
              <w:bottom w:w="0" w:type="dxa"/>
              <w:right w:w="0" w:type="dxa"/>
            </w:tcMar>
            <w:vAlign w:val="center"/>
          </w:tcPr>
          <w:p w14:paraId="0AF3A4E6" w14:textId="77777777" w:rsidR="001C19F3" w:rsidRDefault="001C19F3" w:rsidP="00521305">
            <w:pPr>
              <w:spacing w:before="40" w:after="40"/>
              <w:ind w:left="40" w:right="40"/>
              <w:jc w:val="center"/>
            </w:pPr>
            <w:r>
              <w:rPr>
                <w:rFonts w:cs="Century Gothic"/>
                <w:color w:val="000000"/>
                <w:sz w:val="18"/>
                <w:szCs w:val="18"/>
              </w:rPr>
              <w:t>122 (26.1%)</w:t>
            </w:r>
          </w:p>
        </w:tc>
        <w:tc>
          <w:tcPr>
            <w:tcW w:w="769" w:type="pct"/>
            <w:shd w:val="clear" w:color="auto" w:fill="FFFFFF"/>
            <w:tcMar>
              <w:top w:w="0" w:type="dxa"/>
              <w:left w:w="0" w:type="dxa"/>
              <w:bottom w:w="0" w:type="dxa"/>
              <w:right w:w="0" w:type="dxa"/>
            </w:tcMar>
            <w:vAlign w:val="center"/>
          </w:tcPr>
          <w:p w14:paraId="4009CF5D" w14:textId="77777777" w:rsidR="001C19F3" w:rsidRDefault="001C19F3" w:rsidP="00521305">
            <w:pPr>
              <w:spacing w:before="40" w:after="40"/>
              <w:ind w:left="40" w:right="40"/>
              <w:jc w:val="center"/>
            </w:pPr>
            <w:r>
              <w:rPr>
                <w:rFonts w:cs="Century Gothic"/>
                <w:color w:val="000000"/>
                <w:sz w:val="18"/>
                <w:szCs w:val="18"/>
              </w:rPr>
              <w:t>10 (22.7%)</w:t>
            </w:r>
          </w:p>
        </w:tc>
        <w:tc>
          <w:tcPr>
            <w:tcW w:w="769" w:type="pct"/>
            <w:shd w:val="clear" w:color="auto" w:fill="FFFFFF"/>
            <w:tcMar>
              <w:top w:w="0" w:type="dxa"/>
              <w:left w:w="0" w:type="dxa"/>
              <w:bottom w:w="0" w:type="dxa"/>
              <w:right w:w="0" w:type="dxa"/>
            </w:tcMar>
            <w:vAlign w:val="center"/>
          </w:tcPr>
          <w:p w14:paraId="53650B62" w14:textId="77777777" w:rsidR="001C19F3" w:rsidRDefault="001C19F3" w:rsidP="00521305">
            <w:pPr>
              <w:spacing w:before="40" w:after="40"/>
              <w:ind w:left="40" w:right="40"/>
              <w:jc w:val="center"/>
            </w:pPr>
            <w:r>
              <w:rPr>
                <w:rFonts w:cs="Century Gothic"/>
                <w:color w:val="000000"/>
                <w:sz w:val="18"/>
                <w:szCs w:val="18"/>
              </w:rPr>
              <w:t>59 (25.1%)</w:t>
            </w:r>
          </w:p>
        </w:tc>
        <w:tc>
          <w:tcPr>
            <w:tcW w:w="769" w:type="pct"/>
            <w:shd w:val="clear" w:color="auto" w:fill="FFFFFF"/>
            <w:tcMar>
              <w:top w:w="0" w:type="dxa"/>
              <w:left w:w="0" w:type="dxa"/>
              <w:bottom w:w="0" w:type="dxa"/>
              <w:right w:w="0" w:type="dxa"/>
            </w:tcMar>
            <w:vAlign w:val="center"/>
          </w:tcPr>
          <w:p w14:paraId="66729E51" w14:textId="77777777" w:rsidR="001C19F3" w:rsidRDefault="001C19F3" w:rsidP="00521305">
            <w:pPr>
              <w:spacing w:before="40" w:after="40"/>
              <w:ind w:left="40" w:right="40"/>
              <w:jc w:val="center"/>
            </w:pPr>
            <w:r>
              <w:rPr>
                <w:rFonts w:cs="Century Gothic"/>
                <w:color w:val="000000"/>
                <w:sz w:val="18"/>
                <w:szCs w:val="18"/>
              </w:rPr>
              <w:t>53 (28.0%)</w:t>
            </w:r>
          </w:p>
        </w:tc>
      </w:tr>
      <w:tr w:rsidR="001C19F3" w14:paraId="08D17B3A"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1E1CE2AC" w14:textId="77777777" w:rsidR="001C19F3" w:rsidRDefault="001C19F3" w:rsidP="00521305">
            <w:pPr>
              <w:spacing w:before="40" w:after="40"/>
              <w:ind w:left="40" w:right="40"/>
            </w:pPr>
            <w:r>
              <w:rPr>
                <w:rFonts w:cs="Century Gothic"/>
                <w:color w:val="000000"/>
                <w:sz w:val="18"/>
                <w:szCs w:val="18"/>
              </w:rPr>
              <w:t>F15 Digestive</w:t>
            </w:r>
          </w:p>
        </w:tc>
        <w:tc>
          <w:tcPr>
            <w:tcW w:w="769" w:type="pct"/>
            <w:shd w:val="clear" w:color="auto" w:fill="FFFFFF"/>
            <w:tcMar>
              <w:top w:w="0" w:type="dxa"/>
              <w:left w:w="0" w:type="dxa"/>
              <w:bottom w:w="0" w:type="dxa"/>
              <w:right w:w="0" w:type="dxa"/>
            </w:tcMar>
            <w:vAlign w:val="center"/>
          </w:tcPr>
          <w:p w14:paraId="5530A904" w14:textId="77777777" w:rsidR="001C19F3" w:rsidRDefault="001C19F3" w:rsidP="00521305">
            <w:pPr>
              <w:spacing w:before="40" w:after="40"/>
              <w:ind w:left="40" w:right="40"/>
              <w:jc w:val="center"/>
            </w:pPr>
            <w:r>
              <w:rPr>
                <w:rFonts w:cs="Century Gothic"/>
                <w:color w:val="000000"/>
                <w:sz w:val="18"/>
                <w:szCs w:val="18"/>
              </w:rPr>
              <w:t>116 (24.8%)</w:t>
            </w:r>
          </w:p>
        </w:tc>
        <w:tc>
          <w:tcPr>
            <w:tcW w:w="769" w:type="pct"/>
            <w:shd w:val="clear" w:color="auto" w:fill="FFFFFF"/>
            <w:tcMar>
              <w:top w:w="0" w:type="dxa"/>
              <w:left w:w="0" w:type="dxa"/>
              <w:bottom w:w="0" w:type="dxa"/>
              <w:right w:w="0" w:type="dxa"/>
            </w:tcMar>
            <w:vAlign w:val="center"/>
          </w:tcPr>
          <w:p w14:paraId="46D0D1B3" w14:textId="77777777" w:rsidR="001C19F3" w:rsidRDefault="001C19F3" w:rsidP="00521305">
            <w:pPr>
              <w:spacing w:before="40" w:after="40"/>
              <w:ind w:left="40" w:right="40"/>
              <w:jc w:val="center"/>
            </w:pPr>
            <w:r>
              <w:rPr>
                <w:rFonts w:cs="Century Gothic"/>
                <w:color w:val="000000"/>
                <w:sz w:val="18"/>
                <w:szCs w:val="18"/>
              </w:rPr>
              <w:t>14 (31.8%)</w:t>
            </w:r>
          </w:p>
        </w:tc>
        <w:tc>
          <w:tcPr>
            <w:tcW w:w="769" w:type="pct"/>
            <w:shd w:val="clear" w:color="auto" w:fill="FFFFFF"/>
            <w:tcMar>
              <w:top w:w="0" w:type="dxa"/>
              <w:left w:w="0" w:type="dxa"/>
              <w:bottom w:w="0" w:type="dxa"/>
              <w:right w:w="0" w:type="dxa"/>
            </w:tcMar>
            <w:vAlign w:val="center"/>
          </w:tcPr>
          <w:p w14:paraId="5409924C" w14:textId="77777777" w:rsidR="001C19F3" w:rsidRDefault="001C19F3" w:rsidP="00521305">
            <w:pPr>
              <w:spacing w:before="40" w:after="40"/>
              <w:ind w:left="40" w:right="40"/>
              <w:jc w:val="center"/>
            </w:pPr>
            <w:r>
              <w:rPr>
                <w:rFonts w:cs="Century Gothic"/>
                <w:color w:val="000000"/>
                <w:sz w:val="18"/>
                <w:szCs w:val="18"/>
              </w:rPr>
              <w:t>57 (24.3%)</w:t>
            </w:r>
          </w:p>
        </w:tc>
        <w:tc>
          <w:tcPr>
            <w:tcW w:w="769" w:type="pct"/>
            <w:shd w:val="clear" w:color="auto" w:fill="FFFFFF"/>
            <w:tcMar>
              <w:top w:w="0" w:type="dxa"/>
              <w:left w:w="0" w:type="dxa"/>
              <w:bottom w:w="0" w:type="dxa"/>
              <w:right w:w="0" w:type="dxa"/>
            </w:tcMar>
            <w:vAlign w:val="center"/>
          </w:tcPr>
          <w:p w14:paraId="0E3E5863" w14:textId="77777777" w:rsidR="001C19F3" w:rsidRDefault="001C19F3" w:rsidP="00521305">
            <w:pPr>
              <w:spacing w:before="40" w:after="40"/>
              <w:ind w:left="40" w:right="40"/>
              <w:jc w:val="center"/>
            </w:pPr>
            <w:r>
              <w:rPr>
                <w:rFonts w:cs="Century Gothic"/>
                <w:color w:val="000000"/>
                <w:sz w:val="18"/>
                <w:szCs w:val="18"/>
              </w:rPr>
              <w:t>45 (23.8%)</w:t>
            </w:r>
          </w:p>
        </w:tc>
      </w:tr>
      <w:tr w:rsidR="001C19F3" w14:paraId="13B5995B"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67710874" w14:textId="77777777" w:rsidR="001C19F3" w:rsidRDefault="001C19F3" w:rsidP="00521305">
            <w:pPr>
              <w:spacing w:before="40" w:after="40"/>
              <w:ind w:left="40" w:right="40"/>
            </w:pPr>
            <w:r>
              <w:rPr>
                <w:rFonts w:cs="Century Gothic"/>
                <w:color w:val="000000"/>
                <w:sz w:val="18"/>
                <w:szCs w:val="18"/>
              </w:rPr>
              <w:lastRenderedPageBreak/>
              <w:t>F16 Kidney disease</w:t>
            </w:r>
          </w:p>
        </w:tc>
        <w:tc>
          <w:tcPr>
            <w:tcW w:w="769" w:type="pct"/>
            <w:shd w:val="clear" w:color="auto" w:fill="FFFFFF"/>
            <w:tcMar>
              <w:top w:w="0" w:type="dxa"/>
              <w:left w:w="0" w:type="dxa"/>
              <w:bottom w:w="0" w:type="dxa"/>
              <w:right w:w="0" w:type="dxa"/>
            </w:tcMar>
            <w:vAlign w:val="center"/>
          </w:tcPr>
          <w:p w14:paraId="765E46AB" w14:textId="77777777" w:rsidR="001C19F3" w:rsidRDefault="001C19F3" w:rsidP="00521305">
            <w:pPr>
              <w:spacing w:before="40" w:after="40"/>
              <w:ind w:left="40" w:right="40"/>
              <w:jc w:val="center"/>
            </w:pPr>
            <w:r>
              <w:rPr>
                <w:rFonts w:cs="Century Gothic"/>
                <w:color w:val="000000"/>
                <w:sz w:val="18"/>
                <w:szCs w:val="18"/>
              </w:rPr>
              <w:t>56 (12.0%)</w:t>
            </w:r>
          </w:p>
        </w:tc>
        <w:tc>
          <w:tcPr>
            <w:tcW w:w="769" w:type="pct"/>
            <w:shd w:val="clear" w:color="auto" w:fill="FFFFFF"/>
            <w:tcMar>
              <w:top w:w="0" w:type="dxa"/>
              <w:left w:w="0" w:type="dxa"/>
              <w:bottom w:w="0" w:type="dxa"/>
              <w:right w:w="0" w:type="dxa"/>
            </w:tcMar>
            <w:vAlign w:val="center"/>
          </w:tcPr>
          <w:p w14:paraId="19CA09FB" w14:textId="77777777" w:rsidR="001C19F3" w:rsidRDefault="001C19F3" w:rsidP="00521305">
            <w:pPr>
              <w:spacing w:before="40" w:after="40"/>
              <w:ind w:left="40" w:right="40"/>
              <w:jc w:val="center"/>
            </w:pPr>
            <w:r>
              <w:rPr>
                <w:rFonts w:cs="Century Gothic"/>
                <w:color w:val="000000"/>
                <w:sz w:val="18"/>
                <w:szCs w:val="18"/>
              </w:rPr>
              <w:t>2 (4.5%)</w:t>
            </w:r>
          </w:p>
        </w:tc>
        <w:tc>
          <w:tcPr>
            <w:tcW w:w="769" w:type="pct"/>
            <w:shd w:val="clear" w:color="auto" w:fill="FFFFFF"/>
            <w:tcMar>
              <w:top w:w="0" w:type="dxa"/>
              <w:left w:w="0" w:type="dxa"/>
              <w:bottom w:w="0" w:type="dxa"/>
              <w:right w:w="0" w:type="dxa"/>
            </w:tcMar>
            <w:vAlign w:val="center"/>
          </w:tcPr>
          <w:p w14:paraId="76ED9F66" w14:textId="77777777" w:rsidR="001C19F3" w:rsidRDefault="001C19F3" w:rsidP="00521305">
            <w:pPr>
              <w:spacing w:before="40" w:after="40"/>
              <w:ind w:left="40" w:right="40"/>
              <w:jc w:val="center"/>
            </w:pPr>
            <w:r>
              <w:rPr>
                <w:rFonts w:cs="Century Gothic"/>
                <w:color w:val="000000"/>
                <w:sz w:val="18"/>
                <w:szCs w:val="18"/>
              </w:rPr>
              <w:t>22 (9.4%)</w:t>
            </w:r>
          </w:p>
        </w:tc>
        <w:tc>
          <w:tcPr>
            <w:tcW w:w="769" w:type="pct"/>
            <w:shd w:val="clear" w:color="auto" w:fill="FFFFFF"/>
            <w:tcMar>
              <w:top w:w="0" w:type="dxa"/>
              <w:left w:w="0" w:type="dxa"/>
              <w:bottom w:w="0" w:type="dxa"/>
              <w:right w:w="0" w:type="dxa"/>
            </w:tcMar>
            <w:vAlign w:val="center"/>
          </w:tcPr>
          <w:p w14:paraId="1508F542" w14:textId="77777777" w:rsidR="001C19F3" w:rsidRDefault="001C19F3" w:rsidP="00521305">
            <w:pPr>
              <w:spacing w:before="40" w:after="40"/>
              <w:ind w:left="40" w:right="40"/>
              <w:jc w:val="center"/>
            </w:pPr>
            <w:r>
              <w:rPr>
                <w:rFonts w:cs="Century Gothic"/>
                <w:color w:val="000000"/>
                <w:sz w:val="18"/>
                <w:szCs w:val="18"/>
              </w:rPr>
              <w:t>32 (16.9%)</w:t>
            </w:r>
          </w:p>
        </w:tc>
      </w:tr>
      <w:tr w:rsidR="001C19F3" w14:paraId="0DAA2D6E"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38C8EA43" w14:textId="77777777" w:rsidR="001C19F3" w:rsidRDefault="001C19F3" w:rsidP="00521305">
            <w:pPr>
              <w:spacing w:before="40" w:after="40"/>
              <w:ind w:left="40" w:right="40"/>
            </w:pPr>
            <w:r>
              <w:rPr>
                <w:rFonts w:cs="Century Gothic"/>
                <w:color w:val="000000"/>
                <w:sz w:val="18"/>
                <w:szCs w:val="18"/>
              </w:rPr>
              <w:t>F17 Respiratory</w:t>
            </w:r>
          </w:p>
        </w:tc>
        <w:tc>
          <w:tcPr>
            <w:tcW w:w="769" w:type="pct"/>
            <w:shd w:val="clear" w:color="auto" w:fill="FFFFFF"/>
            <w:tcMar>
              <w:top w:w="0" w:type="dxa"/>
              <w:left w:w="0" w:type="dxa"/>
              <w:bottom w:w="0" w:type="dxa"/>
              <w:right w:w="0" w:type="dxa"/>
            </w:tcMar>
            <w:vAlign w:val="center"/>
          </w:tcPr>
          <w:p w14:paraId="0ECFDAA5" w14:textId="77777777" w:rsidR="001C19F3" w:rsidRDefault="001C19F3" w:rsidP="00521305">
            <w:pPr>
              <w:spacing w:before="40" w:after="40"/>
              <w:ind w:left="40" w:right="40"/>
              <w:jc w:val="center"/>
            </w:pPr>
            <w:r>
              <w:rPr>
                <w:rFonts w:cs="Century Gothic"/>
                <w:color w:val="000000"/>
                <w:sz w:val="18"/>
                <w:szCs w:val="18"/>
              </w:rPr>
              <w:t>152 (32.5%)</w:t>
            </w:r>
          </w:p>
        </w:tc>
        <w:tc>
          <w:tcPr>
            <w:tcW w:w="769" w:type="pct"/>
            <w:shd w:val="clear" w:color="auto" w:fill="FFFFFF"/>
            <w:tcMar>
              <w:top w:w="0" w:type="dxa"/>
              <w:left w:w="0" w:type="dxa"/>
              <w:bottom w:w="0" w:type="dxa"/>
              <w:right w:w="0" w:type="dxa"/>
            </w:tcMar>
            <w:vAlign w:val="center"/>
          </w:tcPr>
          <w:p w14:paraId="5703984C" w14:textId="77777777" w:rsidR="001C19F3" w:rsidRDefault="001C19F3" w:rsidP="00521305">
            <w:pPr>
              <w:spacing w:before="40" w:after="40"/>
              <w:ind w:left="40" w:right="40"/>
              <w:jc w:val="center"/>
            </w:pPr>
            <w:r>
              <w:rPr>
                <w:rFonts w:cs="Century Gothic"/>
                <w:color w:val="000000"/>
                <w:sz w:val="18"/>
                <w:szCs w:val="18"/>
              </w:rPr>
              <w:t>7 (15.9%)</w:t>
            </w:r>
          </w:p>
        </w:tc>
        <w:tc>
          <w:tcPr>
            <w:tcW w:w="769" w:type="pct"/>
            <w:shd w:val="clear" w:color="auto" w:fill="FFFFFF"/>
            <w:tcMar>
              <w:top w:w="0" w:type="dxa"/>
              <w:left w:w="0" w:type="dxa"/>
              <w:bottom w:w="0" w:type="dxa"/>
              <w:right w:w="0" w:type="dxa"/>
            </w:tcMar>
            <w:vAlign w:val="center"/>
          </w:tcPr>
          <w:p w14:paraId="3FF689D4" w14:textId="77777777" w:rsidR="001C19F3" w:rsidRDefault="001C19F3" w:rsidP="00521305">
            <w:pPr>
              <w:spacing w:before="40" w:after="40"/>
              <w:ind w:left="40" w:right="40"/>
              <w:jc w:val="center"/>
            </w:pPr>
            <w:r>
              <w:rPr>
                <w:rFonts w:cs="Century Gothic"/>
                <w:color w:val="000000"/>
                <w:sz w:val="18"/>
                <w:szCs w:val="18"/>
              </w:rPr>
              <w:t>84 (35.7%)</w:t>
            </w:r>
          </w:p>
        </w:tc>
        <w:tc>
          <w:tcPr>
            <w:tcW w:w="769" w:type="pct"/>
            <w:shd w:val="clear" w:color="auto" w:fill="FFFFFF"/>
            <w:tcMar>
              <w:top w:w="0" w:type="dxa"/>
              <w:left w:w="0" w:type="dxa"/>
              <w:bottom w:w="0" w:type="dxa"/>
              <w:right w:w="0" w:type="dxa"/>
            </w:tcMar>
            <w:vAlign w:val="center"/>
          </w:tcPr>
          <w:p w14:paraId="70126B45" w14:textId="77777777" w:rsidR="001C19F3" w:rsidRDefault="001C19F3" w:rsidP="00521305">
            <w:pPr>
              <w:spacing w:before="40" w:after="40"/>
              <w:ind w:left="40" w:right="40"/>
              <w:jc w:val="center"/>
            </w:pPr>
            <w:r>
              <w:rPr>
                <w:rFonts w:cs="Century Gothic"/>
                <w:color w:val="000000"/>
                <w:sz w:val="18"/>
                <w:szCs w:val="18"/>
              </w:rPr>
              <w:t>61 (32.3%)</w:t>
            </w:r>
          </w:p>
        </w:tc>
      </w:tr>
      <w:tr w:rsidR="001C19F3" w14:paraId="083ED569" w14:textId="77777777" w:rsidTr="00521305">
        <w:trPr>
          <w:cantSplit/>
          <w:trHeight w:val="288"/>
          <w:jc w:val="center"/>
        </w:trPr>
        <w:tc>
          <w:tcPr>
            <w:tcW w:w="1923" w:type="pct"/>
            <w:shd w:val="clear" w:color="auto" w:fill="FFFFFF"/>
            <w:tcMar>
              <w:top w:w="0" w:type="dxa"/>
              <w:left w:w="0" w:type="dxa"/>
              <w:bottom w:w="0" w:type="dxa"/>
              <w:right w:w="0" w:type="dxa"/>
            </w:tcMar>
            <w:vAlign w:val="center"/>
          </w:tcPr>
          <w:p w14:paraId="549D9613" w14:textId="77777777" w:rsidR="001C19F3" w:rsidRDefault="001C19F3" w:rsidP="00521305">
            <w:pPr>
              <w:spacing w:before="40" w:after="40"/>
              <w:ind w:left="40" w:right="40"/>
            </w:pPr>
            <w:r>
              <w:rPr>
                <w:rFonts w:cs="Century Gothic"/>
                <w:color w:val="000000"/>
                <w:sz w:val="18"/>
                <w:szCs w:val="18"/>
              </w:rPr>
              <w:t>F18 Other conditions</w:t>
            </w:r>
          </w:p>
        </w:tc>
        <w:tc>
          <w:tcPr>
            <w:tcW w:w="769" w:type="pct"/>
            <w:shd w:val="clear" w:color="auto" w:fill="FFFFFF"/>
            <w:tcMar>
              <w:top w:w="0" w:type="dxa"/>
              <w:left w:w="0" w:type="dxa"/>
              <w:bottom w:w="0" w:type="dxa"/>
              <w:right w:w="0" w:type="dxa"/>
            </w:tcMar>
            <w:vAlign w:val="center"/>
          </w:tcPr>
          <w:p w14:paraId="3C932AD3" w14:textId="77777777" w:rsidR="001C19F3" w:rsidRDefault="001C19F3" w:rsidP="00521305">
            <w:pPr>
              <w:spacing w:before="40" w:after="40"/>
              <w:ind w:left="40" w:right="40"/>
              <w:jc w:val="center"/>
            </w:pPr>
            <w:r>
              <w:rPr>
                <w:rFonts w:cs="Century Gothic"/>
                <w:color w:val="000000"/>
                <w:sz w:val="18"/>
                <w:szCs w:val="18"/>
              </w:rPr>
              <w:t>392 (83.8%)</w:t>
            </w:r>
          </w:p>
        </w:tc>
        <w:tc>
          <w:tcPr>
            <w:tcW w:w="769" w:type="pct"/>
            <w:shd w:val="clear" w:color="auto" w:fill="FFFFFF"/>
            <w:tcMar>
              <w:top w:w="0" w:type="dxa"/>
              <w:left w:w="0" w:type="dxa"/>
              <w:bottom w:w="0" w:type="dxa"/>
              <w:right w:w="0" w:type="dxa"/>
            </w:tcMar>
            <w:vAlign w:val="center"/>
          </w:tcPr>
          <w:p w14:paraId="74DEA4E9" w14:textId="77777777" w:rsidR="001C19F3" w:rsidRDefault="001C19F3" w:rsidP="00521305">
            <w:pPr>
              <w:spacing w:before="40" w:after="40"/>
              <w:ind w:left="40" w:right="40"/>
              <w:jc w:val="center"/>
            </w:pPr>
            <w:r>
              <w:rPr>
                <w:rFonts w:cs="Century Gothic"/>
                <w:color w:val="000000"/>
                <w:sz w:val="18"/>
                <w:szCs w:val="18"/>
              </w:rPr>
              <w:t>26 (59.1%)</w:t>
            </w:r>
          </w:p>
        </w:tc>
        <w:tc>
          <w:tcPr>
            <w:tcW w:w="769" w:type="pct"/>
            <w:shd w:val="clear" w:color="auto" w:fill="FFFFFF"/>
            <w:tcMar>
              <w:top w:w="0" w:type="dxa"/>
              <w:left w:w="0" w:type="dxa"/>
              <w:bottom w:w="0" w:type="dxa"/>
              <w:right w:w="0" w:type="dxa"/>
            </w:tcMar>
            <w:vAlign w:val="center"/>
          </w:tcPr>
          <w:p w14:paraId="1C696AB2" w14:textId="77777777" w:rsidR="001C19F3" w:rsidRDefault="001C19F3" w:rsidP="00521305">
            <w:pPr>
              <w:spacing w:before="40" w:after="40"/>
              <w:ind w:left="40" w:right="40"/>
              <w:jc w:val="center"/>
            </w:pPr>
            <w:r>
              <w:rPr>
                <w:rFonts w:cs="Century Gothic"/>
                <w:color w:val="000000"/>
                <w:sz w:val="18"/>
                <w:szCs w:val="18"/>
              </w:rPr>
              <w:t>191 (81.3%)</w:t>
            </w:r>
          </w:p>
        </w:tc>
        <w:tc>
          <w:tcPr>
            <w:tcW w:w="769" w:type="pct"/>
            <w:shd w:val="clear" w:color="auto" w:fill="FFFFFF"/>
            <w:tcMar>
              <w:top w:w="0" w:type="dxa"/>
              <w:left w:w="0" w:type="dxa"/>
              <w:bottom w:w="0" w:type="dxa"/>
              <w:right w:w="0" w:type="dxa"/>
            </w:tcMar>
            <w:vAlign w:val="center"/>
          </w:tcPr>
          <w:p w14:paraId="132EDF72" w14:textId="77777777" w:rsidR="001C19F3" w:rsidRDefault="001C19F3" w:rsidP="00521305">
            <w:pPr>
              <w:spacing w:before="40" w:after="40"/>
              <w:ind w:left="40" w:right="40"/>
              <w:jc w:val="center"/>
            </w:pPr>
            <w:r>
              <w:rPr>
                <w:rFonts w:cs="Century Gothic"/>
                <w:color w:val="000000"/>
                <w:sz w:val="18"/>
                <w:szCs w:val="18"/>
              </w:rPr>
              <w:t>175 (92.6%)</w:t>
            </w:r>
          </w:p>
        </w:tc>
      </w:tr>
    </w:tbl>
    <w:p w14:paraId="6D8DCB13" w14:textId="77777777" w:rsidR="001C19F3" w:rsidRDefault="001C19F3" w:rsidP="001C19F3">
      <w:pPr>
        <w:pStyle w:val="Chartortablefootnote"/>
      </w:pPr>
      <w:r>
        <w:t>Source: Community Pharmacy in HCH trial Health Outcomes data set provided by the Pharmacy Guild, to 30 June 2019.</w:t>
      </w:r>
    </w:p>
    <w:p w14:paraId="73B47F00" w14:textId="77777777" w:rsidR="001C19F3" w:rsidRDefault="001C19F3" w:rsidP="001C19F3">
      <w:pPr>
        <w:pStyle w:val="Caption1"/>
      </w:pPr>
      <w:bookmarkStart w:id="623" w:name="_Ref22831289"/>
      <w:r>
        <w:t xml:space="preserve">Table </w:t>
      </w:r>
      <w:r>
        <w:fldChar w:fldCharType="begin"/>
      </w:r>
      <w:r>
        <w:instrText>SEQ Table \* ARABIC</w:instrText>
      </w:r>
      <w:r>
        <w:fldChar w:fldCharType="separate"/>
      </w:r>
      <w:r>
        <w:rPr>
          <w:noProof/>
        </w:rPr>
        <w:t>89</w:t>
      </w:r>
      <w:r>
        <w:fldChar w:fldCharType="end"/>
      </w:r>
      <w:bookmarkEnd w:id="623"/>
      <w:r>
        <w:t xml:space="preserve"> – Agreed medication management goals, by tier</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360"/>
        <w:gridCol w:w="2144"/>
        <w:gridCol w:w="2144"/>
        <w:gridCol w:w="2144"/>
        <w:gridCol w:w="2146"/>
      </w:tblGrid>
      <w:tr w:rsidR="001C19F3" w14:paraId="37D89237" w14:textId="77777777" w:rsidTr="00521305">
        <w:trPr>
          <w:cantSplit/>
          <w:trHeight w:val="336"/>
          <w:tblHeader/>
        </w:trPr>
        <w:tc>
          <w:tcPr>
            <w:tcW w:w="1923" w:type="pct"/>
            <w:shd w:val="clear" w:color="auto" w:fill="003D79"/>
            <w:tcMar>
              <w:top w:w="0" w:type="dxa"/>
              <w:left w:w="0" w:type="dxa"/>
              <w:bottom w:w="0" w:type="dxa"/>
              <w:right w:w="0" w:type="dxa"/>
            </w:tcMar>
            <w:vAlign w:val="center"/>
          </w:tcPr>
          <w:p w14:paraId="6E7920CD" w14:textId="77777777" w:rsidR="001C19F3" w:rsidRDefault="001C19F3" w:rsidP="00521305">
            <w:pPr>
              <w:spacing w:after="0"/>
              <w:jc w:val="center"/>
            </w:pPr>
            <w:r w:rsidRPr="003705DD">
              <w:rPr>
                <w:rFonts w:cs="Century Gothic"/>
                <w:b/>
                <w:color w:val="FFFFFF"/>
                <w:sz w:val="18"/>
                <w:szCs w:val="18"/>
              </w:rPr>
              <w:t>Goal</w:t>
            </w:r>
          </w:p>
        </w:tc>
        <w:tc>
          <w:tcPr>
            <w:tcW w:w="769" w:type="pct"/>
            <w:shd w:val="clear" w:color="auto" w:fill="003D79"/>
            <w:tcMar>
              <w:top w:w="0" w:type="dxa"/>
              <w:left w:w="0" w:type="dxa"/>
              <w:bottom w:w="0" w:type="dxa"/>
              <w:right w:w="0" w:type="dxa"/>
            </w:tcMar>
            <w:vAlign w:val="center"/>
          </w:tcPr>
          <w:p w14:paraId="37EC57C7" w14:textId="77777777" w:rsidR="001C19F3" w:rsidRDefault="001C19F3" w:rsidP="00521305">
            <w:pPr>
              <w:spacing w:after="0"/>
              <w:jc w:val="center"/>
            </w:pPr>
            <w:r>
              <w:rPr>
                <w:rFonts w:cs="Century Gothic"/>
                <w:b/>
                <w:color w:val="FFFFFF"/>
                <w:sz w:val="18"/>
                <w:szCs w:val="18"/>
              </w:rPr>
              <w:t xml:space="preserve">Total </w:t>
            </w:r>
            <w:r>
              <w:rPr>
                <w:rFonts w:cs="Century Gothic"/>
                <w:b/>
                <w:color w:val="FFFFFF"/>
                <w:sz w:val="18"/>
                <w:szCs w:val="18"/>
              </w:rPr>
              <w:br/>
              <w:t xml:space="preserve"> (n = 468)</w:t>
            </w:r>
          </w:p>
        </w:tc>
        <w:tc>
          <w:tcPr>
            <w:tcW w:w="769" w:type="pct"/>
            <w:shd w:val="clear" w:color="auto" w:fill="003D79"/>
            <w:tcMar>
              <w:top w:w="0" w:type="dxa"/>
              <w:left w:w="0" w:type="dxa"/>
              <w:bottom w:w="0" w:type="dxa"/>
              <w:right w:w="0" w:type="dxa"/>
            </w:tcMar>
            <w:vAlign w:val="center"/>
          </w:tcPr>
          <w:p w14:paraId="00F03827" w14:textId="77777777" w:rsidR="001C19F3" w:rsidRDefault="001C19F3" w:rsidP="00521305">
            <w:pPr>
              <w:spacing w:after="0"/>
              <w:jc w:val="center"/>
            </w:pPr>
            <w:r>
              <w:rPr>
                <w:rFonts w:cs="Century Gothic"/>
                <w:b/>
                <w:color w:val="FFFFFF"/>
                <w:sz w:val="18"/>
                <w:szCs w:val="18"/>
              </w:rPr>
              <w:t xml:space="preserve">Tier 1 </w:t>
            </w:r>
            <w:r>
              <w:rPr>
                <w:rFonts w:cs="Century Gothic"/>
                <w:b/>
                <w:color w:val="FFFFFF"/>
                <w:sz w:val="18"/>
                <w:szCs w:val="18"/>
              </w:rPr>
              <w:br/>
              <w:t xml:space="preserve"> (n = 44)</w:t>
            </w:r>
          </w:p>
        </w:tc>
        <w:tc>
          <w:tcPr>
            <w:tcW w:w="769" w:type="pct"/>
            <w:shd w:val="clear" w:color="auto" w:fill="003D79"/>
            <w:tcMar>
              <w:top w:w="0" w:type="dxa"/>
              <w:left w:w="0" w:type="dxa"/>
              <w:bottom w:w="0" w:type="dxa"/>
              <w:right w:w="0" w:type="dxa"/>
            </w:tcMar>
            <w:vAlign w:val="center"/>
          </w:tcPr>
          <w:p w14:paraId="1AA6CEE4" w14:textId="77777777" w:rsidR="001C19F3" w:rsidRDefault="001C19F3" w:rsidP="00521305">
            <w:pPr>
              <w:spacing w:after="0"/>
              <w:jc w:val="center"/>
            </w:pPr>
            <w:r>
              <w:rPr>
                <w:rFonts w:cs="Century Gothic"/>
                <w:b/>
                <w:color w:val="FFFFFF"/>
                <w:sz w:val="18"/>
                <w:szCs w:val="18"/>
              </w:rPr>
              <w:t xml:space="preserve">Tier 2 </w:t>
            </w:r>
            <w:r>
              <w:rPr>
                <w:rFonts w:cs="Century Gothic"/>
                <w:b/>
                <w:color w:val="FFFFFF"/>
                <w:sz w:val="18"/>
                <w:szCs w:val="18"/>
              </w:rPr>
              <w:br/>
              <w:t xml:space="preserve"> (n = 235)</w:t>
            </w:r>
          </w:p>
        </w:tc>
        <w:tc>
          <w:tcPr>
            <w:tcW w:w="770" w:type="pct"/>
            <w:shd w:val="clear" w:color="auto" w:fill="003D79"/>
            <w:tcMar>
              <w:top w:w="0" w:type="dxa"/>
              <w:left w:w="0" w:type="dxa"/>
              <w:bottom w:w="0" w:type="dxa"/>
              <w:right w:w="0" w:type="dxa"/>
            </w:tcMar>
            <w:vAlign w:val="center"/>
          </w:tcPr>
          <w:p w14:paraId="0C5BC671" w14:textId="77777777" w:rsidR="001C19F3" w:rsidRDefault="001C19F3" w:rsidP="00521305">
            <w:pPr>
              <w:spacing w:after="0"/>
              <w:jc w:val="center"/>
            </w:pPr>
            <w:r>
              <w:rPr>
                <w:rFonts w:cs="Century Gothic"/>
                <w:b/>
                <w:color w:val="FFFFFF"/>
                <w:sz w:val="18"/>
                <w:szCs w:val="18"/>
              </w:rPr>
              <w:t xml:space="preserve">Tier 3 </w:t>
            </w:r>
            <w:r>
              <w:rPr>
                <w:rFonts w:cs="Century Gothic"/>
                <w:b/>
                <w:color w:val="FFFFFF"/>
                <w:sz w:val="18"/>
                <w:szCs w:val="18"/>
              </w:rPr>
              <w:br/>
              <w:t xml:space="preserve"> (n = 189)</w:t>
            </w:r>
          </w:p>
        </w:tc>
      </w:tr>
      <w:tr w:rsidR="001C19F3" w14:paraId="142D2498" w14:textId="77777777" w:rsidTr="00521305">
        <w:trPr>
          <w:cantSplit/>
          <w:trHeight w:val="288"/>
        </w:trPr>
        <w:tc>
          <w:tcPr>
            <w:tcW w:w="1923" w:type="pct"/>
            <w:shd w:val="clear" w:color="auto" w:fill="FFFFFF"/>
            <w:tcMar>
              <w:top w:w="0" w:type="dxa"/>
              <w:left w:w="0" w:type="dxa"/>
              <w:bottom w:w="0" w:type="dxa"/>
              <w:right w:w="0" w:type="dxa"/>
            </w:tcMar>
            <w:vAlign w:val="center"/>
          </w:tcPr>
          <w:p w14:paraId="0A6E09CF" w14:textId="77777777" w:rsidR="001C19F3" w:rsidRDefault="001C19F3" w:rsidP="00521305">
            <w:pPr>
              <w:spacing w:before="40" w:after="40"/>
              <w:ind w:left="40" w:right="40"/>
            </w:pPr>
            <w:r>
              <w:rPr>
                <w:rFonts w:cs="Century Gothic"/>
                <w:color w:val="000000"/>
                <w:sz w:val="18"/>
                <w:szCs w:val="18"/>
              </w:rPr>
              <w:t>Improved medication adherence</w:t>
            </w:r>
          </w:p>
        </w:tc>
        <w:tc>
          <w:tcPr>
            <w:tcW w:w="769" w:type="pct"/>
            <w:shd w:val="clear" w:color="auto" w:fill="FFFFFF"/>
            <w:tcMar>
              <w:top w:w="0" w:type="dxa"/>
              <w:left w:w="0" w:type="dxa"/>
              <w:bottom w:w="0" w:type="dxa"/>
              <w:right w:w="0" w:type="dxa"/>
            </w:tcMar>
            <w:vAlign w:val="center"/>
          </w:tcPr>
          <w:p w14:paraId="3A7B0073" w14:textId="77777777" w:rsidR="001C19F3" w:rsidRDefault="001C19F3" w:rsidP="00521305">
            <w:pPr>
              <w:spacing w:before="40" w:after="40"/>
              <w:ind w:left="40" w:right="40"/>
              <w:jc w:val="center"/>
            </w:pPr>
            <w:r>
              <w:rPr>
                <w:rFonts w:cs="Century Gothic"/>
                <w:color w:val="000000"/>
                <w:sz w:val="18"/>
                <w:szCs w:val="18"/>
              </w:rPr>
              <w:t>195 (41.7%)</w:t>
            </w:r>
          </w:p>
        </w:tc>
        <w:tc>
          <w:tcPr>
            <w:tcW w:w="769" w:type="pct"/>
            <w:shd w:val="clear" w:color="auto" w:fill="FFFFFF"/>
            <w:tcMar>
              <w:top w:w="0" w:type="dxa"/>
              <w:left w:w="0" w:type="dxa"/>
              <w:bottom w:w="0" w:type="dxa"/>
              <w:right w:w="0" w:type="dxa"/>
            </w:tcMar>
            <w:vAlign w:val="center"/>
          </w:tcPr>
          <w:p w14:paraId="1BCD02BD" w14:textId="77777777" w:rsidR="001C19F3" w:rsidRDefault="001C19F3" w:rsidP="00521305">
            <w:pPr>
              <w:spacing w:before="40" w:after="40"/>
              <w:ind w:left="40" w:right="40"/>
              <w:jc w:val="center"/>
            </w:pPr>
            <w:r>
              <w:rPr>
                <w:rFonts w:cs="Century Gothic"/>
                <w:color w:val="000000"/>
                <w:sz w:val="18"/>
                <w:szCs w:val="18"/>
              </w:rPr>
              <w:t>3 (6.8%)</w:t>
            </w:r>
          </w:p>
        </w:tc>
        <w:tc>
          <w:tcPr>
            <w:tcW w:w="769" w:type="pct"/>
            <w:shd w:val="clear" w:color="auto" w:fill="FFFFFF"/>
            <w:tcMar>
              <w:top w:w="0" w:type="dxa"/>
              <w:left w:w="0" w:type="dxa"/>
              <w:bottom w:w="0" w:type="dxa"/>
              <w:right w:w="0" w:type="dxa"/>
            </w:tcMar>
            <w:vAlign w:val="center"/>
          </w:tcPr>
          <w:p w14:paraId="22EEC0AA" w14:textId="77777777" w:rsidR="001C19F3" w:rsidRDefault="001C19F3" w:rsidP="00521305">
            <w:pPr>
              <w:spacing w:before="40" w:after="40"/>
              <w:ind w:left="40" w:right="40"/>
              <w:jc w:val="center"/>
            </w:pPr>
            <w:r>
              <w:rPr>
                <w:rFonts w:cs="Century Gothic"/>
                <w:color w:val="000000"/>
                <w:sz w:val="18"/>
                <w:szCs w:val="18"/>
              </w:rPr>
              <w:t>76 (32.3%)</w:t>
            </w:r>
          </w:p>
        </w:tc>
        <w:tc>
          <w:tcPr>
            <w:tcW w:w="770" w:type="pct"/>
            <w:shd w:val="clear" w:color="auto" w:fill="FFFFFF"/>
            <w:tcMar>
              <w:top w:w="0" w:type="dxa"/>
              <w:left w:w="0" w:type="dxa"/>
              <w:bottom w:w="0" w:type="dxa"/>
              <w:right w:w="0" w:type="dxa"/>
            </w:tcMar>
            <w:vAlign w:val="center"/>
          </w:tcPr>
          <w:p w14:paraId="3C61EF7B" w14:textId="77777777" w:rsidR="001C19F3" w:rsidRDefault="001C19F3" w:rsidP="00521305">
            <w:pPr>
              <w:spacing w:before="40" w:after="40"/>
              <w:ind w:left="40" w:right="40"/>
              <w:jc w:val="center"/>
            </w:pPr>
            <w:r>
              <w:rPr>
                <w:rFonts w:cs="Century Gothic"/>
                <w:color w:val="000000"/>
                <w:sz w:val="18"/>
                <w:szCs w:val="18"/>
              </w:rPr>
              <w:t>116 (61.4%)</w:t>
            </w:r>
          </w:p>
        </w:tc>
      </w:tr>
      <w:tr w:rsidR="001C19F3" w14:paraId="0C046B06" w14:textId="77777777" w:rsidTr="00521305">
        <w:trPr>
          <w:cantSplit/>
          <w:trHeight w:val="288"/>
        </w:trPr>
        <w:tc>
          <w:tcPr>
            <w:tcW w:w="1923" w:type="pct"/>
            <w:shd w:val="clear" w:color="auto" w:fill="FFFFFF"/>
            <w:tcMar>
              <w:top w:w="0" w:type="dxa"/>
              <w:left w:w="0" w:type="dxa"/>
              <w:bottom w:w="0" w:type="dxa"/>
              <w:right w:w="0" w:type="dxa"/>
            </w:tcMar>
            <w:vAlign w:val="center"/>
          </w:tcPr>
          <w:p w14:paraId="22E185B5" w14:textId="77777777" w:rsidR="001C19F3" w:rsidRDefault="001C19F3" w:rsidP="00521305">
            <w:pPr>
              <w:spacing w:before="40" w:after="40"/>
              <w:ind w:left="40" w:right="40"/>
            </w:pPr>
            <w:r>
              <w:rPr>
                <w:rFonts w:cs="Century Gothic"/>
                <w:color w:val="000000"/>
                <w:sz w:val="18"/>
                <w:szCs w:val="18"/>
              </w:rPr>
              <w:t>Improved patient knowledge about their medicines leading to improved medication use and disease self-management</w:t>
            </w:r>
          </w:p>
        </w:tc>
        <w:tc>
          <w:tcPr>
            <w:tcW w:w="769" w:type="pct"/>
            <w:shd w:val="clear" w:color="auto" w:fill="FFFFFF"/>
            <w:tcMar>
              <w:top w:w="0" w:type="dxa"/>
              <w:left w:w="0" w:type="dxa"/>
              <w:bottom w:w="0" w:type="dxa"/>
              <w:right w:w="0" w:type="dxa"/>
            </w:tcMar>
            <w:vAlign w:val="center"/>
          </w:tcPr>
          <w:p w14:paraId="40D323DB" w14:textId="77777777" w:rsidR="001C19F3" w:rsidRDefault="001C19F3" w:rsidP="00521305">
            <w:pPr>
              <w:spacing w:before="40" w:after="40"/>
              <w:ind w:left="40" w:right="40"/>
              <w:jc w:val="center"/>
            </w:pPr>
            <w:r>
              <w:rPr>
                <w:rFonts w:cs="Century Gothic"/>
                <w:color w:val="000000"/>
                <w:sz w:val="18"/>
                <w:szCs w:val="18"/>
              </w:rPr>
              <w:t>238 (50.9%)</w:t>
            </w:r>
          </w:p>
        </w:tc>
        <w:tc>
          <w:tcPr>
            <w:tcW w:w="769" w:type="pct"/>
            <w:shd w:val="clear" w:color="auto" w:fill="FFFFFF"/>
            <w:tcMar>
              <w:top w:w="0" w:type="dxa"/>
              <w:left w:w="0" w:type="dxa"/>
              <w:bottom w:w="0" w:type="dxa"/>
              <w:right w:w="0" w:type="dxa"/>
            </w:tcMar>
            <w:vAlign w:val="center"/>
          </w:tcPr>
          <w:p w14:paraId="7F135DC0" w14:textId="77777777" w:rsidR="001C19F3" w:rsidRDefault="001C19F3" w:rsidP="00521305">
            <w:pPr>
              <w:spacing w:before="40" w:after="40"/>
              <w:ind w:left="40" w:right="40"/>
              <w:jc w:val="center"/>
            </w:pPr>
            <w:r>
              <w:rPr>
                <w:rFonts w:cs="Century Gothic"/>
                <w:color w:val="000000"/>
                <w:sz w:val="18"/>
                <w:szCs w:val="18"/>
              </w:rPr>
              <w:t>32 (72.7%)</w:t>
            </w:r>
          </w:p>
        </w:tc>
        <w:tc>
          <w:tcPr>
            <w:tcW w:w="769" w:type="pct"/>
            <w:shd w:val="clear" w:color="auto" w:fill="FFFFFF"/>
            <w:tcMar>
              <w:top w:w="0" w:type="dxa"/>
              <w:left w:w="0" w:type="dxa"/>
              <w:bottom w:w="0" w:type="dxa"/>
              <w:right w:w="0" w:type="dxa"/>
            </w:tcMar>
            <w:vAlign w:val="center"/>
          </w:tcPr>
          <w:p w14:paraId="25007CBF" w14:textId="77777777" w:rsidR="001C19F3" w:rsidRDefault="001C19F3" w:rsidP="00521305">
            <w:pPr>
              <w:spacing w:before="40" w:after="40"/>
              <w:ind w:left="40" w:right="40"/>
              <w:jc w:val="center"/>
            </w:pPr>
            <w:r>
              <w:rPr>
                <w:rFonts w:cs="Century Gothic"/>
                <w:color w:val="000000"/>
                <w:sz w:val="18"/>
                <w:szCs w:val="18"/>
              </w:rPr>
              <w:t>149 (63.4%)</w:t>
            </w:r>
          </w:p>
        </w:tc>
        <w:tc>
          <w:tcPr>
            <w:tcW w:w="770" w:type="pct"/>
            <w:shd w:val="clear" w:color="auto" w:fill="FFFFFF"/>
            <w:tcMar>
              <w:top w:w="0" w:type="dxa"/>
              <w:left w:w="0" w:type="dxa"/>
              <w:bottom w:w="0" w:type="dxa"/>
              <w:right w:w="0" w:type="dxa"/>
            </w:tcMar>
            <w:vAlign w:val="center"/>
          </w:tcPr>
          <w:p w14:paraId="1EBE77BE" w14:textId="77777777" w:rsidR="001C19F3" w:rsidRDefault="001C19F3" w:rsidP="00521305">
            <w:pPr>
              <w:spacing w:before="40" w:after="40"/>
              <w:ind w:left="40" w:right="40"/>
              <w:jc w:val="center"/>
            </w:pPr>
            <w:r>
              <w:rPr>
                <w:rFonts w:cs="Century Gothic"/>
                <w:color w:val="000000"/>
                <w:sz w:val="18"/>
                <w:szCs w:val="18"/>
              </w:rPr>
              <w:t>57 (30.2%)</w:t>
            </w:r>
          </w:p>
        </w:tc>
      </w:tr>
      <w:tr w:rsidR="001C19F3" w14:paraId="38F1B4C4" w14:textId="77777777" w:rsidTr="00521305">
        <w:trPr>
          <w:cantSplit/>
          <w:trHeight w:val="288"/>
        </w:trPr>
        <w:tc>
          <w:tcPr>
            <w:tcW w:w="1923" w:type="pct"/>
            <w:shd w:val="clear" w:color="auto" w:fill="FFFFFF"/>
            <w:tcMar>
              <w:top w:w="0" w:type="dxa"/>
              <w:left w:w="0" w:type="dxa"/>
              <w:bottom w:w="0" w:type="dxa"/>
              <w:right w:w="0" w:type="dxa"/>
            </w:tcMar>
            <w:vAlign w:val="center"/>
          </w:tcPr>
          <w:p w14:paraId="208A8519" w14:textId="77777777" w:rsidR="001C19F3" w:rsidRDefault="001C19F3" w:rsidP="00521305">
            <w:pPr>
              <w:spacing w:before="40" w:after="40"/>
              <w:ind w:left="40" w:right="40"/>
            </w:pPr>
            <w:r>
              <w:rPr>
                <w:rFonts w:cs="Century Gothic"/>
                <w:color w:val="000000"/>
                <w:sz w:val="18"/>
                <w:szCs w:val="18"/>
              </w:rPr>
              <w:t>Improved technique/usage of medication devices</w:t>
            </w:r>
          </w:p>
        </w:tc>
        <w:tc>
          <w:tcPr>
            <w:tcW w:w="769" w:type="pct"/>
            <w:shd w:val="clear" w:color="auto" w:fill="FFFFFF"/>
            <w:tcMar>
              <w:top w:w="0" w:type="dxa"/>
              <w:left w:w="0" w:type="dxa"/>
              <w:bottom w:w="0" w:type="dxa"/>
              <w:right w:w="0" w:type="dxa"/>
            </w:tcMar>
            <w:vAlign w:val="center"/>
          </w:tcPr>
          <w:p w14:paraId="7D20C13B" w14:textId="77777777" w:rsidR="001C19F3" w:rsidRDefault="001C19F3" w:rsidP="00521305">
            <w:pPr>
              <w:spacing w:before="40" w:after="40"/>
              <w:ind w:left="40" w:right="40"/>
              <w:jc w:val="center"/>
            </w:pPr>
            <w:r>
              <w:rPr>
                <w:rFonts w:cs="Century Gothic"/>
                <w:color w:val="000000"/>
                <w:sz w:val="18"/>
                <w:szCs w:val="18"/>
              </w:rPr>
              <w:t>69 (14.7%)</w:t>
            </w:r>
          </w:p>
        </w:tc>
        <w:tc>
          <w:tcPr>
            <w:tcW w:w="769" w:type="pct"/>
            <w:shd w:val="clear" w:color="auto" w:fill="FFFFFF"/>
            <w:tcMar>
              <w:top w:w="0" w:type="dxa"/>
              <w:left w:w="0" w:type="dxa"/>
              <w:bottom w:w="0" w:type="dxa"/>
              <w:right w:w="0" w:type="dxa"/>
            </w:tcMar>
            <w:vAlign w:val="center"/>
          </w:tcPr>
          <w:p w14:paraId="6CA1FAA1" w14:textId="77777777" w:rsidR="001C19F3" w:rsidRDefault="001C19F3" w:rsidP="00521305">
            <w:pPr>
              <w:spacing w:before="40" w:after="40"/>
              <w:ind w:left="40" w:right="40"/>
              <w:jc w:val="center"/>
            </w:pPr>
            <w:r>
              <w:rPr>
                <w:rFonts w:cs="Century Gothic"/>
                <w:color w:val="000000"/>
                <w:sz w:val="18"/>
                <w:szCs w:val="18"/>
              </w:rPr>
              <w:t>5 (11.4%)</w:t>
            </w:r>
          </w:p>
        </w:tc>
        <w:tc>
          <w:tcPr>
            <w:tcW w:w="769" w:type="pct"/>
            <w:shd w:val="clear" w:color="auto" w:fill="FFFFFF"/>
            <w:tcMar>
              <w:top w:w="0" w:type="dxa"/>
              <w:left w:w="0" w:type="dxa"/>
              <w:bottom w:w="0" w:type="dxa"/>
              <w:right w:w="0" w:type="dxa"/>
            </w:tcMar>
            <w:vAlign w:val="center"/>
          </w:tcPr>
          <w:p w14:paraId="1D18D89E" w14:textId="77777777" w:rsidR="001C19F3" w:rsidRDefault="001C19F3" w:rsidP="00521305">
            <w:pPr>
              <w:spacing w:before="40" w:after="40"/>
              <w:ind w:left="40" w:right="40"/>
              <w:jc w:val="center"/>
            </w:pPr>
            <w:r>
              <w:rPr>
                <w:rFonts w:cs="Century Gothic"/>
                <w:color w:val="000000"/>
                <w:sz w:val="18"/>
                <w:szCs w:val="18"/>
              </w:rPr>
              <w:t>33 (14.0%)</w:t>
            </w:r>
          </w:p>
        </w:tc>
        <w:tc>
          <w:tcPr>
            <w:tcW w:w="770" w:type="pct"/>
            <w:shd w:val="clear" w:color="auto" w:fill="FFFFFF"/>
            <w:tcMar>
              <w:top w:w="0" w:type="dxa"/>
              <w:left w:w="0" w:type="dxa"/>
              <w:bottom w:w="0" w:type="dxa"/>
              <w:right w:w="0" w:type="dxa"/>
            </w:tcMar>
            <w:vAlign w:val="center"/>
          </w:tcPr>
          <w:p w14:paraId="5D3AEF0D" w14:textId="77777777" w:rsidR="001C19F3" w:rsidRDefault="001C19F3" w:rsidP="00521305">
            <w:pPr>
              <w:spacing w:before="40" w:after="40"/>
              <w:ind w:left="40" w:right="40"/>
              <w:jc w:val="center"/>
            </w:pPr>
            <w:r>
              <w:rPr>
                <w:rFonts w:cs="Century Gothic"/>
                <w:color w:val="000000"/>
                <w:sz w:val="18"/>
                <w:szCs w:val="18"/>
              </w:rPr>
              <w:t>31 (16.4%)</w:t>
            </w:r>
          </w:p>
        </w:tc>
      </w:tr>
      <w:tr w:rsidR="001C19F3" w14:paraId="42D10905" w14:textId="77777777" w:rsidTr="00521305">
        <w:trPr>
          <w:cantSplit/>
          <w:trHeight w:val="288"/>
        </w:trPr>
        <w:tc>
          <w:tcPr>
            <w:tcW w:w="1923" w:type="pct"/>
            <w:shd w:val="clear" w:color="auto" w:fill="FFFFFF"/>
            <w:tcMar>
              <w:top w:w="0" w:type="dxa"/>
              <w:left w:w="0" w:type="dxa"/>
              <w:bottom w:w="0" w:type="dxa"/>
              <w:right w:w="0" w:type="dxa"/>
            </w:tcMar>
            <w:vAlign w:val="center"/>
          </w:tcPr>
          <w:p w14:paraId="2BB0A463" w14:textId="77777777" w:rsidR="001C19F3" w:rsidRDefault="001C19F3" w:rsidP="00521305">
            <w:pPr>
              <w:spacing w:before="40" w:after="40"/>
              <w:ind w:left="40" w:right="40"/>
            </w:pPr>
            <w:r>
              <w:rPr>
                <w:rFonts w:cs="Century Gothic"/>
                <w:color w:val="000000"/>
                <w:sz w:val="18"/>
                <w:szCs w:val="18"/>
              </w:rPr>
              <w:t>Optimise the medication dose and/or number or type of medicines</w:t>
            </w:r>
          </w:p>
        </w:tc>
        <w:tc>
          <w:tcPr>
            <w:tcW w:w="769" w:type="pct"/>
            <w:shd w:val="clear" w:color="auto" w:fill="FFFFFF"/>
            <w:tcMar>
              <w:top w:w="0" w:type="dxa"/>
              <w:left w:w="0" w:type="dxa"/>
              <w:bottom w:w="0" w:type="dxa"/>
              <w:right w:w="0" w:type="dxa"/>
            </w:tcMar>
            <w:vAlign w:val="center"/>
          </w:tcPr>
          <w:p w14:paraId="329F33FF" w14:textId="77777777" w:rsidR="001C19F3" w:rsidRDefault="001C19F3" w:rsidP="00521305">
            <w:pPr>
              <w:spacing w:before="40" w:after="40"/>
              <w:ind w:left="40" w:right="40"/>
              <w:jc w:val="center"/>
            </w:pPr>
            <w:r>
              <w:rPr>
                <w:rFonts w:cs="Century Gothic"/>
                <w:color w:val="000000"/>
                <w:sz w:val="18"/>
                <w:szCs w:val="18"/>
              </w:rPr>
              <w:t>83 (17.7%)</w:t>
            </w:r>
          </w:p>
        </w:tc>
        <w:tc>
          <w:tcPr>
            <w:tcW w:w="769" w:type="pct"/>
            <w:shd w:val="clear" w:color="auto" w:fill="FFFFFF"/>
            <w:tcMar>
              <w:top w:w="0" w:type="dxa"/>
              <w:left w:w="0" w:type="dxa"/>
              <w:bottom w:w="0" w:type="dxa"/>
              <w:right w:w="0" w:type="dxa"/>
            </w:tcMar>
            <w:vAlign w:val="center"/>
          </w:tcPr>
          <w:p w14:paraId="209A82CC" w14:textId="77777777" w:rsidR="001C19F3" w:rsidRDefault="001C19F3" w:rsidP="00521305">
            <w:pPr>
              <w:spacing w:before="40" w:after="40"/>
              <w:ind w:left="40" w:right="40"/>
              <w:jc w:val="center"/>
            </w:pPr>
            <w:r>
              <w:rPr>
                <w:rFonts w:cs="Century Gothic"/>
                <w:color w:val="000000"/>
                <w:sz w:val="18"/>
                <w:szCs w:val="18"/>
              </w:rPr>
              <w:t>7 (15.9%)</w:t>
            </w:r>
          </w:p>
        </w:tc>
        <w:tc>
          <w:tcPr>
            <w:tcW w:w="769" w:type="pct"/>
            <w:shd w:val="clear" w:color="auto" w:fill="FFFFFF"/>
            <w:tcMar>
              <w:top w:w="0" w:type="dxa"/>
              <w:left w:w="0" w:type="dxa"/>
              <w:bottom w:w="0" w:type="dxa"/>
              <w:right w:w="0" w:type="dxa"/>
            </w:tcMar>
            <w:vAlign w:val="center"/>
          </w:tcPr>
          <w:p w14:paraId="629898AF" w14:textId="77777777" w:rsidR="001C19F3" w:rsidRDefault="001C19F3" w:rsidP="00521305">
            <w:pPr>
              <w:spacing w:before="40" w:after="40"/>
              <w:ind w:left="40" w:right="40"/>
              <w:jc w:val="center"/>
            </w:pPr>
            <w:r>
              <w:rPr>
                <w:rFonts w:cs="Century Gothic"/>
                <w:color w:val="000000"/>
                <w:sz w:val="18"/>
                <w:szCs w:val="18"/>
              </w:rPr>
              <w:t>40 (17.0%)</w:t>
            </w:r>
          </w:p>
        </w:tc>
        <w:tc>
          <w:tcPr>
            <w:tcW w:w="770" w:type="pct"/>
            <w:shd w:val="clear" w:color="auto" w:fill="FFFFFF"/>
            <w:tcMar>
              <w:top w:w="0" w:type="dxa"/>
              <w:left w:w="0" w:type="dxa"/>
              <w:bottom w:w="0" w:type="dxa"/>
              <w:right w:w="0" w:type="dxa"/>
            </w:tcMar>
            <w:vAlign w:val="center"/>
          </w:tcPr>
          <w:p w14:paraId="132663D8" w14:textId="77777777" w:rsidR="001C19F3" w:rsidRDefault="001C19F3" w:rsidP="00521305">
            <w:pPr>
              <w:spacing w:before="40" w:after="40"/>
              <w:ind w:left="40" w:right="40"/>
              <w:jc w:val="center"/>
            </w:pPr>
            <w:r>
              <w:rPr>
                <w:rFonts w:cs="Century Gothic"/>
                <w:color w:val="000000"/>
                <w:sz w:val="18"/>
                <w:szCs w:val="18"/>
              </w:rPr>
              <w:t>36 (19.0%)</w:t>
            </w:r>
          </w:p>
        </w:tc>
      </w:tr>
      <w:tr w:rsidR="001C19F3" w14:paraId="7096B1EC" w14:textId="77777777" w:rsidTr="00521305">
        <w:trPr>
          <w:cantSplit/>
          <w:trHeight w:val="288"/>
        </w:trPr>
        <w:tc>
          <w:tcPr>
            <w:tcW w:w="1923" w:type="pct"/>
            <w:shd w:val="clear" w:color="auto" w:fill="FFFFFF"/>
            <w:tcMar>
              <w:top w:w="0" w:type="dxa"/>
              <w:left w:w="0" w:type="dxa"/>
              <w:bottom w:w="0" w:type="dxa"/>
              <w:right w:w="0" w:type="dxa"/>
            </w:tcMar>
            <w:vAlign w:val="center"/>
          </w:tcPr>
          <w:p w14:paraId="6853DD74" w14:textId="77777777" w:rsidR="001C19F3" w:rsidRDefault="001C19F3" w:rsidP="00521305">
            <w:pPr>
              <w:spacing w:before="40" w:after="40"/>
              <w:ind w:left="40" w:right="40"/>
            </w:pPr>
            <w:r>
              <w:rPr>
                <w:rFonts w:cs="Century Gothic"/>
                <w:color w:val="000000"/>
                <w:sz w:val="18"/>
                <w:szCs w:val="18"/>
              </w:rPr>
              <w:t>Reduced medication side effects</w:t>
            </w:r>
          </w:p>
        </w:tc>
        <w:tc>
          <w:tcPr>
            <w:tcW w:w="769" w:type="pct"/>
            <w:shd w:val="clear" w:color="auto" w:fill="FFFFFF"/>
            <w:tcMar>
              <w:top w:w="0" w:type="dxa"/>
              <w:left w:w="0" w:type="dxa"/>
              <w:bottom w:w="0" w:type="dxa"/>
              <w:right w:w="0" w:type="dxa"/>
            </w:tcMar>
            <w:vAlign w:val="center"/>
          </w:tcPr>
          <w:p w14:paraId="7463A6C5" w14:textId="77777777" w:rsidR="001C19F3" w:rsidRDefault="001C19F3" w:rsidP="00521305">
            <w:pPr>
              <w:spacing w:before="40" w:after="40"/>
              <w:ind w:left="40" w:right="40"/>
              <w:jc w:val="center"/>
            </w:pPr>
            <w:r>
              <w:rPr>
                <w:rFonts w:cs="Century Gothic"/>
                <w:color w:val="000000"/>
                <w:sz w:val="18"/>
                <w:szCs w:val="18"/>
              </w:rPr>
              <w:t>38 (8.1%)</w:t>
            </w:r>
          </w:p>
        </w:tc>
        <w:tc>
          <w:tcPr>
            <w:tcW w:w="769" w:type="pct"/>
            <w:shd w:val="clear" w:color="auto" w:fill="FFFFFF"/>
            <w:tcMar>
              <w:top w:w="0" w:type="dxa"/>
              <w:left w:w="0" w:type="dxa"/>
              <w:bottom w:w="0" w:type="dxa"/>
              <w:right w:w="0" w:type="dxa"/>
            </w:tcMar>
            <w:vAlign w:val="center"/>
          </w:tcPr>
          <w:p w14:paraId="2E01C888" w14:textId="77777777" w:rsidR="001C19F3" w:rsidRDefault="001C19F3" w:rsidP="00521305">
            <w:pPr>
              <w:spacing w:before="40" w:after="40"/>
              <w:ind w:left="40" w:right="40"/>
              <w:jc w:val="center"/>
            </w:pPr>
            <w:r>
              <w:rPr>
                <w:rFonts w:cs="Century Gothic"/>
                <w:color w:val="000000"/>
                <w:sz w:val="18"/>
                <w:szCs w:val="18"/>
              </w:rPr>
              <w:t>4 (9.1%)</w:t>
            </w:r>
          </w:p>
        </w:tc>
        <w:tc>
          <w:tcPr>
            <w:tcW w:w="769" w:type="pct"/>
            <w:shd w:val="clear" w:color="auto" w:fill="FFFFFF"/>
            <w:tcMar>
              <w:top w:w="0" w:type="dxa"/>
              <w:left w:w="0" w:type="dxa"/>
              <w:bottom w:w="0" w:type="dxa"/>
              <w:right w:w="0" w:type="dxa"/>
            </w:tcMar>
            <w:vAlign w:val="center"/>
          </w:tcPr>
          <w:p w14:paraId="1576D1B7" w14:textId="77777777" w:rsidR="001C19F3" w:rsidRDefault="001C19F3" w:rsidP="00521305">
            <w:pPr>
              <w:spacing w:before="40" w:after="40"/>
              <w:ind w:left="40" w:right="40"/>
              <w:jc w:val="center"/>
            </w:pPr>
            <w:r>
              <w:rPr>
                <w:rFonts w:cs="Century Gothic"/>
                <w:color w:val="000000"/>
                <w:sz w:val="18"/>
                <w:szCs w:val="18"/>
              </w:rPr>
              <w:t>14 (6.0%)</w:t>
            </w:r>
          </w:p>
        </w:tc>
        <w:tc>
          <w:tcPr>
            <w:tcW w:w="770" w:type="pct"/>
            <w:shd w:val="clear" w:color="auto" w:fill="FFFFFF"/>
            <w:tcMar>
              <w:top w:w="0" w:type="dxa"/>
              <w:left w:w="0" w:type="dxa"/>
              <w:bottom w:w="0" w:type="dxa"/>
              <w:right w:w="0" w:type="dxa"/>
            </w:tcMar>
            <w:vAlign w:val="center"/>
          </w:tcPr>
          <w:p w14:paraId="0A5817D3" w14:textId="77777777" w:rsidR="001C19F3" w:rsidRDefault="001C19F3" w:rsidP="00521305">
            <w:pPr>
              <w:spacing w:before="40" w:after="40"/>
              <w:ind w:left="40" w:right="40"/>
              <w:jc w:val="center"/>
            </w:pPr>
            <w:r>
              <w:rPr>
                <w:rFonts w:cs="Century Gothic"/>
                <w:color w:val="000000"/>
                <w:sz w:val="18"/>
                <w:szCs w:val="18"/>
              </w:rPr>
              <w:t>20 (10.6%)</w:t>
            </w:r>
          </w:p>
        </w:tc>
      </w:tr>
      <w:tr w:rsidR="001C19F3" w14:paraId="27CB7918" w14:textId="77777777" w:rsidTr="00521305">
        <w:trPr>
          <w:cantSplit/>
          <w:trHeight w:val="288"/>
        </w:trPr>
        <w:tc>
          <w:tcPr>
            <w:tcW w:w="1923" w:type="pct"/>
            <w:shd w:val="clear" w:color="auto" w:fill="FFFFFF"/>
            <w:tcMar>
              <w:top w:w="0" w:type="dxa"/>
              <w:left w:w="0" w:type="dxa"/>
              <w:bottom w:w="0" w:type="dxa"/>
              <w:right w:w="0" w:type="dxa"/>
            </w:tcMar>
            <w:vAlign w:val="center"/>
          </w:tcPr>
          <w:p w14:paraId="60349462" w14:textId="77777777" w:rsidR="001C19F3" w:rsidRDefault="001C19F3" w:rsidP="00521305">
            <w:pPr>
              <w:spacing w:before="40" w:after="40"/>
              <w:ind w:left="40" w:right="40"/>
            </w:pPr>
            <w:r>
              <w:rPr>
                <w:rFonts w:cs="Century Gothic"/>
                <w:color w:val="000000"/>
                <w:sz w:val="18"/>
                <w:szCs w:val="18"/>
              </w:rPr>
              <w:t>Other</w:t>
            </w:r>
          </w:p>
        </w:tc>
        <w:tc>
          <w:tcPr>
            <w:tcW w:w="769" w:type="pct"/>
            <w:shd w:val="clear" w:color="auto" w:fill="FFFFFF"/>
            <w:tcMar>
              <w:top w:w="0" w:type="dxa"/>
              <w:left w:w="0" w:type="dxa"/>
              <w:bottom w:w="0" w:type="dxa"/>
              <w:right w:w="0" w:type="dxa"/>
            </w:tcMar>
            <w:vAlign w:val="center"/>
          </w:tcPr>
          <w:p w14:paraId="5C2D51EF" w14:textId="77777777" w:rsidR="001C19F3" w:rsidRDefault="001C19F3" w:rsidP="00521305">
            <w:pPr>
              <w:spacing w:before="40" w:after="40"/>
              <w:ind w:left="40" w:right="40"/>
              <w:jc w:val="center"/>
            </w:pPr>
            <w:r>
              <w:rPr>
                <w:rFonts w:cs="Century Gothic"/>
                <w:color w:val="000000"/>
                <w:sz w:val="18"/>
                <w:szCs w:val="18"/>
              </w:rPr>
              <w:t>87 (18.6%)</w:t>
            </w:r>
          </w:p>
        </w:tc>
        <w:tc>
          <w:tcPr>
            <w:tcW w:w="769" w:type="pct"/>
            <w:shd w:val="clear" w:color="auto" w:fill="FFFFFF"/>
            <w:tcMar>
              <w:top w:w="0" w:type="dxa"/>
              <w:left w:w="0" w:type="dxa"/>
              <w:bottom w:w="0" w:type="dxa"/>
              <w:right w:w="0" w:type="dxa"/>
            </w:tcMar>
            <w:vAlign w:val="center"/>
          </w:tcPr>
          <w:p w14:paraId="51AD31F6" w14:textId="77777777" w:rsidR="001C19F3" w:rsidRDefault="001C19F3" w:rsidP="00521305">
            <w:pPr>
              <w:spacing w:before="40" w:after="40"/>
              <w:ind w:left="40" w:right="40"/>
              <w:jc w:val="center"/>
            </w:pPr>
            <w:r>
              <w:rPr>
                <w:rFonts w:cs="Century Gothic"/>
                <w:color w:val="000000"/>
                <w:sz w:val="18"/>
                <w:szCs w:val="18"/>
              </w:rPr>
              <w:t>10 (22.7%)</w:t>
            </w:r>
          </w:p>
        </w:tc>
        <w:tc>
          <w:tcPr>
            <w:tcW w:w="769" w:type="pct"/>
            <w:shd w:val="clear" w:color="auto" w:fill="FFFFFF"/>
            <w:tcMar>
              <w:top w:w="0" w:type="dxa"/>
              <w:left w:w="0" w:type="dxa"/>
              <w:bottom w:w="0" w:type="dxa"/>
              <w:right w:w="0" w:type="dxa"/>
            </w:tcMar>
            <w:vAlign w:val="center"/>
          </w:tcPr>
          <w:p w14:paraId="7C629908" w14:textId="77777777" w:rsidR="001C19F3" w:rsidRDefault="001C19F3" w:rsidP="00521305">
            <w:pPr>
              <w:spacing w:before="40" w:after="40"/>
              <w:ind w:left="40" w:right="40"/>
              <w:jc w:val="center"/>
            </w:pPr>
            <w:r>
              <w:rPr>
                <w:rFonts w:cs="Century Gothic"/>
                <w:color w:val="000000"/>
                <w:sz w:val="18"/>
                <w:szCs w:val="18"/>
              </w:rPr>
              <w:t>40 (17.0%)</w:t>
            </w:r>
          </w:p>
        </w:tc>
        <w:tc>
          <w:tcPr>
            <w:tcW w:w="770" w:type="pct"/>
            <w:shd w:val="clear" w:color="auto" w:fill="FFFFFF"/>
            <w:tcMar>
              <w:top w:w="0" w:type="dxa"/>
              <w:left w:w="0" w:type="dxa"/>
              <w:bottom w:w="0" w:type="dxa"/>
              <w:right w:w="0" w:type="dxa"/>
            </w:tcMar>
            <w:vAlign w:val="center"/>
          </w:tcPr>
          <w:p w14:paraId="6D95D2F8" w14:textId="77777777" w:rsidR="001C19F3" w:rsidRDefault="001C19F3" w:rsidP="00521305">
            <w:pPr>
              <w:spacing w:before="40" w:after="40"/>
              <w:ind w:left="40" w:right="40"/>
              <w:jc w:val="center"/>
            </w:pPr>
            <w:r>
              <w:rPr>
                <w:rFonts w:cs="Century Gothic"/>
                <w:color w:val="000000"/>
                <w:sz w:val="18"/>
                <w:szCs w:val="18"/>
              </w:rPr>
              <w:t>37 (19.6%)</w:t>
            </w:r>
          </w:p>
        </w:tc>
      </w:tr>
    </w:tbl>
    <w:p w14:paraId="43F15114" w14:textId="77777777" w:rsidR="001C19F3" w:rsidRDefault="001C19F3" w:rsidP="001C19F3">
      <w:pPr>
        <w:pStyle w:val="Chartortablefootnote"/>
      </w:pPr>
      <w:r>
        <w:t>Source: Community Pharmacy in HCH trial Health Outcomes data set provided by the Pharmacy Guild, to 30 June 2019.</w:t>
      </w:r>
    </w:p>
    <w:p w14:paraId="1BC0516C" w14:textId="77777777" w:rsidR="001C19F3" w:rsidRDefault="001C19F3" w:rsidP="001C19F3">
      <w:pPr>
        <w:pStyle w:val="Caption1"/>
      </w:pPr>
      <w:bookmarkStart w:id="624" w:name="_Ref22831346"/>
      <w:r>
        <w:t xml:space="preserve">Table </w:t>
      </w:r>
      <w:r>
        <w:fldChar w:fldCharType="begin"/>
      </w:r>
      <w:r>
        <w:instrText>SEQ Table \* ARABIC</w:instrText>
      </w:r>
      <w:r>
        <w:fldChar w:fldCharType="separate"/>
      </w:r>
      <w:r>
        <w:rPr>
          <w:noProof/>
        </w:rPr>
        <w:t>90</w:t>
      </w:r>
      <w:r>
        <w:fldChar w:fldCharType="end"/>
      </w:r>
      <w:bookmarkEnd w:id="624"/>
      <w:r>
        <w:t xml:space="preserve"> – Person responsible for medication management goal</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341"/>
        <w:gridCol w:w="1335"/>
        <w:gridCol w:w="1196"/>
        <w:gridCol w:w="1196"/>
        <w:gridCol w:w="1196"/>
        <w:gridCol w:w="1199"/>
        <w:gridCol w:w="1118"/>
        <w:gridCol w:w="1118"/>
        <w:gridCol w:w="1118"/>
        <w:gridCol w:w="1121"/>
      </w:tblGrid>
      <w:tr w:rsidR="001C19F3" w14:paraId="778706BE" w14:textId="77777777" w:rsidTr="00521305">
        <w:trPr>
          <w:cantSplit/>
          <w:trHeight w:val="336"/>
          <w:tblHeader/>
          <w:jc w:val="center"/>
        </w:trPr>
        <w:tc>
          <w:tcPr>
            <w:tcW w:w="1199" w:type="pct"/>
            <w:vMerge w:val="restart"/>
            <w:shd w:val="clear" w:color="auto" w:fill="003D79"/>
            <w:tcMar>
              <w:top w:w="0" w:type="dxa"/>
              <w:left w:w="0" w:type="dxa"/>
              <w:bottom w:w="0" w:type="dxa"/>
              <w:right w:w="0" w:type="dxa"/>
            </w:tcMar>
            <w:vAlign w:val="center"/>
          </w:tcPr>
          <w:p w14:paraId="3C0057F4" w14:textId="77777777" w:rsidR="001C19F3" w:rsidRDefault="001C19F3" w:rsidP="00521305">
            <w:pPr>
              <w:spacing w:after="0"/>
              <w:jc w:val="center"/>
            </w:pPr>
            <w:r>
              <w:rPr>
                <w:rFonts w:cs="Century Gothic"/>
                <w:b/>
                <w:color w:val="FFFFFF"/>
                <w:sz w:val="18"/>
                <w:szCs w:val="18"/>
              </w:rPr>
              <w:t>Goal</w:t>
            </w:r>
          </w:p>
        </w:tc>
        <w:tc>
          <w:tcPr>
            <w:tcW w:w="479" w:type="pct"/>
            <w:vMerge w:val="restart"/>
            <w:shd w:val="clear" w:color="auto" w:fill="003D79"/>
            <w:tcMar>
              <w:top w:w="0" w:type="dxa"/>
              <w:left w:w="0" w:type="dxa"/>
              <w:bottom w:w="0" w:type="dxa"/>
              <w:right w:w="0" w:type="dxa"/>
            </w:tcMar>
            <w:vAlign w:val="center"/>
          </w:tcPr>
          <w:p w14:paraId="743AFC8F" w14:textId="77777777" w:rsidR="001C19F3" w:rsidRDefault="001C19F3" w:rsidP="00521305">
            <w:pPr>
              <w:spacing w:after="0"/>
              <w:jc w:val="center"/>
            </w:pPr>
            <w:r>
              <w:rPr>
                <w:rFonts w:cs="Century Gothic"/>
                <w:b/>
                <w:color w:val="FFFFFF"/>
                <w:sz w:val="18"/>
                <w:szCs w:val="18"/>
              </w:rPr>
              <w:t xml:space="preserve">Patients with goal </w:t>
            </w:r>
            <w:r>
              <w:rPr>
                <w:rFonts w:cs="Century Gothic"/>
                <w:b/>
                <w:color w:val="FFFFFF"/>
                <w:sz w:val="18"/>
                <w:szCs w:val="18"/>
              </w:rPr>
              <w:br/>
              <w:t xml:space="preserve"> (% of total)</w:t>
            </w:r>
          </w:p>
        </w:tc>
        <w:tc>
          <w:tcPr>
            <w:tcW w:w="1717" w:type="pct"/>
            <w:gridSpan w:val="4"/>
            <w:shd w:val="clear" w:color="auto" w:fill="003D79"/>
            <w:tcMar>
              <w:top w:w="0" w:type="dxa"/>
              <w:left w:w="0" w:type="dxa"/>
              <w:bottom w:w="0" w:type="dxa"/>
              <w:right w:w="0" w:type="dxa"/>
            </w:tcMar>
            <w:vAlign w:val="center"/>
          </w:tcPr>
          <w:p w14:paraId="15F800C0" w14:textId="77777777" w:rsidR="001C19F3" w:rsidRDefault="001C19F3" w:rsidP="00521305">
            <w:pPr>
              <w:spacing w:after="0"/>
              <w:jc w:val="center"/>
            </w:pPr>
            <w:r>
              <w:rPr>
                <w:rFonts w:cs="Century Gothic"/>
                <w:b/>
                <w:color w:val="FFFFFF"/>
                <w:sz w:val="18"/>
                <w:szCs w:val="18"/>
              </w:rPr>
              <w:t xml:space="preserve">Person responsible </w:t>
            </w:r>
            <w:r>
              <w:rPr>
                <w:rFonts w:cs="Century Gothic"/>
                <w:b/>
                <w:color w:val="FFFFFF"/>
                <w:sz w:val="18"/>
                <w:szCs w:val="18"/>
              </w:rPr>
              <w:br/>
              <w:t xml:space="preserve"> (% of patients with goal)</w:t>
            </w:r>
          </w:p>
        </w:tc>
        <w:tc>
          <w:tcPr>
            <w:tcW w:w="1605" w:type="pct"/>
            <w:gridSpan w:val="4"/>
            <w:shd w:val="clear" w:color="auto" w:fill="003D79"/>
            <w:tcMar>
              <w:top w:w="0" w:type="dxa"/>
              <w:left w:w="0" w:type="dxa"/>
              <w:bottom w:w="0" w:type="dxa"/>
              <w:right w:w="0" w:type="dxa"/>
            </w:tcMar>
            <w:vAlign w:val="center"/>
          </w:tcPr>
          <w:p w14:paraId="66417088" w14:textId="77777777" w:rsidR="001C19F3" w:rsidRDefault="001C19F3" w:rsidP="00521305">
            <w:pPr>
              <w:spacing w:after="0"/>
              <w:jc w:val="center"/>
            </w:pPr>
            <w:r>
              <w:rPr>
                <w:rFonts w:cs="Century Gothic"/>
                <w:b/>
                <w:color w:val="FFFFFF"/>
                <w:sz w:val="18"/>
                <w:szCs w:val="18"/>
              </w:rPr>
              <w:t>Number of person types responsible for goal</w:t>
            </w:r>
            <w:r>
              <w:rPr>
                <w:rFonts w:cs="Century Gothic"/>
                <w:b/>
                <w:color w:val="FFFFFF"/>
                <w:sz w:val="18"/>
                <w:szCs w:val="18"/>
              </w:rPr>
              <w:br/>
              <w:t xml:space="preserve"> (% of patients with goal)</w:t>
            </w:r>
          </w:p>
        </w:tc>
      </w:tr>
      <w:tr w:rsidR="001C19F3" w14:paraId="4C09B072" w14:textId="77777777" w:rsidTr="00521305">
        <w:trPr>
          <w:cantSplit/>
          <w:trHeight w:val="336"/>
          <w:tblHeader/>
          <w:jc w:val="center"/>
        </w:trPr>
        <w:tc>
          <w:tcPr>
            <w:tcW w:w="1199" w:type="pct"/>
            <w:vMerge/>
            <w:shd w:val="clear" w:color="auto" w:fill="003D79"/>
            <w:tcMar>
              <w:top w:w="0" w:type="dxa"/>
              <w:left w:w="0" w:type="dxa"/>
              <w:bottom w:w="0" w:type="dxa"/>
              <w:right w:w="0" w:type="dxa"/>
            </w:tcMar>
            <w:vAlign w:val="center"/>
          </w:tcPr>
          <w:p w14:paraId="121A9219" w14:textId="77777777" w:rsidR="001C19F3" w:rsidRDefault="001C19F3" w:rsidP="00521305">
            <w:pPr>
              <w:spacing w:after="0"/>
              <w:jc w:val="center"/>
            </w:pPr>
          </w:p>
        </w:tc>
        <w:tc>
          <w:tcPr>
            <w:tcW w:w="479" w:type="pct"/>
            <w:vMerge/>
            <w:shd w:val="clear" w:color="auto" w:fill="003D79"/>
            <w:tcMar>
              <w:top w:w="0" w:type="dxa"/>
              <w:left w:w="0" w:type="dxa"/>
              <w:bottom w:w="0" w:type="dxa"/>
              <w:right w:w="0" w:type="dxa"/>
            </w:tcMar>
            <w:vAlign w:val="center"/>
          </w:tcPr>
          <w:p w14:paraId="2063924A" w14:textId="77777777" w:rsidR="001C19F3" w:rsidRDefault="001C19F3" w:rsidP="00521305">
            <w:pPr>
              <w:spacing w:after="0"/>
              <w:jc w:val="center"/>
            </w:pPr>
          </w:p>
        </w:tc>
        <w:tc>
          <w:tcPr>
            <w:tcW w:w="429" w:type="pct"/>
            <w:shd w:val="clear" w:color="auto" w:fill="003D79"/>
            <w:tcMar>
              <w:top w:w="0" w:type="dxa"/>
              <w:left w:w="0" w:type="dxa"/>
              <w:bottom w:w="0" w:type="dxa"/>
              <w:right w:w="0" w:type="dxa"/>
            </w:tcMar>
            <w:vAlign w:val="center"/>
          </w:tcPr>
          <w:p w14:paraId="26EFE61E" w14:textId="77777777" w:rsidR="001C19F3" w:rsidRDefault="001C19F3" w:rsidP="00521305">
            <w:pPr>
              <w:spacing w:after="0"/>
              <w:jc w:val="center"/>
            </w:pPr>
            <w:r>
              <w:rPr>
                <w:rFonts w:cs="Century Gothic"/>
                <w:b/>
                <w:color w:val="FFFFFF"/>
                <w:sz w:val="18"/>
                <w:szCs w:val="18"/>
              </w:rPr>
              <w:t>Patient/carer</w:t>
            </w:r>
          </w:p>
        </w:tc>
        <w:tc>
          <w:tcPr>
            <w:tcW w:w="429" w:type="pct"/>
            <w:shd w:val="clear" w:color="auto" w:fill="003D79"/>
            <w:tcMar>
              <w:top w:w="0" w:type="dxa"/>
              <w:left w:w="0" w:type="dxa"/>
              <w:bottom w:w="0" w:type="dxa"/>
              <w:right w:w="0" w:type="dxa"/>
            </w:tcMar>
            <w:vAlign w:val="center"/>
          </w:tcPr>
          <w:p w14:paraId="5C5BE071" w14:textId="77777777" w:rsidR="001C19F3" w:rsidRDefault="001C19F3" w:rsidP="00521305">
            <w:pPr>
              <w:spacing w:after="0"/>
              <w:jc w:val="center"/>
            </w:pPr>
            <w:r>
              <w:rPr>
                <w:rFonts w:cs="Century Gothic"/>
                <w:b/>
                <w:color w:val="FFFFFF"/>
                <w:sz w:val="18"/>
                <w:szCs w:val="18"/>
              </w:rPr>
              <w:t>Pharmacist</w:t>
            </w:r>
          </w:p>
        </w:tc>
        <w:tc>
          <w:tcPr>
            <w:tcW w:w="429" w:type="pct"/>
            <w:shd w:val="clear" w:color="auto" w:fill="003D79"/>
            <w:tcMar>
              <w:top w:w="0" w:type="dxa"/>
              <w:left w:w="0" w:type="dxa"/>
              <w:bottom w:w="0" w:type="dxa"/>
              <w:right w:w="0" w:type="dxa"/>
            </w:tcMar>
            <w:vAlign w:val="center"/>
          </w:tcPr>
          <w:p w14:paraId="4BBE3D32" w14:textId="77777777" w:rsidR="001C19F3" w:rsidRDefault="001C19F3" w:rsidP="00521305">
            <w:pPr>
              <w:spacing w:after="0"/>
              <w:jc w:val="center"/>
            </w:pPr>
            <w:r>
              <w:rPr>
                <w:rFonts w:cs="Century Gothic"/>
                <w:b/>
                <w:color w:val="FFFFFF"/>
                <w:sz w:val="18"/>
                <w:szCs w:val="18"/>
              </w:rPr>
              <w:t>GP</w:t>
            </w:r>
          </w:p>
        </w:tc>
        <w:tc>
          <w:tcPr>
            <w:tcW w:w="430" w:type="pct"/>
            <w:shd w:val="clear" w:color="auto" w:fill="003D79"/>
            <w:tcMar>
              <w:top w:w="0" w:type="dxa"/>
              <w:left w:w="0" w:type="dxa"/>
              <w:bottom w:w="0" w:type="dxa"/>
              <w:right w:w="0" w:type="dxa"/>
            </w:tcMar>
            <w:vAlign w:val="center"/>
          </w:tcPr>
          <w:p w14:paraId="5C3E8174" w14:textId="77777777" w:rsidR="001C19F3" w:rsidRDefault="001C19F3" w:rsidP="00521305">
            <w:pPr>
              <w:spacing w:after="0"/>
              <w:jc w:val="center"/>
            </w:pPr>
            <w:r>
              <w:rPr>
                <w:rFonts w:cs="Century Gothic"/>
                <w:b/>
                <w:color w:val="FFFFFF"/>
                <w:sz w:val="18"/>
                <w:szCs w:val="18"/>
              </w:rPr>
              <w:t>Other</w:t>
            </w:r>
          </w:p>
        </w:tc>
        <w:tc>
          <w:tcPr>
            <w:tcW w:w="401" w:type="pct"/>
            <w:shd w:val="clear" w:color="auto" w:fill="003D79"/>
            <w:tcMar>
              <w:top w:w="0" w:type="dxa"/>
              <w:left w:w="0" w:type="dxa"/>
              <w:bottom w:w="0" w:type="dxa"/>
              <w:right w:w="0" w:type="dxa"/>
            </w:tcMar>
            <w:vAlign w:val="center"/>
          </w:tcPr>
          <w:p w14:paraId="64F91442" w14:textId="77777777" w:rsidR="001C19F3" w:rsidRDefault="001C19F3" w:rsidP="00521305">
            <w:pPr>
              <w:spacing w:after="0"/>
              <w:jc w:val="center"/>
            </w:pPr>
            <w:r>
              <w:rPr>
                <w:rFonts w:cs="Century Gothic"/>
                <w:b/>
                <w:color w:val="FFFFFF"/>
                <w:sz w:val="18"/>
                <w:szCs w:val="18"/>
              </w:rPr>
              <w:t>1</w:t>
            </w:r>
          </w:p>
        </w:tc>
        <w:tc>
          <w:tcPr>
            <w:tcW w:w="401" w:type="pct"/>
            <w:shd w:val="clear" w:color="auto" w:fill="003D79"/>
            <w:tcMar>
              <w:top w:w="0" w:type="dxa"/>
              <w:left w:w="0" w:type="dxa"/>
              <w:bottom w:w="0" w:type="dxa"/>
              <w:right w:w="0" w:type="dxa"/>
            </w:tcMar>
            <w:vAlign w:val="center"/>
          </w:tcPr>
          <w:p w14:paraId="428B0F01" w14:textId="77777777" w:rsidR="001C19F3" w:rsidRDefault="001C19F3" w:rsidP="00521305">
            <w:pPr>
              <w:spacing w:after="0"/>
              <w:jc w:val="center"/>
            </w:pPr>
            <w:r>
              <w:rPr>
                <w:rFonts w:cs="Century Gothic"/>
                <w:b/>
                <w:color w:val="FFFFFF"/>
                <w:sz w:val="18"/>
                <w:szCs w:val="18"/>
              </w:rPr>
              <w:t>2</w:t>
            </w:r>
          </w:p>
        </w:tc>
        <w:tc>
          <w:tcPr>
            <w:tcW w:w="401" w:type="pct"/>
            <w:shd w:val="clear" w:color="auto" w:fill="003D79"/>
            <w:tcMar>
              <w:top w:w="0" w:type="dxa"/>
              <w:left w:w="0" w:type="dxa"/>
              <w:bottom w:w="0" w:type="dxa"/>
              <w:right w:w="0" w:type="dxa"/>
            </w:tcMar>
            <w:vAlign w:val="center"/>
          </w:tcPr>
          <w:p w14:paraId="6BCB69D5" w14:textId="77777777" w:rsidR="001C19F3" w:rsidRDefault="001C19F3" w:rsidP="00521305">
            <w:pPr>
              <w:spacing w:after="0"/>
              <w:jc w:val="center"/>
            </w:pPr>
            <w:r>
              <w:rPr>
                <w:rFonts w:cs="Century Gothic"/>
                <w:b/>
                <w:color w:val="FFFFFF"/>
                <w:sz w:val="18"/>
                <w:szCs w:val="18"/>
              </w:rPr>
              <w:t>3</w:t>
            </w:r>
          </w:p>
        </w:tc>
        <w:tc>
          <w:tcPr>
            <w:tcW w:w="402" w:type="pct"/>
            <w:shd w:val="clear" w:color="auto" w:fill="003D79"/>
            <w:tcMar>
              <w:top w:w="0" w:type="dxa"/>
              <w:left w:w="0" w:type="dxa"/>
              <w:bottom w:w="0" w:type="dxa"/>
              <w:right w:w="0" w:type="dxa"/>
            </w:tcMar>
            <w:vAlign w:val="center"/>
          </w:tcPr>
          <w:p w14:paraId="75A813BA" w14:textId="77777777" w:rsidR="001C19F3" w:rsidRDefault="001C19F3" w:rsidP="00521305">
            <w:pPr>
              <w:spacing w:after="0"/>
              <w:jc w:val="center"/>
            </w:pPr>
            <w:r>
              <w:rPr>
                <w:rFonts w:cs="Century Gothic"/>
                <w:b/>
                <w:color w:val="FFFFFF"/>
                <w:sz w:val="18"/>
                <w:szCs w:val="18"/>
              </w:rPr>
              <w:t>4</w:t>
            </w:r>
          </w:p>
        </w:tc>
      </w:tr>
      <w:tr w:rsidR="001C19F3" w14:paraId="412D106E" w14:textId="77777777" w:rsidTr="00521305">
        <w:trPr>
          <w:cantSplit/>
          <w:trHeight w:val="288"/>
          <w:jc w:val="center"/>
        </w:trPr>
        <w:tc>
          <w:tcPr>
            <w:tcW w:w="1199" w:type="pct"/>
            <w:shd w:val="clear" w:color="auto" w:fill="FFFFFF"/>
            <w:tcMar>
              <w:top w:w="0" w:type="dxa"/>
              <w:left w:w="0" w:type="dxa"/>
              <w:bottom w:w="0" w:type="dxa"/>
              <w:right w:w="0" w:type="dxa"/>
            </w:tcMar>
            <w:vAlign w:val="center"/>
          </w:tcPr>
          <w:p w14:paraId="2AC2D238" w14:textId="77777777" w:rsidR="001C19F3" w:rsidRDefault="001C19F3" w:rsidP="00521305">
            <w:pPr>
              <w:spacing w:before="40" w:after="40"/>
              <w:ind w:left="40" w:right="40"/>
            </w:pPr>
            <w:r>
              <w:rPr>
                <w:rFonts w:cs="Century Gothic"/>
                <w:color w:val="000000"/>
                <w:sz w:val="18"/>
                <w:szCs w:val="18"/>
              </w:rPr>
              <w:t>Improved medication adherence</w:t>
            </w:r>
          </w:p>
        </w:tc>
        <w:tc>
          <w:tcPr>
            <w:tcW w:w="479" w:type="pct"/>
            <w:shd w:val="clear" w:color="auto" w:fill="FFFFFF"/>
            <w:tcMar>
              <w:top w:w="0" w:type="dxa"/>
              <w:left w:w="0" w:type="dxa"/>
              <w:bottom w:w="0" w:type="dxa"/>
              <w:right w:w="0" w:type="dxa"/>
            </w:tcMar>
            <w:vAlign w:val="center"/>
          </w:tcPr>
          <w:p w14:paraId="0F0768CB" w14:textId="77777777" w:rsidR="001C19F3" w:rsidRDefault="001C19F3" w:rsidP="00521305">
            <w:pPr>
              <w:spacing w:before="40" w:after="40"/>
              <w:ind w:left="40" w:right="40"/>
              <w:jc w:val="center"/>
            </w:pPr>
            <w:r>
              <w:rPr>
                <w:rFonts w:cs="Century Gothic"/>
                <w:color w:val="000000"/>
                <w:sz w:val="18"/>
                <w:szCs w:val="18"/>
              </w:rPr>
              <w:t>195 (41.7%)</w:t>
            </w:r>
          </w:p>
        </w:tc>
        <w:tc>
          <w:tcPr>
            <w:tcW w:w="429" w:type="pct"/>
            <w:shd w:val="clear" w:color="auto" w:fill="FFFFFF"/>
            <w:tcMar>
              <w:top w:w="0" w:type="dxa"/>
              <w:left w:w="0" w:type="dxa"/>
              <w:bottom w:w="0" w:type="dxa"/>
              <w:right w:w="0" w:type="dxa"/>
            </w:tcMar>
            <w:vAlign w:val="center"/>
          </w:tcPr>
          <w:p w14:paraId="2A4BDAEF" w14:textId="77777777" w:rsidR="001C19F3" w:rsidRDefault="001C19F3" w:rsidP="00521305">
            <w:pPr>
              <w:spacing w:before="40" w:after="40"/>
              <w:ind w:left="40" w:right="40"/>
              <w:jc w:val="center"/>
            </w:pPr>
            <w:r>
              <w:rPr>
                <w:rFonts w:cs="Century Gothic"/>
                <w:color w:val="000000"/>
                <w:sz w:val="18"/>
                <w:szCs w:val="18"/>
              </w:rPr>
              <w:t>123 (63.1%)</w:t>
            </w:r>
          </w:p>
        </w:tc>
        <w:tc>
          <w:tcPr>
            <w:tcW w:w="429" w:type="pct"/>
            <w:shd w:val="clear" w:color="auto" w:fill="FFFFFF"/>
            <w:tcMar>
              <w:top w:w="0" w:type="dxa"/>
              <w:left w:w="0" w:type="dxa"/>
              <w:bottom w:w="0" w:type="dxa"/>
              <w:right w:w="0" w:type="dxa"/>
            </w:tcMar>
            <w:vAlign w:val="center"/>
          </w:tcPr>
          <w:p w14:paraId="3B1ADC97" w14:textId="77777777" w:rsidR="001C19F3" w:rsidRDefault="001C19F3" w:rsidP="00521305">
            <w:pPr>
              <w:spacing w:before="40" w:after="40"/>
              <w:ind w:left="40" w:right="40"/>
              <w:jc w:val="center"/>
            </w:pPr>
            <w:r>
              <w:rPr>
                <w:rFonts w:cs="Century Gothic"/>
                <w:color w:val="000000"/>
                <w:sz w:val="18"/>
                <w:szCs w:val="18"/>
              </w:rPr>
              <w:t>172 (88.2%)</w:t>
            </w:r>
          </w:p>
        </w:tc>
        <w:tc>
          <w:tcPr>
            <w:tcW w:w="429" w:type="pct"/>
            <w:shd w:val="clear" w:color="auto" w:fill="FFFFFF"/>
            <w:tcMar>
              <w:top w:w="0" w:type="dxa"/>
              <w:left w:w="0" w:type="dxa"/>
              <w:bottom w:w="0" w:type="dxa"/>
              <w:right w:w="0" w:type="dxa"/>
            </w:tcMar>
            <w:vAlign w:val="center"/>
          </w:tcPr>
          <w:p w14:paraId="108D5790" w14:textId="77777777" w:rsidR="001C19F3" w:rsidRDefault="001C19F3" w:rsidP="00521305">
            <w:pPr>
              <w:spacing w:before="40" w:after="40"/>
              <w:ind w:left="40" w:right="40"/>
              <w:jc w:val="center"/>
            </w:pPr>
            <w:r>
              <w:rPr>
                <w:rFonts w:cs="Century Gothic"/>
                <w:color w:val="000000"/>
                <w:sz w:val="18"/>
                <w:szCs w:val="18"/>
              </w:rPr>
              <w:t>23 (11.8%)</w:t>
            </w:r>
          </w:p>
        </w:tc>
        <w:tc>
          <w:tcPr>
            <w:tcW w:w="430" w:type="pct"/>
            <w:shd w:val="clear" w:color="auto" w:fill="FFFFFF"/>
            <w:tcMar>
              <w:top w:w="0" w:type="dxa"/>
              <w:left w:w="0" w:type="dxa"/>
              <w:bottom w:w="0" w:type="dxa"/>
              <w:right w:w="0" w:type="dxa"/>
            </w:tcMar>
            <w:vAlign w:val="center"/>
          </w:tcPr>
          <w:p w14:paraId="1964E676" w14:textId="77777777" w:rsidR="001C19F3" w:rsidRDefault="001C19F3" w:rsidP="00521305">
            <w:pPr>
              <w:spacing w:before="40" w:after="40"/>
              <w:ind w:left="40" w:right="40"/>
              <w:jc w:val="center"/>
            </w:pPr>
            <w:r>
              <w:rPr>
                <w:rFonts w:cs="Century Gothic"/>
                <w:color w:val="000000"/>
                <w:sz w:val="18"/>
                <w:szCs w:val="18"/>
              </w:rPr>
              <w:t>5 (2.6%)</w:t>
            </w:r>
          </w:p>
        </w:tc>
        <w:tc>
          <w:tcPr>
            <w:tcW w:w="401" w:type="pct"/>
            <w:shd w:val="clear" w:color="auto" w:fill="FFFFFF"/>
            <w:tcMar>
              <w:top w:w="0" w:type="dxa"/>
              <w:left w:w="0" w:type="dxa"/>
              <w:bottom w:w="0" w:type="dxa"/>
              <w:right w:w="0" w:type="dxa"/>
            </w:tcMar>
            <w:vAlign w:val="center"/>
          </w:tcPr>
          <w:p w14:paraId="4EEA0AB8" w14:textId="77777777" w:rsidR="001C19F3" w:rsidRDefault="001C19F3" w:rsidP="00521305">
            <w:pPr>
              <w:spacing w:before="40" w:after="40"/>
              <w:ind w:left="40" w:right="40"/>
              <w:jc w:val="center"/>
            </w:pPr>
            <w:r>
              <w:rPr>
                <w:rFonts w:cs="Century Gothic"/>
                <w:color w:val="000000"/>
                <w:sz w:val="18"/>
                <w:szCs w:val="18"/>
              </w:rPr>
              <w:t>88 (45.1%)</w:t>
            </w:r>
          </w:p>
        </w:tc>
        <w:tc>
          <w:tcPr>
            <w:tcW w:w="401" w:type="pct"/>
            <w:shd w:val="clear" w:color="auto" w:fill="FFFFFF"/>
            <w:tcMar>
              <w:top w:w="0" w:type="dxa"/>
              <w:left w:w="0" w:type="dxa"/>
              <w:bottom w:w="0" w:type="dxa"/>
              <w:right w:w="0" w:type="dxa"/>
            </w:tcMar>
            <w:vAlign w:val="center"/>
          </w:tcPr>
          <w:p w14:paraId="03AA041F" w14:textId="77777777" w:rsidR="001C19F3" w:rsidRDefault="001C19F3" w:rsidP="00521305">
            <w:pPr>
              <w:spacing w:before="40" w:after="40"/>
              <w:ind w:left="40" w:right="40"/>
              <w:jc w:val="center"/>
            </w:pPr>
            <w:r>
              <w:rPr>
                <w:rFonts w:cs="Century Gothic"/>
                <w:color w:val="000000"/>
                <w:sz w:val="18"/>
                <w:szCs w:val="18"/>
              </w:rPr>
              <w:t>84 (43.1%)</w:t>
            </w:r>
          </w:p>
        </w:tc>
        <w:tc>
          <w:tcPr>
            <w:tcW w:w="401" w:type="pct"/>
            <w:shd w:val="clear" w:color="auto" w:fill="FFFFFF"/>
            <w:tcMar>
              <w:top w:w="0" w:type="dxa"/>
              <w:left w:w="0" w:type="dxa"/>
              <w:bottom w:w="0" w:type="dxa"/>
              <w:right w:w="0" w:type="dxa"/>
            </w:tcMar>
            <w:vAlign w:val="center"/>
          </w:tcPr>
          <w:p w14:paraId="2C6CD37C" w14:textId="77777777" w:rsidR="001C19F3" w:rsidRDefault="001C19F3" w:rsidP="00521305">
            <w:pPr>
              <w:spacing w:before="40" w:after="40"/>
              <w:ind w:left="40" w:right="40"/>
              <w:jc w:val="center"/>
            </w:pPr>
            <w:r>
              <w:rPr>
                <w:rFonts w:cs="Century Gothic"/>
                <w:color w:val="000000"/>
                <w:sz w:val="18"/>
                <w:szCs w:val="18"/>
              </w:rPr>
              <w:t>21 (10.8%)</w:t>
            </w:r>
          </w:p>
        </w:tc>
        <w:tc>
          <w:tcPr>
            <w:tcW w:w="402" w:type="pct"/>
            <w:shd w:val="clear" w:color="auto" w:fill="FFFFFF"/>
            <w:tcMar>
              <w:top w:w="0" w:type="dxa"/>
              <w:left w:w="0" w:type="dxa"/>
              <w:bottom w:w="0" w:type="dxa"/>
              <w:right w:w="0" w:type="dxa"/>
            </w:tcMar>
            <w:vAlign w:val="center"/>
          </w:tcPr>
          <w:p w14:paraId="65F9F4B1" w14:textId="77777777" w:rsidR="001C19F3" w:rsidRDefault="001C19F3" w:rsidP="00521305">
            <w:pPr>
              <w:spacing w:before="40" w:after="40"/>
              <w:ind w:left="40" w:right="40"/>
              <w:jc w:val="center"/>
            </w:pPr>
            <w:r>
              <w:rPr>
                <w:rFonts w:cs="Century Gothic"/>
                <w:color w:val="000000"/>
                <w:sz w:val="18"/>
                <w:szCs w:val="18"/>
              </w:rPr>
              <w:t>1 (0.5%)</w:t>
            </w:r>
          </w:p>
        </w:tc>
      </w:tr>
      <w:tr w:rsidR="001C19F3" w14:paraId="415ED689" w14:textId="77777777" w:rsidTr="00521305">
        <w:trPr>
          <w:cantSplit/>
          <w:trHeight w:val="288"/>
          <w:jc w:val="center"/>
        </w:trPr>
        <w:tc>
          <w:tcPr>
            <w:tcW w:w="1199" w:type="pct"/>
            <w:shd w:val="clear" w:color="auto" w:fill="FFFFFF"/>
            <w:tcMar>
              <w:top w:w="0" w:type="dxa"/>
              <w:left w:w="0" w:type="dxa"/>
              <w:bottom w:w="0" w:type="dxa"/>
              <w:right w:w="0" w:type="dxa"/>
            </w:tcMar>
            <w:vAlign w:val="center"/>
          </w:tcPr>
          <w:p w14:paraId="78DC158A" w14:textId="77777777" w:rsidR="001C19F3" w:rsidRDefault="001C19F3" w:rsidP="00521305">
            <w:pPr>
              <w:spacing w:before="40" w:after="40"/>
              <w:ind w:left="40" w:right="40"/>
            </w:pPr>
            <w:r>
              <w:rPr>
                <w:rFonts w:cs="Century Gothic"/>
                <w:color w:val="000000"/>
                <w:sz w:val="18"/>
                <w:szCs w:val="18"/>
              </w:rPr>
              <w:t>Improved patient knowledge about their medicines leading to improved medication use and disease self-management</w:t>
            </w:r>
          </w:p>
        </w:tc>
        <w:tc>
          <w:tcPr>
            <w:tcW w:w="479" w:type="pct"/>
            <w:shd w:val="clear" w:color="auto" w:fill="FFFFFF"/>
            <w:tcMar>
              <w:top w:w="0" w:type="dxa"/>
              <w:left w:w="0" w:type="dxa"/>
              <w:bottom w:w="0" w:type="dxa"/>
              <w:right w:w="0" w:type="dxa"/>
            </w:tcMar>
            <w:vAlign w:val="center"/>
          </w:tcPr>
          <w:p w14:paraId="2E333736" w14:textId="77777777" w:rsidR="001C19F3" w:rsidRDefault="001C19F3" w:rsidP="00521305">
            <w:pPr>
              <w:spacing w:before="40" w:after="40"/>
              <w:ind w:left="40" w:right="40"/>
              <w:jc w:val="center"/>
            </w:pPr>
            <w:r>
              <w:rPr>
                <w:rFonts w:cs="Century Gothic"/>
                <w:color w:val="000000"/>
                <w:sz w:val="18"/>
                <w:szCs w:val="18"/>
              </w:rPr>
              <w:t>238 (50.9%)</w:t>
            </w:r>
          </w:p>
        </w:tc>
        <w:tc>
          <w:tcPr>
            <w:tcW w:w="429" w:type="pct"/>
            <w:shd w:val="clear" w:color="auto" w:fill="FFFFFF"/>
            <w:tcMar>
              <w:top w:w="0" w:type="dxa"/>
              <w:left w:w="0" w:type="dxa"/>
              <w:bottom w:w="0" w:type="dxa"/>
              <w:right w:w="0" w:type="dxa"/>
            </w:tcMar>
            <w:vAlign w:val="center"/>
          </w:tcPr>
          <w:p w14:paraId="7DD9D1A1" w14:textId="77777777" w:rsidR="001C19F3" w:rsidRDefault="001C19F3" w:rsidP="00521305">
            <w:pPr>
              <w:spacing w:before="40" w:after="40"/>
              <w:ind w:left="40" w:right="40"/>
              <w:jc w:val="center"/>
            </w:pPr>
            <w:r>
              <w:rPr>
                <w:rFonts w:cs="Century Gothic"/>
                <w:color w:val="000000"/>
                <w:sz w:val="18"/>
                <w:szCs w:val="18"/>
              </w:rPr>
              <w:t>164 (68.9%)</w:t>
            </w:r>
          </w:p>
        </w:tc>
        <w:tc>
          <w:tcPr>
            <w:tcW w:w="429" w:type="pct"/>
            <w:shd w:val="clear" w:color="auto" w:fill="FFFFFF"/>
            <w:tcMar>
              <w:top w:w="0" w:type="dxa"/>
              <w:left w:w="0" w:type="dxa"/>
              <w:bottom w:w="0" w:type="dxa"/>
              <w:right w:w="0" w:type="dxa"/>
            </w:tcMar>
            <w:vAlign w:val="center"/>
          </w:tcPr>
          <w:p w14:paraId="284C047A" w14:textId="77777777" w:rsidR="001C19F3" w:rsidRDefault="001C19F3" w:rsidP="00521305">
            <w:pPr>
              <w:spacing w:before="40" w:after="40"/>
              <w:ind w:left="40" w:right="40"/>
              <w:jc w:val="center"/>
            </w:pPr>
            <w:r>
              <w:rPr>
                <w:rFonts w:cs="Century Gothic"/>
                <w:color w:val="000000"/>
                <w:sz w:val="18"/>
                <w:szCs w:val="18"/>
              </w:rPr>
              <w:t>207 (87.0%)</w:t>
            </w:r>
          </w:p>
        </w:tc>
        <w:tc>
          <w:tcPr>
            <w:tcW w:w="429" w:type="pct"/>
            <w:shd w:val="clear" w:color="auto" w:fill="FFFFFF"/>
            <w:tcMar>
              <w:top w:w="0" w:type="dxa"/>
              <w:left w:w="0" w:type="dxa"/>
              <w:bottom w:w="0" w:type="dxa"/>
              <w:right w:w="0" w:type="dxa"/>
            </w:tcMar>
            <w:vAlign w:val="center"/>
          </w:tcPr>
          <w:p w14:paraId="075480E2" w14:textId="77777777" w:rsidR="001C19F3" w:rsidRDefault="001C19F3" w:rsidP="00521305">
            <w:pPr>
              <w:spacing w:before="40" w:after="40"/>
              <w:ind w:left="40" w:right="40"/>
              <w:jc w:val="center"/>
            </w:pPr>
            <w:r>
              <w:rPr>
                <w:rFonts w:cs="Century Gothic"/>
                <w:color w:val="000000"/>
                <w:sz w:val="18"/>
                <w:szCs w:val="18"/>
              </w:rPr>
              <w:t>79 (33.2%)</w:t>
            </w:r>
          </w:p>
        </w:tc>
        <w:tc>
          <w:tcPr>
            <w:tcW w:w="430" w:type="pct"/>
            <w:shd w:val="clear" w:color="auto" w:fill="FFFFFF"/>
            <w:tcMar>
              <w:top w:w="0" w:type="dxa"/>
              <w:left w:w="0" w:type="dxa"/>
              <w:bottom w:w="0" w:type="dxa"/>
              <w:right w:w="0" w:type="dxa"/>
            </w:tcMar>
            <w:vAlign w:val="center"/>
          </w:tcPr>
          <w:p w14:paraId="4FE1194B" w14:textId="77777777" w:rsidR="001C19F3" w:rsidRDefault="001C19F3" w:rsidP="00521305">
            <w:pPr>
              <w:spacing w:before="40" w:after="40"/>
              <w:ind w:left="40" w:right="40"/>
              <w:jc w:val="center"/>
            </w:pPr>
            <w:r>
              <w:rPr>
                <w:rFonts w:cs="Century Gothic"/>
                <w:color w:val="000000"/>
                <w:sz w:val="18"/>
                <w:szCs w:val="18"/>
              </w:rPr>
              <w:t>3 (1.3%)</w:t>
            </w:r>
          </w:p>
        </w:tc>
        <w:tc>
          <w:tcPr>
            <w:tcW w:w="401" w:type="pct"/>
            <w:shd w:val="clear" w:color="auto" w:fill="FFFFFF"/>
            <w:tcMar>
              <w:top w:w="0" w:type="dxa"/>
              <w:left w:w="0" w:type="dxa"/>
              <w:bottom w:w="0" w:type="dxa"/>
              <w:right w:w="0" w:type="dxa"/>
            </w:tcMar>
            <w:vAlign w:val="center"/>
          </w:tcPr>
          <w:p w14:paraId="09943F1F" w14:textId="77777777" w:rsidR="001C19F3" w:rsidRDefault="001C19F3" w:rsidP="00521305">
            <w:pPr>
              <w:spacing w:before="40" w:after="40"/>
              <w:ind w:left="40" w:right="40"/>
              <w:jc w:val="center"/>
            </w:pPr>
            <w:r>
              <w:rPr>
                <w:rFonts w:cs="Century Gothic"/>
                <w:color w:val="000000"/>
                <w:sz w:val="18"/>
                <w:szCs w:val="18"/>
              </w:rPr>
              <w:t>96 (40.3%)</w:t>
            </w:r>
          </w:p>
        </w:tc>
        <w:tc>
          <w:tcPr>
            <w:tcW w:w="401" w:type="pct"/>
            <w:shd w:val="clear" w:color="auto" w:fill="FFFFFF"/>
            <w:tcMar>
              <w:top w:w="0" w:type="dxa"/>
              <w:left w:w="0" w:type="dxa"/>
              <w:bottom w:w="0" w:type="dxa"/>
              <w:right w:w="0" w:type="dxa"/>
            </w:tcMar>
            <w:vAlign w:val="center"/>
          </w:tcPr>
          <w:p w14:paraId="174638D1" w14:textId="77777777" w:rsidR="001C19F3" w:rsidRDefault="001C19F3" w:rsidP="00521305">
            <w:pPr>
              <w:spacing w:before="40" w:after="40"/>
              <w:ind w:left="40" w:right="40"/>
              <w:jc w:val="center"/>
            </w:pPr>
            <w:r>
              <w:rPr>
                <w:rFonts w:cs="Century Gothic"/>
                <w:color w:val="000000"/>
                <w:sz w:val="18"/>
                <w:szCs w:val="18"/>
              </w:rPr>
              <w:t>72 (30.3%)</w:t>
            </w:r>
          </w:p>
        </w:tc>
        <w:tc>
          <w:tcPr>
            <w:tcW w:w="401" w:type="pct"/>
            <w:shd w:val="clear" w:color="auto" w:fill="FFFFFF"/>
            <w:tcMar>
              <w:top w:w="0" w:type="dxa"/>
              <w:left w:w="0" w:type="dxa"/>
              <w:bottom w:w="0" w:type="dxa"/>
              <w:right w:w="0" w:type="dxa"/>
            </w:tcMar>
            <w:vAlign w:val="center"/>
          </w:tcPr>
          <w:p w14:paraId="7BFE785F" w14:textId="77777777" w:rsidR="001C19F3" w:rsidRDefault="001C19F3" w:rsidP="00521305">
            <w:pPr>
              <w:spacing w:before="40" w:after="40"/>
              <w:ind w:left="40" w:right="40"/>
              <w:jc w:val="center"/>
            </w:pPr>
            <w:r>
              <w:rPr>
                <w:rFonts w:cs="Century Gothic"/>
                <w:color w:val="000000"/>
                <w:sz w:val="18"/>
                <w:szCs w:val="18"/>
              </w:rPr>
              <w:t>67 (28.2%)</w:t>
            </w:r>
          </w:p>
        </w:tc>
        <w:tc>
          <w:tcPr>
            <w:tcW w:w="402" w:type="pct"/>
            <w:shd w:val="clear" w:color="auto" w:fill="FFFFFF"/>
            <w:tcMar>
              <w:top w:w="0" w:type="dxa"/>
              <w:left w:w="0" w:type="dxa"/>
              <w:bottom w:w="0" w:type="dxa"/>
              <w:right w:w="0" w:type="dxa"/>
            </w:tcMar>
            <w:vAlign w:val="center"/>
          </w:tcPr>
          <w:p w14:paraId="6C5CDB88" w14:textId="77777777" w:rsidR="001C19F3" w:rsidRDefault="001C19F3" w:rsidP="00521305">
            <w:pPr>
              <w:spacing w:before="40" w:after="40"/>
              <w:ind w:left="40" w:right="40"/>
              <w:jc w:val="center"/>
            </w:pPr>
            <w:r>
              <w:rPr>
                <w:rFonts w:cs="Century Gothic"/>
                <w:color w:val="000000"/>
                <w:sz w:val="18"/>
                <w:szCs w:val="18"/>
              </w:rPr>
              <w:t>3 (1.3%)</w:t>
            </w:r>
          </w:p>
        </w:tc>
      </w:tr>
      <w:tr w:rsidR="001C19F3" w14:paraId="0654111B" w14:textId="77777777" w:rsidTr="00521305">
        <w:trPr>
          <w:cantSplit/>
          <w:trHeight w:val="288"/>
          <w:jc w:val="center"/>
        </w:trPr>
        <w:tc>
          <w:tcPr>
            <w:tcW w:w="1199" w:type="pct"/>
            <w:shd w:val="clear" w:color="auto" w:fill="FFFFFF"/>
            <w:tcMar>
              <w:top w:w="0" w:type="dxa"/>
              <w:left w:w="0" w:type="dxa"/>
              <w:bottom w:w="0" w:type="dxa"/>
              <w:right w:w="0" w:type="dxa"/>
            </w:tcMar>
            <w:vAlign w:val="center"/>
          </w:tcPr>
          <w:p w14:paraId="6E590F6C" w14:textId="77777777" w:rsidR="001C19F3" w:rsidRDefault="001C19F3" w:rsidP="00521305">
            <w:pPr>
              <w:spacing w:before="40" w:after="40"/>
              <w:ind w:left="40" w:right="40"/>
            </w:pPr>
            <w:r>
              <w:rPr>
                <w:rFonts w:cs="Century Gothic"/>
                <w:color w:val="000000"/>
                <w:sz w:val="18"/>
                <w:szCs w:val="18"/>
              </w:rPr>
              <w:lastRenderedPageBreak/>
              <w:t>Improved technique/usage of medication devices</w:t>
            </w:r>
          </w:p>
        </w:tc>
        <w:tc>
          <w:tcPr>
            <w:tcW w:w="479" w:type="pct"/>
            <w:shd w:val="clear" w:color="auto" w:fill="FFFFFF"/>
            <w:tcMar>
              <w:top w:w="0" w:type="dxa"/>
              <w:left w:w="0" w:type="dxa"/>
              <w:bottom w:w="0" w:type="dxa"/>
              <w:right w:w="0" w:type="dxa"/>
            </w:tcMar>
            <w:vAlign w:val="center"/>
          </w:tcPr>
          <w:p w14:paraId="69B19147" w14:textId="77777777" w:rsidR="001C19F3" w:rsidRDefault="001C19F3" w:rsidP="00521305">
            <w:pPr>
              <w:spacing w:before="40" w:after="40"/>
              <w:ind w:left="40" w:right="40"/>
              <w:jc w:val="center"/>
            </w:pPr>
            <w:r>
              <w:rPr>
                <w:rFonts w:cs="Century Gothic"/>
                <w:color w:val="000000"/>
                <w:sz w:val="18"/>
                <w:szCs w:val="18"/>
              </w:rPr>
              <w:t>69 (14.7%)</w:t>
            </w:r>
          </w:p>
        </w:tc>
        <w:tc>
          <w:tcPr>
            <w:tcW w:w="429" w:type="pct"/>
            <w:shd w:val="clear" w:color="auto" w:fill="FFFFFF"/>
            <w:tcMar>
              <w:top w:w="0" w:type="dxa"/>
              <w:left w:w="0" w:type="dxa"/>
              <w:bottom w:w="0" w:type="dxa"/>
              <w:right w:w="0" w:type="dxa"/>
            </w:tcMar>
            <w:vAlign w:val="center"/>
          </w:tcPr>
          <w:p w14:paraId="5C1F3220" w14:textId="77777777" w:rsidR="001C19F3" w:rsidRDefault="001C19F3" w:rsidP="00521305">
            <w:pPr>
              <w:spacing w:before="40" w:after="40"/>
              <w:ind w:left="40" w:right="40"/>
              <w:jc w:val="center"/>
            </w:pPr>
            <w:r>
              <w:rPr>
                <w:rFonts w:cs="Century Gothic"/>
                <w:color w:val="000000"/>
                <w:sz w:val="18"/>
                <w:szCs w:val="18"/>
              </w:rPr>
              <w:t>57 (82.6%)</w:t>
            </w:r>
          </w:p>
        </w:tc>
        <w:tc>
          <w:tcPr>
            <w:tcW w:w="429" w:type="pct"/>
            <w:shd w:val="clear" w:color="auto" w:fill="FFFFFF"/>
            <w:tcMar>
              <w:top w:w="0" w:type="dxa"/>
              <w:left w:w="0" w:type="dxa"/>
              <w:bottom w:w="0" w:type="dxa"/>
              <w:right w:w="0" w:type="dxa"/>
            </w:tcMar>
            <w:vAlign w:val="center"/>
          </w:tcPr>
          <w:p w14:paraId="33D2CD98" w14:textId="77777777" w:rsidR="001C19F3" w:rsidRDefault="001C19F3" w:rsidP="00521305">
            <w:pPr>
              <w:spacing w:before="40" w:after="40"/>
              <w:ind w:left="40" w:right="40"/>
              <w:jc w:val="center"/>
            </w:pPr>
            <w:r>
              <w:rPr>
                <w:rFonts w:cs="Century Gothic"/>
                <w:color w:val="000000"/>
                <w:sz w:val="18"/>
                <w:szCs w:val="18"/>
              </w:rPr>
              <w:t>55 (79.7%)</w:t>
            </w:r>
          </w:p>
        </w:tc>
        <w:tc>
          <w:tcPr>
            <w:tcW w:w="429" w:type="pct"/>
            <w:shd w:val="clear" w:color="auto" w:fill="FFFFFF"/>
            <w:tcMar>
              <w:top w:w="0" w:type="dxa"/>
              <w:left w:w="0" w:type="dxa"/>
              <w:bottom w:w="0" w:type="dxa"/>
              <w:right w:w="0" w:type="dxa"/>
            </w:tcMar>
            <w:vAlign w:val="center"/>
          </w:tcPr>
          <w:p w14:paraId="3925FD23" w14:textId="77777777" w:rsidR="001C19F3" w:rsidRDefault="001C19F3" w:rsidP="00521305">
            <w:pPr>
              <w:spacing w:before="40" w:after="40"/>
              <w:ind w:left="40" w:right="40"/>
              <w:jc w:val="center"/>
            </w:pPr>
            <w:r>
              <w:rPr>
                <w:rFonts w:cs="Century Gothic"/>
                <w:color w:val="000000"/>
                <w:sz w:val="18"/>
                <w:szCs w:val="18"/>
              </w:rPr>
              <w:t>12 (17.4%)</w:t>
            </w:r>
          </w:p>
        </w:tc>
        <w:tc>
          <w:tcPr>
            <w:tcW w:w="430" w:type="pct"/>
            <w:shd w:val="clear" w:color="auto" w:fill="FFFFFF"/>
            <w:tcMar>
              <w:top w:w="0" w:type="dxa"/>
              <w:left w:w="0" w:type="dxa"/>
              <w:bottom w:w="0" w:type="dxa"/>
              <w:right w:w="0" w:type="dxa"/>
            </w:tcMar>
            <w:vAlign w:val="center"/>
          </w:tcPr>
          <w:p w14:paraId="016CF50C" w14:textId="77777777" w:rsidR="001C19F3" w:rsidRDefault="001C19F3" w:rsidP="00521305">
            <w:pPr>
              <w:spacing w:before="40" w:after="40"/>
              <w:ind w:left="40" w:right="40"/>
              <w:jc w:val="center"/>
            </w:pPr>
            <w:r>
              <w:rPr>
                <w:rFonts w:cs="Century Gothic"/>
                <w:color w:val="000000"/>
                <w:sz w:val="18"/>
                <w:szCs w:val="18"/>
              </w:rPr>
              <w:t>0 (0.0%)</w:t>
            </w:r>
          </w:p>
        </w:tc>
        <w:tc>
          <w:tcPr>
            <w:tcW w:w="401" w:type="pct"/>
            <w:shd w:val="clear" w:color="auto" w:fill="FFFFFF"/>
            <w:tcMar>
              <w:top w:w="0" w:type="dxa"/>
              <w:left w:w="0" w:type="dxa"/>
              <w:bottom w:w="0" w:type="dxa"/>
              <w:right w:w="0" w:type="dxa"/>
            </w:tcMar>
            <w:vAlign w:val="center"/>
          </w:tcPr>
          <w:p w14:paraId="4C016BDB" w14:textId="77777777" w:rsidR="001C19F3" w:rsidRDefault="001C19F3" w:rsidP="00521305">
            <w:pPr>
              <w:spacing w:before="40" w:after="40"/>
              <w:ind w:left="40" w:right="40"/>
              <w:jc w:val="center"/>
            </w:pPr>
            <w:r>
              <w:rPr>
                <w:rFonts w:cs="Century Gothic"/>
                <w:color w:val="000000"/>
                <w:sz w:val="18"/>
                <w:szCs w:val="18"/>
              </w:rPr>
              <w:t>23 (33.3%)</w:t>
            </w:r>
          </w:p>
        </w:tc>
        <w:tc>
          <w:tcPr>
            <w:tcW w:w="401" w:type="pct"/>
            <w:shd w:val="clear" w:color="auto" w:fill="FFFFFF"/>
            <w:tcMar>
              <w:top w:w="0" w:type="dxa"/>
              <w:left w:w="0" w:type="dxa"/>
              <w:bottom w:w="0" w:type="dxa"/>
              <w:right w:w="0" w:type="dxa"/>
            </w:tcMar>
            <w:vAlign w:val="center"/>
          </w:tcPr>
          <w:p w14:paraId="6D9387A0" w14:textId="77777777" w:rsidR="001C19F3" w:rsidRDefault="001C19F3" w:rsidP="00521305">
            <w:pPr>
              <w:spacing w:before="40" w:after="40"/>
              <w:ind w:left="40" w:right="40"/>
              <w:jc w:val="center"/>
            </w:pPr>
            <w:r>
              <w:rPr>
                <w:rFonts w:cs="Century Gothic"/>
                <w:color w:val="000000"/>
                <w:sz w:val="18"/>
                <w:szCs w:val="18"/>
              </w:rPr>
              <w:t>37 (53.6%)</w:t>
            </w:r>
          </w:p>
        </w:tc>
        <w:tc>
          <w:tcPr>
            <w:tcW w:w="401" w:type="pct"/>
            <w:shd w:val="clear" w:color="auto" w:fill="FFFFFF"/>
            <w:tcMar>
              <w:top w:w="0" w:type="dxa"/>
              <w:left w:w="0" w:type="dxa"/>
              <w:bottom w:w="0" w:type="dxa"/>
              <w:right w:w="0" w:type="dxa"/>
            </w:tcMar>
            <w:vAlign w:val="center"/>
          </w:tcPr>
          <w:p w14:paraId="4FC6ECFA" w14:textId="77777777" w:rsidR="001C19F3" w:rsidRDefault="001C19F3" w:rsidP="00521305">
            <w:pPr>
              <w:spacing w:before="40" w:after="40"/>
              <w:ind w:left="40" w:right="40"/>
              <w:jc w:val="center"/>
            </w:pPr>
            <w:r>
              <w:rPr>
                <w:rFonts w:cs="Century Gothic"/>
                <w:color w:val="000000"/>
                <w:sz w:val="18"/>
                <w:szCs w:val="18"/>
              </w:rPr>
              <w:t>9 (13.0%)</w:t>
            </w:r>
          </w:p>
        </w:tc>
        <w:tc>
          <w:tcPr>
            <w:tcW w:w="402" w:type="pct"/>
            <w:shd w:val="clear" w:color="auto" w:fill="FFFFFF"/>
            <w:tcMar>
              <w:top w:w="0" w:type="dxa"/>
              <w:left w:w="0" w:type="dxa"/>
              <w:bottom w:w="0" w:type="dxa"/>
              <w:right w:w="0" w:type="dxa"/>
            </w:tcMar>
            <w:vAlign w:val="center"/>
          </w:tcPr>
          <w:p w14:paraId="1D7E035F" w14:textId="77777777" w:rsidR="001C19F3" w:rsidRDefault="001C19F3" w:rsidP="00521305">
            <w:pPr>
              <w:spacing w:before="40" w:after="40"/>
              <w:ind w:left="40" w:right="40"/>
              <w:jc w:val="center"/>
            </w:pPr>
            <w:r>
              <w:rPr>
                <w:rFonts w:cs="Century Gothic"/>
                <w:color w:val="000000"/>
                <w:sz w:val="18"/>
                <w:szCs w:val="18"/>
              </w:rPr>
              <w:t>0 (0.0%)</w:t>
            </w:r>
          </w:p>
        </w:tc>
      </w:tr>
      <w:tr w:rsidR="001C19F3" w14:paraId="7E9FEF34" w14:textId="77777777" w:rsidTr="00521305">
        <w:trPr>
          <w:cantSplit/>
          <w:trHeight w:val="288"/>
          <w:jc w:val="center"/>
        </w:trPr>
        <w:tc>
          <w:tcPr>
            <w:tcW w:w="1199" w:type="pct"/>
            <w:shd w:val="clear" w:color="auto" w:fill="FFFFFF"/>
            <w:tcMar>
              <w:top w:w="0" w:type="dxa"/>
              <w:left w:w="0" w:type="dxa"/>
              <w:bottom w:w="0" w:type="dxa"/>
              <w:right w:w="0" w:type="dxa"/>
            </w:tcMar>
            <w:vAlign w:val="center"/>
          </w:tcPr>
          <w:p w14:paraId="6220F81F" w14:textId="77777777" w:rsidR="001C19F3" w:rsidRDefault="001C19F3" w:rsidP="00521305">
            <w:pPr>
              <w:spacing w:before="40" w:after="40"/>
              <w:ind w:left="40" w:right="40"/>
            </w:pPr>
            <w:r>
              <w:rPr>
                <w:rFonts w:cs="Century Gothic"/>
                <w:color w:val="000000"/>
                <w:sz w:val="18"/>
                <w:szCs w:val="18"/>
              </w:rPr>
              <w:t>Optimise the medication dose and/or number or type of medicines</w:t>
            </w:r>
          </w:p>
        </w:tc>
        <w:tc>
          <w:tcPr>
            <w:tcW w:w="479" w:type="pct"/>
            <w:shd w:val="clear" w:color="auto" w:fill="FFFFFF"/>
            <w:tcMar>
              <w:top w:w="0" w:type="dxa"/>
              <w:left w:w="0" w:type="dxa"/>
              <w:bottom w:w="0" w:type="dxa"/>
              <w:right w:w="0" w:type="dxa"/>
            </w:tcMar>
            <w:vAlign w:val="center"/>
          </w:tcPr>
          <w:p w14:paraId="25DBA9C3" w14:textId="77777777" w:rsidR="001C19F3" w:rsidRDefault="001C19F3" w:rsidP="00521305">
            <w:pPr>
              <w:spacing w:before="40" w:after="40"/>
              <w:ind w:left="40" w:right="40"/>
              <w:jc w:val="center"/>
            </w:pPr>
            <w:r>
              <w:rPr>
                <w:rFonts w:cs="Century Gothic"/>
                <w:color w:val="000000"/>
                <w:sz w:val="18"/>
                <w:szCs w:val="18"/>
              </w:rPr>
              <w:t>83 (17.7%)</w:t>
            </w:r>
          </w:p>
        </w:tc>
        <w:tc>
          <w:tcPr>
            <w:tcW w:w="429" w:type="pct"/>
            <w:shd w:val="clear" w:color="auto" w:fill="FFFFFF"/>
            <w:tcMar>
              <w:top w:w="0" w:type="dxa"/>
              <w:left w:w="0" w:type="dxa"/>
              <w:bottom w:w="0" w:type="dxa"/>
              <w:right w:w="0" w:type="dxa"/>
            </w:tcMar>
            <w:vAlign w:val="center"/>
          </w:tcPr>
          <w:p w14:paraId="770C51E9" w14:textId="77777777" w:rsidR="001C19F3" w:rsidRDefault="001C19F3" w:rsidP="00521305">
            <w:pPr>
              <w:spacing w:before="40" w:after="40"/>
              <w:ind w:left="40" w:right="40"/>
              <w:jc w:val="center"/>
            </w:pPr>
            <w:r>
              <w:rPr>
                <w:rFonts w:cs="Century Gothic"/>
                <w:color w:val="000000"/>
                <w:sz w:val="18"/>
                <w:szCs w:val="18"/>
              </w:rPr>
              <w:t>54 (65.1%)</w:t>
            </w:r>
          </w:p>
        </w:tc>
        <w:tc>
          <w:tcPr>
            <w:tcW w:w="429" w:type="pct"/>
            <w:shd w:val="clear" w:color="auto" w:fill="FFFFFF"/>
            <w:tcMar>
              <w:top w:w="0" w:type="dxa"/>
              <w:left w:w="0" w:type="dxa"/>
              <w:bottom w:w="0" w:type="dxa"/>
              <w:right w:w="0" w:type="dxa"/>
            </w:tcMar>
            <w:vAlign w:val="center"/>
          </w:tcPr>
          <w:p w14:paraId="2EAF6110" w14:textId="77777777" w:rsidR="001C19F3" w:rsidRDefault="001C19F3" w:rsidP="00521305">
            <w:pPr>
              <w:spacing w:before="40" w:after="40"/>
              <w:ind w:left="40" w:right="40"/>
              <w:jc w:val="center"/>
            </w:pPr>
            <w:r>
              <w:rPr>
                <w:rFonts w:cs="Century Gothic"/>
                <w:color w:val="000000"/>
                <w:sz w:val="18"/>
                <w:szCs w:val="18"/>
              </w:rPr>
              <w:t>56 (67.5%)</w:t>
            </w:r>
          </w:p>
        </w:tc>
        <w:tc>
          <w:tcPr>
            <w:tcW w:w="429" w:type="pct"/>
            <w:shd w:val="clear" w:color="auto" w:fill="FFFFFF"/>
            <w:tcMar>
              <w:top w:w="0" w:type="dxa"/>
              <w:left w:w="0" w:type="dxa"/>
              <w:bottom w:w="0" w:type="dxa"/>
              <w:right w:w="0" w:type="dxa"/>
            </w:tcMar>
            <w:vAlign w:val="center"/>
          </w:tcPr>
          <w:p w14:paraId="192B81C0" w14:textId="77777777" w:rsidR="001C19F3" w:rsidRDefault="001C19F3" w:rsidP="00521305">
            <w:pPr>
              <w:spacing w:before="40" w:after="40"/>
              <w:ind w:left="40" w:right="40"/>
              <w:jc w:val="center"/>
            </w:pPr>
            <w:r>
              <w:rPr>
                <w:rFonts w:cs="Century Gothic"/>
                <w:color w:val="000000"/>
                <w:sz w:val="18"/>
                <w:szCs w:val="18"/>
              </w:rPr>
              <w:t>47 (56.6%)</w:t>
            </w:r>
          </w:p>
        </w:tc>
        <w:tc>
          <w:tcPr>
            <w:tcW w:w="430" w:type="pct"/>
            <w:shd w:val="clear" w:color="auto" w:fill="FFFFFF"/>
            <w:tcMar>
              <w:top w:w="0" w:type="dxa"/>
              <w:left w:w="0" w:type="dxa"/>
              <w:bottom w:w="0" w:type="dxa"/>
              <w:right w:w="0" w:type="dxa"/>
            </w:tcMar>
            <w:vAlign w:val="center"/>
          </w:tcPr>
          <w:p w14:paraId="351D5B8C" w14:textId="77777777" w:rsidR="001C19F3" w:rsidRDefault="001C19F3" w:rsidP="00521305">
            <w:pPr>
              <w:spacing w:before="40" w:after="40"/>
              <w:ind w:left="40" w:right="40"/>
              <w:jc w:val="center"/>
            </w:pPr>
            <w:r>
              <w:rPr>
                <w:rFonts w:cs="Century Gothic"/>
                <w:color w:val="000000"/>
                <w:sz w:val="18"/>
                <w:szCs w:val="18"/>
              </w:rPr>
              <w:t>5 (6.0%)</w:t>
            </w:r>
          </w:p>
        </w:tc>
        <w:tc>
          <w:tcPr>
            <w:tcW w:w="401" w:type="pct"/>
            <w:shd w:val="clear" w:color="auto" w:fill="FFFFFF"/>
            <w:tcMar>
              <w:top w:w="0" w:type="dxa"/>
              <w:left w:w="0" w:type="dxa"/>
              <w:bottom w:w="0" w:type="dxa"/>
              <w:right w:w="0" w:type="dxa"/>
            </w:tcMar>
            <w:vAlign w:val="center"/>
          </w:tcPr>
          <w:p w14:paraId="424DD78F" w14:textId="77777777" w:rsidR="001C19F3" w:rsidRDefault="001C19F3" w:rsidP="00521305">
            <w:pPr>
              <w:spacing w:before="40" w:after="40"/>
              <w:ind w:left="40" w:right="40"/>
              <w:jc w:val="center"/>
            </w:pPr>
            <w:r>
              <w:rPr>
                <w:rFonts w:cs="Century Gothic"/>
                <w:color w:val="000000"/>
                <w:sz w:val="18"/>
                <w:szCs w:val="18"/>
              </w:rPr>
              <w:t>28 (33.7%)</w:t>
            </w:r>
          </w:p>
        </w:tc>
        <w:tc>
          <w:tcPr>
            <w:tcW w:w="401" w:type="pct"/>
            <w:shd w:val="clear" w:color="auto" w:fill="FFFFFF"/>
            <w:tcMar>
              <w:top w:w="0" w:type="dxa"/>
              <w:left w:w="0" w:type="dxa"/>
              <w:bottom w:w="0" w:type="dxa"/>
              <w:right w:w="0" w:type="dxa"/>
            </w:tcMar>
            <w:vAlign w:val="center"/>
          </w:tcPr>
          <w:p w14:paraId="3F5370A6" w14:textId="77777777" w:rsidR="001C19F3" w:rsidRDefault="001C19F3" w:rsidP="00521305">
            <w:pPr>
              <w:spacing w:before="40" w:after="40"/>
              <w:ind w:left="40" w:right="40"/>
              <w:jc w:val="center"/>
            </w:pPr>
            <w:r>
              <w:rPr>
                <w:rFonts w:cs="Century Gothic"/>
                <w:color w:val="000000"/>
                <w:sz w:val="18"/>
                <w:szCs w:val="18"/>
              </w:rPr>
              <w:t>27 (32.5%)</w:t>
            </w:r>
          </w:p>
        </w:tc>
        <w:tc>
          <w:tcPr>
            <w:tcW w:w="401" w:type="pct"/>
            <w:shd w:val="clear" w:color="auto" w:fill="FFFFFF"/>
            <w:tcMar>
              <w:top w:w="0" w:type="dxa"/>
              <w:left w:w="0" w:type="dxa"/>
              <w:bottom w:w="0" w:type="dxa"/>
              <w:right w:w="0" w:type="dxa"/>
            </w:tcMar>
            <w:vAlign w:val="center"/>
          </w:tcPr>
          <w:p w14:paraId="7F157920" w14:textId="77777777" w:rsidR="001C19F3" w:rsidRDefault="001C19F3" w:rsidP="00521305">
            <w:pPr>
              <w:spacing w:before="40" w:after="40"/>
              <w:ind w:left="40" w:right="40"/>
              <w:jc w:val="center"/>
            </w:pPr>
            <w:r>
              <w:rPr>
                <w:rFonts w:cs="Century Gothic"/>
                <w:color w:val="000000"/>
                <w:sz w:val="18"/>
                <w:szCs w:val="18"/>
              </w:rPr>
              <w:t>24 (28.9%)</w:t>
            </w:r>
          </w:p>
        </w:tc>
        <w:tc>
          <w:tcPr>
            <w:tcW w:w="402" w:type="pct"/>
            <w:shd w:val="clear" w:color="auto" w:fill="FFFFFF"/>
            <w:tcMar>
              <w:top w:w="0" w:type="dxa"/>
              <w:left w:w="0" w:type="dxa"/>
              <w:bottom w:w="0" w:type="dxa"/>
              <w:right w:w="0" w:type="dxa"/>
            </w:tcMar>
            <w:vAlign w:val="center"/>
          </w:tcPr>
          <w:p w14:paraId="75D4C53F" w14:textId="77777777" w:rsidR="001C19F3" w:rsidRDefault="001C19F3" w:rsidP="00521305">
            <w:pPr>
              <w:spacing w:before="40" w:after="40"/>
              <w:ind w:left="40" w:right="40"/>
              <w:jc w:val="center"/>
            </w:pPr>
            <w:r>
              <w:rPr>
                <w:rFonts w:cs="Century Gothic"/>
                <w:color w:val="000000"/>
                <w:sz w:val="18"/>
                <w:szCs w:val="18"/>
              </w:rPr>
              <w:t>2 (2.4%)</w:t>
            </w:r>
          </w:p>
        </w:tc>
      </w:tr>
      <w:tr w:rsidR="001C19F3" w14:paraId="2B937F35" w14:textId="77777777" w:rsidTr="00521305">
        <w:trPr>
          <w:cantSplit/>
          <w:trHeight w:val="288"/>
          <w:jc w:val="center"/>
        </w:trPr>
        <w:tc>
          <w:tcPr>
            <w:tcW w:w="1199" w:type="pct"/>
            <w:shd w:val="clear" w:color="auto" w:fill="FFFFFF"/>
            <w:tcMar>
              <w:top w:w="0" w:type="dxa"/>
              <w:left w:w="0" w:type="dxa"/>
              <w:bottom w:w="0" w:type="dxa"/>
              <w:right w:w="0" w:type="dxa"/>
            </w:tcMar>
            <w:vAlign w:val="center"/>
          </w:tcPr>
          <w:p w14:paraId="58A89EB1" w14:textId="77777777" w:rsidR="001C19F3" w:rsidRDefault="001C19F3" w:rsidP="00521305">
            <w:pPr>
              <w:spacing w:before="40" w:after="40"/>
              <w:ind w:left="40" w:right="40"/>
            </w:pPr>
            <w:r>
              <w:rPr>
                <w:rFonts w:cs="Century Gothic"/>
                <w:color w:val="000000"/>
                <w:sz w:val="18"/>
                <w:szCs w:val="18"/>
              </w:rPr>
              <w:t>Reduced medication side effects</w:t>
            </w:r>
          </w:p>
        </w:tc>
        <w:tc>
          <w:tcPr>
            <w:tcW w:w="479" w:type="pct"/>
            <w:shd w:val="clear" w:color="auto" w:fill="FFFFFF"/>
            <w:tcMar>
              <w:top w:w="0" w:type="dxa"/>
              <w:left w:w="0" w:type="dxa"/>
              <w:bottom w:w="0" w:type="dxa"/>
              <w:right w:w="0" w:type="dxa"/>
            </w:tcMar>
            <w:vAlign w:val="center"/>
          </w:tcPr>
          <w:p w14:paraId="57DCCF6E" w14:textId="77777777" w:rsidR="001C19F3" w:rsidRDefault="001C19F3" w:rsidP="00521305">
            <w:pPr>
              <w:spacing w:before="40" w:after="40"/>
              <w:ind w:left="40" w:right="40"/>
              <w:jc w:val="center"/>
            </w:pPr>
            <w:r>
              <w:rPr>
                <w:rFonts w:cs="Century Gothic"/>
                <w:color w:val="000000"/>
                <w:sz w:val="18"/>
                <w:szCs w:val="18"/>
              </w:rPr>
              <w:t>38 (8.1%)</w:t>
            </w:r>
          </w:p>
        </w:tc>
        <w:tc>
          <w:tcPr>
            <w:tcW w:w="429" w:type="pct"/>
            <w:shd w:val="clear" w:color="auto" w:fill="FFFFFF"/>
            <w:tcMar>
              <w:top w:w="0" w:type="dxa"/>
              <w:left w:w="0" w:type="dxa"/>
              <w:bottom w:w="0" w:type="dxa"/>
              <w:right w:w="0" w:type="dxa"/>
            </w:tcMar>
            <w:vAlign w:val="center"/>
          </w:tcPr>
          <w:p w14:paraId="4D0E94B7" w14:textId="77777777" w:rsidR="001C19F3" w:rsidRDefault="001C19F3" w:rsidP="00521305">
            <w:pPr>
              <w:spacing w:before="40" w:after="40"/>
              <w:ind w:left="40" w:right="40"/>
              <w:jc w:val="center"/>
            </w:pPr>
            <w:r>
              <w:rPr>
                <w:rFonts w:cs="Century Gothic"/>
                <w:color w:val="000000"/>
                <w:sz w:val="18"/>
                <w:szCs w:val="18"/>
              </w:rPr>
              <w:t>27 (71.1%)</w:t>
            </w:r>
          </w:p>
        </w:tc>
        <w:tc>
          <w:tcPr>
            <w:tcW w:w="429" w:type="pct"/>
            <w:shd w:val="clear" w:color="auto" w:fill="FFFFFF"/>
            <w:tcMar>
              <w:top w:w="0" w:type="dxa"/>
              <w:left w:w="0" w:type="dxa"/>
              <w:bottom w:w="0" w:type="dxa"/>
              <w:right w:w="0" w:type="dxa"/>
            </w:tcMar>
            <w:vAlign w:val="center"/>
          </w:tcPr>
          <w:p w14:paraId="436BFD95" w14:textId="77777777" w:rsidR="001C19F3" w:rsidRDefault="001C19F3" w:rsidP="00521305">
            <w:pPr>
              <w:spacing w:before="40" w:after="40"/>
              <w:ind w:left="40" w:right="40"/>
              <w:jc w:val="center"/>
            </w:pPr>
            <w:r>
              <w:rPr>
                <w:rFonts w:cs="Century Gothic"/>
                <w:color w:val="000000"/>
                <w:sz w:val="18"/>
                <w:szCs w:val="18"/>
              </w:rPr>
              <w:t>23 (60.5%)</w:t>
            </w:r>
          </w:p>
        </w:tc>
        <w:tc>
          <w:tcPr>
            <w:tcW w:w="429" w:type="pct"/>
            <w:shd w:val="clear" w:color="auto" w:fill="FFFFFF"/>
            <w:tcMar>
              <w:top w:w="0" w:type="dxa"/>
              <w:left w:w="0" w:type="dxa"/>
              <w:bottom w:w="0" w:type="dxa"/>
              <w:right w:w="0" w:type="dxa"/>
            </w:tcMar>
            <w:vAlign w:val="center"/>
          </w:tcPr>
          <w:p w14:paraId="20EC1373" w14:textId="77777777" w:rsidR="001C19F3" w:rsidRDefault="001C19F3" w:rsidP="00521305">
            <w:pPr>
              <w:spacing w:before="40" w:after="40"/>
              <w:ind w:left="40" w:right="40"/>
              <w:jc w:val="center"/>
            </w:pPr>
            <w:r>
              <w:rPr>
                <w:rFonts w:cs="Century Gothic"/>
                <w:color w:val="000000"/>
                <w:sz w:val="18"/>
                <w:szCs w:val="18"/>
              </w:rPr>
              <w:t>23 (60.5%)</w:t>
            </w:r>
          </w:p>
        </w:tc>
        <w:tc>
          <w:tcPr>
            <w:tcW w:w="430" w:type="pct"/>
            <w:shd w:val="clear" w:color="auto" w:fill="FFFFFF"/>
            <w:tcMar>
              <w:top w:w="0" w:type="dxa"/>
              <w:left w:w="0" w:type="dxa"/>
              <w:bottom w:w="0" w:type="dxa"/>
              <w:right w:w="0" w:type="dxa"/>
            </w:tcMar>
            <w:vAlign w:val="center"/>
          </w:tcPr>
          <w:p w14:paraId="1BB2DFD9" w14:textId="77777777" w:rsidR="001C19F3" w:rsidRDefault="001C19F3" w:rsidP="00521305">
            <w:pPr>
              <w:spacing w:before="40" w:after="40"/>
              <w:ind w:left="40" w:right="40"/>
              <w:jc w:val="center"/>
            </w:pPr>
            <w:r>
              <w:rPr>
                <w:rFonts w:cs="Century Gothic"/>
                <w:color w:val="000000"/>
                <w:sz w:val="18"/>
                <w:szCs w:val="18"/>
              </w:rPr>
              <w:t>4 (10.5%)</w:t>
            </w:r>
          </w:p>
        </w:tc>
        <w:tc>
          <w:tcPr>
            <w:tcW w:w="401" w:type="pct"/>
            <w:shd w:val="clear" w:color="auto" w:fill="FFFFFF"/>
            <w:tcMar>
              <w:top w:w="0" w:type="dxa"/>
              <w:left w:w="0" w:type="dxa"/>
              <w:bottom w:w="0" w:type="dxa"/>
              <w:right w:w="0" w:type="dxa"/>
            </w:tcMar>
            <w:vAlign w:val="center"/>
          </w:tcPr>
          <w:p w14:paraId="38423CBB" w14:textId="77777777" w:rsidR="001C19F3" w:rsidRDefault="001C19F3" w:rsidP="00521305">
            <w:pPr>
              <w:spacing w:before="40" w:after="40"/>
              <w:ind w:left="40" w:right="40"/>
              <w:jc w:val="center"/>
            </w:pPr>
            <w:r>
              <w:rPr>
                <w:rFonts w:cs="Century Gothic"/>
                <w:color w:val="000000"/>
                <w:sz w:val="18"/>
                <w:szCs w:val="18"/>
              </w:rPr>
              <w:t>7 (18.4%)</w:t>
            </w:r>
          </w:p>
        </w:tc>
        <w:tc>
          <w:tcPr>
            <w:tcW w:w="401" w:type="pct"/>
            <w:shd w:val="clear" w:color="auto" w:fill="FFFFFF"/>
            <w:tcMar>
              <w:top w:w="0" w:type="dxa"/>
              <w:left w:w="0" w:type="dxa"/>
              <w:bottom w:w="0" w:type="dxa"/>
              <w:right w:w="0" w:type="dxa"/>
            </w:tcMar>
            <w:vAlign w:val="center"/>
          </w:tcPr>
          <w:p w14:paraId="6020B4EA" w14:textId="77777777" w:rsidR="001C19F3" w:rsidRDefault="001C19F3" w:rsidP="00521305">
            <w:pPr>
              <w:spacing w:before="40" w:after="40"/>
              <w:ind w:left="40" w:right="40"/>
              <w:jc w:val="center"/>
            </w:pPr>
            <w:r>
              <w:rPr>
                <w:rFonts w:cs="Century Gothic"/>
                <w:color w:val="000000"/>
                <w:sz w:val="18"/>
                <w:szCs w:val="18"/>
              </w:rPr>
              <w:t>23 (60.5%)</w:t>
            </w:r>
          </w:p>
        </w:tc>
        <w:tc>
          <w:tcPr>
            <w:tcW w:w="401" w:type="pct"/>
            <w:shd w:val="clear" w:color="auto" w:fill="FFFFFF"/>
            <w:tcMar>
              <w:top w:w="0" w:type="dxa"/>
              <w:left w:w="0" w:type="dxa"/>
              <w:bottom w:w="0" w:type="dxa"/>
              <w:right w:w="0" w:type="dxa"/>
            </w:tcMar>
            <w:vAlign w:val="center"/>
          </w:tcPr>
          <w:p w14:paraId="61C94CD2" w14:textId="77777777" w:rsidR="001C19F3" w:rsidRDefault="001C19F3" w:rsidP="00521305">
            <w:pPr>
              <w:spacing w:before="40" w:after="40"/>
              <w:ind w:left="40" w:right="40"/>
              <w:jc w:val="center"/>
            </w:pPr>
            <w:r>
              <w:rPr>
                <w:rFonts w:cs="Century Gothic"/>
                <w:color w:val="000000"/>
                <w:sz w:val="18"/>
                <w:szCs w:val="18"/>
              </w:rPr>
              <w:t>8 (21.1%)</w:t>
            </w:r>
          </w:p>
        </w:tc>
        <w:tc>
          <w:tcPr>
            <w:tcW w:w="402" w:type="pct"/>
            <w:shd w:val="clear" w:color="auto" w:fill="FFFFFF"/>
            <w:tcMar>
              <w:top w:w="0" w:type="dxa"/>
              <w:left w:w="0" w:type="dxa"/>
              <w:bottom w:w="0" w:type="dxa"/>
              <w:right w:w="0" w:type="dxa"/>
            </w:tcMar>
            <w:vAlign w:val="center"/>
          </w:tcPr>
          <w:p w14:paraId="02951000" w14:textId="77777777" w:rsidR="001C19F3" w:rsidRDefault="001C19F3" w:rsidP="00521305">
            <w:pPr>
              <w:spacing w:before="40" w:after="40"/>
              <w:ind w:left="40" w:right="40"/>
              <w:jc w:val="center"/>
            </w:pPr>
            <w:r>
              <w:rPr>
                <w:rFonts w:cs="Century Gothic"/>
                <w:color w:val="000000"/>
                <w:sz w:val="18"/>
                <w:szCs w:val="18"/>
              </w:rPr>
              <w:t>0 (0.0%)</w:t>
            </w:r>
          </w:p>
        </w:tc>
      </w:tr>
      <w:tr w:rsidR="001C19F3" w14:paraId="606C1CEC" w14:textId="77777777" w:rsidTr="00521305">
        <w:trPr>
          <w:cantSplit/>
          <w:trHeight w:val="288"/>
          <w:jc w:val="center"/>
        </w:trPr>
        <w:tc>
          <w:tcPr>
            <w:tcW w:w="1199" w:type="pct"/>
            <w:shd w:val="clear" w:color="auto" w:fill="FFFFFF"/>
            <w:tcMar>
              <w:top w:w="0" w:type="dxa"/>
              <w:left w:w="0" w:type="dxa"/>
              <w:bottom w:w="0" w:type="dxa"/>
              <w:right w:w="0" w:type="dxa"/>
            </w:tcMar>
            <w:vAlign w:val="center"/>
          </w:tcPr>
          <w:p w14:paraId="5483D85D" w14:textId="77777777" w:rsidR="001C19F3" w:rsidRDefault="001C19F3" w:rsidP="00521305">
            <w:pPr>
              <w:spacing w:before="40" w:after="40"/>
              <w:ind w:left="40" w:right="40"/>
            </w:pPr>
            <w:r>
              <w:rPr>
                <w:rFonts w:cs="Century Gothic"/>
                <w:color w:val="000000"/>
                <w:sz w:val="18"/>
                <w:szCs w:val="18"/>
              </w:rPr>
              <w:t>Other</w:t>
            </w:r>
          </w:p>
        </w:tc>
        <w:tc>
          <w:tcPr>
            <w:tcW w:w="479" w:type="pct"/>
            <w:shd w:val="clear" w:color="auto" w:fill="FFFFFF"/>
            <w:tcMar>
              <w:top w:w="0" w:type="dxa"/>
              <w:left w:w="0" w:type="dxa"/>
              <w:bottom w:w="0" w:type="dxa"/>
              <w:right w:w="0" w:type="dxa"/>
            </w:tcMar>
            <w:vAlign w:val="center"/>
          </w:tcPr>
          <w:p w14:paraId="61105CE5" w14:textId="77777777" w:rsidR="001C19F3" w:rsidRDefault="001C19F3" w:rsidP="00521305">
            <w:pPr>
              <w:spacing w:before="40" w:after="40"/>
              <w:ind w:left="40" w:right="40"/>
              <w:jc w:val="center"/>
            </w:pPr>
            <w:r>
              <w:rPr>
                <w:rFonts w:cs="Century Gothic"/>
                <w:color w:val="000000"/>
                <w:sz w:val="18"/>
                <w:szCs w:val="18"/>
              </w:rPr>
              <w:t>87 (18.6%)</w:t>
            </w:r>
          </w:p>
        </w:tc>
        <w:tc>
          <w:tcPr>
            <w:tcW w:w="429" w:type="pct"/>
            <w:shd w:val="clear" w:color="auto" w:fill="FFFFFF"/>
            <w:tcMar>
              <w:top w:w="0" w:type="dxa"/>
              <w:left w:w="0" w:type="dxa"/>
              <w:bottom w:w="0" w:type="dxa"/>
              <w:right w:w="0" w:type="dxa"/>
            </w:tcMar>
            <w:vAlign w:val="center"/>
          </w:tcPr>
          <w:p w14:paraId="4BC8B9B9" w14:textId="77777777" w:rsidR="001C19F3" w:rsidRDefault="001C19F3" w:rsidP="00521305">
            <w:pPr>
              <w:spacing w:before="40" w:after="40"/>
              <w:ind w:left="40" w:right="40"/>
              <w:jc w:val="center"/>
            </w:pPr>
            <w:r>
              <w:rPr>
                <w:rFonts w:cs="Century Gothic"/>
                <w:color w:val="000000"/>
                <w:sz w:val="18"/>
                <w:szCs w:val="18"/>
              </w:rPr>
              <w:t>56 (64.4%)</w:t>
            </w:r>
          </w:p>
        </w:tc>
        <w:tc>
          <w:tcPr>
            <w:tcW w:w="429" w:type="pct"/>
            <w:shd w:val="clear" w:color="auto" w:fill="FFFFFF"/>
            <w:tcMar>
              <w:top w:w="0" w:type="dxa"/>
              <w:left w:w="0" w:type="dxa"/>
              <w:bottom w:w="0" w:type="dxa"/>
              <w:right w:w="0" w:type="dxa"/>
            </w:tcMar>
            <w:vAlign w:val="center"/>
          </w:tcPr>
          <w:p w14:paraId="6E89C3B3" w14:textId="77777777" w:rsidR="001C19F3" w:rsidRDefault="001C19F3" w:rsidP="00521305">
            <w:pPr>
              <w:spacing w:before="40" w:after="40"/>
              <w:ind w:left="40" w:right="40"/>
              <w:jc w:val="center"/>
            </w:pPr>
            <w:r>
              <w:rPr>
                <w:rFonts w:cs="Century Gothic"/>
                <w:color w:val="000000"/>
                <w:sz w:val="18"/>
                <w:szCs w:val="18"/>
              </w:rPr>
              <w:t>59 (67.8%)</w:t>
            </w:r>
          </w:p>
        </w:tc>
        <w:tc>
          <w:tcPr>
            <w:tcW w:w="429" w:type="pct"/>
            <w:shd w:val="clear" w:color="auto" w:fill="FFFFFF"/>
            <w:tcMar>
              <w:top w:w="0" w:type="dxa"/>
              <w:left w:w="0" w:type="dxa"/>
              <w:bottom w:w="0" w:type="dxa"/>
              <w:right w:w="0" w:type="dxa"/>
            </w:tcMar>
            <w:vAlign w:val="center"/>
          </w:tcPr>
          <w:p w14:paraId="36258D88" w14:textId="77777777" w:rsidR="001C19F3" w:rsidRDefault="001C19F3" w:rsidP="00521305">
            <w:pPr>
              <w:spacing w:before="40" w:after="40"/>
              <w:ind w:left="40" w:right="40"/>
              <w:jc w:val="center"/>
            </w:pPr>
            <w:r>
              <w:rPr>
                <w:rFonts w:cs="Century Gothic"/>
                <w:color w:val="000000"/>
                <w:sz w:val="18"/>
                <w:szCs w:val="18"/>
              </w:rPr>
              <w:t>42 (48.3%)</w:t>
            </w:r>
          </w:p>
        </w:tc>
        <w:tc>
          <w:tcPr>
            <w:tcW w:w="430" w:type="pct"/>
            <w:shd w:val="clear" w:color="auto" w:fill="FFFFFF"/>
            <w:tcMar>
              <w:top w:w="0" w:type="dxa"/>
              <w:left w:w="0" w:type="dxa"/>
              <w:bottom w:w="0" w:type="dxa"/>
              <w:right w:w="0" w:type="dxa"/>
            </w:tcMar>
            <w:vAlign w:val="center"/>
          </w:tcPr>
          <w:p w14:paraId="59B37CA3" w14:textId="77777777" w:rsidR="001C19F3" w:rsidRDefault="001C19F3" w:rsidP="00521305">
            <w:pPr>
              <w:spacing w:before="40" w:after="40"/>
              <w:ind w:left="40" w:right="40"/>
              <w:jc w:val="center"/>
            </w:pPr>
            <w:r>
              <w:rPr>
                <w:rFonts w:cs="Century Gothic"/>
                <w:color w:val="000000"/>
                <w:sz w:val="18"/>
                <w:szCs w:val="18"/>
              </w:rPr>
              <w:t>11 (12.6%)</w:t>
            </w:r>
          </w:p>
        </w:tc>
        <w:tc>
          <w:tcPr>
            <w:tcW w:w="401" w:type="pct"/>
            <w:shd w:val="clear" w:color="auto" w:fill="FFFFFF"/>
            <w:tcMar>
              <w:top w:w="0" w:type="dxa"/>
              <w:left w:w="0" w:type="dxa"/>
              <w:bottom w:w="0" w:type="dxa"/>
              <w:right w:w="0" w:type="dxa"/>
            </w:tcMar>
            <w:vAlign w:val="center"/>
          </w:tcPr>
          <w:p w14:paraId="55C15813" w14:textId="77777777" w:rsidR="001C19F3" w:rsidRDefault="001C19F3" w:rsidP="00521305">
            <w:pPr>
              <w:spacing w:before="40" w:after="40"/>
              <w:ind w:left="40" w:right="40"/>
              <w:jc w:val="center"/>
            </w:pPr>
            <w:r>
              <w:rPr>
                <w:rFonts w:cs="Century Gothic"/>
                <w:color w:val="000000"/>
                <w:sz w:val="18"/>
                <w:szCs w:val="18"/>
              </w:rPr>
              <w:t>35 (40.2%)</w:t>
            </w:r>
          </w:p>
        </w:tc>
        <w:tc>
          <w:tcPr>
            <w:tcW w:w="401" w:type="pct"/>
            <w:shd w:val="clear" w:color="auto" w:fill="FFFFFF"/>
            <w:tcMar>
              <w:top w:w="0" w:type="dxa"/>
              <w:left w:w="0" w:type="dxa"/>
              <w:bottom w:w="0" w:type="dxa"/>
              <w:right w:w="0" w:type="dxa"/>
            </w:tcMar>
            <w:vAlign w:val="center"/>
          </w:tcPr>
          <w:p w14:paraId="755CA917" w14:textId="77777777" w:rsidR="001C19F3" w:rsidRDefault="001C19F3" w:rsidP="00521305">
            <w:pPr>
              <w:spacing w:before="40" w:after="40"/>
              <w:ind w:left="40" w:right="40"/>
              <w:jc w:val="center"/>
            </w:pPr>
            <w:r>
              <w:rPr>
                <w:rFonts w:cs="Century Gothic"/>
                <w:color w:val="000000"/>
                <w:sz w:val="18"/>
                <w:szCs w:val="18"/>
              </w:rPr>
              <w:t>27 (31.0%)</w:t>
            </w:r>
          </w:p>
        </w:tc>
        <w:tc>
          <w:tcPr>
            <w:tcW w:w="401" w:type="pct"/>
            <w:shd w:val="clear" w:color="auto" w:fill="FFFFFF"/>
            <w:tcMar>
              <w:top w:w="0" w:type="dxa"/>
              <w:left w:w="0" w:type="dxa"/>
              <w:bottom w:w="0" w:type="dxa"/>
              <w:right w:w="0" w:type="dxa"/>
            </w:tcMar>
            <w:vAlign w:val="center"/>
          </w:tcPr>
          <w:p w14:paraId="7ECFCF89" w14:textId="77777777" w:rsidR="001C19F3" w:rsidRDefault="001C19F3" w:rsidP="00521305">
            <w:pPr>
              <w:spacing w:before="40" w:after="40"/>
              <w:ind w:left="40" w:right="40"/>
              <w:jc w:val="center"/>
            </w:pPr>
            <w:r>
              <w:rPr>
                <w:rFonts w:cs="Century Gothic"/>
                <w:color w:val="000000"/>
                <w:sz w:val="18"/>
                <w:szCs w:val="18"/>
              </w:rPr>
              <w:t>21 (24.1%)</w:t>
            </w:r>
          </w:p>
        </w:tc>
        <w:tc>
          <w:tcPr>
            <w:tcW w:w="402" w:type="pct"/>
            <w:shd w:val="clear" w:color="auto" w:fill="FFFFFF"/>
            <w:tcMar>
              <w:top w:w="0" w:type="dxa"/>
              <w:left w:w="0" w:type="dxa"/>
              <w:bottom w:w="0" w:type="dxa"/>
              <w:right w:w="0" w:type="dxa"/>
            </w:tcMar>
            <w:vAlign w:val="center"/>
          </w:tcPr>
          <w:p w14:paraId="0559C876" w14:textId="77777777" w:rsidR="001C19F3" w:rsidRDefault="001C19F3" w:rsidP="00521305">
            <w:pPr>
              <w:spacing w:before="40" w:after="40"/>
              <w:ind w:left="40" w:right="40"/>
              <w:jc w:val="center"/>
            </w:pPr>
            <w:r>
              <w:rPr>
                <w:rFonts w:cs="Century Gothic"/>
                <w:color w:val="000000"/>
                <w:sz w:val="18"/>
                <w:szCs w:val="18"/>
              </w:rPr>
              <w:t>4 (4.6%)</w:t>
            </w:r>
          </w:p>
        </w:tc>
      </w:tr>
    </w:tbl>
    <w:p w14:paraId="2E9E8392" w14:textId="77777777" w:rsidR="001C19F3" w:rsidRDefault="001C19F3" w:rsidP="001C19F3">
      <w:pPr>
        <w:pStyle w:val="Chartortablefootnote"/>
      </w:pPr>
      <w:r>
        <w:t>Source: Community Pharmacy in HCH trial Health Outcomes data set provided by the Pharmacy Guild, to 30 June 2019.</w:t>
      </w:r>
    </w:p>
    <w:p w14:paraId="122A38DB" w14:textId="77777777" w:rsidR="001C19F3" w:rsidRDefault="001C19F3" w:rsidP="001C19F3">
      <w:pPr>
        <w:pStyle w:val="Caption1"/>
      </w:pPr>
      <w:bookmarkStart w:id="625" w:name="_Ref22831442"/>
      <w:r>
        <w:t xml:space="preserve">Table </w:t>
      </w:r>
      <w:r>
        <w:fldChar w:fldCharType="begin"/>
      </w:r>
      <w:r>
        <w:instrText>SEQ Table \* ARABIC</w:instrText>
      </w:r>
      <w:r>
        <w:fldChar w:fldCharType="separate"/>
      </w:r>
      <w:r>
        <w:rPr>
          <w:noProof/>
        </w:rPr>
        <w:t>91</w:t>
      </w:r>
      <w:r>
        <w:fldChar w:fldCharType="end"/>
      </w:r>
      <w:bookmarkEnd w:id="625"/>
      <w:r>
        <w:t xml:space="preserve"> –</w:t>
      </w:r>
      <w:bookmarkStart w:id="626" w:name="_Hlk21011842"/>
      <w:r>
        <w:t xml:space="preserve"> Supporting services provided by pharmacist</w:t>
      </w:r>
      <w:bookmarkEnd w:id="626"/>
      <w:r>
        <w:t>, by patient goal</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99"/>
        <w:gridCol w:w="1638"/>
        <w:gridCol w:w="1638"/>
        <w:gridCol w:w="1638"/>
        <w:gridCol w:w="1638"/>
        <w:gridCol w:w="1646"/>
        <w:gridCol w:w="1641"/>
      </w:tblGrid>
      <w:tr w:rsidR="001C19F3" w14:paraId="7BDAF958" w14:textId="77777777" w:rsidTr="00521305">
        <w:trPr>
          <w:cantSplit/>
          <w:trHeight w:val="336"/>
          <w:tblHeader/>
          <w:jc w:val="center"/>
        </w:trPr>
        <w:tc>
          <w:tcPr>
            <w:tcW w:w="1471" w:type="pct"/>
            <w:vMerge w:val="restart"/>
            <w:shd w:val="clear" w:color="auto" w:fill="003D79"/>
            <w:tcMar>
              <w:top w:w="0" w:type="dxa"/>
              <w:left w:w="0" w:type="dxa"/>
              <w:bottom w:w="0" w:type="dxa"/>
              <w:right w:w="0" w:type="dxa"/>
            </w:tcMar>
            <w:vAlign w:val="center"/>
          </w:tcPr>
          <w:p w14:paraId="78D3E19A" w14:textId="77777777" w:rsidR="001C19F3" w:rsidRDefault="001C19F3" w:rsidP="00521305">
            <w:pPr>
              <w:spacing w:after="0"/>
              <w:jc w:val="center"/>
            </w:pPr>
            <w:r>
              <w:rPr>
                <w:rFonts w:cs="Century Gothic"/>
                <w:b/>
                <w:color w:val="FFFFFF"/>
                <w:sz w:val="18"/>
                <w:szCs w:val="18"/>
              </w:rPr>
              <w:t>Goal</w:t>
            </w:r>
          </w:p>
        </w:tc>
        <w:tc>
          <w:tcPr>
            <w:tcW w:w="3529" w:type="pct"/>
            <w:gridSpan w:val="6"/>
            <w:shd w:val="clear" w:color="auto" w:fill="003D79"/>
            <w:tcMar>
              <w:top w:w="0" w:type="dxa"/>
              <w:left w:w="0" w:type="dxa"/>
              <w:bottom w:w="0" w:type="dxa"/>
              <w:right w:w="0" w:type="dxa"/>
            </w:tcMar>
            <w:vAlign w:val="center"/>
          </w:tcPr>
          <w:p w14:paraId="7382CC0D" w14:textId="77777777" w:rsidR="001C19F3" w:rsidRDefault="001C19F3" w:rsidP="00521305">
            <w:pPr>
              <w:spacing w:after="0"/>
              <w:jc w:val="center"/>
            </w:pPr>
            <w:r>
              <w:rPr>
                <w:rFonts w:cs="Century Gothic"/>
                <w:b/>
                <w:color w:val="FFFFFF"/>
                <w:sz w:val="18"/>
                <w:szCs w:val="18"/>
              </w:rPr>
              <w:t>Number receiving service (percent of patients with goal)</w:t>
            </w:r>
          </w:p>
        </w:tc>
      </w:tr>
      <w:tr w:rsidR="001C19F3" w14:paraId="686E06C7" w14:textId="77777777" w:rsidTr="00521305">
        <w:trPr>
          <w:cantSplit/>
          <w:trHeight w:val="336"/>
          <w:tblHeader/>
          <w:jc w:val="center"/>
        </w:trPr>
        <w:tc>
          <w:tcPr>
            <w:tcW w:w="1471" w:type="pct"/>
            <w:vMerge/>
            <w:shd w:val="clear" w:color="auto" w:fill="003D79"/>
            <w:tcMar>
              <w:top w:w="0" w:type="dxa"/>
              <w:left w:w="0" w:type="dxa"/>
              <w:bottom w:w="0" w:type="dxa"/>
              <w:right w:w="0" w:type="dxa"/>
            </w:tcMar>
            <w:vAlign w:val="center"/>
          </w:tcPr>
          <w:p w14:paraId="1A9C9118" w14:textId="77777777" w:rsidR="001C19F3" w:rsidRDefault="001C19F3" w:rsidP="00521305">
            <w:pPr>
              <w:spacing w:after="0"/>
              <w:jc w:val="center"/>
            </w:pPr>
          </w:p>
        </w:tc>
        <w:tc>
          <w:tcPr>
            <w:tcW w:w="588" w:type="pct"/>
            <w:shd w:val="clear" w:color="auto" w:fill="003D79"/>
            <w:tcMar>
              <w:top w:w="0" w:type="dxa"/>
              <w:left w:w="0" w:type="dxa"/>
              <w:bottom w:w="0" w:type="dxa"/>
              <w:right w:w="0" w:type="dxa"/>
            </w:tcMar>
            <w:vAlign w:val="center"/>
          </w:tcPr>
          <w:p w14:paraId="0376FD65" w14:textId="77777777" w:rsidR="001C19F3" w:rsidRDefault="001C19F3" w:rsidP="00521305">
            <w:pPr>
              <w:spacing w:after="0"/>
              <w:jc w:val="center"/>
            </w:pPr>
            <w:r>
              <w:rPr>
                <w:rFonts w:cs="Century Gothic"/>
                <w:b/>
                <w:color w:val="FFFFFF"/>
                <w:sz w:val="18"/>
                <w:szCs w:val="18"/>
              </w:rPr>
              <w:t>Asthma management plan</w:t>
            </w:r>
          </w:p>
        </w:tc>
        <w:tc>
          <w:tcPr>
            <w:tcW w:w="588" w:type="pct"/>
            <w:shd w:val="clear" w:color="auto" w:fill="003D79"/>
            <w:tcMar>
              <w:top w:w="0" w:type="dxa"/>
              <w:left w:w="0" w:type="dxa"/>
              <w:bottom w:w="0" w:type="dxa"/>
              <w:right w:w="0" w:type="dxa"/>
            </w:tcMar>
            <w:vAlign w:val="center"/>
          </w:tcPr>
          <w:p w14:paraId="06E3BD99" w14:textId="77777777" w:rsidR="001C19F3" w:rsidRDefault="001C19F3" w:rsidP="00521305">
            <w:pPr>
              <w:spacing w:after="0"/>
              <w:jc w:val="center"/>
            </w:pPr>
            <w:r>
              <w:rPr>
                <w:rFonts w:cs="Century Gothic"/>
                <w:b/>
                <w:color w:val="FFFFFF"/>
                <w:sz w:val="18"/>
                <w:szCs w:val="18"/>
              </w:rPr>
              <w:t>Blood glucose monitoring</w:t>
            </w:r>
          </w:p>
        </w:tc>
        <w:tc>
          <w:tcPr>
            <w:tcW w:w="588" w:type="pct"/>
            <w:shd w:val="clear" w:color="auto" w:fill="003D79"/>
            <w:tcMar>
              <w:top w:w="0" w:type="dxa"/>
              <w:left w:w="0" w:type="dxa"/>
              <w:bottom w:w="0" w:type="dxa"/>
              <w:right w:w="0" w:type="dxa"/>
            </w:tcMar>
            <w:vAlign w:val="center"/>
          </w:tcPr>
          <w:p w14:paraId="69ED4902" w14:textId="77777777" w:rsidR="001C19F3" w:rsidRDefault="001C19F3" w:rsidP="00521305">
            <w:pPr>
              <w:spacing w:after="0"/>
              <w:jc w:val="center"/>
            </w:pPr>
            <w:r>
              <w:rPr>
                <w:rFonts w:cs="Century Gothic"/>
                <w:b/>
                <w:color w:val="FFFFFF"/>
                <w:sz w:val="18"/>
                <w:szCs w:val="18"/>
              </w:rPr>
              <w:t>Blood pressure monitoring</w:t>
            </w:r>
          </w:p>
        </w:tc>
        <w:tc>
          <w:tcPr>
            <w:tcW w:w="588" w:type="pct"/>
            <w:shd w:val="clear" w:color="auto" w:fill="003D79"/>
            <w:tcMar>
              <w:top w:w="0" w:type="dxa"/>
              <w:left w:w="0" w:type="dxa"/>
              <w:bottom w:w="0" w:type="dxa"/>
              <w:right w:w="0" w:type="dxa"/>
            </w:tcMar>
            <w:vAlign w:val="center"/>
          </w:tcPr>
          <w:p w14:paraId="4F16B4EE" w14:textId="77777777" w:rsidR="001C19F3" w:rsidRDefault="001C19F3" w:rsidP="00521305">
            <w:pPr>
              <w:spacing w:after="0"/>
              <w:jc w:val="center"/>
            </w:pPr>
            <w:r>
              <w:rPr>
                <w:rFonts w:cs="Century Gothic"/>
                <w:b/>
                <w:color w:val="FFFFFF"/>
                <w:sz w:val="18"/>
                <w:szCs w:val="18"/>
              </w:rPr>
              <w:t xml:space="preserve">Dose administration aid </w:t>
            </w:r>
          </w:p>
        </w:tc>
        <w:tc>
          <w:tcPr>
            <w:tcW w:w="588" w:type="pct"/>
            <w:shd w:val="clear" w:color="auto" w:fill="003D79"/>
            <w:tcMar>
              <w:top w:w="0" w:type="dxa"/>
              <w:left w:w="0" w:type="dxa"/>
              <w:bottom w:w="0" w:type="dxa"/>
              <w:right w:w="0" w:type="dxa"/>
            </w:tcMar>
            <w:vAlign w:val="center"/>
          </w:tcPr>
          <w:p w14:paraId="3527FB2F" w14:textId="77777777" w:rsidR="001C19F3" w:rsidRDefault="001C19F3" w:rsidP="00521305">
            <w:pPr>
              <w:spacing w:after="0"/>
              <w:jc w:val="center"/>
            </w:pPr>
            <w:r>
              <w:rPr>
                <w:rFonts w:cs="Century Gothic"/>
                <w:b/>
                <w:color w:val="FFFFFF"/>
                <w:sz w:val="18"/>
                <w:szCs w:val="18"/>
              </w:rPr>
              <w:t>Medical device usage training/education</w:t>
            </w:r>
          </w:p>
        </w:tc>
        <w:tc>
          <w:tcPr>
            <w:tcW w:w="588" w:type="pct"/>
            <w:shd w:val="clear" w:color="auto" w:fill="003D79"/>
            <w:tcMar>
              <w:top w:w="0" w:type="dxa"/>
              <w:left w:w="0" w:type="dxa"/>
              <w:bottom w:w="0" w:type="dxa"/>
              <w:right w:w="0" w:type="dxa"/>
            </w:tcMar>
            <w:vAlign w:val="center"/>
          </w:tcPr>
          <w:p w14:paraId="59DC030E" w14:textId="77777777" w:rsidR="001C19F3" w:rsidRDefault="001C19F3" w:rsidP="00521305">
            <w:pPr>
              <w:spacing w:after="0"/>
              <w:jc w:val="center"/>
            </w:pPr>
            <w:r>
              <w:rPr>
                <w:rFonts w:cs="Century Gothic"/>
                <w:b/>
                <w:color w:val="FFFFFF"/>
                <w:sz w:val="18"/>
                <w:szCs w:val="18"/>
              </w:rPr>
              <w:t>Other</w:t>
            </w:r>
          </w:p>
        </w:tc>
      </w:tr>
      <w:tr w:rsidR="001C19F3" w14:paraId="7D90DF1A"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6006E033" w14:textId="77777777" w:rsidR="001C19F3" w:rsidRDefault="001C19F3" w:rsidP="00521305">
            <w:pPr>
              <w:spacing w:before="40" w:after="40"/>
              <w:ind w:left="40" w:right="40"/>
            </w:pPr>
            <w:r>
              <w:rPr>
                <w:rFonts w:cs="Century Gothic"/>
                <w:color w:val="000000"/>
                <w:sz w:val="18"/>
                <w:szCs w:val="18"/>
              </w:rPr>
              <w:t>Improved medication adherence</w:t>
            </w:r>
          </w:p>
        </w:tc>
        <w:tc>
          <w:tcPr>
            <w:tcW w:w="588" w:type="pct"/>
            <w:shd w:val="clear" w:color="auto" w:fill="FFFFFF"/>
            <w:tcMar>
              <w:top w:w="0" w:type="dxa"/>
              <w:left w:w="0" w:type="dxa"/>
              <w:bottom w:w="0" w:type="dxa"/>
              <w:right w:w="0" w:type="dxa"/>
            </w:tcMar>
            <w:vAlign w:val="center"/>
          </w:tcPr>
          <w:p w14:paraId="02D3F18D" w14:textId="77777777" w:rsidR="001C19F3" w:rsidRDefault="001C19F3" w:rsidP="00521305">
            <w:pPr>
              <w:spacing w:before="40" w:after="40"/>
              <w:ind w:left="40" w:right="40"/>
              <w:jc w:val="center"/>
            </w:pPr>
            <w:r>
              <w:rPr>
                <w:rFonts w:cs="Century Gothic"/>
                <w:color w:val="000000"/>
                <w:sz w:val="18"/>
                <w:szCs w:val="18"/>
              </w:rPr>
              <w:t>3 (1.5%)</w:t>
            </w:r>
          </w:p>
        </w:tc>
        <w:tc>
          <w:tcPr>
            <w:tcW w:w="588" w:type="pct"/>
            <w:shd w:val="clear" w:color="auto" w:fill="FFFFFF"/>
            <w:tcMar>
              <w:top w:w="0" w:type="dxa"/>
              <w:left w:w="0" w:type="dxa"/>
              <w:bottom w:w="0" w:type="dxa"/>
              <w:right w:w="0" w:type="dxa"/>
            </w:tcMar>
            <w:vAlign w:val="center"/>
          </w:tcPr>
          <w:p w14:paraId="17E66CB7" w14:textId="77777777" w:rsidR="001C19F3" w:rsidRDefault="001C19F3" w:rsidP="00521305">
            <w:pPr>
              <w:spacing w:before="40" w:after="40"/>
              <w:ind w:left="40" w:right="40"/>
              <w:jc w:val="center"/>
            </w:pPr>
            <w:r>
              <w:rPr>
                <w:rFonts w:cs="Century Gothic"/>
                <w:color w:val="000000"/>
                <w:sz w:val="18"/>
                <w:szCs w:val="18"/>
              </w:rPr>
              <w:t>7 (3.6%)</w:t>
            </w:r>
          </w:p>
        </w:tc>
        <w:tc>
          <w:tcPr>
            <w:tcW w:w="588" w:type="pct"/>
            <w:shd w:val="clear" w:color="auto" w:fill="FFFFFF"/>
            <w:tcMar>
              <w:top w:w="0" w:type="dxa"/>
              <w:left w:w="0" w:type="dxa"/>
              <w:bottom w:w="0" w:type="dxa"/>
              <w:right w:w="0" w:type="dxa"/>
            </w:tcMar>
            <w:vAlign w:val="center"/>
          </w:tcPr>
          <w:p w14:paraId="7DE56EB0" w14:textId="77777777" w:rsidR="001C19F3" w:rsidRDefault="001C19F3" w:rsidP="00521305">
            <w:pPr>
              <w:spacing w:before="40" w:after="40"/>
              <w:ind w:left="40" w:right="40"/>
              <w:jc w:val="center"/>
            </w:pPr>
            <w:r>
              <w:rPr>
                <w:rFonts w:cs="Century Gothic"/>
                <w:color w:val="000000"/>
                <w:sz w:val="18"/>
                <w:szCs w:val="18"/>
              </w:rPr>
              <w:t>16 (8.2%)</w:t>
            </w:r>
          </w:p>
        </w:tc>
        <w:tc>
          <w:tcPr>
            <w:tcW w:w="588" w:type="pct"/>
            <w:shd w:val="clear" w:color="auto" w:fill="FFFFFF"/>
            <w:tcMar>
              <w:top w:w="0" w:type="dxa"/>
              <w:left w:w="0" w:type="dxa"/>
              <w:bottom w:w="0" w:type="dxa"/>
              <w:right w:w="0" w:type="dxa"/>
            </w:tcMar>
            <w:vAlign w:val="center"/>
          </w:tcPr>
          <w:p w14:paraId="65D44E58" w14:textId="77777777" w:rsidR="001C19F3" w:rsidRDefault="001C19F3" w:rsidP="00521305">
            <w:pPr>
              <w:spacing w:before="40" w:after="40"/>
              <w:ind w:left="40" w:right="40"/>
              <w:jc w:val="center"/>
            </w:pPr>
            <w:r>
              <w:rPr>
                <w:rFonts w:cs="Century Gothic"/>
                <w:color w:val="000000"/>
                <w:sz w:val="18"/>
                <w:szCs w:val="18"/>
              </w:rPr>
              <w:t>95 (48.7%)</w:t>
            </w:r>
          </w:p>
        </w:tc>
        <w:tc>
          <w:tcPr>
            <w:tcW w:w="588" w:type="pct"/>
            <w:shd w:val="clear" w:color="auto" w:fill="FFFFFF"/>
            <w:tcMar>
              <w:top w:w="0" w:type="dxa"/>
              <w:left w:w="0" w:type="dxa"/>
              <w:bottom w:w="0" w:type="dxa"/>
              <w:right w:w="0" w:type="dxa"/>
            </w:tcMar>
            <w:vAlign w:val="center"/>
          </w:tcPr>
          <w:p w14:paraId="1CCE8247" w14:textId="77777777" w:rsidR="001C19F3" w:rsidRDefault="001C19F3" w:rsidP="00521305">
            <w:pPr>
              <w:spacing w:before="40" w:after="40"/>
              <w:ind w:left="40" w:right="40"/>
              <w:jc w:val="center"/>
            </w:pPr>
            <w:r>
              <w:rPr>
                <w:rFonts w:cs="Century Gothic"/>
                <w:color w:val="000000"/>
                <w:sz w:val="18"/>
                <w:szCs w:val="18"/>
              </w:rPr>
              <w:t>9 (4.6%)</w:t>
            </w:r>
          </w:p>
        </w:tc>
        <w:tc>
          <w:tcPr>
            <w:tcW w:w="588" w:type="pct"/>
            <w:shd w:val="clear" w:color="auto" w:fill="FFFFFF"/>
            <w:tcMar>
              <w:top w:w="0" w:type="dxa"/>
              <w:left w:w="0" w:type="dxa"/>
              <w:bottom w:w="0" w:type="dxa"/>
              <w:right w:w="0" w:type="dxa"/>
            </w:tcMar>
            <w:vAlign w:val="center"/>
          </w:tcPr>
          <w:p w14:paraId="39689E62" w14:textId="77777777" w:rsidR="001C19F3" w:rsidRDefault="001C19F3" w:rsidP="00521305">
            <w:pPr>
              <w:spacing w:before="40" w:after="40"/>
              <w:ind w:left="40" w:right="40"/>
              <w:jc w:val="center"/>
            </w:pPr>
            <w:r>
              <w:rPr>
                <w:rFonts w:cs="Century Gothic"/>
                <w:color w:val="000000"/>
                <w:sz w:val="18"/>
                <w:szCs w:val="18"/>
              </w:rPr>
              <w:t>16 (8.2%)</w:t>
            </w:r>
          </w:p>
        </w:tc>
      </w:tr>
      <w:tr w:rsidR="001C19F3" w14:paraId="5E660290"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39CBEFEB" w14:textId="77777777" w:rsidR="001C19F3" w:rsidRDefault="001C19F3" w:rsidP="00521305">
            <w:pPr>
              <w:spacing w:before="40" w:after="40"/>
              <w:ind w:left="40" w:right="40"/>
            </w:pPr>
            <w:r>
              <w:rPr>
                <w:rFonts w:cs="Century Gothic"/>
                <w:color w:val="000000"/>
                <w:sz w:val="18"/>
                <w:szCs w:val="18"/>
              </w:rPr>
              <w:t>Improved patient knowledge about their medicines leading to improved medication use and disease self-management</w:t>
            </w:r>
          </w:p>
        </w:tc>
        <w:tc>
          <w:tcPr>
            <w:tcW w:w="588" w:type="pct"/>
            <w:shd w:val="clear" w:color="auto" w:fill="FFFFFF"/>
            <w:tcMar>
              <w:top w:w="0" w:type="dxa"/>
              <w:left w:w="0" w:type="dxa"/>
              <w:bottom w:w="0" w:type="dxa"/>
              <w:right w:w="0" w:type="dxa"/>
            </w:tcMar>
            <w:vAlign w:val="center"/>
          </w:tcPr>
          <w:p w14:paraId="5FBFCD6E" w14:textId="77777777" w:rsidR="001C19F3" w:rsidRDefault="001C19F3" w:rsidP="00521305">
            <w:pPr>
              <w:spacing w:before="40" w:after="40"/>
              <w:ind w:left="40" w:right="40"/>
              <w:jc w:val="center"/>
            </w:pPr>
            <w:r>
              <w:rPr>
                <w:rFonts w:cs="Century Gothic"/>
                <w:color w:val="000000"/>
                <w:sz w:val="18"/>
                <w:szCs w:val="18"/>
              </w:rPr>
              <w:t>6 (2.5%)</w:t>
            </w:r>
          </w:p>
        </w:tc>
        <w:tc>
          <w:tcPr>
            <w:tcW w:w="588" w:type="pct"/>
            <w:shd w:val="clear" w:color="auto" w:fill="FFFFFF"/>
            <w:tcMar>
              <w:top w:w="0" w:type="dxa"/>
              <w:left w:w="0" w:type="dxa"/>
              <w:bottom w:w="0" w:type="dxa"/>
              <w:right w:w="0" w:type="dxa"/>
            </w:tcMar>
            <w:vAlign w:val="center"/>
          </w:tcPr>
          <w:p w14:paraId="5C38E49A" w14:textId="77777777" w:rsidR="001C19F3" w:rsidRDefault="001C19F3" w:rsidP="00521305">
            <w:pPr>
              <w:spacing w:before="40" w:after="40"/>
              <w:ind w:left="40" w:right="40"/>
              <w:jc w:val="center"/>
            </w:pPr>
            <w:r>
              <w:rPr>
                <w:rFonts w:cs="Century Gothic"/>
                <w:color w:val="000000"/>
                <w:sz w:val="18"/>
                <w:szCs w:val="18"/>
              </w:rPr>
              <w:t>23 (9.7%)</w:t>
            </w:r>
          </w:p>
        </w:tc>
        <w:tc>
          <w:tcPr>
            <w:tcW w:w="588" w:type="pct"/>
            <w:shd w:val="clear" w:color="auto" w:fill="FFFFFF"/>
            <w:tcMar>
              <w:top w:w="0" w:type="dxa"/>
              <w:left w:w="0" w:type="dxa"/>
              <w:bottom w:w="0" w:type="dxa"/>
              <w:right w:w="0" w:type="dxa"/>
            </w:tcMar>
            <w:vAlign w:val="center"/>
          </w:tcPr>
          <w:p w14:paraId="0DA6DA84" w14:textId="77777777" w:rsidR="001C19F3" w:rsidRDefault="001C19F3" w:rsidP="00521305">
            <w:pPr>
              <w:spacing w:before="40" w:after="40"/>
              <w:ind w:left="40" w:right="40"/>
              <w:jc w:val="center"/>
            </w:pPr>
            <w:r>
              <w:rPr>
                <w:rFonts w:cs="Century Gothic"/>
                <w:color w:val="000000"/>
                <w:sz w:val="18"/>
                <w:szCs w:val="18"/>
              </w:rPr>
              <w:t>90 (37.8%)</w:t>
            </w:r>
          </w:p>
        </w:tc>
        <w:tc>
          <w:tcPr>
            <w:tcW w:w="588" w:type="pct"/>
            <w:shd w:val="clear" w:color="auto" w:fill="FFFFFF"/>
            <w:tcMar>
              <w:top w:w="0" w:type="dxa"/>
              <w:left w:w="0" w:type="dxa"/>
              <w:bottom w:w="0" w:type="dxa"/>
              <w:right w:w="0" w:type="dxa"/>
            </w:tcMar>
            <w:vAlign w:val="center"/>
          </w:tcPr>
          <w:p w14:paraId="5519A303" w14:textId="77777777" w:rsidR="001C19F3" w:rsidRDefault="001C19F3" w:rsidP="00521305">
            <w:pPr>
              <w:spacing w:before="40" w:after="40"/>
              <w:ind w:left="40" w:right="40"/>
              <w:jc w:val="center"/>
            </w:pPr>
            <w:r>
              <w:rPr>
                <w:rFonts w:cs="Century Gothic"/>
                <w:color w:val="000000"/>
                <w:sz w:val="18"/>
                <w:szCs w:val="18"/>
              </w:rPr>
              <w:t>6 (2.5%)</w:t>
            </w:r>
          </w:p>
        </w:tc>
        <w:tc>
          <w:tcPr>
            <w:tcW w:w="588" w:type="pct"/>
            <w:shd w:val="clear" w:color="auto" w:fill="FFFFFF"/>
            <w:tcMar>
              <w:top w:w="0" w:type="dxa"/>
              <w:left w:w="0" w:type="dxa"/>
              <w:bottom w:w="0" w:type="dxa"/>
              <w:right w:w="0" w:type="dxa"/>
            </w:tcMar>
            <w:vAlign w:val="center"/>
          </w:tcPr>
          <w:p w14:paraId="538F989C" w14:textId="77777777" w:rsidR="001C19F3" w:rsidRDefault="001C19F3" w:rsidP="00521305">
            <w:pPr>
              <w:spacing w:before="40" w:after="40"/>
              <w:ind w:left="40" w:right="40"/>
              <w:jc w:val="center"/>
            </w:pPr>
            <w:r>
              <w:rPr>
                <w:rFonts w:cs="Century Gothic"/>
                <w:color w:val="000000"/>
                <w:sz w:val="18"/>
                <w:szCs w:val="18"/>
              </w:rPr>
              <w:t>5 (2.1%)</w:t>
            </w:r>
          </w:p>
        </w:tc>
        <w:tc>
          <w:tcPr>
            <w:tcW w:w="588" w:type="pct"/>
            <w:shd w:val="clear" w:color="auto" w:fill="FFFFFF"/>
            <w:tcMar>
              <w:top w:w="0" w:type="dxa"/>
              <w:left w:w="0" w:type="dxa"/>
              <w:bottom w:w="0" w:type="dxa"/>
              <w:right w:w="0" w:type="dxa"/>
            </w:tcMar>
            <w:vAlign w:val="center"/>
          </w:tcPr>
          <w:p w14:paraId="46DE6F70" w14:textId="77777777" w:rsidR="001C19F3" w:rsidRDefault="001C19F3" w:rsidP="00521305">
            <w:pPr>
              <w:spacing w:before="40" w:after="40"/>
              <w:ind w:left="40" w:right="40"/>
              <w:jc w:val="center"/>
            </w:pPr>
            <w:r>
              <w:rPr>
                <w:rFonts w:cs="Century Gothic"/>
                <w:color w:val="000000"/>
                <w:sz w:val="18"/>
                <w:szCs w:val="18"/>
              </w:rPr>
              <w:t>7 (2.9%)</w:t>
            </w:r>
          </w:p>
        </w:tc>
      </w:tr>
      <w:tr w:rsidR="001C19F3" w14:paraId="1003448D"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0A7D3737" w14:textId="77777777" w:rsidR="001C19F3" w:rsidRDefault="001C19F3" w:rsidP="00521305">
            <w:pPr>
              <w:spacing w:before="40" w:after="40"/>
              <w:ind w:left="40" w:right="40"/>
            </w:pPr>
            <w:r>
              <w:rPr>
                <w:rFonts w:cs="Century Gothic"/>
                <w:color w:val="000000"/>
                <w:sz w:val="18"/>
                <w:szCs w:val="18"/>
              </w:rPr>
              <w:t>Improved technique/usage of medication devices</w:t>
            </w:r>
          </w:p>
        </w:tc>
        <w:tc>
          <w:tcPr>
            <w:tcW w:w="588" w:type="pct"/>
            <w:shd w:val="clear" w:color="auto" w:fill="FFFFFF"/>
            <w:tcMar>
              <w:top w:w="0" w:type="dxa"/>
              <w:left w:w="0" w:type="dxa"/>
              <w:bottom w:w="0" w:type="dxa"/>
              <w:right w:w="0" w:type="dxa"/>
            </w:tcMar>
            <w:vAlign w:val="center"/>
          </w:tcPr>
          <w:p w14:paraId="00BBF7D9" w14:textId="77777777" w:rsidR="001C19F3" w:rsidRDefault="001C19F3" w:rsidP="00521305">
            <w:pPr>
              <w:spacing w:before="40" w:after="40"/>
              <w:ind w:left="40" w:right="40"/>
              <w:jc w:val="center"/>
            </w:pPr>
            <w:r>
              <w:rPr>
                <w:rFonts w:cs="Century Gothic"/>
                <w:color w:val="000000"/>
                <w:sz w:val="18"/>
                <w:szCs w:val="18"/>
              </w:rPr>
              <w:t>6 (8.7%)</w:t>
            </w:r>
          </w:p>
        </w:tc>
        <w:tc>
          <w:tcPr>
            <w:tcW w:w="588" w:type="pct"/>
            <w:shd w:val="clear" w:color="auto" w:fill="FFFFFF"/>
            <w:tcMar>
              <w:top w:w="0" w:type="dxa"/>
              <w:left w:w="0" w:type="dxa"/>
              <w:bottom w:w="0" w:type="dxa"/>
              <w:right w:w="0" w:type="dxa"/>
            </w:tcMar>
            <w:vAlign w:val="center"/>
          </w:tcPr>
          <w:p w14:paraId="46200285" w14:textId="77777777" w:rsidR="001C19F3" w:rsidRDefault="001C19F3" w:rsidP="00521305">
            <w:pPr>
              <w:spacing w:before="40" w:after="40"/>
              <w:ind w:left="40" w:right="40"/>
              <w:jc w:val="center"/>
            </w:pPr>
            <w:r>
              <w:rPr>
                <w:rFonts w:cs="Century Gothic"/>
                <w:color w:val="000000"/>
                <w:sz w:val="18"/>
                <w:szCs w:val="18"/>
              </w:rPr>
              <w:t>5 (7.2%)</w:t>
            </w:r>
          </w:p>
        </w:tc>
        <w:tc>
          <w:tcPr>
            <w:tcW w:w="588" w:type="pct"/>
            <w:shd w:val="clear" w:color="auto" w:fill="FFFFFF"/>
            <w:tcMar>
              <w:top w:w="0" w:type="dxa"/>
              <w:left w:w="0" w:type="dxa"/>
              <w:bottom w:w="0" w:type="dxa"/>
              <w:right w:w="0" w:type="dxa"/>
            </w:tcMar>
            <w:vAlign w:val="center"/>
          </w:tcPr>
          <w:p w14:paraId="550D751E" w14:textId="77777777" w:rsidR="001C19F3" w:rsidRDefault="001C19F3" w:rsidP="00521305">
            <w:pPr>
              <w:spacing w:before="40" w:after="40"/>
              <w:ind w:left="40" w:right="40"/>
              <w:jc w:val="center"/>
            </w:pPr>
            <w:r>
              <w:rPr>
                <w:rFonts w:cs="Century Gothic"/>
                <w:color w:val="000000"/>
                <w:sz w:val="18"/>
                <w:szCs w:val="18"/>
              </w:rPr>
              <w:t>2 (2.9%)</w:t>
            </w:r>
          </w:p>
        </w:tc>
        <w:tc>
          <w:tcPr>
            <w:tcW w:w="588" w:type="pct"/>
            <w:shd w:val="clear" w:color="auto" w:fill="FFFFFF"/>
            <w:tcMar>
              <w:top w:w="0" w:type="dxa"/>
              <w:left w:w="0" w:type="dxa"/>
              <w:bottom w:w="0" w:type="dxa"/>
              <w:right w:w="0" w:type="dxa"/>
            </w:tcMar>
            <w:vAlign w:val="center"/>
          </w:tcPr>
          <w:p w14:paraId="0052EC2D" w14:textId="77777777" w:rsidR="001C19F3" w:rsidRDefault="001C19F3" w:rsidP="00521305">
            <w:pPr>
              <w:spacing w:before="40" w:after="40"/>
              <w:ind w:left="40" w:right="40"/>
              <w:jc w:val="center"/>
            </w:pPr>
            <w:r>
              <w:rPr>
                <w:rFonts w:cs="Century Gothic"/>
                <w:color w:val="000000"/>
                <w:sz w:val="18"/>
                <w:szCs w:val="18"/>
              </w:rPr>
              <w:t>0</w:t>
            </w:r>
          </w:p>
        </w:tc>
        <w:tc>
          <w:tcPr>
            <w:tcW w:w="588" w:type="pct"/>
            <w:shd w:val="clear" w:color="auto" w:fill="FFFFFF"/>
            <w:tcMar>
              <w:top w:w="0" w:type="dxa"/>
              <w:left w:w="0" w:type="dxa"/>
              <w:bottom w:w="0" w:type="dxa"/>
              <w:right w:w="0" w:type="dxa"/>
            </w:tcMar>
            <w:vAlign w:val="center"/>
          </w:tcPr>
          <w:p w14:paraId="083B1986" w14:textId="77777777" w:rsidR="001C19F3" w:rsidRDefault="001C19F3" w:rsidP="00521305">
            <w:pPr>
              <w:spacing w:before="40" w:after="40"/>
              <w:ind w:left="40" w:right="40"/>
              <w:jc w:val="center"/>
            </w:pPr>
            <w:r>
              <w:rPr>
                <w:rFonts w:cs="Century Gothic"/>
                <w:color w:val="000000"/>
                <w:sz w:val="18"/>
                <w:szCs w:val="18"/>
              </w:rPr>
              <w:t>15 (21.7%)</w:t>
            </w:r>
          </w:p>
        </w:tc>
        <w:tc>
          <w:tcPr>
            <w:tcW w:w="588" w:type="pct"/>
            <w:shd w:val="clear" w:color="auto" w:fill="FFFFFF"/>
            <w:tcMar>
              <w:top w:w="0" w:type="dxa"/>
              <w:left w:w="0" w:type="dxa"/>
              <w:bottom w:w="0" w:type="dxa"/>
              <w:right w:w="0" w:type="dxa"/>
            </w:tcMar>
            <w:vAlign w:val="center"/>
          </w:tcPr>
          <w:p w14:paraId="5E4ECC5F" w14:textId="77777777" w:rsidR="001C19F3" w:rsidRDefault="001C19F3" w:rsidP="00521305">
            <w:pPr>
              <w:spacing w:before="40" w:after="40"/>
              <w:ind w:left="40" w:right="40"/>
              <w:jc w:val="center"/>
            </w:pPr>
            <w:r>
              <w:rPr>
                <w:rFonts w:cs="Century Gothic"/>
                <w:color w:val="000000"/>
                <w:sz w:val="18"/>
                <w:szCs w:val="18"/>
              </w:rPr>
              <w:t>1 (1.4%)</w:t>
            </w:r>
          </w:p>
        </w:tc>
      </w:tr>
      <w:tr w:rsidR="001C19F3" w14:paraId="2AD00254"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68699CED" w14:textId="77777777" w:rsidR="001C19F3" w:rsidRDefault="001C19F3" w:rsidP="00521305">
            <w:pPr>
              <w:spacing w:before="40" w:after="40"/>
              <w:ind w:left="40" w:right="40"/>
            </w:pPr>
            <w:r>
              <w:rPr>
                <w:rFonts w:cs="Century Gothic"/>
                <w:color w:val="000000"/>
                <w:sz w:val="18"/>
                <w:szCs w:val="18"/>
              </w:rPr>
              <w:t>Optimise the medication dose and/or number or type of medicines</w:t>
            </w:r>
          </w:p>
        </w:tc>
        <w:tc>
          <w:tcPr>
            <w:tcW w:w="588" w:type="pct"/>
            <w:shd w:val="clear" w:color="auto" w:fill="FFFFFF"/>
            <w:tcMar>
              <w:top w:w="0" w:type="dxa"/>
              <w:left w:w="0" w:type="dxa"/>
              <w:bottom w:w="0" w:type="dxa"/>
              <w:right w:w="0" w:type="dxa"/>
            </w:tcMar>
            <w:vAlign w:val="center"/>
          </w:tcPr>
          <w:p w14:paraId="36B629C8" w14:textId="77777777" w:rsidR="001C19F3" w:rsidRDefault="001C19F3" w:rsidP="00521305">
            <w:pPr>
              <w:spacing w:before="40" w:after="40"/>
              <w:ind w:left="40" w:right="40"/>
              <w:jc w:val="center"/>
            </w:pPr>
            <w:r>
              <w:rPr>
                <w:rFonts w:cs="Century Gothic"/>
                <w:color w:val="000000"/>
                <w:sz w:val="18"/>
                <w:szCs w:val="18"/>
              </w:rPr>
              <w:t>2 (2.4%)</w:t>
            </w:r>
          </w:p>
        </w:tc>
        <w:tc>
          <w:tcPr>
            <w:tcW w:w="588" w:type="pct"/>
            <w:shd w:val="clear" w:color="auto" w:fill="FFFFFF"/>
            <w:tcMar>
              <w:top w:w="0" w:type="dxa"/>
              <w:left w:w="0" w:type="dxa"/>
              <w:bottom w:w="0" w:type="dxa"/>
              <w:right w:w="0" w:type="dxa"/>
            </w:tcMar>
            <w:vAlign w:val="center"/>
          </w:tcPr>
          <w:p w14:paraId="056DB6E6" w14:textId="77777777" w:rsidR="001C19F3" w:rsidRDefault="001C19F3" w:rsidP="00521305">
            <w:pPr>
              <w:spacing w:before="40" w:after="40"/>
              <w:ind w:left="40" w:right="40"/>
              <w:jc w:val="center"/>
            </w:pPr>
            <w:r>
              <w:rPr>
                <w:rFonts w:cs="Century Gothic"/>
                <w:color w:val="000000"/>
                <w:sz w:val="18"/>
                <w:szCs w:val="18"/>
              </w:rPr>
              <w:t>0</w:t>
            </w:r>
          </w:p>
        </w:tc>
        <w:tc>
          <w:tcPr>
            <w:tcW w:w="588" w:type="pct"/>
            <w:shd w:val="clear" w:color="auto" w:fill="FFFFFF"/>
            <w:tcMar>
              <w:top w:w="0" w:type="dxa"/>
              <w:left w:w="0" w:type="dxa"/>
              <w:bottom w:w="0" w:type="dxa"/>
              <w:right w:w="0" w:type="dxa"/>
            </w:tcMar>
            <w:vAlign w:val="center"/>
          </w:tcPr>
          <w:p w14:paraId="5D0E55D7" w14:textId="77777777" w:rsidR="001C19F3" w:rsidRDefault="001C19F3" w:rsidP="00521305">
            <w:pPr>
              <w:spacing w:before="40" w:after="40"/>
              <w:ind w:left="40" w:right="40"/>
              <w:jc w:val="center"/>
            </w:pPr>
            <w:r>
              <w:rPr>
                <w:rFonts w:cs="Century Gothic"/>
                <w:color w:val="000000"/>
                <w:sz w:val="18"/>
                <w:szCs w:val="18"/>
              </w:rPr>
              <w:t>8 (9.6%)</w:t>
            </w:r>
          </w:p>
        </w:tc>
        <w:tc>
          <w:tcPr>
            <w:tcW w:w="588" w:type="pct"/>
            <w:shd w:val="clear" w:color="auto" w:fill="FFFFFF"/>
            <w:tcMar>
              <w:top w:w="0" w:type="dxa"/>
              <w:left w:w="0" w:type="dxa"/>
              <w:bottom w:w="0" w:type="dxa"/>
              <w:right w:w="0" w:type="dxa"/>
            </w:tcMar>
            <w:vAlign w:val="center"/>
          </w:tcPr>
          <w:p w14:paraId="0A001378" w14:textId="77777777" w:rsidR="001C19F3" w:rsidRDefault="001C19F3" w:rsidP="00521305">
            <w:pPr>
              <w:spacing w:before="40" w:after="40"/>
              <w:ind w:left="40" w:right="40"/>
              <w:jc w:val="center"/>
            </w:pPr>
            <w:r>
              <w:rPr>
                <w:rFonts w:cs="Century Gothic"/>
                <w:color w:val="000000"/>
                <w:sz w:val="18"/>
                <w:szCs w:val="18"/>
              </w:rPr>
              <w:t>5 (6.0%)</w:t>
            </w:r>
          </w:p>
        </w:tc>
        <w:tc>
          <w:tcPr>
            <w:tcW w:w="588" w:type="pct"/>
            <w:shd w:val="clear" w:color="auto" w:fill="FFFFFF"/>
            <w:tcMar>
              <w:top w:w="0" w:type="dxa"/>
              <w:left w:w="0" w:type="dxa"/>
              <w:bottom w:w="0" w:type="dxa"/>
              <w:right w:w="0" w:type="dxa"/>
            </w:tcMar>
            <w:vAlign w:val="center"/>
          </w:tcPr>
          <w:p w14:paraId="3FF78775" w14:textId="77777777" w:rsidR="001C19F3" w:rsidRDefault="001C19F3" w:rsidP="00521305">
            <w:pPr>
              <w:spacing w:before="40" w:after="40"/>
              <w:ind w:left="40" w:right="40"/>
              <w:jc w:val="center"/>
            </w:pPr>
            <w:r>
              <w:rPr>
                <w:rFonts w:cs="Century Gothic"/>
                <w:color w:val="000000"/>
                <w:sz w:val="18"/>
                <w:szCs w:val="18"/>
              </w:rPr>
              <w:t>1 (1.2%)</w:t>
            </w:r>
          </w:p>
        </w:tc>
        <w:tc>
          <w:tcPr>
            <w:tcW w:w="588" w:type="pct"/>
            <w:shd w:val="clear" w:color="auto" w:fill="FFFFFF"/>
            <w:tcMar>
              <w:top w:w="0" w:type="dxa"/>
              <w:left w:w="0" w:type="dxa"/>
              <w:bottom w:w="0" w:type="dxa"/>
              <w:right w:w="0" w:type="dxa"/>
            </w:tcMar>
            <w:vAlign w:val="center"/>
          </w:tcPr>
          <w:p w14:paraId="16147B6F" w14:textId="77777777" w:rsidR="001C19F3" w:rsidRDefault="001C19F3" w:rsidP="00521305">
            <w:pPr>
              <w:spacing w:before="40" w:after="40"/>
              <w:ind w:left="40" w:right="40"/>
              <w:jc w:val="center"/>
            </w:pPr>
            <w:r>
              <w:rPr>
                <w:rFonts w:cs="Century Gothic"/>
                <w:color w:val="000000"/>
                <w:sz w:val="18"/>
                <w:szCs w:val="18"/>
              </w:rPr>
              <w:t>17 (20.5%)</w:t>
            </w:r>
          </w:p>
        </w:tc>
      </w:tr>
      <w:tr w:rsidR="001C19F3" w14:paraId="39362206"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08F6226A" w14:textId="77777777" w:rsidR="001C19F3" w:rsidRDefault="001C19F3" w:rsidP="00521305">
            <w:pPr>
              <w:spacing w:before="40" w:after="40"/>
              <w:ind w:left="40" w:right="40"/>
            </w:pPr>
            <w:r>
              <w:rPr>
                <w:rFonts w:cs="Century Gothic"/>
                <w:color w:val="000000"/>
                <w:sz w:val="18"/>
                <w:szCs w:val="18"/>
              </w:rPr>
              <w:t>Reduced medication side effects</w:t>
            </w:r>
          </w:p>
        </w:tc>
        <w:tc>
          <w:tcPr>
            <w:tcW w:w="588" w:type="pct"/>
            <w:shd w:val="clear" w:color="auto" w:fill="FFFFFF"/>
            <w:tcMar>
              <w:top w:w="0" w:type="dxa"/>
              <w:left w:w="0" w:type="dxa"/>
              <w:bottom w:w="0" w:type="dxa"/>
              <w:right w:w="0" w:type="dxa"/>
            </w:tcMar>
            <w:vAlign w:val="center"/>
          </w:tcPr>
          <w:p w14:paraId="65930470" w14:textId="77777777" w:rsidR="001C19F3" w:rsidRDefault="001C19F3" w:rsidP="00521305">
            <w:pPr>
              <w:spacing w:before="40" w:after="40"/>
              <w:ind w:left="40" w:right="40"/>
              <w:jc w:val="center"/>
            </w:pPr>
            <w:r>
              <w:rPr>
                <w:rFonts w:cs="Century Gothic"/>
                <w:color w:val="000000"/>
                <w:sz w:val="18"/>
                <w:szCs w:val="18"/>
              </w:rPr>
              <w:t>0</w:t>
            </w:r>
          </w:p>
        </w:tc>
        <w:tc>
          <w:tcPr>
            <w:tcW w:w="588" w:type="pct"/>
            <w:shd w:val="clear" w:color="auto" w:fill="FFFFFF"/>
            <w:tcMar>
              <w:top w:w="0" w:type="dxa"/>
              <w:left w:w="0" w:type="dxa"/>
              <w:bottom w:w="0" w:type="dxa"/>
              <w:right w:w="0" w:type="dxa"/>
            </w:tcMar>
            <w:vAlign w:val="center"/>
          </w:tcPr>
          <w:p w14:paraId="541E24E9" w14:textId="77777777" w:rsidR="001C19F3" w:rsidRDefault="001C19F3" w:rsidP="00521305">
            <w:pPr>
              <w:spacing w:before="40" w:after="40"/>
              <w:ind w:left="40" w:right="40"/>
              <w:jc w:val="center"/>
            </w:pPr>
            <w:r>
              <w:rPr>
                <w:rFonts w:cs="Century Gothic"/>
                <w:color w:val="000000"/>
                <w:sz w:val="18"/>
                <w:szCs w:val="18"/>
              </w:rPr>
              <w:t>0</w:t>
            </w:r>
          </w:p>
        </w:tc>
        <w:tc>
          <w:tcPr>
            <w:tcW w:w="588" w:type="pct"/>
            <w:shd w:val="clear" w:color="auto" w:fill="FFFFFF"/>
            <w:tcMar>
              <w:top w:w="0" w:type="dxa"/>
              <w:left w:w="0" w:type="dxa"/>
              <w:bottom w:w="0" w:type="dxa"/>
              <w:right w:w="0" w:type="dxa"/>
            </w:tcMar>
            <w:vAlign w:val="center"/>
          </w:tcPr>
          <w:p w14:paraId="237AF1E3" w14:textId="77777777" w:rsidR="001C19F3" w:rsidRDefault="001C19F3" w:rsidP="00521305">
            <w:pPr>
              <w:spacing w:before="40" w:after="40"/>
              <w:ind w:left="40" w:right="40"/>
              <w:jc w:val="center"/>
            </w:pPr>
            <w:r>
              <w:rPr>
                <w:rFonts w:cs="Century Gothic"/>
                <w:color w:val="000000"/>
                <w:sz w:val="18"/>
                <w:szCs w:val="18"/>
              </w:rPr>
              <w:t>2 (5.3%)</w:t>
            </w:r>
          </w:p>
        </w:tc>
        <w:tc>
          <w:tcPr>
            <w:tcW w:w="588" w:type="pct"/>
            <w:shd w:val="clear" w:color="auto" w:fill="FFFFFF"/>
            <w:tcMar>
              <w:top w:w="0" w:type="dxa"/>
              <w:left w:w="0" w:type="dxa"/>
              <w:bottom w:w="0" w:type="dxa"/>
              <w:right w:w="0" w:type="dxa"/>
            </w:tcMar>
            <w:vAlign w:val="center"/>
          </w:tcPr>
          <w:p w14:paraId="3E9E52E1" w14:textId="77777777" w:rsidR="001C19F3" w:rsidRDefault="001C19F3" w:rsidP="00521305">
            <w:pPr>
              <w:spacing w:before="40" w:after="40"/>
              <w:ind w:left="40" w:right="40"/>
              <w:jc w:val="center"/>
            </w:pPr>
            <w:r>
              <w:rPr>
                <w:rFonts w:cs="Century Gothic"/>
                <w:color w:val="000000"/>
                <w:sz w:val="18"/>
                <w:szCs w:val="18"/>
              </w:rPr>
              <w:t>0</w:t>
            </w:r>
          </w:p>
        </w:tc>
        <w:tc>
          <w:tcPr>
            <w:tcW w:w="588" w:type="pct"/>
            <w:shd w:val="clear" w:color="auto" w:fill="FFFFFF"/>
            <w:tcMar>
              <w:top w:w="0" w:type="dxa"/>
              <w:left w:w="0" w:type="dxa"/>
              <w:bottom w:w="0" w:type="dxa"/>
              <w:right w:w="0" w:type="dxa"/>
            </w:tcMar>
            <w:vAlign w:val="center"/>
          </w:tcPr>
          <w:p w14:paraId="5ADE4B2B" w14:textId="77777777" w:rsidR="001C19F3" w:rsidRDefault="001C19F3" w:rsidP="00521305">
            <w:pPr>
              <w:spacing w:before="40" w:after="40"/>
              <w:ind w:left="40" w:right="40"/>
              <w:jc w:val="center"/>
            </w:pPr>
            <w:r>
              <w:rPr>
                <w:rFonts w:cs="Century Gothic"/>
                <w:color w:val="000000"/>
                <w:sz w:val="18"/>
                <w:szCs w:val="18"/>
              </w:rPr>
              <w:t>1 (2.6%)</w:t>
            </w:r>
          </w:p>
        </w:tc>
        <w:tc>
          <w:tcPr>
            <w:tcW w:w="588" w:type="pct"/>
            <w:shd w:val="clear" w:color="auto" w:fill="FFFFFF"/>
            <w:tcMar>
              <w:top w:w="0" w:type="dxa"/>
              <w:left w:w="0" w:type="dxa"/>
              <w:bottom w:w="0" w:type="dxa"/>
              <w:right w:w="0" w:type="dxa"/>
            </w:tcMar>
            <w:vAlign w:val="center"/>
          </w:tcPr>
          <w:p w14:paraId="1CF68AC3" w14:textId="77777777" w:rsidR="001C19F3" w:rsidRDefault="001C19F3" w:rsidP="00521305">
            <w:pPr>
              <w:spacing w:before="40" w:after="40"/>
              <w:ind w:left="40" w:right="40"/>
              <w:jc w:val="center"/>
            </w:pPr>
            <w:r>
              <w:rPr>
                <w:rFonts w:cs="Century Gothic"/>
                <w:color w:val="000000"/>
                <w:sz w:val="18"/>
                <w:szCs w:val="18"/>
              </w:rPr>
              <w:t>10 (26.3%)</w:t>
            </w:r>
          </w:p>
        </w:tc>
      </w:tr>
      <w:tr w:rsidR="001C19F3" w14:paraId="43FD9C16"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6CC40915" w14:textId="77777777" w:rsidR="001C19F3" w:rsidRDefault="001C19F3" w:rsidP="00521305">
            <w:pPr>
              <w:spacing w:before="40" w:after="40"/>
              <w:ind w:left="40" w:right="40"/>
            </w:pPr>
            <w:r>
              <w:rPr>
                <w:rFonts w:cs="Century Gothic"/>
                <w:color w:val="000000"/>
                <w:sz w:val="18"/>
                <w:szCs w:val="18"/>
              </w:rPr>
              <w:t>Other</w:t>
            </w:r>
          </w:p>
        </w:tc>
        <w:tc>
          <w:tcPr>
            <w:tcW w:w="588" w:type="pct"/>
            <w:shd w:val="clear" w:color="auto" w:fill="FFFFFF"/>
            <w:tcMar>
              <w:top w:w="0" w:type="dxa"/>
              <w:left w:w="0" w:type="dxa"/>
              <w:bottom w:w="0" w:type="dxa"/>
              <w:right w:w="0" w:type="dxa"/>
            </w:tcMar>
            <w:vAlign w:val="center"/>
          </w:tcPr>
          <w:p w14:paraId="379D60B7" w14:textId="77777777" w:rsidR="001C19F3" w:rsidRDefault="001C19F3" w:rsidP="00521305">
            <w:pPr>
              <w:spacing w:before="40" w:after="40"/>
              <w:ind w:left="40" w:right="40"/>
              <w:jc w:val="center"/>
            </w:pPr>
            <w:r>
              <w:rPr>
                <w:rFonts w:cs="Century Gothic"/>
                <w:color w:val="000000"/>
                <w:sz w:val="18"/>
                <w:szCs w:val="18"/>
              </w:rPr>
              <w:t>3 (3.4%)</w:t>
            </w:r>
          </w:p>
        </w:tc>
        <w:tc>
          <w:tcPr>
            <w:tcW w:w="588" w:type="pct"/>
            <w:shd w:val="clear" w:color="auto" w:fill="FFFFFF"/>
            <w:tcMar>
              <w:top w:w="0" w:type="dxa"/>
              <w:left w:w="0" w:type="dxa"/>
              <w:bottom w:w="0" w:type="dxa"/>
              <w:right w:w="0" w:type="dxa"/>
            </w:tcMar>
            <w:vAlign w:val="center"/>
          </w:tcPr>
          <w:p w14:paraId="2B943083" w14:textId="77777777" w:rsidR="001C19F3" w:rsidRDefault="001C19F3" w:rsidP="00521305">
            <w:pPr>
              <w:spacing w:before="40" w:after="40"/>
              <w:ind w:left="40" w:right="40"/>
              <w:jc w:val="center"/>
            </w:pPr>
            <w:r>
              <w:rPr>
                <w:rFonts w:cs="Century Gothic"/>
                <w:color w:val="000000"/>
                <w:sz w:val="18"/>
                <w:szCs w:val="18"/>
              </w:rPr>
              <w:t>5 (5.7%)</w:t>
            </w:r>
          </w:p>
        </w:tc>
        <w:tc>
          <w:tcPr>
            <w:tcW w:w="588" w:type="pct"/>
            <w:shd w:val="clear" w:color="auto" w:fill="FFFFFF"/>
            <w:tcMar>
              <w:top w:w="0" w:type="dxa"/>
              <w:left w:w="0" w:type="dxa"/>
              <w:bottom w:w="0" w:type="dxa"/>
              <w:right w:w="0" w:type="dxa"/>
            </w:tcMar>
            <w:vAlign w:val="center"/>
          </w:tcPr>
          <w:p w14:paraId="6F15D7DF" w14:textId="77777777" w:rsidR="001C19F3" w:rsidRDefault="001C19F3" w:rsidP="00521305">
            <w:pPr>
              <w:spacing w:before="40" w:after="40"/>
              <w:ind w:left="40" w:right="40"/>
              <w:jc w:val="center"/>
            </w:pPr>
            <w:r>
              <w:rPr>
                <w:rFonts w:cs="Century Gothic"/>
                <w:color w:val="000000"/>
                <w:sz w:val="18"/>
                <w:szCs w:val="18"/>
              </w:rPr>
              <w:t>26 (29.9%)</w:t>
            </w:r>
          </w:p>
        </w:tc>
        <w:tc>
          <w:tcPr>
            <w:tcW w:w="588" w:type="pct"/>
            <w:shd w:val="clear" w:color="auto" w:fill="FFFFFF"/>
            <w:tcMar>
              <w:top w:w="0" w:type="dxa"/>
              <w:left w:w="0" w:type="dxa"/>
              <w:bottom w:w="0" w:type="dxa"/>
              <w:right w:w="0" w:type="dxa"/>
            </w:tcMar>
            <w:vAlign w:val="center"/>
          </w:tcPr>
          <w:p w14:paraId="34076E63" w14:textId="77777777" w:rsidR="001C19F3" w:rsidRDefault="001C19F3" w:rsidP="00521305">
            <w:pPr>
              <w:spacing w:before="40" w:after="40"/>
              <w:ind w:left="40" w:right="40"/>
              <w:jc w:val="center"/>
            </w:pPr>
            <w:r>
              <w:rPr>
                <w:rFonts w:cs="Century Gothic"/>
                <w:color w:val="000000"/>
                <w:sz w:val="18"/>
                <w:szCs w:val="18"/>
              </w:rPr>
              <w:t>9 (10.3%)</w:t>
            </w:r>
          </w:p>
        </w:tc>
        <w:tc>
          <w:tcPr>
            <w:tcW w:w="588" w:type="pct"/>
            <w:shd w:val="clear" w:color="auto" w:fill="FFFFFF"/>
            <w:tcMar>
              <w:top w:w="0" w:type="dxa"/>
              <w:left w:w="0" w:type="dxa"/>
              <w:bottom w:w="0" w:type="dxa"/>
              <w:right w:w="0" w:type="dxa"/>
            </w:tcMar>
            <w:vAlign w:val="center"/>
          </w:tcPr>
          <w:p w14:paraId="1C22A6DB" w14:textId="77777777" w:rsidR="001C19F3" w:rsidRDefault="001C19F3" w:rsidP="00521305">
            <w:pPr>
              <w:spacing w:before="40" w:after="40"/>
              <w:ind w:left="40" w:right="40"/>
              <w:jc w:val="center"/>
            </w:pPr>
            <w:r>
              <w:rPr>
                <w:rFonts w:cs="Century Gothic"/>
                <w:color w:val="000000"/>
                <w:sz w:val="18"/>
                <w:szCs w:val="18"/>
              </w:rPr>
              <w:t>2 (2.3%)</w:t>
            </w:r>
          </w:p>
        </w:tc>
        <w:tc>
          <w:tcPr>
            <w:tcW w:w="588" w:type="pct"/>
            <w:shd w:val="clear" w:color="auto" w:fill="FFFFFF"/>
            <w:tcMar>
              <w:top w:w="0" w:type="dxa"/>
              <w:left w:w="0" w:type="dxa"/>
              <w:bottom w:w="0" w:type="dxa"/>
              <w:right w:w="0" w:type="dxa"/>
            </w:tcMar>
            <w:vAlign w:val="center"/>
          </w:tcPr>
          <w:p w14:paraId="7867DFB2" w14:textId="77777777" w:rsidR="001C19F3" w:rsidRDefault="001C19F3" w:rsidP="00521305">
            <w:pPr>
              <w:spacing w:before="40" w:after="40"/>
              <w:ind w:left="40" w:right="40"/>
              <w:jc w:val="center"/>
            </w:pPr>
            <w:r>
              <w:rPr>
                <w:rFonts w:cs="Century Gothic"/>
                <w:color w:val="000000"/>
                <w:sz w:val="18"/>
                <w:szCs w:val="18"/>
              </w:rPr>
              <w:t>13 (14.9%)</w:t>
            </w:r>
          </w:p>
        </w:tc>
      </w:tr>
      <w:tr w:rsidR="001C19F3" w14:paraId="7F36E726" w14:textId="77777777" w:rsidTr="00521305">
        <w:trPr>
          <w:cantSplit/>
          <w:trHeight w:val="288"/>
          <w:jc w:val="center"/>
        </w:trPr>
        <w:tc>
          <w:tcPr>
            <w:tcW w:w="1471" w:type="pct"/>
            <w:shd w:val="clear" w:color="auto" w:fill="FFFFFF"/>
            <w:tcMar>
              <w:top w:w="0" w:type="dxa"/>
              <w:left w:w="0" w:type="dxa"/>
              <w:bottom w:w="0" w:type="dxa"/>
              <w:right w:w="0" w:type="dxa"/>
            </w:tcMar>
            <w:vAlign w:val="center"/>
          </w:tcPr>
          <w:p w14:paraId="7359CB89" w14:textId="77777777" w:rsidR="001C19F3" w:rsidRDefault="001C19F3" w:rsidP="00521305">
            <w:pPr>
              <w:spacing w:before="40" w:after="40"/>
              <w:ind w:left="40" w:right="40"/>
            </w:pPr>
            <w:r>
              <w:rPr>
                <w:rFonts w:cs="Century Gothic"/>
                <w:color w:val="000000"/>
                <w:sz w:val="18"/>
                <w:szCs w:val="18"/>
              </w:rPr>
              <w:t>Total number of patients receiving the service</w:t>
            </w:r>
          </w:p>
        </w:tc>
        <w:tc>
          <w:tcPr>
            <w:tcW w:w="588" w:type="pct"/>
            <w:shd w:val="clear" w:color="auto" w:fill="FFFFFF"/>
            <w:tcMar>
              <w:top w:w="0" w:type="dxa"/>
              <w:left w:w="0" w:type="dxa"/>
              <w:bottom w:w="0" w:type="dxa"/>
              <w:right w:w="0" w:type="dxa"/>
            </w:tcMar>
            <w:vAlign w:val="center"/>
          </w:tcPr>
          <w:p w14:paraId="56E234EA" w14:textId="77777777" w:rsidR="001C19F3" w:rsidRDefault="001C19F3" w:rsidP="00521305">
            <w:pPr>
              <w:spacing w:before="40" w:after="40"/>
              <w:ind w:left="40" w:right="40"/>
              <w:jc w:val="center"/>
            </w:pPr>
            <w:r>
              <w:rPr>
                <w:rFonts w:cs="Century Gothic"/>
                <w:color w:val="000000"/>
                <w:sz w:val="18"/>
                <w:szCs w:val="18"/>
              </w:rPr>
              <w:t>20</w:t>
            </w:r>
          </w:p>
        </w:tc>
        <w:tc>
          <w:tcPr>
            <w:tcW w:w="588" w:type="pct"/>
            <w:shd w:val="clear" w:color="auto" w:fill="FFFFFF"/>
            <w:tcMar>
              <w:top w:w="0" w:type="dxa"/>
              <w:left w:w="0" w:type="dxa"/>
              <w:bottom w:w="0" w:type="dxa"/>
              <w:right w:w="0" w:type="dxa"/>
            </w:tcMar>
            <w:vAlign w:val="center"/>
          </w:tcPr>
          <w:p w14:paraId="3F14CF72" w14:textId="77777777" w:rsidR="001C19F3" w:rsidRDefault="001C19F3" w:rsidP="00521305">
            <w:pPr>
              <w:spacing w:before="40" w:after="40"/>
              <w:ind w:left="40" w:right="40"/>
              <w:jc w:val="center"/>
            </w:pPr>
            <w:r>
              <w:rPr>
                <w:rFonts w:cs="Century Gothic"/>
                <w:color w:val="000000"/>
                <w:sz w:val="18"/>
                <w:szCs w:val="18"/>
              </w:rPr>
              <w:t>40</w:t>
            </w:r>
          </w:p>
        </w:tc>
        <w:tc>
          <w:tcPr>
            <w:tcW w:w="588" w:type="pct"/>
            <w:shd w:val="clear" w:color="auto" w:fill="FFFFFF"/>
            <w:tcMar>
              <w:top w:w="0" w:type="dxa"/>
              <w:left w:w="0" w:type="dxa"/>
              <w:bottom w:w="0" w:type="dxa"/>
              <w:right w:w="0" w:type="dxa"/>
            </w:tcMar>
            <w:vAlign w:val="center"/>
          </w:tcPr>
          <w:p w14:paraId="1C672B79" w14:textId="77777777" w:rsidR="001C19F3" w:rsidRDefault="001C19F3" w:rsidP="00521305">
            <w:pPr>
              <w:spacing w:before="40" w:after="40"/>
              <w:ind w:left="40" w:right="40"/>
              <w:jc w:val="center"/>
            </w:pPr>
            <w:r>
              <w:rPr>
                <w:rFonts w:cs="Century Gothic"/>
                <w:color w:val="000000"/>
                <w:sz w:val="18"/>
                <w:szCs w:val="18"/>
              </w:rPr>
              <w:t>144</w:t>
            </w:r>
          </w:p>
        </w:tc>
        <w:tc>
          <w:tcPr>
            <w:tcW w:w="588" w:type="pct"/>
            <w:shd w:val="clear" w:color="auto" w:fill="FFFFFF"/>
            <w:tcMar>
              <w:top w:w="0" w:type="dxa"/>
              <w:left w:w="0" w:type="dxa"/>
              <w:bottom w:w="0" w:type="dxa"/>
              <w:right w:w="0" w:type="dxa"/>
            </w:tcMar>
            <w:vAlign w:val="center"/>
          </w:tcPr>
          <w:p w14:paraId="3CFB7961" w14:textId="77777777" w:rsidR="001C19F3" w:rsidRDefault="001C19F3" w:rsidP="00521305">
            <w:pPr>
              <w:spacing w:before="40" w:after="40"/>
              <w:ind w:left="40" w:right="40"/>
              <w:jc w:val="center"/>
            </w:pPr>
            <w:r>
              <w:rPr>
                <w:rFonts w:cs="Century Gothic"/>
                <w:color w:val="000000"/>
                <w:sz w:val="18"/>
                <w:szCs w:val="18"/>
              </w:rPr>
              <w:t>115</w:t>
            </w:r>
          </w:p>
        </w:tc>
        <w:tc>
          <w:tcPr>
            <w:tcW w:w="588" w:type="pct"/>
            <w:shd w:val="clear" w:color="auto" w:fill="FFFFFF"/>
            <w:tcMar>
              <w:top w:w="0" w:type="dxa"/>
              <w:left w:w="0" w:type="dxa"/>
              <w:bottom w:w="0" w:type="dxa"/>
              <w:right w:w="0" w:type="dxa"/>
            </w:tcMar>
            <w:vAlign w:val="center"/>
          </w:tcPr>
          <w:p w14:paraId="166C4F77" w14:textId="77777777" w:rsidR="001C19F3" w:rsidRDefault="001C19F3" w:rsidP="00521305">
            <w:pPr>
              <w:spacing w:before="40" w:after="40"/>
              <w:ind w:left="40" w:right="40"/>
              <w:jc w:val="center"/>
            </w:pPr>
            <w:r>
              <w:rPr>
                <w:rFonts w:cs="Century Gothic"/>
                <w:color w:val="000000"/>
                <w:sz w:val="18"/>
                <w:szCs w:val="18"/>
              </w:rPr>
              <w:t>33</w:t>
            </w:r>
          </w:p>
        </w:tc>
        <w:tc>
          <w:tcPr>
            <w:tcW w:w="588" w:type="pct"/>
            <w:shd w:val="clear" w:color="auto" w:fill="FFFFFF"/>
            <w:tcMar>
              <w:top w:w="0" w:type="dxa"/>
              <w:left w:w="0" w:type="dxa"/>
              <w:bottom w:w="0" w:type="dxa"/>
              <w:right w:w="0" w:type="dxa"/>
            </w:tcMar>
            <w:vAlign w:val="center"/>
          </w:tcPr>
          <w:p w14:paraId="543137CF" w14:textId="77777777" w:rsidR="001C19F3" w:rsidRDefault="001C19F3" w:rsidP="00521305">
            <w:pPr>
              <w:spacing w:before="40" w:after="40"/>
              <w:ind w:left="40" w:right="40"/>
              <w:jc w:val="center"/>
            </w:pPr>
            <w:r>
              <w:rPr>
                <w:rFonts w:cs="Century Gothic"/>
                <w:color w:val="000000"/>
                <w:sz w:val="18"/>
                <w:szCs w:val="18"/>
              </w:rPr>
              <w:t>64</w:t>
            </w:r>
          </w:p>
        </w:tc>
      </w:tr>
    </w:tbl>
    <w:p w14:paraId="784E8CAB" w14:textId="77777777" w:rsidR="001C19F3" w:rsidRDefault="001C19F3" w:rsidP="001C19F3">
      <w:pPr>
        <w:pStyle w:val="Chartortablefootnote"/>
      </w:pPr>
      <w:r>
        <w:t>Source: Community Pharmacy in HCH trial Health Outcomes data set provided by the Pharmacy Guild, to 30 June 2019.</w:t>
      </w:r>
    </w:p>
    <w:p w14:paraId="787783AA" w14:textId="77777777" w:rsidR="001C19F3" w:rsidRDefault="001C19F3" w:rsidP="001C19F3">
      <w:pPr>
        <w:spacing w:after="160" w:line="259" w:lineRule="auto"/>
        <w:rPr>
          <w:i/>
          <w:sz w:val="16"/>
          <w:szCs w:val="18"/>
        </w:rPr>
      </w:pPr>
      <w:r>
        <w:br w:type="page"/>
      </w:r>
    </w:p>
    <w:p w14:paraId="1C03013A" w14:textId="77777777" w:rsidR="001C19F3" w:rsidRDefault="001C19F3" w:rsidP="001C19F3">
      <w:pPr>
        <w:pStyle w:val="Caption1"/>
      </w:pPr>
      <w:bookmarkStart w:id="627" w:name="_Ref22831500"/>
      <w:r>
        <w:lastRenderedPageBreak/>
        <w:t xml:space="preserve">Table </w:t>
      </w:r>
      <w:r>
        <w:fldChar w:fldCharType="begin"/>
      </w:r>
      <w:r>
        <w:instrText>SEQ Table \* ARABIC</w:instrText>
      </w:r>
      <w:r>
        <w:fldChar w:fldCharType="separate"/>
      </w:r>
      <w:r>
        <w:rPr>
          <w:noProof/>
        </w:rPr>
        <w:t>92</w:t>
      </w:r>
      <w:r>
        <w:fldChar w:fldCharType="end"/>
      </w:r>
      <w:bookmarkEnd w:id="627"/>
      <w:r>
        <w:t xml:space="preserve"> – Outcomes of medication management plan (MMP)</w:t>
      </w:r>
    </w:p>
    <w:tbl>
      <w:tblPr>
        <w:tblW w:w="5000" w:type="pct"/>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336"/>
        <w:gridCol w:w="2534"/>
        <w:gridCol w:w="2534"/>
        <w:gridCol w:w="2534"/>
      </w:tblGrid>
      <w:tr w:rsidR="001C19F3" w14:paraId="03EB5FB8" w14:textId="77777777" w:rsidTr="00521305">
        <w:trPr>
          <w:cantSplit/>
          <w:trHeight w:val="298"/>
          <w:tblHeader/>
          <w:jc w:val="center"/>
        </w:trPr>
        <w:tc>
          <w:tcPr>
            <w:tcW w:w="2273" w:type="pct"/>
            <w:vMerge w:val="restart"/>
            <w:shd w:val="clear" w:color="auto" w:fill="003D79"/>
            <w:tcMar>
              <w:top w:w="0" w:type="dxa"/>
              <w:left w:w="0" w:type="dxa"/>
              <w:bottom w:w="0" w:type="dxa"/>
              <w:right w:w="0" w:type="dxa"/>
            </w:tcMar>
            <w:vAlign w:val="center"/>
          </w:tcPr>
          <w:p w14:paraId="3A52DA46" w14:textId="77777777" w:rsidR="001C19F3" w:rsidRPr="00244933" w:rsidRDefault="001C19F3" w:rsidP="00521305">
            <w:pPr>
              <w:spacing w:after="0"/>
              <w:jc w:val="center"/>
              <w:rPr>
                <w:b/>
                <w:sz w:val="18"/>
                <w:szCs w:val="18"/>
              </w:rPr>
            </w:pPr>
            <w:r w:rsidRPr="00244933">
              <w:rPr>
                <w:b/>
                <w:sz w:val="18"/>
                <w:szCs w:val="18"/>
              </w:rPr>
              <w:t>Outcome</w:t>
            </w:r>
          </w:p>
        </w:tc>
        <w:tc>
          <w:tcPr>
            <w:tcW w:w="2727" w:type="pct"/>
            <w:gridSpan w:val="3"/>
            <w:shd w:val="clear" w:color="auto" w:fill="003D79"/>
            <w:tcMar>
              <w:top w:w="0" w:type="dxa"/>
              <w:left w:w="0" w:type="dxa"/>
              <w:bottom w:w="0" w:type="dxa"/>
              <w:right w:w="0" w:type="dxa"/>
            </w:tcMar>
            <w:vAlign w:val="center"/>
          </w:tcPr>
          <w:p w14:paraId="178C7EDB" w14:textId="77777777" w:rsidR="001C19F3" w:rsidRDefault="001C19F3" w:rsidP="00521305">
            <w:pPr>
              <w:spacing w:after="0"/>
              <w:jc w:val="center"/>
            </w:pPr>
            <w:r>
              <w:rPr>
                <w:rFonts w:cs="Century Gothic"/>
                <w:b/>
                <w:color w:val="FFFFFF"/>
                <w:sz w:val="18"/>
                <w:szCs w:val="18"/>
              </w:rPr>
              <w:t>Session</w:t>
            </w:r>
          </w:p>
        </w:tc>
      </w:tr>
      <w:tr w:rsidR="001C19F3" w14:paraId="0EEF9469" w14:textId="77777777" w:rsidTr="00521305">
        <w:trPr>
          <w:cantSplit/>
          <w:trHeight w:val="336"/>
          <w:tblHeader/>
          <w:jc w:val="center"/>
        </w:trPr>
        <w:tc>
          <w:tcPr>
            <w:tcW w:w="2273" w:type="pct"/>
            <w:vMerge/>
            <w:shd w:val="clear" w:color="auto" w:fill="003D79"/>
            <w:tcMar>
              <w:top w:w="0" w:type="dxa"/>
              <w:left w:w="0" w:type="dxa"/>
              <w:bottom w:w="0" w:type="dxa"/>
              <w:right w:w="0" w:type="dxa"/>
            </w:tcMar>
            <w:vAlign w:val="center"/>
          </w:tcPr>
          <w:p w14:paraId="77C3C63F" w14:textId="77777777" w:rsidR="001C19F3" w:rsidRDefault="001C19F3" w:rsidP="00521305">
            <w:pPr>
              <w:spacing w:after="0"/>
              <w:jc w:val="center"/>
            </w:pPr>
          </w:p>
        </w:tc>
        <w:tc>
          <w:tcPr>
            <w:tcW w:w="909" w:type="pct"/>
            <w:shd w:val="clear" w:color="auto" w:fill="003D79"/>
            <w:tcMar>
              <w:top w:w="0" w:type="dxa"/>
              <w:left w:w="0" w:type="dxa"/>
              <w:bottom w:w="0" w:type="dxa"/>
              <w:right w:w="0" w:type="dxa"/>
            </w:tcMar>
            <w:vAlign w:val="center"/>
          </w:tcPr>
          <w:p w14:paraId="2C9945C4" w14:textId="77777777" w:rsidR="001C19F3" w:rsidRDefault="001C19F3" w:rsidP="00521305">
            <w:pPr>
              <w:spacing w:after="0"/>
              <w:jc w:val="center"/>
            </w:pPr>
            <w:r>
              <w:rPr>
                <w:rFonts w:cs="Century Gothic"/>
                <w:b/>
                <w:color w:val="FFFFFF"/>
                <w:sz w:val="18"/>
                <w:szCs w:val="18"/>
              </w:rPr>
              <w:t xml:space="preserve">Initial </w:t>
            </w:r>
            <w:r>
              <w:rPr>
                <w:rFonts w:cs="Century Gothic"/>
                <w:b/>
                <w:color w:val="FFFFFF"/>
                <w:sz w:val="18"/>
                <w:szCs w:val="18"/>
              </w:rPr>
              <w:br/>
              <w:t xml:space="preserve"> (n = 468)</w:t>
            </w:r>
          </w:p>
        </w:tc>
        <w:tc>
          <w:tcPr>
            <w:tcW w:w="909" w:type="pct"/>
            <w:shd w:val="clear" w:color="auto" w:fill="003D79"/>
            <w:tcMar>
              <w:top w:w="0" w:type="dxa"/>
              <w:left w:w="0" w:type="dxa"/>
              <w:bottom w:w="0" w:type="dxa"/>
              <w:right w:w="0" w:type="dxa"/>
            </w:tcMar>
            <w:vAlign w:val="center"/>
          </w:tcPr>
          <w:p w14:paraId="0F1632D1" w14:textId="77777777" w:rsidR="001C19F3" w:rsidRDefault="001C19F3" w:rsidP="00521305">
            <w:pPr>
              <w:spacing w:after="0"/>
              <w:jc w:val="center"/>
            </w:pPr>
            <w:r>
              <w:rPr>
                <w:rFonts w:cs="Century Gothic"/>
                <w:b/>
                <w:color w:val="FFFFFF"/>
                <w:sz w:val="18"/>
                <w:szCs w:val="18"/>
              </w:rPr>
              <w:t xml:space="preserve">2nd </w:t>
            </w:r>
            <w:r>
              <w:rPr>
                <w:rFonts w:cs="Century Gothic"/>
                <w:b/>
                <w:color w:val="FFFFFF"/>
                <w:sz w:val="18"/>
                <w:szCs w:val="18"/>
              </w:rPr>
              <w:br/>
              <w:t xml:space="preserve"> (n = 141)</w:t>
            </w:r>
          </w:p>
        </w:tc>
        <w:tc>
          <w:tcPr>
            <w:tcW w:w="909" w:type="pct"/>
            <w:shd w:val="clear" w:color="auto" w:fill="003D79"/>
            <w:tcMar>
              <w:top w:w="0" w:type="dxa"/>
              <w:left w:w="0" w:type="dxa"/>
              <w:bottom w:w="0" w:type="dxa"/>
              <w:right w:w="0" w:type="dxa"/>
            </w:tcMar>
            <w:vAlign w:val="center"/>
          </w:tcPr>
          <w:p w14:paraId="61A841C2" w14:textId="77777777" w:rsidR="001C19F3" w:rsidRDefault="001C19F3" w:rsidP="00521305">
            <w:pPr>
              <w:spacing w:after="0"/>
              <w:jc w:val="center"/>
            </w:pPr>
            <w:r>
              <w:rPr>
                <w:rFonts w:cs="Century Gothic"/>
                <w:b/>
                <w:color w:val="FFFFFF"/>
                <w:sz w:val="18"/>
                <w:szCs w:val="18"/>
              </w:rPr>
              <w:t xml:space="preserve">3rd </w:t>
            </w:r>
            <w:r>
              <w:rPr>
                <w:rFonts w:cs="Century Gothic"/>
                <w:b/>
                <w:color w:val="FFFFFF"/>
                <w:sz w:val="18"/>
                <w:szCs w:val="18"/>
              </w:rPr>
              <w:br/>
              <w:t xml:space="preserve"> (n = 2)</w:t>
            </w:r>
          </w:p>
        </w:tc>
      </w:tr>
      <w:tr w:rsidR="001C19F3" w14:paraId="5B223F25"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181D26F6" w14:textId="77777777" w:rsidR="001C19F3" w:rsidRDefault="001C19F3" w:rsidP="00521305">
            <w:pPr>
              <w:spacing w:before="40" w:after="40"/>
              <w:ind w:left="40" w:right="40"/>
            </w:pPr>
            <w:r>
              <w:rPr>
                <w:rFonts w:cs="Century Gothic"/>
                <w:color w:val="000000"/>
                <w:sz w:val="18"/>
                <w:szCs w:val="18"/>
              </w:rPr>
              <w:t>M01 Pharmacist updated reconciled medication list</w:t>
            </w:r>
          </w:p>
        </w:tc>
        <w:tc>
          <w:tcPr>
            <w:tcW w:w="909" w:type="pct"/>
            <w:shd w:val="clear" w:color="auto" w:fill="FFFFFF"/>
            <w:tcMar>
              <w:top w:w="0" w:type="dxa"/>
              <w:left w:w="0" w:type="dxa"/>
              <w:bottom w:w="0" w:type="dxa"/>
              <w:right w:w="0" w:type="dxa"/>
            </w:tcMar>
            <w:vAlign w:val="center"/>
          </w:tcPr>
          <w:p w14:paraId="316C624A" w14:textId="77777777" w:rsidR="001C19F3" w:rsidRDefault="001C19F3" w:rsidP="00521305">
            <w:pPr>
              <w:spacing w:before="40" w:after="40"/>
              <w:ind w:left="40" w:right="40"/>
              <w:jc w:val="center"/>
            </w:pPr>
            <w:r>
              <w:rPr>
                <w:rFonts w:cs="Century Gothic"/>
                <w:color w:val="000000"/>
                <w:sz w:val="18"/>
                <w:szCs w:val="18"/>
              </w:rPr>
              <w:t>460 (98.3%)</w:t>
            </w:r>
          </w:p>
        </w:tc>
        <w:tc>
          <w:tcPr>
            <w:tcW w:w="909" w:type="pct"/>
            <w:shd w:val="clear" w:color="auto" w:fill="FFFFFF"/>
            <w:tcMar>
              <w:top w:w="0" w:type="dxa"/>
              <w:left w:w="0" w:type="dxa"/>
              <w:bottom w:w="0" w:type="dxa"/>
              <w:right w:w="0" w:type="dxa"/>
            </w:tcMar>
            <w:vAlign w:val="center"/>
          </w:tcPr>
          <w:p w14:paraId="26039032" w14:textId="77777777" w:rsidR="001C19F3" w:rsidRDefault="001C19F3" w:rsidP="00521305">
            <w:pPr>
              <w:spacing w:before="40" w:after="40"/>
              <w:ind w:left="40" w:right="40"/>
              <w:jc w:val="center"/>
            </w:pPr>
            <w:r>
              <w:rPr>
                <w:rFonts w:cs="Century Gothic"/>
                <w:color w:val="000000"/>
                <w:sz w:val="18"/>
                <w:szCs w:val="18"/>
              </w:rPr>
              <w:t>138 (97.9%)</w:t>
            </w:r>
          </w:p>
        </w:tc>
        <w:tc>
          <w:tcPr>
            <w:tcW w:w="909" w:type="pct"/>
            <w:shd w:val="clear" w:color="auto" w:fill="FFFFFF"/>
            <w:tcMar>
              <w:top w:w="0" w:type="dxa"/>
              <w:left w:w="0" w:type="dxa"/>
              <w:bottom w:w="0" w:type="dxa"/>
              <w:right w:w="0" w:type="dxa"/>
            </w:tcMar>
            <w:vAlign w:val="center"/>
          </w:tcPr>
          <w:p w14:paraId="71BF836F" w14:textId="77777777" w:rsidR="001C19F3" w:rsidRDefault="001C19F3" w:rsidP="00521305">
            <w:pPr>
              <w:spacing w:before="40" w:after="40"/>
              <w:ind w:left="40" w:right="40"/>
              <w:jc w:val="center"/>
            </w:pPr>
            <w:r>
              <w:rPr>
                <w:rFonts w:cs="Century Gothic"/>
                <w:color w:val="000000"/>
                <w:sz w:val="18"/>
                <w:szCs w:val="18"/>
              </w:rPr>
              <w:t>2 (100.0%)</w:t>
            </w:r>
          </w:p>
        </w:tc>
      </w:tr>
      <w:tr w:rsidR="001C19F3" w14:paraId="0243A3B6"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4BDD582A" w14:textId="77777777" w:rsidR="001C19F3" w:rsidRDefault="001C19F3" w:rsidP="00521305">
            <w:pPr>
              <w:spacing w:before="40" w:after="40"/>
              <w:ind w:left="40" w:right="40"/>
            </w:pPr>
            <w:r>
              <w:rPr>
                <w:rFonts w:cs="Century Gothic"/>
                <w:color w:val="000000"/>
                <w:sz w:val="18"/>
                <w:szCs w:val="18"/>
              </w:rPr>
              <w:t>M02 Pharmacist provided patient with medicine education</w:t>
            </w:r>
          </w:p>
        </w:tc>
        <w:tc>
          <w:tcPr>
            <w:tcW w:w="909" w:type="pct"/>
            <w:shd w:val="clear" w:color="auto" w:fill="FFFFFF"/>
            <w:tcMar>
              <w:top w:w="0" w:type="dxa"/>
              <w:left w:w="0" w:type="dxa"/>
              <w:bottom w:w="0" w:type="dxa"/>
              <w:right w:w="0" w:type="dxa"/>
            </w:tcMar>
            <w:vAlign w:val="center"/>
          </w:tcPr>
          <w:p w14:paraId="058C286A" w14:textId="77777777" w:rsidR="001C19F3" w:rsidRDefault="001C19F3" w:rsidP="00521305">
            <w:pPr>
              <w:spacing w:before="40" w:after="40"/>
              <w:ind w:left="40" w:right="40"/>
              <w:jc w:val="center"/>
            </w:pPr>
            <w:r>
              <w:rPr>
                <w:rFonts w:cs="Century Gothic"/>
                <w:color w:val="000000"/>
                <w:sz w:val="18"/>
                <w:szCs w:val="18"/>
              </w:rPr>
              <w:t>416 (88.9%)</w:t>
            </w:r>
          </w:p>
        </w:tc>
        <w:tc>
          <w:tcPr>
            <w:tcW w:w="909" w:type="pct"/>
            <w:shd w:val="clear" w:color="auto" w:fill="FFFFFF"/>
            <w:tcMar>
              <w:top w:w="0" w:type="dxa"/>
              <w:left w:w="0" w:type="dxa"/>
              <w:bottom w:w="0" w:type="dxa"/>
              <w:right w:w="0" w:type="dxa"/>
            </w:tcMar>
            <w:vAlign w:val="center"/>
          </w:tcPr>
          <w:p w14:paraId="6CF72639" w14:textId="77777777" w:rsidR="001C19F3" w:rsidRDefault="001C19F3" w:rsidP="00521305">
            <w:pPr>
              <w:spacing w:before="40" w:after="40"/>
              <w:ind w:left="40" w:right="40"/>
              <w:jc w:val="center"/>
            </w:pPr>
            <w:r>
              <w:rPr>
                <w:rFonts w:cs="Century Gothic"/>
                <w:color w:val="000000"/>
                <w:sz w:val="18"/>
                <w:szCs w:val="18"/>
              </w:rPr>
              <w:t>123 (87.2%)</w:t>
            </w:r>
          </w:p>
        </w:tc>
        <w:tc>
          <w:tcPr>
            <w:tcW w:w="909" w:type="pct"/>
            <w:shd w:val="clear" w:color="auto" w:fill="FFFFFF"/>
            <w:tcMar>
              <w:top w:w="0" w:type="dxa"/>
              <w:left w:w="0" w:type="dxa"/>
              <w:bottom w:w="0" w:type="dxa"/>
              <w:right w:w="0" w:type="dxa"/>
            </w:tcMar>
            <w:vAlign w:val="center"/>
          </w:tcPr>
          <w:p w14:paraId="60824FFE" w14:textId="77777777" w:rsidR="001C19F3" w:rsidRDefault="001C19F3" w:rsidP="00521305">
            <w:pPr>
              <w:spacing w:before="40" w:after="40"/>
              <w:ind w:left="40" w:right="40"/>
              <w:jc w:val="center"/>
            </w:pPr>
            <w:r>
              <w:rPr>
                <w:rFonts w:cs="Century Gothic"/>
                <w:color w:val="000000"/>
                <w:sz w:val="18"/>
                <w:szCs w:val="18"/>
              </w:rPr>
              <w:t>1 (50.0%)</w:t>
            </w:r>
          </w:p>
        </w:tc>
      </w:tr>
      <w:tr w:rsidR="001C19F3" w14:paraId="65A3B10D"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77EC27D3" w14:textId="77777777" w:rsidR="001C19F3" w:rsidRDefault="001C19F3" w:rsidP="00521305">
            <w:pPr>
              <w:spacing w:before="40" w:after="40"/>
              <w:ind w:left="40" w:right="40"/>
            </w:pPr>
            <w:r>
              <w:rPr>
                <w:rFonts w:cs="Century Gothic"/>
                <w:color w:val="000000"/>
                <w:sz w:val="18"/>
                <w:szCs w:val="18"/>
              </w:rPr>
              <w:t>M03 Pharmacist provided patient with disease-state information</w:t>
            </w:r>
          </w:p>
        </w:tc>
        <w:tc>
          <w:tcPr>
            <w:tcW w:w="909" w:type="pct"/>
            <w:shd w:val="clear" w:color="auto" w:fill="FFFFFF"/>
            <w:tcMar>
              <w:top w:w="0" w:type="dxa"/>
              <w:left w:w="0" w:type="dxa"/>
              <w:bottom w:w="0" w:type="dxa"/>
              <w:right w:w="0" w:type="dxa"/>
            </w:tcMar>
            <w:vAlign w:val="center"/>
          </w:tcPr>
          <w:p w14:paraId="39C0B806" w14:textId="77777777" w:rsidR="001C19F3" w:rsidRDefault="001C19F3" w:rsidP="00521305">
            <w:pPr>
              <w:spacing w:before="40" w:after="40"/>
              <w:ind w:left="40" w:right="40"/>
              <w:jc w:val="center"/>
            </w:pPr>
            <w:r>
              <w:rPr>
                <w:rFonts w:cs="Century Gothic"/>
                <w:color w:val="000000"/>
                <w:sz w:val="18"/>
                <w:szCs w:val="18"/>
              </w:rPr>
              <w:t>352 (75.2%)</w:t>
            </w:r>
          </w:p>
        </w:tc>
        <w:tc>
          <w:tcPr>
            <w:tcW w:w="909" w:type="pct"/>
            <w:shd w:val="clear" w:color="auto" w:fill="FFFFFF"/>
            <w:tcMar>
              <w:top w:w="0" w:type="dxa"/>
              <w:left w:w="0" w:type="dxa"/>
              <w:bottom w:w="0" w:type="dxa"/>
              <w:right w:w="0" w:type="dxa"/>
            </w:tcMar>
            <w:vAlign w:val="center"/>
          </w:tcPr>
          <w:p w14:paraId="31609E04" w14:textId="77777777" w:rsidR="001C19F3" w:rsidRDefault="001C19F3" w:rsidP="00521305">
            <w:pPr>
              <w:spacing w:before="40" w:after="40"/>
              <w:ind w:left="40" w:right="40"/>
              <w:jc w:val="center"/>
            </w:pPr>
            <w:r>
              <w:rPr>
                <w:rFonts w:cs="Century Gothic"/>
                <w:color w:val="000000"/>
                <w:sz w:val="18"/>
                <w:szCs w:val="18"/>
              </w:rPr>
              <w:t>98 (69.5%)</w:t>
            </w:r>
          </w:p>
        </w:tc>
        <w:tc>
          <w:tcPr>
            <w:tcW w:w="909" w:type="pct"/>
            <w:shd w:val="clear" w:color="auto" w:fill="FFFFFF"/>
            <w:tcMar>
              <w:top w:w="0" w:type="dxa"/>
              <w:left w:w="0" w:type="dxa"/>
              <w:bottom w:w="0" w:type="dxa"/>
              <w:right w:w="0" w:type="dxa"/>
            </w:tcMar>
            <w:vAlign w:val="center"/>
          </w:tcPr>
          <w:p w14:paraId="629ABF24" w14:textId="77777777" w:rsidR="001C19F3" w:rsidRDefault="001C19F3" w:rsidP="00521305">
            <w:pPr>
              <w:spacing w:before="40" w:after="40"/>
              <w:ind w:left="40" w:right="40"/>
              <w:jc w:val="center"/>
            </w:pPr>
            <w:r>
              <w:rPr>
                <w:rFonts w:cs="Century Gothic"/>
                <w:color w:val="000000"/>
                <w:sz w:val="18"/>
                <w:szCs w:val="18"/>
              </w:rPr>
              <w:t>1 (50.0%)</w:t>
            </w:r>
          </w:p>
        </w:tc>
      </w:tr>
      <w:tr w:rsidR="001C19F3" w14:paraId="7A2C3AA9"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53CC2BEB" w14:textId="77777777" w:rsidR="001C19F3" w:rsidRDefault="001C19F3" w:rsidP="00521305">
            <w:pPr>
              <w:spacing w:before="40" w:after="40"/>
              <w:ind w:left="40" w:right="40"/>
            </w:pPr>
            <w:r>
              <w:rPr>
                <w:rFonts w:cs="Century Gothic"/>
                <w:color w:val="000000"/>
                <w:sz w:val="18"/>
                <w:szCs w:val="18"/>
              </w:rPr>
              <w:t>M04 HCH/GP advised of issues identified through other communication</w:t>
            </w:r>
          </w:p>
        </w:tc>
        <w:tc>
          <w:tcPr>
            <w:tcW w:w="909" w:type="pct"/>
            <w:shd w:val="clear" w:color="auto" w:fill="FFFFFF"/>
            <w:tcMar>
              <w:top w:w="0" w:type="dxa"/>
              <w:left w:w="0" w:type="dxa"/>
              <w:bottom w:w="0" w:type="dxa"/>
              <w:right w:w="0" w:type="dxa"/>
            </w:tcMar>
            <w:vAlign w:val="center"/>
          </w:tcPr>
          <w:p w14:paraId="5ABDBB4C" w14:textId="77777777" w:rsidR="001C19F3" w:rsidRDefault="001C19F3" w:rsidP="00521305">
            <w:pPr>
              <w:spacing w:before="40" w:after="40"/>
              <w:ind w:left="40" w:right="40"/>
              <w:jc w:val="center"/>
            </w:pPr>
            <w:r>
              <w:rPr>
                <w:rFonts w:cs="Century Gothic"/>
                <w:color w:val="000000"/>
                <w:sz w:val="18"/>
                <w:szCs w:val="18"/>
              </w:rPr>
              <w:t>140 (29.9%)</w:t>
            </w:r>
          </w:p>
        </w:tc>
        <w:tc>
          <w:tcPr>
            <w:tcW w:w="909" w:type="pct"/>
            <w:shd w:val="clear" w:color="auto" w:fill="FFFFFF"/>
            <w:tcMar>
              <w:top w:w="0" w:type="dxa"/>
              <w:left w:w="0" w:type="dxa"/>
              <w:bottom w:w="0" w:type="dxa"/>
              <w:right w:w="0" w:type="dxa"/>
            </w:tcMar>
            <w:vAlign w:val="center"/>
          </w:tcPr>
          <w:p w14:paraId="3BC74626" w14:textId="77777777" w:rsidR="001C19F3" w:rsidRDefault="001C19F3" w:rsidP="00521305">
            <w:pPr>
              <w:spacing w:before="40" w:after="40"/>
              <w:ind w:left="40" w:right="40"/>
              <w:jc w:val="center"/>
            </w:pPr>
            <w:r>
              <w:rPr>
                <w:rFonts w:cs="Century Gothic"/>
                <w:color w:val="000000"/>
                <w:sz w:val="18"/>
                <w:szCs w:val="18"/>
              </w:rPr>
              <w:t>26 (18.4%)</w:t>
            </w:r>
          </w:p>
        </w:tc>
        <w:tc>
          <w:tcPr>
            <w:tcW w:w="909" w:type="pct"/>
            <w:shd w:val="clear" w:color="auto" w:fill="FFFFFF"/>
            <w:tcMar>
              <w:top w:w="0" w:type="dxa"/>
              <w:left w:w="0" w:type="dxa"/>
              <w:bottom w:w="0" w:type="dxa"/>
              <w:right w:w="0" w:type="dxa"/>
            </w:tcMar>
            <w:vAlign w:val="center"/>
          </w:tcPr>
          <w:p w14:paraId="66DAFD17" w14:textId="77777777" w:rsidR="001C19F3" w:rsidRDefault="001C19F3" w:rsidP="00521305">
            <w:pPr>
              <w:spacing w:before="40" w:after="40"/>
              <w:ind w:left="40" w:right="40"/>
              <w:jc w:val="center"/>
            </w:pPr>
          </w:p>
        </w:tc>
      </w:tr>
      <w:tr w:rsidR="001C19F3" w14:paraId="71CB67AB"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0DD36766" w14:textId="77777777" w:rsidR="001C19F3" w:rsidRDefault="001C19F3" w:rsidP="00521305">
            <w:pPr>
              <w:spacing w:before="40" w:after="40"/>
              <w:ind w:left="40" w:right="40"/>
            </w:pPr>
            <w:r>
              <w:rPr>
                <w:rFonts w:cs="Century Gothic"/>
                <w:color w:val="000000"/>
                <w:sz w:val="18"/>
                <w:szCs w:val="18"/>
              </w:rPr>
              <w:t>M05 Pharmacist used technology-assisted follow-up reminders (e.g. text messages, email messages)</w:t>
            </w:r>
          </w:p>
        </w:tc>
        <w:tc>
          <w:tcPr>
            <w:tcW w:w="909" w:type="pct"/>
            <w:shd w:val="clear" w:color="auto" w:fill="FFFFFF"/>
            <w:tcMar>
              <w:top w:w="0" w:type="dxa"/>
              <w:left w:w="0" w:type="dxa"/>
              <w:bottom w:w="0" w:type="dxa"/>
              <w:right w:w="0" w:type="dxa"/>
            </w:tcMar>
            <w:vAlign w:val="center"/>
          </w:tcPr>
          <w:p w14:paraId="02326D3B" w14:textId="77777777" w:rsidR="001C19F3" w:rsidRDefault="001C19F3" w:rsidP="00521305">
            <w:pPr>
              <w:spacing w:before="40" w:after="40"/>
              <w:ind w:left="40" w:right="40"/>
              <w:jc w:val="center"/>
            </w:pPr>
            <w:r>
              <w:rPr>
                <w:rFonts w:cs="Century Gothic"/>
                <w:color w:val="000000"/>
                <w:sz w:val="18"/>
                <w:szCs w:val="18"/>
              </w:rPr>
              <w:t>108 (23.1%)</w:t>
            </w:r>
          </w:p>
        </w:tc>
        <w:tc>
          <w:tcPr>
            <w:tcW w:w="909" w:type="pct"/>
            <w:shd w:val="clear" w:color="auto" w:fill="FFFFFF"/>
            <w:tcMar>
              <w:top w:w="0" w:type="dxa"/>
              <w:left w:w="0" w:type="dxa"/>
              <w:bottom w:w="0" w:type="dxa"/>
              <w:right w:w="0" w:type="dxa"/>
            </w:tcMar>
            <w:vAlign w:val="center"/>
          </w:tcPr>
          <w:p w14:paraId="6395143F" w14:textId="77777777" w:rsidR="001C19F3" w:rsidRDefault="001C19F3" w:rsidP="00521305">
            <w:pPr>
              <w:spacing w:before="40" w:after="40"/>
              <w:ind w:left="40" w:right="40"/>
              <w:jc w:val="center"/>
            </w:pPr>
            <w:r>
              <w:rPr>
                <w:rFonts w:cs="Century Gothic"/>
                <w:color w:val="000000"/>
                <w:sz w:val="18"/>
                <w:szCs w:val="18"/>
              </w:rPr>
              <w:t>35 (24.8%)</w:t>
            </w:r>
          </w:p>
        </w:tc>
        <w:tc>
          <w:tcPr>
            <w:tcW w:w="909" w:type="pct"/>
            <w:shd w:val="clear" w:color="auto" w:fill="FFFFFF"/>
            <w:tcMar>
              <w:top w:w="0" w:type="dxa"/>
              <w:left w:w="0" w:type="dxa"/>
              <w:bottom w:w="0" w:type="dxa"/>
              <w:right w:w="0" w:type="dxa"/>
            </w:tcMar>
            <w:vAlign w:val="center"/>
          </w:tcPr>
          <w:p w14:paraId="6936AE58" w14:textId="77777777" w:rsidR="001C19F3" w:rsidRDefault="001C19F3" w:rsidP="00521305">
            <w:pPr>
              <w:spacing w:before="40" w:after="40"/>
              <w:ind w:left="40" w:right="40"/>
              <w:jc w:val="center"/>
            </w:pPr>
          </w:p>
        </w:tc>
      </w:tr>
      <w:tr w:rsidR="001C19F3" w14:paraId="622FB659"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2354F512" w14:textId="77777777" w:rsidR="001C19F3" w:rsidRDefault="001C19F3" w:rsidP="00521305">
            <w:pPr>
              <w:spacing w:before="40" w:after="40"/>
              <w:ind w:left="40" w:right="40"/>
            </w:pPr>
            <w:r>
              <w:rPr>
                <w:rFonts w:cs="Century Gothic"/>
                <w:color w:val="000000"/>
                <w:sz w:val="18"/>
                <w:szCs w:val="18"/>
              </w:rPr>
              <w:t>M06 Health Care Home/GP verbally consulted about patient</w:t>
            </w:r>
          </w:p>
        </w:tc>
        <w:tc>
          <w:tcPr>
            <w:tcW w:w="909" w:type="pct"/>
            <w:shd w:val="clear" w:color="auto" w:fill="FFFFFF"/>
            <w:tcMar>
              <w:top w:w="0" w:type="dxa"/>
              <w:left w:w="0" w:type="dxa"/>
              <w:bottom w:w="0" w:type="dxa"/>
              <w:right w:w="0" w:type="dxa"/>
            </w:tcMar>
            <w:vAlign w:val="center"/>
          </w:tcPr>
          <w:p w14:paraId="0D4A8763" w14:textId="77777777" w:rsidR="001C19F3" w:rsidRDefault="001C19F3" w:rsidP="00521305">
            <w:pPr>
              <w:spacing w:before="40" w:after="40"/>
              <w:ind w:left="40" w:right="40"/>
              <w:jc w:val="center"/>
            </w:pPr>
            <w:r>
              <w:rPr>
                <w:rFonts w:cs="Century Gothic"/>
                <w:color w:val="000000"/>
                <w:sz w:val="18"/>
                <w:szCs w:val="18"/>
              </w:rPr>
              <w:t>66 (14.1%)</w:t>
            </w:r>
          </w:p>
        </w:tc>
        <w:tc>
          <w:tcPr>
            <w:tcW w:w="909" w:type="pct"/>
            <w:shd w:val="clear" w:color="auto" w:fill="FFFFFF"/>
            <w:tcMar>
              <w:top w:w="0" w:type="dxa"/>
              <w:left w:w="0" w:type="dxa"/>
              <w:bottom w:w="0" w:type="dxa"/>
              <w:right w:w="0" w:type="dxa"/>
            </w:tcMar>
            <w:vAlign w:val="center"/>
          </w:tcPr>
          <w:p w14:paraId="7F389E41" w14:textId="77777777" w:rsidR="001C19F3" w:rsidRDefault="001C19F3" w:rsidP="00521305">
            <w:pPr>
              <w:spacing w:before="40" w:after="40"/>
              <w:ind w:left="40" w:right="40"/>
              <w:jc w:val="center"/>
            </w:pPr>
            <w:r>
              <w:rPr>
                <w:rFonts w:cs="Century Gothic"/>
                <w:color w:val="000000"/>
                <w:sz w:val="18"/>
                <w:szCs w:val="18"/>
              </w:rPr>
              <w:t>19 (13.5%)</w:t>
            </w:r>
          </w:p>
        </w:tc>
        <w:tc>
          <w:tcPr>
            <w:tcW w:w="909" w:type="pct"/>
            <w:shd w:val="clear" w:color="auto" w:fill="FFFFFF"/>
            <w:tcMar>
              <w:top w:w="0" w:type="dxa"/>
              <w:left w:w="0" w:type="dxa"/>
              <w:bottom w:w="0" w:type="dxa"/>
              <w:right w:w="0" w:type="dxa"/>
            </w:tcMar>
            <w:vAlign w:val="center"/>
          </w:tcPr>
          <w:p w14:paraId="3A1C13C8" w14:textId="77777777" w:rsidR="001C19F3" w:rsidRDefault="001C19F3" w:rsidP="00521305">
            <w:pPr>
              <w:spacing w:before="40" w:after="40"/>
              <w:ind w:left="40" w:right="40"/>
              <w:jc w:val="center"/>
            </w:pPr>
          </w:p>
        </w:tc>
      </w:tr>
      <w:tr w:rsidR="001C19F3" w14:paraId="4254B940"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5B73543D" w14:textId="77777777" w:rsidR="001C19F3" w:rsidRDefault="001C19F3" w:rsidP="00521305">
            <w:pPr>
              <w:spacing w:before="40" w:after="40"/>
              <w:ind w:left="40" w:right="40"/>
            </w:pPr>
            <w:r>
              <w:rPr>
                <w:rFonts w:cs="Century Gothic"/>
                <w:color w:val="000000"/>
                <w:sz w:val="18"/>
                <w:szCs w:val="18"/>
              </w:rPr>
              <w:t>M07 Pharmacist suggested patient referred to other health provider (e.g. allied health)</w:t>
            </w:r>
          </w:p>
        </w:tc>
        <w:tc>
          <w:tcPr>
            <w:tcW w:w="909" w:type="pct"/>
            <w:shd w:val="clear" w:color="auto" w:fill="FFFFFF"/>
            <w:tcMar>
              <w:top w:w="0" w:type="dxa"/>
              <w:left w:w="0" w:type="dxa"/>
              <w:bottom w:w="0" w:type="dxa"/>
              <w:right w:w="0" w:type="dxa"/>
            </w:tcMar>
            <w:vAlign w:val="center"/>
          </w:tcPr>
          <w:p w14:paraId="7273952E" w14:textId="77777777" w:rsidR="001C19F3" w:rsidRDefault="001C19F3" w:rsidP="00521305">
            <w:pPr>
              <w:spacing w:before="40" w:after="40"/>
              <w:ind w:left="40" w:right="40"/>
              <w:jc w:val="center"/>
            </w:pPr>
            <w:r>
              <w:rPr>
                <w:rFonts w:cs="Century Gothic"/>
                <w:color w:val="000000"/>
                <w:sz w:val="18"/>
                <w:szCs w:val="18"/>
              </w:rPr>
              <w:t>51 (10.9%)</w:t>
            </w:r>
          </w:p>
        </w:tc>
        <w:tc>
          <w:tcPr>
            <w:tcW w:w="909" w:type="pct"/>
            <w:shd w:val="clear" w:color="auto" w:fill="FFFFFF"/>
            <w:tcMar>
              <w:top w:w="0" w:type="dxa"/>
              <w:left w:w="0" w:type="dxa"/>
              <w:bottom w:w="0" w:type="dxa"/>
              <w:right w:w="0" w:type="dxa"/>
            </w:tcMar>
            <w:vAlign w:val="center"/>
          </w:tcPr>
          <w:p w14:paraId="572EEA90" w14:textId="77777777" w:rsidR="001C19F3" w:rsidRDefault="001C19F3" w:rsidP="00521305">
            <w:pPr>
              <w:spacing w:before="40" w:after="40"/>
              <w:ind w:left="40" w:right="40"/>
              <w:jc w:val="center"/>
            </w:pPr>
            <w:r>
              <w:rPr>
                <w:rFonts w:cs="Century Gothic"/>
                <w:color w:val="000000"/>
                <w:sz w:val="18"/>
                <w:szCs w:val="18"/>
              </w:rPr>
              <w:t>14 (9.9%)</w:t>
            </w:r>
          </w:p>
        </w:tc>
        <w:tc>
          <w:tcPr>
            <w:tcW w:w="909" w:type="pct"/>
            <w:shd w:val="clear" w:color="auto" w:fill="FFFFFF"/>
            <w:tcMar>
              <w:top w:w="0" w:type="dxa"/>
              <w:left w:w="0" w:type="dxa"/>
              <w:bottom w:w="0" w:type="dxa"/>
              <w:right w:w="0" w:type="dxa"/>
            </w:tcMar>
            <w:vAlign w:val="center"/>
          </w:tcPr>
          <w:p w14:paraId="3DE98309" w14:textId="77777777" w:rsidR="001C19F3" w:rsidRDefault="001C19F3" w:rsidP="00521305">
            <w:pPr>
              <w:spacing w:before="40" w:after="40"/>
              <w:ind w:left="40" w:right="40"/>
              <w:jc w:val="center"/>
            </w:pPr>
          </w:p>
        </w:tc>
      </w:tr>
      <w:tr w:rsidR="001C19F3" w14:paraId="6371B2D9"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4753A2F1" w14:textId="77777777" w:rsidR="001C19F3" w:rsidRDefault="001C19F3" w:rsidP="00521305">
            <w:pPr>
              <w:spacing w:before="40" w:after="40"/>
              <w:ind w:left="40" w:right="40"/>
            </w:pPr>
            <w:r>
              <w:rPr>
                <w:rFonts w:cs="Century Gothic"/>
                <w:color w:val="000000"/>
                <w:sz w:val="18"/>
                <w:szCs w:val="18"/>
              </w:rPr>
              <w:t>M08 Pharmacist participated in HCH team care meetings</w:t>
            </w:r>
          </w:p>
        </w:tc>
        <w:tc>
          <w:tcPr>
            <w:tcW w:w="909" w:type="pct"/>
            <w:shd w:val="clear" w:color="auto" w:fill="FFFFFF"/>
            <w:tcMar>
              <w:top w:w="0" w:type="dxa"/>
              <w:left w:w="0" w:type="dxa"/>
              <w:bottom w:w="0" w:type="dxa"/>
              <w:right w:w="0" w:type="dxa"/>
            </w:tcMar>
            <w:vAlign w:val="center"/>
          </w:tcPr>
          <w:p w14:paraId="6E9ED775" w14:textId="77777777" w:rsidR="001C19F3" w:rsidRDefault="001C19F3" w:rsidP="00521305">
            <w:pPr>
              <w:spacing w:before="40" w:after="40"/>
              <w:ind w:left="40" w:right="40"/>
              <w:jc w:val="center"/>
            </w:pPr>
            <w:r>
              <w:rPr>
                <w:rFonts w:cs="Century Gothic"/>
                <w:color w:val="000000"/>
                <w:sz w:val="18"/>
                <w:szCs w:val="18"/>
              </w:rPr>
              <w:t>11 (2.4%)</w:t>
            </w:r>
          </w:p>
        </w:tc>
        <w:tc>
          <w:tcPr>
            <w:tcW w:w="909" w:type="pct"/>
            <w:shd w:val="clear" w:color="auto" w:fill="FFFFFF"/>
            <w:tcMar>
              <w:top w:w="0" w:type="dxa"/>
              <w:left w:w="0" w:type="dxa"/>
              <w:bottom w:w="0" w:type="dxa"/>
              <w:right w:w="0" w:type="dxa"/>
            </w:tcMar>
            <w:vAlign w:val="center"/>
          </w:tcPr>
          <w:p w14:paraId="5EBC9086" w14:textId="77777777" w:rsidR="001C19F3" w:rsidRDefault="001C19F3" w:rsidP="00521305">
            <w:pPr>
              <w:spacing w:before="40" w:after="40"/>
              <w:ind w:left="40" w:right="40"/>
              <w:jc w:val="center"/>
            </w:pPr>
            <w:r>
              <w:rPr>
                <w:rFonts w:cs="Century Gothic"/>
                <w:color w:val="000000"/>
                <w:sz w:val="18"/>
                <w:szCs w:val="18"/>
              </w:rPr>
              <w:t>1 (0.7%)</w:t>
            </w:r>
          </w:p>
        </w:tc>
        <w:tc>
          <w:tcPr>
            <w:tcW w:w="909" w:type="pct"/>
            <w:shd w:val="clear" w:color="auto" w:fill="FFFFFF"/>
            <w:tcMar>
              <w:top w:w="0" w:type="dxa"/>
              <w:left w:w="0" w:type="dxa"/>
              <w:bottom w:w="0" w:type="dxa"/>
              <w:right w:w="0" w:type="dxa"/>
            </w:tcMar>
            <w:vAlign w:val="center"/>
          </w:tcPr>
          <w:p w14:paraId="0301499D" w14:textId="77777777" w:rsidR="001C19F3" w:rsidRDefault="001C19F3" w:rsidP="00521305">
            <w:pPr>
              <w:spacing w:before="40" w:after="40"/>
              <w:ind w:left="40" w:right="40"/>
              <w:jc w:val="center"/>
            </w:pPr>
          </w:p>
        </w:tc>
      </w:tr>
      <w:tr w:rsidR="001C19F3" w14:paraId="0D5A786C"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1BE70C1F" w14:textId="77777777" w:rsidR="001C19F3" w:rsidRDefault="001C19F3" w:rsidP="00521305">
            <w:pPr>
              <w:spacing w:before="40" w:after="40"/>
              <w:ind w:left="40" w:right="40"/>
            </w:pPr>
            <w:r>
              <w:rPr>
                <w:rFonts w:cs="Century Gothic"/>
                <w:color w:val="000000"/>
                <w:sz w:val="18"/>
                <w:szCs w:val="18"/>
              </w:rPr>
              <w:t>M09 Pharmacist referred patient for an additional medication management service</w:t>
            </w:r>
          </w:p>
        </w:tc>
        <w:tc>
          <w:tcPr>
            <w:tcW w:w="909" w:type="pct"/>
            <w:shd w:val="clear" w:color="auto" w:fill="FFFFFF"/>
            <w:tcMar>
              <w:top w:w="0" w:type="dxa"/>
              <w:left w:w="0" w:type="dxa"/>
              <w:bottom w:w="0" w:type="dxa"/>
              <w:right w:w="0" w:type="dxa"/>
            </w:tcMar>
            <w:vAlign w:val="center"/>
          </w:tcPr>
          <w:p w14:paraId="09C8D137" w14:textId="77777777" w:rsidR="001C19F3" w:rsidRDefault="001C19F3" w:rsidP="00521305">
            <w:pPr>
              <w:spacing w:before="40" w:after="40"/>
              <w:ind w:left="40" w:right="40"/>
              <w:jc w:val="center"/>
            </w:pPr>
            <w:r>
              <w:rPr>
                <w:rFonts w:cs="Century Gothic"/>
                <w:color w:val="000000"/>
                <w:sz w:val="18"/>
                <w:szCs w:val="18"/>
              </w:rPr>
              <w:t>56 (12.0%)</w:t>
            </w:r>
          </w:p>
        </w:tc>
        <w:tc>
          <w:tcPr>
            <w:tcW w:w="909" w:type="pct"/>
            <w:shd w:val="clear" w:color="auto" w:fill="FFFFFF"/>
            <w:tcMar>
              <w:top w:w="0" w:type="dxa"/>
              <w:left w:w="0" w:type="dxa"/>
              <w:bottom w:w="0" w:type="dxa"/>
              <w:right w:w="0" w:type="dxa"/>
            </w:tcMar>
            <w:vAlign w:val="center"/>
          </w:tcPr>
          <w:p w14:paraId="780ED72F" w14:textId="77777777" w:rsidR="001C19F3" w:rsidRDefault="001C19F3" w:rsidP="00521305">
            <w:pPr>
              <w:spacing w:before="40" w:after="40"/>
              <w:ind w:left="40" w:right="40"/>
              <w:jc w:val="center"/>
            </w:pPr>
            <w:r>
              <w:rPr>
                <w:rFonts w:cs="Century Gothic"/>
                <w:color w:val="000000"/>
                <w:sz w:val="18"/>
                <w:szCs w:val="18"/>
              </w:rPr>
              <w:t>35 (24.8%)</w:t>
            </w:r>
          </w:p>
        </w:tc>
        <w:tc>
          <w:tcPr>
            <w:tcW w:w="909" w:type="pct"/>
            <w:shd w:val="clear" w:color="auto" w:fill="FFFFFF"/>
            <w:tcMar>
              <w:top w:w="0" w:type="dxa"/>
              <w:left w:w="0" w:type="dxa"/>
              <w:bottom w:w="0" w:type="dxa"/>
              <w:right w:w="0" w:type="dxa"/>
            </w:tcMar>
            <w:vAlign w:val="center"/>
          </w:tcPr>
          <w:p w14:paraId="6C622CB8" w14:textId="77777777" w:rsidR="001C19F3" w:rsidRDefault="001C19F3" w:rsidP="00521305">
            <w:pPr>
              <w:spacing w:before="40" w:after="40"/>
              <w:ind w:left="40" w:right="40"/>
              <w:jc w:val="center"/>
            </w:pPr>
          </w:p>
        </w:tc>
      </w:tr>
      <w:tr w:rsidR="001C19F3" w14:paraId="1F651CBD" w14:textId="77777777" w:rsidTr="00521305">
        <w:trPr>
          <w:cantSplit/>
          <w:trHeight w:val="288"/>
          <w:jc w:val="center"/>
        </w:trPr>
        <w:tc>
          <w:tcPr>
            <w:tcW w:w="2273" w:type="pct"/>
            <w:shd w:val="clear" w:color="auto" w:fill="FFFFFF"/>
            <w:tcMar>
              <w:top w:w="0" w:type="dxa"/>
              <w:left w:w="0" w:type="dxa"/>
              <w:bottom w:w="0" w:type="dxa"/>
              <w:right w:w="0" w:type="dxa"/>
            </w:tcMar>
            <w:vAlign w:val="center"/>
          </w:tcPr>
          <w:p w14:paraId="62CA7829" w14:textId="77777777" w:rsidR="001C19F3" w:rsidRDefault="001C19F3" w:rsidP="00521305">
            <w:pPr>
              <w:spacing w:before="40" w:after="40"/>
              <w:ind w:left="40" w:right="40"/>
            </w:pPr>
            <w:r>
              <w:rPr>
                <w:rFonts w:cs="Century Gothic"/>
                <w:color w:val="000000"/>
                <w:sz w:val="18"/>
                <w:szCs w:val="18"/>
              </w:rPr>
              <w:t>M10 Other</w:t>
            </w:r>
          </w:p>
        </w:tc>
        <w:tc>
          <w:tcPr>
            <w:tcW w:w="909" w:type="pct"/>
            <w:shd w:val="clear" w:color="auto" w:fill="FFFFFF"/>
            <w:tcMar>
              <w:top w:w="0" w:type="dxa"/>
              <w:left w:w="0" w:type="dxa"/>
              <w:bottom w:w="0" w:type="dxa"/>
              <w:right w:w="0" w:type="dxa"/>
            </w:tcMar>
            <w:vAlign w:val="center"/>
          </w:tcPr>
          <w:p w14:paraId="0C70AE31" w14:textId="77777777" w:rsidR="001C19F3" w:rsidRDefault="001C19F3" w:rsidP="00521305">
            <w:pPr>
              <w:spacing w:before="40" w:after="40"/>
              <w:ind w:left="40" w:right="40"/>
              <w:jc w:val="center"/>
            </w:pPr>
            <w:r>
              <w:rPr>
                <w:rFonts w:cs="Century Gothic"/>
                <w:color w:val="000000"/>
                <w:sz w:val="18"/>
                <w:szCs w:val="18"/>
              </w:rPr>
              <w:t>31 (6.6%)</w:t>
            </w:r>
          </w:p>
        </w:tc>
        <w:tc>
          <w:tcPr>
            <w:tcW w:w="909" w:type="pct"/>
            <w:shd w:val="clear" w:color="auto" w:fill="FFFFFF"/>
            <w:tcMar>
              <w:top w:w="0" w:type="dxa"/>
              <w:left w:w="0" w:type="dxa"/>
              <w:bottom w:w="0" w:type="dxa"/>
              <w:right w:w="0" w:type="dxa"/>
            </w:tcMar>
            <w:vAlign w:val="center"/>
          </w:tcPr>
          <w:p w14:paraId="59D7337D" w14:textId="77777777" w:rsidR="001C19F3" w:rsidRDefault="001C19F3" w:rsidP="00521305">
            <w:pPr>
              <w:spacing w:before="40" w:after="40"/>
              <w:ind w:left="40" w:right="40"/>
              <w:jc w:val="center"/>
            </w:pPr>
            <w:r>
              <w:rPr>
                <w:rFonts w:cs="Century Gothic"/>
                <w:color w:val="000000"/>
                <w:sz w:val="18"/>
                <w:szCs w:val="18"/>
              </w:rPr>
              <w:t>6 (4.3%)</w:t>
            </w:r>
          </w:p>
        </w:tc>
        <w:tc>
          <w:tcPr>
            <w:tcW w:w="909" w:type="pct"/>
            <w:shd w:val="clear" w:color="auto" w:fill="FFFFFF"/>
            <w:tcMar>
              <w:top w:w="0" w:type="dxa"/>
              <w:left w:w="0" w:type="dxa"/>
              <w:bottom w:w="0" w:type="dxa"/>
              <w:right w:w="0" w:type="dxa"/>
            </w:tcMar>
            <w:vAlign w:val="center"/>
          </w:tcPr>
          <w:p w14:paraId="2FDF2A43" w14:textId="77777777" w:rsidR="001C19F3" w:rsidRDefault="001C19F3" w:rsidP="00521305">
            <w:pPr>
              <w:spacing w:before="40" w:after="40"/>
              <w:ind w:left="40" w:right="40"/>
              <w:jc w:val="center"/>
            </w:pPr>
          </w:p>
        </w:tc>
      </w:tr>
    </w:tbl>
    <w:p w14:paraId="050C54AF" w14:textId="77777777" w:rsidR="001C19F3" w:rsidRDefault="001C19F3" w:rsidP="001C19F3">
      <w:pPr>
        <w:pStyle w:val="Chartortablefootnote"/>
      </w:pPr>
      <w:r>
        <w:t>Source: Community Pharmacy in HCH trial Health Outcomes data set provided by the Pharmacy Guild, to 30 June 2019.</w:t>
      </w:r>
    </w:p>
    <w:p w14:paraId="45195EC4" w14:textId="77777777" w:rsidR="001C19F3" w:rsidRDefault="001C19F3" w:rsidP="001C19F3"/>
    <w:bookmarkEnd w:id="618"/>
    <w:p w14:paraId="795570F2" w14:textId="77777777" w:rsidR="001C19F3" w:rsidRDefault="001C19F3" w:rsidP="001C19F3">
      <w:pPr>
        <w:sectPr w:rsidR="001C19F3" w:rsidSect="00521305">
          <w:pgSz w:w="16838" w:h="11906" w:orient="landscape"/>
          <w:pgMar w:top="1440" w:right="1440" w:bottom="1440" w:left="1440" w:header="708" w:footer="708" w:gutter="0"/>
          <w:cols w:space="708"/>
          <w:titlePg/>
          <w:docGrid w:linePitch="360"/>
        </w:sectPr>
      </w:pPr>
      <w:r>
        <w:br w:type="page"/>
      </w:r>
    </w:p>
    <w:p w14:paraId="5DDAFBC2" w14:textId="77777777" w:rsidR="001C19F3" w:rsidRDefault="001C19F3" w:rsidP="001C19F3">
      <w:pPr>
        <w:pStyle w:val="Appendix"/>
      </w:pPr>
      <w:bookmarkStart w:id="628" w:name="_Toc27058975"/>
      <w:r w:rsidRPr="009D4E0B">
        <w:lastRenderedPageBreak/>
        <w:t xml:space="preserve">Appendix </w:t>
      </w:r>
      <w:r>
        <w:t>6</w:t>
      </w:r>
      <w:r w:rsidRPr="009D4E0B">
        <w:t xml:space="preserve"> – SNOMED-CT textual descriptions</w:t>
      </w:r>
      <w:bookmarkEnd w:id="628"/>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804"/>
      </w:tblGrid>
      <w:tr w:rsidR="001C19F3" w:rsidRPr="007C4473" w14:paraId="1593CEC3" w14:textId="77777777" w:rsidTr="00521305">
        <w:trPr>
          <w:trHeight w:val="340"/>
          <w:tblHeader/>
          <w:jc w:val="center"/>
        </w:trPr>
        <w:tc>
          <w:tcPr>
            <w:tcW w:w="1838" w:type="dxa"/>
            <w:shd w:val="clear" w:color="auto" w:fill="003D79"/>
          </w:tcPr>
          <w:p w14:paraId="34F92774" w14:textId="77777777" w:rsidR="001C19F3" w:rsidRPr="007C4473" w:rsidRDefault="001C19F3" w:rsidP="00521305">
            <w:pPr>
              <w:spacing w:after="0" w:line="240" w:lineRule="auto"/>
              <w:rPr>
                <w:b/>
                <w:sz w:val="18"/>
                <w:szCs w:val="18"/>
              </w:rPr>
            </w:pPr>
            <w:r>
              <w:rPr>
                <w:b/>
                <w:sz w:val="18"/>
                <w:szCs w:val="18"/>
              </w:rPr>
              <w:t>Patient conditions</w:t>
            </w:r>
          </w:p>
        </w:tc>
        <w:tc>
          <w:tcPr>
            <w:tcW w:w="6804" w:type="dxa"/>
            <w:shd w:val="clear" w:color="auto" w:fill="003D79"/>
            <w:vAlign w:val="center"/>
          </w:tcPr>
          <w:p w14:paraId="556B6F25" w14:textId="77777777" w:rsidR="001C19F3" w:rsidRPr="007C4473" w:rsidRDefault="001C19F3" w:rsidP="00521305">
            <w:pPr>
              <w:spacing w:after="0" w:line="240" w:lineRule="auto"/>
              <w:jc w:val="center"/>
              <w:rPr>
                <w:b/>
                <w:sz w:val="18"/>
                <w:szCs w:val="18"/>
              </w:rPr>
            </w:pPr>
            <w:r>
              <w:rPr>
                <w:b/>
                <w:sz w:val="18"/>
                <w:szCs w:val="18"/>
              </w:rPr>
              <w:t>SNOMED-CT textual descriptions</w:t>
            </w:r>
          </w:p>
        </w:tc>
      </w:tr>
      <w:tr w:rsidR="001C19F3" w:rsidRPr="007C4473" w14:paraId="4ACE11D6" w14:textId="77777777" w:rsidTr="00521305">
        <w:trPr>
          <w:jc w:val="center"/>
        </w:trPr>
        <w:tc>
          <w:tcPr>
            <w:tcW w:w="1838" w:type="dxa"/>
          </w:tcPr>
          <w:p w14:paraId="626FCD07" w14:textId="77777777" w:rsidR="001C19F3" w:rsidRPr="00783A8A" w:rsidRDefault="001C19F3" w:rsidP="00521305">
            <w:pPr>
              <w:spacing w:after="0"/>
              <w:rPr>
                <w:b/>
                <w:sz w:val="18"/>
                <w:szCs w:val="18"/>
              </w:rPr>
            </w:pPr>
            <w:r w:rsidRPr="00F46D60">
              <w:rPr>
                <w:color w:val="231F20"/>
                <w:sz w:val="18"/>
                <w:szCs w:val="18"/>
              </w:rPr>
              <w:t>Asthma</w:t>
            </w:r>
          </w:p>
        </w:tc>
        <w:tc>
          <w:tcPr>
            <w:tcW w:w="6804" w:type="dxa"/>
          </w:tcPr>
          <w:p w14:paraId="76197C9A" w14:textId="77777777" w:rsidR="001C19F3" w:rsidRDefault="001C19F3" w:rsidP="00521305">
            <w:pPr>
              <w:spacing w:after="0"/>
              <w:rPr>
                <w:sz w:val="18"/>
                <w:szCs w:val="18"/>
              </w:rPr>
            </w:pPr>
            <w:r w:rsidRPr="00F46D60">
              <w:rPr>
                <w:sz w:val="18"/>
                <w:szCs w:val="18"/>
              </w:rPr>
              <w:t>Acute asthma, acute exacerbation of asthma, allergic asthma, asthma, asthma attack, asthmatic bronchitis, childhood asthma, chronic obstructive airway disease with asthma, cough variant asthma, eosinophilic asthma, exacerbation of asthma, exercise-induced asthma, hay fever with asthma, late onset asthma, occupational asthma, seasonal asthma, severe asthma, thunderstorm asthma, viral exacerbation of asthma.</w:t>
            </w:r>
          </w:p>
        </w:tc>
      </w:tr>
      <w:tr w:rsidR="001C19F3" w:rsidRPr="007C4473" w14:paraId="26B3B59E" w14:textId="77777777" w:rsidTr="00521305">
        <w:trPr>
          <w:jc w:val="center"/>
        </w:trPr>
        <w:tc>
          <w:tcPr>
            <w:tcW w:w="1838" w:type="dxa"/>
          </w:tcPr>
          <w:p w14:paraId="5E8F1C2D" w14:textId="77777777" w:rsidR="001C19F3" w:rsidRDefault="001C19F3" w:rsidP="00521305">
            <w:pPr>
              <w:spacing w:after="0"/>
              <w:rPr>
                <w:sz w:val="18"/>
                <w:szCs w:val="18"/>
              </w:rPr>
            </w:pPr>
            <w:r w:rsidRPr="00F46D60">
              <w:rPr>
                <w:color w:val="231F20"/>
                <w:sz w:val="18"/>
                <w:szCs w:val="18"/>
              </w:rPr>
              <w:t>COPD</w:t>
            </w:r>
          </w:p>
        </w:tc>
        <w:tc>
          <w:tcPr>
            <w:tcW w:w="6804" w:type="dxa"/>
          </w:tcPr>
          <w:p w14:paraId="3338D798" w14:textId="77777777" w:rsidR="001C19F3" w:rsidRDefault="001C19F3" w:rsidP="00521305">
            <w:pPr>
              <w:spacing w:after="0"/>
              <w:rPr>
                <w:sz w:val="18"/>
                <w:szCs w:val="18"/>
              </w:rPr>
            </w:pPr>
            <w:r w:rsidRPr="00F46D60">
              <w:rPr>
                <w:sz w:val="18"/>
                <w:szCs w:val="18"/>
              </w:rPr>
              <w:t>Acute exacerbation of chronic obstructive airways disease, COPD, chronic lung disease, chronic obstructive airway disease with asthma, interstitial lung disease, pulmonary fibrosis, restrictive lung disease.</w:t>
            </w:r>
          </w:p>
        </w:tc>
      </w:tr>
      <w:tr w:rsidR="001C19F3" w:rsidRPr="007C4473" w14:paraId="1B55AE75" w14:textId="77777777" w:rsidTr="00521305">
        <w:trPr>
          <w:jc w:val="center"/>
        </w:trPr>
        <w:tc>
          <w:tcPr>
            <w:tcW w:w="1838" w:type="dxa"/>
          </w:tcPr>
          <w:p w14:paraId="574B283E" w14:textId="77777777" w:rsidR="001C19F3" w:rsidRDefault="001C19F3" w:rsidP="00521305">
            <w:pPr>
              <w:spacing w:after="0"/>
              <w:rPr>
                <w:sz w:val="18"/>
                <w:szCs w:val="18"/>
              </w:rPr>
            </w:pPr>
            <w:r w:rsidRPr="00F46D60">
              <w:rPr>
                <w:color w:val="231F20"/>
                <w:sz w:val="18"/>
                <w:szCs w:val="18"/>
              </w:rPr>
              <w:t>Atrial fibrillation</w:t>
            </w:r>
          </w:p>
        </w:tc>
        <w:tc>
          <w:tcPr>
            <w:tcW w:w="6804" w:type="dxa"/>
          </w:tcPr>
          <w:p w14:paraId="7953B50D" w14:textId="77777777" w:rsidR="001C19F3" w:rsidRDefault="001C19F3" w:rsidP="00521305">
            <w:pPr>
              <w:spacing w:after="0"/>
              <w:rPr>
                <w:sz w:val="18"/>
                <w:szCs w:val="18"/>
              </w:rPr>
            </w:pPr>
            <w:r w:rsidRPr="00F46D60">
              <w:rPr>
                <w:sz w:val="18"/>
                <w:szCs w:val="18"/>
              </w:rPr>
              <w:t>Atrial fibrillation, atrial fibrillation and flutter, chronic atrial fibrillation, controlled atrial fibrillation, non-rheumatic atrial fibrillation, paroxysmal atrial fibrillation, rapid atrial fibrillation.</w:t>
            </w:r>
          </w:p>
        </w:tc>
      </w:tr>
      <w:tr w:rsidR="001C19F3" w:rsidRPr="007C4473" w14:paraId="278BDC36" w14:textId="77777777" w:rsidTr="00521305">
        <w:trPr>
          <w:jc w:val="center"/>
        </w:trPr>
        <w:tc>
          <w:tcPr>
            <w:tcW w:w="1838" w:type="dxa"/>
          </w:tcPr>
          <w:p w14:paraId="4112865C" w14:textId="77777777" w:rsidR="001C19F3" w:rsidRDefault="001C19F3" w:rsidP="00521305">
            <w:pPr>
              <w:spacing w:after="0"/>
              <w:rPr>
                <w:sz w:val="18"/>
                <w:szCs w:val="18"/>
              </w:rPr>
            </w:pPr>
            <w:r w:rsidRPr="00F46D60">
              <w:rPr>
                <w:color w:val="231F20"/>
                <w:sz w:val="18"/>
                <w:szCs w:val="18"/>
              </w:rPr>
              <w:t>Coronary heart disease</w:t>
            </w:r>
          </w:p>
        </w:tc>
        <w:tc>
          <w:tcPr>
            <w:tcW w:w="6804" w:type="dxa"/>
          </w:tcPr>
          <w:p w14:paraId="7EB958AD" w14:textId="77777777" w:rsidR="001C19F3" w:rsidRDefault="001C19F3" w:rsidP="00521305">
            <w:pPr>
              <w:spacing w:after="0"/>
              <w:rPr>
                <w:sz w:val="18"/>
                <w:szCs w:val="18"/>
              </w:rPr>
            </w:pPr>
            <w:r w:rsidRPr="00F46D60">
              <w:rPr>
                <w:sz w:val="18"/>
                <w:szCs w:val="18"/>
              </w:rPr>
              <w:t>Acute ST segment elevation myocardial infarction, acute coronary syndrome, acute myocardial infarction, acute non-ST segment elevation myocardial infarction, angina, cardiac arrest, coronary angioplasty, coronary artery bypass graft, coronary artery bypass graft, myocardial infarction, percutaneous transluminal coronary angioplasty, prinzmetal angina, silent myocardial infarction, stable angina.</w:t>
            </w:r>
          </w:p>
        </w:tc>
      </w:tr>
      <w:tr w:rsidR="001C19F3" w:rsidRPr="007C4473" w14:paraId="35AB4ED2" w14:textId="77777777" w:rsidTr="00521305">
        <w:trPr>
          <w:jc w:val="center"/>
        </w:trPr>
        <w:tc>
          <w:tcPr>
            <w:tcW w:w="1838" w:type="dxa"/>
          </w:tcPr>
          <w:p w14:paraId="3B8BC4BB" w14:textId="77777777" w:rsidR="001C19F3" w:rsidRDefault="001C19F3" w:rsidP="00521305">
            <w:pPr>
              <w:spacing w:after="0"/>
              <w:rPr>
                <w:sz w:val="18"/>
                <w:szCs w:val="18"/>
              </w:rPr>
            </w:pPr>
            <w:r w:rsidRPr="00F46D60">
              <w:rPr>
                <w:color w:val="231F20"/>
                <w:sz w:val="18"/>
                <w:szCs w:val="18"/>
              </w:rPr>
              <w:t>Stroke</w:t>
            </w:r>
          </w:p>
        </w:tc>
        <w:tc>
          <w:tcPr>
            <w:tcW w:w="6804" w:type="dxa"/>
          </w:tcPr>
          <w:p w14:paraId="7C070DDA" w14:textId="77777777" w:rsidR="001C19F3" w:rsidRDefault="001C19F3" w:rsidP="00521305">
            <w:pPr>
              <w:spacing w:after="0"/>
              <w:rPr>
                <w:sz w:val="18"/>
                <w:szCs w:val="18"/>
              </w:rPr>
            </w:pPr>
            <w:r w:rsidRPr="00F46D60">
              <w:rPr>
                <w:sz w:val="18"/>
                <w:szCs w:val="18"/>
              </w:rPr>
              <w:t>Brain stem infarction, brainstem stroke syndrome, cerebral embolism, cerebral haemorrhage, cerebral infarction, cerebrovascular accident, embolic stroke, haemorrhagic cerebral infarction, intracranial haemorrhage, left sided cerebral hemisphere cerebrovascular accident, subarachnoid haemorrhage, subdural haemorrhage, thalamic infarction, thrombotic stroke.</w:t>
            </w:r>
          </w:p>
        </w:tc>
      </w:tr>
      <w:tr w:rsidR="001C19F3" w:rsidRPr="007C4473" w14:paraId="09741117" w14:textId="77777777" w:rsidTr="00521305">
        <w:trPr>
          <w:jc w:val="center"/>
        </w:trPr>
        <w:tc>
          <w:tcPr>
            <w:tcW w:w="1838" w:type="dxa"/>
          </w:tcPr>
          <w:p w14:paraId="07FB940D" w14:textId="77777777" w:rsidR="001C19F3" w:rsidRDefault="001C19F3" w:rsidP="00521305">
            <w:pPr>
              <w:spacing w:after="0"/>
              <w:rPr>
                <w:sz w:val="18"/>
                <w:szCs w:val="18"/>
              </w:rPr>
            </w:pPr>
            <w:r w:rsidRPr="00F46D60">
              <w:rPr>
                <w:color w:val="231F20"/>
                <w:sz w:val="18"/>
                <w:szCs w:val="18"/>
              </w:rPr>
              <w:t>Congestive heart failure</w:t>
            </w:r>
          </w:p>
        </w:tc>
        <w:tc>
          <w:tcPr>
            <w:tcW w:w="6804" w:type="dxa"/>
          </w:tcPr>
          <w:p w14:paraId="596B6E51" w14:textId="77777777" w:rsidR="001C19F3" w:rsidRDefault="001C19F3" w:rsidP="00521305">
            <w:pPr>
              <w:spacing w:after="0"/>
              <w:rPr>
                <w:sz w:val="18"/>
                <w:szCs w:val="18"/>
              </w:rPr>
            </w:pPr>
            <w:r w:rsidRPr="00F46D60">
              <w:rPr>
                <w:sz w:val="18"/>
                <w:szCs w:val="18"/>
              </w:rPr>
              <w:t>Biventricular congestive heart failure, chronic heart failure, congestive heart failure, diastolic heart failure, heart failure, heart failure with reduced ejection fraction, hypertensive heart failure, left ventricular diastolic dysfunction, right heart failure.</w:t>
            </w:r>
          </w:p>
        </w:tc>
      </w:tr>
      <w:tr w:rsidR="001C19F3" w:rsidRPr="007C4473" w14:paraId="6D2ECCA0" w14:textId="77777777" w:rsidTr="00521305">
        <w:trPr>
          <w:jc w:val="center"/>
        </w:trPr>
        <w:tc>
          <w:tcPr>
            <w:tcW w:w="1838" w:type="dxa"/>
          </w:tcPr>
          <w:p w14:paraId="44C055E7" w14:textId="77777777" w:rsidR="001C19F3" w:rsidRDefault="001C19F3" w:rsidP="00521305">
            <w:pPr>
              <w:spacing w:after="0"/>
              <w:rPr>
                <w:sz w:val="18"/>
                <w:szCs w:val="18"/>
              </w:rPr>
            </w:pPr>
            <w:r w:rsidRPr="00F46D60">
              <w:rPr>
                <w:color w:val="231F20"/>
                <w:sz w:val="18"/>
                <w:szCs w:val="18"/>
              </w:rPr>
              <w:t>Osteoarthritis</w:t>
            </w:r>
          </w:p>
        </w:tc>
        <w:tc>
          <w:tcPr>
            <w:tcW w:w="6804" w:type="dxa"/>
          </w:tcPr>
          <w:p w14:paraId="21AC61C0" w14:textId="77777777" w:rsidR="001C19F3" w:rsidRDefault="001C19F3" w:rsidP="00521305">
            <w:pPr>
              <w:spacing w:after="0"/>
              <w:rPr>
                <w:sz w:val="18"/>
                <w:szCs w:val="18"/>
              </w:rPr>
            </w:pPr>
            <w:r>
              <w:rPr>
                <w:sz w:val="18"/>
                <w:szCs w:val="18"/>
              </w:rPr>
              <w:t>P</w:t>
            </w:r>
            <w:r w:rsidRPr="00F46D60">
              <w:rPr>
                <w:sz w:val="18"/>
                <w:szCs w:val="18"/>
              </w:rPr>
              <w:t>atellofemoral osteoarthritis, osteoarthritis.</w:t>
            </w:r>
          </w:p>
        </w:tc>
      </w:tr>
      <w:tr w:rsidR="001C19F3" w:rsidRPr="007C4473" w14:paraId="3A66A73B" w14:textId="77777777" w:rsidTr="00521305">
        <w:trPr>
          <w:jc w:val="center"/>
        </w:trPr>
        <w:tc>
          <w:tcPr>
            <w:tcW w:w="1838" w:type="dxa"/>
          </w:tcPr>
          <w:p w14:paraId="376D1A13" w14:textId="77777777" w:rsidR="001C19F3" w:rsidRPr="007C4473" w:rsidRDefault="001C19F3" w:rsidP="00521305">
            <w:pPr>
              <w:spacing w:after="0"/>
              <w:rPr>
                <w:sz w:val="18"/>
                <w:szCs w:val="18"/>
              </w:rPr>
            </w:pPr>
            <w:r w:rsidRPr="00F46D60">
              <w:rPr>
                <w:color w:val="231F20"/>
                <w:sz w:val="18"/>
                <w:szCs w:val="18"/>
              </w:rPr>
              <w:t>Osteoporosis</w:t>
            </w:r>
          </w:p>
        </w:tc>
        <w:tc>
          <w:tcPr>
            <w:tcW w:w="6804" w:type="dxa"/>
          </w:tcPr>
          <w:p w14:paraId="6F8E1FCB" w14:textId="77777777" w:rsidR="001C19F3" w:rsidRPr="007C4473" w:rsidRDefault="001C19F3" w:rsidP="00521305">
            <w:pPr>
              <w:spacing w:after="0"/>
              <w:rPr>
                <w:sz w:val="18"/>
                <w:szCs w:val="18"/>
              </w:rPr>
            </w:pPr>
            <w:r>
              <w:rPr>
                <w:sz w:val="18"/>
                <w:szCs w:val="18"/>
              </w:rPr>
              <w:t>O</w:t>
            </w:r>
            <w:r w:rsidRPr="00F46D60">
              <w:rPr>
                <w:sz w:val="18"/>
                <w:szCs w:val="18"/>
              </w:rPr>
              <w:t>steoporosis, osteoporosis due to corticosteroids, osteoporotic fracture, posttraumatic osteoporosis, postmenopausal osteoporosis.</w:t>
            </w:r>
          </w:p>
        </w:tc>
      </w:tr>
      <w:tr w:rsidR="001C19F3" w:rsidRPr="007C4473" w14:paraId="75713975" w14:textId="77777777" w:rsidTr="00521305">
        <w:trPr>
          <w:jc w:val="center"/>
        </w:trPr>
        <w:tc>
          <w:tcPr>
            <w:tcW w:w="1838" w:type="dxa"/>
          </w:tcPr>
          <w:p w14:paraId="0F2A5F46" w14:textId="77777777" w:rsidR="001C19F3" w:rsidRDefault="001C19F3" w:rsidP="00521305">
            <w:pPr>
              <w:spacing w:after="0"/>
              <w:rPr>
                <w:sz w:val="18"/>
                <w:szCs w:val="18"/>
              </w:rPr>
            </w:pPr>
            <w:r w:rsidRPr="00F46D60">
              <w:rPr>
                <w:color w:val="231F20"/>
                <w:sz w:val="18"/>
                <w:szCs w:val="18"/>
              </w:rPr>
              <w:t>Anxiety</w:t>
            </w:r>
          </w:p>
        </w:tc>
        <w:tc>
          <w:tcPr>
            <w:tcW w:w="6804" w:type="dxa"/>
          </w:tcPr>
          <w:p w14:paraId="6795B5ED" w14:textId="77777777" w:rsidR="001C19F3" w:rsidRPr="007C4473" w:rsidRDefault="001C19F3" w:rsidP="00521305">
            <w:pPr>
              <w:spacing w:after="0"/>
              <w:rPr>
                <w:sz w:val="18"/>
                <w:szCs w:val="18"/>
              </w:rPr>
            </w:pPr>
            <w:r>
              <w:rPr>
                <w:sz w:val="18"/>
                <w:szCs w:val="18"/>
              </w:rPr>
              <w:t>A</w:t>
            </w:r>
            <w:r w:rsidRPr="00F46D60">
              <w:rPr>
                <w:sz w:val="18"/>
                <w:szCs w:val="18"/>
              </w:rPr>
              <w:t>djustment disorder with anxious mood, anxiety, anxiety attack, anxiety disorder, anxiety neurosis, anxious personality disorder, chronic anxiety, generalised anxiety disorder, mixed anxiety and depressive disorder, separation anxiety disorder of childhood, social phobia.</w:t>
            </w:r>
          </w:p>
        </w:tc>
      </w:tr>
      <w:tr w:rsidR="001C19F3" w:rsidRPr="007C4473" w14:paraId="50E53E11" w14:textId="77777777" w:rsidTr="00521305">
        <w:trPr>
          <w:jc w:val="center"/>
        </w:trPr>
        <w:tc>
          <w:tcPr>
            <w:tcW w:w="1838" w:type="dxa"/>
          </w:tcPr>
          <w:p w14:paraId="13B64115" w14:textId="77777777" w:rsidR="001C19F3" w:rsidRPr="00783A8A" w:rsidRDefault="001C19F3" w:rsidP="00521305">
            <w:pPr>
              <w:spacing w:after="0"/>
              <w:rPr>
                <w:b/>
                <w:sz w:val="18"/>
                <w:szCs w:val="18"/>
              </w:rPr>
            </w:pPr>
            <w:r w:rsidRPr="00F46D60">
              <w:rPr>
                <w:color w:val="231F20"/>
                <w:sz w:val="18"/>
                <w:szCs w:val="18"/>
              </w:rPr>
              <w:t>Depression</w:t>
            </w:r>
          </w:p>
        </w:tc>
        <w:tc>
          <w:tcPr>
            <w:tcW w:w="6804" w:type="dxa"/>
          </w:tcPr>
          <w:p w14:paraId="51EB749B" w14:textId="77777777" w:rsidR="001C19F3" w:rsidRPr="007C4473" w:rsidRDefault="001C19F3" w:rsidP="00521305">
            <w:pPr>
              <w:spacing w:after="0"/>
              <w:rPr>
                <w:sz w:val="18"/>
                <w:szCs w:val="18"/>
              </w:rPr>
            </w:pPr>
            <w:r w:rsidRPr="00F46D60">
              <w:rPr>
                <w:sz w:val="18"/>
                <w:szCs w:val="18"/>
              </w:rPr>
              <w:t>adjustment disorder with depressed mood, agitated depression, chronic depression, depressed mood, depression, endogenous depression, major depressive disorder, mixed anxiety and depressive disorder, recurrent depression, severe depression, severe major depression with psychotic features, symptoms of depression.</w:t>
            </w:r>
          </w:p>
        </w:tc>
      </w:tr>
      <w:tr w:rsidR="001C19F3" w:rsidRPr="007C4473" w14:paraId="1263C45D" w14:textId="77777777" w:rsidTr="00521305">
        <w:trPr>
          <w:jc w:val="center"/>
        </w:trPr>
        <w:tc>
          <w:tcPr>
            <w:tcW w:w="1838" w:type="dxa"/>
          </w:tcPr>
          <w:p w14:paraId="058AF144" w14:textId="77777777" w:rsidR="001C19F3" w:rsidRDefault="001C19F3" w:rsidP="00521305">
            <w:pPr>
              <w:spacing w:after="0"/>
              <w:rPr>
                <w:sz w:val="18"/>
                <w:szCs w:val="18"/>
              </w:rPr>
            </w:pPr>
            <w:r w:rsidRPr="00F46D60">
              <w:rPr>
                <w:color w:val="231F20"/>
                <w:sz w:val="18"/>
                <w:szCs w:val="18"/>
              </w:rPr>
              <w:t>Bipolar</w:t>
            </w:r>
            <w:r>
              <w:rPr>
                <w:color w:val="231F20"/>
                <w:sz w:val="18"/>
                <w:szCs w:val="18"/>
              </w:rPr>
              <w:t xml:space="preserve"> disorder</w:t>
            </w:r>
          </w:p>
        </w:tc>
        <w:tc>
          <w:tcPr>
            <w:tcW w:w="6804" w:type="dxa"/>
          </w:tcPr>
          <w:p w14:paraId="3E565E13" w14:textId="77777777" w:rsidR="001C19F3" w:rsidRPr="007C4473" w:rsidRDefault="001C19F3" w:rsidP="00521305">
            <w:pPr>
              <w:spacing w:after="0"/>
              <w:rPr>
                <w:sz w:val="18"/>
                <w:szCs w:val="18"/>
              </w:rPr>
            </w:pPr>
            <w:r w:rsidRPr="00F46D60">
              <w:rPr>
                <w:sz w:val="18"/>
                <w:szCs w:val="18"/>
              </w:rPr>
              <w:t>Bipolar, bipolar i disorder, bipolar ii disorder, bipolar disorder, schizoaffective disorder, bipolar type.</w:t>
            </w:r>
          </w:p>
        </w:tc>
      </w:tr>
      <w:tr w:rsidR="001C19F3" w:rsidRPr="007C4473" w14:paraId="3EF9B029" w14:textId="77777777" w:rsidTr="00521305">
        <w:trPr>
          <w:jc w:val="center"/>
        </w:trPr>
        <w:tc>
          <w:tcPr>
            <w:tcW w:w="1838" w:type="dxa"/>
          </w:tcPr>
          <w:p w14:paraId="1870E5E0" w14:textId="77777777" w:rsidR="001C19F3" w:rsidRDefault="001C19F3" w:rsidP="00521305">
            <w:pPr>
              <w:spacing w:after="0"/>
              <w:rPr>
                <w:sz w:val="18"/>
                <w:szCs w:val="18"/>
              </w:rPr>
            </w:pPr>
            <w:r w:rsidRPr="00F46D60">
              <w:rPr>
                <w:color w:val="231F20"/>
                <w:sz w:val="18"/>
                <w:szCs w:val="18"/>
              </w:rPr>
              <w:t>Schizophrenia</w:t>
            </w:r>
          </w:p>
        </w:tc>
        <w:tc>
          <w:tcPr>
            <w:tcW w:w="6804" w:type="dxa"/>
          </w:tcPr>
          <w:p w14:paraId="3E2F7DCB" w14:textId="77777777" w:rsidR="001C19F3" w:rsidRPr="007C4473" w:rsidRDefault="001C19F3" w:rsidP="00521305">
            <w:pPr>
              <w:spacing w:after="0"/>
              <w:rPr>
                <w:sz w:val="18"/>
                <w:szCs w:val="18"/>
              </w:rPr>
            </w:pPr>
            <w:r w:rsidRPr="00F46D60">
              <w:rPr>
                <w:sz w:val="18"/>
                <w:szCs w:val="18"/>
              </w:rPr>
              <w:t>Catatonic schizophrenia, chronic paranoid schizophrenia, chronic schizophrenia, paranoid schizophrenia, psychotic disorder, schizoaffective disorder, schizophrenia.</w:t>
            </w:r>
          </w:p>
        </w:tc>
      </w:tr>
      <w:tr w:rsidR="001C19F3" w:rsidRPr="007C4473" w14:paraId="545768C9" w14:textId="77777777" w:rsidTr="00521305">
        <w:trPr>
          <w:jc w:val="center"/>
        </w:trPr>
        <w:tc>
          <w:tcPr>
            <w:tcW w:w="1838" w:type="dxa"/>
          </w:tcPr>
          <w:p w14:paraId="0BE7DF74" w14:textId="77777777" w:rsidR="001C19F3" w:rsidRDefault="001C19F3" w:rsidP="00521305">
            <w:pPr>
              <w:spacing w:after="0"/>
              <w:rPr>
                <w:sz w:val="18"/>
                <w:szCs w:val="18"/>
              </w:rPr>
            </w:pPr>
            <w:r w:rsidRPr="00F46D60">
              <w:rPr>
                <w:color w:val="231F20"/>
                <w:sz w:val="18"/>
                <w:szCs w:val="18"/>
              </w:rPr>
              <w:lastRenderedPageBreak/>
              <w:t>Dementia</w:t>
            </w:r>
          </w:p>
        </w:tc>
        <w:tc>
          <w:tcPr>
            <w:tcW w:w="6804" w:type="dxa"/>
          </w:tcPr>
          <w:p w14:paraId="59740E5A" w14:textId="77777777" w:rsidR="001C19F3" w:rsidRPr="007C4473" w:rsidRDefault="001C19F3" w:rsidP="00521305">
            <w:pPr>
              <w:spacing w:after="0"/>
              <w:rPr>
                <w:sz w:val="18"/>
                <w:szCs w:val="18"/>
              </w:rPr>
            </w:pPr>
            <w:r w:rsidRPr="00F46D60">
              <w:rPr>
                <w:sz w:val="18"/>
                <w:szCs w:val="18"/>
              </w:rPr>
              <w:t>Dementia, dementia associated with alcoholism, dementia of frontal lobe type, frontotemporal dementia, senile dementia of the Lewy body type, senile dementia with psychosis multi-infarct dementia, vascular dementia.</w:t>
            </w:r>
          </w:p>
        </w:tc>
      </w:tr>
      <w:tr w:rsidR="001C19F3" w:rsidRPr="007C4473" w14:paraId="04B0B824" w14:textId="77777777" w:rsidTr="00521305">
        <w:trPr>
          <w:jc w:val="center"/>
        </w:trPr>
        <w:tc>
          <w:tcPr>
            <w:tcW w:w="1838" w:type="dxa"/>
          </w:tcPr>
          <w:p w14:paraId="385BDBE9" w14:textId="77777777" w:rsidR="001C19F3" w:rsidRDefault="001C19F3" w:rsidP="00521305">
            <w:pPr>
              <w:spacing w:after="0"/>
              <w:rPr>
                <w:sz w:val="18"/>
                <w:szCs w:val="18"/>
              </w:rPr>
            </w:pPr>
            <w:r w:rsidRPr="00F46D60">
              <w:rPr>
                <w:color w:val="231F20"/>
                <w:sz w:val="18"/>
                <w:szCs w:val="18"/>
              </w:rPr>
              <w:t>High blood pressure</w:t>
            </w:r>
          </w:p>
        </w:tc>
        <w:tc>
          <w:tcPr>
            <w:tcW w:w="6804" w:type="dxa"/>
          </w:tcPr>
          <w:p w14:paraId="37103AE8" w14:textId="77777777" w:rsidR="001C19F3" w:rsidRPr="007C4473" w:rsidRDefault="001C19F3" w:rsidP="00521305">
            <w:pPr>
              <w:spacing w:after="0"/>
              <w:rPr>
                <w:sz w:val="18"/>
                <w:szCs w:val="18"/>
              </w:rPr>
            </w:pPr>
            <w:r w:rsidRPr="00F46D60">
              <w:rPr>
                <w:sz w:val="18"/>
                <w:szCs w:val="18"/>
              </w:rPr>
              <w:t>Antihypertensive therapy, diastolic hypertension, essential hypertension, hypertensive, malignant hypertension, ocular hypertension, portal hypertension, pulmonary hypertension, renal hypertension, renovascular hypertension, systolic hypertension.</w:t>
            </w:r>
          </w:p>
        </w:tc>
      </w:tr>
      <w:tr w:rsidR="001C19F3" w:rsidRPr="007C4473" w14:paraId="75AB69E6" w14:textId="77777777" w:rsidTr="00521305">
        <w:trPr>
          <w:jc w:val="center"/>
        </w:trPr>
        <w:tc>
          <w:tcPr>
            <w:tcW w:w="1838" w:type="dxa"/>
          </w:tcPr>
          <w:p w14:paraId="0A94F919" w14:textId="77777777" w:rsidR="001C19F3" w:rsidRDefault="001C19F3" w:rsidP="00521305">
            <w:pPr>
              <w:spacing w:after="0"/>
              <w:rPr>
                <w:sz w:val="18"/>
                <w:szCs w:val="18"/>
              </w:rPr>
            </w:pPr>
            <w:r w:rsidRPr="00F46D60">
              <w:rPr>
                <w:color w:val="231F20"/>
                <w:sz w:val="18"/>
                <w:szCs w:val="18"/>
              </w:rPr>
              <w:t>High cholesterol</w:t>
            </w:r>
          </w:p>
        </w:tc>
        <w:tc>
          <w:tcPr>
            <w:tcW w:w="6804" w:type="dxa"/>
          </w:tcPr>
          <w:p w14:paraId="1024FA85" w14:textId="77777777" w:rsidR="001C19F3" w:rsidRPr="007C4473" w:rsidRDefault="001C19F3" w:rsidP="00521305">
            <w:pPr>
              <w:spacing w:after="0"/>
              <w:rPr>
                <w:sz w:val="18"/>
                <w:szCs w:val="18"/>
              </w:rPr>
            </w:pPr>
            <w:r>
              <w:rPr>
                <w:sz w:val="18"/>
                <w:szCs w:val="18"/>
              </w:rPr>
              <w:t>C</w:t>
            </w:r>
            <w:r w:rsidRPr="00F46D60">
              <w:rPr>
                <w:sz w:val="18"/>
                <w:szCs w:val="18"/>
              </w:rPr>
              <w:t>holesterol, dyslipidaemia, familial combined hyperlipidaemia, familial hypercholesterolaemia, hypercholesterolaemia, hyperlipidaemia, mixed hyperlipidaemia.</w:t>
            </w:r>
          </w:p>
        </w:tc>
      </w:tr>
      <w:tr w:rsidR="001C19F3" w:rsidRPr="007C4473" w14:paraId="55FA7B8A" w14:textId="77777777" w:rsidTr="00521305">
        <w:trPr>
          <w:jc w:val="center"/>
        </w:trPr>
        <w:tc>
          <w:tcPr>
            <w:tcW w:w="1838" w:type="dxa"/>
          </w:tcPr>
          <w:p w14:paraId="4C0A957D" w14:textId="77777777" w:rsidR="001C19F3" w:rsidRDefault="001C19F3" w:rsidP="00521305">
            <w:pPr>
              <w:spacing w:after="0"/>
              <w:rPr>
                <w:sz w:val="18"/>
                <w:szCs w:val="18"/>
              </w:rPr>
            </w:pPr>
            <w:r w:rsidRPr="00F46D60">
              <w:rPr>
                <w:color w:val="231F20"/>
                <w:sz w:val="18"/>
                <w:szCs w:val="18"/>
              </w:rPr>
              <w:t xml:space="preserve">Diabetes </w:t>
            </w:r>
            <w:r>
              <w:rPr>
                <w:color w:val="231F20"/>
                <w:sz w:val="18"/>
                <w:szCs w:val="18"/>
              </w:rPr>
              <w:t>t</w:t>
            </w:r>
            <w:r w:rsidRPr="00F46D60">
              <w:rPr>
                <w:color w:val="231F20"/>
                <w:sz w:val="18"/>
                <w:szCs w:val="18"/>
              </w:rPr>
              <w:t>ype 1</w:t>
            </w:r>
          </w:p>
        </w:tc>
        <w:tc>
          <w:tcPr>
            <w:tcW w:w="6804" w:type="dxa"/>
          </w:tcPr>
          <w:p w14:paraId="4D15BCD8" w14:textId="77777777" w:rsidR="001C19F3" w:rsidRPr="007C4473" w:rsidRDefault="001C19F3" w:rsidP="00521305">
            <w:pPr>
              <w:spacing w:after="0"/>
              <w:rPr>
                <w:sz w:val="18"/>
                <w:szCs w:val="18"/>
              </w:rPr>
            </w:pPr>
            <w:r>
              <w:rPr>
                <w:sz w:val="18"/>
                <w:szCs w:val="18"/>
              </w:rPr>
              <w:t>D</w:t>
            </w:r>
            <w:r w:rsidRPr="00F46D60">
              <w:rPr>
                <w:sz w:val="18"/>
                <w:szCs w:val="18"/>
              </w:rPr>
              <w:t>iabetes mellitus type 1</w:t>
            </w:r>
          </w:p>
        </w:tc>
      </w:tr>
      <w:tr w:rsidR="001C19F3" w:rsidRPr="007C4473" w14:paraId="7AABE16B" w14:textId="77777777" w:rsidTr="00521305">
        <w:trPr>
          <w:jc w:val="center"/>
        </w:trPr>
        <w:tc>
          <w:tcPr>
            <w:tcW w:w="1838" w:type="dxa"/>
          </w:tcPr>
          <w:p w14:paraId="05624B82" w14:textId="77777777" w:rsidR="001C19F3" w:rsidRPr="00F46D60" w:rsidRDefault="001C19F3" w:rsidP="00521305">
            <w:pPr>
              <w:spacing w:after="0"/>
              <w:rPr>
                <w:color w:val="231F20"/>
                <w:sz w:val="18"/>
                <w:szCs w:val="18"/>
              </w:rPr>
            </w:pPr>
            <w:r w:rsidRPr="00F46D60">
              <w:rPr>
                <w:color w:val="231F20"/>
                <w:sz w:val="18"/>
                <w:szCs w:val="18"/>
              </w:rPr>
              <w:t xml:space="preserve">Diabetes </w:t>
            </w:r>
            <w:r>
              <w:rPr>
                <w:color w:val="231F20"/>
                <w:sz w:val="18"/>
                <w:szCs w:val="18"/>
              </w:rPr>
              <w:t>t</w:t>
            </w:r>
            <w:r w:rsidRPr="00F46D60">
              <w:rPr>
                <w:color w:val="231F20"/>
                <w:sz w:val="18"/>
                <w:szCs w:val="18"/>
              </w:rPr>
              <w:t>ype 2</w:t>
            </w:r>
          </w:p>
        </w:tc>
        <w:tc>
          <w:tcPr>
            <w:tcW w:w="6804" w:type="dxa"/>
          </w:tcPr>
          <w:p w14:paraId="26F75CB2" w14:textId="77777777" w:rsidR="001C19F3" w:rsidRDefault="001C19F3" w:rsidP="00521305">
            <w:pPr>
              <w:spacing w:after="0"/>
              <w:rPr>
                <w:sz w:val="18"/>
                <w:szCs w:val="18"/>
              </w:rPr>
            </w:pPr>
            <w:r>
              <w:rPr>
                <w:sz w:val="18"/>
                <w:szCs w:val="18"/>
              </w:rPr>
              <w:t>D</w:t>
            </w:r>
            <w:r w:rsidRPr="00F46D60">
              <w:rPr>
                <w:sz w:val="18"/>
                <w:szCs w:val="18"/>
              </w:rPr>
              <w:t>iabetes mellitus type 2</w:t>
            </w:r>
          </w:p>
        </w:tc>
      </w:tr>
      <w:tr w:rsidR="001C19F3" w:rsidRPr="007C4473" w14:paraId="0D5F11A2" w14:textId="77777777" w:rsidTr="00521305">
        <w:trPr>
          <w:jc w:val="center"/>
        </w:trPr>
        <w:tc>
          <w:tcPr>
            <w:tcW w:w="1838" w:type="dxa"/>
          </w:tcPr>
          <w:p w14:paraId="2EF3AE06" w14:textId="77777777" w:rsidR="001C19F3" w:rsidRPr="00F46D60" w:rsidRDefault="001C19F3" w:rsidP="00521305">
            <w:pPr>
              <w:spacing w:after="0"/>
              <w:rPr>
                <w:color w:val="231F20"/>
                <w:sz w:val="18"/>
                <w:szCs w:val="18"/>
              </w:rPr>
            </w:pPr>
            <w:r w:rsidRPr="00F46D60">
              <w:rPr>
                <w:color w:val="231F20"/>
                <w:sz w:val="18"/>
                <w:szCs w:val="18"/>
              </w:rPr>
              <w:t>Chronic kidney disease</w:t>
            </w:r>
          </w:p>
        </w:tc>
        <w:tc>
          <w:tcPr>
            <w:tcW w:w="6804" w:type="dxa"/>
          </w:tcPr>
          <w:p w14:paraId="5567E23D" w14:textId="77777777" w:rsidR="001C19F3" w:rsidRDefault="001C19F3" w:rsidP="00521305">
            <w:pPr>
              <w:spacing w:after="0"/>
              <w:rPr>
                <w:sz w:val="18"/>
                <w:szCs w:val="18"/>
              </w:rPr>
            </w:pPr>
            <w:r>
              <w:rPr>
                <w:sz w:val="18"/>
                <w:szCs w:val="18"/>
              </w:rPr>
              <w:t>A</w:t>
            </w:r>
            <w:r w:rsidRPr="00F46D60">
              <w:rPr>
                <w:sz w:val="18"/>
                <w:szCs w:val="18"/>
              </w:rPr>
              <w:t>naemia of chronic renal failure, chronic kidney disease, chronic renal impairment, end stage renal disease, hypertensive renal disease, IGA nephropathy, medullary sponge kidney, renal dialysis, transplant of kidney</w:t>
            </w:r>
          </w:p>
        </w:tc>
      </w:tr>
      <w:bookmarkEnd w:id="619"/>
      <w:bookmarkEnd w:id="620"/>
    </w:tbl>
    <w:p w14:paraId="133434AB" w14:textId="77777777" w:rsidR="001C19F3" w:rsidRDefault="001C19F3" w:rsidP="001C19F3"/>
    <w:p w14:paraId="274FF9C2" w14:textId="2A1ABD2C" w:rsidR="001C19F3" w:rsidRDefault="001C19F3" w:rsidP="001C19F3">
      <w:pPr>
        <w:spacing w:after="160" w:line="259" w:lineRule="auto"/>
      </w:pPr>
    </w:p>
    <w:p w14:paraId="677D6A19" w14:textId="442EC9C7" w:rsidR="001C19F3" w:rsidRDefault="001C19F3" w:rsidP="001C19F3">
      <w:pPr>
        <w:spacing w:after="120"/>
        <w:ind w:left="284" w:hanging="284"/>
        <w:rPr>
          <w:noProof/>
          <w:lang w:val="en-US"/>
        </w:rPr>
      </w:pPr>
    </w:p>
    <w:p w14:paraId="51FFB793" w14:textId="1CF0B32A" w:rsidR="001C19F3" w:rsidRDefault="001C19F3" w:rsidP="001C19F3">
      <w:pPr>
        <w:spacing w:after="120"/>
        <w:ind w:left="284" w:hanging="284"/>
        <w:rPr>
          <w:noProof/>
          <w:lang w:val="en-US"/>
        </w:rPr>
      </w:pPr>
    </w:p>
    <w:p w14:paraId="59161E4F" w14:textId="77777777" w:rsidR="001C19F3" w:rsidRPr="001C19F3" w:rsidRDefault="001C19F3" w:rsidP="001C19F3">
      <w:pPr>
        <w:spacing w:after="120"/>
        <w:ind w:left="284" w:hanging="284"/>
        <w:rPr>
          <w:noProof/>
          <w:lang w:val="en-US"/>
        </w:rPr>
      </w:pPr>
    </w:p>
    <w:p w14:paraId="3153DE1F" w14:textId="413B3024" w:rsidR="00375ECE" w:rsidRDefault="00375ECE" w:rsidP="00D81FA6">
      <w:pPr>
        <w:spacing w:after="120"/>
        <w:ind w:left="284" w:hanging="284"/>
      </w:pPr>
    </w:p>
    <w:sectPr w:rsidR="00375ECE" w:rsidSect="00375EC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6B161" w14:textId="77777777" w:rsidR="00521305" w:rsidRDefault="00521305" w:rsidP="00640EFA">
      <w:pPr>
        <w:spacing w:after="0" w:line="240" w:lineRule="auto"/>
      </w:pPr>
      <w:r>
        <w:separator/>
      </w:r>
    </w:p>
  </w:endnote>
  <w:endnote w:type="continuationSeparator" w:id="0">
    <w:p w14:paraId="45AA46AF" w14:textId="77777777" w:rsidR="00521305" w:rsidRDefault="00521305" w:rsidP="0064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740CA" w14:textId="2A631658" w:rsidR="00521305" w:rsidRPr="009C758F" w:rsidRDefault="00521305" w:rsidP="009C758F">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2019 – Vol 1 Summary</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934585137"/>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002E0A" w:rsidRPr="00002E0A">
          <w:rPr>
            <w:b/>
            <w:noProof/>
            <w:color w:val="808080" w:themeColor="background1" w:themeShade="80"/>
            <w:sz w:val="16"/>
          </w:rPr>
          <w:t>1</w:t>
        </w:r>
        <w:r w:rsidRPr="00145B5F">
          <w:rPr>
            <w:rFonts w:ascii="Century Gothic" w:hAnsi="Century Gothic"/>
            <w:b/>
            <w:noProof/>
            <w:color w:val="808080" w:themeColor="background1" w:themeShade="80"/>
            <w:sz w:val="16"/>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D204F" w14:textId="3C383A1D" w:rsidR="00521305" w:rsidRPr="00433CD0" w:rsidRDefault="00521305"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2019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931967561"/>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002E0A">
          <w:rPr>
            <w:rFonts w:ascii="Century Gothic" w:hAnsi="Century Gothic"/>
            <w:b/>
            <w:noProof/>
            <w:color w:val="808080" w:themeColor="background1" w:themeShade="80"/>
            <w:sz w:val="16"/>
          </w:rPr>
          <w:t>48</w:t>
        </w:r>
        <w:r w:rsidRPr="00145B5F">
          <w:rPr>
            <w:rFonts w:ascii="Century Gothic" w:hAnsi="Century Gothic"/>
            <w:b/>
            <w:noProof/>
            <w:color w:val="808080" w:themeColor="background1" w:themeShade="80"/>
            <w:sz w:val="1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41759" w14:textId="2EA41302" w:rsidR="00521305" w:rsidRPr="00202CB8" w:rsidRDefault="00521305" w:rsidP="00202CB8">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368140617"/>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164</w:t>
        </w:r>
        <w:r w:rsidRPr="00145B5F">
          <w:rPr>
            <w:rFonts w:ascii="Century Gothic" w:hAnsi="Century Gothic"/>
            <w:b/>
            <w:noProof/>
            <w:color w:val="808080" w:themeColor="background1" w:themeShade="80"/>
            <w:sz w:val="1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20F54" w14:textId="6A1D445C" w:rsidR="00521305" w:rsidRPr="00433CD0" w:rsidRDefault="00521305"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2019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437677793"/>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83</w:t>
        </w:r>
        <w:r w:rsidRPr="00145B5F">
          <w:rPr>
            <w:rFonts w:ascii="Century Gothic" w:hAnsi="Century Gothic"/>
            <w:b/>
            <w:noProof/>
            <w:color w:val="808080" w:themeColor="background1" w:themeShade="80"/>
            <w:sz w:val="1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F871" w14:textId="361A7D04" w:rsidR="00521305" w:rsidRPr="00016918"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2019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201838475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sidRPr="00831110">
          <w:rPr>
            <w:b/>
            <w:noProof/>
            <w:color w:val="808080" w:themeColor="background1" w:themeShade="80"/>
            <w:sz w:val="16"/>
          </w:rPr>
          <w:t>173</w:t>
        </w:r>
        <w:r w:rsidRPr="00145B5F">
          <w:rPr>
            <w:rFonts w:ascii="Century Gothic" w:hAnsi="Century Gothic"/>
            <w:b/>
            <w:noProof/>
            <w:color w:val="808080" w:themeColor="background1" w:themeShade="80"/>
            <w:sz w:val="1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B4AA9" w14:textId="4D96D78F" w:rsidR="0059214F" w:rsidRPr="0059214F" w:rsidRDefault="0059214F" w:rsidP="005921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CCF1" w14:textId="77777777" w:rsidR="00521305" w:rsidRPr="00A30833" w:rsidRDefault="00521305" w:rsidP="005213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CA6BE" w14:textId="77777777" w:rsidR="00521305" w:rsidRPr="00A30833" w:rsidRDefault="00521305" w:rsidP="005213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5AE2" w14:textId="534BA065" w:rsidR="00521305" w:rsidRPr="008D3904"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3 Evaluation progress</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44578063"/>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17</w:t>
        </w:r>
        <w:r w:rsidRPr="00145B5F">
          <w:rPr>
            <w:rFonts w:ascii="Century Gothic" w:hAnsi="Century Gothic"/>
            <w:b/>
            <w:noProof/>
            <w:color w:val="808080" w:themeColor="background1" w:themeShade="80"/>
            <w:sz w:val="16"/>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C5153" w14:textId="0ABF83BB" w:rsidR="00521305" w:rsidRPr="00A30833"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3 Evaluation progress</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680782826"/>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002E0A">
          <w:rPr>
            <w:rFonts w:ascii="Century Gothic" w:hAnsi="Century Gothic"/>
            <w:b/>
            <w:noProof/>
            <w:color w:val="808080" w:themeColor="background1" w:themeShade="80"/>
            <w:sz w:val="16"/>
          </w:rPr>
          <w:t>1</w:t>
        </w:r>
        <w:r w:rsidRPr="00145B5F">
          <w:rPr>
            <w:rFonts w:ascii="Century Gothic" w:hAnsi="Century Gothic"/>
            <w:b/>
            <w:noProof/>
            <w:color w:val="808080" w:themeColor="background1" w:themeShade="80"/>
            <w:sz w:val="16"/>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1F20" w14:textId="6DC3A5D5" w:rsidR="00521305" w:rsidRPr="008D3904"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3 Evaluation progress</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31536412"/>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18</w:t>
        </w:r>
        <w:r w:rsidRPr="00145B5F">
          <w:rPr>
            <w:rFonts w:ascii="Century Gothic" w:hAnsi="Century Gothic"/>
            <w:b/>
            <w:noProof/>
            <w:color w:val="808080" w:themeColor="background1" w:themeShade="80"/>
            <w:sz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EDE8" w14:textId="3A3FA461" w:rsidR="00521305" w:rsidRPr="00433CD0" w:rsidRDefault="00521305"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2019 – Vol 1 Summary</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660465072"/>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3</w:t>
        </w:r>
        <w:r w:rsidRPr="00145B5F">
          <w:rPr>
            <w:rFonts w:ascii="Century Gothic" w:hAnsi="Century Gothic"/>
            <w:b/>
            <w:noProof/>
            <w:color w:val="808080" w:themeColor="background1" w:themeShade="80"/>
            <w:sz w:val="16"/>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5EA6" w14:textId="4BDD5608" w:rsidR="00521305" w:rsidRPr="00B73DE1" w:rsidRDefault="00521305" w:rsidP="00521305">
    <w:pPr>
      <w:pStyle w:val="Footer"/>
      <w:pBdr>
        <w:top w:val="single" w:sz="4" w:space="1" w:color="BFBFBF" w:themeColor="background1" w:themeShade="BF"/>
      </w:pBdr>
      <w:tabs>
        <w:tab w:val="clear" w:pos="9026"/>
        <w:tab w:val="right" w:pos="1389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3 Evaluation progress</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918563380"/>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41</w:t>
        </w:r>
        <w:r w:rsidRPr="00145B5F">
          <w:rPr>
            <w:rFonts w:ascii="Century Gothic" w:hAnsi="Century Gothic"/>
            <w:b/>
            <w:noProof/>
            <w:color w:val="808080" w:themeColor="background1" w:themeShade="80"/>
            <w:sz w:val="16"/>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9B82" w14:textId="6253C3FE" w:rsidR="00521305" w:rsidRPr="00B73DE1" w:rsidRDefault="00521305" w:rsidP="00521305">
    <w:pPr>
      <w:pStyle w:val="Footer"/>
      <w:pBdr>
        <w:top w:val="single" w:sz="4" w:space="1" w:color="BFBFBF" w:themeColor="background1" w:themeShade="BF"/>
      </w:pBdr>
      <w:tabs>
        <w:tab w:val="clear" w:pos="9026"/>
        <w:tab w:val="right" w:pos="1389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3 Evaluation progress</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509639446"/>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24</w:t>
        </w:r>
        <w:r w:rsidRPr="00145B5F">
          <w:rPr>
            <w:rFonts w:ascii="Century Gothic" w:hAnsi="Century Gothic"/>
            <w:b/>
            <w:noProof/>
            <w:color w:val="808080" w:themeColor="background1" w:themeShade="80"/>
            <w:sz w:val="16"/>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3AFF" w14:textId="77777777" w:rsidR="00521305" w:rsidRDefault="00521305" w:rsidP="00521305">
    <w:pPr>
      <w:pStyle w:val="Footer"/>
      <w:tabs>
        <w:tab w:val="clear" w:pos="4513"/>
        <w:tab w:val="clear" w:pos="9026"/>
        <w:tab w:val="left" w:pos="7365"/>
      </w:tabs>
    </w:pPr>
    <w:r>
      <w:tab/>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91802" w14:textId="0A301EE9" w:rsidR="00222B81" w:rsidRPr="00222B81" w:rsidRDefault="00222B81" w:rsidP="00222B8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48E4" w14:textId="77777777" w:rsidR="00521305" w:rsidRPr="00433CD0" w:rsidRDefault="00521305" w:rsidP="00433CD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41249" w14:textId="597A3959" w:rsidR="00521305" w:rsidRPr="00ED29EE"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702594611"/>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43</w:t>
        </w:r>
        <w:r w:rsidRPr="00145B5F">
          <w:rPr>
            <w:rFonts w:ascii="Century Gothic" w:hAnsi="Century Gothic"/>
            <w:b/>
            <w:noProof/>
            <w:color w:val="808080" w:themeColor="background1" w:themeShade="80"/>
            <w:sz w:val="16"/>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3E01A" w14:textId="2CB02E4D" w:rsidR="00521305" w:rsidRPr="00ED29EE"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200458130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002E0A">
          <w:rPr>
            <w:rFonts w:ascii="Century Gothic" w:hAnsi="Century Gothic"/>
            <w:b/>
            <w:noProof/>
            <w:color w:val="808080" w:themeColor="background1" w:themeShade="80"/>
            <w:sz w:val="16"/>
          </w:rPr>
          <w:t>1</w:t>
        </w:r>
        <w:r w:rsidRPr="00145B5F">
          <w:rPr>
            <w:rFonts w:ascii="Century Gothic" w:hAnsi="Century Gothic"/>
            <w:b/>
            <w:noProof/>
            <w:color w:val="808080" w:themeColor="background1" w:themeShade="80"/>
            <w:sz w:val="16"/>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56A7C" w14:textId="4470D2C7" w:rsidR="00521305" w:rsidRPr="00ED29EE" w:rsidRDefault="00521305" w:rsidP="00521305">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35209290"/>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40</w:t>
        </w:r>
        <w:r w:rsidRPr="00145B5F">
          <w:rPr>
            <w:rFonts w:ascii="Century Gothic" w:hAnsi="Century Gothic"/>
            <w:b/>
            <w:noProof/>
            <w:color w:val="808080" w:themeColor="background1" w:themeShade="80"/>
            <w:sz w:val="16"/>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89509" w14:textId="7A5AC4C4" w:rsidR="00521305" w:rsidRPr="00ED29EE" w:rsidRDefault="00521305" w:rsidP="00521305">
    <w:pPr>
      <w:pStyle w:val="Footer"/>
      <w:pBdr>
        <w:top w:val="single" w:sz="4" w:space="1" w:color="BFBFBF" w:themeColor="background1" w:themeShade="BF"/>
      </w:pBdr>
      <w:tabs>
        <w:tab w:val="clear" w:pos="9026"/>
        <w:tab w:val="right" w:pos="1389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56752833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70</w:t>
        </w:r>
        <w:r w:rsidRPr="00145B5F">
          <w:rPr>
            <w:rFonts w:ascii="Century Gothic" w:hAnsi="Century Gothic"/>
            <w:b/>
            <w:noProof/>
            <w:color w:val="808080" w:themeColor="background1" w:themeShade="80"/>
            <w:sz w:val="16"/>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3F9C4" w14:textId="0F484CCC" w:rsidR="00521305" w:rsidRPr="00ED29EE" w:rsidRDefault="00521305" w:rsidP="00521305">
    <w:pPr>
      <w:pStyle w:val="Footer"/>
      <w:pBdr>
        <w:top w:val="single" w:sz="4" w:space="1" w:color="BFBFBF" w:themeColor="background1" w:themeShade="BF"/>
      </w:pBdr>
      <w:tabs>
        <w:tab w:val="clear" w:pos="9026"/>
        <w:tab w:val="right" w:pos="1389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449433226"/>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69</w:t>
        </w:r>
        <w:r w:rsidRPr="00145B5F">
          <w:rPr>
            <w:rFonts w:ascii="Century Gothic" w:hAnsi="Century Gothic"/>
            <w:b/>
            <w:noProof/>
            <w:color w:val="808080" w:themeColor="background1" w:themeShade="80"/>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8988" w14:textId="0C7F9677" w:rsidR="00521305" w:rsidRPr="00D81FA6" w:rsidRDefault="00521305" w:rsidP="00D81FA6">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2019 – Vol 1 Summary</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659765699"/>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sidRPr="00831110">
          <w:rPr>
            <w:b/>
            <w:noProof/>
            <w:color w:val="808080" w:themeColor="background1" w:themeShade="80"/>
            <w:sz w:val="16"/>
          </w:rPr>
          <w:t>19</w:t>
        </w:r>
        <w:r w:rsidRPr="00145B5F">
          <w:rPr>
            <w:rFonts w:ascii="Century Gothic" w:hAnsi="Century Gothic"/>
            <w:b/>
            <w:noProof/>
            <w:color w:val="808080" w:themeColor="background1" w:themeShade="80"/>
            <w:sz w:val="16"/>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9D1E1" w14:textId="3AE09939" w:rsidR="00521305" w:rsidRPr="00526556" w:rsidRDefault="00521305" w:rsidP="00521305">
    <w:pPr>
      <w:pStyle w:val="Footer"/>
      <w:pBdr>
        <w:top w:val="single" w:sz="4" w:space="1" w:color="BFBFBF" w:themeColor="background1" w:themeShade="BF"/>
      </w:pBdr>
      <w:tabs>
        <w:tab w:val="clear" w:pos="4513"/>
        <w:tab w:val="clear" w:pos="9026"/>
        <w:tab w:val="right" w:pos="907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11209893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002E0A">
          <w:rPr>
            <w:rFonts w:ascii="Century Gothic" w:hAnsi="Century Gothic"/>
            <w:b/>
            <w:noProof/>
            <w:color w:val="808080" w:themeColor="background1" w:themeShade="80"/>
            <w:sz w:val="16"/>
          </w:rPr>
          <w:t>75</w:t>
        </w:r>
        <w:r w:rsidRPr="00145B5F">
          <w:rPr>
            <w:rFonts w:ascii="Century Gothic" w:hAnsi="Century Gothic"/>
            <w:b/>
            <w:noProof/>
            <w:color w:val="808080" w:themeColor="background1" w:themeShade="80"/>
            <w:sz w:val="16"/>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7810B" w14:textId="5A01FD0B" w:rsidR="00521305" w:rsidRPr="00ED29EE" w:rsidRDefault="00521305" w:rsidP="00521305">
    <w:pPr>
      <w:pStyle w:val="Footer"/>
      <w:pBdr>
        <w:top w:val="single" w:sz="4" w:space="1" w:color="BFBFBF" w:themeColor="background1" w:themeShade="BF"/>
      </w:pBdr>
      <w:tabs>
        <w:tab w:val="clear" w:pos="4513"/>
        <w:tab w:val="clear" w:pos="9026"/>
        <w:tab w:val="right" w:pos="907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849138236"/>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002E0A">
          <w:rPr>
            <w:rFonts w:ascii="Century Gothic" w:hAnsi="Century Gothic"/>
            <w:b/>
            <w:noProof/>
            <w:color w:val="808080" w:themeColor="background1" w:themeShade="80"/>
            <w:sz w:val="16"/>
          </w:rPr>
          <w:t>71</w:t>
        </w:r>
        <w:r w:rsidRPr="00145B5F">
          <w:rPr>
            <w:rFonts w:ascii="Century Gothic" w:hAnsi="Century Gothic"/>
            <w:b/>
            <w:noProof/>
            <w:color w:val="808080" w:themeColor="background1" w:themeShade="80"/>
            <w:sz w:val="16"/>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AFB63" w14:textId="4654E867" w:rsidR="00521305" w:rsidRPr="00526556" w:rsidRDefault="00521305" w:rsidP="00521305">
    <w:pPr>
      <w:pStyle w:val="Footer"/>
      <w:pBdr>
        <w:top w:val="single" w:sz="4" w:space="1" w:color="BFBFBF" w:themeColor="background1" w:themeShade="BF"/>
      </w:pBdr>
      <w:tabs>
        <w:tab w:val="clear" w:pos="4513"/>
        <w:tab w:val="clear" w:pos="9026"/>
        <w:tab w:val="right" w:pos="1389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471948816"/>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132</w:t>
        </w:r>
        <w:r w:rsidRPr="00145B5F">
          <w:rPr>
            <w:rFonts w:ascii="Century Gothic" w:hAnsi="Century Gothic"/>
            <w:b/>
            <w:noProof/>
            <w:color w:val="808080" w:themeColor="background1" w:themeShade="80"/>
            <w:sz w:val="16"/>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3B6D8" w14:textId="3ADCF566" w:rsidR="00521305" w:rsidRPr="00ED29EE" w:rsidRDefault="00521305" w:rsidP="00521305">
    <w:pPr>
      <w:pStyle w:val="Footer"/>
      <w:pBdr>
        <w:top w:val="single" w:sz="4" w:space="1" w:color="BFBFBF" w:themeColor="background1" w:themeShade="BF"/>
      </w:pBdr>
      <w:tabs>
        <w:tab w:val="clear" w:pos="4513"/>
        <w:tab w:val="clear" w:pos="9026"/>
        <w:tab w:val="right" w:pos="13892"/>
      </w:tabs>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4 Evaluation data</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585997720"/>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131</w:t>
        </w:r>
        <w:r w:rsidRPr="00145B5F">
          <w:rPr>
            <w:rFonts w:ascii="Century Gothic" w:hAnsi="Century Gothic"/>
            <w:b/>
            <w:noProof/>
            <w:color w:val="808080" w:themeColor="background1" w:themeShade="80"/>
            <w:sz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DAF0C" w14:textId="38E0963C" w:rsidR="00521305" w:rsidRPr="00B1298A" w:rsidRDefault="00521305" w:rsidP="00C16002">
    <w:pPr>
      <w:pStyle w:val="Footer"/>
      <w:pBdr>
        <w:top w:val="single" w:sz="4" w:space="1" w:color="D9D9D9"/>
      </w:pBdr>
      <w:tabs>
        <w:tab w:val="clear" w:pos="4513"/>
        <w:tab w:val="clear" w:pos="9026"/>
        <w:tab w:val="right" w:pos="13892"/>
      </w:tabs>
    </w:pPr>
    <w:r>
      <w:rPr>
        <w:rFonts w:ascii="Century Gothic" w:hAnsi="Century Gothic"/>
        <w:b/>
        <w:color w:val="808080" w:themeColor="background1" w:themeShade="80"/>
        <w:sz w:val="16"/>
      </w:rPr>
      <w:t>Evaluation of the Health Care Homes program – Interim report 2019</w:t>
    </w:r>
    <w:r w:rsidRPr="00B1298A">
      <w:rPr>
        <w:rStyle w:val="Style9"/>
        <w:rFonts w:ascii="Century Gothic" w:hAnsi="Century Gothic"/>
      </w:rPr>
      <w:tab/>
    </w:r>
    <w:r w:rsidRPr="00B1298A">
      <w:rPr>
        <w:rStyle w:val="Style9"/>
        <w:rFonts w:ascii="Century Gothic" w:hAnsi="Century Gothic"/>
        <w:sz w:val="18"/>
      </w:rPr>
      <w:t xml:space="preserve">Page </w:t>
    </w:r>
    <w:r w:rsidRPr="00B1298A">
      <w:rPr>
        <w:rStyle w:val="Style9"/>
        <w:rFonts w:ascii="Century Gothic" w:hAnsi="Century Gothic"/>
        <w:sz w:val="18"/>
      </w:rPr>
      <w:fldChar w:fldCharType="begin"/>
    </w:r>
    <w:r w:rsidRPr="00B1298A">
      <w:rPr>
        <w:rStyle w:val="Style9"/>
        <w:rFonts w:ascii="Century Gothic" w:hAnsi="Century Gothic"/>
        <w:sz w:val="18"/>
      </w:rPr>
      <w:instrText xml:space="preserve"> PAGE  \* MERGEFORMAT </w:instrText>
    </w:r>
    <w:r w:rsidRPr="00B1298A">
      <w:rPr>
        <w:rStyle w:val="Style9"/>
        <w:rFonts w:ascii="Century Gothic" w:hAnsi="Century Gothic"/>
        <w:sz w:val="18"/>
      </w:rPr>
      <w:fldChar w:fldCharType="separate"/>
    </w:r>
    <w:r w:rsidR="00002E0A">
      <w:rPr>
        <w:rStyle w:val="Style9"/>
        <w:rFonts w:ascii="Century Gothic" w:hAnsi="Century Gothic"/>
        <w:noProof/>
        <w:sz w:val="18"/>
      </w:rPr>
      <w:t>31</w:t>
    </w:r>
    <w:r w:rsidRPr="00B1298A">
      <w:rPr>
        <w:rStyle w:val="Style9"/>
        <w:rFonts w:ascii="Century Gothic" w:hAnsi="Century Gothic"/>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9B42" w14:textId="536E4A98" w:rsidR="00521305" w:rsidRPr="00521305" w:rsidRDefault="00521305" w:rsidP="005213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E57C" w14:textId="5C2EB1B0" w:rsidR="00521305" w:rsidRPr="00521305" w:rsidRDefault="00521305" w:rsidP="005213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30D76" w14:textId="77777777" w:rsidR="00521305" w:rsidRPr="00433CD0" w:rsidRDefault="00521305" w:rsidP="00433C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C041" w14:textId="64E54D00" w:rsidR="00521305" w:rsidRPr="00202CB8" w:rsidRDefault="00521305" w:rsidP="00202CB8">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464862740"/>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54</w:t>
        </w:r>
        <w:r w:rsidRPr="00145B5F">
          <w:rPr>
            <w:rFonts w:ascii="Century Gothic" w:hAnsi="Century Gothic"/>
            <w:b/>
            <w:noProof/>
            <w:color w:val="808080" w:themeColor="background1" w:themeShade="80"/>
            <w:sz w:val="1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6C4AD" w14:textId="030F9ACB" w:rsidR="00521305" w:rsidRPr="00433CD0" w:rsidRDefault="00521305"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2019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536503318"/>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831110">
          <w:rPr>
            <w:rFonts w:ascii="Century Gothic" w:hAnsi="Century Gothic"/>
            <w:b/>
            <w:noProof/>
            <w:color w:val="808080" w:themeColor="background1" w:themeShade="80"/>
            <w:sz w:val="16"/>
          </w:rPr>
          <w:t>3</w:t>
        </w:r>
        <w:r w:rsidRPr="00145B5F">
          <w:rPr>
            <w:rFonts w:ascii="Century Gothic" w:hAnsi="Century Gothic"/>
            <w:b/>
            <w:noProof/>
            <w:color w:val="808080" w:themeColor="background1" w:themeShade="80"/>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E53F2" w14:textId="77777777" w:rsidR="00521305" w:rsidRDefault="00521305" w:rsidP="00640EFA">
      <w:pPr>
        <w:spacing w:after="0" w:line="240" w:lineRule="auto"/>
      </w:pPr>
      <w:r>
        <w:separator/>
      </w:r>
    </w:p>
  </w:footnote>
  <w:footnote w:type="continuationSeparator" w:id="0">
    <w:p w14:paraId="6D420F62" w14:textId="77777777" w:rsidR="00521305" w:rsidRDefault="00521305" w:rsidP="00640EFA">
      <w:pPr>
        <w:spacing w:after="0" w:line="240" w:lineRule="auto"/>
      </w:pPr>
      <w:r>
        <w:continuationSeparator/>
      </w:r>
    </w:p>
  </w:footnote>
  <w:footnote w:id="1">
    <w:p w14:paraId="34B773D7" w14:textId="3E78C8D9" w:rsidR="00521305" w:rsidRDefault="00521305">
      <w:pPr>
        <w:pStyle w:val="FootnoteText"/>
      </w:pPr>
      <w:r>
        <w:rPr>
          <w:rStyle w:val="FootnoteReference"/>
        </w:rPr>
        <w:footnoteRef/>
      </w:r>
      <w:r>
        <w:t xml:space="preserve"> This is the latest date for which findings are reported. Some data end earlier.</w:t>
      </w:r>
    </w:p>
  </w:footnote>
  <w:footnote w:id="2">
    <w:p w14:paraId="01A7B256" w14:textId="5E38883F" w:rsidR="00521305" w:rsidRDefault="00521305">
      <w:pPr>
        <w:pStyle w:val="FootnoteText"/>
      </w:pPr>
      <w:r>
        <w:rPr>
          <w:rStyle w:val="FootnoteReference"/>
        </w:rPr>
        <w:footnoteRef/>
      </w:r>
      <w:r>
        <w:t xml:space="preserve"> </w:t>
      </w:r>
      <w:r w:rsidRPr="00933E4A">
        <w:t xml:space="preserve">This </w:t>
      </w:r>
      <w:r>
        <w:t xml:space="preserve">figure </w:t>
      </w:r>
      <w:r w:rsidRPr="00933E4A">
        <w:t>may overestimate the number of GPs actively participating within practices. It was drawn from data collected early in the trial, but through interviews we heard that some GPs who originally intended to participate changed their minds</w:t>
      </w:r>
      <w:r>
        <w:t>.</w:t>
      </w:r>
    </w:p>
  </w:footnote>
  <w:footnote w:id="3">
    <w:p w14:paraId="0318854B" w14:textId="77A76481" w:rsidR="00521305" w:rsidRDefault="00521305">
      <w:pPr>
        <w:pStyle w:val="FootnoteText"/>
      </w:pPr>
      <w:r>
        <w:rPr>
          <w:rStyle w:val="FootnoteReference"/>
        </w:rPr>
        <w:footnoteRef/>
      </w:r>
      <w:r>
        <w:t xml:space="preserve"> </w:t>
      </w:r>
      <w:r w:rsidRPr="00E07779">
        <w:t xml:space="preserve">We suspect </w:t>
      </w:r>
      <w:r>
        <w:t xml:space="preserve">that </w:t>
      </w:r>
      <w:r w:rsidRPr="00E07779">
        <w:t xml:space="preserve">some practices </w:t>
      </w:r>
      <w:r>
        <w:t>have reported</w:t>
      </w:r>
      <w:r w:rsidRPr="00E07779">
        <w:t xml:space="preserve"> allied health </w:t>
      </w:r>
      <w:r>
        <w:t xml:space="preserve">staff that </w:t>
      </w:r>
      <w:r w:rsidRPr="00E07779">
        <w:t>provide services at the practice but who may not be form</w:t>
      </w:r>
      <w:r>
        <w:t>ally</w:t>
      </w:r>
      <w:r w:rsidRPr="00E07779">
        <w:t xml:space="preserve"> employed or contracted by the practice</w:t>
      </w:r>
      <w:r>
        <w:t>.</w:t>
      </w:r>
    </w:p>
  </w:footnote>
  <w:footnote w:id="4">
    <w:p w14:paraId="5C048DDB" w14:textId="09014FA1" w:rsidR="00521305" w:rsidRDefault="00521305">
      <w:pPr>
        <w:pStyle w:val="FootnoteText"/>
      </w:pPr>
      <w:r>
        <w:rPr>
          <w:rStyle w:val="FootnoteReference"/>
        </w:rPr>
        <w:footnoteRef/>
      </w:r>
      <w:r>
        <w:t xml:space="preserve"> I</w:t>
      </w:r>
      <w:r w:rsidRPr="00656C60">
        <w:t>ncluding to other team members beyond the GP to receive information, guidance, and education about their condition, priority access and the ability to get routine prescriptions and referrals without visiting the practice</w:t>
      </w:r>
      <w:r>
        <w:t>.</w:t>
      </w:r>
    </w:p>
  </w:footnote>
  <w:footnote w:id="5">
    <w:p w14:paraId="19026E67" w14:textId="77777777" w:rsidR="00521305" w:rsidRDefault="00521305" w:rsidP="001C19F3">
      <w:pPr>
        <w:pStyle w:val="FootnoteText"/>
      </w:pPr>
      <w:bookmarkStart w:id="81" w:name="_Ref22393881"/>
      <w:r>
        <w:rPr>
          <w:rStyle w:val="FootnoteReference"/>
        </w:rPr>
        <w:footnoteRef/>
      </w:r>
      <w:r>
        <w:t xml:space="preserve"> This is the latest date for which findings are reported. Some data end earlier.</w:t>
      </w:r>
      <w:bookmarkEnd w:id="81"/>
    </w:p>
  </w:footnote>
  <w:footnote w:id="6">
    <w:p w14:paraId="0D522496" w14:textId="77777777" w:rsidR="00521305" w:rsidRPr="009408FE" w:rsidRDefault="00521305" w:rsidP="001C19F3">
      <w:pPr>
        <w:pStyle w:val="FootnoteText"/>
        <w:rPr>
          <w:szCs w:val="16"/>
        </w:rPr>
      </w:pPr>
      <w:r>
        <w:rPr>
          <w:rStyle w:val="FootnoteReference"/>
        </w:rPr>
        <w:footnoteRef/>
      </w:r>
      <w:r>
        <w:t xml:space="preserve"> </w:t>
      </w:r>
      <w:bookmarkStart w:id="110" w:name="_Hlk26969252"/>
      <w:r w:rsidRPr="009408FE">
        <w:rPr>
          <w:szCs w:val="16"/>
        </w:rPr>
        <w:t xml:space="preserve">Aboriginal Medical Service is used to refer to both Indigenous Health Services and </w:t>
      </w:r>
      <w:r>
        <w:rPr>
          <w:szCs w:val="16"/>
        </w:rPr>
        <w:t>ACCHS</w:t>
      </w:r>
      <w:bookmarkEnd w:id="110"/>
      <w:r w:rsidRPr="009408FE">
        <w:rPr>
          <w:szCs w:val="16"/>
        </w:rPr>
        <w:t>.</w:t>
      </w:r>
    </w:p>
  </w:footnote>
  <w:footnote w:id="7">
    <w:p w14:paraId="235246B1" w14:textId="77777777" w:rsidR="00521305" w:rsidRPr="009408FE" w:rsidRDefault="00521305" w:rsidP="001C19F3">
      <w:pPr>
        <w:pStyle w:val="FootnoteText"/>
        <w:rPr>
          <w:szCs w:val="16"/>
        </w:rPr>
      </w:pPr>
      <w:bookmarkStart w:id="112" w:name="_Ref529437982"/>
      <w:r>
        <w:rPr>
          <w:rStyle w:val="FootnoteReference"/>
        </w:rPr>
        <w:footnoteRef/>
      </w:r>
      <w:r>
        <w:t xml:space="preserve"> </w:t>
      </w:r>
      <w:bookmarkStart w:id="113" w:name="_Hlk26969320"/>
      <w:r w:rsidRPr="009408FE">
        <w:rPr>
          <w:szCs w:val="16"/>
        </w:rPr>
        <w:t>MMM classifies metropolitan, regional, rural and remote areas according to both geographical remoteness and town size. It is intended to enhance the Australian Statistical Geographic Standard, Remoteness Areas (ASGS-RA) used by the Australian Bureau of Statistics (ABS). The classification has been adopted by several Government programs, including the General Practice Rural Incentives Programme (GPRIP). MMM 1 aligns fully with the ASGS-RA category of ‘Major cities’. MMM 7 relates to the most remote areas</w:t>
      </w:r>
      <w:bookmarkEnd w:id="113"/>
      <w:r w:rsidRPr="009408FE">
        <w:rPr>
          <w:szCs w:val="16"/>
        </w:rPr>
        <w:t>.</w:t>
      </w:r>
      <w:bookmarkEnd w:id="112"/>
    </w:p>
  </w:footnote>
  <w:footnote w:id="8">
    <w:p w14:paraId="266EB09F" w14:textId="77777777" w:rsidR="00521305" w:rsidRPr="009408FE" w:rsidRDefault="00521305" w:rsidP="001C19F3">
      <w:pPr>
        <w:spacing w:line="240" w:lineRule="auto"/>
        <w:rPr>
          <w:sz w:val="16"/>
          <w:szCs w:val="16"/>
        </w:rPr>
      </w:pPr>
      <w:r>
        <w:rPr>
          <w:rStyle w:val="FootnoteReference"/>
        </w:rPr>
        <w:footnoteRef/>
      </w:r>
      <w:r>
        <w:t xml:space="preserve"> </w:t>
      </w:r>
      <w:r w:rsidRPr="009408FE">
        <w:rPr>
          <w:rFonts w:eastAsia="MS Mincho"/>
          <w:sz w:val="16"/>
          <w:szCs w:val="16"/>
          <w:lang w:val="en-US" w:eastAsia="ja-JP"/>
        </w:rPr>
        <w:t>The results of the Round 2 survey</w:t>
      </w:r>
      <w:r>
        <w:rPr>
          <w:rFonts w:eastAsia="MS Mincho"/>
          <w:sz w:val="16"/>
          <w:szCs w:val="16"/>
          <w:lang w:val="en-US" w:eastAsia="ja-JP"/>
        </w:rPr>
        <w:t xml:space="preserve">, </w:t>
      </w:r>
      <w:r w:rsidRPr="009408FE">
        <w:rPr>
          <w:rFonts w:eastAsia="MS Mincho"/>
          <w:sz w:val="16"/>
          <w:szCs w:val="16"/>
          <w:lang w:val="en-US" w:eastAsia="ja-JP"/>
        </w:rPr>
        <w:t xml:space="preserve">which </w:t>
      </w:r>
      <w:r>
        <w:rPr>
          <w:rFonts w:eastAsia="MS Mincho"/>
          <w:sz w:val="16"/>
          <w:szCs w:val="16"/>
          <w:lang w:val="en-US" w:eastAsia="ja-JP"/>
        </w:rPr>
        <w:t>obtained information on practices’</w:t>
      </w:r>
      <w:r w:rsidRPr="009408FE">
        <w:rPr>
          <w:rFonts w:eastAsia="MS Mincho"/>
          <w:sz w:val="16"/>
          <w:szCs w:val="16"/>
          <w:lang w:val="en-US" w:eastAsia="ja-JP"/>
        </w:rPr>
        <w:t xml:space="preserve"> early experience</w:t>
      </w:r>
      <w:r>
        <w:rPr>
          <w:rFonts w:eastAsia="MS Mincho"/>
          <w:sz w:val="16"/>
          <w:szCs w:val="16"/>
          <w:lang w:val="en-US" w:eastAsia="ja-JP"/>
        </w:rPr>
        <w:t>s</w:t>
      </w:r>
      <w:r w:rsidRPr="009408FE">
        <w:rPr>
          <w:rFonts w:eastAsia="MS Mincho"/>
          <w:sz w:val="16"/>
          <w:szCs w:val="16"/>
          <w:lang w:val="en-US" w:eastAsia="ja-JP"/>
        </w:rPr>
        <w:t xml:space="preserve"> with HCH</w:t>
      </w:r>
      <w:r>
        <w:rPr>
          <w:rFonts w:eastAsia="MS Mincho"/>
          <w:sz w:val="16"/>
          <w:szCs w:val="16"/>
          <w:lang w:val="en-US" w:eastAsia="ja-JP"/>
        </w:rPr>
        <w:t>,</w:t>
      </w:r>
      <w:r w:rsidRPr="009408FE">
        <w:rPr>
          <w:rFonts w:eastAsia="MS Mincho"/>
          <w:sz w:val="16"/>
          <w:szCs w:val="16"/>
          <w:lang w:val="en-US" w:eastAsia="ja-JP"/>
        </w:rPr>
        <w:t xml:space="preserve"> are presented in later sections of this report. The Round 1 practice survey had two parts. Part A related to characteristics of practices at the commencement of the HCH implementation. Part B was a self-assessment by practice staff of the extent to which the practice had implemented the various dimensions of a PCMH. For Part A of the practice survey, responses were received from 120 (91.6%) of practices participating in the program on 31 August 2019. Additional responses were received from 57 practices that withdrew from HCH prior to that date. For Part B</w:t>
      </w:r>
      <w:r>
        <w:rPr>
          <w:rFonts w:eastAsia="MS Mincho"/>
          <w:sz w:val="16"/>
          <w:szCs w:val="16"/>
          <w:lang w:val="en-US" w:eastAsia="ja-JP"/>
        </w:rPr>
        <w:t>,</w:t>
      </w:r>
      <w:r w:rsidRPr="009408FE">
        <w:rPr>
          <w:rFonts w:eastAsia="MS Mincho"/>
          <w:sz w:val="16"/>
          <w:szCs w:val="16"/>
          <w:lang w:val="en-US" w:eastAsia="ja-JP"/>
        </w:rPr>
        <w:t xml:space="preserve"> responses were received from 118 (90.1%) of practices participating in the program on 31 August 2019. Additional responses were received from 51 practices that withdrew from HCH prior to that date. For the staff survey in Round 1 responses were received from 529</w:t>
      </w:r>
      <w:r>
        <w:rPr>
          <w:rFonts w:eastAsia="MS Mincho"/>
          <w:sz w:val="16"/>
          <w:szCs w:val="16"/>
          <w:lang w:val="en-US" w:eastAsia="ja-JP"/>
        </w:rPr>
        <w:t xml:space="preserve"> individuals: </w:t>
      </w:r>
      <w:r w:rsidRPr="009408FE">
        <w:rPr>
          <w:rFonts w:eastAsia="MS Mincho"/>
          <w:sz w:val="16"/>
          <w:szCs w:val="16"/>
          <w:lang w:val="en-US" w:eastAsia="ja-JP"/>
        </w:rPr>
        <w:t>100 GPs, 125 practice nurses/nurse practitioners, 131 receptionists, and 128 practices managers</w:t>
      </w:r>
    </w:p>
    <w:p w14:paraId="7F7A7FB3" w14:textId="77777777" w:rsidR="00521305" w:rsidRPr="00203386" w:rsidRDefault="00521305" w:rsidP="001C19F3">
      <w:pPr>
        <w:pStyle w:val="FootnoteText"/>
        <w:rPr>
          <w:lang w:val="en-US"/>
        </w:rPr>
      </w:pPr>
    </w:p>
  </w:footnote>
  <w:footnote w:id="9">
    <w:p w14:paraId="19820239" w14:textId="77777777" w:rsidR="00521305" w:rsidRPr="00FC6F7D" w:rsidRDefault="00521305" w:rsidP="001C19F3">
      <w:pPr>
        <w:pStyle w:val="FootnoteText"/>
        <w:rPr>
          <w:lang w:val="en-US"/>
        </w:rPr>
      </w:pPr>
      <w:r>
        <w:rPr>
          <w:rStyle w:val="FootnoteReference"/>
        </w:rPr>
        <w:footnoteRef/>
      </w:r>
      <w:r>
        <w:t xml:space="preserve"> </w:t>
      </w:r>
      <w:r w:rsidRPr="00FC6F7D">
        <w:t>Chapter 7 of this report describes how the RST, and in particular the predictive risk model</w:t>
      </w:r>
      <w:r>
        <w:t xml:space="preserve"> (PRM)</w:t>
      </w:r>
      <w:r w:rsidRPr="00FC6F7D">
        <w:t xml:space="preserve"> were used by practices to identify possible HCH enrolees</w:t>
      </w:r>
      <w:r>
        <w:t xml:space="preserve">. It also </w:t>
      </w:r>
      <w:r w:rsidRPr="00FC6F7D">
        <w:t>presents perspectives on the RST.</w:t>
      </w:r>
    </w:p>
  </w:footnote>
  <w:footnote w:id="10">
    <w:p w14:paraId="2B9BF27D" w14:textId="77777777" w:rsidR="00521305" w:rsidRPr="007F3A3C" w:rsidRDefault="00521305" w:rsidP="001C19F3">
      <w:pPr>
        <w:pStyle w:val="FootnoteText"/>
        <w:rPr>
          <w:lang w:val="en-US"/>
        </w:rPr>
      </w:pPr>
      <w:r>
        <w:rPr>
          <w:rStyle w:val="FootnoteReference"/>
        </w:rPr>
        <w:footnoteRef/>
      </w:r>
      <w:r>
        <w:t xml:space="preserve"> </w:t>
      </w:r>
      <w:r w:rsidRPr="009408FE">
        <w:rPr>
          <w:szCs w:val="16"/>
        </w:rPr>
        <w:t>The analysis of Department of Human Services data reflects different totals for enrolled patients compared</w:t>
      </w:r>
      <w:r>
        <w:rPr>
          <w:szCs w:val="16"/>
        </w:rPr>
        <w:t xml:space="preserve"> with</w:t>
      </w:r>
      <w:r w:rsidRPr="009408FE">
        <w:rPr>
          <w:szCs w:val="16"/>
        </w:rPr>
        <w:t xml:space="preserve"> </w:t>
      </w:r>
      <w:r w:rsidRPr="009408FE">
        <w:rPr>
          <w:szCs w:val="16"/>
        </w:rPr>
        <w:fldChar w:fldCharType="begin"/>
      </w:r>
      <w:r w:rsidRPr="009408FE">
        <w:rPr>
          <w:szCs w:val="16"/>
        </w:rPr>
        <w:instrText xml:space="preserve"> REF _Ref527986348 \h  \* MERGEFORMAT </w:instrText>
      </w:r>
      <w:r w:rsidRPr="009408FE">
        <w:rPr>
          <w:szCs w:val="16"/>
        </w:rPr>
      </w:r>
      <w:r w:rsidRPr="009408FE">
        <w:rPr>
          <w:szCs w:val="16"/>
        </w:rPr>
        <w:fldChar w:fldCharType="separate"/>
      </w:r>
      <w:r w:rsidRPr="00B47816">
        <w:rPr>
          <w:szCs w:val="16"/>
        </w:rPr>
        <w:t>Figure 5</w:t>
      </w:r>
      <w:r w:rsidRPr="009408FE">
        <w:rPr>
          <w:szCs w:val="16"/>
        </w:rPr>
        <w:fldChar w:fldCharType="end"/>
      </w:r>
      <w:r w:rsidRPr="009408FE">
        <w:rPr>
          <w:szCs w:val="16"/>
        </w:rPr>
        <w:t xml:space="preserve"> due to the date at which data were extracted: </w:t>
      </w:r>
      <w:r w:rsidRPr="009408FE">
        <w:rPr>
          <w:szCs w:val="16"/>
        </w:rPr>
        <w:fldChar w:fldCharType="begin"/>
      </w:r>
      <w:r w:rsidRPr="009408FE">
        <w:rPr>
          <w:szCs w:val="16"/>
        </w:rPr>
        <w:instrText xml:space="preserve"> REF _Ref527986348 \h  \* MERGEFORMAT </w:instrText>
      </w:r>
      <w:r w:rsidRPr="009408FE">
        <w:rPr>
          <w:szCs w:val="16"/>
        </w:rPr>
      </w:r>
      <w:r w:rsidRPr="009408FE">
        <w:rPr>
          <w:szCs w:val="16"/>
        </w:rPr>
        <w:fldChar w:fldCharType="separate"/>
      </w:r>
      <w:r w:rsidRPr="00B47816">
        <w:rPr>
          <w:szCs w:val="16"/>
        </w:rPr>
        <w:t>Figure 5</w:t>
      </w:r>
      <w:r w:rsidRPr="009408FE">
        <w:rPr>
          <w:szCs w:val="16"/>
        </w:rPr>
        <w:fldChar w:fldCharType="end"/>
      </w:r>
      <w:r w:rsidRPr="009408FE">
        <w:rPr>
          <w:szCs w:val="16"/>
        </w:rPr>
        <w:t xml:space="preserve"> reflects the latest data on enrolments </w:t>
      </w:r>
      <w:r>
        <w:rPr>
          <w:szCs w:val="16"/>
        </w:rPr>
        <w:t>(</w:t>
      </w:r>
      <w:r w:rsidRPr="009408FE">
        <w:rPr>
          <w:szCs w:val="16"/>
        </w:rPr>
        <w:t>as at 31 August 2019</w:t>
      </w:r>
      <w:r>
        <w:rPr>
          <w:szCs w:val="16"/>
        </w:rPr>
        <w:t xml:space="preserve">), </w:t>
      </w:r>
      <w:r w:rsidRPr="009408FE">
        <w:rPr>
          <w:szCs w:val="16"/>
        </w:rPr>
        <w:t xml:space="preserve">whereas </w:t>
      </w:r>
      <w:r w:rsidRPr="009408FE">
        <w:rPr>
          <w:szCs w:val="16"/>
        </w:rPr>
        <w:fldChar w:fldCharType="begin"/>
      </w:r>
      <w:r w:rsidRPr="009408FE">
        <w:rPr>
          <w:szCs w:val="16"/>
        </w:rPr>
        <w:instrText xml:space="preserve"> REF _Ref20752496 \h  \* MERGEFORMAT </w:instrText>
      </w:r>
      <w:r w:rsidRPr="009408FE">
        <w:rPr>
          <w:szCs w:val="16"/>
        </w:rPr>
      </w:r>
      <w:r w:rsidRPr="009408FE">
        <w:rPr>
          <w:szCs w:val="16"/>
        </w:rPr>
        <w:fldChar w:fldCharType="separate"/>
      </w:r>
      <w:r w:rsidRPr="00B47816">
        <w:rPr>
          <w:szCs w:val="16"/>
        </w:rPr>
        <w:t>Table 21</w:t>
      </w:r>
      <w:r w:rsidRPr="009408FE">
        <w:rPr>
          <w:szCs w:val="16"/>
        </w:rPr>
        <w:fldChar w:fldCharType="end"/>
      </w:r>
      <w:r w:rsidRPr="009408FE">
        <w:rPr>
          <w:szCs w:val="16"/>
        </w:rPr>
        <w:t xml:space="preserve"> reflects more detailed data provided </w:t>
      </w:r>
      <w:r>
        <w:rPr>
          <w:szCs w:val="16"/>
        </w:rPr>
        <w:t>(</w:t>
      </w:r>
      <w:r w:rsidRPr="009408FE">
        <w:rPr>
          <w:szCs w:val="16"/>
        </w:rPr>
        <w:t>up to 30 June 2019</w:t>
      </w:r>
      <w:r>
        <w:rPr>
          <w:szCs w:val="16"/>
        </w:rPr>
        <w:t>)</w:t>
      </w:r>
      <w:r>
        <w:t>.</w:t>
      </w:r>
    </w:p>
  </w:footnote>
  <w:footnote w:id="11">
    <w:p w14:paraId="18B27E94" w14:textId="77777777" w:rsidR="00521305" w:rsidRPr="007F3A3C" w:rsidRDefault="00521305" w:rsidP="001C19F3">
      <w:pPr>
        <w:pStyle w:val="FootnoteText"/>
        <w:rPr>
          <w:lang w:val="en-US"/>
        </w:rPr>
      </w:pPr>
      <w:r>
        <w:rPr>
          <w:rStyle w:val="FootnoteReference"/>
        </w:rPr>
        <w:footnoteRef/>
      </w:r>
      <w:r>
        <w:t xml:space="preserve"> </w:t>
      </w:r>
      <w:r w:rsidRPr="009408FE">
        <w:rPr>
          <w:szCs w:val="16"/>
        </w:rPr>
        <w:t>Proxies were surveyed for two patients aged under 18 years in a situation where the age of the patient had been inaccurately recorded.</w:t>
      </w:r>
    </w:p>
  </w:footnote>
  <w:footnote w:id="12">
    <w:p w14:paraId="12AEAD17" w14:textId="77777777" w:rsidR="00521305" w:rsidRPr="007F3A3C" w:rsidRDefault="00521305" w:rsidP="001C19F3">
      <w:pPr>
        <w:pStyle w:val="FootnoteText"/>
        <w:rPr>
          <w:lang w:val="en-US"/>
        </w:rPr>
      </w:pPr>
      <w:r>
        <w:rPr>
          <w:rStyle w:val="FootnoteReference"/>
        </w:rPr>
        <w:footnoteRef/>
      </w:r>
      <w:r>
        <w:t xml:space="preserve"> Following consultation with local stakeholders, this was not considered an appropriate nor effective method to gather information from these patients.</w:t>
      </w:r>
    </w:p>
  </w:footnote>
  <w:footnote w:id="13">
    <w:p w14:paraId="5232FD1B" w14:textId="77777777" w:rsidR="00521305" w:rsidRPr="00D744CE" w:rsidRDefault="00521305" w:rsidP="001C19F3">
      <w:pPr>
        <w:pStyle w:val="FootnoteText"/>
        <w:rPr>
          <w:lang w:val="en-US"/>
        </w:rPr>
      </w:pPr>
      <w:r>
        <w:rPr>
          <w:rStyle w:val="FootnoteReference"/>
        </w:rPr>
        <w:footnoteRef/>
      </w:r>
      <w:r>
        <w:t xml:space="preserve"> </w:t>
      </w:r>
      <w:r>
        <w:rPr>
          <w:lang w:val="en-US"/>
        </w:rPr>
        <w:t>A negative EQ-5D-5L score is not common, but possible. In the survey 30 (1.5%) responses resulted in negative values.</w:t>
      </w:r>
    </w:p>
  </w:footnote>
  <w:footnote w:id="14">
    <w:p w14:paraId="0924E607" w14:textId="77777777" w:rsidR="00521305" w:rsidRDefault="00521305" w:rsidP="001C19F3">
      <w:pPr>
        <w:pStyle w:val="FootnoteText"/>
      </w:pPr>
      <w:r>
        <w:rPr>
          <w:rStyle w:val="FootnoteReference"/>
        </w:rPr>
        <w:footnoteRef/>
      </w:r>
      <w:r>
        <w:t xml:space="preserve"> PRODA stands for </w:t>
      </w:r>
      <w:r w:rsidRPr="00C47963">
        <w:t>Provider Digital Access</w:t>
      </w:r>
      <w:r>
        <w:t xml:space="preserve">, an </w:t>
      </w:r>
      <w:r w:rsidRPr="00C47963">
        <w:t>online authentication system providers use to securely access government online services</w:t>
      </w:r>
      <w:r>
        <w:t>.</w:t>
      </w:r>
    </w:p>
  </w:footnote>
  <w:footnote w:id="15">
    <w:p w14:paraId="67995FA0" w14:textId="77777777" w:rsidR="00521305" w:rsidRDefault="00521305" w:rsidP="001C19F3">
      <w:pPr>
        <w:pStyle w:val="FootnoteText"/>
      </w:pPr>
      <w:r w:rsidRPr="00DA4306">
        <w:rPr>
          <w:rStyle w:val="FootnoteReference"/>
        </w:rPr>
        <w:footnoteRef/>
      </w:r>
      <w:r w:rsidRPr="00DA4306">
        <w:t xml:space="preserve"> SEIFA 201</w:t>
      </w:r>
      <w:r>
        <w:t>6</w:t>
      </w:r>
      <w:r w:rsidRPr="00DA4306">
        <w:t xml:space="preserve"> is the latest version and </w:t>
      </w:r>
      <w:r>
        <w:t>consists of four indexes</w:t>
      </w:r>
      <w:r w:rsidRPr="00DA4306">
        <w:t>:</w:t>
      </w:r>
      <w:r>
        <w:t xml:space="preserve"> </w:t>
      </w:r>
    </w:p>
    <w:p w14:paraId="01F6691A" w14:textId="77777777" w:rsidR="00521305" w:rsidRDefault="00521305" w:rsidP="001C19F3">
      <w:pPr>
        <w:pStyle w:val="FootnoteText"/>
        <w:numPr>
          <w:ilvl w:val="0"/>
          <w:numId w:val="54"/>
        </w:numPr>
      </w:pPr>
      <w:r>
        <w:t xml:space="preserve">Index of Relative Socio-Economic Disadvantage (IRSD) </w:t>
      </w:r>
    </w:p>
    <w:p w14:paraId="652AB41A" w14:textId="77777777" w:rsidR="00521305" w:rsidRDefault="00521305" w:rsidP="001C19F3">
      <w:pPr>
        <w:pStyle w:val="FootnoteText"/>
        <w:numPr>
          <w:ilvl w:val="0"/>
          <w:numId w:val="54"/>
        </w:numPr>
      </w:pPr>
      <w:r>
        <w:t xml:space="preserve">Index of Relative Socio-Economic Advantage and Disadvantage (IRSAD) </w:t>
      </w:r>
    </w:p>
    <w:p w14:paraId="324C495A" w14:textId="77777777" w:rsidR="00521305" w:rsidRDefault="00521305" w:rsidP="001C19F3">
      <w:pPr>
        <w:pStyle w:val="FootnoteText"/>
        <w:numPr>
          <w:ilvl w:val="0"/>
          <w:numId w:val="54"/>
        </w:numPr>
      </w:pPr>
      <w:r>
        <w:t xml:space="preserve">Index of Education and Occupation (IEO) </w:t>
      </w:r>
    </w:p>
    <w:p w14:paraId="33A6CE7F" w14:textId="77777777" w:rsidR="00521305" w:rsidRDefault="00521305" w:rsidP="001C19F3">
      <w:pPr>
        <w:pStyle w:val="FootnoteText"/>
        <w:numPr>
          <w:ilvl w:val="0"/>
          <w:numId w:val="54"/>
        </w:numPr>
      </w:pPr>
      <w:r>
        <w:t xml:space="preserve">Index of Economic Resources (IER). </w:t>
      </w:r>
    </w:p>
  </w:footnote>
  <w:footnote w:id="16">
    <w:p w14:paraId="214CBEF2" w14:textId="77777777" w:rsidR="00521305" w:rsidRPr="00756717" w:rsidRDefault="00521305" w:rsidP="001C19F3">
      <w:pPr>
        <w:pStyle w:val="FootnoteText"/>
        <w:rPr>
          <w:lang w:val="en-US"/>
        </w:rPr>
      </w:pPr>
      <w:r>
        <w:rPr>
          <w:rStyle w:val="FootnoteReference"/>
        </w:rPr>
        <w:footnoteRef/>
      </w:r>
      <w:r>
        <w:t xml:space="preserve"> </w:t>
      </w:r>
      <w:r>
        <w:rPr>
          <w:lang w:val="en-US"/>
        </w:rPr>
        <w:t xml:space="preserve">Some caution will be required in interpreting these responses, as some studies have shown that patients may have limited awareness of ‘care plans’. They may also confuse the HCH ‘shared care plan’ with other ‘care plans’, such as for aged care and disability services. </w:t>
      </w:r>
    </w:p>
  </w:footnote>
  <w:footnote w:id="17">
    <w:p w14:paraId="16DCE33B" w14:textId="77777777" w:rsidR="00521305" w:rsidRDefault="00521305" w:rsidP="001C19F3">
      <w:pPr>
        <w:pStyle w:val="FootnoteText"/>
      </w:pPr>
      <w:r>
        <w:rPr>
          <w:rStyle w:val="FootnoteReference"/>
        </w:rPr>
        <w:footnoteRef/>
      </w:r>
      <w:r>
        <w:t xml:space="preserve"> </w:t>
      </w:r>
      <w:r w:rsidRPr="00492482">
        <w:rPr>
          <w:szCs w:val="16"/>
        </w:rPr>
        <w:t>This is the latest date for which findings are reported. Some data end earlier.</w:t>
      </w:r>
    </w:p>
  </w:footnote>
  <w:footnote w:id="18">
    <w:p w14:paraId="2018F04E" w14:textId="77777777" w:rsidR="00521305" w:rsidRDefault="00521305" w:rsidP="001C19F3">
      <w:pPr>
        <w:pStyle w:val="FootnoteText"/>
      </w:pPr>
      <w:r>
        <w:rPr>
          <w:rStyle w:val="FootnoteReference"/>
        </w:rPr>
        <w:footnoteRef/>
      </w:r>
      <w:r>
        <w:t xml:space="preserve"> </w:t>
      </w:r>
      <w:r w:rsidRPr="00390478">
        <w:rPr>
          <w:szCs w:val="16"/>
        </w:rPr>
        <w:t>This is the latest date for which findings are reported. Some data end earlier.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418B7" w14:textId="2A35404E" w:rsidR="00521305" w:rsidRDefault="00831110">
    <w:pPr>
      <w:pStyle w:val="Header"/>
    </w:pPr>
    <w:r>
      <w:rPr>
        <w:noProof/>
      </w:rPr>
      <w:pict w14:anchorId="3CC34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593" o:spid="_x0000_s2053" type="#_x0000_t136" style="position:absolute;margin-left:0;margin-top:0;width:598.8pt;height:37.4pt;rotation:315;z-index:-25166950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A6DB" w14:textId="6810847A" w:rsidR="00521305" w:rsidRDefault="00831110">
    <w:pPr>
      <w:pStyle w:val="Header"/>
    </w:pPr>
    <w:r>
      <w:rPr>
        <w:noProof/>
      </w:rPr>
      <w:pict w14:anchorId="2158D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02" o:spid="_x0000_s2062" type="#_x0000_t136" style="position:absolute;margin-left:0;margin-top:0;width:598.8pt;height:37.4pt;rotation:315;z-index:-25166028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6414B" w14:textId="58739432" w:rsidR="00521305" w:rsidRDefault="005213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27CD" w14:textId="2A535C04" w:rsidR="00521305" w:rsidRDefault="005213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14632" w14:textId="53C4558F" w:rsidR="00521305" w:rsidRPr="001C5D9E" w:rsidRDefault="00521305" w:rsidP="001C5D9E">
    <w:pPr>
      <w:pStyle w:val="Header"/>
    </w:pPr>
    <w:r>
      <w:rPr>
        <w:noProof/>
        <w:lang w:eastAsia="en-AU"/>
      </w:rPr>
      <w:drawing>
        <wp:anchor distT="0" distB="0" distL="114300" distR="114300" simplePos="0" relativeHeight="251709440" behindDoc="1" locked="0" layoutInCell="0" allowOverlap="1" wp14:anchorId="2E133DB2" wp14:editId="6DB668A6">
          <wp:simplePos x="0" y="0"/>
          <wp:positionH relativeFrom="margin">
            <wp:posOffset>-942975</wp:posOffset>
          </wp:positionH>
          <wp:positionV relativeFrom="margin">
            <wp:posOffset>-903605</wp:posOffset>
          </wp:positionV>
          <wp:extent cx="7559040" cy="9489440"/>
          <wp:effectExtent l="0" t="0" r="3810" b="0"/>
          <wp:wrapNone/>
          <wp:docPr id="4"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597B6" w14:textId="63D05549" w:rsidR="00521305" w:rsidRDefault="00831110">
    <w:pPr>
      <w:pStyle w:val="Header"/>
    </w:pPr>
    <w:r>
      <w:rPr>
        <w:noProof/>
      </w:rPr>
      <w:pict w14:anchorId="7F43B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38" o:spid="_x0000_s2098" type="#_x0000_t136" style="position:absolute;margin-left:0;margin-top:0;width:598.8pt;height:37.4pt;rotation:315;z-index:-25162342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C3FE6" w14:textId="20A5818F" w:rsidR="00521305" w:rsidRDefault="005213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69DC3" w14:textId="20731D1F" w:rsidR="00521305" w:rsidRPr="001C5D9E" w:rsidRDefault="00521305" w:rsidP="001C5D9E">
    <w:pPr>
      <w:pStyle w:val="Header"/>
    </w:pPr>
    <w:r w:rsidRPr="001C5D9E">
      <w:rPr>
        <w:noProof/>
        <w:lang w:eastAsia="en-AU"/>
      </w:rPr>
      <w:drawing>
        <wp:anchor distT="0" distB="0" distL="114300" distR="114300" simplePos="0" relativeHeight="251707392" behindDoc="1" locked="0" layoutInCell="0" allowOverlap="1" wp14:anchorId="1A9A7547" wp14:editId="7B30E0FC">
          <wp:simplePos x="0" y="0"/>
          <wp:positionH relativeFrom="page">
            <wp:posOffset>9525</wp:posOffset>
          </wp:positionH>
          <wp:positionV relativeFrom="margin">
            <wp:posOffset>-913130</wp:posOffset>
          </wp:positionV>
          <wp:extent cx="7559040" cy="94894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94A2B" w14:textId="77777777" w:rsidR="00521305" w:rsidRDefault="00831110">
    <w:pPr>
      <w:pStyle w:val="Header"/>
    </w:pPr>
    <w:r>
      <w:rPr>
        <w:noProof/>
      </w:rPr>
      <w:pict w14:anchorId="18461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598.8pt;height:37.4pt;rotation:315;z-index:-25160089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65C20" w14:textId="77777777" w:rsidR="00521305" w:rsidRDefault="00831110">
    <w:pPr>
      <w:pStyle w:val="Header"/>
    </w:pPr>
    <w:r>
      <w:rPr>
        <w:noProof/>
      </w:rPr>
      <w:pict w14:anchorId="53FF0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margin-left:0;margin-top:0;width:598.8pt;height:37.4pt;rotation:315;z-index:-25160192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p w14:paraId="6A3916B5" w14:textId="77777777" w:rsidR="00521305" w:rsidRPr="001B78D5" w:rsidRDefault="00521305" w:rsidP="00CE577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2B290ADA" w14:textId="77777777" w:rsidR="00521305" w:rsidRDefault="00521305" w:rsidP="00CE577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609212A7" w14:textId="77777777" w:rsidR="00521305" w:rsidRDefault="00521305" w:rsidP="00CE577E">
    <w:pPr>
      <w:pStyle w:val="Header"/>
    </w:pPr>
    <w:r>
      <w:rPr>
        <w:rStyle w:val="ReportTitleTitlePageChar"/>
      </w:rPr>
      <w:t>Literature review</w:t>
    </w:r>
    <w:r>
      <w:rPr>
        <w:noProof/>
        <w:lang w:eastAsia="en-AU"/>
      </w:rPr>
      <w:t xml:space="preserve"> </w:t>
    </w:r>
    <w:r>
      <w:rPr>
        <w:noProof/>
        <w:lang w:eastAsia="en-AU"/>
      </w:rPr>
      <w:drawing>
        <wp:anchor distT="0" distB="0" distL="0" distR="0" simplePos="0" relativeHeight="251713536" behindDoc="0" locked="0" layoutInCell="1" allowOverlap="1" wp14:anchorId="665D171B" wp14:editId="1C4C5B8D">
          <wp:simplePos x="0" y="0"/>
          <wp:positionH relativeFrom="column">
            <wp:posOffset>-914400</wp:posOffset>
          </wp:positionH>
          <wp:positionV relativeFrom="paragraph">
            <wp:posOffset>-2045335</wp:posOffset>
          </wp:positionV>
          <wp:extent cx="7559675" cy="10691495"/>
          <wp:effectExtent l="0" t="0" r="3175" b="0"/>
          <wp:wrapNone/>
          <wp:docPr id="15" name="Picture 1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55AE" w14:textId="77777777" w:rsidR="00521305" w:rsidRDefault="00831110">
    <w:pPr>
      <w:pStyle w:val="Header"/>
    </w:pPr>
    <w:r>
      <w:rPr>
        <w:noProof/>
      </w:rPr>
      <w:pict w14:anchorId="7A2F4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598.8pt;height:37.4pt;rotation:315;z-index:-25159987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25037" w14:textId="0A1EC1C8" w:rsidR="00521305" w:rsidRDefault="00831110">
    <w:pPr>
      <w:pStyle w:val="Header"/>
    </w:pPr>
    <w:r>
      <w:rPr>
        <w:noProof/>
      </w:rPr>
      <w:pict w14:anchorId="23583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594" o:spid="_x0000_s2054" type="#_x0000_t136" style="position:absolute;margin-left:0;margin-top:0;width:598.8pt;height:37.4pt;rotation:315;z-index:-25166848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5F7AD" w14:textId="77777777" w:rsidR="00521305" w:rsidRDefault="00831110">
    <w:pPr>
      <w:pStyle w:val="Header"/>
    </w:pPr>
    <w:r>
      <w:rPr>
        <w:noProof/>
      </w:rPr>
      <w:pict w14:anchorId="02AA5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598.8pt;height:37.4pt;rotation:315;z-index:-25159884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3DE10" w14:textId="77777777" w:rsidR="00521305" w:rsidRDefault="005213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75A0A" w14:textId="77777777" w:rsidR="00521305" w:rsidRDefault="00831110">
    <w:pPr>
      <w:pStyle w:val="Header"/>
    </w:pPr>
    <w:r>
      <w:rPr>
        <w:noProof/>
      </w:rPr>
      <w:pict w14:anchorId="5B902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598.8pt;height:37.4pt;rotation:315;z-index:-25159782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C856" w14:textId="77777777" w:rsidR="00521305" w:rsidRPr="00FC14CC" w:rsidRDefault="00521305" w:rsidP="00E42A2F">
    <w:pPr>
      <w:pStyle w:val="Header"/>
      <w:tabs>
        <w:tab w:val="left" w:pos="2580"/>
        <w:tab w:val="left" w:pos="2985"/>
      </w:tabs>
      <w:spacing w:after="120" w:line="276" w:lineRule="auto"/>
      <w:rPr>
        <w:rFonts w:ascii="Century Gothic" w:hAnsi="Century Gothic"/>
        <w:b/>
        <w:bCs/>
        <w:color w:val="1F497D"/>
        <w:szCs w:val="28"/>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FB5F" w14:textId="77777777" w:rsidR="00521305" w:rsidRPr="009551C7" w:rsidRDefault="00521305" w:rsidP="00CE577E">
    <w:pPr>
      <w:pStyle w:val="Header"/>
    </w:pPr>
    <w:r>
      <w:rPr>
        <w:noProof/>
        <w:lang w:eastAsia="en-AU"/>
      </w:rPr>
      <w:drawing>
        <wp:anchor distT="0" distB="0" distL="114300" distR="114300" simplePos="0" relativeHeight="251721728" behindDoc="1" locked="0" layoutInCell="0" allowOverlap="1" wp14:anchorId="3860E38D" wp14:editId="78065BF4">
          <wp:simplePos x="0" y="0"/>
          <wp:positionH relativeFrom="margin">
            <wp:posOffset>-904875</wp:posOffset>
          </wp:positionH>
          <wp:positionV relativeFrom="margin">
            <wp:posOffset>-903605</wp:posOffset>
          </wp:positionV>
          <wp:extent cx="7559040" cy="9489440"/>
          <wp:effectExtent l="0" t="0" r="3810" b="0"/>
          <wp:wrapNone/>
          <wp:docPr id="52" name="Picture 5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FD6F4" w14:textId="77777777" w:rsidR="00521305" w:rsidRDefault="00831110">
    <w:pPr>
      <w:pStyle w:val="Header"/>
    </w:pPr>
    <w:r>
      <w:rPr>
        <w:noProof/>
      </w:rPr>
      <w:pict w14:anchorId="4537E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08" o:spid="_x0000_s2104" type="#_x0000_t136" style="position:absolute;margin-left:0;margin-top:0;width:598.8pt;height:37.4pt;rotation:315;z-index:-25159680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408B" w14:textId="77777777" w:rsidR="00521305" w:rsidRDefault="005213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E8817" w14:textId="77777777" w:rsidR="00521305" w:rsidRDefault="00521305">
    <w:pPr>
      <w:pStyle w:val="Header"/>
    </w:pPr>
    <w:r>
      <w:rPr>
        <w:noProof/>
        <w:lang w:eastAsia="en-AU"/>
      </w:rPr>
      <mc:AlternateContent>
        <mc:Choice Requires="wps">
          <w:drawing>
            <wp:anchor distT="0" distB="0" distL="114300" distR="114300" simplePos="0" relativeHeight="251712512" behindDoc="0" locked="0" layoutInCell="1" allowOverlap="1" wp14:anchorId="2702A7A3" wp14:editId="2BE5E5C4">
              <wp:simplePos x="0" y="0"/>
              <wp:positionH relativeFrom="column">
                <wp:posOffset>5168900</wp:posOffset>
              </wp:positionH>
              <wp:positionV relativeFrom="paragraph">
                <wp:posOffset>323215</wp:posOffset>
              </wp:positionV>
              <wp:extent cx="762000" cy="733425"/>
              <wp:effectExtent l="19050" t="19050" r="19050" b="28575"/>
              <wp:wrapSquare wrapText="bothSides"/>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A15C26" w14:textId="77777777" w:rsidR="00521305" w:rsidRPr="001D1C38" w:rsidRDefault="00521305" w:rsidP="00B176FB">
                          <w:pPr>
                            <w:spacing w:after="0" w:line="240" w:lineRule="auto"/>
                            <w:jc w:val="center"/>
                            <w:rPr>
                              <w:b/>
                              <w:color w:val="FFFFFF"/>
                              <w:sz w:val="40"/>
                              <w:szCs w:val="40"/>
                            </w:rPr>
                          </w:pPr>
                          <w:r w:rsidRPr="001D1C38">
                            <w:rPr>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2A7A3"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73" type="#_x0000_t120" style="position:absolute;margin-left:407pt;margin-top:25.45pt;width:60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" fillcolor="#003d79" strokecolor="#003d79" strokeweight="2.5pt">
              <v:shadow color="#868686"/>
              <v:textbox>
                <w:txbxContent>
                  <w:p w14:paraId="33A15C26" w14:textId="77777777" w:rsidR="00521305" w:rsidRPr="001D1C38" w:rsidRDefault="00521305" w:rsidP="00B176FB">
                    <w:pPr>
                      <w:spacing w:after="0" w:line="240" w:lineRule="auto"/>
                      <w:jc w:val="center"/>
                      <w:rPr>
                        <w:b/>
                        <w:color w:val="FFFFFF"/>
                        <w:sz w:val="40"/>
                        <w:szCs w:val="40"/>
                      </w:rPr>
                    </w:pPr>
                    <w:r w:rsidRPr="001D1C38">
                      <w:rPr>
                        <w:b/>
                        <w:color w:val="FFFFFF"/>
                        <w:sz w:val="40"/>
                        <w:szCs w:val="40"/>
                      </w:rPr>
                      <w:t>1</w:t>
                    </w:r>
                  </w:p>
                </w:txbxContent>
              </v:textbox>
              <w10:wrap type="square"/>
            </v:shape>
          </w:pict>
        </mc:Fallback>
      </mc:AlternateContent>
    </w:r>
    <w:r>
      <w:rPr>
        <w:noProof/>
        <w:lang w:eastAsia="en-AU"/>
      </w:rPr>
      <w:drawing>
        <wp:anchor distT="0" distB="0" distL="114300" distR="114300" simplePos="0" relativeHeight="251711488" behindDoc="1" locked="0" layoutInCell="0" allowOverlap="1" wp14:anchorId="2DAC69F8" wp14:editId="4A6A19CC">
          <wp:simplePos x="0" y="0"/>
          <wp:positionH relativeFrom="page">
            <wp:align>left</wp:align>
          </wp:positionH>
          <wp:positionV relativeFrom="margin">
            <wp:posOffset>-902335</wp:posOffset>
          </wp:positionV>
          <wp:extent cx="7559040" cy="9489440"/>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FA61" w14:textId="77777777" w:rsidR="00521305" w:rsidRDefault="00521305">
    <w:pPr>
      <w:pStyle w:val="Header"/>
    </w:pPr>
    <w:r>
      <w:rPr>
        <w:noProof/>
        <w:lang w:eastAsia="en-AU"/>
      </w:rPr>
      <mc:AlternateContent>
        <mc:Choice Requires="wps">
          <w:drawing>
            <wp:anchor distT="0" distB="0" distL="114300" distR="114300" simplePos="0" relativeHeight="251731968" behindDoc="0" locked="0" layoutInCell="1" allowOverlap="1" wp14:anchorId="636C849E" wp14:editId="5528959C">
              <wp:simplePos x="0" y="0"/>
              <wp:positionH relativeFrom="column">
                <wp:posOffset>5168900</wp:posOffset>
              </wp:positionH>
              <wp:positionV relativeFrom="paragraph">
                <wp:posOffset>323215</wp:posOffset>
              </wp:positionV>
              <wp:extent cx="762000" cy="733425"/>
              <wp:effectExtent l="19050" t="19050" r="19050" b="28575"/>
              <wp:wrapSquare wrapText="bothSides"/>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589231" w14:textId="77777777" w:rsidR="00521305" w:rsidRPr="001D1C38" w:rsidRDefault="00521305" w:rsidP="00B176FB">
                          <w:pPr>
                            <w:spacing w:after="0" w:line="240" w:lineRule="auto"/>
                            <w:jc w:val="center"/>
                            <w:rPr>
                              <w:b/>
                              <w:color w:val="FFFFFF"/>
                              <w:sz w:val="40"/>
                              <w:szCs w:val="40"/>
                            </w:rPr>
                          </w:pPr>
                          <w:r w:rsidRPr="001D1C38">
                            <w:rPr>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C849E" id="_x0000_t120" coordsize="21600,21600" o:spt="120" path="m10800,qx,10800,10800,21600,21600,10800,10800,xe">
              <v:path gradientshapeok="t" o:connecttype="custom" o:connectlocs="10800,0;3163,3163;0,10800;3163,18437;10800,21600;18437,18437;21600,10800;18437,3163" textboxrect="3163,3163,18437,18437"/>
            </v:shapetype>
            <v:shape id="_x0000_s1074" type="#_x0000_t120" style="position:absolute;margin-left:407pt;margin-top:25.45pt;width:60pt;height:5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" fillcolor="#003d79" strokecolor="#003d79" strokeweight="2.5pt">
              <v:shadow color="#868686"/>
              <v:textbox>
                <w:txbxContent>
                  <w:p w14:paraId="7C589231" w14:textId="77777777" w:rsidR="00521305" w:rsidRPr="001D1C38" w:rsidRDefault="00521305" w:rsidP="00B176FB">
                    <w:pPr>
                      <w:spacing w:after="0" w:line="240" w:lineRule="auto"/>
                      <w:jc w:val="center"/>
                      <w:rPr>
                        <w:b/>
                        <w:color w:val="FFFFFF"/>
                        <w:sz w:val="40"/>
                        <w:szCs w:val="40"/>
                      </w:rPr>
                    </w:pPr>
                    <w:r w:rsidRPr="001D1C38">
                      <w:rPr>
                        <w:b/>
                        <w:color w:val="FFFFFF"/>
                        <w:sz w:val="40"/>
                        <w:szCs w:val="40"/>
                      </w:rPr>
                      <w:t>2</w:t>
                    </w:r>
                  </w:p>
                </w:txbxContent>
              </v:textbox>
              <w10:wrap type="square"/>
            </v:shape>
          </w:pict>
        </mc:Fallback>
      </mc:AlternateContent>
    </w:r>
    <w:r>
      <w:rPr>
        <w:noProof/>
        <w:lang w:eastAsia="en-AU"/>
      </w:rPr>
      <w:drawing>
        <wp:anchor distT="0" distB="0" distL="114300" distR="114300" simplePos="0" relativeHeight="251730944" behindDoc="1" locked="0" layoutInCell="0" allowOverlap="1" wp14:anchorId="11007750" wp14:editId="59EDF248">
          <wp:simplePos x="0" y="0"/>
          <wp:positionH relativeFrom="page">
            <wp:align>left</wp:align>
          </wp:positionH>
          <wp:positionV relativeFrom="margin">
            <wp:posOffset>-902335</wp:posOffset>
          </wp:positionV>
          <wp:extent cx="7559040" cy="9489440"/>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0A1D" w14:textId="77777777" w:rsidR="00521305" w:rsidRDefault="00521305">
    <w:pPr>
      <w:pStyle w:val="Header"/>
    </w:pPr>
    <w:r>
      <w:rPr>
        <w:noProof/>
        <w:lang w:eastAsia="en-AU"/>
      </w:rPr>
      <mc:AlternateContent>
        <mc:Choice Requires="wps">
          <w:drawing>
            <wp:anchor distT="0" distB="0" distL="114300" distR="114300" simplePos="0" relativeHeight="251734016" behindDoc="0" locked="0" layoutInCell="1" allowOverlap="1" wp14:anchorId="1874932B" wp14:editId="4B3E9862">
              <wp:simplePos x="0" y="0"/>
              <wp:positionH relativeFrom="column">
                <wp:posOffset>5168900</wp:posOffset>
              </wp:positionH>
              <wp:positionV relativeFrom="paragraph">
                <wp:posOffset>323215</wp:posOffset>
              </wp:positionV>
              <wp:extent cx="762000" cy="733425"/>
              <wp:effectExtent l="19050" t="19050" r="19050" b="28575"/>
              <wp:wrapSquare wrapText="bothSides"/>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EC657D" w14:textId="77777777" w:rsidR="00521305" w:rsidRPr="001D1C38" w:rsidRDefault="00521305" w:rsidP="00B176FB">
                          <w:pPr>
                            <w:spacing w:after="0" w:line="240" w:lineRule="auto"/>
                            <w:jc w:val="center"/>
                            <w:rPr>
                              <w:b/>
                              <w:color w:val="FFFFFF"/>
                              <w:sz w:val="40"/>
                              <w:szCs w:val="40"/>
                            </w:rPr>
                          </w:pPr>
                          <w:r w:rsidRPr="001D1C38">
                            <w:rPr>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4932B" id="_x0000_t120" coordsize="21600,21600" o:spt="120" path="m10800,qx,10800,10800,21600,21600,10800,10800,xe">
              <v:path gradientshapeok="t" o:connecttype="custom" o:connectlocs="10800,0;3163,3163;0,10800;3163,18437;10800,21600;18437,18437;21600,10800;18437,3163" textboxrect="3163,3163,18437,18437"/>
            </v:shapetype>
            <v:shape id="_x0000_s1075" type="#_x0000_t120" style="position:absolute;margin-left:407pt;margin-top:25.45pt;width:60pt;height: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" fillcolor="#003d79" strokecolor="#003d79" strokeweight="2.5pt">
              <v:shadow color="#868686"/>
              <v:textbox>
                <w:txbxContent>
                  <w:p w14:paraId="6AEC657D" w14:textId="77777777" w:rsidR="00521305" w:rsidRPr="001D1C38" w:rsidRDefault="00521305" w:rsidP="00B176FB">
                    <w:pPr>
                      <w:spacing w:after="0" w:line="240" w:lineRule="auto"/>
                      <w:jc w:val="center"/>
                      <w:rPr>
                        <w:b/>
                        <w:color w:val="FFFFFF"/>
                        <w:sz w:val="40"/>
                        <w:szCs w:val="40"/>
                      </w:rPr>
                    </w:pPr>
                    <w:r w:rsidRPr="001D1C38">
                      <w:rPr>
                        <w:b/>
                        <w:color w:val="FFFFFF"/>
                        <w:sz w:val="40"/>
                        <w:szCs w:val="40"/>
                      </w:rPr>
                      <w:t>3</w:t>
                    </w:r>
                  </w:p>
                </w:txbxContent>
              </v:textbox>
              <w10:wrap type="square"/>
            </v:shape>
          </w:pict>
        </mc:Fallback>
      </mc:AlternateContent>
    </w:r>
    <w:r>
      <w:rPr>
        <w:noProof/>
        <w:lang w:eastAsia="en-AU"/>
      </w:rPr>
      <w:drawing>
        <wp:anchor distT="0" distB="0" distL="114300" distR="114300" simplePos="0" relativeHeight="251732992" behindDoc="1" locked="0" layoutInCell="0" allowOverlap="1" wp14:anchorId="3B68D78C" wp14:editId="4021D792">
          <wp:simplePos x="0" y="0"/>
          <wp:positionH relativeFrom="page">
            <wp:align>left</wp:align>
          </wp:positionH>
          <wp:positionV relativeFrom="margin">
            <wp:posOffset>-902335</wp:posOffset>
          </wp:positionV>
          <wp:extent cx="7559040" cy="9489440"/>
          <wp:effectExtent l="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FD11E" w14:textId="21E60638" w:rsidR="00521305" w:rsidRDefault="00831110">
    <w:pPr>
      <w:pStyle w:val="Header"/>
    </w:pPr>
    <w:r>
      <w:rPr>
        <w:noProof/>
      </w:rPr>
      <w:pict w14:anchorId="2A9B4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592" o:spid="_x0000_s2052" type="#_x0000_t136" style="position:absolute;margin-left:0;margin-top:0;width:598.8pt;height:37.4pt;rotation:315;z-index:-25167052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p w14:paraId="50762990" w14:textId="77777777" w:rsidR="00521305" w:rsidRPr="001B78D5" w:rsidRDefault="00521305" w:rsidP="00CE577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602565F5" w14:textId="77777777" w:rsidR="00521305" w:rsidRDefault="00521305" w:rsidP="00CE577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15C55062" w14:textId="77777777" w:rsidR="00521305" w:rsidRDefault="00521305" w:rsidP="00CE577E">
    <w:pPr>
      <w:pStyle w:val="Header"/>
    </w:pPr>
    <w:r>
      <w:rPr>
        <w:rStyle w:val="ReportTitleTitlePageChar"/>
      </w:rPr>
      <w:t>Literature review</w:t>
    </w:r>
    <w:r>
      <w:rPr>
        <w:noProof/>
        <w:lang w:eastAsia="en-AU"/>
      </w:rPr>
      <w:t xml:space="preserve"> </w:t>
    </w:r>
    <w:r>
      <w:rPr>
        <w:noProof/>
        <w:lang w:eastAsia="en-AU"/>
      </w:rPr>
      <w:drawing>
        <wp:anchor distT="0" distB="0" distL="0" distR="0" simplePos="0" relativeHeight="251632640" behindDoc="0" locked="0" layoutInCell="1" allowOverlap="1" wp14:anchorId="51D478A4" wp14:editId="5F250138">
          <wp:simplePos x="0" y="0"/>
          <wp:positionH relativeFrom="column">
            <wp:posOffset>-914400</wp:posOffset>
          </wp:positionH>
          <wp:positionV relativeFrom="paragraph">
            <wp:posOffset>-2045335</wp:posOffset>
          </wp:positionV>
          <wp:extent cx="7559675" cy="10691495"/>
          <wp:effectExtent l="0" t="0" r="3175" b="0"/>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76737" w14:textId="77777777" w:rsidR="00521305" w:rsidRPr="001C5D9E" w:rsidRDefault="00521305" w:rsidP="001C5D9E">
    <w:pPr>
      <w:pStyle w:val="Header"/>
    </w:pPr>
    <w:r w:rsidRPr="001C5D9E">
      <w:rPr>
        <w:noProof/>
        <w:lang w:eastAsia="en-AU"/>
      </w:rPr>
      <w:drawing>
        <wp:anchor distT="0" distB="0" distL="114300" distR="114300" simplePos="0" relativeHeight="251740160" behindDoc="1" locked="0" layoutInCell="0" allowOverlap="1" wp14:anchorId="6D57E157" wp14:editId="5F6CB69F">
          <wp:simplePos x="0" y="0"/>
          <wp:positionH relativeFrom="page">
            <wp:posOffset>9525</wp:posOffset>
          </wp:positionH>
          <wp:positionV relativeFrom="margin">
            <wp:posOffset>-913130</wp:posOffset>
          </wp:positionV>
          <wp:extent cx="7559040" cy="9489440"/>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39136" behindDoc="0" locked="0" layoutInCell="1" allowOverlap="1" wp14:anchorId="68A6E0E1" wp14:editId="650DFFE3">
              <wp:simplePos x="0" y="0"/>
              <wp:positionH relativeFrom="column">
                <wp:posOffset>5330825</wp:posOffset>
              </wp:positionH>
              <wp:positionV relativeFrom="paragraph">
                <wp:posOffset>264795</wp:posOffset>
              </wp:positionV>
              <wp:extent cx="762000" cy="733425"/>
              <wp:effectExtent l="19050" t="19050" r="19050" b="28575"/>
              <wp:wrapSquare wrapText="bothSides"/>
              <wp:docPr id="8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21313B"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6E0E1" id="_x0000_t120" coordsize="21600,21600" o:spt="120" path="m10800,qx,10800,10800,21600,21600,10800,10800,xe">
              <v:path gradientshapeok="t" o:connecttype="custom" o:connectlocs="10800,0;3163,3163;0,10800;3163,18437;10800,21600;18437,18437;21600,10800;18437,3163" textboxrect="3163,3163,18437,18437"/>
            </v:shapetype>
            <v:shape id="_x0000_s1076" type="#_x0000_t120" style="position:absolute;margin-left:419.75pt;margin-top:20.85pt;width:60pt;height:5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" fillcolor="#003d79" strokecolor="#003d79" strokeweight="2.5pt">
              <v:shadow color="#868686"/>
              <v:textbox>
                <w:txbxContent>
                  <w:p w14:paraId="7E21313B"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4</w:t>
                    </w:r>
                  </w:p>
                </w:txbxContent>
              </v:textbox>
              <w10:wrap type="squar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5CA5" w14:textId="77777777" w:rsidR="00521305" w:rsidRPr="001C5D9E" w:rsidRDefault="00521305" w:rsidP="001C5D9E">
    <w:pPr>
      <w:pStyle w:val="Header"/>
    </w:pPr>
    <w:r w:rsidRPr="001C5D9E">
      <w:rPr>
        <w:noProof/>
        <w:lang w:eastAsia="en-AU"/>
      </w:rPr>
      <w:drawing>
        <wp:anchor distT="0" distB="0" distL="114300" distR="114300" simplePos="0" relativeHeight="251736064" behindDoc="1" locked="0" layoutInCell="0" allowOverlap="1" wp14:anchorId="651E93BC" wp14:editId="61167F31">
          <wp:simplePos x="0" y="0"/>
          <wp:positionH relativeFrom="page">
            <wp:posOffset>9525</wp:posOffset>
          </wp:positionH>
          <wp:positionV relativeFrom="margin">
            <wp:posOffset>-913130</wp:posOffset>
          </wp:positionV>
          <wp:extent cx="7559040" cy="9489440"/>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35040" behindDoc="0" locked="0" layoutInCell="1" allowOverlap="1" wp14:anchorId="371A6A38" wp14:editId="0B69C402">
              <wp:simplePos x="0" y="0"/>
              <wp:positionH relativeFrom="column">
                <wp:posOffset>5330825</wp:posOffset>
              </wp:positionH>
              <wp:positionV relativeFrom="paragraph">
                <wp:posOffset>264795</wp:posOffset>
              </wp:positionV>
              <wp:extent cx="762000" cy="733425"/>
              <wp:effectExtent l="19050" t="19050" r="19050" b="28575"/>
              <wp:wrapSquare wrapText="bothSides"/>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188019"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A6A38" id="_x0000_t120" coordsize="21600,21600" o:spt="120" path="m10800,qx,10800,10800,21600,21600,10800,10800,xe">
              <v:path gradientshapeok="t" o:connecttype="custom" o:connectlocs="10800,0;3163,3163;0,10800;3163,18437;10800,21600;18437,18437;21600,10800;18437,3163" textboxrect="3163,3163,18437,18437"/>
            </v:shapetype>
            <v:shape id="_x0000_s1077" type="#_x0000_t120" style="position:absolute;margin-left:419.75pt;margin-top:20.85pt;width:60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Kt3dVL4CAACgBQAADgAAAAAAAAAAAAAAAAAuAgAAZHJzL2Uyb0RvYy54bWxQSwECLQAUAAYACAAA&#10;ACEAmRZzpt8AAAAKAQAADwAAAAAAAAAAAAAAAAAYBQAAZHJzL2Rvd25yZXYueG1sUEsFBgAAAAAE&#10;AAQA8wAAACQGAAAAAA==&#10;" fillcolor="#003d79" strokecolor="#003d79" strokeweight="2.5pt">
              <v:shadow color="#868686"/>
              <v:textbox>
                <w:txbxContent>
                  <w:p w14:paraId="47188019"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5</w:t>
                    </w:r>
                  </w:p>
                </w:txbxContent>
              </v:textbox>
              <w10:wrap type="squar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5BCF9" w14:textId="77777777" w:rsidR="00521305" w:rsidRPr="001C5D9E" w:rsidRDefault="00521305" w:rsidP="001C5D9E">
    <w:pPr>
      <w:pStyle w:val="Header"/>
    </w:pPr>
    <w:r w:rsidRPr="001C5D9E">
      <w:rPr>
        <w:noProof/>
        <w:lang w:eastAsia="en-AU"/>
      </w:rPr>
      <w:drawing>
        <wp:anchor distT="0" distB="0" distL="114300" distR="114300" simplePos="0" relativeHeight="251745280" behindDoc="1" locked="0" layoutInCell="0" allowOverlap="1" wp14:anchorId="73913626" wp14:editId="24D73D34">
          <wp:simplePos x="0" y="0"/>
          <wp:positionH relativeFrom="page">
            <wp:posOffset>9525</wp:posOffset>
          </wp:positionH>
          <wp:positionV relativeFrom="margin">
            <wp:posOffset>-913130</wp:posOffset>
          </wp:positionV>
          <wp:extent cx="7559040" cy="9489440"/>
          <wp:effectExtent l="0" t="0" r="381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44256" behindDoc="0" locked="0" layoutInCell="1" allowOverlap="1" wp14:anchorId="7053AEDB" wp14:editId="556805E3">
              <wp:simplePos x="0" y="0"/>
              <wp:positionH relativeFrom="column">
                <wp:posOffset>5330825</wp:posOffset>
              </wp:positionH>
              <wp:positionV relativeFrom="paragraph">
                <wp:posOffset>264795</wp:posOffset>
              </wp:positionV>
              <wp:extent cx="762000" cy="733425"/>
              <wp:effectExtent l="19050" t="19050" r="19050" b="28575"/>
              <wp:wrapSquare wrapText="bothSides"/>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ABFA16"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3AEDB" id="_x0000_t120" coordsize="21600,21600" o:spt="120" path="m10800,qx,10800,10800,21600,21600,10800,10800,xe">
              <v:path gradientshapeok="t" o:connecttype="custom" o:connectlocs="10800,0;3163,3163;0,10800;3163,18437;10800,21600;18437,18437;21600,10800;18437,3163" textboxrect="3163,3163,18437,18437"/>
            </v:shapetype>
            <v:shape id="_x0000_s1078" type="#_x0000_t120" style="position:absolute;margin-left:419.75pt;margin-top:20.85pt;width:60pt;height:5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5LCDrb4CAACfBQAADgAAAAAAAAAAAAAAAAAuAgAAZHJzL2Uyb0RvYy54bWxQSwECLQAUAAYACAAA&#10;ACEAmRZzpt8AAAAKAQAADwAAAAAAAAAAAAAAAAAYBQAAZHJzL2Rvd25yZXYueG1sUEsFBgAAAAAE&#10;AAQA8wAAACQGAAAAAA==&#10;" fillcolor="#003d79" strokecolor="#003d79" strokeweight="2.5pt">
              <v:shadow color="#868686"/>
              <v:textbox>
                <w:txbxContent>
                  <w:p w14:paraId="50ABFA16"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6</w:t>
                    </w:r>
                  </w:p>
                </w:txbxContent>
              </v:textbox>
              <w10:wrap type="squar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D1FA1" w14:textId="77777777" w:rsidR="00521305" w:rsidRPr="001C5D9E" w:rsidRDefault="00521305" w:rsidP="001C5D9E">
    <w:pPr>
      <w:pStyle w:val="Header"/>
    </w:pPr>
    <w:r w:rsidRPr="001C5D9E">
      <w:rPr>
        <w:noProof/>
        <w:lang w:eastAsia="en-AU"/>
      </w:rPr>
      <w:drawing>
        <wp:anchor distT="0" distB="0" distL="114300" distR="114300" simplePos="0" relativeHeight="251723776" behindDoc="1" locked="0" layoutInCell="0" allowOverlap="1" wp14:anchorId="12B6B8E6" wp14:editId="06E00475">
          <wp:simplePos x="0" y="0"/>
          <wp:positionH relativeFrom="page">
            <wp:posOffset>9525</wp:posOffset>
          </wp:positionH>
          <wp:positionV relativeFrom="margin">
            <wp:posOffset>-913130</wp:posOffset>
          </wp:positionV>
          <wp:extent cx="7559040" cy="948944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22752" behindDoc="0" locked="0" layoutInCell="1" allowOverlap="1" wp14:anchorId="5B17B91F" wp14:editId="3825B214">
              <wp:simplePos x="0" y="0"/>
              <wp:positionH relativeFrom="column">
                <wp:posOffset>5330825</wp:posOffset>
              </wp:positionH>
              <wp:positionV relativeFrom="paragraph">
                <wp:posOffset>264795</wp:posOffset>
              </wp:positionV>
              <wp:extent cx="762000" cy="733425"/>
              <wp:effectExtent l="19050" t="19050" r="19050" b="28575"/>
              <wp:wrapSquare wrapText="bothSides"/>
              <wp:docPr id="9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B15D19"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7B91F" id="_x0000_t120" coordsize="21600,21600" o:spt="120" path="m10800,qx,10800,10800,21600,21600,10800,10800,xe">
              <v:path gradientshapeok="t" o:connecttype="custom" o:connectlocs="10800,0;3163,3163;0,10800;3163,18437;10800,21600;18437,18437;21600,10800;18437,3163" textboxrect="3163,3163,18437,18437"/>
            </v:shapetype>
            <v:shape id="_x0000_s1079" type="#_x0000_t120" style="position:absolute;margin-left:419.75pt;margin-top:20.85pt;width:60pt;height:5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ZiE0wr4CAACgBQAADgAAAAAAAAAAAAAAAAAuAgAAZHJzL2Uyb0RvYy54bWxQSwECLQAUAAYACAAA&#10;ACEAmRZzpt8AAAAKAQAADwAAAAAAAAAAAAAAAAAYBQAAZHJzL2Rvd25yZXYueG1sUEsFBgAAAAAE&#10;AAQA8wAAACQGAAAAAA==&#10;" fillcolor="#003d79" strokecolor="#003d79" strokeweight="2.5pt">
              <v:shadow color="#868686"/>
              <v:textbox>
                <w:txbxContent>
                  <w:p w14:paraId="29B15D19"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7</w:t>
                    </w:r>
                  </w:p>
                </w:txbxContent>
              </v:textbox>
              <w10:wrap type="squar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9984" w14:textId="77777777" w:rsidR="00521305" w:rsidRPr="001C5D9E" w:rsidRDefault="00521305" w:rsidP="001C5D9E">
    <w:pPr>
      <w:pStyle w:val="Header"/>
    </w:pPr>
    <w:r w:rsidRPr="001C5D9E">
      <w:rPr>
        <w:noProof/>
        <w:lang w:eastAsia="en-AU"/>
      </w:rPr>
      <w:drawing>
        <wp:anchor distT="0" distB="0" distL="114300" distR="114300" simplePos="0" relativeHeight="251725824" behindDoc="1" locked="0" layoutInCell="0" allowOverlap="1" wp14:anchorId="192D7E9D" wp14:editId="015EFC3E">
          <wp:simplePos x="0" y="0"/>
          <wp:positionH relativeFrom="page">
            <wp:posOffset>9525</wp:posOffset>
          </wp:positionH>
          <wp:positionV relativeFrom="margin">
            <wp:posOffset>-913130</wp:posOffset>
          </wp:positionV>
          <wp:extent cx="7559040" cy="9489440"/>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24800" behindDoc="0" locked="0" layoutInCell="1" allowOverlap="1" wp14:anchorId="33FF9AA2" wp14:editId="6FDC16F6">
              <wp:simplePos x="0" y="0"/>
              <wp:positionH relativeFrom="column">
                <wp:posOffset>5330825</wp:posOffset>
              </wp:positionH>
              <wp:positionV relativeFrom="paragraph">
                <wp:posOffset>264795</wp:posOffset>
              </wp:positionV>
              <wp:extent cx="762000" cy="733425"/>
              <wp:effectExtent l="19050" t="19050" r="19050" b="28575"/>
              <wp:wrapSquare wrapText="bothSides"/>
              <wp:docPr id="4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FB22B8"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F9AA2" id="_x0000_t120" coordsize="21600,21600" o:spt="120" path="m10800,qx,10800,10800,21600,21600,10800,10800,xe">
              <v:path gradientshapeok="t" o:connecttype="custom" o:connectlocs="10800,0;3163,3163;0,10800;3163,18437;10800,21600;18437,18437;21600,10800;18437,3163" textboxrect="3163,3163,18437,18437"/>
            </v:shapetype>
            <v:shape id="_x0000_s1080" type="#_x0000_t120" style="position:absolute;margin-left:419.75pt;margin-top:20.85pt;width:60pt;height:5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" fillcolor="#003d79" strokecolor="#003d79" strokeweight="2.5pt">
              <v:shadow color="#868686"/>
              <v:textbox>
                <w:txbxContent>
                  <w:p w14:paraId="72FB22B8"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8</w:t>
                    </w:r>
                  </w:p>
                </w:txbxContent>
              </v:textbox>
              <w10:wrap type="squar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635A" w14:textId="77777777" w:rsidR="00521305" w:rsidRDefault="005213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3FA5" w14:textId="77777777" w:rsidR="00521305" w:rsidRPr="001C5D9E" w:rsidRDefault="00521305" w:rsidP="001C5D9E">
    <w:pPr>
      <w:pStyle w:val="Header"/>
    </w:pPr>
    <w:r w:rsidRPr="001C5D9E">
      <w:rPr>
        <w:noProof/>
        <w:lang w:eastAsia="en-AU"/>
      </w:rPr>
      <w:drawing>
        <wp:anchor distT="0" distB="0" distL="114300" distR="114300" simplePos="0" relativeHeight="251738112" behindDoc="1" locked="0" layoutInCell="0" allowOverlap="1" wp14:anchorId="6969C61A" wp14:editId="19E1B6E1">
          <wp:simplePos x="0" y="0"/>
          <wp:positionH relativeFrom="page">
            <wp:posOffset>9525</wp:posOffset>
          </wp:positionH>
          <wp:positionV relativeFrom="margin">
            <wp:posOffset>-913130</wp:posOffset>
          </wp:positionV>
          <wp:extent cx="7559040" cy="9489440"/>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37088" behindDoc="0" locked="0" layoutInCell="1" allowOverlap="1" wp14:anchorId="03318AA4" wp14:editId="1EA07233">
              <wp:simplePos x="0" y="0"/>
              <wp:positionH relativeFrom="column">
                <wp:posOffset>5330825</wp:posOffset>
              </wp:positionH>
              <wp:positionV relativeFrom="paragraph">
                <wp:posOffset>264795</wp:posOffset>
              </wp:positionV>
              <wp:extent cx="762000" cy="733425"/>
              <wp:effectExtent l="19050" t="19050" r="19050" b="28575"/>
              <wp:wrapSquare wrapText="bothSides"/>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80F020"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18AA4" id="_x0000_t120" coordsize="21600,21600" o:spt="120" path="m10800,qx,10800,10800,21600,21600,10800,10800,xe">
              <v:path gradientshapeok="t" o:connecttype="custom" o:connectlocs="10800,0;3163,3163;0,10800;3163,18437;10800,21600;18437,18437;21600,10800;18437,3163" textboxrect="3163,3163,18437,18437"/>
            </v:shapetype>
            <v:shape id="_x0000_s1081" type="#_x0000_t120" style="position:absolute;margin-left:419.75pt;margin-top:20.85pt;width:60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" fillcolor="#003d79" strokecolor="#003d79" strokeweight="2.5pt">
              <v:shadow color="#868686"/>
              <v:textbox>
                <w:txbxContent>
                  <w:p w14:paraId="0C80F020"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9</w:t>
                    </w:r>
                  </w:p>
                </w:txbxContent>
              </v:textbox>
              <w10:wrap type="squar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E3A" w14:textId="77777777" w:rsidR="00521305" w:rsidRPr="001C5D9E" w:rsidRDefault="00521305" w:rsidP="001C5D9E">
    <w:pPr>
      <w:pStyle w:val="Header"/>
    </w:pPr>
    <w:r w:rsidRPr="001C5D9E">
      <w:rPr>
        <w:noProof/>
        <w:lang w:eastAsia="en-AU"/>
      </w:rPr>
      <w:drawing>
        <wp:anchor distT="0" distB="0" distL="114300" distR="114300" simplePos="0" relativeHeight="251727872" behindDoc="1" locked="0" layoutInCell="0" allowOverlap="1" wp14:anchorId="0C49BFFC" wp14:editId="0456EC89">
          <wp:simplePos x="0" y="0"/>
          <wp:positionH relativeFrom="page">
            <wp:posOffset>9525</wp:posOffset>
          </wp:positionH>
          <wp:positionV relativeFrom="margin">
            <wp:posOffset>-913130</wp:posOffset>
          </wp:positionV>
          <wp:extent cx="7559040" cy="9489440"/>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26848" behindDoc="0" locked="0" layoutInCell="1" allowOverlap="1" wp14:anchorId="15BCE9E9" wp14:editId="0B665495">
              <wp:simplePos x="0" y="0"/>
              <wp:positionH relativeFrom="column">
                <wp:posOffset>5330825</wp:posOffset>
              </wp:positionH>
              <wp:positionV relativeFrom="paragraph">
                <wp:posOffset>264795</wp:posOffset>
              </wp:positionV>
              <wp:extent cx="762000" cy="733425"/>
              <wp:effectExtent l="19050" t="19050" r="19050" b="28575"/>
              <wp:wrapSquare wrapText="bothSides"/>
              <wp:docPr id="4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D191AD"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CE9E9" id="_x0000_t120" coordsize="21600,21600" o:spt="120" path="m10800,qx,10800,10800,21600,21600,10800,10800,xe">
              <v:path gradientshapeok="t" o:connecttype="custom" o:connectlocs="10800,0;3163,3163;0,10800;3163,18437;10800,21600;18437,18437;21600,10800;18437,3163" textboxrect="3163,3163,18437,18437"/>
            </v:shapetype>
            <v:shape id="_x0000_s1082" type="#_x0000_t120" style="position:absolute;margin-left:419.75pt;margin-top:20.85pt;width:60pt;height:5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8W7m5b4CAAChBQAADgAAAAAAAAAAAAAAAAAuAgAAZHJzL2Uyb0RvYy54bWxQSwECLQAUAAYACAAA&#10;ACEAmRZzpt8AAAAKAQAADwAAAAAAAAAAAAAAAAAYBQAAZHJzL2Rvd25yZXYueG1sUEsFBgAAAAAE&#10;AAQA8wAAACQGAAAAAA==&#10;" fillcolor="#003d79" strokecolor="#003d79" strokeweight="2.5pt">
              <v:shadow color="#868686"/>
              <v:textbox>
                <w:txbxContent>
                  <w:p w14:paraId="1DD191AD"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10</w:t>
                    </w:r>
                  </w:p>
                </w:txbxContent>
              </v:textbox>
              <w10:wrap type="squar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851B2" w14:textId="77777777" w:rsidR="00521305" w:rsidRPr="001C5D9E" w:rsidRDefault="00521305" w:rsidP="001C5D9E">
    <w:pPr>
      <w:pStyle w:val="Header"/>
    </w:pPr>
    <w:r w:rsidRPr="001C5D9E">
      <w:rPr>
        <w:noProof/>
        <w:lang w:eastAsia="en-AU"/>
      </w:rPr>
      <w:drawing>
        <wp:anchor distT="0" distB="0" distL="114300" distR="114300" simplePos="0" relativeHeight="251729920" behindDoc="1" locked="0" layoutInCell="0" allowOverlap="1" wp14:anchorId="6FC78FCC" wp14:editId="55E483BD">
          <wp:simplePos x="0" y="0"/>
          <wp:positionH relativeFrom="page">
            <wp:posOffset>9525</wp:posOffset>
          </wp:positionH>
          <wp:positionV relativeFrom="margin">
            <wp:posOffset>-913130</wp:posOffset>
          </wp:positionV>
          <wp:extent cx="7559040" cy="9489440"/>
          <wp:effectExtent l="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28896" behindDoc="0" locked="0" layoutInCell="1" allowOverlap="1" wp14:anchorId="3A9EC29A" wp14:editId="779C58B8">
              <wp:simplePos x="0" y="0"/>
              <wp:positionH relativeFrom="column">
                <wp:posOffset>5330825</wp:posOffset>
              </wp:positionH>
              <wp:positionV relativeFrom="paragraph">
                <wp:posOffset>264795</wp:posOffset>
              </wp:positionV>
              <wp:extent cx="762000" cy="733425"/>
              <wp:effectExtent l="19050" t="19050" r="19050" b="28575"/>
              <wp:wrapSquare wrapText="bothSides"/>
              <wp:docPr id="44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6A2D6F"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EC29A" id="_x0000_t120" coordsize="21600,21600" o:spt="120" path="m10800,qx,10800,10800,21600,21600,10800,10800,xe">
              <v:path gradientshapeok="t" o:connecttype="custom" o:connectlocs="10800,0;3163,3163;0,10800;3163,18437;10800,21600;18437,18437;21600,10800;18437,3163" textboxrect="3163,3163,18437,18437"/>
            </v:shapetype>
            <v:shape id="_x0000_s1083" type="#_x0000_t120" style="position:absolute;margin-left:419.75pt;margin-top:20.85pt;width:60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" fillcolor="#003d79" strokecolor="#003d79" strokeweight="2.5pt">
              <v:shadow color="#868686"/>
              <v:textbox>
                <w:txbxContent>
                  <w:p w14:paraId="086A2D6F"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11</w:t>
                    </w:r>
                  </w:p>
                </w:txbxContent>
              </v:textbox>
              <w10:wrap type="squar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05DA" w14:textId="77777777" w:rsidR="00521305" w:rsidRPr="001C5D9E" w:rsidRDefault="00521305" w:rsidP="001C5D9E">
    <w:pPr>
      <w:pStyle w:val="Header"/>
    </w:pPr>
    <w:r w:rsidRPr="001C5D9E">
      <w:rPr>
        <w:noProof/>
        <w:lang w:eastAsia="en-AU"/>
      </w:rPr>
      <w:drawing>
        <wp:anchor distT="0" distB="0" distL="114300" distR="114300" simplePos="0" relativeHeight="251742208" behindDoc="1" locked="0" layoutInCell="0" allowOverlap="1" wp14:anchorId="440495B0" wp14:editId="7EEF4ABD">
          <wp:simplePos x="0" y="0"/>
          <wp:positionH relativeFrom="page">
            <wp:posOffset>9525</wp:posOffset>
          </wp:positionH>
          <wp:positionV relativeFrom="margin">
            <wp:posOffset>-913130</wp:posOffset>
          </wp:positionV>
          <wp:extent cx="7559040" cy="9489440"/>
          <wp:effectExtent l="0" t="0" r="381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r w:rsidRPr="001C5D9E">
      <w:rPr>
        <w:noProof/>
        <w:lang w:eastAsia="en-AU"/>
      </w:rPr>
      <mc:AlternateContent>
        <mc:Choice Requires="wps">
          <w:drawing>
            <wp:anchor distT="0" distB="0" distL="114300" distR="114300" simplePos="0" relativeHeight="251741184" behindDoc="0" locked="0" layoutInCell="1" allowOverlap="1" wp14:anchorId="3D1331A4" wp14:editId="24643985">
              <wp:simplePos x="0" y="0"/>
              <wp:positionH relativeFrom="column">
                <wp:posOffset>5330825</wp:posOffset>
              </wp:positionH>
              <wp:positionV relativeFrom="paragraph">
                <wp:posOffset>264795</wp:posOffset>
              </wp:positionV>
              <wp:extent cx="762000" cy="733425"/>
              <wp:effectExtent l="19050" t="19050" r="19050" b="28575"/>
              <wp:wrapSquare wrapText="bothSides"/>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A88D64"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331A4" id="_x0000_t120" coordsize="21600,21600" o:spt="120" path="m10800,qx,10800,10800,21600,21600,10800,10800,xe">
              <v:path gradientshapeok="t" o:connecttype="custom" o:connectlocs="10800,0;3163,3163;0,10800;3163,18437;10800,21600;18437,18437;21600,10800;18437,3163" textboxrect="3163,3163,18437,18437"/>
            </v:shapetype>
            <v:shape id="_x0000_s1084" type="#_x0000_t120" style="position:absolute;margin-left:419.75pt;margin-top:20.85pt;width:60pt;height: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gdDsfb4CAAChBQAADgAAAAAAAAAAAAAAAAAuAgAAZHJzL2Uyb0RvYy54bWxQSwECLQAUAAYACAAA&#10;ACEAmRZzpt8AAAAKAQAADwAAAAAAAAAAAAAAAAAYBQAAZHJzL2Rvd25yZXYueG1sUEsFBgAAAAAE&#10;AAQA8wAAACQGAAAAAA==&#10;" fillcolor="#003d79" strokecolor="#003d79" strokeweight="2.5pt">
              <v:shadow color="#868686"/>
              <v:textbox>
                <w:txbxContent>
                  <w:p w14:paraId="62A88D64" w14:textId="77777777" w:rsidR="00521305" w:rsidRPr="001D1C38" w:rsidRDefault="00521305" w:rsidP="001C5D9E">
                    <w:pPr>
                      <w:spacing w:after="0" w:line="240" w:lineRule="auto"/>
                      <w:jc w:val="center"/>
                      <w:rPr>
                        <w:b/>
                        <w:color w:val="FFFFFF"/>
                        <w:sz w:val="40"/>
                        <w:szCs w:val="40"/>
                      </w:rPr>
                    </w:pPr>
                    <w:r w:rsidRPr="001D1C38">
                      <w:rPr>
                        <w:b/>
                        <w:color w:val="FFFFFF"/>
                        <w:sz w:val="40"/>
                        <w:szCs w:val="40"/>
                      </w:rPr>
                      <w:t>12</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C630C" w14:textId="0E1508CC" w:rsidR="00521305" w:rsidRDefault="00831110">
    <w:pPr>
      <w:pStyle w:val="Header"/>
    </w:pPr>
    <w:r>
      <w:rPr>
        <w:noProof/>
      </w:rPr>
      <w:pict w14:anchorId="38FE4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596" o:spid="_x0000_s2056" type="#_x0000_t136" style="position:absolute;margin-left:0;margin-top:0;width:598.8pt;height:37.4pt;rotation:315;z-index:-25166643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0DF00" w14:textId="77777777" w:rsidR="00521305" w:rsidRDefault="00831110">
    <w:pPr>
      <w:pStyle w:val="Header"/>
    </w:pPr>
    <w:r>
      <w:rPr>
        <w:noProof/>
      </w:rPr>
      <w:pict w14:anchorId="0DB35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598.8pt;height:37.4pt;rotation:315;z-index:-25159577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EFD05" w14:textId="77777777" w:rsidR="00521305" w:rsidRDefault="005213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4A94A" w14:textId="77777777" w:rsidR="00521305" w:rsidRDefault="00521305" w:rsidP="00C16002">
    <w:pPr>
      <w:pStyle w:val="Header"/>
    </w:pPr>
    <w:r w:rsidRPr="001C5D9E">
      <w:rPr>
        <w:noProof/>
        <w:lang w:eastAsia="en-AU"/>
      </w:rPr>
      <mc:AlternateContent>
        <mc:Choice Requires="wps">
          <w:drawing>
            <wp:anchor distT="0" distB="0" distL="114300" distR="114300" simplePos="0" relativeHeight="251746304" behindDoc="0" locked="0" layoutInCell="1" allowOverlap="1" wp14:anchorId="33FF6E19" wp14:editId="692F7332">
              <wp:simplePos x="0" y="0"/>
              <wp:positionH relativeFrom="column">
                <wp:posOffset>5381625</wp:posOffset>
              </wp:positionH>
              <wp:positionV relativeFrom="paragraph">
                <wp:posOffset>123190</wp:posOffset>
              </wp:positionV>
              <wp:extent cx="762000" cy="733425"/>
              <wp:effectExtent l="19050" t="19050" r="19050" b="28575"/>
              <wp:wrapSquare wrapText="bothSides"/>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C51AE1" w14:textId="77777777" w:rsidR="00521305" w:rsidRPr="001D1C38" w:rsidRDefault="00521305" w:rsidP="00521305">
                          <w:pPr>
                            <w:spacing w:after="0" w:line="240" w:lineRule="auto"/>
                            <w:jc w:val="center"/>
                            <w:rPr>
                              <w:b/>
                              <w:color w:val="FFFFFF"/>
                              <w:sz w:val="40"/>
                              <w:szCs w:val="40"/>
                            </w:rPr>
                          </w:pPr>
                          <w:r w:rsidRPr="001D1C38">
                            <w:rPr>
                              <w:b/>
                              <w:color w:val="FFFFFF"/>
                              <w:sz w:val="40"/>
                              <w:szCs w:val="40"/>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F6E19"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margin-left:423.75pt;margin-top:9.7pt;width:60pt;height:5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" fillcolor="#003d79" strokecolor="#003d79" strokeweight="2.5pt">
              <v:shadow color="#868686"/>
              <v:textbox>
                <w:txbxContent>
                  <w:p w14:paraId="31C51AE1" w14:textId="77777777" w:rsidR="00521305" w:rsidRPr="001D1C38" w:rsidRDefault="00521305" w:rsidP="00521305">
                    <w:pPr>
                      <w:spacing w:after="0" w:line="240" w:lineRule="auto"/>
                      <w:jc w:val="center"/>
                      <w:rPr>
                        <w:b/>
                        <w:color w:val="FFFFFF"/>
                        <w:sz w:val="40"/>
                        <w:szCs w:val="40"/>
                      </w:rPr>
                    </w:pPr>
                    <w:r w:rsidRPr="001D1C38">
                      <w:rPr>
                        <w:b/>
                        <w:color w:val="FFFFFF"/>
                        <w:sz w:val="40"/>
                        <w:szCs w:val="40"/>
                      </w:rPr>
                      <w:t>13</w:t>
                    </w:r>
                  </w:p>
                </w:txbxContent>
              </v:textbox>
              <w10:wrap type="square"/>
            </v:shape>
          </w:pict>
        </mc:Fallback>
      </mc:AlternateContent>
    </w:r>
    <w:r w:rsidRPr="001C5D9E">
      <w:rPr>
        <w:noProof/>
        <w:lang w:eastAsia="en-AU"/>
      </w:rPr>
      <w:drawing>
        <wp:anchor distT="0" distB="0" distL="114300" distR="114300" simplePos="0" relativeHeight="251743232" behindDoc="1" locked="0" layoutInCell="0" allowOverlap="1" wp14:anchorId="5C633541" wp14:editId="64FEF4A0">
          <wp:simplePos x="0" y="0"/>
          <wp:positionH relativeFrom="page">
            <wp:posOffset>-28575</wp:posOffset>
          </wp:positionH>
          <wp:positionV relativeFrom="margin">
            <wp:posOffset>-903605</wp:posOffset>
          </wp:positionV>
          <wp:extent cx="7559040" cy="9489440"/>
          <wp:effectExtent l="0" t="0" r="381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DD059" w14:textId="77777777" w:rsidR="00521305" w:rsidRDefault="00521305" w:rsidP="00C16002">
    <w:pPr>
      <w:pStyle w:val="Header"/>
    </w:pPr>
    <w:r w:rsidRPr="001C5D9E">
      <w:rPr>
        <w:noProof/>
        <w:lang w:eastAsia="en-AU"/>
      </w:rPr>
      <w:drawing>
        <wp:anchor distT="0" distB="0" distL="114300" distR="114300" simplePos="0" relativeHeight="251747328" behindDoc="1" locked="0" layoutInCell="0" allowOverlap="1" wp14:anchorId="23FB7B30" wp14:editId="01B1AAD8">
          <wp:simplePos x="0" y="0"/>
          <wp:positionH relativeFrom="page">
            <wp:posOffset>-28575</wp:posOffset>
          </wp:positionH>
          <wp:positionV relativeFrom="margin">
            <wp:posOffset>-903605</wp:posOffset>
          </wp:positionV>
          <wp:extent cx="7559040" cy="948944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B4723" w14:textId="77777777" w:rsidR="00521305" w:rsidRDefault="00831110">
    <w:pPr>
      <w:pStyle w:val="Header"/>
    </w:pPr>
    <w:r>
      <w:rPr>
        <w:noProof/>
      </w:rPr>
      <w:pict w14:anchorId="33060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598.8pt;height:37.4pt;rotation:315;z-index:-25155788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2AA4" w14:textId="77777777" w:rsidR="00521305" w:rsidRDefault="00831110">
    <w:pPr>
      <w:pStyle w:val="Header"/>
    </w:pPr>
    <w:r>
      <w:rPr>
        <w:noProof/>
      </w:rPr>
      <w:pict w14:anchorId="0A2AA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8" type="#_x0000_t136" style="position:absolute;margin-left:0;margin-top:0;width:598.8pt;height:37.4pt;rotation:315;z-index:-25155686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6B403" w14:textId="77777777" w:rsidR="00521305" w:rsidRDefault="00831110">
    <w:pPr>
      <w:pStyle w:val="Header"/>
    </w:pPr>
    <w:r>
      <w:rPr>
        <w:noProof/>
      </w:rPr>
      <w:pict w14:anchorId="213AD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0;margin-top:0;width:598.8pt;height:37.4pt;rotation:315;z-index:-25155891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p w14:paraId="56E4985A" w14:textId="77777777" w:rsidR="00521305" w:rsidRPr="001B78D5" w:rsidRDefault="00521305" w:rsidP="00CE577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1AB5968E" w14:textId="77777777" w:rsidR="00521305" w:rsidRDefault="00521305" w:rsidP="00CE577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435D819B" w14:textId="77777777" w:rsidR="00521305" w:rsidRDefault="00521305" w:rsidP="00CE577E">
    <w:pPr>
      <w:pStyle w:val="Header"/>
    </w:pPr>
    <w:r>
      <w:rPr>
        <w:rStyle w:val="ReportTitleTitlePageChar"/>
      </w:rPr>
      <w:t>Literature review</w:t>
    </w:r>
    <w:r>
      <w:rPr>
        <w:noProof/>
        <w:lang w:eastAsia="en-AU"/>
      </w:rPr>
      <w:t xml:space="preserve"> </w:t>
    </w:r>
    <w:r>
      <w:rPr>
        <w:noProof/>
        <w:lang w:eastAsia="en-AU"/>
      </w:rPr>
      <w:drawing>
        <wp:anchor distT="0" distB="0" distL="0" distR="0" simplePos="0" relativeHeight="251754496" behindDoc="0" locked="0" layoutInCell="1" allowOverlap="1" wp14:anchorId="5EB2FE73" wp14:editId="13D86B94">
          <wp:simplePos x="0" y="0"/>
          <wp:positionH relativeFrom="column">
            <wp:posOffset>-914400</wp:posOffset>
          </wp:positionH>
          <wp:positionV relativeFrom="paragraph">
            <wp:posOffset>-2045335</wp:posOffset>
          </wp:positionV>
          <wp:extent cx="7559675" cy="10691495"/>
          <wp:effectExtent l="0" t="0" r="3175" b="0"/>
          <wp:wrapNone/>
          <wp:docPr id="38" name="Picture 3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491F8" w14:textId="77777777" w:rsidR="00521305" w:rsidRDefault="00831110">
    <w:pPr>
      <w:pStyle w:val="Header"/>
    </w:pPr>
    <w:r>
      <w:rPr>
        <w:noProof/>
      </w:rPr>
      <w:pict w14:anchorId="6AA65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margin-left:0;margin-top:0;width:598.8pt;height:37.4pt;rotation:315;z-index:-25155584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5CC5" w14:textId="77777777" w:rsidR="00521305" w:rsidRDefault="00831110">
    <w:pPr>
      <w:pStyle w:val="Header"/>
    </w:pPr>
    <w:r>
      <w:rPr>
        <w:noProof/>
      </w:rPr>
      <w:pict w14:anchorId="0AFC4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598.8pt;height:37.4pt;rotation:315;z-index:-25155481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12683" w14:textId="77777777" w:rsidR="00521305" w:rsidRDefault="005213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C450" w14:textId="43E727B3" w:rsidR="00521305" w:rsidRDefault="00831110">
    <w:pPr>
      <w:pStyle w:val="Header"/>
    </w:pPr>
    <w:r>
      <w:rPr>
        <w:noProof/>
      </w:rPr>
      <w:pict w14:anchorId="0BB54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597" o:spid="_x0000_s2057" type="#_x0000_t136" style="position:absolute;margin-left:0;margin-top:0;width:598.8pt;height:37.4pt;rotation:315;z-index:-25166540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ED6B7" w14:textId="77777777" w:rsidR="00521305" w:rsidRDefault="00831110">
    <w:pPr>
      <w:pStyle w:val="Header"/>
    </w:pPr>
    <w:r>
      <w:rPr>
        <w:noProof/>
      </w:rPr>
      <w:pict w14:anchorId="0B694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margin-left:0;margin-top:0;width:598.8pt;height:37.4pt;rotation:315;z-index:-25155379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322D" w14:textId="77777777" w:rsidR="00521305" w:rsidRDefault="0052130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4AFE3" w14:textId="77777777" w:rsidR="00521305" w:rsidRDefault="00521305">
    <w:pPr>
      <w:pStyle w:val="Header"/>
    </w:pPr>
    <w:r>
      <w:rPr>
        <w:noProof/>
        <w:lang w:eastAsia="en-AU"/>
      </w:rPr>
      <w:drawing>
        <wp:anchor distT="0" distB="0" distL="114300" distR="114300" simplePos="0" relativeHeight="251749376" behindDoc="1" locked="0" layoutInCell="0" allowOverlap="1" wp14:anchorId="70A3D285" wp14:editId="57D03CA3">
          <wp:simplePos x="0" y="0"/>
          <wp:positionH relativeFrom="page">
            <wp:align>left</wp:align>
          </wp:positionH>
          <wp:positionV relativeFrom="margin">
            <wp:posOffset>-902335</wp:posOffset>
          </wp:positionV>
          <wp:extent cx="7559040" cy="9489440"/>
          <wp:effectExtent l="0" t="0" r="3810" b="0"/>
          <wp:wrapNone/>
          <wp:docPr id="39" name="Picture 3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A17AE" w14:textId="77777777" w:rsidR="00521305" w:rsidRDefault="00831110">
    <w:pPr>
      <w:pStyle w:val="Header"/>
    </w:pPr>
    <w:r>
      <w:rPr>
        <w:noProof/>
      </w:rPr>
      <w:pict w14:anchorId="5FEDD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margin-left:0;margin-top:0;width:598.8pt;height:37.4pt;rotation:315;z-index:-25155276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3752" w14:textId="77777777" w:rsidR="00521305" w:rsidRDefault="0052130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1542" w14:textId="77777777" w:rsidR="00521305" w:rsidRDefault="00521305">
    <w:pPr>
      <w:pStyle w:val="Header"/>
    </w:pPr>
    <w:r>
      <w:rPr>
        <w:noProof/>
        <w:lang w:eastAsia="en-AU"/>
      </w:rPr>
      <mc:AlternateContent>
        <mc:Choice Requires="wps">
          <w:drawing>
            <wp:anchor distT="0" distB="0" distL="114300" distR="114300" simplePos="0" relativeHeight="251753472" behindDoc="0" locked="0" layoutInCell="1" allowOverlap="1" wp14:anchorId="6AB33106" wp14:editId="776C9E06">
              <wp:simplePos x="0" y="0"/>
              <wp:positionH relativeFrom="column">
                <wp:posOffset>5168900</wp:posOffset>
              </wp:positionH>
              <wp:positionV relativeFrom="paragraph">
                <wp:posOffset>323215</wp:posOffset>
              </wp:positionV>
              <wp:extent cx="762000" cy="733425"/>
              <wp:effectExtent l="19050" t="19050" r="19050" b="28575"/>
              <wp:wrapSquare wrapText="bothSides"/>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E5A62" w14:textId="77777777" w:rsidR="00521305" w:rsidRPr="0039587A" w:rsidRDefault="00521305" w:rsidP="00B176FB">
                          <w:pPr>
                            <w:spacing w:after="0" w:line="240" w:lineRule="auto"/>
                            <w:jc w:val="center"/>
                            <w:rPr>
                              <w:b/>
                              <w:color w:val="FFFFFF"/>
                              <w:sz w:val="40"/>
                              <w:szCs w:val="40"/>
                            </w:rPr>
                          </w:pPr>
                          <w:r w:rsidRPr="0039587A">
                            <w:rPr>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33106" id="_x0000_t120" coordsize="21600,21600" o:spt="120" path="m10800,qx,10800,10800,21600,21600,10800,10800,xe">
              <v:path gradientshapeok="t" o:connecttype="custom" o:connectlocs="10800,0;3163,3163;0,10800;3163,18437;10800,21600;18437,18437;21600,10800;18437,3163" textboxrect="3163,3163,18437,18437"/>
            </v:shapetype>
            <v:shape id="_x0000_s1086" type="#_x0000_t120" style="position:absolute;margin-left:407pt;margin-top:25.45pt;width:60pt;height:5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" fillcolor="#003d79" strokecolor="#003d79" strokeweight="2.5pt">
              <v:shadow color="#868686"/>
              <v:textbox>
                <w:txbxContent>
                  <w:p w14:paraId="31BE5A62" w14:textId="77777777" w:rsidR="00521305" w:rsidRPr="0039587A" w:rsidRDefault="00521305" w:rsidP="00B176FB">
                    <w:pPr>
                      <w:spacing w:after="0" w:line="240" w:lineRule="auto"/>
                      <w:jc w:val="center"/>
                      <w:rPr>
                        <w:b/>
                        <w:color w:val="FFFFFF"/>
                        <w:sz w:val="40"/>
                        <w:szCs w:val="40"/>
                      </w:rPr>
                    </w:pPr>
                    <w:r w:rsidRPr="0039587A">
                      <w:rPr>
                        <w:b/>
                        <w:color w:val="FFFFFF"/>
                        <w:sz w:val="40"/>
                        <w:szCs w:val="40"/>
                      </w:rPr>
                      <w:t>1</w:t>
                    </w:r>
                  </w:p>
                </w:txbxContent>
              </v:textbox>
              <w10:wrap type="square"/>
            </v:shape>
          </w:pict>
        </mc:Fallback>
      </mc:AlternateContent>
    </w:r>
    <w:r>
      <w:rPr>
        <w:noProof/>
        <w:lang w:eastAsia="en-AU"/>
      </w:rPr>
      <w:drawing>
        <wp:anchor distT="0" distB="0" distL="114300" distR="114300" simplePos="0" relativeHeight="251752448" behindDoc="1" locked="0" layoutInCell="0" allowOverlap="1" wp14:anchorId="1CF74D22" wp14:editId="5656DC0E">
          <wp:simplePos x="0" y="0"/>
          <wp:positionH relativeFrom="page">
            <wp:align>left</wp:align>
          </wp:positionH>
          <wp:positionV relativeFrom="margin">
            <wp:posOffset>-902335</wp:posOffset>
          </wp:positionV>
          <wp:extent cx="7559040" cy="9489440"/>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F9DFB" w14:textId="77777777" w:rsidR="00521305" w:rsidRDefault="00831110">
    <w:pPr>
      <w:pStyle w:val="Header"/>
    </w:pPr>
    <w:r>
      <w:rPr>
        <w:noProof/>
      </w:rPr>
      <w:pict w14:anchorId="43858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14" o:spid="_x0000_s2113" type="#_x0000_t136" style="position:absolute;margin-left:0;margin-top:0;width:598.8pt;height:37.4pt;rotation:315;z-index:-25155174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C281" w14:textId="77777777" w:rsidR="00521305" w:rsidRDefault="005213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7D83D" w14:textId="77777777" w:rsidR="00521305" w:rsidRPr="001C5D9E" w:rsidRDefault="00521305" w:rsidP="001C5D9E">
    <w:pPr>
      <w:pStyle w:val="Header"/>
      <w:tabs>
        <w:tab w:val="clear" w:pos="4513"/>
      </w:tabs>
    </w:pPr>
    <w:r w:rsidRPr="001C5D9E">
      <w:rPr>
        <w:noProof/>
        <w:lang w:eastAsia="en-AU"/>
      </w:rPr>
      <mc:AlternateContent>
        <mc:Choice Requires="wps">
          <w:drawing>
            <wp:anchor distT="0" distB="0" distL="114300" distR="114300" simplePos="0" relativeHeight="251751424" behindDoc="0" locked="0" layoutInCell="1" allowOverlap="1" wp14:anchorId="5D44E298" wp14:editId="36B5D56F">
              <wp:simplePos x="0" y="0"/>
              <wp:positionH relativeFrom="column">
                <wp:posOffset>5330825</wp:posOffset>
              </wp:positionH>
              <wp:positionV relativeFrom="paragraph">
                <wp:posOffset>264795</wp:posOffset>
              </wp:positionV>
              <wp:extent cx="762000" cy="733425"/>
              <wp:effectExtent l="19050" t="19050" r="19050" b="28575"/>
              <wp:wrapSquare wrapText="bothSides"/>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3933CE" w14:textId="77777777" w:rsidR="00521305" w:rsidRPr="0039587A" w:rsidRDefault="00521305" w:rsidP="001C5D9E">
                          <w:pPr>
                            <w:spacing w:after="0" w:line="240" w:lineRule="auto"/>
                            <w:jc w:val="center"/>
                            <w:rPr>
                              <w:b/>
                              <w:color w:val="FFFFFF"/>
                              <w:sz w:val="40"/>
                              <w:szCs w:val="40"/>
                            </w:rPr>
                          </w:pPr>
                          <w:r w:rsidRPr="0039587A">
                            <w:rPr>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4E298" id="_x0000_t120" coordsize="21600,21600" o:spt="120" path="m10800,qx,10800,10800,21600,21600,10800,10800,xe">
              <v:path gradientshapeok="t" o:connecttype="custom" o:connectlocs="10800,0;3163,3163;0,10800;3163,18437;10800,21600;18437,18437;21600,10800;18437,3163" textboxrect="3163,3163,18437,18437"/>
            </v:shapetype>
            <v:shape id="_x0000_s1087" type="#_x0000_t120" style="position:absolute;margin-left:419.75pt;margin-top:20.85pt;width:60pt;height:5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" fillcolor="#003d79" strokecolor="#003d79" strokeweight="2.5pt">
              <v:shadow color="#868686"/>
              <v:textbox>
                <w:txbxContent>
                  <w:p w14:paraId="443933CE" w14:textId="77777777" w:rsidR="00521305" w:rsidRPr="0039587A" w:rsidRDefault="00521305" w:rsidP="001C5D9E">
                    <w:pPr>
                      <w:spacing w:after="0" w:line="240" w:lineRule="auto"/>
                      <w:jc w:val="center"/>
                      <w:rPr>
                        <w:b/>
                        <w:color w:val="FFFFFF"/>
                        <w:sz w:val="40"/>
                        <w:szCs w:val="40"/>
                      </w:rPr>
                    </w:pPr>
                    <w:r w:rsidRPr="0039587A">
                      <w:rPr>
                        <w:b/>
                        <w:color w:val="FFFFFF"/>
                        <w:sz w:val="40"/>
                        <w:szCs w:val="40"/>
                      </w:rPr>
                      <w:t>2</w:t>
                    </w:r>
                  </w:p>
                </w:txbxContent>
              </v:textbox>
              <w10:wrap type="square"/>
            </v:shape>
          </w:pict>
        </mc:Fallback>
      </mc:AlternateContent>
    </w:r>
    <w:r w:rsidRPr="001C5D9E">
      <w:rPr>
        <w:noProof/>
        <w:lang w:eastAsia="en-AU"/>
      </w:rPr>
      <w:drawing>
        <wp:anchor distT="0" distB="0" distL="114300" distR="114300" simplePos="0" relativeHeight="251750400" behindDoc="1" locked="0" layoutInCell="0" allowOverlap="1" wp14:anchorId="78C9D298" wp14:editId="71A11829">
          <wp:simplePos x="0" y="0"/>
          <wp:positionH relativeFrom="page">
            <wp:posOffset>9525</wp:posOffset>
          </wp:positionH>
          <wp:positionV relativeFrom="margin">
            <wp:posOffset>-913130</wp:posOffset>
          </wp:positionV>
          <wp:extent cx="7559040" cy="948944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tab/>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29F02" w14:textId="77777777" w:rsidR="00521305" w:rsidRPr="001C5D9E" w:rsidRDefault="00521305" w:rsidP="001C5D9E">
    <w:pPr>
      <w:pStyle w:val="Header"/>
      <w:tabs>
        <w:tab w:val="clear" w:pos="4513"/>
      </w:tabs>
    </w:pPr>
    <w:r w:rsidRPr="001C5D9E">
      <w:rPr>
        <w:noProof/>
        <w:lang w:eastAsia="en-AU"/>
      </w:rPr>
      <mc:AlternateContent>
        <mc:Choice Requires="wps">
          <w:drawing>
            <wp:anchor distT="0" distB="0" distL="114300" distR="114300" simplePos="0" relativeHeight="251770880" behindDoc="0" locked="0" layoutInCell="1" allowOverlap="1" wp14:anchorId="4C28E257" wp14:editId="578010C6">
              <wp:simplePos x="0" y="0"/>
              <wp:positionH relativeFrom="column">
                <wp:posOffset>5330825</wp:posOffset>
              </wp:positionH>
              <wp:positionV relativeFrom="paragraph">
                <wp:posOffset>264795</wp:posOffset>
              </wp:positionV>
              <wp:extent cx="762000" cy="733425"/>
              <wp:effectExtent l="19050" t="19050" r="19050" b="28575"/>
              <wp:wrapSquare wrapText="bothSides"/>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AF241B" w14:textId="77777777" w:rsidR="00521305" w:rsidRPr="0039587A" w:rsidRDefault="00521305" w:rsidP="001C5D9E">
                          <w:pPr>
                            <w:spacing w:after="0" w:line="240" w:lineRule="auto"/>
                            <w:jc w:val="center"/>
                            <w:rPr>
                              <w:b/>
                              <w:color w:val="FFFFFF"/>
                              <w:sz w:val="40"/>
                              <w:szCs w:val="40"/>
                            </w:rPr>
                          </w:pPr>
                          <w:r w:rsidRPr="0039587A">
                            <w:rPr>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8E257" id="_x0000_t120" coordsize="21600,21600" o:spt="120" path="m10800,qx,10800,10800,21600,21600,10800,10800,xe">
              <v:path gradientshapeok="t" o:connecttype="custom" o:connectlocs="10800,0;3163,3163;0,10800;3163,18437;10800,21600;18437,18437;21600,10800;18437,3163" textboxrect="3163,3163,18437,18437"/>
            </v:shapetype>
            <v:shape id="_x0000_s1088" type="#_x0000_t120" style="position:absolute;margin-left:419.75pt;margin-top:20.85pt;width:60pt;height:5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i3lzUL4CAAChBQAADgAAAAAAAAAAAAAAAAAuAgAAZHJzL2Uyb0RvYy54bWxQSwECLQAUAAYACAAA&#10;ACEAmRZzpt8AAAAKAQAADwAAAAAAAAAAAAAAAAAYBQAAZHJzL2Rvd25yZXYueG1sUEsFBgAAAAAE&#10;AAQA8wAAACQGAAAAAA==&#10;" fillcolor="#003d79" strokecolor="#003d79" strokeweight="2.5pt">
              <v:shadow color="#868686"/>
              <v:textbox>
                <w:txbxContent>
                  <w:p w14:paraId="4FAF241B" w14:textId="77777777" w:rsidR="00521305" w:rsidRPr="0039587A" w:rsidRDefault="00521305" w:rsidP="001C5D9E">
                    <w:pPr>
                      <w:spacing w:after="0" w:line="240" w:lineRule="auto"/>
                      <w:jc w:val="center"/>
                      <w:rPr>
                        <w:b/>
                        <w:color w:val="FFFFFF"/>
                        <w:sz w:val="40"/>
                        <w:szCs w:val="40"/>
                      </w:rPr>
                    </w:pPr>
                    <w:r w:rsidRPr="0039587A">
                      <w:rPr>
                        <w:b/>
                        <w:color w:val="FFFFFF"/>
                        <w:sz w:val="40"/>
                        <w:szCs w:val="40"/>
                      </w:rPr>
                      <w:t>3</w:t>
                    </w:r>
                  </w:p>
                </w:txbxContent>
              </v:textbox>
              <w10:wrap type="square"/>
            </v:shape>
          </w:pict>
        </mc:Fallback>
      </mc:AlternateContent>
    </w:r>
    <w:r w:rsidRPr="001C5D9E">
      <w:rPr>
        <w:noProof/>
        <w:lang w:eastAsia="en-AU"/>
      </w:rPr>
      <w:drawing>
        <wp:anchor distT="0" distB="0" distL="114300" distR="114300" simplePos="0" relativeHeight="251769856" behindDoc="1" locked="0" layoutInCell="0" allowOverlap="1" wp14:anchorId="67106EB8" wp14:editId="7C746D2B">
          <wp:simplePos x="0" y="0"/>
          <wp:positionH relativeFrom="page">
            <wp:posOffset>9525</wp:posOffset>
          </wp:positionH>
          <wp:positionV relativeFrom="margin">
            <wp:posOffset>-913130</wp:posOffset>
          </wp:positionV>
          <wp:extent cx="7559040" cy="9489440"/>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F641" w14:textId="407FCD55" w:rsidR="00521305" w:rsidRDefault="005213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57AF" w14:textId="77777777" w:rsidR="00521305" w:rsidRPr="001C5D9E" w:rsidRDefault="00521305" w:rsidP="001C5D9E">
    <w:pPr>
      <w:pStyle w:val="Header"/>
      <w:tabs>
        <w:tab w:val="clear" w:pos="4513"/>
      </w:tabs>
    </w:pPr>
    <w:r w:rsidRPr="001C5D9E">
      <w:rPr>
        <w:noProof/>
        <w:lang w:eastAsia="en-AU"/>
      </w:rPr>
      <mc:AlternateContent>
        <mc:Choice Requires="wps">
          <w:drawing>
            <wp:anchor distT="0" distB="0" distL="114300" distR="114300" simplePos="0" relativeHeight="251768832" behindDoc="0" locked="0" layoutInCell="1" allowOverlap="1" wp14:anchorId="198D1325" wp14:editId="5424241E">
              <wp:simplePos x="0" y="0"/>
              <wp:positionH relativeFrom="column">
                <wp:posOffset>5330825</wp:posOffset>
              </wp:positionH>
              <wp:positionV relativeFrom="paragraph">
                <wp:posOffset>264795</wp:posOffset>
              </wp:positionV>
              <wp:extent cx="762000" cy="733425"/>
              <wp:effectExtent l="19050" t="19050" r="19050" b="28575"/>
              <wp:wrapSquare wrapText="bothSides"/>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275DED" w14:textId="77777777" w:rsidR="00521305" w:rsidRPr="0039587A" w:rsidRDefault="00521305" w:rsidP="001C5D9E">
                          <w:pPr>
                            <w:spacing w:after="0" w:line="240" w:lineRule="auto"/>
                            <w:jc w:val="center"/>
                            <w:rPr>
                              <w:b/>
                              <w:color w:val="FFFFFF"/>
                              <w:sz w:val="40"/>
                              <w:szCs w:val="40"/>
                            </w:rPr>
                          </w:pPr>
                          <w:r w:rsidRPr="0039587A">
                            <w:rPr>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D1325" id="_x0000_t120" coordsize="21600,21600" o:spt="120" path="m10800,qx,10800,10800,21600,21600,10800,10800,xe">
              <v:path gradientshapeok="t" o:connecttype="custom" o:connectlocs="10800,0;3163,3163;0,10800;3163,18437;10800,21600;18437,18437;21600,10800;18437,3163" textboxrect="3163,3163,18437,18437"/>
            </v:shapetype>
            <v:shape id="_x0000_s1089" type="#_x0000_t120" style="position:absolute;margin-left:419.75pt;margin-top:20.85pt;width:60pt;height:5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" fillcolor="#003d79" strokecolor="#003d79" strokeweight="2.5pt">
              <v:shadow color="#868686"/>
              <v:textbox>
                <w:txbxContent>
                  <w:p w14:paraId="2D275DED" w14:textId="77777777" w:rsidR="00521305" w:rsidRPr="0039587A" w:rsidRDefault="00521305" w:rsidP="001C5D9E">
                    <w:pPr>
                      <w:spacing w:after="0" w:line="240" w:lineRule="auto"/>
                      <w:jc w:val="center"/>
                      <w:rPr>
                        <w:b/>
                        <w:color w:val="FFFFFF"/>
                        <w:sz w:val="40"/>
                        <w:szCs w:val="40"/>
                      </w:rPr>
                    </w:pPr>
                    <w:r w:rsidRPr="0039587A">
                      <w:rPr>
                        <w:b/>
                        <w:color w:val="FFFFFF"/>
                        <w:sz w:val="40"/>
                        <w:szCs w:val="40"/>
                      </w:rPr>
                      <w:t>4</w:t>
                    </w:r>
                  </w:p>
                </w:txbxContent>
              </v:textbox>
              <w10:wrap type="square"/>
            </v:shape>
          </w:pict>
        </mc:Fallback>
      </mc:AlternateContent>
    </w:r>
    <w:r w:rsidRPr="001C5D9E">
      <w:rPr>
        <w:noProof/>
        <w:lang w:eastAsia="en-AU"/>
      </w:rPr>
      <w:drawing>
        <wp:anchor distT="0" distB="0" distL="114300" distR="114300" simplePos="0" relativeHeight="251767808" behindDoc="1" locked="0" layoutInCell="0" allowOverlap="1" wp14:anchorId="098A7D27" wp14:editId="20EFE403">
          <wp:simplePos x="0" y="0"/>
          <wp:positionH relativeFrom="page">
            <wp:posOffset>9525</wp:posOffset>
          </wp:positionH>
          <wp:positionV relativeFrom="margin">
            <wp:posOffset>-913130</wp:posOffset>
          </wp:positionV>
          <wp:extent cx="7559040" cy="948944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tab/>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4B980" w14:textId="77777777" w:rsidR="00521305" w:rsidRDefault="00831110">
    <w:pPr>
      <w:pStyle w:val="Header"/>
    </w:pPr>
    <w:r>
      <w:rPr>
        <w:noProof/>
      </w:rPr>
      <w:pict w14:anchorId="74C78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32" o:spid="_x0000_s2114" type="#_x0000_t136" style="position:absolute;margin-left:0;margin-top:0;width:598.8pt;height:37.4pt;rotation:315;z-index:-25155072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7DDD4" w14:textId="77777777" w:rsidR="00521305" w:rsidRPr="00B23FE8" w:rsidRDefault="00521305" w:rsidP="00B23FE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FC11" w14:textId="77777777" w:rsidR="00521305" w:rsidRPr="001C5D9E" w:rsidRDefault="00521305" w:rsidP="001C5D9E">
    <w:pPr>
      <w:pStyle w:val="Header"/>
    </w:pPr>
    <w:r w:rsidRPr="001C5D9E">
      <w:rPr>
        <w:noProof/>
        <w:lang w:eastAsia="en-AU"/>
      </w:rPr>
      <mc:AlternateContent>
        <mc:Choice Requires="wps">
          <w:drawing>
            <wp:anchor distT="0" distB="0" distL="114300" distR="114300" simplePos="0" relativeHeight="251771904" behindDoc="0" locked="0" layoutInCell="1" allowOverlap="1" wp14:anchorId="2E0B0C53" wp14:editId="78E49FB2">
              <wp:simplePos x="0" y="0"/>
              <wp:positionH relativeFrom="column">
                <wp:posOffset>5467350</wp:posOffset>
              </wp:positionH>
              <wp:positionV relativeFrom="paragraph">
                <wp:posOffset>283845</wp:posOffset>
              </wp:positionV>
              <wp:extent cx="762000" cy="733425"/>
              <wp:effectExtent l="19050" t="19050" r="19050" b="28575"/>
              <wp:wrapSquare wrapText="bothSides"/>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13BA0A" w14:textId="77777777" w:rsidR="00521305" w:rsidRPr="0039587A" w:rsidRDefault="00521305" w:rsidP="00521305">
                          <w:pPr>
                            <w:spacing w:after="0" w:line="240" w:lineRule="auto"/>
                            <w:jc w:val="center"/>
                            <w:rPr>
                              <w:b/>
                              <w:color w:val="FFFFFF"/>
                              <w:sz w:val="40"/>
                              <w:szCs w:val="40"/>
                            </w:rPr>
                          </w:pPr>
                          <w:r w:rsidRPr="0039587A">
                            <w:rPr>
                              <w:b/>
                              <w:color w:val="FFFFFF"/>
                              <w:sz w:val="40"/>
                              <w:szCs w:val="4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B0C53" id="_x0000_t120" coordsize="21600,21600" o:spt="120" path="m10800,qx,10800,10800,21600,21600,10800,10800,xe">
              <v:path gradientshapeok="t" o:connecttype="custom" o:connectlocs="10800,0;3163,3163;0,10800;3163,18437;10800,21600;18437,18437;21600,10800;18437,3163" textboxrect="3163,3163,18437,18437"/>
            </v:shapetype>
            <v:shape id="_x0000_s1090" type="#_x0000_t120" style="position:absolute;margin-left:430.5pt;margin-top:22.35pt;width:60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" fillcolor="#003d79" strokecolor="#003d79" strokeweight="2.5pt">
              <v:shadow color="#868686"/>
              <v:textbox>
                <w:txbxContent>
                  <w:p w14:paraId="0D13BA0A" w14:textId="77777777" w:rsidR="00521305" w:rsidRPr="0039587A" w:rsidRDefault="00521305" w:rsidP="00521305">
                    <w:pPr>
                      <w:spacing w:after="0" w:line="240" w:lineRule="auto"/>
                      <w:jc w:val="center"/>
                      <w:rPr>
                        <w:b/>
                        <w:color w:val="FFFFFF"/>
                        <w:sz w:val="40"/>
                        <w:szCs w:val="40"/>
                      </w:rPr>
                    </w:pPr>
                    <w:r w:rsidRPr="0039587A">
                      <w:rPr>
                        <w:b/>
                        <w:color w:val="FFFFFF"/>
                        <w:sz w:val="40"/>
                        <w:szCs w:val="40"/>
                      </w:rPr>
                      <w:t>5</w:t>
                    </w:r>
                  </w:p>
                </w:txbxContent>
              </v:textbox>
              <w10:wrap type="square"/>
            </v:shape>
          </w:pict>
        </mc:Fallback>
      </mc:AlternateContent>
    </w:r>
    <w:r w:rsidRPr="001C5D9E">
      <w:rPr>
        <w:noProof/>
        <w:lang w:eastAsia="en-AU"/>
      </w:rPr>
      <w:drawing>
        <wp:anchor distT="0" distB="0" distL="114300" distR="114300" simplePos="0" relativeHeight="251755520" behindDoc="1" locked="0" layoutInCell="0" allowOverlap="1" wp14:anchorId="75CF5DCE" wp14:editId="2F4EA8A4">
          <wp:simplePos x="0" y="0"/>
          <wp:positionH relativeFrom="page">
            <wp:posOffset>9525</wp:posOffset>
          </wp:positionH>
          <wp:positionV relativeFrom="margin">
            <wp:posOffset>-913130</wp:posOffset>
          </wp:positionV>
          <wp:extent cx="7559040" cy="9489440"/>
          <wp:effectExtent l="0" t="0" r="381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9552E" w14:textId="77777777" w:rsidR="00521305" w:rsidRPr="001C5D9E" w:rsidRDefault="00521305" w:rsidP="001C5D9E">
    <w:pPr>
      <w:pStyle w:val="Header"/>
    </w:pPr>
    <w:r w:rsidRPr="001C5D9E">
      <w:rPr>
        <w:noProof/>
        <w:lang w:eastAsia="en-AU"/>
      </w:rPr>
      <w:drawing>
        <wp:anchor distT="0" distB="0" distL="114300" distR="114300" simplePos="0" relativeHeight="251772928" behindDoc="1" locked="0" layoutInCell="0" allowOverlap="1" wp14:anchorId="77A85858" wp14:editId="10520DBA">
          <wp:simplePos x="0" y="0"/>
          <wp:positionH relativeFrom="page">
            <wp:posOffset>9525</wp:posOffset>
          </wp:positionH>
          <wp:positionV relativeFrom="margin">
            <wp:posOffset>-913130</wp:posOffset>
          </wp:positionV>
          <wp:extent cx="7559040" cy="9489440"/>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757A2" w14:textId="77777777" w:rsidR="00521305" w:rsidRDefault="00831110">
    <w:pPr>
      <w:pStyle w:val="Header"/>
    </w:pPr>
    <w:r>
      <w:rPr>
        <w:noProof/>
      </w:rPr>
      <w:pict w14:anchorId="25290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0;margin-top:0;width:598.8pt;height:37.4pt;rotation:315;z-index:-25154969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7D0CE" w14:textId="77777777" w:rsidR="00521305" w:rsidRDefault="0052130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D6FA" w14:textId="77777777" w:rsidR="00521305" w:rsidRDefault="00521305" w:rsidP="00C16002">
    <w:pPr>
      <w:pStyle w:val="Header"/>
    </w:pPr>
    <w:r w:rsidRPr="001C5D9E">
      <w:rPr>
        <w:noProof/>
        <w:lang w:eastAsia="en-AU"/>
      </w:rPr>
      <w:drawing>
        <wp:anchor distT="0" distB="0" distL="114300" distR="114300" simplePos="0" relativeHeight="251756544" behindDoc="1" locked="0" layoutInCell="0" allowOverlap="1" wp14:anchorId="36E53F75" wp14:editId="13C04FC3">
          <wp:simplePos x="0" y="0"/>
          <wp:positionH relativeFrom="page">
            <wp:posOffset>0</wp:posOffset>
          </wp:positionH>
          <wp:positionV relativeFrom="margin">
            <wp:posOffset>-903605</wp:posOffset>
          </wp:positionV>
          <wp:extent cx="10696575" cy="5688965"/>
          <wp:effectExtent l="0" t="0" r="9525" b="698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56889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B4A80" w14:textId="77777777" w:rsidR="00521305" w:rsidRDefault="00831110">
    <w:pPr>
      <w:pStyle w:val="Header"/>
    </w:pPr>
    <w:r>
      <w:rPr>
        <w:noProof/>
      </w:rPr>
      <w:pict w14:anchorId="77C79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7" type="#_x0000_t136" style="position:absolute;margin-left:0;margin-top:0;width:598.8pt;height:37.4pt;rotation:315;z-index:-25153126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2E47" w14:textId="77777777" w:rsidR="00521305" w:rsidRDefault="00831110">
    <w:pPr>
      <w:pStyle w:val="Header"/>
    </w:pPr>
    <w:r>
      <w:rPr>
        <w:noProof/>
      </w:rPr>
      <w:pict w14:anchorId="3F27F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8" type="#_x0000_t136" style="position:absolute;margin-left:0;margin-top:0;width:598.8pt;height:37.4pt;rotation:315;z-index:-25153024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689A" w14:textId="095B4CA2" w:rsidR="00521305" w:rsidRDefault="00831110">
    <w:pPr>
      <w:pStyle w:val="Header"/>
    </w:pPr>
    <w:r>
      <w:rPr>
        <w:noProof/>
      </w:rPr>
      <w:pict w14:anchorId="05618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599" o:spid="_x0000_s2059" type="#_x0000_t136" style="position:absolute;margin-left:0;margin-top:0;width:598.8pt;height:37.4pt;rotation:315;z-index:-25166336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7C4DD" w14:textId="77777777" w:rsidR="00521305" w:rsidRDefault="00831110">
    <w:pPr>
      <w:pStyle w:val="Header"/>
    </w:pPr>
    <w:r>
      <w:rPr>
        <w:noProof/>
      </w:rPr>
      <w:pict w14:anchorId="7C129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margin-left:0;margin-top:0;width:598.8pt;height:37.4pt;rotation:315;z-index:-25153228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p w14:paraId="2D1815DF" w14:textId="77777777" w:rsidR="00521305" w:rsidRPr="001B78D5" w:rsidRDefault="00521305" w:rsidP="00CE577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100BDFB6" w14:textId="77777777" w:rsidR="00521305" w:rsidRDefault="00521305" w:rsidP="00CE577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3291F879" w14:textId="77777777" w:rsidR="00521305" w:rsidRDefault="00521305" w:rsidP="00CE577E">
    <w:pPr>
      <w:pStyle w:val="Header"/>
    </w:pPr>
    <w:r>
      <w:rPr>
        <w:rStyle w:val="ReportTitleTitlePageChar"/>
      </w:rPr>
      <w:t>Literature review</w:t>
    </w:r>
    <w:r>
      <w:rPr>
        <w:noProof/>
        <w:lang w:eastAsia="en-AU"/>
      </w:rPr>
      <w:t xml:space="preserve"> </w:t>
    </w:r>
    <w:r>
      <w:rPr>
        <w:noProof/>
        <w:lang w:eastAsia="en-AU"/>
      </w:rPr>
      <w:drawing>
        <wp:anchor distT="0" distB="0" distL="0" distR="0" simplePos="0" relativeHeight="251774976" behindDoc="0" locked="0" layoutInCell="1" allowOverlap="1" wp14:anchorId="034832F0" wp14:editId="03D6D305">
          <wp:simplePos x="0" y="0"/>
          <wp:positionH relativeFrom="column">
            <wp:posOffset>-914400</wp:posOffset>
          </wp:positionH>
          <wp:positionV relativeFrom="paragraph">
            <wp:posOffset>-2045335</wp:posOffset>
          </wp:positionV>
          <wp:extent cx="7559675" cy="10691495"/>
          <wp:effectExtent l="0" t="0" r="3175" b="0"/>
          <wp:wrapNone/>
          <wp:docPr id="101" name="Picture 10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583C" w14:textId="77777777" w:rsidR="00521305" w:rsidRDefault="00831110">
    <w:pPr>
      <w:pStyle w:val="Header"/>
    </w:pPr>
    <w:r>
      <w:rPr>
        <w:noProof/>
      </w:rPr>
      <w:pict w14:anchorId="6F96F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9" type="#_x0000_t136" style="position:absolute;margin-left:0;margin-top:0;width:598.8pt;height:37.4pt;rotation:315;z-index:-25152921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6697F" w14:textId="77777777" w:rsidR="00521305" w:rsidRDefault="00831110">
    <w:pPr>
      <w:pStyle w:val="Header"/>
    </w:pPr>
    <w:r>
      <w:rPr>
        <w:noProof/>
      </w:rPr>
      <w:pict w14:anchorId="0E14B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0" type="#_x0000_t136" style="position:absolute;margin-left:0;margin-top:0;width:598.8pt;height:37.4pt;rotation:315;z-index:-25152819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EA99" w14:textId="77777777" w:rsidR="00521305" w:rsidRDefault="0052130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D8123" w14:textId="77777777" w:rsidR="00521305" w:rsidRDefault="00831110">
    <w:pPr>
      <w:pStyle w:val="Header"/>
    </w:pPr>
    <w:r>
      <w:rPr>
        <w:noProof/>
      </w:rPr>
      <w:pict w14:anchorId="4BEA4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1" type="#_x0000_t136" style="position:absolute;margin-left:0;margin-top:0;width:598.8pt;height:37.4pt;rotation:315;z-index:-25152716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00DD7" w14:textId="77777777" w:rsidR="00521305" w:rsidRPr="00FC14CC" w:rsidRDefault="00521305" w:rsidP="00E42A2F">
    <w:pPr>
      <w:pStyle w:val="Header"/>
      <w:tabs>
        <w:tab w:val="left" w:pos="2580"/>
        <w:tab w:val="left" w:pos="2985"/>
      </w:tabs>
      <w:spacing w:after="120" w:line="276" w:lineRule="auto"/>
      <w:rPr>
        <w:rFonts w:ascii="Century Gothic" w:hAnsi="Century Gothic"/>
        <w:b/>
        <w:bCs/>
        <w:color w:val="1F497D"/>
        <w:szCs w:val="28"/>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1CA96" w14:textId="77777777" w:rsidR="00521305" w:rsidRPr="009551C7" w:rsidRDefault="00521305" w:rsidP="00CE577E">
    <w:pPr>
      <w:pStyle w:val="Header"/>
    </w:pPr>
    <w:r>
      <w:rPr>
        <w:noProof/>
        <w:lang w:eastAsia="en-AU"/>
      </w:rPr>
      <w:drawing>
        <wp:anchor distT="0" distB="0" distL="114300" distR="114300" simplePos="0" relativeHeight="251782144" behindDoc="1" locked="0" layoutInCell="0" allowOverlap="1" wp14:anchorId="636A1246" wp14:editId="774C05BF">
          <wp:simplePos x="0" y="0"/>
          <wp:positionH relativeFrom="margin">
            <wp:posOffset>-904875</wp:posOffset>
          </wp:positionH>
          <wp:positionV relativeFrom="margin">
            <wp:posOffset>-903605</wp:posOffset>
          </wp:positionV>
          <wp:extent cx="7559040" cy="9489440"/>
          <wp:effectExtent l="0" t="0" r="3810" b="0"/>
          <wp:wrapNone/>
          <wp:docPr id="102" name="Picture 10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827C" w14:textId="77777777" w:rsidR="00521305" w:rsidRDefault="00831110">
    <w:pPr>
      <w:pStyle w:val="Header"/>
    </w:pPr>
    <w:r>
      <w:rPr>
        <w:noProof/>
      </w:rPr>
      <w:pict w14:anchorId="75E57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margin-left:0;margin-top:0;width:598.8pt;height:37.4pt;rotation:315;z-index:-25152614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927F" w14:textId="77777777" w:rsidR="00521305" w:rsidRDefault="0052130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988BD" w14:textId="77777777" w:rsidR="00521305" w:rsidRDefault="00521305">
    <w:pPr>
      <w:pStyle w:val="Header"/>
    </w:pPr>
    <w:r>
      <w:rPr>
        <w:noProof/>
        <w:lang w:eastAsia="en-AU"/>
      </w:rPr>
      <w:drawing>
        <wp:anchor distT="0" distB="0" distL="114300" distR="114300" simplePos="0" relativeHeight="251776000" behindDoc="1" locked="0" layoutInCell="0" allowOverlap="1" wp14:anchorId="3A856ABF" wp14:editId="2B5CECB1">
          <wp:simplePos x="0" y="0"/>
          <wp:positionH relativeFrom="page">
            <wp:align>left</wp:align>
          </wp:positionH>
          <wp:positionV relativeFrom="margin">
            <wp:posOffset>-902335</wp:posOffset>
          </wp:positionV>
          <wp:extent cx="7559040" cy="9489440"/>
          <wp:effectExtent l="0" t="0" r="3810" b="0"/>
          <wp:wrapNone/>
          <wp:docPr id="103" name="Picture 10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2DC7" w14:textId="49E9BE19" w:rsidR="00521305" w:rsidRPr="00FC14CC" w:rsidRDefault="00521305" w:rsidP="00E42A2F">
    <w:pPr>
      <w:pStyle w:val="Header"/>
      <w:tabs>
        <w:tab w:val="left" w:pos="2580"/>
        <w:tab w:val="left" w:pos="2985"/>
      </w:tabs>
      <w:spacing w:after="120" w:line="276" w:lineRule="auto"/>
      <w:rPr>
        <w:rFonts w:ascii="Century Gothic" w:hAnsi="Century Gothic"/>
        <w:b/>
        <w:bCs/>
        <w:color w:val="1F497D"/>
        <w:szCs w:val="28"/>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1361F" w14:textId="77777777" w:rsidR="00521305" w:rsidRDefault="00831110">
    <w:pPr>
      <w:pStyle w:val="Header"/>
    </w:pPr>
    <w:r>
      <w:rPr>
        <w:noProof/>
      </w:rPr>
      <w:pict w14:anchorId="7F360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05" o:spid="_x0000_s2123" type="#_x0000_t136" style="position:absolute;margin-left:0;margin-top:0;width:598.8pt;height:37.4pt;rotation:315;z-index:-25152512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D0603" w14:textId="77777777" w:rsidR="00521305" w:rsidRDefault="0052130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E51B3" w14:textId="77777777" w:rsidR="00521305" w:rsidRDefault="00521305">
    <w:pPr>
      <w:pStyle w:val="Header"/>
    </w:pPr>
    <w:r>
      <w:rPr>
        <w:noProof/>
        <w:lang w:eastAsia="en-AU"/>
      </w:rPr>
      <mc:AlternateContent>
        <mc:Choice Requires="wps">
          <w:drawing>
            <wp:anchor distT="0" distB="0" distL="114300" distR="114300" simplePos="0" relativeHeight="251778048" behindDoc="0" locked="0" layoutInCell="1" allowOverlap="1" wp14:anchorId="26F10AD5" wp14:editId="083960A1">
              <wp:simplePos x="0" y="0"/>
              <wp:positionH relativeFrom="column">
                <wp:posOffset>5168900</wp:posOffset>
              </wp:positionH>
              <wp:positionV relativeFrom="paragraph">
                <wp:posOffset>323215</wp:posOffset>
              </wp:positionV>
              <wp:extent cx="762000" cy="733425"/>
              <wp:effectExtent l="19050" t="19050" r="19050" b="28575"/>
              <wp:wrapSquare wrapText="bothSides"/>
              <wp:docPr id="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CD6070"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10AD5" id="_x0000_t120" coordsize="21600,21600" o:spt="120" path="m10800,qx,10800,10800,21600,21600,10800,10800,xe">
              <v:path gradientshapeok="t" o:connecttype="custom" o:connectlocs="10800,0;3163,3163;0,10800;3163,18437;10800,21600;18437,18437;21600,10800;18437,3163" textboxrect="3163,3163,18437,18437"/>
            </v:shapetype>
            <v:shape id="_x0000_s1091" type="#_x0000_t120" style="position:absolute;margin-left:407pt;margin-top:25.45pt;width:60pt;height:5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" fillcolor="#003d79" strokecolor="#003d79" strokeweight="2.5pt">
              <v:shadow color="#868686"/>
              <v:textbox>
                <w:txbxContent>
                  <w:p w14:paraId="79CD6070"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1</w:t>
                    </w:r>
                  </w:p>
                </w:txbxContent>
              </v:textbox>
              <w10:wrap type="square"/>
            </v:shape>
          </w:pict>
        </mc:Fallback>
      </mc:AlternateContent>
    </w:r>
    <w:r>
      <w:rPr>
        <w:noProof/>
        <w:lang w:eastAsia="en-AU"/>
      </w:rPr>
      <w:drawing>
        <wp:anchor distT="0" distB="0" distL="114300" distR="114300" simplePos="0" relativeHeight="251777024" behindDoc="1" locked="0" layoutInCell="0" allowOverlap="1" wp14:anchorId="1C3CAC66" wp14:editId="5EAE8976">
          <wp:simplePos x="0" y="0"/>
          <wp:positionH relativeFrom="page">
            <wp:align>left</wp:align>
          </wp:positionH>
          <wp:positionV relativeFrom="margin">
            <wp:posOffset>-902335</wp:posOffset>
          </wp:positionV>
          <wp:extent cx="7559040" cy="9489440"/>
          <wp:effectExtent l="0" t="0" r="381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AAC11" w14:textId="77777777" w:rsidR="00521305" w:rsidRDefault="00521305">
    <w:pPr>
      <w:pStyle w:val="Header"/>
    </w:pPr>
    <w:r>
      <w:rPr>
        <w:noProof/>
        <w:lang w:eastAsia="en-AU"/>
      </w:rPr>
      <mc:AlternateContent>
        <mc:Choice Requires="wps">
          <w:drawing>
            <wp:anchor distT="0" distB="0" distL="114300" distR="114300" simplePos="0" relativeHeight="251800576" behindDoc="0" locked="0" layoutInCell="1" allowOverlap="1" wp14:anchorId="68DC6DD9" wp14:editId="6B6F12F1">
              <wp:simplePos x="0" y="0"/>
              <wp:positionH relativeFrom="column">
                <wp:posOffset>5168900</wp:posOffset>
              </wp:positionH>
              <wp:positionV relativeFrom="paragraph">
                <wp:posOffset>323215</wp:posOffset>
              </wp:positionV>
              <wp:extent cx="762000" cy="733425"/>
              <wp:effectExtent l="19050" t="19050" r="19050" b="28575"/>
              <wp:wrapSquare wrapText="bothSides"/>
              <wp:docPr id="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385456"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C6DD9" id="_x0000_t120" coordsize="21600,21600" o:spt="120" path="m10800,qx,10800,10800,21600,21600,10800,10800,xe">
              <v:path gradientshapeok="t" o:connecttype="custom" o:connectlocs="10800,0;3163,3163;0,10800;3163,18437;10800,21600;18437,18437;21600,10800;18437,3163" textboxrect="3163,3163,18437,18437"/>
            </v:shapetype>
            <v:shape id="_x0000_s1092" type="#_x0000_t120" style="position:absolute;margin-left:407pt;margin-top:25.45pt;width:60pt;height:5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" fillcolor="#003d79" strokecolor="#003d79" strokeweight="2.5pt">
              <v:shadow color="#868686"/>
              <v:textbox>
                <w:txbxContent>
                  <w:p w14:paraId="44385456"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2</w:t>
                    </w:r>
                  </w:p>
                </w:txbxContent>
              </v:textbox>
              <w10:wrap type="square"/>
            </v:shape>
          </w:pict>
        </mc:Fallback>
      </mc:AlternateContent>
    </w:r>
    <w:r>
      <w:rPr>
        <w:noProof/>
        <w:lang w:eastAsia="en-AU"/>
      </w:rPr>
      <w:drawing>
        <wp:anchor distT="0" distB="0" distL="114300" distR="114300" simplePos="0" relativeHeight="251799552" behindDoc="1" locked="0" layoutInCell="0" allowOverlap="1" wp14:anchorId="1F36A415" wp14:editId="0E418F46">
          <wp:simplePos x="0" y="0"/>
          <wp:positionH relativeFrom="page">
            <wp:align>left</wp:align>
          </wp:positionH>
          <wp:positionV relativeFrom="margin">
            <wp:posOffset>-902335</wp:posOffset>
          </wp:positionV>
          <wp:extent cx="7559040" cy="9489440"/>
          <wp:effectExtent l="0" t="0" r="381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EF313" w14:textId="77777777" w:rsidR="00521305" w:rsidRDefault="00521305">
    <w:pPr>
      <w:pStyle w:val="Header"/>
    </w:pPr>
    <w:r>
      <w:rPr>
        <w:noProof/>
        <w:lang w:eastAsia="en-AU"/>
      </w:rPr>
      <mc:AlternateContent>
        <mc:Choice Requires="wps">
          <w:drawing>
            <wp:anchor distT="0" distB="0" distL="114300" distR="114300" simplePos="0" relativeHeight="251796480" behindDoc="0" locked="0" layoutInCell="1" allowOverlap="1" wp14:anchorId="04223B83" wp14:editId="3051C437">
              <wp:simplePos x="0" y="0"/>
              <wp:positionH relativeFrom="column">
                <wp:posOffset>5168900</wp:posOffset>
              </wp:positionH>
              <wp:positionV relativeFrom="paragraph">
                <wp:posOffset>323215</wp:posOffset>
              </wp:positionV>
              <wp:extent cx="762000" cy="733425"/>
              <wp:effectExtent l="19050" t="19050" r="19050" b="28575"/>
              <wp:wrapSquare wrapText="bothSides"/>
              <wp:docPr id="7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2ED167"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23B83" id="_x0000_t120" coordsize="21600,21600" o:spt="120" path="m10800,qx,10800,10800,21600,21600,10800,10800,xe">
              <v:path gradientshapeok="t" o:connecttype="custom" o:connectlocs="10800,0;3163,3163;0,10800;3163,18437;10800,21600;18437,18437;21600,10800;18437,3163" textboxrect="3163,3163,18437,18437"/>
            </v:shapetype>
            <v:shape id="_x0000_s1093" type="#_x0000_t120" style="position:absolute;margin-left:407pt;margin-top:25.45pt;width:60pt;height:5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" fillcolor="#003d79" strokecolor="#003d79" strokeweight="2.5pt">
              <v:shadow color="#868686"/>
              <v:textbox>
                <w:txbxContent>
                  <w:p w14:paraId="152ED167"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3</w:t>
                    </w:r>
                  </w:p>
                </w:txbxContent>
              </v:textbox>
              <w10:wrap type="square"/>
            </v:shape>
          </w:pict>
        </mc:Fallback>
      </mc:AlternateContent>
    </w:r>
    <w:r>
      <w:rPr>
        <w:noProof/>
        <w:lang w:eastAsia="en-AU"/>
      </w:rPr>
      <w:drawing>
        <wp:anchor distT="0" distB="0" distL="114300" distR="114300" simplePos="0" relativeHeight="251795456" behindDoc="1" locked="0" layoutInCell="0" allowOverlap="1" wp14:anchorId="4BE15197" wp14:editId="1E03DF01">
          <wp:simplePos x="0" y="0"/>
          <wp:positionH relativeFrom="page">
            <wp:align>left</wp:align>
          </wp:positionH>
          <wp:positionV relativeFrom="margin">
            <wp:posOffset>-902335</wp:posOffset>
          </wp:positionV>
          <wp:extent cx="7559040" cy="9489440"/>
          <wp:effectExtent l="0" t="0" r="381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10427" w14:textId="77777777" w:rsidR="00521305" w:rsidRDefault="00521305">
    <w:pPr>
      <w:pStyle w:val="Header"/>
    </w:pPr>
    <w:r>
      <w:rPr>
        <w:noProof/>
        <w:lang w:eastAsia="en-AU"/>
      </w:rPr>
      <mc:AlternateContent>
        <mc:Choice Requires="wps">
          <w:drawing>
            <wp:anchor distT="0" distB="0" distL="114300" distR="114300" simplePos="0" relativeHeight="251802624" behindDoc="0" locked="0" layoutInCell="1" allowOverlap="1" wp14:anchorId="158EF857" wp14:editId="28D9E651">
              <wp:simplePos x="0" y="0"/>
              <wp:positionH relativeFrom="column">
                <wp:posOffset>5168900</wp:posOffset>
              </wp:positionH>
              <wp:positionV relativeFrom="paragraph">
                <wp:posOffset>323215</wp:posOffset>
              </wp:positionV>
              <wp:extent cx="762000" cy="733425"/>
              <wp:effectExtent l="19050" t="19050" r="19050" b="28575"/>
              <wp:wrapSquare wrapText="bothSides"/>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6B6B63"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EF857" id="_x0000_t120" coordsize="21600,21600" o:spt="120" path="m10800,qx,10800,10800,21600,21600,10800,10800,xe">
              <v:path gradientshapeok="t" o:connecttype="custom" o:connectlocs="10800,0;3163,3163;0,10800;3163,18437;10800,21600;18437,18437;21600,10800;18437,3163" textboxrect="3163,3163,18437,18437"/>
            </v:shapetype>
            <v:shape id="_x0000_s1094" type="#_x0000_t120" style="position:absolute;margin-left:407pt;margin-top:25.45pt;width:60pt;height:5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" fillcolor="#003d79" strokecolor="#003d79" strokeweight="2.5pt">
              <v:shadow color="#868686"/>
              <v:textbox>
                <w:txbxContent>
                  <w:p w14:paraId="436B6B63" w14:textId="77777777" w:rsidR="00521305" w:rsidRPr="00D824C0" w:rsidRDefault="00521305" w:rsidP="00B176FB">
                    <w:pPr>
                      <w:spacing w:after="0" w:line="240" w:lineRule="auto"/>
                      <w:jc w:val="center"/>
                      <w:rPr>
                        <w:b/>
                        <w:color w:val="FFFFFF"/>
                        <w:sz w:val="40"/>
                        <w:szCs w:val="40"/>
                      </w:rPr>
                    </w:pPr>
                    <w:r w:rsidRPr="00D824C0">
                      <w:rPr>
                        <w:b/>
                        <w:color w:val="FFFFFF"/>
                        <w:sz w:val="40"/>
                        <w:szCs w:val="40"/>
                      </w:rPr>
                      <w:t>4</w:t>
                    </w:r>
                  </w:p>
                </w:txbxContent>
              </v:textbox>
              <w10:wrap type="square"/>
            </v:shape>
          </w:pict>
        </mc:Fallback>
      </mc:AlternateContent>
    </w:r>
    <w:r>
      <w:rPr>
        <w:noProof/>
        <w:lang w:eastAsia="en-AU"/>
      </w:rPr>
      <w:drawing>
        <wp:anchor distT="0" distB="0" distL="114300" distR="114300" simplePos="0" relativeHeight="251801600" behindDoc="1" locked="0" layoutInCell="0" allowOverlap="1" wp14:anchorId="4A657A8E" wp14:editId="321B7E37">
          <wp:simplePos x="0" y="0"/>
          <wp:positionH relativeFrom="page">
            <wp:align>left</wp:align>
          </wp:positionH>
          <wp:positionV relativeFrom="margin">
            <wp:posOffset>-902335</wp:posOffset>
          </wp:positionV>
          <wp:extent cx="7559040" cy="9489440"/>
          <wp:effectExtent l="0" t="0" r="381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24780" w14:textId="77777777" w:rsidR="00521305" w:rsidRDefault="00831110">
    <w:pPr>
      <w:pStyle w:val="Header"/>
    </w:pPr>
    <w:r>
      <w:rPr>
        <w:noProof/>
      </w:rPr>
      <w:pict w14:anchorId="56604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598.8pt;height:37.4pt;rotation:315;z-index:-25152409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75CFA" w14:textId="77777777" w:rsidR="00521305" w:rsidRPr="001C5D9E" w:rsidRDefault="00521305" w:rsidP="001C5D9E">
    <w:pPr>
      <w:pStyle w:val="Header"/>
      <w:tabs>
        <w:tab w:val="clear" w:pos="4513"/>
      </w:tabs>
    </w:pPr>
    <w:r w:rsidRPr="001C5D9E">
      <w:rPr>
        <w:noProof/>
        <w:lang w:eastAsia="en-AU"/>
      </w:rPr>
      <mc:AlternateContent>
        <mc:Choice Requires="wps">
          <w:drawing>
            <wp:anchor distT="0" distB="0" distL="114300" distR="114300" simplePos="0" relativeHeight="251783168" behindDoc="0" locked="0" layoutInCell="1" allowOverlap="1" wp14:anchorId="63C5DBA5" wp14:editId="388836B6">
              <wp:simplePos x="0" y="0"/>
              <wp:positionH relativeFrom="column">
                <wp:posOffset>5419725</wp:posOffset>
              </wp:positionH>
              <wp:positionV relativeFrom="paragraph">
                <wp:posOffset>275590</wp:posOffset>
              </wp:positionV>
              <wp:extent cx="762000" cy="733425"/>
              <wp:effectExtent l="19050" t="19050" r="19050" b="28575"/>
              <wp:wrapSquare wrapText="bothSides"/>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30D380" w14:textId="77777777" w:rsidR="00521305" w:rsidRPr="00D824C0" w:rsidRDefault="00521305" w:rsidP="00521305">
                          <w:pPr>
                            <w:spacing w:after="0" w:line="240" w:lineRule="auto"/>
                            <w:jc w:val="center"/>
                            <w:rPr>
                              <w:b/>
                              <w:color w:val="FFFFFF"/>
                              <w:sz w:val="40"/>
                              <w:szCs w:val="40"/>
                            </w:rPr>
                          </w:pPr>
                          <w:r w:rsidRPr="00D824C0">
                            <w:rPr>
                              <w:b/>
                              <w:color w:val="FFFFFF"/>
                              <w:sz w:val="40"/>
                              <w:szCs w:val="4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5DBA5" id="_x0000_t120" coordsize="21600,21600" o:spt="120" path="m10800,qx,10800,10800,21600,21600,10800,10800,xe">
              <v:path gradientshapeok="t" o:connecttype="custom" o:connectlocs="10800,0;3163,3163;0,10800;3163,18437;10800,21600;18437,18437;21600,10800;18437,3163" textboxrect="3163,3163,18437,18437"/>
            </v:shapetype>
            <v:shape id="_x0000_s1095" type="#_x0000_t120" style="position:absolute;margin-left:426.75pt;margin-top:21.7pt;width:60pt;height:5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" fillcolor="#003d79" strokecolor="#003d79" strokeweight="2.5pt">
              <v:shadow color="#868686"/>
              <v:textbox>
                <w:txbxContent>
                  <w:p w14:paraId="2430D380" w14:textId="77777777" w:rsidR="00521305" w:rsidRPr="00D824C0" w:rsidRDefault="00521305" w:rsidP="00521305">
                    <w:pPr>
                      <w:spacing w:after="0" w:line="240" w:lineRule="auto"/>
                      <w:jc w:val="center"/>
                      <w:rPr>
                        <w:b/>
                        <w:color w:val="FFFFFF"/>
                        <w:sz w:val="40"/>
                        <w:szCs w:val="40"/>
                      </w:rPr>
                    </w:pPr>
                    <w:r w:rsidRPr="00D824C0">
                      <w:rPr>
                        <w:b/>
                        <w:color w:val="FFFFFF"/>
                        <w:sz w:val="40"/>
                        <w:szCs w:val="40"/>
                      </w:rPr>
                      <w:t>5</w:t>
                    </w:r>
                  </w:p>
                </w:txbxContent>
              </v:textbox>
              <w10:wrap type="square"/>
            </v:shape>
          </w:pict>
        </mc:Fallback>
      </mc:AlternateContent>
    </w:r>
    <w:r w:rsidRPr="001C5D9E">
      <w:rPr>
        <w:noProof/>
        <w:lang w:eastAsia="en-AU"/>
      </w:rPr>
      <w:drawing>
        <wp:anchor distT="0" distB="0" distL="114300" distR="114300" simplePos="0" relativeHeight="251779072" behindDoc="1" locked="0" layoutInCell="0" allowOverlap="1" wp14:anchorId="5CA7C1ED" wp14:editId="2AC78AD3">
          <wp:simplePos x="0" y="0"/>
          <wp:positionH relativeFrom="page">
            <wp:posOffset>9525</wp:posOffset>
          </wp:positionH>
          <wp:positionV relativeFrom="margin">
            <wp:posOffset>-913130</wp:posOffset>
          </wp:positionV>
          <wp:extent cx="7559040" cy="9489440"/>
          <wp:effectExtent l="0" t="0" r="381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tab/>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C2C9D" w14:textId="77777777" w:rsidR="00521305" w:rsidRPr="001C5D9E" w:rsidRDefault="00521305" w:rsidP="001C5D9E">
    <w:pPr>
      <w:pStyle w:val="Header"/>
      <w:tabs>
        <w:tab w:val="clear" w:pos="4513"/>
      </w:tabs>
    </w:pPr>
    <w:r w:rsidRPr="001C5D9E">
      <w:rPr>
        <w:noProof/>
        <w:lang w:eastAsia="en-AU"/>
      </w:rPr>
      <mc:AlternateContent>
        <mc:Choice Requires="wps">
          <w:drawing>
            <wp:anchor distT="0" distB="0" distL="114300" distR="114300" simplePos="0" relativeHeight="251798528" behindDoc="0" locked="0" layoutInCell="1" allowOverlap="1" wp14:anchorId="44257F71" wp14:editId="6D96F421">
              <wp:simplePos x="0" y="0"/>
              <wp:positionH relativeFrom="column">
                <wp:posOffset>5467350</wp:posOffset>
              </wp:positionH>
              <wp:positionV relativeFrom="paragraph">
                <wp:posOffset>266065</wp:posOffset>
              </wp:positionV>
              <wp:extent cx="762000" cy="733425"/>
              <wp:effectExtent l="19050" t="19050" r="19050" b="28575"/>
              <wp:wrapSquare wrapText="bothSides"/>
              <wp:docPr id="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6C036F" w14:textId="77777777" w:rsidR="00521305" w:rsidRPr="00D824C0" w:rsidRDefault="00521305" w:rsidP="00521305">
                          <w:pPr>
                            <w:spacing w:after="0" w:line="240" w:lineRule="auto"/>
                            <w:jc w:val="center"/>
                            <w:rPr>
                              <w:b/>
                              <w:color w:val="FFFFFF"/>
                              <w:sz w:val="40"/>
                              <w:szCs w:val="40"/>
                            </w:rPr>
                          </w:pPr>
                          <w:r w:rsidRPr="00D824C0">
                            <w:rPr>
                              <w:b/>
                              <w:color w:val="FFFFFF"/>
                              <w:sz w:val="40"/>
                              <w:szCs w:val="40"/>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57F71" id="_x0000_t120" coordsize="21600,21600" o:spt="120" path="m10800,qx,10800,10800,21600,21600,10800,10800,xe">
              <v:path gradientshapeok="t" o:connecttype="custom" o:connectlocs="10800,0;3163,3163;0,10800;3163,18437;10800,21600;18437,18437;21600,10800;18437,3163" textboxrect="3163,3163,18437,18437"/>
            </v:shapetype>
            <v:shape id="_x0000_s1096" type="#_x0000_t120" style="position:absolute;margin-left:430.5pt;margin-top:20.95pt;width:60pt;height:5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" fillcolor="#003d79" strokecolor="#003d79" strokeweight="2.5pt">
              <v:shadow color="#868686"/>
              <v:textbox>
                <w:txbxContent>
                  <w:p w14:paraId="156C036F" w14:textId="77777777" w:rsidR="00521305" w:rsidRPr="00D824C0" w:rsidRDefault="00521305" w:rsidP="00521305">
                    <w:pPr>
                      <w:spacing w:after="0" w:line="240" w:lineRule="auto"/>
                      <w:jc w:val="center"/>
                      <w:rPr>
                        <w:b/>
                        <w:color w:val="FFFFFF"/>
                        <w:sz w:val="40"/>
                        <w:szCs w:val="40"/>
                      </w:rPr>
                    </w:pPr>
                    <w:r w:rsidRPr="00D824C0">
                      <w:rPr>
                        <w:b/>
                        <w:color w:val="FFFFFF"/>
                        <w:sz w:val="40"/>
                        <w:szCs w:val="40"/>
                      </w:rPr>
                      <w:t>6</w:t>
                    </w:r>
                  </w:p>
                </w:txbxContent>
              </v:textbox>
              <w10:wrap type="square"/>
            </v:shape>
          </w:pict>
        </mc:Fallback>
      </mc:AlternateContent>
    </w:r>
    <w:r w:rsidRPr="001C5D9E">
      <w:rPr>
        <w:noProof/>
        <w:lang w:eastAsia="en-AU"/>
      </w:rPr>
      <w:drawing>
        <wp:anchor distT="0" distB="0" distL="114300" distR="114300" simplePos="0" relativeHeight="251797504" behindDoc="1" locked="0" layoutInCell="0" allowOverlap="1" wp14:anchorId="53208D46" wp14:editId="22D896DD">
          <wp:simplePos x="0" y="0"/>
          <wp:positionH relativeFrom="page">
            <wp:posOffset>9525</wp:posOffset>
          </wp:positionH>
          <wp:positionV relativeFrom="margin">
            <wp:posOffset>-913130</wp:posOffset>
          </wp:positionV>
          <wp:extent cx="7559040" cy="9489440"/>
          <wp:effectExtent l="0" t="0" r="381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tab/>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37B7" w14:textId="77777777" w:rsidR="00521305" w:rsidRDefault="00831110">
    <w:pPr>
      <w:pStyle w:val="Header"/>
    </w:pPr>
    <w:r>
      <w:rPr>
        <w:noProof/>
      </w:rPr>
      <w:pict w14:anchorId="45A08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9629" o:spid="_x0000_s2125" type="#_x0000_t136" style="position:absolute;margin-left:0;margin-top:0;width:598.8pt;height:37.4pt;rotation:315;z-index:-25152307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46817" w14:textId="42053B11" w:rsidR="00521305" w:rsidRPr="009551C7" w:rsidRDefault="00521305" w:rsidP="00CE577E">
    <w:pPr>
      <w:pStyle w:val="Header"/>
    </w:pPr>
    <w:r>
      <w:rPr>
        <w:noProof/>
        <w:lang w:eastAsia="en-AU"/>
      </w:rPr>
      <w:drawing>
        <wp:anchor distT="0" distB="0" distL="114300" distR="114300" simplePos="0" relativeHeight="251696128" behindDoc="1" locked="0" layoutInCell="0" allowOverlap="1" wp14:anchorId="5DB7CD25" wp14:editId="3733C75A">
          <wp:simplePos x="0" y="0"/>
          <wp:positionH relativeFrom="margin">
            <wp:posOffset>-904875</wp:posOffset>
          </wp:positionH>
          <wp:positionV relativeFrom="margin">
            <wp:posOffset>-903605</wp:posOffset>
          </wp:positionV>
          <wp:extent cx="7559040" cy="9489440"/>
          <wp:effectExtent l="0" t="0" r="3810" b="0"/>
          <wp:wrapNone/>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D0E64" w14:textId="77777777" w:rsidR="00521305" w:rsidRDefault="0052130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AEDA5" w14:textId="77777777" w:rsidR="00521305" w:rsidRPr="001C5D9E" w:rsidRDefault="00521305" w:rsidP="001C5D9E">
    <w:pPr>
      <w:pStyle w:val="Header"/>
    </w:pPr>
    <w:r w:rsidRPr="001C5D9E">
      <w:rPr>
        <w:noProof/>
        <w:lang w:eastAsia="en-AU"/>
      </w:rPr>
      <mc:AlternateContent>
        <mc:Choice Requires="wps">
          <w:drawing>
            <wp:anchor distT="0" distB="0" distL="114300" distR="114300" simplePos="0" relativeHeight="251781120" behindDoc="0" locked="0" layoutInCell="1" allowOverlap="1" wp14:anchorId="6A206D5B" wp14:editId="79102A6D">
              <wp:simplePos x="0" y="0"/>
              <wp:positionH relativeFrom="column">
                <wp:posOffset>5330825</wp:posOffset>
              </wp:positionH>
              <wp:positionV relativeFrom="paragraph">
                <wp:posOffset>321945</wp:posOffset>
              </wp:positionV>
              <wp:extent cx="762000" cy="733425"/>
              <wp:effectExtent l="19050" t="19050" r="19050" b="28575"/>
              <wp:wrapSquare wrapText="bothSides"/>
              <wp:docPr id="2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2EB55" w14:textId="77777777" w:rsidR="00521305" w:rsidRPr="00D824C0" w:rsidRDefault="00521305" w:rsidP="001C5D9E">
                          <w:pPr>
                            <w:spacing w:after="0" w:line="240" w:lineRule="auto"/>
                            <w:jc w:val="center"/>
                            <w:rPr>
                              <w:b/>
                              <w:color w:val="FFFFFF"/>
                              <w:sz w:val="40"/>
                              <w:szCs w:val="40"/>
                            </w:rPr>
                          </w:pPr>
                          <w:r w:rsidRPr="00D824C0">
                            <w:rPr>
                              <w:b/>
                              <w:color w:val="FFFFFF"/>
                              <w:sz w:val="40"/>
                              <w:szCs w:val="40"/>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06D5B" id="_x0000_t120" coordsize="21600,21600" o:spt="120" path="m10800,qx,10800,10800,21600,21600,10800,10800,xe">
              <v:path gradientshapeok="t" o:connecttype="custom" o:connectlocs="10800,0;3163,3163;0,10800;3163,18437;10800,21600;18437,18437;21600,10800;18437,3163" textboxrect="3163,3163,18437,18437"/>
            </v:shapetype>
            <v:shape id="_x0000_s1097" type="#_x0000_t120" style="position:absolute;margin-left:419.75pt;margin-top:25.35pt;width:60pt;height:5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" fillcolor="#003d79" strokecolor="#003d79" strokeweight="2.5pt">
              <v:shadow color="#868686"/>
              <v:textbox>
                <w:txbxContent>
                  <w:p w14:paraId="1D42EB55" w14:textId="77777777" w:rsidR="00521305" w:rsidRPr="00D824C0" w:rsidRDefault="00521305" w:rsidP="001C5D9E">
                    <w:pPr>
                      <w:spacing w:after="0" w:line="240" w:lineRule="auto"/>
                      <w:jc w:val="center"/>
                      <w:rPr>
                        <w:b/>
                        <w:color w:val="FFFFFF"/>
                        <w:sz w:val="40"/>
                        <w:szCs w:val="40"/>
                      </w:rPr>
                    </w:pPr>
                    <w:r w:rsidRPr="00D824C0">
                      <w:rPr>
                        <w:b/>
                        <w:color w:val="FFFFFF"/>
                        <w:sz w:val="40"/>
                        <w:szCs w:val="40"/>
                      </w:rPr>
                      <w:t>7</w:t>
                    </w:r>
                  </w:p>
                </w:txbxContent>
              </v:textbox>
              <w10:wrap type="square"/>
            </v:shape>
          </w:pict>
        </mc:Fallback>
      </mc:AlternateContent>
    </w:r>
    <w:r w:rsidRPr="001C5D9E">
      <w:rPr>
        <w:noProof/>
        <w:lang w:eastAsia="en-AU"/>
      </w:rPr>
      <w:drawing>
        <wp:anchor distT="0" distB="0" distL="114300" distR="114300" simplePos="0" relativeHeight="251780096" behindDoc="1" locked="0" layoutInCell="0" allowOverlap="1" wp14:anchorId="7C3886CA" wp14:editId="1F97E281">
          <wp:simplePos x="0" y="0"/>
          <wp:positionH relativeFrom="page">
            <wp:posOffset>9525</wp:posOffset>
          </wp:positionH>
          <wp:positionV relativeFrom="margin">
            <wp:posOffset>-913130</wp:posOffset>
          </wp:positionV>
          <wp:extent cx="7559040" cy="9489440"/>
          <wp:effectExtent l="0" t="0" r="381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189E1" w14:textId="77777777" w:rsidR="00521305" w:rsidRDefault="00831110">
    <w:pPr>
      <w:pStyle w:val="Header"/>
    </w:pPr>
    <w:r>
      <w:rPr>
        <w:noProof/>
      </w:rPr>
      <w:pict w14:anchorId="3A2F5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598.8pt;height:37.4pt;rotation:315;z-index:-25152204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7C42A" w14:textId="77777777" w:rsidR="00521305" w:rsidRPr="00B23FE8" w:rsidRDefault="00521305" w:rsidP="00B23FE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301B0" w14:textId="77777777" w:rsidR="00521305" w:rsidRPr="001C5D9E" w:rsidRDefault="00521305" w:rsidP="001C5D9E">
    <w:pPr>
      <w:pStyle w:val="Header"/>
    </w:pPr>
    <w:r w:rsidRPr="001C5D9E">
      <w:rPr>
        <w:noProof/>
        <w:lang w:eastAsia="en-AU"/>
      </w:rPr>
      <w:drawing>
        <wp:anchor distT="0" distB="0" distL="114300" distR="114300" simplePos="0" relativeHeight="251803648" behindDoc="1" locked="0" layoutInCell="0" allowOverlap="1" wp14:anchorId="20D930BA" wp14:editId="472F1C72">
          <wp:simplePos x="0" y="0"/>
          <wp:positionH relativeFrom="page">
            <wp:posOffset>-19050</wp:posOffset>
          </wp:positionH>
          <wp:positionV relativeFrom="margin">
            <wp:posOffset>-894080</wp:posOffset>
          </wp:positionV>
          <wp:extent cx="10696575" cy="5688965"/>
          <wp:effectExtent l="0" t="0" r="9525"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56889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7F3"/>
    <w:multiLevelType w:val="hybridMultilevel"/>
    <w:tmpl w:val="F2868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4073B"/>
    <w:multiLevelType w:val="hybridMultilevel"/>
    <w:tmpl w:val="083C4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F53B6"/>
    <w:multiLevelType w:val="hybridMultilevel"/>
    <w:tmpl w:val="70389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5421C"/>
    <w:multiLevelType w:val="hybridMultilevel"/>
    <w:tmpl w:val="BBDEE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956B4A"/>
    <w:multiLevelType w:val="hybridMultilevel"/>
    <w:tmpl w:val="74F66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17463"/>
    <w:multiLevelType w:val="hybridMultilevel"/>
    <w:tmpl w:val="7DF6A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983BD6"/>
    <w:multiLevelType w:val="hybridMultilevel"/>
    <w:tmpl w:val="8F26424E"/>
    <w:lvl w:ilvl="0" w:tplc="3F5029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C257BE"/>
    <w:multiLevelType w:val="hybridMultilevel"/>
    <w:tmpl w:val="B9F80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F86685"/>
    <w:multiLevelType w:val="hybridMultilevel"/>
    <w:tmpl w:val="85965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3D222C"/>
    <w:multiLevelType w:val="hybridMultilevel"/>
    <w:tmpl w:val="3764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FA5C7B"/>
    <w:multiLevelType w:val="multilevel"/>
    <w:tmpl w:val="56EE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4941E5"/>
    <w:multiLevelType w:val="hybridMultilevel"/>
    <w:tmpl w:val="465A7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CB7389"/>
    <w:multiLevelType w:val="hybridMultilevel"/>
    <w:tmpl w:val="56D4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CC5921"/>
    <w:multiLevelType w:val="hybridMultilevel"/>
    <w:tmpl w:val="38964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183AFF"/>
    <w:multiLevelType w:val="hybridMultilevel"/>
    <w:tmpl w:val="F118A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8B0D66"/>
    <w:multiLevelType w:val="hybridMultilevel"/>
    <w:tmpl w:val="2A0C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3E30CA"/>
    <w:multiLevelType w:val="hybridMultilevel"/>
    <w:tmpl w:val="FEDCE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ED76ED"/>
    <w:multiLevelType w:val="hybridMultilevel"/>
    <w:tmpl w:val="48C2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985005"/>
    <w:multiLevelType w:val="multilevel"/>
    <w:tmpl w:val="2B9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5727F8"/>
    <w:multiLevelType w:val="multilevel"/>
    <w:tmpl w:val="36F2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7E7D26"/>
    <w:multiLevelType w:val="hybridMultilevel"/>
    <w:tmpl w:val="D500E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7A9652E"/>
    <w:multiLevelType w:val="hybridMultilevel"/>
    <w:tmpl w:val="C2D88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2E5059"/>
    <w:multiLevelType w:val="hybridMultilevel"/>
    <w:tmpl w:val="75CEF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88B4002"/>
    <w:multiLevelType w:val="hybridMultilevel"/>
    <w:tmpl w:val="B2D05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A44D0A"/>
    <w:multiLevelType w:val="hybridMultilevel"/>
    <w:tmpl w:val="6DD26C3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9DD613C"/>
    <w:multiLevelType w:val="hybridMultilevel"/>
    <w:tmpl w:val="FA0A0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F861F2"/>
    <w:multiLevelType w:val="hybridMultilevel"/>
    <w:tmpl w:val="74AAF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FA298E"/>
    <w:multiLevelType w:val="hybridMultilevel"/>
    <w:tmpl w:val="EAD22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BCE5967"/>
    <w:multiLevelType w:val="hybridMultilevel"/>
    <w:tmpl w:val="08C8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33781F"/>
    <w:multiLevelType w:val="hybridMultilevel"/>
    <w:tmpl w:val="14207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E9629AC"/>
    <w:multiLevelType w:val="hybridMultilevel"/>
    <w:tmpl w:val="D74E7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02597E"/>
    <w:multiLevelType w:val="hybridMultilevel"/>
    <w:tmpl w:val="24A4F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F9F569C"/>
    <w:multiLevelType w:val="hybridMultilevel"/>
    <w:tmpl w:val="BC407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1741E62"/>
    <w:multiLevelType w:val="hybridMultilevel"/>
    <w:tmpl w:val="974A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652EBB"/>
    <w:multiLevelType w:val="hybridMultilevel"/>
    <w:tmpl w:val="0766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9909A1"/>
    <w:multiLevelType w:val="hybridMultilevel"/>
    <w:tmpl w:val="1102BAD0"/>
    <w:lvl w:ilvl="0" w:tplc="53AE934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B6357E"/>
    <w:multiLevelType w:val="hybridMultilevel"/>
    <w:tmpl w:val="DCE00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5A97EAE"/>
    <w:multiLevelType w:val="hybridMultilevel"/>
    <w:tmpl w:val="F59AA558"/>
    <w:lvl w:ilvl="0" w:tplc="0C090019">
      <w:start w:val="1"/>
      <w:numFmt w:val="lowerLetter"/>
      <w:lvlText w:val="%1."/>
      <w:lvlJc w:val="left"/>
      <w:pPr>
        <w:ind w:left="720" w:hanging="360"/>
      </w:pPr>
    </w:lvl>
    <w:lvl w:ilvl="1" w:tplc="600888F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5B266B7"/>
    <w:multiLevelType w:val="hybridMultilevel"/>
    <w:tmpl w:val="9A0E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8207B19"/>
    <w:multiLevelType w:val="hybridMultilevel"/>
    <w:tmpl w:val="65062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84528CC"/>
    <w:multiLevelType w:val="hybridMultilevel"/>
    <w:tmpl w:val="BA447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29234F87"/>
    <w:multiLevelType w:val="hybridMultilevel"/>
    <w:tmpl w:val="45DEC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7B4306"/>
    <w:multiLevelType w:val="hybridMultilevel"/>
    <w:tmpl w:val="D9BC9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E519F9"/>
    <w:multiLevelType w:val="hybridMultilevel"/>
    <w:tmpl w:val="17E4D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2D647E0F"/>
    <w:multiLevelType w:val="hybridMultilevel"/>
    <w:tmpl w:val="B15A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DA3BE6"/>
    <w:multiLevelType w:val="hybridMultilevel"/>
    <w:tmpl w:val="4E64D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E193F10"/>
    <w:multiLevelType w:val="hybridMultilevel"/>
    <w:tmpl w:val="02783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E9A11DF"/>
    <w:multiLevelType w:val="hybridMultilevel"/>
    <w:tmpl w:val="A2DC5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F15069B"/>
    <w:multiLevelType w:val="hybridMultilevel"/>
    <w:tmpl w:val="4F5CF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0295033"/>
    <w:multiLevelType w:val="hybridMultilevel"/>
    <w:tmpl w:val="F01E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9E3253"/>
    <w:multiLevelType w:val="hybridMultilevel"/>
    <w:tmpl w:val="8B52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1A416B5"/>
    <w:multiLevelType w:val="hybridMultilevel"/>
    <w:tmpl w:val="8346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4E31BE2"/>
    <w:multiLevelType w:val="hybridMultilevel"/>
    <w:tmpl w:val="B9F21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52219BC"/>
    <w:multiLevelType w:val="hybridMultilevel"/>
    <w:tmpl w:val="0D1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601717A"/>
    <w:multiLevelType w:val="hybridMultilevel"/>
    <w:tmpl w:val="5F50026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36A75C2B"/>
    <w:multiLevelType w:val="hybridMultilevel"/>
    <w:tmpl w:val="5CBC0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38386F9C"/>
    <w:multiLevelType w:val="hybridMultilevel"/>
    <w:tmpl w:val="E98C1F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391D3C6D"/>
    <w:multiLevelType w:val="hybridMultilevel"/>
    <w:tmpl w:val="A984A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399951AB"/>
    <w:multiLevelType w:val="hybridMultilevel"/>
    <w:tmpl w:val="BD9A2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CA1764"/>
    <w:multiLevelType w:val="hybridMultilevel"/>
    <w:tmpl w:val="21564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AD824B0"/>
    <w:multiLevelType w:val="multilevel"/>
    <w:tmpl w:val="4C8A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BD51F58"/>
    <w:multiLevelType w:val="hybridMultilevel"/>
    <w:tmpl w:val="67F6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C7501E6"/>
    <w:multiLevelType w:val="hybridMultilevel"/>
    <w:tmpl w:val="093C9714"/>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D2D307F"/>
    <w:multiLevelType w:val="hybridMultilevel"/>
    <w:tmpl w:val="8E68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EEC3193"/>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65" w15:restartNumberingAfterBreak="0">
    <w:nsid w:val="3FAF6A37"/>
    <w:multiLevelType w:val="hybridMultilevel"/>
    <w:tmpl w:val="23920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03750B6"/>
    <w:multiLevelType w:val="hybridMultilevel"/>
    <w:tmpl w:val="26F2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1FB0B57"/>
    <w:multiLevelType w:val="hybridMultilevel"/>
    <w:tmpl w:val="7C8E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2B3192C"/>
    <w:multiLevelType w:val="hybridMultilevel"/>
    <w:tmpl w:val="A3DCA6E2"/>
    <w:lvl w:ilvl="0" w:tplc="53AE934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30F64BF"/>
    <w:multiLevelType w:val="hybridMultilevel"/>
    <w:tmpl w:val="329E452A"/>
    <w:lvl w:ilvl="0" w:tplc="C10470A0">
      <w:start w:val="1"/>
      <w:numFmt w:val="decimal"/>
      <w:pStyle w:val="Heading1withnumber"/>
      <w:lvlText w:val="%1."/>
      <w:lvlJc w:val="left"/>
      <w:pPr>
        <w:ind w:left="720" w:hanging="360"/>
      </w:pPr>
      <w:rPr>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5FE7641"/>
    <w:multiLevelType w:val="hybridMultilevel"/>
    <w:tmpl w:val="D8B419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6334FEC"/>
    <w:multiLevelType w:val="hybridMultilevel"/>
    <w:tmpl w:val="AD8ED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75E2CFD"/>
    <w:multiLevelType w:val="hybridMultilevel"/>
    <w:tmpl w:val="35B00848"/>
    <w:lvl w:ilvl="0" w:tplc="B0682382">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87E596E"/>
    <w:multiLevelType w:val="hybridMultilevel"/>
    <w:tmpl w:val="7BD06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888606E"/>
    <w:multiLevelType w:val="hybridMultilevel"/>
    <w:tmpl w:val="D04685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49102068"/>
    <w:multiLevelType w:val="hybridMultilevel"/>
    <w:tmpl w:val="FA460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D8C3C86"/>
    <w:multiLevelType w:val="hybridMultilevel"/>
    <w:tmpl w:val="360E0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E32246C"/>
    <w:multiLevelType w:val="hybridMultilevel"/>
    <w:tmpl w:val="0ED09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0451B3F"/>
    <w:multiLevelType w:val="hybridMultilevel"/>
    <w:tmpl w:val="C9D219E6"/>
    <w:lvl w:ilvl="0" w:tplc="53AE934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050447A"/>
    <w:multiLevelType w:val="hybridMultilevel"/>
    <w:tmpl w:val="5CA0F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2E56F0E"/>
    <w:multiLevelType w:val="hybridMultilevel"/>
    <w:tmpl w:val="644A0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15:restartNumberingAfterBreak="0">
    <w:nsid w:val="55E50A0F"/>
    <w:multiLevelType w:val="hybridMultilevel"/>
    <w:tmpl w:val="1D70C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86742B2"/>
    <w:multiLevelType w:val="hybridMultilevel"/>
    <w:tmpl w:val="C218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AD73724"/>
    <w:multiLevelType w:val="hybridMultilevel"/>
    <w:tmpl w:val="502E8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0631399"/>
    <w:multiLevelType w:val="hybridMultilevel"/>
    <w:tmpl w:val="36360406"/>
    <w:lvl w:ilvl="0" w:tplc="0C09000F">
      <w:start w:val="1"/>
      <w:numFmt w:val="decimal"/>
      <w:lvlText w:val="%1."/>
      <w:lvlJc w:val="left"/>
      <w:pPr>
        <w:ind w:left="860" w:hanging="360"/>
      </w:pPr>
    </w:lvl>
    <w:lvl w:ilvl="1" w:tplc="0C090019" w:tentative="1">
      <w:start w:val="1"/>
      <w:numFmt w:val="lowerLetter"/>
      <w:lvlText w:val="%2."/>
      <w:lvlJc w:val="left"/>
      <w:pPr>
        <w:ind w:left="1580" w:hanging="360"/>
      </w:pPr>
    </w:lvl>
    <w:lvl w:ilvl="2" w:tplc="0C09001B" w:tentative="1">
      <w:start w:val="1"/>
      <w:numFmt w:val="lowerRoman"/>
      <w:lvlText w:val="%3."/>
      <w:lvlJc w:val="right"/>
      <w:pPr>
        <w:ind w:left="2300" w:hanging="180"/>
      </w:pPr>
    </w:lvl>
    <w:lvl w:ilvl="3" w:tplc="0C09000F" w:tentative="1">
      <w:start w:val="1"/>
      <w:numFmt w:val="decimal"/>
      <w:lvlText w:val="%4."/>
      <w:lvlJc w:val="left"/>
      <w:pPr>
        <w:ind w:left="3020" w:hanging="360"/>
      </w:pPr>
    </w:lvl>
    <w:lvl w:ilvl="4" w:tplc="0C090019" w:tentative="1">
      <w:start w:val="1"/>
      <w:numFmt w:val="lowerLetter"/>
      <w:lvlText w:val="%5."/>
      <w:lvlJc w:val="left"/>
      <w:pPr>
        <w:ind w:left="3740" w:hanging="360"/>
      </w:pPr>
    </w:lvl>
    <w:lvl w:ilvl="5" w:tplc="0C09001B" w:tentative="1">
      <w:start w:val="1"/>
      <w:numFmt w:val="lowerRoman"/>
      <w:lvlText w:val="%6."/>
      <w:lvlJc w:val="right"/>
      <w:pPr>
        <w:ind w:left="4460" w:hanging="180"/>
      </w:pPr>
    </w:lvl>
    <w:lvl w:ilvl="6" w:tplc="0C09000F" w:tentative="1">
      <w:start w:val="1"/>
      <w:numFmt w:val="decimal"/>
      <w:lvlText w:val="%7."/>
      <w:lvlJc w:val="left"/>
      <w:pPr>
        <w:ind w:left="5180" w:hanging="360"/>
      </w:pPr>
    </w:lvl>
    <w:lvl w:ilvl="7" w:tplc="0C090019" w:tentative="1">
      <w:start w:val="1"/>
      <w:numFmt w:val="lowerLetter"/>
      <w:lvlText w:val="%8."/>
      <w:lvlJc w:val="left"/>
      <w:pPr>
        <w:ind w:left="5900" w:hanging="360"/>
      </w:pPr>
    </w:lvl>
    <w:lvl w:ilvl="8" w:tplc="0C09001B" w:tentative="1">
      <w:start w:val="1"/>
      <w:numFmt w:val="lowerRoman"/>
      <w:lvlText w:val="%9."/>
      <w:lvlJc w:val="right"/>
      <w:pPr>
        <w:ind w:left="6620" w:hanging="180"/>
      </w:pPr>
    </w:lvl>
  </w:abstractNum>
  <w:abstractNum w:abstractNumId="85" w15:restartNumberingAfterBreak="0">
    <w:nsid w:val="624A0989"/>
    <w:multiLevelType w:val="hybridMultilevel"/>
    <w:tmpl w:val="20827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39350AD"/>
    <w:multiLevelType w:val="hybridMultilevel"/>
    <w:tmpl w:val="626C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3D94748"/>
    <w:multiLevelType w:val="hybridMultilevel"/>
    <w:tmpl w:val="AD66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4F01ED5"/>
    <w:multiLevelType w:val="hybridMultilevel"/>
    <w:tmpl w:val="04546A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9" w15:restartNumberingAfterBreak="0">
    <w:nsid w:val="6504146D"/>
    <w:multiLevelType w:val="hybridMultilevel"/>
    <w:tmpl w:val="9AEC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5BC1E1A"/>
    <w:multiLevelType w:val="hybridMultilevel"/>
    <w:tmpl w:val="0C30F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6604737"/>
    <w:multiLevelType w:val="hybridMultilevel"/>
    <w:tmpl w:val="731ED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6A45BFA"/>
    <w:multiLevelType w:val="hybridMultilevel"/>
    <w:tmpl w:val="896A2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72F39A0"/>
    <w:multiLevelType w:val="hybridMultilevel"/>
    <w:tmpl w:val="D032A5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677F44C9"/>
    <w:multiLevelType w:val="hybridMultilevel"/>
    <w:tmpl w:val="4F9A2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7974874"/>
    <w:multiLevelType w:val="hybridMultilevel"/>
    <w:tmpl w:val="9E06D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6649A1"/>
    <w:multiLevelType w:val="hybridMultilevel"/>
    <w:tmpl w:val="F90E4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7" w15:restartNumberingAfterBreak="0">
    <w:nsid w:val="69CB5304"/>
    <w:multiLevelType w:val="hybridMultilevel"/>
    <w:tmpl w:val="1ADA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AA92350"/>
    <w:multiLevelType w:val="hybridMultilevel"/>
    <w:tmpl w:val="FAE0E59E"/>
    <w:lvl w:ilvl="0" w:tplc="0C09000F">
      <w:start w:val="1"/>
      <w:numFmt w:val="decimal"/>
      <w:lvlText w:val="%1."/>
      <w:lvlJc w:val="left"/>
      <w:pPr>
        <w:ind w:left="720" w:hanging="360"/>
      </w:pPr>
    </w:lvl>
    <w:lvl w:ilvl="1" w:tplc="600888F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AC54701"/>
    <w:multiLevelType w:val="hybridMultilevel"/>
    <w:tmpl w:val="50369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C7A64EF"/>
    <w:multiLevelType w:val="hybridMultilevel"/>
    <w:tmpl w:val="DDEA1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E7B3E57"/>
    <w:multiLevelType w:val="hybridMultilevel"/>
    <w:tmpl w:val="B2CA5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15D410E"/>
    <w:multiLevelType w:val="hybridMultilevel"/>
    <w:tmpl w:val="02D4E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3303A29"/>
    <w:multiLevelType w:val="hybridMultilevel"/>
    <w:tmpl w:val="FA124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3E01F7B"/>
    <w:multiLevelType w:val="hybridMultilevel"/>
    <w:tmpl w:val="C57473F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576299F"/>
    <w:multiLevelType w:val="hybridMultilevel"/>
    <w:tmpl w:val="CDE834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772062FF"/>
    <w:multiLevelType w:val="hybridMultilevel"/>
    <w:tmpl w:val="1752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82D2AD4"/>
    <w:multiLevelType w:val="hybridMultilevel"/>
    <w:tmpl w:val="97DA1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88C5712"/>
    <w:multiLevelType w:val="hybridMultilevel"/>
    <w:tmpl w:val="2340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8CF7CF8"/>
    <w:multiLevelType w:val="hybridMultilevel"/>
    <w:tmpl w:val="0F46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9A744A7"/>
    <w:multiLevelType w:val="hybridMultilevel"/>
    <w:tmpl w:val="D8B419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CC1459D"/>
    <w:multiLevelType w:val="hybridMultilevel"/>
    <w:tmpl w:val="92EC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CCC7FD2"/>
    <w:multiLevelType w:val="hybridMultilevel"/>
    <w:tmpl w:val="F5E26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DFA3B49"/>
    <w:multiLevelType w:val="hybridMultilevel"/>
    <w:tmpl w:val="42F2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9"/>
  </w:num>
  <w:num w:numId="2">
    <w:abstractNumId w:val="51"/>
  </w:num>
  <w:num w:numId="3">
    <w:abstractNumId w:val="88"/>
  </w:num>
  <w:num w:numId="4">
    <w:abstractNumId w:val="108"/>
  </w:num>
  <w:num w:numId="5">
    <w:abstractNumId w:val="24"/>
  </w:num>
  <w:num w:numId="6">
    <w:abstractNumId w:val="110"/>
  </w:num>
  <w:num w:numId="7">
    <w:abstractNumId w:val="64"/>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63"/>
  </w:num>
  <w:num w:numId="10">
    <w:abstractNumId w:val="77"/>
  </w:num>
  <w:num w:numId="11">
    <w:abstractNumId w:val="78"/>
  </w:num>
  <w:num w:numId="12">
    <w:abstractNumId w:val="8"/>
  </w:num>
  <w:num w:numId="13">
    <w:abstractNumId w:val="62"/>
  </w:num>
  <w:num w:numId="14">
    <w:abstractNumId w:val="76"/>
  </w:num>
  <w:num w:numId="15">
    <w:abstractNumId w:val="7"/>
  </w:num>
  <w:num w:numId="16">
    <w:abstractNumId w:val="42"/>
  </w:num>
  <w:num w:numId="17">
    <w:abstractNumId w:val="15"/>
  </w:num>
  <w:num w:numId="18">
    <w:abstractNumId w:val="106"/>
  </w:num>
  <w:num w:numId="19">
    <w:abstractNumId w:val="32"/>
  </w:num>
  <w:num w:numId="20">
    <w:abstractNumId w:val="103"/>
  </w:num>
  <w:num w:numId="21">
    <w:abstractNumId w:val="101"/>
  </w:num>
  <w:num w:numId="22">
    <w:abstractNumId w:val="30"/>
  </w:num>
  <w:num w:numId="23">
    <w:abstractNumId w:val="14"/>
  </w:num>
  <w:num w:numId="24">
    <w:abstractNumId w:val="89"/>
  </w:num>
  <w:num w:numId="25">
    <w:abstractNumId w:val="52"/>
  </w:num>
  <w:num w:numId="26">
    <w:abstractNumId w:val="57"/>
  </w:num>
  <w:num w:numId="27">
    <w:abstractNumId w:val="20"/>
  </w:num>
  <w:num w:numId="28">
    <w:abstractNumId w:val="55"/>
  </w:num>
  <w:num w:numId="29">
    <w:abstractNumId w:val="0"/>
  </w:num>
  <w:num w:numId="30">
    <w:abstractNumId w:val="92"/>
  </w:num>
  <w:num w:numId="31">
    <w:abstractNumId w:val="102"/>
  </w:num>
  <w:num w:numId="32">
    <w:abstractNumId w:val="13"/>
  </w:num>
  <w:num w:numId="33">
    <w:abstractNumId w:val="91"/>
  </w:num>
  <w:num w:numId="34">
    <w:abstractNumId w:val="11"/>
  </w:num>
  <w:num w:numId="35">
    <w:abstractNumId w:val="58"/>
  </w:num>
  <w:num w:numId="36">
    <w:abstractNumId w:val="41"/>
  </w:num>
  <w:num w:numId="37">
    <w:abstractNumId w:val="47"/>
  </w:num>
  <w:num w:numId="38">
    <w:abstractNumId w:val="107"/>
  </w:num>
  <w:num w:numId="39">
    <w:abstractNumId w:val="112"/>
  </w:num>
  <w:num w:numId="40">
    <w:abstractNumId w:val="93"/>
  </w:num>
  <w:num w:numId="41">
    <w:abstractNumId w:val="43"/>
  </w:num>
  <w:num w:numId="42">
    <w:abstractNumId w:val="26"/>
  </w:num>
  <w:num w:numId="43">
    <w:abstractNumId w:val="29"/>
  </w:num>
  <w:num w:numId="44">
    <w:abstractNumId w:val="96"/>
  </w:num>
  <w:num w:numId="45">
    <w:abstractNumId w:val="22"/>
  </w:num>
  <w:num w:numId="46">
    <w:abstractNumId w:val="40"/>
  </w:num>
  <w:num w:numId="47">
    <w:abstractNumId w:val="71"/>
  </w:num>
  <w:num w:numId="48">
    <w:abstractNumId w:val="80"/>
  </w:num>
  <w:num w:numId="49">
    <w:abstractNumId w:val="3"/>
  </w:num>
  <w:num w:numId="50">
    <w:abstractNumId w:val="68"/>
  </w:num>
  <w:num w:numId="51">
    <w:abstractNumId w:val="35"/>
  </w:num>
  <w:num w:numId="52">
    <w:abstractNumId w:val="1"/>
  </w:num>
  <w:num w:numId="53">
    <w:abstractNumId w:val="38"/>
  </w:num>
  <w:num w:numId="54">
    <w:abstractNumId w:val="66"/>
  </w:num>
  <w:num w:numId="55">
    <w:abstractNumId w:val="100"/>
  </w:num>
  <w:num w:numId="56">
    <w:abstractNumId w:val="37"/>
  </w:num>
  <w:num w:numId="57">
    <w:abstractNumId w:val="19"/>
  </w:num>
  <w:num w:numId="58">
    <w:abstractNumId w:val="18"/>
  </w:num>
  <w:num w:numId="59">
    <w:abstractNumId w:val="10"/>
  </w:num>
  <w:num w:numId="60">
    <w:abstractNumId w:val="60"/>
  </w:num>
  <w:num w:numId="61">
    <w:abstractNumId w:val="97"/>
  </w:num>
  <w:num w:numId="62">
    <w:abstractNumId w:val="90"/>
  </w:num>
  <w:num w:numId="63">
    <w:abstractNumId w:val="65"/>
  </w:num>
  <w:num w:numId="64">
    <w:abstractNumId w:val="49"/>
  </w:num>
  <w:num w:numId="65">
    <w:abstractNumId w:val="25"/>
  </w:num>
  <w:num w:numId="66">
    <w:abstractNumId w:val="34"/>
  </w:num>
  <w:num w:numId="67">
    <w:abstractNumId w:val="48"/>
  </w:num>
  <w:num w:numId="68">
    <w:abstractNumId w:val="21"/>
  </w:num>
  <w:num w:numId="69">
    <w:abstractNumId w:val="45"/>
  </w:num>
  <w:num w:numId="70">
    <w:abstractNumId w:val="36"/>
  </w:num>
  <w:num w:numId="71">
    <w:abstractNumId w:val="9"/>
  </w:num>
  <w:num w:numId="72">
    <w:abstractNumId w:val="111"/>
  </w:num>
  <w:num w:numId="73">
    <w:abstractNumId w:val="104"/>
  </w:num>
  <w:num w:numId="74">
    <w:abstractNumId w:val="81"/>
  </w:num>
  <w:num w:numId="75">
    <w:abstractNumId w:val="83"/>
  </w:num>
  <w:num w:numId="76">
    <w:abstractNumId w:val="72"/>
  </w:num>
  <w:num w:numId="77">
    <w:abstractNumId w:val="67"/>
  </w:num>
  <w:num w:numId="78">
    <w:abstractNumId w:val="99"/>
  </w:num>
  <w:num w:numId="79">
    <w:abstractNumId w:val="6"/>
  </w:num>
  <w:num w:numId="80">
    <w:abstractNumId w:val="95"/>
  </w:num>
  <w:num w:numId="81">
    <w:abstractNumId w:val="46"/>
  </w:num>
  <w:num w:numId="82">
    <w:abstractNumId w:val="50"/>
  </w:num>
  <w:num w:numId="83">
    <w:abstractNumId w:val="61"/>
  </w:num>
  <w:num w:numId="84">
    <w:abstractNumId w:val="53"/>
  </w:num>
  <w:num w:numId="85">
    <w:abstractNumId w:val="86"/>
  </w:num>
  <w:num w:numId="86">
    <w:abstractNumId w:val="5"/>
  </w:num>
  <w:num w:numId="87">
    <w:abstractNumId w:val="4"/>
  </w:num>
  <w:num w:numId="88">
    <w:abstractNumId w:val="73"/>
  </w:num>
  <w:num w:numId="89">
    <w:abstractNumId w:val="54"/>
  </w:num>
  <w:num w:numId="90">
    <w:abstractNumId w:val="84"/>
  </w:num>
  <w:num w:numId="91">
    <w:abstractNumId w:val="75"/>
  </w:num>
  <w:num w:numId="92">
    <w:abstractNumId w:val="28"/>
  </w:num>
  <w:num w:numId="93">
    <w:abstractNumId w:val="98"/>
  </w:num>
  <w:num w:numId="94">
    <w:abstractNumId w:val="44"/>
  </w:num>
  <w:num w:numId="95">
    <w:abstractNumId w:val="33"/>
  </w:num>
  <w:num w:numId="96">
    <w:abstractNumId w:val="109"/>
  </w:num>
  <w:num w:numId="97">
    <w:abstractNumId w:val="87"/>
  </w:num>
  <w:num w:numId="98">
    <w:abstractNumId w:val="2"/>
  </w:num>
  <w:num w:numId="99">
    <w:abstractNumId w:val="82"/>
  </w:num>
  <w:num w:numId="100">
    <w:abstractNumId w:val="85"/>
  </w:num>
  <w:num w:numId="101">
    <w:abstractNumId w:val="113"/>
  </w:num>
  <w:num w:numId="102">
    <w:abstractNumId w:val="39"/>
  </w:num>
  <w:num w:numId="103">
    <w:abstractNumId w:val="79"/>
  </w:num>
  <w:num w:numId="104">
    <w:abstractNumId w:val="16"/>
  </w:num>
  <w:num w:numId="105">
    <w:abstractNumId w:val="59"/>
  </w:num>
  <w:num w:numId="106">
    <w:abstractNumId w:val="110"/>
    <w:lvlOverride w:ilvl="0">
      <w:startOverride w:val="1"/>
    </w:lvlOverride>
    <w:lvlOverride w:ilvl="1"/>
    <w:lvlOverride w:ilvl="2"/>
    <w:lvlOverride w:ilvl="3"/>
    <w:lvlOverride w:ilvl="4"/>
    <w:lvlOverride w:ilvl="5"/>
    <w:lvlOverride w:ilvl="6"/>
    <w:lvlOverride w:ilvl="7"/>
    <w:lvlOverride w:ilvl="8"/>
  </w:num>
  <w:num w:numId="107">
    <w:abstractNumId w:val="23"/>
  </w:num>
  <w:num w:numId="108">
    <w:abstractNumId w:val="105"/>
  </w:num>
  <w:num w:numId="109">
    <w:abstractNumId w:val="74"/>
  </w:num>
  <w:num w:numId="110">
    <w:abstractNumId w:val="17"/>
  </w:num>
  <w:num w:numId="111">
    <w:abstractNumId w:val="31"/>
  </w:num>
  <w:num w:numId="112">
    <w:abstractNumId w:val="27"/>
  </w:num>
  <w:num w:numId="113">
    <w:abstractNumId w:val="94"/>
  </w:num>
  <w:num w:numId="1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12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PA 6th copy_1&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z9xax04zr9v0evw2nvrpw9xe9ttzvs5zsv&quot;&gt;HCH&lt;record-ids&gt;&lt;item&gt;249&lt;/item&gt;&lt;item&gt;477&lt;/item&gt;&lt;item&gt;1020&lt;/item&gt;&lt;item&gt;1021&lt;/item&gt;&lt;item&gt;1022&lt;/item&gt;&lt;item&gt;1128&lt;/item&gt;&lt;item&gt;1129&lt;/item&gt;&lt;item&gt;1130&lt;/item&gt;&lt;item&gt;1131&lt;/item&gt;&lt;/record-ids&gt;&lt;/item&gt;&lt;/Libraries&gt;"/>
  </w:docVars>
  <w:rsids>
    <w:rsidRoot w:val="000963ED"/>
    <w:rsid w:val="00001440"/>
    <w:rsid w:val="000027B1"/>
    <w:rsid w:val="00002C02"/>
    <w:rsid w:val="00002E0A"/>
    <w:rsid w:val="00003353"/>
    <w:rsid w:val="00003F9A"/>
    <w:rsid w:val="00004077"/>
    <w:rsid w:val="0000575D"/>
    <w:rsid w:val="00006621"/>
    <w:rsid w:val="00006656"/>
    <w:rsid w:val="00006AEF"/>
    <w:rsid w:val="0000755E"/>
    <w:rsid w:val="000079DB"/>
    <w:rsid w:val="00010262"/>
    <w:rsid w:val="000111C9"/>
    <w:rsid w:val="000115EC"/>
    <w:rsid w:val="0001282B"/>
    <w:rsid w:val="0001521A"/>
    <w:rsid w:val="00016FC8"/>
    <w:rsid w:val="000171A0"/>
    <w:rsid w:val="0002005B"/>
    <w:rsid w:val="00020298"/>
    <w:rsid w:val="0002064A"/>
    <w:rsid w:val="00020BD7"/>
    <w:rsid w:val="0002175F"/>
    <w:rsid w:val="00022EEE"/>
    <w:rsid w:val="000237CB"/>
    <w:rsid w:val="00023930"/>
    <w:rsid w:val="00024636"/>
    <w:rsid w:val="000247A7"/>
    <w:rsid w:val="000262A7"/>
    <w:rsid w:val="0002673C"/>
    <w:rsid w:val="000277F3"/>
    <w:rsid w:val="0003264E"/>
    <w:rsid w:val="00034F62"/>
    <w:rsid w:val="000364F8"/>
    <w:rsid w:val="000365EE"/>
    <w:rsid w:val="00037181"/>
    <w:rsid w:val="000406BE"/>
    <w:rsid w:val="00040B95"/>
    <w:rsid w:val="000411AD"/>
    <w:rsid w:val="000414FE"/>
    <w:rsid w:val="00041539"/>
    <w:rsid w:val="00042C24"/>
    <w:rsid w:val="000435C5"/>
    <w:rsid w:val="00044237"/>
    <w:rsid w:val="000445BE"/>
    <w:rsid w:val="000452F9"/>
    <w:rsid w:val="00045775"/>
    <w:rsid w:val="00045AAC"/>
    <w:rsid w:val="00045EB0"/>
    <w:rsid w:val="00046795"/>
    <w:rsid w:val="000476D7"/>
    <w:rsid w:val="0005127B"/>
    <w:rsid w:val="0005231F"/>
    <w:rsid w:val="00055E66"/>
    <w:rsid w:val="00056571"/>
    <w:rsid w:val="00057C8E"/>
    <w:rsid w:val="00060878"/>
    <w:rsid w:val="0006294C"/>
    <w:rsid w:val="000635EB"/>
    <w:rsid w:val="00064B03"/>
    <w:rsid w:val="00065927"/>
    <w:rsid w:val="00066658"/>
    <w:rsid w:val="000666DA"/>
    <w:rsid w:val="00070859"/>
    <w:rsid w:val="00070BCC"/>
    <w:rsid w:val="00071DFB"/>
    <w:rsid w:val="00073AAB"/>
    <w:rsid w:val="00073ABF"/>
    <w:rsid w:val="000751A1"/>
    <w:rsid w:val="0007636A"/>
    <w:rsid w:val="00080393"/>
    <w:rsid w:val="00080FC6"/>
    <w:rsid w:val="00081290"/>
    <w:rsid w:val="00081790"/>
    <w:rsid w:val="00081E73"/>
    <w:rsid w:val="00082023"/>
    <w:rsid w:val="000829F5"/>
    <w:rsid w:val="00082AB2"/>
    <w:rsid w:val="00082B52"/>
    <w:rsid w:val="00083F12"/>
    <w:rsid w:val="000854C5"/>
    <w:rsid w:val="00085639"/>
    <w:rsid w:val="000876A1"/>
    <w:rsid w:val="00090830"/>
    <w:rsid w:val="000908DD"/>
    <w:rsid w:val="0009232C"/>
    <w:rsid w:val="00092D35"/>
    <w:rsid w:val="00095357"/>
    <w:rsid w:val="000959AE"/>
    <w:rsid w:val="0009604F"/>
    <w:rsid w:val="000963ED"/>
    <w:rsid w:val="000A004F"/>
    <w:rsid w:val="000A1313"/>
    <w:rsid w:val="000A14A7"/>
    <w:rsid w:val="000A170A"/>
    <w:rsid w:val="000A1903"/>
    <w:rsid w:val="000A24F5"/>
    <w:rsid w:val="000A2AF5"/>
    <w:rsid w:val="000A2F5C"/>
    <w:rsid w:val="000A350E"/>
    <w:rsid w:val="000A3626"/>
    <w:rsid w:val="000A61B7"/>
    <w:rsid w:val="000A6E4A"/>
    <w:rsid w:val="000A7689"/>
    <w:rsid w:val="000B21C4"/>
    <w:rsid w:val="000B235F"/>
    <w:rsid w:val="000B379B"/>
    <w:rsid w:val="000B43A0"/>
    <w:rsid w:val="000B4BE7"/>
    <w:rsid w:val="000B4C8A"/>
    <w:rsid w:val="000B4E1C"/>
    <w:rsid w:val="000B75A2"/>
    <w:rsid w:val="000C00AF"/>
    <w:rsid w:val="000C11FE"/>
    <w:rsid w:val="000C26F7"/>
    <w:rsid w:val="000C2DFC"/>
    <w:rsid w:val="000C3113"/>
    <w:rsid w:val="000C3444"/>
    <w:rsid w:val="000C3B43"/>
    <w:rsid w:val="000C414C"/>
    <w:rsid w:val="000C55ED"/>
    <w:rsid w:val="000C5918"/>
    <w:rsid w:val="000C68D1"/>
    <w:rsid w:val="000D1063"/>
    <w:rsid w:val="000D1148"/>
    <w:rsid w:val="000D1233"/>
    <w:rsid w:val="000D242B"/>
    <w:rsid w:val="000D2934"/>
    <w:rsid w:val="000D40BE"/>
    <w:rsid w:val="000D4A4D"/>
    <w:rsid w:val="000D7AEA"/>
    <w:rsid w:val="000E051C"/>
    <w:rsid w:val="000E2298"/>
    <w:rsid w:val="000E563F"/>
    <w:rsid w:val="000E58BC"/>
    <w:rsid w:val="000E694C"/>
    <w:rsid w:val="000E726C"/>
    <w:rsid w:val="000F01BC"/>
    <w:rsid w:val="000F1A06"/>
    <w:rsid w:val="000F2ED2"/>
    <w:rsid w:val="000F362A"/>
    <w:rsid w:val="000F37E8"/>
    <w:rsid w:val="000F4895"/>
    <w:rsid w:val="000F57B5"/>
    <w:rsid w:val="000F63A6"/>
    <w:rsid w:val="000F69D0"/>
    <w:rsid w:val="000F7578"/>
    <w:rsid w:val="00101B12"/>
    <w:rsid w:val="001020D0"/>
    <w:rsid w:val="00102DB7"/>
    <w:rsid w:val="0010395C"/>
    <w:rsid w:val="00103D30"/>
    <w:rsid w:val="00103E4D"/>
    <w:rsid w:val="00104CF8"/>
    <w:rsid w:val="00104DB3"/>
    <w:rsid w:val="00106115"/>
    <w:rsid w:val="00107690"/>
    <w:rsid w:val="00111A59"/>
    <w:rsid w:val="001122B1"/>
    <w:rsid w:val="001130A2"/>
    <w:rsid w:val="00113AB2"/>
    <w:rsid w:val="00114286"/>
    <w:rsid w:val="00114EB9"/>
    <w:rsid w:val="00115B51"/>
    <w:rsid w:val="0011609B"/>
    <w:rsid w:val="00116103"/>
    <w:rsid w:val="00116CE8"/>
    <w:rsid w:val="001213CB"/>
    <w:rsid w:val="00122629"/>
    <w:rsid w:val="0012273D"/>
    <w:rsid w:val="00122DAF"/>
    <w:rsid w:val="00124574"/>
    <w:rsid w:val="00125912"/>
    <w:rsid w:val="00125A36"/>
    <w:rsid w:val="00125F50"/>
    <w:rsid w:val="0012681B"/>
    <w:rsid w:val="00132C73"/>
    <w:rsid w:val="001330B7"/>
    <w:rsid w:val="00133C2D"/>
    <w:rsid w:val="00134579"/>
    <w:rsid w:val="00134AB7"/>
    <w:rsid w:val="00134FF6"/>
    <w:rsid w:val="00135A71"/>
    <w:rsid w:val="0013618E"/>
    <w:rsid w:val="00136207"/>
    <w:rsid w:val="0013796F"/>
    <w:rsid w:val="001413F4"/>
    <w:rsid w:val="00141CAE"/>
    <w:rsid w:val="001431AD"/>
    <w:rsid w:val="00143A45"/>
    <w:rsid w:val="00143FE5"/>
    <w:rsid w:val="00144557"/>
    <w:rsid w:val="00145B5F"/>
    <w:rsid w:val="0015145D"/>
    <w:rsid w:val="0015208D"/>
    <w:rsid w:val="001523F3"/>
    <w:rsid w:val="00152855"/>
    <w:rsid w:val="001533AB"/>
    <w:rsid w:val="00153602"/>
    <w:rsid w:val="00153A6E"/>
    <w:rsid w:val="00154B46"/>
    <w:rsid w:val="00154F2A"/>
    <w:rsid w:val="0015563C"/>
    <w:rsid w:val="00155B3E"/>
    <w:rsid w:val="00156331"/>
    <w:rsid w:val="001563C9"/>
    <w:rsid w:val="001563D0"/>
    <w:rsid w:val="00156B50"/>
    <w:rsid w:val="00157806"/>
    <w:rsid w:val="00161355"/>
    <w:rsid w:val="00162B5D"/>
    <w:rsid w:val="00163C8B"/>
    <w:rsid w:val="00163D56"/>
    <w:rsid w:val="0016443C"/>
    <w:rsid w:val="00164899"/>
    <w:rsid w:val="00164D01"/>
    <w:rsid w:val="001651FF"/>
    <w:rsid w:val="001653C0"/>
    <w:rsid w:val="00165BE4"/>
    <w:rsid w:val="001663BB"/>
    <w:rsid w:val="0016700A"/>
    <w:rsid w:val="00170744"/>
    <w:rsid w:val="001715F1"/>
    <w:rsid w:val="00171ACE"/>
    <w:rsid w:val="00172C06"/>
    <w:rsid w:val="00173BDE"/>
    <w:rsid w:val="00174DB5"/>
    <w:rsid w:val="00174F16"/>
    <w:rsid w:val="0017553C"/>
    <w:rsid w:val="00180239"/>
    <w:rsid w:val="00181168"/>
    <w:rsid w:val="00181887"/>
    <w:rsid w:val="001826BA"/>
    <w:rsid w:val="001828E3"/>
    <w:rsid w:val="00183799"/>
    <w:rsid w:val="00184647"/>
    <w:rsid w:val="00184EC2"/>
    <w:rsid w:val="00185820"/>
    <w:rsid w:val="0018697C"/>
    <w:rsid w:val="00187509"/>
    <w:rsid w:val="00187990"/>
    <w:rsid w:val="00187A9B"/>
    <w:rsid w:val="001920AF"/>
    <w:rsid w:val="0019245A"/>
    <w:rsid w:val="0019528E"/>
    <w:rsid w:val="00195D84"/>
    <w:rsid w:val="00195EBD"/>
    <w:rsid w:val="00196258"/>
    <w:rsid w:val="001962E4"/>
    <w:rsid w:val="00197819"/>
    <w:rsid w:val="00197BEE"/>
    <w:rsid w:val="001A0561"/>
    <w:rsid w:val="001A1C7F"/>
    <w:rsid w:val="001A2591"/>
    <w:rsid w:val="001A4995"/>
    <w:rsid w:val="001A571C"/>
    <w:rsid w:val="001A644F"/>
    <w:rsid w:val="001B060E"/>
    <w:rsid w:val="001B0A26"/>
    <w:rsid w:val="001B1095"/>
    <w:rsid w:val="001B1302"/>
    <w:rsid w:val="001B1338"/>
    <w:rsid w:val="001B1605"/>
    <w:rsid w:val="001B1BC0"/>
    <w:rsid w:val="001B2250"/>
    <w:rsid w:val="001B30FD"/>
    <w:rsid w:val="001B378D"/>
    <w:rsid w:val="001B3D59"/>
    <w:rsid w:val="001B43A5"/>
    <w:rsid w:val="001B492F"/>
    <w:rsid w:val="001B63E8"/>
    <w:rsid w:val="001B72F2"/>
    <w:rsid w:val="001B7CC7"/>
    <w:rsid w:val="001B7FD4"/>
    <w:rsid w:val="001C0317"/>
    <w:rsid w:val="001C0538"/>
    <w:rsid w:val="001C0A56"/>
    <w:rsid w:val="001C124E"/>
    <w:rsid w:val="001C19F3"/>
    <w:rsid w:val="001C1E44"/>
    <w:rsid w:val="001C314E"/>
    <w:rsid w:val="001C338E"/>
    <w:rsid w:val="001C4898"/>
    <w:rsid w:val="001C5A1C"/>
    <w:rsid w:val="001C5D9E"/>
    <w:rsid w:val="001C617A"/>
    <w:rsid w:val="001C61AD"/>
    <w:rsid w:val="001D09D3"/>
    <w:rsid w:val="001D0F9B"/>
    <w:rsid w:val="001D1447"/>
    <w:rsid w:val="001D14E2"/>
    <w:rsid w:val="001D18D6"/>
    <w:rsid w:val="001D1FAD"/>
    <w:rsid w:val="001D23FB"/>
    <w:rsid w:val="001D24BD"/>
    <w:rsid w:val="001D258B"/>
    <w:rsid w:val="001D2EA6"/>
    <w:rsid w:val="001D50C4"/>
    <w:rsid w:val="001D614B"/>
    <w:rsid w:val="001D69D8"/>
    <w:rsid w:val="001D6F49"/>
    <w:rsid w:val="001E00CC"/>
    <w:rsid w:val="001E0175"/>
    <w:rsid w:val="001E0E65"/>
    <w:rsid w:val="001E1463"/>
    <w:rsid w:val="001E2E1D"/>
    <w:rsid w:val="001E30E3"/>
    <w:rsid w:val="001E3161"/>
    <w:rsid w:val="001E6F7A"/>
    <w:rsid w:val="001E7355"/>
    <w:rsid w:val="001E7A7F"/>
    <w:rsid w:val="001F09C6"/>
    <w:rsid w:val="001F1DE5"/>
    <w:rsid w:val="001F4E9B"/>
    <w:rsid w:val="001F68C0"/>
    <w:rsid w:val="00202CB8"/>
    <w:rsid w:val="00204928"/>
    <w:rsid w:val="002063AB"/>
    <w:rsid w:val="00206929"/>
    <w:rsid w:val="00206F45"/>
    <w:rsid w:val="00210AD4"/>
    <w:rsid w:val="002113B7"/>
    <w:rsid w:val="00211C50"/>
    <w:rsid w:val="00211D1B"/>
    <w:rsid w:val="0021405C"/>
    <w:rsid w:val="002163A0"/>
    <w:rsid w:val="00217837"/>
    <w:rsid w:val="00220645"/>
    <w:rsid w:val="00221288"/>
    <w:rsid w:val="00222B81"/>
    <w:rsid w:val="00222D98"/>
    <w:rsid w:val="002233B3"/>
    <w:rsid w:val="00224F14"/>
    <w:rsid w:val="00226D38"/>
    <w:rsid w:val="0022785B"/>
    <w:rsid w:val="00227AF5"/>
    <w:rsid w:val="00230C2D"/>
    <w:rsid w:val="00232ECD"/>
    <w:rsid w:val="00235916"/>
    <w:rsid w:val="00237A27"/>
    <w:rsid w:val="00237C84"/>
    <w:rsid w:val="002418F3"/>
    <w:rsid w:val="0024233A"/>
    <w:rsid w:val="00242BF6"/>
    <w:rsid w:val="00243370"/>
    <w:rsid w:val="00243677"/>
    <w:rsid w:val="002448B5"/>
    <w:rsid w:val="00244CD3"/>
    <w:rsid w:val="00244D56"/>
    <w:rsid w:val="00245B1A"/>
    <w:rsid w:val="00245C91"/>
    <w:rsid w:val="00251584"/>
    <w:rsid w:val="00251992"/>
    <w:rsid w:val="0025320B"/>
    <w:rsid w:val="00255F75"/>
    <w:rsid w:val="0026003E"/>
    <w:rsid w:val="00260B36"/>
    <w:rsid w:val="00260D73"/>
    <w:rsid w:val="00261046"/>
    <w:rsid w:val="002627CE"/>
    <w:rsid w:val="00263548"/>
    <w:rsid w:val="00263684"/>
    <w:rsid w:val="002641D8"/>
    <w:rsid w:val="00264566"/>
    <w:rsid w:val="00264977"/>
    <w:rsid w:val="00265264"/>
    <w:rsid w:val="00265270"/>
    <w:rsid w:val="00266E19"/>
    <w:rsid w:val="00267EC7"/>
    <w:rsid w:val="0027006E"/>
    <w:rsid w:val="0027018A"/>
    <w:rsid w:val="002701B2"/>
    <w:rsid w:val="00270211"/>
    <w:rsid w:val="0027072D"/>
    <w:rsid w:val="00270C84"/>
    <w:rsid w:val="00271984"/>
    <w:rsid w:val="00272405"/>
    <w:rsid w:val="00272470"/>
    <w:rsid w:val="002734B8"/>
    <w:rsid w:val="0027495A"/>
    <w:rsid w:val="002758F5"/>
    <w:rsid w:val="002767D7"/>
    <w:rsid w:val="00280924"/>
    <w:rsid w:val="0028116C"/>
    <w:rsid w:val="0028255E"/>
    <w:rsid w:val="002825CE"/>
    <w:rsid w:val="002830E0"/>
    <w:rsid w:val="0028400B"/>
    <w:rsid w:val="00284291"/>
    <w:rsid w:val="0028501A"/>
    <w:rsid w:val="00285519"/>
    <w:rsid w:val="00285A0C"/>
    <w:rsid w:val="00285F08"/>
    <w:rsid w:val="00286092"/>
    <w:rsid w:val="0028619B"/>
    <w:rsid w:val="00286250"/>
    <w:rsid w:val="0028656D"/>
    <w:rsid w:val="00287455"/>
    <w:rsid w:val="00291AD6"/>
    <w:rsid w:val="00291B01"/>
    <w:rsid w:val="002921A6"/>
    <w:rsid w:val="002965AF"/>
    <w:rsid w:val="00297744"/>
    <w:rsid w:val="002A313D"/>
    <w:rsid w:val="002A388B"/>
    <w:rsid w:val="002A3931"/>
    <w:rsid w:val="002A434A"/>
    <w:rsid w:val="002A4D34"/>
    <w:rsid w:val="002A673D"/>
    <w:rsid w:val="002A755D"/>
    <w:rsid w:val="002A77ED"/>
    <w:rsid w:val="002B1F40"/>
    <w:rsid w:val="002B2B67"/>
    <w:rsid w:val="002B39FE"/>
    <w:rsid w:val="002B40D2"/>
    <w:rsid w:val="002B58FA"/>
    <w:rsid w:val="002B6F0B"/>
    <w:rsid w:val="002C01D4"/>
    <w:rsid w:val="002C034D"/>
    <w:rsid w:val="002C083D"/>
    <w:rsid w:val="002C2EB4"/>
    <w:rsid w:val="002C42F2"/>
    <w:rsid w:val="002C4AEB"/>
    <w:rsid w:val="002C5A14"/>
    <w:rsid w:val="002C6631"/>
    <w:rsid w:val="002C7058"/>
    <w:rsid w:val="002D0CCD"/>
    <w:rsid w:val="002D17D7"/>
    <w:rsid w:val="002D3526"/>
    <w:rsid w:val="002D37B1"/>
    <w:rsid w:val="002D47E6"/>
    <w:rsid w:val="002D5AD2"/>
    <w:rsid w:val="002D66DA"/>
    <w:rsid w:val="002D73EE"/>
    <w:rsid w:val="002E05C3"/>
    <w:rsid w:val="002E0672"/>
    <w:rsid w:val="002E09DA"/>
    <w:rsid w:val="002E1413"/>
    <w:rsid w:val="002E1D0A"/>
    <w:rsid w:val="002E29A1"/>
    <w:rsid w:val="002E2CB7"/>
    <w:rsid w:val="002E3185"/>
    <w:rsid w:val="002E3472"/>
    <w:rsid w:val="002E4EAA"/>
    <w:rsid w:val="002E522A"/>
    <w:rsid w:val="002E6779"/>
    <w:rsid w:val="002E6A76"/>
    <w:rsid w:val="002E7540"/>
    <w:rsid w:val="002E7D27"/>
    <w:rsid w:val="002F1ABD"/>
    <w:rsid w:val="002F2612"/>
    <w:rsid w:val="002F2A3B"/>
    <w:rsid w:val="002F3FA2"/>
    <w:rsid w:val="002F410F"/>
    <w:rsid w:val="002F5A2C"/>
    <w:rsid w:val="003001B4"/>
    <w:rsid w:val="00300432"/>
    <w:rsid w:val="00303006"/>
    <w:rsid w:val="00304642"/>
    <w:rsid w:val="00304E1E"/>
    <w:rsid w:val="003064CD"/>
    <w:rsid w:val="00307AC8"/>
    <w:rsid w:val="00310587"/>
    <w:rsid w:val="00311267"/>
    <w:rsid w:val="00312C2A"/>
    <w:rsid w:val="00312FB4"/>
    <w:rsid w:val="00314E5E"/>
    <w:rsid w:val="00315231"/>
    <w:rsid w:val="003157C3"/>
    <w:rsid w:val="00315B26"/>
    <w:rsid w:val="0031732D"/>
    <w:rsid w:val="0032110A"/>
    <w:rsid w:val="0032426A"/>
    <w:rsid w:val="00325615"/>
    <w:rsid w:val="0032655A"/>
    <w:rsid w:val="003266B1"/>
    <w:rsid w:val="00327335"/>
    <w:rsid w:val="00331262"/>
    <w:rsid w:val="00331590"/>
    <w:rsid w:val="00332F68"/>
    <w:rsid w:val="0033303A"/>
    <w:rsid w:val="003331E4"/>
    <w:rsid w:val="003334F7"/>
    <w:rsid w:val="00343135"/>
    <w:rsid w:val="00343306"/>
    <w:rsid w:val="00343699"/>
    <w:rsid w:val="003438FF"/>
    <w:rsid w:val="0034484A"/>
    <w:rsid w:val="00344A64"/>
    <w:rsid w:val="00345C6E"/>
    <w:rsid w:val="00345E8A"/>
    <w:rsid w:val="0034619D"/>
    <w:rsid w:val="00350262"/>
    <w:rsid w:val="0035091A"/>
    <w:rsid w:val="00350F69"/>
    <w:rsid w:val="00351481"/>
    <w:rsid w:val="00351E7F"/>
    <w:rsid w:val="00352C26"/>
    <w:rsid w:val="0035356C"/>
    <w:rsid w:val="003535E2"/>
    <w:rsid w:val="00353AD1"/>
    <w:rsid w:val="003549B9"/>
    <w:rsid w:val="0035637B"/>
    <w:rsid w:val="00356908"/>
    <w:rsid w:val="00360894"/>
    <w:rsid w:val="00360BC8"/>
    <w:rsid w:val="00361737"/>
    <w:rsid w:val="0036216D"/>
    <w:rsid w:val="00362AF4"/>
    <w:rsid w:val="00362F8B"/>
    <w:rsid w:val="0036337A"/>
    <w:rsid w:val="00364000"/>
    <w:rsid w:val="00364A23"/>
    <w:rsid w:val="0036567B"/>
    <w:rsid w:val="00366767"/>
    <w:rsid w:val="00367FB4"/>
    <w:rsid w:val="00367FB5"/>
    <w:rsid w:val="003706F5"/>
    <w:rsid w:val="0037073C"/>
    <w:rsid w:val="00370F47"/>
    <w:rsid w:val="00370F94"/>
    <w:rsid w:val="003714F5"/>
    <w:rsid w:val="00374E1D"/>
    <w:rsid w:val="00375699"/>
    <w:rsid w:val="00375ECE"/>
    <w:rsid w:val="00377F45"/>
    <w:rsid w:val="0038027A"/>
    <w:rsid w:val="00380929"/>
    <w:rsid w:val="00381B3F"/>
    <w:rsid w:val="003827FE"/>
    <w:rsid w:val="0038457D"/>
    <w:rsid w:val="00385FEA"/>
    <w:rsid w:val="003861B4"/>
    <w:rsid w:val="00387A78"/>
    <w:rsid w:val="00390E55"/>
    <w:rsid w:val="00390F98"/>
    <w:rsid w:val="003917E6"/>
    <w:rsid w:val="00393032"/>
    <w:rsid w:val="0039324C"/>
    <w:rsid w:val="00393558"/>
    <w:rsid w:val="00396551"/>
    <w:rsid w:val="0039668F"/>
    <w:rsid w:val="00396D9A"/>
    <w:rsid w:val="00397C9F"/>
    <w:rsid w:val="00397E30"/>
    <w:rsid w:val="003A1A83"/>
    <w:rsid w:val="003A2AC0"/>
    <w:rsid w:val="003A3C0C"/>
    <w:rsid w:val="003A48D0"/>
    <w:rsid w:val="003A4BBA"/>
    <w:rsid w:val="003A6A8C"/>
    <w:rsid w:val="003A72AD"/>
    <w:rsid w:val="003A7CC0"/>
    <w:rsid w:val="003B0525"/>
    <w:rsid w:val="003B1672"/>
    <w:rsid w:val="003B1DBB"/>
    <w:rsid w:val="003B37EC"/>
    <w:rsid w:val="003B45F5"/>
    <w:rsid w:val="003B5775"/>
    <w:rsid w:val="003B5C12"/>
    <w:rsid w:val="003B6C22"/>
    <w:rsid w:val="003B6F9F"/>
    <w:rsid w:val="003B7243"/>
    <w:rsid w:val="003C0D58"/>
    <w:rsid w:val="003C1C5C"/>
    <w:rsid w:val="003C3636"/>
    <w:rsid w:val="003C3896"/>
    <w:rsid w:val="003C3BA3"/>
    <w:rsid w:val="003D1064"/>
    <w:rsid w:val="003D1098"/>
    <w:rsid w:val="003D2CFD"/>
    <w:rsid w:val="003D48E2"/>
    <w:rsid w:val="003D492D"/>
    <w:rsid w:val="003D5560"/>
    <w:rsid w:val="003D5577"/>
    <w:rsid w:val="003D63CB"/>
    <w:rsid w:val="003D6EBC"/>
    <w:rsid w:val="003D79FE"/>
    <w:rsid w:val="003D7DD0"/>
    <w:rsid w:val="003E03C5"/>
    <w:rsid w:val="003E0693"/>
    <w:rsid w:val="003E23B3"/>
    <w:rsid w:val="003E3BFE"/>
    <w:rsid w:val="003E42BF"/>
    <w:rsid w:val="003E57A7"/>
    <w:rsid w:val="003E6F2E"/>
    <w:rsid w:val="003E7267"/>
    <w:rsid w:val="003E7E42"/>
    <w:rsid w:val="003F0865"/>
    <w:rsid w:val="003F1FC5"/>
    <w:rsid w:val="003F3F05"/>
    <w:rsid w:val="003F44EE"/>
    <w:rsid w:val="003F47ED"/>
    <w:rsid w:val="003F63F5"/>
    <w:rsid w:val="003F66AE"/>
    <w:rsid w:val="003F72F4"/>
    <w:rsid w:val="003F771D"/>
    <w:rsid w:val="00400B47"/>
    <w:rsid w:val="0040138D"/>
    <w:rsid w:val="00402649"/>
    <w:rsid w:val="00402F57"/>
    <w:rsid w:val="00402FF3"/>
    <w:rsid w:val="00403D21"/>
    <w:rsid w:val="00403F0D"/>
    <w:rsid w:val="00404CBD"/>
    <w:rsid w:val="00405248"/>
    <w:rsid w:val="00405CB1"/>
    <w:rsid w:val="00406C20"/>
    <w:rsid w:val="00406CA0"/>
    <w:rsid w:val="00407CEB"/>
    <w:rsid w:val="0041119A"/>
    <w:rsid w:val="00411F5F"/>
    <w:rsid w:val="004123DC"/>
    <w:rsid w:val="00412E24"/>
    <w:rsid w:val="004132B7"/>
    <w:rsid w:val="00414DAF"/>
    <w:rsid w:val="004163C1"/>
    <w:rsid w:val="00417E37"/>
    <w:rsid w:val="00417EBF"/>
    <w:rsid w:val="004206A8"/>
    <w:rsid w:val="00420DAD"/>
    <w:rsid w:val="0042194D"/>
    <w:rsid w:val="00421BE6"/>
    <w:rsid w:val="0042236B"/>
    <w:rsid w:val="00423393"/>
    <w:rsid w:val="00424962"/>
    <w:rsid w:val="00426439"/>
    <w:rsid w:val="0042703E"/>
    <w:rsid w:val="00427E70"/>
    <w:rsid w:val="0043034D"/>
    <w:rsid w:val="00430D16"/>
    <w:rsid w:val="004332A0"/>
    <w:rsid w:val="00433CD0"/>
    <w:rsid w:val="00433E75"/>
    <w:rsid w:val="00433F3F"/>
    <w:rsid w:val="00434AA1"/>
    <w:rsid w:val="00437D58"/>
    <w:rsid w:val="00437E7B"/>
    <w:rsid w:val="00441993"/>
    <w:rsid w:val="004420BA"/>
    <w:rsid w:val="00445536"/>
    <w:rsid w:val="004463BE"/>
    <w:rsid w:val="0044773F"/>
    <w:rsid w:val="00447AF1"/>
    <w:rsid w:val="004516AC"/>
    <w:rsid w:val="00451D2F"/>
    <w:rsid w:val="00453C50"/>
    <w:rsid w:val="00453D8F"/>
    <w:rsid w:val="00453E56"/>
    <w:rsid w:val="00454030"/>
    <w:rsid w:val="00454146"/>
    <w:rsid w:val="004543E4"/>
    <w:rsid w:val="00454571"/>
    <w:rsid w:val="004549BC"/>
    <w:rsid w:val="00454FC6"/>
    <w:rsid w:val="00456FD9"/>
    <w:rsid w:val="00460796"/>
    <w:rsid w:val="0046130D"/>
    <w:rsid w:val="004624EB"/>
    <w:rsid w:val="004627A7"/>
    <w:rsid w:val="004635F7"/>
    <w:rsid w:val="00465476"/>
    <w:rsid w:val="004654B5"/>
    <w:rsid w:val="00465C88"/>
    <w:rsid w:val="00466B75"/>
    <w:rsid w:val="00466D1B"/>
    <w:rsid w:val="00466EF3"/>
    <w:rsid w:val="00467475"/>
    <w:rsid w:val="004713D5"/>
    <w:rsid w:val="00471686"/>
    <w:rsid w:val="00472F90"/>
    <w:rsid w:val="004766B3"/>
    <w:rsid w:val="004767B0"/>
    <w:rsid w:val="00477D2F"/>
    <w:rsid w:val="00477F6D"/>
    <w:rsid w:val="00481EE7"/>
    <w:rsid w:val="0048298C"/>
    <w:rsid w:val="004833C4"/>
    <w:rsid w:val="004838C9"/>
    <w:rsid w:val="00483CBA"/>
    <w:rsid w:val="004847DE"/>
    <w:rsid w:val="0048617E"/>
    <w:rsid w:val="004901B1"/>
    <w:rsid w:val="00490A22"/>
    <w:rsid w:val="00493F4E"/>
    <w:rsid w:val="00493F6E"/>
    <w:rsid w:val="004948CA"/>
    <w:rsid w:val="004956D2"/>
    <w:rsid w:val="00495F69"/>
    <w:rsid w:val="0049666D"/>
    <w:rsid w:val="00496B80"/>
    <w:rsid w:val="004A0D9D"/>
    <w:rsid w:val="004A24B4"/>
    <w:rsid w:val="004A2791"/>
    <w:rsid w:val="004A2C96"/>
    <w:rsid w:val="004A2FEA"/>
    <w:rsid w:val="004A328B"/>
    <w:rsid w:val="004A43EB"/>
    <w:rsid w:val="004A499A"/>
    <w:rsid w:val="004A4A35"/>
    <w:rsid w:val="004A59B8"/>
    <w:rsid w:val="004A5F95"/>
    <w:rsid w:val="004A750B"/>
    <w:rsid w:val="004B23B3"/>
    <w:rsid w:val="004B32CC"/>
    <w:rsid w:val="004B3946"/>
    <w:rsid w:val="004B4E98"/>
    <w:rsid w:val="004B6793"/>
    <w:rsid w:val="004B7872"/>
    <w:rsid w:val="004B7AEC"/>
    <w:rsid w:val="004C01BD"/>
    <w:rsid w:val="004C05E6"/>
    <w:rsid w:val="004C0639"/>
    <w:rsid w:val="004C0C7A"/>
    <w:rsid w:val="004C1F0D"/>
    <w:rsid w:val="004C3BAC"/>
    <w:rsid w:val="004C4794"/>
    <w:rsid w:val="004C5801"/>
    <w:rsid w:val="004C763E"/>
    <w:rsid w:val="004D0069"/>
    <w:rsid w:val="004D07FA"/>
    <w:rsid w:val="004D1D3B"/>
    <w:rsid w:val="004D2FB0"/>
    <w:rsid w:val="004D6F9A"/>
    <w:rsid w:val="004D703C"/>
    <w:rsid w:val="004D72A3"/>
    <w:rsid w:val="004D7C4E"/>
    <w:rsid w:val="004E1D0C"/>
    <w:rsid w:val="004E23F1"/>
    <w:rsid w:val="004E2FCE"/>
    <w:rsid w:val="004E3DC5"/>
    <w:rsid w:val="004E4559"/>
    <w:rsid w:val="004E4A64"/>
    <w:rsid w:val="004E4B01"/>
    <w:rsid w:val="004E547E"/>
    <w:rsid w:val="004E55DC"/>
    <w:rsid w:val="004E5B8D"/>
    <w:rsid w:val="004F0793"/>
    <w:rsid w:val="004F0F17"/>
    <w:rsid w:val="004F225C"/>
    <w:rsid w:val="004F3AFD"/>
    <w:rsid w:val="004F79CE"/>
    <w:rsid w:val="0050086F"/>
    <w:rsid w:val="00500E71"/>
    <w:rsid w:val="0050259A"/>
    <w:rsid w:val="00502B04"/>
    <w:rsid w:val="00502F98"/>
    <w:rsid w:val="00503286"/>
    <w:rsid w:val="00503F25"/>
    <w:rsid w:val="00504A69"/>
    <w:rsid w:val="005055DF"/>
    <w:rsid w:val="00505AA9"/>
    <w:rsid w:val="00505C1A"/>
    <w:rsid w:val="005079F5"/>
    <w:rsid w:val="00510B57"/>
    <w:rsid w:val="00511944"/>
    <w:rsid w:val="00513687"/>
    <w:rsid w:val="00513B6B"/>
    <w:rsid w:val="00514AEA"/>
    <w:rsid w:val="00516B4B"/>
    <w:rsid w:val="0051708D"/>
    <w:rsid w:val="005172D6"/>
    <w:rsid w:val="00521305"/>
    <w:rsid w:val="00521618"/>
    <w:rsid w:val="00522BCD"/>
    <w:rsid w:val="00523305"/>
    <w:rsid w:val="005235E1"/>
    <w:rsid w:val="00523AD5"/>
    <w:rsid w:val="00523C63"/>
    <w:rsid w:val="005243BD"/>
    <w:rsid w:val="00525D2C"/>
    <w:rsid w:val="00526305"/>
    <w:rsid w:val="005276D6"/>
    <w:rsid w:val="005302E8"/>
    <w:rsid w:val="00530BBF"/>
    <w:rsid w:val="005314AF"/>
    <w:rsid w:val="00531B6D"/>
    <w:rsid w:val="00532A42"/>
    <w:rsid w:val="00533210"/>
    <w:rsid w:val="005334A7"/>
    <w:rsid w:val="0053385A"/>
    <w:rsid w:val="005344DE"/>
    <w:rsid w:val="005348DE"/>
    <w:rsid w:val="00534A26"/>
    <w:rsid w:val="005356D1"/>
    <w:rsid w:val="00540406"/>
    <w:rsid w:val="00540EFF"/>
    <w:rsid w:val="00542FA5"/>
    <w:rsid w:val="00543549"/>
    <w:rsid w:val="00543FE8"/>
    <w:rsid w:val="005446F1"/>
    <w:rsid w:val="00545122"/>
    <w:rsid w:val="0054535B"/>
    <w:rsid w:val="00545C5C"/>
    <w:rsid w:val="00546BD7"/>
    <w:rsid w:val="00547065"/>
    <w:rsid w:val="005476BE"/>
    <w:rsid w:val="005477A7"/>
    <w:rsid w:val="0055193E"/>
    <w:rsid w:val="0055200D"/>
    <w:rsid w:val="00552B56"/>
    <w:rsid w:val="00552D18"/>
    <w:rsid w:val="005532B3"/>
    <w:rsid w:val="00554319"/>
    <w:rsid w:val="00556643"/>
    <w:rsid w:val="0055670A"/>
    <w:rsid w:val="00556EC0"/>
    <w:rsid w:val="00557798"/>
    <w:rsid w:val="00560BD5"/>
    <w:rsid w:val="005617E9"/>
    <w:rsid w:val="00561D49"/>
    <w:rsid w:val="00562202"/>
    <w:rsid w:val="0056228A"/>
    <w:rsid w:val="005625EC"/>
    <w:rsid w:val="00563CA1"/>
    <w:rsid w:val="005644B2"/>
    <w:rsid w:val="005652EF"/>
    <w:rsid w:val="00566A86"/>
    <w:rsid w:val="0056729D"/>
    <w:rsid w:val="0056770B"/>
    <w:rsid w:val="0057040F"/>
    <w:rsid w:val="00570527"/>
    <w:rsid w:val="005715FB"/>
    <w:rsid w:val="00571F25"/>
    <w:rsid w:val="005726E1"/>
    <w:rsid w:val="00572923"/>
    <w:rsid w:val="00575418"/>
    <w:rsid w:val="00575BEC"/>
    <w:rsid w:val="00576271"/>
    <w:rsid w:val="005765FC"/>
    <w:rsid w:val="00577F16"/>
    <w:rsid w:val="00582ECA"/>
    <w:rsid w:val="0058348E"/>
    <w:rsid w:val="00583778"/>
    <w:rsid w:val="0058506C"/>
    <w:rsid w:val="0058684A"/>
    <w:rsid w:val="00590F15"/>
    <w:rsid w:val="0059105F"/>
    <w:rsid w:val="0059137F"/>
    <w:rsid w:val="005915F1"/>
    <w:rsid w:val="00591AC5"/>
    <w:rsid w:val="00591E48"/>
    <w:rsid w:val="0059214F"/>
    <w:rsid w:val="00595245"/>
    <w:rsid w:val="0059709B"/>
    <w:rsid w:val="0059743A"/>
    <w:rsid w:val="00597D5A"/>
    <w:rsid w:val="00597EE7"/>
    <w:rsid w:val="005A0870"/>
    <w:rsid w:val="005A0D3F"/>
    <w:rsid w:val="005A2416"/>
    <w:rsid w:val="005A309B"/>
    <w:rsid w:val="005A5826"/>
    <w:rsid w:val="005A5C12"/>
    <w:rsid w:val="005A6410"/>
    <w:rsid w:val="005A6FC2"/>
    <w:rsid w:val="005A796B"/>
    <w:rsid w:val="005B1334"/>
    <w:rsid w:val="005B1836"/>
    <w:rsid w:val="005B2AB4"/>
    <w:rsid w:val="005B357E"/>
    <w:rsid w:val="005B797E"/>
    <w:rsid w:val="005B7FB0"/>
    <w:rsid w:val="005C03C8"/>
    <w:rsid w:val="005C0610"/>
    <w:rsid w:val="005C1CBA"/>
    <w:rsid w:val="005C2FE6"/>
    <w:rsid w:val="005C317C"/>
    <w:rsid w:val="005C3F6F"/>
    <w:rsid w:val="005C441F"/>
    <w:rsid w:val="005C4567"/>
    <w:rsid w:val="005C545F"/>
    <w:rsid w:val="005C54E4"/>
    <w:rsid w:val="005C56CC"/>
    <w:rsid w:val="005C58A2"/>
    <w:rsid w:val="005C5D8A"/>
    <w:rsid w:val="005C68CB"/>
    <w:rsid w:val="005C74DE"/>
    <w:rsid w:val="005D0182"/>
    <w:rsid w:val="005D167B"/>
    <w:rsid w:val="005D2B77"/>
    <w:rsid w:val="005D2E20"/>
    <w:rsid w:val="005D307D"/>
    <w:rsid w:val="005D3994"/>
    <w:rsid w:val="005D4D7B"/>
    <w:rsid w:val="005D66D3"/>
    <w:rsid w:val="005D6DB9"/>
    <w:rsid w:val="005D7108"/>
    <w:rsid w:val="005D7BAD"/>
    <w:rsid w:val="005E0622"/>
    <w:rsid w:val="005E0D0E"/>
    <w:rsid w:val="005E24F3"/>
    <w:rsid w:val="005E2B14"/>
    <w:rsid w:val="005E2D4E"/>
    <w:rsid w:val="005E3444"/>
    <w:rsid w:val="005E41E4"/>
    <w:rsid w:val="005E569E"/>
    <w:rsid w:val="005E5AB1"/>
    <w:rsid w:val="005E5D47"/>
    <w:rsid w:val="005E6680"/>
    <w:rsid w:val="005E7047"/>
    <w:rsid w:val="005E72A4"/>
    <w:rsid w:val="005F051E"/>
    <w:rsid w:val="005F0AD6"/>
    <w:rsid w:val="005F0B42"/>
    <w:rsid w:val="005F134E"/>
    <w:rsid w:val="005F21B5"/>
    <w:rsid w:val="005F3133"/>
    <w:rsid w:val="005F4144"/>
    <w:rsid w:val="005F5902"/>
    <w:rsid w:val="005F6C7D"/>
    <w:rsid w:val="006005B5"/>
    <w:rsid w:val="00601F10"/>
    <w:rsid w:val="006032FF"/>
    <w:rsid w:val="006034BE"/>
    <w:rsid w:val="00603531"/>
    <w:rsid w:val="00603F3D"/>
    <w:rsid w:val="006053D9"/>
    <w:rsid w:val="006055A0"/>
    <w:rsid w:val="006065AE"/>
    <w:rsid w:val="00607531"/>
    <w:rsid w:val="006077C8"/>
    <w:rsid w:val="006079E0"/>
    <w:rsid w:val="00610DF3"/>
    <w:rsid w:val="006111D8"/>
    <w:rsid w:val="00612525"/>
    <w:rsid w:val="00614A02"/>
    <w:rsid w:val="00615E85"/>
    <w:rsid w:val="00616A6E"/>
    <w:rsid w:val="00620AB8"/>
    <w:rsid w:val="0062206B"/>
    <w:rsid w:val="00623071"/>
    <w:rsid w:val="006233E5"/>
    <w:rsid w:val="00624710"/>
    <w:rsid w:val="00624E0D"/>
    <w:rsid w:val="006256BB"/>
    <w:rsid w:val="00626A1E"/>
    <w:rsid w:val="00626E34"/>
    <w:rsid w:val="006305B6"/>
    <w:rsid w:val="0063137F"/>
    <w:rsid w:val="00631522"/>
    <w:rsid w:val="00631869"/>
    <w:rsid w:val="00631DD3"/>
    <w:rsid w:val="0063322B"/>
    <w:rsid w:val="00633C15"/>
    <w:rsid w:val="006344DC"/>
    <w:rsid w:val="006353AE"/>
    <w:rsid w:val="006358E0"/>
    <w:rsid w:val="0063696D"/>
    <w:rsid w:val="006375F1"/>
    <w:rsid w:val="006378CB"/>
    <w:rsid w:val="00640EFA"/>
    <w:rsid w:val="00641051"/>
    <w:rsid w:val="006416A7"/>
    <w:rsid w:val="0064268E"/>
    <w:rsid w:val="00642729"/>
    <w:rsid w:val="006432C0"/>
    <w:rsid w:val="0064591D"/>
    <w:rsid w:val="00645CA8"/>
    <w:rsid w:val="00646B54"/>
    <w:rsid w:val="00647D66"/>
    <w:rsid w:val="0065053C"/>
    <w:rsid w:val="00650B5D"/>
    <w:rsid w:val="0065227B"/>
    <w:rsid w:val="00654E48"/>
    <w:rsid w:val="00656C60"/>
    <w:rsid w:val="00656D52"/>
    <w:rsid w:val="00657A5E"/>
    <w:rsid w:val="00657D14"/>
    <w:rsid w:val="00657FB8"/>
    <w:rsid w:val="006600A1"/>
    <w:rsid w:val="006603A7"/>
    <w:rsid w:val="00660670"/>
    <w:rsid w:val="006612B1"/>
    <w:rsid w:val="00663922"/>
    <w:rsid w:val="00663D59"/>
    <w:rsid w:val="00664161"/>
    <w:rsid w:val="0066449E"/>
    <w:rsid w:val="00664B3E"/>
    <w:rsid w:val="00664BD6"/>
    <w:rsid w:val="0066504A"/>
    <w:rsid w:val="0066673A"/>
    <w:rsid w:val="00670922"/>
    <w:rsid w:val="00671331"/>
    <w:rsid w:val="00671B84"/>
    <w:rsid w:val="0067234F"/>
    <w:rsid w:val="00674985"/>
    <w:rsid w:val="00674E2C"/>
    <w:rsid w:val="006752F2"/>
    <w:rsid w:val="00675318"/>
    <w:rsid w:val="006758BA"/>
    <w:rsid w:val="00676403"/>
    <w:rsid w:val="006764F1"/>
    <w:rsid w:val="006805BA"/>
    <w:rsid w:val="006820A9"/>
    <w:rsid w:val="00682D54"/>
    <w:rsid w:val="00683162"/>
    <w:rsid w:val="00683B12"/>
    <w:rsid w:val="00685CC9"/>
    <w:rsid w:val="00686CDF"/>
    <w:rsid w:val="00686D2E"/>
    <w:rsid w:val="00687BA3"/>
    <w:rsid w:val="00691F66"/>
    <w:rsid w:val="006923B8"/>
    <w:rsid w:val="00692B7F"/>
    <w:rsid w:val="006930DF"/>
    <w:rsid w:val="0069799D"/>
    <w:rsid w:val="006A0097"/>
    <w:rsid w:val="006A154A"/>
    <w:rsid w:val="006A183C"/>
    <w:rsid w:val="006A1944"/>
    <w:rsid w:val="006A2A2F"/>
    <w:rsid w:val="006A2BE0"/>
    <w:rsid w:val="006A38B7"/>
    <w:rsid w:val="006A3A40"/>
    <w:rsid w:val="006A3DEB"/>
    <w:rsid w:val="006A47A0"/>
    <w:rsid w:val="006A4F8B"/>
    <w:rsid w:val="006A52DD"/>
    <w:rsid w:val="006A57A2"/>
    <w:rsid w:val="006A68BA"/>
    <w:rsid w:val="006A7BAF"/>
    <w:rsid w:val="006A7C36"/>
    <w:rsid w:val="006A7D11"/>
    <w:rsid w:val="006B228E"/>
    <w:rsid w:val="006B2D40"/>
    <w:rsid w:val="006B344D"/>
    <w:rsid w:val="006B3D38"/>
    <w:rsid w:val="006B3F1F"/>
    <w:rsid w:val="006B4936"/>
    <w:rsid w:val="006B4A61"/>
    <w:rsid w:val="006B67FC"/>
    <w:rsid w:val="006B7546"/>
    <w:rsid w:val="006C0498"/>
    <w:rsid w:val="006C0759"/>
    <w:rsid w:val="006C0877"/>
    <w:rsid w:val="006C1CAD"/>
    <w:rsid w:val="006C21BE"/>
    <w:rsid w:val="006C2EFC"/>
    <w:rsid w:val="006C3496"/>
    <w:rsid w:val="006C3C2E"/>
    <w:rsid w:val="006C4776"/>
    <w:rsid w:val="006C48E9"/>
    <w:rsid w:val="006C5A56"/>
    <w:rsid w:val="006C7177"/>
    <w:rsid w:val="006C7772"/>
    <w:rsid w:val="006C7B59"/>
    <w:rsid w:val="006D0B79"/>
    <w:rsid w:val="006D22AA"/>
    <w:rsid w:val="006D3968"/>
    <w:rsid w:val="006D3C17"/>
    <w:rsid w:val="006D5868"/>
    <w:rsid w:val="006D6B33"/>
    <w:rsid w:val="006D6F13"/>
    <w:rsid w:val="006D6FC8"/>
    <w:rsid w:val="006D7368"/>
    <w:rsid w:val="006E0A85"/>
    <w:rsid w:val="006E0B96"/>
    <w:rsid w:val="006E1642"/>
    <w:rsid w:val="006E3060"/>
    <w:rsid w:val="006E3B0A"/>
    <w:rsid w:val="006E41CF"/>
    <w:rsid w:val="006E6716"/>
    <w:rsid w:val="006E7937"/>
    <w:rsid w:val="006E7E4E"/>
    <w:rsid w:val="006F000C"/>
    <w:rsid w:val="006F2063"/>
    <w:rsid w:val="006F347B"/>
    <w:rsid w:val="006F3A1B"/>
    <w:rsid w:val="006F3B01"/>
    <w:rsid w:val="006F4359"/>
    <w:rsid w:val="006F6712"/>
    <w:rsid w:val="007003BF"/>
    <w:rsid w:val="00701835"/>
    <w:rsid w:val="00701EBB"/>
    <w:rsid w:val="0070209D"/>
    <w:rsid w:val="00702209"/>
    <w:rsid w:val="00702479"/>
    <w:rsid w:val="0070287F"/>
    <w:rsid w:val="00702C45"/>
    <w:rsid w:val="0070447F"/>
    <w:rsid w:val="007065A3"/>
    <w:rsid w:val="007074A6"/>
    <w:rsid w:val="007078C5"/>
    <w:rsid w:val="0071142E"/>
    <w:rsid w:val="00711AB5"/>
    <w:rsid w:val="00711FA0"/>
    <w:rsid w:val="00712567"/>
    <w:rsid w:val="007138CB"/>
    <w:rsid w:val="00713FCB"/>
    <w:rsid w:val="00715608"/>
    <w:rsid w:val="00716E76"/>
    <w:rsid w:val="00717041"/>
    <w:rsid w:val="00717B9E"/>
    <w:rsid w:val="00717BEF"/>
    <w:rsid w:val="00717C0F"/>
    <w:rsid w:val="00720F71"/>
    <w:rsid w:val="00720FF3"/>
    <w:rsid w:val="00721ADA"/>
    <w:rsid w:val="00722F52"/>
    <w:rsid w:val="007246AE"/>
    <w:rsid w:val="00724A83"/>
    <w:rsid w:val="0072608D"/>
    <w:rsid w:val="00726183"/>
    <w:rsid w:val="00726F79"/>
    <w:rsid w:val="00731175"/>
    <w:rsid w:val="007315DA"/>
    <w:rsid w:val="00731D9A"/>
    <w:rsid w:val="007325C6"/>
    <w:rsid w:val="007326D2"/>
    <w:rsid w:val="00735025"/>
    <w:rsid w:val="00735AE0"/>
    <w:rsid w:val="007376BA"/>
    <w:rsid w:val="00737775"/>
    <w:rsid w:val="00741903"/>
    <w:rsid w:val="00741A88"/>
    <w:rsid w:val="007435D6"/>
    <w:rsid w:val="00743CD4"/>
    <w:rsid w:val="00744BB5"/>
    <w:rsid w:val="007450FA"/>
    <w:rsid w:val="00745CFC"/>
    <w:rsid w:val="00747156"/>
    <w:rsid w:val="0075072B"/>
    <w:rsid w:val="00750FD6"/>
    <w:rsid w:val="0075120A"/>
    <w:rsid w:val="00754C39"/>
    <w:rsid w:val="0075580C"/>
    <w:rsid w:val="0075646C"/>
    <w:rsid w:val="007574B9"/>
    <w:rsid w:val="00760355"/>
    <w:rsid w:val="0076178F"/>
    <w:rsid w:val="00761D7F"/>
    <w:rsid w:val="007637E0"/>
    <w:rsid w:val="007638EA"/>
    <w:rsid w:val="0076552B"/>
    <w:rsid w:val="00770D9F"/>
    <w:rsid w:val="0077147A"/>
    <w:rsid w:val="00771D6B"/>
    <w:rsid w:val="00773E1A"/>
    <w:rsid w:val="00774D77"/>
    <w:rsid w:val="00776606"/>
    <w:rsid w:val="00777063"/>
    <w:rsid w:val="00780C0B"/>
    <w:rsid w:val="00780E3C"/>
    <w:rsid w:val="00786E85"/>
    <w:rsid w:val="0078770F"/>
    <w:rsid w:val="0079222A"/>
    <w:rsid w:val="0079422D"/>
    <w:rsid w:val="0079634A"/>
    <w:rsid w:val="007A0893"/>
    <w:rsid w:val="007A0B8D"/>
    <w:rsid w:val="007A0FBF"/>
    <w:rsid w:val="007A1BB2"/>
    <w:rsid w:val="007A237C"/>
    <w:rsid w:val="007A3698"/>
    <w:rsid w:val="007A4992"/>
    <w:rsid w:val="007A4B1C"/>
    <w:rsid w:val="007A5114"/>
    <w:rsid w:val="007A72A0"/>
    <w:rsid w:val="007B14BA"/>
    <w:rsid w:val="007B4335"/>
    <w:rsid w:val="007B47A8"/>
    <w:rsid w:val="007B5248"/>
    <w:rsid w:val="007B7933"/>
    <w:rsid w:val="007B7B40"/>
    <w:rsid w:val="007C01E9"/>
    <w:rsid w:val="007C0258"/>
    <w:rsid w:val="007C02CF"/>
    <w:rsid w:val="007C0662"/>
    <w:rsid w:val="007C12BD"/>
    <w:rsid w:val="007C1872"/>
    <w:rsid w:val="007C1F30"/>
    <w:rsid w:val="007C4525"/>
    <w:rsid w:val="007D0EFA"/>
    <w:rsid w:val="007D10AC"/>
    <w:rsid w:val="007D1707"/>
    <w:rsid w:val="007D2065"/>
    <w:rsid w:val="007D2F1B"/>
    <w:rsid w:val="007D323F"/>
    <w:rsid w:val="007D3346"/>
    <w:rsid w:val="007D3AA7"/>
    <w:rsid w:val="007D40F0"/>
    <w:rsid w:val="007D5194"/>
    <w:rsid w:val="007D6986"/>
    <w:rsid w:val="007D6989"/>
    <w:rsid w:val="007D70C5"/>
    <w:rsid w:val="007E038D"/>
    <w:rsid w:val="007E1334"/>
    <w:rsid w:val="007E1D06"/>
    <w:rsid w:val="007E20D1"/>
    <w:rsid w:val="007E3172"/>
    <w:rsid w:val="007E3ABB"/>
    <w:rsid w:val="007E4B6B"/>
    <w:rsid w:val="007E55A2"/>
    <w:rsid w:val="007E58E0"/>
    <w:rsid w:val="007E5B46"/>
    <w:rsid w:val="007E6155"/>
    <w:rsid w:val="007E6701"/>
    <w:rsid w:val="007E6A85"/>
    <w:rsid w:val="007E7C37"/>
    <w:rsid w:val="007F044A"/>
    <w:rsid w:val="007F0DB7"/>
    <w:rsid w:val="007F0DF0"/>
    <w:rsid w:val="007F17CF"/>
    <w:rsid w:val="007F20B6"/>
    <w:rsid w:val="007F26D1"/>
    <w:rsid w:val="007F288E"/>
    <w:rsid w:val="007F28E6"/>
    <w:rsid w:val="007F2F79"/>
    <w:rsid w:val="007F435B"/>
    <w:rsid w:val="007F55D2"/>
    <w:rsid w:val="007F7DB9"/>
    <w:rsid w:val="0080020D"/>
    <w:rsid w:val="00801FE7"/>
    <w:rsid w:val="00802093"/>
    <w:rsid w:val="00804FF9"/>
    <w:rsid w:val="00805943"/>
    <w:rsid w:val="00805BFD"/>
    <w:rsid w:val="00805D27"/>
    <w:rsid w:val="008067F0"/>
    <w:rsid w:val="0080693E"/>
    <w:rsid w:val="00806DBD"/>
    <w:rsid w:val="00807C87"/>
    <w:rsid w:val="00807E5F"/>
    <w:rsid w:val="008118DA"/>
    <w:rsid w:val="00811FCF"/>
    <w:rsid w:val="008126CB"/>
    <w:rsid w:val="0081538F"/>
    <w:rsid w:val="00815837"/>
    <w:rsid w:val="00815D68"/>
    <w:rsid w:val="008161C9"/>
    <w:rsid w:val="0081681A"/>
    <w:rsid w:val="00817DF9"/>
    <w:rsid w:val="008210D0"/>
    <w:rsid w:val="00821376"/>
    <w:rsid w:val="008213E2"/>
    <w:rsid w:val="008219DA"/>
    <w:rsid w:val="00821E3C"/>
    <w:rsid w:val="008228D0"/>
    <w:rsid w:val="00822B19"/>
    <w:rsid w:val="00822B4E"/>
    <w:rsid w:val="008239D2"/>
    <w:rsid w:val="00823E08"/>
    <w:rsid w:val="00824782"/>
    <w:rsid w:val="0082518B"/>
    <w:rsid w:val="00825617"/>
    <w:rsid w:val="00826B60"/>
    <w:rsid w:val="00830C56"/>
    <w:rsid w:val="00831110"/>
    <w:rsid w:val="008312C6"/>
    <w:rsid w:val="00831D98"/>
    <w:rsid w:val="00832142"/>
    <w:rsid w:val="008329E4"/>
    <w:rsid w:val="00833350"/>
    <w:rsid w:val="0083377B"/>
    <w:rsid w:val="0083550C"/>
    <w:rsid w:val="00836FA8"/>
    <w:rsid w:val="00840CD2"/>
    <w:rsid w:val="00842E24"/>
    <w:rsid w:val="008432E6"/>
    <w:rsid w:val="00843CE1"/>
    <w:rsid w:val="00844739"/>
    <w:rsid w:val="00846604"/>
    <w:rsid w:val="00846CEF"/>
    <w:rsid w:val="00850218"/>
    <w:rsid w:val="008519B2"/>
    <w:rsid w:val="00851ABC"/>
    <w:rsid w:val="00851B67"/>
    <w:rsid w:val="00852F16"/>
    <w:rsid w:val="00853370"/>
    <w:rsid w:val="00855716"/>
    <w:rsid w:val="008559CF"/>
    <w:rsid w:val="00855BC1"/>
    <w:rsid w:val="00860165"/>
    <w:rsid w:val="008601B2"/>
    <w:rsid w:val="0086304F"/>
    <w:rsid w:val="0086319F"/>
    <w:rsid w:val="008631BB"/>
    <w:rsid w:val="00863715"/>
    <w:rsid w:val="00863A82"/>
    <w:rsid w:val="00863CBB"/>
    <w:rsid w:val="00863D78"/>
    <w:rsid w:val="008671E0"/>
    <w:rsid w:val="00870284"/>
    <w:rsid w:val="00870A12"/>
    <w:rsid w:val="00870BEC"/>
    <w:rsid w:val="00871050"/>
    <w:rsid w:val="00871ADE"/>
    <w:rsid w:val="00873AAC"/>
    <w:rsid w:val="008742AA"/>
    <w:rsid w:val="008746DD"/>
    <w:rsid w:val="00874B9D"/>
    <w:rsid w:val="0087566E"/>
    <w:rsid w:val="0087629A"/>
    <w:rsid w:val="00876573"/>
    <w:rsid w:val="00876D4F"/>
    <w:rsid w:val="00880375"/>
    <w:rsid w:val="00880533"/>
    <w:rsid w:val="00881742"/>
    <w:rsid w:val="008833DD"/>
    <w:rsid w:val="0088451C"/>
    <w:rsid w:val="008847AF"/>
    <w:rsid w:val="00886E8B"/>
    <w:rsid w:val="0088725F"/>
    <w:rsid w:val="00887CC2"/>
    <w:rsid w:val="008912A3"/>
    <w:rsid w:val="00892278"/>
    <w:rsid w:val="00892788"/>
    <w:rsid w:val="008942D1"/>
    <w:rsid w:val="00895757"/>
    <w:rsid w:val="00895F1E"/>
    <w:rsid w:val="008A00D1"/>
    <w:rsid w:val="008A0785"/>
    <w:rsid w:val="008A08BF"/>
    <w:rsid w:val="008A2A78"/>
    <w:rsid w:val="008A2D39"/>
    <w:rsid w:val="008A38D4"/>
    <w:rsid w:val="008A56BF"/>
    <w:rsid w:val="008A5F05"/>
    <w:rsid w:val="008A5FBF"/>
    <w:rsid w:val="008A686D"/>
    <w:rsid w:val="008A7E07"/>
    <w:rsid w:val="008A7EA4"/>
    <w:rsid w:val="008B028A"/>
    <w:rsid w:val="008B0461"/>
    <w:rsid w:val="008B3AFE"/>
    <w:rsid w:val="008B57B3"/>
    <w:rsid w:val="008B5E40"/>
    <w:rsid w:val="008B70C8"/>
    <w:rsid w:val="008C0D48"/>
    <w:rsid w:val="008C1AC4"/>
    <w:rsid w:val="008C1DAA"/>
    <w:rsid w:val="008C2B57"/>
    <w:rsid w:val="008C2D89"/>
    <w:rsid w:val="008C34D6"/>
    <w:rsid w:val="008C4928"/>
    <w:rsid w:val="008C4DFF"/>
    <w:rsid w:val="008C782A"/>
    <w:rsid w:val="008C7D4F"/>
    <w:rsid w:val="008D03D3"/>
    <w:rsid w:val="008D08D3"/>
    <w:rsid w:val="008D24D6"/>
    <w:rsid w:val="008D38E8"/>
    <w:rsid w:val="008D55DF"/>
    <w:rsid w:val="008D620C"/>
    <w:rsid w:val="008D646A"/>
    <w:rsid w:val="008D691C"/>
    <w:rsid w:val="008D69EB"/>
    <w:rsid w:val="008D75C6"/>
    <w:rsid w:val="008E10AA"/>
    <w:rsid w:val="008E17C5"/>
    <w:rsid w:val="008E3185"/>
    <w:rsid w:val="008E7889"/>
    <w:rsid w:val="008F03E8"/>
    <w:rsid w:val="008F21AD"/>
    <w:rsid w:val="008F3941"/>
    <w:rsid w:val="008F3C2A"/>
    <w:rsid w:val="008F41BA"/>
    <w:rsid w:val="008F4B36"/>
    <w:rsid w:val="008F5976"/>
    <w:rsid w:val="008F7214"/>
    <w:rsid w:val="008F7CDE"/>
    <w:rsid w:val="00900C26"/>
    <w:rsid w:val="009040C8"/>
    <w:rsid w:val="00906310"/>
    <w:rsid w:val="00906F19"/>
    <w:rsid w:val="009077D1"/>
    <w:rsid w:val="009079C8"/>
    <w:rsid w:val="00907CBB"/>
    <w:rsid w:val="00911E7C"/>
    <w:rsid w:val="00912623"/>
    <w:rsid w:val="00912DA4"/>
    <w:rsid w:val="00912DFB"/>
    <w:rsid w:val="0091386B"/>
    <w:rsid w:val="00914CE9"/>
    <w:rsid w:val="00915A76"/>
    <w:rsid w:val="00916D4E"/>
    <w:rsid w:val="00917896"/>
    <w:rsid w:val="0092035D"/>
    <w:rsid w:val="00923762"/>
    <w:rsid w:val="00923834"/>
    <w:rsid w:val="00923B3E"/>
    <w:rsid w:val="00924C16"/>
    <w:rsid w:val="00924C44"/>
    <w:rsid w:val="009259B2"/>
    <w:rsid w:val="00926792"/>
    <w:rsid w:val="0092696E"/>
    <w:rsid w:val="00926FEE"/>
    <w:rsid w:val="009274B5"/>
    <w:rsid w:val="00927B78"/>
    <w:rsid w:val="0093027F"/>
    <w:rsid w:val="00930547"/>
    <w:rsid w:val="0093207C"/>
    <w:rsid w:val="009339D3"/>
    <w:rsid w:val="00933C13"/>
    <w:rsid w:val="00933E4A"/>
    <w:rsid w:val="00933F5F"/>
    <w:rsid w:val="009347DC"/>
    <w:rsid w:val="009357B9"/>
    <w:rsid w:val="00935DF1"/>
    <w:rsid w:val="00936544"/>
    <w:rsid w:val="00936998"/>
    <w:rsid w:val="009370DE"/>
    <w:rsid w:val="00937A62"/>
    <w:rsid w:val="00942481"/>
    <w:rsid w:val="00944D59"/>
    <w:rsid w:val="00945735"/>
    <w:rsid w:val="009507A9"/>
    <w:rsid w:val="00951036"/>
    <w:rsid w:val="0095174A"/>
    <w:rsid w:val="00952ED5"/>
    <w:rsid w:val="009537CA"/>
    <w:rsid w:val="00954762"/>
    <w:rsid w:val="0095611E"/>
    <w:rsid w:val="00956835"/>
    <w:rsid w:val="00957577"/>
    <w:rsid w:val="00962103"/>
    <w:rsid w:val="009622CE"/>
    <w:rsid w:val="0096374D"/>
    <w:rsid w:val="00963847"/>
    <w:rsid w:val="00963F26"/>
    <w:rsid w:val="009648BF"/>
    <w:rsid w:val="00965F3C"/>
    <w:rsid w:val="009668A0"/>
    <w:rsid w:val="00966C5C"/>
    <w:rsid w:val="00966F3A"/>
    <w:rsid w:val="009671B5"/>
    <w:rsid w:val="009673C6"/>
    <w:rsid w:val="00970132"/>
    <w:rsid w:val="00973A3B"/>
    <w:rsid w:val="0097482B"/>
    <w:rsid w:val="00975403"/>
    <w:rsid w:val="00977C56"/>
    <w:rsid w:val="00980210"/>
    <w:rsid w:val="009802B4"/>
    <w:rsid w:val="00982085"/>
    <w:rsid w:val="009826A6"/>
    <w:rsid w:val="009846F9"/>
    <w:rsid w:val="00985432"/>
    <w:rsid w:val="00985694"/>
    <w:rsid w:val="009872C4"/>
    <w:rsid w:val="009905E0"/>
    <w:rsid w:val="009908B4"/>
    <w:rsid w:val="009916E2"/>
    <w:rsid w:val="00992DE5"/>
    <w:rsid w:val="0099323F"/>
    <w:rsid w:val="00993F08"/>
    <w:rsid w:val="009944A1"/>
    <w:rsid w:val="00994E88"/>
    <w:rsid w:val="00995189"/>
    <w:rsid w:val="009957A5"/>
    <w:rsid w:val="009963C8"/>
    <w:rsid w:val="00996832"/>
    <w:rsid w:val="009A011D"/>
    <w:rsid w:val="009A064B"/>
    <w:rsid w:val="009A0A31"/>
    <w:rsid w:val="009A1E45"/>
    <w:rsid w:val="009A1F31"/>
    <w:rsid w:val="009A2CF0"/>
    <w:rsid w:val="009A3162"/>
    <w:rsid w:val="009A3301"/>
    <w:rsid w:val="009A467F"/>
    <w:rsid w:val="009A58F8"/>
    <w:rsid w:val="009A5CE6"/>
    <w:rsid w:val="009A6E31"/>
    <w:rsid w:val="009A6EB7"/>
    <w:rsid w:val="009A79E5"/>
    <w:rsid w:val="009A7A85"/>
    <w:rsid w:val="009A7FAE"/>
    <w:rsid w:val="009B0B74"/>
    <w:rsid w:val="009B181B"/>
    <w:rsid w:val="009B1C22"/>
    <w:rsid w:val="009B215D"/>
    <w:rsid w:val="009B2B9B"/>
    <w:rsid w:val="009B30D2"/>
    <w:rsid w:val="009B3728"/>
    <w:rsid w:val="009B3F3D"/>
    <w:rsid w:val="009B6164"/>
    <w:rsid w:val="009B67AB"/>
    <w:rsid w:val="009B6D00"/>
    <w:rsid w:val="009B7267"/>
    <w:rsid w:val="009C03D1"/>
    <w:rsid w:val="009C1C11"/>
    <w:rsid w:val="009C28CB"/>
    <w:rsid w:val="009C2C80"/>
    <w:rsid w:val="009C4892"/>
    <w:rsid w:val="009C758F"/>
    <w:rsid w:val="009C7AF1"/>
    <w:rsid w:val="009D0AEC"/>
    <w:rsid w:val="009D1C91"/>
    <w:rsid w:val="009D30C2"/>
    <w:rsid w:val="009D35C9"/>
    <w:rsid w:val="009D3743"/>
    <w:rsid w:val="009D4B85"/>
    <w:rsid w:val="009D501B"/>
    <w:rsid w:val="009D531E"/>
    <w:rsid w:val="009D56F5"/>
    <w:rsid w:val="009D62BD"/>
    <w:rsid w:val="009D6515"/>
    <w:rsid w:val="009D792B"/>
    <w:rsid w:val="009D7D9E"/>
    <w:rsid w:val="009D7DD4"/>
    <w:rsid w:val="009E0FD9"/>
    <w:rsid w:val="009E3686"/>
    <w:rsid w:val="009E3B92"/>
    <w:rsid w:val="009E6293"/>
    <w:rsid w:val="009E6832"/>
    <w:rsid w:val="009F01A0"/>
    <w:rsid w:val="009F0CB4"/>
    <w:rsid w:val="009F1927"/>
    <w:rsid w:val="009F2B86"/>
    <w:rsid w:val="009F2F22"/>
    <w:rsid w:val="009F3430"/>
    <w:rsid w:val="009F3BDA"/>
    <w:rsid w:val="009F51BA"/>
    <w:rsid w:val="009F5544"/>
    <w:rsid w:val="009F6C25"/>
    <w:rsid w:val="009F6C27"/>
    <w:rsid w:val="00A01583"/>
    <w:rsid w:val="00A03DB9"/>
    <w:rsid w:val="00A0462D"/>
    <w:rsid w:val="00A04845"/>
    <w:rsid w:val="00A0572B"/>
    <w:rsid w:val="00A05A4B"/>
    <w:rsid w:val="00A06CC3"/>
    <w:rsid w:val="00A10532"/>
    <w:rsid w:val="00A107F7"/>
    <w:rsid w:val="00A11329"/>
    <w:rsid w:val="00A1182A"/>
    <w:rsid w:val="00A11911"/>
    <w:rsid w:val="00A12926"/>
    <w:rsid w:val="00A12A41"/>
    <w:rsid w:val="00A13D48"/>
    <w:rsid w:val="00A13FCA"/>
    <w:rsid w:val="00A14474"/>
    <w:rsid w:val="00A147DE"/>
    <w:rsid w:val="00A16961"/>
    <w:rsid w:val="00A16ABB"/>
    <w:rsid w:val="00A1726F"/>
    <w:rsid w:val="00A20295"/>
    <w:rsid w:val="00A21D90"/>
    <w:rsid w:val="00A2217F"/>
    <w:rsid w:val="00A2251C"/>
    <w:rsid w:val="00A239B9"/>
    <w:rsid w:val="00A23AF8"/>
    <w:rsid w:val="00A23F96"/>
    <w:rsid w:val="00A25954"/>
    <w:rsid w:val="00A2625A"/>
    <w:rsid w:val="00A26EB6"/>
    <w:rsid w:val="00A2743C"/>
    <w:rsid w:val="00A300ED"/>
    <w:rsid w:val="00A33760"/>
    <w:rsid w:val="00A33CFC"/>
    <w:rsid w:val="00A348EE"/>
    <w:rsid w:val="00A34B6E"/>
    <w:rsid w:val="00A35045"/>
    <w:rsid w:val="00A35121"/>
    <w:rsid w:val="00A35319"/>
    <w:rsid w:val="00A35466"/>
    <w:rsid w:val="00A35B10"/>
    <w:rsid w:val="00A36246"/>
    <w:rsid w:val="00A364AA"/>
    <w:rsid w:val="00A374E6"/>
    <w:rsid w:val="00A4009E"/>
    <w:rsid w:val="00A42A71"/>
    <w:rsid w:val="00A43A0C"/>
    <w:rsid w:val="00A4442B"/>
    <w:rsid w:val="00A4453A"/>
    <w:rsid w:val="00A44F54"/>
    <w:rsid w:val="00A45120"/>
    <w:rsid w:val="00A45B7E"/>
    <w:rsid w:val="00A51DAD"/>
    <w:rsid w:val="00A51F97"/>
    <w:rsid w:val="00A52706"/>
    <w:rsid w:val="00A52EFB"/>
    <w:rsid w:val="00A54617"/>
    <w:rsid w:val="00A55737"/>
    <w:rsid w:val="00A55AD2"/>
    <w:rsid w:val="00A56465"/>
    <w:rsid w:val="00A565FA"/>
    <w:rsid w:val="00A56AB4"/>
    <w:rsid w:val="00A56CA8"/>
    <w:rsid w:val="00A57F04"/>
    <w:rsid w:val="00A6111E"/>
    <w:rsid w:val="00A612FF"/>
    <w:rsid w:val="00A61DED"/>
    <w:rsid w:val="00A62422"/>
    <w:rsid w:val="00A64D9F"/>
    <w:rsid w:val="00A6588D"/>
    <w:rsid w:val="00A6593D"/>
    <w:rsid w:val="00A667A9"/>
    <w:rsid w:val="00A67853"/>
    <w:rsid w:val="00A67948"/>
    <w:rsid w:val="00A709C1"/>
    <w:rsid w:val="00A720BB"/>
    <w:rsid w:val="00A73BB1"/>
    <w:rsid w:val="00A740C1"/>
    <w:rsid w:val="00A7639E"/>
    <w:rsid w:val="00A77706"/>
    <w:rsid w:val="00A801FD"/>
    <w:rsid w:val="00A803C0"/>
    <w:rsid w:val="00A80A10"/>
    <w:rsid w:val="00A81A6B"/>
    <w:rsid w:val="00A82155"/>
    <w:rsid w:val="00A82818"/>
    <w:rsid w:val="00A83AC1"/>
    <w:rsid w:val="00A876CB"/>
    <w:rsid w:val="00A87854"/>
    <w:rsid w:val="00A92AD1"/>
    <w:rsid w:val="00A9541A"/>
    <w:rsid w:val="00A9774F"/>
    <w:rsid w:val="00A97B3D"/>
    <w:rsid w:val="00A97C67"/>
    <w:rsid w:val="00AA0161"/>
    <w:rsid w:val="00AA0494"/>
    <w:rsid w:val="00AA15B0"/>
    <w:rsid w:val="00AA2BA3"/>
    <w:rsid w:val="00AA2E34"/>
    <w:rsid w:val="00AA3B51"/>
    <w:rsid w:val="00AA3EEA"/>
    <w:rsid w:val="00AA4DDB"/>
    <w:rsid w:val="00AA4E62"/>
    <w:rsid w:val="00AA4F5A"/>
    <w:rsid w:val="00AA5606"/>
    <w:rsid w:val="00AA5993"/>
    <w:rsid w:val="00AA5FFC"/>
    <w:rsid w:val="00AB096F"/>
    <w:rsid w:val="00AB1AE9"/>
    <w:rsid w:val="00AB3AA8"/>
    <w:rsid w:val="00AB460A"/>
    <w:rsid w:val="00AB48C2"/>
    <w:rsid w:val="00AC075B"/>
    <w:rsid w:val="00AC268C"/>
    <w:rsid w:val="00AC26DB"/>
    <w:rsid w:val="00AC2E83"/>
    <w:rsid w:val="00AC3274"/>
    <w:rsid w:val="00AC3310"/>
    <w:rsid w:val="00AC3372"/>
    <w:rsid w:val="00AC5C90"/>
    <w:rsid w:val="00AC633C"/>
    <w:rsid w:val="00AD017C"/>
    <w:rsid w:val="00AD0C5F"/>
    <w:rsid w:val="00AD41B5"/>
    <w:rsid w:val="00AD4598"/>
    <w:rsid w:val="00AD59F4"/>
    <w:rsid w:val="00AD644B"/>
    <w:rsid w:val="00AD670B"/>
    <w:rsid w:val="00AD7300"/>
    <w:rsid w:val="00AD7F20"/>
    <w:rsid w:val="00AE1067"/>
    <w:rsid w:val="00AE2695"/>
    <w:rsid w:val="00AE37CC"/>
    <w:rsid w:val="00AE5247"/>
    <w:rsid w:val="00AE55F6"/>
    <w:rsid w:val="00AE65AD"/>
    <w:rsid w:val="00AE73E8"/>
    <w:rsid w:val="00AF0064"/>
    <w:rsid w:val="00AF04B6"/>
    <w:rsid w:val="00AF07B7"/>
    <w:rsid w:val="00AF0DFA"/>
    <w:rsid w:val="00AF1B83"/>
    <w:rsid w:val="00AF3040"/>
    <w:rsid w:val="00AF3804"/>
    <w:rsid w:val="00AF392F"/>
    <w:rsid w:val="00AF3A3E"/>
    <w:rsid w:val="00AF4657"/>
    <w:rsid w:val="00AF477E"/>
    <w:rsid w:val="00AF5669"/>
    <w:rsid w:val="00AF6001"/>
    <w:rsid w:val="00AF68C5"/>
    <w:rsid w:val="00AF75CD"/>
    <w:rsid w:val="00B01DB6"/>
    <w:rsid w:val="00B02779"/>
    <w:rsid w:val="00B03C3A"/>
    <w:rsid w:val="00B040A7"/>
    <w:rsid w:val="00B049BF"/>
    <w:rsid w:val="00B07717"/>
    <w:rsid w:val="00B103CF"/>
    <w:rsid w:val="00B10EBB"/>
    <w:rsid w:val="00B11A1F"/>
    <w:rsid w:val="00B15D62"/>
    <w:rsid w:val="00B16261"/>
    <w:rsid w:val="00B169A0"/>
    <w:rsid w:val="00B176FB"/>
    <w:rsid w:val="00B201AC"/>
    <w:rsid w:val="00B219A4"/>
    <w:rsid w:val="00B219BF"/>
    <w:rsid w:val="00B21A2B"/>
    <w:rsid w:val="00B22AC0"/>
    <w:rsid w:val="00B23FE8"/>
    <w:rsid w:val="00B246F5"/>
    <w:rsid w:val="00B268F1"/>
    <w:rsid w:val="00B26989"/>
    <w:rsid w:val="00B30059"/>
    <w:rsid w:val="00B302CD"/>
    <w:rsid w:val="00B3033C"/>
    <w:rsid w:val="00B33B58"/>
    <w:rsid w:val="00B33CDB"/>
    <w:rsid w:val="00B344DC"/>
    <w:rsid w:val="00B35542"/>
    <w:rsid w:val="00B35A06"/>
    <w:rsid w:val="00B3673C"/>
    <w:rsid w:val="00B37F92"/>
    <w:rsid w:val="00B401E2"/>
    <w:rsid w:val="00B411C3"/>
    <w:rsid w:val="00B42258"/>
    <w:rsid w:val="00B437A5"/>
    <w:rsid w:val="00B43B60"/>
    <w:rsid w:val="00B4691A"/>
    <w:rsid w:val="00B46920"/>
    <w:rsid w:val="00B47A63"/>
    <w:rsid w:val="00B50927"/>
    <w:rsid w:val="00B52D93"/>
    <w:rsid w:val="00B5403D"/>
    <w:rsid w:val="00B54E08"/>
    <w:rsid w:val="00B5529F"/>
    <w:rsid w:val="00B56145"/>
    <w:rsid w:val="00B565AF"/>
    <w:rsid w:val="00B56AC2"/>
    <w:rsid w:val="00B56FA7"/>
    <w:rsid w:val="00B60D47"/>
    <w:rsid w:val="00B61320"/>
    <w:rsid w:val="00B619B6"/>
    <w:rsid w:val="00B619DF"/>
    <w:rsid w:val="00B628BE"/>
    <w:rsid w:val="00B62C7B"/>
    <w:rsid w:val="00B6359E"/>
    <w:rsid w:val="00B641D1"/>
    <w:rsid w:val="00B6554D"/>
    <w:rsid w:val="00B666CA"/>
    <w:rsid w:val="00B66DA4"/>
    <w:rsid w:val="00B705C0"/>
    <w:rsid w:val="00B70FED"/>
    <w:rsid w:val="00B7303D"/>
    <w:rsid w:val="00B73702"/>
    <w:rsid w:val="00B73E3F"/>
    <w:rsid w:val="00B740CC"/>
    <w:rsid w:val="00B7475A"/>
    <w:rsid w:val="00B776AE"/>
    <w:rsid w:val="00B779B4"/>
    <w:rsid w:val="00B80B95"/>
    <w:rsid w:val="00B817FE"/>
    <w:rsid w:val="00B81C87"/>
    <w:rsid w:val="00B82061"/>
    <w:rsid w:val="00B82369"/>
    <w:rsid w:val="00B828D9"/>
    <w:rsid w:val="00B82A32"/>
    <w:rsid w:val="00B82F4B"/>
    <w:rsid w:val="00B832BB"/>
    <w:rsid w:val="00B83E05"/>
    <w:rsid w:val="00B84B59"/>
    <w:rsid w:val="00B85A52"/>
    <w:rsid w:val="00B8605D"/>
    <w:rsid w:val="00B877E3"/>
    <w:rsid w:val="00B87923"/>
    <w:rsid w:val="00B90FE5"/>
    <w:rsid w:val="00B92A30"/>
    <w:rsid w:val="00B949EE"/>
    <w:rsid w:val="00B951BE"/>
    <w:rsid w:val="00B9580B"/>
    <w:rsid w:val="00B95BAA"/>
    <w:rsid w:val="00B96124"/>
    <w:rsid w:val="00B96636"/>
    <w:rsid w:val="00B97D53"/>
    <w:rsid w:val="00B97D89"/>
    <w:rsid w:val="00B97D9A"/>
    <w:rsid w:val="00BA03CD"/>
    <w:rsid w:val="00BA060A"/>
    <w:rsid w:val="00BA1BB7"/>
    <w:rsid w:val="00BA28B3"/>
    <w:rsid w:val="00BA3051"/>
    <w:rsid w:val="00BA3C39"/>
    <w:rsid w:val="00BA57D9"/>
    <w:rsid w:val="00BA604A"/>
    <w:rsid w:val="00BA60F2"/>
    <w:rsid w:val="00BB0860"/>
    <w:rsid w:val="00BB1B29"/>
    <w:rsid w:val="00BB1DD8"/>
    <w:rsid w:val="00BB1F21"/>
    <w:rsid w:val="00BB2245"/>
    <w:rsid w:val="00BB3A58"/>
    <w:rsid w:val="00BB3C28"/>
    <w:rsid w:val="00BB3CBD"/>
    <w:rsid w:val="00BB4E7C"/>
    <w:rsid w:val="00BB4EBC"/>
    <w:rsid w:val="00BB6E84"/>
    <w:rsid w:val="00BB77C7"/>
    <w:rsid w:val="00BB7F1A"/>
    <w:rsid w:val="00BC05BA"/>
    <w:rsid w:val="00BC1403"/>
    <w:rsid w:val="00BC2042"/>
    <w:rsid w:val="00BC3815"/>
    <w:rsid w:val="00BD028D"/>
    <w:rsid w:val="00BD0DC6"/>
    <w:rsid w:val="00BD23AC"/>
    <w:rsid w:val="00BD6475"/>
    <w:rsid w:val="00BD6534"/>
    <w:rsid w:val="00BD73E5"/>
    <w:rsid w:val="00BD7756"/>
    <w:rsid w:val="00BE2901"/>
    <w:rsid w:val="00BE2F68"/>
    <w:rsid w:val="00BE30A2"/>
    <w:rsid w:val="00BE511E"/>
    <w:rsid w:val="00BE62F8"/>
    <w:rsid w:val="00BE7004"/>
    <w:rsid w:val="00BF0421"/>
    <w:rsid w:val="00BF0C67"/>
    <w:rsid w:val="00BF1467"/>
    <w:rsid w:val="00BF1CFE"/>
    <w:rsid w:val="00BF2AE0"/>
    <w:rsid w:val="00BF3C7E"/>
    <w:rsid w:val="00BF5AA7"/>
    <w:rsid w:val="00BF6F4C"/>
    <w:rsid w:val="00C00A13"/>
    <w:rsid w:val="00C0191F"/>
    <w:rsid w:val="00C01DB3"/>
    <w:rsid w:val="00C01EDE"/>
    <w:rsid w:val="00C045E8"/>
    <w:rsid w:val="00C04BA5"/>
    <w:rsid w:val="00C050DF"/>
    <w:rsid w:val="00C053E5"/>
    <w:rsid w:val="00C0720A"/>
    <w:rsid w:val="00C111EF"/>
    <w:rsid w:val="00C113B6"/>
    <w:rsid w:val="00C11595"/>
    <w:rsid w:val="00C136E0"/>
    <w:rsid w:val="00C13B87"/>
    <w:rsid w:val="00C16002"/>
    <w:rsid w:val="00C16906"/>
    <w:rsid w:val="00C16A5A"/>
    <w:rsid w:val="00C171F6"/>
    <w:rsid w:val="00C17606"/>
    <w:rsid w:val="00C17AFD"/>
    <w:rsid w:val="00C20681"/>
    <w:rsid w:val="00C215D0"/>
    <w:rsid w:val="00C22437"/>
    <w:rsid w:val="00C22F42"/>
    <w:rsid w:val="00C23197"/>
    <w:rsid w:val="00C24C26"/>
    <w:rsid w:val="00C25703"/>
    <w:rsid w:val="00C27905"/>
    <w:rsid w:val="00C300EF"/>
    <w:rsid w:val="00C30364"/>
    <w:rsid w:val="00C3123B"/>
    <w:rsid w:val="00C3614E"/>
    <w:rsid w:val="00C4029D"/>
    <w:rsid w:val="00C4085E"/>
    <w:rsid w:val="00C41AC6"/>
    <w:rsid w:val="00C43629"/>
    <w:rsid w:val="00C43B9D"/>
    <w:rsid w:val="00C44219"/>
    <w:rsid w:val="00C44383"/>
    <w:rsid w:val="00C463C4"/>
    <w:rsid w:val="00C4667C"/>
    <w:rsid w:val="00C46B91"/>
    <w:rsid w:val="00C46FD3"/>
    <w:rsid w:val="00C47F0C"/>
    <w:rsid w:val="00C5039A"/>
    <w:rsid w:val="00C50828"/>
    <w:rsid w:val="00C554E0"/>
    <w:rsid w:val="00C557E5"/>
    <w:rsid w:val="00C613B9"/>
    <w:rsid w:val="00C61613"/>
    <w:rsid w:val="00C616B3"/>
    <w:rsid w:val="00C62795"/>
    <w:rsid w:val="00C63F5F"/>
    <w:rsid w:val="00C64FA1"/>
    <w:rsid w:val="00C650BC"/>
    <w:rsid w:val="00C665D4"/>
    <w:rsid w:val="00C668AF"/>
    <w:rsid w:val="00C670F7"/>
    <w:rsid w:val="00C700A2"/>
    <w:rsid w:val="00C70241"/>
    <w:rsid w:val="00C7051B"/>
    <w:rsid w:val="00C70C03"/>
    <w:rsid w:val="00C715C7"/>
    <w:rsid w:val="00C7325E"/>
    <w:rsid w:val="00C73632"/>
    <w:rsid w:val="00C749E4"/>
    <w:rsid w:val="00C754F9"/>
    <w:rsid w:val="00C77BB7"/>
    <w:rsid w:val="00C80B23"/>
    <w:rsid w:val="00C82BD3"/>
    <w:rsid w:val="00C8346D"/>
    <w:rsid w:val="00C84C8F"/>
    <w:rsid w:val="00C85C36"/>
    <w:rsid w:val="00C90B7D"/>
    <w:rsid w:val="00C931CC"/>
    <w:rsid w:val="00C93A40"/>
    <w:rsid w:val="00C9490D"/>
    <w:rsid w:val="00C949CF"/>
    <w:rsid w:val="00C94B93"/>
    <w:rsid w:val="00C94D3E"/>
    <w:rsid w:val="00C95FA1"/>
    <w:rsid w:val="00CA0C02"/>
    <w:rsid w:val="00CA142B"/>
    <w:rsid w:val="00CA2F3B"/>
    <w:rsid w:val="00CA33C0"/>
    <w:rsid w:val="00CA438B"/>
    <w:rsid w:val="00CA44A3"/>
    <w:rsid w:val="00CA5862"/>
    <w:rsid w:val="00CA5BB0"/>
    <w:rsid w:val="00CA6030"/>
    <w:rsid w:val="00CB08A3"/>
    <w:rsid w:val="00CB2456"/>
    <w:rsid w:val="00CB2785"/>
    <w:rsid w:val="00CB27BD"/>
    <w:rsid w:val="00CB283D"/>
    <w:rsid w:val="00CB2B39"/>
    <w:rsid w:val="00CB47D8"/>
    <w:rsid w:val="00CB5C7F"/>
    <w:rsid w:val="00CB5DCF"/>
    <w:rsid w:val="00CB5FE7"/>
    <w:rsid w:val="00CC08A2"/>
    <w:rsid w:val="00CC0A61"/>
    <w:rsid w:val="00CC15F2"/>
    <w:rsid w:val="00CC22F4"/>
    <w:rsid w:val="00CC3A18"/>
    <w:rsid w:val="00CC52D2"/>
    <w:rsid w:val="00CC5AA9"/>
    <w:rsid w:val="00CC5B5E"/>
    <w:rsid w:val="00CC6CC9"/>
    <w:rsid w:val="00CC6EA9"/>
    <w:rsid w:val="00CC7609"/>
    <w:rsid w:val="00CC79FF"/>
    <w:rsid w:val="00CD2680"/>
    <w:rsid w:val="00CD2DA5"/>
    <w:rsid w:val="00CD2EDE"/>
    <w:rsid w:val="00CD31EC"/>
    <w:rsid w:val="00CD5484"/>
    <w:rsid w:val="00CD5614"/>
    <w:rsid w:val="00CD5763"/>
    <w:rsid w:val="00CD6199"/>
    <w:rsid w:val="00CD71C2"/>
    <w:rsid w:val="00CD734E"/>
    <w:rsid w:val="00CD7EE9"/>
    <w:rsid w:val="00CE06C8"/>
    <w:rsid w:val="00CE18DF"/>
    <w:rsid w:val="00CE2E86"/>
    <w:rsid w:val="00CE577E"/>
    <w:rsid w:val="00CF0BE0"/>
    <w:rsid w:val="00CF1727"/>
    <w:rsid w:val="00CF1CEE"/>
    <w:rsid w:val="00CF1F87"/>
    <w:rsid w:val="00CF394F"/>
    <w:rsid w:val="00CF5217"/>
    <w:rsid w:val="00CF57AD"/>
    <w:rsid w:val="00CF6C93"/>
    <w:rsid w:val="00CF701E"/>
    <w:rsid w:val="00D0037F"/>
    <w:rsid w:val="00D00DF6"/>
    <w:rsid w:val="00D0115E"/>
    <w:rsid w:val="00D015EE"/>
    <w:rsid w:val="00D01FF3"/>
    <w:rsid w:val="00D02F63"/>
    <w:rsid w:val="00D042CA"/>
    <w:rsid w:val="00D058BF"/>
    <w:rsid w:val="00D060C6"/>
    <w:rsid w:val="00D069B4"/>
    <w:rsid w:val="00D06A8D"/>
    <w:rsid w:val="00D07D5A"/>
    <w:rsid w:val="00D1004F"/>
    <w:rsid w:val="00D10427"/>
    <w:rsid w:val="00D10E64"/>
    <w:rsid w:val="00D12EFE"/>
    <w:rsid w:val="00D14BA9"/>
    <w:rsid w:val="00D14F38"/>
    <w:rsid w:val="00D1548D"/>
    <w:rsid w:val="00D159D4"/>
    <w:rsid w:val="00D15BB2"/>
    <w:rsid w:val="00D17245"/>
    <w:rsid w:val="00D203FC"/>
    <w:rsid w:val="00D20649"/>
    <w:rsid w:val="00D22836"/>
    <w:rsid w:val="00D232BC"/>
    <w:rsid w:val="00D2362C"/>
    <w:rsid w:val="00D24973"/>
    <w:rsid w:val="00D25556"/>
    <w:rsid w:val="00D25B30"/>
    <w:rsid w:val="00D26052"/>
    <w:rsid w:val="00D26C72"/>
    <w:rsid w:val="00D27862"/>
    <w:rsid w:val="00D30CB4"/>
    <w:rsid w:val="00D32690"/>
    <w:rsid w:val="00D33B73"/>
    <w:rsid w:val="00D353DF"/>
    <w:rsid w:val="00D35DAC"/>
    <w:rsid w:val="00D35F60"/>
    <w:rsid w:val="00D415E2"/>
    <w:rsid w:val="00D43981"/>
    <w:rsid w:val="00D4415A"/>
    <w:rsid w:val="00D44A96"/>
    <w:rsid w:val="00D454D6"/>
    <w:rsid w:val="00D45FEB"/>
    <w:rsid w:val="00D460DE"/>
    <w:rsid w:val="00D469CB"/>
    <w:rsid w:val="00D46C2B"/>
    <w:rsid w:val="00D511DA"/>
    <w:rsid w:val="00D52322"/>
    <w:rsid w:val="00D54991"/>
    <w:rsid w:val="00D5535B"/>
    <w:rsid w:val="00D5572C"/>
    <w:rsid w:val="00D5595B"/>
    <w:rsid w:val="00D56174"/>
    <w:rsid w:val="00D56288"/>
    <w:rsid w:val="00D56A82"/>
    <w:rsid w:val="00D576B9"/>
    <w:rsid w:val="00D57EA4"/>
    <w:rsid w:val="00D62011"/>
    <w:rsid w:val="00D62BD2"/>
    <w:rsid w:val="00D633D2"/>
    <w:rsid w:val="00D6344E"/>
    <w:rsid w:val="00D638BA"/>
    <w:rsid w:val="00D63ADD"/>
    <w:rsid w:val="00D642EF"/>
    <w:rsid w:val="00D64309"/>
    <w:rsid w:val="00D64839"/>
    <w:rsid w:val="00D65859"/>
    <w:rsid w:val="00D65BF5"/>
    <w:rsid w:val="00D70AD7"/>
    <w:rsid w:val="00D71E65"/>
    <w:rsid w:val="00D71E78"/>
    <w:rsid w:val="00D752B5"/>
    <w:rsid w:val="00D7547A"/>
    <w:rsid w:val="00D75502"/>
    <w:rsid w:val="00D75B84"/>
    <w:rsid w:val="00D75DE6"/>
    <w:rsid w:val="00D75E8F"/>
    <w:rsid w:val="00D77316"/>
    <w:rsid w:val="00D77857"/>
    <w:rsid w:val="00D77FC0"/>
    <w:rsid w:val="00D80781"/>
    <w:rsid w:val="00D80A94"/>
    <w:rsid w:val="00D81FA6"/>
    <w:rsid w:val="00D84B4C"/>
    <w:rsid w:val="00D851CD"/>
    <w:rsid w:val="00D85DEC"/>
    <w:rsid w:val="00D86F2B"/>
    <w:rsid w:val="00D919A1"/>
    <w:rsid w:val="00D926B3"/>
    <w:rsid w:val="00D931FD"/>
    <w:rsid w:val="00D93C97"/>
    <w:rsid w:val="00D94593"/>
    <w:rsid w:val="00D9516E"/>
    <w:rsid w:val="00D96FB5"/>
    <w:rsid w:val="00D971AB"/>
    <w:rsid w:val="00D9739A"/>
    <w:rsid w:val="00DA0BB5"/>
    <w:rsid w:val="00DA0CB4"/>
    <w:rsid w:val="00DA2815"/>
    <w:rsid w:val="00DA362A"/>
    <w:rsid w:val="00DA4306"/>
    <w:rsid w:val="00DA489F"/>
    <w:rsid w:val="00DA6B41"/>
    <w:rsid w:val="00DA6C5F"/>
    <w:rsid w:val="00DB121A"/>
    <w:rsid w:val="00DB147A"/>
    <w:rsid w:val="00DB2FB4"/>
    <w:rsid w:val="00DB4134"/>
    <w:rsid w:val="00DB4213"/>
    <w:rsid w:val="00DB42C2"/>
    <w:rsid w:val="00DB56E4"/>
    <w:rsid w:val="00DB5D5E"/>
    <w:rsid w:val="00DB5F52"/>
    <w:rsid w:val="00DB7A95"/>
    <w:rsid w:val="00DC06D2"/>
    <w:rsid w:val="00DD123B"/>
    <w:rsid w:val="00DD1CE0"/>
    <w:rsid w:val="00DD285D"/>
    <w:rsid w:val="00DD3050"/>
    <w:rsid w:val="00DD3A95"/>
    <w:rsid w:val="00DD5059"/>
    <w:rsid w:val="00DD52F3"/>
    <w:rsid w:val="00DD5C60"/>
    <w:rsid w:val="00DD685C"/>
    <w:rsid w:val="00DE1A8D"/>
    <w:rsid w:val="00DE27DA"/>
    <w:rsid w:val="00DE31A7"/>
    <w:rsid w:val="00DE339E"/>
    <w:rsid w:val="00DE375A"/>
    <w:rsid w:val="00DE3EBC"/>
    <w:rsid w:val="00DE4700"/>
    <w:rsid w:val="00DE4E96"/>
    <w:rsid w:val="00DE5D9D"/>
    <w:rsid w:val="00DE6876"/>
    <w:rsid w:val="00DE7F8C"/>
    <w:rsid w:val="00DF010C"/>
    <w:rsid w:val="00DF1B72"/>
    <w:rsid w:val="00DF2310"/>
    <w:rsid w:val="00DF2C9C"/>
    <w:rsid w:val="00DF3954"/>
    <w:rsid w:val="00DF5561"/>
    <w:rsid w:val="00DF6395"/>
    <w:rsid w:val="00DF6D5E"/>
    <w:rsid w:val="00DF6EAF"/>
    <w:rsid w:val="00DF7FEF"/>
    <w:rsid w:val="00E01184"/>
    <w:rsid w:val="00E016AE"/>
    <w:rsid w:val="00E02544"/>
    <w:rsid w:val="00E02B6B"/>
    <w:rsid w:val="00E036E0"/>
    <w:rsid w:val="00E03A23"/>
    <w:rsid w:val="00E04E14"/>
    <w:rsid w:val="00E04EBA"/>
    <w:rsid w:val="00E05583"/>
    <w:rsid w:val="00E057EA"/>
    <w:rsid w:val="00E05D12"/>
    <w:rsid w:val="00E06B5E"/>
    <w:rsid w:val="00E06C7C"/>
    <w:rsid w:val="00E0714C"/>
    <w:rsid w:val="00E07357"/>
    <w:rsid w:val="00E07779"/>
    <w:rsid w:val="00E0798E"/>
    <w:rsid w:val="00E07D3F"/>
    <w:rsid w:val="00E11A7C"/>
    <w:rsid w:val="00E13FE0"/>
    <w:rsid w:val="00E14263"/>
    <w:rsid w:val="00E1458A"/>
    <w:rsid w:val="00E14E31"/>
    <w:rsid w:val="00E15F8D"/>
    <w:rsid w:val="00E161F1"/>
    <w:rsid w:val="00E166FE"/>
    <w:rsid w:val="00E175DA"/>
    <w:rsid w:val="00E21538"/>
    <w:rsid w:val="00E21A1A"/>
    <w:rsid w:val="00E22349"/>
    <w:rsid w:val="00E2277E"/>
    <w:rsid w:val="00E24ED2"/>
    <w:rsid w:val="00E25217"/>
    <w:rsid w:val="00E256DA"/>
    <w:rsid w:val="00E25816"/>
    <w:rsid w:val="00E30324"/>
    <w:rsid w:val="00E30AFF"/>
    <w:rsid w:val="00E31FE6"/>
    <w:rsid w:val="00E34DF5"/>
    <w:rsid w:val="00E356EA"/>
    <w:rsid w:val="00E3589C"/>
    <w:rsid w:val="00E414AD"/>
    <w:rsid w:val="00E419D7"/>
    <w:rsid w:val="00E42A2F"/>
    <w:rsid w:val="00E444A8"/>
    <w:rsid w:val="00E44848"/>
    <w:rsid w:val="00E44B5A"/>
    <w:rsid w:val="00E4542E"/>
    <w:rsid w:val="00E45A21"/>
    <w:rsid w:val="00E45D39"/>
    <w:rsid w:val="00E46502"/>
    <w:rsid w:val="00E474DC"/>
    <w:rsid w:val="00E5274D"/>
    <w:rsid w:val="00E52C83"/>
    <w:rsid w:val="00E541C5"/>
    <w:rsid w:val="00E54581"/>
    <w:rsid w:val="00E56F7D"/>
    <w:rsid w:val="00E5786F"/>
    <w:rsid w:val="00E57978"/>
    <w:rsid w:val="00E6102C"/>
    <w:rsid w:val="00E612FC"/>
    <w:rsid w:val="00E613F9"/>
    <w:rsid w:val="00E61769"/>
    <w:rsid w:val="00E61BD8"/>
    <w:rsid w:val="00E6217E"/>
    <w:rsid w:val="00E64062"/>
    <w:rsid w:val="00E66616"/>
    <w:rsid w:val="00E72D68"/>
    <w:rsid w:val="00E72DE2"/>
    <w:rsid w:val="00E73B3A"/>
    <w:rsid w:val="00E7410B"/>
    <w:rsid w:val="00E745B3"/>
    <w:rsid w:val="00E7584C"/>
    <w:rsid w:val="00E759D0"/>
    <w:rsid w:val="00E75E06"/>
    <w:rsid w:val="00E7779F"/>
    <w:rsid w:val="00E80120"/>
    <w:rsid w:val="00E83671"/>
    <w:rsid w:val="00E84065"/>
    <w:rsid w:val="00E84795"/>
    <w:rsid w:val="00E852AA"/>
    <w:rsid w:val="00E853AE"/>
    <w:rsid w:val="00E85538"/>
    <w:rsid w:val="00E86517"/>
    <w:rsid w:val="00E87719"/>
    <w:rsid w:val="00E87D89"/>
    <w:rsid w:val="00E919B7"/>
    <w:rsid w:val="00E9233F"/>
    <w:rsid w:val="00E92AED"/>
    <w:rsid w:val="00E93AA5"/>
    <w:rsid w:val="00E95399"/>
    <w:rsid w:val="00E961B3"/>
    <w:rsid w:val="00E96483"/>
    <w:rsid w:val="00EA3C19"/>
    <w:rsid w:val="00EA50C7"/>
    <w:rsid w:val="00EA5109"/>
    <w:rsid w:val="00EA6011"/>
    <w:rsid w:val="00EB0973"/>
    <w:rsid w:val="00EB131E"/>
    <w:rsid w:val="00EB1AED"/>
    <w:rsid w:val="00EB4809"/>
    <w:rsid w:val="00EB5DD2"/>
    <w:rsid w:val="00EB6BC0"/>
    <w:rsid w:val="00EB74F6"/>
    <w:rsid w:val="00EB78D6"/>
    <w:rsid w:val="00EC09EF"/>
    <w:rsid w:val="00EC1C92"/>
    <w:rsid w:val="00EC447D"/>
    <w:rsid w:val="00EC48C8"/>
    <w:rsid w:val="00EC57DC"/>
    <w:rsid w:val="00EC598D"/>
    <w:rsid w:val="00EC6C71"/>
    <w:rsid w:val="00EC6DC3"/>
    <w:rsid w:val="00EC718A"/>
    <w:rsid w:val="00ED16E4"/>
    <w:rsid w:val="00ED171E"/>
    <w:rsid w:val="00ED18BE"/>
    <w:rsid w:val="00ED251A"/>
    <w:rsid w:val="00ED4485"/>
    <w:rsid w:val="00ED4DA4"/>
    <w:rsid w:val="00ED55C3"/>
    <w:rsid w:val="00ED73BE"/>
    <w:rsid w:val="00ED763B"/>
    <w:rsid w:val="00ED7BF7"/>
    <w:rsid w:val="00EE01ED"/>
    <w:rsid w:val="00EE02CE"/>
    <w:rsid w:val="00EE075F"/>
    <w:rsid w:val="00EE1819"/>
    <w:rsid w:val="00EE25BB"/>
    <w:rsid w:val="00EE2752"/>
    <w:rsid w:val="00EE2D50"/>
    <w:rsid w:val="00EE3428"/>
    <w:rsid w:val="00EE38FC"/>
    <w:rsid w:val="00EE39BD"/>
    <w:rsid w:val="00EE456D"/>
    <w:rsid w:val="00EE4B33"/>
    <w:rsid w:val="00EE68AF"/>
    <w:rsid w:val="00EE7044"/>
    <w:rsid w:val="00EE7714"/>
    <w:rsid w:val="00EE7FFC"/>
    <w:rsid w:val="00EF1220"/>
    <w:rsid w:val="00EF1375"/>
    <w:rsid w:val="00EF13EA"/>
    <w:rsid w:val="00EF1FA5"/>
    <w:rsid w:val="00EF5281"/>
    <w:rsid w:val="00EF6A2A"/>
    <w:rsid w:val="00EF7159"/>
    <w:rsid w:val="00EF7C76"/>
    <w:rsid w:val="00F011F3"/>
    <w:rsid w:val="00F014BC"/>
    <w:rsid w:val="00F0259A"/>
    <w:rsid w:val="00F02FFA"/>
    <w:rsid w:val="00F04D4F"/>
    <w:rsid w:val="00F05008"/>
    <w:rsid w:val="00F054A0"/>
    <w:rsid w:val="00F069DE"/>
    <w:rsid w:val="00F07E92"/>
    <w:rsid w:val="00F12181"/>
    <w:rsid w:val="00F1267C"/>
    <w:rsid w:val="00F12799"/>
    <w:rsid w:val="00F13501"/>
    <w:rsid w:val="00F13E3F"/>
    <w:rsid w:val="00F1437E"/>
    <w:rsid w:val="00F14760"/>
    <w:rsid w:val="00F15CD3"/>
    <w:rsid w:val="00F16CAF"/>
    <w:rsid w:val="00F16E4E"/>
    <w:rsid w:val="00F1706D"/>
    <w:rsid w:val="00F176C1"/>
    <w:rsid w:val="00F17938"/>
    <w:rsid w:val="00F17A1A"/>
    <w:rsid w:val="00F21106"/>
    <w:rsid w:val="00F21E31"/>
    <w:rsid w:val="00F2350B"/>
    <w:rsid w:val="00F237F5"/>
    <w:rsid w:val="00F24881"/>
    <w:rsid w:val="00F24ED5"/>
    <w:rsid w:val="00F25136"/>
    <w:rsid w:val="00F2587A"/>
    <w:rsid w:val="00F268D6"/>
    <w:rsid w:val="00F271C8"/>
    <w:rsid w:val="00F317B2"/>
    <w:rsid w:val="00F32848"/>
    <w:rsid w:val="00F3309F"/>
    <w:rsid w:val="00F36D3A"/>
    <w:rsid w:val="00F37152"/>
    <w:rsid w:val="00F374C2"/>
    <w:rsid w:val="00F43C67"/>
    <w:rsid w:val="00F4498F"/>
    <w:rsid w:val="00F44DEC"/>
    <w:rsid w:val="00F45203"/>
    <w:rsid w:val="00F45B93"/>
    <w:rsid w:val="00F47034"/>
    <w:rsid w:val="00F507F9"/>
    <w:rsid w:val="00F55B34"/>
    <w:rsid w:val="00F6231F"/>
    <w:rsid w:val="00F62E42"/>
    <w:rsid w:val="00F63023"/>
    <w:rsid w:val="00F63F94"/>
    <w:rsid w:val="00F663C3"/>
    <w:rsid w:val="00F702C1"/>
    <w:rsid w:val="00F718F9"/>
    <w:rsid w:val="00F7210D"/>
    <w:rsid w:val="00F72FA5"/>
    <w:rsid w:val="00F743B3"/>
    <w:rsid w:val="00F74643"/>
    <w:rsid w:val="00F74BAB"/>
    <w:rsid w:val="00F7613C"/>
    <w:rsid w:val="00F77C89"/>
    <w:rsid w:val="00F8050C"/>
    <w:rsid w:val="00F81892"/>
    <w:rsid w:val="00F86BC3"/>
    <w:rsid w:val="00F90436"/>
    <w:rsid w:val="00F90526"/>
    <w:rsid w:val="00F9059B"/>
    <w:rsid w:val="00F9245C"/>
    <w:rsid w:val="00F93E72"/>
    <w:rsid w:val="00F94007"/>
    <w:rsid w:val="00F9413F"/>
    <w:rsid w:val="00F94CFD"/>
    <w:rsid w:val="00F94E66"/>
    <w:rsid w:val="00F95160"/>
    <w:rsid w:val="00F96618"/>
    <w:rsid w:val="00F96705"/>
    <w:rsid w:val="00F96C20"/>
    <w:rsid w:val="00F9719A"/>
    <w:rsid w:val="00F977D4"/>
    <w:rsid w:val="00FA06E1"/>
    <w:rsid w:val="00FA0F5D"/>
    <w:rsid w:val="00FA2132"/>
    <w:rsid w:val="00FA325F"/>
    <w:rsid w:val="00FA43BB"/>
    <w:rsid w:val="00FA479C"/>
    <w:rsid w:val="00FA59D0"/>
    <w:rsid w:val="00FA623D"/>
    <w:rsid w:val="00FA671F"/>
    <w:rsid w:val="00FA6DA1"/>
    <w:rsid w:val="00FB01A5"/>
    <w:rsid w:val="00FB130C"/>
    <w:rsid w:val="00FB1B7F"/>
    <w:rsid w:val="00FB27D4"/>
    <w:rsid w:val="00FB426B"/>
    <w:rsid w:val="00FB4505"/>
    <w:rsid w:val="00FB4E7C"/>
    <w:rsid w:val="00FB5D6D"/>
    <w:rsid w:val="00FB66AC"/>
    <w:rsid w:val="00FB7008"/>
    <w:rsid w:val="00FB7C42"/>
    <w:rsid w:val="00FC110F"/>
    <w:rsid w:val="00FC14CC"/>
    <w:rsid w:val="00FC160E"/>
    <w:rsid w:val="00FC1C1B"/>
    <w:rsid w:val="00FC21A2"/>
    <w:rsid w:val="00FC26A4"/>
    <w:rsid w:val="00FC26CD"/>
    <w:rsid w:val="00FC3BA2"/>
    <w:rsid w:val="00FC72F5"/>
    <w:rsid w:val="00FD0B09"/>
    <w:rsid w:val="00FD122E"/>
    <w:rsid w:val="00FD1823"/>
    <w:rsid w:val="00FD1885"/>
    <w:rsid w:val="00FD3B04"/>
    <w:rsid w:val="00FD4069"/>
    <w:rsid w:val="00FD45F4"/>
    <w:rsid w:val="00FD4763"/>
    <w:rsid w:val="00FD6288"/>
    <w:rsid w:val="00FD6A84"/>
    <w:rsid w:val="00FD6EB7"/>
    <w:rsid w:val="00FD6F2B"/>
    <w:rsid w:val="00FD7733"/>
    <w:rsid w:val="00FE01F9"/>
    <w:rsid w:val="00FE063C"/>
    <w:rsid w:val="00FE0EC7"/>
    <w:rsid w:val="00FE0EFE"/>
    <w:rsid w:val="00FE138C"/>
    <w:rsid w:val="00FE1935"/>
    <w:rsid w:val="00FE2422"/>
    <w:rsid w:val="00FE2E4A"/>
    <w:rsid w:val="00FE63EA"/>
    <w:rsid w:val="00FE7806"/>
    <w:rsid w:val="00FE7B47"/>
    <w:rsid w:val="00FE7F08"/>
    <w:rsid w:val="00FF072E"/>
    <w:rsid w:val="00FF1558"/>
    <w:rsid w:val="00FF15DE"/>
    <w:rsid w:val="00FF1803"/>
    <w:rsid w:val="00FF2ADA"/>
    <w:rsid w:val="00FF2ED5"/>
    <w:rsid w:val="00FF3859"/>
    <w:rsid w:val="00FF3E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1"/>
    </o:shapelayout>
  </w:shapeDefaults>
  <w:decimalSymbol w:val="."/>
  <w:listSeparator w:val=","/>
  <w14:docId w14:val="66ECEA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2CC"/>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 not in TOC"/>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Normal"/>
    <w:next w:val="Normal"/>
    <w:link w:val="Heading3Char"/>
    <w:uiPriority w:val="9"/>
    <w:unhideWhenUsed/>
    <w:qFormat/>
    <w:rsid w:val="00F77C89"/>
    <w:pPr>
      <w:keepNext/>
      <w:keepLines/>
      <w:spacing w:line="240" w:lineRule="auto"/>
      <w:outlineLvl w:val="2"/>
    </w:pPr>
    <w:rPr>
      <w:rFonts w:eastAsiaTheme="majorEastAsia" w:cstheme="majorBidi"/>
      <w:color w:val="003D79"/>
      <w:sz w:val="28"/>
      <w:szCs w:val="24"/>
    </w:rPr>
  </w:style>
  <w:style w:type="paragraph" w:styleId="Heading4">
    <w:name w:val="heading 4"/>
    <w:basedOn w:val="Normal"/>
    <w:next w:val="Normal"/>
    <w:link w:val="Heading4Char"/>
    <w:uiPriority w:val="9"/>
    <w:unhideWhenUsed/>
    <w:qFormat/>
    <w:rsid w:val="00F77C89"/>
    <w:pPr>
      <w:keepNext/>
      <w:keepLines/>
      <w:spacing w:after="0"/>
      <w:outlineLvl w:val="3"/>
    </w:pPr>
    <w:rPr>
      <w:rFonts w:eastAsiaTheme="majorEastAsia" w:cstheme="majorBidi"/>
      <w:i/>
      <w:iCs/>
      <w:color w:val="003D79"/>
      <w:sz w:val="24"/>
    </w:rPr>
  </w:style>
  <w:style w:type="paragraph" w:styleId="Heading5">
    <w:name w:val="heading 5"/>
    <w:basedOn w:val="Normal"/>
    <w:next w:val="Normal"/>
    <w:link w:val="Heading5Char"/>
    <w:uiPriority w:val="9"/>
    <w:unhideWhenUsed/>
    <w:qFormat/>
    <w:rsid w:val="00FA62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C19F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Heading 2 not in TOC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F77C89"/>
    <w:rPr>
      <w:rFonts w:ascii="Century Gothic" w:eastAsiaTheme="majorEastAsia" w:hAnsi="Century Gothic" w:cstheme="majorBidi"/>
      <w:color w:val="003D79"/>
      <w:sz w:val="28"/>
      <w:szCs w:val="24"/>
    </w:rPr>
  </w:style>
  <w:style w:type="character" w:customStyle="1" w:styleId="Heading4Char">
    <w:name w:val="Heading 4 Char"/>
    <w:basedOn w:val="DefaultParagraphFont"/>
    <w:link w:val="Heading4"/>
    <w:uiPriority w:val="9"/>
    <w:rsid w:val="00F77C89"/>
    <w:rPr>
      <w:rFonts w:ascii="Century Gothic" w:eastAsiaTheme="majorEastAsia" w:hAnsi="Century Gothic" w:cstheme="majorBidi"/>
      <w:i/>
      <w:iCs/>
      <w:color w:val="003D79"/>
      <w:sz w:val="24"/>
    </w:rPr>
  </w:style>
  <w:style w:type="character" w:customStyle="1" w:styleId="Heading5Char">
    <w:name w:val="Heading 5 Char"/>
    <w:basedOn w:val="DefaultParagraphFont"/>
    <w:link w:val="Heading5"/>
    <w:uiPriority w:val="9"/>
    <w:rsid w:val="00FA623D"/>
    <w:rPr>
      <w:rFonts w:asciiTheme="majorHAnsi" w:eastAsiaTheme="majorEastAsia" w:hAnsiTheme="majorHAnsi" w:cstheme="majorBidi"/>
      <w:color w:val="2E74B5" w:themeColor="accent1" w:themeShade="BF"/>
      <w:sz w:val="20"/>
    </w:rPr>
  </w:style>
  <w:style w:type="paragraph" w:styleId="Header">
    <w:name w:val="header"/>
    <w:basedOn w:val="Normal"/>
    <w:link w:val="Head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D81FA6"/>
    <w:pPr>
      <w:spacing w:after="0" w:line="240" w:lineRule="auto"/>
    </w:pPr>
    <w:rPr>
      <w:rFonts w:eastAsia="MS Mincho"/>
      <w:sz w:val="16"/>
      <w:szCs w:val="20"/>
      <w:lang w:eastAsia="ja-JP"/>
    </w:rPr>
  </w:style>
  <w:style w:type="character" w:customStyle="1" w:styleId="FootnoteTextChar">
    <w:name w:val="Footnote Text Char"/>
    <w:basedOn w:val="DefaultParagraphFont"/>
    <w:link w:val="FootnoteText"/>
    <w:uiPriority w:val="99"/>
    <w:rsid w:val="00D81FA6"/>
    <w:rPr>
      <w:rFonts w:ascii="Century Gothic" w:eastAsia="MS Mincho" w:hAnsi="Century Gothic" w:cs="Times New Roman"/>
      <w:sz w:val="16"/>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8D691C"/>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8D691C"/>
    <w:rPr>
      <w:rFonts w:ascii="Century Gothic" w:eastAsia="Calibri" w:hAnsi="Century Gothic" w:cs="Arial"/>
      <w:color w:val="003D79"/>
      <w:sz w:val="80"/>
      <w:szCs w:val="92"/>
    </w:rPr>
  </w:style>
  <w:style w:type="character" w:customStyle="1" w:styleId="Style9">
    <w:name w:val="Style9"/>
    <w:basedOn w:val="DefaultParagraphFont"/>
    <w:uiPriority w:val="99"/>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59743A"/>
    <w:pPr>
      <w:tabs>
        <w:tab w:val="left" w:pos="3957"/>
      </w:tabs>
      <w:spacing w:before="0" w:after="200" w:line="240" w:lineRule="auto"/>
    </w:pPr>
    <w:rPr>
      <w:rFonts w:ascii="Century Gothic" w:hAnsi="Century Gothic"/>
      <w:color w:val="003D79"/>
      <w:sz w:val="60"/>
    </w:rPr>
  </w:style>
  <w:style w:type="character" w:customStyle="1" w:styleId="Heading1nonumberChar">
    <w:name w:val="Heading 1 no number Char"/>
    <w:basedOn w:val="DefaultParagraphFont"/>
    <w:link w:val="Heading1nonumber"/>
    <w:rsid w:val="0059743A"/>
    <w:rPr>
      <w:rFonts w:ascii="Century Gothic" w:eastAsiaTheme="majorEastAsia" w:hAnsi="Century Gothic" w:cstheme="majorBidi"/>
      <w:color w:val="003D79"/>
      <w:sz w:val="60"/>
      <w:szCs w:val="32"/>
    </w:rPr>
  </w:style>
  <w:style w:type="paragraph" w:customStyle="1" w:styleId="Heading1withnumber">
    <w:name w:val="Heading 1 with number"/>
    <w:basedOn w:val="Heading1"/>
    <w:next w:val="Normal"/>
    <w:link w:val="Heading1withnumberChar"/>
    <w:qFormat/>
    <w:rsid w:val="008D691C"/>
    <w:pPr>
      <w:numPr>
        <w:numId w:val="1"/>
      </w:numPr>
      <w:spacing w:before="0" w:after="200" w:line="240" w:lineRule="auto"/>
    </w:pPr>
    <w:rPr>
      <w:rFonts w:ascii="Century Gothic" w:hAnsi="Century Gothic"/>
      <w:color w:val="003D79"/>
      <w:sz w:val="80"/>
    </w:rPr>
  </w:style>
  <w:style w:type="character" w:customStyle="1" w:styleId="Heading1withnumberChar">
    <w:name w:val="Heading 1 with number Char"/>
    <w:basedOn w:val="Heading1Char"/>
    <w:link w:val="Heading1withnumber"/>
    <w:rsid w:val="008D691C"/>
    <w:rPr>
      <w:rFonts w:ascii="Century Gothic" w:eastAsiaTheme="majorEastAsia" w:hAnsi="Century Gothic" w:cstheme="majorBidi"/>
      <w:color w:val="003D79"/>
      <w:sz w:val="80"/>
      <w:szCs w:val="32"/>
    </w:rPr>
  </w:style>
  <w:style w:type="table" w:styleId="TableGrid">
    <w:name w:val="Table Grid"/>
    <w:basedOn w:val="TableNormal"/>
    <w:uiPriority w:val="3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List Paragraph1,List Paragraph11,Bullet point,Figure_name,Numbered Indented Text,Bullet- First level,List NUmber,Listenabsatz1,lp1,Body text,NAST Quote,standard lewis,List Number1,Body Text1,List Number11,Body Text11,L,リスト段"/>
    <w:basedOn w:val="Normal"/>
    <w:link w:val="ListParagraphChar"/>
    <w:uiPriority w:val="34"/>
    <w:qFormat/>
    <w:rsid w:val="00433CD0"/>
    <w:pPr>
      <w:ind w:left="720"/>
      <w:contextualSpacing/>
    </w:pPr>
  </w:style>
  <w:style w:type="character" w:customStyle="1" w:styleId="ListParagraphChar">
    <w:name w:val="List Paragraph Char"/>
    <w:aliases w:val="Recommendation Char,List Paragraph1 Char,List Paragraph11 Char,Bullet point Char,Figure_name Char,Numbered Indented Text Char,Bullet- First level Char,List NUmber Char,Listenabsatz1 Char,lp1 Char,Body text Char,NAST Quote Char,L Char"/>
    <w:basedOn w:val="DefaultParagraphFont"/>
    <w:link w:val="ListParagraph"/>
    <w:uiPriority w:val="34"/>
    <w:rsid w:val="00552D18"/>
    <w:rPr>
      <w:rFonts w:ascii="Century Gothic" w:eastAsia="Calibri" w:hAnsi="Century Gothic" w:cs="Times New Roman"/>
      <w:sz w:val="20"/>
    </w:rPr>
  </w:style>
  <w:style w:type="paragraph" w:customStyle="1" w:styleId="EndNoteBibliographyTitle">
    <w:name w:val="EndNote Bibliography Title"/>
    <w:basedOn w:val="Normal"/>
    <w:link w:val="EndNoteBibliographyTitleChar"/>
    <w:rsid w:val="00D81FA6"/>
    <w:rPr>
      <w:noProof/>
      <w:lang w:val="en-US"/>
    </w:rPr>
  </w:style>
  <w:style w:type="character" w:customStyle="1" w:styleId="EndNoteBibliographyTitleChar">
    <w:name w:val="EndNote Bibliography Title Char"/>
    <w:basedOn w:val="DefaultParagraphFont"/>
    <w:link w:val="EndNoteBibliographyTitle"/>
    <w:rsid w:val="00D81FA6"/>
    <w:rPr>
      <w:rFonts w:ascii="Century Gothic" w:eastAsia="Calibri" w:hAnsi="Century Gothic" w:cs="Times New Roman"/>
      <w:noProof/>
      <w:sz w:val="20"/>
      <w:lang w:val="en-US"/>
    </w:rPr>
  </w:style>
  <w:style w:type="paragraph" w:customStyle="1" w:styleId="EndNoteBibliography">
    <w:name w:val="EndNote Bibliography"/>
    <w:basedOn w:val="Normal"/>
    <w:link w:val="EndNoteBibliographyChar"/>
    <w:rsid w:val="00D81FA6"/>
    <w:pPr>
      <w:spacing w:line="240" w:lineRule="auto"/>
      <w:ind w:left="720" w:hanging="720"/>
    </w:pPr>
    <w:rPr>
      <w:noProof/>
      <w:lang w:val="en-US"/>
    </w:rPr>
  </w:style>
  <w:style w:type="character" w:customStyle="1" w:styleId="EndNoteBibliographyChar">
    <w:name w:val="EndNote Bibliography Char"/>
    <w:basedOn w:val="DefaultParagraphFont"/>
    <w:link w:val="EndNoteBibliography"/>
    <w:rsid w:val="00D81FA6"/>
    <w:rPr>
      <w:rFonts w:ascii="Century Gothic" w:eastAsia="Calibri" w:hAnsi="Century Gothic" w:cs="Times New Roman"/>
      <w:noProof/>
      <w:sz w:val="20"/>
      <w:lang w:val="en-US"/>
    </w:rPr>
  </w:style>
  <w:style w:type="character" w:styleId="FootnoteReference">
    <w:name w:val="footnote reference"/>
    <w:basedOn w:val="DefaultParagraphFont"/>
    <w:uiPriority w:val="99"/>
    <w:semiHidden/>
    <w:unhideWhenUsed/>
    <w:rsid w:val="007638EA"/>
    <w:rPr>
      <w:vertAlign w:val="superscript"/>
    </w:rPr>
  </w:style>
  <w:style w:type="table" w:customStyle="1" w:styleId="TableGrid1">
    <w:name w:val="Table Grid1"/>
    <w:basedOn w:val="TableNormal"/>
    <w:next w:val="TableGrid"/>
    <w:uiPriority w:val="39"/>
    <w:rsid w:val="00547065"/>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E06C7C"/>
    <w:rPr>
      <w:color w:val="808080"/>
      <w:shd w:val="clear" w:color="auto" w:fill="E6E6E6"/>
    </w:rPr>
  </w:style>
  <w:style w:type="character" w:styleId="SubtleEmphasis">
    <w:name w:val="Subtle Emphasis"/>
    <w:basedOn w:val="DefaultParagraphFont"/>
    <w:uiPriority w:val="19"/>
    <w:qFormat/>
    <w:rsid w:val="00FA623D"/>
    <w:rPr>
      <w:i/>
      <w:iCs/>
      <w:color w:val="404040" w:themeColor="text1" w:themeTint="BF"/>
    </w:rPr>
  </w:style>
  <w:style w:type="character" w:styleId="CommentReference">
    <w:name w:val="annotation reference"/>
    <w:basedOn w:val="DefaultParagraphFont"/>
    <w:uiPriority w:val="99"/>
    <w:semiHidden/>
    <w:unhideWhenUsed/>
    <w:rsid w:val="0086304F"/>
    <w:rPr>
      <w:sz w:val="16"/>
      <w:szCs w:val="16"/>
    </w:rPr>
  </w:style>
  <w:style w:type="paragraph" w:styleId="CommentText">
    <w:name w:val="annotation text"/>
    <w:basedOn w:val="Normal"/>
    <w:link w:val="CommentTextChar"/>
    <w:uiPriority w:val="99"/>
    <w:unhideWhenUsed/>
    <w:rsid w:val="0086304F"/>
    <w:pPr>
      <w:spacing w:line="240" w:lineRule="auto"/>
    </w:pPr>
    <w:rPr>
      <w:szCs w:val="20"/>
    </w:rPr>
  </w:style>
  <w:style w:type="character" w:customStyle="1" w:styleId="CommentTextChar">
    <w:name w:val="Comment Text Char"/>
    <w:basedOn w:val="DefaultParagraphFont"/>
    <w:link w:val="CommentText"/>
    <w:uiPriority w:val="99"/>
    <w:rsid w:val="0086304F"/>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86304F"/>
    <w:rPr>
      <w:b/>
      <w:bCs/>
    </w:rPr>
  </w:style>
  <w:style w:type="character" w:customStyle="1" w:styleId="CommentSubjectChar">
    <w:name w:val="Comment Subject Char"/>
    <w:basedOn w:val="CommentTextChar"/>
    <w:link w:val="CommentSubject"/>
    <w:uiPriority w:val="99"/>
    <w:semiHidden/>
    <w:rsid w:val="0086304F"/>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863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4F"/>
    <w:rPr>
      <w:rFonts w:ascii="Segoe UI" w:eastAsia="Calibri" w:hAnsi="Segoe UI" w:cs="Segoe UI"/>
      <w:sz w:val="18"/>
      <w:szCs w:val="18"/>
    </w:rPr>
  </w:style>
  <w:style w:type="character" w:customStyle="1" w:styleId="Strong1">
    <w:name w:val="Strong1"/>
    <w:basedOn w:val="DefaultParagraphFont"/>
    <w:uiPriority w:val="1"/>
    <w:qFormat/>
    <w:rsid w:val="007B7B40"/>
    <w:rPr>
      <w:b/>
    </w:rPr>
  </w:style>
  <w:style w:type="paragraph" w:customStyle="1" w:styleId="centered">
    <w:name w:val="centered"/>
    <w:basedOn w:val="Normal"/>
    <w:qFormat/>
    <w:rsid w:val="007B7B40"/>
    <w:pPr>
      <w:spacing w:after="0" w:line="240" w:lineRule="auto"/>
      <w:jc w:val="center"/>
    </w:pPr>
    <w:rPr>
      <w:rFonts w:asciiTheme="minorHAnsi" w:eastAsiaTheme="minorEastAsia" w:hAnsiTheme="minorHAnsi" w:cstheme="minorBidi"/>
      <w:sz w:val="24"/>
      <w:szCs w:val="24"/>
      <w:lang w:val="fr-FR" w:eastAsia="fr-FR"/>
    </w:rPr>
  </w:style>
  <w:style w:type="paragraph" w:customStyle="1" w:styleId="graphictitle">
    <w:name w:val="graphic title"/>
    <w:basedOn w:val="Normal"/>
    <w:qFormat/>
    <w:rsid w:val="007B7B40"/>
    <w:pPr>
      <w:spacing w:after="0" w:line="240" w:lineRule="auto"/>
      <w:jc w:val="center"/>
    </w:pPr>
    <w:rPr>
      <w:rFonts w:asciiTheme="minorHAnsi" w:eastAsiaTheme="minorEastAsia" w:hAnsiTheme="minorHAnsi" w:cstheme="minorBidi"/>
      <w:b/>
      <w:i/>
      <w:sz w:val="24"/>
      <w:szCs w:val="24"/>
      <w:lang w:val="fr-FR" w:eastAsia="fr-FR"/>
    </w:rPr>
  </w:style>
  <w:style w:type="paragraph" w:customStyle="1" w:styleId="tabletitle">
    <w:name w:val="table title"/>
    <w:basedOn w:val="graphictitle"/>
    <w:qFormat/>
    <w:rsid w:val="007B7B40"/>
  </w:style>
  <w:style w:type="paragraph" w:styleId="Caption">
    <w:name w:val="caption"/>
    <w:basedOn w:val="Normal"/>
    <w:next w:val="Normal"/>
    <w:uiPriority w:val="99"/>
    <w:qFormat/>
    <w:rsid w:val="00132C73"/>
    <w:pPr>
      <w:spacing w:after="0"/>
      <w:jc w:val="center"/>
    </w:pPr>
    <w:rPr>
      <w:b/>
      <w:color w:val="000000"/>
      <w:sz w:val="18"/>
      <w:szCs w:val="18"/>
    </w:rPr>
  </w:style>
  <w:style w:type="paragraph" w:customStyle="1" w:styleId="Tablespacing">
    <w:name w:val="Table spacing"/>
    <w:basedOn w:val="Normal"/>
    <w:link w:val="TablespacingChar"/>
    <w:qFormat/>
    <w:rsid w:val="00132C73"/>
    <w:pPr>
      <w:spacing w:after="0"/>
      <w:jc w:val="center"/>
    </w:pPr>
    <w:rPr>
      <w:sz w:val="4"/>
      <w:szCs w:val="4"/>
    </w:rPr>
  </w:style>
  <w:style w:type="character" w:customStyle="1" w:styleId="TablespacingChar">
    <w:name w:val="Table spacing Char"/>
    <w:basedOn w:val="DefaultParagraphFont"/>
    <w:link w:val="Tablespacing"/>
    <w:rsid w:val="00132C73"/>
    <w:rPr>
      <w:rFonts w:ascii="Century Gothic" w:eastAsia="Calibri" w:hAnsi="Century Gothic" w:cs="Times New Roman"/>
      <w:sz w:val="4"/>
      <w:szCs w:val="4"/>
    </w:rPr>
  </w:style>
  <w:style w:type="paragraph" w:customStyle="1" w:styleId="Default">
    <w:name w:val="Default"/>
    <w:rsid w:val="00265264"/>
    <w:pPr>
      <w:autoSpaceDE w:val="0"/>
      <w:autoSpaceDN w:val="0"/>
      <w:adjustRightInd w:val="0"/>
      <w:spacing w:after="0" w:line="240" w:lineRule="auto"/>
    </w:pPr>
    <w:rPr>
      <w:rFonts w:ascii="Calibri" w:hAnsi="Calibri" w:cs="Calibri"/>
      <w:color w:val="000000"/>
      <w:sz w:val="24"/>
      <w:szCs w:val="24"/>
    </w:rPr>
  </w:style>
  <w:style w:type="paragraph" w:customStyle="1" w:styleId="Appendix">
    <w:name w:val="Appendix"/>
    <w:basedOn w:val="Heading1nonumber"/>
    <w:link w:val="AppendixChar"/>
    <w:qFormat/>
    <w:rsid w:val="008A7E07"/>
  </w:style>
  <w:style w:type="character" w:customStyle="1" w:styleId="AppendixChar">
    <w:name w:val="Appendix Char"/>
    <w:basedOn w:val="Heading1nonumberChar"/>
    <w:link w:val="Appendix"/>
    <w:rsid w:val="008A7E07"/>
    <w:rPr>
      <w:rFonts w:ascii="Century Gothic" w:eastAsiaTheme="majorEastAsia" w:hAnsi="Century Gothic" w:cstheme="majorBidi"/>
      <w:color w:val="003D79"/>
      <w:sz w:val="60"/>
      <w:szCs w:val="32"/>
    </w:rPr>
  </w:style>
  <w:style w:type="paragraph" w:customStyle="1" w:styleId="Chartortablefootnote">
    <w:name w:val="Chart or table footnote"/>
    <w:basedOn w:val="Normal"/>
    <w:link w:val="ChartortablefootnoteChar"/>
    <w:qFormat/>
    <w:rsid w:val="00DE4E96"/>
    <w:pPr>
      <w:jc w:val="center"/>
    </w:pPr>
    <w:rPr>
      <w:i/>
      <w:sz w:val="16"/>
      <w:szCs w:val="18"/>
    </w:rPr>
  </w:style>
  <w:style w:type="character" w:customStyle="1" w:styleId="ChartortablefootnoteChar">
    <w:name w:val="Chart or table footnote Char"/>
    <w:basedOn w:val="DefaultParagraphFont"/>
    <w:link w:val="Chartortablefootnote"/>
    <w:rsid w:val="00DE4E96"/>
    <w:rPr>
      <w:rFonts w:ascii="Century Gothic" w:eastAsia="Calibri" w:hAnsi="Century Gothic" w:cs="Times New Roman"/>
      <w:i/>
      <w:sz w:val="16"/>
      <w:szCs w:val="18"/>
    </w:rPr>
  </w:style>
  <w:style w:type="paragraph" w:customStyle="1" w:styleId="Boxheading">
    <w:name w:val="Box heading"/>
    <w:basedOn w:val="Normal"/>
    <w:link w:val="BoxheadingChar"/>
    <w:qFormat/>
    <w:rsid w:val="00C3123B"/>
    <w:pPr>
      <w:jc w:val="center"/>
    </w:pPr>
    <w:rPr>
      <w:b/>
    </w:rPr>
  </w:style>
  <w:style w:type="character" w:customStyle="1" w:styleId="BoxheadingChar">
    <w:name w:val="Box heading Char"/>
    <w:basedOn w:val="DefaultParagraphFont"/>
    <w:link w:val="Boxheading"/>
    <w:rsid w:val="00C3123B"/>
    <w:rPr>
      <w:rFonts w:ascii="Century Gothic" w:eastAsia="Calibri" w:hAnsi="Century Gothic" w:cs="Times New Roman"/>
      <w:b/>
      <w:sz w:val="20"/>
    </w:rPr>
  </w:style>
  <w:style w:type="paragraph" w:customStyle="1" w:styleId="msonormal0">
    <w:name w:val="msonormal"/>
    <w:basedOn w:val="Normal"/>
    <w:rsid w:val="00AA4DD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yle1">
    <w:name w:val="Style1"/>
    <w:basedOn w:val="Normal"/>
    <w:qFormat/>
    <w:rsid w:val="00AA4DDB"/>
    <w:pPr>
      <w:keepNext/>
      <w:keepLines/>
      <w:spacing w:line="240" w:lineRule="auto"/>
      <w:ind w:left="284"/>
      <w:outlineLvl w:val="2"/>
    </w:pPr>
    <w:rPr>
      <w:rFonts w:eastAsia="Times New Roman"/>
      <w:i/>
      <w:szCs w:val="20"/>
    </w:rPr>
  </w:style>
  <w:style w:type="character" w:customStyle="1" w:styleId="captionChar">
    <w:name w:val="caption Char"/>
    <w:basedOn w:val="DefaultParagraphFont"/>
    <w:link w:val="Caption1"/>
    <w:locked/>
    <w:rsid w:val="00AA4DDB"/>
    <w:rPr>
      <w:rFonts w:ascii="Century Gothic" w:eastAsiaTheme="minorEastAsia" w:hAnsi="Century Gothic"/>
      <w:b/>
      <w:sz w:val="20"/>
      <w:szCs w:val="24"/>
      <w:lang w:val="en-US"/>
    </w:rPr>
  </w:style>
  <w:style w:type="paragraph" w:customStyle="1" w:styleId="Caption1">
    <w:name w:val="Caption1"/>
    <w:basedOn w:val="Normal"/>
    <w:link w:val="captionChar"/>
    <w:qFormat/>
    <w:rsid w:val="00AA4DDB"/>
    <w:pPr>
      <w:spacing w:line="240" w:lineRule="auto"/>
      <w:jc w:val="center"/>
    </w:pPr>
    <w:rPr>
      <w:rFonts w:eastAsiaTheme="minorEastAsia" w:cstheme="minorBidi"/>
      <w:b/>
      <w:szCs w:val="24"/>
      <w:lang w:val="en-US"/>
    </w:rPr>
  </w:style>
  <w:style w:type="paragraph" w:styleId="BodyText">
    <w:name w:val="Body Text"/>
    <w:basedOn w:val="Normal"/>
    <w:link w:val="BodyTextChar"/>
    <w:uiPriority w:val="1"/>
    <w:unhideWhenUsed/>
    <w:qFormat/>
    <w:rsid w:val="006005B5"/>
    <w:pPr>
      <w:widowControl w:val="0"/>
      <w:spacing w:after="0" w:line="240" w:lineRule="auto"/>
      <w:ind w:left="100"/>
    </w:pPr>
    <w:rPr>
      <w:rFonts w:eastAsia="Century Gothic" w:cstheme="minorBidi"/>
      <w:szCs w:val="20"/>
      <w:lang w:val="en-US"/>
    </w:rPr>
  </w:style>
  <w:style w:type="character" w:customStyle="1" w:styleId="BodyTextChar">
    <w:name w:val="Body Text Char"/>
    <w:basedOn w:val="DefaultParagraphFont"/>
    <w:link w:val="BodyText"/>
    <w:uiPriority w:val="1"/>
    <w:rsid w:val="006005B5"/>
    <w:rPr>
      <w:rFonts w:ascii="Century Gothic" w:eastAsia="Century Gothic" w:hAnsi="Century Gothic"/>
      <w:sz w:val="20"/>
      <w:szCs w:val="20"/>
      <w:lang w:val="en-US"/>
    </w:rPr>
  </w:style>
  <w:style w:type="paragraph" w:customStyle="1" w:styleId="TableParagraph">
    <w:name w:val="Table Paragraph"/>
    <w:basedOn w:val="Normal"/>
    <w:uiPriority w:val="1"/>
    <w:qFormat/>
    <w:rsid w:val="00BA3051"/>
    <w:pPr>
      <w:widowControl w:val="0"/>
      <w:spacing w:after="0" w:line="240" w:lineRule="auto"/>
    </w:pPr>
    <w:rPr>
      <w:rFonts w:asciiTheme="minorHAnsi" w:eastAsiaTheme="minorHAnsi" w:hAnsiTheme="minorHAnsi" w:cstheme="minorBidi"/>
      <w:sz w:val="22"/>
      <w:lang w:val="en-US"/>
    </w:rPr>
  </w:style>
  <w:style w:type="character" w:customStyle="1" w:styleId="Heading6Char">
    <w:name w:val="Heading 6 Char"/>
    <w:basedOn w:val="DefaultParagraphFont"/>
    <w:link w:val="Heading6"/>
    <w:uiPriority w:val="9"/>
    <w:semiHidden/>
    <w:rsid w:val="001C19F3"/>
    <w:rPr>
      <w:rFonts w:asciiTheme="majorHAnsi" w:eastAsiaTheme="majorEastAsia" w:hAnsiTheme="majorHAnsi" w:cstheme="majorBidi"/>
      <w:color w:val="1F4D78" w:themeColor="accent1" w:themeShade="7F"/>
      <w:sz w:val="20"/>
    </w:rPr>
  </w:style>
  <w:style w:type="paragraph" w:styleId="EndnoteText">
    <w:name w:val="endnote text"/>
    <w:basedOn w:val="Normal"/>
    <w:link w:val="EndnoteTextChar"/>
    <w:uiPriority w:val="99"/>
    <w:semiHidden/>
    <w:unhideWhenUsed/>
    <w:rsid w:val="001C19F3"/>
    <w:pPr>
      <w:spacing w:after="0" w:line="240" w:lineRule="auto"/>
    </w:pPr>
    <w:rPr>
      <w:szCs w:val="20"/>
    </w:rPr>
  </w:style>
  <w:style w:type="character" w:customStyle="1" w:styleId="EndnoteTextChar">
    <w:name w:val="Endnote Text Char"/>
    <w:basedOn w:val="DefaultParagraphFont"/>
    <w:link w:val="EndnoteText"/>
    <w:uiPriority w:val="99"/>
    <w:semiHidden/>
    <w:rsid w:val="001C19F3"/>
    <w:rPr>
      <w:rFonts w:ascii="Century Gothic" w:eastAsia="Calibri" w:hAnsi="Century Gothic" w:cs="Times New Roman"/>
      <w:sz w:val="20"/>
      <w:szCs w:val="20"/>
    </w:rPr>
  </w:style>
  <w:style w:type="character" w:styleId="EndnoteReference">
    <w:name w:val="endnote reference"/>
    <w:basedOn w:val="DefaultParagraphFont"/>
    <w:uiPriority w:val="99"/>
    <w:semiHidden/>
    <w:unhideWhenUsed/>
    <w:rsid w:val="001C19F3"/>
    <w:rPr>
      <w:vertAlign w:val="superscript"/>
    </w:rPr>
  </w:style>
  <w:style w:type="paragraph" w:styleId="NormalWeb">
    <w:name w:val="Normal (Web)"/>
    <w:basedOn w:val="Normal"/>
    <w:uiPriority w:val="99"/>
    <w:semiHidden/>
    <w:unhideWhenUsed/>
    <w:rsid w:val="001C19F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msonormal">
    <w:name w:val="x_msonormal"/>
    <w:basedOn w:val="Normal"/>
    <w:rsid w:val="001C19F3"/>
    <w:pPr>
      <w:spacing w:after="0" w:line="240" w:lineRule="auto"/>
    </w:pPr>
    <w:rPr>
      <w:rFonts w:ascii="Calibri" w:eastAsiaTheme="minorHAnsi" w:hAnsi="Calibri" w:cs="Calibri"/>
      <w:sz w:val="22"/>
      <w:lang w:eastAsia="en-AU"/>
    </w:rPr>
  </w:style>
  <w:style w:type="table" w:customStyle="1" w:styleId="TableGrid2">
    <w:name w:val="Table Grid2"/>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C19F3"/>
  </w:style>
  <w:style w:type="paragraph" w:customStyle="1" w:styleId="NoSpacing1">
    <w:name w:val="No Spacing1"/>
    <w:next w:val="NoSpacing"/>
    <w:link w:val="NoSpacingChar"/>
    <w:uiPriority w:val="1"/>
    <w:qFormat/>
    <w:rsid w:val="001C19F3"/>
    <w:pPr>
      <w:spacing w:after="0" w:line="240" w:lineRule="auto"/>
    </w:pPr>
    <w:rPr>
      <w:rFonts w:eastAsia="Times New Roman"/>
      <w:lang w:val="en-US"/>
    </w:rPr>
  </w:style>
  <w:style w:type="character" w:customStyle="1" w:styleId="NoSpacingChar">
    <w:name w:val="No Spacing Char"/>
    <w:basedOn w:val="DefaultParagraphFont"/>
    <w:link w:val="NoSpacing1"/>
    <w:uiPriority w:val="1"/>
    <w:rsid w:val="001C19F3"/>
    <w:rPr>
      <w:rFonts w:eastAsia="Times New Roman"/>
      <w:lang w:val="en-US"/>
    </w:rPr>
  </w:style>
  <w:style w:type="paragraph" w:customStyle="1" w:styleId="paragraph">
    <w:name w:val="paragraph"/>
    <w:basedOn w:val="Normal"/>
    <w:rsid w:val="001C19F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1C19F3"/>
  </w:style>
  <w:style w:type="character" w:customStyle="1" w:styleId="eop">
    <w:name w:val="eop"/>
    <w:basedOn w:val="DefaultParagraphFont"/>
    <w:rsid w:val="001C19F3"/>
  </w:style>
  <w:style w:type="character" w:customStyle="1" w:styleId="advancedproofingissue">
    <w:name w:val="advancedproofingissue"/>
    <w:basedOn w:val="DefaultParagraphFont"/>
    <w:rsid w:val="001C19F3"/>
  </w:style>
  <w:style w:type="character" w:customStyle="1" w:styleId="contextualspellingandgrammarerror">
    <w:name w:val="contextualspellingandgrammarerror"/>
    <w:basedOn w:val="DefaultParagraphFont"/>
    <w:rsid w:val="001C19F3"/>
  </w:style>
  <w:style w:type="character" w:customStyle="1" w:styleId="spellingerror">
    <w:name w:val="spellingerror"/>
    <w:basedOn w:val="DefaultParagraphFont"/>
    <w:rsid w:val="001C19F3"/>
  </w:style>
  <w:style w:type="paragraph" w:styleId="NoSpacing">
    <w:name w:val="No Spacing"/>
    <w:uiPriority w:val="1"/>
    <w:qFormat/>
    <w:rsid w:val="001C19F3"/>
    <w:pPr>
      <w:spacing w:after="0" w:line="240" w:lineRule="auto"/>
    </w:pPr>
    <w:rPr>
      <w:rFonts w:ascii="Century Gothic" w:eastAsia="Calibri" w:hAnsi="Century Gothic" w:cs="Times New Roman"/>
      <w:sz w:val="20"/>
    </w:rPr>
  </w:style>
  <w:style w:type="numbering" w:customStyle="1" w:styleId="NoList2">
    <w:name w:val="No List2"/>
    <w:next w:val="NoList"/>
    <w:uiPriority w:val="99"/>
    <w:semiHidden/>
    <w:unhideWhenUsed/>
    <w:rsid w:val="001C19F3"/>
  </w:style>
  <w:style w:type="table" w:customStyle="1" w:styleId="TableGrid3">
    <w:name w:val="Table Grid3"/>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C19F3"/>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C19F3"/>
  </w:style>
  <w:style w:type="paragraph" w:customStyle="1" w:styleId="Quotes">
    <w:name w:val="Quotes"/>
    <w:basedOn w:val="Normal"/>
    <w:link w:val="QuotesChar"/>
    <w:qFormat/>
    <w:rsid w:val="001C19F3"/>
    <w:pPr>
      <w:ind w:left="709" w:right="1088"/>
      <w:jc w:val="both"/>
      <w:textAlignment w:val="baseline"/>
    </w:pPr>
    <w:rPr>
      <w:rFonts w:eastAsia="Times New Roman" w:cs="Segoe UI"/>
      <w:i/>
      <w:iCs/>
      <w:szCs w:val="20"/>
      <w:lang w:val="en-GB" w:eastAsia="en-AU"/>
    </w:rPr>
  </w:style>
  <w:style w:type="numbering" w:customStyle="1" w:styleId="NoList3">
    <w:name w:val="No List3"/>
    <w:next w:val="NoList"/>
    <w:uiPriority w:val="99"/>
    <w:semiHidden/>
    <w:unhideWhenUsed/>
    <w:rsid w:val="001C19F3"/>
  </w:style>
  <w:style w:type="character" w:customStyle="1" w:styleId="QuotesChar">
    <w:name w:val="Quotes Char"/>
    <w:basedOn w:val="DefaultParagraphFont"/>
    <w:link w:val="Quotes"/>
    <w:rsid w:val="001C19F3"/>
    <w:rPr>
      <w:rFonts w:ascii="Century Gothic" w:eastAsia="Times New Roman" w:hAnsi="Century Gothic" w:cs="Segoe UI"/>
      <w:i/>
      <w:iCs/>
      <w:sz w:val="20"/>
      <w:szCs w:val="20"/>
      <w:lang w:val="en-GB" w:eastAsia="en-AU"/>
    </w:rPr>
  </w:style>
  <w:style w:type="table" w:customStyle="1" w:styleId="TableGrid4">
    <w:name w:val="Table Grid4"/>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C19F3"/>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C19F3"/>
  </w:style>
  <w:style w:type="numbering" w:customStyle="1" w:styleId="NoList21">
    <w:name w:val="No List21"/>
    <w:next w:val="NoList"/>
    <w:uiPriority w:val="99"/>
    <w:semiHidden/>
    <w:unhideWhenUsed/>
    <w:rsid w:val="001C19F3"/>
  </w:style>
  <w:style w:type="table" w:customStyle="1" w:styleId="TableGrid31">
    <w:name w:val="Table Grid31"/>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C19F3"/>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rsid w:val="001C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C19F3"/>
  </w:style>
  <w:style w:type="character" w:customStyle="1" w:styleId="e24kjd">
    <w:name w:val="e24kjd"/>
    <w:basedOn w:val="DefaultParagraphFont"/>
    <w:rsid w:val="001C19F3"/>
  </w:style>
  <w:style w:type="character" w:styleId="Emphasis">
    <w:name w:val="Emphasis"/>
    <w:basedOn w:val="DefaultParagraphFont"/>
    <w:uiPriority w:val="20"/>
    <w:qFormat/>
    <w:rsid w:val="001C19F3"/>
    <w:rPr>
      <w:i/>
      <w:iCs/>
    </w:rPr>
  </w:style>
  <w:style w:type="character" w:styleId="FollowedHyperlink">
    <w:name w:val="FollowedHyperlink"/>
    <w:basedOn w:val="DefaultParagraphFont"/>
    <w:uiPriority w:val="99"/>
    <w:semiHidden/>
    <w:unhideWhenUsed/>
    <w:rsid w:val="001C19F3"/>
    <w:rPr>
      <w:color w:val="954F72" w:themeColor="followedHyperlink"/>
      <w:u w:val="single"/>
    </w:rPr>
  </w:style>
  <w:style w:type="character" w:customStyle="1" w:styleId="st">
    <w:name w:val="st"/>
    <w:basedOn w:val="DefaultParagraphFont"/>
    <w:rsid w:val="001C19F3"/>
  </w:style>
  <w:style w:type="character" w:styleId="PlaceholderText">
    <w:name w:val="Placeholder Text"/>
    <w:basedOn w:val="DefaultParagraphFont"/>
    <w:uiPriority w:val="99"/>
    <w:semiHidden/>
    <w:rsid w:val="001C19F3"/>
    <w:rPr>
      <w:color w:val="808080"/>
    </w:rPr>
  </w:style>
  <w:style w:type="paragraph" w:styleId="Revision">
    <w:name w:val="Revision"/>
    <w:hidden/>
    <w:uiPriority w:val="99"/>
    <w:semiHidden/>
    <w:rsid w:val="001C19F3"/>
    <w:pPr>
      <w:spacing w:after="0" w:line="240" w:lineRule="auto"/>
    </w:pPr>
    <w:rPr>
      <w:rFonts w:ascii="Century Gothic" w:eastAsia="Calibri" w:hAnsi="Century Gothic"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2324">
      <w:bodyDiv w:val="1"/>
      <w:marLeft w:val="0"/>
      <w:marRight w:val="0"/>
      <w:marTop w:val="0"/>
      <w:marBottom w:val="0"/>
      <w:divBdr>
        <w:top w:val="none" w:sz="0" w:space="0" w:color="auto"/>
        <w:left w:val="none" w:sz="0" w:space="0" w:color="auto"/>
        <w:bottom w:val="none" w:sz="0" w:space="0" w:color="auto"/>
        <w:right w:val="none" w:sz="0" w:space="0" w:color="auto"/>
      </w:divBdr>
    </w:div>
    <w:div w:id="13463681">
      <w:bodyDiv w:val="1"/>
      <w:marLeft w:val="0"/>
      <w:marRight w:val="0"/>
      <w:marTop w:val="0"/>
      <w:marBottom w:val="0"/>
      <w:divBdr>
        <w:top w:val="none" w:sz="0" w:space="0" w:color="auto"/>
        <w:left w:val="none" w:sz="0" w:space="0" w:color="auto"/>
        <w:bottom w:val="none" w:sz="0" w:space="0" w:color="auto"/>
        <w:right w:val="none" w:sz="0" w:space="0" w:color="auto"/>
      </w:divBdr>
    </w:div>
    <w:div w:id="193537458">
      <w:bodyDiv w:val="1"/>
      <w:marLeft w:val="0"/>
      <w:marRight w:val="0"/>
      <w:marTop w:val="0"/>
      <w:marBottom w:val="0"/>
      <w:divBdr>
        <w:top w:val="none" w:sz="0" w:space="0" w:color="auto"/>
        <w:left w:val="none" w:sz="0" w:space="0" w:color="auto"/>
        <w:bottom w:val="none" w:sz="0" w:space="0" w:color="auto"/>
        <w:right w:val="none" w:sz="0" w:space="0" w:color="auto"/>
      </w:divBdr>
    </w:div>
    <w:div w:id="243489196">
      <w:bodyDiv w:val="1"/>
      <w:marLeft w:val="0"/>
      <w:marRight w:val="0"/>
      <w:marTop w:val="0"/>
      <w:marBottom w:val="0"/>
      <w:divBdr>
        <w:top w:val="none" w:sz="0" w:space="0" w:color="auto"/>
        <w:left w:val="none" w:sz="0" w:space="0" w:color="auto"/>
        <w:bottom w:val="none" w:sz="0" w:space="0" w:color="auto"/>
        <w:right w:val="none" w:sz="0" w:space="0" w:color="auto"/>
      </w:divBdr>
    </w:div>
    <w:div w:id="265577715">
      <w:bodyDiv w:val="1"/>
      <w:marLeft w:val="0"/>
      <w:marRight w:val="0"/>
      <w:marTop w:val="0"/>
      <w:marBottom w:val="0"/>
      <w:divBdr>
        <w:top w:val="none" w:sz="0" w:space="0" w:color="auto"/>
        <w:left w:val="none" w:sz="0" w:space="0" w:color="auto"/>
        <w:bottom w:val="none" w:sz="0" w:space="0" w:color="auto"/>
        <w:right w:val="none" w:sz="0" w:space="0" w:color="auto"/>
      </w:divBdr>
    </w:div>
    <w:div w:id="344131338">
      <w:bodyDiv w:val="1"/>
      <w:marLeft w:val="0"/>
      <w:marRight w:val="0"/>
      <w:marTop w:val="0"/>
      <w:marBottom w:val="0"/>
      <w:divBdr>
        <w:top w:val="none" w:sz="0" w:space="0" w:color="auto"/>
        <w:left w:val="none" w:sz="0" w:space="0" w:color="auto"/>
        <w:bottom w:val="none" w:sz="0" w:space="0" w:color="auto"/>
        <w:right w:val="none" w:sz="0" w:space="0" w:color="auto"/>
      </w:divBdr>
    </w:div>
    <w:div w:id="416368901">
      <w:bodyDiv w:val="1"/>
      <w:marLeft w:val="0"/>
      <w:marRight w:val="0"/>
      <w:marTop w:val="0"/>
      <w:marBottom w:val="0"/>
      <w:divBdr>
        <w:top w:val="none" w:sz="0" w:space="0" w:color="auto"/>
        <w:left w:val="none" w:sz="0" w:space="0" w:color="auto"/>
        <w:bottom w:val="none" w:sz="0" w:space="0" w:color="auto"/>
        <w:right w:val="none" w:sz="0" w:space="0" w:color="auto"/>
      </w:divBdr>
    </w:div>
    <w:div w:id="433980576">
      <w:bodyDiv w:val="1"/>
      <w:marLeft w:val="0"/>
      <w:marRight w:val="0"/>
      <w:marTop w:val="0"/>
      <w:marBottom w:val="0"/>
      <w:divBdr>
        <w:top w:val="none" w:sz="0" w:space="0" w:color="auto"/>
        <w:left w:val="none" w:sz="0" w:space="0" w:color="auto"/>
        <w:bottom w:val="none" w:sz="0" w:space="0" w:color="auto"/>
        <w:right w:val="none" w:sz="0" w:space="0" w:color="auto"/>
      </w:divBdr>
    </w:div>
    <w:div w:id="489369914">
      <w:bodyDiv w:val="1"/>
      <w:marLeft w:val="0"/>
      <w:marRight w:val="0"/>
      <w:marTop w:val="0"/>
      <w:marBottom w:val="0"/>
      <w:divBdr>
        <w:top w:val="none" w:sz="0" w:space="0" w:color="auto"/>
        <w:left w:val="none" w:sz="0" w:space="0" w:color="auto"/>
        <w:bottom w:val="none" w:sz="0" w:space="0" w:color="auto"/>
        <w:right w:val="none" w:sz="0" w:space="0" w:color="auto"/>
      </w:divBdr>
    </w:div>
    <w:div w:id="539173383">
      <w:bodyDiv w:val="1"/>
      <w:marLeft w:val="0"/>
      <w:marRight w:val="0"/>
      <w:marTop w:val="0"/>
      <w:marBottom w:val="0"/>
      <w:divBdr>
        <w:top w:val="none" w:sz="0" w:space="0" w:color="auto"/>
        <w:left w:val="none" w:sz="0" w:space="0" w:color="auto"/>
        <w:bottom w:val="none" w:sz="0" w:space="0" w:color="auto"/>
        <w:right w:val="none" w:sz="0" w:space="0" w:color="auto"/>
      </w:divBdr>
    </w:div>
    <w:div w:id="602803625">
      <w:bodyDiv w:val="1"/>
      <w:marLeft w:val="0"/>
      <w:marRight w:val="0"/>
      <w:marTop w:val="0"/>
      <w:marBottom w:val="0"/>
      <w:divBdr>
        <w:top w:val="none" w:sz="0" w:space="0" w:color="auto"/>
        <w:left w:val="none" w:sz="0" w:space="0" w:color="auto"/>
        <w:bottom w:val="none" w:sz="0" w:space="0" w:color="auto"/>
        <w:right w:val="none" w:sz="0" w:space="0" w:color="auto"/>
      </w:divBdr>
    </w:div>
    <w:div w:id="704527453">
      <w:bodyDiv w:val="1"/>
      <w:marLeft w:val="0"/>
      <w:marRight w:val="0"/>
      <w:marTop w:val="0"/>
      <w:marBottom w:val="0"/>
      <w:divBdr>
        <w:top w:val="none" w:sz="0" w:space="0" w:color="auto"/>
        <w:left w:val="none" w:sz="0" w:space="0" w:color="auto"/>
        <w:bottom w:val="none" w:sz="0" w:space="0" w:color="auto"/>
        <w:right w:val="none" w:sz="0" w:space="0" w:color="auto"/>
      </w:divBdr>
    </w:div>
    <w:div w:id="793207106">
      <w:bodyDiv w:val="1"/>
      <w:marLeft w:val="0"/>
      <w:marRight w:val="0"/>
      <w:marTop w:val="0"/>
      <w:marBottom w:val="0"/>
      <w:divBdr>
        <w:top w:val="none" w:sz="0" w:space="0" w:color="auto"/>
        <w:left w:val="none" w:sz="0" w:space="0" w:color="auto"/>
        <w:bottom w:val="none" w:sz="0" w:space="0" w:color="auto"/>
        <w:right w:val="none" w:sz="0" w:space="0" w:color="auto"/>
      </w:divBdr>
    </w:div>
    <w:div w:id="814874705">
      <w:bodyDiv w:val="1"/>
      <w:marLeft w:val="0"/>
      <w:marRight w:val="0"/>
      <w:marTop w:val="0"/>
      <w:marBottom w:val="0"/>
      <w:divBdr>
        <w:top w:val="none" w:sz="0" w:space="0" w:color="auto"/>
        <w:left w:val="none" w:sz="0" w:space="0" w:color="auto"/>
        <w:bottom w:val="none" w:sz="0" w:space="0" w:color="auto"/>
        <w:right w:val="none" w:sz="0" w:space="0" w:color="auto"/>
      </w:divBdr>
    </w:div>
    <w:div w:id="891767418">
      <w:bodyDiv w:val="1"/>
      <w:marLeft w:val="0"/>
      <w:marRight w:val="0"/>
      <w:marTop w:val="0"/>
      <w:marBottom w:val="0"/>
      <w:divBdr>
        <w:top w:val="none" w:sz="0" w:space="0" w:color="auto"/>
        <w:left w:val="none" w:sz="0" w:space="0" w:color="auto"/>
        <w:bottom w:val="none" w:sz="0" w:space="0" w:color="auto"/>
        <w:right w:val="none" w:sz="0" w:space="0" w:color="auto"/>
      </w:divBdr>
    </w:div>
    <w:div w:id="892622924">
      <w:bodyDiv w:val="1"/>
      <w:marLeft w:val="0"/>
      <w:marRight w:val="0"/>
      <w:marTop w:val="0"/>
      <w:marBottom w:val="0"/>
      <w:divBdr>
        <w:top w:val="none" w:sz="0" w:space="0" w:color="auto"/>
        <w:left w:val="none" w:sz="0" w:space="0" w:color="auto"/>
        <w:bottom w:val="none" w:sz="0" w:space="0" w:color="auto"/>
        <w:right w:val="none" w:sz="0" w:space="0" w:color="auto"/>
      </w:divBdr>
    </w:div>
    <w:div w:id="929386438">
      <w:bodyDiv w:val="1"/>
      <w:marLeft w:val="0"/>
      <w:marRight w:val="0"/>
      <w:marTop w:val="0"/>
      <w:marBottom w:val="0"/>
      <w:divBdr>
        <w:top w:val="none" w:sz="0" w:space="0" w:color="auto"/>
        <w:left w:val="none" w:sz="0" w:space="0" w:color="auto"/>
        <w:bottom w:val="none" w:sz="0" w:space="0" w:color="auto"/>
        <w:right w:val="none" w:sz="0" w:space="0" w:color="auto"/>
      </w:divBdr>
    </w:div>
    <w:div w:id="1015307378">
      <w:bodyDiv w:val="1"/>
      <w:marLeft w:val="0"/>
      <w:marRight w:val="0"/>
      <w:marTop w:val="0"/>
      <w:marBottom w:val="0"/>
      <w:divBdr>
        <w:top w:val="none" w:sz="0" w:space="0" w:color="auto"/>
        <w:left w:val="none" w:sz="0" w:space="0" w:color="auto"/>
        <w:bottom w:val="none" w:sz="0" w:space="0" w:color="auto"/>
        <w:right w:val="none" w:sz="0" w:space="0" w:color="auto"/>
      </w:divBdr>
    </w:div>
    <w:div w:id="1022047114">
      <w:bodyDiv w:val="1"/>
      <w:marLeft w:val="0"/>
      <w:marRight w:val="0"/>
      <w:marTop w:val="0"/>
      <w:marBottom w:val="0"/>
      <w:divBdr>
        <w:top w:val="none" w:sz="0" w:space="0" w:color="auto"/>
        <w:left w:val="none" w:sz="0" w:space="0" w:color="auto"/>
        <w:bottom w:val="none" w:sz="0" w:space="0" w:color="auto"/>
        <w:right w:val="none" w:sz="0" w:space="0" w:color="auto"/>
      </w:divBdr>
    </w:div>
    <w:div w:id="1024594866">
      <w:bodyDiv w:val="1"/>
      <w:marLeft w:val="0"/>
      <w:marRight w:val="0"/>
      <w:marTop w:val="0"/>
      <w:marBottom w:val="0"/>
      <w:divBdr>
        <w:top w:val="none" w:sz="0" w:space="0" w:color="auto"/>
        <w:left w:val="none" w:sz="0" w:space="0" w:color="auto"/>
        <w:bottom w:val="none" w:sz="0" w:space="0" w:color="auto"/>
        <w:right w:val="none" w:sz="0" w:space="0" w:color="auto"/>
      </w:divBdr>
    </w:div>
    <w:div w:id="1110473800">
      <w:bodyDiv w:val="1"/>
      <w:marLeft w:val="0"/>
      <w:marRight w:val="0"/>
      <w:marTop w:val="0"/>
      <w:marBottom w:val="0"/>
      <w:divBdr>
        <w:top w:val="none" w:sz="0" w:space="0" w:color="auto"/>
        <w:left w:val="none" w:sz="0" w:space="0" w:color="auto"/>
        <w:bottom w:val="none" w:sz="0" w:space="0" w:color="auto"/>
        <w:right w:val="none" w:sz="0" w:space="0" w:color="auto"/>
      </w:divBdr>
    </w:div>
    <w:div w:id="1134981669">
      <w:bodyDiv w:val="1"/>
      <w:marLeft w:val="0"/>
      <w:marRight w:val="0"/>
      <w:marTop w:val="0"/>
      <w:marBottom w:val="0"/>
      <w:divBdr>
        <w:top w:val="none" w:sz="0" w:space="0" w:color="auto"/>
        <w:left w:val="none" w:sz="0" w:space="0" w:color="auto"/>
        <w:bottom w:val="none" w:sz="0" w:space="0" w:color="auto"/>
        <w:right w:val="none" w:sz="0" w:space="0" w:color="auto"/>
      </w:divBdr>
    </w:div>
    <w:div w:id="1220704989">
      <w:bodyDiv w:val="1"/>
      <w:marLeft w:val="0"/>
      <w:marRight w:val="0"/>
      <w:marTop w:val="0"/>
      <w:marBottom w:val="0"/>
      <w:divBdr>
        <w:top w:val="none" w:sz="0" w:space="0" w:color="auto"/>
        <w:left w:val="none" w:sz="0" w:space="0" w:color="auto"/>
        <w:bottom w:val="none" w:sz="0" w:space="0" w:color="auto"/>
        <w:right w:val="none" w:sz="0" w:space="0" w:color="auto"/>
      </w:divBdr>
    </w:div>
    <w:div w:id="1229614058">
      <w:bodyDiv w:val="1"/>
      <w:marLeft w:val="0"/>
      <w:marRight w:val="0"/>
      <w:marTop w:val="0"/>
      <w:marBottom w:val="0"/>
      <w:divBdr>
        <w:top w:val="none" w:sz="0" w:space="0" w:color="auto"/>
        <w:left w:val="none" w:sz="0" w:space="0" w:color="auto"/>
        <w:bottom w:val="none" w:sz="0" w:space="0" w:color="auto"/>
        <w:right w:val="none" w:sz="0" w:space="0" w:color="auto"/>
      </w:divBdr>
    </w:div>
    <w:div w:id="1320619011">
      <w:bodyDiv w:val="1"/>
      <w:marLeft w:val="0"/>
      <w:marRight w:val="0"/>
      <w:marTop w:val="0"/>
      <w:marBottom w:val="0"/>
      <w:divBdr>
        <w:top w:val="none" w:sz="0" w:space="0" w:color="auto"/>
        <w:left w:val="none" w:sz="0" w:space="0" w:color="auto"/>
        <w:bottom w:val="none" w:sz="0" w:space="0" w:color="auto"/>
        <w:right w:val="none" w:sz="0" w:space="0" w:color="auto"/>
      </w:divBdr>
    </w:div>
    <w:div w:id="1425347551">
      <w:bodyDiv w:val="1"/>
      <w:marLeft w:val="0"/>
      <w:marRight w:val="0"/>
      <w:marTop w:val="0"/>
      <w:marBottom w:val="0"/>
      <w:divBdr>
        <w:top w:val="none" w:sz="0" w:space="0" w:color="auto"/>
        <w:left w:val="none" w:sz="0" w:space="0" w:color="auto"/>
        <w:bottom w:val="none" w:sz="0" w:space="0" w:color="auto"/>
        <w:right w:val="none" w:sz="0" w:space="0" w:color="auto"/>
      </w:divBdr>
    </w:div>
    <w:div w:id="1429892171">
      <w:bodyDiv w:val="1"/>
      <w:marLeft w:val="0"/>
      <w:marRight w:val="0"/>
      <w:marTop w:val="0"/>
      <w:marBottom w:val="0"/>
      <w:divBdr>
        <w:top w:val="none" w:sz="0" w:space="0" w:color="auto"/>
        <w:left w:val="none" w:sz="0" w:space="0" w:color="auto"/>
        <w:bottom w:val="none" w:sz="0" w:space="0" w:color="auto"/>
        <w:right w:val="none" w:sz="0" w:space="0" w:color="auto"/>
      </w:divBdr>
    </w:div>
    <w:div w:id="1440418832">
      <w:bodyDiv w:val="1"/>
      <w:marLeft w:val="0"/>
      <w:marRight w:val="0"/>
      <w:marTop w:val="0"/>
      <w:marBottom w:val="0"/>
      <w:divBdr>
        <w:top w:val="none" w:sz="0" w:space="0" w:color="auto"/>
        <w:left w:val="none" w:sz="0" w:space="0" w:color="auto"/>
        <w:bottom w:val="none" w:sz="0" w:space="0" w:color="auto"/>
        <w:right w:val="none" w:sz="0" w:space="0" w:color="auto"/>
      </w:divBdr>
    </w:div>
    <w:div w:id="1540313356">
      <w:bodyDiv w:val="1"/>
      <w:marLeft w:val="0"/>
      <w:marRight w:val="0"/>
      <w:marTop w:val="0"/>
      <w:marBottom w:val="0"/>
      <w:divBdr>
        <w:top w:val="none" w:sz="0" w:space="0" w:color="auto"/>
        <w:left w:val="none" w:sz="0" w:space="0" w:color="auto"/>
        <w:bottom w:val="none" w:sz="0" w:space="0" w:color="auto"/>
        <w:right w:val="none" w:sz="0" w:space="0" w:color="auto"/>
      </w:divBdr>
    </w:div>
    <w:div w:id="1581014800">
      <w:bodyDiv w:val="1"/>
      <w:marLeft w:val="0"/>
      <w:marRight w:val="0"/>
      <w:marTop w:val="0"/>
      <w:marBottom w:val="0"/>
      <w:divBdr>
        <w:top w:val="none" w:sz="0" w:space="0" w:color="auto"/>
        <w:left w:val="none" w:sz="0" w:space="0" w:color="auto"/>
        <w:bottom w:val="none" w:sz="0" w:space="0" w:color="auto"/>
        <w:right w:val="none" w:sz="0" w:space="0" w:color="auto"/>
      </w:divBdr>
    </w:div>
    <w:div w:id="1724866594">
      <w:bodyDiv w:val="1"/>
      <w:marLeft w:val="0"/>
      <w:marRight w:val="0"/>
      <w:marTop w:val="0"/>
      <w:marBottom w:val="0"/>
      <w:divBdr>
        <w:top w:val="none" w:sz="0" w:space="0" w:color="auto"/>
        <w:left w:val="none" w:sz="0" w:space="0" w:color="auto"/>
        <w:bottom w:val="none" w:sz="0" w:space="0" w:color="auto"/>
        <w:right w:val="none" w:sz="0" w:space="0" w:color="auto"/>
      </w:divBdr>
    </w:div>
    <w:div w:id="1930575912">
      <w:bodyDiv w:val="1"/>
      <w:marLeft w:val="0"/>
      <w:marRight w:val="0"/>
      <w:marTop w:val="0"/>
      <w:marBottom w:val="0"/>
      <w:divBdr>
        <w:top w:val="none" w:sz="0" w:space="0" w:color="auto"/>
        <w:left w:val="none" w:sz="0" w:space="0" w:color="auto"/>
        <w:bottom w:val="none" w:sz="0" w:space="0" w:color="auto"/>
        <w:right w:val="none" w:sz="0" w:space="0" w:color="auto"/>
      </w:divBdr>
    </w:div>
    <w:div w:id="1986665674">
      <w:bodyDiv w:val="1"/>
      <w:marLeft w:val="0"/>
      <w:marRight w:val="0"/>
      <w:marTop w:val="0"/>
      <w:marBottom w:val="0"/>
      <w:divBdr>
        <w:top w:val="none" w:sz="0" w:space="0" w:color="auto"/>
        <w:left w:val="none" w:sz="0" w:space="0" w:color="auto"/>
        <w:bottom w:val="none" w:sz="0" w:space="0" w:color="auto"/>
        <w:right w:val="none" w:sz="0" w:space="0" w:color="auto"/>
      </w:divBdr>
    </w:div>
    <w:div w:id="2015254836">
      <w:bodyDiv w:val="1"/>
      <w:marLeft w:val="0"/>
      <w:marRight w:val="0"/>
      <w:marTop w:val="0"/>
      <w:marBottom w:val="0"/>
      <w:divBdr>
        <w:top w:val="none" w:sz="0" w:space="0" w:color="auto"/>
        <w:left w:val="none" w:sz="0" w:space="0" w:color="auto"/>
        <w:bottom w:val="none" w:sz="0" w:space="0" w:color="auto"/>
        <w:right w:val="none" w:sz="0" w:space="0" w:color="auto"/>
      </w:divBdr>
    </w:div>
    <w:div w:id="2041201560">
      <w:bodyDiv w:val="1"/>
      <w:marLeft w:val="0"/>
      <w:marRight w:val="0"/>
      <w:marTop w:val="0"/>
      <w:marBottom w:val="0"/>
      <w:divBdr>
        <w:top w:val="none" w:sz="0" w:space="0" w:color="auto"/>
        <w:left w:val="none" w:sz="0" w:space="0" w:color="auto"/>
        <w:bottom w:val="none" w:sz="0" w:space="0" w:color="auto"/>
        <w:right w:val="none" w:sz="0" w:space="0" w:color="auto"/>
      </w:divBdr>
    </w:div>
    <w:div w:id="21359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hyperlink" Target="http://createsend.com/t/r-1121D8909176A6332540EF23F30FEDED" TargetMode="External"/><Relationship Id="rId21" Type="http://schemas.openxmlformats.org/officeDocument/2006/relationships/footer" Target="footer2.xml"/><Relationship Id="rId42" Type="http://schemas.openxmlformats.org/officeDocument/2006/relationships/header" Target="header26.xml"/><Relationship Id="rId47" Type="http://schemas.openxmlformats.org/officeDocument/2006/relationships/image" Target="media/image4.png"/><Relationship Id="rId63" Type="http://schemas.openxmlformats.org/officeDocument/2006/relationships/footer" Target="footer12.xml"/><Relationship Id="rId68" Type="http://schemas.openxmlformats.org/officeDocument/2006/relationships/header" Target="header35.xml"/><Relationship Id="rId84" Type="http://schemas.openxmlformats.org/officeDocument/2006/relationships/header" Target="header44.xml"/><Relationship Id="rId89" Type="http://schemas.openxmlformats.org/officeDocument/2006/relationships/header" Target="header49.xml"/><Relationship Id="rId112" Type="http://schemas.openxmlformats.org/officeDocument/2006/relationships/header" Target="header63.xml"/><Relationship Id="rId133" Type="http://schemas.openxmlformats.org/officeDocument/2006/relationships/header" Target="header68.xml"/><Relationship Id="rId138" Type="http://schemas.openxmlformats.org/officeDocument/2006/relationships/header" Target="header72.xml"/><Relationship Id="rId154" Type="http://schemas.openxmlformats.org/officeDocument/2006/relationships/image" Target="media/image24.png"/><Relationship Id="rId159" Type="http://schemas.openxmlformats.org/officeDocument/2006/relationships/image" Target="media/image26.png"/><Relationship Id="rId175" Type="http://schemas.openxmlformats.org/officeDocument/2006/relationships/header" Target="header92.xml"/><Relationship Id="rId170" Type="http://schemas.openxmlformats.org/officeDocument/2006/relationships/header" Target="header89.xml"/><Relationship Id="rId191" Type="http://schemas.openxmlformats.org/officeDocument/2006/relationships/footer" Target="footer33.xml"/><Relationship Id="rId16" Type="http://schemas.openxmlformats.org/officeDocument/2006/relationships/header" Target="header9.xml"/><Relationship Id="rId107" Type="http://schemas.openxmlformats.org/officeDocument/2006/relationships/header" Target="header58.xml"/><Relationship Id="rId11" Type="http://schemas.openxmlformats.org/officeDocument/2006/relationships/header" Target="header4.xml"/><Relationship Id="rId32" Type="http://schemas.openxmlformats.org/officeDocument/2006/relationships/header" Target="header21.xml"/><Relationship Id="rId37" Type="http://schemas.openxmlformats.org/officeDocument/2006/relationships/header" Target="header24.xml"/><Relationship Id="rId53" Type="http://schemas.openxmlformats.org/officeDocument/2006/relationships/image" Target="media/image9.png"/><Relationship Id="rId58" Type="http://schemas.openxmlformats.org/officeDocument/2006/relationships/image" Target="media/image13.png"/><Relationship Id="rId74" Type="http://schemas.openxmlformats.org/officeDocument/2006/relationships/header" Target="header40.xml"/><Relationship Id="rId79" Type="http://schemas.openxmlformats.org/officeDocument/2006/relationships/hyperlink" Target="http://pandora.nla.gov.au/pan/154649/20160508-0839/www.pm.gov.au/media/2016-03-31/healthier-medicare-chronically-ill-patients.html" TargetMode="External"/><Relationship Id="rId102" Type="http://schemas.openxmlformats.org/officeDocument/2006/relationships/hyperlink" Target="http://www.health.gov.au/internet/main/publishing.nsf/Content/health-care-homes-information" TargetMode="External"/><Relationship Id="rId123" Type="http://schemas.openxmlformats.org/officeDocument/2006/relationships/header" Target="header66.xml"/><Relationship Id="rId128" Type="http://schemas.openxmlformats.org/officeDocument/2006/relationships/image" Target="media/image19.png"/><Relationship Id="rId144" Type="http://schemas.openxmlformats.org/officeDocument/2006/relationships/footer" Target="footer24.xml"/><Relationship Id="rId149"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footer" Target="footer14.xml"/><Relationship Id="rId95" Type="http://schemas.openxmlformats.org/officeDocument/2006/relationships/footer" Target="footer16.xml"/><Relationship Id="rId160" Type="http://schemas.openxmlformats.org/officeDocument/2006/relationships/image" Target="media/image27.png"/><Relationship Id="rId165" Type="http://schemas.openxmlformats.org/officeDocument/2006/relationships/image" Target="media/image29.png"/><Relationship Id="rId181" Type="http://schemas.openxmlformats.org/officeDocument/2006/relationships/image" Target="media/image32.png"/><Relationship Id="rId186" Type="http://schemas.openxmlformats.org/officeDocument/2006/relationships/image" Target="media/image37.png"/><Relationship Id="rId22" Type="http://schemas.openxmlformats.org/officeDocument/2006/relationships/footer" Target="footer3.xml"/><Relationship Id="rId27" Type="http://schemas.openxmlformats.org/officeDocument/2006/relationships/footer" Target="footer4.xml"/><Relationship Id="rId43" Type="http://schemas.openxmlformats.org/officeDocument/2006/relationships/header" Target="header27.xml"/><Relationship Id="rId48" Type="http://schemas.openxmlformats.org/officeDocument/2006/relationships/image" Target="media/image5.png"/><Relationship Id="rId64" Type="http://schemas.openxmlformats.org/officeDocument/2006/relationships/image" Target="media/image15.png"/><Relationship Id="rId69" Type="http://schemas.openxmlformats.org/officeDocument/2006/relationships/header" Target="header36.xml"/><Relationship Id="rId113" Type="http://schemas.openxmlformats.org/officeDocument/2006/relationships/hyperlink" Target="https://www.ahrq.gov/professionals/prevention-chronic-care/improve/coordination/ccqmpc/index.html" TargetMode="External"/><Relationship Id="rId118" Type="http://schemas.openxmlformats.org/officeDocument/2006/relationships/hyperlink" Target="https://www.ato.gov.au/law/view/document?DocID=AFS/HealthCareHome" TargetMode="External"/><Relationship Id="rId134" Type="http://schemas.openxmlformats.org/officeDocument/2006/relationships/header" Target="header69.xml"/><Relationship Id="rId139" Type="http://schemas.openxmlformats.org/officeDocument/2006/relationships/header" Target="header73.xml"/><Relationship Id="rId80" Type="http://schemas.openxmlformats.org/officeDocument/2006/relationships/hyperlink" Target="https://www1.health.gov.au/internet/main/publishing.nsf/Content/health-care-homes-professional" TargetMode="External"/><Relationship Id="rId85" Type="http://schemas.openxmlformats.org/officeDocument/2006/relationships/header" Target="header45.xml"/><Relationship Id="rId150" Type="http://schemas.openxmlformats.org/officeDocument/2006/relationships/header" Target="header80.xml"/><Relationship Id="rId155" Type="http://schemas.openxmlformats.org/officeDocument/2006/relationships/image" Target="media/image25.png"/><Relationship Id="rId171" Type="http://schemas.openxmlformats.org/officeDocument/2006/relationships/header" Target="header90.xml"/><Relationship Id="rId176" Type="http://schemas.openxmlformats.org/officeDocument/2006/relationships/header" Target="header93.xml"/><Relationship Id="rId192" Type="http://schemas.openxmlformats.org/officeDocument/2006/relationships/fontTable" Target="fontTable.xml"/><Relationship Id="rId12" Type="http://schemas.openxmlformats.org/officeDocument/2006/relationships/header" Target="header5.xml"/><Relationship Id="rId17" Type="http://schemas.openxmlformats.org/officeDocument/2006/relationships/footer" Target="footer1.xml"/><Relationship Id="rId33" Type="http://schemas.openxmlformats.org/officeDocument/2006/relationships/footer" Target="footer5.xml"/><Relationship Id="rId38" Type="http://schemas.openxmlformats.org/officeDocument/2006/relationships/footer" Target="footer7.xml"/><Relationship Id="rId59" Type="http://schemas.openxmlformats.org/officeDocument/2006/relationships/image" Target="media/image14.png"/><Relationship Id="rId103" Type="http://schemas.openxmlformats.org/officeDocument/2006/relationships/hyperlink" Target="https://hchevaluation.com/" TargetMode="External"/><Relationship Id="rId108" Type="http://schemas.openxmlformats.org/officeDocument/2006/relationships/header" Target="header59.xml"/><Relationship Id="rId124" Type="http://schemas.openxmlformats.org/officeDocument/2006/relationships/footer" Target="footer20.xml"/><Relationship Id="rId129" Type="http://schemas.openxmlformats.org/officeDocument/2006/relationships/image" Target="media/image20.png"/><Relationship Id="rId54" Type="http://schemas.openxmlformats.org/officeDocument/2006/relationships/image" Target="media/image10.png"/><Relationship Id="rId70" Type="http://schemas.openxmlformats.org/officeDocument/2006/relationships/header" Target="header37.xml"/><Relationship Id="rId75" Type="http://schemas.openxmlformats.org/officeDocument/2006/relationships/header" Target="header41.xml"/><Relationship Id="rId91" Type="http://schemas.openxmlformats.org/officeDocument/2006/relationships/header" Target="header50.xml"/><Relationship Id="rId96" Type="http://schemas.openxmlformats.org/officeDocument/2006/relationships/footer" Target="footer17.xml"/><Relationship Id="rId140" Type="http://schemas.openxmlformats.org/officeDocument/2006/relationships/footer" Target="footer23.xml"/><Relationship Id="rId145" Type="http://schemas.openxmlformats.org/officeDocument/2006/relationships/header" Target="header77.xml"/><Relationship Id="rId166" Type="http://schemas.openxmlformats.org/officeDocument/2006/relationships/header" Target="header86.xml"/><Relationship Id="rId182" Type="http://schemas.openxmlformats.org/officeDocument/2006/relationships/image" Target="media/image33.png"/><Relationship Id="rId187"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3.xml"/><Relationship Id="rId28" Type="http://schemas.openxmlformats.org/officeDocument/2006/relationships/header" Target="header17.xml"/><Relationship Id="rId49" Type="http://schemas.openxmlformats.org/officeDocument/2006/relationships/image" Target="media/image6.png"/><Relationship Id="rId114" Type="http://schemas.openxmlformats.org/officeDocument/2006/relationships/hyperlink" Target="https://www.aapm.org.au/Knowledge-Hub/Healthcare-Homes" TargetMode="External"/><Relationship Id="rId119" Type="http://schemas.openxmlformats.org/officeDocument/2006/relationships/hyperlink" Target="http://www.google.com.au/url?sa=t&amp;rct=j&amp;q=&amp;esrc=s&amp;source=web&amp;cd=1&amp;cad=rja&amp;uact=8&amp;ved=0CB0QFjAA&amp;url=http%3A%2F%2Fwww.adma.org.au%2Fclearinghouse%2Fdoc_download%2F13-rationale-for-western-risk-calculator.html&amp;ei=7_8HVIG7D4KVuATs54LgAw&amp;usg=AFQjCNExOILbjIxuI2Xb1FnCYEG6Fr91xg&amp;bvm=bv.74649129,d.c2E" TargetMode="External"/><Relationship Id="rId44" Type="http://schemas.openxmlformats.org/officeDocument/2006/relationships/image" Target="media/image3.png"/><Relationship Id="rId60" Type="http://schemas.openxmlformats.org/officeDocument/2006/relationships/header" Target="header31.xml"/><Relationship Id="rId65" Type="http://schemas.openxmlformats.org/officeDocument/2006/relationships/header" Target="header33.xml"/><Relationship Id="rId81" Type="http://schemas.openxmlformats.org/officeDocument/2006/relationships/hyperlink" Target="https://adma.org.au/download/western-harp-risk-calculator/" TargetMode="External"/><Relationship Id="rId86" Type="http://schemas.openxmlformats.org/officeDocument/2006/relationships/header" Target="header46.xml"/><Relationship Id="rId130" Type="http://schemas.openxmlformats.org/officeDocument/2006/relationships/image" Target="media/image21.png"/><Relationship Id="rId135" Type="http://schemas.openxmlformats.org/officeDocument/2006/relationships/footer" Target="footer22.xml"/><Relationship Id="rId151" Type="http://schemas.openxmlformats.org/officeDocument/2006/relationships/header" Target="header81.xml"/><Relationship Id="rId156" Type="http://schemas.openxmlformats.org/officeDocument/2006/relationships/header" Target="header83.xml"/><Relationship Id="rId177" Type="http://schemas.openxmlformats.org/officeDocument/2006/relationships/header" Target="header94.xml"/><Relationship Id="rId172" Type="http://schemas.openxmlformats.org/officeDocument/2006/relationships/header" Target="header91.xml"/><Relationship Id="rId193" Type="http://schemas.openxmlformats.org/officeDocument/2006/relationships/theme" Target="theme/theme1.xml"/><Relationship Id="rId13" Type="http://schemas.openxmlformats.org/officeDocument/2006/relationships/header" Target="header6.xml"/><Relationship Id="rId18" Type="http://schemas.openxmlformats.org/officeDocument/2006/relationships/header" Target="header10.xml"/><Relationship Id="rId39" Type="http://schemas.openxmlformats.org/officeDocument/2006/relationships/footer" Target="footer8.xml"/><Relationship Id="rId109" Type="http://schemas.openxmlformats.org/officeDocument/2006/relationships/header" Target="header60.xml"/><Relationship Id="rId34" Type="http://schemas.openxmlformats.org/officeDocument/2006/relationships/header" Target="header22.xml"/><Relationship Id="rId50" Type="http://schemas.openxmlformats.org/officeDocument/2006/relationships/header" Target="header29.xml"/><Relationship Id="rId55" Type="http://schemas.openxmlformats.org/officeDocument/2006/relationships/header" Target="header30.xml"/><Relationship Id="rId76" Type="http://schemas.openxmlformats.org/officeDocument/2006/relationships/footer" Target="footer13.xml"/><Relationship Id="rId97" Type="http://schemas.openxmlformats.org/officeDocument/2006/relationships/footer" Target="footer18.xml"/><Relationship Id="rId104" Type="http://schemas.openxmlformats.org/officeDocument/2006/relationships/hyperlink" Target="https://hchevaluation.com/" TargetMode="External"/><Relationship Id="rId120" Type="http://schemas.openxmlformats.org/officeDocument/2006/relationships/hyperlink" Target="https://www.msia.com.au/healthcare-homes/" TargetMode="External"/><Relationship Id="rId125" Type="http://schemas.openxmlformats.org/officeDocument/2006/relationships/header" Target="header67.xml"/><Relationship Id="rId141" Type="http://schemas.openxmlformats.org/officeDocument/2006/relationships/header" Target="header74.xml"/><Relationship Id="rId146" Type="http://schemas.openxmlformats.org/officeDocument/2006/relationships/header" Target="header78.xml"/><Relationship Id="rId167" Type="http://schemas.openxmlformats.org/officeDocument/2006/relationships/header" Target="header87.xml"/><Relationship Id="rId188"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header" Target="header51.xml"/><Relationship Id="rId183"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4.xml"/><Relationship Id="rId40" Type="http://schemas.openxmlformats.org/officeDocument/2006/relationships/footer" Target="footer9.xml"/><Relationship Id="rId45" Type="http://schemas.openxmlformats.org/officeDocument/2006/relationships/header" Target="header28.xml"/><Relationship Id="rId66" Type="http://schemas.openxmlformats.org/officeDocument/2006/relationships/image" Target="media/image16.png"/><Relationship Id="rId87" Type="http://schemas.openxmlformats.org/officeDocument/2006/relationships/header" Target="header47.xml"/><Relationship Id="rId110" Type="http://schemas.openxmlformats.org/officeDocument/2006/relationships/header" Target="header61.xml"/><Relationship Id="rId115" Type="http://schemas.openxmlformats.org/officeDocument/2006/relationships/hyperlink" Target="http://pandora.nla.gov.au/pan/154649/20160508-0839/www.pm.gov.au/media/2016-03-31/healthier-medicare-chronically-ill-patients.html" TargetMode="External"/><Relationship Id="rId131" Type="http://schemas.openxmlformats.org/officeDocument/2006/relationships/image" Target="media/image22.png"/><Relationship Id="rId136" Type="http://schemas.openxmlformats.org/officeDocument/2006/relationships/header" Target="header70.xml"/><Relationship Id="rId157" Type="http://schemas.openxmlformats.org/officeDocument/2006/relationships/header" Target="header84.xml"/><Relationship Id="rId178" Type="http://schemas.openxmlformats.org/officeDocument/2006/relationships/footer" Target="footer28.xml"/><Relationship Id="rId61" Type="http://schemas.openxmlformats.org/officeDocument/2006/relationships/footer" Target="footer11.xml"/><Relationship Id="rId82" Type="http://schemas.openxmlformats.org/officeDocument/2006/relationships/hyperlink" Target="https://www.msia.com.au/healthcare-homes/" TargetMode="External"/><Relationship Id="rId152" Type="http://schemas.openxmlformats.org/officeDocument/2006/relationships/header" Target="header82.xml"/><Relationship Id="rId173" Type="http://schemas.openxmlformats.org/officeDocument/2006/relationships/hyperlink" Target="https://outcomehealth.org.au/polar.aspx" TargetMode="External"/><Relationship Id="rId19" Type="http://schemas.openxmlformats.org/officeDocument/2006/relationships/header" Target="header11.xml"/><Relationship Id="rId14" Type="http://schemas.openxmlformats.org/officeDocument/2006/relationships/header" Target="header7.xml"/><Relationship Id="rId30" Type="http://schemas.openxmlformats.org/officeDocument/2006/relationships/header" Target="header19.xml"/><Relationship Id="rId35" Type="http://schemas.openxmlformats.org/officeDocument/2006/relationships/header" Target="header23.xml"/><Relationship Id="rId56" Type="http://schemas.openxmlformats.org/officeDocument/2006/relationships/image" Target="media/image11.png"/><Relationship Id="rId77" Type="http://schemas.openxmlformats.org/officeDocument/2006/relationships/header" Target="header42.xml"/><Relationship Id="rId100" Type="http://schemas.openxmlformats.org/officeDocument/2006/relationships/header" Target="header55.xml"/><Relationship Id="rId105" Type="http://schemas.openxmlformats.org/officeDocument/2006/relationships/header" Target="header56.xml"/><Relationship Id="rId126" Type="http://schemas.openxmlformats.org/officeDocument/2006/relationships/footer" Target="footer21.xml"/><Relationship Id="rId147" Type="http://schemas.openxmlformats.org/officeDocument/2006/relationships/footer" Target="footer25.xml"/><Relationship Id="rId16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image" Target="media/image17.png"/><Relationship Id="rId93" Type="http://schemas.openxmlformats.org/officeDocument/2006/relationships/footer" Target="footer15.xml"/><Relationship Id="rId98" Type="http://schemas.openxmlformats.org/officeDocument/2006/relationships/header" Target="header53.xml"/><Relationship Id="rId121" Type="http://schemas.openxmlformats.org/officeDocument/2006/relationships/header" Target="header64.xml"/><Relationship Id="rId142" Type="http://schemas.openxmlformats.org/officeDocument/2006/relationships/header" Target="header75.xml"/><Relationship Id="rId184" Type="http://schemas.openxmlformats.org/officeDocument/2006/relationships/image" Target="media/image35.png"/><Relationship Id="rId189" Type="http://schemas.openxmlformats.org/officeDocument/2006/relationships/footer" Target="footer31.xml"/><Relationship Id="rId3" Type="http://schemas.openxmlformats.org/officeDocument/2006/relationships/styles" Target="styles.xml"/><Relationship Id="rId25" Type="http://schemas.openxmlformats.org/officeDocument/2006/relationships/header" Target="header15.xml"/><Relationship Id="rId46" Type="http://schemas.openxmlformats.org/officeDocument/2006/relationships/footer" Target="footer10.xml"/><Relationship Id="rId67" Type="http://schemas.openxmlformats.org/officeDocument/2006/relationships/header" Target="header34.xml"/><Relationship Id="rId116" Type="http://schemas.openxmlformats.org/officeDocument/2006/relationships/hyperlink" Target="http://createsend.com/t/r-F3382E21D97069B52540EF23F30FEDED" TargetMode="External"/><Relationship Id="rId137" Type="http://schemas.openxmlformats.org/officeDocument/2006/relationships/header" Target="header71.xml"/><Relationship Id="rId158" Type="http://schemas.openxmlformats.org/officeDocument/2006/relationships/header" Target="header85.xml"/><Relationship Id="rId20" Type="http://schemas.openxmlformats.org/officeDocument/2006/relationships/header" Target="header12.xml"/><Relationship Id="rId41" Type="http://schemas.openxmlformats.org/officeDocument/2006/relationships/header" Target="header25.xml"/><Relationship Id="rId62" Type="http://schemas.openxmlformats.org/officeDocument/2006/relationships/header" Target="header32.xml"/><Relationship Id="rId83" Type="http://schemas.openxmlformats.org/officeDocument/2006/relationships/header" Target="header43.xml"/><Relationship Id="rId88" Type="http://schemas.openxmlformats.org/officeDocument/2006/relationships/header" Target="header48.xml"/><Relationship Id="rId111" Type="http://schemas.openxmlformats.org/officeDocument/2006/relationships/header" Target="header62.xml"/><Relationship Id="rId132" Type="http://schemas.openxmlformats.org/officeDocument/2006/relationships/image" Target="media/image23.png"/><Relationship Id="rId153" Type="http://schemas.openxmlformats.org/officeDocument/2006/relationships/footer" Target="footer27.xml"/><Relationship Id="rId174" Type="http://schemas.openxmlformats.org/officeDocument/2006/relationships/hyperlink" Target="https://help.pencs.com.au/display/ADM" TargetMode="External"/><Relationship Id="rId179" Type="http://schemas.openxmlformats.org/officeDocument/2006/relationships/footer" Target="footer29.xml"/><Relationship Id="rId190" Type="http://schemas.openxmlformats.org/officeDocument/2006/relationships/footer" Target="footer32.xml"/><Relationship Id="rId15" Type="http://schemas.openxmlformats.org/officeDocument/2006/relationships/header" Target="header8.xml"/><Relationship Id="rId36" Type="http://schemas.openxmlformats.org/officeDocument/2006/relationships/footer" Target="footer6.xml"/><Relationship Id="rId57" Type="http://schemas.openxmlformats.org/officeDocument/2006/relationships/image" Target="media/image12.png"/><Relationship Id="rId106" Type="http://schemas.openxmlformats.org/officeDocument/2006/relationships/header" Target="header57.xml"/><Relationship Id="rId127" Type="http://schemas.openxmlformats.org/officeDocument/2006/relationships/image" Target="media/image18.png"/><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image" Target="media/image8.png"/><Relationship Id="rId73" Type="http://schemas.openxmlformats.org/officeDocument/2006/relationships/header" Target="header39.xml"/><Relationship Id="rId78" Type="http://schemas.openxmlformats.org/officeDocument/2006/relationships/hyperlink" Target="https://www.aapm.org.au/Knowledge-Hub/Healthcare-Homes" TargetMode="External"/><Relationship Id="rId94" Type="http://schemas.openxmlformats.org/officeDocument/2006/relationships/header" Target="header52.xml"/><Relationship Id="rId99" Type="http://schemas.openxmlformats.org/officeDocument/2006/relationships/header" Target="header54.xml"/><Relationship Id="rId101" Type="http://schemas.openxmlformats.org/officeDocument/2006/relationships/footer" Target="footer19.xml"/><Relationship Id="rId122" Type="http://schemas.openxmlformats.org/officeDocument/2006/relationships/header" Target="header65.xml"/><Relationship Id="rId143" Type="http://schemas.openxmlformats.org/officeDocument/2006/relationships/header" Target="header76.xml"/><Relationship Id="rId148" Type="http://schemas.openxmlformats.org/officeDocument/2006/relationships/header" Target="header79.xml"/><Relationship Id="rId164" Type="http://schemas.openxmlformats.org/officeDocument/2006/relationships/image" Target="media/image28.png"/><Relationship Id="rId169" Type="http://schemas.openxmlformats.org/officeDocument/2006/relationships/header" Target="header88.xml"/><Relationship Id="rId18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31.pn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0B052-F138-4AE7-ABA9-8F94787E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406</Pages>
  <Words>156293</Words>
  <Characters>822105</Characters>
  <Application>Microsoft Office Word</Application>
  <DocSecurity>0</DocSecurity>
  <Lines>30448</Lines>
  <Paragraphs>20816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2020-05-29T00:14:00Z</dcterms:created>
  <dcterms:modified xsi:type="dcterms:W3CDTF">2020-05-29T00:14:00Z</dcterms:modified>
</cp:coreProperties>
</file>